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spacing w:line="240" w:lineRule="auto"/>
        <w:jc w:val="center"/>
        <w:rPr>
          <w:rFonts w:asciiTheme="minorEastAsia" w:hAnsiTheme="minorEastAsia" w:eastAsiaTheme="minorEastAsia"/>
          <w:b w:val="0"/>
          <w:kern w:val="2"/>
          <w:sz w:val="36"/>
          <w:szCs w:val="36"/>
        </w:rPr>
      </w:pPr>
      <w:bookmarkStart w:id="0" w:name="_Toc487341264"/>
      <w:bookmarkStart w:id="1" w:name="_Toc223322439"/>
      <w:bookmarkStart w:id="2" w:name="_Toc256321014"/>
      <w:bookmarkStart w:id="3" w:name="_Toc484924564"/>
      <w:r>
        <w:rPr>
          <w:rFonts w:asciiTheme="minorEastAsia" w:hAnsiTheme="minorEastAsia" w:eastAsiaTheme="minorEastAsia"/>
          <w:b w:val="0"/>
          <w:kern w:val="2"/>
          <w:sz w:val="36"/>
          <w:szCs w:val="36"/>
        </w:rPr>
        <w:fldChar w:fldCharType="begin"/>
      </w:r>
      <w:r>
        <w:rPr>
          <w:rFonts w:asciiTheme="minorEastAsia" w:hAnsiTheme="minorEastAsia" w:eastAsiaTheme="minorEastAsia"/>
          <w:b w:val="0"/>
          <w:kern w:val="2"/>
          <w:sz w:val="36"/>
          <w:szCs w:val="36"/>
        </w:rPr>
        <w:instrText xml:space="preserve">HYPERLINK "F:\\</w:instrText>
      </w:r>
      <w:r>
        <w:rPr>
          <w:rFonts w:hint="eastAsia" w:asciiTheme="minorEastAsia" w:hAnsiTheme="minorEastAsia" w:eastAsiaTheme="minorEastAsia"/>
          <w:b w:val="0"/>
          <w:kern w:val="2"/>
          <w:sz w:val="36"/>
          <w:szCs w:val="36"/>
        </w:rPr>
        <w:instrText xml:space="preserve">评估资料</w:instrText>
      </w:r>
      <w:r>
        <w:rPr>
          <w:rFonts w:asciiTheme="minorEastAsia" w:hAnsiTheme="minorEastAsia" w:eastAsiaTheme="minorEastAsia"/>
          <w:b w:val="0"/>
          <w:kern w:val="2"/>
          <w:sz w:val="36"/>
          <w:szCs w:val="36"/>
        </w:rPr>
        <w:instrText xml:space="preserve">\\</w:instrText>
      </w:r>
      <w:r>
        <w:rPr>
          <w:rFonts w:hint="eastAsia" w:asciiTheme="minorEastAsia" w:hAnsiTheme="minorEastAsia" w:eastAsiaTheme="minorEastAsia"/>
          <w:b w:val="0"/>
          <w:kern w:val="2"/>
          <w:sz w:val="36"/>
          <w:szCs w:val="36"/>
        </w:rPr>
        <w:instrText xml:space="preserve">永吉县西阳镇隆兴土地合作社</w:instrText>
      </w:r>
      <w:r>
        <w:rPr>
          <w:rFonts w:asciiTheme="minorEastAsia" w:hAnsiTheme="minorEastAsia" w:eastAsiaTheme="minorEastAsia"/>
          <w:b w:val="0"/>
          <w:kern w:val="2"/>
          <w:sz w:val="36"/>
          <w:szCs w:val="36"/>
        </w:rPr>
        <w:instrText xml:space="preserve">\\</w:instrText>
      </w:r>
      <w:r>
        <w:rPr>
          <w:rFonts w:hint="eastAsia" w:asciiTheme="minorEastAsia" w:hAnsiTheme="minorEastAsia" w:eastAsiaTheme="minorEastAsia"/>
          <w:b w:val="0"/>
          <w:kern w:val="2"/>
          <w:sz w:val="36"/>
          <w:szCs w:val="36"/>
        </w:rPr>
        <w:instrText xml:space="preserve">单项资产评估报告指引（国资）</w:instrText>
      </w:r>
      <w:r>
        <w:rPr>
          <w:rFonts w:asciiTheme="minorEastAsia" w:hAnsiTheme="minorEastAsia" w:eastAsiaTheme="minorEastAsia"/>
          <w:b w:val="0"/>
          <w:kern w:val="2"/>
          <w:sz w:val="36"/>
          <w:szCs w:val="36"/>
        </w:rPr>
        <w:instrText xml:space="preserve">.doc" \l "</w:instrText>
      </w:r>
      <w:r>
        <w:rPr>
          <w:rFonts w:hint="eastAsia" w:asciiTheme="minorEastAsia" w:hAnsiTheme="minorEastAsia" w:eastAsiaTheme="minorEastAsia"/>
          <w:b w:val="0"/>
          <w:kern w:val="2"/>
          <w:sz w:val="36"/>
          <w:szCs w:val="36"/>
        </w:rPr>
        <w:instrText xml:space="preserve">注册资产评估师声明</w:instrText>
      </w:r>
      <w:r>
        <w:rPr>
          <w:rFonts w:asciiTheme="minorEastAsia" w:hAnsiTheme="minorEastAsia" w:eastAsiaTheme="minorEastAsia"/>
          <w:b w:val="0"/>
          <w:kern w:val="2"/>
          <w:sz w:val="36"/>
          <w:szCs w:val="36"/>
        </w:rPr>
        <w:instrText xml:space="preserve">"</w:instrText>
      </w:r>
      <w:r>
        <w:rPr>
          <w:rFonts w:asciiTheme="minorEastAsia" w:hAnsiTheme="minorEastAsia" w:eastAsiaTheme="minorEastAsia"/>
          <w:b w:val="0"/>
          <w:kern w:val="2"/>
          <w:sz w:val="36"/>
          <w:szCs w:val="36"/>
        </w:rPr>
        <w:fldChar w:fldCharType="separate"/>
      </w:r>
      <w:bookmarkStart w:id="4" w:name="_Toc10122783"/>
      <w:r>
        <w:rPr>
          <w:rFonts w:hint="eastAsia" w:asciiTheme="minorEastAsia" w:hAnsiTheme="minorEastAsia" w:eastAsiaTheme="minorEastAsia"/>
          <w:b w:val="0"/>
          <w:kern w:val="2"/>
          <w:sz w:val="36"/>
          <w:szCs w:val="36"/>
        </w:rPr>
        <w:t>资产</w:t>
      </w:r>
      <w:bookmarkStart w:id="5" w:name="_Hlt361926799"/>
      <w:bookmarkStart w:id="6" w:name="_Hlt361926800"/>
      <w:r>
        <w:rPr>
          <w:rFonts w:hint="eastAsia" w:asciiTheme="minorEastAsia" w:hAnsiTheme="minorEastAsia" w:eastAsiaTheme="minorEastAsia"/>
          <w:b w:val="0"/>
          <w:kern w:val="2"/>
          <w:sz w:val="36"/>
          <w:szCs w:val="36"/>
        </w:rPr>
        <w:t>评</w:t>
      </w:r>
      <w:bookmarkEnd w:id="5"/>
      <w:bookmarkEnd w:id="6"/>
      <w:r>
        <w:rPr>
          <w:rFonts w:hint="eastAsia" w:asciiTheme="minorEastAsia" w:hAnsiTheme="minorEastAsia" w:eastAsiaTheme="minorEastAsia"/>
          <w:b w:val="0"/>
          <w:kern w:val="2"/>
          <w:sz w:val="36"/>
          <w:szCs w:val="36"/>
        </w:rPr>
        <w:t>估师声</w:t>
      </w:r>
      <w:bookmarkStart w:id="7" w:name="_Hlt377934096"/>
      <w:bookmarkStart w:id="8" w:name="_Hlt377934097"/>
      <w:r>
        <w:rPr>
          <w:rFonts w:hint="eastAsia" w:asciiTheme="minorEastAsia" w:hAnsiTheme="minorEastAsia" w:eastAsiaTheme="minorEastAsia"/>
          <w:b w:val="0"/>
          <w:kern w:val="2"/>
          <w:sz w:val="36"/>
          <w:szCs w:val="36"/>
        </w:rPr>
        <w:t>明</w:t>
      </w:r>
      <w:bookmarkEnd w:id="0"/>
      <w:bookmarkEnd w:id="1"/>
      <w:bookmarkEnd w:id="2"/>
      <w:bookmarkEnd w:id="3"/>
      <w:bookmarkEnd w:id="4"/>
      <w:bookmarkEnd w:id="7"/>
      <w:bookmarkEnd w:id="8"/>
      <w:r>
        <w:rPr>
          <w:rFonts w:asciiTheme="minorEastAsia" w:hAnsiTheme="minorEastAsia" w:eastAsiaTheme="minorEastAsia"/>
          <w:b w:val="0"/>
          <w:kern w:val="2"/>
          <w:sz w:val="36"/>
          <w:szCs w:val="36"/>
        </w:rPr>
        <w:fldChar w:fldCharType="end"/>
      </w:r>
    </w:p>
    <w:p>
      <w:pPr>
        <w:tabs>
          <w:tab w:val="left" w:pos="11988"/>
        </w:tabs>
        <w:spacing w:line="360" w:lineRule="auto"/>
        <w:ind w:firstLine="480" w:firstLineChars="200"/>
        <w:rPr>
          <w:rFonts w:ascii="宋体"/>
          <w:kern w:val="0"/>
          <w:sz w:val="24"/>
        </w:rPr>
      </w:pPr>
      <w:r>
        <w:rPr>
          <w:rFonts w:hint="eastAsia" w:ascii="宋体" w:hAnsi="宋体"/>
          <w:kern w:val="0"/>
          <w:sz w:val="24"/>
        </w:rPr>
        <w:t>一、本资产评估报告依据财政部发布的资产评估基本准则和中国资产评估协会发布的资产评估执业准则和职业道德准则编制。</w:t>
      </w:r>
    </w:p>
    <w:p>
      <w:pPr>
        <w:tabs>
          <w:tab w:val="left" w:pos="11988"/>
        </w:tabs>
        <w:spacing w:line="360" w:lineRule="auto"/>
        <w:ind w:firstLine="480" w:firstLineChars="200"/>
        <w:rPr>
          <w:rFonts w:ascii="宋体"/>
          <w:kern w:val="0"/>
          <w:sz w:val="24"/>
        </w:rPr>
      </w:pPr>
      <w:r>
        <w:rPr>
          <w:rFonts w:hint="eastAsia" w:ascii="宋体" w:hAnsi="宋体"/>
          <w:kern w:val="0"/>
          <w:sz w:val="24"/>
        </w:rPr>
        <w:t>二、委托人或者其他资产评估报告使用人应当按照法律行政法规规定和本资产评估报告载明的使用范围使用资产评估报告；委托人或者其他资产评估报告使用人违反前述规定使用资产评估报告的，本资产评估机构及资产评估师不承担责任。</w:t>
      </w:r>
    </w:p>
    <w:p>
      <w:pPr>
        <w:tabs>
          <w:tab w:val="left" w:pos="11988"/>
        </w:tabs>
        <w:spacing w:line="360" w:lineRule="auto"/>
        <w:ind w:firstLine="480" w:firstLineChars="200"/>
        <w:rPr>
          <w:rFonts w:ascii="宋体"/>
          <w:kern w:val="0"/>
          <w:sz w:val="24"/>
        </w:rPr>
      </w:pPr>
      <w:r>
        <w:rPr>
          <w:rFonts w:hint="eastAsia" w:ascii="宋体" w:hAnsi="宋体"/>
          <w:kern w:val="0"/>
          <w:sz w:val="24"/>
        </w:rPr>
        <w:t>三、本资产评估报告仅供委托人、资产评估委托合同中约定的其他资产评估报告使用人和法律、行政法规规定的资产评估报告使用人使用；除此之外，其他任何机构和个人不能成为资产评估报告的使用人。</w:t>
      </w:r>
    </w:p>
    <w:p>
      <w:pPr>
        <w:tabs>
          <w:tab w:val="left" w:pos="11988"/>
        </w:tabs>
        <w:spacing w:line="360" w:lineRule="auto"/>
        <w:ind w:firstLine="480" w:firstLineChars="200"/>
        <w:rPr>
          <w:rFonts w:ascii="宋体"/>
          <w:kern w:val="0"/>
          <w:sz w:val="24"/>
        </w:rPr>
      </w:pPr>
      <w:r>
        <w:rPr>
          <w:rFonts w:hint="eastAsia" w:ascii="宋体" w:hAnsi="宋体"/>
          <w:kern w:val="0"/>
          <w:sz w:val="24"/>
        </w:rPr>
        <w:t>四、资产评估机构及其资产评估专业人员遵守法律、行政法规和资产评估准则，坚持独立、客观和公正的原则，并对所出具的资产评估报告依法承担责任。</w:t>
      </w:r>
    </w:p>
    <w:p>
      <w:pPr>
        <w:tabs>
          <w:tab w:val="left" w:pos="11988"/>
        </w:tabs>
        <w:spacing w:line="360" w:lineRule="auto"/>
        <w:ind w:firstLine="480" w:firstLineChars="200"/>
        <w:rPr>
          <w:rFonts w:ascii="宋体"/>
          <w:kern w:val="0"/>
          <w:sz w:val="24"/>
        </w:rPr>
      </w:pPr>
      <w:r>
        <w:rPr>
          <w:rFonts w:hint="eastAsia" w:ascii="宋体" w:hAnsi="宋体"/>
          <w:kern w:val="0"/>
          <w:sz w:val="24"/>
        </w:rPr>
        <w:t>五、资产评估机构及资产评估师与资产评估报告中的评估对象没有现存或者预期的利益关系；与相关当事人没有现存或者预期的利益关系，对相关当事人不存在偏见。</w:t>
      </w:r>
    </w:p>
    <w:p>
      <w:pPr>
        <w:tabs>
          <w:tab w:val="left" w:pos="11988"/>
        </w:tabs>
        <w:spacing w:line="360" w:lineRule="auto"/>
        <w:ind w:firstLine="480" w:firstLineChars="200"/>
        <w:rPr>
          <w:rFonts w:ascii="宋体"/>
          <w:kern w:val="0"/>
          <w:sz w:val="24"/>
        </w:rPr>
      </w:pPr>
      <w:r>
        <w:rPr>
          <w:rFonts w:hint="eastAsia" w:ascii="宋体" w:hAnsi="宋体"/>
          <w:kern w:val="0"/>
          <w:sz w:val="24"/>
        </w:rPr>
        <w:t>六、本资产评估报告是根据人民法院及相关当事人提供的资料和信息出具，资料和信息的真实性、完整性、合法性对评估结论构成影响，委托人和其他相关当事人依法对其提供资料的真实性、完整性、合法性负责，依据同一标的资产的其他资料或者信息可能得出与本报告不一致的评估结论。</w:t>
      </w:r>
    </w:p>
    <w:p>
      <w:pPr>
        <w:tabs>
          <w:tab w:val="left" w:pos="11988"/>
        </w:tabs>
        <w:spacing w:line="360" w:lineRule="auto"/>
        <w:ind w:firstLine="480" w:firstLineChars="200"/>
        <w:rPr>
          <w:rFonts w:ascii="宋体"/>
          <w:kern w:val="0"/>
          <w:sz w:val="24"/>
        </w:rPr>
      </w:pPr>
      <w:r>
        <w:rPr>
          <w:rFonts w:hint="eastAsia" w:ascii="宋体" w:hAnsi="宋体"/>
          <w:kern w:val="0"/>
          <w:sz w:val="24"/>
        </w:rPr>
        <w:t>七、资产评估师已经对资产评估报告中的评估对象及其所涉及资产进行现场调查；我们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tabs>
          <w:tab w:val="left" w:pos="11988"/>
        </w:tabs>
        <w:spacing w:line="360" w:lineRule="auto"/>
        <w:ind w:firstLine="480" w:firstLineChars="200"/>
        <w:rPr>
          <w:rFonts w:ascii="宋体"/>
          <w:kern w:val="0"/>
          <w:sz w:val="24"/>
        </w:rPr>
      </w:pPr>
      <w:r>
        <w:rPr>
          <w:rFonts w:hint="eastAsia" w:ascii="宋体" w:hAnsi="宋体"/>
          <w:kern w:val="0"/>
          <w:sz w:val="24"/>
        </w:rPr>
        <w:t>八、资产评估机构及资产评估师提示资产评估报告使用人应当正确理解评估结论，评估结论不等同于评估对象可实现价格，评估结论不应当被认为是对评估对象可实现价格的保证。</w:t>
      </w:r>
    </w:p>
    <w:p>
      <w:pPr>
        <w:snapToGrid w:val="0"/>
        <w:spacing w:line="360" w:lineRule="auto"/>
        <w:ind w:firstLine="480" w:firstLineChars="200"/>
        <w:rPr>
          <w:rFonts w:ascii="宋体"/>
          <w:sz w:val="24"/>
        </w:rPr>
      </w:pPr>
      <w:r>
        <w:rPr>
          <w:rFonts w:hint="eastAsia" w:ascii="宋体" w:hAnsi="宋体"/>
          <w:kern w:val="0"/>
          <w:sz w:val="24"/>
        </w:rPr>
        <w:t>九、资产评估机构出具的资产评估报告中的分析、判断和结果受资产评估报告中假设和限制条件的限制，资产评估报告使用人应当充分考虑资产评估报告中载明的假设、限制条件、特别事项说明及其对评估结论的影响</w:t>
      </w:r>
      <w:r>
        <w:rPr>
          <w:rFonts w:hint="eastAsia" w:ascii="宋体" w:hAnsi="宋体"/>
          <w:sz w:val="24"/>
        </w:rPr>
        <w:t>。</w:t>
      </w:r>
    </w:p>
    <w:p>
      <w:pPr>
        <w:tabs>
          <w:tab w:val="left" w:pos="0"/>
        </w:tabs>
        <w:ind w:right="6"/>
        <w:rPr>
          <w:rFonts w:ascii="宋体"/>
          <w:b/>
          <w:bCs/>
          <w:sz w:val="44"/>
          <w:szCs w:val="44"/>
        </w:rPr>
      </w:pPr>
      <w:bookmarkStart w:id="9" w:name="_Toc490638832"/>
    </w:p>
    <w:p>
      <w:pPr>
        <w:tabs>
          <w:tab w:val="left" w:pos="0"/>
        </w:tabs>
        <w:ind w:right="6"/>
        <w:rPr>
          <w:rFonts w:ascii="宋体"/>
          <w:b/>
          <w:bCs/>
          <w:sz w:val="44"/>
          <w:szCs w:val="44"/>
        </w:rPr>
      </w:pPr>
    </w:p>
    <w:p>
      <w:pPr>
        <w:tabs>
          <w:tab w:val="left" w:pos="0"/>
        </w:tabs>
        <w:ind w:right="6"/>
        <w:rPr>
          <w:rFonts w:ascii="宋体"/>
          <w:b/>
          <w:bCs/>
          <w:sz w:val="44"/>
          <w:szCs w:val="44"/>
        </w:rPr>
      </w:pPr>
    </w:p>
    <w:p>
      <w:pPr>
        <w:tabs>
          <w:tab w:val="left" w:pos="0"/>
        </w:tabs>
        <w:ind w:right="6" w:firstLine="2624" w:firstLineChars="594"/>
        <w:rPr>
          <w:rFonts w:ascii="宋体"/>
          <w:b/>
          <w:bCs/>
          <w:sz w:val="44"/>
          <w:szCs w:val="44"/>
        </w:rPr>
      </w:pPr>
      <w:r>
        <w:rPr>
          <w:rFonts w:hint="eastAsia" w:ascii="宋体" w:hAnsi="宋体"/>
          <w:b/>
          <w:bCs/>
          <w:sz w:val="44"/>
          <w:szCs w:val="44"/>
        </w:rPr>
        <w:t>资产评估报告摘要</w:t>
      </w:r>
    </w:p>
    <w:p>
      <w:pPr>
        <w:pStyle w:val="9"/>
        <w:spacing w:line="360" w:lineRule="auto"/>
        <w:rPr>
          <w:rFonts w:hAnsi="宋体"/>
          <w:sz w:val="24"/>
        </w:rPr>
      </w:pPr>
    </w:p>
    <w:p>
      <w:pPr>
        <w:pStyle w:val="9"/>
        <w:spacing w:line="360" w:lineRule="auto"/>
        <w:rPr>
          <w:rFonts w:hAnsi="宋体"/>
          <w:sz w:val="24"/>
        </w:rPr>
      </w:pPr>
      <w:r>
        <w:rPr>
          <w:rFonts w:hint="eastAsia" w:hAnsi="宋体"/>
          <w:sz w:val="24"/>
          <w:lang w:eastAsia="zh-CN"/>
        </w:rPr>
        <w:t>辽源市西安区人民法院司法辅助办公室</w:t>
      </w:r>
      <w:r>
        <w:rPr>
          <w:rFonts w:hint="eastAsia" w:hAnsi="宋体"/>
          <w:sz w:val="24"/>
        </w:rPr>
        <w:t>：</w:t>
      </w:r>
    </w:p>
    <w:p>
      <w:pPr>
        <w:pStyle w:val="9"/>
        <w:spacing w:line="360" w:lineRule="auto"/>
        <w:ind w:firstLine="480" w:firstLineChars="200"/>
        <w:rPr>
          <w:rFonts w:hAnsi="宋体"/>
          <w:sz w:val="24"/>
          <w:szCs w:val="24"/>
        </w:rPr>
      </w:pPr>
      <w:r>
        <w:rPr>
          <w:rFonts w:hint="eastAsia" w:hAnsi="宋体"/>
          <w:sz w:val="24"/>
          <w:lang w:eastAsia="zh-CN"/>
        </w:rPr>
        <w:t>吉林长城资产评估有限责任公司</w:t>
      </w:r>
      <w:r>
        <w:rPr>
          <w:rFonts w:hint="eastAsia" w:hAnsi="宋体"/>
          <w:sz w:val="24"/>
        </w:rPr>
        <w:t>接受贵单位的委托，根据有关法律法规和资产评估准则、资产评估原则，</w:t>
      </w:r>
      <w:r>
        <w:rPr>
          <w:rFonts w:hint="eastAsia" w:hAnsi="宋体" w:cs="Arial"/>
          <w:sz w:val="24"/>
        </w:rPr>
        <w:t>按照必要的评估程序，对</w:t>
      </w:r>
      <w:r>
        <w:rPr>
          <w:rFonts w:hint="eastAsia" w:hAnsi="宋体" w:cs="Arial"/>
          <w:sz w:val="24"/>
          <w:lang w:eastAsia="zh-CN"/>
        </w:rPr>
        <w:t>郗大兴、马辉借贷</w:t>
      </w:r>
      <w:r>
        <w:rPr>
          <w:rFonts w:hint="eastAsia" w:hAnsi="宋体" w:cs="Arial"/>
          <w:sz w:val="24"/>
        </w:rPr>
        <w:t>纠纷涉案的资产进行了评估，</w:t>
      </w:r>
      <w:r>
        <w:rPr>
          <w:rFonts w:hint="eastAsia"/>
          <w:sz w:val="24"/>
        </w:rPr>
        <w:t>资产评估机构评估人员按照必要的评估程序对委托评估的资产实施了实地查勘和市场调查与询证，对委估资产于评估基准日所表现的市场价值做出了公允反映</w:t>
      </w:r>
      <w:r>
        <w:rPr>
          <w:rFonts w:hint="eastAsia" w:hAnsi="宋体"/>
          <w:sz w:val="24"/>
          <w:szCs w:val="24"/>
        </w:rPr>
        <w:t>。</w:t>
      </w:r>
      <w:r>
        <w:rPr>
          <w:rFonts w:hint="eastAsia" w:hAnsi="宋体"/>
          <w:kern w:val="0"/>
          <w:sz w:val="24"/>
          <w:szCs w:val="24"/>
        </w:rPr>
        <w:t>现将评估报告主要内容摘要如下</w:t>
      </w:r>
      <w:r>
        <w:rPr>
          <w:rFonts w:hint="eastAsia" w:hAnsi="宋体"/>
          <w:sz w:val="24"/>
          <w:szCs w:val="24"/>
        </w:rPr>
        <w:t>：</w:t>
      </w:r>
    </w:p>
    <w:p>
      <w:pPr>
        <w:tabs>
          <w:tab w:val="left" w:pos="11988"/>
        </w:tabs>
        <w:spacing w:line="360" w:lineRule="auto"/>
        <w:ind w:firstLine="480" w:firstLineChars="200"/>
        <w:rPr>
          <w:rFonts w:hint="eastAsia" w:ascii="宋体" w:eastAsia="宋体" w:cs="Arial"/>
          <w:sz w:val="24"/>
          <w:lang w:eastAsia="zh-CN"/>
        </w:rPr>
      </w:pPr>
      <w:r>
        <w:rPr>
          <w:rFonts w:hint="eastAsia" w:ascii="宋体" w:hAnsi="宋体" w:cs="Arial"/>
          <w:sz w:val="24"/>
        </w:rPr>
        <w:t>一、委托方：</w:t>
      </w:r>
      <w:r>
        <w:rPr>
          <w:rFonts w:hint="eastAsia" w:ascii="宋体" w:hAnsi="宋体"/>
          <w:sz w:val="24"/>
          <w:lang w:eastAsia="zh-CN"/>
        </w:rPr>
        <w:t>辽源市西安区人民法院司法辅助办公室</w:t>
      </w:r>
    </w:p>
    <w:p>
      <w:pPr>
        <w:tabs>
          <w:tab w:val="left" w:pos="11988"/>
        </w:tabs>
        <w:spacing w:line="360" w:lineRule="auto"/>
        <w:ind w:firstLine="480" w:firstLineChars="200"/>
        <w:rPr>
          <w:rFonts w:hint="eastAsia" w:ascii="宋体" w:hAnsi="宋体" w:cs="Arial"/>
          <w:sz w:val="24"/>
          <w:lang w:eastAsia="zh-CN"/>
        </w:rPr>
      </w:pPr>
      <w:r>
        <w:rPr>
          <w:rFonts w:hint="eastAsia" w:ascii="宋体" w:hAnsi="宋体" w:cs="Arial"/>
          <w:sz w:val="24"/>
        </w:rPr>
        <w:t>二、被评估单位：</w:t>
      </w:r>
      <w:r>
        <w:rPr>
          <w:rFonts w:hint="eastAsia" w:ascii="宋体" w:hAnsi="宋体" w:cs="Arial"/>
          <w:sz w:val="24"/>
          <w:lang w:eastAsia="zh-CN"/>
        </w:rPr>
        <w:t>郗大兴、马辉</w:t>
      </w:r>
    </w:p>
    <w:p>
      <w:pPr>
        <w:tabs>
          <w:tab w:val="left" w:pos="11988"/>
        </w:tabs>
        <w:spacing w:line="360" w:lineRule="auto"/>
        <w:ind w:firstLine="480" w:firstLineChars="200"/>
        <w:rPr>
          <w:rFonts w:ascii="宋体"/>
          <w:sz w:val="24"/>
        </w:rPr>
      </w:pPr>
      <w:r>
        <w:rPr>
          <w:rFonts w:hint="eastAsia" w:ascii="宋体" w:hAnsi="宋体" w:cs="Arial"/>
          <w:sz w:val="24"/>
        </w:rPr>
        <w:t>三、评估目的：核实资产现值，为辽源市</w:t>
      </w:r>
      <w:r>
        <w:rPr>
          <w:rFonts w:hint="eastAsia" w:ascii="宋体" w:hAnsi="宋体" w:cs="Arial"/>
          <w:sz w:val="24"/>
          <w:lang w:eastAsia="zh-CN"/>
        </w:rPr>
        <w:t>西安区人民法院</w:t>
      </w:r>
      <w:r>
        <w:rPr>
          <w:rFonts w:hint="eastAsia" w:ascii="宋体" w:hAnsi="宋体" w:cs="Arial"/>
          <w:sz w:val="24"/>
        </w:rPr>
        <w:t>办案提供价值参考</w:t>
      </w:r>
      <w:r>
        <w:rPr>
          <w:rFonts w:hint="eastAsia" w:ascii="宋体" w:hAnsi="宋体"/>
          <w:sz w:val="24"/>
        </w:rPr>
        <w:t>。</w:t>
      </w:r>
    </w:p>
    <w:p>
      <w:pPr>
        <w:tabs>
          <w:tab w:val="left" w:pos="11988"/>
        </w:tabs>
        <w:spacing w:line="360" w:lineRule="auto"/>
        <w:ind w:firstLine="480" w:firstLineChars="200"/>
        <w:rPr>
          <w:rFonts w:ascii="宋体" w:cs="Arial"/>
          <w:sz w:val="24"/>
        </w:rPr>
      </w:pPr>
      <w:r>
        <w:rPr>
          <w:rFonts w:hint="eastAsia" w:ascii="宋体" w:hAnsi="宋体" w:cs="Arial"/>
          <w:sz w:val="24"/>
        </w:rPr>
        <w:t>四、评估对象和评估范围：</w:t>
      </w:r>
    </w:p>
    <w:p>
      <w:pPr>
        <w:tabs>
          <w:tab w:val="left" w:pos="11988"/>
        </w:tabs>
        <w:spacing w:line="360" w:lineRule="auto"/>
        <w:ind w:firstLine="480" w:firstLineChars="200"/>
        <w:rPr>
          <w:rFonts w:ascii="宋体"/>
          <w:sz w:val="24"/>
        </w:rPr>
      </w:pPr>
      <w:r>
        <w:rPr>
          <w:rFonts w:hint="eastAsia" w:ascii="宋体" w:hAnsi="宋体"/>
          <w:sz w:val="24"/>
        </w:rPr>
        <w:t>评估对象是</w:t>
      </w:r>
      <w:r>
        <w:rPr>
          <w:rFonts w:hint="eastAsia" w:hAnsi="宋体" w:cs="Arial"/>
          <w:sz w:val="24"/>
          <w:lang w:eastAsia="zh-CN"/>
        </w:rPr>
        <w:t>郗大兴、马辉</w:t>
      </w:r>
      <w:r>
        <w:rPr>
          <w:rFonts w:hint="eastAsia" w:ascii="宋体" w:hAnsi="宋体"/>
          <w:sz w:val="24"/>
        </w:rPr>
        <w:t>拥有的部分资产；评估范围为位于</w:t>
      </w:r>
      <w:r>
        <w:rPr>
          <w:rFonts w:hint="eastAsia" w:ascii="宋体" w:hAnsi="宋体"/>
          <w:sz w:val="24"/>
          <w:lang w:eastAsia="zh-CN"/>
        </w:rPr>
        <w:t>东艺春城</w:t>
      </w:r>
      <w:r>
        <w:rPr>
          <w:rFonts w:hint="eastAsia" w:ascii="宋体" w:hAnsi="宋体"/>
          <w:sz w:val="24"/>
          <w:lang w:val="en-US" w:eastAsia="zh-CN"/>
        </w:rPr>
        <w:t>18号楼11层1102室</w:t>
      </w:r>
      <w:r>
        <w:rPr>
          <w:rFonts w:hint="eastAsia" w:ascii="宋体" w:hAnsi="宋体"/>
          <w:sz w:val="24"/>
        </w:rPr>
        <w:t>住宅，建筑面积为</w:t>
      </w:r>
      <w:r>
        <w:rPr>
          <w:rFonts w:hint="eastAsia" w:ascii="宋体" w:hAnsi="宋体"/>
          <w:sz w:val="24"/>
          <w:lang w:val="en-US" w:eastAsia="zh-CN"/>
        </w:rPr>
        <w:t>166.12</w:t>
      </w:r>
      <w:r>
        <w:rPr>
          <w:rFonts w:hint="eastAsia" w:ascii="宋体" w:hAnsi="宋体"/>
          <w:sz w:val="24"/>
        </w:rPr>
        <w:t>平方米。</w:t>
      </w:r>
    </w:p>
    <w:p>
      <w:pPr>
        <w:tabs>
          <w:tab w:val="left" w:pos="11988"/>
        </w:tabs>
        <w:spacing w:line="360" w:lineRule="auto"/>
        <w:ind w:firstLine="480" w:firstLineChars="200"/>
        <w:rPr>
          <w:rFonts w:ascii="宋体" w:cs="Arial"/>
          <w:sz w:val="24"/>
        </w:rPr>
      </w:pPr>
      <w:r>
        <w:rPr>
          <w:rFonts w:hint="eastAsia" w:ascii="宋体" w:hAnsi="宋体" w:cs="Arial"/>
          <w:sz w:val="24"/>
        </w:rPr>
        <w:t>五、价值类型：市场价值</w:t>
      </w:r>
    </w:p>
    <w:p>
      <w:pPr>
        <w:tabs>
          <w:tab w:val="left" w:pos="11988"/>
        </w:tabs>
        <w:spacing w:line="360" w:lineRule="auto"/>
        <w:ind w:firstLine="480" w:firstLineChars="200"/>
        <w:rPr>
          <w:rFonts w:ascii="宋体" w:cs="Arial"/>
          <w:sz w:val="24"/>
        </w:rPr>
      </w:pPr>
      <w:r>
        <w:rPr>
          <w:rFonts w:hint="eastAsia" w:ascii="宋体" w:hAnsi="宋体" w:cs="Arial"/>
          <w:sz w:val="24"/>
        </w:rPr>
        <w:t>六、评估基准日：</w:t>
      </w:r>
      <w:r>
        <w:rPr>
          <w:rFonts w:ascii="宋体" w:hAnsi="宋体" w:cs="Arial"/>
          <w:sz w:val="24"/>
        </w:rPr>
        <w:t>2020</w:t>
      </w:r>
      <w:r>
        <w:rPr>
          <w:rFonts w:hint="eastAsia" w:ascii="宋体" w:hAnsi="宋体" w:cs="Arial"/>
          <w:sz w:val="24"/>
        </w:rPr>
        <w:t>年</w:t>
      </w:r>
      <w:r>
        <w:rPr>
          <w:rFonts w:hint="eastAsia" w:ascii="宋体" w:hAnsi="宋体" w:cs="Arial"/>
          <w:sz w:val="24"/>
          <w:lang w:eastAsia="zh-CN"/>
        </w:rPr>
        <w:t>09月28日</w:t>
      </w:r>
      <w:r>
        <w:rPr>
          <w:rFonts w:hint="eastAsia" w:ascii="宋体" w:hAnsi="宋体" w:cs="Arial"/>
          <w:sz w:val="24"/>
        </w:rPr>
        <w:t>。</w:t>
      </w:r>
    </w:p>
    <w:p>
      <w:pPr>
        <w:tabs>
          <w:tab w:val="left" w:pos="11988"/>
        </w:tabs>
        <w:spacing w:line="360" w:lineRule="auto"/>
        <w:ind w:firstLine="480" w:firstLineChars="200"/>
        <w:rPr>
          <w:rFonts w:ascii="宋体" w:cs="Arial"/>
          <w:sz w:val="24"/>
        </w:rPr>
      </w:pPr>
      <w:r>
        <w:rPr>
          <w:rFonts w:hint="eastAsia" w:ascii="宋体" w:hAnsi="宋体" w:cs="Arial"/>
          <w:sz w:val="24"/>
        </w:rPr>
        <w:t>七、评估方法：市场法</w:t>
      </w:r>
      <w:r>
        <w:rPr>
          <w:rFonts w:hint="eastAsia" w:ascii="宋体" w:hAnsi="宋体"/>
          <w:sz w:val="24"/>
        </w:rPr>
        <w:t>。</w:t>
      </w:r>
    </w:p>
    <w:p>
      <w:pPr>
        <w:tabs>
          <w:tab w:val="left" w:pos="11988"/>
        </w:tabs>
        <w:spacing w:line="360" w:lineRule="auto"/>
        <w:ind w:firstLine="480" w:firstLineChars="200"/>
        <w:rPr>
          <w:rFonts w:ascii="宋体" w:cs="Arial"/>
          <w:sz w:val="24"/>
        </w:rPr>
      </w:pPr>
      <w:r>
        <w:rPr>
          <w:rFonts w:hint="eastAsia" w:ascii="宋体" w:hAnsi="宋体" w:cs="Arial"/>
          <w:sz w:val="24"/>
        </w:rPr>
        <w:t>八、评估结论</w:t>
      </w:r>
      <w:bookmarkStart w:id="10" w:name="_Toc450637008"/>
    </w:p>
    <w:bookmarkEnd w:id="10"/>
    <w:p>
      <w:pPr>
        <w:tabs>
          <w:tab w:val="left" w:pos="0"/>
          <w:tab w:val="left" w:pos="11988"/>
        </w:tabs>
        <w:spacing w:line="360" w:lineRule="auto"/>
        <w:ind w:firstLine="480" w:firstLineChars="200"/>
        <w:rPr>
          <w:rFonts w:ascii="宋体" w:cs="Arial"/>
          <w:sz w:val="24"/>
        </w:rPr>
      </w:pPr>
      <w:bookmarkStart w:id="11" w:name="OLE_LINK3"/>
      <w:r>
        <w:rPr>
          <w:rFonts w:hint="eastAsia" w:ascii="宋体" w:hAnsi="宋体"/>
          <w:sz w:val="24"/>
        </w:rPr>
        <w:t>委估资产的评估价值</w:t>
      </w:r>
      <w:r>
        <w:rPr>
          <w:rFonts w:hint="eastAsia" w:ascii="宋体" w:hAnsi="宋体"/>
          <w:sz w:val="24"/>
          <w:lang w:val="en-US" w:eastAsia="zh-CN"/>
        </w:rPr>
        <w:t>1,196,064.00</w:t>
      </w:r>
      <w:r>
        <w:rPr>
          <w:rFonts w:hint="eastAsia" w:ascii="宋体" w:hAnsi="宋体"/>
          <w:sz w:val="24"/>
        </w:rPr>
        <w:t>元；大写人民币</w:t>
      </w:r>
      <w:bookmarkEnd w:id="11"/>
      <w:r>
        <w:rPr>
          <w:rFonts w:hint="eastAsia" w:ascii="宋体" w:hAnsi="宋体"/>
          <w:sz w:val="24"/>
          <w:lang w:eastAsia="zh-CN"/>
        </w:rPr>
        <w:t>壹佰壹拾玖万陆仟零陆拾肆元整</w:t>
      </w:r>
      <w:r>
        <w:rPr>
          <w:rFonts w:hint="eastAsia" w:ascii="宋体" w:hAnsi="宋体"/>
          <w:sz w:val="24"/>
        </w:rPr>
        <w:t>。</w:t>
      </w:r>
    </w:p>
    <w:p>
      <w:pPr>
        <w:pStyle w:val="8"/>
        <w:tabs>
          <w:tab w:val="left" w:pos="0"/>
        </w:tabs>
        <w:ind w:firstLine="480" w:firstLineChars="200"/>
        <w:jc w:val="both"/>
        <w:rPr>
          <w:rFonts w:ascii="宋体" w:hAnsi="宋体" w:eastAsia="宋体" w:cs="Arial"/>
          <w:sz w:val="24"/>
          <w:szCs w:val="24"/>
        </w:rPr>
      </w:pPr>
      <w:r>
        <w:rPr>
          <w:rFonts w:hint="eastAsia" w:ascii="宋体" w:hAnsi="宋体" w:eastAsia="宋体" w:cs="Arial"/>
          <w:sz w:val="24"/>
          <w:szCs w:val="24"/>
        </w:rPr>
        <w:t>九、特别事项说明</w:t>
      </w:r>
    </w:p>
    <w:p>
      <w:pPr>
        <w:pStyle w:val="8"/>
        <w:ind w:firstLine="480" w:firstLineChars="200"/>
        <w:jc w:val="both"/>
        <w:rPr>
          <w:rFonts w:ascii="宋体" w:hAnsi="宋体" w:eastAsia="宋体"/>
          <w:sz w:val="24"/>
        </w:rPr>
      </w:pPr>
      <w:r>
        <w:rPr>
          <w:rFonts w:hint="eastAsia" w:ascii="宋体" w:hAnsi="宋体" w:eastAsia="宋体"/>
          <w:sz w:val="24"/>
          <w:szCs w:val="24"/>
        </w:rPr>
        <w:t>本次评估其产权及行为依据为</w:t>
      </w:r>
      <w:r>
        <w:rPr>
          <w:rFonts w:hint="eastAsia" w:ascii="宋体" w:hAnsi="宋体" w:eastAsia="宋体"/>
          <w:sz w:val="24"/>
        </w:rPr>
        <w:t>委托方提供的</w:t>
      </w:r>
      <w:r>
        <w:rPr>
          <w:rFonts w:hint="eastAsia" w:ascii="宋体" w:hAnsi="宋体" w:eastAsia="宋体"/>
          <w:sz w:val="24"/>
          <w:szCs w:val="24"/>
          <w:lang w:eastAsia="zh-CN"/>
        </w:rPr>
        <w:t>辽源市西安区</w:t>
      </w:r>
      <w:r>
        <w:rPr>
          <w:rFonts w:hint="eastAsia" w:ascii="宋体" w:hAnsi="宋体" w:eastAsia="宋体"/>
          <w:sz w:val="24"/>
          <w:szCs w:val="24"/>
        </w:rPr>
        <w:t>人民法院司法辅助办公室司法鉴定委托书（</w:t>
      </w:r>
      <w:r>
        <w:rPr>
          <w:rFonts w:hint="eastAsia" w:ascii="宋体" w:hAnsi="宋体" w:eastAsia="宋体"/>
          <w:sz w:val="24"/>
          <w:szCs w:val="24"/>
          <w:lang w:val="en-US" w:eastAsia="zh-CN"/>
        </w:rPr>
        <w:t>2020</w:t>
      </w:r>
      <w:r>
        <w:rPr>
          <w:rFonts w:hint="eastAsia" w:ascii="宋体" w:hAnsi="宋体" w:eastAsia="宋体"/>
          <w:sz w:val="24"/>
          <w:szCs w:val="24"/>
        </w:rPr>
        <w:t>）吉</w:t>
      </w:r>
      <w:r>
        <w:rPr>
          <w:rFonts w:ascii="宋体" w:hAnsi="宋体" w:eastAsia="宋体"/>
          <w:sz w:val="24"/>
          <w:szCs w:val="24"/>
        </w:rPr>
        <w:t>040</w:t>
      </w:r>
      <w:r>
        <w:rPr>
          <w:rFonts w:hint="eastAsia" w:ascii="宋体" w:hAnsi="宋体" w:eastAsia="宋体"/>
          <w:sz w:val="24"/>
          <w:szCs w:val="24"/>
          <w:lang w:val="en-US" w:eastAsia="zh-CN"/>
        </w:rPr>
        <w:t>3法司鉴17</w:t>
      </w:r>
      <w:r>
        <w:rPr>
          <w:rFonts w:hint="eastAsia" w:ascii="宋体" w:hAnsi="宋体" w:eastAsia="宋体"/>
          <w:sz w:val="24"/>
          <w:szCs w:val="24"/>
        </w:rPr>
        <w:t>号、</w:t>
      </w:r>
      <w:r>
        <w:rPr>
          <w:rFonts w:hint="eastAsia" w:ascii="宋体" w:hAnsi="宋体" w:eastAsia="宋体"/>
          <w:sz w:val="24"/>
          <w:szCs w:val="24"/>
          <w:lang w:eastAsia="zh-CN"/>
        </w:rPr>
        <w:t>辽源市西安区</w:t>
      </w:r>
      <w:r>
        <w:rPr>
          <w:rFonts w:hint="eastAsia" w:ascii="宋体" w:hAnsi="宋体" w:eastAsia="宋体"/>
          <w:sz w:val="24"/>
          <w:szCs w:val="24"/>
        </w:rPr>
        <w:t>人民法院</w:t>
      </w:r>
      <w:r>
        <w:rPr>
          <w:rFonts w:hint="eastAsia" w:ascii="宋体" w:hAnsi="宋体" w:eastAsia="宋体"/>
          <w:sz w:val="24"/>
          <w:szCs w:val="24"/>
          <w:lang w:eastAsia="zh-CN"/>
        </w:rPr>
        <w:t>司法辅助办公室鉴定参与人资格审查函</w:t>
      </w:r>
      <w:r>
        <w:rPr>
          <w:rFonts w:hint="eastAsia" w:ascii="宋体" w:hAnsi="宋体" w:eastAsia="宋体"/>
          <w:sz w:val="24"/>
          <w:szCs w:val="24"/>
        </w:rPr>
        <w:t>、</w:t>
      </w:r>
      <w:r>
        <w:rPr>
          <w:rFonts w:hint="eastAsia" w:ascii="宋体" w:hAnsi="宋体" w:eastAsia="宋体"/>
          <w:sz w:val="24"/>
          <w:szCs w:val="24"/>
          <w:lang w:eastAsia="zh-CN"/>
        </w:rPr>
        <w:t>不动产查询结果证明复印件及东艺春城商品房认购书</w:t>
      </w:r>
      <w:r>
        <w:rPr>
          <w:rFonts w:hint="eastAsia" w:ascii="宋体" w:hAnsi="宋体" w:eastAsia="宋体"/>
          <w:sz w:val="24"/>
          <w:szCs w:val="24"/>
        </w:rPr>
        <w:t>等。</w:t>
      </w:r>
      <w:r>
        <w:rPr>
          <w:rFonts w:hint="eastAsia" w:ascii="宋体" w:hAnsi="宋体" w:eastAsia="宋体" w:cs="宋体"/>
          <w:sz w:val="24"/>
        </w:rPr>
        <w:t>本</w:t>
      </w:r>
      <w:r>
        <w:rPr>
          <w:rFonts w:hint="eastAsia" w:ascii="宋体" w:hAnsi="宋体" w:eastAsia="宋体"/>
          <w:spacing w:val="4"/>
          <w:sz w:val="24"/>
          <w:szCs w:val="24"/>
        </w:rPr>
        <w:t>次评估</w:t>
      </w:r>
      <w:r>
        <w:rPr>
          <w:rFonts w:hint="eastAsia" w:ascii="宋体" w:hAnsi="宋体" w:eastAsia="宋体"/>
          <w:sz w:val="24"/>
        </w:rPr>
        <w:t>涉案房屋的相关产权信息参见委托方提供的由辽源市不动产登记中心出具的不动产查询结果证明复印件</w:t>
      </w:r>
      <w:r>
        <w:rPr>
          <w:rFonts w:hint="eastAsia" w:ascii="宋体" w:hAnsi="宋体" w:eastAsia="宋体"/>
          <w:sz w:val="24"/>
          <w:lang w:eastAsia="zh-CN"/>
        </w:rPr>
        <w:t>。根据委托方提供的东艺春城商品房认购书复印件，确定房屋产权人为马辉。</w:t>
      </w:r>
      <w:r>
        <w:rPr>
          <w:rFonts w:hint="eastAsia" w:ascii="宋体" w:hAnsi="宋体" w:eastAsia="宋体"/>
          <w:sz w:val="24"/>
        </w:rPr>
        <w:t>于现场勘察日，被申请人未到现场配合现场踏勘，涉案资产位置信息均由申请人配合确认</w:t>
      </w:r>
      <w:r>
        <w:rPr>
          <w:rFonts w:hint="eastAsia" w:ascii="宋体" w:hAnsi="宋体" w:eastAsia="宋体"/>
          <w:sz w:val="24"/>
          <w:lang w:eastAsia="zh-CN"/>
        </w:rPr>
        <w:t>。</w:t>
      </w:r>
      <w:r>
        <w:rPr>
          <w:rFonts w:hint="eastAsia" w:ascii="宋体" w:hAnsi="宋体" w:eastAsia="宋体" w:cs="宋体"/>
          <w:sz w:val="24"/>
        </w:rPr>
        <w:t>本次评估房屋建筑物的价值为房地合一价值；</w:t>
      </w:r>
      <w:r>
        <w:rPr>
          <w:rFonts w:hint="eastAsia" w:ascii="宋体" w:hAnsi="宋体" w:eastAsia="宋体"/>
          <w:spacing w:val="4"/>
          <w:sz w:val="24"/>
        </w:rPr>
        <w:t>对以上事项评估师提示报告使用者给予充分关注，</w:t>
      </w:r>
      <w:r>
        <w:rPr>
          <w:rFonts w:hint="eastAsia" w:ascii="宋体" w:hAnsi="宋体" w:eastAsia="宋体"/>
          <w:sz w:val="24"/>
        </w:rPr>
        <w:t>如果相关报告使用者对资产评估价值内含理解有误或对本评估报告评估结果使用不当造成的损失，评估机构及评估人员不承担相应责任</w:t>
      </w:r>
      <w:r>
        <w:rPr>
          <w:rFonts w:hint="eastAsia" w:ascii="宋体" w:hAnsi="宋体" w:eastAsia="宋体"/>
          <w:sz w:val="24"/>
          <w:szCs w:val="24"/>
        </w:rPr>
        <w:t>。</w:t>
      </w:r>
      <w:r>
        <w:rPr>
          <w:rFonts w:hint="eastAsia" w:ascii="宋体" w:hAnsi="宋体" w:eastAsia="宋体"/>
          <w:spacing w:val="4"/>
          <w:sz w:val="24"/>
          <w:szCs w:val="24"/>
        </w:rPr>
        <w:t>评估师只限于目前状况对委估资产发表估价意见，如因资产产权情况而发生的其他争议，评估师及评估机构不承担相应责任</w:t>
      </w:r>
      <w:r>
        <w:rPr>
          <w:rFonts w:hint="eastAsia" w:ascii="宋体" w:hAnsi="宋体" w:eastAsia="宋体"/>
          <w:sz w:val="24"/>
          <w:szCs w:val="24"/>
        </w:rPr>
        <w:t>。</w:t>
      </w:r>
      <w:r>
        <w:rPr>
          <w:rFonts w:hint="eastAsia" w:ascii="宋体" w:hAnsi="宋体" w:eastAsia="宋体"/>
          <w:spacing w:val="4"/>
          <w:sz w:val="24"/>
          <w:szCs w:val="24"/>
        </w:rPr>
        <w:t>如相关报告使用者需要其提供相关证明，应向其产权持有者索取</w:t>
      </w:r>
      <w:r>
        <w:rPr>
          <w:rFonts w:hint="eastAsia" w:ascii="宋体" w:hAnsi="宋体" w:eastAsia="宋体"/>
          <w:sz w:val="24"/>
          <w:szCs w:val="24"/>
        </w:rPr>
        <w:t>。</w:t>
      </w:r>
    </w:p>
    <w:p>
      <w:pPr>
        <w:pStyle w:val="8"/>
        <w:ind w:firstLine="480" w:firstLineChars="200"/>
        <w:jc w:val="both"/>
        <w:rPr>
          <w:rFonts w:ascii="宋体" w:hAnsi="宋体" w:eastAsia="宋体" w:cs="Arial"/>
          <w:sz w:val="24"/>
          <w:szCs w:val="24"/>
        </w:rPr>
      </w:pPr>
      <w:r>
        <w:rPr>
          <w:rFonts w:hint="eastAsia" w:ascii="宋体" w:hAnsi="宋体" w:eastAsia="宋体" w:cs="Arial"/>
          <w:sz w:val="24"/>
          <w:szCs w:val="24"/>
        </w:rPr>
        <w:t>十、评估结论使用有效期</w:t>
      </w:r>
    </w:p>
    <w:p>
      <w:pPr>
        <w:tabs>
          <w:tab w:val="left" w:pos="0"/>
          <w:tab w:val="left" w:pos="11988"/>
        </w:tabs>
        <w:spacing w:line="360" w:lineRule="auto"/>
        <w:ind w:firstLine="480" w:firstLineChars="200"/>
        <w:rPr>
          <w:rFonts w:ascii="宋体" w:cs="Arial"/>
          <w:sz w:val="24"/>
        </w:rPr>
      </w:pPr>
      <w:r>
        <w:rPr>
          <w:rFonts w:hint="eastAsia" w:ascii="宋体" w:hAnsi="宋体"/>
          <w:sz w:val="24"/>
        </w:rPr>
        <w:t>评估结论仅在评估报告载明的评估基准日成立。评估结论的使用期限应根据评估基准日后的资产状况和市场变化情况来确定，原则上为评估基准日起一年内，即</w:t>
      </w:r>
      <w:r>
        <w:rPr>
          <w:rFonts w:ascii="宋体" w:hAnsi="宋体"/>
          <w:sz w:val="24"/>
        </w:rPr>
        <w:t>2020</w:t>
      </w:r>
      <w:r>
        <w:rPr>
          <w:rFonts w:hint="eastAsia" w:ascii="宋体" w:hAnsi="宋体"/>
          <w:sz w:val="24"/>
        </w:rPr>
        <w:t>年</w:t>
      </w:r>
      <w:r>
        <w:rPr>
          <w:rFonts w:hint="eastAsia" w:ascii="宋体" w:hAnsi="宋体"/>
          <w:sz w:val="24"/>
          <w:lang w:eastAsia="zh-CN"/>
        </w:rPr>
        <w:t>09月28日</w:t>
      </w:r>
      <w:r>
        <w:rPr>
          <w:rFonts w:hint="eastAsia" w:ascii="宋体" w:hAnsi="宋体"/>
          <w:sz w:val="24"/>
        </w:rPr>
        <w:t>至</w:t>
      </w:r>
      <w:r>
        <w:rPr>
          <w:rFonts w:ascii="宋体" w:hAnsi="宋体" w:cs="Arial"/>
          <w:sz w:val="24"/>
        </w:rPr>
        <w:t>2021</w:t>
      </w:r>
      <w:r>
        <w:rPr>
          <w:rFonts w:hint="eastAsia" w:ascii="宋体" w:hAnsi="宋体" w:cs="Arial"/>
          <w:sz w:val="24"/>
        </w:rPr>
        <w:t>年</w:t>
      </w:r>
      <w:r>
        <w:rPr>
          <w:rFonts w:hint="eastAsia" w:ascii="宋体" w:hAnsi="宋体" w:cs="Arial"/>
          <w:sz w:val="24"/>
          <w:lang w:val="en-US" w:eastAsia="zh-CN"/>
        </w:rPr>
        <w:t>09</w:t>
      </w:r>
      <w:r>
        <w:rPr>
          <w:rFonts w:hint="eastAsia" w:ascii="宋体" w:hAnsi="宋体" w:cs="Arial"/>
          <w:sz w:val="24"/>
        </w:rPr>
        <w:t>月</w:t>
      </w:r>
      <w:r>
        <w:rPr>
          <w:rFonts w:hint="eastAsia" w:ascii="宋体" w:hAnsi="宋体" w:cs="Arial"/>
          <w:sz w:val="24"/>
          <w:lang w:val="en-US" w:eastAsia="zh-CN"/>
        </w:rPr>
        <w:t>27</w:t>
      </w:r>
      <w:r>
        <w:rPr>
          <w:rFonts w:hint="eastAsia" w:ascii="宋体" w:hAnsi="宋体" w:cs="Arial"/>
          <w:sz w:val="24"/>
        </w:rPr>
        <w:t>日。</w:t>
      </w:r>
    </w:p>
    <w:p>
      <w:pPr>
        <w:tabs>
          <w:tab w:val="left" w:pos="0"/>
          <w:tab w:val="left" w:pos="11988"/>
        </w:tabs>
        <w:spacing w:line="360" w:lineRule="auto"/>
        <w:ind w:firstLine="480" w:firstLineChars="200"/>
        <w:rPr>
          <w:rFonts w:ascii="宋体"/>
          <w:sz w:val="24"/>
        </w:rPr>
      </w:pPr>
      <w:r>
        <w:rPr>
          <w:rFonts w:hint="eastAsia"/>
          <w:sz w:val="24"/>
        </w:rPr>
        <w:t>十一、评估报告日：</w:t>
      </w:r>
      <w:r>
        <w:rPr>
          <w:rFonts w:ascii="宋体" w:hAnsi="宋体"/>
          <w:sz w:val="24"/>
        </w:rPr>
        <w:t>2020</w:t>
      </w:r>
      <w:r>
        <w:rPr>
          <w:rFonts w:hint="eastAsia" w:ascii="宋体" w:hAnsi="宋体"/>
          <w:sz w:val="24"/>
        </w:rPr>
        <w:t>年</w:t>
      </w:r>
      <w:r>
        <w:rPr>
          <w:rFonts w:hint="eastAsia" w:ascii="宋体" w:hAnsi="宋体"/>
          <w:sz w:val="24"/>
          <w:lang w:val="en-US" w:eastAsia="zh-CN"/>
        </w:rPr>
        <w:t>10</w:t>
      </w:r>
      <w:r>
        <w:rPr>
          <w:rFonts w:hint="eastAsia" w:ascii="宋体" w:hAnsi="宋体"/>
          <w:sz w:val="24"/>
        </w:rPr>
        <w:t>月</w:t>
      </w:r>
      <w:r>
        <w:rPr>
          <w:rFonts w:ascii="宋体" w:hAnsi="宋体"/>
          <w:sz w:val="24"/>
        </w:rPr>
        <w:t>21</w:t>
      </w:r>
      <w:r>
        <w:rPr>
          <w:rFonts w:hint="eastAsia" w:ascii="宋体" w:hAnsi="宋体"/>
          <w:sz w:val="24"/>
        </w:rPr>
        <w:t>日</w:t>
      </w:r>
      <w:r>
        <w:rPr>
          <w:rFonts w:ascii="宋体" w:hAnsi="宋体"/>
          <w:sz w:val="24"/>
        </w:rPr>
        <w:t xml:space="preserve"> </w:t>
      </w:r>
    </w:p>
    <w:p>
      <w:pPr>
        <w:pStyle w:val="8"/>
        <w:tabs>
          <w:tab w:val="left" w:pos="0"/>
        </w:tabs>
        <w:ind w:firstLine="482" w:firstLineChars="200"/>
        <w:jc w:val="both"/>
        <w:rPr>
          <w:rFonts w:ascii="宋体" w:hAnsi="宋体" w:eastAsia="宋体"/>
          <w:b/>
          <w:sz w:val="24"/>
          <w:szCs w:val="24"/>
        </w:rPr>
      </w:pPr>
      <w:r>
        <w:rPr>
          <w:rFonts w:hint="eastAsia" w:ascii="宋体" w:hAnsi="宋体" w:eastAsia="宋体"/>
          <w:b/>
          <w:sz w:val="24"/>
          <w:szCs w:val="24"/>
        </w:rPr>
        <w:t>以上内容摘自评估报告正文，欲了解本评估项目的详细情况和合理理解评估结论，应当阅读评估报告正文。</w:t>
      </w:r>
    </w:p>
    <w:p>
      <w:pPr>
        <w:pStyle w:val="8"/>
        <w:tabs>
          <w:tab w:val="left" w:pos="0"/>
        </w:tabs>
        <w:ind w:firstLine="482" w:firstLineChars="200"/>
        <w:rPr>
          <w:rFonts w:ascii="宋体" w:hAnsi="宋体" w:eastAsia="宋体"/>
          <w:b/>
          <w:sz w:val="24"/>
          <w:szCs w:val="24"/>
        </w:rPr>
      </w:pPr>
    </w:p>
    <w:p>
      <w:pPr>
        <w:pStyle w:val="8"/>
        <w:tabs>
          <w:tab w:val="left" w:pos="0"/>
        </w:tabs>
        <w:ind w:firstLine="482" w:firstLineChars="200"/>
        <w:rPr>
          <w:rFonts w:ascii="宋体" w:hAnsi="宋体" w:eastAsia="宋体"/>
          <w:b/>
          <w:sz w:val="24"/>
          <w:szCs w:val="24"/>
        </w:rPr>
      </w:pPr>
    </w:p>
    <w:p>
      <w:pPr>
        <w:pStyle w:val="8"/>
        <w:tabs>
          <w:tab w:val="left" w:pos="0"/>
        </w:tabs>
        <w:ind w:firstLine="482" w:firstLineChars="200"/>
        <w:rPr>
          <w:rFonts w:ascii="宋体" w:hAnsi="宋体" w:eastAsia="宋体"/>
          <w:b/>
          <w:sz w:val="24"/>
          <w:szCs w:val="24"/>
        </w:rPr>
      </w:pPr>
    </w:p>
    <w:p>
      <w:pPr>
        <w:pStyle w:val="8"/>
        <w:tabs>
          <w:tab w:val="left" w:pos="0"/>
        </w:tabs>
        <w:ind w:firstLine="482" w:firstLineChars="200"/>
        <w:rPr>
          <w:rFonts w:ascii="宋体" w:hAnsi="宋体" w:eastAsia="宋体"/>
          <w:b/>
          <w:sz w:val="24"/>
          <w:szCs w:val="24"/>
        </w:rPr>
      </w:pPr>
    </w:p>
    <w:p>
      <w:pPr>
        <w:pStyle w:val="8"/>
        <w:tabs>
          <w:tab w:val="left" w:pos="0"/>
        </w:tabs>
        <w:ind w:firstLine="482" w:firstLineChars="200"/>
        <w:rPr>
          <w:rFonts w:ascii="宋体" w:hAnsi="宋体" w:eastAsia="宋体"/>
          <w:b/>
          <w:sz w:val="24"/>
          <w:szCs w:val="24"/>
        </w:rPr>
      </w:pPr>
    </w:p>
    <w:p>
      <w:pPr>
        <w:pStyle w:val="8"/>
        <w:tabs>
          <w:tab w:val="left" w:pos="0"/>
        </w:tabs>
        <w:ind w:left="0" w:leftChars="0" w:firstLine="0" w:firstLineChars="0"/>
        <w:rPr>
          <w:rFonts w:ascii="宋体" w:hAnsi="宋体" w:eastAsia="宋体"/>
          <w:b/>
          <w:sz w:val="24"/>
          <w:szCs w:val="24"/>
        </w:rPr>
      </w:pPr>
    </w:p>
    <w:p>
      <w:pPr>
        <w:pStyle w:val="8"/>
        <w:tabs>
          <w:tab w:val="left" w:pos="0"/>
        </w:tabs>
        <w:ind w:left="0" w:leftChars="0" w:firstLine="0" w:firstLineChars="0"/>
        <w:rPr>
          <w:rFonts w:ascii="宋体" w:hAnsi="宋体" w:eastAsia="宋体"/>
          <w:b/>
          <w:sz w:val="24"/>
          <w:szCs w:val="24"/>
        </w:rPr>
      </w:pPr>
    </w:p>
    <w:p>
      <w:pPr>
        <w:pStyle w:val="8"/>
        <w:tabs>
          <w:tab w:val="left" w:pos="0"/>
        </w:tabs>
        <w:ind w:firstLine="482" w:firstLineChars="200"/>
        <w:rPr>
          <w:rFonts w:ascii="宋体" w:hAnsi="宋体" w:eastAsia="宋体"/>
          <w:b/>
          <w:sz w:val="24"/>
          <w:szCs w:val="24"/>
        </w:rPr>
      </w:pPr>
    </w:p>
    <w:p>
      <w:pPr>
        <w:pStyle w:val="8"/>
        <w:tabs>
          <w:tab w:val="left" w:pos="0"/>
        </w:tabs>
        <w:ind w:firstLine="482" w:firstLineChars="200"/>
        <w:rPr>
          <w:rFonts w:ascii="宋体" w:hAnsi="宋体" w:eastAsia="宋体"/>
          <w:b/>
          <w:sz w:val="24"/>
          <w:szCs w:val="24"/>
        </w:rPr>
      </w:pPr>
    </w:p>
    <w:p>
      <w:pPr>
        <w:pStyle w:val="15"/>
        <w:tabs>
          <w:tab w:val="left" w:pos="3060"/>
        </w:tabs>
        <w:adjustRightInd/>
        <w:spacing w:after="0"/>
        <w:ind w:right="0" w:firstLine="0"/>
        <w:jc w:val="center"/>
        <w:textAlignment w:val="top"/>
        <w:rPr>
          <w:rFonts w:hint="eastAsia" w:hAnsi="宋体" w:eastAsia="宋体"/>
          <w:b/>
          <w:sz w:val="24"/>
          <w:szCs w:val="24"/>
          <w:lang w:eastAsia="zh-CN"/>
        </w:rPr>
      </w:pPr>
      <w:r>
        <w:rPr>
          <w:rFonts w:hAnsi="宋体"/>
          <w:b/>
          <w:sz w:val="24"/>
          <w:szCs w:val="24"/>
        </w:rPr>
        <w:t xml:space="preserve">                        </w:t>
      </w:r>
      <w:r>
        <w:rPr>
          <w:rFonts w:hint="eastAsia" w:hAnsi="宋体"/>
          <w:b/>
          <w:sz w:val="24"/>
          <w:szCs w:val="24"/>
          <w:lang w:eastAsia="zh-CN"/>
        </w:rPr>
        <w:t>吉林长城资产评估有限责任公司</w:t>
      </w:r>
    </w:p>
    <w:p>
      <w:pPr>
        <w:pStyle w:val="15"/>
        <w:adjustRightInd/>
        <w:spacing w:after="0"/>
        <w:ind w:right="0" w:firstLine="0"/>
        <w:jc w:val="center"/>
        <w:textAlignment w:val="top"/>
        <w:rPr>
          <w:rFonts w:hAnsi="宋体"/>
          <w:b/>
          <w:bCs/>
          <w:sz w:val="24"/>
          <w:szCs w:val="24"/>
        </w:rPr>
      </w:pPr>
      <w:r>
        <w:rPr>
          <w:rFonts w:hAnsi="宋体"/>
          <w:sz w:val="24"/>
          <w:szCs w:val="24"/>
        </w:rPr>
        <w:t xml:space="preserve">                        </w:t>
      </w:r>
      <w:r>
        <w:rPr>
          <w:rFonts w:hAnsi="宋体"/>
          <w:b/>
          <w:sz w:val="24"/>
          <w:szCs w:val="24"/>
        </w:rPr>
        <w:t xml:space="preserve">  </w:t>
      </w:r>
      <w:r>
        <w:rPr>
          <w:rFonts w:hAnsi="宋体"/>
          <w:b/>
          <w:sz w:val="24"/>
        </w:rPr>
        <w:t>2020</w:t>
      </w:r>
      <w:r>
        <w:rPr>
          <w:rFonts w:hint="eastAsia" w:hAnsi="宋体"/>
          <w:b/>
          <w:sz w:val="24"/>
        </w:rPr>
        <w:t>年</w:t>
      </w:r>
      <w:r>
        <w:rPr>
          <w:rFonts w:hint="eastAsia" w:hAnsi="宋体"/>
          <w:b/>
          <w:sz w:val="24"/>
          <w:lang w:val="en-US" w:eastAsia="zh-CN"/>
        </w:rPr>
        <w:t>10</w:t>
      </w:r>
      <w:r>
        <w:rPr>
          <w:rFonts w:hint="eastAsia" w:hAnsi="宋体"/>
          <w:b/>
          <w:sz w:val="24"/>
        </w:rPr>
        <w:t>月</w:t>
      </w:r>
      <w:r>
        <w:rPr>
          <w:rFonts w:hAnsi="宋体"/>
          <w:b/>
          <w:sz w:val="24"/>
        </w:rPr>
        <w:t>21</w:t>
      </w:r>
      <w:r>
        <w:rPr>
          <w:rFonts w:hint="eastAsia" w:hAnsi="宋体"/>
          <w:b/>
          <w:sz w:val="24"/>
        </w:rPr>
        <w:t>日</w:t>
      </w:r>
    </w:p>
    <w:p>
      <w:pPr>
        <w:pStyle w:val="15"/>
        <w:adjustRightInd/>
        <w:spacing w:after="0" w:line="240" w:lineRule="auto"/>
        <w:ind w:right="-340" w:rightChars="-162" w:firstLine="0"/>
        <w:textAlignment w:val="top"/>
        <w:rPr>
          <w:rFonts w:ascii="黑体" w:hAnsi="黑体" w:eastAsia="黑体" w:cs="黑体"/>
          <w:b/>
          <w:sz w:val="21"/>
          <w:szCs w:val="21"/>
        </w:rPr>
      </w:pPr>
    </w:p>
    <w:p>
      <w:pPr>
        <w:pStyle w:val="15"/>
        <w:adjustRightInd/>
        <w:spacing w:after="0" w:line="240" w:lineRule="auto"/>
        <w:ind w:right="-340" w:rightChars="-162" w:firstLine="0"/>
        <w:textAlignment w:val="top"/>
        <w:rPr>
          <w:rFonts w:ascii="黑体" w:hAnsi="黑体" w:eastAsia="黑体" w:cs="黑体"/>
          <w:b/>
          <w:sz w:val="21"/>
          <w:szCs w:val="21"/>
        </w:rPr>
      </w:pPr>
    </w:p>
    <w:p>
      <w:pPr>
        <w:pStyle w:val="15"/>
        <w:adjustRightInd/>
        <w:spacing w:after="0" w:line="240" w:lineRule="auto"/>
        <w:ind w:right="-340" w:rightChars="-162" w:firstLine="0"/>
        <w:textAlignment w:val="top"/>
        <w:rPr>
          <w:rFonts w:ascii="黑体" w:hAnsi="黑体" w:eastAsia="黑体" w:cs="黑体"/>
          <w:b/>
          <w:sz w:val="21"/>
          <w:szCs w:val="21"/>
        </w:rPr>
      </w:pPr>
    </w:p>
    <w:p>
      <w:pPr>
        <w:pStyle w:val="15"/>
        <w:adjustRightInd/>
        <w:spacing w:after="0" w:line="240" w:lineRule="auto"/>
        <w:ind w:right="-340" w:rightChars="-162" w:firstLine="2772" w:firstLineChars="863"/>
        <w:textAlignment w:val="top"/>
        <w:rPr>
          <w:rFonts w:ascii="黑体" w:hAnsi="黑体" w:eastAsia="黑体" w:cs="宋体"/>
          <w:b/>
          <w:sz w:val="32"/>
          <w:szCs w:val="32"/>
        </w:rPr>
      </w:pPr>
    </w:p>
    <w:p>
      <w:pPr>
        <w:pStyle w:val="15"/>
        <w:adjustRightInd/>
        <w:spacing w:after="0" w:line="240" w:lineRule="auto"/>
        <w:ind w:right="0" w:firstLine="0"/>
        <w:jc w:val="center"/>
        <w:textAlignment w:val="top"/>
        <w:rPr>
          <w:rFonts w:ascii="黑体" w:hAnsi="黑体" w:eastAsia="黑体" w:cs="宋体"/>
          <w:b/>
          <w:sz w:val="36"/>
          <w:szCs w:val="36"/>
        </w:rPr>
      </w:pPr>
      <w:r>
        <w:rPr>
          <w:rFonts w:hint="eastAsia" w:ascii="黑体" w:hAnsi="黑体" w:eastAsia="黑体" w:cs="宋体"/>
          <w:b/>
          <w:sz w:val="36"/>
          <w:szCs w:val="36"/>
        </w:rPr>
        <w:t>关于</w:t>
      </w:r>
      <w:r>
        <w:rPr>
          <w:rFonts w:hint="eastAsia" w:ascii="黑体" w:hAnsi="黑体" w:eastAsia="黑体" w:cs="宋体"/>
          <w:b/>
          <w:sz w:val="36"/>
          <w:szCs w:val="36"/>
          <w:lang w:eastAsia="zh-CN"/>
        </w:rPr>
        <w:t>郗大兴、马辉</w:t>
      </w:r>
      <w:r>
        <w:rPr>
          <w:rFonts w:hint="eastAsia" w:ascii="黑体" w:hAnsi="黑体" w:eastAsia="黑体" w:cs="宋体"/>
          <w:b/>
          <w:sz w:val="36"/>
          <w:szCs w:val="36"/>
        </w:rPr>
        <w:t>涉案资产价值项目</w:t>
      </w:r>
    </w:p>
    <w:p>
      <w:pPr>
        <w:pStyle w:val="15"/>
        <w:adjustRightInd/>
        <w:spacing w:after="0" w:line="240" w:lineRule="auto"/>
        <w:ind w:right="-340" w:rightChars="-162" w:firstLine="1198" w:firstLineChars="663"/>
        <w:textAlignment w:val="top"/>
        <w:rPr>
          <w:rFonts w:hAnsi="宋体"/>
          <w:b/>
          <w:sz w:val="18"/>
          <w:szCs w:val="18"/>
        </w:rPr>
      </w:pPr>
    </w:p>
    <w:p>
      <w:pPr>
        <w:pStyle w:val="15"/>
        <w:adjustRightInd/>
        <w:spacing w:after="0" w:line="240" w:lineRule="auto"/>
        <w:ind w:right="0" w:firstLine="0"/>
        <w:jc w:val="center"/>
        <w:textAlignment w:val="top"/>
        <w:rPr>
          <w:rFonts w:hAnsi="宋体"/>
          <w:b/>
          <w:sz w:val="44"/>
          <w:szCs w:val="44"/>
        </w:rPr>
      </w:pPr>
      <w:r>
        <w:rPr>
          <w:rFonts w:hint="eastAsia" w:hAnsi="宋体"/>
          <w:b/>
          <w:sz w:val="44"/>
          <w:szCs w:val="44"/>
        </w:rPr>
        <w:t>资产评估报告</w:t>
      </w:r>
    </w:p>
    <w:p>
      <w:pPr>
        <w:tabs>
          <w:tab w:val="left" w:pos="0"/>
        </w:tabs>
        <w:ind w:right="6"/>
        <w:jc w:val="center"/>
      </w:pPr>
      <w:r>
        <w:t xml:space="preserve">        </w:t>
      </w:r>
    </w:p>
    <w:p>
      <w:pPr>
        <w:tabs>
          <w:tab w:val="left" w:pos="0"/>
        </w:tabs>
        <w:jc w:val="center"/>
        <w:rPr>
          <w:rFonts w:ascii="宋体"/>
          <w:sz w:val="24"/>
        </w:rPr>
      </w:pPr>
      <w:r>
        <w:rPr>
          <w:rFonts w:hint="eastAsia" w:ascii="宋体" w:hAnsi="宋体"/>
          <w:lang w:eastAsia="zh-CN"/>
        </w:rPr>
        <w:t>吉长城</w:t>
      </w:r>
      <w:r>
        <w:rPr>
          <w:rFonts w:hint="eastAsia" w:ascii="宋体" w:hAnsi="宋体"/>
        </w:rPr>
        <w:t>评报字</w:t>
      </w:r>
      <w:r>
        <w:rPr>
          <w:rFonts w:ascii="宋体" w:hAnsi="宋体"/>
        </w:rPr>
        <w:t>[2020]</w:t>
      </w:r>
      <w:r>
        <w:rPr>
          <w:rFonts w:hint="eastAsia" w:ascii="宋体" w:hAnsi="宋体"/>
        </w:rPr>
        <w:t>第</w:t>
      </w:r>
      <w:r>
        <w:rPr>
          <w:rFonts w:ascii="宋体" w:hAnsi="宋体"/>
        </w:rPr>
        <w:t>0</w:t>
      </w:r>
      <w:r>
        <w:rPr>
          <w:rFonts w:hint="eastAsia" w:ascii="宋体" w:hAnsi="宋体"/>
          <w:lang w:val="en-US" w:eastAsia="zh-CN"/>
        </w:rPr>
        <w:t>32</w:t>
      </w:r>
      <w:r>
        <w:rPr>
          <w:rFonts w:hint="eastAsia" w:ascii="宋体" w:hAnsi="宋体"/>
        </w:rPr>
        <w:t>号</w:t>
      </w:r>
    </w:p>
    <w:p>
      <w:pPr>
        <w:pStyle w:val="9"/>
        <w:spacing w:line="360" w:lineRule="auto"/>
        <w:rPr>
          <w:rFonts w:hAnsi="宋体"/>
          <w:sz w:val="24"/>
        </w:rPr>
      </w:pPr>
    </w:p>
    <w:p>
      <w:pPr>
        <w:pStyle w:val="9"/>
        <w:spacing w:line="360" w:lineRule="auto"/>
        <w:rPr>
          <w:rFonts w:hAnsi="宋体"/>
          <w:sz w:val="24"/>
        </w:rPr>
      </w:pPr>
      <w:r>
        <w:rPr>
          <w:rFonts w:hint="eastAsia" w:hAnsi="宋体"/>
          <w:sz w:val="24"/>
          <w:lang w:eastAsia="zh-CN"/>
        </w:rPr>
        <w:t>辽源市西安区人民法院司法辅助办公室</w:t>
      </w:r>
      <w:r>
        <w:rPr>
          <w:rFonts w:hint="eastAsia" w:hAnsi="宋体"/>
          <w:sz w:val="24"/>
        </w:rPr>
        <w:t>：</w:t>
      </w:r>
    </w:p>
    <w:p>
      <w:pPr>
        <w:pStyle w:val="9"/>
        <w:spacing w:line="360" w:lineRule="auto"/>
        <w:ind w:firstLine="480" w:firstLineChars="200"/>
        <w:rPr>
          <w:rFonts w:hAnsi="宋体"/>
          <w:sz w:val="24"/>
          <w:szCs w:val="24"/>
        </w:rPr>
      </w:pPr>
      <w:r>
        <w:rPr>
          <w:rFonts w:hint="eastAsia" w:hAnsi="宋体"/>
          <w:sz w:val="24"/>
          <w:lang w:eastAsia="zh-CN"/>
        </w:rPr>
        <w:t>吉林长城资产评估有限责任公司</w:t>
      </w:r>
      <w:r>
        <w:rPr>
          <w:rFonts w:hint="eastAsia" w:hAnsi="宋体"/>
          <w:sz w:val="24"/>
        </w:rPr>
        <w:t>接受贵单位的委托，根据有关法律法规和资产评估准则、资产评估原则，</w:t>
      </w:r>
      <w:r>
        <w:rPr>
          <w:rFonts w:hint="eastAsia" w:hAnsi="宋体" w:cs="Arial"/>
          <w:sz w:val="24"/>
        </w:rPr>
        <w:t>按照必要的评估程序，对</w:t>
      </w:r>
      <w:r>
        <w:rPr>
          <w:rFonts w:hint="eastAsia" w:hAnsi="宋体" w:cs="Arial"/>
          <w:sz w:val="24"/>
          <w:lang w:eastAsia="zh-CN"/>
        </w:rPr>
        <w:t>郗大兴、马辉借贷</w:t>
      </w:r>
      <w:r>
        <w:rPr>
          <w:rFonts w:hint="eastAsia" w:hAnsi="宋体" w:cs="Arial"/>
          <w:sz w:val="24"/>
        </w:rPr>
        <w:t>纠纷涉案的资产进行了评估，</w:t>
      </w:r>
      <w:r>
        <w:rPr>
          <w:rFonts w:hint="eastAsia"/>
          <w:sz w:val="24"/>
        </w:rPr>
        <w:t>资产评估机构评估人员按照必要的评估程序对委托评估的资产实施了实地查勘和市场调查与询证，对委估资产于评估基准日所表现的市场价值做出了公允反映</w:t>
      </w:r>
      <w:r>
        <w:rPr>
          <w:rFonts w:hint="eastAsia" w:hAnsi="宋体"/>
          <w:sz w:val="24"/>
          <w:szCs w:val="24"/>
        </w:rPr>
        <w:t>。现将资产评估情况及评估结论报告如下：</w:t>
      </w:r>
    </w:p>
    <w:bookmarkEnd w:id="9"/>
    <w:p>
      <w:pPr>
        <w:pStyle w:val="9"/>
        <w:spacing w:line="360" w:lineRule="auto"/>
        <w:ind w:firstLine="482" w:firstLineChars="200"/>
        <w:rPr>
          <w:rFonts w:hAnsi="宋体"/>
          <w:b/>
          <w:bCs/>
          <w:sz w:val="24"/>
          <w:szCs w:val="24"/>
        </w:rPr>
      </w:pPr>
      <w:bookmarkStart w:id="12" w:name="_Toc490638833"/>
      <w:r>
        <w:rPr>
          <w:rFonts w:hint="eastAsia" w:hAnsi="宋体"/>
          <w:b/>
          <w:bCs/>
          <w:sz w:val="24"/>
        </w:rPr>
        <w:t>一、</w:t>
      </w:r>
      <w:r>
        <w:rPr>
          <w:rFonts w:hint="eastAsia" w:ascii="黑体" w:hAnsi="宋体"/>
          <w:b/>
          <w:sz w:val="24"/>
          <w:szCs w:val="24"/>
        </w:rPr>
        <w:t>委托方、被评估单位、资产评估报告使用人及其他资产评估报告使用人</w:t>
      </w:r>
    </w:p>
    <w:p>
      <w:pPr>
        <w:pStyle w:val="7"/>
        <w:tabs>
          <w:tab w:val="left" w:pos="8610"/>
          <w:tab w:val="clear" w:pos="8080"/>
        </w:tabs>
        <w:spacing w:line="360" w:lineRule="auto"/>
        <w:ind w:right="0" w:firstLine="480" w:firstLineChars="200"/>
        <w:jc w:val="both"/>
        <w:rPr>
          <w:rFonts w:hint="eastAsia" w:hAnsi="宋体" w:eastAsia="宋体"/>
          <w:sz w:val="24"/>
          <w:szCs w:val="24"/>
          <w:lang w:eastAsia="zh-CN"/>
        </w:rPr>
      </w:pPr>
      <w:r>
        <w:rPr>
          <w:rFonts w:hAnsi="宋体"/>
          <w:sz w:val="24"/>
          <w:szCs w:val="24"/>
        </w:rPr>
        <w:t>1.</w:t>
      </w:r>
      <w:r>
        <w:rPr>
          <w:rFonts w:hint="eastAsia" w:hAnsi="宋体"/>
          <w:sz w:val="24"/>
          <w:szCs w:val="24"/>
        </w:rPr>
        <w:t>委托方为</w:t>
      </w:r>
      <w:r>
        <w:rPr>
          <w:rFonts w:hint="eastAsia" w:hAnsi="宋体"/>
          <w:sz w:val="24"/>
          <w:szCs w:val="24"/>
          <w:lang w:eastAsia="zh-CN"/>
        </w:rPr>
        <w:t>辽源市西安区人民法院司法辅助办公室</w:t>
      </w:r>
    </w:p>
    <w:p>
      <w:pPr>
        <w:pStyle w:val="7"/>
        <w:tabs>
          <w:tab w:val="left" w:pos="8610"/>
          <w:tab w:val="clear" w:pos="8080"/>
        </w:tabs>
        <w:spacing w:line="360" w:lineRule="auto"/>
        <w:ind w:right="0" w:firstLine="480" w:firstLineChars="200"/>
        <w:jc w:val="both"/>
        <w:rPr>
          <w:rFonts w:hint="eastAsia" w:hAnsi="宋体" w:cs="Arial"/>
          <w:sz w:val="24"/>
          <w:lang w:eastAsia="zh-CN"/>
        </w:rPr>
      </w:pPr>
      <w:r>
        <w:rPr>
          <w:rFonts w:hAnsi="宋体"/>
          <w:sz w:val="24"/>
          <w:szCs w:val="24"/>
        </w:rPr>
        <w:t>2.</w:t>
      </w:r>
      <w:r>
        <w:rPr>
          <w:rFonts w:hint="eastAsia" w:hAnsi="宋体"/>
          <w:sz w:val="24"/>
          <w:szCs w:val="24"/>
        </w:rPr>
        <w:t>被评估</w:t>
      </w:r>
      <w:r>
        <w:rPr>
          <w:rFonts w:hint="eastAsia" w:hAnsi="宋体"/>
          <w:sz w:val="24"/>
          <w:szCs w:val="24"/>
          <w:lang w:eastAsia="zh-CN"/>
        </w:rPr>
        <w:t>自然人名称</w:t>
      </w:r>
      <w:r>
        <w:rPr>
          <w:rFonts w:hint="eastAsia" w:hAnsi="宋体"/>
          <w:sz w:val="24"/>
          <w:szCs w:val="24"/>
        </w:rPr>
        <w:t>为</w:t>
      </w:r>
      <w:r>
        <w:rPr>
          <w:rFonts w:hint="eastAsia" w:hAnsi="宋体" w:cs="Arial"/>
          <w:sz w:val="24"/>
          <w:lang w:eastAsia="zh-CN"/>
        </w:rPr>
        <w:t>郗大兴、马辉。</w:t>
      </w:r>
    </w:p>
    <w:p>
      <w:pPr>
        <w:pStyle w:val="7"/>
        <w:tabs>
          <w:tab w:val="left" w:pos="8610"/>
          <w:tab w:val="clear" w:pos="8080"/>
        </w:tabs>
        <w:spacing w:line="360" w:lineRule="auto"/>
        <w:ind w:right="0" w:firstLine="480" w:firstLineChars="200"/>
        <w:jc w:val="both"/>
        <w:rPr>
          <w:rFonts w:hAnsi="宋体"/>
          <w:bCs/>
          <w:sz w:val="24"/>
          <w:szCs w:val="24"/>
        </w:rPr>
      </w:pPr>
      <w:r>
        <w:rPr>
          <w:rFonts w:hAnsi="宋体"/>
          <w:sz w:val="24"/>
          <w:szCs w:val="24"/>
        </w:rPr>
        <w:t>3.</w:t>
      </w:r>
      <w:r>
        <w:rPr>
          <w:rFonts w:hint="eastAsia" w:ascii="黑体" w:hAnsi="宋体"/>
          <w:sz w:val="24"/>
          <w:szCs w:val="24"/>
        </w:rPr>
        <w:t>资产评估报告使用人及其他资产评估报告使用人</w:t>
      </w:r>
    </w:p>
    <w:p>
      <w:pPr>
        <w:pStyle w:val="7"/>
        <w:tabs>
          <w:tab w:val="left" w:pos="8610"/>
          <w:tab w:val="clear" w:pos="8080"/>
        </w:tabs>
        <w:spacing w:line="360" w:lineRule="auto"/>
        <w:ind w:right="0" w:firstLine="480" w:firstLineChars="200"/>
        <w:jc w:val="both"/>
        <w:rPr>
          <w:rFonts w:hAnsi="宋体"/>
          <w:sz w:val="24"/>
          <w:szCs w:val="24"/>
        </w:rPr>
      </w:pPr>
      <w:r>
        <w:rPr>
          <w:rFonts w:hint="eastAsia"/>
          <w:sz w:val="24"/>
          <w:szCs w:val="24"/>
        </w:rPr>
        <w:t>资产评估报告使用人包括委托人、资产评估委托合同中约定的其他资产评估报告使用人和法律、行政法规规定的资产评估报告使用人。</w:t>
      </w:r>
      <w:r>
        <w:rPr>
          <w:rFonts w:hint="eastAsia" w:hAnsi="宋体"/>
          <w:bCs/>
          <w:sz w:val="24"/>
          <w:szCs w:val="24"/>
        </w:rPr>
        <w:t>评估报告的使用人除委托方、</w:t>
      </w:r>
      <w:r>
        <w:rPr>
          <w:rFonts w:hint="eastAsia" w:ascii="黑体" w:hAnsi="宋体"/>
          <w:sz w:val="24"/>
          <w:szCs w:val="24"/>
        </w:rPr>
        <w:t>被评估单位及资产评估委托合同约定的其他资产评估报告使用人外</w:t>
      </w:r>
      <w:r>
        <w:rPr>
          <w:rFonts w:hint="eastAsia" w:hAnsi="宋体"/>
          <w:bCs/>
          <w:sz w:val="24"/>
          <w:szCs w:val="24"/>
        </w:rPr>
        <w:t>，还包括与其相关其他当事人；除此之外任何得到评估报告的第三方都不应被视为报告使用人；评估机构和资产评估师不对因第三方对评估报告的误用而产生的损失承担任何责任。</w:t>
      </w:r>
    </w:p>
    <w:p>
      <w:pPr>
        <w:pStyle w:val="7"/>
        <w:tabs>
          <w:tab w:val="left" w:pos="8610"/>
          <w:tab w:val="clear" w:pos="8080"/>
        </w:tabs>
        <w:spacing w:line="360" w:lineRule="auto"/>
        <w:ind w:right="0" w:firstLine="482" w:firstLineChars="200"/>
        <w:jc w:val="both"/>
        <w:rPr>
          <w:rFonts w:hAnsi="宋体"/>
          <w:b/>
          <w:bCs/>
          <w:sz w:val="24"/>
          <w:szCs w:val="24"/>
        </w:rPr>
      </w:pPr>
      <w:r>
        <w:rPr>
          <w:rFonts w:hint="eastAsia" w:hAnsi="宋体"/>
          <w:b/>
          <w:bCs/>
          <w:sz w:val="24"/>
          <w:szCs w:val="24"/>
        </w:rPr>
        <w:t>二、评估目的</w:t>
      </w:r>
      <w:bookmarkEnd w:id="12"/>
    </w:p>
    <w:p>
      <w:pPr>
        <w:tabs>
          <w:tab w:val="left" w:pos="11988"/>
        </w:tabs>
        <w:spacing w:line="360" w:lineRule="auto"/>
        <w:ind w:firstLine="480" w:firstLineChars="200"/>
        <w:rPr>
          <w:sz w:val="24"/>
        </w:rPr>
      </w:pPr>
      <w:bookmarkStart w:id="13" w:name="_Toc490638834"/>
      <w:r>
        <w:rPr>
          <w:rFonts w:hint="eastAsia" w:cs="Arial"/>
          <w:sz w:val="24"/>
        </w:rPr>
        <w:t>本次评估目的核实资产现值，为辽源市</w:t>
      </w:r>
      <w:r>
        <w:rPr>
          <w:rFonts w:hint="eastAsia" w:cs="Arial"/>
          <w:sz w:val="24"/>
          <w:lang w:eastAsia="zh-CN"/>
        </w:rPr>
        <w:t>西安区人民法院</w:t>
      </w:r>
      <w:r>
        <w:rPr>
          <w:rFonts w:hint="eastAsia" w:cs="Arial"/>
          <w:sz w:val="24"/>
        </w:rPr>
        <w:t>办案提供价值参考</w:t>
      </w:r>
      <w:r>
        <w:rPr>
          <w:rFonts w:hint="eastAsia"/>
          <w:sz w:val="24"/>
        </w:rPr>
        <w:t>。</w:t>
      </w:r>
    </w:p>
    <w:p>
      <w:pPr>
        <w:pStyle w:val="7"/>
        <w:tabs>
          <w:tab w:val="left" w:pos="8610"/>
          <w:tab w:val="clear" w:pos="8080"/>
        </w:tabs>
        <w:spacing w:line="360" w:lineRule="auto"/>
        <w:ind w:right="0" w:firstLine="482" w:firstLineChars="200"/>
        <w:jc w:val="both"/>
        <w:rPr>
          <w:rFonts w:hAnsi="宋体"/>
          <w:sz w:val="24"/>
          <w:szCs w:val="24"/>
        </w:rPr>
      </w:pPr>
      <w:r>
        <w:rPr>
          <w:rFonts w:hint="eastAsia" w:hAnsi="宋体"/>
          <w:b/>
          <w:bCs/>
          <w:sz w:val="24"/>
          <w:szCs w:val="24"/>
        </w:rPr>
        <w:t>三、评估范围</w:t>
      </w:r>
      <w:bookmarkEnd w:id="13"/>
      <w:r>
        <w:rPr>
          <w:rFonts w:hint="eastAsia" w:hAnsi="宋体"/>
          <w:b/>
          <w:bCs/>
          <w:sz w:val="24"/>
          <w:szCs w:val="24"/>
        </w:rPr>
        <w:t>及对象</w:t>
      </w:r>
    </w:p>
    <w:p>
      <w:pPr>
        <w:tabs>
          <w:tab w:val="left" w:pos="11988"/>
        </w:tabs>
        <w:spacing w:line="360" w:lineRule="auto"/>
        <w:ind w:firstLine="480" w:firstLineChars="200"/>
        <w:rPr>
          <w:rFonts w:ascii="宋体"/>
          <w:sz w:val="24"/>
        </w:rPr>
      </w:pPr>
      <w:r>
        <w:rPr>
          <w:rFonts w:hint="eastAsia" w:ascii="宋体" w:hAnsi="宋体"/>
          <w:sz w:val="24"/>
        </w:rPr>
        <w:t>评估对象是</w:t>
      </w:r>
      <w:r>
        <w:rPr>
          <w:rFonts w:hint="eastAsia" w:hAnsi="宋体" w:cs="Arial"/>
          <w:sz w:val="24"/>
          <w:lang w:eastAsia="zh-CN"/>
        </w:rPr>
        <w:t>郗大兴、马辉</w:t>
      </w:r>
      <w:r>
        <w:rPr>
          <w:rFonts w:hint="eastAsia" w:ascii="宋体" w:hAnsi="宋体"/>
          <w:sz w:val="24"/>
        </w:rPr>
        <w:t>拥有的部分资产；评估范围为位于</w:t>
      </w:r>
      <w:r>
        <w:rPr>
          <w:rFonts w:hint="eastAsia" w:ascii="宋体" w:hAnsi="宋体"/>
          <w:sz w:val="24"/>
          <w:lang w:eastAsia="zh-CN"/>
        </w:rPr>
        <w:t>东艺春城</w:t>
      </w:r>
      <w:r>
        <w:rPr>
          <w:rFonts w:hint="eastAsia" w:ascii="宋体" w:hAnsi="宋体"/>
          <w:sz w:val="24"/>
          <w:lang w:val="en-US" w:eastAsia="zh-CN"/>
        </w:rPr>
        <w:t>18号楼11层1102室</w:t>
      </w:r>
      <w:r>
        <w:rPr>
          <w:rFonts w:hint="eastAsia" w:ascii="宋体" w:hAnsi="宋体"/>
          <w:sz w:val="24"/>
        </w:rPr>
        <w:t>住宅，建筑面积为</w:t>
      </w:r>
      <w:r>
        <w:rPr>
          <w:rFonts w:hint="eastAsia" w:ascii="宋体" w:hAnsi="宋体"/>
          <w:sz w:val="24"/>
          <w:lang w:val="en-US" w:eastAsia="zh-CN"/>
        </w:rPr>
        <w:t>166.12</w:t>
      </w:r>
      <w:r>
        <w:rPr>
          <w:rFonts w:hint="eastAsia" w:ascii="宋体" w:hAnsi="宋体"/>
          <w:sz w:val="24"/>
        </w:rPr>
        <w:t>平方米。具体如下：</w:t>
      </w:r>
    </w:p>
    <w:p>
      <w:pPr>
        <w:tabs>
          <w:tab w:val="left" w:pos="11988"/>
        </w:tabs>
        <w:spacing w:line="360" w:lineRule="auto"/>
        <w:ind w:firstLine="480" w:firstLineChars="200"/>
        <w:rPr>
          <w:rFonts w:hAnsi="宋体"/>
          <w:sz w:val="24"/>
        </w:rPr>
      </w:pPr>
      <w:r>
        <w:rPr>
          <w:rFonts w:hint="eastAsia" w:ascii="宋体" w:hAnsi="宋体"/>
          <w:sz w:val="24"/>
        </w:rPr>
        <w:t>委托标的：不动产权证号</w:t>
      </w:r>
      <w:r>
        <w:rPr>
          <w:rFonts w:hint="eastAsia" w:ascii="宋体" w:hAnsi="宋体"/>
          <w:sz w:val="24"/>
          <w:lang w:val="en-US" w:eastAsia="zh-CN"/>
        </w:rPr>
        <w:t>019007-0128-000</w:t>
      </w:r>
      <w:r>
        <w:rPr>
          <w:rFonts w:hint="eastAsia" w:ascii="宋体" w:hAnsi="宋体"/>
          <w:sz w:val="24"/>
        </w:rPr>
        <w:t>号，产权人</w:t>
      </w:r>
      <w:r>
        <w:rPr>
          <w:rFonts w:hint="eastAsia" w:ascii="宋体" w:hAnsi="宋体"/>
          <w:sz w:val="24"/>
          <w:lang w:eastAsia="zh-CN"/>
        </w:rPr>
        <w:t>马辉，</w:t>
      </w:r>
      <w:r>
        <w:rPr>
          <w:rFonts w:hint="eastAsia" w:ascii="宋体" w:hAnsi="宋体"/>
          <w:sz w:val="24"/>
        </w:rPr>
        <w:t>坐落</w:t>
      </w:r>
      <w:r>
        <w:rPr>
          <w:rFonts w:hint="eastAsia" w:ascii="宋体" w:hAnsi="宋体"/>
          <w:sz w:val="24"/>
          <w:lang w:eastAsia="zh-CN"/>
        </w:rPr>
        <w:t>东艺春城</w:t>
      </w:r>
      <w:r>
        <w:rPr>
          <w:rFonts w:hint="eastAsia" w:ascii="宋体" w:hAnsi="宋体"/>
          <w:sz w:val="24"/>
          <w:lang w:val="en-US" w:eastAsia="zh-CN"/>
        </w:rPr>
        <w:t>18号楼1102室</w:t>
      </w:r>
      <w:r>
        <w:rPr>
          <w:rFonts w:hint="eastAsia" w:ascii="宋体" w:hAnsi="宋体"/>
          <w:sz w:val="24"/>
        </w:rPr>
        <w:t>，结构钢筋混凝土，用途住宅，房屋总层数为</w:t>
      </w:r>
      <w:r>
        <w:rPr>
          <w:rFonts w:hint="eastAsia" w:ascii="宋体" w:hAnsi="宋体"/>
          <w:sz w:val="24"/>
          <w:lang w:val="en-US" w:eastAsia="zh-CN"/>
        </w:rPr>
        <w:t>15</w:t>
      </w:r>
      <w:r>
        <w:rPr>
          <w:rFonts w:hint="eastAsia" w:ascii="宋体" w:hAnsi="宋体"/>
          <w:sz w:val="24"/>
        </w:rPr>
        <w:t>层，所在层数为</w:t>
      </w:r>
      <w:r>
        <w:rPr>
          <w:rFonts w:hint="eastAsia" w:ascii="宋体" w:hAnsi="宋体"/>
          <w:sz w:val="24"/>
          <w:lang w:val="en-US" w:eastAsia="zh-CN"/>
        </w:rPr>
        <w:t>11</w:t>
      </w:r>
      <w:r>
        <w:rPr>
          <w:rFonts w:hint="eastAsia" w:ascii="宋体" w:hAnsi="宋体"/>
          <w:sz w:val="24"/>
        </w:rPr>
        <w:t>层，建筑面积为</w:t>
      </w:r>
      <w:r>
        <w:rPr>
          <w:rFonts w:hint="eastAsia" w:ascii="宋体" w:hAnsi="宋体"/>
          <w:sz w:val="24"/>
          <w:lang w:val="en-US" w:eastAsia="zh-CN"/>
        </w:rPr>
        <w:t>166.12</w:t>
      </w:r>
      <w:r>
        <w:rPr>
          <w:rFonts w:hint="eastAsia" w:ascii="宋体" w:hAnsi="宋体"/>
          <w:sz w:val="24"/>
        </w:rPr>
        <w:t>平方米，朝向南北；证照填发单位辽源市不动产登记中心</w:t>
      </w:r>
      <w:r>
        <w:rPr>
          <w:rFonts w:hint="eastAsia" w:hAnsi="宋体"/>
          <w:sz w:val="24"/>
        </w:rPr>
        <w:t>。</w:t>
      </w:r>
    </w:p>
    <w:p>
      <w:pPr>
        <w:tabs>
          <w:tab w:val="left" w:pos="8080"/>
        </w:tabs>
        <w:snapToGrid w:val="0"/>
        <w:spacing w:line="360" w:lineRule="auto"/>
        <w:ind w:firstLine="472" w:firstLineChars="196"/>
        <w:textAlignment w:val="top"/>
        <w:rPr>
          <w:rFonts w:ascii="宋体"/>
          <w:b/>
          <w:sz w:val="24"/>
        </w:rPr>
      </w:pPr>
      <w:r>
        <w:rPr>
          <w:rFonts w:hint="eastAsia" w:ascii="宋体" w:hAnsi="宋体"/>
          <w:b/>
          <w:sz w:val="24"/>
        </w:rPr>
        <w:t>本次评估对象及纳入评估范围的资产与经济行为涉及的评估对象和资产范围一致。</w:t>
      </w:r>
    </w:p>
    <w:p>
      <w:pPr>
        <w:tabs>
          <w:tab w:val="left" w:pos="8080"/>
        </w:tabs>
        <w:snapToGrid w:val="0"/>
        <w:spacing w:line="360" w:lineRule="auto"/>
        <w:ind w:firstLine="472" w:firstLineChars="196"/>
        <w:textAlignment w:val="top"/>
        <w:rPr>
          <w:rFonts w:ascii="宋体"/>
          <w:b/>
          <w:bCs/>
          <w:sz w:val="24"/>
        </w:rPr>
      </w:pPr>
      <w:r>
        <w:rPr>
          <w:rFonts w:hint="eastAsia" w:ascii="宋体" w:hAnsi="宋体"/>
          <w:b/>
          <w:bCs/>
          <w:sz w:val="24"/>
        </w:rPr>
        <w:t>四、价值类型及其定义</w:t>
      </w:r>
    </w:p>
    <w:p>
      <w:pPr>
        <w:tabs>
          <w:tab w:val="left" w:pos="8080"/>
        </w:tabs>
        <w:spacing w:line="360" w:lineRule="auto"/>
        <w:ind w:firstLine="480" w:firstLineChars="200"/>
        <w:textAlignment w:val="top"/>
        <w:rPr>
          <w:rFonts w:ascii="宋体"/>
          <w:bCs/>
          <w:sz w:val="24"/>
        </w:rPr>
      </w:pPr>
      <w:bookmarkStart w:id="14" w:name="_Toc490638835"/>
      <w:r>
        <w:rPr>
          <w:rFonts w:hint="eastAsia" w:ascii="宋体" w:hAnsi="宋体"/>
          <w:bCs/>
          <w:sz w:val="24"/>
        </w:rPr>
        <w:t>所谓价值类型是指人们对资产评估结论的价值属性的定义及其表达方式。</w:t>
      </w:r>
    </w:p>
    <w:p>
      <w:pPr>
        <w:tabs>
          <w:tab w:val="left" w:pos="8080"/>
        </w:tabs>
        <w:spacing w:line="360" w:lineRule="auto"/>
        <w:ind w:firstLine="480" w:firstLineChars="200"/>
        <w:textAlignment w:val="top"/>
        <w:rPr>
          <w:rFonts w:ascii="宋体"/>
          <w:bCs/>
          <w:sz w:val="24"/>
        </w:rPr>
      </w:pPr>
      <w:r>
        <w:rPr>
          <w:rFonts w:hint="eastAsia" w:ascii="宋体" w:hAnsi="宋体"/>
          <w:bCs/>
          <w:sz w:val="24"/>
        </w:rPr>
        <w:t>本次评估的价值类型为市场价值，评估委估资产在公开市场下的公允价值，未考虑强制变现等因素。市场价值是指自愿买方和自愿卖方在各自理性行事且未受任何强迫的情况下，评估对象在评估基准日进行正常公平交易的价值估计数额。</w:t>
      </w:r>
    </w:p>
    <w:p>
      <w:pPr>
        <w:tabs>
          <w:tab w:val="left" w:pos="8080"/>
        </w:tabs>
        <w:spacing w:line="360" w:lineRule="auto"/>
        <w:ind w:firstLine="482" w:firstLineChars="200"/>
        <w:textAlignment w:val="top"/>
        <w:rPr>
          <w:rFonts w:ascii="宋体"/>
          <w:bCs/>
          <w:sz w:val="24"/>
        </w:rPr>
      </w:pPr>
      <w:r>
        <w:rPr>
          <w:rFonts w:hint="eastAsia" w:ascii="宋体" w:hAnsi="宋体"/>
          <w:b/>
          <w:bCs/>
          <w:sz w:val="24"/>
        </w:rPr>
        <w:t>五、评估基准日</w:t>
      </w:r>
      <w:bookmarkEnd w:id="14"/>
    </w:p>
    <w:p>
      <w:pPr>
        <w:tabs>
          <w:tab w:val="left" w:pos="8080"/>
        </w:tabs>
        <w:spacing w:line="360" w:lineRule="auto"/>
        <w:ind w:firstLine="480" w:firstLineChars="200"/>
        <w:textAlignment w:val="top"/>
        <w:rPr>
          <w:rFonts w:ascii="宋体"/>
          <w:bCs/>
          <w:sz w:val="24"/>
        </w:rPr>
      </w:pPr>
      <w:r>
        <w:rPr>
          <w:rFonts w:hint="eastAsia" w:ascii="宋体" w:hAnsi="宋体"/>
          <w:sz w:val="24"/>
        </w:rPr>
        <w:t>本项目资产评估的基准日期为</w:t>
      </w:r>
      <w:r>
        <w:rPr>
          <w:rFonts w:ascii="宋体" w:hAnsi="宋体"/>
          <w:sz w:val="24"/>
        </w:rPr>
        <w:t>2020</w:t>
      </w:r>
      <w:r>
        <w:rPr>
          <w:rFonts w:hint="eastAsia" w:ascii="宋体" w:hAnsi="宋体"/>
          <w:sz w:val="24"/>
        </w:rPr>
        <w:t>年</w:t>
      </w:r>
      <w:r>
        <w:rPr>
          <w:rFonts w:hint="eastAsia" w:ascii="宋体" w:hAnsi="宋体"/>
          <w:sz w:val="24"/>
          <w:lang w:eastAsia="zh-CN"/>
        </w:rPr>
        <w:t>09月28日</w:t>
      </w:r>
      <w:r>
        <w:rPr>
          <w:rFonts w:hint="eastAsia" w:ascii="宋体" w:hAnsi="宋体"/>
          <w:sz w:val="24"/>
        </w:rPr>
        <w:t>。</w:t>
      </w:r>
    </w:p>
    <w:p>
      <w:pPr>
        <w:tabs>
          <w:tab w:val="left" w:pos="8080"/>
        </w:tabs>
        <w:spacing w:line="360" w:lineRule="auto"/>
        <w:ind w:firstLine="480" w:firstLineChars="200"/>
        <w:textAlignment w:val="top"/>
        <w:rPr>
          <w:rFonts w:ascii="宋体"/>
          <w:bCs/>
          <w:sz w:val="24"/>
        </w:rPr>
      </w:pPr>
      <w:r>
        <w:rPr>
          <w:rFonts w:hint="eastAsia" w:ascii="宋体" w:hAnsi="宋体"/>
          <w:sz w:val="24"/>
        </w:rPr>
        <w:t>由于资产评估是对某一时点的资产状况提出价值结论，根据被评估单位确定经济行为时间的计划，评估基准日与评估目的的计划实现日较接近，根据我公司与委托方的约定，选择本基准日作为评估基准日。</w:t>
      </w:r>
    </w:p>
    <w:p>
      <w:pPr>
        <w:tabs>
          <w:tab w:val="left" w:pos="8080"/>
        </w:tabs>
        <w:spacing w:line="360" w:lineRule="auto"/>
        <w:ind w:firstLine="480" w:firstLineChars="200"/>
        <w:textAlignment w:val="top"/>
        <w:rPr>
          <w:rFonts w:ascii="宋体"/>
          <w:bCs/>
          <w:sz w:val="24"/>
        </w:rPr>
      </w:pPr>
      <w:r>
        <w:rPr>
          <w:rFonts w:hint="eastAsia" w:ascii="宋体" w:hAnsi="宋体"/>
          <w:sz w:val="24"/>
        </w:rPr>
        <w:t>本次资产评估工作中，资产评估范围的界定、评估价值的确定、评估参数的选取等，均以该日外部经济环境以及市场情况确定。本报告中一切取价标准均为评估基准日有效的价格标准。</w:t>
      </w:r>
      <w:bookmarkStart w:id="15" w:name="_Toc490638837"/>
    </w:p>
    <w:p>
      <w:pPr>
        <w:tabs>
          <w:tab w:val="left" w:pos="8080"/>
        </w:tabs>
        <w:spacing w:line="360" w:lineRule="auto"/>
        <w:ind w:firstLine="482" w:firstLineChars="200"/>
        <w:textAlignment w:val="top"/>
        <w:rPr>
          <w:rFonts w:ascii="宋体"/>
          <w:bCs/>
          <w:sz w:val="24"/>
        </w:rPr>
      </w:pPr>
      <w:r>
        <w:rPr>
          <w:rFonts w:hint="eastAsia" w:ascii="宋体" w:hAnsi="宋体"/>
          <w:b/>
          <w:bCs/>
          <w:sz w:val="24"/>
        </w:rPr>
        <w:t>六、评估依据</w:t>
      </w:r>
      <w:bookmarkEnd w:id="15"/>
    </w:p>
    <w:p>
      <w:pPr>
        <w:tabs>
          <w:tab w:val="left" w:pos="8080"/>
        </w:tabs>
        <w:spacing w:line="360" w:lineRule="auto"/>
        <w:ind w:firstLine="360" w:firstLineChars="150"/>
        <w:textAlignment w:val="top"/>
        <w:rPr>
          <w:rFonts w:ascii="宋体"/>
          <w:bCs/>
          <w:sz w:val="24"/>
        </w:rPr>
      </w:pPr>
      <w:r>
        <w:rPr>
          <w:rFonts w:hint="eastAsia" w:ascii="宋体" w:hAnsi="宋体"/>
          <w:sz w:val="24"/>
        </w:rPr>
        <w:t>（一）行为依据</w:t>
      </w:r>
    </w:p>
    <w:p>
      <w:pPr>
        <w:snapToGrid w:val="0"/>
        <w:spacing w:line="360" w:lineRule="auto"/>
        <w:ind w:firstLine="480" w:firstLineChars="200"/>
        <w:textAlignment w:val="top"/>
        <w:rPr>
          <w:rFonts w:ascii="宋体"/>
          <w:sz w:val="24"/>
        </w:rPr>
      </w:pPr>
      <w:r>
        <w:rPr>
          <w:rFonts w:ascii="宋体" w:hAnsi="宋体"/>
          <w:sz w:val="24"/>
        </w:rPr>
        <w:t>1</w:t>
      </w:r>
      <w:r>
        <w:rPr>
          <w:rFonts w:ascii="宋体"/>
          <w:color w:val="0000FF"/>
          <w:sz w:val="24"/>
        </w:rPr>
        <w:t>.</w:t>
      </w:r>
      <w:r>
        <w:rPr>
          <w:rFonts w:hint="eastAsia" w:ascii="宋体" w:hAnsi="宋体" w:eastAsia="宋体"/>
          <w:sz w:val="24"/>
          <w:szCs w:val="24"/>
          <w:lang w:eastAsia="zh-CN"/>
        </w:rPr>
        <w:t>辽源市西安区</w:t>
      </w:r>
      <w:r>
        <w:rPr>
          <w:rFonts w:hint="eastAsia" w:ascii="宋体" w:hAnsi="宋体" w:eastAsia="宋体"/>
          <w:sz w:val="24"/>
          <w:szCs w:val="24"/>
        </w:rPr>
        <w:t>人民法院司法辅助办公室司法鉴定委托书（</w:t>
      </w:r>
      <w:r>
        <w:rPr>
          <w:rFonts w:hint="eastAsia" w:ascii="宋体" w:hAnsi="宋体" w:eastAsia="宋体"/>
          <w:sz w:val="24"/>
          <w:szCs w:val="24"/>
          <w:lang w:val="en-US" w:eastAsia="zh-CN"/>
        </w:rPr>
        <w:t>2020</w:t>
      </w:r>
      <w:r>
        <w:rPr>
          <w:rFonts w:hint="eastAsia" w:ascii="宋体" w:hAnsi="宋体" w:eastAsia="宋体"/>
          <w:sz w:val="24"/>
          <w:szCs w:val="24"/>
        </w:rPr>
        <w:t>）吉</w:t>
      </w:r>
      <w:r>
        <w:rPr>
          <w:rFonts w:ascii="宋体" w:hAnsi="宋体" w:eastAsia="宋体"/>
          <w:sz w:val="24"/>
          <w:szCs w:val="24"/>
        </w:rPr>
        <w:t>040</w:t>
      </w:r>
      <w:r>
        <w:rPr>
          <w:rFonts w:hint="eastAsia" w:ascii="宋体" w:hAnsi="宋体" w:eastAsia="宋体"/>
          <w:sz w:val="24"/>
          <w:szCs w:val="24"/>
          <w:lang w:val="en-US" w:eastAsia="zh-CN"/>
        </w:rPr>
        <w:t>3法司鉴17</w:t>
      </w:r>
      <w:r>
        <w:rPr>
          <w:rFonts w:hint="eastAsia" w:ascii="宋体" w:hAnsi="宋体" w:eastAsia="宋体"/>
          <w:sz w:val="24"/>
          <w:szCs w:val="24"/>
        </w:rPr>
        <w:t>号、</w:t>
      </w:r>
      <w:r>
        <w:rPr>
          <w:rFonts w:hint="eastAsia" w:ascii="宋体" w:hAnsi="宋体" w:eastAsia="宋体"/>
          <w:sz w:val="24"/>
          <w:szCs w:val="24"/>
          <w:lang w:eastAsia="zh-CN"/>
        </w:rPr>
        <w:t>辽源市西安区</w:t>
      </w:r>
      <w:r>
        <w:rPr>
          <w:rFonts w:hint="eastAsia" w:ascii="宋体" w:hAnsi="宋体" w:eastAsia="宋体"/>
          <w:sz w:val="24"/>
          <w:szCs w:val="24"/>
        </w:rPr>
        <w:t>人民法院</w:t>
      </w:r>
      <w:r>
        <w:rPr>
          <w:rFonts w:hint="eastAsia" w:ascii="宋体" w:hAnsi="宋体" w:eastAsia="宋体"/>
          <w:sz w:val="24"/>
          <w:szCs w:val="24"/>
          <w:lang w:eastAsia="zh-CN"/>
        </w:rPr>
        <w:t>司法辅助办公室鉴定参与人资格审查函</w:t>
      </w:r>
      <w:r>
        <w:rPr>
          <w:rFonts w:hint="eastAsia" w:ascii="宋体" w:hAnsi="宋体"/>
          <w:sz w:val="24"/>
        </w:rPr>
        <w:t>。</w:t>
      </w:r>
    </w:p>
    <w:p>
      <w:pPr>
        <w:snapToGrid w:val="0"/>
        <w:spacing w:line="360" w:lineRule="auto"/>
        <w:ind w:firstLine="360" w:firstLineChars="150"/>
        <w:textAlignment w:val="top"/>
        <w:rPr>
          <w:rFonts w:ascii="宋体"/>
          <w:sz w:val="24"/>
        </w:rPr>
      </w:pPr>
      <w:r>
        <w:rPr>
          <w:rFonts w:hint="eastAsia" w:ascii="宋体" w:hAnsi="宋体"/>
          <w:sz w:val="24"/>
        </w:rPr>
        <w:t>（二）</w:t>
      </w:r>
      <w:r>
        <w:rPr>
          <w:rFonts w:hint="eastAsia" w:ascii="宋体" w:hAnsi="宋体"/>
          <w:sz w:val="24"/>
          <w:highlight w:val="none"/>
        </w:rPr>
        <w:t>法律、法规等依据</w:t>
      </w:r>
    </w:p>
    <w:p>
      <w:pPr>
        <w:snapToGrid w:val="0"/>
        <w:spacing w:line="360" w:lineRule="auto"/>
        <w:ind w:firstLine="480" w:firstLineChars="200"/>
        <w:textAlignment w:val="top"/>
        <w:rPr>
          <w:rFonts w:ascii="宋体"/>
          <w:sz w:val="24"/>
        </w:rPr>
      </w:pPr>
      <w:r>
        <w:rPr>
          <w:rFonts w:ascii="宋体" w:hAnsi="宋体"/>
          <w:sz w:val="24"/>
        </w:rPr>
        <w:t>1.</w:t>
      </w:r>
      <w:r>
        <w:rPr>
          <w:rFonts w:hint="eastAsia" w:ascii="宋体" w:hAnsi="宋体"/>
          <w:sz w:val="24"/>
        </w:rPr>
        <w:t>《中华人民共和国物权法》（</w:t>
      </w:r>
      <w:r>
        <w:rPr>
          <w:rFonts w:ascii="宋体" w:hAnsi="宋体"/>
          <w:color w:val="auto"/>
          <w:sz w:val="24"/>
          <w:highlight w:val="none"/>
          <w:shd w:val="clear" w:color="auto" w:fill="auto"/>
        </w:rPr>
        <w:t>2007</w:t>
      </w:r>
      <w:r>
        <w:rPr>
          <w:rFonts w:hint="eastAsia" w:ascii="宋体" w:hAnsi="宋体"/>
          <w:color w:val="auto"/>
          <w:sz w:val="24"/>
          <w:highlight w:val="none"/>
          <w:shd w:val="clear" w:color="auto" w:fill="auto"/>
        </w:rPr>
        <w:t>年</w:t>
      </w:r>
      <w:r>
        <w:rPr>
          <w:rFonts w:ascii="宋体" w:hAnsi="宋体"/>
          <w:color w:val="auto"/>
          <w:sz w:val="24"/>
          <w:highlight w:val="none"/>
          <w:shd w:val="clear" w:color="auto" w:fill="auto"/>
        </w:rPr>
        <w:t>3</w:t>
      </w:r>
      <w:r>
        <w:rPr>
          <w:rFonts w:hint="eastAsia" w:ascii="宋体" w:hAnsi="宋体"/>
          <w:color w:val="auto"/>
          <w:sz w:val="24"/>
          <w:highlight w:val="none"/>
          <w:shd w:val="clear" w:color="auto" w:fill="auto"/>
        </w:rPr>
        <w:t>月</w:t>
      </w:r>
      <w:r>
        <w:rPr>
          <w:rFonts w:ascii="宋体" w:hAnsi="宋体"/>
          <w:color w:val="auto"/>
          <w:sz w:val="24"/>
          <w:highlight w:val="none"/>
          <w:shd w:val="clear" w:color="auto" w:fill="auto"/>
        </w:rPr>
        <w:t>16</w:t>
      </w:r>
      <w:r>
        <w:rPr>
          <w:rFonts w:hint="eastAsia" w:ascii="宋体" w:hAnsi="宋体"/>
          <w:color w:val="auto"/>
          <w:sz w:val="24"/>
          <w:highlight w:val="none"/>
          <w:shd w:val="clear" w:color="auto" w:fill="auto"/>
        </w:rPr>
        <w:t>日中华人民共和国主席令第62号</w:t>
      </w:r>
      <w:r>
        <w:rPr>
          <w:rFonts w:hint="eastAsia" w:ascii="宋体" w:hAnsi="宋体"/>
          <w:sz w:val="24"/>
        </w:rPr>
        <w:t>）；</w:t>
      </w:r>
    </w:p>
    <w:p>
      <w:pPr>
        <w:snapToGrid w:val="0"/>
        <w:spacing w:line="360" w:lineRule="auto"/>
        <w:ind w:firstLine="480" w:firstLineChars="200"/>
        <w:rPr>
          <w:rFonts w:ascii="宋体"/>
          <w:kern w:val="0"/>
          <w:sz w:val="24"/>
        </w:rPr>
      </w:pPr>
      <w:r>
        <w:rPr>
          <w:rFonts w:ascii="宋体" w:hAnsi="宋体"/>
          <w:sz w:val="24"/>
        </w:rPr>
        <w:t>2.</w:t>
      </w:r>
      <w:r>
        <w:rPr>
          <w:rFonts w:hint="eastAsia" w:ascii="宋体" w:hAnsi="宋体"/>
          <w:sz w:val="24"/>
        </w:rPr>
        <w:t>《中华人民共和国合同法》（</w:t>
      </w:r>
      <w:r>
        <w:rPr>
          <w:rFonts w:ascii="宋体" w:hAnsi="宋体"/>
          <w:sz w:val="24"/>
        </w:rPr>
        <w:t>1999</w:t>
      </w:r>
      <w:r>
        <w:rPr>
          <w:rFonts w:hint="eastAsia" w:ascii="宋体" w:hAnsi="宋体"/>
          <w:sz w:val="24"/>
        </w:rPr>
        <w:t>年</w:t>
      </w:r>
      <w:r>
        <w:rPr>
          <w:rFonts w:ascii="宋体" w:hAnsi="宋体"/>
          <w:sz w:val="24"/>
        </w:rPr>
        <w:t>3</w:t>
      </w:r>
      <w:r>
        <w:rPr>
          <w:rFonts w:hint="eastAsia" w:ascii="宋体" w:hAnsi="宋体"/>
          <w:sz w:val="24"/>
        </w:rPr>
        <w:t>月</w:t>
      </w:r>
      <w:r>
        <w:rPr>
          <w:rFonts w:ascii="宋体" w:hAnsi="宋体"/>
          <w:sz w:val="24"/>
        </w:rPr>
        <w:t>15</w:t>
      </w:r>
      <w:r>
        <w:rPr>
          <w:rFonts w:hint="eastAsia" w:ascii="宋体" w:hAnsi="宋体"/>
          <w:sz w:val="24"/>
        </w:rPr>
        <w:t>日中华人民共和国主席令第15号）；</w:t>
      </w:r>
    </w:p>
    <w:p>
      <w:pPr>
        <w:snapToGrid w:val="0"/>
        <w:spacing w:line="360" w:lineRule="auto"/>
        <w:ind w:firstLine="480" w:firstLineChars="200"/>
        <w:textAlignment w:val="top"/>
        <w:rPr>
          <w:rFonts w:ascii="宋体"/>
          <w:sz w:val="24"/>
        </w:rPr>
      </w:pPr>
      <w:r>
        <w:rPr>
          <w:rFonts w:ascii="宋体" w:hAnsi="宋体"/>
          <w:sz w:val="24"/>
        </w:rPr>
        <w:t>3.</w:t>
      </w:r>
      <w:r>
        <w:rPr>
          <w:rFonts w:hint="eastAsia" w:ascii="宋体" w:hAnsi="宋体"/>
          <w:sz w:val="24"/>
        </w:rPr>
        <w:t>《中华人民共和国资产评估法》</w:t>
      </w:r>
      <w:r>
        <w:rPr>
          <w:rFonts w:hint="eastAsia" w:ascii="宋体" w:hAnsi="宋体"/>
          <w:sz w:val="24"/>
          <w:lang w:val="zh-CN"/>
        </w:rPr>
        <w:t>（</w:t>
      </w:r>
      <w:r>
        <w:rPr>
          <w:rFonts w:ascii="宋体" w:hAnsi="宋体"/>
          <w:sz w:val="24"/>
          <w:lang w:val="zh-CN"/>
        </w:rPr>
        <w:t>2016</w:t>
      </w:r>
      <w:r>
        <w:rPr>
          <w:rFonts w:hint="eastAsia" w:ascii="宋体" w:hAnsi="宋体"/>
          <w:sz w:val="24"/>
          <w:lang w:val="zh-CN"/>
        </w:rPr>
        <w:t>年</w:t>
      </w:r>
      <w:r>
        <w:rPr>
          <w:rFonts w:ascii="宋体" w:hAnsi="宋体"/>
          <w:sz w:val="24"/>
          <w:lang w:val="zh-CN"/>
        </w:rPr>
        <w:t>7</w:t>
      </w:r>
      <w:r>
        <w:rPr>
          <w:rFonts w:hint="eastAsia" w:ascii="宋体" w:hAnsi="宋体"/>
          <w:sz w:val="24"/>
          <w:lang w:val="zh-CN"/>
        </w:rPr>
        <w:t>月</w:t>
      </w:r>
      <w:r>
        <w:rPr>
          <w:rFonts w:ascii="宋体" w:hAnsi="宋体"/>
          <w:sz w:val="24"/>
          <w:lang w:val="zh-CN"/>
        </w:rPr>
        <w:t>2</w:t>
      </w:r>
      <w:r>
        <w:rPr>
          <w:rFonts w:hint="eastAsia" w:ascii="宋体" w:hAnsi="宋体"/>
          <w:sz w:val="24"/>
          <w:lang w:val="zh-CN"/>
        </w:rPr>
        <w:t>日中华人民共和国主席令第46号）</w:t>
      </w:r>
      <w:r>
        <w:rPr>
          <w:rFonts w:hint="eastAsia" w:ascii="宋体" w:hAnsi="宋体"/>
          <w:sz w:val="24"/>
        </w:rPr>
        <w:t>；</w:t>
      </w:r>
    </w:p>
    <w:p>
      <w:pPr>
        <w:pStyle w:val="8"/>
        <w:tabs>
          <w:tab w:val="left" w:pos="0"/>
        </w:tabs>
        <w:snapToGrid w:val="0"/>
        <w:ind w:firstLine="480" w:firstLineChars="200"/>
        <w:jc w:val="both"/>
        <w:rPr>
          <w:rFonts w:ascii="宋体" w:hAnsi="宋体" w:eastAsia="宋体" w:cs="Arial"/>
          <w:sz w:val="24"/>
          <w:szCs w:val="24"/>
        </w:rPr>
      </w:pPr>
      <w:r>
        <w:rPr>
          <w:rFonts w:ascii="宋体" w:hAnsi="宋体" w:eastAsia="宋体"/>
          <w:sz w:val="24"/>
          <w:szCs w:val="24"/>
        </w:rPr>
        <w:t>4.</w:t>
      </w:r>
      <w:r>
        <w:rPr>
          <w:rFonts w:hint="eastAsia" w:ascii="宋体" w:hAnsi="宋体" w:eastAsia="宋体"/>
          <w:sz w:val="24"/>
          <w:szCs w:val="24"/>
        </w:rPr>
        <w:t>《中华人民共和国城市房地产管理法》</w:t>
      </w:r>
      <w:r>
        <w:rPr>
          <w:rFonts w:ascii="宋体" w:hAnsi="宋体" w:eastAsia="宋体"/>
          <w:sz w:val="24"/>
          <w:szCs w:val="24"/>
        </w:rPr>
        <w:t>(2007</w:t>
      </w:r>
      <w:r>
        <w:rPr>
          <w:rFonts w:hint="eastAsia" w:ascii="宋体" w:hAnsi="宋体" w:eastAsia="宋体"/>
          <w:sz w:val="24"/>
          <w:szCs w:val="24"/>
        </w:rPr>
        <w:t>年</w:t>
      </w:r>
      <w:r>
        <w:rPr>
          <w:rFonts w:ascii="宋体" w:hAnsi="宋体" w:eastAsia="宋体"/>
          <w:sz w:val="24"/>
          <w:szCs w:val="24"/>
        </w:rPr>
        <w:t>8</w:t>
      </w:r>
      <w:r>
        <w:rPr>
          <w:rFonts w:hint="eastAsia" w:ascii="宋体" w:hAnsi="宋体" w:eastAsia="宋体"/>
          <w:sz w:val="24"/>
          <w:szCs w:val="24"/>
        </w:rPr>
        <w:t>月</w:t>
      </w:r>
      <w:r>
        <w:rPr>
          <w:rFonts w:ascii="宋体" w:hAnsi="宋体" w:eastAsia="宋体"/>
          <w:sz w:val="24"/>
          <w:szCs w:val="24"/>
        </w:rPr>
        <w:t>30</w:t>
      </w:r>
      <w:r>
        <w:rPr>
          <w:rFonts w:hint="eastAsia" w:ascii="宋体" w:hAnsi="宋体" w:eastAsia="宋体"/>
          <w:sz w:val="24"/>
          <w:szCs w:val="24"/>
        </w:rPr>
        <w:t>日中华人民共和国主席令第</w:t>
      </w:r>
      <w:r>
        <w:rPr>
          <w:rFonts w:ascii="宋体" w:hAnsi="宋体" w:eastAsia="宋体"/>
          <w:sz w:val="24"/>
          <w:szCs w:val="24"/>
        </w:rPr>
        <w:t>72</w:t>
      </w:r>
      <w:r>
        <w:rPr>
          <w:rFonts w:hint="eastAsia" w:ascii="宋体" w:hAnsi="宋体" w:eastAsia="宋体"/>
          <w:sz w:val="24"/>
          <w:szCs w:val="24"/>
        </w:rPr>
        <w:t>号</w:t>
      </w:r>
      <w:r>
        <w:rPr>
          <w:rFonts w:ascii="宋体" w:hAnsi="宋体" w:eastAsia="宋体"/>
          <w:sz w:val="24"/>
          <w:szCs w:val="24"/>
        </w:rPr>
        <w:t>)</w:t>
      </w:r>
      <w:r>
        <w:rPr>
          <w:rFonts w:hint="eastAsia" w:ascii="宋体" w:hAnsi="宋体" w:eastAsia="宋体"/>
          <w:sz w:val="24"/>
          <w:szCs w:val="24"/>
        </w:rPr>
        <w:t>；</w:t>
      </w:r>
    </w:p>
    <w:p>
      <w:pPr>
        <w:pStyle w:val="8"/>
        <w:tabs>
          <w:tab w:val="left" w:pos="0"/>
          <w:tab w:val="left" w:pos="504"/>
        </w:tabs>
        <w:snapToGrid w:val="0"/>
        <w:ind w:firstLine="480" w:firstLineChars="200"/>
        <w:jc w:val="both"/>
        <w:rPr>
          <w:rFonts w:ascii="宋体" w:hAnsi="宋体" w:eastAsia="宋体" w:cs="Arial"/>
          <w:sz w:val="24"/>
          <w:szCs w:val="24"/>
        </w:rPr>
      </w:pPr>
      <w:r>
        <w:rPr>
          <w:rFonts w:ascii="宋体" w:hAnsi="宋体" w:eastAsia="宋体" w:cs="Arial"/>
          <w:sz w:val="24"/>
          <w:szCs w:val="24"/>
        </w:rPr>
        <w:t>5.</w:t>
      </w:r>
      <w:r>
        <w:rPr>
          <w:rFonts w:hint="eastAsia" w:ascii="宋体" w:hAnsi="宋体" w:eastAsia="宋体" w:cs="Arial"/>
          <w:sz w:val="24"/>
          <w:szCs w:val="24"/>
        </w:rPr>
        <w:t>《全国人民代表大会常务委员会关于司法鉴定管理问题的决定》；</w:t>
      </w:r>
    </w:p>
    <w:p>
      <w:pPr>
        <w:pStyle w:val="8"/>
        <w:tabs>
          <w:tab w:val="left" w:pos="0"/>
          <w:tab w:val="left" w:pos="504"/>
        </w:tabs>
        <w:snapToGrid w:val="0"/>
        <w:ind w:firstLine="480" w:firstLineChars="200"/>
        <w:jc w:val="both"/>
        <w:rPr>
          <w:rFonts w:ascii="宋体" w:hAnsi="宋体" w:eastAsia="宋体" w:cs="Arial"/>
          <w:sz w:val="24"/>
          <w:szCs w:val="24"/>
        </w:rPr>
      </w:pPr>
      <w:r>
        <w:rPr>
          <w:rFonts w:ascii="宋体" w:hAnsi="宋体" w:eastAsia="宋体" w:cs="Arial"/>
          <w:sz w:val="24"/>
          <w:szCs w:val="24"/>
        </w:rPr>
        <w:t>6.</w:t>
      </w:r>
      <w:r>
        <w:rPr>
          <w:rFonts w:hint="eastAsia" w:ascii="宋体" w:hAnsi="宋体" w:eastAsia="宋体" w:cs="Arial"/>
          <w:sz w:val="24"/>
          <w:szCs w:val="24"/>
        </w:rPr>
        <w:t>《人民法院对外委托司法鉴定管理规定》</w:t>
      </w:r>
      <w:r>
        <w:rPr>
          <w:rFonts w:ascii="宋体" w:hAnsi="宋体" w:eastAsia="宋体" w:cs="Arial"/>
          <w:sz w:val="24"/>
          <w:szCs w:val="24"/>
        </w:rPr>
        <w:t>(</w:t>
      </w:r>
      <w:r>
        <w:rPr>
          <w:rFonts w:hint="eastAsia" w:ascii="宋体" w:hAnsi="宋体" w:eastAsia="宋体" w:cs="Arial"/>
          <w:sz w:val="24"/>
          <w:szCs w:val="24"/>
        </w:rPr>
        <w:t>法释〔</w:t>
      </w:r>
      <w:r>
        <w:rPr>
          <w:rFonts w:ascii="宋体" w:hAnsi="宋体" w:eastAsia="宋体" w:cs="Arial"/>
          <w:sz w:val="24"/>
          <w:szCs w:val="24"/>
        </w:rPr>
        <w:t>2002</w:t>
      </w:r>
      <w:r>
        <w:rPr>
          <w:rFonts w:hint="eastAsia" w:ascii="宋体" w:hAnsi="宋体" w:eastAsia="宋体" w:cs="Arial"/>
          <w:sz w:val="24"/>
          <w:szCs w:val="24"/>
        </w:rPr>
        <w:t>〕</w:t>
      </w:r>
      <w:r>
        <w:rPr>
          <w:rFonts w:ascii="宋体" w:hAnsi="宋体" w:eastAsia="宋体" w:cs="Arial"/>
          <w:sz w:val="24"/>
          <w:szCs w:val="24"/>
        </w:rPr>
        <w:t>8</w:t>
      </w:r>
      <w:r>
        <w:rPr>
          <w:rFonts w:hint="eastAsia" w:ascii="宋体" w:hAnsi="宋体" w:eastAsia="宋体" w:cs="Arial"/>
          <w:sz w:val="24"/>
          <w:szCs w:val="24"/>
        </w:rPr>
        <w:t>号</w:t>
      </w:r>
      <w:r>
        <w:rPr>
          <w:rFonts w:ascii="宋体" w:hAnsi="宋体" w:eastAsia="宋体" w:cs="Arial"/>
          <w:sz w:val="24"/>
          <w:szCs w:val="24"/>
        </w:rPr>
        <w:t>)</w:t>
      </w:r>
      <w:r>
        <w:rPr>
          <w:rFonts w:hint="eastAsia" w:ascii="宋体" w:hAnsi="宋体" w:eastAsia="宋体" w:cs="Arial"/>
          <w:sz w:val="24"/>
          <w:szCs w:val="24"/>
        </w:rPr>
        <w:t>；</w:t>
      </w:r>
    </w:p>
    <w:p>
      <w:pPr>
        <w:spacing w:line="360" w:lineRule="auto"/>
        <w:ind w:firstLine="480" w:firstLineChars="200"/>
        <w:rPr>
          <w:rFonts w:ascii="宋体"/>
          <w:sz w:val="24"/>
        </w:rPr>
      </w:pPr>
      <w:r>
        <w:rPr>
          <w:rFonts w:ascii="宋体" w:hAnsi="宋体"/>
          <w:sz w:val="24"/>
        </w:rPr>
        <w:t>7.</w:t>
      </w:r>
      <w:r>
        <w:rPr>
          <w:rFonts w:hint="eastAsia" w:ascii="宋体" w:hAnsi="宋体"/>
          <w:sz w:val="24"/>
        </w:rPr>
        <w:t>中华人民共和国司法部颁布的《司法鉴定程序通则》；</w:t>
      </w:r>
    </w:p>
    <w:p>
      <w:pPr>
        <w:pStyle w:val="9"/>
        <w:spacing w:line="360" w:lineRule="auto"/>
        <w:ind w:firstLine="480" w:firstLineChars="200"/>
        <w:rPr>
          <w:rFonts w:hAnsi="宋体"/>
          <w:sz w:val="24"/>
          <w:szCs w:val="24"/>
        </w:rPr>
      </w:pPr>
      <w:r>
        <w:rPr>
          <w:rFonts w:hAnsi="宋体" w:cs="Arial"/>
          <w:sz w:val="24"/>
          <w:szCs w:val="24"/>
        </w:rPr>
        <w:t>8.</w:t>
      </w:r>
      <w:r>
        <w:rPr>
          <w:rFonts w:hint="eastAsia" w:hAnsi="宋体" w:cs="Arial"/>
          <w:sz w:val="24"/>
          <w:szCs w:val="24"/>
        </w:rPr>
        <w:t>《最高人民法院对外委托鉴定、评估、拍卖等工作管理规定</w:t>
      </w:r>
      <w:r>
        <w:rPr>
          <w:rFonts w:hint="eastAsia" w:hAnsi="宋体"/>
          <w:sz w:val="24"/>
          <w:szCs w:val="24"/>
        </w:rPr>
        <w:t>》；</w:t>
      </w:r>
    </w:p>
    <w:p>
      <w:pPr>
        <w:pStyle w:val="9"/>
        <w:spacing w:line="360" w:lineRule="auto"/>
        <w:ind w:firstLine="480" w:firstLineChars="200"/>
        <w:rPr>
          <w:rFonts w:hAnsi="宋体" w:cs="Arial"/>
          <w:sz w:val="24"/>
          <w:szCs w:val="24"/>
        </w:rPr>
      </w:pPr>
      <w:r>
        <w:rPr>
          <w:rFonts w:hAnsi="宋体" w:cs="Arial"/>
          <w:sz w:val="24"/>
          <w:szCs w:val="24"/>
        </w:rPr>
        <w:t>9.</w:t>
      </w:r>
      <w:r>
        <w:rPr>
          <w:rFonts w:hint="eastAsia" w:hAnsi="宋体" w:cs="Arial"/>
          <w:sz w:val="24"/>
          <w:szCs w:val="24"/>
        </w:rPr>
        <w:t>最高人民法院关于人民法院确定财产处置参考价若干问题的规定</w:t>
      </w:r>
      <w:r>
        <w:rPr>
          <w:rFonts w:hAnsi="宋体" w:cs="Arial"/>
          <w:sz w:val="24"/>
          <w:szCs w:val="24"/>
        </w:rPr>
        <w:t>(</w:t>
      </w:r>
      <w:r>
        <w:rPr>
          <w:rFonts w:hint="eastAsia" w:hAnsi="宋体" w:cs="Arial"/>
          <w:sz w:val="24"/>
          <w:szCs w:val="24"/>
        </w:rPr>
        <w:t>法释〔</w:t>
      </w:r>
      <w:r>
        <w:rPr>
          <w:rFonts w:hAnsi="宋体" w:cs="Arial"/>
          <w:sz w:val="24"/>
          <w:szCs w:val="24"/>
        </w:rPr>
        <w:t>2018</w:t>
      </w:r>
      <w:r>
        <w:rPr>
          <w:rFonts w:hint="eastAsia" w:hAnsi="宋体" w:cs="Arial"/>
          <w:sz w:val="24"/>
          <w:szCs w:val="24"/>
        </w:rPr>
        <w:t>〕</w:t>
      </w:r>
      <w:r>
        <w:rPr>
          <w:rFonts w:hAnsi="宋体" w:cs="Arial"/>
          <w:sz w:val="24"/>
          <w:szCs w:val="24"/>
        </w:rPr>
        <w:t>15</w:t>
      </w:r>
      <w:r>
        <w:rPr>
          <w:rFonts w:hint="eastAsia" w:hAnsi="宋体" w:cs="Arial"/>
          <w:sz w:val="24"/>
          <w:szCs w:val="24"/>
        </w:rPr>
        <w:t>号</w:t>
      </w:r>
      <w:r>
        <w:rPr>
          <w:rFonts w:hAnsi="宋体" w:cs="Arial"/>
          <w:sz w:val="24"/>
          <w:szCs w:val="24"/>
        </w:rPr>
        <w:t>)</w:t>
      </w:r>
      <w:r>
        <w:rPr>
          <w:rFonts w:hint="eastAsia" w:hAnsi="宋体" w:cs="Arial"/>
          <w:sz w:val="24"/>
          <w:szCs w:val="24"/>
        </w:rPr>
        <w:t>。</w:t>
      </w:r>
    </w:p>
    <w:p>
      <w:pPr>
        <w:pStyle w:val="4"/>
        <w:adjustRightInd/>
        <w:spacing w:before="0" w:after="0" w:line="360" w:lineRule="auto"/>
        <w:ind w:firstLineChars="175"/>
        <w:rPr>
          <w:rFonts w:ascii="宋体"/>
          <w:szCs w:val="24"/>
        </w:rPr>
      </w:pPr>
      <w:bookmarkStart w:id="16" w:name="_Toc490638838"/>
      <w:r>
        <w:rPr>
          <w:rFonts w:hint="eastAsia" w:ascii="宋体" w:hAnsi="宋体"/>
          <w:szCs w:val="24"/>
        </w:rPr>
        <w:t>（三）</w:t>
      </w:r>
      <w:bookmarkStart w:id="17" w:name="_Toc213846102"/>
      <w:r>
        <w:rPr>
          <w:rFonts w:hint="eastAsia" w:ascii="宋体" w:hAnsi="宋体"/>
          <w:szCs w:val="24"/>
        </w:rPr>
        <w:t>准则依据</w:t>
      </w:r>
      <w:bookmarkEnd w:id="17"/>
    </w:p>
    <w:p>
      <w:pPr>
        <w:pStyle w:val="8"/>
        <w:tabs>
          <w:tab w:val="left" w:pos="0"/>
        </w:tabs>
        <w:snapToGrid w:val="0"/>
        <w:ind w:firstLine="480" w:firstLineChars="200"/>
        <w:jc w:val="both"/>
        <w:rPr>
          <w:rFonts w:ascii="宋体" w:hAnsi="宋体" w:eastAsia="宋体" w:cs="宋体"/>
          <w:bCs/>
          <w:sz w:val="24"/>
          <w:szCs w:val="24"/>
        </w:rPr>
      </w:pPr>
      <w:r>
        <w:rPr>
          <w:rFonts w:ascii="宋体" w:hAnsi="宋体" w:eastAsia="宋体" w:cs="宋体"/>
          <w:bCs/>
          <w:sz w:val="24"/>
          <w:szCs w:val="24"/>
        </w:rPr>
        <w:t xml:space="preserve">1. </w:t>
      </w:r>
      <w:r>
        <w:rPr>
          <w:rFonts w:hint="eastAsia" w:ascii="宋体" w:hAnsi="宋体" w:eastAsia="宋体" w:cs="宋体"/>
          <w:bCs/>
          <w:sz w:val="24"/>
          <w:szCs w:val="24"/>
        </w:rPr>
        <w:t>财政部关于印发《资产评估基本准则》的通知（财资〔</w:t>
      </w:r>
      <w:r>
        <w:rPr>
          <w:rFonts w:ascii="宋体" w:hAnsi="宋体" w:eastAsia="宋体" w:cs="宋体"/>
          <w:bCs/>
          <w:sz w:val="24"/>
          <w:szCs w:val="24"/>
        </w:rPr>
        <w:t>2017</w:t>
      </w:r>
      <w:r>
        <w:rPr>
          <w:rFonts w:hint="eastAsia" w:ascii="宋体" w:hAnsi="宋体" w:eastAsia="宋体" w:cs="宋体"/>
          <w:bCs/>
          <w:sz w:val="24"/>
          <w:szCs w:val="24"/>
        </w:rPr>
        <w:t>〕</w:t>
      </w:r>
      <w:r>
        <w:rPr>
          <w:rFonts w:ascii="宋体" w:hAnsi="宋体" w:eastAsia="宋体" w:cs="宋体"/>
          <w:bCs/>
          <w:sz w:val="24"/>
          <w:szCs w:val="24"/>
        </w:rPr>
        <w:t>43</w:t>
      </w:r>
      <w:r>
        <w:rPr>
          <w:rFonts w:hint="eastAsia" w:ascii="宋体" w:hAnsi="宋体" w:eastAsia="宋体" w:cs="宋体"/>
          <w:bCs/>
          <w:sz w:val="24"/>
          <w:szCs w:val="24"/>
        </w:rPr>
        <w:t>号）；</w:t>
      </w:r>
    </w:p>
    <w:p>
      <w:pPr>
        <w:pStyle w:val="8"/>
        <w:tabs>
          <w:tab w:val="left" w:pos="0"/>
        </w:tabs>
        <w:snapToGrid w:val="0"/>
        <w:ind w:firstLine="480" w:firstLineChars="200"/>
        <w:jc w:val="both"/>
        <w:rPr>
          <w:rFonts w:ascii="宋体" w:hAnsi="宋体" w:eastAsia="宋体" w:cs="宋体"/>
          <w:bCs/>
          <w:sz w:val="24"/>
          <w:szCs w:val="24"/>
        </w:rPr>
      </w:pPr>
      <w:r>
        <w:rPr>
          <w:rFonts w:ascii="宋体" w:hAnsi="宋体" w:eastAsia="宋体" w:cs="宋体"/>
          <w:bCs/>
          <w:sz w:val="24"/>
          <w:szCs w:val="24"/>
        </w:rPr>
        <w:t>2.</w:t>
      </w:r>
      <w:r>
        <w:rPr>
          <w:rFonts w:hint="eastAsia" w:ascii="宋体" w:hAnsi="宋体" w:eastAsia="宋体" w:cs="宋体"/>
          <w:bCs/>
          <w:sz w:val="24"/>
          <w:szCs w:val="24"/>
        </w:rPr>
        <w:t>《资产评估职业道德准则》（中评协〔</w:t>
      </w:r>
      <w:r>
        <w:rPr>
          <w:rFonts w:ascii="宋体" w:hAnsi="宋体" w:eastAsia="宋体" w:cs="宋体"/>
          <w:bCs/>
          <w:sz w:val="24"/>
          <w:szCs w:val="24"/>
        </w:rPr>
        <w:t>2017</w:t>
      </w:r>
      <w:r>
        <w:rPr>
          <w:rFonts w:hint="eastAsia" w:ascii="宋体" w:hAnsi="宋体" w:eastAsia="宋体" w:cs="宋体"/>
          <w:bCs/>
          <w:sz w:val="24"/>
          <w:szCs w:val="24"/>
        </w:rPr>
        <w:t>〕</w:t>
      </w:r>
      <w:r>
        <w:rPr>
          <w:rFonts w:ascii="宋体" w:hAnsi="宋体" w:eastAsia="宋体" w:cs="宋体"/>
          <w:bCs/>
          <w:sz w:val="24"/>
          <w:szCs w:val="24"/>
        </w:rPr>
        <w:t>30</w:t>
      </w:r>
      <w:r>
        <w:rPr>
          <w:rFonts w:hint="eastAsia" w:ascii="宋体" w:hAnsi="宋体" w:eastAsia="宋体" w:cs="宋体"/>
          <w:bCs/>
          <w:sz w:val="24"/>
          <w:szCs w:val="24"/>
        </w:rPr>
        <w:t>号）；</w:t>
      </w:r>
    </w:p>
    <w:p>
      <w:pPr>
        <w:pStyle w:val="8"/>
        <w:tabs>
          <w:tab w:val="left" w:pos="0"/>
        </w:tabs>
        <w:snapToGrid w:val="0"/>
        <w:ind w:firstLine="480" w:firstLineChars="200"/>
        <w:jc w:val="both"/>
        <w:rPr>
          <w:rFonts w:ascii="宋体" w:hAnsi="宋体" w:eastAsia="宋体" w:cs="宋体"/>
          <w:bCs/>
          <w:sz w:val="24"/>
          <w:szCs w:val="24"/>
        </w:rPr>
      </w:pPr>
      <w:r>
        <w:rPr>
          <w:rFonts w:ascii="宋体" w:hAnsi="宋体" w:eastAsia="宋体" w:cs="宋体"/>
          <w:bCs/>
          <w:sz w:val="24"/>
          <w:szCs w:val="24"/>
        </w:rPr>
        <w:t>3.</w:t>
      </w:r>
      <w:r>
        <w:rPr>
          <w:rFonts w:hint="eastAsia" w:ascii="宋体" w:hAnsi="宋体" w:eastAsia="宋体" w:cs="宋体"/>
          <w:bCs/>
          <w:sz w:val="24"/>
          <w:szCs w:val="24"/>
        </w:rPr>
        <w:t>《资产评估价值类型指导意见》（中评协〔</w:t>
      </w:r>
      <w:r>
        <w:rPr>
          <w:rFonts w:ascii="宋体" w:hAnsi="宋体" w:eastAsia="宋体" w:cs="宋体"/>
          <w:bCs/>
          <w:sz w:val="24"/>
          <w:szCs w:val="24"/>
        </w:rPr>
        <w:t>2017</w:t>
      </w:r>
      <w:r>
        <w:rPr>
          <w:rFonts w:hint="eastAsia" w:ascii="宋体" w:hAnsi="宋体" w:eastAsia="宋体" w:cs="宋体"/>
          <w:bCs/>
          <w:sz w:val="24"/>
          <w:szCs w:val="24"/>
        </w:rPr>
        <w:t>〕</w:t>
      </w:r>
      <w:r>
        <w:rPr>
          <w:rFonts w:ascii="宋体" w:hAnsi="宋体" w:eastAsia="宋体" w:cs="宋体"/>
          <w:bCs/>
          <w:sz w:val="24"/>
          <w:szCs w:val="24"/>
        </w:rPr>
        <w:t>47</w:t>
      </w:r>
      <w:r>
        <w:rPr>
          <w:rFonts w:hint="eastAsia" w:ascii="宋体" w:hAnsi="宋体" w:eastAsia="宋体" w:cs="宋体"/>
          <w:bCs/>
          <w:sz w:val="24"/>
          <w:szCs w:val="24"/>
        </w:rPr>
        <w:t>号）；</w:t>
      </w:r>
    </w:p>
    <w:p>
      <w:pPr>
        <w:pStyle w:val="8"/>
        <w:tabs>
          <w:tab w:val="left" w:pos="0"/>
        </w:tabs>
        <w:snapToGrid w:val="0"/>
        <w:ind w:firstLine="480" w:firstLineChars="200"/>
        <w:jc w:val="both"/>
        <w:rPr>
          <w:rFonts w:ascii="宋体" w:hAnsi="宋体" w:eastAsia="宋体" w:cs="宋体"/>
          <w:bCs/>
          <w:sz w:val="24"/>
          <w:szCs w:val="24"/>
        </w:rPr>
      </w:pPr>
      <w:r>
        <w:rPr>
          <w:rFonts w:ascii="宋体" w:hAnsi="宋体" w:eastAsia="宋体" w:cs="宋体"/>
          <w:bCs/>
          <w:sz w:val="24"/>
          <w:szCs w:val="24"/>
        </w:rPr>
        <w:t>4.</w:t>
      </w:r>
      <w:r>
        <w:rPr>
          <w:rFonts w:hint="eastAsia" w:ascii="宋体" w:hAnsi="宋体" w:eastAsia="宋体" w:cs="宋体"/>
          <w:bCs/>
          <w:sz w:val="24"/>
          <w:szCs w:val="24"/>
        </w:rPr>
        <w:t>《资产评估对象法律权属指导意见》（中评协〔</w:t>
      </w:r>
      <w:r>
        <w:rPr>
          <w:rFonts w:ascii="宋体" w:hAnsi="宋体" w:eastAsia="宋体" w:cs="宋体"/>
          <w:bCs/>
          <w:sz w:val="24"/>
          <w:szCs w:val="24"/>
        </w:rPr>
        <w:t>2017</w:t>
      </w:r>
      <w:r>
        <w:rPr>
          <w:rFonts w:hint="eastAsia" w:ascii="宋体" w:hAnsi="宋体" w:eastAsia="宋体" w:cs="宋体"/>
          <w:bCs/>
          <w:sz w:val="24"/>
          <w:szCs w:val="24"/>
        </w:rPr>
        <w:t>〕</w:t>
      </w:r>
      <w:r>
        <w:rPr>
          <w:rFonts w:ascii="宋体" w:hAnsi="宋体" w:eastAsia="宋体" w:cs="宋体"/>
          <w:bCs/>
          <w:sz w:val="24"/>
          <w:szCs w:val="24"/>
        </w:rPr>
        <w:t>48</w:t>
      </w:r>
      <w:r>
        <w:rPr>
          <w:rFonts w:hint="eastAsia" w:ascii="宋体" w:hAnsi="宋体" w:eastAsia="宋体" w:cs="宋体"/>
          <w:bCs/>
          <w:sz w:val="24"/>
          <w:szCs w:val="24"/>
        </w:rPr>
        <w:t>号）；</w:t>
      </w:r>
    </w:p>
    <w:p>
      <w:pPr>
        <w:pStyle w:val="8"/>
        <w:tabs>
          <w:tab w:val="left" w:pos="0"/>
        </w:tabs>
        <w:snapToGrid w:val="0"/>
        <w:ind w:firstLine="480" w:firstLineChars="200"/>
        <w:jc w:val="both"/>
        <w:rPr>
          <w:rFonts w:ascii="宋体" w:hAnsi="宋体" w:eastAsia="宋体" w:cs="宋体"/>
          <w:bCs/>
          <w:sz w:val="24"/>
          <w:szCs w:val="24"/>
        </w:rPr>
      </w:pPr>
      <w:r>
        <w:rPr>
          <w:rFonts w:ascii="宋体" w:hAnsi="宋体" w:eastAsia="宋体" w:cs="宋体"/>
          <w:bCs/>
          <w:sz w:val="24"/>
          <w:szCs w:val="24"/>
        </w:rPr>
        <w:t>5.</w:t>
      </w:r>
      <w:r>
        <w:rPr>
          <w:rFonts w:hint="eastAsia" w:ascii="宋体" w:hAnsi="宋体" w:eastAsia="宋体" w:cs="宋体"/>
          <w:bCs/>
          <w:sz w:val="24"/>
          <w:szCs w:val="24"/>
        </w:rPr>
        <w:t>《资产评估执业准则</w:t>
      </w:r>
      <w:r>
        <w:rPr>
          <w:rFonts w:ascii="宋体" w:hAnsi="宋体" w:eastAsia="宋体" w:cs="宋体"/>
          <w:bCs/>
          <w:sz w:val="24"/>
          <w:szCs w:val="24"/>
        </w:rPr>
        <w:t>——</w:t>
      </w:r>
      <w:r>
        <w:rPr>
          <w:rFonts w:hint="eastAsia" w:ascii="宋体" w:hAnsi="宋体" w:eastAsia="宋体" w:cs="宋体"/>
          <w:bCs/>
          <w:sz w:val="24"/>
          <w:szCs w:val="24"/>
        </w:rPr>
        <w:t>资产评估报告》（中评协〔</w:t>
      </w:r>
      <w:r>
        <w:rPr>
          <w:rFonts w:ascii="宋体" w:hAnsi="宋体" w:eastAsia="宋体" w:cs="宋体"/>
          <w:bCs/>
          <w:sz w:val="24"/>
          <w:szCs w:val="24"/>
        </w:rPr>
        <w:t>2018</w:t>
      </w:r>
      <w:r>
        <w:rPr>
          <w:rFonts w:hint="eastAsia" w:ascii="宋体" w:hAnsi="宋体" w:eastAsia="宋体" w:cs="宋体"/>
          <w:bCs/>
          <w:sz w:val="24"/>
          <w:szCs w:val="24"/>
        </w:rPr>
        <w:t>〕</w:t>
      </w:r>
      <w:r>
        <w:rPr>
          <w:rFonts w:ascii="宋体" w:hAnsi="宋体" w:eastAsia="宋体" w:cs="宋体"/>
          <w:bCs/>
          <w:sz w:val="24"/>
          <w:szCs w:val="24"/>
        </w:rPr>
        <w:t>35</w:t>
      </w:r>
      <w:r>
        <w:rPr>
          <w:rFonts w:hint="eastAsia" w:ascii="宋体" w:hAnsi="宋体" w:eastAsia="宋体" w:cs="宋体"/>
          <w:bCs/>
          <w:sz w:val="24"/>
          <w:szCs w:val="24"/>
        </w:rPr>
        <w:t>号）；</w:t>
      </w:r>
    </w:p>
    <w:p>
      <w:pPr>
        <w:pStyle w:val="8"/>
        <w:tabs>
          <w:tab w:val="left" w:pos="0"/>
        </w:tabs>
        <w:snapToGrid w:val="0"/>
        <w:ind w:firstLine="480" w:firstLineChars="200"/>
        <w:jc w:val="both"/>
        <w:rPr>
          <w:rFonts w:ascii="宋体" w:hAnsi="宋体" w:eastAsia="宋体" w:cs="宋体"/>
          <w:bCs/>
          <w:sz w:val="24"/>
          <w:szCs w:val="24"/>
        </w:rPr>
      </w:pPr>
      <w:r>
        <w:rPr>
          <w:rFonts w:ascii="宋体" w:hAnsi="宋体" w:eastAsia="宋体" w:cs="宋体"/>
          <w:bCs/>
          <w:sz w:val="24"/>
          <w:szCs w:val="24"/>
        </w:rPr>
        <w:t>6.</w:t>
      </w:r>
      <w:r>
        <w:rPr>
          <w:rFonts w:hint="eastAsia" w:ascii="宋体" w:hAnsi="宋体" w:eastAsia="宋体" w:cs="宋体"/>
          <w:bCs/>
          <w:sz w:val="24"/>
          <w:szCs w:val="24"/>
        </w:rPr>
        <w:t>《资产评估执业准则</w:t>
      </w:r>
      <w:r>
        <w:rPr>
          <w:rFonts w:ascii="宋体" w:hAnsi="宋体" w:eastAsia="宋体" w:cs="宋体"/>
          <w:bCs/>
          <w:sz w:val="24"/>
          <w:szCs w:val="24"/>
        </w:rPr>
        <w:t>——</w:t>
      </w:r>
      <w:r>
        <w:rPr>
          <w:rFonts w:hint="eastAsia" w:ascii="宋体" w:hAnsi="宋体" w:eastAsia="宋体" w:cs="宋体"/>
          <w:bCs/>
          <w:sz w:val="24"/>
          <w:szCs w:val="24"/>
        </w:rPr>
        <w:t>资产评估程序》（中评协〔</w:t>
      </w:r>
      <w:r>
        <w:rPr>
          <w:rFonts w:ascii="宋体" w:hAnsi="宋体" w:eastAsia="宋体" w:cs="宋体"/>
          <w:bCs/>
          <w:sz w:val="24"/>
          <w:szCs w:val="24"/>
        </w:rPr>
        <w:t>2018</w:t>
      </w:r>
      <w:r>
        <w:rPr>
          <w:rFonts w:hint="eastAsia" w:ascii="宋体" w:hAnsi="宋体" w:eastAsia="宋体" w:cs="宋体"/>
          <w:bCs/>
          <w:sz w:val="24"/>
          <w:szCs w:val="24"/>
        </w:rPr>
        <w:t>〕</w:t>
      </w:r>
      <w:r>
        <w:rPr>
          <w:rFonts w:ascii="宋体" w:hAnsi="宋体" w:eastAsia="宋体" w:cs="宋体"/>
          <w:bCs/>
          <w:sz w:val="24"/>
          <w:szCs w:val="24"/>
        </w:rPr>
        <w:t>36</w:t>
      </w:r>
      <w:r>
        <w:rPr>
          <w:rFonts w:hint="eastAsia" w:ascii="宋体" w:hAnsi="宋体" w:eastAsia="宋体" w:cs="宋体"/>
          <w:bCs/>
          <w:sz w:val="24"/>
          <w:szCs w:val="24"/>
        </w:rPr>
        <w:t>号）；</w:t>
      </w:r>
    </w:p>
    <w:p>
      <w:pPr>
        <w:pStyle w:val="8"/>
        <w:tabs>
          <w:tab w:val="left" w:pos="0"/>
        </w:tabs>
        <w:snapToGrid w:val="0"/>
        <w:ind w:firstLine="480" w:firstLineChars="200"/>
        <w:jc w:val="both"/>
        <w:rPr>
          <w:rFonts w:ascii="宋体" w:hAnsi="宋体" w:eastAsia="宋体" w:cs="宋体"/>
          <w:bCs/>
          <w:sz w:val="24"/>
          <w:szCs w:val="24"/>
        </w:rPr>
      </w:pPr>
      <w:r>
        <w:rPr>
          <w:rFonts w:ascii="宋体" w:hAnsi="宋体" w:eastAsia="宋体" w:cs="宋体"/>
          <w:bCs/>
          <w:sz w:val="24"/>
          <w:szCs w:val="24"/>
        </w:rPr>
        <w:t>7.</w:t>
      </w:r>
      <w:r>
        <w:rPr>
          <w:rFonts w:hint="eastAsia" w:ascii="宋体" w:hAnsi="宋体" w:eastAsia="宋体" w:cs="宋体"/>
          <w:bCs/>
          <w:sz w:val="24"/>
          <w:szCs w:val="24"/>
        </w:rPr>
        <w:t>《资产评估执业准则</w:t>
      </w:r>
      <w:r>
        <w:rPr>
          <w:rFonts w:ascii="宋体" w:hAnsi="宋体" w:eastAsia="宋体" w:cs="宋体"/>
          <w:bCs/>
          <w:sz w:val="24"/>
          <w:szCs w:val="24"/>
        </w:rPr>
        <w:t>——</w:t>
      </w:r>
      <w:r>
        <w:rPr>
          <w:rFonts w:hint="eastAsia" w:ascii="宋体" w:hAnsi="宋体" w:eastAsia="宋体" w:cs="宋体"/>
          <w:bCs/>
          <w:sz w:val="24"/>
          <w:szCs w:val="24"/>
        </w:rPr>
        <w:t>资产评估档案》（中评协〔</w:t>
      </w:r>
      <w:r>
        <w:rPr>
          <w:rFonts w:ascii="宋体" w:hAnsi="宋体" w:eastAsia="宋体" w:cs="宋体"/>
          <w:bCs/>
          <w:sz w:val="24"/>
          <w:szCs w:val="24"/>
        </w:rPr>
        <w:t>2018</w:t>
      </w:r>
      <w:r>
        <w:rPr>
          <w:rFonts w:hint="eastAsia" w:ascii="宋体" w:hAnsi="宋体" w:eastAsia="宋体" w:cs="宋体"/>
          <w:bCs/>
          <w:sz w:val="24"/>
          <w:szCs w:val="24"/>
        </w:rPr>
        <w:t>〕</w:t>
      </w:r>
      <w:r>
        <w:rPr>
          <w:rFonts w:ascii="宋体" w:hAnsi="宋体" w:eastAsia="宋体" w:cs="宋体"/>
          <w:bCs/>
          <w:sz w:val="24"/>
          <w:szCs w:val="24"/>
        </w:rPr>
        <w:t>37</w:t>
      </w:r>
      <w:r>
        <w:rPr>
          <w:rFonts w:hint="eastAsia" w:ascii="宋体" w:hAnsi="宋体" w:eastAsia="宋体" w:cs="宋体"/>
          <w:bCs/>
          <w:sz w:val="24"/>
          <w:szCs w:val="24"/>
        </w:rPr>
        <w:t>号）；</w:t>
      </w:r>
    </w:p>
    <w:p>
      <w:pPr>
        <w:pStyle w:val="8"/>
        <w:tabs>
          <w:tab w:val="left" w:pos="0"/>
        </w:tabs>
        <w:snapToGrid w:val="0"/>
        <w:ind w:firstLine="480" w:firstLineChars="200"/>
        <w:jc w:val="both"/>
        <w:rPr>
          <w:rFonts w:ascii="宋体" w:hAnsi="宋体" w:eastAsia="宋体" w:cs="Arial"/>
          <w:sz w:val="24"/>
          <w:szCs w:val="24"/>
        </w:rPr>
      </w:pPr>
      <w:r>
        <w:rPr>
          <w:rFonts w:ascii="宋体" w:hAnsi="宋体" w:eastAsia="宋体"/>
          <w:sz w:val="24"/>
          <w:szCs w:val="24"/>
        </w:rPr>
        <w:t>8.</w:t>
      </w:r>
      <w:r>
        <w:rPr>
          <w:rFonts w:hint="eastAsia" w:ascii="宋体" w:hAnsi="宋体" w:eastAsia="宋体"/>
          <w:sz w:val="24"/>
          <w:szCs w:val="24"/>
        </w:rPr>
        <w:t>《资产评估执业准则</w:t>
      </w:r>
      <w:r>
        <w:rPr>
          <w:rFonts w:ascii="宋体" w:hAnsi="宋体" w:eastAsia="宋体"/>
          <w:sz w:val="24"/>
          <w:szCs w:val="24"/>
        </w:rPr>
        <w:t>——</w:t>
      </w:r>
      <w:r>
        <w:rPr>
          <w:rFonts w:hint="eastAsia" w:ascii="宋体" w:hAnsi="宋体" w:eastAsia="宋体"/>
          <w:sz w:val="24"/>
          <w:szCs w:val="24"/>
        </w:rPr>
        <w:t>不动产》（中评协〔</w:t>
      </w:r>
      <w:r>
        <w:rPr>
          <w:rFonts w:ascii="宋体" w:hAnsi="宋体" w:eastAsia="宋体"/>
          <w:sz w:val="24"/>
          <w:szCs w:val="24"/>
        </w:rPr>
        <w:t>2017</w:t>
      </w:r>
      <w:r>
        <w:rPr>
          <w:rFonts w:hint="eastAsia" w:ascii="宋体" w:hAnsi="宋体" w:eastAsia="宋体"/>
          <w:sz w:val="24"/>
          <w:szCs w:val="24"/>
        </w:rPr>
        <w:t>〕</w:t>
      </w:r>
      <w:r>
        <w:rPr>
          <w:rFonts w:ascii="宋体" w:hAnsi="宋体" w:eastAsia="宋体"/>
          <w:sz w:val="24"/>
          <w:szCs w:val="24"/>
          <w:highlight w:val="none"/>
        </w:rPr>
        <w:t>3</w:t>
      </w:r>
      <w:r>
        <w:rPr>
          <w:rFonts w:hint="eastAsia" w:ascii="宋体" w:hAnsi="宋体" w:eastAsia="宋体"/>
          <w:sz w:val="24"/>
          <w:szCs w:val="24"/>
          <w:highlight w:val="none"/>
        </w:rPr>
        <w:t>7</w:t>
      </w:r>
      <w:r>
        <w:rPr>
          <w:rFonts w:hint="eastAsia" w:ascii="宋体" w:hAnsi="宋体" w:eastAsia="宋体"/>
          <w:sz w:val="24"/>
          <w:szCs w:val="24"/>
        </w:rPr>
        <w:t>号）</w:t>
      </w:r>
      <w:r>
        <w:rPr>
          <w:rFonts w:hint="eastAsia" w:ascii="宋体" w:hAnsi="宋体" w:eastAsia="宋体" w:cs="Arial"/>
          <w:sz w:val="24"/>
          <w:szCs w:val="24"/>
        </w:rPr>
        <w:t>；</w:t>
      </w:r>
    </w:p>
    <w:p>
      <w:pPr>
        <w:pStyle w:val="8"/>
        <w:tabs>
          <w:tab w:val="left" w:pos="0"/>
        </w:tabs>
        <w:snapToGrid w:val="0"/>
        <w:ind w:firstLine="480" w:firstLineChars="200"/>
        <w:jc w:val="both"/>
        <w:rPr>
          <w:rFonts w:ascii="宋体" w:hAnsi="宋体" w:eastAsia="宋体" w:cs="Arial"/>
          <w:sz w:val="24"/>
          <w:szCs w:val="24"/>
        </w:rPr>
      </w:pPr>
      <w:r>
        <w:rPr>
          <w:rFonts w:ascii="宋体" w:hAnsi="宋体" w:eastAsia="宋体" w:cs="Arial"/>
          <w:sz w:val="24"/>
          <w:szCs w:val="24"/>
        </w:rPr>
        <w:t>9.</w:t>
      </w:r>
      <w:r>
        <w:rPr>
          <w:rFonts w:hint="eastAsia" w:ascii="宋体" w:hAnsi="宋体" w:eastAsia="宋体" w:cs="Arial"/>
          <w:sz w:val="24"/>
          <w:szCs w:val="24"/>
        </w:rPr>
        <w:t>《房地产估价规范》中华人民共和国国家标准</w:t>
      </w:r>
      <w:r>
        <w:rPr>
          <w:rFonts w:ascii="宋体" w:hAnsi="宋体" w:eastAsia="宋体" w:cs="Arial"/>
          <w:sz w:val="24"/>
          <w:szCs w:val="24"/>
        </w:rPr>
        <w:t>GB/T</w:t>
      </w:r>
      <w:r>
        <w:rPr>
          <w:rFonts w:hint="eastAsia" w:ascii="宋体" w:hAnsi="宋体" w:eastAsia="宋体" w:cs="Arial"/>
          <w:sz w:val="24"/>
          <w:szCs w:val="24"/>
        </w:rPr>
        <w:t xml:space="preserve"> </w:t>
      </w:r>
      <w:r>
        <w:rPr>
          <w:rFonts w:ascii="宋体" w:hAnsi="宋体" w:eastAsia="宋体" w:cs="Arial"/>
          <w:sz w:val="24"/>
          <w:szCs w:val="24"/>
        </w:rPr>
        <w:t>50291-2015</w:t>
      </w:r>
      <w:r>
        <w:rPr>
          <w:rFonts w:hint="eastAsia" w:ascii="宋体" w:hAnsi="宋体" w:eastAsia="宋体" w:cs="Arial"/>
          <w:sz w:val="24"/>
          <w:szCs w:val="24"/>
        </w:rPr>
        <w:t>；</w:t>
      </w:r>
    </w:p>
    <w:p>
      <w:pPr>
        <w:spacing w:line="360" w:lineRule="auto"/>
        <w:ind w:firstLine="480" w:firstLineChars="200"/>
        <w:textAlignment w:val="top"/>
        <w:rPr>
          <w:rFonts w:ascii="宋体"/>
          <w:sz w:val="24"/>
        </w:rPr>
      </w:pPr>
      <w:r>
        <w:rPr>
          <w:rFonts w:ascii="宋体" w:hAnsi="宋体"/>
          <w:kern w:val="0"/>
          <w:sz w:val="24"/>
        </w:rPr>
        <w:t>10.</w:t>
      </w:r>
      <w:r>
        <w:rPr>
          <w:rFonts w:hint="eastAsia" w:ascii="宋体" w:hAnsi="宋体"/>
          <w:kern w:val="0"/>
          <w:sz w:val="24"/>
        </w:rPr>
        <w:t>《资产评估机构业务质量控制指南》（中评协〔</w:t>
      </w:r>
      <w:r>
        <w:rPr>
          <w:rFonts w:ascii="宋体" w:hAnsi="宋体"/>
          <w:kern w:val="0"/>
          <w:sz w:val="24"/>
        </w:rPr>
        <w:t>2017</w:t>
      </w:r>
      <w:r>
        <w:rPr>
          <w:rFonts w:hint="eastAsia" w:ascii="宋体" w:hAnsi="宋体"/>
          <w:kern w:val="0"/>
          <w:sz w:val="24"/>
        </w:rPr>
        <w:t>〕</w:t>
      </w:r>
      <w:r>
        <w:rPr>
          <w:rFonts w:ascii="宋体" w:hAnsi="宋体"/>
          <w:kern w:val="0"/>
          <w:sz w:val="24"/>
        </w:rPr>
        <w:t>46</w:t>
      </w:r>
      <w:r>
        <w:rPr>
          <w:rFonts w:hint="eastAsia" w:ascii="宋体" w:hAnsi="宋体"/>
          <w:kern w:val="0"/>
          <w:sz w:val="24"/>
        </w:rPr>
        <w:t>号）。</w:t>
      </w:r>
    </w:p>
    <w:p>
      <w:pPr>
        <w:spacing w:line="360" w:lineRule="auto"/>
        <w:ind w:firstLine="360" w:firstLineChars="150"/>
        <w:textAlignment w:val="top"/>
        <w:rPr>
          <w:rFonts w:ascii="宋体"/>
          <w:sz w:val="24"/>
        </w:rPr>
      </w:pPr>
      <w:r>
        <w:rPr>
          <w:rFonts w:hint="eastAsia" w:ascii="宋体" w:hAnsi="宋体"/>
          <w:sz w:val="24"/>
        </w:rPr>
        <w:t>（四）权属依据</w:t>
      </w:r>
    </w:p>
    <w:p>
      <w:pPr>
        <w:spacing w:line="360" w:lineRule="auto"/>
        <w:ind w:firstLine="480" w:firstLineChars="200"/>
        <w:textAlignment w:val="top"/>
        <w:rPr>
          <w:rFonts w:ascii="宋体"/>
          <w:sz w:val="24"/>
        </w:rPr>
      </w:pPr>
      <w:r>
        <w:rPr>
          <w:rFonts w:ascii="宋体" w:hAnsi="宋体"/>
          <w:sz w:val="24"/>
        </w:rPr>
        <w:t>1</w:t>
      </w:r>
      <w:r>
        <w:rPr>
          <w:rFonts w:hint="eastAsia" w:ascii="宋体" w:hAnsi="宋体"/>
          <w:sz w:val="24"/>
        </w:rPr>
        <w:t>.委托人提供的不动产查询结果证明复印件。</w:t>
      </w:r>
    </w:p>
    <w:p>
      <w:pPr>
        <w:spacing w:line="360" w:lineRule="auto"/>
        <w:ind w:firstLine="360" w:firstLineChars="150"/>
        <w:textAlignment w:val="top"/>
        <w:rPr>
          <w:rFonts w:ascii="宋体"/>
          <w:sz w:val="24"/>
        </w:rPr>
      </w:pPr>
      <w:r>
        <w:rPr>
          <w:rFonts w:hint="eastAsia" w:ascii="宋体" w:hAnsi="宋体"/>
          <w:sz w:val="24"/>
        </w:rPr>
        <w:t>（五）取价依据</w:t>
      </w:r>
    </w:p>
    <w:p>
      <w:pPr>
        <w:pStyle w:val="10"/>
        <w:snapToGrid w:val="0"/>
        <w:spacing w:after="0"/>
        <w:ind w:right="0" w:firstLine="480" w:firstLineChars="200"/>
        <w:rPr>
          <w:rFonts w:hAnsi="宋体"/>
          <w:sz w:val="24"/>
          <w:szCs w:val="24"/>
        </w:rPr>
      </w:pPr>
      <w:r>
        <w:rPr>
          <w:rFonts w:hAnsi="宋体"/>
          <w:sz w:val="24"/>
          <w:szCs w:val="24"/>
        </w:rPr>
        <w:t>1.</w:t>
      </w:r>
      <w:r>
        <w:rPr>
          <w:rFonts w:hint="eastAsia" w:hAnsi="宋体"/>
          <w:sz w:val="24"/>
          <w:szCs w:val="24"/>
        </w:rPr>
        <w:t>最新《资产评估常用数据和参数手册》；</w:t>
      </w:r>
    </w:p>
    <w:p>
      <w:pPr>
        <w:spacing w:line="360" w:lineRule="auto"/>
        <w:ind w:firstLine="480" w:firstLineChars="200"/>
        <w:rPr>
          <w:rFonts w:ascii="宋体"/>
          <w:kern w:val="0"/>
          <w:sz w:val="24"/>
        </w:rPr>
      </w:pPr>
      <w:r>
        <w:rPr>
          <w:rFonts w:ascii="宋体" w:hAnsi="宋体"/>
          <w:sz w:val="24"/>
        </w:rPr>
        <w:t>2.</w:t>
      </w:r>
      <w:r>
        <w:rPr>
          <w:rFonts w:hint="eastAsia" w:ascii="宋体" w:hAnsi="宋体"/>
          <w:kern w:val="0"/>
          <w:sz w:val="24"/>
        </w:rPr>
        <w:t>国家或省市有关部门发布的统计资料的技术标准资料及价格信息资料；</w:t>
      </w:r>
    </w:p>
    <w:p>
      <w:pPr>
        <w:spacing w:line="360" w:lineRule="auto"/>
        <w:ind w:firstLine="480" w:firstLineChars="200"/>
        <w:textAlignment w:val="top"/>
        <w:rPr>
          <w:rFonts w:ascii="宋体"/>
          <w:sz w:val="24"/>
        </w:rPr>
      </w:pPr>
      <w:r>
        <w:rPr>
          <w:rFonts w:ascii="宋体" w:hAnsi="宋体"/>
          <w:sz w:val="24"/>
        </w:rPr>
        <w:t>3.</w:t>
      </w:r>
      <w:r>
        <w:rPr>
          <w:rFonts w:hint="eastAsia" w:ascii="宋体" w:hAnsi="宋体"/>
          <w:sz w:val="24"/>
        </w:rPr>
        <w:t>评估机构收集的询价资料。</w:t>
      </w:r>
    </w:p>
    <w:p>
      <w:pPr>
        <w:pStyle w:val="7"/>
        <w:tabs>
          <w:tab w:val="left" w:pos="8610"/>
          <w:tab w:val="clear" w:pos="8080"/>
        </w:tabs>
        <w:spacing w:line="360" w:lineRule="auto"/>
        <w:ind w:right="0" w:firstLine="463" w:firstLineChars="192"/>
        <w:jc w:val="both"/>
        <w:rPr>
          <w:rFonts w:hAnsi="宋体"/>
          <w:b/>
          <w:bCs/>
          <w:sz w:val="24"/>
          <w:szCs w:val="24"/>
        </w:rPr>
      </w:pPr>
      <w:r>
        <w:rPr>
          <w:rFonts w:hint="eastAsia" w:hAnsi="宋体"/>
          <w:b/>
          <w:bCs/>
          <w:sz w:val="24"/>
          <w:szCs w:val="24"/>
        </w:rPr>
        <w:t>七、评估方法</w:t>
      </w:r>
      <w:bookmarkEnd w:id="16"/>
    </w:p>
    <w:p>
      <w:pPr>
        <w:spacing w:line="360" w:lineRule="auto"/>
        <w:ind w:firstLine="480" w:firstLineChars="200"/>
        <w:rPr>
          <w:bCs/>
          <w:sz w:val="24"/>
        </w:rPr>
      </w:pPr>
      <w:bookmarkStart w:id="18" w:name="_Toc490638839"/>
      <w:r>
        <w:rPr>
          <w:rFonts w:hint="eastAsia"/>
          <w:bCs/>
          <w:sz w:val="24"/>
        </w:rPr>
        <w:t>（一）</w:t>
      </w:r>
      <w:r>
        <w:rPr>
          <w:rFonts w:hint="eastAsia" w:ascii="宋体" w:hAnsi="宋体"/>
          <w:bCs/>
          <w:sz w:val="24"/>
        </w:rPr>
        <w:t>评估方法选取</w:t>
      </w:r>
    </w:p>
    <w:p>
      <w:pPr>
        <w:tabs>
          <w:tab w:val="left" w:pos="0"/>
        </w:tabs>
        <w:spacing w:line="360" w:lineRule="auto"/>
        <w:ind w:firstLine="480" w:firstLineChars="200"/>
        <w:rPr>
          <w:rFonts w:ascii="宋体" w:cs="Arial"/>
          <w:sz w:val="24"/>
        </w:rPr>
      </w:pPr>
      <w:r>
        <w:rPr>
          <w:rFonts w:hint="eastAsia" w:ascii="宋体" w:hAnsi="宋体" w:cs="Arial"/>
          <w:sz w:val="24"/>
        </w:rPr>
        <w:t>资产评估基本方法包括市场法、收益法和成本法。</w:t>
      </w:r>
    </w:p>
    <w:p>
      <w:pPr>
        <w:tabs>
          <w:tab w:val="left" w:pos="0"/>
        </w:tabs>
        <w:spacing w:line="360" w:lineRule="auto"/>
        <w:ind w:firstLine="480" w:firstLineChars="200"/>
        <w:rPr>
          <w:rFonts w:ascii="宋体" w:cs="Arial"/>
          <w:sz w:val="24"/>
        </w:rPr>
      </w:pPr>
      <w:r>
        <w:rPr>
          <w:rFonts w:hint="eastAsia" w:ascii="宋体" w:hAnsi="宋体" w:cs="Arial"/>
          <w:sz w:val="24"/>
        </w:rPr>
        <w:t>市场法是利用市场上同样或类似资产的近期交易价格，经过直接比较或类比分析以估测资产价值的各种评估技术方法的总称。市场法是根据替代原则，采用比较和类比的思路及其方法判断资产价值的评估技术规程。运用市场法要求充分利用类似资产成交价格信息，并以此为基础判断和估测被评估资产的价值。</w:t>
      </w:r>
    </w:p>
    <w:p>
      <w:pPr>
        <w:tabs>
          <w:tab w:val="left" w:pos="0"/>
        </w:tabs>
        <w:spacing w:line="360" w:lineRule="auto"/>
        <w:ind w:firstLine="480" w:firstLineChars="200"/>
        <w:rPr>
          <w:rFonts w:ascii="宋体" w:cs="Arial"/>
          <w:sz w:val="24"/>
        </w:rPr>
      </w:pPr>
      <w:r>
        <w:rPr>
          <w:rFonts w:hint="eastAsia" w:ascii="宋体" w:hAnsi="宋体" w:cs="Arial"/>
          <w:sz w:val="24"/>
        </w:rPr>
        <w:t>收益法是通过估测被评估资产未来预期收益的现值来判断资产价值的各种评估方法的总称。收益法服从资产评估中将利求本的思路，即采用资本化和折现的途径及其方法来判断和估算资产价值。</w:t>
      </w:r>
    </w:p>
    <w:p>
      <w:pPr>
        <w:tabs>
          <w:tab w:val="left" w:pos="0"/>
        </w:tabs>
        <w:spacing w:line="360" w:lineRule="auto"/>
        <w:ind w:firstLine="480" w:firstLineChars="200"/>
        <w:rPr>
          <w:rFonts w:ascii="宋体" w:cs="Arial"/>
          <w:sz w:val="24"/>
        </w:rPr>
      </w:pPr>
      <w:r>
        <w:rPr>
          <w:rFonts w:hint="eastAsia" w:ascii="宋体" w:hAnsi="宋体" w:cs="Arial"/>
          <w:sz w:val="24"/>
        </w:rPr>
        <w:t>成本法是指首先估测被评估资产的重置成本，然后估测被评估资产业已存在的各种贬损因素，并将其从重置成本中予以扣除而得到被评估资产价值的各种评估方法的总称。</w:t>
      </w:r>
    </w:p>
    <w:p>
      <w:pPr>
        <w:tabs>
          <w:tab w:val="left" w:pos="0"/>
        </w:tabs>
        <w:spacing w:line="360" w:lineRule="auto"/>
        <w:ind w:firstLine="480" w:firstLineChars="200"/>
        <w:rPr>
          <w:rFonts w:ascii="宋体" w:cs="Arial"/>
          <w:sz w:val="24"/>
        </w:rPr>
      </w:pPr>
      <w:r>
        <w:rPr>
          <w:rFonts w:hint="eastAsia" w:ascii="宋体" w:hAnsi="宋体" w:cs="Arial"/>
          <w:sz w:val="24"/>
        </w:rPr>
        <w:t>按照《资产评估准则</w:t>
      </w:r>
      <w:r>
        <w:rPr>
          <w:rFonts w:ascii="宋体" w:hAnsi="宋体" w:cs="Arial"/>
          <w:sz w:val="24"/>
        </w:rPr>
        <w:t>—</w:t>
      </w:r>
      <w:r>
        <w:rPr>
          <w:rFonts w:hint="eastAsia" w:ascii="宋体" w:hAnsi="宋体" w:cs="Arial"/>
          <w:sz w:val="24"/>
        </w:rPr>
        <w:t>基本准则》，评估需根据评估目的、价值类型、资料收集情况等相关条件，恰当选择一种或多种资产评估方法。</w:t>
      </w:r>
    </w:p>
    <w:p>
      <w:pPr>
        <w:tabs>
          <w:tab w:val="left" w:pos="0"/>
        </w:tabs>
        <w:spacing w:line="360" w:lineRule="auto"/>
        <w:ind w:firstLine="480" w:firstLineChars="200"/>
        <w:rPr>
          <w:rFonts w:ascii="宋体" w:cs="Arial"/>
          <w:color w:val="FF0000"/>
          <w:sz w:val="24"/>
        </w:rPr>
      </w:pPr>
      <w:bookmarkStart w:id="19" w:name="_Toc487112182"/>
      <w:bookmarkStart w:id="20" w:name="_Toc26859"/>
      <w:bookmarkStart w:id="21" w:name="_Toc12111"/>
      <w:r>
        <w:rPr>
          <w:rFonts w:hint="eastAsia" w:ascii="宋体" w:hAnsi="宋体" w:cs="Arial"/>
          <w:sz w:val="24"/>
        </w:rPr>
        <w:t>本次评估的房屋（包括所属的土地使用权），较容易搜集到足够的与委估资产相同或相近的市场交易案例，故采用市场法。</w:t>
      </w:r>
    </w:p>
    <w:bookmarkEnd w:id="19"/>
    <w:bookmarkEnd w:id="20"/>
    <w:bookmarkEnd w:id="21"/>
    <w:p>
      <w:pPr>
        <w:autoSpaceDE w:val="0"/>
        <w:autoSpaceDN w:val="0"/>
        <w:spacing w:line="360" w:lineRule="auto"/>
        <w:ind w:firstLine="480" w:firstLineChars="200"/>
        <w:rPr>
          <w:rFonts w:ascii="宋体"/>
          <w:bCs/>
          <w:sz w:val="24"/>
        </w:rPr>
      </w:pPr>
      <w:r>
        <w:rPr>
          <w:rFonts w:hint="eastAsia" w:ascii="宋体" w:hAnsi="宋体"/>
          <w:bCs/>
          <w:sz w:val="24"/>
        </w:rPr>
        <w:t>（二）评估方法说明</w:t>
      </w:r>
    </w:p>
    <w:p>
      <w:pPr>
        <w:spacing w:line="360" w:lineRule="auto"/>
        <w:ind w:firstLine="480" w:firstLineChars="200"/>
        <w:rPr>
          <w:rFonts w:ascii="宋体"/>
          <w:sz w:val="24"/>
        </w:rPr>
      </w:pPr>
      <w:r>
        <w:rPr>
          <w:rFonts w:hint="eastAsia" w:ascii="宋体" w:hAnsi="宋体"/>
          <w:sz w:val="24"/>
        </w:rPr>
        <w:t>市场法：市场法是选取一定数量的可比实例，将它们与评估对象进行比较，根据其间的差异对可比实例成交价格进行处理后得到评估对象价值或价格的方法。</w:t>
      </w:r>
    </w:p>
    <w:p>
      <w:pPr>
        <w:spacing w:line="360" w:lineRule="auto"/>
        <w:ind w:firstLine="480" w:firstLineChars="200"/>
        <w:rPr>
          <w:rFonts w:ascii="宋体"/>
          <w:sz w:val="24"/>
        </w:rPr>
      </w:pPr>
      <w:r>
        <w:rPr>
          <w:rFonts w:hint="eastAsia" w:ascii="宋体" w:hAnsi="宋体"/>
          <w:sz w:val="24"/>
        </w:rPr>
        <w:t>计算公式：评估价值＝可比实例成交价格</w:t>
      </w:r>
      <w:r>
        <w:rPr>
          <w:rFonts w:hint="eastAsia" w:ascii="宋体"/>
          <w:sz w:val="24"/>
        </w:rPr>
        <w:t>×</w:t>
      </w:r>
      <w:r>
        <w:rPr>
          <w:rFonts w:hint="eastAsia" w:ascii="宋体" w:hAnsi="宋体"/>
          <w:sz w:val="24"/>
        </w:rPr>
        <w:t>交易情况修正系数</w:t>
      </w:r>
      <w:r>
        <w:rPr>
          <w:rFonts w:hint="eastAsia" w:ascii="宋体"/>
          <w:sz w:val="24"/>
        </w:rPr>
        <w:t>×</w:t>
      </w:r>
      <w:r>
        <w:rPr>
          <w:rFonts w:hint="eastAsia" w:ascii="宋体" w:hAnsi="宋体"/>
          <w:sz w:val="24"/>
        </w:rPr>
        <w:t>市场状况调整系数</w:t>
      </w:r>
      <w:r>
        <w:rPr>
          <w:rFonts w:hint="eastAsia" w:ascii="宋体"/>
          <w:sz w:val="24"/>
        </w:rPr>
        <w:t>×</w:t>
      </w:r>
      <w:r>
        <w:rPr>
          <w:rFonts w:hint="eastAsia" w:ascii="宋体" w:hAnsi="宋体"/>
          <w:sz w:val="24"/>
        </w:rPr>
        <w:t>房地产状况调整系数</w:t>
      </w:r>
    </w:p>
    <w:p>
      <w:pPr>
        <w:widowControl/>
        <w:tabs>
          <w:tab w:val="left" w:pos="7939"/>
          <w:tab w:val="left" w:pos="8080"/>
          <w:tab w:val="left" w:pos="8280"/>
        </w:tabs>
        <w:spacing w:line="360" w:lineRule="auto"/>
        <w:ind w:firstLine="482" w:firstLineChars="200"/>
        <w:textAlignment w:val="bottom"/>
        <w:rPr>
          <w:rFonts w:ascii="宋体"/>
          <w:b/>
          <w:bCs/>
          <w:sz w:val="24"/>
        </w:rPr>
      </w:pPr>
      <w:r>
        <w:rPr>
          <w:rFonts w:hint="eastAsia" w:ascii="宋体" w:hAnsi="宋体"/>
          <w:b/>
          <w:bCs/>
          <w:sz w:val="24"/>
        </w:rPr>
        <w:t>八、评估</w:t>
      </w:r>
      <w:bookmarkEnd w:id="18"/>
      <w:r>
        <w:rPr>
          <w:rFonts w:hint="eastAsia" w:ascii="宋体" w:hAnsi="宋体"/>
          <w:b/>
          <w:bCs/>
          <w:sz w:val="24"/>
        </w:rPr>
        <w:t>程序实施过程和情况</w:t>
      </w:r>
    </w:p>
    <w:p>
      <w:pPr>
        <w:tabs>
          <w:tab w:val="left" w:pos="720"/>
        </w:tabs>
        <w:spacing w:line="360" w:lineRule="auto"/>
        <w:ind w:firstLine="360" w:firstLineChars="150"/>
        <w:rPr>
          <w:rFonts w:ascii="宋体"/>
          <w:sz w:val="24"/>
        </w:rPr>
      </w:pPr>
      <w:r>
        <w:rPr>
          <w:rFonts w:hint="eastAsia" w:ascii="宋体" w:hAnsi="宋体"/>
          <w:sz w:val="24"/>
        </w:rPr>
        <w:t>（一）前期准备阶段</w:t>
      </w:r>
    </w:p>
    <w:p>
      <w:pPr>
        <w:tabs>
          <w:tab w:val="left" w:pos="720"/>
        </w:tabs>
        <w:spacing w:line="360" w:lineRule="auto"/>
        <w:ind w:firstLine="480" w:firstLineChars="200"/>
        <w:rPr>
          <w:rFonts w:ascii="宋体"/>
          <w:sz w:val="24"/>
        </w:rPr>
      </w:pPr>
      <w:r>
        <w:rPr>
          <w:rFonts w:hint="eastAsia"/>
          <w:sz w:val="24"/>
        </w:rPr>
        <w:t>接受评估项目委托，同委托人明确评估目的、评估范围和评估对象，选定评估基准日，评估人员拟定评估方案，向委托人或被评估单位提出填报委托评估资产清单和提供有关资料的要求。</w:t>
      </w:r>
    </w:p>
    <w:p>
      <w:pPr>
        <w:pStyle w:val="8"/>
        <w:ind w:firstLine="360" w:firstLineChars="150"/>
        <w:jc w:val="both"/>
        <w:rPr>
          <w:rFonts w:ascii="宋体" w:hAnsi="宋体" w:eastAsia="宋体"/>
          <w:sz w:val="24"/>
          <w:szCs w:val="24"/>
        </w:rPr>
      </w:pPr>
      <w:r>
        <w:rPr>
          <w:rFonts w:hint="eastAsia" w:ascii="宋体" w:hAnsi="宋体" w:eastAsia="宋体"/>
          <w:sz w:val="24"/>
          <w:szCs w:val="24"/>
        </w:rPr>
        <w:t>（二）资产核实及现场调查</w:t>
      </w:r>
    </w:p>
    <w:p>
      <w:pPr>
        <w:pStyle w:val="9"/>
        <w:spacing w:line="360" w:lineRule="auto"/>
        <w:ind w:firstLine="482"/>
        <w:rPr>
          <w:rFonts w:hAnsi="宋体"/>
          <w:sz w:val="24"/>
          <w:szCs w:val="24"/>
        </w:rPr>
      </w:pPr>
      <w:r>
        <w:rPr>
          <w:rFonts w:hint="eastAsia" w:hAnsi="宋体"/>
          <w:sz w:val="24"/>
          <w:szCs w:val="24"/>
        </w:rPr>
        <w:t>根据委托人提供的评估申报资料，评估人员与委托评估相关人员对申报的资产进行了必要的清查、核实，主要内容如下：</w:t>
      </w:r>
    </w:p>
    <w:p>
      <w:pPr>
        <w:pStyle w:val="9"/>
        <w:spacing w:line="360" w:lineRule="auto"/>
        <w:ind w:left="482"/>
        <w:rPr>
          <w:rFonts w:hAnsi="宋体"/>
          <w:sz w:val="24"/>
          <w:szCs w:val="24"/>
        </w:rPr>
      </w:pPr>
      <w:r>
        <w:rPr>
          <w:rFonts w:hint="eastAsia" w:hAnsi="宋体"/>
          <w:sz w:val="24"/>
          <w:szCs w:val="24"/>
        </w:rPr>
        <w:t>1.资产清查过程</w:t>
      </w:r>
    </w:p>
    <w:p>
      <w:pPr>
        <w:pStyle w:val="9"/>
        <w:spacing w:line="360" w:lineRule="auto"/>
        <w:ind w:firstLine="482"/>
        <w:rPr>
          <w:rFonts w:hAnsi="宋体"/>
          <w:sz w:val="24"/>
          <w:szCs w:val="24"/>
        </w:rPr>
      </w:pPr>
      <w:r>
        <w:rPr>
          <w:rFonts w:hint="eastAsia" w:hAnsi="宋体"/>
          <w:sz w:val="24"/>
          <w:szCs w:val="24"/>
        </w:rPr>
        <w:t>指导相关资产管理人员在资产清查的基础上，按照评估机构提供的“资产评估明细表”填写要求，进行登记填报，同时收集被评估资产的产权归属证明文件和反映状态等情况的文件资料。</w:t>
      </w:r>
    </w:p>
    <w:p>
      <w:pPr>
        <w:pStyle w:val="9"/>
        <w:spacing w:line="360" w:lineRule="auto"/>
        <w:ind w:left="482"/>
        <w:rPr>
          <w:rFonts w:hAnsi="宋体"/>
          <w:sz w:val="24"/>
          <w:szCs w:val="24"/>
        </w:rPr>
      </w:pPr>
      <w:r>
        <w:rPr>
          <w:rFonts w:hint="eastAsia" w:hAnsi="宋体"/>
          <w:sz w:val="24"/>
          <w:szCs w:val="24"/>
        </w:rPr>
        <w:t>2.审查和完善被评估单位提供的资产评估明细表</w:t>
      </w:r>
    </w:p>
    <w:p>
      <w:pPr>
        <w:pStyle w:val="9"/>
        <w:spacing w:line="360" w:lineRule="auto"/>
        <w:ind w:firstLine="482"/>
        <w:rPr>
          <w:rFonts w:hAnsi="宋体"/>
          <w:sz w:val="24"/>
          <w:szCs w:val="24"/>
        </w:rPr>
      </w:pPr>
      <w:r>
        <w:rPr>
          <w:rFonts w:hint="eastAsia" w:hAnsi="宋体"/>
          <w:sz w:val="24"/>
          <w:szCs w:val="24"/>
        </w:rPr>
        <w:t>评估人员通过查阅有关资料，了解评估范围内具体对象的详细状况。然后审查填报的资产评估明细表，检查有无填列不全、资产项目不明确等现象，并根据经验及掌握的有关资料，检查资产评估明细表有无漏项等，根据调查核实的资料，对评估明细表进行完善。</w:t>
      </w:r>
    </w:p>
    <w:p>
      <w:pPr>
        <w:pStyle w:val="9"/>
        <w:spacing w:line="360" w:lineRule="auto"/>
        <w:ind w:left="482"/>
        <w:rPr>
          <w:rFonts w:hAnsi="宋体"/>
          <w:sz w:val="24"/>
          <w:szCs w:val="24"/>
        </w:rPr>
      </w:pPr>
      <w:r>
        <w:rPr>
          <w:rFonts w:hint="eastAsia" w:hAnsi="宋体"/>
          <w:sz w:val="24"/>
          <w:szCs w:val="24"/>
        </w:rPr>
        <w:t>3.现场实地勘察</w:t>
      </w:r>
    </w:p>
    <w:p>
      <w:pPr>
        <w:pStyle w:val="9"/>
        <w:keepNext/>
        <w:spacing w:line="360" w:lineRule="auto"/>
        <w:ind w:firstLine="482"/>
        <w:rPr>
          <w:sz w:val="24"/>
          <w:szCs w:val="24"/>
        </w:rPr>
      </w:pPr>
      <w:r>
        <w:rPr>
          <w:rFonts w:hint="eastAsia"/>
          <w:sz w:val="24"/>
          <w:szCs w:val="24"/>
        </w:rPr>
        <w:t>在资产核实工作中，评估人员根据资产的性质、特点及实际情况，在相关当事人配合下共同进行现场勘察，对委估资产主要信息进行采集；本次评估被申请人未到现场配合现场勘察，涉案资产位置信息等均由申请人配合确认。</w:t>
      </w:r>
    </w:p>
    <w:p>
      <w:pPr>
        <w:pStyle w:val="9"/>
        <w:spacing w:line="360" w:lineRule="auto"/>
        <w:ind w:left="482"/>
        <w:rPr>
          <w:rFonts w:hAnsi="宋体"/>
          <w:sz w:val="24"/>
          <w:szCs w:val="24"/>
        </w:rPr>
      </w:pPr>
      <w:r>
        <w:rPr>
          <w:rFonts w:hint="eastAsia" w:hAnsi="宋体"/>
          <w:sz w:val="24"/>
          <w:szCs w:val="24"/>
        </w:rPr>
        <w:t>4.查验产权证明文件资料</w:t>
      </w:r>
    </w:p>
    <w:p>
      <w:pPr>
        <w:pStyle w:val="9"/>
        <w:spacing w:line="360" w:lineRule="auto"/>
        <w:ind w:firstLine="482"/>
        <w:rPr>
          <w:rFonts w:hAnsi="宋体"/>
          <w:sz w:val="24"/>
          <w:szCs w:val="24"/>
        </w:rPr>
      </w:pPr>
      <w:r>
        <w:rPr>
          <w:rFonts w:hint="eastAsia" w:hAnsi="宋体"/>
          <w:sz w:val="24"/>
          <w:szCs w:val="24"/>
        </w:rPr>
        <w:t>对评估范围内的资产产权资料进行查验，并收集资产有关的权属证明资料。</w:t>
      </w:r>
    </w:p>
    <w:p>
      <w:pPr>
        <w:pStyle w:val="9"/>
        <w:spacing w:line="360" w:lineRule="auto"/>
        <w:ind w:firstLine="482"/>
        <w:rPr>
          <w:rFonts w:hAnsi="宋体"/>
          <w:sz w:val="24"/>
          <w:szCs w:val="24"/>
        </w:rPr>
      </w:pPr>
      <w:r>
        <w:rPr>
          <w:rFonts w:hint="eastAsia" w:hAnsi="宋体"/>
          <w:sz w:val="24"/>
          <w:szCs w:val="24"/>
        </w:rPr>
        <w:t>（三）评定估算</w:t>
      </w:r>
    </w:p>
    <w:p>
      <w:pPr>
        <w:pStyle w:val="9"/>
        <w:spacing w:line="360" w:lineRule="auto"/>
        <w:ind w:firstLine="482"/>
        <w:rPr>
          <w:rFonts w:hAnsi="宋体"/>
          <w:sz w:val="24"/>
          <w:szCs w:val="24"/>
        </w:rPr>
      </w:pPr>
      <w:r>
        <w:rPr>
          <w:rFonts w:hint="eastAsia" w:hAnsi="宋体"/>
          <w:sz w:val="24"/>
          <w:szCs w:val="24"/>
        </w:rPr>
        <w:t>评估人员结合资产实际情况和委托方提供的资料确定估价方案，明确资产的具体评估参数和价格标准，并进行汇总分析，初步确定评估结论。</w:t>
      </w:r>
    </w:p>
    <w:p>
      <w:pPr>
        <w:pStyle w:val="9"/>
        <w:spacing w:line="360" w:lineRule="auto"/>
        <w:ind w:firstLine="482"/>
        <w:rPr>
          <w:rFonts w:hAnsi="宋体"/>
          <w:sz w:val="24"/>
          <w:szCs w:val="24"/>
        </w:rPr>
      </w:pPr>
      <w:r>
        <w:rPr>
          <w:rFonts w:hint="eastAsia" w:hAnsi="宋体"/>
          <w:sz w:val="24"/>
          <w:szCs w:val="24"/>
        </w:rPr>
        <w:t>对初步评估结论进行比较、分析、补充、修改、完善，在综合分析价值影响因素的基础上，合理确定待估资产的评估结论。</w:t>
      </w:r>
    </w:p>
    <w:p>
      <w:pPr>
        <w:pStyle w:val="9"/>
        <w:spacing w:line="360" w:lineRule="auto"/>
        <w:ind w:firstLine="482"/>
        <w:rPr>
          <w:rFonts w:hAnsi="宋体"/>
          <w:sz w:val="24"/>
          <w:szCs w:val="24"/>
        </w:rPr>
      </w:pPr>
      <w:r>
        <w:rPr>
          <w:rFonts w:hint="eastAsia" w:hAnsi="宋体"/>
          <w:sz w:val="24"/>
          <w:szCs w:val="24"/>
        </w:rPr>
        <w:t>（四）内部审核、征求意见及出具报告</w:t>
      </w:r>
    </w:p>
    <w:p>
      <w:pPr>
        <w:pStyle w:val="9"/>
        <w:spacing w:line="360" w:lineRule="auto"/>
        <w:ind w:firstLine="482"/>
        <w:rPr>
          <w:sz w:val="24"/>
          <w:szCs w:val="24"/>
        </w:rPr>
      </w:pPr>
      <w:r>
        <w:rPr>
          <w:rFonts w:hint="eastAsia"/>
          <w:sz w:val="24"/>
          <w:szCs w:val="24"/>
        </w:rPr>
        <w:t>项目负责人在完成一审后，将报告初稿提交公司审核，审核包括审核部的二级审核以及三级审核。经过公司内部审核后，并在不影响评估人员独立判断的前提下，将评估结论与委托方进行沟通和汇报。对评估报告进行必要的修改后，向委托方提交正式的评估报告。</w:t>
      </w:r>
    </w:p>
    <w:p>
      <w:pPr>
        <w:spacing w:line="360" w:lineRule="auto"/>
        <w:ind w:firstLine="482" w:firstLineChars="200"/>
        <w:textAlignment w:val="top"/>
        <w:rPr>
          <w:rFonts w:ascii="宋体"/>
          <w:b/>
          <w:sz w:val="24"/>
        </w:rPr>
      </w:pPr>
      <w:bookmarkStart w:id="22" w:name="_Toc490638840"/>
      <w:r>
        <w:rPr>
          <w:rFonts w:hint="eastAsia" w:ascii="宋体" w:hAnsi="宋体"/>
          <w:b/>
          <w:sz w:val="24"/>
        </w:rPr>
        <w:t>九、评估假设</w:t>
      </w:r>
    </w:p>
    <w:p>
      <w:pPr>
        <w:spacing w:line="360" w:lineRule="auto"/>
        <w:ind w:firstLine="480" w:firstLineChars="200"/>
        <w:rPr>
          <w:rFonts w:ascii="宋体"/>
          <w:sz w:val="24"/>
        </w:rPr>
      </w:pPr>
      <w:r>
        <w:rPr>
          <w:rFonts w:hint="eastAsia" w:ascii="宋体" w:hAnsi="宋体"/>
          <w:sz w:val="24"/>
        </w:rPr>
        <w:t>本项目评估遵循以下评估假设，当其中的假设条件不成立时，评估结论将不成立，评估结论无效：</w:t>
      </w:r>
    </w:p>
    <w:p>
      <w:pPr>
        <w:pStyle w:val="8"/>
        <w:tabs>
          <w:tab w:val="left" w:pos="874"/>
          <w:tab w:val="left" w:pos="1069"/>
        </w:tabs>
        <w:autoSpaceDE/>
        <w:autoSpaceDN/>
        <w:adjustRightInd/>
        <w:snapToGrid w:val="0"/>
        <w:ind w:left="480" w:firstLine="0"/>
        <w:jc w:val="both"/>
        <w:textAlignment w:val="auto"/>
        <w:rPr>
          <w:rFonts w:ascii="宋体" w:hAnsi="宋体" w:eastAsia="宋体"/>
          <w:sz w:val="24"/>
          <w:szCs w:val="24"/>
        </w:rPr>
      </w:pPr>
      <w:r>
        <w:rPr>
          <w:rFonts w:hint="eastAsia" w:ascii="宋体" w:hAnsi="宋体" w:eastAsia="宋体"/>
          <w:sz w:val="24"/>
          <w:szCs w:val="24"/>
        </w:rPr>
        <w:t>1.交易假设</w:t>
      </w:r>
    </w:p>
    <w:p>
      <w:pPr>
        <w:pStyle w:val="8"/>
        <w:tabs>
          <w:tab w:val="left" w:pos="874"/>
        </w:tabs>
        <w:snapToGrid w:val="0"/>
        <w:ind w:firstLine="480" w:firstLineChars="200"/>
        <w:jc w:val="both"/>
        <w:rPr>
          <w:rFonts w:ascii="宋体" w:hAnsi="宋体" w:eastAsia="宋体"/>
          <w:sz w:val="24"/>
          <w:szCs w:val="24"/>
        </w:rPr>
      </w:pPr>
      <w:r>
        <w:rPr>
          <w:rFonts w:hint="eastAsia" w:ascii="宋体" w:hAnsi="宋体" w:eastAsia="宋体"/>
          <w:sz w:val="24"/>
          <w:szCs w:val="24"/>
        </w:rPr>
        <w:t>假定所有待评估资产已经处在交易过程中，根据待估资产的交易条件模拟市场进行估价。</w:t>
      </w:r>
    </w:p>
    <w:p>
      <w:pPr>
        <w:pStyle w:val="8"/>
        <w:tabs>
          <w:tab w:val="left" w:pos="874"/>
          <w:tab w:val="left" w:pos="1069"/>
        </w:tabs>
        <w:autoSpaceDE/>
        <w:autoSpaceDN/>
        <w:adjustRightInd/>
        <w:snapToGrid w:val="0"/>
        <w:ind w:left="480" w:firstLine="0"/>
        <w:jc w:val="both"/>
        <w:textAlignment w:val="auto"/>
        <w:rPr>
          <w:rFonts w:ascii="宋体" w:hAnsi="宋体" w:eastAsia="宋体"/>
          <w:sz w:val="24"/>
          <w:szCs w:val="24"/>
        </w:rPr>
      </w:pPr>
      <w:r>
        <w:rPr>
          <w:rFonts w:hint="eastAsia" w:ascii="宋体" w:hAnsi="宋体" w:eastAsia="宋体"/>
          <w:sz w:val="24"/>
          <w:szCs w:val="24"/>
        </w:rPr>
        <w:t>2.公开市场假设</w:t>
      </w:r>
    </w:p>
    <w:p>
      <w:pPr>
        <w:pStyle w:val="8"/>
        <w:tabs>
          <w:tab w:val="left" w:pos="874"/>
        </w:tabs>
        <w:snapToGrid w:val="0"/>
        <w:ind w:firstLine="480" w:firstLineChars="200"/>
        <w:jc w:val="both"/>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有自愿的卖主和买主，地位是平等的；</w:t>
      </w:r>
    </w:p>
    <w:p>
      <w:pPr>
        <w:pStyle w:val="8"/>
        <w:tabs>
          <w:tab w:val="left" w:pos="874"/>
        </w:tabs>
        <w:snapToGrid w:val="0"/>
        <w:ind w:firstLine="480" w:firstLineChars="200"/>
        <w:jc w:val="both"/>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买卖双方都有获得足够市场信息的机会和时间，交易行为是在自愿的、理智的而非强制或不受限制的条件下进行的；</w:t>
      </w:r>
    </w:p>
    <w:p>
      <w:pPr>
        <w:pStyle w:val="8"/>
        <w:tabs>
          <w:tab w:val="left" w:pos="874"/>
        </w:tabs>
        <w:snapToGrid w:val="0"/>
        <w:ind w:firstLine="480" w:firstLineChars="200"/>
        <w:jc w:val="both"/>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待估资产可以在公开市场上自由转让；</w:t>
      </w:r>
    </w:p>
    <w:p>
      <w:pPr>
        <w:pStyle w:val="8"/>
        <w:tabs>
          <w:tab w:val="left" w:pos="874"/>
        </w:tabs>
        <w:snapToGrid w:val="0"/>
        <w:ind w:firstLine="480" w:firstLineChars="200"/>
        <w:jc w:val="both"/>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不考虑特殊买家的额外出价。</w:t>
      </w:r>
    </w:p>
    <w:p>
      <w:pPr>
        <w:pStyle w:val="8"/>
        <w:tabs>
          <w:tab w:val="left" w:pos="874"/>
          <w:tab w:val="left" w:pos="1069"/>
        </w:tabs>
        <w:autoSpaceDE/>
        <w:autoSpaceDN/>
        <w:adjustRightInd/>
        <w:snapToGrid w:val="0"/>
        <w:ind w:left="480" w:firstLine="0"/>
        <w:jc w:val="both"/>
        <w:textAlignment w:val="auto"/>
        <w:rPr>
          <w:rFonts w:ascii="宋体" w:hAnsi="宋体" w:eastAsia="宋体"/>
          <w:sz w:val="24"/>
          <w:szCs w:val="24"/>
        </w:rPr>
      </w:pPr>
      <w:r>
        <w:rPr>
          <w:rFonts w:hint="eastAsia" w:ascii="宋体" w:hAnsi="宋体" w:eastAsia="宋体"/>
          <w:sz w:val="24"/>
          <w:szCs w:val="24"/>
        </w:rPr>
        <w:t>3.背离事实假设</w:t>
      </w:r>
    </w:p>
    <w:p>
      <w:pPr>
        <w:pStyle w:val="8"/>
        <w:tabs>
          <w:tab w:val="left" w:pos="874"/>
        </w:tabs>
        <w:snapToGrid w:val="0"/>
        <w:ind w:firstLine="480" w:firstLineChars="200"/>
        <w:jc w:val="both"/>
        <w:rPr>
          <w:rFonts w:ascii="宋体" w:hAnsi="宋体" w:eastAsia="宋体"/>
          <w:sz w:val="24"/>
          <w:szCs w:val="24"/>
        </w:rPr>
      </w:pPr>
      <w:r>
        <w:rPr>
          <w:rFonts w:hint="eastAsia" w:ascii="宋体" w:hAnsi="宋体" w:eastAsia="宋体"/>
          <w:sz w:val="24"/>
          <w:szCs w:val="24"/>
        </w:rPr>
        <w:t>因本次评估目的的特殊需要，对评估对象状况所做的与评估对象的实际状况不一致的合理假定，即：不应当考虑评估对象被查封以及原有的担保物权和其他优先受偿权情况对评估结论的影响，视为没有查封、未设立担保物权和其他优先受偿权的财产进行评估。</w:t>
      </w:r>
    </w:p>
    <w:p>
      <w:pPr>
        <w:pStyle w:val="8"/>
        <w:tabs>
          <w:tab w:val="left" w:pos="874"/>
          <w:tab w:val="left" w:pos="1069"/>
        </w:tabs>
        <w:autoSpaceDE/>
        <w:autoSpaceDN/>
        <w:adjustRightInd/>
        <w:snapToGrid w:val="0"/>
        <w:ind w:firstLine="480" w:firstLineChars="200"/>
        <w:jc w:val="both"/>
        <w:textAlignment w:val="auto"/>
        <w:rPr>
          <w:rFonts w:ascii="宋体" w:hAnsi="宋体" w:eastAsia="宋体"/>
          <w:sz w:val="24"/>
          <w:szCs w:val="24"/>
        </w:rPr>
      </w:pPr>
      <w:r>
        <w:rPr>
          <w:rFonts w:hint="eastAsia" w:ascii="宋体" w:hAnsi="宋体" w:eastAsia="宋体"/>
          <w:sz w:val="24"/>
          <w:szCs w:val="24"/>
        </w:rPr>
        <w:t>4.持续经营假设</w:t>
      </w:r>
    </w:p>
    <w:p>
      <w:pPr>
        <w:pStyle w:val="8"/>
        <w:tabs>
          <w:tab w:val="left" w:pos="874"/>
        </w:tabs>
        <w:snapToGrid w:val="0"/>
        <w:ind w:firstLine="480" w:firstLineChars="200"/>
        <w:jc w:val="both"/>
        <w:rPr>
          <w:rFonts w:ascii="宋体" w:hAnsi="宋体" w:eastAsia="宋体"/>
          <w:sz w:val="24"/>
          <w:szCs w:val="24"/>
        </w:rPr>
      </w:pPr>
      <w:r>
        <w:rPr>
          <w:rFonts w:hint="eastAsia" w:ascii="宋体" w:hAnsi="宋体" w:eastAsia="宋体"/>
          <w:sz w:val="24"/>
          <w:szCs w:val="24"/>
        </w:rPr>
        <w:t>假设被评估单位主要资产现有用途不变并原地持续使用。</w:t>
      </w:r>
    </w:p>
    <w:p>
      <w:pPr>
        <w:pStyle w:val="8"/>
        <w:tabs>
          <w:tab w:val="left" w:pos="874"/>
        </w:tabs>
        <w:snapToGrid w:val="0"/>
        <w:ind w:firstLine="480" w:firstLineChars="200"/>
        <w:jc w:val="both"/>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宏观经济环境相对稳定假设</w:t>
      </w:r>
    </w:p>
    <w:p>
      <w:pPr>
        <w:pStyle w:val="8"/>
        <w:tabs>
          <w:tab w:val="left" w:pos="874"/>
        </w:tabs>
        <w:snapToGrid w:val="0"/>
        <w:ind w:firstLine="480" w:firstLineChars="200"/>
        <w:jc w:val="both"/>
        <w:rPr>
          <w:rFonts w:ascii="宋体" w:hAnsi="宋体" w:eastAsia="宋体"/>
          <w:sz w:val="24"/>
          <w:szCs w:val="24"/>
        </w:rPr>
      </w:pPr>
      <w:r>
        <w:rPr>
          <w:rFonts w:hint="eastAsia" w:ascii="宋体" w:hAnsi="宋体" w:eastAsia="宋体"/>
          <w:sz w:val="24"/>
          <w:szCs w:val="24"/>
        </w:rPr>
        <w:t>任何一项资产的价值与其所处的宏观经济环境直接相关，在本次评估时我们假定社会的产业政策、税收政策和宏观环境保持相对稳定，从而保证评估结论有一个合理的使用期。</w:t>
      </w:r>
    </w:p>
    <w:p>
      <w:pPr>
        <w:spacing w:line="360" w:lineRule="auto"/>
        <w:ind w:firstLine="480" w:firstLineChars="200"/>
        <w:rPr>
          <w:rFonts w:ascii="宋体"/>
          <w:sz w:val="24"/>
        </w:rPr>
      </w:pPr>
      <w:r>
        <w:rPr>
          <w:rFonts w:ascii="宋体" w:hAnsi="宋体"/>
          <w:kern w:val="0"/>
          <w:sz w:val="24"/>
        </w:rPr>
        <w:t>6.</w:t>
      </w:r>
      <w:r>
        <w:rPr>
          <w:rFonts w:hint="eastAsia" w:ascii="宋体" w:hAnsi="宋体"/>
          <w:kern w:val="0"/>
          <w:sz w:val="24"/>
        </w:rPr>
        <w:t>本评估报告对估价对象市场价格的把握，仅相对于估价时点市场状况以及估价对象的现状而言，并未考虑市场价格波动、税费率的变化、国家经济政策发生变化以及其他不可抗力等因素对估价对象的影响，</w:t>
      </w:r>
      <w:r>
        <w:rPr>
          <w:rFonts w:hint="eastAsia" w:ascii="宋体" w:hAnsi="宋体"/>
          <w:sz w:val="24"/>
        </w:rPr>
        <w:t>也未考虑特殊交易方式可能付出的价格对评估值的影响，</w:t>
      </w:r>
      <w:r>
        <w:rPr>
          <w:rFonts w:hint="eastAsia" w:ascii="宋体" w:hAnsi="宋体"/>
          <w:kern w:val="0"/>
          <w:sz w:val="24"/>
        </w:rPr>
        <w:t>使用人在运用本报告的结果时应予充分考虑。</w:t>
      </w:r>
    </w:p>
    <w:p>
      <w:pPr>
        <w:spacing w:line="360" w:lineRule="auto"/>
        <w:ind w:firstLine="480" w:firstLineChars="200"/>
        <w:rPr>
          <w:rFonts w:ascii="宋体"/>
          <w:kern w:val="0"/>
          <w:sz w:val="24"/>
        </w:rPr>
      </w:pPr>
      <w:r>
        <w:rPr>
          <w:rFonts w:ascii="宋体" w:hAnsi="宋体"/>
          <w:sz w:val="24"/>
        </w:rPr>
        <w:t>7.</w:t>
      </w:r>
      <w:r>
        <w:rPr>
          <w:rFonts w:hint="eastAsia" w:ascii="宋体" w:hAnsi="宋体"/>
          <w:sz w:val="24"/>
        </w:rPr>
        <w:t>本报告假设委托方及被评估单位提供的有关资料真实、合法、完整为前提；评估师未向政府有关部门核实和查证，委托方及被评估单位对其真实性、合法性、完整性承担责任，如果资料失实或有所隐匿导致估价结果失实，本公司不承担任何责任。</w:t>
      </w:r>
    </w:p>
    <w:p>
      <w:pPr>
        <w:spacing w:line="360" w:lineRule="auto"/>
        <w:ind w:firstLine="480" w:firstLineChars="200"/>
        <w:rPr>
          <w:rFonts w:ascii="宋体"/>
          <w:kern w:val="0"/>
          <w:sz w:val="24"/>
        </w:rPr>
      </w:pPr>
      <w:r>
        <w:rPr>
          <w:rFonts w:ascii="宋体" w:hAnsi="宋体"/>
          <w:kern w:val="0"/>
          <w:sz w:val="24"/>
        </w:rPr>
        <w:t>8.</w:t>
      </w:r>
      <w:r>
        <w:rPr>
          <w:rFonts w:hint="eastAsia" w:ascii="宋体" w:hAnsi="宋体"/>
          <w:kern w:val="0"/>
          <w:sz w:val="24"/>
        </w:rPr>
        <w:t>本次评估是假设委托方对委估资产拥有合法产权下得出评估结论。本评估报告所提供的估价结论未考虑抵押、租赁、清算、抵债等他项权利对委估资产价值的影响，评估结论是正常的公开市场价格。</w:t>
      </w:r>
    </w:p>
    <w:p>
      <w:pPr>
        <w:spacing w:line="360" w:lineRule="auto"/>
        <w:ind w:firstLine="480" w:firstLineChars="200"/>
        <w:rPr>
          <w:rFonts w:ascii="宋体"/>
          <w:kern w:val="0"/>
          <w:sz w:val="24"/>
        </w:rPr>
      </w:pPr>
      <w:r>
        <w:rPr>
          <w:rFonts w:ascii="宋体" w:hAnsi="宋体"/>
          <w:kern w:val="0"/>
          <w:sz w:val="24"/>
        </w:rPr>
        <w:t>9.</w:t>
      </w:r>
      <w:r>
        <w:rPr>
          <w:rFonts w:hint="eastAsia" w:ascii="宋体" w:hAnsi="宋体"/>
          <w:kern w:val="0"/>
          <w:sz w:val="24"/>
        </w:rPr>
        <w:t>评估师只对估价对象进行一般性查看，未接受进行建筑结构、设施质量的检测要求，本次评估假设其无基础、结构等方面的重大质量问题。</w:t>
      </w:r>
    </w:p>
    <w:p>
      <w:pPr>
        <w:spacing w:line="360" w:lineRule="auto"/>
        <w:ind w:firstLine="480" w:firstLineChars="200"/>
        <w:rPr>
          <w:rFonts w:ascii="宋体"/>
          <w:kern w:val="0"/>
          <w:sz w:val="24"/>
        </w:rPr>
      </w:pPr>
      <w:r>
        <w:rPr>
          <w:rFonts w:ascii="宋体" w:hAnsi="宋体"/>
          <w:kern w:val="0"/>
          <w:sz w:val="24"/>
        </w:rPr>
        <w:t>10.</w:t>
      </w:r>
      <w:r>
        <w:rPr>
          <w:rFonts w:hint="eastAsia" w:ascii="宋体" w:hAnsi="宋体"/>
          <w:kern w:val="0"/>
          <w:sz w:val="24"/>
        </w:rPr>
        <w:t>本次评估假设委托方委估的房屋建筑物其占用的土地使用权已取得合法手续，且土地使用权年限未超过其地类</w:t>
      </w:r>
      <w:r>
        <w:rPr>
          <w:rFonts w:ascii="宋体" w:hAnsi="宋体"/>
          <w:kern w:val="0"/>
          <w:sz w:val="24"/>
        </w:rPr>
        <w:t>(</w:t>
      </w:r>
      <w:r>
        <w:rPr>
          <w:rFonts w:hint="eastAsia" w:ascii="宋体" w:hAnsi="宋体"/>
          <w:kern w:val="0"/>
          <w:sz w:val="24"/>
        </w:rPr>
        <w:t>用途</w:t>
      </w:r>
      <w:r>
        <w:rPr>
          <w:rFonts w:ascii="宋体" w:hAnsi="宋体"/>
          <w:kern w:val="0"/>
          <w:sz w:val="24"/>
        </w:rPr>
        <w:t>)</w:t>
      </w:r>
      <w:r>
        <w:rPr>
          <w:rFonts w:hint="eastAsia" w:ascii="宋体" w:hAnsi="宋体"/>
          <w:kern w:val="0"/>
          <w:sz w:val="24"/>
        </w:rPr>
        <w:t>法定使用年限。</w:t>
      </w:r>
    </w:p>
    <w:p>
      <w:pPr>
        <w:pStyle w:val="8"/>
        <w:tabs>
          <w:tab w:val="left" w:pos="0"/>
        </w:tabs>
        <w:snapToGrid w:val="0"/>
        <w:jc w:val="both"/>
        <w:rPr>
          <w:rFonts w:ascii="宋体" w:hAnsi="宋体" w:eastAsia="宋体" w:cs="宋体"/>
          <w:b/>
          <w:sz w:val="24"/>
          <w:szCs w:val="24"/>
        </w:rPr>
      </w:pPr>
      <w:bookmarkStart w:id="23" w:name="OLE_LINK1"/>
      <w:r>
        <w:rPr>
          <w:rFonts w:hint="eastAsia" w:ascii="宋体" w:hAnsi="宋体" w:eastAsia="宋体" w:cs="宋体"/>
          <w:b/>
          <w:sz w:val="24"/>
          <w:szCs w:val="24"/>
        </w:rPr>
        <w:t>若将来实际情况与上述评估假设产生差异时，将对评估结论产生影响，报告使用人应在使用本报告时充分考虑评估假设对本评估结论的影响。</w:t>
      </w:r>
    </w:p>
    <w:bookmarkEnd w:id="23"/>
    <w:p>
      <w:pPr>
        <w:pStyle w:val="3"/>
        <w:tabs>
          <w:tab w:val="left" w:pos="540"/>
        </w:tabs>
        <w:spacing w:before="0"/>
        <w:ind w:firstLine="463" w:firstLineChars="192"/>
        <w:jc w:val="both"/>
        <w:rPr>
          <w:rFonts w:ascii="宋体" w:hAnsi="宋体" w:eastAsia="宋体"/>
          <w:sz w:val="24"/>
          <w:szCs w:val="24"/>
        </w:rPr>
      </w:pPr>
      <w:r>
        <w:rPr>
          <w:rFonts w:hint="eastAsia" w:ascii="宋体" w:hAnsi="宋体" w:eastAsia="宋体"/>
          <w:sz w:val="24"/>
          <w:szCs w:val="24"/>
        </w:rPr>
        <w:t>十、评估结论</w:t>
      </w:r>
      <w:bookmarkEnd w:id="22"/>
    </w:p>
    <w:p>
      <w:pPr>
        <w:tabs>
          <w:tab w:val="left" w:pos="0"/>
          <w:tab w:val="left" w:pos="11988"/>
        </w:tabs>
        <w:spacing w:line="360" w:lineRule="auto"/>
        <w:ind w:firstLine="480" w:firstLineChars="200"/>
        <w:rPr>
          <w:rFonts w:ascii="宋体" w:cs="Arial"/>
          <w:sz w:val="24"/>
        </w:rPr>
      </w:pPr>
      <w:r>
        <w:rPr>
          <w:rFonts w:hint="eastAsia" w:ascii="宋体" w:hAnsi="宋体"/>
          <w:sz w:val="24"/>
        </w:rPr>
        <w:t>经综合评定估算，</w:t>
      </w:r>
      <w:r>
        <w:rPr>
          <w:rFonts w:hint="eastAsia" w:ascii="宋体" w:hAnsi="宋体"/>
          <w:sz w:val="24"/>
          <w:lang w:eastAsia="zh-CN"/>
        </w:rPr>
        <w:t>辽源市西安区人民法院司法辅助办公室</w:t>
      </w:r>
      <w:r>
        <w:rPr>
          <w:rFonts w:hint="eastAsia" w:ascii="宋体" w:hAnsi="宋体"/>
          <w:sz w:val="24"/>
        </w:rPr>
        <w:t>委托评估的资产评估结论如下（在本报告揭示</w:t>
      </w:r>
      <w:r>
        <w:rPr>
          <w:rFonts w:hint="eastAsia" w:ascii="宋体" w:hAnsi="宋体" w:cs="Arial"/>
          <w:sz w:val="24"/>
        </w:rPr>
        <w:t>的假设前提条件基础上，评估对象在评估基准日的价值）：</w:t>
      </w:r>
    </w:p>
    <w:p>
      <w:pPr>
        <w:tabs>
          <w:tab w:val="left" w:pos="0"/>
          <w:tab w:val="left" w:pos="11988"/>
        </w:tabs>
        <w:spacing w:line="360" w:lineRule="auto"/>
        <w:ind w:firstLine="480" w:firstLineChars="200"/>
        <w:rPr>
          <w:rFonts w:ascii="宋体" w:cs="Arial"/>
          <w:sz w:val="24"/>
        </w:rPr>
      </w:pPr>
      <w:r>
        <w:rPr>
          <w:rFonts w:hint="eastAsia" w:ascii="宋体" w:hAnsi="宋体"/>
          <w:sz w:val="24"/>
        </w:rPr>
        <w:t>委估资产的评估价值</w:t>
      </w:r>
      <w:r>
        <w:rPr>
          <w:rFonts w:hint="eastAsia" w:ascii="宋体" w:hAnsi="宋体"/>
          <w:sz w:val="24"/>
          <w:lang w:val="en-US" w:eastAsia="zh-CN"/>
        </w:rPr>
        <w:t>1,196，064.00</w:t>
      </w:r>
      <w:r>
        <w:rPr>
          <w:rFonts w:hint="eastAsia" w:ascii="宋体" w:hAnsi="宋体"/>
          <w:sz w:val="24"/>
        </w:rPr>
        <w:t>元；大写人民币</w:t>
      </w:r>
      <w:r>
        <w:rPr>
          <w:rFonts w:hint="eastAsia" w:ascii="宋体" w:hAnsi="宋体"/>
          <w:sz w:val="24"/>
          <w:lang w:eastAsia="zh-CN"/>
        </w:rPr>
        <w:t>壹佰壹拾玖万陆仟零陆拾肆元整</w:t>
      </w:r>
      <w:r>
        <w:rPr>
          <w:rFonts w:hint="eastAsia" w:ascii="宋体" w:hAnsi="宋体"/>
          <w:sz w:val="24"/>
        </w:rPr>
        <w:t>。</w:t>
      </w:r>
    </w:p>
    <w:p>
      <w:pPr>
        <w:pStyle w:val="9"/>
        <w:spacing w:line="360" w:lineRule="auto"/>
        <w:jc w:val="center"/>
        <w:rPr>
          <w:rFonts w:hAnsi="宋体"/>
          <w:b/>
          <w:bCs/>
          <w:sz w:val="24"/>
          <w:szCs w:val="24"/>
        </w:rPr>
      </w:pPr>
      <w:r>
        <w:rPr>
          <w:rFonts w:hint="eastAsia" w:hAnsi="宋体"/>
          <w:b/>
          <w:bCs/>
          <w:sz w:val="24"/>
          <w:szCs w:val="24"/>
        </w:rPr>
        <w:t>资产评估结论汇总表</w:t>
      </w:r>
    </w:p>
    <w:p>
      <w:pPr>
        <w:pStyle w:val="9"/>
        <w:spacing w:line="360" w:lineRule="auto"/>
        <w:jc w:val="center"/>
        <w:rPr>
          <w:rFonts w:hint="eastAsia" w:hAnsi="宋体" w:eastAsia="宋体"/>
          <w:sz w:val="18"/>
          <w:szCs w:val="18"/>
          <w:lang w:eastAsia="zh-CN"/>
        </w:rPr>
      </w:pPr>
      <w:r>
        <w:rPr>
          <w:rFonts w:hint="eastAsia" w:hAnsi="宋体"/>
          <w:sz w:val="18"/>
          <w:szCs w:val="18"/>
        </w:rPr>
        <w:t>评估基准日：</w:t>
      </w:r>
      <w:r>
        <w:rPr>
          <w:rFonts w:hAnsi="宋体"/>
          <w:sz w:val="18"/>
          <w:szCs w:val="18"/>
        </w:rPr>
        <w:t>2020</w:t>
      </w:r>
      <w:r>
        <w:rPr>
          <w:rFonts w:hint="eastAsia" w:hAnsi="宋体"/>
          <w:sz w:val="18"/>
          <w:szCs w:val="18"/>
        </w:rPr>
        <w:t>年</w:t>
      </w:r>
      <w:r>
        <w:rPr>
          <w:rFonts w:hint="eastAsia" w:hAnsi="宋体"/>
          <w:sz w:val="18"/>
          <w:szCs w:val="18"/>
          <w:lang w:eastAsia="zh-CN"/>
        </w:rPr>
        <w:t>09月28日</w:t>
      </w:r>
    </w:p>
    <w:p>
      <w:pPr>
        <w:pStyle w:val="9"/>
        <w:spacing w:line="360" w:lineRule="auto"/>
        <w:jc w:val="left"/>
        <w:rPr>
          <w:rFonts w:hAnsi="宋体"/>
          <w:sz w:val="18"/>
          <w:szCs w:val="18"/>
        </w:rPr>
      </w:pPr>
      <w:r>
        <w:rPr>
          <w:rFonts w:hint="eastAsia" w:hAnsi="宋体"/>
          <w:sz w:val="18"/>
          <w:szCs w:val="18"/>
        </w:rPr>
        <w:t>产权持有者：</w:t>
      </w:r>
      <w:r>
        <w:rPr>
          <w:rFonts w:hint="eastAsia" w:hAnsi="宋体"/>
          <w:sz w:val="18"/>
          <w:szCs w:val="18"/>
          <w:lang w:eastAsia="zh-CN"/>
        </w:rPr>
        <w:t>郗大兴、马辉</w:t>
      </w:r>
      <w:r>
        <w:rPr>
          <w:rFonts w:hAnsi="宋体"/>
          <w:sz w:val="18"/>
          <w:szCs w:val="18"/>
        </w:rPr>
        <w:t xml:space="preserve">                                                           </w:t>
      </w:r>
      <w:r>
        <w:rPr>
          <w:rFonts w:hint="eastAsia" w:hAnsi="宋体"/>
          <w:sz w:val="18"/>
          <w:szCs w:val="18"/>
        </w:rPr>
        <w:t>单位：人民币元</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1260"/>
        <w:gridCol w:w="144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60" w:type="dxa"/>
          </w:tcPr>
          <w:p>
            <w:pPr>
              <w:pStyle w:val="9"/>
              <w:spacing w:line="360" w:lineRule="auto"/>
              <w:ind w:firstLine="360" w:firstLineChars="200"/>
              <w:rPr>
                <w:rFonts w:hAnsi="宋体"/>
                <w:sz w:val="18"/>
                <w:szCs w:val="18"/>
              </w:rPr>
            </w:pPr>
            <w:r>
              <w:rPr>
                <w:rFonts w:hint="eastAsia" w:hAnsi="宋体"/>
                <w:sz w:val="18"/>
                <w:szCs w:val="18"/>
              </w:rPr>
              <w:t>项</w:t>
            </w:r>
            <w:r>
              <w:rPr>
                <w:rFonts w:hAnsi="宋体"/>
                <w:sz w:val="18"/>
                <w:szCs w:val="18"/>
              </w:rPr>
              <w:t xml:space="preserve"> </w:t>
            </w:r>
            <w:r>
              <w:rPr>
                <w:rFonts w:hint="eastAsia" w:hAnsi="宋体"/>
                <w:sz w:val="18"/>
                <w:szCs w:val="18"/>
              </w:rPr>
              <w:t>目</w:t>
            </w:r>
          </w:p>
        </w:tc>
        <w:tc>
          <w:tcPr>
            <w:tcW w:w="1260" w:type="dxa"/>
          </w:tcPr>
          <w:p>
            <w:pPr>
              <w:pStyle w:val="9"/>
              <w:spacing w:line="360" w:lineRule="auto"/>
              <w:jc w:val="center"/>
              <w:rPr>
                <w:rFonts w:hAnsi="宋体"/>
                <w:sz w:val="18"/>
                <w:szCs w:val="18"/>
              </w:rPr>
            </w:pPr>
            <w:r>
              <w:rPr>
                <w:rFonts w:hint="eastAsia" w:hAnsi="宋体"/>
                <w:sz w:val="18"/>
                <w:szCs w:val="18"/>
              </w:rPr>
              <w:t>账面价值</w:t>
            </w:r>
          </w:p>
        </w:tc>
        <w:tc>
          <w:tcPr>
            <w:tcW w:w="1260" w:type="dxa"/>
          </w:tcPr>
          <w:p>
            <w:pPr>
              <w:pStyle w:val="9"/>
              <w:spacing w:line="360" w:lineRule="auto"/>
              <w:rPr>
                <w:rFonts w:hAnsi="宋体"/>
                <w:sz w:val="18"/>
                <w:szCs w:val="18"/>
              </w:rPr>
            </w:pPr>
            <w:r>
              <w:rPr>
                <w:rFonts w:hint="eastAsia" w:hAnsi="宋体"/>
                <w:sz w:val="18"/>
                <w:szCs w:val="18"/>
              </w:rPr>
              <w:t>调整后账面值</w:t>
            </w:r>
          </w:p>
        </w:tc>
        <w:tc>
          <w:tcPr>
            <w:tcW w:w="1440" w:type="dxa"/>
          </w:tcPr>
          <w:p>
            <w:pPr>
              <w:pStyle w:val="9"/>
              <w:spacing w:line="360" w:lineRule="auto"/>
              <w:jc w:val="center"/>
              <w:rPr>
                <w:rFonts w:hAnsi="宋体"/>
                <w:sz w:val="18"/>
                <w:szCs w:val="18"/>
              </w:rPr>
            </w:pPr>
            <w:r>
              <w:rPr>
                <w:rFonts w:hint="eastAsia" w:hAnsi="宋体"/>
                <w:sz w:val="18"/>
                <w:szCs w:val="18"/>
              </w:rPr>
              <w:t>评估价值</w:t>
            </w:r>
          </w:p>
        </w:tc>
        <w:tc>
          <w:tcPr>
            <w:tcW w:w="1440" w:type="dxa"/>
          </w:tcPr>
          <w:p>
            <w:pPr>
              <w:pStyle w:val="9"/>
              <w:spacing w:line="360" w:lineRule="auto"/>
              <w:jc w:val="center"/>
              <w:rPr>
                <w:rFonts w:hAnsi="宋体"/>
                <w:sz w:val="18"/>
                <w:szCs w:val="18"/>
              </w:rPr>
            </w:pPr>
            <w:r>
              <w:rPr>
                <w:rFonts w:hint="eastAsia" w:hAnsi="宋体"/>
                <w:sz w:val="18"/>
                <w:szCs w:val="18"/>
              </w:rPr>
              <w:t>增值额</w:t>
            </w:r>
          </w:p>
        </w:tc>
        <w:tc>
          <w:tcPr>
            <w:tcW w:w="1260" w:type="dxa"/>
          </w:tcPr>
          <w:p>
            <w:pPr>
              <w:pStyle w:val="9"/>
              <w:spacing w:line="360" w:lineRule="auto"/>
              <w:rPr>
                <w:rFonts w:hAnsi="宋体"/>
                <w:sz w:val="18"/>
                <w:szCs w:val="18"/>
              </w:rPr>
            </w:pPr>
            <w:r>
              <w:rPr>
                <w:rFonts w:hint="eastAsia" w:hAnsi="宋体"/>
                <w:sz w:val="18"/>
                <w:szCs w:val="18"/>
              </w:rPr>
              <w:t>增值率</w:t>
            </w: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60" w:type="dxa"/>
          </w:tcPr>
          <w:p>
            <w:pPr>
              <w:pStyle w:val="9"/>
              <w:spacing w:line="360" w:lineRule="auto"/>
              <w:rPr>
                <w:rFonts w:hAnsi="宋体"/>
                <w:sz w:val="18"/>
                <w:szCs w:val="18"/>
              </w:rPr>
            </w:pPr>
            <w:r>
              <w:rPr>
                <w:rFonts w:hint="eastAsia" w:hAnsi="宋体"/>
                <w:sz w:val="18"/>
                <w:szCs w:val="18"/>
              </w:rPr>
              <w:t>固定资产</w:t>
            </w:r>
          </w:p>
        </w:tc>
        <w:tc>
          <w:tcPr>
            <w:tcW w:w="1260" w:type="dxa"/>
          </w:tcPr>
          <w:p>
            <w:pPr>
              <w:pStyle w:val="9"/>
              <w:spacing w:line="360" w:lineRule="auto"/>
              <w:jc w:val="right"/>
              <w:rPr>
                <w:rFonts w:hAnsi="宋体"/>
                <w:sz w:val="18"/>
                <w:szCs w:val="18"/>
              </w:rPr>
            </w:pPr>
          </w:p>
        </w:tc>
        <w:tc>
          <w:tcPr>
            <w:tcW w:w="1260" w:type="dxa"/>
          </w:tcPr>
          <w:p>
            <w:pPr>
              <w:pStyle w:val="9"/>
              <w:spacing w:line="360" w:lineRule="auto"/>
              <w:jc w:val="right"/>
              <w:rPr>
                <w:rFonts w:hAnsi="宋体"/>
                <w:sz w:val="18"/>
                <w:szCs w:val="18"/>
              </w:rPr>
            </w:pPr>
          </w:p>
        </w:tc>
        <w:tc>
          <w:tcPr>
            <w:tcW w:w="1440" w:type="dxa"/>
          </w:tcPr>
          <w:p>
            <w:pPr>
              <w:pStyle w:val="9"/>
              <w:spacing w:line="360" w:lineRule="auto"/>
              <w:jc w:val="right"/>
              <w:rPr>
                <w:rFonts w:hint="default" w:hAnsi="宋体" w:eastAsia="宋体"/>
                <w:sz w:val="18"/>
                <w:szCs w:val="18"/>
                <w:lang w:val="en-US" w:eastAsia="zh-CN"/>
              </w:rPr>
            </w:pPr>
            <w:r>
              <w:rPr>
                <w:rFonts w:hint="eastAsia" w:hAnsi="宋体"/>
                <w:sz w:val="18"/>
                <w:szCs w:val="18"/>
                <w:lang w:val="en-US" w:eastAsia="zh-CN"/>
              </w:rPr>
              <w:t>1,196,064.00</w:t>
            </w:r>
          </w:p>
        </w:tc>
        <w:tc>
          <w:tcPr>
            <w:tcW w:w="1440" w:type="dxa"/>
          </w:tcPr>
          <w:p>
            <w:pPr>
              <w:pStyle w:val="9"/>
              <w:spacing w:line="360" w:lineRule="auto"/>
              <w:jc w:val="right"/>
              <w:rPr>
                <w:rFonts w:hAnsi="宋体"/>
                <w:sz w:val="18"/>
                <w:szCs w:val="18"/>
              </w:rPr>
            </w:pPr>
          </w:p>
        </w:tc>
        <w:tc>
          <w:tcPr>
            <w:tcW w:w="1260" w:type="dxa"/>
          </w:tcPr>
          <w:p>
            <w:pPr>
              <w:pStyle w:val="9"/>
              <w:spacing w:line="360" w:lineRule="auto"/>
              <w:jc w:val="right"/>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60" w:type="dxa"/>
          </w:tcPr>
          <w:p>
            <w:pPr>
              <w:pStyle w:val="9"/>
              <w:spacing w:line="360" w:lineRule="auto"/>
              <w:rPr>
                <w:rFonts w:hAnsi="宋体"/>
                <w:sz w:val="18"/>
                <w:szCs w:val="18"/>
              </w:rPr>
            </w:pPr>
            <w:r>
              <w:rPr>
                <w:rFonts w:hint="eastAsia" w:hAnsi="宋体"/>
                <w:sz w:val="18"/>
                <w:szCs w:val="18"/>
              </w:rPr>
              <w:t>其中</w:t>
            </w:r>
            <w:r>
              <w:rPr>
                <w:rFonts w:hAnsi="宋体"/>
                <w:sz w:val="18"/>
                <w:szCs w:val="18"/>
              </w:rPr>
              <w:t>:</w:t>
            </w:r>
            <w:r>
              <w:rPr>
                <w:rFonts w:hint="eastAsia" w:hAnsi="宋体"/>
                <w:sz w:val="18"/>
                <w:szCs w:val="18"/>
              </w:rPr>
              <w:t>房屋建筑物</w:t>
            </w:r>
          </w:p>
        </w:tc>
        <w:tc>
          <w:tcPr>
            <w:tcW w:w="1260" w:type="dxa"/>
          </w:tcPr>
          <w:p>
            <w:pPr>
              <w:pStyle w:val="9"/>
              <w:spacing w:line="360" w:lineRule="auto"/>
              <w:jc w:val="right"/>
              <w:rPr>
                <w:rFonts w:hAnsi="宋体"/>
                <w:sz w:val="18"/>
                <w:szCs w:val="18"/>
              </w:rPr>
            </w:pPr>
          </w:p>
        </w:tc>
        <w:tc>
          <w:tcPr>
            <w:tcW w:w="1260" w:type="dxa"/>
          </w:tcPr>
          <w:p>
            <w:pPr>
              <w:pStyle w:val="9"/>
              <w:spacing w:line="360" w:lineRule="auto"/>
              <w:jc w:val="right"/>
              <w:rPr>
                <w:rFonts w:hAnsi="宋体"/>
                <w:sz w:val="18"/>
                <w:szCs w:val="18"/>
              </w:rPr>
            </w:pPr>
          </w:p>
        </w:tc>
        <w:tc>
          <w:tcPr>
            <w:tcW w:w="1440" w:type="dxa"/>
          </w:tcPr>
          <w:p>
            <w:pPr>
              <w:pStyle w:val="9"/>
              <w:spacing w:line="360" w:lineRule="auto"/>
              <w:jc w:val="right"/>
              <w:rPr>
                <w:rFonts w:hAnsi="宋体"/>
                <w:sz w:val="18"/>
                <w:szCs w:val="18"/>
              </w:rPr>
            </w:pPr>
            <w:r>
              <w:rPr>
                <w:rFonts w:hint="eastAsia" w:hAnsi="宋体"/>
                <w:sz w:val="18"/>
                <w:szCs w:val="18"/>
                <w:lang w:val="en-US" w:eastAsia="zh-CN"/>
              </w:rPr>
              <w:t>1,196,064.00</w:t>
            </w:r>
          </w:p>
        </w:tc>
        <w:tc>
          <w:tcPr>
            <w:tcW w:w="1440" w:type="dxa"/>
          </w:tcPr>
          <w:p>
            <w:pPr>
              <w:pStyle w:val="9"/>
              <w:spacing w:line="360" w:lineRule="auto"/>
              <w:jc w:val="right"/>
              <w:rPr>
                <w:rFonts w:hAnsi="宋体"/>
                <w:sz w:val="18"/>
                <w:szCs w:val="18"/>
              </w:rPr>
            </w:pPr>
          </w:p>
        </w:tc>
        <w:tc>
          <w:tcPr>
            <w:tcW w:w="1260" w:type="dxa"/>
          </w:tcPr>
          <w:p>
            <w:pPr>
              <w:pStyle w:val="9"/>
              <w:spacing w:line="360" w:lineRule="auto"/>
              <w:jc w:val="right"/>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60" w:type="dxa"/>
          </w:tcPr>
          <w:p>
            <w:pPr>
              <w:pStyle w:val="9"/>
              <w:spacing w:line="360" w:lineRule="auto"/>
              <w:rPr>
                <w:rFonts w:hAnsi="宋体"/>
                <w:sz w:val="18"/>
                <w:szCs w:val="18"/>
              </w:rPr>
            </w:pPr>
            <w:r>
              <w:rPr>
                <w:rFonts w:hint="eastAsia" w:hAnsi="宋体"/>
                <w:sz w:val="18"/>
                <w:szCs w:val="18"/>
              </w:rPr>
              <w:t>构筑物及其它附属设施</w:t>
            </w:r>
          </w:p>
        </w:tc>
        <w:tc>
          <w:tcPr>
            <w:tcW w:w="1260" w:type="dxa"/>
          </w:tcPr>
          <w:p>
            <w:pPr>
              <w:pStyle w:val="9"/>
              <w:spacing w:line="360" w:lineRule="auto"/>
              <w:jc w:val="right"/>
              <w:rPr>
                <w:rFonts w:hAnsi="宋体"/>
                <w:sz w:val="18"/>
                <w:szCs w:val="18"/>
              </w:rPr>
            </w:pPr>
          </w:p>
        </w:tc>
        <w:tc>
          <w:tcPr>
            <w:tcW w:w="1260" w:type="dxa"/>
          </w:tcPr>
          <w:p>
            <w:pPr>
              <w:pStyle w:val="9"/>
              <w:spacing w:line="360" w:lineRule="auto"/>
              <w:jc w:val="right"/>
              <w:rPr>
                <w:rFonts w:hAnsi="宋体"/>
                <w:sz w:val="18"/>
                <w:szCs w:val="18"/>
              </w:rPr>
            </w:pPr>
          </w:p>
        </w:tc>
        <w:tc>
          <w:tcPr>
            <w:tcW w:w="1440" w:type="dxa"/>
          </w:tcPr>
          <w:p>
            <w:pPr>
              <w:pStyle w:val="9"/>
              <w:spacing w:line="360" w:lineRule="auto"/>
              <w:jc w:val="right"/>
              <w:rPr>
                <w:rFonts w:hAnsi="宋体"/>
                <w:sz w:val="18"/>
                <w:szCs w:val="18"/>
              </w:rPr>
            </w:pPr>
          </w:p>
        </w:tc>
        <w:tc>
          <w:tcPr>
            <w:tcW w:w="1440" w:type="dxa"/>
          </w:tcPr>
          <w:p>
            <w:pPr>
              <w:pStyle w:val="9"/>
              <w:spacing w:line="360" w:lineRule="auto"/>
              <w:jc w:val="right"/>
              <w:rPr>
                <w:rFonts w:hAnsi="宋体"/>
                <w:sz w:val="18"/>
                <w:szCs w:val="18"/>
              </w:rPr>
            </w:pPr>
          </w:p>
        </w:tc>
        <w:tc>
          <w:tcPr>
            <w:tcW w:w="1260" w:type="dxa"/>
          </w:tcPr>
          <w:p>
            <w:pPr>
              <w:pStyle w:val="9"/>
              <w:spacing w:line="360" w:lineRule="auto"/>
              <w:jc w:val="right"/>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60" w:type="dxa"/>
          </w:tcPr>
          <w:p>
            <w:pPr>
              <w:pStyle w:val="9"/>
              <w:spacing w:line="360" w:lineRule="auto"/>
              <w:ind w:firstLine="360" w:firstLineChars="200"/>
              <w:rPr>
                <w:rFonts w:hAnsi="宋体"/>
                <w:sz w:val="18"/>
                <w:szCs w:val="18"/>
              </w:rPr>
            </w:pPr>
            <w:r>
              <w:rPr>
                <w:rFonts w:hint="eastAsia" w:hAnsi="宋体"/>
                <w:sz w:val="18"/>
                <w:szCs w:val="18"/>
              </w:rPr>
              <w:t>机器设备</w:t>
            </w:r>
          </w:p>
        </w:tc>
        <w:tc>
          <w:tcPr>
            <w:tcW w:w="1260" w:type="dxa"/>
          </w:tcPr>
          <w:p>
            <w:pPr>
              <w:pStyle w:val="9"/>
              <w:spacing w:line="360" w:lineRule="auto"/>
              <w:jc w:val="right"/>
              <w:rPr>
                <w:rFonts w:hAnsi="宋体"/>
                <w:sz w:val="18"/>
                <w:szCs w:val="18"/>
              </w:rPr>
            </w:pPr>
          </w:p>
        </w:tc>
        <w:tc>
          <w:tcPr>
            <w:tcW w:w="1260" w:type="dxa"/>
          </w:tcPr>
          <w:p>
            <w:pPr>
              <w:pStyle w:val="9"/>
              <w:spacing w:line="360" w:lineRule="auto"/>
              <w:jc w:val="right"/>
              <w:rPr>
                <w:rFonts w:hAnsi="宋体"/>
                <w:sz w:val="18"/>
                <w:szCs w:val="18"/>
              </w:rPr>
            </w:pPr>
          </w:p>
        </w:tc>
        <w:tc>
          <w:tcPr>
            <w:tcW w:w="1440" w:type="dxa"/>
          </w:tcPr>
          <w:p>
            <w:pPr>
              <w:pStyle w:val="9"/>
              <w:tabs>
                <w:tab w:val="left" w:pos="1200"/>
              </w:tabs>
              <w:wordWrap w:val="0"/>
              <w:spacing w:line="360" w:lineRule="auto"/>
              <w:jc w:val="right"/>
              <w:rPr>
                <w:rFonts w:hAnsi="宋体"/>
                <w:sz w:val="18"/>
                <w:szCs w:val="18"/>
              </w:rPr>
            </w:pPr>
            <w:r>
              <w:rPr>
                <w:rFonts w:hAnsi="宋体"/>
                <w:sz w:val="18"/>
                <w:szCs w:val="18"/>
              </w:rPr>
              <w:t xml:space="preserve">     </w:t>
            </w:r>
          </w:p>
        </w:tc>
        <w:tc>
          <w:tcPr>
            <w:tcW w:w="1440" w:type="dxa"/>
          </w:tcPr>
          <w:p>
            <w:pPr>
              <w:pStyle w:val="9"/>
              <w:spacing w:line="360" w:lineRule="auto"/>
              <w:jc w:val="right"/>
              <w:rPr>
                <w:rFonts w:hAnsi="宋体"/>
                <w:sz w:val="18"/>
                <w:szCs w:val="18"/>
              </w:rPr>
            </w:pPr>
          </w:p>
        </w:tc>
        <w:tc>
          <w:tcPr>
            <w:tcW w:w="1260" w:type="dxa"/>
          </w:tcPr>
          <w:p>
            <w:pPr>
              <w:pStyle w:val="9"/>
              <w:spacing w:line="360" w:lineRule="auto"/>
              <w:jc w:val="right"/>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60" w:type="dxa"/>
          </w:tcPr>
          <w:p>
            <w:pPr>
              <w:pStyle w:val="9"/>
              <w:spacing w:line="360" w:lineRule="auto"/>
              <w:rPr>
                <w:rFonts w:hAnsi="宋体"/>
                <w:sz w:val="18"/>
                <w:szCs w:val="18"/>
              </w:rPr>
            </w:pPr>
            <w:r>
              <w:rPr>
                <w:rFonts w:hint="eastAsia" w:hAnsi="宋体"/>
                <w:sz w:val="18"/>
                <w:szCs w:val="18"/>
              </w:rPr>
              <w:t>资产总计</w:t>
            </w:r>
          </w:p>
        </w:tc>
        <w:tc>
          <w:tcPr>
            <w:tcW w:w="1260" w:type="dxa"/>
          </w:tcPr>
          <w:p>
            <w:pPr>
              <w:pStyle w:val="9"/>
              <w:spacing w:line="360" w:lineRule="auto"/>
              <w:jc w:val="right"/>
              <w:rPr>
                <w:rFonts w:hAnsi="宋体"/>
                <w:sz w:val="18"/>
                <w:szCs w:val="18"/>
              </w:rPr>
            </w:pPr>
          </w:p>
        </w:tc>
        <w:tc>
          <w:tcPr>
            <w:tcW w:w="1260" w:type="dxa"/>
          </w:tcPr>
          <w:p>
            <w:pPr>
              <w:pStyle w:val="9"/>
              <w:spacing w:line="360" w:lineRule="auto"/>
              <w:jc w:val="right"/>
              <w:rPr>
                <w:rFonts w:hAnsi="宋体"/>
                <w:sz w:val="18"/>
                <w:szCs w:val="18"/>
              </w:rPr>
            </w:pPr>
          </w:p>
        </w:tc>
        <w:tc>
          <w:tcPr>
            <w:tcW w:w="1440" w:type="dxa"/>
          </w:tcPr>
          <w:p>
            <w:pPr>
              <w:pStyle w:val="9"/>
              <w:spacing w:line="360" w:lineRule="auto"/>
              <w:jc w:val="right"/>
              <w:rPr>
                <w:rFonts w:hAnsi="宋体"/>
                <w:sz w:val="18"/>
                <w:szCs w:val="18"/>
              </w:rPr>
            </w:pPr>
            <w:r>
              <w:rPr>
                <w:rFonts w:hint="eastAsia" w:hAnsi="宋体"/>
                <w:sz w:val="18"/>
                <w:szCs w:val="18"/>
                <w:lang w:val="en-US" w:eastAsia="zh-CN"/>
              </w:rPr>
              <w:t>1,196,064.00</w:t>
            </w:r>
          </w:p>
        </w:tc>
        <w:tc>
          <w:tcPr>
            <w:tcW w:w="1440" w:type="dxa"/>
          </w:tcPr>
          <w:p>
            <w:pPr>
              <w:pStyle w:val="9"/>
              <w:spacing w:line="360" w:lineRule="auto"/>
              <w:jc w:val="right"/>
              <w:rPr>
                <w:rFonts w:hAnsi="宋体"/>
                <w:sz w:val="18"/>
                <w:szCs w:val="18"/>
              </w:rPr>
            </w:pPr>
          </w:p>
        </w:tc>
        <w:tc>
          <w:tcPr>
            <w:tcW w:w="1260" w:type="dxa"/>
          </w:tcPr>
          <w:p>
            <w:pPr>
              <w:pStyle w:val="9"/>
              <w:spacing w:line="360" w:lineRule="auto"/>
              <w:jc w:val="right"/>
              <w:rPr>
                <w:rFonts w:hAnsi="宋体"/>
                <w:sz w:val="18"/>
                <w:szCs w:val="18"/>
              </w:rPr>
            </w:pPr>
          </w:p>
        </w:tc>
      </w:tr>
    </w:tbl>
    <w:p>
      <w:pPr>
        <w:pStyle w:val="8"/>
        <w:jc w:val="both"/>
        <w:rPr>
          <w:rFonts w:ascii="宋体" w:hAnsi="宋体" w:eastAsia="宋体"/>
          <w:sz w:val="24"/>
          <w:szCs w:val="24"/>
        </w:rPr>
      </w:pPr>
      <w:r>
        <w:rPr>
          <w:rFonts w:hint="eastAsia" w:ascii="宋体" w:hAnsi="宋体" w:eastAsia="宋体"/>
          <w:sz w:val="24"/>
          <w:szCs w:val="24"/>
        </w:rPr>
        <w:t>（评估结论详细情况见资产评估明细表）</w:t>
      </w:r>
    </w:p>
    <w:p>
      <w:pPr>
        <w:pStyle w:val="8"/>
        <w:ind w:firstLine="482" w:firstLineChars="200"/>
        <w:jc w:val="both"/>
        <w:rPr>
          <w:rFonts w:ascii="宋体" w:hAnsi="宋体" w:eastAsia="宋体"/>
          <w:b/>
          <w:bCs/>
          <w:sz w:val="24"/>
          <w:szCs w:val="24"/>
        </w:rPr>
      </w:pPr>
      <w:r>
        <w:rPr>
          <w:rFonts w:hint="eastAsia" w:ascii="宋体" w:hAnsi="宋体" w:eastAsia="宋体"/>
          <w:b/>
          <w:bCs/>
          <w:sz w:val="24"/>
          <w:szCs w:val="24"/>
        </w:rPr>
        <w:t>十一、特殊事项说明</w:t>
      </w:r>
    </w:p>
    <w:p>
      <w:pPr>
        <w:spacing w:line="360" w:lineRule="auto"/>
        <w:ind w:firstLine="480" w:firstLineChars="200"/>
        <w:rPr>
          <w:rFonts w:ascii="宋体"/>
          <w:kern w:val="24"/>
          <w:sz w:val="24"/>
        </w:rPr>
      </w:pPr>
      <w:r>
        <w:rPr>
          <w:rFonts w:ascii="宋体" w:hAnsi="宋体"/>
          <w:kern w:val="24"/>
          <w:sz w:val="24"/>
        </w:rPr>
        <w:t>1.</w:t>
      </w:r>
      <w:r>
        <w:rPr>
          <w:rFonts w:hint="eastAsia" w:ascii="宋体" w:hAnsi="宋体"/>
          <w:kern w:val="24"/>
          <w:sz w:val="24"/>
        </w:rPr>
        <w:t>我们已对本评估报告中的估价对象进行了实地查看并进行了记录，但仅限于估价对象的外观与目前的维护管理状况，尤其因提供资料有限，我们不承担估价对象建筑结构质量、建筑面积数量准确性和相应权益的责任，也不承担其他被遮盖，未暴露及难于接触到的部位进行检视的责任。</w:t>
      </w:r>
    </w:p>
    <w:p>
      <w:pPr>
        <w:spacing w:line="360" w:lineRule="auto"/>
        <w:ind w:firstLine="480" w:firstLineChars="200"/>
        <w:rPr>
          <w:rFonts w:ascii="宋体"/>
          <w:kern w:val="24"/>
          <w:sz w:val="24"/>
        </w:rPr>
      </w:pPr>
      <w:r>
        <w:rPr>
          <w:rFonts w:ascii="宋体" w:hAnsi="宋体"/>
          <w:kern w:val="24"/>
          <w:sz w:val="24"/>
        </w:rPr>
        <w:t>2.</w:t>
      </w:r>
      <w:r>
        <w:rPr>
          <w:rFonts w:hint="eastAsia" w:ascii="宋体" w:hAnsi="宋体"/>
          <w:kern w:val="24"/>
          <w:sz w:val="24"/>
        </w:rPr>
        <w:t>除已在评估报告中披露的运用评估机构或专家的工作外，评估过程中没有运用其他评估机构或评估专家的工作成果。</w:t>
      </w:r>
    </w:p>
    <w:p>
      <w:pPr>
        <w:tabs>
          <w:tab w:val="left" w:pos="-360"/>
        </w:tabs>
        <w:spacing w:line="360" w:lineRule="auto"/>
        <w:ind w:firstLine="480" w:firstLineChars="200"/>
        <w:rPr>
          <w:rFonts w:ascii="宋体"/>
          <w:kern w:val="24"/>
          <w:sz w:val="24"/>
        </w:rPr>
      </w:pPr>
      <w:r>
        <w:rPr>
          <w:rFonts w:ascii="宋体" w:hAnsi="宋体"/>
          <w:kern w:val="24"/>
          <w:sz w:val="24"/>
        </w:rPr>
        <w:t>3.</w:t>
      </w:r>
      <w:r>
        <w:rPr>
          <w:rFonts w:hint="eastAsia" w:ascii="宋体" w:hAnsi="宋体"/>
          <w:kern w:val="24"/>
          <w:sz w:val="24"/>
        </w:rPr>
        <w:t>本次评估结论仅供委托方和委托合同中载明的报告使用人为实现与评估报告中载明的评估目的相一致的经济行为和送交资产评估主管机关审查确认时使用。</w:t>
      </w:r>
    </w:p>
    <w:p>
      <w:pPr>
        <w:spacing w:line="360" w:lineRule="auto"/>
        <w:ind w:firstLine="480" w:firstLineChars="200"/>
        <w:rPr>
          <w:rFonts w:ascii="宋体"/>
          <w:kern w:val="24"/>
          <w:sz w:val="24"/>
        </w:rPr>
      </w:pPr>
      <w:r>
        <w:rPr>
          <w:rFonts w:ascii="宋体" w:hAnsi="宋体"/>
          <w:kern w:val="24"/>
          <w:sz w:val="24"/>
        </w:rPr>
        <w:t>4.</w:t>
      </w:r>
      <w:r>
        <w:rPr>
          <w:rFonts w:hint="eastAsia" w:ascii="宋体" w:hAnsi="宋体"/>
          <w:kern w:val="24"/>
          <w:sz w:val="24"/>
        </w:rPr>
        <w:t>资产评估师对评估对象的法律权属状况给予了必要的关注，但不对评估对象的法律权属做任何形式的保证；报告中对估价对象权属情况的披露不能作为对其权属确认的依据，估价对象权属界定以产权管理部门认定为准。</w:t>
      </w:r>
    </w:p>
    <w:p>
      <w:pPr>
        <w:pStyle w:val="8"/>
        <w:ind w:firstLine="480" w:firstLineChars="200"/>
        <w:jc w:val="both"/>
        <w:rPr>
          <w:rFonts w:ascii="宋体" w:hAnsi="宋体" w:eastAsia="宋体"/>
          <w:sz w:val="24"/>
        </w:rPr>
      </w:pPr>
      <w:r>
        <w:rPr>
          <w:rFonts w:ascii="宋体" w:hAnsi="宋体" w:eastAsia="宋体"/>
          <w:sz w:val="24"/>
        </w:rPr>
        <w:t>5.</w:t>
      </w:r>
      <w:r>
        <w:rPr>
          <w:rFonts w:hint="eastAsia" w:ascii="宋体" w:hAnsi="宋体" w:eastAsia="宋体"/>
          <w:sz w:val="24"/>
          <w:szCs w:val="24"/>
        </w:rPr>
        <w:t>本次评估其产权及行为依据为</w:t>
      </w:r>
      <w:r>
        <w:rPr>
          <w:rFonts w:hint="eastAsia" w:ascii="宋体" w:hAnsi="宋体" w:eastAsia="宋体"/>
          <w:sz w:val="24"/>
        </w:rPr>
        <w:t>委托方提供的</w:t>
      </w:r>
      <w:r>
        <w:rPr>
          <w:rFonts w:hint="eastAsia" w:ascii="宋体" w:hAnsi="宋体" w:eastAsia="宋体"/>
          <w:sz w:val="24"/>
          <w:szCs w:val="24"/>
          <w:lang w:eastAsia="zh-CN"/>
        </w:rPr>
        <w:t>辽源市西安区</w:t>
      </w:r>
      <w:r>
        <w:rPr>
          <w:rFonts w:hint="eastAsia" w:ascii="宋体" w:hAnsi="宋体" w:eastAsia="宋体"/>
          <w:sz w:val="24"/>
          <w:szCs w:val="24"/>
        </w:rPr>
        <w:t>人民法院司法辅助办公室司法鉴定委托书（</w:t>
      </w:r>
      <w:r>
        <w:rPr>
          <w:rFonts w:hint="eastAsia" w:ascii="宋体" w:hAnsi="宋体" w:eastAsia="宋体"/>
          <w:sz w:val="24"/>
          <w:szCs w:val="24"/>
          <w:lang w:val="en-US" w:eastAsia="zh-CN"/>
        </w:rPr>
        <w:t>2020</w:t>
      </w:r>
      <w:r>
        <w:rPr>
          <w:rFonts w:hint="eastAsia" w:ascii="宋体" w:hAnsi="宋体" w:eastAsia="宋体"/>
          <w:sz w:val="24"/>
          <w:szCs w:val="24"/>
        </w:rPr>
        <w:t>）吉</w:t>
      </w:r>
      <w:r>
        <w:rPr>
          <w:rFonts w:ascii="宋体" w:hAnsi="宋体" w:eastAsia="宋体"/>
          <w:sz w:val="24"/>
          <w:szCs w:val="24"/>
        </w:rPr>
        <w:t>040</w:t>
      </w:r>
      <w:r>
        <w:rPr>
          <w:rFonts w:hint="eastAsia" w:ascii="宋体" w:hAnsi="宋体" w:eastAsia="宋体"/>
          <w:sz w:val="24"/>
          <w:szCs w:val="24"/>
          <w:lang w:val="en-US" w:eastAsia="zh-CN"/>
        </w:rPr>
        <w:t>3法司鉴17</w:t>
      </w:r>
      <w:r>
        <w:rPr>
          <w:rFonts w:hint="eastAsia" w:ascii="宋体" w:hAnsi="宋体" w:eastAsia="宋体"/>
          <w:sz w:val="24"/>
          <w:szCs w:val="24"/>
        </w:rPr>
        <w:t>号、</w:t>
      </w:r>
      <w:r>
        <w:rPr>
          <w:rFonts w:hint="eastAsia" w:ascii="宋体" w:hAnsi="宋体" w:eastAsia="宋体"/>
          <w:sz w:val="24"/>
          <w:szCs w:val="24"/>
          <w:lang w:eastAsia="zh-CN"/>
        </w:rPr>
        <w:t>辽源市西安区</w:t>
      </w:r>
      <w:r>
        <w:rPr>
          <w:rFonts w:hint="eastAsia" w:ascii="宋体" w:hAnsi="宋体" w:eastAsia="宋体"/>
          <w:sz w:val="24"/>
          <w:szCs w:val="24"/>
        </w:rPr>
        <w:t>人民法院</w:t>
      </w:r>
      <w:r>
        <w:rPr>
          <w:rFonts w:hint="eastAsia" w:ascii="宋体" w:hAnsi="宋体" w:eastAsia="宋体"/>
          <w:sz w:val="24"/>
          <w:szCs w:val="24"/>
          <w:lang w:eastAsia="zh-CN"/>
        </w:rPr>
        <w:t>司法辅助办公室鉴定参与人资格审查函</w:t>
      </w:r>
      <w:r>
        <w:rPr>
          <w:rFonts w:hint="eastAsia" w:ascii="宋体" w:hAnsi="宋体" w:eastAsia="宋体"/>
          <w:sz w:val="24"/>
          <w:szCs w:val="24"/>
        </w:rPr>
        <w:t>、</w:t>
      </w:r>
      <w:r>
        <w:rPr>
          <w:rFonts w:hint="eastAsia" w:ascii="宋体" w:hAnsi="宋体" w:eastAsia="宋体"/>
          <w:sz w:val="24"/>
          <w:szCs w:val="24"/>
          <w:lang w:eastAsia="zh-CN"/>
        </w:rPr>
        <w:t>不动产查询结果证明复印件及东艺春城商品房认购书</w:t>
      </w:r>
      <w:r>
        <w:rPr>
          <w:rFonts w:hint="eastAsia" w:ascii="宋体" w:hAnsi="宋体" w:eastAsia="宋体"/>
          <w:sz w:val="24"/>
          <w:szCs w:val="24"/>
        </w:rPr>
        <w:t>等。</w:t>
      </w:r>
      <w:r>
        <w:rPr>
          <w:rFonts w:hint="eastAsia" w:ascii="宋体" w:hAnsi="宋体" w:eastAsia="宋体" w:cs="宋体"/>
          <w:sz w:val="24"/>
        </w:rPr>
        <w:t>本</w:t>
      </w:r>
      <w:r>
        <w:rPr>
          <w:rFonts w:hint="eastAsia" w:ascii="宋体" w:hAnsi="宋体" w:eastAsia="宋体"/>
          <w:spacing w:val="4"/>
          <w:sz w:val="24"/>
          <w:szCs w:val="24"/>
        </w:rPr>
        <w:t>次评估</w:t>
      </w:r>
      <w:r>
        <w:rPr>
          <w:rFonts w:hint="eastAsia" w:ascii="宋体" w:hAnsi="宋体" w:eastAsia="宋体"/>
          <w:sz w:val="24"/>
        </w:rPr>
        <w:t>涉案房屋的相关产权信息参见委托方提供的由辽源市不动产登记中心出具的不动产查询结果证明复印件</w:t>
      </w:r>
      <w:r>
        <w:rPr>
          <w:rFonts w:hint="eastAsia" w:ascii="宋体" w:hAnsi="宋体" w:eastAsia="宋体"/>
          <w:sz w:val="24"/>
          <w:lang w:eastAsia="zh-CN"/>
        </w:rPr>
        <w:t>。根据委托方提供的东艺春城商品房认购书复印件，确定房屋产权人为马辉。</w:t>
      </w:r>
      <w:r>
        <w:rPr>
          <w:rFonts w:hint="eastAsia" w:ascii="宋体" w:hAnsi="宋体" w:eastAsia="宋体"/>
          <w:sz w:val="24"/>
        </w:rPr>
        <w:t>于现场勘察日，被申请人未到现场配合现场踏勘，涉案资产位置信息均由申请人配合确认</w:t>
      </w:r>
      <w:r>
        <w:rPr>
          <w:rFonts w:hint="eastAsia" w:ascii="宋体" w:hAnsi="宋体" w:eastAsia="宋体"/>
          <w:sz w:val="24"/>
          <w:lang w:eastAsia="zh-CN"/>
        </w:rPr>
        <w:t>。</w:t>
      </w:r>
      <w:r>
        <w:rPr>
          <w:rFonts w:hint="eastAsia" w:ascii="宋体" w:hAnsi="宋体" w:eastAsia="宋体" w:cs="宋体"/>
          <w:sz w:val="24"/>
        </w:rPr>
        <w:t>本次评估房屋建筑物的价值为房地合一价值；</w:t>
      </w:r>
      <w:r>
        <w:rPr>
          <w:rFonts w:hint="eastAsia" w:ascii="宋体" w:hAnsi="宋体" w:eastAsia="宋体"/>
          <w:spacing w:val="4"/>
          <w:sz w:val="24"/>
        </w:rPr>
        <w:t>对以上事项评估师提示报告使用者给予充分关注，</w:t>
      </w:r>
      <w:r>
        <w:rPr>
          <w:rFonts w:hint="eastAsia" w:ascii="宋体" w:hAnsi="宋体" w:eastAsia="宋体"/>
          <w:sz w:val="24"/>
        </w:rPr>
        <w:t>如果相关报告使用者对资产评估价值内含理解有误或对本评估报告评估结果使用不当造成的损失，评估机构及评估人员不承担相应责任</w:t>
      </w:r>
      <w:r>
        <w:rPr>
          <w:rFonts w:hint="eastAsia" w:ascii="宋体" w:hAnsi="宋体" w:eastAsia="宋体"/>
          <w:sz w:val="24"/>
          <w:szCs w:val="24"/>
        </w:rPr>
        <w:t>。</w:t>
      </w:r>
      <w:r>
        <w:rPr>
          <w:rFonts w:hint="eastAsia" w:ascii="宋体" w:hAnsi="宋体" w:eastAsia="宋体"/>
          <w:spacing w:val="4"/>
          <w:sz w:val="24"/>
          <w:szCs w:val="24"/>
        </w:rPr>
        <w:t>评估师只限于目前状况对委估资产发表估价意见，如因资产产权情况而发生的其他争议，评估师及评估机构不承担相应责任</w:t>
      </w:r>
      <w:r>
        <w:rPr>
          <w:rFonts w:hint="eastAsia" w:ascii="宋体" w:hAnsi="宋体" w:eastAsia="宋体"/>
          <w:sz w:val="24"/>
          <w:szCs w:val="24"/>
        </w:rPr>
        <w:t>。</w:t>
      </w:r>
      <w:r>
        <w:rPr>
          <w:rFonts w:hint="eastAsia" w:ascii="宋体" w:hAnsi="宋体" w:eastAsia="宋体"/>
          <w:spacing w:val="4"/>
          <w:sz w:val="24"/>
          <w:szCs w:val="24"/>
        </w:rPr>
        <w:t>如相关报告使用者需要其提供相关证明，应向其产权持有者索取</w:t>
      </w:r>
      <w:r>
        <w:rPr>
          <w:rFonts w:hint="eastAsia" w:ascii="宋体" w:hAnsi="宋体" w:eastAsia="宋体"/>
          <w:sz w:val="24"/>
          <w:szCs w:val="24"/>
        </w:rPr>
        <w:t>。</w:t>
      </w:r>
    </w:p>
    <w:p>
      <w:pPr>
        <w:pStyle w:val="8"/>
        <w:ind w:firstLine="480" w:firstLineChars="200"/>
        <w:jc w:val="both"/>
        <w:rPr>
          <w:rFonts w:ascii="宋体" w:hAnsi="宋体" w:eastAsia="宋体"/>
          <w:b/>
          <w:bCs/>
          <w:sz w:val="24"/>
          <w:szCs w:val="24"/>
        </w:rPr>
      </w:pPr>
      <w:r>
        <w:rPr>
          <w:rFonts w:ascii="宋体" w:hAnsi="宋体" w:eastAsia="宋体"/>
          <w:sz w:val="24"/>
          <w:szCs w:val="24"/>
        </w:rPr>
        <w:t>6.</w:t>
      </w:r>
      <w:r>
        <w:rPr>
          <w:rFonts w:hint="eastAsia" w:ascii="宋体" w:hAnsi="宋体" w:eastAsia="宋体"/>
          <w:sz w:val="24"/>
          <w:szCs w:val="24"/>
        </w:rPr>
        <w:t>本次评估是在独立、客观、公正的原则下作出的，资产评估机构及参加评估的工作人员与委托方及产权持有者无任何关系。</w:t>
      </w:r>
    </w:p>
    <w:p>
      <w:pPr>
        <w:pStyle w:val="8"/>
        <w:ind w:firstLine="480" w:firstLineChars="200"/>
        <w:jc w:val="both"/>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评估工作中，委托方及产权持有者提供的与本次评估相关资料（包括产权证明及其他会计资料等），委托方及产权持有者对其真实性、合法性承担责任。</w:t>
      </w:r>
    </w:p>
    <w:p>
      <w:pPr>
        <w:spacing w:line="360" w:lineRule="auto"/>
        <w:ind w:firstLine="480" w:firstLineChars="200"/>
        <w:rPr>
          <w:rFonts w:ascii="宋体"/>
          <w:sz w:val="24"/>
        </w:rPr>
      </w:pPr>
      <w:r>
        <w:rPr>
          <w:rFonts w:ascii="宋体" w:hAnsi="宋体"/>
          <w:sz w:val="24"/>
        </w:rPr>
        <w:t>8.</w:t>
      </w:r>
      <w:r>
        <w:rPr>
          <w:rFonts w:hint="eastAsia" w:ascii="宋体" w:hAnsi="宋体"/>
          <w:sz w:val="24"/>
        </w:rPr>
        <w:t>委托评估的资产可能存在影响本次资产评估价值和法律权属的瑕疵事项，若委托方委托时未作特殊说明，而评估人员根据专业经验一般又不能获悉的情况下，资产评估机构和评估人员不承担相关责任。</w:t>
      </w:r>
    </w:p>
    <w:p>
      <w:pPr>
        <w:pStyle w:val="8"/>
        <w:ind w:firstLine="468" w:firstLineChars="195"/>
        <w:jc w:val="both"/>
        <w:rPr>
          <w:rFonts w:ascii="宋体" w:hAnsi="宋体" w:eastAsia="宋体"/>
          <w:sz w:val="24"/>
          <w:szCs w:val="24"/>
        </w:rPr>
      </w:pPr>
      <w:r>
        <w:rPr>
          <w:rFonts w:ascii="宋体" w:hAnsi="宋体" w:eastAsia="宋体"/>
          <w:sz w:val="24"/>
          <w:szCs w:val="24"/>
        </w:rPr>
        <w:t>9.</w:t>
      </w:r>
      <w:r>
        <w:rPr>
          <w:rFonts w:hint="eastAsia" w:ascii="宋体" w:hAnsi="宋体" w:eastAsia="宋体"/>
          <w:sz w:val="24"/>
          <w:szCs w:val="24"/>
        </w:rPr>
        <w:t>评估基准日后，评估报告有效期内，资产数量或质量发生变化，应根据原评估方法对资产额进行相应调整。若价值类型或价格标准发生变化，并对资产评估价值产生明显影响时，委托方应及时聘请评估机构重新确定评估价值。</w:t>
      </w:r>
      <w:bookmarkStart w:id="24" w:name="_Toc478840294"/>
      <w:bookmarkStart w:id="25" w:name="_Toc490638843"/>
      <w:bookmarkStart w:id="26" w:name="_Toc490638844"/>
      <w:bookmarkStart w:id="27" w:name="_Toc478840295"/>
    </w:p>
    <w:p>
      <w:pPr>
        <w:pStyle w:val="3"/>
        <w:spacing w:before="0"/>
        <w:ind w:firstLine="472" w:firstLineChars="196"/>
        <w:jc w:val="both"/>
        <w:rPr>
          <w:rFonts w:ascii="宋体" w:hAnsi="宋体" w:eastAsia="宋体"/>
          <w:sz w:val="24"/>
          <w:szCs w:val="24"/>
        </w:rPr>
      </w:pPr>
      <w:r>
        <w:rPr>
          <w:rFonts w:hint="eastAsia" w:ascii="宋体" w:hAnsi="宋体" w:eastAsia="宋体"/>
          <w:sz w:val="24"/>
          <w:szCs w:val="24"/>
        </w:rPr>
        <w:t>十二、评估报</w:t>
      </w:r>
      <w:bookmarkEnd w:id="24"/>
      <w:bookmarkEnd w:id="25"/>
      <w:r>
        <w:rPr>
          <w:rFonts w:hint="eastAsia" w:ascii="宋体" w:hAnsi="宋体" w:eastAsia="宋体"/>
          <w:sz w:val="24"/>
          <w:szCs w:val="24"/>
        </w:rPr>
        <w:t>告使用限制说明</w:t>
      </w:r>
    </w:p>
    <w:p>
      <w:pPr>
        <w:spacing w:line="360" w:lineRule="auto"/>
        <w:ind w:firstLine="480" w:firstLineChars="200"/>
        <w:rPr>
          <w:rFonts w:ascii="宋体"/>
          <w:sz w:val="24"/>
        </w:rPr>
      </w:pPr>
      <w:r>
        <w:rPr>
          <w:rFonts w:ascii="宋体" w:hAnsi="宋体"/>
          <w:sz w:val="24"/>
        </w:rPr>
        <w:t>1.</w:t>
      </w:r>
      <w:r>
        <w:rPr>
          <w:rFonts w:hint="eastAsia" w:ascii="宋体" w:hAnsi="宋体"/>
          <w:sz w:val="24"/>
        </w:rPr>
        <w:t>委托方或者其他资产评估报告使用人未按照法律、</w:t>
      </w:r>
      <w:r>
        <w:rPr>
          <w:rFonts w:ascii="宋体" w:hAnsi="宋体"/>
          <w:sz w:val="24"/>
        </w:rPr>
        <w:t xml:space="preserve"> </w:t>
      </w:r>
      <w:r>
        <w:rPr>
          <w:rFonts w:hint="eastAsia" w:ascii="宋体" w:hAnsi="宋体"/>
          <w:sz w:val="24"/>
        </w:rPr>
        <w:t>行政法规规定和资产评估报告载明的使用范围使用资产评估报告的，资产评估机构及其资产评估专业人员不承担责任。</w:t>
      </w:r>
    </w:p>
    <w:p>
      <w:pPr>
        <w:spacing w:line="360" w:lineRule="auto"/>
        <w:ind w:firstLine="480" w:firstLineChars="200"/>
        <w:rPr>
          <w:rFonts w:ascii="宋体"/>
          <w:sz w:val="24"/>
        </w:rPr>
      </w:pPr>
      <w:r>
        <w:rPr>
          <w:rFonts w:ascii="宋体" w:hAnsi="宋体"/>
          <w:sz w:val="24"/>
        </w:rPr>
        <w:t>2.</w:t>
      </w:r>
      <w:r>
        <w:rPr>
          <w:rFonts w:hint="eastAsia" w:ascii="宋体" w:hAnsi="宋体"/>
          <w:sz w:val="24"/>
        </w:rPr>
        <w:t>除委托方、资产评估委托合同中约定的其他资产评估报告使用人和法律、行政法规规定的资产评估报告使用人之外，其他任何机构和个人不能成为资产评估报告的使用人。</w:t>
      </w:r>
    </w:p>
    <w:p>
      <w:pPr>
        <w:spacing w:line="360" w:lineRule="auto"/>
        <w:ind w:firstLine="480" w:firstLineChars="200"/>
        <w:rPr>
          <w:sz w:val="24"/>
        </w:rPr>
      </w:pPr>
      <w:r>
        <w:rPr>
          <w:rFonts w:ascii="宋体" w:hAnsi="宋体"/>
          <w:sz w:val="24"/>
        </w:rPr>
        <w:t>3.</w:t>
      </w:r>
      <w:r>
        <w:rPr>
          <w:rFonts w:hint="eastAsia" w:ascii="宋体" w:hAnsi="宋体"/>
          <w:sz w:val="24"/>
        </w:rPr>
        <w:t>资产评估报告使用人应当正确理解和使用评估结论。评估结论不等同于评估对象可实现价格，评估结论</w:t>
      </w:r>
      <w:r>
        <w:rPr>
          <w:rFonts w:hint="eastAsia"/>
          <w:sz w:val="24"/>
        </w:rPr>
        <w:t>不应当被认为是对评估对象可实现价格的保证。</w:t>
      </w:r>
    </w:p>
    <w:p>
      <w:pPr>
        <w:spacing w:line="360" w:lineRule="auto"/>
        <w:ind w:firstLine="360" w:firstLineChars="150"/>
        <w:rPr>
          <w:rFonts w:ascii="宋体"/>
          <w:kern w:val="0"/>
          <w:sz w:val="24"/>
        </w:rPr>
      </w:pPr>
      <w:r>
        <w:rPr>
          <w:rFonts w:ascii="宋体" w:hAnsi="宋体"/>
          <w:sz w:val="24"/>
        </w:rPr>
        <w:t xml:space="preserve"> </w:t>
      </w:r>
      <w:r>
        <w:rPr>
          <w:rFonts w:ascii="宋体" w:hAnsi="宋体"/>
          <w:kern w:val="0"/>
          <w:sz w:val="24"/>
        </w:rPr>
        <w:t>4.</w:t>
      </w:r>
      <w:r>
        <w:rPr>
          <w:rFonts w:hint="eastAsia" w:ascii="宋体" w:hAnsi="宋体"/>
          <w:kern w:val="0"/>
          <w:sz w:val="24"/>
        </w:rPr>
        <w:t>本报告所称“评估值”是指所评估资产在本次估价目的下，以及在评估基准日的外部经济环境条件下而提出的公允价值，如果改变估价目的或用于其他用途对使用人造成的损失，我公司不承担任何责任。</w:t>
      </w:r>
    </w:p>
    <w:p>
      <w:pPr>
        <w:spacing w:line="360" w:lineRule="auto"/>
        <w:ind w:firstLine="480" w:firstLineChars="200"/>
        <w:rPr>
          <w:rFonts w:ascii="宋体"/>
          <w:kern w:val="0"/>
          <w:sz w:val="24"/>
        </w:rPr>
      </w:pPr>
      <w:r>
        <w:rPr>
          <w:rFonts w:ascii="宋体" w:hAnsi="宋体"/>
          <w:kern w:val="0"/>
          <w:sz w:val="24"/>
        </w:rPr>
        <w:t>5.</w:t>
      </w:r>
      <w:r>
        <w:rPr>
          <w:rFonts w:hint="eastAsia" w:ascii="宋体" w:hAnsi="宋体"/>
          <w:kern w:val="0"/>
          <w:sz w:val="24"/>
        </w:rPr>
        <w:t>本评估结论是在以</w:t>
      </w:r>
      <w:r>
        <w:rPr>
          <w:rFonts w:ascii="宋体" w:hAnsi="宋体"/>
          <w:kern w:val="0"/>
          <w:sz w:val="24"/>
        </w:rPr>
        <w:t>2020</w:t>
      </w:r>
      <w:r>
        <w:rPr>
          <w:rFonts w:hint="eastAsia" w:ascii="宋体" w:hAnsi="宋体"/>
          <w:kern w:val="0"/>
          <w:sz w:val="24"/>
        </w:rPr>
        <w:t>年</w:t>
      </w:r>
      <w:r>
        <w:rPr>
          <w:rFonts w:hint="eastAsia" w:ascii="宋体" w:hAnsi="宋体"/>
          <w:kern w:val="0"/>
          <w:sz w:val="24"/>
          <w:lang w:eastAsia="zh-CN"/>
        </w:rPr>
        <w:t>09月28日</w:t>
      </w:r>
      <w:r>
        <w:rPr>
          <w:rFonts w:hint="eastAsia" w:ascii="宋体" w:hAnsi="宋体"/>
          <w:kern w:val="0"/>
          <w:sz w:val="24"/>
        </w:rPr>
        <w:t>为评估基准日时，对被评估资产价值客观公允的反映，本公司对这一基准日以后有关资产价值发生的变化不负责任。</w:t>
      </w:r>
    </w:p>
    <w:p>
      <w:pPr>
        <w:spacing w:line="360" w:lineRule="auto"/>
        <w:ind w:firstLine="480" w:firstLineChars="200"/>
        <w:rPr>
          <w:rFonts w:ascii="宋体"/>
          <w:kern w:val="0"/>
          <w:sz w:val="24"/>
        </w:rPr>
      </w:pPr>
      <w:r>
        <w:rPr>
          <w:rFonts w:ascii="宋体" w:hAnsi="宋体"/>
          <w:kern w:val="0"/>
          <w:sz w:val="24"/>
        </w:rPr>
        <w:t>6.</w:t>
      </w:r>
      <w:r>
        <w:rPr>
          <w:rFonts w:hint="eastAsia" w:ascii="宋体" w:hAnsi="宋体"/>
          <w:kern w:val="0"/>
          <w:sz w:val="24"/>
        </w:rPr>
        <w:t>本评估结论是评估专业人员依据国家有关规定出具的意见，依据国家法律法规的规定发生法律效力。</w:t>
      </w:r>
    </w:p>
    <w:p>
      <w:pPr>
        <w:spacing w:line="360" w:lineRule="auto"/>
        <w:ind w:firstLine="480" w:firstLineChars="200"/>
        <w:rPr>
          <w:rFonts w:ascii="宋体"/>
          <w:kern w:val="0"/>
          <w:sz w:val="24"/>
        </w:rPr>
      </w:pPr>
      <w:r>
        <w:rPr>
          <w:rFonts w:ascii="宋体" w:hAnsi="宋体"/>
          <w:kern w:val="0"/>
          <w:sz w:val="24"/>
        </w:rPr>
        <w:t>7.</w:t>
      </w:r>
      <w:r>
        <w:rPr>
          <w:rFonts w:hint="eastAsia" w:ascii="宋体" w:hAnsi="宋体"/>
          <w:kern w:val="0"/>
          <w:sz w:val="24"/>
        </w:rPr>
        <w:t>报告中数据全部采用电算化连续计算得出，由于在报告中计算的数据均按四舍五入取整，因此可能出现个别等式左右不完全相等的情况，但不影响计算结果及最终评估结论的准确性。</w:t>
      </w:r>
    </w:p>
    <w:p>
      <w:pPr>
        <w:spacing w:line="360" w:lineRule="auto"/>
        <w:ind w:firstLine="480" w:firstLineChars="200"/>
        <w:rPr>
          <w:rFonts w:ascii="宋体"/>
          <w:kern w:val="0"/>
          <w:sz w:val="24"/>
        </w:rPr>
      </w:pPr>
      <w:r>
        <w:rPr>
          <w:rFonts w:ascii="宋体" w:hAnsi="宋体"/>
          <w:kern w:val="0"/>
          <w:sz w:val="24"/>
        </w:rPr>
        <w:t>8.</w:t>
      </w:r>
      <w:r>
        <w:rPr>
          <w:rFonts w:hint="eastAsia" w:ascii="宋体" w:hAnsi="宋体"/>
          <w:kern w:val="0"/>
          <w:sz w:val="24"/>
        </w:rPr>
        <w:t>本评估报告的结果自评估基准日起一年内有效。当本评估目的在评估基准日后一年内实现时，可以本评估结论作为作价参考依据，超过一年，其评估值失去效用，如继续实现原目的，需重新进行资产评估。</w:t>
      </w:r>
    </w:p>
    <w:p>
      <w:pPr>
        <w:spacing w:line="360" w:lineRule="auto"/>
        <w:ind w:firstLine="480" w:firstLineChars="200"/>
        <w:rPr>
          <w:rFonts w:ascii="宋体"/>
          <w:sz w:val="24"/>
        </w:rPr>
      </w:pPr>
      <w:r>
        <w:rPr>
          <w:rFonts w:ascii="宋体" w:hAnsi="宋体"/>
          <w:kern w:val="0"/>
          <w:sz w:val="24"/>
        </w:rPr>
        <w:t>9.</w:t>
      </w:r>
      <w:r>
        <w:rPr>
          <w:rFonts w:hint="eastAsia" w:ascii="宋体" w:hAnsi="宋体"/>
          <w:kern w:val="0"/>
          <w:sz w:val="24"/>
        </w:rPr>
        <w:t>本评估结论仅供委托方为本评估目的使用，评估报告的使用权归委托方所有，本估价机构对估价结果有最终解释权，未经委托方许可和本公司同意，全部或部分内容不得向其他单位和个人提供，也不得见诸于公开媒体。</w:t>
      </w:r>
    </w:p>
    <w:p>
      <w:pPr>
        <w:pStyle w:val="3"/>
        <w:spacing w:before="0"/>
        <w:ind w:firstLine="463" w:firstLineChars="192"/>
        <w:jc w:val="both"/>
        <w:rPr>
          <w:rFonts w:ascii="宋体" w:hAnsi="宋体" w:eastAsia="宋体"/>
          <w:sz w:val="24"/>
          <w:szCs w:val="24"/>
        </w:rPr>
      </w:pPr>
      <w:r>
        <w:rPr>
          <w:rFonts w:hint="eastAsia" w:ascii="宋体" w:hAnsi="宋体" w:eastAsia="宋体"/>
          <w:sz w:val="24"/>
          <w:szCs w:val="24"/>
        </w:rPr>
        <w:t>十三、评估报告日期</w:t>
      </w:r>
      <w:bookmarkEnd w:id="26"/>
      <w:bookmarkEnd w:id="27"/>
    </w:p>
    <w:p>
      <w:pPr>
        <w:spacing w:line="360" w:lineRule="auto"/>
        <w:ind w:firstLine="480" w:firstLineChars="200"/>
        <w:textAlignment w:val="top"/>
        <w:rPr>
          <w:rFonts w:hAnsi="宋体"/>
          <w:b/>
          <w:bCs/>
          <w:sz w:val="24"/>
        </w:rPr>
      </w:pPr>
      <w:r>
        <w:rPr>
          <w:rFonts w:hint="eastAsia"/>
          <w:kern w:val="0"/>
          <w:sz w:val="24"/>
        </w:rPr>
        <w:t>评估报告载明的评估报告日为资产评估师形成最终专业意见的日期，本次评估报告日为</w:t>
      </w:r>
      <w:r>
        <w:rPr>
          <w:rFonts w:ascii="宋体" w:hAnsi="宋体"/>
          <w:sz w:val="24"/>
        </w:rPr>
        <w:t>2020</w:t>
      </w:r>
      <w:r>
        <w:rPr>
          <w:rFonts w:hint="eastAsia" w:ascii="宋体" w:hAnsi="宋体"/>
          <w:sz w:val="24"/>
        </w:rPr>
        <w:t>年</w:t>
      </w:r>
      <w:r>
        <w:rPr>
          <w:rFonts w:hint="eastAsia" w:ascii="宋体" w:hAnsi="宋体"/>
          <w:sz w:val="24"/>
          <w:lang w:val="en-US" w:eastAsia="zh-CN"/>
        </w:rPr>
        <w:t>10</w:t>
      </w:r>
      <w:r>
        <w:rPr>
          <w:rFonts w:hint="eastAsia" w:ascii="宋体" w:hAnsi="宋体"/>
          <w:sz w:val="24"/>
        </w:rPr>
        <w:t>月</w:t>
      </w:r>
      <w:r>
        <w:rPr>
          <w:rFonts w:ascii="宋体" w:hAnsi="宋体"/>
          <w:sz w:val="24"/>
        </w:rPr>
        <w:t>21</w:t>
      </w:r>
      <w:r>
        <w:rPr>
          <w:rFonts w:hint="eastAsia" w:ascii="宋体" w:hAnsi="宋体"/>
          <w:sz w:val="24"/>
        </w:rPr>
        <w:t>日。</w:t>
      </w:r>
    </w:p>
    <w:p>
      <w:pPr>
        <w:pStyle w:val="15"/>
        <w:adjustRightInd/>
        <w:spacing w:after="0"/>
        <w:ind w:right="0" w:firstLine="554" w:firstLineChars="230"/>
        <w:textAlignment w:val="top"/>
        <w:rPr>
          <w:rFonts w:hAnsi="宋体"/>
          <w:b/>
          <w:bCs/>
          <w:sz w:val="24"/>
          <w:szCs w:val="24"/>
        </w:rPr>
      </w:pPr>
    </w:p>
    <w:p>
      <w:pPr>
        <w:pStyle w:val="15"/>
        <w:adjustRightInd/>
        <w:spacing w:after="0"/>
        <w:ind w:right="0" w:firstLine="554" w:firstLineChars="230"/>
        <w:textAlignment w:val="top"/>
        <w:rPr>
          <w:rFonts w:hAnsi="宋体"/>
          <w:b/>
          <w:bCs/>
          <w:sz w:val="24"/>
          <w:szCs w:val="24"/>
        </w:rPr>
      </w:pPr>
      <w:r>
        <w:rPr>
          <w:rFonts w:hint="eastAsia" w:hAnsi="宋体"/>
          <w:b/>
          <w:bCs/>
          <w:sz w:val="24"/>
          <w:szCs w:val="24"/>
        </w:rPr>
        <w:t>评估机构法定代表人：</w:t>
      </w:r>
    </w:p>
    <w:p>
      <w:pPr>
        <w:pStyle w:val="15"/>
        <w:adjustRightInd/>
        <w:spacing w:after="0"/>
        <w:ind w:right="0" w:firstLine="554" w:firstLineChars="230"/>
        <w:textAlignment w:val="top"/>
        <w:rPr>
          <w:rFonts w:hAnsi="宋体"/>
          <w:b/>
          <w:bCs/>
          <w:sz w:val="24"/>
          <w:szCs w:val="24"/>
        </w:rPr>
      </w:pPr>
    </w:p>
    <w:p>
      <w:pPr>
        <w:pStyle w:val="15"/>
        <w:adjustRightInd/>
        <w:spacing w:after="0"/>
        <w:ind w:right="0" w:firstLine="554" w:firstLineChars="230"/>
        <w:textAlignment w:val="top"/>
        <w:rPr>
          <w:rFonts w:hAnsi="宋体"/>
          <w:b/>
          <w:bCs/>
          <w:sz w:val="24"/>
          <w:szCs w:val="24"/>
        </w:rPr>
      </w:pPr>
    </w:p>
    <w:p>
      <w:pPr>
        <w:pStyle w:val="15"/>
        <w:adjustRightInd/>
        <w:spacing w:after="0"/>
        <w:ind w:right="0" w:firstLine="554" w:firstLineChars="230"/>
        <w:textAlignment w:val="top"/>
        <w:rPr>
          <w:rFonts w:hAnsi="宋体"/>
          <w:b/>
          <w:sz w:val="24"/>
          <w:szCs w:val="24"/>
        </w:rPr>
      </w:pPr>
      <w:r>
        <w:rPr>
          <w:rFonts w:hint="eastAsia" w:hAnsi="宋体"/>
          <w:b/>
          <w:bCs/>
          <w:sz w:val="24"/>
          <w:szCs w:val="24"/>
        </w:rPr>
        <w:t>资产评估师：</w:t>
      </w:r>
      <w:r>
        <w:rPr>
          <w:rFonts w:hAnsi="宋体"/>
          <w:b/>
          <w:sz w:val="24"/>
          <w:szCs w:val="24"/>
        </w:rPr>
        <w:t xml:space="preserve">   </w:t>
      </w:r>
    </w:p>
    <w:p>
      <w:pPr>
        <w:pStyle w:val="15"/>
        <w:adjustRightInd/>
        <w:spacing w:after="0"/>
        <w:ind w:right="0" w:firstLine="554" w:firstLineChars="230"/>
        <w:textAlignment w:val="top"/>
        <w:rPr>
          <w:rFonts w:hAnsi="宋体"/>
          <w:b/>
          <w:sz w:val="24"/>
          <w:szCs w:val="24"/>
        </w:rPr>
      </w:pPr>
    </w:p>
    <w:p>
      <w:pPr>
        <w:pStyle w:val="15"/>
        <w:adjustRightInd/>
        <w:spacing w:after="0"/>
        <w:ind w:right="0" w:firstLine="554" w:firstLineChars="230"/>
        <w:textAlignment w:val="top"/>
        <w:rPr>
          <w:rFonts w:hAnsi="宋体"/>
          <w:b/>
          <w:sz w:val="24"/>
          <w:szCs w:val="24"/>
        </w:rPr>
      </w:pPr>
    </w:p>
    <w:p>
      <w:pPr>
        <w:pStyle w:val="15"/>
        <w:adjustRightInd/>
        <w:spacing w:after="0"/>
        <w:ind w:right="0" w:firstLine="554" w:firstLineChars="230"/>
        <w:textAlignment w:val="top"/>
        <w:rPr>
          <w:rFonts w:hAnsi="宋体"/>
          <w:b/>
          <w:sz w:val="24"/>
          <w:szCs w:val="24"/>
        </w:rPr>
      </w:pPr>
    </w:p>
    <w:p>
      <w:pPr>
        <w:pStyle w:val="15"/>
        <w:adjustRightInd/>
        <w:spacing w:after="0"/>
        <w:ind w:right="0" w:firstLine="554" w:firstLineChars="230"/>
        <w:textAlignment w:val="top"/>
        <w:rPr>
          <w:rFonts w:hAnsi="宋体"/>
          <w:b/>
          <w:sz w:val="24"/>
          <w:szCs w:val="24"/>
        </w:rPr>
      </w:pPr>
      <w:r>
        <w:rPr>
          <w:rFonts w:hAnsi="宋体"/>
          <w:b/>
          <w:sz w:val="24"/>
          <w:szCs w:val="24"/>
        </w:rPr>
        <w:t xml:space="preserve">   </w:t>
      </w:r>
    </w:p>
    <w:p>
      <w:pPr>
        <w:pStyle w:val="15"/>
        <w:tabs>
          <w:tab w:val="left" w:pos="3060"/>
        </w:tabs>
        <w:adjustRightInd/>
        <w:spacing w:after="0"/>
        <w:ind w:right="0" w:firstLine="0"/>
        <w:jc w:val="center"/>
        <w:textAlignment w:val="top"/>
        <w:rPr>
          <w:rFonts w:hAnsi="宋体"/>
          <w:b/>
          <w:sz w:val="24"/>
          <w:szCs w:val="24"/>
        </w:rPr>
      </w:pPr>
      <w:r>
        <w:rPr>
          <w:rFonts w:hAnsi="宋体"/>
          <w:b/>
          <w:sz w:val="24"/>
          <w:szCs w:val="24"/>
        </w:rPr>
        <w:t xml:space="preserve">                                       </w:t>
      </w:r>
    </w:p>
    <w:p>
      <w:pPr>
        <w:pStyle w:val="15"/>
        <w:tabs>
          <w:tab w:val="left" w:pos="3060"/>
        </w:tabs>
        <w:adjustRightInd/>
        <w:spacing w:after="0"/>
        <w:ind w:right="0" w:firstLine="0"/>
        <w:jc w:val="center"/>
        <w:textAlignment w:val="top"/>
        <w:rPr>
          <w:rFonts w:hint="eastAsia" w:hAnsi="宋体" w:eastAsia="宋体"/>
          <w:b/>
          <w:sz w:val="24"/>
          <w:szCs w:val="24"/>
          <w:lang w:eastAsia="zh-CN"/>
        </w:rPr>
      </w:pPr>
      <w:r>
        <w:rPr>
          <w:rFonts w:hAnsi="宋体"/>
          <w:b/>
          <w:sz w:val="24"/>
          <w:szCs w:val="24"/>
        </w:rPr>
        <w:t xml:space="preserve">                                        </w:t>
      </w:r>
      <w:r>
        <w:rPr>
          <w:rFonts w:hint="eastAsia" w:hAnsi="宋体"/>
          <w:b/>
          <w:sz w:val="24"/>
          <w:szCs w:val="24"/>
          <w:lang w:eastAsia="zh-CN"/>
        </w:rPr>
        <w:t>吉林长城资产评估有限责任公司</w:t>
      </w:r>
    </w:p>
    <w:p>
      <w:pPr>
        <w:pStyle w:val="15"/>
        <w:adjustRightInd/>
        <w:spacing w:after="0"/>
        <w:ind w:right="0" w:firstLine="0"/>
        <w:jc w:val="center"/>
        <w:textAlignment w:val="top"/>
        <w:rPr>
          <w:rFonts w:hAnsi="宋体"/>
          <w:b/>
          <w:bCs/>
          <w:sz w:val="24"/>
          <w:szCs w:val="24"/>
        </w:rPr>
      </w:pPr>
      <w:r>
        <w:t xml:space="preserve">                                    </w:t>
      </w:r>
      <w:r>
        <w:rPr>
          <w:rFonts w:hAnsi="宋体"/>
          <w:b/>
          <w:sz w:val="24"/>
        </w:rPr>
        <w:t>2020</w:t>
      </w:r>
      <w:r>
        <w:rPr>
          <w:rFonts w:hint="eastAsia" w:hAnsi="宋体"/>
          <w:b/>
          <w:sz w:val="24"/>
        </w:rPr>
        <w:t>年</w:t>
      </w:r>
      <w:r>
        <w:rPr>
          <w:rFonts w:hint="eastAsia" w:hAnsi="宋体"/>
          <w:b/>
          <w:sz w:val="24"/>
          <w:lang w:val="en-US" w:eastAsia="zh-CN"/>
        </w:rPr>
        <w:t>10</w:t>
      </w:r>
      <w:r>
        <w:rPr>
          <w:rFonts w:hint="eastAsia" w:hAnsi="宋体"/>
          <w:b/>
          <w:sz w:val="24"/>
        </w:rPr>
        <w:t>月</w:t>
      </w:r>
      <w:r>
        <w:rPr>
          <w:rFonts w:hAnsi="宋体"/>
          <w:b/>
          <w:sz w:val="24"/>
        </w:rPr>
        <w:t>21</w:t>
      </w:r>
      <w:r>
        <w:rPr>
          <w:rFonts w:hint="eastAsia" w:hAnsi="宋体"/>
          <w:b/>
          <w:sz w:val="24"/>
        </w:rPr>
        <w:t>日</w:t>
      </w:r>
    </w:p>
    <w:p>
      <w:pPr>
        <w:spacing w:line="360" w:lineRule="auto"/>
        <w:textAlignment w:val="top"/>
        <w:outlineLvl w:val="0"/>
        <w:rPr>
          <w:rFonts w:ascii="宋体"/>
          <w:b/>
          <w:bCs/>
          <w:kern w:val="0"/>
          <w:sz w:val="44"/>
          <w:szCs w:val="44"/>
        </w:rPr>
      </w:pPr>
    </w:p>
    <w:p>
      <w:pPr>
        <w:spacing w:line="360" w:lineRule="auto"/>
        <w:ind w:firstLine="2615" w:firstLineChars="592"/>
        <w:textAlignment w:val="top"/>
        <w:outlineLvl w:val="0"/>
        <w:rPr>
          <w:rFonts w:ascii="宋体" w:hAnsi="宋体"/>
          <w:b/>
          <w:bCs/>
          <w:kern w:val="0"/>
          <w:sz w:val="44"/>
          <w:szCs w:val="44"/>
        </w:rPr>
      </w:pPr>
    </w:p>
    <w:p>
      <w:pPr>
        <w:spacing w:line="360" w:lineRule="auto"/>
        <w:ind w:firstLine="2615" w:firstLineChars="592"/>
        <w:textAlignment w:val="top"/>
        <w:outlineLvl w:val="0"/>
        <w:rPr>
          <w:rFonts w:ascii="宋体" w:hAnsi="宋体"/>
          <w:b/>
          <w:bCs/>
          <w:kern w:val="0"/>
          <w:sz w:val="44"/>
          <w:szCs w:val="44"/>
        </w:rPr>
      </w:pPr>
    </w:p>
    <w:p>
      <w:pPr>
        <w:spacing w:line="360" w:lineRule="auto"/>
        <w:ind w:firstLine="2615" w:firstLineChars="592"/>
        <w:textAlignment w:val="top"/>
        <w:outlineLvl w:val="0"/>
        <w:rPr>
          <w:rFonts w:ascii="宋体"/>
          <w:b/>
          <w:bCs/>
          <w:sz w:val="44"/>
          <w:szCs w:val="44"/>
        </w:rPr>
      </w:pPr>
      <w:r>
        <w:rPr>
          <w:rFonts w:hint="eastAsia" w:ascii="宋体" w:hAnsi="宋体"/>
          <w:b/>
          <w:bCs/>
          <w:kern w:val="0"/>
          <w:sz w:val="44"/>
          <w:szCs w:val="44"/>
        </w:rPr>
        <w:t>附</w:t>
      </w:r>
      <w:r>
        <w:rPr>
          <w:rFonts w:ascii="宋体" w:hAnsi="宋体"/>
          <w:b/>
          <w:bCs/>
          <w:kern w:val="0"/>
          <w:sz w:val="44"/>
          <w:szCs w:val="44"/>
        </w:rPr>
        <w:t xml:space="preserve">  </w:t>
      </w:r>
      <w:r>
        <w:rPr>
          <w:rFonts w:hint="eastAsia" w:ascii="宋体" w:hAnsi="宋体"/>
          <w:b/>
          <w:bCs/>
          <w:kern w:val="0"/>
          <w:sz w:val="44"/>
          <w:szCs w:val="44"/>
        </w:rPr>
        <w:t>件</w:t>
      </w:r>
      <w:r>
        <w:rPr>
          <w:rFonts w:ascii="宋体" w:hAnsi="宋体"/>
          <w:b/>
          <w:bCs/>
          <w:kern w:val="0"/>
          <w:sz w:val="44"/>
          <w:szCs w:val="44"/>
        </w:rPr>
        <w:t xml:space="preserve">  </w:t>
      </w:r>
      <w:r>
        <w:rPr>
          <w:rFonts w:hint="eastAsia" w:ascii="宋体" w:hAnsi="宋体"/>
          <w:b/>
          <w:bCs/>
          <w:kern w:val="0"/>
          <w:sz w:val="44"/>
          <w:szCs w:val="44"/>
        </w:rPr>
        <w:t>目</w:t>
      </w:r>
      <w:r>
        <w:rPr>
          <w:rFonts w:ascii="宋体" w:hAnsi="宋体"/>
          <w:b/>
          <w:bCs/>
          <w:kern w:val="0"/>
          <w:sz w:val="44"/>
          <w:szCs w:val="44"/>
        </w:rPr>
        <w:t xml:space="preserve">  </w:t>
      </w:r>
      <w:r>
        <w:rPr>
          <w:rFonts w:hint="eastAsia" w:ascii="宋体" w:hAnsi="宋体"/>
          <w:b/>
          <w:bCs/>
          <w:kern w:val="0"/>
          <w:sz w:val="44"/>
          <w:szCs w:val="44"/>
        </w:rPr>
        <w:t>录</w:t>
      </w:r>
    </w:p>
    <w:p>
      <w:pPr>
        <w:spacing w:line="360" w:lineRule="auto"/>
        <w:ind w:firstLine="480" w:firstLineChars="200"/>
        <w:textAlignment w:val="top"/>
        <w:outlineLvl w:val="0"/>
        <w:rPr>
          <w:rFonts w:ascii="宋体"/>
          <w:sz w:val="24"/>
        </w:rPr>
      </w:pPr>
    </w:p>
    <w:p>
      <w:pPr>
        <w:spacing w:line="360" w:lineRule="auto"/>
        <w:ind w:firstLine="480" w:firstLineChars="200"/>
        <w:textAlignment w:val="top"/>
        <w:outlineLvl w:val="0"/>
        <w:rPr>
          <w:rFonts w:ascii="宋体"/>
          <w:sz w:val="24"/>
        </w:rPr>
      </w:pPr>
      <w:r>
        <w:rPr>
          <w:rFonts w:hint="eastAsia" w:ascii="宋体" w:hAnsi="宋体"/>
          <w:sz w:val="24"/>
        </w:rPr>
        <w:t>一、有关经济行为文件</w:t>
      </w:r>
    </w:p>
    <w:p>
      <w:pPr>
        <w:snapToGrid w:val="0"/>
        <w:spacing w:line="360" w:lineRule="auto"/>
        <w:ind w:firstLine="600" w:firstLineChars="250"/>
        <w:textAlignment w:val="top"/>
        <w:rPr>
          <w:rFonts w:ascii="宋体"/>
          <w:sz w:val="24"/>
        </w:rPr>
      </w:pPr>
      <w:r>
        <w:rPr>
          <w:rFonts w:ascii="宋体" w:hAnsi="宋体"/>
          <w:sz w:val="24"/>
        </w:rPr>
        <w:t>1</w:t>
      </w:r>
      <w:r>
        <w:rPr>
          <w:rFonts w:hint="eastAsia" w:ascii="宋体" w:hAnsi="宋体"/>
          <w:sz w:val="24"/>
        </w:rPr>
        <w:t>、</w:t>
      </w:r>
      <w:r>
        <w:rPr>
          <w:rFonts w:hint="eastAsia" w:ascii="宋体" w:hAnsi="宋体" w:eastAsia="宋体"/>
          <w:sz w:val="24"/>
          <w:szCs w:val="24"/>
          <w:lang w:eastAsia="zh-CN"/>
        </w:rPr>
        <w:t>辽源市西安区</w:t>
      </w:r>
      <w:r>
        <w:rPr>
          <w:rFonts w:hint="eastAsia" w:ascii="宋体" w:hAnsi="宋体" w:eastAsia="宋体"/>
          <w:sz w:val="24"/>
          <w:szCs w:val="24"/>
        </w:rPr>
        <w:t>人民法院司法辅助办公室司法鉴定委托书（</w:t>
      </w:r>
      <w:r>
        <w:rPr>
          <w:rFonts w:hint="eastAsia" w:ascii="宋体" w:hAnsi="宋体" w:eastAsia="宋体"/>
          <w:sz w:val="24"/>
          <w:szCs w:val="24"/>
          <w:lang w:val="en-US" w:eastAsia="zh-CN"/>
        </w:rPr>
        <w:t>2020</w:t>
      </w:r>
      <w:r>
        <w:rPr>
          <w:rFonts w:hint="eastAsia" w:ascii="宋体" w:hAnsi="宋体" w:eastAsia="宋体"/>
          <w:sz w:val="24"/>
          <w:szCs w:val="24"/>
        </w:rPr>
        <w:t>）吉</w:t>
      </w:r>
      <w:r>
        <w:rPr>
          <w:rFonts w:ascii="宋体" w:hAnsi="宋体" w:eastAsia="宋体"/>
          <w:sz w:val="24"/>
          <w:szCs w:val="24"/>
        </w:rPr>
        <w:t>040</w:t>
      </w:r>
      <w:r>
        <w:rPr>
          <w:rFonts w:hint="eastAsia" w:ascii="宋体" w:hAnsi="宋体" w:eastAsia="宋体"/>
          <w:sz w:val="24"/>
          <w:szCs w:val="24"/>
          <w:lang w:val="en-US" w:eastAsia="zh-CN"/>
        </w:rPr>
        <w:t>3法司鉴17</w:t>
      </w:r>
      <w:r>
        <w:rPr>
          <w:rFonts w:hint="eastAsia" w:ascii="宋体" w:hAnsi="宋体" w:eastAsia="宋体"/>
          <w:sz w:val="24"/>
          <w:szCs w:val="24"/>
        </w:rPr>
        <w:t>号</w:t>
      </w:r>
      <w:r>
        <w:rPr>
          <w:rFonts w:hint="eastAsia" w:ascii="宋体" w:hAnsi="宋体"/>
          <w:sz w:val="24"/>
          <w:szCs w:val="24"/>
          <w:lang w:eastAsia="zh-CN"/>
        </w:rPr>
        <w:t>复印件</w:t>
      </w:r>
      <w:r>
        <w:rPr>
          <w:rFonts w:hint="eastAsia" w:ascii="宋体" w:hAnsi="宋体" w:eastAsia="宋体"/>
          <w:sz w:val="24"/>
          <w:szCs w:val="24"/>
        </w:rPr>
        <w:t>、</w:t>
      </w:r>
      <w:r>
        <w:rPr>
          <w:rFonts w:hint="eastAsia" w:ascii="宋体" w:hAnsi="宋体" w:eastAsia="宋体"/>
          <w:sz w:val="24"/>
          <w:szCs w:val="24"/>
          <w:lang w:eastAsia="zh-CN"/>
        </w:rPr>
        <w:t>辽源市西安区</w:t>
      </w:r>
      <w:r>
        <w:rPr>
          <w:rFonts w:hint="eastAsia" w:ascii="宋体" w:hAnsi="宋体" w:eastAsia="宋体"/>
          <w:sz w:val="24"/>
          <w:szCs w:val="24"/>
        </w:rPr>
        <w:t>人民法院</w:t>
      </w:r>
      <w:r>
        <w:rPr>
          <w:rFonts w:hint="eastAsia" w:ascii="宋体" w:hAnsi="宋体" w:eastAsia="宋体"/>
          <w:sz w:val="24"/>
          <w:szCs w:val="24"/>
          <w:lang w:eastAsia="zh-CN"/>
        </w:rPr>
        <w:t>司法辅助办公室鉴定参与人资格审查函</w:t>
      </w:r>
      <w:r>
        <w:rPr>
          <w:rFonts w:hint="eastAsia" w:ascii="宋体" w:hAnsi="宋体"/>
          <w:sz w:val="24"/>
          <w:szCs w:val="24"/>
          <w:lang w:eastAsia="zh-CN"/>
        </w:rPr>
        <w:t>复印件</w:t>
      </w:r>
      <w:r>
        <w:rPr>
          <w:rFonts w:hint="eastAsia" w:ascii="宋体" w:hAnsi="宋体"/>
          <w:sz w:val="24"/>
        </w:rPr>
        <w:t>。</w:t>
      </w:r>
    </w:p>
    <w:p>
      <w:pPr>
        <w:spacing w:line="360" w:lineRule="auto"/>
        <w:ind w:firstLine="480" w:firstLineChars="200"/>
        <w:textAlignment w:val="top"/>
        <w:outlineLvl w:val="0"/>
        <w:rPr>
          <w:rFonts w:ascii="宋体"/>
          <w:b/>
          <w:bCs/>
          <w:sz w:val="24"/>
        </w:rPr>
      </w:pPr>
      <w:r>
        <w:rPr>
          <w:rFonts w:hint="eastAsia" w:ascii="宋体" w:hAnsi="宋体"/>
          <w:sz w:val="24"/>
        </w:rPr>
        <w:t>二、产权证明文件及照片</w:t>
      </w:r>
      <w:bookmarkStart w:id="28" w:name="_GoBack"/>
      <w:bookmarkEnd w:id="28"/>
    </w:p>
    <w:p>
      <w:pPr>
        <w:tabs>
          <w:tab w:val="left" w:pos="900"/>
          <w:tab w:val="left" w:pos="1080"/>
        </w:tabs>
        <w:spacing w:line="360" w:lineRule="auto"/>
        <w:ind w:firstLine="480" w:firstLineChars="200"/>
        <w:textAlignment w:val="top"/>
        <w:outlineLvl w:val="0"/>
        <w:rPr>
          <w:rFonts w:ascii="宋体"/>
          <w:sz w:val="24"/>
        </w:rPr>
      </w:pPr>
      <w:r>
        <w:rPr>
          <w:rFonts w:ascii="宋体" w:hAnsi="宋体"/>
          <w:sz w:val="24"/>
        </w:rPr>
        <w:t>1</w:t>
      </w:r>
      <w:r>
        <w:rPr>
          <w:rFonts w:hint="eastAsia" w:ascii="宋体" w:hAnsi="宋体"/>
          <w:sz w:val="24"/>
        </w:rPr>
        <w:t>、委托方提供的不动产查询结果证明复印件；</w:t>
      </w:r>
    </w:p>
    <w:p>
      <w:pPr>
        <w:spacing w:line="360" w:lineRule="auto"/>
        <w:ind w:firstLine="480" w:firstLineChars="200"/>
        <w:jc w:val="left"/>
        <w:textAlignment w:val="top"/>
        <w:rPr>
          <w:rFonts w:ascii="宋体"/>
          <w:sz w:val="24"/>
        </w:rPr>
      </w:pPr>
      <w:r>
        <w:rPr>
          <w:rFonts w:ascii="宋体" w:hAnsi="宋体"/>
          <w:sz w:val="24"/>
        </w:rPr>
        <w:t>2</w:t>
      </w:r>
      <w:r>
        <w:rPr>
          <w:rFonts w:hint="eastAsia" w:ascii="宋体" w:hAnsi="宋体"/>
          <w:sz w:val="24"/>
        </w:rPr>
        <w:t>、照片。</w:t>
      </w:r>
    </w:p>
    <w:p>
      <w:pPr>
        <w:spacing w:line="360" w:lineRule="auto"/>
        <w:ind w:firstLine="480" w:firstLineChars="200"/>
        <w:textAlignment w:val="top"/>
        <w:outlineLvl w:val="0"/>
        <w:rPr>
          <w:rFonts w:ascii="宋体"/>
          <w:sz w:val="24"/>
        </w:rPr>
      </w:pPr>
      <w:r>
        <w:rPr>
          <w:rFonts w:hint="eastAsia" w:ascii="宋体" w:hAnsi="宋体"/>
          <w:sz w:val="24"/>
        </w:rPr>
        <w:t>三、资产评估机构及资产评估师承诺函。</w:t>
      </w:r>
    </w:p>
    <w:p>
      <w:pPr>
        <w:spacing w:line="360" w:lineRule="auto"/>
        <w:ind w:firstLine="480" w:firstLineChars="200"/>
        <w:textAlignment w:val="top"/>
        <w:outlineLvl w:val="0"/>
        <w:rPr>
          <w:rFonts w:ascii="宋体"/>
          <w:sz w:val="24"/>
        </w:rPr>
      </w:pPr>
      <w:r>
        <w:rPr>
          <w:rFonts w:hint="eastAsia" w:ascii="宋体" w:hAnsi="宋体"/>
          <w:sz w:val="24"/>
        </w:rPr>
        <w:t>四、</w:t>
      </w:r>
      <w:r>
        <w:rPr>
          <w:rFonts w:hint="eastAsia" w:ascii="宋体" w:hAnsi="宋体"/>
          <w:sz w:val="24"/>
          <w:lang w:eastAsia="zh-CN"/>
        </w:rPr>
        <w:t>吉林长城资产评估有限责任公司</w:t>
      </w:r>
      <w:r>
        <w:rPr>
          <w:rFonts w:hint="eastAsia" w:ascii="宋体" w:hAnsi="宋体"/>
          <w:sz w:val="24"/>
        </w:rPr>
        <w:t>营业执照复印件。</w:t>
      </w:r>
    </w:p>
    <w:p>
      <w:pPr>
        <w:spacing w:line="360" w:lineRule="auto"/>
        <w:ind w:firstLine="480" w:firstLineChars="200"/>
        <w:textAlignment w:val="top"/>
        <w:outlineLvl w:val="0"/>
        <w:rPr>
          <w:rFonts w:ascii="宋体"/>
          <w:sz w:val="24"/>
        </w:rPr>
      </w:pPr>
      <w:r>
        <w:rPr>
          <w:rFonts w:hint="eastAsia" w:ascii="宋体" w:hAnsi="宋体"/>
          <w:sz w:val="24"/>
        </w:rPr>
        <w:t>五、</w:t>
      </w:r>
      <w:r>
        <w:rPr>
          <w:rFonts w:hint="eastAsia" w:ascii="宋体" w:hAnsi="宋体"/>
          <w:sz w:val="24"/>
          <w:lang w:eastAsia="zh-CN"/>
        </w:rPr>
        <w:t>吉林长城资产评估有限责任公司</w:t>
      </w:r>
      <w:r>
        <w:rPr>
          <w:rFonts w:hint="eastAsia" w:ascii="宋体" w:hAnsi="宋体"/>
          <w:sz w:val="24"/>
        </w:rPr>
        <w:t>评估资格证书复印件。</w:t>
      </w:r>
    </w:p>
    <w:p>
      <w:pPr>
        <w:spacing w:line="360" w:lineRule="auto"/>
        <w:ind w:firstLine="480" w:firstLineChars="200"/>
        <w:textAlignment w:val="top"/>
        <w:outlineLvl w:val="0"/>
        <w:rPr>
          <w:rFonts w:ascii="宋体"/>
          <w:sz w:val="24"/>
        </w:rPr>
      </w:pPr>
      <w:r>
        <w:rPr>
          <w:rFonts w:hint="eastAsia" w:ascii="宋体" w:hAnsi="宋体"/>
          <w:sz w:val="24"/>
        </w:rPr>
        <w:t>六、</w:t>
      </w:r>
      <w:r>
        <w:rPr>
          <w:rFonts w:hint="eastAsia" w:ascii="宋体" w:hAnsi="宋体"/>
          <w:sz w:val="24"/>
          <w:lang w:eastAsia="zh-CN"/>
        </w:rPr>
        <w:t>吉林长城资产评估有限责任公司</w:t>
      </w:r>
      <w:r>
        <w:rPr>
          <w:rFonts w:hint="eastAsia" w:ascii="宋体" w:hAnsi="宋体"/>
          <w:sz w:val="24"/>
        </w:rPr>
        <w:t>评估人员资格证书复印件。</w:t>
      </w:r>
    </w:p>
    <w:p>
      <w:pPr>
        <w:textAlignment w:val="top"/>
        <w:outlineLvl w:val="0"/>
        <w:rPr>
          <w:rFonts w:ascii="宋体"/>
          <w:sz w:val="30"/>
        </w:rPr>
      </w:pPr>
    </w:p>
    <w:p>
      <w:pPr>
        <w:spacing w:line="360" w:lineRule="auto"/>
        <w:ind w:firstLine="412" w:firstLineChars="200"/>
        <w:textAlignment w:val="top"/>
        <w:outlineLvl w:val="0"/>
        <w:rPr>
          <w:rFonts w:ascii="宋体"/>
          <w:spacing w:val="-2"/>
          <w:szCs w:val="21"/>
        </w:rPr>
      </w:pPr>
      <w:r>
        <w:rPr>
          <w:rFonts w:hint="eastAsia" w:ascii="宋体" w:hAnsi="宋体"/>
          <w:spacing w:val="-2"/>
          <w:szCs w:val="21"/>
        </w:rPr>
        <w:t>注：备查文件的使用权归委托方所有，未经委托方许可和本公司同意，全部或部分内容不得向其他单位和个人提供，也不得见诸于公开媒体。</w:t>
      </w:r>
    </w:p>
    <w:sectPr>
      <w:headerReference r:id="rId4" w:type="first"/>
      <w:footerReference r:id="rId7" w:type="first"/>
      <w:headerReference r:id="rId3" w:type="default"/>
      <w:footerReference r:id="rId5" w:type="default"/>
      <w:footerReference r:id="rId6" w:type="even"/>
      <w:pgSz w:w="12242" w:h="15842"/>
      <w:pgMar w:top="964" w:right="1588" w:bottom="1134" w:left="1588" w:header="567" w:footer="964" w:gutter="284"/>
      <w:pgNumType w:chapStyle="1" w:chapSep="emDash"/>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9"/>
      </w:rPr>
    </w:pPr>
  </w:p>
  <w:p>
    <w:pPr>
      <w:pStyle w:val="13"/>
      <w:pBdr>
        <w:top w:val="thickThinSmallGap" w:color="auto" w:sz="24" w:space="1"/>
      </w:pBdr>
      <w:tabs>
        <w:tab w:val="left" w:pos="7290"/>
        <w:tab w:val="clear" w:pos="4153"/>
        <w:tab w:val="clear" w:pos="8306"/>
      </w:tabs>
      <w:ind w:right="360"/>
      <w:jc w:val="both"/>
      <w:rPr>
        <w:rFonts w:ascii="仿宋_GB2312" w:eastAsia="仿宋_GB2312"/>
      </w:rPr>
    </w:pPr>
    <w:r>
      <w:rPr>
        <w:rFonts w:hint="eastAsia" w:ascii="仿宋_GB2312" w:eastAsia="仿宋_GB2312"/>
        <w:lang w:eastAsia="zh-CN"/>
      </w:rPr>
      <w:t>吉林长城资产评估有限责任公司</w:t>
    </w:r>
    <w:r>
      <w:rPr>
        <w:rFonts w:ascii="仿宋_GB2312" w:eastAsia="仿宋_GB2312"/>
      </w:rPr>
      <w:t xml:space="preserve">                            </w:t>
    </w:r>
    <w:r>
      <w:rPr>
        <w:rStyle w:val="19"/>
      </w:rPr>
      <w:fldChar w:fldCharType="begin"/>
    </w:r>
    <w:r>
      <w:rPr>
        <w:rStyle w:val="19"/>
      </w:rPr>
      <w:instrText xml:space="preserve"> PAGE </w:instrText>
    </w:r>
    <w:r>
      <w:rPr>
        <w:rStyle w:val="19"/>
      </w:rPr>
      <w:fldChar w:fldCharType="separate"/>
    </w:r>
    <w:r>
      <w:rPr>
        <w:rStyle w:val="19"/>
      </w:rPr>
      <w:t>5</w:t>
    </w:r>
    <w:r>
      <w:rPr>
        <w:rStyle w:val="19"/>
      </w:rPr>
      <w:fldChar w:fldCharType="end"/>
    </w:r>
    <w:r>
      <w:rPr>
        <w:rFonts w:ascii="仿宋_GB2312" w:eastAsia="仿宋_GB23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3"/>
      <w:ind w:right="360"/>
      <w:rPr>
        <w:u w:val="single"/>
      </w:rPr>
    </w:pPr>
    <w:r>
      <w:rPr>
        <w:u w:val="single"/>
      </w:rPr>
      <w:t xml:space="preserve">                                                                                                </w:t>
    </w:r>
  </w:p>
  <w:p>
    <w:pPr>
      <w:pStyle w:val="13"/>
      <w:rPr>
        <w:rStyle w:val="19"/>
        <w:rFonts w:ascii="仿宋_GB2312" w:eastAsia="仿宋_GB2312"/>
      </w:rPr>
    </w:pPr>
    <w:r>
      <w:rPr>
        <w:rFonts w:hint="eastAsia" w:ascii="仿宋_GB2312" w:eastAsia="仿宋_GB2312"/>
      </w:rPr>
      <w:t>吉林通汇会计师事务所有限公司</w:t>
    </w:r>
    <w:r>
      <w:rPr>
        <w:rFonts w:ascii="仿宋_GB2312" w:eastAsia="仿宋_GB2312"/>
      </w:rPr>
      <w:t xml:space="preserve">                                                        </w:t>
    </w:r>
    <w:r>
      <w:rPr>
        <w:rFonts w:hint="eastAsia" w:ascii="仿宋_GB2312" w:eastAsia="仿宋_GB2312"/>
      </w:rPr>
      <w:t>共</w:t>
    </w:r>
    <w:r>
      <w:rPr>
        <w:rStyle w:val="19"/>
        <w:rFonts w:ascii="仿宋_GB2312" w:eastAsia="仿宋_GB2312"/>
      </w:rPr>
      <w:fldChar w:fldCharType="begin"/>
    </w:r>
    <w:r>
      <w:rPr>
        <w:rStyle w:val="19"/>
        <w:rFonts w:ascii="仿宋_GB2312" w:eastAsia="仿宋_GB2312"/>
      </w:rPr>
      <w:instrText xml:space="preserve"> NUMPAGES </w:instrText>
    </w:r>
    <w:r>
      <w:rPr>
        <w:rStyle w:val="19"/>
        <w:rFonts w:ascii="仿宋_GB2312" w:eastAsia="仿宋_GB2312"/>
      </w:rPr>
      <w:fldChar w:fldCharType="separate"/>
    </w:r>
    <w:r>
      <w:rPr>
        <w:rStyle w:val="19"/>
        <w:rFonts w:ascii="仿宋_GB2312" w:eastAsia="仿宋_GB2312"/>
      </w:rPr>
      <w:t>12</w:t>
    </w:r>
    <w:r>
      <w:rPr>
        <w:rStyle w:val="19"/>
        <w:rFonts w:ascii="仿宋_GB2312" w:eastAsia="仿宋_GB2312"/>
      </w:rPr>
      <w:fldChar w:fldCharType="end"/>
    </w:r>
    <w:r>
      <w:rPr>
        <w:rFonts w:hint="eastAsia" w:ascii="仿宋_GB2312" w:eastAsia="仿宋_GB2312"/>
      </w:rPr>
      <w:t>页第</w:t>
    </w:r>
    <w:r>
      <w:rPr>
        <w:rStyle w:val="19"/>
        <w:rFonts w:hint="eastAsia" w:ascii="仿宋_GB2312" w:eastAsia="仿宋_GB2312"/>
      </w:rPr>
      <w:t>页</w:t>
    </w:r>
  </w:p>
  <w:p>
    <w:pPr>
      <w:pStyle w:val="13"/>
      <w:rPr>
        <w:rStyle w:val="19"/>
        <w:rFonts w:ascii="仿宋_GB2312" w:eastAsia="仿宋_GB2312"/>
      </w:rPr>
    </w:pPr>
    <w:r>
      <w:rPr>
        <w:rStyle w:val="19"/>
        <w:rFonts w:hint="eastAsia" w:ascii="仿宋_GB2312" w:eastAsia="仿宋_GB2312"/>
      </w:rPr>
      <w:t>土地：长春市民康路</w:t>
    </w:r>
    <w:r>
      <w:rPr>
        <w:rStyle w:val="19"/>
        <w:rFonts w:ascii="仿宋_GB2312" w:eastAsia="仿宋_GB2312"/>
      </w:rPr>
      <w:t>18</w:t>
    </w:r>
    <w:r>
      <w:rPr>
        <w:rStyle w:val="19"/>
        <w:rFonts w:hint="eastAsia" w:ascii="仿宋_GB2312" w:eastAsia="仿宋_GB2312"/>
      </w:rPr>
      <w:t>号</w:t>
    </w:r>
  </w:p>
  <w:p>
    <w:pPr>
      <w:pStyle w:val="13"/>
      <w:rPr>
        <w:rFonts w:ascii="仿宋_GB2312" w:eastAsia="仿宋_GB2312"/>
      </w:rPr>
    </w:pPr>
    <w:r>
      <w:rPr>
        <w:rStyle w:val="19"/>
        <w:rFonts w:hint="eastAsia" w:ascii="仿宋_GB2312" w:eastAsia="仿宋_GB2312"/>
      </w:rPr>
      <w:t>电话：</w:t>
    </w:r>
    <w:r>
      <w:rPr>
        <w:rStyle w:val="19"/>
        <w:rFonts w:ascii="仿宋_GB2312" w:eastAsia="仿宋_GB2312"/>
      </w:rPr>
      <w:t>8959911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nThickSmallGap" w:color="auto" w:sz="24" w:space="1"/>
      </w:pBdr>
      <w:jc w:val="left"/>
      <w:rPr>
        <w:rFonts w:hAnsi="宋体" w:cs="Arial"/>
        <w:spacing w:val="10"/>
        <w:sz w:val="21"/>
        <w:szCs w:val="24"/>
      </w:rPr>
    </w:pPr>
    <w:r>
      <w:rPr>
        <w:rFonts w:hAnsi="宋体"/>
        <w:b/>
        <w:sz w:val="30"/>
        <w:szCs w:val="30"/>
      </w:rPr>
      <w:t xml:space="preserve">                                             </w:t>
    </w:r>
    <w:r>
      <w:rPr>
        <w:rFonts w:hint="eastAsia" w:hAnsi="宋体" w:cs="Arial"/>
        <w:spacing w:val="10"/>
        <w:sz w:val="21"/>
        <w:szCs w:val="24"/>
      </w:rPr>
      <w:t>资产评估报告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仿宋_GB2312" w:hAnsi="宋体" w:eastAsia="仿宋_GB2312"/>
        <w:sz w:val="21"/>
        <w:szCs w:val="21"/>
      </w:rPr>
    </w:pPr>
    <w:r>
      <w:rPr>
        <w:rFonts w:hint="eastAsia" w:ascii="仿宋_GB2312" w:hAnsi="宋体" w:eastAsia="仿宋_GB2312"/>
        <w:sz w:val="21"/>
        <w:szCs w:val="21"/>
      </w:rPr>
      <w:t>资产评估报告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B8"/>
    <w:rsid w:val="00011DC3"/>
    <w:rsid w:val="000168C2"/>
    <w:rsid w:val="00023E33"/>
    <w:rsid w:val="00032F8F"/>
    <w:rsid w:val="000333EA"/>
    <w:rsid w:val="000350B7"/>
    <w:rsid w:val="000374B6"/>
    <w:rsid w:val="00046F67"/>
    <w:rsid w:val="00047353"/>
    <w:rsid w:val="00051465"/>
    <w:rsid w:val="00070DC4"/>
    <w:rsid w:val="0007536E"/>
    <w:rsid w:val="00077EA2"/>
    <w:rsid w:val="00082F5A"/>
    <w:rsid w:val="000877CC"/>
    <w:rsid w:val="00092F0F"/>
    <w:rsid w:val="00096DF5"/>
    <w:rsid w:val="000B6594"/>
    <w:rsid w:val="000C1E7E"/>
    <w:rsid w:val="000E2D31"/>
    <w:rsid w:val="000F13D7"/>
    <w:rsid w:val="001000E6"/>
    <w:rsid w:val="0010380B"/>
    <w:rsid w:val="00107EF1"/>
    <w:rsid w:val="0011066F"/>
    <w:rsid w:val="001111FF"/>
    <w:rsid w:val="00113F2E"/>
    <w:rsid w:val="00114CCF"/>
    <w:rsid w:val="0012399C"/>
    <w:rsid w:val="00131AC5"/>
    <w:rsid w:val="00134893"/>
    <w:rsid w:val="00145030"/>
    <w:rsid w:val="001511B9"/>
    <w:rsid w:val="00163AD2"/>
    <w:rsid w:val="00165423"/>
    <w:rsid w:val="001657C0"/>
    <w:rsid w:val="00167D40"/>
    <w:rsid w:val="001729B4"/>
    <w:rsid w:val="00173535"/>
    <w:rsid w:val="00175A29"/>
    <w:rsid w:val="001950E3"/>
    <w:rsid w:val="001A0AD4"/>
    <w:rsid w:val="001B6451"/>
    <w:rsid w:val="001D16DC"/>
    <w:rsid w:val="001D6204"/>
    <w:rsid w:val="001D6BC1"/>
    <w:rsid w:val="001E633E"/>
    <w:rsid w:val="00205116"/>
    <w:rsid w:val="002107E8"/>
    <w:rsid w:val="00214500"/>
    <w:rsid w:val="00220BB1"/>
    <w:rsid w:val="00221EAA"/>
    <w:rsid w:val="00224D7C"/>
    <w:rsid w:val="00225FDD"/>
    <w:rsid w:val="00230480"/>
    <w:rsid w:val="0023059C"/>
    <w:rsid w:val="0023554C"/>
    <w:rsid w:val="002454C9"/>
    <w:rsid w:val="0025380D"/>
    <w:rsid w:val="00256781"/>
    <w:rsid w:val="00256D55"/>
    <w:rsid w:val="00260A5E"/>
    <w:rsid w:val="00260EFD"/>
    <w:rsid w:val="00263387"/>
    <w:rsid w:val="002641EF"/>
    <w:rsid w:val="0026521D"/>
    <w:rsid w:val="00281D1A"/>
    <w:rsid w:val="00284F87"/>
    <w:rsid w:val="00285129"/>
    <w:rsid w:val="00285559"/>
    <w:rsid w:val="0028692D"/>
    <w:rsid w:val="002922E6"/>
    <w:rsid w:val="00296ABB"/>
    <w:rsid w:val="00297986"/>
    <w:rsid w:val="002A01B0"/>
    <w:rsid w:val="002A0471"/>
    <w:rsid w:val="002A5BEB"/>
    <w:rsid w:val="002B4D28"/>
    <w:rsid w:val="002C1F83"/>
    <w:rsid w:val="002C7ED2"/>
    <w:rsid w:val="002D40E9"/>
    <w:rsid w:val="002E17F8"/>
    <w:rsid w:val="00303F67"/>
    <w:rsid w:val="00304080"/>
    <w:rsid w:val="00311F42"/>
    <w:rsid w:val="00317E28"/>
    <w:rsid w:val="00335324"/>
    <w:rsid w:val="00337220"/>
    <w:rsid w:val="00352D18"/>
    <w:rsid w:val="003551C4"/>
    <w:rsid w:val="003571F3"/>
    <w:rsid w:val="00365E9E"/>
    <w:rsid w:val="003A038D"/>
    <w:rsid w:val="003B045B"/>
    <w:rsid w:val="003B40D9"/>
    <w:rsid w:val="003B60A5"/>
    <w:rsid w:val="003C6198"/>
    <w:rsid w:val="003D0740"/>
    <w:rsid w:val="003D296B"/>
    <w:rsid w:val="003E007F"/>
    <w:rsid w:val="00413C67"/>
    <w:rsid w:val="00415350"/>
    <w:rsid w:val="004271BF"/>
    <w:rsid w:val="00433386"/>
    <w:rsid w:val="00445C25"/>
    <w:rsid w:val="004505BB"/>
    <w:rsid w:val="004654EE"/>
    <w:rsid w:val="00483932"/>
    <w:rsid w:val="00485FC4"/>
    <w:rsid w:val="004A0CD9"/>
    <w:rsid w:val="004B52E6"/>
    <w:rsid w:val="004C0CA8"/>
    <w:rsid w:val="004D5B35"/>
    <w:rsid w:val="004E0A9D"/>
    <w:rsid w:val="004F1758"/>
    <w:rsid w:val="004F1C0D"/>
    <w:rsid w:val="004F4002"/>
    <w:rsid w:val="0050376A"/>
    <w:rsid w:val="005207D7"/>
    <w:rsid w:val="00524A6D"/>
    <w:rsid w:val="00532FF5"/>
    <w:rsid w:val="0054075C"/>
    <w:rsid w:val="00550551"/>
    <w:rsid w:val="005655F2"/>
    <w:rsid w:val="00586621"/>
    <w:rsid w:val="005B0326"/>
    <w:rsid w:val="005C0AAA"/>
    <w:rsid w:val="005C64D4"/>
    <w:rsid w:val="005D7BA7"/>
    <w:rsid w:val="005F0B2F"/>
    <w:rsid w:val="006024E2"/>
    <w:rsid w:val="00610C84"/>
    <w:rsid w:val="00614451"/>
    <w:rsid w:val="0061509E"/>
    <w:rsid w:val="00623E0C"/>
    <w:rsid w:val="00636F98"/>
    <w:rsid w:val="00662559"/>
    <w:rsid w:val="00666D2C"/>
    <w:rsid w:val="00667307"/>
    <w:rsid w:val="00667991"/>
    <w:rsid w:val="00680FC5"/>
    <w:rsid w:val="00691349"/>
    <w:rsid w:val="006958E3"/>
    <w:rsid w:val="006A0E8B"/>
    <w:rsid w:val="006C1516"/>
    <w:rsid w:val="006D79AE"/>
    <w:rsid w:val="006E520C"/>
    <w:rsid w:val="006E754F"/>
    <w:rsid w:val="006F2EF7"/>
    <w:rsid w:val="006F5732"/>
    <w:rsid w:val="00726323"/>
    <w:rsid w:val="0072689C"/>
    <w:rsid w:val="00727236"/>
    <w:rsid w:val="00730F6C"/>
    <w:rsid w:val="00754474"/>
    <w:rsid w:val="00762D2C"/>
    <w:rsid w:val="007677F7"/>
    <w:rsid w:val="0077692F"/>
    <w:rsid w:val="0078623E"/>
    <w:rsid w:val="007A5CB0"/>
    <w:rsid w:val="007A7836"/>
    <w:rsid w:val="007B1A9B"/>
    <w:rsid w:val="007B2653"/>
    <w:rsid w:val="007B32DB"/>
    <w:rsid w:val="007B53D8"/>
    <w:rsid w:val="007C7D25"/>
    <w:rsid w:val="007D1846"/>
    <w:rsid w:val="007D6463"/>
    <w:rsid w:val="007E2BF8"/>
    <w:rsid w:val="007E352F"/>
    <w:rsid w:val="0081312C"/>
    <w:rsid w:val="00821DB4"/>
    <w:rsid w:val="008243A3"/>
    <w:rsid w:val="00825DB4"/>
    <w:rsid w:val="008352DA"/>
    <w:rsid w:val="00835B40"/>
    <w:rsid w:val="008362E6"/>
    <w:rsid w:val="00861CFE"/>
    <w:rsid w:val="00862FD2"/>
    <w:rsid w:val="00867CDC"/>
    <w:rsid w:val="00871847"/>
    <w:rsid w:val="0087592A"/>
    <w:rsid w:val="008879C9"/>
    <w:rsid w:val="00891BB5"/>
    <w:rsid w:val="00895409"/>
    <w:rsid w:val="0089774F"/>
    <w:rsid w:val="008A7716"/>
    <w:rsid w:val="008B12B4"/>
    <w:rsid w:val="008B2168"/>
    <w:rsid w:val="008B31DE"/>
    <w:rsid w:val="008B431B"/>
    <w:rsid w:val="008B525F"/>
    <w:rsid w:val="008B7984"/>
    <w:rsid w:val="008C063B"/>
    <w:rsid w:val="008C275D"/>
    <w:rsid w:val="008C3150"/>
    <w:rsid w:val="008D4E9F"/>
    <w:rsid w:val="008D7689"/>
    <w:rsid w:val="008E5769"/>
    <w:rsid w:val="00911C56"/>
    <w:rsid w:val="009233B0"/>
    <w:rsid w:val="0093097B"/>
    <w:rsid w:val="00933AB0"/>
    <w:rsid w:val="00940870"/>
    <w:rsid w:val="00957AE9"/>
    <w:rsid w:val="009638F1"/>
    <w:rsid w:val="00963C3C"/>
    <w:rsid w:val="00967D01"/>
    <w:rsid w:val="00972263"/>
    <w:rsid w:val="009857C7"/>
    <w:rsid w:val="00990559"/>
    <w:rsid w:val="00992892"/>
    <w:rsid w:val="009937AA"/>
    <w:rsid w:val="00994A60"/>
    <w:rsid w:val="009A1033"/>
    <w:rsid w:val="009B2055"/>
    <w:rsid w:val="009C5BD9"/>
    <w:rsid w:val="009D1654"/>
    <w:rsid w:val="009D3D5A"/>
    <w:rsid w:val="009D73F0"/>
    <w:rsid w:val="009E28D7"/>
    <w:rsid w:val="009E3206"/>
    <w:rsid w:val="009E3331"/>
    <w:rsid w:val="009F48AC"/>
    <w:rsid w:val="009F68DF"/>
    <w:rsid w:val="00A1290C"/>
    <w:rsid w:val="00A31C45"/>
    <w:rsid w:val="00A355DB"/>
    <w:rsid w:val="00A6278A"/>
    <w:rsid w:val="00A67DA7"/>
    <w:rsid w:val="00A75253"/>
    <w:rsid w:val="00A76E65"/>
    <w:rsid w:val="00A87858"/>
    <w:rsid w:val="00AA624D"/>
    <w:rsid w:val="00AB2828"/>
    <w:rsid w:val="00AC2AA3"/>
    <w:rsid w:val="00AC5C37"/>
    <w:rsid w:val="00AD12D7"/>
    <w:rsid w:val="00AD3999"/>
    <w:rsid w:val="00AD59B0"/>
    <w:rsid w:val="00AE1AD5"/>
    <w:rsid w:val="00AE5AEC"/>
    <w:rsid w:val="00B0087B"/>
    <w:rsid w:val="00B01D0C"/>
    <w:rsid w:val="00B03C3A"/>
    <w:rsid w:val="00B14090"/>
    <w:rsid w:val="00B141DF"/>
    <w:rsid w:val="00B15652"/>
    <w:rsid w:val="00B172EC"/>
    <w:rsid w:val="00B24E72"/>
    <w:rsid w:val="00B53880"/>
    <w:rsid w:val="00B55C22"/>
    <w:rsid w:val="00B63AF6"/>
    <w:rsid w:val="00B703F2"/>
    <w:rsid w:val="00B77130"/>
    <w:rsid w:val="00B81289"/>
    <w:rsid w:val="00B84940"/>
    <w:rsid w:val="00B90EA3"/>
    <w:rsid w:val="00B910A4"/>
    <w:rsid w:val="00B9131E"/>
    <w:rsid w:val="00BB6F96"/>
    <w:rsid w:val="00BB780D"/>
    <w:rsid w:val="00BC15D6"/>
    <w:rsid w:val="00BC1F0A"/>
    <w:rsid w:val="00BD4AD0"/>
    <w:rsid w:val="00BD6809"/>
    <w:rsid w:val="00BD756B"/>
    <w:rsid w:val="00BE496E"/>
    <w:rsid w:val="00C0254A"/>
    <w:rsid w:val="00C1286C"/>
    <w:rsid w:val="00C16C0B"/>
    <w:rsid w:val="00C2003D"/>
    <w:rsid w:val="00C204B5"/>
    <w:rsid w:val="00C227B8"/>
    <w:rsid w:val="00C321C3"/>
    <w:rsid w:val="00C36B94"/>
    <w:rsid w:val="00C4746B"/>
    <w:rsid w:val="00C606E9"/>
    <w:rsid w:val="00C66871"/>
    <w:rsid w:val="00C7529B"/>
    <w:rsid w:val="00C755AD"/>
    <w:rsid w:val="00C80E8A"/>
    <w:rsid w:val="00C81A7D"/>
    <w:rsid w:val="00C8658A"/>
    <w:rsid w:val="00C904AC"/>
    <w:rsid w:val="00CB07D2"/>
    <w:rsid w:val="00CE12D7"/>
    <w:rsid w:val="00CF2094"/>
    <w:rsid w:val="00CF7455"/>
    <w:rsid w:val="00CF7572"/>
    <w:rsid w:val="00D02C11"/>
    <w:rsid w:val="00D145E3"/>
    <w:rsid w:val="00D24970"/>
    <w:rsid w:val="00D26422"/>
    <w:rsid w:val="00D40CF7"/>
    <w:rsid w:val="00D4504E"/>
    <w:rsid w:val="00D5046D"/>
    <w:rsid w:val="00D55074"/>
    <w:rsid w:val="00D62A00"/>
    <w:rsid w:val="00D66D1D"/>
    <w:rsid w:val="00D75D0D"/>
    <w:rsid w:val="00D77880"/>
    <w:rsid w:val="00D8522A"/>
    <w:rsid w:val="00D966C5"/>
    <w:rsid w:val="00DA21FF"/>
    <w:rsid w:val="00DA3F78"/>
    <w:rsid w:val="00DB1544"/>
    <w:rsid w:val="00DB5968"/>
    <w:rsid w:val="00DC32DA"/>
    <w:rsid w:val="00DD03D9"/>
    <w:rsid w:val="00DD4282"/>
    <w:rsid w:val="00DE3587"/>
    <w:rsid w:val="00DF01C4"/>
    <w:rsid w:val="00E00ED0"/>
    <w:rsid w:val="00E016CF"/>
    <w:rsid w:val="00E162CD"/>
    <w:rsid w:val="00E2206B"/>
    <w:rsid w:val="00E46813"/>
    <w:rsid w:val="00E53268"/>
    <w:rsid w:val="00E751E0"/>
    <w:rsid w:val="00E8090F"/>
    <w:rsid w:val="00E80F51"/>
    <w:rsid w:val="00E97907"/>
    <w:rsid w:val="00EA0B6C"/>
    <w:rsid w:val="00EB349B"/>
    <w:rsid w:val="00EB4625"/>
    <w:rsid w:val="00EB7315"/>
    <w:rsid w:val="00EC3C75"/>
    <w:rsid w:val="00ED45C7"/>
    <w:rsid w:val="00EE7242"/>
    <w:rsid w:val="00EF128C"/>
    <w:rsid w:val="00EF1E8C"/>
    <w:rsid w:val="00EF430B"/>
    <w:rsid w:val="00EF45A3"/>
    <w:rsid w:val="00EF5845"/>
    <w:rsid w:val="00EF60B7"/>
    <w:rsid w:val="00F03943"/>
    <w:rsid w:val="00F04BC8"/>
    <w:rsid w:val="00F240E7"/>
    <w:rsid w:val="00F30BF8"/>
    <w:rsid w:val="00F44B91"/>
    <w:rsid w:val="00F52B9C"/>
    <w:rsid w:val="00F52BD1"/>
    <w:rsid w:val="00F6542A"/>
    <w:rsid w:val="00F6561E"/>
    <w:rsid w:val="00F75F52"/>
    <w:rsid w:val="00F77A2E"/>
    <w:rsid w:val="00F81B4C"/>
    <w:rsid w:val="00F93994"/>
    <w:rsid w:val="00FA31C2"/>
    <w:rsid w:val="00FA6134"/>
    <w:rsid w:val="00FA6751"/>
    <w:rsid w:val="00FB20C4"/>
    <w:rsid w:val="00FB3B6D"/>
    <w:rsid w:val="00FB6CFA"/>
    <w:rsid w:val="00FC62F9"/>
    <w:rsid w:val="00FC6735"/>
    <w:rsid w:val="00FD1DF0"/>
    <w:rsid w:val="00FD572D"/>
    <w:rsid w:val="00FD6373"/>
    <w:rsid w:val="00FF604C"/>
    <w:rsid w:val="00FF6F30"/>
    <w:rsid w:val="027B3ED0"/>
    <w:rsid w:val="02984602"/>
    <w:rsid w:val="06F56791"/>
    <w:rsid w:val="07B35A1C"/>
    <w:rsid w:val="08F350D0"/>
    <w:rsid w:val="0923388A"/>
    <w:rsid w:val="09FA4D30"/>
    <w:rsid w:val="0B45512B"/>
    <w:rsid w:val="0B9F2C54"/>
    <w:rsid w:val="0C62015F"/>
    <w:rsid w:val="0D7C1F65"/>
    <w:rsid w:val="0D86507D"/>
    <w:rsid w:val="0DCE6A70"/>
    <w:rsid w:val="0E983BDC"/>
    <w:rsid w:val="11395E92"/>
    <w:rsid w:val="114F1217"/>
    <w:rsid w:val="125B269D"/>
    <w:rsid w:val="127E6A27"/>
    <w:rsid w:val="13702BC2"/>
    <w:rsid w:val="13BE5DCD"/>
    <w:rsid w:val="14AE1B86"/>
    <w:rsid w:val="15655A8B"/>
    <w:rsid w:val="16F32095"/>
    <w:rsid w:val="17122AAB"/>
    <w:rsid w:val="1A0C49FA"/>
    <w:rsid w:val="1ADC5570"/>
    <w:rsid w:val="1B0F34F5"/>
    <w:rsid w:val="1BB83349"/>
    <w:rsid w:val="1D684613"/>
    <w:rsid w:val="1E0824BD"/>
    <w:rsid w:val="1E634D7F"/>
    <w:rsid w:val="1E7E495B"/>
    <w:rsid w:val="21677222"/>
    <w:rsid w:val="24391CB0"/>
    <w:rsid w:val="267A581E"/>
    <w:rsid w:val="26EF7112"/>
    <w:rsid w:val="276B7EBF"/>
    <w:rsid w:val="27C15A6A"/>
    <w:rsid w:val="29FE0612"/>
    <w:rsid w:val="2A757F12"/>
    <w:rsid w:val="2BA16BEE"/>
    <w:rsid w:val="2E6E685C"/>
    <w:rsid w:val="2EB4162E"/>
    <w:rsid w:val="2EDF4245"/>
    <w:rsid w:val="30761479"/>
    <w:rsid w:val="31813ADE"/>
    <w:rsid w:val="32CB4565"/>
    <w:rsid w:val="33137234"/>
    <w:rsid w:val="347D57B2"/>
    <w:rsid w:val="357A7386"/>
    <w:rsid w:val="39CD3DA9"/>
    <w:rsid w:val="39E52B11"/>
    <w:rsid w:val="3AC9106E"/>
    <w:rsid w:val="3B6376C3"/>
    <w:rsid w:val="3E246178"/>
    <w:rsid w:val="3FDE558F"/>
    <w:rsid w:val="40F94F5A"/>
    <w:rsid w:val="415C7289"/>
    <w:rsid w:val="429E4A7C"/>
    <w:rsid w:val="43466A28"/>
    <w:rsid w:val="45D615FF"/>
    <w:rsid w:val="47273BFF"/>
    <w:rsid w:val="47D649A4"/>
    <w:rsid w:val="4B57144D"/>
    <w:rsid w:val="4D9F1A0D"/>
    <w:rsid w:val="4E1D37A6"/>
    <w:rsid w:val="4E5B0A53"/>
    <w:rsid w:val="4F0D5D58"/>
    <w:rsid w:val="4F9847C4"/>
    <w:rsid w:val="50730C74"/>
    <w:rsid w:val="517735B6"/>
    <w:rsid w:val="54E92623"/>
    <w:rsid w:val="575C49A5"/>
    <w:rsid w:val="58DC7DFF"/>
    <w:rsid w:val="5D1B0581"/>
    <w:rsid w:val="5D540922"/>
    <w:rsid w:val="5D9A2AF1"/>
    <w:rsid w:val="5EA91AA4"/>
    <w:rsid w:val="5F0B4A45"/>
    <w:rsid w:val="5FBC09AF"/>
    <w:rsid w:val="614C0C53"/>
    <w:rsid w:val="61756EF7"/>
    <w:rsid w:val="625D0F9E"/>
    <w:rsid w:val="627855D1"/>
    <w:rsid w:val="63D470E9"/>
    <w:rsid w:val="66607C25"/>
    <w:rsid w:val="66E47D3C"/>
    <w:rsid w:val="6B8769DB"/>
    <w:rsid w:val="6B88467C"/>
    <w:rsid w:val="6BEB44DF"/>
    <w:rsid w:val="6C362F5F"/>
    <w:rsid w:val="6C5A6345"/>
    <w:rsid w:val="6D3C519A"/>
    <w:rsid w:val="6DDB231B"/>
    <w:rsid w:val="6EFF2FFA"/>
    <w:rsid w:val="738F659F"/>
    <w:rsid w:val="75A24651"/>
    <w:rsid w:val="769C6702"/>
    <w:rsid w:val="76D4547B"/>
    <w:rsid w:val="778E46C4"/>
    <w:rsid w:val="78F554EF"/>
    <w:rsid w:val="79832AFF"/>
    <w:rsid w:val="7D444CD3"/>
    <w:rsid w:val="7DF070CA"/>
    <w:rsid w:val="7E78275F"/>
    <w:rsid w:val="7EE60F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locked/>
    <w:uiPriority w:val="9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9"/>
    <w:pPr>
      <w:autoSpaceDE w:val="0"/>
      <w:autoSpaceDN w:val="0"/>
      <w:adjustRightInd w:val="0"/>
      <w:spacing w:before="120" w:line="360" w:lineRule="auto"/>
      <w:jc w:val="left"/>
      <w:outlineLvl w:val="1"/>
    </w:pPr>
    <w:rPr>
      <w:rFonts w:ascii="仿宋_GB2312" w:eastAsia="仿宋_GB2312"/>
      <w:b/>
      <w:kern w:val="0"/>
      <w:sz w:val="28"/>
      <w:szCs w:val="20"/>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1"/>
    <w:qFormat/>
    <w:uiPriority w:val="99"/>
    <w:pPr>
      <w:adjustRightInd w:val="0"/>
      <w:spacing w:before="60" w:after="60" w:line="312" w:lineRule="atLeast"/>
      <w:ind w:firstLine="420"/>
      <w:textAlignment w:val="baseline"/>
    </w:pPr>
    <w:rPr>
      <w:kern w:val="0"/>
      <w:sz w:val="24"/>
      <w:szCs w:val="20"/>
    </w:rPr>
  </w:style>
  <w:style w:type="paragraph" w:styleId="5">
    <w:name w:val="caption"/>
    <w:basedOn w:val="1"/>
    <w:next w:val="1"/>
    <w:qFormat/>
    <w:locked/>
    <w:uiPriority w:val="99"/>
    <w:rPr>
      <w:rFonts w:ascii="Arial" w:hAnsi="Arial" w:eastAsia="黑体" w:cs="Arial"/>
      <w:sz w:val="20"/>
      <w:szCs w:val="20"/>
    </w:rPr>
  </w:style>
  <w:style w:type="paragraph" w:styleId="6">
    <w:name w:val="annotation text"/>
    <w:basedOn w:val="1"/>
    <w:link w:val="23"/>
    <w:semiHidden/>
    <w:qFormat/>
    <w:uiPriority w:val="99"/>
    <w:pPr>
      <w:jc w:val="left"/>
    </w:pPr>
  </w:style>
  <w:style w:type="paragraph" w:styleId="7">
    <w:name w:val="Body Text"/>
    <w:basedOn w:val="1"/>
    <w:link w:val="34"/>
    <w:qFormat/>
    <w:uiPriority w:val="99"/>
    <w:pPr>
      <w:tabs>
        <w:tab w:val="left" w:pos="8080"/>
      </w:tabs>
      <w:autoSpaceDE w:val="0"/>
      <w:autoSpaceDN w:val="0"/>
      <w:adjustRightInd w:val="0"/>
      <w:spacing w:line="450" w:lineRule="atLeast"/>
      <w:ind w:right="141"/>
      <w:jc w:val="left"/>
    </w:pPr>
    <w:rPr>
      <w:rFonts w:ascii="宋体"/>
      <w:kern w:val="0"/>
      <w:sz w:val="28"/>
      <w:szCs w:val="20"/>
    </w:rPr>
  </w:style>
  <w:style w:type="paragraph" w:styleId="8">
    <w:name w:val="Body Text Indent"/>
    <w:basedOn w:val="1"/>
    <w:link w:val="38"/>
    <w:qFormat/>
    <w:uiPriority w:val="99"/>
    <w:pPr>
      <w:autoSpaceDE w:val="0"/>
      <w:autoSpaceDN w:val="0"/>
      <w:adjustRightInd w:val="0"/>
      <w:spacing w:line="360" w:lineRule="auto"/>
      <w:ind w:firstLine="567"/>
      <w:jc w:val="left"/>
      <w:textAlignment w:val="top"/>
    </w:pPr>
    <w:rPr>
      <w:rFonts w:ascii="仿宋_GB2312" w:eastAsia="仿宋_GB2312"/>
      <w:kern w:val="0"/>
      <w:sz w:val="28"/>
      <w:szCs w:val="20"/>
    </w:rPr>
  </w:style>
  <w:style w:type="paragraph" w:styleId="9">
    <w:name w:val="Plain Text"/>
    <w:basedOn w:val="1"/>
    <w:link w:val="37"/>
    <w:qFormat/>
    <w:uiPriority w:val="99"/>
    <w:rPr>
      <w:rFonts w:ascii="宋体" w:hAnsi="Courier New"/>
      <w:szCs w:val="20"/>
    </w:rPr>
  </w:style>
  <w:style w:type="paragraph" w:styleId="10">
    <w:name w:val="Body Text Indent 2"/>
    <w:basedOn w:val="1"/>
    <w:link w:val="36"/>
    <w:qFormat/>
    <w:uiPriority w:val="99"/>
    <w:pPr>
      <w:tabs>
        <w:tab w:val="left" w:pos="0"/>
      </w:tabs>
      <w:adjustRightInd w:val="0"/>
      <w:spacing w:after="120" w:line="360" w:lineRule="auto"/>
      <w:ind w:right="-297" w:firstLine="555"/>
      <w:textAlignment w:val="baseline"/>
    </w:pPr>
    <w:rPr>
      <w:rFonts w:ascii="宋体"/>
      <w:kern w:val="0"/>
      <w:sz w:val="28"/>
      <w:szCs w:val="20"/>
    </w:rPr>
  </w:style>
  <w:style w:type="paragraph" w:styleId="11">
    <w:name w:val="endnote text"/>
    <w:basedOn w:val="1"/>
    <w:link w:val="28"/>
    <w:semiHidden/>
    <w:qFormat/>
    <w:uiPriority w:val="99"/>
    <w:pPr>
      <w:snapToGrid w:val="0"/>
      <w:jc w:val="left"/>
    </w:pPr>
  </w:style>
  <w:style w:type="paragraph" w:styleId="12">
    <w:name w:val="Balloon Text"/>
    <w:basedOn w:val="1"/>
    <w:link w:val="29"/>
    <w:semiHidden/>
    <w:qFormat/>
    <w:uiPriority w:val="99"/>
    <w:rPr>
      <w:sz w:val="18"/>
      <w:szCs w:val="18"/>
    </w:rPr>
  </w:style>
  <w:style w:type="paragraph" w:styleId="13">
    <w:name w:val="footer"/>
    <w:basedOn w:val="1"/>
    <w:link w:val="35"/>
    <w:qFormat/>
    <w:uiPriority w:val="99"/>
    <w:pPr>
      <w:tabs>
        <w:tab w:val="center" w:pos="4153"/>
        <w:tab w:val="right" w:pos="8306"/>
      </w:tabs>
      <w:autoSpaceDE w:val="0"/>
      <w:autoSpaceDN w:val="0"/>
      <w:adjustRightInd w:val="0"/>
      <w:spacing w:line="240" w:lineRule="atLeast"/>
      <w:jc w:val="left"/>
    </w:pPr>
    <w:rPr>
      <w:rFonts w:ascii="宋体"/>
      <w:kern w:val="0"/>
      <w:sz w:val="18"/>
      <w:szCs w:val="20"/>
    </w:rPr>
  </w:style>
  <w:style w:type="paragraph" w:styleId="14">
    <w:name w:val="header"/>
    <w:basedOn w:val="1"/>
    <w:link w:val="33"/>
    <w:qFormat/>
    <w:uiPriority w:val="99"/>
    <w:pPr>
      <w:pBdr>
        <w:bottom w:val="single" w:color="auto" w:sz="6" w:space="1"/>
      </w:pBdr>
      <w:tabs>
        <w:tab w:val="center" w:pos="4153"/>
        <w:tab w:val="right" w:pos="8306"/>
      </w:tabs>
      <w:autoSpaceDE w:val="0"/>
      <w:autoSpaceDN w:val="0"/>
      <w:adjustRightInd w:val="0"/>
      <w:spacing w:line="240" w:lineRule="atLeast"/>
      <w:jc w:val="center"/>
    </w:pPr>
    <w:rPr>
      <w:rFonts w:ascii="宋体"/>
      <w:kern w:val="0"/>
      <w:sz w:val="18"/>
      <w:szCs w:val="20"/>
    </w:rPr>
  </w:style>
  <w:style w:type="paragraph" w:styleId="15">
    <w:name w:val="Body Text Indent 3"/>
    <w:basedOn w:val="1"/>
    <w:link w:val="39"/>
    <w:qFormat/>
    <w:uiPriority w:val="99"/>
    <w:pPr>
      <w:tabs>
        <w:tab w:val="left" w:pos="0"/>
      </w:tabs>
      <w:adjustRightInd w:val="0"/>
      <w:spacing w:after="120" w:line="360" w:lineRule="auto"/>
      <w:ind w:right="-295" w:firstLine="555"/>
      <w:textAlignment w:val="baseline"/>
    </w:pPr>
    <w:rPr>
      <w:rFonts w:ascii="宋体"/>
      <w:kern w:val="0"/>
      <w:sz w:val="28"/>
      <w:szCs w:val="20"/>
    </w:rPr>
  </w:style>
  <w:style w:type="character" w:styleId="18">
    <w:name w:val="endnote reference"/>
    <w:basedOn w:val="17"/>
    <w:semiHidden/>
    <w:qFormat/>
    <w:uiPriority w:val="99"/>
    <w:rPr>
      <w:rFonts w:cs="Times New Roman"/>
      <w:vertAlign w:val="superscript"/>
    </w:rPr>
  </w:style>
  <w:style w:type="character" w:styleId="19">
    <w:name w:val="page number"/>
    <w:basedOn w:val="17"/>
    <w:qFormat/>
    <w:uiPriority w:val="99"/>
    <w:rPr>
      <w:rFonts w:cs="Times New Roman"/>
    </w:rPr>
  </w:style>
  <w:style w:type="character" w:styleId="20">
    <w:name w:val="annotation reference"/>
    <w:basedOn w:val="17"/>
    <w:semiHidden/>
    <w:qFormat/>
    <w:uiPriority w:val="99"/>
    <w:rPr>
      <w:rFonts w:cs="Times New Roman"/>
      <w:sz w:val="21"/>
      <w:szCs w:val="21"/>
    </w:rPr>
  </w:style>
  <w:style w:type="character" w:customStyle="1" w:styleId="21">
    <w:name w:val="标题 1 Char"/>
    <w:basedOn w:val="17"/>
    <w:link w:val="2"/>
    <w:qFormat/>
    <w:locked/>
    <w:uiPriority w:val="99"/>
    <w:rPr>
      <w:rFonts w:ascii="Times New Roman" w:hAnsi="Times New Roman" w:cs="Times New Roman"/>
      <w:b/>
      <w:bCs/>
      <w:kern w:val="44"/>
      <w:sz w:val="44"/>
      <w:szCs w:val="44"/>
    </w:rPr>
  </w:style>
  <w:style w:type="character" w:customStyle="1" w:styleId="22">
    <w:name w:val="标题 2 Char"/>
    <w:basedOn w:val="17"/>
    <w:link w:val="3"/>
    <w:qFormat/>
    <w:locked/>
    <w:uiPriority w:val="99"/>
    <w:rPr>
      <w:rFonts w:ascii="仿宋_GB2312" w:hAnsi="Times New Roman" w:eastAsia="仿宋_GB2312" w:cs="Times New Roman"/>
      <w:b/>
      <w:kern w:val="0"/>
      <w:sz w:val="20"/>
      <w:szCs w:val="20"/>
    </w:rPr>
  </w:style>
  <w:style w:type="character" w:customStyle="1" w:styleId="23">
    <w:name w:val="批注文字 Char"/>
    <w:basedOn w:val="17"/>
    <w:link w:val="6"/>
    <w:semiHidden/>
    <w:qFormat/>
    <w:locked/>
    <w:uiPriority w:val="99"/>
    <w:rPr>
      <w:rFonts w:cs="Times New Roman"/>
      <w:sz w:val="24"/>
      <w:szCs w:val="24"/>
    </w:rPr>
  </w:style>
  <w:style w:type="character" w:customStyle="1" w:styleId="24">
    <w:name w:val="Body Text Char"/>
    <w:basedOn w:val="17"/>
    <w:link w:val="7"/>
    <w:qFormat/>
    <w:locked/>
    <w:uiPriority w:val="99"/>
    <w:rPr>
      <w:rFonts w:ascii="宋体" w:hAnsi="Times New Roman" w:eastAsia="宋体" w:cs="Times New Roman"/>
      <w:kern w:val="0"/>
      <w:sz w:val="20"/>
      <w:szCs w:val="20"/>
    </w:rPr>
  </w:style>
  <w:style w:type="character" w:customStyle="1" w:styleId="25">
    <w:name w:val="Body Text Indent Char"/>
    <w:basedOn w:val="17"/>
    <w:link w:val="8"/>
    <w:qFormat/>
    <w:locked/>
    <w:uiPriority w:val="99"/>
    <w:rPr>
      <w:rFonts w:ascii="仿宋_GB2312" w:hAnsi="Times New Roman" w:eastAsia="仿宋_GB2312" w:cs="Times New Roman"/>
      <w:kern w:val="0"/>
      <w:sz w:val="20"/>
      <w:szCs w:val="20"/>
    </w:rPr>
  </w:style>
  <w:style w:type="character" w:customStyle="1" w:styleId="26">
    <w:name w:val="Plain Text Char"/>
    <w:basedOn w:val="17"/>
    <w:link w:val="9"/>
    <w:qFormat/>
    <w:locked/>
    <w:uiPriority w:val="99"/>
    <w:rPr>
      <w:rFonts w:ascii="宋体" w:hAnsi="Courier New" w:eastAsia="宋体" w:cs="Times New Roman"/>
      <w:sz w:val="20"/>
      <w:szCs w:val="20"/>
    </w:rPr>
  </w:style>
  <w:style w:type="character" w:customStyle="1" w:styleId="27">
    <w:name w:val="Body Text Indent 2 Char"/>
    <w:basedOn w:val="17"/>
    <w:link w:val="10"/>
    <w:qFormat/>
    <w:locked/>
    <w:uiPriority w:val="99"/>
    <w:rPr>
      <w:rFonts w:ascii="宋体" w:hAnsi="Times New Roman" w:eastAsia="宋体" w:cs="Times New Roman"/>
      <w:kern w:val="0"/>
      <w:sz w:val="20"/>
      <w:szCs w:val="20"/>
    </w:rPr>
  </w:style>
  <w:style w:type="character" w:customStyle="1" w:styleId="28">
    <w:name w:val="尾注文本 Char"/>
    <w:basedOn w:val="17"/>
    <w:link w:val="11"/>
    <w:semiHidden/>
    <w:qFormat/>
    <w:locked/>
    <w:uiPriority w:val="99"/>
    <w:rPr>
      <w:rFonts w:ascii="Times New Roman" w:hAnsi="Times New Roman" w:cs="Times New Roman"/>
      <w:sz w:val="24"/>
      <w:szCs w:val="24"/>
    </w:rPr>
  </w:style>
  <w:style w:type="character" w:customStyle="1" w:styleId="29">
    <w:name w:val="批注框文本 Char"/>
    <w:basedOn w:val="17"/>
    <w:link w:val="12"/>
    <w:semiHidden/>
    <w:qFormat/>
    <w:locked/>
    <w:uiPriority w:val="99"/>
    <w:rPr>
      <w:rFonts w:ascii="Times New Roman" w:hAnsi="Times New Roman" w:cs="Times New Roman"/>
      <w:sz w:val="2"/>
    </w:rPr>
  </w:style>
  <w:style w:type="character" w:customStyle="1" w:styleId="30">
    <w:name w:val="Footer Char"/>
    <w:basedOn w:val="17"/>
    <w:link w:val="13"/>
    <w:qFormat/>
    <w:locked/>
    <w:uiPriority w:val="99"/>
    <w:rPr>
      <w:rFonts w:ascii="宋体" w:hAnsi="Times New Roman" w:eastAsia="宋体" w:cs="Times New Roman"/>
      <w:kern w:val="0"/>
      <w:sz w:val="20"/>
      <w:szCs w:val="20"/>
    </w:rPr>
  </w:style>
  <w:style w:type="character" w:customStyle="1" w:styleId="31">
    <w:name w:val="Header Char"/>
    <w:basedOn w:val="17"/>
    <w:link w:val="14"/>
    <w:qFormat/>
    <w:locked/>
    <w:uiPriority w:val="99"/>
    <w:rPr>
      <w:rFonts w:ascii="宋体" w:hAnsi="Times New Roman" w:eastAsia="宋体" w:cs="Times New Roman"/>
      <w:kern w:val="0"/>
      <w:sz w:val="20"/>
      <w:szCs w:val="20"/>
    </w:rPr>
  </w:style>
  <w:style w:type="character" w:customStyle="1" w:styleId="32">
    <w:name w:val="Body Text Indent 3 Char"/>
    <w:basedOn w:val="17"/>
    <w:link w:val="15"/>
    <w:qFormat/>
    <w:locked/>
    <w:uiPriority w:val="99"/>
    <w:rPr>
      <w:rFonts w:ascii="宋体" w:hAnsi="Times New Roman" w:eastAsia="宋体" w:cs="Times New Roman"/>
      <w:kern w:val="0"/>
      <w:sz w:val="20"/>
      <w:szCs w:val="20"/>
    </w:rPr>
  </w:style>
  <w:style w:type="character" w:customStyle="1" w:styleId="33">
    <w:name w:val="页眉 Char"/>
    <w:basedOn w:val="17"/>
    <w:link w:val="14"/>
    <w:semiHidden/>
    <w:qFormat/>
    <w:locked/>
    <w:uiPriority w:val="99"/>
    <w:rPr>
      <w:rFonts w:ascii="Times New Roman" w:hAnsi="Times New Roman" w:cs="Times New Roman"/>
      <w:sz w:val="18"/>
      <w:szCs w:val="18"/>
    </w:rPr>
  </w:style>
  <w:style w:type="character" w:customStyle="1" w:styleId="34">
    <w:name w:val="正文文本 Char"/>
    <w:basedOn w:val="17"/>
    <w:link w:val="7"/>
    <w:semiHidden/>
    <w:qFormat/>
    <w:locked/>
    <w:uiPriority w:val="99"/>
    <w:rPr>
      <w:rFonts w:ascii="Times New Roman" w:hAnsi="Times New Roman" w:cs="Times New Roman"/>
      <w:sz w:val="24"/>
      <w:szCs w:val="24"/>
    </w:rPr>
  </w:style>
  <w:style w:type="character" w:customStyle="1" w:styleId="35">
    <w:name w:val="页脚 Char"/>
    <w:basedOn w:val="17"/>
    <w:link w:val="13"/>
    <w:semiHidden/>
    <w:qFormat/>
    <w:locked/>
    <w:uiPriority w:val="99"/>
    <w:rPr>
      <w:rFonts w:ascii="Times New Roman" w:hAnsi="Times New Roman" w:cs="Times New Roman"/>
      <w:sz w:val="18"/>
      <w:szCs w:val="18"/>
    </w:rPr>
  </w:style>
  <w:style w:type="character" w:customStyle="1" w:styleId="36">
    <w:name w:val="正文文本缩进 2 Char"/>
    <w:basedOn w:val="17"/>
    <w:link w:val="10"/>
    <w:semiHidden/>
    <w:qFormat/>
    <w:locked/>
    <w:uiPriority w:val="99"/>
    <w:rPr>
      <w:rFonts w:ascii="Times New Roman" w:hAnsi="Times New Roman" w:cs="Times New Roman"/>
      <w:sz w:val="24"/>
      <w:szCs w:val="24"/>
    </w:rPr>
  </w:style>
  <w:style w:type="character" w:customStyle="1" w:styleId="37">
    <w:name w:val="纯文本 Char1"/>
    <w:basedOn w:val="17"/>
    <w:link w:val="9"/>
    <w:semiHidden/>
    <w:qFormat/>
    <w:locked/>
    <w:uiPriority w:val="99"/>
    <w:rPr>
      <w:rFonts w:ascii="宋体" w:hAnsi="Courier New" w:cs="Courier New"/>
      <w:sz w:val="21"/>
      <w:szCs w:val="21"/>
    </w:rPr>
  </w:style>
  <w:style w:type="character" w:customStyle="1" w:styleId="38">
    <w:name w:val="正文文本缩进 Char"/>
    <w:basedOn w:val="17"/>
    <w:link w:val="8"/>
    <w:semiHidden/>
    <w:qFormat/>
    <w:locked/>
    <w:uiPriority w:val="99"/>
    <w:rPr>
      <w:rFonts w:ascii="Times New Roman" w:hAnsi="Times New Roman" w:cs="Times New Roman"/>
      <w:sz w:val="24"/>
      <w:szCs w:val="24"/>
    </w:rPr>
  </w:style>
  <w:style w:type="character" w:customStyle="1" w:styleId="39">
    <w:name w:val="正文文本缩进 3 Char"/>
    <w:basedOn w:val="17"/>
    <w:link w:val="15"/>
    <w:semiHidden/>
    <w:qFormat/>
    <w:locked/>
    <w:uiPriority w:val="99"/>
    <w:rPr>
      <w:rFonts w:ascii="Times New Roman" w:hAnsi="Times New Roman" w:cs="Times New Roman"/>
      <w:sz w:val="16"/>
      <w:szCs w:val="16"/>
    </w:rPr>
  </w:style>
  <w:style w:type="character" w:customStyle="1" w:styleId="40">
    <w:name w:val="纯文本 Char"/>
    <w:basedOn w:val="17"/>
    <w:qFormat/>
    <w:uiPriority w:val="99"/>
    <w:rPr>
      <w:rFonts w:ascii="宋体" w:hAnsi="Courier New" w:eastAsia="宋体" w:cs="Times New Roman"/>
      <w:sz w:val="20"/>
      <w:szCs w:val="20"/>
    </w:rPr>
  </w:style>
  <w:style w:type="character" w:customStyle="1" w:styleId="41">
    <w:name w:val="正文缩进 Char"/>
    <w:link w:val="4"/>
    <w:qFormat/>
    <w:locked/>
    <w:uiPriority w:val="99"/>
    <w:rPr>
      <w:rFonts w:eastAsia="宋体"/>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1374</Words>
  <Characters>7836</Characters>
  <Lines>65</Lines>
  <Paragraphs>18</Paragraphs>
  <TotalTime>20</TotalTime>
  <ScaleCrop>false</ScaleCrop>
  <LinksUpToDate>false</LinksUpToDate>
  <CharactersWithSpaces>9192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2020-03-10T07:25:00Z</dcterms:created>
  <dc:creator>China</dc:creator>
  <cp:lastModifiedBy>我叫你一声〆你敢答应吗</cp:lastModifiedBy>
  <cp:lastPrinted>2020-10-22T06:07:49Z</cp:lastPrinted>
  <dcterms:modified xsi:type="dcterms:W3CDTF">2020-10-22T06:47:23Z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