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eastAsia="仿宋_GB2312"/>
          <w:b/>
          <w:bCs/>
          <w:sz w:val="28"/>
          <w:szCs w:val="28"/>
        </w:rPr>
      </w:pPr>
      <w:r>
        <w:rPr>
          <w:rFonts w:eastAsia="仿宋_GB2312"/>
          <w:b/>
          <w:bCs/>
          <w:sz w:val="28"/>
          <w:szCs w:val="28"/>
        </w:rPr>
        <w:t xml:space="preserve">  </w:t>
      </w:r>
    </w:p>
    <w:p>
      <w:pPr>
        <w:jc w:val="left"/>
        <w:rPr>
          <w:rFonts w:eastAsia="仿宋_GB2312"/>
          <w:b/>
          <w:bCs/>
          <w:sz w:val="28"/>
          <w:szCs w:val="28"/>
        </w:rPr>
      </w:pPr>
    </w:p>
    <w:p>
      <w:pPr>
        <w:jc w:val="left"/>
        <w:rPr>
          <w:rFonts w:eastAsia="仿宋_GB2312"/>
          <w:b/>
          <w:bCs/>
          <w:sz w:val="28"/>
          <w:szCs w:val="28"/>
        </w:rPr>
      </w:pPr>
    </w:p>
    <w:p>
      <w:pPr>
        <w:jc w:val="left"/>
        <w:rPr>
          <w:rFonts w:eastAsia="仿宋_GB2312"/>
          <w:b/>
          <w:bCs/>
          <w:sz w:val="28"/>
          <w:szCs w:val="28"/>
        </w:rPr>
      </w:pPr>
    </w:p>
    <w:p>
      <w:pPr>
        <w:tabs>
          <w:tab w:val="left" w:pos="709"/>
        </w:tabs>
        <w:adjustRightInd w:val="0"/>
        <w:snapToGrid w:val="0"/>
        <w:spacing w:line="600" w:lineRule="auto"/>
        <w:jc w:val="center"/>
        <w:rPr>
          <w:rFonts w:eastAsia="仿宋_GB2312"/>
          <w:b/>
          <w:bCs/>
          <w:sz w:val="36"/>
          <w:szCs w:val="36"/>
        </w:rPr>
      </w:pPr>
      <w:bookmarkStart w:id="0" w:name="_Toc362509683"/>
    </w:p>
    <w:p>
      <w:pPr>
        <w:tabs>
          <w:tab w:val="left" w:pos="709"/>
        </w:tabs>
        <w:adjustRightInd w:val="0"/>
        <w:snapToGrid w:val="0"/>
        <w:spacing w:line="480" w:lineRule="auto"/>
        <w:jc w:val="center"/>
        <w:rPr>
          <w:rFonts w:eastAsia="仿宋_GB2312"/>
          <w:b/>
          <w:bCs/>
          <w:sz w:val="36"/>
          <w:szCs w:val="36"/>
        </w:rPr>
      </w:pPr>
      <w:r>
        <w:rPr>
          <w:rFonts w:eastAsia="仿宋_GB2312"/>
          <w:b/>
          <w:bCs/>
          <w:sz w:val="52"/>
          <w:szCs w:val="52"/>
        </w:rPr>
        <w:t>房地产估价报告</w:t>
      </w:r>
      <w:bookmarkEnd w:id="0"/>
    </w:p>
    <w:p>
      <w:pPr>
        <w:tabs>
          <w:tab w:val="left" w:pos="709"/>
        </w:tabs>
        <w:adjustRightInd w:val="0"/>
        <w:snapToGrid w:val="0"/>
        <w:spacing w:line="480" w:lineRule="auto"/>
        <w:jc w:val="center"/>
        <w:rPr>
          <w:rFonts w:eastAsia="仿宋_GB2312"/>
          <w:b/>
          <w:bCs/>
          <w:sz w:val="36"/>
          <w:szCs w:val="36"/>
        </w:rPr>
      </w:pPr>
    </w:p>
    <w:p>
      <w:pPr>
        <w:tabs>
          <w:tab w:val="left" w:pos="709"/>
        </w:tabs>
        <w:adjustRightInd w:val="0"/>
        <w:snapToGrid w:val="0"/>
        <w:spacing w:line="480" w:lineRule="auto"/>
        <w:jc w:val="center"/>
        <w:rPr>
          <w:rFonts w:eastAsia="仿宋_GB2312"/>
          <w:b/>
          <w:bCs/>
          <w:sz w:val="36"/>
          <w:szCs w:val="36"/>
        </w:rPr>
      </w:pPr>
    </w:p>
    <w:p>
      <w:pPr>
        <w:tabs>
          <w:tab w:val="left" w:pos="709"/>
        </w:tabs>
        <w:adjustRightInd w:val="0"/>
        <w:snapToGrid w:val="0"/>
        <w:spacing w:line="480" w:lineRule="auto"/>
        <w:jc w:val="center"/>
        <w:rPr>
          <w:rFonts w:eastAsia="仿宋_GB2312"/>
          <w:b/>
          <w:bCs/>
          <w:sz w:val="36"/>
          <w:szCs w:val="36"/>
        </w:rPr>
      </w:pPr>
    </w:p>
    <w:p>
      <w:pPr>
        <w:tabs>
          <w:tab w:val="left" w:pos="540"/>
        </w:tabs>
        <w:snapToGrid w:val="0"/>
        <w:spacing w:line="360" w:lineRule="auto"/>
        <w:rPr>
          <w:rFonts w:eastAsia="仿宋_GB2312"/>
        </w:rPr>
      </w:pPr>
      <w:r>
        <w:rPr>
          <w:rFonts w:eastAsia="仿宋_GB2312"/>
          <w:b/>
          <w:bCs/>
          <w:sz w:val="32"/>
          <w:szCs w:val="32"/>
        </w:rPr>
        <w:t>估价报告编号</w:t>
      </w:r>
      <w:r>
        <w:rPr>
          <w:rFonts w:eastAsia="仿宋_GB2312"/>
          <w:sz w:val="32"/>
          <w:szCs w:val="32"/>
        </w:rPr>
        <w:t>：赣天平房估字[2020]第01018号</w:t>
      </w:r>
    </w:p>
    <w:p>
      <w:pPr>
        <w:tabs>
          <w:tab w:val="left" w:pos="709"/>
        </w:tabs>
        <w:adjustRightInd w:val="0"/>
        <w:snapToGrid w:val="0"/>
        <w:spacing w:line="360" w:lineRule="auto"/>
        <w:ind w:left="2233" w:hanging="2233" w:hangingChars="695"/>
        <w:rPr>
          <w:rFonts w:eastAsia="仿宋_GB2312"/>
          <w:sz w:val="32"/>
          <w:szCs w:val="32"/>
        </w:rPr>
      </w:pPr>
      <w:r>
        <w:rPr>
          <w:rFonts w:eastAsia="仿宋_GB2312"/>
          <w:b/>
          <w:bCs/>
          <w:sz w:val="32"/>
          <w:szCs w:val="32"/>
        </w:rPr>
        <w:t>估价项目名称</w:t>
      </w:r>
      <w:r>
        <w:rPr>
          <w:rFonts w:eastAsia="仿宋_GB2312"/>
          <w:sz w:val="32"/>
          <w:szCs w:val="32"/>
        </w:rPr>
        <w:t>：九江市泰山路以东、浔阳西路以北海正绿城5幢十二处在建工程房地产价值评估</w:t>
      </w:r>
    </w:p>
    <w:p>
      <w:pPr>
        <w:tabs>
          <w:tab w:val="left" w:pos="709"/>
          <w:tab w:val="left" w:pos="851"/>
          <w:tab w:val="left" w:pos="993"/>
          <w:tab w:val="left" w:pos="1560"/>
        </w:tabs>
        <w:adjustRightInd w:val="0"/>
        <w:snapToGrid w:val="0"/>
        <w:spacing w:line="360" w:lineRule="auto"/>
        <w:rPr>
          <w:rFonts w:eastAsia="仿宋_GB2312"/>
          <w:sz w:val="32"/>
          <w:szCs w:val="32"/>
        </w:rPr>
      </w:pPr>
      <w:r>
        <w:rPr>
          <w:rFonts w:eastAsia="仿宋_GB2312"/>
          <w:b/>
          <w:bCs/>
          <w:sz w:val="32"/>
          <w:szCs w:val="32"/>
        </w:rPr>
        <w:t>估价委托人</w:t>
      </w:r>
      <w:r>
        <w:rPr>
          <w:rFonts w:eastAsia="仿宋_GB2312"/>
          <w:sz w:val="32"/>
          <w:szCs w:val="32"/>
        </w:rPr>
        <w:t>：江西省九江市中级人民法院执行局</w:t>
      </w:r>
    </w:p>
    <w:p>
      <w:pPr>
        <w:tabs>
          <w:tab w:val="left" w:pos="709"/>
        </w:tabs>
        <w:adjustRightInd w:val="0"/>
        <w:snapToGrid w:val="0"/>
        <w:spacing w:line="360" w:lineRule="auto"/>
        <w:rPr>
          <w:rFonts w:eastAsia="仿宋_GB2312"/>
          <w:sz w:val="32"/>
          <w:szCs w:val="32"/>
        </w:rPr>
      </w:pPr>
      <w:r>
        <w:rPr>
          <w:rFonts w:eastAsia="仿宋_GB2312"/>
          <w:b/>
          <w:bCs/>
          <w:sz w:val="32"/>
          <w:szCs w:val="32"/>
        </w:rPr>
        <w:t>房地产估价机构</w:t>
      </w:r>
      <w:r>
        <w:rPr>
          <w:rFonts w:eastAsia="仿宋_GB2312"/>
          <w:sz w:val="32"/>
          <w:szCs w:val="32"/>
        </w:rPr>
        <w:t>：江西天平房地产土地评估咨询有限公司</w:t>
      </w:r>
    </w:p>
    <w:p>
      <w:pPr>
        <w:tabs>
          <w:tab w:val="left" w:pos="2520"/>
        </w:tabs>
        <w:adjustRightInd w:val="0"/>
        <w:snapToGrid w:val="0"/>
        <w:spacing w:line="360" w:lineRule="auto"/>
        <w:rPr>
          <w:rFonts w:eastAsia="仿宋_GB2312"/>
          <w:sz w:val="32"/>
          <w:szCs w:val="32"/>
        </w:rPr>
      </w:pPr>
      <w:r>
        <w:rPr>
          <w:rFonts w:eastAsia="仿宋_GB2312"/>
          <w:b/>
          <w:bCs/>
          <w:sz w:val="32"/>
          <w:szCs w:val="32"/>
        </w:rPr>
        <w:t>注册房地产估价师</w:t>
      </w:r>
      <w:r>
        <w:rPr>
          <w:rFonts w:eastAsia="仿宋_GB2312"/>
          <w:sz w:val="32"/>
          <w:szCs w:val="32"/>
        </w:rPr>
        <w:t>：李  兰(注册号3619980023)</w:t>
      </w:r>
    </w:p>
    <w:p>
      <w:pPr>
        <w:tabs>
          <w:tab w:val="left" w:pos="2520"/>
        </w:tabs>
        <w:adjustRightInd w:val="0"/>
        <w:snapToGrid w:val="0"/>
        <w:spacing w:line="360" w:lineRule="auto"/>
        <w:ind w:firstLine="2880" w:firstLineChars="900"/>
        <w:rPr>
          <w:rFonts w:eastAsia="仿宋_GB2312"/>
          <w:sz w:val="32"/>
          <w:szCs w:val="32"/>
        </w:rPr>
      </w:pPr>
      <w:r>
        <w:rPr>
          <w:rFonts w:eastAsia="仿宋_GB2312"/>
          <w:sz w:val="32"/>
          <w:szCs w:val="32"/>
        </w:rPr>
        <w:t>李学群(注册号3619970010)</w:t>
      </w:r>
    </w:p>
    <w:p>
      <w:pPr>
        <w:tabs>
          <w:tab w:val="left" w:pos="540"/>
        </w:tabs>
        <w:snapToGrid w:val="0"/>
        <w:spacing w:line="360" w:lineRule="auto"/>
        <w:rPr>
          <w:rFonts w:hint="eastAsia" w:eastAsia="仿宋_GB2312"/>
          <w:sz w:val="32"/>
          <w:szCs w:val="32"/>
          <w:lang w:eastAsia="zh-CN"/>
        </w:rPr>
      </w:pPr>
      <w:r>
        <w:rPr>
          <w:rFonts w:eastAsia="仿宋_GB2312"/>
          <w:b/>
          <w:bCs/>
          <w:sz w:val="32"/>
          <w:szCs w:val="32"/>
        </w:rPr>
        <w:t>估价报告出具日期</w:t>
      </w:r>
      <w:r>
        <w:rPr>
          <w:rFonts w:eastAsia="仿宋_GB2312"/>
          <w:sz w:val="32"/>
          <w:szCs w:val="32"/>
        </w:rPr>
        <w:t>：</w:t>
      </w:r>
      <w:r>
        <w:rPr>
          <w:rFonts w:hint="eastAsia" w:eastAsia="仿宋_GB2312"/>
          <w:sz w:val="32"/>
          <w:szCs w:val="32"/>
          <w:lang w:eastAsia="zh-CN"/>
        </w:rPr>
        <w:t>二O二O年三月十二日</w:t>
      </w:r>
    </w:p>
    <w:p>
      <w:pPr>
        <w:adjustRightInd w:val="0"/>
        <w:snapToGrid w:val="0"/>
        <w:spacing w:before="100" w:line="360" w:lineRule="auto"/>
        <w:rPr>
          <w:rFonts w:eastAsia="仿宋_GB2312"/>
        </w:rPr>
        <w:sectPr>
          <w:headerReference r:id="rId3" w:type="default"/>
          <w:footerReference r:id="rId4" w:type="default"/>
          <w:pgSz w:w="11906" w:h="16838"/>
          <w:pgMar w:top="1814" w:right="1247" w:bottom="1418" w:left="1701" w:header="1417" w:footer="737" w:gutter="0"/>
          <w:cols w:space="720" w:num="1"/>
          <w:titlePg/>
          <w:docGrid w:linePitch="286" w:charSpace="0"/>
        </w:sectPr>
      </w:pPr>
    </w:p>
    <w:p>
      <w:pPr>
        <w:pStyle w:val="2"/>
        <w:spacing w:before="0" w:after="0" w:line="500" w:lineRule="exact"/>
        <w:jc w:val="center"/>
        <w:rPr>
          <w:rFonts w:eastAsia="仿宋_GB2312"/>
          <w:snapToGrid w:val="0"/>
          <w:kern w:val="0"/>
          <w:sz w:val="32"/>
          <w:szCs w:val="32"/>
        </w:rPr>
      </w:pPr>
      <w:bookmarkStart w:id="1" w:name="_Toc11935268"/>
      <w:bookmarkStart w:id="2" w:name="_Toc435178263"/>
      <w:bookmarkStart w:id="3" w:name="_Toc435604001"/>
      <w:bookmarkStart w:id="4" w:name="_Toc435111749"/>
      <w:bookmarkStart w:id="5" w:name="_Toc7014834"/>
      <w:bookmarkStart w:id="6" w:name="_Toc437251012"/>
      <w:bookmarkStart w:id="7" w:name="_Toc435110940"/>
      <w:bookmarkStart w:id="8" w:name="_Toc12612744"/>
      <w:bookmarkStart w:id="9" w:name="_Toc461131196"/>
      <w:bookmarkStart w:id="10" w:name="_Toc435110678"/>
      <w:bookmarkStart w:id="11" w:name="_Toc448735641"/>
      <w:bookmarkStart w:id="12" w:name="_Toc12870204"/>
      <w:bookmarkStart w:id="13" w:name="_Toc12612315"/>
      <w:r>
        <w:rPr>
          <w:rFonts w:eastAsia="仿宋_GB2312"/>
          <w:snapToGrid w:val="0"/>
          <w:kern w:val="0"/>
          <w:sz w:val="32"/>
          <w:szCs w:val="32"/>
        </w:rPr>
        <w:t>致估价委托人函</w:t>
      </w:r>
      <w:bookmarkEnd w:id="1"/>
      <w:bookmarkEnd w:id="2"/>
      <w:bookmarkEnd w:id="3"/>
      <w:bookmarkEnd w:id="4"/>
      <w:bookmarkEnd w:id="5"/>
      <w:bookmarkEnd w:id="6"/>
      <w:bookmarkEnd w:id="7"/>
      <w:bookmarkEnd w:id="8"/>
      <w:bookmarkEnd w:id="9"/>
      <w:bookmarkEnd w:id="10"/>
      <w:bookmarkEnd w:id="11"/>
      <w:bookmarkEnd w:id="12"/>
      <w:bookmarkEnd w:id="13"/>
    </w:p>
    <w:p>
      <w:pPr>
        <w:adjustRightInd w:val="0"/>
        <w:snapToGrid w:val="0"/>
        <w:spacing w:line="500" w:lineRule="exact"/>
        <w:jc w:val="left"/>
        <w:rPr>
          <w:rFonts w:eastAsia="仿宋_GB2312"/>
          <w:b/>
          <w:bCs/>
          <w:sz w:val="28"/>
          <w:szCs w:val="28"/>
        </w:rPr>
      </w:pPr>
      <w:r>
        <w:rPr>
          <w:rFonts w:eastAsia="仿宋_GB2312"/>
          <w:b/>
          <w:bCs/>
          <w:sz w:val="28"/>
          <w:szCs w:val="28"/>
        </w:rPr>
        <w:t>江西省九江市中级人民法院执行局：</w:t>
      </w:r>
    </w:p>
    <w:p>
      <w:pPr>
        <w:adjustRightInd w:val="0"/>
        <w:snapToGrid w:val="0"/>
        <w:spacing w:line="500" w:lineRule="exact"/>
        <w:ind w:firstLine="560" w:firstLineChars="200"/>
        <w:rPr>
          <w:rFonts w:eastAsia="仿宋_GB2312"/>
          <w:sz w:val="28"/>
          <w:szCs w:val="28"/>
        </w:rPr>
      </w:pPr>
      <w:r>
        <w:rPr>
          <w:rFonts w:eastAsia="仿宋_GB2312"/>
          <w:sz w:val="28"/>
          <w:szCs w:val="28"/>
        </w:rPr>
        <w:t>承蒙委托，我公司对位于九江市泰山路以东、浔阳西路以北海正绿城5幢十二处在建工程房地产建筑总</w:t>
      </w:r>
      <w:r>
        <w:rPr>
          <w:rFonts w:eastAsia="仿宋_GB2312"/>
          <w:caps/>
          <w:sz w:val="28"/>
          <w:szCs w:val="28"/>
        </w:rPr>
        <w:t>面积1371.84平方米房地产</w:t>
      </w:r>
      <w:r>
        <w:rPr>
          <w:rFonts w:eastAsia="仿宋_GB2312"/>
          <w:sz w:val="28"/>
          <w:szCs w:val="28"/>
        </w:rPr>
        <w:t>在规划利用条件下的房地产价值进行了估价，为委托方司法鉴定提供房地产市场价值参考。</w:t>
      </w:r>
    </w:p>
    <w:p>
      <w:pPr>
        <w:adjustRightInd w:val="0"/>
        <w:snapToGrid w:val="0"/>
        <w:spacing w:line="500" w:lineRule="exact"/>
        <w:ind w:firstLine="560" w:firstLineChars="200"/>
        <w:rPr>
          <w:rFonts w:eastAsia="仿宋_GB2312"/>
          <w:sz w:val="28"/>
          <w:szCs w:val="28"/>
        </w:rPr>
      </w:pPr>
      <w:r>
        <w:rPr>
          <w:rFonts w:eastAsia="仿宋_GB2312"/>
          <w:sz w:val="28"/>
          <w:szCs w:val="28"/>
        </w:rPr>
        <w:t>价值时点：</w:t>
      </w:r>
      <w:r>
        <w:rPr>
          <w:rFonts w:eastAsia="仿宋_GB2312"/>
          <w:caps/>
          <w:sz w:val="28"/>
          <w:szCs w:val="28"/>
        </w:rPr>
        <w:t>2020年1月10日</w:t>
      </w:r>
      <w:r>
        <w:rPr>
          <w:rFonts w:eastAsia="仿宋_GB2312"/>
          <w:sz w:val="28"/>
          <w:szCs w:val="28"/>
        </w:rPr>
        <w:t>。</w:t>
      </w:r>
    </w:p>
    <w:p>
      <w:pPr>
        <w:snapToGrid w:val="0"/>
        <w:spacing w:line="500" w:lineRule="exact"/>
        <w:ind w:firstLine="560" w:firstLineChars="200"/>
        <w:rPr>
          <w:rFonts w:eastAsia="仿宋_GB2312"/>
          <w:sz w:val="28"/>
          <w:szCs w:val="28"/>
        </w:rPr>
      </w:pPr>
      <w:r>
        <w:rPr>
          <w:rFonts w:eastAsia="仿宋_GB2312"/>
          <w:sz w:val="28"/>
          <w:szCs w:val="28"/>
        </w:rPr>
        <w:t>价值类型：市场价值。</w:t>
      </w:r>
    </w:p>
    <w:p>
      <w:pPr>
        <w:tabs>
          <w:tab w:val="left" w:pos="993"/>
        </w:tabs>
        <w:adjustRightInd w:val="0"/>
        <w:snapToGrid w:val="0"/>
        <w:spacing w:line="500" w:lineRule="exact"/>
        <w:ind w:firstLine="560" w:firstLineChars="200"/>
        <w:rPr>
          <w:rFonts w:eastAsia="仿宋_GB2312"/>
          <w:sz w:val="28"/>
          <w:szCs w:val="28"/>
        </w:rPr>
      </w:pPr>
      <w:r>
        <w:rPr>
          <w:rFonts w:eastAsia="仿宋_GB2312"/>
          <w:sz w:val="28"/>
          <w:szCs w:val="28"/>
        </w:rPr>
        <w:t>估价人员遵循各项估价原则，根据估价目的和国家有关房地产估价的规范、规定，按照估价程序，经过实地查勘与市场调查，选用假设开发法对估价对象进行了测算，确定估价对象在满足全部假设和限制条件下于价值时点2020年1月10日的估价结果为</w:t>
      </w:r>
      <w:r>
        <w:rPr>
          <w:rFonts w:eastAsia="仿宋_GB2312"/>
          <w:b/>
          <w:bCs/>
          <w:sz w:val="28"/>
          <w:szCs w:val="28"/>
        </w:rPr>
        <w:t>￥849.0316万元，</w:t>
      </w:r>
      <w:r>
        <w:rPr>
          <w:rFonts w:eastAsia="仿宋_GB2312"/>
          <w:sz w:val="28"/>
          <w:szCs w:val="28"/>
        </w:rPr>
        <w:t>人民币大写</w:t>
      </w:r>
      <w:r>
        <w:rPr>
          <w:rFonts w:eastAsia="仿宋_GB2312"/>
          <w:b/>
          <w:bCs/>
          <w:sz w:val="28"/>
          <w:szCs w:val="28"/>
        </w:rPr>
        <w:t>捌佰肆拾玖万零叁佰壹拾陆</w:t>
      </w:r>
      <w:r>
        <w:rPr>
          <w:rFonts w:eastAsia="仿宋_GB2312"/>
          <w:sz w:val="28"/>
          <w:szCs w:val="28"/>
        </w:rPr>
        <w:t>元整。</w:t>
      </w:r>
    </w:p>
    <w:p>
      <w:pPr>
        <w:spacing w:line="400" w:lineRule="exact"/>
        <w:ind w:left="420" w:right="17"/>
        <w:rPr>
          <w:rFonts w:eastAsia="仿宋_GB2312"/>
          <w:sz w:val="24"/>
          <w:szCs w:val="24"/>
        </w:rPr>
      </w:pPr>
    </w:p>
    <w:p>
      <w:pPr>
        <w:spacing w:line="400" w:lineRule="exact"/>
        <w:ind w:left="420" w:right="17"/>
        <w:rPr>
          <w:rFonts w:eastAsia="仿宋_GB2312"/>
          <w:sz w:val="24"/>
          <w:szCs w:val="24"/>
        </w:rPr>
      </w:pPr>
    </w:p>
    <w:p>
      <w:pPr>
        <w:spacing w:line="400" w:lineRule="exact"/>
        <w:ind w:left="420" w:right="17"/>
        <w:rPr>
          <w:rFonts w:eastAsia="仿宋_GB2312"/>
          <w:sz w:val="24"/>
          <w:szCs w:val="24"/>
        </w:rPr>
      </w:pPr>
    </w:p>
    <w:p>
      <w:pPr>
        <w:spacing w:line="400" w:lineRule="exact"/>
        <w:ind w:left="420" w:right="17"/>
        <w:rPr>
          <w:rFonts w:eastAsia="仿宋_GB2312"/>
          <w:sz w:val="24"/>
          <w:szCs w:val="24"/>
        </w:rPr>
      </w:pPr>
      <w:r>
        <w:rPr>
          <w:rFonts w:eastAsia="仿宋_GB2312"/>
          <w:sz w:val="24"/>
          <w:szCs w:val="24"/>
        </w:rPr>
        <w:t>特别提示：</w:t>
      </w:r>
    </w:p>
    <w:p>
      <w:pPr>
        <w:widowControl/>
        <w:adjustRightInd w:val="0"/>
        <w:snapToGrid w:val="0"/>
        <w:spacing w:line="360" w:lineRule="exact"/>
        <w:ind w:firstLine="357"/>
        <w:rPr>
          <w:rFonts w:eastAsia="仿宋_GB2312"/>
          <w:sz w:val="24"/>
          <w:szCs w:val="24"/>
        </w:rPr>
      </w:pPr>
      <w:r>
        <w:rPr>
          <w:rFonts w:eastAsia="仿宋_GB2312"/>
          <w:sz w:val="24"/>
          <w:szCs w:val="24"/>
        </w:rPr>
        <w:t>1、上述估价结果中不包含处置时的司法诉讼费用、拍卖佣金、过户税费及其他应付费用等。</w:t>
      </w:r>
    </w:p>
    <w:p>
      <w:pPr>
        <w:widowControl/>
        <w:adjustRightInd w:val="0"/>
        <w:snapToGrid w:val="0"/>
        <w:spacing w:line="360" w:lineRule="exact"/>
        <w:ind w:firstLine="357"/>
        <w:rPr>
          <w:rFonts w:eastAsia="仿宋_GB2312"/>
          <w:sz w:val="24"/>
          <w:szCs w:val="24"/>
        </w:rPr>
      </w:pPr>
      <w:r>
        <w:rPr>
          <w:rFonts w:eastAsia="仿宋_GB2312"/>
          <w:sz w:val="24"/>
          <w:szCs w:val="24"/>
        </w:rPr>
        <w:t>2、欲了解估价对象的权益状况、实物状况、区位状况等全面情况，请认真阅读估价报告书全文。本估价报告自出报告之日起一年内有效。</w:t>
      </w:r>
    </w:p>
    <w:p>
      <w:pPr>
        <w:snapToGrid w:val="0"/>
        <w:spacing w:line="500" w:lineRule="exact"/>
        <w:jc w:val="right"/>
        <w:rPr>
          <w:rFonts w:eastAsia="仿宋_GB2312"/>
          <w:sz w:val="28"/>
          <w:szCs w:val="28"/>
        </w:rPr>
      </w:pPr>
    </w:p>
    <w:p>
      <w:pPr>
        <w:snapToGrid w:val="0"/>
        <w:spacing w:line="500" w:lineRule="exact"/>
        <w:jc w:val="right"/>
        <w:rPr>
          <w:rFonts w:eastAsia="仿宋_GB2312"/>
          <w:sz w:val="28"/>
          <w:szCs w:val="28"/>
        </w:rPr>
      </w:pPr>
      <w:r>
        <w:rPr>
          <w:rFonts w:eastAsia="仿宋_GB2312"/>
          <w:sz w:val="28"/>
          <w:szCs w:val="28"/>
        </w:rPr>
        <w:t>江西天平房地产土地评估咨询有限公司</w:t>
      </w:r>
    </w:p>
    <w:p>
      <w:pPr>
        <w:snapToGrid w:val="0"/>
        <w:spacing w:line="500" w:lineRule="exact"/>
        <w:ind w:right="560" w:firstLine="5740" w:firstLineChars="2050"/>
        <w:rPr>
          <w:rFonts w:eastAsia="仿宋_GB2312"/>
          <w:sz w:val="28"/>
          <w:szCs w:val="28"/>
        </w:rPr>
      </w:pPr>
      <w:bookmarkStart w:id="14" w:name="_Toc383068120"/>
      <w:bookmarkStart w:id="15" w:name="_Toc382493601"/>
      <w:bookmarkStart w:id="16" w:name="_Toc384813569"/>
      <w:bookmarkStart w:id="17" w:name="_Toc155258955"/>
      <w:bookmarkStart w:id="18" w:name="_Toc387827680"/>
      <w:r>
        <w:rPr>
          <w:rFonts w:eastAsia="仿宋_GB2312"/>
          <w:sz w:val="28"/>
          <w:szCs w:val="28"/>
        </w:rPr>
        <w:t>法定代表人：</w:t>
      </w:r>
      <w:bookmarkEnd w:id="14"/>
      <w:bookmarkEnd w:id="15"/>
      <w:bookmarkEnd w:id="16"/>
      <w:bookmarkEnd w:id="17"/>
      <w:bookmarkEnd w:id="18"/>
      <w:r>
        <w:rPr>
          <w:rFonts w:eastAsia="仿宋_GB2312"/>
          <w:sz w:val="28"/>
          <w:szCs w:val="28"/>
        </w:rPr>
        <w:t>李兰</w:t>
      </w:r>
    </w:p>
    <w:p>
      <w:pPr>
        <w:snapToGrid w:val="0"/>
        <w:spacing w:line="500" w:lineRule="exact"/>
        <w:ind w:right="560"/>
        <w:jc w:val="right"/>
        <w:rPr>
          <w:rFonts w:hint="eastAsia" w:eastAsia="仿宋_GB2312"/>
          <w:sz w:val="28"/>
          <w:szCs w:val="28"/>
          <w:lang w:eastAsia="zh-CN"/>
        </w:rPr>
      </w:pPr>
      <w:r>
        <w:rPr>
          <w:rFonts w:hint="eastAsia" w:eastAsia="仿宋_GB2312"/>
          <w:sz w:val="28"/>
          <w:szCs w:val="28"/>
          <w:lang w:eastAsia="zh-CN"/>
        </w:rPr>
        <w:t>二O二O年三月十二日</w:t>
      </w:r>
    </w:p>
    <w:p>
      <w:pPr>
        <w:tabs>
          <w:tab w:val="left" w:pos="993"/>
        </w:tabs>
        <w:adjustRightInd w:val="0"/>
        <w:snapToGrid w:val="0"/>
        <w:spacing w:line="500" w:lineRule="exact"/>
        <w:ind w:firstLine="640" w:firstLineChars="200"/>
        <w:rPr>
          <w:rFonts w:eastAsia="仿宋_GB2312"/>
          <w:snapToGrid w:val="0"/>
          <w:kern w:val="0"/>
          <w:sz w:val="32"/>
          <w:szCs w:val="32"/>
        </w:rPr>
      </w:pPr>
    </w:p>
    <w:p>
      <w:pPr>
        <w:tabs>
          <w:tab w:val="left" w:pos="993"/>
        </w:tabs>
        <w:adjustRightInd w:val="0"/>
        <w:snapToGrid w:val="0"/>
        <w:spacing w:line="500" w:lineRule="exact"/>
        <w:ind w:firstLine="640" w:firstLineChars="200"/>
        <w:rPr>
          <w:rFonts w:eastAsia="仿宋_GB2312"/>
          <w:snapToGrid w:val="0"/>
          <w:kern w:val="0"/>
          <w:sz w:val="32"/>
          <w:szCs w:val="32"/>
        </w:rPr>
      </w:pPr>
    </w:p>
    <w:p>
      <w:pPr>
        <w:tabs>
          <w:tab w:val="left" w:pos="993"/>
        </w:tabs>
        <w:adjustRightInd w:val="0"/>
        <w:snapToGrid w:val="0"/>
        <w:spacing w:line="500" w:lineRule="exact"/>
        <w:ind w:firstLine="640" w:firstLineChars="200"/>
        <w:rPr>
          <w:rFonts w:eastAsia="仿宋_GB2312"/>
          <w:snapToGrid w:val="0"/>
          <w:kern w:val="0"/>
          <w:sz w:val="32"/>
          <w:szCs w:val="32"/>
        </w:rPr>
      </w:pPr>
    </w:p>
    <w:p>
      <w:pPr>
        <w:tabs>
          <w:tab w:val="left" w:pos="993"/>
        </w:tabs>
        <w:adjustRightInd w:val="0"/>
        <w:snapToGrid w:val="0"/>
        <w:spacing w:line="500" w:lineRule="exact"/>
        <w:rPr>
          <w:rFonts w:eastAsia="仿宋_GB2312"/>
          <w:snapToGrid w:val="0"/>
          <w:kern w:val="0"/>
          <w:sz w:val="32"/>
          <w:szCs w:val="32"/>
        </w:rPr>
        <w:sectPr>
          <w:pgSz w:w="11906" w:h="16838"/>
          <w:pgMar w:top="1814" w:right="1276" w:bottom="1418" w:left="1701" w:header="850" w:footer="850" w:gutter="0"/>
          <w:pgNumType w:start="1"/>
          <w:cols w:space="425" w:num="1"/>
          <w:docGrid w:linePitch="312" w:charSpace="0"/>
        </w:sectPr>
      </w:pPr>
    </w:p>
    <w:p>
      <w:pPr>
        <w:pStyle w:val="42"/>
        <w:adjustRightInd w:val="0"/>
        <w:snapToGrid w:val="0"/>
        <w:spacing w:before="0" w:beforeAutospacing="0" w:after="0" w:afterAutospacing="0" w:line="500" w:lineRule="exact"/>
        <w:jc w:val="center"/>
        <w:rPr>
          <w:rFonts w:ascii="Times New Roman" w:eastAsia="仿宋_GB2312" w:cs="Times New Roman"/>
          <w:b/>
          <w:bCs/>
          <w:kern w:val="2"/>
          <w:sz w:val="28"/>
          <w:szCs w:val="28"/>
        </w:rPr>
      </w:pPr>
      <w:r>
        <w:rPr>
          <w:rFonts w:ascii="Times New Roman" w:eastAsia="仿宋_GB2312" w:cs="Times New Roman"/>
          <w:b/>
          <w:bCs/>
          <w:kern w:val="2"/>
          <w:sz w:val="28"/>
          <w:szCs w:val="28"/>
        </w:rPr>
        <w:t>估价结果明细表</w:t>
      </w:r>
    </w:p>
    <w:tbl>
      <w:tblPr>
        <w:tblStyle w:val="50"/>
        <w:tblW w:w="13623" w:type="dxa"/>
        <w:tblInd w:w="0" w:type="dxa"/>
        <w:tblLayout w:type="fixed"/>
        <w:tblCellMar>
          <w:top w:w="15" w:type="dxa"/>
          <w:left w:w="15" w:type="dxa"/>
          <w:bottom w:w="15" w:type="dxa"/>
          <w:right w:w="15" w:type="dxa"/>
        </w:tblCellMar>
      </w:tblPr>
      <w:tblGrid>
        <w:gridCol w:w="614"/>
        <w:gridCol w:w="2662"/>
        <w:gridCol w:w="1701"/>
        <w:gridCol w:w="811"/>
        <w:gridCol w:w="2655"/>
        <w:gridCol w:w="1080"/>
        <w:gridCol w:w="900"/>
        <w:gridCol w:w="1125"/>
        <w:gridCol w:w="1083"/>
        <w:gridCol w:w="992"/>
      </w:tblGrid>
      <w:tr>
        <w:tblPrEx>
          <w:tblLayout w:type="fixed"/>
          <w:tblCellMar>
            <w:top w:w="15" w:type="dxa"/>
            <w:left w:w="15" w:type="dxa"/>
            <w:bottom w:w="15" w:type="dxa"/>
            <w:right w:w="15" w:type="dxa"/>
          </w:tblCellMar>
        </w:tblPrEx>
        <w:trPr>
          <w:trHeight w:val="4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序号</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坐落</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产权人</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类型</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房屋登记簿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评估楼层/总楼层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结构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建筑面积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评估单价（元/</w:t>
            </w:r>
            <w:r>
              <w:rPr>
                <w:color w:val="000000"/>
                <w:kern w:val="0"/>
                <w:sz w:val="22"/>
                <w:szCs w:val="22"/>
              </w:rPr>
              <w:t>㎡</w:t>
            </w:r>
            <w:r>
              <w:rPr>
                <w:rFonts w:eastAsia="仿宋_GB2312"/>
                <w:color w:val="000000"/>
                <w:kern w:val="0"/>
                <w:sz w:val="22"/>
                <w:szCs w:val="22"/>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评估总价(万元)</w:t>
            </w:r>
          </w:p>
        </w:tc>
      </w:tr>
      <w:tr>
        <w:tblPrEx>
          <w:tblLayout w:type="fixed"/>
          <w:tblCellMar>
            <w:top w:w="15" w:type="dxa"/>
            <w:left w:w="15" w:type="dxa"/>
            <w:bottom w:w="15" w:type="dxa"/>
            <w:right w:w="15" w:type="dxa"/>
          </w:tblCellMar>
        </w:tblPrEx>
        <w:trPr>
          <w:trHeight w:val="57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九江市泰山路以东、浔阳西路以北海正绿城5幢2805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房屋编号200001163733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28/33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97</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6189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60.0333</w:t>
            </w:r>
          </w:p>
        </w:tc>
      </w:tr>
      <w:tr>
        <w:tblPrEx>
          <w:tblLayout w:type="fixed"/>
          <w:tblCellMar>
            <w:top w:w="15" w:type="dxa"/>
            <w:left w:w="15" w:type="dxa"/>
            <w:bottom w:w="15" w:type="dxa"/>
            <w:right w:w="15" w:type="dxa"/>
          </w:tblCellMar>
        </w:tblPrEx>
        <w:trPr>
          <w:trHeight w:val="4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九江市泰山路以东、浔阳西路以北海正绿城5幢2804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房屋编号200001163732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28/33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6189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76.1123</w:t>
            </w:r>
          </w:p>
        </w:tc>
      </w:tr>
      <w:tr>
        <w:tblPrEx>
          <w:tblLayout w:type="fixed"/>
          <w:tblCellMar>
            <w:top w:w="15" w:type="dxa"/>
            <w:left w:w="15" w:type="dxa"/>
            <w:bottom w:w="15" w:type="dxa"/>
            <w:right w:w="15" w:type="dxa"/>
          </w:tblCellMar>
        </w:tblPrEx>
        <w:trPr>
          <w:trHeight w:val="4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3</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九江市泰山路以东、浔阳西路以北海正绿城5幢2404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房屋编号200001163633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24/33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6189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76.1123</w:t>
            </w:r>
          </w:p>
        </w:tc>
      </w:tr>
      <w:tr>
        <w:tblPrEx>
          <w:tblLayout w:type="fixed"/>
          <w:tblCellMar>
            <w:top w:w="15" w:type="dxa"/>
            <w:left w:w="15" w:type="dxa"/>
            <w:bottom w:w="15" w:type="dxa"/>
            <w:right w:w="15" w:type="dxa"/>
          </w:tblCellMar>
        </w:tblPrEx>
        <w:trPr>
          <w:trHeight w:val="4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九江市泰山路以东、浔阳西路以北海正绿城5幢2704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房屋编号200001163566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27/33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6189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76.1123</w:t>
            </w:r>
          </w:p>
        </w:tc>
      </w:tr>
      <w:tr>
        <w:tblPrEx>
          <w:tblLayout w:type="fixed"/>
          <w:tblCellMar>
            <w:top w:w="15" w:type="dxa"/>
            <w:left w:w="15" w:type="dxa"/>
            <w:bottom w:w="15" w:type="dxa"/>
            <w:right w:w="15" w:type="dxa"/>
          </w:tblCellMar>
        </w:tblPrEx>
        <w:trPr>
          <w:trHeight w:val="4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九江市泰山路以东、浔阳西路以北海正绿城5幢2703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房屋编号200001163565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27/33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6189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76.1123</w:t>
            </w:r>
          </w:p>
        </w:tc>
      </w:tr>
      <w:tr>
        <w:tblPrEx>
          <w:tblLayout w:type="fixed"/>
          <w:tblCellMar>
            <w:top w:w="15" w:type="dxa"/>
            <w:left w:w="15" w:type="dxa"/>
            <w:bottom w:w="15" w:type="dxa"/>
            <w:right w:w="15" w:type="dxa"/>
          </w:tblCellMar>
        </w:tblPrEx>
        <w:trPr>
          <w:trHeight w:val="4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九江市泰山路以东、浔阳西路以北海正绿城5幢1402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房屋编号200001163737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14/33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97</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6189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60.0333</w:t>
            </w:r>
          </w:p>
        </w:tc>
      </w:tr>
      <w:tr>
        <w:tblPrEx>
          <w:tblLayout w:type="fixed"/>
          <w:tblCellMar>
            <w:top w:w="15" w:type="dxa"/>
            <w:left w:w="15" w:type="dxa"/>
            <w:bottom w:w="15" w:type="dxa"/>
            <w:right w:w="15" w:type="dxa"/>
          </w:tblCellMar>
        </w:tblPrEx>
        <w:trPr>
          <w:trHeight w:val="4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九江市泰山路以东、浔阳西路以北海正绿城5幢1404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房屋编号200001163739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14/33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6189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76.1123</w:t>
            </w:r>
          </w:p>
        </w:tc>
      </w:tr>
      <w:tr>
        <w:tblPrEx>
          <w:tblLayout w:type="fixed"/>
          <w:tblCellMar>
            <w:top w:w="15" w:type="dxa"/>
            <w:left w:w="15" w:type="dxa"/>
            <w:bottom w:w="15" w:type="dxa"/>
            <w:right w:w="15" w:type="dxa"/>
          </w:tblCellMar>
        </w:tblPrEx>
        <w:trPr>
          <w:trHeight w:val="4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8</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九江市泰山路以东、浔阳西路以北海正绿城5幢3103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房屋编号200001163789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31/33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6189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76.1123</w:t>
            </w:r>
          </w:p>
        </w:tc>
      </w:tr>
      <w:tr>
        <w:tblPrEx>
          <w:tblLayout w:type="fixed"/>
          <w:tblCellMar>
            <w:top w:w="15" w:type="dxa"/>
            <w:left w:w="15" w:type="dxa"/>
            <w:bottom w:w="15" w:type="dxa"/>
            <w:right w:w="15" w:type="dxa"/>
          </w:tblCellMar>
        </w:tblPrEx>
        <w:trPr>
          <w:trHeight w:val="4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九江市泰山路以东、浔阳西路以北海正绿城5幢502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房屋编号200001163596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5/33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97</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6189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60.0333</w:t>
            </w:r>
          </w:p>
        </w:tc>
      </w:tr>
      <w:tr>
        <w:tblPrEx>
          <w:tblLayout w:type="fixed"/>
          <w:tblCellMar>
            <w:top w:w="15" w:type="dxa"/>
            <w:left w:w="15" w:type="dxa"/>
            <w:bottom w:w="15" w:type="dxa"/>
            <w:right w:w="15" w:type="dxa"/>
          </w:tblCellMar>
        </w:tblPrEx>
        <w:trPr>
          <w:trHeight w:val="4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九江市泰山路以东、浔阳西路以北海正绿城5幢3202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房屋编号200001163709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32/33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97</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6189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60.0333</w:t>
            </w:r>
          </w:p>
        </w:tc>
      </w:tr>
      <w:tr>
        <w:tblPrEx>
          <w:tblLayout w:type="fixed"/>
          <w:tblCellMar>
            <w:top w:w="15" w:type="dxa"/>
            <w:left w:w="15" w:type="dxa"/>
            <w:bottom w:w="15" w:type="dxa"/>
            <w:right w:w="15" w:type="dxa"/>
          </w:tblCellMar>
        </w:tblPrEx>
        <w:trPr>
          <w:trHeight w:val="4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九江市泰山路以东、浔阳西路以北海正绿城5幢2004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房屋编号200001163675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20/33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6189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76.1123</w:t>
            </w:r>
          </w:p>
        </w:tc>
      </w:tr>
      <w:tr>
        <w:tblPrEx>
          <w:tblLayout w:type="fixed"/>
          <w:tblCellMar>
            <w:top w:w="15" w:type="dxa"/>
            <w:left w:w="15" w:type="dxa"/>
            <w:bottom w:w="15" w:type="dxa"/>
            <w:right w:w="15" w:type="dxa"/>
          </w:tblCellMar>
        </w:tblPrEx>
        <w:trPr>
          <w:trHeight w:val="6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九江市泰山路以东、浔阳西路以北海正绿城5幢2003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房屋编号200001163674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20/33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6189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76.1123</w:t>
            </w:r>
          </w:p>
        </w:tc>
      </w:tr>
      <w:tr>
        <w:tblPrEx>
          <w:tblLayout w:type="fixed"/>
          <w:tblCellMar>
            <w:top w:w="15" w:type="dxa"/>
            <w:left w:w="15" w:type="dxa"/>
            <w:bottom w:w="15" w:type="dxa"/>
            <w:right w:w="15" w:type="dxa"/>
          </w:tblCellMar>
        </w:tblPrEx>
        <w:trPr>
          <w:trHeight w:val="286" w:hRule="atLeast"/>
        </w:trPr>
        <w:tc>
          <w:tcPr>
            <w:tcW w:w="1042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合计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1371.84</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849.0316</w:t>
            </w:r>
          </w:p>
        </w:tc>
      </w:tr>
    </w:tbl>
    <w:p>
      <w:pPr>
        <w:tabs>
          <w:tab w:val="left" w:pos="993"/>
        </w:tabs>
        <w:adjustRightInd w:val="0"/>
        <w:snapToGrid w:val="0"/>
        <w:spacing w:line="500" w:lineRule="exact"/>
        <w:ind w:firstLine="640" w:firstLineChars="200"/>
        <w:rPr>
          <w:rFonts w:eastAsia="仿宋_GB2312"/>
          <w:snapToGrid w:val="0"/>
          <w:kern w:val="0"/>
          <w:sz w:val="32"/>
          <w:szCs w:val="32"/>
        </w:rPr>
        <w:sectPr>
          <w:pgSz w:w="16838" w:h="11906" w:orient="landscape"/>
          <w:pgMar w:top="1701" w:right="1814" w:bottom="1276" w:left="1418" w:header="850" w:footer="850" w:gutter="0"/>
          <w:pgNumType w:start="1"/>
          <w:cols w:space="425" w:num="1"/>
          <w:docGrid w:linePitch="312" w:charSpace="0"/>
        </w:sectPr>
      </w:pPr>
    </w:p>
    <w:p>
      <w:pPr>
        <w:pStyle w:val="142"/>
        <w:spacing w:before="0" w:line="440" w:lineRule="exact"/>
        <w:jc w:val="center"/>
        <w:rPr>
          <w:rFonts w:ascii="Times New Roman" w:hAnsi="Times New Roman" w:eastAsia="仿宋_GB2312" w:cs="Times New Roman"/>
        </w:rPr>
      </w:pPr>
      <w:bookmarkStart w:id="19" w:name="_Toc435110679"/>
      <w:bookmarkStart w:id="20" w:name="_Toc297122050"/>
      <w:bookmarkStart w:id="21" w:name="_Toc297196345"/>
      <w:bookmarkStart w:id="22" w:name="_Toc301369710"/>
      <w:bookmarkStart w:id="23" w:name="_Toc367869492"/>
      <w:r>
        <w:rPr>
          <w:rFonts w:ascii="Times New Roman" w:hAnsi="Times New Roman" w:eastAsia="仿宋_GB2312" w:cs="Times New Roman"/>
          <w:color w:val="auto"/>
          <w:sz w:val="32"/>
          <w:szCs w:val="32"/>
          <w:lang w:val="zh-CN"/>
        </w:rPr>
        <w:t>目 录</w:t>
      </w:r>
      <w:r>
        <w:rPr>
          <w:rFonts w:ascii="Times New Roman" w:hAnsi="Times New Roman" w:eastAsia="仿宋_GB2312" w:cs="Times New Roman"/>
          <w:b w:val="0"/>
          <w:bCs w:val="0"/>
          <w:color w:val="auto"/>
        </w:rPr>
        <w:fldChar w:fldCharType="begin"/>
      </w:r>
      <w:r>
        <w:rPr>
          <w:rFonts w:ascii="Times New Roman" w:hAnsi="Times New Roman" w:eastAsia="仿宋_GB2312" w:cs="Times New Roman"/>
          <w:b w:val="0"/>
          <w:bCs w:val="0"/>
          <w:color w:val="auto"/>
        </w:rPr>
        <w:instrText xml:space="preserve"> TOC \o "1-3" \h \z \u </w:instrText>
      </w:r>
      <w:r>
        <w:rPr>
          <w:rFonts w:ascii="Times New Roman" w:hAnsi="Times New Roman" w:eastAsia="仿宋_GB2312" w:cs="Times New Roman"/>
          <w:b w:val="0"/>
          <w:bCs w:val="0"/>
          <w:color w:val="auto"/>
        </w:rPr>
        <w:fldChar w:fldCharType="separate"/>
      </w:r>
    </w:p>
    <w:p>
      <w:pPr>
        <w:pStyle w:val="30"/>
        <w:spacing w:line="500" w:lineRule="exact"/>
        <w:rPr>
          <w:b w:val="0"/>
          <w:bCs w:val="0"/>
          <w:spacing w:val="0"/>
          <w:kern w:val="2"/>
          <w:sz w:val="28"/>
          <w:szCs w:val="28"/>
        </w:rPr>
      </w:pPr>
      <w:r>
        <w:fldChar w:fldCharType="begin"/>
      </w:r>
      <w:r>
        <w:instrText xml:space="preserve"> HYPERLINK \l "_Toc12870205" </w:instrText>
      </w:r>
      <w:r>
        <w:fldChar w:fldCharType="separate"/>
      </w:r>
      <w:r>
        <w:rPr>
          <w:rStyle w:val="48"/>
          <w:b w:val="0"/>
          <w:sz w:val="28"/>
          <w:szCs w:val="28"/>
        </w:rPr>
        <w:t>一、估价师声明</w:t>
      </w:r>
      <w:r>
        <w:rPr>
          <w:b w:val="0"/>
          <w:sz w:val="28"/>
          <w:szCs w:val="28"/>
        </w:rPr>
        <w:tab/>
      </w:r>
      <w:r>
        <w:rPr>
          <w:b w:val="0"/>
          <w:sz w:val="28"/>
          <w:szCs w:val="28"/>
        </w:rPr>
        <w:fldChar w:fldCharType="begin"/>
      </w:r>
      <w:r>
        <w:rPr>
          <w:b w:val="0"/>
          <w:sz w:val="28"/>
          <w:szCs w:val="28"/>
        </w:rPr>
        <w:instrText xml:space="preserve"> PAGEREF _Toc12870205 \h </w:instrText>
      </w:r>
      <w:r>
        <w:rPr>
          <w:b w:val="0"/>
          <w:sz w:val="28"/>
          <w:szCs w:val="28"/>
        </w:rPr>
        <w:fldChar w:fldCharType="separate"/>
      </w:r>
      <w:r>
        <w:rPr>
          <w:b w:val="0"/>
          <w:sz w:val="28"/>
          <w:szCs w:val="28"/>
        </w:rPr>
        <w:t>1</w:t>
      </w:r>
      <w:r>
        <w:rPr>
          <w:b w:val="0"/>
          <w:sz w:val="28"/>
          <w:szCs w:val="28"/>
        </w:rPr>
        <w:fldChar w:fldCharType="end"/>
      </w:r>
      <w:r>
        <w:rPr>
          <w:b w:val="0"/>
          <w:sz w:val="28"/>
          <w:szCs w:val="28"/>
        </w:rPr>
        <w:fldChar w:fldCharType="end"/>
      </w:r>
    </w:p>
    <w:p>
      <w:pPr>
        <w:pStyle w:val="30"/>
        <w:spacing w:line="500" w:lineRule="exact"/>
        <w:rPr>
          <w:b w:val="0"/>
          <w:bCs w:val="0"/>
          <w:spacing w:val="0"/>
          <w:kern w:val="2"/>
          <w:sz w:val="28"/>
          <w:szCs w:val="28"/>
        </w:rPr>
      </w:pPr>
      <w:r>
        <w:fldChar w:fldCharType="begin"/>
      </w:r>
      <w:r>
        <w:instrText xml:space="preserve"> HYPERLINK \l "_Toc12870206" </w:instrText>
      </w:r>
      <w:r>
        <w:fldChar w:fldCharType="separate"/>
      </w:r>
      <w:r>
        <w:rPr>
          <w:rStyle w:val="48"/>
          <w:b w:val="0"/>
          <w:snapToGrid w:val="0"/>
          <w:sz w:val="28"/>
          <w:szCs w:val="28"/>
        </w:rPr>
        <w:t>二、估价假设和限制条件</w:t>
      </w:r>
      <w:r>
        <w:rPr>
          <w:b w:val="0"/>
          <w:sz w:val="28"/>
          <w:szCs w:val="28"/>
        </w:rPr>
        <w:tab/>
      </w:r>
      <w:r>
        <w:rPr>
          <w:b w:val="0"/>
          <w:sz w:val="28"/>
          <w:szCs w:val="28"/>
        </w:rPr>
        <w:fldChar w:fldCharType="begin"/>
      </w:r>
      <w:r>
        <w:rPr>
          <w:b w:val="0"/>
          <w:sz w:val="28"/>
          <w:szCs w:val="28"/>
        </w:rPr>
        <w:instrText xml:space="preserve"> PAGEREF _Toc12870206 \h </w:instrText>
      </w:r>
      <w:r>
        <w:rPr>
          <w:b w:val="0"/>
          <w:sz w:val="28"/>
          <w:szCs w:val="28"/>
        </w:rPr>
        <w:fldChar w:fldCharType="separate"/>
      </w:r>
      <w:r>
        <w:rPr>
          <w:b w:val="0"/>
          <w:sz w:val="28"/>
          <w:szCs w:val="28"/>
        </w:rPr>
        <w:t>2</w:t>
      </w:r>
      <w:r>
        <w:rPr>
          <w:b w:val="0"/>
          <w:sz w:val="28"/>
          <w:szCs w:val="28"/>
        </w:rPr>
        <w:fldChar w:fldCharType="end"/>
      </w:r>
      <w:r>
        <w:rPr>
          <w:b w:val="0"/>
          <w:sz w:val="28"/>
          <w:szCs w:val="28"/>
        </w:rPr>
        <w:fldChar w:fldCharType="end"/>
      </w:r>
    </w:p>
    <w:p>
      <w:pPr>
        <w:pStyle w:val="30"/>
        <w:spacing w:line="500" w:lineRule="exact"/>
        <w:rPr>
          <w:b w:val="0"/>
          <w:bCs w:val="0"/>
          <w:spacing w:val="0"/>
          <w:kern w:val="2"/>
          <w:sz w:val="28"/>
          <w:szCs w:val="28"/>
        </w:rPr>
      </w:pPr>
      <w:r>
        <w:fldChar w:fldCharType="begin"/>
      </w:r>
      <w:r>
        <w:instrText xml:space="preserve"> HYPERLINK \l "_Toc12870207" </w:instrText>
      </w:r>
      <w:r>
        <w:fldChar w:fldCharType="separate"/>
      </w:r>
      <w:r>
        <w:rPr>
          <w:rStyle w:val="48"/>
          <w:b w:val="0"/>
          <w:snapToGrid w:val="0"/>
          <w:sz w:val="28"/>
          <w:szCs w:val="28"/>
        </w:rPr>
        <w:t>三、估价结果报告</w:t>
      </w:r>
      <w:r>
        <w:rPr>
          <w:b w:val="0"/>
          <w:sz w:val="28"/>
          <w:szCs w:val="28"/>
        </w:rPr>
        <w:tab/>
      </w:r>
      <w:r>
        <w:rPr>
          <w:b w:val="0"/>
          <w:sz w:val="28"/>
          <w:szCs w:val="28"/>
        </w:rPr>
        <w:fldChar w:fldCharType="begin"/>
      </w:r>
      <w:r>
        <w:rPr>
          <w:b w:val="0"/>
          <w:sz w:val="28"/>
          <w:szCs w:val="28"/>
        </w:rPr>
        <w:instrText xml:space="preserve"> PAGEREF _Toc12870207 \h </w:instrText>
      </w:r>
      <w:r>
        <w:rPr>
          <w:b w:val="0"/>
          <w:sz w:val="28"/>
          <w:szCs w:val="28"/>
        </w:rPr>
        <w:fldChar w:fldCharType="separate"/>
      </w:r>
      <w:r>
        <w:rPr>
          <w:b w:val="0"/>
          <w:sz w:val="28"/>
          <w:szCs w:val="28"/>
        </w:rPr>
        <w:t>4</w:t>
      </w:r>
      <w:r>
        <w:rPr>
          <w:b w:val="0"/>
          <w:sz w:val="28"/>
          <w:szCs w:val="28"/>
        </w:rPr>
        <w:fldChar w:fldCharType="end"/>
      </w:r>
      <w:r>
        <w:rPr>
          <w:b w:val="0"/>
          <w:sz w:val="28"/>
          <w:szCs w:val="28"/>
        </w:rPr>
        <w:fldChar w:fldCharType="end"/>
      </w:r>
    </w:p>
    <w:p>
      <w:pPr>
        <w:pStyle w:val="40"/>
        <w:rPr>
          <w:rFonts w:ascii="Times New Roman" w:hAnsi="Times New Roman" w:eastAsia="仿宋_GB2312" w:cs="Times New Roman"/>
          <w:sz w:val="28"/>
          <w:szCs w:val="28"/>
        </w:rPr>
      </w:pPr>
      <w:r>
        <w:fldChar w:fldCharType="begin"/>
      </w:r>
      <w:r>
        <w:instrText xml:space="preserve"> HYPERLINK \l "_Toc12870208" </w:instrText>
      </w:r>
      <w:r>
        <w:fldChar w:fldCharType="separate"/>
      </w:r>
      <w:r>
        <w:rPr>
          <w:rStyle w:val="48"/>
          <w:rFonts w:ascii="Times New Roman" w:hAnsi="Times New Roman" w:eastAsia="仿宋_GB2312" w:cs="Times New Roman"/>
          <w:sz w:val="28"/>
          <w:szCs w:val="28"/>
        </w:rPr>
        <w:t>（一）估价委托人</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_Toc12870208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4</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40"/>
        <w:rPr>
          <w:rFonts w:ascii="Times New Roman" w:hAnsi="Times New Roman" w:eastAsia="仿宋_GB2312" w:cs="Times New Roman"/>
          <w:sz w:val="28"/>
          <w:szCs w:val="28"/>
        </w:rPr>
      </w:pPr>
      <w:r>
        <w:fldChar w:fldCharType="begin"/>
      </w:r>
      <w:r>
        <w:instrText xml:space="preserve"> HYPERLINK \l "_Toc12870209" </w:instrText>
      </w:r>
      <w:r>
        <w:fldChar w:fldCharType="separate"/>
      </w:r>
      <w:r>
        <w:rPr>
          <w:rStyle w:val="48"/>
          <w:rFonts w:ascii="Times New Roman" w:hAnsi="Times New Roman" w:eastAsia="仿宋_GB2312" w:cs="Times New Roman"/>
          <w:sz w:val="28"/>
          <w:szCs w:val="28"/>
        </w:rPr>
        <w:t>（二）房地产估价机构</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_Toc12870209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4</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40"/>
        <w:rPr>
          <w:rFonts w:ascii="Times New Roman" w:hAnsi="Times New Roman" w:eastAsia="仿宋_GB2312" w:cs="Times New Roman"/>
          <w:sz w:val="28"/>
          <w:szCs w:val="28"/>
        </w:rPr>
      </w:pPr>
      <w:r>
        <w:fldChar w:fldCharType="begin"/>
      </w:r>
      <w:r>
        <w:instrText xml:space="preserve"> HYPERLINK \l "_Toc12870210" </w:instrText>
      </w:r>
      <w:r>
        <w:fldChar w:fldCharType="separate"/>
      </w:r>
      <w:r>
        <w:rPr>
          <w:rStyle w:val="48"/>
          <w:rFonts w:ascii="Times New Roman" w:hAnsi="Times New Roman" w:eastAsia="仿宋_GB2312" w:cs="Times New Roman"/>
          <w:sz w:val="28"/>
          <w:szCs w:val="28"/>
        </w:rPr>
        <w:t>（三）估价目的</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_Toc12870210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4</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40"/>
        <w:rPr>
          <w:rFonts w:ascii="Times New Roman" w:hAnsi="Times New Roman" w:eastAsia="仿宋_GB2312" w:cs="Times New Roman"/>
          <w:sz w:val="28"/>
          <w:szCs w:val="28"/>
        </w:rPr>
      </w:pPr>
      <w:r>
        <w:fldChar w:fldCharType="begin"/>
      </w:r>
      <w:r>
        <w:instrText xml:space="preserve"> HYPERLINK \l "_Toc12870211" </w:instrText>
      </w:r>
      <w:r>
        <w:fldChar w:fldCharType="separate"/>
      </w:r>
      <w:r>
        <w:rPr>
          <w:rStyle w:val="48"/>
          <w:rFonts w:ascii="Times New Roman" w:hAnsi="Times New Roman" w:eastAsia="仿宋_GB2312" w:cs="Times New Roman"/>
          <w:sz w:val="28"/>
          <w:szCs w:val="28"/>
        </w:rPr>
        <w:t>（四）估价对象</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_Toc12870211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4</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40"/>
        <w:rPr>
          <w:rFonts w:ascii="Times New Roman" w:hAnsi="Times New Roman" w:eastAsia="仿宋_GB2312" w:cs="Times New Roman"/>
          <w:sz w:val="28"/>
          <w:szCs w:val="28"/>
        </w:rPr>
      </w:pPr>
      <w:r>
        <w:fldChar w:fldCharType="begin"/>
      </w:r>
      <w:r>
        <w:instrText xml:space="preserve"> HYPERLINK \l "_Toc12870212" </w:instrText>
      </w:r>
      <w:r>
        <w:fldChar w:fldCharType="separate"/>
      </w:r>
      <w:r>
        <w:rPr>
          <w:rStyle w:val="48"/>
          <w:rFonts w:ascii="Times New Roman" w:hAnsi="Times New Roman" w:eastAsia="仿宋_GB2312" w:cs="Times New Roman"/>
          <w:sz w:val="28"/>
          <w:szCs w:val="28"/>
        </w:rPr>
        <w:t>（五）价值时点</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_Toc12870212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40"/>
        <w:rPr>
          <w:rFonts w:ascii="Times New Roman" w:hAnsi="Times New Roman" w:eastAsia="仿宋_GB2312" w:cs="Times New Roman"/>
          <w:sz w:val="28"/>
          <w:szCs w:val="28"/>
        </w:rPr>
      </w:pPr>
      <w:r>
        <w:fldChar w:fldCharType="begin"/>
      </w:r>
      <w:r>
        <w:instrText xml:space="preserve"> HYPERLINK \l "_Toc12870213" </w:instrText>
      </w:r>
      <w:r>
        <w:fldChar w:fldCharType="separate"/>
      </w:r>
      <w:r>
        <w:rPr>
          <w:rStyle w:val="48"/>
          <w:rFonts w:ascii="Times New Roman" w:hAnsi="Times New Roman" w:eastAsia="仿宋_GB2312" w:cs="Times New Roman"/>
          <w:sz w:val="28"/>
          <w:szCs w:val="28"/>
        </w:rPr>
        <w:t>（六）价值类型</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_Toc12870213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40"/>
        <w:rPr>
          <w:rFonts w:ascii="Times New Roman" w:hAnsi="Times New Roman" w:eastAsia="仿宋_GB2312" w:cs="Times New Roman"/>
          <w:sz w:val="28"/>
          <w:szCs w:val="28"/>
        </w:rPr>
      </w:pPr>
      <w:r>
        <w:fldChar w:fldCharType="begin"/>
      </w:r>
      <w:r>
        <w:instrText xml:space="preserve"> HYPERLINK \l "_Toc12870214" </w:instrText>
      </w:r>
      <w:r>
        <w:fldChar w:fldCharType="separate"/>
      </w:r>
      <w:r>
        <w:rPr>
          <w:rStyle w:val="48"/>
          <w:rFonts w:ascii="Times New Roman" w:hAnsi="Times New Roman" w:eastAsia="仿宋_GB2312" w:cs="Times New Roman"/>
          <w:sz w:val="28"/>
          <w:szCs w:val="28"/>
        </w:rPr>
        <w:t>（七）估价原则</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_Toc12870214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40"/>
        <w:rPr>
          <w:rFonts w:ascii="Times New Roman" w:hAnsi="Times New Roman" w:eastAsia="仿宋_GB2312" w:cs="Times New Roman"/>
          <w:sz w:val="28"/>
          <w:szCs w:val="28"/>
        </w:rPr>
      </w:pPr>
      <w:r>
        <w:fldChar w:fldCharType="begin"/>
      </w:r>
      <w:r>
        <w:instrText xml:space="preserve"> HYPERLINK \l "_Toc12870215" </w:instrText>
      </w:r>
      <w:r>
        <w:fldChar w:fldCharType="separate"/>
      </w:r>
      <w:r>
        <w:rPr>
          <w:rStyle w:val="48"/>
          <w:rFonts w:ascii="Times New Roman" w:hAnsi="Times New Roman" w:eastAsia="仿宋_GB2312" w:cs="Times New Roman"/>
          <w:sz w:val="28"/>
          <w:szCs w:val="28"/>
        </w:rPr>
        <w:t>（八）估价依据</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_Toc12870215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40"/>
        <w:rPr>
          <w:rFonts w:ascii="Times New Roman" w:hAnsi="Times New Roman" w:eastAsia="仿宋_GB2312" w:cs="Times New Roman"/>
          <w:sz w:val="28"/>
          <w:szCs w:val="28"/>
        </w:rPr>
      </w:pPr>
      <w:r>
        <w:fldChar w:fldCharType="begin"/>
      </w:r>
      <w:r>
        <w:instrText xml:space="preserve"> HYPERLINK \l "_Toc12870216" </w:instrText>
      </w:r>
      <w:r>
        <w:fldChar w:fldCharType="separate"/>
      </w:r>
      <w:r>
        <w:rPr>
          <w:rStyle w:val="48"/>
          <w:rFonts w:ascii="Times New Roman" w:hAnsi="Times New Roman" w:eastAsia="仿宋_GB2312" w:cs="Times New Roman"/>
          <w:bCs/>
          <w:sz w:val="28"/>
          <w:szCs w:val="28"/>
        </w:rPr>
        <w:t>（九）估价方法</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_Toc12870216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8</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40"/>
        <w:rPr>
          <w:rFonts w:ascii="Times New Roman" w:hAnsi="Times New Roman" w:eastAsia="仿宋_GB2312" w:cs="Times New Roman"/>
          <w:sz w:val="28"/>
          <w:szCs w:val="28"/>
        </w:rPr>
      </w:pPr>
      <w:r>
        <w:fldChar w:fldCharType="begin"/>
      </w:r>
      <w:r>
        <w:instrText xml:space="preserve"> HYPERLINK \l "_Toc12870217" </w:instrText>
      </w:r>
      <w:r>
        <w:fldChar w:fldCharType="separate"/>
      </w:r>
      <w:r>
        <w:rPr>
          <w:rStyle w:val="48"/>
          <w:rFonts w:ascii="Times New Roman" w:hAnsi="Times New Roman" w:eastAsia="仿宋_GB2312" w:cs="Times New Roman"/>
          <w:sz w:val="28"/>
          <w:szCs w:val="28"/>
        </w:rPr>
        <w:t>（十）估价结果</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_Toc12870217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9</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40"/>
        <w:rPr>
          <w:rFonts w:ascii="Times New Roman" w:hAnsi="Times New Roman" w:eastAsia="仿宋_GB2312" w:cs="Times New Roman"/>
          <w:sz w:val="28"/>
          <w:szCs w:val="28"/>
        </w:rPr>
      </w:pPr>
      <w:r>
        <w:fldChar w:fldCharType="begin"/>
      </w:r>
      <w:r>
        <w:instrText xml:space="preserve"> HYPERLINK \l "_Toc12870218" </w:instrText>
      </w:r>
      <w:r>
        <w:fldChar w:fldCharType="separate"/>
      </w:r>
      <w:r>
        <w:rPr>
          <w:rStyle w:val="48"/>
          <w:rFonts w:ascii="Times New Roman" w:hAnsi="Times New Roman" w:eastAsia="仿宋_GB2312" w:cs="Times New Roman"/>
          <w:sz w:val="28"/>
          <w:szCs w:val="28"/>
        </w:rPr>
        <w:t>（十一）注册房地产估价师</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_Toc12870218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10</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40"/>
        <w:rPr>
          <w:rFonts w:ascii="Times New Roman" w:hAnsi="Times New Roman" w:eastAsia="仿宋_GB2312" w:cs="Times New Roman"/>
          <w:sz w:val="28"/>
          <w:szCs w:val="28"/>
        </w:rPr>
      </w:pPr>
      <w:r>
        <w:fldChar w:fldCharType="begin"/>
      </w:r>
      <w:r>
        <w:instrText xml:space="preserve"> HYPERLINK \l "_Toc12870219" </w:instrText>
      </w:r>
      <w:r>
        <w:fldChar w:fldCharType="separate"/>
      </w:r>
      <w:r>
        <w:rPr>
          <w:rStyle w:val="48"/>
          <w:rFonts w:ascii="Times New Roman" w:hAnsi="Times New Roman" w:eastAsia="仿宋_GB2312" w:cs="Times New Roman"/>
          <w:sz w:val="28"/>
          <w:szCs w:val="28"/>
        </w:rPr>
        <w:t>（十二）实地查勘期</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_Toc12870219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10</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40"/>
        <w:rPr>
          <w:rFonts w:ascii="Times New Roman" w:hAnsi="Times New Roman" w:eastAsia="仿宋_GB2312" w:cs="Times New Roman"/>
          <w:sz w:val="28"/>
          <w:szCs w:val="28"/>
        </w:rPr>
      </w:pPr>
      <w:r>
        <w:fldChar w:fldCharType="begin"/>
      </w:r>
      <w:r>
        <w:instrText xml:space="preserve"> HYPERLINK \l "_Toc12870220" </w:instrText>
      </w:r>
      <w:r>
        <w:fldChar w:fldCharType="separate"/>
      </w:r>
      <w:r>
        <w:rPr>
          <w:rStyle w:val="48"/>
          <w:rFonts w:ascii="Times New Roman" w:hAnsi="Times New Roman" w:eastAsia="仿宋_GB2312" w:cs="Times New Roman"/>
          <w:sz w:val="28"/>
          <w:szCs w:val="28"/>
        </w:rPr>
        <w:t>（十三）估价作业期</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_Toc12870220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10</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30"/>
        <w:spacing w:line="500" w:lineRule="exact"/>
        <w:rPr>
          <w:b w:val="0"/>
          <w:bCs w:val="0"/>
          <w:spacing w:val="0"/>
          <w:kern w:val="2"/>
          <w:sz w:val="28"/>
          <w:szCs w:val="28"/>
        </w:rPr>
      </w:pPr>
      <w:r>
        <w:fldChar w:fldCharType="begin"/>
      </w:r>
      <w:r>
        <w:instrText xml:space="preserve"> HYPERLINK \l "_Toc12870221" </w:instrText>
      </w:r>
      <w:r>
        <w:fldChar w:fldCharType="separate"/>
      </w:r>
      <w:r>
        <w:rPr>
          <w:rStyle w:val="48"/>
          <w:b w:val="0"/>
          <w:snapToGrid w:val="0"/>
          <w:spacing w:val="60"/>
          <w:sz w:val="28"/>
          <w:szCs w:val="28"/>
        </w:rPr>
        <w:t>四、附件</w:t>
      </w:r>
      <w:r>
        <w:rPr>
          <w:b w:val="0"/>
          <w:sz w:val="28"/>
          <w:szCs w:val="28"/>
        </w:rPr>
        <w:tab/>
      </w:r>
      <w:r>
        <w:rPr>
          <w:b w:val="0"/>
          <w:sz w:val="28"/>
          <w:szCs w:val="28"/>
        </w:rPr>
        <w:fldChar w:fldCharType="begin"/>
      </w:r>
      <w:r>
        <w:rPr>
          <w:b w:val="0"/>
          <w:sz w:val="28"/>
          <w:szCs w:val="28"/>
        </w:rPr>
        <w:instrText xml:space="preserve"> PAGEREF _Toc12870221 \h </w:instrText>
      </w:r>
      <w:r>
        <w:rPr>
          <w:b w:val="0"/>
          <w:sz w:val="28"/>
          <w:szCs w:val="28"/>
        </w:rPr>
        <w:fldChar w:fldCharType="separate"/>
      </w:r>
      <w:r>
        <w:rPr>
          <w:b w:val="0"/>
          <w:sz w:val="28"/>
          <w:szCs w:val="28"/>
        </w:rPr>
        <w:t>11</w:t>
      </w:r>
      <w:r>
        <w:rPr>
          <w:b w:val="0"/>
          <w:sz w:val="28"/>
          <w:szCs w:val="28"/>
        </w:rPr>
        <w:fldChar w:fldCharType="end"/>
      </w:r>
      <w:r>
        <w:rPr>
          <w:b w:val="0"/>
          <w:sz w:val="28"/>
          <w:szCs w:val="28"/>
        </w:rPr>
        <w:fldChar w:fldCharType="end"/>
      </w:r>
    </w:p>
    <w:p>
      <w:pPr>
        <w:pStyle w:val="30"/>
        <w:spacing w:line="400" w:lineRule="exact"/>
        <w:rPr>
          <w:sz w:val="28"/>
          <w:szCs w:val="28"/>
        </w:rPr>
        <w:sectPr>
          <w:footerReference r:id="rId5" w:type="default"/>
          <w:pgSz w:w="11906" w:h="16838"/>
          <w:pgMar w:top="1814" w:right="1247" w:bottom="1418" w:left="1701" w:header="850" w:footer="850" w:gutter="0"/>
          <w:cols w:space="720" w:num="1"/>
          <w:docGrid w:linePitch="286" w:charSpace="0"/>
        </w:sectPr>
      </w:pPr>
      <w:r>
        <w:rPr>
          <w:b w:val="0"/>
          <w:bCs w:val="0"/>
        </w:rPr>
        <w:fldChar w:fldCharType="end"/>
      </w:r>
    </w:p>
    <w:p>
      <w:pPr>
        <w:pStyle w:val="30"/>
        <w:spacing w:line="500" w:lineRule="exact"/>
      </w:pPr>
      <w:bookmarkStart w:id="24" w:name="_Toc12870205"/>
      <w:r>
        <w:t>一、估价师声明</w:t>
      </w:r>
      <w:bookmarkEnd w:id="19"/>
      <w:bookmarkEnd w:id="20"/>
      <w:bookmarkEnd w:id="21"/>
      <w:bookmarkEnd w:id="22"/>
      <w:bookmarkEnd w:id="23"/>
      <w:bookmarkEnd w:id="24"/>
    </w:p>
    <w:p>
      <w:pPr>
        <w:spacing w:line="500" w:lineRule="exact"/>
        <w:rPr>
          <w:rFonts w:eastAsia="仿宋_GB2312"/>
          <w:b/>
          <w:bCs/>
          <w:sz w:val="28"/>
          <w:szCs w:val="28"/>
        </w:rPr>
      </w:pPr>
      <w:bookmarkStart w:id="25" w:name="_Toc362509711"/>
      <w:r>
        <w:rPr>
          <w:rFonts w:eastAsia="仿宋_GB2312"/>
          <w:b/>
          <w:bCs/>
          <w:sz w:val="28"/>
          <w:szCs w:val="28"/>
        </w:rPr>
        <w:t>我们郑重声明：</w:t>
      </w:r>
      <w:bookmarkEnd w:id="25"/>
    </w:p>
    <w:p>
      <w:pPr>
        <w:pStyle w:val="103"/>
        <w:numPr>
          <w:ilvl w:val="0"/>
          <w:numId w:val="1"/>
        </w:numPr>
        <w:adjustRightInd w:val="0"/>
        <w:snapToGrid w:val="0"/>
        <w:spacing w:line="500" w:lineRule="exact"/>
        <w:ind w:left="420" w:hanging="420" w:firstLineChars="0"/>
        <w:rPr>
          <w:rFonts w:eastAsia="仿宋_GB2312"/>
          <w:sz w:val="28"/>
          <w:szCs w:val="28"/>
        </w:rPr>
      </w:pPr>
      <w:r>
        <w:rPr>
          <w:rFonts w:eastAsia="仿宋_GB2312"/>
          <w:sz w:val="28"/>
          <w:szCs w:val="28"/>
        </w:rPr>
        <w:t xml:space="preserve">我们在本估价报告中陈述的事实是真实的和准确的，没有虚假记载、误导性陈述和重大遗漏。 </w:t>
      </w:r>
    </w:p>
    <w:p>
      <w:pPr>
        <w:pStyle w:val="103"/>
        <w:numPr>
          <w:ilvl w:val="0"/>
          <w:numId w:val="1"/>
        </w:numPr>
        <w:adjustRightInd w:val="0"/>
        <w:snapToGrid w:val="0"/>
        <w:spacing w:line="500" w:lineRule="exact"/>
        <w:ind w:left="420" w:hanging="420" w:firstLineChars="0"/>
        <w:rPr>
          <w:rFonts w:eastAsia="仿宋_GB2312"/>
          <w:sz w:val="28"/>
          <w:szCs w:val="28"/>
        </w:rPr>
      </w:pPr>
      <w:r>
        <w:rPr>
          <w:rFonts w:eastAsia="仿宋_GB2312"/>
          <w:sz w:val="28"/>
          <w:szCs w:val="28"/>
        </w:rPr>
        <w:t>本估价报告中的分析、意见和结论是我们自己独立、客观、公正的专业分析、意见和结论，但受到本估价报告中已说明的假设和限制条件的限制。</w:t>
      </w:r>
    </w:p>
    <w:p>
      <w:pPr>
        <w:pStyle w:val="103"/>
        <w:numPr>
          <w:ilvl w:val="0"/>
          <w:numId w:val="1"/>
        </w:numPr>
        <w:adjustRightInd w:val="0"/>
        <w:snapToGrid w:val="0"/>
        <w:spacing w:line="500" w:lineRule="exact"/>
        <w:ind w:left="420" w:hanging="420" w:firstLineChars="0"/>
        <w:rPr>
          <w:rFonts w:eastAsia="仿宋_GB2312"/>
          <w:sz w:val="28"/>
          <w:szCs w:val="28"/>
        </w:rPr>
      </w:pPr>
      <w:r>
        <w:rPr>
          <w:rFonts w:eastAsia="仿宋_GB2312"/>
          <w:sz w:val="28"/>
          <w:szCs w:val="28"/>
        </w:rPr>
        <w:t>我们与本估价报告中的估价对象没有现实或潜在的利益，也与估价委托人及估价利害关系人没有利害关系。</w:t>
      </w:r>
    </w:p>
    <w:p>
      <w:pPr>
        <w:pStyle w:val="103"/>
        <w:numPr>
          <w:ilvl w:val="0"/>
          <w:numId w:val="1"/>
        </w:numPr>
        <w:adjustRightInd w:val="0"/>
        <w:snapToGrid w:val="0"/>
        <w:spacing w:line="500" w:lineRule="exact"/>
        <w:ind w:left="420" w:hanging="420" w:firstLineChars="0"/>
        <w:rPr>
          <w:rFonts w:eastAsia="仿宋_GB2312"/>
          <w:sz w:val="28"/>
          <w:szCs w:val="28"/>
        </w:rPr>
      </w:pPr>
      <w:r>
        <w:rPr>
          <w:rFonts w:eastAsia="仿宋_GB2312"/>
          <w:sz w:val="28"/>
          <w:szCs w:val="28"/>
        </w:rPr>
        <w:t>我们对估价报告中的估价对象、估价委托人及估价利害关系人没有偏见。</w:t>
      </w:r>
    </w:p>
    <w:p>
      <w:pPr>
        <w:pStyle w:val="103"/>
        <w:numPr>
          <w:ilvl w:val="0"/>
          <w:numId w:val="1"/>
        </w:numPr>
        <w:adjustRightInd w:val="0"/>
        <w:snapToGrid w:val="0"/>
        <w:spacing w:line="500" w:lineRule="exact"/>
        <w:ind w:left="420" w:hanging="420" w:firstLineChars="0"/>
        <w:rPr>
          <w:rFonts w:eastAsia="仿宋_GB2312"/>
          <w:snapToGrid w:val="0"/>
          <w:kern w:val="0"/>
          <w:sz w:val="32"/>
          <w:szCs w:val="32"/>
        </w:rPr>
      </w:pPr>
      <w:r>
        <w:rPr>
          <w:rFonts w:eastAsia="仿宋_GB2312"/>
          <w:sz w:val="28"/>
        </w:rPr>
        <w:t>我们依照《中华人民共和国资产评估法》（2016年12月1日实施）、中华人民共和国国家标准《房地产估价规范》（GB/T 50291—2015）以及与估价目的相应的房地产估价专项标准进行分析，形成意见和结论，撰写估价报告</w:t>
      </w:r>
      <w:r>
        <w:rPr>
          <w:rFonts w:eastAsia="仿宋_GB2312"/>
          <w:sz w:val="28"/>
          <w:szCs w:val="28"/>
        </w:rPr>
        <w:t>。</w:t>
      </w:r>
      <w:bookmarkStart w:id="26" w:name="_Toc435110680"/>
    </w:p>
    <w:p>
      <w:pPr>
        <w:spacing w:line="500" w:lineRule="exact"/>
        <w:jc w:val="center"/>
        <w:rPr>
          <w:rFonts w:eastAsia="仿宋_GB2312"/>
          <w:sz w:val="28"/>
          <w:szCs w:val="28"/>
        </w:rPr>
      </w:pPr>
      <w:r>
        <w:rPr>
          <w:rFonts w:eastAsia="仿宋_GB2312"/>
          <w:sz w:val="28"/>
          <w:szCs w:val="28"/>
        </w:rPr>
        <w:t>注册房地产估价师</w:t>
      </w:r>
    </w:p>
    <w:tbl>
      <w:tblPr>
        <w:tblStyle w:val="5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2277"/>
        <w:gridCol w:w="2278"/>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277" w:type="dxa"/>
            <w:vAlign w:val="center"/>
          </w:tcPr>
          <w:p>
            <w:pPr>
              <w:spacing w:line="360" w:lineRule="auto"/>
              <w:jc w:val="center"/>
              <w:rPr>
                <w:rFonts w:eastAsia="仿宋_GB2312"/>
                <w:sz w:val="28"/>
                <w:szCs w:val="28"/>
              </w:rPr>
            </w:pPr>
            <w:r>
              <w:rPr>
                <w:rFonts w:eastAsia="仿宋_GB2312"/>
                <w:sz w:val="28"/>
                <w:szCs w:val="28"/>
              </w:rPr>
              <w:t>姓名</w:t>
            </w:r>
          </w:p>
        </w:tc>
        <w:tc>
          <w:tcPr>
            <w:tcW w:w="2277" w:type="dxa"/>
            <w:vAlign w:val="center"/>
          </w:tcPr>
          <w:p>
            <w:pPr>
              <w:spacing w:line="360" w:lineRule="auto"/>
              <w:jc w:val="center"/>
              <w:rPr>
                <w:rFonts w:eastAsia="仿宋_GB2312"/>
                <w:sz w:val="28"/>
                <w:szCs w:val="28"/>
              </w:rPr>
            </w:pPr>
            <w:r>
              <w:rPr>
                <w:rFonts w:eastAsia="仿宋_GB2312"/>
                <w:sz w:val="28"/>
                <w:szCs w:val="28"/>
              </w:rPr>
              <w:t>注册号</w:t>
            </w:r>
          </w:p>
        </w:tc>
        <w:tc>
          <w:tcPr>
            <w:tcW w:w="2278" w:type="dxa"/>
            <w:vAlign w:val="center"/>
          </w:tcPr>
          <w:p>
            <w:pPr>
              <w:spacing w:line="360" w:lineRule="auto"/>
              <w:jc w:val="center"/>
              <w:rPr>
                <w:rFonts w:eastAsia="仿宋_GB2312"/>
                <w:sz w:val="28"/>
                <w:szCs w:val="28"/>
              </w:rPr>
            </w:pPr>
            <w:r>
              <w:rPr>
                <w:rFonts w:eastAsia="仿宋_GB2312"/>
                <w:sz w:val="28"/>
                <w:szCs w:val="28"/>
              </w:rPr>
              <w:t>盖章（签名）</w:t>
            </w:r>
          </w:p>
        </w:tc>
        <w:tc>
          <w:tcPr>
            <w:tcW w:w="2490" w:type="dxa"/>
            <w:vAlign w:val="center"/>
          </w:tcPr>
          <w:p>
            <w:pPr>
              <w:spacing w:line="360" w:lineRule="auto"/>
              <w:jc w:val="center"/>
              <w:rPr>
                <w:rFonts w:eastAsia="仿宋_GB2312"/>
                <w:sz w:val="28"/>
                <w:szCs w:val="28"/>
              </w:rPr>
            </w:pPr>
            <w:r>
              <w:rPr>
                <w:rFonts w:eastAsia="仿宋_GB2312"/>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2277" w:type="dxa"/>
            <w:vAlign w:val="center"/>
          </w:tcPr>
          <w:p>
            <w:pPr>
              <w:spacing w:line="360" w:lineRule="auto"/>
              <w:jc w:val="center"/>
              <w:rPr>
                <w:rFonts w:eastAsia="仿宋_GB2312"/>
                <w:sz w:val="28"/>
                <w:szCs w:val="28"/>
              </w:rPr>
            </w:pPr>
            <w:r>
              <w:rPr>
                <w:rFonts w:eastAsia="仿宋_GB2312"/>
                <w:sz w:val="28"/>
                <w:szCs w:val="28"/>
              </w:rPr>
              <w:t>李  兰</w:t>
            </w:r>
          </w:p>
        </w:tc>
        <w:tc>
          <w:tcPr>
            <w:tcW w:w="2277" w:type="dxa"/>
            <w:vAlign w:val="center"/>
          </w:tcPr>
          <w:p>
            <w:pPr>
              <w:spacing w:line="360" w:lineRule="auto"/>
              <w:jc w:val="center"/>
              <w:rPr>
                <w:rFonts w:eastAsia="仿宋_GB2312"/>
                <w:sz w:val="28"/>
                <w:szCs w:val="28"/>
              </w:rPr>
            </w:pPr>
            <w:r>
              <w:rPr>
                <w:rFonts w:eastAsia="仿宋_GB2312"/>
                <w:snapToGrid w:val="0"/>
                <w:sz w:val="28"/>
                <w:szCs w:val="28"/>
              </w:rPr>
              <w:t>3619980023</w:t>
            </w:r>
          </w:p>
        </w:tc>
        <w:tc>
          <w:tcPr>
            <w:tcW w:w="2278" w:type="dxa"/>
            <w:vAlign w:val="center"/>
          </w:tcPr>
          <w:p>
            <w:pPr>
              <w:spacing w:line="360" w:lineRule="auto"/>
              <w:jc w:val="center"/>
              <w:rPr>
                <w:rFonts w:eastAsia="仿宋_GB2312"/>
                <w:sz w:val="28"/>
                <w:szCs w:val="28"/>
              </w:rPr>
            </w:pPr>
          </w:p>
        </w:tc>
        <w:tc>
          <w:tcPr>
            <w:tcW w:w="2490" w:type="dxa"/>
            <w:vAlign w:val="center"/>
          </w:tcPr>
          <w:p>
            <w:pPr>
              <w:spacing w:line="360" w:lineRule="auto"/>
              <w:jc w:val="center"/>
              <w:rPr>
                <w:rFonts w:hint="eastAsia" w:eastAsia="仿宋_GB2312"/>
                <w:sz w:val="28"/>
                <w:szCs w:val="28"/>
                <w:lang w:eastAsia="zh-CN"/>
              </w:rPr>
            </w:pPr>
            <w:bookmarkStart w:id="216" w:name="_GoBack"/>
            <w:bookmarkEnd w:id="216"/>
            <w:r>
              <w:rPr>
                <w:rFonts w:hint="eastAsia" w:eastAsia="仿宋_GB2312"/>
                <w:sz w:val="28"/>
                <w:szCs w:val="28"/>
                <w:lang w:eastAsia="zh-CN"/>
              </w:rPr>
              <w:t>2020年3月12日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2277" w:type="dxa"/>
            <w:vAlign w:val="center"/>
          </w:tcPr>
          <w:p>
            <w:pPr>
              <w:spacing w:line="360" w:lineRule="auto"/>
              <w:jc w:val="center"/>
              <w:rPr>
                <w:rFonts w:eastAsia="仿宋_GB2312"/>
                <w:sz w:val="28"/>
                <w:szCs w:val="28"/>
              </w:rPr>
            </w:pPr>
            <w:r>
              <w:rPr>
                <w:rFonts w:eastAsia="仿宋_GB2312"/>
                <w:sz w:val="28"/>
                <w:szCs w:val="28"/>
              </w:rPr>
              <w:t>李学群</w:t>
            </w:r>
          </w:p>
        </w:tc>
        <w:tc>
          <w:tcPr>
            <w:tcW w:w="2277" w:type="dxa"/>
            <w:vAlign w:val="center"/>
          </w:tcPr>
          <w:p>
            <w:pPr>
              <w:spacing w:line="360" w:lineRule="auto"/>
              <w:jc w:val="center"/>
              <w:rPr>
                <w:rFonts w:eastAsia="仿宋_GB2312"/>
                <w:sz w:val="28"/>
                <w:szCs w:val="28"/>
              </w:rPr>
            </w:pPr>
            <w:r>
              <w:rPr>
                <w:rFonts w:eastAsia="仿宋_GB2312"/>
                <w:snapToGrid w:val="0"/>
                <w:sz w:val="28"/>
                <w:szCs w:val="28"/>
              </w:rPr>
              <w:t>3619970010</w:t>
            </w:r>
          </w:p>
        </w:tc>
        <w:tc>
          <w:tcPr>
            <w:tcW w:w="2278" w:type="dxa"/>
            <w:vAlign w:val="center"/>
          </w:tcPr>
          <w:p>
            <w:pPr>
              <w:spacing w:line="360" w:lineRule="auto"/>
              <w:jc w:val="center"/>
              <w:rPr>
                <w:rFonts w:eastAsia="仿宋_GB2312"/>
                <w:sz w:val="28"/>
                <w:szCs w:val="28"/>
              </w:rPr>
            </w:pPr>
          </w:p>
        </w:tc>
        <w:tc>
          <w:tcPr>
            <w:tcW w:w="2490" w:type="dxa"/>
            <w:vAlign w:val="center"/>
          </w:tcPr>
          <w:p>
            <w:pPr>
              <w:spacing w:line="360" w:lineRule="auto"/>
              <w:jc w:val="center"/>
              <w:rPr>
                <w:rFonts w:hint="eastAsia" w:eastAsia="仿宋_GB2312"/>
                <w:sz w:val="28"/>
                <w:szCs w:val="28"/>
                <w:lang w:eastAsia="zh-CN"/>
              </w:rPr>
            </w:pPr>
            <w:r>
              <w:rPr>
                <w:rFonts w:hint="eastAsia" w:eastAsia="仿宋_GB2312"/>
                <w:sz w:val="28"/>
                <w:szCs w:val="28"/>
                <w:lang w:eastAsia="zh-CN"/>
              </w:rPr>
              <w:t>2020年3月12日</w:t>
            </w:r>
          </w:p>
        </w:tc>
      </w:tr>
    </w:tbl>
    <w:p>
      <w:pPr>
        <w:pStyle w:val="2"/>
        <w:spacing w:before="0" w:after="0" w:line="480" w:lineRule="exact"/>
        <w:jc w:val="center"/>
        <w:rPr>
          <w:rFonts w:eastAsia="仿宋_GB2312"/>
          <w:snapToGrid w:val="0"/>
          <w:kern w:val="0"/>
          <w:sz w:val="32"/>
          <w:szCs w:val="32"/>
        </w:rPr>
      </w:pPr>
      <w:r>
        <w:rPr>
          <w:rFonts w:eastAsia="仿宋_GB2312"/>
          <w:snapToGrid w:val="0"/>
          <w:kern w:val="0"/>
          <w:sz w:val="32"/>
          <w:szCs w:val="32"/>
        </w:rPr>
        <w:br w:type="page"/>
      </w:r>
      <w:bookmarkStart w:id="27" w:name="_Toc12870206"/>
      <w:r>
        <w:rPr>
          <w:rFonts w:eastAsia="仿宋_GB2312"/>
          <w:snapToGrid w:val="0"/>
          <w:kern w:val="0"/>
          <w:sz w:val="32"/>
          <w:szCs w:val="32"/>
        </w:rPr>
        <w:t>二、估价假设和限制条件</w:t>
      </w:r>
      <w:bookmarkEnd w:id="26"/>
      <w:bookmarkEnd w:id="27"/>
    </w:p>
    <w:p>
      <w:pPr>
        <w:spacing w:line="500" w:lineRule="exact"/>
        <w:ind w:firstLine="562" w:firstLineChars="200"/>
        <w:rPr>
          <w:rFonts w:eastAsia="仿宋_GB2312"/>
          <w:b/>
          <w:bCs/>
          <w:sz w:val="28"/>
          <w:szCs w:val="28"/>
        </w:rPr>
      </w:pPr>
      <w:r>
        <w:rPr>
          <w:rFonts w:eastAsia="仿宋_GB2312"/>
          <w:b/>
          <w:bCs/>
          <w:sz w:val="28"/>
          <w:szCs w:val="28"/>
        </w:rPr>
        <w:t>1.一般假设</w:t>
      </w:r>
    </w:p>
    <w:p>
      <w:pPr>
        <w:pStyle w:val="35"/>
        <w:spacing w:line="480" w:lineRule="exact"/>
        <w:ind w:left="0" w:firstLine="560" w:firstLineChars="200"/>
        <w:rPr>
          <w:rFonts w:eastAsia="仿宋_GB2312"/>
          <w:sz w:val="28"/>
          <w:szCs w:val="28"/>
        </w:rPr>
      </w:pPr>
      <w:r>
        <w:rPr>
          <w:rFonts w:eastAsia="仿宋_GB2312"/>
          <w:sz w:val="28"/>
          <w:szCs w:val="28"/>
        </w:rPr>
        <w:t>（1）委托方向房地产估价机构提供的房地产估价所必需的情况和资料是真实可靠的。</w:t>
      </w:r>
    </w:p>
    <w:p>
      <w:pPr>
        <w:pStyle w:val="35"/>
        <w:spacing w:line="480" w:lineRule="exact"/>
        <w:ind w:left="0" w:firstLine="560" w:firstLineChars="200"/>
        <w:rPr>
          <w:rFonts w:eastAsia="仿宋_GB2312"/>
          <w:sz w:val="28"/>
          <w:szCs w:val="28"/>
        </w:rPr>
      </w:pPr>
      <w:r>
        <w:rPr>
          <w:rFonts w:eastAsia="仿宋_GB2312"/>
          <w:sz w:val="28"/>
          <w:szCs w:val="28"/>
        </w:rPr>
        <w:t>（2）估价对象产权明晰，手续齐全，可在公开市场上自由转让。</w:t>
      </w:r>
    </w:p>
    <w:p>
      <w:pPr>
        <w:pStyle w:val="35"/>
        <w:spacing w:line="480" w:lineRule="exact"/>
        <w:ind w:left="0" w:firstLine="560" w:firstLineChars="200"/>
        <w:rPr>
          <w:rFonts w:eastAsia="仿宋_GB2312"/>
          <w:sz w:val="28"/>
          <w:szCs w:val="28"/>
        </w:rPr>
      </w:pPr>
      <w:r>
        <w:rPr>
          <w:rFonts w:eastAsia="仿宋_GB2312"/>
          <w:sz w:val="28"/>
          <w:szCs w:val="28"/>
        </w:rPr>
        <w:t>（3）本次估价对象的房屋权属情况以《房屋登记簿》、《商品房预售许可证》为依据。如上述情况发生变化，估价结果需做相应调整。</w:t>
      </w:r>
    </w:p>
    <w:p>
      <w:pPr>
        <w:pStyle w:val="35"/>
        <w:spacing w:line="480" w:lineRule="exact"/>
        <w:ind w:left="0" w:firstLine="560" w:firstLineChars="200"/>
        <w:rPr>
          <w:rFonts w:eastAsia="仿宋_GB2312"/>
          <w:sz w:val="28"/>
          <w:szCs w:val="28"/>
        </w:rPr>
      </w:pPr>
      <w:r>
        <w:rPr>
          <w:rFonts w:eastAsia="仿宋_GB2312"/>
          <w:sz w:val="28"/>
          <w:szCs w:val="28"/>
        </w:rPr>
        <w:t>（4）本次估价对象的土地权属情况以《国有土地使用证》为依据。如上述情况发生变化，估价结果需做相应调整。</w:t>
      </w:r>
    </w:p>
    <w:p>
      <w:pPr>
        <w:pStyle w:val="35"/>
        <w:spacing w:line="480" w:lineRule="exact"/>
        <w:ind w:left="0" w:firstLine="560" w:firstLineChars="200"/>
        <w:rPr>
          <w:rFonts w:eastAsia="仿宋_GB2312"/>
          <w:sz w:val="28"/>
          <w:szCs w:val="28"/>
        </w:rPr>
      </w:pPr>
      <w:r>
        <w:rPr>
          <w:rFonts w:eastAsia="仿宋_GB2312"/>
          <w:sz w:val="28"/>
          <w:szCs w:val="28"/>
        </w:rPr>
        <w:t>（5）市场供应关系、市场结构保持稳定、未发生重大变化或实质性改变。</w:t>
      </w:r>
    </w:p>
    <w:p>
      <w:pPr>
        <w:pStyle w:val="35"/>
        <w:spacing w:line="480" w:lineRule="exact"/>
        <w:ind w:left="0" w:firstLine="560" w:firstLineChars="200"/>
        <w:rPr>
          <w:rFonts w:eastAsia="仿宋_GB2312"/>
          <w:sz w:val="28"/>
          <w:szCs w:val="28"/>
        </w:rPr>
      </w:pPr>
      <w:r>
        <w:rPr>
          <w:rFonts w:eastAsia="仿宋_GB2312"/>
          <w:sz w:val="28"/>
          <w:szCs w:val="28"/>
        </w:rPr>
        <w:t>（6）交易双方都具有完全市场信息，对交易对象具有必要的专业知识，不考虑特殊买家的附加出价。</w:t>
      </w:r>
    </w:p>
    <w:p>
      <w:pPr>
        <w:spacing w:line="500" w:lineRule="exact"/>
        <w:ind w:firstLine="560" w:firstLineChars="200"/>
        <w:rPr>
          <w:rFonts w:eastAsia="仿宋_GB2312"/>
          <w:sz w:val="28"/>
          <w:szCs w:val="28"/>
        </w:rPr>
      </w:pPr>
      <w:r>
        <w:rPr>
          <w:rFonts w:eastAsia="仿宋_GB2312"/>
          <w:sz w:val="28"/>
          <w:szCs w:val="28"/>
        </w:rPr>
        <w:t>（7）本报告估价结果没有考虑快速变现、税费转嫁等特殊的交易方式，以及可能发生的办理抵押登记、权利转移相关费用对估价对象房地产价值的影响，如上述条件发生变化，估价结果需做相应调整。</w:t>
      </w:r>
    </w:p>
    <w:p>
      <w:pPr>
        <w:pStyle w:val="35"/>
        <w:spacing w:line="480" w:lineRule="exact"/>
        <w:ind w:left="0" w:firstLine="560" w:firstLineChars="200"/>
        <w:rPr>
          <w:rFonts w:eastAsia="仿宋_GB2312"/>
          <w:sz w:val="28"/>
          <w:szCs w:val="28"/>
        </w:rPr>
      </w:pPr>
      <w:r>
        <w:rPr>
          <w:rFonts w:eastAsia="仿宋_GB2312"/>
          <w:sz w:val="28"/>
          <w:szCs w:val="28"/>
        </w:rPr>
        <w:t>（8）本次估价价值时点为2020年1月10日，</w:t>
      </w:r>
      <w:r>
        <w:rPr>
          <w:rFonts w:eastAsia="仿宋_GB2312"/>
          <w:color w:val="000000" w:themeColor="text1"/>
          <w:sz w:val="28"/>
          <w:szCs w:val="28"/>
        </w:rPr>
        <w:t>实地查勘日期为2020年1月10日，</w:t>
      </w:r>
      <w:r>
        <w:rPr>
          <w:rFonts w:eastAsia="仿宋_GB2312"/>
          <w:sz w:val="28"/>
          <w:szCs w:val="28"/>
        </w:rPr>
        <w:t>价值时点与实地查勘日期一致，本次估价假定价值时点的状况与完成实地查勘之日的状况一致</w:t>
      </w:r>
    </w:p>
    <w:p>
      <w:pPr>
        <w:spacing w:line="500" w:lineRule="exact"/>
        <w:ind w:firstLine="560" w:firstLineChars="200"/>
        <w:rPr>
          <w:rFonts w:eastAsia="仿宋_GB2312"/>
          <w:sz w:val="28"/>
          <w:szCs w:val="28"/>
        </w:rPr>
      </w:pPr>
      <w:r>
        <w:rPr>
          <w:rFonts w:eastAsia="仿宋_GB2312"/>
          <w:sz w:val="28"/>
          <w:szCs w:val="28"/>
        </w:rPr>
        <w:t>（9）注</w:t>
      </w:r>
      <w:r>
        <w:rPr>
          <w:rFonts w:eastAsia="仿宋_GB2312"/>
          <w:color w:val="000000" w:themeColor="text1"/>
          <w:sz w:val="28"/>
          <w:szCs w:val="28"/>
        </w:rPr>
        <w:t>册房地产估价师曾于2020年1月10日对估价对象进行了实地查勘</w:t>
      </w:r>
      <w:r>
        <w:rPr>
          <w:rFonts w:eastAsia="仿宋_GB2312"/>
          <w:sz w:val="28"/>
          <w:szCs w:val="28"/>
        </w:rPr>
        <w:t>，但注册房地产估价师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spacing w:line="500" w:lineRule="exact"/>
        <w:ind w:firstLine="562" w:firstLineChars="200"/>
        <w:rPr>
          <w:rFonts w:eastAsia="仿宋_GB2312"/>
          <w:b/>
          <w:bCs/>
          <w:sz w:val="28"/>
          <w:szCs w:val="28"/>
        </w:rPr>
      </w:pPr>
      <w:r>
        <w:rPr>
          <w:rFonts w:eastAsia="仿宋_GB2312"/>
          <w:b/>
          <w:bCs/>
          <w:sz w:val="28"/>
          <w:szCs w:val="28"/>
        </w:rPr>
        <w:t>2.未定事项假设</w:t>
      </w:r>
    </w:p>
    <w:p>
      <w:pPr>
        <w:spacing w:line="480" w:lineRule="exact"/>
        <w:ind w:firstLine="560" w:firstLineChars="200"/>
        <w:rPr>
          <w:rFonts w:eastAsia="仿宋_GB2312"/>
          <w:sz w:val="28"/>
          <w:szCs w:val="28"/>
        </w:rPr>
      </w:pPr>
      <w:r>
        <w:rPr>
          <w:rFonts w:eastAsia="仿宋_GB2312"/>
          <w:sz w:val="28"/>
          <w:szCs w:val="28"/>
        </w:rPr>
        <w:t>无未定事项假设。</w:t>
      </w:r>
    </w:p>
    <w:p>
      <w:pPr>
        <w:spacing w:line="500" w:lineRule="exact"/>
        <w:ind w:firstLine="562" w:firstLineChars="200"/>
        <w:rPr>
          <w:rFonts w:eastAsia="仿宋_GB2312"/>
          <w:b/>
          <w:bCs/>
          <w:sz w:val="28"/>
          <w:szCs w:val="28"/>
        </w:rPr>
      </w:pPr>
      <w:r>
        <w:rPr>
          <w:rFonts w:eastAsia="仿宋_GB2312"/>
          <w:b/>
          <w:bCs/>
          <w:sz w:val="28"/>
          <w:szCs w:val="28"/>
        </w:rPr>
        <w:t>3. 背离事实假设</w:t>
      </w:r>
    </w:p>
    <w:p>
      <w:pPr>
        <w:spacing w:line="500" w:lineRule="exact"/>
        <w:ind w:firstLine="560" w:firstLineChars="200"/>
        <w:rPr>
          <w:rFonts w:eastAsia="仿宋_GB2312"/>
          <w:color w:val="000000" w:themeColor="text1"/>
          <w:sz w:val="28"/>
          <w:szCs w:val="28"/>
        </w:rPr>
      </w:pPr>
      <w:r>
        <w:rPr>
          <w:rFonts w:eastAsia="仿宋_GB2312"/>
          <w:color w:val="000000" w:themeColor="text1"/>
          <w:sz w:val="28"/>
          <w:szCs w:val="28"/>
        </w:rPr>
        <w:t>无背离事实假设</w:t>
      </w:r>
    </w:p>
    <w:p>
      <w:pPr>
        <w:spacing w:line="500" w:lineRule="exact"/>
        <w:ind w:firstLine="562" w:firstLineChars="200"/>
        <w:rPr>
          <w:rFonts w:eastAsia="仿宋_GB2312"/>
          <w:b/>
          <w:bCs/>
          <w:sz w:val="28"/>
          <w:szCs w:val="28"/>
        </w:rPr>
      </w:pPr>
      <w:r>
        <w:rPr>
          <w:rFonts w:eastAsia="仿宋_GB2312"/>
          <w:b/>
          <w:bCs/>
          <w:sz w:val="28"/>
          <w:szCs w:val="28"/>
        </w:rPr>
        <w:t>4.不相一致假设</w:t>
      </w:r>
    </w:p>
    <w:p>
      <w:pPr>
        <w:spacing w:line="500" w:lineRule="exact"/>
        <w:ind w:firstLine="560" w:firstLineChars="200"/>
        <w:rPr>
          <w:rFonts w:eastAsia="仿宋_GB2312"/>
          <w:sz w:val="28"/>
          <w:szCs w:val="28"/>
        </w:rPr>
      </w:pPr>
      <w:r>
        <w:rPr>
          <w:rFonts w:eastAsia="仿宋_GB2312"/>
          <w:sz w:val="28"/>
          <w:szCs w:val="28"/>
        </w:rPr>
        <w:t>无不相一致假设。</w:t>
      </w:r>
    </w:p>
    <w:p>
      <w:pPr>
        <w:spacing w:line="500" w:lineRule="exact"/>
        <w:ind w:firstLine="562" w:firstLineChars="200"/>
        <w:rPr>
          <w:rFonts w:eastAsia="仿宋_GB2312"/>
          <w:b/>
          <w:bCs/>
          <w:sz w:val="28"/>
          <w:szCs w:val="28"/>
        </w:rPr>
      </w:pPr>
      <w:r>
        <w:rPr>
          <w:rFonts w:eastAsia="仿宋_GB2312"/>
          <w:b/>
          <w:bCs/>
          <w:sz w:val="28"/>
          <w:szCs w:val="28"/>
        </w:rPr>
        <w:t>5. 依据不足假设</w:t>
      </w:r>
    </w:p>
    <w:p>
      <w:pPr>
        <w:spacing w:line="480" w:lineRule="exact"/>
        <w:ind w:firstLine="560" w:firstLineChars="200"/>
        <w:rPr>
          <w:rFonts w:eastAsia="仿宋_GB2312"/>
          <w:sz w:val="28"/>
          <w:szCs w:val="28"/>
        </w:rPr>
      </w:pPr>
      <w:r>
        <w:rPr>
          <w:rFonts w:eastAsia="仿宋_GB2312"/>
          <w:sz w:val="28"/>
          <w:szCs w:val="28"/>
        </w:rPr>
        <w:t>无依据不足假设。</w:t>
      </w:r>
    </w:p>
    <w:p>
      <w:pPr>
        <w:spacing w:line="480" w:lineRule="exact"/>
        <w:ind w:firstLine="562" w:firstLineChars="200"/>
        <w:rPr>
          <w:rFonts w:eastAsia="仿宋_GB2312"/>
          <w:b/>
          <w:bCs/>
          <w:sz w:val="28"/>
          <w:szCs w:val="28"/>
        </w:rPr>
      </w:pPr>
      <w:r>
        <w:rPr>
          <w:rFonts w:eastAsia="仿宋_GB2312"/>
          <w:b/>
          <w:bCs/>
          <w:sz w:val="28"/>
          <w:szCs w:val="28"/>
        </w:rPr>
        <w:t>6. 估价报告使用限制</w:t>
      </w:r>
    </w:p>
    <w:p>
      <w:pPr>
        <w:spacing w:line="500" w:lineRule="exact"/>
        <w:ind w:firstLine="560" w:firstLineChars="200"/>
        <w:rPr>
          <w:rFonts w:eastAsia="仿宋_GB2312"/>
          <w:sz w:val="28"/>
          <w:szCs w:val="28"/>
        </w:rPr>
      </w:pPr>
      <w:r>
        <w:rPr>
          <w:rFonts w:eastAsia="仿宋_GB2312"/>
          <w:sz w:val="28"/>
          <w:szCs w:val="28"/>
        </w:rPr>
        <w:t>（1）本估价报告书仅为司法鉴定提供房地产市场价值参考，不作其他估价目的之用。如果估价条件或目的发生变化，估价报告需做相应调整。</w:t>
      </w:r>
    </w:p>
    <w:p>
      <w:pPr>
        <w:spacing w:line="500" w:lineRule="exact"/>
        <w:ind w:firstLine="560" w:firstLineChars="200"/>
        <w:rPr>
          <w:rFonts w:eastAsia="仿宋_GB2312"/>
          <w:sz w:val="28"/>
          <w:szCs w:val="28"/>
        </w:rPr>
      </w:pPr>
      <w:r>
        <w:rPr>
          <w:rFonts w:eastAsia="仿宋_GB2312"/>
          <w:sz w:val="28"/>
          <w:szCs w:val="28"/>
        </w:rPr>
        <w:t>（2）未经本估价机构书面同意，本报告的全部或任何一部分均不得向估价委托人、报告使用者、报告审查部门之外的单位和个人提供，也不得以任何形式公开发表。</w:t>
      </w:r>
    </w:p>
    <w:p>
      <w:pPr>
        <w:spacing w:line="500" w:lineRule="exact"/>
        <w:ind w:firstLine="560" w:firstLineChars="200"/>
        <w:rPr>
          <w:rFonts w:eastAsia="仿宋_GB2312"/>
          <w:sz w:val="28"/>
          <w:szCs w:val="28"/>
        </w:rPr>
      </w:pPr>
      <w:r>
        <w:rPr>
          <w:rFonts w:eastAsia="仿宋_GB2312"/>
          <w:sz w:val="28"/>
          <w:szCs w:val="28"/>
        </w:rPr>
        <w:t>（3）本报告必须完整使用方为有效，对仅使用本报告中部分内容而导致可能的损失，本估价机构不承担责任。</w:t>
      </w:r>
    </w:p>
    <w:p>
      <w:pPr>
        <w:spacing w:line="500" w:lineRule="exact"/>
        <w:ind w:firstLine="560" w:firstLineChars="200"/>
        <w:rPr>
          <w:rFonts w:eastAsia="仿宋_GB2312"/>
          <w:sz w:val="28"/>
          <w:szCs w:val="28"/>
        </w:rPr>
      </w:pPr>
      <w:r>
        <w:rPr>
          <w:rFonts w:eastAsia="仿宋_GB2312"/>
          <w:sz w:val="28"/>
          <w:szCs w:val="28"/>
        </w:rPr>
        <w:t>（4）本次估价结果受价值时点的限制，且本估价报告使用期限自估价报告出具之日</w:t>
      </w:r>
      <w:r>
        <w:rPr>
          <w:rFonts w:hint="eastAsia" w:eastAsia="仿宋_GB2312"/>
          <w:sz w:val="28"/>
          <w:szCs w:val="28"/>
          <w:lang w:eastAsia="zh-CN"/>
        </w:rPr>
        <w:t>2020年3月12日</w:t>
      </w:r>
      <w:r>
        <w:rPr>
          <w:rFonts w:eastAsia="仿宋_GB2312"/>
          <w:sz w:val="28"/>
          <w:szCs w:val="28"/>
        </w:rPr>
        <w:t>起为壹年。若报告使用期限内，房地产市场、建筑市场或估价对象自身状况发生重大变化，估价结果也需做相应调整或委托估价机构重新估价。</w:t>
      </w:r>
    </w:p>
    <w:p>
      <w:pPr>
        <w:spacing w:line="500" w:lineRule="exact"/>
        <w:ind w:firstLine="560" w:firstLineChars="200"/>
        <w:rPr>
          <w:rFonts w:eastAsia="仿宋_GB2312"/>
          <w:sz w:val="28"/>
          <w:szCs w:val="28"/>
        </w:rPr>
      </w:pPr>
      <w:r>
        <w:rPr>
          <w:rFonts w:eastAsia="仿宋_GB2312"/>
          <w:sz w:val="28"/>
          <w:szCs w:val="28"/>
        </w:rPr>
        <w:t>（5）本次估价结果是指在目前房地产市场状况下、估价对象在现状利用条件下的房地产市场价值，包括国有出让土地使用权价值和与房屋有关的土建、安装、装修及室外附属工程价值，不包括可移动的家具、电器等物品价值。</w:t>
      </w:r>
    </w:p>
    <w:p>
      <w:pPr>
        <w:pStyle w:val="2"/>
        <w:spacing w:before="0" w:after="0" w:line="500" w:lineRule="exact"/>
        <w:jc w:val="center"/>
        <w:rPr>
          <w:rFonts w:eastAsia="仿宋_GB2312"/>
          <w:b w:val="0"/>
          <w:bCs w:val="0"/>
          <w:snapToGrid w:val="0"/>
          <w:kern w:val="0"/>
          <w:sz w:val="32"/>
          <w:szCs w:val="32"/>
        </w:rPr>
      </w:pPr>
      <w:bookmarkStart w:id="28" w:name="_Toc269132866"/>
      <w:bookmarkStart w:id="29" w:name="_Toc254875137"/>
      <w:bookmarkStart w:id="30" w:name="_Toc254860123"/>
      <w:bookmarkStart w:id="31" w:name="_Toc130033720"/>
      <w:bookmarkStart w:id="32" w:name="_Toc297122054"/>
      <w:bookmarkStart w:id="33" w:name="_Toc297196349"/>
      <w:bookmarkStart w:id="34" w:name="_Toc301369712"/>
      <w:bookmarkStart w:id="35" w:name="_Toc243111683"/>
      <w:bookmarkStart w:id="36" w:name="_Toc367869494"/>
      <w:bookmarkStart w:id="37" w:name="_Toc257051888"/>
      <w:bookmarkStart w:id="38" w:name="_Toc243111712"/>
      <w:bookmarkStart w:id="39" w:name="_Toc270691065"/>
      <w:bookmarkStart w:id="40" w:name="_Toc135016170"/>
      <w:bookmarkStart w:id="41" w:name="_Toc435110681"/>
      <w:r>
        <w:rPr>
          <w:rFonts w:eastAsia="仿宋_GB2312"/>
          <w:sz w:val="26"/>
          <w:szCs w:val="26"/>
        </w:rPr>
        <w:br w:type="page"/>
      </w:r>
      <w:bookmarkStart w:id="42" w:name="_Toc12870207"/>
      <w:r>
        <w:rPr>
          <w:rFonts w:eastAsia="仿宋_GB2312"/>
          <w:snapToGrid w:val="0"/>
          <w:kern w:val="0"/>
          <w:sz w:val="32"/>
          <w:szCs w:val="32"/>
        </w:rPr>
        <w:t>三、估价结果报告</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Toc301369713"/>
      <w:bookmarkStart w:id="44" w:name="_Toc367869495"/>
      <w:bookmarkStart w:id="45" w:name="_Toc435110682"/>
      <w:bookmarkStart w:id="46" w:name="_Toc135016185"/>
      <w:bookmarkStart w:id="47" w:name="_Toc254875153"/>
      <w:bookmarkStart w:id="48" w:name="_Toc243111699"/>
      <w:bookmarkStart w:id="49" w:name="_Toc243111728"/>
      <w:bookmarkStart w:id="50" w:name="_Toc254860139"/>
      <w:bookmarkStart w:id="51" w:name="_Toc94587103"/>
      <w:bookmarkStart w:id="52" w:name="_Toc298936786"/>
      <w:bookmarkStart w:id="53" w:name="_Toc299007139"/>
      <w:bookmarkStart w:id="54" w:name="_Toc301369729"/>
      <w:bookmarkStart w:id="55" w:name="_Toc298936729"/>
      <w:bookmarkStart w:id="56" w:name="_Toc299006852"/>
      <w:bookmarkStart w:id="57" w:name="_Toc301369583"/>
      <w:bookmarkStart w:id="58" w:name="_Toc299004833"/>
      <w:bookmarkStart w:id="59" w:name="_Toc270691081"/>
      <w:bookmarkStart w:id="60" w:name="_Toc299005654"/>
      <w:bookmarkStart w:id="61" w:name="_Toc94587045"/>
      <w:bookmarkStart w:id="62" w:name="_Toc254860169"/>
      <w:bookmarkStart w:id="63" w:name="_Toc269132882"/>
      <w:bookmarkStart w:id="64" w:name="_Toc367869511"/>
    </w:p>
    <w:p>
      <w:pPr>
        <w:pStyle w:val="3"/>
        <w:spacing w:before="0" w:after="0" w:line="500" w:lineRule="exact"/>
        <w:rPr>
          <w:rFonts w:ascii="Times New Roman" w:hAnsi="Times New Roman" w:eastAsia="仿宋_GB2312" w:cs="Times New Roman"/>
          <w:b w:val="0"/>
          <w:bCs w:val="0"/>
          <w:snapToGrid w:val="0"/>
          <w:kern w:val="0"/>
        </w:rPr>
      </w:pPr>
      <w:bookmarkStart w:id="65" w:name="_Toc12870208"/>
      <w:r>
        <w:rPr>
          <w:rFonts w:ascii="Times New Roman" w:hAnsi="Times New Roman" w:eastAsia="仿宋_GB2312" w:cs="Times New Roman"/>
          <w:sz w:val="28"/>
          <w:szCs w:val="28"/>
        </w:rPr>
        <w:t>（一）估价委托人</w:t>
      </w:r>
      <w:bookmarkEnd w:id="43"/>
      <w:bookmarkEnd w:id="44"/>
      <w:bookmarkEnd w:id="45"/>
      <w:bookmarkEnd w:id="65"/>
    </w:p>
    <w:p>
      <w:pPr>
        <w:pStyle w:val="3"/>
        <w:spacing w:before="0" w:after="0" w:line="500" w:lineRule="exact"/>
        <w:ind w:firstLine="560" w:firstLineChars="200"/>
        <w:rPr>
          <w:rFonts w:ascii="Times New Roman" w:hAnsi="Times New Roman" w:eastAsia="仿宋_GB2312" w:cs="Times New Roman"/>
          <w:b w:val="0"/>
          <w:sz w:val="28"/>
          <w:szCs w:val="28"/>
        </w:rPr>
      </w:pPr>
      <w:bookmarkStart w:id="66" w:name="_Toc367869496"/>
      <w:bookmarkStart w:id="67" w:name="_Toc269132867"/>
      <w:bookmarkStart w:id="68" w:name="_Toc301369714"/>
      <w:bookmarkStart w:id="69" w:name="_Toc243111713"/>
      <w:bookmarkStart w:id="70" w:name="_Toc254860124"/>
      <w:bookmarkStart w:id="71" w:name="_Toc254875138"/>
      <w:bookmarkStart w:id="72" w:name="_Toc135016171"/>
      <w:bookmarkStart w:id="73" w:name="_Toc270691066"/>
      <w:bookmarkStart w:id="74" w:name="_Toc243111684"/>
      <w:bookmarkStart w:id="75" w:name="_Toc130033721"/>
      <w:bookmarkStart w:id="76" w:name="_Toc435110683"/>
      <w:bookmarkStart w:id="77" w:name="_Toc12870209"/>
      <w:r>
        <w:rPr>
          <w:rFonts w:ascii="Times New Roman" w:hAnsi="Times New Roman" w:eastAsia="仿宋_GB2312" w:cs="Times New Roman"/>
          <w:b w:val="0"/>
          <w:sz w:val="28"/>
          <w:szCs w:val="28"/>
        </w:rPr>
        <w:t>江西省九江市中级人民法院执行局</w:t>
      </w:r>
    </w:p>
    <w:p>
      <w:pPr>
        <w:pStyle w:val="3"/>
        <w:spacing w:before="0" w:after="0" w:line="500" w:lineRule="exact"/>
        <w:rPr>
          <w:rFonts w:ascii="Times New Roman" w:hAnsi="Times New Roman" w:eastAsia="仿宋_GB2312" w:cs="Times New Roman"/>
          <w:b w:val="0"/>
          <w:bCs w:val="0"/>
          <w:caps/>
          <w:sz w:val="28"/>
          <w:szCs w:val="28"/>
        </w:rPr>
      </w:pPr>
      <w:r>
        <w:rPr>
          <w:rFonts w:ascii="Times New Roman" w:hAnsi="Times New Roman" w:eastAsia="仿宋_GB2312" w:cs="Times New Roman"/>
          <w:sz w:val="28"/>
          <w:szCs w:val="28"/>
        </w:rPr>
        <w:t>（二）房地产估价</w:t>
      </w:r>
      <w:bookmarkEnd w:id="66"/>
      <w:bookmarkEnd w:id="67"/>
      <w:bookmarkEnd w:id="68"/>
      <w:bookmarkEnd w:id="69"/>
      <w:bookmarkEnd w:id="70"/>
      <w:bookmarkEnd w:id="71"/>
      <w:bookmarkEnd w:id="72"/>
      <w:bookmarkEnd w:id="73"/>
      <w:bookmarkEnd w:id="74"/>
      <w:bookmarkEnd w:id="75"/>
      <w:r>
        <w:rPr>
          <w:rFonts w:ascii="Times New Roman" w:hAnsi="Times New Roman" w:eastAsia="仿宋_GB2312" w:cs="Times New Roman"/>
          <w:sz w:val="28"/>
          <w:szCs w:val="28"/>
        </w:rPr>
        <w:t>机构</w:t>
      </w:r>
      <w:bookmarkEnd w:id="76"/>
      <w:bookmarkEnd w:id="77"/>
    </w:p>
    <w:p>
      <w:pPr>
        <w:spacing w:line="520" w:lineRule="exact"/>
        <w:ind w:firstLine="560" w:firstLineChars="200"/>
        <w:rPr>
          <w:rFonts w:eastAsia="仿宋_GB2312"/>
          <w:sz w:val="28"/>
          <w:szCs w:val="28"/>
        </w:rPr>
      </w:pPr>
      <w:bookmarkStart w:id="78" w:name="_Toc435110684"/>
      <w:bookmarkStart w:id="79" w:name="_Toc243111714"/>
      <w:bookmarkStart w:id="80" w:name="_Toc254860125"/>
      <w:bookmarkStart w:id="81" w:name="_Toc301369715"/>
      <w:bookmarkStart w:id="82" w:name="_Toc243111685"/>
      <w:bookmarkStart w:id="83" w:name="_Toc367869497"/>
      <w:bookmarkStart w:id="84" w:name="_Toc254875139"/>
      <w:bookmarkStart w:id="85" w:name="_Toc135016172"/>
      <w:bookmarkStart w:id="86" w:name="_Toc130033722"/>
      <w:bookmarkStart w:id="87" w:name="_Toc270691067"/>
      <w:bookmarkStart w:id="88" w:name="_Toc269132868"/>
      <w:r>
        <w:rPr>
          <w:rFonts w:eastAsia="仿宋_GB2312"/>
          <w:sz w:val="28"/>
          <w:szCs w:val="28"/>
        </w:rPr>
        <w:t>估价机构名称：江西天平房地产土地评估咨询有限公司</w:t>
      </w:r>
    </w:p>
    <w:p>
      <w:pPr>
        <w:spacing w:line="520" w:lineRule="exact"/>
        <w:ind w:firstLine="560" w:firstLineChars="200"/>
        <w:rPr>
          <w:rFonts w:eastAsia="仿宋_GB2312"/>
          <w:sz w:val="28"/>
          <w:szCs w:val="28"/>
        </w:rPr>
      </w:pPr>
      <w:r>
        <w:rPr>
          <w:rFonts w:eastAsia="仿宋_GB2312"/>
          <w:sz w:val="28"/>
          <w:szCs w:val="28"/>
        </w:rPr>
        <w:t>法人代表：李兰</w:t>
      </w:r>
    </w:p>
    <w:p>
      <w:pPr>
        <w:spacing w:line="520" w:lineRule="exact"/>
        <w:ind w:firstLine="560" w:firstLineChars="200"/>
        <w:rPr>
          <w:rFonts w:eastAsia="仿宋_GB2312"/>
          <w:sz w:val="28"/>
          <w:szCs w:val="28"/>
        </w:rPr>
      </w:pPr>
      <w:r>
        <w:rPr>
          <w:rFonts w:eastAsia="仿宋_GB2312"/>
          <w:sz w:val="28"/>
          <w:szCs w:val="28"/>
        </w:rPr>
        <w:t>单位地址：南昌市市红谷滩新区凤凰北大道77号东方海德堡14#商住楼店面102室</w:t>
      </w:r>
    </w:p>
    <w:p>
      <w:pPr>
        <w:spacing w:line="520" w:lineRule="exact"/>
        <w:ind w:firstLine="560" w:firstLineChars="200"/>
        <w:rPr>
          <w:rFonts w:eastAsia="仿宋_GB2312"/>
          <w:sz w:val="28"/>
          <w:szCs w:val="28"/>
        </w:rPr>
      </w:pPr>
      <w:r>
        <w:rPr>
          <w:rFonts w:eastAsia="仿宋_GB2312"/>
          <w:sz w:val="28"/>
          <w:szCs w:val="28"/>
        </w:rPr>
        <w:t>资格等级：贰级</w:t>
      </w:r>
    </w:p>
    <w:p>
      <w:pPr>
        <w:spacing w:line="520" w:lineRule="exact"/>
        <w:ind w:firstLine="560" w:firstLineChars="200"/>
        <w:rPr>
          <w:rFonts w:eastAsia="仿宋_GB2312"/>
          <w:sz w:val="28"/>
          <w:szCs w:val="28"/>
        </w:rPr>
      </w:pPr>
      <w:r>
        <w:rPr>
          <w:rFonts w:eastAsia="仿宋_GB2312"/>
          <w:sz w:val="28"/>
          <w:szCs w:val="28"/>
        </w:rPr>
        <w:t>公司类型：有限责任公司（自然人投资或控股）</w:t>
      </w:r>
    </w:p>
    <w:p>
      <w:pPr>
        <w:spacing w:line="520" w:lineRule="exact"/>
        <w:ind w:firstLine="560" w:firstLineChars="200"/>
        <w:rPr>
          <w:rFonts w:eastAsia="仿宋_GB2312"/>
          <w:sz w:val="28"/>
          <w:szCs w:val="28"/>
        </w:rPr>
      </w:pPr>
      <w:r>
        <w:rPr>
          <w:rFonts w:eastAsia="仿宋_GB2312"/>
          <w:sz w:val="28"/>
          <w:szCs w:val="28"/>
        </w:rPr>
        <w:t>经营范围：房地产评估咨询服务；土地评估咨询服务（以上项目国家有专项规定的凭许可证除、资质证或其他批准文件经营）***</w:t>
      </w:r>
    </w:p>
    <w:p>
      <w:pPr>
        <w:pStyle w:val="3"/>
        <w:spacing w:before="0" w:after="0" w:line="500" w:lineRule="exact"/>
        <w:rPr>
          <w:rFonts w:ascii="Times New Roman" w:hAnsi="Times New Roman" w:eastAsia="仿宋_GB2312" w:cs="Times New Roman"/>
          <w:b w:val="0"/>
          <w:bCs w:val="0"/>
          <w:sz w:val="28"/>
          <w:szCs w:val="28"/>
        </w:rPr>
      </w:pPr>
      <w:bookmarkStart w:id="89" w:name="_Toc12870210"/>
      <w:r>
        <w:rPr>
          <w:rFonts w:ascii="Times New Roman" w:hAnsi="Times New Roman" w:eastAsia="仿宋_GB2312" w:cs="Times New Roman"/>
          <w:sz w:val="28"/>
          <w:szCs w:val="28"/>
        </w:rPr>
        <w:t>（三）估价目的</w:t>
      </w:r>
      <w:bookmarkEnd w:id="78"/>
      <w:bookmarkEnd w:id="89"/>
    </w:p>
    <w:p>
      <w:pPr>
        <w:spacing w:line="500" w:lineRule="exact"/>
        <w:ind w:firstLine="560" w:firstLineChars="200"/>
        <w:rPr>
          <w:rFonts w:eastAsia="仿宋_GB2312"/>
          <w:sz w:val="28"/>
          <w:szCs w:val="28"/>
        </w:rPr>
      </w:pPr>
      <w:r>
        <w:rPr>
          <w:rFonts w:eastAsia="仿宋_GB2312"/>
          <w:sz w:val="28"/>
          <w:szCs w:val="28"/>
        </w:rPr>
        <w:t>为委托方司法鉴定提供房地产市场价值参考。</w:t>
      </w:r>
      <w:bookmarkStart w:id="90" w:name="_Toc435110685"/>
    </w:p>
    <w:p>
      <w:pPr>
        <w:pStyle w:val="3"/>
        <w:spacing w:before="0" w:after="0" w:line="500" w:lineRule="exact"/>
        <w:rPr>
          <w:rFonts w:ascii="Times New Roman" w:hAnsi="Times New Roman" w:eastAsia="仿宋_GB2312" w:cs="Times New Roman"/>
          <w:b w:val="0"/>
          <w:bCs w:val="0"/>
          <w:sz w:val="28"/>
          <w:szCs w:val="28"/>
        </w:rPr>
      </w:pPr>
      <w:bookmarkStart w:id="91" w:name="_Toc12870211"/>
      <w:r>
        <w:rPr>
          <w:rFonts w:ascii="Times New Roman" w:hAnsi="Times New Roman" w:eastAsia="仿宋_GB2312" w:cs="Times New Roman"/>
          <w:sz w:val="28"/>
          <w:szCs w:val="28"/>
        </w:rPr>
        <w:t>（四）估价对象</w:t>
      </w:r>
      <w:bookmarkEnd w:id="79"/>
      <w:bookmarkEnd w:id="80"/>
      <w:bookmarkEnd w:id="81"/>
      <w:bookmarkEnd w:id="82"/>
      <w:bookmarkEnd w:id="83"/>
      <w:bookmarkEnd w:id="84"/>
      <w:bookmarkEnd w:id="85"/>
      <w:bookmarkEnd w:id="86"/>
      <w:bookmarkEnd w:id="87"/>
      <w:bookmarkEnd w:id="88"/>
      <w:bookmarkEnd w:id="90"/>
      <w:bookmarkEnd w:id="91"/>
    </w:p>
    <w:p>
      <w:pPr>
        <w:adjustRightInd w:val="0"/>
        <w:snapToGrid w:val="0"/>
        <w:spacing w:line="500" w:lineRule="exact"/>
        <w:ind w:firstLine="562" w:firstLineChars="200"/>
        <w:rPr>
          <w:rFonts w:eastAsia="仿宋_GB2312"/>
          <w:b/>
          <w:bCs/>
          <w:sz w:val="28"/>
          <w:szCs w:val="28"/>
        </w:rPr>
      </w:pPr>
      <w:bookmarkStart w:id="92" w:name="_Toc155258965"/>
      <w:bookmarkStart w:id="93" w:name="_Toc367869501"/>
      <w:bookmarkStart w:id="94" w:name="_Toc269132872"/>
      <w:bookmarkStart w:id="95" w:name="_Toc135016175"/>
      <w:bookmarkStart w:id="96" w:name="_Toc243111718"/>
      <w:bookmarkStart w:id="97" w:name="_Toc130033725"/>
      <w:bookmarkStart w:id="98" w:name="_Toc254860129"/>
      <w:bookmarkStart w:id="99" w:name="_Toc270691071"/>
      <w:bookmarkStart w:id="100" w:name="_Toc254875143"/>
      <w:bookmarkStart w:id="101" w:name="_Toc243111689"/>
      <w:bookmarkStart w:id="102" w:name="_Toc301369719"/>
      <w:r>
        <w:rPr>
          <w:rFonts w:eastAsia="仿宋_GB2312"/>
          <w:b/>
          <w:bCs/>
          <w:sz w:val="28"/>
          <w:szCs w:val="28"/>
        </w:rPr>
        <w:t>1.估价对象范围</w:t>
      </w:r>
    </w:p>
    <w:p>
      <w:pPr>
        <w:snapToGrid w:val="0"/>
        <w:spacing w:line="500" w:lineRule="exact"/>
        <w:ind w:firstLine="560" w:firstLineChars="200"/>
        <w:rPr>
          <w:rFonts w:eastAsia="仿宋_GB2312"/>
          <w:caps/>
          <w:sz w:val="28"/>
          <w:szCs w:val="28"/>
        </w:rPr>
      </w:pPr>
      <w:r>
        <w:rPr>
          <w:rFonts w:eastAsia="仿宋_GB2312"/>
          <w:caps/>
          <w:sz w:val="28"/>
          <w:szCs w:val="28"/>
        </w:rPr>
        <w:t>估价对象为九江市泰山路以东、浔阳西路以北海正绿城5幢十二处在建工程，</w:t>
      </w:r>
      <w:r>
        <w:rPr>
          <w:rFonts w:eastAsia="仿宋_GB2312"/>
          <w:sz w:val="28"/>
          <w:szCs w:val="28"/>
        </w:rPr>
        <w:t>总建筑</w:t>
      </w:r>
      <w:r>
        <w:rPr>
          <w:rFonts w:eastAsia="仿宋_GB2312"/>
          <w:caps/>
          <w:sz w:val="28"/>
          <w:szCs w:val="28"/>
        </w:rPr>
        <w:t>面积为1371.84平方米在建工程。</w:t>
      </w:r>
    </w:p>
    <w:p>
      <w:pPr>
        <w:adjustRightInd w:val="0"/>
        <w:snapToGrid w:val="0"/>
        <w:spacing w:line="500" w:lineRule="exact"/>
        <w:ind w:firstLine="562" w:firstLineChars="200"/>
        <w:rPr>
          <w:rFonts w:eastAsia="仿宋_GB2312"/>
          <w:b/>
          <w:bCs/>
          <w:caps/>
          <w:sz w:val="28"/>
          <w:szCs w:val="28"/>
        </w:rPr>
      </w:pPr>
      <w:r>
        <w:rPr>
          <w:rFonts w:eastAsia="仿宋_GB2312"/>
          <w:b/>
          <w:bCs/>
          <w:sz w:val="28"/>
          <w:szCs w:val="28"/>
        </w:rPr>
        <w:t>2.</w:t>
      </w:r>
      <w:r>
        <w:rPr>
          <w:rFonts w:eastAsia="仿宋_GB2312"/>
          <w:b/>
          <w:bCs/>
          <w:caps/>
          <w:sz w:val="28"/>
          <w:szCs w:val="28"/>
        </w:rPr>
        <w:t xml:space="preserve"> 估价对象基本状况</w:t>
      </w:r>
    </w:p>
    <w:tbl>
      <w:tblPr>
        <w:tblStyle w:val="50"/>
        <w:tblW w:w="9780" w:type="dxa"/>
        <w:jc w:val="center"/>
        <w:tblInd w:w="-396" w:type="dxa"/>
        <w:tblLayout w:type="fixed"/>
        <w:tblCellMar>
          <w:top w:w="15" w:type="dxa"/>
          <w:left w:w="15" w:type="dxa"/>
          <w:bottom w:w="15" w:type="dxa"/>
          <w:right w:w="15" w:type="dxa"/>
        </w:tblCellMar>
      </w:tblPr>
      <w:tblGrid>
        <w:gridCol w:w="521"/>
        <w:gridCol w:w="2058"/>
        <w:gridCol w:w="1410"/>
        <w:gridCol w:w="914"/>
        <w:gridCol w:w="2248"/>
        <w:gridCol w:w="915"/>
        <w:gridCol w:w="762"/>
        <w:gridCol w:w="952"/>
      </w:tblGrid>
      <w:tr>
        <w:tblPrEx>
          <w:tblLayout w:type="fixed"/>
          <w:tblCellMar>
            <w:top w:w="15" w:type="dxa"/>
            <w:left w:w="15" w:type="dxa"/>
            <w:bottom w:w="15" w:type="dxa"/>
            <w:right w:w="15" w:type="dxa"/>
          </w:tblCellMar>
        </w:tblPrEx>
        <w:trPr>
          <w:trHeight w:val="881"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序号</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坐落</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产权人</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类型</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房屋登记簿</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评估楼层/总楼层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结构</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建筑面积</w:t>
            </w:r>
          </w:p>
        </w:tc>
      </w:tr>
      <w:tr>
        <w:tblPrEx>
          <w:tblLayout w:type="fixed"/>
          <w:tblCellMar>
            <w:top w:w="15" w:type="dxa"/>
            <w:left w:w="15" w:type="dxa"/>
            <w:bottom w:w="15" w:type="dxa"/>
            <w:right w:w="15" w:type="dxa"/>
          </w:tblCellMar>
        </w:tblPrEx>
        <w:trPr>
          <w:trHeight w:val="881"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九江市泰山路以东、浔阳西路以北海正绿城5幢2805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房屋编号200001163733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28/33</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97</w:t>
            </w:r>
          </w:p>
        </w:tc>
      </w:tr>
      <w:tr>
        <w:tblPrEx>
          <w:tblLayout w:type="fixed"/>
          <w:tblCellMar>
            <w:top w:w="15" w:type="dxa"/>
            <w:left w:w="15" w:type="dxa"/>
            <w:bottom w:w="15" w:type="dxa"/>
            <w:right w:w="15" w:type="dxa"/>
          </w:tblCellMar>
        </w:tblPrEx>
        <w:trPr>
          <w:trHeight w:val="881"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九江市泰山路以东、浔阳西路以北海正绿城5幢2804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房屋编号200001163732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28/33</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r>
      <w:tr>
        <w:tblPrEx>
          <w:tblLayout w:type="fixed"/>
          <w:tblCellMar>
            <w:top w:w="15" w:type="dxa"/>
            <w:left w:w="15" w:type="dxa"/>
            <w:bottom w:w="15" w:type="dxa"/>
            <w:right w:w="15" w:type="dxa"/>
          </w:tblCellMar>
        </w:tblPrEx>
        <w:trPr>
          <w:trHeight w:val="881"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3</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九江市泰山路以东、浔阳西路以北海正绿城5幢2404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房屋编号200001163633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24/33</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r>
      <w:tr>
        <w:tblPrEx>
          <w:tblLayout w:type="fixed"/>
          <w:tblCellMar>
            <w:top w:w="15" w:type="dxa"/>
            <w:left w:w="15" w:type="dxa"/>
            <w:bottom w:w="15" w:type="dxa"/>
            <w:right w:w="15" w:type="dxa"/>
          </w:tblCellMar>
        </w:tblPrEx>
        <w:trPr>
          <w:trHeight w:val="881"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4</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九江市泰山路以东、浔阳西路以北海正绿城5幢2704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房屋编号200001163566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27/33</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r>
      <w:tr>
        <w:tblPrEx>
          <w:tblLayout w:type="fixed"/>
          <w:tblCellMar>
            <w:top w:w="15" w:type="dxa"/>
            <w:left w:w="15" w:type="dxa"/>
            <w:bottom w:w="15" w:type="dxa"/>
            <w:right w:w="15" w:type="dxa"/>
          </w:tblCellMar>
        </w:tblPrEx>
        <w:trPr>
          <w:trHeight w:val="881"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5</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九江市泰山路以东、浔阳西路以北海正绿城5幢2703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房屋编号200001163565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27/33</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r>
      <w:tr>
        <w:tblPrEx>
          <w:tblLayout w:type="fixed"/>
          <w:tblCellMar>
            <w:top w:w="15" w:type="dxa"/>
            <w:left w:w="15" w:type="dxa"/>
            <w:bottom w:w="15" w:type="dxa"/>
            <w:right w:w="15" w:type="dxa"/>
          </w:tblCellMar>
        </w:tblPrEx>
        <w:trPr>
          <w:trHeight w:val="881"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6</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九江市泰山路以东、浔阳西路以北海正绿城5幢1402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房屋编号200001163737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14/33</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97</w:t>
            </w:r>
          </w:p>
        </w:tc>
      </w:tr>
      <w:tr>
        <w:tblPrEx>
          <w:tblLayout w:type="fixed"/>
          <w:tblCellMar>
            <w:top w:w="15" w:type="dxa"/>
            <w:left w:w="15" w:type="dxa"/>
            <w:bottom w:w="15" w:type="dxa"/>
            <w:right w:w="15" w:type="dxa"/>
          </w:tblCellMar>
        </w:tblPrEx>
        <w:trPr>
          <w:trHeight w:val="881"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7</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九江市泰山路以东、浔阳西路以北海正绿城5幢1404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房屋编号200001163739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14/33</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r>
      <w:tr>
        <w:tblPrEx>
          <w:tblLayout w:type="fixed"/>
          <w:tblCellMar>
            <w:top w:w="15" w:type="dxa"/>
            <w:left w:w="15" w:type="dxa"/>
            <w:bottom w:w="15" w:type="dxa"/>
            <w:right w:w="15" w:type="dxa"/>
          </w:tblCellMar>
        </w:tblPrEx>
        <w:trPr>
          <w:trHeight w:val="881"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8</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九江市泰山路以东、浔阳西路以北海正绿城5幢3103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房屋编号200001163789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31/33</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r>
      <w:tr>
        <w:tblPrEx>
          <w:tblLayout w:type="fixed"/>
          <w:tblCellMar>
            <w:top w:w="15" w:type="dxa"/>
            <w:left w:w="15" w:type="dxa"/>
            <w:bottom w:w="15" w:type="dxa"/>
            <w:right w:w="15" w:type="dxa"/>
          </w:tblCellMar>
        </w:tblPrEx>
        <w:trPr>
          <w:trHeight w:val="881"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9</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九江市泰山路以东、浔阳西路以北海正绿城5幢502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房屋编号200001163596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5/33</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97</w:t>
            </w:r>
          </w:p>
        </w:tc>
      </w:tr>
      <w:tr>
        <w:tblPrEx>
          <w:tblLayout w:type="fixed"/>
          <w:tblCellMar>
            <w:top w:w="15" w:type="dxa"/>
            <w:left w:w="15" w:type="dxa"/>
            <w:bottom w:w="15" w:type="dxa"/>
            <w:right w:w="15" w:type="dxa"/>
          </w:tblCellMar>
        </w:tblPrEx>
        <w:trPr>
          <w:trHeight w:val="881"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九江市泰山路以东、浔阳西路以北海正绿城5幢3202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房屋编号200001163709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32/33</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97</w:t>
            </w:r>
          </w:p>
        </w:tc>
      </w:tr>
      <w:tr>
        <w:tblPrEx>
          <w:tblLayout w:type="fixed"/>
          <w:tblCellMar>
            <w:top w:w="15" w:type="dxa"/>
            <w:left w:w="15" w:type="dxa"/>
            <w:bottom w:w="15" w:type="dxa"/>
            <w:right w:w="15" w:type="dxa"/>
          </w:tblCellMar>
        </w:tblPrEx>
        <w:trPr>
          <w:trHeight w:val="881"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11</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九江市泰山路以东、浔阳西路以北海正绿城5幢2004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房屋编号200001163675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20/33</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r>
      <w:tr>
        <w:tblPrEx>
          <w:tblLayout w:type="fixed"/>
          <w:tblCellMar>
            <w:top w:w="15" w:type="dxa"/>
            <w:left w:w="15" w:type="dxa"/>
            <w:bottom w:w="15" w:type="dxa"/>
            <w:right w:w="15" w:type="dxa"/>
          </w:tblCellMar>
        </w:tblPrEx>
        <w:trPr>
          <w:trHeight w:val="891"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九江市泰山路以东、浔阳西路以北海正绿城5幢2003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九江海正房地产开发有限公司</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成住宅</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房屋编号200001163674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20/33</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钢砼</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sz w:val="22"/>
                <w:szCs w:val="22"/>
              </w:rPr>
            </w:pPr>
            <w:r>
              <w:rPr>
                <w:rFonts w:eastAsia="仿宋_GB2312"/>
                <w:color w:val="000000"/>
                <w:kern w:val="0"/>
                <w:sz w:val="22"/>
                <w:szCs w:val="22"/>
              </w:rPr>
              <w:t>122.98</w:t>
            </w:r>
          </w:p>
        </w:tc>
      </w:tr>
    </w:tbl>
    <w:p>
      <w:pPr>
        <w:numPr>
          <w:ilvl w:val="0"/>
          <w:numId w:val="2"/>
        </w:numPr>
        <w:adjustRightInd w:val="0"/>
        <w:snapToGrid w:val="0"/>
        <w:spacing w:line="500" w:lineRule="exact"/>
        <w:ind w:firstLine="562" w:firstLineChars="200"/>
        <w:rPr>
          <w:rFonts w:eastAsia="仿宋_GB2312"/>
          <w:b/>
          <w:bCs/>
          <w:caps/>
          <w:sz w:val="28"/>
          <w:szCs w:val="28"/>
        </w:rPr>
      </w:pPr>
      <w:r>
        <w:rPr>
          <w:rFonts w:eastAsia="仿宋_GB2312"/>
          <w:b/>
          <w:bCs/>
          <w:caps/>
          <w:sz w:val="28"/>
          <w:szCs w:val="28"/>
        </w:rPr>
        <w:t>建筑物基本情况</w:t>
      </w:r>
    </w:p>
    <w:p>
      <w:pPr>
        <w:snapToGrid w:val="0"/>
        <w:spacing w:line="500" w:lineRule="exact"/>
        <w:ind w:firstLine="560" w:firstLineChars="200"/>
        <w:rPr>
          <w:rFonts w:eastAsia="仿宋_GB2312"/>
          <w:sz w:val="28"/>
          <w:szCs w:val="28"/>
        </w:rPr>
      </w:pPr>
      <w:r>
        <w:rPr>
          <w:rFonts w:eastAsia="仿宋_GB2312"/>
          <w:sz w:val="28"/>
          <w:szCs w:val="28"/>
        </w:rPr>
        <w:t>估价对象位于九江市泰山路以东、浔阳西路以北海正绿城5幢十二处在建工程</w:t>
      </w:r>
      <w:r>
        <w:rPr>
          <w:rFonts w:eastAsia="仿宋_GB2312"/>
          <w:color w:val="000000"/>
          <w:sz w:val="28"/>
          <w:szCs w:val="28"/>
        </w:rPr>
        <w:t>。估价对象设计用途为住宅，实际为在建工程。房屋在建设中，房屋主体已建成封顶，外墙装修工程、门窗电梯安装工程、消防安装工程、水电安装工程、园林绿化工程等相关配套设施未完成。</w:t>
      </w:r>
    </w:p>
    <w:p>
      <w:pPr>
        <w:adjustRightInd w:val="0"/>
        <w:snapToGrid w:val="0"/>
        <w:spacing w:line="500" w:lineRule="exact"/>
        <w:ind w:firstLine="562" w:firstLineChars="200"/>
        <w:rPr>
          <w:rFonts w:eastAsia="仿宋_GB2312"/>
          <w:b/>
          <w:bCs/>
          <w:snapToGrid w:val="0"/>
          <w:kern w:val="0"/>
          <w:sz w:val="28"/>
          <w:szCs w:val="28"/>
        </w:rPr>
      </w:pPr>
      <w:r>
        <w:rPr>
          <w:rFonts w:eastAsia="仿宋_GB2312"/>
          <w:b/>
          <w:bCs/>
          <w:snapToGrid w:val="0"/>
          <w:kern w:val="0"/>
          <w:sz w:val="28"/>
          <w:szCs w:val="28"/>
        </w:rPr>
        <w:t>4.区位状况描述与分析</w:t>
      </w:r>
    </w:p>
    <w:bookmarkEnd w:id="92"/>
    <w:p>
      <w:pPr>
        <w:snapToGrid w:val="0"/>
        <w:spacing w:line="500" w:lineRule="exact"/>
        <w:ind w:firstLine="560" w:firstLineChars="200"/>
        <w:rPr>
          <w:rFonts w:eastAsia="仿宋_GB2312"/>
          <w:sz w:val="28"/>
          <w:szCs w:val="28"/>
        </w:rPr>
      </w:pPr>
      <w:bookmarkStart w:id="103" w:name="_Toc435110686"/>
      <w:r>
        <w:rPr>
          <w:rFonts w:eastAsia="仿宋_GB2312"/>
          <w:sz w:val="28"/>
          <w:szCs w:val="28"/>
        </w:rPr>
        <w:t>估价对象位于九江市泰山路以东、浔阳西路以北海正绿城5幢十二处在建工程，其周边的基础设施和公用设施较为齐全，经济较为繁荣。其周边有九江市双语实验学校、兴中学校、九江市第一人民医院开发区分院；大润发、联盛超市等商业设施；16路、36路等公交车。</w:t>
      </w:r>
    </w:p>
    <w:p>
      <w:pPr>
        <w:pStyle w:val="3"/>
        <w:spacing w:before="0" w:after="0" w:line="500" w:lineRule="exact"/>
        <w:rPr>
          <w:rFonts w:ascii="Times New Roman" w:hAnsi="Times New Roman" w:eastAsia="仿宋_GB2312" w:cs="Times New Roman"/>
          <w:b w:val="0"/>
          <w:bCs w:val="0"/>
          <w:sz w:val="28"/>
          <w:szCs w:val="28"/>
        </w:rPr>
      </w:pPr>
      <w:bookmarkStart w:id="104" w:name="_Toc12870212"/>
      <w:r>
        <w:rPr>
          <w:rFonts w:ascii="Times New Roman" w:hAnsi="Times New Roman" w:eastAsia="仿宋_GB2312" w:cs="Times New Roman"/>
          <w:sz w:val="28"/>
          <w:szCs w:val="28"/>
        </w:rPr>
        <w:t>（五）</w:t>
      </w:r>
      <w:bookmarkEnd w:id="93"/>
      <w:bookmarkEnd w:id="94"/>
      <w:bookmarkEnd w:id="95"/>
      <w:bookmarkEnd w:id="96"/>
      <w:bookmarkEnd w:id="97"/>
      <w:bookmarkEnd w:id="98"/>
      <w:bookmarkEnd w:id="99"/>
      <w:bookmarkEnd w:id="100"/>
      <w:bookmarkEnd w:id="101"/>
      <w:bookmarkEnd w:id="102"/>
      <w:r>
        <w:rPr>
          <w:rFonts w:ascii="Times New Roman" w:hAnsi="Times New Roman" w:eastAsia="仿宋_GB2312" w:cs="Times New Roman"/>
          <w:sz w:val="28"/>
          <w:szCs w:val="28"/>
        </w:rPr>
        <w:t>价值时点</w:t>
      </w:r>
      <w:bookmarkEnd w:id="103"/>
      <w:bookmarkEnd w:id="104"/>
    </w:p>
    <w:p>
      <w:pPr>
        <w:adjustRightInd w:val="0"/>
        <w:snapToGrid w:val="0"/>
        <w:spacing w:line="500" w:lineRule="exact"/>
        <w:ind w:firstLine="560" w:firstLineChars="200"/>
        <w:rPr>
          <w:rFonts w:eastAsia="仿宋_GB2312"/>
          <w:snapToGrid w:val="0"/>
          <w:kern w:val="0"/>
          <w:sz w:val="28"/>
          <w:szCs w:val="28"/>
        </w:rPr>
      </w:pPr>
      <w:r>
        <w:rPr>
          <w:rFonts w:eastAsia="仿宋_GB2312"/>
          <w:snapToGrid w:val="0"/>
          <w:kern w:val="0"/>
          <w:sz w:val="28"/>
          <w:szCs w:val="28"/>
        </w:rPr>
        <w:t>2020年1月10日（现场查勘之日）</w:t>
      </w:r>
      <w:bookmarkStart w:id="105" w:name="_Toc270691072"/>
      <w:bookmarkStart w:id="106" w:name="_Toc269132873"/>
      <w:bookmarkStart w:id="107" w:name="_Toc243111690"/>
      <w:bookmarkStart w:id="108" w:name="_Toc130033726"/>
      <w:bookmarkStart w:id="109" w:name="_Toc254860130"/>
      <w:bookmarkStart w:id="110" w:name="_Toc254875144"/>
      <w:bookmarkStart w:id="111" w:name="_Toc135016176"/>
      <w:bookmarkStart w:id="112" w:name="_Toc243111719"/>
      <w:bookmarkStart w:id="113" w:name="_Toc367869502"/>
      <w:bookmarkStart w:id="114" w:name="_Toc301369720"/>
      <w:bookmarkStart w:id="115" w:name="_Toc435110687"/>
    </w:p>
    <w:p>
      <w:pPr>
        <w:pStyle w:val="3"/>
        <w:spacing w:before="0" w:after="0" w:line="500" w:lineRule="exact"/>
        <w:rPr>
          <w:rFonts w:ascii="Times New Roman" w:hAnsi="Times New Roman" w:eastAsia="仿宋_GB2312" w:cs="Times New Roman"/>
          <w:b w:val="0"/>
          <w:bCs w:val="0"/>
          <w:snapToGrid w:val="0"/>
          <w:kern w:val="0"/>
          <w:sz w:val="28"/>
          <w:szCs w:val="28"/>
        </w:rPr>
      </w:pPr>
      <w:bookmarkStart w:id="116" w:name="_Toc12870213"/>
      <w:r>
        <w:rPr>
          <w:rFonts w:ascii="Times New Roman" w:hAnsi="Times New Roman" w:eastAsia="仿宋_GB2312" w:cs="Times New Roman"/>
          <w:sz w:val="28"/>
          <w:szCs w:val="28"/>
        </w:rPr>
        <w:t>（六）价值</w:t>
      </w:r>
      <w:bookmarkEnd w:id="105"/>
      <w:bookmarkEnd w:id="106"/>
      <w:bookmarkEnd w:id="107"/>
      <w:bookmarkEnd w:id="108"/>
      <w:bookmarkEnd w:id="109"/>
      <w:bookmarkEnd w:id="110"/>
      <w:bookmarkEnd w:id="111"/>
      <w:bookmarkEnd w:id="112"/>
      <w:bookmarkEnd w:id="113"/>
      <w:bookmarkEnd w:id="114"/>
      <w:r>
        <w:rPr>
          <w:rFonts w:ascii="Times New Roman" w:hAnsi="Times New Roman" w:eastAsia="仿宋_GB2312" w:cs="Times New Roman"/>
          <w:sz w:val="28"/>
          <w:szCs w:val="28"/>
        </w:rPr>
        <w:t>类型</w:t>
      </w:r>
      <w:bookmarkEnd w:id="115"/>
      <w:bookmarkEnd w:id="116"/>
    </w:p>
    <w:p>
      <w:pPr>
        <w:spacing w:line="500" w:lineRule="exact"/>
        <w:ind w:firstLine="560" w:firstLineChars="200"/>
        <w:rPr>
          <w:rFonts w:eastAsia="仿宋_GB2312"/>
          <w:sz w:val="28"/>
          <w:szCs w:val="28"/>
        </w:rPr>
      </w:pPr>
      <w:bookmarkStart w:id="117" w:name="_Toc435110688"/>
      <w:bookmarkStart w:id="118" w:name="_Toc254875146"/>
      <w:bookmarkStart w:id="119" w:name="_Toc130033728"/>
      <w:bookmarkStart w:id="120" w:name="_Toc243111721"/>
      <w:bookmarkStart w:id="121" w:name="_Toc367869504"/>
      <w:bookmarkStart w:id="122" w:name="_Toc270691074"/>
      <w:bookmarkStart w:id="123" w:name="_Toc243111692"/>
      <w:bookmarkStart w:id="124" w:name="_Toc301369722"/>
      <w:bookmarkStart w:id="125" w:name="_Toc254860132"/>
      <w:bookmarkStart w:id="126" w:name="_Toc269132875"/>
      <w:bookmarkStart w:id="127" w:name="_Toc135016178"/>
      <w:r>
        <w:rPr>
          <w:rFonts w:eastAsia="仿宋_GB2312"/>
          <w:sz w:val="28"/>
          <w:szCs w:val="28"/>
        </w:rPr>
        <w:t>本报告的估价结果是指估价对象在维持规划用途并正常使用的条件下，于价值时点2020年1月10日房地产市场价值。</w:t>
      </w:r>
    </w:p>
    <w:p>
      <w:pPr>
        <w:spacing w:line="500" w:lineRule="exact"/>
        <w:ind w:firstLine="560" w:firstLineChars="200"/>
        <w:rPr>
          <w:rFonts w:eastAsia="仿宋_GB2312"/>
          <w:sz w:val="28"/>
          <w:szCs w:val="28"/>
        </w:rPr>
      </w:pPr>
      <w:r>
        <w:rPr>
          <w:rFonts w:eastAsia="仿宋_GB2312"/>
          <w:sz w:val="28"/>
          <w:szCs w:val="28"/>
        </w:rPr>
        <w:t>本报告价格货币单位均为人民币。</w:t>
      </w:r>
    </w:p>
    <w:p>
      <w:pPr>
        <w:pStyle w:val="3"/>
        <w:spacing w:before="0" w:after="0" w:line="500" w:lineRule="exact"/>
        <w:rPr>
          <w:rFonts w:ascii="Times New Roman" w:hAnsi="Times New Roman" w:eastAsia="仿宋_GB2312" w:cs="Times New Roman"/>
          <w:b w:val="0"/>
          <w:bCs w:val="0"/>
          <w:sz w:val="28"/>
          <w:szCs w:val="28"/>
        </w:rPr>
      </w:pPr>
      <w:bookmarkStart w:id="128" w:name="_Toc12870214"/>
      <w:r>
        <w:rPr>
          <w:rFonts w:ascii="Times New Roman" w:hAnsi="Times New Roman" w:eastAsia="仿宋_GB2312" w:cs="Times New Roman"/>
          <w:sz w:val="28"/>
          <w:szCs w:val="28"/>
        </w:rPr>
        <w:t>（七）估价原则</w:t>
      </w:r>
      <w:bookmarkEnd w:id="117"/>
      <w:bookmarkEnd w:id="118"/>
      <w:bookmarkEnd w:id="119"/>
      <w:bookmarkEnd w:id="120"/>
      <w:bookmarkEnd w:id="121"/>
      <w:bookmarkEnd w:id="122"/>
      <w:bookmarkEnd w:id="123"/>
      <w:bookmarkEnd w:id="124"/>
      <w:bookmarkEnd w:id="125"/>
      <w:bookmarkEnd w:id="126"/>
      <w:bookmarkEnd w:id="127"/>
      <w:bookmarkEnd w:id="128"/>
    </w:p>
    <w:p>
      <w:pPr>
        <w:adjustRightInd w:val="0"/>
        <w:snapToGrid w:val="0"/>
        <w:spacing w:line="500" w:lineRule="exact"/>
        <w:ind w:firstLine="560" w:firstLineChars="200"/>
        <w:rPr>
          <w:rFonts w:eastAsia="仿宋_GB2312"/>
          <w:sz w:val="28"/>
          <w:szCs w:val="28"/>
        </w:rPr>
      </w:pPr>
      <w:r>
        <w:rPr>
          <w:rFonts w:eastAsia="仿宋_GB2312"/>
          <w:sz w:val="28"/>
          <w:szCs w:val="28"/>
        </w:rPr>
        <w:t>本次估价遵循的房地产估价原则有：独立、客观、公正原则、合法原则、价值时点原则、替代原则、最高最佳利用原则和谨慎原则。</w:t>
      </w:r>
    </w:p>
    <w:p>
      <w:pPr>
        <w:adjustRightInd w:val="0"/>
        <w:snapToGrid w:val="0"/>
        <w:spacing w:line="500" w:lineRule="exact"/>
        <w:ind w:firstLine="560" w:firstLineChars="200"/>
        <w:rPr>
          <w:rFonts w:eastAsia="仿宋_GB2312"/>
          <w:sz w:val="28"/>
          <w:szCs w:val="28"/>
        </w:rPr>
      </w:pPr>
      <w:r>
        <w:rPr>
          <w:rFonts w:eastAsia="仿宋_GB2312"/>
          <w:sz w:val="28"/>
          <w:szCs w:val="28"/>
        </w:rPr>
        <w:t>1.独立、客观、公正原则</w:t>
      </w:r>
    </w:p>
    <w:p>
      <w:pPr>
        <w:adjustRightInd w:val="0"/>
        <w:snapToGrid w:val="0"/>
        <w:spacing w:line="500" w:lineRule="exact"/>
        <w:ind w:firstLine="560" w:firstLineChars="200"/>
        <w:rPr>
          <w:rFonts w:eastAsia="仿宋_GB2312"/>
          <w:sz w:val="28"/>
          <w:szCs w:val="28"/>
        </w:rPr>
      </w:pPr>
      <w:r>
        <w:rPr>
          <w:rFonts w:eastAsia="仿宋_GB2312"/>
          <w:sz w:val="28"/>
          <w:szCs w:val="28"/>
        </w:rPr>
        <w:t>要求站在中立的立场上，实事求是、公平正直地评估出对各方估价利害关系人均是公平合理的价值或价格的原则。</w:t>
      </w:r>
    </w:p>
    <w:p>
      <w:pPr>
        <w:adjustRightInd w:val="0"/>
        <w:snapToGrid w:val="0"/>
        <w:spacing w:line="500" w:lineRule="exact"/>
        <w:ind w:firstLine="560" w:firstLineChars="200"/>
        <w:rPr>
          <w:rFonts w:eastAsia="仿宋_GB2312"/>
          <w:sz w:val="28"/>
          <w:szCs w:val="28"/>
        </w:rPr>
      </w:pPr>
      <w:r>
        <w:rPr>
          <w:rFonts w:eastAsia="仿宋_GB2312"/>
          <w:sz w:val="28"/>
          <w:szCs w:val="28"/>
        </w:rPr>
        <w:t>2.合法原则</w:t>
      </w:r>
    </w:p>
    <w:p>
      <w:pPr>
        <w:adjustRightInd w:val="0"/>
        <w:snapToGrid w:val="0"/>
        <w:spacing w:line="500" w:lineRule="exact"/>
        <w:ind w:firstLine="560" w:firstLineChars="200"/>
        <w:rPr>
          <w:rFonts w:eastAsia="仿宋_GB2312"/>
          <w:sz w:val="28"/>
          <w:szCs w:val="28"/>
        </w:rPr>
      </w:pPr>
      <w:r>
        <w:rPr>
          <w:rFonts w:eastAsia="仿宋_GB2312"/>
          <w:sz w:val="28"/>
          <w:szCs w:val="28"/>
        </w:rPr>
        <w:t>要求估价结果是依法判定的估价对象状况下的价值或价格的原则。</w:t>
      </w:r>
    </w:p>
    <w:p>
      <w:pPr>
        <w:adjustRightInd w:val="0"/>
        <w:snapToGrid w:val="0"/>
        <w:spacing w:line="500" w:lineRule="exact"/>
        <w:ind w:firstLine="560" w:firstLineChars="200"/>
        <w:rPr>
          <w:rFonts w:eastAsia="仿宋_GB2312"/>
          <w:sz w:val="28"/>
          <w:szCs w:val="28"/>
        </w:rPr>
      </w:pPr>
      <w:r>
        <w:rPr>
          <w:rFonts w:eastAsia="仿宋_GB2312"/>
          <w:sz w:val="28"/>
          <w:szCs w:val="28"/>
        </w:rPr>
        <w:t>3.价值时点原则</w:t>
      </w:r>
    </w:p>
    <w:p>
      <w:pPr>
        <w:adjustRightInd w:val="0"/>
        <w:snapToGrid w:val="0"/>
        <w:spacing w:line="500" w:lineRule="exact"/>
        <w:ind w:firstLine="560" w:firstLineChars="200"/>
        <w:rPr>
          <w:rFonts w:eastAsia="仿宋_GB2312"/>
          <w:sz w:val="28"/>
          <w:szCs w:val="28"/>
        </w:rPr>
      </w:pPr>
      <w:r>
        <w:rPr>
          <w:rFonts w:eastAsia="仿宋_GB2312"/>
          <w:sz w:val="28"/>
          <w:szCs w:val="28"/>
        </w:rPr>
        <w:t>要求估价结果是在根据估价目的确定的某一特定时间的价值或价格的原则。</w:t>
      </w:r>
    </w:p>
    <w:p>
      <w:pPr>
        <w:adjustRightInd w:val="0"/>
        <w:snapToGrid w:val="0"/>
        <w:spacing w:line="500" w:lineRule="exact"/>
        <w:ind w:firstLine="560" w:firstLineChars="200"/>
        <w:rPr>
          <w:rFonts w:eastAsia="仿宋_GB2312"/>
          <w:sz w:val="28"/>
          <w:szCs w:val="28"/>
        </w:rPr>
      </w:pPr>
      <w:r>
        <w:rPr>
          <w:rFonts w:eastAsia="仿宋_GB2312"/>
          <w:sz w:val="28"/>
          <w:szCs w:val="28"/>
        </w:rPr>
        <w:t>4.替代原则</w:t>
      </w:r>
    </w:p>
    <w:p>
      <w:pPr>
        <w:adjustRightInd w:val="0"/>
        <w:snapToGrid w:val="0"/>
        <w:spacing w:line="500" w:lineRule="exact"/>
        <w:ind w:firstLine="560" w:firstLineChars="200"/>
        <w:rPr>
          <w:rFonts w:eastAsia="仿宋_GB2312"/>
          <w:sz w:val="28"/>
          <w:szCs w:val="28"/>
        </w:rPr>
      </w:pPr>
      <w:r>
        <w:rPr>
          <w:rFonts w:eastAsia="仿宋_GB2312"/>
          <w:sz w:val="28"/>
          <w:szCs w:val="28"/>
        </w:rPr>
        <w:t>要求估价结果与估价对象的类似房地产在同等条件下的价值或价格偏差应在合理范围内的原则。</w:t>
      </w:r>
    </w:p>
    <w:p>
      <w:pPr>
        <w:adjustRightInd w:val="0"/>
        <w:snapToGrid w:val="0"/>
        <w:spacing w:line="500" w:lineRule="exact"/>
        <w:ind w:firstLine="560" w:firstLineChars="200"/>
        <w:rPr>
          <w:rFonts w:eastAsia="仿宋_GB2312"/>
          <w:sz w:val="28"/>
          <w:szCs w:val="28"/>
        </w:rPr>
      </w:pPr>
      <w:r>
        <w:rPr>
          <w:rFonts w:eastAsia="仿宋_GB2312"/>
          <w:sz w:val="28"/>
          <w:szCs w:val="28"/>
        </w:rPr>
        <w:t>5.最高最佳利用原则</w:t>
      </w:r>
    </w:p>
    <w:p>
      <w:pPr>
        <w:adjustRightInd w:val="0"/>
        <w:snapToGrid w:val="0"/>
        <w:spacing w:line="500" w:lineRule="exact"/>
        <w:ind w:firstLine="560" w:firstLineChars="200"/>
        <w:rPr>
          <w:rFonts w:eastAsia="仿宋_GB2312"/>
          <w:sz w:val="28"/>
          <w:szCs w:val="28"/>
        </w:rPr>
      </w:pPr>
      <w:r>
        <w:rPr>
          <w:rFonts w:eastAsia="仿宋_GB2312"/>
          <w:sz w:val="28"/>
          <w:szCs w:val="28"/>
        </w:rPr>
        <w:t>要求估价结果是在估价对象最高最佳利用状况下的价值或价格。</w:t>
      </w:r>
      <w:bookmarkStart w:id="129" w:name="_Toc269132874"/>
      <w:bookmarkStart w:id="130" w:name="_Toc243111691"/>
      <w:bookmarkStart w:id="131" w:name="_Toc367869503"/>
      <w:bookmarkStart w:id="132" w:name="_Toc254860131"/>
      <w:bookmarkStart w:id="133" w:name="_Toc270691073"/>
      <w:bookmarkStart w:id="134" w:name="_Toc135016177"/>
      <w:bookmarkStart w:id="135" w:name="_Toc435110689"/>
      <w:bookmarkStart w:id="136" w:name="_Toc243111720"/>
      <w:bookmarkStart w:id="137" w:name="_Toc130033727"/>
      <w:bookmarkStart w:id="138" w:name="_Toc254875145"/>
      <w:bookmarkStart w:id="139" w:name="_Toc301369721"/>
    </w:p>
    <w:p>
      <w:pPr>
        <w:pStyle w:val="3"/>
        <w:spacing w:before="0" w:after="0" w:line="500" w:lineRule="exact"/>
        <w:rPr>
          <w:rFonts w:ascii="Times New Roman" w:hAnsi="Times New Roman" w:eastAsia="仿宋_GB2312" w:cs="Times New Roman"/>
          <w:b w:val="0"/>
          <w:bCs w:val="0"/>
          <w:sz w:val="28"/>
          <w:szCs w:val="28"/>
        </w:rPr>
      </w:pPr>
      <w:bookmarkStart w:id="140" w:name="_Toc12870215"/>
      <w:r>
        <w:rPr>
          <w:rFonts w:ascii="Times New Roman" w:hAnsi="Times New Roman" w:eastAsia="仿宋_GB2312" w:cs="Times New Roman"/>
          <w:sz w:val="28"/>
          <w:szCs w:val="28"/>
        </w:rPr>
        <w:t>（八）估价依据</w:t>
      </w:r>
      <w:bookmarkEnd w:id="129"/>
      <w:bookmarkEnd w:id="130"/>
      <w:bookmarkEnd w:id="131"/>
      <w:bookmarkEnd w:id="132"/>
      <w:bookmarkEnd w:id="133"/>
      <w:bookmarkEnd w:id="134"/>
      <w:bookmarkEnd w:id="135"/>
      <w:bookmarkEnd w:id="136"/>
      <w:bookmarkEnd w:id="137"/>
      <w:bookmarkEnd w:id="138"/>
      <w:bookmarkEnd w:id="139"/>
      <w:bookmarkEnd w:id="140"/>
    </w:p>
    <w:p>
      <w:pPr>
        <w:pStyle w:val="103"/>
        <w:numPr>
          <w:ilvl w:val="1"/>
          <w:numId w:val="3"/>
        </w:numPr>
        <w:tabs>
          <w:tab w:val="left" w:pos="993"/>
        </w:tabs>
        <w:adjustRightInd w:val="0"/>
        <w:snapToGrid w:val="0"/>
        <w:spacing w:line="500" w:lineRule="exact"/>
        <w:ind w:left="0" w:firstLine="633" w:firstLineChars="0"/>
        <w:rPr>
          <w:rFonts w:eastAsia="仿宋_GB2312"/>
          <w:sz w:val="28"/>
          <w:szCs w:val="28"/>
        </w:rPr>
      </w:pPr>
      <w:r>
        <w:rPr>
          <w:rFonts w:eastAsia="仿宋_GB2312"/>
          <w:sz w:val="28"/>
          <w:szCs w:val="28"/>
        </w:rPr>
        <w:t>本次估价所依据的有关法律、法规和政策文件：</w:t>
      </w:r>
    </w:p>
    <w:p>
      <w:pPr>
        <w:pStyle w:val="22"/>
        <w:tabs>
          <w:tab w:val="left" w:pos="-360"/>
        </w:tabs>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（1）《中华人民共和国民事诉讼法》；</w:t>
      </w:r>
    </w:p>
    <w:p>
      <w:pPr>
        <w:pStyle w:val="22"/>
        <w:tabs>
          <w:tab w:val="left" w:pos="-360"/>
        </w:tabs>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（2）《中华人民共和国物权法》（中华人民共和国主席令第62号、2007年10月1日起施行）；</w:t>
      </w:r>
    </w:p>
    <w:p>
      <w:pPr>
        <w:pStyle w:val="22"/>
        <w:tabs>
          <w:tab w:val="left" w:pos="-360"/>
        </w:tabs>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（3）《中华人民共和国土地管理法》（90年代8月28日中华人民共和国主席令第28号（第二次修正）、1999年1月1日起施行）；</w:t>
      </w:r>
    </w:p>
    <w:p>
      <w:pPr>
        <w:pStyle w:val="22"/>
        <w:tabs>
          <w:tab w:val="left" w:pos="-360"/>
        </w:tabs>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（4）《中华人民共和国城市房地产管理法》（1994年7月5日中华人民共和国主席令第29号、1995年1月1日起施行）；</w:t>
      </w:r>
    </w:p>
    <w:p>
      <w:pPr>
        <w:pStyle w:val="22"/>
        <w:tabs>
          <w:tab w:val="left" w:pos="-360"/>
        </w:tabs>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（5）《中华人民共和国担保法》（1995年6月30日中华人民共和国主席令第50号、1995年10月1日起施行）；</w:t>
      </w:r>
    </w:p>
    <w:p>
      <w:pPr>
        <w:pStyle w:val="22"/>
        <w:tabs>
          <w:tab w:val="left" w:pos="-360"/>
        </w:tabs>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（6）《中华人民共和国土地管理法实施条例》；</w:t>
      </w:r>
    </w:p>
    <w:p>
      <w:pPr>
        <w:pStyle w:val="22"/>
        <w:tabs>
          <w:tab w:val="left" w:pos="-360"/>
        </w:tabs>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（7）《中华人民共和国城镇国有土地使用权出让和转让暂行条例》（国务院[90]55号令、1990年5月19日起施行）；</w:t>
      </w:r>
    </w:p>
    <w:p>
      <w:pPr>
        <w:pStyle w:val="22"/>
        <w:tabs>
          <w:tab w:val="left" w:pos="-360"/>
        </w:tabs>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（8）《城市房地产转让管理规定》；</w:t>
      </w:r>
    </w:p>
    <w:p>
      <w:pPr>
        <w:pStyle w:val="22"/>
        <w:tabs>
          <w:tab w:val="left" w:pos="-360"/>
        </w:tabs>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（9）《最高人民法院关于人民法院民事执行中拍卖、变卖财产的规定》(法释[2004]16号) [90年代1月1日起实施]；</w:t>
      </w:r>
    </w:p>
    <w:p>
      <w:pPr>
        <w:pStyle w:val="22"/>
        <w:tabs>
          <w:tab w:val="left" w:pos="-360"/>
        </w:tabs>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（10）《中华人民共和国资产评估法》（中华人民共和国主席令第四十六号，自2016年12月1日起施行）；</w:t>
      </w:r>
    </w:p>
    <w:p>
      <w:pPr>
        <w:pStyle w:val="22"/>
        <w:tabs>
          <w:tab w:val="left" w:pos="-360"/>
        </w:tabs>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（11）《司法鉴定程序通则》（司法部第132号令）[2016年5月1日起施行]；</w:t>
      </w:r>
    </w:p>
    <w:p>
      <w:pPr>
        <w:pStyle w:val="22"/>
        <w:tabs>
          <w:tab w:val="left" w:pos="-360"/>
        </w:tabs>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（12）《中华人民共和国资产评估法》（中华人民共和国主席令第四十六号，自2016年12月1日起施行）；</w:t>
      </w:r>
    </w:p>
    <w:p>
      <w:pPr>
        <w:spacing w:line="500" w:lineRule="exact"/>
        <w:ind w:left="-139" w:leftChars="-66" w:firstLine="700" w:firstLineChars="250"/>
        <w:rPr>
          <w:rFonts w:eastAsia="仿宋_GB2312"/>
          <w:sz w:val="28"/>
          <w:szCs w:val="28"/>
        </w:rPr>
      </w:pPr>
      <w:r>
        <w:rPr>
          <w:rFonts w:eastAsia="仿宋_GB2312"/>
          <w:sz w:val="28"/>
          <w:szCs w:val="28"/>
        </w:rPr>
        <w:t>（13）《纳税人转让不动产增值税征收管理暂行办法》（国家税务总局公告2016年第14号）；</w:t>
      </w:r>
    </w:p>
    <w:p>
      <w:pPr>
        <w:spacing w:line="500" w:lineRule="exact"/>
        <w:ind w:left="-139" w:leftChars="-66" w:firstLine="700" w:firstLineChars="250"/>
        <w:rPr>
          <w:rFonts w:eastAsia="仿宋_GB2312"/>
          <w:sz w:val="28"/>
          <w:szCs w:val="28"/>
        </w:rPr>
      </w:pPr>
      <w:r>
        <w:rPr>
          <w:rFonts w:eastAsia="仿宋_GB2312"/>
          <w:sz w:val="28"/>
          <w:szCs w:val="28"/>
        </w:rPr>
        <w:t>（14）《关于营改增后契税房产税土地增值税个人所得税计税依据问题的通知》（财税[2016]43号）。</w:t>
      </w:r>
    </w:p>
    <w:p>
      <w:pPr>
        <w:widowControl/>
        <w:snapToGrid w:val="0"/>
        <w:spacing w:line="500" w:lineRule="exact"/>
        <w:ind w:firstLine="560" w:firstLineChars="200"/>
        <w:jc w:val="left"/>
        <w:rPr>
          <w:rFonts w:eastAsia="仿宋_GB2312"/>
          <w:sz w:val="28"/>
          <w:szCs w:val="28"/>
        </w:rPr>
      </w:pPr>
      <w:r>
        <w:rPr>
          <w:rFonts w:eastAsia="仿宋_GB2312"/>
          <w:sz w:val="28"/>
          <w:szCs w:val="28"/>
        </w:rPr>
        <w:t>2.技术标准</w:t>
      </w:r>
      <w:r>
        <w:rPr>
          <w:rFonts w:eastAsia="仿宋_GB2312"/>
          <w:caps/>
          <w:sz w:val="28"/>
          <w:szCs w:val="28"/>
        </w:rPr>
        <w:t>、规程、规范</w:t>
      </w:r>
    </w:p>
    <w:p>
      <w:pPr>
        <w:widowControl/>
        <w:snapToGrid w:val="0"/>
        <w:spacing w:line="500" w:lineRule="exact"/>
        <w:ind w:firstLine="560" w:firstLineChars="200"/>
        <w:jc w:val="left"/>
        <w:rPr>
          <w:rFonts w:eastAsia="仿宋_GB2312"/>
          <w:sz w:val="28"/>
          <w:szCs w:val="28"/>
        </w:rPr>
      </w:pPr>
      <w:r>
        <w:rPr>
          <w:rFonts w:eastAsia="仿宋_GB2312"/>
          <w:sz w:val="28"/>
          <w:szCs w:val="28"/>
        </w:rPr>
        <w:t>（1）《房地产估价规范》（GB/T 50291-2015）；</w:t>
      </w:r>
    </w:p>
    <w:p>
      <w:pPr>
        <w:widowControl/>
        <w:snapToGrid w:val="0"/>
        <w:spacing w:line="500" w:lineRule="exact"/>
        <w:ind w:firstLine="560" w:firstLineChars="200"/>
        <w:jc w:val="left"/>
        <w:rPr>
          <w:rFonts w:eastAsia="仿宋_GB2312"/>
          <w:sz w:val="28"/>
          <w:szCs w:val="28"/>
        </w:rPr>
      </w:pPr>
      <w:r>
        <w:rPr>
          <w:rFonts w:eastAsia="仿宋_GB2312"/>
          <w:sz w:val="28"/>
          <w:szCs w:val="28"/>
        </w:rPr>
        <w:t>（2）《房地产估价基本术语标准》（GB/T50899-2013、中华人民共和国住房和城乡建设部、国家质量监督检验检疫总局联合发布、2013年6月26日发布、2014年2月1日实施）。</w:t>
      </w:r>
    </w:p>
    <w:p>
      <w:pPr>
        <w:widowControl/>
        <w:snapToGrid w:val="0"/>
        <w:spacing w:line="500" w:lineRule="exact"/>
        <w:ind w:firstLine="560" w:firstLineChars="200"/>
        <w:jc w:val="left"/>
        <w:rPr>
          <w:rFonts w:eastAsia="仿宋_GB2312"/>
          <w:sz w:val="28"/>
          <w:szCs w:val="28"/>
        </w:rPr>
      </w:pPr>
      <w:r>
        <w:rPr>
          <w:rFonts w:eastAsia="仿宋_GB2312"/>
          <w:sz w:val="28"/>
          <w:szCs w:val="28"/>
        </w:rPr>
        <w:t>3.估价委托人提供的有关资料</w:t>
      </w:r>
    </w:p>
    <w:p>
      <w:pPr>
        <w:widowControl/>
        <w:snapToGrid w:val="0"/>
        <w:spacing w:line="500" w:lineRule="exact"/>
        <w:ind w:firstLine="560" w:firstLineChars="200"/>
        <w:jc w:val="left"/>
        <w:rPr>
          <w:rFonts w:eastAsia="仿宋_GB2312"/>
          <w:sz w:val="28"/>
          <w:szCs w:val="28"/>
        </w:rPr>
      </w:pPr>
      <w:r>
        <w:rPr>
          <w:rFonts w:eastAsia="仿宋_GB2312"/>
          <w:sz w:val="28"/>
          <w:szCs w:val="28"/>
        </w:rPr>
        <w:t>（1）江西省九江市中级人民法院委托书[（2015）九中执字第50号]；</w:t>
      </w:r>
    </w:p>
    <w:p>
      <w:pPr>
        <w:widowControl/>
        <w:snapToGrid w:val="0"/>
        <w:spacing w:line="500" w:lineRule="exact"/>
        <w:ind w:firstLine="560" w:firstLineChars="200"/>
        <w:jc w:val="left"/>
        <w:rPr>
          <w:rFonts w:eastAsia="仿宋_GB2312"/>
          <w:sz w:val="28"/>
          <w:szCs w:val="28"/>
        </w:rPr>
      </w:pPr>
      <w:r>
        <w:rPr>
          <w:rFonts w:eastAsia="仿宋_GB2312"/>
          <w:sz w:val="28"/>
          <w:szCs w:val="28"/>
        </w:rPr>
        <w:t>（2）《房屋登记簿》（复印件）</w:t>
      </w:r>
    </w:p>
    <w:p>
      <w:pPr>
        <w:widowControl/>
        <w:snapToGrid w:val="0"/>
        <w:spacing w:line="500" w:lineRule="exact"/>
        <w:ind w:firstLine="560" w:firstLineChars="200"/>
        <w:jc w:val="left"/>
        <w:rPr>
          <w:rFonts w:eastAsia="仿宋_GB2312"/>
          <w:sz w:val="28"/>
          <w:szCs w:val="28"/>
        </w:rPr>
      </w:pPr>
      <w:r>
        <w:rPr>
          <w:rFonts w:eastAsia="仿宋_GB2312"/>
          <w:sz w:val="28"/>
          <w:szCs w:val="28"/>
        </w:rPr>
        <w:t>（3）《建筑工程施工许可证》（复印件）</w:t>
      </w:r>
    </w:p>
    <w:p>
      <w:pPr>
        <w:widowControl/>
        <w:snapToGrid w:val="0"/>
        <w:spacing w:line="500" w:lineRule="exact"/>
        <w:ind w:firstLine="560" w:firstLineChars="200"/>
        <w:jc w:val="left"/>
        <w:rPr>
          <w:rFonts w:eastAsia="仿宋_GB2312"/>
          <w:sz w:val="28"/>
          <w:szCs w:val="28"/>
        </w:rPr>
      </w:pPr>
      <w:r>
        <w:rPr>
          <w:rFonts w:eastAsia="仿宋_GB2312"/>
          <w:sz w:val="28"/>
          <w:szCs w:val="28"/>
        </w:rPr>
        <w:t>（4）《建筑工程规划许可证》（复印件）</w:t>
      </w:r>
    </w:p>
    <w:p>
      <w:pPr>
        <w:widowControl/>
        <w:snapToGrid w:val="0"/>
        <w:spacing w:line="500" w:lineRule="exact"/>
        <w:ind w:firstLine="560" w:firstLineChars="200"/>
        <w:jc w:val="left"/>
        <w:rPr>
          <w:rFonts w:eastAsia="仿宋_GB2312"/>
          <w:sz w:val="28"/>
          <w:szCs w:val="28"/>
        </w:rPr>
      </w:pPr>
      <w:r>
        <w:rPr>
          <w:rFonts w:eastAsia="仿宋_GB2312"/>
          <w:sz w:val="28"/>
          <w:szCs w:val="28"/>
        </w:rPr>
        <w:t>（5）《国有土地使用证》（复印件）</w:t>
      </w:r>
    </w:p>
    <w:p>
      <w:pPr>
        <w:widowControl/>
        <w:snapToGrid w:val="0"/>
        <w:spacing w:line="500" w:lineRule="exact"/>
        <w:ind w:firstLine="560" w:firstLineChars="200"/>
        <w:jc w:val="left"/>
        <w:rPr>
          <w:rFonts w:eastAsia="仿宋_GB2312"/>
          <w:sz w:val="28"/>
          <w:szCs w:val="28"/>
        </w:rPr>
      </w:pPr>
      <w:r>
        <w:rPr>
          <w:rFonts w:eastAsia="仿宋_GB2312"/>
          <w:sz w:val="28"/>
          <w:szCs w:val="28"/>
        </w:rPr>
        <w:t>（6）《商品房预售许可证》（复印件）</w:t>
      </w:r>
    </w:p>
    <w:p>
      <w:pPr>
        <w:widowControl/>
        <w:snapToGrid w:val="0"/>
        <w:spacing w:line="500" w:lineRule="exact"/>
        <w:ind w:firstLine="560" w:firstLineChars="200"/>
        <w:jc w:val="left"/>
        <w:rPr>
          <w:rFonts w:eastAsia="仿宋_GB2312"/>
          <w:sz w:val="28"/>
          <w:szCs w:val="28"/>
        </w:rPr>
      </w:pPr>
      <w:r>
        <w:rPr>
          <w:rFonts w:eastAsia="仿宋_GB2312"/>
          <w:sz w:val="28"/>
          <w:szCs w:val="28"/>
        </w:rPr>
        <w:t>4.房地产估价机构掌握的有关资料以及注册房地产估价师实地查勘所获取的资料</w:t>
      </w:r>
    </w:p>
    <w:p>
      <w:pPr>
        <w:spacing w:line="500" w:lineRule="exact"/>
        <w:ind w:left="420" w:leftChars="200" w:firstLine="140" w:firstLineChars="50"/>
        <w:rPr>
          <w:rFonts w:eastAsia="仿宋_GB2312"/>
          <w:sz w:val="28"/>
          <w:szCs w:val="28"/>
        </w:rPr>
      </w:pPr>
      <w:bookmarkStart w:id="141" w:name="_Toc435110690"/>
      <w:r>
        <w:rPr>
          <w:rFonts w:eastAsia="仿宋_GB2312"/>
          <w:sz w:val="28"/>
          <w:szCs w:val="28"/>
        </w:rPr>
        <w:t>（1）估价人员现场查勘和评估机构掌握的其他相关资料；</w:t>
      </w:r>
    </w:p>
    <w:p>
      <w:pPr>
        <w:spacing w:line="500" w:lineRule="exact"/>
        <w:ind w:firstLine="560" w:firstLineChars="200"/>
        <w:rPr>
          <w:rFonts w:eastAsia="仿宋_GB2312"/>
          <w:sz w:val="28"/>
          <w:szCs w:val="28"/>
        </w:rPr>
      </w:pPr>
      <w:r>
        <w:rPr>
          <w:rFonts w:eastAsia="仿宋_GB2312"/>
          <w:sz w:val="28"/>
          <w:szCs w:val="28"/>
        </w:rPr>
        <w:t>（2）估价对象所在区域的房地产市场状况、同类房地产市场交易等数据资料。</w:t>
      </w:r>
    </w:p>
    <w:p>
      <w:pPr>
        <w:pStyle w:val="22"/>
        <w:tabs>
          <w:tab w:val="left" w:pos="-360"/>
        </w:tabs>
        <w:snapToGrid w:val="0"/>
        <w:outlineLvl w:val="1"/>
        <w:rPr>
          <w:rFonts w:ascii="Times New Roman" w:hAnsi="Times New Roman" w:eastAsia="仿宋_GB2312" w:cs="Times New Roman"/>
          <w:b/>
          <w:bCs/>
          <w:sz w:val="28"/>
          <w:szCs w:val="28"/>
        </w:rPr>
      </w:pPr>
      <w:bookmarkStart w:id="142" w:name="_Toc12870216"/>
      <w:r>
        <w:rPr>
          <w:rFonts w:ascii="Times New Roman" w:hAnsi="Times New Roman" w:eastAsia="仿宋_GB2312" w:cs="Times New Roman"/>
          <w:b/>
          <w:bCs/>
          <w:sz w:val="28"/>
          <w:szCs w:val="28"/>
        </w:rPr>
        <w:t>（九）</w:t>
      </w:r>
      <w:bookmarkStart w:id="143" w:name="_Toc135016179"/>
      <w:bookmarkStart w:id="144" w:name="_Toc243111722"/>
      <w:bookmarkStart w:id="145" w:name="_Toc243111693"/>
      <w:bookmarkStart w:id="146" w:name="_Toc130033729"/>
      <w:bookmarkStart w:id="147" w:name="_Toc269132876"/>
      <w:bookmarkStart w:id="148" w:name="_Toc254875147"/>
      <w:bookmarkStart w:id="149" w:name="_Toc270691075"/>
      <w:bookmarkStart w:id="150" w:name="_Toc367869505"/>
      <w:bookmarkStart w:id="151" w:name="_Toc301369723"/>
      <w:bookmarkStart w:id="152" w:name="_Toc254860133"/>
      <w:r>
        <w:rPr>
          <w:rFonts w:ascii="Times New Roman" w:hAnsi="Times New Roman" w:eastAsia="仿宋_GB2312" w:cs="Times New Roman"/>
          <w:b/>
          <w:bCs/>
          <w:sz w:val="28"/>
          <w:szCs w:val="28"/>
        </w:rPr>
        <w:t>估价方法</w:t>
      </w:r>
      <w:bookmarkEnd w:id="141"/>
      <w:bookmarkEnd w:id="142"/>
      <w:bookmarkEnd w:id="143"/>
      <w:bookmarkEnd w:id="144"/>
      <w:bookmarkEnd w:id="145"/>
      <w:bookmarkEnd w:id="146"/>
      <w:bookmarkEnd w:id="147"/>
      <w:bookmarkEnd w:id="148"/>
      <w:bookmarkEnd w:id="149"/>
      <w:bookmarkEnd w:id="150"/>
      <w:bookmarkEnd w:id="151"/>
      <w:bookmarkEnd w:id="152"/>
    </w:p>
    <w:p>
      <w:pPr>
        <w:snapToGrid w:val="0"/>
        <w:spacing w:line="500" w:lineRule="exact"/>
        <w:ind w:firstLine="560" w:firstLineChars="200"/>
        <w:rPr>
          <w:rFonts w:eastAsia="仿宋_GB2312"/>
          <w:sz w:val="28"/>
          <w:szCs w:val="28"/>
        </w:rPr>
      </w:pPr>
      <w:bookmarkStart w:id="153" w:name="_Toc254875148"/>
      <w:bookmarkStart w:id="154" w:name="_Toc367869506"/>
      <w:bookmarkStart w:id="155" w:name="_Toc301369724"/>
      <w:bookmarkStart w:id="156" w:name="_Toc135016180"/>
      <w:bookmarkStart w:id="157" w:name="_Toc243111694"/>
      <w:bookmarkStart w:id="158" w:name="_Toc435110691"/>
      <w:bookmarkStart w:id="159" w:name="_Toc269132877"/>
      <w:bookmarkStart w:id="160" w:name="_Toc254860134"/>
      <w:bookmarkStart w:id="161" w:name="_Toc243111723"/>
      <w:bookmarkStart w:id="162" w:name="_Toc270691076"/>
      <w:bookmarkStart w:id="163" w:name="_Toc130033730"/>
      <w:r>
        <w:rPr>
          <w:rFonts w:eastAsia="仿宋_GB2312"/>
          <w:sz w:val="28"/>
          <w:szCs w:val="28"/>
        </w:rPr>
        <w:t>根据《房地产估价规范》（GB/T 50291-2015），通行的估价方法有比较法、收益法、成本法、假设开发法等。估价方法的选择应根据当地房地产市场发育情况并结合估价对象的具体特点及估价目的等，选择适当的估价方法。</w:t>
      </w:r>
    </w:p>
    <w:p>
      <w:pPr>
        <w:adjustRightInd w:val="0"/>
        <w:snapToGrid w:val="0"/>
        <w:spacing w:line="500" w:lineRule="exact"/>
        <w:ind w:firstLine="562" w:firstLineChars="200"/>
        <w:rPr>
          <w:rFonts w:eastAsia="仿宋_GB2312"/>
          <w:b/>
          <w:bCs/>
          <w:sz w:val="28"/>
          <w:szCs w:val="28"/>
        </w:rPr>
      </w:pPr>
      <w:r>
        <w:rPr>
          <w:rFonts w:eastAsia="仿宋_GB2312"/>
          <w:b/>
          <w:bCs/>
          <w:sz w:val="28"/>
          <w:szCs w:val="28"/>
        </w:rPr>
        <w:t>1．方法选用分析</w:t>
      </w:r>
    </w:p>
    <w:p>
      <w:pPr>
        <w:snapToGrid w:val="0"/>
        <w:spacing w:line="500" w:lineRule="exact"/>
        <w:ind w:firstLine="560" w:firstLineChars="200"/>
        <w:rPr>
          <w:rFonts w:eastAsia="仿宋_GB2312"/>
          <w:sz w:val="28"/>
          <w:szCs w:val="28"/>
        </w:rPr>
      </w:pPr>
      <w:r>
        <w:rPr>
          <w:rFonts w:eastAsia="仿宋_GB2312"/>
          <w:sz w:val="28"/>
          <w:szCs w:val="28"/>
        </w:rPr>
        <w:t>注册房地产估价师在认真分析所掌握的资料，并对估价对象进行了实地查勘以及对周边房地产市场进行调查后，根据《房地产估价规范》（GB/T 50291-2015）、</w:t>
      </w:r>
      <w:r>
        <w:rPr>
          <w:rFonts w:eastAsia="仿宋_GB2312"/>
          <w:caps/>
          <w:sz w:val="28"/>
          <w:szCs w:val="28"/>
        </w:rPr>
        <w:t>《房地产估价基本术语标准》（GB/T50899-2013）</w:t>
      </w:r>
      <w:r>
        <w:rPr>
          <w:rFonts w:eastAsia="仿宋_GB2312"/>
          <w:sz w:val="28"/>
          <w:szCs w:val="28"/>
        </w:rPr>
        <w:t>，遵照国家有关法律、法规、估价技术标准，经过反复研究，最终选取比较法对</w:t>
      </w:r>
      <w:r>
        <w:rPr>
          <w:rFonts w:eastAsia="仿宋_GB2312"/>
          <w:caps/>
          <w:sz w:val="28"/>
          <w:szCs w:val="28"/>
        </w:rPr>
        <w:t>估价对象九江市泰山路以东、浔阳西路以北海正绿城5幢十二处在建工程</w:t>
      </w:r>
      <w:r>
        <w:rPr>
          <w:rFonts w:eastAsia="仿宋_GB2312"/>
          <w:sz w:val="28"/>
          <w:szCs w:val="28"/>
        </w:rPr>
        <w:t>房地产物业</w:t>
      </w:r>
      <w:r>
        <w:rPr>
          <w:rFonts w:eastAsia="仿宋_GB2312"/>
          <w:caps/>
          <w:sz w:val="28"/>
          <w:szCs w:val="28"/>
        </w:rPr>
        <w:t>房地产</w:t>
      </w:r>
      <w:r>
        <w:rPr>
          <w:rFonts w:eastAsia="仿宋_GB2312"/>
          <w:sz w:val="28"/>
          <w:szCs w:val="28"/>
        </w:rPr>
        <w:t>进行估价，具体分析如下表：</w:t>
      </w:r>
    </w:p>
    <w:p>
      <w:pPr>
        <w:snapToGrid w:val="0"/>
        <w:spacing w:line="500" w:lineRule="exact"/>
        <w:ind w:firstLine="560" w:firstLineChars="200"/>
        <w:rPr>
          <w:rFonts w:eastAsia="仿宋_GB2312"/>
          <w:sz w:val="28"/>
          <w:szCs w:val="28"/>
        </w:rPr>
      </w:pPr>
    </w:p>
    <w:p>
      <w:pPr>
        <w:snapToGrid w:val="0"/>
        <w:spacing w:line="500" w:lineRule="exact"/>
        <w:ind w:firstLine="560" w:firstLineChars="200"/>
        <w:rPr>
          <w:rFonts w:eastAsia="仿宋_GB2312"/>
          <w:sz w:val="28"/>
          <w:szCs w:val="28"/>
        </w:rPr>
      </w:pPr>
    </w:p>
    <w:p>
      <w:pPr>
        <w:snapToGrid w:val="0"/>
        <w:spacing w:line="500" w:lineRule="exact"/>
        <w:ind w:firstLine="560" w:firstLineChars="200"/>
        <w:rPr>
          <w:rFonts w:eastAsia="仿宋_GB2312"/>
          <w:sz w:val="28"/>
          <w:szCs w:val="28"/>
        </w:rPr>
      </w:pPr>
    </w:p>
    <w:tbl>
      <w:tblPr>
        <w:tblStyle w:val="50"/>
        <w:tblW w:w="940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58"/>
        <w:gridCol w:w="3461"/>
        <w:gridCol w:w="4070"/>
        <w:gridCol w:w="81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1058" w:type="dxa"/>
            <w:tcBorders>
              <w:top w:val="double" w:color="auto" w:sz="4" w:space="0"/>
            </w:tcBorders>
            <w:vAlign w:val="center"/>
          </w:tcPr>
          <w:p>
            <w:pPr>
              <w:pStyle w:val="26"/>
              <w:tabs>
                <w:tab w:val="left" w:pos="630"/>
              </w:tabs>
              <w:spacing w:line="240" w:lineRule="exact"/>
              <w:ind w:left="-13" w:leftChars="-6" w:firstLine="0"/>
              <w:jc w:val="center"/>
              <w:rPr>
                <w:rFonts w:eastAsia="仿宋_GB2312"/>
                <w:b/>
                <w:bCs/>
                <w:sz w:val="21"/>
                <w:szCs w:val="21"/>
              </w:rPr>
            </w:pPr>
            <w:r>
              <w:rPr>
                <w:rFonts w:eastAsia="仿宋_GB2312"/>
                <w:b/>
                <w:bCs/>
                <w:sz w:val="21"/>
                <w:szCs w:val="21"/>
              </w:rPr>
              <w:t>可选估价方法</w:t>
            </w:r>
          </w:p>
        </w:tc>
        <w:tc>
          <w:tcPr>
            <w:tcW w:w="3461" w:type="dxa"/>
            <w:tcBorders>
              <w:top w:val="double" w:color="auto" w:sz="4" w:space="0"/>
            </w:tcBorders>
            <w:vAlign w:val="center"/>
          </w:tcPr>
          <w:p>
            <w:pPr>
              <w:pStyle w:val="26"/>
              <w:tabs>
                <w:tab w:val="left" w:pos="630"/>
              </w:tabs>
              <w:spacing w:line="240" w:lineRule="exact"/>
              <w:ind w:left="-13" w:leftChars="-6" w:firstLine="0"/>
              <w:jc w:val="center"/>
              <w:rPr>
                <w:rFonts w:eastAsia="仿宋_GB2312"/>
                <w:b/>
                <w:bCs/>
                <w:sz w:val="21"/>
                <w:szCs w:val="21"/>
              </w:rPr>
            </w:pPr>
            <w:r>
              <w:rPr>
                <w:rFonts w:eastAsia="仿宋_GB2312"/>
                <w:b/>
                <w:bCs/>
                <w:sz w:val="21"/>
                <w:szCs w:val="21"/>
              </w:rPr>
              <w:t>估价方法定义</w:t>
            </w:r>
          </w:p>
        </w:tc>
        <w:tc>
          <w:tcPr>
            <w:tcW w:w="4070" w:type="dxa"/>
            <w:tcBorders>
              <w:top w:val="double" w:color="auto" w:sz="4" w:space="0"/>
            </w:tcBorders>
            <w:vAlign w:val="center"/>
          </w:tcPr>
          <w:p>
            <w:pPr>
              <w:pStyle w:val="26"/>
              <w:tabs>
                <w:tab w:val="left" w:pos="630"/>
              </w:tabs>
              <w:spacing w:line="240" w:lineRule="exact"/>
              <w:ind w:left="-13" w:leftChars="-6" w:firstLine="0"/>
              <w:jc w:val="center"/>
              <w:rPr>
                <w:rFonts w:eastAsia="仿宋_GB2312"/>
                <w:b/>
                <w:bCs/>
                <w:sz w:val="21"/>
                <w:szCs w:val="21"/>
              </w:rPr>
            </w:pPr>
            <w:r>
              <w:rPr>
                <w:rFonts w:eastAsia="仿宋_GB2312"/>
                <w:b/>
                <w:bCs/>
                <w:sz w:val="21"/>
                <w:szCs w:val="21"/>
              </w:rPr>
              <w:t>估价方法是否选择理由</w:t>
            </w:r>
          </w:p>
        </w:tc>
        <w:tc>
          <w:tcPr>
            <w:tcW w:w="818" w:type="dxa"/>
            <w:tcBorders>
              <w:top w:val="double" w:color="auto" w:sz="4" w:space="0"/>
            </w:tcBorders>
            <w:vAlign w:val="center"/>
          </w:tcPr>
          <w:p>
            <w:pPr>
              <w:pStyle w:val="26"/>
              <w:tabs>
                <w:tab w:val="left" w:pos="630"/>
              </w:tabs>
              <w:spacing w:line="240" w:lineRule="exact"/>
              <w:ind w:left="-13" w:leftChars="-6" w:firstLine="0"/>
              <w:jc w:val="center"/>
              <w:rPr>
                <w:rFonts w:eastAsia="仿宋_GB2312"/>
                <w:b/>
                <w:bCs/>
                <w:sz w:val="21"/>
                <w:szCs w:val="21"/>
              </w:rPr>
            </w:pPr>
            <w:r>
              <w:rPr>
                <w:rFonts w:eastAsia="仿宋_GB2312"/>
                <w:b/>
                <w:bCs/>
                <w:sz w:val="21"/>
                <w:szCs w:val="21"/>
              </w:rPr>
              <w:t>是否选取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78" w:hRule="atLeast"/>
          <w:jc w:val="center"/>
        </w:trPr>
        <w:tc>
          <w:tcPr>
            <w:tcW w:w="1058" w:type="dxa"/>
            <w:vAlign w:val="center"/>
          </w:tcPr>
          <w:p>
            <w:pPr>
              <w:spacing w:line="240" w:lineRule="exact"/>
              <w:jc w:val="center"/>
              <w:rPr>
                <w:rFonts w:eastAsia="仿宋_GB2312"/>
                <w:b/>
                <w:bCs/>
              </w:rPr>
            </w:pPr>
            <w:r>
              <w:rPr>
                <w:rFonts w:eastAsia="仿宋_GB2312"/>
                <w:b/>
                <w:bCs/>
              </w:rPr>
              <w:t>比较法</w:t>
            </w:r>
          </w:p>
        </w:tc>
        <w:tc>
          <w:tcPr>
            <w:tcW w:w="3461" w:type="dxa"/>
            <w:vAlign w:val="center"/>
          </w:tcPr>
          <w:p>
            <w:pPr>
              <w:widowControl/>
              <w:spacing w:line="240" w:lineRule="exact"/>
              <w:jc w:val="left"/>
              <w:rPr>
                <w:rFonts w:eastAsia="仿宋_GB2312"/>
              </w:rPr>
            </w:pPr>
            <w:r>
              <w:rPr>
                <w:rFonts w:eastAsia="仿宋_GB2312"/>
              </w:rPr>
              <w:t>选取一定数量的可比实例，将它们与估价对象进行比较，根据其间的差异对可比实例成交价格进行处理后得到估价对象价值或价格的方法</w:t>
            </w:r>
          </w:p>
        </w:tc>
        <w:tc>
          <w:tcPr>
            <w:tcW w:w="4070" w:type="dxa"/>
            <w:vAlign w:val="center"/>
          </w:tcPr>
          <w:p>
            <w:pPr>
              <w:widowControl/>
              <w:spacing w:line="240" w:lineRule="exact"/>
              <w:jc w:val="left"/>
              <w:rPr>
                <w:rFonts w:eastAsia="仿宋_GB2312"/>
                <w:highlight w:val="yellow"/>
              </w:rPr>
            </w:pPr>
            <w:r>
              <w:rPr>
                <w:rFonts w:eastAsia="仿宋_GB2312"/>
              </w:rPr>
              <w:t>估价对象规划用途为在建工程，所在区域与估价对象相似的可比案例（同一供需圈内、用途一致、邻近区域）较少，故本次评估不选取比较法作为评估方法。</w:t>
            </w:r>
          </w:p>
        </w:tc>
        <w:tc>
          <w:tcPr>
            <w:tcW w:w="818" w:type="dxa"/>
            <w:vAlign w:val="center"/>
          </w:tcPr>
          <w:p>
            <w:pPr>
              <w:widowControl/>
              <w:spacing w:line="240" w:lineRule="exact"/>
              <w:jc w:val="center"/>
              <w:rPr>
                <w:rFonts w:eastAsia="仿宋_GB2312"/>
              </w:rPr>
            </w:pPr>
            <w:r>
              <w:rPr>
                <w:rFonts w:eastAsia="仿宋_GB2312"/>
              </w:rPr>
              <w:t>不选取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09" w:hRule="atLeast"/>
          <w:jc w:val="center"/>
        </w:trPr>
        <w:tc>
          <w:tcPr>
            <w:tcW w:w="1058" w:type="dxa"/>
            <w:vAlign w:val="center"/>
          </w:tcPr>
          <w:p>
            <w:pPr>
              <w:spacing w:line="240" w:lineRule="exact"/>
              <w:jc w:val="center"/>
              <w:rPr>
                <w:rFonts w:eastAsia="仿宋_GB2312"/>
                <w:b/>
                <w:bCs/>
              </w:rPr>
            </w:pPr>
            <w:r>
              <w:rPr>
                <w:rFonts w:eastAsia="仿宋_GB2312"/>
                <w:b/>
                <w:bCs/>
              </w:rPr>
              <w:t>收益法</w:t>
            </w:r>
          </w:p>
        </w:tc>
        <w:tc>
          <w:tcPr>
            <w:tcW w:w="3461" w:type="dxa"/>
            <w:vAlign w:val="center"/>
          </w:tcPr>
          <w:p>
            <w:pPr>
              <w:widowControl/>
              <w:spacing w:line="240" w:lineRule="exact"/>
              <w:jc w:val="left"/>
              <w:rPr>
                <w:rFonts w:eastAsia="仿宋_GB2312"/>
              </w:rPr>
            </w:pPr>
            <w:r>
              <w:rPr>
                <w:rFonts w:eastAsia="仿宋_GB2312"/>
              </w:rPr>
              <w:t>预测估价对象的未来收益，利用报酬率或资本化率、收益乘数将未来收益转换为价值得到估价对象价值或价格的方法。</w:t>
            </w:r>
          </w:p>
        </w:tc>
        <w:tc>
          <w:tcPr>
            <w:tcW w:w="4070" w:type="dxa"/>
            <w:vAlign w:val="center"/>
          </w:tcPr>
          <w:p>
            <w:pPr>
              <w:spacing w:line="240" w:lineRule="exact"/>
              <w:ind w:firstLine="210" w:firstLineChars="100"/>
              <w:jc w:val="center"/>
              <w:rPr>
                <w:rFonts w:eastAsia="仿宋_GB2312"/>
              </w:rPr>
            </w:pPr>
            <w:r>
              <w:rPr>
                <w:rFonts w:eastAsia="仿宋_GB2312"/>
              </w:rPr>
              <w:t>收益法适宜用于收益性物业评估，即为有经济收益或有潜在经济收益的房地产，估价对象为住宅用途物业，报酬率不好把握，故本次评估不选取收益法进行估价。</w:t>
            </w:r>
          </w:p>
        </w:tc>
        <w:tc>
          <w:tcPr>
            <w:tcW w:w="818" w:type="dxa"/>
            <w:vAlign w:val="center"/>
          </w:tcPr>
          <w:p>
            <w:pPr>
              <w:spacing w:line="240" w:lineRule="exact"/>
              <w:jc w:val="center"/>
              <w:rPr>
                <w:rFonts w:eastAsia="仿宋_GB2312"/>
              </w:rPr>
            </w:pPr>
            <w:r>
              <w:rPr>
                <w:rFonts w:eastAsia="仿宋_GB2312"/>
              </w:rPr>
              <w:t>不选取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15" w:hRule="atLeast"/>
          <w:jc w:val="center"/>
        </w:trPr>
        <w:tc>
          <w:tcPr>
            <w:tcW w:w="1058" w:type="dxa"/>
            <w:vAlign w:val="center"/>
          </w:tcPr>
          <w:p>
            <w:pPr>
              <w:spacing w:line="240" w:lineRule="exact"/>
              <w:jc w:val="center"/>
              <w:rPr>
                <w:rFonts w:eastAsia="仿宋_GB2312"/>
                <w:b/>
                <w:bCs/>
              </w:rPr>
            </w:pPr>
            <w:r>
              <w:rPr>
                <w:rFonts w:eastAsia="仿宋_GB2312"/>
                <w:b/>
                <w:bCs/>
              </w:rPr>
              <w:t>假设开发法</w:t>
            </w:r>
          </w:p>
        </w:tc>
        <w:tc>
          <w:tcPr>
            <w:tcW w:w="3461" w:type="dxa"/>
            <w:vAlign w:val="center"/>
          </w:tcPr>
          <w:p>
            <w:pPr>
              <w:spacing w:line="240" w:lineRule="exact"/>
              <w:rPr>
                <w:rFonts w:eastAsia="仿宋_GB2312"/>
              </w:rPr>
            </w:pPr>
            <w:r>
              <w:rPr>
                <w:rFonts w:eastAsia="仿宋_GB2312"/>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4070" w:type="dxa"/>
            <w:vAlign w:val="center"/>
          </w:tcPr>
          <w:p>
            <w:pPr>
              <w:spacing w:line="240" w:lineRule="exact"/>
              <w:ind w:firstLine="210" w:firstLineChars="100"/>
              <w:jc w:val="center"/>
              <w:rPr>
                <w:rFonts w:eastAsia="仿宋_GB2312"/>
              </w:rPr>
            </w:pPr>
            <w:r>
              <w:rPr>
                <w:rFonts w:eastAsia="仿宋_GB2312"/>
              </w:rPr>
              <w:t>假设开发法适用于评估具有投资开发价值或再开发潜力的房地产，估价对象为已完成开发的住宅物业，故本次评估选取假设开发法作为估价方法。</w:t>
            </w:r>
          </w:p>
        </w:tc>
        <w:tc>
          <w:tcPr>
            <w:tcW w:w="818" w:type="dxa"/>
            <w:vAlign w:val="center"/>
          </w:tcPr>
          <w:p>
            <w:pPr>
              <w:spacing w:line="240" w:lineRule="exact"/>
              <w:jc w:val="center"/>
              <w:rPr>
                <w:rFonts w:eastAsia="仿宋_GB2312"/>
              </w:rPr>
            </w:pPr>
            <w:r>
              <w:rPr>
                <w:rFonts w:eastAsia="仿宋_GB2312"/>
              </w:rPr>
              <w:t>选取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1058" w:type="dxa"/>
            <w:tcBorders>
              <w:bottom w:val="double" w:color="auto" w:sz="4" w:space="0"/>
            </w:tcBorders>
            <w:vAlign w:val="center"/>
          </w:tcPr>
          <w:p>
            <w:pPr>
              <w:spacing w:line="240" w:lineRule="exact"/>
              <w:jc w:val="center"/>
              <w:rPr>
                <w:rFonts w:eastAsia="仿宋_GB2312"/>
                <w:b/>
                <w:bCs/>
              </w:rPr>
            </w:pPr>
            <w:r>
              <w:rPr>
                <w:rFonts w:eastAsia="仿宋_GB2312"/>
                <w:b/>
                <w:bCs/>
              </w:rPr>
              <w:t>成本法</w:t>
            </w:r>
          </w:p>
        </w:tc>
        <w:tc>
          <w:tcPr>
            <w:tcW w:w="3461" w:type="dxa"/>
            <w:tcBorders>
              <w:bottom w:val="double" w:color="auto" w:sz="4" w:space="0"/>
            </w:tcBorders>
            <w:vAlign w:val="center"/>
          </w:tcPr>
          <w:p>
            <w:pPr>
              <w:spacing w:line="240" w:lineRule="exact"/>
              <w:rPr>
                <w:rFonts w:eastAsia="仿宋_GB2312"/>
              </w:rPr>
            </w:pPr>
            <w:r>
              <w:rPr>
                <w:rFonts w:eastAsia="仿宋_GB2312"/>
              </w:rPr>
              <w:t>测算估价对象在价值时点的重置成本或重建成本和折旧，将重置成本或重建成本减去折旧得到估价对象价值或价格的方法。</w:t>
            </w:r>
          </w:p>
        </w:tc>
        <w:tc>
          <w:tcPr>
            <w:tcW w:w="4070" w:type="dxa"/>
            <w:tcBorders>
              <w:bottom w:val="double" w:color="auto" w:sz="4" w:space="0"/>
            </w:tcBorders>
            <w:vAlign w:val="center"/>
          </w:tcPr>
          <w:p>
            <w:pPr>
              <w:spacing w:line="240" w:lineRule="exact"/>
              <w:ind w:firstLine="210" w:firstLineChars="100"/>
              <w:jc w:val="center"/>
              <w:rPr>
                <w:rFonts w:eastAsia="仿宋_GB2312"/>
              </w:rPr>
            </w:pPr>
            <w:r>
              <w:rPr>
                <w:rFonts w:eastAsia="仿宋_GB2312"/>
              </w:rPr>
              <w:t>运用成本法测算的结果不能较好反映估价对象市场价值，故不选取成本法进行评估。</w:t>
            </w:r>
          </w:p>
        </w:tc>
        <w:tc>
          <w:tcPr>
            <w:tcW w:w="818" w:type="dxa"/>
            <w:tcBorders>
              <w:bottom w:val="double" w:color="auto" w:sz="4" w:space="0"/>
            </w:tcBorders>
            <w:vAlign w:val="center"/>
          </w:tcPr>
          <w:p>
            <w:pPr>
              <w:spacing w:line="240" w:lineRule="exact"/>
              <w:jc w:val="center"/>
              <w:rPr>
                <w:rFonts w:eastAsia="仿宋_GB2312"/>
              </w:rPr>
            </w:pPr>
            <w:r>
              <w:rPr>
                <w:rFonts w:eastAsia="仿宋_GB2312"/>
              </w:rPr>
              <w:t>不选取</w:t>
            </w:r>
          </w:p>
        </w:tc>
      </w:tr>
    </w:tbl>
    <w:p>
      <w:pPr>
        <w:pStyle w:val="37"/>
        <w:snapToGrid w:val="0"/>
        <w:spacing w:line="500" w:lineRule="exact"/>
        <w:ind w:firstLine="590"/>
        <w:rPr>
          <w:rFonts w:ascii="Times New Roman" w:eastAsia="仿宋_GB2312" w:cs="Times New Roman"/>
          <w:b/>
          <w:bCs/>
        </w:rPr>
      </w:pPr>
      <w:r>
        <w:rPr>
          <w:rFonts w:ascii="Times New Roman" w:eastAsia="仿宋_GB2312" w:cs="Times New Roman"/>
          <w:b/>
          <w:bCs/>
        </w:rPr>
        <w:t>2．本次选用估价方法定义及基本公式</w:t>
      </w:r>
    </w:p>
    <w:p>
      <w:pPr>
        <w:tabs>
          <w:tab w:val="left" w:pos="993"/>
        </w:tabs>
        <w:adjustRightInd w:val="0"/>
        <w:snapToGrid w:val="0"/>
        <w:spacing w:line="500" w:lineRule="exact"/>
        <w:ind w:firstLine="562" w:firstLineChars="200"/>
        <w:rPr>
          <w:rFonts w:eastAsia="仿宋_GB2312"/>
          <w:sz w:val="28"/>
          <w:szCs w:val="28"/>
        </w:rPr>
      </w:pPr>
      <w:bookmarkStart w:id="164" w:name="_Toc12870217"/>
      <w:r>
        <w:rPr>
          <w:rFonts w:eastAsia="仿宋_GB2312"/>
          <w:b/>
          <w:bCs/>
          <w:sz w:val="28"/>
          <w:szCs w:val="28"/>
        </w:rPr>
        <w:t>假设开发法</w:t>
      </w:r>
      <w:r>
        <w:rPr>
          <w:rFonts w:eastAsia="仿宋_GB2312"/>
          <w:sz w:val="28"/>
          <w:szCs w:val="28"/>
        </w:rPr>
        <w:t>，是根据估价对象预期开发完成后的价值来求取估价对象价值或者价格的方法。其基本公式为：</w:t>
      </w:r>
    </w:p>
    <w:p>
      <w:pPr>
        <w:tabs>
          <w:tab w:val="left" w:pos="993"/>
        </w:tabs>
        <w:adjustRightInd w:val="0"/>
        <w:snapToGrid w:val="0"/>
        <w:spacing w:line="500" w:lineRule="exact"/>
        <w:ind w:firstLine="560" w:firstLineChars="200"/>
        <w:rPr>
          <w:rFonts w:eastAsia="仿宋_GB2312"/>
          <w:sz w:val="28"/>
          <w:szCs w:val="28"/>
        </w:rPr>
      </w:pPr>
      <w:r>
        <w:rPr>
          <w:rFonts w:eastAsia="仿宋_GB2312"/>
          <w:sz w:val="28"/>
          <w:szCs w:val="28"/>
        </w:rPr>
        <w:t>待开发房地产价值＝开发完成后的价值-后续开发的必要支出及应得利润</w:t>
      </w:r>
    </w:p>
    <w:p>
      <w:pPr>
        <w:pStyle w:val="3"/>
        <w:spacing w:before="0" w:after="0" w:line="500" w:lineRule="exact"/>
        <w:rPr>
          <w:rFonts w:ascii="Times New Roman" w:hAnsi="Times New Roman" w:eastAsia="仿宋_GB2312" w:cs="Times New Roman"/>
          <w:b w:val="0"/>
          <w:bCs w:val="0"/>
          <w:sz w:val="28"/>
          <w:szCs w:val="28"/>
        </w:rPr>
      </w:pPr>
      <w:r>
        <w:rPr>
          <w:rFonts w:ascii="Times New Roman" w:hAnsi="Times New Roman" w:eastAsia="仿宋_GB2312" w:cs="Times New Roman"/>
          <w:sz w:val="28"/>
          <w:szCs w:val="28"/>
        </w:rPr>
        <w:t>（十）估价结果</w:t>
      </w:r>
      <w:bookmarkEnd w:id="153"/>
      <w:bookmarkEnd w:id="154"/>
      <w:bookmarkEnd w:id="155"/>
      <w:bookmarkEnd w:id="156"/>
      <w:bookmarkEnd w:id="157"/>
      <w:bookmarkEnd w:id="158"/>
      <w:bookmarkEnd w:id="159"/>
      <w:bookmarkEnd w:id="160"/>
      <w:bookmarkEnd w:id="161"/>
      <w:bookmarkEnd w:id="162"/>
      <w:bookmarkEnd w:id="163"/>
      <w:bookmarkEnd w:id="164"/>
    </w:p>
    <w:p>
      <w:pPr>
        <w:tabs>
          <w:tab w:val="left" w:pos="993"/>
        </w:tabs>
        <w:adjustRightInd w:val="0"/>
        <w:snapToGrid w:val="0"/>
        <w:spacing w:line="500" w:lineRule="exact"/>
        <w:ind w:firstLine="560" w:firstLineChars="200"/>
        <w:rPr>
          <w:rFonts w:eastAsia="仿宋_GB2312"/>
          <w:sz w:val="28"/>
          <w:szCs w:val="28"/>
        </w:rPr>
      </w:pPr>
      <w:bookmarkStart w:id="165" w:name="_Toc254875149"/>
      <w:bookmarkStart w:id="166" w:name="_Toc243111695"/>
      <w:bookmarkStart w:id="167" w:name="_Toc301369725"/>
      <w:bookmarkStart w:id="168" w:name="_Toc367869507"/>
      <w:bookmarkStart w:id="169" w:name="_Toc254860135"/>
      <w:bookmarkStart w:id="170" w:name="_Toc270691077"/>
      <w:bookmarkStart w:id="171" w:name="_Toc130033731"/>
      <w:bookmarkStart w:id="172" w:name="_Toc269132878"/>
      <w:bookmarkStart w:id="173" w:name="_Toc135016181"/>
      <w:bookmarkStart w:id="174" w:name="_Toc243111724"/>
      <w:r>
        <w:rPr>
          <w:rFonts w:eastAsia="仿宋_GB2312"/>
          <w:sz w:val="28"/>
          <w:szCs w:val="28"/>
        </w:rPr>
        <w:t>估价人员遵循各项估价原则，根据估价目的和国家有关房地产估价的规范、规定，按照估价程序，经过实地查勘与市场调查，并进行了测算，确定估价对象在满足全部假设和限制条件下于价值时点2020年1月10日的估价结果为</w:t>
      </w:r>
      <w:bookmarkStart w:id="175" w:name="_Toc435110692"/>
      <w:r>
        <w:rPr>
          <w:rFonts w:eastAsia="仿宋_GB2312"/>
          <w:b/>
          <w:bCs/>
          <w:sz w:val="28"/>
          <w:szCs w:val="28"/>
        </w:rPr>
        <w:t>￥849.0316万元，</w:t>
      </w:r>
      <w:r>
        <w:rPr>
          <w:rFonts w:eastAsia="仿宋_GB2312"/>
          <w:sz w:val="28"/>
          <w:szCs w:val="28"/>
        </w:rPr>
        <w:t>人民币大写</w:t>
      </w:r>
      <w:r>
        <w:rPr>
          <w:rFonts w:eastAsia="仿宋_GB2312"/>
          <w:b/>
          <w:bCs/>
          <w:sz w:val="28"/>
          <w:szCs w:val="28"/>
        </w:rPr>
        <w:t>捌佰肆拾玖万零叁佰壹拾陆</w:t>
      </w:r>
      <w:r>
        <w:rPr>
          <w:rFonts w:eastAsia="仿宋_GB2312"/>
          <w:sz w:val="28"/>
          <w:szCs w:val="28"/>
        </w:rPr>
        <w:t>元整</w:t>
      </w:r>
      <w:r>
        <w:rPr>
          <w:rFonts w:eastAsia="仿宋_GB2312"/>
          <w:b/>
          <w:bCs/>
          <w:sz w:val="28"/>
          <w:szCs w:val="28"/>
        </w:rPr>
        <w:t>。</w:t>
      </w:r>
      <w:r>
        <w:rPr>
          <w:rFonts w:eastAsia="仿宋_GB2312"/>
          <w:sz w:val="28"/>
          <w:szCs w:val="28"/>
        </w:rPr>
        <w:t>（详见致估价委托人函）</w:t>
      </w:r>
    </w:p>
    <w:bookmarkEnd w:id="165"/>
    <w:bookmarkEnd w:id="166"/>
    <w:bookmarkEnd w:id="167"/>
    <w:bookmarkEnd w:id="168"/>
    <w:bookmarkEnd w:id="169"/>
    <w:bookmarkEnd w:id="170"/>
    <w:bookmarkEnd w:id="171"/>
    <w:bookmarkEnd w:id="172"/>
    <w:bookmarkEnd w:id="173"/>
    <w:bookmarkEnd w:id="174"/>
    <w:p>
      <w:pPr>
        <w:pStyle w:val="3"/>
        <w:spacing w:before="0" w:after="0" w:line="500" w:lineRule="exact"/>
        <w:rPr>
          <w:rFonts w:ascii="Times New Roman" w:hAnsi="Times New Roman" w:eastAsia="仿宋_GB2312" w:cs="Times New Roman"/>
          <w:sz w:val="28"/>
          <w:szCs w:val="28"/>
        </w:rPr>
      </w:pPr>
      <w:bookmarkStart w:id="176" w:name="_Toc387827702"/>
      <w:bookmarkStart w:id="177" w:name="_Toc12870218"/>
    </w:p>
    <w:p>
      <w:pPr>
        <w:rPr>
          <w:rFonts w:eastAsia="仿宋_GB2312"/>
          <w:sz w:val="28"/>
          <w:szCs w:val="28"/>
        </w:rPr>
      </w:pPr>
    </w:p>
    <w:p>
      <w:pPr>
        <w:rPr>
          <w:rFonts w:eastAsia="仿宋_GB2312"/>
          <w:sz w:val="28"/>
          <w:szCs w:val="28"/>
        </w:rPr>
      </w:pPr>
    </w:p>
    <w:p>
      <w:pPr>
        <w:rPr>
          <w:rFonts w:eastAsia="仿宋_GB2312"/>
          <w:sz w:val="28"/>
          <w:szCs w:val="28"/>
        </w:rPr>
      </w:pPr>
    </w:p>
    <w:p>
      <w:pPr>
        <w:pStyle w:val="3"/>
        <w:spacing w:before="0" w:after="0"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（十一）注册房地产估价师</w:t>
      </w:r>
      <w:bookmarkEnd w:id="175"/>
      <w:bookmarkEnd w:id="176"/>
      <w:bookmarkEnd w:id="177"/>
    </w:p>
    <w:p>
      <w:pPr>
        <w:adjustRightInd w:val="0"/>
        <w:snapToGrid w:val="0"/>
        <w:spacing w:line="500" w:lineRule="exact"/>
        <w:jc w:val="center"/>
        <w:rPr>
          <w:rFonts w:eastAsia="仿宋_GB2312"/>
          <w:sz w:val="28"/>
          <w:szCs w:val="28"/>
        </w:rPr>
      </w:pPr>
      <w:bookmarkStart w:id="178" w:name="_Toc135016182"/>
      <w:bookmarkStart w:id="179" w:name="_Toc301369726"/>
      <w:bookmarkStart w:id="180" w:name="_Toc130033732"/>
      <w:bookmarkStart w:id="181" w:name="_Toc254875150"/>
      <w:bookmarkStart w:id="182" w:name="_Toc367869508"/>
      <w:bookmarkStart w:id="183" w:name="_Toc270691078"/>
      <w:bookmarkStart w:id="184" w:name="_Toc243111696"/>
      <w:bookmarkStart w:id="185" w:name="_Toc254860136"/>
      <w:bookmarkStart w:id="186" w:name="_Toc243111725"/>
      <w:bookmarkStart w:id="187" w:name="_Toc269132879"/>
      <w:bookmarkStart w:id="188" w:name="_Toc435110693"/>
      <w:r>
        <w:rPr>
          <w:rFonts w:eastAsia="仿宋_GB2312"/>
          <w:sz w:val="28"/>
          <w:szCs w:val="28"/>
        </w:rPr>
        <w:t>注册房地产估价师</w:t>
      </w:r>
    </w:p>
    <w:tbl>
      <w:tblPr>
        <w:tblStyle w:val="50"/>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0"/>
        <w:gridCol w:w="3080"/>
        <w:gridCol w:w="2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3080" w:type="dxa"/>
            <w:vAlign w:val="center"/>
          </w:tcPr>
          <w:p>
            <w:pPr>
              <w:adjustRightInd w:val="0"/>
              <w:spacing w:line="460" w:lineRule="exact"/>
              <w:jc w:val="center"/>
              <w:textAlignment w:val="baseline"/>
              <w:rPr>
                <w:rFonts w:eastAsia="仿宋_GB2312"/>
                <w:kern w:val="0"/>
                <w:sz w:val="28"/>
                <w:szCs w:val="28"/>
              </w:rPr>
            </w:pPr>
            <w:r>
              <w:rPr>
                <w:rFonts w:eastAsia="仿宋_GB2312"/>
                <w:kern w:val="0"/>
                <w:sz w:val="28"/>
                <w:szCs w:val="28"/>
              </w:rPr>
              <w:t>姓名</w:t>
            </w:r>
          </w:p>
        </w:tc>
        <w:tc>
          <w:tcPr>
            <w:tcW w:w="3080" w:type="dxa"/>
            <w:vAlign w:val="center"/>
          </w:tcPr>
          <w:p>
            <w:pPr>
              <w:adjustRightInd w:val="0"/>
              <w:spacing w:line="460" w:lineRule="exact"/>
              <w:jc w:val="center"/>
              <w:textAlignment w:val="baseline"/>
              <w:rPr>
                <w:rFonts w:eastAsia="仿宋_GB2312"/>
                <w:kern w:val="0"/>
                <w:sz w:val="28"/>
                <w:szCs w:val="28"/>
              </w:rPr>
            </w:pPr>
            <w:r>
              <w:rPr>
                <w:rFonts w:eastAsia="仿宋_GB2312"/>
                <w:kern w:val="0"/>
                <w:sz w:val="28"/>
                <w:szCs w:val="28"/>
              </w:rPr>
              <w:t>注册号</w:t>
            </w:r>
          </w:p>
        </w:tc>
        <w:tc>
          <w:tcPr>
            <w:tcW w:w="2995" w:type="dxa"/>
            <w:vAlign w:val="center"/>
          </w:tcPr>
          <w:p>
            <w:pPr>
              <w:adjustRightInd w:val="0"/>
              <w:spacing w:line="460" w:lineRule="exact"/>
              <w:jc w:val="center"/>
              <w:textAlignment w:val="baseline"/>
              <w:rPr>
                <w:rFonts w:eastAsia="仿宋_GB2312"/>
                <w:kern w:val="0"/>
                <w:sz w:val="28"/>
                <w:szCs w:val="28"/>
              </w:rPr>
            </w:pPr>
            <w:r>
              <w:rPr>
                <w:rFonts w:eastAsia="仿宋_GB2312"/>
                <w:kern w:val="0"/>
                <w:sz w:val="28"/>
                <w:szCs w:val="28"/>
              </w:rPr>
              <w:t>盖章（签名）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3080" w:type="dxa"/>
            <w:vAlign w:val="center"/>
          </w:tcPr>
          <w:p>
            <w:pPr>
              <w:adjustRightInd w:val="0"/>
              <w:spacing w:line="460" w:lineRule="exact"/>
              <w:jc w:val="center"/>
              <w:textAlignment w:val="baseline"/>
              <w:rPr>
                <w:rFonts w:eastAsia="仿宋_GB2312"/>
                <w:kern w:val="0"/>
                <w:sz w:val="28"/>
                <w:szCs w:val="28"/>
              </w:rPr>
            </w:pPr>
            <w:r>
              <w:rPr>
                <w:rFonts w:eastAsia="仿宋_GB2312"/>
                <w:kern w:val="0"/>
                <w:sz w:val="28"/>
                <w:szCs w:val="28"/>
              </w:rPr>
              <w:t>李  兰</w:t>
            </w:r>
          </w:p>
        </w:tc>
        <w:tc>
          <w:tcPr>
            <w:tcW w:w="3080" w:type="dxa"/>
            <w:vAlign w:val="center"/>
          </w:tcPr>
          <w:p>
            <w:pPr>
              <w:adjustRightInd w:val="0"/>
              <w:spacing w:line="460" w:lineRule="exact"/>
              <w:jc w:val="center"/>
              <w:textAlignment w:val="baseline"/>
              <w:rPr>
                <w:rFonts w:eastAsia="仿宋_GB2312"/>
                <w:kern w:val="0"/>
                <w:sz w:val="28"/>
                <w:szCs w:val="28"/>
              </w:rPr>
            </w:pPr>
            <w:r>
              <w:rPr>
                <w:rFonts w:eastAsia="仿宋_GB2312"/>
                <w:snapToGrid w:val="0"/>
                <w:kern w:val="0"/>
                <w:sz w:val="28"/>
                <w:szCs w:val="28"/>
              </w:rPr>
              <w:t>3619980023</w:t>
            </w:r>
          </w:p>
        </w:tc>
        <w:tc>
          <w:tcPr>
            <w:tcW w:w="2995" w:type="dxa"/>
            <w:vAlign w:val="center"/>
          </w:tcPr>
          <w:p>
            <w:pPr>
              <w:adjustRightInd w:val="0"/>
              <w:spacing w:line="460" w:lineRule="exact"/>
              <w:jc w:val="center"/>
              <w:textAlignment w:val="baseline"/>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3080" w:type="dxa"/>
            <w:vAlign w:val="center"/>
          </w:tcPr>
          <w:p>
            <w:pPr>
              <w:adjustRightInd w:val="0"/>
              <w:spacing w:line="460" w:lineRule="exact"/>
              <w:jc w:val="center"/>
              <w:textAlignment w:val="baseline"/>
              <w:rPr>
                <w:rFonts w:eastAsia="仿宋_GB2312"/>
                <w:kern w:val="0"/>
                <w:sz w:val="28"/>
                <w:szCs w:val="28"/>
              </w:rPr>
            </w:pPr>
            <w:r>
              <w:rPr>
                <w:rFonts w:eastAsia="仿宋_GB2312"/>
                <w:kern w:val="0"/>
                <w:sz w:val="28"/>
                <w:szCs w:val="28"/>
              </w:rPr>
              <w:t>李学群</w:t>
            </w:r>
          </w:p>
        </w:tc>
        <w:tc>
          <w:tcPr>
            <w:tcW w:w="3080" w:type="dxa"/>
            <w:vAlign w:val="center"/>
          </w:tcPr>
          <w:p>
            <w:pPr>
              <w:adjustRightInd w:val="0"/>
              <w:spacing w:line="460" w:lineRule="exact"/>
              <w:jc w:val="center"/>
              <w:textAlignment w:val="baseline"/>
              <w:rPr>
                <w:rFonts w:eastAsia="仿宋_GB2312"/>
                <w:kern w:val="0"/>
                <w:sz w:val="28"/>
                <w:szCs w:val="28"/>
              </w:rPr>
            </w:pPr>
            <w:r>
              <w:rPr>
                <w:rFonts w:eastAsia="仿宋_GB2312"/>
                <w:snapToGrid w:val="0"/>
                <w:kern w:val="0"/>
                <w:sz w:val="28"/>
                <w:szCs w:val="28"/>
              </w:rPr>
              <w:t>3619970010</w:t>
            </w:r>
          </w:p>
        </w:tc>
        <w:tc>
          <w:tcPr>
            <w:tcW w:w="2995" w:type="dxa"/>
            <w:vAlign w:val="center"/>
          </w:tcPr>
          <w:p>
            <w:pPr>
              <w:adjustRightInd w:val="0"/>
              <w:spacing w:line="460" w:lineRule="exact"/>
              <w:jc w:val="center"/>
              <w:textAlignment w:val="baseline"/>
              <w:rPr>
                <w:rFonts w:eastAsia="仿宋_GB2312"/>
                <w:kern w:val="0"/>
                <w:sz w:val="28"/>
                <w:szCs w:val="28"/>
              </w:rPr>
            </w:pPr>
          </w:p>
        </w:tc>
      </w:tr>
    </w:tbl>
    <w:p>
      <w:pPr>
        <w:pStyle w:val="3"/>
        <w:spacing w:before="0" w:after="0" w:line="500" w:lineRule="exact"/>
        <w:rPr>
          <w:rFonts w:ascii="Times New Roman" w:hAnsi="Times New Roman" w:eastAsia="仿宋_GB2312" w:cs="Times New Roman"/>
          <w:b w:val="0"/>
          <w:bCs w:val="0"/>
          <w:sz w:val="28"/>
          <w:szCs w:val="28"/>
        </w:rPr>
      </w:pPr>
      <w:bookmarkStart w:id="189" w:name="_Toc12870219"/>
      <w:r>
        <w:rPr>
          <w:rFonts w:ascii="Times New Roman" w:hAnsi="Times New Roman" w:eastAsia="仿宋_GB2312" w:cs="Times New Roman"/>
          <w:sz w:val="28"/>
          <w:szCs w:val="28"/>
        </w:rPr>
        <w:t>（十二）</w:t>
      </w:r>
      <w:bookmarkEnd w:id="178"/>
      <w:bookmarkEnd w:id="179"/>
      <w:bookmarkEnd w:id="180"/>
      <w:bookmarkEnd w:id="181"/>
      <w:bookmarkEnd w:id="182"/>
      <w:bookmarkEnd w:id="183"/>
      <w:bookmarkEnd w:id="184"/>
      <w:bookmarkEnd w:id="185"/>
      <w:bookmarkEnd w:id="186"/>
      <w:bookmarkEnd w:id="187"/>
      <w:r>
        <w:rPr>
          <w:rFonts w:ascii="Times New Roman" w:hAnsi="Times New Roman" w:eastAsia="仿宋_GB2312" w:cs="Times New Roman"/>
          <w:sz w:val="28"/>
          <w:szCs w:val="28"/>
        </w:rPr>
        <w:t>实地查勘期</w:t>
      </w:r>
      <w:bookmarkEnd w:id="188"/>
      <w:bookmarkEnd w:id="189"/>
    </w:p>
    <w:p>
      <w:pPr>
        <w:spacing w:line="500" w:lineRule="exact"/>
        <w:ind w:firstLine="560" w:firstLineChars="200"/>
        <w:rPr>
          <w:rFonts w:eastAsia="仿宋_GB2312"/>
          <w:color w:val="000000" w:themeColor="text1"/>
          <w:sz w:val="28"/>
          <w:szCs w:val="28"/>
        </w:rPr>
      </w:pPr>
      <w:bookmarkStart w:id="190" w:name="_Toc135016183"/>
      <w:bookmarkStart w:id="191" w:name="_Toc301369727"/>
      <w:bookmarkStart w:id="192" w:name="_Toc367869509"/>
      <w:bookmarkStart w:id="193" w:name="_Toc254875151"/>
      <w:bookmarkStart w:id="194" w:name="_Toc269132880"/>
      <w:bookmarkStart w:id="195" w:name="_Toc254860137"/>
      <w:bookmarkStart w:id="196" w:name="_Toc270691079"/>
      <w:bookmarkStart w:id="197" w:name="_Toc243111726"/>
      <w:bookmarkStart w:id="198" w:name="_Toc243111697"/>
      <w:bookmarkStart w:id="199" w:name="_Toc130033733"/>
      <w:bookmarkStart w:id="200" w:name="_Toc435110694"/>
      <w:r>
        <w:rPr>
          <w:rFonts w:eastAsia="仿宋_GB2312"/>
          <w:color w:val="000000" w:themeColor="text1"/>
          <w:sz w:val="28"/>
          <w:szCs w:val="28"/>
        </w:rPr>
        <w:t>2020年1月10日</w:t>
      </w:r>
    </w:p>
    <w:p>
      <w:pPr>
        <w:pStyle w:val="3"/>
        <w:spacing w:before="0" w:after="0" w:line="500" w:lineRule="exact"/>
        <w:rPr>
          <w:rFonts w:ascii="Times New Roman" w:hAnsi="Times New Roman" w:eastAsia="仿宋_GB2312" w:cs="Times New Roman"/>
          <w:b w:val="0"/>
          <w:bCs w:val="0"/>
          <w:color w:val="000000" w:themeColor="text1"/>
          <w:sz w:val="28"/>
          <w:szCs w:val="28"/>
        </w:rPr>
      </w:pPr>
      <w:bookmarkStart w:id="201" w:name="_Toc12870220"/>
      <w:r>
        <w:rPr>
          <w:rFonts w:ascii="Times New Roman" w:hAnsi="Times New Roman" w:eastAsia="仿宋_GB2312" w:cs="Times New Roman"/>
          <w:color w:val="000000" w:themeColor="text1"/>
          <w:sz w:val="28"/>
          <w:szCs w:val="28"/>
        </w:rPr>
        <w:t>（十三）</w:t>
      </w:r>
      <w:bookmarkEnd w:id="190"/>
      <w:bookmarkEnd w:id="191"/>
      <w:bookmarkEnd w:id="192"/>
      <w:bookmarkEnd w:id="193"/>
      <w:bookmarkEnd w:id="194"/>
      <w:bookmarkEnd w:id="195"/>
      <w:bookmarkEnd w:id="196"/>
      <w:bookmarkEnd w:id="197"/>
      <w:bookmarkEnd w:id="198"/>
      <w:bookmarkEnd w:id="199"/>
      <w:r>
        <w:rPr>
          <w:rFonts w:ascii="Times New Roman" w:hAnsi="Times New Roman" w:eastAsia="仿宋_GB2312" w:cs="Times New Roman"/>
          <w:color w:val="000000" w:themeColor="text1"/>
          <w:sz w:val="28"/>
          <w:szCs w:val="28"/>
        </w:rPr>
        <w:t>估价作业期</w:t>
      </w:r>
      <w:bookmarkEnd w:id="200"/>
      <w:bookmarkEnd w:id="201"/>
    </w:p>
    <w:p>
      <w:pPr>
        <w:adjustRightInd w:val="0"/>
        <w:snapToGrid w:val="0"/>
        <w:spacing w:line="500" w:lineRule="exact"/>
        <w:ind w:firstLine="560" w:firstLineChars="200"/>
        <w:rPr>
          <w:rFonts w:hint="eastAsia" w:eastAsia="仿宋_GB2312"/>
          <w:sz w:val="28"/>
          <w:szCs w:val="28"/>
          <w:lang w:eastAsia="zh-CN"/>
        </w:rPr>
      </w:pPr>
      <w:bookmarkStart w:id="202" w:name="_Toc254860138"/>
      <w:bookmarkStart w:id="203" w:name="_Toc130033734"/>
      <w:bookmarkStart w:id="204" w:name="_Toc269132881"/>
      <w:bookmarkStart w:id="205" w:name="_Toc243111698"/>
      <w:bookmarkStart w:id="206" w:name="_Toc135016184"/>
      <w:bookmarkStart w:id="207" w:name="_Toc270691080"/>
      <w:bookmarkStart w:id="208" w:name="_Toc254875152"/>
      <w:bookmarkStart w:id="209" w:name="_Toc299004801"/>
      <w:bookmarkStart w:id="210" w:name="_Toc243111727"/>
      <w:bookmarkStart w:id="211" w:name="_Toc299004832"/>
      <w:r>
        <w:rPr>
          <w:rFonts w:eastAsia="仿宋_GB2312"/>
          <w:color w:val="000000" w:themeColor="text1"/>
          <w:sz w:val="28"/>
          <w:szCs w:val="28"/>
        </w:rPr>
        <w:t>2020年1月10日</w:t>
      </w:r>
      <w:r>
        <w:rPr>
          <w:rFonts w:eastAsia="仿宋_GB2312"/>
          <w:sz w:val="28"/>
          <w:szCs w:val="28"/>
        </w:rPr>
        <w:t>至</w:t>
      </w:r>
      <w:r>
        <w:rPr>
          <w:rFonts w:hint="eastAsia" w:eastAsia="仿宋_GB2312"/>
          <w:sz w:val="28"/>
          <w:szCs w:val="28"/>
          <w:lang w:eastAsia="zh-CN"/>
        </w:rPr>
        <w:t>2020年3月12日</w:t>
      </w:r>
    </w:p>
    <w:bookmarkEnd w:id="202"/>
    <w:bookmarkEnd w:id="203"/>
    <w:bookmarkEnd w:id="204"/>
    <w:bookmarkEnd w:id="205"/>
    <w:bookmarkEnd w:id="206"/>
    <w:bookmarkEnd w:id="207"/>
    <w:bookmarkEnd w:id="208"/>
    <w:bookmarkEnd w:id="209"/>
    <w:bookmarkEnd w:id="210"/>
    <w:bookmarkEnd w:id="211"/>
    <w:p>
      <w:pPr>
        <w:pStyle w:val="2"/>
        <w:spacing w:before="0" w:after="0" w:line="500" w:lineRule="exact"/>
        <w:jc w:val="center"/>
        <w:rPr>
          <w:rFonts w:eastAsia="仿宋_GB2312"/>
          <w:snapToGrid w:val="0"/>
          <w:kern w:val="0"/>
          <w:sz w:val="24"/>
          <w:szCs w:val="24"/>
        </w:rPr>
        <w:sectPr>
          <w:footerReference r:id="rId6" w:type="default"/>
          <w:pgSz w:w="11906" w:h="16838"/>
          <w:pgMar w:top="1814" w:right="1247" w:bottom="1418" w:left="1701" w:header="850" w:footer="850" w:gutter="0"/>
          <w:pgNumType w:start="1"/>
          <w:cols w:space="720" w:num="1"/>
          <w:docGrid w:linePitch="286" w:charSpace="0"/>
        </w:sectPr>
      </w:pPr>
      <w:r>
        <w:rPr>
          <w:rFonts w:eastAsia="仿宋_GB2312"/>
          <w:snapToGrid w:val="0"/>
          <w:kern w:val="0"/>
          <w:sz w:val="36"/>
          <w:szCs w:val="36"/>
        </w:rPr>
        <w:br w:type="page"/>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2"/>
        <w:adjustRightInd w:val="0"/>
        <w:snapToGrid w:val="0"/>
        <w:spacing w:beforeLines="50" w:afterLines="50" w:line="360" w:lineRule="auto"/>
        <w:jc w:val="center"/>
        <w:rPr>
          <w:rFonts w:eastAsia="仿宋_GB2312"/>
          <w:snapToGrid w:val="0"/>
          <w:spacing w:val="60"/>
          <w:sz w:val="32"/>
          <w:szCs w:val="32"/>
        </w:rPr>
      </w:pPr>
      <w:bookmarkStart w:id="212" w:name="_Toc367869510"/>
      <w:bookmarkStart w:id="213" w:name="_Toc301369728"/>
      <w:bookmarkStart w:id="214" w:name="_Toc435110707"/>
      <w:bookmarkStart w:id="215" w:name="_Toc12870221"/>
      <w:r>
        <w:rPr>
          <w:rFonts w:eastAsia="仿宋_GB2312"/>
          <w:snapToGrid w:val="0"/>
          <w:spacing w:val="60"/>
          <w:sz w:val="32"/>
          <w:szCs w:val="32"/>
        </w:rPr>
        <w:t>四、附件</w:t>
      </w:r>
      <w:bookmarkEnd w:id="212"/>
      <w:bookmarkEnd w:id="213"/>
      <w:bookmarkEnd w:id="214"/>
      <w:bookmarkEnd w:id="215"/>
    </w:p>
    <w:p>
      <w:pPr>
        <w:spacing w:line="500" w:lineRule="exact"/>
        <w:ind w:left="357"/>
        <w:rPr>
          <w:rFonts w:eastAsia="仿宋_GB2312"/>
          <w:b/>
          <w:sz w:val="28"/>
          <w:szCs w:val="28"/>
        </w:rPr>
      </w:pPr>
      <w:r>
        <w:rPr>
          <w:rFonts w:eastAsia="仿宋_GB2312"/>
          <w:b/>
          <w:sz w:val="28"/>
          <w:szCs w:val="28"/>
        </w:rPr>
        <w:t>（一）估价人员现场勘察资料附件</w:t>
      </w:r>
    </w:p>
    <w:p>
      <w:pPr>
        <w:spacing w:line="500" w:lineRule="exact"/>
        <w:ind w:left="357" w:leftChars="170" w:firstLine="182" w:firstLineChars="65"/>
        <w:rPr>
          <w:rFonts w:eastAsia="仿宋_GB2312"/>
          <w:color w:val="000000" w:themeColor="text1"/>
          <w:sz w:val="28"/>
          <w:szCs w:val="28"/>
          <w:highlight w:val="none"/>
        </w:rPr>
      </w:pPr>
      <w:r>
        <w:rPr>
          <w:rFonts w:eastAsia="仿宋_GB2312"/>
          <w:color w:val="000000" w:themeColor="text1"/>
          <w:sz w:val="28"/>
          <w:szCs w:val="28"/>
          <w:highlight w:val="none"/>
        </w:rPr>
        <w:t>1、估价对象现状照片</w:t>
      </w:r>
    </w:p>
    <w:p>
      <w:pPr>
        <w:spacing w:line="500" w:lineRule="exact"/>
        <w:ind w:firstLine="548" w:firstLineChars="196"/>
        <w:rPr>
          <w:rFonts w:eastAsia="仿宋_GB2312"/>
          <w:sz w:val="28"/>
          <w:szCs w:val="28"/>
        </w:rPr>
      </w:pPr>
      <w:r>
        <w:rPr>
          <w:rFonts w:eastAsia="仿宋_GB2312"/>
          <w:sz w:val="28"/>
          <w:szCs w:val="28"/>
          <w:highlight w:val="none"/>
        </w:rPr>
        <w:t>2、估价对象位置图</w:t>
      </w:r>
    </w:p>
    <w:p>
      <w:pPr>
        <w:spacing w:line="500" w:lineRule="exact"/>
        <w:ind w:left="357"/>
        <w:rPr>
          <w:rFonts w:eastAsia="仿宋_GB2312"/>
          <w:b/>
          <w:sz w:val="28"/>
          <w:szCs w:val="28"/>
        </w:rPr>
      </w:pPr>
      <w:r>
        <w:rPr>
          <w:rFonts w:eastAsia="仿宋_GB2312"/>
          <w:b/>
          <w:sz w:val="28"/>
          <w:szCs w:val="28"/>
        </w:rPr>
        <w:t>（二）委托方提供的附件</w:t>
      </w:r>
    </w:p>
    <w:p>
      <w:pPr>
        <w:widowControl/>
        <w:snapToGrid w:val="0"/>
        <w:spacing w:line="500" w:lineRule="exact"/>
        <w:ind w:firstLine="560" w:firstLineChars="200"/>
        <w:jc w:val="left"/>
        <w:rPr>
          <w:rFonts w:eastAsia="仿宋_GB2312"/>
          <w:sz w:val="28"/>
          <w:szCs w:val="28"/>
        </w:rPr>
      </w:pPr>
      <w:r>
        <w:rPr>
          <w:rFonts w:eastAsia="仿宋_GB2312"/>
          <w:sz w:val="28"/>
          <w:szCs w:val="28"/>
        </w:rPr>
        <w:t>（1）江西省九江市中级人民法院委托书[（2015）九中执字第50号]；</w:t>
      </w:r>
    </w:p>
    <w:p>
      <w:pPr>
        <w:widowControl/>
        <w:snapToGrid w:val="0"/>
        <w:spacing w:line="500" w:lineRule="exact"/>
        <w:ind w:firstLine="560" w:firstLineChars="200"/>
        <w:jc w:val="left"/>
        <w:rPr>
          <w:rFonts w:eastAsia="仿宋_GB2312"/>
          <w:sz w:val="28"/>
          <w:szCs w:val="28"/>
        </w:rPr>
      </w:pPr>
      <w:r>
        <w:rPr>
          <w:rFonts w:eastAsia="仿宋_GB2312"/>
          <w:sz w:val="28"/>
          <w:szCs w:val="28"/>
        </w:rPr>
        <w:t>（2）《房屋登记簿》（复印件）</w:t>
      </w:r>
    </w:p>
    <w:p>
      <w:pPr>
        <w:widowControl/>
        <w:snapToGrid w:val="0"/>
        <w:spacing w:line="500" w:lineRule="exact"/>
        <w:ind w:firstLine="560" w:firstLineChars="200"/>
        <w:jc w:val="left"/>
        <w:rPr>
          <w:rFonts w:eastAsia="仿宋_GB2312"/>
          <w:sz w:val="28"/>
          <w:szCs w:val="28"/>
        </w:rPr>
      </w:pPr>
      <w:r>
        <w:rPr>
          <w:rFonts w:eastAsia="仿宋_GB2312"/>
          <w:sz w:val="28"/>
          <w:szCs w:val="28"/>
        </w:rPr>
        <w:t>（3）《建筑工程施工许可证》（复印件）</w:t>
      </w:r>
    </w:p>
    <w:p>
      <w:pPr>
        <w:widowControl/>
        <w:snapToGrid w:val="0"/>
        <w:spacing w:line="500" w:lineRule="exact"/>
        <w:ind w:firstLine="560" w:firstLineChars="200"/>
        <w:jc w:val="left"/>
        <w:rPr>
          <w:rFonts w:eastAsia="仿宋_GB2312"/>
          <w:sz w:val="28"/>
          <w:szCs w:val="28"/>
        </w:rPr>
      </w:pPr>
      <w:r>
        <w:rPr>
          <w:rFonts w:eastAsia="仿宋_GB2312"/>
          <w:sz w:val="28"/>
          <w:szCs w:val="28"/>
        </w:rPr>
        <w:t>（4）《建筑工程规划许可证》（复印件）</w:t>
      </w:r>
    </w:p>
    <w:p>
      <w:pPr>
        <w:widowControl/>
        <w:snapToGrid w:val="0"/>
        <w:spacing w:line="500" w:lineRule="exact"/>
        <w:ind w:firstLine="560" w:firstLineChars="200"/>
        <w:jc w:val="left"/>
        <w:rPr>
          <w:rFonts w:eastAsia="仿宋_GB2312"/>
          <w:sz w:val="28"/>
          <w:szCs w:val="28"/>
        </w:rPr>
      </w:pPr>
      <w:r>
        <w:rPr>
          <w:rFonts w:eastAsia="仿宋_GB2312"/>
          <w:sz w:val="28"/>
          <w:szCs w:val="28"/>
        </w:rPr>
        <w:t>（5）《国有土地使用证》（复印件）</w:t>
      </w:r>
    </w:p>
    <w:p>
      <w:pPr>
        <w:widowControl/>
        <w:snapToGrid w:val="0"/>
        <w:spacing w:line="500" w:lineRule="exact"/>
        <w:ind w:firstLine="560" w:firstLineChars="200"/>
        <w:jc w:val="left"/>
        <w:rPr>
          <w:rFonts w:eastAsia="仿宋_GB2312"/>
          <w:sz w:val="28"/>
          <w:szCs w:val="28"/>
        </w:rPr>
      </w:pPr>
      <w:r>
        <w:rPr>
          <w:rFonts w:eastAsia="仿宋_GB2312"/>
          <w:sz w:val="28"/>
          <w:szCs w:val="28"/>
        </w:rPr>
        <w:t>（6）《商品房预售许可证》（复印件）</w:t>
      </w:r>
    </w:p>
    <w:p>
      <w:pPr>
        <w:spacing w:line="500" w:lineRule="exact"/>
        <w:ind w:left="549"/>
        <w:rPr>
          <w:rFonts w:eastAsia="仿宋_GB2312"/>
          <w:b/>
          <w:sz w:val="28"/>
          <w:szCs w:val="28"/>
        </w:rPr>
      </w:pPr>
      <w:r>
        <w:rPr>
          <w:rFonts w:eastAsia="仿宋_GB2312"/>
          <w:b/>
          <w:sz w:val="28"/>
          <w:szCs w:val="28"/>
        </w:rPr>
        <w:t>（三）估价机构附件</w:t>
      </w:r>
    </w:p>
    <w:p>
      <w:pPr>
        <w:spacing w:line="500" w:lineRule="exact"/>
        <w:ind w:left="357" w:leftChars="170" w:firstLine="182" w:firstLineChars="65"/>
        <w:rPr>
          <w:rFonts w:eastAsia="仿宋_GB2312"/>
          <w:sz w:val="28"/>
          <w:szCs w:val="28"/>
        </w:rPr>
      </w:pPr>
      <w:r>
        <w:rPr>
          <w:rFonts w:eastAsia="仿宋_GB2312"/>
          <w:sz w:val="28"/>
          <w:szCs w:val="28"/>
        </w:rPr>
        <w:t>1、房地产估价机构《营业执照》（复印件）</w:t>
      </w:r>
    </w:p>
    <w:p>
      <w:pPr>
        <w:spacing w:line="500" w:lineRule="exact"/>
        <w:ind w:left="357" w:leftChars="170" w:firstLine="182" w:firstLineChars="65"/>
        <w:rPr>
          <w:rFonts w:eastAsia="仿宋_GB2312"/>
          <w:sz w:val="28"/>
          <w:szCs w:val="28"/>
        </w:rPr>
      </w:pPr>
      <w:r>
        <w:rPr>
          <w:rFonts w:eastAsia="仿宋_GB2312"/>
          <w:sz w:val="28"/>
          <w:szCs w:val="28"/>
        </w:rPr>
        <w:t>2、《房地产估价机构资质证书》（复印件）</w:t>
      </w:r>
    </w:p>
    <w:p>
      <w:pPr>
        <w:spacing w:line="500" w:lineRule="exact"/>
        <w:ind w:left="357" w:leftChars="170" w:firstLine="182" w:firstLineChars="65"/>
        <w:rPr>
          <w:rFonts w:eastAsia="仿宋_GB2312"/>
          <w:sz w:val="28"/>
          <w:szCs w:val="28"/>
        </w:rPr>
      </w:pPr>
      <w:r>
        <w:rPr>
          <w:rFonts w:eastAsia="仿宋_GB2312"/>
          <w:sz w:val="28"/>
          <w:szCs w:val="28"/>
        </w:rPr>
        <w:t>3、《房地产估价师注册证》复印件</w:t>
      </w:r>
    </w:p>
    <w:p>
      <w:pPr>
        <w:pStyle w:val="103"/>
        <w:adjustRightInd w:val="0"/>
        <w:snapToGrid w:val="0"/>
        <w:spacing w:line="360" w:lineRule="auto"/>
        <w:ind w:firstLine="0" w:firstLineChars="0"/>
        <w:jc w:val="center"/>
        <w:rPr>
          <w:rFonts w:eastAsia="仿宋_GB2312"/>
          <w:sz w:val="26"/>
          <w:szCs w:val="26"/>
        </w:rPr>
      </w:pPr>
    </w:p>
    <w:p>
      <w:pPr>
        <w:pStyle w:val="103"/>
        <w:adjustRightInd w:val="0"/>
        <w:snapToGrid w:val="0"/>
        <w:spacing w:line="360" w:lineRule="auto"/>
        <w:ind w:firstLine="0" w:firstLineChars="0"/>
        <w:jc w:val="center"/>
        <w:rPr>
          <w:rFonts w:eastAsia="仿宋_GB2312"/>
          <w:sz w:val="26"/>
          <w:szCs w:val="26"/>
        </w:rPr>
      </w:pPr>
    </w:p>
    <w:p>
      <w:pPr>
        <w:pStyle w:val="103"/>
        <w:adjustRightInd w:val="0"/>
        <w:snapToGrid w:val="0"/>
        <w:spacing w:line="360" w:lineRule="auto"/>
        <w:ind w:firstLine="0" w:firstLineChars="0"/>
        <w:jc w:val="center"/>
        <w:rPr>
          <w:rFonts w:eastAsia="仿宋_GB2312"/>
          <w:sz w:val="26"/>
          <w:szCs w:val="26"/>
        </w:rPr>
      </w:pPr>
    </w:p>
    <w:p>
      <w:pPr>
        <w:pStyle w:val="103"/>
        <w:adjustRightInd w:val="0"/>
        <w:snapToGrid w:val="0"/>
        <w:spacing w:line="360" w:lineRule="auto"/>
        <w:ind w:firstLine="0" w:firstLineChars="0"/>
        <w:jc w:val="center"/>
        <w:rPr>
          <w:rFonts w:eastAsia="仿宋_GB2312"/>
          <w:sz w:val="26"/>
          <w:szCs w:val="26"/>
        </w:rPr>
      </w:pPr>
    </w:p>
    <w:p>
      <w:pPr>
        <w:pStyle w:val="103"/>
        <w:adjustRightInd w:val="0"/>
        <w:snapToGrid w:val="0"/>
        <w:spacing w:line="360" w:lineRule="auto"/>
        <w:ind w:firstLine="0" w:firstLineChars="0"/>
        <w:jc w:val="center"/>
        <w:rPr>
          <w:rFonts w:eastAsia="仿宋_GB2312"/>
          <w:sz w:val="26"/>
          <w:szCs w:val="26"/>
        </w:rPr>
      </w:pPr>
    </w:p>
    <w:p>
      <w:pPr>
        <w:pStyle w:val="103"/>
        <w:adjustRightInd w:val="0"/>
        <w:snapToGrid w:val="0"/>
        <w:spacing w:line="360" w:lineRule="auto"/>
        <w:ind w:firstLine="0" w:firstLineChars="0"/>
        <w:jc w:val="center"/>
        <w:rPr>
          <w:rFonts w:eastAsia="仿宋_GB2312"/>
          <w:sz w:val="26"/>
          <w:szCs w:val="26"/>
        </w:rPr>
      </w:pPr>
    </w:p>
    <w:p>
      <w:pPr>
        <w:pStyle w:val="103"/>
        <w:adjustRightInd w:val="0"/>
        <w:snapToGrid w:val="0"/>
        <w:spacing w:line="360" w:lineRule="auto"/>
        <w:ind w:firstLine="0" w:firstLineChars="0"/>
        <w:jc w:val="center"/>
        <w:rPr>
          <w:rFonts w:eastAsia="仿宋_GB2312"/>
          <w:sz w:val="26"/>
          <w:szCs w:val="26"/>
        </w:rPr>
      </w:pPr>
    </w:p>
    <w:p>
      <w:pPr>
        <w:pStyle w:val="103"/>
        <w:adjustRightInd w:val="0"/>
        <w:snapToGrid w:val="0"/>
        <w:spacing w:line="360" w:lineRule="auto"/>
        <w:ind w:firstLine="0" w:firstLineChars="0"/>
        <w:jc w:val="center"/>
        <w:rPr>
          <w:rFonts w:eastAsia="仿宋_GB2312"/>
          <w:sz w:val="26"/>
          <w:szCs w:val="26"/>
        </w:rPr>
      </w:pPr>
    </w:p>
    <w:p>
      <w:pPr>
        <w:pStyle w:val="103"/>
        <w:adjustRightInd w:val="0"/>
        <w:snapToGrid w:val="0"/>
        <w:spacing w:line="360" w:lineRule="auto"/>
        <w:ind w:firstLine="0" w:firstLineChars="0"/>
        <w:jc w:val="center"/>
        <w:rPr>
          <w:rFonts w:eastAsia="仿宋_GB2312"/>
          <w:sz w:val="26"/>
          <w:szCs w:val="26"/>
        </w:rPr>
      </w:pPr>
    </w:p>
    <w:p>
      <w:pPr>
        <w:pStyle w:val="103"/>
        <w:adjustRightInd w:val="0"/>
        <w:snapToGrid w:val="0"/>
        <w:spacing w:line="360" w:lineRule="auto"/>
        <w:ind w:firstLine="0" w:firstLineChars="0"/>
        <w:jc w:val="center"/>
        <w:rPr>
          <w:rFonts w:eastAsia="仿宋_GB2312"/>
          <w:sz w:val="26"/>
          <w:szCs w:val="26"/>
        </w:rPr>
      </w:pPr>
    </w:p>
    <w:p>
      <w:pPr>
        <w:pStyle w:val="103"/>
        <w:adjustRightInd w:val="0"/>
        <w:snapToGrid w:val="0"/>
        <w:spacing w:line="360" w:lineRule="auto"/>
        <w:ind w:firstLine="0" w:firstLineChars="0"/>
        <w:jc w:val="center"/>
        <w:rPr>
          <w:rFonts w:eastAsia="仿宋_GB2312"/>
          <w:sz w:val="26"/>
          <w:szCs w:val="26"/>
        </w:rPr>
      </w:pPr>
    </w:p>
    <w:p>
      <w:pPr>
        <w:pStyle w:val="103"/>
        <w:adjustRightInd w:val="0"/>
        <w:snapToGrid w:val="0"/>
        <w:spacing w:line="360" w:lineRule="auto"/>
        <w:ind w:firstLine="0" w:firstLineChars="0"/>
        <w:jc w:val="center"/>
        <w:rPr>
          <w:rFonts w:eastAsia="仿宋_GB2312"/>
          <w:sz w:val="26"/>
          <w:szCs w:val="26"/>
        </w:rPr>
      </w:pPr>
    </w:p>
    <w:p>
      <w:pPr>
        <w:pStyle w:val="103"/>
        <w:adjustRightInd w:val="0"/>
        <w:snapToGrid w:val="0"/>
        <w:spacing w:line="360" w:lineRule="auto"/>
        <w:ind w:firstLine="0" w:firstLineChars="0"/>
        <w:jc w:val="center"/>
        <w:rPr>
          <w:rFonts w:eastAsia="仿宋_GB2312"/>
          <w:sz w:val="26"/>
          <w:szCs w:val="26"/>
        </w:rPr>
      </w:pPr>
    </w:p>
    <w:p>
      <w:pPr>
        <w:pStyle w:val="103"/>
        <w:adjustRightInd w:val="0"/>
        <w:snapToGrid w:val="0"/>
        <w:spacing w:line="360" w:lineRule="auto"/>
        <w:ind w:firstLine="0" w:firstLineChars="0"/>
        <w:jc w:val="center"/>
        <w:rPr>
          <w:rFonts w:eastAsia="仿宋_GB2312"/>
          <w:sz w:val="26"/>
          <w:szCs w:val="26"/>
        </w:rPr>
      </w:pPr>
      <w:r>
        <w:rPr>
          <w:rFonts w:eastAsia="仿宋_GB2312"/>
          <w:color w:val="000000" w:themeColor="text1"/>
          <w:sz w:val="28"/>
          <w:szCs w:val="28"/>
          <w:highlight w:val="none"/>
        </w:rPr>
        <w:t>估价对象现状照片</w:t>
      </w:r>
    </w:p>
    <w:tbl>
      <w:tblPr>
        <w:tblStyle w:val="50"/>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2"/>
        <w:gridCol w:w="4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5" w:hRule="exact"/>
          <w:jc w:val="center"/>
        </w:trPr>
        <w:tc>
          <w:tcPr>
            <w:tcW w:w="4422" w:type="dxa"/>
            <w:vAlign w:val="center"/>
          </w:tcPr>
          <w:p>
            <w:pPr>
              <w:jc w:val="center"/>
              <w:rPr>
                <w:rFonts w:eastAsia="仿宋_GB2312"/>
              </w:rPr>
            </w:pPr>
            <w:r>
              <w:rPr>
                <w:rFonts w:eastAsia="仿宋_GB2312"/>
              </w:rPr>
              <w:drawing>
                <wp:inline distT="0" distB="0" distL="114300" distR="114300">
                  <wp:extent cx="2662555" cy="1997075"/>
                  <wp:effectExtent l="0" t="0" r="4445" b="3175"/>
                  <wp:docPr id="3" name="图片 3" descr="IMG_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5227"/>
                          <pic:cNvPicPr>
                            <a:picLocks noChangeAspect="1"/>
                          </pic:cNvPicPr>
                        </pic:nvPicPr>
                        <pic:blipFill>
                          <a:blip r:embed="rId9" cstate="email"/>
                          <a:stretch>
                            <a:fillRect/>
                          </a:stretch>
                        </pic:blipFill>
                        <pic:spPr>
                          <a:xfrm>
                            <a:off x="0" y="0"/>
                            <a:ext cx="2662555" cy="1997075"/>
                          </a:xfrm>
                          <a:prstGeom prst="rect">
                            <a:avLst/>
                          </a:prstGeom>
                        </pic:spPr>
                      </pic:pic>
                    </a:graphicData>
                  </a:graphic>
                </wp:inline>
              </w:drawing>
            </w:r>
          </w:p>
        </w:tc>
        <w:tc>
          <w:tcPr>
            <w:tcW w:w="4422" w:type="dxa"/>
            <w:vAlign w:val="center"/>
          </w:tcPr>
          <w:p>
            <w:pPr>
              <w:jc w:val="center"/>
              <w:rPr>
                <w:rFonts w:eastAsia="仿宋_GB2312"/>
              </w:rPr>
            </w:pPr>
            <w:r>
              <w:rPr>
                <w:rFonts w:eastAsia="仿宋_GB2312"/>
              </w:rPr>
              <w:drawing>
                <wp:inline distT="0" distB="0" distL="114300" distR="114300">
                  <wp:extent cx="2662555" cy="1997075"/>
                  <wp:effectExtent l="0" t="0" r="4445" b="3175"/>
                  <wp:docPr id="4" name="图片 4" descr="IMG_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5251"/>
                          <pic:cNvPicPr>
                            <a:picLocks noChangeAspect="1"/>
                          </pic:cNvPicPr>
                        </pic:nvPicPr>
                        <pic:blipFill>
                          <a:blip r:embed="rId10" cstate="email"/>
                          <a:stretch>
                            <a:fillRect/>
                          </a:stretch>
                        </pic:blipFill>
                        <pic:spPr>
                          <a:xfrm>
                            <a:off x="0" y="0"/>
                            <a:ext cx="2662555" cy="19970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6" w:hRule="exact"/>
          <w:jc w:val="center"/>
        </w:trPr>
        <w:tc>
          <w:tcPr>
            <w:tcW w:w="4422" w:type="dxa"/>
            <w:vAlign w:val="center"/>
          </w:tcPr>
          <w:p>
            <w:pPr>
              <w:jc w:val="center"/>
              <w:rPr>
                <w:rFonts w:eastAsia="仿宋_GB2312"/>
              </w:rPr>
            </w:pPr>
            <w:r>
              <w:rPr>
                <w:rFonts w:eastAsia="仿宋_GB2312"/>
              </w:rPr>
              <w:drawing>
                <wp:inline distT="0" distB="0" distL="114300" distR="114300">
                  <wp:extent cx="2662555" cy="1997075"/>
                  <wp:effectExtent l="0" t="0" r="4445" b="3175"/>
                  <wp:docPr id="5" name="图片 5" descr="IMG_5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5230"/>
                          <pic:cNvPicPr>
                            <a:picLocks noChangeAspect="1"/>
                          </pic:cNvPicPr>
                        </pic:nvPicPr>
                        <pic:blipFill>
                          <a:blip r:embed="rId11" cstate="email"/>
                          <a:stretch>
                            <a:fillRect/>
                          </a:stretch>
                        </pic:blipFill>
                        <pic:spPr>
                          <a:xfrm>
                            <a:off x="0" y="0"/>
                            <a:ext cx="2662555" cy="1997075"/>
                          </a:xfrm>
                          <a:prstGeom prst="rect">
                            <a:avLst/>
                          </a:prstGeom>
                        </pic:spPr>
                      </pic:pic>
                    </a:graphicData>
                  </a:graphic>
                </wp:inline>
              </w:drawing>
            </w:r>
          </w:p>
        </w:tc>
        <w:tc>
          <w:tcPr>
            <w:tcW w:w="4422" w:type="dxa"/>
            <w:vAlign w:val="center"/>
          </w:tcPr>
          <w:p>
            <w:pPr>
              <w:jc w:val="center"/>
              <w:rPr>
                <w:rFonts w:eastAsia="仿宋_GB2312"/>
              </w:rPr>
            </w:pPr>
            <w:r>
              <w:rPr>
                <w:rFonts w:eastAsia="仿宋_GB2312"/>
              </w:rPr>
              <w:drawing>
                <wp:inline distT="0" distB="0" distL="114300" distR="114300">
                  <wp:extent cx="2662555" cy="1997075"/>
                  <wp:effectExtent l="0" t="0" r="4445" b="3175"/>
                  <wp:docPr id="6" name="图片 6" descr="IMG_5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5237"/>
                          <pic:cNvPicPr>
                            <a:picLocks noChangeAspect="1"/>
                          </pic:cNvPicPr>
                        </pic:nvPicPr>
                        <pic:blipFill>
                          <a:blip r:embed="rId12" cstate="email"/>
                          <a:stretch>
                            <a:fillRect/>
                          </a:stretch>
                        </pic:blipFill>
                        <pic:spPr>
                          <a:xfrm>
                            <a:off x="0" y="0"/>
                            <a:ext cx="2662555" cy="19970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8" w:hRule="exact"/>
          <w:jc w:val="center"/>
        </w:trPr>
        <w:tc>
          <w:tcPr>
            <w:tcW w:w="4422" w:type="dxa"/>
            <w:vAlign w:val="center"/>
          </w:tcPr>
          <w:p>
            <w:pPr>
              <w:rPr>
                <w:rFonts w:eastAsia="仿宋_GB2312"/>
              </w:rPr>
            </w:pPr>
            <w:r>
              <w:rPr>
                <w:rFonts w:eastAsia="仿宋_GB2312"/>
              </w:rPr>
              <w:drawing>
                <wp:inline distT="0" distB="0" distL="114300" distR="114300">
                  <wp:extent cx="2662555" cy="1997075"/>
                  <wp:effectExtent l="0" t="0" r="4445" b="3175"/>
                  <wp:docPr id="7" name="图片 7" descr="IMG_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5241"/>
                          <pic:cNvPicPr>
                            <a:picLocks noChangeAspect="1"/>
                          </pic:cNvPicPr>
                        </pic:nvPicPr>
                        <pic:blipFill>
                          <a:blip r:embed="rId13" cstate="email"/>
                          <a:stretch>
                            <a:fillRect/>
                          </a:stretch>
                        </pic:blipFill>
                        <pic:spPr>
                          <a:xfrm>
                            <a:off x="0" y="0"/>
                            <a:ext cx="2662555" cy="1997075"/>
                          </a:xfrm>
                          <a:prstGeom prst="rect">
                            <a:avLst/>
                          </a:prstGeom>
                        </pic:spPr>
                      </pic:pic>
                    </a:graphicData>
                  </a:graphic>
                </wp:inline>
              </w:drawing>
            </w:r>
          </w:p>
        </w:tc>
        <w:tc>
          <w:tcPr>
            <w:tcW w:w="4422" w:type="dxa"/>
            <w:vAlign w:val="center"/>
          </w:tcPr>
          <w:p>
            <w:pPr>
              <w:jc w:val="center"/>
              <w:rPr>
                <w:rFonts w:eastAsia="仿宋_GB2312"/>
              </w:rPr>
            </w:pPr>
            <w:r>
              <w:rPr>
                <w:rFonts w:eastAsia="仿宋_GB2312"/>
              </w:rPr>
              <w:drawing>
                <wp:inline distT="0" distB="0" distL="114300" distR="114300">
                  <wp:extent cx="2662555" cy="1997075"/>
                  <wp:effectExtent l="0" t="0" r="4445" b="3175"/>
                  <wp:docPr id="8" name="图片 8" descr="IMG_5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5247"/>
                          <pic:cNvPicPr>
                            <a:picLocks noChangeAspect="1"/>
                          </pic:cNvPicPr>
                        </pic:nvPicPr>
                        <pic:blipFill>
                          <a:blip r:embed="rId14" cstate="email"/>
                          <a:stretch>
                            <a:fillRect/>
                          </a:stretch>
                        </pic:blipFill>
                        <pic:spPr>
                          <a:xfrm>
                            <a:off x="0" y="0"/>
                            <a:ext cx="2662555" cy="1997075"/>
                          </a:xfrm>
                          <a:prstGeom prst="rect">
                            <a:avLst/>
                          </a:prstGeom>
                        </pic:spPr>
                      </pic:pic>
                    </a:graphicData>
                  </a:graphic>
                </wp:inline>
              </w:drawing>
            </w:r>
          </w:p>
        </w:tc>
      </w:tr>
    </w:tbl>
    <w:p>
      <w:pPr>
        <w:pStyle w:val="103"/>
        <w:adjustRightInd w:val="0"/>
        <w:snapToGrid w:val="0"/>
        <w:spacing w:line="360" w:lineRule="auto"/>
        <w:ind w:firstLine="0" w:firstLineChars="0"/>
        <w:jc w:val="center"/>
        <w:rPr>
          <w:rFonts w:eastAsia="仿宋_GB2312"/>
          <w:sz w:val="26"/>
          <w:szCs w:val="26"/>
        </w:rPr>
      </w:pPr>
      <w:r>
        <w:rPr>
          <w:rFonts w:eastAsia="仿宋_GB2312"/>
          <w:sz w:val="26"/>
          <w:szCs w:val="26"/>
        </w:rPr>
        <w:br w:type="page"/>
      </w:r>
    </w:p>
    <w:p>
      <w:pPr>
        <w:spacing w:line="500" w:lineRule="exact"/>
        <w:ind w:firstLine="548" w:firstLineChars="196"/>
        <w:jc w:val="center"/>
        <w:rPr>
          <w:rFonts w:eastAsia="仿宋_GB2312"/>
          <w:sz w:val="28"/>
          <w:szCs w:val="28"/>
        </w:rPr>
      </w:pPr>
      <w:r>
        <w:rPr>
          <w:rFonts w:eastAsia="仿宋_GB2312"/>
          <w:sz w:val="28"/>
          <w:szCs w:val="28"/>
          <w:highlight w:val="none"/>
        </w:rPr>
        <w:t>估价对象位置图</w:t>
      </w:r>
    </w:p>
    <w:p>
      <w:pPr>
        <w:widowControl/>
        <w:jc w:val="center"/>
        <w:rPr>
          <w:rFonts w:eastAsia="仿宋_GB2312"/>
        </w:rPr>
      </w:pPr>
    </w:p>
    <w:p>
      <w:pPr>
        <w:widowControl/>
        <w:jc w:val="center"/>
        <w:rPr>
          <w:rFonts w:eastAsia="仿宋_GB2312"/>
        </w:rPr>
      </w:pPr>
      <w:r>
        <w:rPr>
          <w:rFonts w:eastAsia="仿宋_GB2312"/>
        </w:rPr>
        <w:pict>
          <v:shape id="_x0000_s1028" o:spid="_x0000_s1028" o:spt="62" type="#_x0000_t62" style="position:absolute;left:0pt;margin-left:354.25pt;margin-top:99pt;height:23.95pt;width:64.85pt;z-index:251657216;mso-width-relative:page;mso-height-relative:page;" filled="f" coordsize="21600,21600" adj="-36421,83875">
            <v:path/>
            <v:fill on="f" focussize="0,0"/>
            <v:stroke joinstyle="miter"/>
            <v:imagedata o:title=""/>
            <o:lock v:ext="edit"/>
            <v:textbox>
              <w:txbxContent>
                <w:p>
                  <w:pPr>
                    <w:rPr>
                      <w:rFonts w:ascii="仿宋_GB2312" w:eastAsia="仿宋_GB2312"/>
                    </w:rPr>
                  </w:pPr>
                  <w:r>
                    <w:rPr>
                      <w:rFonts w:hint="eastAsia" w:ascii="仿宋_GB2312" w:eastAsia="仿宋_GB2312" w:cs="仿宋_GB2312"/>
                    </w:rPr>
                    <w:t>估价对象</w:t>
                  </w:r>
                </w:p>
              </w:txbxContent>
            </v:textbox>
          </v:shape>
        </w:pict>
      </w:r>
      <w:r>
        <w:rPr>
          <w:rFonts w:eastAsia="仿宋_GB2312"/>
        </w:rPr>
        <w:drawing>
          <wp:inline distT="0" distB="0" distL="114300" distR="114300">
            <wp:extent cx="6117590" cy="5269230"/>
            <wp:effectExtent l="0" t="0" r="16510" b="762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5" cstate="email"/>
                    <a:stretch>
                      <a:fillRect/>
                    </a:stretch>
                  </pic:blipFill>
                  <pic:spPr>
                    <a:xfrm>
                      <a:off x="0" y="0"/>
                      <a:ext cx="6117590" cy="5269230"/>
                    </a:xfrm>
                    <a:prstGeom prst="rect">
                      <a:avLst/>
                    </a:prstGeom>
                    <a:noFill/>
                    <a:ln w="9525">
                      <a:noFill/>
                    </a:ln>
                  </pic:spPr>
                </pic:pic>
              </a:graphicData>
            </a:graphic>
          </wp:inline>
        </w:drawing>
      </w:r>
    </w:p>
    <w:sectPr>
      <w:headerReference r:id="rId7" w:type="default"/>
      <w:pgSz w:w="11906" w:h="16838"/>
      <w:pgMar w:top="1814" w:right="1247" w:bottom="1418" w:left="1701" w:header="850" w:footer="85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体">
    <w:altName w:val="宋体"/>
    <w:panose1 w:val="00000000000000000000"/>
    <w:charset w:val="86"/>
    <w:family w:val="roman"/>
    <w:pitch w:val="default"/>
    <w:sig w:usb0="00000000" w:usb1="00000000" w:usb2="0000001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page" w:x="1419" w:y="1"/>
      <w:ind w:left="3420" w:hanging="3420" w:hangingChars="1900"/>
      <w:rPr>
        <w:rFonts w:eastAsia="楷体_GB2312"/>
        <w:u w:val="single"/>
      </w:rPr>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819"/>
        <w:tab w:val="right" w:pos="9638"/>
      </w:tabs>
      <w:ind w:right="90"/>
      <w:jc w:val="right"/>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819"/>
        <w:tab w:val="right" w:pos="9638"/>
      </w:tabs>
      <w:ind w:right="90"/>
      <w:jc w:val="center"/>
    </w:pPr>
    <w:r>
      <w:rPr>
        <w:rStyle w:val="67"/>
        <w:rFonts w:hint="eastAsia" w:cs="宋体"/>
      </w:rPr>
      <w:t>第</w:t>
    </w:r>
    <w:r>
      <w:rPr>
        <w:rStyle w:val="67"/>
      </w:rPr>
      <w:fldChar w:fldCharType="begin"/>
    </w:r>
    <w:r>
      <w:rPr>
        <w:rStyle w:val="67"/>
      </w:rPr>
      <w:instrText xml:space="preserve">PAGE   \* MERGEFORMAT</w:instrText>
    </w:r>
    <w:r>
      <w:rPr>
        <w:rStyle w:val="67"/>
      </w:rPr>
      <w:fldChar w:fldCharType="separate"/>
    </w:r>
    <w:r>
      <w:rPr>
        <w:rStyle w:val="67"/>
        <w:lang w:val="zh-CN"/>
      </w:rPr>
      <w:t>10</w:t>
    </w:r>
    <w:r>
      <w:rPr>
        <w:rStyle w:val="67"/>
      </w:rPr>
      <w:fldChar w:fldCharType="end"/>
    </w:r>
    <w:r>
      <w:rPr>
        <w:rStyle w:val="67"/>
        <w:rFonts w:hint="eastAsia" w:cs="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4320" w:leftChars="43" w:hanging="4230" w:hangingChars="2350"/>
      <w:jc w:val="right"/>
      <w:rPr>
        <w:sz w:val="21"/>
        <w:szCs w:val="21"/>
      </w:rPr>
    </w:pPr>
    <w:r>
      <w:drawing>
        <wp:anchor distT="0" distB="0" distL="114300" distR="114300" simplePos="0" relativeHeight="251668480" behindDoc="0" locked="0" layoutInCell="1" allowOverlap="1">
          <wp:simplePos x="0" y="0"/>
          <wp:positionH relativeFrom="column">
            <wp:posOffset>90170</wp:posOffset>
          </wp:positionH>
          <wp:positionV relativeFrom="paragraph">
            <wp:posOffset>-278130</wp:posOffset>
          </wp:positionV>
          <wp:extent cx="692150" cy="585470"/>
          <wp:effectExtent l="0" t="0" r="12700" b="5080"/>
          <wp:wrapNone/>
          <wp:docPr id="2" name="图片 8" descr="QQ图片2014050711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QQ图片20140507110457"/>
                  <pic:cNvPicPr>
                    <a:picLocks noChangeAspect="1"/>
                  </pic:cNvPicPr>
                </pic:nvPicPr>
                <pic:blipFill>
                  <a:blip r:embed="rId1"/>
                  <a:stretch>
                    <a:fillRect/>
                  </a:stretch>
                </pic:blipFill>
                <pic:spPr>
                  <a:xfrm>
                    <a:off x="0" y="0"/>
                    <a:ext cx="692150" cy="585470"/>
                  </a:xfrm>
                  <a:prstGeom prst="rect">
                    <a:avLst/>
                  </a:prstGeom>
                  <a:noFill/>
                  <a:ln>
                    <a:noFill/>
                  </a:ln>
                </pic:spPr>
              </pic:pic>
            </a:graphicData>
          </a:graphic>
        </wp:anchor>
      </w:drawing>
    </w:r>
    <w:r>
      <w:t xml:space="preserve">   </w:t>
    </w:r>
    <w:r>
      <w:rPr>
        <w:rFonts w:hint="eastAsia"/>
        <w:spacing w:val="44"/>
        <w:w w:val="90"/>
        <w:sz w:val="21"/>
        <w:szCs w:val="21"/>
      </w:rPr>
      <w:t>江西天平房地产土地评估咨询有限公司</w:t>
    </w:r>
  </w:p>
  <w:p>
    <w:pPr>
      <w:pStyle w:val="29"/>
      <w:pBdr>
        <w:bottom w:val="single" w:color="auto" w:sz="6" w:space="0"/>
      </w:pBdr>
      <w:tabs>
        <w:tab w:val="right" w:pos="9180"/>
        <w:tab w:val="clear" w:pos="8306"/>
      </w:tabs>
      <w:spacing w:line="240" w:lineRule="exact"/>
    </w:pPr>
    <w:r>
      <w:rPr>
        <w:w w:val="90"/>
      </w:rPr>
      <w:t xml:space="preserve">                                                    JIANGXI TIANPING</w:t>
    </w:r>
    <w:r>
      <w:t xml:space="preserve"> </w:t>
    </w:r>
    <w:r>
      <w:rPr>
        <w:w w:val="90"/>
      </w:rPr>
      <w:t>REAL ESTATE&amp;LAND APPRAISAL Co.,Ltd.</w:t>
    </w:r>
  </w:p>
  <w:p>
    <w:pPr>
      <w:pStyle w:val="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4320" w:leftChars="43" w:hanging="4230" w:hangingChars="2350"/>
      <w:jc w:val="right"/>
      <w:rPr>
        <w:sz w:val="21"/>
        <w:szCs w:val="21"/>
      </w:rPr>
    </w:pPr>
    <w:r>
      <w:drawing>
        <wp:anchor distT="0" distB="0" distL="114300" distR="114300" simplePos="0" relativeHeight="251666432" behindDoc="0" locked="0" layoutInCell="1" allowOverlap="1">
          <wp:simplePos x="0" y="0"/>
          <wp:positionH relativeFrom="column">
            <wp:posOffset>51435</wp:posOffset>
          </wp:positionH>
          <wp:positionV relativeFrom="paragraph">
            <wp:posOffset>-315595</wp:posOffset>
          </wp:positionV>
          <wp:extent cx="692150" cy="585470"/>
          <wp:effectExtent l="19050" t="0" r="0" b="0"/>
          <wp:wrapNone/>
          <wp:docPr id="1" name="图片 9" descr="QQ图片2014050711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QQ图片20140507110457"/>
                  <pic:cNvPicPr>
                    <a:picLocks noChangeAspect="1" noChangeArrowheads="1"/>
                  </pic:cNvPicPr>
                </pic:nvPicPr>
                <pic:blipFill>
                  <a:blip r:embed="rId1"/>
                  <a:srcRect/>
                  <a:stretch>
                    <a:fillRect/>
                  </a:stretch>
                </pic:blipFill>
                <pic:spPr>
                  <a:xfrm>
                    <a:off x="0" y="0"/>
                    <a:ext cx="692150" cy="585470"/>
                  </a:xfrm>
                  <a:prstGeom prst="rect">
                    <a:avLst/>
                  </a:prstGeom>
                  <a:noFill/>
                  <a:ln w="9525">
                    <a:noFill/>
                    <a:miter lim="800000"/>
                    <a:headEnd/>
                    <a:tailEnd/>
                  </a:ln>
                </pic:spPr>
              </pic:pic>
            </a:graphicData>
          </a:graphic>
        </wp:anchor>
      </w:drawing>
    </w:r>
    <w:r>
      <w:t xml:space="preserve">                                              </w:t>
    </w:r>
    <w:r>
      <w:rPr>
        <w:rFonts w:hint="eastAsia"/>
        <w:spacing w:val="44"/>
        <w:w w:val="90"/>
        <w:sz w:val="21"/>
        <w:szCs w:val="21"/>
      </w:rPr>
      <w:t>江西天平房地产土地评估咨询有限公司</w:t>
    </w:r>
  </w:p>
  <w:p>
    <w:pPr>
      <w:pStyle w:val="29"/>
      <w:pBdr>
        <w:bottom w:val="single" w:color="auto" w:sz="6" w:space="0"/>
      </w:pBdr>
      <w:tabs>
        <w:tab w:val="right" w:pos="9180"/>
        <w:tab w:val="clear" w:pos="8306"/>
      </w:tabs>
      <w:spacing w:line="240" w:lineRule="exact"/>
    </w:pPr>
    <w:r>
      <w:rPr>
        <w:w w:val="90"/>
      </w:rPr>
      <w:t xml:space="preserve">                                                    JIANGXI TIANPING</w:t>
    </w:r>
    <w:r>
      <w:t xml:space="preserve"> </w:t>
    </w:r>
    <w:r>
      <w:rPr>
        <w:w w:val="90"/>
      </w:rPr>
      <w:t>REAL ESTATE&amp;LAND APPRAISAL Co.,Ltd.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EAD"/>
    <w:multiLevelType w:val="singleLevel"/>
    <w:tmpl w:val="17DB5EAD"/>
    <w:lvl w:ilvl="0" w:tentative="0">
      <w:start w:val="3"/>
      <w:numFmt w:val="decimal"/>
      <w:suff w:val="space"/>
      <w:lvlText w:val="%1."/>
      <w:lvlJc w:val="left"/>
    </w:lvl>
  </w:abstractNum>
  <w:abstractNum w:abstractNumId="1">
    <w:nsid w:val="32023A19"/>
    <w:multiLevelType w:val="multilevel"/>
    <w:tmpl w:val="32023A19"/>
    <w:lvl w:ilvl="0" w:tentative="0">
      <w:start w:val="1"/>
      <w:numFmt w:val="decimal"/>
      <w:lvlText w:val="（%1）"/>
      <w:lvlJc w:val="left"/>
      <w:pPr>
        <w:ind w:left="1728" w:hanging="1160"/>
      </w:pPr>
      <w:rPr>
        <w:rFonts w:hint="eastAsia"/>
      </w:rPr>
    </w:lvl>
    <w:lvl w:ilvl="1" w:tentative="0">
      <w:start w:val="1"/>
      <w:numFmt w:val="decimal"/>
      <w:lvlText w:val="%2."/>
      <w:lvlJc w:val="left"/>
      <w:pPr>
        <w:ind w:left="1360" w:hanging="360"/>
      </w:pPr>
      <w:rPr>
        <w:rFonts w:hint="eastAsia"/>
      </w:rPr>
    </w:lvl>
    <w:lvl w:ilvl="2" w:tentative="0">
      <w:start w:val="6"/>
      <w:numFmt w:val="bullet"/>
      <w:lvlText w:val="●"/>
      <w:lvlJc w:val="left"/>
      <w:pPr>
        <w:ind w:left="1840" w:hanging="360"/>
      </w:pPr>
      <w:rPr>
        <w:rFonts w:hint="eastAsia" w:ascii="仿宋_GB2312" w:hAnsi="仿宋" w:eastAsia="仿宋_GB2312"/>
      </w:rPr>
    </w:lvl>
    <w:lvl w:ilvl="3" w:tentative="0">
      <w:start w:val="1"/>
      <w:numFmt w:val="decimalEnclosedCircle"/>
      <w:lvlText w:val="%4"/>
      <w:lvlJc w:val="left"/>
      <w:pPr>
        <w:ind w:left="2320" w:hanging="360"/>
      </w:pPr>
      <w:rPr>
        <w:rFonts w:hint="default"/>
      </w:rPr>
    </w:lvl>
    <w:lvl w:ilvl="4" w:tentative="0">
      <w:start w:val="1"/>
      <w:numFmt w:val="lowerLetter"/>
      <w:lvlText w:val="%5)"/>
      <w:lvlJc w:val="left"/>
      <w:pPr>
        <w:ind w:left="2920" w:hanging="480"/>
      </w:pPr>
    </w:lvl>
    <w:lvl w:ilvl="5" w:tentative="0">
      <w:start w:val="1"/>
      <w:numFmt w:val="lowerRoman"/>
      <w:lvlText w:val="%6."/>
      <w:lvlJc w:val="right"/>
      <w:pPr>
        <w:ind w:left="3400" w:hanging="480"/>
      </w:pPr>
    </w:lvl>
    <w:lvl w:ilvl="6" w:tentative="0">
      <w:start w:val="1"/>
      <w:numFmt w:val="decimal"/>
      <w:lvlText w:val="%7."/>
      <w:lvlJc w:val="left"/>
      <w:pPr>
        <w:ind w:left="3880" w:hanging="480"/>
      </w:pPr>
    </w:lvl>
    <w:lvl w:ilvl="7" w:tentative="0">
      <w:start w:val="1"/>
      <w:numFmt w:val="lowerLetter"/>
      <w:lvlText w:val="%8)"/>
      <w:lvlJc w:val="left"/>
      <w:pPr>
        <w:ind w:left="4360" w:hanging="480"/>
      </w:pPr>
    </w:lvl>
    <w:lvl w:ilvl="8" w:tentative="0">
      <w:start w:val="1"/>
      <w:numFmt w:val="lowerRoman"/>
      <w:lvlText w:val="%9."/>
      <w:lvlJc w:val="right"/>
      <w:pPr>
        <w:ind w:left="4840" w:hanging="480"/>
      </w:pPr>
    </w:lvl>
  </w:abstractNum>
  <w:abstractNum w:abstractNumId="2">
    <w:nsid w:val="4EDD36DC"/>
    <w:multiLevelType w:val="multilevel"/>
    <w:tmpl w:val="4EDD36DC"/>
    <w:lvl w:ilvl="0" w:tentative="0">
      <w:start w:val="1"/>
      <w:numFmt w:val="decimal"/>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4"/>
  <w:doNotHyphenateCaps/>
  <w:drawingGridHorizontalSpacing w:val="105"/>
  <w:drawingGridVerticalSpacing w:val="143"/>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rsids>
    <w:rsidRoot w:val="00844239"/>
    <w:rsid w:val="0000139C"/>
    <w:rsid w:val="00001541"/>
    <w:rsid w:val="000023D0"/>
    <w:rsid w:val="000039E0"/>
    <w:rsid w:val="00004727"/>
    <w:rsid w:val="00004EDE"/>
    <w:rsid w:val="00005ABB"/>
    <w:rsid w:val="00005DC2"/>
    <w:rsid w:val="00005EB8"/>
    <w:rsid w:val="00005F14"/>
    <w:rsid w:val="000114E4"/>
    <w:rsid w:val="000121AD"/>
    <w:rsid w:val="000122C6"/>
    <w:rsid w:val="00012E94"/>
    <w:rsid w:val="00013937"/>
    <w:rsid w:val="00013EB0"/>
    <w:rsid w:val="00016558"/>
    <w:rsid w:val="00016613"/>
    <w:rsid w:val="00016938"/>
    <w:rsid w:val="00017614"/>
    <w:rsid w:val="00017FDB"/>
    <w:rsid w:val="0002006F"/>
    <w:rsid w:val="0002209D"/>
    <w:rsid w:val="00022278"/>
    <w:rsid w:val="000228F0"/>
    <w:rsid w:val="00023BA8"/>
    <w:rsid w:val="00023DDD"/>
    <w:rsid w:val="00027E6C"/>
    <w:rsid w:val="00030B6C"/>
    <w:rsid w:val="0003335C"/>
    <w:rsid w:val="00035DF9"/>
    <w:rsid w:val="000367B5"/>
    <w:rsid w:val="00036978"/>
    <w:rsid w:val="0004081C"/>
    <w:rsid w:val="00040F6F"/>
    <w:rsid w:val="00041D60"/>
    <w:rsid w:val="0004249A"/>
    <w:rsid w:val="00042A84"/>
    <w:rsid w:val="00042B87"/>
    <w:rsid w:val="00042EC0"/>
    <w:rsid w:val="00043EF3"/>
    <w:rsid w:val="000444C8"/>
    <w:rsid w:val="00047BE6"/>
    <w:rsid w:val="00050203"/>
    <w:rsid w:val="00050ED1"/>
    <w:rsid w:val="000522BC"/>
    <w:rsid w:val="00052FCD"/>
    <w:rsid w:val="000537A6"/>
    <w:rsid w:val="00054220"/>
    <w:rsid w:val="000547A5"/>
    <w:rsid w:val="00055226"/>
    <w:rsid w:val="00062DCB"/>
    <w:rsid w:val="0006374D"/>
    <w:rsid w:val="00064485"/>
    <w:rsid w:val="00064CB6"/>
    <w:rsid w:val="000721EE"/>
    <w:rsid w:val="00073DF9"/>
    <w:rsid w:val="00073EFD"/>
    <w:rsid w:val="000753F4"/>
    <w:rsid w:val="00076A9B"/>
    <w:rsid w:val="00076E00"/>
    <w:rsid w:val="00077C98"/>
    <w:rsid w:val="0008056A"/>
    <w:rsid w:val="000807E4"/>
    <w:rsid w:val="00082DBD"/>
    <w:rsid w:val="0008439A"/>
    <w:rsid w:val="00084AE9"/>
    <w:rsid w:val="000852BE"/>
    <w:rsid w:val="00085443"/>
    <w:rsid w:val="000860BD"/>
    <w:rsid w:val="000869E4"/>
    <w:rsid w:val="000879A3"/>
    <w:rsid w:val="0009359F"/>
    <w:rsid w:val="00094679"/>
    <w:rsid w:val="00095128"/>
    <w:rsid w:val="00095473"/>
    <w:rsid w:val="00097594"/>
    <w:rsid w:val="000A0AC8"/>
    <w:rsid w:val="000A1C9D"/>
    <w:rsid w:val="000A208B"/>
    <w:rsid w:val="000A2EBC"/>
    <w:rsid w:val="000A36C7"/>
    <w:rsid w:val="000A56D6"/>
    <w:rsid w:val="000A6201"/>
    <w:rsid w:val="000A628A"/>
    <w:rsid w:val="000A766E"/>
    <w:rsid w:val="000A77A9"/>
    <w:rsid w:val="000B0AF7"/>
    <w:rsid w:val="000B4252"/>
    <w:rsid w:val="000B43D9"/>
    <w:rsid w:val="000B4A6D"/>
    <w:rsid w:val="000B5E88"/>
    <w:rsid w:val="000B60BD"/>
    <w:rsid w:val="000B69E2"/>
    <w:rsid w:val="000C30F1"/>
    <w:rsid w:val="000C3721"/>
    <w:rsid w:val="000C4669"/>
    <w:rsid w:val="000C4BF9"/>
    <w:rsid w:val="000C5158"/>
    <w:rsid w:val="000C53B0"/>
    <w:rsid w:val="000C57FB"/>
    <w:rsid w:val="000C5A4F"/>
    <w:rsid w:val="000C5DAA"/>
    <w:rsid w:val="000C5EA7"/>
    <w:rsid w:val="000C6A54"/>
    <w:rsid w:val="000C767C"/>
    <w:rsid w:val="000C7C28"/>
    <w:rsid w:val="000D044E"/>
    <w:rsid w:val="000D1291"/>
    <w:rsid w:val="000D2CFE"/>
    <w:rsid w:val="000D3683"/>
    <w:rsid w:val="000D4A99"/>
    <w:rsid w:val="000D52A8"/>
    <w:rsid w:val="000D52E1"/>
    <w:rsid w:val="000D5FF3"/>
    <w:rsid w:val="000D7A45"/>
    <w:rsid w:val="000D7CC8"/>
    <w:rsid w:val="000E08F0"/>
    <w:rsid w:val="000E16A3"/>
    <w:rsid w:val="000E1855"/>
    <w:rsid w:val="000E28F8"/>
    <w:rsid w:val="000E292A"/>
    <w:rsid w:val="000E3261"/>
    <w:rsid w:val="000E5C9D"/>
    <w:rsid w:val="000E60F0"/>
    <w:rsid w:val="000E74BF"/>
    <w:rsid w:val="000F0A20"/>
    <w:rsid w:val="000F1279"/>
    <w:rsid w:val="000F2565"/>
    <w:rsid w:val="000F4579"/>
    <w:rsid w:val="000F6B6B"/>
    <w:rsid w:val="00100563"/>
    <w:rsid w:val="001016CA"/>
    <w:rsid w:val="0010226A"/>
    <w:rsid w:val="001027D6"/>
    <w:rsid w:val="0010282A"/>
    <w:rsid w:val="00104129"/>
    <w:rsid w:val="001054B5"/>
    <w:rsid w:val="00106E22"/>
    <w:rsid w:val="00106EE6"/>
    <w:rsid w:val="00107F04"/>
    <w:rsid w:val="00112949"/>
    <w:rsid w:val="0011480A"/>
    <w:rsid w:val="00114DA6"/>
    <w:rsid w:val="00115649"/>
    <w:rsid w:val="001201FC"/>
    <w:rsid w:val="00123132"/>
    <w:rsid w:val="00125181"/>
    <w:rsid w:val="00125503"/>
    <w:rsid w:val="00125740"/>
    <w:rsid w:val="00130218"/>
    <w:rsid w:val="001302D2"/>
    <w:rsid w:val="001315C3"/>
    <w:rsid w:val="001327A1"/>
    <w:rsid w:val="00133EF6"/>
    <w:rsid w:val="001341E6"/>
    <w:rsid w:val="00136855"/>
    <w:rsid w:val="001414C1"/>
    <w:rsid w:val="00141857"/>
    <w:rsid w:val="00141D35"/>
    <w:rsid w:val="00142346"/>
    <w:rsid w:val="0014244D"/>
    <w:rsid w:val="001424E3"/>
    <w:rsid w:val="00143CFF"/>
    <w:rsid w:val="001446AE"/>
    <w:rsid w:val="00144A57"/>
    <w:rsid w:val="0014501F"/>
    <w:rsid w:val="001461CA"/>
    <w:rsid w:val="00147CA5"/>
    <w:rsid w:val="00151FF6"/>
    <w:rsid w:val="00153B9C"/>
    <w:rsid w:val="00153CFF"/>
    <w:rsid w:val="001542AF"/>
    <w:rsid w:val="00154688"/>
    <w:rsid w:val="00160A85"/>
    <w:rsid w:val="001648D5"/>
    <w:rsid w:val="00164E3C"/>
    <w:rsid w:val="00165E82"/>
    <w:rsid w:val="00167DEA"/>
    <w:rsid w:val="00172000"/>
    <w:rsid w:val="0017406E"/>
    <w:rsid w:val="00174207"/>
    <w:rsid w:val="0017579A"/>
    <w:rsid w:val="00176045"/>
    <w:rsid w:val="001769A8"/>
    <w:rsid w:val="00176D6D"/>
    <w:rsid w:val="001770A5"/>
    <w:rsid w:val="0017715E"/>
    <w:rsid w:val="00180952"/>
    <w:rsid w:val="00180BB6"/>
    <w:rsid w:val="00180BCD"/>
    <w:rsid w:val="00181E16"/>
    <w:rsid w:val="001823DA"/>
    <w:rsid w:val="00182A99"/>
    <w:rsid w:val="00185604"/>
    <w:rsid w:val="001864C6"/>
    <w:rsid w:val="0018678E"/>
    <w:rsid w:val="00191275"/>
    <w:rsid w:val="00192F84"/>
    <w:rsid w:val="0019322D"/>
    <w:rsid w:val="001934D6"/>
    <w:rsid w:val="0019483E"/>
    <w:rsid w:val="00194959"/>
    <w:rsid w:val="00194FE2"/>
    <w:rsid w:val="00195421"/>
    <w:rsid w:val="00195AC3"/>
    <w:rsid w:val="00197779"/>
    <w:rsid w:val="001A0105"/>
    <w:rsid w:val="001A25B4"/>
    <w:rsid w:val="001A2822"/>
    <w:rsid w:val="001A2D00"/>
    <w:rsid w:val="001A6787"/>
    <w:rsid w:val="001A6BEA"/>
    <w:rsid w:val="001B386E"/>
    <w:rsid w:val="001B4F4B"/>
    <w:rsid w:val="001B5B01"/>
    <w:rsid w:val="001B6A32"/>
    <w:rsid w:val="001C031D"/>
    <w:rsid w:val="001C0B11"/>
    <w:rsid w:val="001C12B1"/>
    <w:rsid w:val="001C1C42"/>
    <w:rsid w:val="001C2F6B"/>
    <w:rsid w:val="001C3229"/>
    <w:rsid w:val="001C5D05"/>
    <w:rsid w:val="001C6A7E"/>
    <w:rsid w:val="001C6C8C"/>
    <w:rsid w:val="001D1802"/>
    <w:rsid w:val="001D2174"/>
    <w:rsid w:val="001D4825"/>
    <w:rsid w:val="001D5342"/>
    <w:rsid w:val="001D5AC0"/>
    <w:rsid w:val="001D5D8C"/>
    <w:rsid w:val="001D5EED"/>
    <w:rsid w:val="001D757C"/>
    <w:rsid w:val="001D799D"/>
    <w:rsid w:val="001D79E8"/>
    <w:rsid w:val="001E0215"/>
    <w:rsid w:val="001E0B3C"/>
    <w:rsid w:val="001E1228"/>
    <w:rsid w:val="001E2271"/>
    <w:rsid w:val="001E6D75"/>
    <w:rsid w:val="001E766F"/>
    <w:rsid w:val="001E77E2"/>
    <w:rsid w:val="001E7F91"/>
    <w:rsid w:val="001F1A0A"/>
    <w:rsid w:val="001F25F6"/>
    <w:rsid w:val="001F27A4"/>
    <w:rsid w:val="001F42BD"/>
    <w:rsid w:val="001F4A9D"/>
    <w:rsid w:val="001F51B0"/>
    <w:rsid w:val="001F5503"/>
    <w:rsid w:val="001F5570"/>
    <w:rsid w:val="001F745B"/>
    <w:rsid w:val="002004C5"/>
    <w:rsid w:val="00200F4F"/>
    <w:rsid w:val="00203279"/>
    <w:rsid w:val="00203E7D"/>
    <w:rsid w:val="002046D3"/>
    <w:rsid w:val="00204823"/>
    <w:rsid w:val="00204A55"/>
    <w:rsid w:val="0020507D"/>
    <w:rsid w:val="002055C5"/>
    <w:rsid w:val="00205A4F"/>
    <w:rsid w:val="00205FC4"/>
    <w:rsid w:val="002062FD"/>
    <w:rsid w:val="00207035"/>
    <w:rsid w:val="00207158"/>
    <w:rsid w:val="002108C3"/>
    <w:rsid w:val="00210DBD"/>
    <w:rsid w:val="00211878"/>
    <w:rsid w:val="00211A2C"/>
    <w:rsid w:val="00212445"/>
    <w:rsid w:val="002130F6"/>
    <w:rsid w:val="00214732"/>
    <w:rsid w:val="0021773C"/>
    <w:rsid w:val="002211AA"/>
    <w:rsid w:val="002223F5"/>
    <w:rsid w:val="0022308F"/>
    <w:rsid w:val="00223C07"/>
    <w:rsid w:val="00226AB6"/>
    <w:rsid w:val="0023168F"/>
    <w:rsid w:val="00231F19"/>
    <w:rsid w:val="0023253E"/>
    <w:rsid w:val="00232FB9"/>
    <w:rsid w:val="00232FE0"/>
    <w:rsid w:val="002343B8"/>
    <w:rsid w:val="0023661F"/>
    <w:rsid w:val="00240DA9"/>
    <w:rsid w:val="002424BE"/>
    <w:rsid w:val="00242506"/>
    <w:rsid w:val="0024271A"/>
    <w:rsid w:val="002433D4"/>
    <w:rsid w:val="00244827"/>
    <w:rsid w:val="002448BD"/>
    <w:rsid w:val="002448E8"/>
    <w:rsid w:val="00245597"/>
    <w:rsid w:val="00245CEC"/>
    <w:rsid w:val="00247AF2"/>
    <w:rsid w:val="00250EA8"/>
    <w:rsid w:val="00251A38"/>
    <w:rsid w:val="0025314C"/>
    <w:rsid w:val="00253F3E"/>
    <w:rsid w:val="00255B88"/>
    <w:rsid w:val="00255D45"/>
    <w:rsid w:val="00256552"/>
    <w:rsid w:val="002566D0"/>
    <w:rsid w:val="00256993"/>
    <w:rsid w:val="00256B11"/>
    <w:rsid w:val="00260CDD"/>
    <w:rsid w:val="00261F5E"/>
    <w:rsid w:val="002631DD"/>
    <w:rsid w:val="00265626"/>
    <w:rsid w:val="00265D5D"/>
    <w:rsid w:val="00265EE5"/>
    <w:rsid w:val="00266CB1"/>
    <w:rsid w:val="002702C6"/>
    <w:rsid w:val="0027109E"/>
    <w:rsid w:val="002717C6"/>
    <w:rsid w:val="0027226C"/>
    <w:rsid w:val="0027554F"/>
    <w:rsid w:val="00275737"/>
    <w:rsid w:val="002762AB"/>
    <w:rsid w:val="002766E4"/>
    <w:rsid w:val="0028133B"/>
    <w:rsid w:val="00282B8C"/>
    <w:rsid w:val="00282C0B"/>
    <w:rsid w:val="00285566"/>
    <w:rsid w:val="00286162"/>
    <w:rsid w:val="00286476"/>
    <w:rsid w:val="00286618"/>
    <w:rsid w:val="00287A4E"/>
    <w:rsid w:val="00287D88"/>
    <w:rsid w:val="002916C6"/>
    <w:rsid w:val="00292395"/>
    <w:rsid w:val="00294431"/>
    <w:rsid w:val="002946CA"/>
    <w:rsid w:val="00294A5B"/>
    <w:rsid w:val="00295B66"/>
    <w:rsid w:val="002967B3"/>
    <w:rsid w:val="00296C1B"/>
    <w:rsid w:val="002973B2"/>
    <w:rsid w:val="002A2D21"/>
    <w:rsid w:val="002A3676"/>
    <w:rsid w:val="002A3C2E"/>
    <w:rsid w:val="002A4477"/>
    <w:rsid w:val="002A5A43"/>
    <w:rsid w:val="002A7F6D"/>
    <w:rsid w:val="002B1481"/>
    <w:rsid w:val="002B1EF6"/>
    <w:rsid w:val="002B1F94"/>
    <w:rsid w:val="002B2BE5"/>
    <w:rsid w:val="002B3197"/>
    <w:rsid w:val="002B3833"/>
    <w:rsid w:val="002B3A22"/>
    <w:rsid w:val="002B55F7"/>
    <w:rsid w:val="002B61E7"/>
    <w:rsid w:val="002B6A0D"/>
    <w:rsid w:val="002C24EE"/>
    <w:rsid w:val="002C3535"/>
    <w:rsid w:val="002C383F"/>
    <w:rsid w:val="002C4957"/>
    <w:rsid w:val="002C5717"/>
    <w:rsid w:val="002C6CD6"/>
    <w:rsid w:val="002C7DB8"/>
    <w:rsid w:val="002D1FC2"/>
    <w:rsid w:val="002D2993"/>
    <w:rsid w:val="002D485C"/>
    <w:rsid w:val="002D5903"/>
    <w:rsid w:val="002D706E"/>
    <w:rsid w:val="002D731B"/>
    <w:rsid w:val="002D7486"/>
    <w:rsid w:val="002D7E71"/>
    <w:rsid w:val="002E00B6"/>
    <w:rsid w:val="002E2BF0"/>
    <w:rsid w:val="002E3101"/>
    <w:rsid w:val="002E4B28"/>
    <w:rsid w:val="002E51D9"/>
    <w:rsid w:val="002E57F8"/>
    <w:rsid w:val="002E58A3"/>
    <w:rsid w:val="002E6E09"/>
    <w:rsid w:val="002E7EB6"/>
    <w:rsid w:val="002F00C8"/>
    <w:rsid w:val="002F0B98"/>
    <w:rsid w:val="002F0D4A"/>
    <w:rsid w:val="002F0ECF"/>
    <w:rsid w:val="002F270F"/>
    <w:rsid w:val="002F347A"/>
    <w:rsid w:val="002F49F4"/>
    <w:rsid w:val="002F5807"/>
    <w:rsid w:val="002F5AAE"/>
    <w:rsid w:val="002F5D99"/>
    <w:rsid w:val="002F6F2D"/>
    <w:rsid w:val="00300F3F"/>
    <w:rsid w:val="00301433"/>
    <w:rsid w:val="00302312"/>
    <w:rsid w:val="00302710"/>
    <w:rsid w:val="00302A21"/>
    <w:rsid w:val="003060E2"/>
    <w:rsid w:val="00306260"/>
    <w:rsid w:val="0030697E"/>
    <w:rsid w:val="00306F8B"/>
    <w:rsid w:val="00307CB9"/>
    <w:rsid w:val="00311319"/>
    <w:rsid w:val="00311822"/>
    <w:rsid w:val="00311883"/>
    <w:rsid w:val="00311C35"/>
    <w:rsid w:val="00312C88"/>
    <w:rsid w:val="0031373C"/>
    <w:rsid w:val="00313AAA"/>
    <w:rsid w:val="00314438"/>
    <w:rsid w:val="00316558"/>
    <w:rsid w:val="00316C2E"/>
    <w:rsid w:val="003173F7"/>
    <w:rsid w:val="0032016B"/>
    <w:rsid w:val="00321273"/>
    <w:rsid w:val="003251C2"/>
    <w:rsid w:val="003265F9"/>
    <w:rsid w:val="003266B7"/>
    <w:rsid w:val="0032688A"/>
    <w:rsid w:val="00327305"/>
    <w:rsid w:val="00330AB2"/>
    <w:rsid w:val="003312CC"/>
    <w:rsid w:val="00332148"/>
    <w:rsid w:val="0033294B"/>
    <w:rsid w:val="00332A30"/>
    <w:rsid w:val="0033466C"/>
    <w:rsid w:val="003354B6"/>
    <w:rsid w:val="00336EC9"/>
    <w:rsid w:val="00337B52"/>
    <w:rsid w:val="00340BA8"/>
    <w:rsid w:val="00342EAE"/>
    <w:rsid w:val="003434F2"/>
    <w:rsid w:val="0034351A"/>
    <w:rsid w:val="00343DA0"/>
    <w:rsid w:val="00344658"/>
    <w:rsid w:val="00345863"/>
    <w:rsid w:val="00345ED0"/>
    <w:rsid w:val="00346091"/>
    <w:rsid w:val="003468AD"/>
    <w:rsid w:val="00347AD4"/>
    <w:rsid w:val="00347B56"/>
    <w:rsid w:val="00350BA2"/>
    <w:rsid w:val="00351280"/>
    <w:rsid w:val="00354234"/>
    <w:rsid w:val="0035426F"/>
    <w:rsid w:val="003542D0"/>
    <w:rsid w:val="00354474"/>
    <w:rsid w:val="0035490D"/>
    <w:rsid w:val="003566D0"/>
    <w:rsid w:val="00356B63"/>
    <w:rsid w:val="00357C88"/>
    <w:rsid w:val="00362131"/>
    <w:rsid w:val="00362251"/>
    <w:rsid w:val="0036282A"/>
    <w:rsid w:val="0036291A"/>
    <w:rsid w:val="00364206"/>
    <w:rsid w:val="0036525A"/>
    <w:rsid w:val="003652C9"/>
    <w:rsid w:val="00366C12"/>
    <w:rsid w:val="003672BC"/>
    <w:rsid w:val="00370982"/>
    <w:rsid w:val="00372DBE"/>
    <w:rsid w:val="00372E6A"/>
    <w:rsid w:val="003765A6"/>
    <w:rsid w:val="00376A8B"/>
    <w:rsid w:val="00382768"/>
    <w:rsid w:val="00382AB8"/>
    <w:rsid w:val="00382D7E"/>
    <w:rsid w:val="00383939"/>
    <w:rsid w:val="0038524B"/>
    <w:rsid w:val="00386DDB"/>
    <w:rsid w:val="003902DA"/>
    <w:rsid w:val="00391126"/>
    <w:rsid w:val="003927B5"/>
    <w:rsid w:val="00393426"/>
    <w:rsid w:val="00394146"/>
    <w:rsid w:val="00395C7B"/>
    <w:rsid w:val="003961A8"/>
    <w:rsid w:val="00396B77"/>
    <w:rsid w:val="0039776F"/>
    <w:rsid w:val="003A02E2"/>
    <w:rsid w:val="003A0AB1"/>
    <w:rsid w:val="003A2C8E"/>
    <w:rsid w:val="003A2EB6"/>
    <w:rsid w:val="003A2FB7"/>
    <w:rsid w:val="003A47BD"/>
    <w:rsid w:val="003A4936"/>
    <w:rsid w:val="003A72B0"/>
    <w:rsid w:val="003B09A2"/>
    <w:rsid w:val="003B4825"/>
    <w:rsid w:val="003B5B1B"/>
    <w:rsid w:val="003B756D"/>
    <w:rsid w:val="003C0B0C"/>
    <w:rsid w:val="003C0B5E"/>
    <w:rsid w:val="003C112D"/>
    <w:rsid w:val="003C1BD2"/>
    <w:rsid w:val="003C2CD1"/>
    <w:rsid w:val="003C3ABE"/>
    <w:rsid w:val="003C525D"/>
    <w:rsid w:val="003C54AF"/>
    <w:rsid w:val="003C5D38"/>
    <w:rsid w:val="003D2576"/>
    <w:rsid w:val="003D318B"/>
    <w:rsid w:val="003D5746"/>
    <w:rsid w:val="003D707B"/>
    <w:rsid w:val="003D73F3"/>
    <w:rsid w:val="003D7B48"/>
    <w:rsid w:val="003E0431"/>
    <w:rsid w:val="003E0595"/>
    <w:rsid w:val="003E0A49"/>
    <w:rsid w:val="003E1205"/>
    <w:rsid w:val="003E55D1"/>
    <w:rsid w:val="003E561A"/>
    <w:rsid w:val="003E6D31"/>
    <w:rsid w:val="003F158B"/>
    <w:rsid w:val="003F2282"/>
    <w:rsid w:val="003F3E20"/>
    <w:rsid w:val="003F50F3"/>
    <w:rsid w:val="003F5A47"/>
    <w:rsid w:val="003F5E03"/>
    <w:rsid w:val="003F62E3"/>
    <w:rsid w:val="003F6971"/>
    <w:rsid w:val="00400BEA"/>
    <w:rsid w:val="00400E4F"/>
    <w:rsid w:val="00405127"/>
    <w:rsid w:val="00405F8B"/>
    <w:rsid w:val="00407200"/>
    <w:rsid w:val="00407355"/>
    <w:rsid w:val="004100D8"/>
    <w:rsid w:val="004109C1"/>
    <w:rsid w:val="00413827"/>
    <w:rsid w:val="00414E8E"/>
    <w:rsid w:val="00414EF7"/>
    <w:rsid w:val="00415AE5"/>
    <w:rsid w:val="004163D0"/>
    <w:rsid w:val="004165E1"/>
    <w:rsid w:val="0042011B"/>
    <w:rsid w:val="00422842"/>
    <w:rsid w:val="00422A53"/>
    <w:rsid w:val="0042374C"/>
    <w:rsid w:val="00423C32"/>
    <w:rsid w:val="00423CFD"/>
    <w:rsid w:val="00424360"/>
    <w:rsid w:val="00426AC0"/>
    <w:rsid w:val="0042775B"/>
    <w:rsid w:val="00427962"/>
    <w:rsid w:val="00430F6F"/>
    <w:rsid w:val="00432DE2"/>
    <w:rsid w:val="00433AC2"/>
    <w:rsid w:val="00433E5C"/>
    <w:rsid w:val="00436924"/>
    <w:rsid w:val="00437413"/>
    <w:rsid w:val="00441CCC"/>
    <w:rsid w:val="004433C0"/>
    <w:rsid w:val="0044389F"/>
    <w:rsid w:val="00446053"/>
    <w:rsid w:val="00446530"/>
    <w:rsid w:val="004469EC"/>
    <w:rsid w:val="004500A5"/>
    <w:rsid w:val="0045074B"/>
    <w:rsid w:val="0045081F"/>
    <w:rsid w:val="00451246"/>
    <w:rsid w:val="004514EC"/>
    <w:rsid w:val="004519B8"/>
    <w:rsid w:val="004522DA"/>
    <w:rsid w:val="00452811"/>
    <w:rsid w:val="00452F0D"/>
    <w:rsid w:val="0045376F"/>
    <w:rsid w:val="00453D3F"/>
    <w:rsid w:val="00454740"/>
    <w:rsid w:val="00455129"/>
    <w:rsid w:val="00456809"/>
    <w:rsid w:val="0045712A"/>
    <w:rsid w:val="004577B1"/>
    <w:rsid w:val="0046121A"/>
    <w:rsid w:val="004616E4"/>
    <w:rsid w:val="004618BF"/>
    <w:rsid w:val="00461E8A"/>
    <w:rsid w:val="00462757"/>
    <w:rsid w:val="00462B07"/>
    <w:rsid w:val="00462CD9"/>
    <w:rsid w:val="004643FF"/>
    <w:rsid w:val="00464E84"/>
    <w:rsid w:val="00467F5F"/>
    <w:rsid w:val="00470E71"/>
    <w:rsid w:val="0047164F"/>
    <w:rsid w:val="00471C21"/>
    <w:rsid w:val="00471C74"/>
    <w:rsid w:val="004724E3"/>
    <w:rsid w:val="004724E8"/>
    <w:rsid w:val="00473667"/>
    <w:rsid w:val="00475008"/>
    <w:rsid w:val="0047613D"/>
    <w:rsid w:val="00477686"/>
    <w:rsid w:val="00483257"/>
    <w:rsid w:val="00484927"/>
    <w:rsid w:val="004851C8"/>
    <w:rsid w:val="0048583E"/>
    <w:rsid w:val="00485DFF"/>
    <w:rsid w:val="00486315"/>
    <w:rsid w:val="0048660E"/>
    <w:rsid w:val="00487EB6"/>
    <w:rsid w:val="004900EB"/>
    <w:rsid w:val="00490542"/>
    <w:rsid w:val="00492C75"/>
    <w:rsid w:val="0049318E"/>
    <w:rsid w:val="004955B0"/>
    <w:rsid w:val="00496867"/>
    <w:rsid w:val="00497648"/>
    <w:rsid w:val="00497ECD"/>
    <w:rsid w:val="004A3115"/>
    <w:rsid w:val="004A4201"/>
    <w:rsid w:val="004A66C0"/>
    <w:rsid w:val="004B098F"/>
    <w:rsid w:val="004B09CE"/>
    <w:rsid w:val="004B14DA"/>
    <w:rsid w:val="004B1526"/>
    <w:rsid w:val="004B3A20"/>
    <w:rsid w:val="004B3B0B"/>
    <w:rsid w:val="004B3BF1"/>
    <w:rsid w:val="004B4EDF"/>
    <w:rsid w:val="004B5E87"/>
    <w:rsid w:val="004B6CB8"/>
    <w:rsid w:val="004B7283"/>
    <w:rsid w:val="004B74EC"/>
    <w:rsid w:val="004C11F7"/>
    <w:rsid w:val="004C15D6"/>
    <w:rsid w:val="004C1A02"/>
    <w:rsid w:val="004C1EE0"/>
    <w:rsid w:val="004C262A"/>
    <w:rsid w:val="004C2D87"/>
    <w:rsid w:val="004C3C99"/>
    <w:rsid w:val="004C413B"/>
    <w:rsid w:val="004C431B"/>
    <w:rsid w:val="004C452F"/>
    <w:rsid w:val="004C50B5"/>
    <w:rsid w:val="004C5898"/>
    <w:rsid w:val="004C754E"/>
    <w:rsid w:val="004D03A3"/>
    <w:rsid w:val="004D1C64"/>
    <w:rsid w:val="004D2506"/>
    <w:rsid w:val="004D2ABA"/>
    <w:rsid w:val="004D424E"/>
    <w:rsid w:val="004D4DDC"/>
    <w:rsid w:val="004D5BE1"/>
    <w:rsid w:val="004D61B9"/>
    <w:rsid w:val="004D652C"/>
    <w:rsid w:val="004D66C3"/>
    <w:rsid w:val="004D7EAA"/>
    <w:rsid w:val="004E2CA4"/>
    <w:rsid w:val="004E6571"/>
    <w:rsid w:val="004F31E9"/>
    <w:rsid w:val="004F4AA2"/>
    <w:rsid w:val="004F604E"/>
    <w:rsid w:val="004F6453"/>
    <w:rsid w:val="004F7057"/>
    <w:rsid w:val="004F7258"/>
    <w:rsid w:val="005001F8"/>
    <w:rsid w:val="0050175A"/>
    <w:rsid w:val="0050688C"/>
    <w:rsid w:val="00506A39"/>
    <w:rsid w:val="00506EF7"/>
    <w:rsid w:val="005077A9"/>
    <w:rsid w:val="00507DEE"/>
    <w:rsid w:val="005111E4"/>
    <w:rsid w:val="0051775E"/>
    <w:rsid w:val="00517826"/>
    <w:rsid w:val="00520A51"/>
    <w:rsid w:val="0052112B"/>
    <w:rsid w:val="00521947"/>
    <w:rsid w:val="00522F42"/>
    <w:rsid w:val="005250EA"/>
    <w:rsid w:val="0052567A"/>
    <w:rsid w:val="00526939"/>
    <w:rsid w:val="005273C5"/>
    <w:rsid w:val="005313BC"/>
    <w:rsid w:val="00532F43"/>
    <w:rsid w:val="00534B02"/>
    <w:rsid w:val="00535D98"/>
    <w:rsid w:val="005361CB"/>
    <w:rsid w:val="00541275"/>
    <w:rsid w:val="005432A6"/>
    <w:rsid w:val="00543CEE"/>
    <w:rsid w:val="00544E1A"/>
    <w:rsid w:val="00545B93"/>
    <w:rsid w:val="00550481"/>
    <w:rsid w:val="005513AB"/>
    <w:rsid w:val="00552641"/>
    <w:rsid w:val="00553749"/>
    <w:rsid w:val="005556C7"/>
    <w:rsid w:val="005565C5"/>
    <w:rsid w:val="005571BD"/>
    <w:rsid w:val="00560D6D"/>
    <w:rsid w:val="005610C5"/>
    <w:rsid w:val="005615EB"/>
    <w:rsid w:val="00561802"/>
    <w:rsid w:val="00561BF5"/>
    <w:rsid w:val="00562787"/>
    <w:rsid w:val="00562E45"/>
    <w:rsid w:val="0056312B"/>
    <w:rsid w:val="00565E22"/>
    <w:rsid w:val="00566E61"/>
    <w:rsid w:val="005674A6"/>
    <w:rsid w:val="005678B7"/>
    <w:rsid w:val="005705F7"/>
    <w:rsid w:val="00571400"/>
    <w:rsid w:val="0057368A"/>
    <w:rsid w:val="00573D5B"/>
    <w:rsid w:val="00575711"/>
    <w:rsid w:val="00577874"/>
    <w:rsid w:val="00577D13"/>
    <w:rsid w:val="005801DA"/>
    <w:rsid w:val="00580C28"/>
    <w:rsid w:val="00582033"/>
    <w:rsid w:val="0058478B"/>
    <w:rsid w:val="005860AE"/>
    <w:rsid w:val="00592F57"/>
    <w:rsid w:val="00594B1B"/>
    <w:rsid w:val="00595146"/>
    <w:rsid w:val="00595554"/>
    <w:rsid w:val="00597D48"/>
    <w:rsid w:val="005A088B"/>
    <w:rsid w:val="005A3F4E"/>
    <w:rsid w:val="005A5E2E"/>
    <w:rsid w:val="005A5E91"/>
    <w:rsid w:val="005A6A32"/>
    <w:rsid w:val="005A6A52"/>
    <w:rsid w:val="005B01F5"/>
    <w:rsid w:val="005B0384"/>
    <w:rsid w:val="005B07A5"/>
    <w:rsid w:val="005B1248"/>
    <w:rsid w:val="005B211D"/>
    <w:rsid w:val="005B2DCE"/>
    <w:rsid w:val="005B34CC"/>
    <w:rsid w:val="005B4B1D"/>
    <w:rsid w:val="005B5107"/>
    <w:rsid w:val="005B662A"/>
    <w:rsid w:val="005C0045"/>
    <w:rsid w:val="005C169E"/>
    <w:rsid w:val="005C1C7F"/>
    <w:rsid w:val="005C32C2"/>
    <w:rsid w:val="005C534E"/>
    <w:rsid w:val="005C65F5"/>
    <w:rsid w:val="005C6720"/>
    <w:rsid w:val="005C6B10"/>
    <w:rsid w:val="005C7A90"/>
    <w:rsid w:val="005D1F41"/>
    <w:rsid w:val="005D200C"/>
    <w:rsid w:val="005D267A"/>
    <w:rsid w:val="005D31F7"/>
    <w:rsid w:val="005D3681"/>
    <w:rsid w:val="005D4646"/>
    <w:rsid w:val="005D5CB8"/>
    <w:rsid w:val="005D5CD0"/>
    <w:rsid w:val="005D6196"/>
    <w:rsid w:val="005D741E"/>
    <w:rsid w:val="005E1690"/>
    <w:rsid w:val="005E2170"/>
    <w:rsid w:val="005E2A6E"/>
    <w:rsid w:val="005E350D"/>
    <w:rsid w:val="005E3E35"/>
    <w:rsid w:val="005E3E8B"/>
    <w:rsid w:val="005E5E46"/>
    <w:rsid w:val="005E7BAA"/>
    <w:rsid w:val="005F07F6"/>
    <w:rsid w:val="005F18D4"/>
    <w:rsid w:val="005F1D5D"/>
    <w:rsid w:val="005F247F"/>
    <w:rsid w:val="005F2F9D"/>
    <w:rsid w:val="005F334F"/>
    <w:rsid w:val="005F3F13"/>
    <w:rsid w:val="005F4514"/>
    <w:rsid w:val="005F4ACF"/>
    <w:rsid w:val="005F5E6A"/>
    <w:rsid w:val="005F6AB1"/>
    <w:rsid w:val="005F6B6E"/>
    <w:rsid w:val="00600C65"/>
    <w:rsid w:val="00601F9E"/>
    <w:rsid w:val="00602F3C"/>
    <w:rsid w:val="00604797"/>
    <w:rsid w:val="00606442"/>
    <w:rsid w:val="00607564"/>
    <w:rsid w:val="00607947"/>
    <w:rsid w:val="00610490"/>
    <w:rsid w:val="006115D4"/>
    <w:rsid w:val="006115FC"/>
    <w:rsid w:val="00612202"/>
    <w:rsid w:val="006122FB"/>
    <w:rsid w:val="006145D4"/>
    <w:rsid w:val="00614AA5"/>
    <w:rsid w:val="00615568"/>
    <w:rsid w:val="006169B8"/>
    <w:rsid w:val="006172AC"/>
    <w:rsid w:val="00620A47"/>
    <w:rsid w:val="00620FC5"/>
    <w:rsid w:val="00621DB7"/>
    <w:rsid w:val="00622323"/>
    <w:rsid w:val="006224F3"/>
    <w:rsid w:val="00625F28"/>
    <w:rsid w:val="00626EEF"/>
    <w:rsid w:val="00627389"/>
    <w:rsid w:val="00627BCA"/>
    <w:rsid w:val="00630167"/>
    <w:rsid w:val="00631236"/>
    <w:rsid w:val="00631C9C"/>
    <w:rsid w:val="006320D2"/>
    <w:rsid w:val="0063398E"/>
    <w:rsid w:val="0063437F"/>
    <w:rsid w:val="00634708"/>
    <w:rsid w:val="00635599"/>
    <w:rsid w:val="006364BA"/>
    <w:rsid w:val="00636819"/>
    <w:rsid w:val="00636BBE"/>
    <w:rsid w:val="00637231"/>
    <w:rsid w:val="006375C4"/>
    <w:rsid w:val="0064161B"/>
    <w:rsid w:val="00641F70"/>
    <w:rsid w:val="00642452"/>
    <w:rsid w:val="0064379A"/>
    <w:rsid w:val="00643C05"/>
    <w:rsid w:val="006444ED"/>
    <w:rsid w:val="0064492D"/>
    <w:rsid w:val="00646C73"/>
    <w:rsid w:val="00647577"/>
    <w:rsid w:val="00647C15"/>
    <w:rsid w:val="00647C91"/>
    <w:rsid w:val="0065261B"/>
    <w:rsid w:val="006529B8"/>
    <w:rsid w:val="00653081"/>
    <w:rsid w:val="00653570"/>
    <w:rsid w:val="006555D7"/>
    <w:rsid w:val="006557D2"/>
    <w:rsid w:val="006566FC"/>
    <w:rsid w:val="00656AF3"/>
    <w:rsid w:val="00657F2A"/>
    <w:rsid w:val="00660932"/>
    <w:rsid w:val="00660B7F"/>
    <w:rsid w:val="006611E2"/>
    <w:rsid w:val="00661C16"/>
    <w:rsid w:val="00661FBC"/>
    <w:rsid w:val="00664004"/>
    <w:rsid w:val="00664714"/>
    <w:rsid w:val="00665157"/>
    <w:rsid w:val="006651A7"/>
    <w:rsid w:val="0066549C"/>
    <w:rsid w:val="00665BAC"/>
    <w:rsid w:val="00666AA1"/>
    <w:rsid w:val="00666D0D"/>
    <w:rsid w:val="00667B03"/>
    <w:rsid w:val="00667C1A"/>
    <w:rsid w:val="006717D2"/>
    <w:rsid w:val="00671FBE"/>
    <w:rsid w:val="00672B48"/>
    <w:rsid w:val="00673C5C"/>
    <w:rsid w:val="00674951"/>
    <w:rsid w:val="006756F8"/>
    <w:rsid w:val="006757CB"/>
    <w:rsid w:val="0067583F"/>
    <w:rsid w:val="0067622F"/>
    <w:rsid w:val="00676929"/>
    <w:rsid w:val="0068007D"/>
    <w:rsid w:val="00680DC8"/>
    <w:rsid w:val="0068154B"/>
    <w:rsid w:val="00681630"/>
    <w:rsid w:val="00682E4C"/>
    <w:rsid w:val="0068321C"/>
    <w:rsid w:val="006837AC"/>
    <w:rsid w:val="00684214"/>
    <w:rsid w:val="00684ACC"/>
    <w:rsid w:val="0068618A"/>
    <w:rsid w:val="006870C8"/>
    <w:rsid w:val="00687414"/>
    <w:rsid w:val="006879A8"/>
    <w:rsid w:val="0069115D"/>
    <w:rsid w:val="00692463"/>
    <w:rsid w:val="00695186"/>
    <w:rsid w:val="00696103"/>
    <w:rsid w:val="00697B80"/>
    <w:rsid w:val="006A001C"/>
    <w:rsid w:val="006A0B45"/>
    <w:rsid w:val="006A0EDC"/>
    <w:rsid w:val="006A11C0"/>
    <w:rsid w:val="006A3804"/>
    <w:rsid w:val="006A3AC4"/>
    <w:rsid w:val="006A47A2"/>
    <w:rsid w:val="006A4BE9"/>
    <w:rsid w:val="006A5D85"/>
    <w:rsid w:val="006A61AB"/>
    <w:rsid w:val="006A6405"/>
    <w:rsid w:val="006A72A1"/>
    <w:rsid w:val="006B0E9F"/>
    <w:rsid w:val="006B1FEF"/>
    <w:rsid w:val="006B329F"/>
    <w:rsid w:val="006B3DF5"/>
    <w:rsid w:val="006B47D5"/>
    <w:rsid w:val="006B4FE9"/>
    <w:rsid w:val="006B4FEF"/>
    <w:rsid w:val="006B632E"/>
    <w:rsid w:val="006B7D26"/>
    <w:rsid w:val="006B7FB4"/>
    <w:rsid w:val="006C04FE"/>
    <w:rsid w:val="006C177D"/>
    <w:rsid w:val="006C4790"/>
    <w:rsid w:val="006C4967"/>
    <w:rsid w:val="006C7E35"/>
    <w:rsid w:val="006D03A7"/>
    <w:rsid w:val="006D138A"/>
    <w:rsid w:val="006D15C1"/>
    <w:rsid w:val="006D2BAF"/>
    <w:rsid w:val="006D38C7"/>
    <w:rsid w:val="006D3B78"/>
    <w:rsid w:val="006D4470"/>
    <w:rsid w:val="006D532E"/>
    <w:rsid w:val="006D553A"/>
    <w:rsid w:val="006D5DCB"/>
    <w:rsid w:val="006D686F"/>
    <w:rsid w:val="006D6EF2"/>
    <w:rsid w:val="006E04C6"/>
    <w:rsid w:val="006E097D"/>
    <w:rsid w:val="006E192E"/>
    <w:rsid w:val="006E26CE"/>
    <w:rsid w:val="006E273A"/>
    <w:rsid w:val="006E328C"/>
    <w:rsid w:val="006E32EA"/>
    <w:rsid w:val="006E397E"/>
    <w:rsid w:val="006F10AB"/>
    <w:rsid w:val="006F15A5"/>
    <w:rsid w:val="006F2C1F"/>
    <w:rsid w:val="006F37BC"/>
    <w:rsid w:val="00700241"/>
    <w:rsid w:val="00700B41"/>
    <w:rsid w:val="007011BD"/>
    <w:rsid w:val="007017DC"/>
    <w:rsid w:val="00702FA5"/>
    <w:rsid w:val="007038E1"/>
    <w:rsid w:val="00704FD3"/>
    <w:rsid w:val="007062D5"/>
    <w:rsid w:val="00711FCA"/>
    <w:rsid w:val="0071266A"/>
    <w:rsid w:val="00713E74"/>
    <w:rsid w:val="00716556"/>
    <w:rsid w:val="00717C29"/>
    <w:rsid w:val="00717E91"/>
    <w:rsid w:val="00717EBD"/>
    <w:rsid w:val="00721DDC"/>
    <w:rsid w:val="00722391"/>
    <w:rsid w:val="007237AB"/>
    <w:rsid w:val="00723CB2"/>
    <w:rsid w:val="00724BC5"/>
    <w:rsid w:val="00725DA7"/>
    <w:rsid w:val="00730D09"/>
    <w:rsid w:val="00732737"/>
    <w:rsid w:val="00733D86"/>
    <w:rsid w:val="00734231"/>
    <w:rsid w:val="007358E7"/>
    <w:rsid w:val="00735D60"/>
    <w:rsid w:val="007430A3"/>
    <w:rsid w:val="0074510D"/>
    <w:rsid w:val="00750173"/>
    <w:rsid w:val="00750249"/>
    <w:rsid w:val="00750390"/>
    <w:rsid w:val="007503AC"/>
    <w:rsid w:val="007507BD"/>
    <w:rsid w:val="0075098D"/>
    <w:rsid w:val="00750EFD"/>
    <w:rsid w:val="00751BAE"/>
    <w:rsid w:val="0075274E"/>
    <w:rsid w:val="00753033"/>
    <w:rsid w:val="00757965"/>
    <w:rsid w:val="00757DCD"/>
    <w:rsid w:val="00762220"/>
    <w:rsid w:val="00762870"/>
    <w:rsid w:val="00762B6A"/>
    <w:rsid w:val="007644F7"/>
    <w:rsid w:val="00765156"/>
    <w:rsid w:val="00765F92"/>
    <w:rsid w:val="0076636D"/>
    <w:rsid w:val="007667A7"/>
    <w:rsid w:val="007669D5"/>
    <w:rsid w:val="00767556"/>
    <w:rsid w:val="00767F69"/>
    <w:rsid w:val="00770636"/>
    <w:rsid w:val="00771061"/>
    <w:rsid w:val="00771977"/>
    <w:rsid w:val="007728A1"/>
    <w:rsid w:val="0077646D"/>
    <w:rsid w:val="00777567"/>
    <w:rsid w:val="00777FF6"/>
    <w:rsid w:val="00780B74"/>
    <w:rsid w:val="00780CF7"/>
    <w:rsid w:val="007812A9"/>
    <w:rsid w:val="007817FB"/>
    <w:rsid w:val="00782FFC"/>
    <w:rsid w:val="007832FE"/>
    <w:rsid w:val="007838A9"/>
    <w:rsid w:val="00785214"/>
    <w:rsid w:val="007852F5"/>
    <w:rsid w:val="00785304"/>
    <w:rsid w:val="0078551A"/>
    <w:rsid w:val="0078649E"/>
    <w:rsid w:val="007867C2"/>
    <w:rsid w:val="00791A3F"/>
    <w:rsid w:val="00791E69"/>
    <w:rsid w:val="00792091"/>
    <w:rsid w:val="00792595"/>
    <w:rsid w:val="00794D9A"/>
    <w:rsid w:val="00795542"/>
    <w:rsid w:val="007959B6"/>
    <w:rsid w:val="00795CBB"/>
    <w:rsid w:val="007961A4"/>
    <w:rsid w:val="00796B2B"/>
    <w:rsid w:val="007A04DF"/>
    <w:rsid w:val="007A26E7"/>
    <w:rsid w:val="007A2EF3"/>
    <w:rsid w:val="007A3EB5"/>
    <w:rsid w:val="007A4A17"/>
    <w:rsid w:val="007A4E67"/>
    <w:rsid w:val="007A6573"/>
    <w:rsid w:val="007A6AAD"/>
    <w:rsid w:val="007B13D9"/>
    <w:rsid w:val="007B1D6A"/>
    <w:rsid w:val="007B1FE8"/>
    <w:rsid w:val="007B23E1"/>
    <w:rsid w:val="007B3E1F"/>
    <w:rsid w:val="007B4AD3"/>
    <w:rsid w:val="007B7683"/>
    <w:rsid w:val="007B7FBB"/>
    <w:rsid w:val="007C01B0"/>
    <w:rsid w:val="007C35A4"/>
    <w:rsid w:val="007C3A40"/>
    <w:rsid w:val="007C3F29"/>
    <w:rsid w:val="007C4C97"/>
    <w:rsid w:val="007C7653"/>
    <w:rsid w:val="007D154D"/>
    <w:rsid w:val="007D19ED"/>
    <w:rsid w:val="007D2055"/>
    <w:rsid w:val="007D41F6"/>
    <w:rsid w:val="007D4F1B"/>
    <w:rsid w:val="007D5526"/>
    <w:rsid w:val="007D58BD"/>
    <w:rsid w:val="007D5B26"/>
    <w:rsid w:val="007D5ECD"/>
    <w:rsid w:val="007D5FCD"/>
    <w:rsid w:val="007D7145"/>
    <w:rsid w:val="007D78BF"/>
    <w:rsid w:val="007E0DC6"/>
    <w:rsid w:val="007E13A9"/>
    <w:rsid w:val="007E23F4"/>
    <w:rsid w:val="007E3554"/>
    <w:rsid w:val="007E4A3E"/>
    <w:rsid w:val="007E72F6"/>
    <w:rsid w:val="007E7728"/>
    <w:rsid w:val="007E7B87"/>
    <w:rsid w:val="007F407B"/>
    <w:rsid w:val="007F417E"/>
    <w:rsid w:val="007F4FCB"/>
    <w:rsid w:val="007F5421"/>
    <w:rsid w:val="007F5446"/>
    <w:rsid w:val="008014BC"/>
    <w:rsid w:val="008023B1"/>
    <w:rsid w:val="00802618"/>
    <w:rsid w:val="0080281D"/>
    <w:rsid w:val="00802E5A"/>
    <w:rsid w:val="0080663D"/>
    <w:rsid w:val="0080690F"/>
    <w:rsid w:val="00806A0B"/>
    <w:rsid w:val="00806BD5"/>
    <w:rsid w:val="008071C4"/>
    <w:rsid w:val="00811A8B"/>
    <w:rsid w:val="00813DC9"/>
    <w:rsid w:val="00813FD2"/>
    <w:rsid w:val="0081479A"/>
    <w:rsid w:val="00814ABE"/>
    <w:rsid w:val="008163C0"/>
    <w:rsid w:val="00816622"/>
    <w:rsid w:val="00816E52"/>
    <w:rsid w:val="00817756"/>
    <w:rsid w:val="00820A9E"/>
    <w:rsid w:val="0082163C"/>
    <w:rsid w:val="00822416"/>
    <w:rsid w:val="008228EB"/>
    <w:rsid w:val="008248B6"/>
    <w:rsid w:val="00825553"/>
    <w:rsid w:val="00825DBD"/>
    <w:rsid w:val="008275C1"/>
    <w:rsid w:val="00827A0A"/>
    <w:rsid w:val="00827B8A"/>
    <w:rsid w:val="00830CCA"/>
    <w:rsid w:val="00832F90"/>
    <w:rsid w:val="00834EFD"/>
    <w:rsid w:val="008371A1"/>
    <w:rsid w:val="00837D24"/>
    <w:rsid w:val="00841149"/>
    <w:rsid w:val="00841C81"/>
    <w:rsid w:val="0084276C"/>
    <w:rsid w:val="008427B1"/>
    <w:rsid w:val="008427CE"/>
    <w:rsid w:val="008431E6"/>
    <w:rsid w:val="00844239"/>
    <w:rsid w:val="00845504"/>
    <w:rsid w:val="00846466"/>
    <w:rsid w:val="0084653E"/>
    <w:rsid w:val="008478CD"/>
    <w:rsid w:val="00850148"/>
    <w:rsid w:val="00850580"/>
    <w:rsid w:val="00851284"/>
    <w:rsid w:val="0085131C"/>
    <w:rsid w:val="00852A13"/>
    <w:rsid w:val="00852CB7"/>
    <w:rsid w:val="00852FCE"/>
    <w:rsid w:val="008530DC"/>
    <w:rsid w:val="00853604"/>
    <w:rsid w:val="008563CC"/>
    <w:rsid w:val="00856D01"/>
    <w:rsid w:val="00861432"/>
    <w:rsid w:val="00863782"/>
    <w:rsid w:val="00864955"/>
    <w:rsid w:val="00864999"/>
    <w:rsid w:val="00864ABC"/>
    <w:rsid w:val="00865225"/>
    <w:rsid w:val="00871845"/>
    <w:rsid w:val="00871F03"/>
    <w:rsid w:val="00873862"/>
    <w:rsid w:val="00873946"/>
    <w:rsid w:val="00874D5A"/>
    <w:rsid w:val="00874FA2"/>
    <w:rsid w:val="008753F5"/>
    <w:rsid w:val="00875D47"/>
    <w:rsid w:val="0087770C"/>
    <w:rsid w:val="00880B70"/>
    <w:rsid w:val="00881B3B"/>
    <w:rsid w:val="0088275A"/>
    <w:rsid w:val="00882CF8"/>
    <w:rsid w:val="008837EA"/>
    <w:rsid w:val="0088416A"/>
    <w:rsid w:val="008859F9"/>
    <w:rsid w:val="008872C0"/>
    <w:rsid w:val="008878D0"/>
    <w:rsid w:val="00887CC3"/>
    <w:rsid w:val="0089174F"/>
    <w:rsid w:val="00891F94"/>
    <w:rsid w:val="008932FA"/>
    <w:rsid w:val="00893C92"/>
    <w:rsid w:val="00895828"/>
    <w:rsid w:val="0089588D"/>
    <w:rsid w:val="008A0BCE"/>
    <w:rsid w:val="008A13C3"/>
    <w:rsid w:val="008A7E4C"/>
    <w:rsid w:val="008B1298"/>
    <w:rsid w:val="008B2FDB"/>
    <w:rsid w:val="008B37B9"/>
    <w:rsid w:val="008C0A4F"/>
    <w:rsid w:val="008C1F22"/>
    <w:rsid w:val="008C3C1D"/>
    <w:rsid w:val="008C4716"/>
    <w:rsid w:val="008C4882"/>
    <w:rsid w:val="008C5915"/>
    <w:rsid w:val="008C65AB"/>
    <w:rsid w:val="008C78C5"/>
    <w:rsid w:val="008C7A37"/>
    <w:rsid w:val="008C7E73"/>
    <w:rsid w:val="008D1334"/>
    <w:rsid w:val="008D1BBF"/>
    <w:rsid w:val="008D3411"/>
    <w:rsid w:val="008D3D51"/>
    <w:rsid w:val="008D4E33"/>
    <w:rsid w:val="008D6406"/>
    <w:rsid w:val="008E12C9"/>
    <w:rsid w:val="008E197F"/>
    <w:rsid w:val="008E32AC"/>
    <w:rsid w:val="008E462E"/>
    <w:rsid w:val="008E57F8"/>
    <w:rsid w:val="008E6031"/>
    <w:rsid w:val="008E6A36"/>
    <w:rsid w:val="008E7DD0"/>
    <w:rsid w:val="008F034F"/>
    <w:rsid w:val="008F0A45"/>
    <w:rsid w:val="008F21D7"/>
    <w:rsid w:val="008F28C5"/>
    <w:rsid w:val="008F2F49"/>
    <w:rsid w:val="008F39B5"/>
    <w:rsid w:val="008F3CD8"/>
    <w:rsid w:val="008F4F2D"/>
    <w:rsid w:val="008F59CF"/>
    <w:rsid w:val="008F623D"/>
    <w:rsid w:val="00901823"/>
    <w:rsid w:val="00903C0F"/>
    <w:rsid w:val="009040B3"/>
    <w:rsid w:val="0090499C"/>
    <w:rsid w:val="00905D3D"/>
    <w:rsid w:val="009110F6"/>
    <w:rsid w:val="009115C9"/>
    <w:rsid w:val="00911EE5"/>
    <w:rsid w:val="0091238A"/>
    <w:rsid w:val="00913064"/>
    <w:rsid w:val="0091399D"/>
    <w:rsid w:val="00914A13"/>
    <w:rsid w:val="00915094"/>
    <w:rsid w:val="00915DB2"/>
    <w:rsid w:val="00915F83"/>
    <w:rsid w:val="00916D41"/>
    <w:rsid w:val="00920615"/>
    <w:rsid w:val="009216FD"/>
    <w:rsid w:val="00921D17"/>
    <w:rsid w:val="00922937"/>
    <w:rsid w:val="00925F42"/>
    <w:rsid w:val="009271DC"/>
    <w:rsid w:val="00927666"/>
    <w:rsid w:val="00931DFA"/>
    <w:rsid w:val="00933F88"/>
    <w:rsid w:val="00933FCD"/>
    <w:rsid w:val="0093451A"/>
    <w:rsid w:val="009363FD"/>
    <w:rsid w:val="00936408"/>
    <w:rsid w:val="0093759B"/>
    <w:rsid w:val="00940A0B"/>
    <w:rsid w:val="009418BD"/>
    <w:rsid w:val="00942173"/>
    <w:rsid w:val="00942334"/>
    <w:rsid w:val="009452B4"/>
    <w:rsid w:val="0094538B"/>
    <w:rsid w:val="00945A16"/>
    <w:rsid w:val="00945C3F"/>
    <w:rsid w:val="0094600B"/>
    <w:rsid w:val="00946715"/>
    <w:rsid w:val="00946F88"/>
    <w:rsid w:val="009478CA"/>
    <w:rsid w:val="00947CCC"/>
    <w:rsid w:val="00951ABA"/>
    <w:rsid w:val="009551E6"/>
    <w:rsid w:val="00955F89"/>
    <w:rsid w:val="009568C1"/>
    <w:rsid w:val="00956D74"/>
    <w:rsid w:val="00956ED9"/>
    <w:rsid w:val="00957A74"/>
    <w:rsid w:val="00961666"/>
    <w:rsid w:val="009617DA"/>
    <w:rsid w:val="00963D7C"/>
    <w:rsid w:val="00963E28"/>
    <w:rsid w:val="00964423"/>
    <w:rsid w:val="00965FA2"/>
    <w:rsid w:val="00966A53"/>
    <w:rsid w:val="0096763D"/>
    <w:rsid w:val="00967746"/>
    <w:rsid w:val="009700C1"/>
    <w:rsid w:val="009725D1"/>
    <w:rsid w:val="009726B2"/>
    <w:rsid w:val="009732A0"/>
    <w:rsid w:val="00974984"/>
    <w:rsid w:val="0097524A"/>
    <w:rsid w:val="009752F5"/>
    <w:rsid w:val="00976114"/>
    <w:rsid w:val="00977E1E"/>
    <w:rsid w:val="00981970"/>
    <w:rsid w:val="00985368"/>
    <w:rsid w:val="00986604"/>
    <w:rsid w:val="00987193"/>
    <w:rsid w:val="00987BD5"/>
    <w:rsid w:val="0099089B"/>
    <w:rsid w:val="00990B93"/>
    <w:rsid w:val="0099111E"/>
    <w:rsid w:val="00993DE9"/>
    <w:rsid w:val="009946E9"/>
    <w:rsid w:val="00994ECF"/>
    <w:rsid w:val="0099505D"/>
    <w:rsid w:val="009956FF"/>
    <w:rsid w:val="009963E0"/>
    <w:rsid w:val="009973C1"/>
    <w:rsid w:val="009A1245"/>
    <w:rsid w:val="009A248C"/>
    <w:rsid w:val="009A2C11"/>
    <w:rsid w:val="009A3234"/>
    <w:rsid w:val="009A377F"/>
    <w:rsid w:val="009A3E86"/>
    <w:rsid w:val="009A6587"/>
    <w:rsid w:val="009A6D0D"/>
    <w:rsid w:val="009B1A4C"/>
    <w:rsid w:val="009B1C99"/>
    <w:rsid w:val="009B233E"/>
    <w:rsid w:val="009B3BFC"/>
    <w:rsid w:val="009B4F19"/>
    <w:rsid w:val="009B540E"/>
    <w:rsid w:val="009B545F"/>
    <w:rsid w:val="009B5DD8"/>
    <w:rsid w:val="009B6319"/>
    <w:rsid w:val="009B6363"/>
    <w:rsid w:val="009B6ECA"/>
    <w:rsid w:val="009B7C18"/>
    <w:rsid w:val="009C0A00"/>
    <w:rsid w:val="009C1967"/>
    <w:rsid w:val="009C3177"/>
    <w:rsid w:val="009C3AB5"/>
    <w:rsid w:val="009C5D43"/>
    <w:rsid w:val="009C7126"/>
    <w:rsid w:val="009D118A"/>
    <w:rsid w:val="009D2950"/>
    <w:rsid w:val="009D37DD"/>
    <w:rsid w:val="009D5A1D"/>
    <w:rsid w:val="009D6639"/>
    <w:rsid w:val="009D6F41"/>
    <w:rsid w:val="009E1486"/>
    <w:rsid w:val="009E1507"/>
    <w:rsid w:val="009E2AC0"/>
    <w:rsid w:val="009E2F3D"/>
    <w:rsid w:val="009E358D"/>
    <w:rsid w:val="009E362F"/>
    <w:rsid w:val="009E4963"/>
    <w:rsid w:val="009E7A27"/>
    <w:rsid w:val="009E7D40"/>
    <w:rsid w:val="009F2BAA"/>
    <w:rsid w:val="009F3F75"/>
    <w:rsid w:val="009F4D22"/>
    <w:rsid w:val="009F52B1"/>
    <w:rsid w:val="009F7364"/>
    <w:rsid w:val="00A00763"/>
    <w:rsid w:val="00A014F2"/>
    <w:rsid w:val="00A024DC"/>
    <w:rsid w:val="00A0273C"/>
    <w:rsid w:val="00A03C23"/>
    <w:rsid w:val="00A05721"/>
    <w:rsid w:val="00A06F7E"/>
    <w:rsid w:val="00A07445"/>
    <w:rsid w:val="00A07F04"/>
    <w:rsid w:val="00A111AF"/>
    <w:rsid w:val="00A11AB8"/>
    <w:rsid w:val="00A122C5"/>
    <w:rsid w:val="00A123A6"/>
    <w:rsid w:val="00A12964"/>
    <w:rsid w:val="00A140FD"/>
    <w:rsid w:val="00A14521"/>
    <w:rsid w:val="00A157B8"/>
    <w:rsid w:val="00A16968"/>
    <w:rsid w:val="00A17DFC"/>
    <w:rsid w:val="00A21917"/>
    <w:rsid w:val="00A219A9"/>
    <w:rsid w:val="00A22C18"/>
    <w:rsid w:val="00A24608"/>
    <w:rsid w:val="00A25526"/>
    <w:rsid w:val="00A26B6F"/>
    <w:rsid w:val="00A278E9"/>
    <w:rsid w:val="00A30580"/>
    <w:rsid w:val="00A31124"/>
    <w:rsid w:val="00A31267"/>
    <w:rsid w:val="00A31990"/>
    <w:rsid w:val="00A33D10"/>
    <w:rsid w:val="00A33E8F"/>
    <w:rsid w:val="00A346FB"/>
    <w:rsid w:val="00A3623B"/>
    <w:rsid w:val="00A36F2C"/>
    <w:rsid w:val="00A37005"/>
    <w:rsid w:val="00A379C7"/>
    <w:rsid w:val="00A46878"/>
    <w:rsid w:val="00A53114"/>
    <w:rsid w:val="00A538D2"/>
    <w:rsid w:val="00A55347"/>
    <w:rsid w:val="00A57DCF"/>
    <w:rsid w:val="00A600BA"/>
    <w:rsid w:val="00A61D73"/>
    <w:rsid w:val="00A63166"/>
    <w:rsid w:val="00A66651"/>
    <w:rsid w:val="00A7023A"/>
    <w:rsid w:val="00A70B20"/>
    <w:rsid w:val="00A74482"/>
    <w:rsid w:val="00A747AF"/>
    <w:rsid w:val="00A76D54"/>
    <w:rsid w:val="00A76FD4"/>
    <w:rsid w:val="00A80244"/>
    <w:rsid w:val="00A80C05"/>
    <w:rsid w:val="00A820E0"/>
    <w:rsid w:val="00A845F5"/>
    <w:rsid w:val="00A84C71"/>
    <w:rsid w:val="00A857CE"/>
    <w:rsid w:val="00A878B2"/>
    <w:rsid w:val="00A908CF"/>
    <w:rsid w:val="00A91A53"/>
    <w:rsid w:val="00A91DA9"/>
    <w:rsid w:val="00A92224"/>
    <w:rsid w:val="00A930A7"/>
    <w:rsid w:val="00A93536"/>
    <w:rsid w:val="00A94291"/>
    <w:rsid w:val="00A96EE3"/>
    <w:rsid w:val="00A97FAE"/>
    <w:rsid w:val="00AA0362"/>
    <w:rsid w:val="00AA0459"/>
    <w:rsid w:val="00AA3DC3"/>
    <w:rsid w:val="00AA46C3"/>
    <w:rsid w:val="00AA5AFA"/>
    <w:rsid w:val="00AA6BBE"/>
    <w:rsid w:val="00AA76D7"/>
    <w:rsid w:val="00AB0EC0"/>
    <w:rsid w:val="00AB25E5"/>
    <w:rsid w:val="00AB261A"/>
    <w:rsid w:val="00AB3BF4"/>
    <w:rsid w:val="00AB4374"/>
    <w:rsid w:val="00AB566B"/>
    <w:rsid w:val="00AB7195"/>
    <w:rsid w:val="00AB71A2"/>
    <w:rsid w:val="00AC0218"/>
    <w:rsid w:val="00AC102F"/>
    <w:rsid w:val="00AC1C37"/>
    <w:rsid w:val="00AC1FC3"/>
    <w:rsid w:val="00AC4778"/>
    <w:rsid w:val="00AC4D92"/>
    <w:rsid w:val="00AC52D7"/>
    <w:rsid w:val="00AC75C6"/>
    <w:rsid w:val="00AD0B89"/>
    <w:rsid w:val="00AD1B74"/>
    <w:rsid w:val="00AD297B"/>
    <w:rsid w:val="00AD29F5"/>
    <w:rsid w:val="00AD329F"/>
    <w:rsid w:val="00AD3C82"/>
    <w:rsid w:val="00AD60B0"/>
    <w:rsid w:val="00AD62DD"/>
    <w:rsid w:val="00AD67EF"/>
    <w:rsid w:val="00AD76FE"/>
    <w:rsid w:val="00AD7D0D"/>
    <w:rsid w:val="00AD7FEE"/>
    <w:rsid w:val="00AE20CF"/>
    <w:rsid w:val="00AE34EA"/>
    <w:rsid w:val="00AE53DA"/>
    <w:rsid w:val="00AE5CFC"/>
    <w:rsid w:val="00AE72AE"/>
    <w:rsid w:val="00AF05B5"/>
    <w:rsid w:val="00AF0EE9"/>
    <w:rsid w:val="00AF0F02"/>
    <w:rsid w:val="00AF1E15"/>
    <w:rsid w:val="00AF2ADB"/>
    <w:rsid w:val="00AF3E9F"/>
    <w:rsid w:val="00AF52FA"/>
    <w:rsid w:val="00AF7043"/>
    <w:rsid w:val="00B00430"/>
    <w:rsid w:val="00B024A1"/>
    <w:rsid w:val="00B025BA"/>
    <w:rsid w:val="00B03252"/>
    <w:rsid w:val="00B03592"/>
    <w:rsid w:val="00B03E94"/>
    <w:rsid w:val="00B04428"/>
    <w:rsid w:val="00B04A70"/>
    <w:rsid w:val="00B04D7F"/>
    <w:rsid w:val="00B04E26"/>
    <w:rsid w:val="00B066D3"/>
    <w:rsid w:val="00B10038"/>
    <w:rsid w:val="00B100C2"/>
    <w:rsid w:val="00B104D5"/>
    <w:rsid w:val="00B114CE"/>
    <w:rsid w:val="00B11E16"/>
    <w:rsid w:val="00B12403"/>
    <w:rsid w:val="00B13061"/>
    <w:rsid w:val="00B17FB0"/>
    <w:rsid w:val="00B21A13"/>
    <w:rsid w:val="00B24515"/>
    <w:rsid w:val="00B246D0"/>
    <w:rsid w:val="00B26F63"/>
    <w:rsid w:val="00B27283"/>
    <w:rsid w:val="00B30672"/>
    <w:rsid w:val="00B3070B"/>
    <w:rsid w:val="00B30A0A"/>
    <w:rsid w:val="00B339DC"/>
    <w:rsid w:val="00B33EDA"/>
    <w:rsid w:val="00B348BD"/>
    <w:rsid w:val="00B348EC"/>
    <w:rsid w:val="00B35E0E"/>
    <w:rsid w:val="00B36E0F"/>
    <w:rsid w:val="00B36E8E"/>
    <w:rsid w:val="00B37BFA"/>
    <w:rsid w:val="00B449B1"/>
    <w:rsid w:val="00B45CD4"/>
    <w:rsid w:val="00B46EFE"/>
    <w:rsid w:val="00B476E6"/>
    <w:rsid w:val="00B53729"/>
    <w:rsid w:val="00B5375E"/>
    <w:rsid w:val="00B54348"/>
    <w:rsid w:val="00B54C43"/>
    <w:rsid w:val="00B54CB3"/>
    <w:rsid w:val="00B566A0"/>
    <w:rsid w:val="00B56FEE"/>
    <w:rsid w:val="00B57FB8"/>
    <w:rsid w:val="00B614E7"/>
    <w:rsid w:val="00B63934"/>
    <w:rsid w:val="00B6521E"/>
    <w:rsid w:val="00B65775"/>
    <w:rsid w:val="00B722BE"/>
    <w:rsid w:val="00B72C84"/>
    <w:rsid w:val="00B72D65"/>
    <w:rsid w:val="00B7333E"/>
    <w:rsid w:val="00B73BD2"/>
    <w:rsid w:val="00B73EC3"/>
    <w:rsid w:val="00B74A32"/>
    <w:rsid w:val="00B75CA8"/>
    <w:rsid w:val="00B75D2B"/>
    <w:rsid w:val="00B764C9"/>
    <w:rsid w:val="00B772AE"/>
    <w:rsid w:val="00B80FAD"/>
    <w:rsid w:val="00B83FF3"/>
    <w:rsid w:val="00B842DC"/>
    <w:rsid w:val="00B84464"/>
    <w:rsid w:val="00B85197"/>
    <w:rsid w:val="00B86228"/>
    <w:rsid w:val="00B8673F"/>
    <w:rsid w:val="00B869D0"/>
    <w:rsid w:val="00B87169"/>
    <w:rsid w:val="00B87AC2"/>
    <w:rsid w:val="00B91449"/>
    <w:rsid w:val="00B92039"/>
    <w:rsid w:val="00B92AD7"/>
    <w:rsid w:val="00B92CA2"/>
    <w:rsid w:val="00B955D3"/>
    <w:rsid w:val="00B96A69"/>
    <w:rsid w:val="00B96EE1"/>
    <w:rsid w:val="00BA1991"/>
    <w:rsid w:val="00BA1DDC"/>
    <w:rsid w:val="00BA38F7"/>
    <w:rsid w:val="00BA439F"/>
    <w:rsid w:val="00BA7A4D"/>
    <w:rsid w:val="00BB04A2"/>
    <w:rsid w:val="00BB273C"/>
    <w:rsid w:val="00BB41DA"/>
    <w:rsid w:val="00BB6C55"/>
    <w:rsid w:val="00BB71BE"/>
    <w:rsid w:val="00BB7794"/>
    <w:rsid w:val="00BC037A"/>
    <w:rsid w:val="00BC1124"/>
    <w:rsid w:val="00BC15FB"/>
    <w:rsid w:val="00BC2995"/>
    <w:rsid w:val="00BC407F"/>
    <w:rsid w:val="00BC50D0"/>
    <w:rsid w:val="00BC74E9"/>
    <w:rsid w:val="00BC75B8"/>
    <w:rsid w:val="00BC7E87"/>
    <w:rsid w:val="00BD0130"/>
    <w:rsid w:val="00BD1373"/>
    <w:rsid w:val="00BD3A80"/>
    <w:rsid w:val="00BD3C9E"/>
    <w:rsid w:val="00BD46E4"/>
    <w:rsid w:val="00BD4811"/>
    <w:rsid w:val="00BD4DC3"/>
    <w:rsid w:val="00BD525A"/>
    <w:rsid w:val="00BD54EC"/>
    <w:rsid w:val="00BD582D"/>
    <w:rsid w:val="00BD6436"/>
    <w:rsid w:val="00BD7A5F"/>
    <w:rsid w:val="00BD7AA5"/>
    <w:rsid w:val="00BE326F"/>
    <w:rsid w:val="00BE354F"/>
    <w:rsid w:val="00BE50B0"/>
    <w:rsid w:val="00BE682A"/>
    <w:rsid w:val="00BF05C8"/>
    <w:rsid w:val="00BF1B56"/>
    <w:rsid w:val="00BF1EC0"/>
    <w:rsid w:val="00BF22A4"/>
    <w:rsid w:val="00BF2766"/>
    <w:rsid w:val="00BF3AE4"/>
    <w:rsid w:val="00BF4408"/>
    <w:rsid w:val="00BF49E2"/>
    <w:rsid w:val="00BF6191"/>
    <w:rsid w:val="00BF6590"/>
    <w:rsid w:val="00BF70AE"/>
    <w:rsid w:val="00BF770A"/>
    <w:rsid w:val="00BF78AA"/>
    <w:rsid w:val="00C00923"/>
    <w:rsid w:val="00C0145A"/>
    <w:rsid w:val="00C02854"/>
    <w:rsid w:val="00C034A9"/>
    <w:rsid w:val="00C03757"/>
    <w:rsid w:val="00C062DD"/>
    <w:rsid w:val="00C06AAF"/>
    <w:rsid w:val="00C07386"/>
    <w:rsid w:val="00C1170C"/>
    <w:rsid w:val="00C11F41"/>
    <w:rsid w:val="00C1240B"/>
    <w:rsid w:val="00C12EBB"/>
    <w:rsid w:val="00C1339F"/>
    <w:rsid w:val="00C1499C"/>
    <w:rsid w:val="00C153B0"/>
    <w:rsid w:val="00C162ED"/>
    <w:rsid w:val="00C17285"/>
    <w:rsid w:val="00C20336"/>
    <w:rsid w:val="00C23020"/>
    <w:rsid w:val="00C232F8"/>
    <w:rsid w:val="00C26BDB"/>
    <w:rsid w:val="00C26C08"/>
    <w:rsid w:val="00C27CC4"/>
    <w:rsid w:val="00C34179"/>
    <w:rsid w:val="00C346A7"/>
    <w:rsid w:val="00C350E6"/>
    <w:rsid w:val="00C3533D"/>
    <w:rsid w:val="00C37AFC"/>
    <w:rsid w:val="00C4107C"/>
    <w:rsid w:val="00C413B6"/>
    <w:rsid w:val="00C43632"/>
    <w:rsid w:val="00C440FA"/>
    <w:rsid w:val="00C442DC"/>
    <w:rsid w:val="00C44A13"/>
    <w:rsid w:val="00C456B0"/>
    <w:rsid w:val="00C52F6F"/>
    <w:rsid w:val="00C532EC"/>
    <w:rsid w:val="00C54254"/>
    <w:rsid w:val="00C55391"/>
    <w:rsid w:val="00C55588"/>
    <w:rsid w:val="00C56611"/>
    <w:rsid w:val="00C57624"/>
    <w:rsid w:val="00C57DDC"/>
    <w:rsid w:val="00C632DF"/>
    <w:rsid w:val="00C6377B"/>
    <w:rsid w:val="00C63AD1"/>
    <w:rsid w:val="00C63F09"/>
    <w:rsid w:val="00C647A3"/>
    <w:rsid w:val="00C65559"/>
    <w:rsid w:val="00C659F9"/>
    <w:rsid w:val="00C66345"/>
    <w:rsid w:val="00C707BA"/>
    <w:rsid w:val="00C70E00"/>
    <w:rsid w:val="00C7201C"/>
    <w:rsid w:val="00C73229"/>
    <w:rsid w:val="00C73293"/>
    <w:rsid w:val="00C73A9B"/>
    <w:rsid w:val="00C74CB1"/>
    <w:rsid w:val="00C7536F"/>
    <w:rsid w:val="00C75425"/>
    <w:rsid w:val="00C76278"/>
    <w:rsid w:val="00C76838"/>
    <w:rsid w:val="00C77C78"/>
    <w:rsid w:val="00C811AE"/>
    <w:rsid w:val="00C8438F"/>
    <w:rsid w:val="00C846E1"/>
    <w:rsid w:val="00C85984"/>
    <w:rsid w:val="00C91A4F"/>
    <w:rsid w:val="00C92506"/>
    <w:rsid w:val="00C92555"/>
    <w:rsid w:val="00C9369B"/>
    <w:rsid w:val="00C936F7"/>
    <w:rsid w:val="00C93FC7"/>
    <w:rsid w:val="00C9453A"/>
    <w:rsid w:val="00C94D27"/>
    <w:rsid w:val="00C9555C"/>
    <w:rsid w:val="00CA0297"/>
    <w:rsid w:val="00CA108E"/>
    <w:rsid w:val="00CA2745"/>
    <w:rsid w:val="00CA2BA2"/>
    <w:rsid w:val="00CA4A8D"/>
    <w:rsid w:val="00CA51F0"/>
    <w:rsid w:val="00CA56C3"/>
    <w:rsid w:val="00CA6029"/>
    <w:rsid w:val="00CA6D9E"/>
    <w:rsid w:val="00CA7879"/>
    <w:rsid w:val="00CB053D"/>
    <w:rsid w:val="00CB12AC"/>
    <w:rsid w:val="00CB33FC"/>
    <w:rsid w:val="00CC06E1"/>
    <w:rsid w:val="00CC180E"/>
    <w:rsid w:val="00CC2588"/>
    <w:rsid w:val="00CC2A58"/>
    <w:rsid w:val="00CC3545"/>
    <w:rsid w:val="00CC39C5"/>
    <w:rsid w:val="00CC7B46"/>
    <w:rsid w:val="00CD184D"/>
    <w:rsid w:val="00CD184F"/>
    <w:rsid w:val="00CD341E"/>
    <w:rsid w:val="00CD67AE"/>
    <w:rsid w:val="00CE1079"/>
    <w:rsid w:val="00CE1F18"/>
    <w:rsid w:val="00CE1FA8"/>
    <w:rsid w:val="00CE3A05"/>
    <w:rsid w:val="00CE6F92"/>
    <w:rsid w:val="00CE7AE4"/>
    <w:rsid w:val="00CE7F3C"/>
    <w:rsid w:val="00CF037B"/>
    <w:rsid w:val="00CF037C"/>
    <w:rsid w:val="00CF03AD"/>
    <w:rsid w:val="00CF3B6E"/>
    <w:rsid w:val="00CF4C8C"/>
    <w:rsid w:val="00CF5878"/>
    <w:rsid w:val="00CF7CCC"/>
    <w:rsid w:val="00D01019"/>
    <w:rsid w:val="00D01490"/>
    <w:rsid w:val="00D04A78"/>
    <w:rsid w:val="00D069D1"/>
    <w:rsid w:val="00D12035"/>
    <w:rsid w:val="00D12592"/>
    <w:rsid w:val="00D127FD"/>
    <w:rsid w:val="00D13612"/>
    <w:rsid w:val="00D15C2E"/>
    <w:rsid w:val="00D16271"/>
    <w:rsid w:val="00D16D46"/>
    <w:rsid w:val="00D16D7F"/>
    <w:rsid w:val="00D21205"/>
    <w:rsid w:val="00D23089"/>
    <w:rsid w:val="00D23C95"/>
    <w:rsid w:val="00D27A09"/>
    <w:rsid w:val="00D3214F"/>
    <w:rsid w:val="00D32DBA"/>
    <w:rsid w:val="00D3316E"/>
    <w:rsid w:val="00D34C4A"/>
    <w:rsid w:val="00D3501B"/>
    <w:rsid w:val="00D37154"/>
    <w:rsid w:val="00D3729A"/>
    <w:rsid w:val="00D400EA"/>
    <w:rsid w:val="00D40293"/>
    <w:rsid w:val="00D402A5"/>
    <w:rsid w:val="00D4045A"/>
    <w:rsid w:val="00D406D0"/>
    <w:rsid w:val="00D40A35"/>
    <w:rsid w:val="00D41304"/>
    <w:rsid w:val="00D41AE9"/>
    <w:rsid w:val="00D4320C"/>
    <w:rsid w:val="00D439E9"/>
    <w:rsid w:val="00D44D6A"/>
    <w:rsid w:val="00D45880"/>
    <w:rsid w:val="00D4623E"/>
    <w:rsid w:val="00D5005F"/>
    <w:rsid w:val="00D50B85"/>
    <w:rsid w:val="00D51938"/>
    <w:rsid w:val="00D51EE2"/>
    <w:rsid w:val="00D55619"/>
    <w:rsid w:val="00D55737"/>
    <w:rsid w:val="00D5580D"/>
    <w:rsid w:val="00D56641"/>
    <w:rsid w:val="00D57AFC"/>
    <w:rsid w:val="00D62065"/>
    <w:rsid w:val="00D623B9"/>
    <w:rsid w:val="00D63C97"/>
    <w:rsid w:val="00D63E88"/>
    <w:rsid w:val="00D64D37"/>
    <w:rsid w:val="00D650C5"/>
    <w:rsid w:val="00D67A94"/>
    <w:rsid w:val="00D7018D"/>
    <w:rsid w:val="00D713AE"/>
    <w:rsid w:val="00D713CB"/>
    <w:rsid w:val="00D72AD6"/>
    <w:rsid w:val="00D72BFB"/>
    <w:rsid w:val="00D72E7A"/>
    <w:rsid w:val="00D733EA"/>
    <w:rsid w:val="00D74FD2"/>
    <w:rsid w:val="00D76557"/>
    <w:rsid w:val="00D76663"/>
    <w:rsid w:val="00D8066F"/>
    <w:rsid w:val="00D8420D"/>
    <w:rsid w:val="00D84A02"/>
    <w:rsid w:val="00D84AFC"/>
    <w:rsid w:val="00D86175"/>
    <w:rsid w:val="00D862F3"/>
    <w:rsid w:val="00D866E7"/>
    <w:rsid w:val="00D874E1"/>
    <w:rsid w:val="00D87824"/>
    <w:rsid w:val="00D90413"/>
    <w:rsid w:val="00D912FC"/>
    <w:rsid w:val="00D913B8"/>
    <w:rsid w:val="00D919FA"/>
    <w:rsid w:val="00D9463B"/>
    <w:rsid w:val="00D95501"/>
    <w:rsid w:val="00D97128"/>
    <w:rsid w:val="00DA1878"/>
    <w:rsid w:val="00DA2800"/>
    <w:rsid w:val="00DA5E6F"/>
    <w:rsid w:val="00DA76D7"/>
    <w:rsid w:val="00DB06FC"/>
    <w:rsid w:val="00DB0791"/>
    <w:rsid w:val="00DB0856"/>
    <w:rsid w:val="00DB1B31"/>
    <w:rsid w:val="00DB2630"/>
    <w:rsid w:val="00DB4656"/>
    <w:rsid w:val="00DB6D11"/>
    <w:rsid w:val="00DB727F"/>
    <w:rsid w:val="00DB74BB"/>
    <w:rsid w:val="00DB77E8"/>
    <w:rsid w:val="00DC0958"/>
    <w:rsid w:val="00DC1520"/>
    <w:rsid w:val="00DC6528"/>
    <w:rsid w:val="00DC7539"/>
    <w:rsid w:val="00DD1F6B"/>
    <w:rsid w:val="00DD1F81"/>
    <w:rsid w:val="00DD228E"/>
    <w:rsid w:val="00DD2913"/>
    <w:rsid w:val="00DD53D4"/>
    <w:rsid w:val="00DD6295"/>
    <w:rsid w:val="00DD64F5"/>
    <w:rsid w:val="00DE1133"/>
    <w:rsid w:val="00DE15FD"/>
    <w:rsid w:val="00DE1FB9"/>
    <w:rsid w:val="00DE2C0D"/>
    <w:rsid w:val="00DE3C15"/>
    <w:rsid w:val="00DE402B"/>
    <w:rsid w:val="00DE45D0"/>
    <w:rsid w:val="00DE5B75"/>
    <w:rsid w:val="00DE6542"/>
    <w:rsid w:val="00DE769A"/>
    <w:rsid w:val="00DF26AB"/>
    <w:rsid w:val="00DF3B65"/>
    <w:rsid w:val="00DF4202"/>
    <w:rsid w:val="00DF50A6"/>
    <w:rsid w:val="00DF55F5"/>
    <w:rsid w:val="00DF58C6"/>
    <w:rsid w:val="00DF592E"/>
    <w:rsid w:val="00DF6201"/>
    <w:rsid w:val="00DF7731"/>
    <w:rsid w:val="00DF7C65"/>
    <w:rsid w:val="00E03854"/>
    <w:rsid w:val="00E03C8F"/>
    <w:rsid w:val="00E03FE2"/>
    <w:rsid w:val="00E04AFD"/>
    <w:rsid w:val="00E06352"/>
    <w:rsid w:val="00E10090"/>
    <w:rsid w:val="00E139C0"/>
    <w:rsid w:val="00E1459E"/>
    <w:rsid w:val="00E16233"/>
    <w:rsid w:val="00E20101"/>
    <w:rsid w:val="00E20C0A"/>
    <w:rsid w:val="00E213BB"/>
    <w:rsid w:val="00E260C1"/>
    <w:rsid w:val="00E26A49"/>
    <w:rsid w:val="00E26E6C"/>
    <w:rsid w:val="00E30FB5"/>
    <w:rsid w:val="00E31D47"/>
    <w:rsid w:val="00E322D4"/>
    <w:rsid w:val="00E3324F"/>
    <w:rsid w:val="00E3481A"/>
    <w:rsid w:val="00E372A2"/>
    <w:rsid w:val="00E4363D"/>
    <w:rsid w:val="00E441C5"/>
    <w:rsid w:val="00E465EA"/>
    <w:rsid w:val="00E509CA"/>
    <w:rsid w:val="00E50C7D"/>
    <w:rsid w:val="00E5170D"/>
    <w:rsid w:val="00E52759"/>
    <w:rsid w:val="00E53755"/>
    <w:rsid w:val="00E539A7"/>
    <w:rsid w:val="00E53D95"/>
    <w:rsid w:val="00E53F6C"/>
    <w:rsid w:val="00E563BE"/>
    <w:rsid w:val="00E57B3D"/>
    <w:rsid w:val="00E57BD6"/>
    <w:rsid w:val="00E60554"/>
    <w:rsid w:val="00E606B5"/>
    <w:rsid w:val="00E61260"/>
    <w:rsid w:val="00E615F4"/>
    <w:rsid w:val="00E6165B"/>
    <w:rsid w:val="00E61F13"/>
    <w:rsid w:val="00E63F8F"/>
    <w:rsid w:val="00E6477B"/>
    <w:rsid w:val="00E65E2B"/>
    <w:rsid w:val="00E66313"/>
    <w:rsid w:val="00E6634F"/>
    <w:rsid w:val="00E6688D"/>
    <w:rsid w:val="00E66FF2"/>
    <w:rsid w:val="00E70AE2"/>
    <w:rsid w:val="00E70F1E"/>
    <w:rsid w:val="00E72AFA"/>
    <w:rsid w:val="00E731A1"/>
    <w:rsid w:val="00E733BF"/>
    <w:rsid w:val="00E742B5"/>
    <w:rsid w:val="00E75BF8"/>
    <w:rsid w:val="00E76E00"/>
    <w:rsid w:val="00E77988"/>
    <w:rsid w:val="00E82633"/>
    <w:rsid w:val="00E8490C"/>
    <w:rsid w:val="00E85E3B"/>
    <w:rsid w:val="00E85EEF"/>
    <w:rsid w:val="00E872D8"/>
    <w:rsid w:val="00E87BDB"/>
    <w:rsid w:val="00E87D0F"/>
    <w:rsid w:val="00E9230E"/>
    <w:rsid w:val="00E933A8"/>
    <w:rsid w:val="00E9517A"/>
    <w:rsid w:val="00E95802"/>
    <w:rsid w:val="00E969B4"/>
    <w:rsid w:val="00E9780B"/>
    <w:rsid w:val="00E97B42"/>
    <w:rsid w:val="00EA0057"/>
    <w:rsid w:val="00EA0DB6"/>
    <w:rsid w:val="00EA0F7F"/>
    <w:rsid w:val="00EA187D"/>
    <w:rsid w:val="00EA1C45"/>
    <w:rsid w:val="00EA1DC9"/>
    <w:rsid w:val="00EA7FF8"/>
    <w:rsid w:val="00EB01F7"/>
    <w:rsid w:val="00EB024C"/>
    <w:rsid w:val="00EB0FA2"/>
    <w:rsid w:val="00EB122D"/>
    <w:rsid w:val="00EB19DB"/>
    <w:rsid w:val="00EB1A9B"/>
    <w:rsid w:val="00EB2D44"/>
    <w:rsid w:val="00EB2E3A"/>
    <w:rsid w:val="00EB39D3"/>
    <w:rsid w:val="00EB3ACC"/>
    <w:rsid w:val="00EB46AE"/>
    <w:rsid w:val="00EB5D07"/>
    <w:rsid w:val="00EB7D9A"/>
    <w:rsid w:val="00EB7E6A"/>
    <w:rsid w:val="00EC0D80"/>
    <w:rsid w:val="00EC1380"/>
    <w:rsid w:val="00EC28A2"/>
    <w:rsid w:val="00EC2D22"/>
    <w:rsid w:val="00EC50AD"/>
    <w:rsid w:val="00ED3CA0"/>
    <w:rsid w:val="00ED478F"/>
    <w:rsid w:val="00ED4D9F"/>
    <w:rsid w:val="00ED65A5"/>
    <w:rsid w:val="00ED6933"/>
    <w:rsid w:val="00EE105A"/>
    <w:rsid w:val="00EE136A"/>
    <w:rsid w:val="00EE14BC"/>
    <w:rsid w:val="00EE37A5"/>
    <w:rsid w:val="00EE3906"/>
    <w:rsid w:val="00EE5176"/>
    <w:rsid w:val="00EE5A79"/>
    <w:rsid w:val="00EE7087"/>
    <w:rsid w:val="00EE7772"/>
    <w:rsid w:val="00EF099B"/>
    <w:rsid w:val="00EF2E22"/>
    <w:rsid w:val="00EF5F19"/>
    <w:rsid w:val="00EF7DE2"/>
    <w:rsid w:val="00F02279"/>
    <w:rsid w:val="00F038C1"/>
    <w:rsid w:val="00F04B70"/>
    <w:rsid w:val="00F056FA"/>
    <w:rsid w:val="00F069FF"/>
    <w:rsid w:val="00F07BCB"/>
    <w:rsid w:val="00F1086D"/>
    <w:rsid w:val="00F11482"/>
    <w:rsid w:val="00F119FC"/>
    <w:rsid w:val="00F170D6"/>
    <w:rsid w:val="00F2052D"/>
    <w:rsid w:val="00F208A2"/>
    <w:rsid w:val="00F221D6"/>
    <w:rsid w:val="00F22EBD"/>
    <w:rsid w:val="00F23B40"/>
    <w:rsid w:val="00F24CE3"/>
    <w:rsid w:val="00F24EFE"/>
    <w:rsid w:val="00F25321"/>
    <w:rsid w:val="00F26F33"/>
    <w:rsid w:val="00F31522"/>
    <w:rsid w:val="00F32CD6"/>
    <w:rsid w:val="00F32EB6"/>
    <w:rsid w:val="00F33C0C"/>
    <w:rsid w:val="00F35631"/>
    <w:rsid w:val="00F35827"/>
    <w:rsid w:val="00F36682"/>
    <w:rsid w:val="00F366F3"/>
    <w:rsid w:val="00F40056"/>
    <w:rsid w:val="00F41318"/>
    <w:rsid w:val="00F4167D"/>
    <w:rsid w:val="00F41AD3"/>
    <w:rsid w:val="00F42104"/>
    <w:rsid w:val="00F44F3E"/>
    <w:rsid w:val="00F458DB"/>
    <w:rsid w:val="00F50E15"/>
    <w:rsid w:val="00F51E3B"/>
    <w:rsid w:val="00F53296"/>
    <w:rsid w:val="00F532C5"/>
    <w:rsid w:val="00F54F6A"/>
    <w:rsid w:val="00F562BF"/>
    <w:rsid w:val="00F61B12"/>
    <w:rsid w:val="00F623E4"/>
    <w:rsid w:val="00F634BC"/>
    <w:rsid w:val="00F6358B"/>
    <w:rsid w:val="00F642B1"/>
    <w:rsid w:val="00F652E0"/>
    <w:rsid w:val="00F70926"/>
    <w:rsid w:val="00F71156"/>
    <w:rsid w:val="00F717B5"/>
    <w:rsid w:val="00F71AF6"/>
    <w:rsid w:val="00F74CF6"/>
    <w:rsid w:val="00F751F2"/>
    <w:rsid w:val="00F76357"/>
    <w:rsid w:val="00F773CA"/>
    <w:rsid w:val="00F821C9"/>
    <w:rsid w:val="00F8296F"/>
    <w:rsid w:val="00F8757B"/>
    <w:rsid w:val="00F92763"/>
    <w:rsid w:val="00F93947"/>
    <w:rsid w:val="00F93C00"/>
    <w:rsid w:val="00F958B1"/>
    <w:rsid w:val="00F969D7"/>
    <w:rsid w:val="00F976F1"/>
    <w:rsid w:val="00F97B3C"/>
    <w:rsid w:val="00F97C93"/>
    <w:rsid w:val="00FA0457"/>
    <w:rsid w:val="00FA1651"/>
    <w:rsid w:val="00FA2BCE"/>
    <w:rsid w:val="00FA537A"/>
    <w:rsid w:val="00FA5672"/>
    <w:rsid w:val="00FA6E7A"/>
    <w:rsid w:val="00FB18D5"/>
    <w:rsid w:val="00FB319C"/>
    <w:rsid w:val="00FB3A88"/>
    <w:rsid w:val="00FB40D7"/>
    <w:rsid w:val="00FB4332"/>
    <w:rsid w:val="00FB57E5"/>
    <w:rsid w:val="00FB6C1C"/>
    <w:rsid w:val="00FB7504"/>
    <w:rsid w:val="00FB7E40"/>
    <w:rsid w:val="00FC0E44"/>
    <w:rsid w:val="00FC534D"/>
    <w:rsid w:val="00FC7CE8"/>
    <w:rsid w:val="00FD0141"/>
    <w:rsid w:val="00FD0A60"/>
    <w:rsid w:val="00FD21AD"/>
    <w:rsid w:val="00FD3817"/>
    <w:rsid w:val="00FD60E1"/>
    <w:rsid w:val="00FD63E5"/>
    <w:rsid w:val="00FE0622"/>
    <w:rsid w:val="00FE0A9E"/>
    <w:rsid w:val="00FE1552"/>
    <w:rsid w:val="00FE1EE2"/>
    <w:rsid w:val="00FE475B"/>
    <w:rsid w:val="00FE616A"/>
    <w:rsid w:val="00FE76ED"/>
    <w:rsid w:val="00FE7807"/>
    <w:rsid w:val="00FE7B30"/>
    <w:rsid w:val="00FF0A96"/>
    <w:rsid w:val="00FF48EA"/>
    <w:rsid w:val="00FF6114"/>
    <w:rsid w:val="0172383B"/>
    <w:rsid w:val="023D09F0"/>
    <w:rsid w:val="03142C59"/>
    <w:rsid w:val="031633FF"/>
    <w:rsid w:val="03217689"/>
    <w:rsid w:val="033E07DE"/>
    <w:rsid w:val="03806638"/>
    <w:rsid w:val="045A5D06"/>
    <w:rsid w:val="04E12763"/>
    <w:rsid w:val="06597A1E"/>
    <w:rsid w:val="065D593D"/>
    <w:rsid w:val="07D936CD"/>
    <w:rsid w:val="095C095A"/>
    <w:rsid w:val="0A0817E5"/>
    <w:rsid w:val="0AA661D7"/>
    <w:rsid w:val="0AB60EFB"/>
    <w:rsid w:val="0B4A1B68"/>
    <w:rsid w:val="0C037608"/>
    <w:rsid w:val="0C1E678B"/>
    <w:rsid w:val="0DCC716E"/>
    <w:rsid w:val="0DE476D0"/>
    <w:rsid w:val="0EE8239A"/>
    <w:rsid w:val="0F0433C5"/>
    <w:rsid w:val="0F4D52DF"/>
    <w:rsid w:val="0F7C38BC"/>
    <w:rsid w:val="0FA33D42"/>
    <w:rsid w:val="0FBB043D"/>
    <w:rsid w:val="10412F7C"/>
    <w:rsid w:val="10504CDA"/>
    <w:rsid w:val="14505DBB"/>
    <w:rsid w:val="15D12F04"/>
    <w:rsid w:val="16A30E2C"/>
    <w:rsid w:val="18B810F5"/>
    <w:rsid w:val="19A50A23"/>
    <w:rsid w:val="1A0A2FDB"/>
    <w:rsid w:val="1B4A2F4E"/>
    <w:rsid w:val="1BDC2079"/>
    <w:rsid w:val="1CBD06D0"/>
    <w:rsid w:val="1D485AAF"/>
    <w:rsid w:val="1F700019"/>
    <w:rsid w:val="20907D3B"/>
    <w:rsid w:val="20FE57BC"/>
    <w:rsid w:val="21FB0187"/>
    <w:rsid w:val="22004961"/>
    <w:rsid w:val="236D25D4"/>
    <w:rsid w:val="23D9018B"/>
    <w:rsid w:val="23EA3C55"/>
    <w:rsid w:val="25357DBD"/>
    <w:rsid w:val="25B43AB5"/>
    <w:rsid w:val="267919EF"/>
    <w:rsid w:val="26ED7E81"/>
    <w:rsid w:val="29DE60BB"/>
    <w:rsid w:val="2AF81D42"/>
    <w:rsid w:val="2CEC4AFB"/>
    <w:rsid w:val="2E850184"/>
    <w:rsid w:val="2FB10CC3"/>
    <w:rsid w:val="2FFB113C"/>
    <w:rsid w:val="31D47BC2"/>
    <w:rsid w:val="32AB3A61"/>
    <w:rsid w:val="334A2FAF"/>
    <w:rsid w:val="3582168A"/>
    <w:rsid w:val="37D4218D"/>
    <w:rsid w:val="390D0633"/>
    <w:rsid w:val="39D72148"/>
    <w:rsid w:val="3A1773C4"/>
    <w:rsid w:val="3BD16495"/>
    <w:rsid w:val="3C982927"/>
    <w:rsid w:val="3E4B4FC9"/>
    <w:rsid w:val="3ED86218"/>
    <w:rsid w:val="3FAB59A6"/>
    <w:rsid w:val="403934CA"/>
    <w:rsid w:val="409852E5"/>
    <w:rsid w:val="42021027"/>
    <w:rsid w:val="42C03488"/>
    <w:rsid w:val="458B2E52"/>
    <w:rsid w:val="46FE5D17"/>
    <w:rsid w:val="482B3129"/>
    <w:rsid w:val="48A80334"/>
    <w:rsid w:val="48CB2E57"/>
    <w:rsid w:val="4B2D5F5F"/>
    <w:rsid w:val="4BF56CFD"/>
    <w:rsid w:val="4D9F3B17"/>
    <w:rsid w:val="4DED1DF4"/>
    <w:rsid w:val="4EAE480F"/>
    <w:rsid w:val="505161BE"/>
    <w:rsid w:val="513C4B1C"/>
    <w:rsid w:val="52E1158E"/>
    <w:rsid w:val="53DF2391"/>
    <w:rsid w:val="54CB338A"/>
    <w:rsid w:val="55C2464C"/>
    <w:rsid w:val="57053F31"/>
    <w:rsid w:val="58297A04"/>
    <w:rsid w:val="5953467A"/>
    <w:rsid w:val="5A7002FB"/>
    <w:rsid w:val="5B5D291E"/>
    <w:rsid w:val="607B0FDF"/>
    <w:rsid w:val="60EB1E02"/>
    <w:rsid w:val="6105763A"/>
    <w:rsid w:val="617C1124"/>
    <w:rsid w:val="62156ED8"/>
    <w:rsid w:val="623F06F0"/>
    <w:rsid w:val="626E5562"/>
    <w:rsid w:val="63621D5F"/>
    <w:rsid w:val="64DB1553"/>
    <w:rsid w:val="69620A77"/>
    <w:rsid w:val="6A9069A9"/>
    <w:rsid w:val="6AA6797E"/>
    <w:rsid w:val="6B01180E"/>
    <w:rsid w:val="6C611C61"/>
    <w:rsid w:val="6DD164D5"/>
    <w:rsid w:val="6E6803A9"/>
    <w:rsid w:val="6FDC6DF5"/>
    <w:rsid w:val="7298114E"/>
    <w:rsid w:val="731831BC"/>
    <w:rsid w:val="77602D92"/>
    <w:rsid w:val="797B0B5D"/>
    <w:rsid w:val="7B74240A"/>
    <w:rsid w:val="7BDA2DBC"/>
    <w:rsid w:val="7E25412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0"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55"/>
    <w:qFormat/>
    <w:uiPriority w:val="99"/>
    <w:pPr>
      <w:keepNext/>
      <w:keepLines/>
      <w:spacing w:before="260" w:after="260" w:line="416" w:lineRule="auto"/>
      <w:outlineLvl w:val="2"/>
    </w:pPr>
    <w:rPr>
      <w:b/>
      <w:bCs/>
      <w:sz w:val="32"/>
      <w:szCs w:val="32"/>
    </w:rPr>
  </w:style>
  <w:style w:type="paragraph" w:styleId="5">
    <w:name w:val="heading 4"/>
    <w:basedOn w:val="1"/>
    <w:next w:val="1"/>
    <w:link w:val="56"/>
    <w:qFormat/>
    <w:uiPriority w:val="99"/>
    <w:pPr>
      <w:keepNext/>
      <w:keepLines/>
      <w:spacing w:before="280" w:after="290" w:line="376" w:lineRule="auto"/>
      <w:outlineLvl w:val="3"/>
    </w:pPr>
    <w:rPr>
      <w:rFonts w:ascii="Cambria" w:hAnsi="Cambria" w:cs="Cambria"/>
      <w:b/>
      <w:bCs/>
      <w:sz w:val="28"/>
      <w:szCs w:val="28"/>
    </w:rPr>
  </w:style>
  <w:style w:type="paragraph" w:styleId="6">
    <w:name w:val="heading 5"/>
    <w:basedOn w:val="1"/>
    <w:next w:val="1"/>
    <w:link w:val="57"/>
    <w:qFormat/>
    <w:uiPriority w:val="99"/>
    <w:pPr>
      <w:keepNext/>
      <w:keepLines/>
      <w:spacing w:before="280" w:after="290" w:line="376" w:lineRule="auto"/>
      <w:outlineLvl w:val="4"/>
    </w:pPr>
    <w:rPr>
      <w:rFonts w:ascii="Calibri" w:hAnsi="Calibri" w:cs="Calibri"/>
      <w:b/>
      <w:bCs/>
      <w:sz w:val="28"/>
      <w:szCs w:val="28"/>
    </w:rPr>
  </w:style>
  <w:style w:type="paragraph" w:styleId="7">
    <w:name w:val="heading 9"/>
    <w:basedOn w:val="1"/>
    <w:next w:val="1"/>
    <w:link w:val="146"/>
    <w:qFormat/>
    <w:uiPriority w:val="99"/>
    <w:pPr>
      <w:keepNext/>
      <w:keepLines/>
      <w:widowControl/>
      <w:spacing w:before="240" w:after="64" w:line="320" w:lineRule="auto"/>
      <w:jc w:val="left"/>
      <w:outlineLvl w:val="8"/>
    </w:pPr>
    <w:rPr>
      <w:rFonts w:ascii="Calibri" w:hAnsi="Calibri" w:cs="Calibri"/>
      <w:kern w:val="0"/>
    </w:rPr>
  </w:style>
  <w:style w:type="character" w:default="1" w:styleId="44">
    <w:name w:val="Default Paragraph Font"/>
    <w:semiHidden/>
    <w:unhideWhenUsed/>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59"/>
    <w:semiHidden/>
    <w:qFormat/>
    <w:uiPriority w:val="99"/>
    <w:rPr>
      <w:b/>
      <w:bCs/>
    </w:rPr>
  </w:style>
  <w:style w:type="paragraph" w:styleId="9">
    <w:name w:val="annotation text"/>
    <w:basedOn w:val="1"/>
    <w:link w:val="58"/>
    <w:semiHidden/>
    <w:qFormat/>
    <w:uiPriority w:val="99"/>
    <w:pPr>
      <w:jc w:val="left"/>
    </w:pPr>
  </w:style>
  <w:style w:type="paragraph" w:styleId="10">
    <w:name w:val="toc 7"/>
    <w:basedOn w:val="1"/>
    <w:next w:val="1"/>
    <w:semiHidden/>
    <w:qFormat/>
    <w:uiPriority w:val="99"/>
    <w:pPr>
      <w:ind w:left="1260"/>
      <w:jc w:val="left"/>
    </w:pPr>
    <w:rPr>
      <w:sz w:val="20"/>
      <w:szCs w:val="20"/>
    </w:rPr>
  </w:style>
  <w:style w:type="paragraph" w:styleId="11">
    <w:name w:val="index 8"/>
    <w:basedOn w:val="1"/>
    <w:next w:val="1"/>
    <w:semiHidden/>
    <w:qFormat/>
    <w:uiPriority w:val="99"/>
    <w:pPr>
      <w:ind w:left="1400" w:leftChars="1400"/>
    </w:pPr>
  </w:style>
  <w:style w:type="paragraph" w:styleId="12">
    <w:name w:val="Normal Indent"/>
    <w:basedOn w:val="1"/>
    <w:qFormat/>
    <w:uiPriority w:val="99"/>
    <w:pPr>
      <w:ind w:firstLine="420"/>
    </w:pPr>
  </w:style>
  <w:style w:type="paragraph" w:styleId="13">
    <w:name w:val="index 5"/>
    <w:basedOn w:val="1"/>
    <w:next w:val="1"/>
    <w:semiHidden/>
    <w:qFormat/>
    <w:uiPriority w:val="99"/>
    <w:pPr>
      <w:ind w:left="800" w:leftChars="800"/>
    </w:pPr>
  </w:style>
  <w:style w:type="paragraph" w:styleId="14">
    <w:name w:val="Document Map"/>
    <w:basedOn w:val="1"/>
    <w:link w:val="60"/>
    <w:semiHidden/>
    <w:qFormat/>
    <w:uiPriority w:val="99"/>
    <w:rPr>
      <w:rFonts w:ascii="宋体" w:cs="宋体"/>
      <w:sz w:val="18"/>
      <w:szCs w:val="18"/>
    </w:rPr>
  </w:style>
  <w:style w:type="paragraph" w:styleId="15">
    <w:name w:val="index 6"/>
    <w:basedOn w:val="1"/>
    <w:next w:val="1"/>
    <w:semiHidden/>
    <w:qFormat/>
    <w:uiPriority w:val="99"/>
    <w:pPr>
      <w:ind w:left="1000" w:leftChars="1000"/>
    </w:pPr>
  </w:style>
  <w:style w:type="paragraph" w:styleId="16">
    <w:name w:val="Body Text"/>
    <w:basedOn w:val="1"/>
    <w:link w:val="61"/>
    <w:qFormat/>
    <w:uiPriority w:val="99"/>
    <w:rPr>
      <w:spacing w:val="20"/>
      <w:sz w:val="24"/>
      <w:szCs w:val="24"/>
    </w:rPr>
  </w:style>
  <w:style w:type="paragraph" w:styleId="17">
    <w:name w:val="Body Text Indent"/>
    <w:basedOn w:val="1"/>
    <w:link w:val="62"/>
    <w:qFormat/>
    <w:uiPriority w:val="99"/>
    <w:pPr>
      <w:adjustRightInd w:val="0"/>
      <w:spacing w:line="360" w:lineRule="auto"/>
      <w:ind w:firstLine="660"/>
      <w:textAlignment w:val="baseline"/>
    </w:pPr>
    <w:rPr>
      <w:rFonts w:ascii="宋体" w:cs="宋体"/>
      <w:spacing w:val="20"/>
      <w:kern w:val="0"/>
      <w:sz w:val="28"/>
      <w:szCs w:val="28"/>
    </w:rPr>
  </w:style>
  <w:style w:type="paragraph" w:styleId="18">
    <w:name w:val="Block Text"/>
    <w:basedOn w:val="1"/>
    <w:qFormat/>
    <w:locked/>
    <w:uiPriority w:val="99"/>
    <w:pPr>
      <w:ind w:left="540" w:right="-90" w:firstLine="570"/>
    </w:pPr>
    <w:rPr>
      <w:sz w:val="28"/>
      <w:szCs w:val="28"/>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ind w:left="840"/>
      <w:jc w:val="left"/>
    </w:pPr>
    <w:rPr>
      <w:sz w:val="20"/>
      <w:szCs w:val="20"/>
    </w:rPr>
  </w:style>
  <w:style w:type="paragraph" w:styleId="21">
    <w:name w:val="toc 3"/>
    <w:basedOn w:val="1"/>
    <w:next w:val="1"/>
    <w:semiHidden/>
    <w:qFormat/>
    <w:uiPriority w:val="99"/>
    <w:pPr>
      <w:ind w:left="420"/>
      <w:jc w:val="left"/>
    </w:pPr>
    <w:rPr>
      <w:sz w:val="20"/>
      <w:szCs w:val="20"/>
    </w:rPr>
  </w:style>
  <w:style w:type="paragraph" w:styleId="22">
    <w:name w:val="Plain Text"/>
    <w:basedOn w:val="1"/>
    <w:link w:val="63"/>
    <w:qFormat/>
    <w:uiPriority w:val="99"/>
    <w:pPr>
      <w:spacing w:line="500" w:lineRule="exact"/>
    </w:pPr>
    <w:rPr>
      <w:rFonts w:ascii="宋体" w:hAnsi="Courier New" w:cs="宋体"/>
    </w:rPr>
  </w:style>
  <w:style w:type="paragraph" w:styleId="23">
    <w:name w:val="toc 8"/>
    <w:basedOn w:val="1"/>
    <w:next w:val="1"/>
    <w:semiHidden/>
    <w:qFormat/>
    <w:uiPriority w:val="99"/>
    <w:pPr>
      <w:ind w:left="1470"/>
      <w:jc w:val="left"/>
    </w:pPr>
    <w:rPr>
      <w:sz w:val="20"/>
      <w:szCs w:val="20"/>
    </w:rPr>
  </w:style>
  <w:style w:type="paragraph" w:styleId="24">
    <w:name w:val="index 3"/>
    <w:basedOn w:val="1"/>
    <w:next w:val="1"/>
    <w:semiHidden/>
    <w:qFormat/>
    <w:uiPriority w:val="99"/>
    <w:pPr>
      <w:ind w:left="400" w:leftChars="400"/>
    </w:pPr>
  </w:style>
  <w:style w:type="paragraph" w:styleId="25">
    <w:name w:val="Date"/>
    <w:basedOn w:val="1"/>
    <w:next w:val="1"/>
    <w:link w:val="64"/>
    <w:qFormat/>
    <w:uiPriority w:val="99"/>
    <w:pPr>
      <w:adjustRightInd w:val="0"/>
      <w:spacing w:line="312" w:lineRule="atLeast"/>
      <w:jc w:val="right"/>
      <w:textAlignment w:val="baseline"/>
    </w:pPr>
    <w:rPr>
      <w:rFonts w:ascii="宋体" w:cs="宋体"/>
      <w:spacing w:val="20"/>
      <w:kern w:val="0"/>
      <w:sz w:val="28"/>
      <w:szCs w:val="28"/>
    </w:rPr>
  </w:style>
  <w:style w:type="paragraph" w:styleId="26">
    <w:name w:val="Body Text Indent 2"/>
    <w:basedOn w:val="1"/>
    <w:link w:val="65"/>
    <w:qFormat/>
    <w:uiPriority w:val="99"/>
    <w:pPr>
      <w:spacing w:line="360" w:lineRule="auto"/>
      <w:ind w:firstLine="624"/>
    </w:pPr>
    <w:rPr>
      <w:spacing w:val="20"/>
      <w:sz w:val="28"/>
      <w:szCs w:val="28"/>
    </w:rPr>
  </w:style>
  <w:style w:type="paragraph" w:styleId="27">
    <w:name w:val="Balloon Text"/>
    <w:basedOn w:val="1"/>
    <w:link w:val="66"/>
    <w:semiHidden/>
    <w:qFormat/>
    <w:uiPriority w:val="99"/>
    <w:rPr>
      <w:sz w:val="18"/>
      <w:szCs w:val="18"/>
    </w:rPr>
  </w:style>
  <w:style w:type="paragraph" w:styleId="28">
    <w:name w:val="footer"/>
    <w:basedOn w:val="1"/>
    <w:link w:val="67"/>
    <w:qFormat/>
    <w:uiPriority w:val="99"/>
    <w:pPr>
      <w:tabs>
        <w:tab w:val="center" w:pos="4153"/>
        <w:tab w:val="right" w:pos="8306"/>
      </w:tabs>
      <w:adjustRightInd w:val="0"/>
      <w:spacing w:line="240" w:lineRule="atLeast"/>
      <w:jc w:val="left"/>
      <w:textAlignment w:val="baseline"/>
    </w:pPr>
    <w:rPr>
      <w:kern w:val="0"/>
      <w:sz w:val="18"/>
      <w:szCs w:val="18"/>
    </w:rPr>
  </w:style>
  <w:style w:type="paragraph" w:styleId="29">
    <w:name w:val="header"/>
    <w:basedOn w:val="1"/>
    <w:link w:val="68"/>
    <w:qFormat/>
    <w:uiPriority w:val="99"/>
    <w:pP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9457"/>
      </w:tabs>
      <w:spacing w:line="360" w:lineRule="auto"/>
      <w:jc w:val="center"/>
      <w:outlineLvl w:val="0"/>
    </w:pPr>
    <w:rPr>
      <w:rFonts w:eastAsia="仿宋_GB2312"/>
      <w:b/>
      <w:bCs/>
      <w:spacing w:val="40"/>
      <w:kern w:val="0"/>
      <w:sz w:val="32"/>
      <w:szCs w:val="32"/>
    </w:rPr>
  </w:style>
  <w:style w:type="paragraph" w:styleId="31">
    <w:name w:val="toc 4"/>
    <w:basedOn w:val="1"/>
    <w:next w:val="1"/>
    <w:semiHidden/>
    <w:qFormat/>
    <w:uiPriority w:val="99"/>
    <w:pPr>
      <w:ind w:left="630"/>
      <w:jc w:val="left"/>
    </w:pPr>
    <w:rPr>
      <w:sz w:val="20"/>
      <w:szCs w:val="20"/>
    </w:rPr>
  </w:style>
  <w:style w:type="paragraph" w:styleId="32">
    <w:name w:val="index heading"/>
    <w:basedOn w:val="1"/>
    <w:next w:val="33"/>
    <w:semiHidden/>
    <w:qFormat/>
    <w:uiPriority w:val="99"/>
  </w:style>
  <w:style w:type="paragraph" w:styleId="33">
    <w:name w:val="index 1"/>
    <w:basedOn w:val="1"/>
    <w:next w:val="1"/>
    <w:semiHidden/>
    <w:qFormat/>
    <w:uiPriority w:val="99"/>
    <w:pPr>
      <w:spacing w:line="360" w:lineRule="auto"/>
      <w:jc w:val="center"/>
    </w:pPr>
    <w:rPr>
      <w:b/>
      <w:bCs/>
      <w:kern w:val="0"/>
      <w:sz w:val="30"/>
      <w:szCs w:val="30"/>
    </w:rPr>
  </w:style>
  <w:style w:type="paragraph" w:styleId="34">
    <w:name w:val="Subtitle"/>
    <w:basedOn w:val="1"/>
    <w:next w:val="1"/>
    <w:link w:val="69"/>
    <w:qFormat/>
    <w:uiPriority w:val="99"/>
    <w:pPr>
      <w:spacing w:before="240" w:after="60" w:line="312" w:lineRule="auto"/>
      <w:jc w:val="center"/>
      <w:outlineLvl w:val="1"/>
    </w:pPr>
    <w:rPr>
      <w:rFonts w:ascii="Cambria" w:hAnsi="Cambria" w:cs="Cambria"/>
      <w:b/>
      <w:bCs/>
      <w:kern w:val="28"/>
      <w:sz w:val="32"/>
      <w:szCs w:val="32"/>
    </w:rPr>
  </w:style>
  <w:style w:type="paragraph" w:styleId="35">
    <w:name w:val="List"/>
    <w:basedOn w:val="1"/>
    <w:qFormat/>
    <w:locked/>
    <w:uiPriority w:val="0"/>
    <w:pPr>
      <w:autoSpaceDE w:val="0"/>
      <w:autoSpaceDN w:val="0"/>
      <w:adjustRightInd w:val="0"/>
      <w:spacing w:line="312" w:lineRule="atLeast"/>
      <w:ind w:left="420" w:hanging="420"/>
      <w:textAlignment w:val="baseline"/>
    </w:pPr>
    <w:rPr>
      <w:kern w:val="0"/>
      <w:szCs w:val="20"/>
    </w:rPr>
  </w:style>
  <w:style w:type="paragraph" w:styleId="36">
    <w:name w:val="toc 6"/>
    <w:basedOn w:val="1"/>
    <w:next w:val="1"/>
    <w:semiHidden/>
    <w:qFormat/>
    <w:uiPriority w:val="99"/>
    <w:pPr>
      <w:ind w:left="1050"/>
      <w:jc w:val="left"/>
    </w:pPr>
    <w:rPr>
      <w:sz w:val="20"/>
      <w:szCs w:val="20"/>
    </w:rPr>
  </w:style>
  <w:style w:type="paragraph" w:styleId="37">
    <w:name w:val="Body Text Indent 3"/>
    <w:basedOn w:val="1"/>
    <w:link w:val="70"/>
    <w:qFormat/>
    <w:uiPriority w:val="0"/>
    <w:pPr>
      <w:adjustRightInd w:val="0"/>
      <w:spacing w:line="360" w:lineRule="auto"/>
      <w:ind w:firstLine="660"/>
      <w:jc w:val="left"/>
      <w:textAlignment w:val="baseline"/>
    </w:pPr>
    <w:rPr>
      <w:rFonts w:ascii="宋体" w:cs="宋体"/>
      <w:spacing w:val="20"/>
      <w:kern w:val="0"/>
      <w:sz w:val="28"/>
      <w:szCs w:val="28"/>
    </w:rPr>
  </w:style>
  <w:style w:type="paragraph" w:styleId="38">
    <w:name w:val="index 7"/>
    <w:basedOn w:val="1"/>
    <w:next w:val="1"/>
    <w:semiHidden/>
    <w:qFormat/>
    <w:uiPriority w:val="99"/>
    <w:pPr>
      <w:ind w:left="1200" w:leftChars="1200"/>
    </w:pPr>
  </w:style>
  <w:style w:type="paragraph" w:styleId="39">
    <w:name w:val="index 9"/>
    <w:basedOn w:val="1"/>
    <w:next w:val="1"/>
    <w:semiHidden/>
    <w:qFormat/>
    <w:uiPriority w:val="99"/>
    <w:pPr>
      <w:ind w:left="1600" w:leftChars="1600"/>
    </w:pPr>
  </w:style>
  <w:style w:type="paragraph" w:styleId="40">
    <w:name w:val="toc 2"/>
    <w:basedOn w:val="1"/>
    <w:next w:val="1"/>
    <w:qFormat/>
    <w:uiPriority w:val="39"/>
    <w:pPr>
      <w:tabs>
        <w:tab w:val="right" w:leader="dot" w:pos="9457"/>
      </w:tabs>
      <w:adjustRightInd w:val="0"/>
      <w:snapToGrid w:val="0"/>
      <w:spacing w:line="500" w:lineRule="exact"/>
      <w:ind w:left="29" w:hanging="29" w:hangingChars="12"/>
    </w:pPr>
    <w:rPr>
      <w:rFonts w:ascii="宋体" w:hAnsi="宋体" w:cs="宋体"/>
      <w:sz w:val="24"/>
      <w:szCs w:val="24"/>
    </w:rPr>
  </w:style>
  <w:style w:type="paragraph" w:styleId="41">
    <w:name w:val="toc 9"/>
    <w:basedOn w:val="1"/>
    <w:next w:val="1"/>
    <w:semiHidden/>
    <w:qFormat/>
    <w:uiPriority w:val="99"/>
    <w:pPr>
      <w:ind w:left="1680"/>
      <w:jc w:val="left"/>
    </w:pPr>
    <w:rPr>
      <w:sz w:val="20"/>
      <w:szCs w:val="20"/>
    </w:rPr>
  </w:style>
  <w:style w:type="paragraph" w:styleId="42">
    <w:name w:val="Normal (Web)"/>
    <w:basedOn w:val="1"/>
    <w:qFormat/>
    <w:uiPriority w:val="99"/>
    <w:pPr>
      <w:widowControl/>
      <w:spacing w:before="100" w:beforeAutospacing="1" w:after="100" w:afterAutospacing="1"/>
      <w:jc w:val="left"/>
    </w:pPr>
    <w:rPr>
      <w:rFonts w:ascii="Arial Unicode MS" w:eastAsia="Arial Unicode MS" w:cs="Arial Unicode MS"/>
      <w:kern w:val="0"/>
      <w:sz w:val="24"/>
      <w:szCs w:val="24"/>
    </w:rPr>
  </w:style>
  <w:style w:type="paragraph" w:styleId="43">
    <w:name w:val="index 2"/>
    <w:basedOn w:val="1"/>
    <w:next w:val="1"/>
    <w:semiHidden/>
    <w:qFormat/>
    <w:uiPriority w:val="99"/>
    <w:pPr>
      <w:ind w:left="200" w:leftChars="200"/>
    </w:pPr>
  </w:style>
  <w:style w:type="character" w:styleId="45">
    <w:name w:val="Strong"/>
    <w:basedOn w:val="44"/>
    <w:qFormat/>
    <w:uiPriority w:val="99"/>
    <w:rPr>
      <w:b/>
      <w:bCs/>
    </w:rPr>
  </w:style>
  <w:style w:type="character" w:styleId="46">
    <w:name w:val="page number"/>
    <w:basedOn w:val="44"/>
    <w:qFormat/>
    <w:uiPriority w:val="99"/>
  </w:style>
  <w:style w:type="character" w:styleId="47">
    <w:name w:val="FollowedHyperlink"/>
    <w:basedOn w:val="44"/>
    <w:qFormat/>
    <w:uiPriority w:val="99"/>
    <w:rPr>
      <w:color w:val="800080"/>
      <w:u w:val="single"/>
    </w:rPr>
  </w:style>
  <w:style w:type="character" w:styleId="48">
    <w:name w:val="Hyperlink"/>
    <w:basedOn w:val="44"/>
    <w:qFormat/>
    <w:uiPriority w:val="99"/>
    <w:rPr>
      <w:color w:val="0000FF"/>
      <w:u w:val="single"/>
    </w:rPr>
  </w:style>
  <w:style w:type="character" w:styleId="49">
    <w:name w:val="annotation reference"/>
    <w:basedOn w:val="44"/>
    <w:semiHidden/>
    <w:qFormat/>
    <w:uiPriority w:val="99"/>
    <w:rPr>
      <w:sz w:val="21"/>
      <w:szCs w:val="21"/>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2">
    <w:name w:val="Table Theme"/>
    <w:basedOn w:val="5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3">
    <w:name w:val="标题 1 Char"/>
    <w:basedOn w:val="44"/>
    <w:link w:val="2"/>
    <w:qFormat/>
    <w:locked/>
    <w:uiPriority w:val="99"/>
    <w:rPr>
      <w:b/>
      <w:bCs/>
      <w:kern w:val="44"/>
      <w:sz w:val="44"/>
      <w:szCs w:val="44"/>
    </w:rPr>
  </w:style>
  <w:style w:type="character" w:customStyle="1" w:styleId="54">
    <w:name w:val="标题 2 Char"/>
    <w:basedOn w:val="44"/>
    <w:link w:val="3"/>
    <w:qFormat/>
    <w:locked/>
    <w:uiPriority w:val="99"/>
    <w:rPr>
      <w:rFonts w:ascii="Arial" w:hAnsi="Arial" w:eastAsia="黑体" w:cs="Arial"/>
      <w:b/>
      <w:bCs/>
      <w:kern w:val="2"/>
      <w:sz w:val="32"/>
      <w:szCs w:val="32"/>
    </w:rPr>
  </w:style>
  <w:style w:type="character" w:customStyle="1" w:styleId="55">
    <w:name w:val="标题 3 Char"/>
    <w:basedOn w:val="44"/>
    <w:link w:val="4"/>
    <w:qFormat/>
    <w:locked/>
    <w:uiPriority w:val="99"/>
    <w:rPr>
      <w:b/>
      <w:bCs/>
      <w:kern w:val="2"/>
      <w:sz w:val="32"/>
      <w:szCs w:val="32"/>
    </w:rPr>
  </w:style>
  <w:style w:type="character" w:customStyle="1" w:styleId="56">
    <w:name w:val="标题 4 Char"/>
    <w:basedOn w:val="44"/>
    <w:link w:val="5"/>
    <w:qFormat/>
    <w:locked/>
    <w:uiPriority w:val="99"/>
    <w:rPr>
      <w:rFonts w:ascii="Cambria" w:hAnsi="Cambria" w:cs="Cambria"/>
      <w:b/>
      <w:bCs/>
      <w:kern w:val="2"/>
      <w:sz w:val="28"/>
      <w:szCs w:val="28"/>
    </w:rPr>
  </w:style>
  <w:style w:type="character" w:customStyle="1" w:styleId="57">
    <w:name w:val="标题 5 Char"/>
    <w:basedOn w:val="44"/>
    <w:link w:val="6"/>
    <w:qFormat/>
    <w:locked/>
    <w:uiPriority w:val="99"/>
    <w:rPr>
      <w:rFonts w:ascii="Calibri" w:hAnsi="Calibri" w:cs="Calibri"/>
      <w:b/>
      <w:bCs/>
      <w:kern w:val="2"/>
      <w:sz w:val="28"/>
      <w:szCs w:val="28"/>
    </w:rPr>
  </w:style>
  <w:style w:type="character" w:customStyle="1" w:styleId="58">
    <w:name w:val="批注文字 Char"/>
    <w:basedOn w:val="44"/>
    <w:link w:val="9"/>
    <w:qFormat/>
    <w:locked/>
    <w:uiPriority w:val="99"/>
    <w:rPr>
      <w:kern w:val="2"/>
      <w:sz w:val="21"/>
      <w:szCs w:val="21"/>
    </w:rPr>
  </w:style>
  <w:style w:type="character" w:customStyle="1" w:styleId="59">
    <w:name w:val="批注主题 Char"/>
    <w:basedOn w:val="58"/>
    <w:link w:val="8"/>
    <w:qFormat/>
    <w:locked/>
    <w:uiPriority w:val="99"/>
    <w:rPr>
      <w:b/>
      <w:bCs/>
    </w:rPr>
  </w:style>
  <w:style w:type="character" w:customStyle="1" w:styleId="60">
    <w:name w:val="文档结构图 Char"/>
    <w:basedOn w:val="44"/>
    <w:link w:val="14"/>
    <w:qFormat/>
    <w:locked/>
    <w:uiPriority w:val="99"/>
    <w:rPr>
      <w:rFonts w:ascii="宋体" w:cs="宋体"/>
      <w:kern w:val="2"/>
      <w:sz w:val="18"/>
      <w:szCs w:val="18"/>
    </w:rPr>
  </w:style>
  <w:style w:type="character" w:customStyle="1" w:styleId="61">
    <w:name w:val="正文文本 Char"/>
    <w:basedOn w:val="44"/>
    <w:link w:val="16"/>
    <w:qFormat/>
    <w:locked/>
    <w:uiPriority w:val="99"/>
    <w:rPr>
      <w:spacing w:val="20"/>
      <w:kern w:val="2"/>
      <w:sz w:val="24"/>
      <w:szCs w:val="24"/>
    </w:rPr>
  </w:style>
  <w:style w:type="character" w:customStyle="1" w:styleId="62">
    <w:name w:val="正文文本缩进 Char"/>
    <w:basedOn w:val="44"/>
    <w:link w:val="17"/>
    <w:qFormat/>
    <w:locked/>
    <w:uiPriority w:val="99"/>
    <w:rPr>
      <w:rFonts w:ascii="宋体" w:cs="宋体"/>
      <w:spacing w:val="20"/>
      <w:sz w:val="28"/>
      <w:szCs w:val="28"/>
    </w:rPr>
  </w:style>
  <w:style w:type="character" w:customStyle="1" w:styleId="63">
    <w:name w:val="纯文本 Char"/>
    <w:basedOn w:val="44"/>
    <w:link w:val="22"/>
    <w:qFormat/>
    <w:locked/>
    <w:uiPriority w:val="99"/>
    <w:rPr>
      <w:rFonts w:ascii="宋体" w:hAnsi="Courier New" w:cs="宋体"/>
      <w:kern w:val="2"/>
      <w:sz w:val="21"/>
      <w:szCs w:val="21"/>
    </w:rPr>
  </w:style>
  <w:style w:type="character" w:customStyle="1" w:styleId="64">
    <w:name w:val="日期 Char"/>
    <w:basedOn w:val="44"/>
    <w:link w:val="25"/>
    <w:qFormat/>
    <w:locked/>
    <w:uiPriority w:val="99"/>
    <w:rPr>
      <w:rFonts w:ascii="宋体" w:cs="宋体"/>
      <w:spacing w:val="20"/>
      <w:sz w:val="28"/>
      <w:szCs w:val="28"/>
    </w:rPr>
  </w:style>
  <w:style w:type="character" w:customStyle="1" w:styleId="65">
    <w:name w:val="正文文本缩进 2 Char"/>
    <w:basedOn w:val="44"/>
    <w:link w:val="26"/>
    <w:qFormat/>
    <w:locked/>
    <w:uiPriority w:val="99"/>
    <w:rPr>
      <w:spacing w:val="20"/>
      <w:kern w:val="2"/>
      <w:sz w:val="28"/>
      <w:szCs w:val="28"/>
    </w:rPr>
  </w:style>
  <w:style w:type="character" w:customStyle="1" w:styleId="66">
    <w:name w:val="批注框文本 Char"/>
    <w:basedOn w:val="44"/>
    <w:link w:val="27"/>
    <w:qFormat/>
    <w:locked/>
    <w:uiPriority w:val="99"/>
    <w:rPr>
      <w:kern w:val="2"/>
      <w:sz w:val="18"/>
      <w:szCs w:val="18"/>
    </w:rPr>
  </w:style>
  <w:style w:type="character" w:customStyle="1" w:styleId="67">
    <w:name w:val="页脚 Char"/>
    <w:basedOn w:val="44"/>
    <w:link w:val="28"/>
    <w:qFormat/>
    <w:locked/>
    <w:uiPriority w:val="99"/>
    <w:rPr>
      <w:sz w:val="18"/>
      <w:szCs w:val="18"/>
    </w:rPr>
  </w:style>
  <w:style w:type="character" w:customStyle="1" w:styleId="68">
    <w:name w:val="页眉 Char"/>
    <w:basedOn w:val="44"/>
    <w:link w:val="29"/>
    <w:qFormat/>
    <w:locked/>
    <w:uiPriority w:val="99"/>
    <w:rPr>
      <w:kern w:val="2"/>
      <w:sz w:val="18"/>
      <w:szCs w:val="18"/>
    </w:rPr>
  </w:style>
  <w:style w:type="character" w:customStyle="1" w:styleId="69">
    <w:name w:val="副标题 Char"/>
    <w:basedOn w:val="44"/>
    <w:link w:val="34"/>
    <w:qFormat/>
    <w:locked/>
    <w:uiPriority w:val="99"/>
    <w:rPr>
      <w:rFonts w:ascii="Cambria" w:hAnsi="Cambria" w:cs="Cambria"/>
      <w:b/>
      <w:bCs/>
      <w:kern w:val="28"/>
      <w:sz w:val="32"/>
      <w:szCs w:val="32"/>
    </w:rPr>
  </w:style>
  <w:style w:type="character" w:customStyle="1" w:styleId="70">
    <w:name w:val="正文文本缩进 3 Char"/>
    <w:basedOn w:val="44"/>
    <w:link w:val="37"/>
    <w:qFormat/>
    <w:locked/>
    <w:uiPriority w:val="0"/>
    <w:rPr>
      <w:rFonts w:ascii="宋体" w:cs="宋体"/>
      <w:spacing w:val="20"/>
      <w:sz w:val="28"/>
      <w:szCs w:val="28"/>
    </w:rPr>
  </w:style>
  <w:style w:type="paragraph" w:customStyle="1" w:styleId="71">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72">
    <w:name w:val="font6"/>
    <w:basedOn w:val="1"/>
    <w:qFormat/>
    <w:uiPriority w:val="99"/>
    <w:pPr>
      <w:widowControl/>
      <w:spacing w:before="100" w:beforeAutospacing="1" w:after="100" w:afterAutospacing="1"/>
      <w:jc w:val="left"/>
    </w:pPr>
    <w:rPr>
      <w:rFonts w:eastAsia="Arial Unicode MS"/>
      <w:kern w:val="0"/>
      <w:sz w:val="18"/>
      <w:szCs w:val="18"/>
    </w:rPr>
  </w:style>
  <w:style w:type="paragraph" w:customStyle="1" w:styleId="73">
    <w:name w:val="font7"/>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74">
    <w:name w:val="font8"/>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75">
    <w:name w:val="font9"/>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76">
    <w:name w:val="font10"/>
    <w:basedOn w:val="1"/>
    <w:qFormat/>
    <w:uiPriority w:val="99"/>
    <w:pPr>
      <w:widowControl/>
      <w:spacing w:before="100" w:beforeAutospacing="1" w:after="100" w:afterAutospacing="1"/>
      <w:jc w:val="left"/>
    </w:pPr>
    <w:rPr>
      <w:rFonts w:eastAsia="Arial Unicode MS"/>
      <w:color w:val="000000"/>
      <w:kern w:val="0"/>
      <w:sz w:val="18"/>
      <w:szCs w:val="18"/>
    </w:rPr>
  </w:style>
  <w:style w:type="paragraph" w:customStyle="1" w:styleId="77">
    <w:name w:val="font11"/>
    <w:basedOn w:val="1"/>
    <w:qFormat/>
    <w:uiPriority w:val="99"/>
    <w:pPr>
      <w:widowControl/>
      <w:spacing w:before="100" w:beforeAutospacing="1" w:after="100" w:afterAutospacing="1"/>
      <w:jc w:val="left"/>
    </w:pPr>
    <w:rPr>
      <w:rFonts w:eastAsia="Arial Unicode MS"/>
      <w:kern w:val="0"/>
      <w:sz w:val="16"/>
      <w:szCs w:val="16"/>
    </w:rPr>
  </w:style>
  <w:style w:type="paragraph" w:customStyle="1" w:styleId="78">
    <w:name w:val="xl2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9">
    <w:name w:val="xl2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0">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1">
    <w:name w:val="xl2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2">
    <w:name w:val="xl28"/>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3">
    <w:name w:val="xl29"/>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4">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5">
    <w:name w:val="xl31"/>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6">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7">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8">
    <w:name w:val="xl3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9">
    <w:name w:val="xl35"/>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0">
    <w:name w:val="xl3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1">
    <w:name w:val="xl37"/>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3">
    <w:name w:val="xl39"/>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4">
    <w:name w:val="font1"/>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95">
    <w:name w:val="xl40"/>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96">
    <w:name w:val="Char1 Char Char Char"/>
    <w:basedOn w:val="1"/>
    <w:qFormat/>
    <w:uiPriority w:val="99"/>
    <w:pPr>
      <w:widowControl/>
      <w:spacing w:after="160" w:line="240" w:lineRule="exact"/>
      <w:jc w:val="left"/>
    </w:pPr>
    <w:rPr>
      <w:rFonts w:ascii="Tahoma" w:hAnsi="Tahoma" w:cs="Tahoma"/>
      <w:kern w:val="0"/>
      <w:sz w:val="24"/>
      <w:szCs w:val="24"/>
      <w:lang w:eastAsia="en-US"/>
    </w:rPr>
  </w:style>
  <w:style w:type="paragraph" w:customStyle="1" w:styleId="97">
    <w:name w:val="Char1 Char Char Char1"/>
    <w:basedOn w:val="1"/>
    <w:qFormat/>
    <w:uiPriority w:val="99"/>
    <w:pPr>
      <w:widowControl/>
      <w:spacing w:after="160" w:line="240" w:lineRule="exact"/>
      <w:jc w:val="left"/>
    </w:pPr>
    <w:rPr>
      <w:rFonts w:ascii="Tahoma" w:hAnsi="Tahoma" w:cs="Tahoma"/>
      <w:kern w:val="0"/>
      <w:sz w:val="24"/>
      <w:szCs w:val="24"/>
      <w:lang w:eastAsia="en-US"/>
    </w:rPr>
  </w:style>
  <w:style w:type="character" w:customStyle="1" w:styleId="98">
    <w:name w:val="short_text1"/>
    <w:basedOn w:val="44"/>
    <w:qFormat/>
    <w:uiPriority w:val="99"/>
    <w:rPr>
      <w:sz w:val="29"/>
      <w:szCs w:val="29"/>
    </w:rPr>
  </w:style>
  <w:style w:type="paragraph" w:customStyle="1" w:styleId="99">
    <w:name w:val="Default"/>
    <w:qFormat/>
    <w:uiPriority w:val="99"/>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100">
    <w:name w:val="apple-style-span"/>
    <w:basedOn w:val="44"/>
    <w:qFormat/>
    <w:uiPriority w:val="99"/>
  </w:style>
  <w:style w:type="character" w:customStyle="1" w:styleId="101">
    <w:name w:val="apple-converted-space"/>
    <w:basedOn w:val="44"/>
    <w:qFormat/>
    <w:uiPriority w:val="99"/>
  </w:style>
  <w:style w:type="paragraph" w:customStyle="1" w:styleId="102">
    <w:name w:val="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3">
    <w:name w:val="列出段落1"/>
    <w:basedOn w:val="1"/>
    <w:qFormat/>
    <w:uiPriority w:val="99"/>
    <w:pPr>
      <w:ind w:firstLine="420" w:firstLineChars="200"/>
    </w:pPr>
  </w:style>
  <w:style w:type="paragraph" w:customStyle="1" w:styleId="104">
    <w:name w:val="Char"/>
    <w:basedOn w:val="1"/>
    <w:qFormat/>
    <w:uiPriority w:val="99"/>
  </w:style>
  <w:style w:type="paragraph" w:customStyle="1" w:styleId="105">
    <w:name w:val="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6">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7">
    <w:name w:val="默认段落字体 Para Char Char Char Char Char Char Char"/>
    <w:basedOn w:val="1"/>
    <w:qFormat/>
    <w:uiPriority w:val="99"/>
    <w:rPr>
      <w:rFonts w:ascii="Tahoma" w:hAnsi="Tahoma" w:cs="Tahoma"/>
      <w:sz w:val="24"/>
      <w:szCs w:val="24"/>
    </w:rPr>
  </w:style>
  <w:style w:type="paragraph" w:customStyle="1" w:styleId="108">
    <w:name w:val="修订1"/>
    <w:hidden/>
    <w:semiHidden/>
    <w:qFormat/>
    <w:uiPriority w:val="99"/>
    <w:rPr>
      <w:rFonts w:ascii="Calibri" w:hAnsi="Calibri" w:eastAsia="宋体" w:cs="Calibri"/>
      <w:kern w:val="2"/>
      <w:sz w:val="21"/>
      <w:szCs w:val="21"/>
      <w:lang w:val="en-US" w:eastAsia="zh-CN" w:bidi="ar-SA"/>
    </w:rPr>
  </w:style>
  <w:style w:type="paragraph" w:customStyle="1" w:styleId="109">
    <w:name w:val="正文文本缩进 21"/>
    <w:basedOn w:val="1"/>
    <w:qFormat/>
    <w:uiPriority w:val="99"/>
    <w:pPr>
      <w:spacing w:after="120" w:line="480" w:lineRule="auto"/>
      <w:ind w:left="420" w:leftChars="200"/>
    </w:pPr>
  </w:style>
  <w:style w:type="paragraph" w:customStyle="1" w:styleId="110">
    <w:name w:val="样式1"/>
    <w:basedOn w:val="1"/>
    <w:qFormat/>
    <w:uiPriority w:val="0"/>
    <w:pPr>
      <w:spacing w:line="360" w:lineRule="auto"/>
      <w:ind w:firstLine="360" w:firstLineChars="150"/>
    </w:pPr>
    <w:rPr>
      <w:rFonts w:ascii="仿宋_GB2312" w:hAnsi="宋体" w:eastAsia="仿宋_GB2312" w:cs="仿宋_GB2312"/>
      <w:sz w:val="24"/>
      <w:szCs w:val="24"/>
    </w:rPr>
  </w:style>
  <w:style w:type="paragraph" w:customStyle="1" w:styleId="111">
    <w:name w:val="font12"/>
    <w:basedOn w:val="1"/>
    <w:qFormat/>
    <w:uiPriority w:val="99"/>
    <w:pPr>
      <w:widowControl/>
      <w:spacing w:before="100" w:beforeAutospacing="1" w:after="100" w:afterAutospacing="1"/>
      <w:jc w:val="left"/>
    </w:pPr>
    <w:rPr>
      <w:b/>
      <w:bCs/>
      <w:color w:val="000000"/>
      <w:kern w:val="0"/>
      <w:sz w:val="18"/>
      <w:szCs w:val="18"/>
    </w:rPr>
  </w:style>
  <w:style w:type="character" w:customStyle="1" w:styleId="112">
    <w:name w:val="unnamed11"/>
    <w:qFormat/>
    <w:uiPriority w:val="99"/>
    <w:rPr>
      <w:rFonts w:ascii="宋体" w:hAnsi="宋体" w:eastAsia="宋体" w:cs="宋体"/>
      <w:spacing w:val="240"/>
      <w:sz w:val="18"/>
      <w:szCs w:val="18"/>
    </w:rPr>
  </w:style>
  <w:style w:type="character" w:customStyle="1" w:styleId="113">
    <w:name w:val="duanl"/>
    <w:basedOn w:val="44"/>
    <w:qFormat/>
    <w:uiPriority w:val="99"/>
  </w:style>
  <w:style w:type="character" w:customStyle="1" w:styleId="114">
    <w:name w:val="divtxt1"/>
    <w:qFormat/>
    <w:uiPriority w:val="99"/>
    <w:rPr>
      <w:color w:val="000000"/>
      <w:spacing w:val="15"/>
    </w:rPr>
  </w:style>
  <w:style w:type="character" w:customStyle="1" w:styleId="115">
    <w:name w:val="bb1"/>
    <w:qFormat/>
    <w:uiPriority w:val="99"/>
    <w:rPr>
      <w:sz w:val="24"/>
      <w:szCs w:val="24"/>
    </w:rPr>
  </w:style>
  <w:style w:type="paragraph" w:customStyle="1" w:styleId="116">
    <w:name w:val="4"/>
    <w:basedOn w:val="1"/>
    <w:next w:val="37"/>
    <w:qFormat/>
    <w:uiPriority w:val="99"/>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117">
    <w:name w:val="3"/>
    <w:basedOn w:val="1"/>
    <w:next w:val="42"/>
    <w:qFormat/>
    <w:uiPriority w:val="99"/>
    <w:pPr>
      <w:widowControl/>
      <w:spacing w:before="100" w:after="100"/>
      <w:jc w:val="left"/>
    </w:pPr>
    <w:rPr>
      <w:rFonts w:ascii="宋体" w:hAnsi="宋体" w:cs="宋体"/>
      <w:kern w:val="0"/>
      <w:sz w:val="18"/>
      <w:szCs w:val="18"/>
    </w:rPr>
  </w:style>
  <w:style w:type="paragraph" w:customStyle="1" w:styleId="118">
    <w:name w:val="2"/>
    <w:basedOn w:val="1"/>
    <w:next w:val="37"/>
    <w:qFormat/>
    <w:uiPriority w:val="99"/>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119">
    <w:name w:val="1"/>
    <w:basedOn w:val="1"/>
    <w:next w:val="42"/>
    <w:qFormat/>
    <w:uiPriority w:val="99"/>
    <w:pPr>
      <w:widowControl/>
      <w:spacing w:before="100" w:after="100"/>
      <w:jc w:val="left"/>
    </w:pPr>
    <w:rPr>
      <w:rFonts w:ascii="宋体" w:hAnsi="宋体" w:cs="宋体"/>
      <w:kern w:val="0"/>
      <w:sz w:val="18"/>
      <w:szCs w:val="18"/>
    </w:rPr>
  </w:style>
  <w:style w:type="paragraph" w:customStyle="1" w:styleId="120">
    <w:name w:val="正文 + 宋体"/>
    <w:basedOn w:val="1"/>
    <w:link w:val="121"/>
    <w:qFormat/>
    <w:uiPriority w:val="99"/>
    <w:pPr>
      <w:adjustRightInd w:val="0"/>
      <w:snapToGrid w:val="0"/>
      <w:spacing w:line="360" w:lineRule="auto"/>
      <w:ind w:firstLine="527"/>
    </w:pPr>
    <w:rPr>
      <w:rFonts w:ascii="宋体" w:cs="Arial Unicode MS"/>
      <w:sz w:val="26"/>
      <w:szCs w:val="26"/>
      <w:lang w:bidi="bo-CN"/>
    </w:rPr>
  </w:style>
  <w:style w:type="character" w:customStyle="1" w:styleId="121">
    <w:name w:val="正文 + 宋体 Char"/>
    <w:link w:val="120"/>
    <w:qFormat/>
    <w:locked/>
    <w:uiPriority w:val="99"/>
    <w:rPr>
      <w:rFonts w:ascii="宋体" w:eastAsia="宋体" w:cs="宋体"/>
      <w:kern w:val="2"/>
      <w:sz w:val="26"/>
      <w:szCs w:val="26"/>
    </w:rPr>
  </w:style>
  <w:style w:type="character" w:customStyle="1" w:styleId="122">
    <w:name w:val="f101"/>
    <w:qFormat/>
    <w:uiPriority w:val="99"/>
    <w:rPr>
      <w:rFonts w:ascii="Arial" w:hAnsi="Arial" w:cs="Arial"/>
      <w:spacing w:val="480"/>
      <w:sz w:val="18"/>
      <w:szCs w:val="18"/>
    </w:rPr>
  </w:style>
  <w:style w:type="character" w:customStyle="1" w:styleId="123">
    <w:name w:val="f131"/>
    <w:basedOn w:val="44"/>
    <w:qFormat/>
    <w:uiPriority w:val="99"/>
  </w:style>
  <w:style w:type="character" w:customStyle="1" w:styleId="124">
    <w:name w:val="ts2"/>
    <w:qFormat/>
    <w:uiPriority w:val="99"/>
    <w:rPr>
      <w:rFonts w:ascii="楷体" w:eastAsia="楷体" w:cs="楷体"/>
      <w:sz w:val="24"/>
      <w:szCs w:val="24"/>
    </w:rPr>
  </w:style>
  <w:style w:type="paragraph" w:customStyle="1" w:styleId="125">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6">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27">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28">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character" w:customStyle="1" w:styleId="129">
    <w:name w:val="正文 + 宋体 Char1"/>
    <w:qFormat/>
    <w:uiPriority w:val="99"/>
    <w:rPr>
      <w:rFonts w:eastAsia="宋体"/>
      <w:kern w:val="2"/>
      <w:sz w:val="21"/>
      <w:szCs w:val="21"/>
      <w:lang w:val="en-US" w:eastAsia="zh-CN"/>
    </w:rPr>
  </w:style>
  <w:style w:type="paragraph" w:customStyle="1" w:styleId="130">
    <w:name w:val="xl41"/>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31">
    <w:name w:val="xl42"/>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32">
    <w:name w:val="xl4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33">
    <w:name w:val="普通(网站)1"/>
    <w:basedOn w:val="1"/>
    <w:qFormat/>
    <w:uiPriority w:val="99"/>
    <w:pPr>
      <w:widowControl/>
      <w:spacing w:before="100" w:after="100"/>
      <w:jc w:val="left"/>
    </w:pPr>
    <w:rPr>
      <w:rFonts w:ascii="宋体" w:hAnsi="宋体" w:cs="宋体"/>
      <w:kern w:val="0"/>
      <w:sz w:val="18"/>
      <w:szCs w:val="18"/>
    </w:rPr>
  </w:style>
  <w:style w:type="paragraph" w:customStyle="1" w:styleId="134">
    <w:name w:val="样式3"/>
    <w:basedOn w:val="1"/>
    <w:qFormat/>
    <w:uiPriority w:val="99"/>
    <w:pPr>
      <w:adjustRightInd w:val="0"/>
      <w:spacing w:line="400" w:lineRule="exact"/>
      <w:ind w:firstLine="737"/>
      <w:jc w:val="left"/>
      <w:textAlignment w:val="baseline"/>
    </w:pPr>
    <w:rPr>
      <w:rFonts w:ascii="仿宋体" w:cs="仿宋体"/>
      <w:spacing w:val="24"/>
      <w:kern w:val="0"/>
      <w:sz w:val="30"/>
      <w:szCs w:val="30"/>
    </w:rPr>
  </w:style>
  <w:style w:type="paragraph" w:customStyle="1" w:styleId="135">
    <w:name w:val="列出段落11"/>
    <w:basedOn w:val="1"/>
    <w:qFormat/>
    <w:uiPriority w:val="99"/>
    <w:pPr>
      <w:ind w:firstLine="420" w:firstLineChars="200"/>
    </w:pPr>
    <w:rPr>
      <w:rFonts w:ascii="Calibri" w:hAnsi="Calibri" w:cs="Calibri"/>
    </w:rPr>
  </w:style>
  <w:style w:type="character" w:customStyle="1" w:styleId="136">
    <w:name w:val="批注引用1"/>
    <w:qFormat/>
    <w:uiPriority w:val="99"/>
    <w:rPr>
      <w:sz w:val="21"/>
      <w:szCs w:val="21"/>
    </w:rPr>
  </w:style>
  <w:style w:type="paragraph" w:customStyle="1" w:styleId="137">
    <w:name w:val="彩色列表 - 强调文字颜色 11"/>
    <w:basedOn w:val="1"/>
    <w:qFormat/>
    <w:uiPriority w:val="99"/>
    <w:pPr>
      <w:ind w:firstLine="420" w:firstLineChars="200"/>
    </w:pPr>
    <w:rPr>
      <w:rFonts w:ascii="Calibri" w:hAnsi="Calibri" w:cs="Calibri"/>
    </w:rPr>
  </w:style>
  <w:style w:type="paragraph" w:customStyle="1" w:styleId="138">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39">
    <w:name w:val="正文文本缩进 211"/>
    <w:basedOn w:val="1"/>
    <w:qFormat/>
    <w:uiPriority w:val="99"/>
    <w:pPr>
      <w:spacing w:after="120" w:line="480" w:lineRule="auto"/>
      <w:ind w:left="420" w:leftChars="200"/>
    </w:pPr>
  </w:style>
  <w:style w:type="paragraph" w:customStyle="1" w:styleId="140">
    <w:name w:val="引用1"/>
    <w:basedOn w:val="1"/>
    <w:next w:val="1"/>
    <w:link w:val="141"/>
    <w:qFormat/>
    <w:uiPriority w:val="99"/>
    <w:rPr>
      <w:i/>
      <w:iCs/>
      <w:color w:val="000000"/>
    </w:rPr>
  </w:style>
  <w:style w:type="character" w:customStyle="1" w:styleId="141">
    <w:name w:val="引用 Char"/>
    <w:basedOn w:val="44"/>
    <w:link w:val="140"/>
    <w:qFormat/>
    <w:locked/>
    <w:uiPriority w:val="99"/>
    <w:rPr>
      <w:i/>
      <w:iCs/>
      <w:color w:val="000000"/>
      <w:kern w:val="2"/>
      <w:sz w:val="21"/>
      <w:szCs w:val="21"/>
    </w:rPr>
  </w:style>
  <w:style w:type="paragraph" w:customStyle="1" w:styleId="142">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143">
    <w:name w:val="报告正文"/>
    <w:basedOn w:val="1"/>
    <w:qFormat/>
    <w:uiPriority w:val="99"/>
    <w:pPr>
      <w:spacing w:line="500" w:lineRule="atLeast"/>
      <w:ind w:firstLine="567"/>
    </w:pPr>
    <w:rPr>
      <w:rFonts w:ascii="仿宋_GB2312" w:hAnsi="Courier New" w:eastAsia="仿宋_GB2312" w:cs="仿宋_GB2312"/>
      <w:sz w:val="28"/>
      <w:szCs w:val="28"/>
    </w:rPr>
  </w:style>
  <w:style w:type="character" w:customStyle="1" w:styleId="144">
    <w:name w:val="正文文本缩进 3 Char1"/>
    <w:basedOn w:val="44"/>
    <w:qFormat/>
    <w:uiPriority w:val="0"/>
    <w:rPr>
      <w:kern w:val="2"/>
      <w:sz w:val="16"/>
      <w:szCs w:val="16"/>
    </w:rPr>
  </w:style>
  <w:style w:type="character" w:customStyle="1" w:styleId="145">
    <w:name w:val="正文文本缩进 2 Char1"/>
    <w:basedOn w:val="44"/>
    <w:qFormat/>
    <w:uiPriority w:val="0"/>
    <w:rPr>
      <w:kern w:val="2"/>
      <w:sz w:val="21"/>
      <w:szCs w:val="21"/>
    </w:rPr>
  </w:style>
  <w:style w:type="character" w:customStyle="1" w:styleId="146">
    <w:name w:val="标题 9 Char"/>
    <w:basedOn w:val="44"/>
    <w:link w:val="7"/>
    <w:qFormat/>
    <w:uiPriority w:val="99"/>
    <w:rPr>
      <w:rFonts w:ascii="Calibri" w:hAnsi="Calibri" w:cs="Calibri"/>
      <w:sz w:val="21"/>
      <w:szCs w:val="21"/>
      <w:lang w:bidi="ar-SA"/>
    </w:rPr>
  </w:style>
  <w:style w:type="paragraph" w:customStyle="1" w:styleId="147">
    <w:name w:val="Char2"/>
    <w:basedOn w:val="1"/>
    <w:qFormat/>
    <w:uiPriority w:val="99"/>
  </w:style>
  <w:style w:type="paragraph" w:customStyle="1" w:styleId="148">
    <w:name w:val="模版-表格居中"/>
    <w:basedOn w:val="1"/>
    <w:qFormat/>
    <w:uiPriority w:val="0"/>
    <w:pPr>
      <w:spacing w:line="240" w:lineRule="exact"/>
      <w:jc w:val="center"/>
    </w:pPr>
  </w:style>
  <w:style w:type="character" w:customStyle="1" w:styleId="149">
    <w:name w:val="newstitle1"/>
    <w:basedOn w:val="44"/>
    <w:qFormat/>
    <w:uiPriority w:val="99"/>
    <w:rPr>
      <w:rFonts w:ascii="??" w:hAnsi="??" w:cs="??"/>
      <w:b/>
      <w:bCs/>
      <w:sz w:val="21"/>
      <w:szCs w:val="21"/>
    </w:rPr>
  </w:style>
  <w:style w:type="character" w:customStyle="1" w:styleId="150">
    <w:name w:val="f14b1"/>
    <w:basedOn w:val="44"/>
    <w:qFormat/>
    <w:uiPriority w:val="99"/>
    <w:rPr>
      <w:b/>
      <w:bCs/>
      <w:sz w:val="21"/>
      <w:szCs w:val="21"/>
    </w:rPr>
  </w:style>
  <w:style w:type="character" w:customStyle="1" w:styleId="151">
    <w:name w:val="text_big1"/>
    <w:basedOn w:val="44"/>
    <w:qFormat/>
    <w:uiPriority w:val="99"/>
    <w:rPr>
      <w:color w:val="000000"/>
      <w:sz w:val="21"/>
      <w:szCs w:val="21"/>
    </w:rPr>
  </w:style>
  <w:style w:type="paragraph" w:customStyle="1" w:styleId="152">
    <w:name w:val="c_memo"/>
    <w:basedOn w:val="1"/>
    <w:qFormat/>
    <w:uiPriority w:val="99"/>
    <w:pPr>
      <w:widowControl/>
      <w:spacing w:before="100" w:beforeAutospacing="1" w:after="100" w:afterAutospacing="1"/>
      <w:jc w:val="left"/>
    </w:pPr>
    <w:rPr>
      <w:rFonts w:ascii="宋体" w:hAnsi="宋体" w:cs="宋体"/>
      <w:color w:val="333333"/>
      <w:kern w:val="0"/>
      <w:sz w:val="24"/>
      <w:szCs w:val="24"/>
    </w:rPr>
  </w:style>
  <w:style w:type="paragraph" w:customStyle="1" w:styleId="153">
    <w:name w:val="无间隔1"/>
    <w:link w:val="154"/>
    <w:qFormat/>
    <w:uiPriority w:val="99"/>
    <w:rPr>
      <w:rFonts w:ascii="Cambria" w:hAnsi="Cambria" w:eastAsia="宋体" w:cs="Cambria"/>
      <w:sz w:val="22"/>
      <w:szCs w:val="22"/>
      <w:lang w:val="en-US" w:eastAsia="zh-CN" w:bidi="ar-SA"/>
    </w:rPr>
  </w:style>
  <w:style w:type="character" w:customStyle="1" w:styleId="154">
    <w:name w:val="No Spacing Char"/>
    <w:basedOn w:val="44"/>
    <w:link w:val="153"/>
    <w:qFormat/>
    <w:locked/>
    <w:uiPriority w:val="99"/>
    <w:rPr>
      <w:rFonts w:ascii="Cambria" w:hAnsi="Cambria" w:cs="Cambria"/>
      <w:sz w:val="22"/>
      <w:szCs w:val="22"/>
      <w:lang w:bidi="ar-SA"/>
    </w:rPr>
  </w:style>
  <w:style w:type="paragraph" w:customStyle="1" w:styleId="155">
    <w:name w:val="模板-表格下段落"/>
    <w:qFormat/>
    <w:uiPriority w:val="99"/>
    <w:pPr>
      <w:spacing w:line="360" w:lineRule="auto"/>
      <w:jc w:val="center"/>
    </w:pPr>
    <w:rPr>
      <w:rFonts w:ascii="仿宋_GB2312" w:hAnsi="华文细黑" w:eastAsia="仿宋_GB2312" w:cs="仿宋_GB2312"/>
      <w:b/>
      <w:bCs/>
      <w:kern w:val="2"/>
      <w:sz w:val="28"/>
      <w:szCs w:val="28"/>
      <w:lang w:val="en-US" w:eastAsia="zh-CN" w:bidi="ar-SA"/>
    </w:rPr>
  </w:style>
  <w:style w:type="paragraph" w:customStyle="1" w:styleId="156">
    <w:name w:val="模版-附件内容加粗"/>
    <w:basedOn w:val="1"/>
    <w:qFormat/>
    <w:uiPriority w:val="99"/>
    <w:pPr>
      <w:widowControl/>
      <w:adjustRightInd w:val="0"/>
      <w:snapToGrid w:val="0"/>
      <w:spacing w:line="300" w:lineRule="exact"/>
      <w:jc w:val="center"/>
    </w:pPr>
    <w:rPr>
      <w:rFonts w:ascii="仿宋_GB2312" w:eastAsia="仿宋_GB2312" w:cs="仿宋_GB2312"/>
      <w:b/>
      <w:bCs/>
      <w:sz w:val="28"/>
      <w:szCs w:val="28"/>
    </w:rPr>
  </w:style>
  <w:style w:type="paragraph" w:styleId="157">
    <w:name w:val="List Paragraph"/>
    <w:basedOn w:val="1"/>
    <w:qFormat/>
    <w:uiPriority w:val="99"/>
    <w:pPr>
      <w:ind w:firstLine="420" w:firstLineChars="200"/>
    </w:pPr>
  </w:style>
  <w:style w:type="paragraph" w:customStyle="1" w:styleId="158">
    <w:name w:val="xl63"/>
    <w:basedOn w:val="1"/>
    <w:qFormat/>
    <w:uiPriority w:val="99"/>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59">
    <w:name w:val="xl64"/>
    <w:basedOn w:val="1"/>
    <w:qFormat/>
    <w:uiPriority w:val="99"/>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kern w:val="0"/>
      <w:sz w:val="20"/>
      <w:szCs w:val="20"/>
    </w:rPr>
  </w:style>
  <w:style w:type="paragraph" w:customStyle="1" w:styleId="160">
    <w:name w:val="xl65"/>
    <w:basedOn w:val="1"/>
    <w:qFormat/>
    <w:uiPriority w:val="99"/>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kern w:val="0"/>
      <w:sz w:val="20"/>
      <w:szCs w:val="20"/>
    </w:rPr>
  </w:style>
  <w:style w:type="paragraph" w:customStyle="1" w:styleId="161">
    <w:name w:val="xl66"/>
    <w:basedOn w:val="1"/>
    <w:qFormat/>
    <w:uiPriority w:val="99"/>
    <w:pPr>
      <w:widowControl/>
      <w:shd w:val="clear" w:color="000000" w:fill="00B0F0"/>
      <w:spacing w:before="100" w:beforeAutospacing="1" w:after="100" w:afterAutospacing="1"/>
      <w:jc w:val="center"/>
    </w:pPr>
    <w:rPr>
      <w:kern w:val="0"/>
      <w:sz w:val="20"/>
      <w:szCs w:val="20"/>
    </w:rPr>
  </w:style>
  <w:style w:type="paragraph" w:customStyle="1" w:styleId="162">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63">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64">
    <w:name w:val="xl69"/>
    <w:basedOn w:val="1"/>
    <w:qFormat/>
    <w:uiPriority w:val="99"/>
    <w:pPr>
      <w:widowControl/>
      <w:spacing w:before="100" w:beforeAutospacing="1" w:after="100" w:afterAutospacing="1"/>
      <w:jc w:val="center"/>
    </w:pPr>
    <w:rPr>
      <w:kern w:val="0"/>
      <w:sz w:val="20"/>
      <w:szCs w:val="20"/>
    </w:rPr>
  </w:style>
  <w:style w:type="paragraph" w:customStyle="1" w:styleId="165">
    <w:name w:val="xl70"/>
    <w:basedOn w:val="1"/>
    <w:qFormat/>
    <w:uiPriority w:val="99"/>
    <w:pPr>
      <w:widowControl/>
      <w:pBdr>
        <w:top w:val="single" w:color="auto" w:sz="4" w:space="0"/>
        <w:left w:val="double" w:color="auto" w:sz="6" w:space="0"/>
        <w:bottom w:val="single" w:color="auto" w:sz="4" w:space="0"/>
        <w:right w:val="single" w:color="auto" w:sz="4" w:space="0"/>
      </w:pBdr>
      <w:shd w:val="clear" w:color="000000" w:fill="00B0F0"/>
      <w:spacing w:before="100" w:beforeAutospacing="1" w:after="100" w:afterAutospacing="1"/>
      <w:jc w:val="center"/>
    </w:pPr>
    <w:rPr>
      <w:kern w:val="0"/>
      <w:sz w:val="20"/>
      <w:szCs w:val="20"/>
    </w:rPr>
  </w:style>
  <w:style w:type="paragraph" w:customStyle="1" w:styleId="166">
    <w:name w:val="xl71"/>
    <w:basedOn w:val="1"/>
    <w:qFormat/>
    <w:uiPriority w:val="99"/>
    <w:pPr>
      <w:widowControl/>
      <w:pBdr>
        <w:top w:val="double" w:color="auto" w:sz="6" w:space="0"/>
        <w:left w:val="double" w:color="auto" w:sz="6"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67">
    <w:name w:val="xl72"/>
    <w:basedOn w:val="1"/>
    <w:qFormat/>
    <w:uiPriority w:val="99"/>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68">
    <w:name w:val="xl73"/>
    <w:basedOn w:val="1"/>
    <w:qFormat/>
    <w:uiPriority w:val="99"/>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69">
    <w:name w:val="xl74"/>
    <w:basedOn w:val="1"/>
    <w:qFormat/>
    <w:uiPriority w:val="99"/>
    <w:pPr>
      <w:widowControl/>
      <w:spacing w:before="100" w:beforeAutospacing="1" w:after="100" w:afterAutospacing="1"/>
      <w:jc w:val="center"/>
    </w:pPr>
    <w:rPr>
      <w:kern w:val="0"/>
      <w:sz w:val="20"/>
      <w:szCs w:val="20"/>
    </w:rPr>
  </w:style>
  <w:style w:type="paragraph" w:customStyle="1" w:styleId="170">
    <w:name w:val="xl75"/>
    <w:basedOn w:val="1"/>
    <w:qFormat/>
    <w:uiPriority w:val="99"/>
    <w:pPr>
      <w:widowControl/>
      <w:pBdr>
        <w:top w:val="single" w:color="auto" w:sz="4" w:space="0"/>
        <w:left w:val="double" w:color="auto" w:sz="6" w:space="0"/>
        <w:right w:val="single" w:color="auto" w:sz="4" w:space="0"/>
      </w:pBdr>
      <w:shd w:val="clear" w:color="000000" w:fill="00B0F0"/>
      <w:spacing w:before="100" w:beforeAutospacing="1" w:after="100" w:afterAutospacing="1"/>
      <w:jc w:val="center"/>
    </w:pPr>
    <w:rPr>
      <w:kern w:val="0"/>
      <w:sz w:val="20"/>
      <w:szCs w:val="20"/>
    </w:rPr>
  </w:style>
  <w:style w:type="paragraph" w:customStyle="1" w:styleId="171">
    <w:name w:val="xl76"/>
    <w:basedOn w:val="1"/>
    <w:qFormat/>
    <w:uiPriority w:val="99"/>
    <w:pPr>
      <w:widowControl/>
      <w:pBdr>
        <w:left w:val="double" w:color="auto" w:sz="6" w:space="0"/>
        <w:bottom w:val="single" w:color="auto" w:sz="4" w:space="0"/>
        <w:right w:val="single" w:color="auto" w:sz="4" w:space="0"/>
      </w:pBdr>
      <w:shd w:val="clear" w:color="000000" w:fill="00B0F0"/>
      <w:spacing w:before="100" w:beforeAutospacing="1" w:after="100" w:afterAutospacing="1"/>
      <w:jc w:val="center"/>
    </w:pPr>
    <w:rPr>
      <w:kern w:val="0"/>
      <w:sz w:val="20"/>
      <w:szCs w:val="20"/>
    </w:rPr>
  </w:style>
  <w:style w:type="paragraph" w:customStyle="1" w:styleId="172">
    <w:name w:val="xl77"/>
    <w:basedOn w:val="1"/>
    <w:qFormat/>
    <w:uiPriority w:val="99"/>
    <w:pPr>
      <w:widowControl/>
      <w:pBdr>
        <w:top w:val="single" w:color="auto" w:sz="4" w:space="0"/>
        <w:left w:val="double" w:color="auto" w:sz="6" w:space="0"/>
        <w:right w:val="single" w:color="auto" w:sz="4" w:space="0"/>
      </w:pBdr>
      <w:spacing w:before="100" w:beforeAutospacing="1" w:after="100" w:afterAutospacing="1"/>
      <w:jc w:val="center"/>
    </w:pPr>
    <w:rPr>
      <w:kern w:val="0"/>
      <w:sz w:val="20"/>
      <w:szCs w:val="20"/>
    </w:rPr>
  </w:style>
  <w:style w:type="paragraph" w:customStyle="1" w:styleId="173">
    <w:name w:val="xl78"/>
    <w:basedOn w:val="1"/>
    <w:qFormat/>
    <w:uiPriority w:val="99"/>
    <w:pPr>
      <w:widowControl/>
      <w:pBdr>
        <w:left w:val="double" w:color="auto" w:sz="6"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xl79"/>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175">
    <w:name w:val="xl8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6">
    <w:name w:val="列出段落2"/>
    <w:basedOn w:val="1"/>
    <w:qFormat/>
    <w:uiPriority w:val="99"/>
    <w:pPr>
      <w:ind w:firstLine="420" w:firstLineChars="200"/>
    </w:pPr>
  </w:style>
  <w:style w:type="paragraph" w:customStyle="1" w:styleId="177">
    <w:name w:val="TOC 标题2"/>
    <w:basedOn w:val="2"/>
    <w:next w:val="1"/>
    <w:qFormat/>
    <w:uiPriority w:val="99"/>
    <w:pPr>
      <w:widowControl/>
      <w:spacing w:before="480" w:after="0" w:line="276" w:lineRule="auto"/>
      <w:jc w:val="left"/>
      <w:outlineLvl w:val="9"/>
    </w:pPr>
    <w:rPr>
      <w:rFonts w:ascii="Calibri" w:hAnsi="Calibri" w:cs="Calibri"/>
      <w:color w:val="365F91"/>
      <w:kern w:val="0"/>
      <w:sz w:val="28"/>
      <w:szCs w:val="28"/>
    </w:rPr>
  </w:style>
  <w:style w:type="paragraph" w:customStyle="1" w:styleId="178">
    <w:name w:val="无间隔2"/>
    <w:qFormat/>
    <w:uiPriority w:val="99"/>
    <w:rPr>
      <w:rFonts w:ascii="Cambria" w:hAnsi="Cambria" w:eastAsia="宋体" w:cs="Cambria"/>
      <w:sz w:val="22"/>
      <w:szCs w:val="22"/>
      <w:lang w:val="en-US" w:eastAsia="zh-CN" w:bidi="ar-SA"/>
    </w:rPr>
  </w:style>
  <w:style w:type="paragraph" w:customStyle="1" w:styleId="179">
    <w:name w:val="TOC 标题3"/>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180">
    <w:name w:val="模版-正文空两格"/>
    <w:basedOn w:val="1"/>
    <w:qFormat/>
    <w:uiPriority w:val="99"/>
    <w:pPr>
      <w:widowControl/>
      <w:adjustRightInd w:val="0"/>
      <w:snapToGrid w:val="0"/>
      <w:spacing w:line="280" w:lineRule="exact"/>
      <w:ind w:firstLine="357"/>
    </w:pPr>
    <w:rPr>
      <w:rFonts w:eastAsia="华文细黑"/>
      <w:sz w:val="18"/>
      <w:szCs w:val="18"/>
    </w:rPr>
  </w:style>
  <w:style w:type="character" w:customStyle="1" w:styleId="181">
    <w:name w:val="Char Char6"/>
    <w:basedOn w:val="44"/>
    <w:semiHidden/>
    <w:qFormat/>
    <w:locked/>
    <w:uiPriority w:val="99"/>
    <w:rPr>
      <w:rFonts w:eastAsia="宋体"/>
      <w:spacing w:val="20"/>
      <w:kern w:val="2"/>
      <w:sz w:val="28"/>
      <w:szCs w:val="28"/>
      <w:lang w:val="en-US" w:eastAsia="zh-CN"/>
    </w:rPr>
  </w:style>
  <w:style w:type="character" w:customStyle="1" w:styleId="182">
    <w:name w:val="font21"/>
    <w:basedOn w:val="44"/>
    <w:qFormat/>
    <w:uiPriority w:val="0"/>
    <w:rPr>
      <w:rFonts w:hint="eastAsia" w:ascii="宋体" w:hAnsi="宋体" w:eastAsia="宋体" w:cs="宋体"/>
      <w:b/>
      <w:color w:val="000000"/>
      <w:sz w:val="20"/>
      <w:szCs w:val="20"/>
      <w:u w:val="none"/>
    </w:rPr>
  </w:style>
  <w:style w:type="character" w:customStyle="1" w:styleId="183">
    <w:name w:val="font31"/>
    <w:basedOn w:val="44"/>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17</Pages>
  <Words>6685</Words>
  <Characters>2602</Characters>
  <Lines>21</Lines>
  <Paragraphs>18</Paragraphs>
  <TotalTime>1</TotalTime>
  <ScaleCrop>false</ScaleCrop>
  <LinksUpToDate>false</LinksUpToDate>
  <CharactersWithSpaces>9269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2019-07-01T02:42:00Z</dcterms:created>
  <dc:creator>yu</dc:creator>
  <cp:lastModifiedBy>Administrator</cp:lastModifiedBy>
  <cp:lastPrinted>2012-05-18T06:20:00Z</cp:lastPrinted>
  <dcterms:modified xsi:type="dcterms:W3CDTF">2020-03-12T06:23:56Z</dcterms:modified>
  <dc:title>致 委 托 方 函</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