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snapToGrid w:val="0"/>
        <w:ind w:right="-1"/>
        <w:textAlignment w:val="bottom"/>
        <w:outlineLvl w:val="0"/>
        <w:rPr>
          <w:rFonts w:asciiTheme="minorEastAsia" w:hAnsiTheme="minorEastAsia" w:eastAsiaTheme="minorEastAsia" w:cstheme="minorEastAsia"/>
          <w:b/>
          <w:spacing w:val="4"/>
          <w:sz w:val="32"/>
          <w:szCs w:val="32"/>
        </w:rPr>
      </w:pPr>
      <w:r>
        <w:rPr>
          <w:rFonts w:hint="eastAsia" w:asciiTheme="minorEastAsia" w:hAnsiTheme="minorEastAsia" w:eastAsiaTheme="minorEastAsia" w:cstheme="minorEastAsia"/>
          <w:b/>
          <w:spacing w:val="4"/>
          <w:sz w:val="32"/>
          <w:szCs w:val="32"/>
        </w:rPr>
        <w:t>本报告依据中国资产评估准则编制</w:t>
      </w:r>
    </w:p>
    <w:p>
      <w:pPr>
        <w:widowControl/>
        <w:autoSpaceDE w:val="0"/>
        <w:autoSpaceDN w:val="0"/>
        <w:snapToGrid w:val="0"/>
        <w:ind w:right="-1"/>
        <w:textAlignment w:val="bottom"/>
        <w:outlineLvl w:val="0"/>
        <w:rPr>
          <w:rFonts w:ascii="仿宋_GB2312" w:hAnsi="仿宋_GB2312" w:eastAsia="仿宋_GB2312" w:cs="仿宋_GB2312"/>
          <w:b/>
          <w:spacing w:val="4"/>
          <w:sz w:val="32"/>
          <w:szCs w:val="32"/>
        </w:rPr>
      </w:pPr>
      <w:r>
        <w:rPr>
          <w:rFonts w:hint="eastAsia" w:asciiTheme="minorEastAsia" w:hAnsiTheme="minorEastAsia" w:eastAsiaTheme="minorEastAsia" w:cstheme="minorEastAsia"/>
          <w:b/>
          <w:spacing w:val="4"/>
          <w:sz w:val="32"/>
          <w:szCs w:val="32"/>
        </w:rPr>
        <w:t>人民法院委托司法执行财产处置参考价目的资产评估报告</w:t>
      </w:r>
    </w:p>
    <w:p>
      <w:pPr>
        <w:widowControl/>
        <w:autoSpaceDE w:val="0"/>
        <w:autoSpaceDN w:val="0"/>
        <w:snapToGrid w:val="0"/>
        <w:ind w:right="-1"/>
        <w:jc w:val="center"/>
        <w:textAlignment w:val="bottom"/>
        <w:outlineLvl w:val="0"/>
        <w:rPr>
          <w:rFonts w:ascii="仿宋_GB2312" w:hAnsi="仿宋_GB2312" w:eastAsia="仿宋_GB2312" w:cs="仿宋_GB2312"/>
          <w:b/>
          <w:spacing w:val="4"/>
          <w:sz w:val="32"/>
          <w:szCs w:val="32"/>
        </w:rPr>
      </w:pPr>
    </w:p>
    <w:p>
      <w:pPr>
        <w:widowControl/>
        <w:autoSpaceDE w:val="0"/>
        <w:autoSpaceDN w:val="0"/>
        <w:snapToGrid w:val="0"/>
        <w:ind w:right="-1"/>
        <w:jc w:val="center"/>
        <w:textAlignment w:val="bottom"/>
        <w:outlineLvl w:val="0"/>
        <w:rPr>
          <w:rFonts w:ascii="仿宋_GB2312" w:hAnsi="仿宋_GB2312" w:eastAsia="仿宋_GB2312" w:cs="仿宋_GB2312"/>
          <w:b/>
          <w:spacing w:val="4"/>
          <w:sz w:val="32"/>
          <w:szCs w:val="32"/>
        </w:rPr>
      </w:pPr>
    </w:p>
    <w:p>
      <w:pPr>
        <w:widowControl/>
        <w:autoSpaceDE w:val="0"/>
        <w:autoSpaceDN w:val="0"/>
        <w:snapToGrid w:val="0"/>
        <w:ind w:right="-1"/>
        <w:jc w:val="center"/>
        <w:textAlignment w:val="bottom"/>
        <w:outlineLvl w:val="0"/>
        <w:rPr>
          <w:rFonts w:ascii="黑体" w:hAnsi="黑体" w:eastAsia="黑体" w:cs="仿宋_GB2312"/>
          <w:bCs/>
          <w:spacing w:val="4"/>
          <w:sz w:val="36"/>
          <w:szCs w:val="36"/>
        </w:rPr>
      </w:pPr>
    </w:p>
    <w:p>
      <w:pPr>
        <w:widowControl/>
        <w:autoSpaceDE w:val="0"/>
        <w:autoSpaceDN w:val="0"/>
        <w:snapToGrid w:val="0"/>
        <w:ind w:right="-1"/>
        <w:jc w:val="center"/>
        <w:textAlignment w:val="bottom"/>
        <w:outlineLvl w:val="0"/>
        <w:rPr>
          <w:rFonts w:hint="eastAsia" w:ascii="黑体" w:hAnsi="黑体" w:eastAsia="黑体" w:cs="黑体"/>
          <w:bCs/>
          <w:spacing w:val="4"/>
          <w:sz w:val="36"/>
          <w:szCs w:val="36"/>
          <w:lang w:eastAsia="zh-CN"/>
        </w:rPr>
      </w:pPr>
      <w:bookmarkStart w:id="0" w:name="_Toc532765687"/>
      <w:bookmarkStart w:id="1" w:name="_Toc532849134"/>
      <w:r>
        <w:rPr>
          <w:rFonts w:hint="eastAsia" w:ascii="黑体" w:hAnsi="黑体" w:eastAsia="黑体" w:cs="黑体"/>
          <w:bCs/>
          <w:spacing w:val="4"/>
          <w:sz w:val="36"/>
          <w:szCs w:val="36"/>
          <w:lang w:eastAsia="zh-CN"/>
        </w:rPr>
        <w:t>辽源市龙山区人民法院拟司法执行财产处置涉及</w:t>
      </w:r>
      <w:bookmarkEnd w:id="0"/>
      <w:bookmarkEnd w:id="1"/>
    </w:p>
    <w:p>
      <w:pPr>
        <w:widowControl/>
        <w:autoSpaceDE w:val="0"/>
        <w:autoSpaceDN w:val="0"/>
        <w:snapToGrid w:val="0"/>
        <w:ind w:right="-1"/>
        <w:jc w:val="center"/>
        <w:textAlignment w:val="bottom"/>
        <w:outlineLvl w:val="0"/>
        <w:rPr>
          <w:rFonts w:hint="eastAsia" w:ascii="黑体" w:hAnsi="黑体" w:eastAsia="黑体" w:cs="黑体"/>
          <w:bCs/>
          <w:spacing w:val="4"/>
          <w:sz w:val="36"/>
          <w:szCs w:val="36"/>
          <w:lang w:eastAsia="zh-CN"/>
        </w:rPr>
      </w:pPr>
      <w:r>
        <w:rPr>
          <w:rFonts w:hint="eastAsia" w:ascii="黑体" w:hAnsi="黑体" w:eastAsia="黑体" w:cs="黑体"/>
          <w:bCs/>
          <w:spacing w:val="4"/>
          <w:sz w:val="36"/>
          <w:szCs w:val="36"/>
          <w:lang w:eastAsia="zh-CN"/>
        </w:rPr>
        <w:t>刘斌（东丰县横道河城市开发建设有限公司）的</w:t>
      </w:r>
    </w:p>
    <w:p>
      <w:pPr>
        <w:widowControl/>
        <w:autoSpaceDE w:val="0"/>
        <w:autoSpaceDN w:val="0"/>
        <w:snapToGrid w:val="0"/>
        <w:ind w:right="-1"/>
        <w:jc w:val="center"/>
        <w:textAlignment w:val="bottom"/>
        <w:outlineLvl w:val="0"/>
        <w:rPr>
          <w:rFonts w:hint="eastAsia" w:ascii="黑体" w:hAnsi="黑体" w:eastAsia="黑体" w:cs="黑体"/>
          <w:bCs/>
          <w:spacing w:val="4"/>
          <w:sz w:val="36"/>
          <w:szCs w:val="36"/>
          <w:lang w:eastAsia="zh-CN"/>
        </w:rPr>
      </w:pPr>
      <w:r>
        <w:rPr>
          <w:rFonts w:hint="eastAsia" w:ascii="黑体" w:hAnsi="黑体" w:eastAsia="黑体" w:cs="黑体"/>
          <w:bCs/>
          <w:spacing w:val="4"/>
          <w:sz w:val="36"/>
          <w:szCs w:val="36"/>
          <w:lang w:eastAsia="zh-CN"/>
        </w:rPr>
        <w:t>房屋价值</w:t>
      </w:r>
    </w:p>
    <w:p>
      <w:pPr>
        <w:widowControl/>
        <w:autoSpaceDE w:val="0"/>
        <w:autoSpaceDN w:val="0"/>
        <w:snapToGrid w:val="0"/>
        <w:spacing w:before="40" w:after="40"/>
        <w:ind w:right="-1"/>
        <w:jc w:val="center"/>
        <w:textAlignment w:val="bottom"/>
        <w:outlineLvl w:val="0"/>
        <w:rPr>
          <w:rFonts w:ascii="黑体" w:hAnsi="黑体" w:eastAsia="黑体" w:cs="黑体"/>
          <w:bCs/>
          <w:spacing w:val="4"/>
          <w:sz w:val="52"/>
          <w:szCs w:val="52"/>
        </w:rPr>
      </w:pPr>
      <w:bookmarkStart w:id="2" w:name="_Toc478131527"/>
      <w:bookmarkStart w:id="3" w:name="_Toc478131164"/>
      <w:bookmarkStart w:id="4" w:name="_Toc478131918"/>
      <w:bookmarkStart w:id="5" w:name="_Toc478131702"/>
    </w:p>
    <w:p>
      <w:pPr>
        <w:widowControl/>
        <w:autoSpaceDE w:val="0"/>
        <w:autoSpaceDN w:val="0"/>
        <w:snapToGrid w:val="0"/>
        <w:spacing w:before="40" w:after="40"/>
        <w:ind w:right="-1"/>
        <w:jc w:val="center"/>
        <w:textAlignment w:val="bottom"/>
        <w:outlineLvl w:val="0"/>
        <w:rPr>
          <w:rFonts w:ascii="黑体" w:eastAsia="黑体"/>
          <w:sz w:val="44"/>
          <w:szCs w:val="44"/>
        </w:rPr>
      </w:pPr>
      <w:bookmarkStart w:id="6" w:name="_Toc532765688"/>
      <w:bookmarkStart w:id="7" w:name="_Toc532849135"/>
      <w:r>
        <w:rPr>
          <w:rFonts w:hint="eastAsia" w:ascii="黑体" w:hAnsi="黑体" w:eastAsia="黑体" w:cs="黑体"/>
          <w:bCs/>
          <w:spacing w:val="4"/>
          <w:sz w:val="52"/>
          <w:szCs w:val="52"/>
        </w:rPr>
        <w:t>资产评估报告</w:t>
      </w:r>
      <w:bookmarkEnd w:id="2"/>
      <w:bookmarkEnd w:id="3"/>
      <w:bookmarkEnd w:id="4"/>
      <w:bookmarkEnd w:id="5"/>
      <w:bookmarkEnd w:id="6"/>
      <w:bookmarkEnd w:id="7"/>
    </w:p>
    <w:p>
      <w:pPr>
        <w:rPr>
          <w:rFonts w:ascii="黑体" w:eastAsia="黑体"/>
        </w:rPr>
      </w:pPr>
    </w:p>
    <w:p>
      <w:pPr>
        <w:jc w:val="center"/>
        <w:rPr>
          <w:rFonts w:hint="eastAsia" w:ascii="黑体" w:eastAsia="黑体"/>
          <w:szCs w:val="21"/>
          <w:lang w:eastAsia="zh-CN"/>
        </w:rPr>
      </w:pPr>
      <w:r>
        <w:rPr>
          <w:rFonts w:hint="eastAsia" w:ascii="黑体" w:eastAsia="黑体"/>
          <w:szCs w:val="21"/>
          <w:lang w:eastAsia="zh-CN"/>
        </w:rPr>
        <w:t>辽新安评报字[2022]第0</w:t>
      </w:r>
      <w:r>
        <w:rPr>
          <w:rFonts w:hint="eastAsia" w:ascii="黑体" w:eastAsia="黑体"/>
          <w:szCs w:val="21"/>
          <w:lang w:val="en-US" w:eastAsia="zh-CN"/>
        </w:rPr>
        <w:t>41</w:t>
      </w:r>
      <w:r>
        <w:rPr>
          <w:rFonts w:hint="eastAsia" w:ascii="黑体" w:eastAsia="黑体"/>
          <w:szCs w:val="21"/>
          <w:lang w:eastAsia="zh-CN"/>
        </w:rPr>
        <w:t>号</w:t>
      </w:r>
    </w:p>
    <w:p>
      <w:pPr>
        <w:jc w:val="center"/>
        <w:rPr>
          <w:rFonts w:hint="eastAsia" w:ascii="黑体" w:eastAsia="黑体"/>
          <w:szCs w:val="21"/>
          <w:lang w:eastAsia="zh-CN"/>
        </w:rPr>
      </w:pPr>
    </w:p>
    <w:p/>
    <w:p/>
    <w:p/>
    <w:p>
      <w:r>
        <w:rPr>
          <w:rFonts w:hint="eastAsia"/>
        </w:rPr>
        <w:t xml:space="preserve">                                 （共1册，第1册）</w:t>
      </w:r>
    </w:p>
    <w:p>
      <w:pPr>
        <w:jc w:val="center"/>
        <w:rPr>
          <w:b/>
          <w:bCs/>
          <w:sz w:val="28"/>
          <w:szCs w:val="28"/>
        </w:rPr>
      </w:pPr>
    </w:p>
    <w:p>
      <w:pPr>
        <w:rPr>
          <w:sz w:val="28"/>
          <w:szCs w:val="28"/>
        </w:rPr>
      </w:pPr>
      <w:r>
        <w:rPr>
          <w:rFonts w:hint="eastAsia"/>
        </w:rPr>
        <w:t xml:space="preserve">         </w:t>
      </w:r>
      <w:r>
        <w:rPr>
          <w:rFonts w:hint="eastAsia"/>
          <w:sz w:val="28"/>
          <w:szCs w:val="28"/>
        </w:rPr>
        <w:t xml:space="preserve"> </w:t>
      </w:r>
    </w:p>
    <w:p>
      <w:pPr>
        <w:rPr>
          <w:sz w:val="28"/>
          <w:szCs w:val="28"/>
        </w:rPr>
      </w:pPr>
    </w:p>
    <w:p>
      <w:pPr>
        <w:rPr>
          <w:sz w:val="28"/>
          <w:szCs w:val="28"/>
        </w:rPr>
      </w:pPr>
    </w:p>
    <w:p>
      <w:pPr>
        <w:rPr>
          <w:sz w:val="28"/>
          <w:szCs w:val="28"/>
        </w:rPr>
      </w:pP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辽源新安资产评估事务所（普通合伙）</w:t>
      </w:r>
    </w:p>
    <w:p>
      <w:pPr>
        <w:jc w:val="center"/>
        <w:rPr>
          <w:rFonts w:asciiTheme="minorEastAsia" w:hAnsiTheme="minorEastAsia" w:eastAsiaTheme="minorEastAsia" w:cstheme="minorEastAsia"/>
          <w:sz w:val="24"/>
        </w:rPr>
      </w:pPr>
    </w:p>
    <w:p>
      <w:pPr>
        <w:jc w:val="center"/>
        <w:rPr>
          <w:rFonts w:ascii="黑体" w:eastAsia="黑体"/>
          <w:color w:val="FF0000"/>
          <w:sz w:val="36"/>
          <w:szCs w:val="36"/>
        </w:rPr>
      </w:pPr>
      <w:r>
        <w:rPr>
          <w:rFonts w:hint="eastAsia" w:asciiTheme="minorEastAsia" w:hAnsiTheme="minorEastAsia" w:eastAsiaTheme="minorEastAsia" w:cstheme="minorEastAsia"/>
          <w:sz w:val="28"/>
          <w:szCs w:val="28"/>
          <w:lang w:eastAsia="zh-CN"/>
        </w:rPr>
        <w:t>二〇二二年五月十八日</w:t>
      </w:r>
      <w:r>
        <w:rPr>
          <w:rFonts w:ascii="黑体" w:eastAsia="黑体"/>
          <w:color w:val="FF0000"/>
          <w:sz w:val="36"/>
          <w:szCs w:val="36"/>
        </w:rPr>
        <w:br w:type="page"/>
      </w:r>
    </w:p>
    <w:p>
      <w:pPr>
        <w:jc w:val="both"/>
        <w:rPr>
          <w:rFonts w:ascii="黑体" w:eastAsia="黑体"/>
          <w:sz w:val="36"/>
          <w:szCs w:val="36"/>
        </w:rPr>
      </w:pPr>
    </w:p>
    <w:p>
      <w:pPr>
        <w:jc w:val="center"/>
        <w:rPr>
          <w:rFonts w:ascii="黑体" w:eastAsia="黑体"/>
          <w:sz w:val="36"/>
          <w:szCs w:val="36"/>
        </w:rPr>
      </w:pPr>
      <w:r>
        <w:rPr>
          <w:rFonts w:hint="eastAsia" w:ascii="黑体" w:eastAsia="黑体"/>
          <w:sz w:val="36"/>
          <w:szCs w:val="36"/>
        </w:rPr>
        <w:t>评 估 报 告 目 录</w:t>
      </w:r>
    </w:p>
    <w:p>
      <w:pPr>
        <w:rPr>
          <w:sz w:val="44"/>
          <w:szCs w:val="44"/>
        </w:rPr>
      </w:pPr>
    </w:p>
    <w:p>
      <w:pPr>
        <w:spacing w:line="460" w:lineRule="exact"/>
        <w:rPr>
          <w:rFonts w:ascii="宋体" w:hAnsi="宋体"/>
          <w:sz w:val="24"/>
        </w:rPr>
      </w:pPr>
      <w:r>
        <w:rPr>
          <w:rFonts w:hint="eastAsia" w:ascii="宋体" w:hAnsi="宋体"/>
          <w:sz w:val="24"/>
        </w:rPr>
        <w:t>一、声明…………………………………………………………………………………3</w:t>
      </w:r>
    </w:p>
    <w:p>
      <w:pPr>
        <w:spacing w:line="460" w:lineRule="exact"/>
        <w:rPr>
          <w:rFonts w:ascii="宋体" w:hAnsi="宋体"/>
          <w:sz w:val="24"/>
        </w:rPr>
      </w:pPr>
      <w:r>
        <w:rPr>
          <w:rFonts w:hint="eastAsia" w:ascii="宋体" w:hAnsi="宋体"/>
          <w:sz w:val="24"/>
        </w:rPr>
        <w:t>二、资产评估报告摘要…………………………………………………………………4</w:t>
      </w:r>
    </w:p>
    <w:p>
      <w:pPr>
        <w:spacing w:line="460" w:lineRule="exact"/>
        <w:rPr>
          <w:rFonts w:hint="eastAsia" w:ascii="宋体" w:hAnsi="宋体" w:eastAsia="宋体"/>
          <w:sz w:val="24"/>
          <w:lang w:val="en-US" w:eastAsia="zh-CN"/>
        </w:rPr>
      </w:pPr>
      <w:r>
        <w:rPr>
          <w:rFonts w:hint="eastAsia" w:ascii="宋体" w:hAnsi="宋体"/>
          <w:sz w:val="24"/>
        </w:rPr>
        <w:t>三、资产评估报告正文…………………………………………………………………</w:t>
      </w:r>
      <w:r>
        <w:rPr>
          <w:rFonts w:hint="eastAsia" w:ascii="宋体" w:hAnsi="宋体"/>
          <w:sz w:val="24"/>
          <w:lang w:val="en-US" w:eastAsia="zh-CN"/>
        </w:rPr>
        <w:t>7</w:t>
      </w:r>
    </w:p>
    <w:p>
      <w:pPr>
        <w:spacing w:line="460" w:lineRule="exact"/>
        <w:ind w:firstLine="480"/>
        <w:rPr>
          <w:rFonts w:hint="eastAsia" w:ascii="宋体" w:hAnsi="宋体" w:eastAsia="宋体"/>
          <w:sz w:val="24"/>
          <w:lang w:val="en-US" w:eastAsia="zh-CN"/>
        </w:rPr>
      </w:pPr>
      <w:r>
        <w:rPr>
          <w:rFonts w:hint="eastAsia" w:ascii="宋体" w:hAnsi="宋体"/>
          <w:sz w:val="24"/>
        </w:rPr>
        <w:t xml:space="preserve">1、委托人、产权持有人和委托人以外的评估报告使用人…………………… </w:t>
      </w:r>
      <w:r>
        <w:rPr>
          <w:rFonts w:hint="eastAsia" w:ascii="宋体" w:hAnsi="宋体"/>
          <w:sz w:val="24"/>
          <w:lang w:val="en-US" w:eastAsia="zh-CN"/>
        </w:rPr>
        <w:t>7</w:t>
      </w:r>
    </w:p>
    <w:p>
      <w:pPr>
        <w:spacing w:line="460" w:lineRule="exact"/>
        <w:ind w:firstLine="480"/>
        <w:rPr>
          <w:rFonts w:hint="eastAsia" w:ascii="宋体" w:hAnsi="宋体" w:eastAsia="宋体"/>
          <w:sz w:val="24"/>
          <w:lang w:val="en-US" w:eastAsia="zh-CN"/>
        </w:rPr>
      </w:pPr>
      <w:r>
        <w:rPr>
          <w:rFonts w:hint="eastAsia" w:ascii="宋体" w:hAnsi="宋体"/>
          <w:sz w:val="24"/>
        </w:rPr>
        <w:t xml:space="preserve">2、评估目的……………………………………………………………………… </w:t>
      </w:r>
      <w:r>
        <w:rPr>
          <w:rFonts w:hint="eastAsia" w:ascii="宋体" w:hAnsi="宋体"/>
          <w:sz w:val="24"/>
          <w:lang w:val="en-US" w:eastAsia="zh-CN"/>
        </w:rPr>
        <w:t>7</w:t>
      </w:r>
    </w:p>
    <w:p>
      <w:pPr>
        <w:spacing w:line="460" w:lineRule="exact"/>
        <w:ind w:firstLine="480"/>
        <w:rPr>
          <w:rFonts w:hint="eastAsia" w:ascii="宋体" w:hAnsi="宋体" w:eastAsia="宋体"/>
          <w:sz w:val="24"/>
          <w:lang w:val="en-US" w:eastAsia="zh-CN"/>
        </w:rPr>
      </w:pPr>
      <w:r>
        <w:rPr>
          <w:rFonts w:hint="eastAsia" w:ascii="宋体" w:hAnsi="宋体"/>
          <w:sz w:val="24"/>
        </w:rPr>
        <w:t xml:space="preserve">3、评估对象及评估范围………………………………………………………… </w:t>
      </w:r>
      <w:r>
        <w:rPr>
          <w:rFonts w:hint="eastAsia" w:ascii="宋体" w:hAnsi="宋体"/>
          <w:sz w:val="24"/>
          <w:lang w:val="en-US" w:eastAsia="zh-CN"/>
        </w:rPr>
        <w:t>7</w:t>
      </w:r>
    </w:p>
    <w:p>
      <w:pPr>
        <w:spacing w:line="460" w:lineRule="exact"/>
        <w:ind w:firstLine="480"/>
        <w:rPr>
          <w:rFonts w:hint="eastAsia" w:ascii="宋体" w:hAnsi="宋体" w:eastAsia="宋体"/>
          <w:sz w:val="24"/>
          <w:lang w:eastAsia="zh-CN"/>
        </w:rPr>
      </w:pPr>
      <w:r>
        <w:rPr>
          <w:rFonts w:hint="eastAsia" w:ascii="宋体" w:hAnsi="宋体"/>
          <w:sz w:val="24"/>
        </w:rPr>
        <w:t xml:space="preserve">4、价值类型及其定义…………………………………………………………… </w:t>
      </w:r>
      <w:r>
        <w:rPr>
          <w:rFonts w:hint="eastAsia" w:ascii="宋体" w:hAnsi="宋体"/>
          <w:sz w:val="24"/>
          <w:lang w:val="en-US" w:eastAsia="zh-CN"/>
        </w:rPr>
        <w:t>7</w:t>
      </w:r>
    </w:p>
    <w:p>
      <w:pPr>
        <w:spacing w:line="460" w:lineRule="exact"/>
        <w:ind w:firstLine="480"/>
        <w:rPr>
          <w:rFonts w:hint="eastAsia" w:ascii="宋体" w:hAnsi="宋体" w:eastAsia="宋体"/>
          <w:sz w:val="24"/>
          <w:lang w:val="en-US" w:eastAsia="zh-CN"/>
        </w:rPr>
      </w:pPr>
      <w:r>
        <w:rPr>
          <w:rFonts w:hint="eastAsia" w:ascii="宋体" w:hAnsi="宋体"/>
          <w:sz w:val="24"/>
        </w:rPr>
        <w:t xml:space="preserve">5、评估基准日期………………………………………………………………… </w:t>
      </w:r>
      <w:r>
        <w:rPr>
          <w:rFonts w:hint="eastAsia" w:ascii="宋体" w:hAnsi="宋体"/>
          <w:sz w:val="24"/>
          <w:lang w:val="en-US" w:eastAsia="zh-CN"/>
        </w:rPr>
        <w:t>8</w:t>
      </w:r>
    </w:p>
    <w:p>
      <w:pPr>
        <w:spacing w:line="460" w:lineRule="exact"/>
        <w:ind w:firstLine="480"/>
        <w:rPr>
          <w:rFonts w:hint="eastAsia" w:ascii="宋体" w:hAnsi="宋体" w:eastAsia="宋体"/>
          <w:sz w:val="24"/>
          <w:lang w:val="en-US" w:eastAsia="zh-CN"/>
        </w:rPr>
      </w:pPr>
      <w:r>
        <w:rPr>
          <w:rFonts w:hint="eastAsia" w:ascii="宋体" w:hAnsi="宋体"/>
          <w:sz w:val="24"/>
        </w:rPr>
        <w:t xml:space="preserve">6、评估依据……………………………………………………………………… </w:t>
      </w:r>
      <w:r>
        <w:rPr>
          <w:rFonts w:hint="eastAsia" w:ascii="宋体" w:hAnsi="宋体"/>
          <w:sz w:val="24"/>
          <w:lang w:val="en-US" w:eastAsia="zh-CN"/>
        </w:rPr>
        <w:t>8</w:t>
      </w:r>
    </w:p>
    <w:p>
      <w:pPr>
        <w:spacing w:line="460" w:lineRule="exact"/>
        <w:ind w:firstLine="480"/>
        <w:rPr>
          <w:rFonts w:hint="default" w:ascii="宋体" w:hAnsi="宋体" w:eastAsia="宋体"/>
          <w:sz w:val="24"/>
          <w:lang w:val="en-US" w:eastAsia="zh-CN"/>
        </w:rPr>
      </w:pPr>
      <w:r>
        <w:rPr>
          <w:rFonts w:hint="eastAsia" w:ascii="宋体" w:hAnsi="宋体"/>
          <w:sz w:val="24"/>
        </w:rPr>
        <w:t xml:space="preserve">7、评估方法……………………………………………………………………… </w:t>
      </w:r>
      <w:r>
        <w:rPr>
          <w:rFonts w:hint="eastAsia" w:ascii="宋体" w:hAnsi="宋体"/>
          <w:sz w:val="24"/>
          <w:lang w:val="en-US" w:eastAsia="zh-CN"/>
        </w:rPr>
        <w:t>10</w:t>
      </w:r>
    </w:p>
    <w:p>
      <w:pPr>
        <w:spacing w:line="460" w:lineRule="exact"/>
        <w:ind w:firstLine="480"/>
        <w:rPr>
          <w:rFonts w:hint="default" w:ascii="宋体" w:hAnsi="宋体" w:eastAsia="宋体"/>
          <w:sz w:val="24"/>
          <w:lang w:val="en-US" w:eastAsia="zh-CN"/>
        </w:rPr>
      </w:pPr>
      <w:r>
        <w:rPr>
          <w:rFonts w:hint="eastAsia" w:ascii="宋体" w:hAnsi="宋体"/>
          <w:sz w:val="24"/>
        </w:rPr>
        <w:t xml:space="preserve">8、评估程序实施过程和情况…………………………………………………… </w:t>
      </w:r>
      <w:r>
        <w:rPr>
          <w:rFonts w:hint="eastAsia" w:ascii="宋体" w:hAnsi="宋体"/>
          <w:sz w:val="24"/>
          <w:lang w:val="en-US" w:eastAsia="zh-CN"/>
        </w:rPr>
        <w:t>10</w:t>
      </w:r>
    </w:p>
    <w:p>
      <w:pPr>
        <w:spacing w:line="460" w:lineRule="exact"/>
        <w:ind w:firstLine="480"/>
        <w:rPr>
          <w:rFonts w:hint="eastAsia" w:ascii="宋体" w:hAnsi="宋体" w:eastAsia="宋体"/>
          <w:sz w:val="24"/>
          <w:lang w:val="en-US" w:eastAsia="zh-CN"/>
        </w:rPr>
      </w:pPr>
      <w:r>
        <w:rPr>
          <w:rFonts w:hint="eastAsia" w:ascii="宋体" w:hAnsi="宋体"/>
          <w:sz w:val="24"/>
        </w:rPr>
        <w:t>9、评估假设 ………………………………………………………………………1</w:t>
      </w:r>
      <w:r>
        <w:rPr>
          <w:rFonts w:hint="eastAsia" w:ascii="宋体" w:hAnsi="宋体"/>
          <w:sz w:val="24"/>
          <w:lang w:val="en-US" w:eastAsia="zh-CN"/>
        </w:rPr>
        <w:t>2</w:t>
      </w:r>
    </w:p>
    <w:p>
      <w:pPr>
        <w:spacing w:line="460" w:lineRule="exact"/>
        <w:ind w:firstLine="480"/>
        <w:rPr>
          <w:rFonts w:hint="eastAsia" w:ascii="宋体" w:hAnsi="宋体" w:eastAsia="宋体"/>
          <w:sz w:val="24"/>
          <w:lang w:val="en-US" w:eastAsia="zh-CN"/>
        </w:rPr>
      </w:pPr>
      <w:r>
        <w:rPr>
          <w:rFonts w:hint="eastAsia" w:ascii="宋体" w:hAnsi="宋体"/>
          <w:sz w:val="24"/>
        </w:rPr>
        <w:t>10、评估结论………………………………………………………………………1</w:t>
      </w:r>
      <w:r>
        <w:rPr>
          <w:rFonts w:hint="eastAsia" w:ascii="宋体" w:hAnsi="宋体"/>
          <w:sz w:val="24"/>
          <w:lang w:val="en-US" w:eastAsia="zh-CN"/>
        </w:rPr>
        <w:t>3</w:t>
      </w:r>
    </w:p>
    <w:p>
      <w:pPr>
        <w:spacing w:line="460" w:lineRule="exact"/>
        <w:ind w:firstLine="480"/>
        <w:rPr>
          <w:rFonts w:hint="eastAsia" w:ascii="宋体" w:hAnsi="宋体" w:eastAsia="宋体"/>
          <w:sz w:val="24"/>
          <w:lang w:eastAsia="zh-CN"/>
        </w:rPr>
      </w:pPr>
      <w:r>
        <w:rPr>
          <w:rFonts w:hint="eastAsia" w:ascii="宋体" w:hAnsi="宋体"/>
          <w:sz w:val="24"/>
        </w:rPr>
        <w:t>11、特别事项说明…………………………………………………………………1</w:t>
      </w:r>
      <w:r>
        <w:rPr>
          <w:rFonts w:hint="eastAsia" w:ascii="宋体" w:hAnsi="宋体"/>
          <w:sz w:val="24"/>
          <w:lang w:val="en-US" w:eastAsia="zh-CN"/>
        </w:rPr>
        <w:t>3</w:t>
      </w:r>
    </w:p>
    <w:p>
      <w:pPr>
        <w:spacing w:line="460" w:lineRule="exact"/>
        <w:ind w:firstLine="480"/>
        <w:rPr>
          <w:rFonts w:hint="eastAsia" w:ascii="宋体" w:hAnsi="宋体" w:eastAsia="宋体"/>
          <w:sz w:val="24"/>
          <w:lang w:val="en-US" w:eastAsia="zh-CN"/>
        </w:rPr>
      </w:pPr>
      <w:r>
        <w:rPr>
          <w:rFonts w:hint="eastAsia" w:ascii="宋体" w:hAnsi="宋体"/>
          <w:sz w:val="24"/>
        </w:rPr>
        <w:t>12、评估报告使用限制说明………………………………………………………1</w:t>
      </w:r>
      <w:r>
        <w:rPr>
          <w:rFonts w:hint="eastAsia" w:ascii="宋体" w:hAnsi="宋体"/>
          <w:sz w:val="24"/>
          <w:lang w:val="en-US" w:eastAsia="zh-CN"/>
        </w:rPr>
        <w:t>5</w:t>
      </w:r>
    </w:p>
    <w:p>
      <w:pPr>
        <w:spacing w:line="460" w:lineRule="exact"/>
        <w:ind w:firstLine="480"/>
        <w:rPr>
          <w:rFonts w:hint="eastAsia" w:ascii="宋体" w:hAnsi="宋体" w:eastAsia="宋体"/>
          <w:sz w:val="24"/>
          <w:lang w:val="en-US" w:eastAsia="zh-CN"/>
        </w:rPr>
      </w:pPr>
      <w:r>
        <w:rPr>
          <w:rFonts w:hint="eastAsia" w:ascii="宋体" w:hAnsi="宋体"/>
          <w:sz w:val="24"/>
        </w:rPr>
        <w:t>13、评估报告日……………………………………………………………………1</w:t>
      </w:r>
      <w:r>
        <w:rPr>
          <w:rFonts w:hint="eastAsia" w:ascii="宋体" w:hAnsi="宋体"/>
          <w:sz w:val="24"/>
          <w:lang w:val="en-US" w:eastAsia="zh-CN"/>
        </w:rPr>
        <w:t>6</w:t>
      </w:r>
    </w:p>
    <w:p>
      <w:pPr>
        <w:spacing w:line="460" w:lineRule="exact"/>
        <w:ind w:firstLine="480"/>
        <w:rPr>
          <w:rFonts w:hint="eastAsia" w:ascii="宋体" w:hAnsi="宋体" w:eastAsia="宋体"/>
          <w:sz w:val="24"/>
          <w:lang w:val="en-US" w:eastAsia="zh-CN"/>
        </w:rPr>
      </w:pPr>
      <w:r>
        <w:rPr>
          <w:rFonts w:hint="eastAsia" w:ascii="宋体" w:hAnsi="宋体"/>
          <w:sz w:val="24"/>
        </w:rPr>
        <w:t>14、签字盖章………………………………………………………………………1</w:t>
      </w:r>
      <w:r>
        <w:rPr>
          <w:rFonts w:hint="eastAsia" w:ascii="宋体" w:hAnsi="宋体"/>
          <w:sz w:val="24"/>
          <w:lang w:val="en-US" w:eastAsia="zh-CN"/>
        </w:rPr>
        <w:t>6</w:t>
      </w:r>
    </w:p>
    <w:p>
      <w:pPr>
        <w:spacing w:line="460" w:lineRule="exact"/>
        <w:rPr>
          <w:rFonts w:hint="default" w:ascii="宋体" w:hAnsi="宋体" w:eastAsia="宋体"/>
          <w:sz w:val="24"/>
          <w:lang w:val="en-US" w:eastAsia="zh-CN"/>
        </w:rPr>
      </w:pPr>
      <w:r>
        <w:rPr>
          <w:rFonts w:hint="eastAsia" w:ascii="宋体" w:hAnsi="宋体"/>
          <w:sz w:val="24"/>
        </w:rPr>
        <w:t>四、附件目录……………………………………………………………………………</w:t>
      </w:r>
      <w:r>
        <w:rPr>
          <w:rFonts w:hint="eastAsia" w:ascii="宋体" w:hAnsi="宋体"/>
          <w:sz w:val="24"/>
          <w:lang w:val="en-US" w:eastAsia="zh-CN"/>
        </w:rPr>
        <w:t>17</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widowControl/>
        <w:jc w:val="left"/>
        <w:rPr>
          <w:rFonts w:ascii="黑体" w:eastAsia="黑体"/>
          <w:sz w:val="44"/>
          <w:szCs w:val="44"/>
        </w:rPr>
      </w:pPr>
    </w:p>
    <w:p>
      <w:pPr>
        <w:jc w:val="both"/>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声     明</w:t>
      </w:r>
    </w:p>
    <w:p>
      <w:pPr>
        <w:pStyle w:val="9"/>
        <w:ind w:left="5250" w:right="566"/>
        <w:jc w:val="center"/>
        <w:outlineLvl w:val="0"/>
        <w:rPr>
          <w:rFonts w:ascii="仿宋_GB2312" w:hAnsi="宋体" w:eastAsia="仿宋_GB2312"/>
          <w:b/>
          <w:sz w:val="21"/>
          <w:szCs w:val="21"/>
        </w:rPr>
      </w:pPr>
    </w:p>
    <w:p>
      <w:pPr>
        <w:spacing w:line="460" w:lineRule="exact"/>
        <w:rPr>
          <w:rFonts w:ascii="宋体" w:hAnsi="宋体"/>
          <w:b/>
          <w:sz w:val="24"/>
        </w:rPr>
      </w:pPr>
      <w:r>
        <w:rPr>
          <w:rFonts w:hint="eastAsia" w:ascii="宋体" w:hAnsi="宋体"/>
          <w:b/>
          <w:sz w:val="24"/>
        </w:rPr>
        <w:t>我们郑重声明：</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本资产评估报告依据财政部发布的资产评估基本准则和中国资产评估协会发布的资产评估执业准则和职业道德准则编制。</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委托人或者其他资产评估报告使用人应当按照法律、行政法规规定和本资产评估报告载明的使用范围使用资产评估报告；委托人或者其他资产评估报告使用人违反前述规定使用资产评估报告的，本资产评估机构及资产评估师不承担责任。</w:t>
      </w:r>
    </w:p>
    <w:p>
      <w:pPr>
        <w:pStyle w:val="20"/>
        <w:spacing w:line="440" w:lineRule="exact"/>
        <w:ind w:firstLine="567" w:firstLineChars="0"/>
        <w:rPr>
          <w:rFonts w:ascii="宋体" w:hAnsi="宋体"/>
          <w:b/>
          <w:sz w:val="24"/>
        </w:rPr>
      </w:pPr>
      <w:r>
        <w:rPr>
          <w:rFonts w:hint="eastAsia" w:ascii="宋体" w:hAnsi="宋体"/>
          <w:b/>
          <w:sz w:val="24"/>
        </w:rPr>
        <w:t>本资产评估报告仅供委托人和法律、行政法规规定的资产评估报告使用人使用；除此之外，其他任何机构和个人不能成为资产评估报告的使用人。</w:t>
      </w:r>
    </w:p>
    <w:p>
      <w:pPr>
        <w:pStyle w:val="20"/>
        <w:spacing w:line="440" w:lineRule="exact"/>
        <w:ind w:firstLine="567" w:firstLineChars="0"/>
        <w:rPr>
          <w:rFonts w:ascii="宋体" w:hAnsi="宋体"/>
          <w:b/>
          <w:sz w:val="24"/>
        </w:rPr>
      </w:pPr>
      <w:r>
        <w:rPr>
          <w:rFonts w:hint="eastAsia" w:ascii="宋体" w:hAnsi="宋体"/>
          <w:b/>
          <w:sz w:val="24"/>
        </w:rPr>
        <w:t>本资产评估机构及资产评估师提示资产评估报告使用人应当正确理解评估结论，评估结论不等同于评估对象可实现价格，评估结论不应当被认为是对评估对象可实现价格的保证。</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本资产评估机构及资产评估师遵守国家法律、行政法规和资产评估准则，坚持独立、客观和公正的原则，并对所出具的资产评估报告依法承担责任。</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本资产评估报告是根据人民法院及相关当事人提供的资料和信息出具，资料和信息的真实性、完整性、合法性对评估结论构成影响，依据同一标准的资产的其他资料或者信息可能得出与本报告不一致的评估结论。</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本资产评估机构及资产评估师与资产评估报告中的评估对象没有现存或者预期的利益关系；与相关当事人没有现存或者预期的利益关系，对相关当事人不存在偏见。</w:t>
      </w:r>
    </w:p>
    <w:p>
      <w:pPr>
        <w:pStyle w:val="20"/>
        <w:numPr>
          <w:ilvl w:val="0"/>
          <w:numId w:val="1"/>
        </w:numPr>
        <w:spacing w:line="440" w:lineRule="exact"/>
        <w:ind w:left="0" w:firstLine="567" w:firstLineChars="0"/>
        <w:rPr>
          <w:rFonts w:ascii="宋体" w:hAnsi="宋体"/>
          <w:b/>
          <w:sz w:val="24"/>
        </w:rPr>
      </w:pPr>
      <w:r>
        <w:rPr>
          <w:rFonts w:hint="eastAsia" w:ascii="宋体" w:hAnsi="宋体"/>
          <w:b/>
          <w:sz w:val="24"/>
        </w:rPr>
        <w:t>资产评估师已经对资产评估报告中的评估对象及其所涉及资产进行现场调查；我们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pPr>
        <w:pStyle w:val="20"/>
        <w:numPr>
          <w:ilvl w:val="0"/>
          <w:numId w:val="1"/>
        </w:numPr>
        <w:spacing w:line="440" w:lineRule="exact"/>
        <w:ind w:left="0" w:firstLine="567" w:firstLineChars="0"/>
        <w:rPr>
          <w:rFonts w:ascii="宋体" w:hAnsi="宋体"/>
          <w:bCs/>
          <w:sz w:val="28"/>
          <w:szCs w:val="28"/>
        </w:rPr>
      </w:pPr>
      <w:r>
        <w:rPr>
          <w:rFonts w:hint="eastAsia" w:ascii="宋体" w:hAnsi="宋体"/>
          <w:b/>
          <w:sz w:val="24"/>
        </w:rPr>
        <w:t>本资产评估机构出具的资产评估报告中的分析、判断和结果受资产评估报告中假设和限制条件的限制，资产评估报告使用人应当充分考虑资产评估报告中载明的假设、限制条件、特别事项说明及其对评估结论的影响。</w:t>
      </w:r>
      <w:bookmarkStart w:id="8" w:name="_Toc532849144"/>
    </w:p>
    <w:p>
      <w:pPr>
        <w:jc w:val="both"/>
        <w:rPr>
          <w:rFonts w:hint="eastAsia" w:asciiTheme="majorEastAsia" w:hAnsiTheme="majorEastAsia" w:eastAsiaTheme="majorEastAsia"/>
          <w:b/>
          <w:spacing w:val="4"/>
          <w:sz w:val="36"/>
          <w:szCs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辽源市龙山区人民法院拟司法执行财产处置</w:t>
      </w:r>
      <w:r>
        <w:rPr>
          <w:rFonts w:hint="eastAsia" w:asciiTheme="majorEastAsia" w:hAnsiTheme="majorEastAsia" w:eastAsiaTheme="majorEastAsia"/>
          <w:b/>
          <w:spacing w:val="4"/>
          <w:sz w:val="36"/>
          <w:szCs w:val="36"/>
        </w:rPr>
        <w:t>涉及</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b/>
          <w:spacing w:val="4"/>
          <w:sz w:val="36"/>
          <w:szCs w:val="36"/>
          <w:lang w:eastAsia="zh-CN"/>
        </w:rPr>
      </w:pPr>
      <w:r>
        <w:rPr>
          <w:rFonts w:hint="eastAsia" w:asciiTheme="majorEastAsia" w:hAnsiTheme="majorEastAsia" w:eastAsiaTheme="majorEastAsia"/>
          <w:b/>
          <w:spacing w:val="4"/>
          <w:sz w:val="36"/>
          <w:szCs w:val="36"/>
          <w:lang w:eastAsia="zh-CN"/>
        </w:rPr>
        <w:t>刘斌（</w:t>
      </w:r>
      <w:r>
        <w:rPr>
          <w:rFonts w:hint="eastAsia" w:ascii="黑体" w:hAnsi="黑体" w:eastAsia="黑体" w:cs="黑体"/>
          <w:bCs/>
          <w:spacing w:val="4"/>
          <w:sz w:val="36"/>
          <w:szCs w:val="36"/>
          <w:lang w:eastAsia="zh-CN"/>
        </w:rPr>
        <w:t>东丰县横道河城市开发建设有限公司</w:t>
      </w:r>
      <w:r>
        <w:rPr>
          <w:rFonts w:hint="eastAsia" w:asciiTheme="majorEastAsia" w:hAnsiTheme="majorEastAsia" w:eastAsiaTheme="majorEastAsia"/>
          <w:b/>
          <w:spacing w:val="4"/>
          <w:sz w:val="36"/>
          <w:szCs w:val="36"/>
          <w:lang w:eastAsia="zh-CN"/>
        </w:rPr>
        <w:t>）的</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房屋价值</w:t>
      </w:r>
      <w:r>
        <w:rPr>
          <w:rFonts w:hint="eastAsia" w:asciiTheme="majorEastAsia" w:hAnsiTheme="majorEastAsia" w:eastAsiaTheme="majorEastAsia"/>
          <w:b/>
          <w:spacing w:val="4"/>
          <w:sz w:val="36"/>
          <w:szCs w:val="36"/>
        </w:rPr>
        <w:t>资产评估报告摘要</w:t>
      </w:r>
      <w:bookmarkEnd w:id="8"/>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eastAsia="黑体"/>
          <w:b/>
          <w:color w:val="FF0000"/>
          <w:sz w:val="52"/>
          <w:szCs w:val="52"/>
          <w:lang w:eastAsia="zh-CN"/>
        </w:rPr>
      </w:pPr>
      <w:r>
        <w:rPr>
          <w:rFonts w:hint="eastAsia" w:ascii="黑体" w:eastAsia="黑体"/>
          <w:szCs w:val="21"/>
          <w:lang w:eastAsia="zh-CN"/>
        </w:rPr>
        <w:t>辽新安评报字[2022]第0</w:t>
      </w:r>
      <w:r>
        <w:rPr>
          <w:rFonts w:hint="eastAsia" w:ascii="黑体" w:eastAsia="黑体"/>
          <w:szCs w:val="21"/>
          <w:lang w:val="en-US" w:eastAsia="zh-CN"/>
        </w:rPr>
        <w:t>41</w:t>
      </w:r>
      <w:r>
        <w:rPr>
          <w:rFonts w:hint="eastAsia" w:ascii="黑体" w:eastAsia="黑体"/>
          <w:szCs w:val="21"/>
          <w:lang w:eastAsia="zh-CN"/>
        </w:rPr>
        <w:t>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ajorEastAsia" w:hAnsiTheme="majorEastAsia" w:eastAsiaTheme="majorEastAsia"/>
          <w:b/>
          <w:sz w:val="24"/>
        </w:rPr>
      </w:pPr>
      <w:r>
        <w:rPr>
          <w:rFonts w:hint="eastAsia" w:asciiTheme="majorEastAsia" w:hAnsiTheme="majorEastAsia" w:eastAsiaTheme="majorEastAsia"/>
          <w:b/>
          <w:sz w:val="24"/>
          <w:lang w:eastAsia="zh-CN"/>
        </w:rPr>
        <w:t>辽源市龙山区人民法院</w:t>
      </w:r>
      <w:r>
        <w:rPr>
          <w:rFonts w:hint="eastAsia" w:asciiTheme="majorEastAsia" w:hAnsiTheme="majorEastAsia" w:eastAsiaTheme="majorEastAsia"/>
          <w:b/>
          <w:sz w:val="24"/>
        </w:rPr>
        <w:t>司法辅助办公室：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heme="majorEastAsia" w:hAnsiTheme="majorEastAsia" w:eastAsiaTheme="majorEastAsia"/>
          <w:sz w:val="24"/>
        </w:rPr>
      </w:pPr>
      <w:r>
        <w:rPr>
          <w:rFonts w:hint="eastAsia" w:asciiTheme="majorEastAsia" w:hAnsiTheme="majorEastAsia" w:eastAsiaTheme="majorEastAsia"/>
          <w:sz w:val="24"/>
        </w:rPr>
        <w:t>辽源新安资产评估事务所（普通合伙）接受</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的委托，</w:t>
      </w:r>
      <w:r>
        <w:rPr>
          <w:rFonts w:hint="eastAsia" w:ascii="宋体" w:hAnsi="宋体"/>
          <w:sz w:val="24"/>
          <w:highlight w:val="none"/>
          <w:lang w:eastAsia="zh-CN"/>
        </w:rPr>
        <w:t>遵守</w:t>
      </w:r>
      <w:r>
        <w:rPr>
          <w:rFonts w:hint="eastAsia" w:asciiTheme="majorEastAsia" w:hAnsiTheme="majorEastAsia" w:eastAsiaTheme="majorEastAsia"/>
          <w:sz w:val="24"/>
        </w:rPr>
        <w:t>国家关于资产评估的有关法律</w:t>
      </w:r>
      <w:r>
        <w:rPr>
          <w:rFonts w:hint="eastAsia" w:asciiTheme="majorEastAsia" w:hAnsiTheme="majorEastAsia" w:eastAsiaTheme="majorEastAsia"/>
          <w:sz w:val="24"/>
          <w:lang w:eastAsia="zh-CN"/>
        </w:rPr>
        <w:t>、司法解释、行政</w:t>
      </w:r>
      <w:r>
        <w:rPr>
          <w:rFonts w:hint="eastAsia" w:asciiTheme="majorEastAsia" w:hAnsiTheme="majorEastAsia" w:eastAsiaTheme="majorEastAsia"/>
          <w:sz w:val="24"/>
        </w:rPr>
        <w:t>法规</w:t>
      </w:r>
      <w:r>
        <w:rPr>
          <w:rFonts w:hint="eastAsia" w:asciiTheme="majorEastAsia" w:hAnsiTheme="majorEastAsia" w:eastAsiaTheme="majorEastAsia"/>
          <w:sz w:val="24"/>
          <w:lang w:eastAsia="zh-CN"/>
        </w:rPr>
        <w:t>及</w:t>
      </w:r>
      <w:r>
        <w:rPr>
          <w:rFonts w:hint="eastAsia" w:asciiTheme="majorEastAsia" w:hAnsiTheme="majorEastAsia" w:eastAsiaTheme="majorEastAsia"/>
          <w:sz w:val="24"/>
        </w:rPr>
        <w:t>评估准则，</w:t>
      </w:r>
      <w:r>
        <w:rPr>
          <w:rFonts w:hint="eastAsia" w:asciiTheme="majorEastAsia" w:hAnsiTheme="majorEastAsia" w:eastAsiaTheme="majorEastAsia"/>
          <w:sz w:val="24"/>
          <w:lang w:eastAsia="zh-CN"/>
        </w:rPr>
        <w:t>坚持</w:t>
      </w:r>
      <w:r>
        <w:rPr>
          <w:rFonts w:hint="eastAsia" w:asciiTheme="majorEastAsia" w:hAnsiTheme="majorEastAsia" w:eastAsiaTheme="majorEastAsia"/>
          <w:sz w:val="24"/>
        </w:rPr>
        <w:t>“独立、客观、公正”的评估原则，</w:t>
      </w:r>
      <w:r>
        <w:rPr>
          <w:rFonts w:hint="eastAsia" w:asciiTheme="majorEastAsia" w:hAnsiTheme="majorEastAsia" w:eastAsiaTheme="majorEastAsia"/>
          <w:sz w:val="24"/>
          <w:lang w:eastAsia="zh-CN"/>
        </w:rPr>
        <w:t>履行必要的评估程序，</w:t>
      </w:r>
      <w:r>
        <w:rPr>
          <w:rFonts w:hint="eastAsia" w:asciiTheme="majorEastAsia" w:hAnsiTheme="majorEastAsia" w:eastAsiaTheme="majorEastAsia"/>
          <w:sz w:val="24"/>
        </w:rPr>
        <w:t>按照公认的资产评估方法，对</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委托</w:t>
      </w:r>
      <w:r>
        <w:rPr>
          <w:rFonts w:hint="eastAsia" w:asciiTheme="majorEastAsia" w:hAnsiTheme="majorEastAsia" w:eastAsiaTheme="majorEastAsia"/>
          <w:sz w:val="24"/>
          <w:lang w:eastAsia="zh-CN"/>
        </w:rPr>
        <w:t>拟司法执行财产处置</w:t>
      </w:r>
      <w:r>
        <w:rPr>
          <w:rFonts w:hint="eastAsia" w:asciiTheme="majorEastAsia" w:hAnsiTheme="majorEastAsia" w:eastAsiaTheme="majorEastAsia"/>
          <w:sz w:val="24"/>
        </w:rPr>
        <w:t>涉及</w:t>
      </w:r>
      <w:r>
        <w:rPr>
          <w:rFonts w:hint="eastAsia" w:asciiTheme="majorEastAsia" w:hAnsiTheme="majorEastAsia" w:eastAsiaTheme="majorEastAsia"/>
          <w:sz w:val="24"/>
          <w:lang w:eastAsia="zh-CN"/>
        </w:rPr>
        <w:t>刘斌（东丰县横道河城市开发建设有限公司）的位于东辽县建安镇小街嘉兴花园小区内的房屋资产（住宅房屋，共</w:t>
      </w:r>
      <w:r>
        <w:rPr>
          <w:rFonts w:hint="eastAsia" w:asciiTheme="majorEastAsia" w:hAnsiTheme="majorEastAsia" w:eastAsiaTheme="majorEastAsia"/>
          <w:sz w:val="24"/>
          <w:lang w:val="en-US" w:eastAsia="zh-CN"/>
        </w:rPr>
        <w:t>60套，建筑面积共3,550.24</w:t>
      </w:r>
      <w:r>
        <w:rPr>
          <w:rFonts w:hint="eastAsia" w:ascii="宋体" w:hAnsi="宋体" w:eastAsia="宋体" w:cs="宋体"/>
          <w:sz w:val="24"/>
          <w:lang w:val="en-US" w:eastAsia="zh-CN"/>
        </w:rPr>
        <w:t>㎡</w:t>
      </w:r>
      <w:r>
        <w:rPr>
          <w:rFonts w:hint="eastAsia" w:ascii="宋体" w:hAnsi="宋体" w:cs="宋体"/>
          <w:sz w:val="24"/>
          <w:lang w:val="en-US" w:eastAsia="zh-CN"/>
        </w:rPr>
        <w:t>；营业用房，共2套，建筑面积共94.25</w:t>
      </w:r>
      <w:r>
        <w:rPr>
          <w:rFonts w:hint="eastAsia" w:ascii="宋体" w:hAnsi="宋体" w:eastAsia="宋体" w:cs="宋体"/>
          <w:sz w:val="24"/>
          <w:lang w:val="en-US" w:eastAsia="zh-CN"/>
        </w:rPr>
        <w:t>㎡</w:t>
      </w:r>
      <w:r>
        <w:rPr>
          <w:rFonts w:hint="eastAsia" w:asciiTheme="majorEastAsia" w:hAnsiTheme="majorEastAsia" w:eastAsiaTheme="majorEastAsia"/>
          <w:sz w:val="24"/>
          <w:lang w:val="en-US" w:eastAsia="zh-CN"/>
        </w:rPr>
        <w:t>），</w:t>
      </w:r>
      <w:r>
        <w:rPr>
          <w:rFonts w:hint="eastAsia" w:asciiTheme="majorEastAsia" w:hAnsiTheme="majorEastAsia" w:eastAsiaTheme="majorEastAsia"/>
          <w:sz w:val="24"/>
        </w:rPr>
        <w:t>在评估基准日</w:t>
      </w:r>
      <w:r>
        <w:rPr>
          <w:rFonts w:hint="eastAsia" w:asciiTheme="majorEastAsia" w:hAnsiTheme="majorEastAsia" w:eastAsiaTheme="majorEastAsia"/>
          <w:sz w:val="24"/>
          <w:lang w:eastAsia="zh-CN"/>
        </w:rPr>
        <w:t>二〇二二年二月二十五日</w:t>
      </w:r>
      <w:r>
        <w:rPr>
          <w:rFonts w:hint="eastAsia" w:asciiTheme="majorEastAsia" w:hAnsiTheme="majorEastAsia" w:eastAsiaTheme="majorEastAsia"/>
          <w:sz w:val="24"/>
        </w:rPr>
        <w:t>的市场价值进行了评估。现将资产评估结论情况摘要如下：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一、委托人：</w:t>
      </w:r>
      <w:r>
        <w:rPr>
          <w:rFonts w:hint="eastAsia" w:asciiTheme="majorEastAsia" w:hAnsiTheme="majorEastAsia" w:eastAsiaTheme="majorEastAsia"/>
          <w:sz w:val="24"/>
          <w:lang w:eastAsia="zh-CN"/>
        </w:rPr>
        <w:t>辽源市龙山区人民法院司法辅助办公室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二、产权持有人：</w:t>
      </w:r>
      <w:r>
        <w:rPr>
          <w:rFonts w:hint="eastAsia" w:asciiTheme="majorEastAsia" w:hAnsiTheme="majorEastAsia" w:eastAsiaTheme="majorEastAsia"/>
          <w:sz w:val="24"/>
          <w:lang w:eastAsia="zh-CN"/>
        </w:rPr>
        <w:t>刘斌（东丰县横道河城市开发建设有限公司）</w:t>
      </w:r>
    </w:p>
    <w:p>
      <w:pPr>
        <w:keepNext w:val="0"/>
        <w:keepLines w:val="0"/>
        <w:pageBreakBefore w:val="0"/>
        <w:widowControl w:val="0"/>
        <w:kinsoku/>
        <w:wordWrap/>
        <w:overflowPunct/>
        <w:topLinePunct w:val="0"/>
        <w:autoSpaceDE/>
        <w:autoSpaceDN/>
        <w:bidi w:val="0"/>
        <w:adjustRightInd/>
        <w:snapToGrid/>
        <w:spacing w:line="440" w:lineRule="exact"/>
        <w:ind w:firstLine="406" w:firstLineChars="175"/>
        <w:textAlignment w:val="auto"/>
        <w:rPr>
          <w:rFonts w:asciiTheme="majorEastAsia" w:hAnsiTheme="majorEastAsia" w:eastAsiaTheme="majorEastAsia"/>
          <w:spacing w:val="-4"/>
          <w:sz w:val="24"/>
        </w:rPr>
      </w:pPr>
      <w:r>
        <w:rPr>
          <w:rFonts w:hint="eastAsia" w:asciiTheme="majorEastAsia" w:hAnsiTheme="majorEastAsia" w:eastAsiaTheme="majorEastAsia"/>
          <w:spacing w:val="-4"/>
          <w:sz w:val="24"/>
        </w:rPr>
        <w:t>三、评估目的：</w:t>
      </w:r>
      <w:r>
        <w:rPr>
          <w:rFonts w:hint="eastAsia" w:asciiTheme="majorEastAsia" w:hAnsiTheme="majorEastAsia" w:eastAsiaTheme="majorEastAsia"/>
          <w:sz w:val="24"/>
        </w:rPr>
        <w:t>为辽源市龙山区人民法院司法辅助办公室拟司法执行财产处置涉及的刘斌</w:t>
      </w:r>
      <w:r>
        <w:rPr>
          <w:rFonts w:hint="eastAsia" w:asciiTheme="majorEastAsia" w:hAnsiTheme="majorEastAsia" w:eastAsiaTheme="majorEastAsia"/>
          <w:sz w:val="24"/>
          <w:lang w:eastAsia="zh-CN"/>
        </w:rPr>
        <w:t>（东丰县横道河城市开发建设有限公司）</w:t>
      </w:r>
      <w:r>
        <w:rPr>
          <w:rFonts w:hint="eastAsia" w:asciiTheme="majorEastAsia" w:hAnsiTheme="majorEastAsia" w:eastAsiaTheme="majorEastAsia"/>
          <w:sz w:val="24"/>
        </w:rPr>
        <w:t>的房屋资产价值提供参考意见。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四、评估对象和评估范围：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75"/>
        <w:textAlignment w:val="auto"/>
        <w:rPr>
          <w:rFonts w:hint="eastAsia" w:asciiTheme="majorEastAsia" w:hAnsiTheme="majorEastAsia" w:eastAsiaTheme="majorEastAsia"/>
          <w:sz w:val="24"/>
        </w:rPr>
      </w:pPr>
      <w:r>
        <w:rPr>
          <w:rFonts w:hint="eastAsia" w:asciiTheme="majorEastAsia" w:hAnsiTheme="majorEastAsia" w:eastAsiaTheme="majorEastAsia"/>
          <w:sz w:val="24"/>
        </w:rPr>
        <w:t>根据《司法鉴定委托书》（案号（2022）吉0402委评28号）和相关当事人的指认，评估对象为委托人拟司法执行财产处置涉及的刘斌</w:t>
      </w:r>
      <w:r>
        <w:rPr>
          <w:rFonts w:hint="eastAsia" w:asciiTheme="majorEastAsia" w:hAnsiTheme="majorEastAsia" w:eastAsiaTheme="majorEastAsia"/>
          <w:sz w:val="24"/>
          <w:lang w:eastAsia="zh-CN"/>
        </w:rPr>
        <w:t>（东丰县横道河城市开发建设有限公司）</w:t>
      </w:r>
      <w:r>
        <w:rPr>
          <w:rFonts w:hint="eastAsia" w:asciiTheme="majorEastAsia" w:hAnsiTheme="majorEastAsia" w:eastAsiaTheme="majorEastAsia"/>
          <w:sz w:val="24"/>
        </w:rPr>
        <w:t>的房屋资产在评估基准日的市场价值。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75"/>
        <w:textAlignment w:val="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评估范围：委托人申报的位于东辽县建安镇小街嘉兴花园小区内的资产，住宅房屋，共60套，建筑面积共3,550.24㎡；营业用房，共2套，建筑面积共94.25㎡</w:t>
      </w:r>
      <w:r>
        <w:rPr>
          <w:rFonts w:hint="eastAsia" w:asciiTheme="majorEastAsia" w:hAnsiTheme="majorEastAsia" w:eastAsiaTheme="majorEastAsia"/>
          <w:sz w:val="24"/>
          <w:lang w:eastAsia="zh-CN"/>
        </w:rPr>
        <w:t>。</w:t>
      </w:r>
    </w:p>
    <w:p>
      <w:pPr>
        <w:keepNext w:val="0"/>
        <w:keepLines w:val="0"/>
        <w:pageBreakBefore w:val="0"/>
        <w:widowControl w:val="0"/>
        <w:kinsoku/>
        <w:wordWrap/>
        <w:overflowPunct/>
        <w:topLinePunct w:val="0"/>
        <w:autoSpaceDE/>
        <w:autoSpaceDN/>
        <w:bidi w:val="0"/>
        <w:adjustRightInd/>
        <w:spacing w:line="440" w:lineRule="exact"/>
        <w:ind w:firstLine="408" w:firstLineChars="175"/>
        <w:textAlignment w:val="auto"/>
        <w:rPr>
          <w:rFonts w:asciiTheme="majorEastAsia" w:hAnsiTheme="majorEastAsia" w:eastAsiaTheme="majorEastAsia"/>
          <w:b/>
          <w:spacing w:val="-4"/>
          <w:sz w:val="24"/>
        </w:rPr>
      </w:pPr>
      <w:r>
        <w:rPr>
          <w:rFonts w:hint="eastAsia" w:asciiTheme="majorEastAsia" w:hAnsiTheme="majorEastAsia" w:eastAsiaTheme="majorEastAsia"/>
          <w:b/>
          <w:spacing w:val="-4"/>
          <w:sz w:val="24"/>
        </w:rPr>
        <w:t>本次评估对象及纳入评估范围的资产与经济行为涉及的评估对象和资产范围一致。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75"/>
        <w:textAlignment w:val="auto"/>
        <w:rPr>
          <w:rFonts w:hint="eastAsia" w:asciiTheme="majorEastAsia" w:hAnsiTheme="majorEastAsia" w:eastAsiaTheme="majorEastAsia"/>
          <w:sz w:val="24"/>
          <w:lang w:eastAsia="zh-CN"/>
        </w:rPr>
      </w:pPr>
      <w:r>
        <w:rPr>
          <w:rFonts w:hint="eastAsia" w:asciiTheme="majorEastAsia" w:hAnsiTheme="majorEastAsia" w:eastAsiaTheme="majorEastAsia"/>
          <w:sz w:val="24"/>
        </w:rPr>
        <w:t>五、评估基准日：</w:t>
      </w:r>
      <w:r>
        <w:rPr>
          <w:rFonts w:hint="eastAsia" w:asciiTheme="majorEastAsia" w:hAnsiTheme="majorEastAsia" w:eastAsiaTheme="majorEastAsia"/>
          <w:sz w:val="24"/>
          <w:lang w:eastAsia="zh-CN"/>
        </w:rPr>
        <w:t>二〇二二年二月二十五日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六、价值类型：根据本次评估目的和委估资产的特点，本次资产评估选取的价值类型为市场价值类型。资产评估中的市场价值是指自愿买方和自愿卖方在各自理性行事且未受任何强迫的情况下，评估对象在评估基准日进行正常公平交易的价值估计数额。</w:t>
      </w:r>
    </w:p>
    <w:p>
      <w:pPr>
        <w:keepNext w:val="0"/>
        <w:keepLines w:val="0"/>
        <w:pageBreakBefore w:val="0"/>
        <w:widowControl w:val="0"/>
        <w:kinsoku/>
        <w:wordWrap/>
        <w:overflowPunct/>
        <w:topLinePunct w:val="0"/>
        <w:autoSpaceDE/>
        <w:autoSpaceDN/>
        <w:bidi w:val="0"/>
        <w:adjustRightInd/>
        <w:spacing w:line="44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七、评估方法：</w:t>
      </w:r>
      <w:r>
        <w:rPr>
          <w:rFonts w:hint="eastAsia" w:asciiTheme="majorEastAsia" w:hAnsiTheme="majorEastAsia" w:eastAsiaTheme="majorEastAsia"/>
          <w:color w:val="000000"/>
          <w:sz w:val="24"/>
        </w:rPr>
        <w:t>根据本次资产评估目的和委估资产的特点、可获得的评估资料等因素，本次</w:t>
      </w:r>
      <w:r>
        <w:rPr>
          <w:rFonts w:hint="eastAsia" w:asciiTheme="majorEastAsia" w:hAnsiTheme="majorEastAsia" w:eastAsiaTheme="majorEastAsia"/>
          <w:color w:val="000000"/>
          <w:sz w:val="24"/>
          <w:lang w:eastAsia="zh-CN"/>
        </w:rPr>
        <w:t>评估</w:t>
      </w:r>
      <w:r>
        <w:rPr>
          <w:rFonts w:hint="eastAsia" w:asciiTheme="majorEastAsia" w:hAnsiTheme="majorEastAsia" w:eastAsiaTheme="majorEastAsia"/>
          <w:color w:val="000000"/>
          <w:sz w:val="24"/>
        </w:rPr>
        <w:t>的</w:t>
      </w:r>
      <w:r>
        <w:rPr>
          <w:rFonts w:hint="eastAsia" w:asciiTheme="majorEastAsia" w:hAnsiTheme="majorEastAsia" w:eastAsiaTheme="majorEastAsia"/>
          <w:color w:val="000000"/>
          <w:sz w:val="24"/>
          <w:lang w:eastAsia="zh-CN"/>
        </w:rPr>
        <w:t>房屋</w:t>
      </w:r>
      <w:r>
        <w:rPr>
          <w:rFonts w:hint="eastAsia" w:asciiTheme="majorEastAsia" w:hAnsiTheme="majorEastAsia" w:eastAsiaTheme="majorEastAsia"/>
          <w:color w:val="000000"/>
          <w:sz w:val="24"/>
        </w:rPr>
        <w:t>采用市场法</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440" w:lineRule="exact"/>
        <w:ind w:firstLine="420" w:firstLineChars="175"/>
        <w:textAlignment w:val="auto"/>
        <w:rPr>
          <w:rFonts w:asciiTheme="majorEastAsia" w:hAnsiTheme="majorEastAsia" w:eastAsiaTheme="majorEastAsia"/>
          <w:sz w:val="24"/>
        </w:rPr>
      </w:pPr>
      <w:r>
        <w:rPr>
          <w:rFonts w:hint="eastAsia" w:asciiTheme="majorEastAsia" w:hAnsiTheme="majorEastAsia" w:eastAsiaTheme="majorEastAsia"/>
          <w:sz w:val="24"/>
        </w:rPr>
        <w:t>八、评估结论：</w:t>
      </w:r>
    </w:p>
    <w:tbl>
      <w:tblPr>
        <w:tblStyle w:val="12"/>
        <w:tblpPr w:leftFromText="180" w:rightFromText="180" w:vertAnchor="page" w:horzAnchor="page" w:tblpXSpec="center" w:tblpY="4564"/>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55"/>
        <w:gridCol w:w="2085"/>
        <w:gridCol w:w="1920"/>
        <w:gridCol w:w="19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6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序号</w:t>
            </w:r>
          </w:p>
        </w:tc>
        <w:tc>
          <w:tcPr>
            <w:tcW w:w="125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项    目</w:t>
            </w:r>
          </w:p>
        </w:tc>
        <w:tc>
          <w:tcPr>
            <w:tcW w:w="208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eastAsia="zh-CN"/>
              </w:rPr>
            </w:pPr>
            <w:r>
              <w:rPr>
                <w:rFonts w:hint="eastAsia" w:cs="宋体" w:asciiTheme="majorEastAsia" w:hAnsiTheme="majorEastAsia" w:eastAsiaTheme="majorEastAsia"/>
                <w:b/>
                <w:szCs w:val="21"/>
                <w:lang w:eastAsia="zh-CN"/>
              </w:rPr>
              <w:t>数量（套）</w:t>
            </w:r>
          </w:p>
        </w:tc>
        <w:tc>
          <w:tcPr>
            <w:tcW w:w="192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eastAsia="zh-CN"/>
              </w:rPr>
            </w:pPr>
            <w:r>
              <w:rPr>
                <w:rFonts w:hint="eastAsia" w:cs="宋体" w:asciiTheme="majorEastAsia" w:hAnsiTheme="majorEastAsia" w:eastAsiaTheme="majorEastAsia"/>
                <w:b/>
                <w:szCs w:val="21"/>
                <w:lang w:eastAsia="zh-CN"/>
              </w:rPr>
              <w:t>建筑面积（</w:t>
            </w:r>
            <w:r>
              <w:rPr>
                <w:rFonts w:hint="eastAsia" w:ascii="宋体" w:hAnsi="宋体" w:eastAsia="宋体" w:cs="宋体"/>
                <w:b/>
                <w:szCs w:val="21"/>
                <w:lang w:eastAsia="zh-CN"/>
              </w:rPr>
              <w:t>㎡</w:t>
            </w:r>
            <w:r>
              <w:rPr>
                <w:rFonts w:hint="eastAsia" w:cs="宋体" w:asciiTheme="majorEastAsia" w:hAnsiTheme="majorEastAsia" w:eastAsiaTheme="majorEastAsia"/>
                <w:b/>
                <w:szCs w:val="21"/>
                <w:lang w:eastAsia="zh-CN"/>
              </w:rPr>
              <w:t>）</w:t>
            </w:r>
          </w:p>
        </w:tc>
        <w:tc>
          <w:tcPr>
            <w:tcW w:w="193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eastAsia="zh-CN"/>
              </w:rPr>
            </w:pPr>
            <w:r>
              <w:rPr>
                <w:rFonts w:hint="eastAsia" w:cs="宋体" w:asciiTheme="majorEastAsia" w:hAnsiTheme="majorEastAsia" w:eastAsiaTheme="majorEastAsia"/>
                <w:b/>
                <w:szCs w:val="21"/>
                <w:lang w:eastAsia="zh-CN"/>
              </w:rPr>
              <w:t>评估净值</w:t>
            </w:r>
          </w:p>
        </w:tc>
        <w:tc>
          <w:tcPr>
            <w:tcW w:w="105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eastAsia="zh-CN"/>
              </w:rPr>
            </w:pPr>
            <w:r>
              <w:rPr>
                <w:rFonts w:hint="eastAsia" w:cs="宋体" w:asciiTheme="majorEastAsia" w:hAnsiTheme="majorEastAsia" w:eastAsiaTheme="majorEastAsia"/>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1</w:t>
            </w:r>
          </w:p>
        </w:tc>
        <w:tc>
          <w:tcPr>
            <w:tcW w:w="125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住宅房屋</w:t>
            </w:r>
          </w:p>
        </w:tc>
        <w:tc>
          <w:tcPr>
            <w:tcW w:w="208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60</w:t>
            </w:r>
          </w:p>
        </w:tc>
        <w:tc>
          <w:tcPr>
            <w:tcW w:w="192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3,550.24</w:t>
            </w:r>
          </w:p>
        </w:tc>
        <w:tc>
          <w:tcPr>
            <w:tcW w:w="1935"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5,652,398.15</w:t>
            </w:r>
          </w:p>
        </w:tc>
        <w:tc>
          <w:tcPr>
            <w:tcW w:w="105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2</w:t>
            </w:r>
          </w:p>
        </w:tc>
        <w:tc>
          <w:tcPr>
            <w:tcW w:w="125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营业用房</w:t>
            </w:r>
          </w:p>
        </w:tc>
        <w:tc>
          <w:tcPr>
            <w:tcW w:w="208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2</w:t>
            </w:r>
          </w:p>
        </w:tc>
        <w:tc>
          <w:tcPr>
            <w:tcW w:w="192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94.25</w:t>
            </w:r>
          </w:p>
        </w:tc>
        <w:tc>
          <w:tcPr>
            <w:tcW w:w="1935"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312,159.65</w:t>
            </w:r>
          </w:p>
        </w:tc>
        <w:tc>
          <w:tcPr>
            <w:tcW w:w="105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915" w:type="dxa"/>
            <w:gridSpan w:val="2"/>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合      计</w:t>
            </w:r>
          </w:p>
        </w:tc>
        <w:tc>
          <w:tcPr>
            <w:tcW w:w="208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62</w:t>
            </w:r>
          </w:p>
        </w:tc>
        <w:tc>
          <w:tcPr>
            <w:tcW w:w="192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3,644.49</w:t>
            </w:r>
          </w:p>
        </w:tc>
        <w:tc>
          <w:tcPr>
            <w:tcW w:w="1935"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kern w:val="2"/>
                <w:sz w:val="21"/>
                <w:szCs w:val="21"/>
                <w:lang w:val="en-US" w:eastAsia="zh-CN" w:bidi="ar-SA"/>
              </w:rPr>
            </w:pPr>
            <w:r>
              <w:rPr>
                <w:rFonts w:hint="eastAsia" w:cs="宋体" w:asciiTheme="majorEastAsia" w:hAnsiTheme="majorEastAsia" w:eastAsiaTheme="majorEastAsia"/>
                <w:b/>
                <w:szCs w:val="21"/>
                <w:lang w:val="en-US" w:eastAsia="zh-CN"/>
              </w:rPr>
              <w:t>5,964,557.80</w:t>
            </w:r>
          </w:p>
        </w:tc>
        <w:tc>
          <w:tcPr>
            <w:tcW w:w="105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kern w:val="2"/>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heme="majorEastAsia" w:hAnsiTheme="majorEastAsia" w:eastAsiaTheme="majorEastAsia"/>
          <w:sz w:val="18"/>
          <w:szCs w:val="18"/>
        </w:rPr>
      </w:pPr>
      <w:r>
        <w:rPr>
          <w:rFonts w:hint="eastAsia" w:asciiTheme="majorEastAsia" w:hAnsiTheme="majorEastAsia" w:eastAsiaTheme="majorEastAsia"/>
          <w:sz w:val="24"/>
        </w:rPr>
        <w:t>我们在委托人配合下，对评估对象进行了必要的产权查验和实地勘察，对委托评估的资产所涉及的各项数据实施市场调查和询证，并完成了准则要求的评估程序，在此基础上，我们对</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委托评估的资产在评估基准日</w:t>
      </w:r>
      <w:r>
        <w:rPr>
          <w:rFonts w:hint="eastAsia" w:asciiTheme="majorEastAsia" w:hAnsiTheme="majorEastAsia" w:eastAsiaTheme="majorEastAsia"/>
          <w:sz w:val="24"/>
          <w:lang w:eastAsia="zh-CN"/>
        </w:rPr>
        <w:t>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月</w:t>
      </w:r>
      <w:r>
        <w:rPr>
          <w:rFonts w:hint="eastAsia" w:asciiTheme="majorEastAsia" w:hAnsiTheme="majorEastAsia" w:eastAsiaTheme="majorEastAsia"/>
          <w:sz w:val="24"/>
          <w:lang w:val="en-US" w:eastAsia="zh-CN"/>
        </w:rPr>
        <w:t>25</w:t>
      </w:r>
      <w:r>
        <w:rPr>
          <w:rFonts w:hint="eastAsia" w:asciiTheme="majorEastAsia" w:hAnsiTheme="majorEastAsia" w:eastAsiaTheme="majorEastAsia"/>
          <w:sz w:val="24"/>
          <w:lang w:eastAsia="zh-CN"/>
        </w:rPr>
        <w:t>日</w:t>
      </w:r>
      <w:r>
        <w:rPr>
          <w:rFonts w:hint="eastAsia" w:asciiTheme="majorEastAsia" w:hAnsiTheme="majorEastAsia" w:eastAsiaTheme="majorEastAsia"/>
          <w:sz w:val="24"/>
        </w:rPr>
        <w:t>特定目的下的价值进行分析、估算并发表专业意见。评估值人民币大写：</w:t>
      </w:r>
      <w:r>
        <w:rPr>
          <w:rFonts w:hint="eastAsia" w:asciiTheme="majorEastAsia" w:hAnsiTheme="majorEastAsia" w:eastAsiaTheme="majorEastAsia"/>
          <w:sz w:val="24"/>
          <w:lang w:eastAsia="zh-CN"/>
        </w:rPr>
        <w:t>伍佰玖拾陆万肆仟伍佰伍拾柒元捌角</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270" w:firstLineChars="150"/>
        <w:jc w:val="right"/>
        <w:textAlignment w:val="auto"/>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单位：人民币元</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Theme="majorEastAsia" w:hAnsiTheme="majorEastAsia" w:eastAsiaTheme="majorEastAsia"/>
          <w:sz w:val="24"/>
        </w:rPr>
      </w:pPr>
      <w:r>
        <w:rPr>
          <w:rFonts w:hint="eastAsia" w:asciiTheme="majorEastAsia" w:hAnsiTheme="majorEastAsia" w:eastAsiaTheme="majorEastAsia"/>
          <w:sz w:val="24"/>
        </w:rPr>
        <w:t>九、特殊事项说明：</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1.本报告中，我们的责任是对评估对象在评估基准日的市场</w:t>
      </w:r>
      <w:r>
        <w:rPr>
          <w:rFonts w:hint="eastAsia" w:asciiTheme="majorEastAsia" w:hAnsiTheme="majorEastAsia" w:eastAsiaTheme="majorEastAsia"/>
          <w:sz w:val="24"/>
          <w:lang w:eastAsia="zh-CN"/>
        </w:rPr>
        <w:t>价值</w:t>
      </w:r>
      <w:r>
        <w:rPr>
          <w:rFonts w:hint="eastAsia" w:asciiTheme="majorEastAsia" w:hAnsiTheme="majorEastAsia" w:eastAsiaTheme="majorEastAsia"/>
          <w:sz w:val="24"/>
        </w:rPr>
        <w:t>进行估算并发表专业意见，对评估对象的法律权属不发表意见，也不作确认或保证。本报告所依据的权属及委托人和产权持有人提供的其它相关资料的真实性、完整性和合法性由委托人和</w:t>
      </w:r>
      <w:r>
        <w:rPr>
          <w:rFonts w:hint="eastAsia" w:asciiTheme="majorEastAsia" w:hAnsiTheme="majorEastAsia" w:eastAsiaTheme="majorEastAsia"/>
          <w:sz w:val="24"/>
          <w:lang w:eastAsia="zh-CN"/>
        </w:rPr>
        <w:t>相关当事人</w:t>
      </w:r>
      <w:r>
        <w:rPr>
          <w:rFonts w:hint="eastAsia" w:asciiTheme="majorEastAsia" w:hAnsiTheme="majorEastAsia" w:eastAsiaTheme="majorEastAsia"/>
          <w:sz w:val="24"/>
        </w:rPr>
        <w:t>负责。如有因产权问题引起纠纷，与评估机构和资产评估师无关。</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2.本评估结果是对</w:t>
      </w:r>
      <w:r>
        <w:rPr>
          <w:rFonts w:hint="eastAsia" w:asciiTheme="majorEastAsia" w:hAnsiTheme="majorEastAsia" w:eastAsiaTheme="majorEastAsia"/>
          <w:sz w:val="24"/>
          <w:lang w:eastAsia="zh-CN"/>
        </w:rPr>
        <w:t>二〇二二年二月二十五日</w:t>
      </w:r>
      <w:r>
        <w:rPr>
          <w:rFonts w:hint="eastAsia" w:asciiTheme="majorEastAsia" w:hAnsiTheme="majorEastAsia" w:eastAsiaTheme="majorEastAsia"/>
          <w:sz w:val="24"/>
        </w:rPr>
        <w:t>这一评估基准日所评估资产价值的客观公允反映，我评估所对这一基准日后该资产价值发生重大变化不负责任。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.截止至评估基准日，该住宅用房处于</w:t>
      </w:r>
      <w:r>
        <w:rPr>
          <w:rFonts w:hint="eastAsia" w:asciiTheme="majorEastAsia" w:hAnsiTheme="majorEastAsia" w:eastAsiaTheme="majorEastAsia"/>
          <w:sz w:val="24"/>
          <w:lang w:eastAsia="zh-CN"/>
        </w:rPr>
        <w:t>闲置</w:t>
      </w:r>
      <w:r>
        <w:rPr>
          <w:rFonts w:hint="eastAsia" w:asciiTheme="majorEastAsia" w:hAnsiTheme="majorEastAsia" w:eastAsiaTheme="majorEastAsia"/>
          <w:sz w:val="24"/>
        </w:rPr>
        <w:t>状态。本</w:t>
      </w:r>
      <w:r>
        <w:rPr>
          <w:rFonts w:hint="eastAsia" w:asciiTheme="majorEastAsia" w:hAnsiTheme="majorEastAsia" w:eastAsiaTheme="majorEastAsia"/>
          <w:sz w:val="24"/>
          <w:lang w:eastAsia="zh-CN"/>
        </w:rPr>
        <w:t>次</w:t>
      </w:r>
      <w:r>
        <w:rPr>
          <w:rFonts w:hint="eastAsia" w:asciiTheme="majorEastAsia" w:hAnsiTheme="majorEastAsia" w:eastAsiaTheme="majorEastAsia"/>
          <w:sz w:val="24"/>
        </w:rPr>
        <w:t>报告评估结论不考虑评估对象抵押、查封、租赁等因素对价值的影响。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4.本次司法执行财产处置评估业务中，在评定估算形成评估结论的过程中不考虑评估费、拍卖费、诉讼费、律师费以及交易税费等财产处置费用对评估结论的影响</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.本次评估对象其权属及建筑面积以委托人提供</w:t>
      </w:r>
      <w:r>
        <w:rPr>
          <w:rFonts w:hint="eastAsia" w:asciiTheme="majorEastAsia" w:hAnsiTheme="majorEastAsia" w:eastAsiaTheme="majorEastAsia"/>
          <w:sz w:val="24"/>
          <w:lang w:val="en-US" w:eastAsia="zh-CN"/>
        </w:rPr>
        <w:t>的辽源市龙山区人民法院司法辅助办公室《司法鉴定委托书》（（2022）吉0402委评28号）；《对外委托案件移送表》；《辽源市龙山区人民法院执行裁定书》（2018）0402执475号、476号为依据</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.本次评估已进行现场勘查，</w:t>
      </w:r>
      <w:r>
        <w:rPr>
          <w:rFonts w:hint="eastAsia" w:asciiTheme="majorEastAsia" w:hAnsiTheme="majorEastAsia" w:eastAsiaTheme="majorEastAsia"/>
          <w:sz w:val="24"/>
          <w:lang w:eastAsia="zh-CN"/>
        </w:rPr>
        <w:t>申请人及法院工作人员到达现场，并在</w:t>
      </w:r>
      <w:r>
        <w:rPr>
          <w:rFonts w:hint="eastAsia" w:asciiTheme="majorEastAsia" w:hAnsiTheme="majorEastAsia" w:eastAsiaTheme="majorEastAsia"/>
          <w:sz w:val="24"/>
        </w:rPr>
        <w:t>现场勘查记录上签字确认</w:t>
      </w:r>
      <w:r>
        <w:rPr>
          <w:rFonts w:hint="eastAsia" w:asciiTheme="majorEastAsia" w:hAnsiTheme="majorEastAsia" w:eastAsiaTheme="majorEastAsia"/>
          <w:sz w:val="24"/>
          <w:lang w:eastAsia="zh-CN"/>
        </w:rPr>
        <w:t>，被申请人未到达现场。</w:t>
      </w:r>
      <w:r>
        <w:rPr>
          <w:rFonts w:hint="eastAsia" w:asciiTheme="majorEastAsia" w:hAnsiTheme="majorEastAsia" w:eastAsiaTheme="majorEastAsia"/>
          <w:sz w:val="24"/>
          <w:lang w:val="en-US" w:eastAsia="zh-CN"/>
        </w:rPr>
        <w:t>根据《司法鉴定委托书》（（2022）吉0402委评28号）记载，本次评估范围为</w:t>
      </w:r>
      <w:r>
        <w:rPr>
          <w:rFonts w:hint="eastAsia" w:asciiTheme="majorEastAsia" w:hAnsiTheme="majorEastAsia" w:eastAsiaTheme="majorEastAsia"/>
          <w:sz w:val="24"/>
          <w:lang w:eastAsia="zh-CN"/>
        </w:rPr>
        <w:t>位于东辽县建安镇小街嘉兴花园小区内</w:t>
      </w:r>
      <w:r>
        <w:rPr>
          <w:rFonts w:hint="eastAsia" w:asciiTheme="majorEastAsia" w:hAnsiTheme="majorEastAsia" w:eastAsiaTheme="majorEastAsia"/>
          <w:sz w:val="24"/>
          <w:lang w:val="en-US" w:eastAsia="zh-CN"/>
        </w:rPr>
        <w:t>62套房屋。</w:t>
      </w:r>
      <w:r>
        <w:rPr>
          <w:rFonts w:hint="eastAsia" w:ascii="宋体" w:hAnsi="宋体" w:cs="Times New Roman"/>
          <w:color w:val="auto"/>
          <w:kern w:val="2"/>
          <w:sz w:val="24"/>
          <w:szCs w:val="24"/>
          <w:lang w:val="en-US" w:eastAsia="zh-CN" w:bidi="ar-SA"/>
        </w:rPr>
        <w:t>如有异议，请重新委托评估</w:t>
      </w:r>
      <w:r>
        <w:rPr>
          <w:rFonts w:hint="eastAsia" w:asciiTheme="majorEastAsia" w:hAnsiTheme="majorEastAsia" w:eastAsiaTheme="majorEastAsia"/>
          <w:sz w:val="24"/>
          <w:lang w:val="en-US" w:eastAsia="zh-CN"/>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7.依据《司法鉴定委托书》，评估委托日期为2022年2月22日，应委托书要求评估机构在委托日期后的30个工作日内提交书面评估报告，但由于疫情原因，影响评估工作的正常进行，经评估机构与委托人协商并经委托人同意，本次评估将于2022年5月18日提交评估报告。</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Theme="majorEastAsia" w:hAnsiTheme="majorEastAsia" w:eastAsiaTheme="majorEastAsia"/>
          <w:sz w:val="24"/>
        </w:rPr>
      </w:pPr>
      <w:r>
        <w:rPr>
          <w:rFonts w:hint="eastAsia" w:asciiTheme="majorEastAsia" w:hAnsiTheme="majorEastAsia" w:eastAsiaTheme="majorEastAsia"/>
          <w:sz w:val="24"/>
        </w:rPr>
        <w:t>十、评估结论使用有效期</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评估结论仅在评估报告载明的评估基准日成立，并为评估报告中所描述的经济行为提供价值参考意见。评估报告的使用期自评估基准日起一年内有效，即</w:t>
      </w:r>
      <w:r>
        <w:rPr>
          <w:rFonts w:hint="eastAsia" w:asciiTheme="majorEastAsia" w:hAnsiTheme="majorEastAsia" w:eastAsiaTheme="majorEastAsia"/>
          <w:sz w:val="24"/>
          <w:lang w:eastAsia="zh-CN"/>
        </w:rPr>
        <w:t>二〇二二年二月二十五日</w:t>
      </w:r>
      <w:r>
        <w:rPr>
          <w:rFonts w:hint="eastAsia" w:asciiTheme="majorEastAsia" w:hAnsiTheme="majorEastAsia" w:eastAsiaTheme="majorEastAsia"/>
          <w:sz w:val="24"/>
        </w:rPr>
        <w:t>至</w:t>
      </w:r>
      <w:r>
        <w:rPr>
          <w:rFonts w:hint="eastAsia" w:asciiTheme="majorEastAsia" w:hAnsiTheme="majorEastAsia" w:eastAsiaTheme="majorEastAsia"/>
          <w:sz w:val="24"/>
          <w:lang w:eastAsia="zh-CN"/>
        </w:rPr>
        <w:t>二〇二三年二月二十四日</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Theme="majorEastAsia" w:hAnsiTheme="majorEastAsia" w:eastAsiaTheme="majorEastAsia"/>
          <w:sz w:val="24"/>
        </w:rPr>
      </w:pPr>
      <w:r>
        <w:rPr>
          <w:rFonts w:hint="eastAsia" w:asciiTheme="majorEastAsia" w:hAnsiTheme="majorEastAsia" w:eastAsiaTheme="majorEastAsia"/>
          <w:sz w:val="24"/>
        </w:rPr>
        <w:t>十一、评估报告日</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rPr>
        <w:t>评估报告出具日期为</w:t>
      </w:r>
      <w:r>
        <w:rPr>
          <w:rFonts w:hint="eastAsia" w:asciiTheme="majorEastAsia" w:hAnsiTheme="majorEastAsia" w:eastAsiaTheme="majorEastAsia"/>
          <w:sz w:val="24"/>
          <w:lang w:eastAsia="zh-CN"/>
        </w:rPr>
        <w:t>二〇二二年五月十八日</w:t>
      </w:r>
      <w:r>
        <w:rPr>
          <w:rFonts w:hint="eastAsia" w:asciiTheme="majorEastAsia" w:hAnsiTheme="majorEastAsia" w:eastAsiaTheme="majorEastAsia"/>
          <w:sz w:val="24"/>
        </w:rPr>
        <w:t>。评估报告日是评估意见形成日期。</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Theme="majorEastAsia" w:hAnsiTheme="majorEastAsia" w:eastAsiaTheme="majorEastAsia"/>
          <w:sz w:val="24"/>
        </w:rPr>
      </w:pPr>
      <w:r>
        <w:rPr>
          <w:rFonts w:hint="eastAsia" w:asciiTheme="majorEastAsia" w:hAnsiTheme="majorEastAsia" w:eastAsiaTheme="majorEastAsia"/>
          <w:b/>
          <w:sz w:val="24"/>
        </w:rPr>
        <w:t>重　要　提　示</w:t>
      </w:r>
    </w:p>
    <w:p>
      <w:pPr>
        <w:pStyle w:val="4"/>
        <w:keepNext w:val="0"/>
        <w:keepLines w:val="0"/>
        <w:pageBreakBefore w:val="0"/>
        <w:widowControl w:val="0"/>
        <w:tabs>
          <w:tab w:val="left" w:pos="0"/>
        </w:tabs>
        <w:kinsoku/>
        <w:wordWrap/>
        <w:overflowPunct/>
        <w:topLinePunct w:val="0"/>
        <w:autoSpaceDE/>
        <w:autoSpaceDN/>
        <w:bidi w:val="0"/>
        <w:adjustRightInd/>
        <w:snapToGrid w:val="0"/>
        <w:spacing w:line="440" w:lineRule="exact"/>
        <w:ind w:firstLine="480" w:firstLineChars="200"/>
        <w:textAlignment w:val="auto"/>
        <w:rPr>
          <w:rFonts w:asciiTheme="majorEastAsia" w:hAnsiTheme="majorEastAsia" w:eastAsiaTheme="majorEastAsia"/>
        </w:rPr>
      </w:pPr>
    </w:p>
    <w:p>
      <w:pPr>
        <w:pStyle w:val="4"/>
        <w:keepNext w:val="0"/>
        <w:keepLines w:val="0"/>
        <w:pageBreakBefore w:val="0"/>
        <w:widowControl w:val="0"/>
        <w:tabs>
          <w:tab w:val="left" w:pos="0"/>
        </w:tabs>
        <w:kinsoku/>
        <w:wordWrap/>
        <w:overflowPunct/>
        <w:topLinePunct w:val="0"/>
        <w:autoSpaceDE/>
        <w:autoSpaceDN/>
        <w:bidi w:val="0"/>
        <w:adjustRightInd/>
        <w:snapToGrid w:val="0"/>
        <w:spacing w:line="440" w:lineRule="exact"/>
        <w:ind w:firstLine="480" w:firstLineChars="200"/>
        <w:textAlignment w:val="auto"/>
        <w:rPr>
          <w:rFonts w:asciiTheme="majorEastAsia" w:hAnsiTheme="majorEastAsia" w:eastAsiaTheme="majorEastAsia"/>
          <w:b/>
          <w:spacing w:val="4"/>
          <w:sz w:val="21"/>
          <w:szCs w:val="21"/>
        </w:rPr>
      </w:pPr>
      <w:r>
        <w:rPr>
          <w:rFonts w:hint="eastAsia" w:asciiTheme="majorEastAsia" w:hAnsiTheme="majorEastAsia" w:eastAsiaTheme="majorEastAsia"/>
        </w:rPr>
        <w:t>以上内容摘自评估报告正文，欲了解本评估项目的详细情况和合理理解评估结论，应当阅读评估报告正文。</w:t>
      </w:r>
      <w:r>
        <w:rPr>
          <w:rFonts w:asciiTheme="majorEastAsia" w:hAnsiTheme="majorEastAsia" w:eastAsiaTheme="majorEastAsia"/>
          <w:b/>
          <w:spacing w:val="4"/>
          <w:sz w:val="21"/>
          <w:szCs w:val="21"/>
        </w:rPr>
        <w:br w:type="page"/>
      </w:r>
    </w:p>
    <w:p>
      <w:pPr>
        <w:jc w:val="center"/>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辽源市龙山区人民法院拟司法执行财产处置</w:t>
      </w:r>
      <w:r>
        <w:rPr>
          <w:rFonts w:hint="eastAsia" w:asciiTheme="majorEastAsia" w:hAnsiTheme="majorEastAsia" w:eastAsiaTheme="majorEastAsia"/>
          <w:b/>
          <w:spacing w:val="4"/>
          <w:sz w:val="36"/>
          <w:szCs w:val="36"/>
        </w:rPr>
        <w:t>涉及</w:t>
      </w:r>
    </w:p>
    <w:p>
      <w:pPr>
        <w:jc w:val="center"/>
        <w:rPr>
          <w:rFonts w:hint="eastAsia" w:asciiTheme="majorEastAsia" w:hAnsiTheme="majorEastAsia" w:eastAsiaTheme="majorEastAsia"/>
          <w:b/>
          <w:spacing w:val="4"/>
          <w:sz w:val="36"/>
          <w:szCs w:val="36"/>
          <w:lang w:eastAsia="zh-CN"/>
        </w:rPr>
      </w:pPr>
      <w:r>
        <w:rPr>
          <w:rFonts w:hint="eastAsia" w:asciiTheme="majorEastAsia" w:hAnsiTheme="majorEastAsia" w:eastAsiaTheme="majorEastAsia"/>
          <w:b/>
          <w:spacing w:val="4"/>
          <w:sz w:val="36"/>
          <w:szCs w:val="36"/>
          <w:lang w:eastAsia="zh-CN"/>
        </w:rPr>
        <w:t>刘斌（东丰县横道河城市开发建设有限公司）的</w:t>
      </w:r>
    </w:p>
    <w:p>
      <w:pPr>
        <w:jc w:val="center"/>
        <w:rPr>
          <w:rFonts w:hint="eastAsia" w:asciiTheme="majorEastAsia" w:hAnsiTheme="majorEastAsia" w:eastAsiaTheme="majorEastAsia"/>
          <w:b/>
          <w:spacing w:val="4"/>
          <w:sz w:val="36"/>
          <w:szCs w:val="36"/>
        </w:rPr>
      </w:pPr>
      <w:r>
        <w:rPr>
          <w:rFonts w:hint="eastAsia" w:asciiTheme="majorEastAsia" w:hAnsiTheme="majorEastAsia" w:eastAsiaTheme="majorEastAsia"/>
          <w:b/>
          <w:spacing w:val="4"/>
          <w:sz w:val="36"/>
          <w:szCs w:val="36"/>
          <w:lang w:eastAsia="zh-CN"/>
        </w:rPr>
        <w:t>房屋价值</w:t>
      </w:r>
      <w:r>
        <w:rPr>
          <w:rFonts w:hint="eastAsia" w:asciiTheme="majorEastAsia" w:hAnsiTheme="majorEastAsia" w:eastAsiaTheme="majorEastAsia"/>
          <w:b/>
          <w:spacing w:val="4"/>
          <w:sz w:val="36"/>
          <w:szCs w:val="36"/>
        </w:rPr>
        <w:t>资产评估报告</w:t>
      </w:r>
    </w:p>
    <w:p>
      <w:pPr>
        <w:keepNext w:val="0"/>
        <w:keepLines w:val="0"/>
        <w:pageBreakBefore w:val="0"/>
        <w:kinsoku/>
        <w:wordWrap/>
        <w:overflowPunct/>
        <w:topLinePunct w:val="0"/>
        <w:bidi w:val="0"/>
        <w:adjustRightInd/>
        <w:spacing w:line="400" w:lineRule="exact"/>
        <w:jc w:val="center"/>
        <w:rPr>
          <w:rFonts w:hint="eastAsia" w:ascii="黑体" w:eastAsia="黑体"/>
          <w:b/>
          <w:color w:val="FF0000"/>
          <w:sz w:val="52"/>
          <w:szCs w:val="52"/>
          <w:lang w:eastAsia="zh-CN"/>
        </w:rPr>
      </w:pPr>
      <w:r>
        <w:rPr>
          <w:rFonts w:hint="eastAsia" w:ascii="黑体" w:eastAsia="黑体"/>
          <w:szCs w:val="21"/>
          <w:lang w:eastAsia="zh-CN"/>
        </w:rPr>
        <w:t>辽新安评报字[2022]第0</w:t>
      </w:r>
      <w:r>
        <w:rPr>
          <w:rFonts w:hint="eastAsia" w:ascii="黑体" w:eastAsia="黑体"/>
          <w:szCs w:val="21"/>
          <w:lang w:val="en-US" w:eastAsia="zh-CN"/>
        </w:rPr>
        <w:t>41</w:t>
      </w:r>
      <w:r>
        <w:rPr>
          <w:rFonts w:hint="eastAsia" w:ascii="黑体" w:eastAsia="黑体"/>
          <w:szCs w:val="21"/>
          <w:lang w:eastAsia="zh-CN"/>
        </w:rPr>
        <w:t>号</w:t>
      </w:r>
    </w:p>
    <w:p>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辽源新安资产评估事务所（普通合伙）接受</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的委托，</w:t>
      </w:r>
      <w:r>
        <w:rPr>
          <w:rFonts w:hint="eastAsia" w:ascii="宋体" w:hAnsi="宋体"/>
          <w:sz w:val="24"/>
          <w:highlight w:val="none"/>
          <w:lang w:eastAsia="zh-CN"/>
        </w:rPr>
        <w:t>遵守</w:t>
      </w:r>
      <w:r>
        <w:rPr>
          <w:rFonts w:hint="eastAsia" w:asciiTheme="majorEastAsia" w:hAnsiTheme="majorEastAsia" w:eastAsiaTheme="majorEastAsia"/>
          <w:sz w:val="24"/>
        </w:rPr>
        <w:t>国家关于资产评估的有关法律</w:t>
      </w:r>
      <w:r>
        <w:rPr>
          <w:rFonts w:hint="eastAsia" w:asciiTheme="majorEastAsia" w:hAnsiTheme="majorEastAsia" w:eastAsiaTheme="majorEastAsia"/>
          <w:sz w:val="24"/>
          <w:lang w:eastAsia="zh-CN"/>
        </w:rPr>
        <w:t>、司法解释、行政</w:t>
      </w:r>
      <w:r>
        <w:rPr>
          <w:rFonts w:hint="eastAsia" w:asciiTheme="majorEastAsia" w:hAnsiTheme="majorEastAsia" w:eastAsiaTheme="majorEastAsia"/>
          <w:sz w:val="24"/>
        </w:rPr>
        <w:t>法规</w:t>
      </w:r>
      <w:r>
        <w:rPr>
          <w:rFonts w:hint="eastAsia" w:asciiTheme="majorEastAsia" w:hAnsiTheme="majorEastAsia" w:eastAsiaTheme="majorEastAsia"/>
          <w:sz w:val="24"/>
          <w:lang w:eastAsia="zh-CN"/>
        </w:rPr>
        <w:t>及</w:t>
      </w:r>
      <w:r>
        <w:rPr>
          <w:rFonts w:hint="eastAsia" w:asciiTheme="majorEastAsia" w:hAnsiTheme="majorEastAsia" w:eastAsiaTheme="majorEastAsia"/>
          <w:sz w:val="24"/>
        </w:rPr>
        <w:t>评估准则，</w:t>
      </w:r>
      <w:r>
        <w:rPr>
          <w:rFonts w:hint="eastAsia" w:asciiTheme="majorEastAsia" w:hAnsiTheme="majorEastAsia" w:eastAsiaTheme="majorEastAsia"/>
          <w:sz w:val="24"/>
          <w:lang w:eastAsia="zh-CN"/>
        </w:rPr>
        <w:t>坚持</w:t>
      </w:r>
      <w:r>
        <w:rPr>
          <w:rFonts w:hint="eastAsia" w:asciiTheme="majorEastAsia" w:hAnsiTheme="majorEastAsia" w:eastAsiaTheme="majorEastAsia"/>
          <w:sz w:val="24"/>
        </w:rPr>
        <w:t>“独立、客观、公正”的评估原则，</w:t>
      </w:r>
      <w:r>
        <w:rPr>
          <w:rFonts w:hint="eastAsia" w:asciiTheme="majorEastAsia" w:hAnsiTheme="majorEastAsia" w:eastAsiaTheme="majorEastAsia"/>
          <w:sz w:val="24"/>
          <w:lang w:eastAsia="zh-CN"/>
        </w:rPr>
        <w:t>履行必要的评估程序，</w:t>
      </w:r>
      <w:r>
        <w:rPr>
          <w:rFonts w:hint="eastAsia" w:asciiTheme="majorEastAsia" w:hAnsiTheme="majorEastAsia" w:eastAsiaTheme="majorEastAsia"/>
          <w:sz w:val="24"/>
        </w:rPr>
        <w:t>按照公认的资产评估方法，对</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委托</w:t>
      </w:r>
      <w:r>
        <w:rPr>
          <w:rFonts w:hint="eastAsia" w:asciiTheme="majorEastAsia" w:hAnsiTheme="majorEastAsia" w:eastAsiaTheme="majorEastAsia"/>
          <w:sz w:val="24"/>
          <w:lang w:eastAsia="zh-CN"/>
        </w:rPr>
        <w:t>拟司法执行财产处置</w:t>
      </w:r>
      <w:r>
        <w:rPr>
          <w:rFonts w:hint="eastAsia" w:asciiTheme="majorEastAsia" w:hAnsiTheme="majorEastAsia" w:eastAsiaTheme="majorEastAsia"/>
          <w:sz w:val="24"/>
        </w:rPr>
        <w:t>涉及</w:t>
      </w:r>
      <w:r>
        <w:rPr>
          <w:rFonts w:hint="eastAsia" w:asciiTheme="majorEastAsia" w:hAnsiTheme="majorEastAsia" w:eastAsiaTheme="majorEastAsia"/>
          <w:sz w:val="24"/>
          <w:lang w:eastAsia="zh-CN"/>
        </w:rPr>
        <w:t>刘斌（东丰县横道河城市开发建设有限公司）的位于东辽县建安镇小街嘉兴花园小区内的房屋资产（住宅房屋，共</w:t>
      </w:r>
      <w:r>
        <w:rPr>
          <w:rFonts w:hint="eastAsia" w:asciiTheme="majorEastAsia" w:hAnsiTheme="majorEastAsia" w:eastAsiaTheme="majorEastAsia"/>
          <w:sz w:val="24"/>
          <w:lang w:val="en-US" w:eastAsia="zh-CN"/>
        </w:rPr>
        <w:t>60套，建筑面积共3,550.24</w:t>
      </w:r>
      <w:r>
        <w:rPr>
          <w:rFonts w:hint="eastAsia" w:ascii="宋体" w:hAnsi="宋体" w:eastAsia="宋体" w:cs="宋体"/>
          <w:sz w:val="24"/>
          <w:lang w:val="en-US" w:eastAsia="zh-CN"/>
        </w:rPr>
        <w:t>㎡</w:t>
      </w:r>
      <w:r>
        <w:rPr>
          <w:rFonts w:hint="eastAsia" w:ascii="宋体" w:hAnsi="宋体" w:cs="宋体"/>
          <w:sz w:val="24"/>
          <w:lang w:val="en-US" w:eastAsia="zh-CN"/>
        </w:rPr>
        <w:t>；营业用房，共2套，建筑面积共94.25</w:t>
      </w:r>
      <w:r>
        <w:rPr>
          <w:rFonts w:hint="eastAsia" w:ascii="宋体" w:hAnsi="宋体" w:eastAsia="宋体" w:cs="宋体"/>
          <w:sz w:val="24"/>
          <w:lang w:val="en-US" w:eastAsia="zh-CN"/>
        </w:rPr>
        <w:t>㎡</w:t>
      </w:r>
      <w:r>
        <w:rPr>
          <w:rFonts w:hint="eastAsia" w:asciiTheme="majorEastAsia" w:hAnsiTheme="majorEastAsia" w:eastAsiaTheme="majorEastAsia"/>
          <w:sz w:val="24"/>
          <w:lang w:val="en-US" w:eastAsia="zh-CN"/>
        </w:rPr>
        <w:t>），</w:t>
      </w:r>
      <w:r>
        <w:rPr>
          <w:rFonts w:hint="eastAsia" w:asciiTheme="majorEastAsia" w:hAnsiTheme="majorEastAsia" w:eastAsiaTheme="majorEastAsia"/>
          <w:sz w:val="24"/>
        </w:rPr>
        <w:t>在评估基准日</w:t>
      </w:r>
      <w:r>
        <w:rPr>
          <w:rFonts w:hint="eastAsia" w:asciiTheme="majorEastAsia" w:hAnsiTheme="majorEastAsia" w:eastAsiaTheme="majorEastAsia"/>
          <w:sz w:val="24"/>
          <w:lang w:eastAsia="zh-CN"/>
        </w:rPr>
        <w:t>二〇二二年二月二十五日</w:t>
      </w:r>
      <w:r>
        <w:rPr>
          <w:rFonts w:hint="eastAsia" w:asciiTheme="majorEastAsia" w:hAnsiTheme="majorEastAsia" w:eastAsiaTheme="majorEastAsia"/>
          <w:sz w:val="24"/>
        </w:rPr>
        <w:t>的市场价值进行了评估。现将资产评估结果报告如下：</w:t>
      </w:r>
    </w:p>
    <w:p>
      <w:pPr>
        <w:spacing w:line="44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一、委托人、产权持有人和委托人以外的评估报告使用人</w:t>
      </w:r>
    </w:p>
    <w:p>
      <w:pPr>
        <w:spacing w:line="44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（一）委托人：</w:t>
      </w: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w:t>
      </w:r>
    </w:p>
    <w:p>
      <w:pPr>
        <w:numPr>
          <w:ilvl w:val="0"/>
          <w:numId w:val="2"/>
        </w:numPr>
        <w:spacing w:line="44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产权持有人：</w:t>
      </w:r>
      <w:r>
        <w:rPr>
          <w:rFonts w:hint="eastAsia" w:asciiTheme="majorEastAsia" w:hAnsiTheme="majorEastAsia" w:eastAsiaTheme="majorEastAsia"/>
          <w:sz w:val="24"/>
          <w:lang w:eastAsia="zh-CN"/>
        </w:rPr>
        <w:t>刘斌（东丰县横道河城市开发建设有限公司）</w:t>
      </w:r>
    </w:p>
    <w:p>
      <w:pPr>
        <w:spacing w:line="440" w:lineRule="exact"/>
        <w:jc w:val="left"/>
        <w:rPr>
          <w:rFonts w:asciiTheme="majorEastAsia" w:hAnsiTheme="majorEastAsia" w:eastAsiaTheme="majorEastAsia"/>
          <w:sz w:val="24"/>
        </w:rPr>
      </w:pPr>
      <w:r>
        <w:rPr>
          <w:rFonts w:hint="eastAsia" w:asciiTheme="majorEastAsia" w:hAnsiTheme="majorEastAsia" w:eastAsiaTheme="majorEastAsia"/>
          <w:sz w:val="24"/>
        </w:rPr>
        <w:t xml:space="preserve">    （三）委托人以外的评估报告使用人</w:t>
      </w:r>
    </w:p>
    <w:p>
      <w:pPr>
        <w:spacing w:line="440" w:lineRule="exact"/>
        <w:ind w:firstLine="1200" w:firstLineChars="500"/>
        <w:jc w:val="left"/>
        <w:rPr>
          <w:rFonts w:asciiTheme="majorEastAsia" w:hAnsiTheme="majorEastAsia" w:eastAsiaTheme="majorEastAsia"/>
          <w:sz w:val="24"/>
        </w:rPr>
      </w:pPr>
      <w:r>
        <w:rPr>
          <w:rFonts w:hint="eastAsia" w:asciiTheme="majorEastAsia" w:hAnsiTheme="majorEastAsia" w:eastAsiaTheme="majorEastAsia"/>
          <w:sz w:val="24"/>
        </w:rPr>
        <w:t>案件当事人及法律法规规定的报告使用人</w:t>
      </w:r>
    </w:p>
    <w:p>
      <w:pPr>
        <w:keepNext w:val="0"/>
        <w:keepLines w:val="0"/>
        <w:pageBreakBefore w:val="0"/>
        <w:widowControl w:val="0"/>
        <w:kinsoku/>
        <w:wordWrap/>
        <w:overflowPunct/>
        <w:topLinePunct w:val="0"/>
        <w:autoSpaceDE/>
        <w:autoSpaceDN/>
        <w:bidi w:val="0"/>
        <w:adjustRightInd/>
        <w:spacing w:line="390" w:lineRule="exact"/>
        <w:ind w:firstLine="422" w:firstLineChars="175"/>
        <w:textAlignment w:val="auto"/>
        <w:rPr>
          <w:rFonts w:asciiTheme="majorEastAsia" w:hAnsiTheme="majorEastAsia" w:eastAsiaTheme="majorEastAsia"/>
          <w:spacing w:val="-4"/>
          <w:sz w:val="24"/>
        </w:rPr>
      </w:pPr>
      <w:r>
        <w:rPr>
          <w:rFonts w:hint="eastAsia" w:asciiTheme="majorEastAsia" w:hAnsiTheme="majorEastAsia" w:eastAsiaTheme="majorEastAsia"/>
          <w:b/>
          <w:sz w:val="24"/>
        </w:rPr>
        <w:t>二、评估目的：</w:t>
      </w:r>
      <w:bookmarkStart w:id="9" w:name="OLE_LINK5"/>
      <w:r>
        <w:rPr>
          <w:rFonts w:hint="eastAsia" w:asciiTheme="majorEastAsia" w:hAnsiTheme="majorEastAsia" w:eastAsiaTheme="majorEastAsia"/>
          <w:sz w:val="24"/>
        </w:rPr>
        <w:t>为</w:t>
      </w:r>
      <w:r>
        <w:rPr>
          <w:rFonts w:hint="eastAsia" w:asciiTheme="majorEastAsia" w:hAnsiTheme="majorEastAsia" w:eastAsiaTheme="majorEastAsia"/>
          <w:sz w:val="24"/>
          <w:lang w:eastAsia="zh-CN"/>
        </w:rPr>
        <w:t>辽源市龙山区人民法院司法辅助办公室拟司法执行财产处置</w:t>
      </w:r>
      <w:r>
        <w:rPr>
          <w:rFonts w:hint="eastAsia" w:asciiTheme="majorEastAsia" w:hAnsiTheme="majorEastAsia" w:eastAsiaTheme="majorEastAsia"/>
          <w:sz w:val="24"/>
        </w:rPr>
        <w:t>涉及的</w:t>
      </w:r>
      <w:r>
        <w:rPr>
          <w:rFonts w:hint="eastAsia" w:asciiTheme="majorEastAsia" w:hAnsiTheme="majorEastAsia" w:eastAsiaTheme="majorEastAsia"/>
          <w:sz w:val="24"/>
          <w:lang w:eastAsia="zh-CN"/>
        </w:rPr>
        <w:t>刘斌（东丰县横道河城市开发建设有限公司）的房屋资产</w:t>
      </w:r>
      <w:r>
        <w:rPr>
          <w:rFonts w:hint="eastAsia" w:asciiTheme="majorEastAsia" w:hAnsiTheme="majorEastAsia" w:eastAsiaTheme="majorEastAsia"/>
          <w:sz w:val="24"/>
        </w:rPr>
        <w:t>价值提供参考</w:t>
      </w:r>
      <w:bookmarkEnd w:id="9"/>
      <w:r>
        <w:rPr>
          <w:rFonts w:hint="eastAsia" w:asciiTheme="majorEastAsia" w:hAnsiTheme="majorEastAsia" w:eastAsiaTheme="majorEastAsia"/>
          <w:sz w:val="24"/>
        </w:rPr>
        <w:t>意见</w:t>
      </w:r>
      <w:r>
        <w:rPr>
          <w:rFonts w:hint="eastAsia" w:asciiTheme="majorEastAsia" w:hAnsiTheme="majorEastAsia" w:eastAsiaTheme="majorEastAsia"/>
          <w:sz w:val="24"/>
          <w:lang w:eastAsia="zh-CN"/>
        </w:rPr>
        <w:t>。</w:t>
      </w:r>
    </w:p>
    <w:p>
      <w:pPr>
        <w:keepNext w:val="0"/>
        <w:keepLines w:val="0"/>
        <w:pageBreakBefore w:val="0"/>
        <w:widowControl w:val="0"/>
        <w:kinsoku/>
        <w:wordWrap/>
        <w:overflowPunct/>
        <w:topLinePunct w:val="0"/>
        <w:autoSpaceDE/>
        <w:autoSpaceDN/>
        <w:bidi w:val="0"/>
        <w:adjustRightInd/>
        <w:spacing w:line="390" w:lineRule="exact"/>
        <w:ind w:firstLine="422" w:firstLineChars="175"/>
        <w:textAlignment w:val="auto"/>
        <w:rPr>
          <w:rFonts w:hint="eastAsia" w:cs="Times New Roman" w:asciiTheme="majorEastAsia" w:hAnsiTheme="majorEastAsia" w:eastAsiaTheme="majorEastAsia"/>
          <w:b/>
          <w:sz w:val="24"/>
        </w:rPr>
      </w:pPr>
      <w:r>
        <w:rPr>
          <w:rFonts w:hint="eastAsia" w:cs="Times New Roman" w:asciiTheme="majorEastAsia" w:hAnsiTheme="majorEastAsia" w:eastAsiaTheme="majorEastAsia"/>
          <w:b/>
          <w:sz w:val="24"/>
        </w:rPr>
        <w:t>三、评估对象和评估范围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175"/>
        <w:textAlignment w:val="auto"/>
        <w:rPr>
          <w:rFonts w:hint="eastAsia" w:asciiTheme="majorEastAsia" w:hAnsiTheme="majorEastAsia" w:eastAsiaTheme="majorEastAsia"/>
          <w:sz w:val="24"/>
        </w:rPr>
      </w:pPr>
      <w:r>
        <w:rPr>
          <w:rFonts w:hint="eastAsia" w:asciiTheme="majorEastAsia" w:hAnsiTheme="majorEastAsia" w:eastAsiaTheme="majorEastAsia"/>
          <w:sz w:val="24"/>
        </w:rPr>
        <w:t>根据《司法鉴定委托书》（案号（2022）吉0402委评28号）和相关当事人的指认，评估对象为委托人拟司法执行财产处置涉及的刘斌</w:t>
      </w:r>
      <w:r>
        <w:rPr>
          <w:rFonts w:hint="eastAsia" w:asciiTheme="majorEastAsia" w:hAnsiTheme="majorEastAsia" w:eastAsiaTheme="majorEastAsia"/>
          <w:sz w:val="24"/>
          <w:lang w:eastAsia="zh-CN"/>
        </w:rPr>
        <w:t>（东丰县横道河城市开发建设有限公司）</w:t>
      </w:r>
      <w:r>
        <w:rPr>
          <w:rFonts w:hint="eastAsia" w:asciiTheme="majorEastAsia" w:hAnsiTheme="majorEastAsia" w:eastAsiaTheme="majorEastAsia"/>
          <w:sz w:val="24"/>
        </w:rPr>
        <w:t>的房屋资产在评估基准日的市场价值。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175"/>
        <w:textAlignment w:val="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rPr>
        <w:t>评估范围：委托人申报的位于东辽县建安镇小街嘉兴花园小区内的资产，住宅房屋，共60套，建筑面积共3,550.24㎡；营业用房，共2套，建筑面积共94.25㎡</w:t>
      </w:r>
      <w:r>
        <w:rPr>
          <w:rFonts w:hint="eastAsia" w:asciiTheme="majorEastAsia" w:hAnsiTheme="majorEastAsia" w:eastAsiaTheme="majorEastAsia"/>
          <w:sz w:val="24"/>
          <w:lang w:eastAsia="zh-CN"/>
        </w:rPr>
        <w:t>，具体明细详见评估明细表。</w:t>
      </w:r>
    </w:p>
    <w:p>
      <w:pPr>
        <w:spacing w:line="46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本次评估对象及纳入评估范围的资产与经济行为涉及的评估对象和资产范围一致。</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四、价值类型及其定义</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资产评估的价值类型是建立在与之相匹配的条件和基础之上的，执行资产评估业务，选择和使用价值类型，应充分考虑评估目的、市场条件和评估对象自身条件等因素。本次资产评估业务影响评估对象价值的因素均无特殊要求，因而选用市场价值作为本次评估结论的价值类型。</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市场价值是指自愿买方和自愿卖方在各自理性行事且未受任何强迫的情况下，评估对象在评估基准日进行正常公平交易的价值估计数额。但不考虑</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抵押、查封等因素对价值的影响。不考虑</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抵押、查封等因素对价值的影响，是指估价结果不扣除</w:t>
      </w:r>
      <w:r>
        <w:rPr>
          <w:rFonts w:hint="eastAsia" w:asciiTheme="majorEastAsia" w:hAnsiTheme="majorEastAsia" w:eastAsiaTheme="majorEastAsia"/>
          <w:sz w:val="24"/>
          <w:lang w:eastAsia="zh-CN"/>
        </w:rPr>
        <w:t>评估对象</w:t>
      </w:r>
      <w:r>
        <w:rPr>
          <w:rFonts w:hint="eastAsia" w:asciiTheme="majorEastAsia" w:hAnsiTheme="majorEastAsia" w:eastAsiaTheme="majorEastAsia"/>
          <w:sz w:val="24"/>
        </w:rPr>
        <w:t>已抵押担保的债权数额，或拖欠的建设工程价款等法定优先受偿款。</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本报告所称“评估价值”,是指所约定的评估范围与对象在本报告约定的价值类型、评估假设和前提条件下,按照本报告所述程序和方法, 仅为本报告约定评估目的服务而提出的评估意见。需要说明的是,同一资产在不同市场的价值可能存在差异，本次评估基于国内可观察或分析的市场条件和市场环境状况。</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五、评估基准日期</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（一）本项目评估基准日为</w:t>
      </w:r>
      <w:r>
        <w:rPr>
          <w:rFonts w:hint="eastAsia" w:asciiTheme="majorEastAsia" w:hAnsiTheme="majorEastAsia" w:eastAsiaTheme="majorEastAsia"/>
          <w:sz w:val="24"/>
          <w:lang w:eastAsia="zh-CN"/>
        </w:rPr>
        <w:t>2022年2月2</w:t>
      </w: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lang w:eastAsia="zh-CN"/>
        </w:rPr>
        <w:t>日</w:t>
      </w:r>
      <w:r>
        <w:rPr>
          <w:rFonts w:hint="eastAsia" w:asciiTheme="majorEastAsia" w:hAnsiTheme="majorEastAsia" w:eastAsiaTheme="majorEastAsia"/>
          <w:color w:val="000000"/>
          <w:sz w:val="24"/>
        </w:rPr>
        <w:t>。</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（二）按照评估基准日尽可能与资产评估对应的经济行为实现日接近的原则，由委托人确定评估基准日。</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（三）本次资产评估的工作中，评估范围的界定、评估参数的选取、评估价值的确定等，均以评估基准日的外部经济环境以及市场情况确定。</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color w:val="000000"/>
          <w:sz w:val="24"/>
        </w:rPr>
        <w:t>本报告书中一切取价标准均为评估基准日有效的价格标准。</w:t>
      </w:r>
    </w:p>
    <w:p>
      <w:pPr>
        <w:spacing w:line="46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六、评估依据</w:t>
      </w:r>
    </w:p>
    <w:p>
      <w:pPr>
        <w:tabs>
          <w:tab w:val="left" w:pos="8080"/>
        </w:tabs>
        <w:spacing w:line="360" w:lineRule="auto"/>
        <w:ind w:firstLine="361" w:firstLineChars="150"/>
        <w:textAlignment w:val="top"/>
        <w:rPr>
          <w:rFonts w:asciiTheme="majorEastAsia" w:hAnsiTheme="majorEastAsia" w:eastAsiaTheme="majorEastAsia"/>
          <w:b/>
          <w:bCs/>
          <w:sz w:val="24"/>
        </w:rPr>
      </w:pPr>
      <w:r>
        <w:rPr>
          <w:rFonts w:hint="eastAsia" w:asciiTheme="majorEastAsia" w:hAnsiTheme="majorEastAsia" w:eastAsiaTheme="majorEastAsia"/>
          <w:b/>
          <w:bCs/>
          <w:sz w:val="24"/>
        </w:rPr>
        <w:t>（一）行为依据</w:t>
      </w:r>
    </w:p>
    <w:p>
      <w:pPr>
        <w:snapToGrid w:val="0"/>
        <w:spacing w:line="360" w:lineRule="auto"/>
        <w:ind w:firstLine="480" w:firstLineChars="200"/>
        <w:textAlignment w:val="top"/>
        <w:rPr>
          <w:rFonts w:hint="eastAsia" w:asciiTheme="majorEastAsia" w:hAnsiTheme="majorEastAsia" w:eastAsiaTheme="majorEastAsia"/>
          <w:sz w:val="24"/>
          <w:lang w:eastAsia="zh-CN"/>
        </w:rPr>
      </w:pPr>
      <w:r>
        <w:rPr>
          <w:rFonts w:asciiTheme="majorEastAsia" w:hAnsiTheme="majorEastAsia" w:eastAsiaTheme="majorEastAsia"/>
          <w:sz w:val="24"/>
        </w:rPr>
        <w:t>1</w:t>
      </w:r>
      <w:r>
        <w:rPr>
          <w:rFonts w:hint="eastAsia" w:asciiTheme="majorEastAsia" w:hAnsiTheme="majorEastAsia" w:eastAsiaTheme="majorEastAsia"/>
          <w:sz w:val="24"/>
          <w:lang w:val="en-US" w:eastAsia="zh-CN"/>
        </w:rPr>
        <w:t>辽源市龙山区人民法院司法辅助办公室《司法鉴定委托书》（2022）吉0402委评28号</w:t>
      </w:r>
      <w:r>
        <w:rPr>
          <w:rFonts w:hint="eastAsia" w:asciiTheme="majorEastAsia" w:hAnsiTheme="majorEastAsia" w:eastAsiaTheme="majorEastAsia"/>
          <w:sz w:val="24"/>
          <w:lang w:eastAsia="zh-CN"/>
        </w:rPr>
        <w:t>；</w:t>
      </w:r>
    </w:p>
    <w:p>
      <w:pPr>
        <w:snapToGrid w:val="0"/>
        <w:spacing w:line="360" w:lineRule="auto"/>
        <w:ind w:firstLine="480" w:firstLineChars="200"/>
        <w:textAlignment w:val="top"/>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2.辽源市龙山区人民法院对外委托案件移送表。</w:t>
      </w:r>
    </w:p>
    <w:p>
      <w:pPr>
        <w:snapToGrid w:val="0"/>
        <w:spacing w:line="360" w:lineRule="auto"/>
        <w:ind w:firstLine="482" w:firstLineChars="200"/>
        <w:textAlignment w:val="top"/>
        <w:rPr>
          <w:rFonts w:asciiTheme="majorEastAsia" w:hAnsiTheme="majorEastAsia" w:eastAsiaTheme="majorEastAsia"/>
          <w:b/>
          <w:bCs/>
          <w:sz w:val="24"/>
        </w:rPr>
      </w:pPr>
      <w:r>
        <w:rPr>
          <w:rFonts w:hint="eastAsia" w:asciiTheme="majorEastAsia" w:hAnsiTheme="majorEastAsia" w:eastAsiaTheme="majorEastAsia"/>
          <w:b/>
          <w:bCs/>
          <w:sz w:val="24"/>
        </w:rPr>
        <w:t>（二）法律、法规等依据</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《中华人民共和国民法典》（2021年1月1日起实施）；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2.《中华人民共和国资产评估法》</w:t>
      </w:r>
      <w:r>
        <w:rPr>
          <w:rFonts w:hint="eastAsia" w:asciiTheme="majorEastAsia" w:hAnsiTheme="majorEastAsia" w:eastAsiaTheme="majorEastAsia"/>
          <w:sz w:val="24"/>
          <w:lang w:val="zh-CN"/>
        </w:rPr>
        <w:t>（</w:t>
      </w:r>
      <w:r>
        <w:rPr>
          <w:rFonts w:asciiTheme="majorEastAsia" w:hAnsiTheme="majorEastAsia" w:eastAsiaTheme="majorEastAsia"/>
          <w:sz w:val="24"/>
          <w:lang w:val="zh-CN"/>
        </w:rPr>
        <w:t>2016</w:t>
      </w:r>
      <w:r>
        <w:rPr>
          <w:rFonts w:hint="eastAsia" w:asciiTheme="majorEastAsia" w:hAnsiTheme="majorEastAsia" w:eastAsiaTheme="majorEastAsia"/>
          <w:sz w:val="24"/>
          <w:lang w:val="zh-CN"/>
        </w:rPr>
        <w:t>年</w:t>
      </w:r>
      <w:r>
        <w:rPr>
          <w:rFonts w:asciiTheme="majorEastAsia" w:hAnsiTheme="majorEastAsia" w:eastAsiaTheme="majorEastAsia"/>
          <w:sz w:val="24"/>
          <w:lang w:val="zh-CN"/>
        </w:rPr>
        <w:t>7</w:t>
      </w:r>
      <w:r>
        <w:rPr>
          <w:rFonts w:hint="eastAsia" w:asciiTheme="majorEastAsia" w:hAnsiTheme="majorEastAsia" w:eastAsiaTheme="majorEastAsia"/>
          <w:sz w:val="24"/>
          <w:lang w:val="zh-CN"/>
        </w:rPr>
        <w:t>月</w:t>
      </w:r>
      <w:r>
        <w:rPr>
          <w:rFonts w:asciiTheme="majorEastAsia" w:hAnsiTheme="majorEastAsia" w:eastAsiaTheme="majorEastAsia"/>
          <w:sz w:val="24"/>
          <w:lang w:val="zh-CN"/>
        </w:rPr>
        <w:t>2</w:t>
      </w:r>
      <w:r>
        <w:rPr>
          <w:rFonts w:hint="eastAsia" w:asciiTheme="majorEastAsia" w:hAnsiTheme="majorEastAsia" w:eastAsiaTheme="majorEastAsia"/>
          <w:sz w:val="24"/>
          <w:lang w:val="zh-CN"/>
        </w:rPr>
        <w:t>日中华人民共和国主席令第46号）</w:t>
      </w:r>
      <w:r>
        <w:rPr>
          <w:rFonts w:hint="eastAsia" w:asciiTheme="majorEastAsia" w:hAnsiTheme="majorEastAsia" w:eastAsiaTheme="majorEastAsia"/>
          <w:sz w:val="24"/>
        </w:rPr>
        <w:t>；</w:t>
      </w:r>
    </w:p>
    <w:p>
      <w:pPr>
        <w:pStyle w:val="4"/>
        <w:tabs>
          <w:tab w:val="left" w:pos="0"/>
        </w:tabs>
        <w:snapToGrid w:val="0"/>
        <w:ind w:firstLine="480" w:firstLineChars="200"/>
        <w:rPr>
          <w:rFonts w:hint="eastAsia" w:cs="Arial" w:asciiTheme="majorEastAsia" w:hAnsiTheme="majorEastAsia" w:eastAsiaTheme="majorEastAsia"/>
          <w:lang w:eastAsia="zh-CN"/>
        </w:rPr>
      </w:pPr>
      <w:r>
        <w:rPr>
          <w:rFonts w:hint="eastAsia" w:asciiTheme="majorEastAsia" w:hAnsiTheme="majorEastAsia" w:eastAsiaTheme="majorEastAsia"/>
        </w:rPr>
        <w:t>3</w:t>
      </w:r>
      <w:r>
        <w:rPr>
          <w:rFonts w:asciiTheme="majorEastAsia" w:hAnsiTheme="majorEastAsia" w:eastAsiaTheme="majorEastAsia"/>
        </w:rPr>
        <w:t>.</w:t>
      </w:r>
      <w:r>
        <w:rPr>
          <w:rFonts w:hint="eastAsia" w:asciiTheme="majorEastAsia" w:hAnsiTheme="majorEastAsia" w:eastAsiaTheme="majorEastAsia"/>
        </w:rPr>
        <w:t>《中华人民共和国城市房地产管理法》(中华人民共和国主席令第72号，2019年8月26日修正版)</w:t>
      </w:r>
      <w:r>
        <w:rPr>
          <w:rFonts w:hint="eastAsia" w:asciiTheme="majorEastAsia" w:hAnsiTheme="majorEastAsia" w:eastAsiaTheme="majorEastAsia"/>
          <w:lang w:eastAsia="zh-CN"/>
        </w:rPr>
        <w:t>；</w:t>
      </w:r>
    </w:p>
    <w:p>
      <w:pPr>
        <w:pStyle w:val="4"/>
        <w:tabs>
          <w:tab w:val="left" w:pos="0"/>
          <w:tab w:val="left" w:pos="504"/>
        </w:tabs>
        <w:snapToGrid w:val="0"/>
        <w:ind w:firstLine="480" w:firstLineChars="200"/>
        <w:rPr>
          <w:rFonts w:cs="Arial" w:asciiTheme="majorEastAsia" w:hAnsiTheme="majorEastAsia" w:eastAsiaTheme="majorEastAsia"/>
        </w:rPr>
      </w:pPr>
      <w:r>
        <w:rPr>
          <w:rFonts w:hint="eastAsia" w:cs="Arial" w:asciiTheme="majorEastAsia" w:hAnsiTheme="majorEastAsia" w:eastAsiaTheme="majorEastAsia"/>
        </w:rPr>
        <w:t>4</w:t>
      </w:r>
      <w:r>
        <w:rPr>
          <w:rFonts w:cs="Arial" w:asciiTheme="majorEastAsia" w:hAnsiTheme="majorEastAsia" w:eastAsiaTheme="majorEastAsia"/>
        </w:rPr>
        <w:t>.</w:t>
      </w:r>
      <w:r>
        <w:rPr>
          <w:rFonts w:hint="eastAsia" w:cs="Arial" w:asciiTheme="majorEastAsia" w:hAnsiTheme="majorEastAsia" w:eastAsiaTheme="majorEastAsia"/>
        </w:rPr>
        <w:t>《全国人民代表大会常务委员会关于司法鉴定管理问题的决定》（根据2015年4月24日第十二届全国人民代表大会常务委员会第十四次会议《关于修改&lt;中华人民共和国义务教育法&gt;等五部法律的决定》修正）；</w:t>
      </w:r>
    </w:p>
    <w:p>
      <w:pPr>
        <w:pStyle w:val="5"/>
        <w:spacing w:line="360" w:lineRule="auto"/>
        <w:ind w:firstLine="480" w:firstLineChars="200"/>
        <w:rPr>
          <w:rFonts w:asciiTheme="majorEastAsia" w:hAnsiTheme="majorEastAsia" w:eastAsiaTheme="majorEastAsia"/>
          <w:sz w:val="24"/>
          <w:szCs w:val="24"/>
        </w:rPr>
      </w:pPr>
      <w:r>
        <w:rPr>
          <w:rFonts w:hint="eastAsia" w:cs="Arial" w:asciiTheme="majorEastAsia" w:hAnsiTheme="majorEastAsia" w:eastAsiaTheme="majorEastAsia"/>
          <w:sz w:val="24"/>
          <w:szCs w:val="24"/>
        </w:rPr>
        <w:t>5</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《最高人民法院对外委托鉴定、评估、拍卖等工作管理规定</w:t>
      </w:r>
      <w:r>
        <w:rPr>
          <w:rFonts w:hint="eastAsia" w:asciiTheme="majorEastAsia" w:hAnsiTheme="majorEastAsia" w:eastAsiaTheme="majorEastAsia"/>
          <w:sz w:val="24"/>
          <w:szCs w:val="24"/>
        </w:rPr>
        <w:t>》（法办发</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200</w:t>
      </w:r>
      <w:r>
        <w:rPr>
          <w:rFonts w:hint="eastAsia" w:cs="Arial" w:asciiTheme="majorEastAsia" w:hAnsiTheme="majorEastAsia" w:eastAsiaTheme="majorEastAsia"/>
          <w:sz w:val="24"/>
          <w:szCs w:val="24"/>
        </w:rPr>
        <w:t>7〕5号</w:t>
      </w:r>
      <w:r>
        <w:rPr>
          <w:rFonts w:hint="eastAsia" w:asciiTheme="majorEastAsia" w:hAnsiTheme="majorEastAsia" w:eastAsiaTheme="majorEastAsia"/>
          <w:sz w:val="24"/>
          <w:szCs w:val="24"/>
        </w:rPr>
        <w:t>；</w:t>
      </w:r>
    </w:p>
    <w:p>
      <w:pPr>
        <w:pStyle w:val="5"/>
        <w:spacing w:line="360" w:lineRule="auto"/>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6</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最高人民法院关于人民法院确定财产处置参考价若干问题的规定</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法释〔</w:t>
      </w:r>
      <w:r>
        <w:rPr>
          <w:rFonts w:cs="Arial" w:asciiTheme="majorEastAsia" w:hAnsiTheme="majorEastAsia" w:eastAsiaTheme="majorEastAsia"/>
          <w:sz w:val="24"/>
          <w:szCs w:val="24"/>
        </w:rPr>
        <w:t>2018</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15</w:t>
      </w:r>
      <w:r>
        <w:rPr>
          <w:rFonts w:hint="eastAsia" w:cs="Arial" w:asciiTheme="majorEastAsia" w:hAnsiTheme="majorEastAsia" w:eastAsiaTheme="majorEastAsia"/>
          <w:sz w:val="24"/>
          <w:szCs w:val="24"/>
        </w:rPr>
        <w:t>号</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w:t>
      </w:r>
    </w:p>
    <w:p>
      <w:pPr>
        <w:pStyle w:val="5"/>
        <w:spacing w:line="360" w:lineRule="auto"/>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7</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《人民法院委托评估工作规范》</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法办〔</w:t>
      </w:r>
      <w:r>
        <w:rPr>
          <w:rFonts w:cs="Arial" w:asciiTheme="majorEastAsia" w:hAnsiTheme="majorEastAsia" w:eastAsiaTheme="majorEastAsia"/>
          <w:sz w:val="24"/>
          <w:szCs w:val="24"/>
        </w:rPr>
        <w:t>2018</w:t>
      </w:r>
      <w:r>
        <w:rPr>
          <w:rFonts w:hint="eastAsia" w:cs="Arial" w:asciiTheme="majorEastAsia" w:hAnsiTheme="majorEastAsia" w:eastAsiaTheme="majorEastAsia"/>
          <w:sz w:val="24"/>
          <w:szCs w:val="24"/>
        </w:rPr>
        <w:t>〕</w:t>
      </w:r>
      <w:r>
        <w:rPr>
          <w:rFonts w:cs="Arial" w:asciiTheme="majorEastAsia" w:hAnsiTheme="majorEastAsia" w:eastAsiaTheme="majorEastAsia"/>
          <w:sz w:val="24"/>
          <w:szCs w:val="24"/>
        </w:rPr>
        <w:t>273</w:t>
      </w:r>
      <w:r>
        <w:rPr>
          <w:rFonts w:hint="eastAsia" w:cs="Arial" w:asciiTheme="majorEastAsia" w:hAnsiTheme="majorEastAsia" w:eastAsiaTheme="majorEastAsia"/>
          <w:sz w:val="24"/>
          <w:szCs w:val="24"/>
        </w:rPr>
        <w:t>号</w:t>
      </w:r>
      <w:r>
        <w:rPr>
          <w:rFonts w:cs="Arial" w:asciiTheme="majorEastAsia" w:hAnsiTheme="majorEastAsia" w:eastAsiaTheme="majorEastAsia"/>
          <w:sz w:val="24"/>
          <w:szCs w:val="24"/>
        </w:rPr>
        <w:t>)</w:t>
      </w:r>
      <w:r>
        <w:rPr>
          <w:rFonts w:hint="eastAsia" w:cs="Arial" w:asciiTheme="majorEastAsia" w:hAnsiTheme="majorEastAsia" w:eastAsiaTheme="majorEastAsia"/>
          <w:sz w:val="24"/>
          <w:szCs w:val="24"/>
        </w:rPr>
        <w:t>。</w:t>
      </w:r>
    </w:p>
    <w:p>
      <w:pPr>
        <w:pStyle w:val="2"/>
        <w:adjustRightInd/>
        <w:spacing w:before="0" w:after="0" w:line="360" w:lineRule="auto"/>
        <w:ind w:firstLineChars="175"/>
        <w:rPr>
          <w:rFonts w:asciiTheme="majorEastAsia" w:hAnsiTheme="majorEastAsia" w:eastAsiaTheme="majorEastAsia"/>
          <w:b/>
          <w:bCs/>
          <w:szCs w:val="24"/>
        </w:rPr>
      </w:pPr>
      <w:r>
        <w:rPr>
          <w:rFonts w:hint="eastAsia" w:asciiTheme="majorEastAsia" w:hAnsiTheme="majorEastAsia" w:eastAsiaTheme="majorEastAsia"/>
          <w:b/>
          <w:bCs/>
          <w:szCs w:val="24"/>
        </w:rPr>
        <w:t>（三）</w:t>
      </w:r>
      <w:bookmarkStart w:id="10" w:name="_Toc213846102"/>
      <w:r>
        <w:rPr>
          <w:rFonts w:hint="eastAsia" w:asciiTheme="majorEastAsia" w:hAnsiTheme="majorEastAsia" w:eastAsiaTheme="majorEastAsia"/>
          <w:b/>
          <w:bCs/>
          <w:szCs w:val="24"/>
        </w:rPr>
        <w:t>准则依据</w:t>
      </w:r>
      <w:bookmarkEnd w:id="10"/>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《资产评估基本准则》（财资〔2017〕43号，2017年10月1日起实施）；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《资产评估职业道德准则》（中评协[2017]30号，2017年10月1日起实施）；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asciiTheme="majorEastAsia" w:hAnsiTheme="majorEastAsia" w:eastAsiaTheme="majorEastAsia"/>
          <w:sz w:val="24"/>
        </w:rPr>
        <w:t>3.</w:t>
      </w:r>
      <w:r>
        <w:rPr>
          <w:rFonts w:hint="eastAsia" w:asciiTheme="majorEastAsia" w:hAnsiTheme="majorEastAsia" w:eastAsiaTheme="majorEastAsia"/>
          <w:sz w:val="24"/>
        </w:rPr>
        <w:t>《资产评估执业准则——资产评估程序》（中评协[2018]36号，2019年1月1日起实施）；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《资产评估执业准则——资产评估报告》（中评协[2018]35号，2019年1月1日起实施）；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5</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《资产评估执业准则——资产评估委托合同》（中评协[2017]33号，2017年10月1日起实施）；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6.《资产评估执业准则——资产评估方法》（中评协[2019]35号，2021年3月1日起实施）；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7</w:t>
      </w:r>
      <w:r>
        <w:rPr>
          <w:rFonts w:asciiTheme="majorEastAsia" w:hAnsiTheme="majorEastAsia" w:eastAsiaTheme="majorEastAsia"/>
          <w:sz w:val="24"/>
        </w:rPr>
        <w:t>.</w:t>
      </w:r>
      <w:r>
        <w:rPr>
          <w:rFonts w:hint="eastAsia" w:asciiTheme="majorEastAsia" w:hAnsiTheme="majorEastAsia" w:eastAsiaTheme="majorEastAsia"/>
          <w:sz w:val="24"/>
        </w:rPr>
        <w:t>《资产评估执业准则——资产评估档案》（中评协[2018]37号，2019年1月1日起实施）；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8.《资产评估执业准则——不动产》（中评协[2017]38号，2017年10月1日起实施）；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9</w:t>
      </w:r>
      <w:r>
        <w:rPr>
          <w:rFonts w:asciiTheme="majorEastAsia" w:hAnsiTheme="majorEastAsia" w:eastAsiaTheme="majorEastAsia"/>
          <w:sz w:val="24"/>
        </w:rPr>
        <w:t>.</w:t>
      </w:r>
      <w:r>
        <w:rPr>
          <w:rFonts w:hint="eastAsia" w:cs="Times New Roman" w:asciiTheme="majorEastAsia" w:hAnsiTheme="majorEastAsia" w:eastAsiaTheme="majorEastAsia"/>
          <w:sz w:val="24"/>
        </w:rPr>
        <w:t>《资产评估机构业务质量控制指南》（中评协[2017]46号，2017年10月1日起实施）</w:t>
      </w:r>
      <w:r>
        <w:rPr>
          <w:rFonts w:hint="eastAsia" w:asciiTheme="majorEastAsia" w:hAnsiTheme="majorEastAsia" w:eastAsiaTheme="majorEastAsia"/>
          <w:sz w:val="24"/>
        </w:rPr>
        <w:t>；</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0</w:t>
      </w:r>
      <w:r>
        <w:rPr>
          <w:rFonts w:asciiTheme="majorEastAsia" w:hAnsiTheme="majorEastAsia" w:eastAsiaTheme="majorEastAsia"/>
          <w:sz w:val="24"/>
        </w:rPr>
        <w:t>.</w:t>
      </w:r>
      <w:r>
        <w:rPr>
          <w:rFonts w:hint="eastAsia" w:asciiTheme="majorEastAsia" w:hAnsiTheme="majorEastAsia" w:eastAsiaTheme="majorEastAsia"/>
          <w:sz w:val="24"/>
        </w:rPr>
        <w:t>《资产评估价值类型指导意见》（中评协[2017]47号，2017年10月1日起</w:t>
      </w:r>
    </w:p>
    <w:p>
      <w:pPr>
        <w:snapToGrid w:val="0"/>
        <w:spacing w:line="360" w:lineRule="auto"/>
        <w:textAlignment w:val="top"/>
        <w:rPr>
          <w:rFonts w:asciiTheme="majorEastAsia" w:hAnsiTheme="majorEastAsia" w:eastAsiaTheme="majorEastAsia"/>
          <w:sz w:val="24"/>
        </w:rPr>
      </w:pPr>
      <w:r>
        <w:rPr>
          <w:rFonts w:hint="eastAsia" w:asciiTheme="majorEastAsia" w:hAnsiTheme="majorEastAsia" w:eastAsiaTheme="majorEastAsia"/>
          <w:sz w:val="24"/>
        </w:rPr>
        <w:t>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.《资产评估对象法律权属指导意见》（中评协[2017]48号，2017年10月1日起实施）；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rPr>
        <w:t>.《人民法院委托司法执行财产处置资产评估指导意见》（中评协〔2019〕14号，2019年7月1日起实施）；</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3</w:t>
      </w:r>
      <w:r>
        <w:rPr>
          <w:rFonts w:hint="eastAsia" w:asciiTheme="majorEastAsia" w:hAnsiTheme="majorEastAsia" w:eastAsiaTheme="majorEastAsia"/>
          <w:sz w:val="24"/>
        </w:rPr>
        <w:t>.《资产评估专家指引第7号—中小评估机构业务质量控制》（中评协〔2015〕68号，2015年7月22日）；</w:t>
      </w:r>
    </w:p>
    <w:p>
      <w:pPr>
        <w:snapToGrid w:val="0"/>
        <w:spacing w:line="360" w:lineRule="auto"/>
        <w:ind w:firstLine="480" w:firstLineChars="200"/>
        <w:textAlignment w:val="top"/>
        <w:rPr>
          <w:rFonts w:hint="eastAsia" w:asciiTheme="majorEastAsia" w:hAnsiTheme="majorEastAsia" w:eastAsiaTheme="majorEastAsia"/>
          <w:sz w:val="24"/>
          <w:lang w:eastAsia="zh-CN"/>
        </w:rPr>
      </w:pP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.《资产评估专家指引第8号—资产评估中的核查验证》（证中评协〔2019〕39号，2019年12月31日）</w:t>
      </w:r>
      <w:r>
        <w:rPr>
          <w:rFonts w:hint="eastAsia" w:asciiTheme="majorEastAsia" w:hAnsiTheme="majorEastAsia" w:eastAsiaTheme="majorEastAsia"/>
          <w:sz w:val="24"/>
          <w:lang w:eastAsia="zh-CN"/>
        </w:rPr>
        <w:t>；</w:t>
      </w:r>
    </w:p>
    <w:p>
      <w:pPr>
        <w:snapToGrid w:val="0"/>
        <w:spacing w:line="360" w:lineRule="auto"/>
        <w:ind w:firstLine="480" w:firstLineChars="200"/>
        <w:textAlignment w:val="top"/>
        <w:rPr>
          <w:rFonts w:asciiTheme="majorEastAsia" w:hAnsiTheme="majorEastAsia" w:eastAsiaTheme="majorEastAsia"/>
          <w:sz w:val="24"/>
        </w:rPr>
      </w:pPr>
      <w:r>
        <w:rPr>
          <w:rFonts w:hint="eastAsia" w:asciiTheme="majorEastAsia" w:hAnsiTheme="majorEastAsia" w:eastAsiaTheme="majorEastAsia"/>
          <w:sz w:val="24"/>
          <w:lang w:val="en-US" w:eastAsia="zh-CN"/>
        </w:rPr>
        <w:t>15.</w:t>
      </w:r>
      <w:r>
        <w:rPr>
          <w:rFonts w:hint="eastAsia" w:asciiTheme="majorEastAsia" w:hAnsiTheme="majorEastAsia" w:eastAsiaTheme="majorEastAsia"/>
          <w:sz w:val="24"/>
        </w:rPr>
        <w:t>《资产评估专家指引第10号—在新冠肺炎疫情期间合理履行资产评估程序》（中评协〔2020〕6号，2020年3月11日）。</w:t>
      </w:r>
    </w:p>
    <w:p>
      <w:pPr>
        <w:spacing w:line="360" w:lineRule="auto"/>
        <w:ind w:firstLine="426" w:firstLineChars="177"/>
        <w:textAlignment w:val="top"/>
        <w:rPr>
          <w:rFonts w:asciiTheme="majorEastAsia" w:hAnsiTheme="majorEastAsia" w:eastAsiaTheme="majorEastAsia"/>
          <w:b/>
          <w:bCs/>
          <w:sz w:val="24"/>
        </w:rPr>
      </w:pPr>
      <w:r>
        <w:rPr>
          <w:rFonts w:hint="eastAsia" w:asciiTheme="majorEastAsia" w:hAnsiTheme="majorEastAsia" w:eastAsiaTheme="majorEastAsia"/>
          <w:b/>
          <w:bCs/>
          <w:sz w:val="24"/>
        </w:rPr>
        <w:t>（四）权属依据</w:t>
      </w:r>
    </w:p>
    <w:p>
      <w:pPr>
        <w:spacing w:line="360" w:lineRule="auto"/>
        <w:ind w:firstLine="480" w:firstLineChars="200"/>
        <w:textAlignment w:val="top"/>
        <w:rPr>
          <w:rFonts w:hint="eastAsia" w:asciiTheme="majorEastAsia" w:hAnsiTheme="majorEastAsia" w:eastAsiaTheme="majorEastAsia"/>
          <w:sz w:val="24"/>
          <w:lang w:eastAsia="zh-CN"/>
        </w:rPr>
      </w:pPr>
      <w:r>
        <w:rPr>
          <w:rFonts w:asciiTheme="majorEastAsia" w:hAnsiTheme="majorEastAsia" w:eastAsiaTheme="majorEastAsia"/>
          <w:sz w:val="24"/>
        </w:rPr>
        <w:t>1</w:t>
      </w:r>
      <w:r>
        <w:rPr>
          <w:rFonts w:hint="eastAsia" w:asciiTheme="majorEastAsia" w:hAnsiTheme="majorEastAsia" w:eastAsiaTheme="majorEastAsia"/>
          <w:sz w:val="24"/>
        </w:rPr>
        <w:t>.《辽源市龙山区人民法院执行裁定书》（2018）0402执475号、476号</w:t>
      </w:r>
      <w:r>
        <w:rPr>
          <w:rFonts w:hint="eastAsia" w:asciiTheme="majorEastAsia" w:hAnsiTheme="majorEastAsia" w:eastAsiaTheme="majorEastAsia"/>
          <w:sz w:val="24"/>
          <w:lang w:eastAsia="zh-CN"/>
        </w:rPr>
        <w:t>。</w:t>
      </w:r>
    </w:p>
    <w:p>
      <w:pPr>
        <w:spacing w:line="360" w:lineRule="auto"/>
        <w:ind w:firstLine="426" w:firstLineChars="177"/>
        <w:textAlignment w:val="top"/>
        <w:rPr>
          <w:rFonts w:asciiTheme="majorEastAsia" w:hAnsiTheme="majorEastAsia" w:eastAsiaTheme="majorEastAsia"/>
          <w:b/>
          <w:bCs/>
          <w:sz w:val="24"/>
        </w:rPr>
      </w:pPr>
      <w:r>
        <w:rPr>
          <w:rFonts w:hint="eastAsia" w:asciiTheme="majorEastAsia" w:hAnsiTheme="majorEastAsia" w:eastAsiaTheme="majorEastAsia"/>
          <w:b/>
          <w:bCs/>
          <w:sz w:val="24"/>
        </w:rPr>
        <w:t>（五）取价依据</w:t>
      </w:r>
    </w:p>
    <w:p>
      <w:pPr>
        <w:spacing w:line="360" w:lineRule="auto"/>
        <w:ind w:firstLine="480" w:firstLineChars="200"/>
        <w:textAlignment w:val="top"/>
        <w:rPr>
          <w:rFonts w:asciiTheme="majorEastAsia" w:hAnsiTheme="majorEastAsia" w:eastAsiaTheme="majorEastAsia"/>
          <w:color w:val="FF0000"/>
          <w:sz w:val="24"/>
        </w:rPr>
      </w:pPr>
      <w:r>
        <w:rPr>
          <w:rFonts w:hint="eastAsia" w:cs="仿宋_GB2312" w:asciiTheme="majorEastAsia" w:hAnsiTheme="majorEastAsia" w:eastAsiaTheme="majorEastAsia"/>
          <w:color w:val="000000"/>
          <w:sz w:val="24"/>
        </w:rPr>
        <w:t>1.</w:t>
      </w:r>
      <w:r>
        <w:rPr>
          <w:rFonts w:hint="eastAsia" w:cs="仿宋_GB2312" w:asciiTheme="majorEastAsia" w:hAnsiTheme="majorEastAsia" w:eastAsiaTheme="majorEastAsia"/>
          <w:color w:val="000000"/>
          <w:sz w:val="24"/>
          <w:lang w:eastAsia="zh-CN"/>
        </w:rPr>
        <w:t>评估专业人员</w:t>
      </w:r>
      <w:r>
        <w:rPr>
          <w:rFonts w:hint="eastAsia" w:cs="仿宋_GB2312" w:asciiTheme="majorEastAsia" w:hAnsiTheme="majorEastAsia" w:eastAsiaTheme="majorEastAsia"/>
          <w:color w:val="000000"/>
          <w:sz w:val="24"/>
        </w:rPr>
        <w:t>现场查看和市场调查取得的与评估相关的资料</w:t>
      </w:r>
      <w:bookmarkStart w:id="11" w:name="_Toc434848666"/>
      <w:r>
        <w:rPr>
          <w:rFonts w:hint="eastAsia" w:cs="仿宋_GB2312" w:asciiTheme="majorEastAsia" w:hAnsiTheme="majorEastAsia" w:eastAsiaTheme="majorEastAsia"/>
          <w:color w:val="000000"/>
          <w:sz w:val="24"/>
        </w:rPr>
        <w:t>。</w:t>
      </w:r>
      <w:bookmarkEnd w:id="11"/>
    </w:p>
    <w:p>
      <w:pPr>
        <w:spacing w:line="46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七、评估方法</w:t>
      </w:r>
    </w:p>
    <w:p>
      <w:pPr>
        <w:spacing w:line="460" w:lineRule="exact"/>
        <w:ind w:firstLine="480" w:firstLineChars="200"/>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资产评估基本方法包括市场法、收益法和成本法。市场法是利用市场上同样或类似资产的近期交易价格，经过直接比较或类比分析以估测资产价值的各种评估技术方法的总称；收益法是通过估测被评估资产未来预期收益的现值来判断资产价值的各种评估方法的总称；成本法是指首先估测被评估资产的重置成本，然后估测被评估资产已存在的各种贬损因素，并将其从重置成本中予以扣除而得到被评估资产价值的各种评估方法的总称。</w:t>
      </w:r>
    </w:p>
    <w:p>
      <w:pPr>
        <w:spacing w:line="460" w:lineRule="exact"/>
        <w:ind w:firstLine="480" w:firstLineChars="200"/>
        <w:jc w:val="left"/>
        <w:rPr>
          <w:rFonts w:asciiTheme="majorEastAsia" w:hAnsiTheme="majorEastAsia" w:eastAsiaTheme="majorEastAsia"/>
          <w:color w:val="000000"/>
          <w:sz w:val="24"/>
        </w:rPr>
      </w:pPr>
      <w:r>
        <w:rPr>
          <w:rFonts w:hint="eastAsia" w:asciiTheme="majorEastAsia" w:hAnsiTheme="majorEastAsia" w:eastAsiaTheme="majorEastAsia"/>
          <w:color w:val="000000"/>
          <w:sz w:val="24"/>
        </w:rPr>
        <w:t>评估方法的选用是根据委估资产的综合情况判断，此次评估的价格标准为市场价值标准，依据评估目的和资产现状，</w:t>
      </w:r>
      <w:r>
        <w:rPr>
          <w:rFonts w:hint="eastAsia" w:asciiTheme="majorEastAsia" w:hAnsiTheme="majorEastAsia" w:eastAsiaTheme="majorEastAsia"/>
          <w:color w:val="000000"/>
          <w:sz w:val="24"/>
          <w:szCs w:val="24"/>
          <w:lang w:eastAsia="zh-CN"/>
        </w:rPr>
        <w:t>成本法估算的评估结果不能充分体现委估资产的市场价值，</w:t>
      </w:r>
      <w:r>
        <w:rPr>
          <w:rFonts w:hint="eastAsia" w:asciiTheme="majorEastAsia" w:hAnsiTheme="majorEastAsia" w:eastAsiaTheme="majorEastAsia"/>
          <w:color w:val="000000"/>
          <w:sz w:val="24"/>
        </w:rPr>
        <w:t>收益法中委托资产无法获取未来几年的盈利预测数据以及折现率等相关资料，故本次评估不适合使用成本法和收益法。本次评估的资产在市场法中有比较活跃的交易市场，可供比较的交易案例；故本次评估采用市场法进行评估，我们认为此评估方法的选用是恰当的。</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八、评估程序实施过程和情况</w:t>
      </w:r>
    </w:p>
    <w:p>
      <w:pPr>
        <w:tabs>
          <w:tab w:val="left" w:pos="0"/>
          <w:tab w:val="left" w:pos="8295"/>
        </w:tabs>
        <w:spacing w:line="460" w:lineRule="exact"/>
        <w:ind w:firstLine="523" w:firstLineChars="218"/>
        <w:rPr>
          <w:rFonts w:asciiTheme="majorEastAsia" w:hAnsiTheme="majorEastAsia" w:eastAsiaTheme="majorEastAsia"/>
          <w:sz w:val="24"/>
        </w:rPr>
      </w:pPr>
      <w:r>
        <w:rPr>
          <w:rFonts w:hint="eastAsia" w:asciiTheme="majorEastAsia" w:hAnsiTheme="majorEastAsia" w:eastAsiaTheme="majorEastAsia"/>
          <w:sz w:val="24"/>
        </w:rPr>
        <w:t>我所于</w:t>
      </w:r>
      <w:r>
        <w:rPr>
          <w:rFonts w:hint="eastAsia" w:asciiTheme="majorEastAsia" w:hAnsiTheme="majorEastAsia" w:eastAsiaTheme="majorEastAsia"/>
          <w:sz w:val="24"/>
          <w:lang w:eastAsia="zh-CN"/>
        </w:rPr>
        <w:t>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月</w:t>
      </w:r>
      <w:r>
        <w:rPr>
          <w:rFonts w:hint="eastAsia" w:asciiTheme="majorEastAsia" w:hAnsiTheme="majorEastAsia" w:eastAsiaTheme="majorEastAsia"/>
          <w:sz w:val="24"/>
          <w:lang w:val="en-US" w:eastAsia="zh-CN"/>
        </w:rPr>
        <w:t>22</w:t>
      </w:r>
      <w:r>
        <w:rPr>
          <w:rFonts w:hint="eastAsia" w:asciiTheme="majorEastAsia" w:hAnsiTheme="majorEastAsia" w:eastAsiaTheme="majorEastAsia"/>
          <w:sz w:val="24"/>
          <w:lang w:eastAsia="zh-CN"/>
        </w:rPr>
        <w:t>日</w:t>
      </w:r>
      <w:r>
        <w:rPr>
          <w:rFonts w:hint="eastAsia" w:asciiTheme="majorEastAsia" w:hAnsiTheme="majorEastAsia" w:eastAsiaTheme="majorEastAsia"/>
          <w:sz w:val="24"/>
        </w:rPr>
        <w:t>接受</w:t>
      </w:r>
      <w:r>
        <w:rPr>
          <w:rFonts w:hint="eastAsia" w:asciiTheme="majorEastAsia" w:hAnsiTheme="majorEastAsia" w:eastAsiaTheme="majorEastAsia"/>
          <w:sz w:val="24"/>
          <w:lang w:eastAsia="zh-CN"/>
        </w:rPr>
        <w:t>辽源市龙山区人民法院</w:t>
      </w:r>
      <w:r>
        <w:rPr>
          <w:rFonts w:hint="eastAsia" w:asciiTheme="majorEastAsia" w:hAnsiTheme="majorEastAsia" w:eastAsiaTheme="majorEastAsia"/>
          <w:sz w:val="24"/>
        </w:rPr>
        <w:t>司法辅助办公室的委托，对其委</w:t>
      </w:r>
      <w:r>
        <w:rPr>
          <w:rFonts w:hint="eastAsia" w:asciiTheme="majorEastAsia" w:hAnsiTheme="majorEastAsia" w:eastAsiaTheme="majorEastAsia"/>
          <w:sz w:val="24"/>
          <w:highlight w:val="none"/>
        </w:rPr>
        <w:t>托评估的单项资产于</w:t>
      </w:r>
      <w:r>
        <w:rPr>
          <w:rFonts w:hint="eastAsia" w:asciiTheme="majorEastAsia" w:hAnsiTheme="majorEastAsia" w:eastAsiaTheme="majorEastAsia"/>
          <w:sz w:val="24"/>
          <w:highlight w:val="none"/>
          <w:lang w:eastAsia="zh-CN"/>
        </w:rPr>
        <w:t>202</w:t>
      </w:r>
      <w:r>
        <w:rPr>
          <w:rFonts w:hint="eastAsia" w:asciiTheme="majorEastAsia" w:hAnsiTheme="majorEastAsia" w:eastAsiaTheme="majorEastAsia"/>
          <w:sz w:val="24"/>
          <w:highlight w:val="none"/>
          <w:lang w:val="en-US" w:eastAsia="zh-CN"/>
        </w:rPr>
        <w:t>2</w:t>
      </w:r>
      <w:r>
        <w:rPr>
          <w:rFonts w:hint="eastAsia" w:asciiTheme="majorEastAsia" w:hAnsiTheme="majorEastAsia" w:eastAsiaTheme="majorEastAsia"/>
          <w:sz w:val="24"/>
          <w:highlight w:val="none"/>
          <w:lang w:eastAsia="zh-CN"/>
        </w:rPr>
        <w:t>年</w:t>
      </w:r>
      <w:r>
        <w:rPr>
          <w:rFonts w:hint="eastAsia" w:asciiTheme="majorEastAsia" w:hAnsiTheme="majorEastAsia" w:eastAsiaTheme="majorEastAsia"/>
          <w:sz w:val="24"/>
          <w:highlight w:val="none"/>
          <w:lang w:val="en-US" w:eastAsia="zh-CN"/>
        </w:rPr>
        <w:t>2</w:t>
      </w:r>
      <w:r>
        <w:rPr>
          <w:rFonts w:hint="eastAsia" w:asciiTheme="majorEastAsia" w:hAnsiTheme="majorEastAsia" w:eastAsiaTheme="majorEastAsia"/>
          <w:sz w:val="24"/>
          <w:highlight w:val="none"/>
          <w:lang w:eastAsia="zh-CN"/>
        </w:rPr>
        <w:t>月</w:t>
      </w:r>
      <w:r>
        <w:rPr>
          <w:rFonts w:hint="eastAsia" w:asciiTheme="majorEastAsia" w:hAnsiTheme="majorEastAsia" w:eastAsiaTheme="majorEastAsia"/>
          <w:sz w:val="24"/>
          <w:highlight w:val="none"/>
          <w:lang w:val="en-US" w:eastAsia="zh-CN"/>
        </w:rPr>
        <w:t>25</w:t>
      </w:r>
      <w:r>
        <w:rPr>
          <w:rFonts w:hint="eastAsia" w:asciiTheme="majorEastAsia" w:hAnsiTheme="majorEastAsia" w:eastAsiaTheme="majorEastAsia"/>
          <w:sz w:val="24"/>
          <w:highlight w:val="none"/>
          <w:lang w:eastAsia="zh-CN"/>
        </w:rPr>
        <w:t>日</w:t>
      </w:r>
      <w:r>
        <w:rPr>
          <w:rFonts w:hint="eastAsia" w:asciiTheme="majorEastAsia" w:hAnsiTheme="majorEastAsia" w:eastAsiaTheme="majorEastAsia"/>
          <w:sz w:val="24"/>
          <w:highlight w:val="none"/>
        </w:rPr>
        <w:t>正式开始评估工作，</w:t>
      </w:r>
      <w:r>
        <w:rPr>
          <w:rFonts w:hint="eastAsia" w:cs="Arial" w:asciiTheme="majorEastAsia" w:hAnsiTheme="majorEastAsia" w:eastAsiaTheme="majorEastAsia"/>
          <w:sz w:val="24"/>
          <w:highlight w:val="none"/>
          <w:lang w:eastAsia="zh-CN"/>
        </w:rPr>
        <w:t>2022年</w:t>
      </w:r>
      <w:r>
        <w:rPr>
          <w:rFonts w:hint="eastAsia" w:cs="Arial" w:asciiTheme="majorEastAsia" w:hAnsiTheme="majorEastAsia" w:eastAsiaTheme="majorEastAsia"/>
          <w:sz w:val="24"/>
          <w:highlight w:val="none"/>
          <w:lang w:val="en-US" w:eastAsia="zh-CN"/>
        </w:rPr>
        <w:t>5</w:t>
      </w:r>
      <w:r>
        <w:rPr>
          <w:rFonts w:hint="eastAsia" w:cs="Arial" w:asciiTheme="majorEastAsia" w:hAnsiTheme="majorEastAsia" w:eastAsiaTheme="majorEastAsia"/>
          <w:sz w:val="24"/>
          <w:highlight w:val="none"/>
          <w:lang w:eastAsia="zh-CN"/>
        </w:rPr>
        <w:t>月</w:t>
      </w:r>
      <w:r>
        <w:rPr>
          <w:rFonts w:hint="eastAsia" w:cs="Arial" w:asciiTheme="majorEastAsia" w:hAnsiTheme="majorEastAsia" w:eastAsiaTheme="majorEastAsia"/>
          <w:sz w:val="24"/>
          <w:highlight w:val="none"/>
          <w:lang w:val="en-US" w:eastAsia="zh-CN"/>
        </w:rPr>
        <w:t>18</w:t>
      </w:r>
      <w:r>
        <w:rPr>
          <w:rFonts w:hint="eastAsia" w:cs="Arial" w:asciiTheme="majorEastAsia" w:hAnsiTheme="majorEastAsia" w:eastAsiaTheme="majorEastAsia"/>
          <w:sz w:val="24"/>
          <w:highlight w:val="none"/>
          <w:lang w:eastAsia="zh-CN"/>
        </w:rPr>
        <w:t>日</w:t>
      </w:r>
      <w:r>
        <w:rPr>
          <w:rFonts w:hint="eastAsia" w:asciiTheme="majorEastAsia" w:hAnsiTheme="majorEastAsia" w:eastAsiaTheme="majorEastAsia"/>
          <w:sz w:val="24"/>
          <w:highlight w:val="none"/>
        </w:rPr>
        <w:t>出具资</w:t>
      </w:r>
      <w:r>
        <w:rPr>
          <w:rFonts w:hint="eastAsia" w:asciiTheme="majorEastAsia" w:hAnsiTheme="majorEastAsia" w:eastAsiaTheme="majorEastAsia"/>
          <w:sz w:val="24"/>
        </w:rPr>
        <w:t>产评估报告。</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从评估业务基本事项起到工作底稿归档工作过程中,分七个过程进行资产评估,这七个过程依次为：</w:t>
      </w:r>
    </w:p>
    <w:p>
      <w:pPr>
        <w:tabs>
          <w:tab w:val="left" w:pos="1590"/>
        </w:tabs>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（一）接受人民法院司法执行财产处置业务委托</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在接到人民法院通知接收评估委托后,按照评估委托内容及其提供的相关材料，明确司法执行财产处置评估业务的评估对象和范围、价值类型、资产评估基准日、评估报告使用限制、评估报告的提交方式及时间、评估费用等基本事项。经资产评估师根据评估业务具体情况,对专业胜任能力、独立性业务风险进行综合分析和评价,决定承接该业务。</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（二）编制资产评估计划</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资产评估机构和人员根据所承受的具体资产评估项目情况,编制合理的资产评估计划,并根据执行资产评估业务中具体情况,及时修改、补充资产评估计划。</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（三）现场调查</w:t>
      </w:r>
    </w:p>
    <w:p>
      <w:pPr>
        <w:spacing w:line="460" w:lineRule="exact"/>
        <w:ind w:firstLine="480" w:firstLineChars="200"/>
        <w:jc w:val="left"/>
        <w:rPr>
          <w:rFonts w:hint="eastAsia" w:cs="Courier New" w:asciiTheme="majorEastAsia" w:hAnsiTheme="majorEastAsia" w:eastAsiaTheme="majorEastAsia"/>
          <w:sz w:val="24"/>
          <w:lang w:val="en-US" w:eastAsia="zh-CN"/>
        </w:rPr>
      </w:pPr>
      <w:r>
        <w:rPr>
          <w:rFonts w:hint="eastAsia" w:cs="Courier New" w:asciiTheme="majorEastAsia" w:hAnsiTheme="majorEastAsia" w:eastAsiaTheme="majorEastAsia"/>
          <w:sz w:val="24"/>
        </w:rPr>
        <w:t>在接受委托确定</w:t>
      </w:r>
      <w:r>
        <w:rPr>
          <w:rFonts w:hint="eastAsia" w:cs="Courier New" w:asciiTheme="majorEastAsia" w:hAnsiTheme="majorEastAsia" w:eastAsiaTheme="majorEastAsia"/>
          <w:sz w:val="24"/>
          <w:lang w:eastAsia="zh-CN"/>
        </w:rPr>
        <w:t>评估对象</w:t>
      </w:r>
      <w:r>
        <w:rPr>
          <w:rFonts w:hint="eastAsia" w:cs="Courier New" w:asciiTheme="majorEastAsia" w:hAnsiTheme="majorEastAsia" w:eastAsiaTheme="majorEastAsia"/>
          <w:sz w:val="24"/>
        </w:rPr>
        <w:t>后, 评估工作小组于</w:t>
      </w:r>
      <w:r>
        <w:rPr>
          <w:rFonts w:hint="eastAsia" w:cs="Courier New" w:asciiTheme="majorEastAsia" w:hAnsiTheme="majorEastAsia" w:eastAsiaTheme="majorEastAsia"/>
          <w:sz w:val="24"/>
          <w:lang w:eastAsia="zh-CN"/>
        </w:rPr>
        <w:t>202</w:t>
      </w:r>
      <w:r>
        <w:rPr>
          <w:rFonts w:hint="eastAsia" w:cs="Courier New" w:asciiTheme="majorEastAsia" w:hAnsiTheme="majorEastAsia" w:eastAsiaTheme="majorEastAsia"/>
          <w:sz w:val="24"/>
          <w:lang w:val="en-US" w:eastAsia="zh-CN"/>
        </w:rPr>
        <w:t>2</w:t>
      </w:r>
      <w:r>
        <w:rPr>
          <w:rFonts w:hint="eastAsia" w:cs="Courier New" w:asciiTheme="majorEastAsia" w:hAnsiTheme="majorEastAsia" w:eastAsiaTheme="majorEastAsia"/>
          <w:sz w:val="24"/>
          <w:lang w:eastAsia="zh-CN"/>
        </w:rPr>
        <w:t>年</w:t>
      </w:r>
      <w:r>
        <w:rPr>
          <w:rFonts w:hint="eastAsia" w:cs="Courier New" w:asciiTheme="majorEastAsia" w:hAnsiTheme="majorEastAsia" w:eastAsiaTheme="majorEastAsia"/>
          <w:sz w:val="24"/>
          <w:lang w:val="en-US" w:eastAsia="zh-CN"/>
        </w:rPr>
        <w:t>2</w:t>
      </w:r>
      <w:r>
        <w:rPr>
          <w:rFonts w:hint="eastAsia" w:cs="Courier New" w:asciiTheme="majorEastAsia" w:hAnsiTheme="majorEastAsia" w:eastAsiaTheme="majorEastAsia"/>
          <w:sz w:val="24"/>
          <w:lang w:eastAsia="zh-CN"/>
        </w:rPr>
        <w:t>月</w:t>
      </w:r>
      <w:r>
        <w:rPr>
          <w:rFonts w:hint="eastAsia" w:cs="Courier New" w:asciiTheme="majorEastAsia" w:hAnsiTheme="majorEastAsia" w:eastAsiaTheme="majorEastAsia"/>
          <w:sz w:val="24"/>
          <w:lang w:val="en-US" w:eastAsia="zh-CN"/>
        </w:rPr>
        <w:t>25</w:t>
      </w:r>
      <w:r>
        <w:rPr>
          <w:rFonts w:hint="eastAsia" w:cs="Courier New" w:asciiTheme="majorEastAsia" w:hAnsiTheme="majorEastAsia" w:eastAsiaTheme="majorEastAsia"/>
          <w:sz w:val="24"/>
          <w:lang w:eastAsia="zh-CN"/>
        </w:rPr>
        <w:t>日</w:t>
      </w:r>
      <w:r>
        <w:rPr>
          <w:rFonts w:hint="eastAsia" w:cs="Courier New" w:asciiTheme="majorEastAsia" w:hAnsiTheme="majorEastAsia" w:eastAsiaTheme="majorEastAsia"/>
          <w:sz w:val="24"/>
        </w:rPr>
        <w:t>,会同委托人</w:t>
      </w:r>
      <w:r>
        <w:rPr>
          <w:rFonts w:hint="eastAsia" w:cs="Courier New" w:asciiTheme="majorEastAsia" w:hAnsiTheme="majorEastAsia" w:eastAsiaTheme="majorEastAsia"/>
          <w:sz w:val="24"/>
          <w:lang w:eastAsia="zh-CN"/>
        </w:rPr>
        <w:t>和申请人</w:t>
      </w:r>
      <w:r>
        <w:rPr>
          <w:rFonts w:hint="eastAsia" w:cs="Courier New" w:asciiTheme="majorEastAsia" w:hAnsiTheme="majorEastAsia" w:eastAsiaTheme="majorEastAsia"/>
          <w:sz w:val="24"/>
        </w:rPr>
        <w:t>对评估对象进行核实</w:t>
      </w:r>
      <w:r>
        <w:rPr>
          <w:rFonts w:hint="eastAsia" w:asciiTheme="majorEastAsia" w:hAnsiTheme="majorEastAsia" w:eastAsiaTheme="majorEastAsia"/>
          <w:sz w:val="24"/>
          <w:highlight w:val="none"/>
        </w:rPr>
        <w:t>，</w:t>
      </w:r>
      <w:r>
        <w:rPr>
          <w:rFonts w:hint="eastAsia" w:cs="Courier New" w:asciiTheme="majorEastAsia" w:hAnsiTheme="majorEastAsia" w:eastAsiaTheme="majorEastAsia"/>
          <w:sz w:val="24"/>
        </w:rPr>
        <w:t>确定资产的存在性、完整性。并与相关人员进行交谈，了解资产的使用、保存状况，根据勘察情况填写现场勘查记录表</w:t>
      </w:r>
      <w:r>
        <w:rPr>
          <w:rFonts w:hint="eastAsia" w:asciiTheme="majorEastAsia" w:hAnsiTheme="majorEastAsia" w:eastAsiaTheme="majorEastAsia"/>
          <w:sz w:val="24"/>
          <w:highlight w:val="none"/>
          <w:lang w:eastAsia="zh-CN"/>
        </w:rPr>
        <w:t>。</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（四）收集资产评估资料</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资产评估机构和人员根据资产评估项目及情况收集资产评估相关资料。资产评估机构和资产评估师进行市场调查,收集与资产评估业务相关的资料。</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（五）评定估算</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资产评估机构人员对收集的资产评估资料进行充分分析,确定其可靠性、相关性、可比性,摒弃不可靠、不相关的信息。对不可比信息进行必要分析调整。在此基础上恰当选择适当的评估方法形成初步评估结论</w:t>
      </w:r>
      <w:r>
        <w:rPr>
          <w:rFonts w:hint="eastAsia" w:cs="Courier New" w:asciiTheme="majorEastAsia" w:hAnsiTheme="majorEastAsia" w:eastAsiaTheme="majorEastAsia"/>
          <w:sz w:val="24"/>
          <w:lang w:eastAsia="zh-CN"/>
        </w:rPr>
        <w:t>。</w:t>
      </w:r>
      <w:r>
        <w:rPr>
          <w:rFonts w:hint="eastAsia" w:cs="Courier New" w:asciiTheme="majorEastAsia" w:hAnsiTheme="majorEastAsia" w:eastAsiaTheme="majorEastAsia"/>
          <w:sz w:val="24"/>
        </w:rPr>
        <w:t>在形成初步资产评估结论的基础上,对信息资料、参数的数量、质量和选取的合理性等进行综合分析,以形成资产评估结论。</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具体测算方法如下:</w:t>
      </w:r>
    </w:p>
    <w:p>
      <w:pPr>
        <w:spacing w:line="460" w:lineRule="exact"/>
        <w:ind w:left="479" w:leftChars="228"/>
        <w:jc w:val="left"/>
        <w:rPr>
          <w:rFonts w:ascii="宋体" w:hAnsi="宋体" w:eastAsia="宋体"/>
          <w:sz w:val="24"/>
          <w:highlight w:val="none"/>
        </w:rPr>
      </w:pPr>
      <w:r>
        <w:rPr>
          <w:rFonts w:hint="eastAsia" w:ascii="宋体" w:hAnsi="宋体" w:eastAsia="宋体"/>
          <w:sz w:val="24"/>
          <w:highlight w:val="none"/>
        </w:rPr>
        <w:t>本次</w:t>
      </w:r>
      <w:r>
        <w:rPr>
          <w:rFonts w:hint="eastAsia" w:ascii="宋体" w:hAnsi="宋体"/>
          <w:sz w:val="24"/>
          <w:highlight w:val="none"/>
          <w:lang w:eastAsia="zh-CN"/>
        </w:rPr>
        <w:t>房屋</w:t>
      </w:r>
      <w:r>
        <w:rPr>
          <w:rFonts w:hint="eastAsia" w:ascii="宋体" w:hAnsi="宋体" w:eastAsia="宋体"/>
          <w:sz w:val="24"/>
          <w:highlight w:val="none"/>
        </w:rPr>
        <w:t>的评估采用</w:t>
      </w:r>
      <w:r>
        <w:rPr>
          <w:rFonts w:hint="eastAsia" w:ascii="宋体" w:hAnsi="宋体"/>
          <w:sz w:val="24"/>
          <w:highlight w:val="none"/>
          <w:lang w:eastAsia="zh-CN"/>
        </w:rPr>
        <w:t>市场</w:t>
      </w:r>
      <w:r>
        <w:rPr>
          <w:rFonts w:hint="eastAsia" w:ascii="宋体" w:hAnsi="宋体" w:eastAsia="宋体"/>
          <w:sz w:val="24"/>
          <w:highlight w:val="none"/>
        </w:rPr>
        <w:t>法，即：</w:t>
      </w:r>
    </w:p>
    <w:p>
      <w:pPr>
        <w:spacing w:line="460" w:lineRule="exact"/>
        <w:ind w:firstLine="480" w:firstLineChars="200"/>
        <w:jc w:val="left"/>
        <w:rPr>
          <w:rFonts w:hint="eastAsia" w:ascii="宋体" w:hAnsi="宋体" w:cs="Courier New"/>
          <w:sz w:val="24"/>
          <w:highlight w:val="none"/>
          <w:lang w:eastAsia="zh-CN"/>
        </w:rPr>
      </w:pPr>
      <w:r>
        <w:rPr>
          <w:rFonts w:hint="eastAsia" w:ascii="宋体" w:hAnsi="宋体" w:cs="Courier New"/>
          <w:sz w:val="24"/>
          <w:highlight w:val="none"/>
          <w:lang w:eastAsia="zh-CN"/>
        </w:rPr>
        <w:t>评估对象价格=（比准价格A×权重+比准价格B×权重+比准价格C×权重）×建筑面积</w:t>
      </w:r>
    </w:p>
    <w:p>
      <w:pPr>
        <w:spacing w:line="460" w:lineRule="exact"/>
        <w:ind w:firstLine="480" w:firstLineChars="200"/>
        <w:jc w:val="left"/>
        <w:rPr>
          <w:rFonts w:hint="eastAsia" w:ascii="宋体" w:hAnsi="宋体" w:cs="Courier New"/>
          <w:sz w:val="24"/>
          <w:highlight w:val="none"/>
          <w:lang w:eastAsia="zh-CN"/>
        </w:rPr>
      </w:pPr>
      <w:r>
        <w:rPr>
          <w:rFonts w:hint="eastAsia" w:ascii="宋体" w:hAnsi="宋体" w:cs="Courier New"/>
          <w:sz w:val="24"/>
          <w:highlight w:val="none"/>
          <w:lang w:eastAsia="zh-CN"/>
        </w:rPr>
        <w:t>比准价格=可比实例价格×交易情况修正×交易期日修正×房地产状况修正</w:t>
      </w:r>
    </w:p>
    <w:p>
      <w:pPr>
        <w:spacing w:line="460" w:lineRule="exact"/>
        <w:ind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（六）编制和提交资产评估报告</w:t>
      </w:r>
    </w:p>
    <w:p>
      <w:pPr>
        <w:spacing w:line="460" w:lineRule="exact"/>
        <w:ind w:left="1"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资产评估师在执行必要的资产评估程序、形成资产评估结论后,按有关资产评估报告的规范,编制资产评估报告书。向委托人提交评估报告征求意见稿,在委托人“无异议”反馈后或在答疑后进行修改,出具评估报告正式稿。</w:t>
      </w:r>
    </w:p>
    <w:p>
      <w:pPr>
        <w:spacing w:line="460" w:lineRule="exact"/>
        <w:ind w:left="1" w:firstLine="482" w:firstLineChars="200"/>
        <w:jc w:val="left"/>
        <w:rPr>
          <w:rFonts w:cs="Courier New" w:asciiTheme="majorEastAsia" w:hAnsiTheme="majorEastAsia" w:eastAsiaTheme="majorEastAsia"/>
          <w:b/>
          <w:sz w:val="24"/>
        </w:rPr>
      </w:pPr>
      <w:r>
        <w:rPr>
          <w:rFonts w:hint="eastAsia" w:cs="Courier New" w:asciiTheme="majorEastAsia" w:hAnsiTheme="majorEastAsia" w:eastAsiaTheme="majorEastAsia"/>
          <w:b/>
          <w:sz w:val="24"/>
        </w:rPr>
        <w:t>（七）资产评估工作档案归档</w:t>
      </w:r>
    </w:p>
    <w:p>
      <w:pPr>
        <w:spacing w:line="460" w:lineRule="exact"/>
        <w:ind w:firstLine="480" w:firstLineChars="200"/>
        <w:jc w:val="left"/>
        <w:rPr>
          <w:rFonts w:cs="Courier New" w:asciiTheme="majorEastAsia" w:hAnsiTheme="majorEastAsia" w:eastAsiaTheme="majorEastAsia"/>
          <w:sz w:val="24"/>
        </w:rPr>
      </w:pPr>
      <w:r>
        <w:rPr>
          <w:rFonts w:hint="eastAsia" w:cs="Courier New" w:asciiTheme="majorEastAsia" w:hAnsiTheme="majorEastAsia" w:eastAsiaTheme="majorEastAsia"/>
          <w:sz w:val="24"/>
        </w:rPr>
        <w:t>资产评估机构和资产评估师在向委托人提交资产评估报告书后,将资产评估工作档案(底稿)归档。</w:t>
      </w:r>
    </w:p>
    <w:p>
      <w:pPr>
        <w:spacing w:line="4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九、评估假设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（一）</w:t>
      </w:r>
      <w:r>
        <w:rPr>
          <w:rFonts w:hint="eastAsia" w:asciiTheme="majorEastAsia" w:hAnsiTheme="majorEastAsia" w:eastAsiaTheme="majorEastAsia"/>
          <w:b/>
          <w:sz w:val="24"/>
        </w:rPr>
        <w:t>基本假设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公开市场假设：公开市场假设是对资产拟进入的市场的条件，以及资产在这样的市场条件下接受何种影响的一种假定说明或限定。公开市场是指充分发达与完善的市场条件，是一个有自愿的买者或卖者的竞争性市场，在这个市场上，买者和卖者的地们是平等的，彼此都有获限足够市场信息的机会和时间，买卖双方的交易行为都是在自愿的、理智的而非强制的或不受限制的条件下进行的。</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资产持续使用假设：资产持续使用假设是指评估时，被评估单位的资产按照评估基准日下在使用的用途、使用方式、使用频度、使用环境、资产规模等情况继续使用。在持续使用假设条件下，没有考虑资产用途转换或者最佳利用条件，其评估结果的使用范围受到限制。</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（3）交易假设：交易假设是假定所有待估资产已经处在交易的过程中，根据待估资产的交易条件等模拟市场进行估价。交易假设是估值得以进行的一个最基本的前提假设。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（二）</w:t>
      </w:r>
      <w:r>
        <w:rPr>
          <w:rFonts w:hint="eastAsia" w:asciiTheme="majorEastAsia" w:hAnsiTheme="majorEastAsia" w:eastAsiaTheme="majorEastAsia"/>
          <w:b/>
          <w:sz w:val="24"/>
        </w:rPr>
        <w:t>一般假设</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（1）国家对被评估单位所处行业的有关法律法规和政策在预期无重大变化；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（2）社会经济环境及经济发展除社会公众已知变化外，在预期无其他重大变化；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（3）国家现行银行信贷利率、外汇汇率的变动能保持在合理范围内；</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（4）国家目前的税收制度除社会公众已知变化外，无其他重大变化；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（5）无其他人力不可抗拒及不可预测因素的重大不利影响；</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（6）被评估单位公司会计政策与核算方法基准日后无重大变化；</w:t>
      </w: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（7）本次评估测算各项参数取值均未考虑通货膨胀因素，价格均为评估基准日价值。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b/>
          <w:sz w:val="24"/>
        </w:rPr>
      </w:pPr>
      <w:r>
        <w:rPr>
          <w:rFonts w:hint="eastAsia" w:asciiTheme="majorEastAsia" w:hAnsiTheme="majorEastAsia" w:eastAsiaTheme="majorEastAsia"/>
          <w:sz w:val="24"/>
        </w:rPr>
        <w:t>（三）</w:t>
      </w:r>
      <w:r>
        <w:rPr>
          <w:rFonts w:hint="eastAsia" w:asciiTheme="majorEastAsia" w:hAnsiTheme="majorEastAsia" w:eastAsiaTheme="majorEastAsia"/>
          <w:b/>
          <w:sz w:val="24"/>
        </w:rPr>
        <w:t>特殊假设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1）对于本次评估报告中被评估资产的法律描述或法律事项（包括其权属或负担性限制），本机构按准则要求进行了调查。除在工作报告中已有提示以外，假定评估过程中所评资产的权属为良好的和可在市场上进行交易的；同时也不涉及任何留置权、地役权，没有受侵犯或无其他负担性限制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（2）对于本评估报告中全部或部分价值评估结论所依据而由委托人及其他各方提供的信息资料，本机构只是按照评估程序进行了独立审查。但这些信息资料的真实性、完整性、合法性不做任何保证。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（3）对于本评估报告中价值估算所依据的资产使用方所需由有关地方、国家政府机构、私人组织或团体签发的一切执照、使用许可证、同意函或其他法律或行政性授权文件假定已经或可以随时获得或更新。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（4）我们对价值的估算是根据评估基准日本地货币购买力作出的。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（5）本评估报告估算是在假定所有重要的及潜在的可能影响价值分析因素都已在我们与被评估单位之间充分提示的前提下做出的。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ajorEastAsia" w:hAnsiTheme="majorEastAsia" w:eastAsiaTheme="majorEastAsia"/>
          <w:sz w:val="24"/>
        </w:rPr>
      </w:pPr>
      <w:r>
        <w:rPr>
          <w:rFonts w:hint="eastAsia" w:asciiTheme="majorEastAsia" w:hAnsiTheme="majorEastAsia" w:eastAsiaTheme="majorEastAsia"/>
          <w:sz w:val="24"/>
        </w:rPr>
        <w:t>（6）对于人民法院委托司法执行财产处置评估业务，不考虑评估对象被查封以及原有的担保物权和其他优先受偿权情况对评估结论的影响。本次业务是将评估对象视为没有查封、未设立担保物权和其他优先受偿权的财产进行评估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lang w:eastAsia="zh-CN"/>
        </w:rPr>
        <w:t>（</w:t>
      </w:r>
      <w:r>
        <w:rPr>
          <w:rFonts w:hint="eastAsia" w:asciiTheme="majorEastAsia" w:hAnsiTheme="majorEastAsia" w:eastAsiaTheme="majorEastAsia"/>
          <w:sz w:val="24"/>
          <w:lang w:val="en-US" w:eastAsia="zh-CN"/>
        </w:rPr>
        <w:t>7</w:t>
      </w:r>
      <w:r>
        <w:rPr>
          <w:rFonts w:hint="eastAsia" w:asciiTheme="majorEastAsia" w:hAnsiTheme="majorEastAsia" w:eastAsiaTheme="majorEastAsia"/>
          <w:sz w:val="24"/>
          <w:lang w:eastAsia="zh-CN"/>
        </w:rPr>
        <w:t>）由于现场勘查时被申请人未到达现场，未能进入室内勘查，本次评估假定房屋内部无装修。</w:t>
      </w:r>
      <w:bookmarkStart w:id="12" w:name="_GoBack"/>
      <w:bookmarkEnd w:id="1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asciiTheme="majorEastAsia" w:hAnsiTheme="majorEastAsia" w:eastAsiaTheme="majorEastAsia"/>
          <w:sz w:val="24"/>
        </w:rPr>
      </w:pPr>
      <w:r>
        <w:rPr>
          <w:rFonts w:hint="eastAsia" w:asciiTheme="majorEastAsia" w:hAnsiTheme="majorEastAsia" w:eastAsiaTheme="majorEastAsia"/>
          <w:sz w:val="24"/>
        </w:rPr>
        <w:t>本次评估结果是在满足上述评估假设条件的情况下成立，若本次评估中遵循的评估假设条件发生变化时，评估结果一般会失效。</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asciiTheme="majorEastAsia" w:hAnsiTheme="majorEastAsia" w:eastAsiaTheme="majorEastAsia"/>
          <w:b/>
          <w:sz w:val="24"/>
        </w:rPr>
      </w:pPr>
      <w:r>
        <w:rPr>
          <w:rFonts w:hint="eastAsia" w:asciiTheme="majorEastAsia" w:hAnsiTheme="majorEastAsia" w:eastAsiaTheme="majorEastAsia"/>
          <w:b/>
          <w:sz w:val="24"/>
        </w:rPr>
        <w:t>十、评估结论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Theme="majorEastAsia" w:hAnsiTheme="majorEastAsia" w:eastAsiaTheme="majorEastAsia"/>
          <w:sz w:val="18"/>
          <w:szCs w:val="18"/>
        </w:rPr>
      </w:pPr>
      <w:r>
        <w:rPr>
          <w:rFonts w:hint="eastAsia" w:asciiTheme="majorEastAsia" w:hAnsiTheme="majorEastAsia" w:eastAsiaTheme="majorEastAsia"/>
          <w:sz w:val="24"/>
        </w:rPr>
        <w:t>我们在委托人配合下，对评估对象进行了必要的产权查验和实地勘察，对委托评估的资产所涉及的各项数据实施市场调查和询证，并完成了准则要求的评估程序，在此基础上，我们对</w:t>
      </w:r>
      <w:r>
        <w:rPr>
          <w:rFonts w:hint="eastAsia" w:asciiTheme="majorEastAsia" w:hAnsiTheme="majorEastAsia" w:eastAsiaTheme="majorEastAsia"/>
          <w:sz w:val="24"/>
          <w:lang w:eastAsia="zh-CN"/>
        </w:rPr>
        <w:t>辽源市龙山区人民法院司法辅助办公室</w:t>
      </w:r>
      <w:r>
        <w:rPr>
          <w:rFonts w:hint="eastAsia" w:asciiTheme="majorEastAsia" w:hAnsiTheme="majorEastAsia" w:eastAsiaTheme="majorEastAsia"/>
          <w:sz w:val="24"/>
        </w:rPr>
        <w:t>委托评估的资产在评估基准日</w:t>
      </w:r>
      <w:r>
        <w:rPr>
          <w:rFonts w:hint="eastAsia" w:asciiTheme="majorEastAsia" w:hAnsiTheme="majorEastAsia" w:eastAsiaTheme="majorEastAsia"/>
          <w:sz w:val="24"/>
          <w:lang w:eastAsia="zh-CN"/>
        </w:rPr>
        <w:t>202</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年</w:t>
      </w:r>
      <w:r>
        <w:rPr>
          <w:rFonts w:hint="eastAsia" w:asciiTheme="majorEastAsia" w:hAnsiTheme="majorEastAsia" w:eastAsiaTheme="majorEastAsia"/>
          <w:sz w:val="24"/>
          <w:lang w:val="en-US" w:eastAsia="zh-CN"/>
        </w:rPr>
        <w:t>2</w:t>
      </w:r>
      <w:r>
        <w:rPr>
          <w:rFonts w:hint="eastAsia" w:asciiTheme="majorEastAsia" w:hAnsiTheme="majorEastAsia" w:eastAsiaTheme="majorEastAsia"/>
          <w:sz w:val="24"/>
          <w:lang w:eastAsia="zh-CN"/>
        </w:rPr>
        <w:t>月</w:t>
      </w:r>
      <w:r>
        <w:rPr>
          <w:rFonts w:hint="eastAsia" w:asciiTheme="majorEastAsia" w:hAnsiTheme="majorEastAsia" w:eastAsiaTheme="majorEastAsia"/>
          <w:sz w:val="24"/>
          <w:lang w:val="en-US" w:eastAsia="zh-CN"/>
        </w:rPr>
        <w:t>25</w:t>
      </w:r>
      <w:r>
        <w:rPr>
          <w:rFonts w:hint="eastAsia" w:asciiTheme="majorEastAsia" w:hAnsiTheme="majorEastAsia" w:eastAsiaTheme="majorEastAsia"/>
          <w:sz w:val="24"/>
          <w:lang w:eastAsia="zh-CN"/>
        </w:rPr>
        <w:t>日</w:t>
      </w:r>
      <w:r>
        <w:rPr>
          <w:rFonts w:hint="eastAsia" w:asciiTheme="majorEastAsia" w:hAnsiTheme="majorEastAsia" w:eastAsiaTheme="majorEastAsia"/>
          <w:sz w:val="24"/>
        </w:rPr>
        <w:t>特定目的下的价值进行分析、估算并发表专业意见。评估值人民币大写：</w:t>
      </w:r>
      <w:r>
        <w:rPr>
          <w:rFonts w:hint="eastAsia" w:asciiTheme="majorEastAsia" w:hAnsiTheme="majorEastAsia" w:eastAsiaTheme="majorEastAsia"/>
          <w:sz w:val="24"/>
          <w:lang w:eastAsia="zh-CN"/>
        </w:rPr>
        <w:t>伍佰玖拾陆万肆仟伍佰伍拾柒元捌角</w:t>
      </w:r>
      <w:r>
        <w:rPr>
          <w:rFonts w:hint="eastAsia" w:asciiTheme="majorEastAsia" w:hAnsiTheme="majorEastAsia" w:eastAsiaTheme="majorEastAsia"/>
          <w:sz w:val="24"/>
        </w:rPr>
        <w:t>。</w:t>
      </w:r>
    </w:p>
    <w:p>
      <w:pPr>
        <w:keepNext w:val="0"/>
        <w:keepLines w:val="0"/>
        <w:pageBreakBefore w:val="0"/>
        <w:kinsoku/>
        <w:wordWrap/>
        <w:overflowPunct/>
        <w:topLinePunct w:val="0"/>
        <w:autoSpaceDE/>
        <w:autoSpaceDN/>
        <w:bidi w:val="0"/>
        <w:adjustRightInd/>
        <w:snapToGrid w:val="0"/>
        <w:spacing w:line="360" w:lineRule="exact"/>
        <w:ind w:firstLine="270" w:firstLineChars="150"/>
        <w:jc w:val="righ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单位：人民币元</w:t>
      </w:r>
    </w:p>
    <w:tbl>
      <w:tblPr>
        <w:tblStyle w:val="12"/>
        <w:tblpPr w:leftFromText="180" w:rightFromText="180" w:vertAnchor="page" w:horzAnchor="page" w:tblpXSpec="center" w:tblpY="12241"/>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55"/>
        <w:gridCol w:w="2085"/>
        <w:gridCol w:w="1920"/>
        <w:gridCol w:w="19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66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序号</w:t>
            </w:r>
          </w:p>
        </w:tc>
        <w:tc>
          <w:tcPr>
            <w:tcW w:w="125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项    目</w:t>
            </w:r>
          </w:p>
        </w:tc>
        <w:tc>
          <w:tcPr>
            <w:tcW w:w="208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eastAsia="zh-CN"/>
              </w:rPr>
            </w:pPr>
            <w:r>
              <w:rPr>
                <w:rFonts w:hint="eastAsia" w:cs="宋体" w:asciiTheme="majorEastAsia" w:hAnsiTheme="majorEastAsia" w:eastAsiaTheme="majorEastAsia"/>
                <w:b/>
                <w:szCs w:val="21"/>
                <w:lang w:eastAsia="zh-CN"/>
              </w:rPr>
              <w:t>数量（套）</w:t>
            </w:r>
          </w:p>
        </w:tc>
        <w:tc>
          <w:tcPr>
            <w:tcW w:w="192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eastAsia="zh-CN"/>
              </w:rPr>
            </w:pPr>
            <w:r>
              <w:rPr>
                <w:rFonts w:hint="eastAsia" w:cs="宋体" w:asciiTheme="majorEastAsia" w:hAnsiTheme="majorEastAsia" w:eastAsiaTheme="majorEastAsia"/>
                <w:b/>
                <w:szCs w:val="21"/>
                <w:lang w:eastAsia="zh-CN"/>
              </w:rPr>
              <w:t>建筑面积（</w:t>
            </w:r>
            <w:r>
              <w:rPr>
                <w:rFonts w:hint="eastAsia" w:ascii="宋体" w:hAnsi="宋体" w:eastAsia="宋体" w:cs="宋体"/>
                <w:b/>
                <w:szCs w:val="21"/>
                <w:lang w:eastAsia="zh-CN"/>
              </w:rPr>
              <w:t>㎡</w:t>
            </w:r>
            <w:r>
              <w:rPr>
                <w:rFonts w:hint="eastAsia" w:cs="宋体" w:asciiTheme="majorEastAsia" w:hAnsiTheme="majorEastAsia" w:eastAsiaTheme="majorEastAsia"/>
                <w:b/>
                <w:szCs w:val="21"/>
                <w:lang w:eastAsia="zh-CN"/>
              </w:rPr>
              <w:t>）</w:t>
            </w:r>
          </w:p>
        </w:tc>
        <w:tc>
          <w:tcPr>
            <w:tcW w:w="193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eastAsia="zh-CN"/>
              </w:rPr>
            </w:pPr>
            <w:r>
              <w:rPr>
                <w:rFonts w:hint="eastAsia" w:cs="宋体" w:asciiTheme="majorEastAsia" w:hAnsiTheme="majorEastAsia" w:eastAsiaTheme="majorEastAsia"/>
                <w:b/>
                <w:szCs w:val="21"/>
                <w:lang w:eastAsia="zh-CN"/>
              </w:rPr>
              <w:t>评估净值</w:t>
            </w:r>
          </w:p>
        </w:tc>
        <w:tc>
          <w:tcPr>
            <w:tcW w:w="105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eastAsia="zh-CN"/>
              </w:rPr>
            </w:pPr>
            <w:r>
              <w:rPr>
                <w:rFonts w:hint="eastAsia" w:cs="宋体" w:asciiTheme="majorEastAsia" w:hAnsiTheme="majorEastAsia" w:eastAsiaTheme="majorEastAsia"/>
                <w:b/>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1</w:t>
            </w:r>
          </w:p>
        </w:tc>
        <w:tc>
          <w:tcPr>
            <w:tcW w:w="125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住宅房屋</w:t>
            </w:r>
          </w:p>
        </w:tc>
        <w:tc>
          <w:tcPr>
            <w:tcW w:w="208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60</w:t>
            </w:r>
          </w:p>
        </w:tc>
        <w:tc>
          <w:tcPr>
            <w:tcW w:w="192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3,550.24</w:t>
            </w:r>
          </w:p>
        </w:tc>
        <w:tc>
          <w:tcPr>
            <w:tcW w:w="1935"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5,652,398.15</w:t>
            </w:r>
          </w:p>
        </w:tc>
        <w:tc>
          <w:tcPr>
            <w:tcW w:w="105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60"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2</w:t>
            </w:r>
          </w:p>
        </w:tc>
        <w:tc>
          <w:tcPr>
            <w:tcW w:w="125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营业用房</w:t>
            </w:r>
          </w:p>
        </w:tc>
        <w:tc>
          <w:tcPr>
            <w:tcW w:w="208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2</w:t>
            </w:r>
          </w:p>
        </w:tc>
        <w:tc>
          <w:tcPr>
            <w:tcW w:w="192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94.25</w:t>
            </w:r>
          </w:p>
        </w:tc>
        <w:tc>
          <w:tcPr>
            <w:tcW w:w="1935"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312,159.65</w:t>
            </w:r>
          </w:p>
        </w:tc>
        <w:tc>
          <w:tcPr>
            <w:tcW w:w="105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915" w:type="dxa"/>
            <w:gridSpan w:val="2"/>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cs="宋体" w:asciiTheme="majorEastAsia" w:hAnsiTheme="majorEastAsia" w:eastAsiaTheme="majorEastAsia"/>
                <w:b/>
                <w:szCs w:val="21"/>
              </w:rPr>
            </w:pPr>
            <w:r>
              <w:rPr>
                <w:rFonts w:hint="eastAsia" w:cs="宋体" w:asciiTheme="majorEastAsia" w:hAnsiTheme="majorEastAsia" w:eastAsiaTheme="majorEastAsia"/>
                <w:b/>
                <w:szCs w:val="21"/>
              </w:rPr>
              <w:t>合      计</w:t>
            </w:r>
          </w:p>
        </w:tc>
        <w:tc>
          <w:tcPr>
            <w:tcW w:w="2085" w:type="dxa"/>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62</w:t>
            </w:r>
          </w:p>
        </w:tc>
        <w:tc>
          <w:tcPr>
            <w:tcW w:w="192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szCs w:val="21"/>
                <w:lang w:val="en-US" w:eastAsia="zh-CN"/>
              </w:rPr>
            </w:pPr>
            <w:r>
              <w:rPr>
                <w:rFonts w:hint="eastAsia" w:cs="宋体" w:asciiTheme="majorEastAsia" w:hAnsiTheme="majorEastAsia" w:eastAsiaTheme="majorEastAsia"/>
                <w:b/>
                <w:szCs w:val="21"/>
                <w:lang w:val="en-US" w:eastAsia="zh-CN"/>
              </w:rPr>
              <w:t>3,644.49</w:t>
            </w:r>
          </w:p>
        </w:tc>
        <w:tc>
          <w:tcPr>
            <w:tcW w:w="1935"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kern w:val="2"/>
                <w:sz w:val="21"/>
                <w:szCs w:val="21"/>
                <w:lang w:val="en-US" w:eastAsia="zh-CN" w:bidi="ar-SA"/>
              </w:rPr>
            </w:pPr>
            <w:r>
              <w:rPr>
                <w:rFonts w:hint="eastAsia" w:cs="宋体" w:asciiTheme="majorEastAsia" w:hAnsiTheme="majorEastAsia" w:eastAsiaTheme="majorEastAsia"/>
                <w:b/>
                <w:szCs w:val="21"/>
                <w:lang w:val="en-US" w:eastAsia="zh-CN"/>
              </w:rPr>
              <w:t>5,964,557.80</w:t>
            </w:r>
          </w:p>
        </w:tc>
        <w:tc>
          <w:tcPr>
            <w:tcW w:w="1050" w:type="dxa"/>
            <w:vAlign w:val="center"/>
          </w:tcPr>
          <w:p>
            <w:pPr>
              <w:keepNext w:val="0"/>
              <w:keepLines w:val="0"/>
              <w:pageBreakBefore w:val="0"/>
              <w:widowControl w:val="0"/>
              <w:kinsoku/>
              <w:wordWrap/>
              <w:overflowPunct/>
              <w:topLinePunct w:val="0"/>
              <w:autoSpaceDE/>
              <w:autoSpaceDN/>
              <w:bidi w:val="0"/>
              <w:adjustRightInd/>
              <w:spacing w:line="440" w:lineRule="exact"/>
              <w:jc w:val="right"/>
              <w:textAlignment w:val="auto"/>
              <w:rPr>
                <w:rFonts w:hint="default" w:cs="宋体" w:asciiTheme="majorEastAsia" w:hAnsiTheme="majorEastAsia" w:eastAsiaTheme="majorEastAsia"/>
                <w:b/>
                <w:kern w:val="2"/>
                <w:sz w:val="21"/>
                <w:szCs w:val="21"/>
                <w:lang w:val="en-US" w:eastAsia="zh-CN" w:bidi="ar-SA"/>
              </w:rPr>
            </w:pPr>
          </w:p>
        </w:tc>
      </w:tr>
    </w:tbl>
    <w:p>
      <w:pPr>
        <w:spacing w:line="440" w:lineRule="exact"/>
        <w:ind w:firstLine="472" w:firstLineChars="196"/>
        <w:jc w:val="left"/>
        <w:rPr>
          <w:rFonts w:asciiTheme="majorEastAsia" w:hAnsiTheme="majorEastAsia" w:eastAsiaTheme="majorEastAsia"/>
          <w:b/>
          <w:sz w:val="24"/>
        </w:rPr>
      </w:pPr>
      <w:r>
        <w:rPr>
          <w:rFonts w:hint="eastAsia" w:asciiTheme="majorEastAsia" w:hAnsiTheme="majorEastAsia" w:eastAsiaTheme="majorEastAsia"/>
          <w:b/>
          <w:sz w:val="24"/>
        </w:rPr>
        <w:t>十一、特别事项说明</w:t>
      </w:r>
    </w:p>
    <w:p>
      <w:pPr>
        <w:spacing w:line="440" w:lineRule="exact"/>
        <w:ind w:firstLine="470" w:firstLineChars="196"/>
        <w:jc w:val="left"/>
        <w:rPr>
          <w:rFonts w:asciiTheme="majorEastAsia" w:hAnsiTheme="majorEastAsia" w:eastAsiaTheme="majorEastAsia"/>
          <w:b/>
          <w:sz w:val="24"/>
        </w:rPr>
      </w:pPr>
      <w:r>
        <w:rPr>
          <w:rFonts w:hint="eastAsia" w:asciiTheme="majorEastAsia" w:hAnsiTheme="majorEastAsia" w:eastAsiaTheme="majorEastAsia"/>
          <w:color w:val="000000"/>
          <w:kern w:val="0"/>
          <w:sz w:val="24"/>
        </w:rPr>
        <w:t>以下为在评估过程中已发现可能影响评估结论但非</w:t>
      </w:r>
      <w:r>
        <w:rPr>
          <w:rFonts w:hint="eastAsia" w:asciiTheme="majorEastAsia" w:hAnsiTheme="majorEastAsia" w:eastAsiaTheme="majorEastAsia"/>
          <w:color w:val="000000"/>
          <w:kern w:val="0"/>
          <w:sz w:val="24"/>
          <w:lang w:eastAsia="zh-CN"/>
        </w:rPr>
        <w:t>评估专业人员</w:t>
      </w:r>
      <w:r>
        <w:rPr>
          <w:rFonts w:hint="eastAsia" w:asciiTheme="majorEastAsia" w:hAnsiTheme="majorEastAsia" w:eastAsiaTheme="majorEastAsia"/>
          <w:color w:val="000000"/>
          <w:kern w:val="0"/>
          <w:sz w:val="24"/>
        </w:rPr>
        <w:t>执业水平和能力所能评定估算的有关事项(包括但不限于)：</w:t>
      </w:r>
    </w:p>
    <w:p>
      <w:pPr>
        <w:spacing w:line="440" w:lineRule="exact"/>
        <w:ind w:firstLine="470" w:firstLineChars="196"/>
        <w:jc w:val="left"/>
        <w:rPr>
          <w:rFonts w:hint="eastAsia" w:asciiTheme="majorEastAsia" w:hAnsiTheme="majorEastAsia" w:eastAsiaTheme="majorEastAsia"/>
          <w:sz w:val="24"/>
        </w:rPr>
      </w:pPr>
      <w:r>
        <w:rPr>
          <w:rFonts w:hint="eastAsia" w:asciiTheme="majorEastAsia" w:hAnsiTheme="majorEastAsia" w:eastAsiaTheme="majorEastAsia"/>
          <w:sz w:val="24"/>
        </w:rPr>
        <w:t>1.本评估报告只能用于载明的评估目的，不可挪作他用。因使用不当造成的后果与签字资产评估师及其所在的评估机构无关。</w:t>
      </w:r>
    </w:p>
    <w:p>
      <w:pPr>
        <w:spacing w:line="440" w:lineRule="exact"/>
        <w:ind w:firstLine="470" w:firstLineChars="196"/>
        <w:jc w:val="left"/>
        <w:rPr>
          <w:rFonts w:hint="eastAsia" w:asciiTheme="majorEastAsia" w:hAnsiTheme="majorEastAsia" w:eastAsiaTheme="majorEastAsia"/>
          <w:sz w:val="24"/>
        </w:rPr>
      </w:pPr>
      <w:r>
        <w:rPr>
          <w:rFonts w:hint="eastAsia" w:asciiTheme="majorEastAsia" w:hAnsiTheme="majorEastAsia" w:eastAsiaTheme="majorEastAsia"/>
          <w:sz w:val="24"/>
        </w:rPr>
        <w:t>2.本报告是在独立、客观、公正的原则下做出的，</w:t>
      </w:r>
      <w:r>
        <w:rPr>
          <w:rFonts w:hint="eastAsia" w:asciiTheme="majorEastAsia" w:hAnsiTheme="majorEastAsia" w:eastAsiaTheme="majorEastAsia"/>
          <w:sz w:val="24"/>
          <w:lang w:eastAsia="zh-CN"/>
        </w:rPr>
        <w:t>评估专业人员</w:t>
      </w:r>
      <w:r>
        <w:rPr>
          <w:rFonts w:hint="eastAsia" w:asciiTheme="majorEastAsia" w:hAnsiTheme="majorEastAsia" w:eastAsiaTheme="majorEastAsia"/>
          <w:sz w:val="24"/>
        </w:rPr>
        <w:t>在评估过程中恪守职业道德和规范。</w:t>
      </w:r>
    </w:p>
    <w:p>
      <w:pPr>
        <w:spacing w:line="440" w:lineRule="exact"/>
        <w:ind w:firstLine="470" w:firstLineChars="196"/>
        <w:jc w:val="left"/>
        <w:rPr>
          <w:rFonts w:hint="eastAsia" w:asciiTheme="majorEastAsia" w:hAnsiTheme="majorEastAsia" w:eastAsiaTheme="majorEastAsia"/>
          <w:sz w:val="24"/>
        </w:rPr>
      </w:pPr>
      <w:r>
        <w:rPr>
          <w:rFonts w:hint="eastAsia" w:asciiTheme="majorEastAsia" w:hAnsiTheme="majorEastAsia" w:eastAsiaTheme="majorEastAsia"/>
          <w:sz w:val="24"/>
        </w:rPr>
        <w:t>3.本报告所称“评估价值”是指所评估资产价值在评估基准日之状况和外部经济环境前提下，为本报告书所列明的目的而提出的专业意见。</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4</w:t>
      </w:r>
      <w:r>
        <w:rPr>
          <w:rFonts w:hint="eastAsia" w:asciiTheme="majorEastAsia" w:hAnsiTheme="majorEastAsia" w:eastAsiaTheme="majorEastAsia"/>
          <w:sz w:val="24"/>
        </w:rPr>
        <w:t>.本报告中，我们的责任是对评估对象在评估基准日的市场</w:t>
      </w:r>
      <w:r>
        <w:rPr>
          <w:rFonts w:hint="eastAsia" w:asciiTheme="majorEastAsia" w:hAnsiTheme="majorEastAsia" w:eastAsiaTheme="majorEastAsia"/>
          <w:sz w:val="24"/>
          <w:lang w:eastAsia="zh-CN"/>
        </w:rPr>
        <w:t>价值</w:t>
      </w:r>
      <w:r>
        <w:rPr>
          <w:rFonts w:hint="eastAsia" w:asciiTheme="majorEastAsia" w:hAnsiTheme="majorEastAsia" w:eastAsiaTheme="majorEastAsia"/>
          <w:sz w:val="24"/>
        </w:rPr>
        <w:t>进行估算并发表专业意见，对评估对象的法律权属不发表意见，也不作确认或保证。本报告所依据的权属及委托人和产权持有人提供的其它相关资料的真实性、完整性和合法性由委托人和</w:t>
      </w:r>
      <w:r>
        <w:rPr>
          <w:rFonts w:hint="eastAsia" w:asciiTheme="majorEastAsia" w:hAnsiTheme="majorEastAsia" w:eastAsiaTheme="majorEastAsia"/>
          <w:sz w:val="24"/>
          <w:lang w:eastAsia="zh-CN"/>
        </w:rPr>
        <w:t>相关当事人</w:t>
      </w:r>
      <w:r>
        <w:rPr>
          <w:rFonts w:hint="eastAsia" w:asciiTheme="majorEastAsia" w:hAnsiTheme="majorEastAsia" w:eastAsiaTheme="majorEastAsia"/>
          <w:sz w:val="24"/>
        </w:rPr>
        <w:t>负责。如有因产权问题引起纠纷，与评估机构和资产评估师无关。</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5</w:t>
      </w:r>
      <w:r>
        <w:rPr>
          <w:rFonts w:hint="eastAsia" w:asciiTheme="majorEastAsia" w:hAnsiTheme="majorEastAsia" w:eastAsiaTheme="majorEastAsia"/>
          <w:sz w:val="24"/>
        </w:rPr>
        <w:t>.本评估结果是对</w:t>
      </w:r>
      <w:r>
        <w:rPr>
          <w:rFonts w:hint="eastAsia" w:asciiTheme="majorEastAsia" w:hAnsiTheme="majorEastAsia" w:eastAsiaTheme="majorEastAsia"/>
          <w:sz w:val="24"/>
          <w:lang w:eastAsia="zh-CN"/>
        </w:rPr>
        <w:t>二〇二二年二月二十五日</w:t>
      </w:r>
      <w:r>
        <w:rPr>
          <w:rFonts w:hint="eastAsia" w:asciiTheme="majorEastAsia" w:hAnsiTheme="majorEastAsia" w:eastAsiaTheme="majorEastAsia"/>
          <w:sz w:val="24"/>
        </w:rPr>
        <w:t>这一评估基准日所评估资产价值的客观公允反映，我评估所对这一基准日后该资产价值发生重大变化不负责任。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.截止至评估基准日，该住宅用房处于</w:t>
      </w:r>
      <w:r>
        <w:rPr>
          <w:rFonts w:hint="eastAsia" w:asciiTheme="majorEastAsia" w:hAnsiTheme="majorEastAsia" w:eastAsiaTheme="majorEastAsia"/>
          <w:sz w:val="24"/>
          <w:lang w:eastAsia="zh-CN"/>
        </w:rPr>
        <w:t>闲置</w:t>
      </w:r>
      <w:r>
        <w:rPr>
          <w:rFonts w:hint="eastAsia" w:asciiTheme="majorEastAsia" w:hAnsiTheme="majorEastAsia" w:eastAsiaTheme="majorEastAsia"/>
          <w:sz w:val="24"/>
        </w:rPr>
        <w:t>状态。本</w:t>
      </w:r>
      <w:r>
        <w:rPr>
          <w:rFonts w:hint="eastAsia" w:asciiTheme="majorEastAsia" w:hAnsiTheme="majorEastAsia" w:eastAsiaTheme="majorEastAsia"/>
          <w:sz w:val="24"/>
          <w:lang w:eastAsia="zh-CN"/>
        </w:rPr>
        <w:t>次</w:t>
      </w:r>
      <w:r>
        <w:rPr>
          <w:rFonts w:hint="eastAsia" w:asciiTheme="majorEastAsia" w:hAnsiTheme="majorEastAsia" w:eastAsiaTheme="majorEastAsia"/>
          <w:sz w:val="24"/>
        </w:rPr>
        <w:t>报告评估结论不考虑评估对象抵押、查封、租赁等因素对价值的影响。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7.本次司法执行财产处置评估业务中，在评定估算形成评估结论的过程中不考虑评估费、拍卖费、诉讼费、律师费以及交易税费等财产处置费用对评估结论的影响</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8</w:t>
      </w:r>
      <w:r>
        <w:rPr>
          <w:rFonts w:hint="eastAsia" w:asciiTheme="majorEastAsia" w:hAnsiTheme="majorEastAsia" w:eastAsiaTheme="majorEastAsia"/>
          <w:sz w:val="24"/>
        </w:rPr>
        <w:t>.本次评估对象其权属及建筑面积以委托人提供</w:t>
      </w:r>
      <w:r>
        <w:rPr>
          <w:rFonts w:hint="eastAsia" w:asciiTheme="majorEastAsia" w:hAnsiTheme="majorEastAsia" w:eastAsiaTheme="majorEastAsia"/>
          <w:sz w:val="24"/>
          <w:lang w:val="en-US" w:eastAsia="zh-CN"/>
        </w:rPr>
        <w:t>的辽源市龙山区人民法院司法辅助办公室《司法鉴定委托书》（（2022）吉0402委评28号）；《对外委托案件移送表》；《辽源市龙山区人民法院执行裁定书》（2018）0402执475号、476号为依据</w:t>
      </w:r>
      <w:r>
        <w:rPr>
          <w:rFonts w:hint="eastAsia" w:asciiTheme="majorEastAsia" w:hAnsiTheme="majorEastAsia" w:eastAsiaTheme="majorEastAsia"/>
          <w:sz w:val="24"/>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9</w:t>
      </w:r>
      <w:r>
        <w:rPr>
          <w:rFonts w:hint="eastAsia" w:asciiTheme="majorEastAsia" w:hAnsiTheme="majorEastAsia" w:eastAsiaTheme="majorEastAsia"/>
          <w:sz w:val="24"/>
        </w:rPr>
        <w:t>.本次评估已进行现场勘查，</w:t>
      </w:r>
      <w:r>
        <w:rPr>
          <w:rFonts w:hint="eastAsia" w:asciiTheme="majorEastAsia" w:hAnsiTheme="majorEastAsia" w:eastAsiaTheme="majorEastAsia"/>
          <w:sz w:val="24"/>
          <w:lang w:eastAsia="zh-CN"/>
        </w:rPr>
        <w:t>申请人及法院工作人员到达现场，并在</w:t>
      </w:r>
      <w:r>
        <w:rPr>
          <w:rFonts w:hint="eastAsia" w:asciiTheme="majorEastAsia" w:hAnsiTheme="majorEastAsia" w:eastAsiaTheme="majorEastAsia"/>
          <w:sz w:val="24"/>
        </w:rPr>
        <w:t>现场勘查记录上签字确认</w:t>
      </w:r>
      <w:r>
        <w:rPr>
          <w:rFonts w:hint="eastAsia" w:asciiTheme="majorEastAsia" w:hAnsiTheme="majorEastAsia" w:eastAsiaTheme="majorEastAsia"/>
          <w:sz w:val="24"/>
          <w:lang w:eastAsia="zh-CN"/>
        </w:rPr>
        <w:t>，被申请人未到达现场。</w:t>
      </w:r>
      <w:r>
        <w:rPr>
          <w:rFonts w:hint="eastAsia" w:asciiTheme="majorEastAsia" w:hAnsiTheme="majorEastAsia" w:eastAsiaTheme="majorEastAsia"/>
          <w:sz w:val="24"/>
          <w:lang w:val="en-US" w:eastAsia="zh-CN"/>
        </w:rPr>
        <w:t>根据《司法鉴定委托书》（（2022）吉0402委评28号）记载，本次评估范围为</w:t>
      </w:r>
      <w:r>
        <w:rPr>
          <w:rFonts w:hint="eastAsia" w:asciiTheme="majorEastAsia" w:hAnsiTheme="majorEastAsia" w:eastAsiaTheme="majorEastAsia"/>
          <w:sz w:val="24"/>
          <w:lang w:eastAsia="zh-CN"/>
        </w:rPr>
        <w:t>位于东辽县建安镇小街嘉兴花园小区内</w:t>
      </w:r>
      <w:r>
        <w:rPr>
          <w:rFonts w:hint="eastAsia" w:asciiTheme="majorEastAsia" w:hAnsiTheme="majorEastAsia" w:eastAsiaTheme="majorEastAsia"/>
          <w:sz w:val="24"/>
          <w:lang w:val="en-US" w:eastAsia="zh-CN"/>
        </w:rPr>
        <w:t>62套房屋。</w:t>
      </w:r>
      <w:r>
        <w:rPr>
          <w:rFonts w:hint="eastAsia" w:ascii="宋体" w:hAnsi="宋体" w:cs="Times New Roman"/>
          <w:color w:val="auto"/>
          <w:kern w:val="2"/>
          <w:sz w:val="24"/>
          <w:szCs w:val="24"/>
          <w:lang w:val="en-US" w:eastAsia="zh-CN" w:bidi="ar-SA"/>
        </w:rPr>
        <w:t>如有异议，请重新委托评估。</w:t>
      </w:r>
    </w:p>
    <w:p>
      <w:pPr>
        <w:spacing w:line="440" w:lineRule="exact"/>
        <w:ind w:firstLine="470" w:firstLineChars="196"/>
        <w:jc w:val="left"/>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10.依据《司法鉴定委托书》，评估委托日期为2022年2月22日，应委托书要求评估机构在委托日期后的30个工作日内提交书面评估报告，但由于疫情原因，影响评估工作的正常进行，经评估机构与委托人协商并经委托人同意，本次评估将于2022年5月18日提交评估报告。</w:t>
      </w:r>
    </w:p>
    <w:p>
      <w:pPr>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评估报告使用者充分注意以上事项及瑕疵对评估报告结果产生的影响！</w:t>
      </w:r>
    </w:p>
    <w:p>
      <w:pPr>
        <w:spacing w:line="44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十二、评估报告使用限制说明</w:t>
      </w:r>
    </w:p>
    <w:p>
      <w:pPr>
        <w:pStyle w:val="25"/>
        <w:tabs>
          <w:tab w:val="left" w:pos="480"/>
        </w:tabs>
        <w:spacing w:line="360" w:lineRule="auto"/>
        <w:ind w:firstLine="480" w:firstLineChars="200"/>
        <w:rPr>
          <w:rFonts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1、评估结果是反映评估对象在本次评估目的下，根据公开市场原则确定的现行公允价值，没有考虑将来可能承担抵押、担保事宜以及特殊交易方式可能追加付出对评估价值的影响，也未考虑国家宏观经济政策发生变化以及遇有自然力和其它不可抗力对资产价格影响，当前述评估目的等条件发生变化时，评估结果一般会失效。</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2、在评估有效期以内，若资产价格标准及数量发生变化，并对资产评估值产生明显影响时，委托人应及时聘请评估机构重新确定评估值。</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3、除非事先已有明确的书面约定，我们仅为委托人就本报告所载范围内的资产做价值评估，我们的责任和义务也仅限于价值评估，对本次评估所对应的经济行为的相关问题。</w:t>
      </w:r>
    </w:p>
    <w:p>
      <w:pPr>
        <w:pStyle w:val="25"/>
        <w:tabs>
          <w:tab w:val="left" w:pos="480"/>
        </w:tabs>
        <w:spacing w:line="360" w:lineRule="auto"/>
        <w:ind w:firstLine="480" w:firstLineChars="200"/>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4、对委估资产的现场勘察仅限于资产的外观和使用状况，除非另有协议外，资产评估师及相关</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不担负对委估资产质量进行调查的责任，也不担负其被遮盖、未暴露或难于接触到部分进行检测的责任。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5、委托评估的资产可能存在影响本次资产评估价值的瑕疵事项，若委托人委托时未作特殊说明，而</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根据专业经验一般又不能获悉的情况下，本评估机构和</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不承担相关责任。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6、本次评估结论是本评估机构出具的，受本机构</w:t>
      </w:r>
      <w:r>
        <w:rPr>
          <w:rFonts w:hint="eastAsia" w:cs="仿宋_GB2312" w:asciiTheme="majorEastAsia" w:hAnsiTheme="majorEastAsia" w:eastAsiaTheme="majorEastAsia"/>
          <w:snapToGrid w:val="0"/>
          <w:color w:val="000000"/>
          <w:spacing w:val="0"/>
          <w:sz w:val="24"/>
          <w:szCs w:val="24"/>
          <w:lang w:eastAsia="zh-CN"/>
        </w:rPr>
        <w:t>评估专业人员</w:t>
      </w:r>
      <w:r>
        <w:rPr>
          <w:rFonts w:hint="eastAsia" w:cs="仿宋_GB2312" w:asciiTheme="majorEastAsia" w:hAnsiTheme="majorEastAsia" w:eastAsiaTheme="majorEastAsia"/>
          <w:snapToGrid w:val="0"/>
          <w:color w:val="000000"/>
          <w:spacing w:val="0"/>
          <w:sz w:val="24"/>
          <w:szCs w:val="24"/>
        </w:rPr>
        <w:t>的执业水平和能力的影响。</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7、本评估结论根据上述原则、依据、方法、前提得出的，因此只有在上述原则、依据、方法、前提存在的条件下成立。本报告仅为委托人拟司法执行财产的处置价值提供参考意见，不作其他目的使用，用于其他目的无效。法律、法规另有规定的除外。</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8、本评估结论仅供委托人、产权持有人及法律法规规定的其他评估报告使用人作为本次评估目的使用和送交资产评估行业协会质量检查使用，评估报告书的使用权归委托人所有，未经委托人许可，评估机构不得随意向他人提供或公开，不得见诸于公开媒体。由于委托人、产权持有人及法律法规规定的其他评估报告使用人不当使用评估报告所造成的后果，本评估机构不承担任何责任。</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9、资产评估报告使用人应当正确理解评估结论。评估结论不等同于评估对象可实现价格，评估结论不应当被认为是对评估对象可实现价格的保证。</w:t>
      </w:r>
    </w:p>
    <w:p>
      <w:pPr>
        <w:pStyle w:val="25"/>
        <w:keepNext w:val="0"/>
        <w:keepLines w:val="0"/>
        <w:pageBreakBefore w:val="0"/>
        <w:widowControl w:val="0"/>
        <w:tabs>
          <w:tab w:val="left" w:pos="480"/>
        </w:tabs>
        <w:kinsoku/>
        <w:wordWrap/>
        <w:overflowPunct/>
        <w:topLinePunct w:val="0"/>
        <w:autoSpaceDE/>
        <w:autoSpaceDN/>
        <w:bidi w:val="0"/>
        <w:adjustRightInd/>
        <w:snapToGrid/>
        <w:spacing w:line="440" w:lineRule="exact"/>
        <w:ind w:firstLine="480" w:firstLineChars="200"/>
        <w:textAlignment w:val="auto"/>
        <w:rPr>
          <w:rFonts w:hint="eastAsia" w:cs="仿宋_GB2312" w:asciiTheme="majorEastAsia" w:hAnsiTheme="majorEastAsia" w:eastAsiaTheme="majorEastAsia"/>
          <w:snapToGrid w:val="0"/>
          <w:color w:val="000000"/>
          <w:spacing w:val="0"/>
          <w:sz w:val="24"/>
          <w:szCs w:val="24"/>
        </w:rPr>
      </w:pPr>
      <w:r>
        <w:rPr>
          <w:rFonts w:hint="eastAsia" w:cs="仿宋_GB2312" w:asciiTheme="majorEastAsia" w:hAnsiTheme="majorEastAsia" w:eastAsiaTheme="majorEastAsia"/>
          <w:snapToGrid w:val="0"/>
          <w:color w:val="000000"/>
          <w:spacing w:val="0"/>
          <w:sz w:val="24"/>
          <w:szCs w:val="24"/>
        </w:rPr>
        <w:t>10、本报告书评估结论有效期限为一年，即自评估基准日</w:t>
      </w:r>
      <w:r>
        <w:rPr>
          <w:rFonts w:hint="eastAsia" w:cs="仿宋_GB2312" w:asciiTheme="majorEastAsia" w:hAnsiTheme="majorEastAsia" w:eastAsiaTheme="majorEastAsia"/>
          <w:snapToGrid w:val="0"/>
          <w:color w:val="000000"/>
          <w:spacing w:val="0"/>
          <w:sz w:val="24"/>
          <w:szCs w:val="24"/>
          <w:lang w:eastAsia="zh-CN"/>
        </w:rPr>
        <w:t>2022年2月</w:t>
      </w:r>
      <w:r>
        <w:rPr>
          <w:rFonts w:hint="eastAsia" w:cs="仿宋_GB2312" w:asciiTheme="majorEastAsia" w:hAnsiTheme="majorEastAsia" w:eastAsiaTheme="majorEastAsia"/>
          <w:snapToGrid w:val="0"/>
          <w:color w:val="000000"/>
          <w:spacing w:val="0"/>
          <w:sz w:val="24"/>
          <w:szCs w:val="24"/>
          <w:lang w:val="en-US" w:eastAsia="zh-CN"/>
        </w:rPr>
        <w:t>25</w:t>
      </w:r>
      <w:r>
        <w:rPr>
          <w:rFonts w:hint="eastAsia" w:cs="仿宋_GB2312" w:asciiTheme="majorEastAsia" w:hAnsiTheme="majorEastAsia" w:eastAsiaTheme="majorEastAsia"/>
          <w:snapToGrid w:val="0"/>
          <w:color w:val="000000"/>
          <w:spacing w:val="0"/>
          <w:sz w:val="24"/>
          <w:szCs w:val="24"/>
          <w:lang w:eastAsia="zh-CN"/>
        </w:rPr>
        <w:t>日</w:t>
      </w:r>
      <w:r>
        <w:rPr>
          <w:rFonts w:hint="eastAsia" w:cs="仿宋_GB2312" w:asciiTheme="majorEastAsia" w:hAnsiTheme="majorEastAsia" w:eastAsiaTheme="majorEastAsia"/>
          <w:snapToGrid w:val="0"/>
          <w:color w:val="000000"/>
          <w:spacing w:val="0"/>
          <w:sz w:val="24"/>
          <w:szCs w:val="24"/>
        </w:rPr>
        <w:t>起至</w:t>
      </w:r>
      <w:r>
        <w:rPr>
          <w:rFonts w:hint="eastAsia" w:cs="仿宋_GB2312" w:asciiTheme="majorEastAsia" w:hAnsiTheme="majorEastAsia" w:eastAsiaTheme="majorEastAsia"/>
          <w:snapToGrid w:val="0"/>
          <w:color w:val="000000"/>
          <w:spacing w:val="0"/>
          <w:sz w:val="24"/>
          <w:szCs w:val="24"/>
          <w:lang w:eastAsia="zh-CN"/>
        </w:rPr>
        <w:t>2023年2月</w:t>
      </w:r>
      <w:r>
        <w:rPr>
          <w:rFonts w:hint="eastAsia" w:cs="仿宋_GB2312" w:asciiTheme="majorEastAsia" w:hAnsiTheme="majorEastAsia" w:eastAsiaTheme="majorEastAsia"/>
          <w:snapToGrid w:val="0"/>
          <w:color w:val="000000"/>
          <w:spacing w:val="0"/>
          <w:sz w:val="24"/>
          <w:szCs w:val="24"/>
          <w:lang w:val="en-US" w:eastAsia="zh-CN"/>
        </w:rPr>
        <w:t>24</w:t>
      </w:r>
      <w:r>
        <w:rPr>
          <w:rFonts w:hint="eastAsia" w:cs="仿宋_GB2312" w:asciiTheme="majorEastAsia" w:hAnsiTheme="majorEastAsia" w:eastAsiaTheme="majorEastAsia"/>
          <w:snapToGrid w:val="0"/>
          <w:color w:val="000000"/>
          <w:spacing w:val="0"/>
          <w:sz w:val="24"/>
          <w:szCs w:val="24"/>
          <w:lang w:eastAsia="zh-CN"/>
        </w:rPr>
        <w:t>日</w:t>
      </w:r>
      <w:r>
        <w:rPr>
          <w:rFonts w:hint="eastAsia" w:cs="仿宋_GB2312" w:asciiTheme="majorEastAsia" w:hAnsiTheme="majorEastAsia" w:eastAsiaTheme="majorEastAsia"/>
          <w:snapToGrid w:val="0"/>
          <w:color w:val="000000"/>
          <w:spacing w:val="0"/>
          <w:sz w:val="24"/>
          <w:szCs w:val="24"/>
        </w:rPr>
        <w:t>止。</w:t>
      </w:r>
    </w:p>
    <w:p>
      <w:pPr>
        <w:spacing w:line="440" w:lineRule="exact"/>
        <w:ind w:firstLine="482" w:firstLineChars="200"/>
        <w:jc w:val="left"/>
        <w:rPr>
          <w:rFonts w:asciiTheme="majorEastAsia" w:hAnsiTheme="majorEastAsia" w:eastAsiaTheme="majorEastAsia"/>
          <w:sz w:val="24"/>
        </w:rPr>
      </w:pPr>
      <w:r>
        <w:rPr>
          <w:rFonts w:hint="eastAsia" w:asciiTheme="majorEastAsia" w:hAnsiTheme="majorEastAsia" w:eastAsiaTheme="majorEastAsia"/>
          <w:b/>
          <w:sz w:val="24"/>
        </w:rPr>
        <w:t>十三、评估报告日</w:t>
      </w:r>
    </w:p>
    <w:p>
      <w:pPr>
        <w:tabs>
          <w:tab w:val="left" w:pos="0"/>
          <w:tab w:val="left" w:pos="11988"/>
        </w:tabs>
        <w:spacing w:line="440" w:lineRule="exact"/>
        <w:ind w:firstLine="480" w:firstLineChars="200"/>
        <w:jc w:val="left"/>
        <w:rPr>
          <w:rFonts w:hint="eastAsia" w:asciiTheme="majorEastAsia" w:hAnsiTheme="majorEastAsia" w:eastAsiaTheme="majorEastAsia"/>
          <w:b/>
          <w:sz w:val="24"/>
          <w:lang w:eastAsia="zh-CN"/>
        </w:rPr>
      </w:pPr>
      <w:r>
        <w:rPr>
          <w:rFonts w:hint="eastAsia" w:asciiTheme="majorEastAsia" w:hAnsiTheme="majorEastAsia" w:eastAsiaTheme="majorEastAsia"/>
          <w:kern w:val="0"/>
          <w:sz w:val="24"/>
        </w:rPr>
        <w:t>评估报告载明的评估报告日为资产评估师形成最终专业意见的日期，本次评估报告的出具日期为</w:t>
      </w:r>
      <w:r>
        <w:rPr>
          <w:rFonts w:hint="eastAsia" w:asciiTheme="majorEastAsia" w:hAnsiTheme="majorEastAsia" w:eastAsiaTheme="majorEastAsia"/>
          <w:kern w:val="0"/>
          <w:sz w:val="24"/>
          <w:highlight w:val="none"/>
          <w:lang w:eastAsia="zh-CN"/>
        </w:rPr>
        <w:t>二〇二二年五月十八日</w:t>
      </w:r>
      <w:r>
        <w:rPr>
          <w:rFonts w:hint="eastAsia" w:asciiTheme="majorEastAsia" w:hAnsiTheme="majorEastAsia" w:eastAsiaTheme="majorEastAsia"/>
          <w:kern w:val="0"/>
          <w:sz w:val="24"/>
        </w:rPr>
        <w:t>。</w:t>
      </w:r>
    </w:p>
    <w:p>
      <w:pPr>
        <w:tabs>
          <w:tab w:val="left" w:pos="0"/>
          <w:tab w:val="left" w:pos="11988"/>
        </w:tabs>
        <w:spacing w:line="460" w:lineRule="exact"/>
        <w:ind w:firstLine="482" w:firstLineChars="200"/>
        <w:jc w:val="left"/>
        <w:rPr>
          <w:rFonts w:hint="eastAsia" w:asciiTheme="majorEastAsia" w:hAnsiTheme="majorEastAsia" w:eastAsiaTheme="majorEastAsia"/>
          <w:sz w:val="24"/>
        </w:rPr>
      </w:pPr>
      <w:r>
        <w:rPr>
          <w:rFonts w:hint="eastAsia" w:asciiTheme="majorEastAsia" w:hAnsiTheme="majorEastAsia" w:eastAsiaTheme="majorEastAsia"/>
          <w:b/>
          <w:sz w:val="24"/>
        </w:rPr>
        <w:t>十四、签字盖章</w:t>
      </w: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p>
    <w:p>
      <w:pPr>
        <w:tabs>
          <w:tab w:val="left" w:pos="0"/>
          <w:tab w:val="left" w:pos="11988"/>
        </w:tabs>
        <w:spacing w:line="440" w:lineRule="exact"/>
        <w:ind w:firstLine="482" w:firstLineChars="200"/>
        <w:jc w:val="left"/>
        <w:rPr>
          <w:rFonts w:hint="eastAsia" w:asciiTheme="majorEastAsia" w:hAnsiTheme="majorEastAsia" w:eastAsiaTheme="majorEastAsia"/>
          <w:b/>
          <w:bCs/>
          <w:sz w:val="24"/>
          <w:lang w:eastAsia="zh-CN"/>
        </w:rPr>
      </w:pPr>
    </w:p>
    <w:p>
      <w:pPr>
        <w:spacing w:line="460" w:lineRule="exact"/>
        <w:ind w:firstLine="5040" w:firstLineChars="2100"/>
        <w:jc w:val="left"/>
        <w:rPr>
          <w:rFonts w:asciiTheme="majorEastAsia" w:hAnsiTheme="majorEastAsia" w:eastAsiaTheme="majorEastAsia"/>
          <w:sz w:val="24"/>
        </w:rPr>
      </w:pPr>
      <w:r>
        <w:rPr>
          <w:rFonts w:hint="eastAsia" w:asciiTheme="majorEastAsia" w:hAnsiTheme="majorEastAsia" w:eastAsiaTheme="majorEastAsia"/>
          <w:sz w:val="24"/>
        </w:rPr>
        <w:t>执行合伙人：</w:t>
      </w:r>
    </w:p>
    <w:p>
      <w:pPr>
        <w:spacing w:line="460" w:lineRule="exact"/>
        <w:ind w:firstLine="360" w:firstLineChars="150"/>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jc w:val="left"/>
        <w:rPr>
          <w:rFonts w:asciiTheme="majorEastAsia" w:hAnsiTheme="majorEastAsia" w:eastAsiaTheme="majorEastAsia"/>
          <w:sz w:val="24"/>
        </w:rPr>
      </w:pPr>
    </w:p>
    <w:p>
      <w:pPr>
        <w:spacing w:line="4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 xml:space="preserve">评估机构：辽源新安资产评估事务所      资产评估师：  </w:t>
      </w:r>
    </w:p>
    <w:p>
      <w:pPr>
        <w:spacing w:line="460" w:lineRule="exact"/>
        <w:ind w:firstLine="2160" w:firstLineChars="900"/>
        <w:jc w:val="left"/>
        <w:rPr>
          <w:rFonts w:hint="eastAsia" w:asciiTheme="majorEastAsia" w:hAnsiTheme="majorEastAsia" w:eastAsiaTheme="majorEastAsia"/>
          <w:sz w:val="24"/>
        </w:rPr>
      </w:pPr>
      <w:r>
        <w:rPr>
          <w:rFonts w:hint="eastAsia" w:asciiTheme="majorEastAsia" w:hAnsiTheme="majorEastAsia" w:eastAsiaTheme="majorEastAsia"/>
          <w:sz w:val="24"/>
        </w:rPr>
        <w:t xml:space="preserve">（普通合伙）        </w:t>
      </w: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jc w:val="left"/>
        <w:rPr>
          <w:rFonts w:hint="eastAsia" w:asciiTheme="majorEastAsia" w:hAnsiTheme="majorEastAsia" w:eastAsiaTheme="majorEastAsia"/>
          <w:sz w:val="24"/>
        </w:rPr>
      </w:pPr>
    </w:p>
    <w:p>
      <w:pPr>
        <w:spacing w:line="460" w:lineRule="exact"/>
        <w:ind w:firstLine="5040" w:firstLineChars="2100"/>
        <w:jc w:val="left"/>
        <w:rPr>
          <w:rFonts w:asciiTheme="majorEastAsia" w:hAnsiTheme="majorEastAsia" w:eastAsiaTheme="majorEastAsia"/>
          <w:sz w:val="24"/>
        </w:rPr>
      </w:pPr>
      <w:r>
        <w:rPr>
          <w:rFonts w:hint="eastAsia" w:asciiTheme="majorEastAsia" w:hAnsiTheme="majorEastAsia" w:eastAsiaTheme="majorEastAsia"/>
          <w:sz w:val="24"/>
        </w:rPr>
        <w:t xml:space="preserve">资产评估师： </w:t>
      </w:r>
    </w:p>
    <w:p>
      <w:pPr>
        <w:spacing w:line="460" w:lineRule="exact"/>
        <w:ind w:firstLine="630" w:firstLineChars="300"/>
        <w:jc w:val="left"/>
        <w:rPr>
          <w:rFonts w:asciiTheme="majorEastAsia" w:hAnsiTheme="majorEastAsia" w:eastAsiaTheme="majorEastAsia"/>
          <w:szCs w:val="21"/>
        </w:rPr>
      </w:pPr>
      <w:r>
        <w:rPr>
          <w:rFonts w:hint="eastAsia" w:asciiTheme="majorEastAsia" w:hAnsiTheme="majorEastAsia" w:eastAsiaTheme="majorEastAsia"/>
          <w:szCs w:val="21"/>
        </w:rPr>
        <w:t xml:space="preserve">  </w:t>
      </w: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center"/>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jc w:val="both"/>
        <w:rPr>
          <w:rFonts w:hint="eastAsia" w:asciiTheme="majorEastAsia" w:hAnsiTheme="majorEastAsia" w:eastAsiaTheme="majorEastAsia"/>
          <w:b/>
          <w:sz w:val="36"/>
          <w:szCs w:val="36"/>
        </w:rPr>
      </w:pPr>
    </w:p>
    <w:p>
      <w:pPr>
        <w:ind w:firstLine="3614" w:firstLineChars="1000"/>
        <w:jc w:val="both"/>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附 件 目 录</w:t>
      </w:r>
    </w:p>
    <w:p>
      <w:pPr>
        <w:jc w:val="both"/>
        <w:rPr>
          <w:rFonts w:hint="eastAsia" w:asciiTheme="majorEastAsia" w:hAnsiTheme="majorEastAsia" w:eastAsiaTheme="majorEastAsia"/>
          <w:b/>
          <w:sz w:val="36"/>
          <w:szCs w:val="36"/>
        </w:rPr>
      </w:pPr>
    </w:p>
    <w:p>
      <w:pPr>
        <w:jc w:val="left"/>
        <w:rPr>
          <w:rFonts w:asciiTheme="majorEastAsia" w:hAnsiTheme="majorEastAsia" w:eastAsiaTheme="majorEastAsia"/>
          <w:sz w:val="24"/>
        </w:rPr>
      </w:pP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固定资产—房屋评估明细表</w:t>
      </w:r>
      <w:r>
        <w:rPr>
          <w:rFonts w:hint="eastAsia" w:asciiTheme="majorEastAsia" w:hAnsiTheme="majorEastAsia" w:eastAsiaTheme="majorEastAsia"/>
          <w:sz w:val="24"/>
        </w:rPr>
        <w:t>；</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辽源市龙山区人民法院司法辅助办公室《司法鉴定委托书》（（2022）吉0402委评28号）</w:t>
      </w:r>
      <w:r>
        <w:rPr>
          <w:rFonts w:hint="eastAsia" w:asciiTheme="majorEastAsia" w:hAnsiTheme="majorEastAsia" w:eastAsiaTheme="majorEastAsia"/>
          <w:sz w:val="24"/>
        </w:rPr>
        <w:t>；</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辽源市龙山区人民法院对外委托案件移送表；</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val="en-US" w:eastAsia="zh-CN"/>
        </w:rPr>
        <w:t>《辽源市龙山区人民法院执行裁定书》（2018）0402执475号、476号；</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现场勘察照片；</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lang w:eastAsia="zh-CN"/>
        </w:rPr>
        <w:t>司法鉴定人承诺书；</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《资产评估师承诺函》；</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评估机构营业执照复印件；</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资产评估机构变更备案公告复印件；</w:t>
      </w:r>
    </w:p>
    <w:p>
      <w:pPr>
        <w:numPr>
          <w:ilvl w:val="0"/>
          <w:numId w:val="3"/>
        </w:numPr>
        <w:spacing w:line="460" w:lineRule="exact"/>
        <w:ind w:left="420" w:leftChars="200" w:firstLine="314" w:firstLineChars="131"/>
        <w:jc w:val="left"/>
        <w:rPr>
          <w:rFonts w:hint="eastAsia" w:asciiTheme="majorEastAsia" w:hAnsiTheme="majorEastAsia" w:eastAsiaTheme="majorEastAsia"/>
          <w:sz w:val="24"/>
        </w:rPr>
      </w:pPr>
      <w:r>
        <w:rPr>
          <w:rFonts w:hint="eastAsia" w:asciiTheme="majorEastAsia" w:hAnsiTheme="majorEastAsia" w:eastAsiaTheme="majorEastAsia"/>
          <w:sz w:val="24"/>
        </w:rPr>
        <w:t>资产评估师资格证书复印件。</w:t>
      </w:r>
    </w:p>
    <w:sectPr>
      <w:headerReference r:id="rId3" w:type="default"/>
      <w:footerReference r:id="rId4" w:type="default"/>
      <w:pgSz w:w="11906" w:h="16838"/>
      <w:pgMar w:top="1267" w:right="1588" w:bottom="1291" w:left="1588" w:header="102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4"/>
        <w:rFonts w:ascii="宋体" w:hAnsi="宋体"/>
        <w:sz w:val="18"/>
        <w:szCs w:val="18"/>
      </w:rPr>
    </w:pPr>
    <w:r>
      <w:rPr>
        <w:rFonts w:ascii="宋体" w:hAnsi="宋体"/>
        <w:sz w:val="18"/>
        <w:szCs w:val="18"/>
      </w:rPr>
      <w:pict>
        <v:line id="_x0000_s4097" o:spid="_x0000_s4097" o:spt="20" style="position:absolute;left:0pt;margin-left:0pt;margin-top:-2.25pt;height:0pt;width:435.75pt;z-index:251659264;mso-width-relative:page;mso-height-relative:page;" coordsize="21600,21600">
          <v:path arrowok="t"/>
          <v:fill focussize="0,0"/>
          <v:stroke/>
          <v:imagedata o:title=""/>
          <o:lock v:ext="edit"/>
        </v:line>
      </w:pict>
    </w:r>
    <w:r>
      <w:rPr>
        <w:rFonts w:hint="eastAsia" w:ascii="宋体" w:hAnsi="宋体"/>
        <w:sz w:val="18"/>
        <w:szCs w:val="18"/>
      </w:rPr>
      <w:t>辽源新安资产评估事务所（普通合伙）             　　　　　                       共</w:t>
    </w:r>
    <w:r>
      <w:rPr>
        <w:rFonts w:hint="eastAsia" w:ascii="宋体" w:hAnsi="宋体"/>
        <w:sz w:val="18"/>
        <w:szCs w:val="18"/>
      </w:rPr>
      <w:fldChar w:fldCharType="begin"/>
    </w:r>
    <w:r>
      <w:rPr>
        <w:rStyle w:val="14"/>
        <w:rFonts w:hint="eastAsia" w:ascii="宋体" w:hAnsi="宋体"/>
        <w:sz w:val="18"/>
        <w:szCs w:val="18"/>
      </w:rPr>
      <w:instrText xml:space="preserve"> NUMPAGES </w:instrText>
    </w:r>
    <w:r>
      <w:rPr>
        <w:rFonts w:hint="eastAsia" w:ascii="宋体" w:hAnsi="宋体"/>
        <w:sz w:val="18"/>
        <w:szCs w:val="18"/>
      </w:rPr>
      <w:fldChar w:fldCharType="separate"/>
    </w:r>
    <w:r>
      <w:rPr>
        <w:rStyle w:val="14"/>
        <w:rFonts w:ascii="宋体" w:hAnsi="宋体"/>
        <w:sz w:val="18"/>
        <w:szCs w:val="18"/>
      </w:rPr>
      <w:t>16</w:t>
    </w:r>
    <w:r>
      <w:rPr>
        <w:rFonts w:hint="eastAsia" w:ascii="宋体" w:hAnsi="宋体"/>
        <w:sz w:val="18"/>
        <w:szCs w:val="18"/>
      </w:rPr>
      <w:fldChar w:fldCharType="end"/>
    </w:r>
    <w:r>
      <w:rPr>
        <w:rStyle w:val="14"/>
        <w:rFonts w:hint="eastAsia" w:ascii="宋体" w:hAnsi="宋体"/>
        <w:sz w:val="18"/>
        <w:szCs w:val="18"/>
      </w:rPr>
      <w:t>页   第</w:t>
    </w:r>
    <w:r>
      <w:rPr>
        <w:rFonts w:hint="eastAsia" w:ascii="宋体" w:hAnsi="宋体"/>
        <w:sz w:val="18"/>
        <w:szCs w:val="18"/>
      </w:rPr>
      <w:fldChar w:fldCharType="begin"/>
    </w:r>
    <w:r>
      <w:rPr>
        <w:rStyle w:val="14"/>
        <w:rFonts w:hint="eastAsia" w:ascii="宋体" w:hAnsi="宋体"/>
        <w:sz w:val="18"/>
        <w:szCs w:val="18"/>
      </w:rPr>
      <w:instrText xml:space="preserve"> PAGE </w:instrText>
    </w:r>
    <w:r>
      <w:rPr>
        <w:rFonts w:hint="eastAsia" w:ascii="宋体" w:hAnsi="宋体"/>
        <w:sz w:val="18"/>
        <w:szCs w:val="18"/>
      </w:rPr>
      <w:fldChar w:fldCharType="separate"/>
    </w:r>
    <w:r>
      <w:rPr>
        <w:rStyle w:val="14"/>
        <w:rFonts w:ascii="宋体" w:hAnsi="宋体"/>
        <w:sz w:val="18"/>
        <w:szCs w:val="18"/>
      </w:rPr>
      <w:t>12</w:t>
    </w:r>
    <w:r>
      <w:rPr>
        <w:rFonts w:hint="eastAsia" w:ascii="宋体" w:hAnsi="宋体"/>
        <w:sz w:val="18"/>
        <w:szCs w:val="18"/>
      </w:rPr>
      <w:fldChar w:fldCharType="end"/>
    </w:r>
    <w:r>
      <w:rPr>
        <w:rStyle w:val="14"/>
        <w:rFonts w:hint="eastAsia" w:ascii="宋体" w:hAnsi="宋体"/>
        <w:sz w:val="18"/>
        <w:szCs w:val="18"/>
      </w:rPr>
      <w:t>页</w:t>
    </w:r>
  </w:p>
  <w:p>
    <w:pPr>
      <w:rPr>
        <w:rStyle w:val="14"/>
        <w:rFonts w:ascii="宋体" w:hAnsi="宋体"/>
        <w:sz w:val="18"/>
        <w:szCs w:val="18"/>
      </w:rPr>
    </w:pPr>
    <w:r>
      <w:rPr>
        <w:rStyle w:val="14"/>
        <w:rFonts w:hint="eastAsia" w:ascii="宋体" w:hAnsi="宋体"/>
        <w:sz w:val="18"/>
        <w:szCs w:val="18"/>
      </w:rPr>
      <w:t>地址：辽源市龙山区滨河南路金鼎水岸1号楼304室</w:t>
    </w:r>
  </w:p>
  <w:p>
    <w:pPr>
      <w:rPr>
        <w:rFonts w:ascii="宋体" w:hAnsi="宋体"/>
        <w:sz w:val="18"/>
        <w:szCs w:val="18"/>
      </w:rPr>
    </w:pPr>
    <w:r>
      <w:rPr>
        <w:rStyle w:val="14"/>
        <w:rFonts w:hint="eastAsia" w:ascii="宋体" w:hAnsi="宋体"/>
        <w:sz w:val="18"/>
        <w:szCs w:val="18"/>
      </w:rPr>
      <w:t>电话：0437-6109786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default" w:eastAsia="宋体"/>
        <w:highlight w:val="none"/>
        <w:lang w:val="en-US" w:eastAsia="zh-CN"/>
      </w:rPr>
    </w:pPr>
    <w:r>
      <w:rPr>
        <w:rFonts w:hint="eastAsia"/>
        <w:lang w:eastAsia="zh-CN"/>
      </w:rPr>
      <w:t>拟司法执行财产处置涉及刘斌（东丰县横道河城市开发建设有限公司）的房屋价值</w:t>
    </w:r>
    <w:r>
      <w:rPr>
        <w:rFonts w:hint="eastAsia"/>
      </w:rPr>
      <w:t>资产评估项目</w:t>
    </w:r>
    <w:r>
      <w:rPr>
        <w:rFonts w:hint="eastAsia"/>
        <w:lang w:val="en-US" w:eastAsia="zh-CN"/>
      </w:rPr>
      <w:t xml:space="preserve">  </w:t>
    </w:r>
    <w:r>
      <w:rPr>
        <w:rFonts w:hint="eastAsia" w:ascii="宋体" w:hAnsi="宋体"/>
      </w:rPr>
      <w:t>№（202</w:t>
    </w:r>
    <w:r>
      <w:rPr>
        <w:rFonts w:hint="eastAsia" w:ascii="宋体" w:hAnsi="宋体"/>
        <w:lang w:val="en-US" w:eastAsia="zh-CN"/>
      </w:rPr>
      <w:t>2</w:t>
    </w:r>
    <w:r>
      <w:rPr>
        <w:rFonts w:hint="eastAsia" w:ascii="宋体" w:hAnsi="宋体"/>
      </w:rPr>
      <w:t>）</w:t>
    </w:r>
    <w:r>
      <w:rPr>
        <w:rFonts w:hint="eastAsia" w:ascii="宋体" w:hAnsi="宋体"/>
        <w:highlight w:val="none"/>
        <w:lang w:val="en-US" w:eastAsia="zh-CN"/>
      </w:rPr>
      <w:t>041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E2C4F"/>
    <w:multiLevelType w:val="singleLevel"/>
    <w:tmpl w:val="07AE2C4F"/>
    <w:lvl w:ilvl="0" w:tentative="0">
      <w:start w:val="2"/>
      <w:numFmt w:val="chineseCounting"/>
      <w:suff w:val="nothing"/>
      <w:lvlText w:val="（%1）"/>
      <w:lvlJc w:val="left"/>
      <w:rPr>
        <w:rFonts w:hint="eastAsia"/>
      </w:rPr>
    </w:lvl>
  </w:abstractNum>
  <w:abstractNum w:abstractNumId="1">
    <w:nsid w:val="4E9D1A8A"/>
    <w:multiLevelType w:val="multilevel"/>
    <w:tmpl w:val="4E9D1A8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533D35"/>
    <w:multiLevelType w:val="multilevel"/>
    <w:tmpl w:val="5F533D35"/>
    <w:lvl w:ilvl="0" w:tentative="0">
      <w:start w:val="1"/>
      <w:numFmt w:val="japaneseCounting"/>
      <w:lvlText w:val="%1、"/>
      <w:lvlJc w:val="left"/>
      <w:pPr>
        <w:ind w:left="360" w:hanging="360"/>
      </w:pPr>
      <w:rPr>
        <w:rFonts w:hint="eastAsia"/>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RjODA3MzE0MjU4ZmFjOTI1Y2QzNDEyMGM4MTdmMTkifQ=="/>
  </w:docVars>
  <w:rsids>
    <w:rsidRoot w:val="00172A27"/>
    <w:rsid w:val="000037EF"/>
    <w:rsid w:val="0000583B"/>
    <w:rsid w:val="00006A72"/>
    <w:rsid w:val="000131EF"/>
    <w:rsid w:val="00015C00"/>
    <w:rsid w:val="00016FB6"/>
    <w:rsid w:val="00021A3E"/>
    <w:rsid w:val="000245A9"/>
    <w:rsid w:val="0002762C"/>
    <w:rsid w:val="000301F2"/>
    <w:rsid w:val="00033425"/>
    <w:rsid w:val="00034B2A"/>
    <w:rsid w:val="000351B6"/>
    <w:rsid w:val="00035657"/>
    <w:rsid w:val="00035F72"/>
    <w:rsid w:val="00036BDD"/>
    <w:rsid w:val="00037000"/>
    <w:rsid w:val="000372FA"/>
    <w:rsid w:val="000376A6"/>
    <w:rsid w:val="00040B9F"/>
    <w:rsid w:val="0004205C"/>
    <w:rsid w:val="00044943"/>
    <w:rsid w:val="00045DCC"/>
    <w:rsid w:val="00050CF1"/>
    <w:rsid w:val="00051617"/>
    <w:rsid w:val="00055ED1"/>
    <w:rsid w:val="00056A63"/>
    <w:rsid w:val="00060650"/>
    <w:rsid w:val="00060A94"/>
    <w:rsid w:val="000616C4"/>
    <w:rsid w:val="000623BB"/>
    <w:rsid w:val="00062732"/>
    <w:rsid w:val="00071F1A"/>
    <w:rsid w:val="00075DAA"/>
    <w:rsid w:val="00080BEE"/>
    <w:rsid w:val="00083D2C"/>
    <w:rsid w:val="000847EE"/>
    <w:rsid w:val="00086D6A"/>
    <w:rsid w:val="00091082"/>
    <w:rsid w:val="00091563"/>
    <w:rsid w:val="000953D2"/>
    <w:rsid w:val="000A1154"/>
    <w:rsid w:val="000A3A45"/>
    <w:rsid w:val="000B1D85"/>
    <w:rsid w:val="000B1EAA"/>
    <w:rsid w:val="000B294F"/>
    <w:rsid w:val="000C3BCC"/>
    <w:rsid w:val="000C4ACF"/>
    <w:rsid w:val="000C526C"/>
    <w:rsid w:val="000C5D3D"/>
    <w:rsid w:val="000D0323"/>
    <w:rsid w:val="000D23E8"/>
    <w:rsid w:val="000D49AA"/>
    <w:rsid w:val="000E11CE"/>
    <w:rsid w:val="000E77E7"/>
    <w:rsid w:val="000F1123"/>
    <w:rsid w:val="000F356A"/>
    <w:rsid w:val="000F508F"/>
    <w:rsid w:val="00100D13"/>
    <w:rsid w:val="001018DE"/>
    <w:rsid w:val="00106D69"/>
    <w:rsid w:val="001109F4"/>
    <w:rsid w:val="0011111D"/>
    <w:rsid w:val="00112773"/>
    <w:rsid w:val="0011358E"/>
    <w:rsid w:val="00117BB0"/>
    <w:rsid w:val="00124516"/>
    <w:rsid w:val="00126113"/>
    <w:rsid w:val="00127359"/>
    <w:rsid w:val="001352AD"/>
    <w:rsid w:val="00135BD5"/>
    <w:rsid w:val="001511FD"/>
    <w:rsid w:val="0015282D"/>
    <w:rsid w:val="001538C2"/>
    <w:rsid w:val="00162274"/>
    <w:rsid w:val="00163BC5"/>
    <w:rsid w:val="00172A27"/>
    <w:rsid w:val="00173A3F"/>
    <w:rsid w:val="00182599"/>
    <w:rsid w:val="00186601"/>
    <w:rsid w:val="00194C2B"/>
    <w:rsid w:val="00195E1A"/>
    <w:rsid w:val="001A19B5"/>
    <w:rsid w:val="001A7159"/>
    <w:rsid w:val="001B0C91"/>
    <w:rsid w:val="001B2755"/>
    <w:rsid w:val="001B2A25"/>
    <w:rsid w:val="001B40F1"/>
    <w:rsid w:val="001B42D0"/>
    <w:rsid w:val="001B698B"/>
    <w:rsid w:val="001C0FE8"/>
    <w:rsid w:val="001D294B"/>
    <w:rsid w:val="001D2EFC"/>
    <w:rsid w:val="001E70AE"/>
    <w:rsid w:val="001F0948"/>
    <w:rsid w:val="001F1663"/>
    <w:rsid w:val="001F1C5C"/>
    <w:rsid w:val="001F20F5"/>
    <w:rsid w:val="00200211"/>
    <w:rsid w:val="0020142D"/>
    <w:rsid w:val="00202718"/>
    <w:rsid w:val="002030C3"/>
    <w:rsid w:val="002060F8"/>
    <w:rsid w:val="0020743E"/>
    <w:rsid w:val="002105B7"/>
    <w:rsid w:val="002148DA"/>
    <w:rsid w:val="0021571B"/>
    <w:rsid w:val="00220C5E"/>
    <w:rsid w:val="00221D2B"/>
    <w:rsid w:val="002237CE"/>
    <w:rsid w:val="002251FA"/>
    <w:rsid w:val="00225677"/>
    <w:rsid w:val="002260E5"/>
    <w:rsid w:val="002336BF"/>
    <w:rsid w:val="0023457D"/>
    <w:rsid w:val="00234CDF"/>
    <w:rsid w:val="002367BA"/>
    <w:rsid w:val="00237F28"/>
    <w:rsid w:val="00253F25"/>
    <w:rsid w:val="002548A4"/>
    <w:rsid w:val="002553F8"/>
    <w:rsid w:val="0026215A"/>
    <w:rsid w:val="00264293"/>
    <w:rsid w:val="00264DB8"/>
    <w:rsid w:val="00266949"/>
    <w:rsid w:val="00272874"/>
    <w:rsid w:val="00274931"/>
    <w:rsid w:val="00275796"/>
    <w:rsid w:val="00275864"/>
    <w:rsid w:val="002766E0"/>
    <w:rsid w:val="00276C3A"/>
    <w:rsid w:val="002803BD"/>
    <w:rsid w:val="002807AF"/>
    <w:rsid w:val="00285A1E"/>
    <w:rsid w:val="002A179C"/>
    <w:rsid w:val="002B00BE"/>
    <w:rsid w:val="002B2281"/>
    <w:rsid w:val="002B4840"/>
    <w:rsid w:val="002B5C17"/>
    <w:rsid w:val="002C078D"/>
    <w:rsid w:val="002C27F5"/>
    <w:rsid w:val="002C42B8"/>
    <w:rsid w:val="002C4FE6"/>
    <w:rsid w:val="002D1A13"/>
    <w:rsid w:val="002D37E4"/>
    <w:rsid w:val="002D3D15"/>
    <w:rsid w:val="002D5842"/>
    <w:rsid w:val="002D68C6"/>
    <w:rsid w:val="002E4182"/>
    <w:rsid w:val="002E6583"/>
    <w:rsid w:val="002F2450"/>
    <w:rsid w:val="00301918"/>
    <w:rsid w:val="00303A2A"/>
    <w:rsid w:val="00307CA6"/>
    <w:rsid w:val="0031462F"/>
    <w:rsid w:val="00317353"/>
    <w:rsid w:val="0032019D"/>
    <w:rsid w:val="003262ED"/>
    <w:rsid w:val="00326BD9"/>
    <w:rsid w:val="00330EA8"/>
    <w:rsid w:val="003310C9"/>
    <w:rsid w:val="00334197"/>
    <w:rsid w:val="00335324"/>
    <w:rsid w:val="00336E4D"/>
    <w:rsid w:val="00336FFB"/>
    <w:rsid w:val="00342F96"/>
    <w:rsid w:val="00345004"/>
    <w:rsid w:val="00346483"/>
    <w:rsid w:val="0035291E"/>
    <w:rsid w:val="00353C4B"/>
    <w:rsid w:val="00356703"/>
    <w:rsid w:val="003625B4"/>
    <w:rsid w:val="0038049F"/>
    <w:rsid w:val="003808BB"/>
    <w:rsid w:val="00381CB7"/>
    <w:rsid w:val="00387AE3"/>
    <w:rsid w:val="0039068E"/>
    <w:rsid w:val="00390DC5"/>
    <w:rsid w:val="00395E61"/>
    <w:rsid w:val="003A1F4A"/>
    <w:rsid w:val="003B13EA"/>
    <w:rsid w:val="003B70B5"/>
    <w:rsid w:val="003C38A8"/>
    <w:rsid w:val="003D0803"/>
    <w:rsid w:val="003D6D12"/>
    <w:rsid w:val="003E1C78"/>
    <w:rsid w:val="004000FB"/>
    <w:rsid w:val="00401EAF"/>
    <w:rsid w:val="004025C7"/>
    <w:rsid w:val="00407207"/>
    <w:rsid w:val="00412D09"/>
    <w:rsid w:val="004226C9"/>
    <w:rsid w:val="004240D7"/>
    <w:rsid w:val="00425ED9"/>
    <w:rsid w:val="004313AF"/>
    <w:rsid w:val="00433739"/>
    <w:rsid w:val="00436116"/>
    <w:rsid w:val="004415F6"/>
    <w:rsid w:val="004427D5"/>
    <w:rsid w:val="00443C74"/>
    <w:rsid w:val="00453AF9"/>
    <w:rsid w:val="004557A0"/>
    <w:rsid w:val="004611BF"/>
    <w:rsid w:val="0047251B"/>
    <w:rsid w:val="0047361B"/>
    <w:rsid w:val="004740AA"/>
    <w:rsid w:val="004832A3"/>
    <w:rsid w:val="00484472"/>
    <w:rsid w:val="004A1372"/>
    <w:rsid w:val="004B1DCB"/>
    <w:rsid w:val="004B1E22"/>
    <w:rsid w:val="004B611D"/>
    <w:rsid w:val="004B7386"/>
    <w:rsid w:val="004E0231"/>
    <w:rsid w:val="004E63AE"/>
    <w:rsid w:val="004F4557"/>
    <w:rsid w:val="004F5B89"/>
    <w:rsid w:val="004F7617"/>
    <w:rsid w:val="0051071F"/>
    <w:rsid w:val="0051080E"/>
    <w:rsid w:val="00512B63"/>
    <w:rsid w:val="00513F8F"/>
    <w:rsid w:val="00515845"/>
    <w:rsid w:val="00515C7F"/>
    <w:rsid w:val="00531A5C"/>
    <w:rsid w:val="005357FE"/>
    <w:rsid w:val="00540B7C"/>
    <w:rsid w:val="005415FD"/>
    <w:rsid w:val="005506E0"/>
    <w:rsid w:val="0056146F"/>
    <w:rsid w:val="005673DE"/>
    <w:rsid w:val="00567B3F"/>
    <w:rsid w:val="00570C79"/>
    <w:rsid w:val="00570EB6"/>
    <w:rsid w:val="00572945"/>
    <w:rsid w:val="005743CA"/>
    <w:rsid w:val="00580A2E"/>
    <w:rsid w:val="00583D67"/>
    <w:rsid w:val="0058785C"/>
    <w:rsid w:val="00591019"/>
    <w:rsid w:val="00595618"/>
    <w:rsid w:val="005A061E"/>
    <w:rsid w:val="005A6AC0"/>
    <w:rsid w:val="005B2C23"/>
    <w:rsid w:val="005B2C4D"/>
    <w:rsid w:val="005B38B2"/>
    <w:rsid w:val="005B41F7"/>
    <w:rsid w:val="005B6D91"/>
    <w:rsid w:val="005C07FF"/>
    <w:rsid w:val="005C1007"/>
    <w:rsid w:val="005C4D87"/>
    <w:rsid w:val="005D02FD"/>
    <w:rsid w:val="005D4735"/>
    <w:rsid w:val="005D4C19"/>
    <w:rsid w:val="005E0521"/>
    <w:rsid w:val="005E2F03"/>
    <w:rsid w:val="005F37C4"/>
    <w:rsid w:val="00602F57"/>
    <w:rsid w:val="006115CC"/>
    <w:rsid w:val="00613833"/>
    <w:rsid w:val="00615C1E"/>
    <w:rsid w:val="00622BB4"/>
    <w:rsid w:val="00623124"/>
    <w:rsid w:val="0063204D"/>
    <w:rsid w:val="00652EC6"/>
    <w:rsid w:val="00654E7E"/>
    <w:rsid w:val="00654F23"/>
    <w:rsid w:val="0066268B"/>
    <w:rsid w:val="00663A58"/>
    <w:rsid w:val="0067143E"/>
    <w:rsid w:val="00676BE3"/>
    <w:rsid w:val="00676DD8"/>
    <w:rsid w:val="00677ED8"/>
    <w:rsid w:val="00686F2B"/>
    <w:rsid w:val="0069666F"/>
    <w:rsid w:val="006A4B73"/>
    <w:rsid w:val="006B5932"/>
    <w:rsid w:val="006B7C73"/>
    <w:rsid w:val="006C1036"/>
    <w:rsid w:val="006C1EC7"/>
    <w:rsid w:val="006D3D61"/>
    <w:rsid w:val="006E35AC"/>
    <w:rsid w:val="006F01E2"/>
    <w:rsid w:val="006F1AA7"/>
    <w:rsid w:val="007016EA"/>
    <w:rsid w:val="00704511"/>
    <w:rsid w:val="00706530"/>
    <w:rsid w:val="0070766B"/>
    <w:rsid w:val="00711903"/>
    <w:rsid w:val="00714929"/>
    <w:rsid w:val="007156D3"/>
    <w:rsid w:val="00717CC7"/>
    <w:rsid w:val="00717ECE"/>
    <w:rsid w:val="00721820"/>
    <w:rsid w:val="00722D0D"/>
    <w:rsid w:val="0072576E"/>
    <w:rsid w:val="0073571E"/>
    <w:rsid w:val="00735916"/>
    <w:rsid w:val="007400ED"/>
    <w:rsid w:val="00744AC5"/>
    <w:rsid w:val="0074575A"/>
    <w:rsid w:val="00745C80"/>
    <w:rsid w:val="007531F9"/>
    <w:rsid w:val="00754C94"/>
    <w:rsid w:val="00756289"/>
    <w:rsid w:val="00764247"/>
    <w:rsid w:val="007805F1"/>
    <w:rsid w:val="007830BB"/>
    <w:rsid w:val="007928B3"/>
    <w:rsid w:val="00795259"/>
    <w:rsid w:val="0079648B"/>
    <w:rsid w:val="00797BA5"/>
    <w:rsid w:val="007A0A08"/>
    <w:rsid w:val="007A17D4"/>
    <w:rsid w:val="007A4D6C"/>
    <w:rsid w:val="007A5A24"/>
    <w:rsid w:val="007A659B"/>
    <w:rsid w:val="007A7239"/>
    <w:rsid w:val="007B2C48"/>
    <w:rsid w:val="007B33E8"/>
    <w:rsid w:val="007C2052"/>
    <w:rsid w:val="007D1013"/>
    <w:rsid w:val="007D181E"/>
    <w:rsid w:val="007D27CF"/>
    <w:rsid w:val="007D78E9"/>
    <w:rsid w:val="007E486E"/>
    <w:rsid w:val="007E5594"/>
    <w:rsid w:val="007E6556"/>
    <w:rsid w:val="007F38E2"/>
    <w:rsid w:val="007F59C7"/>
    <w:rsid w:val="00801CA5"/>
    <w:rsid w:val="00804069"/>
    <w:rsid w:val="00805BB0"/>
    <w:rsid w:val="00810ADE"/>
    <w:rsid w:val="00810BE5"/>
    <w:rsid w:val="00811C50"/>
    <w:rsid w:val="00813913"/>
    <w:rsid w:val="0082225C"/>
    <w:rsid w:val="008326BB"/>
    <w:rsid w:val="00836948"/>
    <w:rsid w:val="008373A1"/>
    <w:rsid w:val="008455CA"/>
    <w:rsid w:val="00852845"/>
    <w:rsid w:val="008539AB"/>
    <w:rsid w:val="008578AD"/>
    <w:rsid w:val="00864B67"/>
    <w:rsid w:val="0086641E"/>
    <w:rsid w:val="00871B0B"/>
    <w:rsid w:val="00873006"/>
    <w:rsid w:val="00874C7C"/>
    <w:rsid w:val="00874F0E"/>
    <w:rsid w:val="00877618"/>
    <w:rsid w:val="00880EC0"/>
    <w:rsid w:val="008873F6"/>
    <w:rsid w:val="008979A6"/>
    <w:rsid w:val="00897C44"/>
    <w:rsid w:val="008A2B00"/>
    <w:rsid w:val="008A4BD6"/>
    <w:rsid w:val="008B09C6"/>
    <w:rsid w:val="008B2770"/>
    <w:rsid w:val="008B53C1"/>
    <w:rsid w:val="008C58AA"/>
    <w:rsid w:val="008D00AF"/>
    <w:rsid w:val="008D3AC2"/>
    <w:rsid w:val="008D5C75"/>
    <w:rsid w:val="008D7BB9"/>
    <w:rsid w:val="008E141D"/>
    <w:rsid w:val="008E286E"/>
    <w:rsid w:val="008E2A83"/>
    <w:rsid w:val="008E50A4"/>
    <w:rsid w:val="008E6A90"/>
    <w:rsid w:val="008F08EE"/>
    <w:rsid w:val="008F3B4F"/>
    <w:rsid w:val="00900A86"/>
    <w:rsid w:val="00904691"/>
    <w:rsid w:val="009052EE"/>
    <w:rsid w:val="0090572F"/>
    <w:rsid w:val="00911B59"/>
    <w:rsid w:val="00915FBE"/>
    <w:rsid w:val="00922E0C"/>
    <w:rsid w:val="00924265"/>
    <w:rsid w:val="009343EC"/>
    <w:rsid w:val="0093685E"/>
    <w:rsid w:val="009430D2"/>
    <w:rsid w:val="00951000"/>
    <w:rsid w:val="009514D7"/>
    <w:rsid w:val="00961FA9"/>
    <w:rsid w:val="00962880"/>
    <w:rsid w:val="0096398E"/>
    <w:rsid w:val="00965971"/>
    <w:rsid w:val="00970483"/>
    <w:rsid w:val="00974A4F"/>
    <w:rsid w:val="00991465"/>
    <w:rsid w:val="00992C05"/>
    <w:rsid w:val="009A52D0"/>
    <w:rsid w:val="009A59CF"/>
    <w:rsid w:val="009A5EC2"/>
    <w:rsid w:val="009A68D3"/>
    <w:rsid w:val="009B0FEC"/>
    <w:rsid w:val="009C41B4"/>
    <w:rsid w:val="009C59BD"/>
    <w:rsid w:val="009C6A4B"/>
    <w:rsid w:val="009D05D6"/>
    <w:rsid w:val="009D25F4"/>
    <w:rsid w:val="009D337A"/>
    <w:rsid w:val="009E47C8"/>
    <w:rsid w:val="009E584D"/>
    <w:rsid w:val="009E6BE0"/>
    <w:rsid w:val="009F055F"/>
    <w:rsid w:val="00A002C5"/>
    <w:rsid w:val="00A00BE5"/>
    <w:rsid w:val="00A044E0"/>
    <w:rsid w:val="00A05B65"/>
    <w:rsid w:val="00A05C10"/>
    <w:rsid w:val="00A15FB6"/>
    <w:rsid w:val="00A21F7F"/>
    <w:rsid w:val="00A22C64"/>
    <w:rsid w:val="00A26B0A"/>
    <w:rsid w:val="00A34437"/>
    <w:rsid w:val="00A4599D"/>
    <w:rsid w:val="00A57371"/>
    <w:rsid w:val="00A60571"/>
    <w:rsid w:val="00A60B60"/>
    <w:rsid w:val="00A738A1"/>
    <w:rsid w:val="00A802DC"/>
    <w:rsid w:val="00A80549"/>
    <w:rsid w:val="00A8328E"/>
    <w:rsid w:val="00AA1209"/>
    <w:rsid w:val="00AA347C"/>
    <w:rsid w:val="00AA4F16"/>
    <w:rsid w:val="00AA7A4F"/>
    <w:rsid w:val="00AB31E4"/>
    <w:rsid w:val="00AB3E83"/>
    <w:rsid w:val="00AB5D17"/>
    <w:rsid w:val="00AC7E97"/>
    <w:rsid w:val="00AD0111"/>
    <w:rsid w:val="00AE0C73"/>
    <w:rsid w:val="00AE1DBC"/>
    <w:rsid w:val="00AE6F39"/>
    <w:rsid w:val="00AE7CA6"/>
    <w:rsid w:val="00AF1302"/>
    <w:rsid w:val="00AF45EE"/>
    <w:rsid w:val="00AF57BF"/>
    <w:rsid w:val="00AF5FC0"/>
    <w:rsid w:val="00AF7181"/>
    <w:rsid w:val="00B01BEA"/>
    <w:rsid w:val="00B02E99"/>
    <w:rsid w:val="00B03E67"/>
    <w:rsid w:val="00B0695D"/>
    <w:rsid w:val="00B06BAE"/>
    <w:rsid w:val="00B14C79"/>
    <w:rsid w:val="00B235C0"/>
    <w:rsid w:val="00B25DF9"/>
    <w:rsid w:val="00B338C3"/>
    <w:rsid w:val="00B34D88"/>
    <w:rsid w:val="00B40D8B"/>
    <w:rsid w:val="00B415DE"/>
    <w:rsid w:val="00B462DF"/>
    <w:rsid w:val="00B47D47"/>
    <w:rsid w:val="00B611BF"/>
    <w:rsid w:val="00B76D3A"/>
    <w:rsid w:val="00B81DD6"/>
    <w:rsid w:val="00B825AB"/>
    <w:rsid w:val="00B847C2"/>
    <w:rsid w:val="00B857E2"/>
    <w:rsid w:val="00B85CD2"/>
    <w:rsid w:val="00BA35B3"/>
    <w:rsid w:val="00BA64E5"/>
    <w:rsid w:val="00BB07FF"/>
    <w:rsid w:val="00BB25D8"/>
    <w:rsid w:val="00BB301D"/>
    <w:rsid w:val="00BB5163"/>
    <w:rsid w:val="00BB65E0"/>
    <w:rsid w:val="00BB67D4"/>
    <w:rsid w:val="00BC09EE"/>
    <w:rsid w:val="00BC35D2"/>
    <w:rsid w:val="00BE4CF2"/>
    <w:rsid w:val="00BE6ACF"/>
    <w:rsid w:val="00BF23F5"/>
    <w:rsid w:val="00BF39D1"/>
    <w:rsid w:val="00BF7094"/>
    <w:rsid w:val="00C000A0"/>
    <w:rsid w:val="00C031F6"/>
    <w:rsid w:val="00C05CB4"/>
    <w:rsid w:val="00C05D81"/>
    <w:rsid w:val="00C07108"/>
    <w:rsid w:val="00C15F7C"/>
    <w:rsid w:val="00C17F4C"/>
    <w:rsid w:val="00C20538"/>
    <w:rsid w:val="00C24D5C"/>
    <w:rsid w:val="00C336A2"/>
    <w:rsid w:val="00C35B91"/>
    <w:rsid w:val="00C35F79"/>
    <w:rsid w:val="00C40927"/>
    <w:rsid w:val="00C5256C"/>
    <w:rsid w:val="00C62DAF"/>
    <w:rsid w:val="00C67D01"/>
    <w:rsid w:val="00C7143B"/>
    <w:rsid w:val="00C73AB8"/>
    <w:rsid w:val="00C748A2"/>
    <w:rsid w:val="00C8130A"/>
    <w:rsid w:val="00C933ED"/>
    <w:rsid w:val="00CA202E"/>
    <w:rsid w:val="00CA360F"/>
    <w:rsid w:val="00CA57D7"/>
    <w:rsid w:val="00CB456F"/>
    <w:rsid w:val="00CC37F0"/>
    <w:rsid w:val="00CC48CA"/>
    <w:rsid w:val="00CC7A40"/>
    <w:rsid w:val="00CD3EE8"/>
    <w:rsid w:val="00CD5D92"/>
    <w:rsid w:val="00CE0620"/>
    <w:rsid w:val="00CE2D7C"/>
    <w:rsid w:val="00CF02FB"/>
    <w:rsid w:val="00CF1075"/>
    <w:rsid w:val="00CF633B"/>
    <w:rsid w:val="00CF7616"/>
    <w:rsid w:val="00D009E6"/>
    <w:rsid w:val="00D00C24"/>
    <w:rsid w:val="00D01FB2"/>
    <w:rsid w:val="00D072B0"/>
    <w:rsid w:val="00D137E4"/>
    <w:rsid w:val="00D1686C"/>
    <w:rsid w:val="00D2210C"/>
    <w:rsid w:val="00D246B2"/>
    <w:rsid w:val="00D25413"/>
    <w:rsid w:val="00D30808"/>
    <w:rsid w:val="00D31AC2"/>
    <w:rsid w:val="00D32779"/>
    <w:rsid w:val="00D32FB6"/>
    <w:rsid w:val="00D33059"/>
    <w:rsid w:val="00D335F0"/>
    <w:rsid w:val="00D35038"/>
    <w:rsid w:val="00D44C18"/>
    <w:rsid w:val="00D47636"/>
    <w:rsid w:val="00D542F5"/>
    <w:rsid w:val="00D608B7"/>
    <w:rsid w:val="00D67A8B"/>
    <w:rsid w:val="00D706C4"/>
    <w:rsid w:val="00D70D50"/>
    <w:rsid w:val="00D73272"/>
    <w:rsid w:val="00D74EF0"/>
    <w:rsid w:val="00D75152"/>
    <w:rsid w:val="00D76F02"/>
    <w:rsid w:val="00D773C2"/>
    <w:rsid w:val="00D85C94"/>
    <w:rsid w:val="00D922C8"/>
    <w:rsid w:val="00D9278A"/>
    <w:rsid w:val="00D938C3"/>
    <w:rsid w:val="00D94286"/>
    <w:rsid w:val="00DA0A70"/>
    <w:rsid w:val="00DB02C3"/>
    <w:rsid w:val="00DB0870"/>
    <w:rsid w:val="00DB0FAB"/>
    <w:rsid w:val="00DB2805"/>
    <w:rsid w:val="00DB3CA9"/>
    <w:rsid w:val="00DB40B0"/>
    <w:rsid w:val="00DB59A1"/>
    <w:rsid w:val="00DC299B"/>
    <w:rsid w:val="00DD01DD"/>
    <w:rsid w:val="00DD08BB"/>
    <w:rsid w:val="00DD51DF"/>
    <w:rsid w:val="00DD5B1F"/>
    <w:rsid w:val="00DE184B"/>
    <w:rsid w:val="00DE1D06"/>
    <w:rsid w:val="00DE580C"/>
    <w:rsid w:val="00DF16F8"/>
    <w:rsid w:val="00DF1F0B"/>
    <w:rsid w:val="00E06FC6"/>
    <w:rsid w:val="00E07620"/>
    <w:rsid w:val="00E10759"/>
    <w:rsid w:val="00E148AA"/>
    <w:rsid w:val="00E15CB6"/>
    <w:rsid w:val="00E247D3"/>
    <w:rsid w:val="00E25F84"/>
    <w:rsid w:val="00E30970"/>
    <w:rsid w:val="00E358F8"/>
    <w:rsid w:val="00E40F10"/>
    <w:rsid w:val="00E571C8"/>
    <w:rsid w:val="00E6576E"/>
    <w:rsid w:val="00E65F83"/>
    <w:rsid w:val="00E6662A"/>
    <w:rsid w:val="00E71FEF"/>
    <w:rsid w:val="00E7290F"/>
    <w:rsid w:val="00E74425"/>
    <w:rsid w:val="00E74ED9"/>
    <w:rsid w:val="00E7592A"/>
    <w:rsid w:val="00E8413D"/>
    <w:rsid w:val="00E84BEB"/>
    <w:rsid w:val="00E85017"/>
    <w:rsid w:val="00E8534D"/>
    <w:rsid w:val="00E926E0"/>
    <w:rsid w:val="00E92ECA"/>
    <w:rsid w:val="00E965BE"/>
    <w:rsid w:val="00EA1175"/>
    <w:rsid w:val="00EA3462"/>
    <w:rsid w:val="00EA5D89"/>
    <w:rsid w:val="00EA5EBA"/>
    <w:rsid w:val="00EB1EB4"/>
    <w:rsid w:val="00EB2793"/>
    <w:rsid w:val="00EB3C75"/>
    <w:rsid w:val="00EB4389"/>
    <w:rsid w:val="00EB4A94"/>
    <w:rsid w:val="00EC431B"/>
    <w:rsid w:val="00EC45E2"/>
    <w:rsid w:val="00EC607D"/>
    <w:rsid w:val="00EC76BF"/>
    <w:rsid w:val="00ED1763"/>
    <w:rsid w:val="00ED70E2"/>
    <w:rsid w:val="00ED71D2"/>
    <w:rsid w:val="00EE1069"/>
    <w:rsid w:val="00EE1D78"/>
    <w:rsid w:val="00EE63EB"/>
    <w:rsid w:val="00EF1DCC"/>
    <w:rsid w:val="00EF2B5B"/>
    <w:rsid w:val="00EF4A12"/>
    <w:rsid w:val="00EF6088"/>
    <w:rsid w:val="00EF677D"/>
    <w:rsid w:val="00F05704"/>
    <w:rsid w:val="00F059EE"/>
    <w:rsid w:val="00F0685D"/>
    <w:rsid w:val="00F12804"/>
    <w:rsid w:val="00F1447C"/>
    <w:rsid w:val="00F374C1"/>
    <w:rsid w:val="00F37714"/>
    <w:rsid w:val="00F42286"/>
    <w:rsid w:val="00F430F1"/>
    <w:rsid w:val="00F468EF"/>
    <w:rsid w:val="00F47DC0"/>
    <w:rsid w:val="00F5176A"/>
    <w:rsid w:val="00F55124"/>
    <w:rsid w:val="00F61057"/>
    <w:rsid w:val="00F63CA0"/>
    <w:rsid w:val="00F65F40"/>
    <w:rsid w:val="00F661FA"/>
    <w:rsid w:val="00F71F0D"/>
    <w:rsid w:val="00F75A2F"/>
    <w:rsid w:val="00F764FD"/>
    <w:rsid w:val="00F77F1D"/>
    <w:rsid w:val="00F800D1"/>
    <w:rsid w:val="00F809C4"/>
    <w:rsid w:val="00F83698"/>
    <w:rsid w:val="00F85C7A"/>
    <w:rsid w:val="00F87D82"/>
    <w:rsid w:val="00F9040E"/>
    <w:rsid w:val="00F91F00"/>
    <w:rsid w:val="00F9394D"/>
    <w:rsid w:val="00F93E1F"/>
    <w:rsid w:val="00F97119"/>
    <w:rsid w:val="00F9790A"/>
    <w:rsid w:val="00FA0520"/>
    <w:rsid w:val="00FA0DE6"/>
    <w:rsid w:val="00FA485A"/>
    <w:rsid w:val="00FA569C"/>
    <w:rsid w:val="00FB0E67"/>
    <w:rsid w:val="00FB2C50"/>
    <w:rsid w:val="00FB2E20"/>
    <w:rsid w:val="00FC27E3"/>
    <w:rsid w:val="00FC79F1"/>
    <w:rsid w:val="00FD326C"/>
    <w:rsid w:val="00FD575C"/>
    <w:rsid w:val="00FD62F9"/>
    <w:rsid w:val="00FE08B2"/>
    <w:rsid w:val="00FE0D8E"/>
    <w:rsid w:val="00FE5723"/>
    <w:rsid w:val="00FE6454"/>
    <w:rsid w:val="00FF28B9"/>
    <w:rsid w:val="00FF3F13"/>
    <w:rsid w:val="00FF4098"/>
    <w:rsid w:val="0137630A"/>
    <w:rsid w:val="02702D13"/>
    <w:rsid w:val="03346EBC"/>
    <w:rsid w:val="041D2A27"/>
    <w:rsid w:val="04655367"/>
    <w:rsid w:val="046B05DD"/>
    <w:rsid w:val="050140F6"/>
    <w:rsid w:val="058F1702"/>
    <w:rsid w:val="05F979C3"/>
    <w:rsid w:val="06002657"/>
    <w:rsid w:val="07015CD5"/>
    <w:rsid w:val="0776450C"/>
    <w:rsid w:val="07C8414D"/>
    <w:rsid w:val="081707C0"/>
    <w:rsid w:val="08907C6B"/>
    <w:rsid w:val="09951C82"/>
    <w:rsid w:val="0A2F78BF"/>
    <w:rsid w:val="0A7F346C"/>
    <w:rsid w:val="0A951569"/>
    <w:rsid w:val="0AAF1EFF"/>
    <w:rsid w:val="0ADD4F08"/>
    <w:rsid w:val="0B3F2777"/>
    <w:rsid w:val="0B5A00BC"/>
    <w:rsid w:val="0B9A183D"/>
    <w:rsid w:val="0BBA6DAD"/>
    <w:rsid w:val="0BD1304A"/>
    <w:rsid w:val="0C395568"/>
    <w:rsid w:val="0C427813"/>
    <w:rsid w:val="0DE33602"/>
    <w:rsid w:val="0E15651D"/>
    <w:rsid w:val="0EA33819"/>
    <w:rsid w:val="0EAD260C"/>
    <w:rsid w:val="0EE346BD"/>
    <w:rsid w:val="0F064183"/>
    <w:rsid w:val="0F983568"/>
    <w:rsid w:val="100C7022"/>
    <w:rsid w:val="1057106E"/>
    <w:rsid w:val="111D12AE"/>
    <w:rsid w:val="113D2012"/>
    <w:rsid w:val="11D521F3"/>
    <w:rsid w:val="12B10F0A"/>
    <w:rsid w:val="12D11D37"/>
    <w:rsid w:val="12D922A2"/>
    <w:rsid w:val="12F70705"/>
    <w:rsid w:val="13020888"/>
    <w:rsid w:val="13B766BD"/>
    <w:rsid w:val="13FA6552"/>
    <w:rsid w:val="147A17CF"/>
    <w:rsid w:val="14FA74CB"/>
    <w:rsid w:val="15113EE2"/>
    <w:rsid w:val="15AC096E"/>
    <w:rsid w:val="16500A3A"/>
    <w:rsid w:val="16ED0036"/>
    <w:rsid w:val="190F0738"/>
    <w:rsid w:val="199064DE"/>
    <w:rsid w:val="19AC5F87"/>
    <w:rsid w:val="19DA3B46"/>
    <w:rsid w:val="19FB1CC7"/>
    <w:rsid w:val="1A001699"/>
    <w:rsid w:val="1A092B40"/>
    <w:rsid w:val="1A293A7B"/>
    <w:rsid w:val="1A8B4273"/>
    <w:rsid w:val="1B070283"/>
    <w:rsid w:val="1BD05FED"/>
    <w:rsid w:val="1C185B56"/>
    <w:rsid w:val="1C52796B"/>
    <w:rsid w:val="1C6F4605"/>
    <w:rsid w:val="1CB57848"/>
    <w:rsid w:val="1D480BFC"/>
    <w:rsid w:val="1D5F38CE"/>
    <w:rsid w:val="1D5F77B4"/>
    <w:rsid w:val="1D994A74"/>
    <w:rsid w:val="1DA11AFE"/>
    <w:rsid w:val="1EA71413"/>
    <w:rsid w:val="1F195351"/>
    <w:rsid w:val="1F2B3DF2"/>
    <w:rsid w:val="1F77443A"/>
    <w:rsid w:val="206D74AA"/>
    <w:rsid w:val="20DF4E94"/>
    <w:rsid w:val="21BF77C0"/>
    <w:rsid w:val="21DE2C3B"/>
    <w:rsid w:val="22160D89"/>
    <w:rsid w:val="223A2D10"/>
    <w:rsid w:val="225C42C2"/>
    <w:rsid w:val="22A8476A"/>
    <w:rsid w:val="22EC6919"/>
    <w:rsid w:val="22F072C5"/>
    <w:rsid w:val="23117A1B"/>
    <w:rsid w:val="23641FD0"/>
    <w:rsid w:val="23D9206E"/>
    <w:rsid w:val="24C722BE"/>
    <w:rsid w:val="25B7595C"/>
    <w:rsid w:val="26133D35"/>
    <w:rsid w:val="265D1C24"/>
    <w:rsid w:val="26630315"/>
    <w:rsid w:val="26713E6E"/>
    <w:rsid w:val="26A60202"/>
    <w:rsid w:val="26B24DF9"/>
    <w:rsid w:val="26BB1EFF"/>
    <w:rsid w:val="272E5D78"/>
    <w:rsid w:val="281C3E71"/>
    <w:rsid w:val="282615FA"/>
    <w:rsid w:val="28CF7B39"/>
    <w:rsid w:val="2A8645D2"/>
    <w:rsid w:val="2A9C194A"/>
    <w:rsid w:val="2AB44077"/>
    <w:rsid w:val="2B24373C"/>
    <w:rsid w:val="2BDC567A"/>
    <w:rsid w:val="2C0B54AC"/>
    <w:rsid w:val="2C2E3173"/>
    <w:rsid w:val="2CE64353"/>
    <w:rsid w:val="2D0A773C"/>
    <w:rsid w:val="2E9F7E39"/>
    <w:rsid w:val="2EB92C47"/>
    <w:rsid w:val="2F3110A1"/>
    <w:rsid w:val="2F8958A8"/>
    <w:rsid w:val="2FA21F06"/>
    <w:rsid w:val="2FD858D0"/>
    <w:rsid w:val="303D746C"/>
    <w:rsid w:val="310F5E78"/>
    <w:rsid w:val="31110684"/>
    <w:rsid w:val="31573082"/>
    <w:rsid w:val="32521D09"/>
    <w:rsid w:val="325B436F"/>
    <w:rsid w:val="32D26E6E"/>
    <w:rsid w:val="32DF14A3"/>
    <w:rsid w:val="33891915"/>
    <w:rsid w:val="33AC5D33"/>
    <w:rsid w:val="33B42DA0"/>
    <w:rsid w:val="33B76D4F"/>
    <w:rsid w:val="33DE267D"/>
    <w:rsid w:val="33F37488"/>
    <w:rsid w:val="345B262C"/>
    <w:rsid w:val="349A3886"/>
    <w:rsid w:val="35010224"/>
    <w:rsid w:val="367748D6"/>
    <w:rsid w:val="369D33CF"/>
    <w:rsid w:val="37046FAB"/>
    <w:rsid w:val="37C03AF1"/>
    <w:rsid w:val="37F75B86"/>
    <w:rsid w:val="3836588A"/>
    <w:rsid w:val="3885683C"/>
    <w:rsid w:val="38ED3DD4"/>
    <w:rsid w:val="3A5E2863"/>
    <w:rsid w:val="3A647B05"/>
    <w:rsid w:val="3B9F7003"/>
    <w:rsid w:val="3C7A1ABD"/>
    <w:rsid w:val="3C8B78A3"/>
    <w:rsid w:val="3CDB2721"/>
    <w:rsid w:val="3CE80C69"/>
    <w:rsid w:val="3EA74942"/>
    <w:rsid w:val="3FBD063E"/>
    <w:rsid w:val="3FC76702"/>
    <w:rsid w:val="4008455C"/>
    <w:rsid w:val="40275AB8"/>
    <w:rsid w:val="40CD687E"/>
    <w:rsid w:val="411C75E7"/>
    <w:rsid w:val="41CB45A5"/>
    <w:rsid w:val="42CD2859"/>
    <w:rsid w:val="42CF2376"/>
    <w:rsid w:val="42E934F8"/>
    <w:rsid w:val="43AA7C8F"/>
    <w:rsid w:val="43BD7E95"/>
    <w:rsid w:val="44631F28"/>
    <w:rsid w:val="44DB12D0"/>
    <w:rsid w:val="453B44DF"/>
    <w:rsid w:val="455A725B"/>
    <w:rsid w:val="46693127"/>
    <w:rsid w:val="477C2B8D"/>
    <w:rsid w:val="48476725"/>
    <w:rsid w:val="484B1AF0"/>
    <w:rsid w:val="48F37530"/>
    <w:rsid w:val="49DE7B2F"/>
    <w:rsid w:val="4B0E5F1D"/>
    <w:rsid w:val="4B983D0E"/>
    <w:rsid w:val="4BC9422B"/>
    <w:rsid w:val="4C0515C4"/>
    <w:rsid w:val="4C3D6697"/>
    <w:rsid w:val="4C451FFC"/>
    <w:rsid w:val="4DDA23CF"/>
    <w:rsid w:val="4E21623C"/>
    <w:rsid w:val="4ED73F36"/>
    <w:rsid w:val="4F4D0EB7"/>
    <w:rsid w:val="4F650258"/>
    <w:rsid w:val="4FCD3FDD"/>
    <w:rsid w:val="50A92A32"/>
    <w:rsid w:val="529F1231"/>
    <w:rsid w:val="52E76460"/>
    <w:rsid w:val="52EC0AEA"/>
    <w:rsid w:val="53176B7B"/>
    <w:rsid w:val="53D87174"/>
    <w:rsid w:val="53F25030"/>
    <w:rsid w:val="54163FA3"/>
    <w:rsid w:val="55283551"/>
    <w:rsid w:val="55732FB9"/>
    <w:rsid w:val="56031E51"/>
    <w:rsid w:val="56EF512A"/>
    <w:rsid w:val="573765BA"/>
    <w:rsid w:val="573C525E"/>
    <w:rsid w:val="575E6D6F"/>
    <w:rsid w:val="58F06369"/>
    <w:rsid w:val="590B53B6"/>
    <w:rsid w:val="592117E6"/>
    <w:rsid w:val="595C45CC"/>
    <w:rsid w:val="597454DF"/>
    <w:rsid w:val="597C07CB"/>
    <w:rsid w:val="59E839FA"/>
    <w:rsid w:val="5B2D4472"/>
    <w:rsid w:val="5B376116"/>
    <w:rsid w:val="5B7B4D6C"/>
    <w:rsid w:val="5B9462A0"/>
    <w:rsid w:val="5BC2708A"/>
    <w:rsid w:val="5C441960"/>
    <w:rsid w:val="5D4E5CD1"/>
    <w:rsid w:val="5D8056B5"/>
    <w:rsid w:val="5DC42149"/>
    <w:rsid w:val="5DEF5A0F"/>
    <w:rsid w:val="5E0C0773"/>
    <w:rsid w:val="5E1049B4"/>
    <w:rsid w:val="5E7D0B61"/>
    <w:rsid w:val="5E8D2F3A"/>
    <w:rsid w:val="5ECC2FF3"/>
    <w:rsid w:val="5F0A4194"/>
    <w:rsid w:val="5F8A1E93"/>
    <w:rsid w:val="5F9C1BC7"/>
    <w:rsid w:val="60053022"/>
    <w:rsid w:val="60151F2C"/>
    <w:rsid w:val="602F54EF"/>
    <w:rsid w:val="60671823"/>
    <w:rsid w:val="60694452"/>
    <w:rsid w:val="60914379"/>
    <w:rsid w:val="613E5146"/>
    <w:rsid w:val="615B2815"/>
    <w:rsid w:val="61884427"/>
    <w:rsid w:val="637F5A87"/>
    <w:rsid w:val="64383768"/>
    <w:rsid w:val="646E1000"/>
    <w:rsid w:val="64A84B6A"/>
    <w:rsid w:val="64D27D34"/>
    <w:rsid w:val="65075D34"/>
    <w:rsid w:val="65EC3ABA"/>
    <w:rsid w:val="662F0114"/>
    <w:rsid w:val="66F83507"/>
    <w:rsid w:val="67705E13"/>
    <w:rsid w:val="683A01CF"/>
    <w:rsid w:val="6AB925F4"/>
    <w:rsid w:val="6ABE650E"/>
    <w:rsid w:val="6BCC7D84"/>
    <w:rsid w:val="6BF11F91"/>
    <w:rsid w:val="6C6031D1"/>
    <w:rsid w:val="6C6677E4"/>
    <w:rsid w:val="6E7B2E0A"/>
    <w:rsid w:val="6E7C3509"/>
    <w:rsid w:val="6EE007FA"/>
    <w:rsid w:val="6F3C0B9C"/>
    <w:rsid w:val="6FA9159E"/>
    <w:rsid w:val="6FF3502B"/>
    <w:rsid w:val="70131A31"/>
    <w:rsid w:val="71997DE0"/>
    <w:rsid w:val="72632266"/>
    <w:rsid w:val="73661B62"/>
    <w:rsid w:val="738022B1"/>
    <w:rsid w:val="7395614A"/>
    <w:rsid w:val="73F35F1C"/>
    <w:rsid w:val="73F51221"/>
    <w:rsid w:val="74485A21"/>
    <w:rsid w:val="74666F20"/>
    <w:rsid w:val="762A4605"/>
    <w:rsid w:val="76B22892"/>
    <w:rsid w:val="76B54466"/>
    <w:rsid w:val="77CB2BF1"/>
    <w:rsid w:val="78047EB1"/>
    <w:rsid w:val="78D024B0"/>
    <w:rsid w:val="79B7342D"/>
    <w:rsid w:val="7A407AE8"/>
    <w:rsid w:val="7A8C0F39"/>
    <w:rsid w:val="7A9F3EB3"/>
    <w:rsid w:val="7AB02B47"/>
    <w:rsid w:val="7AB12BBE"/>
    <w:rsid w:val="7BA67BFD"/>
    <w:rsid w:val="7BFE6FDC"/>
    <w:rsid w:val="7D7F2454"/>
    <w:rsid w:val="7E355268"/>
    <w:rsid w:val="7E4B4A8C"/>
    <w:rsid w:val="7E78197D"/>
    <w:rsid w:val="7F070519"/>
    <w:rsid w:val="7F5E514F"/>
    <w:rsid w:val="7F6529AB"/>
    <w:rsid w:val="7FCA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3"/>
    <w:qFormat/>
    <w:uiPriority w:val="99"/>
    <w:pPr>
      <w:adjustRightInd w:val="0"/>
      <w:spacing w:before="60" w:after="60" w:line="312" w:lineRule="atLeast"/>
      <w:ind w:firstLine="420"/>
      <w:textAlignment w:val="baseline"/>
    </w:pPr>
    <w:rPr>
      <w:rFonts w:ascii="Times New Roman" w:hAnsi="Times New Roman"/>
      <w:kern w:val="0"/>
      <w:sz w:val="24"/>
      <w:szCs w:val="20"/>
    </w:rPr>
  </w:style>
  <w:style w:type="paragraph" w:styleId="3">
    <w:name w:val="Document Map"/>
    <w:basedOn w:val="1"/>
    <w:link w:val="24"/>
    <w:qFormat/>
    <w:uiPriority w:val="0"/>
    <w:pPr>
      <w:shd w:val="clear" w:color="auto" w:fill="000080"/>
      <w:adjustRightInd w:val="0"/>
      <w:spacing w:line="360" w:lineRule="atLeast"/>
      <w:jc w:val="left"/>
      <w:textAlignment w:val="baseline"/>
    </w:pPr>
    <w:rPr>
      <w:rFonts w:ascii="Times New Roman" w:hAnsi="Times New Roman"/>
      <w:kern w:val="0"/>
      <w:sz w:val="24"/>
      <w:szCs w:val="20"/>
    </w:rPr>
  </w:style>
  <w:style w:type="paragraph" w:styleId="4">
    <w:name w:val="Body Text Indent"/>
    <w:basedOn w:val="1"/>
    <w:link w:val="16"/>
    <w:qFormat/>
    <w:uiPriority w:val="0"/>
    <w:pPr>
      <w:spacing w:line="360" w:lineRule="auto"/>
      <w:ind w:firstLine="527"/>
    </w:pPr>
    <w:rPr>
      <w:rFonts w:ascii="宋体" w:hAnsi="宋体"/>
      <w:sz w:val="24"/>
    </w:rPr>
  </w:style>
  <w:style w:type="paragraph" w:styleId="5">
    <w:name w:val="Plain Text"/>
    <w:basedOn w:val="1"/>
    <w:link w:val="22"/>
    <w:qFormat/>
    <w:uiPriority w:val="99"/>
    <w:rPr>
      <w:rFonts w:ascii="宋体" w:hAnsi="Courier New" w:cs="Courier New"/>
      <w:szCs w:val="21"/>
    </w:rPr>
  </w:style>
  <w:style w:type="paragraph" w:styleId="6">
    <w:name w:val="Date"/>
    <w:basedOn w:val="1"/>
    <w:next w:val="1"/>
    <w:qFormat/>
    <w:uiPriority w:val="0"/>
    <w:pPr>
      <w:ind w:left="100" w:leftChars="2500"/>
    </w:pPr>
  </w:style>
  <w:style w:type="paragraph" w:styleId="7">
    <w:name w:val="Body Text Indent 2"/>
    <w:basedOn w:val="1"/>
    <w:link w:val="21"/>
    <w:qFormat/>
    <w:uiPriority w:val="0"/>
    <w:pPr>
      <w:spacing w:after="120" w:line="480" w:lineRule="auto"/>
      <w:ind w:left="420" w:leftChars="2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正文文本缩进 Char"/>
    <w:basedOn w:val="13"/>
    <w:link w:val="4"/>
    <w:qFormat/>
    <w:uiPriority w:val="0"/>
    <w:rPr>
      <w:rFonts w:ascii="宋体" w:hAnsi="宋体" w:eastAsia="宋体"/>
      <w:kern w:val="2"/>
      <w:sz w:val="24"/>
      <w:szCs w:val="24"/>
      <w:lang w:val="en-US" w:eastAsia="zh-CN" w:bidi="ar-SA"/>
    </w:rPr>
  </w:style>
  <w:style w:type="character" w:customStyle="1" w:styleId="17">
    <w:name w:val="tpc_content1"/>
    <w:basedOn w:val="13"/>
    <w:qFormat/>
    <w:uiPriority w:val="0"/>
    <w:rPr>
      <w:sz w:val="20"/>
      <w:szCs w:val="20"/>
    </w:rPr>
  </w:style>
  <w:style w:type="character" w:customStyle="1" w:styleId="18">
    <w:name w:val="font11"/>
    <w:basedOn w:val="13"/>
    <w:qFormat/>
    <w:uiPriority w:val="0"/>
    <w:rPr>
      <w:rFonts w:hint="eastAsia" w:ascii="宋体" w:hAnsi="宋体" w:eastAsia="宋体" w:cs="宋体"/>
      <w:color w:val="000000"/>
      <w:sz w:val="20"/>
      <w:szCs w:val="20"/>
      <w:u w:val="none"/>
    </w:rPr>
  </w:style>
  <w:style w:type="character" w:customStyle="1" w:styleId="19">
    <w:name w:val="font01"/>
    <w:basedOn w:val="13"/>
    <w:qFormat/>
    <w:uiPriority w:val="0"/>
    <w:rPr>
      <w:rFonts w:hint="default" w:ascii="Times New Roman" w:hAnsi="Times New Roman" w:cs="Times New Roman"/>
      <w:color w:val="000000"/>
      <w:sz w:val="20"/>
      <w:szCs w:val="20"/>
      <w:u w:val="none"/>
    </w:rPr>
  </w:style>
  <w:style w:type="paragraph" w:customStyle="1" w:styleId="20">
    <w:name w:val="列出段落1"/>
    <w:basedOn w:val="1"/>
    <w:qFormat/>
    <w:uiPriority w:val="0"/>
    <w:pPr>
      <w:ind w:firstLine="420" w:firstLineChars="200"/>
    </w:pPr>
  </w:style>
  <w:style w:type="character" w:customStyle="1" w:styleId="21">
    <w:name w:val="正文文本缩进 2 Char"/>
    <w:basedOn w:val="13"/>
    <w:link w:val="7"/>
    <w:qFormat/>
    <w:uiPriority w:val="0"/>
    <w:rPr>
      <w:kern w:val="2"/>
      <w:sz w:val="21"/>
      <w:szCs w:val="24"/>
    </w:rPr>
  </w:style>
  <w:style w:type="character" w:customStyle="1" w:styleId="22">
    <w:name w:val="纯文本 Char"/>
    <w:basedOn w:val="13"/>
    <w:link w:val="5"/>
    <w:qFormat/>
    <w:locked/>
    <w:uiPriority w:val="99"/>
    <w:rPr>
      <w:rFonts w:ascii="宋体" w:hAnsi="Courier New" w:cs="Courier New"/>
      <w:kern w:val="2"/>
      <w:sz w:val="21"/>
      <w:szCs w:val="21"/>
    </w:rPr>
  </w:style>
  <w:style w:type="character" w:customStyle="1" w:styleId="23">
    <w:name w:val="正文缩进 Char"/>
    <w:link w:val="2"/>
    <w:qFormat/>
    <w:locked/>
    <w:uiPriority w:val="99"/>
    <w:rPr>
      <w:rFonts w:ascii="Times New Roman" w:hAnsi="Times New Roman"/>
      <w:sz w:val="24"/>
    </w:rPr>
  </w:style>
  <w:style w:type="character" w:customStyle="1" w:styleId="24">
    <w:name w:val="文档结构图 Char"/>
    <w:basedOn w:val="13"/>
    <w:link w:val="3"/>
    <w:qFormat/>
    <w:uiPriority w:val="0"/>
    <w:rPr>
      <w:rFonts w:ascii="Times New Roman" w:hAnsi="Times New Roman"/>
      <w:sz w:val="24"/>
      <w:shd w:val="clear" w:color="auto" w:fill="000080"/>
    </w:rPr>
  </w:style>
  <w:style w:type="paragraph" w:customStyle="1" w:styleId="25">
    <w:name w:val="样式9"/>
    <w:basedOn w:val="1"/>
    <w:qFormat/>
    <w:uiPriority w:val="0"/>
    <w:pPr>
      <w:spacing w:line="320" w:lineRule="atLeast"/>
    </w:pPr>
    <w:rPr>
      <w:rFonts w:ascii="KaiTi_GB2312" w:hAnsi="Times New Roman" w:eastAsia="KaiTi_GB2312"/>
      <w:spacing w:val="20"/>
      <w:sz w:val="28"/>
      <w:szCs w:val="20"/>
    </w:rPr>
  </w:style>
  <w:style w:type="paragraph" w:customStyle="1" w:styleId="26">
    <w:name w:val="zw"/>
    <w:basedOn w:val="1"/>
    <w:qFormat/>
    <w:uiPriority w:val="0"/>
    <w:pPr>
      <w:autoSpaceDE w:val="0"/>
      <w:autoSpaceDN w:val="0"/>
      <w:adjustRightInd w:val="0"/>
      <w:spacing w:line="360" w:lineRule="auto"/>
      <w:ind w:firstLine="482"/>
      <w:textAlignment w:val="bottom"/>
    </w:pPr>
    <w:rPr>
      <w:rFonts w:ascii="Arial Narrow" w:hAnsi="Arial Narrow" w:eastAsia="仿宋_GB2312"/>
      <w:kern w:val="0"/>
      <w:sz w:val="24"/>
      <w:szCs w:val="20"/>
    </w:rPr>
  </w:style>
  <w:style w:type="character" w:customStyle="1" w:styleId="27">
    <w:name w:val="font21"/>
    <w:basedOn w:val="13"/>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95064F-C3B5-4C13-A87D-C3D2D859A2ED}">
  <ds:schemaRefs/>
</ds:datastoreItem>
</file>

<file path=docProps/app.xml><?xml version="1.0" encoding="utf-8"?>
<Properties xmlns="http://schemas.openxmlformats.org/officeDocument/2006/extended-properties" xmlns:vt="http://schemas.openxmlformats.org/officeDocument/2006/docPropsVTypes">
  <Template>Normal</Template>
  <Company>hh</Company>
  <Pages>17</Pages>
  <Words>10793</Words>
  <Characters>11354</Characters>
  <Lines>78</Lines>
  <Paragraphs>22</Paragraphs>
  <TotalTime>3</TotalTime>
  <ScaleCrop>false</ScaleCrop>
  <LinksUpToDate>false</LinksUpToDate>
  <CharactersWithSpaces>11470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2021-01-25T07:19:00Z</dcterms:created>
  <dc:creator>cfy</dc:creator>
  <cp:lastModifiedBy>滕禹铄，</cp:lastModifiedBy>
  <cp:lastPrinted>2022-05-18T07:35:58Z</cp:lastPrinted>
  <dcterms:modified xsi:type="dcterms:W3CDTF">2022-05-18T07:36:06Z</dcterms:modified>
  <dc:title>辽源市人民防空办公室</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8E023290887B4DEA8D6CCCCA9DFB4148</vt:lpwstr>
  </property>
  <property fmtid="{D5CDD505-2E9C-101B-9397-08002B2CF9AE}" pid="4" name="commondata">
    <vt:lpwstr>eyJoZGlkIjoiMzRjZjE2OTJlYzY1ZjRjZTMwYzhkMmFmNjdhMTdlZGEifQ==</vt:lpwstr>
  </property>
</Properties>
</file>