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pacing w:line="360" w:lineRule="auto"/>
        <w:ind w:right="105" w:rightChars="50"/>
        <w:rPr>
          <w:rFonts w:ascii="仿宋" w:hAnsi="仿宋" w:eastAsia="仿宋" w:cs="仿宋"/>
          <w:b/>
          <w:sz w:val="72"/>
          <w:szCs w:val="72"/>
        </w:rPr>
      </w:pPr>
      <w:bookmarkStart w:id="0" w:name="_Toc323216536"/>
    </w:p>
    <w:p>
      <w:pPr>
        <w:pStyle w:val="13"/>
        <w:ind w:left="105" w:leftChars="50" w:right="105" w:rightChars="50"/>
        <w:jc w:val="center"/>
        <w:rPr>
          <w:rFonts w:ascii="仿宋" w:hAnsi="仿宋" w:eastAsia="仿宋" w:cs="仿宋"/>
          <w:b/>
          <w:sz w:val="72"/>
          <w:szCs w:val="72"/>
        </w:rPr>
      </w:pPr>
      <w:r>
        <w:rPr>
          <w:rFonts w:hint="eastAsia" w:ascii="仿宋" w:hAnsi="仿宋" w:eastAsia="仿宋" w:cs="仿宋"/>
          <w:b/>
          <w:sz w:val="72"/>
          <w:szCs w:val="72"/>
        </w:rPr>
        <w:t xml:space="preserve">涉执房地产处置   </w:t>
      </w:r>
    </w:p>
    <w:p>
      <w:pPr>
        <w:pStyle w:val="13"/>
        <w:ind w:left="105" w:leftChars="50" w:right="105" w:rightChars="50"/>
        <w:jc w:val="center"/>
        <w:rPr>
          <w:rFonts w:ascii="仿宋" w:hAnsi="仿宋" w:eastAsia="仿宋" w:cs="仿宋"/>
          <w:b/>
          <w:sz w:val="72"/>
          <w:szCs w:val="72"/>
        </w:rPr>
      </w:pPr>
      <w:r>
        <w:rPr>
          <w:rFonts w:hint="eastAsia" w:ascii="仿宋" w:hAnsi="仿宋" w:eastAsia="仿宋" w:cs="仿宋"/>
          <w:b/>
          <w:sz w:val="72"/>
          <w:szCs w:val="72"/>
        </w:rPr>
        <w:t>司法评估报告</w:t>
      </w:r>
    </w:p>
    <w:p>
      <w:pPr>
        <w:pStyle w:val="13"/>
        <w:snapToGrid w:val="0"/>
        <w:spacing w:line="640" w:lineRule="exact"/>
        <w:ind w:right="105" w:rightChars="50"/>
        <w:rPr>
          <w:rFonts w:ascii="仿宋" w:hAnsi="仿宋" w:eastAsia="仿宋" w:cs="仿宋"/>
          <w:b/>
          <w:sz w:val="72"/>
          <w:szCs w:val="72"/>
        </w:rPr>
      </w:pPr>
    </w:p>
    <w:p>
      <w:pPr>
        <w:pStyle w:val="13"/>
        <w:snapToGrid w:val="0"/>
        <w:spacing w:line="640" w:lineRule="exact"/>
        <w:ind w:right="105" w:rightChars="50" w:firstLine="602" w:firstLineChars="200"/>
        <w:rPr>
          <w:rFonts w:ascii="仿宋" w:hAnsi="仿宋" w:eastAsia="仿宋"/>
          <w:b/>
          <w:sz w:val="30"/>
          <w:szCs w:val="30"/>
        </w:rPr>
      </w:pPr>
    </w:p>
    <w:p>
      <w:pPr>
        <w:pStyle w:val="13"/>
        <w:snapToGrid w:val="0"/>
        <w:spacing w:line="640" w:lineRule="exact"/>
        <w:ind w:right="105" w:rightChars="50" w:firstLine="602" w:firstLineChars="200"/>
        <w:rPr>
          <w:rFonts w:ascii="仿宋" w:hAnsi="仿宋" w:eastAsia="仿宋"/>
          <w:b/>
          <w:sz w:val="30"/>
          <w:szCs w:val="30"/>
        </w:rPr>
      </w:pPr>
      <w:r>
        <w:rPr>
          <w:rFonts w:hint="eastAsia" w:ascii="仿宋" w:hAnsi="仿宋" w:eastAsia="仿宋"/>
          <w:b/>
          <w:sz w:val="30"/>
          <w:szCs w:val="30"/>
        </w:rPr>
        <w:t>评估报告编号：</w:t>
      </w:r>
    </w:p>
    <w:p>
      <w:pPr>
        <w:pStyle w:val="13"/>
        <w:snapToGrid w:val="0"/>
        <w:spacing w:line="640" w:lineRule="exact"/>
        <w:ind w:right="105" w:rightChars="50" w:firstLine="1205" w:firstLineChars="400"/>
        <w:rPr>
          <w:rFonts w:ascii="仿宋" w:hAnsi="仿宋" w:eastAsia="仿宋"/>
          <w:b/>
          <w:sz w:val="30"/>
          <w:szCs w:val="30"/>
          <w:highlight w:val="none"/>
        </w:rPr>
      </w:pPr>
      <w:r>
        <w:rPr>
          <w:rFonts w:hint="eastAsia" w:ascii="仿宋" w:hAnsi="仿宋" w:eastAsia="仿宋"/>
          <w:b/>
          <w:sz w:val="30"/>
          <w:szCs w:val="30"/>
        </w:rPr>
        <w:t>鲁贵估字（2022）</w:t>
      </w:r>
      <w:r>
        <w:rPr>
          <w:rFonts w:hint="eastAsia" w:ascii="仿宋" w:hAnsi="仿宋" w:eastAsia="仿宋"/>
          <w:b/>
          <w:sz w:val="30"/>
          <w:szCs w:val="30"/>
          <w:highlight w:val="none"/>
          <w:lang w:eastAsia="zh-CN"/>
        </w:rPr>
        <w:t>080</w:t>
      </w:r>
      <w:r>
        <w:rPr>
          <w:rFonts w:hint="eastAsia" w:ascii="仿宋" w:hAnsi="仿宋" w:eastAsia="仿宋"/>
          <w:b/>
          <w:sz w:val="30"/>
          <w:szCs w:val="30"/>
          <w:highlight w:val="none"/>
          <w:lang w:val="en-US" w:eastAsia="zh-CN"/>
        </w:rPr>
        <w:t>11</w:t>
      </w:r>
      <w:r>
        <w:rPr>
          <w:rFonts w:hint="eastAsia" w:ascii="仿宋" w:hAnsi="仿宋" w:eastAsia="仿宋"/>
          <w:b/>
          <w:sz w:val="30"/>
          <w:szCs w:val="30"/>
          <w:highlight w:val="none"/>
        </w:rPr>
        <w:t>号</w:t>
      </w:r>
    </w:p>
    <w:p>
      <w:pPr>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估价项目名称：</w:t>
      </w:r>
    </w:p>
    <w:p>
      <w:pPr>
        <w:snapToGrid w:val="0"/>
        <w:spacing w:line="640" w:lineRule="exact"/>
        <w:ind w:left="1193" w:leftChars="568" w:right="105" w:rightChars="50"/>
        <w:rPr>
          <w:rFonts w:ascii="仿宋" w:hAnsi="仿宋" w:eastAsia="仿宋" w:cs="仿宋"/>
          <w:b/>
          <w:sz w:val="30"/>
          <w:szCs w:val="30"/>
        </w:rPr>
      </w:pPr>
      <w:r>
        <w:rPr>
          <w:rFonts w:hint="eastAsia" w:ascii="仿宋" w:hAnsi="仿宋" w:eastAsia="仿宋" w:cs="仿宋"/>
          <w:b/>
          <w:sz w:val="30"/>
          <w:szCs w:val="30"/>
          <w:lang w:eastAsia="zh-CN"/>
        </w:rPr>
        <w:t>济南市钢城区钢都大街142号9幢西305室及9-C1幢储藏室</w:t>
      </w:r>
      <w:r>
        <w:rPr>
          <w:rFonts w:hint="eastAsia" w:ascii="仿宋" w:hAnsi="仿宋" w:eastAsia="仿宋"/>
          <w:b/>
          <w:sz w:val="30"/>
          <w:szCs w:val="30"/>
        </w:rPr>
        <w:t>市场价格评估</w:t>
      </w:r>
    </w:p>
    <w:p>
      <w:pPr>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评估委托人：</w:t>
      </w:r>
    </w:p>
    <w:p>
      <w:pPr>
        <w:snapToGrid w:val="0"/>
        <w:spacing w:line="640" w:lineRule="exact"/>
        <w:ind w:left="1193" w:leftChars="568" w:right="105" w:rightChars="50"/>
        <w:rPr>
          <w:rFonts w:hint="eastAsia" w:ascii="仿宋" w:hAnsi="仿宋" w:eastAsia="仿宋" w:cs="仿宋"/>
          <w:b/>
          <w:sz w:val="30"/>
          <w:szCs w:val="30"/>
          <w:lang w:eastAsia="zh-CN"/>
        </w:rPr>
      </w:pPr>
      <w:r>
        <w:rPr>
          <w:rFonts w:hint="eastAsia" w:ascii="仿宋" w:hAnsi="仿宋" w:eastAsia="仿宋" w:cs="仿宋"/>
          <w:b/>
          <w:sz w:val="30"/>
          <w:szCs w:val="30"/>
          <w:lang w:eastAsia="zh-CN"/>
        </w:rPr>
        <w:t>济南市钢城区人民法院</w:t>
      </w:r>
    </w:p>
    <w:p>
      <w:pPr>
        <w:pStyle w:val="13"/>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房地产估价机构：</w:t>
      </w:r>
    </w:p>
    <w:p>
      <w:pPr>
        <w:pStyle w:val="13"/>
        <w:snapToGrid w:val="0"/>
        <w:spacing w:line="640" w:lineRule="exact"/>
        <w:ind w:right="105" w:rightChars="50" w:firstLine="1205" w:firstLineChars="400"/>
        <w:rPr>
          <w:rFonts w:ascii="仿宋" w:hAnsi="仿宋" w:eastAsia="仿宋" w:cs="仿宋"/>
          <w:b/>
          <w:sz w:val="30"/>
          <w:szCs w:val="30"/>
        </w:rPr>
      </w:pPr>
      <w:r>
        <w:rPr>
          <w:rFonts w:hint="eastAsia" w:ascii="仿宋" w:hAnsi="仿宋" w:eastAsia="仿宋" w:cs="仿宋"/>
          <w:b/>
          <w:sz w:val="30"/>
          <w:szCs w:val="30"/>
        </w:rPr>
        <w:t>山东贵恒信土地房地产资产评估测绘有限公司</w:t>
      </w:r>
    </w:p>
    <w:p>
      <w:pPr>
        <w:pStyle w:val="13"/>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注册房地产估价师：</w:t>
      </w:r>
    </w:p>
    <w:p>
      <w:pPr>
        <w:pStyle w:val="13"/>
        <w:snapToGrid w:val="0"/>
        <w:spacing w:line="640" w:lineRule="exact"/>
        <w:ind w:right="105" w:rightChars="50" w:firstLine="1205" w:firstLineChars="400"/>
        <w:rPr>
          <w:rFonts w:ascii="仿宋" w:hAnsi="仿宋" w:eastAsia="仿宋" w:cs="仿宋"/>
          <w:b/>
          <w:sz w:val="30"/>
          <w:szCs w:val="30"/>
        </w:rPr>
      </w:pPr>
      <w:r>
        <w:rPr>
          <w:rFonts w:hint="eastAsia" w:ascii="仿宋" w:hAnsi="仿宋" w:eastAsia="仿宋" w:cs="仿宋"/>
          <w:b/>
          <w:sz w:val="30"/>
          <w:szCs w:val="30"/>
        </w:rPr>
        <w:t>张金华</w:t>
      </w:r>
      <w:r>
        <w:rPr>
          <w:rFonts w:hint="eastAsia" w:ascii="仿宋" w:hAnsi="仿宋" w:eastAsia="仿宋"/>
          <w:b/>
          <w:spacing w:val="-10"/>
          <w:sz w:val="30"/>
          <w:szCs w:val="30"/>
        </w:rPr>
        <w:t>（3720160163） 周倍峰（3720060057）</w:t>
      </w:r>
    </w:p>
    <w:p>
      <w:pPr>
        <w:pStyle w:val="13"/>
        <w:snapToGrid w:val="0"/>
        <w:spacing w:line="640" w:lineRule="exact"/>
        <w:ind w:right="105" w:rightChars="50" w:firstLine="602" w:firstLineChars="200"/>
        <w:rPr>
          <w:rFonts w:ascii="仿宋" w:hAnsi="仿宋" w:eastAsia="仿宋" w:cs="仿宋"/>
          <w:b/>
          <w:sz w:val="30"/>
          <w:szCs w:val="30"/>
        </w:rPr>
      </w:pPr>
      <w:r>
        <w:rPr>
          <w:rFonts w:hint="eastAsia" w:ascii="仿宋" w:hAnsi="仿宋" w:eastAsia="仿宋" w:cs="仿宋"/>
          <w:b/>
          <w:sz w:val="30"/>
          <w:szCs w:val="30"/>
        </w:rPr>
        <w:t>评估报告出具日期：</w:t>
      </w:r>
    </w:p>
    <w:p>
      <w:pPr>
        <w:pStyle w:val="13"/>
        <w:snapToGrid w:val="0"/>
        <w:spacing w:line="640" w:lineRule="exact"/>
        <w:ind w:right="105" w:rightChars="50" w:firstLine="602" w:firstLineChars="200"/>
        <w:rPr>
          <w:rFonts w:hint="eastAsia" w:ascii="仿宋" w:hAnsi="仿宋" w:eastAsia="仿宋" w:cs="仿宋"/>
          <w:b/>
          <w:sz w:val="30"/>
          <w:szCs w:val="30"/>
          <w:lang w:eastAsia="zh-CN"/>
        </w:rPr>
      </w:pPr>
      <w:r>
        <w:rPr>
          <w:rFonts w:hint="eastAsia" w:ascii="仿宋" w:hAnsi="仿宋" w:eastAsia="仿宋" w:cs="仿宋"/>
          <w:b/>
          <w:sz w:val="30"/>
          <w:szCs w:val="30"/>
        </w:rPr>
        <w:t xml:space="preserve">    2022年</w:t>
      </w:r>
      <w:r>
        <w:rPr>
          <w:rFonts w:hint="eastAsia" w:ascii="仿宋" w:hAnsi="仿宋" w:eastAsia="仿宋" w:cs="仿宋"/>
          <w:b/>
          <w:sz w:val="30"/>
          <w:szCs w:val="30"/>
          <w:lang w:eastAsia="zh-CN"/>
        </w:rPr>
        <w:t>8月</w:t>
      </w:r>
      <w:r>
        <w:rPr>
          <w:rFonts w:hint="eastAsia" w:ascii="仿宋" w:hAnsi="仿宋" w:eastAsia="仿宋" w:cs="仿宋"/>
          <w:b/>
          <w:sz w:val="30"/>
          <w:szCs w:val="30"/>
          <w:lang w:val="en-US" w:eastAsia="zh-CN"/>
        </w:rPr>
        <w:t>8</w:t>
      </w:r>
      <w:r>
        <w:rPr>
          <w:rFonts w:hint="eastAsia" w:ascii="仿宋" w:hAnsi="仿宋" w:eastAsia="仿宋" w:cs="仿宋"/>
          <w:b/>
          <w:sz w:val="30"/>
          <w:szCs w:val="30"/>
          <w:lang w:eastAsia="zh-CN"/>
        </w:rPr>
        <w:t>日</w:t>
      </w:r>
    </w:p>
    <w:p>
      <w:pPr>
        <w:pStyle w:val="13"/>
        <w:snapToGrid w:val="0"/>
        <w:spacing w:line="640" w:lineRule="exact"/>
        <w:ind w:right="105" w:rightChars="50" w:firstLine="602" w:firstLineChars="200"/>
        <w:rPr>
          <w:rFonts w:ascii="仿宋" w:hAnsi="仿宋" w:eastAsia="仿宋" w:cs="仿宋"/>
          <w:b/>
          <w:sz w:val="30"/>
          <w:szCs w:val="30"/>
        </w:rPr>
      </w:pPr>
    </w:p>
    <w:p>
      <w:pPr>
        <w:pStyle w:val="13"/>
        <w:snapToGrid w:val="0"/>
        <w:spacing w:line="640" w:lineRule="exact"/>
        <w:ind w:right="105" w:rightChars="50" w:firstLine="602" w:firstLineChars="200"/>
        <w:rPr>
          <w:rFonts w:ascii="仿宋" w:hAnsi="仿宋" w:eastAsia="仿宋" w:cs="仿宋"/>
          <w:b/>
          <w:sz w:val="30"/>
          <w:szCs w:val="30"/>
        </w:rPr>
      </w:pPr>
    </w:p>
    <w:p>
      <w:pPr>
        <w:keepNext w:val="0"/>
        <w:keepLines w:val="0"/>
        <w:pageBreakBefore w:val="0"/>
        <w:widowControl w:val="0"/>
        <w:kinsoku/>
        <w:wordWrap/>
        <w:overflowPunct/>
        <w:topLinePunct w:val="0"/>
        <w:autoSpaceDE/>
        <w:autoSpaceDN/>
        <w:bidi w:val="0"/>
        <w:adjustRightInd/>
        <w:spacing w:line="500" w:lineRule="exact"/>
        <w:jc w:val="center"/>
        <w:textAlignment w:val="auto"/>
        <w:rPr>
          <w:rFonts w:ascii="仿宋" w:hAnsi="仿宋" w:eastAsia="仿宋"/>
          <w:b/>
          <w:sz w:val="32"/>
          <w:szCs w:val="32"/>
        </w:rPr>
      </w:pPr>
      <w:r>
        <w:rPr>
          <w:rFonts w:hint="eastAsia" w:ascii="仿宋" w:hAnsi="仿宋" w:eastAsia="仿宋"/>
          <w:b/>
          <w:sz w:val="32"/>
          <w:szCs w:val="32"/>
        </w:rPr>
        <w:t>致评估委托人函</w:t>
      </w:r>
    </w:p>
    <w:bookmarkEnd w:id="0"/>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textAlignment w:val="auto"/>
        <w:rPr>
          <w:rFonts w:ascii="仿宋" w:hAnsi="仿宋" w:eastAsia="仿宋" w:cs="仿宋"/>
          <w:b/>
          <w:sz w:val="28"/>
          <w:szCs w:val="28"/>
        </w:rPr>
      </w:pPr>
      <w:r>
        <w:rPr>
          <w:rFonts w:hint="eastAsia" w:ascii="仿宋" w:hAnsi="仿宋" w:eastAsia="仿宋" w:cs="仿宋"/>
          <w:b/>
          <w:sz w:val="28"/>
          <w:szCs w:val="28"/>
          <w:lang w:eastAsia="zh-CN"/>
        </w:rPr>
        <w:t>济南市钢城区人民法院</w:t>
      </w:r>
      <w:r>
        <w:rPr>
          <w:rFonts w:hint="eastAsia" w:ascii="仿宋" w:hAnsi="仿宋" w:eastAsia="仿宋" w:cs="仿宋"/>
          <w:b/>
          <w:sz w:val="28"/>
          <w:szCs w:val="28"/>
        </w:rPr>
        <w:t>：</w:t>
      </w:r>
    </w:p>
    <w:p>
      <w:pPr>
        <w:pStyle w:val="13"/>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受贵方委托，本公司对</w:t>
      </w:r>
      <w:r>
        <w:rPr>
          <w:rFonts w:hint="eastAsia" w:ascii="仿宋" w:hAnsi="仿宋" w:eastAsia="仿宋" w:cs="仿宋"/>
          <w:bCs/>
          <w:sz w:val="28"/>
          <w:szCs w:val="28"/>
          <w:lang w:eastAsia="zh-CN"/>
        </w:rPr>
        <w:t>济南市钢城区钢都大街142号9幢西305室及9-C1幢储藏室</w:t>
      </w:r>
      <w:r>
        <w:rPr>
          <w:rFonts w:hint="eastAsia" w:ascii="仿宋" w:hAnsi="仿宋" w:eastAsia="仿宋" w:cs="仿宋"/>
          <w:bCs/>
          <w:sz w:val="28"/>
          <w:szCs w:val="28"/>
        </w:rPr>
        <w:t>及其分摊的土地使用权市场价值进行评估，价值时点为</w:t>
      </w:r>
      <w:r>
        <w:rPr>
          <w:rFonts w:hint="eastAsia" w:ascii="仿宋" w:hAnsi="仿宋" w:eastAsia="仿宋" w:cs="仿宋"/>
          <w:bCs/>
          <w:sz w:val="28"/>
          <w:szCs w:val="28"/>
          <w:lang w:eastAsia="zh-CN"/>
        </w:rPr>
        <w:t>2022年8月3日</w:t>
      </w:r>
      <w:r>
        <w:rPr>
          <w:rFonts w:hint="eastAsia" w:ascii="仿宋" w:hAnsi="仿宋" w:eastAsia="仿宋" w:cs="仿宋"/>
          <w:bCs/>
          <w:sz w:val="28"/>
          <w:szCs w:val="28"/>
        </w:rPr>
        <w:t>，评估目的是为人民法院确定财产处置参考价提供参考依据。</w:t>
      </w:r>
    </w:p>
    <w:p>
      <w:pPr>
        <w:pStyle w:val="13"/>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在整个评估过程中，注册房地产估价师本着独立、客观、公正的原则，在对评估对象进行了实地查看、广泛收集有关市场信息和评估对象信息的基础上，全面分析了影响评估对象市场价格的因素，运用比较法、收益法对评估对象进行了评估，最终确定评估对象在价值时点的市场价格为</w:t>
      </w:r>
      <w:r>
        <w:rPr>
          <w:rFonts w:hint="eastAsia" w:ascii="仿宋" w:hAnsi="仿宋" w:eastAsia="仿宋" w:cs="仿宋"/>
          <w:b/>
          <w:bCs w:val="0"/>
          <w:sz w:val="28"/>
          <w:szCs w:val="28"/>
          <w:lang w:eastAsia="zh-CN"/>
        </w:rPr>
        <w:t>¥</w:t>
      </w:r>
      <w:r>
        <w:rPr>
          <w:rFonts w:hint="eastAsia" w:ascii="仿宋" w:hAnsi="仿宋" w:eastAsia="仿宋" w:cs="仿宋"/>
          <w:b/>
          <w:bCs w:val="0"/>
          <w:sz w:val="28"/>
          <w:szCs w:val="28"/>
          <w:lang w:val="en-US" w:eastAsia="zh-CN"/>
        </w:rPr>
        <w:t>24.67</w:t>
      </w:r>
      <w:r>
        <w:rPr>
          <w:rFonts w:hint="eastAsia" w:ascii="仿宋" w:hAnsi="仿宋" w:eastAsia="仿宋" w:cs="仿宋"/>
          <w:b/>
          <w:bCs w:val="0"/>
          <w:sz w:val="28"/>
          <w:szCs w:val="28"/>
          <w:lang w:eastAsia="zh-CN"/>
        </w:rPr>
        <w:t>万元,大写：人民币贰拾肆万陆仟柒佰元整</w:t>
      </w:r>
      <w:r>
        <w:rPr>
          <w:rFonts w:hint="eastAsia" w:ascii="仿宋" w:hAnsi="仿宋" w:eastAsia="仿宋" w:cs="仿宋"/>
          <w:bCs/>
          <w:sz w:val="28"/>
          <w:szCs w:val="28"/>
          <w:lang w:eastAsia="zh-CN"/>
        </w:rPr>
        <w:t>（本估价结果包含储藏室价值）。</w:t>
      </w:r>
    </w:p>
    <w:p>
      <w:pPr>
        <w:pStyle w:val="13"/>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sz w:val="28"/>
          <w:szCs w:val="28"/>
          <w:lang w:eastAsia="zh-CN"/>
        </w:rPr>
      </w:pPr>
      <w:r>
        <w:rPr>
          <w:rFonts w:hint="eastAsia" w:ascii="仿宋" w:hAnsi="仿宋" w:eastAsia="仿宋" w:cs="仿宋"/>
          <w:bCs/>
          <w:sz w:val="28"/>
          <w:szCs w:val="28"/>
          <w:lang w:eastAsia="zh-CN"/>
        </w:rPr>
        <w:t>报告使用人在使用本报告之前须对报告全文，特别是“评估设和限制条件”认真阅读，以免使用不当，造成损失！ 评估的详细结果、过程及有关说明，详见报告全文；评估利害关系人对评估报告有异议的，可以在收到评估报告后五日内以书面形式通过人民法院向我公司提出。</w:t>
      </w:r>
    </w:p>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firstLine="560" w:firstLineChars="200"/>
        <w:textAlignment w:val="auto"/>
        <w:rPr>
          <w:rFonts w:ascii="仿宋" w:hAnsi="仿宋" w:eastAsia="仿宋" w:cs="仿宋"/>
          <w:sz w:val="28"/>
          <w:szCs w:val="28"/>
        </w:rPr>
      </w:pPr>
    </w:p>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firstLine="2240" w:firstLineChars="800"/>
        <w:textAlignment w:val="auto"/>
        <w:rPr>
          <w:rFonts w:ascii="仿宋" w:hAnsi="仿宋" w:eastAsia="仿宋" w:cs="仿宋"/>
          <w:sz w:val="28"/>
          <w:szCs w:val="28"/>
        </w:rPr>
      </w:pPr>
      <w:r>
        <w:rPr>
          <w:rFonts w:hint="eastAsia" w:ascii="仿宋" w:hAnsi="仿宋" w:eastAsia="仿宋" w:cs="仿宋"/>
          <w:sz w:val="28"/>
          <w:szCs w:val="28"/>
        </w:rPr>
        <w:t>山东贵恒信土地房地产资产评估测绘有限公司</w:t>
      </w:r>
    </w:p>
    <w:p>
      <w:pPr>
        <w:pStyle w:val="13"/>
        <w:keepNext w:val="0"/>
        <w:keepLines w:val="0"/>
        <w:pageBreakBefore w:val="0"/>
        <w:widowControl w:val="0"/>
        <w:kinsoku/>
        <w:wordWrap/>
        <w:overflowPunct/>
        <w:topLinePunct w:val="0"/>
        <w:autoSpaceDE/>
        <w:autoSpaceDN/>
        <w:bidi w:val="0"/>
        <w:adjustRightInd/>
        <w:snapToGrid w:val="0"/>
        <w:spacing w:line="520" w:lineRule="exact"/>
        <w:ind w:left="4198" w:leftChars="1650" w:right="105" w:rightChars="50" w:hanging="733" w:hangingChars="262"/>
        <w:jc w:val="left"/>
        <w:textAlignment w:val="auto"/>
        <w:rPr>
          <w:rFonts w:ascii="仿宋" w:hAnsi="仿宋" w:eastAsia="仿宋" w:cs="仿宋"/>
          <w:sz w:val="28"/>
          <w:szCs w:val="28"/>
        </w:rPr>
      </w:pPr>
      <w:r>
        <w:rPr>
          <w:rFonts w:hint="eastAsia" w:ascii="仿宋" w:hAnsi="仿宋" w:eastAsia="仿宋" w:cs="仿宋"/>
          <w:sz w:val="28"/>
          <w:szCs w:val="28"/>
        </w:rPr>
        <w:t xml:space="preserve">  法定代表人签字： </w:t>
      </w: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r>
        <w:rPr>
          <w:rFonts w:hint="eastAsia" w:ascii="仿宋" w:hAnsi="仿宋" w:eastAsia="仿宋" w:cs="仿宋"/>
          <w:sz w:val="28"/>
          <w:szCs w:val="28"/>
        </w:rPr>
        <w:t>2022年</w:t>
      </w:r>
      <w:r>
        <w:rPr>
          <w:rFonts w:hint="eastAsia" w:ascii="仿宋" w:hAnsi="仿宋" w:eastAsia="仿宋" w:cs="仿宋"/>
          <w:sz w:val="28"/>
          <w:szCs w:val="28"/>
          <w:lang w:eastAsia="zh-CN"/>
        </w:rPr>
        <w:t>8月</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日</w:t>
      </w: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left="4200" w:leftChars="2000" w:right="105" w:rightChars="50" w:firstLine="700" w:firstLineChars="250"/>
        <w:jc w:val="left"/>
        <w:textAlignment w:val="auto"/>
        <w:rPr>
          <w:rFonts w:hint="eastAsia" w:ascii="仿宋" w:hAnsi="仿宋" w:eastAsia="仿宋" w:cs="仿宋"/>
          <w:sz w:val="28"/>
          <w:szCs w:val="28"/>
          <w:lang w:eastAsia="zh-CN"/>
        </w:rPr>
      </w:pPr>
    </w:p>
    <w:p>
      <w:pPr>
        <w:pStyle w:val="13"/>
        <w:keepNext w:val="0"/>
        <w:keepLines w:val="0"/>
        <w:pageBreakBefore w:val="0"/>
        <w:widowControl w:val="0"/>
        <w:kinsoku/>
        <w:wordWrap/>
        <w:overflowPunct/>
        <w:topLinePunct w:val="0"/>
        <w:autoSpaceDE/>
        <w:autoSpaceDN/>
        <w:bidi w:val="0"/>
        <w:adjustRightInd/>
        <w:snapToGrid w:val="0"/>
        <w:spacing w:line="520" w:lineRule="exact"/>
        <w:ind w:right="105" w:rightChars="50"/>
        <w:jc w:val="left"/>
        <w:textAlignment w:val="auto"/>
        <w:rPr>
          <w:rFonts w:hint="eastAsia" w:ascii="仿宋" w:hAnsi="仿宋" w:eastAsia="仿宋" w:cs="仿宋"/>
          <w:sz w:val="28"/>
          <w:szCs w:val="28"/>
          <w:lang w:eastAsia="zh-CN"/>
        </w:rPr>
      </w:pPr>
    </w:p>
    <w:p>
      <w:pPr>
        <w:pStyle w:val="63"/>
        <w:tabs>
          <w:tab w:val="center" w:pos="4161"/>
          <w:tab w:val="left" w:pos="7272"/>
        </w:tabs>
        <w:spacing w:before="0" w:line="360" w:lineRule="auto"/>
        <w:ind w:right="105" w:rightChars="50"/>
        <w:rPr>
          <w:rFonts w:ascii="仿宋" w:hAnsi="仿宋" w:eastAsia="仿宋" w:cs="仿宋"/>
          <w:color w:val="auto"/>
          <w:sz w:val="24"/>
          <w:szCs w:val="24"/>
          <w:lang w:val="zh-CN"/>
        </w:rPr>
      </w:pPr>
      <w:r>
        <w:rPr>
          <w:rFonts w:hint="eastAsia" w:ascii="仿宋" w:hAnsi="仿宋" w:eastAsia="仿宋" w:cs="仿宋"/>
          <w:color w:val="auto"/>
          <w:sz w:val="44"/>
          <w:szCs w:val="44"/>
          <w:lang w:val="zh-CN"/>
        </w:rPr>
        <w:tab/>
      </w:r>
      <w:r>
        <w:rPr>
          <w:rFonts w:hint="eastAsia" w:ascii="仿宋" w:hAnsi="仿宋" w:eastAsia="仿宋" w:cs="仿宋"/>
          <w:color w:val="auto"/>
          <w:sz w:val="32"/>
          <w:szCs w:val="32"/>
          <w:lang w:val="zh-CN"/>
        </w:rPr>
        <w:t>目  录</w:t>
      </w:r>
      <w:r>
        <w:rPr>
          <w:rFonts w:hint="eastAsia" w:ascii="仿宋" w:hAnsi="仿宋" w:eastAsia="仿宋" w:cs="仿宋"/>
          <w:color w:val="auto"/>
          <w:sz w:val="44"/>
          <w:szCs w:val="44"/>
          <w:lang w:val="zh-CN"/>
        </w:rPr>
        <w:tab/>
      </w:r>
    </w:p>
    <w:p/>
    <w:p>
      <w:pPr>
        <w:pStyle w:val="19"/>
        <w:tabs>
          <w:tab w:val="right" w:leader="dot" w:pos="8306"/>
          <w:tab w:val="clear" w:pos="8630"/>
        </w:tabs>
      </w:pPr>
      <w:r>
        <w:rPr>
          <w:rFonts w:hint="eastAsia" w:ascii="仿宋" w:hAnsi="仿宋" w:eastAsia="仿宋" w:cs="仿宋"/>
        </w:rPr>
        <w:fldChar w:fldCharType="begin"/>
      </w:r>
      <w:r>
        <w:rPr>
          <w:rFonts w:hint="eastAsia" w:ascii="仿宋" w:hAnsi="仿宋" w:eastAsia="仿宋" w:cs="仿宋"/>
        </w:rPr>
        <w:instrText xml:space="preserve"> TOC \o "1-3" \h \z \u </w:instrText>
      </w:r>
      <w:r>
        <w:rPr>
          <w:rFonts w:hint="eastAsia" w:ascii="仿宋" w:hAnsi="仿宋" w:eastAsia="仿宋" w:cs="仿宋"/>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_Toc418 </w:instrText>
      </w:r>
      <w:r>
        <w:rPr>
          <w:rFonts w:hint="eastAsia" w:ascii="仿宋" w:hAnsi="仿宋" w:eastAsia="仿宋" w:cs="仿宋"/>
        </w:rPr>
        <w:fldChar w:fldCharType="separate"/>
      </w:r>
      <w:r>
        <w:rPr>
          <w:rFonts w:hint="eastAsia" w:ascii="仿宋" w:hAnsi="仿宋" w:cs="仿宋"/>
          <w:szCs w:val="32"/>
        </w:rPr>
        <w:t>第一部分  估价师声明</w:t>
      </w:r>
      <w:r>
        <w:tab/>
      </w:r>
      <w:r>
        <w:fldChar w:fldCharType="begin"/>
      </w:r>
      <w:r>
        <w:instrText xml:space="preserve"> PAGEREF _Toc418 \h </w:instrText>
      </w:r>
      <w:r>
        <w:fldChar w:fldCharType="separate"/>
      </w:r>
      <w:r>
        <w:t>3</w:t>
      </w:r>
      <w:r>
        <w:fldChar w:fldCharType="end"/>
      </w:r>
      <w:r>
        <w:rPr>
          <w:rFonts w:hint="eastAsia" w:ascii="仿宋" w:hAnsi="仿宋" w:eastAsia="仿宋" w:cs="仿宋"/>
        </w:rPr>
        <w:fldChar w:fldCharType="end"/>
      </w:r>
    </w:p>
    <w:p>
      <w:pPr>
        <w:pStyle w:val="19"/>
        <w:tabs>
          <w:tab w:val="right" w:leader="dot" w:pos="8306"/>
          <w:tab w:val="clear" w:pos="8630"/>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_Toc31036 </w:instrText>
      </w:r>
      <w:r>
        <w:rPr>
          <w:rFonts w:hint="eastAsia" w:ascii="仿宋" w:hAnsi="仿宋" w:eastAsia="仿宋" w:cs="仿宋"/>
          <w:szCs w:val="28"/>
        </w:rPr>
        <w:fldChar w:fldCharType="separate"/>
      </w:r>
      <w:r>
        <w:rPr>
          <w:rFonts w:hint="eastAsia" w:ascii="仿宋" w:hAnsi="仿宋" w:cs="仿宋"/>
          <w:szCs w:val="32"/>
        </w:rPr>
        <w:t>第二部分  评估假设和限制条件</w:t>
      </w:r>
      <w:r>
        <w:tab/>
      </w:r>
      <w:r>
        <w:fldChar w:fldCharType="begin"/>
      </w:r>
      <w:r>
        <w:instrText xml:space="preserve"> PAGEREF _Toc31036 \h </w:instrText>
      </w:r>
      <w:r>
        <w:fldChar w:fldCharType="separate"/>
      </w:r>
      <w:r>
        <w:t>4</w:t>
      </w:r>
      <w:r>
        <w:fldChar w:fldCharType="end"/>
      </w:r>
      <w:r>
        <w:rPr>
          <w:rFonts w:hint="eastAsia" w:ascii="仿宋" w:hAnsi="仿宋" w:eastAsia="仿宋" w:cs="仿宋"/>
          <w:szCs w:val="28"/>
        </w:rPr>
        <w:fldChar w:fldCharType="end"/>
      </w:r>
    </w:p>
    <w:p>
      <w:pPr>
        <w:pStyle w:val="19"/>
        <w:tabs>
          <w:tab w:val="right" w:leader="dot" w:pos="8306"/>
          <w:tab w:val="clear" w:pos="8630"/>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_Toc23884 </w:instrText>
      </w:r>
      <w:r>
        <w:rPr>
          <w:rFonts w:hint="eastAsia" w:ascii="仿宋" w:hAnsi="仿宋" w:eastAsia="仿宋" w:cs="仿宋"/>
          <w:szCs w:val="28"/>
        </w:rPr>
        <w:fldChar w:fldCharType="separate"/>
      </w:r>
      <w:r>
        <w:rPr>
          <w:rFonts w:hint="eastAsia" w:ascii="仿宋" w:hAnsi="仿宋" w:cs="仿宋"/>
          <w:szCs w:val="32"/>
        </w:rPr>
        <w:t>第三部分  评估结果报告</w:t>
      </w:r>
      <w:r>
        <w:tab/>
      </w:r>
      <w:r>
        <w:fldChar w:fldCharType="begin"/>
      </w:r>
      <w:r>
        <w:instrText xml:space="preserve"> PAGEREF _Toc23884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_Toc10547 </w:instrText>
      </w:r>
      <w:r>
        <w:rPr>
          <w:rFonts w:hint="eastAsia" w:ascii="仿宋" w:hAnsi="仿宋" w:eastAsia="仿宋" w:cs="仿宋"/>
          <w:szCs w:val="28"/>
        </w:rPr>
        <w:fldChar w:fldCharType="separate"/>
      </w:r>
      <w:r>
        <w:rPr>
          <w:rFonts w:hint="eastAsia" w:ascii="仿宋" w:hAnsi="仿宋" w:cs="仿宋"/>
          <w:szCs w:val="28"/>
        </w:rPr>
        <w:t>一、评估委托人</w:t>
      </w:r>
      <w:r>
        <w:tab/>
      </w:r>
      <w:r>
        <w:fldChar w:fldCharType="begin"/>
      </w:r>
      <w:r>
        <w:instrText xml:space="preserve"> PAGEREF _Toc10547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_Toc4911 </w:instrText>
      </w:r>
      <w:r>
        <w:rPr>
          <w:rFonts w:hint="eastAsia" w:ascii="仿宋" w:hAnsi="仿宋" w:eastAsia="仿宋" w:cs="仿宋"/>
          <w:szCs w:val="28"/>
        </w:rPr>
        <w:fldChar w:fldCharType="separate"/>
      </w:r>
      <w:r>
        <w:rPr>
          <w:rFonts w:hint="eastAsia" w:ascii="仿宋" w:hAnsi="仿宋" w:cs="仿宋"/>
          <w:szCs w:val="28"/>
        </w:rPr>
        <w:t>二、房地产估价机构</w:t>
      </w:r>
      <w:r>
        <w:tab/>
      </w:r>
      <w:r>
        <w:fldChar w:fldCharType="begin"/>
      </w:r>
      <w:r>
        <w:instrText xml:space="preserve"> PAGEREF _Toc4911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_Toc2646 </w:instrText>
      </w:r>
      <w:r>
        <w:rPr>
          <w:rFonts w:hint="eastAsia" w:ascii="仿宋" w:hAnsi="仿宋" w:eastAsia="仿宋" w:cs="仿宋"/>
          <w:szCs w:val="28"/>
        </w:rPr>
        <w:fldChar w:fldCharType="separate"/>
      </w:r>
      <w:r>
        <w:rPr>
          <w:rFonts w:hint="eastAsia" w:ascii="仿宋" w:hAnsi="仿宋" w:cs="仿宋"/>
          <w:szCs w:val="28"/>
        </w:rPr>
        <w:t>三、评估目的</w:t>
      </w:r>
      <w:r>
        <w:tab/>
      </w:r>
      <w:r>
        <w:fldChar w:fldCharType="begin"/>
      </w:r>
      <w:r>
        <w:instrText xml:space="preserve"> PAGEREF _Toc2646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_Toc27393 </w:instrText>
      </w:r>
      <w:r>
        <w:rPr>
          <w:rFonts w:hint="eastAsia" w:ascii="仿宋" w:hAnsi="仿宋" w:eastAsia="仿宋" w:cs="仿宋"/>
          <w:szCs w:val="28"/>
        </w:rPr>
        <w:fldChar w:fldCharType="separate"/>
      </w:r>
      <w:r>
        <w:rPr>
          <w:rFonts w:hint="eastAsia" w:ascii="仿宋" w:hAnsi="仿宋" w:cs="仿宋"/>
          <w:szCs w:val="28"/>
        </w:rPr>
        <w:t>四、评估对象</w:t>
      </w:r>
      <w:r>
        <w:tab/>
      </w:r>
      <w:r>
        <w:fldChar w:fldCharType="begin"/>
      </w:r>
      <w:r>
        <w:instrText xml:space="preserve"> PAGEREF _Toc27393 \h </w:instrText>
      </w:r>
      <w:r>
        <w:fldChar w:fldCharType="separate"/>
      </w:r>
      <w:r>
        <w:t>7</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_Toc1614 </w:instrText>
      </w:r>
      <w:r>
        <w:rPr>
          <w:rFonts w:hint="eastAsia" w:ascii="仿宋" w:hAnsi="仿宋" w:eastAsia="仿宋" w:cs="仿宋"/>
          <w:szCs w:val="28"/>
        </w:rPr>
        <w:fldChar w:fldCharType="separate"/>
      </w:r>
      <w:r>
        <w:rPr>
          <w:rFonts w:hint="eastAsia" w:ascii="仿宋" w:hAnsi="仿宋" w:cs="仿宋"/>
          <w:szCs w:val="28"/>
        </w:rPr>
        <w:t>五、价值时点</w:t>
      </w:r>
      <w:r>
        <w:tab/>
      </w:r>
      <w:r>
        <w:fldChar w:fldCharType="begin"/>
      </w:r>
      <w:r>
        <w:instrText xml:space="preserve"> PAGEREF _Toc1614 \h </w:instrText>
      </w:r>
      <w:r>
        <w:fldChar w:fldCharType="separate"/>
      </w:r>
      <w:r>
        <w:t>9</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_Toc3434 </w:instrText>
      </w:r>
      <w:r>
        <w:rPr>
          <w:rFonts w:hint="eastAsia" w:ascii="仿宋" w:hAnsi="仿宋" w:eastAsia="仿宋" w:cs="仿宋"/>
          <w:szCs w:val="28"/>
        </w:rPr>
        <w:fldChar w:fldCharType="separate"/>
      </w:r>
      <w:r>
        <w:rPr>
          <w:rFonts w:hint="eastAsia" w:ascii="仿宋" w:hAnsi="仿宋" w:cs="仿宋"/>
          <w:szCs w:val="28"/>
        </w:rPr>
        <w:t>六、价值类型</w:t>
      </w:r>
      <w:r>
        <w:tab/>
      </w:r>
      <w:r>
        <w:fldChar w:fldCharType="begin"/>
      </w:r>
      <w:r>
        <w:instrText xml:space="preserve"> PAGEREF _Toc3434 \h </w:instrText>
      </w:r>
      <w:r>
        <w:fldChar w:fldCharType="separate"/>
      </w:r>
      <w:r>
        <w:t>9</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_Toc31296 </w:instrText>
      </w:r>
      <w:r>
        <w:rPr>
          <w:rFonts w:hint="eastAsia" w:ascii="仿宋" w:hAnsi="仿宋" w:eastAsia="仿宋" w:cs="仿宋"/>
          <w:szCs w:val="28"/>
        </w:rPr>
        <w:fldChar w:fldCharType="separate"/>
      </w:r>
      <w:r>
        <w:rPr>
          <w:rFonts w:hint="eastAsia"/>
        </w:rPr>
        <w:t>七、评估原则</w:t>
      </w:r>
      <w:r>
        <w:tab/>
      </w:r>
      <w:r>
        <w:fldChar w:fldCharType="begin"/>
      </w:r>
      <w:r>
        <w:instrText xml:space="preserve"> PAGEREF _Toc31296 \h </w:instrText>
      </w:r>
      <w:r>
        <w:fldChar w:fldCharType="separate"/>
      </w:r>
      <w:r>
        <w:t>9</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_Toc17836 </w:instrText>
      </w:r>
      <w:r>
        <w:rPr>
          <w:rFonts w:hint="eastAsia" w:ascii="仿宋" w:hAnsi="仿宋" w:eastAsia="仿宋" w:cs="仿宋"/>
          <w:szCs w:val="28"/>
        </w:rPr>
        <w:fldChar w:fldCharType="separate"/>
      </w:r>
      <w:r>
        <w:rPr>
          <w:rFonts w:hint="eastAsia" w:ascii="仿宋" w:hAnsi="仿宋" w:cs="仿宋"/>
          <w:szCs w:val="28"/>
        </w:rPr>
        <w:t>八、评估依据</w:t>
      </w:r>
      <w:r>
        <w:tab/>
      </w:r>
      <w:r>
        <w:fldChar w:fldCharType="begin"/>
      </w:r>
      <w:r>
        <w:instrText xml:space="preserve"> PAGEREF _Toc17836 \h </w:instrText>
      </w:r>
      <w:r>
        <w:fldChar w:fldCharType="separate"/>
      </w:r>
      <w:r>
        <w:t>10</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_Toc9294 </w:instrText>
      </w:r>
      <w:r>
        <w:rPr>
          <w:rFonts w:hint="eastAsia" w:ascii="仿宋" w:hAnsi="仿宋" w:eastAsia="仿宋" w:cs="仿宋"/>
          <w:szCs w:val="28"/>
        </w:rPr>
        <w:fldChar w:fldCharType="separate"/>
      </w:r>
      <w:r>
        <w:rPr>
          <w:rFonts w:hint="eastAsia" w:ascii="仿宋" w:hAnsi="仿宋" w:cs="仿宋"/>
          <w:szCs w:val="28"/>
        </w:rPr>
        <w:t>九、评估方法</w:t>
      </w:r>
      <w:r>
        <w:tab/>
      </w:r>
      <w:r>
        <w:fldChar w:fldCharType="begin"/>
      </w:r>
      <w:r>
        <w:instrText xml:space="preserve"> PAGEREF _Toc9294 \h </w:instrText>
      </w:r>
      <w:r>
        <w:fldChar w:fldCharType="separate"/>
      </w:r>
      <w:r>
        <w:t>12</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_Toc8614 </w:instrText>
      </w:r>
      <w:r>
        <w:rPr>
          <w:rFonts w:hint="eastAsia" w:ascii="仿宋" w:hAnsi="仿宋" w:eastAsia="仿宋" w:cs="仿宋"/>
          <w:szCs w:val="28"/>
        </w:rPr>
        <w:fldChar w:fldCharType="separate"/>
      </w:r>
      <w:r>
        <w:rPr>
          <w:rFonts w:hint="eastAsia" w:ascii="仿宋" w:hAnsi="仿宋" w:cs="仿宋"/>
          <w:szCs w:val="28"/>
        </w:rPr>
        <w:t>十、评估结果</w:t>
      </w:r>
      <w:r>
        <w:tab/>
      </w:r>
      <w:r>
        <w:fldChar w:fldCharType="begin"/>
      </w:r>
      <w:r>
        <w:instrText xml:space="preserve"> PAGEREF _Toc8614 \h </w:instrText>
      </w:r>
      <w:r>
        <w:fldChar w:fldCharType="separate"/>
      </w:r>
      <w:r>
        <w:t>14</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_Toc2582 </w:instrText>
      </w:r>
      <w:r>
        <w:rPr>
          <w:rFonts w:hint="eastAsia" w:ascii="仿宋" w:hAnsi="仿宋" w:eastAsia="仿宋" w:cs="仿宋"/>
          <w:szCs w:val="28"/>
        </w:rPr>
        <w:fldChar w:fldCharType="separate"/>
      </w:r>
      <w:r>
        <w:rPr>
          <w:rFonts w:hint="eastAsia"/>
        </w:rPr>
        <w:t>十一、注册房地产估价师</w:t>
      </w:r>
      <w:r>
        <w:tab/>
      </w:r>
      <w:r>
        <w:fldChar w:fldCharType="begin"/>
      </w:r>
      <w:r>
        <w:instrText xml:space="preserve"> PAGEREF _Toc2582 \h </w:instrText>
      </w:r>
      <w:r>
        <w:fldChar w:fldCharType="separate"/>
      </w:r>
      <w:r>
        <w:t>14</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_Toc27342 </w:instrText>
      </w:r>
      <w:r>
        <w:rPr>
          <w:rFonts w:hint="eastAsia" w:ascii="仿宋" w:hAnsi="仿宋" w:eastAsia="仿宋" w:cs="仿宋"/>
          <w:szCs w:val="28"/>
        </w:rPr>
        <w:fldChar w:fldCharType="separate"/>
      </w:r>
      <w:r>
        <w:rPr>
          <w:rFonts w:hint="eastAsia" w:ascii="仿宋" w:hAnsi="仿宋" w:cs="仿宋"/>
          <w:szCs w:val="28"/>
        </w:rPr>
        <w:t>十二、实地查勘期</w:t>
      </w:r>
      <w:r>
        <w:tab/>
      </w:r>
      <w:r>
        <w:fldChar w:fldCharType="begin"/>
      </w:r>
      <w:r>
        <w:instrText xml:space="preserve"> PAGEREF _Toc27342 \h </w:instrText>
      </w:r>
      <w:r>
        <w:fldChar w:fldCharType="separate"/>
      </w:r>
      <w:r>
        <w:t>15</w:t>
      </w:r>
      <w:r>
        <w:fldChar w:fldCharType="end"/>
      </w:r>
      <w:r>
        <w:rPr>
          <w:rFonts w:hint="eastAsia" w:ascii="仿宋" w:hAnsi="仿宋" w:eastAsia="仿宋" w:cs="仿宋"/>
          <w:szCs w:val="28"/>
        </w:rPr>
        <w:fldChar w:fldCharType="end"/>
      </w:r>
    </w:p>
    <w:p>
      <w:pPr>
        <w:pStyle w:val="22"/>
        <w:tabs>
          <w:tab w:val="right" w:leader="dot" w:pos="8306"/>
          <w:tab w:val="clear" w:pos="8647"/>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_Toc2109 </w:instrText>
      </w:r>
      <w:r>
        <w:rPr>
          <w:rFonts w:hint="eastAsia" w:ascii="仿宋" w:hAnsi="仿宋" w:eastAsia="仿宋" w:cs="仿宋"/>
          <w:szCs w:val="28"/>
        </w:rPr>
        <w:fldChar w:fldCharType="separate"/>
      </w:r>
      <w:r>
        <w:rPr>
          <w:rFonts w:hint="eastAsia" w:ascii="仿宋" w:hAnsi="仿宋" w:cs="仿宋"/>
          <w:szCs w:val="28"/>
        </w:rPr>
        <w:t>十三、评估作业期</w:t>
      </w:r>
      <w:r>
        <w:tab/>
      </w:r>
      <w:r>
        <w:fldChar w:fldCharType="begin"/>
      </w:r>
      <w:r>
        <w:instrText xml:space="preserve"> PAGEREF _Toc2109 \h </w:instrText>
      </w:r>
      <w:r>
        <w:fldChar w:fldCharType="separate"/>
      </w:r>
      <w:r>
        <w:t>15</w:t>
      </w:r>
      <w:r>
        <w:fldChar w:fldCharType="end"/>
      </w:r>
      <w:r>
        <w:rPr>
          <w:rFonts w:hint="eastAsia" w:ascii="仿宋" w:hAnsi="仿宋" w:eastAsia="仿宋" w:cs="仿宋"/>
          <w:szCs w:val="28"/>
        </w:rPr>
        <w:fldChar w:fldCharType="end"/>
      </w:r>
    </w:p>
    <w:p>
      <w:pPr>
        <w:pStyle w:val="19"/>
        <w:tabs>
          <w:tab w:val="right" w:leader="dot" w:pos="8306"/>
          <w:tab w:val="clear" w:pos="8630"/>
        </w:tabs>
      </w:pPr>
      <w:r>
        <w:rPr>
          <w:rFonts w:hint="eastAsia" w:ascii="仿宋" w:hAnsi="仿宋" w:eastAsia="仿宋" w:cs="仿宋"/>
          <w:szCs w:val="28"/>
        </w:rPr>
        <w:fldChar w:fldCharType="begin"/>
      </w:r>
      <w:r>
        <w:rPr>
          <w:rFonts w:hint="eastAsia" w:ascii="仿宋" w:hAnsi="仿宋" w:eastAsia="仿宋" w:cs="仿宋"/>
          <w:szCs w:val="28"/>
        </w:rPr>
        <w:instrText xml:space="preserve"> HYPERLINK \l _Toc2070 </w:instrText>
      </w:r>
      <w:r>
        <w:rPr>
          <w:rFonts w:hint="eastAsia" w:ascii="仿宋" w:hAnsi="仿宋" w:eastAsia="仿宋" w:cs="仿宋"/>
          <w:szCs w:val="28"/>
        </w:rPr>
        <w:fldChar w:fldCharType="separate"/>
      </w:r>
      <w:r>
        <w:rPr>
          <w:rFonts w:hint="eastAsia" w:ascii="仿宋" w:hAnsi="仿宋" w:cs="仿宋"/>
        </w:rPr>
        <w:t>第四部分  附 件</w:t>
      </w:r>
      <w:r>
        <w:tab/>
      </w:r>
      <w:r>
        <w:fldChar w:fldCharType="begin"/>
      </w:r>
      <w:r>
        <w:instrText xml:space="preserve"> PAGEREF _Toc2070 \h </w:instrText>
      </w:r>
      <w:r>
        <w:fldChar w:fldCharType="separate"/>
      </w:r>
      <w:r>
        <w:t>16</w:t>
      </w:r>
      <w:r>
        <w:fldChar w:fldCharType="end"/>
      </w:r>
      <w:r>
        <w:rPr>
          <w:rFonts w:hint="eastAsia" w:ascii="仿宋" w:hAnsi="仿宋" w:eastAsia="仿宋" w:cs="仿宋"/>
          <w:szCs w:val="28"/>
        </w:rPr>
        <w:fldChar w:fldCharType="end"/>
      </w:r>
    </w:p>
    <w:p>
      <w:pPr>
        <w:spacing w:line="500" w:lineRule="exact"/>
        <w:ind w:right="105" w:rightChars="50" w:firstLine="420" w:firstLineChars="200"/>
        <w:jc w:val="left"/>
        <w:rPr>
          <w:rFonts w:ascii="仿宋" w:hAnsi="仿宋" w:eastAsia="仿宋" w:cs="仿宋"/>
          <w:sz w:val="28"/>
          <w:szCs w:val="28"/>
        </w:rPr>
      </w:pPr>
      <w:r>
        <w:rPr>
          <w:rFonts w:hint="eastAsia" w:ascii="仿宋" w:hAnsi="仿宋" w:eastAsia="仿宋" w:cs="仿宋"/>
          <w:szCs w:val="28"/>
        </w:rPr>
        <w:fldChar w:fldCharType="end"/>
      </w:r>
      <w:r>
        <w:rPr>
          <w:rFonts w:hint="eastAsia" w:ascii="仿宋" w:hAnsi="仿宋" w:eastAsia="仿宋" w:cs="仿宋"/>
          <w:szCs w:val="28"/>
          <w:lang w:val="en-US" w:eastAsia="zh-CN"/>
        </w:rPr>
        <w:t xml:space="preserve"> </w:t>
      </w:r>
      <w:r>
        <w:rPr>
          <w:rFonts w:hint="eastAsia" w:ascii="仿宋" w:hAnsi="仿宋" w:eastAsia="仿宋" w:cs="仿宋"/>
          <w:sz w:val="28"/>
          <w:szCs w:val="28"/>
        </w:rPr>
        <w:t>1.《</w:t>
      </w:r>
      <w:r>
        <w:rPr>
          <w:rFonts w:hint="eastAsia" w:ascii="仿宋" w:hAnsi="仿宋" w:eastAsia="仿宋" w:cs="仿宋"/>
          <w:sz w:val="28"/>
          <w:szCs w:val="28"/>
          <w:lang w:eastAsia="zh-CN"/>
        </w:rPr>
        <w:t>济南市钢城区人民法院</w:t>
      </w:r>
      <w:r>
        <w:rPr>
          <w:rFonts w:hint="eastAsia" w:ascii="仿宋" w:hAnsi="仿宋" w:eastAsia="仿宋" w:cs="仿宋"/>
          <w:sz w:val="28"/>
          <w:szCs w:val="28"/>
        </w:rPr>
        <w:t>委托书》[</w:t>
      </w:r>
      <w:r>
        <w:rPr>
          <w:rFonts w:hint="eastAsia" w:ascii="仿宋" w:hAnsi="仿宋" w:eastAsia="仿宋" w:cs="仿宋"/>
          <w:sz w:val="28"/>
          <w:szCs w:val="28"/>
          <w:lang w:eastAsia="zh-CN"/>
        </w:rPr>
        <w:t>（2022）鲁0117执3</w:t>
      </w:r>
      <w:r>
        <w:rPr>
          <w:rFonts w:hint="eastAsia" w:ascii="仿宋" w:hAnsi="仿宋" w:eastAsia="仿宋" w:cs="仿宋"/>
          <w:sz w:val="28"/>
          <w:szCs w:val="28"/>
          <w:lang w:val="en-US" w:eastAsia="zh-CN"/>
        </w:rPr>
        <w:t>28</w:t>
      </w:r>
      <w:r>
        <w:rPr>
          <w:rFonts w:hint="eastAsia" w:ascii="仿宋" w:hAnsi="仿宋" w:eastAsia="仿宋" w:cs="仿宋"/>
          <w:sz w:val="28"/>
          <w:szCs w:val="28"/>
          <w:lang w:eastAsia="zh-CN"/>
        </w:rPr>
        <w:t>号</w:t>
      </w:r>
      <w:r>
        <w:rPr>
          <w:rFonts w:hint="eastAsia" w:ascii="仿宋" w:hAnsi="仿宋" w:eastAsia="仿宋" w:cs="仿宋"/>
          <w:sz w:val="28"/>
          <w:szCs w:val="28"/>
        </w:rPr>
        <w:t>]（复印件）；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2. 评估对象相关资料（复印件）；</w:t>
      </w:r>
    </w:p>
    <w:p>
      <w:pPr>
        <w:tabs>
          <w:tab w:val="left" w:pos="7081"/>
        </w:tabs>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3.评估对象现场照片；</w:t>
      </w:r>
      <w:r>
        <w:rPr>
          <w:rFonts w:hint="eastAsia" w:ascii="仿宋" w:hAnsi="仿宋" w:eastAsia="仿宋" w:cs="仿宋"/>
          <w:sz w:val="28"/>
          <w:szCs w:val="28"/>
        </w:rPr>
        <w:tab/>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4.评估对象位置图；</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5.估价机构营业执照（复印件）；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6.估价机构资质证书（复印件）；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7.注册房地产估价师注册证书（复印件）。</w:t>
      </w:r>
    </w:p>
    <w:p>
      <w:pPr>
        <w:pStyle w:val="2"/>
        <w:spacing w:before="0" w:after="0" w:line="600" w:lineRule="exact"/>
        <w:ind w:left="105" w:leftChars="50" w:right="105" w:rightChars="50"/>
        <w:rPr>
          <w:rFonts w:ascii="仿宋" w:hAnsi="仿宋" w:cs="仿宋"/>
          <w:szCs w:val="32"/>
        </w:rPr>
      </w:pPr>
      <w:r>
        <w:rPr>
          <w:rFonts w:hint="eastAsia" w:ascii="仿宋" w:hAnsi="仿宋" w:cs="仿宋"/>
          <w:sz w:val="28"/>
          <w:szCs w:val="28"/>
        </w:rPr>
        <w:br w:type="page"/>
      </w:r>
      <w:bookmarkStart w:id="1" w:name="_Toc418"/>
      <w:bookmarkStart w:id="2" w:name="_Toc323216537"/>
      <w:r>
        <w:rPr>
          <w:rFonts w:hint="eastAsia" w:ascii="仿宋" w:hAnsi="仿宋" w:cs="仿宋"/>
          <w:szCs w:val="32"/>
        </w:rPr>
        <w:t>第一部分  估价师声明</w:t>
      </w:r>
      <w:bookmarkEnd w:id="1"/>
      <w:bookmarkEnd w:id="2"/>
    </w:p>
    <w:p/>
    <w:p>
      <w:pPr>
        <w:snapToGrid w:val="0"/>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我们根据自己的专业知识和职业道德，在此郑重声明：</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1.我们在本评估报告中对事实的说明是真实和准确的，没有虚假记载、误导性陈述和重大遗漏；</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2.评估报告中的分析、意见和结论是我们独立、客观、公正的专业分析、意见和结论，但受到本评估报告中已说明的评估假设和限制条件的限制；</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3.注册房地产估价师对评估报告中的评估对象没有现实或潜在的利益，与评估委托人及评估利害关系人没有利害关系，也对评估对象、评估委托人及评估利害关系人没有偏见；</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sz w:val="28"/>
          <w:szCs w:val="28"/>
        </w:rPr>
        <w:t>注册房地产估价师是按照有关房地产估价标准</w:t>
      </w:r>
      <w:r>
        <w:rPr>
          <w:rFonts w:hint="eastAsia" w:ascii="仿宋" w:hAnsi="仿宋" w:eastAsia="仿宋" w:cs="仿宋"/>
          <w:sz w:val="28"/>
        </w:rPr>
        <w:t>的规定进行评估工作</w:t>
      </w:r>
      <w:r>
        <w:rPr>
          <w:rFonts w:hint="eastAsia" w:ascii="仿宋" w:hAnsi="仿宋" w:eastAsia="仿宋"/>
          <w:sz w:val="28"/>
          <w:szCs w:val="28"/>
        </w:rPr>
        <w:t>，撰写评估报告</w:t>
      </w:r>
      <w:r>
        <w:rPr>
          <w:rFonts w:hint="eastAsia" w:ascii="仿宋" w:hAnsi="仿宋" w:eastAsia="仿宋" w:cs="仿宋"/>
          <w:sz w:val="28"/>
          <w:szCs w:val="28"/>
        </w:rPr>
        <w:t>；</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5.撰写报告的注册房地产估价师已于</w:t>
      </w:r>
      <w:r>
        <w:rPr>
          <w:rFonts w:hint="eastAsia" w:ascii="仿宋" w:hAnsi="仿宋" w:eastAsia="仿宋" w:cs="仿宋"/>
          <w:sz w:val="28"/>
          <w:szCs w:val="28"/>
          <w:lang w:eastAsia="zh-CN"/>
        </w:rPr>
        <w:t>2022年8月3日</w:t>
      </w:r>
      <w:r>
        <w:rPr>
          <w:rFonts w:hint="eastAsia" w:ascii="仿宋" w:hAnsi="仿宋" w:eastAsia="仿宋" w:cs="仿宋"/>
          <w:sz w:val="28"/>
          <w:szCs w:val="28"/>
        </w:rPr>
        <w:t>对评估报告中评估对象的建筑结构、建筑状况及土地状况、周边环境状况进行了实地查勘，</w:t>
      </w:r>
      <w:r>
        <w:rPr>
          <w:rFonts w:hint="eastAsia" w:ascii="仿宋" w:hAnsi="仿宋" w:eastAsia="仿宋" w:cs="仿宋"/>
          <w:color w:val="000000"/>
          <w:sz w:val="28"/>
          <w:szCs w:val="28"/>
        </w:rPr>
        <w:t>并于当日完成查勘工作</w:t>
      </w:r>
      <w:r>
        <w:rPr>
          <w:rFonts w:hint="eastAsia" w:ascii="仿宋" w:hAnsi="仿宋" w:eastAsia="仿宋" w:cs="仿宋"/>
          <w:sz w:val="28"/>
          <w:szCs w:val="28"/>
        </w:rPr>
        <w:t>。实地查勘仅</w:t>
      </w:r>
      <w:r>
        <w:rPr>
          <w:rFonts w:hint="eastAsia" w:ascii="仿宋" w:hAnsi="仿宋" w:eastAsia="仿宋"/>
          <w:sz w:val="28"/>
          <w:szCs w:val="28"/>
        </w:rPr>
        <w:t>限于评估对象的外观和使用状况，评估人员不承担对其他被遮盖未暴露及难于接触到的部分进行查勘的责任；</w:t>
      </w:r>
    </w:p>
    <w:p>
      <w:pPr>
        <w:snapToGrid w:val="0"/>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6.无其他专业人士对评估报告提供重要专业帮助。</w:t>
      </w:r>
    </w:p>
    <w:p>
      <w:pPr>
        <w:snapToGrid w:val="0"/>
        <w:spacing w:line="600" w:lineRule="exact"/>
        <w:ind w:firstLine="560" w:firstLineChars="200"/>
        <w:rPr>
          <w:rFonts w:ascii="仿宋" w:hAnsi="仿宋" w:eastAsia="仿宋" w:cs="仿宋"/>
          <w:sz w:val="28"/>
          <w:szCs w:val="28"/>
        </w:rPr>
      </w:pPr>
    </w:p>
    <w:p>
      <w:pPr>
        <w:snapToGrid w:val="0"/>
        <w:spacing w:line="600" w:lineRule="exact"/>
        <w:ind w:left="105" w:leftChars="50" w:right="105" w:rightChars="50" w:firstLine="570"/>
        <w:rPr>
          <w:rFonts w:ascii="仿宋" w:hAnsi="仿宋" w:eastAsia="仿宋" w:cs="仿宋"/>
          <w:sz w:val="28"/>
          <w:szCs w:val="28"/>
        </w:rPr>
      </w:pPr>
    </w:p>
    <w:p>
      <w:pPr>
        <w:snapToGrid w:val="0"/>
        <w:spacing w:line="600" w:lineRule="exact"/>
        <w:ind w:right="105" w:rightChars="50"/>
        <w:rPr>
          <w:rFonts w:ascii="仿宋" w:hAnsi="仿宋" w:eastAsia="仿宋" w:cs="仿宋"/>
          <w:sz w:val="28"/>
          <w:szCs w:val="28"/>
        </w:rPr>
      </w:pPr>
    </w:p>
    <w:p>
      <w:pPr>
        <w:snapToGrid w:val="0"/>
        <w:spacing w:line="600" w:lineRule="exact"/>
        <w:ind w:right="105" w:rightChars="50"/>
        <w:rPr>
          <w:rFonts w:ascii="仿宋" w:hAnsi="仿宋" w:eastAsia="仿宋" w:cs="仿宋"/>
          <w:sz w:val="28"/>
          <w:szCs w:val="28"/>
        </w:rPr>
      </w:pPr>
    </w:p>
    <w:p>
      <w:pPr>
        <w:pStyle w:val="2"/>
        <w:spacing w:before="0" w:after="0" w:line="600" w:lineRule="exact"/>
        <w:ind w:left="105" w:leftChars="50" w:right="105" w:rightChars="50"/>
        <w:rPr>
          <w:rFonts w:ascii="仿宋" w:hAnsi="仿宋" w:cs="仿宋"/>
          <w:szCs w:val="32"/>
        </w:rPr>
      </w:pPr>
      <w:bookmarkStart w:id="3" w:name="_Toc323216538"/>
      <w:bookmarkStart w:id="4" w:name="_Toc31036"/>
      <w:r>
        <w:rPr>
          <w:rFonts w:hint="eastAsia" w:ascii="仿宋" w:hAnsi="仿宋" w:cs="仿宋"/>
          <w:szCs w:val="32"/>
        </w:rPr>
        <w:t>第二部分  评估假设和限制条件</w:t>
      </w:r>
      <w:bookmarkEnd w:id="3"/>
      <w:bookmarkEnd w:id="4"/>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一．</w:t>
      </w:r>
      <w:r>
        <w:rPr>
          <w:rFonts w:ascii="仿宋" w:hAnsi="仿宋" w:eastAsia="仿宋"/>
          <w:b/>
          <w:sz w:val="28"/>
          <w:szCs w:val="28"/>
        </w:rPr>
        <w:t>本次</w:t>
      </w:r>
      <w:r>
        <w:rPr>
          <w:rFonts w:hint="eastAsia" w:ascii="仿宋" w:hAnsi="仿宋" w:eastAsia="仿宋"/>
          <w:b/>
          <w:sz w:val="28"/>
          <w:szCs w:val="28"/>
        </w:rPr>
        <w:t>评估</w:t>
      </w:r>
      <w:r>
        <w:rPr>
          <w:rFonts w:ascii="仿宋" w:hAnsi="仿宋" w:eastAsia="仿宋"/>
          <w:b/>
          <w:sz w:val="28"/>
          <w:szCs w:val="28"/>
        </w:rPr>
        <w:t>的一般假设</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1.评估对象</w:t>
      </w:r>
      <w:r>
        <w:rPr>
          <w:rFonts w:ascii="仿宋" w:hAnsi="仿宋" w:eastAsia="仿宋" w:cs="仿宋"/>
          <w:bCs/>
          <w:sz w:val="28"/>
          <w:szCs w:val="28"/>
        </w:rPr>
        <w:t>产权明晰，手续齐全，可在公开市场上自由转让。</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2.</w:t>
      </w:r>
      <w:r>
        <w:rPr>
          <w:rFonts w:ascii="仿宋" w:hAnsi="仿宋" w:eastAsia="仿宋" w:cs="仿宋"/>
          <w:bCs/>
          <w:sz w:val="28"/>
          <w:szCs w:val="28"/>
        </w:rPr>
        <w:t>市场供应关系、市场结构保持稳定、未发生重大变化或实质性改变。</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3.注册房地产估价师已对房屋安全、环境污染等影响评估对象价值的重大因素给予了关注，在无理由怀疑评估对象存在安全隐患且无相应的专业机构进行鉴定、检测的情况下，假定评估对象能正常安全使用。</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4.</w:t>
      </w:r>
      <w:r>
        <w:rPr>
          <w:rFonts w:ascii="仿宋" w:hAnsi="仿宋" w:eastAsia="仿宋" w:cs="仿宋"/>
          <w:bCs/>
          <w:sz w:val="28"/>
          <w:szCs w:val="28"/>
        </w:rPr>
        <w:t>交易双方都具有完全市场信息，对交易对象具有必要的专业知识，</w:t>
      </w:r>
      <w:r>
        <w:rPr>
          <w:rFonts w:hint="eastAsia" w:ascii="仿宋" w:hAnsi="仿宋" w:eastAsia="仿宋" w:cs="仿宋"/>
          <w:bCs/>
          <w:sz w:val="28"/>
          <w:szCs w:val="28"/>
        </w:rPr>
        <w:t>不考虑特殊买家的附加出价。</w:t>
      </w:r>
    </w:p>
    <w:p>
      <w:pPr>
        <w:spacing w:line="600" w:lineRule="exact"/>
        <w:ind w:firstLine="560" w:firstLineChars="200"/>
        <w:rPr>
          <w:rFonts w:hint="eastAsia" w:ascii="仿宋" w:hAnsi="仿宋" w:eastAsia="仿宋" w:cs="仿宋"/>
          <w:bCs/>
          <w:sz w:val="28"/>
          <w:szCs w:val="28"/>
        </w:rPr>
      </w:pPr>
      <w:r>
        <w:rPr>
          <w:rFonts w:hint="eastAsia" w:ascii="仿宋" w:hAnsi="仿宋" w:eastAsia="仿宋" w:cs="仿宋"/>
          <w:bCs/>
          <w:sz w:val="28"/>
          <w:szCs w:val="28"/>
        </w:rPr>
        <w:t>5.评估对象为整个房地产中的一部分，评估对象应享有公共部位的通行权及水电等共用设施的使用权。</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6.评估委托人未明确评估对象存在租赁权以及用益物权。注册房地产估价师实地查勘时经调查核实后也未发现有相关情况，截至报告出具之日，评估委托人和评估对象所有权人均没有提供租赁合同；故本次评估假定评估对象不存在租赁权以及用益物权。</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未定事项假设</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1.估价时没有考虑国家宏观经济政策发生变化、市场供求关系发生变化、市场结构转变、遇有自然力和其他不可抗力等因素对房地产价值的影响，也没有考虑评估对象将来可能承担违约责任的事宜，以及特殊交易方式下的特殊交易价格等对评估价值的影响。</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2.本评估结果在有效期内的使用是以相关房地产市场稳定、政策未有重大变化并排除了注册房地产估价师无法预知的不可抗力因素的影响为假设前提。</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3.评估结果未考虑未来处置风险。</w:t>
      </w:r>
    </w:p>
    <w:p>
      <w:pPr>
        <w:spacing w:line="600" w:lineRule="exact"/>
        <w:ind w:firstLine="560" w:firstLineChars="200"/>
        <w:rPr>
          <w:rFonts w:ascii="仿宋" w:hAnsi="仿宋" w:eastAsia="仿宋" w:cs="仿宋"/>
          <w:bCs/>
          <w:sz w:val="28"/>
          <w:szCs w:val="28"/>
        </w:rPr>
      </w:pPr>
      <w:r>
        <w:rPr>
          <w:rFonts w:hint="eastAsia" w:ascii="仿宋" w:hAnsi="仿宋" w:eastAsia="仿宋" w:cs="仿宋"/>
          <w:bCs/>
          <w:sz w:val="28"/>
          <w:szCs w:val="28"/>
        </w:rPr>
        <w:t>4.如至价值时点止，评估对象所有人尚有任何有关评估对象的应缴未缴税费，应按照规定缴纳或从评估价值中相应扣减。</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三．</w:t>
      </w:r>
      <w:r>
        <w:rPr>
          <w:rFonts w:ascii="仿宋" w:hAnsi="仿宋" w:eastAsia="仿宋"/>
          <w:b/>
          <w:sz w:val="28"/>
          <w:szCs w:val="28"/>
        </w:rPr>
        <w:t>背离事实假设</w:t>
      </w:r>
    </w:p>
    <w:p>
      <w:pPr>
        <w:spacing w:line="600" w:lineRule="exact"/>
        <w:ind w:firstLine="560" w:firstLineChars="200"/>
        <w:rPr>
          <w:rFonts w:ascii="仿宋" w:hAnsi="仿宋" w:eastAsia="仿宋"/>
          <w:sz w:val="28"/>
          <w:szCs w:val="28"/>
        </w:rPr>
      </w:pPr>
      <w:r>
        <w:rPr>
          <w:rFonts w:hint="eastAsia" w:ascii="仿宋" w:hAnsi="仿宋" w:eastAsia="仿宋" w:cs="仿宋"/>
          <w:bCs/>
          <w:sz w:val="28"/>
          <w:szCs w:val="28"/>
        </w:rPr>
        <w:t>1.涉执房地产处置司法评估不应考虑评估对象被查封以及原有的担保物权和其他优先受偿权情况，视为没有查封、未设立担保物权及其他优先受偿权的财产进行评估；特提醒报告使用人注意！</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估价结果未考虑</w:t>
      </w:r>
      <w:r>
        <w:rPr>
          <w:rFonts w:hint="eastAsia" w:ascii="仿宋" w:hAnsi="仿宋" w:eastAsia="仿宋"/>
          <w:sz w:val="28"/>
          <w:szCs w:val="28"/>
        </w:rPr>
        <w:t>评估对象</w:t>
      </w:r>
      <w:r>
        <w:rPr>
          <w:rFonts w:ascii="仿宋" w:hAnsi="仿宋" w:eastAsia="仿宋"/>
          <w:sz w:val="28"/>
          <w:szCs w:val="28"/>
        </w:rPr>
        <w:t>及其</w:t>
      </w:r>
      <w:r>
        <w:rPr>
          <w:rFonts w:hint="eastAsia" w:ascii="仿宋" w:hAnsi="仿宋" w:eastAsia="仿宋"/>
          <w:sz w:val="28"/>
          <w:szCs w:val="28"/>
        </w:rPr>
        <w:t>所有权人</w:t>
      </w:r>
      <w:r>
        <w:rPr>
          <w:rFonts w:ascii="仿宋" w:hAnsi="仿宋" w:eastAsia="仿宋"/>
          <w:sz w:val="28"/>
          <w:szCs w:val="28"/>
        </w:rPr>
        <w:t>已承担的债务、或有债务及经营决策失误或市场运作失当对其价值的影响。</w:t>
      </w:r>
    </w:p>
    <w:p>
      <w:pPr>
        <w:spacing w:line="600" w:lineRule="exact"/>
        <w:ind w:firstLine="562" w:firstLineChars="200"/>
        <w:rPr>
          <w:rFonts w:ascii="仿宋" w:hAnsi="仿宋" w:eastAsia="仿宋"/>
          <w:b/>
          <w:bCs/>
          <w:sz w:val="28"/>
          <w:szCs w:val="28"/>
        </w:rPr>
      </w:pPr>
      <w:r>
        <w:rPr>
          <w:rFonts w:hint="eastAsia" w:ascii="仿宋" w:hAnsi="仿宋" w:eastAsia="仿宋"/>
          <w:b/>
          <w:bCs/>
          <w:sz w:val="28"/>
          <w:szCs w:val="28"/>
        </w:rPr>
        <w:t>四．依据不足假设</w:t>
      </w:r>
    </w:p>
    <w:p>
      <w:pPr>
        <w:spacing w:line="60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1、</w:t>
      </w:r>
      <w:r>
        <w:rPr>
          <w:rFonts w:hint="eastAsia" w:ascii="仿宋" w:hAnsi="仿宋" w:eastAsia="仿宋"/>
          <w:sz w:val="28"/>
          <w:szCs w:val="28"/>
        </w:rPr>
        <w:t>根据估价委托人提供的资料，未记载估价对象的建成年份，本次评估设定评估对象建成年代为</w:t>
      </w:r>
      <w:r>
        <w:rPr>
          <w:rFonts w:hint="eastAsia" w:ascii="仿宋" w:hAnsi="仿宋" w:eastAsia="仿宋"/>
          <w:sz w:val="28"/>
          <w:szCs w:val="28"/>
          <w:lang w:val="en-US" w:eastAsia="zh-CN"/>
        </w:rPr>
        <w:t>1998</w:t>
      </w:r>
      <w:r>
        <w:rPr>
          <w:rFonts w:hint="eastAsia" w:ascii="仿宋" w:hAnsi="仿宋" w:eastAsia="仿宋"/>
          <w:sz w:val="28"/>
          <w:szCs w:val="28"/>
        </w:rPr>
        <w:t>年，如有确切资料证明房屋建成年代与设定建成年代相差三年以上，房地产评估结果或需再根据情况作必要修正，请报告使用人注意。</w:t>
      </w:r>
    </w:p>
    <w:p>
      <w:pPr>
        <w:pStyle w:val="13"/>
        <w:snapToGrid w:val="0"/>
        <w:spacing w:line="600" w:lineRule="exact"/>
        <w:ind w:firstLine="562" w:firstLineChars="200"/>
        <w:rPr>
          <w:rFonts w:ascii="仿宋" w:hAnsi="仿宋" w:eastAsia="仿宋"/>
          <w:sz w:val="28"/>
          <w:szCs w:val="28"/>
        </w:rPr>
      </w:pPr>
      <w:r>
        <w:rPr>
          <w:rFonts w:hint="eastAsia" w:ascii="仿宋" w:hAnsi="仿宋" w:eastAsia="仿宋"/>
          <w:b/>
          <w:bCs/>
          <w:sz w:val="28"/>
          <w:szCs w:val="28"/>
        </w:rPr>
        <w:t>五．不相一致假设</w:t>
      </w:r>
    </w:p>
    <w:p>
      <w:pPr>
        <w:spacing w:line="60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1、</w:t>
      </w:r>
      <w:r>
        <w:rPr>
          <w:rFonts w:hint="eastAsia" w:ascii="仿宋" w:hAnsi="仿宋" w:eastAsia="仿宋"/>
          <w:sz w:val="28"/>
          <w:szCs w:val="28"/>
        </w:rPr>
        <w:t>本次估价无不相一致假设。</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六．</w:t>
      </w:r>
      <w:r>
        <w:rPr>
          <w:rFonts w:ascii="仿宋" w:hAnsi="仿宋" w:eastAsia="仿宋"/>
          <w:b/>
          <w:sz w:val="28"/>
          <w:szCs w:val="28"/>
        </w:rPr>
        <w:t>本报告的使用限制条件</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1.应当按照法律规定和评估报告载明的用途、使用人、使用期限等使用范围使用评估报告。否则，房地产估价机构和注册房地产估价师依法不承担责任。</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2.评估结果仅为人民法院确定财产处置参考价服务，不是评估对象处置可实现的成交价格，也不应被视为对评估对象处置成交价格的保证。</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3.因财产拍卖（或者变卖）日期与价值时点不一致，在此期间，评估对象状况或者房地产市场状况可能发生变化，导致评估结果对应的评估对象状况和房地产市场状况与财产拍卖（或者变卖）时的相应状况不相同。</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4.在评估报告使用期限或者评估结果有效期内，评估对象状况或者房地产市场状况如果发生明显变化的，评估结果应当进行相应调整后才可使用。</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5.未经评估方和评估委托人书面同意，任何单位或个人不得将本报告的全部或部分内容在任何公开的文件、通告或声明中引用，亦不得以其他任何方式公开发表。</w:t>
      </w:r>
    </w:p>
    <w:p>
      <w:pPr>
        <w:pStyle w:val="13"/>
        <w:spacing w:line="600" w:lineRule="exact"/>
        <w:ind w:firstLine="560" w:firstLineChars="200"/>
        <w:contextualSpacing/>
        <w:rPr>
          <w:rFonts w:ascii="仿宋" w:hAnsi="仿宋" w:eastAsia="仿宋" w:cs="仿宋"/>
          <w:sz w:val="28"/>
          <w:szCs w:val="28"/>
        </w:rPr>
      </w:pPr>
      <w:r>
        <w:rPr>
          <w:rFonts w:hint="eastAsia" w:ascii="仿宋" w:hAnsi="仿宋" w:eastAsia="仿宋" w:cs="仿宋"/>
          <w:sz w:val="28"/>
          <w:szCs w:val="28"/>
        </w:rPr>
        <w:t>6.本估价报告自出具之日 2022年</w:t>
      </w:r>
      <w:r>
        <w:rPr>
          <w:rFonts w:hint="eastAsia" w:ascii="仿宋" w:hAnsi="仿宋" w:eastAsia="仿宋" w:cs="仿宋"/>
          <w:sz w:val="28"/>
          <w:szCs w:val="28"/>
          <w:lang w:eastAsia="zh-CN"/>
        </w:rPr>
        <w:t>8月</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日</w:t>
      </w:r>
      <w:r>
        <w:rPr>
          <w:rFonts w:hint="eastAsia" w:ascii="仿宋" w:hAnsi="仿宋" w:eastAsia="仿宋" w:cs="仿宋"/>
          <w:sz w:val="28"/>
          <w:szCs w:val="28"/>
        </w:rPr>
        <w:t>起一年内有效，超过一年，需重新进行估价。恰当使用本估价报告是评估委托人和其他估价报告使用者的责任，我公司对评估委托人和其他估价报告使用者不当使用估价报告所造成的后果不承担责任。</w:t>
      </w: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13"/>
        <w:spacing w:line="360" w:lineRule="auto"/>
        <w:ind w:right="105" w:rightChars="50" w:firstLine="560" w:firstLineChars="200"/>
        <w:contextualSpacing/>
        <w:rPr>
          <w:rFonts w:ascii="仿宋" w:hAnsi="仿宋" w:eastAsia="仿宋" w:cs="仿宋"/>
          <w:sz w:val="28"/>
          <w:szCs w:val="28"/>
        </w:rPr>
      </w:pPr>
    </w:p>
    <w:p>
      <w:pPr>
        <w:pStyle w:val="2"/>
        <w:pageBreakBefore w:val="0"/>
        <w:widowControl w:val="0"/>
        <w:kinsoku/>
        <w:wordWrap/>
        <w:overflowPunct/>
        <w:topLinePunct w:val="0"/>
        <w:autoSpaceDE/>
        <w:autoSpaceDN/>
        <w:bidi w:val="0"/>
        <w:adjustRightInd/>
        <w:spacing w:before="0" w:after="0" w:line="560" w:lineRule="exact"/>
        <w:ind w:right="105" w:rightChars="50"/>
        <w:textAlignment w:val="auto"/>
        <w:rPr>
          <w:rFonts w:ascii="仿宋" w:hAnsi="仿宋" w:cs="仿宋"/>
          <w:szCs w:val="32"/>
        </w:rPr>
      </w:pPr>
      <w:bookmarkStart w:id="5" w:name="_Toc251226844"/>
      <w:bookmarkStart w:id="6" w:name="_Toc251662422"/>
      <w:bookmarkStart w:id="7" w:name="_Toc323216539"/>
      <w:bookmarkStart w:id="8" w:name="_Toc23884"/>
      <w:r>
        <w:rPr>
          <w:rFonts w:hint="eastAsia" w:ascii="仿宋" w:hAnsi="仿宋" w:cs="仿宋"/>
          <w:szCs w:val="32"/>
        </w:rPr>
        <w:t xml:space="preserve">第三部分  </w:t>
      </w:r>
      <w:bookmarkEnd w:id="5"/>
      <w:bookmarkEnd w:id="6"/>
      <w:r>
        <w:rPr>
          <w:rFonts w:hint="eastAsia" w:ascii="仿宋" w:hAnsi="仿宋" w:cs="仿宋"/>
          <w:szCs w:val="32"/>
        </w:rPr>
        <w:t>评估结果报告</w:t>
      </w:r>
      <w:bookmarkEnd w:id="7"/>
      <w:bookmarkEnd w:id="8"/>
    </w:p>
    <w:p>
      <w:pPr>
        <w:pStyle w:val="3"/>
        <w:pageBreakBefore w:val="0"/>
        <w:widowControl w:val="0"/>
        <w:kinsoku/>
        <w:wordWrap/>
        <w:overflowPunct/>
        <w:topLinePunct w:val="0"/>
        <w:autoSpaceDE/>
        <w:autoSpaceDN/>
        <w:bidi w:val="0"/>
        <w:adjustRightInd/>
        <w:spacing w:line="560" w:lineRule="exact"/>
        <w:ind w:firstLine="562" w:firstLineChars="200"/>
        <w:contextualSpacing/>
        <w:textAlignment w:val="auto"/>
        <w:rPr>
          <w:rFonts w:ascii="仿宋" w:hAnsi="仿宋" w:cs="仿宋"/>
          <w:szCs w:val="28"/>
        </w:rPr>
      </w:pPr>
      <w:bookmarkStart w:id="9" w:name="_Toc323216540"/>
      <w:bookmarkStart w:id="10" w:name="_Toc10547"/>
      <w:r>
        <w:rPr>
          <w:rFonts w:hint="eastAsia" w:ascii="仿宋" w:hAnsi="仿宋" w:cs="仿宋"/>
          <w:szCs w:val="28"/>
        </w:rPr>
        <w:t>一、评估委托人</w:t>
      </w:r>
      <w:bookmarkEnd w:id="9"/>
      <w:bookmarkEnd w:id="10"/>
    </w:p>
    <w:p>
      <w:pPr>
        <w:pStyle w:val="13"/>
        <w:pageBreakBefore w:val="0"/>
        <w:widowControl w:val="0"/>
        <w:kinsoku/>
        <w:wordWrap/>
        <w:overflowPunct/>
        <w:topLinePunct w:val="0"/>
        <w:autoSpaceDE/>
        <w:autoSpaceDN/>
        <w:bidi w:val="0"/>
        <w:adjustRightInd/>
        <w:spacing w:line="560" w:lineRule="exact"/>
        <w:ind w:firstLine="560" w:firstLineChars="200"/>
        <w:contextualSpacing/>
        <w:textAlignment w:val="auto"/>
        <w:rPr>
          <w:rFonts w:hint="eastAsia" w:ascii="仿宋" w:hAnsi="仿宋" w:eastAsia="仿宋" w:cs="仿宋"/>
          <w:sz w:val="28"/>
          <w:szCs w:val="28"/>
          <w:lang w:eastAsia="zh-CN"/>
        </w:rPr>
      </w:pPr>
      <w:r>
        <w:rPr>
          <w:rFonts w:hint="eastAsia" w:ascii="仿宋" w:hAnsi="仿宋" w:eastAsia="仿宋" w:cs="仿宋"/>
          <w:sz w:val="28"/>
          <w:szCs w:val="28"/>
        </w:rPr>
        <w:t>名称：</w:t>
      </w:r>
      <w:r>
        <w:rPr>
          <w:rFonts w:hint="eastAsia" w:ascii="仿宋" w:hAnsi="仿宋" w:eastAsia="仿宋" w:cs="仿宋"/>
          <w:sz w:val="28"/>
          <w:szCs w:val="28"/>
          <w:lang w:eastAsia="zh-CN"/>
        </w:rPr>
        <w:t>济南市钢城区人民法院</w:t>
      </w:r>
    </w:p>
    <w:p>
      <w:pPr>
        <w:pStyle w:val="13"/>
        <w:pageBreakBefore w:val="0"/>
        <w:widowControl w:val="0"/>
        <w:kinsoku/>
        <w:wordWrap/>
        <w:overflowPunct/>
        <w:topLinePunct w:val="0"/>
        <w:autoSpaceDE/>
        <w:autoSpaceDN/>
        <w:bidi w:val="0"/>
        <w:adjustRightInd/>
        <w:spacing w:line="560" w:lineRule="exact"/>
        <w:ind w:firstLine="560" w:firstLineChars="200"/>
        <w:contextualSpacing/>
        <w:textAlignment w:val="auto"/>
        <w:rPr>
          <w:rFonts w:hint="eastAsia" w:ascii="仿宋" w:hAnsi="仿宋" w:eastAsia="仿宋" w:cs="仿宋"/>
          <w:sz w:val="28"/>
          <w:szCs w:val="28"/>
          <w:lang w:eastAsia="zh-CN"/>
        </w:rPr>
      </w:pPr>
      <w:r>
        <w:rPr>
          <w:rFonts w:hint="eastAsia" w:ascii="仿宋" w:hAnsi="仿宋" w:eastAsia="仿宋" w:cs="仿宋"/>
          <w:sz w:val="28"/>
          <w:szCs w:val="28"/>
        </w:rPr>
        <w:t>地址：</w:t>
      </w:r>
      <w:r>
        <w:rPr>
          <w:rFonts w:hint="eastAsia" w:ascii="仿宋" w:hAnsi="仿宋" w:eastAsia="仿宋" w:cs="仿宋"/>
          <w:sz w:val="28"/>
          <w:szCs w:val="28"/>
          <w:lang w:eastAsia="zh-CN"/>
        </w:rPr>
        <w:t>济南市钢城区府前大街30号</w:t>
      </w:r>
    </w:p>
    <w:p>
      <w:pPr>
        <w:pStyle w:val="3"/>
        <w:pageBreakBefore w:val="0"/>
        <w:widowControl w:val="0"/>
        <w:kinsoku/>
        <w:wordWrap/>
        <w:overflowPunct/>
        <w:topLinePunct w:val="0"/>
        <w:autoSpaceDE/>
        <w:autoSpaceDN/>
        <w:bidi w:val="0"/>
        <w:adjustRightInd/>
        <w:spacing w:line="560" w:lineRule="exact"/>
        <w:ind w:firstLine="562" w:firstLineChars="200"/>
        <w:contextualSpacing/>
        <w:textAlignment w:val="auto"/>
        <w:rPr>
          <w:rFonts w:ascii="仿宋" w:hAnsi="仿宋" w:cs="仿宋"/>
          <w:szCs w:val="28"/>
        </w:rPr>
      </w:pPr>
      <w:bookmarkStart w:id="11" w:name="_Toc323216541"/>
      <w:bookmarkStart w:id="12" w:name="_Toc4911"/>
      <w:r>
        <w:rPr>
          <w:rFonts w:hint="eastAsia" w:ascii="仿宋" w:hAnsi="仿宋" w:cs="仿宋"/>
          <w:szCs w:val="28"/>
        </w:rPr>
        <w:t>二、</w:t>
      </w:r>
      <w:bookmarkEnd w:id="11"/>
      <w:r>
        <w:rPr>
          <w:rFonts w:hint="eastAsia" w:ascii="仿宋" w:hAnsi="仿宋" w:cs="仿宋"/>
          <w:szCs w:val="28"/>
        </w:rPr>
        <w:t>房地产估价机构</w:t>
      </w:r>
      <w:bookmarkEnd w:id="12"/>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bookmarkStart w:id="13" w:name="_Toc323216543"/>
      <w:bookmarkStart w:id="14" w:name="_Toc323216542"/>
      <w:r>
        <w:rPr>
          <w:rFonts w:hint="eastAsia" w:ascii="仿宋" w:hAnsi="仿宋" w:eastAsia="仿宋" w:cs="仿宋"/>
          <w:sz w:val="28"/>
          <w:szCs w:val="28"/>
        </w:rPr>
        <w:t>机构名称：山东贵恒信土地房地产资产评估测绘有限公司</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法定代表人：张金华</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住所：济南市历下区文化东路24号普利文东花园3号楼1-1001</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统一社会信用代码：91370102740991399Q</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rPr>
      </w:pPr>
      <w:r>
        <w:rPr>
          <w:rFonts w:hint="eastAsia" w:ascii="仿宋" w:hAnsi="仿宋" w:eastAsia="仿宋" w:cs="仿宋"/>
          <w:sz w:val="28"/>
          <w:szCs w:val="28"/>
        </w:rPr>
        <w:t>备案等级：壹级</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highlight w:val="none"/>
        </w:rPr>
      </w:pPr>
      <w:r>
        <w:rPr>
          <w:rFonts w:hint="eastAsia" w:ascii="仿宋" w:hAnsi="仿宋" w:eastAsia="仿宋" w:cs="仿宋"/>
          <w:sz w:val="28"/>
          <w:szCs w:val="28"/>
          <w:highlight w:val="none"/>
        </w:rPr>
        <w:t xml:space="preserve">证书编号：建房估证字【2013】025号       </w:t>
      </w:r>
    </w:p>
    <w:p>
      <w:pPr>
        <w:pStyle w:val="13"/>
        <w:pageBreakBefore w:val="0"/>
        <w:widowControl w:val="0"/>
        <w:kinsoku/>
        <w:wordWrap/>
        <w:overflowPunct/>
        <w:topLinePunct w:val="0"/>
        <w:autoSpaceDE/>
        <w:autoSpaceDN/>
        <w:bidi w:val="0"/>
        <w:adjustRightInd/>
        <w:spacing w:line="560" w:lineRule="exact"/>
        <w:ind w:left="105" w:leftChars="50" w:right="105" w:rightChars="50" w:firstLine="560" w:firstLineChars="200"/>
        <w:contextualSpacing/>
        <w:textAlignment w:val="auto"/>
        <w:rPr>
          <w:rFonts w:ascii="仿宋" w:hAnsi="仿宋" w:eastAsia="仿宋" w:cs="仿宋"/>
          <w:sz w:val="28"/>
          <w:szCs w:val="28"/>
          <w:highlight w:val="none"/>
        </w:rPr>
      </w:pPr>
      <w:r>
        <w:rPr>
          <w:rFonts w:hint="eastAsia" w:ascii="仿宋" w:hAnsi="仿宋" w:eastAsia="仿宋" w:cs="仿宋"/>
          <w:sz w:val="28"/>
          <w:szCs w:val="28"/>
          <w:highlight w:val="none"/>
        </w:rPr>
        <w:t>有效期限：20</w:t>
      </w:r>
      <w:r>
        <w:rPr>
          <w:rFonts w:hint="eastAsia" w:ascii="仿宋" w:hAnsi="仿宋" w:eastAsia="仿宋" w:cs="仿宋"/>
          <w:sz w:val="28"/>
          <w:szCs w:val="28"/>
          <w:highlight w:val="none"/>
          <w:lang w:val="en-US" w:eastAsia="zh-CN"/>
        </w:rPr>
        <w:t>22</w:t>
      </w:r>
      <w:r>
        <w:rPr>
          <w:rFonts w:hint="eastAsia" w:ascii="仿宋" w:hAnsi="仿宋" w:eastAsia="仿宋" w:cs="仿宋"/>
          <w:sz w:val="28"/>
          <w:szCs w:val="28"/>
          <w:highlight w:val="none"/>
        </w:rPr>
        <w:t>年5月</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日至202</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年5月</w:t>
      </w: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日</w:t>
      </w:r>
    </w:p>
    <w:p>
      <w:pPr>
        <w:pStyle w:val="3"/>
        <w:pageBreakBefore w:val="0"/>
        <w:widowControl w:val="0"/>
        <w:kinsoku/>
        <w:wordWrap/>
        <w:overflowPunct/>
        <w:topLinePunct w:val="0"/>
        <w:autoSpaceDE/>
        <w:autoSpaceDN/>
        <w:bidi w:val="0"/>
        <w:adjustRightInd/>
        <w:spacing w:line="560" w:lineRule="exact"/>
        <w:ind w:firstLine="562" w:firstLineChars="200"/>
        <w:contextualSpacing/>
        <w:textAlignment w:val="auto"/>
        <w:rPr>
          <w:rFonts w:ascii="仿宋" w:hAnsi="仿宋" w:cs="仿宋"/>
          <w:szCs w:val="28"/>
        </w:rPr>
      </w:pPr>
      <w:bookmarkStart w:id="15" w:name="_Toc2646"/>
      <w:r>
        <w:rPr>
          <w:rFonts w:hint="eastAsia" w:ascii="仿宋" w:hAnsi="仿宋" w:cs="仿宋"/>
          <w:szCs w:val="28"/>
        </w:rPr>
        <w:t>三、</w:t>
      </w:r>
      <w:bookmarkEnd w:id="13"/>
      <w:r>
        <w:rPr>
          <w:rFonts w:hint="eastAsia" w:ascii="仿宋" w:hAnsi="仿宋" w:cs="仿宋"/>
          <w:szCs w:val="28"/>
        </w:rPr>
        <w:t>评估目的</w:t>
      </w:r>
      <w:bookmarkEnd w:id="15"/>
    </w:p>
    <w:p>
      <w:pPr>
        <w:pStyle w:val="13"/>
        <w:pageBreakBefore w:val="0"/>
        <w:widowControl w:val="0"/>
        <w:kinsoku/>
        <w:wordWrap/>
        <w:overflowPunct/>
        <w:topLinePunct w:val="0"/>
        <w:autoSpaceDE/>
        <w:autoSpaceDN/>
        <w:bidi w:val="0"/>
        <w:adjustRightInd/>
        <w:snapToGrid w:val="0"/>
        <w:spacing w:line="560" w:lineRule="exact"/>
        <w:ind w:firstLine="560" w:firstLineChars="200"/>
        <w:textAlignment w:val="auto"/>
        <w:rPr>
          <w:rFonts w:ascii="仿宋" w:hAnsi="仿宋" w:eastAsia="仿宋" w:cs="仿宋"/>
          <w:bCs/>
          <w:sz w:val="28"/>
          <w:szCs w:val="28"/>
        </w:rPr>
      </w:pPr>
      <w:r>
        <w:rPr>
          <w:rFonts w:hint="eastAsia" w:ascii="仿宋" w:hAnsi="仿宋" w:eastAsia="仿宋" w:cs="仿宋"/>
          <w:bCs/>
          <w:sz w:val="28"/>
          <w:szCs w:val="28"/>
        </w:rPr>
        <w:t>评估目的是</w:t>
      </w:r>
      <w:r>
        <w:rPr>
          <w:rFonts w:hint="eastAsia" w:ascii="仿宋" w:hAnsi="仿宋" w:eastAsia="仿宋" w:cs="仿宋"/>
          <w:sz w:val="28"/>
          <w:szCs w:val="28"/>
        </w:rPr>
        <w:t>为人民法院确定财产处置参考价提供参考依据。</w:t>
      </w:r>
    </w:p>
    <w:p>
      <w:pPr>
        <w:pStyle w:val="3"/>
        <w:pageBreakBefore w:val="0"/>
        <w:widowControl w:val="0"/>
        <w:kinsoku/>
        <w:wordWrap/>
        <w:overflowPunct/>
        <w:topLinePunct w:val="0"/>
        <w:autoSpaceDE/>
        <w:autoSpaceDN/>
        <w:bidi w:val="0"/>
        <w:adjustRightInd/>
        <w:spacing w:line="560" w:lineRule="exact"/>
        <w:ind w:firstLine="562" w:firstLineChars="200"/>
        <w:contextualSpacing/>
        <w:textAlignment w:val="auto"/>
        <w:rPr>
          <w:rFonts w:ascii="仿宋" w:hAnsi="仿宋" w:cs="仿宋"/>
          <w:szCs w:val="28"/>
        </w:rPr>
      </w:pPr>
      <w:bookmarkStart w:id="16" w:name="_Toc27393"/>
      <w:r>
        <w:rPr>
          <w:rFonts w:hint="eastAsia" w:ascii="仿宋" w:hAnsi="仿宋" w:cs="仿宋"/>
          <w:szCs w:val="28"/>
        </w:rPr>
        <w:t>四、</w:t>
      </w:r>
      <w:bookmarkEnd w:id="14"/>
      <w:r>
        <w:rPr>
          <w:rFonts w:hint="eastAsia" w:ascii="仿宋" w:hAnsi="仿宋" w:cs="仿宋"/>
          <w:szCs w:val="28"/>
        </w:rPr>
        <w:t>评估对象</w:t>
      </w:r>
      <w:bookmarkEnd w:id="16"/>
    </w:p>
    <w:p>
      <w:pPr>
        <w:pStyle w:val="13"/>
        <w:pageBreakBefore w:val="0"/>
        <w:widowControl w:val="0"/>
        <w:kinsoku/>
        <w:wordWrap/>
        <w:overflowPunct/>
        <w:topLinePunct w:val="0"/>
        <w:autoSpaceDE/>
        <w:autoSpaceDN/>
        <w:bidi w:val="0"/>
        <w:adjustRightInd/>
        <w:snapToGrid w:val="0"/>
        <w:spacing w:line="560" w:lineRule="exact"/>
        <w:ind w:firstLine="604" w:firstLineChars="200"/>
        <w:textAlignment w:val="auto"/>
        <w:rPr>
          <w:rFonts w:ascii="仿宋" w:hAnsi="仿宋" w:eastAsia="仿宋" w:cs="仿宋"/>
          <w:bCs/>
          <w:spacing w:val="11"/>
          <w:sz w:val="28"/>
          <w:szCs w:val="28"/>
        </w:rPr>
      </w:pPr>
      <w:r>
        <w:rPr>
          <w:rFonts w:hint="eastAsia" w:ascii="仿宋" w:hAnsi="仿宋" w:eastAsia="仿宋" w:cs="仿宋"/>
          <w:bCs/>
          <w:spacing w:val="11"/>
          <w:sz w:val="28"/>
          <w:szCs w:val="28"/>
        </w:rPr>
        <w:t>1.评估对象范围：</w:t>
      </w:r>
    </w:p>
    <w:p>
      <w:pPr>
        <w:pStyle w:val="13"/>
        <w:pageBreakBefore w:val="0"/>
        <w:widowControl w:val="0"/>
        <w:kinsoku/>
        <w:wordWrap/>
        <w:overflowPunct/>
        <w:topLinePunct w:val="0"/>
        <w:autoSpaceDE/>
        <w:autoSpaceDN/>
        <w:bidi w:val="0"/>
        <w:adjustRightInd/>
        <w:snapToGrid w:val="0"/>
        <w:spacing w:line="56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本次评估对象为</w:t>
      </w:r>
      <w:r>
        <w:rPr>
          <w:rFonts w:hint="eastAsia" w:ascii="仿宋" w:hAnsi="仿宋" w:eastAsia="仿宋" w:cs="仿宋"/>
          <w:sz w:val="28"/>
          <w:szCs w:val="28"/>
          <w:lang w:eastAsia="zh-CN"/>
        </w:rPr>
        <w:t>济南市钢城区钢都大街142号9幢西305室及9-C1幢储藏室</w:t>
      </w:r>
      <w:r>
        <w:rPr>
          <w:rFonts w:hint="eastAsia" w:ascii="仿宋" w:hAnsi="仿宋" w:eastAsia="仿宋" w:cs="仿宋"/>
          <w:sz w:val="28"/>
          <w:szCs w:val="28"/>
        </w:rPr>
        <w:t>。评估对象包括房屋及其分摊的国有土地使用权，不包括动产、债权债务、特许经营权等其他财产或权益。</w:t>
      </w:r>
    </w:p>
    <w:p>
      <w:pPr>
        <w:pStyle w:val="13"/>
        <w:pageBreakBefore w:val="0"/>
        <w:widowControl w:val="0"/>
        <w:kinsoku/>
        <w:wordWrap/>
        <w:overflowPunct/>
        <w:topLinePunct w:val="0"/>
        <w:autoSpaceDE/>
        <w:autoSpaceDN/>
        <w:bidi w:val="0"/>
        <w:adjustRightInd/>
        <w:snapToGrid w:val="0"/>
        <w:spacing w:line="56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2.评估对象基本状况：</w:t>
      </w:r>
    </w:p>
    <w:p>
      <w:pPr>
        <w:pStyle w:val="13"/>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本次评估对象为</w:t>
      </w:r>
      <w:r>
        <w:rPr>
          <w:rFonts w:hint="eastAsia" w:ascii="仿宋" w:hAnsi="仿宋" w:eastAsia="仿宋" w:cs="仿宋"/>
          <w:sz w:val="28"/>
          <w:szCs w:val="28"/>
          <w:lang w:eastAsia="zh-CN"/>
        </w:rPr>
        <w:t>杨玉升（杨玉生）</w:t>
      </w:r>
      <w:r>
        <w:rPr>
          <w:rFonts w:hint="eastAsia" w:ascii="仿宋" w:hAnsi="仿宋" w:eastAsia="仿宋" w:cs="仿宋"/>
          <w:sz w:val="28"/>
          <w:szCs w:val="28"/>
        </w:rPr>
        <w:t>所属的位于</w:t>
      </w:r>
      <w:r>
        <w:rPr>
          <w:rFonts w:hint="eastAsia" w:ascii="仿宋" w:hAnsi="仿宋" w:eastAsia="仿宋" w:cs="仿宋"/>
          <w:sz w:val="28"/>
          <w:szCs w:val="28"/>
          <w:lang w:eastAsia="zh-CN"/>
        </w:rPr>
        <w:t>钢城区钢都大街</w:t>
      </w:r>
      <w:r>
        <w:rPr>
          <w:rFonts w:hint="eastAsia" w:ascii="仿宋" w:hAnsi="仿宋" w:eastAsia="仿宋" w:cs="仿宋"/>
          <w:sz w:val="28"/>
          <w:szCs w:val="28"/>
          <w:lang w:val="en-US" w:eastAsia="zh-CN"/>
        </w:rPr>
        <w:t>142号9幢西305住宅及9-C1储藏室</w:t>
      </w:r>
      <w:r>
        <w:rPr>
          <w:rFonts w:hint="eastAsia" w:ascii="仿宋" w:hAnsi="仿宋" w:eastAsia="仿宋" w:cs="仿宋"/>
          <w:sz w:val="28"/>
          <w:szCs w:val="28"/>
        </w:rPr>
        <w:t>，</w:t>
      </w:r>
      <w:r>
        <w:rPr>
          <w:rFonts w:hint="eastAsia" w:ascii="仿宋" w:hAnsi="仿宋" w:eastAsia="仿宋" w:cs="仿宋"/>
          <w:sz w:val="28"/>
          <w:szCs w:val="28"/>
          <w:lang w:eastAsia="zh-CN"/>
        </w:rPr>
        <w:t>住宅</w:t>
      </w:r>
      <w:r>
        <w:rPr>
          <w:rFonts w:hint="eastAsia" w:ascii="仿宋" w:hAnsi="仿宋" w:eastAsia="仿宋" w:cs="仿宋"/>
          <w:sz w:val="28"/>
          <w:szCs w:val="28"/>
        </w:rPr>
        <w:t>所有权人为</w:t>
      </w:r>
      <w:r>
        <w:rPr>
          <w:rFonts w:hint="eastAsia" w:ascii="仿宋" w:hAnsi="仿宋" w:eastAsia="仿宋" w:cs="仿宋"/>
          <w:sz w:val="28"/>
          <w:szCs w:val="28"/>
          <w:lang w:eastAsia="zh-CN"/>
        </w:rPr>
        <w:t>杨玉升（杨玉生）</w:t>
      </w:r>
      <w:r>
        <w:rPr>
          <w:rFonts w:hint="eastAsia" w:ascii="仿宋" w:hAnsi="仿宋" w:eastAsia="仿宋" w:cs="仿宋"/>
          <w:sz w:val="28"/>
          <w:szCs w:val="28"/>
        </w:rPr>
        <w:t>，</w:t>
      </w:r>
      <w:r>
        <w:rPr>
          <w:rFonts w:hint="eastAsia" w:ascii="仿宋" w:hAnsi="仿宋" w:eastAsia="仿宋" w:cs="仿宋"/>
          <w:sz w:val="28"/>
          <w:szCs w:val="28"/>
          <w:lang w:eastAsia="zh-CN"/>
        </w:rPr>
        <w:t>共有情况：马俊香，房产证号：房权证莱房字第</w:t>
      </w:r>
      <w:r>
        <w:rPr>
          <w:rFonts w:hint="eastAsia" w:ascii="仿宋" w:hAnsi="仿宋" w:eastAsia="仿宋" w:cs="仿宋"/>
          <w:sz w:val="28"/>
          <w:szCs w:val="28"/>
          <w:lang w:val="en-US" w:eastAsia="zh-CN"/>
        </w:rPr>
        <w:t>0055123号，坐落：钢城区钢都大街142号9幢西305，面积：70.18平方米，房屋用途：住宅；9-C1储藏室面积：6.28平方米，房屋用途：储藏室。</w:t>
      </w:r>
      <w:r>
        <w:rPr>
          <w:rFonts w:hint="eastAsia" w:ascii="仿宋" w:hAnsi="仿宋" w:eastAsia="仿宋" w:cs="仿宋"/>
          <w:sz w:val="28"/>
          <w:szCs w:val="28"/>
        </w:rPr>
        <w:t>（《</w:t>
      </w:r>
      <w:r>
        <w:rPr>
          <w:rFonts w:hint="eastAsia" w:ascii="仿宋" w:hAnsi="仿宋" w:eastAsia="仿宋" w:cs="仿宋"/>
          <w:sz w:val="28"/>
          <w:szCs w:val="28"/>
          <w:lang w:eastAsia="zh-CN"/>
        </w:rPr>
        <w:t>房屋权属状况信息</w:t>
      </w:r>
      <w:r>
        <w:rPr>
          <w:rFonts w:hint="eastAsia" w:ascii="仿宋" w:hAnsi="仿宋" w:eastAsia="仿宋" w:cs="仿宋"/>
          <w:sz w:val="28"/>
          <w:szCs w:val="28"/>
        </w:rPr>
        <w:t>》）。</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3.土地基本情况：</w:t>
      </w:r>
    </w:p>
    <w:p>
      <w:pPr>
        <w:pStyle w:val="13"/>
        <w:pageBreakBefore w:val="0"/>
        <w:widowControl w:val="0"/>
        <w:kinsoku/>
        <w:topLinePunct w:val="0"/>
        <w:bidi w:val="0"/>
        <w:snapToGrid w:val="0"/>
        <w:spacing w:line="600" w:lineRule="exact"/>
        <w:ind w:right="105" w:rightChars="50" w:firstLine="560"/>
        <w:textAlignment w:val="auto"/>
        <w:rPr>
          <w:rFonts w:ascii="仿宋" w:hAnsi="仿宋" w:eastAsia="仿宋" w:cs="仿宋"/>
          <w:sz w:val="28"/>
          <w:szCs w:val="28"/>
        </w:rPr>
      </w:pPr>
      <w:r>
        <w:rPr>
          <w:rFonts w:hint="eastAsia" w:ascii="仿宋" w:hAnsi="仿宋" w:eastAsia="仿宋" w:cs="仿宋"/>
          <w:sz w:val="28"/>
          <w:szCs w:val="28"/>
        </w:rPr>
        <w:t>评估对象所在地块地势较平坦，地基承载力较好，地质条件较好，土壤无污染；根据注册房地产估价师现场调查了解，评估对象所在宗地开发程度为“</w:t>
      </w:r>
      <w:r>
        <w:rPr>
          <w:rFonts w:hint="eastAsia" w:ascii="仿宋" w:hAnsi="仿宋" w:eastAsia="仿宋" w:cs="仿宋"/>
          <w:sz w:val="28"/>
          <w:szCs w:val="28"/>
          <w:lang w:eastAsia="zh-CN"/>
        </w:rPr>
        <w:t>七</w:t>
      </w:r>
      <w:r>
        <w:rPr>
          <w:rFonts w:hint="eastAsia" w:ascii="仿宋" w:hAnsi="仿宋" w:eastAsia="仿宋" w:cs="仿宋"/>
          <w:sz w:val="28"/>
          <w:szCs w:val="28"/>
        </w:rPr>
        <w:t>通”（宗地红线外通上水、通下水、通电、通路、通讯、燃气</w:t>
      </w:r>
      <w:r>
        <w:rPr>
          <w:rFonts w:hint="eastAsia" w:ascii="仿宋" w:hAnsi="仿宋" w:eastAsia="仿宋" w:cs="仿宋"/>
          <w:sz w:val="28"/>
          <w:szCs w:val="28"/>
          <w:lang w:eastAsia="zh-CN"/>
        </w:rPr>
        <w:t>、供暖</w:t>
      </w:r>
      <w:r>
        <w:rPr>
          <w:rFonts w:hint="eastAsia" w:ascii="仿宋" w:hAnsi="仿宋" w:eastAsia="仿宋" w:cs="仿宋"/>
          <w:sz w:val="28"/>
          <w:szCs w:val="28"/>
        </w:rPr>
        <w:t>）一平（宗地红线内土地平整）。</w:t>
      </w:r>
    </w:p>
    <w:p>
      <w:pPr>
        <w:pStyle w:val="13"/>
        <w:pageBreakBefore w:val="0"/>
        <w:widowControl w:val="0"/>
        <w:kinsoku/>
        <w:topLinePunct w:val="0"/>
        <w:bidi w:val="0"/>
        <w:snapToGrid w:val="0"/>
        <w:spacing w:line="600" w:lineRule="exact"/>
        <w:ind w:firstLine="604" w:firstLineChars="200"/>
        <w:textAlignment w:val="auto"/>
        <w:rPr>
          <w:rFonts w:ascii="仿宋" w:hAnsi="仿宋" w:eastAsia="仿宋" w:cs="仿宋"/>
          <w:bCs/>
          <w:spacing w:val="11"/>
          <w:sz w:val="28"/>
          <w:szCs w:val="28"/>
        </w:rPr>
      </w:pPr>
      <w:r>
        <w:rPr>
          <w:rFonts w:hint="eastAsia" w:ascii="仿宋" w:hAnsi="仿宋" w:eastAsia="仿宋" w:cs="仿宋"/>
          <w:bCs/>
          <w:spacing w:val="11"/>
          <w:sz w:val="28"/>
          <w:szCs w:val="28"/>
        </w:rPr>
        <w:t>4.建筑物基本状况：</w:t>
      </w:r>
    </w:p>
    <w:p>
      <w:pPr>
        <w:pStyle w:val="6"/>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bookmarkStart w:id="17" w:name="_Toc323216544"/>
      <w:r>
        <w:rPr>
          <w:rFonts w:hint="eastAsia" w:ascii="仿宋" w:hAnsi="仿宋" w:eastAsia="仿宋" w:cs="仿宋"/>
          <w:sz w:val="28"/>
          <w:szCs w:val="28"/>
        </w:rPr>
        <w:t>评估对象房屋坐落为</w:t>
      </w:r>
      <w:r>
        <w:rPr>
          <w:rFonts w:hint="eastAsia" w:ascii="仿宋" w:hAnsi="仿宋" w:eastAsia="仿宋" w:cs="仿宋"/>
          <w:sz w:val="28"/>
          <w:szCs w:val="28"/>
          <w:lang w:eastAsia="zh-CN"/>
        </w:rPr>
        <w:t>济南市钢城区钢都大街142号9幢</w:t>
      </w:r>
      <w:r>
        <w:rPr>
          <w:rFonts w:hint="eastAsia" w:ascii="仿宋" w:hAnsi="仿宋" w:eastAsia="仿宋" w:cs="仿宋"/>
          <w:sz w:val="28"/>
          <w:szCs w:val="28"/>
        </w:rPr>
        <w:t>,建成年代为</w:t>
      </w:r>
      <w:r>
        <w:rPr>
          <w:rFonts w:hint="eastAsia" w:ascii="仿宋" w:hAnsi="仿宋" w:eastAsia="仿宋" w:cs="仿宋"/>
          <w:sz w:val="28"/>
          <w:szCs w:val="28"/>
          <w:lang w:val="en-US" w:eastAsia="zh-CN"/>
        </w:rPr>
        <w:t>1998年,用途为住宅和储藏室</w:t>
      </w:r>
      <w:r>
        <w:rPr>
          <w:rFonts w:hint="eastAsia" w:ascii="仿宋" w:hAnsi="仿宋" w:eastAsia="仿宋" w:cs="仿宋"/>
          <w:sz w:val="28"/>
          <w:szCs w:val="28"/>
        </w:rPr>
        <w:t>。经注册房地产估价师实地查勘，</w:t>
      </w:r>
      <w:r>
        <w:rPr>
          <w:rFonts w:hint="eastAsia" w:ascii="仿宋" w:hAnsi="仿宋" w:eastAsia="仿宋" w:cs="仿宋"/>
          <w:sz w:val="28"/>
          <w:szCs w:val="28"/>
          <w:lang w:eastAsia="zh-CN"/>
        </w:rPr>
        <w:t>住宅</w:t>
      </w:r>
      <w:r>
        <w:rPr>
          <w:rFonts w:hint="eastAsia" w:ascii="仿宋" w:hAnsi="仿宋" w:eastAsia="仿宋" w:cs="仿宋"/>
          <w:sz w:val="28"/>
          <w:szCs w:val="28"/>
        </w:rPr>
        <w:t>评估对象</w:t>
      </w:r>
      <w:r>
        <w:rPr>
          <w:rFonts w:hint="eastAsia" w:ascii="仿宋" w:hAnsi="仿宋" w:eastAsia="仿宋" w:cs="仿宋"/>
          <w:sz w:val="28"/>
          <w:szCs w:val="28"/>
          <w:lang w:eastAsia="zh-CN"/>
        </w:rPr>
        <w:t>为水刷石，塑钢外窗，入户门及内门为木门，客厅及厨房、卫生间贴瓷砖，卧式铺木地板，</w:t>
      </w:r>
      <w:r>
        <w:rPr>
          <w:rFonts w:hint="eastAsia" w:ascii="仿宋" w:hAnsi="仿宋" w:eastAsia="仿宋" w:cs="仿宋"/>
          <w:sz w:val="28"/>
          <w:szCs w:val="28"/>
        </w:rPr>
        <w:t>评估对象建筑物上下水管道、落水管、水箱、天线、供电线路、照明、绿地、道路、路灯、沟渠</w:t>
      </w:r>
      <w:r>
        <w:rPr>
          <w:rFonts w:hint="eastAsia" w:ascii="仿宋" w:hAnsi="仿宋" w:eastAsia="仿宋" w:cs="仿宋"/>
          <w:sz w:val="28"/>
          <w:szCs w:val="28"/>
          <w:lang w:eastAsia="zh-CN"/>
        </w:rPr>
        <w:t>、供暖</w:t>
      </w:r>
      <w:r>
        <w:rPr>
          <w:rFonts w:hint="eastAsia" w:ascii="仿宋" w:hAnsi="仿宋" w:eastAsia="仿宋" w:cs="仿宋"/>
          <w:sz w:val="28"/>
          <w:szCs w:val="28"/>
        </w:rPr>
        <w:t>等设备设施齐全；</w:t>
      </w:r>
      <w:r>
        <w:rPr>
          <w:rFonts w:hint="eastAsia" w:ascii="仿宋" w:hAnsi="仿宋" w:eastAsia="仿宋" w:cs="仿宋"/>
          <w:sz w:val="28"/>
          <w:szCs w:val="28"/>
          <w:lang w:eastAsia="zh-CN"/>
        </w:rPr>
        <w:t>由于建筑物建成年代久远，部分基础设施设备维护较差，属基本完好房</w:t>
      </w:r>
      <w:r>
        <w:rPr>
          <w:rFonts w:hint="eastAsia" w:ascii="仿宋" w:hAnsi="仿宋" w:eastAsia="仿宋" w:cs="仿宋"/>
          <w:sz w:val="28"/>
          <w:szCs w:val="28"/>
        </w:rPr>
        <w:t>。</w:t>
      </w:r>
    </w:p>
    <w:p>
      <w:pPr>
        <w:pageBreakBefore w:val="0"/>
        <w:widowControl w:val="0"/>
        <w:tabs>
          <w:tab w:val="left" w:pos="1985"/>
          <w:tab w:val="left" w:pos="3402"/>
        </w:tabs>
        <w:kinsoku/>
        <w:topLinePunct w:val="0"/>
        <w:bidi w:val="0"/>
        <w:snapToGrid w:val="0"/>
        <w:spacing w:line="600" w:lineRule="exact"/>
        <w:ind w:firstLine="536" w:firstLineChars="200"/>
        <w:textAlignment w:val="auto"/>
        <w:rPr>
          <w:rFonts w:ascii="仿宋" w:hAnsi="仿宋" w:eastAsia="仿宋" w:cs="仿宋"/>
          <w:spacing w:val="-6"/>
          <w:sz w:val="28"/>
          <w:szCs w:val="28"/>
        </w:rPr>
      </w:pPr>
      <w:r>
        <w:rPr>
          <w:rFonts w:hint="eastAsia" w:ascii="仿宋" w:hAnsi="仿宋" w:eastAsia="仿宋" w:cs="仿宋"/>
          <w:spacing w:val="-6"/>
          <w:sz w:val="28"/>
          <w:szCs w:val="28"/>
        </w:rPr>
        <w:t>5.地理位置与周围环境</w:t>
      </w:r>
    </w:p>
    <w:p>
      <w:pPr>
        <w:pStyle w:val="13"/>
        <w:pageBreakBefore w:val="0"/>
        <w:widowControl w:val="0"/>
        <w:kinsoku/>
        <w:topLinePunct w:val="0"/>
        <w:bidi w:val="0"/>
        <w:snapToGrid w:val="0"/>
        <w:spacing w:line="600" w:lineRule="exact"/>
        <w:ind w:firstLine="604" w:firstLineChars="200"/>
        <w:textAlignment w:val="auto"/>
        <w:rPr>
          <w:rFonts w:ascii="仿宋" w:hAnsi="仿宋" w:eastAsia="仿宋" w:cs="仿宋"/>
          <w:bCs/>
          <w:spacing w:val="11"/>
          <w:sz w:val="28"/>
          <w:szCs w:val="28"/>
        </w:rPr>
      </w:pPr>
      <w:r>
        <w:rPr>
          <w:rFonts w:hint="eastAsia" w:ascii="仿宋" w:hAnsi="仿宋" w:eastAsia="仿宋" w:cs="仿宋"/>
          <w:bCs/>
          <w:spacing w:val="11"/>
          <w:sz w:val="28"/>
          <w:szCs w:val="28"/>
        </w:rPr>
        <w:t>评估对象位于济南市</w:t>
      </w:r>
      <w:r>
        <w:rPr>
          <w:rFonts w:hint="eastAsia" w:ascii="仿宋" w:hAnsi="仿宋" w:eastAsia="仿宋" w:cs="仿宋"/>
          <w:bCs/>
          <w:spacing w:val="11"/>
          <w:sz w:val="28"/>
          <w:szCs w:val="28"/>
          <w:lang w:eastAsia="zh-CN"/>
        </w:rPr>
        <w:t>钢城区钢都大街</w:t>
      </w:r>
      <w:r>
        <w:rPr>
          <w:rFonts w:hint="eastAsia" w:ascii="仿宋" w:hAnsi="仿宋" w:eastAsia="仿宋" w:cs="仿宋"/>
          <w:bCs/>
          <w:spacing w:val="11"/>
          <w:sz w:val="28"/>
          <w:szCs w:val="28"/>
          <w:lang w:val="en-US" w:eastAsia="zh-CN"/>
        </w:rPr>
        <w:t>142号</w:t>
      </w:r>
      <w:r>
        <w:rPr>
          <w:rFonts w:hint="eastAsia" w:ascii="仿宋" w:hAnsi="仿宋" w:eastAsia="仿宋" w:cs="仿宋"/>
          <w:bCs/>
          <w:spacing w:val="11"/>
          <w:sz w:val="28"/>
          <w:szCs w:val="28"/>
          <w:lang w:eastAsia="zh-CN"/>
        </w:rPr>
        <w:t>，</w:t>
      </w:r>
      <w:r>
        <w:rPr>
          <w:rFonts w:hint="eastAsia" w:ascii="仿宋" w:hAnsi="仿宋" w:eastAsia="仿宋" w:cs="仿宋"/>
          <w:bCs/>
          <w:spacing w:val="11"/>
          <w:sz w:val="28"/>
          <w:szCs w:val="28"/>
        </w:rPr>
        <w:t>交通便利，地理位置较好。</w:t>
      </w:r>
      <w:r>
        <w:rPr>
          <w:rFonts w:hint="eastAsia" w:ascii="仿宋" w:hAnsi="仿宋" w:eastAsia="仿宋"/>
          <w:sz w:val="28"/>
          <w:szCs w:val="28"/>
        </w:rPr>
        <w:t>附近有</w:t>
      </w:r>
      <w:r>
        <w:rPr>
          <w:rFonts w:hint="eastAsia" w:ascii="仿宋" w:hAnsi="仿宋" w:eastAsia="仿宋"/>
          <w:sz w:val="28"/>
          <w:szCs w:val="28"/>
          <w:lang w:eastAsia="zh-CN"/>
        </w:rPr>
        <w:t>金鼎公司阳光幼儿园、山东省济南市莱钢高级中学、亲和家园社区卫生服务站、钢城百货大楼</w:t>
      </w:r>
      <w:r>
        <w:rPr>
          <w:rFonts w:hint="eastAsia" w:ascii="仿宋" w:hAnsi="仿宋" w:eastAsia="仿宋"/>
          <w:sz w:val="28"/>
          <w:szCs w:val="28"/>
        </w:rPr>
        <w:t>。</w:t>
      </w:r>
      <w:r>
        <w:rPr>
          <w:rFonts w:hint="eastAsia" w:ascii="仿宋" w:hAnsi="仿宋" w:eastAsia="仿宋" w:cs="仿宋"/>
          <w:sz w:val="28"/>
          <w:szCs w:val="28"/>
        </w:rPr>
        <w:t>有</w:t>
      </w:r>
      <w:r>
        <w:rPr>
          <w:rFonts w:hint="eastAsia" w:ascii="仿宋" w:hAnsi="仿宋" w:eastAsia="仿宋"/>
          <w:sz w:val="28"/>
          <w:szCs w:val="28"/>
          <w:lang w:eastAsia="zh-CN"/>
        </w:rPr>
        <w:t>钢城</w:t>
      </w:r>
      <w:r>
        <w:rPr>
          <w:rFonts w:hint="eastAsia" w:ascii="仿宋" w:hAnsi="仿宋" w:eastAsia="仿宋"/>
          <w:sz w:val="28"/>
          <w:szCs w:val="28"/>
        </w:rPr>
        <w:t>3</w:t>
      </w:r>
      <w:r>
        <w:rPr>
          <w:rFonts w:hint="eastAsia" w:ascii="仿宋" w:hAnsi="仿宋" w:eastAsia="仿宋"/>
          <w:sz w:val="28"/>
          <w:szCs w:val="28"/>
          <w:lang w:val="en-US" w:eastAsia="zh-CN"/>
        </w:rPr>
        <w:t>11</w:t>
      </w:r>
      <w:r>
        <w:rPr>
          <w:rFonts w:hint="eastAsia" w:ascii="仿宋" w:hAnsi="仿宋" w:eastAsia="仿宋"/>
          <w:sz w:val="28"/>
          <w:szCs w:val="28"/>
        </w:rPr>
        <w:t>路</w:t>
      </w:r>
      <w:r>
        <w:rPr>
          <w:rFonts w:hint="default" w:ascii="仿宋" w:hAnsi="仿宋" w:eastAsia="仿宋"/>
          <w:sz w:val="28"/>
          <w:szCs w:val="28"/>
        </w:rPr>
        <w:t> </w:t>
      </w:r>
      <w:r>
        <w:rPr>
          <w:rFonts w:hint="eastAsia" w:ascii="仿宋" w:hAnsi="仿宋" w:eastAsia="仿宋"/>
          <w:sz w:val="28"/>
          <w:szCs w:val="28"/>
          <w:lang w:eastAsia="zh-CN"/>
        </w:rPr>
        <w:t>、钢城</w:t>
      </w:r>
      <w:r>
        <w:rPr>
          <w:rFonts w:hint="eastAsia" w:ascii="仿宋" w:hAnsi="仿宋" w:eastAsia="仿宋"/>
          <w:sz w:val="28"/>
          <w:szCs w:val="28"/>
          <w:lang w:val="en-US" w:eastAsia="zh-CN"/>
        </w:rPr>
        <w:t>316</w:t>
      </w:r>
      <w:r>
        <w:rPr>
          <w:rFonts w:hint="default" w:ascii="仿宋" w:hAnsi="仿宋" w:eastAsia="仿宋"/>
          <w:sz w:val="28"/>
          <w:szCs w:val="28"/>
        </w:rPr>
        <w:t>路</w:t>
      </w:r>
      <w:r>
        <w:rPr>
          <w:rFonts w:hint="eastAsia" w:ascii="仿宋" w:hAnsi="仿宋" w:eastAsia="仿宋"/>
          <w:sz w:val="28"/>
          <w:szCs w:val="28"/>
          <w:lang w:eastAsia="zh-CN"/>
        </w:rPr>
        <w:t>、钢城</w:t>
      </w:r>
      <w:r>
        <w:rPr>
          <w:rFonts w:hint="eastAsia" w:ascii="仿宋" w:hAnsi="仿宋" w:eastAsia="仿宋"/>
          <w:sz w:val="28"/>
          <w:szCs w:val="28"/>
          <w:lang w:val="en-US" w:eastAsia="zh-CN"/>
        </w:rPr>
        <w:t>K319路</w:t>
      </w:r>
      <w:r>
        <w:rPr>
          <w:rFonts w:hint="eastAsia" w:ascii="仿宋" w:hAnsi="仿宋" w:eastAsia="仿宋"/>
          <w:sz w:val="28"/>
          <w:szCs w:val="28"/>
        </w:rPr>
        <w:t>等多处公交站点，周边交通状况较好，车辆出行比较便利。评估对象周围环</w:t>
      </w:r>
      <w:r>
        <w:rPr>
          <w:rFonts w:hint="eastAsia" w:ascii="仿宋" w:hAnsi="仿宋" w:eastAsia="仿宋" w:cs="仿宋"/>
          <w:bCs/>
          <w:spacing w:val="11"/>
          <w:sz w:val="28"/>
          <w:szCs w:val="28"/>
        </w:rPr>
        <w:t>境整洁、无噪声、无辐射，供水、供电等基础设施等完备，公共服务设施较好，</w:t>
      </w:r>
      <w:r>
        <w:rPr>
          <w:rFonts w:hint="eastAsia" w:ascii="仿宋" w:hAnsi="仿宋" w:eastAsia="仿宋" w:cs="仿宋"/>
          <w:bCs/>
          <w:spacing w:val="11"/>
          <w:sz w:val="28"/>
          <w:szCs w:val="28"/>
          <w:lang w:eastAsia="zh-CN"/>
        </w:rPr>
        <w:t>人流量较多，</w:t>
      </w:r>
      <w:bookmarkStart w:id="39" w:name="_GoBack"/>
      <w:bookmarkEnd w:id="39"/>
      <w:r>
        <w:rPr>
          <w:rFonts w:hint="eastAsia" w:ascii="仿宋" w:hAnsi="仿宋" w:eastAsia="仿宋" w:cs="仿宋"/>
          <w:bCs/>
          <w:spacing w:val="11"/>
          <w:sz w:val="28"/>
          <w:szCs w:val="28"/>
          <w:lang w:eastAsia="zh-CN"/>
        </w:rPr>
        <w:t>居住</w:t>
      </w:r>
      <w:r>
        <w:rPr>
          <w:rFonts w:hint="eastAsia" w:ascii="仿宋" w:hAnsi="仿宋" w:eastAsia="仿宋" w:cs="仿宋"/>
          <w:bCs/>
          <w:spacing w:val="11"/>
          <w:sz w:val="28"/>
          <w:szCs w:val="28"/>
        </w:rPr>
        <w:t>环境较好。</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18" w:name="_Toc1614"/>
      <w:r>
        <w:rPr>
          <w:rFonts w:hint="eastAsia" w:ascii="仿宋" w:hAnsi="仿宋" w:cs="仿宋"/>
          <w:szCs w:val="28"/>
        </w:rPr>
        <w:t>五、价值时点</w:t>
      </w:r>
      <w:bookmarkEnd w:id="17"/>
      <w:bookmarkEnd w:id="18"/>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价值时点为注册房地产估价师实地查勘完成之日</w:t>
      </w:r>
      <w:r>
        <w:rPr>
          <w:rFonts w:hint="eastAsia" w:ascii="仿宋" w:hAnsi="仿宋" w:eastAsia="仿宋" w:cs="仿宋"/>
          <w:sz w:val="28"/>
          <w:szCs w:val="28"/>
          <w:lang w:eastAsia="zh-CN"/>
        </w:rPr>
        <w:t>2022年8月3日</w:t>
      </w:r>
      <w:r>
        <w:rPr>
          <w:rFonts w:hint="eastAsia" w:ascii="仿宋" w:hAnsi="仿宋" w:eastAsia="仿宋" w:cs="仿宋"/>
          <w:sz w:val="28"/>
          <w:szCs w:val="28"/>
        </w:rPr>
        <w:t>。</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19" w:name="_Toc323216545"/>
      <w:bookmarkStart w:id="20" w:name="_Toc3434"/>
      <w:r>
        <w:rPr>
          <w:rFonts w:hint="eastAsia" w:ascii="仿宋" w:hAnsi="仿宋" w:cs="仿宋"/>
          <w:szCs w:val="28"/>
        </w:rPr>
        <w:t>六、价值</w:t>
      </w:r>
      <w:bookmarkEnd w:id="19"/>
      <w:r>
        <w:rPr>
          <w:rFonts w:hint="eastAsia" w:ascii="仿宋" w:hAnsi="仿宋" w:cs="仿宋"/>
          <w:szCs w:val="28"/>
        </w:rPr>
        <w:t>类型</w:t>
      </w:r>
      <w:bookmarkEnd w:id="20"/>
    </w:p>
    <w:p>
      <w:pPr>
        <w:pageBreakBefore w:val="0"/>
        <w:widowControl w:val="0"/>
        <w:tabs>
          <w:tab w:val="left" w:pos="1985"/>
          <w:tab w:val="left" w:pos="3402"/>
        </w:tabs>
        <w:kinsoku/>
        <w:topLinePunct w:val="0"/>
        <w:bidi w:val="0"/>
        <w:snapToGrid w:val="0"/>
        <w:spacing w:line="600" w:lineRule="exact"/>
        <w:ind w:firstLine="560" w:firstLineChars="200"/>
        <w:textAlignment w:val="auto"/>
        <w:rPr>
          <w:rFonts w:ascii="仿宋" w:hAnsi="仿宋" w:eastAsia="仿宋" w:cs="仿宋"/>
          <w:sz w:val="28"/>
          <w:szCs w:val="28"/>
        </w:rPr>
      </w:pPr>
      <w:bookmarkStart w:id="21" w:name="_Toc323216546"/>
      <w:r>
        <w:rPr>
          <w:rFonts w:hint="eastAsia" w:ascii="仿宋" w:hAnsi="仿宋" w:eastAsia="仿宋" w:cs="仿宋"/>
          <w:sz w:val="28"/>
          <w:szCs w:val="28"/>
        </w:rPr>
        <w:t>本次估价的价值类型是房地产市场价值。</w:t>
      </w:r>
    </w:p>
    <w:p>
      <w:pPr>
        <w:pageBreakBefore w:val="0"/>
        <w:widowControl w:val="0"/>
        <w:tabs>
          <w:tab w:val="left" w:pos="1985"/>
          <w:tab w:val="left" w:pos="3402"/>
        </w:tabs>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根据《房地产估价基本术语标准》（GB/T50899-2013）第3.0.5条：市场价值定义为评估对象经适当营销后，有熟悉情况、谨慎行事且不受压迫的交易双方，以公平交易方式在价值时点自愿进行交易的金额。</w:t>
      </w:r>
    </w:p>
    <w:p>
      <w:pPr>
        <w:pStyle w:val="3"/>
        <w:pageBreakBefore w:val="0"/>
        <w:widowControl w:val="0"/>
        <w:kinsoku/>
        <w:topLinePunct w:val="0"/>
        <w:bidi w:val="0"/>
        <w:spacing w:line="600" w:lineRule="exact"/>
        <w:ind w:firstLine="562" w:firstLineChars="200"/>
        <w:textAlignment w:val="auto"/>
      </w:pPr>
      <w:bookmarkStart w:id="22" w:name="_Toc31296"/>
      <w:r>
        <w:rPr>
          <w:rFonts w:hint="eastAsia"/>
        </w:rPr>
        <w:t>七、评估原则</w:t>
      </w:r>
      <w:bookmarkEnd w:id="21"/>
      <w:bookmarkEnd w:id="22"/>
    </w:p>
    <w:p>
      <w:pPr>
        <w:pageBreakBefore w:val="0"/>
        <w:widowControl w:val="0"/>
        <w:tabs>
          <w:tab w:val="left" w:pos="1985"/>
          <w:tab w:val="left" w:pos="3402"/>
        </w:tabs>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本次估价遵循合法原则，最高最佳利用原则，替代原则，价值时点原则，客观、独立、公正原则。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1.合法原则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合法原则要求房地产估价应以评估对象的合法权益为前提进行。合法权益包括合法产权、合法使用、合法处分等方面，在合法产权方面，应以房地产权属证书和有关证件为依据；在合法使用方面，应以城市规划、土地用途管制等为依据；在合法处分方面，应以法律、法规或合同（如土地使用权出让合同）等允许的处分方式为依据；在其他方面，如估价出的价格必须符合国家的价格政策。</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2.最高最佳利用原则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所谓最高最佳使用是评估对象一种最可能的使用，这种最可能的使用是法律上允许、技术上可能、财务上可行、 经过充分合理的论证，并能给予评估对象带来最高价值的使用。它的一种具体表现，是以能使评估对象获利最多的用途和开发强度来衡量。这是因为在房地产市场中，每位房地产拥有者在主观上都试图充分地发挥房地产的潜力，采用最高最佳利用方式，取得最大的收益。</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3.价值时点原则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房地产市场是不断变化的，房地产价格具有很强的时间性，它是某一时点上的价格。在不同时点，同一宗房地产往往会有不同的价格。价值时点原则是指求取某一时点上的价格，所以在估价一宗房地产的价格时，必须假定市场停止在价值时点上，同时评估对象房地产的状况通常也是以其在该时点时的状况为准。</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4.客观、独立、公正原则</w:t>
      </w:r>
    </w:p>
    <w:p>
      <w:pPr>
        <w:pStyle w:val="13"/>
        <w:pageBreakBefore w:val="0"/>
        <w:widowControl w:val="0"/>
        <w:kinsoku/>
        <w:topLinePunct w:val="0"/>
        <w:bidi w:val="0"/>
        <w:snapToGrid w:val="0"/>
        <w:spacing w:line="60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独立、客观、公正原则要求房地产估价师站在中立的立场上，实事求是、公平正直地估价出对各方估价利害关系人来说均是公平合理的价格。</w:t>
      </w:r>
    </w:p>
    <w:p>
      <w:pPr>
        <w:pStyle w:val="13"/>
        <w:pageBreakBefore w:val="0"/>
        <w:widowControl w:val="0"/>
        <w:kinsoku/>
        <w:topLinePunct w:val="0"/>
        <w:bidi w:val="0"/>
        <w:snapToGrid w:val="0"/>
        <w:spacing w:line="600" w:lineRule="exact"/>
        <w:ind w:firstLine="280" w:firstLineChars="100"/>
        <w:textAlignment w:val="auto"/>
        <w:rPr>
          <w:rFonts w:hint="eastAsia" w:ascii="仿宋" w:hAnsi="仿宋" w:eastAsia="仿宋" w:cs="仿宋"/>
          <w:sz w:val="28"/>
          <w:szCs w:val="28"/>
          <w:lang w:eastAsia="zh-CN"/>
        </w:rPr>
      </w:pPr>
      <w:r>
        <w:rPr>
          <w:rFonts w:hint="eastAsia" w:ascii="仿宋" w:hAnsi="仿宋" w:eastAsia="仿宋" w:cs="仿宋"/>
          <w:sz w:val="28"/>
          <w:szCs w:val="28"/>
        </w:rPr>
        <w:t xml:space="preserve">  5.替代原则</w:t>
      </w:r>
    </w:p>
    <w:p>
      <w:pPr>
        <w:pStyle w:val="13"/>
        <w:pageBreakBefore w:val="0"/>
        <w:widowControl w:val="0"/>
        <w:kinsoku/>
        <w:topLinePunct w:val="0"/>
        <w:bidi w:val="0"/>
        <w:snapToGrid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根据市场运行规律，在同一商品市场中，商品或提供服务的效用相同或大致相似时，价格低者吸引需求，即有两个以上互有替代性的商品或服务同时存在时，商品或服务的价格是经过相互影响和比较之后来决定的。房地产价格也同样遵循替代规律，受其它具有相同使用价值的房地产，即同类型具有替代可能的房地产价格所牵制。换言之，具有相同使用价值 替代可能的房地产之间，会相互影响和竞争，使价格相互牵制而趋于一致。</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23" w:name="_Toc17836"/>
      <w:r>
        <w:rPr>
          <w:rFonts w:hint="eastAsia" w:ascii="仿宋" w:hAnsi="仿宋" w:cs="仿宋"/>
          <w:szCs w:val="28"/>
        </w:rPr>
        <w:t>八、评估依据</w:t>
      </w:r>
      <w:bookmarkEnd w:id="23"/>
    </w:p>
    <w:p>
      <w:pPr>
        <w:pStyle w:val="6"/>
        <w:pageBreakBefore w:val="0"/>
        <w:widowControl w:val="0"/>
        <w:kinsoku/>
        <w:topLinePunct w:val="0"/>
        <w:bidi w:val="0"/>
        <w:snapToGrid w:val="0"/>
        <w:spacing w:line="600" w:lineRule="exact"/>
        <w:ind w:firstLine="560" w:firstLineChars="200"/>
        <w:jc w:val="both"/>
        <w:textAlignment w:val="auto"/>
        <w:rPr>
          <w:rFonts w:ascii="仿宋" w:hAnsi="仿宋" w:eastAsia="仿宋"/>
          <w:sz w:val="28"/>
        </w:rPr>
      </w:pPr>
      <w:r>
        <w:rPr>
          <w:rFonts w:hint="eastAsia" w:ascii="仿宋" w:hAnsi="仿宋" w:eastAsia="仿宋"/>
          <w:sz w:val="28"/>
          <w:szCs w:val="28"/>
        </w:rPr>
        <w:t>（一）</w:t>
      </w:r>
      <w:r>
        <w:rPr>
          <w:rFonts w:hint="eastAsia" w:ascii="仿宋" w:hAnsi="仿宋" w:eastAsia="仿宋"/>
          <w:sz w:val="28"/>
        </w:rPr>
        <w:t>本次评估所依据的有关法律、法规和政策文件；</w:t>
      </w:r>
    </w:p>
    <w:p>
      <w:pPr>
        <w:pStyle w:val="6"/>
        <w:pageBreakBefore w:val="0"/>
        <w:widowControl w:val="0"/>
        <w:kinsoku/>
        <w:topLinePunct w:val="0"/>
        <w:bidi w:val="0"/>
        <w:snapToGrid w:val="0"/>
        <w:spacing w:line="600" w:lineRule="exact"/>
        <w:ind w:firstLine="560" w:firstLineChars="200"/>
        <w:jc w:val="both"/>
        <w:textAlignment w:val="auto"/>
        <w:rPr>
          <w:rFonts w:ascii="仿宋" w:hAnsi="仿宋" w:eastAsia="仿宋"/>
          <w:sz w:val="28"/>
        </w:rPr>
      </w:pPr>
      <w:r>
        <w:rPr>
          <w:rFonts w:hint="eastAsia" w:ascii="仿宋" w:hAnsi="仿宋" w:eastAsia="仿宋"/>
          <w:sz w:val="28"/>
        </w:rPr>
        <w:t>1.《中华人民共和国民法典》；</w:t>
      </w:r>
    </w:p>
    <w:p>
      <w:pPr>
        <w:pStyle w:val="6"/>
        <w:pageBreakBefore w:val="0"/>
        <w:widowControl w:val="0"/>
        <w:kinsoku/>
        <w:topLinePunct w:val="0"/>
        <w:bidi w:val="0"/>
        <w:snapToGrid w:val="0"/>
        <w:spacing w:line="600" w:lineRule="exact"/>
        <w:ind w:firstLine="560" w:firstLineChars="200"/>
        <w:jc w:val="both"/>
        <w:textAlignment w:val="auto"/>
        <w:rPr>
          <w:rFonts w:ascii="仿宋" w:hAnsi="仿宋" w:eastAsia="仿宋"/>
          <w:sz w:val="28"/>
        </w:rPr>
      </w:pPr>
      <w:r>
        <w:rPr>
          <w:rFonts w:hint="eastAsia" w:ascii="仿宋" w:hAnsi="仿宋" w:eastAsia="仿宋"/>
          <w:sz w:val="28"/>
        </w:rPr>
        <w:t>2.</w:t>
      </w:r>
      <w:r>
        <w:rPr>
          <w:rFonts w:hint="eastAsia" w:ascii="仿宋" w:hAnsi="仿宋" w:eastAsia="仿宋" w:cs="仿宋"/>
          <w:sz w:val="28"/>
          <w:szCs w:val="28"/>
        </w:rPr>
        <w:t>《中华人民共和国资产评估法》；</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3.《中华人民共和国城市房地产管理法》；</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4.《中华人民共和国土地管理法》；</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5.《中华人民共和国土地管理法实施条例》；</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6.《全国人民代表大会常务委员会关于司法鉴定管理问题的决定》；</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7.《不动产登记暂行条例》；</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8.《不动产登记暂行条例实施细则》；</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9.《人民法院委托评估工作规范》；</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10.《最高人民法院关于人民法院确定财产处置参考价若干问题的规定》；</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11.《最高人民法院关于印发&lt;人民法院司法鉴定工作暂行规定&gt;的通知》；</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12.《最高人民法院关于评估委托人和管理人确定财产处置参考价若干问题的规定》；</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13.《最高人民法院关于人民法院委托评估、拍卖和变卖工作的若干规定》；</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14.《人民法院对外委托司法鉴定管理规定》；</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15.《司法鉴定程序通则》；</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16.《司法鉴定人</w:t>
      </w:r>
      <w:r>
        <w:rPr>
          <w:rFonts w:hint="eastAsia" w:ascii="仿宋" w:hAnsi="仿宋" w:eastAsia="仿宋"/>
          <w:sz w:val="28"/>
          <w:szCs w:val="24"/>
          <w:lang w:eastAsia="zh-CN"/>
        </w:rPr>
        <w:t>登记</w:t>
      </w:r>
      <w:r>
        <w:rPr>
          <w:rFonts w:hint="eastAsia" w:ascii="仿宋" w:hAnsi="仿宋" w:eastAsia="仿宋"/>
          <w:sz w:val="28"/>
          <w:szCs w:val="24"/>
        </w:rPr>
        <w:t>管理办法》；</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17.《司法鉴定机构登记管理办法》；</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18.《营业税改增值税试点实施办法》；</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19.《山东省司法鉴定人职业道德和执业纪律规范（试行）》；</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20.《山东省建筑工程消耗量定额》（2016年）；</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21.《山东省安装工程消耗量定额》（2016年）；</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22.《山东省建设工程费用项目组成及计算规则》（2016年）；</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23.国家和地方其他有关的法律、法规及政策性文件。</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（二）本次估价采用的技术规程</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1.《房地产估价规范》（GB/T 50291-2015）；</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2.《房地产估价基本术语标准》（GB/T50899-2013）；</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szCs w:val="24"/>
        </w:rPr>
      </w:pPr>
      <w:r>
        <w:rPr>
          <w:rFonts w:hint="eastAsia" w:ascii="仿宋" w:hAnsi="仿宋" w:eastAsia="仿宋"/>
          <w:sz w:val="28"/>
          <w:szCs w:val="24"/>
        </w:rPr>
        <w:t>3.《涉执房地产处置司法评估指导意见（试行）》。</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（三）评估委托人提供的权属证明及其他有关资料。</w:t>
      </w:r>
    </w:p>
    <w:p>
      <w:pPr>
        <w:pStyle w:val="45"/>
        <w:pageBreakBefore w:val="0"/>
        <w:widowControl w:val="0"/>
        <w:kinsoku/>
        <w:topLinePunct w:val="0"/>
        <w:bidi w:val="0"/>
        <w:snapToGrid w:val="0"/>
        <w:spacing w:line="600" w:lineRule="exact"/>
        <w:ind w:firstLine="560" w:firstLineChars="200"/>
        <w:textAlignment w:val="auto"/>
        <w:rPr>
          <w:rFonts w:ascii="仿宋" w:hAnsi="仿宋" w:eastAsia="仿宋"/>
          <w:sz w:val="28"/>
        </w:rPr>
      </w:pPr>
      <w:r>
        <w:rPr>
          <w:rFonts w:hint="eastAsia" w:ascii="仿宋" w:hAnsi="仿宋" w:eastAsia="仿宋"/>
          <w:sz w:val="28"/>
        </w:rPr>
        <w:t>（四）注册房地产估价师掌握的有关市场资料及估价人员实地勘察、调查所获得的资料。</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24" w:name="_Toc309572402"/>
      <w:bookmarkStart w:id="25" w:name="_Toc323216547"/>
      <w:bookmarkStart w:id="26" w:name="_Toc9294"/>
      <w:r>
        <w:rPr>
          <w:rFonts w:hint="eastAsia" w:ascii="仿宋" w:hAnsi="仿宋" w:cs="仿宋"/>
          <w:szCs w:val="28"/>
        </w:rPr>
        <w:t>九、</w:t>
      </w:r>
      <w:bookmarkEnd w:id="24"/>
      <w:bookmarkEnd w:id="25"/>
      <w:r>
        <w:rPr>
          <w:rFonts w:hint="eastAsia" w:ascii="仿宋" w:hAnsi="仿宋" w:cs="仿宋"/>
          <w:szCs w:val="28"/>
        </w:rPr>
        <w:t>评估方法</w:t>
      </w:r>
      <w:bookmarkEnd w:id="26"/>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bookmarkStart w:id="27" w:name="_Toc323216548"/>
      <w:r>
        <w:rPr>
          <w:rFonts w:hint="eastAsia" w:ascii="仿宋" w:hAnsi="仿宋" w:eastAsia="仿宋" w:cs="仿宋"/>
          <w:sz w:val="28"/>
          <w:szCs w:val="28"/>
        </w:rPr>
        <w:t>估价人员认真分析所掌握的资料，根据《房地产估价规范》及周边类似房地产市场状况，结合评估对象的具体特点及评估目的，选取适当的评估方法对评估对象进行评估。</w:t>
      </w:r>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（一）适用的评估方法</w:t>
      </w:r>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本报告评估目的是为确定房地产市场价格提供参考，评估对象的用途为</w:t>
      </w:r>
      <w:r>
        <w:rPr>
          <w:rFonts w:hint="eastAsia" w:ascii="仿宋" w:hAnsi="仿宋" w:eastAsia="仿宋" w:cs="仿宋"/>
          <w:sz w:val="28"/>
          <w:szCs w:val="28"/>
          <w:lang w:eastAsia="zh-CN"/>
        </w:rPr>
        <w:t>商业服务用房</w:t>
      </w:r>
      <w:r>
        <w:rPr>
          <w:rFonts w:hint="eastAsia" w:ascii="仿宋" w:hAnsi="仿宋" w:eastAsia="仿宋" w:cs="仿宋"/>
          <w:sz w:val="28"/>
          <w:szCs w:val="28"/>
        </w:rPr>
        <w:t>，鉴于评估对象所在地区房地产市场发育充分，区域内类似物业的市场交易实例及市场租赁案例较多，宜采用比较法与收益法进行评估。估价人员对两种方法测算的结果综合分析后，确定评估对象的评估价格。</w:t>
      </w:r>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（二）不适用的评估方法</w:t>
      </w:r>
    </w:p>
    <w:p>
      <w:pPr>
        <w:pStyle w:val="13"/>
        <w:pageBreakBefore w:val="0"/>
        <w:widowControl w:val="0"/>
        <w:kinsoku/>
        <w:topLinePunct w:val="0"/>
        <w:bidi w:val="0"/>
        <w:spacing w:line="60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现时</w:t>
      </w:r>
      <w:r>
        <w:rPr>
          <w:rFonts w:hint="eastAsia" w:ascii="仿宋" w:hAnsi="仿宋" w:eastAsia="仿宋" w:cs="仿宋"/>
          <w:sz w:val="28"/>
          <w:szCs w:val="28"/>
          <w:lang w:eastAsia="zh-CN"/>
        </w:rPr>
        <w:t>商业</w:t>
      </w:r>
      <w:r>
        <w:rPr>
          <w:rFonts w:hint="eastAsia" w:ascii="仿宋" w:hAnsi="仿宋" w:eastAsia="仿宋" w:cs="仿宋"/>
          <w:sz w:val="28"/>
          <w:szCs w:val="28"/>
        </w:rPr>
        <w:t>用房价格与成本关联性弱，房地产的开发成本不能准确反映房地产的实际市场价格，故不适宜采用成本法作为评估方法。另外，评估对象属于建成并已投入使用的物业，非待开发建设物业，不产生后续开发成本，故不适宜采用假设开发法作为评估方法。</w:t>
      </w:r>
    </w:p>
    <w:p>
      <w:pPr>
        <w:pStyle w:val="13"/>
        <w:pageBreakBefore w:val="0"/>
        <w:widowControl w:val="0"/>
        <w:kinsoku/>
        <w:topLinePunct w:val="0"/>
        <w:bidi w:val="0"/>
        <w:spacing w:line="600" w:lineRule="exact"/>
        <w:ind w:firstLine="560" w:firstLineChars="200"/>
        <w:textAlignment w:val="auto"/>
        <w:rPr>
          <w:rFonts w:ascii="仿宋" w:hAnsi="仿宋" w:eastAsia="仿宋"/>
          <w:sz w:val="28"/>
        </w:rPr>
      </w:pPr>
      <w:r>
        <w:rPr>
          <w:rFonts w:hint="eastAsia" w:ascii="仿宋" w:hAnsi="仿宋" w:eastAsia="仿宋" w:cs="仿宋"/>
          <w:sz w:val="28"/>
          <w:szCs w:val="28"/>
        </w:rPr>
        <w:t>（三）</w:t>
      </w:r>
      <w:r>
        <w:rPr>
          <w:rFonts w:hint="eastAsia" w:ascii="仿宋" w:hAnsi="仿宋" w:eastAsia="仿宋"/>
          <w:sz w:val="28"/>
        </w:rPr>
        <w:t>估价技术路线：</w:t>
      </w:r>
    </w:p>
    <w:p>
      <w:pPr>
        <w:pStyle w:val="13"/>
        <w:pageBreakBefore w:val="0"/>
        <w:widowControl w:val="0"/>
        <w:kinsoku/>
        <w:topLinePunct w:val="0"/>
        <w:bidi w:val="0"/>
        <w:spacing w:line="600" w:lineRule="exact"/>
        <w:ind w:firstLine="560" w:firstLineChars="200"/>
        <w:textAlignment w:val="auto"/>
        <w:rPr>
          <w:rFonts w:ascii="仿宋" w:hAnsi="仿宋" w:eastAsia="仿宋"/>
          <w:sz w:val="28"/>
        </w:rPr>
      </w:pPr>
      <w:r>
        <w:rPr>
          <w:rFonts w:hint="eastAsia" w:ascii="仿宋" w:hAnsi="仿宋" w:eastAsia="仿宋"/>
          <w:sz w:val="28"/>
        </w:rPr>
        <w:t>1.比较法：</w:t>
      </w:r>
    </w:p>
    <w:p>
      <w:pPr>
        <w:pStyle w:val="13"/>
        <w:pageBreakBefore w:val="0"/>
        <w:widowControl w:val="0"/>
        <w:kinsoku/>
        <w:topLinePunct w:val="0"/>
        <w:bidi w:val="0"/>
        <w:spacing w:line="600" w:lineRule="exact"/>
        <w:ind w:firstLine="560" w:firstLineChars="200"/>
        <w:textAlignment w:val="auto"/>
        <w:rPr>
          <w:rFonts w:ascii="仿宋" w:hAnsi="仿宋" w:eastAsia="仿宋"/>
          <w:sz w:val="28"/>
        </w:rPr>
      </w:pPr>
      <w:r>
        <w:rPr>
          <w:rFonts w:hint="eastAsia" w:ascii="仿宋" w:hAnsi="仿宋" w:eastAsia="仿宋"/>
          <w:sz w:val="28"/>
        </w:rPr>
        <w:t>运用比较法进行测算的基本公式为</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rPr>
        <w:t>比准价格=</w:t>
      </w:r>
      <w:r>
        <w:rPr>
          <w:rFonts w:ascii="仿宋" w:hAnsi="仿宋" w:eastAsia="仿宋"/>
          <w:sz w:val="28"/>
          <w:szCs w:val="28"/>
        </w:rPr>
        <w:t>可比实例价格×交易情况修正×市场状况</w:t>
      </w:r>
      <w:r>
        <w:rPr>
          <w:rFonts w:hint="eastAsia" w:ascii="仿宋" w:hAnsi="仿宋" w:eastAsia="仿宋"/>
          <w:sz w:val="28"/>
          <w:szCs w:val="28"/>
        </w:rPr>
        <w:t>调整</w:t>
      </w:r>
    </w:p>
    <w:p>
      <w:pPr>
        <w:pStyle w:val="13"/>
        <w:pageBreakBefore w:val="0"/>
        <w:widowControl w:val="0"/>
        <w:kinsoku/>
        <w:topLinePunct w:val="0"/>
        <w:bidi w:val="0"/>
        <w:spacing w:line="600" w:lineRule="exact"/>
        <w:ind w:left="1922" w:leftChars="782" w:right="105" w:rightChars="50" w:hanging="280" w:hangingChars="100"/>
        <w:textAlignment w:val="auto"/>
        <w:rPr>
          <w:rFonts w:ascii="仿宋" w:hAnsi="仿宋" w:eastAsia="仿宋"/>
          <w:sz w:val="28"/>
          <w:szCs w:val="28"/>
        </w:rPr>
      </w:pPr>
      <w:r>
        <w:rPr>
          <w:rFonts w:ascii="仿宋" w:hAnsi="仿宋" w:eastAsia="仿宋"/>
          <w:sz w:val="28"/>
          <w:szCs w:val="28"/>
        </w:rPr>
        <w:t>×区位状况</w:t>
      </w:r>
      <w:r>
        <w:rPr>
          <w:rFonts w:hint="eastAsia" w:ascii="仿宋" w:hAnsi="仿宋" w:eastAsia="仿宋"/>
          <w:sz w:val="28"/>
          <w:szCs w:val="28"/>
        </w:rPr>
        <w:t>调整</w:t>
      </w:r>
      <w:r>
        <w:rPr>
          <w:rFonts w:ascii="仿宋" w:hAnsi="仿宋" w:eastAsia="仿宋"/>
          <w:sz w:val="28"/>
          <w:szCs w:val="28"/>
        </w:rPr>
        <w:t>×实物状况</w:t>
      </w:r>
      <w:r>
        <w:rPr>
          <w:rFonts w:hint="eastAsia" w:ascii="仿宋" w:hAnsi="仿宋" w:eastAsia="仿宋"/>
          <w:sz w:val="28"/>
          <w:szCs w:val="28"/>
        </w:rPr>
        <w:t>调整</w:t>
      </w:r>
      <w:r>
        <w:rPr>
          <w:rFonts w:ascii="仿宋" w:hAnsi="仿宋" w:eastAsia="仿宋"/>
          <w:sz w:val="28"/>
          <w:szCs w:val="28"/>
        </w:rPr>
        <w:t>×权益状况</w:t>
      </w:r>
      <w:r>
        <w:rPr>
          <w:rFonts w:hint="eastAsia" w:ascii="仿宋" w:hAnsi="仿宋" w:eastAsia="仿宋"/>
          <w:sz w:val="28"/>
          <w:szCs w:val="28"/>
        </w:rPr>
        <w:t>调整</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2.收益法</w:t>
      </w:r>
    </w:p>
    <w:p>
      <w:pPr>
        <w:pStyle w:val="45"/>
        <w:pageBreakBefore w:val="0"/>
        <w:widowControl w:val="0"/>
        <w:kinsoku/>
        <w:topLinePunct w:val="0"/>
        <w:bidi w:val="0"/>
        <w:spacing w:line="600" w:lineRule="exact"/>
        <w:ind w:firstLine="560" w:firstLineChars="200"/>
        <w:textAlignment w:val="auto"/>
        <w:rPr>
          <w:rFonts w:ascii="仿宋" w:hAnsi="仿宋" w:eastAsia="仿宋"/>
          <w:sz w:val="28"/>
        </w:rPr>
      </w:pPr>
      <w:r>
        <w:rPr>
          <w:rFonts w:hint="eastAsia" w:ascii="仿宋" w:hAnsi="仿宋" w:eastAsia="仿宋"/>
          <w:sz w:val="28"/>
        </w:rPr>
        <w:t>收益法的原则 ：由于房地产具有连续性，使用期相对较长，其产生的纯收益能够在未来连续获得，将房地产的纯收益按一定的利率还原，求出房地产价值的总额收益法。应区分全剩余寿命模式和持有加转售模式。当收益期较长、难以预测该期限内各年净收益时，宜选用持有加转售模式。其计算公式为：</w:t>
      </w:r>
    </w:p>
    <w:p>
      <w:pPr>
        <w:pageBreakBefore w:val="0"/>
        <w:widowControl w:val="0"/>
        <w:tabs>
          <w:tab w:val="left" w:pos="426"/>
          <w:tab w:val="left" w:pos="8080"/>
        </w:tabs>
        <w:kinsoku/>
        <w:wordWrap w:val="0"/>
        <w:overflowPunct w:val="0"/>
        <w:topLinePunct w:val="0"/>
        <w:bidi w:val="0"/>
        <w:spacing w:line="600" w:lineRule="exact"/>
        <w:ind w:firstLine="560" w:firstLineChars="200"/>
        <w:textAlignment w:val="auto"/>
        <w:rPr>
          <w:sz w:val="28"/>
          <w:szCs w:val="28"/>
        </w:rPr>
      </w:pPr>
      <w:r>
        <w:rPr>
          <w:position w:val="-34"/>
          <w:sz w:val="28"/>
          <w:szCs w:val="28"/>
        </w:rPr>
        <w:object>
          <v:shape id="_x0000_i1025" o:spt="75" type="#_x0000_t75" style="height:40.05pt;width:132.1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式中：V ─ 收益价值（元或元/m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A</w:t>
      </w:r>
      <w:r>
        <w:rPr>
          <w:rFonts w:hint="eastAsia" w:ascii="仿宋" w:hAnsi="仿宋" w:eastAsia="仿宋" w:cs="仿宋"/>
          <w:sz w:val="28"/>
          <w:szCs w:val="28"/>
          <w:vertAlign w:val="subscript"/>
        </w:rPr>
        <w:t xml:space="preserve">i </w:t>
      </w:r>
      <w:r>
        <w:rPr>
          <w:rFonts w:hint="eastAsia" w:ascii="仿宋" w:hAnsi="仿宋" w:eastAsia="仿宋" w:cs="仿宋"/>
          <w:sz w:val="28"/>
          <w:szCs w:val="28"/>
        </w:rPr>
        <w:t>─ 期间收益（元或元/m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V</w:t>
      </w:r>
      <w:r>
        <w:rPr>
          <w:rFonts w:hint="eastAsia" w:ascii="仿宋" w:hAnsi="仿宋" w:eastAsia="仿宋" w:cs="仿宋"/>
          <w:sz w:val="28"/>
          <w:szCs w:val="28"/>
          <w:vertAlign w:val="subscript"/>
        </w:rPr>
        <w:t xml:space="preserve">t </w:t>
      </w:r>
      <w:r>
        <w:rPr>
          <w:rFonts w:hint="eastAsia" w:ascii="仿宋" w:hAnsi="仿宋" w:eastAsia="仿宋" w:cs="仿宋"/>
          <w:sz w:val="28"/>
          <w:szCs w:val="28"/>
        </w:rPr>
        <w:t>─ 期末转售收益（元或元/m</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Y</w:t>
      </w:r>
      <w:r>
        <w:rPr>
          <w:rFonts w:hint="eastAsia" w:ascii="仿宋" w:hAnsi="仿宋" w:eastAsia="仿宋" w:cs="仿宋"/>
          <w:sz w:val="28"/>
          <w:szCs w:val="28"/>
          <w:vertAlign w:val="subscript"/>
        </w:rPr>
        <w:t>i</w:t>
      </w:r>
      <w:r>
        <w:rPr>
          <w:rFonts w:hint="eastAsia" w:ascii="仿宋" w:hAnsi="仿宋" w:eastAsia="仿宋" w:cs="仿宋"/>
          <w:sz w:val="28"/>
          <w:szCs w:val="28"/>
        </w:rPr>
        <w:t xml:space="preserve"> ─ 未来第i年的报酬率（％）；</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Y</w:t>
      </w:r>
      <w:r>
        <w:rPr>
          <w:rFonts w:hint="eastAsia" w:ascii="仿宋" w:hAnsi="仿宋" w:eastAsia="仿宋" w:cs="仿宋"/>
          <w:sz w:val="28"/>
          <w:szCs w:val="28"/>
          <w:vertAlign w:val="subscript"/>
        </w:rPr>
        <w:t>t</w:t>
      </w:r>
      <w:r>
        <w:rPr>
          <w:rFonts w:hint="eastAsia" w:ascii="仿宋" w:hAnsi="仿宋" w:eastAsia="仿宋" w:cs="仿宋"/>
          <w:sz w:val="28"/>
          <w:szCs w:val="28"/>
        </w:rPr>
        <w:t xml:space="preserve"> ─ 期末报酬率（％）；</w:t>
      </w:r>
    </w:p>
    <w:p>
      <w:pPr>
        <w:pageBreakBefore w:val="0"/>
        <w:widowControl w:val="0"/>
        <w:kinsoku/>
        <w:wordWrap w:val="0"/>
        <w:overflowPunct w:val="0"/>
        <w:topLinePunct w:val="0"/>
        <w:bidi w:val="0"/>
        <w:spacing w:line="600" w:lineRule="exact"/>
        <w:textAlignment w:val="auto"/>
        <w:rPr>
          <w:rFonts w:ascii="仿宋" w:hAnsi="仿宋" w:eastAsia="仿宋" w:cs="仿宋"/>
          <w:sz w:val="28"/>
          <w:szCs w:val="28"/>
        </w:rPr>
      </w:pPr>
      <w:r>
        <w:rPr>
          <w:rFonts w:hint="eastAsia" w:ascii="仿宋" w:hAnsi="仿宋" w:eastAsia="仿宋" w:cs="仿宋"/>
          <w:sz w:val="28"/>
          <w:szCs w:val="28"/>
        </w:rPr>
        <w:t xml:space="preserve">      t ─ 持有期（年）。</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3.综合分析确定市场价值最终估价结果</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通过两种不同的技术路径，分别得到评估对象的评估单价，经分析两种方法结果的差异及导致差异的原因后，结合当前同类市场实际和估价师经验，分别确定两种方法结果的影响权重，最后确定评估对象在假定未设立法定优先受偿权利下的市场价格单价和总价。</w:t>
      </w:r>
    </w:p>
    <w:p>
      <w:pPr>
        <w:pStyle w:val="13"/>
        <w:pageBreakBefore w:val="0"/>
        <w:widowControl w:val="0"/>
        <w:kinsoku/>
        <w:topLinePunct w:val="0"/>
        <w:bidi w:val="0"/>
        <w:spacing w:line="600" w:lineRule="exact"/>
        <w:ind w:firstLine="560" w:firstLineChars="200"/>
        <w:textAlignment w:val="auto"/>
        <w:rPr>
          <w:rFonts w:ascii="仿宋" w:hAnsi="仿宋" w:eastAsia="仿宋"/>
          <w:sz w:val="28"/>
          <w:szCs w:val="28"/>
        </w:rPr>
      </w:pPr>
      <w:r>
        <w:rPr>
          <w:rFonts w:hint="eastAsia" w:ascii="仿宋" w:hAnsi="仿宋" w:eastAsia="仿宋"/>
          <w:sz w:val="28"/>
          <w:szCs w:val="28"/>
        </w:rPr>
        <w:t>评估对象评估单价=比较法评估单价</w:t>
      </w:r>
      <w:r>
        <w:rPr>
          <w:rFonts w:ascii="仿宋" w:hAnsi="仿宋" w:eastAsia="仿宋"/>
          <w:sz w:val="28"/>
          <w:szCs w:val="28"/>
        </w:rPr>
        <w:t>×</w:t>
      </w:r>
      <w:r>
        <w:rPr>
          <w:rFonts w:hint="eastAsia" w:ascii="仿宋" w:hAnsi="仿宋" w:eastAsia="仿宋"/>
          <w:sz w:val="28"/>
          <w:szCs w:val="28"/>
        </w:rPr>
        <w:t>影响权重1</w:t>
      </w:r>
    </w:p>
    <w:p>
      <w:pPr>
        <w:pStyle w:val="13"/>
        <w:pageBreakBefore w:val="0"/>
        <w:widowControl w:val="0"/>
        <w:kinsoku/>
        <w:topLinePunct w:val="0"/>
        <w:bidi w:val="0"/>
        <w:spacing w:line="600" w:lineRule="exact"/>
        <w:ind w:firstLine="2800" w:firstLineChars="1000"/>
        <w:textAlignment w:val="auto"/>
        <w:rPr>
          <w:rFonts w:ascii="仿宋" w:hAnsi="仿宋" w:eastAsia="仿宋"/>
          <w:sz w:val="28"/>
          <w:szCs w:val="28"/>
        </w:rPr>
      </w:pPr>
      <w:r>
        <w:rPr>
          <w:rFonts w:hint="eastAsia" w:ascii="仿宋" w:hAnsi="仿宋" w:eastAsia="仿宋"/>
          <w:sz w:val="28"/>
          <w:szCs w:val="28"/>
        </w:rPr>
        <w:t>+收益法评估单价</w:t>
      </w:r>
      <w:r>
        <w:rPr>
          <w:rFonts w:ascii="仿宋" w:hAnsi="仿宋" w:eastAsia="仿宋"/>
          <w:sz w:val="28"/>
          <w:szCs w:val="28"/>
        </w:rPr>
        <w:t>×</w:t>
      </w:r>
      <w:r>
        <w:rPr>
          <w:rFonts w:hint="eastAsia" w:ascii="仿宋" w:hAnsi="仿宋" w:eastAsia="仿宋"/>
          <w:sz w:val="28"/>
          <w:szCs w:val="28"/>
        </w:rPr>
        <w:t>影响权重2</w:t>
      </w:r>
    </w:p>
    <w:p>
      <w:pPr>
        <w:pStyle w:val="3"/>
        <w:pageBreakBefore w:val="0"/>
        <w:widowControl w:val="0"/>
        <w:kinsoku/>
        <w:topLinePunct w:val="0"/>
        <w:bidi w:val="0"/>
        <w:spacing w:line="600" w:lineRule="exact"/>
        <w:ind w:firstLine="562" w:firstLineChars="200"/>
        <w:contextualSpacing/>
        <w:textAlignment w:val="auto"/>
        <w:rPr>
          <w:rFonts w:ascii="仿宋" w:hAnsi="仿宋" w:cs="仿宋"/>
          <w:szCs w:val="28"/>
        </w:rPr>
      </w:pPr>
      <w:bookmarkStart w:id="28" w:name="_Toc8614"/>
      <w:r>
        <w:rPr>
          <w:rFonts w:hint="eastAsia" w:ascii="仿宋" w:hAnsi="仿宋" w:cs="仿宋"/>
          <w:szCs w:val="28"/>
        </w:rPr>
        <w:t>十、</w:t>
      </w:r>
      <w:bookmarkEnd w:id="27"/>
      <w:r>
        <w:rPr>
          <w:rFonts w:hint="eastAsia" w:ascii="仿宋" w:hAnsi="仿宋" w:cs="仿宋"/>
          <w:szCs w:val="28"/>
        </w:rPr>
        <w:t>评估结果</w:t>
      </w:r>
      <w:bookmarkEnd w:id="28"/>
    </w:p>
    <w:p>
      <w:pPr>
        <w:pageBreakBefore w:val="0"/>
        <w:widowControl w:val="0"/>
        <w:kinsoku/>
        <w:topLinePunct w:val="0"/>
        <w:autoSpaceDE w:val="0"/>
        <w:autoSpaceDN w:val="0"/>
        <w:bidi w:val="0"/>
        <w:adjustRightInd w:val="0"/>
        <w:snapToGrid w:val="0"/>
        <w:spacing w:line="600" w:lineRule="exact"/>
        <w:ind w:firstLine="560" w:firstLineChars="200"/>
        <w:textAlignment w:val="auto"/>
        <w:rPr>
          <w:rFonts w:ascii="仿宋" w:hAnsi="仿宋" w:eastAsia="仿宋" w:cs="仿宋"/>
          <w:sz w:val="28"/>
          <w:szCs w:val="28"/>
        </w:rPr>
      </w:pPr>
      <w:bookmarkStart w:id="29" w:name="_Toc323216549"/>
      <w:r>
        <w:rPr>
          <w:rFonts w:hint="eastAsia" w:ascii="仿宋" w:hAnsi="仿宋" w:eastAsia="仿宋" w:cs="仿宋"/>
          <w:sz w:val="28"/>
          <w:szCs w:val="28"/>
        </w:rPr>
        <w:t>注册房地产估价师根据评估目的，遵循评估原则，按照评估工作程序，利用科学的评估方法，在认真分析现有资料的基础上，经过周密准确的测算确定评估对象在设定条件下，于价值时点</w:t>
      </w:r>
      <w:r>
        <w:rPr>
          <w:rFonts w:hint="eastAsia" w:ascii="仿宋" w:hAnsi="仿宋" w:eastAsia="仿宋" w:cs="仿宋"/>
          <w:sz w:val="28"/>
          <w:szCs w:val="28"/>
          <w:lang w:eastAsia="zh-CN"/>
        </w:rPr>
        <w:t>2022年8月3日</w:t>
      </w:r>
      <w:r>
        <w:rPr>
          <w:rFonts w:hint="eastAsia" w:ascii="仿宋" w:hAnsi="仿宋" w:eastAsia="仿宋" w:cs="仿宋"/>
          <w:sz w:val="28"/>
          <w:szCs w:val="28"/>
        </w:rPr>
        <w:t>市场价格如下（币种：人民币）：</w:t>
      </w:r>
    </w:p>
    <w:p>
      <w:pPr>
        <w:pageBreakBefore w:val="0"/>
        <w:widowControl w:val="0"/>
        <w:kinsoku/>
        <w:topLinePunct w:val="0"/>
        <w:bidi w:val="0"/>
        <w:spacing w:line="600" w:lineRule="exact"/>
        <w:ind w:firstLine="560" w:firstLineChars="200"/>
        <w:textAlignment w:val="auto"/>
        <w:rPr>
          <w:rFonts w:ascii="仿宋" w:hAnsi="仿宋" w:eastAsia="仿宋"/>
          <w:color w:val="000000"/>
          <w:sz w:val="28"/>
          <w:szCs w:val="28"/>
        </w:rPr>
      </w:pPr>
      <w:r>
        <w:rPr>
          <w:rFonts w:hint="eastAsia" w:ascii="仿宋" w:hAnsi="仿宋" w:eastAsia="仿宋"/>
          <w:color w:val="000000"/>
          <w:sz w:val="28"/>
          <w:szCs w:val="28"/>
        </w:rPr>
        <w:t>单    价：</w:t>
      </w:r>
      <w:r>
        <w:rPr>
          <w:rFonts w:hint="eastAsia" w:ascii="仿宋" w:hAnsi="仿宋" w:eastAsia="仿宋"/>
          <w:color w:val="000000"/>
          <w:sz w:val="28"/>
          <w:szCs w:val="28"/>
          <w:lang w:val="en-US" w:eastAsia="zh-CN"/>
        </w:rPr>
        <w:t>3515</w:t>
      </w:r>
      <w:r>
        <w:rPr>
          <w:rFonts w:hint="eastAsia" w:ascii="仿宋" w:hAnsi="仿宋" w:eastAsia="仿宋"/>
          <w:color w:val="000000"/>
          <w:sz w:val="28"/>
          <w:szCs w:val="28"/>
        </w:rPr>
        <w:t>元/平方米</w:t>
      </w:r>
    </w:p>
    <w:p>
      <w:pPr>
        <w:pageBreakBefore w:val="0"/>
        <w:widowControl w:val="0"/>
        <w:kinsoku/>
        <w:topLinePunct w:val="0"/>
        <w:bidi w:val="0"/>
        <w:spacing w:line="600" w:lineRule="exact"/>
        <w:ind w:firstLine="560" w:firstLineChars="200"/>
        <w:textAlignment w:val="auto"/>
        <w:rPr>
          <w:rFonts w:ascii="仿宋" w:hAnsi="仿宋" w:eastAsia="仿宋"/>
          <w:color w:val="000000"/>
          <w:sz w:val="28"/>
          <w:szCs w:val="28"/>
        </w:rPr>
      </w:pPr>
      <w:r>
        <w:rPr>
          <w:rFonts w:hint="eastAsia" w:ascii="仿宋" w:hAnsi="仿宋" w:eastAsia="仿宋"/>
          <w:color w:val="000000"/>
          <w:sz w:val="28"/>
          <w:szCs w:val="28"/>
        </w:rPr>
        <w:t>总    价：</w:t>
      </w:r>
      <w:r>
        <w:rPr>
          <w:rFonts w:hint="eastAsia" w:ascii="仿宋" w:hAnsi="仿宋" w:eastAsia="仿宋"/>
          <w:color w:val="000000"/>
          <w:sz w:val="28"/>
          <w:szCs w:val="28"/>
          <w:lang w:val="en-US" w:eastAsia="zh-CN"/>
        </w:rPr>
        <w:t>24.67</w:t>
      </w:r>
      <w:r>
        <w:rPr>
          <w:rFonts w:hint="eastAsia" w:ascii="仿宋" w:hAnsi="仿宋" w:eastAsia="仿宋"/>
          <w:color w:val="000000"/>
          <w:sz w:val="28"/>
          <w:szCs w:val="28"/>
        </w:rPr>
        <w:t>万元</w:t>
      </w:r>
    </w:p>
    <w:p>
      <w:pPr>
        <w:pageBreakBefore w:val="0"/>
        <w:widowControl w:val="0"/>
        <w:kinsoku/>
        <w:topLinePunct w:val="0"/>
        <w:bidi w:val="0"/>
        <w:snapToGrid w:val="0"/>
        <w:spacing w:line="600" w:lineRule="exact"/>
        <w:ind w:firstLine="560" w:firstLineChars="200"/>
        <w:textAlignment w:val="auto"/>
        <w:rPr>
          <w:rFonts w:hint="eastAsia" w:ascii="仿宋" w:hAnsi="仿宋" w:eastAsia="仿宋"/>
          <w:color w:val="000000"/>
          <w:sz w:val="28"/>
          <w:szCs w:val="28"/>
        </w:rPr>
      </w:pPr>
      <w:r>
        <w:rPr>
          <w:rFonts w:hint="eastAsia" w:ascii="仿宋" w:hAnsi="仿宋" w:eastAsia="仿宋"/>
          <w:color w:val="000000"/>
          <w:sz w:val="28"/>
          <w:szCs w:val="28"/>
        </w:rPr>
        <w:t>大写金额：</w:t>
      </w:r>
      <w:r>
        <w:rPr>
          <w:rFonts w:hint="eastAsia" w:ascii="仿宋" w:hAnsi="仿宋" w:eastAsia="仿宋"/>
          <w:color w:val="000000"/>
          <w:sz w:val="28"/>
          <w:szCs w:val="28"/>
          <w:lang w:eastAsia="zh-CN"/>
        </w:rPr>
        <w:t>贰拾肆万陆仟柒佰</w:t>
      </w:r>
      <w:r>
        <w:rPr>
          <w:rFonts w:hint="eastAsia" w:ascii="仿宋" w:hAnsi="仿宋" w:eastAsia="仿宋"/>
          <w:color w:val="000000"/>
          <w:sz w:val="28"/>
          <w:szCs w:val="28"/>
        </w:rPr>
        <w:t>元整</w:t>
      </w:r>
      <w:r>
        <w:rPr>
          <w:rFonts w:hint="eastAsia" w:ascii="仿宋" w:hAnsi="仿宋" w:eastAsia="仿宋" w:cs="仿宋"/>
          <w:bCs/>
          <w:sz w:val="28"/>
          <w:szCs w:val="28"/>
          <w:lang w:eastAsia="zh-CN"/>
        </w:rPr>
        <w:t>（本估价结果包含储藏室价值）</w:t>
      </w:r>
      <w:r>
        <w:rPr>
          <w:rFonts w:hint="eastAsia" w:ascii="仿宋" w:hAnsi="仿宋" w:eastAsia="仿宋"/>
          <w:color w:val="000000"/>
          <w:sz w:val="28"/>
          <w:szCs w:val="28"/>
        </w:rPr>
        <w:t>。</w:t>
      </w:r>
    </w:p>
    <w:p>
      <w:pPr>
        <w:pStyle w:val="3"/>
        <w:spacing w:line="600" w:lineRule="exact"/>
        <w:ind w:firstLine="562" w:firstLineChars="200"/>
        <w:rPr>
          <w:rFonts w:ascii="仿宋" w:hAnsi="仿宋" w:cs="仿宋"/>
          <w:szCs w:val="28"/>
        </w:rPr>
      </w:pPr>
      <w:bookmarkStart w:id="30" w:name="_Toc2582"/>
      <w:r>
        <w:rPr>
          <w:rFonts w:hint="eastAsia"/>
        </w:rPr>
        <w:t>十一、</w:t>
      </w:r>
      <w:bookmarkEnd w:id="29"/>
      <w:r>
        <w:rPr>
          <w:rFonts w:hint="eastAsia"/>
        </w:rPr>
        <w:t>注册房地产估价师</w:t>
      </w:r>
      <w:bookmarkEnd w:id="30"/>
    </w:p>
    <w:tbl>
      <w:tblPr>
        <w:tblStyle w:val="27"/>
        <w:tblW w:w="5099" w:type="pct"/>
        <w:tblInd w:w="-172" w:type="dxa"/>
        <w:tblLayout w:type="autofit"/>
        <w:tblCellMar>
          <w:top w:w="0" w:type="dxa"/>
          <w:left w:w="108" w:type="dxa"/>
          <w:bottom w:w="0" w:type="dxa"/>
          <w:right w:w="108" w:type="dxa"/>
        </w:tblCellMar>
      </w:tblPr>
      <w:tblGrid>
        <w:gridCol w:w="1186"/>
        <w:gridCol w:w="2452"/>
        <w:gridCol w:w="2453"/>
        <w:gridCol w:w="2600"/>
      </w:tblGrid>
      <w:tr>
        <w:tblPrEx>
          <w:tblCellMar>
            <w:top w:w="0" w:type="dxa"/>
            <w:left w:w="108" w:type="dxa"/>
            <w:bottom w:w="0" w:type="dxa"/>
            <w:right w:w="108" w:type="dxa"/>
          </w:tblCellMar>
        </w:tblPrEx>
        <w:trPr>
          <w:trHeight w:val="685" w:hRule="exact"/>
        </w:trPr>
        <w:tc>
          <w:tcPr>
            <w:tcW w:w="682"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bookmarkStart w:id="31" w:name="_Toc413853857"/>
            <w:bookmarkStart w:id="32" w:name="_Toc323216550"/>
            <w:r>
              <w:rPr>
                <w:rFonts w:hint="eastAsia" w:ascii="仿宋" w:hAnsi="仿宋" w:eastAsia="仿宋" w:cs="宋体"/>
                <w:kern w:val="0"/>
                <w:sz w:val="28"/>
                <w:szCs w:val="28"/>
              </w:rPr>
              <w:t>姓名</w:t>
            </w:r>
          </w:p>
        </w:tc>
        <w:tc>
          <w:tcPr>
            <w:tcW w:w="1410"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注册号</w:t>
            </w:r>
          </w:p>
        </w:tc>
        <w:tc>
          <w:tcPr>
            <w:tcW w:w="1411"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签    名</w:t>
            </w:r>
          </w:p>
        </w:tc>
        <w:tc>
          <w:tcPr>
            <w:tcW w:w="1495"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签名日期</w:t>
            </w:r>
          </w:p>
        </w:tc>
      </w:tr>
      <w:tr>
        <w:tblPrEx>
          <w:tblCellMar>
            <w:top w:w="0" w:type="dxa"/>
            <w:left w:w="108" w:type="dxa"/>
            <w:bottom w:w="0" w:type="dxa"/>
            <w:right w:w="108" w:type="dxa"/>
          </w:tblCellMar>
        </w:tblPrEx>
        <w:trPr>
          <w:trHeight w:val="1256" w:hRule="atLeast"/>
        </w:trPr>
        <w:tc>
          <w:tcPr>
            <w:tcW w:w="682"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张金华</w:t>
            </w:r>
          </w:p>
        </w:tc>
        <w:tc>
          <w:tcPr>
            <w:tcW w:w="141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3720160163</w:t>
            </w:r>
          </w:p>
        </w:tc>
        <w:tc>
          <w:tcPr>
            <w:tcW w:w="1411"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p>
        </w:tc>
        <w:tc>
          <w:tcPr>
            <w:tcW w:w="1495" w:type="pct"/>
            <w:tcBorders>
              <w:top w:val="nil"/>
              <w:left w:val="nil"/>
              <w:bottom w:val="single" w:color="auto" w:sz="4" w:space="0"/>
              <w:right w:val="single" w:color="auto" w:sz="4" w:space="0"/>
            </w:tcBorders>
            <w:vAlign w:val="center"/>
          </w:tcPr>
          <w:p>
            <w:pPr>
              <w:widowControl/>
              <w:spacing w:line="360" w:lineRule="auto"/>
              <w:jc w:val="center"/>
              <w:rPr>
                <w:rFonts w:hint="eastAsia" w:ascii="仿宋" w:hAnsi="仿宋" w:eastAsia="仿宋" w:cs="宋体"/>
                <w:kern w:val="0"/>
                <w:sz w:val="28"/>
                <w:szCs w:val="28"/>
                <w:lang w:eastAsia="zh-CN"/>
              </w:rPr>
            </w:pPr>
            <w:r>
              <w:rPr>
                <w:rFonts w:hint="eastAsia" w:ascii="仿宋" w:hAnsi="仿宋" w:eastAsia="仿宋" w:cs="仿宋"/>
                <w:sz w:val="28"/>
                <w:szCs w:val="28"/>
              </w:rPr>
              <w:t>2022年</w:t>
            </w:r>
            <w:r>
              <w:rPr>
                <w:rFonts w:hint="eastAsia" w:ascii="仿宋" w:hAnsi="仿宋" w:eastAsia="仿宋" w:cs="仿宋"/>
                <w:sz w:val="28"/>
                <w:szCs w:val="28"/>
                <w:lang w:eastAsia="zh-CN"/>
              </w:rPr>
              <w:t>8月</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日</w:t>
            </w:r>
          </w:p>
        </w:tc>
      </w:tr>
      <w:tr>
        <w:tblPrEx>
          <w:tblCellMar>
            <w:top w:w="0" w:type="dxa"/>
            <w:left w:w="108" w:type="dxa"/>
            <w:bottom w:w="0" w:type="dxa"/>
            <w:right w:w="108" w:type="dxa"/>
          </w:tblCellMar>
        </w:tblPrEx>
        <w:trPr>
          <w:trHeight w:val="1401" w:hRule="atLeast"/>
        </w:trPr>
        <w:tc>
          <w:tcPr>
            <w:tcW w:w="682"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周倍峰</w:t>
            </w:r>
          </w:p>
        </w:tc>
        <w:tc>
          <w:tcPr>
            <w:tcW w:w="141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r>
              <w:rPr>
                <w:rFonts w:hint="eastAsia" w:ascii="仿宋" w:hAnsi="仿宋" w:eastAsia="仿宋" w:cs="宋体"/>
                <w:kern w:val="0"/>
                <w:sz w:val="28"/>
                <w:szCs w:val="28"/>
              </w:rPr>
              <w:t>3720060057</w:t>
            </w:r>
          </w:p>
        </w:tc>
        <w:tc>
          <w:tcPr>
            <w:tcW w:w="1411"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cs="宋体"/>
                <w:kern w:val="0"/>
                <w:sz w:val="28"/>
                <w:szCs w:val="28"/>
              </w:rPr>
            </w:pPr>
          </w:p>
        </w:tc>
        <w:tc>
          <w:tcPr>
            <w:tcW w:w="1495" w:type="pct"/>
            <w:tcBorders>
              <w:top w:val="nil"/>
              <w:left w:val="nil"/>
              <w:bottom w:val="single" w:color="auto" w:sz="4" w:space="0"/>
              <w:right w:val="single" w:color="auto" w:sz="4" w:space="0"/>
            </w:tcBorders>
            <w:vAlign w:val="center"/>
          </w:tcPr>
          <w:p>
            <w:pPr>
              <w:widowControl/>
              <w:spacing w:line="360" w:lineRule="auto"/>
              <w:jc w:val="center"/>
              <w:rPr>
                <w:rFonts w:hint="eastAsia" w:ascii="仿宋" w:hAnsi="仿宋" w:eastAsia="仿宋" w:cs="宋体"/>
                <w:kern w:val="0"/>
                <w:sz w:val="28"/>
                <w:szCs w:val="28"/>
                <w:lang w:eastAsia="zh-CN"/>
              </w:rPr>
            </w:pPr>
            <w:r>
              <w:rPr>
                <w:rFonts w:hint="eastAsia" w:ascii="仿宋" w:hAnsi="仿宋" w:eastAsia="仿宋" w:cs="仿宋"/>
                <w:sz w:val="28"/>
                <w:szCs w:val="28"/>
              </w:rPr>
              <w:t>2022年</w:t>
            </w:r>
            <w:r>
              <w:rPr>
                <w:rFonts w:hint="eastAsia" w:ascii="仿宋" w:hAnsi="仿宋" w:eastAsia="仿宋" w:cs="仿宋"/>
                <w:sz w:val="28"/>
                <w:szCs w:val="28"/>
                <w:lang w:eastAsia="zh-CN"/>
              </w:rPr>
              <w:t>8月</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日</w:t>
            </w:r>
          </w:p>
        </w:tc>
      </w:tr>
    </w:tbl>
    <w:p>
      <w:pPr>
        <w:pStyle w:val="3"/>
        <w:spacing w:line="600" w:lineRule="exact"/>
        <w:ind w:firstLine="562" w:firstLineChars="200"/>
        <w:contextualSpacing/>
        <w:rPr>
          <w:rFonts w:ascii="仿宋" w:hAnsi="仿宋" w:cs="仿宋"/>
          <w:szCs w:val="28"/>
        </w:rPr>
      </w:pPr>
      <w:bookmarkStart w:id="33" w:name="_Toc27342"/>
      <w:r>
        <w:rPr>
          <w:rFonts w:hint="eastAsia" w:ascii="仿宋" w:hAnsi="仿宋" w:cs="仿宋"/>
          <w:szCs w:val="28"/>
        </w:rPr>
        <w:t>十二、实地查勘期</w:t>
      </w:r>
      <w:bookmarkEnd w:id="31"/>
      <w:bookmarkEnd w:id="33"/>
    </w:p>
    <w:p>
      <w:pPr>
        <w:spacing w:line="600" w:lineRule="exact"/>
        <w:ind w:firstLine="560" w:firstLineChars="200"/>
        <w:rPr>
          <w:rFonts w:hint="eastAsia" w:ascii="仿宋" w:hAnsi="仿宋" w:eastAsia="仿宋"/>
          <w:sz w:val="28"/>
          <w:szCs w:val="28"/>
          <w:lang w:eastAsia="zh-CN"/>
        </w:rPr>
      </w:pPr>
      <w:r>
        <w:rPr>
          <w:rFonts w:hint="eastAsia" w:ascii="仿宋" w:hAnsi="仿宋" w:eastAsia="仿宋" w:cs="仿宋"/>
          <w:sz w:val="28"/>
          <w:szCs w:val="28"/>
          <w:lang w:eastAsia="zh-CN"/>
        </w:rPr>
        <w:t>2022年8月3日</w:t>
      </w:r>
    </w:p>
    <w:p>
      <w:pPr>
        <w:pStyle w:val="3"/>
        <w:spacing w:line="600" w:lineRule="exact"/>
        <w:ind w:firstLine="562" w:firstLineChars="200"/>
        <w:contextualSpacing/>
        <w:rPr>
          <w:rFonts w:ascii="仿宋" w:hAnsi="仿宋" w:cs="仿宋"/>
          <w:szCs w:val="28"/>
        </w:rPr>
      </w:pPr>
      <w:bookmarkStart w:id="34" w:name="_Toc2109"/>
      <w:r>
        <w:rPr>
          <w:rFonts w:hint="eastAsia" w:ascii="仿宋" w:hAnsi="仿宋" w:cs="仿宋"/>
          <w:szCs w:val="28"/>
        </w:rPr>
        <w:t>十三、评估作业期</w:t>
      </w:r>
      <w:bookmarkEnd w:id="32"/>
      <w:bookmarkEnd w:id="34"/>
    </w:p>
    <w:p>
      <w:pPr>
        <w:pStyle w:val="13"/>
        <w:spacing w:line="600"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2022年8月3日</w:t>
      </w:r>
      <w:r>
        <w:rPr>
          <w:rFonts w:hint="eastAsia" w:ascii="仿宋" w:hAnsi="仿宋" w:eastAsia="仿宋" w:cs="仿宋"/>
          <w:sz w:val="28"/>
          <w:szCs w:val="28"/>
        </w:rPr>
        <w:t>至 2022年</w:t>
      </w:r>
      <w:r>
        <w:rPr>
          <w:rFonts w:hint="eastAsia" w:ascii="仿宋" w:hAnsi="仿宋" w:eastAsia="仿宋" w:cs="仿宋"/>
          <w:sz w:val="28"/>
          <w:szCs w:val="28"/>
          <w:lang w:eastAsia="zh-CN"/>
        </w:rPr>
        <w:t>8月</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日</w:t>
      </w:r>
    </w:p>
    <w:p>
      <w:pPr>
        <w:pStyle w:val="13"/>
        <w:spacing w:line="560" w:lineRule="exact"/>
        <w:ind w:right="105" w:rightChars="50" w:firstLine="700" w:firstLineChars="250"/>
        <w:rPr>
          <w:rFonts w:ascii="仿宋" w:hAnsi="仿宋" w:eastAsia="仿宋" w:cs="仿宋"/>
          <w:sz w:val="28"/>
          <w:szCs w:val="28"/>
        </w:rPr>
      </w:pPr>
    </w:p>
    <w:p>
      <w:pPr>
        <w:pStyle w:val="13"/>
        <w:spacing w:line="560" w:lineRule="exact"/>
        <w:ind w:right="105" w:rightChars="50" w:firstLine="700" w:firstLineChars="250"/>
        <w:rPr>
          <w:rFonts w:ascii="仿宋" w:hAnsi="仿宋" w:eastAsia="仿宋" w:cs="仿宋"/>
          <w:sz w:val="28"/>
          <w:szCs w:val="28"/>
        </w:rPr>
      </w:pPr>
    </w:p>
    <w:p>
      <w:pPr>
        <w:pStyle w:val="13"/>
        <w:spacing w:line="360" w:lineRule="auto"/>
        <w:ind w:right="105" w:rightChars="50" w:firstLine="700" w:firstLineChars="250"/>
        <w:jc w:val="right"/>
        <w:rPr>
          <w:rFonts w:ascii="仿宋" w:hAnsi="仿宋" w:eastAsia="仿宋" w:cs="仿宋"/>
          <w:sz w:val="28"/>
          <w:szCs w:val="28"/>
        </w:rPr>
      </w:pPr>
      <w:r>
        <w:rPr>
          <w:rFonts w:hint="eastAsia" w:ascii="仿宋" w:hAnsi="仿宋" w:eastAsia="仿宋" w:cs="仿宋"/>
          <w:sz w:val="28"/>
          <w:szCs w:val="28"/>
        </w:rPr>
        <w:t>山东贵恒信土地房地产资产评估测绘有限公司</w:t>
      </w:r>
    </w:p>
    <w:p>
      <w:pPr>
        <w:pStyle w:val="13"/>
        <w:spacing w:line="360" w:lineRule="auto"/>
        <w:ind w:right="105" w:rightChars="50" w:firstLine="4900" w:firstLineChars="1750"/>
        <w:rPr>
          <w:rFonts w:hint="eastAsia" w:ascii="仿宋" w:hAnsi="仿宋" w:eastAsia="仿宋" w:cs="仿宋"/>
          <w:sz w:val="28"/>
          <w:szCs w:val="28"/>
          <w:lang w:eastAsia="zh-CN"/>
        </w:rPr>
      </w:pPr>
      <w:bookmarkStart w:id="35" w:name="_Toc51764437"/>
      <w:r>
        <w:rPr>
          <w:rFonts w:hint="eastAsia" w:ascii="仿宋" w:hAnsi="仿宋" w:eastAsia="仿宋" w:cs="仿宋"/>
          <w:sz w:val="28"/>
          <w:szCs w:val="28"/>
        </w:rPr>
        <w:t>2022年</w:t>
      </w:r>
      <w:r>
        <w:rPr>
          <w:rFonts w:hint="eastAsia" w:ascii="仿宋" w:hAnsi="仿宋" w:eastAsia="仿宋" w:cs="仿宋"/>
          <w:sz w:val="28"/>
          <w:szCs w:val="28"/>
          <w:lang w:eastAsia="zh-CN"/>
        </w:rPr>
        <w:t>8月</w:t>
      </w:r>
      <w:r>
        <w:rPr>
          <w:rFonts w:hint="eastAsia" w:ascii="仿宋" w:hAnsi="仿宋" w:eastAsia="仿宋" w:cs="仿宋"/>
          <w:sz w:val="28"/>
          <w:szCs w:val="28"/>
          <w:lang w:val="en-US" w:eastAsia="zh-CN"/>
        </w:rPr>
        <w:t>8</w:t>
      </w:r>
      <w:r>
        <w:rPr>
          <w:rFonts w:hint="eastAsia" w:ascii="仿宋" w:hAnsi="仿宋" w:eastAsia="仿宋" w:cs="仿宋"/>
          <w:sz w:val="28"/>
          <w:szCs w:val="28"/>
          <w:lang w:eastAsia="zh-CN"/>
        </w:rPr>
        <w:t>日</w:t>
      </w: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p>
      <w:pPr>
        <w:pStyle w:val="13"/>
        <w:spacing w:line="360" w:lineRule="auto"/>
        <w:ind w:right="105" w:rightChars="50" w:firstLine="4900" w:firstLineChars="1750"/>
        <w:rPr>
          <w:rFonts w:ascii="仿宋" w:hAnsi="仿宋" w:eastAsia="仿宋" w:cs="仿宋"/>
          <w:sz w:val="28"/>
          <w:szCs w:val="28"/>
        </w:rPr>
      </w:pPr>
    </w:p>
    <w:bookmarkEnd w:id="35"/>
    <w:p>
      <w:pPr>
        <w:pStyle w:val="2"/>
        <w:spacing w:before="0" w:after="0" w:line="360" w:lineRule="auto"/>
        <w:ind w:right="105" w:rightChars="50"/>
        <w:rPr>
          <w:rFonts w:ascii="仿宋" w:hAnsi="仿宋" w:cs="仿宋"/>
        </w:rPr>
      </w:pPr>
      <w:bookmarkStart w:id="36" w:name="_Toc2070"/>
      <w:r>
        <w:rPr>
          <w:rFonts w:hint="eastAsia" w:ascii="仿宋" w:hAnsi="仿宋" w:cs="仿宋"/>
        </w:rPr>
        <w:t>第四部分  附 件</w:t>
      </w:r>
      <w:bookmarkEnd w:id="36"/>
    </w:p>
    <w:p>
      <w:pPr>
        <w:spacing w:line="640" w:lineRule="exact"/>
        <w:ind w:right="105" w:rightChars="50" w:firstLine="560" w:firstLineChars="200"/>
        <w:jc w:val="left"/>
        <w:rPr>
          <w:rFonts w:ascii="仿宋" w:hAnsi="仿宋" w:eastAsia="仿宋" w:cs="仿宋"/>
          <w:sz w:val="28"/>
          <w:szCs w:val="28"/>
        </w:rPr>
      </w:pPr>
    </w:p>
    <w:p>
      <w:pPr>
        <w:spacing w:line="500" w:lineRule="exact"/>
        <w:ind w:right="105" w:rightChars="50"/>
        <w:jc w:val="left"/>
        <w:rPr>
          <w:rFonts w:ascii="仿宋" w:hAnsi="仿宋" w:eastAsia="仿宋" w:cs="仿宋"/>
          <w:sz w:val="28"/>
          <w:szCs w:val="28"/>
        </w:rPr>
      </w:pPr>
      <w:r>
        <w:rPr>
          <w:rFonts w:hint="eastAsia" w:ascii="仿宋" w:hAnsi="仿宋" w:eastAsia="仿宋" w:cs="仿宋"/>
          <w:sz w:val="28"/>
          <w:szCs w:val="28"/>
        </w:rPr>
        <w:t xml:space="preserve">    1.《</w:t>
      </w:r>
      <w:r>
        <w:rPr>
          <w:rFonts w:hint="eastAsia" w:ascii="仿宋" w:hAnsi="仿宋" w:eastAsia="仿宋" w:cs="仿宋"/>
          <w:sz w:val="28"/>
          <w:szCs w:val="28"/>
          <w:lang w:eastAsia="zh-CN"/>
        </w:rPr>
        <w:t>济南市钢城区人民法院</w:t>
      </w:r>
      <w:r>
        <w:rPr>
          <w:rFonts w:hint="eastAsia" w:ascii="仿宋" w:hAnsi="仿宋" w:eastAsia="仿宋" w:cs="仿宋"/>
          <w:sz w:val="28"/>
          <w:szCs w:val="28"/>
        </w:rPr>
        <w:t>委托书》[（202</w:t>
      </w:r>
      <w:r>
        <w:rPr>
          <w:rFonts w:hint="eastAsia" w:ascii="仿宋" w:hAnsi="仿宋" w:eastAsia="仿宋" w:cs="仿宋"/>
          <w:sz w:val="28"/>
          <w:szCs w:val="28"/>
          <w:lang w:val="en-US" w:eastAsia="zh-CN"/>
        </w:rPr>
        <w:t>2</w:t>
      </w:r>
      <w:r>
        <w:rPr>
          <w:rFonts w:hint="eastAsia" w:ascii="仿宋" w:hAnsi="仿宋" w:eastAsia="仿宋" w:cs="仿宋"/>
          <w:sz w:val="28"/>
          <w:szCs w:val="28"/>
        </w:rPr>
        <w:t>）鲁</w:t>
      </w:r>
      <w:r>
        <w:rPr>
          <w:rFonts w:hint="eastAsia" w:ascii="仿宋" w:hAnsi="仿宋" w:eastAsia="仿宋" w:cs="仿宋"/>
          <w:sz w:val="28"/>
          <w:szCs w:val="28"/>
          <w:lang w:val="en-US" w:eastAsia="zh-CN"/>
        </w:rPr>
        <w:t>0177</w:t>
      </w:r>
      <w:r>
        <w:rPr>
          <w:rFonts w:hint="eastAsia" w:ascii="仿宋" w:hAnsi="仿宋" w:eastAsia="仿宋" w:cs="仿宋"/>
          <w:sz w:val="28"/>
          <w:szCs w:val="28"/>
        </w:rPr>
        <w:t>执</w:t>
      </w:r>
      <w:r>
        <w:rPr>
          <w:rFonts w:hint="eastAsia" w:ascii="仿宋" w:hAnsi="仿宋" w:eastAsia="仿宋" w:cs="仿宋"/>
          <w:sz w:val="28"/>
          <w:szCs w:val="28"/>
          <w:lang w:val="en-US" w:eastAsia="zh-CN"/>
        </w:rPr>
        <w:t>328</w:t>
      </w:r>
      <w:r>
        <w:rPr>
          <w:rFonts w:hint="eastAsia" w:ascii="仿宋" w:hAnsi="仿宋" w:eastAsia="仿宋" w:cs="仿宋"/>
          <w:sz w:val="28"/>
          <w:szCs w:val="28"/>
        </w:rPr>
        <w:t>号]（复印件）；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2.评估对象相关资料（复印件）；</w:t>
      </w:r>
    </w:p>
    <w:p>
      <w:pPr>
        <w:tabs>
          <w:tab w:val="left" w:pos="7081"/>
        </w:tabs>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3.评估对象现场照片；</w:t>
      </w:r>
      <w:r>
        <w:rPr>
          <w:rFonts w:hint="eastAsia" w:ascii="仿宋" w:hAnsi="仿宋" w:eastAsia="仿宋" w:cs="仿宋"/>
          <w:sz w:val="28"/>
          <w:szCs w:val="28"/>
        </w:rPr>
        <w:tab/>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4.评估对象位置图；</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5.估价机构营业执照（复印件）；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6.估价机构资质证书（复印件）；</w:t>
      </w:r>
    </w:p>
    <w:p>
      <w:pPr>
        <w:spacing w:line="500" w:lineRule="exact"/>
        <w:ind w:right="105" w:rightChars="50" w:firstLine="560" w:firstLineChars="200"/>
        <w:jc w:val="left"/>
        <w:rPr>
          <w:rFonts w:ascii="仿宋" w:hAnsi="仿宋" w:eastAsia="仿宋" w:cs="仿宋"/>
          <w:sz w:val="28"/>
          <w:szCs w:val="28"/>
        </w:rPr>
      </w:pPr>
      <w:r>
        <w:rPr>
          <w:rFonts w:hint="eastAsia" w:ascii="仿宋" w:hAnsi="仿宋" w:eastAsia="仿宋" w:cs="仿宋"/>
          <w:sz w:val="28"/>
          <w:szCs w:val="28"/>
        </w:rPr>
        <w:t>7.注册房地产估价师注册证书（复印件）。</w:t>
      </w:r>
    </w:p>
    <w:p>
      <w:pPr>
        <w:spacing w:line="600" w:lineRule="exact"/>
        <w:ind w:right="105" w:rightChars="50" w:firstLine="840" w:firstLineChars="300"/>
        <w:jc w:val="left"/>
        <w:rPr>
          <w:rFonts w:ascii="仿宋" w:hAnsi="仿宋" w:eastAsia="仿宋" w:cs="仿宋"/>
          <w:sz w:val="28"/>
          <w:szCs w:val="28"/>
        </w:rPr>
      </w:pPr>
    </w:p>
    <w:p>
      <w:pPr>
        <w:spacing w:line="600" w:lineRule="exact"/>
        <w:ind w:right="105" w:rightChars="50" w:firstLine="630" w:firstLineChars="300"/>
        <w:jc w:val="left"/>
        <w:rPr>
          <w:rFonts w:ascii="仿宋" w:hAnsi="仿宋" w:eastAsia="仿宋"/>
        </w:rPr>
      </w:pPr>
    </w:p>
    <w:p>
      <w:pPr>
        <w:spacing w:line="600" w:lineRule="exact"/>
        <w:ind w:right="105" w:rightChars="50" w:firstLine="630" w:firstLineChars="300"/>
        <w:jc w:val="left"/>
        <w:rPr>
          <w:rFonts w:ascii="仿宋" w:hAnsi="仿宋" w:eastAsia="仿宋"/>
        </w:rPr>
      </w:pPr>
    </w:p>
    <w:p>
      <w:pPr>
        <w:spacing w:line="600" w:lineRule="exact"/>
        <w:ind w:right="105" w:rightChars="50" w:firstLine="630" w:firstLineChars="300"/>
        <w:jc w:val="left"/>
        <w:rPr>
          <w:rFonts w:ascii="仿宋" w:hAnsi="仿宋" w:eastAsia="仿宋"/>
        </w:rPr>
      </w:pPr>
    </w:p>
    <w:p>
      <w:pPr>
        <w:spacing w:line="600" w:lineRule="exact"/>
        <w:ind w:right="105" w:rightChars="50" w:firstLine="630" w:firstLineChars="30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hint="eastAsia" w:ascii="仿宋" w:hAnsi="仿宋" w:eastAsia="仿宋"/>
          <w:lang w:eastAsia="zh-CN"/>
        </w:rPr>
      </w:pPr>
    </w:p>
    <w:p>
      <w:pPr>
        <w:spacing w:line="600" w:lineRule="exact"/>
        <w:ind w:right="105" w:rightChars="50"/>
        <w:jc w:val="left"/>
        <w:rPr>
          <w:rFonts w:ascii="仿宋" w:hAnsi="仿宋" w:eastAsia="仿宋"/>
        </w:rPr>
      </w:pPr>
      <w:r>
        <w:drawing>
          <wp:anchor distT="0" distB="0" distL="114300" distR="114300" simplePos="0" relativeHeight="251659264" behindDoc="0" locked="0" layoutInCell="1" allowOverlap="1">
            <wp:simplePos x="0" y="0"/>
            <wp:positionH relativeFrom="column">
              <wp:posOffset>87630</wp:posOffset>
            </wp:positionH>
            <wp:positionV relativeFrom="paragraph">
              <wp:posOffset>153670</wp:posOffset>
            </wp:positionV>
            <wp:extent cx="5210175" cy="7705725"/>
            <wp:effectExtent l="0" t="0" r="9525" b="952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10175" cy="7705725"/>
                    </a:xfrm>
                    <a:prstGeom prst="rect">
                      <a:avLst/>
                    </a:prstGeom>
                    <a:noFill/>
                    <a:ln>
                      <a:noFill/>
                    </a:ln>
                  </pic:spPr>
                </pic:pic>
              </a:graphicData>
            </a:graphic>
          </wp:anchor>
        </w:drawing>
      </w:r>
    </w:p>
    <w:p>
      <w:pPr>
        <w:spacing w:line="600" w:lineRule="exact"/>
        <w:ind w:right="105" w:rightChars="50"/>
        <w:jc w:val="left"/>
        <w:rPr>
          <w:rFonts w:ascii="仿宋" w:hAnsi="仿宋" w:eastAsia="仿宋"/>
        </w:rPr>
      </w:pPr>
    </w:p>
    <w:p>
      <w:pPr>
        <w:spacing w:line="600" w:lineRule="exact"/>
        <w:ind w:right="105" w:rightChars="50"/>
        <w:jc w:val="left"/>
        <w:rPr>
          <w:rFonts w:hint="eastAsia" w:ascii="仿宋" w:hAnsi="仿宋" w:eastAsia="仿宋"/>
          <w:lang w:eastAsia="zh-CN"/>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rPr>
          <w:rFonts w:ascii="仿宋" w:hAnsi="仿宋" w:eastAsia="仿宋"/>
        </w:rPr>
      </w:pPr>
      <w:r>
        <w:rPr>
          <w:rFonts w:ascii="仿宋" w:hAnsi="仿宋" w:eastAsia="仿宋"/>
        </w:rPr>
        <w:br w:type="page"/>
      </w:r>
    </w:p>
    <w:p>
      <w:pPr>
        <w:pStyle w:val="2"/>
        <w:spacing w:before="0" w:after="0" w:line="360" w:lineRule="auto"/>
        <w:ind w:right="105" w:rightChars="50"/>
        <w:rPr>
          <w:rFonts w:hint="eastAsia" w:ascii="仿宋" w:hAnsi="仿宋" w:cs="仿宋"/>
          <w:lang w:eastAsia="zh-CN"/>
        </w:rPr>
        <w:sectPr>
          <w:headerReference r:id="rId4" w:type="first"/>
          <w:headerReference r:id="rId3" w:type="default"/>
          <w:footerReference r:id="rId5" w:type="default"/>
          <w:pgSz w:w="11906" w:h="16838"/>
          <w:pgMar w:top="1440" w:right="1800" w:bottom="1440" w:left="1800" w:header="851" w:footer="992" w:gutter="0"/>
          <w:pgNumType w:start="0"/>
          <w:cols w:space="720" w:num="1"/>
          <w:titlePg/>
          <w:docGrid w:type="lines" w:linePitch="312" w:charSpace="0"/>
        </w:sectPr>
      </w:pPr>
      <w:bookmarkStart w:id="37" w:name="_Toc31565"/>
    </w:p>
    <w:p>
      <w:pPr>
        <w:pStyle w:val="2"/>
        <w:spacing w:before="0" w:after="0" w:line="360" w:lineRule="auto"/>
        <w:ind w:right="105" w:rightChars="50"/>
        <w:rPr>
          <w:rFonts w:hint="eastAsia" w:ascii="仿宋" w:hAnsi="仿宋" w:cs="仿宋"/>
          <w:lang w:eastAsia="zh-CN"/>
        </w:rPr>
        <w:sectPr>
          <w:pgSz w:w="11906" w:h="16838"/>
          <w:pgMar w:top="1440" w:right="1800" w:bottom="1440" w:left="1800" w:header="851" w:footer="992" w:gutter="0"/>
          <w:pgNumType w:start="0"/>
          <w:cols w:space="720" w:num="1"/>
          <w:titlePg/>
          <w:docGrid w:type="lines" w:linePitch="312" w:charSpace="0"/>
        </w:sectPr>
      </w:pPr>
      <w:r>
        <w:rPr>
          <w:rFonts w:hint="eastAsia"/>
          <w:lang w:eastAsia="zh-CN"/>
        </w:rPr>
        <w:drawing>
          <wp:inline distT="0" distB="0" distL="114300" distR="114300">
            <wp:extent cx="5250180" cy="7383780"/>
            <wp:effectExtent l="0" t="0" r="7620" b="7620"/>
            <wp:docPr id="28" name="图片 28" descr="主房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主房信息"/>
                    <pic:cNvPicPr>
                      <a:picLocks noChangeAspect="1"/>
                    </pic:cNvPicPr>
                  </pic:nvPicPr>
                  <pic:blipFill>
                    <a:blip r:embed="rId10"/>
                    <a:stretch>
                      <a:fillRect/>
                    </a:stretch>
                  </pic:blipFill>
                  <pic:spPr>
                    <a:xfrm>
                      <a:off x="0" y="0"/>
                      <a:ext cx="5250180" cy="7383780"/>
                    </a:xfrm>
                    <a:prstGeom prst="rect">
                      <a:avLst/>
                    </a:prstGeom>
                  </pic:spPr>
                </pic:pic>
              </a:graphicData>
            </a:graphic>
          </wp:inline>
        </w:drawing>
      </w:r>
    </w:p>
    <w:p>
      <w:pPr>
        <w:rPr>
          <w:rFonts w:hint="eastAsia"/>
          <w:lang w:eastAsia="zh-CN"/>
        </w:rPr>
        <w:sectPr>
          <w:pgSz w:w="11906" w:h="16838"/>
          <w:pgMar w:top="1440" w:right="1800" w:bottom="1440" w:left="1800" w:header="851" w:footer="992" w:gutter="0"/>
          <w:pgNumType w:start="0"/>
          <w:cols w:space="720" w:num="1"/>
          <w:titlePg/>
          <w:docGrid w:type="lines" w:linePitch="312" w:charSpace="0"/>
        </w:sectPr>
      </w:pPr>
      <w:r>
        <w:rPr>
          <w:rFonts w:hint="eastAsia"/>
          <w:lang w:eastAsia="zh-CN"/>
        </w:rPr>
        <w:drawing>
          <wp:anchor distT="0" distB="0" distL="114300" distR="114300" simplePos="0" relativeHeight="251664384" behindDoc="1" locked="0" layoutInCell="1" allowOverlap="1">
            <wp:simplePos x="0" y="0"/>
            <wp:positionH relativeFrom="column">
              <wp:posOffset>-114300</wp:posOffset>
            </wp:positionH>
            <wp:positionV relativeFrom="paragraph">
              <wp:posOffset>876300</wp:posOffset>
            </wp:positionV>
            <wp:extent cx="5273040" cy="7444740"/>
            <wp:effectExtent l="0" t="0" r="3810" b="3810"/>
            <wp:wrapThrough wrapText="bothSides">
              <wp:wrapPolygon>
                <wp:start x="0" y="0"/>
                <wp:lineTo x="0" y="21556"/>
                <wp:lineTo x="21538" y="21556"/>
                <wp:lineTo x="21538" y="0"/>
                <wp:lineTo x="0" y="0"/>
              </wp:wrapPolygon>
            </wp:wrapThrough>
            <wp:docPr id="29" name="图片 29" descr="储藏室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储藏室信息"/>
                    <pic:cNvPicPr>
                      <a:picLocks noChangeAspect="1"/>
                    </pic:cNvPicPr>
                  </pic:nvPicPr>
                  <pic:blipFill>
                    <a:blip r:embed="rId11"/>
                    <a:stretch>
                      <a:fillRect/>
                    </a:stretch>
                  </pic:blipFill>
                  <pic:spPr>
                    <a:xfrm>
                      <a:off x="0" y="0"/>
                      <a:ext cx="5273040" cy="7444740"/>
                    </a:xfrm>
                    <a:prstGeom prst="rect">
                      <a:avLst/>
                    </a:prstGeom>
                  </pic:spPr>
                </pic:pic>
              </a:graphicData>
            </a:graphic>
          </wp:anchor>
        </w:drawing>
      </w:r>
    </w:p>
    <w:p>
      <w:pPr>
        <w:pStyle w:val="2"/>
        <w:spacing w:before="0" w:after="0" w:line="360" w:lineRule="auto"/>
        <w:ind w:right="105" w:rightChars="50"/>
        <w:rPr>
          <w:rFonts w:hint="eastAsia" w:ascii="仿宋" w:hAnsi="仿宋" w:cs="仿宋"/>
          <w:lang w:eastAsia="zh-CN"/>
        </w:rPr>
      </w:pPr>
      <w:r>
        <w:rPr>
          <w:rFonts w:hint="eastAsia" w:ascii="仿宋" w:hAnsi="仿宋" w:cs="仿宋"/>
          <w:lang w:eastAsia="zh-CN"/>
        </w:rPr>
        <w:t>评估对象照片</w:t>
      </w:r>
      <w:bookmarkEnd w:id="37"/>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399030" cy="1800225"/>
                  <wp:effectExtent l="0" t="0" r="1270" b="9525"/>
                  <wp:docPr id="13" name="图片 13" descr="微信图片_2022080408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804085450"/>
                          <pic:cNvPicPr>
                            <a:picLocks noChangeAspect="1"/>
                          </pic:cNvPicPr>
                        </pic:nvPicPr>
                        <pic:blipFill>
                          <a:blip r:embed="rId12"/>
                          <a:stretch>
                            <a:fillRect/>
                          </a:stretch>
                        </pic:blipFill>
                        <pic:spPr>
                          <a:xfrm>
                            <a:off x="0" y="0"/>
                            <a:ext cx="2399030" cy="1800225"/>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b/>
                <w:bCs/>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399665" cy="1800225"/>
                  <wp:effectExtent l="0" t="0" r="635" b="9525"/>
                  <wp:docPr id="14" name="图片 14" descr="微信图片_2022080408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804085308"/>
                          <pic:cNvPicPr>
                            <a:picLocks noChangeAspect="1"/>
                          </pic:cNvPicPr>
                        </pic:nvPicPr>
                        <pic:blipFill>
                          <a:blip r:embed="rId13"/>
                          <a:stretch>
                            <a:fillRect/>
                          </a:stretch>
                        </pic:blipFill>
                        <pic:spPr>
                          <a:xfrm>
                            <a:off x="0" y="0"/>
                            <a:ext cx="2399665" cy="18002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评估对象外景</w:t>
            </w:r>
          </w:p>
        </w:tc>
        <w:tc>
          <w:tcPr>
            <w:tcW w:w="4261" w:type="dxa"/>
            <w:vAlign w:val="center"/>
          </w:tcPr>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vertAlign w:val="baseline"/>
                <w:lang w:eastAsia="zh-CN"/>
              </w:rPr>
              <w:t>评估对象单元门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67305" cy="1926590"/>
                  <wp:effectExtent l="0" t="0" r="4445" b="16510"/>
                  <wp:docPr id="24" name="图片 24" descr="微信图片_2022080408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0804085242"/>
                          <pic:cNvPicPr>
                            <a:picLocks noChangeAspect="1"/>
                          </pic:cNvPicPr>
                        </pic:nvPicPr>
                        <pic:blipFill>
                          <a:blip r:embed="rId14"/>
                          <a:stretch>
                            <a:fillRect/>
                          </a:stretch>
                        </pic:blipFill>
                        <pic:spPr>
                          <a:xfrm>
                            <a:off x="0" y="0"/>
                            <a:ext cx="2567305" cy="1926590"/>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399030" cy="1800225"/>
                  <wp:effectExtent l="0" t="0" r="1270" b="9525"/>
                  <wp:docPr id="15" name="图片 15" descr="微信图片_2022080408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804085246"/>
                          <pic:cNvPicPr>
                            <a:picLocks noChangeAspect="1"/>
                          </pic:cNvPicPr>
                        </pic:nvPicPr>
                        <pic:blipFill>
                          <a:blip r:embed="rId15"/>
                          <a:stretch>
                            <a:fillRect/>
                          </a:stretch>
                        </pic:blipFill>
                        <pic:spPr>
                          <a:xfrm>
                            <a:off x="0" y="0"/>
                            <a:ext cx="2399030" cy="18002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楼梯</w:t>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评估对象入户门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399665" cy="1800225"/>
                  <wp:effectExtent l="0" t="0" r="635" b="9525"/>
                  <wp:docPr id="16" name="图片 16" descr="微信图片_2022080408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804085247"/>
                          <pic:cNvPicPr>
                            <a:picLocks noChangeAspect="1"/>
                          </pic:cNvPicPr>
                        </pic:nvPicPr>
                        <pic:blipFill>
                          <a:blip r:embed="rId16"/>
                          <a:stretch>
                            <a:fillRect/>
                          </a:stretch>
                        </pic:blipFill>
                        <pic:spPr>
                          <a:xfrm>
                            <a:off x="0" y="0"/>
                            <a:ext cx="2399665" cy="1800225"/>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eastAsia="zh-CN"/>
              </w:rPr>
              <w:drawing>
                <wp:inline distT="0" distB="0" distL="114300" distR="114300">
                  <wp:extent cx="2399030" cy="1800225"/>
                  <wp:effectExtent l="0" t="0" r="1270" b="9525"/>
                  <wp:docPr id="26" name="图片 26" descr="微信图片_2022080408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0804085254"/>
                          <pic:cNvPicPr>
                            <a:picLocks noChangeAspect="1"/>
                          </pic:cNvPicPr>
                        </pic:nvPicPr>
                        <pic:blipFill>
                          <a:blip r:embed="rId17"/>
                          <a:stretch>
                            <a:fillRect/>
                          </a:stretch>
                        </pic:blipFill>
                        <pic:spPr>
                          <a:xfrm>
                            <a:off x="0" y="0"/>
                            <a:ext cx="2399030" cy="18002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评估对象内景</w:t>
            </w:r>
          </w:p>
        </w:tc>
        <w:tc>
          <w:tcPr>
            <w:tcW w:w="4261" w:type="dxa"/>
            <w:vAlign w:val="center"/>
          </w:tcPr>
          <w:p>
            <w:pPr>
              <w:jc w:val="center"/>
              <w:rPr>
                <w:rFonts w:hint="eastAsia" w:ascii="仿宋_GB2312" w:hAnsi="仿宋_GB2312" w:eastAsia="仿宋_GB2312" w:cs="仿宋_GB2312"/>
                <w:kern w:val="2"/>
                <w:sz w:val="21"/>
                <w:szCs w:val="24"/>
                <w:vertAlign w:val="baseline"/>
                <w:lang w:val="en-US" w:eastAsia="zh-CN" w:bidi="ar-SA"/>
              </w:rPr>
            </w:pPr>
            <w:r>
              <w:rPr>
                <w:rFonts w:hint="eastAsia" w:ascii="仿宋_GB2312" w:hAnsi="仿宋_GB2312" w:eastAsia="仿宋_GB2312" w:cs="仿宋_GB2312"/>
                <w:vertAlign w:val="baseline"/>
                <w:lang w:eastAsia="zh-CN"/>
              </w:rPr>
              <w:t>评估对象内景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399665" cy="1800225"/>
                  <wp:effectExtent l="0" t="0" r="635" b="9525"/>
                  <wp:docPr id="18" name="图片 18" descr="微信图片_2022080408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0804085258"/>
                          <pic:cNvPicPr>
                            <a:picLocks noChangeAspect="1"/>
                          </pic:cNvPicPr>
                        </pic:nvPicPr>
                        <pic:blipFill>
                          <a:blip r:embed="rId18"/>
                          <a:stretch>
                            <a:fillRect/>
                          </a:stretch>
                        </pic:blipFill>
                        <pic:spPr>
                          <a:xfrm>
                            <a:off x="0" y="0"/>
                            <a:ext cx="2399665" cy="1800225"/>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67305" cy="1926590"/>
                  <wp:effectExtent l="0" t="0" r="4445" b="16510"/>
                  <wp:docPr id="22" name="图片 22" descr="微信图片_2022080408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804085241"/>
                          <pic:cNvPicPr>
                            <a:picLocks noChangeAspect="1"/>
                          </pic:cNvPicPr>
                        </pic:nvPicPr>
                        <pic:blipFill>
                          <a:blip r:embed="rId19"/>
                          <a:stretch>
                            <a:fillRect/>
                          </a:stretch>
                        </pic:blipFill>
                        <pic:spPr>
                          <a:xfrm>
                            <a:off x="0" y="0"/>
                            <a:ext cx="2567305" cy="19265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评估对象内景</w:t>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储藏室外景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551430" cy="1913890"/>
                  <wp:effectExtent l="0" t="0" r="1270" b="10160"/>
                  <wp:docPr id="23" name="图片 23" descr="微信图片_2022080408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0804085236"/>
                          <pic:cNvPicPr>
                            <a:picLocks noChangeAspect="1"/>
                          </pic:cNvPicPr>
                        </pic:nvPicPr>
                        <pic:blipFill>
                          <a:blip r:embed="rId20"/>
                          <a:stretch>
                            <a:fillRect/>
                          </a:stretch>
                        </pic:blipFill>
                        <pic:spPr>
                          <a:xfrm>
                            <a:off x="0" y="0"/>
                            <a:ext cx="2551430" cy="1913890"/>
                          </a:xfrm>
                          <a:prstGeom prst="rect">
                            <a:avLst/>
                          </a:prstGeom>
                        </pic:spPr>
                      </pic:pic>
                    </a:graphicData>
                  </a:graphic>
                </wp:inline>
              </w:drawing>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drawing>
                <wp:inline distT="0" distB="0" distL="114300" distR="114300">
                  <wp:extent cx="2399665" cy="1800225"/>
                  <wp:effectExtent l="0" t="0" r="635" b="9525"/>
                  <wp:docPr id="20" name="图片 20" descr="微信图片_2022080408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0804085237"/>
                          <pic:cNvPicPr>
                            <a:picLocks noChangeAspect="1"/>
                          </pic:cNvPicPr>
                        </pic:nvPicPr>
                        <pic:blipFill>
                          <a:blip r:embed="rId21"/>
                          <a:stretch>
                            <a:fillRect/>
                          </a:stretch>
                        </pic:blipFill>
                        <pic:spPr>
                          <a:xfrm>
                            <a:off x="0" y="0"/>
                            <a:ext cx="2399665" cy="18002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储藏室门</w:t>
            </w:r>
          </w:p>
        </w:tc>
        <w:tc>
          <w:tcPr>
            <w:tcW w:w="4261" w:type="dxa"/>
            <w:vAlign w:val="center"/>
          </w:tcPr>
          <w:p>
            <w:pPr>
              <w:jc w:val="center"/>
              <w:rPr>
                <w:rFonts w:hint="eastAsia" w:ascii="仿宋_GB2312" w:hAnsi="仿宋_GB2312" w:eastAsia="仿宋_GB2312" w:cs="仿宋_GB2312"/>
                <w:vertAlign w:val="baseline"/>
                <w:lang w:eastAsia="zh-CN"/>
              </w:rPr>
            </w:pPr>
            <w:r>
              <w:rPr>
                <w:rFonts w:hint="eastAsia" w:ascii="仿宋_GB2312" w:hAnsi="仿宋_GB2312" w:eastAsia="仿宋_GB2312" w:cs="仿宋_GB2312"/>
                <w:vertAlign w:val="baseline"/>
                <w:lang w:eastAsia="zh-CN"/>
              </w:rPr>
              <w:t>储藏室内景</w:t>
            </w:r>
          </w:p>
        </w:tc>
      </w:tr>
    </w:tbl>
    <w:p>
      <w:pPr>
        <w:rPr>
          <w:rFonts w:hint="eastAsia"/>
          <w:lang w:eastAsia="zh-CN"/>
        </w:rPr>
      </w:pPr>
      <w:r>
        <w:rPr>
          <w:rFonts w:hint="eastAsia"/>
          <w:lang w:eastAsia="zh-CN"/>
        </w:rPr>
        <w:br w:type="page"/>
      </w:r>
    </w:p>
    <w:p>
      <w:pPr>
        <w:pStyle w:val="2"/>
        <w:spacing w:before="0" w:after="0" w:line="360" w:lineRule="auto"/>
        <w:ind w:right="105" w:rightChars="50"/>
        <w:rPr>
          <w:rFonts w:hint="eastAsia" w:ascii="仿宋" w:hAnsi="仿宋" w:cs="仿宋"/>
          <w:lang w:eastAsia="zh-CN"/>
        </w:rPr>
      </w:pPr>
      <w:bookmarkStart w:id="38" w:name="_Toc6101"/>
      <w:r>
        <w:rPr>
          <w:rFonts w:hint="eastAsia" w:ascii="仿宋" w:hAnsi="仿宋" w:cs="仿宋"/>
          <w:lang w:eastAsia="zh-CN"/>
        </w:rPr>
        <w:t>评估对象位置</w:t>
      </w:r>
      <w:bookmarkEnd w:id="38"/>
    </w:p>
    <w:p>
      <w:r>
        <w:drawing>
          <wp:inline distT="0" distB="0" distL="114300" distR="114300">
            <wp:extent cx="5263515" cy="3390265"/>
            <wp:effectExtent l="0" t="0" r="13335" b="63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2"/>
                    <a:stretch>
                      <a:fillRect/>
                    </a:stretch>
                  </pic:blipFill>
                  <pic:spPr>
                    <a:xfrm>
                      <a:off x="0" y="0"/>
                      <a:ext cx="5263515" cy="3390265"/>
                    </a:xfrm>
                    <a:prstGeom prst="rect">
                      <a:avLst/>
                    </a:prstGeom>
                    <a:noFill/>
                    <a:ln>
                      <a:noFill/>
                    </a:ln>
                  </pic:spPr>
                </pic:pic>
              </a:graphicData>
            </a:graphic>
          </wp:inline>
        </w:drawing>
      </w:r>
    </w:p>
    <w:p/>
    <w:p/>
    <w:p>
      <w:pPr>
        <w:rPr>
          <w:rFonts w:hint="eastAsia"/>
          <w:lang w:eastAsia="zh-CN"/>
        </w:rPr>
      </w:pPr>
      <w:r>
        <w:rPr>
          <w:rFonts w:hint="eastAsia"/>
          <w:lang w:eastAsia="zh-CN"/>
        </w:rPr>
        <w:br w:type="page"/>
      </w:r>
    </w:p>
    <w:p>
      <w:pPr>
        <w:spacing w:line="600" w:lineRule="exact"/>
        <w:ind w:right="105" w:rightChars="50"/>
        <w:jc w:val="left"/>
        <w:rPr>
          <w:rFonts w:ascii="仿宋" w:hAnsi="仿宋" w:eastAsia="仿宋"/>
        </w:rPr>
      </w:pPr>
      <w:r>
        <w:rPr>
          <w:rFonts w:ascii="仿宋" w:hAnsi="仿宋" w:eastAsia="仿宋"/>
        </w:rPr>
        <w:drawing>
          <wp:anchor distT="0" distB="0" distL="114300" distR="114300" simplePos="0" relativeHeight="251660288" behindDoc="0" locked="0" layoutInCell="1" allowOverlap="1">
            <wp:simplePos x="0" y="0"/>
            <wp:positionH relativeFrom="margin">
              <wp:posOffset>-1295400</wp:posOffset>
            </wp:positionH>
            <wp:positionV relativeFrom="paragraph">
              <wp:posOffset>1271270</wp:posOffset>
            </wp:positionV>
            <wp:extent cx="7555865" cy="5346700"/>
            <wp:effectExtent l="0" t="0" r="6350" b="698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rot="16200000">
                      <a:off x="0" y="0"/>
                      <a:ext cx="7555865" cy="5346700"/>
                    </a:xfrm>
                    <a:prstGeom prst="rect">
                      <a:avLst/>
                    </a:prstGeom>
                    <a:noFill/>
                    <a:ln>
                      <a:noFill/>
                    </a:ln>
                  </pic:spPr>
                </pic:pic>
              </a:graphicData>
            </a:graphic>
          </wp:anchor>
        </w:drawing>
      </w: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hint="eastAsia" w:ascii="仿宋" w:hAnsi="仿宋" w:eastAsia="仿宋"/>
          <w:lang w:eastAsia="zh-CN"/>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r>
        <w:rPr>
          <w:rFonts w:hint="eastAsia" w:ascii="仿宋" w:hAnsi="仿宋" w:eastAsia="仿宋"/>
          <w:lang w:eastAsia="zh-CN"/>
        </w:rPr>
        <w:drawing>
          <wp:anchor distT="0" distB="0" distL="114300" distR="114300" simplePos="0" relativeHeight="251661312" behindDoc="1" locked="0" layoutInCell="1" allowOverlap="1">
            <wp:simplePos x="0" y="0"/>
            <wp:positionH relativeFrom="column">
              <wp:posOffset>85725</wp:posOffset>
            </wp:positionH>
            <wp:positionV relativeFrom="paragraph">
              <wp:posOffset>85725</wp:posOffset>
            </wp:positionV>
            <wp:extent cx="5250815" cy="7306945"/>
            <wp:effectExtent l="0" t="0" r="6985" b="8255"/>
            <wp:wrapThrough wrapText="bothSides">
              <wp:wrapPolygon>
                <wp:start x="21600" y="21600"/>
                <wp:lineTo x="21600" y="32"/>
                <wp:lineTo x="50" y="32"/>
                <wp:lineTo x="50" y="21600"/>
                <wp:lineTo x="21600" y="21600"/>
              </wp:wrapPolygon>
            </wp:wrapThrough>
            <wp:docPr id="1" name="图片 1" descr="021103722e6c6ed29a054d6e78fb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1103722e6c6ed29a054d6e78fb43c"/>
                    <pic:cNvPicPr>
                      <a:picLocks noChangeAspect="1"/>
                    </pic:cNvPicPr>
                  </pic:nvPicPr>
                  <pic:blipFill>
                    <a:blip r:embed="rId24"/>
                    <a:stretch>
                      <a:fillRect/>
                    </a:stretch>
                  </pic:blipFill>
                  <pic:spPr>
                    <a:xfrm rot="10800000">
                      <a:off x="0" y="0"/>
                      <a:ext cx="5250815" cy="7306945"/>
                    </a:xfrm>
                    <a:prstGeom prst="rect">
                      <a:avLst/>
                    </a:prstGeom>
                  </pic:spPr>
                </pic:pic>
              </a:graphicData>
            </a:graphic>
          </wp:anchor>
        </w:drawing>
      </w:r>
    </w:p>
    <w:p>
      <w:pPr>
        <w:spacing w:line="600" w:lineRule="exact"/>
        <w:ind w:right="105" w:rightChars="50"/>
        <w:jc w:val="left"/>
        <w:rPr>
          <w:rFonts w:ascii="仿宋" w:hAnsi="仿宋" w:eastAsia="仿宋"/>
        </w:rPr>
      </w:pPr>
    </w:p>
    <w:p>
      <w:pPr>
        <w:spacing w:line="600" w:lineRule="exact"/>
        <w:ind w:right="105" w:rightChars="50"/>
        <w:jc w:val="left"/>
        <w:rPr>
          <w:rFonts w:ascii="仿宋" w:hAnsi="仿宋" w:eastAsia="仿宋"/>
        </w:rPr>
      </w:pPr>
      <w:r>
        <w:drawing>
          <wp:anchor distT="0" distB="0" distL="114935" distR="114935" simplePos="0" relativeHeight="251663360" behindDoc="1" locked="0" layoutInCell="1" allowOverlap="1">
            <wp:simplePos x="0" y="0"/>
            <wp:positionH relativeFrom="column">
              <wp:posOffset>200025</wp:posOffset>
            </wp:positionH>
            <wp:positionV relativeFrom="paragraph">
              <wp:posOffset>4143375</wp:posOffset>
            </wp:positionV>
            <wp:extent cx="5116195" cy="3647440"/>
            <wp:effectExtent l="0" t="0" r="8255" b="10160"/>
            <wp:wrapThrough wrapText="bothSides">
              <wp:wrapPolygon>
                <wp:start x="0" y="0"/>
                <wp:lineTo x="0" y="21435"/>
                <wp:lineTo x="21554" y="21435"/>
                <wp:lineTo x="21554" y="0"/>
                <wp:lineTo x="0" y="0"/>
              </wp:wrapPolygon>
            </wp:wrapThrough>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5116195" cy="3647440"/>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190500</wp:posOffset>
            </wp:positionH>
            <wp:positionV relativeFrom="paragraph">
              <wp:posOffset>138430</wp:posOffset>
            </wp:positionV>
            <wp:extent cx="5114290" cy="3709670"/>
            <wp:effectExtent l="0" t="0" r="10160" b="5080"/>
            <wp:wrapTight wrapText="bothSides">
              <wp:wrapPolygon>
                <wp:start x="0" y="0"/>
                <wp:lineTo x="0" y="21519"/>
                <wp:lineTo x="21482" y="21519"/>
                <wp:lineTo x="21482"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114290" cy="3709670"/>
                    </a:xfrm>
                    <a:prstGeom prst="rect">
                      <a:avLst/>
                    </a:prstGeom>
                    <a:noFill/>
                    <a:ln>
                      <a:noFill/>
                    </a:ln>
                  </pic:spPr>
                </pic:pic>
              </a:graphicData>
            </a:graphic>
          </wp:anchor>
        </w:drawing>
      </w:r>
    </w:p>
    <w:p>
      <w:pPr>
        <w:spacing w:line="600" w:lineRule="exact"/>
        <w:ind w:right="105" w:rightChars="50"/>
        <w:jc w:val="left"/>
        <w:rPr>
          <w:rFonts w:ascii="仿宋" w:hAnsi="仿宋" w:eastAsia="仿宋"/>
          <w:color w:val="000000" w:themeColor="text1"/>
        </w:rPr>
      </w:pPr>
    </w:p>
    <w:p>
      <w:pPr>
        <w:rPr>
          <w:rFonts w:hint="eastAsia"/>
          <w:lang w:eastAsia="zh-CN"/>
        </w:rPr>
      </w:pPr>
    </w:p>
    <w:sectPr>
      <w:pgSz w:w="11906" w:h="16838"/>
      <w:pgMar w:top="1440" w:right="1800" w:bottom="1440" w:left="180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仿宋" w:hAnsi="仿宋" w:eastAsia="仿宋"/>
      </w:rPr>
    </w:pPr>
    <w:r>
      <w:rPr>
        <w:rFonts w:ascii="仿宋" w:hAnsi="仿宋" w:eastAsia="仿宋"/>
      </w:rPr>
      <w:fldChar w:fldCharType="begin"/>
    </w:r>
    <w:r>
      <w:rPr>
        <w:rStyle w:val="31"/>
        <w:rFonts w:ascii="仿宋" w:hAnsi="仿宋" w:eastAsia="仿宋"/>
      </w:rPr>
      <w:instrText xml:space="preserve"> PAGE </w:instrText>
    </w:r>
    <w:r>
      <w:rPr>
        <w:rFonts w:ascii="仿宋" w:hAnsi="仿宋" w:eastAsia="仿宋"/>
      </w:rPr>
      <w:fldChar w:fldCharType="separate"/>
    </w:r>
    <w:r>
      <w:rPr>
        <w:rStyle w:val="31"/>
        <w:rFonts w:ascii="仿宋" w:hAnsi="仿宋" w:eastAsia="仿宋"/>
      </w:rPr>
      <w:t>2</w:t>
    </w:r>
    <w:r>
      <w:rPr>
        <w:rFonts w:ascii="仿宋" w:hAnsi="仿宋" w:eastAsia="仿宋"/>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仿宋" w:hAnsi="仿宋" w:eastAsia="仿宋"/>
      </w:rPr>
    </w:pPr>
    <w:r>
      <w:rPr>
        <w:rFonts w:hint="eastAsia" w:ascii="仿宋" w:hAnsi="仿宋" w:eastAsia="仿宋"/>
      </w:rPr>
      <w:t>山东贵恒信土地房地产资产评估测绘有限公司0531-87921930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WRjMjNmYThiMWEyOWZmNzg0MWYwNzBkN2QzMzVkYjQifQ=="/>
  </w:docVars>
  <w:rsids>
    <w:rsidRoot w:val="00172A27"/>
    <w:rsid w:val="00000178"/>
    <w:rsid w:val="00000238"/>
    <w:rsid w:val="00000558"/>
    <w:rsid w:val="0000065A"/>
    <w:rsid w:val="00000E45"/>
    <w:rsid w:val="00001501"/>
    <w:rsid w:val="0000172D"/>
    <w:rsid w:val="0000257C"/>
    <w:rsid w:val="000025B4"/>
    <w:rsid w:val="00002961"/>
    <w:rsid w:val="00002A5C"/>
    <w:rsid w:val="00002C10"/>
    <w:rsid w:val="00003161"/>
    <w:rsid w:val="00003338"/>
    <w:rsid w:val="00004B5A"/>
    <w:rsid w:val="00004B8F"/>
    <w:rsid w:val="00005075"/>
    <w:rsid w:val="00007079"/>
    <w:rsid w:val="00007E01"/>
    <w:rsid w:val="0001006C"/>
    <w:rsid w:val="000118C6"/>
    <w:rsid w:val="00012094"/>
    <w:rsid w:val="000120E1"/>
    <w:rsid w:val="00012299"/>
    <w:rsid w:val="0001240F"/>
    <w:rsid w:val="00012B46"/>
    <w:rsid w:val="000133C6"/>
    <w:rsid w:val="000135FF"/>
    <w:rsid w:val="00013AE0"/>
    <w:rsid w:val="00013D4E"/>
    <w:rsid w:val="00013E7F"/>
    <w:rsid w:val="00014D7D"/>
    <w:rsid w:val="00015C97"/>
    <w:rsid w:val="00016E94"/>
    <w:rsid w:val="00017744"/>
    <w:rsid w:val="000179CE"/>
    <w:rsid w:val="00017C14"/>
    <w:rsid w:val="00020A98"/>
    <w:rsid w:val="000213E6"/>
    <w:rsid w:val="00022DDD"/>
    <w:rsid w:val="00023776"/>
    <w:rsid w:val="00024419"/>
    <w:rsid w:val="00024D44"/>
    <w:rsid w:val="000255D2"/>
    <w:rsid w:val="00026401"/>
    <w:rsid w:val="00030665"/>
    <w:rsid w:val="000308FB"/>
    <w:rsid w:val="0003095C"/>
    <w:rsid w:val="000313F1"/>
    <w:rsid w:val="00031AEF"/>
    <w:rsid w:val="00032033"/>
    <w:rsid w:val="00033A05"/>
    <w:rsid w:val="00033D47"/>
    <w:rsid w:val="00034472"/>
    <w:rsid w:val="000344FC"/>
    <w:rsid w:val="00034DFD"/>
    <w:rsid w:val="00034E71"/>
    <w:rsid w:val="000356FD"/>
    <w:rsid w:val="000368FD"/>
    <w:rsid w:val="00036989"/>
    <w:rsid w:val="00036D16"/>
    <w:rsid w:val="000376BD"/>
    <w:rsid w:val="00037DA1"/>
    <w:rsid w:val="000416EE"/>
    <w:rsid w:val="0004176F"/>
    <w:rsid w:val="00041B9A"/>
    <w:rsid w:val="0004276B"/>
    <w:rsid w:val="000431D9"/>
    <w:rsid w:val="00043708"/>
    <w:rsid w:val="000440A7"/>
    <w:rsid w:val="00044E37"/>
    <w:rsid w:val="0004659B"/>
    <w:rsid w:val="00046C6F"/>
    <w:rsid w:val="0004703A"/>
    <w:rsid w:val="00047127"/>
    <w:rsid w:val="00047AF4"/>
    <w:rsid w:val="00047B6E"/>
    <w:rsid w:val="00051017"/>
    <w:rsid w:val="00051415"/>
    <w:rsid w:val="00052AD0"/>
    <w:rsid w:val="0005306A"/>
    <w:rsid w:val="00053141"/>
    <w:rsid w:val="00054446"/>
    <w:rsid w:val="00054A2E"/>
    <w:rsid w:val="00055B5D"/>
    <w:rsid w:val="00055D94"/>
    <w:rsid w:val="00055D9B"/>
    <w:rsid w:val="00055DB3"/>
    <w:rsid w:val="00056CAD"/>
    <w:rsid w:val="00056E36"/>
    <w:rsid w:val="00057539"/>
    <w:rsid w:val="00057ED3"/>
    <w:rsid w:val="00057FF7"/>
    <w:rsid w:val="00060D47"/>
    <w:rsid w:val="00061525"/>
    <w:rsid w:val="00061BEB"/>
    <w:rsid w:val="00062E5E"/>
    <w:rsid w:val="000643C0"/>
    <w:rsid w:val="0006470C"/>
    <w:rsid w:val="0006523C"/>
    <w:rsid w:val="0006655A"/>
    <w:rsid w:val="000665E6"/>
    <w:rsid w:val="00066C15"/>
    <w:rsid w:val="00066DCF"/>
    <w:rsid w:val="00067565"/>
    <w:rsid w:val="000676CA"/>
    <w:rsid w:val="0006788C"/>
    <w:rsid w:val="00067995"/>
    <w:rsid w:val="00067CE7"/>
    <w:rsid w:val="00067DEB"/>
    <w:rsid w:val="00067FAD"/>
    <w:rsid w:val="00070147"/>
    <w:rsid w:val="0007023B"/>
    <w:rsid w:val="00071904"/>
    <w:rsid w:val="00071989"/>
    <w:rsid w:val="00073033"/>
    <w:rsid w:val="000733A7"/>
    <w:rsid w:val="00073C99"/>
    <w:rsid w:val="00074697"/>
    <w:rsid w:val="00075193"/>
    <w:rsid w:val="000755C3"/>
    <w:rsid w:val="00076F06"/>
    <w:rsid w:val="00077120"/>
    <w:rsid w:val="000771FD"/>
    <w:rsid w:val="00077209"/>
    <w:rsid w:val="00077CD3"/>
    <w:rsid w:val="00077DB9"/>
    <w:rsid w:val="00081105"/>
    <w:rsid w:val="00082255"/>
    <w:rsid w:val="000826EC"/>
    <w:rsid w:val="00082C9D"/>
    <w:rsid w:val="000832DF"/>
    <w:rsid w:val="000839E0"/>
    <w:rsid w:val="000841BA"/>
    <w:rsid w:val="0008472E"/>
    <w:rsid w:val="0008474F"/>
    <w:rsid w:val="00084753"/>
    <w:rsid w:val="0008490D"/>
    <w:rsid w:val="000849E5"/>
    <w:rsid w:val="00084F6B"/>
    <w:rsid w:val="00085E46"/>
    <w:rsid w:val="00085ED5"/>
    <w:rsid w:val="0008698E"/>
    <w:rsid w:val="000869AF"/>
    <w:rsid w:val="000879B2"/>
    <w:rsid w:val="000879C6"/>
    <w:rsid w:val="00090AC3"/>
    <w:rsid w:val="00091C64"/>
    <w:rsid w:val="00091ECA"/>
    <w:rsid w:val="000923A8"/>
    <w:rsid w:val="00092CD0"/>
    <w:rsid w:val="00093791"/>
    <w:rsid w:val="0009426B"/>
    <w:rsid w:val="00094577"/>
    <w:rsid w:val="0009494C"/>
    <w:rsid w:val="000951EF"/>
    <w:rsid w:val="0009563A"/>
    <w:rsid w:val="00096454"/>
    <w:rsid w:val="0009691F"/>
    <w:rsid w:val="00097A1E"/>
    <w:rsid w:val="00097D4B"/>
    <w:rsid w:val="000A00EA"/>
    <w:rsid w:val="000A09B1"/>
    <w:rsid w:val="000A0EF7"/>
    <w:rsid w:val="000A1098"/>
    <w:rsid w:val="000A11AE"/>
    <w:rsid w:val="000A380A"/>
    <w:rsid w:val="000A3C84"/>
    <w:rsid w:val="000A3D82"/>
    <w:rsid w:val="000A4890"/>
    <w:rsid w:val="000A5A5A"/>
    <w:rsid w:val="000A5EFB"/>
    <w:rsid w:val="000A6784"/>
    <w:rsid w:val="000A7FC7"/>
    <w:rsid w:val="000B0108"/>
    <w:rsid w:val="000B010A"/>
    <w:rsid w:val="000B0795"/>
    <w:rsid w:val="000B0809"/>
    <w:rsid w:val="000B0F5C"/>
    <w:rsid w:val="000B0F7C"/>
    <w:rsid w:val="000B2530"/>
    <w:rsid w:val="000B25C6"/>
    <w:rsid w:val="000B3183"/>
    <w:rsid w:val="000B4056"/>
    <w:rsid w:val="000B4933"/>
    <w:rsid w:val="000B4B4A"/>
    <w:rsid w:val="000B50AA"/>
    <w:rsid w:val="000B51DB"/>
    <w:rsid w:val="000B53E8"/>
    <w:rsid w:val="000B5FAD"/>
    <w:rsid w:val="000B61B5"/>
    <w:rsid w:val="000B6664"/>
    <w:rsid w:val="000C09A2"/>
    <w:rsid w:val="000C199A"/>
    <w:rsid w:val="000C2733"/>
    <w:rsid w:val="000C2DCE"/>
    <w:rsid w:val="000C3580"/>
    <w:rsid w:val="000C3990"/>
    <w:rsid w:val="000C3B46"/>
    <w:rsid w:val="000C3D8C"/>
    <w:rsid w:val="000C4150"/>
    <w:rsid w:val="000C551B"/>
    <w:rsid w:val="000C5946"/>
    <w:rsid w:val="000C5C9C"/>
    <w:rsid w:val="000C5EBF"/>
    <w:rsid w:val="000C7116"/>
    <w:rsid w:val="000C7776"/>
    <w:rsid w:val="000C787C"/>
    <w:rsid w:val="000D0133"/>
    <w:rsid w:val="000D041C"/>
    <w:rsid w:val="000D1427"/>
    <w:rsid w:val="000D1A06"/>
    <w:rsid w:val="000D36F0"/>
    <w:rsid w:val="000D3E59"/>
    <w:rsid w:val="000D4127"/>
    <w:rsid w:val="000D453E"/>
    <w:rsid w:val="000D49CB"/>
    <w:rsid w:val="000D5744"/>
    <w:rsid w:val="000D5E12"/>
    <w:rsid w:val="000D6EAA"/>
    <w:rsid w:val="000D71A1"/>
    <w:rsid w:val="000D7746"/>
    <w:rsid w:val="000E04EB"/>
    <w:rsid w:val="000E079E"/>
    <w:rsid w:val="000E1037"/>
    <w:rsid w:val="000E1B2A"/>
    <w:rsid w:val="000E28E9"/>
    <w:rsid w:val="000E2DA2"/>
    <w:rsid w:val="000E3235"/>
    <w:rsid w:val="000E32F7"/>
    <w:rsid w:val="000E3872"/>
    <w:rsid w:val="000E3886"/>
    <w:rsid w:val="000E426D"/>
    <w:rsid w:val="000E4F1B"/>
    <w:rsid w:val="000E5469"/>
    <w:rsid w:val="000E5CB1"/>
    <w:rsid w:val="000E64B0"/>
    <w:rsid w:val="000E67E2"/>
    <w:rsid w:val="000E781D"/>
    <w:rsid w:val="000E7ADB"/>
    <w:rsid w:val="000E7E4B"/>
    <w:rsid w:val="000F0296"/>
    <w:rsid w:val="000F04F6"/>
    <w:rsid w:val="000F083E"/>
    <w:rsid w:val="000F0848"/>
    <w:rsid w:val="000F0ADD"/>
    <w:rsid w:val="000F0F59"/>
    <w:rsid w:val="000F1DED"/>
    <w:rsid w:val="000F314C"/>
    <w:rsid w:val="000F3B2F"/>
    <w:rsid w:val="000F44DF"/>
    <w:rsid w:val="000F4DF5"/>
    <w:rsid w:val="000F51FA"/>
    <w:rsid w:val="000F5F69"/>
    <w:rsid w:val="000F6648"/>
    <w:rsid w:val="0010079A"/>
    <w:rsid w:val="00100E02"/>
    <w:rsid w:val="001017DB"/>
    <w:rsid w:val="0010189F"/>
    <w:rsid w:val="001018DA"/>
    <w:rsid w:val="00101D4F"/>
    <w:rsid w:val="001023B6"/>
    <w:rsid w:val="0010280D"/>
    <w:rsid w:val="001041EC"/>
    <w:rsid w:val="00104B1D"/>
    <w:rsid w:val="0010554D"/>
    <w:rsid w:val="001057AA"/>
    <w:rsid w:val="00105AE8"/>
    <w:rsid w:val="00106013"/>
    <w:rsid w:val="00106054"/>
    <w:rsid w:val="0010632A"/>
    <w:rsid w:val="0010637B"/>
    <w:rsid w:val="0010644B"/>
    <w:rsid w:val="00106492"/>
    <w:rsid w:val="00106E32"/>
    <w:rsid w:val="0011073F"/>
    <w:rsid w:val="00110A9E"/>
    <w:rsid w:val="00110B1B"/>
    <w:rsid w:val="001117E0"/>
    <w:rsid w:val="00111A49"/>
    <w:rsid w:val="001122E0"/>
    <w:rsid w:val="0011354F"/>
    <w:rsid w:val="001145D0"/>
    <w:rsid w:val="00115398"/>
    <w:rsid w:val="001165A9"/>
    <w:rsid w:val="00116E81"/>
    <w:rsid w:val="00117888"/>
    <w:rsid w:val="0011798F"/>
    <w:rsid w:val="0012026F"/>
    <w:rsid w:val="001212F1"/>
    <w:rsid w:val="00122097"/>
    <w:rsid w:val="0012297D"/>
    <w:rsid w:val="00122DC0"/>
    <w:rsid w:val="001235E0"/>
    <w:rsid w:val="00123EA9"/>
    <w:rsid w:val="00124163"/>
    <w:rsid w:val="0012455B"/>
    <w:rsid w:val="00124AB3"/>
    <w:rsid w:val="00124E0B"/>
    <w:rsid w:val="00125083"/>
    <w:rsid w:val="00126A48"/>
    <w:rsid w:val="0012796A"/>
    <w:rsid w:val="00127A1A"/>
    <w:rsid w:val="00127B30"/>
    <w:rsid w:val="001300EB"/>
    <w:rsid w:val="00130B93"/>
    <w:rsid w:val="00131504"/>
    <w:rsid w:val="00132463"/>
    <w:rsid w:val="00132650"/>
    <w:rsid w:val="001326C5"/>
    <w:rsid w:val="00133461"/>
    <w:rsid w:val="0013350E"/>
    <w:rsid w:val="00133539"/>
    <w:rsid w:val="001341F0"/>
    <w:rsid w:val="0013421C"/>
    <w:rsid w:val="00135131"/>
    <w:rsid w:val="001355F1"/>
    <w:rsid w:val="00135A75"/>
    <w:rsid w:val="001361A0"/>
    <w:rsid w:val="00137B42"/>
    <w:rsid w:val="001401C7"/>
    <w:rsid w:val="0014039B"/>
    <w:rsid w:val="001409A8"/>
    <w:rsid w:val="00140F50"/>
    <w:rsid w:val="00141402"/>
    <w:rsid w:val="0014238C"/>
    <w:rsid w:val="001423A8"/>
    <w:rsid w:val="00142CC6"/>
    <w:rsid w:val="00143F39"/>
    <w:rsid w:val="00144078"/>
    <w:rsid w:val="00144A0A"/>
    <w:rsid w:val="00144C98"/>
    <w:rsid w:val="00144FE5"/>
    <w:rsid w:val="001450E0"/>
    <w:rsid w:val="001456C5"/>
    <w:rsid w:val="00145D7F"/>
    <w:rsid w:val="0014630F"/>
    <w:rsid w:val="001468BF"/>
    <w:rsid w:val="00147CB5"/>
    <w:rsid w:val="00150A07"/>
    <w:rsid w:val="00151D4C"/>
    <w:rsid w:val="001525B3"/>
    <w:rsid w:val="00152828"/>
    <w:rsid w:val="00153968"/>
    <w:rsid w:val="00153D0F"/>
    <w:rsid w:val="0015412F"/>
    <w:rsid w:val="001554CD"/>
    <w:rsid w:val="001566EF"/>
    <w:rsid w:val="00156B06"/>
    <w:rsid w:val="00156E8A"/>
    <w:rsid w:val="0015788D"/>
    <w:rsid w:val="0016033A"/>
    <w:rsid w:val="001617FB"/>
    <w:rsid w:val="001626B8"/>
    <w:rsid w:val="001630A1"/>
    <w:rsid w:val="00163152"/>
    <w:rsid w:val="0016463F"/>
    <w:rsid w:val="00164F36"/>
    <w:rsid w:val="001674D0"/>
    <w:rsid w:val="00167AD5"/>
    <w:rsid w:val="00167B69"/>
    <w:rsid w:val="00167DBA"/>
    <w:rsid w:val="001700AB"/>
    <w:rsid w:val="00171003"/>
    <w:rsid w:val="001726F8"/>
    <w:rsid w:val="00172A27"/>
    <w:rsid w:val="00172ED7"/>
    <w:rsid w:val="00173F0B"/>
    <w:rsid w:val="0017428E"/>
    <w:rsid w:val="001769D5"/>
    <w:rsid w:val="00176BFC"/>
    <w:rsid w:val="00177ED7"/>
    <w:rsid w:val="00180FD8"/>
    <w:rsid w:val="0018216A"/>
    <w:rsid w:val="00182248"/>
    <w:rsid w:val="00182A1D"/>
    <w:rsid w:val="00182DDB"/>
    <w:rsid w:val="00183C1C"/>
    <w:rsid w:val="0018460E"/>
    <w:rsid w:val="00184F3B"/>
    <w:rsid w:val="0018506E"/>
    <w:rsid w:val="00185500"/>
    <w:rsid w:val="00185541"/>
    <w:rsid w:val="0018659F"/>
    <w:rsid w:val="00186CDE"/>
    <w:rsid w:val="00186E0A"/>
    <w:rsid w:val="00187846"/>
    <w:rsid w:val="00187DD0"/>
    <w:rsid w:val="0019015D"/>
    <w:rsid w:val="001901C0"/>
    <w:rsid w:val="00190C54"/>
    <w:rsid w:val="00190D91"/>
    <w:rsid w:val="0019260B"/>
    <w:rsid w:val="00192663"/>
    <w:rsid w:val="00192977"/>
    <w:rsid w:val="00192FD1"/>
    <w:rsid w:val="00193400"/>
    <w:rsid w:val="00193B51"/>
    <w:rsid w:val="001951B3"/>
    <w:rsid w:val="00195465"/>
    <w:rsid w:val="00196592"/>
    <w:rsid w:val="00196943"/>
    <w:rsid w:val="00196EE8"/>
    <w:rsid w:val="00197BC0"/>
    <w:rsid w:val="001A0249"/>
    <w:rsid w:val="001A1594"/>
    <w:rsid w:val="001A309E"/>
    <w:rsid w:val="001A33D7"/>
    <w:rsid w:val="001A3EF1"/>
    <w:rsid w:val="001A3F2B"/>
    <w:rsid w:val="001A3F86"/>
    <w:rsid w:val="001A4231"/>
    <w:rsid w:val="001A42DA"/>
    <w:rsid w:val="001A4621"/>
    <w:rsid w:val="001A4C3D"/>
    <w:rsid w:val="001A53B7"/>
    <w:rsid w:val="001A5C98"/>
    <w:rsid w:val="001A6AE9"/>
    <w:rsid w:val="001A6F46"/>
    <w:rsid w:val="001A71C7"/>
    <w:rsid w:val="001A7604"/>
    <w:rsid w:val="001B0AF4"/>
    <w:rsid w:val="001B0B3B"/>
    <w:rsid w:val="001B108A"/>
    <w:rsid w:val="001B12CD"/>
    <w:rsid w:val="001B13F3"/>
    <w:rsid w:val="001B16BA"/>
    <w:rsid w:val="001B1788"/>
    <w:rsid w:val="001B21CD"/>
    <w:rsid w:val="001B2E96"/>
    <w:rsid w:val="001B3FBA"/>
    <w:rsid w:val="001B425C"/>
    <w:rsid w:val="001B4F74"/>
    <w:rsid w:val="001B5169"/>
    <w:rsid w:val="001B52C2"/>
    <w:rsid w:val="001B5403"/>
    <w:rsid w:val="001B5A1B"/>
    <w:rsid w:val="001B5B5D"/>
    <w:rsid w:val="001B5F99"/>
    <w:rsid w:val="001B7153"/>
    <w:rsid w:val="001B796C"/>
    <w:rsid w:val="001B7C94"/>
    <w:rsid w:val="001C0062"/>
    <w:rsid w:val="001C355F"/>
    <w:rsid w:val="001C3977"/>
    <w:rsid w:val="001C4212"/>
    <w:rsid w:val="001C494F"/>
    <w:rsid w:val="001C4C3A"/>
    <w:rsid w:val="001C4CFB"/>
    <w:rsid w:val="001C4EAB"/>
    <w:rsid w:val="001C5D03"/>
    <w:rsid w:val="001C6287"/>
    <w:rsid w:val="001C6BD2"/>
    <w:rsid w:val="001C6C51"/>
    <w:rsid w:val="001C72B4"/>
    <w:rsid w:val="001C7517"/>
    <w:rsid w:val="001C7B63"/>
    <w:rsid w:val="001D0530"/>
    <w:rsid w:val="001D066E"/>
    <w:rsid w:val="001D11FE"/>
    <w:rsid w:val="001D2728"/>
    <w:rsid w:val="001D279D"/>
    <w:rsid w:val="001D37F0"/>
    <w:rsid w:val="001D3B51"/>
    <w:rsid w:val="001D418B"/>
    <w:rsid w:val="001D51F7"/>
    <w:rsid w:val="001D57ED"/>
    <w:rsid w:val="001D61D0"/>
    <w:rsid w:val="001D621B"/>
    <w:rsid w:val="001D6634"/>
    <w:rsid w:val="001D6C46"/>
    <w:rsid w:val="001D7099"/>
    <w:rsid w:val="001D74D5"/>
    <w:rsid w:val="001E0748"/>
    <w:rsid w:val="001E1228"/>
    <w:rsid w:val="001E1305"/>
    <w:rsid w:val="001E1387"/>
    <w:rsid w:val="001E3DE2"/>
    <w:rsid w:val="001E4456"/>
    <w:rsid w:val="001E4662"/>
    <w:rsid w:val="001E4E22"/>
    <w:rsid w:val="001E6543"/>
    <w:rsid w:val="001E74FC"/>
    <w:rsid w:val="001E7557"/>
    <w:rsid w:val="001E7FA8"/>
    <w:rsid w:val="001F0221"/>
    <w:rsid w:val="001F04EC"/>
    <w:rsid w:val="001F0824"/>
    <w:rsid w:val="001F0DD5"/>
    <w:rsid w:val="001F35FA"/>
    <w:rsid w:val="001F423E"/>
    <w:rsid w:val="001F53DE"/>
    <w:rsid w:val="001F558E"/>
    <w:rsid w:val="001F56D2"/>
    <w:rsid w:val="001F5DE6"/>
    <w:rsid w:val="001F6B3B"/>
    <w:rsid w:val="001F7570"/>
    <w:rsid w:val="001F7B33"/>
    <w:rsid w:val="0020065D"/>
    <w:rsid w:val="002019EC"/>
    <w:rsid w:val="00201C4F"/>
    <w:rsid w:val="0020241B"/>
    <w:rsid w:val="00203982"/>
    <w:rsid w:val="00203BE5"/>
    <w:rsid w:val="002043B3"/>
    <w:rsid w:val="0020509D"/>
    <w:rsid w:val="00205990"/>
    <w:rsid w:val="00206D94"/>
    <w:rsid w:val="00210E70"/>
    <w:rsid w:val="00212406"/>
    <w:rsid w:val="00213A3F"/>
    <w:rsid w:val="00213C9D"/>
    <w:rsid w:val="00214249"/>
    <w:rsid w:val="002144EC"/>
    <w:rsid w:val="00214971"/>
    <w:rsid w:val="00215AFB"/>
    <w:rsid w:val="00215FAE"/>
    <w:rsid w:val="00217A5D"/>
    <w:rsid w:val="00217AFF"/>
    <w:rsid w:val="00220379"/>
    <w:rsid w:val="00220D81"/>
    <w:rsid w:val="00221F68"/>
    <w:rsid w:val="00222374"/>
    <w:rsid w:val="00222F36"/>
    <w:rsid w:val="00223E0D"/>
    <w:rsid w:val="00224CDF"/>
    <w:rsid w:val="00225236"/>
    <w:rsid w:val="002258CB"/>
    <w:rsid w:val="00226301"/>
    <w:rsid w:val="002265B1"/>
    <w:rsid w:val="00227355"/>
    <w:rsid w:val="00227458"/>
    <w:rsid w:val="002319A2"/>
    <w:rsid w:val="00231BCF"/>
    <w:rsid w:val="002323EB"/>
    <w:rsid w:val="0023267A"/>
    <w:rsid w:val="0023268A"/>
    <w:rsid w:val="00232F7D"/>
    <w:rsid w:val="0023319E"/>
    <w:rsid w:val="0023333F"/>
    <w:rsid w:val="00233761"/>
    <w:rsid w:val="002338A9"/>
    <w:rsid w:val="00233F32"/>
    <w:rsid w:val="0023479C"/>
    <w:rsid w:val="002352A0"/>
    <w:rsid w:val="00235A45"/>
    <w:rsid w:val="00235FDA"/>
    <w:rsid w:val="00236B85"/>
    <w:rsid w:val="0023747A"/>
    <w:rsid w:val="00240FD8"/>
    <w:rsid w:val="002410BE"/>
    <w:rsid w:val="00241435"/>
    <w:rsid w:val="0024230F"/>
    <w:rsid w:val="0024319B"/>
    <w:rsid w:val="002436EE"/>
    <w:rsid w:val="002441F7"/>
    <w:rsid w:val="00244B26"/>
    <w:rsid w:val="00245782"/>
    <w:rsid w:val="00245A5D"/>
    <w:rsid w:val="00246474"/>
    <w:rsid w:val="00246C27"/>
    <w:rsid w:val="002477AA"/>
    <w:rsid w:val="002478C7"/>
    <w:rsid w:val="00247B33"/>
    <w:rsid w:val="0025028C"/>
    <w:rsid w:val="00250415"/>
    <w:rsid w:val="0025069F"/>
    <w:rsid w:val="002514B9"/>
    <w:rsid w:val="00251A8C"/>
    <w:rsid w:val="00251DD5"/>
    <w:rsid w:val="0025301E"/>
    <w:rsid w:val="00253F31"/>
    <w:rsid w:val="00254364"/>
    <w:rsid w:val="0025498E"/>
    <w:rsid w:val="00254C37"/>
    <w:rsid w:val="00255073"/>
    <w:rsid w:val="0025508A"/>
    <w:rsid w:val="00255434"/>
    <w:rsid w:val="002554B5"/>
    <w:rsid w:val="00255928"/>
    <w:rsid w:val="00256CCE"/>
    <w:rsid w:val="002571BE"/>
    <w:rsid w:val="00257670"/>
    <w:rsid w:val="00257C03"/>
    <w:rsid w:val="0026067B"/>
    <w:rsid w:val="00260CD9"/>
    <w:rsid w:val="00260D84"/>
    <w:rsid w:val="002610FF"/>
    <w:rsid w:val="002615A7"/>
    <w:rsid w:val="00261DE6"/>
    <w:rsid w:val="002639AB"/>
    <w:rsid w:val="00264C10"/>
    <w:rsid w:val="00265740"/>
    <w:rsid w:val="00265FD5"/>
    <w:rsid w:val="00267610"/>
    <w:rsid w:val="00270721"/>
    <w:rsid w:val="00270FAC"/>
    <w:rsid w:val="00271232"/>
    <w:rsid w:val="00271A4F"/>
    <w:rsid w:val="00273732"/>
    <w:rsid w:val="00273840"/>
    <w:rsid w:val="002742FE"/>
    <w:rsid w:val="002744F7"/>
    <w:rsid w:val="00274798"/>
    <w:rsid w:val="002749A0"/>
    <w:rsid w:val="00274F9E"/>
    <w:rsid w:val="00275F47"/>
    <w:rsid w:val="00277D5B"/>
    <w:rsid w:val="00280978"/>
    <w:rsid w:val="00282F92"/>
    <w:rsid w:val="002830C7"/>
    <w:rsid w:val="002840C5"/>
    <w:rsid w:val="00284A94"/>
    <w:rsid w:val="00284C1F"/>
    <w:rsid w:val="00285CFE"/>
    <w:rsid w:val="002867A7"/>
    <w:rsid w:val="002868FB"/>
    <w:rsid w:val="00287541"/>
    <w:rsid w:val="002876CA"/>
    <w:rsid w:val="00287A24"/>
    <w:rsid w:val="00287B6F"/>
    <w:rsid w:val="00290D87"/>
    <w:rsid w:val="00291627"/>
    <w:rsid w:val="00291A76"/>
    <w:rsid w:val="0029235C"/>
    <w:rsid w:val="0029346C"/>
    <w:rsid w:val="0029389D"/>
    <w:rsid w:val="00294889"/>
    <w:rsid w:val="00294F4E"/>
    <w:rsid w:val="00294FD4"/>
    <w:rsid w:val="002959AF"/>
    <w:rsid w:val="00295C5D"/>
    <w:rsid w:val="002960E6"/>
    <w:rsid w:val="00296D87"/>
    <w:rsid w:val="0029735A"/>
    <w:rsid w:val="00297464"/>
    <w:rsid w:val="002974AF"/>
    <w:rsid w:val="002A0659"/>
    <w:rsid w:val="002A13EE"/>
    <w:rsid w:val="002A17E1"/>
    <w:rsid w:val="002A1B28"/>
    <w:rsid w:val="002A3016"/>
    <w:rsid w:val="002A3026"/>
    <w:rsid w:val="002A3096"/>
    <w:rsid w:val="002A3113"/>
    <w:rsid w:val="002A36AD"/>
    <w:rsid w:val="002A452D"/>
    <w:rsid w:val="002A4918"/>
    <w:rsid w:val="002A6FA1"/>
    <w:rsid w:val="002A734E"/>
    <w:rsid w:val="002B013A"/>
    <w:rsid w:val="002B0906"/>
    <w:rsid w:val="002B16F3"/>
    <w:rsid w:val="002B3BA6"/>
    <w:rsid w:val="002B4817"/>
    <w:rsid w:val="002B4EE3"/>
    <w:rsid w:val="002B510B"/>
    <w:rsid w:val="002B55ED"/>
    <w:rsid w:val="002B59D9"/>
    <w:rsid w:val="002B5ABA"/>
    <w:rsid w:val="002B632F"/>
    <w:rsid w:val="002B6882"/>
    <w:rsid w:val="002B6991"/>
    <w:rsid w:val="002C00C1"/>
    <w:rsid w:val="002C03D4"/>
    <w:rsid w:val="002C0CF4"/>
    <w:rsid w:val="002C130B"/>
    <w:rsid w:val="002C15D8"/>
    <w:rsid w:val="002C1917"/>
    <w:rsid w:val="002C197A"/>
    <w:rsid w:val="002C1C22"/>
    <w:rsid w:val="002C24C0"/>
    <w:rsid w:val="002C3433"/>
    <w:rsid w:val="002C3A01"/>
    <w:rsid w:val="002C3E7A"/>
    <w:rsid w:val="002C3F7A"/>
    <w:rsid w:val="002C42D7"/>
    <w:rsid w:val="002C5275"/>
    <w:rsid w:val="002C53BF"/>
    <w:rsid w:val="002C61A8"/>
    <w:rsid w:val="002C6291"/>
    <w:rsid w:val="002C6F9D"/>
    <w:rsid w:val="002C79A5"/>
    <w:rsid w:val="002D1246"/>
    <w:rsid w:val="002D1368"/>
    <w:rsid w:val="002D17D7"/>
    <w:rsid w:val="002D1A70"/>
    <w:rsid w:val="002D2614"/>
    <w:rsid w:val="002D27F6"/>
    <w:rsid w:val="002D45B3"/>
    <w:rsid w:val="002D46F7"/>
    <w:rsid w:val="002D677B"/>
    <w:rsid w:val="002D6A80"/>
    <w:rsid w:val="002D6F95"/>
    <w:rsid w:val="002D72AD"/>
    <w:rsid w:val="002D74B5"/>
    <w:rsid w:val="002E1934"/>
    <w:rsid w:val="002E3049"/>
    <w:rsid w:val="002E3472"/>
    <w:rsid w:val="002E3E78"/>
    <w:rsid w:val="002E4600"/>
    <w:rsid w:val="002E4890"/>
    <w:rsid w:val="002E491B"/>
    <w:rsid w:val="002E4A33"/>
    <w:rsid w:val="002E5AB8"/>
    <w:rsid w:val="002E69E9"/>
    <w:rsid w:val="002E7491"/>
    <w:rsid w:val="002E7B9F"/>
    <w:rsid w:val="002F09C6"/>
    <w:rsid w:val="002F0CD0"/>
    <w:rsid w:val="002F0FD0"/>
    <w:rsid w:val="002F2126"/>
    <w:rsid w:val="002F2189"/>
    <w:rsid w:val="002F2C59"/>
    <w:rsid w:val="002F339F"/>
    <w:rsid w:val="002F45CE"/>
    <w:rsid w:val="002F4CBF"/>
    <w:rsid w:val="002F4FF4"/>
    <w:rsid w:val="002F557D"/>
    <w:rsid w:val="002F6352"/>
    <w:rsid w:val="002F66B2"/>
    <w:rsid w:val="002F6914"/>
    <w:rsid w:val="002F69DE"/>
    <w:rsid w:val="002F750D"/>
    <w:rsid w:val="00300507"/>
    <w:rsid w:val="00300FE3"/>
    <w:rsid w:val="00301CE7"/>
    <w:rsid w:val="00302B10"/>
    <w:rsid w:val="00302B21"/>
    <w:rsid w:val="00303C73"/>
    <w:rsid w:val="00303EB3"/>
    <w:rsid w:val="00304463"/>
    <w:rsid w:val="00304A5E"/>
    <w:rsid w:val="00305258"/>
    <w:rsid w:val="003054EC"/>
    <w:rsid w:val="00305D44"/>
    <w:rsid w:val="00306536"/>
    <w:rsid w:val="00306F5B"/>
    <w:rsid w:val="0030701A"/>
    <w:rsid w:val="003071A4"/>
    <w:rsid w:val="003104AD"/>
    <w:rsid w:val="003107A9"/>
    <w:rsid w:val="0031094D"/>
    <w:rsid w:val="00310A47"/>
    <w:rsid w:val="00310A7E"/>
    <w:rsid w:val="00310F9A"/>
    <w:rsid w:val="0031112E"/>
    <w:rsid w:val="003123D1"/>
    <w:rsid w:val="0031288A"/>
    <w:rsid w:val="00312EF6"/>
    <w:rsid w:val="003131EE"/>
    <w:rsid w:val="0031434F"/>
    <w:rsid w:val="00314B8C"/>
    <w:rsid w:val="0031516D"/>
    <w:rsid w:val="0031656E"/>
    <w:rsid w:val="00317490"/>
    <w:rsid w:val="003200B3"/>
    <w:rsid w:val="003206CE"/>
    <w:rsid w:val="003209CC"/>
    <w:rsid w:val="003212F5"/>
    <w:rsid w:val="00321AFF"/>
    <w:rsid w:val="00321D37"/>
    <w:rsid w:val="0032465A"/>
    <w:rsid w:val="00324A07"/>
    <w:rsid w:val="0032521A"/>
    <w:rsid w:val="003259C3"/>
    <w:rsid w:val="00325B6A"/>
    <w:rsid w:val="00325C85"/>
    <w:rsid w:val="00326D66"/>
    <w:rsid w:val="00327351"/>
    <w:rsid w:val="00327B9F"/>
    <w:rsid w:val="00330085"/>
    <w:rsid w:val="003301E0"/>
    <w:rsid w:val="003302A1"/>
    <w:rsid w:val="003305AB"/>
    <w:rsid w:val="00330D88"/>
    <w:rsid w:val="003313A9"/>
    <w:rsid w:val="00331618"/>
    <w:rsid w:val="00331769"/>
    <w:rsid w:val="00332308"/>
    <w:rsid w:val="00332465"/>
    <w:rsid w:val="00334723"/>
    <w:rsid w:val="00334E2B"/>
    <w:rsid w:val="00334E77"/>
    <w:rsid w:val="0033537F"/>
    <w:rsid w:val="00335C95"/>
    <w:rsid w:val="0033614A"/>
    <w:rsid w:val="003362BE"/>
    <w:rsid w:val="00337334"/>
    <w:rsid w:val="003375E5"/>
    <w:rsid w:val="00337B22"/>
    <w:rsid w:val="00340049"/>
    <w:rsid w:val="00340693"/>
    <w:rsid w:val="00341AB0"/>
    <w:rsid w:val="00342DCE"/>
    <w:rsid w:val="00343117"/>
    <w:rsid w:val="003433D5"/>
    <w:rsid w:val="003435B0"/>
    <w:rsid w:val="00344C67"/>
    <w:rsid w:val="00345DCA"/>
    <w:rsid w:val="00346F2C"/>
    <w:rsid w:val="00347279"/>
    <w:rsid w:val="003507F8"/>
    <w:rsid w:val="00350933"/>
    <w:rsid w:val="003510AE"/>
    <w:rsid w:val="0035172B"/>
    <w:rsid w:val="003520E5"/>
    <w:rsid w:val="003535C2"/>
    <w:rsid w:val="003537D6"/>
    <w:rsid w:val="00353FC7"/>
    <w:rsid w:val="003543C8"/>
    <w:rsid w:val="0035559A"/>
    <w:rsid w:val="00356144"/>
    <w:rsid w:val="00356A5E"/>
    <w:rsid w:val="003573A8"/>
    <w:rsid w:val="00357F45"/>
    <w:rsid w:val="00361102"/>
    <w:rsid w:val="003616E8"/>
    <w:rsid w:val="003619C0"/>
    <w:rsid w:val="00361AFC"/>
    <w:rsid w:val="00362EC4"/>
    <w:rsid w:val="0036310A"/>
    <w:rsid w:val="003634EB"/>
    <w:rsid w:val="00363EED"/>
    <w:rsid w:val="00365015"/>
    <w:rsid w:val="00365807"/>
    <w:rsid w:val="00367AB8"/>
    <w:rsid w:val="00367EC1"/>
    <w:rsid w:val="0037076C"/>
    <w:rsid w:val="003708B2"/>
    <w:rsid w:val="00370F63"/>
    <w:rsid w:val="003714EF"/>
    <w:rsid w:val="00371BDC"/>
    <w:rsid w:val="00372644"/>
    <w:rsid w:val="003729CC"/>
    <w:rsid w:val="0037309D"/>
    <w:rsid w:val="00373751"/>
    <w:rsid w:val="00374693"/>
    <w:rsid w:val="003770D4"/>
    <w:rsid w:val="00377881"/>
    <w:rsid w:val="00380773"/>
    <w:rsid w:val="00381056"/>
    <w:rsid w:val="003831A0"/>
    <w:rsid w:val="003833F7"/>
    <w:rsid w:val="00384874"/>
    <w:rsid w:val="003849B6"/>
    <w:rsid w:val="0038557E"/>
    <w:rsid w:val="00385E56"/>
    <w:rsid w:val="003861B6"/>
    <w:rsid w:val="003867FA"/>
    <w:rsid w:val="003879A7"/>
    <w:rsid w:val="00390F80"/>
    <w:rsid w:val="003912A2"/>
    <w:rsid w:val="003919A1"/>
    <w:rsid w:val="00392335"/>
    <w:rsid w:val="00392712"/>
    <w:rsid w:val="00392787"/>
    <w:rsid w:val="00392A74"/>
    <w:rsid w:val="0039389F"/>
    <w:rsid w:val="00394424"/>
    <w:rsid w:val="00394772"/>
    <w:rsid w:val="00395D76"/>
    <w:rsid w:val="00396726"/>
    <w:rsid w:val="00396D8D"/>
    <w:rsid w:val="003A0C1A"/>
    <w:rsid w:val="003A0DF8"/>
    <w:rsid w:val="003A0E4F"/>
    <w:rsid w:val="003A1C8F"/>
    <w:rsid w:val="003A2CB8"/>
    <w:rsid w:val="003A31C8"/>
    <w:rsid w:val="003A4AD9"/>
    <w:rsid w:val="003A507E"/>
    <w:rsid w:val="003A507F"/>
    <w:rsid w:val="003A527E"/>
    <w:rsid w:val="003A5B76"/>
    <w:rsid w:val="003A5F11"/>
    <w:rsid w:val="003A60B1"/>
    <w:rsid w:val="003A62B0"/>
    <w:rsid w:val="003A699C"/>
    <w:rsid w:val="003A746C"/>
    <w:rsid w:val="003B0AE8"/>
    <w:rsid w:val="003B109C"/>
    <w:rsid w:val="003B19C0"/>
    <w:rsid w:val="003B2F7F"/>
    <w:rsid w:val="003B2F94"/>
    <w:rsid w:val="003B4B60"/>
    <w:rsid w:val="003B5D04"/>
    <w:rsid w:val="003B6229"/>
    <w:rsid w:val="003B629C"/>
    <w:rsid w:val="003B6D33"/>
    <w:rsid w:val="003B7455"/>
    <w:rsid w:val="003B7891"/>
    <w:rsid w:val="003C0B2C"/>
    <w:rsid w:val="003C18A2"/>
    <w:rsid w:val="003C22C5"/>
    <w:rsid w:val="003C245A"/>
    <w:rsid w:val="003C270C"/>
    <w:rsid w:val="003C2C22"/>
    <w:rsid w:val="003C30D5"/>
    <w:rsid w:val="003C323A"/>
    <w:rsid w:val="003C42AD"/>
    <w:rsid w:val="003C4C03"/>
    <w:rsid w:val="003C5AAC"/>
    <w:rsid w:val="003C6A86"/>
    <w:rsid w:val="003C7E7D"/>
    <w:rsid w:val="003D0428"/>
    <w:rsid w:val="003D0E4C"/>
    <w:rsid w:val="003D1578"/>
    <w:rsid w:val="003D170F"/>
    <w:rsid w:val="003D1888"/>
    <w:rsid w:val="003D2D77"/>
    <w:rsid w:val="003D5486"/>
    <w:rsid w:val="003D5ACA"/>
    <w:rsid w:val="003D5EFF"/>
    <w:rsid w:val="003D677F"/>
    <w:rsid w:val="003D7914"/>
    <w:rsid w:val="003D7E49"/>
    <w:rsid w:val="003E0837"/>
    <w:rsid w:val="003E0EFB"/>
    <w:rsid w:val="003E2FE0"/>
    <w:rsid w:val="003E3030"/>
    <w:rsid w:val="003E3AB4"/>
    <w:rsid w:val="003E4151"/>
    <w:rsid w:val="003E45F5"/>
    <w:rsid w:val="003E48F3"/>
    <w:rsid w:val="003E5754"/>
    <w:rsid w:val="003E69B6"/>
    <w:rsid w:val="003E736F"/>
    <w:rsid w:val="003E7C01"/>
    <w:rsid w:val="003F061E"/>
    <w:rsid w:val="003F20C5"/>
    <w:rsid w:val="003F234C"/>
    <w:rsid w:val="003F265E"/>
    <w:rsid w:val="003F2921"/>
    <w:rsid w:val="003F3D66"/>
    <w:rsid w:val="003F3F56"/>
    <w:rsid w:val="003F42AB"/>
    <w:rsid w:val="003F4A43"/>
    <w:rsid w:val="003F509D"/>
    <w:rsid w:val="003F50C8"/>
    <w:rsid w:val="003F5690"/>
    <w:rsid w:val="003F5C00"/>
    <w:rsid w:val="003F61A8"/>
    <w:rsid w:val="003F666C"/>
    <w:rsid w:val="003F6821"/>
    <w:rsid w:val="003F705C"/>
    <w:rsid w:val="003F7C64"/>
    <w:rsid w:val="0040004D"/>
    <w:rsid w:val="004005C5"/>
    <w:rsid w:val="00400F88"/>
    <w:rsid w:val="00401ECF"/>
    <w:rsid w:val="00402F95"/>
    <w:rsid w:val="004058B4"/>
    <w:rsid w:val="004061D8"/>
    <w:rsid w:val="004067B4"/>
    <w:rsid w:val="0040692F"/>
    <w:rsid w:val="00406C2D"/>
    <w:rsid w:val="00407769"/>
    <w:rsid w:val="00407A89"/>
    <w:rsid w:val="004103FE"/>
    <w:rsid w:val="004104BD"/>
    <w:rsid w:val="00410C83"/>
    <w:rsid w:val="00411612"/>
    <w:rsid w:val="00412986"/>
    <w:rsid w:val="00413744"/>
    <w:rsid w:val="0041446C"/>
    <w:rsid w:val="00415332"/>
    <w:rsid w:val="004161E0"/>
    <w:rsid w:val="004162AB"/>
    <w:rsid w:val="004167E6"/>
    <w:rsid w:val="00417D09"/>
    <w:rsid w:val="00417D99"/>
    <w:rsid w:val="00420055"/>
    <w:rsid w:val="0042031F"/>
    <w:rsid w:val="00421A60"/>
    <w:rsid w:val="00421DC5"/>
    <w:rsid w:val="00422841"/>
    <w:rsid w:val="00422C15"/>
    <w:rsid w:val="0042407D"/>
    <w:rsid w:val="004252A2"/>
    <w:rsid w:val="004255F9"/>
    <w:rsid w:val="00425A89"/>
    <w:rsid w:val="00426738"/>
    <w:rsid w:val="00426B65"/>
    <w:rsid w:val="00427654"/>
    <w:rsid w:val="00427F36"/>
    <w:rsid w:val="00431394"/>
    <w:rsid w:val="0043195B"/>
    <w:rsid w:val="00431ED9"/>
    <w:rsid w:val="00431FF1"/>
    <w:rsid w:val="004320CA"/>
    <w:rsid w:val="004331B6"/>
    <w:rsid w:val="00433776"/>
    <w:rsid w:val="00433D62"/>
    <w:rsid w:val="00434534"/>
    <w:rsid w:val="004355FA"/>
    <w:rsid w:val="004373AD"/>
    <w:rsid w:val="00437777"/>
    <w:rsid w:val="00440270"/>
    <w:rsid w:val="00440BF0"/>
    <w:rsid w:val="004427CA"/>
    <w:rsid w:val="00442978"/>
    <w:rsid w:val="0044395E"/>
    <w:rsid w:val="004439FC"/>
    <w:rsid w:val="00444072"/>
    <w:rsid w:val="004442E9"/>
    <w:rsid w:val="004449A9"/>
    <w:rsid w:val="00445158"/>
    <w:rsid w:val="00445F7B"/>
    <w:rsid w:val="00446557"/>
    <w:rsid w:val="004466BB"/>
    <w:rsid w:val="004468DD"/>
    <w:rsid w:val="004468F6"/>
    <w:rsid w:val="00446AD6"/>
    <w:rsid w:val="00446B08"/>
    <w:rsid w:val="00447103"/>
    <w:rsid w:val="004508E3"/>
    <w:rsid w:val="00451752"/>
    <w:rsid w:val="00451F83"/>
    <w:rsid w:val="00453861"/>
    <w:rsid w:val="004544F8"/>
    <w:rsid w:val="00454A25"/>
    <w:rsid w:val="00454C2F"/>
    <w:rsid w:val="00454CE3"/>
    <w:rsid w:val="004557A8"/>
    <w:rsid w:val="004557B6"/>
    <w:rsid w:val="00455893"/>
    <w:rsid w:val="00455BA3"/>
    <w:rsid w:val="00455D4F"/>
    <w:rsid w:val="00457397"/>
    <w:rsid w:val="00457571"/>
    <w:rsid w:val="004577C9"/>
    <w:rsid w:val="00457BDA"/>
    <w:rsid w:val="00460508"/>
    <w:rsid w:val="004615BA"/>
    <w:rsid w:val="00461C1F"/>
    <w:rsid w:val="00461D25"/>
    <w:rsid w:val="00461EA4"/>
    <w:rsid w:val="0046210E"/>
    <w:rsid w:val="00462969"/>
    <w:rsid w:val="00462D78"/>
    <w:rsid w:val="0046357E"/>
    <w:rsid w:val="00463C71"/>
    <w:rsid w:val="004650F0"/>
    <w:rsid w:val="0047037B"/>
    <w:rsid w:val="00470731"/>
    <w:rsid w:val="0047107C"/>
    <w:rsid w:val="00471A23"/>
    <w:rsid w:val="00471CD8"/>
    <w:rsid w:val="00472CC3"/>
    <w:rsid w:val="004744C1"/>
    <w:rsid w:val="0047453B"/>
    <w:rsid w:val="00474B37"/>
    <w:rsid w:val="00474DE5"/>
    <w:rsid w:val="004776AE"/>
    <w:rsid w:val="00477E5A"/>
    <w:rsid w:val="00480080"/>
    <w:rsid w:val="004807D1"/>
    <w:rsid w:val="00480F45"/>
    <w:rsid w:val="00481751"/>
    <w:rsid w:val="00481E7D"/>
    <w:rsid w:val="0048264C"/>
    <w:rsid w:val="00482E3A"/>
    <w:rsid w:val="00483DB5"/>
    <w:rsid w:val="00483EF7"/>
    <w:rsid w:val="00484A7E"/>
    <w:rsid w:val="00486053"/>
    <w:rsid w:val="00486244"/>
    <w:rsid w:val="004862B2"/>
    <w:rsid w:val="00486BC0"/>
    <w:rsid w:val="00487252"/>
    <w:rsid w:val="00490312"/>
    <w:rsid w:val="004909EA"/>
    <w:rsid w:val="00490F6D"/>
    <w:rsid w:val="00491EFC"/>
    <w:rsid w:val="00492CC4"/>
    <w:rsid w:val="00492F52"/>
    <w:rsid w:val="004932BC"/>
    <w:rsid w:val="00493318"/>
    <w:rsid w:val="004933BC"/>
    <w:rsid w:val="00493BEA"/>
    <w:rsid w:val="00494EB1"/>
    <w:rsid w:val="00495386"/>
    <w:rsid w:val="00496241"/>
    <w:rsid w:val="00496366"/>
    <w:rsid w:val="00496AA7"/>
    <w:rsid w:val="00497361"/>
    <w:rsid w:val="00497AE9"/>
    <w:rsid w:val="004A007C"/>
    <w:rsid w:val="004A0497"/>
    <w:rsid w:val="004A0F4F"/>
    <w:rsid w:val="004A2E7A"/>
    <w:rsid w:val="004A3FD5"/>
    <w:rsid w:val="004A419E"/>
    <w:rsid w:val="004A443F"/>
    <w:rsid w:val="004A483C"/>
    <w:rsid w:val="004A4AE9"/>
    <w:rsid w:val="004A4DEE"/>
    <w:rsid w:val="004A5033"/>
    <w:rsid w:val="004A5A85"/>
    <w:rsid w:val="004A5F9F"/>
    <w:rsid w:val="004A6117"/>
    <w:rsid w:val="004A62F4"/>
    <w:rsid w:val="004A7190"/>
    <w:rsid w:val="004A76CA"/>
    <w:rsid w:val="004A79A9"/>
    <w:rsid w:val="004B0BC6"/>
    <w:rsid w:val="004B1762"/>
    <w:rsid w:val="004B178C"/>
    <w:rsid w:val="004B2CD8"/>
    <w:rsid w:val="004B3671"/>
    <w:rsid w:val="004B37C2"/>
    <w:rsid w:val="004B4091"/>
    <w:rsid w:val="004B56AB"/>
    <w:rsid w:val="004B5D0E"/>
    <w:rsid w:val="004B6540"/>
    <w:rsid w:val="004B70BB"/>
    <w:rsid w:val="004C12B5"/>
    <w:rsid w:val="004C14E0"/>
    <w:rsid w:val="004C178B"/>
    <w:rsid w:val="004C2551"/>
    <w:rsid w:val="004C2832"/>
    <w:rsid w:val="004C2DCC"/>
    <w:rsid w:val="004C3CB7"/>
    <w:rsid w:val="004C45C5"/>
    <w:rsid w:val="004C462C"/>
    <w:rsid w:val="004C4C33"/>
    <w:rsid w:val="004C510E"/>
    <w:rsid w:val="004C543E"/>
    <w:rsid w:val="004C550C"/>
    <w:rsid w:val="004C5CDD"/>
    <w:rsid w:val="004C5D8D"/>
    <w:rsid w:val="004C6496"/>
    <w:rsid w:val="004C7AE3"/>
    <w:rsid w:val="004D0BE4"/>
    <w:rsid w:val="004D14DD"/>
    <w:rsid w:val="004D1659"/>
    <w:rsid w:val="004D1E5C"/>
    <w:rsid w:val="004D2025"/>
    <w:rsid w:val="004D27A8"/>
    <w:rsid w:val="004D2D52"/>
    <w:rsid w:val="004D46E1"/>
    <w:rsid w:val="004D5F0D"/>
    <w:rsid w:val="004D5F85"/>
    <w:rsid w:val="004D607B"/>
    <w:rsid w:val="004D7060"/>
    <w:rsid w:val="004D7595"/>
    <w:rsid w:val="004D7B16"/>
    <w:rsid w:val="004D7D9A"/>
    <w:rsid w:val="004E041C"/>
    <w:rsid w:val="004E0ECE"/>
    <w:rsid w:val="004E22C6"/>
    <w:rsid w:val="004E2ACF"/>
    <w:rsid w:val="004E2BD2"/>
    <w:rsid w:val="004E4069"/>
    <w:rsid w:val="004E40C2"/>
    <w:rsid w:val="004E420C"/>
    <w:rsid w:val="004E4432"/>
    <w:rsid w:val="004E5183"/>
    <w:rsid w:val="004E5384"/>
    <w:rsid w:val="004E541E"/>
    <w:rsid w:val="004E556C"/>
    <w:rsid w:val="004E55AE"/>
    <w:rsid w:val="004E57AE"/>
    <w:rsid w:val="004E5AAE"/>
    <w:rsid w:val="004E5AEC"/>
    <w:rsid w:val="004E6048"/>
    <w:rsid w:val="004E765C"/>
    <w:rsid w:val="004E7A09"/>
    <w:rsid w:val="004F08FE"/>
    <w:rsid w:val="004F14DA"/>
    <w:rsid w:val="004F1AB1"/>
    <w:rsid w:val="004F1F3D"/>
    <w:rsid w:val="004F2A78"/>
    <w:rsid w:val="004F4DA8"/>
    <w:rsid w:val="004F669F"/>
    <w:rsid w:val="004F67E4"/>
    <w:rsid w:val="004F6A42"/>
    <w:rsid w:val="004F6DF0"/>
    <w:rsid w:val="004F74D4"/>
    <w:rsid w:val="005000CB"/>
    <w:rsid w:val="005008B8"/>
    <w:rsid w:val="00500C78"/>
    <w:rsid w:val="0050145B"/>
    <w:rsid w:val="00502410"/>
    <w:rsid w:val="005035F5"/>
    <w:rsid w:val="0050398D"/>
    <w:rsid w:val="00503D14"/>
    <w:rsid w:val="00504B96"/>
    <w:rsid w:val="005053BE"/>
    <w:rsid w:val="0050570C"/>
    <w:rsid w:val="0050774D"/>
    <w:rsid w:val="005077FE"/>
    <w:rsid w:val="00507BC0"/>
    <w:rsid w:val="00510BB1"/>
    <w:rsid w:val="005113B9"/>
    <w:rsid w:val="005121A3"/>
    <w:rsid w:val="00512741"/>
    <w:rsid w:val="0051343B"/>
    <w:rsid w:val="005136AF"/>
    <w:rsid w:val="005138A1"/>
    <w:rsid w:val="00513FD5"/>
    <w:rsid w:val="00514115"/>
    <w:rsid w:val="0051487F"/>
    <w:rsid w:val="00514B0B"/>
    <w:rsid w:val="00515D1E"/>
    <w:rsid w:val="00515D76"/>
    <w:rsid w:val="00515E68"/>
    <w:rsid w:val="00515E9E"/>
    <w:rsid w:val="005160F8"/>
    <w:rsid w:val="00516466"/>
    <w:rsid w:val="00516D6A"/>
    <w:rsid w:val="005170AF"/>
    <w:rsid w:val="00517C77"/>
    <w:rsid w:val="00517CF5"/>
    <w:rsid w:val="0052046E"/>
    <w:rsid w:val="00520D24"/>
    <w:rsid w:val="00521303"/>
    <w:rsid w:val="00522B84"/>
    <w:rsid w:val="00522B8C"/>
    <w:rsid w:val="00523A49"/>
    <w:rsid w:val="00523E68"/>
    <w:rsid w:val="005240F7"/>
    <w:rsid w:val="00524DCB"/>
    <w:rsid w:val="005250B0"/>
    <w:rsid w:val="00526D74"/>
    <w:rsid w:val="00526DD9"/>
    <w:rsid w:val="00527707"/>
    <w:rsid w:val="00527B5C"/>
    <w:rsid w:val="00530BE7"/>
    <w:rsid w:val="00531785"/>
    <w:rsid w:val="00531F05"/>
    <w:rsid w:val="00533096"/>
    <w:rsid w:val="00533626"/>
    <w:rsid w:val="005336E6"/>
    <w:rsid w:val="005338BB"/>
    <w:rsid w:val="00534135"/>
    <w:rsid w:val="00534559"/>
    <w:rsid w:val="005349A5"/>
    <w:rsid w:val="005349C0"/>
    <w:rsid w:val="00534C15"/>
    <w:rsid w:val="005362A8"/>
    <w:rsid w:val="005368C4"/>
    <w:rsid w:val="00536BB6"/>
    <w:rsid w:val="00536F21"/>
    <w:rsid w:val="005370B3"/>
    <w:rsid w:val="0053780D"/>
    <w:rsid w:val="0054056C"/>
    <w:rsid w:val="005406F6"/>
    <w:rsid w:val="00540788"/>
    <w:rsid w:val="00541DF6"/>
    <w:rsid w:val="005424DC"/>
    <w:rsid w:val="00543205"/>
    <w:rsid w:val="00543B19"/>
    <w:rsid w:val="0054439A"/>
    <w:rsid w:val="00544A20"/>
    <w:rsid w:val="00544CB1"/>
    <w:rsid w:val="00544F3C"/>
    <w:rsid w:val="005452C7"/>
    <w:rsid w:val="005460DC"/>
    <w:rsid w:val="00546EC3"/>
    <w:rsid w:val="005475C7"/>
    <w:rsid w:val="00547C89"/>
    <w:rsid w:val="00547D80"/>
    <w:rsid w:val="00547FD6"/>
    <w:rsid w:val="0055136C"/>
    <w:rsid w:val="00551F0A"/>
    <w:rsid w:val="005531B3"/>
    <w:rsid w:val="0055376B"/>
    <w:rsid w:val="00553B7F"/>
    <w:rsid w:val="005540B9"/>
    <w:rsid w:val="00554DD1"/>
    <w:rsid w:val="005556DA"/>
    <w:rsid w:val="005564AE"/>
    <w:rsid w:val="005564F4"/>
    <w:rsid w:val="00556CE8"/>
    <w:rsid w:val="005579A7"/>
    <w:rsid w:val="00557BD4"/>
    <w:rsid w:val="005618C7"/>
    <w:rsid w:val="00562769"/>
    <w:rsid w:val="00562F71"/>
    <w:rsid w:val="0056388F"/>
    <w:rsid w:val="00564199"/>
    <w:rsid w:val="00564EEF"/>
    <w:rsid w:val="0056583D"/>
    <w:rsid w:val="0056599E"/>
    <w:rsid w:val="005660D2"/>
    <w:rsid w:val="00566180"/>
    <w:rsid w:val="00566482"/>
    <w:rsid w:val="00566A27"/>
    <w:rsid w:val="00566E25"/>
    <w:rsid w:val="00567075"/>
    <w:rsid w:val="005670A0"/>
    <w:rsid w:val="00567137"/>
    <w:rsid w:val="00567733"/>
    <w:rsid w:val="0057009C"/>
    <w:rsid w:val="00570479"/>
    <w:rsid w:val="00570507"/>
    <w:rsid w:val="0057066A"/>
    <w:rsid w:val="005729B6"/>
    <w:rsid w:val="00574263"/>
    <w:rsid w:val="0057456E"/>
    <w:rsid w:val="00574A0D"/>
    <w:rsid w:val="0057550F"/>
    <w:rsid w:val="005758DD"/>
    <w:rsid w:val="00575DF6"/>
    <w:rsid w:val="00575EBA"/>
    <w:rsid w:val="00575FAB"/>
    <w:rsid w:val="00576B06"/>
    <w:rsid w:val="005779A2"/>
    <w:rsid w:val="00580106"/>
    <w:rsid w:val="005804A3"/>
    <w:rsid w:val="005807F4"/>
    <w:rsid w:val="00580B1E"/>
    <w:rsid w:val="00581A92"/>
    <w:rsid w:val="005824E1"/>
    <w:rsid w:val="00582D53"/>
    <w:rsid w:val="00582D68"/>
    <w:rsid w:val="005839DC"/>
    <w:rsid w:val="00583B64"/>
    <w:rsid w:val="0058512F"/>
    <w:rsid w:val="00585171"/>
    <w:rsid w:val="00585DBD"/>
    <w:rsid w:val="005863FD"/>
    <w:rsid w:val="005868CA"/>
    <w:rsid w:val="00586F5B"/>
    <w:rsid w:val="0058712F"/>
    <w:rsid w:val="00587BFD"/>
    <w:rsid w:val="00590B2B"/>
    <w:rsid w:val="00591273"/>
    <w:rsid w:val="005914CC"/>
    <w:rsid w:val="005919C1"/>
    <w:rsid w:val="00592310"/>
    <w:rsid w:val="0059278D"/>
    <w:rsid w:val="00592867"/>
    <w:rsid w:val="00592D7D"/>
    <w:rsid w:val="0059309E"/>
    <w:rsid w:val="0059401F"/>
    <w:rsid w:val="0059420A"/>
    <w:rsid w:val="0059509F"/>
    <w:rsid w:val="0059565C"/>
    <w:rsid w:val="00595E73"/>
    <w:rsid w:val="00596F64"/>
    <w:rsid w:val="005976E0"/>
    <w:rsid w:val="00597BE9"/>
    <w:rsid w:val="005A0B36"/>
    <w:rsid w:val="005A0CBF"/>
    <w:rsid w:val="005A1190"/>
    <w:rsid w:val="005A1830"/>
    <w:rsid w:val="005A1DE3"/>
    <w:rsid w:val="005A269F"/>
    <w:rsid w:val="005A284F"/>
    <w:rsid w:val="005A4A6C"/>
    <w:rsid w:val="005A6611"/>
    <w:rsid w:val="005A6D83"/>
    <w:rsid w:val="005A7731"/>
    <w:rsid w:val="005B1579"/>
    <w:rsid w:val="005B1ED8"/>
    <w:rsid w:val="005B1F5F"/>
    <w:rsid w:val="005B1FAE"/>
    <w:rsid w:val="005B2148"/>
    <w:rsid w:val="005B27A0"/>
    <w:rsid w:val="005B32CD"/>
    <w:rsid w:val="005B3F4B"/>
    <w:rsid w:val="005B4553"/>
    <w:rsid w:val="005B4E2D"/>
    <w:rsid w:val="005B5547"/>
    <w:rsid w:val="005B5E14"/>
    <w:rsid w:val="005B650E"/>
    <w:rsid w:val="005B7414"/>
    <w:rsid w:val="005B78A6"/>
    <w:rsid w:val="005B7929"/>
    <w:rsid w:val="005C06B6"/>
    <w:rsid w:val="005C078D"/>
    <w:rsid w:val="005C148B"/>
    <w:rsid w:val="005C2F24"/>
    <w:rsid w:val="005C322F"/>
    <w:rsid w:val="005C35F4"/>
    <w:rsid w:val="005C4E55"/>
    <w:rsid w:val="005C59EA"/>
    <w:rsid w:val="005C5E5C"/>
    <w:rsid w:val="005C68E3"/>
    <w:rsid w:val="005C6B49"/>
    <w:rsid w:val="005C721D"/>
    <w:rsid w:val="005C79A0"/>
    <w:rsid w:val="005C7E42"/>
    <w:rsid w:val="005C7F6C"/>
    <w:rsid w:val="005D044D"/>
    <w:rsid w:val="005D122A"/>
    <w:rsid w:val="005D18F5"/>
    <w:rsid w:val="005D1F25"/>
    <w:rsid w:val="005D442D"/>
    <w:rsid w:val="005D4627"/>
    <w:rsid w:val="005D50F8"/>
    <w:rsid w:val="005D53EA"/>
    <w:rsid w:val="005D53F9"/>
    <w:rsid w:val="005D5A9D"/>
    <w:rsid w:val="005D6196"/>
    <w:rsid w:val="005D6572"/>
    <w:rsid w:val="005D693B"/>
    <w:rsid w:val="005D6B45"/>
    <w:rsid w:val="005D70B7"/>
    <w:rsid w:val="005D7F8C"/>
    <w:rsid w:val="005E050A"/>
    <w:rsid w:val="005E0963"/>
    <w:rsid w:val="005E23BC"/>
    <w:rsid w:val="005E24F7"/>
    <w:rsid w:val="005E28E8"/>
    <w:rsid w:val="005E2BAC"/>
    <w:rsid w:val="005E43D8"/>
    <w:rsid w:val="005E49BF"/>
    <w:rsid w:val="005E5442"/>
    <w:rsid w:val="005E567A"/>
    <w:rsid w:val="005E56A1"/>
    <w:rsid w:val="005E5B75"/>
    <w:rsid w:val="005E6C0D"/>
    <w:rsid w:val="005E765E"/>
    <w:rsid w:val="005E7B35"/>
    <w:rsid w:val="005E7CDC"/>
    <w:rsid w:val="005F1482"/>
    <w:rsid w:val="005F1EDE"/>
    <w:rsid w:val="005F32E2"/>
    <w:rsid w:val="005F333B"/>
    <w:rsid w:val="005F35A3"/>
    <w:rsid w:val="005F3652"/>
    <w:rsid w:val="005F4C82"/>
    <w:rsid w:val="005F4CD4"/>
    <w:rsid w:val="005F511E"/>
    <w:rsid w:val="005F639D"/>
    <w:rsid w:val="005F6DFB"/>
    <w:rsid w:val="006000F2"/>
    <w:rsid w:val="00600443"/>
    <w:rsid w:val="006004C0"/>
    <w:rsid w:val="0060055C"/>
    <w:rsid w:val="0060090B"/>
    <w:rsid w:val="00600C86"/>
    <w:rsid w:val="00600F7B"/>
    <w:rsid w:val="00601077"/>
    <w:rsid w:val="006010E3"/>
    <w:rsid w:val="0060126D"/>
    <w:rsid w:val="00601ED7"/>
    <w:rsid w:val="006025C8"/>
    <w:rsid w:val="006038B3"/>
    <w:rsid w:val="006045DB"/>
    <w:rsid w:val="006046E9"/>
    <w:rsid w:val="00604CC1"/>
    <w:rsid w:val="00605970"/>
    <w:rsid w:val="00606047"/>
    <w:rsid w:val="00606357"/>
    <w:rsid w:val="00606757"/>
    <w:rsid w:val="00610428"/>
    <w:rsid w:val="00612311"/>
    <w:rsid w:val="00612C3B"/>
    <w:rsid w:val="0061305E"/>
    <w:rsid w:val="006132F5"/>
    <w:rsid w:val="0061369E"/>
    <w:rsid w:val="00613CE6"/>
    <w:rsid w:val="0061433A"/>
    <w:rsid w:val="006144EE"/>
    <w:rsid w:val="00614C00"/>
    <w:rsid w:val="00614D4F"/>
    <w:rsid w:val="0061582E"/>
    <w:rsid w:val="00615D0F"/>
    <w:rsid w:val="00615E7D"/>
    <w:rsid w:val="00616550"/>
    <w:rsid w:val="00616785"/>
    <w:rsid w:val="00616816"/>
    <w:rsid w:val="00616DEE"/>
    <w:rsid w:val="006178CF"/>
    <w:rsid w:val="00617E1F"/>
    <w:rsid w:val="0062151D"/>
    <w:rsid w:val="00623EDC"/>
    <w:rsid w:val="0062498D"/>
    <w:rsid w:val="00625262"/>
    <w:rsid w:val="00627FD1"/>
    <w:rsid w:val="00630168"/>
    <w:rsid w:val="0063095F"/>
    <w:rsid w:val="006313B1"/>
    <w:rsid w:val="00631876"/>
    <w:rsid w:val="00631DF8"/>
    <w:rsid w:val="00632A6D"/>
    <w:rsid w:val="00632AD2"/>
    <w:rsid w:val="00633438"/>
    <w:rsid w:val="006340AF"/>
    <w:rsid w:val="006344A1"/>
    <w:rsid w:val="00634D5B"/>
    <w:rsid w:val="00636BFC"/>
    <w:rsid w:val="00636F87"/>
    <w:rsid w:val="006374D0"/>
    <w:rsid w:val="006375E7"/>
    <w:rsid w:val="00640727"/>
    <w:rsid w:val="006414B2"/>
    <w:rsid w:val="00641B67"/>
    <w:rsid w:val="00642EC2"/>
    <w:rsid w:val="00643D2F"/>
    <w:rsid w:val="00643ECA"/>
    <w:rsid w:val="006446DC"/>
    <w:rsid w:val="00644BBE"/>
    <w:rsid w:val="00644E94"/>
    <w:rsid w:val="006451A2"/>
    <w:rsid w:val="0064701A"/>
    <w:rsid w:val="00647414"/>
    <w:rsid w:val="006503C2"/>
    <w:rsid w:val="00651087"/>
    <w:rsid w:val="006514CD"/>
    <w:rsid w:val="00651A40"/>
    <w:rsid w:val="00651BD7"/>
    <w:rsid w:val="00652523"/>
    <w:rsid w:val="0065275B"/>
    <w:rsid w:val="00652774"/>
    <w:rsid w:val="0065286B"/>
    <w:rsid w:val="00652C90"/>
    <w:rsid w:val="00653658"/>
    <w:rsid w:val="00653CCF"/>
    <w:rsid w:val="006541CE"/>
    <w:rsid w:val="006543F7"/>
    <w:rsid w:val="00654955"/>
    <w:rsid w:val="00654BBE"/>
    <w:rsid w:val="0065530F"/>
    <w:rsid w:val="0065565D"/>
    <w:rsid w:val="006569A7"/>
    <w:rsid w:val="00656C79"/>
    <w:rsid w:val="00656F84"/>
    <w:rsid w:val="0065754A"/>
    <w:rsid w:val="00657859"/>
    <w:rsid w:val="00657F90"/>
    <w:rsid w:val="006600D1"/>
    <w:rsid w:val="0066054F"/>
    <w:rsid w:val="00660739"/>
    <w:rsid w:val="00661B87"/>
    <w:rsid w:val="00661FD2"/>
    <w:rsid w:val="0066255A"/>
    <w:rsid w:val="006627C5"/>
    <w:rsid w:val="0066296B"/>
    <w:rsid w:val="00663108"/>
    <w:rsid w:val="00663404"/>
    <w:rsid w:val="00663DE4"/>
    <w:rsid w:val="00663FA9"/>
    <w:rsid w:val="00664ACA"/>
    <w:rsid w:val="00664CA8"/>
    <w:rsid w:val="006669B9"/>
    <w:rsid w:val="00667A21"/>
    <w:rsid w:val="00667EDB"/>
    <w:rsid w:val="0067054E"/>
    <w:rsid w:val="00670A14"/>
    <w:rsid w:val="00670CDD"/>
    <w:rsid w:val="006714A9"/>
    <w:rsid w:val="00671BE0"/>
    <w:rsid w:val="00671C97"/>
    <w:rsid w:val="00671CD7"/>
    <w:rsid w:val="00672599"/>
    <w:rsid w:val="006727CD"/>
    <w:rsid w:val="006730D2"/>
    <w:rsid w:val="00673E13"/>
    <w:rsid w:val="006747E7"/>
    <w:rsid w:val="006749C3"/>
    <w:rsid w:val="00674DA1"/>
    <w:rsid w:val="006757C0"/>
    <w:rsid w:val="006760C4"/>
    <w:rsid w:val="006763A4"/>
    <w:rsid w:val="00676E31"/>
    <w:rsid w:val="006770CD"/>
    <w:rsid w:val="006775E3"/>
    <w:rsid w:val="00677F6B"/>
    <w:rsid w:val="006804CC"/>
    <w:rsid w:val="00680E52"/>
    <w:rsid w:val="006811D3"/>
    <w:rsid w:val="00681A8C"/>
    <w:rsid w:val="00681B7C"/>
    <w:rsid w:val="00681CDA"/>
    <w:rsid w:val="006821EF"/>
    <w:rsid w:val="00683243"/>
    <w:rsid w:val="0068347D"/>
    <w:rsid w:val="00683A95"/>
    <w:rsid w:val="006844BA"/>
    <w:rsid w:val="0068484D"/>
    <w:rsid w:val="00684E39"/>
    <w:rsid w:val="0068525C"/>
    <w:rsid w:val="00685398"/>
    <w:rsid w:val="006862D0"/>
    <w:rsid w:val="0068675A"/>
    <w:rsid w:val="00686902"/>
    <w:rsid w:val="00686B3C"/>
    <w:rsid w:val="00686CF1"/>
    <w:rsid w:val="00687C7D"/>
    <w:rsid w:val="00687D72"/>
    <w:rsid w:val="00690762"/>
    <w:rsid w:val="0069155C"/>
    <w:rsid w:val="0069203A"/>
    <w:rsid w:val="00692424"/>
    <w:rsid w:val="006926B6"/>
    <w:rsid w:val="00693105"/>
    <w:rsid w:val="006931B4"/>
    <w:rsid w:val="00693A0D"/>
    <w:rsid w:val="00693C22"/>
    <w:rsid w:val="00694111"/>
    <w:rsid w:val="006961EB"/>
    <w:rsid w:val="006970D3"/>
    <w:rsid w:val="006971A3"/>
    <w:rsid w:val="006973FD"/>
    <w:rsid w:val="006976B1"/>
    <w:rsid w:val="006A04CC"/>
    <w:rsid w:val="006A1368"/>
    <w:rsid w:val="006A1878"/>
    <w:rsid w:val="006A251B"/>
    <w:rsid w:val="006A3624"/>
    <w:rsid w:val="006A4131"/>
    <w:rsid w:val="006A5163"/>
    <w:rsid w:val="006A55BD"/>
    <w:rsid w:val="006A5CD2"/>
    <w:rsid w:val="006A74FF"/>
    <w:rsid w:val="006A7F56"/>
    <w:rsid w:val="006B07A0"/>
    <w:rsid w:val="006B1C95"/>
    <w:rsid w:val="006B2EF3"/>
    <w:rsid w:val="006B31A7"/>
    <w:rsid w:val="006B32D4"/>
    <w:rsid w:val="006B39F2"/>
    <w:rsid w:val="006B3B1F"/>
    <w:rsid w:val="006B44FB"/>
    <w:rsid w:val="006B4CC1"/>
    <w:rsid w:val="006B53B5"/>
    <w:rsid w:val="006B5480"/>
    <w:rsid w:val="006B76C2"/>
    <w:rsid w:val="006C0449"/>
    <w:rsid w:val="006C0803"/>
    <w:rsid w:val="006C0A0F"/>
    <w:rsid w:val="006C1506"/>
    <w:rsid w:val="006C19A9"/>
    <w:rsid w:val="006C2006"/>
    <w:rsid w:val="006C2870"/>
    <w:rsid w:val="006C2EC2"/>
    <w:rsid w:val="006C2F70"/>
    <w:rsid w:val="006C3350"/>
    <w:rsid w:val="006C3923"/>
    <w:rsid w:val="006C39C1"/>
    <w:rsid w:val="006C4278"/>
    <w:rsid w:val="006C444B"/>
    <w:rsid w:val="006C4C57"/>
    <w:rsid w:val="006C6365"/>
    <w:rsid w:val="006C6629"/>
    <w:rsid w:val="006C6E98"/>
    <w:rsid w:val="006C6ED5"/>
    <w:rsid w:val="006C6FC6"/>
    <w:rsid w:val="006D099A"/>
    <w:rsid w:val="006D194A"/>
    <w:rsid w:val="006D217D"/>
    <w:rsid w:val="006D2B8E"/>
    <w:rsid w:val="006D2CC2"/>
    <w:rsid w:val="006D35EA"/>
    <w:rsid w:val="006D3901"/>
    <w:rsid w:val="006D3E54"/>
    <w:rsid w:val="006D3F03"/>
    <w:rsid w:val="006D42EC"/>
    <w:rsid w:val="006D4B5F"/>
    <w:rsid w:val="006D4D00"/>
    <w:rsid w:val="006D6CEC"/>
    <w:rsid w:val="006D70EC"/>
    <w:rsid w:val="006D761F"/>
    <w:rsid w:val="006D7AA3"/>
    <w:rsid w:val="006E10B7"/>
    <w:rsid w:val="006E14D7"/>
    <w:rsid w:val="006E16B7"/>
    <w:rsid w:val="006E17FF"/>
    <w:rsid w:val="006E2B36"/>
    <w:rsid w:val="006E3370"/>
    <w:rsid w:val="006E4C33"/>
    <w:rsid w:val="006E4ED8"/>
    <w:rsid w:val="006E54C3"/>
    <w:rsid w:val="006E6087"/>
    <w:rsid w:val="006E6335"/>
    <w:rsid w:val="006E6AD5"/>
    <w:rsid w:val="006E6F10"/>
    <w:rsid w:val="006E74AB"/>
    <w:rsid w:val="006E7727"/>
    <w:rsid w:val="006E7C3C"/>
    <w:rsid w:val="006F0240"/>
    <w:rsid w:val="006F06CF"/>
    <w:rsid w:val="006F0ED7"/>
    <w:rsid w:val="006F1B47"/>
    <w:rsid w:val="006F1D58"/>
    <w:rsid w:val="006F29F4"/>
    <w:rsid w:val="006F3D2B"/>
    <w:rsid w:val="006F48AA"/>
    <w:rsid w:val="006F54CC"/>
    <w:rsid w:val="006F6616"/>
    <w:rsid w:val="006F67AB"/>
    <w:rsid w:val="006F6B0C"/>
    <w:rsid w:val="006F6BA0"/>
    <w:rsid w:val="006F7E2B"/>
    <w:rsid w:val="007017E5"/>
    <w:rsid w:val="00701F7B"/>
    <w:rsid w:val="00702BBB"/>
    <w:rsid w:val="00702E1E"/>
    <w:rsid w:val="00702F30"/>
    <w:rsid w:val="007039D3"/>
    <w:rsid w:val="00703C0D"/>
    <w:rsid w:val="00703C16"/>
    <w:rsid w:val="00703E73"/>
    <w:rsid w:val="007047F4"/>
    <w:rsid w:val="007054B4"/>
    <w:rsid w:val="00706F4F"/>
    <w:rsid w:val="00707B99"/>
    <w:rsid w:val="00710666"/>
    <w:rsid w:val="00710A67"/>
    <w:rsid w:val="0071167F"/>
    <w:rsid w:val="00711836"/>
    <w:rsid w:val="00712431"/>
    <w:rsid w:val="007127AA"/>
    <w:rsid w:val="00712DB4"/>
    <w:rsid w:val="0071352C"/>
    <w:rsid w:val="007136BA"/>
    <w:rsid w:val="0071377B"/>
    <w:rsid w:val="00713C12"/>
    <w:rsid w:val="00713D90"/>
    <w:rsid w:val="00715456"/>
    <w:rsid w:val="00716653"/>
    <w:rsid w:val="00717B44"/>
    <w:rsid w:val="00720578"/>
    <w:rsid w:val="00720ACC"/>
    <w:rsid w:val="00720D78"/>
    <w:rsid w:val="00720F40"/>
    <w:rsid w:val="00721DE2"/>
    <w:rsid w:val="00723440"/>
    <w:rsid w:val="007237D9"/>
    <w:rsid w:val="00723EE2"/>
    <w:rsid w:val="007240FB"/>
    <w:rsid w:val="00724976"/>
    <w:rsid w:val="007249A6"/>
    <w:rsid w:val="00724A97"/>
    <w:rsid w:val="00724AD2"/>
    <w:rsid w:val="00724F2F"/>
    <w:rsid w:val="00725C23"/>
    <w:rsid w:val="007269D1"/>
    <w:rsid w:val="00726C79"/>
    <w:rsid w:val="00726EF2"/>
    <w:rsid w:val="0072761D"/>
    <w:rsid w:val="00730C50"/>
    <w:rsid w:val="00731D2D"/>
    <w:rsid w:val="00732B7F"/>
    <w:rsid w:val="00732E09"/>
    <w:rsid w:val="00732F92"/>
    <w:rsid w:val="007336F0"/>
    <w:rsid w:val="00734886"/>
    <w:rsid w:val="00734935"/>
    <w:rsid w:val="0073528D"/>
    <w:rsid w:val="007363CD"/>
    <w:rsid w:val="007363DE"/>
    <w:rsid w:val="00737303"/>
    <w:rsid w:val="00741743"/>
    <w:rsid w:val="00741A4A"/>
    <w:rsid w:val="00741D5C"/>
    <w:rsid w:val="007437C4"/>
    <w:rsid w:val="0074384C"/>
    <w:rsid w:val="00743DE6"/>
    <w:rsid w:val="00743E01"/>
    <w:rsid w:val="007441A1"/>
    <w:rsid w:val="0074511B"/>
    <w:rsid w:val="0074511C"/>
    <w:rsid w:val="00745FE2"/>
    <w:rsid w:val="00746215"/>
    <w:rsid w:val="0074674B"/>
    <w:rsid w:val="00747F8B"/>
    <w:rsid w:val="00751B75"/>
    <w:rsid w:val="0075295C"/>
    <w:rsid w:val="007540C8"/>
    <w:rsid w:val="007541CE"/>
    <w:rsid w:val="00755277"/>
    <w:rsid w:val="0075528D"/>
    <w:rsid w:val="00756022"/>
    <w:rsid w:val="00756433"/>
    <w:rsid w:val="00756689"/>
    <w:rsid w:val="007579BE"/>
    <w:rsid w:val="00757C42"/>
    <w:rsid w:val="00760E19"/>
    <w:rsid w:val="00761364"/>
    <w:rsid w:val="0076155A"/>
    <w:rsid w:val="00761C2A"/>
    <w:rsid w:val="0076244B"/>
    <w:rsid w:val="00762749"/>
    <w:rsid w:val="007642D4"/>
    <w:rsid w:val="0076459B"/>
    <w:rsid w:val="007645B0"/>
    <w:rsid w:val="00767D3C"/>
    <w:rsid w:val="0077251D"/>
    <w:rsid w:val="00772D28"/>
    <w:rsid w:val="00772DB9"/>
    <w:rsid w:val="00772EC2"/>
    <w:rsid w:val="00773C8B"/>
    <w:rsid w:val="00774062"/>
    <w:rsid w:val="00774227"/>
    <w:rsid w:val="00774E69"/>
    <w:rsid w:val="007751E2"/>
    <w:rsid w:val="00775336"/>
    <w:rsid w:val="0077590E"/>
    <w:rsid w:val="00775AFA"/>
    <w:rsid w:val="00777198"/>
    <w:rsid w:val="00777D01"/>
    <w:rsid w:val="00777E8F"/>
    <w:rsid w:val="00780CB9"/>
    <w:rsid w:val="00781617"/>
    <w:rsid w:val="00782529"/>
    <w:rsid w:val="00783104"/>
    <w:rsid w:val="007831CB"/>
    <w:rsid w:val="007831EE"/>
    <w:rsid w:val="00783BBD"/>
    <w:rsid w:val="007840FF"/>
    <w:rsid w:val="0078468E"/>
    <w:rsid w:val="00785481"/>
    <w:rsid w:val="00785A3A"/>
    <w:rsid w:val="00785E29"/>
    <w:rsid w:val="007860C6"/>
    <w:rsid w:val="0078700B"/>
    <w:rsid w:val="007871BF"/>
    <w:rsid w:val="007871C2"/>
    <w:rsid w:val="00790BE8"/>
    <w:rsid w:val="0079113C"/>
    <w:rsid w:val="0079200F"/>
    <w:rsid w:val="007924CF"/>
    <w:rsid w:val="00792EF4"/>
    <w:rsid w:val="00793350"/>
    <w:rsid w:val="00793630"/>
    <w:rsid w:val="0079393B"/>
    <w:rsid w:val="00793AF4"/>
    <w:rsid w:val="00793B0C"/>
    <w:rsid w:val="007949FA"/>
    <w:rsid w:val="00794EB3"/>
    <w:rsid w:val="00794FAE"/>
    <w:rsid w:val="00795232"/>
    <w:rsid w:val="00795AFD"/>
    <w:rsid w:val="00795B45"/>
    <w:rsid w:val="00796FE3"/>
    <w:rsid w:val="00797274"/>
    <w:rsid w:val="00797335"/>
    <w:rsid w:val="0079752F"/>
    <w:rsid w:val="007A009F"/>
    <w:rsid w:val="007A14A0"/>
    <w:rsid w:val="007A16C8"/>
    <w:rsid w:val="007A1742"/>
    <w:rsid w:val="007A1C4C"/>
    <w:rsid w:val="007A1FC7"/>
    <w:rsid w:val="007A2882"/>
    <w:rsid w:val="007A2C2D"/>
    <w:rsid w:val="007A2EA8"/>
    <w:rsid w:val="007A316A"/>
    <w:rsid w:val="007A3F09"/>
    <w:rsid w:val="007A4C52"/>
    <w:rsid w:val="007A5487"/>
    <w:rsid w:val="007A561E"/>
    <w:rsid w:val="007A5DDE"/>
    <w:rsid w:val="007A6899"/>
    <w:rsid w:val="007A6E01"/>
    <w:rsid w:val="007A7A7F"/>
    <w:rsid w:val="007A7B46"/>
    <w:rsid w:val="007B13A7"/>
    <w:rsid w:val="007B148C"/>
    <w:rsid w:val="007B18DC"/>
    <w:rsid w:val="007B1C73"/>
    <w:rsid w:val="007B1ECA"/>
    <w:rsid w:val="007B26A1"/>
    <w:rsid w:val="007B2B40"/>
    <w:rsid w:val="007B3147"/>
    <w:rsid w:val="007B382D"/>
    <w:rsid w:val="007B4E8E"/>
    <w:rsid w:val="007B554C"/>
    <w:rsid w:val="007B5A69"/>
    <w:rsid w:val="007B6299"/>
    <w:rsid w:val="007B795A"/>
    <w:rsid w:val="007C008C"/>
    <w:rsid w:val="007C01B4"/>
    <w:rsid w:val="007C09DF"/>
    <w:rsid w:val="007C1083"/>
    <w:rsid w:val="007C1A6B"/>
    <w:rsid w:val="007C216D"/>
    <w:rsid w:val="007C2498"/>
    <w:rsid w:val="007C27C4"/>
    <w:rsid w:val="007C38A2"/>
    <w:rsid w:val="007C46A2"/>
    <w:rsid w:val="007C5A45"/>
    <w:rsid w:val="007C5B55"/>
    <w:rsid w:val="007C7063"/>
    <w:rsid w:val="007C7078"/>
    <w:rsid w:val="007D0DA6"/>
    <w:rsid w:val="007D162C"/>
    <w:rsid w:val="007D2EF2"/>
    <w:rsid w:val="007D31EA"/>
    <w:rsid w:val="007D336E"/>
    <w:rsid w:val="007D509A"/>
    <w:rsid w:val="007D570D"/>
    <w:rsid w:val="007D6030"/>
    <w:rsid w:val="007D6066"/>
    <w:rsid w:val="007D6474"/>
    <w:rsid w:val="007D648F"/>
    <w:rsid w:val="007D7880"/>
    <w:rsid w:val="007E046B"/>
    <w:rsid w:val="007E1512"/>
    <w:rsid w:val="007E1A82"/>
    <w:rsid w:val="007E1DA5"/>
    <w:rsid w:val="007E29E1"/>
    <w:rsid w:val="007E3721"/>
    <w:rsid w:val="007E38D0"/>
    <w:rsid w:val="007E4155"/>
    <w:rsid w:val="007E46B9"/>
    <w:rsid w:val="007E4C68"/>
    <w:rsid w:val="007E4DAD"/>
    <w:rsid w:val="007E4F8E"/>
    <w:rsid w:val="007E584D"/>
    <w:rsid w:val="007E5E18"/>
    <w:rsid w:val="007E68B2"/>
    <w:rsid w:val="007E6D7B"/>
    <w:rsid w:val="007E7D4B"/>
    <w:rsid w:val="007F09DC"/>
    <w:rsid w:val="007F1293"/>
    <w:rsid w:val="007F1A53"/>
    <w:rsid w:val="007F1AED"/>
    <w:rsid w:val="007F1B1E"/>
    <w:rsid w:val="007F1CFC"/>
    <w:rsid w:val="007F261C"/>
    <w:rsid w:val="007F2A32"/>
    <w:rsid w:val="007F2C0E"/>
    <w:rsid w:val="007F37BE"/>
    <w:rsid w:val="007F3E3C"/>
    <w:rsid w:val="007F3E63"/>
    <w:rsid w:val="007F4262"/>
    <w:rsid w:val="007F44F6"/>
    <w:rsid w:val="007F5BA6"/>
    <w:rsid w:val="007F6299"/>
    <w:rsid w:val="007F6401"/>
    <w:rsid w:val="007F6564"/>
    <w:rsid w:val="007F78B8"/>
    <w:rsid w:val="008013B6"/>
    <w:rsid w:val="00802ACC"/>
    <w:rsid w:val="00803AD9"/>
    <w:rsid w:val="008040B5"/>
    <w:rsid w:val="0080424A"/>
    <w:rsid w:val="00804349"/>
    <w:rsid w:val="00804931"/>
    <w:rsid w:val="00805CB2"/>
    <w:rsid w:val="008072D7"/>
    <w:rsid w:val="00812004"/>
    <w:rsid w:val="00812056"/>
    <w:rsid w:val="00812ABB"/>
    <w:rsid w:val="00812F8D"/>
    <w:rsid w:val="00812FF0"/>
    <w:rsid w:val="00813591"/>
    <w:rsid w:val="008135EA"/>
    <w:rsid w:val="0081363D"/>
    <w:rsid w:val="008144A5"/>
    <w:rsid w:val="0081485D"/>
    <w:rsid w:val="00814902"/>
    <w:rsid w:val="00815174"/>
    <w:rsid w:val="008160C2"/>
    <w:rsid w:val="00816460"/>
    <w:rsid w:val="008227BB"/>
    <w:rsid w:val="00822CBA"/>
    <w:rsid w:val="00822F5D"/>
    <w:rsid w:val="00823B4F"/>
    <w:rsid w:val="00823CE8"/>
    <w:rsid w:val="00824336"/>
    <w:rsid w:val="00824FC9"/>
    <w:rsid w:val="008252D3"/>
    <w:rsid w:val="00826781"/>
    <w:rsid w:val="00826B7D"/>
    <w:rsid w:val="008274F7"/>
    <w:rsid w:val="0082789F"/>
    <w:rsid w:val="00827E0E"/>
    <w:rsid w:val="0083005B"/>
    <w:rsid w:val="008311F7"/>
    <w:rsid w:val="008320FB"/>
    <w:rsid w:val="00833ECE"/>
    <w:rsid w:val="00835567"/>
    <w:rsid w:val="00835EA0"/>
    <w:rsid w:val="0083651D"/>
    <w:rsid w:val="00837374"/>
    <w:rsid w:val="00840102"/>
    <w:rsid w:val="00840587"/>
    <w:rsid w:val="00840856"/>
    <w:rsid w:val="008417B0"/>
    <w:rsid w:val="00842228"/>
    <w:rsid w:val="00842C68"/>
    <w:rsid w:val="00842E44"/>
    <w:rsid w:val="00843620"/>
    <w:rsid w:val="008437DB"/>
    <w:rsid w:val="00843923"/>
    <w:rsid w:val="008440D9"/>
    <w:rsid w:val="0084419C"/>
    <w:rsid w:val="0084425C"/>
    <w:rsid w:val="00845D19"/>
    <w:rsid w:val="0084602E"/>
    <w:rsid w:val="008467FF"/>
    <w:rsid w:val="00846917"/>
    <w:rsid w:val="00846A94"/>
    <w:rsid w:val="00846B7F"/>
    <w:rsid w:val="008476F5"/>
    <w:rsid w:val="008478D2"/>
    <w:rsid w:val="00847F08"/>
    <w:rsid w:val="008501AA"/>
    <w:rsid w:val="00850FEC"/>
    <w:rsid w:val="00851BAD"/>
    <w:rsid w:val="008532FE"/>
    <w:rsid w:val="0085395B"/>
    <w:rsid w:val="00853B89"/>
    <w:rsid w:val="008557D9"/>
    <w:rsid w:val="00855895"/>
    <w:rsid w:val="00856657"/>
    <w:rsid w:val="00856A39"/>
    <w:rsid w:val="00856E03"/>
    <w:rsid w:val="00857498"/>
    <w:rsid w:val="00857592"/>
    <w:rsid w:val="00857789"/>
    <w:rsid w:val="0086028F"/>
    <w:rsid w:val="00860295"/>
    <w:rsid w:val="008603AA"/>
    <w:rsid w:val="008606F7"/>
    <w:rsid w:val="00860978"/>
    <w:rsid w:val="0086125B"/>
    <w:rsid w:val="00861346"/>
    <w:rsid w:val="00862E68"/>
    <w:rsid w:val="008634E6"/>
    <w:rsid w:val="008638D3"/>
    <w:rsid w:val="00863E53"/>
    <w:rsid w:val="00864CE4"/>
    <w:rsid w:val="0086543A"/>
    <w:rsid w:val="0086588A"/>
    <w:rsid w:val="00865D48"/>
    <w:rsid w:val="00865F90"/>
    <w:rsid w:val="00866564"/>
    <w:rsid w:val="00867414"/>
    <w:rsid w:val="008674C8"/>
    <w:rsid w:val="0086784F"/>
    <w:rsid w:val="00867C1A"/>
    <w:rsid w:val="008702E1"/>
    <w:rsid w:val="00871D0D"/>
    <w:rsid w:val="00873853"/>
    <w:rsid w:val="00873BBB"/>
    <w:rsid w:val="00873DB3"/>
    <w:rsid w:val="00874291"/>
    <w:rsid w:val="00874682"/>
    <w:rsid w:val="00874AA5"/>
    <w:rsid w:val="00875CA3"/>
    <w:rsid w:val="00876EA2"/>
    <w:rsid w:val="008778C3"/>
    <w:rsid w:val="00877FBB"/>
    <w:rsid w:val="00880CCF"/>
    <w:rsid w:val="0088102B"/>
    <w:rsid w:val="00882759"/>
    <w:rsid w:val="00883077"/>
    <w:rsid w:val="00883A8D"/>
    <w:rsid w:val="00883E48"/>
    <w:rsid w:val="00883F53"/>
    <w:rsid w:val="00885215"/>
    <w:rsid w:val="008852E8"/>
    <w:rsid w:val="008858E8"/>
    <w:rsid w:val="00885CF1"/>
    <w:rsid w:val="0088794C"/>
    <w:rsid w:val="008901B0"/>
    <w:rsid w:val="00890FB9"/>
    <w:rsid w:val="00892A3C"/>
    <w:rsid w:val="00892B89"/>
    <w:rsid w:val="00893054"/>
    <w:rsid w:val="00894A94"/>
    <w:rsid w:val="00894DEF"/>
    <w:rsid w:val="008955BF"/>
    <w:rsid w:val="0089560B"/>
    <w:rsid w:val="00895A40"/>
    <w:rsid w:val="00895AB1"/>
    <w:rsid w:val="00895D11"/>
    <w:rsid w:val="008960DE"/>
    <w:rsid w:val="00896AB0"/>
    <w:rsid w:val="00896ABE"/>
    <w:rsid w:val="00897299"/>
    <w:rsid w:val="0089759D"/>
    <w:rsid w:val="00897C9C"/>
    <w:rsid w:val="008A0499"/>
    <w:rsid w:val="008A0BBC"/>
    <w:rsid w:val="008A1044"/>
    <w:rsid w:val="008A1DD6"/>
    <w:rsid w:val="008A33E7"/>
    <w:rsid w:val="008A3898"/>
    <w:rsid w:val="008A3922"/>
    <w:rsid w:val="008A3CCA"/>
    <w:rsid w:val="008A4834"/>
    <w:rsid w:val="008A53E5"/>
    <w:rsid w:val="008A5884"/>
    <w:rsid w:val="008A5AFB"/>
    <w:rsid w:val="008A5DFB"/>
    <w:rsid w:val="008A615B"/>
    <w:rsid w:val="008A6CBA"/>
    <w:rsid w:val="008A72E9"/>
    <w:rsid w:val="008A72EA"/>
    <w:rsid w:val="008A7DA4"/>
    <w:rsid w:val="008B0453"/>
    <w:rsid w:val="008B091B"/>
    <w:rsid w:val="008B0E41"/>
    <w:rsid w:val="008B2B80"/>
    <w:rsid w:val="008B3486"/>
    <w:rsid w:val="008B3D5B"/>
    <w:rsid w:val="008B3D89"/>
    <w:rsid w:val="008B3F0F"/>
    <w:rsid w:val="008B40C1"/>
    <w:rsid w:val="008B511B"/>
    <w:rsid w:val="008B5562"/>
    <w:rsid w:val="008B5B42"/>
    <w:rsid w:val="008B7979"/>
    <w:rsid w:val="008B7FC6"/>
    <w:rsid w:val="008C02B3"/>
    <w:rsid w:val="008C0566"/>
    <w:rsid w:val="008C1080"/>
    <w:rsid w:val="008C147F"/>
    <w:rsid w:val="008C15F1"/>
    <w:rsid w:val="008C172F"/>
    <w:rsid w:val="008C2799"/>
    <w:rsid w:val="008C2CB3"/>
    <w:rsid w:val="008C3A15"/>
    <w:rsid w:val="008C3D9B"/>
    <w:rsid w:val="008C3F01"/>
    <w:rsid w:val="008C5EC9"/>
    <w:rsid w:val="008C61C2"/>
    <w:rsid w:val="008C64F1"/>
    <w:rsid w:val="008C6648"/>
    <w:rsid w:val="008C686A"/>
    <w:rsid w:val="008C6AC9"/>
    <w:rsid w:val="008C6BA3"/>
    <w:rsid w:val="008D0984"/>
    <w:rsid w:val="008D0B46"/>
    <w:rsid w:val="008D0DCE"/>
    <w:rsid w:val="008D1B64"/>
    <w:rsid w:val="008D1E91"/>
    <w:rsid w:val="008D2070"/>
    <w:rsid w:val="008D29E8"/>
    <w:rsid w:val="008D3DB4"/>
    <w:rsid w:val="008D3E58"/>
    <w:rsid w:val="008D4982"/>
    <w:rsid w:val="008D4C0A"/>
    <w:rsid w:val="008D5760"/>
    <w:rsid w:val="008D5E3B"/>
    <w:rsid w:val="008D6404"/>
    <w:rsid w:val="008D683B"/>
    <w:rsid w:val="008D6E6A"/>
    <w:rsid w:val="008D750A"/>
    <w:rsid w:val="008D775D"/>
    <w:rsid w:val="008D7DAB"/>
    <w:rsid w:val="008E0283"/>
    <w:rsid w:val="008E0B6F"/>
    <w:rsid w:val="008E0D70"/>
    <w:rsid w:val="008E0DA1"/>
    <w:rsid w:val="008E2344"/>
    <w:rsid w:val="008E2F67"/>
    <w:rsid w:val="008E34A2"/>
    <w:rsid w:val="008E3B67"/>
    <w:rsid w:val="008E48BE"/>
    <w:rsid w:val="008E5607"/>
    <w:rsid w:val="008E5A2B"/>
    <w:rsid w:val="008E66EC"/>
    <w:rsid w:val="008E6900"/>
    <w:rsid w:val="008E6A15"/>
    <w:rsid w:val="008E6E53"/>
    <w:rsid w:val="008E6FE9"/>
    <w:rsid w:val="008E7D24"/>
    <w:rsid w:val="008F04A2"/>
    <w:rsid w:val="008F30BC"/>
    <w:rsid w:val="008F3164"/>
    <w:rsid w:val="008F31BC"/>
    <w:rsid w:val="008F3565"/>
    <w:rsid w:val="008F3E97"/>
    <w:rsid w:val="008F45D6"/>
    <w:rsid w:val="008F499F"/>
    <w:rsid w:val="008F4AB3"/>
    <w:rsid w:val="008F5397"/>
    <w:rsid w:val="008F78B6"/>
    <w:rsid w:val="008F7934"/>
    <w:rsid w:val="0090040E"/>
    <w:rsid w:val="0090042E"/>
    <w:rsid w:val="00900593"/>
    <w:rsid w:val="00900CB0"/>
    <w:rsid w:val="00900EBE"/>
    <w:rsid w:val="009011E5"/>
    <w:rsid w:val="009029B1"/>
    <w:rsid w:val="00902B6D"/>
    <w:rsid w:val="00903367"/>
    <w:rsid w:val="0090351E"/>
    <w:rsid w:val="009050CD"/>
    <w:rsid w:val="009055A4"/>
    <w:rsid w:val="00905CFE"/>
    <w:rsid w:val="009068F3"/>
    <w:rsid w:val="00906AC2"/>
    <w:rsid w:val="0090703A"/>
    <w:rsid w:val="00910B85"/>
    <w:rsid w:val="00910D6C"/>
    <w:rsid w:val="009110CB"/>
    <w:rsid w:val="00911F1D"/>
    <w:rsid w:val="009129AA"/>
    <w:rsid w:val="009138B1"/>
    <w:rsid w:val="00913D3F"/>
    <w:rsid w:val="00913ECE"/>
    <w:rsid w:val="00914087"/>
    <w:rsid w:val="009143F1"/>
    <w:rsid w:val="00914F4E"/>
    <w:rsid w:val="00916422"/>
    <w:rsid w:val="00916A27"/>
    <w:rsid w:val="00916BE4"/>
    <w:rsid w:val="00916D07"/>
    <w:rsid w:val="0091728A"/>
    <w:rsid w:val="009177E6"/>
    <w:rsid w:val="00920049"/>
    <w:rsid w:val="00921075"/>
    <w:rsid w:val="00921AF3"/>
    <w:rsid w:val="00923CEB"/>
    <w:rsid w:val="00926249"/>
    <w:rsid w:val="00926788"/>
    <w:rsid w:val="0092698E"/>
    <w:rsid w:val="00926C91"/>
    <w:rsid w:val="00927407"/>
    <w:rsid w:val="0092750B"/>
    <w:rsid w:val="00927F9B"/>
    <w:rsid w:val="009302AB"/>
    <w:rsid w:val="0093090B"/>
    <w:rsid w:val="00931193"/>
    <w:rsid w:val="00931636"/>
    <w:rsid w:val="0093187E"/>
    <w:rsid w:val="00931EA4"/>
    <w:rsid w:val="00932E4E"/>
    <w:rsid w:val="00934718"/>
    <w:rsid w:val="0093483D"/>
    <w:rsid w:val="00935539"/>
    <w:rsid w:val="00935CEF"/>
    <w:rsid w:val="009370A2"/>
    <w:rsid w:val="00937F36"/>
    <w:rsid w:val="009408E0"/>
    <w:rsid w:val="00941940"/>
    <w:rsid w:val="00941AD0"/>
    <w:rsid w:val="00941EEC"/>
    <w:rsid w:val="0094231B"/>
    <w:rsid w:val="00942B40"/>
    <w:rsid w:val="00943ACB"/>
    <w:rsid w:val="00944155"/>
    <w:rsid w:val="00945457"/>
    <w:rsid w:val="0094574C"/>
    <w:rsid w:val="009463A5"/>
    <w:rsid w:val="00946ABC"/>
    <w:rsid w:val="00946C37"/>
    <w:rsid w:val="00947154"/>
    <w:rsid w:val="00950E8E"/>
    <w:rsid w:val="00951667"/>
    <w:rsid w:val="00951DFA"/>
    <w:rsid w:val="009528BA"/>
    <w:rsid w:val="009529F1"/>
    <w:rsid w:val="00952FF4"/>
    <w:rsid w:val="009554A1"/>
    <w:rsid w:val="00955798"/>
    <w:rsid w:val="009557DC"/>
    <w:rsid w:val="00956EA2"/>
    <w:rsid w:val="009614C6"/>
    <w:rsid w:val="00964412"/>
    <w:rsid w:val="00965007"/>
    <w:rsid w:val="009700F2"/>
    <w:rsid w:val="009706B9"/>
    <w:rsid w:val="0097165D"/>
    <w:rsid w:val="00972830"/>
    <w:rsid w:val="00972E8B"/>
    <w:rsid w:val="0097303A"/>
    <w:rsid w:val="00974263"/>
    <w:rsid w:val="00974CAF"/>
    <w:rsid w:val="0097636F"/>
    <w:rsid w:val="009773F3"/>
    <w:rsid w:val="00980680"/>
    <w:rsid w:val="009817EB"/>
    <w:rsid w:val="00981A54"/>
    <w:rsid w:val="00982884"/>
    <w:rsid w:val="00984304"/>
    <w:rsid w:val="009846A6"/>
    <w:rsid w:val="00984A9E"/>
    <w:rsid w:val="00986314"/>
    <w:rsid w:val="009879EB"/>
    <w:rsid w:val="00990091"/>
    <w:rsid w:val="0099076B"/>
    <w:rsid w:val="00990BC2"/>
    <w:rsid w:val="00991E6C"/>
    <w:rsid w:val="0099212E"/>
    <w:rsid w:val="009923D3"/>
    <w:rsid w:val="00992CD3"/>
    <w:rsid w:val="00992D04"/>
    <w:rsid w:val="009930FC"/>
    <w:rsid w:val="0099459B"/>
    <w:rsid w:val="00995118"/>
    <w:rsid w:val="00995319"/>
    <w:rsid w:val="00995E01"/>
    <w:rsid w:val="00995F8B"/>
    <w:rsid w:val="009960F6"/>
    <w:rsid w:val="00996CD9"/>
    <w:rsid w:val="00997973"/>
    <w:rsid w:val="009A0849"/>
    <w:rsid w:val="009A1B97"/>
    <w:rsid w:val="009A1ED2"/>
    <w:rsid w:val="009A21D1"/>
    <w:rsid w:val="009A2806"/>
    <w:rsid w:val="009A3543"/>
    <w:rsid w:val="009A418A"/>
    <w:rsid w:val="009A4A80"/>
    <w:rsid w:val="009A4D5B"/>
    <w:rsid w:val="009A54AB"/>
    <w:rsid w:val="009A58BD"/>
    <w:rsid w:val="009A62B5"/>
    <w:rsid w:val="009A68C1"/>
    <w:rsid w:val="009A6FD4"/>
    <w:rsid w:val="009A7499"/>
    <w:rsid w:val="009A7974"/>
    <w:rsid w:val="009A79D8"/>
    <w:rsid w:val="009B0EEF"/>
    <w:rsid w:val="009B28BE"/>
    <w:rsid w:val="009B311E"/>
    <w:rsid w:val="009B3C9A"/>
    <w:rsid w:val="009B43D0"/>
    <w:rsid w:val="009B4BCA"/>
    <w:rsid w:val="009B62BA"/>
    <w:rsid w:val="009B64F2"/>
    <w:rsid w:val="009B6D5C"/>
    <w:rsid w:val="009B71D2"/>
    <w:rsid w:val="009B71FD"/>
    <w:rsid w:val="009B7B6F"/>
    <w:rsid w:val="009C0139"/>
    <w:rsid w:val="009C0BA0"/>
    <w:rsid w:val="009C1708"/>
    <w:rsid w:val="009C1CCE"/>
    <w:rsid w:val="009C1E66"/>
    <w:rsid w:val="009C23F4"/>
    <w:rsid w:val="009C26A1"/>
    <w:rsid w:val="009C2FC5"/>
    <w:rsid w:val="009C3212"/>
    <w:rsid w:val="009C346E"/>
    <w:rsid w:val="009C3839"/>
    <w:rsid w:val="009C3EF9"/>
    <w:rsid w:val="009C4638"/>
    <w:rsid w:val="009C4659"/>
    <w:rsid w:val="009C48BC"/>
    <w:rsid w:val="009C633A"/>
    <w:rsid w:val="009C7306"/>
    <w:rsid w:val="009C7B9D"/>
    <w:rsid w:val="009D06C2"/>
    <w:rsid w:val="009D1869"/>
    <w:rsid w:val="009D1A01"/>
    <w:rsid w:val="009D31DC"/>
    <w:rsid w:val="009D3871"/>
    <w:rsid w:val="009D5079"/>
    <w:rsid w:val="009D52BC"/>
    <w:rsid w:val="009D5A7C"/>
    <w:rsid w:val="009D6255"/>
    <w:rsid w:val="009D676E"/>
    <w:rsid w:val="009D67E6"/>
    <w:rsid w:val="009D6D1F"/>
    <w:rsid w:val="009D74A4"/>
    <w:rsid w:val="009E09FA"/>
    <w:rsid w:val="009E0DA3"/>
    <w:rsid w:val="009E0EA6"/>
    <w:rsid w:val="009E26AA"/>
    <w:rsid w:val="009E26AB"/>
    <w:rsid w:val="009E2AE7"/>
    <w:rsid w:val="009E2BC9"/>
    <w:rsid w:val="009E2FB3"/>
    <w:rsid w:val="009E348B"/>
    <w:rsid w:val="009E396B"/>
    <w:rsid w:val="009E3C6B"/>
    <w:rsid w:val="009E3E87"/>
    <w:rsid w:val="009E4206"/>
    <w:rsid w:val="009E442A"/>
    <w:rsid w:val="009E4738"/>
    <w:rsid w:val="009E49F6"/>
    <w:rsid w:val="009E5416"/>
    <w:rsid w:val="009E5602"/>
    <w:rsid w:val="009E5743"/>
    <w:rsid w:val="009E58C9"/>
    <w:rsid w:val="009E5D12"/>
    <w:rsid w:val="009E6238"/>
    <w:rsid w:val="009E6F3D"/>
    <w:rsid w:val="009E76B6"/>
    <w:rsid w:val="009E7DFB"/>
    <w:rsid w:val="009F000F"/>
    <w:rsid w:val="009F0C07"/>
    <w:rsid w:val="009F1EE4"/>
    <w:rsid w:val="009F2333"/>
    <w:rsid w:val="009F2697"/>
    <w:rsid w:val="009F294E"/>
    <w:rsid w:val="009F2E2F"/>
    <w:rsid w:val="009F3794"/>
    <w:rsid w:val="009F3897"/>
    <w:rsid w:val="009F4DD9"/>
    <w:rsid w:val="009F51EB"/>
    <w:rsid w:val="009F5241"/>
    <w:rsid w:val="009F5992"/>
    <w:rsid w:val="009F5DCD"/>
    <w:rsid w:val="009F5E44"/>
    <w:rsid w:val="009F62DB"/>
    <w:rsid w:val="009F63AA"/>
    <w:rsid w:val="009F64E8"/>
    <w:rsid w:val="009F6FB4"/>
    <w:rsid w:val="00A003E5"/>
    <w:rsid w:val="00A01AAB"/>
    <w:rsid w:val="00A01BAE"/>
    <w:rsid w:val="00A02274"/>
    <w:rsid w:val="00A0265C"/>
    <w:rsid w:val="00A03155"/>
    <w:rsid w:val="00A03354"/>
    <w:rsid w:val="00A0339C"/>
    <w:rsid w:val="00A03ADC"/>
    <w:rsid w:val="00A03E2B"/>
    <w:rsid w:val="00A06E61"/>
    <w:rsid w:val="00A1052F"/>
    <w:rsid w:val="00A108AC"/>
    <w:rsid w:val="00A10939"/>
    <w:rsid w:val="00A113D2"/>
    <w:rsid w:val="00A11590"/>
    <w:rsid w:val="00A12D5A"/>
    <w:rsid w:val="00A136F9"/>
    <w:rsid w:val="00A15584"/>
    <w:rsid w:val="00A15E09"/>
    <w:rsid w:val="00A201EC"/>
    <w:rsid w:val="00A20A17"/>
    <w:rsid w:val="00A212E5"/>
    <w:rsid w:val="00A2274C"/>
    <w:rsid w:val="00A22DB4"/>
    <w:rsid w:val="00A24B15"/>
    <w:rsid w:val="00A25491"/>
    <w:rsid w:val="00A26345"/>
    <w:rsid w:val="00A267D6"/>
    <w:rsid w:val="00A273E7"/>
    <w:rsid w:val="00A274C3"/>
    <w:rsid w:val="00A274CE"/>
    <w:rsid w:val="00A278CA"/>
    <w:rsid w:val="00A3056D"/>
    <w:rsid w:val="00A30B60"/>
    <w:rsid w:val="00A31937"/>
    <w:rsid w:val="00A31A8B"/>
    <w:rsid w:val="00A3201E"/>
    <w:rsid w:val="00A3241C"/>
    <w:rsid w:val="00A3252C"/>
    <w:rsid w:val="00A32D2D"/>
    <w:rsid w:val="00A32E38"/>
    <w:rsid w:val="00A33F22"/>
    <w:rsid w:val="00A34187"/>
    <w:rsid w:val="00A34544"/>
    <w:rsid w:val="00A34BAF"/>
    <w:rsid w:val="00A35C5C"/>
    <w:rsid w:val="00A362E7"/>
    <w:rsid w:val="00A36643"/>
    <w:rsid w:val="00A36A6A"/>
    <w:rsid w:val="00A36FB1"/>
    <w:rsid w:val="00A370AC"/>
    <w:rsid w:val="00A3750A"/>
    <w:rsid w:val="00A37B4C"/>
    <w:rsid w:val="00A37E80"/>
    <w:rsid w:val="00A414A5"/>
    <w:rsid w:val="00A4168B"/>
    <w:rsid w:val="00A424D8"/>
    <w:rsid w:val="00A43C19"/>
    <w:rsid w:val="00A445C5"/>
    <w:rsid w:val="00A44AD1"/>
    <w:rsid w:val="00A45449"/>
    <w:rsid w:val="00A457E4"/>
    <w:rsid w:val="00A46B5F"/>
    <w:rsid w:val="00A46B8A"/>
    <w:rsid w:val="00A47127"/>
    <w:rsid w:val="00A50340"/>
    <w:rsid w:val="00A509C8"/>
    <w:rsid w:val="00A51C66"/>
    <w:rsid w:val="00A51D49"/>
    <w:rsid w:val="00A5273A"/>
    <w:rsid w:val="00A528D5"/>
    <w:rsid w:val="00A5299D"/>
    <w:rsid w:val="00A52A4A"/>
    <w:rsid w:val="00A54A0E"/>
    <w:rsid w:val="00A60891"/>
    <w:rsid w:val="00A60D21"/>
    <w:rsid w:val="00A61745"/>
    <w:rsid w:val="00A617F7"/>
    <w:rsid w:val="00A62799"/>
    <w:rsid w:val="00A62C12"/>
    <w:rsid w:val="00A62DD4"/>
    <w:rsid w:val="00A631B5"/>
    <w:rsid w:val="00A631E2"/>
    <w:rsid w:val="00A638B8"/>
    <w:rsid w:val="00A63F29"/>
    <w:rsid w:val="00A64A23"/>
    <w:rsid w:val="00A653B0"/>
    <w:rsid w:val="00A658F8"/>
    <w:rsid w:val="00A67999"/>
    <w:rsid w:val="00A70DCA"/>
    <w:rsid w:val="00A71924"/>
    <w:rsid w:val="00A720B3"/>
    <w:rsid w:val="00A72C1C"/>
    <w:rsid w:val="00A7304B"/>
    <w:rsid w:val="00A73700"/>
    <w:rsid w:val="00A740FC"/>
    <w:rsid w:val="00A74B22"/>
    <w:rsid w:val="00A74BE7"/>
    <w:rsid w:val="00A74CCB"/>
    <w:rsid w:val="00A7664F"/>
    <w:rsid w:val="00A76B51"/>
    <w:rsid w:val="00A76D90"/>
    <w:rsid w:val="00A77531"/>
    <w:rsid w:val="00A77BF3"/>
    <w:rsid w:val="00A77D67"/>
    <w:rsid w:val="00A77F06"/>
    <w:rsid w:val="00A8054C"/>
    <w:rsid w:val="00A80BBC"/>
    <w:rsid w:val="00A81415"/>
    <w:rsid w:val="00A8162F"/>
    <w:rsid w:val="00A82B8D"/>
    <w:rsid w:val="00A8374F"/>
    <w:rsid w:val="00A85F10"/>
    <w:rsid w:val="00A86827"/>
    <w:rsid w:val="00A86C69"/>
    <w:rsid w:val="00A90127"/>
    <w:rsid w:val="00A90574"/>
    <w:rsid w:val="00A910FA"/>
    <w:rsid w:val="00A920F7"/>
    <w:rsid w:val="00A92AEE"/>
    <w:rsid w:val="00A92E26"/>
    <w:rsid w:val="00A93F07"/>
    <w:rsid w:val="00A93FDE"/>
    <w:rsid w:val="00A944ED"/>
    <w:rsid w:val="00A94CB6"/>
    <w:rsid w:val="00A94E06"/>
    <w:rsid w:val="00A9579F"/>
    <w:rsid w:val="00A96085"/>
    <w:rsid w:val="00A9645A"/>
    <w:rsid w:val="00A97215"/>
    <w:rsid w:val="00A97672"/>
    <w:rsid w:val="00A97C9A"/>
    <w:rsid w:val="00A97E61"/>
    <w:rsid w:val="00AA0668"/>
    <w:rsid w:val="00AA112E"/>
    <w:rsid w:val="00AA1415"/>
    <w:rsid w:val="00AA15DC"/>
    <w:rsid w:val="00AA1BDC"/>
    <w:rsid w:val="00AA205C"/>
    <w:rsid w:val="00AA24D4"/>
    <w:rsid w:val="00AA29DE"/>
    <w:rsid w:val="00AA2AD6"/>
    <w:rsid w:val="00AA2B1D"/>
    <w:rsid w:val="00AA471B"/>
    <w:rsid w:val="00AA4BDB"/>
    <w:rsid w:val="00AA5C2E"/>
    <w:rsid w:val="00AA6B60"/>
    <w:rsid w:val="00AA6C66"/>
    <w:rsid w:val="00AA72C6"/>
    <w:rsid w:val="00AA7822"/>
    <w:rsid w:val="00AA78A3"/>
    <w:rsid w:val="00AA7D1E"/>
    <w:rsid w:val="00AB0074"/>
    <w:rsid w:val="00AB0B15"/>
    <w:rsid w:val="00AB100F"/>
    <w:rsid w:val="00AB2997"/>
    <w:rsid w:val="00AB40CB"/>
    <w:rsid w:val="00AB426F"/>
    <w:rsid w:val="00AB4A91"/>
    <w:rsid w:val="00AB4B90"/>
    <w:rsid w:val="00AB50E6"/>
    <w:rsid w:val="00AB5BE8"/>
    <w:rsid w:val="00AB60E7"/>
    <w:rsid w:val="00AB6FC5"/>
    <w:rsid w:val="00AB7538"/>
    <w:rsid w:val="00AB7986"/>
    <w:rsid w:val="00AB7DED"/>
    <w:rsid w:val="00AC04F1"/>
    <w:rsid w:val="00AC28B4"/>
    <w:rsid w:val="00AC35E6"/>
    <w:rsid w:val="00AC50E4"/>
    <w:rsid w:val="00AC5A1C"/>
    <w:rsid w:val="00AC5BC8"/>
    <w:rsid w:val="00AC6FA1"/>
    <w:rsid w:val="00AD037D"/>
    <w:rsid w:val="00AD0E81"/>
    <w:rsid w:val="00AD0FA6"/>
    <w:rsid w:val="00AD10C5"/>
    <w:rsid w:val="00AD166B"/>
    <w:rsid w:val="00AD3879"/>
    <w:rsid w:val="00AD4943"/>
    <w:rsid w:val="00AD4A21"/>
    <w:rsid w:val="00AD5162"/>
    <w:rsid w:val="00AD518D"/>
    <w:rsid w:val="00AD68C1"/>
    <w:rsid w:val="00AD7BF2"/>
    <w:rsid w:val="00AD7CC3"/>
    <w:rsid w:val="00AE0294"/>
    <w:rsid w:val="00AE0464"/>
    <w:rsid w:val="00AE0865"/>
    <w:rsid w:val="00AE1584"/>
    <w:rsid w:val="00AE29CA"/>
    <w:rsid w:val="00AE2CCA"/>
    <w:rsid w:val="00AE3797"/>
    <w:rsid w:val="00AE3BF6"/>
    <w:rsid w:val="00AE3EF4"/>
    <w:rsid w:val="00AE49C5"/>
    <w:rsid w:val="00AE4E4C"/>
    <w:rsid w:val="00AE59DA"/>
    <w:rsid w:val="00AE6180"/>
    <w:rsid w:val="00AE668C"/>
    <w:rsid w:val="00AE7112"/>
    <w:rsid w:val="00AE7632"/>
    <w:rsid w:val="00AE7D4A"/>
    <w:rsid w:val="00AF05B9"/>
    <w:rsid w:val="00AF1669"/>
    <w:rsid w:val="00AF1A47"/>
    <w:rsid w:val="00AF1E52"/>
    <w:rsid w:val="00AF33AE"/>
    <w:rsid w:val="00AF373D"/>
    <w:rsid w:val="00AF395C"/>
    <w:rsid w:val="00AF3FC9"/>
    <w:rsid w:val="00AF47C6"/>
    <w:rsid w:val="00AF5152"/>
    <w:rsid w:val="00AF534E"/>
    <w:rsid w:val="00AF5AD9"/>
    <w:rsid w:val="00AF5DD3"/>
    <w:rsid w:val="00AF6331"/>
    <w:rsid w:val="00AF6AF7"/>
    <w:rsid w:val="00AF6BE1"/>
    <w:rsid w:val="00AF6CE0"/>
    <w:rsid w:val="00AF75DE"/>
    <w:rsid w:val="00B00072"/>
    <w:rsid w:val="00B0070F"/>
    <w:rsid w:val="00B02029"/>
    <w:rsid w:val="00B027E2"/>
    <w:rsid w:val="00B02B02"/>
    <w:rsid w:val="00B0381E"/>
    <w:rsid w:val="00B03959"/>
    <w:rsid w:val="00B03CC1"/>
    <w:rsid w:val="00B0446D"/>
    <w:rsid w:val="00B0476E"/>
    <w:rsid w:val="00B0503C"/>
    <w:rsid w:val="00B06461"/>
    <w:rsid w:val="00B066C9"/>
    <w:rsid w:val="00B06DB5"/>
    <w:rsid w:val="00B079CC"/>
    <w:rsid w:val="00B105D4"/>
    <w:rsid w:val="00B10752"/>
    <w:rsid w:val="00B10C4E"/>
    <w:rsid w:val="00B10C60"/>
    <w:rsid w:val="00B1122D"/>
    <w:rsid w:val="00B115BF"/>
    <w:rsid w:val="00B12204"/>
    <w:rsid w:val="00B127D6"/>
    <w:rsid w:val="00B15E6A"/>
    <w:rsid w:val="00B16AD9"/>
    <w:rsid w:val="00B20B03"/>
    <w:rsid w:val="00B21387"/>
    <w:rsid w:val="00B224A8"/>
    <w:rsid w:val="00B22C6D"/>
    <w:rsid w:val="00B23167"/>
    <w:rsid w:val="00B2397F"/>
    <w:rsid w:val="00B24BB3"/>
    <w:rsid w:val="00B24E55"/>
    <w:rsid w:val="00B2560C"/>
    <w:rsid w:val="00B256BD"/>
    <w:rsid w:val="00B25DC1"/>
    <w:rsid w:val="00B2628A"/>
    <w:rsid w:val="00B26585"/>
    <w:rsid w:val="00B30974"/>
    <w:rsid w:val="00B30E70"/>
    <w:rsid w:val="00B31497"/>
    <w:rsid w:val="00B316C3"/>
    <w:rsid w:val="00B31972"/>
    <w:rsid w:val="00B321F0"/>
    <w:rsid w:val="00B3224F"/>
    <w:rsid w:val="00B3254D"/>
    <w:rsid w:val="00B33086"/>
    <w:rsid w:val="00B332AE"/>
    <w:rsid w:val="00B339F1"/>
    <w:rsid w:val="00B34496"/>
    <w:rsid w:val="00B34D52"/>
    <w:rsid w:val="00B34FCB"/>
    <w:rsid w:val="00B35A61"/>
    <w:rsid w:val="00B35D84"/>
    <w:rsid w:val="00B36741"/>
    <w:rsid w:val="00B36E98"/>
    <w:rsid w:val="00B40034"/>
    <w:rsid w:val="00B411A0"/>
    <w:rsid w:val="00B412E2"/>
    <w:rsid w:val="00B41813"/>
    <w:rsid w:val="00B4192E"/>
    <w:rsid w:val="00B41DE7"/>
    <w:rsid w:val="00B41EFD"/>
    <w:rsid w:val="00B43603"/>
    <w:rsid w:val="00B447F9"/>
    <w:rsid w:val="00B4498F"/>
    <w:rsid w:val="00B45048"/>
    <w:rsid w:val="00B452D4"/>
    <w:rsid w:val="00B4576C"/>
    <w:rsid w:val="00B462BA"/>
    <w:rsid w:val="00B46319"/>
    <w:rsid w:val="00B46BA5"/>
    <w:rsid w:val="00B474C3"/>
    <w:rsid w:val="00B474CA"/>
    <w:rsid w:val="00B5025B"/>
    <w:rsid w:val="00B517A1"/>
    <w:rsid w:val="00B52246"/>
    <w:rsid w:val="00B52D38"/>
    <w:rsid w:val="00B534FD"/>
    <w:rsid w:val="00B53867"/>
    <w:rsid w:val="00B538E8"/>
    <w:rsid w:val="00B54C0B"/>
    <w:rsid w:val="00B54EB3"/>
    <w:rsid w:val="00B5518E"/>
    <w:rsid w:val="00B5586D"/>
    <w:rsid w:val="00B55B9F"/>
    <w:rsid w:val="00B5628A"/>
    <w:rsid w:val="00B5663A"/>
    <w:rsid w:val="00B56754"/>
    <w:rsid w:val="00B56FDE"/>
    <w:rsid w:val="00B57459"/>
    <w:rsid w:val="00B57744"/>
    <w:rsid w:val="00B57B36"/>
    <w:rsid w:val="00B60362"/>
    <w:rsid w:val="00B609AF"/>
    <w:rsid w:val="00B61043"/>
    <w:rsid w:val="00B613E4"/>
    <w:rsid w:val="00B6385B"/>
    <w:rsid w:val="00B642B9"/>
    <w:rsid w:val="00B64BF6"/>
    <w:rsid w:val="00B65531"/>
    <w:rsid w:val="00B65E04"/>
    <w:rsid w:val="00B66077"/>
    <w:rsid w:val="00B66477"/>
    <w:rsid w:val="00B6680C"/>
    <w:rsid w:val="00B66BA8"/>
    <w:rsid w:val="00B67674"/>
    <w:rsid w:val="00B67AE6"/>
    <w:rsid w:val="00B70027"/>
    <w:rsid w:val="00B7009A"/>
    <w:rsid w:val="00B7012D"/>
    <w:rsid w:val="00B701FC"/>
    <w:rsid w:val="00B7054F"/>
    <w:rsid w:val="00B7056E"/>
    <w:rsid w:val="00B7059D"/>
    <w:rsid w:val="00B7090E"/>
    <w:rsid w:val="00B70990"/>
    <w:rsid w:val="00B71573"/>
    <w:rsid w:val="00B724AF"/>
    <w:rsid w:val="00B72581"/>
    <w:rsid w:val="00B72737"/>
    <w:rsid w:val="00B72EE9"/>
    <w:rsid w:val="00B73C7C"/>
    <w:rsid w:val="00B73FFF"/>
    <w:rsid w:val="00B74477"/>
    <w:rsid w:val="00B761EB"/>
    <w:rsid w:val="00B76498"/>
    <w:rsid w:val="00B76623"/>
    <w:rsid w:val="00B76834"/>
    <w:rsid w:val="00B768FC"/>
    <w:rsid w:val="00B76915"/>
    <w:rsid w:val="00B76FF7"/>
    <w:rsid w:val="00B7773D"/>
    <w:rsid w:val="00B777E8"/>
    <w:rsid w:val="00B77977"/>
    <w:rsid w:val="00B804FD"/>
    <w:rsid w:val="00B806A1"/>
    <w:rsid w:val="00B80A6C"/>
    <w:rsid w:val="00B80E0C"/>
    <w:rsid w:val="00B82C2D"/>
    <w:rsid w:val="00B84476"/>
    <w:rsid w:val="00B859CE"/>
    <w:rsid w:val="00B85EC4"/>
    <w:rsid w:val="00B8777A"/>
    <w:rsid w:val="00B90906"/>
    <w:rsid w:val="00B924FE"/>
    <w:rsid w:val="00B9333A"/>
    <w:rsid w:val="00B93C8B"/>
    <w:rsid w:val="00B93CE1"/>
    <w:rsid w:val="00B9422C"/>
    <w:rsid w:val="00B94824"/>
    <w:rsid w:val="00B950B0"/>
    <w:rsid w:val="00B9576A"/>
    <w:rsid w:val="00B9642E"/>
    <w:rsid w:val="00B96EC2"/>
    <w:rsid w:val="00B96F1F"/>
    <w:rsid w:val="00B97C64"/>
    <w:rsid w:val="00B97ECD"/>
    <w:rsid w:val="00BA003E"/>
    <w:rsid w:val="00BA0774"/>
    <w:rsid w:val="00BA0BD6"/>
    <w:rsid w:val="00BA0DCF"/>
    <w:rsid w:val="00BA1048"/>
    <w:rsid w:val="00BA11B1"/>
    <w:rsid w:val="00BA1386"/>
    <w:rsid w:val="00BA18A8"/>
    <w:rsid w:val="00BA1B30"/>
    <w:rsid w:val="00BA1E65"/>
    <w:rsid w:val="00BA24AF"/>
    <w:rsid w:val="00BA3A50"/>
    <w:rsid w:val="00BA4365"/>
    <w:rsid w:val="00BA5632"/>
    <w:rsid w:val="00BA5C16"/>
    <w:rsid w:val="00BA7805"/>
    <w:rsid w:val="00BA7BCD"/>
    <w:rsid w:val="00BA7E74"/>
    <w:rsid w:val="00BB0D62"/>
    <w:rsid w:val="00BB13CD"/>
    <w:rsid w:val="00BB15F2"/>
    <w:rsid w:val="00BB17DB"/>
    <w:rsid w:val="00BB1A18"/>
    <w:rsid w:val="00BB1FE1"/>
    <w:rsid w:val="00BB487C"/>
    <w:rsid w:val="00BB57F1"/>
    <w:rsid w:val="00BB5EAA"/>
    <w:rsid w:val="00BB6F7A"/>
    <w:rsid w:val="00BB7326"/>
    <w:rsid w:val="00BB78DA"/>
    <w:rsid w:val="00BC09A4"/>
    <w:rsid w:val="00BC09C0"/>
    <w:rsid w:val="00BC0CBD"/>
    <w:rsid w:val="00BC1A08"/>
    <w:rsid w:val="00BC1DCE"/>
    <w:rsid w:val="00BC21EF"/>
    <w:rsid w:val="00BC46AB"/>
    <w:rsid w:val="00BC48A4"/>
    <w:rsid w:val="00BC499E"/>
    <w:rsid w:val="00BC4ABA"/>
    <w:rsid w:val="00BC53A7"/>
    <w:rsid w:val="00BC5799"/>
    <w:rsid w:val="00BC5867"/>
    <w:rsid w:val="00BC5A95"/>
    <w:rsid w:val="00BC6A8A"/>
    <w:rsid w:val="00BC6C11"/>
    <w:rsid w:val="00BC7FA1"/>
    <w:rsid w:val="00BD0D69"/>
    <w:rsid w:val="00BD11B3"/>
    <w:rsid w:val="00BD1CF0"/>
    <w:rsid w:val="00BD1D08"/>
    <w:rsid w:val="00BD2667"/>
    <w:rsid w:val="00BD395F"/>
    <w:rsid w:val="00BD4C8A"/>
    <w:rsid w:val="00BD4E22"/>
    <w:rsid w:val="00BD5613"/>
    <w:rsid w:val="00BD5C46"/>
    <w:rsid w:val="00BD6142"/>
    <w:rsid w:val="00BD65C7"/>
    <w:rsid w:val="00BD6601"/>
    <w:rsid w:val="00BE1ED0"/>
    <w:rsid w:val="00BE240B"/>
    <w:rsid w:val="00BE296C"/>
    <w:rsid w:val="00BE3C5E"/>
    <w:rsid w:val="00BE3F75"/>
    <w:rsid w:val="00BE4262"/>
    <w:rsid w:val="00BE429D"/>
    <w:rsid w:val="00BE4E01"/>
    <w:rsid w:val="00BE50A5"/>
    <w:rsid w:val="00BE5CF8"/>
    <w:rsid w:val="00BE5ECB"/>
    <w:rsid w:val="00BE5F56"/>
    <w:rsid w:val="00BE6047"/>
    <w:rsid w:val="00BE619D"/>
    <w:rsid w:val="00BE6569"/>
    <w:rsid w:val="00BE669B"/>
    <w:rsid w:val="00BE6921"/>
    <w:rsid w:val="00BE7A1A"/>
    <w:rsid w:val="00BE7A8F"/>
    <w:rsid w:val="00BE7D32"/>
    <w:rsid w:val="00BF049B"/>
    <w:rsid w:val="00BF0889"/>
    <w:rsid w:val="00BF110E"/>
    <w:rsid w:val="00BF14D1"/>
    <w:rsid w:val="00BF2B02"/>
    <w:rsid w:val="00BF2D39"/>
    <w:rsid w:val="00BF3D7B"/>
    <w:rsid w:val="00BF3ECB"/>
    <w:rsid w:val="00BF49D3"/>
    <w:rsid w:val="00BF4DA0"/>
    <w:rsid w:val="00BF59A8"/>
    <w:rsid w:val="00BF5A5C"/>
    <w:rsid w:val="00BF7526"/>
    <w:rsid w:val="00BF7570"/>
    <w:rsid w:val="00BF7940"/>
    <w:rsid w:val="00C00456"/>
    <w:rsid w:val="00C005AE"/>
    <w:rsid w:val="00C00EE2"/>
    <w:rsid w:val="00C00FF1"/>
    <w:rsid w:val="00C01C2B"/>
    <w:rsid w:val="00C01E80"/>
    <w:rsid w:val="00C02083"/>
    <w:rsid w:val="00C02686"/>
    <w:rsid w:val="00C02AAF"/>
    <w:rsid w:val="00C02E7A"/>
    <w:rsid w:val="00C03449"/>
    <w:rsid w:val="00C03CD3"/>
    <w:rsid w:val="00C041D7"/>
    <w:rsid w:val="00C0477D"/>
    <w:rsid w:val="00C05381"/>
    <w:rsid w:val="00C05975"/>
    <w:rsid w:val="00C06924"/>
    <w:rsid w:val="00C06B6F"/>
    <w:rsid w:val="00C06C1C"/>
    <w:rsid w:val="00C06EAB"/>
    <w:rsid w:val="00C07923"/>
    <w:rsid w:val="00C07F77"/>
    <w:rsid w:val="00C106D6"/>
    <w:rsid w:val="00C1070C"/>
    <w:rsid w:val="00C11F5A"/>
    <w:rsid w:val="00C123BF"/>
    <w:rsid w:val="00C1290D"/>
    <w:rsid w:val="00C129A3"/>
    <w:rsid w:val="00C12B14"/>
    <w:rsid w:val="00C12D37"/>
    <w:rsid w:val="00C130B3"/>
    <w:rsid w:val="00C13289"/>
    <w:rsid w:val="00C135B9"/>
    <w:rsid w:val="00C14271"/>
    <w:rsid w:val="00C14E8B"/>
    <w:rsid w:val="00C153D9"/>
    <w:rsid w:val="00C15DD7"/>
    <w:rsid w:val="00C17144"/>
    <w:rsid w:val="00C17DDB"/>
    <w:rsid w:val="00C2052A"/>
    <w:rsid w:val="00C20BD7"/>
    <w:rsid w:val="00C20FA8"/>
    <w:rsid w:val="00C21A4C"/>
    <w:rsid w:val="00C229AE"/>
    <w:rsid w:val="00C231C3"/>
    <w:rsid w:val="00C2399D"/>
    <w:rsid w:val="00C251A3"/>
    <w:rsid w:val="00C25B04"/>
    <w:rsid w:val="00C25EA2"/>
    <w:rsid w:val="00C264E2"/>
    <w:rsid w:val="00C267A8"/>
    <w:rsid w:val="00C26A30"/>
    <w:rsid w:val="00C27AAC"/>
    <w:rsid w:val="00C27D69"/>
    <w:rsid w:val="00C27F39"/>
    <w:rsid w:val="00C306F2"/>
    <w:rsid w:val="00C30D4B"/>
    <w:rsid w:val="00C31F9F"/>
    <w:rsid w:val="00C32674"/>
    <w:rsid w:val="00C32EB3"/>
    <w:rsid w:val="00C3361D"/>
    <w:rsid w:val="00C33803"/>
    <w:rsid w:val="00C33E2D"/>
    <w:rsid w:val="00C33F5E"/>
    <w:rsid w:val="00C3454A"/>
    <w:rsid w:val="00C34C4A"/>
    <w:rsid w:val="00C35091"/>
    <w:rsid w:val="00C35379"/>
    <w:rsid w:val="00C35426"/>
    <w:rsid w:val="00C36B32"/>
    <w:rsid w:val="00C37607"/>
    <w:rsid w:val="00C37971"/>
    <w:rsid w:val="00C37BD2"/>
    <w:rsid w:val="00C37C09"/>
    <w:rsid w:val="00C400EB"/>
    <w:rsid w:val="00C40901"/>
    <w:rsid w:val="00C40D9E"/>
    <w:rsid w:val="00C4195C"/>
    <w:rsid w:val="00C419E3"/>
    <w:rsid w:val="00C41FB9"/>
    <w:rsid w:val="00C43CF2"/>
    <w:rsid w:val="00C44007"/>
    <w:rsid w:val="00C442ED"/>
    <w:rsid w:val="00C44765"/>
    <w:rsid w:val="00C44782"/>
    <w:rsid w:val="00C44A86"/>
    <w:rsid w:val="00C44F74"/>
    <w:rsid w:val="00C45548"/>
    <w:rsid w:val="00C45B3B"/>
    <w:rsid w:val="00C461CA"/>
    <w:rsid w:val="00C46502"/>
    <w:rsid w:val="00C46A90"/>
    <w:rsid w:val="00C47C02"/>
    <w:rsid w:val="00C47DEC"/>
    <w:rsid w:val="00C5017E"/>
    <w:rsid w:val="00C51083"/>
    <w:rsid w:val="00C51A3D"/>
    <w:rsid w:val="00C51A5A"/>
    <w:rsid w:val="00C51DA3"/>
    <w:rsid w:val="00C5333E"/>
    <w:rsid w:val="00C54462"/>
    <w:rsid w:val="00C5462C"/>
    <w:rsid w:val="00C54FD6"/>
    <w:rsid w:val="00C552C2"/>
    <w:rsid w:val="00C60B58"/>
    <w:rsid w:val="00C62AE8"/>
    <w:rsid w:val="00C63892"/>
    <w:rsid w:val="00C63E68"/>
    <w:rsid w:val="00C646AC"/>
    <w:rsid w:val="00C648A3"/>
    <w:rsid w:val="00C648CF"/>
    <w:rsid w:val="00C649EE"/>
    <w:rsid w:val="00C6538A"/>
    <w:rsid w:val="00C65DFC"/>
    <w:rsid w:val="00C66357"/>
    <w:rsid w:val="00C66DBB"/>
    <w:rsid w:val="00C67401"/>
    <w:rsid w:val="00C67548"/>
    <w:rsid w:val="00C70060"/>
    <w:rsid w:val="00C70AC5"/>
    <w:rsid w:val="00C70CF9"/>
    <w:rsid w:val="00C71E46"/>
    <w:rsid w:val="00C73570"/>
    <w:rsid w:val="00C738E1"/>
    <w:rsid w:val="00C73C42"/>
    <w:rsid w:val="00C73DD7"/>
    <w:rsid w:val="00C74A8E"/>
    <w:rsid w:val="00C75B5A"/>
    <w:rsid w:val="00C76579"/>
    <w:rsid w:val="00C76AE1"/>
    <w:rsid w:val="00C771C5"/>
    <w:rsid w:val="00C8010C"/>
    <w:rsid w:val="00C8090A"/>
    <w:rsid w:val="00C8144B"/>
    <w:rsid w:val="00C81911"/>
    <w:rsid w:val="00C81FFB"/>
    <w:rsid w:val="00C8212D"/>
    <w:rsid w:val="00C825FF"/>
    <w:rsid w:val="00C82777"/>
    <w:rsid w:val="00C832A0"/>
    <w:rsid w:val="00C83585"/>
    <w:rsid w:val="00C83C89"/>
    <w:rsid w:val="00C84DC7"/>
    <w:rsid w:val="00C85D3C"/>
    <w:rsid w:val="00C86158"/>
    <w:rsid w:val="00C86BF6"/>
    <w:rsid w:val="00C87BD0"/>
    <w:rsid w:val="00C91308"/>
    <w:rsid w:val="00C91BC9"/>
    <w:rsid w:val="00C91C23"/>
    <w:rsid w:val="00C91E6E"/>
    <w:rsid w:val="00C9215B"/>
    <w:rsid w:val="00C92BA2"/>
    <w:rsid w:val="00C92E6C"/>
    <w:rsid w:val="00C93083"/>
    <w:rsid w:val="00C93165"/>
    <w:rsid w:val="00C93253"/>
    <w:rsid w:val="00C933FE"/>
    <w:rsid w:val="00C9346E"/>
    <w:rsid w:val="00C944F0"/>
    <w:rsid w:val="00C94704"/>
    <w:rsid w:val="00C948A9"/>
    <w:rsid w:val="00C948B9"/>
    <w:rsid w:val="00C94AE4"/>
    <w:rsid w:val="00C954E6"/>
    <w:rsid w:val="00C95527"/>
    <w:rsid w:val="00C95D1F"/>
    <w:rsid w:val="00C95D36"/>
    <w:rsid w:val="00C9707C"/>
    <w:rsid w:val="00C978B4"/>
    <w:rsid w:val="00CA008F"/>
    <w:rsid w:val="00CA140D"/>
    <w:rsid w:val="00CA1A9C"/>
    <w:rsid w:val="00CA2630"/>
    <w:rsid w:val="00CA27F1"/>
    <w:rsid w:val="00CA27F9"/>
    <w:rsid w:val="00CA2E32"/>
    <w:rsid w:val="00CA2EAB"/>
    <w:rsid w:val="00CA2F4E"/>
    <w:rsid w:val="00CA338D"/>
    <w:rsid w:val="00CA479A"/>
    <w:rsid w:val="00CA51FF"/>
    <w:rsid w:val="00CA630E"/>
    <w:rsid w:val="00CA76DB"/>
    <w:rsid w:val="00CA7C61"/>
    <w:rsid w:val="00CB0B54"/>
    <w:rsid w:val="00CB0C0C"/>
    <w:rsid w:val="00CB164B"/>
    <w:rsid w:val="00CB1BF0"/>
    <w:rsid w:val="00CB1F82"/>
    <w:rsid w:val="00CB2B03"/>
    <w:rsid w:val="00CB2D10"/>
    <w:rsid w:val="00CB38C6"/>
    <w:rsid w:val="00CB3A88"/>
    <w:rsid w:val="00CB3C62"/>
    <w:rsid w:val="00CB4D2A"/>
    <w:rsid w:val="00CB5177"/>
    <w:rsid w:val="00CB53C7"/>
    <w:rsid w:val="00CB63F5"/>
    <w:rsid w:val="00CB6945"/>
    <w:rsid w:val="00CB7D61"/>
    <w:rsid w:val="00CC0021"/>
    <w:rsid w:val="00CC0991"/>
    <w:rsid w:val="00CC1FBC"/>
    <w:rsid w:val="00CC215D"/>
    <w:rsid w:val="00CC2A72"/>
    <w:rsid w:val="00CC3862"/>
    <w:rsid w:val="00CC3A8B"/>
    <w:rsid w:val="00CC4049"/>
    <w:rsid w:val="00CC54C8"/>
    <w:rsid w:val="00CC58F9"/>
    <w:rsid w:val="00CC69FE"/>
    <w:rsid w:val="00CC6D95"/>
    <w:rsid w:val="00CC72C5"/>
    <w:rsid w:val="00CC78DB"/>
    <w:rsid w:val="00CD0074"/>
    <w:rsid w:val="00CD0A1F"/>
    <w:rsid w:val="00CD0D86"/>
    <w:rsid w:val="00CD1314"/>
    <w:rsid w:val="00CD156E"/>
    <w:rsid w:val="00CD2979"/>
    <w:rsid w:val="00CD46A2"/>
    <w:rsid w:val="00CD4AAF"/>
    <w:rsid w:val="00CD4DF1"/>
    <w:rsid w:val="00CD5874"/>
    <w:rsid w:val="00CD5987"/>
    <w:rsid w:val="00CD6F96"/>
    <w:rsid w:val="00CD715F"/>
    <w:rsid w:val="00CD7429"/>
    <w:rsid w:val="00CD74EB"/>
    <w:rsid w:val="00CD76C8"/>
    <w:rsid w:val="00CE089F"/>
    <w:rsid w:val="00CE09FA"/>
    <w:rsid w:val="00CE0A60"/>
    <w:rsid w:val="00CE0AE5"/>
    <w:rsid w:val="00CE0C72"/>
    <w:rsid w:val="00CE1401"/>
    <w:rsid w:val="00CE15F3"/>
    <w:rsid w:val="00CE1E99"/>
    <w:rsid w:val="00CE2C5E"/>
    <w:rsid w:val="00CE3054"/>
    <w:rsid w:val="00CE32F3"/>
    <w:rsid w:val="00CE336C"/>
    <w:rsid w:val="00CE4AAE"/>
    <w:rsid w:val="00CE517A"/>
    <w:rsid w:val="00CE550E"/>
    <w:rsid w:val="00CE56F4"/>
    <w:rsid w:val="00CE61F1"/>
    <w:rsid w:val="00CE6E0C"/>
    <w:rsid w:val="00CE70A2"/>
    <w:rsid w:val="00CF03E5"/>
    <w:rsid w:val="00CF1A52"/>
    <w:rsid w:val="00CF1BBE"/>
    <w:rsid w:val="00CF32C9"/>
    <w:rsid w:val="00CF3E50"/>
    <w:rsid w:val="00CF49CB"/>
    <w:rsid w:val="00CF50C2"/>
    <w:rsid w:val="00CF5374"/>
    <w:rsid w:val="00CF6272"/>
    <w:rsid w:val="00CF634F"/>
    <w:rsid w:val="00CF65DE"/>
    <w:rsid w:val="00CF6E39"/>
    <w:rsid w:val="00CF79CD"/>
    <w:rsid w:val="00CF7A05"/>
    <w:rsid w:val="00D0024A"/>
    <w:rsid w:val="00D00491"/>
    <w:rsid w:val="00D00FD5"/>
    <w:rsid w:val="00D028D6"/>
    <w:rsid w:val="00D04197"/>
    <w:rsid w:val="00D04C25"/>
    <w:rsid w:val="00D0551E"/>
    <w:rsid w:val="00D05A51"/>
    <w:rsid w:val="00D063AD"/>
    <w:rsid w:val="00D068F0"/>
    <w:rsid w:val="00D069EC"/>
    <w:rsid w:val="00D073A5"/>
    <w:rsid w:val="00D076FB"/>
    <w:rsid w:val="00D07825"/>
    <w:rsid w:val="00D114BB"/>
    <w:rsid w:val="00D11EA7"/>
    <w:rsid w:val="00D13533"/>
    <w:rsid w:val="00D13692"/>
    <w:rsid w:val="00D139B6"/>
    <w:rsid w:val="00D13A61"/>
    <w:rsid w:val="00D13B08"/>
    <w:rsid w:val="00D14C25"/>
    <w:rsid w:val="00D15732"/>
    <w:rsid w:val="00D16510"/>
    <w:rsid w:val="00D169CB"/>
    <w:rsid w:val="00D16EBC"/>
    <w:rsid w:val="00D174E9"/>
    <w:rsid w:val="00D17A90"/>
    <w:rsid w:val="00D17F08"/>
    <w:rsid w:val="00D208BB"/>
    <w:rsid w:val="00D2105B"/>
    <w:rsid w:val="00D21CEF"/>
    <w:rsid w:val="00D224D6"/>
    <w:rsid w:val="00D224D7"/>
    <w:rsid w:val="00D229C2"/>
    <w:rsid w:val="00D22FB3"/>
    <w:rsid w:val="00D24F07"/>
    <w:rsid w:val="00D260F4"/>
    <w:rsid w:val="00D26332"/>
    <w:rsid w:val="00D267FA"/>
    <w:rsid w:val="00D307CE"/>
    <w:rsid w:val="00D30FEE"/>
    <w:rsid w:val="00D3115C"/>
    <w:rsid w:val="00D315AF"/>
    <w:rsid w:val="00D31DDD"/>
    <w:rsid w:val="00D32AA2"/>
    <w:rsid w:val="00D331C7"/>
    <w:rsid w:val="00D339EF"/>
    <w:rsid w:val="00D34459"/>
    <w:rsid w:val="00D34B85"/>
    <w:rsid w:val="00D35387"/>
    <w:rsid w:val="00D368D3"/>
    <w:rsid w:val="00D36988"/>
    <w:rsid w:val="00D374FE"/>
    <w:rsid w:val="00D37527"/>
    <w:rsid w:val="00D37AB8"/>
    <w:rsid w:val="00D406A4"/>
    <w:rsid w:val="00D40951"/>
    <w:rsid w:val="00D40EBD"/>
    <w:rsid w:val="00D414AD"/>
    <w:rsid w:val="00D41581"/>
    <w:rsid w:val="00D41F64"/>
    <w:rsid w:val="00D42BEC"/>
    <w:rsid w:val="00D43289"/>
    <w:rsid w:val="00D43323"/>
    <w:rsid w:val="00D43341"/>
    <w:rsid w:val="00D4358A"/>
    <w:rsid w:val="00D4439C"/>
    <w:rsid w:val="00D4538F"/>
    <w:rsid w:val="00D45508"/>
    <w:rsid w:val="00D457F6"/>
    <w:rsid w:val="00D4646E"/>
    <w:rsid w:val="00D47338"/>
    <w:rsid w:val="00D47AB9"/>
    <w:rsid w:val="00D47D66"/>
    <w:rsid w:val="00D50873"/>
    <w:rsid w:val="00D50995"/>
    <w:rsid w:val="00D51858"/>
    <w:rsid w:val="00D51FB5"/>
    <w:rsid w:val="00D52075"/>
    <w:rsid w:val="00D52676"/>
    <w:rsid w:val="00D531E1"/>
    <w:rsid w:val="00D53930"/>
    <w:rsid w:val="00D53CB5"/>
    <w:rsid w:val="00D53F43"/>
    <w:rsid w:val="00D544C1"/>
    <w:rsid w:val="00D54574"/>
    <w:rsid w:val="00D54CDB"/>
    <w:rsid w:val="00D55558"/>
    <w:rsid w:val="00D55572"/>
    <w:rsid w:val="00D55998"/>
    <w:rsid w:val="00D55F2D"/>
    <w:rsid w:val="00D55FC3"/>
    <w:rsid w:val="00D56392"/>
    <w:rsid w:val="00D56442"/>
    <w:rsid w:val="00D6015F"/>
    <w:rsid w:val="00D605AB"/>
    <w:rsid w:val="00D60C5A"/>
    <w:rsid w:val="00D620A4"/>
    <w:rsid w:val="00D631AE"/>
    <w:rsid w:val="00D63754"/>
    <w:rsid w:val="00D63983"/>
    <w:rsid w:val="00D64736"/>
    <w:rsid w:val="00D6579F"/>
    <w:rsid w:val="00D66E8C"/>
    <w:rsid w:val="00D66F19"/>
    <w:rsid w:val="00D67873"/>
    <w:rsid w:val="00D704BB"/>
    <w:rsid w:val="00D707E9"/>
    <w:rsid w:val="00D70861"/>
    <w:rsid w:val="00D70967"/>
    <w:rsid w:val="00D7161C"/>
    <w:rsid w:val="00D71DF3"/>
    <w:rsid w:val="00D71E16"/>
    <w:rsid w:val="00D71FEC"/>
    <w:rsid w:val="00D72227"/>
    <w:rsid w:val="00D72E07"/>
    <w:rsid w:val="00D73887"/>
    <w:rsid w:val="00D7397A"/>
    <w:rsid w:val="00D74A16"/>
    <w:rsid w:val="00D74B38"/>
    <w:rsid w:val="00D757B7"/>
    <w:rsid w:val="00D76AB0"/>
    <w:rsid w:val="00D800F1"/>
    <w:rsid w:val="00D803D8"/>
    <w:rsid w:val="00D80A65"/>
    <w:rsid w:val="00D80B67"/>
    <w:rsid w:val="00D80EC9"/>
    <w:rsid w:val="00D81523"/>
    <w:rsid w:val="00D81FB6"/>
    <w:rsid w:val="00D826B4"/>
    <w:rsid w:val="00D82D4C"/>
    <w:rsid w:val="00D830BF"/>
    <w:rsid w:val="00D83517"/>
    <w:rsid w:val="00D840CD"/>
    <w:rsid w:val="00D84947"/>
    <w:rsid w:val="00D8529C"/>
    <w:rsid w:val="00D855A6"/>
    <w:rsid w:val="00D85D23"/>
    <w:rsid w:val="00D86835"/>
    <w:rsid w:val="00D874E6"/>
    <w:rsid w:val="00D87E86"/>
    <w:rsid w:val="00D921B8"/>
    <w:rsid w:val="00D942CC"/>
    <w:rsid w:val="00D94334"/>
    <w:rsid w:val="00D94611"/>
    <w:rsid w:val="00D949F8"/>
    <w:rsid w:val="00D9506D"/>
    <w:rsid w:val="00D95578"/>
    <w:rsid w:val="00D95DD3"/>
    <w:rsid w:val="00D970D6"/>
    <w:rsid w:val="00D974FE"/>
    <w:rsid w:val="00D976B6"/>
    <w:rsid w:val="00D97EDC"/>
    <w:rsid w:val="00DA0402"/>
    <w:rsid w:val="00DA0C98"/>
    <w:rsid w:val="00DA1BD5"/>
    <w:rsid w:val="00DA29BE"/>
    <w:rsid w:val="00DA29DA"/>
    <w:rsid w:val="00DA4CE9"/>
    <w:rsid w:val="00DA4E10"/>
    <w:rsid w:val="00DA6277"/>
    <w:rsid w:val="00DA637B"/>
    <w:rsid w:val="00DA7963"/>
    <w:rsid w:val="00DA7AA1"/>
    <w:rsid w:val="00DB0312"/>
    <w:rsid w:val="00DB0E1D"/>
    <w:rsid w:val="00DB13AD"/>
    <w:rsid w:val="00DB1BB1"/>
    <w:rsid w:val="00DB2452"/>
    <w:rsid w:val="00DB2B78"/>
    <w:rsid w:val="00DB2FE9"/>
    <w:rsid w:val="00DB3449"/>
    <w:rsid w:val="00DB3DD6"/>
    <w:rsid w:val="00DB400A"/>
    <w:rsid w:val="00DB42BF"/>
    <w:rsid w:val="00DB483C"/>
    <w:rsid w:val="00DB5538"/>
    <w:rsid w:val="00DB5CD0"/>
    <w:rsid w:val="00DB5D13"/>
    <w:rsid w:val="00DB5F1E"/>
    <w:rsid w:val="00DB5FD0"/>
    <w:rsid w:val="00DB633C"/>
    <w:rsid w:val="00DB650D"/>
    <w:rsid w:val="00DB6857"/>
    <w:rsid w:val="00DB707E"/>
    <w:rsid w:val="00DB726A"/>
    <w:rsid w:val="00DB782C"/>
    <w:rsid w:val="00DC009D"/>
    <w:rsid w:val="00DC04BB"/>
    <w:rsid w:val="00DC17D5"/>
    <w:rsid w:val="00DC2DF5"/>
    <w:rsid w:val="00DC3496"/>
    <w:rsid w:val="00DC3F8A"/>
    <w:rsid w:val="00DC5CF4"/>
    <w:rsid w:val="00DC5E77"/>
    <w:rsid w:val="00DC5F7A"/>
    <w:rsid w:val="00DC6339"/>
    <w:rsid w:val="00DC6430"/>
    <w:rsid w:val="00DC658D"/>
    <w:rsid w:val="00DC7EE0"/>
    <w:rsid w:val="00DD0410"/>
    <w:rsid w:val="00DD042D"/>
    <w:rsid w:val="00DD055D"/>
    <w:rsid w:val="00DD0572"/>
    <w:rsid w:val="00DD109D"/>
    <w:rsid w:val="00DD15B3"/>
    <w:rsid w:val="00DD2DC0"/>
    <w:rsid w:val="00DD31AD"/>
    <w:rsid w:val="00DD3872"/>
    <w:rsid w:val="00DD4636"/>
    <w:rsid w:val="00DD5CB7"/>
    <w:rsid w:val="00DD5D1C"/>
    <w:rsid w:val="00DD5E0C"/>
    <w:rsid w:val="00DD6403"/>
    <w:rsid w:val="00DD68E9"/>
    <w:rsid w:val="00DD739C"/>
    <w:rsid w:val="00DD7401"/>
    <w:rsid w:val="00DE0CB6"/>
    <w:rsid w:val="00DE1336"/>
    <w:rsid w:val="00DE13AD"/>
    <w:rsid w:val="00DE19D4"/>
    <w:rsid w:val="00DE1E52"/>
    <w:rsid w:val="00DE2D2F"/>
    <w:rsid w:val="00DE2E21"/>
    <w:rsid w:val="00DE45F9"/>
    <w:rsid w:val="00DE4932"/>
    <w:rsid w:val="00DE6158"/>
    <w:rsid w:val="00DE6755"/>
    <w:rsid w:val="00DE6843"/>
    <w:rsid w:val="00DE7917"/>
    <w:rsid w:val="00DE7C8F"/>
    <w:rsid w:val="00DF038E"/>
    <w:rsid w:val="00DF045C"/>
    <w:rsid w:val="00DF1277"/>
    <w:rsid w:val="00DF151A"/>
    <w:rsid w:val="00DF222D"/>
    <w:rsid w:val="00DF2481"/>
    <w:rsid w:val="00DF27B6"/>
    <w:rsid w:val="00DF2E24"/>
    <w:rsid w:val="00DF354A"/>
    <w:rsid w:val="00DF3D57"/>
    <w:rsid w:val="00DF3E0A"/>
    <w:rsid w:val="00DF4A93"/>
    <w:rsid w:val="00DF4EA5"/>
    <w:rsid w:val="00DF521F"/>
    <w:rsid w:val="00DF6158"/>
    <w:rsid w:val="00DF662B"/>
    <w:rsid w:val="00DF6816"/>
    <w:rsid w:val="00DF77D0"/>
    <w:rsid w:val="00DF7DE4"/>
    <w:rsid w:val="00E0041B"/>
    <w:rsid w:val="00E00790"/>
    <w:rsid w:val="00E011B3"/>
    <w:rsid w:val="00E01254"/>
    <w:rsid w:val="00E01D59"/>
    <w:rsid w:val="00E01FD1"/>
    <w:rsid w:val="00E02148"/>
    <w:rsid w:val="00E0284E"/>
    <w:rsid w:val="00E02932"/>
    <w:rsid w:val="00E02CB0"/>
    <w:rsid w:val="00E02D63"/>
    <w:rsid w:val="00E04A31"/>
    <w:rsid w:val="00E05418"/>
    <w:rsid w:val="00E056FF"/>
    <w:rsid w:val="00E05AA6"/>
    <w:rsid w:val="00E06630"/>
    <w:rsid w:val="00E06880"/>
    <w:rsid w:val="00E1058B"/>
    <w:rsid w:val="00E1076E"/>
    <w:rsid w:val="00E10DCE"/>
    <w:rsid w:val="00E11187"/>
    <w:rsid w:val="00E113D9"/>
    <w:rsid w:val="00E12FCA"/>
    <w:rsid w:val="00E13708"/>
    <w:rsid w:val="00E138B6"/>
    <w:rsid w:val="00E15303"/>
    <w:rsid w:val="00E15535"/>
    <w:rsid w:val="00E16283"/>
    <w:rsid w:val="00E16358"/>
    <w:rsid w:val="00E16419"/>
    <w:rsid w:val="00E17B18"/>
    <w:rsid w:val="00E17BDD"/>
    <w:rsid w:val="00E20022"/>
    <w:rsid w:val="00E205A8"/>
    <w:rsid w:val="00E2146D"/>
    <w:rsid w:val="00E22BDA"/>
    <w:rsid w:val="00E2319F"/>
    <w:rsid w:val="00E2356B"/>
    <w:rsid w:val="00E23860"/>
    <w:rsid w:val="00E2433E"/>
    <w:rsid w:val="00E24CD3"/>
    <w:rsid w:val="00E24F4D"/>
    <w:rsid w:val="00E2664E"/>
    <w:rsid w:val="00E26DCE"/>
    <w:rsid w:val="00E26ED0"/>
    <w:rsid w:val="00E27845"/>
    <w:rsid w:val="00E31A8F"/>
    <w:rsid w:val="00E31E4A"/>
    <w:rsid w:val="00E327DC"/>
    <w:rsid w:val="00E3460B"/>
    <w:rsid w:val="00E35512"/>
    <w:rsid w:val="00E358A1"/>
    <w:rsid w:val="00E3599B"/>
    <w:rsid w:val="00E36752"/>
    <w:rsid w:val="00E368F8"/>
    <w:rsid w:val="00E36D34"/>
    <w:rsid w:val="00E36F68"/>
    <w:rsid w:val="00E37842"/>
    <w:rsid w:val="00E40516"/>
    <w:rsid w:val="00E4053C"/>
    <w:rsid w:val="00E41F36"/>
    <w:rsid w:val="00E4229C"/>
    <w:rsid w:val="00E424EE"/>
    <w:rsid w:val="00E42B2C"/>
    <w:rsid w:val="00E42E75"/>
    <w:rsid w:val="00E430F3"/>
    <w:rsid w:val="00E44AE5"/>
    <w:rsid w:val="00E4532F"/>
    <w:rsid w:val="00E459E1"/>
    <w:rsid w:val="00E45A47"/>
    <w:rsid w:val="00E45BA2"/>
    <w:rsid w:val="00E45D0F"/>
    <w:rsid w:val="00E462A6"/>
    <w:rsid w:val="00E47313"/>
    <w:rsid w:val="00E50278"/>
    <w:rsid w:val="00E50B43"/>
    <w:rsid w:val="00E51950"/>
    <w:rsid w:val="00E52688"/>
    <w:rsid w:val="00E52868"/>
    <w:rsid w:val="00E529B6"/>
    <w:rsid w:val="00E52EF4"/>
    <w:rsid w:val="00E5395A"/>
    <w:rsid w:val="00E54075"/>
    <w:rsid w:val="00E54145"/>
    <w:rsid w:val="00E54A21"/>
    <w:rsid w:val="00E54EB9"/>
    <w:rsid w:val="00E54EEF"/>
    <w:rsid w:val="00E551BF"/>
    <w:rsid w:val="00E556ED"/>
    <w:rsid w:val="00E566C7"/>
    <w:rsid w:val="00E56D36"/>
    <w:rsid w:val="00E56E97"/>
    <w:rsid w:val="00E5793C"/>
    <w:rsid w:val="00E57AB6"/>
    <w:rsid w:val="00E57C4A"/>
    <w:rsid w:val="00E57E99"/>
    <w:rsid w:val="00E60B21"/>
    <w:rsid w:val="00E610EE"/>
    <w:rsid w:val="00E61144"/>
    <w:rsid w:val="00E61C50"/>
    <w:rsid w:val="00E633B6"/>
    <w:rsid w:val="00E63F33"/>
    <w:rsid w:val="00E6442D"/>
    <w:rsid w:val="00E65B93"/>
    <w:rsid w:val="00E67783"/>
    <w:rsid w:val="00E67C20"/>
    <w:rsid w:val="00E703F4"/>
    <w:rsid w:val="00E70F01"/>
    <w:rsid w:val="00E716A2"/>
    <w:rsid w:val="00E71842"/>
    <w:rsid w:val="00E71848"/>
    <w:rsid w:val="00E723E0"/>
    <w:rsid w:val="00E73354"/>
    <w:rsid w:val="00E73852"/>
    <w:rsid w:val="00E74455"/>
    <w:rsid w:val="00E74939"/>
    <w:rsid w:val="00E750C6"/>
    <w:rsid w:val="00E776B7"/>
    <w:rsid w:val="00E80834"/>
    <w:rsid w:val="00E80D6F"/>
    <w:rsid w:val="00E815A3"/>
    <w:rsid w:val="00E81AB7"/>
    <w:rsid w:val="00E820A6"/>
    <w:rsid w:val="00E828CB"/>
    <w:rsid w:val="00E82FB1"/>
    <w:rsid w:val="00E83596"/>
    <w:rsid w:val="00E83A8C"/>
    <w:rsid w:val="00E84557"/>
    <w:rsid w:val="00E845A0"/>
    <w:rsid w:val="00E84999"/>
    <w:rsid w:val="00E85270"/>
    <w:rsid w:val="00E856B8"/>
    <w:rsid w:val="00E87598"/>
    <w:rsid w:val="00E87A49"/>
    <w:rsid w:val="00E87CFC"/>
    <w:rsid w:val="00E87E45"/>
    <w:rsid w:val="00E9142E"/>
    <w:rsid w:val="00E9184F"/>
    <w:rsid w:val="00E91B24"/>
    <w:rsid w:val="00E92124"/>
    <w:rsid w:val="00E92702"/>
    <w:rsid w:val="00E93941"/>
    <w:rsid w:val="00E94577"/>
    <w:rsid w:val="00E94D79"/>
    <w:rsid w:val="00E95280"/>
    <w:rsid w:val="00E9615D"/>
    <w:rsid w:val="00E96803"/>
    <w:rsid w:val="00E96A19"/>
    <w:rsid w:val="00E97507"/>
    <w:rsid w:val="00E97C01"/>
    <w:rsid w:val="00E97CCF"/>
    <w:rsid w:val="00E97FED"/>
    <w:rsid w:val="00EA02F6"/>
    <w:rsid w:val="00EA163D"/>
    <w:rsid w:val="00EA3B63"/>
    <w:rsid w:val="00EA4269"/>
    <w:rsid w:val="00EA580B"/>
    <w:rsid w:val="00EA673C"/>
    <w:rsid w:val="00EA6F8F"/>
    <w:rsid w:val="00EA7E51"/>
    <w:rsid w:val="00EB0530"/>
    <w:rsid w:val="00EB1F7D"/>
    <w:rsid w:val="00EB23B7"/>
    <w:rsid w:val="00EB24B0"/>
    <w:rsid w:val="00EB2F02"/>
    <w:rsid w:val="00EB3B1D"/>
    <w:rsid w:val="00EB3ED7"/>
    <w:rsid w:val="00EB4666"/>
    <w:rsid w:val="00EB5C0B"/>
    <w:rsid w:val="00EB5CFA"/>
    <w:rsid w:val="00EB6079"/>
    <w:rsid w:val="00EB6511"/>
    <w:rsid w:val="00EB71D9"/>
    <w:rsid w:val="00EB74D6"/>
    <w:rsid w:val="00EB79F7"/>
    <w:rsid w:val="00EB7E87"/>
    <w:rsid w:val="00EC0115"/>
    <w:rsid w:val="00EC1F6A"/>
    <w:rsid w:val="00EC2194"/>
    <w:rsid w:val="00EC2870"/>
    <w:rsid w:val="00EC309C"/>
    <w:rsid w:val="00EC3CDB"/>
    <w:rsid w:val="00EC4D7B"/>
    <w:rsid w:val="00EC4F89"/>
    <w:rsid w:val="00EC5EEB"/>
    <w:rsid w:val="00EC6199"/>
    <w:rsid w:val="00EC7416"/>
    <w:rsid w:val="00EC76CD"/>
    <w:rsid w:val="00EC7705"/>
    <w:rsid w:val="00ED0113"/>
    <w:rsid w:val="00ED0802"/>
    <w:rsid w:val="00ED0901"/>
    <w:rsid w:val="00ED1583"/>
    <w:rsid w:val="00ED191D"/>
    <w:rsid w:val="00ED2743"/>
    <w:rsid w:val="00ED2E76"/>
    <w:rsid w:val="00ED30BF"/>
    <w:rsid w:val="00ED3CC0"/>
    <w:rsid w:val="00ED4A14"/>
    <w:rsid w:val="00ED4A18"/>
    <w:rsid w:val="00ED4D81"/>
    <w:rsid w:val="00ED4E1D"/>
    <w:rsid w:val="00ED66D1"/>
    <w:rsid w:val="00ED6844"/>
    <w:rsid w:val="00ED69E7"/>
    <w:rsid w:val="00ED6B35"/>
    <w:rsid w:val="00ED7633"/>
    <w:rsid w:val="00ED7E19"/>
    <w:rsid w:val="00EE167E"/>
    <w:rsid w:val="00EE1693"/>
    <w:rsid w:val="00EE19FF"/>
    <w:rsid w:val="00EE4224"/>
    <w:rsid w:val="00EE5BB1"/>
    <w:rsid w:val="00EE6788"/>
    <w:rsid w:val="00EE67ED"/>
    <w:rsid w:val="00EE6A4D"/>
    <w:rsid w:val="00EE6F10"/>
    <w:rsid w:val="00EE73A8"/>
    <w:rsid w:val="00EE75CE"/>
    <w:rsid w:val="00EF0229"/>
    <w:rsid w:val="00EF0312"/>
    <w:rsid w:val="00EF0664"/>
    <w:rsid w:val="00EF0BD5"/>
    <w:rsid w:val="00EF1B46"/>
    <w:rsid w:val="00EF1DE2"/>
    <w:rsid w:val="00EF2097"/>
    <w:rsid w:val="00EF2164"/>
    <w:rsid w:val="00EF2417"/>
    <w:rsid w:val="00EF293E"/>
    <w:rsid w:val="00EF3019"/>
    <w:rsid w:val="00EF32E4"/>
    <w:rsid w:val="00EF365D"/>
    <w:rsid w:val="00EF3F95"/>
    <w:rsid w:val="00EF66B3"/>
    <w:rsid w:val="00EF77E9"/>
    <w:rsid w:val="00EF7A99"/>
    <w:rsid w:val="00F002FF"/>
    <w:rsid w:val="00F00C68"/>
    <w:rsid w:val="00F01425"/>
    <w:rsid w:val="00F01C39"/>
    <w:rsid w:val="00F020BC"/>
    <w:rsid w:val="00F02582"/>
    <w:rsid w:val="00F02BE8"/>
    <w:rsid w:val="00F02D2F"/>
    <w:rsid w:val="00F031E8"/>
    <w:rsid w:val="00F0380C"/>
    <w:rsid w:val="00F041DD"/>
    <w:rsid w:val="00F042F0"/>
    <w:rsid w:val="00F04D8C"/>
    <w:rsid w:val="00F06100"/>
    <w:rsid w:val="00F06796"/>
    <w:rsid w:val="00F069DC"/>
    <w:rsid w:val="00F06F59"/>
    <w:rsid w:val="00F0717E"/>
    <w:rsid w:val="00F07E2C"/>
    <w:rsid w:val="00F1174F"/>
    <w:rsid w:val="00F11DA9"/>
    <w:rsid w:val="00F130B5"/>
    <w:rsid w:val="00F13392"/>
    <w:rsid w:val="00F13A63"/>
    <w:rsid w:val="00F147C3"/>
    <w:rsid w:val="00F155B7"/>
    <w:rsid w:val="00F15748"/>
    <w:rsid w:val="00F15C6A"/>
    <w:rsid w:val="00F16272"/>
    <w:rsid w:val="00F16D99"/>
    <w:rsid w:val="00F1741D"/>
    <w:rsid w:val="00F206D1"/>
    <w:rsid w:val="00F213DD"/>
    <w:rsid w:val="00F21568"/>
    <w:rsid w:val="00F2176F"/>
    <w:rsid w:val="00F21849"/>
    <w:rsid w:val="00F21911"/>
    <w:rsid w:val="00F21B8F"/>
    <w:rsid w:val="00F2205F"/>
    <w:rsid w:val="00F2348E"/>
    <w:rsid w:val="00F23A7A"/>
    <w:rsid w:val="00F2464E"/>
    <w:rsid w:val="00F246CE"/>
    <w:rsid w:val="00F24AF0"/>
    <w:rsid w:val="00F25074"/>
    <w:rsid w:val="00F25A77"/>
    <w:rsid w:val="00F25C4B"/>
    <w:rsid w:val="00F25D0F"/>
    <w:rsid w:val="00F25D2A"/>
    <w:rsid w:val="00F26452"/>
    <w:rsid w:val="00F26FB3"/>
    <w:rsid w:val="00F279B4"/>
    <w:rsid w:val="00F30578"/>
    <w:rsid w:val="00F305E5"/>
    <w:rsid w:val="00F30F59"/>
    <w:rsid w:val="00F3101F"/>
    <w:rsid w:val="00F31A09"/>
    <w:rsid w:val="00F31ABD"/>
    <w:rsid w:val="00F31B4F"/>
    <w:rsid w:val="00F32E57"/>
    <w:rsid w:val="00F33459"/>
    <w:rsid w:val="00F3364F"/>
    <w:rsid w:val="00F343B3"/>
    <w:rsid w:val="00F35CC7"/>
    <w:rsid w:val="00F36256"/>
    <w:rsid w:val="00F36EF3"/>
    <w:rsid w:val="00F4093A"/>
    <w:rsid w:val="00F422EA"/>
    <w:rsid w:val="00F42AE6"/>
    <w:rsid w:val="00F42EBE"/>
    <w:rsid w:val="00F43050"/>
    <w:rsid w:val="00F4345E"/>
    <w:rsid w:val="00F4469D"/>
    <w:rsid w:val="00F44F6C"/>
    <w:rsid w:val="00F4546D"/>
    <w:rsid w:val="00F4589F"/>
    <w:rsid w:val="00F45A9D"/>
    <w:rsid w:val="00F46224"/>
    <w:rsid w:val="00F46FC2"/>
    <w:rsid w:val="00F5183C"/>
    <w:rsid w:val="00F51BD2"/>
    <w:rsid w:val="00F51BFB"/>
    <w:rsid w:val="00F52011"/>
    <w:rsid w:val="00F52400"/>
    <w:rsid w:val="00F52466"/>
    <w:rsid w:val="00F524A7"/>
    <w:rsid w:val="00F52A77"/>
    <w:rsid w:val="00F52C71"/>
    <w:rsid w:val="00F52E95"/>
    <w:rsid w:val="00F54A41"/>
    <w:rsid w:val="00F54E08"/>
    <w:rsid w:val="00F55040"/>
    <w:rsid w:val="00F55462"/>
    <w:rsid w:val="00F55672"/>
    <w:rsid w:val="00F55C72"/>
    <w:rsid w:val="00F5622E"/>
    <w:rsid w:val="00F56B29"/>
    <w:rsid w:val="00F56F6A"/>
    <w:rsid w:val="00F57056"/>
    <w:rsid w:val="00F602FF"/>
    <w:rsid w:val="00F6037F"/>
    <w:rsid w:val="00F62512"/>
    <w:rsid w:val="00F632BA"/>
    <w:rsid w:val="00F64512"/>
    <w:rsid w:val="00F655D8"/>
    <w:rsid w:val="00F66BD4"/>
    <w:rsid w:val="00F66F3C"/>
    <w:rsid w:val="00F6770C"/>
    <w:rsid w:val="00F677C3"/>
    <w:rsid w:val="00F67BCC"/>
    <w:rsid w:val="00F704D8"/>
    <w:rsid w:val="00F71374"/>
    <w:rsid w:val="00F719D2"/>
    <w:rsid w:val="00F72D00"/>
    <w:rsid w:val="00F72E8B"/>
    <w:rsid w:val="00F731FC"/>
    <w:rsid w:val="00F73786"/>
    <w:rsid w:val="00F73A72"/>
    <w:rsid w:val="00F73BEE"/>
    <w:rsid w:val="00F74B05"/>
    <w:rsid w:val="00F753B7"/>
    <w:rsid w:val="00F75CBF"/>
    <w:rsid w:val="00F75E8C"/>
    <w:rsid w:val="00F76B77"/>
    <w:rsid w:val="00F76D34"/>
    <w:rsid w:val="00F815D5"/>
    <w:rsid w:val="00F82CB2"/>
    <w:rsid w:val="00F83244"/>
    <w:rsid w:val="00F83782"/>
    <w:rsid w:val="00F83791"/>
    <w:rsid w:val="00F83DEA"/>
    <w:rsid w:val="00F8471B"/>
    <w:rsid w:val="00F8520F"/>
    <w:rsid w:val="00F855EB"/>
    <w:rsid w:val="00F86324"/>
    <w:rsid w:val="00F865F5"/>
    <w:rsid w:val="00F8682E"/>
    <w:rsid w:val="00F86E55"/>
    <w:rsid w:val="00F87096"/>
    <w:rsid w:val="00F87460"/>
    <w:rsid w:val="00F8756B"/>
    <w:rsid w:val="00F9059C"/>
    <w:rsid w:val="00F90F0D"/>
    <w:rsid w:val="00F91E11"/>
    <w:rsid w:val="00F9220A"/>
    <w:rsid w:val="00F92669"/>
    <w:rsid w:val="00F928D3"/>
    <w:rsid w:val="00F92D65"/>
    <w:rsid w:val="00F92EB4"/>
    <w:rsid w:val="00F9579B"/>
    <w:rsid w:val="00F95A1C"/>
    <w:rsid w:val="00F96069"/>
    <w:rsid w:val="00F962D5"/>
    <w:rsid w:val="00F971C4"/>
    <w:rsid w:val="00F976F8"/>
    <w:rsid w:val="00F97706"/>
    <w:rsid w:val="00FA0B50"/>
    <w:rsid w:val="00FA114C"/>
    <w:rsid w:val="00FA1856"/>
    <w:rsid w:val="00FA1B9C"/>
    <w:rsid w:val="00FA263B"/>
    <w:rsid w:val="00FA2AE6"/>
    <w:rsid w:val="00FA2DA0"/>
    <w:rsid w:val="00FA4388"/>
    <w:rsid w:val="00FA44A1"/>
    <w:rsid w:val="00FA6ECE"/>
    <w:rsid w:val="00FA7815"/>
    <w:rsid w:val="00FA7EFB"/>
    <w:rsid w:val="00FB003E"/>
    <w:rsid w:val="00FB0300"/>
    <w:rsid w:val="00FB05BB"/>
    <w:rsid w:val="00FB0A3F"/>
    <w:rsid w:val="00FB0D00"/>
    <w:rsid w:val="00FB104E"/>
    <w:rsid w:val="00FB213F"/>
    <w:rsid w:val="00FB2643"/>
    <w:rsid w:val="00FB3AA7"/>
    <w:rsid w:val="00FB3C06"/>
    <w:rsid w:val="00FB4222"/>
    <w:rsid w:val="00FB46EF"/>
    <w:rsid w:val="00FB4825"/>
    <w:rsid w:val="00FB4C35"/>
    <w:rsid w:val="00FB5333"/>
    <w:rsid w:val="00FB5A08"/>
    <w:rsid w:val="00FB5C94"/>
    <w:rsid w:val="00FB6CAF"/>
    <w:rsid w:val="00FB7543"/>
    <w:rsid w:val="00FC04E5"/>
    <w:rsid w:val="00FC1649"/>
    <w:rsid w:val="00FC1CBF"/>
    <w:rsid w:val="00FC2C8E"/>
    <w:rsid w:val="00FC2FC0"/>
    <w:rsid w:val="00FC30F2"/>
    <w:rsid w:val="00FC3192"/>
    <w:rsid w:val="00FC3884"/>
    <w:rsid w:val="00FC3AA5"/>
    <w:rsid w:val="00FC494E"/>
    <w:rsid w:val="00FC53D6"/>
    <w:rsid w:val="00FD02FF"/>
    <w:rsid w:val="00FD09E1"/>
    <w:rsid w:val="00FD0F57"/>
    <w:rsid w:val="00FD14E4"/>
    <w:rsid w:val="00FD2171"/>
    <w:rsid w:val="00FD2512"/>
    <w:rsid w:val="00FD2827"/>
    <w:rsid w:val="00FD28CD"/>
    <w:rsid w:val="00FD2F4A"/>
    <w:rsid w:val="00FD3671"/>
    <w:rsid w:val="00FD3B56"/>
    <w:rsid w:val="00FD436B"/>
    <w:rsid w:val="00FD4418"/>
    <w:rsid w:val="00FD4CD2"/>
    <w:rsid w:val="00FD5A83"/>
    <w:rsid w:val="00FD5D85"/>
    <w:rsid w:val="00FD63E1"/>
    <w:rsid w:val="00FD7862"/>
    <w:rsid w:val="00FE066C"/>
    <w:rsid w:val="00FE089D"/>
    <w:rsid w:val="00FE11EB"/>
    <w:rsid w:val="00FE1710"/>
    <w:rsid w:val="00FE1A5F"/>
    <w:rsid w:val="00FE1AAC"/>
    <w:rsid w:val="00FE1FBD"/>
    <w:rsid w:val="00FE20C8"/>
    <w:rsid w:val="00FE21A1"/>
    <w:rsid w:val="00FE27DB"/>
    <w:rsid w:val="00FE282B"/>
    <w:rsid w:val="00FE2E89"/>
    <w:rsid w:val="00FE3BD5"/>
    <w:rsid w:val="00FE40DF"/>
    <w:rsid w:val="00FE4E90"/>
    <w:rsid w:val="00FE62E2"/>
    <w:rsid w:val="00FE6330"/>
    <w:rsid w:val="00FE640C"/>
    <w:rsid w:val="00FE66F9"/>
    <w:rsid w:val="00FE6A70"/>
    <w:rsid w:val="00FE7ACA"/>
    <w:rsid w:val="00FF117D"/>
    <w:rsid w:val="00FF131E"/>
    <w:rsid w:val="00FF1BB7"/>
    <w:rsid w:val="00FF1C91"/>
    <w:rsid w:val="00FF1F11"/>
    <w:rsid w:val="00FF2BB2"/>
    <w:rsid w:val="00FF42AD"/>
    <w:rsid w:val="00FF4DA2"/>
    <w:rsid w:val="00FF4EBA"/>
    <w:rsid w:val="00FF5B15"/>
    <w:rsid w:val="00FF5E80"/>
    <w:rsid w:val="00FF6441"/>
    <w:rsid w:val="00FF6CC9"/>
    <w:rsid w:val="00FF6ECB"/>
    <w:rsid w:val="010C0545"/>
    <w:rsid w:val="010F4D4C"/>
    <w:rsid w:val="01190A86"/>
    <w:rsid w:val="011E7841"/>
    <w:rsid w:val="013C6B15"/>
    <w:rsid w:val="01443F22"/>
    <w:rsid w:val="014F6641"/>
    <w:rsid w:val="016731DD"/>
    <w:rsid w:val="01773477"/>
    <w:rsid w:val="01867BC7"/>
    <w:rsid w:val="01C979FE"/>
    <w:rsid w:val="01D45D8F"/>
    <w:rsid w:val="01FF0DD2"/>
    <w:rsid w:val="02005B8D"/>
    <w:rsid w:val="02017B58"/>
    <w:rsid w:val="0221260B"/>
    <w:rsid w:val="022D3E9F"/>
    <w:rsid w:val="02567262"/>
    <w:rsid w:val="02630DE4"/>
    <w:rsid w:val="028A4231"/>
    <w:rsid w:val="02AF69F7"/>
    <w:rsid w:val="02C14713"/>
    <w:rsid w:val="02C45698"/>
    <w:rsid w:val="02CD5FA7"/>
    <w:rsid w:val="02CE3A29"/>
    <w:rsid w:val="02CF6833"/>
    <w:rsid w:val="02E82E4A"/>
    <w:rsid w:val="030D0F8F"/>
    <w:rsid w:val="03250BB4"/>
    <w:rsid w:val="03403EF5"/>
    <w:rsid w:val="036761A6"/>
    <w:rsid w:val="0395216D"/>
    <w:rsid w:val="03A50209"/>
    <w:rsid w:val="03B81428"/>
    <w:rsid w:val="03E84175"/>
    <w:rsid w:val="03F24A85"/>
    <w:rsid w:val="040205A2"/>
    <w:rsid w:val="04166978"/>
    <w:rsid w:val="04207B52"/>
    <w:rsid w:val="042807E2"/>
    <w:rsid w:val="04556E90"/>
    <w:rsid w:val="045F312D"/>
    <w:rsid w:val="04653F60"/>
    <w:rsid w:val="047475DC"/>
    <w:rsid w:val="04AC7736"/>
    <w:rsid w:val="04AE64BD"/>
    <w:rsid w:val="04BE6757"/>
    <w:rsid w:val="04C602E0"/>
    <w:rsid w:val="04C70D83"/>
    <w:rsid w:val="04C73353"/>
    <w:rsid w:val="051303DF"/>
    <w:rsid w:val="051D0E7F"/>
    <w:rsid w:val="052054F7"/>
    <w:rsid w:val="05320C94"/>
    <w:rsid w:val="05394B20"/>
    <w:rsid w:val="053E2528"/>
    <w:rsid w:val="057D5890"/>
    <w:rsid w:val="058A7125"/>
    <w:rsid w:val="059576B4"/>
    <w:rsid w:val="05BD667A"/>
    <w:rsid w:val="05C96357"/>
    <w:rsid w:val="05CA26A6"/>
    <w:rsid w:val="05E1446E"/>
    <w:rsid w:val="05E250BF"/>
    <w:rsid w:val="05EA7DDC"/>
    <w:rsid w:val="05EB00C3"/>
    <w:rsid w:val="05F435F6"/>
    <w:rsid w:val="05F57389"/>
    <w:rsid w:val="05FF4B65"/>
    <w:rsid w:val="06385FC4"/>
    <w:rsid w:val="06432556"/>
    <w:rsid w:val="06470245"/>
    <w:rsid w:val="0648625E"/>
    <w:rsid w:val="065906F6"/>
    <w:rsid w:val="065C3539"/>
    <w:rsid w:val="066B1C96"/>
    <w:rsid w:val="066D5199"/>
    <w:rsid w:val="06AA4FFE"/>
    <w:rsid w:val="06B24608"/>
    <w:rsid w:val="06B71DBC"/>
    <w:rsid w:val="06B81D95"/>
    <w:rsid w:val="06BF1720"/>
    <w:rsid w:val="06C75A8A"/>
    <w:rsid w:val="06C8202F"/>
    <w:rsid w:val="06F20C75"/>
    <w:rsid w:val="071A2D33"/>
    <w:rsid w:val="071B7485"/>
    <w:rsid w:val="071E4FBC"/>
    <w:rsid w:val="072D3F52"/>
    <w:rsid w:val="074E358D"/>
    <w:rsid w:val="076247AC"/>
    <w:rsid w:val="077969F0"/>
    <w:rsid w:val="077E0859"/>
    <w:rsid w:val="078C527D"/>
    <w:rsid w:val="07916CEB"/>
    <w:rsid w:val="079C588B"/>
    <w:rsid w:val="07B860D6"/>
    <w:rsid w:val="07D102E3"/>
    <w:rsid w:val="07D84985"/>
    <w:rsid w:val="07DB0BF3"/>
    <w:rsid w:val="07E0625A"/>
    <w:rsid w:val="07E87F08"/>
    <w:rsid w:val="07EB560A"/>
    <w:rsid w:val="07EF2C94"/>
    <w:rsid w:val="07F6721E"/>
    <w:rsid w:val="07F95EB8"/>
    <w:rsid w:val="0814730D"/>
    <w:rsid w:val="081B3BDB"/>
    <w:rsid w:val="08352586"/>
    <w:rsid w:val="083D5414"/>
    <w:rsid w:val="08412609"/>
    <w:rsid w:val="084E78AD"/>
    <w:rsid w:val="08527727"/>
    <w:rsid w:val="08575FBE"/>
    <w:rsid w:val="08583A3F"/>
    <w:rsid w:val="08610ACC"/>
    <w:rsid w:val="08B21C90"/>
    <w:rsid w:val="08B814DA"/>
    <w:rsid w:val="08C52D6F"/>
    <w:rsid w:val="08D127E0"/>
    <w:rsid w:val="08D767A2"/>
    <w:rsid w:val="091C11FF"/>
    <w:rsid w:val="09285011"/>
    <w:rsid w:val="096A216E"/>
    <w:rsid w:val="09893DB1"/>
    <w:rsid w:val="099B5350"/>
    <w:rsid w:val="09AC306C"/>
    <w:rsid w:val="09AE24CC"/>
    <w:rsid w:val="09AF4F58"/>
    <w:rsid w:val="09C8299C"/>
    <w:rsid w:val="09DC163D"/>
    <w:rsid w:val="09E8771F"/>
    <w:rsid w:val="0A0A3406"/>
    <w:rsid w:val="0A141797"/>
    <w:rsid w:val="0A2713EF"/>
    <w:rsid w:val="0A3D0FE6"/>
    <w:rsid w:val="0A4B76F2"/>
    <w:rsid w:val="0A546CFD"/>
    <w:rsid w:val="0A583185"/>
    <w:rsid w:val="0A5D760D"/>
    <w:rsid w:val="0A7814BB"/>
    <w:rsid w:val="0A7E6C48"/>
    <w:rsid w:val="0A8068C8"/>
    <w:rsid w:val="0AB01615"/>
    <w:rsid w:val="0AD0794C"/>
    <w:rsid w:val="0AEE6ECB"/>
    <w:rsid w:val="0AEF497D"/>
    <w:rsid w:val="0B2D2264"/>
    <w:rsid w:val="0B3C4A7C"/>
    <w:rsid w:val="0B3D1B83"/>
    <w:rsid w:val="0B4B0979"/>
    <w:rsid w:val="0B4F211E"/>
    <w:rsid w:val="0B5D3CA8"/>
    <w:rsid w:val="0B6401BF"/>
    <w:rsid w:val="0B7216D3"/>
    <w:rsid w:val="0B744BD6"/>
    <w:rsid w:val="0B7735DC"/>
    <w:rsid w:val="0B8373EF"/>
    <w:rsid w:val="0BB75764"/>
    <w:rsid w:val="0BE4618F"/>
    <w:rsid w:val="0BE72997"/>
    <w:rsid w:val="0BF7192C"/>
    <w:rsid w:val="0BF945B1"/>
    <w:rsid w:val="0C0679C8"/>
    <w:rsid w:val="0C2C7C08"/>
    <w:rsid w:val="0C480432"/>
    <w:rsid w:val="0C4C4CEB"/>
    <w:rsid w:val="0C5919D1"/>
    <w:rsid w:val="0C6736F5"/>
    <w:rsid w:val="0C811890"/>
    <w:rsid w:val="0CA971D2"/>
    <w:rsid w:val="0CB73E3D"/>
    <w:rsid w:val="0CBB61F2"/>
    <w:rsid w:val="0CBD7DD2"/>
    <w:rsid w:val="0CC06DF7"/>
    <w:rsid w:val="0CD33899"/>
    <w:rsid w:val="0CFC11DA"/>
    <w:rsid w:val="0D0B7276"/>
    <w:rsid w:val="0D126C01"/>
    <w:rsid w:val="0D23491D"/>
    <w:rsid w:val="0D2C77AB"/>
    <w:rsid w:val="0D39103F"/>
    <w:rsid w:val="0D475DD6"/>
    <w:rsid w:val="0D5E59FB"/>
    <w:rsid w:val="0D6F3717"/>
    <w:rsid w:val="0D72249E"/>
    <w:rsid w:val="0D876BC0"/>
    <w:rsid w:val="0D8E3FCC"/>
    <w:rsid w:val="0D92070C"/>
    <w:rsid w:val="0DB3678A"/>
    <w:rsid w:val="0DD04A36"/>
    <w:rsid w:val="0DDB40CB"/>
    <w:rsid w:val="0DDF2AD2"/>
    <w:rsid w:val="0DE66BD9"/>
    <w:rsid w:val="0DE933E1"/>
    <w:rsid w:val="0DF33275"/>
    <w:rsid w:val="0DF513F2"/>
    <w:rsid w:val="0E1D4B35"/>
    <w:rsid w:val="0E2C2BD1"/>
    <w:rsid w:val="0E583695"/>
    <w:rsid w:val="0E7B501C"/>
    <w:rsid w:val="0E8D6740"/>
    <w:rsid w:val="0EB32AAA"/>
    <w:rsid w:val="0EB90236"/>
    <w:rsid w:val="0ECE4958"/>
    <w:rsid w:val="0EEB1D0A"/>
    <w:rsid w:val="0F200EDF"/>
    <w:rsid w:val="0F216961"/>
    <w:rsid w:val="0F2C1908"/>
    <w:rsid w:val="0F2C3B12"/>
    <w:rsid w:val="0F77627B"/>
    <w:rsid w:val="0F8A728A"/>
    <w:rsid w:val="0FB2044E"/>
    <w:rsid w:val="0FBC008E"/>
    <w:rsid w:val="0FD74DED"/>
    <w:rsid w:val="10165F74"/>
    <w:rsid w:val="1026620F"/>
    <w:rsid w:val="103A038C"/>
    <w:rsid w:val="10460CC2"/>
    <w:rsid w:val="1059665E"/>
    <w:rsid w:val="10832D25"/>
    <w:rsid w:val="108A26B0"/>
    <w:rsid w:val="109C3C4F"/>
    <w:rsid w:val="10B2256F"/>
    <w:rsid w:val="10B50F76"/>
    <w:rsid w:val="10BD1C05"/>
    <w:rsid w:val="10C277C5"/>
    <w:rsid w:val="10D208A6"/>
    <w:rsid w:val="10D63C7F"/>
    <w:rsid w:val="10E44043"/>
    <w:rsid w:val="11051FFA"/>
    <w:rsid w:val="11082F7E"/>
    <w:rsid w:val="110F2909"/>
    <w:rsid w:val="111D22E2"/>
    <w:rsid w:val="11273833"/>
    <w:rsid w:val="112812B5"/>
    <w:rsid w:val="112E0D9D"/>
    <w:rsid w:val="112E31BE"/>
    <w:rsid w:val="11383ACD"/>
    <w:rsid w:val="11483D68"/>
    <w:rsid w:val="11563EFF"/>
    <w:rsid w:val="118E0C59"/>
    <w:rsid w:val="11D87DD3"/>
    <w:rsid w:val="11E319E8"/>
    <w:rsid w:val="11F12EFC"/>
    <w:rsid w:val="11F5188F"/>
    <w:rsid w:val="11F67383"/>
    <w:rsid w:val="12041F1C"/>
    <w:rsid w:val="12307462"/>
    <w:rsid w:val="12484034"/>
    <w:rsid w:val="1258524D"/>
    <w:rsid w:val="127C6BC4"/>
    <w:rsid w:val="128A347A"/>
    <w:rsid w:val="12A67527"/>
    <w:rsid w:val="12AC362F"/>
    <w:rsid w:val="12AD6EB2"/>
    <w:rsid w:val="12B058B8"/>
    <w:rsid w:val="12D61506"/>
    <w:rsid w:val="12E60311"/>
    <w:rsid w:val="12FD7F36"/>
    <w:rsid w:val="130B144A"/>
    <w:rsid w:val="131342D8"/>
    <w:rsid w:val="132E342D"/>
    <w:rsid w:val="13673D62"/>
    <w:rsid w:val="13920429"/>
    <w:rsid w:val="13BC6D3C"/>
    <w:rsid w:val="13CB7716"/>
    <w:rsid w:val="13CE280D"/>
    <w:rsid w:val="13D07F0E"/>
    <w:rsid w:val="13D6569B"/>
    <w:rsid w:val="141739C1"/>
    <w:rsid w:val="141D000D"/>
    <w:rsid w:val="142741A0"/>
    <w:rsid w:val="143B75BD"/>
    <w:rsid w:val="1444244B"/>
    <w:rsid w:val="144B7D94"/>
    <w:rsid w:val="14501AE1"/>
    <w:rsid w:val="148B0641"/>
    <w:rsid w:val="14A105E7"/>
    <w:rsid w:val="14AF79C7"/>
    <w:rsid w:val="14B14FFE"/>
    <w:rsid w:val="14B16888"/>
    <w:rsid w:val="14B65CF8"/>
    <w:rsid w:val="14B8020C"/>
    <w:rsid w:val="14BD6C99"/>
    <w:rsid w:val="14CE6992"/>
    <w:rsid w:val="14D26837"/>
    <w:rsid w:val="14EF0366"/>
    <w:rsid w:val="14F50CDD"/>
    <w:rsid w:val="14F55AF2"/>
    <w:rsid w:val="15000600"/>
    <w:rsid w:val="150B6B87"/>
    <w:rsid w:val="153D5EE7"/>
    <w:rsid w:val="15534F63"/>
    <w:rsid w:val="156A222E"/>
    <w:rsid w:val="15732B3D"/>
    <w:rsid w:val="15807C55"/>
    <w:rsid w:val="15961DF8"/>
    <w:rsid w:val="15AC1D9E"/>
    <w:rsid w:val="15E36674"/>
    <w:rsid w:val="1616144D"/>
    <w:rsid w:val="161C1F83"/>
    <w:rsid w:val="16240763"/>
    <w:rsid w:val="16244EE0"/>
    <w:rsid w:val="162E71AF"/>
    <w:rsid w:val="16326DB4"/>
    <w:rsid w:val="163760FE"/>
    <w:rsid w:val="1646728A"/>
    <w:rsid w:val="16516CA8"/>
    <w:rsid w:val="16597938"/>
    <w:rsid w:val="16635EF1"/>
    <w:rsid w:val="16777E7A"/>
    <w:rsid w:val="167B06F5"/>
    <w:rsid w:val="168218E2"/>
    <w:rsid w:val="16C12A18"/>
    <w:rsid w:val="16E4531E"/>
    <w:rsid w:val="17026ACC"/>
    <w:rsid w:val="17045852"/>
    <w:rsid w:val="170E6162"/>
    <w:rsid w:val="171731EE"/>
    <w:rsid w:val="17177AE2"/>
    <w:rsid w:val="172A306E"/>
    <w:rsid w:val="1741373F"/>
    <w:rsid w:val="175233D3"/>
    <w:rsid w:val="175C3CE3"/>
    <w:rsid w:val="175F13E4"/>
    <w:rsid w:val="177D4217"/>
    <w:rsid w:val="1788002A"/>
    <w:rsid w:val="17B0376D"/>
    <w:rsid w:val="1810400F"/>
    <w:rsid w:val="182C6276"/>
    <w:rsid w:val="18376EC9"/>
    <w:rsid w:val="18387273"/>
    <w:rsid w:val="184D106D"/>
    <w:rsid w:val="18687698"/>
    <w:rsid w:val="186A2B9B"/>
    <w:rsid w:val="186B609E"/>
    <w:rsid w:val="18744215"/>
    <w:rsid w:val="18951461"/>
    <w:rsid w:val="18997E67"/>
    <w:rsid w:val="189A336A"/>
    <w:rsid w:val="189A735D"/>
    <w:rsid w:val="18A20777"/>
    <w:rsid w:val="19052A19"/>
    <w:rsid w:val="19073D1E"/>
    <w:rsid w:val="190D2CEA"/>
    <w:rsid w:val="190D36A9"/>
    <w:rsid w:val="190D7E26"/>
    <w:rsid w:val="197F293B"/>
    <w:rsid w:val="19A85AA6"/>
    <w:rsid w:val="19B95AA0"/>
    <w:rsid w:val="19E52087"/>
    <w:rsid w:val="1A0D5108"/>
    <w:rsid w:val="1A241497"/>
    <w:rsid w:val="1A3B0898"/>
    <w:rsid w:val="1A466C29"/>
    <w:rsid w:val="1A4B52AF"/>
    <w:rsid w:val="1A4D4035"/>
    <w:rsid w:val="1A501737"/>
    <w:rsid w:val="1A81100C"/>
    <w:rsid w:val="1A827EDF"/>
    <w:rsid w:val="1A861C11"/>
    <w:rsid w:val="1A8F2520"/>
    <w:rsid w:val="1A97792D"/>
    <w:rsid w:val="1A9853AE"/>
    <w:rsid w:val="1A9E2B3B"/>
    <w:rsid w:val="1AA85649"/>
    <w:rsid w:val="1AAA41EF"/>
    <w:rsid w:val="1AAF04BB"/>
    <w:rsid w:val="1AB71C2F"/>
    <w:rsid w:val="1ABA088D"/>
    <w:rsid w:val="1ADA35DD"/>
    <w:rsid w:val="1AE554AD"/>
    <w:rsid w:val="1B186F81"/>
    <w:rsid w:val="1B2D74F2"/>
    <w:rsid w:val="1B3E4C43"/>
    <w:rsid w:val="1B543563"/>
    <w:rsid w:val="1BA3290A"/>
    <w:rsid w:val="1BB116FE"/>
    <w:rsid w:val="1BB44881"/>
    <w:rsid w:val="1BED0B45"/>
    <w:rsid w:val="1C02087F"/>
    <w:rsid w:val="1C253579"/>
    <w:rsid w:val="1C36653D"/>
    <w:rsid w:val="1C7A3345"/>
    <w:rsid w:val="1C8C2366"/>
    <w:rsid w:val="1CA26D90"/>
    <w:rsid w:val="1CB07F9C"/>
    <w:rsid w:val="1CB37E88"/>
    <w:rsid w:val="1CB46140"/>
    <w:rsid w:val="1CB966AD"/>
    <w:rsid w:val="1CC15CB8"/>
    <w:rsid w:val="1CC659C3"/>
    <w:rsid w:val="1D520E2A"/>
    <w:rsid w:val="1D577661"/>
    <w:rsid w:val="1D7F7370"/>
    <w:rsid w:val="1D866C39"/>
    <w:rsid w:val="1D885A81"/>
    <w:rsid w:val="1D99379D"/>
    <w:rsid w:val="1DAC27BE"/>
    <w:rsid w:val="1DCC746F"/>
    <w:rsid w:val="1DD05E75"/>
    <w:rsid w:val="1DE6389C"/>
    <w:rsid w:val="1E0B185A"/>
    <w:rsid w:val="1E30101E"/>
    <w:rsid w:val="1E344C05"/>
    <w:rsid w:val="1E376B1E"/>
    <w:rsid w:val="1E43632F"/>
    <w:rsid w:val="1E52504F"/>
    <w:rsid w:val="1E78352E"/>
    <w:rsid w:val="1E79668E"/>
    <w:rsid w:val="1E885624"/>
    <w:rsid w:val="1E8B048A"/>
    <w:rsid w:val="1E92374C"/>
    <w:rsid w:val="1E9D3E8B"/>
    <w:rsid w:val="1EAF0D67"/>
    <w:rsid w:val="1EB109E6"/>
    <w:rsid w:val="1F127786"/>
    <w:rsid w:val="1F1F101A"/>
    <w:rsid w:val="1F307F51"/>
    <w:rsid w:val="1F4315DA"/>
    <w:rsid w:val="1F4B589B"/>
    <w:rsid w:val="1F50506D"/>
    <w:rsid w:val="1F5C20A7"/>
    <w:rsid w:val="1F6B1330"/>
    <w:rsid w:val="1FD50B49"/>
    <w:rsid w:val="1FFA7A84"/>
    <w:rsid w:val="20002019"/>
    <w:rsid w:val="20020801"/>
    <w:rsid w:val="201209AE"/>
    <w:rsid w:val="20215745"/>
    <w:rsid w:val="2031215C"/>
    <w:rsid w:val="20454680"/>
    <w:rsid w:val="204F4F90"/>
    <w:rsid w:val="207D2DB2"/>
    <w:rsid w:val="207F7CDD"/>
    <w:rsid w:val="20C84600"/>
    <w:rsid w:val="20EF7097"/>
    <w:rsid w:val="2124312A"/>
    <w:rsid w:val="21372D0F"/>
    <w:rsid w:val="21396212"/>
    <w:rsid w:val="217B0E7A"/>
    <w:rsid w:val="217E4C72"/>
    <w:rsid w:val="21900E1F"/>
    <w:rsid w:val="21A65541"/>
    <w:rsid w:val="21A70A44"/>
    <w:rsid w:val="21B84562"/>
    <w:rsid w:val="21C76D7B"/>
    <w:rsid w:val="21E83A2C"/>
    <w:rsid w:val="21F50B43"/>
    <w:rsid w:val="220A5266"/>
    <w:rsid w:val="221029F2"/>
    <w:rsid w:val="221E7789"/>
    <w:rsid w:val="2222301D"/>
    <w:rsid w:val="222E1FA2"/>
    <w:rsid w:val="222E3C91"/>
    <w:rsid w:val="225226D4"/>
    <w:rsid w:val="22762396"/>
    <w:rsid w:val="227D2BB6"/>
    <w:rsid w:val="228429B1"/>
    <w:rsid w:val="228A38E4"/>
    <w:rsid w:val="22B954FC"/>
    <w:rsid w:val="23042EFF"/>
    <w:rsid w:val="230F7BF4"/>
    <w:rsid w:val="2316449E"/>
    <w:rsid w:val="23393759"/>
    <w:rsid w:val="233C215F"/>
    <w:rsid w:val="23462A6F"/>
    <w:rsid w:val="235F5B97"/>
    <w:rsid w:val="23613299"/>
    <w:rsid w:val="236E4B2D"/>
    <w:rsid w:val="238969DB"/>
    <w:rsid w:val="23A14F91"/>
    <w:rsid w:val="23CA7445"/>
    <w:rsid w:val="23CB2CC8"/>
    <w:rsid w:val="23D07150"/>
    <w:rsid w:val="23E70F73"/>
    <w:rsid w:val="23F15106"/>
    <w:rsid w:val="240C3731"/>
    <w:rsid w:val="241D7D74"/>
    <w:rsid w:val="241E6ECF"/>
    <w:rsid w:val="242D3C66"/>
    <w:rsid w:val="242E4F6B"/>
    <w:rsid w:val="24533EA6"/>
    <w:rsid w:val="246D05C7"/>
    <w:rsid w:val="248A1E01"/>
    <w:rsid w:val="2494490F"/>
    <w:rsid w:val="24A600AD"/>
    <w:rsid w:val="24AD3CDB"/>
    <w:rsid w:val="24B11CC1"/>
    <w:rsid w:val="24D14774"/>
    <w:rsid w:val="24D17FF7"/>
    <w:rsid w:val="24D6447F"/>
    <w:rsid w:val="24EB0BA1"/>
    <w:rsid w:val="251519E5"/>
    <w:rsid w:val="2534229A"/>
    <w:rsid w:val="254B663C"/>
    <w:rsid w:val="2557191A"/>
    <w:rsid w:val="256B3D31"/>
    <w:rsid w:val="258601E7"/>
    <w:rsid w:val="258D2929"/>
    <w:rsid w:val="25C61809"/>
    <w:rsid w:val="25FB762A"/>
    <w:rsid w:val="260D1F7D"/>
    <w:rsid w:val="2618250D"/>
    <w:rsid w:val="262A5CAA"/>
    <w:rsid w:val="26303437"/>
    <w:rsid w:val="2637753E"/>
    <w:rsid w:val="263D1448"/>
    <w:rsid w:val="264777D9"/>
    <w:rsid w:val="26490F70"/>
    <w:rsid w:val="26551DA8"/>
    <w:rsid w:val="267970AE"/>
    <w:rsid w:val="268C311B"/>
    <w:rsid w:val="269A4809"/>
    <w:rsid w:val="26B338D1"/>
    <w:rsid w:val="26C24F24"/>
    <w:rsid w:val="26D56459"/>
    <w:rsid w:val="26F54479"/>
    <w:rsid w:val="2700280A"/>
    <w:rsid w:val="27004A09"/>
    <w:rsid w:val="271D560E"/>
    <w:rsid w:val="273242DE"/>
    <w:rsid w:val="27442D3C"/>
    <w:rsid w:val="27736336"/>
    <w:rsid w:val="279C5F0C"/>
    <w:rsid w:val="27AF584E"/>
    <w:rsid w:val="27AF712B"/>
    <w:rsid w:val="27B457B1"/>
    <w:rsid w:val="27CB53D6"/>
    <w:rsid w:val="27D22B63"/>
    <w:rsid w:val="27D946EC"/>
    <w:rsid w:val="27DE43F7"/>
    <w:rsid w:val="27F543D2"/>
    <w:rsid w:val="28046835"/>
    <w:rsid w:val="28082827"/>
    <w:rsid w:val="2858276B"/>
    <w:rsid w:val="28730D77"/>
    <w:rsid w:val="287B557A"/>
    <w:rsid w:val="287E64FF"/>
    <w:rsid w:val="288D5494"/>
    <w:rsid w:val="289D3530"/>
    <w:rsid w:val="28A279B8"/>
    <w:rsid w:val="28AF344A"/>
    <w:rsid w:val="28B00ECC"/>
    <w:rsid w:val="28E64C29"/>
    <w:rsid w:val="29180F87"/>
    <w:rsid w:val="291C1880"/>
    <w:rsid w:val="29354B7B"/>
    <w:rsid w:val="29487555"/>
    <w:rsid w:val="2955745C"/>
    <w:rsid w:val="296F6939"/>
    <w:rsid w:val="29894432"/>
    <w:rsid w:val="29B30AFA"/>
    <w:rsid w:val="29D17A2C"/>
    <w:rsid w:val="29DA2F38"/>
    <w:rsid w:val="29E011D1"/>
    <w:rsid w:val="29E0703F"/>
    <w:rsid w:val="29E25DC6"/>
    <w:rsid w:val="29F40B9F"/>
    <w:rsid w:val="29FF56F6"/>
    <w:rsid w:val="2A034A1C"/>
    <w:rsid w:val="2A0E67EA"/>
    <w:rsid w:val="2A175AF9"/>
    <w:rsid w:val="2A282CB7"/>
    <w:rsid w:val="2A3C7759"/>
    <w:rsid w:val="2A4370E4"/>
    <w:rsid w:val="2A560303"/>
    <w:rsid w:val="2A591288"/>
    <w:rsid w:val="2A642E9C"/>
    <w:rsid w:val="2A727C33"/>
    <w:rsid w:val="2A8C4F5A"/>
    <w:rsid w:val="2A930168"/>
    <w:rsid w:val="2AA45E84"/>
    <w:rsid w:val="2AA65B04"/>
    <w:rsid w:val="2AAC3290"/>
    <w:rsid w:val="2AC8733D"/>
    <w:rsid w:val="2AE65214"/>
    <w:rsid w:val="2B09362A"/>
    <w:rsid w:val="2B130A69"/>
    <w:rsid w:val="2B2161AD"/>
    <w:rsid w:val="2B341EF0"/>
    <w:rsid w:val="2B570C98"/>
    <w:rsid w:val="2BB43AC3"/>
    <w:rsid w:val="2BB87600"/>
    <w:rsid w:val="2BD674FA"/>
    <w:rsid w:val="2C08354D"/>
    <w:rsid w:val="2C0D3615"/>
    <w:rsid w:val="2C2475FA"/>
    <w:rsid w:val="2C270453"/>
    <w:rsid w:val="2C2F340C"/>
    <w:rsid w:val="2C4320AD"/>
    <w:rsid w:val="2C554C64"/>
    <w:rsid w:val="2C5B3E39"/>
    <w:rsid w:val="2C927CA8"/>
    <w:rsid w:val="2CA433CB"/>
    <w:rsid w:val="2CE454F9"/>
    <w:rsid w:val="2CE649EF"/>
    <w:rsid w:val="2CE8063C"/>
    <w:rsid w:val="2D067BEC"/>
    <w:rsid w:val="2D105F75"/>
    <w:rsid w:val="2D2E0DB1"/>
    <w:rsid w:val="2D377BC1"/>
    <w:rsid w:val="2D3938BF"/>
    <w:rsid w:val="2D3B2645"/>
    <w:rsid w:val="2D3D212F"/>
    <w:rsid w:val="2D470656"/>
    <w:rsid w:val="2D7A4328"/>
    <w:rsid w:val="2D8172D3"/>
    <w:rsid w:val="2D9561D7"/>
    <w:rsid w:val="2D9C340C"/>
    <w:rsid w:val="2DC412A4"/>
    <w:rsid w:val="2DD072B5"/>
    <w:rsid w:val="2DD6731E"/>
    <w:rsid w:val="2DE10854"/>
    <w:rsid w:val="2E0322DE"/>
    <w:rsid w:val="2E0C75CB"/>
    <w:rsid w:val="2E53788E"/>
    <w:rsid w:val="2E713DF4"/>
    <w:rsid w:val="2E7763D7"/>
    <w:rsid w:val="2EA96F98"/>
    <w:rsid w:val="2EAD1222"/>
    <w:rsid w:val="2EC604BA"/>
    <w:rsid w:val="2ECF4C5A"/>
    <w:rsid w:val="2EEE547C"/>
    <w:rsid w:val="2EF84F00"/>
    <w:rsid w:val="2F067332"/>
    <w:rsid w:val="2F093B3A"/>
    <w:rsid w:val="2F172D8F"/>
    <w:rsid w:val="2F4176CB"/>
    <w:rsid w:val="2F4D332A"/>
    <w:rsid w:val="2F6376CB"/>
    <w:rsid w:val="2F666452"/>
    <w:rsid w:val="2F6B14B4"/>
    <w:rsid w:val="2F6D385E"/>
    <w:rsid w:val="2F82274A"/>
    <w:rsid w:val="2FAE20C9"/>
    <w:rsid w:val="2FC367EB"/>
    <w:rsid w:val="2FC4593A"/>
    <w:rsid w:val="2FD46A86"/>
    <w:rsid w:val="3007498C"/>
    <w:rsid w:val="300D731B"/>
    <w:rsid w:val="30145618"/>
    <w:rsid w:val="30195EF5"/>
    <w:rsid w:val="301E4FFC"/>
    <w:rsid w:val="30370D29"/>
    <w:rsid w:val="303F6897"/>
    <w:rsid w:val="30401638"/>
    <w:rsid w:val="304212B8"/>
    <w:rsid w:val="30524478"/>
    <w:rsid w:val="30635070"/>
    <w:rsid w:val="30825E75"/>
    <w:rsid w:val="30850AA8"/>
    <w:rsid w:val="30C93B1B"/>
    <w:rsid w:val="30CC121C"/>
    <w:rsid w:val="30CD4A9D"/>
    <w:rsid w:val="30E730CB"/>
    <w:rsid w:val="30F2365A"/>
    <w:rsid w:val="30FE2CF0"/>
    <w:rsid w:val="31102C0A"/>
    <w:rsid w:val="31364987"/>
    <w:rsid w:val="313C05D6"/>
    <w:rsid w:val="313D6058"/>
    <w:rsid w:val="31716DC2"/>
    <w:rsid w:val="31772CB5"/>
    <w:rsid w:val="317A00BB"/>
    <w:rsid w:val="31A77C86"/>
    <w:rsid w:val="31B84110"/>
    <w:rsid w:val="31BD1E29"/>
    <w:rsid w:val="31CD20C4"/>
    <w:rsid w:val="31D2040B"/>
    <w:rsid w:val="31DA5F6E"/>
    <w:rsid w:val="322078AA"/>
    <w:rsid w:val="3224240A"/>
    <w:rsid w:val="323068E5"/>
    <w:rsid w:val="323A13F3"/>
    <w:rsid w:val="323A4C76"/>
    <w:rsid w:val="326E7E26"/>
    <w:rsid w:val="327018CD"/>
    <w:rsid w:val="32724D60"/>
    <w:rsid w:val="32890278"/>
    <w:rsid w:val="329F4EC8"/>
    <w:rsid w:val="32A12217"/>
    <w:rsid w:val="32AB622F"/>
    <w:rsid w:val="32AF4C35"/>
    <w:rsid w:val="32CE54EA"/>
    <w:rsid w:val="32DD4A5D"/>
    <w:rsid w:val="32DF3206"/>
    <w:rsid w:val="32E31C0C"/>
    <w:rsid w:val="32FA077D"/>
    <w:rsid w:val="330246BF"/>
    <w:rsid w:val="3317335F"/>
    <w:rsid w:val="331C5269"/>
    <w:rsid w:val="334C5DB8"/>
    <w:rsid w:val="335047BE"/>
    <w:rsid w:val="33527CC1"/>
    <w:rsid w:val="335C6052"/>
    <w:rsid w:val="336530DF"/>
    <w:rsid w:val="337E6FE1"/>
    <w:rsid w:val="338D3D76"/>
    <w:rsid w:val="33925F64"/>
    <w:rsid w:val="339900C6"/>
    <w:rsid w:val="33995EB7"/>
    <w:rsid w:val="339A00B5"/>
    <w:rsid w:val="33BB3E6D"/>
    <w:rsid w:val="33BE2874"/>
    <w:rsid w:val="33C4477D"/>
    <w:rsid w:val="33DF1765"/>
    <w:rsid w:val="34045A3A"/>
    <w:rsid w:val="341C738A"/>
    <w:rsid w:val="34224B16"/>
    <w:rsid w:val="343C4A44"/>
    <w:rsid w:val="34590DF5"/>
    <w:rsid w:val="34627F19"/>
    <w:rsid w:val="347028A6"/>
    <w:rsid w:val="34712317"/>
    <w:rsid w:val="34902BCC"/>
    <w:rsid w:val="34A17A33"/>
    <w:rsid w:val="34BE2EC6"/>
    <w:rsid w:val="34C42121"/>
    <w:rsid w:val="34DD1A22"/>
    <w:rsid w:val="34ED2E1A"/>
    <w:rsid w:val="35064D89"/>
    <w:rsid w:val="351608A7"/>
    <w:rsid w:val="351642BD"/>
    <w:rsid w:val="352A5349"/>
    <w:rsid w:val="352F39CF"/>
    <w:rsid w:val="35324954"/>
    <w:rsid w:val="354400F1"/>
    <w:rsid w:val="354B32FF"/>
    <w:rsid w:val="35577112"/>
    <w:rsid w:val="35906952"/>
    <w:rsid w:val="359101F0"/>
    <w:rsid w:val="359557A4"/>
    <w:rsid w:val="359955FD"/>
    <w:rsid w:val="35AF77A0"/>
    <w:rsid w:val="35CB384D"/>
    <w:rsid w:val="35CB70D1"/>
    <w:rsid w:val="35DD4DEC"/>
    <w:rsid w:val="35E356B9"/>
    <w:rsid w:val="35E6686D"/>
    <w:rsid w:val="35EE2B08"/>
    <w:rsid w:val="35F44AD8"/>
    <w:rsid w:val="3616624B"/>
    <w:rsid w:val="36227ADF"/>
    <w:rsid w:val="363122F8"/>
    <w:rsid w:val="3640380C"/>
    <w:rsid w:val="36422592"/>
    <w:rsid w:val="364451CC"/>
    <w:rsid w:val="364F6E48"/>
    <w:rsid w:val="3656097F"/>
    <w:rsid w:val="36781311"/>
    <w:rsid w:val="3689413C"/>
    <w:rsid w:val="36900113"/>
    <w:rsid w:val="369D3BA6"/>
    <w:rsid w:val="369E4EAA"/>
    <w:rsid w:val="36EE26AB"/>
    <w:rsid w:val="37063682"/>
    <w:rsid w:val="370757D3"/>
    <w:rsid w:val="370A2274"/>
    <w:rsid w:val="370D2F60"/>
    <w:rsid w:val="374B0846"/>
    <w:rsid w:val="374C2A45"/>
    <w:rsid w:val="37504CCE"/>
    <w:rsid w:val="375D0761"/>
    <w:rsid w:val="37660447"/>
    <w:rsid w:val="37661070"/>
    <w:rsid w:val="37682375"/>
    <w:rsid w:val="377370A6"/>
    <w:rsid w:val="379963C7"/>
    <w:rsid w:val="37C4140A"/>
    <w:rsid w:val="37D529A9"/>
    <w:rsid w:val="37F863E1"/>
    <w:rsid w:val="37FA6EC9"/>
    <w:rsid w:val="380108EB"/>
    <w:rsid w:val="38060F79"/>
    <w:rsid w:val="38196915"/>
    <w:rsid w:val="38280C43"/>
    <w:rsid w:val="38292433"/>
    <w:rsid w:val="382C24AB"/>
    <w:rsid w:val="38317B59"/>
    <w:rsid w:val="38452301"/>
    <w:rsid w:val="386024B2"/>
    <w:rsid w:val="38666EAF"/>
    <w:rsid w:val="386B2E9C"/>
    <w:rsid w:val="386F5126"/>
    <w:rsid w:val="387A56B5"/>
    <w:rsid w:val="38843FAD"/>
    <w:rsid w:val="389F2071"/>
    <w:rsid w:val="38A74DA6"/>
    <w:rsid w:val="38BE0728"/>
    <w:rsid w:val="38E8156C"/>
    <w:rsid w:val="39022116"/>
    <w:rsid w:val="39060B1C"/>
    <w:rsid w:val="39255B4E"/>
    <w:rsid w:val="392B32DA"/>
    <w:rsid w:val="392D09DC"/>
    <w:rsid w:val="39416525"/>
    <w:rsid w:val="394D6F17"/>
    <w:rsid w:val="39505C6F"/>
    <w:rsid w:val="395B0226"/>
    <w:rsid w:val="395B1104"/>
    <w:rsid w:val="39931A05"/>
    <w:rsid w:val="3996481C"/>
    <w:rsid w:val="399F7A16"/>
    <w:rsid w:val="39A03EED"/>
    <w:rsid w:val="39A14A8C"/>
    <w:rsid w:val="39A5191F"/>
    <w:rsid w:val="39A8206F"/>
    <w:rsid w:val="39B93E43"/>
    <w:rsid w:val="39BB7346"/>
    <w:rsid w:val="39D236E8"/>
    <w:rsid w:val="39EE5833"/>
    <w:rsid w:val="3A032FBE"/>
    <w:rsid w:val="3A1976E0"/>
    <w:rsid w:val="3A5B144E"/>
    <w:rsid w:val="3A6117D7"/>
    <w:rsid w:val="3A63685A"/>
    <w:rsid w:val="3A683375"/>
    <w:rsid w:val="3A810009"/>
    <w:rsid w:val="3A956CA9"/>
    <w:rsid w:val="3A96252C"/>
    <w:rsid w:val="3A982032"/>
    <w:rsid w:val="3AF24E44"/>
    <w:rsid w:val="3B3D1A41"/>
    <w:rsid w:val="3B576D67"/>
    <w:rsid w:val="3B661580"/>
    <w:rsid w:val="3B6F7C91"/>
    <w:rsid w:val="3B7C0CFF"/>
    <w:rsid w:val="3B7D6FA7"/>
    <w:rsid w:val="3B9C04A3"/>
    <w:rsid w:val="3BC73B2B"/>
    <w:rsid w:val="3BCC25A9"/>
    <w:rsid w:val="3BD864DE"/>
    <w:rsid w:val="3BF94372"/>
    <w:rsid w:val="3C577B7C"/>
    <w:rsid w:val="3C5B6963"/>
    <w:rsid w:val="3C696521"/>
    <w:rsid w:val="3C801D8D"/>
    <w:rsid w:val="3C8D4ABE"/>
    <w:rsid w:val="3C9541F0"/>
    <w:rsid w:val="3C9C3D5E"/>
    <w:rsid w:val="3CBC5735"/>
    <w:rsid w:val="3CD043D5"/>
    <w:rsid w:val="3CD42DDC"/>
    <w:rsid w:val="3CE861F9"/>
    <w:rsid w:val="3CF60D92"/>
    <w:rsid w:val="3CF76813"/>
    <w:rsid w:val="3D026DA3"/>
    <w:rsid w:val="3D057D27"/>
    <w:rsid w:val="3D0C37AE"/>
    <w:rsid w:val="3D153845"/>
    <w:rsid w:val="3D205459"/>
    <w:rsid w:val="3D2363DE"/>
    <w:rsid w:val="3D712B8E"/>
    <w:rsid w:val="3D880301"/>
    <w:rsid w:val="3DB868D1"/>
    <w:rsid w:val="3DC448E2"/>
    <w:rsid w:val="3DC810EA"/>
    <w:rsid w:val="3DCD0E2F"/>
    <w:rsid w:val="3DFD3B43"/>
    <w:rsid w:val="3E0A3328"/>
    <w:rsid w:val="3E204FFC"/>
    <w:rsid w:val="3E2B558B"/>
    <w:rsid w:val="3E36391C"/>
    <w:rsid w:val="3E482FBD"/>
    <w:rsid w:val="3E7B4411"/>
    <w:rsid w:val="3E8D432B"/>
    <w:rsid w:val="3E9D4FB9"/>
    <w:rsid w:val="3EC6100D"/>
    <w:rsid w:val="3EDB1186"/>
    <w:rsid w:val="3EF51093"/>
    <w:rsid w:val="3EF8725E"/>
    <w:rsid w:val="3F056573"/>
    <w:rsid w:val="3F135889"/>
    <w:rsid w:val="3F183BCE"/>
    <w:rsid w:val="3F3348D1"/>
    <w:rsid w:val="3F3725C6"/>
    <w:rsid w:val="3F4263D8"/>
    <w:rsid w:val="3F692A15"/>
    <w:rsid w:val="3F8A3C72"/>
    <w:rsid w:val="3FAC0006"/>
    <w:rsid w:val="3FB60916"/>
    <w:rsid w:val="3FB84A3B"/>
    <w:rsid w:val="3FF3077A"/>
    <w:rsid w:val="400D69A7"/>
    <w:rsid w:val="4015092F"/>
    <w:rsid w:val="40324580"/>
    <w:rsid w:val="405B4984"/>
    <w:rsid w:val="407A60D5"/>
    <w:rsid w:val="407B3F0A"/>
    <w:rsid w:val="407E7F50"/>
    <w:rsid w:val="409B04BF"/>
    <w:rsid w:val="409C408B"/>
    <w:rsid w:val="409D5390"/>
    <w:rsid w:val="40A21818"/>
    <w:rsid w:val="40D24565"/>
    <w:rsid w:val="40D554EA"/>
    <w:rsid w:val="40F76D23"/>
    <w:rsid w:val="410317B9"/>
    <w:rsid w:val="410A7F42"/>
    <w:rsid w:val="4125656E"/>
    <w:rsid w:val="412871E3"/>
    <w:rsid w:val="412F48FF"/>
    <w:rsid w:val="415A31C5"/>
    <w:rsid w:val="41883618"/>
    <w:rsid w:val="41AD1268"/>
    <w:rsid w:val="41B21655"/>
    <w:rsid w:val="41B80A98"/>
    <w:rsid w:val="41CC723D"/>
    <w:rsid w:val="41EB6337"/>
    <w:rsid w:val="42045A56"/>
    <w:rsid w:val="420F3F6D"/>
    <w:rsid w:val="42170644"/>
    <w:rsid w:val="42430F44"/>
    <w:rsid w:val="4264378B"/>
    <w:rsid w:val="42646E38"/>
    <w:rsid w:val="42646EFA"/>
    <w:rsid w:val="42675C80"/>
    <w:rsid w:val="427C23A2"/>
    <w:rsid w:val="42857F7B"/>
    <w:rsid w:val="429B73D4"/>
    <w:rsid w:val="42C76F9F"/>
    <w:rsid w:val="43120317"/>
    <w:rsid w:val="432050AF"/>
    <w:rsid w:val="432062E5"/>
    <w:rsid w:val="434268E8"/>
    <w:rsid w:val="43694AB5"/>
    <w:rsid w:val="437810C0"/>
    <w:rsid w:val="4380094B"/>
    <w:rsid w:val="439C027C"/>
    <w:rsid w:val="43B1499E"/>
    <w:rsid w:val="43BA4641"/>
    <w:rsid w:val="43BC4F2D"/>
    <w:rsid w:val="43C732BE"/>
    <w:rsid w:val="43D6135A"/>
    <w:rsid w:val="43FA2168"/>
    <w:rsid w:val="43FE121A"/>
    <w:rsid w:val="44005E05"/>
    <w:rsid w:val="44202A53"/>
    <w:rsid w:val="442A5561"/>
    <w:rsid w:val="44446945"/>
    <w:rsid w:val="44693BF5"/>
    <w:rsid w:val="446A634B"/>
    <w:rsid w:val="447830E2"/>
    <w:rsid w:val="447B78EA"/>
    <w:rsid w:val="4490400C"/>
    <w:rsid w:val="44C04B5B"/>
    <w:rsid w:val="44C86FCF"/>
    <w:rsid w:val="44D35D7A"/>
    <w:rsid w:val="44E36014"/>
    <w:rsid w:val="44E55C94"/>
    <w:rsid w:val="44FC58B9"/>
    <w:rsid w:val="4511585F"/>
    <w:rsid w:val="451232E0"/>
    <w:rsid w:val="453D79A8"/>
    <w:rsid w:val="454724B5"/>
    <w:rsid w:val="459425B5"/>
    <w:rsid w:val="45950735"/>
    <w:rsid w:val="45965AB8"/>
    <w:rsid w:val="45C046FE"/>
    <w:rsid w:val="45DB2D29"/>
    <w:rsid w:val="45F800DB"/>
    <w:rsid w:val="462908AA"/>
    <w:rsid w:val="462A632B"/>
    <w:rsid w:val="463274F3"/>
    <w:rsid w:val="463F3CD1"/>
    <w:rsid w:val="46534F71"/>
    <w:rsid w:val="465A557C"/>
    <w:rsid w:val="465B6AFA"/>
    <w:rsid w:val="467B15AE"/>
    <w:rsid w:val="467C4AB1"/>
    <w:rsid w:val="4681622F"/>
    <w:rsid w:val="468F3AD1"/>
    <w:rsid w:val="46942157"/>
    <w:rsid w:val="46BB2E3C"/>
    <w:rsid w:val="46E844F6"/>
    <w:rsid w:val="471F593F"/>
    <w:rsid w:val="47365564"/>
    <w:rsid w:val="473D08D3"/>
    <w:rsid w:val="47435E74"/>
    <w:rsid w:val="479A1A05"/>
    <w:rsid w:val="479C1394"/>
    <w:rsid w:val="47BE41C3"/>
    <w:rsid w:val="47C15148"/>
    <w:rsid w:val="47C84AD3"/>
    <w:rsid w:val="47CB21D4"/>
    <w:rsid w:val="47D22494"/>
    <w:rsid w:val="47DC45E3"/>
    <w:rsid w:val="481D7AC3"/>
    <w:rsid w:val="483B3270"/>
    <w:rsid w:val="485F12D5"/>
    <w:rsid w:val="4865465D"/>
    <w:rsid w:val="486B7B5F"/>
    <w:rsid w:val="48711A69"/>
    <w:rsid w:val="487E522F"/>
    <w:rsid w:val="48816B5F"/>
    <w:rsid w:val="48885E0A"/>
    <w:rsid w:val="488C0094"/>
    <w:rsid w:val="48AF0F60"/>
    <w:rsid w:val="48C140E5"/>
    <w:rsid w:val="48C61172"/>
    <w:rsid w:val="48CF3ED1"/>
    <w:rsid w:val="48DA0341"/>
    <w:rsid w:val="48DD6B99"/>
    <w:rsid w:val="48E83A20"/>
    <w:rsid w:val="48F92C46"/>
    <w:rsid w:val="48FA7BF0"/>
    <w:rsid w:val="493D7EB8"/>
    <w:rsid w:val="4945737C"/>
    <w:rsid w:val="49486249"/>
    <w:rsid w:val="49593451"/>
    <w:rsid w:val="49593F65"/>
    <w:rsid w:val="498176A7"/>
    <w:rsid w:val="4984282A"/>
    <w:rsid w:val="49917942"/>
    <w:rsid w:val="49A21DDA"/>
    <w:rsid w:val="49AB4C68"/>
    <w:rsid w:val="49B731BC"/>
    <w:rsid w:val="4A0654DC"/>
    <w:rsid w:val="4A273F71"/>
    <w:rsid w:val="4A2842D2"/>
    <w:rsid w:val="4A3316C9"/>
    <w:rsid w:val="4A3600D0"/>
    <w:rsid w:val="4A573E87"/>
    <w:rsid w:val="4A64571C"/>
    <w:rsid w:val="4A9A2372"/>
    <w:rsid w:val="4ACF4DCB"/>
    <w:rsid w:val="4AF22A01"/>
    <w:rsid w:val="4B080428"/>
    <w:rsid w:val="4B2B38B8"/>
    <w:rsid w:val="4B573A2A"/>
    <w:rsid w:val="4B585C28"/>
    <w:rsid w:val="4B5A3FE3"/>
    <w:rsid w:val="4B7F0AFA"/>
    <w:rsid w:val="4B816DED"/>
    <w:rsid w:val="4B946700"/>
    <w:rsid w:val="4B974814"/>
    <w:rsid w:val="4B9B389C"/>
    <w:rsid w:val="4BBC594D"/>
    <w:rsid w:val="4BCE6EEC"/>
    <w:rsid w:val="4C241E79"/>
    <w:rsid w:val="4C2741B0"/>
    <w:rsid w:val="4C73767A"/>
    <w:rsid w:val="4C981A36"/>
    <w:rsid w:val="4CA85360"/>
    <w:rsid w:val="4CB848EB"/>
    <w:rsid w:val="4CCF2ECF"/>
    <w:rsid w:val="4CD477D8"/>
    <w:rsid w:val="4CD5641A"/>
    <w:rsid w:val="4CDF47AB"/>
    <w:rsid w:val="4CEE6CDC"/>
    <w:rsid w:val="4D0272C9"/>
    <w:rsid w:val="4D145005"/>
    <w:rsid w:val="4D152A86"/>
    <w:rsid w:val="4D187C88"/>
    <w:rsid w:val="4D1E7B13"/>
    <w:rsid w:val="4D547FED"/>
    <w:rsid w:val="4D786A37"/>
    <w:rsid w:val="4D7B064A"/>
    <w:rsid w:val="4DC537A4"/>
    <w:rsid w:val="4DD74D43"/>
    <w:rsid w:val="4DDA1BB1"/>
    <w:rsid w:val="4DFC7501"/>
    <w:rsid w:val="4E0128A4"/>
    <w:rsid w:val="4E175B2C"/>
    <w:rsid w:val="4E2168D7"/>
    <w:rsid w:val="4E497600"/>
    <w:rsid w:val="4E4D6006"/>
    <w:rsid w:val="4E891323"/>
    <w:rsid w:val="4E937674"/>
    <w:rsid w:val="4E963E7C"/>
    <w:rsid w:val="4E994E01"/>
    <w:rsid w:val="4E9A2882"/>
    <w:rsid w:val="4E9D1289"/>
    <w:rsid w:val="4EB50EAE"/>
    <w:rsid w:val="4EBE5040"/>
    <w:rsid w:val="4EC61B08"/>
    <w:rsid w:val="4EC815B9"/>
    <w:rsid w:val="4EDB6B6F"/>
    <w:rsid w:val="4EEE36A2"/>
    <w:rsid w:val="4EF8069D"/>
    <w:rsid w:val="4EFD16F6"/>
    <w:rsid w:val="4EFE4FDC"/>
    <w:rsid w:val="4F0963B9"/>
    <w:rsid w:val="4F0B168D"/>
    <w:rsid w:val="4F1E5158"/>
    <w:rsid w:val="4F3E3390"/>
    <w:rsid w:val="4F45776A"/>
    <w:rsid w:val="4F547732"/>
    <w:rsid w:val="4F556EBB"/>
    <w:rsid w:val="4F963032"/>
    <w:rsid w:val="4FA871BC"/>
    <w:rsid w:val="4FB87457"/>
    <w:rsid w:val="4FBE7162"/>
    <w:rsid w:val="4FCB3D0E"/>
    <w:rsid w:val="4FD96448"/>
    <w:rsid w:val="4FE32702"/>
    <w:rsid w:val="500B12B8"/>
    <w:rsid w:val="500C6EE1"/>
    <w:rsid w:val="50120DEA"/>
    <w:rsid w:val="504B2249"/>
    <w:rsid w:val="50501F54"/>
    <w:rsid w:val="505D59E6"/>
    <w:rsid w:val="505E3468"/>
    <w:rsid w:val="50635739"/>
    <w:rsid w:val="50766910"/>
    <w:rsid w:val="508C2CB2"/>
    <w:rsid w:val="50A32136"/>
    <w:rsid w:val="50D643AB"/>
    <w:rsid w:val="50DC4E4F"/>
    <w:rsid w:val="50F20458"/>
    <w:rsid w:val="51145515"/>
    <w:rsid w:val="51365648"/>
    <w:rsid w:val="513769CE"/>
    <w:rsid w:val="513C7C78"/>
    <w:rsid w:val="516C5BA3"/>
    <w:rsid w:val="517424B6"/>
    <w:rsid w:val="517777B8"/>
    <w:rsid w:val="51846ACD"/>
    <w:rsid w:val="518A5153"/>
    <w:rsid w:val="518F4E5F"/>
    <w:rsid w:val="51AA30C3"/>
    <w:rsid w:val="51AF3300"/>
    <w:rsid w:val="51B07591"/>
    <w:rsid w:val="51C73949"/>
    <w:rsid w:val="51CF7F2C"/>
    <w:rsid w:val="51E43809"/>
    <w:rsid w:val="51EB64FE"/>
    <w:rsid w:val="51F646AA"/>
    <w:rsid w:val="51F86719"/>
    <w:rsid w:val="51FE2158"/>
    <w:rsid w:val="520D572D"/>
    <w:rsid w:val="5223404D"/>
    <w:rsid w:val="522378D0"/>
    <w:rsid w:val="52301165"/>
    <w:rsid w:val="52333696"/>
    <w:rsid w:val="52344807"/>
    <w:rsid w:val="524D2C93"/>
    <w:rsid w:val="525A273C"/>
    <w:rsid w:val="526B7CC5"/>
    <w:rsid w:val="52840BEF"/>
    <w:rsid w:val="52905E25"/>
    <w:rsid w:val="52C85E60"/>
    <w:rsid w:val="52CF79E9"/>
    <w:rsid w:val="52D67374"/>
    <w:rsid w:val="52DE4780"/>
    <w:rsid w:val="52EA3E16"/>
    <w:rsid w:val="52F7312C"/>
    <w:rsid w:val="52F9662F"/>
    <w:rsid w:val="533428C2"/>
    <w:rsid w:val="53381997"/>
    <w:rsid w:val="534A18B1"/>
    <w:rsid w:val="53514ABF"/>
    <w:rsid w:val="53547C42"/>
    <w:rsid w:val="53586648"/>
    <w:rsid w:val="535A0D07"/>
    <w:rsid w:val="535F1857"/>
    <w:rsid w:val="53691493"/>
    <w:rsid w:val="537517FC"/>
    <w:rsid w:val="538B10E0"/>
    <w:rsid w:val="53951D31"/>
    <w:rsid w:val="53980081"/>
    <w:rsid w:val="53A9514E"/>
    <w:rsid w:val="53C850DC"/>
    <w:rsid w:val="53CC6C6C"/>
    <w:rsid w:val="53D60279"/>
    <w:rsid w:val="53DC24A5"/>
    <w:rsid w:val="53DF342A"/>
    <w:rsid w:val="53F555CD"/>
    <w:rsid w:val="53FE04A5"/>
    <w:rsid w:val="540248E3"/>
    <w:rsid w:val="54081CFC"/>
    <w:rsid w:val="540D4E72"/>
    <w:rsid w:val="540F79E0"/>
    <w:rsid w:val="541F2B8E"/>
    <w:rsid w:val="54203E93"/>
    <w:rsid w:val="543350B2"/>
    <w:rsid w:val="545C6276"/>
    <w:rsid w:val="545D0C30"/>
    <w:rsid w:val="546A778A"/>
    <w:rsid w:val="54855DB6"/>
    <w:rsid w:val="54A64A98"/>
    <w:rsid w:val="54BC3D11"/>
    <w:rsid w:val="54D1483E"/>
    <w:rsid w:val="54D21738"/>
    <w:rsid w:val="54E64B55"/>
    <w:rsid w:val="54FB55FA"/>
    <w:rsid w:val="55264A29"/>
    <w:rsid w:val="5531145B"/>
    <w:rsid w:val="554A267C"/>
    <w:rsid w:val="554D3FAF"/>
    <w:rsid w:val="55545DAB"/>
    <w:rsid w:val="55766E5E"/>
    <w:rsid w:val="55835CD9"/>
    <w:rsid w:val="559E4304"/>
    <w:rsid w:val="559F5609"/>
    <w:rsid w:val="55B20DA6"/>
    <w:rsid w:val="55B23DF8"/>
    <w:rsid w:val="55B451AC"/>
    <w:rsid w:val="55E817B7"/>
    <w:rsid w:val="55EA4783"/>
    <w:rsid w:val="55FD59A2"/>
    <w:rsid w:val="56226ADC"/>
    <w:rsid w:val="562C598F"/>
    <w:rsid w:val="5633617E"/>
    <w:rsid w:val="564D0C25"/>
    <w:rsid w:val="564E44A8"/>
    <w:rsid w:val="565463B1"/>
    <w:rsid w:val="565873F2"/>
    <w:rsid w:val="56812378"/>
    <w:rsid w:val="56885586"/>
    <w:rsid w:val="56890E23"/>
    <w:rsid w:val="56AB0FBE"/>
    <w:rsid w:val="56C4796A"/>
    <w:rsid w:val="56CE0279"/>
    <w:rsid w:val="56CF59E9"/>
    <w:rsid w:val="56E968A5"/>
    <w:rsid w:val="56F66EEE"/>
    <w:rsid w:val="570219CD"/>
    <w:rsid w:val="571510BA"/>
    <w:rsid w:val="571D114B"/>
    <w:rsid w:val="57212282"/>
    <w:rsid w:val="5727418B"/>
    <w:rsid w:val="572904F0"/>
    <w:rsid w:val="573669A4"/>
    <w:rsid w:val="573E3DB0"/>
    <w:rsid w:val="573F7E85"/>
    <w:rsid w:val="57416F33"/>
    <w:rsid w:val="574262B8"/>
    <w:rsid w:val="574A6B43"/>
    <w:rsid w:val="57733D2D"/>
    <w:rsid w:val="57784E8F"/>
    <w:rsid w:val="57867A28"/>
    <w:rsid w:val="578F28B6"/>
    <w:rsid w:val="57935BBE"/>
    <w:rsid w:val="57990C47"/>
    <w:rsid w:val="579D0773"/>
    <w:rsid w:val="57B0086C"/>
    <w:rsid w:val="57B47272"/>
    <w:rsid w:val="57BB0DFB"/>
    <w:rsid w:val="57BC467E"/>
    <w:rsid w:val="57C847EF"/>
    <w:rsid w:val="57E317C0"/>
    <w:rsid w:val="57FF53A4"/>
    <w:rsid w:val="580402F6"/>
    <w:rsid w:val="58221AA4"/>
    <w:rsid w:val="58387355"/>
    <w:rsid w:val="58450D5F"/>
    <w:rsid w:val="58CC44BC"/>
    <w:rsid w:val="58D141C7"/>
    <w:rsid w:val="58EA22FF"/>
    <w:rsid w:val="58EE5CF5"/>
    <w:rsid w:val="58F70B83"/>
    <w:rsid w:val="59207AF6"/>
    <w:rsid w:val="592461CF"/>
    <w:rsid w:val="593309E8"/>
    <w:rsid w:val="59450902"/>
    <w:rsid w:val="594B280B"/>
    <w:rsid w:val="59506C93"/>
    <w:rsid w:val="597162CE"/>
    <w:rsid w:val="59974E89"/>
    <w:rsid w:val="59B61EBB"/>
    <w:rsid w:val="59BA08C1"/>
    <w:rsid w:val="59DC20FA"/>
    <w:rsid w:val="59E52A0A"/>
    <w:rsid w:val="59EC2395"/>
    <w:rsid w:val="5A021A83"/>
    <w:rsid w:val="5A451B2A"/>
    <w:rsid w:val="5A5F0B2F"/>
    <w:rsid w:val="5A650D5A"/>
    <w:rsid w:val="5A6B2447"/>
    <w:rsid w:val="5A835D8B"/>
    <w:rsid w:val="5AAF5488"/>
    <w:rsid w:val="5ACD2D08"/>
    <w:rsid w:val="5AD71099"/>
    <w:rsid w:val="5ADE0A23"/>
    <w:rsid w:val="5AE4292D"/>
    <w:rsid w:val="5B126BC9"/>
    <w:rsid w:val="5B160B7D"/>
    <w:rsid w:val="5B366EB4"/>
    <w:rsid w:val="5B3C0DBD"/>
    <w:rsid w:val="5B455E49"/>
    <w:rsid w:val="5B4C57D4"/>
    <w:rsid w:val="5B4E699C"/>
    <w:rsid w:val="5B536564"/>
    <w:rsid w:val="5B540662"/>
    <w:rsid w:val="5B5776E4"/>
    <w:rsid w:val="5B5D6D73"/>
    <w:rsid w:val="5B63418D"/>
    <w:rsid w:val="5B661C01"/>
    <w:rsid w:val="5B7F4D2A"/>
    <w:rsid w:val="5BAC2376"/>
    <w:rsid w:val="5BD23CD1"/>
    <w:rsid w:val="5BF32AEA"/>
    <w:rsid w:val="5BFB20F5"/>
    <w:rsid w:val="5C0B238F"/>
    <w:rsid w:val="5C1F35AE"/>
    <w:rsid w:val="5C2048B3"/>
    <w:rsid w:val="5C2A2C44"/>
    <w:rsid w:val="5C451D35"/>
    <w:rsid w:val="5C4E7981"/>
    <w:rsid w:val="5C595D12"/>
    <w:rsid w:val="5C6E6BB0"/>
    <w:rsid w:val="5C9B41FC"/>
    <w:rsid w:val="5CD57859"/>
    <w:rsid w:val="5CE57E3C"/>
    <w:rsid w:val="5CF7789D"/>
    <w:rsid w:val="5D1C12D3"/>
    <w:rsid w:val="5D1F4C3F"/>
    <w:rsid w:val="5D230C5E"/>
    <w:rsid w:val="5D2B606A"/>
    <w:rsid w:val="5D3C0503"/>
    <w:rsid w:val="5D654FF5"/>
    <w:rsid w:val="5D6800CD"/>
    <w:rsid w:val="5D6F589D"/>
    <w:rsid w:val="5DAA0B36"/>
    <w:rsid w:val="5DAD1ABB"/>
    <w:rsid w:val="5DAF0841"/>
    <w:rsid w:val="5DAF0CDC"/>
    <w:rsid w:val="5DB13D45"/>
    <w:rsid w:val="5DBD55D9"/>
    <w:rsid w:val="5DD13BCE"/>
    <w:rsid w:val="5DE055FE"/>
    <w:rsid w:val="5DE475FE"/>
    <w:rsid w:val="5DF50FB6"/>
    <w:rsid w:val="5E18242A"/>
    <w:rsid w:val="5E4428C3"/>
    <w:rsid w:val="5E47553D"/>
    <w:rsid w:val="5E5238CE"/>
    <w:rsid w:val="5E977650"/>
    <w:rsid w:val="5EB757F1"/>
    <w:rsid w:val="5EC17405"/>
    <w:rsid w:val="5EC7130E"/>
    <w:rsid w:val="5EDD2292"/>
    <w:rsid w:val="5EF01F66"/>
    <w:rsid w:val="5F114C06"/>
    <w:rsid w:val="5F720B41"/>
    <w:rsid w:val="5F744CAA"/>
    <w:rsid w:val="5F7D1D36"/>
    <w:rsid w:val="5F8374C3"/>
    <w:rsid w:val="5F857143"/>
    <w:rsid w:val="5F8E59B9"/>
    <w:rsid w:val="5F920316"/>
    <w:rsid w:val="5F980362"/>
    <w:rsid w:val="5F9B12E6"/>
    <w:rsid w:val="5FAA3AFF"/>
    <w:rsid w:val="5FB32210"/>
    <w:rsid w:val="5FD8114B"/>
    <w:rsid w:val="5FEF0D71"/>
    <w:rsid w:val="5FFA0406"/>
    <w:rsid w:val="5FFA4DC6"/>
    <w:rsid w:val="600D5DA2"/>
    <w:rsid w:val="60335FE2"/>
    <w:rsid w:val="604265FC"/>
    <w:rsid w:val="605A0420"/>
    <w:rsid w:val="60CF16E3"/>
    <w:rsid w:val="60D26DE5"/>
    <w:rsid w:val="60D535ED"/>
    <w:rsid w:val="60DC76F4"/>
    <w:rsid w:val="60E42582"/>
    <w:rsid w:val="60E80F88"/>
    <w:rsid w:val="60EE6715"/>
    <w:rsid w:val="614C0CAD"/>
    <w:rsid w:val="61580343"/>
    <w:rsid w:val="616044A2"/>
    <w:rsid w:val="61670F54"/>
    <w:rsid w:val="616F37EB"/>
    <w:rsid w:val="618912C5"/>
    <w:rsid w:val="619F2CB5"/>
    <w:rsid w:val="61A73945"/>
    <w:rsid w:val="61ED6638"/>
    <w:rsid w:val="61F636C4"/>
    <w:rsid w:val="61FE4354"/>
    <w:rsid w:val="621C5B02"/>
    <w:rsid w:val="622033B1"/>
    <w:rsid w:val="62242958"/>
    <w:rsid w:val="62254213"/>
    <w:rsid w:val="623757B2"/>
    <w:rsid w:val="623F7055"/>
    <w:rsid w:val="62674D83"/>
    <w:rsid w:val="62893F38"/>
    <w:rsid w:val="62AF4177"/>
    <w:rsid w:val="62C37595"/>
    <w:rsid w:val="62C45016"/>
    <w:rsid w:val="62D40EFA"/>
    <w:rsid w:val="62D91738"/>
    <w:rsid w:val="63097D09"/>
    <w:rsid w:val="63105254"/>
    <w:rsid w:val="631C6D2A"/>
    <w:rsid w:val="631E222D"/>
    <w:rsid w:val="631F779C"/>
    <w:rsid w:val="63325785"/>
    <w:rsid w:val="634755F0"/>
    <w:rsid w:val="639D2D0E"/>
    <w:rsid w:val="63A13700"/>
    <w:rsid w:val="63AE2361"/>
    <w:rsid w:val="63D619DB"/>
    <w:rsid w:val="63DC6A36"/>
    <w:rsid w:val="64002820"/>
    <w:rsid w:val="6402249F"/>
    <w:rsid w:val="64A04927"/>
    <w:rsid w:val="64AD61BC"/>
    <w:rsid w:val="64B52AB6"/>
    <w:rsid w:val="64BE5FF1"/>
    <w:rsid w:val="64CD6821"/>
    <w:rsid w:val="64D7381D"/>
    <w:rsid w:val="64DD3107"/>
    <w:rsid w:val="65090AD4"/>
    <w:rsid w:val="652F6454"/>
    <w:rsid w:val="65320613"/>
    <w:rsid w:val="654266AF"/>
    <w:rsid w:val="65434131"/>
    <w:rsid w:val="65490238"/>
    <w:rsid w:val="654F59C5"/>
    <w:rsid w:val="655962D4"/>
    <w:rsid w:val="65775884"/>
    <w:rsid w:val="657E0A92"/>
    <w:rsid w:val="658F67AE"/>
    <w:rsid w:val="65914D42"/>
    <w:rsid w:val="65AE37E0"/>
    <w:rsid w:val="65B668C9"/>
    <w:rsid w:val="65C239EF"/>
    <w:rsid w:val="66025ECA"/>
    <w:rsid w:val="660541EF"/>
    <w:rsid w:val="66087371"/>
    <w:rsid w:val="661A6E4F"/>
    <w:rsid w:val="663E784C"/>
    <w:rsid w:val="664604DB"/>
    <w:rsid w:val="66616B07"/>
    <w:rsid w:val="66821A22"/>
    <w:rsid w:val="66911096"/>
    <w:rsid w:val="66AA497C"/>
    <w:rsid w:val="66B87515"/>
    <w:rsid w:val="66BB049A"/>
    <w:rsid w:val="66CC2933"/>
    <w:rsid w:val="66FD6985"/>
    <w:rsid w:val="672D16D2"/>
    <w:rsid w:val="67305EDA"/>
    <w:rsid w:val="67415670"/>
    <w:rsid w:val="674A3201"/>
    <w:rsid w:val="676663B4"/>
    <w:rsid w:val="67934394"/>
    <w:rsid w:val="67B71637"/>
    <w:rsid w:val="67C0773E"/>
    <w:rsid w:val="67CD705D"/>
    <w:rsid w:val="67DD3A75"/>
    <w:rsid w:val="67E60D91"/>
    <w:rsid w:val="67EB660D"/>
    <w:rsid w:val="68026233"/>
    <w:rsid w:val="680A7DBC"/>
    <w:rsid w:val="6819694F"/>
    <w:rsid w:val="681A38D9"/>
    <w:rsid w:val="682412E8"/>
    <w:rsid w:val="682F7FFB"/>
    <w:rsid w:val="6842207C"/>
    <w:rsid w:val="684A19F7"/>
    <w:rsid w:val="685811C0"/>
    <w:rsid w:val="686739D9"/>
    <w:rsid w:val="68706867"/>
    <w:rsid w:val="687C00FB"/>
    <w:rsid w:val="68B4325D"/>
    <w:rsid w:val="68BA24A7"/>
    <w:rsid w:val="68BC4024"/>
    <w:rsid w:val="68C8394A"/>
    <w:rsid w:val="68CB5C7C"/>
    <w:rsid w:val="68E42FA2"/>
    <w:rsid w:val="68E92CAD"/>
    <w:rsid w:val="69090FE4"/>
    <w:rsid w:val="69185D7B"/>
    <w:rsid w:val="6936393C"/>
    <w:rsid w:val="695B2544"/>
    <w:rsid w:val="69862A24"/>
    <w:rsid w:val="698E59B9"/>
    <w:rsid w:val="69A1245C"/>
    <w:rsid w:val="69C00B62"/>
    <w:rsid w:val="69C25B86"/>
    <w:rsid w:val="69C57D0A"/>
    <w:rsid w:val="69CF1CA6"/>
    <w:rsid w:val="69DA187A"/>
    <w:rsid w:val="6A017EF7"/>
    <w:rsid w:val="6A0C6288"/>
    <w:rsid w:val="6A0E178B"/>
    <w:rsid w:val="6A254C33"/>
    <w:rsid w:val="6A35744C"/>
    <w:rsid w:val="6A383C54"/>
    <w:rsid w:val="6A5915E6"/>
    <w:rsid w:val="6A694423"/>
    <w:rsid w:val="6A872969"/>
    <w:rsid w:val="6A9D5B77"/>
    <w:rsid w:val="6AC07030"/>
    <w:rsid w:val="6B065957"/>
    <w:rsid w:val="6B21034E"/>
    <w:rsid w:val="6B2370D5"/>
    <w:rsid w:val="6B2B1F62"/>
    <w:rsid w:val="6B2B5474"/>
    <w:rsid w:val="6B2D1BE2"/>
    <w:rsid w:val="6B3C21FD"/>
    <w:rsid w:val="6B681DC7"/>
    <w:rsid w:val="6B7226D7"/>
    <w:rsid w:val="6B745BDA"/>
    <w:rsid w:val="6BAF130E"/>
    <w:rsid w:val="6BC740BF"/>
    <w:rsid w:val="6BCD3CEA"/>
    <w:rsid w:val="6BD15F74"/>
    <w:rsid w:val="6BE96954"/>
    <w:rsid w:val="6C105A58"/>
    <w:rsid w:val="6C5E35D9"/>
    <w:rsid w:val="6C9411BA"/>
    <w:rsid w:val="6CBB3973"/>
    <w:rsid w:val="6CCE4B92"/>
    <w:rsid w:val="6CE407A0"/>
    <w:rsid w:val="6CEF5734"/>
    <w:rsid w:val="6D201BB4"/>
    <w:rsid w:val="6D530C3C"/>
    <w:rsid w:val="6D5737F1"/>
    <w:rsid w:val="6D65789F"/>
    <w:rsid w:val="6D920153"/>
    <w:rsid w:val="6D992397"/>
    <w:rsid w:val="6DC53E25"/>
    <w:rsid w:val="6DDA3DCA"/>
    <w:rsid w:val="6DDF0252"/>
    <w:rsid w:val="6DE446DA"/>
    <w:rsid w:val="6DEB6B8D"/>
    <w:rsid w:val="6E095813"/>
    <w:rsid w:val="6E100A21"/>
    <w:rsid w:val="6E1563C2"/>
    <w:rsid w:val="6E2D0452"/>
    <w:rsid w:val="6E3661C1"/>
    <w:rsid w:val="6E4903F5"/>
    <w:rsid w:val="6E491E80"/>
    <w:rsid w:val="6E833B47"/>
    <w:rsid w:val="6E981E7E"/>
    <w:rsid w:val="6ECC3352"/>
    <w:rsid w:val="6ED2525C"/>
    <w:rsid w:val="6ED829E8"/>
    <w:rsid w:val="6EF115EB"/>
    <w:rsid w:val="6F123AC7"/>
    <w:rsid w:val="6F47651F"/>
    <w:rsid w:val="6F624B4B"/>
    <w:rsid w:val="6F7F6679"/>
    <w:rsid w:val="6F83507F"/>
    <w:rsid w:val="6FB251C4"/>
    <w:rsid w:val="6FC25710"/>
    <w:rsid w:val="6FC935F6"/>
    <w:rsid w:val="6FD810B5"/>
    <w:rsid w:val="70007ECC"/>
    <w:rsid w:val="70206203"/>
    <w:rsid w:val="70221706"/>
    <w:rsid w:val="70481945"/>
    <w:rsid w:val="70666977"/>
    <w:rsid w:val="706F1805"/>
    <w:rsid w:val="70953140"/>
    <w:rsid w:val="709616C4"/>
    <w:rsid w:val="709A00CB"/>
    <w:rsid w:val="70A00C10"/>
    <w:rsid w:val="70A67761"/>
    <w:rsid w:val="70AE0761"/>
    <w:rsid w:val="70C14F73"/>
    <w:rsid w:val="70CA2E18"/>
    <w:rsid w:val="710044E5"/>
    <w:rsid w:val="711F0324"/>
    <w:rsid w:val="712447AC"/>
    <w:rsid w:val="714D3D36"/>
    <w:rsid w:val="71673F9B"/>
    <w:rsid w:val="716A4F20"/>
    <w:rsid w:val="71845ACA"/>
    <w:rsid w:val="71EB4575"/>
    <w:rsid w:val="72010916"/>
    <w:rsid w:val="721C4D44"/>
    <w:rsid w:val="72311466"/>
    <w:rsid w:val="72411700"/>
    <w:rsid w:val="72501D1B"/>
    <w:rsid w:val="725561A2"/>
    <w:rsid w:val="72663EBE"/>
    <w:rsid w:val="727950DD"/>
    <w:rsid w:val="72930759"/>
    <w:rsid w:val="72941455"/>
    <w:rsid w:val="7298210F"/>
    <w:rsid w:val="72CF33B9"/>
    <w:rsid w:val="72E13808"/>
    <w:rsid w:val="72F97729"/>
    <w:rsid w:val="730B69EF"/>
    <w:rsid w:val="730E1CC8"/>
    <w:rsid w:val="73157942"/>
    <w:rsid w:val="73345810"/>
    <w:rsid w:val="73372F12"/>
    <w:rsid w:val="7362505B"/>
    <w:rsid w:val="736E6BD7"/>
    <w:rsid w:val="73A82490"/>
    <w:rsid w:val="73A87D4E"/>
    <w:rsid w:val="73AC16A6"/>
    <w:rsid w:val="73AC6754"/>
    <w:rsid w:val="73C93B06"/>
    <w:rsid w:val="73D7089D"/>
    <w:rsid w:val="73DA1821"/>
    <w:rsid w:val="73FA42D5"/>
    <w:rsid w:val="742D5A28"/>
    <w:rsid w:val="743431B5"/>
    <w:rsid w:val="74512765"/>
    <w:rsid w:val="74567ED4"/>
    <w:rsid w:val="74655B82"/>
    <w:rsid w:val="74671085"/>
    <w:rsid w:val="746D1B44"/>
    <w:rsid w:val="74707796"/>
    <w:rsid w:val="74792624"/>
    <w:rsid w:val="74B642C6"/>
    <w:rsid w:val="74B67B00"/>
    <w:rsid w:val="74C4399D"/>
    <w:rsid w:val="74D74BBC"/>
    <w:rsid w:val="74E706DA"/>
    <w:rsid w:val="74EE69AA"/>
    <w:rsid w:val="75055A8C"/>
    <w:rsid w:val="750D5096"/>
    <w:rsid w:val="752175BA"/>
    <w:rsid w:val="753D7DE4"/>
    <w:rsid w:val="755469EE"/>
    <w:rsid w:val="7566482B"/>
    <w:rsid w:val="757415C3"/>
    <w:rsid w:val="75860ACA"/>
    <w:rsid w:val="7591786E"/>
    <w:rsid w:val="759321EA"/>
    <w:rsid w:val="75A3688F"/>
    <w:rsid w:val="75A51D92"/>
    <w:rsid w:val="75B02718"/>
    <w:rsid w:val="75C857C9"/>
    <w:rsid w:val="75DA0F67"/>
    <w:rsid w:val="75F41B11"/>
    <w:rsid w:val="75F679EB"/>
    <w:rsid w:val="760133A5"/>
    <w:rsid w:val="76054C7B"/>
    <w:rsid w:val="760D526E"/>
    <w:rsid w:val="76114C42"/>
    <w:rsid w:val="763C5788"/>
    <w:rsid w:val="764D41DD"/>
    <w:rsid w:val="765B5C0D"/>
    <w:rsid w:val="767223DF"/>
    <w:rsid w:val="76835EFD"/>
    <w:rsid w:val="768A211B"/>
    <w:rsid w:val="76912C94"/>
    <w:rsid w:val="76944F4E"/>
    <w:rsid w:val="76B07CC5"/>
    <w:rsid w:val="76C11474"/>
    <w:rsid w:val="76C778EB"/>
    <w:rsid w:val="76CD5077"/>
    <w:rsid w:val="76CF057A"/>
    <w:rsid w:val="76D05FFC"/>
    <w:rsid w:val="76D3117F"/>
    <w:rsid w:val="76EC650F"/>
    <w:rsid w:val="77093988"/>
    <w:rsid w:val="771A18F3"/>
    <w:rsid w:val="7770627E"/>
    <w:rsid w:val="7780039E"/>
    <w:rsid w:val="779D6F3B"/>
    <w:rsid w:val="77B64FF5"/>
    <w:rsid w:val="77D7149E"/>
    <w:rsid w:val="77E757C4"/>
    <w:rsid w:val="77EE09D2"/>
    <w:rsid w:val="78070277"/>
    <w:rsid w:val="78181816"/>
    <w:rsid w:val="784A7A67"/>
    <w:rsid w:val="784D67ED"/>
    <w:rsid w:val="7862510D"/>
    <w:rsid w:val="78711EA5"/>
    <w:rsid w:val="78855555"/>
    <w:rsid w:val="78977B00"/>
    <w:rsid w:val="78B705EE"/>
    <w:rsid w:val="79063A1D"/>
    <w:rsid w:val="791A26BE"/>
    <w:rsid w:val="79312FFE"/>
    <w:rsid w:val="793D02F4"/>
    <w:rsid w:val="79443502"/>
    <w:rsid w:val="795821A2"/>
    <w:rsid w:val="795B1ECA"/>
    <w:rsid w:val="7968243D"/>
    <w:rsid w:val="796A5940"/>
    <w:rsid w:val="79741AD3"/>
    <w:rsid w:val="7974624F"/>
    <w:rsid w:val="79815565"/>
    <w:rsid w:val="79870BE5"/>
    <w:rsid w:val="798B3A31"/>
    <w:rsid w:val="799A2538"/>
    <w:rsid w:val="799F4B15"/>
    <w:rsid w:val="79B160B4"/>
    <w:rsid w:val="79C0155A"/>
    <w:rsid w:val="79C56282"/>
    <w:rsid w:val="79CF5664"/>
    <w:rsid w:val="79DA03D8"/>
    <w:rsid w:val="79DA4A05"/>
    <w:rsid w:val="79E1716A"/>
    <w:rsid w:val="79ED2696"/>
    <w:rsid w:val="7A101951"/>
    <w:rsid w:val="7A3C3A9A"/>
    <w:rsid w:val="7A5977C7"/>
    <w:rsid w:val="7A8A6F11"/>
    <w:rsid w:val="7A9479AC"/>
    <w:rsid w:val="7AC94B56"/>
    <w:rsid w:val="7AD21A0F"/>
    <w:rsid w:val="7AD579F5"/>
    <w:rsid w:val="7ADE32A3"/>
    <w:rsid w:val="7B050F64"/>
    <w:rsid w:val="7B086666"/>
    <w:rsid w:val="7B1018A7"/>
    <w:rsid w:val="7B1C5306"/>
    <w:rsid w:val="7B2848DB"/>
    <w:rsid w:val="7B4A6241"/>
    <w:rsid w:val="7B4C77FE"/>
    <w:rsid w:val="7B7C1EA8"/>
    <w:rsid w:val="7B7E53AB"/>
    <w:rsid w:val="7B9E7E5E"/>
    <w:rsid w:val="7BBC2C91"/>
    <w:rsid w:val="7BDD31C6"/>
    <w:rsid w:val="7BE2184C"/>
    <w:rsid w:val="7BEB46DA"/>
    <w:rsid w:val="7BFB4974"/>
    <w:rsid w:val="7BFD5C79"/>
    <w:rsid w:val="7C0242FF"/>
    <w:rsid w:val="7C106E98"/>
    <w:rsid w:val="7C272341"/>
    <w:rsid w:val="7C3B0FE1"/>
    <w:rsid w:val="7C4D2B04"/>
    <w:rsid w:val="7C56760C"/>
    <w:rsid w:val="7C59663E"/>
    <w:rsid w:val="7C6678A7"/>
    <w:rsid w:val="7C6B3D2F"/>
    <w:rsid w:val="7C8B2065"/>
    <w:rsid w:val="7C8C45DE"/>
    <w:rsid w:val="7C902C69"/>
    <w:rsid w:val="7C9113A4"/>
    <w:rsid w:val="7CA80310"/>
    <w:rsid w:val="7CB83E2E"/>
    <w:rsid w:val="7CCD4CCD"/>
    <w:rsid w:val="7CD05C51"/>
    <w:rsid w:val="7D032FA8"/>
    <w:rsid w:val="7D0719AF"/>
    <w:rsid w:val="7D3127F3"/>
    <w:rsid w:val="7D534ACC"/>
    <w:rsid w:val="7D66240C"/>
    <w:rsid w:val="7D8556A0"/>
    <w:rsid w:val="7D972197"/>
    <w:rsid w:val="7D9E75A3"/>
    <w:rsid w:val="7DC379B4"/>
    <w:rsid w:val="7DF34AAF"/>
    <w:rsid w:val="7DF612B7"/>
    <w:rsid w:val="7E032B4B"/>
    <w:rsid w:val="7E18349E"/>
    <w:rsid w:val="7E207EFD"/>
    <w:rsid w:val="7E271A86"/>
    <w:rsid w:val="7E2E4C94"/>
    <w:rsid w:val="7E516DAD"/>
    <w:rsid w:val="7E8678A1"/>
    <w:rsid w:val="7E912CFB"/>
    <w:rsid w:val="7EAA214A"/>
    <w:rsid w:val="7EAE0A66"/>
    <w:rsid w:val="7EB503F0"/>
    <w:rsid w:val="7EBB22FA"/>
    <w:rsid w:val="7EDB06A4"/>
    <w:rsid w:val="7EF8277F"/>
    <w:rsid w:val="7F122D08"/>
    <w:rsid w:val="7F143C8D"/>
    <w:rsid w:val="7F2619A9"/>
    <w:rsid w:val="7F271629"/>
    <w:rsid w:val="7F461EDE"/>
    <w:rsid w:val="7F5E0FEF"/>
    <w:rsid w:val="7F800DBE"/>
    <w:rsid w:val="7F913256"/>
    <w:rsid w:val="7F980FFC"/>
    <w:rsid w:val="7F982BE1"/>
    <w:rsid w:val="7F9E4AEB"/>
    <w:rsid w:val="7FA248A8"/>
    <w:rsid w:val="7FBC5C32"/>
    <w:rsid w:val="7FDD76DD"/>
    <w:rsid w:val="7FF838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qFormat="1"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qFormat="1" w:unhideWhenUsed="0" w:uiPriority="0" w:semiHidden="0" w:name="Body Text 3"/>
    <w:lsdException w:qFormat="1" w:uiPriority="99"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spacing w:before="120" w:after="120" w:line="60" w:lineRule="auto"/>
      <w:jc w:val="center"/>
      <w:outlineLvl w:val="0"/>
    </w:pPr>
    <w:rPr>
      <w:rFonts w:eastAsia="仿宋"/>
      <w:b/>
      <w:bCs/>
      <w:kern w:val="44"/>
      <w:sz w:val="32"/>
      <w:szCs w:val="44"/>
    </w:rPr>
  </w:style>
  <w:style w:type="paragraph" w:styleId="3">
    <w:name w:val="heading 2"/>
    <w:basedOn w:val="1"/>
    <w:next w:val="1"/>
    <w:qFormat/>
    <w:uiPriority w:val="0"/>
    <w:pPr>
      <w:keepNext/>
      <w:keepLines/>
      <w:spacing w:line="415" w:lineRule="auto"/>
      <w:outlineLvl w:val="1"/>
    </w:pPr>
    <w:rPr>
      <w:rFonts w:ascii="Arial" w:hAnsi="Arial" w:eastAsia="仿宋"/>
      <w:b/>
      <w:bCs/>
      <w:sz w:val="28"/>
      <w:szCs w:val="32"/>
    </w:rPr>
  </w:style>
  <w:style w:type="paragraph" w:styleId="4">
    <w:name w:val="heading 3"/>
    <w:basedOn w:val="1"/>
    <w:next w:val="1"/>
    <w:qFormat/>
    <w:uiPriority w:val="0"/>
    <w:pPr>
      <w:widowControl/>
      <w:spacing w:before="100" w:beforeAutospacing="1" w:after="100" w:afterAutospacing="1"/>
      <w:jc w:val="left"/>
      <w:outlineLvl w:val="2"/>
    </w:pPr>
    <w:rPr>
      <w:rFonts w:ascii="宋体" w:hAnsi="宋体" w:cs="宋体"/>
      <w:b/>
      <w:bCs/>
      <w:kern w:val="0"/>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overflowPunct w:val="0"/>
      <w:autoSpaceDE w:val="0"/>
      <w:autoSpaceDN w:val="0"/>
      <w:adjustRightInd w:val="0"/>
      <w:snapToGrid w:val="0"/>
      <w:spacing w:line="300" w:lineRule="auto"/>
      <w:ind w:firstLine="556"/>
      <w:textAlignment w:val="baseline"/>
    </w:pPr>
    <w:rPr>
      <w:rFonts w:ascii="仿宋_GB2312" w:eastAsia="仿宋_GB2312"/>
      <w:sz w:val="28"/>
      <w:szCs w:val="20"/>
    </w:rPr>
  </w:style>
  <w:style w:type="paragraph" w:styleId="6">
    <w:name w:val="annotation text"/>
    <w:basedOn w:val="1"/>
    <w:link w:val="57"/>
    <w:qFormat/>
    <w:uiPriority w:val="0"/>
    <w:pPr>
      <w:jc w:val="left"/>
    </w:pPr>
  </w:style>
  <w:style w:type="paragraph" w:styleId="7">
    <w:name w:val="Salutation"/>
    <w:basedOn w:val="1"/>
    <w:next w:val="1"/>
    <w:link w:val="80"/>
    <w:semiHidden/>
    <w:unhideWhenUsed/>
    <w:qFormat/>
    <w:uiPriority w:val="0"/>
  </w:style>
  <w:style w:type="paragraph" w:styleId="8">
    <w:name w:val="Body Text 3"/>
    <w:basedOn w:val="1"/>
    <w:qFormat/>
    <w:uiPriority w:val="0"/>
    <w:pPr>
      <w:snapToGrid w:val="0"/>
      <w:spacing w:line="360" w:lineRule="auto"/>
    </w:pPr>
    <w:rPr>
      <w:rFonts w:ascii="仿宋_GB2312" w:eastAsia="仿宋_GB2312"/>
      <w:color w:val="000000"/>
      <w:sz w:val="28"/>
      <w:szCs w:val="20"/>
    </w:rPr>
  </w:style>
  <w:style w:type="paragraph" w:styleId="9">
    <w:name w:val="Closing"/>
    <w:basedOn w:val="1"/>
    <w:link w:val="81"/>
    <w:semiHidden/>
    <w:unhideWhenUsed/>
    <w:qFormat/>
    <w:uiPriority w:val="0"/>
    <w:pPr>
      <w:ind w:left="100" w:leftChars="2100"/>
    </w:pPr>
  </w:style>
  <w:style w:type="paragraph" w:styleId="10">
    <w:name w:val="Body Text"/>
    <w:basedOn w:val="1"/>
    <w:qFormat/>
    <w:uiPriority w:val="0"/>
    <w:pPr>
      <w:spacing w:after="120"/>
    </w:pPr>
    <w:rPr>
      <w:rFonts w:ascii="宋体" w:hAnsi="宋体"/>
    </w:rPr>
  </w:style>
  <w:style w:type="paragraph" w:styleId="11">
    <w:name w:val="Body Text Indent"/>
    <w:basedOn w:val="1"/>
    <w:link w:val="42"/>
    <w:qFormat/>
    <w:uiPriority w:val="0"/>
    <w:pPr>
      <w:spacing w:after="120"/>
      <w:ind w:left="420" w:leftChars="200"/>
    </w:pPr>
  </w:style>
  <w:style w:type="paragraph" w:styleId="12">
    <w:name w:val="toc 3"/>
    <w:basedOn w:val="1"/>
    <w:next w:val="1"/>
    <w:qFormat/>
    <w:uiPriority w:val="0"/>
    <w:pPr>
      <w:ind w:left="840" w:leftChars="400"/>
    </w:pPr>
  </w:style>
  <w:style w:type="paragraph" w:styleId="13">
    <w:name w:val="Plain Text"/>
    <w:basedOn w:val="1"/>
    <w:link w:val="47"/>
    <w:qFormat/>
    <w:uiPriority w:val="0"/>
    <w:rPr>
      <w:rFonts w:ascii="宋体" w:hAnsi="Courier New" w:eastAsia="Times New Roman"/>
      <w:szCs w:val="20"/>
    </w:rPr>
  </w:style>
  <w:style w:type="paragraph" w:styleId="14">
    <w:name w:val="Date"/>
    <w:basedOn w:val="1"/>
    <w:next w:val="1"/>
    <w:qFormat/>
    <w:uiPriority w:val="0"/>
    <w:pPr>
      <w:widowControl/>
      <w:overflowPunct w:val="0"/>
      <w:autoSpaceDE w:val="0"/>
      <w:autoSpaceDN w:val="0"/>
      <w:adjustRightInd w:val="0"/>
      <w:jc w:val="right"/>
      <w:textAlignment w:val="baseline"/>
    </w:pPr>
    <w:rPr>
      <w:rFonts w:ascii="楷体_GB2312" w:eastAsia="楷体_GB2312"/>
      <w:kern w:val="0"/>
      <w:sz w:val="28"/>
      <w:szCs w:val="20"/>
    </w:rPr>
  </w:style>
  <w:style w:type="paragraph" w:styleId="15">
    <w:name w:val="Body Text Indent 2"/>
    <w:basedOn w:val="1"/>
    <w:link w:val="59"/>
    <w:unhideWhenUsed/>
    <w:qFormat/>
    <w:uiPriority w:val="99"/>
    <w:pPr>
      <w:spacing w:after="120" w:line="480" w:lineRule="auto"/>
      <w:ind w:left="420" w:leftChars="200"/>
    </w:pPr>
  </w:style>
  <w:style w:type="paragraph" w:styleId="16">
    <w:name w:val="Balloon Text"/>
    <w:basedOn w:val="1"/>
    <w:semiHidden/>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8630"/>
      </w:tabs>
      <w:snapToGrid w:val="0"/>
      <w:spacing w:line="360" w:lineRule="auto"/>
    </w:pPr>
    <w:rPr>
      <w:rFonts w:ascii="仿宋_GB2312" w:hAnsi="宋体" w:eastAsia="仿宋_GB2312"/>
      <w:b/>
      <w:sz w:val="28"/>
      <w:szCs w:val="28"/>
    </w:rPr>
  </w:style>
  <w:style w:type="paragraph" w:styleId="20">
    <w:name w:val="toc 4"/>
    <w:basedOn w:val="1"/>
    <w:next w:val="1"/>
    <w:qFormat/>
    <w:uiPriority w:val="0"/>
    <w:pPr>
      <w:ind w:left="1260" w:leftChars="600"/>
    </w:pPr>
  </w:style>
  <w:style w:type="paragraph" w:styleId="21">
    <w:name w:val="Body Text Indent 3"/>
    <w:basedOn w:val="1"/>
    <w:qFormat/>
    <w:uiPriority w:val="0"/>
    <w:pPr>
      <w:spacing w:line="360" w:lineRule="auto"/>
      <w:ind w:firstLine="560" w:firstLineChars="200"/>
    </w:pPr>
    <w:rPr>
      <w:rFonts w:ascii="仿宋_GB2312" w:eastAsia="仿宋_GB2312"/>
      <w:color w:val="000000"/>
      <w:sz w:val="28"/>
      <w:szCs w:val="20"/>
    </w:rPr>
  </w:style>
  <w:style w:type="paragraph" w:styleId="22">
    <w:name w:val="toc 2"/>
    <w:basedOn w:val="1"/>
    <w:next w:val="1"/>
    <w:qFormat/>
    <w:uiPriority w:val="39"/>
    <w:pPr>
      <w:tabs>
        <w:tab w:val="right" w:leader="dot" w:pos="8647"/>
      </w:tabs>
      <w:spacing w:line="500" w:lineRule="exact"/>
      <w:ind w:left="420" w:leftChars="200"/>
    </w:pPr>
    <w:rPr>
      <w:rFonts w:ascii="Arial Narrow" w:hAnsi="Arial Narrow" w:eastAsia="仿宋_GB2312"/>
      <w:color w:val="000000"/>
      <w:sz w:val="28"/>
      <w:szCs w:val="28"/>
    </w:rPr>
  </w:style>
  <w:style w:type="paragraph" w:styleId="2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kern w:val="0"/>
      <w:sz w:val="20"/>
      <w:szCs w:val="20"/>
      <w:lang w:eastAsia="en-US"/>
    </w:rPr>
  </w:style>
  <w:style w:type="paragraph" w:styleId="2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5">
    <w:name w:val="Title"/>
    <w:basedOn w:val="1"/>
    <w:next w:val="1"/>
    <w:link w:val="43"/>
    <w:qFormat/>
    <w:uiPriority w:val="10"/>
    <w:pPr>
      <w:spacing w:before="240" w:after="60"/>
      <w:jc w:val="left"/>
      <w:outlineLvl w:val="0"/>
    </w:pPr>
    <w:rPr>
      <w:rFonts w:ascii="Cambria" w:hAnsi="Cambria" w:eastAsia="仿宋"/>
      <w:b/>
      <w:bCs/>
      <w:sz w:val="28"/>
      <w:szCs w:val="32"/>
    </w:rPr>
  </w:style>
  <w:style w:type="paragraph" w:styleId="26">
    <w:name w:val="annotation subject"/>
    <w:basedOn w:val="6"/>
    <w:next w:val="6"/>
    <w:semiHidden/>
    <w:qFormat/>
    <w:uiPriority w:val="0"/>
    <w:rPr>
      <w:b/>
      <w:bCs/>
    </w:rPr>
  </w:style>
  <w:style w:type="table" w:styleId="28">
    <w:name w:val="Table Grid"/>
    <w:basedOn w:val="27"/>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22"/>
    <w:rPr>
      <w:b/>
      <w:bCs/>
    </w:rPr>
  </w:style>
  <w:style w:type="character" w:styleId="31">
    <w:name w:val="page number"/>
    <w:basedOn w:val="29"/>
    <w:qFormat/>
    <w:uiPriority w:val="0"/>
  </w:style>
  <w:style w:type="character" w:styleId="32">
    <w:name w:val="FollowedHyperlink"/>
    <w:qFormat/>
    <w:uiPriority w:val="0"/>
    <w:rPr>
      <w:color w:val="338DE6"/>
      <w:u w:val="none"/>
    </w:rPr>
  </w:style>
  <w:style w:type="character" w:styleId="33">
    <w:name w:val="Emphasis"/>
    <w:qFormat/>
    <w:uiPriority w:val="0"/>
  </w:style>
  <w:style w:type="character" w:styleId="34">
    <w:name w:val="HTML Definition"/>
    <w:qFormat/>
    <w:uiPriority w:val="0"/>
  </w:style>
  <w:style w:type="character" w:styleId="35">
    <w:name w:val="HTML Variable"/>
    <w:qFormat/>
    <w:uiPriority w:val="0"/>
  </w:style>
  <w:style w:type="character" w:styleId="36">
    <w:name w:val="Hyperlink"/>
    <w:basedOn w:val="29"/>
    <w:qFormat/>
    <w:uiPriority w:val="99"/>
    <w:rPr>
      <w:color w:val="0000FF"/>
      <w:u w:val="single"/>
    </w:rPr>
  </w:style>
  <w:style w:type="character" w:styleId="37">
    <w:name w:val="HTML Code"/>
    <w:qFormat/>
    <w:uiPriority w:val="0"/>
    <w:rPr>
      <w:rFonts w:hint="default" w:ascii="monospace" w:hAnsi="monospace" w:eastAsia="monospace" w:cs="monospace"/>
      <w:sz w:val="21"/>
      <w:szCs w:val="21"/>
    </w:rPr>
  </w:style>
  <w:style w:type="character" w:styleId="38">
    <w:name w:val="annotation reference"/>
    <w:basedOn w:val="29"/>
    <w:semiHidden/>
    <w:qFormat/>
    <w:uiPriority w:val="99"/>
    <w:rPr>
      <w:sz w:val="21"/>
      <w:szCs w:val="21"/>
    </w:rPr>
  </w:style>
  <w:style w:type="character" w:styleId="39">
    <w:name w:val="HTML Cite"/>
    <w:qFormat/>
    <w:uiPriority w:val="0"/>
  </w:style>
  <w:style w:type="character" w:styleId="40">
    <w:name w:val="HTML Keyboard"/>
    <w:qFormat/>
    <w:uiPriority w:val="0"/>
    <w:rPr>
      <w:rFonts w:hint="default" w:ascii="monospace" w:hAnsi="monospace" w:eastAsia="monospace" w:cs="monospace"/>
      <w:sz w:val="21"/>
      <w:szCs w:val="21"/>
    </w:rPr>
  </w:style>
  <w:style w:type="character" w:styleId="41">
    <w:name w:val="HTML Sample"/>
    <w:qFormat/>
    <w:uiPriority w:val="0"/>
    <w:rPr>
      <w:rFonts w:ascii="monospace" w:hAnsi="monospace" w:eastAsia="monospace" w:cs="monospace"/>
      <w:sz w:val="21"/>
      <w:szCs w:val="21"/>
    </w:rPr>
  </w:style>
  <w:style w:type="character" w:customStyle="1" w:styleId="42">
    <w:name w:val="正文文本缩进 Char"/>
    <w:basedOn w:val="29"/>
    <w:link w:val="11"/>
    <w:qFormat/>
    <w:uiPriority w:val="0"/>
    <w:rPr>
      <w:kern w:val="2"/>
      <w:sz w:val="21"/>
      <w:szCs w:val="24"/>
    </w:rPr>
  </w:style>
  <w:style w:type="character" w:customStyle="1" w:styleId="43">
    <w:name w:val="标题 Char"/>
    <w:basedOn w:val="29"/>
    <w:link w:val="25"/>
    <w:qFormat/>
    <w:uiPriority w:val="10"/>
    <w:rPr>
      <w:rFonts w:ascii="Cambria" w:hAnsi="Cambria" w:eastAsia="仿宋"/>
      <w:b/>
      <w:bCs/>
      <w:kern w:val="2"/>
      <w:sz w:val="28"/>
      <w:szCs w:val="32"/>
    </w:rPr>
  </w:style>
  <w:style w:type="character" w:customStyle="1" w:styleId="44">
    <w:name w:val="纯文本 Char"/>
    <w:basedOn w:val="29"/>
    <w:link w:val="45"/>
    <w:qFormat/>
    <w:uiPriority w:val="0"/>
    <w:rPr>
      <w:rFonts w:ascii="宋体" w:hAnsi="Courier New" w:eastAsia="宋体"/>
      <w:kern w:val="2"/>
      <w:sz w:val="21"/>
      <w:lang w:val="en-US" w:eastAsia="zh-CN" w:bidi="ar-SA"/>
    </w:rPr>
  </w:style>
  <w:style w:type="paragraph" w:customStyle="1" w:styleId="45">
    <w:name w:val="纯文本1"/>
    <w:basedOn w:val="1"/>
    <w:link w:val="44"/>
    <w:qFormat/>
    <w:uiPriority w:val="0"/>
    <w:rPr>
      <w:rFonts w:ascii="宋体" w:hAnsi="Courier New"/>
      <w:szCs w:val="20"/>
    </w:rPr>
  </w:style>
  <w:style w:type="character" w:customStyle="1" w:styleId="46">
    <w:name w:val="font61"/>
    <w:basedOn w:val="29"/>
    <w:qFormat/>
    <w:uiPriority w:val="0"/>
    <w:rPr>
      <w:rFonts w:hint="eastAsia" w:ascii="仿宋" w:hAnsi="仿宋" w:eastAsia="仿宋" w:cs="仿宋"/>
      <w:color w:val="000000"/>
      <w:sz w:val="20"/>
      <w:szCs w:val="20"/>
      <w:u w:val="none"/>
    </w:rPr>
  </w:style>
  <w:style w:type="character" w:customStyle="1" w:styleId="47">
    <w:name w:val="纯文本 Char2"/>
    <w:basedOn w:val="29"/>
    <w:link w:val="13"/>
    <w:qFormat/>
    <w:uiPriority w:val="0"/>
    <w:rPr>
      <w:rFonts w:ascii="宋体" w:hAnsi="Courier New" w:eastAsia="宋体"/>
      <w:kern w:val="2"/>
      <w:sz w:val="21"/>
      <w:lang w:val="en-US" w:eastAsia="zh-CN" w:bidi="ar-SA"/>
    </w:rPr>
  </w:style>
  <w:style w:type="character" w:customStyle="1" w:styleId="48">
    <w:name w:val="font11"/>
    <w:basedOn w:val="29"/>
    <w:qFormat/>
    <w:uiPriority w:val="0"/>
    <w:rPr>
      <w:rFonts w:hint="eastAsia" w:ascii="仿宋" w:hAnsi="仿宋" w:eastAsia="仿宋" w:cs="仿宋"/>
      <w:color w:val="000000"/>
      <w:sz w:val="18"/>
      <w:szCs w:val="18"/>
      <w:u w:val="none"/>
      <w:vertAlign w:val="superscript"/>
    </w:rPr>
  </w:style>
  <w:style w:type="character" w:customStyle="1" w:styleId="49">
    <w:name w:val="apple-converted-space"/>
    <w:basedOn w:val="29"/>
    <w:qFormat/>
    <w:uiPriority w:val="0"/>
  </w:style>
  <w:style w:type="character" w:customStyle="1" w:styleId="50">
    <w:name w:val="font41"/>
    <w:basedOn w:val="29"/>
    <w:qFormat/>
    <w:uiPriority w:val="0"/>
    <w:rPr>
      <w:rFonts w:hint="eastAsia" w:ascii="仿宋" w:hAnsi="仿宋" w:eastAsia="仿宋" w:cs="仿宋"/>
      <w:color w:val="000000"/>
      <w:sz w:val="18"/>
      <w:szCs w:val="18"/>
      <w:u w:val="none"/>
    </w:rPr>
  </w:style>
  <w:style w:type="character" w:customStyle="1" w:styleId="51">
    <w:name w:val="name"/>
    <w:basedOn w:val="29"/>
    <w:qFormat/>
    <w:uiPriority w:val="0"/>
  </w:style>
  <w:style w:type="character" w:customStyle="1" w:styleId="52">
    <w:name w:val="页码1"/>
    <w:basedOn w:val="29"/>
    <w:qFormat/>
    <w:uiPriority w:val="99"/>
    <w:rPr>
      <w:rFonts w:cs="Times New Roman"/>
    </w:rPr>
  </w:style>
  <w:style w:type="character" w:customStyle="1" w:styleId="53">
    <w:name w:val="页眉 Char"/>
    <w:basedOn w:val="29"/>
    <w:link w:val="18"/>
    <w:qFormat/>
    <w:uiPriority w:val="99"/>
    <w:rPr>
      <w:kern w:val="2"/>
      <w:sz w:val="18"/>
      <w:szCs w:val="18"/>
    </w:rPr>
  </w:style>
  <w:style w:type="character" w:customStyle="1" w:styleId="54">
    <w:name w:val="标题 1 Char"/>
    <w:basedOn w:val="29"/>
    <w:link w:val="2"/>
    <w:qFormat/>
    <w:uiPriority w:val="0"/>
    <w:rPr>
      <w:rFonts w:eastAsia="仿宋"/>
      <w:b/>
      <w:bCs/>
      <w:kern w:val="44"/>
      <w:sz w:val="32"/>
      <w:szCs w:val="44"/>
    </w:rPr>
  </w:style>
  <w:style w:type="character" w:customStyle="1" w:styleId="55">
    <w:name w:val="纯文本 Char Char"/>
    <w:basedOn w:val="29"/>
    <w:link w:val="56"/>
    <w:qFormat/>
    <w:uiPriority w:val="0"/>
    <w:rPr>
      <w:rFonts w:ascii="宋体" w:hAnsi="Courier New"/>
      <w:kern w:val="2"/>
      <w:sz w:val="21"/>
      <w:lang w:bidi="ar-SA"/>
    </w:rPr>
  </w:style>
  <w:style w:type="paragraph" w:customStyle="1" w:styleId="56">
    <w:name w:val="纯文本2"/>
    <w:basedOn w:val="1"/>
    <w:link w:val="55"/>
    <w:qFormat/>
    <w:uiPriority w:val="0"/>
    <w:rPr>
      <w:rFonts w:ascii="宋体" w:hAnsi="Courier New" w:eastAsia="Times New Roman"/>
      <w:szCs w:val="20"/>
    </w:rPr>
  </w:style>
  <w:style w:type="character" w:customStyle="1" w:styleId="57">
    <w:name w:val="批注文字 Char"/>
    <w:basedOn w:val="29"/>
    <w:link w:val="6"/>
    <w:qFormat/>
    <w:uiPriority w:val="0"/>
    <w:rPr>
      <w:rFonts w:eastAsia="宋体"/>
      <w:kern w:val="2"/>
      <w:sz w:val="21"/>
      <w:szCs w:val="24"/>
      <w:lang w:val="en-US" w:eastAsia="zh-CN" w:bidi="ar-SA"/>
    </w:rPr>
  </w:style>
  <w:style w:type="character" w:customStyle="1" w:styleId="58">
    <w:name w:val="headline-content2"/>
    <w:basedOn w:val="29"/>
    <w:qFormat/>
    <w:uiPriority w:val="0"/>
  </w:style>
  <w:style w:type="character" w:customStyle="1" w:styleId="59">
    <w:name w:val="正文文本缩进 2 Char"/>
    <w:basedOn w:val="29"/>
    <w:link w:val="15"/>
    <w:qFormat/>
    <w:uiPriority w:val="99"/>
    <w:rPr>
      <w:kern w:val="2"/>
      <w:sz w:val="21"/>
      <w:szCs w:val="24"/>
    </w:rPr>
  </w:style>
  <w:style w:type="character" w:customStyle="1" w:styleId="60">
    <w:name w:val="font21"/>
    <w:basedOn w:val="29"/>
    <w:qFormat/>
    <w:uiPriority w:val="0"/>
    <w:rPr>
      <w:rFonts w:hint="eastAsia" w:ascii="仿宋" w:hAnsi="仿宋" w:eastAsia="仿宋" w:cs="仿宋"/>
      <w:color w:val="FF0000"/>
      <w:sz w:val="20"/>
      <w:szCs w:val="20"/>
      <w:u w:val="none"/>
    </w:rPr>
  </w:style>
  <w:style w:type="character" w:customStyle="1" w:styleId="61">
    <w:name w:val="font01"/>
    <w:basedOn w:val="29"/>
    <w:qFormat/>
    <w:uiPriority w:val="0"/>
    <w:rPr>
      <w:rFonts w:hint="eastAsia" w:ascii="仿宋" w:hAnsi="仿宋" w:eastAsia="仿宋" w:cs="仿宋"/>
      <w:color w:val="000000"/>
      <w:sz w:val="18"/>
      <w:szCs w:val="18"/>
      <w:u w:val="none"/>
      <w:vertAlign w:val="superscript"/>
    </w:rPr>
  </w:style>
  <w:style w:type="paragraph" w:customStyle="1" w:styleId="62">
    <w:name w:val="p18"/>
    <w:basedOn w:val="1"/>
    <w:qFormat/>
    <w:uiPriority w:val="0"/>
    <w:pPr>
      <w:widowControl/>
    </w:pPr>
    <w:rPr>
      <w:rFonts w:ascii="宋体" w:hAnsi="宋体" w:cs="宋体"/>
      <w:kern w:val="0"/>
      <w:szCs w:val="21"/>
    </w:rPr>
  </w:style>
  <w:style w:type="paragraph" w:customStyle="1" w:styleId="63">
    <w:name w:val="TOC 标题1"/>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64">
    <w:name w:val="龙泰正文"/>
    <w:basedOn w:val="1"/>
    <w:qFormat/>
    <w:uiPriority w:val="0"/>
    <w:pPr>
      <w:autoSpaceDE w:val="0"/>
      <w:autoSpaceDN w:val="0"/>
      <w:adjustRightInd w:val="0"/>
      <w:spacing w:line="360" w:lineRule="auto"/>
      <w:ind w:firstLine="200" w:firstLineChars="200"/>
      <w:textAlignment w:val="baseline"/>
    </w:pPr>
    <w:rPr>
      <w:rFonts w:ascii="仿宋_GB2312" w:hAnsi="Arial" w:eastAsia="仿宋_GB2312"/>
      <w:sz w:val="28"/>
      <w:szCs w:val="28"/>
    </w:rPr>
  </w:style>
  <w:style w:type="paragraph" w:customStyle="1" w:styleId="65">
    <w:name w:val="普通(网站)1"/>
    <w:basedOn w:val="1"/>
    <w:qFormat/>
    <w:uiPriority w:val="99"/>
    <w:pPr>
      <w:widowControl/>
      <w:spacing w:before="100" w:beforeAutospacing="1" w:after="100" w:afterAutospacing="1"/>
      <w:jc w:val="left"/>
    </w:pPr>
    <w:rPr>
      <w:rFonts w:ascii="宋体" w:hAnsi="宋体" w:cs="宋体"/>
      <w:kern w:val="0"/>
      <w:sz w:val="24"/>
    </w:rPr>
  </w:style>
  <w:style w:type="paragraph" w:customStyle="1" w:styleId="66">
    <w:name w:val="纯文本3"/>
    <w:basedOn w:val="1"/>
    <w:qFormat/>
    <w:uiPriority w:val="0"/>
    <w:rPr>
      <w:rFonts w:ascii="宋体" w:hAnsi="Courier New"/>
      <w:szCs w:val="20"/>
    </w:rPr>
  </w:style>
  <w:style w:type="character" w:customStyle="1" w:styleId="67">
    <w:name w:val="font31"/>
    <w:basedOn w:val="29"/>
    <w:qFormat/>
    <w:uiPriority w:val="0"/>
    <w:rPr>
      <w:rFonts w:hint="eastAsia" w:ascii="仿宋" w:hAnsi="仿宋" w:eastAsia="仿宋" w:cs="仿宋"/>
      <w:color w:val="000000"/>
      <w:sz w:val="22"/>
      <w:szCs w:val="22"/>
      <w:u w:val="none"/>
      <w:vertAlign w:val="superscript"/>
    </w:rPr>
  </w:style>
  <w:style w:type="paragraph" w:customStyle="1" w:styleId="68">
    <w:name w:val="UserStyle_7"/>
    <w:basedOn w:val="1"/>
    <w:qFormat/>
    <w:uiPriority w:val="0"/>
    <w:pPr>
      <w:textAlignment w:val="baseline"/>
    </w:pPr>
    <w:rPr>
      <w:rFonts w:ascii="宋体" w:hAnsi="Courier New"/>
      <w:szCs w:val="20"/>
    </w:rPr>
  </w:style>
  <w:style w:type="character" w:customStyle="1" w:styleId="69">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70">
    <w:name w:val="标题 1 字符1"/>
    <w:basedOn w:val="29"/>
    <w:qFormat/>
    <w:uiPriority w:val="0"/>
    <w:rPr>
      <w:rFonts w:eastAsia="仿宋"/>
      <w:b/>
      <w:bCs/>
      <w:kern w:val="44"/>
      <w:sz w:val="32"/>
      <w:szCs w:val="44"/>
    </w:rPr>
  </w:style>
  <w:style w:type="character" w:customStyle="1" w:styleId="71">
    <w:name w:val="批注文字 字符1"/>
    <w:basedOn w:val="29"/>
    <w:qFormat/>
    <w:uiPriority w:val="0"/>
    <w:rPr>
      <w:rFonts w:eastAsia="宋体"/>
      <w:kern w:val="2"/>
      <w:sz w:val="21"/>
      <w:szCs w:val="24"/>
      <w:lang w:val="en-US" w:eastAsia="zh-CN" w:bidi="ar-SA"/>
    </w:rPr>
  </w:style>
  <w:style w:type="character" w:customStyle="1" w:styleId="72">
    <w:name w:val="fontstrikethrough"/>
    <w:qFormat/>
    <w:uiPriority w:val="0"/>
    <w:rPr>
      <w:strike/>
    </w:rPr>
  </w:style>
  <w:style w:type="character" w:customStyle="1" w:styleId="73">
    <w:name w:val="fontborder"/>
    <w:qFormat/>
    <w:uiPriority w:val="0"/>
    <w:rPr>
      <w:bdr w:val="single" w:color="000000" w:sz="6" w:space="0"/>
    </w:rPr>
  </w:style>
  <w:style w:type="paragraph" w:customStyle="1" w:styleId="74">
    <w:name w:val="纯文本4"/>
    <w:basedOn w:val="1"/>
    <w:qFormat/>
    <w:uiPriority w:val="0"/>
    <w:rPr>
      <w:rFonts w:ascii="宋体" w:hAnsi="Courier New"/>
      <w:szCs w:val="20"/>
    </w:rPr>
  </w:style>
  <w:style w:type="paragraph" w:customStyle="1" w:styleId="75">
    <w:name w:val="_Style 2"/>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76">
    <w:name w:val="p0"/>
    <w:basedOn w:val="1"/>
    <w:qFormat/>
    <w:uiPriority w:val="0"/>
    <w:pPr>
      <w:widowControl/>
    </w:pPr>
    <w:rPr>
      <w:kern w:val="0"/>
      <w:szCs w:val="21"/>
    </w:rPr>
  </w:style>
  <w:style w:type="paragraph" w:customStyle="1" w:styleId="77">
    <w:name w:val="纯文本11"/>
    <w:basedOn w:val="1"/>
    <w:qFormat/>
    <w:uiPriority w:val="0"/>
    <w:rPr>
      <w:rFonts w:ascii="宋体" w:hAnsi="Courier New"/>
      <w:szCs w:val="22"/>
    </w:rPr>
  </w:style>
  <w:style w:type="paragraph" w:customStyle="1" w:styleId="78">
    <w:name w:val="TOC 标题2"/>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character" w:customStyle="1" w:styleId="79">
    <w:name w:val="纯文本 Char1"/>
    <w:qFormat/>
    <w:uiPriority w:val="0"/>
    <w:rPr>
      <w:rFonts w:ascii="宋体" w:hAnsi="Courier New" w:eastAsia="宋体"/>
      <w:kern w:val="2"/>
      <w:sz w:val="21"/>
      <w:lang w:val="en-US" w:eastAsia="zh-CN" w:bidi="ar-SA"/>
    </w:rPr>
  </w:style>
  <w:style w:type="character" w:customStyle="1" w:styleId="80">
    <w:name w:val="称呼 Char"/>
    <w:basedOn w:val="29"/>
    <w:link w:val="7"/>
    <w:semiHidden/>
    <w:qFormat/>
    <w:uiPriority w:val="0"/>
    <w:rPr>
      <w:kern w:val="2"/>
      <w:sz w:val="21"/>
      <w:szCs w:val="24"/>
    </w:rPr>
  </w:style>
  <w:style w:type="character" w:customStyle="1" w:styleId="81">
    <w:name w:val="结束语 Char"/>
    <w:basedOn w:val="29"/>
    <w:link w:val="9"/>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979AA-1B65-47E2-A3C8-D6E1C2954C8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6411</Words>
  <Characters>6783</Characters>
  <Lines>60</Lines>
  <Paragraphs>16</Paragraphs>
  <TotalTime>1</TotalTime>
  <ScaleCrop>false</ScaleCrop>
  <LinksUpToDate>false</LinksUpToDate>
  <CharactersWithSpaces>6912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2021-10-21T01:14:00Z</dcterms:created>
  <dc:creator>friend</dc:creator>
  <cp:lastModifiedBy>youngforyou</cp:lastModifiedBy>
  <cp:lastPrinted>2021-09-22T05:54:00Z</cp:lastPrinted>
  <dcterms:modified xsi:type="dcterms:W3CDTF">2022-08-08T02:51:06Z</dcterms:modified>
  <dc:title>房地产估价报告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1392A7CA8CB142C280B4F38D1DD7DDD4</vt:lpwstr>
  </property>
</Properties>
</file>