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autoSpaceDE w:val="0"/>
        <w:autoSpaceDN w:val="0"/>
        <w:snapToGrid w:val="0"/>
        <w:ind w:right="-1"/>
        <w:jc w:val="both"/>
        <w:textAlignment w:val="bottom"/>
        <w:outlineLvl w:val="0"/>
        <w:rPr>
          <w:rFonts w:hint="eastAsia" w:asciiTheme="minorEastAsia" w:hAnsiTheme="minorEastAsia" w:eastAsiaTheme="minorEastAsia" w:cstheme="minorEastAsia"/>
          <w:b/>
          <w:spacing w:val="4"/>
          <w:sz w:val="32"/>
          <w:szCs w:val="32"/>
          <w:lang w:eastAsia="zh-CN"/>
        </w:rPr>
      </w:pPr>
      <w:r>
        <w:rPr>
          <w:rFonts w:hint="eastAsia" w:asciiTheme="minorEastAsia" w:hAnsiTheme="minorEastAsia" w:eastAsiaTheme="minorEastAsia" w:cstheme="minorEastAsia"/>
          <w:b/>
          <w:spacing w:val="4"/>
          <w:sz w:val="32"/>
          <w:szCs w:val="32"/>
          <w:lang w:eastAsia="zh-CN"/>
        </w:rPr>
        <w:t>本报告依据中国资产评估准则编制</w:t>
      </w:r>
    </w:p>
    <w:p>
      <w:pPr>
        <w:widowControl/>
        <w:autoSpaceDE w:val="0"/>
        <w:autoSpaceDN w:val="0"/>
        <w:snapToGrid w:val="0"/>
        <w:ind w:right="-1"/>
        <w:jc w:val="both"/>
        <w:textAlignment w:val="bottom"/>
        <w:outlineLvl w:val="0"/>
        <w:rPr>
          <w:rFonts w:hint="eastAsia" w:ascii="仿宋_GB2312" w:hAnsi="仿宋_GB2312" w:eastAsia="仿宋_GB2312" w:cs="仿宋_GB2312"/>
          <w:b/>
          <w:spacing w:val="4"/>
          <w:sz w:val="32"/>
          <w:szCs w:val="32"/>
          <w:lang w:eastAsia="zh-CN"/>
        </w:rPr>
      </w:pPr>
      <w:r>
        <w:rPr>
          <w:rFonts w:hint="eastAsia" w:asciiTheme="minorEastAsia" w:hAnsiTheme="minorEastAsia" w:eastAsiaTheme="minorEastAsia" w:cstheme="minorEastAsia"/>
          <w:b/>
          <w:spacing w:val="4"/>
          <w:sz w:val="32"/>
          <w:szCs w:val="32"/>
          <w:lang w:eastAsia="zh-CN"/>
        </w:rPr>
        <w:t>人民法院委托司法执行财产处置参考价目的资产评估报告</w:t>
      </w:r>
    </w:p>
    <w:p>
      <w:pPr>
        <w:widowControl/>
        <w:autoSpaceDE w:val="0"/>
        <w:autoSpaceDN w:val="0"/>
        <w:snapToGrid w:val="0"/>
        <w:ind w:right="-1"/>
        <w:jc w:val="center"/>
        <w:textAlignment w:val="bottom"/>
        <w:outlineLvl w:val="0"/>
        <w:rPr>
          <w:rFonts w:ascii="仿宋_GB2312" w:hAnsi="仿宋_GB2312" w:eastAsia="仿宋_GB2312" w:cs="仿宋_GB2312"/>
          <w:b/>
          <w:spacing w:val="4"/>
          <w:sz w:val="32"/>
          <w:szCs w:val="32"/>
        </w:rPr>
      </w:pPr>
    </w:p>
    <w:p>
      <w:pPr>
        <w:widowControl/>
        <w:autoSpaceDE w:val="0"/>
        <w:autoSpaceDN w:val="0"/>
        <w:snapToGrid w:val="0"/>
        <w:ind w:right="-1"/>
        <w:jc w:val="center"/>
        <w:textAlignment w:val="bottom"/>
        <w:outlineLvl w:val="0"/>
        <w:rPr>
          <w:rFonts w:ascii="仿宋_GB2312" w:hAnsi="仿宋_GB2312" w:eastAsia="仿宋_GB2312" w:cs="仿宋_GB2312"/>
          <w:b/>
          <w:spacing w:val="4"/>
          <w:sz w:val="32"/>
          <w:szCs w:val="32"/>
        </w:rPr>
      </w:pPr>
    </w:p>
    <w:p>
      <w:pPr>
        <w:widowControl/>
        <w:autoSpaceDE w:val="0"/>
        <w:autoSpaceDN w:val="0"/>
        <w:snapToGrid w:val="0"/>
        <w:ind w:right="-1"/>
        <w:jc w:val="center"/>
        <w:textAlignment w:val="bottom"/>
        <w:outlineLvl w:val="0"/>
        <w:rPr>
          <w:rFonts w:hint="eastAsia" w:ascii="黑体" w:hAnsi="黑体" w:eastAsia="黑体" w:cs="仿宋_GB2312"/>
          <w:b w:val="0"/>
          <w:bCs/>
          <w:spacing w:val="4"/>
          <w:sz w:val="36"/>
          <w:szCs w:val="36"/>
        </w:rPr>
      </w:pPr>
    </w:p>
    <w:p>
      <w:pPr>
        <w:widowControl/>
        <w:autoSpaceDE w:val="0"/>
        <w:autoSpaceDN w:val="0"/>
        <w:snapToGrid w:val="0"/>
        <w:ind w:right="-1"/>
        <w:jc w:val="center"/>
        <w:textAlignment w:val="bottom"/>
        <w:outlineLvl w:val="0"/>
        <w:rPr>
          <w:rFonts w:hint="eastAsia" w:ascii="黑体" w:hAnsi="黑体" w:eastAsia="黑体" w:cs="黑体"/>
          <w:b w:val="0"/>
          <w:bCs/>
          <w:spacing w:val="4"/>
          <w:sz w:val="36"/>
          <w:szCs w:val="36"/>
          <w:lang w:eastAsia="zh-CN"/>
        </w:rPr>
      </w:pPr>
      <w:r>
        <w:rPr>
          <w:rFonts w:hint="eastAsia" w:ascii="黑体" w:hAnsi="黑体" w:eastAsia="黑体" w:cs="黑体"/>
          <w:b w:val="0"/>
          <w:bCs/>
          <w:spacing w:val="4"/>
          <w:sz w:val="36"/>
          <w:szCs w:val="36"/>
          <w:lang w:eastAsia="zh-CN"/>
        </w:rPr>
        <w:t>辽源市龙山区人民法院拟司法执行财产处置</w:t>
      </w:r>
    </w:p>
    <w:p>
      <w:pPr>
        <w:widowControl/>
        <w:autoSpaceDE w:val="0"/>
        <w:autoSpaceDN w:val="0"/>
        <w:snapToGrid w:val="0"/>
        <w:ind w:right="-1"/>
        <w:jc w:val="center"/>
        <w:textAlignment w:val="bottom"/>
        <w:outlineLvl w:val="0"/>
        <w:rPr>
          <w:rFonts w:hint="eastAsia" w:ascii="黑体" w:hAnsi="黑体" w:eastAsia="黑体" w:cs="黑体"/>
          <w:b w:val="0"/>
          <w:bCs/>
          <w:spacing w:val="4"/>
          <w:sz w:val="36"/>
          <w:szCs w:val="36"/>
        </w:rPr>
      </w:pPr>
      <w:bookmarkStart w:id="0" w:name="_Toc532849134"/>
      <w:bookmarkStart w:id="1" w:name="_Toc532765687"/>
      <w:r>
        <w:rPr>
          <w:rFonts w:hint="eastAsia" w:ascii="黑体" w:hAnsi="黑体" w:eastAsia="黑体" w:cs="黑体"/>
          <w:b w:val="0"/>
          <w:bCs/>
          <w:spacing w:val="4"/>
          <w:sz w:val="36"/>
          <w:szCs w:val="36"/>
          <w:lang w:eastAsia="zh-CN"/>
        </w:rPr>
        <w:t>涉及的孟首怡、李萍共有住宅及商业房屋</w:t>
      </w:r>
      <w:r>
        <w:rPr>
          <w:rFonts w:hint="eastAsia" w:ascii="黑体" w:hAnsi="黑体" w:eastAsia="黑体" w:cs="黑体"/>
          <w:b w:val="0"/>
          <w:bCs/>
          <w:spacing w:val="4"/>
          <w:sz w:val="36"/>
          <w:szCs w:val="36"/>
        </w:rPr>
        <w:t>价值</w:t>
      </w:r>
      <w:bookmarkEnd w:id="0"/>
      <w:bookmarkEnd w:id="1"/>
    </w:p>
    <w:p>
      <w:pPr>
        <w:widowControl/>
        <w:autoSpaceDE w:val="0"/>
        <w:autoSpaceDN w:val="0"/>
        <w:snapToGrid w:val="0"/>
        <w:spacing w:before="40" w:after="40"/>
        <w:ind w:right="-1"/>
        <w:jc w:val="center"/>
        <w:textAlignment w:val="bottom"/>
        <w:outlineLvl w:val="0"/>
        <w:rPr>
          <w:rFonts w:hint="eastAsia" w:ascii="黑体" w:hAnsi="黑体" w:eastAsia="黑体" w:cs="黑体"/>
          <w:b w:val="0"/>
          <w:bCs/>
          <w:spacing w:val="4"/>
          <w:sz w:val="52"/>
          <w:szCs w:val="52"/>
        </w:rPr>
      </w:pPr>
      <w:bookmarkStart w:id="2" w:name="_Toc478131164"/>
      <w:bookmarkStart w:id="3" w:name="_Toc478131918"/>
      <w:bookmarkStart w:id="4" w:name="_Toc478131527"/>
      <w:bookmarkStart w:id="5" w:name="_Toc478131702"/>
    </w:p>
    <w:p>
      <w:pPr>
        <w:widowControl/>
        <w:autoSpaceDE w:val="0"/>
        <w:autoSpaceDN w:val="0"/>
        <w:snapToGrid w:val="0"/>
        <w:spacing w:before="40" w:after="40"/>
        <w:ind w:right="-1"/>
        <w:jc w:val="center"/>
        <w:textAlignment w:val="bottom"/>
        <w:outlineLvl w:val="0"/>
        <w:rPr>
          <w:rFonts w:ascii="黑体" w:eastAsia="黑体"/>
          <w:sz w:val="44"/>
          <w:szCs w:val="44"/>
        </w:rPr>
      </w:pPr>
      <w:bookmarkStart w:id="6" w:name="_Toc532765688"/>
      <w:bookmarkStart w:id="7" w:name="_Toc532849135"/>
      <w:r>
        <w:rPr>
          <w:rFonts w:hint="eastAsia" w:ascii="黑体" w:hAnsi="黑体" w:eastAsia="黑体" w:cs="黑体"/>
          <w:b w:val="0"/>
          <w:bCs/>
          <w:spacing w:val="4"/>
          <w:sz w:val="52"/>
          <w:szCs w:val="52"/>
        </w:rPr>
        <w:t>资产评估报告</w:t>
      </w:r>
      <w:bookmarkEnd w:id="2"/>
      <w:bookmarkEnd w:id="3"/>
      <w:bookmarkEnd w:id="4"/>
      <w:bookmarkEnd w:id="5"/>
      <w:bookmarkEnd w:id="6"/>
      <w:bookmarkEnd w:id="7"/>
    </w:p>
    <w:p>
      <w:pPr>
        <w:jc w:val="both"/>
        <w:rPr>
          <w:rFonts w:ascii="黑体" w:eastAsia="黑体"/>
        </w:rPr>
      </w:pPr>
    </w:p>
    <w:p>
      <w:pPr>
        <w:jc w:val="center"/>
        <w:rPr>
          <w:rFonts w:ascii="黑体" w:eastAsia="黑体"/>
          <w:szCs w:val="21"/>
        </w:rPr>
      </w:pPr>
      <w:r>
        <w:rPr>
          <w:rFonts w:hint="eastAsia" w:ascii="黑体" w:eastAsia="黑体"/>
          <w:szCs w:val="21"/>
        </w:rPr>
        <w:t>辽新安评报字[202</w:t>
      </w:r>
      <w:r>
        <w:rPr>
          <w:rFonts w:hint="eastAsia" w:ascii="黑体" w:eastAsia="黑体"/>
          <w:szCs w:val="21"/>
          <w:lang w:val="en-US" w:eastAsia="zh-CN"/>
        </w:rPr>
        <w:t>1</w:t>
      </w:r>
      <w:r>
        <w:rPr>
          <w:rFonts w:hint="eastAsia" w:ascii="黑体" w:eastAsia="黑体"/>
          <w:szCs w:val="21"/>
        </w:rPr>
        <w:t>]第</w:t>
      </w:r>
      <w:r>
        <w:rPr>
          <w:rFonts w:hint="eastAsia" w:ascii="黑体" w:eastAsia="黑体"/>
          <w:color w:val="auto"/>
          <w:szCs w:val="21"/>
          <w:lang w:val="en-US" w:eastAsia="zh-CN"/>
        </w:rPr>
        <w:t>012</w:t>
      </w:r>
      <w:r>
        <w:rPr>
          <w:rFonts w:hint="eastAsia" w:ascii="黑体" w:eastAsia="黑体"/>
          <w:szCs w:val="21"/>
        </w:rPr>
        <w:t>号</w:t>
      </w:r>
    </w:p>
    <w:p/>
    <w:p/>
    <w:p/>
    <w:p>
      <w:pPr>
        <w:rPr>
          <w:rFonts w:hint="default" w:eastAsia="宋体"/>
          <w:lang w:val="en-US" w:eastAsia="zh-CN"/>
        </w:rPr>
      </w:pPr>
      <w:r>
        <w:rPr>
          <w:rFonts w:hint="eastAsia"/>
          <w:lang w:val="en-US" w:eastAsia="zh-CN"/>
        </w:rPr>
        <w:t xml:space="preserve">                                 （共1册，第1册）</w:t>
      </w:r>
    </w:p>
    <w:p>
      <w:pPr>
        <w:jc w:val="center"/>
        <w:rPr>
          <w:b/>
          <w:bCs/>
          <w:sz w:val="28"/>
          <w:szCs w:val="28"/>
        </w:rPr>
      </w:pPr>
    </w:p>
    <w:p>
      <w:pPr>
        <w:rPr>
          <w:sz w:val="28"/>
          <w:szCs w:val="28"/>
        </w:rPr>
      </w:pPr>
      <w:r>
        <w:rPr>
          <w:rFonts w:hint="eastAsia"/>
        </w:rPr>
        <w:t xml:space="preserve">         </w:t>
      </w:r>
      <w:r>
        <w:rPr>
          <w:rFonts w:hint="eastAsia"/>
          <w:sz w:val="28"/>
          <w:szCs w:val="28"/>
        </w:rPr>
        <w:t xml:space="preserve"> </w:t>
      </w:r>
    </w:p>
    <w:p>
      <w:pPr>
        <w:rPr>
          <w:sz w:val="28"/>
          <w:szCs w:val="28"/>
        </w:rPr>
      </w:pPr>
    </w:p>
    <w:p>
      <w:pPr>
        <w:rPr>
          <w:sz w:val="28"/>
          <w:szCs w:val="28"/>
        </w:rPr>
      </w:pPr>
    </w:p>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辽源新安资产评估事务所（普通合伙）</w:t>
      </w:r>
    </w:p>
    <w:p>
      <w:pPr>
        <w:jc w:val="center"/>
        <w:rPr>
          <w:rFonts w:hint="eastAsia" w:asciiTheme="minorEastAsia" w:hAnsiTheme="minorEastAsia" w:eastAsiaTheme="minorEastAsia" w:cstheme="minorEastAsia"/>
          <w:sz w:val="24"/>
        </w:rPr>
      </w:pPr>
    </w:p>
    <w:p>
      <w:pPr>
        <w:ind w:firstLine="2800" w:firstLineChars="1000"/>
        <w:rPr>
          <w:rFonts w:ascii="黑体" w:eastAsia="黑体"/>
          <w:color w:val="FF0000"/>
          <w:sz w:val="36"/>
          <w:szCs w:val="36"/>
        </w:rPr>
      </w:pPr>
      <w:r>
        <w:rPr>
          <w:rFonts w:hint="eastAsia" w:asciiTheme="minorEastAsia" w:hAnsiTheme="minorEastAsia" w:eastAsiaTheme="minorEastAsia" w:cstheme="minorEastAsia"/>
          <w:color w:val="auto"/>
          <w:sz w:val="28"/>
          <w:szCs w:val="28"/>
        </w:rPr>
        <w:t>二〇二</w:t>
      </w:r>
      <w:r>
        <w:rPr>
          <w:rFonts w:hint="eastAsia" w:asciiTheme="minorEastAsia" w:hAnsiTheme="minorEastAsia" w:eastAsiaTheme="minorEastAsia" w:cstheme="minorEastAsia"/>
          <w:color w:val="auto"/>
          <w:sz w:val="28"/>
          <w:szCs w:val="28"/>
          <w:lang w:eastAsia="zh-CN"/>
        </w:rPr>
        <w:t>一</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lang w:eastAsia="zh-CN"/>
        </w:rPr>
        <w:t>二</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eastAsia="zh-CN"/>
        </w:rPr>
        <w:t>二十六</w:t>
      </w:r>
      <w:r>
        <w:rPr>
          <w:rFonts w:hint="eastAsia" w:asciiTheme="minorEastAsia" w:hAnsiTheme="minorEastAsia" w:eastAsiaTheme="minorEastAsia" w:cstheme="minorEastAsia"/>
          <w:color w:val="auto"/>
          <w:sz w:val="28"/>
          <w:szCs w:val="28"/>
        </w:rPr>
        <w:t>日</w:t>
      </w:r>
      <w:r>
        <w:rPr>
          <w:rFonts w:ascii="黑体" w:eastAsia="黑体"/>
          <w:color w:val="FF0000"/>
          <w:sz w:val="36"/>
          <w:szCs w:val="36"/>
        </w:rPr>
        <w:br w:type="page"/>
      </w:r>
    </w:p>
    <w:p>
      <w:pPr>
        <w:jc w:val="center"/>
        <w:rPr>
          <w:rFonts w:hint="eastAsia" w:ascii="黑体" w:eastAsia="黑体"/>
          <w:sz w:val="36"/>
          <w:szCs w:val="36"/>
        </w:rPr>
      </w:pPr>
    </w:p>
    <w:p>
      <w:pPr>
        <w:jc w:val="center"/>
        <w:rPr>
          <w:rFonts w:hint="eastAsia" w:ascii="黑体" w:eastAsia="黑体"/>
          <w:sz w:val="36"/>
          <w:szCs w:val="36"/>
        </w:rPr>
      </w:pPr>
    </w:p>
    <w:p>
      <w:pPr>
        <w:jc w:val="center"/>
        <w:rPr>
          <w:rFonts w:ascii="黑体" w:eastAsia="黑体"/>
          <w:sz w:val="36"/>
          <w:szCs w:val="36"/>
        </w:rPr>
      </w:pPr>
      <w:r>
        <w:rPr>
          <w:rFonts w:hint="eastAsia" w:ascii="黑体" w:eastAsia="黑体"/>
          <w:sz w:val="36"/>
          <w:szCs w:val="36"/>
        </w:rPr>
        <w:t>评 估 报 告 目 录</w:t>
      </w:r>
    </w:p>
    <w:p>
      <w:pPr>
        <w:rPr>
          <w:sz w:val="44"/>
          <w:szCs w:val="44"/>
        </w:rPr>
      </w:pPr>
    </w:p>
    <w:p>
      <w:pPr>
        <w:spacing w:line="460" w:lineRule="exact"/>
        <w:rPr>
          <w:rFonts w:ascii="宋体" w:hAnsi="宋体"/>
          <w:sz w:val="24"/>
        </w:rPr>
      </w:pPr>
      <w:r>
        <w:rPr>
          <w:rFonts w:hint="eastAsia" w:ascii="宋体" w:hAnsi="宋体"/>
          <w:sz w:val="24"/>
        </w:rPr>
        <w:t>一、声明…………………………………………………………………………………3</w:t>
      </w:r>
    </w:p>
    <w:p>
      <w:pPr>
        <w:spacing w:line="460" w:lineRule="exact"/>
        <w:rPr>
          <w:rFonts w:ascii="宋体" w:hAnsi="宋体"/>
          <w:sz w:val="24"/>
        </w:rPr>
      </w:pPr>
      <w:r>
        <w:rPr>
          <w:rFonts w:hint="eastAsia" w:ascii="宋体" w:hAnsi="宋体"/>
          <w:sz w:val="24"/>
        </w:rPr>
        <w:t>二、资产评估报告摘要…………………………………………………………………4</w:t>
      </w:r>
    </w:p>
    <w:p>
      <w:pPr>
        <w:spacing w:line="460" w:lineRule="exact"/>
        <w:rPr>
          <w:rFonts w:hint="eastAsia" w:ascii="宋体" w:hAnsi="宋体" w:eastAsia="宋体"/>
          <w:sz w:val="24"/>
          <w:lang w:eastAsia="zh-CN"/>
        </w:rPr>
      </w:pPr>
      <w:r>
        <w:rPr>
          <w:rFonts w:hint="eastAsia" w:ascii="宋体" w:hAnsi="宋体"/>
          <w:sz w:val="24"/>
        </w:rPr>
        <w:t>三、资产评估报告正文…………………………………………………………………</w:t>
      </w:r>
      <w:r>
        <w:rPr>
          <w:rFonts w:hint="eastAsia" w:ascii="宋体" w:hAnsi="宋体"/>
          <w:sz w:val="24"/>
          <w:lang w:val="en-US" w:eastAsia="zh-CN"/>
        </w:rPr>
        <w:t>7</w:t>
      </w:r>
    </w:p>
    <w:p>
      <w:pPr>
        <w:spacing w:line="460" w:lineRule="exact"/>
        <w:ind w:firstLine="480"/>
        <w:rPr>
          <w:rFonts w:hint="eastAsia" w:ascii="宋体" w:hAnsi="宋体" w:eastAsia="宋体"/>
          <w:sz w:val="24"/>
          <w:lang w:eastAsia="zh-CN"/>
        </w:rPr>
      </w:pPr>
      <w:r>
        <w:rPr>
          <w:rFonts w:hint="eastAsia" w:ascii="宋体" w:hAnsi="宋体"/>
          <w:sz w:val="24"/>
        </w:rPr>
        <w:t xml:space="preserve">1、委托人、产权持有人和委托人以外的评估报告使用人…………………… </w:t>
      </w:r>
      <w:r>
        <w:rPr>
          <w:rFonts w:hint="eastAsia" w:ascii="宋体" w:hAnsi="宋体"/>
          <w:sz w:val="24"/>
          <w:lang w:val="en-US" w:eastAsia="zh-CN"/>
        </w:rPr>
        <w:t>7</w:t>
      </w:r>
    </w:p>
    <w:p>
      <w:pPr>
        <w:spacing w:line="460" w:lineRule="exact"/>
        <w:ind w:firstLine="480"/>
        <w:rPr>
          <w:rFonts w:hint="eastAsia" w:ascii="宋体" w:hAnsi="宋体" w:eastAsia="宋体"/>
          <w:sz w:val="24"/>
          <w:lang w:eastAsia="zh-CN"/>
        </w:rPr>
      </w:pPr>
      <w:r>
        <w:rPr>
          <w:rFonts w:hint="eastAsia" w:ascii="宋体" w:hAnsi="宋体"/>
          <w:sz w:val="24"/>
        </w:rPr>
        <w:t xml:space="preserve">2、评估目的……………………………………………………………………… </w:t>
      </w:r>
      <w:r>
        <w:rPr>
          <w:rFonts w:hint="eastAsia" w:ascii="宋体" w:hAnsi="宋体"/>
          <w:sz w:val="24"/>
          <w:lang w:val="en-US" w:eastAsia="zh-CN"/>
        </w:rPr>
        <w:t>7</w:t>
      </w:r>
    </w:p>
    <w:p>
      <w:pPr>
        <w:spacing w:line="460" w:lineRule="exact"/>
        <w:ind w:firstLine="480"/>
        <w:rPr>
          <w:rFonts w:hint="eastAsia" w:ascii="宋体" w:hAnsi="宋体" w:eastAsia="宋体"/>
          <w:sz w:val="24"/>
          <w:lang w:eastAsia="zh-CN"/>
        </w:rPr>
      </w:pPr>
      <w:r>
        <w:rPr>
          <w:rFonts w:hint="eastAsia" w:ascii="宋体" w:hAnsi="宋体"/>
          <w:sz w:val="24"/>
        </w:rPr>
        <w:t xml:space="preserve">3、评估对象及评估范围………………………………………………………… </w:t>
      </w:r>
      <w:r>
        <w:rPr>
          <w:rFonts w:hint="eastAsia" w:ascii="宋体" w:hAnsi="宋体"/>
          <w:sz w:val="24"/>
          <w:lang w:val="en-US" w:eastAsia="zh-CN"/>
        </w:rPr>
        <w:t>7</w:t>
      </w:r>
    </w:p>
    <w:p>
      <w:pPr>
        <w:spacing w:line="460" w:lineRule="exact"/>
        <w:ind w:firstLine="480"/>
        <w:rPr>
          <w:rFonts w:hint="eastAsia" w:ascii="宋体" w:hAnsi="宋体" w:eastAsia="宋体"/>
          <w:sz w:val="24"/>
          <w:lang w:val="en-US" w:eastAsia="zh-CN"/>
        </w:rPr>
      </w:pPr>
      <w:r>
        <w:rPr>
          <w:rFonts w:hint="eastAsia" w:ascii="宋体" w:hAnsi="宋体"/>
          <w:sz w:val="24"/>
        </w:rPr>
        <w:t xml:space="preserve">4、价值类型及其定义…………………………………………………………… </w:t>
      </w:r>
      <w:r>
        <w:rPr>
          <w:rFonts w:hint="eastAsia" w:ascii="宋体" w:hAnsi="宋体"/>
          <w:sz w:val="24"/>
          <w:lang w:val="en-US" w:eastAsia="zh-CN"/>
        </w:rPr>
        <w:t>8</w:t>
      </w:r>
    </w:p>
    <w:p>
      <w:pPr>
        <w:spacing w:line="460" w:lineRule="exact"/>
        <w:ind w:firstLine="480"/>
        <w:rPr>
          <w:rFonts w:hint="eastAsia" w:ascii="宋体" w:hAnsi="宋体" w:eastAsia="宋体"/>
          <w:sz w:val="24"/>
          <w:lang w:val="en-US" w:eastAsia="zh-CN"/>
        </w:rPr>
      </w:pPr>
      <w:r>
        <w:rPr>
          <w:rFonts w:hint="eastAsia" w:ascii="宋体" w:hAnsi="宋体"/>
          <w:sz w:val="24"/>
        </w:rPr>
        <w:t xml:space="preserve">5、评估基准日期………………………………………………………………… </w:t>
      </w:r>
      <w:r>
        <w:rPr>
          <w:rFonts w:hint="eastAsia" w:ascii="宋体" w:hAnsi="宋体"/>
          <w:sz w:val="24"/>
          <w:lang w:val="en-US" w:eastAsia="zh-CN"/>
        </w:rPr>
        <w:t>9</w:t>
      </w:r>
    </w:p>
    <w:p>
      <w:pPr>
        <w:spacing w:line="460" w:lineRule="exact"/>
        <w:ind w:firstLine="480"/>
        <w:rPr>
          <w:rFonts w:hint="eastAsia" w:ascii="宋体" w:hAnsi="宋体" w:eastAsia="宋体"/>
          <w:sz w:val="24"/>
          <w:lang w:val="en-US" w:eastAsia="zh-CN"/>
        </w:rPr>
      </w:pPr>
      <w:r>
        <w:rPr>
          <w:rFonts w:hint="eastAsia" w:ascii="宋体" w:hAnsi="宋体"/>
          <w:sz w:val="24"/>
        </w:rPr>
        <w:t xml:space="preserve">6、评估依据……………………………………………………………………… </w:t>
      </w:r>
      <w:r>
        <w:rPr>
          <w:rFonts w:hint="eastAsia" w:ascii="宋体" w:hAnsi="宋体"/>
          <w:sz w:val="24"/>
          <w:lang w:val="en-US" w:eastAsia="zh-CN"/>
        </w:rPr>
        <w:t>9</w:t>
      </w:r>
    </w:p>
    <w:p>
      <w:pPr>
        <w:spacing w:line="460" w:lineRule="exact"/>
        <w:ind w:firstLine="480"/>
        <w:rPr>
          <w:rFonts w:hint="default" w:ascii="宋体" w:hAnsi="宋体" w:eastAsia="宋体"/>
          <w:sz w:val="24"/>
          <w:lang w:val="en-US" w:eastAsia="zh-CN"/>
        </w:rPr>
      </w:pPr>
      <w:r>
        <w:rPr>
          <w:rFonts w:hint="eastAsia" w:ascii="宋体" w:hAnsi="宋体"/>
          <w:sz w:val="24"/>
        </w:rPr>
        <w:t xml:space="preserve">7、评估方法……………………………………………………………………… </w:t>
      </w:r>
      <w:r>
        <w:rPr>
          <w:rFonts w:hint="eastAsia" w:ascii="宋体" w:hAnsi="宋体"/>
          <w:sz w:val="24"/>
          <w:lang w:val="en-US" w:eastAsia="zh-CN"/>
        </w:rPr>
        <w:t>11</w:t>
      </w:r>
    </w:p>
    <w:p>
      <w:pPr>
        <w:spacing w:line="460" w:lineRule="exact"/>
        <w:ind w:firstLine="480"/>
        <w:rPr>
          <w:rFonts w:hint="default" w:ascii="宋体" w:hAnsi="宋体" w:eastAsia="宋体"/>
          <w:sz w:val="24"/>
          <w:lang w:val="en-US" w:eastAsia="zh-CN"/>
        </w:rPr>
      </w:pPr>
      <w:r>
        <w:rPr>
          <w:rFonts w:hint="eastAsia" w:ascii="宋体" w:hAnsi="宋体"/>
          <w:sz w:val="24"/>
        </w:rPr>
        <w:t xml:space="preserve">8、评估程序实施过程和情况…………………………………………………… </w:t>
      </w:r>
      <w:r>
        <w:rPr>
          <w:rFonts w:hint="eastAsia" w:ascii="宋体" w:hAnsi="宋体"/>
          <w:sz w:val="24"/>
          <w:lang w:val="en-US" w:eastAsia="zh-CN"/>
        </w:rPr>
        <w:t>11</w:t>
      </w:r>
    </w:p>
    <w:p>
      <w:pPr>
        <w:spacing w:line="460" w:lineRule="exact"/>
        <w:ind w:firstLine="480"/>
        <w:rPr>
          <w:rFonts w:hint="eastAsia" w:ascii="宋体" w:hAnsi="宋体" w:eastAsia="宋体"/>
          <w:sz w:val="24"/>
          <w:lang w:val="en-US" w:eastAsia="zh-CN"/>
        </w:rPr>
      </w:pPr>
      <w:r>
        <w:rPr>
          <w:rFonts w:hint="eastAsia" w:ascii="宋体" w:hAnsi="宋体"/>
          <w:sz w:val="24"/>
        </w:rPr>
        <w:t>9、评估假设 ………………………………………………………………………1</w:t>
      </w:r>
      <w:r>
        <w:rPr>
          <w:rFonts w:hint="eastAsia" w:ascii="宋体" w:hAnsi="宋体"/>
          <w:sz w:val="24"/>
          <w:lang w:val="en-US" w:eastAsia="zh-CN"/>
        </w:rPr>
        <w:t>3</w:t>
      </w:r>
    </w:p>
    <w:p>
      <w:pPr>
        <w:spacing w:line="460" w:lineRule="exact"/>
        <w:ind w:firstLine="480"/>
        <w:rPr>
          <w:rFonts w:hint="eastAsia" w:ascii="宋体" w:hAnsi="宋体" w:eastAsia="宋体"/>
          <w:sz w:val="24"/>
          <w:lang w:val="en-US" w:eastAsia="zh-CN"/>
        </w:rPr>
      </w:pPr>
      <w:r>
        <w:rPr>
          <w:rFonts w:hint="eastAsia" w:ascii="宋体" w:hAnsi="宋体"/>
          <w:sz w:val="24"/>
        </w:rPr>
        <w:t>10、评估结论………………………………………………………………………1</w:t>
      </w:r>
      <w:r>
        <w:rPr>
          <w:rFonts w:hint="eastAsia" w:ascii="宋体" w:hAnsi="宋体"/>
          <w:sz w:val="24"/>
          <w:lang w:val="en-US" w:eastAsia="zh-CN"/>
        </w:rPr>
        <w:t>4</w:t>
      </w:r>
    </w:p>
    <w:p>
      <w:pPr>
        <w:spacing w:line="460" w:lineRule="exact"/>
        <w:ind w:firstLine="480"/>
        <w:rPr>
          <w:rFonts w:hint="eastAsia" w:ascii="宋体" w:hAnsi="宋体" w:eastAsia="宋体"/>
          <w:sz w:val="24"/>
          <w:lang w:val="en-US" w:eastAsia="zh-CN"/>
        </w:rPr>
      </w:pPr>
      <w:r>
        <w:rPr>
          <w:rFonts w:hint="eastAsia" w:ascii="宋体" w:hAnsi="宋体"/>
          <w:sz w:val="24"/>
        </w:rPr>
        <w:t>11、特别事项说明…………………………………………………………………1</w:t>
      </w:r>
      <w:r>
        <w:rPr>
          <w:rFonts w:hint="eastAsia" w:ascii="宋体" w:hAnsi="宋体"/>
          <w:sz w:val="24"/>
          <w:lang w:val="en-US" w:eastAsia="zh-CN"/>
        </w:rPr>
        <w:t>5</w:t>
      </w:r>
    </w:p>
    <w:p>
      <w:pPr>
        <w:spacing w:line="460" w:lineRule="exact"/>
        <w:ind w:firstLine="480"/>
        <w:rPr>
          <w:rFonts w:hint="eastAsia" w:ascii="宋体" w:hAnsi="宋体" w:eastAsia="宋体"/>
          <w:sz w:val="24"/>
          <w:lang w:val="en-US" w:eastAsia="zh-CN"/>
        </w:rPr>
      </w:pPr>
      <w:r>
        <w:rPr>
          <w:rFonts w:hint="eastAsia" w:ascii="宋体" w:hAnsi="宋体"/>
          <w:sz w:val="24"/>
        </w:rPr>
        <w:t>12、评估报告使用限制说明………………………………………………………1</w:t>
      </w:r>
      <w:r>
        <w:rPr>
          <w:rFonts w:hint="eastAsia" w:ascii="宋体" w:hAnsi="宋体"/>
          <w:sz w:val="24"/>
          <w:lang w:val="en-US" w:eastAsia="zh-CN"/>
        </w:rPr>
        <w:t>5</w:t>
      </w:r>
    </w:p>
    <w:p>
      <w:pPr>
        <w:spacing w:line="460" w:lineRule="exact"/>
        <w:ind w:firstLine="480"/>
        <w:rPr>
          <w:rFonts w:hint="eastAsia" w:ascii="宋体" w:hAnsi="宋体" w:eastAsia="宋体"/>
          <w:sz w:val="24"/>
          <w:lang w:val="en-US" w:eastAsia="zh-CN"/>
        </w:rPr>
      </w:pPr>
      <w:r>
        <w:rPr>
          <w:rFonts w:hint="eastAsia" w:ascii="宋体" w:hAnsi="宋体"/>
          <w:sz w:val="24"/>
        </w:rPr>
        <w:t>13、评估报告日……………………………………………………………………1</w:t>
      </w:r>
      <w:r>
        <w:rPr>
          <w:rFonts w:hint="eastAsia" w:ascii="宋体" w:hAnsi="宋体"/>
          <w:sz w:val="24"/>
          <w:lang w:val="en-US" w:eastAsia="zh-CN"/>
        </w:rPr>
        <w:t>6</w:t>
      </w:r>
    </w:p>
    <w:p>
      <w:pPr>
        <w:spacing w:line="460" w:lineRule="exact"/>
        <w:ind w:firstLine="480"/>
        <w:rPr>
          <w:rFonts w:hint="eastAsia" w:ascii="宋体" w:hAnsi="宋体" w:eastAsia="宋体"/>
          <w:sz w:val="24"/>
          <w:lang w:val="en-US" w:eastAsia="zh-CN"/>
        </w:rPr>
      </w:pPr>
      <w:r>
        <w:rPr>
          <w:rFonts w:hint="eastAsia" w:ascii="宋体" w:hAnsi="宋体"/>
          <w:sz w:val="24"/>
        </w:rPr>
        <w:t>14、签字盖章………………………………………………………………………1</w:t>
      </w:r>
      <w:r>
        <w:rPr>
          <w:rFonts w:hint="eastAsia" w:ascii="宋体" w:hAnsi="宋体"/>
          <w:sz w:val="24"/>
          <w:lang w:val="en-US" w:eastAsia="zh-CN"/>
        </w:rPr>
        <w:t>6</w:t>
      </w:r>
    </w:p>
    <w:p>
      <w:pPr>
        <w:spacing w:line="460" w:lineRule="exact"/>
        <w:rPr>
          <w:rFonts w:hint="eastAsia" w:ascii="宋体" w:hAnsi="宋体" w:eastAsia="宋体"/>
          <w:sz w:val="24"/>
          <w:lang w:val="en-US" w:eastAsia="zh-CN"/>
        </w:rPr>
      </w:pPr>
      <w:r>
        <w:rPr>
          <w:rFonts w:hint="eastAsia" w:ascii="宋体" w:hAnsi="宋体"/>
          <w:sz w:val="24"/>
        </w:rPr>
        <w:t>四、附件目录……………………………………………………………………………1</w:t>
      </w:r>
      <w:r>
        <w:rPr>
          <w:rFonts w:hint="eastAsia" w:ascii="宋体" w:hAnsi="宋体"/>
          <w:sz w:val="24"/>
          <w:lang w:val="en-US" w:eastAsia="zh-CN"/>
        </w:rPr>
        <w:t>8</w:t>
      </w:r>
      <w:bookmarkStart w:id="13" w:name="_GoBack"/>
      <w:bookmarkEnd w:id="13"/>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widowControl/>
        <w:jc w:val="left"/>
        <w:rPr>
          <w:rFonts w:ascii="黑体" w:eastAsia="黑体"/>
          <w:sz w:val="44"/>
          <w:szCs w:val="44"/>
        </w:rPr>
      </w:pPr>
    </w:p>
    <w:p>
      <w:pPr>
        <w:jc w:val="center"/>
        <w:rPr>
          <w:rFonts w:ascii="黑体" w:eastAsia="黑体"/>
          <w:sz w:val="36"/>
          <w:szCs w:val="36"/>
        </w:rPr>
      </w:pPr>
      <w:r>
        <w:rPr>
          <w:rFonts w:hint="eastAsia" w:ascii="黑体" w:eastAsia="黑体"/>
          <w:sz w:val="36"/>
          <w:szCs w:val="36"/>
        </w:rPr>
        <w:t>声</w:t>
      </w:r>
      <w:r>
        <w:rPr>
          <w:rFonts w:hint="eastAsia" w:ascii="黑体" w:eastAsia="黑体"/>
          <w:sz w:val="36"/>
          <w:szCs w:val="36"/>
          <w:lang w:val="en-US" w:eastAsia="zh-CN"/>
        </w:rPr>
        <w:t xml:space="preserve">     </w:t>
      </w:r>
      <w:r>
        <w:rPr>
          <w:rFonts w:hint="eastAsia" w:ascii="黑体" w:eastAsia="黑体"/>
          <w:sz w:val="36"/>
          <w:szCs w:val="36"/>
        </w:rPr>
        <w:t>明</w:t>
      </w:r>
    </w:p>
    <w:p>
      <w:pPr>
        <w:pStyle w:val="9"/>
        <w:ind w:left="5250" w:right="566"/>
        <w:jc w:val="center"/>
        <w:outlineLvl w:val="0"/>
        <w:rPr>
          <w:rFonts w:ascii="仿宋_GB2312" w:hAnsi="宋体" w:eastAsia="仿宋_GB2312"/>
          <w:b/>
          <w:sz w:val="21"/>
          <w:szCs w:val="21"/>
        </w:rPr>
      </w:pPr>
    </w:p>
    <w:p>
      <w:pPr>
        <w:spacing w:line="460" w:lineRule="exact"/>
        <w:rPr>
          <w:rFonts w:ascii="宋体" w:hAnsi="宋体"/>
          <w:b/>
          <w:sz w:val="24"/>
        </w:rPr>
      </w:pPr>
      <w:r>
        <w:rPr>
          <w:rFonts w:hint="eastAsia" w:ascii="宋体" w:hAnsi="宋体"/>
          <w:b/>
          <w:sz w:val="24"/>
        </w:rPr>
        <w:t>我们郑重声明：</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本资产评估报告依据财政部发布的资产评估基本准则和中国资产评估协会发布的资产评估执业准则和职业道德准则编制。</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委托人或者其他资产评估报告使用人应当按照法律、行政法规规定和本资产评估报告载明的使用范围使用资产评估报告；委托人或者其他资产评估报告使用人违反前述规定使用资产评估报告的，本资产评估机构及资产评估师不承担责任。</w:t>
      </w:r>
    </w:p>
    <w:p>
      <w:pPr>
        <w:pStyle w:val="20"/>
        <w:spacing w:line="440" w:lineRule="exact"/>
        <w:ind w:firstLine="567" w:firstLineChars="0"/>
        <w:rPr>
          <w:rFonts w:ascii="宋体" w:hAnsi="宋体"/>
          <w:b/>
          <w:sz w:val="24"/>
        </w:rPr>
      </w:pPr>
      <w:r>
        <w:rPr>
          <w:rFonts w:hint="eastAsia" w:ascii="宋体" w:hAnsi="宋体"/>
          <w:b/>
          <w:sz w:val="24"/>
        </w:rPr>
        <w:t>本资产评估报告仅供委托人</w:t>
      </w:r>
      <w:r>
        <w:rPr>
          <w:rFonts w:hint="eastAsia" w:ascii="宋体" w:hAnsi="宋体"/>
          <w:b/>
          <w:sz w:val="24"/>
          <w:lang w:eastAsia="zh-CN"/>
        </w:rPr>
        <w:t>和</w:t>
      </w:r>
      <w:r>
        <w:rPr>
          <w:rFonts w:hint="eastAsia" w:ascii="宋体" w:hAnsi="宋体"/>
          <w:b/>
          <w:sz w:val="24"/>
        </w:rPr>
        <w:t>法律、行政法规规定的资产评估报告使用人使用；除此之外，其他任何机构和个人不能成为资产评估报告的使用人。</w:t>
      </w:r>
    </w:p>
    <w:p>
      <w:pPr>
        <w:pStyle w:val="20"/>
        <w:spacing w:line="440" w:lineRule="exact"/>
        <w:ind w:firstLine="567" w:firstLineChars="0"/>
        <w:rPr>
          <w:rFonts w:ascii="宋体" w:hAnsi="宋体"/>
          <w:b/>
          <w:sz w:val="24"/>
        </w:rPr>
      </w:pPr>
      <w:r>
        <w:rPr>
          <w:rFonts w:hint="eastAsia" w:ascii="宋体" w:hAnsi="宋体"/>
          <w:b/>
          <w:sz w:val="24"/>
        </w:rPr>
        <w:t>本资产评估机构及资产评估师提示资产评估报告使用人应当正确理解评估结论，评估结论不等同于评估对象可实现价格，评估结论不应当被认为是对评估对象可实现价格的保证。</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本资产评估机构及资产评估师遵守法律、行政法规和资产评估准则，坚持独立、客观和公正的原则，并对所出具的资产评估报告依法承担责任。</w:t>
      </w:r>
    </w:p>
    <w:p>
      <w:pPr>
        <w:pStyle w:val="20"/>
        <w:numPr>
          <w:ilvl w:val="0"/>
          <w:numId w:val="1"/>
        </w:numPr>
        <w:spacing w:line="440" w:lineRule="exact"/>
        <w:ind w:left="0" w:firstLine="567" w:firstLineChars="0"/>
        <w:rPr>
          <w:rFonts w:ascii="宋体" w:hAnsi="宋体"/>
          <w:b/>
          <w:sz w:val="24"/>
          <w:highlight w:val="none"/>
        </w:rPr>
      </w:pPr>
      <w:r>
        <w:rPr>
          <w:rFonts w:hint="eastAsia" w:ascii="宋体" w:hAnsi="宋体"/>
          <w:b/>
          <w:sz w:val="24"/>
          <w:highlight w:val="none"/>
          <w:lang w:eastAsia="zh-CN"/>
        </w:rPr>
        <w:t>本资产评估报告是根据人民法院及相关当事人提供的资料和信息出具，资料和信息的</w:t>
      </w:r>
      <w:r>
        <w:rPr>
          <w:rFonts w:hint="eastAsia" w:ascii="宋体" w:hAnsi="宋体"/>
          <w:b/>
          <w:sz w:val="24"/>
          <w:highlight w:val="none"/>
        </w:rPr>
        <w:t>真实性、完整性、合法性</w:t>
      </w:r>
      <w:r>
        <w:rPr>
          <w:rFonts w:hint="eastAsia" w:ascii="宋体" w:hAnsi="宋体"/>
          <w:b/>
          <w:sz w:val="24"/>
          <w:highlight w:val="none"/>
          <w:lang w:eastAsia="zh-CN"/>
        </w:rPr>
        <w:t>对评估结论构成影响，依据同一标准的资产的其他资料或者信息可能得出与本报告不一致的评估结论</w:t>
      </w:r>
      <w:r>
        <w:rPr>
          <w:rFonts w:hint="eastAsia" w:ascii="宋体" w:hAnsi="宋体"/>
          <w:b/>
          <w:sz w:val="24"/>
          <w:highlight w:val="none"/>
        </w:rPr>
        <w:t>。</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本资产评估机构及资产评估师与资产评估报告中的评估对象没有现存或者预期的利益关系；与相关当事人没有现存或者预期的利益关系，对相关当事人不存在偏见。</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资产评估师已经对资产评估报告中的评估对象及其所涉及资产进行现场调查；我们已经对评估对象及其所涉及资产的法律权属状况给予必要的关注，对评估对象及其所涉及资产的法律权属资料进行了查验，对已经发现的问题进行了如实披露，并且已提请委托人及其他相关当事人完善产权以满足出具资产评估报告的要求。</w:t>
      </w:r>
    </w:p>
    <w:p>
      <w:pPr>
        <w:pStyle w:val="20"/>
        <w:numPr>
          <w:ilvl w:val="0"/>
          <w:numId w:val="1"/>
        </w:numPr>
        <w:spacing w:line="440" w:lineRule="exact"/>
        <w:ind w:left="0" w:firstLine="567" w:firstLineChars="0"/>
        <w:rPr>
          <w:rFonts w:hint="eastAsia" w:ascii="宋体" w:hAnsi="宋体"/>
          <w:b/>
          <w:bCs w:val="0"/>
          <w:sz w:val="24"/>
          <w:szCs w:val="24"/>
        </w:rPr>
      </w:pPr>
      <w:r>
        <w:rPr>
          <w:rFonts w:hint="eastAsia" w:ascii="宋体" w:hAnsi="宋体"/>
          <w:b/>
          <w:sz w:val="24"/>
        </w:rPr>
        <w:t>本资产评估机构出具的资产评估报告中的分析、判断和结果受资产评估报告中假设和限制条件的限制，资产评估报告使用人应当充分考虑资产评估报告中载明的假设、限制条件、特别事项说明及其对评估结论的影响。</w:t>
      </w:r>
    </w:p>
    <w:p>
      <w:pPr>
        <w:pStyle w:val="20"/>
        <w:numPr>
          <w:ilvl w:val="0"/>
          <w:numId w:val="0"/>
        </w:numPr>
        <w:spacing w:line="440" w:lineRule="exact"/>
        <w:ind w:left="567" w:leftChars="0"/>
        <w:rPr>
          <w:rFonts w:hint="eastAsia" w:ascii="宋体" w:hAnsi="宋体"/>
          <w:b w:val="0"/>
          <w:bCs/>
          <w:sz w:val="28"/>
          <w:szCs w:val="28"/>
          <w:lang w:eastAsia="zh-CN"/>
        </w:rPr>
      </w:pPr>
      <w:bookmarkStart w:id="8" w:name="_Toc532849144"/>
    </w:p>
    <w:p>
      <w:pPr>
        <w:keepNext w:val="0"/>
        <w:keepLines w:val="0"/>
        <w:pageBreakBefore w:val="0"/>
        <w:widowControl/>
        <w:kinsoku/>
        <w:wordWrap/>
        <w:overflowPunct/>
        <w:topLinePunct w:val="0"/>
        <w:autoSpaceDE w:val="0"/>
        <w:autoSpaceDN w:val="0"/>
        <w:bidi w:val="0"/>
        <w:adjustRightInd/>
        <w:snapToGrid w:val="0"/>
        <w:spacing w:line="360" w:lineRule="auto"/>
        <w:ind w:right="-1"/>
        <w:jc w:val="center"/>
        <w:textAlignment w:val="bottom"/>
        <w:outlineLvl w:val="0"/>
        <w:rPr>
          <w:rFonts w:hint="eastAsia" w:ascii="黑体" w:hAnsi="黑体" w:eastAsia="黑体" w:cs="黑体"/>
          <w:b w:val="0"/>
          <w:bCs/>
          <w:spacing w:val="4"/>
          <w:sz w:val="36"/>
          <w:szCs w:val="36"/>
          <w:lang w:eastAsia="zh-CN"/>
        </w:rPr>
      </w:pPr>
      <w:r>
        <w:rPr>
          <w:rFonts w:hint="eastAsia" w:ascii="黑体" w:hAnsi="黑体" w:eastAsia="黑体" w:cs="黑体"/>
          <w:b w:val="0"/>
          <w:bCs/>
          <w:spacing w:val="4"/>
          <w:sz w:val="36"/>
          <w:szCs w:val="36"/>
          <w:lang w:eastAsia="zh-CN"/>
        </w:rPr>
        <w:t>辽源市龙山区人民法院拟司法执行财产处置</w:t>
      </w:r>
    </w:p>
    <w:p>
      <w:pPr>
        <w:keepNext w:val="0"/>
        <w:keepLines w:val="0"/>
        <w:pageBreakBefore w:val="0"/>
        <w:widowControl/>
        <w:kinsoku/>
        <w:wordWrap/>
        <w:overflowPunct/>
        <w:topLinePunct w:val="0"/>
        <w:autoSpaceDE w:val="0"/>
        <w:autoSpaceDN w:val="0"/>
        <w:bidi w:val="0"/>
        <w:adjustRightInd/>
        <w:snapToGrid w:val="0"/>
        <w:spacing w:line="360" w:lineRule="auto"/>
        <w:ind w:right="-1"/>
        <w:jc w:val="center"/>
        <w:textAlignment w:val="bottom"/>
        <w:outlineLvl w:val="0"/>
        <w:rPr>
          <w:rFonts w:hint="eastAsia" w:ascii="黑体" w:hAnsi="黑体" w:eastAsia="黑体" w:cs="黑体"/>
          <w:b w:val="0"/>
          <w:bCs/>
          <w:spacing w:val="4"/>
          <w:sz w:val="36"/>
          <w:szCs w:val="36"/>
          <w:lang w:eastAsia="zh-CN"/>
        </w:rPr>
      </w:pPr>
      <w:r>
        <w:rPr>
          <w:rFonts w:hint="eastAsia" w:ascii="黑体" w:hAnsi="黑体" w:eastAsia="黑体" w:cs="黑体"/>
          <w:b w:val="0"/>
          <w:bCs/>
          <w:spacing w:val="4"/>
          <w:sz w:val="36"/>
          <w:szCs w:val="36"/>
          <w:lang w:eastAsia="zh-CN"/>
        </w:rPr>
        <w:t>涉及的孟首怡、李萍共有住宅及商业房屋价值</w:t>
      </w:r>
    </w:p>
    <w:p>
      <w:pPr>
        <w:keepNext w:val="0"/>
        <w:keepLines w:val="0"/>
        <w:pageBreakBefore w:val="0"/>
        <w:widowControl/>
        <w:kinsoku/>
        <w:wordWrap/>
        <w:overflowPunct/>
        <w:topLinePunct w:val="0"/>
        <w:autoSpaceDE w:val="0"/>
        <w:autoSpaceDN w:val="0"/>
        <w:bidi w:val="0"/>
        <w:adjustRightInd/>
        <w:snapToGrid w:val="0"/>
        <w:spacing w:line="360" w:lineRule="auto"/>
        <w:ind w:right="-1"/>
        <w:jc w:val="center"/>
        <w:textAlignment w:val="bottom"/>
        <w:outlineLvl w:val="0"/>
        <w:rPr>
          <w:rFonts w:hint="eastAsia" w:asciiTheme="majorEastAsia" w:hAnsiTheme="majorEastAsia" w:eastAsiaTheme="majorEastAsia" w:cstheme="majorEastAsia"/>
        </w:rPr>
      </w:pPr>
      <w:r>
        <w:rPr>
          <w:rFonts w:hint="eastAsia" w:ascii="黑体" w:hAnsi="黑体" w:eastAsia="黑体" w:cs="黑体"/>
          <w:b w:val="0"/>
          <w:bCs/>
          <w:spacing w:val="4"/>
          <w:sz w:val="36"/>
          <w:szCs w:val="36"/>
          <w:lang w:eastAsia="zh-CN"/>
        </w:rPr>
        <w:t>资产评估报告</w:t>
      </w:r>
      <w:r>
        <w:rPr>
          <w:rFonts w:hint="eastAsia" w:asciiTheme="majorEastAsia" w:hAnsiTheme="majorEastAsia" w:eastAsiaTheme="majorEastAsia" w:cstheme="majorEastAsia"/>
          <w:b/>
          <w:bCs/>
          <w:color w:val="000000"/>
          <w:sz w:val="36"/>
          <w:szCs w:val="36"/>
        </w:rPr>
        <w:t>摘</w:t>
      </w:r>
      <w:r>
        <w:rPr>
          <w:rFonts w:hint="eastAsia" w:asciiTheme="majorEastAsia" w:hAnsiTheme="majorEastAsia" w:eastAsiaTheme="majorEastAsia" w:cstheme="majorEastAsia"/>
          <w:b/>
          <w:bCs/>
          <w:sz w:val="36"/>
          <w:szCs w:val="36"/>
        </w:rPr>
        <w:t>要</w:t>
      </w:r>
      <w:bookmarkEnd w:id="8"/>
    </w:p>
    <w:p>
      <w:pPr>
        <w:keepNext w:val="0"/>
        <w:keepLines w:val="0"/>
        <w:pageBreakBefore w:val="0"/>
        <w:kinsoku/>
        <w:wordWrap/>
        <w:overflowPunct/>
        <w:topLinePunct w:val="0"/>
        <w:bidi w:val="0"/>
        <w:adjustRightInd/>
        <w:spacing w:line="360" w:lineRule="auto"/>
        <w:jc w:val="center"/>
        <w:rPr>
          <w:rFonts w:ascii="黑体" w:eastAsia="黑体"/>
          <w:b/>
          <w:color w:val="auto"/>
          <w:sz w:val="52"/>
          <w:szCs w:val="52"/>
        </w:rPr>
      </w:pPr>
      <w:r>
        <w:rPr>
          <w:rFonts w:hint="eastAsia" w:ascii="黑体" w:eastAsia="黑体"/>
          <w:color w:val="auto"/>
          <w:szCs w:val="21"/>
        </w:rPr>
        <w:t>辽新安评报字[202</w:t>
      </w:r>
      <w:r>
        <w:rPr>
          <w:rFonts w:hint="eastAsia" w:ascii="黑体" w:eastAsia="黑体"/>
          <w:color w:val="auto"/>
          <w:szCs w:val="21"/>
          <w:lang w:val="en-US" w:eastAsia="zh-CN"/>
        </w:rPr>
        <w:t>1</w:t>
      </w:r>
      <w:r>
        <w:rPr>
          <w:rFonts w:hint="eastAsia" w:ascii="黑体" w:eastAsia="黑体"/>
          <w:color w:val="auto"/>
          <w:szCs w:val="21"/>
        </w:rPr>
        <w:t>]第</w:t>
      </w:r>
      <w:r>
        <w:rPr>
          <w:rFonts w:hint="eastAsia" w:ascii="黑体" w:eastAsia="黑体"/>
          <w:color w:val="auto"/>
          <w:szCs w:val="21"/>
          <w:lang w:val="en-US" w:eastAsia="zh-CN"/>
        </w:rPr>
        <w:t>012</w:t>
      </w:r>
      <w:r>
        <w:rPr>
          <w:rFonts w:hint="eastAsia" w:ascii="黑体" w:eastAsia="黑体"/>
          <w:color w:val="auto"/>
          <w:szCs w:val="21"/>
        </w:rPr>
        <w:t>号</w:t>
      </w:r>
    </w:p>
    <w:p>
      <w:pPr>
        <w:keepNext w:val="0"/>
        <w:keepLines w:val="0"/>
        <w:pageBreakBefore w:val="0"/>
        <w:kinsoku/>
        <w:wordWrap/>
        <w:overflowPunct/>
        <w:topLinePunct w:val="0"/>
        <w:bidi w:val="0"/>
        <w:adjustRightInd/>
        <w:spacing w:line="360" w:lineRule="auto"/>
        <w:rPr>
          <w:rFonts w:asciiTheme="majorEastAsia" w:hAnsiTheme="majorEastAsia" w:eastAsiaTheme="majorEastAsia"/>
          <w:b/>
          <w:sz w:val="24"/>
        </w:rPr>
      </w:pPr>
      <w:r>
        <w:rPr>
          <w:rFonts w:hint="eastAsia" w:asciiTheme="majorEastAsia" w:hAnsiTheme="majorEastAsia" w:eastAsiaTheme="majorEastAsia"/>
          <w:b/>
          <w:sz w:val="24"/>
          <w:lang w:eastAsia="zh-CN"/>
        </w:rPr>
        <w:t>辽源市龙山区人民法院司法辅助办公室</w:t>
      </w:r>
      <w:r>
        <w:rPr>
          <w:rFonts w:hint="eastAsia" w:asciiTheme="majorEastAsia" w:hAnsiTheme="majorEastAsia" w:eastAsiaTheme="majorEastAsia"/>
          <w:b/>
          <w:sz w:val="24"/>
        </w:rPr>
        <w:t>：</w:t>
      </w:r>
    </w:p>
    <w:p>
      <w:pPr>
        <w:spacing w:line="400" w:lineRule="exact"/>
        <w:ind w:firstLine="555"/>
        <w:rPr>
          <w:rFonts w:asciiTheme="majorEastAsia" w:hAnsiTheme="majorEastAsia" w:eastAsiaTheme="majorEastAsia"/>
          <w:color w:val="auto"/>
          <w:sz w:val="24"/>
        </w:rPr>
      </w:pPr>
      <w:r>
        <w:rPr>
          <w:rFonts w:hint="eastAsia" w:asciiTheme="majorEastAsia" w:hAnsiTheme="majorEastAsia" w:eastAsiaTheme="majorEastAsia"/>
          <w:color w:val="auto"/>
          <w:sz w:val="24"/>
        </w:rPr>
        <w:t>辽源新安资产评估事务所接受</w:t>
      </w:r>
      <w:r>
        <w:rPr>
          <w:rFonts w:hint="eastAsia" w:asciiTheme="majorEastAsia" w:hAnsiTheme="majorEastAsia" w:eastAsiaTheme="majorEastAsia"/>
          <w:color w:val="auto"/>
          <w:sz w:val="24"/>
          <w:lang w:eastAsia="zh-CN"/>
        </w:rPr>
        <w:t>辽源市龙山区人民法院司法辅助办公室</w:t>
      </w:r>
      <w:r>
        <w:rPr>
          <w:rFonts w:hint="eastAsia" w:asciiTheme="majorEastAsia" w:hAnsiTheme="majorEastAsia" w:eastAsiaTheme="majorEastAsia"/>
          <w:color w:val="auto"/>
          <w:sz w:val="24"/>
        </w:rPr>
        <w:t>的委托，按照国家关于资产评估的有关</w:t>
      </w:r>
      <w:r>
        <w:rPr>
          <w:rFonts w:hint="eastAsia" w:asciiTheme="majorEastAsia" w:hAnsiTheme="majorEastAsia" w:eastAsiaTheme="majorEastAsia"/>
          <w:color w:val="auto"/>
          <w:sz w:val="24"/>
          <w:lang w:eastAsia="zh-CN"/>
        </w:rPr>
        <w:t>国家</w:t>
      </w:r>
      <w:r>
        <w:rPr>
          <w:rFonts w:hint="eastAsia" w:asciiTheme="majorEastAsia" w:hAnsiTheme="majorEastAsia" w:eastAsiaTheme="majorEastAsia"/>
          <w:color w:val="auto"/>
          <w:sz w:val="24"/>
        </w:rPr>
        <w:t>法律</w:t>
      </w:r>
      <w:r>
        <w:rPr>
          <w:rFonts w:hint="eastAsia" w:asciiTheme="majorEastAsia" w:hAnsiTheme="majorEastAsia" w:eastAsiaTheme="majorEastAsia"/>
          <w:color w:val="auto"/>
          <w:sz w:val="24"/>
          <w:lang w:eastAsia="zh-CN"/>
        </w:rPr>
        <w:t>行政</w:t>
      </w:r>
      <w:r>
        <w:rPr>
          <w:rFonts w:hint="eastAsia" w:asciiTheme="majorEastAsia" w:hAnsiTheme="majorEastAsia" w:eastAsiaTheme="majorEastAsia"/>
          <w:color w:val="auto"/>
          <w:sz w:val="24"/>
        </w:rPr>
        <w:t>法规和评估准则，本着“独立、客观、公正”的评估原则，按照公认的资产评估方法，对</w:t>
      </w:r>
      <w:r>
        <w:rPr>
          <w:rFonts w:hint="eastAsia" w:asciiTheme="majorEastAsia" w:hAnsiTheme="majorEastAsia" w:eastAsiaTheme="majorEastAsia"/>
          <w:color w:val="auto"/>
          <w:sz w:val="24"/>
          <w:lang w:eastAsia="zh-CN"/>
        </w:rPr>
        <w:t>辽源市龙山区人民法院司法辅助办公室委托司法执行财产处置事宜</w:t>
      </w:r>
      <w:r>
        <w:rPr>
          <w:rFonts w:hint="eastAsia" w:asciiTheme="majorEastAsia" w:hAnsiTheme="majorEastAsia" w:eastAsiaTheme="majorEastAsia"/>
          <w:color w:val="auto"/>
          <w:sz w:val="24"/>
        </w:rPr>
        <w:t>涉及的</w:t>
      </w:r>
      <w:r>
        <w:rPr>
          <w:rFonts w:hint="eastAsia" w:asciiTheme="majorEastAsia" w:hAnsiTheme="majorEastAsia" w:eastAsiaTheme="majorEastAsia"/>
          <w:color w:val="auto"/>
          <w:sz w:val="24"/>
          <w:lang w:eastAsia="zh-CN"/>
        </w:rPr>
        <w:t>孟首怡、李萍共有的位于东方新城BDE座-2441室，建筑面积100.78平方米的住宅房屋及位于钻石名城8号楼108室，建筑面积120.63平方米的商业用房，</w:t>
      </w:r>
      <w:r>
        <w:rPr>
          <w:rFonts w:hint="eastAsia" w:asciiTheme="majorEastAsia" w:hAnsiTheme="majorEastAsia" w:eastAsiaTheme="majorEastAsia"/>
          <w:color w:val="auto"/>
          <w:sz w:val="24"/>
        </w:rPr>
        <w:t>在评估基准日二〇二</w:t>
      </w:r>
      <w:r>
        <w:rPr>
          <w:rFonts w:hint="eastAsia" w:asciiTheme="majorEastAsia" w:hAnsiTheme="majorEastAsia" w:eastAsiaTheme="majorEastAsia"/>
          <w:color w:val="auto"/>
          <w:sz w:val="24"/>
          <w:lang w:eastAsia="zh-CN"/>
        </w:rPr>
        <w:t>一</w:t>
      </w:r>
      <w:r>
        <w:rPr>
          <w:rFonts w:hint="eastAsia" w:asciiTheme="majorEastAsia" w:hAnsiTheme="majorEastAsia" w:eastAsiaTheme="majorEastAsia"/>
          <w:color w:val="auto"/>
          <w:sz w:val="24"/>
        </w:rPr>
        <w:t>年</w:t>
      </w:r>
      <w:r>
        <w:rPr>
          <w:rFonts w:hint="eastAsia" w:asciiTheme="majorEastAsia" w:hAnsiTheme="majorEastAsia" w:eastAsiaTheme="majorEastAsia"/>
          <w:color w:val="auto"/>
          <w:sz w:val="24"/>
          <w:lang w:eastAsia="zh-CN"/>
        </w:rPr>
        <w:t>二</w:t>
      </w:r>
      <w:r>
        <w:rPr>
          <w:rFonts w:hint="eastAsia" w:asciiTheme="majorEastAsia" w:hAnsiTheme="majorEastAsia" w:eastAsiaTheme="majorEastAsia"/>
          <w:color w:val="auto"/>
          <w:sz w:val="24"/>
        </w:rPr>
        <w:t>月</w:t>
      </w:r>
      <w:r>
        <w:rPr>
          <w:rFonts w:hint="eastAsia" w:asciiTheme="majorEastAsia" w:hAnsiTheme="majorEastAsia" w:eastAsiaTheme="majorEastAsia"/>
          <w:color w:val="auto"/>
          <w:sz w:val="24"/>
          <w:lang w:eastAsia="zh-CN"/>
        </w:rPr>
        <w:t>十</w:t>
      </w:r>
      <w:r>
        <w:rPr>
          <w:rFonts w:hint="eastAsia" w:asciiTheme="majorEastAsia" w:hAnsiTheme="majorEastAsia" w:eastAsiaTheme="majorEastAsia"/>
          <w:color w:val="auto"/>
          <w:sz w:val="24"/>
        </w:rPr>
        <w:t>日的市场价值进行了评估。现将资产评估结论情况摘要如下：</w:t>
      </w:r>
    </w:p>
    <w:p>
      <w:pPr>
        <w:spacing w:line="400" w:lineRule="exact"/>
        <w:ind w:firstLine="420" w:firstLineChars="175"/>
        <w:rPr>
          <w:rFonts w:hint="eastAsia" w:asciiTheme="majorEastAsia" w:hAnsiTheme="majorEastAsia" w:eastAsiaTheme="majorEastAsia"/>
          <w:color w:val="auto"/>
          <w:sz w:val="24"/>
          <w:lang w:eastAsia="zh-CN"/>
        </w:rPr>
      </w:pPr>
      <w:r>
        <w:rPr>
          <w:rFonts w:hint="eastAsia" w:asciiTheme="majorEastAsia" w:hAnsiTheme="majorEastAsia" w:eastAsiaTheme="majorEastAsia"/>
          <w:color w:val="auto"/>
          <w:sz w:val="24"/>
        </w:rPr>
        <w:t>一、委托人：</w:t>
      </w:r>
      <w:r>
        <w:rPr>
          <w:rFonts w:hint="eastAsia" w:asciiTheme="majorEastAsia" w:hAnsiTheme="majorEastAsia" w:eastAsiaTheme="majorEastAsia"/>
          <w:color w:val="auto"/>
          <w:sz w:val="24"/>
          <w:lang w:eastAsia="zh-CN"/>
        </w:rPr>
        <w:t>辽源市龙山区人民法院司法辅助办公室</w:t>
      </w:r>
    </w:p>
    <w:p>
      <w:pPr>
        <w:spacing w:line="400" w:lineRule="exact"/>
        <w:ind w:firstLine="420" w:firstLineChars="175"/>
        <w:rPr>
          <w:rFonts w:hint="eastAsia" w:asciiTheme="majorEastAsia" w:hAnsiTheme="majorEastAsia" w:eastAsiaTheme="majorEastAsia"/>
          <w:color w:val="auto"/>
          <w:sz w:val="24"/>
          <w:lang w:eastAsia="zh-CN"/>
        </w:rPr>
      </w:pPr>
      <w:r>
        <w:rPr>
          <w:rFonts w:hint="eastAsia" w:asciiTheme="majorEastAsia" w:hAnsiTheme="majorEastAsia" w:eastAsiaTheme="majorEastAsia"/>
          <w:color w:val="auto"/>
          <w:sz w:val="24"/>
        </w:rPr>
        <w:t>二、产权持有人：</w:t>
      </w:r>
      <w:r>
        <w:rPr>
          <w:rFonts w:hint="eastAsia" w:asciiTheme="majorEastAsia" w:hAnsiTheme="majorEastAsia" w:eastAsiaTheme="majorEastAsia"/>
          <w:color w:val="auto"/>
          <w:sz w:val="24"/>
          <w:lang w:eastAsia="zh-CN"/>
        </w:rPr>
        <w:t>孟首怡、李萍共有</w:t>
      </w:r>
    </w:p>
    <w:p>
      <w:pPr>
        <w:spacing w:line="400" w:lineRule="exact"/>
        <w:ind w:firstLine="406" w:firstLineChars="175"/>
        <w:rPr>
          <w:rFonts w:asciiTheme="majorEastAsia" w:hAnsiTheme="majorEastAsia" w:eastAsiaTheme="majorEastAsia"/>
          <w:color w:val="auto"/>
          <w:spacing w:val="-4"/>
          <w:sz w:val="24"/>
        </w:rPr>
      </w:pPr>
      <w:r>
        <w:rPr>
          <w:rFonts w:hint="eastAsia" w:asciiTheme="majorEastAsia" w:hAnsiTheme="majorEastAsia" w:eastAsiaTheme="majorEastAsia"/>
          <w:color w:val="auto"/>
          <w:spacing w:val="-4"/>
          <w:sz w:val="24"/>
        </w:rPr>
        <w:t>三、评估目的：</w:t>
      </w:r>
      <w:bookmarkStart w:id="9" w:name="OLE_LINK5"/>
      <w:r>
        <w:rPr>
          <w:rFonts w:hint="eastAsia" w:asciiTheme="majorEastAsia" w:hAnsiTheme="majorEastAsia" w:eastAsiaTheme="majorEastAsia"/>
          <w:color w:val="auto"/>
          <w:sz w:val="24"/>
        </w:rPr>
        <w:t>为</w:t>
      </w:r>
      <w:r>
        <w:rPr>
          <w:rFonts w:hint="eastAsia" w:asciiTheme="majorEastAsia" w:hAnsiTheme="majorEastAsia" w:eastAsiaTheme="majorEastAsia"/>
          <w:color w:val="auto"/>
          <w:sz w:val="24"/>
          <w:lang w:eastAsia="zh-CN"/>
        </w:rPr>
        <w:t>辽源市龙山区人民法院司法辅助办公室拟司法执行财产处置涉及孟首怡、李萍共有的资产</w:t>
      </w:r>
      <w:r>
        <w:rPr>
          <w:rFonts w:hint="eastAsia" w:asciiTheme="majorEastAsia" w:hAnsiTheme="majorEastAsia" w:eastAsiaTheme="majorEastAsia"/>
          <w:color w:val="auto"/>
          <w:sz w:val="24"/>
        </w:rPr>
        <w:t>价值提供参考</w:t>
      </w:r>
      <w:bookmarkEnd w:id="9"/>
      <w:r>
        <w:rPr>
          <w:rFonts w:hint="eastAsia" w:asciiTheme="majorEastAsia" w:hAnsiTheme="majorEastAsia" w:eastAsiaTheme="majorEastAsia"/>
          <w:color w:val="auto"/>
          <w:sz w:val="24"/>
          <w:lang w:eastAsia="zh-CN"/>
        </w:rPr>
        <w:t>意见</w:t>
      </w:r>
      <w:r>
        <w:rPr>
          <w:rFonts w:hint="eastAsia" w:asciiTheme="majorEastAsia" w:hAnsiTheme="majorEastAsia" w:eastAsiaTheme="majorEastAsia"/>
          <w:color w:val="auto"/>
          <w:sz w:val="24"/>
        </w:rPr>
        <w:t>。</w:t>
      </w:r>
    </w:p>
    <w:p>
      <w:pPr>
        <w:spacing w:line="400" w:lineRule="exact"/>
        <w:ind w:firstLine="420" w:firstLineChars="175"/>
        <w:rPr>
          <w:rFonts w:asciiTheme="majorEastAsia" w:hAnsiTheme="majorEastAsia" w:eastAsiaTheme="majorEastAsia"/>
          <w:sz w:val="24"/>
        </w:rPr>
      </w:pPr>
      <w:r>
        <w:rPr>
          <w:rFonts w:hint="eastAsia" w:asciiTheme="majorEastAsia" w:hAnsiTheme="majorEastAsia" w:eastAsiaTheme="majorEastAsia"/>
          <w:sz w:val="24"/>
        </w:rPr>
        <w:t>四、评估对象和评估范围：</w:t>
      </w:r>
    </w:p>
    <w:p>
      <w:pPr>
        <w:spacing w:line="400" w:lineRule="exact"/>
        <w:ind w:firstLine="420" w:firstLineChars="175"/>
        <w:rPr>
          <w:rFonts w:hint="eastAsia" w:asciiTheme="majorEastAsia" w:hAnsiTheme="majorEastAsia" w:eastAsiaTheme="majorEastAsia"/>
          <w:color w:val="auto"/>
          <w:sz w:val="24"/>
        </w:rPr>
      </w:pPr>
      <w:r>
        <w:rPr>
          <w:rFonts w:hint="eastAsia" w:asciiTheme="majorEastAsia" w:hAnsiTheme="majorEastAsia" w:eastAsiaTheme="majorEastAsia"/>
          <w:color w:val="auto"/>
          <w:sz w:val="24"/>
        </w:rPr>
        <w:t>根据评估委托书和相关当事人的指认，评估对象为委托</w:t>
      </w:r>
      <w:r>
        <w:rPr>
          <w:rFonts w:hint="eastAsia" w:asciiTheme="majorEastAsia" w:hAnsiTheme="majorEastAsia" w:eastAsiaTheme="majorEastAsia"/>
          <w:color w:val="auto"/>
          <w:sz w:val="24"/>
          <w:lang w:eastAsia="zh-CN"/>
        </w:rPr>
        <w:t>人司法执行财产处置事宜</w:t>
      </w:r>
      <w:r>
        <w:rPr>
          <w:rFonts w:hint="eastAsia" w:asciiTheme="majorEastAsia" w:hAnsiTheme="majorEastAsia" w:eastAsiaTheme="majorEastAsia"/>
          <w:color w:val="auto"/>
          <w:sz w:val="24"/>
        </w:rPr>
        <w:t>涉及的</w:t>
      </w:r>
      <w:r>
        <w:rPr>
          <w:rFonts w:hint="eastAsia" w:asciiTheme="majorEastAsia" w:hAnsiTheme="majorEastAsia" w:eastAsiaTheme="majorEastAsia"/>
          <w:color w:val="auto"/>
          <w:sz w:val="24"/>
          <w:lang w:eastAsia="zh-CN"/>
        </w:rPr>
        <w:t>孟首怡、李萍共有的住宅房屋及商业用房的市场价值。</w:t>
      </w:r>
      <w:r>
        <w:rPr>
          <w:rFonts w:hint="eastAsia" w:asciiTheme="majorEastAsia" w:hAnsiTheme="majorEastAsia" w:eastAsiaTheme="majorEastAsia"/>
          <w:color w:val="auto"/>
          <w:sz w:val="24"/>
        </w:rPr>
        <w:t>评估范围：委托人申报的位于</w:t>
      </w:r>
      <w:r>
        <w:rPr>
          <w:rFonts w:hint="eastAsia" w:asciiTheme="majorEastAsia" w:hAnsiTheme="majorEastAsia" w:eastAsiaTheme="majorEastAsia"/>
          <w:color w:val="auto"/>
          <w:sz w:val="24"/>
          <w:lang w:eastAsia="zh-CN"/>
        </w:rPr>
        <w:t>东方新城BDE座-2441室，建筑面积100.78平方米的住宅房屋及位于钻石名城8号楼108室，建筑面积120.63平方米的商业用房。</w:t>
      </w:r>
    </w:p>
    <w:p>
      <w:pPr>
        <w:spacing w:line="400" w:lineRule="exact"/>
        <w:ind w:firstLine="408" w:firstLineChars="175"/>
        <w:rPr>
          <w:rFonts w:asciiTheme="majorEastAsia" w:hAnsiTheme="majorEastAsia" w:eastAsiaTheme="majorEastAsia"/>
          <w:b/>
          <w:spacing w:val="-4"/>
          <w:sz w:val="24"/>
        </w:rPr>
      </w:pPr>
      <w:r>
        <w:rPr>
          <w:rFonts w:hint="eastAsia" w:asciiTheme="majorEastAsia" w:hAnsiTheme="majorEastAsia" w:eastAsiaTheme="majorEastAsia"/>
          <w:b/>
          <w:spacing w:val="-4"/>
          <w:sz w:val="24"/>
        </w:rPr>
        <w:t>本次评估对象及纳入评估范围的资产与经济行为涉及的评估对象和资产范围一致。</w:t>
      </w:r>
    </w:p>
    <w:p>
      <w:pPr>
        <w:spacing w:line="400" w:lineRule="exact"/>
        <w:ind w:firstLine="420" w:firstLineChars="175"/>
        <w:rPr>
          <w:rFonts w:asciiTheme="majorEastAsia" w:hAnsiTheme="majorEastAsia" w:eastAsiaTheme="majorEastAsia"/>
          <w:color w:val="auto"/>
          <w:sz w:val="24"/>
        </w:rPr>
      </w:pPr>
      <w:r>
        <w:rPr>
          <w:rFonts w:hint="eastAsia" w:asciiTheme="majorEastAsia" w:hAnsiTheme="majorEastAsia" w:eastAsiaTheme="majorEastAsia"/>
          <w:sz w:val="24"/>
        </w:rPr>
        <w:t>五、评估基准日：</w:t>
      </w:r>
      <w:r>
        <w:rPr>
          <w:rFonts w:hint="eastAsia" w:asciiTheme="majorEastAsia" w:hAnsiTheme="majorEastAsia" w:eastAsiaTheme="majorEastAsia"/>
          <w:color w:val="auto"/>
          <w:sz w:val="24"/>
        </w:rPr>
        <w:t>二〇二</w:t>
      </w:r>
      <w:r>
        <w:rPr>
          <w:rFonts w:hint="eastAsia" w:asciiTheme="majorEastAsia" w:hAnsiTheme="majorEastAsia" w:eastAsiaTheme="majorEastAsia"/>
          <w:color w:val="auto"/>
          <w:sz w:val="24"/>
          <w:lang w:eastAsia="zh-CN"/>
        </w:rPr>
        <w:t>一</w:t>
      </w:r>
      <w:r>
        <w:rPr>
          <w:rFonts w:hint="eastAsia" w:asciiTheme="majorEastAsia" w:hAnsiTheme="majorEastAsia" w:eastAsiaTheme="majorEastAsia"/>
          <w:color w:val="auto"/>
          <w:sz w:val="24"/>
        </w:rPr>
        <w:t>年</w:t>
      </w:r>
      <w:r>
        <w:rPr>
          <w:rFonts w:hint="eastAsia" w:asciiTheme="majorEastAsia" w:hAnsiTheme="majorEastAsia" w:eastAsiaTheme="majorEastAsia"/>
          <w:color w:val="auto"/>
          <w:sz w:val="24"/>
          <w:lang w:eastAsia="zh-CN"/>
        </w:rPr>
        <w:t>二</w:t>
      </w:r>
      <w:r>
        <w:rPr>
          <w:rFonts w:hint="eastAsia" w:asciiTheme="majorEastAsia" w:hAnsiTheme="majorEastAsia" w:eastAsiaTheme="majorEastAsia"/>
          <w:color w:val="auto"/>
          <w:sz w:val="24"/>
        </w:rPr>
        <w:t>月</w:t>
      </w:r>
      <w:r>
        <w:rPr>
          <w:rFonts w:hint="eastAsia" w:asciiTheme="majorEastAsia" w:hAnsiTheme="majorEastAsia" w:eastAsiaTheme="majorEastAsia"/>
          <w:color w:val="auto"/>
          <w:sz w:val="24"/>
          <w:lang w:eastAsia="zh-CN"/>
        </w:rPr>
        <w:t>十</w:t>
      </w:r>
      <w:r>
        <w:rPr>
          <w:rFonts w:hint="eastAsia" w:asciiTheme="majorEastAsia" w:hAnsiTheme="majorEastAsia" w:eastAsiaTheme="majorEastAsia"/>
          <w:color w:val="auto"/>
          <w:sz w:val="24"/>
        </w:rPr>
        <w:t>日</w:t>
      </w:r>
    </w:p>
    <w:p>
      <w:pPr>
        <w:spacing w:line="400" w:lineRule="exact"/>
        <w:ind w:firstLine="420" w:firstLineChars="175"/>
        <w:rPr>
          <w:rFonts w:hint="eastAsia" w:asciiTheme="majorEastAsia" w:hAnsiTheme="majorEastAsia" w:eastAsiaTheme="majorEastAsia"/>
          <w:color w:val="auto"/>
          <w:sz w:val="24"/>
        </w:rPr>
      </w:pPr>
      <w:r>
        <w:rPr>
          <w:rFonts w:hint="eastAsia" w:asciiTheme="majorEastAsia" w:hAnsiTheme="majorEastAsia" w:eastAsiaTheme="majorEastAsia"/>
          <w:sz w:val="24"/>
        </w:rPr>
        <w:t>六、</w:t>
      </w:r>
      <w:r>
        <w:rPr>
          <w:rFonts w:hint="eastAsia" w:asciiTheme="majorEastAsia" w:hAnsiTheme="majorEastAsia" w:eastAsiaTheme="majorEastAsia"/>
          <w:color w:val="auto"/>
          <w:sz w:val="24"/>
        </w:rPr>
        <w:t>价值类型：根据本次评估目的和委估资产的特点，本次资产评估选取的价值类型为市场价值类型。资产评估中的市场价值是指自愿买方和自愿卖方在各自理性行事且未受任何强迫的情况下，评估对象在评估基准日进行正常公平交易的价值估计数额。</w:t>
      </w:r>
    </w:p>
    <w:p>
      <w:pPr>
        <w:spacing w:line="400" w:lineRule="exact"/>
        <w:ind w:firstLine="420" w:firstLineChars="175"/>
        <w:rPr>
          <w:rFonts w:hint="eastAsia" w:asciiTheme="majorEastAsia" w:hAnsiTheme="majorEastAsia" w:eastAsiaTheme="majorEastAsia"/>
          <w:color w:val="000000"/>
          <w:sz w:val="24"/>
          <w:lang w:eastAsia="zh-CN"/>
        </w:rPr>
      </w:pPr>
      <w:r>
        <w:rPr>
          <w:rFonts w:hint="eastAsia" w:asciiTheme="majorEastAsia" w:hAnsiTheme="majorEastAsia" w:eastAsiaTheme="majorEastAsia"/>
          <w:sz w:val="24"/>
        </w:rPr>
        <w:t>七、评估方法：</w:t>
      </w:r>
      <w:r>
        <w:rPr>
          <w:rFonts w:hint="eastAsia" w:asciiTheme="majorEastAsia" w:hAnsiTheme="majorEastAsia" w:eastAsiaTheme="majorEastAsia"/>
          <w:color w:val="000000"/>
          <w:sz w:val="24"/>
        </w:rPr>
        <w:t>根据本次资产评估目的和委估资产的特点、可获得的评估资料等因素，本次对委估资产</w:t>
      </w:r>
      <w:r>
        <w:rPr>
          <w:rFonts w:hint="eastAsia" w:asciiTheme="majorEastAsia" w:hAnsiTheme="majorEastAsia" w:eastAsiaTheme="majorEastAsia"/>
          <w:color w:val="000000"/>
          <w:sz w:val="24"/>
          <w:lang w:eastAsia="zh-CN"/>
        </w:rPr>
        <w:t>采用的方法为市场法。</w:t>
      </w:r>
    </w:p>
    <w:p>
      <w:pPr>
        <w:spacing w:line="400" w:lineRule="exact"/>
        <w:ind w:firstLine="420" w:firstLineChars="175"/>
        <w:rPr>
          <w:rFonts w:asciiTheme="majorEastAsia" w:hAnsiTheme="majorEastAsia" w:eastAsiaTheme="majorEastAsia"/>
          <w:sz w:val="24"/>
        </w:rPr>
      </w:pPr>
      <w:r>
        <w:rPr>
          <w:rFonts w:hint="eastAsia" w:asciiTheme="majorEastAsia" w:hAnsiTheme="majorEastAsia" w:eastAsiaTheme="majorEastAsia"/>
          <w:sz w:val="24"/>
        </w:rPr>
        <w:t>八、评估结论：</w:t>
      </w:r>
    </w:p>
    <w:p>
      <w:pPr>
        <w:spacing w:line="400" w:lineRule="exact"/>
        <w:ind w:firstLine="480" w:firstLineChars="200"/>
        <w:rPr>
          <w:rFonts w:hint="eastAsia" w:asciiTheme="majorEastAsia" w:hAnsiTheme="majorEastAsia" w:eastAsiaTheme="majorEastAsia"/>
          <w:sz w:val="24"/>
        </w:rPr>
      </w:pPr>
      <w:r>
        <w:rPr>
          <w:rFonts w:hint="eastAsia" w:asciiTheme="majorEastAsia" w:hAnsiTheme="majorEastAsia" w:eastAsiaTheme="majorEastAsia"/>
          <w:sz w:val="24"/>
        </w:rPr>
        <w:t>我们在委托人配合下，对评估对象进行了必要的产权查验和实地勘察，对委托评估的资产所涉及的各项数据实施市场调查和询证，并完成了准则要求的评估程序，在此基础上，我们对</w:t>
      </w:r>
      <w:r>
        <w:rPr>
          <w:rFonts w:hint="eastAsia" w:asciiTheme="majorEastAsia" w:hAnsiTheme="majorEastAsia" w:eastAsiaTheme="majorEastAsia"/>
          <w:sz w:val="24"/>
          <w:lang w:eastAsia="zh-CN"/>
        </w:rPr>
        <w:t>辽源市龙山区人民法院司法辅助办公室</w:t>
      </w:r>
      <w:r>
        <w:rPr>
          <w:rFonts w:hint="eastAsia" w:asciiTheme="majorEastAsia" w:hAnsiTheme="majorEastAsia" w:eastAsiaTheme="majorEastAsia"/>
          <w:sz w:val="24"/>
        </w:rPr>
        <w:t>委托评估的资产在评估基准日</w:t>
      </w:r>
      <w:r>
        <w:rPr>
          <w:rFonts w:hint="eastAsia" w:asciiTheme="majorEastAsia" w:hAnsiTheme="majorEastAsia" w:eastAsiaTheme="majorEastAsia"/>
          <w:color w:val="auto"/>
          <w:sz w:val="24"/>
        </w:rPr>
        <w:t>202</w:t>
      </w:r>
      <w:r>
        <w:rPr>
          <w:rFonts w:hint="eastAsia" w:asciiTheme="majorEastAsia" w:hAnsiTheme="majorEastAsia" w:eastAsiaTheme="majorEastAsia"/>
          <w:color w:val="auto"/>
          <w:sz w:val="24"/>
          <w:lang w:val="en-US" w:eastAsia="zh-CN"/>
        </w:rPr>
        <w:t>1</w:t>
      </w:r>
      <w:r>
        <w:rPr>
          <w:rFonts w:hint="eastAsia" w:asciiTheme="majorEastAsia" w:hAnsiTheme="majorEastAsia" w:eastAsiaTheme="majorEastAsia"/>
          <w:color w:val="auto"/>
          <w:sz w:val="24"/>
        </w:rPr>
        <w:t>年</w:t>
      </w:r>
      <w:r>
        <w:rPr>
          <w:rFonts w:hint="eastAsia" w:asciiTheme="majorEastAsia" w:hAnsiTheme="majorEastAsia" w:eastAsiaTheme="majorEastAsia"/>
          <w:color w:val="auto"/>
          <w:sz w:val="24"/>
          <w:lang w:val="en-US" w:eastAsia="zh-CN"/>
        </w:rPr>
        <w:t>2</w:t>
      </w:r>
      <w:r>
        <w:rPr>
          <w:rFonts w:hint="eastAsia" w:asciiTheme="majorEastAsia" w:hAnsiTheme="majorEastAsia" w:eastAsiaTheme="majorEastAsia"/>
          <w:color w:val="auto"/>
          <w:sz w:val="24"/>
        </w:rPr>
        <w:t>月</w:t>
      </w:r>
      <w:r>
        <w:rPr>
          <w:rFonts w:hint="eastAsia" w:asciiTheme="majorEastAsia" w:hAnsiTheme="majorEastAsia" w:eastAsiaTheme="majorEastAsia"/>
          <w:color w:val="auto"/>
          <w:sz w:val="24"/>
          <w:lang w:val="en-US" w:eastAsia="zh-CN"/>
        </w:rPr>
        <w:t>10</w:t>
      </w:r>
      <w:r>
        <w:rPr>
          <w:rFonts w:hint="eastAsia" w:asciiTheme="majorEastAsia" w:hAnsiTheme="majorEastAsia" w:eastAsiaTheme="majorEastAsia"/>
          <w:color w:val="auto"/>
          <w:sz w:val="24"/>
        </w:rPr>
        <w:t>日</w:t>
      </w:r>
      <w:r>
        <w:rPr>
          <w:rFonts w:hint="eastAsia" w:asciiTheme="majorEastAsia" w:hAnsiTheme="majorEastAsia" w:eastAsiaTheme="majorEastAsia"/>
          <w:sz w:val="24"/>
        </w:rPr>
        <w:t>特定目的下的价值进行分析、估算并发表专业意见。评估值人民币大写：</w:t>
      </w:r>
      <w:r>
        <w:rPr>
          <w:rFonts w:hint="eastAsia" w:asciiTheme="majorEastAsia" w:hAnsiTheme="majorEastAsia" w:eastAsiaTheme="majorEastAsia"/>
          <w:sz w:val="24"/>
          <w:lang w:eastAsia="zh-CN"/>
        </w:rPr>
        <w:t>贰佰贰拾肆万贰仟零肆拾壹元整</w:t>
      </w:r>
      <w:r>
        <w:rPr>
          <w:rFonts w:hint="eastAsia" w:asciiTheme="majorEastAsia" w:hAnsiTheme="majorEastAsia" w:eastAsiaTheme="majorEastAsia"/>
          <w:sz w:val="24"/>
        </w:rPr>
        <w:t xml:space="preserve">。             </w:t>
      </w:r>
    </w:p>
    <w:p>
      <w:pPr>
        <w:spacing w:line="400" w:lineRule="exact"/>
        <w:ind w:firstLine="6720" w:firstLineChars="2800"/>
        <w:rPr>
          <w:rFonts w:asciiTheme="majorEastAsia" w:hAnsiTheme="majorEastAsia" w:eastAsiaTheme="majorEastAsia"/>
          <w:sz w:val="24"/>
        </w:rPr>
      </w:pPr>
      <w:r>
        <w:rPr>
          <w:rFonts w:hint="eastAsia" w:asciiTheme="majorEastAsia" w:hAnsiTheme="majorEastAsia" w:eastAsiaTheme="majorEastAsia"/>
          <w:sz w:val="24"/>
          <w:lang w:val="en-US" w:eastAsia="zh-CN"/>
        </w:rPr>
        <w:t xml:space="preserve">     </w:t>
      </w:r>
      <w:r>
        <w:rPr>
          <w:rFonts w:hint="eastAsia" w:asciiTheme="majorEastAsia" w:hAnsiTheme="majorEastAsia" w:eastAsiaTheme="majorEastAsia"/>
          <w:sz w:val="24"/>
        </w:rPr>
        <w:t xml:space="preserve"> </w:t>
      </w:r>
      <w:r>
        <w:rPr>
          <w:rFonts w:hint="eastAsia" w:asciiTheme="majorEastAsia" w:hAnsiTheme="majorEastAsia" w:eastAsiaTheme="majorEastAsia"/>
          <w:sz w:val="18"/>
          <w:szCs w:val="18"/>
        </w:rPr>
        <w:t>单位：人民币元</w:t>
      </w:r>
    </w:p>
    <w:tbl>
      <w:tblPr>
        <w:tblStyle w:val="12"/>
        <w:tblpPr w:leftFromText="180" w:rightFromText="180" w:vertAnchor="page" w:horzAnchor="page" w:tblpX="1291" w:tblpY="3791"/>
        <w:tblW w:w="10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489"/>
        <w:gridCol w:w="1500"/>
        <w:gridCol w:w="1380"/>
        <w:gridCol w:w="204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750" w:type="dxa"/>
            <w:vAlign w:val="center"/>
          </w:tcPr>
          <w:p>
            <w:pPr>
              <w:spacing w:line="460" w:lineRule="exact"/>
              <w:jc w:val="center"/>
              <w:rPr>
                <w:rFonts w:cs="宋体" w:asciiTheme="majorEastAsia" w:hAnsiTheme="majorEastAsia" w:eastAsiaTheme="majorEastAsia"/>
                <w:b/>
                <w:color w:val="auto"/>
                <w:szCs w:val="21"/>
              </w:rPr>
            </w:pPr>
            <w:r>
              <w:rPr>
                <w:rFonts w:hint="eastAsia" w:cs="宋体" w:asciiTheme="majorEastAsia" w:hAnsiTheme="majorEastAsia" w:eastAsiaTheme="majorEastAsia"/>
                <w:b/>
                <w:color w:val="auto"/>
                <w:szCs w:val="21"/>
              </w:rPr>
              <w:t>序 号</w:t>
            </w:r>
          </w:p>
        </w:tc>
        <w:tc>
          <w:tcPr>
            <w:tcW w:w="2489" w:type="dxa"/>
            <w:vAlign w:val="center"/>
          </w:tcPr>
          <w:p>
            <w:pPr>
              <w:spacing w:line="460" w:lineRule="exact"/>
              <w:jc w:val="center"/>
              <w:rPr>
                <w:rFonts w:cs="宋体" w:asciiTheme="majorEastAsia" w:hAnsiTheme="majorEastAsia" w:eastAsiaTheme="majorEastAsia"/>
                <w:b/>
                <w:color w:val="auto"/>
                <w:szCs w:val="21"/>
              </w:rPr>
            </w:pPr>
            <w:r>
              <w:rPr>
                <w:rFonts w:hint="eastAsia" w:cs="宋体" w:asciiTheme="majorEastAsia" w:hAnsiTheme="majorEastAsia" w:eastAsiaTheme="majorEastAsia"/>
                <w:b/>
                <w:color w:val="auto"/>
                <w:szCs w:val="21"/>
              </w:rPr>
              <w:t>项      目</w:t>
            </w:r>
          </w:p>
        </w:tc>
        <w:tc>
          <w:tcPr>
            <w:tcW w:w="1500" w:type="dxa"/>
            <w:vAlign w:val="center"/>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用</w:t>
            </w:r>
            <w:r>
              <w:rPr>
                <w:rFonts w:hint="eastAsia" w:cs="宋体" w:asciiTheme="majorEastAsia" w:hAnsiTheme="majorEastAsia" w:eastAsiaTheme="majorEastAsia"/>
                <w:b/>
                <w:color w:val="auto"/>
                <w:szCs w:val="21"/>
                <w:lang w:val="en-US" w:eastAsia="zh-CN"/>
              </w:rPr>
              <w:t xml:space="preserve"> </w:t>
            </w:r>
            <w:r>
              <w:rPr>
                <w:rFonts w:hint="eastAsia" w:cs="宋体" w:asciiTheme="majorEastAsia" w:hAnsiTheme="majorEastAsia" w:eastAsiaTheme="majorEastAsia"/>
                <w:b/>
                <w:color w:val="auto"/>
                <w:szCs w:val="21"/>
                <w:lang w:eastAsia="zh-CN"/>
              </w:rPr>
              <w:t>途</w:t>
            </w:r>
          </w:p>
        </w:tc>
        <w:tc>
          <w:tcPr>
            <w:tcW w:w="1380" w:type="dxa"/>
            <w:vAlign w:val="center"/>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面积（㎡）</w:t>
            </w:r>
          </w:p>
        </w:tc>
        <w:tc>
          <w:tcPr>
            <w:tcW w:w="2040" w:type="dxa"/>
            <w:vAlign w:val="center"/>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单价（元/㎡）</w:t>
            </w:r>
          </w:p>
        </w:tc>
        <w:tc>
          <w:tcPr>
            <w:tcW w:w="1890" w:type="dxa"/>
            <w:vAlign w:val="center"/>
          </w:tcPr>
          <w:p>
            <w:pPr>
              <w:spacing w:line="460" w:lineRule="exact"/>
              <w:jc w:val="center"/>
              <w:rPr>
                <w:rFonts w:hint="eastAsia" w:cs="宋体" w:asciiTheme="majorEastAsia" w:hAnsiTheme="majorEastAsia" w:eastAsiaTheme="majorEastAsia"/>
                <w:b/>
                <w:color w:val="auto"/>
                <w:szCs w:val="21"/>
              </w:rPr>
            </w:pPr>
            <w:r>
              <w:rPr>
                <w:rFonts w:hint="eastAsia" w:cs="宋体" w:asciiTheme="majorEastAsia" w:hAnsiTheme="majorEastAsia" w:eastAsiaTheme="majorEastAsia"/>
                <w:b/>
                <w:color w:val="auto"/>
                <w:szCs w:val="21"/>
              </w:rPr>
              <w:t>评估价值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50" w:type="dxa"/>
            <w:vAlign w:val="center"/>
          </w:tcPr>
          <w:p>
            <w:pPr>
              <w:spacing w:line="460" w:lineRule="exact"/>
              <w:jc w:val="center"/>
              <w:rPr>
                <w:rFonts w:cs="宋体" w:asciiTheme="majorEastAsia" w:hAnsiTheme="majorEastAsia" w:eastAsiaTheme="majorEastAsia"/>
                <w:b/>
                <w:color w:val="auto"/>
                <w:szCs w:val="21"/>
              </w:rPr>
            </w:pPr>
            <w:r>
              <w:rPr>
                <w:rFonts w:hint="eastAsia" w:cs="宋体" w:asciiTheme="majorEastAsia" w:hAnsiTheme="majorEastAsia" w:eastAsiaTheme="majorEastAsia"/>
                <w:b/>
                <w:color w:val="auto"/>
                <w:szCs w:val="21"/>
              </w:rPr>
              <w:t>1</w:t>
            </w:r>
          </w:p>
        </w:tc>
        <w:tc>
          <w:tcPr>
            <w:tcW w:w="2489" w:type="dxa"/>
            <w:vAlign w:val="center"/>
          </w:tcPr>
          <w:p>
            <w:pPr>
              <w:spacing w:line="460" w:lineRule="exact"/>
              <w:jc w:val="center"/>
              <w:rPr>
                <w:rFonts w:hint="eastAsia" w:cs="宋体" w:asciiTheme="majorEastAsia" w:hAnsiTheme="majorEastAsia" w:eastAsiaTheme="majorEastAsia"/>
                <w:b/>
                <w:color w:val="auto"/>
                <w:szCs w:val="21"/>
                <w:lang w:eastAsia="zh-CN"/>
              </w:rPr>
            </w:pPr>
            <w:r>
              <w:rPr>
                <w:rFonts w:hint="eastAsia" w:asciiTheme="majorEastAsia" w:hAnsiTheme="majorEastAsia" w:eastAsiaTheme="majorEastAsia"/>
                <w:b/>
                <w:bCs/>
                <w:color w:val="auto"/>
                <w:sz w:val="21"/>
                <w:szCs w:val="21"/>
                <w:lang w:eastAsia="zh-CN"/>
              </w:rPr>
              <w:t>钻石名城8号楼-108室</w:t>
            </w:r>
          </w:p>
        </w:tc>
        <w:tc>
          <w:tcPr>
            <w:tcW w:w="1500" w:type="dxa"/>
            <w:vAlign w:val="center"/>
          </w:tcPr>
          <w:p>
            <w:pPr>
              <w:jc w:val="center"/>
              <w:rPr>
                <w:rFonts w:hint="eastAsia" w:ascii="宋体" w:hAnsi="宋体" w:cs="Times New Roman"/>
                <w:b/>
                <w:bCs/>
                <w:kern w:val="2"/>
                <w:sz w:val="21"/>
                <w:szCs w:val="21"/>
                <w:lang w:val="en-US" w:eastAsia="zh-CN" w:bidi="ar-SA"/>
              </w:rPr>
            </w:pPr>
            <w:r>
              <w:rPr>
                <w:rFonts w:hint="eastAsia" w:ascii="宋体" w:hAnsi="宋体" w:cs="Times New Roman"/>
                <w:b/>
                <w:bCs/>
                <w:kern w:val="2"/>
                <w:sz w:val="21"/>
                <w:szCs w:val="21"/>
                <w:lang w:val="en-US" w:eastAsia="zh-CN" w:bidi="ar-SA"/>
              </w:rPr>
              <w:t>商 业</w:t>
            </w:r>
          </w:p>
        </w:tc>
        <w:tc>
          <w:tcPr>
            <w:tcW w:w="1380" w:type="dxa"/>
            <w:vAlign w:val="center"/>
          </w:tcPr>
          <w:p>
            <w:pPr>
              <w:jc w:val="center"/>
              <w:rPr>
                <w:rFonts w:hint="default" w:ascii="宋体" w:hAnsi="宋体" w:eastAsia="宋体" w:cs="Times New Roman"/>
                <w:b/>
                <w:bCs/>
                <w:kern w:val="2"/>
                <w:sz w:val="21"/>
                <w:szCs w:val="21"/>
                <w:lang w:val="en-US" w:eastAsia="zh-CN" w:bidi="ar-SA"/>
              </w:rPr>
            </w:pPr>
            <w:r>
              <w:rPr>
                <w:rFonts w:hint="eastAsia" w:ascii="宋体" w:hAnsi="宋体" w:cs="Times New Roman"/>
                <w:b/>
                <w:bCs/>
                <w:kern w:val="2"/>
                <w:sz w:val="21"/>
                <w:szCs w:val="21"/>
                <w:lang w:val="en-US" w:eastAsia="zh-CN" w:bidi="ar-SA"/>
              </w:rPr>
              <w:t>120.63</w:t>
            </w:r>
          </w:p>
        </w:tc>
        <w:tc>
          <w:tcPr>
            <w:tcW w:w="2040" w:type="dxa"/>
            <w:vAlign w:val="center"/>
          </w:tcPr>
          <w:p>
            <w:pPr>
              <w:jc w:val="center"/>
              <w:rPr>
                <w:rFonts w:hint="default" w:ascii="宋体" w:hAnsi="宋体" w:eastAsia="宋体" w:cs="Times New Roman"/>
                <w:b/>
                <w:bCs/>
                <w:kern w:val="2"/>
                <w:sz w:val="21"/>
                <w:szCs w:val="21"/>
                <w:lang w:val="en-US" w:eastAsia="zh-CN" w:bidi="ar-SA"/>
              </w:rPr>
            </w:pPr>
            <w:r>
              <w:rPr>
                <w:rFonts w:hint="eastAsia" w:ascii="宋体" w:hAnsi="宋体" w:cs="Times New Roman"/>
                <w:b/>
                <w:bCs/>
                <w:kern w:val="2"/>
                <w:sz w:val="21"/>
                <w:szCs w:val="21"/>
                <w:lang w:val="en-US" w:eastAsia="zh-CN" w:bidi="ar-SA"/>
              </w:rPr>
              <w:t>14,200.00</w:t>
            </w:r>
          </w:p>
        </w:tc>
        <w:tc>
          <w:tcPr>
            <w:tcW w:w="1890" w:type="dxa"/>
            <w:vAlign w:val="center"/>
          </w:tcPr>
          <w:p>
            <w:pPr>
              <w:jc w:val="center"/>
              <w:rPr>
                <w:rFonts w:hint="default" w:ascii="宋体" w:hAnsi="宋体" w:eastAsia="宋体" w:cs="Times New Roman"/>
                <w:b/>
                <w:bCs/>
                <w:kern w:val="2"/>
                <w:sz w:val="21"/>
                <w:szCs w:val="21"/>
                <w:lang w:val="en-US" w:eastAsia="zh-CN" w:bidi="ar-SA"/>
              </w:rPr>
            </w:pPr>
            <w:r>
              <w:rPr>
                <w:rFonts w:hint="eastAsia" w:ascii="宋体" w:hAnsi="宋体" w:cs="Times New Roman"/>
                <w:b/>
                <w:bCs/>
                <w:kern w:val="2"/>
                <w:sz w:val="21"/>
                <w:szCs w:val="21"/>
                <w:lang w:val="en-US" w:eastAsia="zh-CN" w:bidi="ar-SA"/>
              </w:rPr>
              <w:t>1,712,946.00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50" w:type="dxa"/>
            <w:vAlign w:val="center"/>
          </w:tcPr>
          <w:p>
            <w:pPr>
              <w:spacing w:line="460" w:lineRule="exact"/>
              <w:jc w:val="center"/>
              <w:rPr>
                <w:rFonts w:hint="eastAsia"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2</w:t>
            </w:r>
          </w:p>
        </w:tc>
        <w:tc>
          <w:tcPr>
            <w:tcW w:w="2489" w:type="dxa"/>
            <w:vAlign w:val="center"/>
          </w:tcPr>
          <w:p>
            <w:pPr>
              <w:spacing w:line="460" w:lineRule="exact"/>
              <w:jc w:val="center"/>
              <w:rPr>
                <w:rFonts w:hint="eastAsia" w:asciiTheme="majorEastAsia" w:hAnsiTheme="majorEastAsia" w:eastAsiaTheme="majorEastAsia"/>
                <w:b/>
                <w:bCs/>
                <w:color w:val="auto"/>
                <w:sz w:val="21"/>
                <w:szCs w:val="21"/>
                <w:lang w:eastAsia="zh-CN"/>
              </w:rPr>
            </w:pPr>
            <w:r>
              <w:rPr>
                <w:rFonts w:hint="eastAsia" w:asciiTheme="majorEastAsia" w:hAnsiTheme="majorEastAsia" w:eastAsiaTheme="majorEastAsia"/>
                <w:b/>
                <w:bCs/>
                <w:color w:val="auto"/>
                <w:sz w:val="21"/>
                <w:szCs w:val="21"/>
                <w:lang w:eastAsia="zh-CN"/>
              </w:rPr>
              <w:t>东方新城BDE座-2441室</w:t>
            </w:r>
          </w:p>
        </w:tc>
        <w:tc>
          <w:tcPr>
            <w:tcW w:w="1500" w:type="dxa"/>
            <w:vAlign w:val="center"/>
          </w:tcPr>
          <w:p>
            <w:pPr>
              <w:jc w:val="center"/>
              <w:rPr>
                <w:rFonts w:hint="eastAsia" w:ascii="宋体" w:hAnsi="宋体" w:cs="Times New Roman"/>
                <w:b/>
                <w:bCs/>
                <w:kern w:val="2"/>
                <w:sz w:val="21"/>
                <w:szCs w:val="21"/>
                <w:lang w:val="en-US" w:eastAsia="zh-CN" w:bidi="ar-SA"/>
              </w:rPr>
            </w:pPr>
            <w:r>
              <w:rPr>
                <w:rFonts w:hint="eastAsia" w:ascii="宋体" w:hAnsi="宋体" w:cs="Times New Roman"/>
                <w:b/>
                <w:bCs/>
                <w:kern w:val="2"/>
                <w:sz w:val="21"/>
                <w:szCs w:val="21"/>
                <w:lang w:val="en-US" w:eastAsia="zh-CN" w:bidi="ar-SA"/>
              </w:rPr>
              <w:t>住 宅</w:t>
            </w:r>
          </w:p>
        </w:tc>
        <w:tc>
          <w:tcPr>
            <w:tcW w:w="1380" w:type="dxa"/>
            <w:vAlign w:val="center"/>
          </w:tcPr>
          <w:p>
            <w:pPr>
              <w:jc w:val="center"/>
              <w:rPr>
                <w:rFonts w:hint="default" w:ascii="宋体" w:hAnsi="宋体" w:cs="Times New Roman"/>
                <w:b/>
                <w:bCs/>
                <w:kern w:val="2"/>
                <w:sz w:val="21"/>
                <w:szCs w:val="21"/>
                <w:lang w:val="en-US" w:eastAsia="zh-CN" w:bidi="ar-SA"/>
              </w:rPr>
            </w:pPr>
            <w:r>
              <w:rPr>
                <w:rFonts w:hint="eastAsia" w:ascii="宋体" w:hAnsi="宋体" w:cs="Times New Roman"/>
                <w:b/>
                <w:bCs/>
                <w:kern w:val="2"/>
                <w:sz w:val="21"/>
                <w:szCs w:val="21"/>
                <w:lang w:val="en-US" w:eastAsia="zh-CN" w:bidi="ar-SA"/>
              </w:rPr>
              <w:t>100.78</w:t>
            </w:r>
          </w:p>
        </w:tc>
        <w:tc>
          <w:tcPr>
            <w:tcW w:w="2040" w:type="dxa"/>
            <w:vAlign w:val="center"/>
          </w:tcPr>
          <w:p>
            <w:pPr>
              <w:jc w:val="center"/>
              <w:rPr>
                <w:rFonts w:hint="default" w:ascii="宋体" w:hAnsi="宋体"/>
                <w:b/>
                <w:bCs/>
                <w:sz w:val="21"/>
                <w:szCs w:val="21"/>
                <w:lang w:val="en-US" w:eastAsia="zh-CN"/>
              </w:rPr>
            </w:pPr>
            <w:r>
              <w:rPr>
                <w:rFonts w:hint="eastAsia" w:ascii="宋体" w:hAnsi="宋体"/>
                <w:b/>
                <w:bCs/>
                <w:sz w:val="21"/>
                <w:szCs w:val="21"/>
                <w:lang w:val="en-US" w:eastAsia="zh-CN"/>
              </w:rPr>
              <w:t>5,250.00</w:t>
            </w:r>
          </w:p>
        </w:tc>
        <w:tc>
          <w:tcPr>
            <w:tcW w:w="1890" w:type="dxa"/>
            <w:vAlign w:val="center"/>
          </w:tcPr>
          <w:p>
            <w:pPr>
              <w:jc w:val="center"/>
              <w:rPr>
                <w:rFonts w:hint="default" w:ascii="宋体" w:hAnsi="宋体"/>
                <w:b/>
                <w:bCs/>
                <w:sz w:val="21"/>
                <w:szCs w:val="21"/>
                <w:lang w:val="en-US" w:eastAsia="zh-CN"/>
              </w:rPr>
            </w:pPr>
            <w:r>
              <w:rPr>
                <w:rFonts w:hint="eastAsia" w:ascii="宋体" w:hAnsi="宋体"/>
                <w:b/>
                <w:bCs/>
                <w:sz w:val="21"/>
                <w:szCs w:val="21"/>
                <w:lang w:val="en-US" w:eastAsia="zh-CN"/>
              </w:rPr>
              <w:t>529,095.00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239" w:type="dxa"/>
            <w:gridSpan w:val="2"/>
            <w:vAlign w:val="center"/>
          </w:tcPr>
          <w:p>
            <w:pPr>
              <w:spacing w:line="460" w:lineRule="exact"/>
              <w:jc w:val="center"/>
              <w:rPr>
                <w:rFonts w:cs="宋体" w:asciiTheme="majorEastAsia" w:hAnsiTheme="majorEastAsia" w:eastAsiaTheme="majorEastAsia"/>
                <w:b/>
                <w:color w:val="auto"/>
                <w:szCs w:val="21"/>
              </w:rPr>
            </w:pPr>
            <w:r>
              <w:rPr>
                <w:rFonts w:hint="eastAsia" w:cs="宋体" w:asciiTheme="majorEastAsia" w:hAnsiTheme="majorEastAsia" w:eastAsiaTheme="majorEastAsia"/>
                <w:b/>
                <w:color w:val="auto"/>
                <w:szCs w:val="21"/>
              </w:rPr>
              <w:t>合      计</w:t>
            </w:r>
          </w:p>
        </w:tc>
        <w:tc>
          <w:tcPr>
            <w:tcW w:w="1500" w:type="dxa"/>
            <w:vAlign w:val="center"/>
          </w:tcPr>
          <w:p>
            <w:pPr>
              <w:spacing w:line="460" w:lineRule="exact"/>
              <w:jc w:val="center"/>
              <w:rPr>
                <w:rFonts w:hint="eastAsia" w:cs="宋体" w:asciiTheme="majorEastAsia" w:hAnsiTheme="majorEastAsia" w:eastAsiaTheme="majorEastAsia"/>
                <w:b/>
                <w:color w:val="auto"/>
                <w:szCs w:val="21"/>
                <w:lang w:val="en-US" w:eastAsia="zh-CN"/>
              </w:rPr>
            </w:pPr>
          </w:p>
        </w:tc>
        <w:tc>
          <w:tcPr>
            <w:tcW w:w="1380"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221.41</w:t>
            </w:r>
          </w:p>
        </w:tc>
        <w:tc>
          <w:tcPr>
            <w:tcW w:w="2040" w:type="dxa"/>
            <w:vAlign w:val="center"/>
          </w:tcPr>
          <w:p>
            <w:pPr>
              <w:spacing w:line="460" w:lineRule="exact"/>
              <w:jc w:val="center"/>
              <w:rPr>
                <w:rFonts w:cs="宋体" w:asciiTheme="majorEastAsia" w:hAnsiTheme="majorEastAsia" w:eastAsiaTheme="majorEastAsia"/>
                <w:b/>
                <w:color w:val="auto"/>
                <w:szCs w:val="21"/>
              </w:rPr>
            </w:pPr>
          </w:p>
        </w:tc>
        <w:tc>
          <w:tcPr>
            <w:tcW w:w="1890"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2,242,041.00</w:t>
            </w:r>
          </w:p>
        </w:tc>
      </w:tr>
    </w:tbl>
    <w:p>
      <w:pPr>
        <w:spacing w:line="400" w:lineRule="exact"/>
        <w:ind w:firstLine="360" w:firstLineChars="150"/>
        <w:rPr>
          <w:rFonts w:asciiTheme="majorEastAsia" w:hAnsiTheme="majorEastAsia" w:eastAsiaTheme="majorEastAsia"/>
          <w:sz w:val="24"/>
        </w:rPr>
      </w:pPr>
      <w:r>
        <w:rPr>
          <w:rFonts w:hint="eastAsia" w:asciiTheme="majorEastAsia" w:hAnsiTheme="majorEastAsia" w:eastAsiaTheme="majorEastAsia"/>
          <w:sz w:val="24"/>
        </w:rPr>
        <w:t>九、特殊事项说明：</w:t>
      </w:r>
    </w:p>
    <w:p>
      <w:pPr>
        <w:spacing w:line="460" w:lineRule="exact"/>
        <w:ind w:firstLine="456" w:firstLineChars="200"/>
        <w:rPr>
          <w:rFonts w:asciiTheme="majorEastAsia" w:hAnsiTheme="majorEastAsia" w:eastAsiaTheme="majorEastAsia"/>
          <w:color w:val="FF0000"/>
          <w:spacing w:val="-6"/>
          <w:sz w:val="24"/>
        </w:rPr>
      </w:pPr>
      <w:r>
        <w:rPr>
          <w:rFonts w:hint="eastAsia" w:asciiTheme="majorEastAsia" w:hAnsiTheme="majorEastAsia" w:eastAsiaTheme="majorEastAsia"/>
          <w:color w:val="auto"/>
          <w:spacing w:val="-6"/>
          <w:sz w:val="24"/>
        </w:rPr>
        <w:t>1.本报告中，我们的责任是对评估对象在评估基准日的市场价格进行估算并发表专业意见，对评估对象的法律权属不发表意见，也不作确认或保证。本报告所依据的权属及委托人和产权持有人提供的其它相关资料的真实性、完整性和合法性由委托人和产权持有人负责。如有因产权问题引起纠纷，与评估机构和资产评估师无关。</w:t>
      </w:r>
    </w:p>
    <w:p>
      <w:pPr>
        <w:spacing w:line="460" w:lineRule="exact"/>
        <w:ind w:firstLine="480" w:firstLineChars="200"/>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lang w:val="en-US" w:eastAsia="zh-CN"/>
        </w:rPr>
        <w:t>2</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eastAsia="zh-CN"/>
        </w:rPr>
        <w:t>本次评估已进行现场勘查，现场勘查过程中申请人与被申请人到达现场，并在现场勘查记录上签字确认，但在勘察位于钻石名城8号楼108室时，未能进入该营业用房房屋内，只在室外进行现场勘察。</w:t>
      </w:r>
    </w:p>
    <w:p>
      <w:pPr>
        <w:spacing w:line="460" w:lineRule="exact"/>
        <w:ind w:firstLine="456" w:firstLineChars="200"/>
        <w:rPr>
          <w:rFonts w:hint="eastAsia" w:asciiTheme="majorEastAsia" w:hAnsiTheme="majorEastAsia" w:eastAsiaTheme="majorEastAsia"/>
          <w:color w:val="auto"/>
          <w:sz w:val="24"/>
          <w:szCs w:val="24"/>
          <w:highlight w:val="none"/>
          <w:lang w:eastAsia="zh-CN"/>
        </w:rPr>
      </w:pPr>
      <w:r>
        <w:rPr>
          <w:rFonts w:hint="eastAsia" w:asciiTheme="majorEastAsia" w:hAnsiTheme="majorEastAsia" w:eastAsiaTheme="majorEastAsia"/>
          <w:color w:val="auto"/>
          <w:spacing w:val="-6"/>
          <w:sz w:val="24"/>
          <w:highlight w:val="none"/>
          <w:lang w:val="en-US" w:eastAsia="zh-CN"/>
        </w:rPr>
        <w:t>3.</w:t>
      </w:r>
      <w:r>
        <w:rPr>
          <w:rFonts w:hint="eastAsia" w:asciiTheme="majorEastAsia" w:hAnsiTheme="majorEastAsia" w:eastAsiaTheme="majorEastAsia"/>
          <w:color w:val="auto"/>
          <w:spacing w:val="-6"/>
          <w:sz w:val="24"/>
          <w:highlight w:val="none"/>
          <w:lang w:eastAsia="zh-CN"/>
        </w:rPr>
        <w:t>本次司法执行财产处置评估业务中，在评定估算形成评估结论的过程中不考虑评估费、拍卖费、诉讼费、律师费以及交易税费等财产处置费用对评估结论的影响。</w:t>
      </w:r>
    </w:p>
    <w:p>
      <w:pPr>
        <w:spacing w:line="460" w:lineRule="exact"/>
        <w:ind w:firstLine="480" w:firstLineChars="200"/>
        <w:rPr>
          <w:rFonts w:hint="eastAsia" w:asciiTheme="majorEastAsia" w:hAnsiTheme="majorEastAsia" w:eastAsiaTheme="majorEastAsia"/>
          <w:color w:val="auto"/>
          <w:sz w:val="24"/>
        </w:rPr>
      </w:pPr>
      <w:r>
        <w:rPr>
          <w:rFonts w:hint="eastAsia" w:asciiTheme="majorEastAsia" w:hAnsiTheme="majorEastAsia" w:eastAsiaTheme="majorEastAsia"/>
          <w:color w:val="auto"/>
          <w:sz w:val="24"/>
          <w:lang w:val="en-US" w:eastAsia="zh-CN"/>
        </w:rPr>
        <w:t>4.</w:t>
      </w:r>
      <w:r>
        <w:rPr>
          <w:rFonts w:hint="eastAsia" w:asciiTheme="majorEastAsia" w:hAnsiTheme="majorEastAsia" w:eastAsiaTheme="majorEastAsia"/>
          <w:color w:val="auto"/>
          <w:sz w:val="24"/>
          <w:lang w:eastAsia="zh-CN"/>
        </w:rPr>
        <w:t>本次委托评估的标的物均已抵押，但本报告评估结论不考虑评估对象抵押、查封、租赁等因素对价值的影响</w:t>
      </w:r>
      <w:r>
        <w:rPr>
          <w:rFonts w:hint="eastAsia" w:asciiTheme="majorEastAsia" w:hAnsiTheme="majorEastAsia" w:eastAsiaTheme="majorEastAsia"/>
          <w:color w:val="auto"/>
          <w:sz w:val="24"/>
        </w:rPr>
        <w:t>。</w:t>
      </w:r>
    </w:p>
    <w:p>
      <w:pPr>
        <w:spacing w:line="4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lang w:val="en-US" w:eastAsia="zh-CN"/>
        </w:rPr>
        <w:t>5</w:t>
      </w:r>
      <w:r>
        <w:rPr>
          <w:rFonts w:hint="eastAsia" w:asciiTheme="majorEastAsia" w:hAnsiTheme="majorEastAsia" w:eastAsiaTheme="majorEastAsia"/>
          <w:color w:val="auto"/>
          <w:sz w:val="24"/>
        </w:rPr>
        <w:t>.本次估价对象权属依据为委托人提供的</w:t>
      </w:r>
      <w:r>
        <w:rPr>
          <w:rFonts w:hint="eastAsia" w:asciiTheme="majorEastAsia" w:hAnsiTheme="majorEastAsia" w:eastAsiaTheme="majorEastAsia"/>
          <w:color w:val="auto"/>
          <w:sz w:val="24"/>
          <w:lang w:eastAsia="zh-CN"/>
        </w:rPr>
        <w:t>辽源市龙山区人民法院司法辅助办公室《司法</w:t>
      </w:r>
      <w:r>
        <w:rPr>
          <w:rFonts w:hint="eastAsia" w:asciiTheme="majorEastAsia" w:hAnsiTheme="majorEastAsia" w:eastAsiaTheme="majorEastAsia"/>
          <w:color w:val="auto"/>
          <w:sz w:val="24"/>
        </w:rPr>
        <w:t>鉴定委托书</w:t>
      </w:r>
      <w:r>
        <w:rPr>
          <w:rFonts w:hint="eastAsia" w:asciiTheme="majorEastAsia" w:hAnsiTheme="majorEastAsia" w:eastAsiaTheme="majorEastAsia"/>
          <w:color w:val="auto"/>
          <w:sz w:val="24"/>
          <w:lang w:eastAsia="zh-CN"/>
        </w:rPr>
        <w:t>》（（</w:t>
      </w:r>
      <w:r>
        <w:rPr>
          <w:rFonts w:hint="eastAsia" w:asciiTheme="majorEastAsia" w:hAnsiTheme="majorEastAsia" w:eastAsiaTheme="majorEastAsia"/>
          <w:color w:val="auto"/>
          <w:sz w:val="24"/>
          <w:lang w:val="en-US" w:eastAsia="zh-CN"/>
        </w:rPr>
        <w:t>2021</w:t>
      </w:r>
      <w:r>
        <w:rPr>
          <w:rFonts w:hint="eastAsia" w:asciiTheme="majorEastAsia" w:hAnsiTheme="majorEastAsia" w:eastAsiaTheme="majorEastAsia"/>
          <w:color w:val="auto"/>
          <w:sz w:val="24"/>
          <w:lang w:eastAsia="zh-CN"/>
        </w:rPr>
        <w:t>）吉</w:t>
      </w:r>
      <w:r>
        <w:rPr>
          <w:rFonts w:hint="eastAsia" w:asciiTheme="majorEastAsia" w:hAnsiTheme="majorEastAsia" w:eastAsiaTheme="majorEastAsia"/>
          <w:color w:val="auto"/>
          <w:sz w:val="24"/>
          <w:lang w:val="en-US" w:eastAsia="zh-CN"/>
        </w:rPr>
        <w:t>0402委评15号</w:t>
      </w:r>
      <w:r>
        <w:rPr>
          <w:rFonts w:hint="eastAsia" w:asciiTheme="majorEastAsia" w:hAnsiTheme="majorEastAsia" w:eastAsiaTheme="majorEastAsia"/>
          <w:color w:val="auto"/>
          <w:sz w:val="24"/>
          <w:lang w:eastAsia="zh-CN"/>
        </w:rPr>
        <w:t>）、《不动产登记证明》、《辽源市龙山区人民法院对外委托案件移送表》</w:t>
      </w:r>
      <w:r>
        <w:rPr>
          <w:rFonts w:hint="eastAsia" w:asciiTheme="majorEastAsia" w:hAnsiTheme="majorEastAsia" w:eastAsiaTheme="majorEastAsia"/>
          <w:color w:val="auto"/>
          <w:sz w:val="24"/>
        </w:rPr>
        <w:t>。如有疑义，请重新委托评估。</w:t>
      </w:r>
    </w:p>
    <w:p>
      <w:pPr>
        <w:spacing w:line="460" w:lineRule="exact"/>
        <w:ind w:firstLine="420" w:firstLineChars="175"/>
        <w:rPr>
          <w:rFonts w:asciiTheme="majorEastAsia" w:hAnsiTheme="majorEastAsia" w:eastAsiaTheme="majorEastAsia"/>
          <w:color w:val="auto"/>
          <w:sz w:val="24"/>
        </w:rPr>
      </w:pPr>
      <w:r>
        <w:rPr>
          <w:rFonts w:hint="eastAsia" w:asciiTheme="majorEastAsia" w:hAnsiTheme="majorEastAsia" w:eastAsiaTheme="majorEastAsia"/>
          <w:color w:val="auto"/>
          <w:sz w:val="24"/>
        </w:rPr>
        <w:t>十、评估结论使用有效期</w:t>
      </w:r>
    </w:p>
    <w:p>
      <w:pPr>
        <w:spacing w:line="460" w:lineRule="exact"/>
        <w:ind w:firstLine="420" w:firstLineChars="175"/>
        <w:rPr>
          <w:rFonts w:asciiTheme="majorEastAsia" w:hAnsiTheme="majorEastAsia" w:eastAsiaTheme="majorEastAsia"/>
          <w:color w:val="auto"/>
          <w:sz w:val="24"/>
        </w:rPr>
      </w:pPr>
      <w:r>
        <w:rPr>
          <w:rFonts w:hint="eastAsia" w:asciiTheme="majorEastAsia" w:hAnsiTheme="majorEastAsia" w:eastAsiaTheme="majorEastAsia"/>
          <w:color w:val="auto"/>
          <w:sz w:val="24"/>
        </w:rPr>
        <w:t>评估结论仅在评估报告载明的评估基准日成立，并为评估报告中所描述的经济行为提供价值参考意见。评估报告的使用期自评估基准日起一年内有效，即二〇二</w:t>
      </w:r>
      <w:r>
        <w:rPr>
          <w:rFonts w:hint="eastAsia" w:asciiTheme="majorEastAsia" w:hAnsiTheme="majorEastAsia" w:eastAsiaTheme="majorEastAsia"/>
          <w:color w:val="auto"/>
          <w:sz w:val="24"/>
          <w:lang w:eastAsia="zh-CN"/>
        </w:rPr>
        <w:t>一</w:t>
      </w:r>
      <w:r>
        <w:rPr>
          <w:rFonts w:hint="eastAsia" w:asciiTheme="majorEastAsia" w:hAnsiTheme="majorEastAsia" w:eastAsiaTheme="majorEastAsia"/>
          <w:color w:val="auto"/>
          <w:sz w:val="24"/>
        </w:rPr>
        <w:t>年</w:t>
      </w:r>
      <w:r>
        <w:rPr>
          <w:rFonts w:hint="eastAsia" w:asciiTheme="majorEastAsia" w:hAnsiTheme="majorEastAsia" w:eastAsiaTheme="majorEastAsia"/>
          <w:color w:val="auto"/>
          <w:sz w:val="24"/>
          <w:lang w:eastAsia="zh-CN"/>
        </w:rPr>
        <w:t>二</w:t>
      </w:r>
      <w:r>
        <w:rPr>
          <w:rFonts w:hint="eastAsia" w:asciiTheme="majorEastAsia" w:hAnsiTheme="majorEastAsia" w:eastAsiaTheme="majorEastAsia"/>
          <w:color w:val="auto"/>
          <w:sz w:val="24"/>
        </w:rPr>
        <w:t>月</w:t>
      </w:r>
      <w:r>
        <w:rPr>
          <w:rFonts w:hint="eastAsia" w:asciiTheme="majorEastAsia" w:hAnsiTheme="majorEastAsia" w:eastAsiaTheme="majorEastAsia"/>
          <w:color w:val="auto"/>
          <w:sz w:val="24"/>
          <w:lang w:eastAsia="zh-CN"/>
        </w:rPr>
        <w:t>十</w:t>
      </w:r>
      <w:r>
        <w:rPr>
          <w:rFonts w:hint="eastAsia" w:asciiTheme="majorEastAsia" w:hAnsiTheme="majorEastAsia" w:eastAsiaTheme="majorEastAsia"/>
          <w:color w:val="auto"/>
          <w:sz w:val="24"/>
        </w:rPr>
        <w:t>日至二〇二</w:t>
      </w:r>
      <w:r>
        <w:rPr>
          <w:rFonts w:hint="eastAsia" w:asciiTheme="majorEastAsia" w:hAnsiTheme="majorEastAsia" w:eastAsiaTheme="majorEastAsia"/>
          <w:color w:val="auto"/>
          <w:sz w:val="24"/>
          <w:lang w:eastAsia="zh-CN"/>
        </w:rPr>
        <w:t>二</w:t>
      </w:r>
      <w:r>
        <w:rPr>
          <w:rFonts w:hint="eastAsia" w:asciiTheme="majorEastAsia" w:hAnsiTheme="majorEastAsia" w:eastAsiaTheme="majorEastAsia"/>
          <w:color w:val="auto"/>
          <w:sz w:val="24"/>
        </w:rPr>
        <w:t>年</w:t>
      </w:r>
      <w:r>
        <w:rPr>
          <w:rFonts w:hint="eastAsia" w:asciiTheme="majorEastAsia" w:hAnsiTheme="majorEastAsia" w:eastAsiaTheme="majorEastAsia"/>
          <w:color w:val="auto"/>
          <w:sz w:val="24"/>
          <w:lang w:eastAsia="zh-CN"/>
        </w:rPr>
        <w:t>二</w:t>
      </w:r>
      <w:r>
        <w:rPr>
          <w:rFonts w:hint="eastAsia" w:asciiTheme="majorEastAsia" w:hAnsiTheme="majorEastAsia" w:eastAsiaTheme="majorEastAsia"/>
          <w:color w:val="auto"/>
          <w:sz w:val="24"/>
        </w:rPr>
        <w:t>月</w:t>
      </w:r>
      <w:r>
        <w:rPr>
          <w:rFonts w:hint="eastAsia" w:asciiTheme="majorEastAsia" w:hAnsiTheme="majorEastAsia" w:eastAsiaTheme="majorEastAsia"/>
          <w:color w:val="auto"/>
          <w:sz w:val="24"/>
          <w:lang w:eastAsia="zh-CN"/>
        </w:rPr>
        <w:t>九</w:t>
      </w:r>
      <w:r>
        <w:rPr>
          <w:rFonts w:hint="eastAsia" w:asciiTheme="majorEastAsia" w:hAnsiTheme="majorEastAsia" w:eastAsiaTheme="majorEastAsia"/>
          <w:color w:val="auto"/>
          <w:sz w:val="24"/>
        </w:rPr>
        <w:t>日。</w:t>
      </w:r>
    </w:p>
    <w:p>
      <w:pPr>
        <w:spacing w:line="460" w:lineRule="exact"/>
        <w:ind w:firstLine="420" w:firstLineChars="175"/>
        <w:rPr>
          <w:rFonts w:asciiTheme="majorEastAsia" w:hAnsiTheme="majorEastAsia" w:eastAsiaTheme="majorEastAsia"/>
          <w:color w:val="auto"/>
          <w:sz w:val="24"/>
        </w:rPr>
      </w:pPr>
      <w:r>
        <w:rPr>
          <w:rFonts w:hint="eastAsia" w:asciiTheme="majorEastAsia" w:hAnsiTheme="majorEastAsia" w:eastAsiaTheme="majorEastAsia"/>
          <w:color w:val="auto"/>
          <w:sz w:val="24"/>
        </w:rPr>
        <w:t>十一、评估报告日</w:t>
      </w:r>
    </w:p>
    <w:p>
      <w:pPr>
        <w:spacing w:line="460" w:lineRule="exact"/>
        <w:ind w:firstLine="420" w:firstLineChars="175"/>
        <w:rPr>
          <w:rFonts w:hint="eastAsia" w:asciiTheme="majorEastAsia" w:hAnsiTheme="majorEastAsia" w:eastAsiaTheme="majorEastAsia"/>
          <w:color w:val="auto"/>
          <w:sz w:val="24"/>
        </w:rPr>
      </w:pPr>
      <w:r>
        <w:rPr>
          <w:rFonts w:hint="eastAsia" w:asciiTheme="majorEastAsia" w:hAnsiTheme="majorEastAsia" w:eastAsiaTheme="majorEastAsia"/>
          <w:color w:val="auto"/>
          <w:sz w:val="24"/>
        </w:rPr>
        <w:t>评估报告出具日期为二〇二</w:t>
      </w:r>
      <w:r>
        <w:rPr>
          <w:rFonts w:hint="eastAsia" w:asciiTheme="majorEastAsia" w:hAnsiTheme="majorEastAsia" w:eastAsiaTheme="majorEastAsia"/>
          <w:color w:val="auto"/>
          <w:sz w:val="24"/>
          <w:lang w:eastAsia="zh-CN"/>
        </w:rPr>
        <w:t>一</w:t>
      </w:r>
      <w:r>
        <w:rPr>
          <w:rFonts w:hint="eastAsia" w:asciiTheme="majorEastAsia" w:hAnsiTheme="majorEastAsia" w:eastAsiaTheme="majorEastAsia"/>
          <w:color w:val="auto"/>
          <w:sz w:val="24"/>
        </w:rPr>
        <w:t>年</w:t>
      </w:r>
      <w:r>
        <w:rPr>
          <w:rFonts w:hint="eastAsia" w:asciiTheme="majorEastAsia" w:hAnsiTheme="majorEastAsia" w:eastAsiaTheme="majorEastAsia"/>
          <w:color w:val="auto"/>
          <w:sz w:val="24"/>
          <w:lang w:eastAsia="zh-CN"/>
        </w:rPr>
        <w:t>二</w:t>
      </w:r>
      <w:r>
        <w:rPr>
          <w:rFonts w:hint="eastAsia" w:asciiTheme="majorEastAsia" w:hAnsiTheme="majorEastAsia" w:eastAsiaTheme="majorEastAsia"/>
          <w:color w:val="auto"/>
          <w:sz w:val="24"/>
        </w:rPr>
        <w:t>月</w:t>
      </w:r>
      <w:r>
        <w:rPr>
          <w:rFonts w:hint="eastAsia" w:asciiTheme="majorEastAsia" w:hAnsiTheme="majorEastAsia" w:eastAsiaTheme="majorEastAsia"/>
          <w:color w:val="auto"/>
          <w:sz w:val="24"/>
          <w:lang w:eastAsia="zh-CN"/>
        </w:rPr>
        <w:t>二十六</w:t>
      </w:r>
      <w:r>
        <w:rPr>
          <w:rFonts w:hint="eastAsia" w:asciiTheme="majorEastAsia" w:hAnsiTheme="majorEastAsia" w:eastAsiaTheme="majorEastAsia"/>
          <w:color w:val="auto"/>
          <w:sz w:val="24"/>
        </w:rPr>
        <w:t>日。评估报告日是</w:t>
      </w:r>
      <w:r>
        <w:rPr>
          <w:rFonts w:hint="eastAsia" w:asciiTheme="majorEastAsia" w:hAnsiTheme="majorEastAsia" w:eastAsiaTheme="majorEastAsia"/>
          <w:color w:val="auto"/>
          <w:sz w:val="24"/>
          <w:lang w:eastAsia="zh-CN"/>
        </w:rPr>
        <w:t>资产</w:t>
      </w:r>
      <w:r>
        <w:rPr>
          <w:rFonts w:hint="eastAsia" w:asciiTheme="majorEastAsia" w:hAnsiTheme="majorEastAsia" w:eastAsiaTheme="majorEastAsia"/>
          <w:color w:val="auto"/>
          <w:sz w:val="24"/>
        </w:rPr>
        <w:t>评估意见形成</w:t>
      </w:r>
      <w:r>
        <w:rPr>
          <w:rFonts w:hint="eastAsia" w:asciiTheme="majorEastAsia" w:hAnsiTheme="majorEastAsia" w:eastAsiaTheme="majorEastAsia"/>
          <w:color w:val="auto"/>
          <w:sz w:val="24"/>
          <w:lang w:eastAsia="zh-CN"/>
        </w:rPr>
        <w:t>的</w:t>
      </w:r>
      <w:r>
        <w:rPr>
          <w:rFonts w:hint="eastAsia" w:asciiTheme="majorEastAsia" w:hAnsiTheme="majorEastAsia" w:eastAsiaTheme="majorEastAsia"/>
          <w:color w:val="auto"/>
          <w:sz w:val="24"/>
        </w:rPr>
        <w:t>日期。</w:t>
      </w:r>
    </w:p>
    <w:p>
      <w:pPr>
        <w:spacing w:line="460" w:lineRule="exact"/>
        <w:ind w:firstLine="420" w:firstLineChars="175"/>
        <w:rPr>
          <w:rFonts w:hint="eastAsia" w:asciiTheme="majorEastAsia" w:hAnsiTheme="majorEastAsia" w:eastAsiaTheme="majorEastAsia"/>
          <w:color w:val="auto"/>
          <w:sz w:val="24"/>
        </w:rPr>
      </w:pPr>
    </w:p>
    <w:p>
      <w:pPr>
        <w:spacing w:line="460" w:lineRule="exact"/>
        <w:ind w:firstLine="420" w:firstLineChars="175"/>
        <w:rPr>
          <w:rFonts w:hint="eastAsia" w:asciiTheme="majorEastAsia" w:hAnsiTheme="majorEastAsia" w:eastAsiaTheme="majorEastAsia"/>
          <w:color w:val="auto"/>
          <w:sz w:val="24"/>
        </w:rPr>
      </w:pPr>
    </w:p>
    <w:p>
      <w:pPr>
        <w:spacing w:line="460" w:lineRule="exact"/>
        <w:ind w:firstLine="420" w:firstLineChars="175"/>
        <w:rPr>
          <w:rFonts w:hint="eastAsia" w:asciiTheme="majorEastAsia" w:hAnsiTheme="majorEastAsia" w:eastAsiaTheme="majorEastAsia"/>
          <w:color w:val="auto"/>
          <w:sz w:val="24"/>
        </w:rPr>
      </w:pPr>
    </w:p>
    <w:p>
      <w:pPr>
        <w:spacing w:line="460" w:lineRule="exact"/>
        <w:ind w:firstLine="420" w:firstLineChars="175"/>
        <w:rPr>
          <w:rFonts w:hint="eastAsia" w:asciiTheme="majorEastAsia" w:hAnsiTheme="majorEastAsia" w:eastAsiaTheme="majorEastAsia"/>
          <w:color w:val="auto"/>
          <w:sz w:val="24"/>
        </w:rPr>
      </w:pPr>
    </w:p>
    <w:p>
      <w:pPr>
        <w:spacing w:line="460" w:lineRule="exact"/>
        <w:ind w:firstLine="420" w:firstLineChars="175"/>
        <w:rPr>
          <w:rFonts w:hint="eastAsia" w:asciiTheme="majorEastAsia" w:hAnsiTheme="majorEastAsia" w:eastAsiaTheme="majorEastAsia"/>
          <w:color w:val="auto"/>
          <w:sz w:val="24"/>
        </w:rPr>
      </w:pPr>
    </w:p>
    <w:p>
      <w:pPr>
        <w:spacing w:line="460" w:lineRule="exact"/>
        <w:ind w:firstLine="420" w:firstLineChars="175"/>
        <w:rPr>
          <w:rFonts w:hint="eastAsia" w:asciiTheme="majorEastAsia" w:hAnsiTheme="majorEastAsia" w:eastAsiaTheme="majorEastAsia"/>
          <w:color w:val="auto"/>
          <w:sz w:val="24"/>
        </w:rPr>
      </w:pPr>
    </w:p>
    <w:p>
      <w:pPr>
        <w:spacing w:line="460" w:lineRule="exact"/>
        <w:ind w:firstLine="420" w:firstLineChars="175"/>
        <w:rPr>
          <w:rFonts w:hint="eastAsia" w:asciiTheme="majorEastAsia" w:hAnsiTheme="majorEastAsia" w:eastAsiaTheme="majorEastAsia"/>
          <w:color w:val="auto"/>
          <w:sz w:val="24"/>
        </w:rPr>
      </w:pPr>
    </w:p>
    <w:p>
      <w:pPr>
        <w:spacing w:line="460" w:lineRule="exact"/>
        <w:ind w:firstLine="420" w:firstLineChars="175"/>
        <w:rPr>
          <w:rFonts w:hint="eastAsia" w:asciiTheme="majorEastAsia" w:hAnsiTheme="majorEastAsia" w:eastAsiaTheme="majorEastAsia"/>
          <w:color w:val="auto"/>
          <w:sz w:val="24"/>
        </w:rPr>
      </w:pPr>
    </w:p>
    <w:p>
      <w:pPr>
        <w:spacing w:line="460" w:lineRule="exact"/>
        <w:ind w:firstLine="420" w:firstLineChars="175"/>
        <w:rPr>
          <w:rFonts w:hint="eastAsia" w:asciiTheme="majorEastAsia" w:hAnsiTheme="majorEastAsia" w:eastAsiaTheme="majorEastAsia"/>
          <w:color w:val="auto"/>
          <w:sz w:val="24"/>
        </w:rPr>
      </w:pPr>
    </w:p>
    <w:p>
      <w:pPr>
        <w:spacing w:line="460" w:lineRule="exact"/>
        <w:ind w:firstLine="420" w:firstLineChars="175"/>
        <w:rPr>
          <w:rFonts w:hint="eastAsia" w:asciiTheme="majorEastAsia" w:hAnsiTheme="majorEastAsia" w:eastAsiaTheme="majorEastAsia"/>
          <w:color w:val="auto"/>
          <w:sz w:val="24"/>
        </w:rPr>
      </w:pPr>
    </w:p>
    <w:p>
      <w:pPr>
        <w:spacing w:line="460" w:lineRule="exact"/>
        <w:ind w:firstLine="420" w:firstLineChars="175"/>
        <w:rPr>
          <w:rFonts w:hint="eastAsia" w:asciiTheme="majorEastAsia" w:hAnsiTheme="majorEastAsia" w:eastAsiaTheme="majorEastAsia"/>
          <w:color w:val="auto"/>
          <w:sz w:val="24"/>
        </w:rPr>
      </w:pPr>
    </w:p>
    <w:p>
      <w:pPr>
        <w:spacing w:line="460" w:lineRule="exact"/>
        <w:jc w:val="center"/>
        <w:rPr>
          <w:rFonts w:asciiTheme="majorEastAsia" w:hAnsiTheme="majorEastAsia" w:eastAsiaTheme="majorEastAsia"/>
          <w:color w:val="auto"/>
          <w:sz w:val="24"/>
        </w:rPr>
      </w:pPr>
      <w:r>
        <w:rPr>
          <w:rFonts w:hint="eastAsia" w:asciiTheme="majorEastAsia" w:hAnsiTheme="majorEastAsia" w:eastAsiaTheme="majorEastAsia"/>
          <w:b/>
          <w:color w:val="auto"/>
          <w:sz w:val="24"/>
        </w:rPr>
        <w:t>重　要　提　示</w:t>
      </w:r>
    </w:p>
    <w:p>
      <w:pPr>
        <w:pStyle w:val="4"/>
        <w:tabs>
          <w:tab w:val="left" w:pos="0"/>
        </w:tabs>
        <w:snapToGrid w:val="0"/>
        <w:spacing w:line="460" w:lineRule="exact"/>
        <w:ind w:firstLine="480" w:firstLineChars="200"/>
        <w:rPr>
          <w:rFonts w:asciiTheme="majorEastAsia" w:hAnsiTheme="majorEastAsia" w:eastAsiaTheme="majorEastAsia"/>
          <w:b/>
          <w:spacing w:val="4"/>
          <w:sz w:val="21"/>
          <w:szCs w:val="21"/>
        </w:rPr>
      </w:pPr>
      <w:r>
        <w:rPr>
          <w:rFonts w:hint="eastAsia" w:asciiTheme="majorEastAsia" w:hAnsiTheme="majorEastAsia" w:eastAsiaTheme="majorEastAsia"/>
          <w:color w:val="auto"/>
        </w:rPr>
        <w:t>以上内容摘自评估报告正文，欲了解本评估项目的详细情况和合理理解评估结论，应当阅读评估报告正文。</w:t>
      </w:r>
      <w:r>
        <w:rPr>
          <w:rFonts w:asciiTheme="majorEastAsia" w:hAnsiTheme="majorEastAsia" w:eastAsiaTheme="majorEastAsia"/>
          <w:b/>
          <w:color w:val="auto"/>
          <w:spacing w:val="4"/>
          <w:sz w:val="21"/>
          <w:szCs w:val="21"/>
        </w:rPr>
        <w:br w:type="page"/>
      </w:r>
    </w:p>
    <w:p>
      <w:pPr>
        <w:jc w:val="center"/>
        <w:rPr>
          <w:rFonts w:hint="eastAsia" w:asciiTheme="majorEastAsia" w:hAnsiTheme="majorEastAsia" w:eastAsiaTheme="majorEastAsia" w:cstheme="majorEastAsia"/>
          <w:b/>
          <w:spacing w:val="4"/>
          <w:sz w:val="36"/>
          <w:szCs w:val="36"/>
          <w:lang w:eastAsia="zh-CN"/>
        </w:rPr>
      </w:pPr>
      <w:r>
        <w:rPr>
          <w:rFonts w:hint="eastAsia" w:asciiTheme="majorEastAsia" w:hAnsiTheme="majorEastAsia" w:eastAsiaTheme="majorEastAsia" w:cstheme="majorEastAsia"/>
          <w:b/>
          <w:spacing w:val="4"/>
          <w:sz w:val="36"/>
          <w:szCs w:val="36"/>
          <w:lang w:eastAsia="zh-CN"/>
        </w:rPr>
        <w:t>辽源市龙山区人民法院拟司法执行财产处置</w:t>
      </w:r>
    </w:p>
    <w:p>
      <w:pPr>
        <w:jc w:val="center"/>
        <w:rPr>
          <w:rFonts w:hint="eastAsia" w:asciiTheme="majorEastAsia" w:hAnsiTheme="majorEastAsia" w:eastAsiaTheme="majorEastAsia" w:cstheme="majorEastAsia"/>
          <w:b/>
          <w:spacing w:val="4"/>
          <w:sz w:val="36"/>
          <w:szCs w:val="36"/>
          <w:lang w:eastAsia="zh-CN"/>
        </w:rPr>
      </w:pPr>
      <w:r>
        <w:rPr>
          <w:rFonts w:hint="eastAsia" w:asciiTheme="majorEastAsia" w:hAnsiTheme="majorEastAsia" w:eastAsiaTheme="majorEastAsia" w:cstheme="majorEastAsia"/>
          <w:b/>
          <w:spacing w:val="4"/>
          <w:sz w:val="36"/>
          <w:szCs w:val="36"/>
          <w:lang w:eastAsia="zh-CN"/>
        </w:rPr>
        <w:t>涉及的孟首怡、李萍共有住宅及商业房屋价值</w:t>
      </w:r>
    </w:p>
    <w:p>
      <w:pPr>
        <w:jc w:val="center"/>
        <w:rPr>
          <w:rFonts w:hint="eastAsia" w:asciiTheme="majorEastAsia" w:hAnsiTheme="majorEastAsia" w:eastAsiaTheme="majorEastAsia"/>
          <w:b/>
          <w:spacing w:val="4"/>
          <w:sz w:val="28"/>
          <w:szCs w:val="28"/>
          <w:lang w:eastAsia="zh-CN"/>
        </w:rPr>
      </w:pPr>
      <w:r>
        <w:rPr>
          <w:rFonts w:hint="eastAsia" w:asciiTheme="majorEastAsia" w:hAnsiTheme="majorEastAsia" w:eastAsiaTheme="majorEastAsia" w:cstheme="majorEastAsia"/>
          <w:b/>
          <w:spacing w:val="4"/>
          <w:sz w:val="36"/>
          <w:szCs w:val="36"/>
          <w:lang w:eastAsia="zh-CN"/>
        </w:rPr>
        <w:t>资产评估报</w:t>
      </w:r>
      <w:r>
        <w:rPr>
          <w:rFonts w:hint="eastAsia" w:asciiTheme="majorEastAsia" w:hAnsiTheme="majorEastAsia" w:eastAsiaTheme="majorEastAsia" w:cstheme="majorEastAsia"/>
          <w:b/>
          <w:bCs/>
          <w:color w:val="000000"/>
          <w:sz w:val="36"/>
          <w:szCs w:val="36"/>
        </w:rPr>
        <w:t>告</w:t>
      </w:r>
    </w:p>
    <w:p>
      <w:pPr>
        <w:jc w:val="center"/>
        <w:rPr>
          <w:rFonts w:asciiTheme="majorEastAsia" w:hAnsiTheme="majorEastAsia" w:eastAsiaTheme="majorEastAsia"/>
          <w:color w:val="auto"/>
          <w:szCs w:val="21"/>
        </w:rPr>
      </w:pPr>
      <w:r>
        <w:rPr>
          <w:rFonts w:hint="eastAsia" w:asciiTheme="majorEastAsia" w:hAnsiTheme="majorEastAsia" w:eastAsiaTheme="majorEastAsia"/>
          <w:szCs w:val="21"/>
        </w:rPr>
        <w:t>辽新安评报字[202</w:t>
      </w:r>
      <w:r>
        <w:rPr>
          <w:rFonts w:hint="eastAsia" w:asciiTheme="majorEastAsia" w:hAnsiTheme="majorEastAsia" w:eastAsiaTheme="majorEastAsia"/>
          <w:szCs w:val="21"/>
          <w:lang w:val="en-US" w:eastAsia="zh-CN"/>
        </w:rPr>
        <w:t>1</w:t>
      </w:r>
      <w:r>
        <w:rPr>
          <w:rFonts w:hint="eastAsia" w:asciiTheme="majorEastAsia" w:hAnsiTheme="majorEastAsia" w:eastAsiaTheme="majorEastAsia"/>
          <w:color w:val="auto"/>
          <w:szCs w:val="21"/>
        </w:rPr>
        <w:t>]第</w:t>
      </w:r>
      <w:r>
        <w:rPr>
          <w:rFonts w:hint="eastAsia" w:asciiTheme="majorEastAsia" w:hAnsiTheme="majorEastAsia" w:eastAsiaTheme="majorEastAsia"/>
          <w:color w:val="auto"/>
          <w:szCs w:val="21"/>
          <w:lang w:val="en-US" w:eastAsia="zh-CN"/>
        </w:rPr>
        <w:t>012</w:t>
      </w:r>
      <w:r>
        <w:rPr>
          <w:rFonts w:hint="eastAsia" w:asciiTheme="majorEastAsia" w:hAnsiTheme="majorEastAsia" w:eastAsiaTheme="majorEastAsia"/>
          <w:color w:val="auto"/>
          <w:szCs w:val="21"/>
        </w:rPr>
        <w:t>号</w:t>
      </w:r>
    </w:p>
    <w:p>
      <w:pPr>
        <w:spacing w:line="440" w:lineRule="exact"/>
        <w:jc w:val="left"/>
        <w:rPr>
          <w:rFonts w:asciiTheme="majorEastAsia" w:hAnsiTheme="majorEastAsia" w:eastAsiaTheme="majorEastAsia"/>
          <w:b/>
          <w:sz w:val="24"/>
          <w:szCs w:val="24"/>
        </w:rPr>
      </w:pPr>
      <w:r>
        <w:rPr>
          <w:rFonts w:hint="eastAsia" w:asciiTheme="majorEastAsia" w:hAnsiTheme="majorEastAsia" w:eastAsiaTheme="majorEastAsia"/>
          <w:b/>
          <w:sz w:val="24"/>
          <w:szCs w:val="24"/>
          <w:lang w:eastAsia="zh-CN"/>
        </w:rPr>
        <w:t>辽源市龙山区人民法院司法辅助办公室</w:t>
      </w:r>
      <w:r>
        <w:rPr>
          <w:rFonts w:hint="eastAsia" w:asciiTheme="majorEastAsia" w:hAnsiTheme="majorEastAsia" w:eastAsiaTheme="majorEastAsia"/>
          <w:b/>
          <w:sz w:val="24"/>
          <w:szCs w:val="24"/>
        </w:rPr>
        <w:t>：</w:t>
      </w:r>
    </w:p>
    <w:p>
      <w:pPr>
        <w:spacing w:line="440" w:lineRule="exact"/>
        <w:ind w:firstLine="420" w:firstLineChars="175"/>
        <w:rPr>
          <w:rFonts w:asciiTheme="majorEastAsia" w:hAnsiTheme="majorEastAsia" w:eastAsiaTheme="majorEastAsia"/>
          <w:color w:val="auto"/>
          <w:sz w:val="24"/>
          <w:szCs w:val="24"/>
        </w:rPr>
      </w:pPr>
      <w:r>
        <w:rPr>
          <w:rFonts w:hint="eastAsia" w:asciiTheme="majorEastAsia" w:hAnsiTheme="majorEastAsia" w:eastAsiaTheme="majorEastAsia"/>
          <w:color w:val="auto"/>
          <w:sz w:val="24"/>
        </w:rPr>
        <w:t>辽源新安资产评估事务所接受</w:t>
      </w:r>
      <w:r>
        <w:rPr>
          <w:rFonts w:hint="eastAsia" w:asciiTheme="majorEastAsia" w:hAnsiTheme="majorEastAsia" w:eastAsiaTheme="majorEastAsia"/>
          <w:color w:val="auto"/>
          <w:sz w:val="24"/>
          <w:lang w:eastAsia="zh-CN"/>
        </w:rPr>
        <w:t>辽源市龙山区人民法院司法辅助办公室</w:t>
      </w:r>
      <w:r>
        <w:rPr>
          <w:rFonts w:hint="eastAsia" w:asciiTheme="majorEastAsia" w:hAnsiTheme="majorEastAsia" w:eastAsiaTheme="majorEastAsia"/>
          <w:color w:val="auto"/>
          <w:sz w:val="24"/>
        </w:rPr>
        <w:t>的委托，按照国家关于资产评估的有关</w:t>
      </w:r>
      <w:r>
        <w:rPr>
          <w:rFonts w:hint="eastAsia" w:asciiTheme="majorEastAsia" w:hAnsiTheme="majorEastAsia" w:eastAsiaTheme="majorEastAsia"/>
          <w:color w:val="auto"/>
          <w:sz w:val="24"/>
          <w:lang w:eastAsia="zh-CN"/>
        </w:rPr>
        <w:t>国家</w:t>
      </w:r>
      <w:r>
        <w:rPr>
          <w:rFonts w:hint="eastAsia" w:asciiTheme="majorEastAsia" w:hAnsiTheme="majorEastAsia" w:eastAsiaTheme="majorEastAsia"/>
          <w:color w:val="auto"/>
          <w:sz w:val="24"/>
        </w:rPr>
        <w:t>法律</w:t>
      </w:r>
      <w:r>
        <w:rPr>
          <w:rFonts w:hint="eastAsia" w:asciiTheme="majorEastAsia" w:hAnsiTheme="majorEastAsia" w:eastAsiaTheme="majorEastAsia"/>
          <w:color w:val="auto"/>
          <w:sz w:val="24"/>
          <w:lang w:eastAsia="zh-CN"/>
        </w:rPr>
        <w:t>行政</w:t>
      </w:r>
      <w:r>
        <w:rPr>
          <w:rFonts w:hint="eastAsia" w:asciiTheme="majorEastAsia" w:hAnsiTheme="majorEastAsia" w:eastAsiaTheme="majorEastAsia"/>
          <w:color w:val="auto"/>
          <w:sz w:val="24"/>
        </w:rPr>
        <w:t>法规和评估准则，本着“独立、客观、公正”的评估原则，按照公认的资产评估方法，对</w:t>
      </w:r>
      <w:r>
        <w:rPr>
          <w:rFonts w:hint="eastAsia" w:asciiTheme="majorEastAsia" w:hAnsiTheme="majorEastAsia" w:eastAsiaTheme="majorEastAsia"/>
          <w:color w:val="auto"/>
          <w:sz w:val="24"/>
          <w:lang w:eastAsia="zh-CN"/>
        </w:rPr>
        <w:t>辽源市龙山区人民法院司法辅助办公室委托司法执行财产处置事宜</w:t>
      </w:r>
      <w:r>
        <w:rPr>
          <w:rFonts w:hint="eastAsia" w:asciiTheme="majorEastAsia" w:hAnsiTheme="majorEastAsia" w:eastAsiaTheme="majorEastAsia"/>
          <w:color w:val="auto"/>
          <w:sz w:val="24"/>
        </w:rPr>
        <w:t>涉及的</w:t>
      </w:r>
      <w:r>
        <w:rPr>
          <w:rFonts w:hint="eastAsia" w:asciiTheme="majorEastAsia" w:hAnsiTheme="majorEastAsia" w:eastAsiaTheme="majorEastAsia"/>
          <w:color w:val="auto"/>
          <w:sz w:val="24"/>
          <w:lang w:eastAsia="zh-CN"/>
        </w:rPr>
        <w:t>孟首怡、李萍共有的位于东方新城BDE座-2441室，建筑面积100.78平方米的住宅房屋及位于钻石名城8号楼108室，建筑面积120.63平方米的商业用房，</w:t>
      </w:r>
      <w:r>
        <w:rPr>
          <w:rFonts w:hint="eastAsia" w:asciiTheme="majorEastAsia" w:hAnsiTheme="majorEastAsia" w:eastAsiaTheme="majorEastAsia"/>
          <w:color w:val="auto"/>
          <w:sz w:val="24"/>
        </w:rPr>
        <w:t>在评估基准日二〇二</w:t>
      </w:r>
      <w:r>
        <w:rPr>
          <w:rFonts w:hint="eastAsia" w:asciiTheme="majorEastAsia" w:hAnsiTheme="majorEastAsia" w:eastAsiaTheme="majorEastAsia"/>
          <w:color w:val="auto"/>
          <w:sz w:val="24"/>
          <w:lang w:eastAsia="zh-CN"/>
        </w:rPr>
        <w:t>一</w:t>
      </w:r>
      <w:r>
        <w:rPr>
          <w:rFonts w:hint="eastAsia" w:asciiTheme="majorEastAsia" w:hAnsiTheme="majorEastAsia" w:eastAsiaTheme="majorEastAsia"/>
          <w:color w:val="auto"/>
          <w:sz w:val="24"/>
        </w:rPr>
        <w:t>年</w:t>
      </w:r>
      <w:r>
        <w:rPr>
          <w:rFonts w:hint="eastAsia" w:asciiTheme="majorEastAsia" w:hAnsiTheme="majorEastAsia" w:eastAsiaTheme="majorEastAsia"/>
          <w:color w:val="auto"/>
          <w:sz w:val="24"/>
          <w:lang w:eastAsia="zh-CN"/>
        </w:rPr>
        <w:t>二</w:t>
      </w:r>
      <w:r>
        <w:rPr>
          <w:rFonts w:hint="eastAsia" w:asciiTheme="majorEastAsia" w:hAnsiTheme="majorEastAsia" w:eastAsiaTheme="majorEastAsia"/>
          <w:color w:val="auto"/>
          <w:sz w:val="24"/>
        </w:rPr>
        <w:t>月</w:t>
      </w:r>
      <w:r>
        <w:rPr>
          <w:rFonts w:hint="eastAsia" w:asciiTheme="majorEastAsia" w:hAnsiTheme="majorEastAsia" w:eastAsiaTheme="majorEastAsia"/>
          <w:color w:val="auto"/>
          <w:sz w:val="24"/>
          <w:lang w:eastAsia="zh-CN"/>
        </w:rPr>
        <w:t>十</w:t>
      </w:r>
      <w:r>
        <w:rPr>
          <w:rFonts w:hint="eastAsia" w:asciiTheme="majorEastAsia" w:hAnsiTheme="majorEastAsia" w:eastAsiaTheme="majorEastAsia"/>
          <w:color w:val="auto"/>
          <w:sz w:val="24"/>
        </w:rPr>
        <w:t>日的市场价值进行了评估</w:t>
      </w:r>
      <w:r>
        <w:rPr>
          <w:rFonts w:hint="eastAsia" w:cs="仿宋_GB2312" w:asciiTheme="majorEastAsia" w:hAnsiTheme="majorEastAsia" w:eastAsiaTheme="majorEastAsia"/>
          <w:color w:val="auto"/>
          <w:sz w:val="24"/>
        </w:rPr>
        <w:t>。</w:t>
      </w:r>
      <w:r>
        <w:rPr>
          <w:rFonts w:hint="eastAsia" w:cs="仿宋_GB2312" w:asciiTheme="majorEastAsia" w:hAnsiTheme="majorEastAsia" w:eastAsiaTheme="majorEastAsia"/>
          <w:sz w:val="24"/>
        </w:rPr>
        <w:t>现将资产评估结论说明如下</w:t>
      </w:r>
      <w:r>
        <w:rPr>
          <w:rFonts w:hint="eastAsia" w:asciiTheme="majorEastAsia" w:hAnsiTheme="majorEastAsia" w:eastAsiaTheme="majorEastAsia"/>
          <w:color w:val="auto"/>
          <w:sz w:val="24"/>
          <w:szCs w:val="24"/>
        </w:rPr>
        <w:t>：</w:t>
      </w:r>
    </w:p>
    <w:p>
      <w:pPr>
        <w:spacing w:line="440" w:lineRule="exact"/>
        <w:ind w:firstLine="482" w:firstLineChars="20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一、委托人、产权持有人和委托人以外的评估报告使用人</w:t>
      </w:r>
    </w:p>
    <w:p>
      <w:pPr>
        <w:spacing w:line="440" w:lineRule="exact"/>
        <w:ind w:firstLine="480" w:firstLineChars="200"/>
        <w:jc w:val="left"/>
        <w:rPr>
          <w:rFonts w:hint="eastAsia" w:asciiTheme="majorEastAsia" w:hAnsiTheme="majorEastAsia" w:eastAsiaTheme="majorEastAsia"/>
          <w:color w:val="auto"/>
          <w:sz w:val="24"/>
          <w:szCs w:val="24"/>
          <w:lang w:eastAsia="zh-CN"/>
        </w:rPr>
      </w:pPr>
      <w:r>
        <w:rPr>
          <w:rFonts w:hint="eastAsia" w:asciiTheme="majorEastAsia" w:hAnsiTheme="majorEastAsia" w:eastAsiaTheme="majorEastAsia"/>
          <w:sz w:val="24"/>
          <w:szCs w:val="24"/>
        </w:rPr>
        <w:t>（一</w:t>
      </w:r>
      <w:r>
        <w:rPr>
          <w:rFonts w:hint="eastAsia" w:asciiTheme="majorEastAsia" w:hAnsiTheme="majorEastAsia" w:eastAsiaTheme="majorEastAsia"/>
          <w:color w:val="auto"/>
          <w:sz w:val="24"/>
          <w:szCs w:val="24"/>
        </w:rPr>
        <w:t>）委托人：</w:t>
      </w:r>
      <w:r>
        <w:rPr>
          <w:rFonts w:hint="eastAsia" w:asciiTheme="majorEastAsia" w:hAnsiTheme="majorEastAsia" w:eastAsiaTheme="majorEastAsia"/>
          <w:color w:val="auto"/>
          <w:sz w:val="24"/>
          <w:szCs w:val="24"/>
          <w:lang w:eastAsia="zh-CN"/>
        </w:rPr>
        <w:t>辽源市龙山区人民法院司法辅助办公室</w:t>
      </w:r>
    </w:p>
    <w:p>
      <w:pPr>
        <w:spacing w:line="440" w:lineRule="exact"/>
        <w:ind w:firstLine="480" w:firstLineChars="200"/>
        <w:jc w:val="left"/>
        <w:rPr>
          <w:rFonts w:hint="eastAsia"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rPr>
        <w:t xml:space="preserve">      地址：</w:t>
      </w:r>
      <w:r>
        <w:rPr>
          <w:rFonts w:hint="eastAsia" w:ascii="宋体" w:hAnsi="宋体"/>
          <w:sz w:val="24"/>
        </w:rPr>
        <w:t>辽源市龙山区吉光路1355号</w:t>
      </w:r>
    </w:p>
    <w:p>
      <w:pPr>
        <w:spacing w:line="440" w:lineRule="exact"/>
        <w:ind w:firstLine="480" w:firstLineChars="200"/>
        <w:jc w:val="left"/>
        <w:rPr>
          <w:rFonts w:hint="eastAsia" w:asciiTheme="majorEastAsia" w:hAnsiTheme="majorEastAsia" w:eastAsiaTheme="majorEastAsia"/>
          <w:color w:val="auto"/>
          <w:sz w:val="24"/>
          <w:szCs w:val="24"/>
          <w:lang w:eastAsia="zh-CN"/>
        </w:rPr>
      </w:pPr>
      <w:r>
        <w:rPr>
          <w:rFonts w:hint="eastAsia" w:asciiTheme="majorEastAsia" w:hAnsiTheme="majorEastAsia" w:eastAsiaTheme="majorEastAsia"/>
          <w:color w:val="auto"/>
          <w:sz w:val="24"/>
          <w:szCs w:val="24"/>
        </w:rPr>
        <w:t>（二）产权持有人：</w:t>
      </w:r>
      <w:r>
        <w:rPr>
          <w:rFonts w:hint="eastAsia" w:asciiTheme="majorEastAsia" w:hAnsiTheme="majorEastAsia" w:eastAsiaTheme="majorEastAsia"/>
          <w:color w:val="auto"/>
          <w:sz w:val="24"/>
          <w:szCs w:val="24"/>
          <w:lang w:eastAsia="zh-CN"/>
        </w:rPr>
        <w:t>孟首怡、李萍</w:t>
      </w:r>
    </w:p>
    <w:p>
      <w:pPr>
        <w:spacing w:line="440" w:lineRule="exact"/>
        <w:ind w:firstLine="480" w:firstLineChars="200"/>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（三）委托人以外的评估报告使用人：</w:t>
      </w:r>
    </w:p>
    <w:p>
      <w:pPr>
        <w:spacing w:line="440" w:lineRule="exact"/>
        <w:ind w:firstLine="1200" w:firstLineChars="500"/>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案件当事人及法律法规规定的报告使用人</w:t>
      </w:r>
    </w:p>
    <w:p>
      <w:pPr>
        <w:spacing w:line="440" w:lineRule="exact"/>
        <w:ind w:firstLine="482" w:firstLineChars="200"/>
        <w:jc w:val="left"/>
        <w:rPr>
          <w:rFonts w:asciiTheme="majorEastAsia" w:hAnsiTheme="majorEastAsia" w:eastAsiaTheme="majorEastAsia"/>
          <w:color w:val="auto"/>
          <w:sz w:val="24"/>
          <w:szCs w:val="24"/>
        </w:rPr>
      </w:pPr>
      <w:r>
        <w:rPr>
          <w:rFonts w:hint="eastAsia" w:asciiTheme="majorEastAsia" w:hAnsiTheme="majorEastAsia" w:eastAsiaTheme="majorEastAsia"/>
          <w:b/>
          <w:color w:val="auto"/>
          <w:sz w:val="24"/>
          <w:szCs w:val="24"/>
        </w:rPr>
        <w:t>二、评估目的：</w:t>
      </w:r>
      <w:r>
        <w:rPr>
          <w:rFonts w:hint="eastAsia" w:asciiTheme="majorEastAsia" w:hAnsiTheme="majorEastAsia" w:eastAsiaTheme="majorEastAsia"/>
          <w:color w:val="auto"/>
          <w:sz w:val="24"/>
        </w:rPr>
        <w:t>为</w:t>
      </w:r>
      <w:r>
        <w:rPr>
          <w:rFonts w:hint="eastAsia" w:asciiTheme="majorEastAsia" w:hAnsiTheme="majorEastAsia" w:eastAsiaTheme="majorEastAsia"/>
          <w:color w:val="auto"/>
          <w:sz w:val="24"/>
          <w:lang w:eastAsia="zh-CN"/>
        </w:rPr>
        <w:t>辽源市龙山区人民法院司法辅助办公室拟司法执行财产处置涉及孟首怡、李萍共有的资产</w:t>
      </w:r>
      <w:r>
        <w:rPr>
          <w:rFonts w:hint="eastAsia" w:asciiTheme="majorEastAsia" w:hAnsiTheme="majorEastAsia" w:eastAsiaTheme="majorEastAsia"/>
          <w:color w:val="auto"/>
          <w:sz w:val="24"/>
        </w:rPr>
        <w:t>价值提供参考</w:t>
      </w:r>
      <w:r>
        <w:rPr>
          <w:rFonts w:hint="eastAsia" w:asciiTheme="majorEastAsia" w:hAnsiTheme="majorEastAsia" w:eastAsiaTheme="majorEastAsia"/>
          <w:color w:val="auto"/>
          <w:sz w:val="24"/>
          <w:lang w:eastAsia="zh-CN"/>
        </w:rPr>
        <w:t>意见</w:t>
      </w:r>
      <w:r>
        <w:rPr>
          <w:rFonts w:hint="eastAsia" w:asciiTheme="majorEastAsia" w:hAnsiTheme="majorEastAsia" w:eastAsiaTheme="majorEastAsia"/>
          <w:color w:val="auto"/>
          <w:sz w:val="24"/>
          <w:szCs w:val="24"/>
        </w:rPr>
        <w:t>。</w:t>
      </w:r>
    </w:p>
    <w:p>
      <w:pPr>
        <w:spacing w:line="440" w:lineRule="exact"/>
        <w:ind w:firstLine="482" w:firstLineChars="20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三、评估对象和评估范围</w:t>
      </w:r>
    </w:p>
    <w:p>
      <w:pPr>
        <w:spacing w:line="400" w:lineRule="exact"/>
        <w:ind w:firstLine="420" w:firstLineChars="175"/>
        <w:rPr>
          <w:rFonts w:hint="eastAsia" w:asciiTheme="majorEastAsia" w:hAnsiTheme="majorEastAsia" w:eastAsiaTheme="majorEastAsia"/>
          <w:color w:val="auto"/>
          <w:sz w:val="24"/>
          <w:lang w:eastAsia="zh-CN"/>
        </w:rPr>
      </w:pPr>
      <w:r>
        <w:rPr>
          <w:rFonts w:hint="eastAsia" w:asciiTheme="majorEastAsia" w:hAnsiTheme="majorEastAsia" w:eastAsiaTheme="majorEastAsia"/>
          <w:color w:val="auto"/>
          <w:sz w:val="24"/>
        </w:rPr>
        <w:t>根据评估委托书和相关当事人的指认，评估对象为委托</w:t>
      </w:r>
      <w:r>
        <w:rPr>
          <w:rFonts w:hint="eastAsia" w:asciiTheme="majorEastAsia" w:hAnsiTheme="majorEastAsia" w:eastAsiaTheme="majorEastAsia"/>
          <w:color w:val="auto"/>
          <w:sz w:val="24"/>
          <w:lang w:eastAsia="zh-CN"/>
        </w:rPr>
        <w:t>人司法执行财产处置事宜</w:t>
      </w:r>
      <w:r>
        <w:rPr>
          <w:rFonts w:hint="eastAsia" w:asciiTheme="majorEastAsia" w:hAnsiTheme="majorEastAsia" w:eastAsiaTheme="majorEastAsia"/>
          <w:color w:val="auto"/>
          <w:sz w:val="24"/>
        </w:rPr>
        <w:t>涉及的</w:t>
      </w:r>
      <w:r>
        <w:rPr>
          <w:rFonts w:hint="eastAsia" w:asciiTheme="majorEastAsia" w:hAnsiTheme="majorEastAsia" w:eastAsiaTheme="majorEastAsia"/>
          <w:color w:val="auto"/>
          <w:sz w:val="24"/>
          <w:lang w:eastAsia="zh-CN"/>
        </w:rPr>
        <w:t>孟首怡、李萍共有的住宅房屋及商业用房的市场价值。</w:t>
      </w:r>
    </w:p>
    <w:p>
      <w:pPr>
        <w:spacing w:line="360" w:lineRule="auto"/>
        <w:ind w:firstLine="480" w:firstLineChars="200"/>
        <w:rPr>
          <w:rFonts w:hint="eastAsia" w:asciiTheme="majorEastAsia" w:hAnsiTheme="majorEastAsia" w:eastAsiaTheme="majorEastAsia"/>
          <w:color w:val="auto"/>
          <w:sz w:val="24"/>
          <w:szCs w:val="24"/>
          <w:lang w:eastAsia="zh-CN"/>
        </w:rPr>
      </w:pPr>
      <w:r>
        <w:rPr>
          <w:rFonts w:hint="eastAsia" w:asciiTheme="majorEastAsia" w:hAnsiTheme="majorEastAsia" w:eastAsiaTheme="majorEastAsia"/>
          <w:color w:val="auto"/>
          <w:sz w:val="24"/>
        </w:rPr>
        <w:t>评估范围：</w:t>
      </w:r>
      <w:r>
        <w:rPr>
          <w:rFonts w:hint="eastAsia" w:asciiTheme="majorEastAsia" w:hAnsiTheme="majorEastAsia" w:eastAsiaTheme="majorEastAsia"/>
          <w:color w:val="auto"/>
          <w:sz w:val="24"/>
          <w:lang w:eastAsia="zh-CN"/>
        </w:rPr>
        <w:t>位于</w:t>
      </w:r>
      <w:r>
        <w:rPr>
          <w:rFonts w:hint="eastAsia" w:asciiTheme="majorEastAsia" w:hAnsiTheme="majorEastAsia" w:eastAsiaTheme="majorEastAsia"/>
          <w:color w:val="auto"/>
          <w:sz w:val="24"/>
        </w:rPr>
        <w:t>东方新城BDE座-2441室，建筑面积100.78平方米的住宅房屋及位于钻石名城8号楼108室，建筑面积120.63平方米的商业用房</w:t>
      </w:r>
      <w:r>
        <w:rPr>
          <w:rFonts w:hint="eastAsia"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lang w:eastAsia="zh-CN"/>
        </w:rPr>
        <w:t>详情如下：</w:t>
      </w:r>
    </w:p>
    <w:p>
      <w:pPr>
        <w:spacing w:line="360" w:lineRule="auto"/>
        <w:ind w:firstLine="480" w:firstLineChars="200"/>
        <w:rPr>
          <w:rFonts w:hint="eastAsia" w:asciiTheme="majorEastAsia" w:hAnsiTheme="majorEastAsia" w:eastAsiaTheme="majorEastAsia"/>
          <w:color w:val="auto"/>
          <w:sz w:val="24"/>
          <w:szCs w:val="24"/>
        </w:rPr>
      </w:pPr>
      <w:r>
        <w:rPr>
          <w:rFonts w:hint="eastAsia" w:asciiTheme="majorEastAsia" w:hAnsiTheme="majorEastAsia" w:eastAsiaTheme="majorEastAsia"/>
          <w:color w:val="auto"/>
          <w:sz w:val="24"/>
          <w:szCs w:val="24"/>
          <w:lang w:eastAsia="zh-CN"/>
        </w:rPr>
        <w:t>（一）</w:t>
      </w:r>
      <w:r>
        <w:rPr>
          <w:rFonts w:hint="eastAsia" w:asciiTheme="majorEastAsia" w:hAnsiTheme="majorEastAsia" w:eastAsiaTheme="majorEastAsia"/>
          <w:color w:val="auto"/>
          <w:sz w:val="24"/>
          <w:szCs w:val="24"/>
        </w:rPr>
        <w:t>权益状况：</w:t>
      </w:r>
    </w:p>
    <w:p>
      <w:pPr>
        <w:spacing w:line="360" w:lineRule="auto"/>
        <w:ind w:firstLine="480" w:firstLineChars="200"/>
        <w:rPr>
          <w:rFonts w:hint="default"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lang w:val="en-US" w:eastAsia="zh-CN"/>
        </w:rPr>
        <w:t>1、东方新城BDE座-2441室：</w:t>
      </w:r>
      <w:r>
        <w:rPr>
          <w:rFonts w:hint="eastAsia" w:asciiTheme="majorEastAsia" w:hAnsiTheme="majorEastAsia" w:eastAsiaTheme="majorEastAsia"/>
          <w:color w:val="auto"/>
          <w:sz w:val="24"/>
          <w:szCs w:val="24"/>
        </w:rPr>
        <w:t>依据委托</w:t>
      </w:r>
      <w:r>
        <w:rPr>
          <w:rFonts w:hint="eastAsia" w:asciiTheme="majorEastAsia" w:hAnsiTheme="majorEastAsia" w:eastAsiaTheme="majorEastAsia"/>
          <w:color w:val="auto"/>
          <w:sz w:val="24"/>
          <w:szCs w:val="24"/>
          <w:lang w:eastAsia="zh-CN"/>
        </w:rPr>
        <w:t>人</w:t>
      </w:r>
      <w:r>
        <w:rPr>
          <w:rFonts w:hint="eastAsia" w:asciiTheme="majorEastAsia" w:hAnsiTheme="majorEastAsia" w:eastAsiaTheme="majorEastAsia"/>
          <w:color w:val="auto"/>
          <w:sz w:val="24"/>
          <w:szCs w:val="24"/>
        </w:rPr>
        <w:t>提供的</w:t>
      </w:r>
      <w:r>
        <w:rPr>
          <w:rFonts w:hint="eastAsia" w:asciiTheme="majorEastAsia" w:hAnsiTheme="majorEastAsia" w:eastAsiaTheme="majorEastAsia"/>
          <w:color w:val="auto"/>
          <w:sz w:val="24"/>
          <w:szCs w:val="24"/>
          <w:lang w:eastAsia="zh-CN"/>
        </w:rPr>
        <w:t>不动产登记证明复印件记载该房屋义务人为孟首怡、李萍，房屋权利人（申请人）为吉林银行股份有限公司辽支行，不动产单元号为</w:t>
      </w:r>
      <w:r>
        <w:rPr>
          <w:rFonts w:hint="eastAsia" w:asciiTheme="majorEastAsia" w:hAnsiTheme="majorEastAsia" w:eastAsiaTheme="majorEastAsia"/>
          <w:color w:val="auto"/>
          <w:sz w:val="24"/>
          <w:szCs w:val="24"/>
          <w:lang w:val="en-US" w:eastAsia="zh-CN"/>
        </w:rPr>
        <w:t>2204020010002GB00018F00220881，房屋用途为住宅房屋。</w:t>
      </w:r>
    </w:p>
    <w:p>
      <w:pPr>
        <w:spacing w:line="360" w:lineRule="auto"/>
        <w:ind w:firstLine="480" w:firstLineChars="200"/>
        <w:rPr>
          <w:rFonts w:hint="eastAsia"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截止</w:t>
      </w:r>
      <w:r>
        <w:rPr>
          <w:rFonts w:hint="eastAsia" w:asciiTheme="majorEastAsia" w:hAnsiTheme="majorEastAsia" w:eastAsiaTheme="majorEastAsia"/>
          <w:color w:val="auto"/>
          <w:sz w:val="24"/>
          <w:szCs w:val="24"/>
          <w:lang w:eastAsia="zh-CN"/>
        </w:rPr>
        <w:t>评估基准日，评估</w:t>
      </w:r>
      <w:r>
        <w:rPr>
          <w:rFonts w:hint="eastAsia" w:asciiTheme="majorEastAsia" w:hAnsiTheme="majorEastAsia" w:eastAsiaTheme="majorEastAsia"/>
          <w:color w:val="auto"/>
          <w:sz w:val="24"/>
          <w:szCs w:val="24"/>
        </w:rPr>
        <w:t>对象</w:t>
      </w:r>
      <w:r>
        <w:rPr>
          <w:rFonts w:hint="eastAsia" w:asciiTheme="majorEastAsia" w:hAnsiTheme="majorEastAsia" w:eastAsiaTheme="majorEastAsia"/>
          <w:color w:val="auto"/>
          <w:sz w:val="24"/>
          <w:szCs w:val="24"/>
          <w:lang w:eastAsia="zh-CN"/>
        </w:rPr>
        <w:t>处于在用状态</w:t>
      </w:r>
      <w:r>
        <w:rPr>
          <w:rFonts w:hint="eastAsia" w:asciiTheme="majorEastAsia" w:hAnsiTheme="majorEastAsia" w:eastAsiaTheme="majorEastAsia"/>
          <w:color w:val="auto"/>
          <w:sz w:val="24"/>
          <w:szCs w:val="24"/>
        </w:rPr>
        <w:t>，房屋所有权人拥有占有、使用、收益</w:t>
      </w:r>
      <w:r>
        <w:rPr>
          <w:rFonts w:hint="eastAsia" w:asciiTheme="majorEastAsia" w:hAnsiTheme="majorEastAsia" w:eastAsiaTheme="majorEastAsia"/>
          <w:color w:val="auto"/>
          <w:sz w:val="24"/>
          <w:szCs w:val="24"/>
          <w:lang w:eastAsia="zh-CN"/>
        </w:rPr>
        <w:t>等权利</w:t>
      </w:r>
      <w:r>
        <w:rPr>
          <w:rFonts w:hint="eastAsia" w:asciiTheme="majorEastAsia" w:hAnsiTheme="majorEastAsia" w:eastAsiaTheme="majorEastAsia"/>
          <w:color w:val="auto"/>
          <w:sz w:val="24"/>
          <w:szCs w:val="24"/>
        </w:rPr>
        <w:t>。依据委托人提供的辽源市</w:t>
      </w:r>
      <w:r>
        <w:rPr>
          <w:rFonts w:hint="eastAsia" w:asciiTheme="majorEastAsia" w:hAnsiTheme="majorEastAsia" w:eastAsiaTheme="majorEastAsia"/>
          <w:color w:val="auto"/>
          <w:sz w:val="24"/>
          <w:szCs w:val="24"/>
          <w:lang w:eastAsia="zh-CN"/>
        </w:rPr>
        <w:t>国土资源局</w:t>
      </w:r>
      <w:r>
        <w:rPr>
          <w:rFonts w:hint="eastAsia" w:asciiTheme="majorEastAsia" w:hAnsiTheme="majorEastAsia" w:eastAsiaTheme="majorEastAsia"/>
          <w:color w:val="auto"/>
          <w:sz w:val="24"/>
          <w:szCs w:val="24"/>
        </w:rPr>
        <w:t>出具的</w:t>
      </w:r>
      <w:r>
        <w:rPr>
          <w:rFonts w:hint="eastAsia" w:asciiTheme="majorEastAsia" w:hAnsiTheme="majorEastAsia" w:eastAsiaTheme="majorEastAsia"/>
          <w:color w:val="auto"/>
          <w:sz w:val="24"/>
          <w:szCs w:val="24"/>
          <w:lang w:eastAsia="zh-CN"/>
        </w:rPr>
        <w:t>《</w:t>
      </w:r>
      <w:r>
        <w:rPr>
          <w:rFonts w:hint="eastAsia" w:asciiTheme="majorEastAsia" w:hAnsiTheme="majorEastAsia" w:eastAsiaTheme="majorEastAsia"/>
          <w:color w:val="auto"/>
          <w:sz w:val="24"/>
          <w:szCs w:val="24"/>
        </w:rPr>
        <w:t>不动产</w:t>
      </w:r>
      <w:r>
        <w:rPr>
          <w:rFonts w:hint="eastAsia" w:asciiTheme="majorEastAsia" w:hAnsiTheme="majorEastAsia" w:eastAsiaTheme="majorEastAsia"/>
          <w:color w:val="auto"/>
          <w:sz w:val="24"/>
          <w:szCs w:val="24"/>
          <w:lang w:eastAsia="zh-CN"/>
        </w:rPr>
        <w:t>登记</w:t>
      </w:r>
      <w:r>
        <w:rPr>
          <w:rFonts w:hint="eastAsia" w:asciiTheme="majorEastAsia" w:hAnsiTheme="majorEastAsia" w:eastAsiaTheme="majorEastAsia"/>
          <w:color w:val="auto"/>
          <w:sz w:val="24"/>
          <w:szCs w:val="24"/>
        </w:rPr>
        <w:t>证明</w:t>
      </w:r>
      <w:r>
        <w:rPr>
          <w:rFonts w:hint="eastAsia" w:asciiTheme="majorEastAsia" w:hAnsiTheme="majorEastAsia" w:eastAsiaTheme="majorEastAsia"/>
          <w:color w:val="auto"/>
          <w:sz w:val="24"/>
          <w:szCs w:val="24"/>
          <w:lang w:eastAsia="zh-CN"/>
        </w:rPr>
        <w:t>》</w:t>
      </w:r>
      <w:r>
        <w:rPr>
          <w:rFonts w:hint="eastAsia"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lang w:eastAsia="zh-CN"/>
        </w:rPr>
        <w:t>该房屋为已抵押状态</w:t>
      </w:r>
      <w:r>
        <w:rPr>
          <w:rFonts w:hint="eastAsia" w:asciiTheme="majorEastAsia" w:hAnsiTheme="majorEastAsia" w:eastAsiaTheme="majorEastAsia"/>
          <w:color w:val="auto"/>
          <w:sz w:val="24"/>
          <w:szCs w:val="24"/>
        </w:rPr>
        <w:t>。</w:t>
      </w:r>
    </w:p>
    <w:p>
      <w:pPr>
        <w:numPr>
          <w:ilvl w:val="0"/>
          <w:numId w:val="2"/>
        </w:numPr>
        <w:spacing w:line="360" w:lineRule="auto"/>
        <w:ind w:firstLine="480" w:firstLineChars="200"/>
        <w:rPr>
          <w:rFonts w:hint="eastAsia"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lang w:val="en-US" w:eastAsia="zh-CN"/>
        </w:rPr>
        <w:t>钻石名城8号楼-108室：</w:t>
      </w:r>
      <w:r>
        <w:rPr>
          <w:rFonts w:hint="eastAsia" w:asciiTheme="majorEastAsia" w:hAnsiTheme="majorEastAsia" w:eastAsiaTheme="majorEastAsia"/>
          <w:color w:val="auto"/>
          <w:sz w:val="24"/>
          <w:szCs w:val="24"/>
        </w:rPr>
        <w:t>依据委托</w:t>
      </w:r>
      <w:r>
        <w:rPr>
          <w:rFonts w:hint="eastAsia" w:asciiTheme="majorEastAsia" w:hAnsiTheme="majorEastAsia" w:eastAsiaTheme="majorEastAsia"/>
          <w:color w:val="auto"/>
          <w:sz w:val="24"/>
          <w:szCs w:val="24"/>
          <w:lang w:eastAsia="zh-CN"/>
        </w:rPr>
        <w:t>人</w:t>
      </w:r>
      <w:r>
        <w:rPr>
          <w:rFonts w:hint="eastAsia" w:asciiTheme="majorEastAsia" w:hAnsiTheme="majorEastAsia" w:eastAsiaTheme="majorEastAsia"/>
          <w:color w:val="auto"/>
          <w:sz w:val="24"/>
          <w:szCs w:val="24"/>
        </w:rPr>
        <w:t>提供的</w:t>
      </w:r>
      <w:r>
        <w:rPr>
          <w:rFonts w:hint="eastAsia" w:asciiTheme="majorEastAsia" w:hAnsiTheme="majorEastAsia" w:eastAsiaTheme="majorEastAsia"/>
          <w:color w:val="auto"/>
          <w:sz w:val="24"/>
          <w:szCs w:val="24"/>
          <w:lang w:eastAsia="zh-CN"/>
        </w:rPr>
        <w:t>不动产登记证明复印件记载</w:t>
      </w:r>
      <w:r>
        <w:rPr>
          <w:rFonts w:hint="eastAsia"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lang w:eastAsia="zh-CN"/>
        </w:rPr>
        <w:t>房屋义务人为孟首怡、李萍，房屋权利人（申请人）为吉林银行股份有限公司辽支行，不动产单元号为</w:t>
      </w:r>
      <w:r>
        <w:rPr>
          <w:rFonts w:hint="eastAsia" w:asciiTheme="majorEastAsia" w:hAnsiTheme="majorEastAsia" w:eastAsiaTheme="majorEastAsia"/>
          <w:color w:val="auto"/>
          <w:sz w:val="24"/>
          <w:szCs w:val="24"/>
          <w:lang w:val="en-US" w:eastAsia="zh-CN"/>
        </w:rPr>
        <w:t>220402008003GB00027F00080008，房屋用途为商业用房。</w:t>
      </w:r>
    </w:p>
    <w:p>
      <w:pPr>
        <w:numPr>
          <w:ilvl w:val="0"/>
          <w:numId w:val="0"/>
        </w:numPr>
        <w:spacing w:line="360" w:lineRule="auto"/>
        <w:rPr>
          <w:rFonts w:hint="default"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lang w:val="en-US" w:eastAsia="zh-CN"/>
        </w:rPr>
        <w:t xml:space="preserve">    </w:t>
      </w:r>
      <w:r>
        <w:rPr>
          <w:rFonts w:hint="eastAsia" w:asciiTheme="majorEastAsia" w:hAnsiTheme="majorEastAsia" w:eastAsiaTheme="majorEastAsia"/>
          <w:color w:val="auto"/>
          <w:sz w:val="24"/>
          <w:szCs w:val="24"/>
        </w:rPr>
        <w:t>截止</w:t>
      </w:r>
      <w:r>
        <w:rPr>
          <w:rFonts w:hint="eastAsia" w:asciiTheme="majorEastAsia" w:hAnsiTheme="majorEastAsia" w:eastAsiaTheme="majorEastAsia"/>
          <w:color w:val="auto"/>
          <w:sz w:val="24"/>
          <w:szCs w:val="24"/>
          <w:lang w:eastAsia="zh-CN"/>
        </w:rPr>
        <w:t>评估基准日，评估</w:t>
      </w:r>
      <w:r>
        <w:rPr>
          <w:rFonts w:hint="eastAsia" w:asciiTheme="majorEastAsia" w:hAnsiTheme="majorEastAsia" w:eastAsiaTheme="majorEastAsia"/>
          <w:color w:val="auto"/>
          <w:sz w:val="24"/>
          <w:szCs w:val="24"/>
        </w:rPr>
        <w:t>对象</w:t>
      </w:r>
      <w:r>
        <w:rPr>
          <w:rFonts w:hint="eastAsia" w:asciiTheme="majorEastAsia" w:hAnsiTheme="majorEastAsia" w:eastAsiaTheme="majorEastAsia"/>
          <w:color w:val="auto"/>
          <w:sz w:val="24"/>
          <w:szCs w:val="24"/>
          <w:lang w:eastAsia="zh-CN"/>
        </w:rPr>
        <w:t>处于在用状态</w:t>
      </w:r>
      <w:r>
        <w:rPr>
          <w:rFonts w:hint="eastAsia" w:asciiTheme="majorEastAsia" w:hAnsiTheme="majorEastAsia" w:eastAsiaTheme="majorEastAsia"/>
          <w:color w:val="auto"/>
          <w:sz w:val="24"/>
          <w:szCs w:val="24"/>
        </w:rPr>
        <w:t>，房屋所有权人拥有占有、使用、收益</w:t>
      </w:r>
      <w:r>
        <w:rPr>
          <w:rFonts w:hint="eastAsia" w:asciiTheme="majorEastAsia" w:hAnsiTheme="majorEastAsia" w:eastAsiaTheme="majorEastAsia"/>
          <w:color w:val="auto"/>
          <w:sz w:val="24"/>
          <w:szCs w:val="24"/>
          <w:lang w:eastAsia="zh-CN"/>
        </w:rPr>
        <w:t>等权利</w:t>
      </w:r>
      <w:r>
        <w:rPr>
          <w:rFonts w:hint="eastAsia" w:asciiTheme="majorEastAsia" w:hAnsiTheme="majorEastAsia" w:eastAsiaTheme="majorEastAsia"/>
          <w:color w:val="auto"/>
          <w:sz w:val="24"/>
          <w:szCs w:val="24"/>
        </w:rPr>
        <w:t>。依据委托人提供的辽源市</w:t>
      </w:r>
      <w:r>
        <w:rPr>
          <w:rFonts w:hint="eastAsia" w:asciiTheme="majorEastAsia" w:hAnsiTheme="majorEastAsia" w:eastAsiaTheme="majorEastAsia"/>
          <w:color w:val="auto"/>
          <w:sz w:val="24"/>
          <w:szCs w:val="24"/>
          <w:lang w:eastAsia="zh-CN"/>
        </w:rPr>
        <w:t>国土资源局</w:t>
      </w:r>
      <w:r>
        <w:rPr>
          <w:rFonts w:hint="eastAsia" w:asciiTheme="majorEastAsia" w:hAnsiTheme="majorEastAsia" w:eastAsiaTheme="majorEastAsia"/>
          <w:color w:val="auto"/>
          <w:sz w:val="24"/>
          <w:szCs w:val="24"/>
        </w:rPr>
        <w:t>出具的</w:t>
      </w:r>
      <w:r>
        <w:rPr>
          <w:rFonts w:hint="eastAsia" w:asciiTheme="majorEastAsia" w:hAnsiTheme="majorEastAsia" w:eastAsiaTheme="majorEastAsia"/>
          <w:color w:val="auto"/>
          <w:sz w:val="24"/>
          <w:szCs w:val="24"/>
          <w:lang w:eastAsia="zh-CN"/>
        </w:rPr>
        <w:t>《</w:t>
      </w:r>
      <w:r>
        <w:rPr>
          <w:rFonts w:hint="eastAsia" w:asciiTheme="majorEastAsia" w:hAnsiTheme="majorEastAsia" w:eastAsiaTheme="majorEastAsia"/>
          <w:color w:val="auto"/>
          <w:sz w:val="24"/>
          <w:szCs w:val="24"/>
        </w:rPr>
        <w:t>不动产</w:t>
      </w:r>
      <w:r>
        <w:rPr>
          <w:rFonts w:hint="eastAsia" w:asciiTheme="majorEastAsia" w:hAnsiTheme="majorEastAsia" w:eastAsiaTheme="majorEastAsia"/>
          <w:color w:val="auto"/>
          <w:sz w:val="24"/>
          <w:szCs w:val="24"/>
          <w:lang w:eastAsia="zh-CN"/>
        </w:rPr>
        <w:t>登记</w:t>
      </w:r>
      <w:r>
        <w:rPr>
          <w:rFonts w:hint="eastAsia" w:asciiTheme="majorEastAsia" w:hAnsiTheme="majorEastAsia" w:eastAsiaTheme="majorEastAsia"/>
          <w:color w:val="auto"/>
          <w:sz w:val="24"/>
          <w:szCs w:val="24"/>
        </w:rPr>
        <w:t>证明</w:t>
      </w:r>
      <w:r>
        <w:rPr>
          <w:rFonts w:hint="eastAsia" w:asciiTheme="majorEastAsia" w:hAnsiTheme="majorEastAsia" w:eastAsiaTheme="majorEastAsia"/>
          <w:color w:val="auto"/>
          <w:sz w:val="24"/>
          <w:szCs w:val="24"/>
          <w:lang w:eastAsia="zh-CN"/>
        </w:rPr>
        <w:t>》</w:t>
      </w:r>
      <w:r>
        <w:rPr>
          <w:rFonts w:hint="eastAsia"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lang w:eastAsia="zh-CN"/>
        </w:rPr>
        <w:t>该房屋为已抵押状态。</w:t>
      </w:r>
    </w:p>
    <w:p>
      <w:pPr>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highlight w:val="none"/>
          <w:lang w:eastAsia="zh-CN"/>
        </w:rPr>
        <w:t>（二）</w:t>
      </w:r>
      <w:r>
        <w:rPr>
          <w:rFonts w:hint="eastAsia" w:asciiTheme="majorEastAsia" w:hAnsiTheme="majorEastAsia" w:eastAsiaTheme="majorEastAsia"/>
          <w:color w:val="auto"/>
          <w:sz w:val="24"/>
          <w:szCs w:val="24"/>
          <w:highlight w:val="none"/>
        </w:rPr>
        <w:t>实物状况</w:t>
      </w:r>
      <w:r>
        <w:rPr>
          <w:rFonts w:hint="eastAsia" w:asciiTheme="majorEastAsia" w:hAnsiTheme="majorEastAsia" w:eastAsiaTheme="majorEastAsia"/>
          <w:color w:val="auto"/>
          <w:sz w:val="24"/>
          <w:szCs w:val="24"/>
        </w:rPr>
        <w:t>：</w:t>
      </w:r>
    </w:p>
    <w:p>
      <w:pPr>
        <w:numPr>
          <w:ilvl w:val="0"/>
          <w:numId w:val="3"/>
        </w:numPr>
        <w:spacing w:line="360" w:lineRule="auto"/>
        <w:ind w:firstLine="480" w:firstLineChars="200"/>
        <w:rPr>
          <w:rFonts w:hint="eastAsia"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lang w:val="en-US" w:eastAsia="zh-CN"/>
        </w:rPr>
        <w:t>住宅房屋</w:t>
      </w:r>
      <w:r>
        <w:rPr>
          <w:rFonts w:hint="eastAsia"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lang w:eastAsia="zh-CN"/>
        </w:rPr>
        <w:t>住宅</w:t>
      </w:r>
      <w:r>
        <w:rPr>
          <w:rFonts w:hint="eastAsia" w:asciiTheme="majorEastAsia" w:hAnsiTheme="majorEastAsia" w:eastAsiaTheme="majorEastAsia"/>
          <w:color w:val="auto"/>
          <w:sz w:val="24"/>
          <w:szCs w:val="24"/>
          <w:lang w:val="en-US" w:eastAsia="zh-CN"/>
        </w:rPr>
        <w:t>房屋位于</w:t>
      </w:r>
      <w:r>
        <w:rPr>
          <w:rFonts w:hint="eastAsia" w:asciiTheme="majorEastAsia" w:hAnsiTheme="majorEastAsia" w:eastAsiaTheme="majorEastAsia"/>
          <w:color w:val="auto"/>
          <w:sz w:val="24"/>
          <w:szCs w:val="24"/>
          <w:lang w:eastAsia="zh-CN"/>
        </w:rPr>
        <w:t>东方新城BDE座-2441室，建筑面积100.78平方米</w:t>
      </w:r>
      <w:r>
        <w:rPr>
          <w:rFonts w:hint="eastAsia" w:asciiTheme="majorEastAsia" w:hAnsiTheme="majorEastAsia" w:eastAsiaTheme="majorEastAsia"/>
          <w:color w:val="auto"/>
          <w:sz w:val="24"/>
          <w:szCs w:val="24"/>
          <w:lang w:val="en-US" w:eastAsia="zh-CN"/>
        </w:rPr>
        <w:t>，所在层数24层，总层数28层，所属于小区D座。</w:t>
      </w:r>
      <w:r>
        <w:rPr>
          <w:rFonts w:hint="eastAsia" w:asciiTheme="majorEastAsia" w:hAnsiTheme="majorEastAsia" w:eastAsiaTheme="majorEastAsia"/>
          <w:color w:val="auto"/>
          <w:sz w:val="24"/>
          <w:szCs w:val="24"/>
          <w:lang w:eastAsia="zh-CN"/>
        </w:rPr>
        <w:t>该楼</w:t>
      </w:r>
      <w:r>
        <w:rPr>
          <w:rFonts w:hint="eastAsia" w:asciiTheme="majorEastAsia" w:hAnsiTheme="majorEastAsia" w:eastAsiaTheme="majorEastAsia"/>
          <w:color w:val="auto"/>
          <w:sz w:val="24"/>
          <w:szCs w:val="24"/>
          <w:lang w:val="en-US" w:eastAsia="zh-CN"/>
        </w:rPr>
        <w:t>外立面为涂料，进户防盗门，断桥铝窗，室内装修为地面地板，墙面为壁纸，卧室地面为地板，卫生间地面及墙面为瓷砖，房屋格局为三室一厅一厨一卫，水电卫暖齐全。</w:t>
      </w:r>
    </w:p>
    <w:p>
      <w:pPr>
        <w:numPr>
          <w:ilvl w:val="0"/>
          <w:numId w:val="0"/>
        </w:numPr>
        <w:spacing w:line="360" w:lineRule="auto"/>
        <w:rPr>
          <w:rFonts w:hint="default"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lang w:val="en-US" w:eastAsia="zh-CN"/>
        </w:rPr>
        <w:t xml:space="preserve">    2、商业用房：商业用房位于</w:t>
      </w:r>
      <w:r>
        <w:rPr>
          <w:rFonts w:hint="eastAsia" w:asciiTheme="majorEastAsia" w:hAnsiTheme="majorEastAsia" w:eastAsiaTheme="majorEastAsia"/>
          <w:color w:val="auto"/>
          <w:sz w:val="24"/>
          <w:lang w:eastAsia="zh-CN"/>
        </w:rPr>
        <w:t>钻石名城8号楼108室，建筑面积120.63平方米</w:t>
      </w:r>
      <w:r>
        <w:rPr>
          <w:rFonts w:hint="eastAsia" w:asciiTheme="majorEastAsia" w:hAnsiTheme="majorEastAsia" w:eastAsiaTheme="majorEastAsia"/>
          <w:color w:val="auto"/>
          <w:sz w:val="24"/>
          <w:szCs w:val="24"/>
          <w:lang w:val="en-US" w:eastAsia="zh-CN"/>
        </w:rPr>
        <w:t>，所在层数1层，总层数1层。</w:t>
      </w:r>
      <w:r>
        <w:rPr>
          <w:rFonts w:hint="eastAsia" w:asciiTheme="majorEastAsia" w:hAnsiTheme="majorEastAsia" w:eastAsiaTheme="majorEastAsia"/>
          <w:color w:val="auto"/>
          <w:sz w:val="24"/>
          <w:szCs w:val="24"/>
          <w:lang w:eastAsia="zh-CN"/>
        </w:rPr>
        <w:t>该楼</w:t>
      </w:r>
      <w:r>
        <w:rPr>
          <w:rFonts w:hint="eastAsia" w:asciiTheme="majorEastAsia" w:hAnsiTheme="majorEastAsia" w:eastAsiaTheme="majorEastAsia"/>
          <w:color w:val="auto"/>
          <w:sz w:val="24"/>
          <w:szCs w:val="24"/>
          <w:lang w:val="en-US" w:eastAsia="zh-CN"/>
        </w:rPr>
        <w:t>外立面为贴砖，进户铝合金门，断桥铝窗，室内装修为水泥地面，房屋内部隔为两层并配备楼梯，水电卫暖齐全。</w:t>
      </w:r>
    </w:p>
    <w:p>
      <w:pPr>
        <w:numPr>
          <w:ilvl w:val="0"/>
          <w:numId w:val="0"/>
        </w:numPr>
        <w:spacing w:line="460" w:lineRule="exact"/>
        <w:ind w:firstLine="480" w:firstLineChars="200"/>
        <w:rPr>
          <w:rFonts w:hint="eastAsia" w:asciiTheme="majorEastAsia" w:hAnsiTheme="majorEastAsia" w:eastAsiaTheme="majorEastAsia"/>
          <w:color w:val="auto"/>
          <w:sz w:val="24"/>
          <w:szCs w:val="24"/>
        </w:rPr>
      </w:pPr>
      <w:r>
        <w:rPr>
          <w:rFonts w:hint="eastAsia" w:asciiTheme="majorEastAsia" w:hAnsiTheme="majorEastAsia" w:eastAsiaTheme="majorEastAsia"/>
          <w:color w:val="auto"/>
          <w:sz w:val="24"/>
          <w:szCs w:val="24"/>
          <w:lang w:eastAsia="zh-CN"/>
        </w:rPr>
        <w:t>（三）</w:t>
      </w:r>
      <w:r>
        <w:rPr>
          <w:rFonts w:hint="eastAsia" w:asciiTheme="majorEastAsia" w:hAnsiTheme="majorEastAsia" w:eastAsiaTheme="majorEastAsia"/>
          <w:color w:val="auto"/>
          <w:sz w:val="24"/>
          <w:szCs w:val="24"/>
        </w:rPr>
        <w:t>区位状况：</w:t>
      </w:r>
    </w:p>
    <w:p>
      <w:pPr>
        <w:numPr>
          <w:ilvl w:val="0"/>
          <w:numId w:val="0"/>
        </w:numPr>
        <w:spacing w:line="460" w:lineRule="exact"/>
        <w:ind w:firstLine="480" w:firstLineChars="200"/>
        <w:rPr>
          <w:rFonts w:hint="default"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lang w:eastAsia="zh-CN"/>
        </w:rPr>
        <w:t>评估对象所在的东方新城小区</w:t>
      </w:r>
      <w:r>
        <w:rPr>
          <w:rFonts w:hint="eastAsia" w:asciiTheme="majorEastAsia" w:hAnsiTheme="majorEastAsia" w:eastAsiaTheme="majorEastAsia"/>
          <w:color w:val="auto"/>
          <w:sz w:val="24"/>
          <w:szCs w:val="24"/>
        </w:rPr>
        <w:t>东临</w:t>
      </w:r>
      <w:r>
        <w:rPr>
          <w:rFonts w:hint="eastAsia" w:asciiTheme="majorEastAsia" w:hAnsiTheme="majorEastAsia" w:eastAsiaTheme="majorEastAsia"/>
          <w:color w:val="auto"/>
          <w:sz w:val="24"/>
          <w:szCs w:val="24"/>
          <w:lang w:eastAsia="zh-CN"/>
        </w:rPr>
        <w:t>康宁大街</w:t>
      </w:r>
      <w:r>
        <w:rPr>
          <w:rFonts w:hint="eastAsia"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lang w:eastAsia="zh-CN"/>
        </w:rPr>
        <w:t>南临东方广场</w:t>
      </w:r>
      <w:r>
        <w:rPr>
          <w:rFonts w:hint="eastAsia"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lang w:eastAsia="zh-CN"/>
        </w:rPr>
        <w:t>西临小区院内，北临辽源市中医院。</w:t>
      </w:r>
      <w:r>
        <w:rPr>
          <w:rFonts w:hint="eastAsia" w:asciiTheme="majorEastAsia" w:hAnsiTheme="majorEastAsia" w:eastAsiaTheme="majorEastAsia"/>
          <w:color w:val="auto"/>
          <w:sz w:val="24"/>
          <w:szCs w:val="24"/>
        </w:rPr>
        <w:t>该区域各种基础配套设施较完备，交通较便捷</w:t>
      </w:r>
      <w:r>
        <w:rPr>
          <w:rFonts w:hint="eastAsia" w:asciiTheme="majorEastAsia" w:hAnsiTheme="majorEastAsia" w:eastAsiaTheme="majorEastAsia"/>
          <w:color w:val="auto"/>
          <w:sz w:val="24"/>
          <w:szCs w:val="24"/>
          <w:lang w:eastAsia="zh-CN"/>
        </w:rPr>
        <w:t>，商业繁华</w:t>
      </w:r>
      <w:r>
        <w:rPr>
          <w:rFonts w:hint="eastAsia"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lang w:eastAsia="zh-CN"/>
        </w:rPr>
        <w:t>评估对象所在的</w:t>
      </w:r>
      <w:r>
        <w:rPr>
          <w:rFonts w:hint="eastAsia" w:asciiTheme="majorEastAsia" w:hAnsiTheme="majorEastAsia" w:eastAsiaTheme="majorEastAsia"/>
          <w:color w:val="auto"/>
          <w:sz w:val="24"/>
          <w:lang w:eastAsia="zh-CN"/>
        </w:rPr>
        <w:t>钻石名城</w:t>
      </w:r>
      <w:r>
        <w:rPr>
          <w:rFonts w:hint="eastAsia" w:asciiTheme="majorEastAsia" w:hAnsiTheme="majorEastAsia" w:eastAsiaTheme="majorEastAsia"/>
          <w:color w:val="auto"/>
          <w:sz w:val="24"/>
          <w:szCs w:val="24"/>
          <w:lang w:eastAsia="zh-CN"/>
        </w:rPr>
        <w:t>小区</w:t>
      </w:r>
      <w:r>
        <w:rPr>
          <w:rFonts w:hint="eastAsia" w:asciiTheme="majorEastAsia" w:hAnsiTheme="majorEastAsia" w:eastAsiaTheme="majorEastAsia"/>
          <w:color w:val="auto"/>
          <w:sz w:val="24"/>
          <w:szCs w:val="24"/>
        </w:rPr>
        <w:t>东临</w:t>
      </w:r>
      <w:r>
        <w:rPr>
          <w:rFonts w:hint="eastAsia" w:asciiTheme="majorEastAsia" w:hAnsiTheme="majorEastAsia" w:eastAsiaTheme="majorEastAsia"/>
          <w:color w:val="auto"/>
          <w:sz w:val="24"/>
          <w:szCs w:val="24"/>
          <w:lang w:eastAsia="zh-CN"/>
        </w:rPr>
        <w:t>欧亚购物广场</w:t>
      </w:r>
      <w:r>
        <w:rPr>
          <w:rFonts w:hint="eastAsia"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lang w:eastAsia="zh-CN"/>
        </w:rPr>
        <w:t>南临茵特拉根欢乐广场</w:t>
      </w:r>
      <w:r>
        <w:rPr>
          <w:rFonts w:hint="eastAsia"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lang w:eastAsia="zh-CN"/>
        </w:rPr>
        <w:t>西临小区院内，北临财富大路。</w:t>
      </w:r>
      <w:r>
        <w:rPr>
          <w:rFonts w:hint="eastAsia" w:asciiTheme="majorEastAsia" w:hAnsiTheme="majorEastAsia" w:eastAsiaTheme="majorEastAsia"/>
          <w:color w:val="auto"/>
          <w:sz w:val="24"/>
          <w:szCs w:val="24"/>
        </w:rPr>
        <w:t>该区域各种基础配套设施较完备，交通较便捷</w:t>
      </w:r>
      <w:r>
        <w:rPr>
          <w:rFonts w:hint="eastAsia" w:asciiTheme="majorEastAsia" w:hAnsiTheme="majorEastAsia" w:eastAsiaTheme="majorEastAsia"/>
          <w:color w:val="auto"/>
          <w:sz w:val="24"/>
          <w:szCs w:val="24"/>
          <w:lang w:eastAsia="zh-CN"/>
        </w:rPr>
        <w:t>，商业繁华。</w:t>
      </w:r>
    </w:p>
    <w:p>
      <w:pPr>
        <w:spacing w:line="460" w:lineRule="exact"/>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本次评估对象及纳入评估范围的资产与经济行为涉及的评估对象和资产范围一致。</w:t>
      </w:r>
    </w:p>
    <w:p>
      <w:pPr>
        <w:spacing w:line="460" w:lineRule="exact"/>
        <w:ind w:firstLine="482" w:firstLineChars="20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四、价值类型及其定义</w:t>
      </w:r>
    </w:p>
    <w:p>
      <w:pPr>
        <w:spacing w:line="360" w:lineRule="auto"/>
        <w:ind w:firstLine="480" w:firstLineChars="200"/>
        <w:rPr>
          <w:rFonts w:hint="eastAsia"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lang w:val="en-US" w:eastAsia="zh-CN"/>
        </w:rPr>
        <w:t>资产评估的价值类型是建立在与之相匹配的条件和基础之上的，执行资产评估业务，选择和使用价值类型，应充分考虑评估目的、市场条件和评估对象自身条件等因素。本次资产评估业务影响评估对象价值的因素均无特殊要求，因而选用市场价值作为本次评估结论的价值类型。</w:t>
      </w:r>
    </w:p>
    <w:p>
      <w:pPr>
        <w:spacing w:line="360" w:lineRule="auto"/>
        <w:ind w:firstLine="480" w:firstLineChars="200"/>
        <w:rPr>
          <w:rFonts w:hint="eastAsia"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lang w:val="en-US" w:eastAsia="zh-CN"/>
        </w:rPr>
        <w:t>市场价值是指自愿买方和自愿卖方在各自理性行事且未受任何强迫的情况下，评估对象在评估基准日进行正常公平交易的价值估计数额。但不考虑估价对象抵押、查封等因素对价值的影响。不考虑估价对象抵押、查封等因素对价值的影响，是指估价结果不扣除估价对象已抵押担保的债权数额，或拖欠的建设工程价款等法定优先受偿款。</w:t>
      </w:r>
    </w:p>
    <w:p>
      <w:pPr>
        <w:spacing w:line="360" w:lineRule="auto"/>
        <w:ind w:firstLine="480" w:firstLineChars="200"/>
        <w:rPr>
          <w:rFonts w:hint="eastAsia"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lang w:val="en-US" w:eastAsia="zh-CN"/>
        </w:rPr>
        <w:t>本报告所称“评估价值”,是指所约定的评估范围与对象在本报告约定的价值类型、评估假设和前提条件下,按照本报告所述程序和方法, 仅为本报告约定评估目的服务而提出的评估意见。需要说明的是,同一资产在不同市场的价值可能存在差异，本次评估基于国内可观察或分析的市场条件和市场环境状况。</w:t>
      </w:r>
    </w:p>
    <w:p>
      <w:pPr>
        <w:spacing w:line="460" w:lineRule="exact"/>
        <w:ind w:firstLine="482" w:firstLineChars="20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五、评估基准日期</w:t>
      </w:r>
    </w:p>
    <w:p>
      <w:pPr>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000000"/>
          <w:sz w:val="24"/>
          <w:szCs w:val="24"/>
        </w:rPr>
        <w:t>（一）本项目评估基准日</w:t>
      </w:r>
      <w:r>
        <w:rPr>
          <w:rFonts w:hint="eastAsia" w:asciiTheme="majorEastAsia" w:hAnsiTheme="majorEastAsia" w:eastAsiaTheme="majorEastAsia"/>
          <w:color w:val="auto"/>
          <w:sz w:val="24"/>
          <w:szCs w:val="24"/>
        </w:rPr>
        <w:t>为202</w:t>
      </w:r>
      <w:r>
        <w:rPr>
          <w:rFonts w:hint="eastAsia" w:asciiTheme="majorEastAsia" w:hAnsiTheme="majorEastAsia" w:eastAsiaTheme="majorEastAsia"/>
          <w:color w:val="auto"/>
          <w:sz w:val="24"/>
          <w:szCs w:val="24"/>
          <w:lang w:val="en-US" w:eastAsia="zh-CN"/>
        </w:rPr>
        <w:t>1</w:t>
      </w:r>
      <w:r>
        <w:rPr>
          <w:rFonts w:hint="eastAsia" w:asciiTheme="majorEastAsia" w:hAnsiTheme="majorEastAsia" w:eastAsiaTheme="majorEastAsia"/>
          <w:color w:val="auto"/>
          <w:sz w:val="24"/>
          <w:szCs w:val="24"/>
        </w:rPr>
        <w:t>年</w:t>
      </w:r>
      <w:r>
        <w:rPr>
          <w:rFonts w:hint="eastAsia" w:asciiTheme="majorEastAsia" w:hAnsiTheme="majorEastAsia" w:eastAsiaTheme="majorEastAsia"/>
          <w:color w:val="auto"/>
          <w:sz w:val="24"/>
          <w:szCs w:val="24"/>
          <w:lang w:val="en-US" w:eastAsia="zh-CN"/>
        </w:rPr>
        <w:t>2</w:t>
      </w:r>
      <w:r>
        <w:rPr>
          <w:rFonts w:hint="eastAsia" w:asciiTheme="majorEastAsia" w:hAnsiTheme="majorEastAsia" w:eastAsiaTheme="majorEastAsia"/>
          <w:color w:val="auto"/>
          <w:sz w:val="24"/>
          <w:szCs w:val="24"/>
        </w:rPr>
        <w:t>月</w:t>
      </w:r>
      <w:r>
        <w:rPr>
          <w:rFonts w:hint="eastAsia" w:asciiTheme="majorEastAsia" w:hAnsiTheme="majorEastAsia" w:eastAsiaTheme="majorEastAsia"/>
          <w:color w:val="auto"/>
          <w:sz w:val="24"/>
          <w:szCs w:val="24"/>
          <w:lang w:val="en-US" w:eastAsia="zh-CN"/>
        </w:rPr>
        <w:t>10</w:t>
      </w:r>
      <w:r>
        <w:rPr>
          <w:rFonts w:hint="eastAsia" w:asciiTheme="majorEastAsia" w:hAnsiTheme="majorEastAsia" w:eastAsiaTheme="majorEastAsia"/>
          <w:color w:val="auto"/>
          <w:sz w:val="24"/>
          <w:szCs w:val="24"/>
        </w:rPr>
        <w:t>日。</w:t>
      </w:r>
    </w:p>
    <w:p>
      <w:pPr>
        <w:spacing w:line="360" w:lineRule="auto"/>
        <w:ind w:firstLine="480" w:firstLineChars="200"/>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（二）按照评估基准日尽可能与资产评估对应的经济行为实现日接近的原则，由</w:t>
      </w:r>
      <w:r>
        <w:rPr>
          <w:rFonts w:hint="eastAsia" w:asciiTheme="majorEastAsia" w:hAnsiTheme="majorEastAsia" w:eastAsiaTheme="majorEastAsia"/>
          <w:color w:val="000000"/>
          <w:sz w:val="24"/>
          <w:szCs w:val="24"/>
          <w:lang w:eastAsia="zh-CN"/>
        </w:rPr>
        <w:t>委托人</w:t>
      </w:r>
      <w:r>
        <w:rPr>
          <w:rFonts w:hint="eastAsia" w:asciiTheme="majorEastAsia" w:hAnsiTheme="majorEastAsia" w:eastAsiaTheme="majorEastAsia"/>
          <w:color w:val="000000"/>
          <w:sz w:val="24"/>
          <w:szCs w:val="24"/>
        </w:rPr>
        <w:t>确定评估基准日。</w:t>
      </w:r>
    </w:p>
    <w:p>
      <w:pPr>
        <w:spacing w:line="360" w:lineRule="auto"/>
        <w:ind w:firstLine="480" w:firstLineChars="200"/>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（三）本次资产评估的工作中，评估范围的界定、评估参数的选取、评估价值的确定等，均以评估基准日外部经济环境以及市场情况确定。</w:t>
      </w:r>
    </w:p>
    <w:p>
      <w:pPr>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color w:val="000000"/>
          <w:sz w:val="24"/>
          <w:szCs w:val="24"/>
        </w:rPr>
        <w:t>本报告书中一切取价标准均为评估基准日有效的价格标准。</w:t>
      </w:r>
    </w:p>
    <w:p>
      <w:pPr>
        <w:spacing w:line="460" w:lineRule="exact"/>
        <w:ind w:firstLine="482" w:firstLineChars="200"/>
        <w:jc w:val="left"/>
        <w:rPr>
          <w:rFonts w:asciiTheme="majorEastAsia" w:hAnsiTheme="majorEastAsia" w:eastAsiaTheme="majorEastAsia"/>
          <w:sz w:val="24"/>
          <w:szCs w:val="24"/>
        </w:rPr>
      </w:pPr>
      <w:r>
        <w:rPr>
          <w:rFonts w:hint="eastAsia" w:asciiTheme="majorEastAsia" w:hAnsiTheme="majorEastAsia" w:eastAsiaTheme="majorEastAsia"/>
          <w:b/>
          <w:sz w:val="24"/>
          <w:szCs w:val="24"/>
        </w:rPr>
        <w:t>六、评估依据</w:t>
      </w:r>
    </w:p>
    <w:p>
      <w:pPr>
        <w:tabs>
          <w:tab w:val="left" w:pos="8080"/>
        </w:tabs>
        <w:spacing w:line="360" w:lineRule="auto"/>
        <w:ind w:firstLine="360" w:firstLineChars="150"/>
        <w:textAlignment w:val="top"/>
        <w:rPr>
          <w:rFonts w:asciiTheme="majorEastAsia" w:hAnsiTheme="majorEastAsia" w:eastAsiaTheme="majorEastAsia"/>
          <w:bCs/>
          <w:sz w:val="24"/>
          <w:szCs w:val="24"/>
        </w:rPr>
      </w:pPr>
      <w:r>
        <w:rPr>
          <w:rFonts w:hint="eastAsia" w:asciiTheme="majorEastAsia" w:hAnsiTheme="majorEastAsia" w:eastAsiaTheme="majorEastAsia"/>
          <w:sz w:val="24"/>
          <w:szCs w:val="24"/>
        </w:rPr>
        <w:t>（一）行为依据</w:t>
      </w:r>
    </w:p>
    <w:p>
      <w:pPr>
        <w:snapToGrid w:val="0"/>
        <w:spacing w:line="360" w:lineRule="auto"/>
        <w:ind w:firstLine="480" w:firstLineChars="200"/>
        <w:textAlignment w:val="top"/>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1.</w:t>
      </w:r>
      <w:r>
        <w:rPr>
          <w:rFonts w:hint="eastAsia" w:asciiTheme="majorEastAsia" w:hAnsiTheme="majorEastAsia" w:eastAsiaTheme="majorEastAsia"/>
          <w:color w:val="auto"/>
          <w:sz w:val="24"/>
          <w:szCs w:val="24"/>
          <w:lang w:eastAsia="zh-CN"/>
        </w:rPr>
        <w:t>辽源市龙山区人民法院司法辅助办公室</w:t>
      </w:r>
      <w:r>
        <w:rPr>
          <w:rFonts w:hint="eastAsia" w:asciiTheme="majorEastAsia" w:hAnsiTheme="majorEastAsia" w:eastAsiaTheme="majorEastAsia"/>
          <w:color w:val="auto"/>
          <w:sz w:val="24"/>
          <w:lang w:eastAsia="zh-CN"/>
        </w:rPr>
        <w:t>《司法</w:t>
      </w:r>
      <w:r>
        <w:rPr>
          <w:rFonts w:hint="eastAsia" w:asciiTheme="majorEastAsia" w:hAnsiTheme="majorEastAsia" w:eastAsiaTheme="majorEastAsia"/>
          <w:color w:val="auto"/>
          <w:sz w:val="24"/>
        </w:rPr>
        <w:t>鉴定委托书</w:t>
      </w:r>
      <w:r>
        <w:rPr>
          <w:rFonts w:hint="eastAsia" w:asciiTheme="majorEastAsia" w:hAnsiTheme="majorEastAsia" w:eastAsiaTheme="majorEastAsia"/>
          <w:color w:val="auto"/>
          <w:sz w:val="24"/>
          <w:lang w:eastAsia="zh-CN"/>
        </w:rPr>
        <w:t>》（（</w:t>
      </w:r>
      <w:r>
        <w:rPr>
          <w:rFonts w:hint="eastAsia" w:asciiTheme="majorEastAsia" w:hAnsiTheme="majorEastAsia" w:eastAsiaTheme="majorEastAsia"/>
          <w:color w:val="auto"/>
          <w:sz w:val="24"/>
          <w:lang w:val="en-US" w:eastAsia="zh-CN"/>
        </w:rPr>
        <w:t>2021</w:t>
      </w:r>
      <w:r>
        <w:rPr>
          <w:rFonts w:hint="eastAsia" w:asciiTheme="majorEastAsia" w:hAnsiTheme="majorEastAsia" w:eastAsiaTheme="majorEastAsia"/>
          <w:color w:val="auto"/>
          <w:sz w:val="24"/>
          <w:lang w:eastAsia="zh-CN"/>
        </w:rPr>
        <w:t>）吉</w:t>
      </w:r>
      <w:r>
        <w:rPr>
          <w:rFonts w:hint="eastAsia" w:asciiTheme="majorEastAsia" w:hAnsiTheme="majorEastAsia" w:eastAsiaTheme="majorEastAsia"/>
          <w:color w:val="auto"/>
          <w:sz w:val="24"/>
          <w:lang w:val="en-US" w:eastAsia="zh-CN"/>
        </w:rPr>
        <w:t>0402委评15号</w:t>
      </w:r>
      <w:r>
        <w:rPr>
          <w:rFonts w:hint="eastAsia" w:asciiTheme="majorEastAsia" w:hAnsiTheme="majorEastAsia" w:eastAsiaTheme="majorEastAsia"/>
          <w:color w:val="auto"/>
          <w:sz w:val="24"/>
          <w:szCs w:val="24"/>
        </w:rPr>
        <w:t>。</w:t>
      </w:r>
    </w:p>
    <w:p>
      <w:pPr>
        <w:snapToGrid w:val="0"/>
        <w:spacing w:line="360" w:lineRule="auto"/>
        <w:ind w:firstLine="360" w:firstLineChars="15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rPr>
        <w:t>（二）法律、法规等依据</w:t>
      </w:r>
    </w:p>
    <w:p>
      <w:pPr>
        <w:snapToGrid w:val="0"/>
        <w:spacing w:line="360" w:lineRule="auto"/>
        <w:ind w:firstLine="480" w:firstLineChars="200"/>
        <w:textAlignment w:val="top"/>
        <w:rPr>
          <w:rFonts w:hint="default"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1.《中华人民共和国民法典》（2021年1月1日起施行）；</w:t>
      </w:r>
    </w:p>
    <w:p>
      <w:pPr>
        <w:snapToGrid w:val="0"/>
        <w:spacing w:line="360" w:lineRule="auto"/>
        <w:ind w:firstLine="480" w:firstLineChars="200"/>
        <w:textAlignment w:val="top"/>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2</w:t>
      </w:r>
      <w:r>
        <w:rPr>
          <w:rFonts w:asciiTheme="majorEastAsia" w:hAnsiTheme="majorEastAsia" w:eastAsiaTheme="majorEastAsia"/>
          <w:sz w:val="24"/>
          <w:szCs w:val="24"/>
        </w:rPr>
        <w:t>.</w:t>
      </w:r>
      <w:r>
        <w:rPr>
          <w:rFonts w:hint="eastAsia" w:asciiTheme="majorEastAsia" w:hAnsiTheme="majorEastAsia" w:eastAsiaTheme="majorEastAsia"/>
          <w:sz w:val="24"/>
          <w:szCs w:val="24"/>
        </w:rPr>
        <w:t>《中华人民共和国资产评估法》</w:t>
      </w:r>
      <w:r>
        <w:rPr>
          <w:rFonts w:hint="eastAsia" w:asciiTheme="majorEastAsia" w:hAnsiTheme="majorEastAsia" w:eastAsiaTheme="majorEastAsia"/>
          <w:sz w:val="24"/>
          <w:szCs w:val="24"/>
          <w:lang w:val="zh-CN"/>
        </w:rPr>
        <w:t>（</w:t>
      </w:r>
      <w:r>
        <w:rPr>
          <w:rFonts w:asciiTheme="majorEastAsia" w:hAnsiTheme="majorEastAsia" w:eastAsiaTheme="majorEastAsia"/>
          <w:sz w:val="24"/>
          <w:szCs w:val="24"/>
          <w:lang w:val="zh-CN"/>
        </w:rPr>
        <w:t>2016</w:t>
      </w:r>
      <w:r>
        <w:rPr>
          <w:rFonts w:hint="eastAsia" w:asciiTheme="majorEastAsia" w:hAnsiTheme="majorEastAsia" w:eastAsiaTheme="majorEastAsia"/>
          <w:sz w:val="24"/>
          <w:szCs w:val="24"/>
          <w:lang w:val="zh-CN"/>
        </w:rPr>
        <w:t>年</w:t>
      </w:r>
      <w:r>
        <w:rPr>
          <w:rFonts w:asciiTheme="majorEastAsia" w:hAnsiTheme="majorEastAsia" w:eastAsiaTheme="majorEastAsia"/>
          <w:sz w:val="24"/>
          <w:szCs w:val="24"/>
          <w:lang w:val="zh-CN"/>
        </w:rPr>
        <w:t>7</w:t>
      </w:r>
      <w:r>
        <w:rPr>
          <w:rFonts w:hint="eastAsia" w:asciiTheme="majorEastAsia" w:hAnsiTheme="majorEastAsia" w:eastAsiaTheme="majorEastAsia"/>
          <w:sz w:val="24"/>
          <w:szCs w:val="24"/>
          <w:lang w:val="zh-CN"/>
        </w:rPr>
        <w:t>月</w:t>
      </w:r>
      <w:r>
        <w:rPr>
          <w:rFonts w:asciiTheme="majorEastAsia" w:hAnsiTheme="majorEastAsia" w:eastAsiaTheme="majorEastAsia"/>
          <w:sz w:val="24"/>
          <w:szCs w:val="24"/>
          <w:lang w:val="zh-CN"/>
        </w:rPr>
        <w:t>2</w:t>
      </w:r>
      <w:r>
        <w:rPr>
          <w:rFonts w:hint="eastAsia" w:asciiTheme="majorEastAsia" w:hAnsiTheme="majorEastAsia" w:eastAsiaTheme="majorEastAsia"/>
          <w:sz w:val="24"/>
          <w:szCs w:val="24"/>
          <w:lang w:val="zh-CN"/>
        </w:rPr>
        <w:t>日中华人民共和国主席令第46号）</w:t>
      </w:r>
      <w:r>
        <w:rPr>
          <w:rFonts w:hint="eastAsia" w:asciiTheme="majorEastAsia" w:hAnsiTheme="majorEastAsia" w:eastAsiaTheme="majorEastAsia"/>
          <w:sz w:val="24"/>
          <w:szCs w:val="24"/>
        </w:rPr>
        <w:t>；</w:t>
      </w:r>
    </w:p>
    <w:p>
      <w:pPr>
        <w:pStyle w:val="4"/>
        <w:tabs>
          <w:tab w:val="left" w:pos="0"/>
        </w:tabs>
        <w:snapToGrid w:val="0"/>
        <w:ind w:firstLine="480" w:firstLineChars="200"/>
        <w:rPr>
          <w:rFonts w:cs="Arial" w:asciiTheme="majorEastAsia" w:hAnsiTheme="majorEastAsia" w:eastAsiaTheme="majorEastAsia"/>
          <w:color w:val="auto"/>
          <w:sz w:val="24"/>
          <w:szCs w:val="24"/>
        </w:rPr>
      </w:pPr>
      <w:r>
        <w:rPr>
          <w:rFonts w:hint="eastAsia" w:asciiTheme="majorEastAsia" w:hAnsiTheme="majorEastAsia" w:eastAsiaTheme="majorEastAsia"/>
          <w:color w:val="auto"/>
          <w:sz w:val="24"/>
          <w:szCs w:val="24"/>
          <w:lang w:val="en-US" w:eastAsia="zh-CN"/>
        </w:rPr>
        <w:t>3</w:t>
      </w:r>
      <w:r>
        <w:rPr>
          <w:rFonts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rPr>
        <w:t>《中华人民共和国城市房地产管理法》</w:t>
      </w:r>
      <w:r>
        <w:rPr>
          <w:rFonts w:asciiTheme="majorEastAsia" w:hAnsiTheme="majorEastAsia" w:eastAsiaTheme="majorEastAsia"/>
          <w:color w:val="auto"/>
          <w:sz w:val="24"/>
          <w:szCs w:val="24"/>
        </w:rPr>
        <w:t>(2007</w:t>
      </w:r>
      <w:r>
        <w:rPr>
          <w:rFonts w:hint="eastAsia" w:asciiTheme="majorEastAsia" w:hAnsiTheme="majorEastAsia" w:eastAsiaTheme="majorEastAsia"/>
          <w:color w:val="auto"/>
          <w:sz w:val="24"/>
          <w:szCs w:val="24"/>
        </w:rPr>
        <w:t>年</w:t>
      </w:r>
      <w:r>
        <w:rPr>
          <w:rFonts w:asciiTheme="majorEastAsia" w:hAnsiTheme="majorEastAsia" w:eastAsiaTheme="majorEastAsia"/>
          <w:color w:val="auto"/>
          <w:sz w:val="24"/>
          <w:szCs w:val="24"/>
        </w:rPr>
        <w:t>8</w:t>
      </w:r>
      <w:r>
        <w:rPr>
          <w:rFonts w:hint="eastAsia" w:asciiTheme="majorEastAsia" w:hAnsiTheme="majorEastAsia" w:eastAsiaTheme="majorEastAsia"/>
          <w:color w:val="auto"/>
          <w:sz w:val="24"/>
          <w:szCs w:val="24"/>
        </w:rPr>
        <w:t>月</w:t>
      </w:r>
      <w:r>
        <w:rPr>
          <w:rFonts w:asciiTheme="majorEastAsia" w:hAnsiTheme="majorEastAsia" w:eastAsiaTheme="majorEastAsia"/>
          <w:color w:val="auto"/>
          <w:sz w:val="24"/>
          <w:szCs w:val="24"/>
        </w:rPr>
        <w:t>30</w:t>
      </w:r>
      <w:r>
        <w:rPr>
          <w:rFonts w:hint="eastAsia" w:asciiTheme="majorEastAsia" w:hAnsiTheme="majorEastAsia" w:eastAsiaTheme="majorEastAsia"/>
          <w:color w:val="auto"/>
          <w:sz w:val="24"/>
          <w:szCs w:val="24"/>
        </w:rPr>
        <w:t>日中华人民共和国主席令第</w:t>
      </w:r>
      <w:r>
        <w:rPr>
          <w:rFonts w:asciiTheme="majorEastAsia" w:hAnsiTheme="majorEastAsia" w:eastAsiaTheme="majorEastAsia"/>
          <w:color w:val="auto"/>
          <w:sz w:val="24"/>
          <w:szCs w:val="24"/>
        </w:rPr>
        <w:t>72</w:t>
      </w:r>
      <w:r>
        <w:rPr>
          <w:rFonts w:hint="eastAsia" w:asciiTheme="majorEastAsia" w:hAnsiTheme="majorEastAsia" w:eastAsiaTheme="majorEastAsia"/>
          <w:color w:val="auto"/>
          <w:sz w:val="24"/>
          <w:szCs w:val="24"/>
        </w:rPr>
        <w:t>号</w:t>
      </w:r>
      <w:r>
        <w:rPr>
          <w:rFonts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rPr>
        <w:t>；</w:t>
      </w:r>
    </w:p>
    <w:p>
      <w:pPr>
        <w:pStyle w:val="4"/>
        <w:tabs>
          <w:tab w:val="left" w:pos="0"/>
          <w:tab w:val="left" w:pos="504"/>
        </w:tabs>
        <w:snapToGrid w:val="0"/>
        <w:ind w:firstLine="480" w:firstLineChars="200"/>
        <w:rPr>
          <w:rFonts w:cs="Arial" w:asciiTheme="majorEastAsia" w:hAnsiTheme="majorEastAsia" w:eastAsiaTheme="majorEastAsia"/>
          <w:color w:val="auto"/>
          <w:sz w:val="24"/>
          <w:szCs w:val="24"/>
        </w:rPr>
      </w:pPr>
      <w:r>
        <w:rPr>
          <w:rFonts w:hint="eastAsia" w:cs="Arial" w:asciiTheme="majorEastAsia" w:hAnsiTheme="majorEastAsia" w:eastAsiaTheme="majorEastAsia"/>
          <w:color w:val="auto"/>
          <w:sz w:val="24"/>
          <w:szCs w:val="24"/>
          <w:lang w:val="en-US" w:eastAsia="zh-CN"/>
        </w:rPr>
        <w:t>4</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《全国人民代表大会常务委员会关于司法鉴定管理问题的决定》（根据2015年4月24日第十二届全国人民代表大会常务委员会第十四次会议《关于修改&lt;中华人民共和国义务教育法&gt;等五部法律的决定》修正）；</w:t>
      </w:r>
    </w:p>
    <w:p>
      <w:pPr>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lang w:val="en-US" w:eastAsia="zh-CN"/>
        </w:rPr>
        <w:t>5</w:t>
      </w:r>
      <w:r>
        <w:rPr>
          <w:rFonts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rPr>
        <w:t>《司法鉴定程序通则》（中华人民共和国司法部令第132号）；</w:t>
      </w:r>
    </w:p>
    <w:p>
      <w:pPr>
        <w:pStyle w:val="5"/>
        <w:spacing w:line="360" w:lineRule="auto"/>
        <w:ind w:firstLine="480" w:firstLineChars="200"/>
        <w:rPr>
          <w:rFonts w:asciiTheme="majorEastAsia" w:hAnsiTheme="majorEastAsia" w:eastAsiaTheme="majorEastAsia"/>
          <w:color w:val="auto"/>
          <w:sz w:val="24"/>
          <w:szCs w:val="24"/>
        </w:rPr>
      </w:pPr>
      <w:r>
        <w:rPr>
          <w:rFonts w:hint="eastAsia" w:cs="Arial" w:asciiTheme="majorEastAsia" w:hAnsiTheme="majorEastAsia" w:eastAsiaTheme="majorEastAsia"/>
          <w:color w:val="auto"/>
          <w:sz w:val="24"/>
          <w:szCs w:val="24"/>
          <w:lang w:val="en-US" w:eastAsia="zh-CN"/>
        </w:rPr>
        <w:t>6</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《最高人民法院对外委托鉴定、评估、拍卖等工作管理规定</w:t>
      </w:r>
      <w:r>
        <w:rPr>
          <w:rFonts w:hint="eastAsia" w:asciiTheme="majorEastAsia" w:hAnsiTheme="majorEastAsia" w:eastAsiaTheme="majorEastAsia"/>
          <w:color w:val="auto"/>
          <w:sz w:val="24"/>
          <w:szCs w:val="24"/>
        </w:rPr>
        <w:t>》（法办发</w:t>
      </w:r>
      <w:r>
        <w:rPr>
          <w:rFonts w:hint="eastAsia" w:cs="Arial" w:asciiTheme="majorEastAsia" w:hAnsiTheme="majorEastAsia" w:eastAsiaTheme="majorEastAsia"/>
          <w:color w:val="auto"/>
          <w:sz w:val="24"/>
          <w:szCs w:val="24"/>
        </w:rPr>
        <w:t>〔</w:t>
      </w:r>
      <w:r>
        <w:rPr>
          <w:rFonts w:cs="Arial" w:asciiTheme="majorEastAsia" w:hAnsiTheme="majorEastAsia" w:eastAsiaTheme="majorEastAsia"/>
          <w:color w:val="auto"/>
          <w:sz w:val="24"/>
          <w:szCs w:val="24"/>
        </w:rPr>
        <w:t>200</w:t>
      </w:r>
      <w:r>
        <w:rPr>
          <w:rFonts w:hint="eastAsia" w:cs="Arial" w:asciiTheme="majorEastAsia" w:hAnsiTheme="majorEastAsia" w:eastAsiaTheme="majorEastAsia"/>
          <w:color w:val="auto"/>
          <w:sz w:val="24"/>
          <w:szCs w:val="24"/>
        </w:rPr>
        <w:t>7〕5号</w:t>
      </w:r>
      <w:r>
        <w:rPr>
          <w:rFonts w:hint="eastAsia" w:asciiTheme="majorEastAsia" w:hAnsiTheme="majorEastAsia" w:eastAsiaTheme="majorEastAsia"/>
          <w:color w:val="auto"/>
          <w:sz w:val="24"/>
          <w:szCs w:val="24"/>
        </w:rPr>
        <w:t>；</w:t>
      </w:r>
    </w:p>
    <w:p>
      <w:pPr>
        <w:pStyle w:val="5"/>
        <w:spacing w:line="360" w:lineRule="auto"/>
        <w:ind w:firstLine="480" w:firstLineChars="200"/>
        <w:rPr>
          <w:rFonts w:cs="Arial" w:asciiTheme="majorEastAsia" w:hAnsiTheme="majorEastAsia" w:eastAsiaTheme="majorEastAsia"/>
          <w:color w:val="auto"/>
          <w:sz w:val="24"/>
          <w:szCs w:val="24"/>
        </w:rPr>
      </w:pPr>
      <w:r>
        <w:rPr>
          <w:rFonts w:hint="eastAsia" w:cs="Arial" w:asciiTheme="majorEastAsia" w:hAnsiTheme="majorEastAsia" w:eastAsiaTheme="majorEastAsia"/>
          <w:color w:val="auto"/>
          <w:sz w:val="24"/>
          <w:szCs w:val="24"/>
          <w:lang w:val="en-US" w:eastAsia="zh-CN"/>
        </w:rPr>
        <w:t>7</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最高人民法院关于人民法院确定财产处置参考价若干问题的规定</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法释〔</w:t>
      </w:r>
      <w:r>
        <w:rPr>
          <w:rFonts w:cs="Arial" w:asciiTheme="majorEastAsia" w:hAnsiTheme="majorEastAsia" w:eastAsiaTheme="majorEastAsia"/>
          <w:color w:val="auto"/>
          <w:sz w:val="24"/>
          <w:szCs w:val="24"/>
        </w:rPr>
        <w:t>2018</w:t>
      </w:r>
      <w:r>
        <w:rPr>
          <w:rFonts w:hint="eastAsia" w:cs="Arial" w:asciiTheme="majorEastAsia" w:hAnsiTheme="majorEastAsia" w:eastAsiaTheme="majorEastAsia"/>
          <w:color w:val="auto"/>
          <w:sz w:val="24"/>
          <w:szCs w:val="24"/>
        </w:rPr>
        <w:t>〕</w:t>
      </w:r>
      <w:r>
        <w:rPr>
          <w:rFonts w:cs="Arial" w:asciiTheme="majorEastAsia" w:hAnsiTheme="majorEastAsia" w:eastAsiaTheme="majorEastAsia"/>
          <w:color w:val="auto"/>
          <w:sz w:val="24"/>
          <w:szCs w:val="24"/>
        </w:rPr>
        <w:t>15</w:t>
      </w:r>
      <w:r>
        <w:rPr>
          <w:rFonts w:hint="eastAsia" w:cs="Arial" w:asciiTheme="majorEastAsia" w:hAnsiTheme="majorEastAsia" w:eastAsiaTheme="majorEastAsia"/>
          <w:color w:val="auto"/>
          <w:sz w:val="24"/>
          <w:szCs w:val="24"/>
        </w:rPr>
        <w:t>号</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w:t>
      </w:r>
    </w:p>
    <w:p>
      <w:pPr>
        <w:pStyle w:val="5"/>
        <w:spacing w:line="360" w:lineRule="auto"/>
        <w:ind w:firstLine="480" w:firstLineChars="200"/>
        <w:rPr>
          <w:rFonts w:cs="Arial" w:asciiTheme="majorEastAsia" w:hAnsiTheme="majorEastAsia" w:eastAsiaTheme="majorEastAsia"/>
          <w:color w:val="auto"/>
          <w:sz w:val="24"/>
          <w:szCs w:val="24"/>
        </w:rPr>
      </w:pPr>
      <w:r>
        <w:rPr>
          <w:rFonts w:hint="eastAsia" w:cs="Arial" w:asciiTheme="majorEastAsia" w:hAnsiTheme="majorEastAsia" w:eastAsiaTheme="majorEastAsia"/>
          <w:color w:val="auto"/>
          <w:sz w:val="24"/>
          <w:szCs w:val="24"/>
          <w:lang w:val="en-US" w:eastAsia="zh-CN"/>
        </w:rPr>
        <w:t>8</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《人民法院委托评估工作规范》</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法办〔</w:t>
      </w:r>
      <w:r>
        <w:rPr>
          <w:rFonts w:cs="Arial" w:asciiTheme="majorEastAsia" w:hAnsiTheme="majorEastAsia" w:eastAsiaTheme="majorEastAsia"/>
          <w:color w:val="auto"/>
          <w:sz w:val="24"/>
          <w:szCs w:val="24"/>
        </w:rPr>
        <w:t>2018</w:t>
      </w:r>
      <w:r>
        <w:rPr>
          <w:rFonts w:hint="eastAsia" w:cs="Arial" w:asciiTheme="majorEastAsia" w:hAnsiTheme="majorEastAsia" w:eastAsiaTheme="majorEastAsia"/>
          <w:color w:val="auto"/>
          <w:sz w:val="24"/>
          <w:szCs w:val="24"/>
        </w:rPr>
        <w:t>〕</w:t>
      </w:r>
      <w:r>
        <w:rPr>
          <w:rFonts w:cs="Arial" w:asciiTheme="majorEastAsia" w:hAnsiTheme="majorEastAsia" w:eastAsiaTheme="majorEastAsia"/>
          <w:color w:val="auto"/>
          <w:sz w:val="24"/>
          <w:szCs w:val="24"/>
        </w:rPr>
        <w:t>273</w:t>
      </w:r>
      <w:r>
        <w:rPr>
          <w:rFonts w:hint="eastAsia" w:cs="Arial" w:asciiTheme="majorEastAsia" w:hAnsiTheme="majorEastAsia" w:eastAsiaTheme="majorEastAsia"/>
          <w:color w:val="auto"/>
          <w:sz w:val="24"/>
          <w:szCs w:val="24"/>
        </w:rPr>
        <w:t>号</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w:t>
      </w:r>
    </w:p>
    <w:p>
      <w:pPr>
        <w:pStyle w:val="2"/>
        <w:adjustRightInd/>
        <w:spacing w:before="0" w:after="0" w:line="360" w:lineRule="auto"/>
        <w:ind w:firstLine="420" w:firstLineChars="175"/>
        <w:rPr>
          <w:rFonts w:asciiTheme="majorEastAsia" w:hAnsiTheme="majorEastAsia" w:eastAsiaTheme="majorEastAsia"/>
          <w:sz w:val="24"/>
          <w:szCs w:val="24"/>
        </w:rPr>
      </w:pPr>
      <w:r>
        <w:rPr>
          <w:rFonts w:hint="eastAsia" w:asciiTheme="majorEastAsia" w:hAnsiTheme="majorEastAsia" w:eastAsiaTheme="majorEastAsia"/>
          <w:sz w:val="24"/>
          <w:szCs w:val="24"/>
        </w:rPr>
        <w:t>（三）</w:t>
      </w:r>
      <w:bookmarkStart w:id="10" w:name="_Toc213846102"/>
      <w:r>
        <w:rPr>
          <w:rFonts w:hint="eastAsia" w:asciiTheme="majorEastAsia" w:hAnsiTheme="majorEastAsia" w:eastAsiaTheme="majorEastAsia"/>
          <w:sz w:val="24"/>
          <w:szCs w:val="24"/>
        </w:rPr>
        <w:t>准则依据</w:t>
      </w:r>
      <w:bookmarkEnd w:id="10"/>
    </w:p>
    <w:p>
      <w:pPr>
        <w:snapToGrid w:val="0"/>
        <w:spacing w:line="360" w:lineRule="auto"/>
        <w:ind w:firstLine="480" w:firstLineChars="200"/>
        <w:textAlignment w:val="top"/>
        <w:rPr>
          <w:rFonts w:asciiTheme="majorEastAsia" w:hAnsiTheme="majorEastAsia" w:eastAsiaTheme="majorEastAsia"/>
          <w:sz w:val="24"/>
          <w:szCs w:val="24"/>
        </w:rPr>
      </w:pPr>
      <w:r>
        <w:rPr>
          <w:rFonts w:asciiTheme="majorEastAsia" w:hAnsiTheme="majorEastAsia" w:eastAsiaTheme="majorEastAsia"/>
          <w:sz w:val="24"/>
          <w:szCs w:val="24"/>
        </w:rPr>
        <w:t>1.</w:t>
      </w:r>
      <w:r>
        <w:rPr>
          <w:rFonts w:hint="eastAsia" w:asciiTheme="majorEastAsia" w:hAnsiTheme="majorEastAsia" w:eastAsiaTheme="majorEastAsia"/>
          <w:sz w:val="24"/>
          <w:szCs w:val="24"/>
          <w:lang w:val="en-US" w:eastAsia="zh-CN"/>
        </w:rPr>
        <w:t>《资产评估基本准则》（</w:t>
      </w:r>
      <w:r>
        <w:rPr>
          <w:rFonts w:hint="eastAsia" w:asciiTheme="majorEastAsia" w:hAnsiTheme="majorEastAsia" w:eastAsiaTheme="majorEastAsia"/>
          <w:sz w:val="24"/>
          <w:szCs w:val="24"/>
        </w:rPr>
        <w:t>财资〔2017〕43号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2017年10月1日起实施）</w:t>
      </w:r>
      <w:r>
        <w:rPr>
          <w:rFonts w:hint="eastAsia" w:asciiTheme="majorEastAsia" w:hAnsiTheme="majorEastAsia" w:eastAsiaTheme="majorEastAsia"/>
          <w:sz w:val="24"/>
          <w:szCs w:val="24"/>
        </w:rPr>
        <w:t>；</w:t>
      </w:r>
    </w:p>
    <w:p>
      <w:pPr>
        <w:snapToGrid w:val="0"/>
        <w:spacing w:line="360" w:lineRule="auto"/>
        <w:ind w:firstLine="480" w:firstLineChars="200"/>
        <w:textAlignment w:val="top"/>
        <w:rPr>
          <w:rFonts w:asciiTheme="majorEastAsia" w:hAnsiTheme="majorEastAsia" w:eastAsiaTheme="majorEastAsia"/>
          <w:sz w:val="24"/>
          <w:szCs w:val="24"/>
        </w:rPr>
      </w:pPr>
      <w:r>
        <w:rPr>
          <w:rFonts w:asciiTheme="majorEastAsia" w:hAnsiTheme="majorEastAsia" w:eastAsiaTheme="majorEastAsia"/>
          <w:sz w:val="24"/>
          <w:szCs w:val="24"/>
        </w:rPr>
        <w:t>2.</w:t>
      </w:r>
      <w:r>
        <w:rPr>
          <w:rFonts w:hint="eastAsia" w:asciiTheme="majorEastAsia" w:hAnsiTheme="majorEastAsia" w:eastAsiaTheme="majorEastAsia"/>
          <w:sz w:val="24"/>
          <w:szCs w:val="24"/>
          <w:lang w:val="en-US" w:eastAsia="zh-CN"/>
        </w:rPr>
        <w:t>《资产评估职业道德准则》（</w:t>
      </w:r>
      <w:r>
        <w:rPr>
          <w:rFonts w:hint="eastAsia" w:asciiTheme="majorEastAsia" w:hAnsiTheme="majorEastAsia" w:eastAsiaTheme="majorEastAsia"/>
          <w:sz w:val="24"/>
          <w:szCs w:val="24"/>
        </w:rPr>
        <w:t>中评协[2017]30号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2017年10月1日起实施）</w:t>
      </w:r>
      <w:r>
        <w:rPr>
          <w:rFonts w:hint="eastAsia" w:asciiTheme="majorEastAsia" w:hAnsiTheme="majorEastAsia" w:eastAsiaTheme="majorEastAsia"/>
          <w:sz w:val="24"/>
          <w:szCs w:val="24"/>
        </w:rPr>
        <w:t>；</w:t>
      </w:r>
    </w:p>
    <w:p>
      <w:pPr>
        <w:snapToGrid w:val="0"/>
        <w:spacing w:line="360" w:lineRule="auto"/>
        <w:ind w:firstLine="480" w:firstLineChars="200"/>
        <w:textAlignment w:val="top"/>
        <w:rPr>
          <w:rFonts w:asciiTheme="majorEastAsia" w:hAnsiTheme="majorEastAsia" w:eastAsiaTheme="majorEastAsia"/>
          <w:sz w:val="24"/>
          <w:szCs w:val="24"/>
        </w:rPr>
      </w:pPr>
      <w:r>
        <w:rPr>
          <w:rFonts w:asciiTheme="majorEastAsia" w:hAnsiTheme="majorEastAsia" w:eastAsiaTheme="majorEastAsia"/>
          <w:sz w:val="24"/>
          <w:szCs w:val="24"/>
        </w:rPr>
        <w:t>3.</w:t>
      </w:r>
      <w:r>
        <w:rPr>
          <w:rFonts w:hint="eastAsia" w:asciiTheme="majorEastAsia" w:hAnsiTheme="majorEastAsia" w:eastAsiaTheme="majorEastAsia"/>
          <w:sz w:val="24"/>
          <w:szCs w:val="24"/>
          <w:lang w:val="en-US" w:eastAsia="zh-CN"/>
        </w:rPr>
        <w:t>《资产评估执业准则——资产评估程序》（</w:t>
      </w:r>
      <w:r>
        <w:rPr>
          <w:rFonts w:hint="eastAsia" w:asciiTheme="majorEastAsia" w:hAnsiTheme="majorEastAsia" w:eastAsiaTheme="majorEastAsia"/>
          <w:sz w:val="24"/>
          <w:szCs w:val="24"/>
        </w:rPr>
        <w:t>中评协[201</w:t>
      </w:r>
      <w:r>
        <w:rPr>
          <w:rFonts w:hint="eastAsia" w:asciiTheme="majorEastAsia" w:hAnsiTheme="majorEastAsia" w:eastAsiaTheme="majorEastAsia"/>
          <w:sz w:val="24"/>
          <w:szCs w:val="24"/>
          <w:lang w:val="en-US" w:eastAsia="zh-CN"/>
        </w:rPr>
        <w:t>8</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36</w:t>
      </w:r>
      <w:r>
        <w:rPr>
          <w:rFonts w:hint="eastAsia" w:asciiTheme="majorEastAsia" w:hAnsiTheme="majorEastAsia" w:eastAsiaTheme="majorEastAsia"/>
          <w:sz w:val="24"/>
          <w:szCs w:val="24"/>
        </w:rPr>
        <w:t>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2019年1月1日起实施）</w:t>
      </w:r>
      <w:r>
        <w:rPr>
          <w:rFonts w:hint="eastAsia" w:asciiTheme="majorEastAsia" w:hAnsiTheme="majorEastAsia" w:eastAsiaTheme="majorEastAsia"/>
          <w:sz w:val="24"/>
          <w:szCs w:val="24"/>
        </w:rPr>
        <w:t>；</w:t>
      </w:r>
    </w:p>
    <w:p>
      <w:pPr>
        <w:snapToGrid w:val="0"/>
        <w:spacing w:line="360" w:lineRule="auto"/>
        <w:ind w:firstLine="480" w:firstLineChars="20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rPr>
        <w:t>4</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《资产评估执业准则——资产评估报告》（</w:t>
      </w:r>
      <w:r>
        <w:rPr>
          <w:rFonts w:hint="eastAsia" w:asciiTheme="majorEastAsia" w:hAnsiTheme="majorEastAsia" w:eastAsiaTheme="majorEastAsia"/>
          <w:sz w:val="24"/>
          <w:szCs w:val="24"/>
        </w:rPr>
        <w:t>中评协[201</w:t>
      </w:r>
      <w:r>
        <w:rPr>
          <w:rFonts w:hint="eastAsia" w:asciiTheme="majorEastAsia" w:hAnsiTheme="majorEastAsia" w:eastAsiaTheme="majorEastAsia"/>
          <w:sz w:val="24"/>
          <w:szCs w:val="24"/>
          <w:lang w:val="en-US" w:eastAsia="zh-CN"/>
        </w:rPr>
        <w:t>8</w:t>
      </w:r>
      <w:r>
        <w:rPr>
          <w:rFonts w:hint="eastAsia" w:asciiTheme="majorEastAsia" w:hAnsiTheme="majorEastAsia" w:eastAsiaTheme="majorEastAsia"/>
          <w:sz w:val="24"/>
          <w:szCs w:val="24"/>
        </w:rPr>
        <w:t>]3</w:t>
      </w:r>
      <w:r>
        <w:rPr>
          <w:rFonts w:hint="eastAsia" w:asciiTheme="majorEastAsia" w:hAnsiTheme="majorEastAsia" w:eastAsiaTheme="majorEastAsia"/>
          <w:sz w:val="24"/>
          <w:szCs w:val="24"/>
          <w:lang w:val="en-US" w:eastAsia="zh-CN"/>
        </w:rPr>
        <w:t>5</w:t>
      </w:r>
      <w:r>
        <w:rPr>
          <w:rFonts w:hint="eastAsia" w:asciiTheme="majorEastAsia" w:hAnsiTheme="majorEastAsia" w:eastAsiaTheme="majorEastAsia"/>
          <w:sz w:val="24"/>
          <w:szCs w:val="24"/>
        </w:rPr>
        <w:t>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2019年1月1日起实施）</w:t>
      </w:r>
      <w:r>
        <w:rPr>
          <w:rFonts w:hint="eastAsia" w:asciiTheme="majorEastAsia" w:hAnsiTheme="majorEastAsia" w:eastAsiaTheme="majorEastAsia"/>
          <w:sz w:val="24"/>
          <w:szCs w:val="24"/>
        </w:rPr>
        <w:t>；</w:t>
      </w:r>
    </w:p>
    <w:p>
      <w:pPr>
        <w:snapToGrid w:val="0"/>
        <w:spacing w:line="360" w:lineRule="auto"/>
        <w:ind w:firstLine="480" w:firstLineChars="20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rPr>
        <w:t>5</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《资产评估执业准则——资产评估委托合同》（</w:t>
      </w:r>
      <w:r>
        <w:rPr>
          <w:rFonts w:hint="eastAsia" w:asciiTheme="majorEastAsia" w:hAnsiTheme="majorEastAsia" w:eastAsiaTheme="majorEastAsia"/>
          <w:sz w:val="24"/>
          <w:szCs w:val="24"/>
        </w:rPr>
        <w:t>中评协[2017]33号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2017年10月1日起实施）</w:t>
      </w:r>
      <w:r>
        <w:rPr>
          <w:rFonts w:hint="eastAsia" w:asciiTheme="majorEastAsia" w:hAnsiTheme="majorEastAsia" w:eastAsiaTheme="majorEastAsia"/>
          <w:sz w:val="24"/>
          <w:szCs w:val="24"/>
        </w:rPr>
        <w:t>；</w:t>
      </w:r>
    </w:p>
    <w:p>
      <w:pPr>
        <w:snapToGrid w:val="0"/>
        <w:spacing w:line="360" w:lineRule="auto"/>
        <w:ind w:firstLine="480" w:firstLineChars="20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rPr>
        <w:t>6.</w:t>
      </w:r>
      <w:r>
        <w:rPr>
          <w:rFonts w:hint="eastAsia" w:asciiTheme="majorEastAsia" w:hAnsiTheme="majorEastAsia" w:eastAsiaTheme="majorEastAsia"/>
          <w:sz w:val="24"/>
          <w:szCs w:val="24"/>
          <w:lang w:val="en-US" w:eastAsia="zh-CN"/>
        </w:rPr>
        <w:t>《资产评估执业准则——资产评估方法》（中评协[2019]35号，2020年3月1日起实施）</w:t>
      </w:r>
      <w:r>
        <w:rPr>
          <w:rFonts w:hint="eastAsia" w:asciiTheme="majorEastAsia" w:hAnsiTheme="majorEastAsia" w:eastAsiaTheme="majorEastAsia"/>
          <w:sz w:val="24"/>
          <w:szCs w:val="24"/>
        </w:rPr>
        <w:t>；</w:t>
      </w:r>
    </w:p>
    <w:p>
      <w:pPr>
        <w:snapToGrid w:val="0"/>
        <w:spacing w:line="360" w:lineRule="auto"/>
        <w:ind w:firstLine="480" w:firstLineChars="20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rPr>
        <w:t>7</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《资产评估执业准则——资产评估档案》（</w:t>
      </w:r>
      <w:r>
        <w:rPr>
          <w:rFonts w:hint="eastAsia" w:asciiTheme="majorEastAsia" w:hAnsiTheme="majorEastAsia" w:eastAsiaTheme="majorEastAsia"/>
          <w:sz w:val="24"/>
          <w:szCs w:val="24"/>
        </w:rPr>
        <w:t>中评协[201</w:t>
      </w:r>
      <w:r>
        <w:rPr>
          <w:rFonts w:hint="eastAsia" w:asciiTheme="majorEastAsia" w:hAnsiTheme="majorEastAsia" w:eastAsiaTheme="majorEastAsia"/>
          <w:sz w:val="24"/>
          <w:szCs w:val="24"/>
          <w:lang w:val="en-US" w:eastAsia="zh-CN"/>
        </w:rPr>
        <w:t>8</w:t>
      </w:r>
      <w:r>
        <w:rPr>
          <w:rFonts w:hint="eastAsia" w:asciiTheme="majorEastAsia" w:hAnsiTheme="majorEastAsia" w:eastAsiaTheme="majorEastAsia"/>
          <w:sz w:val="24"/>
          <w:szCs w:val="24"/>
        </w:rPr>
        <w:t>]3</w:t>
      </w:r>
      <w:r>
        <w:rPr>
          <w:rFonts w:hint="eastAsia" w:asciiTheme="majorEastAsia" w:hAnsiTheme="majorEastAsia" w:eastAsiaTheme="majorEastAsia"/>
          <w:sz w:val="24"/>
          <w:szCs w:val="24"/>
          <w:lang w:val="en-US" w:eastAsia="zh-CN"/>
        </w:rPr>
        <w:t>7</w:t>
      </w:r>
      <w:r>
        <w:rPr>
          <w:rFonts w:hint="eastAsia" w:asciiTheme="majorEastAsia" w:hAnsiTheme="majorEastAsia" w:eastAsiaTheme="majorEastAsia"/>
          <w:sz w:val="24"/>
          <w:szCs w:val="24"/>
        </w:rPr>
        <w:t>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2019年1月1日起实施）</w:t>
      </w:r>
      <w:r>
        <w:rPr>
          <w:rFonts w:hint="eastAsia" w:asciiTheme="majorEastAsia" w:hAnsiTheme="majorEastAsia" w:eastAsiaTheme="majorEastAsia"/>
          <w:sz w:val="24"/>
          <w:szCs w:val="24"/>
        </w:rPr>
        <w:t>；</w:t>
      </w:r>
    </w:p>
    <w:p>
      <w:pPr>
        <w:snapToGrid w:val="0"/>
        <w:spacing w:line="360" w:lineRule="auto"/>
        <w:ind w:firstLine="480" w:firstLineChars="20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rPr>
        <w:t>8.</w:t>
      </w:r>
      <w:r>
        <w:rPr>
          <w:rFonts w:hint="eastAsia" w:asciiTheme="majorEastAsia" w:hAnsiTheme="majorEastAsia" w:eastAsiaTheme="majorEastAsia"/>
          <w:sz w:val="24"/>
          <w:szCs w:val="24"/>
          <w:lang w:val="en-US" w:eastAsia="zh-CN"/>
        </w:rPr>
        <w:t>《资产评估执业准则——不动产》（</w:t>
      </w:r>
      <w:r>
        <w:rPr>
          <w:rFonts w:hint="eastAsia" w:asciiTheme="majorEastAsia" w:hAnsiTheme="majorEastAsia" w:eastAsiaTheme="majorEastAsia"/>
          <w:sz w:val="24"/>
          <w:szCs w:val="24"/>
        </w:rPr>
        <w:t>中评协[2017]38号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2017年10月1日起实施）</w:t>
      </w:r>
      <w:r>
        <w:rPr>
          <w:rFonts w:hint="eastAsia" w:asciiTheme="majorEastAsia" w:hAnsiTheme="majorEastAsia" w:eastAsiaTheme="majorEastAsia"/>
          <w:sz w:val="24"/>
          <w:szCs w:val="24"/>
        </w:rPr>
        <w:t>；</w:t>
      </w:r>
    </w:p>
    <w:p>
      <w:pPr>
        <w:snapToGrid w:val="0"/>
        <w:spacing w:line="360" w:lineRule="auto"/>
        <w:ind w:firstLine="480" w:firstLineChars="20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rPr>
        <w:t>9</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《资产评估机构业务质量控制指南》（</w:t>
      </w:r>
      <w:r>
        <w:rPr>
          <w:rFonts w:hint="eastAsia" w:asciiTheme="majorEastAsia" w:hAnsiTheme="majorEastAsia" w:eastAsiaTheme="majorEastAsia"/>
          <w:sz w:val="24"/>
          <w:szCs w:val="24"/>
        </w:rPr>
        <w:t>中评协[2017]</w:t>
      </w:r>
      <w:r>
        <w:rPr>
          <w:rFonts w:hint="eastAsia" w:asciiTheme="majorEastAsia" w:hAnsiTheme="majorEastAsia" w:eastAsiaTheme="majorEastAsia"/>
          <w:sz w:val="24"/>
          <w:szCs w:val="24"/>
          <w:lang w:val="en-US" w:eastAsia="zh-CN"/>
        </w:rPr>
        <w:t>46</w:t>
      </w:r>
      <w:r>
        <w:rPr>
          <w:rFonts w:hint="eastAsia" w:asciiTheme="majorEastAsia" w:hAnsiTheme="majorEastAsia" w:eastAsiaTheme="majorEastAsia"/>
          <w:sz w:val="24"/>
          <w:szCs w:val="24"/>
        </w:rPr>
        <w:t>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2017年10月1日起实施）</w:t>
      </w:r>
      <w:r>
        <w:rPr>
          <w:rFonts w:hint="eastAsia" w:asciiTheme="majorEastAsia" w:hAnsiTheme="majorEastAsia" w:eastAsiaTheme="majorEastAsia"/>
          <w:sz w:val="24"/>
          <w:szCs w:val="24"/>
        </w:rPr>
        <w:t>；</w:t>
      </w:r>
    </w:p>
    <w:p>
      <w:pPr>
        <w:snapToGrid w:val="0"/>
        <w:spacing w:line="360" w:lineRule="auto"/>
        <w:ind w:firstLine="480" w:firstLineChars="200"/>
        <w:textAlignment w:val="top"/>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rPr>
        <w:t>10</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《资产评估价值类型指导意见》（</w:t>
      </w:r>
      <w:r>
        <w:rPr>
          <w:rFonts w:hint="eastAsia" w:asciiTheme="majorEastAsia" w:hAnsiTheme="majorEastAsia" w:eastAsiaTheme="majorEastAsia"/>
          <w:sz w:val="24"/>
          <w:szCs w:val="24"/>
        </w:rPr>
        <w:t>中评协[2017]</w:t>
      </w:r>
      <w:r>
        <w:rPr>
          <w:rFonts w:hint="eastAsia" w:asciiTheme="majorEastAsia" w:hAnsiTheme="majorEastAsia" w:eastAsiaTheme="majorEastAsia"/>
          <w:sz w:val="24"/>
          <w:szCs w:val="24"/>
          <w:lang w:val="en-US" w:eastAsia="zh-CN"/>
        </w:rPr>
        <w:t>47</w:t>
      </w:r>
      <w:r>
        <w:rPr>
          <w:rFonts w:hint="eastAsia" w:asciiTheme="majorEastAsia" w:hAnsiTheme="majorEastAsia" w:eastAsiaTheme="majorEastAsia"/>
          <w:sz w:val="24"/>
          <w:szCs w:val="24"/>
        </w:rPr>
        <w:t>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2017年10月1日起</w:t>
      </w:r>
    </w:p>
    <w:p>
      <w:pPr>
        <w:snapToGrid w:val="0"/>
        <w:spacing w:line="360" w:lineRule="auto"/>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实施）</w:t>
      </w:r>
      <w:r>
        <w:rPr>
          <w:rFonts w:hint="eastAsia" w:asciiTheme="majorEastAsia" w:hAnsiTheme="majorEastAsia" w:eastAsiaTheme="majorEastAsia"/>
          <w:sz w:val="24"/>
          <w:szCs w:val="24"/>
        </w:rPr>
        <w:t>；</w:t>
      </w:r>
    </w:p>
    <w:p>
      <w:pPr>
        <w:snapToGrid w:val="0"/>
        <w:spacing w:line="360" w:lineRule="auto"/>
        <w:ind w:firstLine="480" w:firstLineChars="20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11.《资产评估对象法律权属指导意见》（</w:t>
      </w:r>
      <w:r>
        <w:rPr>
          <w:rFonts w:hint="eastAsia" w:asciiTheme="majorEastAsia" w:hAnsiTheme="majorEastAsia" w:eastAsiaTheme="majorEastAsia"/>
          <w:sz w:val="24"/>
          <w:szCs w:val="24"/>
        </w:rPr>
        <w:t>中评协[2017]</w:t>
      </w:r>
      <w:r>
        <w:rPr>
          <w:rFonts w:hint="eastAsia" w:asciiTheme="majorEastAsia" w:hAnsiTheme="majorEastAsia" w:eastAsiaTheme="majorEastAsia"/>
          <w:sz w:val="24"/>
          <w:szCs w:val="24"/>
          <w:lang w:val="en-US" w:eastAsia="zh-CN"/>
        </w:rPr>
        <w:t>48</w:t>
      </w:r>
      <w:r>
        <w:rPr>
          <w:rFonts w:hint="eastAsia" w:asciiTheme="majorEastAsia" w:hAnsiTheme="majorEastAsia" w:eastAsiaTheme="majorEastAsia"/>
          <w:sz w:val="24"/>
          <w:szCs w:val="24"/>
        </w:rPr>
        <w:t>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2017年10月1日起实施）</w:t>
      </w:r>
      <w:r>
        <w:rPr>
          <w:rFonts w:hint="eastAsia" w:asciiTheme="majorEastAsia" w:hAnsiTheme="majorEastAsia" w:eastAsiaTheme="majorEastAsia"/>
          <w:sz w:val="24"/>
          <w:szCs w:val="24"/>
        </w:rPr>
        <w:t>；</w:t>
      </w:r>
    </w:p>
    <w:p>
      <w:pPr>
        <w:numPr>
          <w:ilvl w:val="0"/>
          <w:numId w:val="0"/>
        </w:numPr>
        <w:snapToGrid w:val="0"/>
        <w:spacing w:line="360" w:lineRule="auto"/>
        <w:ind w:firstLine="480" w:firstLineChars="200"/>
        <w:textAlignment w:val="top"/>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12.《人民法院委托司法执行财产处置资产评估指导意见》（</w:t>
      </w:r>
      <w:r>
        <w:rPr>
          <w:rFonts w:hint="eastAsia" w:asciiTheme="majorEastAsia" w:hAnsiTheme="majorEastAsia" w:eastAsiaTheme="majorEastAsia"/>
          <w:sz w:val="24"/>
          <w:szCs w:val="24"/>
        </w:rPr>
        <w:t>中评协〔2019〕14号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2019年7月1日起实施）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firstLine="240" w:firstLineChars="1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13.《</w:t>
      </w:r>
      <w:r>
        <w:rPr>
          <w:rFonts w:hint="eastAsia" w:ascii="宋体" w:hAnsi="宋体" w:eastAsia="宋体" w:cs="宋体"/>
          <w:sz w:val="24"/>
          <w:szCs w:val="24"/>
          <w:lang w:val="en-US" w:eastAsia="zh-CN"/>
        </w:rPr>
        <w:t>资产评估专家指引第7号—中小评估机构业务质量控制</w:t>
      </w:r>
      <w:r>
        <w:rPr>
          <w:rFonts w:hint="eastAsia" w:ascii="宋体" w:hAnsi="宋体" w:cs="宋体"/>
          <w:sz w:val="24"/>
          <w:szCs w:val="24"/>
          <w:lang w:val="en-US" w:eastAsia="zh-CN"/>
        </w:rPr>
        <w:t>》（</w:t>
      </w:r>
      <w:r>
        <w:rPr>
          <w:rFonts w:hint="eastAsia" w:ascii="宋体" w:hAnsi="宋体" w:eastAsia="宋体" w:cs="宋体"/>
          <w:i w:val="0"/>
          <w:caps w:val="0"/>
          <w:color w:val="000000"/>
          <w:spacing w:val="-2"/>
          <w:sz w:val="24"/>
          <w:szCs w:val="24"/>
          <w:shd w:val="clear" w:fill="FFFFFF"/>
        </w:rPr>
        <w:t>中评协〔2015〕68号</w:t>
      </w:r>
      <w:r>
        <w:rPr>
          <w:rFonts w:hint="eastAsia" w:ascii="宋体" w:hAnsi="宋体" w:cs="宋体"/>
          <w:i w:val="0"/>
          <w:caps w:val="0"/>
          <w:color w:val="000000"/>
          <w:spacing w:val="-2"/>
          <w:sz w:val="24"/>
          <w:szCs w:val="24"/>
          <w:shd w:val="clear" w:fill="FFFFFF"/>
          <w:lang w:eastAsia="zh-CN"/>
        </w:rPr>
        <w:t>，</w:t>
      </w:r>
      <w:r>
        <w:rPr>
          <w:rFonts w:hint="eastAsia" w:ascii="宋体" w:hAnsi="宋体" w:cs="宋体"/>
          <w:i w:val="0"/>
          <w:caps w:val="0"/>
          <w:color w:val="000000"/>
          <w:spacing w:val="-2"/>
          <w:sz w:val="24"/>
          <w:szCs w:val="24"/>
          <w:shd w:val="clear" w:fill="FFFFFF"/>
          <w:lang w:val="en-US" w:eastAsia="zh-CN"/>
        </w:rPr>
        <w:t>2015年7月22日）；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firstLine="240" w:firstLineChars="1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14.《</w:t>
      </w:r>
      <w:r>
        <w:rPr>
          <w:rFonts w:hint="eastAsia" w:ascii="宋体" w:hAnsi="宋体" w:eastAsia="宋体" w:cs="宋体"/>
          <w:sz w:val="24"/>
          <w:szCs w:val="24"/>
          <w:lang w:val="en-US" w:eastAsia="zh-CN"/>
        </w:rPr>
        <w:t>资产评估专家指引第 8 号— 资产评估中的核查验</w:t>
      </w:r>
      <w:r>
        <w:rPr>
          <w:rFonts w:hint="eastAsia" w:ascii="宋体" w:hAnsi="宋体" w:cs="宋体"/>
          <w:sz w:val="24"/>
          <w:szCs w:val="24"/>
          <w:lang w:val="en-US" w:eastAsia="zh-CN"/>
        </w:rPr>
        <w:t>证》（</w:t>
      </w:r>
      <w:r>
        <w:rPr>
          <w:rFonts w:hint="eastAsia" w:ascii="宋体" w:hAnsi="宋体" w:eastAsia="宋体" w:cs="宋体"/>
          <w:sz w:val="24"/>
          <w:szCs w:val="24"/>
          <w:lang w:val="en-US" w:eastAsia="zh-CN"/>
        </w:rPr>
        <w:t>证</w:t>
      </w:r>
      <w:r>
        <w:rPr>
          <w:rFonts w:hint="eastAsia" w:ascii="宋体" w:hAnsi="宋体" w:eastAsia="宋体" w:cs="宋体"/>
          <w:i w:val="0"/>
          <w:caps w:val="0"/>
          <w:color w:val="000000"/>
          <w:spacing w:val="0"/>
          <w:sz w:val="24"/>
          <w:szCs w:val="24"/>
          <w:shd w:val="clear" w:fill="FFFFFF"/>
        </w:rPr>
        <w:t>中评协〔</w:t>
      </w:r>
      <w:r>
        <w:rPr>
          <w:rFonts w:hint="eastAsia" w:ascii="宋体" w:hAnsi="宋体" w:eastAsia="宋体" w:cs="宋体"/>
          <w:i w:val="0"/>
          <w:caps w:val="0"/>
          <w:color w:val="000000"/>
          <w:spacing w:val="0"/>
          <w:sz w:val="24"/>
          <w:szCs w:val="24"/>
          <w:shd w:val="clear" w:fill="FFFFFF"/>
          <w:lang w:val="en-US"/>
        </w:rPr>
        <w:t>2019</w:t>
      </w:r>
      <w:r>
        <w:rPr>
          <w:rFonts w:hint="eastAsia" w:ascii="宋体" w:hAnsi="宋体" w:eastAsia="宋体" w:cs="宋体"/>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lang w:val="en-US"/>
        </w:rPr>
        <w:t>39</w:t>
      </w:r>
      <w:r>
        <w:rPr>
          <w:rFonts w:hint="eastAsia" w:ascii="宋体" w:hAnsi="宋体" w:eastAsia="宋体" w:cs="宋体"/>
          <w:i w:val="0"/>
          <w:caps w:val="0"/>
          <w:color w:val="000000"/>
          <w:spacing w:val="0"/>
          <w:sz w:val="24"/>
          <w:szCs w:val="24"/>
          <w:shd w:val="clear" w:fill="FFFFFF"/>
        </w:rPr>
        <w:t>号</w:t>
      </w:r>
      <w:r>
        <w:rPr>
          <w:rFonts w:hint="eastAsia" w:ascii="宋体" w:hAnsi="宋体" w:cs="宋体"/>
          <w:i w:val="0"/>
          <w:caps w:val="0"/>
          <w:color w:val="000000"/>
          <w:spacing w:val="0"/>
          <w:sz w:val="24"/>
          <w:szCs w:val="24"/>
          <w:shd w:val="clear" w:fill="FFFFFF"/>
          <w:lang w:eastAsia="zh-CN"/>
        </w:rPr>
        <w:t>，</w:t>
      </w:r>
      <w:r>
        <w:rPr>
          <w:rFonts w:hint="eastAsia" w:ascii="宋体" w:hAnsi="宋体" w:cs="宋体"/>
          <w:i w:val="0"/>
          <w:caps w:val="0"/>
          <w:color w:val="000000"/>
          <w:spacing w:val="0"/>
          <w:sz w:val="24"/>
          <w:szCs w:val="24"/>
          <w:shd w:val="clear" w:fill="FFFFFF"/>
          <w:lang w:val="en-US" w:eastAsia="zh-CN"/>
        </w:rPr>
        <w:t>2019年12月31日</w:t>
      </w:r>
      <w:r>
        <w:rPr>
          <w:rFonts w:hint="eastAsia" w:ascii="宋体" w:hAnsi="宋体" w:cs="宋体"/>
          <w:i w:val="0"/>
          <w:caps w:val="0"/>
          <w:color w:val="000000"/>
          <w:spacing w:val="0"/>
          <w:sz w:val="24"/>
          <w:szCs w:val="24"/>
          <w:shd w:val="clear" w:fill="FFFFFF"/>
          <w:lang w:eastAsia="zh-CN"/>
        </w:rPr>
        <w:t>）。</w:t>
      </w:r>
    </w:p>
    <w:p>
      <w:pPr>
        <w:spacing w:line="360" w:lineRule="auto"/>
        <w:ind w:firstLine="424" w:firstLineChars="177"/>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rPr>
        <w:t>（四）权属依据</w:t>
      </w:r>
    </w:p>
    <w:p>
      <w:pPr>
        <w:spacing w:line="360" w:lineRule="auto"/>
        <w:ind w:firstLine="480" w:firstLineChars="200"/>
        <w:textAlignment w:val="top"/>
        <w:rPr>
          <w:rFonts w:hint="eastAsia" w:asciiTheme="majorEastAsia" w:hAnsiTheme="majorEastAsia" w:eastAsiaTheme="majorEastAsia"/>
          <w:color w:val="auto"/>
          <w:sz w:val="24"/>
          <w:szCs w:val="24"/>
          <w:lang w:eastAsia="zh-CN"/>
        </w:rPr>
      </w:pPr>
      <w:r>
        <w:rPr>
          <w:rFonts w:asciiTheme="majorEastAsia" w:hAnsiTheme="majorEastAsia" w:eastAsiaTheme="majorEastAsia"/>
          <w:color w:val="auto"/>
          <w:sz w:val="24"/>
          <w:szCs w:val="24"/>
        </w:rPr>
        <w:t>1</w:t>
      </w:r>
      <w:r>
        <w:rPr>
          <w:rFonts w:hint="eastAsia"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lang w:eastAsia="zh-CN"/>
        </w:rPr>
        <w:t>《</w:t>
      </w:r>
      <w:r>
        <w:rPr>
          <w:rFonts w:hint="eastAsia" w:asciiTheme="majorEastAsia" w:hAnsiTheme="majorEastAsia" w:eastAsiaTheme="majorEastAsia"/>
          <w:color w:val="auto"/>
          <w:sz w:val="24"/>
          <w:szCs w:val="24"/>
        </w:rPr>
        <w:t>不动产</w:t>
      </w:r>
      <w:r>
        <w:rPr>
          <w:rFonts w:hint="eastAsia" w:asciiTheme="majorEastAsia" w:hAnsiTheme="majorEastAsia" w:eastAsiaTheme="majorEastAsia"/>
          <w:color w:val="auto"/>
          <w:sz w:val="24"/>
          <w:szCs w:val="24"/>
          <w:lang w:eastAsia="zh-CN"/>
        </w:rPr>
        <w:t>登记</w:t>
      </w:r>
      <w:r>
        <w:rPr>
          <w:rFonts w:hint="eastAsia" w:asciiTheme="majorEastAsia" w:hAnsiTheme="majorEastAsia" w:eastAsiaTheme="majorEastAsia"/>
          <w:color w:val="auto"/>
          <w:sz w:val="24"/>
          <w:szCs w:val="24"/>
        </w:rPr>
        <w:t>证明</w:t>
      </w:r>
      <w:r>
        <w:rPr>
          <w:rFonts w:hint="eastAsia" w:asciiTheme="majorEastAsia" w:hAnsiTheme="majorEastAsia" w:eastAsiaTheme="majorEastAsia"/>
          <w:color w:val="auto"/>
          <w:sz w:val="24"/>
          <w:szCs w:val="24"/>
          <w:lang w:eastAsia="zh-CN"/>
        </w:rPr>
        <w:t>》</w:t>
      </w:r>
      <w:r>
        <w:rPr>
          <w:rFonts w:hint="eastAsia" w:asciiTheme="majorEastAsia" w:hAnsiTheme="majorEastAsia" w:eastAsiaTheme="majorEastAsia"/>
          <w:color w:val="auto"/>
          <w:sz w:val="24"/>
          <w:szCs w:val="24"/>
        </w:rPr>
        <w:t>复印件</w:t>
      </w:r>
      <w:r>
        <w:rPr>
          <w:rFonts w:hint="eastAsia" w:asciiTheme="majorEastAsia" w:hAnsiTheme="majorEastAsia" w:eastAsiaTheme="majorEastAsia"/>
          <w:color w:val="auto"/>
          <w:sz w:val="24"/>
          <w:szCs w:val="24"/>
          <w:lang w:eastAsia="zh-CN"/>
        </w:rPr>
        <w:t>；</w:t>
      </w:r>
    </w:p>
    <w:p>
      <w:pPr>
        <w:spacing w:line="360" w:lineRule="auto"/>
        <w:ind w:firstLine="480" w:firstLineChars="200"/>
        <w:textAlignment w:val="top"/>
        <w:rPr>
          <w:rFonts w:asciiTheme="majorEastAsia" w:hAnsiTheme="majorEastAsia" w:eastAsiaTheme="majorEastAsia"/>
          <w:color w:val="FF0000"/>
          <w:sz w:val="24"/>
          <w:szCs w:val="24"/>
        </w:rPr>
      </w:pPr>
      <w:r>
        <w:rPr>
          <w:rFonts w:hint="eastAsia" w:asciiTheme="majorEastAsia" w:hAnsiTheme="majorEastAsia" w:eastAsiaTheme="majorEastAsia"/>
          <w:color w:val="auto"/>
          <w:sz w:val="24"/>
          <w:szCs w:val="24"/>
          <w:lang w:val="en-US" w:eastAsia="zh-CN"/>
        </w:rPr>
        <w:t>2.辽源市龙山区人民法院司法辅助办公室《司法鉴定委托书》（（2021）吉0402委评15号）</w:t>
      </w:r>
      <w:r>
        <w:rPr>
          <w:rFonts w:hint="eastAsia" w:asciiTheme="majorEastAsia" w:hAnsiTheme="majorEastAsia" w:eastAsiaTheme="majorEastAsia"/>
          <w:color w:val="auto"/>
          <w:sz w:val="24"/>
          <w:szCs w:val="24"/>
        </w:rPr>
        <w:t>。</w:t>
      </w:r>
    </w:p>
    <w:p>
      <w:pPr>
        <w:spacing w:line="360" w:lineRule="auto"/>
        <w:ind w:firstLine="360" w:firstLineChars="15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rPr>
        <w:t>（五）取价依据</w:t>
      </w:r>
    </w:p>
    <w:p>
      <w:pPr>
        <w:tabs>
          <w:tab w:val="left" w:pos="480"/>
        </w:tabs>
        <w:snapToGrid w:val="0"/>
        <w:spacing w:line="360" w:lineRule="auto"/>
        <w:ind w:firstLine="480" w:firstLineChars="200"/>
        <w:rPr>
          <w:rFonts w:cs="仿宋_GB2312" w:asciiTheme="majorEastAsia" w:hAnsiTheme="majorEastAsia" w:eastAsiaTheme="majorEastAsia"/>
          <w:color w:val="000000"/>
          <w:sz w:val="24"/>
          <w:szCs w:val="24"/>
        </w:rPr>
      </w:pPr>
      <w:r>
        <w:rPr>
          <w:rFonts w:hint="eastAsia" w:cs="仿宋_GB2312" w:asciiTheme="majorEastAsia" w:hAnsiTheme="majorEastAsia" w:eastAsiaTheme="majorEastAsia"/>
          <w:color w:val="000000"/>
          <w:sz w:val="24"/>
          <w:szCs w:val="24"/>
          <w:lang w:val="en-US" w:eastAsia="zh-CN"/>
        </w:rPr>
        <w:t>1</w:t>
      </w:r>
      <w:r>
        <w:rPr>
          <w:rFonts w:hint="eastAsia" w:cs="仿宋_GB2312" w:asciiTheme="majorEastAsia" w:hAnsiTheme="majorEastAsia" w:eastAsiaTheme="majorEastAsia"/>
          <w:color w:val="000000"/>
          <w:sz w:val="24"/>
          <w:szCs w:val="24"/>
        </w:rPr>
        <w:t>.评估人员现场查看和市场调查取得的与评估相关的资料；</w:t>
      </w:r>
    </w:p>
    <w:p>
      <w:pPr>
        <w:tabs>
          <w:tab w:val="left" w:pos="480"/>
        </w:tabs>
        <w:snapToGrid w:val="0"/>
        <w:spacing w:line="360" w:lineRule="auto"/>
        <w:ind w:firstLine="480" w:firstLineChars="200"/>
        <w:rPr>
          <w:rFonts w:hint="eastAsia" w:cs="仿宋_GB2312" w:asciiTheme="majorEastAsia" w:hAnsiTheme="majorEastAsia" w:eastAsiaTheme="majorEastAsia"/>
          <w:color w:val="000000"/>
          <w:sz w:val="24"/>
          <w:szCs w:val="24"/>
        </w:rPr>
      </w:pPr>
      <w:bookmarkStart w:id="11" w:name="_Toc434848665"/>
      <w:r>
        <w:rPr>
          <w:rFonts w:hint="eastAsia" w:cs="仿宋_GB2312" w:asciiTheme="majorEastAsia" w:hAnsiTheme="majorEastAsia" w:eastAsiaTheme="majorEastAsia"/>
          <w:color w:val="000000"/>
          <w:sz w:val="24"/>
          <w:szCs w:val="24"/>
          <w:lang w:val="en-US" w:eastAsia="zh-CN"/>
        </w:rPr>
        <w:t>2</w:t>
      </w:r>
      <w:r>
        <w:rPr>
          <w:rFonts w:hint="eastAsia" w:cs="仿宋_GB2312" w:asciiTheme="majorEastAsia" w:hAnsiTheme="majorEastAsia" w:eastAsiaTheme="majorEastAsia"/>
          <w:color w:val="000000"/>
          <w:sz w:val="24"/>
          <w:szCs w:val="24"/>
        </w:rPr>
        <w:t>.网络、市场询价等其他取价依据；</w:t>
      </w:r>
      <w:bookmarkEnd w:id="11"/>
      <w:bookmarkStart w:id="12" w:name="_Toc434848666"/>
    </w:p>
    <w:p>
      <w:pPr>
        <w:tabs>
          <w:tab w:val="left" w:pos="480"/>
        </w:tabs>
        <w:snapToGrid w:val="0"/>
        <w:spacing w:line="360" w:lineRule="auto"/>
        <w:ind w:firstLine="480" w:firstLineChars="200"/>
        <w:rPr>
          <w:rFonts w:asciiTheme="majorEastAsia" w:hAnsiTheme="majorEastAsia" w:eastAsiaTheme="majorEastAsia"/>
          <w:color w:val="FF0000"/>
          <w:sz w:val="24"/>
          <w:szCs w:val="24"/>
        </w:rPr>
      </w:pPr>
      <w:r>
        <w:rPr>
          <w:rFonts w:hint="eastAsia" w:cs="仿宋_GB2312" w:asciiTheme="majorEastAsia" w:hAnsiTheme="majorEastAsia" w:eastAsiaTheme="majorEastAsia"/>
          <w:color w:val="000000"/>
          <w:sz w:val="24"/>
          <w:szCs w:val="24"/>
          <w:lang w:val="en-US" w:eastAsia="zh-CN"/>
        </w:rPr>
        <w:t>3</w:t>
      </w:r>
      <w:r>
        <w:rPr>
          <w:rFonts w:hint="eastAsia" w:cs="仿宋_GB2312" w:asciiTheme="majorEastAsia" w:hAnsiTheme="majorEastAsia" w:eastAsiaTheme="majorEastAsia"/>
          <w:color w:val="000000"/>
          <w:sz w:val="24"/>
          <w:szCs w:val="24"/>
        </w:rPr>
        <w:t>.其他权威部门发布的相关依据。</w:t>
      </w:r>
      <w:bookmarkEnd w:id="12"/>
    </w:p>
    <w:p>
      <w:pPr>
        <w:spacing w:line="460" w:lineRule="exact"/>
        <w:ind w:firstLine="482" w:firstLineChars="200"/>
        <w:jc w:val="left"/>
        <w:rPr>
          <w:rFonts w:asciiTheme="majorEastAsia" w:hAnsiTheme="majorEastAsia" w:eastAsiaTheme="majorEastAsia"/>
          <w:sz w:val="24"/>
          <w:szCs w:val="24"/>
        </w:rPr>
      </w:pPr>
      <w:r>
        <w:rPr>
          <w:rFonts w:hint="eastAsia" w:asciiTheme="majorEastAsia" w:hAnsiTheme="majorEastAsia" w:eastAsiaTheme="majorEastAsia"/>
          <w:b/>
          <w:sz w:val="24"/>
          <w:szCs w:val="24"/>
        </w:rPr>
        <w:t>七、评估方法</w:t>
      </w:r>
    </w:p>
    <w:p>
      <w:pPr>
        <w:spacing w:line="460" w:lineRule="exact"/>
        <w:ind w:firstLine="480" w:firstLineChars="200"/>
        <w:jc w:val="left"/>
        <w:rPr>
          <w:rFonts w:hint="eastAsia" w:asciiTheme="majorEastAsia" w:hAnsiTheme="majorEastAsia" w:eastAsiaTheme="majorEastAsia"/>
          <w:color w:val="000000"/>
          <w:sz w:val="24"/>
          <w:szCs w:val="24"/>
          <w:lang w:eastAsia="zh-CN"/>
        </w:rPr>
      </w:pPr>
      <w:r>
        <w:rPr>
          <w:rFonts w:hint="eastAsia" w:asciiTheme="majorEastAsia" w:hAnsiTheme="majorEastAsia" w:eastAsiaTheme="majorEastAsia"/>
          <w:color w:val="000000"/>
          <w:sz w:val="24"/>
          <w:szCs w:val="24"/>
        </w:rPr>
        <w:t>资产评估基本方法包括市场法、收益法和成本法。市场法是利用市场上同样或类似资产的近期交易价格，经过直接比较或类比分析以估测资产价值的各种评估技术方法的总称；收益法是通过估测被评估资产未来预期收益的现值来判断资产价值的各种评估方法的总称；成本法是指首先估测被评估资产的重置成本，然后估测被评估资产业已存在的各种贬损因素，并将其从重置成本中予以扣除而得到被评估资产价值的各种评估方法的总称</w:t>
      </w:r>
      <w:r>
        <w:rPr>
          <w:rFonts w:hint="eastAsia" w:asciiTheme="majorEastAsia" w:hAnsiTheme="majorEastAsia" w:eastAsiaTheme="majorEastAsia"/>
          <w:color w:val="000000"/>
          <w:sz w:val="24"/>
          <w:szCs w:val="24"/>
          <w:lang w:eastAsia="zh-CN"/>
        </w:rPr>
        <w:t>。</w:t>
      </w:r>
    </w:p>
    <w:p>
      <w:pPr>
        <w:spacing w:line="460" w:lineRule="exact"/>
        <w:ind w:firstLine="480" w:firstLineChars="200"/>
        <w:jc w:val="left"/>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评估方法的选用是根据委估资产的综合情况判断，此次评估的价格标准为市场价值标准，依据评估目的和资产现状，收益法中委托资产无法获取未来几年的盈利预测数据以及折现率等相关资料，故本次评估不适合使用收益法。</w:t>
      </w:r>
      <w:r>
        <w:rPr>
          <w:rFonts w:hint="eastAsia" w:asciiTheme="majorEastAsia" w:hAnsiTheme="majorEastAsia" w:eastAsiaTheme="majorEastAsia"/>
          <w:color w:val="000000"/>
          <w:sz w:val="24"/>
          <w:szCs w:val="24"/>
          <w:lang w:eastAsia="zh-CN"/>
        </w:rPr>
        <w:t>成本法估算的评估结果不能充分体现委估资产的市场价值，故本次评估不适合</w:t>
      </w:r>
      <w:r>
        <w:rPr>
          <w:rFonts w:hint="eastAsia" w:asciiTheme="majorEastAsia" w:hAnsiTheme="majorEastAsia" w:eastAsiaTheme="majorEastAsia"/>
          <w:color w:val="000000"/>
          <w:sz w:val="24"/>
          <w:szCs w:val="24"/>
        </w:rPr>
        <w:t>采用成本法。本次</w:t>
      </w:r>
      <w:r>
        <w:rPr>
          <w:rFonts w:hint="eastAsia" w:asciiTheme="majorEastAsia" w:hAnsiTheme="majorEastAsia" w:eastAsiaTheme="majorEastAsia"/>
          <w:color w:val="000000"/>
          <w:sz w:val="24"/>
          <w:szCs w:val="24"/>
          <w:lang w:eastAsia="zh-CN"/>
        </w:rPr>
        <w:t>委估资产</w:t>
      </w:r>
      <w:r>
        <w:rPr>
          <w:rFonts w:hint="eastAsia" w:asciiTheme="majorEastAsia" w:hAnsiTheme="majorEastAsia" w:eastAsiaTheme="majorEastAsia"/>
          <w:color w:val="000000"/>
          <w:sz w:val="24"/>
          <w:szCs w:val="24"/>
        </w:rPr>
        <w:t>有比较活跃的交易市场，有可供比较的交易案例，故本次</w:t>
      </w:r>
      <w:r>
        <w:rPr>
          <w:rFonts w:hint="eastAsia" w:asciiTheme="majorEastAsia" w:hAnsiTheme="majorEastAsia" w:eastAsiaTheme="majorEastAsia"/>
          <w:color w:val="000000"/>
          <w:sz w:val="24"/>
          <w:szCs w:val="24"/>
          <w:lang w:eastAsia="zh-CN"/>
        </w:rPr>
        <w:t>评估</w:t>
      </w:r>
      <w:r>
        <w:rPr>
          <w:rFonts w:hint="eastAsia" w:asciiTheme="majorEastAsia" w:hAnsiTheme="majorEastAsia" w:eastAsiaTheme="majorEastAsia"/>
          <w:color w:val="000000"/>
          <w:sz w:val="24"/>
          <w:szCs w:val="24"/>
        </w:rPr>
        <w:t>采用市场法</w:t>
      </w:r>
      <w:r>
        <w:rPr>
          <w:rFonts w:hint="eastAsia" w:cs="Arial" w:asciiTheme="majorEastAsia" w:hAnsiTheme="majorEastAsia" w:eastAsiaTheme="majorEastAsia"/>
          <w:sz w:val="24"/>
          <w:szCs w:val="24"/>
        </w:rPr>
        <w:t>。</w:t>
      </w:r>
      <w:r>
        <w:rPr>
          <w:rFonts w:hint="eastAsia" w:asciiTheme="majorEastAsia" w:hAnsiTheme="majorEastAsia" w:eastAsiaTheme="majorEastAsia"/>
          <w:color w:val="000000"/>
          <w:sz w:val="24"/>
          <w:szCs w:val="24"/>
        </w:rPr>
        <w:t>我们认为此评估方法的选用是恰当的</w:t>
      </w:r>
      <w:r>
        <w:rPr>
          <w:rFonts w:hint="eastAsia" w:cs="Arial" w:asciiTheme="majorEastAsia" w:hAnsiTheme="majorEastAsia" w:eastAsiaTheme="majorEastAsia"/>
          <w:sz w:val="24"/>
          <w:szCs w:val="24"/>
        </w:rPr>
        <w:t>。</w:t>
      </w:r>
    </w:p>
    <w:p>
      <w:pPr>
        <w:spacing w:line="460" w:lineRule="exact"/>
        <w:ind w:firstLine="482" w:firstLineChars="20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八、评估程序实施过程和情况</w:t>
      </w:r>
    </w:p>
    <w:p>
      <w:pPr>
        <w:tabs>
          <w:tab w:val="left" w:pos="0"/>
          <w:tab w:val="left" w:pos="8295"/>
        </w:tabs>
        <w:spacing w:line="460" w:lineRule="exact"/>
        <w:ind w:firstLine="523" w:firstLineChars="218"/>
        <w:rPr>
          <w:rFonts w:asciiTheme="majorEastAsia" w:hAnsiTheme="majorEastAsia" w:eastAsiaTheme="majorEastAsia"/>
          <w:sz w:val="24"/>
          <w:szCs w:val="24"/>
        </w:rPr>
      </w:pPr>
      <w:r>
        <w:rPr>
          <w:rFonts w:hint="eastAsia" w:asciiTheme="majorEastAsia" w:hAnsiTheme="majorEastAsia" w:eastAsiaTheme="majorEastAsia"/>
          <w:sz w:val="24"/>
          <w:szCs w:val="24"/>
        </w:rPr>
        <w:t>我所于202</w:t>
      </w:r>
      <w:r>
        <w:rPr>
          <w:rFonts w:hint="eastAsia" w:asciiTheme="majorEastAsia" w:hAnsiTheme="majorEastAsia" w:eastAsiaTheme="majorEastAsia"/>
          <w:sz w:val="24"/>
          <w:szCs w:val="24"/>
          <w:lang w:val="en-US" w:eastAsia="zh-CN"/>
        </w:rPr>
        <w:t>1</w:t>
      </w:r>
      <w:r>
        <w:rPr>
          <w:rFonts w:hint="eastAsia" w:asciiTheme="majorEastAsia" w:hAnsiTheme="majorEastAsia" w:eastAsiaTheme="majorEastAsia"/>
          <w:sz w:val="24"/>
          <w:szCs w:val="24"/>
        </w:rPr>
        <w:t>年</w:t>
      </w:r>
      <w:r>
        <w:rPr>
          <w:rFonts w:hint="eastAsia" w:asciiTheme="majorEastAsia" w:hAnsiTheme="majorEastAsia" w:eastAsiaTheme="majorEastAsia"/>
          <w:sz w:val="24"/>
          <w:szCs w:val="24"/>
          <w:lang w:val="en-US" w:eastAsia="zh-CN"/>
        </w:rPr>
        <w:t>2</w:t>
      </w:r>
      <w:r>
        <w:rPr>
          <w:rFonts w:hint="eastAsia" w:asciiTheme="majorEastAsia" w:hAnsiTheme="majorEastAsia" w:eastAsiaTheme="majorEastAsia"/>
          <w:sz w:val="24"/>
          <w:szCs w:val="24"/>
        </w:rPr>
        <w:t>月</w:t>
      </w:r>
      <w:r>
        <w:rPr>
          <w:rFonts w:hint="eastAsia" w:asciiTheme="majorEastAsia" w:hAnsiTheme="majorEastAsia" w:eastAsiaTheme="majorEastAsia"/>
          <w:sz w:val="24"/>
          <w:szCs w:val="24"/>
          <w:lang w:val="en-US" w:eastAsia="zh-CN"/>
        </w:rPr>
        <w:t>5</w:t>
      </w:r>
      <w:r>
        <w:rPr>
          <w:rFonts w:hint="eastAsia" w:asciiTheme="majorEastAsia" w:hAnsiTheme="majorEastAsia" w:eastAsiaTheme="majorEastAsia"/>
          <w:sz w:val="24"/>
          <w:szCs w:val="24"/>
        </w:rPr>
        <w:t>日接受</w:t>
      </w:r>
      <w:r>
        <w:rPr>
          <w:rFonts w:hint="eastAsia" w:asciiTheme="majorEastAsia" w:hAnsiTheme="majorEastAsia" w:eastAsiaTheme="majorEastAsia"/>
          <w:sz w:val="24"/>
          <w:szCs w:val="24"/>
          <w:lang w:eastAsia="zh-CN"/>
        </w:rPr>
        <w:t>辽源市龙山区人民法院司法辅助办公室</w:t>
      </w:r>
      <w:r>
        <w:rPr>
          <w:rFonts w:hint="eastAsia" w:asciiTheme="majorEastAsia" w:hAnsiTheme="majorEastAsia" w:eastAsiaTheme="majorEastAsia"/>
          <w:sz w:val="24"/>
          <w:szCs w:val="24"/>
        </w:rPr>
        <w:t>的委托，对其委托评估的单项资产于202</w:t>
      </w:r>
      <w:r>
        <w:rPr>
          <w:rFonts w:hint="eastAsia" w:asciiTheme="majorEastAsia" w:hAnsiTheme="majorEastAsia" w:eastAsiaTheme="majorEastAsia"/>
          <w:sz w:val="24"/>
          <w:szCs w:val="24"/>
          <w:lang w:val="en-US" w:eastAsia="zh-CN"/>
        </w:rPr>
        <w:t>1</w:t>
      </w:r>
      <w:r>
        <w:rPr>
          <w:rFonts w:hint="eastAsia" w:asciiTheme="majorEastAsia" w:hAnsiTheme="majorEastAsia" w:eastAsiaTheme="majorEastAsia"/>
          <w:sz w:val="24"/>
          <w:szCs w:val="24"/>
        </w:rPr>
        <w:t>年</w:t>
      </w:r>
      <w:r>
        <w:rPr>
          <w:rFonts w:hint="eastAsia" w:asciiTheme="majorEastAsia" w:hAnsiTheme="majorEastAsia" w:eastAsiaTheme="majorEastAsia"/>
          <w:sz w:val="24"/>
          <w:szCs w:val="24"/>
          <w:lang w:val="en-US" w:eastAsia="zh-CN"/>
        </w:rPr>
        <w:t>2</w:t>
      </w:r>
      <w:r>
        <w:rPr>
          <w:rFonts w:hint="eastAsia" w:asciiTheme="majorEastAsia" w:hAnsiTheme="majorEastAsia" w:eastAsiaTheme="majorEastAsia"/>
          <w:sz w:val="24"/>
          <w:szCs w:val="24"/>
        </w:rPr>
        <w:t>月</w:t>
      </w:r>
      <w:r>
        <w:rPr>
          <w:rFonts w:hint="eastAsia" w:asciiTheme="majorEastAsia" w:hAnsiTheme="majorEastAsia" w:eastAsiaTheme="majorEastAsia"/>
          <w:sz w:val="24"/>
          <w:szCs w:val="24"/>
          <w:lang w:val="en-US" w:eastAsia="zh-CN"/>
        </w:rPr>
        <w:t>10</w:t>
      </w:r>
      <w:r>
        <w:rPr>
          <w:rFonts w:hint="eastAsia" w:asciiTheme="majorEastAsia" w:hAnsiTheme="majorEastAsia" w:eastAsiaTheme="majorEastAsia"/>
          <w:sz w:val="24"/>
          <w:szCs w:val="24"/>
        </w:rPr>
        <w:t>日正式开始评估工作，</w:t>
      </w:r>
      <w:r>
        <w:rPr>
          <w:rFonts w:hint="eastAsia" w:cs="Arial" w:asciiTheme="majorEastAsia" w:hAnsiTheme="majorEastAsia" w:eastAsiaTheme="majorEastAsia"/>
          <w:sz w:val="24"/>
          <w:szCs w:val="24"/>
        </w:rPr>
        <w:t>202</w:t>
      </w:r>
      <w:r>
        <w:rPr>
          <w:rFonts w:hint="eastAsia" w:cs="Arial" w:asciiTheme="majorEastAsia" w:hAnsiTheme="majorEastAsia" w:eastAsiaTheme="majorEastAsia"/>
          <w:sz w:val="24"/>
          <w:szCs w:val="24"/>
          <w:lang w:val="en-US" w:eastAsia="zh-CN"/>
        </w:rPr>
        <w:t>1</w:t>
      </w:r>
      <w:r>
        <w:rPr>
          <w:rFonts w:hint="eastAsia" w:cs="Arial" w:asciiTheme="majorEastAsia" w:hAnsiTheme="majorEastAsia" w:eastAsiaTheme="majorEastAsia"/>
          <w:sz w:val="24"/>
          <w:szCs w:val="24"/>
        </w:rPr>
        <w:t>年</w:t>
      </w:r>
      <w:r>
        <w:rPr>
          <w:rFonts w:hint="eastAsia" w:cs="Arial" w:asciiTheme="majorEastAsia" w:hAnsiTheme="majorEastAsia" w:eastAsiaTheme="majorEastAsia"/>
          <w:sz w:val="24"/>
          <w:szCs w:val="24"/>
          <w:lang w:val="en-US" w:eastAsia="zh-CN"/>
        </w:rPr>
        <w:t>2</w:t>
      </w:r>
      <w:r>
        <w:rPr>
          <w:rFonts w:hint="eastAsia" w:cs="Arial" w:asciiTheme="majorEastAsia" w:hAnsiTheme="majorEastAsia" w:eastAsiaTheme="majorEastAsia"/>
          <w:sz w:val="24"/>
          <w:szCs w:val="24"/>
        </w:rPr>
        <w:t>月</w:t>
      </w:r>
      <w:r>
        <w:rPr>
          <w:rFonts w:hint="eastAsia" w:cs="Arial" w:asciiTheme="majorEastAsia" w:hAnsiTheme="majorEastAsia" w:eastAsiaTheme="majorEastAsia"/>
          <w:sz w:val="24"/>
          <w:szCs w:val="24"/>
          <w:lang w:val="en-US" w:eastAsia="zh-CN"/>
        </w:rPr>
        <w:t>26</w:t>
      </w:r>
      <w:r>
        <w:rPr>
          <w:rFonts w:hint="eastAsia" w:cs="Arial" w:asciiTheme="majorEastAsia" w:hAnsiTheme="majorEastAsia" w:eastAsiaTheme="majorEastAsia"/>
          <w:sz w:val="24"/>
          <w:szCs w:val="24"/>
        </w:rPr>
        <w:t>日</w:t>
      </w:r>
      <w:r>
        <w:rPr>
          <w:rFonts w:hint="eastAsia" w:asciiTheme="majorEastAsia" w:hAnsiTheme="majorEastAsia" w:eastAsiaTheme="majorEastAsia"/>
          <w:sz w:val="24"/>
          <w:szCs w:val="24"/>
        </w:rPr>
        <w:t>出具资产评估报告。</w:t>
      </w:r>
    </w:p>
    <w:p>
      <w:pPr>
        <w:spacing w:line="460" w:lineRule="exact"/>
        <w:ind w:firstLine="480" w:firstLineChars="200"/>
        <w:jc w:val="left"/>
        <w:rPr>
          <w:rFonts w:cs="Courier New" w:asciiTheme="majorEastAsia" w:hAnsiTheme="majorEastAsia" w:eastAsiaTheme="majorEastAsia"/>
          <w:sz w:val="24"/>
          <w:szCs w:val="24"/>
          <w:highlight w:val="none"/>
        </w:rPr>
      </w:pPr>
      <w:r>
        <w:rPr>
          <w:rFonts w:hint="eastAsia" w:cs="Courier New" w:asciiTheme="majorEastAsia" w:hAnsiTheme="majorEastAsia" w:eastAsiaTheme="majorEastAsia"/>
          <w:sz w:val="24"/>
          <w:szCs w:val="24"/>
        </w:rPr>
        <w:t>从评估业务基本事项起到</w:t>
      </w:r>
      <w:r>
        <w:rPr>
          <w:rFonts w:hint="eastAsia" w:cs="Courier New" w:asciiTheme="majorEastAsia" w:hAnsiTheme="majorEastAsia" w:eastAsiaTheme="majorEastAsia"/>
          <w:sz w:val="24"/>
          <w:szCs w:val="24"/>
          <w:highlight w:val="none"/>
        </w:rPr>
        <w:t>工作底稿归档工作过程中,分</w:t>
      </w:r>
      <w:r>
        <w:rPr>
          <w:rFonts w:hint="eastAsia" w:cs="Courier New" w:asciiTheme="majorEastAsia" w:hAnsiTheme="majorEastAsia" w:eastAsiaTheme="majorEastAsia"/>
          <w:sz w:val="24"/>
          <w:szCs w:val="24"/>
          <w:highlight w:val="none"/>
          <w:lang w:eastAsia="zh-CN"/>
        </w:rPr>
        <w:t>七</w:t>
      </w:r>
      <w:r>
        <w:rPr>
          <w:rFonts w:hint="eastAsia" w:cs="Courier New" w:asciiTheme="majorEastAsia" w:hAnsiTheme="majorEastAsia" w:eastAsiaTheme="majorEastAsia"/>
          <w:sz w:val="24"/>
          <w:szCs w:val="24"/>
          <w:highlight w:val="none"/>
        </w:rPr>
        <w:t>个过程进行资产评估,这</w:t>
      </w:r>
      <w:r>
        <w:rPr>
          <w:rFonts w:hint="eastAsia" w:cs="Courier New" w:asciiTheme="majorEastAsia" w:hAnsiTheme="majorEastAsia" w:eastAsiaTheme="majorEastAsia"/>
          <w:sz w:val="24"/>
          <w:szCs w:val="24"/>
          <w:highlight w:val="none"/>
          <w:lang w:eastAsia="zh-CN"/>
        </w:rPr>
        <w:t>七</w:t>
      </w:r>
      <w:r>
        <w:rPr>
          <w:rFonts w:hint="eastAsia" w:cs="Courier New" w:asciiTheme="majorEastAsia" w:hAnsiTheme="majorEastAsia" w:eastAsiaTheme="majorEastAsia"/>
          <w:sz w:val="24"/>
          <w:szCs w:val="24"/>
          <w:highlight w:val="none"/>
        </w:rPr>
        <w:t>个过程依次为：</w:t>
      </w:r>
    </w:p>
    <w:p>
      <w:pPr>
        <w:tabs>
          <w:tab w:val="left" w:pos="1590"/>
        </w:tabs>
        <w:spacing w:line="460" w:lineRule="exact"/>
        <w:ind w:firstLine="482" w:firstLineChars="200"/>
        <w:jc w:val="left"/>
        <w:rPr>
          <w:rFonts w:hint="eastAsia" w:cs="Courier New" w:asciiTheme="majorEastAsia" w:hAnsiTheme="majorEastAsia" w:eastAsiaTheme="majorEastAsia"/>
          <w:b/>
          <w:sz w:val="24"/>
          <w:szCs w:val="24"/>
          <w:highlight w:val="none"/>
          <w:lang w:eastAsia="zh-CN"/>
        </w:rPr>
      </w:pPr>
      <w:r>
        <w:rPr>
          <w:rFonts w:hint="eastAsia" w:cs="Courier New" w:asciiTheme="majorEastAsia" w:hAnsiTheme="majorEastAsia" w:eastAsiaTheme="majorEastAsia"/>
          <w:b/>
          <w:sz w:val="24"/>
          <w:szCs w:val="24"/>
          <w:highlight w:val="none"/>
        </w:rPr>
        <w:t>（一）</w:t>
      </w:r>
      <w:r>
        <w:rPr>
          <w:rFonts w:hint="eastAsia" w:cs="Courier New" w:asciiTheme="majorEastAsia" w:hAnsiTheme="majorEastAsia" w:eastAsiaTheme="majorEastAsia"/>
          <w:b/>
          <w:sz w:val="24"/>
          <w:szCs w:val="24"/>
          <w:highlight w:val="none"/>
          <w:lang w:eastAsia="zh-CN"/>
        </w:rPr>
        <w:t>接受司法执行财产处置业务委托、明确业务基本事项</w:t>
      </w:r>
    </w:p>
    <w:p>
      <w:pPr>
        <w:spacing w:line="460" w:lineRule="exact"/>
        <w:ind w:firstLine="480" w:firstLineChars="200"/>
        <w:jc w:val="left"/>
        <w:rPr>
          <w:rFonts w:cs="Courier New" w:asciiTheme="majorEastAsia" w:hAnsiTheme="majorEastAsia" w:eastAsiaTheme="majorEastAsia"/>
          <w:sz w:val="24"/>
          <w:szCs w:val="24"/>
          <w:highlight w:val="none"/>
        </w:rPr>
      </w:pPr>
      <w:r>
        <w:rPr>
          <w:rFonts w:hint="eastAsia" w:cs="Courier New" w:asciiTheme="majorEastAsia" w:hAnsiTheme="majorEastAsia" w:eastAsiaTheme="majorEastAsia"/>
          <w:sz w:val="24"/>
          <w:szCs w:val="24"/>
          <w:highlight w:val="none"/>
        </w:rPr>
        <w:t>资产评估机构和人员在</w:t>
      </w:r>
      <w:r>
        <w:rPr>
          <w:rFonts w:hint="eastAsia" w:cs="Courier New" w:asciiTheme="majorEastAsia" w:hAnsiTheme="majorEastAsia" w:eastAsiaTheme="majorEastAsia"/>
          <w:sz w:val="24"/>
          <w:szCs w:val="24"/>
          <w:highlight w:val="none"/>
          <w:lang w:eastAsia="zh-CN"/>
        </w:rPr>
        <w:t>接到人民法院通知接收评估委托后</w:t>
      </w:r>
      <w:r>
        <w:rPr>
          <w:rFonts w:hint="eastAsia" w:cs="Courier New" w:asciiTheme="majorEastAsia" w:hAnsiTheme="majorEastAsia" w:eastAsiaTheme="majorEastAsia"/>
          <w:sz w:val="24"/>
          <w:szCs w:val="24"/>
          <w:highlight w:val="none"/>
        </w:rPr>
        <w:t>,</w:t>
      </w:r>
      <w:r>
        <w:rPr>
          <w:rFonts w:hint="eastAsia" w:cs="Courier New" w:asciiTheme="majorEastAsia" w:hAnsiTheme="majorEastAsia" w:eastAsiaTheme="majorEastAsia"/>
          <w:sz w:val="24"/>
          <w:szCs w:val="24"/>
          <w:highlight w:val="none"/>
          <w:lang w:eastAsia="zh-CN"/>
        </w:rPr>
        <w:t>按照评估委托内容及其提供的相关材料，明确司法执行财产处置评估业务的</w:t>
      </w:r>
      <w:r>
        <w:rPr>
          <w:rFonts w:hint="eastAsia" w:cs="Courier New" w:asciiTheme="majorEastAsia" w:hAnsiTheme="majorEastAsia" w:eastAsiaTheme="majorEastAsia"/>
          <w:sz w:val="24"/>
          <w:szCs w:val="24"/>
          <w:highlight w:val="none"/>
        </w:rPr>
        <w:t>评估对象和范围、价值类型、资产评估基准日、评估报告使用限制、评估报告的提交方式及时间、评估费用等基本事项。经资产评估师根据评估业务具体情况,对专业胜任能力、独立性业务风险进行综合分析和评价,决定承接该业务。</w:t>
      </w:r>
    </w:p>
    <w:p>
      <w:pPr>
        <w:spacing w:line="460" w:lineRule="exact"/>
        <w:ind w:firstLine="482" w:firstLineChars="200"/>
        <w:jc w:val="left"/>
        <w:rPr>
          <w:rFonts w:cs="Courier New" w:asciiTheme="majorEastAsia" w:hAnsiTheme="majorEastAsia" w:eastAsiaTheme="majorEastAsia"/>
          <w:b/>
          <w:sz w:val="24"/>
          <w:szCs w:val="24"/>
          <w:highlight w:val="none"/>
        </w:rPr>
      </w:pPr>
      <w:r>
        <w:rPr>
          <w:rFonts w:hint="eastAsia" w:cs="Courier New" w:asciiTheme="majorEastAsia" w:hAnsiTheme="majorEastAsia" w:eastAsiaTheme="majorEastAsia"/>
          <w:b/>
          <w:sz w:val="24"/>
          <w:szCs w:val="24"/>
          <w:highlight w:val="none"/>
        </w:rPr>
        <w:t>（</w:t>
      </w:r>
      <w:r>
        <w:rPr>
          <w:rFonts w:hint="eastAsia" w:cs="Courier New" w:asciiTheme="majorEastAsia" w:hAnsiTheme="majorEastAsia" w:eastAsiaTheme="majorEastAsia"/>
          <w:b/>
          <w:sz w:val="24"/>
          <w:szCs w:val="24"/>
          <w:highlight w:val="none"/>
          <w:lang w:eastAsia="zh-CN"/>
        </w:rPr>
        <w:t>二</w:t>
      </w:r>
      <w:r>
        <w:rPr>
          <w:rFonts w:hint="eastAsia" w:cs="Courier New" w:asciiTheme="majorEastAsia" w:hAnsiTheme="majorEastAsia" w:eastAsiaTheme="majorEastAsia"/>
          <w:b/>
          <w:sz w:val="24"/>
          <w:szCs w:val="24"/>
          <w:highlight w:val="none"/>
        </w:rPr>
        <w:t>）编制资产评估计划</w:t>
      </w:r>
    </w:p>
    <w:p>
      <w:pPr>
        <w:spacing w:line="460" w:lineRule="exact"/>
        <w:ind w:firstLine="480" w:firstLineChars="200"/>
        <w:jc w:val="left"/>
        <w:rPr>
          <w:rFonts w:cs="Courier New" w:asciiTheme="majorEastAsia" w:hAnsiTheme="majorEastAsia" w:eastAsiaTheme="majorEastAsia"/>
          <w:sz w:val="24"/>
          <w:szCs w:val="24"/>
        </w:rPr>
      </w:pPr>
      <w:r>
        <w:rPr>
          <w:rFonts w:hint="eastAsia" w:cs="Courier New" w:asciiTheme="majorEastAsia" w:hAnsiTheme="majorEastAsia" w:eastAsiaTheme="majorEastAsia"/>
          <w:sz w:val="24"/>
          <w:szCs w:val="24"/>
          <w:highlight w:val="none"/>
        </w:rPr>
        <w:t>资产评估机构和人员根据所承受的具体资产评估项目情况,编制合理的资产评</w:t>
      </w:r>
      <w:r>
        <w:rPr>
          <w:rFonts w:hint="eastAsia" w:cs="Courier New" w:asciiTheme="majorEastAsia" w:hAnsiTheme="majorEastAsia" w:eastAsiaTheme="majorEastAsia"/>
          <w:sz w:val="24"/>
          <w:szCs w:val="24"/>
        </w:rPr>
        <w:t>估计划,并根据执行资产评估业务中具体情况,及时修改、补充资产评估计划。</w:t>
      </w:r>
    </w:p>
    <w:p>
      <w:pPr>
        <w:spacing w:line="460" w:lineRule="exact"/>
        <w:ind w:firstLine="482" w:firstLineChars="200"/>
        <w:jc w:val="left"/>
        <w:rPr>
          <w:rFonts w:cs="Courier New" w:asciiTheme="majorEastAsia" w:hAnsiTheme="majorEastAsia" w:eastAsiaTheme="majorEastAsia"/>
          <w:b/>
          <w:sz w:val="24"/>
          <w:szCs w:val="24"/>
        </w:rPr>
      </w:pPr>
      <w:r>
        <w:rPr>
          <w:rFonts w:hint="eastAsia" w:cs="Courier New" w:asciiTheme="majorEastAsia" w:hAnsiTheme="majorEastAsia" w:eastAsiaTheme="majorEastAsia"/>
          <w:b/>
          <w:sz w:val="24"/>
          <w:szCs w:val="24"/>
        </w:rPr>
        <w:t>（</w:t>
      </w:r>
      <w:r>
        <w:rPr>
          <w:rFonts w:hint="eastAsia" w:cs="Courier New" w:asciiTheme="majorEastAsia" w:hAnsiTheme="majorEastAsia" w:eastAsiaTheme="majorEastAsia"/>
          <w:b/>
          <w:sz w:val="24"/>
          <w:szCs w:val="24"/>
          <w:lang w:eastAsia="zh-CN"/>
        </w:rPr>
        <w:t>三</w:t>
      </w:r>
      <w:r>
        <w:rPr>
          <w:rFonts w:hint="eastAsia" w:cs="Courier New" w:asciiTheme="majorEastAsia" w:hAnsiTheme="majorEastAsia" w:eastAsiaTheme="majorEastAsia"/>
          <w:b/>
          <w:sz w:val="24"/>
          <w:szCs w:val="24"/>
        </w:rPr>
        <w:t>）现场调查</w:t>
      </w:r>
    </w:p>
    <w:p>
      <w:pPr>
        <w:spacing w:line="460" w:lineRule="exact"/>
        <w:ind w:firstLine="480" w:firstLineChars="200"/>
        <w:jc w:val="left"/>
        <w:rPr>
          <w:rFonts w:cs="Courier New" w:asciiTheme="majorEastAsia" w:hAnsiTheme="majorEastAsia" w:eastAsiaTheme="majorEastAsia"/>
          <w:sz w:val="24"/>
          <w:szCs w:val="24"/>
        </w:rPr>
      </w:pPr>
      <w:r>
        <w:rPr>
          <w:rFonts w:hint="eastAsia" w:cs="Courier New" w:asciiTheme="majorEastAsia" w:hAnsiTheme="majorEastAsia" w:eastAsiaTheme="majorEastAsia"/>
          <w:sz w:val="24"/>
          <w:szCs w:val="24"/>
        </w:rPr>
        <w:t>在接受委托确定估价对象后, 评估工作小组于202</w:t>
      </w:r>
      <w:r>
        <w:rPr>
          <w:rFonts w:hint="eastAsia" w:cs="Courier New" w:asciiTheme="majorEastAsia" w:hAnsiTheme="majorEastAsia" w:eastAsiaTheme="majorEastAsia"/>
          <w:sz w:val="24"/>
          <w:szCs w:val="24"/>
          <w:lang w:val="en-US" w:eastAsia="zh-CN"/>
        </w:rPr>
        <w:t>1</w:t>
      </w:r>
      <w:r>
        <w:rPr>
          <w:rFonts w:hint="eastAsia" w:cs="Courier New" w:asciiTheme="majorEastAsia" w:hAnsiTheme="majorEastAsia" w:eastAsiaTheme="majorEastAsia"/>
          <w:sz w:val="24"/>
          <w:szCs w:val="24"/>
        </w:rPr>
        <w:t>年</w:t>
      </w:r>
      <w:r>
        <w:rPr>
          <w:rFonts w:hint="eastAsia" w:cs="Courier New" w:asciiTheme="majorEastAsia" w:hAnsiTheme="majorEastAsia" w:eastAsiaTheme="majorEastAsia"/>
          <w:sz w:val="24"/>
          <w:szCs w:val="24"/>
          <w:lang w:val="en-US" w:eastAsia="zh-CN"/>
        </w:rPr>
        <w:t>2</w:t>
      </w:r>
      <w:r>
        <w:rPr>
          <w:rFonts w:hint="eastAsia" w:cs="Courier New" w:asciiTheme="majorEastAsia" w:hAnsiTheme="majorEastAsia" w:eastAsiaTheme="majorEastAsia"/>
          <w:sz w:val="24"/>
          <w:szCs w:val="24"/>
        </w:rPr>
        <w:t>月</w:t>
      </w:r>
      <w:r>
        <w:rPr>
          <w:rFonts w:hint="eastAsia" w:cs="Courier New" w:asciiTheme="majorEastAsia" w:hAnsiTheme="majorEastAsia" w:eastAsiaTheme="majorEastAsia"/>
          <w:sz w:val="24"/>
          <w:szCs w:val="24"/>
          <w:lang w:val="en-US" w:eastAsia="zh-CN"/>
        </w:rPr>
        <w:t>10</w:t>
      </w:r>
      <w:r>
        <w:rPr>
          <w:rFonts w:hint="eastAsia" w:cs="Courier New" w:asciiTheme="majorEastAsia" w:hAnsiTheme="majorEastAsia" w:eastAsiaTheme="majorEastAsia"/>
          <w:sz w:val="24"/>
          <w:szCs w:val="24"/>
        </w:rPr>
        <w:t>日进入现场进行勘察,会同委托人人员对评估对象进行核实,确定资产的存在性、完整性。并与相关人员进行交谈，了解资产的使用、保存状况，根据勘察情况填写现场勘查记录表</w:t>
      </w:r>
      <w:r>
        <w:rPr>
          <w:rFonts w:hint="eastAsia" w:cs="Courier New" w:asciiTheme="majorEastAsia" w:hAnsiTheme="majorEastAsia" w:eastAsiaTheme="majorEastAsia"/>
          <w:sz w:val="24"/>
          <w:szCs w:val="24"/>
          <w:lang w:eastAsia="zh-CN"/>
        </w:rPr>
        <w:t>。</w:t>
      </w:r>
    </w:p>
    <w:p>
      <w:pPr>
        <w:spacing w:line="460" w:lineRule="exact"/>
        <w:ind w:firstLine="482" w:firstLineChars="200"/>
        <w:jc w:val="left"/>
        <w:rPr>
          <w:rFonts w:cs="Courier New" w:asciiTheme="majorEastAsia" w:hAnsiTheme="majorEastAsia" w:eastAsiaTheme="majorEastAsia"/>
          <w:b/>
          <w:sz w:val="24"/>
          <w:szCs w:val="24"/>
        </w:rPr>
      </w:pPr>
      <w:r>
        <w:rPr>
          <w:rFonts w:hint="eastAsia" w:cs="Courier New" w:asciiTheme="majorEastAsia" w:hAnsiTheme="majorEastAsia" w:eastAsiaTheme="majorEastAsia"/>
          <w:b/>
          <w:sz w:val="24"/>
          <w:szCs w:val="24"/>
        </w:rPr>
        <w:t>（</w:t>
      </w:r>
      <w:r>
        <w:rPr>
          <w:rFonts w:hint="eastAsia" w:cs="Courier New" w:asciiTheme="majorEastAsia" w:hAnsiTheme="majorEastAsia" w:eastAsiaTheme="majorEastAsia"/>
          <w:b/>
          <w:sz w:val="24"/>
          <w:szCs w:val="24"/>
          <w:lang w:eastAsia="zh-CN"/>
        </w:rPr>
        <w:t>四</w:t>
      </w:r>
      <w:r>
        <w:rPr>
          <w:rFonts w:hint="eastAsia" w:cs="Courier New" w:asciiTheme="majorEastAsia" w:hAnsiTheme="majorEastAsia" w:eastAsiaTheme="majorEastAsia"/>
          <w:b/>
          <w:sz w:val="24"/>
          <w:szCs w:val="24"/>
        </w:rPr>
        <w:t>）收集资产评估资料</w:t>
      </w:r>
    </w:p>
    <w:p>
      <w:pPr>
        <w:spacing w:line="460" w:lineRule="exact"/>
        <w:ind w:firstLine="480" w:firstLineChars="200"/>
        <w:jc w:val="left"/>
        <w:rPr>
          <w:rFonts w:cs="Courier New" w:asciiTheme="majorEastAsia" w:hAnsiTheme="majorEastAsia" w:eastAsiaTheme="majorEastAsia"/>
          <w:sz w:val="24"/>
          <w:szCs w:val="24"/>
        </w:rPr>
      </w:pPr>
      <w:r>
        <w:rPr>
          <w:rFonts w:hint="eastAsia" w:cs="Courier New" w:asciiTheme="majorEastAsia" w:hAnsiTheme="majorEastAsia" w:eastAsiaTheme="majorEastAsia"/>
          <w:sz w:val="24"/>
          <w:szCs w:val="24"/>
        </w:rPr>
        <w:t>资产评估机构和人员根据资产评估项目及情况收集资产评估相关资料。资产评估机构和资产评估师进行市场调查,收集与资产评估业务相关的资料。</w:t>
      </w:r>
    </w:p>
    <w:p>
      <w:pPr>
        <w:spacing w:line="460" w:lineRule="exact"/>
        <w:ind w:firstLine="482" w:firstLineChars="200"/>
        <w:jc w:val="left"/>
        <w:rPr>
          <w:rFonts w:cs="Courier New" w:asciiTheme="majorEastAsia" w:hAnsiTheme="majorEastAsia" w:eastAsiaTheme="majorEastAsia"/>
          <w:b/>
          <w:sz w:val="24"/>
          <w:szCs w:val="24"/>
        </w:rPr>
      </w:pPr>
      <w:r>
        <w:rPr>
          <w:rFonts w:hint="eastAsia" w:cs="Courier New" w:asciiTheme="majorEastAsia" w:hAnsiTheme="majorEastAsia" w:eastAsiaTheme="majorEastAsia"/>
          <w:b/>
          <w:sz w:val="24"/>
          <w:szCs w:val="24"/>
        </w:rPr>
        <w:t>（</w:t>
      </w:r>
      <w:r>
        <w:rPr>
          <w:rFonts w:hint="eastAsia" w:cs="Courier New" w:asciiTheme="majorEastAsia" w:hAnsiTheme="majorEastAsia" w:eastAsiaTheme="majorEastAsia"/>
          <w:b/>
          <w:sz w:val="24"/>
          <w:szCs w:val="24"/>
          <w:lang w:eastAsia="zh-CN"/>
        </w:rPr>
        <w:t>五</w:t>
      </w:r>
      <w:r>
        <w:rPr>
          <w:rFonts w:hint="eastAsia" w:cs="Courier New" w:asciiTheme="majorEastAsia" w:hAnsiTheme="majorEastAsia" w:eastAsiaTheme="majorEastAsia"/>
          <w:b/>
          <w:sz w:val="24"/>
          <w:szCs w:val="24"/>
        </w:rPr>
        <w:t>）评定估算</w:t>
      </w:r>
    </w:p>
    <w:p>
      <w:pPr>
        <w:spacing w:line="460" w:lineRule="exact"/>
        <w:ind w:firstLine="480" w:firstLineChars="200"/>
        <w:jc w:val="left"/>
        <w:rPr>
          <w:rFonts w:cs="Courier New" w:asciiTheme="majorEastAsia" w:hAnsiTheme="majorEastAsia" w:eastAsiaTheme="majorEastAsia"/>
          <w:color w:val="auto"/>
          <w:sz w:val="24"/>
          <w:szCs w:val="24"/>
        </w:rPr>
      </w:pPr>
      <w:r>
        <w:rPr>
          <w:rFonts w:hint="eastAsia" w:cs="Courier New" w:asciiTheme="majorEastAsia" w:hAnsiTheme="majorEastAsia" w:eastAsiaTheme="majorEastAsia"/>
          <w:color w:val="auto"/>
          <w:sz w:val="24"/>
          <w:szCs w:val="24"/>
        </w:rPr>
        <w:t>资产评估机构人员对收集的资产评估资料进行充分分析,确定其可靠性、相关性、可比性,摒弃不可靠、不相关的信息。对不可比信息进行必要分析调整。在此基础上恰当选择适当的评估方法形成初步评估结论.在形成初步资产评估结论的基础上,对信息资料、参数的数量、质量和选取的合理性等进行综合分析,以形成资产评估结论。</w:t>
      </w:r>
    </w:p>
    <w:p>
      <w:pPr>
        <w:spacing w:line="460" w:lineRule="exact"/>
        <w:ind w:firstLine="480" w:firstLineChars="200"/>
        <w:jc w:val="left"/>
        <w:rPr>
          <w:rFonts w:cs="Courier New" w:asciiTheme="majorEastAsia" w:hAnsiTheme="majorEastAsia" w:eastAsiaTheme="majorEastAsia"/>
          <w:color w:val="auto"/>
          <w:sz w:val="24"/>
          <w:szCs w:val="24"/>
        </w:rPr>
      </w:pPr>
      <w:r>
        <w:rPr>
          <w:rFonts w:hint="eastAsia" w:cs="Courier New" w:asciiTheme="majorEastAsia" w:hAnsiTheme="majorEastAsia" w:eastAsiaTheme="majorEastAsia"/>
          <w:color w:val="auto"/>
          <w:sz w:val="24"/>
          <w:szCs w:val="24"/>
        </w:rPr>
        <w:t>具体测算方法如下:</w:t>
      </w:r>
    </w:p>
    <w:p>
      <w:pPr>
        <w:spacing w:line="460" w:lineRule="exact"/>
        <w:ind w:left="479" w:leftChars="228"/>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1.本次</w:t>
      </w:r>
      <w:r>
        <w:rPr>
          <w:rFonts w:hint="eastAsia" w:asciiTheme="majorEastAsia" w:hAnsiTheme="majorEastAsia" w:eastAsiaTheme="majorEastAsia"/>
          <w:color w:val="auto"/>
          <w:sz w:val="24"/>
          <w:szCs w:val="24"/>
          <w:lang w:eastAsia="zh-CN"/>
        </w:rPr>
        <w:t>住宅房屋及商业用房的</w:t>
      </w:r>
      <w:r>
        <w:rPr>
          <w:rFonts w:hint="eastAsia" w:asciiTheme="majorEastAsia" w:hAnsiTheme="majorEastAsia" w:eastAsiaTheme="majorEastAsia"/>
          <w:color w:val="auto"/>
          <w:sz w:val="24"/>
          <w:szCs w:val="24"/>
        </w:rPr>
        <w:t>评估采用</w:t>
      </w:r>
      <w:r>
        <w:rPr>
          <w:rFonts w:hint="eastAsia" w:asciiTheme="majorEastAsia" w:hAnsiTheme="majorEastAsia" w:eastAsiaTheme="majorEastAsia"/>
          <w:color w:val="auto"/>
          <w:sz w:val="24"/>
          <w:szCs w:val="24"/>
          <w:lang w:eastAsia="zh-CN"/>
        </w:rPr>
        <w:t>市场</w:t>
      </w:r>
      <w:r>
        <w:rPr>
          <w:rFonts w:hint="eastAsia" w:asciiTheme="majorEastAsia" w:hAnsiTheme="majorEastAsia" w:eastAsiaTheme="majorEastAsia"/>
          <w:color w:val="auto"/>
          <w:sz w:val="24"/>
          <w:szCs w:val="24"/>
        </w:rPr>
        <w:t>法，即：</w:t>
      </w:r>
    </w:p>
    <w:p>
      <w:pPr>
        <w:spacing w:line="460" w:lineRule="exact"/>
        <w:ind w:firstLine="480" w:firstLineChars="200"/>
        <w:jc w:val="left"/>
        <w:rPr>
          <w:rFonts w:hint="eastAsia" w:ascii="宋体" w:hAnsi="宋体" w:cs="Courier New"/>
          <w:color w:val="auto"/>
          <w:sz w:val="24"/>
        </w:rPr>
      </w:pPr>
      <w:r>
        <w:rPr>
          <w:rFonts w:hint="eastAsia" w:ascii="宋体" w:hAnsi="宋体" w:cs="Courier New"/>
          <w:color w:val="auto"/>
          <w:sz w:val="24"/>
        </w:rPr>
        <w:t>比准价格=可比实例价格×交易情况修正×交易期日修正×房地产状况修正</w:t>
      </w:r>
    </w:p>
    <w:p>
      <w:pPr>
        <w:spacing w:line="460" w:lineRule="exact"/>
        <w:ind w:firstLine="468"/>
        <w:jc w:val="left"/>
        <w:rPr>
          <w:rFonts w:hint="eastAsia" w:ascii="宋体" w:hAnsi="宋体" w:cs="Courier New"/>
          <w:color w:val="auto"/>
          <w:sz w:val="24"/>
        </w:rPr>
      </w:pPr>
      <w:r>
        <w:rPr>
          <w:rFonts w:hint="eastAsia" w:ascii="宋体" w:hAnsi="宋体" w:cs="Courier New"/>
          <w:color w:val="auto"/>
          <w:sz w:val="24"/>
        </w:rPr>
        <w:t>评估对象价格=比准价格A×权重+比准价格B×权重+比准价格C×权重</w:t>
      </w:r>
    </w:p>
    <w:p>
      <w:pPr>
        <w:spacing w:line="460" w:lineRule="exact"/>
        <w:ind w:firstLine="468"/>
        <w:jc w:val="left"/>
        <w:rPr>
          <w:rFonts w:asciiTheme="majorEastAsia" w:hAnsiTheme="majorEastAsia" w:eastAsiaTheme="majorEastAsia"/>
          <w:color w:val="auto"/>
          <w:sz w:val="24"/>
          <w:szCs w:val="24"/>
        </w:rPr>
      </w:pPr>
      <w:r>
        <w:rPr>
          <w:rFonts w:hint="eastAsia" w:cs="Courier New" w:asciiTheme="majorEastAsia" w:hAnsiTheme="majorEastAsia" w:eastAsiaTheme="majorEastAsia"/>
          <w:color w:val="auto"/>
          <w:sz w:val="24"/>
          <w:szCs w:val="24"/>
        </w:rPr>
        <w:t>可比实例价格依据评估人员市场调查及网络查询确定。</w:t>
      </w:r>
    </w:p>
    <w:p>
      <w:pPr>
        <w:spacing w:line="460" w:lineRule="exact"/>
        <w:ind w:firstLine="482" w:firstLineChars="200"/>
        <w:jc w:val="left"/>
        <w:rPr>
          <w:rFonts w:cs="Courier New" w:asciiTheme="majorEastAsia" w:hAnsiTheme="majorEastAsia" w:eastAsiaTheme="majorEastAsia"/>
          <w:b/>
          <w:sz w:val="24"/>
          <w:szCs w:val="24"/>
        </w:rPr>
      </w:pPr>
      <w:r>
        <w:rPr>
          <w:rFonts w:hint="eastAsia" w:cs="Courier New" w:asciiTheme="majorEastAsia" w:hAnsiTheme="majorEastAsia" w:eastAsiaTheme="majorEastAsia"/>
          <w:b/>
          <w:sz w:val="24"/>
          <w:szCs w:val="24"/>
        </w:rPr>
        <w:t>（</w:t>
      </w:r>
      <w:r>
        <w:rPr>
          <w:rFonts w:hint="eastAsia" w:cs="Courier New" w:asciiTheme="majorEastAsia" w:hAnsiTheme="majorEastAsia" w:eastAsiaTheme="majorEastAsia"/>
          <w:b/>
          <w:sz w:val="24"/>
          <w:szCs w:val="24"/>
          <w:lang w:eastAsia="zh-CN"/>
        </w:rPr>
        <w:t>六</w:t>
      </w:r>
      <w:r>
        <w:rPr>
          <w:rFonts w:hint="eastAsia" w:cs="Courier New" w:asciiTheme="majorEastAsia" w:hAnsiTheme="majorEastAsia" w:eastAsiaTheme="majorEastAsia"/>
          <w:b/>
          <w:sz w:val="24"/>
          <w:szCs w:val="24"/>
        </w:rPr>
        <w:t>）编制和提交资产评估报告</w:t>
      </w:r>
    </w:p>
    <w:p>
      <w:pPr>
        <w:spacing w:line="460" w:lineRule="exact"/>
        <w:ind w:left="1" w:firstLine="480" w:firstLineChars="200"/>
        <w:jc w:val="left"/>
        <w:rPr>
          <w:rFonts w:cs="Courier New" w:asciiTheme="majorEastAsia" w:hAnsiTheme="majorEastAsia" w:eastAsiaTheme="majorEastAsia"/>
          <w:sz w:val="24"/>
          <w:szCs w:val="24"/>
        </w:rPr>
      </w:pPr>
      <w:r>
        <w:rPr>
          <w:rFonts w:hint="eastAsia" w:cs="Courier New" w:asciiTheme="majorEastAsia" w:hAnsiTheme="majorEastAsia" w:eastAsiaTheme="majorEastAsia"/>
          <w:sz w:val="24"/>
          <w:szCs w:val="24"/>
        </w:rPr>
        <w:t>资产评估机构和资产评估师在执行必要的资产评估程序、形成资产评估结论后,按有关资产评估报</w:t>
      </w:r>
      <w:r>
        <w:rPr>
          <w:rFonts w:hint="eastAsia" w:cs="Courier New" w:asciiTheme="majorEastAsia" w:hAnsiTheme="majorEastAsia" w:eastAsiaTheme="majorEastAsia"/>
          <w:sz w:val="24"/>
          <w:szCs w:val="24"/>
          <w:lang w:val="en-US" w:eastAsia="zh-CN"/>
        </w:rPr>
        <w:t xml:space="preserve"> </w:t>
      </w:r>
      <w:r>
        <w:rPr>
          <w:rFonts w:hint="eastAsia" w:cs="Courier New" w:asciiTheme="majorEastAsia" w:hAnsiTheme="majorEastAsia" w:eastAsiaTheme="majorEastAsia"/>
          <w:sz w:val="24"/>
          <w:szCs w:val="24"/>
        </w:rPr>
        <w:t>告的规范,编制资产评估报告书。向委托人提交评估报告征求意见</w:t>
      </w:r>
      <w:r>
        <w:rPr>
          <w:rFonts w:hint="eastAsia" w:cs="Courier New" w:asciiTheme="majorEastAsia" w:hAnsiTheme="majorEastAsia" w:eastAsiaTheme="majorEastAsia"/>
          <w:sz w:val="24"/>
          <w:szCs w:val="24"/>
          <w:lang w:eastAsia="zh-CN"/>
        </w:rPr>
        <w:t>稿</w:t>
      </w:r>
      <w:r>
        <w:rPr>
          <w:rFonts w:hint="eastAsia" w:cs="Courier New" w:asciiTheme="majorEastAsia" w:hAnsiTheme="majorEastAsia" w:eastAsiaTheme="majorEastAsia"/>
          <w:sz w:val="24"/>
          <w:szCs w:val="24"/>
        </w:rPr>
        <w:t>,在委托人“无异议”反馈后或在答疑后,出具评估报告正式稿。</w:t>
      </w:r>
    </w:p>
    <w:p>
      <w:pPr>
        <w:spacing w:line="460" w:lineRule="exact"/>
        <w:ind w:left="1" w:firstLine="482" w:firstLineChars="200"/>
        <w:jc w:val="left"/>
        <w:rPr>
          <w:rFonts w:cs="Courier New" w:asciiTheme="majorEastAsia" w:hAnsiTheme="majorEastAsia" w:eastAsiaTheme="majorEastAsia"/>
          <w:b/>
          <w:sz w:val="24"/>
          <w:szCs w:val="24"/>
        </w:rPr>
      </w:pPr>
      <w:r>
        <w:rPr>
          <w:rFonts w:hint="eastAsia" w:cs="Courier New" w:asciiTheme="majorEastAsia" w:hAnsiTheme="majorEastAsia" w:eastAsiaTheme="majorEastAsia"/>
          <w:b/>
          <w:sz w:val="24"/>
          <w:szCs w:val="24"/>
        </w:rPr>
        <w:t>（</w:t>
      </w:r>
      <w:r>
        <w:rPr>
          <w:rFonts w:hint="eastAsia" w:cs="Courier New" w:asciiTheme="majorEastAsia" w:hAnsiTheme="majorEastAsia" w:eastAsiaTheme="majorEastAsia"/>
          <w:b/>
          <w:sz w:val="24"/>
          <w:szCs w:val="24"/>
          <w:lang w:eastAsia="zh-CN"/>
        </w:rPr>
        <w:t>七</w:t>
      </w:r>
      <w:r>
        <w:rPr>
          <w:rFonts w:hint="eastAsia" w:cs="Courier New" w:asciiTheme="majorEastAsia" w:hAnsiTheme="majorEastAsia" w:eastAsiaTheme="majorEastAsia"/>
          <w:b/>
          <w:sz w:val="24"/>
          <w:szCs w:val="24"/>
        </w:rPr>
        <w:t>）资产评估工作档案归档</w:t>
      </w:r>
    </w:p>
    <w:p>
      <w:pPr>
        <w:spacing w:line="460" w:lineRule="exact"/>
        <w:ind w:firstLine="480" w:firstLineChars="200"/>
        <w:jc w:val="left"/>
        <w:rPr>
          <w:rFonts w:cs="Courier New" w:asciiTheme="majorEastAsia" w:hAnsiTheme="majorEastAsia" w:eastAsiaTheme="majorEastAsia"/>
          <w:sz w:val="24"/>
          <w:szCs w:val="24"/>
        </w:rPr>
      </w:pPr>
      <w:r>
        <w:rPr>
          <w:rFonts w:hint="eastAsia" w:cs="Courier New" w:asciiTheme="majorEastAsia" w:hAnsiTheme="majorEastAsia" w:eastAsiaTheme="majorEastAsia"/>
          <w:sz w:val="24"/>
          <w:szCs w:val="24"/>
        </w:rPr>
        <w:t>资产评估机构和资产评估师在向委托人提交资产评估报告书后,将资产评估工作档案(底稿)归档。</w:t>
      </w:r>
    </w:p>
    <w:p>
      <w:pPr>
        <w:spacing w:line="460" w:lineRule="exact"/>
        <w:ind w:firstLine="482" w:firstLineChars="20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九、评估假设</w:t>
      </w:r>
    </w:p>
    <w:p>
      <w:pPr>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（一）</w:t>
      </w:r>
      <w:r>
        <w:rPr>
          <w:rFonts w:hint="eastAsia" w:asciiTheme="majorEastAsia" w:hAnsiTheme="majorEastAsia" w:eastAsiaTheme="majorEastAsia"/>
          <w:b/>
          <w:sz w:val="24"/>
          <w:szCs w:val="24"/>
        </w:rPr>
        <w:t>基本假设</w:t>
      </w:r>
    </w:p>
    <w:p>
      <w:pPr>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1）公开市场假设：公开市场假设是对资产拟进入的市场的条件，以及资产在这样的市场条件下接受何种影响的一种假定说明或限定。公开市场是指充分发达与完善的市场条件，是一个有自愿的买者或卖者的竞争性市场，在这个市场上，买者和卖者的地们是平等的，彼此都有获限足够市场信息的机会和时间，买卖双方的交易行为都是在自愿的、理智的而非强制的或不受限制的条件下进行的。</w:t>
      </w:r>
    </w:p>
    <w:p>
      <w:pPr>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2）资产持续使用假设：资产持续使用假设是指评估时，被评估单位的资产按照评估基准日下在使用的用途、使用方式、使用频度、使用环境、资产规模等情况继续使用。在持续使用假设条件下，没有考虑资产用途转换或者最佳利用条件，其评估结果的使用范围受到限制。</w:t>
      </w:r>
    </w:p>
    <w:p>
      <w:pPr>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（3）交易假设：交易假设是假定所有待估资产已经处在交易的过程中，根据待估资产的交易条件等模拟市场进行估价。交易假设是估值得以进行的一个最基本的前提假设。</w:t>
      </w:r>
    </w:p>
    <w:p>
      <w:pPr>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（二）</w:t>
      </w:r>
      <w:r>
        <w:rPr>
          <w:rFonts w:hint="eastAsia" w:asciiTheme="majorEastAsia" w:hAnsiTheme="majorEastAsia" w:eastAsiaTheme="majorEastAsia"/>
          <w:b/>
          <w:sz w:val="24"/>
          <w:szCs w:val="24"/>
        </w:rPr>
        <w:t>一般假设</w:t>
      </w:r>
    </w:p>
    <w:p>
      <w:pPr>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（1）国家对被评估单位所处行业的有关法律法规和政策在预期无重大变化；</w:t>
      </w:r>
    </w:p>
    <w:p>
      <w:pPr>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（2）社会经济环境及经济发展除社会公众已知变化外，在预期无其他重大变化；</w:t>
      </w:r>
    </w:p>
    <w:p>
      <w:pPr>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（3）国家现行银行信贷利率、外汇汇率的变动能保持在合理范围内；</w:t>
      </w:r>
    </w:p>
    <w:p>
      <w:pPr>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（4）国家目前的税收制度除社会公众已知变化外，无其他重大变化；</w:t>
      </w:r>
    </w:p>
    <w:p>
      <w:pPr>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（5）无其他人力不可抗拒及不可预测因素的重大不利影响；</w:t>
      </w:r>
    </w:p>
    <w:p>
      <w:pPr>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（6）被评估单位公司会计政策与核算方法基准日后无重大变化；</w:t>
      </w:r>
    </w:p>
    <w:p>
      <w:pPr>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（7）本次评估测算各项参数取值均未考虑通货膨胀因素，价格均为评估基准日价值。</w:t>
      </w:r>
    </w:p>
    <w:p>
      <w:pPr>
        <w:spacing w:line="460" w:lineRule="exact"/>
        <w:ind w:firstLine="480" w:firstLineChars="200"/>
        <w:jc w:val="left"/>
        <w:rPr>
          <w:rFonts w:asciiTheme="majorEastAsia" w:hAnsiTheme="majorEastAsia" w:eastAsiaTheme="majorEastAsia"/>
          <w:b/>
          <w:sz w:val="24"/>
          <w:szCs w:val="24"/>
        </w:rPr>
      </w:pPr>
      <w:r>
        <w:rPr>
          <w:rFonts w:hint="eastAsia" w:asciiTheme="majorEastAsia" w:hAnsiTheme="majorEastAsia" w:eastAsiaTheme="majorEastAsia"/>
          <w:sz w:val="24"/>
          <w:szCs w:val="24"/>
        </w:rPr>
        <w:t>（三）</w:t>
      </w:r>
      <w:r>
        <w:rPr>
          <w:rFonts w:hint="eastAsia" w:asciiTheme="majorEastAsia" w:hAnsiTheme="majorEastAsia" w:eastAsiaTheme="majorEastAsia"/>
          <w:b/>
          <w:sz w:val="24"/>
          <w:szCs w:val="24"/>
        </w:rPr>
        <w:t>特殊假设</w:t>
      </w:r>
    </w:p>
    <w:p>
      <w:pPr>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1）对于本次评估报告中被评估资产的法律描述或法律事项（包括其权属或负担性限制），本机构按准则要求进行了调查。除在工作报告中已有提示以外，假定评估过程中所评资产的权属为良好的和可在市场上进行交易的；同时也不涉及任何留置权、地役权，没有受侵犯或无其他负担性限制的。</w:t>
      </w:r>
    </w:p>
    <w:p>
      <w:pPr>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（2）对于本评估报告中全部或部分价值评估结论所依据而由委托人及其他各方提供的信息资料，本机构只是按照评估程序进行了独立审查。但这些信息资料的真实性、完整性、合法性不做任何保证。</w:t>
      </w:r>
    </w:p>
    <w:p>
      <w:pPr>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（3）对于本评估报告中价值估算所依据的资产使用方所需由有关地方、国家政府机构、私人组织或团体签发的一切执照、使用许可证、同意函或其他法律或行政性授权文件假定已经或可以随时获得或更新。</w:t>
      </w:r>
    </w:p>
    <w:p>
      <w:pPr>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（4）我们对价值的估算是根据评估基准日本地货币购买力作出的。</w:t>
      </w:r>
    </w:p>
    <w:p>
      <w:pPr>
        <w:spacing w:line="460" w:lineRule="exact"/>
        <w:ind w:firstLine="480" w:firstLineChars="20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（5）本评估报告估算是在假定所有重要的及潜在的可能影响价值分析因素都已在我们与被评估单位之间充分提示的前提下做出的。</w:t>
      </w:r>
    </w:p>
    <w:p>
      <w:pPr>
        <w:spacing w:line="460" w:lineRule="exact"/>
        <w:ind w:firstLine="480" w:firstLineChars="200"/>
        <w:jc w:val="left"/>
        <w:rPr>
          <w:rFonts w:hint="eastAsia" w:asciiTheme="majorEastAsia" w:hAnsiTheme="majorEastAsia" w:eastAsiaTheme="majorEastAsia"/>
          <w:sz w:val="24"/>
          <w:szCs w:val="24"/>
          <w:highlight w:val="none"/>
          <w:lang w:eastAsia="zh-CN"/>
        </w:rPr>
      </w:pPr>
      <w:r>
        <w:rPr>
          <w:rFonts w:hint="eastAsia" w:asciiTheme="majorEastAsia" w:hAnsiTheme="majorEastAsia" w:eastAsiaTheme="majorEastAsia"/>
          <w:sz w:val="24"/>
          <w:szCs w:val="24"/>
          <w:highlight w:val="none"/>
          <w:lang w:eastAsia="zh-CN"/>
        </w:rPr>
        <w:t>（</w:t>
      </w:r>
      <w:r>
        <w:rPr>
          <w:rFonts w:hint="eastAsia" w:asciiTheme="majorEastAsia" w:hAnsiTheme="majorEastAsia" w:eastAsiaTheme="majorEastAsia"/>
          <w:sz w:val="24"/>
          <w:szCs w:val="24"/>
          <w:highlight w:val="none"/>
          <w:lang w:val="en-US" w:eastAsia="zh-CN"/>
        </w:rPr>
        <w:t>6</w:t>
      </w:r>
      <w:r>
        <w:rPr>
          <w:rFonts w:hint="eastAsia" w:asciiTheme="majorEastAsia" w:hAnsiTheme="majorEastAsia" w:eastAsiaTheme="majorEastAsia"/>
          <w:sz w:val="24"/>
          <w:szCs w:val="24"/>
          <w:highlight w:val="none"/>
          <w:lang w:eastAsia="zh-CN"/>
        </w:rPr>
        <w:t>）对于人民法院委托司法执行财产处置评估业务，不应当考虑评估对象被查封以及原有的担保物权和其他优先受偿权情况对评估结论的影响。本次业务是将评估对象视为没有查封、未设立担保物权和其他优先受偿权的财产进行评估的。</w:t>
      </w:r>
    </w:p>
    <w:p>
      <w:pPr>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本次评估结果是在满足上述评估假设条件的情况下成立，若本次评估中遵循的评估假设条件发生变化时，评估结果一般会失效。</w:t>
      </w:r>
    </w:p>
    <w:p>
      <w:pPr>
        <w:spacing w:line="440" w:lineRule="exact"/>
        <w:ind w:firstLine="482" w:firstLineChars="20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十、评估结论</w:t>
      </w:r>
    </w:p>
    <w:p>
      <w:pPr>
        <w:spacing w:line="440" w:lineRule="exact"/>
        <w:ind w:firstLine="480" w:firstLineChars="200"/>
        <w:rPr>
          <w:rFonts w:hint="eastAsia" w:asciiTheme="majorEastAsia" w:hAnsiTheme="majorEastAsia" w:eastAsiaTheme="majorEastAsia"/>
          <w:color w:val="auto"/>
          <w:sz w:val="24"/>
          <w:szCs w:val="24"/>
        </w:rPr>
      </w:pPr>
      <w:r>
        <w:rPr>
          <w:rFonts w:hint="eastAsia" w:asciiTheme="majorEastAsia" w:hAnsiTheme="majorEastAsia" w:eastAsiaTheme="majorEastAsia"/>
          <w:sz w:val="24"/>
        </w:rPr>
        <w:t>我们在委托人配合下，对评估对象进行了必要的产权查验和实地勘察，对委托评估的资产所涉及的各项数据实施市场调查和询证，并完成了准则要求的评估程序，在此基础上，我们对</w:t>
      </w:r>
      <w:r>
        <w:rPr>
          <w:rFonts w:hint="eastAsia" w:asciiTheme="majorEastAsia" w:hAnsiTheme="majorEastAsia" w:eastAsiaTheme="majorEastAsia"/>
          <w:sz w:val="24"/>
          <w:lang w:eastAsia="zh-CN"/>
        </w:rPr>
        <w:t>辽源市龙山区人民法院司法辅助办公室</w:t>
      </w:r>
      <w:r>
        <w:rPr>
          <w:rFonts w:hint="eastAsia" w:asciiTheme="majorEastAsia" w:hAnsiTheme="majorEastAsia" w:eastAsiaTheme="majorEastAsia"/>
          <w:sz w:val="24"/>
        </w:rPr>
        <w:t>委托评估的资产在评估基准日</w:t>
      </w:r>
      <w:r>
        <w:rPr>
          <w:rFonts w:hint="eastAsia" w:asciiTheme="majorEastAsia" w:hAnsiTheme="majorEastAsia" w:eastAsiaTheme="majorEastAsia"/>
          <w:color w:val="auto"/>
          <w:sz w:val="24"/>
        </w:rPr>
        <w:t>202</w:t>
      </w:r>
      <w:r>
        <w:rPr>
          <w:rFonts w:hint="eastAsia" w:asciiTheme="majorEastAsia" w:hAnsiTheme="majorEastAsia" w:eastAsiaTheme="majorEastAsia"/>
          <w:color w:val="auto"/>
          <w:sz w:val="24"/>
          <w:lang w:val="en-US" w:eastAsia="zh-CN"/>
        </w:rPr>
        <w:t>1</w:t>
      </w:r>
      <w:r>
        <w:rPr>
          <w:rFonts w:hint="eastAsia" w:asciiTheme="majorEastAsia" w:hAnsiTheme="majorEastAsia" w:eastAsiaTheme="majorEastAsia"/>
          <w:color w:val="auto"/>
          <w:sz w:val="24"/>
        </w:rPr>
        <w:t>年</w:t>
      </w:r>
      <w:r>
        <w:rPr>
          <w:rFonts w:hint="eastAsia" w:asciiTheme="majorEastAsia" w:hAnsiTheme="majorEastAsia" w:eastAsiaTheme="majorEastAsia"/>
          <w:color w:val="auto"/>
          <w:sz w:val="24"/>
          <w:lang w:val="en-US" w:eastAsia="zh-CN"/>
        </w:rPr>
        <w:t>2</w:t>
      </w:r>
      <w:r>
        <w:rPr>
          <w:rFonts w:hint="eastAsia" w:asciiTheme="majorEastAsia" w:hAnsiTheme="majorEastAsia" w:eastAsiaTheme="majorEastAsia"/>
          <w:color w:val="auto"/>
          <w:sz w:val="24"/>
        </w:rPr>
        <w:t>月</w:t>
      </w:r>
      <w:r>
        <w:rPr>
          <w:rFonts w:hint="eastAsia" w:asciiTheme="majorEastAsia" w:hAnsiTheme="majorEastAsia" w:eastAsiaTheme="majorEastAsia"/>
          <w:color w:val="auto"/>
          <w:sz w:val="24"/>
          <w:lang w:val="en-US" w:eastAsia="zh-CN"/>
        </w:rPr>
        <w:t>10</w:t>
      </w:r>
      <w:r>
        <w:rPr>
          <w:rFonts w:hint="eastAsia" w:asciiTheme="majorEastAsia" w:hAnsiTheme="majorEastAsia" w:eastAsiaTheme="majorEastAsia"/>
          <w:color w:val="auto"/>
          <w:sz w:val="24"/>
        </w:rPr>
        <w:t>日</w:t>
      </w:r>
      <w:r>
        <w:rPr>
          <w:rFonts w:hint="eastAsia" w:asciiTheme="majorEastAsia" w:hAnsiTheme="majorEastAsia" w:eastAsiaTheme="majorEastAsia"/>
          <w:sz w:val="24"/>
        </w:rPr>
        <w:t>特定目的下的价值进行分析、估算并发表专业意见。评估值人民币大写：</w:t>
      </w:r>
      <w:r>
        <w:rPr>
          <w:rFonts w:hint="eastAsia" w:asciiTheme="majorEastAsia" w:hAnsiTheme="majorEastAsia" w:eastAsiaTheme="majorEastAsia"/>
          <w:sz w:val="24"/>
          <w:lang w:eastAsia="zh-CN"/>
        </w:rPr>
        <w:t>贰佰贰拾肆万贰仟零肆拾壹元整</w:t>
      </w:r>
      <w:r>
        <w:rPr>
          <w:rFonts w:hint="eastAsia" w:asciiTheme="majorEastAsia" w:hAnsiTheme="majorEastAsia" w:eastAsiaTheme="majorEastAsia"/>
          <w:color w:val="auto"/>
          <w:sz w:val="24"/>
          <w:szCs w:val="24"/>
        </w:rPr>
        <w:t xml:space="preserve">。 </w:t>
      </w:r>
      <w:r>
        <w:rPr>
          <w:rFonts w:hint="eastAsia" w:asciiTheme="majorEastAsia" w:hAnsiTheme="majorEastAsia" w:eastAsiaTheme="majorEastAsia"/>
          <w:color w:val="auto"/>
          <w:sz w:val="24"/>
          <w:szCs w:val="24"/>
          <w:lang w:val="en-US" w:eastAsia="zh-CN"/>
        </w:rPr>
        <w:t xml:space="preserve">                  </w:t>
      </w:r>
      <w:r>
        <w:rPr>
          <w:rFonts w:hint="eastAsia" w:asciiTheme="majorEastAsia" w:hAnsiTheme="majorEastAsia" w:eastAsiaTheme="majorEastAsia"/>
          <w:sz w:val="18"/>
          <w:szCs w:val="18"/>
        </w:rPr>
        <w:t>单位：人民币元</w:t>
      </w:r>
    </w:p>
    <w:tbl>
      <w:tblPr>
        <w:tblStyle w:val="12"/>
        <w:tblpPr w:leftFromText="180" w:rightFromText="180" w:vertAnchor="page" w:horzAnchor="page" w:tblpX="1366" w:tblpY="13212"/>
        <w:tblW w:w="10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489"/>
        <w:gridCol w:w="1500"/>
        <w:gridCol w:w="1380"/>
        <w:gridCol w:w="204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750" w:type="dxa"/>
            <w:vAlign w:val="center"/>
          </w:tcPr>
          <w:p>
            <w:pPr>
              <w:spacing w:line="460" w:lineRule="exact"/>
              <w:jc w:val="center"/>
              <w:rPr>
                <w:rFonts w:cs="宋体" w:asciiTheme="majorEastAsia" w:hAnsiTheme="majorEastAsia" w:eastAsiaTheme="majorEastAsia"/>
                <w:b/>
                <w:color w:val="auto"/>
                <w:szCs w:val="21"/>
              </w:rPr>
            </w:pPr>
            <w:r>
              <w:rPr>
                <w:rFonts w:hint="eastAsia" w:cs="宋体" w:asciiTheme="majorEastAsia" w:hAnsiTheme="majorEastAsia" w:eastAsiaTheme="majorEastAsia"/>
                <w:b/>
                <w:color w:val="auto"/>
                <w:szCs w:val="21"/>
              </w:rPr>
              <w:t>序 号</w:t>
            </w:r>
          </w:p>
        </w:tc>
        <w:tc>
          <w:tcPr>
            <w:tcW w:w="2489" w:type="dxa"/>
            <w:vAlign w:val="center"/>
          </w:tcPr>
          <w:p>
            <w:pPr>
              <w:spacing w:line="460" w:lineRule="exact"/>
              <w:jc w:val="center"/>
              <w:rPr>
                <w:rFonts w:cs="宋体" w:asciiTheme="majorEastAsia" w:hAnsiTheme="majorEastAsia" w:eastAsiaTheme="majorEastAsia"/>
                <w:b/>
                <w:color w:val="auto"/>
                <w:szCs w:val="21"/>
              </w:rPr>
            </w:pPr>
            <w:r>
              <w:rPr>
                <w:rFonts w:hint="eastAsia" w:cs="宋体" w:asciiTheme="majorEastAsia" w:hAnsiTheme="majorEastAsia" w:eastAsiaTheme="majorEastAsia"/>
                <w:b/>
                <w:color w:val="auto"/>
                <w:szCs w:val="21"/>
              </w:rPr>
              <w:t>项      目</w:t>
            </w:r>
          </w:p>
        </w:tc>
        <w:tc>
          <w:tcPr>
            <w:tcW w:w="1500" w:type="dxa"/>
            <w:vAlign w:val="center"/>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用</w:t>
            </w:r>
            <w:r>
              <w:rPr>
                <w:rFonts w:hint="eastAsia" w:cs="宋体" w:asciiTheme="majorEastAsia" w:hAnsiTheme="majorEastAsia" w:eastAsiaTheme="majorEastAsia"/>
                <w:b/>
                <w:color w:val="auto"/>
                <w:szCs w:val="21"/>
                <w:lang w:val="en-US" w:eastAsia="zh-CN"/>
              </w:rPr>
              <w:t xml:space="preserve"> </w:t>
            </w:r>
            <w:r>
              <w:rPr>
                <w:rFonts w:hint="eastAsia" w:cs="宋体" w:asciiTheme="majorEastAsia" w:hAnsiTheme="majorEastAsia" w:eastAsiaTheme="majorEastAsia"/>
                <w:b/>
                <w:color w:val="auto"/>
                <w:szCs w:val="21"/>
                <w:lang w:eastAsia="zh-CN"/>
              </w:rPr>
              <w:t>途</w:t>
            </w:r>
          </w:p>
        </w:tc>
        <w:tc>
          <w:tcPr>
            <w:tcW w:w="1380" w:type="dxa"/>
            <w:vAlign w:val="center"/>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面积（㎡）</w:t>
            </w:r>
          </w:p>
        </w:tc>
        <w:tc>
          <w:tcPr>
            <w:tcW w:w="2040" w:type="dxa"/>
            <w:vAlign w:val="center"/>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单价（元/㎡）</w:t>
            </w:r>
          </w:p>
        </w:tc>
        <w:tc>
          <w:tcPr>
            <w:tcW w:w="1890" w:type="dxa"/>
            <w:vAlign w:val="center"/>
          </w:tcPr>
          <w:p>
            <w:pPr>
              <w:spacing w:line="460" w:lineRule="exact"/>
              <w:jc w:val="center"/>
              <w:rPr>
                <w:rFonts w:hint="eastAsia" w:cs="宋体" w:asciiTheme="majorEastAsia" w:hAnsiTheme="majorEastAsia" w:eastAsiaTheme="majorEastAsia"/>
                <w:b/>
                <w:color w:val="auto"/>
                <w:szCs w:val="21"/>
              </w:rPr>
            </w:pPr>
            <w:r>
              <w:rPr>
                <w:rFonts w:hint="eastAsia" w:cs="宋体" w:asciiTheme="majorEastAsia" w:hAnsiTheme="majorEastAsia" w:eastAsiaTheme="majorEastAsia"/>
                <w:b/>
                <w:color w:val="auto"/>
                <w:szCs w:val="21"/>
              </w:rPr>
              <w:t>评估价值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50" w:type="dxa"/>
            <w:vAlign w:val="center"/>
          </w:tcPr>
          <w:p>
            <w:pPr>
              <w:spacing w:line="460" w:lineRule="exact"/>
              <w:jc w:val="center"/>
              <w:rPr>
                <w:rFonts w:cs="宋体" w:asciiTheme="majorEastAsia" w:hAnsiTheme="majorEastAsia" w:eastAsiaTheme="majorEastAsia"/>
                <w:b/>
                <w:color w:val="auto"/>
                <w:szCs w:val="21"/>
              </w:rPr>
            </w:pPr>
            <w:r>
              <w:rPr>
                <w:rFonts w:hint="eastAsia" w:cs="宋体" w:asciiTheme="majorEastAsia" w:hAnsiTheme="majorEastAsia" w:eastAsiaTheme="majorEastAsia"/>
                <w:b/>
                <w:color w:val="auto"/>
                <w:szCs w:val="21"/>
              </w:rPr>
              <w:t>1</w:t>
            </w:r>
          </w:p>
        </w:tc>
        <w:tc>
          <w:tcPr>
            <w:tcW w:w="2489" w:type="dxa"/>
            <w:vAlign w:val="center"/>
          </w:tcPr>
          <w:p>
            <w:pPr>
              <w:spacing w:line="460" w:lineRule="exact"/>
              <w:jc w:val="center"/>
              <w:rPr>
                <w:rFonts w:hint="eastAsia" w:cs="宋体" w:asciiTheme="majorEastAsia" w:hAnsiTheme="majorEastAsia" w:eastAsiaTheme="majorEastAsia"/>
                <w:b/>
                <w:color w:val="auto"/>
                <w:szCs w:val="21"/>
                <w:lang w:eastAsia="zh-CN"/>
              </w:rPr>
            </w:pPr>
            <w:r>
              <w:rPr>
                <w:rFonts w:hint="eastAsia" w:asciiTheme="majorEastAsia" w:hAnsiTheme="majorEastAsia" w:eastAsiaTheme="majorEastAsia"/>
                <w:b/>
                <w:bCs/>
                <w:color w:val="auto"/>
                <w:sz w:val="21"/>
                <w:szCs w:val="21"/>
                <w:lang w:eastAsia="zh-CN"/>
              </w:rPr>
              <w:t>钻石名城8号楼-108室</w:t>
            </w:r>
          </w:p>
        </w:tc>
        <w:tc>
          <w:tcPr>
            <w:tcW w:w="1500" w:type="dxa"/>
            <w:vAlign w:val="center"/>
          </w:tcPr>
          <w:p>
            <w:pPr>
              <w:jc w:val="center"/>
              <w:rPr>
                <w:rFonts w:hint="eastAsia" w:ascii="宋体" w:hAnsi="宋体" w:cs="Times New Roman"/>
                <w:b/>
                <w:bCs/>
                <w:kern w:val="2"/>
                <w:sz w:val="21"/>
                <w:szCs w:val="21"/>
                <w:lang w:val="en-US" w:eastAsia="zh-CN" w:bidi="ar-SA"/>
              </w:rPr>
            </w:pPr>
            <w:r>
              <w:rPr>
                <w:rFonts w:hint="eastAsia" w:ascii="宋体" w:hAnsi="宋体" w:cs="Times New Roman"/>
                <w:b/>
                <w:bCs/>
                <w:kern w:val="2"/>
                <w:sz w:val="21"/>
                <w:szCs w:val="21"/>
                <w:lang w:val="en-US" w:eastAsia="zh-CN" w:bidi="ar-SA"/>
              </w:rPr>
              <w:t>商 业</w:t>
            </w:r>
          </w:p>
        </w:tc>
        <w:tc>
          <w:tcPr>
            <w:tcW w:w="1380" w:type="dxa"/>
            <w:vAlign w:val="center"/>
          </w:tcPr>
          <w:p>
            <w:pPr>
              <w:jc w:val="center"/>
              <w:rPr>
                <w:rFonts w:hint="default" w:ascii="宋体" w:hAnsi="宋体" w:eastAsia="宋体" w:cs="Times New Roman"/>
                <w:b/>
                <w:bCs/>
                <w:kern w:val="2"/>
                <w:sz w:val="21"/>
                <w:szCs w:val="21"/>
                <w:lang w:val="en-US" w:eastAsia="zh-CN" w:bidi="ar-SA"/>
              </w:rPr>
            </w:pPr>
            <w:r>
              <w:rPr>
                <w:rFonts w:hint="eastAsia" w:ascii="宋体" w:hAnsi="宋体" w:cs="Times New Roman"/>
                <w:b/>
                <w:bCs/>
                <w:kern w:val="2"/>
                <w:sz w:val="21"/>
                <w:szCs w:val="21"/>
                <w:lang w:val="en-US" w:eastAsia="zh-CN" w:bidi="ar-SA"/>
              </w:rPr>
              <w:t>120.63</w:t>
            </w:r>
          </w:p>
        </w:tc>
        <w:tc>
          <w:tcPr>
            <w:tcW w:w="2040" w:type="dxa"/>
            <w:vAlign w:val="center"/>
          </w:tcPr>
          <w:p>
            <w:pPr>
              <w:jc w:val="center"/>
              <w:rPr>
                <w:rFonts w:hint="default" w:ascii="宋体" w:hAnsi="宋体" w:eastAsia="宋体" w:cs="Times New Roman"/>
                <w:b/>
                <w:bCs/>
                <w:kern w:val="2"/>
                <w:sz w:val="21"/>
                <w:szCs w:val="21"/>
                <w:lang w:val="en-US" w:eastAsia="zh-CN" w:bidi="ar-SA"/>
              </w:rPr>
            </w:pPr>
            <w:r>
              <w:rPr>
                <w:rFonts w:hint="eastAsia" w:ascii="宋体" w:hAnsi="宋体" w:cs="Times New Roman"/>
                <w:b/>
                <w:bCs/>
                <w:kern w:val="2"/>
                <w:sz w:val="21"/>
                <w:szCs w:val="21"/>
                <w:lang w:val="en-US" w:eastAsia="zh-CN" w:bidi="ar-SA"/>
              </w:rPr>
              <w:t>14,200.00</w:t>
            </w:r>
          </w:p>
        </w:tc>
        <w:tc>
          <w:tcPr>
            <w:tcW w:w="1890" w:type="dxa"/>
            <w:vAlign w:val="center"/>
          </w:tcPr>
          <w:p>
            <w:pPr>
              <w:jc w:val="center"/>
              <w:rPr>
                <w:rFonts w:hint="default" w:ascii="宋体" w:hAnsi="宋体" w:eastAsia="宋体" w:cs="Times New Roman"/>
                <w:b/>
                <w:bCs/>
                <w:kern w:val="2"/>
                <w:sz w:val="21"/>
                <w:szCs w:val="21"/>
                <w:lang w:val="en-US" w:eastAsia="zh-CN" w:bidi="ar-SA"/>
              </w:rPr>
            </w:pPr>
            <w:r>
              <w:rPr>
                <w:rFonts w:hint="eastAsia" w:ascii="宋体" w:hAnsi="宋体" w:cs="Times New Roman"/>
                <w:b/>
                <w:bCs/>
                <w:kern w:val="2"/>
                <w:sz w:val="21"/>
                <w:szCs w:val="21"/>
                <w:lang w:val="en-US" w:eastAsia="zh-CN" w:bidi="ar-SA"/>
              </w:rPr>
              <w:t>1,712,946.00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50" w:type="dxa"/>
            <w:vAlign w:val="center"/>
          </w:tcPr>
          <w:p>
            <w:pPr>
              <w:spacing w:line="460" w:lineRule="exact"/>
              <w:jc w:val="center"/>
              <w:rPr>
                <w:rFonts w:hint="eastAsia"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2</w:t>
            </w:r>
          </w:p>
        </w:tc>
        <w:tc>
          <w:tcPr>
            <w:tcW w:w="2489" w:type="dxa"/>
            <w:vAlign w:val="center"/>
          </w:tcPr>
          <w:p>
            <w:pPr>
              <w:spacing w:line="460" w:lineRule="exact"/>
              <w:jc w:val="center"/>
              <w:rPr>
                <w:rFonts w:hint="eastAsia" w:asciiTheme="majorEastAsia" w:hAnsiTheme="majorEastAsia" w:eastAsiaTheme="majorEastAsia"/>
                <w:b/>
                <w:bCs/>
                <w:color w:val="auto"/>
                <w:sz w:val="21"/>
                <w:szCs w:val="21"/>
                <w:lang w:eastAsia="zh-CN"/>
              </w:rPr>
            </w:pPr>
            <w:r>
              <w:rPr>
                <w:rFonts w:hint="eastAsia" w:asciiTheme="majorEastAsia" w:hAnsiTheme="majorEastAsia" w:eastAsiaTheme="majorEastAsia"/>
                <w:b/>
                <w:bCs/>
                <w:color w:val="auto"/>
                <w:sz w:val="21"/>
                <w:szCs w:val="21"/>
                <w:lang w:eastAsia="zh-CN"/>
              </w:rPr>
              <w:t>东方新城BDE座-2441室</w:t>
            </w:r>
          </w:p>
        </w:tc>
        <w:tc>
          <w:tcPr>
            <w:tcW w:w="1500" w:type="dxa"/>
            <w:vAlign w:val="center"/>
          </w:tcPr>
          <w:p>
            <w:pPr>
              <w:jc w:val="center"/>
              <w:rPr>
                <w:rFonts w:hint="eastAsia" w:ascii="宋体" w:hAnsi="宋体" w:cs="Times New Roman"/>
                <w:b/>
                <w:bCs/>
                <w:kern w:val="2"/>
                <w:sz w:val="21"/>
                <w:szCs w:val="21"/>
                <w:lang w:val="en-US" w:eastAsia="zh-CN" w:bidi="ar-SA"/>
              </w:rPr>
            </w:pPr>
            <w:r>
              <w:rPr>
                <w:rFonts w:hint="eastAsia" w:ascii="宋体" w:hAnsi="宋体" w:cs="Times New Roman"/>
                <w:b/>
                <w:bCs/>
                <w:kern w:val="2"/>
                <w:sz w:val="21"/>
                <w:szCs w:val="21"/>
                <w:lang w:val="en-US" w:eastAsia="zh-CN" w:bidi="ar-SA"/>
              </w:rPr>
              <w:t>住 宅</w:t>
            </w:r>
          </w:p>
        </w:tc>
        <w:tc>
          <w:tcPr>
            <w:tcW w:w="1380" w:type="dxa"/>
            <w:vAlign w:val="center"/>
          </w:tcPr>
          <w:p>
            <w:pPr>
              <w:jc w:val="center"/>
              <w:rPr>
                <w:rFonts w:hint="default" w:ascii="宋体" w:hAnsi="宋体" w:cs="Times New Roman"/>
                <w:b/>
                <w:bCs/>
                <w:kern w:val="2"/>
                <w:sz w:val="21"/>
                <w:szCs w:val="21"/>
                <w:lang w:val="en-US" w:eastAsia="zh-CN" w:bidi="ar-SA"/>
              </w:rPr>
            </w:pPr>
            <w:r>
              <w:rPr>
                <w:rFonts w:hint="eastAsia" w:ascii="宋体" w:hAnsi="宋体" w:cs="Times New Roman"/>
                <w:b/>
                <w:bCs/>
                <w:kern w:val="2"/>
                <w:sz w:val="21"/>
                <w:szCs w:val="21"/>
                <w:lang w:val="en-US" w:eastAsia="zh-CN" w:bidi="ar-SA"/>
              </w:rPr>
              <w:t>100.78</w:t>
            </w:r>
          </w:p>
        </w:tc>
        <w:tc>
          <w:tcPr>
            <w:tcW w:w="2040" w:type="dxa"/>
            <w:vAlign w:val="center"/>
          </w:tcPr>
          <w:p>
            <w:pPr>
              <w:jc w:val="center"/>
              <w:rPr>
                <w:rFonts w:hint="default" w:ascii="宋体" w:hAnsi="宋体"/>
                <w:b/>
                <w:bCs/>
                <w:sz w:val="21"/>
                <w:szCs w:val="21"/>
                <w:lang w:val="en-US" w:eastAsia="zh-CN"/>
              </w:rPr>
            </w:pPr>
            <w:r>
              <w:rPr>
                <w:rFonts w:hint="eastAsia" w:ascii="宋体" w:hAnsi="宋体"/>
                <w:b/>
                <w:bCs/>
                <w:sz w:val="21"/>
                <w:szCs w:val="21"/>
                <w:lang w:val="en-US" w:eastAsia="zh-CN"/>
              </w:rPr>
              <w:t>5,250.00</w:t>
            </w:r>
          </w:p>
        </w:tc>
        <w:tc>
          <w:tcPr>
            <w:tcW w:w="1890" w:type="dxa"/>
            <w:vAlign w:val="center"/>
          </w:tcPr>
          <w:p>
            <w:pPr>
              <w:jc w:val="center"/>
              <w:rPr>
                <w:rFonts w:hint="default" w:ascii="宋体" w:hAnsi="宋体"/>
                <w:b/>
                <w:bCs/>
                <w:sz w:val="21"/>
                <w:szCs w:val="21"/>
                <w:lang w:val="en-US" w:eastAsia="zh-CN"/>
              </w:rPr>
            </w:pPr>
            <w:r>
              <w:rPr>
                <w:rFonts w:hint="eastAsia" w:ascii="宋体" w:hAnsi="宋体"/>
                <w:b/>
                <w:bCs/>
                <w:sz w:val="21"/>
                <w:szCs w:val="21"/>
                <w:lang w:val="en-US" w:eastAsia="zh-CN"/>
              </w:rPr>
              <w:t>529,095.00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239" w:type="dxa"/>
            <w:gridSpan w:val="2"/>
            <w:vAlign w:val="center"/>
          </w:tcPr>
          <w:p>
            <w:pPr>
              <w:spacing w:line="460" w:lineRule="exact"/>
              <w:jc w:val="center"/>
              <w:rPr>
                <w:rFonts w:cs="宋体" w:asciiTheme="majorEastAsia" w:hAnsiTheme="majorEastAsia" w:eastAsiaTheme="majorEastAsia"/>
                <w:b/>
                <w:color w:val="auto"/>
                <w:szCs w:val="21"/>
              </w:rPr>
            </w:pPr>
            <w:r>
              <w:rPr>
                <w:rFonts w:hint="eastAsia" w:cs="宋体" w:asciiTheme="majorEastAsia" w:hAnsiTheme="majorEastAsia" w:eastAsiaTheme="majorEastAsia"/>
                <w:b/>
                <w:color w:val="auto"/>
                <w:szCs w:val="21"/>
              </w:rPr>
              <w:t>合      计</w:t>
            </w:r>
          </w:p>
        </w:tc>
        <w:tc>
          <w:tcPr>
            <w:tcW w:w="1500" w:type="dxa"/>
            <w:vAlign w:val="center"/>
          </w:tcPr>
          <w:p>
            <w:pPr>
              <w:spacing w:line="460" w:lineRule="exact"/>
              <w:jc w:val="center"/>
              <w:rPr>
                <w:rFonts w:hint="eastAsia" w:cs="宋体" w:asciiTheme="majorEastAsia" w:hAnsiTheme="majorEastAsia" w:eastAsiaTheme="majorEastAsia"/>
                <w:b/>
                <w:color w:val="auto"/>
                <w:szCs w:val="21"/>
                <w:lang w:val="en-US" w:eastAsia="zh-CN"/>
              </w:rPr>
            </w:pPr>
          </w:p>
        </w:tc>
        <w:tc>
          <w:tcPr>
            <w:tcW w:w="1380"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221.41</w:t>
            </w:r>
          </w:p>
        </w:tc>
        <w:tc>
          <w:tcPr>
            <w:tcW w:w="2040" w:type="dxa"/>
            <w:vAlign w:val="center"/>
          </w:tcPr>
          <w:p>
            <w:pPr>
              <w:spacing w:line="460" w:lineRule="exact"/>
              <w:jc w:val="center"/>
              <w:rPr>
                <w:rFonts w:cs="宋体" w:asciiTheme="majorEastAsia" w:hAnsiTheme="majorEastAsia" w:eastAsiaTheme="majorEastAsia"/>
                <w:b/>
                <w:color w:val="auto"/>
                <w:szCs w:val="21"/>
              </w:rPr>
            </w:pPr>
          </w:p>
        </w:tc>
        <w:tc>
          <w:tcPr>
            <w:tcW w:w="1890"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2,242,041.00</w:t>
            </w:r>
          </w:p>
        </w:tc>
      </w:tr>
    </w:tbl>
    <w:p>
      <w:pPr>
        <w:spacing w:line="440" w:lineRule="exact"/>
        <w:ind w:firstLine="472" w:firstLineChars="196"/>
        <w:jc w:val="left"/>
        <w:rPr>
          <w:rFonts w:hint="eastAsia" w:asciiTheme="majorEastAsia" w:hAnsiTheme="majorEastAsia" w:eastAsiaTheme="majorEastAsia"/>
          <w:b/>
          <w:sz w:val="24"/>
          <w:szCs w:val="24"/>
        </w:rPr>
      </w:pPr>
      <w:r>
        <w:rPr>
          <w:rFonts w:hint="eastAsia" w:asciiTheme="majorEastAsia" w:hAnsiTheme="majorEastAsia" w:eastAsiaTheme="majorEastAsia"/>
          <w:b/>
          <w:sz w:val="24"/>
          <w:szCs w:val="24"/>
        </w:rPr>
        <w:t>十一、特别事项说明</w:t>
      </w:r>
    </w:p>
    <w:p>
      <w:pPr>
        <w:spacing w:line="440" w:lineRule="exact"/>
        <w:ind w:firstLine="470" w:firstLineChars="196"/>
        <w:jc w:val="left"/>
        <w:rPr>
          <w:rFonts w:asciiTheme="majorEastAsia" w:hAnsiTheme="majorEastAsia" w:eastAsiaTheme="majorEastAsia"/>
          <w:b/>
          <w:sz w:val="24"/>
          <w:szCs w:val="24"/>
        </w:rPr>
      </w:pPr>
      <w:r>
        <w:rPr>
          <w:rFonts w:hint="eastAsia" w:asciiTheme="majorEastAsia" w:hAnsiTheme="majorEastAsia" w:eastAsiaTheme="majorEastAsia"/>
          <w:color w:val="000000"/>
          <w:kern w:val="0"/>
          <w:sz w:val="24"/>
          <w:szCs w:val="24"/>
        </w:rPr>
        <w:t>以下为在评估过程中已发现可能影响评估结论但非评估人员执业水平和能力所能评定估算的有关事项(包括但不限于)：</w:t>
      </w:r>
    </w:p>
    <w:p>
      <w:pPr>
        <w:spacing w:line="440" w:lineRule="exact"/>
        <w:ind w:firstLine="470" w:firstLineChars="196"/>
        <w:jc w:val="left"/>
        <w:rPr>
          <w:rFonts w:asciiTheme="majorEastAsia" w:hAnsiTheme="majorEastAsia" w:eastAsiaTheme="majorEastAsia"/>
          <w:b/>
          <w:sz w:val="24"/>
          <w:szCs w:val="24"/>
        </w:rPr>
      </w:pPr>
      <w:r>
        <w:rPr>
          <w:rFonts w:hint="eastAsia" w:asciiTheme="majorEastAsia" w:hAnsiTheme="majorEastAsia" w:eastAsiaTheme="majorEastAsia"/>
          <w:sz w:val="24"/>
          <w:szCs w:val="24"/>
        </w:rPr>
        <w:t>1.本评估报告只能用于载明的评估目的，不可挪作他用。因使用不当造成的后果与签字资产评估师及其所在的评估机构无关。</w:t>
      </w:r>
    </w:p>
    <w:p>
      <w:pPr>
        <w:spacing w:line="440" w:lineRule="exact"/>
        <w:ind w:firstLine="470" w:firstLineChars="196"/>
        <w:jc w:val="left"/>
        <w:rPr>
          <w:rFonts w:asciiTheme="majorEastAsia" w:hAnsiTheme="majorEastAsia" w:eastAsiaTheme="majorEastAsia"/>
          <w:b/>
          <w:sz w:val="24"/>
          <w:szCs w:val="24"/>
        </w:rPr>
      </w:pPr>
      <w:r>
        <w:rPr>
          <w:rFonts w:hint="eastAsia" w:asciiTheme="majorEastAsia" w:hAnsiTheme="majorEastAsia" w:eastAsiaTheme="majorEastAsia"/>
          <w:sz w:val="24"/>
          <w:szCs w:val="24"/>
        </w:rPr>
        <w:t>2.本报告是在独立、客观、公正的原则下做出的，评估人员在评估过程中恪守职业道德和规范。</w:t>
      </w:r>
    </w:p>
    <w:p>
      <w:pPr>
        <w:spacing w:line="440" w:lineRule="exact"/>
        <w:ind w:firstLine="470" w:firstLineChars="196"/>
        <w:jc w:val="left"/>
        <w:rPr>
          <w:rFonts w:asciiTheme="majorEastAsia" w:hAnsiTheme="majorEastAsia" w:eastAsiaTheme="majorEastAsia"/>
          <w:b/>
          <w:sz w:val="24"/>
          <w:szCs w:val="24"/>
        </w:rPr>
      </w:pPr>
      <w:r>
        <w:rPr>
          <w:rFonts w:hint="eastAsia" w:asciiTheme="majorEastAsia" w:hAnsiTheme="majorEastAsia" w:eastAsiaTheme="majorEastAsia"/>
          <w:sz w:val="24"/>
          <w:szCs w:val="24"/>
        </w:rPr>
        <w:t>3.本报告所称“评估价值”是指所评估资产价值在评估基准日之状况和外部经济环境前提下，为本报告书所列明的目的而提出的专业意见。</w:t>
      </w:r>
    </w:p>
    <w:p>
      <w:pPr>
        <w:spacing w:line="440" w:lineRule="exact"/>
        <w:ind w:firstLine="470" w:firstLineChars="196"/>
        <w:jc w:val="left"/>
        <w:rPr>
          <w:rFonts w:asciiTheme="majorEastAsia" w:hAnsiTheme="majorEastAsia" w:eastAsiaTheme="majorEastAsia"/>
          <w:sz w:val="24"/>
          <w:szCs w:val="24"/>
        </w:rPr>
      </w:pPr>
      <w:r>
        <w:rPr>
          <w:rFonts w:hint="eastAsia" w:asciiTheme="majorEastAsia" w:hAnsiTheme="majorEastAsia" w:eastAsiaTheme="majorEastAsia"/>
          <w:sz w:val="24"/>
          <w:szCs w:val="24"/>
        </w:rPr>
        <w:t>4.本评估结果是对二〇二</w:t>
      </w:r>
      <w:r>
        <w:rPr>
          <w:rFonts w:hint="eastAsia" w:asciiTheme="majorEastAsia" w:hAnsiTheme="majorEastAsia" w:eastAsiaTheme="majorEastAsia"/>
          <w:sz w:val="24"/>
          <w:szCs w:val="24"/>
          <w:lang w:eastAsia="zh-CN"/>
        </w:rPr>
        <w:t>一</w:t>
      </w:r>
      <w:r>
        <w:rPr>
          <w:rFonts w:hint="eastAsia" w:asciiTheme="majorEastAsia" w:hAnsiTheme="majorEastAsia" w:eastAsiaTheme="majorEastAsia"/>
          <w:sz w:val="24"/>
          <w:szCs w:val="24"/>
        </w:rPr>
        <w:t>年</w:t>
      </w:r>
      <w:r>
        <w:rPr>
          <w:rFonts w:hint="eastAsia" w:asciiTheme="majorEastAsia" w:hAnsiTheme="majorEastAsia" w:eastAsiaTheme="majorEastAsia"/>
          <w:sz w:val="24"/>
          <w:szCs w:val="24"/>
          <w:lang w:eastAsia="zh-CN"/>
        </w:rPr>
        <w:t>二</w:t>
      </w:r>
      <w:r>
        <w:rPr>
          <w:rFonts w:hint="eastAsia" w:asciiTheme="majorEastAsia" w:hAnsiTheme="majorEastAsia" w:eastAsiaTheme="majorEastAsia"/>
          <w:sz w:val="24"/>
          <w:szCs w:val="24"/>
        </w:rPr>
        <w:t>月</w:t>
      </w:r>
      <w:r>
        <w:rPr>
          <w:rFonts w:hint="eastAsia" w:asciiTheme="majorEastAsia" w:hAnsiTheme="majorEastAsia" w:eastAsiaTheme="majorEastAsia"/>
          <w:sz w:val="24"/>
          <w:szCs w:val="24"/>
          <w:lang w:eastAsia="zh-CN"/>
        </w:rPr>
        <w:t>十</w:t>
      </w:r>
      <w:r>
        <w:rPr>
          <w:rFonts w:hint="eastAsia" w:asciiTheme="majorEastAsia" w:hAnsiTheme="majorEastAsia" w:eastAsiaTheme="majorEastAsia"/>
          <w:sz w:val="24"/>
          <w:szCs w:val="24"/>
        </w:rPr>
        <w:t>日这一评估基准日所评估资产价值的客观公允反映，我评估所对这一基准日后该资产价值发生重大变化不负责任。</w:t>
      </w:r>
    </w:p>
    <w:p>
      <w:pPr>
        <w:spacing w:line="460" w:lineRule="exact"/>
        <w:ind w:firstLine="480" w:firstLineChars="200"/>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highlight w:val="none"/>
        </w:rPr>
        <w:t>5.</w:t>
      </w:r>
      <w:r>
        <w:rPr>
          <w:rFonts w:hint="eastAsia" w:asciiTheme="majorEastAsia" w:hAnsiTheme="majorEastAsia" w:eastAsiaTheme="majorEastAsia"/>
          <w:sz w:val="24"/>
          <w:szCs w:val="24"/>
          <w:lang w:eastAsia="zh-CN"/>
        </w:rPr>
        <w:t>本次评估已进行现场勘查，现场勘查过程中申请人与被申请人到达现场，并在现场勘查记录上签字确认，但在勘察位于钻石名城8号楼108室时，未能进入该营业用房房屋内，只在室外进行现场勘察。</w:t>
      </w:r>
    </w:p>
    <w:p>
      <w:pPr>
        <w:spacing w:line="460" w:lineRule="exact"/>
        <w:ind w:firstLine="456" w:firstLineChars="200"/>
        <w:rPr>
          <w:rFonts w:hint="eastAsia" w:asciiTheme="majorEastAsia" w:hAnsiTheme="majorEastAsia" w:eastAsiaTheme="majorEastAsia"/>
          <w:color w:val="auto"/>
          <w:sz w:val="24"/>
          <w:szCs w:val="24"/>
          <w:highlight w:val="none"/>
          <w:lang w:eastAsia="zh-CN"/>
        </w:rPr>
      </w:pPr>
      <w:r>
        <w:rPr>
          <w:rFonts w:hint="eastAsia" w:asciiTheme="majorEastAsia" w:hAnsiTheme="majorEastAsia" w:eastAsiaTheme="majorEastAsia"/>
          <w:color w:val="auto"/>
          <w:spacing w:val="-6"/>
          <w:sz w:val="24"/>
          <w:highlight w:val="none"/>
          <w:lang w:val="en-US" w:eastAsia="zh-CN"/>
        </w:rPr>
        <w:t>6.</w:t>
      </w:r>
      <w:r>
        <w:rPr>
          <w:rFonts w:hint="eastAsia" w:asciiTheme="majorEastAsia" w:hAnsiTheme="majorEastAsia" w:eastAsiaTheme="majorEastAsia"/>
          <w:color w:val="auto"/>
          <w:spacing w:val="-6"/>
          <w:sz w:val="24"/>
          <w:highlight w:val="none"/>
          <w:lang w:eastAsia="zh-CN"/>
        </w:rPr>
        <w:t>本次司法执行财产处置评估业务中，在评定估算形成评估结论的过程中不考虑评估费、拍卖费、诉讼费、律师费以及交易税费等财产处置费用对评估结论的影响。</w:t>
      </w:r>
    </w:p>
    <w:p>
      <w:pPr>
        <w:spacing w:line="460" w:lineRule="exact"/>
        <w:ind w:firstLine="480" w:firstLineChars="200"/>
        <w:rPr>
          <w:rFonts w:hint="eastAsia" w:asciiTheme="majorEastAsia" w:hAnsiTheme="majorEastAsia" w:eastAsiaTheme="majorEastAsia"/>
          <w:color w:val="auto"/>
          <w:sz w:val="24"/>
        </w:rPr>
      </w:pPr>
      <w:r>
        <w:rPr>
          <w:rFonts w:hint="eastAsia" w:asciiTheme="majorEastAsia" w:hAnsiTheme="majorEastAsia" w:eastAsiaTheme="majorEastAsia"/>
          <w:color w:val="auto"/>
          <w:sz w:val="24"/>
          <w:lang w:val="en-US" w:eastAsia="zh-CN"/>
        </w:rPr>
        <w:t>7.</w:t>
      </w:r>
      <w:r>
        <w:rPr>
          <w:rFonts w:hint="eastAsia" w:asciiTheme="majorEastAsia" w:hAnsiTheme="majorEastAsia" w:eastAsiaTheme="majorEastAsia"/>
          <w:color w:val="auto"/>
          <w:sz w:val="24"/>
          <w:lang w:eastAsia="zh-CN"/>
        </w:rPr>
        <w:t>本次委托评估的标的物均已抵押，但本报告评估结论不考虑评估对象抵押、查封、租赁等因素对价值的影响</w:t>
      </w:r>
      <w:r>
        <w:rPr>
          <w:rFonts w:hint="eastAsia" w:asciiTheme="majorEastAsia" w:hAnsiTheme="majorEastAsia" w:eastAsiaTheme="majorEastAsia"/>
          <w:color w:val="auto"/>
          <w:sz w:val="24"/>
        </w:rPr>
        <w:t>。</w:t>
      </w:r>
    </w:p>
    <w:p>
      <w:pPr>
        <w:spacing w:line="4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lang w:val="en-US" w:eastAsia="zh-CN"/>
        </w:rPr>
        <w:t>8</w:t>
      </w:r>
      <w:r>
        <w:rPr>
          <w:rFonts w:hint="eastAsia" w:asciiTheme="majorEastAsia" w:hAnsiTheme="majorEastAsia" w:eastAsiaTheme="majorEastAsia"/>
          <w:color w:val="auto"/>
          <w:sz w:val="24"/>
        </w:rPr>
        <w:t>.本次估价对象权属依据为委托人提供的</w:t>
      </w:r>
      <w:r>
        <w:rPr>
          <w:rFonts w:hint="eastAsia" w:asciiTheme="majorEastAsia" w:hAnsiTheme="majorEastAsia" w:eastAsiaTheme="majorEastAsia"/>
          <w:color w:val="auto"/>
          <w:sz w:val="24"/>
          <w:lang w:eastAsia="zh-CN"/>
        </w:rPr>
        <w:t>辽源市龙山区人民法院司法辅助办公室《司法</w:t>
      </w:r>
      <w:r>
        <w:rPr>
          <w:rFonts w:hint="eastAsia" w:asciiTheme="majorEastAsia" w:hAnsiTheme="majorEastAsia" w:eastAsiaTheme="majorEastAsia"/>
          <w:color w:val="auto"/>
          <w:sz w:val="24"/>
        </w:rPr>
        <w:t>鉴定委托书</w:t>
      </w:r>
      <w:r>
        <w:rPr>
          <w:rFonts w:hint="eastAsia" w:asciiTheme="majorEastAsia" w:hAnsiTheme="majorEastAsia" w:eastAsiaTheme="majorEastAsia"/>
          <w:color w:val="auto"/>
          <w:sz w:val="24"/>
          <w:lang w:eastAsia="zh-CN"/>
        </w:rPr>
        <w:t>》（（</w:t>
      </w:r>
      <w:r>
        <w:rPr>
          <w:rFonts w:hint="eastAsia" w:asciiTheme="majorEastAsia" w:hAnsiTheme="majorEastAsia" w:eastAsiaTheme="majorEastAsia"/>
          <w:color w:val="auto"/>
          <w:sz w:val="24"/>
          <w:lang w:val="en-US" w:eastAsia="zh-CN"/>
        </w:rPr>
        <w:t>2021</w:t>
      </w:r>
      <w:r>
        <w:rPr>
          <w:rFonts w:hint="eastAsia" w:asciiTheme="majorEastAsia" w:hAnsiTheme="majorEastAsia" w:eastAsiaTheme="majorEastAsia"/>
          <w:color w:val="auto"/>
          <w:sz w:val="24"/>
          <w:lang w:eastAsia="zh-CN"/>
        </w:rPr>
        <w:t>）吉</w:t>
      </w:r>
      <w:r>
        <w:rPr>
          <w:rFonts w:hint="eastAsia" w:asciiTheme="majorEastAsia" w:hAnsiTheme="majorEastAsia" w:eastAsiaTheme="majorEastAsia"/>
          <w:color w:val="auto"/>
          <w:sz w:val="24"/>
          <w:lang w:val="en-US" w:eastAsia="zh-CN"/>
        </w:rPr>
        <w:t>0402委评15号</w:t>
      </w:r>
      <w:r>
        <w:rPr>
          <w:rFonts w:hint="eastAsia" w:asciiTheme="majorEastAsia" w:hAnsiTheme="majorEastAsia" w:eastAsiaTheme="majorEastAsia"/>
          <w:color w:val="auto"/>
          <w:sz w:val="24"/>
          <w:lang w:eastAsia="zh-CN"/>
        </w:rPr>
        <w:t>）、《不动产登记证明》、《辽源市龙山区人民法院对外委托案件移送表》</w:t>
      </w:r>
      <w:r>
        <w:rPr>
          <w:rFonts w:hint="eastAsia" w:asciiTheme="majorEastAsia" w:hAnsiTheme="majorEastAsia" w:eastAsiaTheme="majorEastAsia"/>
          <w:color w:val="auto"/>
          <w:sz w:val="24"/>
        </w:rPr>
        <w:t>。如有疑义，请重新委托评估。</w:t>
      </w:r>
    </w:p>
    <w:p>
      <w:pPr>
        <w:spacing w:line="440" w:lineRule="exact"/>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评估报告使用者充分注意以上事项及瑕疵对评估报告结果产生的影响！</w:t>
      </w:r>
    </w:p>
    <w:p>
      <w:pPr>
        <w:spacing w:line="440" w:lineRule="exact"/>
        <w:ind w:firstLine="482" w:firstLineChars="200"/>
        <w:jc w:val="left"/>
        <w:rPr>
          <w:rFonts w:hint="eastAsia" w:asciiTheme="majorEastAsia" w:hAnsiTheme="majorEastAsia" w:eastAsiaTheme="majorEastAsia"/>
          <w:b/>
          <w:sz w:val="24"/>
          <w:szCs w:val="24"/>
        </w:rPr>
      </w:pPr>
      <w:r>
        <w:rPr>
          <w:rFonts w:hint="eastAsia" w:asciiTheme="majorEastAsia" w:hAnsiTheme="majorEastAsia" w:eastAsiaTheme="majorEastAsia"/>
          <w:b/>
          <w:sz w:val="24"/>
          <w:szCs w:val="24"/>
        </w:rPr>
        <w:t>十二、评估报告使用限制说明</w:t>
      </w:r>
    </w:p>
    <w:p>
      <w:pPr>
        <w:pStyle w:val="25"/>
        <w:tabs>
          <w:tab w:val="left" w:pos="480"/>
        </w:tabs>
        <w:spacing w:line="360" w:lineRule="auto"/>
        <w:ind w:firstLine="480" w:firstLineChars="200"/>
        <w:rPr>
          <w:rFonts w:cs="仿宋_GB2312" w:asciiTheme="majorEastAsia" w:hAnsiTheme="majorEastAsia" w:eastAsiaTheme="majorEastAsia"/>
          <w:snapToGrid w:val="0"/>
          <w:color w:val="000000"/>
          <w:spacing w:val="0"/>
          <w:sz w:val="24"/>
          <w:szCs w:val="24"/>
        </w:rPr>
      </w:pPr>
      <w:r>
        <w:rPr>
          <w:rFonts w:hint="eastAsia" w:cs="仿宋_GB2312" w:asciiTheme="majorEastAsia" w:hAnsiTheme="majorEastAsia" w:eastAsiaTheme="majorEastAsia"/>
          <w:snapToGrid w:val="0"/>
          <w:color w:val="000000"/>
          <w:spacing w:val="0"/>
          <w:sz w:val="24"/>
          <w:szCs w:val="24"/>
        </w:rPr>
        <w:t>1、评估结果是反映评估对象在本次评估目的下，根据公开市场原则确定的现行公允价值，没有考虑将来可能承担抵押、担保事宜以及特殊交易方式可能追加付出对评估价值的影响，也未考虑国家宏观经济政策发生变化以及遇有自然力和其它不可抗力对资产价格影响，当前述评估目的等条件发生变化时，评估结果一般会失效。</w:t>
      </w:r>
    </w:p>
    <w:p>
      <w:pPr>
        <w:pStyle w:val="25"/>
        <w:tabs>
          <w:tab w:val="left" w:pos="480"/>
        </w:tabs>
        <w:spacing w:line="360" w:lineRule="auto"/>
        <w:ind w:firstLine="480" w:firstLineChars="200"/>
        <w:rPr>
          <w:rFonts w:cs="仿宋_GB2312" w:asciiTheme="majorEastAsia" w:hAnsiTheme="majorEastAsia" w:eastAsiaTheme="majorEastAsia"/>
          <w:color w:val="000000"/>
          <w:spacing w:val="0"/>
          <w:sz w:val="24"/>
          <w:szCs w:val="24"/>
        </w:rPr>
      </w:pPr>
      <w:r>
        <w:rPr>
          <w:rFonts w:hint="eastAsia" w:cs="仿宋_GB2312" w:asciiTheme="majorEastAsia" w:hAnsiTheme="majorEastAsia" w:eastAsiaTheme="majorEastAsia"/>
          <w:snapToGrid w:val="0"/>
          <w:color w:val="000000"/>
          <w:spacing w:val="0"/>
          <w:sz w:val="24"/>
          <w:szCs w:val="24"/>
        </w:rPr>
        <w:t>2、在评估有效期以内，若资产价格标准及数量发生变化，并对资产评估值产生明显影响时，</w:t>
      </w:r>
      <w:r>
        <w:rPr>
          <w:rFonts w:hint="eastAsia" w:cs="仿宋_GB2312" w:asciiTheme="majorEastAsia" w:hAnsiTheme="majorEastAsia" w:eastAsiaTheme="majorEastAsia"/>
          <w:snapToGrid w:val="0"/>
          <w:color w:val="000000"/>
          <w:spacing w:val="0"/>
          <w:sz w:val="24"/>
          <w:szCs w:val="24"/>
          <w:lang w:eastAsia="zh-CN"/>
        </w:rPr>
        <w:t>委托人</w:t>
      </w:r>
      <w:r>
        <w:rPr>
          <w:rFonts w:hint="eastAsia" w:cs="仿宋_GB2312" w:asciiTheme="majorEastAsia" w:hAnsiTheme="majorEastAsia" w:eastAsiaTheme="majorEastAsia"/>
          <w:snapToGrid w:val="0"/>
          <w:color w:val="000000"/>
          <w:spacing w:val="0"/>
          <w:sz w:val="24"/>
          <w:szCs w:val="24"/>
        </w:rPr>
        <w:t>应及时聘请评估机构重新确定评估值。</w:t>
      </w:r>
    </w:p>
    <w:p>
      <w:pPr>
        <w:pStyle w:val="26"/>
        <w:tabs>
          <w:tab w:val="left" w:pos="480"/>
        </w:tabs>
        <w:ind w:firstLine="480" w:firstLineChars="200"/>
        <w:rPr>
          <w:rFonts w:cs="仿宋_GB2312" w:asciiTheme="majorEastAsia" w:hAnsiTheme="majorEastAsia" w:eastAsiaTheme="majorEastAsia"/>
          <w:snapToGrid w:val="0"/>
          <w:color w:val="000000"/>
          <w:kern w:val="2"/>
          <w:sz w:val="24"/>
          <w:szCs w:val="24"/>
        </w:rPr>
      </w:pPr>
      <w:r>
        <w:rPr>
          <w:rFonts w:hint="eastAsia" w:cs="仿宋_GB2312" w:asciiTheme="majorEastAsia" w:hAnsiTheme="majorEastAsia" w:eastAsiaTheme="majorEastAsia"/>
          <w:snapToGrid w:val="0"/>
          <w:color w:val="000000"/>
          <w:kern w:val="2"/>
          <w:sz w:val="24"/>
          <w:szCs w:val="24"/>
        </w:rPr>
        <w:t>3、除非事先已有明确的书面约定，我们仅为</w:t>
      </w:r>
      <w:r>
        <w:rPr>
          <w:rFonts w:hint="eastAsia" w:cs="仿宋_GB2312" w:asciiTheme="majorEastAsia" w:hAnsiTheme="majorEastAsia" w:eastAsiaTheme="majorEastAsia"/>
          <w:snapToGrid w:val="0"/>
          <w:color w:val="000000"/>
          <w:kern w:val="2"/>
          <w:sz w:val="24"/>
          <w:szCs w:val="24"/>
          <w:lang w:eastAsia="zh-CN"/>
        </w:rPr>
        <w:t>委托人</w:t>
      </w:r>
      <w:r>
        <w:rPr>
          <w:rFonts w:hint="eastAsia" w:cs="仿宋_GB2312" w:asciiTheme="majorEastAsia" w:hAnsiTheme="majorEastAsia" w:eastAsiaTheme="majorEastAsia"/>
          <w:snapToGrid w:val="0"/>
          <w:color w:val="000000"/>
          <w:kern w:val="2"/>
          <w:sz w:val="24"/>
          <w:szCs w:val="24"/>
        </w:rPr>
        <w:t>就本报告所载范围内的资产做价值评估，我们的责任和义务也仅限于价值评估，对本次评估所对应的经济行为的相关问题。</w:t>
      </w:r>
    </w:p>
    <w:p>
      <w:pPr>
        <w:pStyle w:val="26"/>
        <w:tabs>
          <w:tab w:val="left" w:pos="480"/>
        </w:tabs>
        <w:ind w:firstLine="480" w:firstLineChars="200"/>
        <w:rPr>
          <w:rFonts w:cs="仿宋_GB2312" w:asciiTheme="majorEastAsia" w:hAnsiTheme="majorEastAsia" w:eastAsiaTheme="majorEastAsia"/>
          <w:snapToGrid w:val="0"/>
          <w:color w:val="000000"/>
          <w:kern w:val="2"/>
          <w:sz w:val="24"/>
          <w:szCs w:val="24"/>
        </w:rPr>
      </w:pPr>
      <w:r>
        <w:rPr>
          <w:rFonts w:hint="eastAsia" w:cs="仿宋_GB2312" w:asciiTheme="majorEastAsia" w:hAnsiTheme="majorEastAsia" w:eastAsiaTheme="majorEastAsia"/>
          <w:snapToGrid w:val="0"/>
          <w:color w:val="000000"/>
          <w:kern w:val="2"/>
          <w:sz w:val="24"/>
          <w:szCs w:val="24"/>
        </w:rPr>
        <w:t>4、对委估资产的现场勘察仅限于资产的外观和使用状况，除非另有协议外，注册资产评估师及相关评估人员不担负对委估资产质量进行调查的责任，也不担负其被遮盖、未暴露或难于接触到部分进行检测的责任。</w:t>
      </w:r>
    </w:p>
    <w:p>
      <w:pPr>
        <w:pStyle w:val="26"/>
        <w:tabs>
          <w:tab w:val="left" w:pos="480"/>
        </w:tabs>
        <w:ind w:firstLine="480" w:firstLineChars="200"/>
        <w:rPr>
          <w:rFonts w:cs="仿宋_GB2312" w:asciiTheme="majorEastAsia" w:hAnsiTheme="majorEastAsia" w:eastAsiaTheme="majorEastAsia"/>
          <w:snapToGrid w:val="0"/>
          <w:color w:val="000000"/>
          <w:kern w:val="2"/>
          <w:sz w:val="24"/>
          <w:szCs w:val="24"/>
        </w:rPr>
      </w:pPr>
      <w:r>
        <w:rPr>
          <w:rFonts w:hint="eastAsia" w:cs="仿宋_GB2312" w:asciiTheme="majorEastAsia" w:hAnsiTheme="majorEastAsia" w:eastAsiaTheme="majorEastAsia"/>
          <w:snapToGrid w:val="0"/>
          <w:color w:val="000000"/>
          <w:kern w:val="2"/>
          <w:sz w:val="24"/>
          <w:szCs w:val="24"/>
        </w:rPr>
        <w:t>5、委托评估的资产可能存在影响本次资产评估价值的瑕疵事项，若</w:t>
      </w:r>
      <w:r>
        <w:rPr>
          <w:rFonts w:hint="eastAsia" w:cs="仿宋_GB2312" w:asciiTheme="majorEastAsia" w:hAnsiTheme="majorEastAsia" w:eastAsiaTheme="majorEastAsia"/>
          <w:snapToGrid w:val="0"/>
          <w:color w:val="000000"/>
          <w:kern w:val="2"/>
          <w:sz w:val="24"/>
          <w:szCs w:val="24"/>
          <w:lang w:eastAsia="zh-CN"/>
        </w:rPr>
        <w:t>委托人</w:t>
      </w:r>
      <w:r>
        <w:rPr>
          <w:rFonts w:hint="eastAsia" w:cs="仿宋_GB2312" w:asciiTheme="majorEastAsia" w:hAnsiTheme="majorEastAsia" w:eastAsiaTheme="majorEastAsia"/>
          <w:snapToGrid w:val="0"/>
          <w:color w:val="000000"/>
          <w:kern w:val="2"/>
          <w:sz w:val="24"/>
          <w:szCs w:val="24"/>
        </w:rPr>
        <w:t>委托时未作特殊说明，而评估人员根据专业经验一般又不能获悉的情况下，本评估机构和评估人员不承担相关责任。</w:t>
      </w:r>
    </w:p>
    <w:p>
      <w:pPr>
        <w:pStyle w:val="26"/>
        <w:tabs>
          <w:tab w:val="left" w:pos="480"/>
        </w:tabs>
        <w:ind w:firstLine="480" w:firstLineChars="200"/>
        <w:rPr>
          <w:rFonts w:cs="仿宋_GB2312" w:asciiTheme="majorEastAsia" w:hAnsiTheme="majorEastAsia" w:eastAsiaTheme="majorEastAsia"/>
          <w:snapToGrid w:val="0"/>
          <w:color w:val="000000"/>
          <w:kern w:val="2"/>
          <w:sz w:val="24"/>
          <w:szCs w:val="24"/>
        </w:rPr>
      </w:pPr>
      <w:r>
        <w:rPr>
          <w:rFonts w:hint="eastAsia" w:cs="仿宋_GB2312" w:asciiTheme="majorEastAsia" w:hAnsiTheme="majorEastAsia" w:eastAsiaTheme="majorEastAsia"/>
          <w:snapToGrid w:val="0"/>
          <w:color w:val="000000"/>
          <w:kern w:val="2"/>
          <w:sz w:val="24"/>
          <w:szCs w:val="24"/>
        </w:rPr>
        <w:t>6、本次评估结论是本评估机构出具的，受本机构评估人员的执业水平和能力的影响。</w:t>
      </w:r>
    </w:p>
    <w:p>
      <w:pPr>
        <w:pStyle w:val="26"/>
        <w:tabs>
          <w:tab w:val="left" w:pos="480"/>
        </w:tabs>
        <w:ind w:firstLine="480" w:firstLineChars="200"/>
        <w:rPr>
          <w:rFonts w:cs="仿宋_GB2312" w:asciiTheme="majorEastAsia" w:hAnsiTheme="majorEastAsia" w:eastAsiaTheme="majorEastAsia"/>
          <w:snapToGrid w:val="0"/>
          <w:color w:val="auto"/>
          <w:kern w:val="2"/>
          <w:sz w:val="24"/>
          <w:szCs w:val="24"/>
        </w:rPr>
      </w:pPr>
      <w:r>
        <w:rPr>
          <w:rFonts w:hint="eastAsia" w:cs="仿宋_GB2312" w:asciiTheme="majorEastAsia" w:hAnsiTheme="majorEastAsia" w:eastAsiaTheme="majorEastAsia"/>
          <w:snapToGrid w:val="0"/>
          <w:color w:val="000000"/>
          <w:kern w:val="2"/>
          <w:sz w:val="24"/>
          <w:szCs w:val="24"/>
        </w:rPr>
        <w:t>7、本评估结论根据上述原则</w:t>
      </w:r>
      <w:r>
        <w:rPr>
          <w:rFonts w:hint="eastAsia" w:cs="仿宋_GB2312" w:asciiTheme="majorEastAsia" w:hAnsiTheme="majorEastAsia" w:eastAsiaTheme="majorEastAsia"/>
          <w:snapToGrid w:val="0"/>
          <w:color w:val="auto"/>
          <w:kern w:val="2"/>
          <w:sz w:val="24"/>
          <w:szCs w:val="24"/>
        </w:rPr>
        <w:t>、依据、方法、前提得出的，因此只有在上述原则、依据、方法、前提存在的条件下成立。本报告仅为</w:t>
      </w:r>
      <w:r>
        <w:rPr>
          <w:rFonts w:hint="eastAsia" w:cs="仿宋_GB2312" w:asciiTheme="majorEastAsia" w:hAnsiTheme="majorEastAsia" w:eastAsiaTheme="majorEastAsia"/>
          <w:snapToGrid w:val="0"/>
          <w:color w:val="auto"/>
          <w:kern w:val="2"/>
          <w:sz w:val="24"/>
          <w:szCs w:val="24"/>
          <w:lang w:eastAsia="zh-CN"/>
        </w:rPr>
        <w:t>委托人</w:t>
      </w:r>
      <w:r>
        <w:rPr>
          <w:rFonts w:hint="eastAsia" w:asciiTheme="majorEastAsia" w:hAnsiTheme="majorEastAsia" w:eastAsiaTheme="majorEastAsia"/>
          <w:color w:val="auto"/>
          <w:sz w:val="24"/>
          <w:lang w:eastAsia="zh-CN"/>
        </w:rPr>
        <w:t>拟司法执行财产处置涉及的资产</w:t>
      </w:r>
      <w:r>
        <w:rPr>
          <w:rFonts w:hint="eastAsia" w:asciiTheme="majorEastAsia" w:hAnsiTheme="majorEastAsia" w:eastAsiaTheme="majorEastAsia"/>
          <w:color w:val="auto"/>
          <w:sz w:val="24"/>
        </w:rPr>
        <w:t>价值提供参考</w:t>
      </w:r>
      <w:r>
        <w:rPr>
          <w:rFonts w:hint="eastAsia" w:asciiTheme="majorEastAsia" w:hAnsiTheme="majorEastAsia" w:eastAsiaTheme="majorEastAsia"/>
          <w:color w:val="auto"/>
          <w:sz w:val="24"/>
          <w:lang w:eastAsia="zh-CN"/>
        </w:rPr>
        <w:t>意见</w:t>
      </w:r>
      <w:r>
        <w:rPr>
          <w:rFonts w:hint="eastAsia" w:cs="仿宋_GB2312" w:asciiTheme="majorEastAsia" w:hAnsiTheme="majorEastAsia" w:eastAsiaTheme="majorEastAsia"/>
          <w:snapToGrid w:val="0"/>
          <w:color w:val="auto"/>
          <w:kern w:val="2"/>
          <w:sz w:val="24"/>
          <w:szCs w:val="24"/>
        </w:rPr>
        <w:t>，不作其他目的使用，用于其他目的无效。法律、法规另有规定的除外。</w:t>
      </w:r>
    </w:p>
    <w:p>
      <w:pPr>
        <w:pStyle w:val="26"/>
        <w:tabs>
          <w:tab w:val="left" w:pos="480"/>
        </w:tabs>
        <w:ind w:firstLine="480" w:firstLineChars="200"/>
        <w:rPr>
          <w:rFonts w:hint="eastAsia" w:cs="仿宋_GB2312" w:asciiTheme="majorEastAsia" w:hAnsiTheme="majorEastAsia" w:eastAsiaTheme="majorEastAsia"/>
          <w:snapToGrid w:val="0"/>
          <w:color w:val="auto"/>
          <w:kern w:val="2"/>
          <w:sz w:val="24"/>
          <w:szCs w:val="24"/>
        </w:rPr>
      </w:pPr>
      <w:r>
        <w:rPr>
          <w:rFonts w:hint="eastAsia" w:cs="仿宋_GB2312" w:asciiTheme="majorEastAsia" w:hAnsiTheme="majorEastAsia" w:eastAsiaTheme="majorEastAsia"/>
          <w:snapToGrid w:val="0"/>
          <w:color w:val="auto"/>
          <w:kern w:val="2"/>
          <w:sz w:val="24"/>
          <w:szCs w:val="24"/>
        </w:rPr>
        <w:t>8、本评估结论仅供</w:t>
      </w:r>
      <w:r>
        <w:rPr>
          <w:rFonts w:hint="eastAsia" w:cs="仿宋_GB2312" w:asciiTheme="majorEastAsia" w:hAnsiTheme="majorEastAsia" w:eastAsiaTheme="majorEastAsia"/>
          <w:snapToGrid w:val="0"/>
          <w:color w:val="auto"/>
          <w:kern w:val="2"/>
          <w:sz w:val="24"/>
          <w:szCs w:val="24"/>
          <w:lang w:eastAsia="zh-CN"/>
        </w:rPr>
        <w:t>委托人</w:t>
      </w:r>
      <w:r>
        <w:rPr>
          <w:rFonts w:hint="eastAsia" w:cs="仿宋_GB2312" w:asciiTheme="majorEastAsia" w:hAnsiTheme="majorEastAsia" w:eastAsiaTheme="majorEastAsia"/>
          <w:snapToGrid w:val="0"/>
          <w:color w:val="auto"/>
          <w:kern w:val="2"/>
          <w:sz w:val="24"/>
          <w:szCs w:val="24"/>
        </w:rPr>
        <w:t>、</w:t>
      </w:r>
      <w:r>
        <w:rPr>
          <w:rFonts w:hint="eastAsia" w:cs="仿宋_GB2312" w:asciiTheme="majorEastAsia" w:hAnsiTheme="majorEastAsia" w:eastAsiaTheme="majorEastAsia"/>
          <w:snapToGrid w:val="0"/>
          <w:color w:val="auto"/>
          <w:kern w:val="2"/>
          <w:sz w:val="24"/>
          <w:szCs w:val="24"/>
          <w:lang w:eastAsia="zh-CN"/>
        </w:rPr>
        <w:t>产权持有人</w:t>
      </w:r>
      <w:r>
        <w:rPr>
          <w:rFonts w:hint="eastAsia" w:cs="仿宋_GB2312" w:asciiTheme="majorEastAsia" w:hAnsiTheme="majorEastAsia" w:eastAsiaTheme="majorEastAsia"/>
          <w:snapToGrid w:val="0"/>
          <w:color w:val="auto"/>
          <w:kern w:val="2"/>
          <w:sz w:val="24"/>
          <w:szCs w:val="24"/>
        </w:rPr>
        <w:t>及</w:t>
      </w:r>
      <w:r>
        <w:rPr>
          <w:rFonts w:hint="eastAsia" w:cs="仿宋_GB2312" w:asciiTheme="majorEastAsia" w:hAnsiTheme="majorEastAsia" w:eastAsiaTheme="majorEastAsia"/>
          <w:snapToGrid w:val="0"/>
          <w:color w:val="auto"/>
          <w:kern w:val="2"/>
          <w:sz w:val="24"/>
          <w:szCs w:val="24"/>
          <w:lang w:eastAsia="zh-CN"/>
        </w:rPr>
        <w:t>法律法规规定</w:t>
      </w:r>
      <w:r>
        <w:rPr>
          <w:rFonts w:hint="eastAsia" w:cs="仿宋_GB2312" w:asciiTheme="majorEastAsia" w:hAnsiTheme="majorEastAsia" w:eastAsiaTheme="majorEastAsia"/>
          <w:snapToGrid w:val="0"/>
          <w:color w:val="auto"/>
          <w:kern w:val="2"/>
          <w:sz w:val="24"/>
          <w:szCs w:val="24"/>
        </w:rPr>
        <w:t>的</w:t>
      </w:r>
      <w:r>
        <w:rPr>
          <w:rFonts w:hint="eastAsia" w:cs="仿宋_GB2312" w:asciiTheme="majorEastAsia" w:hAnsiTheme="majorEastAsia" w:eastAsiaTheme="majorEastAsia"/>
          <w:snapToGrid w:val="0"/>
          <w:color w:val="auto"/>
          <w:kern w:val="2"/>
          <w:sz w:val="24"/>
          <w:szCs w:val="24"/>
          <w:lang w:eastAsia="zh-CN"/>
        </w:rPr>
        <w:t>其他评估报告使用人</w:t>
      </w:r>
      <w:r>
        <w:rPr>
          <w:rFonts w:hint="eastAsia" w:cs="仿宋_GB2312" w:asciiTheme="majorEastAsia" w:hAnsiTheme="majorEastAsia" w:eastAsiaTheme="majorEastAsia"/>
          <w:snapToGrid w:val="0"/>
          <w:color w:val="auto"/>
          <w:kern w:val="2"/>
          <w:sz w:val="24"/>
          <w:szCs w:val="24"/>
        </w:rPr>
        <w:t>作为本次评估目的使用和送交</w:t>
      </w:r>
      <w:r>
        <w:rPr>
          <w:rFonts w:hint="eastAsia" w:cs="仿宋_GB2312" w:asciiTheme="majorEastAsia" w:hAnsiTheme="majorEastAsia" w:eastAsiaTheme="majorEastAsia"/>
          <w:snapToGrid w:val="0"/>
          <w:color w:val="auto"/>
          <w:kern w:val="2"/>
          <w:sz w:val="24"/>
          <w:szCs w:val="24"/>
          <w:lang w:eastAsia="zh-CN"/>
        </w:rPr>
        <w:t>资产</w:t>
      </w:r>
      <w:r>
        <w:rPr>
          <w:rFonts w:hint="eastAsia" w:cs="仿宋_GB2312" w:asciiTheme="majorEastAsia" w:hAnsiTheme="majorEastAsia" w:eastAsiaTheme="majorEastAsia"/>
          <w:snapToGrid w:val="0"/>
          <w:color w:val="auto"/>
          <w:kern w:val="2"/>
          <w:sz w:val="24"/>
          <w:szCs w:val="24"/>
        </w:rPr>
        <w:t>评估</w:t>
      </w:r>
      <w:r>
        <w:rPr>
          <w:rFonts w:hint="eastAsia" w:cs="仿宋_GB2312" w:asciiTheme="majorEastAsia" w:hAnsiTheme="majorEastAsia" w:eastAsiaTheme="majorEastAsia"/>
          <w:snapToGrid w:val="0"/>
          <w:color w:val="auto"/>
          <w:kern w:val="2"/>
          <w:sz w:val="24"/>
          <w:szCs w:val="24"/>
          <w:lang w:eastAsia="zh-CN"/>
        </w:rPr>
        <w:t>行业协会质量检查</w:t>
      </w:r>
      <w:r>
        <w:rPr>
          <w:rFonts w:hint="eastAsia" w:cs="仿宋_GB2312" w:asciiTheme="majorEastAsia" w:hAnsiTheme="majorEastAsia" w:eastAsiaTheme="majorEastAsia"/>
          <w:snapToGrid w:val="0"/>
          <w:color w:val="auto"/>
          <w:kern w:val="2"/>
          <w:sz w:val="24"/>
          <w:szCs w:val="24"/>
        </w:rPr>
        <w:t>使用，评估报告书的使用权归</w:t>
      </w:r>
      <w:r>
        <w:rPr>
          <w:rFonts w:hint="eastAsia" w:cs="仿宋_GB2312" w:asciiTheme="majorEastAsia" w:hAnsiTheme="majorEastAsia" w:eastAsiaTheme="majorEastAsia"/>
          <w:snapToGrid w:val="0"/>
          <w:color w:val="auto"/>
          <w:kern w:val="2"/>
          <w:sz w:val="24"/>
          <w:szCs w:val="24"/>
          <w:lang w:eastAsia="zh-CN"/>
        </w:rPr>
        <w:t>委托人</w:t>
      </w:r>
      <w:r>
        <w:rPr>
          <w:rFonts w:hint="eastAsia" w:cs="仿宋_GB2312" w:asciiTheme="majorEastAsia" w:hAnsiTheme="majorEastAsia" w:eastAsiaTheme="majorEastAsia"/>
          <w:snapToGrid w:val="0"/>
          <w:color w:val="auto"/>
          <w:kern w:val="2"/>
          <w:sz w:val="24"/>
          <w:szCs w:val="24"/>
        </w:rPr>
        <w:t>所有，未经</w:t>
      </w:r>
      <w:r>
        <w:rPr>
          <w:rFonts w:hint="eastAsia" w:cs="仿宋_GB2312" w:asciiTheme="majorEastAsia" w:hAnsiTheme="majorEastAsia" w:eastAsiaTheme="majorEastAsia"/>
          <w:snapToGrid w:val="0"/>
          <w:color w:val="auto"/>
          <w:kern w:val="2"/>
          <w:sz w:val="24"/>
          <w:szCs w:val="24"/>
          <w:lang w:eastAsia="zh-CN"/>
        </w:rPr>
        <w:t>委托人</w:t>
      </w:r>
      <w:r>
        <w:rPr>
          <w:rFonts w:hint="eastAsia" w:cs="仿宋_GB2312" w:asciiTheme="majorEastAsia" w:hAnsiTheme="majorEastAsia" w:eastAsiaTheme="majorEastAsia"/>
          <w:snapToGrid w:val="0"/>
          <w:color w:val="auto"/>
          <w:kern w:val="2"/>
          <w:sz w:val="24"/>
          <w:szCs w:val="24"/>
        </w:rPr>
        <w:t>许可，评估机构不得随意向他人提供或公开，不得见诸于公开媒体。由于</w:t>
      </w:r>
      <w:r>
        <w:rPr>
          <w:rFonts w:hint="eastAsia" w:cs="仿宋_GB2312" w:asciiTheme="majorEastAsia" w:hAnsiTheme="majorEastAsia" w:eastAsiaTheme="majorEastAsia"/>
          <w:snapToGrid w:val="0"/>
          <w:color w:val="auto"/>
          <w:kern w:val="2"/>
          <w:sz w:val="24"/>
          <w:szCs w:val="24"/>
          <w:lang w:eastAsia="zh-CN"/>
        </w:rPr>
        <w:t>委托人</w:t>
      </w:r>
      <w:r>
        <w:rPr>
          <w:rFonts w:hint="eastAsia" w:cs="仿宋_GB2312" w:asciiTheme="majorEastAsia" w:hAnsiTheme="majorEastAsia" w:eastAsiaTheme="majorEastAsia"/>
          <w:snapToGrid w:val="0"/>
          <w:color w:val="auto"/>
          <w:kern w:val="2"/>
          <w:sz w:val="24"/>
          <w:szCs w:val="24"/>
        </w:rPr>
        <w:t>、</w:t>
      </w:r>
      <w:r>
        <w:rPr>
          <w:rFonts w:hint="eastAsia" w:cs="仿宋_GB2312" w:asciiTheme="majorEastAsia" w:hAnsiTheme="majorEastAsia" w:eastAsiaTheme="majorEastAsia"/>
          <w:snapToGrid w:val="0"/>
          <w:color w:val="auto"/>
          <w:kern w:val="2"/>
          <w:sz w:val="24"/>
          <w:szCs w:val="24"/>
          <w:lang w:eastAsia="zh-CN"/>
        </w:rPr>
        <w:t>产权持有人</w:t>
      </w:r>
      <w:r>
        <w:rPr>
          <w:rFonts w:hint="eastAsia" w:cs="仿宋_GB2312" w:asciiTheme="majorEastAsia" w:hAnsiTheme="majorEastAsia" w:eastAsiaTheme="majorEastAsia"/>
          <w:snapToGrid w:val="0"/>
          <w:color w:val="auto"/>
          <w:kern w:val="2"/>
          <w:sz w:val="24"/>
          <w:szCs w:val="24"/>
        </w:rPr>
        <w:t>及</w:t>
      </w:r>
      <w:r>
        <w:rPr>
          <w:rFonts w:hint="eastAsia" w:cs="仿宋_GB2312" w:asciiTheme="majorEastAsia" w:hAnsiTheme="majorEastAsia" w:eastAsiaTheme="majorEastAsia"/>
          <w:snapToGrid w:val="0"/>
          <w:color w:val="auto"/>
          <w:kern w:val="2"/>
          <w:sz w:val="24"/>
          <w:szCs w:val="24"/>
          <w:lang w:eastAsia="zh-CN"/>
        </w:rPr>
        <w:t>法律法规规定</w:t>
      </w:r>
      <w:r>
        <w:rPr>
          <w:rFonts w:hint="eastAsia" w:cs="仿宋_GB2312" w:asciiTheme="majorEastAsia" w:hAnsiTheme="majorEastAsia" w:eastAsiaTheme="majorEastAsia"/>
          <w:snapToGrid w:val="0"/>
          <w:color w:val="auto"/>
          <w:kern w:val="2"/>
          <w:sz w:val="24"/>
          <w:szCs w:val="24"/>
        </w:rPr>
        <w:t>的</w:t>
      </w:r>
      <w:r>
        <w:rPr>
          <w:rFonts w:hint="eastAsia" w:cs="仿宋_GB2312" w:asciiTheme="majorEastAsia" w:hAnsiTheme="majorEastAsia" w:eastAsiaTheme="majorEastAsia"/>
          <w:snapToGrid w:val="0"/>
          <w:color w:val="auto"/>
          <w:kern w:val="2"/>
          <w:sz w:val="24"/>
          <w:szCs w:val="24"/>
          <w:lang w:eastAsia="zh-CN"/>
        </w:rPr>
        <w:t>其他评估报告使用人</w:t>
      </w:r>
      <w:r>
        <w:rPr>
          <w:rFonts w:hint="eastAsia" w:cs="仿宋_GB2312" w:asciiTheme="majorEastAsia" w:hAnsiTheme="majorEastAsia" w:eastAsiaTheme="majorEastAsia"/>
          <w:snapToGrid w:val="0"/>
          <w:color w:val="auto"/>
          <w:kern w:val="2"/>
          <w:sz w:val="24"/>
          <w:szCs w:val="24"/>
        </w:rPr>
        <w:t>不当使用评估报告所造成的后果，本评估机构不承担任何责</w:t>
      </w:r>
      <w:r>
        <w:rPr>
          <w:rFonts w:hint="eastAsia" w:cs="仿宋_GB2312" w:asciiTheme="majorEastAsia" w:hAnsiTheme="majorEastAsia" w:eastAsiaTheme="majorEastAsia"/>
          <w:color w:val="auto"/>
          <w:sz w:val="24"/>
          <w:szCs w:val="24"/>
        </w:rPr>
        <w:t>任。</w:t>
      </w:r>
    </w:p>
    <w:p>
      <w:pPr>
        <w:pStyle w:val="26"/>
        <w:tabs>
          <w:tab w:val="left" w:pos="480"/>
        </w:tabs>
        <w:ind w:firstLine="480" w:firstLineChars="200"/>
        <w:rPr>
          <w:rFonts w:hint="eastAsia" w:cs="仿宋_GB2312" w:asciiTheme="majorEastAsia" w:hAnsiTheme="majorEastAsia" w:eastAsiaTheme="majorEastAsia"/>
          <w:snapToGrid w:val="0"/>
          <w:color w:val="auto"/>
          <w:kern w:val="2"/>
          <w:sz w:val="24"/>
          <w:szCs w:val="24"/>
        </w:rPr>
      </w:pPr>
      <w:r>
        <w:rPr>
          <w:rFonts w:hint="eastAsia" w:cs="仿宋_GB2312" w:asciiTheme="majorEastAsia" w:hAnsiTheme="majorEastAsia" w:eastAsiaTheme="majorEastAsia"/>
          <w:snapToGrid w:val="0"/>
          <w:color w:val="auto"/>
          <w:kern w:val="2"/>
          <w:sz w:val="24"/>
          <w:szCs w:val="24"/>
        </w:rPr>
        <w:t>9、</w:t>
      </w:r>
      <w:r>
        <w:rPr>
          <w:rFonts w:hint="eastAsia" w:cs="仿宋_GB2312" w:asciiTheme="majorEastAsia" w:hAnsiTheme="majorEastAsia" w:eastAsiaTheme="majorEastAsia"/>
          <w:color w:val="auto"/>
          <w:kern w:val="2"/>
          <w:sz w:val="24"/>
          <w:szCs w:val="24"/>
        </w:rPr>
        <w:t>资产评估报告使用人应当正确理解评估结论。评估结论不等同于评估对象可实现价格，评估结论不应当被认为是对评估对象可实现价格的保证。</w:t>
      </w:r>
    </w:p>
    <w:p>
      <w:pPr>
        <w:pStyle w:val="26"/>
        <w:tabs>
          <w:tab w:val="left" w:pos="480"/>
        </w:tabs>
        <w:ind w:firstLine="480" w:firstLineChars="200"/>
        <w:rPr>
          <w:rFonts w:cs="仿宋_GB2312" w:asciiTheme="majorEastAsia" w:hAnsiTheme="majorEastAsia" w:eastAsiaTheme="majorEastAsia"/>
          <w:snapToGrid w:val="0"/>
          <w:color w:val="000000"/>
          <w:kern w:val="2"/>
          <w:sz w:val="24"/>
          <w:szCs w:val="24"/>
        </w:rPr>
      </w:pPr>
      <w:r>
        <w:rPr>
          <w:rFonts w:hint="eastAsia" w:cs="仿宋_GB2312" w:asciiTheme="majorEastAsia" w:hAnsiTheme="majorEastAsia" w:eastAsiaTheme="majorEastAsia"/>
          <w:snapToGrid w:val="0"/>
          <w:color w:val="000000"/>
          <w:kern w:val="2"/>
          <w:sz w:val="24"/>
          <w:szCs w:val="24"/>
        </w:rPr>
        <w:t>10、本报告书评估结论有效期限为一年，即自评估基准日202</w:t>
      </w:r>
      <w:r>
        <w:rPr>
          <w:rFonts w:hint="eastAsia" w:cs="仿宋_GB2312" w:asciiTheme="majorEastAsia" w:hAnsiTheme="majorEastAsia" w:eastAsiaTheme="majorEastAsia"/>
          <w:snapToGrid w:val="0"/>
          <w:color w:val="000000"/>
          <w:kern w:val="2"/>
          <w:sz w:val="24"/>
          <w:szCs w:val="24"/>
          <w:lang w:val="en-US" w:eastAsia="zh-CN"/>
        </w:rPr>
        <w:t>1</w:t>
      </w:r>
      <w:r>
        <w:rPr>
          <w:rFonts w:hint="eastAsia" w:cs="仿宋_GB2312" w:asciiTheme="majorEastAsia" w:hAnsiTheme="majorEastAsia" w:eastAsiaTheme="majorEastAsia"/>
          <w:snapToGrid w:val="0"/>
          <w:color w:val="000000"/>
          <w:kern w:val="2"/>
          <w:sz w:val="24"/>
          <w:szCs w:val="24"/>
        </w:rPr>
        <w:t>年</w:t>
      </w:r>
      <w:r>
        <w:rPr>
          <w:rFonts w:hint="eastAsia" w:cs="仿宋_GB2312" w:asciiTheme="majorEastAsia" w:hAnsiTheme="majorEastAsia" w:eastAsiaTheme="majorEastAsia"/>
          <w:snapToGrid w:val="0"/>
          <w:color w:val="000000"/>
          <w:kern w:val="2"/>
          <w:sz w:val="24"/>
          <w:szCs w:val="24"/>
          <w:lang w:val="en-US" w:eastAsia="zh-CN"/>
        </w:rPr>
        <w:t>2</w:t>
      </w:r>
      <w:r>
        <w:rPr>
          <w:rFonts w:hint="eastAsia" w:cs="仿宋_GB2312" w:asciiTheme="majorEastAsia" w:hAnsiTheme="majorEastAsia" w:eastAsiaTheme="majorEastAsia"/>
          <w:snapToGrid w:val="0"/>
          <w:color w:val="000000"/>
          <w:kern w:val="2"/>
          <w:sz w:val="24"/>
          <w:szCs w:val="24"/>
        </w:rPr>
        <w:t>月</w:t>
      </w:r>
      <w:r>
        <w:rPr>
          <w:rFonts w:hint="eastAsia" w:cs="仿宋_GB2312" w:asciiTheme="majorEastAsia" w:hAnsiTheme="majorEastAsia" w:eastAsiaTheme="majorEastAsia"/>
          <w:snapToGrid w:val="0"/>
          <w:color w:val="000000"/>
          <w:kern w:val="2"/>
          <w:sz w:val="24"/>
          <w:szCs w:val="24"/>
          <w:lang w:val="en-US" w:eastAsia="zh-CN"/>
        </w:rPr>
        <w:t>10</w:t>
      </w:r>
      <w:r>
        <w:rPr>
          <w:rFonts w:hint="eastAsia" w:cs="仿宋_GB2312" w:asciiTheme="majorEastAsia" w:hAnsiTheme="majorEastAsia" w:eastAsiaTheme="majorEastAsia"/>
          <w:snapToGrid w:val="0"/>
          <w:color w:val="000000"/>
          <w:kern w:val="2"/>
          <w:sz w:val="24"/>
          <w:szCs w:val="24"/>
        </w:rPr>
        <w:t>日起至202</w:t>
      </w:r>
      <w:r>
        <w:rPr>
          <w:rFonts w:hint="eastAsia" w:cs="仿宋_GB2312" w:asciiTheme="majorEastAsia" w:hAnsiTheme="majorEastAsia" w:eastAsiaTheme="majorEastAsia"/>
          <w:snapToGrid w:val="0"/>
          <w:color w:val="000000"/>
          <w:kern w:val="2"/>
          <w:sz w:val="24"/>
          <w:szCs w:val="24"/>
          <w:lang w:val="en-US" w:eastAsia="zh-CN"/>
        </w:rPr>
        <w:t>2</w:t>
      </w:r>
      <w:r>
        <w:rPr>
          <w:rFonts w:hint="eastAsia" w:cs="仿宋_GB2312" w:asciiTheme="majorEastAsia" w:hAnsiTheme="majorEastAsia" w:eastAsiaTheme="majorEastAsia"/>
          <w:snapToGrid w:val="0"/>
          <w:color w:val="000000"/>
          <w:kern w:val="2"/>
          <w:sz w:val="24"/>
          <w:szCs w:val="24"/>
        </w:rPr>
        <w:t>年</w:t>
      </w:r>
      <w:r>
        <w:rPr>
          <w:rFonts w:hint="eastAsia" w:cs="仿宋_GB2312" w:asciiTheme="majorEastAsia" w:hAnsiTheme="majorEastAsia" w:eastAsiaTheme="majorEastAsia"/>
          <w:snapToGrid w:val="0"/>
          <w:color w:val="000000"/>
          <w:kern w:val="2"/>
          <w:sz w:val="24"/>
          <w:szCs w:val="24"/>
          <w:lang w:val="en-US" w:eastAsia="zh-CN"/>
        </w:rPr>
        <w:t>2</w:t>
      </w:r>
      <w:r>
        <w:rPr>
          <w:rFonts w:hint="eastAsia" w:cs="仿宋_GB2312" w:asciiTheme="majorEastAsia" w:hAnsiTheme="majorEastAsia" w:eastAsiaTheme="majorEastAsia"/>
          <w:snapToGrid w:val="0"/>
          <w:color w:val="000000"/>
          <w:kern w:val="2"/>
          <w:sz w:val="24"/>
          <w:szCs w:val="24"/>
        </w:rPr>
        <w:t>月</w:t>
      </w:r>
      <w:r>
        <w:rPr>
          <w:rFonts w:hint="eastAsia" w:cs="仿宋_GB2312" w:asciiTheme="majorEastAsia" w:hAnsiTheme="majorEastAsia" w:eastAsiaTheme="majorEastAsia"/>
          <w:snapToGrid w:val="0"/>
          <w:color w:val="000000"/>
          <w:kern w:val="2"/>
          <w:sz w:val="24"/>
          <w:szCs w:val="24"/>
          <w:lang w:val="en-US" w:eastAsia="zh-CN"/>
        </w:rPr>
        <w:t>9</w:t>
      </w:r>
      <w:r>
        <w:rPr>
          <w:rFonts w:hint="eastAsia" w:cs="仿宋_GB2312" w:asciiTheme="majorEastAsia" w:hAnsiTheme="majorEastAsia" w:eastAsiaTheme="majorEastAsia"/>
          <w:snapToGrid w:val="0"/>
          <w:color w:val="000000"/>
          <w:kern w:val="2"/>
          <w:sz w:val="24"/>
          <w:szCs w:val="24"/>
        </w:rPr>
        <w:t>日止。</w:t>
      </w:r>
    </w:p>
    <w:p>
      <w:pPr>
        <w:spacing w:line="440" w:lineRule="exact"/>
        <w:ind w:firstLine="482" w:firstLineChars="200"/>
        <w:jc w:val="left"/>
        <w:rPr>
          <w:rFonts w:asciiTheme="majorEastAsia" w:hAnsiTheme="majorEastAsia" w:eastAsiaTheme="majorEastAsia"/>
          <w:sz w:val="24"/>
          <w:szCs w:val="24"/>
        </w:rPr>
      </w:pPr>
      <w:r>
        <w:rPr>
          <w:rFonts w:hint="eastAsia" w:asciiTheme="majorEastAsia" w:hAnsiTheme="majorEastAsia" w:eastAsiaTheme="majorEastAsia"/>
          <w:b/>
          <w:sz w:val="24"/>
          <w:szCs w:val="24"/>
        </w:rPr>
        <w:t>十三、评估报告日</w:t>
      </w:r>
    </w:p>
    <w:p>
      <w:pPr>
        <w:tabs>
          <w:tab w:val="left" w:pos="0"/>
          <w:tab w:val="left" w:pos="11988"/>
        </w:tabs>
        <w:spacing w:line="440" w:lineRule="exact"/>
        <w:ind w:firstLine="480" w:firstLineChars="200"/>
        <w:jc w:val="left"/>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评估报告载明的评估报告日为资产评估师形成最终专业意见的日期，本次评估报告的出具日期为</w:t>
      </w:r>
      <w:r>
        <w:rPr>
          <w:rFonts w:hint="eastAsia" w:asciiTheme="majorEastAsia" w:hAnsiTheme="majorEastAsia" w:eastAsiaTheme="majorEastAsia"/>
          <w:color w:val="auto"/>
          <w:kern w:val="0"/>
          <w:sz w:val="24"/>
          <w:szCs w:val="24"/>
        </w:rPr>
        <w:t>二〇二</w:t>
      </w:r>
      <w:r>
        <w:rPr>
          <w:rFonts w:hint="eastAsia" w:asciiTheme="majorEastAsia" w:hAnsiTheme="majorEastAsia" w:eastAsiaTheme="majorEastAsia"/>
          <w:color w:val="auto"/>
          <w:kern w:val="0"/>
          <w:sz w:val="24"/>
          <w:szCs w:val="24"/>
          <w:lang w:eastAsia="zh-CN"/>
        </w:rPr>
        <w:t>一</w:t>
      </w:r>
      <w:r>
        <w:rPr>
          <w:rFonts w:hint="eastAsia" w:asciiTheme="majorEastAsia" w:hAnsiTheme="majorEastAsia" w:eastAsiaTheme="majorEastAsia"/>
          <w:color w:val="auto"/>
          <w:kern w:val="0"/>
          <w:sz w:val="24"/>
          <w:szCs w:val="24"/>
        </w:rPr>
        <w:t>年</w:t>
      </w:r>
      <w:r>
        <w:rPr>
          <w:rFonts w:hint="eastAsia" w:asciiTheme="majorEastAsia" w:hAnsiTheme="majorEastAsia" w:eastAsiaTheme="majorEastAsia"/>
          <w:color w:val="auto"/>
          <w:kern w:val="0"/>
          <w:sz w:val="24"/>
          <w:szCs w:val="24"/>
          <w:lang w:eastAsia="zh-CN"/>
        </w:rPr>
        <w:t>二</w:t>
      </w:r>
      <w:r>
        <w:rPr>
          <w:rFonts w:hint="eastAsia" w:asciiTheme="majorEastAsia" w:hAnsiTheme="majorEastAsia" w:eastAsiaTheme="majorEastAsia"/>
          <w:color w:val="auto"/>
          <w:kern w:val="0"/>
          <w:sz w:val="24"/>
          <w:szCs w:val="24"/>
        </w:rPr>
        <w:t>月</w:t>
      </w:r>
      <w:r>
        <w:rPr>
          <w:rFonts w:hint="eastAsia" w:asciiTheme="majorEastAsia" w:hAnsiTheme="majorEastAsia" w:eastAsiaTheme="majorEastAsia"/>
          <w:color w:val="auto"/>
          <w:kern w:val="0"/>
          <w:sz w:val="24"/>
          <w:szCs w:val="24"/>
          <w:lang w:eastAsia="zh-CN"/>
        </w:rPr>
        <w:t>二十六</w:t>
      </w:r>
      <w:r>
        <w:rPr>
          <w:rFonts w:hint="eastAsia" w:asciiTheme="majorEastAsia" w:hAnsiTheme="majorEastAsia" w:eastAsiaTheme="majorEastAsia"/>
          <w:color w:val="auto"/>
          <w:kern w:val="0"/>
          <w:sz w:val="24"/>
          <w:szCs w:val="24"/>
        </w:rPr>
        <w:t>日。</w:t>
      </w:r>
    </w:p>
    <w:p>
      <w:pPr>
        <w:tabs>
          <w:tab w:val="left" w:pos="0"/>
          <w:tab w:val="left" w:pos="11988"/>
        </w:tabs>
        <w:spacing w:line="460" w:lineRule="exact"/>
        <w:ind w:firstLine="482" w:firstLineChars="200"/>
        <w:jc w:val="left"/>
        <w:rPr>
          <w:rFonts w:hint="eastAsia" w:asciiTheme="majorEastAsia" w:hAnsiTheme="majorEastAsia" w:eastAsiaTheme="majorEastAsia"/>
          <w:sz w:val="24"/>
          <w:szCs w:val="24"/>
        </w:rPr>
      </w:pPr>
      <w:r>
        <w:rPr>
          <w:rFonts w:hint="eastAsia" w:asciiTheme="majorEastAsia" w:hAnsiTheme="majorEastAsia" w:eastAsiaTheme="majorEastAsia"/>
          <w:b/>
          <w:sz w:val="24"/>
          <w:szCs w:val="24"/>
        </w:rPr>
        <w:t>十四、签字盖章</w:t>
      </w:r>
    </w:p>
    <w:p>
      <w:pPr>
        <w:spacing w:line="460" w:lineRule="exact"/>
        <w:ind w:firstLine="5040" w:firstLineChars="2100"/>
        <w:jc w:val="left"/>
        <w:rPr>
          <w:rFonts w:hint="eastAsia" w:asciiTheme="majorEastAsia" w:hAnsiTheme="majorEastAsia" w:eastAsiaTheme="majorEastAsia"/>
          <w:sz w:val="24"/>
          <w:szCs w:val="24"/>
        </w:rPr>
      </w:pPr>
    </w:p>
    <w:p>
      <w:pPr>
        <w:spacing w:line="460" w:lineRule="exact"/>
        <w:ind w:firstLine="5040" w:firstLineChars="2100"/>
        <w:jc w:val="left"/>
        <w:rPr>
          <w:rFonts w:hint="eastAsia" w:asciiTheme="majorEastAsia" w:hAnsiTheme="majorEastAsia" w:eastAsiaTheme="majorEastAsia"/>
          <w:sz w:val="24"/>
          <w:szCs w:val="24"/>
        </w:rPr>
      </w:pPr>
    </w:p>
    <w:p>
      <w:pPr>
        <w:spacing w:line="460" w:lineRule="exact"/>
        <w:ind w:firstLine="5040" w:firstLineChars="2100"/>
        <w:jc w:val="left"/>
        <w:rPr>
          <w:rFonts w:hint="eastAsia" w:asciiTheme="majorEastAsia" w:hAnsiTheme="majorEastAsia" w:eastAsiaTheme="majorEastAsia"/>
          <w:sz w:val="24"/>
          <w:szCs w:val="24"/>
        </w:rPr>
      </w:pPr>
    </w:p>
    <w:p>
      <w:pPr>
        <w:spacing w:line="460" w:lineRule="exact"/>
        <w:jc w:val="both"/>
        <w:rPr>
          <w:rFonts w:hint="eastAsia" w:asciiTheme="majorEastAsia" w:hAnsiTheme="majorEastAsia" w:eastAsiaTheme="majorEastAsia"/>
          <w:sz w:val="24"/>
          <w:szCs w:val="24"/>
          <w:lang w:eastAsia="zh-CN"/>
        </w:rPr>
      </w:pPr>
      <w:r>
        <w:rPr>
          <w:rFonts w:hint="eastAsia" w:asciiTheme="majorEastAsia" w:hAnsiTheme="majorEastAsia" w:eastAsiaTheme="majorEastAsia"/>
          <w:b/>
          <w:bCs/>
          <w:sz w:val="24"/>
          <w:szCs w:val="24"/>
          <w:lang w:eastAsia="zh-CN"/>
        </w:rPr>
        <w:t>（本页无正文）</w:t>
      </w:r>
    </w:p>
    <w:p>
      <w:pPr>
        <w:spacing w:line="460" w:lineRule="exact"/>
        <w:ind w:firstLine="5040" w:firstLineChars="2100"/>
        <w:jc w:val="left"/>
        <w:rPr>
          <w:rFonts w:hint="eastAsia" w:asciiTheme="majorEastAsia" w:hAnsiTheme="majorEastAsia" w:eastAsiaTheme="majorEastAsia"/>
          <w:sz w:val="24"/>
          <w:szCs w:val="24"/>
        </w:rPr>
      </w:pPr>
    </w:p>
    <w:p>
      <w:pPr>
        <w:spacing w:line="460" w:lineRule="exact"/>
        <w:ind w:firstLine="5040" w:firstLineChars="2100"/>
        <w:jc w:val="left"/>
        <w:rPr>
          <w:rFonts w:hint="eastAsia" w:asciiTheme="majorEastAsia" w:hAnsiTheme="majorEastAsia" w:eastAsiaTheme="majorEastAsia"/>
          <w:sz w:val="24"/>
          <w:szCs w:val="24"/>
        </w:rPr>
      </w:pPr>
    </w:p>
    <w:p>
      <w:pPr>
        <w:spacing w:line="460" w:lineRule="exact"/>
        <w:ind w:firstLine="5040" w:firstLineChars="2100"/>
        <w:jc w:val="left"/>
        <w:rPr>
          <w:rFonts w:hint="eastAsia" w:asciiTheme="majorEastAsia" w:hAnsiTheme="majorEastAsia" w:eastAsiaTheme="majorEastAsia"/>
          <w:sz w:val="24"/>
          <w:szCs w:val="24"/>
        </w:rPr>
      </w:pPr>
    </w:p>
    <w:p>
      <w:pPr>
        <w:spacing w:line="460" w:lineRule="exact"/>
        <w:ind w:firstLine="5040" w:firstLineChars="2100"/>
        <w:jc w:val="left"/>
        <w:rPr>
          <w:rFonts w:hint="eastAsia" w:asciiTheme="majorEastAsia" w:hAnsiTheme="majorEastAsia" w:eastAsiaTheme="majorEastAsia"/>
          <w:sz w:val="24"/>
          <w:szCs w:val="24"/>
        </w:rPr>
      </w:pPr>
    </w:p>
    <w:p>
      <w:pPr>
        <w:spacing w:line="460" w:lineRule="exact"/>
        <w:ind w:firstLine="5040" w:firstLineChars="2100"/>
        <w:jc w:val="left"/>
        <w:rPr>
          <w:rFonts w:hint="eastAsia" w:asciiTheme="majorEastAsia" w:hAnsiTheme="majorEastAsia" w:eastAsiaTheme="majorEastAsia"/>
          <w:sz w:val="24"/>
          <w:szCs w:val="24"/>
        </w:rPr>
      </w:pPr>
    </w:p>
    <w:p>
      <w:pPr>
        <w:spacing w:line="460" w:lineRule="exact"/>
        <w:ind w:firstLine="5520" w:firstLineChars="230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执行合伙人：</w:t>
      </w:r>
    </w:p>
    <w:p>
      <w:pPr>
        <w:spacing w:line="460" w:lineRule="exact"/>
        <w:ind w:firstLine="360" w:firstLineChars="150"/>
        <w:jc w:val="left"/>
        <w:rPr>
          <w:rFonts w:hint="eastAsia" w:asciiTheme="majorEastAsia" w:hAnsiTheme="majorEastAsia" w:eastAsiaTheme="majorEastAsia"/>
          <w:sz w:val="24"/>
          <w:szCs w:val="24"/>
        </w:rPr>
      </w:pPr>
    </w:p>
    <w:p>
      <w:pPr>
        <w:spacing w:line="460" w:lineRule="exact"/>
        <w:ind w:firstLine="360" w:firstLineChars="150"/>
        <w:jc w:val="left"/>
        <w:rPr>
          <w:rFonts w:hint="eastAsia" w:asciiTheme="majorEastAsia" w:hAnsiTheme="majorEastAsia" w:eastAsiaTheme="majorEastAsia"/>
          <w:sz w:val="24"/>
          <w:szCs w:val="24"/>
        </w:rPr>
      </w:pPr>
    </w:p>
    <w:p>
      <w:pPr>
        <w:spacing w:line="460" w:lineRule="exact"/>
        <w:ind w:firstLine="360" w:firstLineChars="150"/>
        <w:jc w:val="left"/>
        <w:rPr>
          <w:rFonts w:hint="eastAsia" w:asciiTheme="majorEastAsia" w:hAnsiTheme="majorEastAsia" w:eastAsiaTheme="majorEastAsia"/>
          <w:sz w:val="24"/>
          <w:szCs w:val="24"/>
        </w:rPr>
      </w:pPr>
    </w:p>
    <w:p>
      <w:pPr>
        <w:spacing w:line="460" w:lineRule="exact"/>
        <w:ind w:firstLine="360" w:firstLineChars="150"/>
        <w:jc w:val="left"/>
        <w:rPr>
          <w:rFonts w:hint="eastAsia" w:asciiTheme="majorEastAsia" w:hAnsiTheme="majorEastAsia" w:eastAsiaTheme="majorEastAsia"/>
          <w:sz w:val="24"/>
          <w:szCs w:val="24"/>
        </w:rPr>
      </w:pPr>
    </w:p>
    <w:p>
      <w:pPr>
        <w:spacing w:line="460" w:lineRule="exact"/>
        <w:ind w:firstLine="360" w:firstLineChars="150"/>
        <w:jc w:val="left"/>
        <w:rPr>
          <w:rFonts w:hint="eastAsia" w:asciiTheme="majorEastAsia" w:hAnsiTheme="majorEastAsia" w:eastAsiaTheme="majorEastAsia"/>
          <w:sz w:val="24"/>
          <w:szCs w:val="24"/>
        </w:rPr>
      </w:pPr>
    </w:p>
    <w:p>
      <w:pPr>
        <w:spacing w:line="460" w:lineRule="exact"/>
        <w:ind w:firstLine="360" w:firstLineChars="150"/>
        <w:jc w:val="left"/>
        <w:rPr>
          <w:rFonts w:hint="eastAsia" w:asciiTheme="majorEastAsia" w:hAnsiTheme="majorEastAsia" w:eastAsiaTheme="majorEastAsia"/>
          <w:sz w:val="24"/>
          <w:szCs w:val="24"/>
        </w:rPr>
      </w:pPr>
    </w:p>
    <w:p>
      <w:pPr>
        <w:spacing w:line="460" w:lineRule="exact"/>
        <w:ind w:firstLine="360" w:firstLineChars="150"/>
        <w:jc w:val="left"/>
        <w:rPr>
          <w:rFonts w:hint="eastAsia" w:asciiTheme="majorEastAsia" w:hAnsiTheme="majorEastAsia" w:eastAsiaTheme="majorEastAsia"/>
          <w:sz w:val="24"/>
          <w:szCs w:val="24"/>
        </w:rPr>
      </w:pPr>
    </w:p>
    <w:p>
      <w:pPr>
        <w:spacing w:line="460" w:lineRule="exact"/>
        <w:ind w:firstLine="360" w:firstLineChars="150"/>
        <w:jc w:val="left"/>
        <w:rPr>
          <w:rFonts w:hint="eastAsia" w:asciiTheme="majorEastAsia" w:hAnsiTheme="majorEastAsia" w:eastAsiaTheme="majorEastAsia"/>
          <w:sz w:val="24"/>
          <w:szCs w:val="24"/>
        </w:rPr>
      </w:pPr>
    </w:p>
    <w:p>
      <w:pPr>
        <w:spacing w:line="460" w:lineRule="exact"/>
        <w:ind w:firstLine="360" w:firstLineChars="150"/>
        <w:jc w:val="left"/>
        <w:rPr>
          <w:rFonts w:hint="eastAsia" w:asciiTheme="majorEastAsia" w:hAnsiTheme="majorEastAsia" w:eastAsiaTheme="majorEastAsia"/>
          <w:sz w:val="24"/>
          <w:szCs w:val="24"/>
        </w:rPr>
      </w:pPr>
    </w:p>
    <w:p>
      <w:pPr>
        <w:spacing w:line="460" w:lineRule="exact"/>
        <w:ind w:firstLine="240" w:firstLineChars="10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 xml:space="preserve">评估机构：辽源新安资产评估事务所 </w:t>
      </w:r>
      <w:r>
        <w:rPr>
          <w:rFonts w:hint="eastAsia" w:asciiTheme="majorEastAsia" w:hAnsiTheme="majorEastAsia" w:eastAsiaTheme="majorEastAsia"/>
          <w:sz w:val="24"/>
          <w:szCs w:val="24"/>
          <w:lang w:val="en-US" w:eastAsia="zh-CN"/>
        </w:rPr>
        <w:t xml:space="preserve">           </w:t>
      </w:r>
      <w:r>
        <w:rPr>
          <w:rFonts w:hint="eastAsia" w:asciiTheme="majorEastAsia" w:hAnsiTheme="majorEastAsia" w:eastAsiaTheme="majorEastAsia"/>
          <w:sz w:val="24"/>
          <w:szCs w:val="24"/>
        </w:rPr>
        <w:t xml:space="preserve">资产评估师：  </w:t>
      </w:r>
    </w:p>
    <w:p>
      <w:pPr>
        <w:spacing w:line="460" w:lineRule="exact"/>
        <w:ind w:firstLine="1680" w:firstLineChars="70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 xml:space="preserve">（普通合伙）        </w:t>
      </w:r>
    </w:p>
    <w:p>
      <w:pPr>
        <w:spacing w:line="460" w:lineRule="exact"/>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 xml:space="preserve">  </w:t>
      </w:r>
    </w:p>
    <w:p>
      <w:pPr>
        <w:spacing w:line="460" w:lineRule="exact"/>
        <w:jc w:val="left"/>
        <w:rPr>
          <w:rFonts w:hint="eastAsia" w:asciiTheme="majorEastAsia" w:hAnsiTheme="majorEastAsia" w:eastAsiaTheme="majorEastAsia"/>
          <w:sz w:val="24"/>
          <w:szCs w:val="24"/>
        </w:rPr>
      </w:pPr>
    </w:p>
    <w:p>
      <w:pPr>
        <w:spacing w:line="460" w:lineRule="exact"/>
        <w:jc w:val="left"/>
        <w:rPr>
          <w:rFonts w:hint="eastAsia" w:asciiTheme="majorEastAsia" w:hAnsiTheme="majorEastAsia" w:eastAsiaTheme="majorEastAsia"/>
          <w:sz w:val="24"/>
          <w:szCs w:val="24"/>
        </w:rPr>
      </w:pPr>
    </w:p>
    <w:p>
      <w:pPr>
        <w:spacing w:line="460" w:lineRule="exact"/>
        <w:jc w:val="left"/>
        <w:rPr>
          <w:rFonts w:hint="eastAsia" w:asciiTheme="majorEastAsia" w:hAnsiTheme="majorEastAsia" w:eastAsiaTheme="majorEastAsia"/>
          <w:sz w:val="24"/>
          <w:szCs w:val="24"/>
        </w:rPr>
      </w:pPr>
    </w:p>
    <w:p>
      <w:pPr>
        <w:spacing w:line="460" w:lineRule="exact"/>
        <w:jc w:val="left"/>
        <w:rPr>
          <w:rFonts w:hint="eastAsia" w:asciiTheme="majorEastAsia" w:hAnsiTheme="majorEastAsia" w:eastAsiaTheme="majorEastAsia"/>
          <w:sz w:val="24"/>
          <w:szCs w:val="24"/>
        </w:rPr>
      </w:pPr>
    </w:p>
    <w:p>
      <w:pPr>
        <w:spacing w:line="460" w:lineRule="exact"/>
        <w:jc w:val="left"/>
        <w:rPr>
          <w:rFonts w:hint="eastAsia" w:asciiTheme="majorEastAsia" w:hAnsiTheme="majorEastAsia" w:eastAsiaTheme="majorEastAsia"/>
          <w:sz w:val="24"/>
          <w:szCs w:val="24"/>
        </w:rPr>
      </w:pPr>
    </w:p>
    <w:p>
      <w:pPr>
        <w:spacing w:line="460" w:lineRule="exact"/>
        <w:ind w:firstLine="5520" w:firstLineChars="23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资产评估师： </w:t>
      </w:r>
    </w:p>
    <w:p>
      <w:pPr>
        <w:spacing w:line="460" w:lineRule="exact"/>
        <w:jc w:val="left"/>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 xml:space="preserve"> </w:t>
      </w:r>
    </w:p>
    <w:p>
      <w:pPr>
        <w:spacing w:line="460" w:lineRule="exact"/>
        <w:ind w:firstLine="630" w:firstLineChars="300"/>
        <w:jc w:val="left"/>
        <w:rPr>
          <w:rFonts w:asciiTheme="majorEastAsia" w:hAnsiTheme="majorEastAsia" w:eastAsiaTheme="majorEastAsia"/>
          <w:szCs w:val="21"/>
        </w:rPr>
      </w:pPr>
      <w:r>
        <w:rPr>
          <w:rFonts w:hint="eastAsia" w:asciiTheme="majorEastAsia" w:hAnsiTheme="majorEastAsia" w:eastAsiaTheme="majorEastAsia"/>
          <w:szCs w:val="21"/>
        </w:rPr>
        <w:t xml:space="preserve">                </w:t>
      </w:r>
    </w:p>
    <w:p>
      <w:pPr>
        <w:jc w:val="center"/>
        <w:rPr>
          <w:rFonts w:asciiTheme="majorEastAsia" w:hAnsiTheme="majorEastAsia" w:eastAsiaTheme="majorEastAsia"/>
          <w:szCs w:val="21"/>
        </w:rPr>
      </w:pPr>
    </w:p>
    <w:p>
      <w:pPr>
        <w:jc w:val="center"/>
        <w:rPr>
          <w:rFonts w:asciiTheme="majorEastAsia" w:hAnsiTheme="majorEastAsia" w:eastAsiaTheme="majorEastAsia"/>
          <w:szCs w:val="21"/>
        </w:rPr>
      </w:pPr>
    </w:p>
    <w:p>
      <w:pPr>
        <w:jc w:val="center"/>
        <w:rPr>
          <w:rFonts w:asciiTheme="majorEastAsia" w:hAnsiTheme="majorEastAsia" w:eastAsiaTheme="majorEastAsia"/>
          <w:szCs w:val="21"/>
        </w:rPr>
      </w:pPr>
    </w:p>
    <w:p>
      <w:pPr>
        <w:jc w:val="center"/>
        <w:rPr>
          <w:rFonts w:asciiTheme="majorEastAsia" w:hAnsiTheme="majorEastAsia" w:eastAsiaTheme="majorEastAsia"/>
          <w:szCs w:val="21"/>
        </w:rPr>
      </w:pPr>
    </w:p>
    <w:p>
      <w:pPr>
        <w:jc w:val="center"/>
        <w:rPr>
          <w:rFonts w:asciiTheme="majorEastAsia" w:hAnsiTheme="majorEastAsia" w:eastAsiaTheme="majorEastAsia"/>
          <w:szCs w:val="21"/>
        </w:rPr>
      </w:pPr>
    </w:p>
    <w:p>
      <w:pPr>
        <w:jc w:val="center"/>
        <w:rPr>
          <w:rFonts w:asciiTheme="majorEastAsia" w:hAnsiTheme="majorEastAsia" w:eastAsiaTheme="majorEastAsia"/>
          <w:szCs w:val="21"/>
        </w:rPr>
      </w:pPr>
    </w:p>
    <w:p>
      <w:pPr>
        <w:jc w:val="center"/>
        <w:rPr>
          <w:rFonts w:asciiTheme="majorEastAsia" w:hAnsiTheme="majorEastAsia" w:eastAsiaTheme="majorEastAsia"/>
          <w:szCs w:val="21"/>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附 件 目 录</w:t>
      </w:r>
    </w:p>
    <w:p>
      <w:pPr>
        <w:jc w:val="left"/>
        <w:rPr>
          <w:rFonts w:asciiTheme="majorEastAsia" w:hAnsiTheme="majorEastAsia" w:eastAsiaTheme="majorEastAsia"/>
          <w:sz w:val="24"/>
          <w:szCs w:val="24"/>
        </w:rPr>
      </w:pPr>
    </w:p>
    <w:p>
      <w:pPr>
        <w:numPr>
          <w:ilvl w:val="0"/>
          <w:numId w:val="4"/>
        </w:numPr>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固定资产—房屋建筑物评估明细表；</w:t>
      </w:r>
    </w:p>
    <w:p>
      <w:pPr>
        <w:numPr>
          <w:ilvl w:val="0"/>
          <w:numId w:val="4"/>
        </w:numPr>
        <w:tabs>
          <w:tab w:val="left" w:pos="-105"/>
          <w:tab w:val="clear" w:pos="720"/>
        </w:tabs>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lang w:eastAsia="zh-CN"/>
        </w:rPr>
        <w:t>辽源市龙山区人民法院司法辅助办公室《司法</w:t>
      </w:r>
      <w:r>
        <w:rPr>
          <w:rFonts w:hint="eastAsia" w:asciiTheme="majorEastAsia" w:hAnsiTheme="majorEastAsia" w:eastAsiaTheme="majorEastAsia"/>
          <w:color w:val="auto"/>
          <w:sz w:val="24"/>
        </w:rPr>
        <w:t>鉴定委托书</w:t>
      </w:r>
      <w:r>
        <w:rPr>
          <w:rFonts w:hint="eastAsia" w:asciiTheme="majorEastAsia" w:hAnsiTheme="majorEastAsia" w:eastAsiaTheme="majorEastAsia"/>
          <w:color w:val="auto"/>
          <w:sz w:val="24"/>
          <w:lang w:eastAsia="zh-CN"/>
        </w:rPr>
        <w:t>》（（</w:t>
      </w:r>
      <w:r>
        <w:rPr>
          <w:rFonts w:hint="eastAsia" w:asciiTheme="majorEastAsia" w:hAnsiTheme="majorEastAsia" w:eastAsiaTheme="majorEastAsia"/>
          <w:color w:val="auto"/>
          <w:sz w:val="24"/>
          <w:lang w:val="en-US" w:eastAsia="zh-CN"/>
        </w:rPr>
        <w:t>2021</w:t>
      </w:r>
      <w:r>
        <w:rPr>
          <w:rFonts w:hint="eastAsia" w:asciiTheme="majorEastAsia" w:hAnsiTheme="majorEastAsia" w:eastAsiaTheme="majorEastAsia"/>
          <w:color w:val="auto"/>
          <w:sz w:val="24"/>
          <w:lang w:eastAsia="zh-CN"/>
        </w:rPr>
        <w:t>）吉</w:t>
      </w:r>
      <w:r>
        <w:rPr>
          <w:rFonts w:hint="eastAsia" w:asciiTheme="majorEastAsia" w:hAnsiTheme="majorEastAsia" w:eastAsiaTheme="majorEastAsia"/>
          <w:color w:val="auto"/>
          <w:sz w:val="24"/>
          <w:lang w:val="en-US" w:eastAsia="zh-CN"/>
        </w:rPr>
        <w:t>0402委评15号</w:t>
      </w:r>
      <w:r>
        <w:rPr>
          <w:rFonts w:hint="eastAsia" w:asciiTheme="majorEastAsia" w:hAnsiTheme="majorEastAsia" w:eastAsiaTheme="majorEastAsia"/>
          <w:color w:val="auto"/>
          <w:sz w:val="24"/>
          <w:lang w:eastAsia="zh-CN"/>
        </w:rPr>
        <w:t>）</w:t>
      </w:r>
      <w:r>
        <w:rPr>
          <w:rFonts w:hint="eastAsia" w:asciiTheme="majorEastAsia" w:hAnsiTheme="majorEastAsia" w:eastAsiaTheme="majorEastAsia"/>
          <w:color w:val="auto"/>
          <w:sz w:val="24"/>
          <w:szCs w:val="24"/>
        </w:rPr>
        <w:t>；</w:t>
      </w:r>
    </w:p>
    <w:p>
      <w:pPr>
        <w:numPr>
          <w:ilvl w:val="0"/>
          <w:numId w:val="4"/>
        </w:numPr>
        <w:tabs>
          <w:tab w:val="left" w:pos="-105"/>
          <w:tab w:val="clear" w:pos="720"/>
        </w:tabs>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司法鉴定人承诺书</w:t>
      </w:r>
      <w:r>
        <w:rPr>
          <w:rFonts w:hint="eastAsia" w:asciiTheme="majorEastAsia" w:hAnsiTheme="majorEastAsia" w:eastAsiaTheme="majorEastAsia"/>
          <w:color w:val="auto"/>
          <w:sz w:val="24"/>
          <w:szCs w:val="24"/>
          <w:lang w:eastAsia="zh-CN"/>
        </w:rPr>
        <w:t>；</w:t>
      </w:r>
    </w:p>
    <w:p>
      <w:pPr>
        <w:numPr>
          <w:ilvl w:val="0"/>
          <w:numId w:val="4"/>
        </w:numPr>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lang w:eastAsia="zh-CN"/>
        </w:rPr>
        <w:t>《不动产登记证明》；</w:t>
      </w:r>
    </w:p>
    <w:p>
      <w:pPr>
        <w:numPr>
          <w:ilvl w:val="0"/>
          <w:numId w:val="4"/>
        </w:numPr>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现场勘察照片；</w:t>
      </w:r>
    </w:p>
    <w:p>
      <w:pPr>
        <w:numPr>
          <w:ilvl w:val="0"/>
          <w:numId w:val="4"/>
        </w:numPr>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《资产评估师承诺函》；</w:t>
      </w:r>
    </w:p>
    <w:p>
      <w:pPr>
        <w:numPr>
          <w:ilvl w:val="0"/>
          <w:numId w:val="4"/>
        </w:numPr>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评估机构营业执照复印件；</w:t>
      </w:r>
    </w:p>
    <w:p>
      <w:pPr>
        <w:numPr>
          <w:ilvl w:val="0"/>
          <w:numId w:val="0"/>
        </w:numPr>
        <w:spacing w:line="460" w:lineRule="exact"/>
        <w:ind w:firstLine="720" w:firstLineChars="300"/>
        <w:jc w:val="left"/>
        <w:rPr>
          <w:rFonts w:asciiTheme="minorEastAsia" w:hAnsiTheme="minorEastAsia" w:eastAsiaTheme="minorEastAsia"/>
          <w:b/>
          <w:color w:val="auto"/>
          <w:sz w:val="24"/>
          <w:szCs w:val="24"/>
        </w:rPr>
      </w:pPr>
      <w:r>
        <w:rPr>
          <w:rFonts w:hint="eastAsia" w:asciiTheme="majorEastAsia" w:hAnsiTheme="majorEastAsia" w:eastAsiaTheme="majorEastAsia"/>
          <w:color w:val="auto"/>
          <w:sz w:val="24"/>
          <w:szCs w:val="24"/>
          <w:lang w:val="en-US" w:eastAsia="zh-CN"/>
        </w:rPr>
        <w:t>11、</w:t>
      </w:r>
      <w:r>
        <w:rPr>
          <w:rFonts w:hint="eastAsia" w:asciiTheme="majorEastAsia" w:hAnsiTheme="majorEastAsia" w:eastAsiaTheme="majorEastAsia"/>
          <w:color w:val="auto"/>
          <w:sz w:val="24"/>
          <w:szCs w:val="24"/>
        </w:rPr>
        <w:t>资产评估机构备案公告复印件；</w:t>
      </w:r>
    </w:p>
    <w:p>
      <w:pPr>
        <w:numPr>
          <w:ilvl w:val="0"/>
          <w:numId w:val="0"/>
        </w:numPr>
        <w:spacing w:line="460" w:lineRule="exact"/>
        <w:ind w:firstLine="720" w:firstLineChars="300"/>
        <w:jc w:val="left"/>
        <w:rPr>
          <w:rFonts w:asciiTheme="minorEastAsia" w:hAnsiTheme="minorEastAsia" w:eastAsiaTheme="minorEastAsia"/>
          <w:b/>
          <w:color w:val="auto"/>
          <w:sz w:val="24"/>
          <w:szCs w:val="24"/>
        </w:rPr>
      </w:pPr>
      <w:r>
        <w:rPr>
          <w:rFonts w:hint="eastAsia" w:asciiTheme="majorEastAsia" w:hAnsiTheme="majorEastAsia" w:eastAsiaTheme="majorEastAsia"/>
          <w:color w:val="auto"/>
          <w:sz w:val="24"/>
          <w:szCs w:val="24"/>
          <w:lang w:val="en-US" w:eastAsia="zh-CN"/>
        </w:rPr>
        <w:t>12、</w:t>
      </w:r>
      <w:r>
        <w:rPr>
          <w:rFonts w:hint="eastAsia" w:asciiTheme="majorEastAsia" w:hAnsiTheme="majorEastAsia" w:eastAsiaTheme="majorEastAsia"/>
          <w:color w:val="auto"/>
          <w:sz w:val="24"/>
          <w:szCs w:val="24"/>
        </w:rPr>
        <w:t>资产评估师资格证书复印件。</w:t>
      </w:r>
    </w:p>
    <w:sectPr>
      <w:headerReference r:id="rId3" w:type="default"/>
      <w:footerReference r:id="rId4" w:type="default"/>
      <w:pgSz w:w="11906" w:h="16838"/>
      <w:pgMar w:top="1687" w:right="1588" w:bottom="1291" w:left="1588" w:header="1021" w:footer="85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KaiTi_GB2312">
    <w:altName w:val="楷体"/>
    <w:panose1 w:val="02010609060101010101"/>
    <w:charset w:val="00"/>
    <w:family w:val="roman"/>
    <w:pitch w:val="default"/>
    <w:sig w:usb0="00000000" w:usb1="00000000" w:usb2="00000000" w:usb3="00000000" w:csb0="00000000" w:csb1="0000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Style w:val="14"/>
        <w:rFonts w:ascii="宋体" w:hAnsi="宋体"/>
        <w:sz w:val="18"/>
        <w:szCs w:val="18"/>
      </w:rPr>
    </w:pPr>
    <w:r>
      <w:rPr>
        <w:rFonts w:ascii="宋体" w:hAnsi="宋体"/>
        <w:sz w:val="18"/>
        <w:szCs w:val="18"/>
      </w:rPr>
      <w:pict>
        <v:line id="_x0000_s4097" o:spid="_x0000_s4097" o:spt="20" style="position:absolute;left:0pt;margin-left:0pt;margin-top:-2.25pt;height:0pt;width:435.75pt;z-index:251658240;mso-width-relative:page;mso-height-relative:page;" coordsize="21600,21600">
          <v:path arrowok="t"/>
          <v:fill focussize="0,0"/>
          <v:stroke/>
          <v:imagedata o:title=""/>
          <o:lock v:ext="edit"/>
        </v:line>
      </w:pict>
    </w:r>
    <w:r>
      <w:rPr>
        <w:rFonts w:hint="eastAsia" w:ascii="宋体" w:hAnsi="宋体"/>
        <w:sz w:val="18"/>
        <w:szCs w:val="18"/>
      </w:rPr>
      <w:t>辽源新安资产评估事务所（普通合伙）             　　　　　                       共</w:t>
    </w:r>
    <w:r>
      <w:rPr>
        <w:rFonts w:hint="eastAsia" w:ascii="宋体" w:hAnsi="宋体"/>
        <w:sz w:val="18"/>
        <w:szCs w:val="18"/>
      </w:rPr>
      <w:fldChar w:fldCharType="begin"/>
    </w:r>
    <w:r>
      <w:rPr>
        <w:rStyle w:val="14"/>
        <w:rFonts w:hint="eastAsia" w:ascii="宋体" w:hAnsi="宋体"/>
        <w:sz w:val="18"/>
        <w:szCs w:val="18"/>
      </w:rPr>
      <w:instrText xml:space="preserve"> NUMPAGES </w:instrText>
    </w:r>
    <w:r>
      <w:rPr>
        <w:rFonts w:hint="eastAsia" w:ascii="宋体" w:hAnsi="宋体"/>
        <w:sz w:val="18"/>
        <w:szCs w:val="18"/>
      </w:rPr>
      <w:fldChar w:fldCharType="separate"/>
    </w:r>
    <w:r>
      <w:rPr>
        <w:rStyle w:val="14"/>
        <w:rFonts w:ascii="宋体" w:hAnsi="宋体"/>
        <w:sz w:val="18"/>
        <w:szCs w:val="18"/>
      </w:rPr>
      <w:t>15</w:t>
    </w:r>
    <w:r>
      <w:rPr>
        <w:rFonts w:hint="eastAsia" w:ascii="宋体" w:hAnsi="宋体"/>
        <w:sz w:val="18"/>
        <w:szCs w:val="18"/>
      </w:rPr>
      <w:fldChar w:fldCharType="end"/>
    </w:r>
    <w:r>
      <w:rPr>
        <w:rStyle w:val="14"/>
        <w:rFonts w:hint="eastAsia" w:ascii="宋体" w:hAnsi="宋体"/>
        <w:sz w:val="18"/>
        <w:szCs w:val="18"/>
      </w:rPr>
      <w:t>页   第</w:t>
    </w:r>
    <w:r>
      <w:rPr>
        <w:rFonts w:hint="eastAsia" w:ascii="宋体" w:hAnsi="宋体"/>
        <w:sz w:val="18"/>
        <w:szCs w:val="18"/>
      </w:rPr>
      <w:fldChar w:fldCharType="begin"/>
    </w:r>
    <w:r>
      <w:rPr>
        <w:rStyle w:val="14"/>
        <w:rFonts w:hint="eastAsia" w:ascii="宋体" w:hAnsi="宋体"/>
        <w:sz w:val="18"/>
        <w:szCs w:val="18"/>
      </w:rPr>
      <w:instrText xml:space="preserve"> PAGE </w:instrText>
    </w:r>
    <w:r>
      <w:rPr>
        <w:rFonts w:hint="eastAsia" w:ascii="宋体" w:hAnsi="宋体"/>
        <w:sz w:val="18"/>
        <w:szCs w:val="18"/>
      </w:rPr>
      <w:fldChar w:fldCharType="separate"/>
    </w:r>
    <w:r>
      <w:rPr>
        <w:rStyle w:val="14"/>
        <w:rFonts w:ascii="宋体" w:hAnsi="宋体"/>
        <w:sz w:val="18"/>
        <w:szCs w:val="18"/>
      </w:rPr>
      <w:t>14</w:t>
    </w:r>
    <w:r>
      <w:rPr>
        <w:rFonts w:hint="eastAsia" w:ascii="宋体" w:hAnsi="宋体"/>
        <w:sz w:val="18"/>
        <w:szCs w:val="18"/>
      </w:rPr>
      <w:fldChar w:fldCharType="end"/>
    </w:r>
    <w:r>
      <w:rPr>
        <w:rStyle w:val="14"/>
        <w:rFonts w:hint="eastAsia" w:ascii="宋体" w:hAnsi="宋体"/>
        <w:sz w:val="18"/>
        <w:szCs w:val="18"/>
      </w:rPr>
      <w:t>页</w:t>
    </w:r>
  </w:p>
  <w:p>
    <w:pPr>
      <w:rPr>
        <w:rStyle w:val="14"/>
        <w:rFonts w:ascii="宋体" w:hAnsi="宋体"/>
        <w:sz w:val="18"/>
        <w:szCs w:val="18"/>
      </w:rPr>
    </w:pPr>
    <w:r>
      <w:rPr>
        <w:rStyle w:val="14"/>
        <w:rFonts w:hint="eastAsia" w:ascii="宋体" w:hAnsi="宋体"/>
        <w:sz w:val="18"/>
        <w:szCs w:val="18"/>
      </w:rPr>
      <w:t>地址：辽源市龙山区滨河南路金鼎水岸1号楼304室</w:t>
    </w:r>
  </w:p>
  <w:p>
    <w:pPr>
      <w:rPr>
        <w:rFonts w:ascii="宋体" w:hAnsi="宋体"/>
        <w:sz w:val="18"/>
        <w:szCs w:val="18"/>
      </w:rPr>
    </w:pPr>
    <w:r>
      <w:rPr>
        <w:rStyle w:val="14"/>
        <w:rFonts w:hint="eastAsia" w:ascii="宋体" w:hAnsi="宋体"/>
        <w:sz w:val="18"/>
        <w:szCs w:val="18"/>
      </w:rPr>
      <w:t>电话：0437-6109786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eastAsia"/>
        <w:color w:val="auto"/>
        <w:lang w:eastAsia="zh-CN"/>
      </w:rPr>
    </w:pPr>
  </w:p>
  <w:p>
    <w:pPr>
      <w:pStyle w:val="10"/>
      <w:jc w:val="both"/>
      <w:rPr>
        <w:rFonts w:hint="default" w:ascii="宋体" w:hAnsi="宋体"/>
        <w:color w:val="auto"/>
        <w:lang w:val="en-US" w:eastAsia="zh-CN"/>
      </w:rPr>
    </w:pPr>
    <w:r>
      <w:rPr>
        <w:rFonts w:hint="eastAsia"/>
        <w:color w:val="auto"/>
        <w:lang w:eastAsia="zh-CN"/>
      </w:rPr>
      <w:t>司法执行财产处置涉及的孟首怡、李萍共有住宅及商业房屋价值</w:t>
    </w:r>
    <w:r>
      <w:rPr>
        <w:rFonts w:hint="eastAsia"/>
        <w:color w:val="auto"/>
      </w:rPr>
      <w:t xml:space="preserve">资产评估项目        </w:t>
    </w:r>
    <w:r>
      <w:rPr>
        <w:rFonts w:hint="eastAsia"/>
        <w:color w:val="auto"/>
        <w:lang w:val="en-US" w:eastAsia="zh-CN"/>
      </w:rPr>
      <w:t xml:space="preserve">    </w:t>
    </w:r>
    <w:r>
      <w:rPr>
        <w:rFonts w:hint="eastAsia"/>
        <w:color w:val="auto"/>
      </w:rPr>
      <w:t xml:space="preserve">    </w:t>
    </w:r>
    <w:r>
      <w:rPr>
        <w:rFonts w:hint="eastAsia" w:ascii="宋体" w:hAnsi="宋体"/>
        <w:color w:val="auto"/>
      </w:rPr>
      <w:t>№（202</w:t>
    </w:r>
    <w:r>
      <w:rPr>
        <w:rFonts w:hint="eastAsia" w:ascii="宋体" w:hAnsi="宋体"/>
        <w:color w:val="auto"/>
        <w:lang w:val="en-US" w:eastAsia="zh-CN"/>
      </w:rPr>
      <w:t>1</w:t>
    </w:r>
    <w:r>
      <w:rPr>
        <w:rFonts w:hint="eastAsia" w:ascii="宋体" w:hAnsi="宋体"/>
        <w:color w:val="auto"/>
      </w:rPr>
      <w:t>）</w:t>
    </w:r>
    <w:r>
      <w:rPr>
        <w:rFonts w:hint="eastAsia" w:ascii="宋体" w:hAnsi="宋体"/>
        <w:color w:val="auto"/>
        <w:lang w:val="en-US" w:eastAsia="zh-CN"/>
      </w:rPr>
      <w:t>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40AD3F"/>
    <w:multiLevelType w:val="singleLevel"/>
    <w:tmpl w:val="A640AD3F"/>
    <w:lvl w:ilvl="0" w:tentative="0">
      <w:start w:val="2"/>
      <w:numFmt w:val="decimal"/>
      <w:suff w:val="nothing"/>
      <w:lvlText w:val="%1、"/>
      <w:lvlJc w:val="left"/>
    </w:lvl>
  </w:abstractNum>
  <w:abstractNum w:abstractNumId="1">
    <w:nsid w:val="F07F6307"/>
    <w:multiLevelType w:val="singleLevel"/>
    <w:tmpl w:val="F07F6307"/>
    <w:lvl w:ilvl="0" w:tentative="0">
      <w:start w:val="1"/>
      <w:numFmt w:val="decimal"/>
      <w:suff w:val="nothing"/>
      <w:lvlText w:val="%1、"/>
      <w:lvlJc w:val="left"/>
    </w:lvl>
  </w:abstractNum>
  <w:abstractNum w:abstractNumId="2">
    <w:nsid w:val="4E9D1A8A"/>
    <w:multiLevelType w:val="multilevel"/>
    <w:tmpl w:val="4E9D1A8A"/>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F533D35"/>
    <w:multiLevelType w:val="multilevel"/>
    <w:tmpl w:val="5F533D35"/>
    <w:lvl w:ilvl="0" w:tentative="0">
      <w:start w:val="1"/>
      <w:numFmt w:val="japaneseCount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7EF"/>
    <w:rsid w:val="0000583B"/>
    <w:rsid w:val="00006A72"/>
    <w:rsid w:val="000131EF"/>
    <w:rsid w:val="00015C00"/>
    <w:rsid w:val="00016FB6"/>
    <w:rsid w:val="00021A3E"/>
    <w:rsid w:val="0002762C"/>
    <w:rsid w:val="000301F2"/>
    <w:rsid w:val="00033425"/>
    <w:rsid w:val="00034B2A"/>
    <w:rsid w:val="000351B6"/>
    <w:rsid w:val="00035657"/>
    <w:rsid w:val="00035F72"/>
    <w:rsid w:val="00036BDD"/>
    <w:rsid w:val="00037000"/>
    <w:rsid w:val="000372FA"/>
    <w:rsid w:val="000376A6"/>
    <w:rsid w:val="00040B9F"/>
    <w:rsid w:val="0004205C"/>
    <w:rsid w:val="00045DCC"/>
    <w:rsid w:val="00051617"/>
    <w:rsid w:val="00055ED1"/>
    <w:rsid w:val="00056A63"/>
    <w:rsid w:val="00060650"/>
    <w:rsid w:val="00060A94"/>
    <w:rsid w:val="000616C4"/>
    <w:rsid w:val="000623BB"/>
    <w:rsid w:val="00062732"/>
    <w:rsid w:val="00071F1A"/>
    <w:rsid w:val="00075DAA"/>
    <w:rsid w:val="00080BEE"/>
    <w:rsid w:val="00083D2C"/>
    <w:rsid w:val="000847EE"/>
    <w:rsid w:val="00086D6A"/>
    <w:rsid w:val="00091082"/>
    <w:rsid w:val="00091563"/>
    <w:rsid w:val="000953D2"/>
    <w:rsid w:val="000A1154"/>
    <w:rsid w:val="000A3A45"/>
    <w:rsid w:val="000B1D85"/>
    <w:rsid w:val="000B1EAA"/>
    <w:rsid w:val="000B294F"/>
    <w:rsid w:val="000C3BCC"/>
    <w:rsid w:val="000C4ACF"/>
    <w:rsid w:val="000C526C"/>
    <w:rsid w:val="000C5D3D"/>
    <w:rsid w:val="000D0323"/>
    <w:rsid w:val="000D23E8"/>
    <w:rsid w:val="000D49AA"/>
    <w:rsid w:val="000E11CE"/>
    <w:rsid w:val="000E77E7"/>
    <w:rsid w:val="000F1123"/>
    <w:rsid w:val="000F356A"/>
    <w:rsid w:val="000F508F"/>
    <w:rsid w:val="00100D13"/>
    <w:rsid w:val="001018DE"/>
    <w:rsid w:val="00106D69"/>
    <w:rsid w:val="001109F4"/>
    <w:rsid w:val="0011111D"/>
    <w:rsid w:val="00112773"/>
    <w:rsid w:val="0011358E"/>
    <w:rsid w:val="00117BB0"/>
    <w:rsid w:val="00124516"/>
    <w:rsid w:val="00126113"/>
    <w:rsid w:val="00127359"/>
    <w:rsid w:val="00135BD5"/>
    <w:rsid w:val="001511FD"/>
    <w:rsid w:val="0015282D"/>
    <w:rsid w:val="001538C2"/>
    <w:rsid w:val="00162274"/>
    <w:rsid w:val="00163BC5"/>
    <w:rsid w:val="00172A27"/>
    <w:rsid w:val="00173A3F"/>
    <w:rsid w:val="00182599"/>
    <w:rsid w:val="00186601"/>
    <w:rsid w:val="00194C2B"/>
    <w:rsid w:val="00195E1A"/>
    <w:rsid w:val="001A19B5"/>
    <w:rsid w:val="001A7159"/>
    <w:rsid w:val="001B2755"/>
    <w:rsid w:val="001B2A25"/>
    <w:rsid w:val="001B40F1"/>
    <w:rsid w:val="001B42D0"/>
    <w:rsid w:val="001B698B"/>
    <w:rsid w:val="001C0FE8"/>
    <w:rsid w:val="001D294B"/>
    <w:rsid w:val="001D2EFC"/>
    <w:rsid w:val="001E70AE"/>
    <w:rsid w:val="001F0948"/>
    <w:rsid w:val="001F1663"/>
    <w:rsid w:val="001F1C5C"/>
    <w:rsid w:val="001F20F5"/>
    <w:rsid w:val="00200211"/>
    <w:rsid w:val="0020142D"/>
    <w:rsid w:val="00202718"/>
    <w:rsid w:val="002030C3"/>
    <w:rsid w:val="002060F8"/>
    <w:rsid w:val="0020743E"/>
    <w:rsid w:val="002105B7"/>
    <w:rsid w:val="002148DA"/>
    <w:rsid w:val="0021571B"/>
    <w:rsid w:val="00220C5E"/>
    <w:rsid w:val="00221D2B"/>
    <w:rsid w:val="002237CE"/>
    <w:rsid w:val="002251FA"/>
    <w:rsid w:val="00225677"/>
    <w:rsid w:val="002260E5"/>
    <w:rsid w:val="002336BF"/>
    <w:rsid w:val="0023457D"/>
    <w:rsid w:val="00234CDF"/>
    <w:rsid w:val="002367BA"/>
    <w:rsid w:val="00237F28"/>
    <w:rsid w:val="00253F25"/>
    <w:rsid w:val="002548A4"/>
    <w:rsid w:val="002553F8"/>
    <w:rsid w:val="0026215A"/>
    <w:rsid w:val="00264293"/>
    <w:rsid w:val="00264DB8"/>
    <w:rsid w:val="00266949"/>
    <w:rsid w:val="00272874"/>
    <w:rsid w:val="00274931"/>
    <w:rsid w:val="00275796"/>
    <w:rsid w:val="00275864"/>
    <w:rsid w:val="002766E0"/>
    <w:rsid w:val="00276C3A"/>
    <w:rsid w:val="002803BD"/>
    <w:rsid w:val="002807AF"/>
    <w:rsid w:val="00285A1E"/>
    <w:rsid w:val="002A179C"/>
    <w:rsid w:val="002B00BE"/>
    <w:rsid w:val="002B2281"/>
    <w:rsid w:val="002B4840"/>
    <w:rsid w:val="002B5C17"/>
    <w:rsid w:val="002C078D"/>
    <w:rsid w:val="002C27F5"/>
    <w:rsid w:val="002C4FE6"/>
    <w:rsid w:val="002D1A13"/>
    <w:rsid w:val="002D37E4"/>
    <w:rsid w:val="002D3D15"/>
    <w:rsid w:val="002D5842"/>
    <w:rsid w:val="002D68C6"/>
    <w:rsid w:val="002E4182"/>
    <w:rsid w:val="002E6583"/>
    <w:rsid w:val="002F2450"/>
    <w:rsid w:val="00301918"/>
    <w:rsid w:val="00303A2A"/>
    <w:rsid w:val="00307CA6"/>
    <w:rsid w:val="0031462F"/>
    <w:rsid w:val="00317353"/>
    <w:rsid w:val="0032019D"/>
    <w:rsid w:val="003262ED"/>
    <w:rsid w:val="00326BD9"/>
    <w:rsid w:val="00330EA8"/>
    <w:rsid w:val="003310C9"/>
    <w:rsid w:val="00334197"/>
    <w:rsid w:val="00335324"/>
    <w:rsid w:val="00336E4D"/>
    <w:rsid w:val="00336FFB"/>
    <w:rsid w:val="00342F96"/>
    <w:rsid w:val="00345004"/>
    <w:rsid w:val="00346483"/>
    <w:rsid w:val="0035291E"/>
    <w:rsid w:val="00353C4B"/>
    <w:rsid w:val="00356703"/>
    <w:rsid w:val="003625B4"/>
    <w:rsid w:val="0038049F"/>
    <w:rsid w:val="003808BB"/>
    <w:rsid w:val="00381CB7"/>
    <w:rsid w:val="00387AE3"/>
    <w:rsid w:val="0039068E"/>
    <w:rsid w:val="00390DC5"/>
    <w:rsid w:val="003B13EA"/>
    <w:rsid w:val="003B70B5"/>
    <w:rsid w:val="003C38A8"/>
    <w:rsid w:val="003D0803"/>
    <w:rsid w:val="003D6D12"/>
    <w:rsid w:val="003E1C78"/>
    <w:rsid w:val="004000FB"/>
    <w:rsid w:val="00401EAF"/>
    <w:rsid w:val="004025C7"/>
    <w:rsid w:val="00407207"/>
    <w:rsid w:val="00412D09"/>
    <w:rsid w:val="004226C9"/>
    <w:rsid w:val="004240D7"/>
    <w:rsid w:val="004313AF"/>
    <w:rsid w:val="00433739"/>
    <w:rsid w:val="00436116"/>
    <w:rsid w:val="004415F6"/>
    <w:rsid w:val="004427D5"/>
    <w:rsid w:val="00443C74"/>
    <w:rsid w:val="00453AF9"/>
    <w:rsid w:val="004557A0"/>
    <w:rsid w:val="004611BF"/>
    <w:rsid w:val="0047251B"/>
    <w:rsid w:val="0047361B"/>
    <w:rsid w:val="004740AA"/>
    <w:rsid w:val="004832A3"/>
    <w:rsid w:val="00484472"/>
    <w:rsid w:val="004A1372"/>
    <w:rsid w:val="004B1DCB"/>
    <w:rsid w:val="004B1E22"/>
    <w:rsid w:val="004B611D"/>
    <w:rsid w:val="004B7386"/>
    <w:rsid w:val="004E0231"/>
    <w:rsid w:val="004E63AE"/>
    <w:rsid w:val="004F4557"/>
    <w:rsid w:val="004F5B89"/>
    <w:rsid w:val="0051071F"/>
    <w:rsid w:val="0051080E"/>
    <w:rsid w:val="00512B63"/>
    <w:rsid w:val="00513F8F"/>
    <w:rsid w:val="00515845"/>
    <w:rsid w:val="00515C7F"/>
    <w:rsid w:val="00531A5C"/>
    <w:rsid w:val="005357FE"/>
    <w:rsid w:val="00540B7C"/>
    <w:rsid w:val="005415FD"/>
    <w:rsid w:val="005506E0"/>
    <w:rsid w:val="0056146F"/>
    <w:rsid w:val="005673DE"/>
    <w:rsid w:val="00567B3F"/>
    <w:rsid w:val="00570C79"/>
    <w:rsid w:val="00570EB6"/>
    <w:rsid w:val="00572945"/>
    <w:rsid w:val="005743CA"/>
    <w:rsid w:val="00580A2E"/>
    <w:rsid w:val="00583D67"/>
    <w:rsid w:val="0058785C"/>
    <w:rsid w:val="00591019"/>
    <w:rsid w:val="00595618"/>
    <w:rsid w:val="005A061E"/>
    <w:rsid w:val="005A6AC0"/>
    <w:rsid w:val="005B2C23"/>
    <w:rsid w:val="005B2C4D"/>
    <w:rsid w:val="005B38B2"/>
    <w:rsid w:val="005B41F7"/>
    <w:rsid w:val="005B6D91"/>
    <w:rsid w:val="005C07FF"/>
    <w:rsid w:val="005C1007"/>
    <w:rsid w:val="005C4D87"/>
    <w:rsid w:val="005D02FD"/>
    <w:rsid w:val="005D4735"/>
    <w:rsid w:val="005D4C19"/>
    <w:rsid w:val="005E0521"/>
    <w:rsid w:val="005E2F03"/>
    <w:rsid w:val="005F37C4"/>
    <w:rsid w:val="00602F57"/>
    <w:rsid w:val="006115CC"/>
    <w:rsid w:val="00613833"/>
    <w:rsid w:val="00615C1E"/>
    <w:rsid w:val="00622BB4"/>
    <w:rsid w:val="00623124"/>
    <w:rsid w:val="0063204D"/>
    <w:rsid w:val="00652EC6"/>
    <w:rsid w:val="00654E7E"/>
    <w:rsid w:val="00654F23"/>
    <w:rsid w:val="0066268B"/>
    <w:rsid w:val="00663A58"/>
    <w:rsid w:val="0067143E"/>
    <w:rsid w:val="00676BE3"/>
    <w:rsid w:val="00676DD8"/>
    <w:rsid w:val="00677ED8"/>
    <w:rsid w:val="00686F2B"/>
    <w:rsid w:val="0069666F"/>
    <w:rsid w:val="006A4B73"/>
    <w:rsid w:val="006B5932"/>
    <w:rsid w:val="006B7C73"/>
    <w:rsid w:val="006C1036"/>
    <w:rsid w:val="006C1EC7"/>
    <w:rsid w:val="006D3D61"/>
    <w:rsid w:val="006E35AC"/>
    <w:rsid w:val="006F01E2"/>
    <w:rsid w:val="006F1AA7"/>
    <w:rsid w:val="007016EA"/>
    <w:rsid w:val="00704511"/>
    <w:rsid w:val="00706530"/>
    <w:rsid w:val="0070766B"/>
    <w:rsid w:val="00711903"/>
    <w:rsid w:val="00714929"/>
    <w:rsid w:val="007156D3"/>
    <w:rsid w:val="00717ECE"/>
    <w:rsid w:val="00721820"/>
    <w:rsid w:val="00722D0D"/>
    <w:rsid w:val="0072576E"/>
    <w:rsid w:val="0073571E"/>
    <w:rsid w:val="00735916"/>
    <w:rsid w:val="00744AC5"/>
    <w:rsid w:val="0074575A"/>
    <w:rsid w:val="00745C80"/>
    <w:rsid w:val="007531F9"/>
    <w:rsid w:val="00754C94"/>
    <w:rsid w:val="00756289"/>
    <w:rsid w:val="00764247"/>
    <w:rsid w:val="007805F1"/>
    <w:rsid w:val="007830BB"/>
    <w:rsid w:val="007928B3"/>
    <w:rsid w:val="00795259"/>
    <w:rsid w:val="0079648B"/>
    <w:rsid w:val="00797BA5"/>
    <w:rsid w:val="007A0A08"/>
    <w:rsid w:val="007A17D4"/>
    <w:rsid w:val="007A4D6C"/>
    <w:rsid w:val="007A5A24"/>
    <w:rsid w:val="007A7239"/>
    <w:rsid w:val="007B2C48"/>
    <w:rsid w:val="007B33E8"/>
    <w:rsid w:val="007C2052"/>
    <w:rsid w:val="007D1013"/>
    <w:rsid w:val="007D181E"/>
    <w:rsid w:val="007D27CF"/>
    <w:rsid w:val="007D78E9"/>
    <w:rsid w:val="007E486E"/>
    <w:rsid w:val="007E5594"/>
    <w:rsid w:val="007E6556"/>
    <w:rsid w:val="007F38E2"/>
    <w:rsid w:val="007F59C7"/>
    <w:rsid w:val="00801CA5"/>
    <w:rsid w:val="00805BB0"/>
    <w:rsid w:val="00810ADE"/>
    <w:rsid w:val="00810BE5"/>
    <w:rsid w:val="00811C50"/>
    <w:rsid w:val="00813913"/>
    <w:rsid w:val="0082225C"/>
    <w:rsid w:val="008326BB"/>
    <w:rsid w:val="00836948"/>
    <w:rsid w:val="008455CA"/>
    <w:rsid w:val="00852845"/>
    <w:rsid w:val="008539AB"/>
    <w:rsid w:val="008578AD"/>
    <w:rsid w:val="00864B67"/>
    <w:rsid w:val="0086641E"/>
    <w:rsid w:val="00871B0B"/>
    <w:rsid w:val="00873006"/>
    <w:rsid w:val="00874C7C"/>
    <w:rsid w:val="00874F0E"/>
    <w:rsid w:val="00877618"/>
    <w:rsid w:val="00880EC0"/>
    <w:rsid w:val="008873F6"/>
    <w:rsid w:val="008979A6"/>
    <w:rsid w:val="00897C44"/>
    <w:rsid w:val="008A2B00"/>
    <w:rsid w:val="008A4BD6"/>
    <w:rsid w:val="008B09C6"/>
    <w:rsid w:val="008B2770"/>
    <w:rsid w:val="008B53C1"/>
    <w:rsid w:val="008D00AF"/>
    <w:rsid w:val="008D3AC2"/>
    <w:rsid w:val="008D5C75"/>
    <w:rsid w:val="008D7BB9"/>
    <w:rsid w:val="008E141D"/>
    <w:rsid w:val="008E286E"/>
    <w:rsid w:val="008E2A83"/>
    <w:rsid w:val="008E50A4"/>
    <w:rsid w:val="008E6A90"/>
    <w:rsid w:val="008F08EE"/>
    <w:rsid w:val="00900A86"/>
    <w:rsid w:val="00904691"/>
    <w:rsid w:val="009052EE"/>
    <w:rsid w:val="0090572F"/>
    <w:rsid w:val="00911B59"/>
    <w:rsid w:val="00915FBE"/>
    <w:rsid w:val="00922E0C"/>
    <w:rsid w:val="00924265"/>
    <w:rsid w:val="009343EC"/>
    <w:rsid w:val="0093685E"/>
    <w:rsid w:val="009430D2"/>
    <w:rsid w:val="00951000"/>
    <w:rsid w:val="009514D7"/>
    <w:rsid w:val="00961FA9"/>
    <w:rsid w:val="00962880"/>
    <w:rsid w:val="0096398E"/>
    <w:rsid w:val="00965971"/>
    <w:rsid w:val="00970483"/>
    <w:rsid w:val="00974A4F"/>
    <w:rsid w:val="00991465"/>
    <w:rsid w:val="00992C05"/>
    <w:rsid w:val="009A5EC2"/>
    <w:rsid w:val="009A68D3"/>
    <w:rsid w:val="009B0FEC"/>
    <w:rsid w:val="009C41B4"/>
    <w:rsid w:val="009C59BD"/>
    <w:rsid w:val="009C6A4B"/>
    <w:rsid w:val="009D05D6"/>
    <w:rsid w:val="009D25F4"/>
    <w:rsid w:val="009D337A"/>
    <w:rsid w:val="009E47C8"/>
    <w:rsid w:val="009E584D"/>
    <w:rsid w:val="009E6BE0"/>
    <w:rsid w:val="009F055F"/>
    <w:rsid w:val="00A002C5"/>
    <w:rsid w:val="00A00BE5"/>
    <w:rsid w:val="00A044E0"/>
    <w:rsid w:val="00A05B65"/>
    <w:rsid w:val="00A05C10"/>
    <w:rsid w:val="00A15FB6"/>
    <w:rsid w:val="00A21F7F"/>
    <w:rsid w:val="00A22C64"/>
    <w:rsid w:val="00A26B0A"/>
    <w:rsid w:val="00A34437"/>
    <w:rsid w:val="00A4599D"/>
    <w:rsid w:val="00A57371"/>
    <w:rsid w:val="00A60571"/>
    <w:rsid w:val="00A738A1"/>
    <w:rsid w:val="00A802DC"/>
    <w:rsid w:val="00A80549"/>
    <w:rsid w:val="00A8328E"/>
    <w:rsid w:val="00AA4F16"/>
    <w:rsid w:val="00AA7A4F"/>
    <w:rsid w:val="00AB31E4"/>
    <w:rsid w:val="00AB5D17"/>
    <w:rsid w:val="00AC7E97"/>
    <w:rsid w:val="00AD0111"/>
    <w:rsid w:val="00AE0C73"/>
    <w:rsid w:val="00AE1DBC"/>
    <w:rsid w:val="00AE6F39"/>
    <w:rsid w:val="00AE7CA6"/>
    <w:rsid w:val="00AF45EE"/>
    <w:rsid w:val="00AF57BF"/>
    <w:rsid w:val="00AF5FC0"/>
    <w:rsid w:val="00AF7181"/>
    <w:rsid w:val="00B01BEA"/>
    <w:rsid w:val="00B02E99"/>
    <w:rsid w:val="00B03E67"/>
    <w:rsid w:val="00B0695D"/>
    <w:rsid w:val="00B06BAE"/>
    <w:rsid w:val="00B14C79"/>
    <w:rsid w:val="00B235C0"/>
    <w:rsid w:val="00B25DF9"/>
    <w:rsid w:val="00B338C3"/>
    <w:rsid w:val="00B34D88"/>
    <w:rsid w:val="00B40D8B"/>
    <w:rsid w:val="00B462DF"/>
    <w:rsid w:val="00B47D47"/>
    <w:rsid w:val="00B611BF"/>
    <w:rsid w:val="00B76D3A"/>
    <w:rsid w:val="00B81DD6"/>
    <w:rsid w:val="00B825AB"/>
    <w:rsid w:val="00B847C2"/>
    <w:rsid w:val="00B857E2"/>
    <w:rsid w:val="00B85CD2"/>
    <w:rsid w:val="00BA35B3"/>
    <w:rsid w:val="00BA64E5"/>
    <w:rsid w:val="00BB07FF"/>
    <w:rsid w:val="00BB25D8"/>
    <w:rsid w:val="00BB301D"/>
    <w:rsid w:val="00BB5163"/>
    <w:rsid w:val="00BB65E0"/>
    <w:rsid w:val="00BC09EE"/>
    <w:rsid w:val="00BC35D2"/>
    <w:rsid w:val="00BE4CF2"/>
    <w:rsid w:val="00BE6ACF"/>
    <w:rsid w:val="00BF23F5"/>
    <w:rsid w:val="00BF39D1"/>
    <w:rsid w:val="00BF7094"/>
    <w:rsid w:val="00C000A0"/>
    <w:rsid w:val="00C031F6"/>
    <w:rsid w:val="00C05CB4"/>
    <w:rsid w:val="00C05D81"/>
    <w:rsid w:val="00C07108"/>
    <w:rsid w:val="00C15F7C"/>
    <w:rsid w:val="00C17F4C"/>
    <w:rsid w:val="00C20538"/>
    <w:rsid w:val="00C24D5C"/>
    <w:rsid w:val="00C336A2"/>
    <w:rsid w:val="00C35B91"/>
    <w:rsid w:val="00C35F79"/>
    <w:rsid w:val="00C40927"/>
    <w:rsid w:val="00C62DAF"/>
    <w:rsid w:val="00C67D01"/>
    <w:rsid w:val="00C7143B"/>
    <w:rsid w:val="00C748A2"/>
    <w:rsid w:val="00C8130A"/>
    <w:rsid w:val="00C933ED"/>
    <w:rsid w:val="00CA202E"/>
    <w:rsid w:val="00CA360F"/>
    <w:rsid w:val="00CA57D7"/>
    <w:rsid w:val="00CB456F"/>
    <w:rsid w:val="00CC37F0"/>
    <w:rsid w:val="00CC48CA"/>
    <w:rsid w:val="00CD3EE8"/>
    <w:rsid w:val="00CD5D92"/>
    <w:rsid w:val="00CE0620"/>
    <w:rsid w:val="00CE2D7C"/>
    <w:rsid w:val="00CF02FB"/>
    <w:rsid w:val="00CF1075"/>
    <w:rsid w:val="00CF633B"/>
    <w:rsid w:val="00CF7616"/>
    <w:rsid w:val="00D009E6"/>
    <w:rsid w:val="00D00C24"/>
    <w:rsid w:val="00D01FB2"/>
    <w:rsid w:val="00D072B0"/>
    <w:rsid w:val="00D137E4"/>
    <w:rsid w:val="00D1686C"/>
    <w:rsid w:val="00D2210C"/>
    <w:rsid w:val="00D246B2"/>
    <w:rsid w:val="00D25413"/>
    <w:rsid w:val="00D30808"/>
    <w:rsid w:val="00D31AC2"/>
    <w:rsid w:val="00D32779"/>
    <w:rsid w:val="00D32FB6"/>
    <w:rsid w:val="00D33059"/>
    <w:rsid w:val="00D335F0"/>
    <w:rsid w:val="00D35038"/>
    <w:rsid w:val="00D44C18"/>
    <w:rsid w:val="00D47636"/>
    <w:rsid w:val="00D542F5"/>
    <w:rsid w:val="00D608B7"/>
    <w:rsid w:val="00D67A8B"/>
    <w:rsid w:val="00D706C4"/>
    <w:rsid w:val="00D70D50"/>
    <w:rsid w:val="00D73272"/>
    <w:rsid w:val="00D74EF0"/>
    <w:rsid w:val="00D75152"/>
    <w:rsid w:val="00D76F02"/>
    <w:rsid w:val="00D773C2"/>
    <w:rsid w:val="00D85C94"/>
    <w:rsid w:val="00D922C8"/>
    <w:rsid w:val="00D9278A"/>
    <w:rsid w:val="00D938C3"/>
    <w:rsid w:val="00D94286"/>
    <w:rsid w:val="00DA0A70"/>
    <w:rsid w:val="00DB02C3"/>
    <w:rsid w:val="00DB0870"/>
    <w:rsid w:val="00DB0FAB"/>
    <w:rsid w:val="00DB2805"/>
    <w:rsid w:val="00DB3CA9"/>
    <w:rsid w:val="00DB40B0"/>
    <w:rsid w:val="00DB59A1"/>
    <w:rsid w:val="00DC299B"/>
    <w:rsid w:val="00DD01DD"/>
    <w:rsid w:val="00DD51DF"/>
    <w:rsid w:val="00DD5B1F"/>
    <w:rsid w:val="00DE184B"/>
    <w:rsid w:val="00DE1D06"/>
    <w:rsid w:val="00DE580C"/>
    <w:rsid w:val="00DF16F8"/>
    <w:rsid w:val="00DF1F0B"/>
    <w:rsid w:val="00E06FC6"/>
    <w:rsid w:val="00E07620"/>
    <w:rsid w:val="00E148AA"/>
    <w:rsid w:val="00E15CB6"/>
    <w:rsid w:val="00E247D3"/>
    <w:rsid w:val="00E25F84"/>
    <w:rsid w:val="00E30970"/>
    <w:rsid w:val="00E358F8"/>
    <w:rsid w:val="00E40F10"/>
    <w:rsid w:val="00E571C8"/>
    <w:rsid w:val="00E6576E"/>
    <w:rsid w:val="00E65F83"/>
    <w:rsid w:val="00E6662A"/>
    <w:rsid w:val="00E71FEF"/>
    <w:rsid w:val="00E7290F"/>
    <w:rsid w:val="00E74425"/>
    <w:rsid w:val="00E74ED9"/>
    <w:rsid w:val="00E7592A"/>
    <w:rsid w:val="00E8413D"/>
    <w:rsid w:val="00E84BEB"/>
    <w:rsid w:val="00E85017"/>
    <w:rsid w:val="00E8534D"/>
    <w:rsid w:val="00E926E0"/>
    <w:rsid w:val="00E92ECA"/>
    <w:rsid w:val="00E965BE"/>
    <w:rsid w:val="00EA1175"/>
    <w:rsid w:val="00EA3462"/>
    <w:rsid w:val="00EA5D89"/>
    <w:rsid w:val="00EA5EBA"/>
    <w:rsid w:val="00EB1EB4"/>
    <w:rsid w:val="00EB2793"/>
    <w:rsid w:val="00EB3C75"/>
    <w:rsid w:val="00EB4389"/>
    <w:rsid w:val="00EB4A94"/>
    <w:rsid w:val="00EC431B"/>
    <w:rsid w:val="00EC45E2"/>
    <w:rsid w:val="00EC607D"/>
    <w:rsid w:val="00EC76BF"/>
    <w:rsid w:val="00ED1763"/>
    <w:rsid w:val="00ED70E2"/>
    <w:rsid w:val="00ED71D2"/>
    <w:rsid w:val="00EE1069"/>
    <w:rsid w:val="00EE63EB"/>
    <w:rsid w:val="00EF1DCC"/>
    <w:rsid w:val="00EF2B5B"/>
    <w:rsid w:val="00EF4A12"/>
    <w:rsid w:val="00EF6088"/>
    <w:rsid w:val="00EF677D"/>
    <w:rsid w:val="00F05704"/>
    <w:rsid w:val="00F059EE"/>
    <w:rsid w:val="00F0685D"/>
    <w:rsid w:val="00F12804"/>
    <w:rsid w:val="00F1447C"/>
    <w:rsid w:val="00F374C1"/>
    <w:rsid w:val="00F37714"/>
    <w:rsid w:val="00F42286"/>
    <w:rsid w:val="00F430F1"/>
    <w:rsid w:val="00F47DC0"/>
    <w:rsid w:val="00F5176A"/>
    <w:rsid w:val="00F55124"/>
    <w:rsid w:val="00F61057"/>
    <w:rsid w:val="00F63CA0"/>
    <w:rsid w:val="00F65F40"/>
    <w:rsid w:val="00F661FA"/>
    <w:rsid w:val="00F71F0D"/>
    <w:rsid w:val="00F75A2F"/>
    <w:rsid w:val="00F764FD"/>
    <w:rsid w:val="00F77F1D"/>
    <w:rsid w:val="00F800D1"/>
    <w:rsid w:val="00F809C4"/>
    <w:rsid w:val="00F83698"/>
    <w:rsid w:val="00F85C7A"/>
    <w:rsid w:val="00F87D82"/>
    <w:rsid w:val="00F9040E"/>
    <w:rsid w:val="00F91F00"/>
    <w:rsid w:val="00F9394D"/>
    <w:rsid w:val="00F93E1F"/>
    <w:rsid w:val="00F97119"/>
    <w:rsid w:val="00F9790A"/>
    <w:rsid w:val="00FA0520"/>
    <w:rsid w:val="00FA0DE6"/>
    <w:rsid w:val="00FA485A"/>
    <w:rsid w:val="00FA569C"/>
    <w:rsid w:val="00FB0E67"/>
    <w:rsid w:val="00FB2C50"/>
    <w:rsid w:val="00FC27E3"/>
    <w:rsid w:val="00FC79F1"/>
    <w:rsid w:val="00FD326C"/>
    <w:rsid w:val="00FD575C"/>
    <w:rsid w:val="00FD62F9"/>
    <w:rsid w:val="00FE08B2"/>
    <w:rsid w:val="00FE0D8E"/>
    <w:rsid w:val="00FE5723"/>
    <w:rsid w:val="00FE6454"/>
    <w:rsid w:val="00FF28B9"/>
    <w:rsid w:val="00FF3F13"/>
    <w:rsid w:val="00FF4098"/>
    <w:rsid w:val="012E30A7"/>
    <w:rsid w:val="04655367"/>
    <w:rsid w:val="077C0347"/>
    <w:rsid w:val="081707C0"/>
    <w:rsid w:val="0B3F2777"/>
    <w:rsid w:val="0B95046C"/>
    <w:rsid w:val="0E93743E"/>
    <w:rsid w:val="0EAD260C"/>
    <w:rsid w:val="10051476"/>
    <w:rsid w:val="11D521F3"/>
    <w:rsid w:val="1284130D"/>
    <w:rsid w:val="140D7098"/>
    <w:rsid w:val="17577D85"/>
    <w:rsid w:val="199064DE"/>
    <w:rsid w:val="19DA3B46"/>
    <w:rsid w:val="19FB1CC7"/>
    <w:rsid w:val="1BD05FED"/>
    <w:rsid w:val="1C52796B"/>
    <w:rsid w:val="21DE2C3B"/>
    <w:rsid w:val="23641FD0"/>
    <w:rsid w:val="27787FE6"/>
    <w:rsid w:val="27993A44"/>
    <w:rsid w:val="27C56002"/>
    <w:rsid w:val="284265BA"/>
    <w:rsid w:val="2A9C194A"/>
    <w:rsid w:val="2EF8513F"/>
    <w:rsid w:val="2F7F426B"/>
    <w:rsid w:val="2F8958A8"/>
    <w:rsid w:val="2FDB4BF3"/>
    <w:rsid w:val="34640917"/>
    <w:rsid w:val="367748D6"/>
    <w:rsid w:val="3885683C"/>
    <w:rsid w:val="3B9F7003"/>
    <w:rsid w:val="3D1D4695"/>
    <w:rsid w:val="3D6C3511"/>
    <w:rsid w:val="3E88253B"/>
    <w:rsid w:val="3EB67529"/>
    <w:rsid w:val="3F021E52"/>
    <w:rsid w:val="4008455C"/>
    <w:rsid w:val="41CB45A5"/>
    <w:rsid w:val="43695CA4"/>
    <w:rsid w:val="43BC55C8"/>
    <w:rsid w:val="44631F28"/>
    <w:rsid w:val="44697A5E"/>
    <w:rsid w:val="455A725B"/>
    <w:rsid w:val="48476725"/>
    <w:rsid w:val="484B1AF0"/>
    <w:rsid w:val="4B0E5F1D"/>
    <w:rsid w:val="4B937348"/>
    <w:rsid w:val="4C3D6697"/>
    <w:rsid w:val="52501DA2"/>
    <w:rsid w:val="52EC0AEA"/>
    <w:rsid w:val="55283551"/>
    <w:rsid w:val="565178F5"/>
    <w:rsid w:val="56926FCC"/>
    <w:rsid w:val="573765BA"/>
    <w:rsid w:val="590B53B6"/>
    <w:rsid w:val="5DC42149"/>
    <w:rsid w:val="5E4F217F"/>
    <w:rsid w:val="5ECC2FF3"/>
    <w:rsid w:val="60671823"/>
    <w:rsid w:val="61884427"/>
    <w:rsid w:val="642B6F23"/>
    <w:rsid w:val="671130F7"/>
    <w:rsid w:val="6AB925F4"/>
    <w:rsid w:val="6B8D7772"/>
    <w:rsid w:val="6D374856"/>
    <w:rsid w:val="70F21C75"/>
    <w:rsid w:val="71997DE0"/>
    <w:rsid w:val="73661B62"/>
    <w:rsid w:val="738022B1"/>
    <w:rsid w:val="73F35F1C"/>
    <w:rsid w:val="78D024B0"/>
    <w:rsid w:val="7C357CF2"/>
    <w:rsid w:val="7F070519"/>
    <w:rsid w:val="7F654C5A"/>
    <w:rsid w:val="7FCA0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23"/>
    <w:qFormat/>
    <w:uiPriority w:val="99"/>
    <w:pPr>
      <w:adjustRightInd w:val="0"/>
      <w:spacing w:before="60" w:after="60" w:line="312" w:lineRule="atLeast"/>
      <w:ind w:firstLine="420"/>
      <w:textAlignment w:val="baseline"/>
    </w:pPr>
    <w:rPr>
      <w:rFonts w:ascii="Times New Roman" w:hAnsi="Times New Roman"/>
      <w:kern w:val="0"/>
      <w:sz w:val="24"/>
      <w:szCs w:val="20"/>
    </w:rPr>
  </w:style>
  <w:style w:type="paragraph" w:styleId="3">
    <w:name w:val="Document Map"/>
    <w:basedOn w:val="1"/>
    <w:link w:val="24"/>
    <w:qFormat/>
    <w:uiPriority w:val="0"/>
    <w:pPr>
      <w:shd w:val="clear" w:color="auto" w:fill="000080"/>
      <w:adjustRightInd w:val="0"/>
      <w:spacing w:line="360" w:lineRule="atLeast"/>
      <w:jc w:val="left"/>
      <w:textAlignment w:val="baseline"/>
    </w:pPr>
    <w:rPr>
      <w:rFonts w:ascii="Times New Roman" w:hAnsi="Times New Roman"/>
      <w:kern w:val="0"/>
      <w:sz w:val="24"/>
      <w:szCs w:val="20"/>
    </w:rPr>
  </w:style>
  <w:style w:type="paragraph" w:styleId="4">
    <w:name w:val="Body Text Indent"/>
    <w:basedOn w:val="1"/>
    <w:link w:val="16"/>
    <w:qFormat/>
    <w:uiPriority w:val="0"/>
    <w:pPr>
      <w:spacing w:line="360" w:lineRule="auto"/>
      <w:ind w:firstLine="527"/>
    </w:pPr>
    <w:rPr>
      <w:rFonts w:ascii="宋体" w:hAnsi="宋体"/>
      <w:sz w:val="24"/>
    </w:rPr>
  </w:style>
  <w:style w:type="paragraph" w:styleId="5">
    <w:name w:val="Plain Text"/>
    <w:basedOn w:val="1"/>
    <w:link w:val="22"/>
    <w:qFormat/>
    <w:uiPriority w:val="99"/>
    <w:rPr>
      <w:rFonts w:ascii="宋体" w:hAnsi="Courier New" w:cs="Courier New"/>
      <w:szCs w:val="21"/>
    </w:rPr>
  </w:style>
  <w:style w:type="paragraph" w:styleId="6">
    <w:name w:val="Date"/>
    <w:basedOn w:val="1"/>
    <w:next w:val="1"/>
    <w:qFormat/>
    <w:uiPriority w:val="0"/>
    <w:pPr>
      <w:ind w:left="100" w:leftChars="2500"/>
    </w:pPr>
  </w:style>
  <w:style w:type="paragraph" w:styleId="7">
    <w:name w:val="Body Text Indent 2"/>
    <w:basedOn w:val="1"/>
    <w:link w:val="21"/>
    <w:qFormat/>
    <w:uiPriority w:val="0"/>
    <w:pPr>
      <w:spacing w:after="120" w:line="480" w:lineRule="auto"/>
      <w:ind w:left="420" w:leftChars="200"/>
    </w:p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basedOn w:val="13"/>
    <w:qFormat/>
    <w:uiPriority w:val="0"/>
    <w:rPr>
      <w:color w:val="0000FF"/>
      <w:u w:val="single"/>
    </w:rPr>
  </w:style>
  <w:style w:type="character" w:customStyle="1" w:styleId="16">
    <w:name w:val="正文文本缩进 Char"/>
    <w:basedOn w:val="13"/>
    <w:link w:val="4"/>
    <w:qFormat/>
    <w:uiPriority w:val="0"/>
    <w:rPr>
      <w:rFonts w:ascii="宋体" w:hAnsi="宋体" w:eastAsia="宋体"/>
      <w:kern w:val="2"/>
      <w:sz w:val="24"/>
      <w:szCs w:val="24"/>
      <w:lang w:val="en-US" w:eastAsia="zh-CN" w:bidi="ar-SA"/>
    </w:rPr>
  </w:style>
  <w:style w:type="character" w:customStyle="1" w:styleId="17">
    <w:name w:val="tpc_content1"/>
    <w:basedOn w:val="13"/>
    <w:qFormat/>
    <w:uiPriority w:val="0"/>
    <w:rPr>
      <w:sz w:val="20"/>
      <w:szCs w:val="20"/>
    </w:rPr>
  </w:style>
  <w:style w:type="character" w:customStyle="1" w:styleId="18">
    <w:name w:val="font11"/>
    <w:basedOn w:val="13"/>
    <w:qFormat/>
    <w:uiPriority w:val="0"/>
    <w:rPr>
      <w:rFonts w:hint="eastAsia" w:ascii="宋体" w:hAnsi="宋体" w:eastAsia="宋体" w:cs="宋体"/>
      <w:color w:val="000000"/>
      <w:sz w:val="20"/>
      <w:szCs w:val="20"/>
      <w:u w:val="none"/>
    </w:rPr>
  </w:style>
  <w:style w:type="character" w:customStyle="1" w:styleId="19">
    <w:name w:val="font01"/>
    <w:basedOn w:val="13"/>
    <w:qFormat/>
    <w:uiPriority w:val="0"/>
    <w:rPr>
      <w:rFonts w:hint="default" w:ascii="Times New Roman" w:hAnsi="Times New Roman" w:cs="Times New Roman"/>
      <w:color w:val="000000"/>
      <w:sz w:val="20"/>
      <w:szCs w:val="20"/>
      <w:u w:val="none"/>
    </w:rPr>
  </w:style>
  <w:style w:type="paragraph" w:customStyle="1" w:styleId="20">
    <w:name w:val="列出段落1"/>
    <w:basedOn w:val="1"/>
    <w:qFormat/>
    <w:uiPriority w:val="0"/>
    <w:pPr>
      <w:ind w:firstLine="420" w:firstLineChars="200"/>
    </w:pPr>
  </w:style>
  <w:style w:type="character" w:customStyle="1" w:styleId="21">
    <w:name w:val="正文文本缩进 2 Char"/>
    <w:basedOn w:val="13"/>
    <w:link w:val="7"/>
    <w:qFormat/>
    <w:uiPriority w:val="0"/>
    <w:rPr>
      <w:kern w:val="2"/>
      <w:sz w:val="21"/>
      <w:szCs w:val="24"/>
    </w:rPr>
  </w:style>
  <w:style w:type="character" w:customStyle="1" w:styleId="22">
    <w:name w:val="纯文本 Char1"/>
    <w:basedOn w:val="13"/>
    <w:link w:val="5"/>
    <w:qFormat/>
    <w:locked/>
    <w:uiPriority w:val="99"/>
    <w:rPr>
      <w:rFonts w:ascii="宋体" w:hAnsi="Courier New" w:cs="Courier New"/>
      <w:kern w:val="2"/>
      <w:sz w:val="21"/>
      <w:szCs w:val="21"/>
    </w:rPr>
  </w:style>
  <w:style w:type="character" w:customStyle="1" w:styleId="23">
    <w:name w:val="正文缩进 Char"/>
    <w:link w:val="2"/>
    <w:qFormat/>
    <w:locked/>
    <w:uiPriority w:val="99"/>
    <w:rPr>
      <w:rFonts w:ascii="Times New Roman" w:hAnsi="Times New Roman"/>
      <w:sz w:val="24"/>
    </w:rPr>
  </w:style>
  <w:style w:type="character" w:customStyle="1" w:styleId="24">
    <w:name w:val="文档结构图 Char"/>
    <w:basedOn w:val="13"/>
    <w:link w:val="3"/>
    <w:qFormat/>
    <w:uiPriority w:val="0"/>
    <w:rPr>
      <w:rFonts w:ascii="Times New Roman" w:hAnsi="Times New Roman"/>
      <w:sz w:val="24"/>
      <w:shd w:val="clear" w:color="auto" w:fill="000080"/>
    </w:rPr>
  </w:style>
  <w:style w:type="paragraph" w:customStyle="1" w:styleId="25">
    <w:name w:val="样式9"/>
    <w:basedOn w:val="1"/>
    <w:qFormat/>
    <w:uiPriority w:val="0"/>
    <w:pPr>
      <w:spacing w:line="320" w:lineRule="atLeast"/>
    </w:pPr>
    <w:rPr>
      <w:rFonts w:ascii="KaiTi_GB2312" w:hAnsi="Times New Roman" w:eastAsia="KaiTi_GB2312"/>
      <w:spacing w:val="20"/>
      <w:sz w:val="28"/>
      <w:szCs w:val="20"/>
    </w:rPr>
  </w:style>
  <w:style w:type="paragraph" w:customStyle="1" w:styleId="26">
    <w:name w:val="zw"/>
    <w:basedOn w:val="1"/>
    <w:qFormat/>
    <w:uiPriority w:val="0"/>
    <w:pPr>
      <w:autoSpaceDE w:val="0"/>
      <w:autoSpaceDN w:val="0"/>
      <w:adjustRightInd w:val="0"/>
      <w:spacing w:line="360" w:lineRule="auto"/>
      <w:ind w:firstLine="482"/>
      <w:textAlignment w:val="bottom"/>
    </w:pPr>
    <w:rPr>
      <w:rFonts w:ascii="Arial Narrow" w:hAnsi="Arial Narrow" w:eastAsia="仿宋_GB2312"/>
      <w:kern w:val="0"/>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hh</Company>
  <Pages>15</Pages>
  <Words>1755</Words>
  <Characters>10005</Characters>
  <Lines>83</Lines>
  <Paragraphs>23</Paragraphs>
  <TotalTime>6</TotalTime>
  <ScaleCrop>false</ScaleCrop>
  <LinksUpToDate>false</LinksUpToDate>
  <CharactersWithSpaces>11737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2020-10-23T01:54:00Z</dcterms:created>
  <dc:creator>cfy</dc:creator>
  <cp:lastModifiedBy>滕禹铄，</cp:lastModifiedBy>
  <cp:lastPrinted>2021-02-25T02:43:00Z</cp:lastPrinted>
  <dcterms:modified xsi:type="dcterms:W3CDTF">2021-02-26T00:32:05Z</dcterms:modified>
  <dc:title>辽源市人民防空办公室</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