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spacing w:line="693" w:lineRule="atLeast"/>
        <w:ind w:firstLine="880" w:firstLineChars="0"/>
        <w:jc w:val="center"/>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w:t>
      </w:r>
      <w:r>
        <w:rPr>
          <w:rFonts w:hint="eastAsia" w:ascii="仿宋_GB2312" w:hAnsi="仿宋_GB2312" w:eastAsia="仿宋_GB2312"/>
          <w:sz w:val="30"/>
          <w:lang w:val="en-US" w:eastAsia="zh-CN"/>
        </w:rPr>
        <w:t>20</w:t>
      </w:r>
      <w:r>
        <w:rPr>
          <w:rFonts w:hint="eastAsia" w:ascii="仿宋_GB2312" w:hAnsi="仿宋_GB2312" w:eastAsia="仿宋_GB2312"/>
          <w:sz w:val="30"/>
        </w:rPr>
        <w:t>]</w:t>
      </w:r>
      <w:r>
        <w:rPr>
          <w:rFonts w:hint="eastAsia" w:ascii="仿宋_GB2312" w:hAnsi="仿宋_GB2312" w:eastAsia="仿宋_GB2312"/>
          <w:sz w:val="30"/>
          <w:lang w:val="en-US" w:eastAsia="zh-CN"/>
        </w:rPr>
        <w:t>133</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pacing w:val="-3"/>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丁瑞峰、石晓萍位于</w:t>
      </w:r>
      <w:r>
        <w:rPr>
          <w:rFonts w:hint="eastAsia" w:ascii="仿宋_GB2312" w:hAnsi="仿宋_GB2312" w:eastAsia="仿宋_GB2312"/>
          <w:spacing w:val="-3"/>
          <w:sz w:val="30"/>
          <w:lang w:eastAsia="zh-CN"/>
        </w:rPr>
        <w:t>泊头市道东街东方俪园小区9-1-602室</w:t>
      </w:r>
      <w:r>
        <w:rPr>
          <w:rFonts w:hint="eastAsia" w:ascii="仿宋_GB2312" w:hAnsi="仿宋_GB2312" w:eastAsia="仿宋_GB2312"/>
          <w:spacing w:val="-3"/>
          <w:sz w:val="30"/>
        </w:rPr>
        <w:t>房地产市场价值评估</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估价委托人：</w:t>
      </w:r>
      <w:r>
        <w:rPr>
          <w:rFonts w:hint="eastAsia" w:ascii="仿宋_GB2312" w:hAnsi="仿宋_GB2312" w:eastAsia="仿宋_GB2312"/>
          <w:sz w:val="30"/>
          <w:lang w:eastAsia="zh-CN"/>
        </w:rPr>
        <w:t>泊头市人民法院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w:t>
      </w:r>
      <w:r>
        <w:rPr>
          <w:rFonts w:hint="eastAsia" w:ascii="仿宋_GB2312" w:hAnsi="仿宋_GB2312" w:eastAsia="仿宋_GB2312"/>
          <w:sz w:val="30"/>
          <w:lang w:eastAsia="zh-CN"/>
        </w:rPr>
        <w:t>张东强</w:t>
      </w:r>
      <w:r>
        <w:rPr>
          <w:rFonts w:hint="eastAsia" w:ascii="仿宋_GB2312" w:hAnsi="仿宋_GB2312" w:eastAsia="仿宋_GB2312"/>
          <w:sz w:val="30"/>
        </w:rPr>
        <w:t>（注册号</w:t>
      </w:r>
      <w:r>
        <w:rPr>
          <w:rFonts w:hint="eastAsia" w:ascii="仿宋_GB2312" w:hAnsi="仿宋_GB2312" w:eastAsia="仿宋_GB2312"/>
          <w:sz w:val="30"/>
          <w:lang w:val="en-US" w:eastAsia="zh-CN"/>
        </w:rPr>
        <w:t>1319970048</w:t>
      </w:r>
      <w:r>
        <w:rPr>
          <w:rFonts w:hint="eastAsia" w:ascii="仿宋_GB2312" w:hAnsi="仿宋_GB2312" w:eastAsia="仿宋_GB2312"/>
          <w:sz w:val="30"/>
        </w:rPr>
        <w:t>）</w:t>
      </w:r>
    </w:p>
    <w:p>
      <w:pPr>
        <w:widowControl w:val="0"/>
        <w:spacing w:line="548" w:lineRule="atLeast"/>
        <w:ind w:firstLine="600" w:firstLineChars="0"/>
        <w:jc w:val="left"/>
        <w:rPr>
          <w:rFonts w:hint="default" w:ascii="仿宋_GB2312" w:hAnsi="仿宋_GB2312" w:eastAsia="仿宋_GB2312"/>
          <w:sz w:val="30"/>
          <w:lang w:val="en-US" w:eastAsia="zh-CN"/>
        </w:rPr>
      </w:pPr>
      <w:r>
        <w:rPr>
          <w:rFonts w:hint="eastAsia" w:ascii="仿宋_GB2312" w:hAnsi="仿宋_GB2312" w:eastAsia="仿宋_GB2312"/>
          <w:sz w:val="30"/>
          <w:lang w:val="en-US" w:eastAsia="zh-CN"/>
        </w:rPr>
        <w:t xml:space="preserve">                  马  静</w:t>
      </w:r>
      <w:r>
        <w:rPr>
          <w:rFonts w:hint="eastAsia" w:ascii="仿宋_GB2312" w:hAnsi="仿宋_GB2312" w:eastAsia="仿宋_GB2312"/>
          <w:sz w:val="30"/>
        </w:rPr>
        <w:t>（注册号13</w:t>
      </w:r>
      <w:r>
        <w:rPr>
          <w:rFonts w:hint="eastAsia" w:ascii="仿宋_GB2312" w:hAnsi="仿宋_GB2312" w:eastAsia="仿宋_GB2312"/>
          <w:sz w:val="30"/>
          <w:lang w:val="en-US" w:eastAsia="zh-CN"/>
        </w:rPr>
        <w:t>20190062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2020年9月10日</w:t>
      </w:r>
    </w:p>
    <w:p>
      <w:pPr>
        <w:widowControl w:val="0"/>
        <w:spacing w:line="548" w:lineRule="atLeast"/>
        <w:ind w:firstLine="600" w:firstLineChars="0"/>
        <w:jc w:val="center"/>
        <w:rPr>
          <w:rFonts w:hint="eastAsia" w:ascii="黑体" w:hAnsi="黑体" w:eastAsia="黑体"/>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fmt="decimal" w:start="1"/>
          <w:cols w:space="720" w:num="1"/>
        </w:sect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致估价委托人函</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0" w:firstLineChars="0"/>
        <w:rPr>
          <w:rFonts w:hint="eastAsia" w:ascii="仿宋_GB2312" w:hAnsi="仿宋_GB2312" w:eastAsia="仿宋_GB2312"/>
          <w:sz w:val="30"/>
        </w:rPr>
      </w:pPr>
      <w:r>
        <w:rPr>
          <w:rFonts w:hint="eastAsia" w:ascii="仿宋_GB2312" w:hAnsi="仿宋_GB2312" w:eastAsia="仿宋_GB2312"/>
          <w:sz w:val="30"/>
          <w:lang w:eastAsia="zh-CN"/>
        </w:rPr>
        <w:t>泊头市人民法院</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丁瑞峰、石晓萍</w:t>
      </w:r>
      <w:r>
        <w:rPr>
          <w:rFonts w:hint="eastAsia" w:ascii="仿宋_GB2312" w:hAnsi="仿宋_GB2312" w:eastAsia="仿宋_GB2312"/>
          <w:sz w:val="30"/>
        </w:rPr>
        <w:t>所有位于</w:t>
      </w:r>
      <w:r>
        <w:rPr>
          <w:rFonts w:hint="eastAsia" w:ascii="仿宋_GB2312" w:hAnsi="仿宋_GB2312" w:eastAsia="仿宋_GB2312"/>
          <w:spacing w:val="-3"/>
          <w:sz w:val="30"/>
          <w:lang w:eastAsia="zh-CN"/>
        </w:rPr>
        <w:t>泊头市道东街东方俪园小区9-1-602室</w:t>
      </w:r>
      <w:r>
        <w:rPr>
          <w:rFonts w:hint="eastAsia" w:ascii="仿宋_GB2312" w:hAnsi="仿宋_GB2312" w:eastAsia="仿宋_GB2312"/>
          <w:sz w:val="30"/>
        </w:rPr>
        <w:t>，建筑面积为</w:t>
      </w:r>
      <w:r>
        <w:rPr>
          <w:rFonts w:hint="eastAsia" w:ascii="仿宋_GB2312" w:hAnsi="仿宋_GB2312" w:eastAsia="仿宋_GB2312"/>
          <w:sz w:val="30"/>
          <w:lang w:eastAsia="zh-CN"/>
        </w:rPr>
        <w:t>123.38</w:t>
      </w:r>
      <w:r>
        <w:rPr>
          <w:rFonts w:hint="eastAsia" w:ascii="仿宋_GB2312" w:hAnsi="仿宋_GB2312" w:eastAsia="仿宋_GB2312"/>
          <w:sz w:val="30"/>
        </w:rPr>
        <w:t>平方米房地产市场价值进行了评估，价值时点为</w:t>
      </w:r>
      <w:r>
        <w:rPr>
          <w:rFonts w:hint="eastAsia" w:ascii="仿宋_GB2312" w:hAnsi="仿宋_GB2312" w:eastAsia="仿宋_GB2312"/>
          <w:sz w:val="30"/>
          <w:lang w:eastAsia="zh-CN"/>
        </w:rPr>
        <w:t>2020年8月20日</w:t>
      </w:r>
      <w:r>
        <w:rPr>
          <w:rFonts w:hint="eastAsia" w:ascii="仿宋_GB2312" w:hAnsi="仿宋_GB2312" w:eastAsia="仿宋_GB2312"/>
          <w:sz w:val="30"/>
        </w:rPr>
        <w:t>，估价目的：为委托方确定拍卖保留价提供参考依据。</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rPr>
        <w:t>在整个估价过程中，注册房地产估价师本着独立、客观、公正的原则，在对估价对象进行了实地查勘、广泛收集有关市场信息和估价对象信息的基础上，全面分析了影响估价对象市场价格的因素，运用比较法对估价对象进行了评估，最终确定估价对象在价值时点的市场价值为￥</w:t>
      </w:r>
      <w:r>
        <w:rPr>
          <w:rFonts w:hint="eastAsia" w:ascii="仿宋_GB2312" w:hAnsi="仿宋_GB2312" w:eastAsia="仿宋_GB2312"/>
          <w:b/>
          <w:sz w:val="30"/>
          <w:lang w:eastAsia="zh-CN"/>
        </w:rPr>
        <w:t>84.67</w:t>
      </w:r>
      <w:r>
        <w:rPr>
          <w:rFonts w:hint="eastAsia" w:ascii="仿宋_GB2312" w:hAnsi="仿宋_GB2312" w:eastAsia="仿宋_GB2312"/>
          <w:b/>
          <w:sz w:val="30"/>
        </w:rPr>
        <w:t>万元</w:t>
      </w:r>
      <w:r>
        <w:rPr>
          <w:rFonts w:hint="eastAsia" w:ascii="仿宋_GB2312" w:hAnsi="仿宋_GB2312" w:eastAsia="仿宋_GB2312"/>
          <w:sz w:val="30"/>
        </w:rPr>
        <w:t>（</w:t>
      </w:r>
      <w:r>
        <w:rPr>
          <w:rFonts w:hint="eastAsia" w:ascii="仿宋_GB2312" w:hAnsi="仿宋_GB2312" w:eastAsia="仿宋_GB2312"/>
          <w:b/>
          <w:sz w:val="30"/>
        </w:rPr>
        <w:t>人民币</w:t>
      </w:r>
      <w:r>
        <w:rPr>
          <w:rFonts w:hint="eastAsia" w:ascii="仿宋_GB2312" w:hAnsi="仿宋_GB2312" w:eastAsia="仿宋_GB2312"/>
          <w:b/>
          <w:sz w:val="30"/>
          <w:lang w:eastAsia="zh-CN"/>
        </w:rPr>
        <w:t>捌拾肆万陆仟柒佰</w:t>
      </w:r>
      <w:r>
        <w:rPr>
          <w:rFonts w:hint="eastAsia" w:ascii="仿宋_GB2312" w:hAnsi="仿宋_GB2312" w:eastAsia="仿宋_GB2312"/>
          <w:b/>
          <w:sz w:val="30"/>
        </w:rPr>
        <w:t>元整）</w:t>
      </w:r>
      <w:r>
        <w:rPr>
          <w:rFonts w:hint="eastAsia" w:ascii="仿宋_GB2312" w:hAnsi="仿宋_GB2312" w:eastAsia="仿宋_GB2312"/>
          <w:b w:val="0"/>
          <w:bCs/>
          <w:sz w:val="30"/>
          <w:lang w:eastAsia="zh-CN"/>
        </w:rPr>
        <w:t>（其中房屋价值</w:t>
      </w:r>
      <w:r>
        <w:rPr>
          <w:rFonts w:hint="eastAsia" w:ascii="仿宋_GB2312" w:hAnsi="仿宋_GB2312" w:eastAsia="仿宋_GB2312"/>
          <w:b w:val="0"/>
          <w:bCs/>
          <w:sz w:val="30"/>
          <w:lang w:val="en-US" w:eastAsia="zh-CN"/>
        </w:rPr>
        <w:t>77.67万元，</w:t>
      </w:r>
      <w:r>
        <w:rPr>
          <w:rFonts w:hint="eastAsia" w:ascii="仿宋_GB2312" w:hAnsi="仿宋_GB2312" w:eastAsia="仿宋_GB2312"/>
          <w:sz w:val="30"/>
        </w:rPr>
        <w:t>单价：</w:t>
      </w:r>
      <w:r>
        <w:rPr>
          <w:rFonts w:hint="eastAsia" w:ascii="仿宋_GB2312" w:hAnsi="仿宋_GB2312" w:eastAsia="仿宋_GB2312"/>
          <w:sz w:val="30"/>
          <w:lang w:val="en-US" w:eastAsia="zh-CN"/>
        </w:rPr>
        <w:t>6295</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vertAlign w:val="baseline"/>
          <w:lang w:eastAsia="zh-CN"/>
        </w:rPr>
        <w:t>；储藏间价值：</w:t>
      </w:r>
      <w:r>
        <w:rPr>
          <w:rFonts w:hint="eastAsia" w:ascii="仿宋_GB2312" w:hAnsi="仿宋_GB2312" w:eastAsia="仿宋_GB2312"/>
          <w:sz w:val="30"/>
          <w:vertAlign w:val="baseline"/>
          <w:lang w:val="en-US" w:eastAsia="zh-CN"/>
        </w:rPr>
        <w:t>7.00万元</w:t>
      </w:r>
      <w:r>
        <w:rPr>
          <w:rFonts w:hint="eastAsia" w:ascii="仿宋_GB2312" w:hAnsi="仿宋_GB2312" w:eastAsia="仿宋_GB2312"/>
          <w:sz w:val="30"/>
          <w:vertAlign w:val="baseline"/>
          <w:lang w:eastAsia="zh-CN"/>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2020年9月10日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估价师声明…………………………………………………4</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估价假设和限制条件………………………………………5</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估价结果报告………………………………………………7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二、房地产估价机构………………………………………7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七、估价原则………………………………………………</w:t>
      </w:r>
      <w:r>
        <w:rPr>
          <w:rFonts w:hint="eastAsia" w:ascii="仿宋_GB2312" w:hAnsi="仿宋_GB2312" w:eastAsia="仿宋_GB2312"/>
          <w:sz w:val="30"/>
          <w:lang w:val="en-US" w:eastAsia="zh-CN"/>
        </w:rPr>
        <w:t>8</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9</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十、估价结果………………………………………………1</w:t>
      </w:r>
      <w:r>
        <w:rPr>
          <w:rFonts w:hint="eastAsia" w:ascii="仿宋_GB2312" w:hAnsi="仿宋_GB2312" w:eastAsia="仿宋_GB2312"/>
          <w:sz w:val="30"/>
          <w:lang w:val="en-US" w:eastAsia="zh-CN"/>
        </w:rPr>
        <w:t>0</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十二、实地查勘期…………………………………………11</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十三、估价作业期…………………………………………1</w:t>
      </w:r>
      <w:r>
        <w:rPr>
          <w:rFonts w:hint="eastAsia" w:ascii="仿宋_GB2312" w:hAnsi="仿宋_GB2312" w:eastAsia="仿宋_GB2312"/>
          <w:sz w:val="30"/>
          <w:lang w:val="en-US" w:eastAsia="zh-CN"/>
        </w:rPr>
        <w:t>1</w:t>
      </w:r>
    </w:p>
    <w:p>
      <w:pPr>
        <w:widowControl w:val="0"/>
        <w:spacing w:line="577" w:lineRule="atLeast"/>
        <w:ind w:firstLine="600" w:firstLineChars="0"/>
        <w:jc w:val="left"/>
        <w:rPr>
          <w:rFonts w:hint="default" w:ascii="仿宋_GB2312" w:hAnsi="仿宋_GB2312" w:eastAsia="仿宋_GB2312"/>
          <w:sz w:val="30"/>
          <w:lang w:val="en-US" w:eastAsia="zh-CN"/>
        </w:rPr>
      </w:pPr>
      <w:r>
        <w:rPr>
          <w:rFonts w:hint="eastAsia" w:ascii="仿宋_GB2312" w:hAnsi="仿宋_GB2312" w:eastAsia="仿宋_GB2312"/>
          <w:sz w:val="30"/>
        </w:rPr>
        <w:t>附件…………………………………………………………</w:t>
      </w:r>
      <w:r>
        <w:rPr>
          <w:rFonts w:hint="eastAsia" w:ascii="仿宋_GB2312" w:hAnsi="仿宋_GB2312" w:eastAsia="仿宋_GB2312"/>
          <w:sz w:val="30"/>
          <w:lang w:val="en-US" w:eastAsia="zh-CN"/>
        </w:rPr>
        <w:t>12</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《不动产权证书》</w:t>
      </w:r>
      <w:r>
        <w:rPr>
          <w:rFonts w:hint="eastAsia" w:ascii="仿宋_GB2312" w:hAnsi="仿宋_GB2312" w:eastAsia="仿宋_GB2312"/>
          <w:sz w:val="30"/>
        </w:rPr>
        <w:t>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、房地产价格评估机构营业执照复印件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六</w:t>
      </w:r>
      <w:r>
        <w:rPr>
          <w:rFonts w:hint="eastAsia" w:ascii="仿宋_GB2312" w:hAnsi="仿宋_GB2312" w:eastAsia="仿宋_GB2312"/>
          <w:sz w:val="30"/>
        </w:rPr>
        <w:t>、房地产价格评估机构资质证书复印件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七</w:t>
      </w:r>
      <w:r>
        <w:rPr>
          <w:rFonts w:hint="eastAsia" w:ascii="仿宋_GB2312" w:hAnsi="仿宋_GB2312" w:eastAsia="仿宋_GB2312"/>
          <w:sz w:val="30"/>
        </w:rPr>
        <w:t>、注册房地产估价师注册证书复印件</w:t>
      </w:r>
    </w:p>
    <w:p>
      <w:pPr>
        <w:widowControl w:val="0"/>
        <w:spacing w:line="577"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估价师声明</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1、注册房地产估价师在本估价报告中对事实的说明是真实和准确的，没有虚假记载、误导性陈述和重大遗漏。</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2、估价报告中的分析、意见和结论是注册房地产估价师独立、客观、公正的专业分析、意见和结论，但受到本估价报告中已说明的假设和限制条件的限制。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3、注册房地产估价师与估价报告中的估价对象没有现实或潜在的利益，与估价委托人及估价利害关系人没有利害关系，也对估价对象、估价委托人及估价利害关系人没有偏见。</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4、注册房地产估价师是按照有关房地产估价标准的规定进行估价工作，撰写估价报告。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估价的假设和限制条件</w:t>
      </w:r>
    </w:p>
    <w:p>
      <w:pPr>
        <w:widowControl w:val="0"/>
        <w:spacing w:line="536" w:lineRule="atLeast"/>
        <w:ind w:firstLine="600" w:firstLineChars="0"/>
        <w:jc w:val="left"/>
        <w:rPr>
          <w:rFonts w:hint="eastAsia" w:ascii="仿宋_GB2312" w:hAnsi="仿宋_GB2312" w:eastAsia="仿宋_GB2312"/>
          <w:sz w:val="30"/>
        </w:rPr>
      </w:pP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widowControl w:val="0"/>
        <w:spacing w:line="530" w:lineRule="atLeast"/>
        <w:ind w:firstLine="600" w:firstLineChars="0"/>
        <w:rPr>
          <w:rFonts w:hint="eastAsia" w:ascii="仿宋_GB2312" w:hAnsi="仿宋_GB2312" w:eastAsia="仿宋_GB2312"/>
          <w:spacing w:val="-1"/>
          <w:sz w:val="30"/>
        </w:rPr>
      </w:pPr>
      <w:r>
        <w:rPr>
          <w:rFonts w:hint="eastAsia" w:ascii="仿宋_GB2312" w:hAnsi="仿宋_GB2312" w:eastAsia="仿宋_GB2312"/>
          <w:spacing w:val="-1"/>
          <w:sz w:val="30"/>
        </w:rPr>
        <w:t>2、估价委托人提供了估价对象的</w:t>
      </w:r>
      <w:r>
        <w:rPr>
          <w:rFonts w:hint="eastAsia" w:ascii="仿宋_GB2312" w:hAnsi="仿宋_GB2312" w:eastAsia="仿宋_GB2312"/>
          <w:sz w:val="30"/>
          <w:lang w:eastAsia="zh-CN"/>
        </w:rPr>
        <w:t>《不动产权证书》</w:t>
      </w:r>
      <w:r>
        <w:rPr>
          <w:rFonts w:hint="eastAsia" w:ascii="仿宋_GB2312" w:hAnsi="仿宋_GB2312" w:eastAsia="仿宋_GB2312"/>
          <w:spacing w:val="-1"/>
          <w:sz w:val="30"/>
        </w:rPr>
        <w:t>，我们对</w:t>
      </w:r>
      <w:r>
        <w:rPr>
          <w:rFonts w:hint="eastAsia" w:ascii="仿宋_GB2312" w:hAnsi="仿宋_GB2312" w:eastAsia="仿宋_GB2312"/>
          <w:sz w:val="30"/>
          <w:lang w:eastAsia="zh-CN"/>
        </w:rPr>
        <w:t>证书</w:t>
      </w:r>
      <w:r>
        <w:rPr>
          <w:rFonts w:hint="eastAsia" w:ascii="仿宋_GB2312" w:hAnsi="仿宋_GB2312" w:eastAsia="仿宋_GB2312"/>
          <w:spacing w:val="-1"/>
          <w:sz w:val="30"/>
        </w:rPr>
        <w:t>上记载的权属、面积等资料进行了审慎检查，但未予以核实，在无理由怀疑其合法性、真实性、准确性和完整性的情况下，假定估价委托人提供的资料合法、真实、准确、完整。</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6、本次估价是以提供给估价机构的估价对象不存在抵押权、典权等他项权利为假设前提。特提请报告使用人注意。</w:t>
      </w:r>
    </w:p>
    <w:p>
      <w:pPr>
        <w:widowControl w:val="0"/>
        <w:spacing w:line="530" w:lineRule="atLeast"/>
        <w:ind w:firstLine="600" w:firstLineChars="0"/>
        <w:rPr>
          <w:rFonts w:hint="eastAsia" w:ascii="仿宋_GB2312" w:hAnsi="仿宋_GB2312" w:eastAsia="仿宋_GB2312"/>
          <w:spacing w:val="-1"/>
          <w:sz w:val="30"/>
        </w:rPr>
      </w:pPr>
      <w:r>
        <w:rPr>
          <w:rFonts w:hint="eastAsia" w:ascii="仿宋_GB2312" w:hAnsi="仿宋_GB2312" w:eastAsia="仿宋_GB2312"/>
          <w:sz w:val="30"/>
        </w:rPr>
        <w:t>7、本次估价对象的建筑面积以委托方提供的</w:t>
      </w:r>
      <w:r>
        <w:rPr>
          <w:rFonts w:hint="eastAsia" w:ascii="仿宋_GB2312" w:hAnsi="仿宋_GB2312" w:eastAsia="仿宋_GB2312"/>
          <w:sz w:val="30"/>
          <w:lang w:eastAsia="zh-CN"/>
        </w:rPr>
        <w:t>《不动产权证书》</w:t>
      </w:r>
      <w:r>
        <w:rPr>
          <w:rFonts w:hint="eastAsia" w:ascii="仿宋_GB2312" w:hAnsi="仿宋_GB2312" w:eastAsia="仿宋_GB2312"/>
          <w:spacing w:val="-1"/>
          <w:sz w:val="30"/>
        </w:rPr>
        <w:t>记载的建筑面积为依据。</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二、未定事项假设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本次估价无未定事项假设。</w:t>
      </w:r>
    </w:p>
    <w:p>
      <w:pPr>
        <w:widowControl w:val="0"/>
        <w:spacing w:line="530" w:lineRule="atLeast"/>
        <w:ind w:firstLine="0" w:firstLineChars="0"/>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b/>
          <w:sz w:val="30"/>
        </w:rPr>
        <w:t>三、背离事实假设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2、估价结果未考虑估价对象及其所有权人已承担的债务或有债务及经营决策失误或市场运作失当对其价值的影响。</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四、不相一致假设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本次估价无不相一致假设。</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五、依据不足假设</w:t>
      </w:r>
    </w:p>
    <w:p>
      <w:pPr>
        <w:keepNext w:val="0"/>
        <w:keepLines w:val="0"/>
        <w:pageBreakBefore w:val="0"/>
        <w:widowControl w:val="0"/>
        <w:kinsoku/>
        <w:wordWrap/>
        <w:overflowPunct/>
        <w:topLinePunct w:val="0"/>
        <w:autoSpaceDE/>
        <w:autoSpaceDN/>
        <w:bidi w:val="0"/>
        <w:adjustRightInd/>
        <w:snapToGrid/>
        <w:spacing w:line="530" w:lineRule="atLeast"/>
        <w:ind w:left="1" w:firstLine="600" w:firstLineChars="0"/>
        <w:jc w:val="left"/>
        <w:textAlignment w:val="bottom"/>
        <w:rPr>
          <w:rFonts w:hint="eastAsia" w:ascii="仿宋_GB2312" w:hAnsi="仿宋_GB2312" w:eastAsia="仿宋_GB2312"/>
          <w:sz w:val="30"/>
        </w:rPr>
      </w:pPr>
      <w:r>
        <w:rPr>
          <w:rFonts w:hint="eastAsia" w:ascii="仿宋_GB2312" w:hAnsi="仿宋_GB2312" w:eastAsia="仿宋_GB2312"/>
          <w:sz w:val="30"/>
        </w:rPr>
        <w:t>本次估价由于当事人原因，无法进入估价对象内部进行实地勘查，对估价对象的外部状况和区位状况进行了实地查勘，估价对象的内部状况，假设为可满足正常的生活需求。</w:t>
      </w:r>
    </w:p>
    <w:p>
      <w:pPr>
        <w:widowControl w:val="0"/>
        <w:spacing w:line="530"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六、估价报告使用限制</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4、当事人对评估报告有异议的，可在收到报告五日内，以书面形式向人民法院提出。</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估价结果报告</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1.估价委托人：</w:t>
      </w:r>
      <w:r>
        <w:rPr>
          <w:rFonts w:hint="eastAsia" w:ascii="仿宋_GB2312" w:hAnsi="仿宋_GB2312" w:eastAsia="仿宋_GB2312"/>
          <w:sz w:val="30"/>
          <w:lang w:eastAsia="zh-CN"/>
        </w:rPr>
        <w:t>泊头市人民法院</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2.联 系 人：</w:t>
      </w:r>
      <w:r>
        <w:rPr>
          <w:rFonts w:hint="eastAsia" w:ascii="仿宋_GB2312" w:hAnsi="仿宋_GB2312" w:eastAsia="仿宋_GB2312"/>
          <w:sz w:val="30"/>
          <w:lang w:eastAsia="zh-CN"/>
        </w:rPr>
        <w:t>张敏</w:t>
      </w:r>
    </w:p>
    <w:p>
      <w:pPr>
        <w:widowControl w:val="0"/>
        <w:spacing w:line="548" w:lineRule="atLeast"/>
        <w:ind w:firstLine="600" w:firstLineChars="0"/>
        <w:jc w:val="left"/>
        <w:rPr>
          <w:rFonts w:hint="default" w:ascii="仿宋_GB2312" w:hAnsi="仿宋_GB2312" w:eastAsia="仿宋_GB2312"/>
          <w:sz w:val="30"/>
          <w:lang w:val="en-US" w:eastAsia="zh-CN"/>
        </w:rPr>
      </w:pPr>
      <w:r>
        <w:rPr>
          <w:rFonts w:hint="eastAsia" w:ascii="仿宋_GB2312" w:hAnsi="仿宋_GB2312" w:eastAsia="仿宋_GB2312"/>
          <w:sz w:val="30"/>
        </w:rPr>
        <w:t>3.联系电话：0317-</w:t>
      </w:r>
      <w:r>
        <w:rPr>
          <w:rFonts w:hint="eastAsia" w:ascii="仿宋_GB2312" w:hAnsi="仿宋_GB2312" w:eastAsia="仿宋_GB2312"/>
          <w:sz w:val="30"/>
          <w:lang w:val="en-US" w:eastAsia="zh-CN"/>
        </w:rPr>
        <w:t>8189592</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8.邮政编码：06100</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估价对象</w:t>
      </w:r>
      <w:r>
        <w:rPr>
          <w:rFonts w:hint="eastAsia" w:ascii="仿宋_GB2312" w:hAnsi="仿宋_GB2312" w:eastAsia="仿宋_GB2312"/>
          <w:sz w:val="30"/>
          <w:lang w:eastAsia="zh-CN"/>
        </w:rPr>
        <w:t>为丁瑞峰、石晓萍位</w:t>
      </w:r>
      <w:r>
        <w:rPr>
          <w:rFonts w:hint="eastAsia" w:ascii="仿宋_GB2312" w:hAnsi="仿宋_GB2312" w:eastAsia="仿宋_GB2312"/>
          <w:sz w:val="30"/>
        </w:rPr>
        <w:t>于</w:t>
      </w:r>
      <w:r>
        <w:rPr>
          <w:rFonts w:hint="eastAsia" w:ascii="仿宋_GB2312" w:hAnsi="仿宋_GB2312" w:eastAsia="仿宋_GB2312"/>
          <w:spacing w:val="-3"/>
          <w:sz w:val="30"/>
          <w:lang w:eastAsia="zh-CN"/>
        </w:rPr>
        <w:t>泊头市道东街东方俪园小区9-1-602室</w:t>
      </w:r>
      <w:r>
        <w:rPr>
          <w:rFonts w:hint="eastAsia" w:ascii="仿宋_GB2312" w:hAnsi="仿宋_GB2312" w:eastAsia="仿宋_GB2312"/>
          <w:sz w:val="30"/>
        </w:rPr>
        <w:t>，建筑面积：</w:t>
      </w:r>
      <w:r>
        <w:rPr>
          <w:rFonts w:hint="eastAsia" w:ascii="仿宋_GB2312" w:hAnsi="仿宋_GB2312" w:eastAsia="仿宋_GB2312"/>
          <w:sz w:val="30"/>
          <w:lang w:eastAsia="zh-CN"/>
        </w:rPr>
        <w:t>123.38平</w:t>
      </w:r>
      <w:r>
        <w:rPr>
          <w:rFonts w:hint="eastAsia" w:ascii="仿宋_GB2312" w:hAnsi="仿宋_GB2312" w:eastAsia="仿宋_GB2312"/>
          <w:sz w:val="30"/>
        </w:rPr>
        <w:t>方米房地产</w:t>
      </w:r>
      <w:r>
        <w:rPr>
          <w:rFonts w:hint="eastAsia" w:ascii="仿宋_GB2312" w:hAnsi="仿宋_GB2312" w:eastAsia="仿宋_GB2312"/>
          <w:sz w:val="30"/>
          <w:lang w:eastAsia="zh-CN"/>
        </w:rPr>
        <w:t>及建筑面积：</w:t>
      </w:r>
      <w:r>
        <w:rPr>
          <w:rFonts w:hint="eastAsia" w:ascii="仿宋_GB2312" w:hAnsi="仿宋_GB2312" w:eastAsia="仿宋_GB2312"/>
          <w:sz w:val="30"/>
          <w:lang w:val="en-US" w:eastAsia="zh-CN"/>
        </w:rPr>
        <w:t>18.06平方米储藏间</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2、估价对象基本状况</w:t>
      </w:r>
    </w:p>
    <w:p>
      <w:pPr>
        <w:widowControl w:val="0"/>
        <w:spacing w:line="548" w:lineRule="atLeast"/>
        <w:ind w:firstLine="600" w:firstLineChars="0"/>
        <w:rPr>
          <w:rFonts w:hint="eastAsia" w:ascii="仿宋_GB2312" w:hAnsi="仿宋_GB2312" w:eastAsia="仿宋_GB2312"/>
          <w:spacing w:val="-9"/>
          <w:sz w:val="30"/>
        </w:rPr>
      </w:pPr>
      <w:r>
        <w:rPr>
          <w:rFonts w:hint="eastAsia" w:ascii="仿宋_GB2312" w:hAnsi="仿宋_GB2312" w:eastAsia="仿宋_GB2312"/>
          <w:spacing w:val="-9"/>
          <w:sz w:val="30"/>
        </w:rPr>
        <w:t>估价对象位于</w:t>
      </w:r>
      <w:r>
        <w:rPr>
          <w:rFonts w:hint="eastAsia" w:ascii="仿宋_GB2312" w:hAnsi="仿宋_GB2312" w:eastAsia="仿宋_GB2312"/>
          <w:spacing w:val="-3"/>
          <w:sz w:val="30"/>
          <w:lang w:eastAsia="zh-CN"/>
        </w:rPr>
        <w:t>泊头市道东街东方俪园小区9-1-602室</w:t>
      </w:r>
      <w:r>
        <w:rPr>
          <w:rFonts w:hint="eastAsia" w:ascii="仿宋_GB2312" w:hAnsi="仿宋_GB2312" w:eastAsia="仿宋_GB2312"/>
          <w:spacing w:val="-9"/>
          <w:sz w:val="30"/>
        </w:rPr>
        <w:t>，根据委托方提供的</w:t>
      </w:r>
      <w:r>
        <w:rPr>
          <w:rFonts w:hint="eastAsia" w:ascii="仿宋_GB2312" w:hAnsi="仿宋_GB2312" w:eastAsia="仿宋_GB2312"/>
          <w:sz w:val="30"/>
          <w:lang w:eastAsia="zh-CN"/>
        </w:rPr>
        <w:t>《不动产权证书》</w:t>
      </w:r>
      <w:r>
        <w:rPr>
          <w:rFonts w:hint="eastAsia" w:ascii="仿宋_GB2312" w:hAnsi="仿宋_GB2312" w:eastAsia="仿宋_GB2312"/>
          <w:spacing w:val="-9"/>
          <w:sz w:val="30"/>
        </w:rPr>
        <w:t>记载，</w:t>
      </w:r>
      <w:r>
        <w:rPr>
          <w:rFonts w:hint="eastAsia" w:ascii="仿宋_GB2312" w:hAnsi="仿宋_GB2312" w:eastAsia="仿宋_GB2312"/>
          <w:spacing w:val="-9"/>
          <w:sz w:val="30"/>
          <w:lang w:eastAsia="zh-CN"/>
        </w:rPr>
        <w:t>权利</w:t>
      </w:r>
      <w:r>
        <w:rPr>
          <w:rFonts w:hint="eastAsia" w:ascii="仿宋_GB2312" w:hAnsi="仿宋_GB2312" w:eastAsia="仿宋_GB2312"/>
          <w:spacing w:val="-9"/>
          <w:sz w:val="30"/>
        </w:rPr>
        <w:t>人：</w:t>
      </w:r>
      <w:r>
        <w:rPr>
          <w:rFonts w:hint="eastAsia" w:ascii="仿宋_GB2312" w:hAnsi="仿宋_GB2312" w:eastAsia="仿宋_GB2312"/>
          <w:spacing w:val="-9"/>
          <w:sz w:val="30"/>
          <w:lang w:eastAsia="zh-CN"/>
        </w:rPr>
        <w:t>丁瑞峰、石晓萍</w:t>
      </w:r>
      <w:r>
        <w:rPr>
          <w:rFonts w:hint="eastAsia" w:ascii="仿宋_GB2312" w:hAnsi="仿宋_GB2312" w:eastAsia="仿宋_GB2312"/>
          <w:spacing w:val="-9"/>
          <w:sz w:val="30"/>
        </w:rPr>
        <w:t>，</w:t>
      </w:r>
      <w:r>
        <w:rPr>
          <w:rFonts w:hint="eastAsia" w:ascii="仿宋_GB2312" w:hAnsi="仿宋_GB2312" w:eastAsia="仿宋_GB2312"/>
          <w:spacing w:val="-9"/>
          <w:sz w:val="30"/>
          <w:lang w:eastAsia="zh-CN"/>
        </w:rPr>
        <w:t>不动产权证号为冀（</w:t>
      </w:r>
      <w:r>
        <w:rPr>
          <w:rFonts w:hint="eastAsia" w:ascii="仿宋_GB2312" w:hAnsi="仿宋_GB2312" w:eastAsia="仿宋_GB2312"/>
          <w:spacing w:val="-9"/>
          <w:sz w:val="30"/>
          <w:lang w:val="en-US" w:eastAsia="zh-CN"/>
        </w:rPr>
        <w:t>2018</w:t>
      </w:r>
      <w:r>
        <w:rPr>
          <w:rFonts w:hint="eastAsia" w:ascii="仿宋_GB2312" w:hAnsi="仿宋_GB2312" w:eastAsia="仿宋_GB2312"/>
          <w:spacing w:val="-9"/>
          <w:sz w:val="30"/>
          <w:lang w:eastAsia="zh-CN"/>
        </w:rPr>
        <w:t>）泊头市不动产权第</w:t>
      </w:r>
      <w:r>
        <w:rPr>
          <w:rFonts w:hint="eastAsia" w:ascii="仿宋_GB2312" w:hAnsi="仿宋_GB2312" w:eastAsia="仿宋_GB2312"/>
          <w:spacing w:val="-9"/>
          <w:sz w:val="30"/>
          <w:lang w:val="en-US" w:eastAsia="zh-CN"/>
        </w:rPr>
        <w:t>0003718号，总</w:t>
      </w:r>
      <w:r>
        <w:rPr>
          <w:rFonts w:hint="eastAsia" w:ascii="仿宋_GB2312" w:hAnsi="仿宋_GB2312" w:eastAsia="仿宋_GB2312"/>
          <w:spacing w:val="-9"/>
          <w:sz w:val="30"/>
        </w:rPr>
        <w:t>建筑面积：</w:t>
      </w:r>
      <w:r>
        <w:rPr>
          <w:rFonts w:hint="eastAsia" w:ascii="仿宋_GB2312" w:hAnsi="仿宋_GB2312" w:eastAsia="仿宋_GB2312"/>
          <w:spacing w:val="-9"/>
          <w:sz w:val="30"/>
          <w:lang w:val="en-US" w:eastAsia="zh-CN"/>
        </w:rPr>
        <w:t>141.44平方米（其中房屋建筑面积：</w:t>
      </w:r>
      <w:r>
        <w:rPr>
          <w:rFonts w:hint="eastAsia" w:ascii="仿宋_GB2312" w:hAnsi="仿宋_GB2312" w:eastAsia="仿宋_GB2312"/>
          <w:spacing w:val="-9"/>
          <w:sz w:val="30"/>
          <w:lang w:eastAsia="zh-CN"/>
        </w:rPr>
        <w:t>123.38</w:t>
      </w:r>
      <w:r>
        <w:rPr>
          <w:rFonts w:hint="eastAsia" w:ascii="仿宋_GB2312" w:hAnsi="仿宋_GB2312" w:eastAsia="仿宋_GB2312"/>
          <w:spacing w:val="-9"/>
          <w:sz w:val="30"/>
        </w:rPr>
        <w:t>平方米，</w:t>
      </w:r>
      <w:r>
        <w:rPr>
          <w:rFonts w:hint="eastAsia" w:ascii="仿宋_GB2312" w:hAnsi="仿宋_GB2312" w:eastAsia="仿宋_GB2312"/>
          <w:spacing w:val="-9"/>
          <w:sz w:val="30"/>
          <w:lang w:eastAsia="zh-CN"/>
        </w:rPr>
        <w:t>储藏间建筑面积：</w:t>
      </w:r>
      <w:r>
        <w:rPr>
          <w:rFonts w:hint="eastAsia" w:ascii="仿宋_GB2312" w:hAnsi="仿宋_GB2312" w:eastAsia="仿宋_GB2312"/>
          <w:spacing w:val="-9"/>
          <w:sz w:val="30"/>
          <w:lang w:val="en-US" w:eastAsia="zh-CN"/>
        </w:rPr>
        <w:t>18.06平方米），</w:t>
      </w:r>
      <w:r>
        <w:rPr>
          <w:rFonts w:hint="eastAsia" w:ascii="仿宋_GB2312" w:hAnsi="仿宋_GB2312" w:eastAsia="仿宋_GB2312"/>
          <w:spacing w:val="-9"/>
          <w:sz w:val="30"/>
          <w:lang w:eastAsia="zh-CN"/>
        </w:rPr>
        <w:t>用途为成套住宅。</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pacing w:val="-3"/>
          <w:sz w:val="30"/>
          <w:lang w:eastAsia="zh-CN"/>
        </w:rPr>
        <w:t>泊头市道东街东方俪园小区9-1-602室</w:t>
      </w:r>
      <w:r>
        <w:rPr>
          <w:rFonts w:hint="eastAsia" w:ascii="仿宋_GB2312" w:hAnsi="仿宋_GB2312" w:eastAsia="仿宋_GB2312"/>
          <w:spacing w:val="-9"/>
          <w:sz w:val="30"/>
        </w:rPr>
        <w:t>，形状规则，</w:t>
      </w:r>
      <w:r>
        <w:rPr>
          <w:rFonts w:hint="eastAsia" w:ascii="仿宋_GB2312" w:hAnsi="仿宋_GB2312" w:eastAsia="仿宋_GB2312"/>
          <w:sz w:val="30"/>
        </w:rPr>
        <w:t>地形平坦，地势平缓，地质条件好，开发程度达到宗地红线内外“</w:t>
      </w:r>
      <w:r>
        <w:rPr>
          <w:rFonts w:hint="eastAsia" w:ascii="仿宋_GB2312" w:hAnsi="仿宋_GB2312" w:eastAsia="仿宋_GB2312"/>
          <w:sz w:val="30"/>
          <w:lang w:eastAsia="zh-CN"/>
        </w:rPr>
        <w:t>七</w:t>
      </w:r>
      <w:r>
        <w:rPr>
          <w:rFonts w:hint="eastAsia" w:ascii="仿宋_GB2312" w:hAnsi="仿宋_GB2312" w:eastAsia="仿宋_GB2312"/>
          <w:sz w:val="30"/>
        </w:rPr>
        <w:t>通”及场地平整。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4、建筑物基本状况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w:t>
      </w:r>
      <w:r>
        <w:rPr>
          <w:rFonts w:hint="eastAsia" w:ascii="仿宋_GB2312" w:hAnsi="仿宋_GB2312" w:eastAsia="仿宋_GB2312"/>
          <w:sz w:val="30"/>
          <w:lang w:val="en-US" w:eastAsia="zh-CN"/>
        </w:rPr>
        <w:t>2011年建成，</w:t>
      </w:r>
      <w:r>
        <w:rPr>
          <w:rFonts w:hint="eastAsia" w:ascii="仿宋_GB2312" w:hAnsi="仿宋_GB2312" w:eastAsia="仿宋_GB2312"/>
          <w:sz w:val="30"/>
          <w:lang w:eastAsia="zh-CN"/>
        </w:rPr>
        <w:t>混合</w:t>
      </w:r>
      <w:r>
        <w:rPr>
          <w:rFonts w:hint="eastAsia" w:ascii="仿宋_GB2312" w:hAnsi="仿宋_GB2312" w:eastAsia="仿宋_GB2312"/>
          <w:sz w:val="30"/>
        </w:rPr>
        <w:t>结构，所在第</w:t>
      </w:r>
      <w:r>
        <w:rPr>
          <w:rFonts w:hint="eastAsia" w:ascii="仿宋_GB2312" w:hAnsi="仿宋_GB2312" w:eastAsia="仿宋_GB2312"/>
          <w:sz w:val="30"/>
          <w:lang w:val="en-US" w:eastAsia="zh-CN"/>
        </w:rPr>
        <w:t>7</w:t>
      </w:r>
      <w:r>
        <w:rPr>
          <w:rFonts w:hint="eastAsia" w:ascii="仿宋_GB2312" w:hAnsi="仿宋_GB2312" w:eastAsia="仿宋_GB2312"/>
          <w:sz w:val="30"/>
        </w:rPr>
        <w:t>层，共</w:t>
      </w:r>
      <w:r>
        <w:rPr>
          <w:rFonts w:hint="eastAsia" w:ascii="仿宋_GB2312" w:hAnsi="仿宋_GB2312" w:eastAsia="仿宋_GB2312"/>
          <w:sz w:val="30"/>
          <w:lang w:val="en-US" w:eastAsia="zh-CN"/>
        </w:rPr>
        <w:t>7</w:t>
      </w:r>
      <w:r>
        <w:rPr>
          <w:rFonts w:hint="eastAsia" w:ascii="仿宋_GB2312" w:hAnsi="仿宋_GB2312" w:eastAsia="仿宋_GB2312"/>
          <w:sz w:val="30"/>
        </w:rPr>
        <w:t>层</w:t>
      </w:r>
      <w:r>
        <w:rPr>
          <w:rFonts w:hint="eastAsia" w:ascii="仿宋_GB2312" w:hAnsi="仿宋_GB2312" w:eastAsia="仿宋_GB2312"/>
          <w:sz w:val="30"/>
          <w:lang w:eastAsia="zh-CN"/>
        </w:rPr>
        <w:t>（含地上</w:t>
      </w:r>
      <w:r>
        <w:rPr>
          <w:rFonts w:hint="eastAsia" w:ascii="仿宋_GB2312" w:hAnsi="仿宋_GB2312" w:eastAsia="仿宋_GB2312"/>
          <w:sz w:val="30"/>
          <w:lang w:val="en-US" w:eastAsia="zh-CN"/>
        </w:rPr>
        <w:t>1</w:t>
      </w:r>
      <w:r>
        <w:rPr>
          <w:rFonts w:hint="eastAsia" w:ascii="仿宋_GB2312" w:hAnsi="仿宋_GB2312" w:eastAsia="仿宋_GB2312"/>
          <w:sz w:val="30"/>
          <w:lang w:eastAsia="zh-CN"/>
        </w:rPr>
        <w:t>层车库）</w:t>
      </w:r>
      <w:r>
        <w:rPr>
          <w:rFonts w:hint="eastAsia" w:ascii="仿宋_GB2312" w:hAnsi="仿宋_GB2312" w:eastAsia="仿宋_GB2312"/>
          <w:sz w:val="30"/>
        </w:rPr>
        <w:t>，室外墙面</w:t>
      </w:r>
      <w:r>
        <w:rPr>
          <w:rFonts w:hint="eastAsia" w:ascii="仿宋_GB2312" w:hAnsi="仿宋_GB2312" w:eastAsia="仿宋_GB2312"/>
          <w:sz w:val="30"/>
          <w:lang w:eastAsia="zh-CN"/>
        </w:rPr>
        <w:t>刷涂料</w:t>
      </w:r>
      <w:r>
        <w:rPr>
          <w:rFonts w:hint="eastAsia" w:ascii="仿宋_GB2312" w:hAnsi="仿宋_GB2312" w:eastAsia="仿宋_GB2312"/>
          <w:sz w:val="30"/>
        </w:rPr>
        <w:t>，</w:t>
      </w:r>
      <w:r>
        <w:rPr>
          <w:rFonts w:hint="eastAsia" w:ascii="仿宋_GB2312" w:hAnsi="仿宋_GB2312" w:eastAsia="仿宋_GB2312"/>
          <w:sz w:val="30"/>
          <w:lang w:eastAsia="zh-CN"/>
        </w:rPr>
        <w:t>塑钢</w:t>
      </w:r>
      <w:r>
        <w:rPr>
          <w:rFonts w:hint="eastAsia" w:ascii="仿宋_GB2312" w:hAnsi="仿宋_GB2312" w:eastAsia="仿宋_GB2312"/>
          <w:sz w:val="30"/>
        </w:rPr>
        <w:t>外窗，</w:t>
      </w:r>
      <w:r>
        <w:rPr>
          <w:rFonts w:hint="eastAsia" w:ascii="仿宋_GB2312" w:hAnsi="仿宋_GB2312" w:eastAsia="仿宋_GB2312"/>
          <w:sz w:val="30"/>
          <w:lang w:eastAsia="zh-CN"/>
        </w:rPr>
        <w:t>入户</w:t>
      </w:r>
      <w:r>
        <w:rPr>
          <w:rFonts w:hint="eastAsia" w:ascii="仿宋_GB2312" w:hAnsi="仿宋_GB2312" w:eastAsia="仿宋_GB2312"/>
          <w:sz w:val="30"/>
        </w:rPr>
        <w:t>防盗门，</w:t>
      </w:r>
      <w:r>
        <w:rPr>
          <w:rFonts w:hint="eastAsia" w:ascii="仿宋_GB2312" w:hAnsi="仿宋_GB2312" w:eastAsia="仿宋_GB2312"/>
          <w:sz w:val="30"/>
          <w:lang w:eastAsia="zh-CN"/>
        </w:rPr>
        <w:t>公共通道水磨石地面，墙面涂料，天花涂料，楼梯间水磨石地面，墙面涂料，天花涂料</w:t>
      </w:r>
      <w:r>
        <w:rPr>
          <w:rFonts w:hint="eastAsia" w:ascii="仿宋_GB2312" w:hAnsi="仿宋_GB2312" w:eastAsia="仿宋_GB2312"/>
          <w:sz w:val="30"/>
        </w:rPr>
        <w:t>；配有水电、消防等，配套设施齐全，维护保养情况较好，房屋结构完好，属完好房。</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五、价值时点</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lang w:eastAsia="zh-CN"/>
        </w:rPr>
        <w:t>2020年8月20日</w:t>
      </w:r>
      <w:r>
        <w:rPr>
          <w:rFonts w:hint="eastAsia" w:ascii="仿宋_GB2312" w:hAnsi="仿宋_GB2312" w:eastAsia="仿宋_GB2312"/>
          <w:sz w:val="30"/>
        </w:rPr>
        <w:t>，以实地查勘日为价值时点。</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六、价值类型</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估价中采用公开市场价值，即估价对象经适当营销后，由熟悉情况、谨慎行事且不受强迫的交易行为，以公平交易方式在价值时点自愿进行交易的金额。</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七、估价原则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本次估价遵循独立、客观、公正原则、合法原则、价值时点原则、替代原则、最高最佳利用原则等房地产估价原则。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1、独立、客观、公正原则：评估价值应为对各方估价利害关系人均是公平合理的价值或价格。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2、合法原则：评估价值应为在依法判定的估价对象状况下的价值或价格。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3、价值时点原则：评估价值应为在根据估价目的确定的某一特定时间的价值或价格。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4、替代原则：评估价值与估价对象的类似房地产在同等条件下的价值或价格偏差应在合理范围内。</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5、最高最佳利用原则：评估价值应为在估价对象最高最佳利用状况下的价值或价格。</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1、法律、法规和政策性文件：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(2)《中华人民共和国土地管理法》；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(3)《中华人民共和国资产评估法》；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(4)《中华人民共和国物权法》；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2、技术标准、规程、规范：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(2)中华人民共和国国家标准（GB/T50899-2013）《房地产估价基本术语标准》；</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3、委托方提供的相关资料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pacing w:val="-9"/>
          <w:sz w:val="30"/>
          <w:lang w:eastAsia="zh-CN"/>
        </w:rPr>
        <w:t>《不动产权证书》</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4、估价方搜集的相关资料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(1)估价人员现场查勘和估价机构掌握的其他相关资料；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(2)估价对象所在区域的房地产市场状况。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1、鉴于估价对象所在地区房地产市场发育充分，区域内类似房地产的市场交易案例较多，宜采用比较法进行评估。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2、估价对象用途为住宅，属于收益性物业，但租赁收益率低且相关收益参数较难确定，故不适宜采用收益法。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3、现时用途房地产价格与成本关联性弱，房地产的开发成本不能准确反映房地产的实际市场价值，故不适宜采用成本法。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4、估价对象属于建成并已投入使用的物业，非待开发建设物业，不产生后续开发成本，故不适宜采用假设开发法。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综合所述，本报告采用比较法进行评估。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比较法：是选取一定数量的可比实例，将它们与估价对象进行比较，根据其间的差异对可比实例成交价格进行处理后得到估价对象价值或价格的方法。</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估价人员根据估价目的，遵循估价原则，按照估价工作程序，运用适用的估价方法，仔细考察估价对象的特征，经过全面细致的测算，并结合估价经验和对影响项目价值因素的分析，确定估价对象在价值时点的</w:t>
      </w:r>
      <w:r>
        <w:rPr>
          <w:rFonts w:hint="eastAsia" w:ascii="仿宋_GB2312" w:hAnsi="仿宋_GB2312" w:eastAsia="仿宋_GB2312"/>
          <w:sz w:val="30"/>
          <w:lang w:eastAsia="zh-CN"/>
        </w:rPr>
        <w:t>市场价值</w:t>
      </w:r>
      <w:r>
        <w:rPr>
          <w:rFonts w:hint="eastAsia" w:ascii="仿宋_GB2312" w:hAnsi="仿宋_GB2312" w:eastAsia="仿宋_GB2312"/>
          <w:sz w:val="30"/>
        </w:rPr>
        <w:t>为￥</w:t>
      </w:r>
      <w:r>
        <w:rPr>
          <w:rFonts w:hint="eastAsia" w:ascii="仿宋_GB2312" w:hAnsi="仿宋_GB2312" w:eastAsia="仿宋_GB2312"/>
          <w:b/>
          <w:sz w:val="30"/>
          <w:lang w:eastAsia="zh-CN"/>
        </w:rPr>
        <w:t>84.67</w:t>
      </w:r>
      <w:r>
        <w:rPr>
          <w:rFonts w:hint="eastAsia" w:ascii="仿宋_GB2312" w:hAnsi="仿宋_GB2312" w:eastAsia="仿宋_GB2312"/>
          <w:b/>
          <w:sz w:val="30"/>
        </w:rPr>
        <w:t>万元</w:t>
      </w:r>
      <w:r>
        <w:rPr>
          <w:rFonts w:hint="eastAsia" w:ascii="仿宋_GB2312" w:hAnsi="仿宋_GB2312" w:eastAsia="仿宋_GB2312"/>
          <w:sz w:val="30"/>
        </w:rPr>
        <w:t>（</w:t>
      </w:r>
      <w:r>
        <w:rPr>
          <w:rFonts w:hint="eastAsia" w:ascii="仿宋_GB2312" w:hAnsi="仿宋_GB2312" w:eastAsia="仿宋_GB2312"/>
          <w:b/>
          <w:sz w:val="30"/>
        </w:rPr>
        <w:t>人民币</w:t>
      </w:r>
      <w:r>
        <w:rPr>
          <w:rFonts w:hint="eastAsia" w:ascii="仿宋_GB2312" w:hAnsi="仿宋_GB2312" w:eastAsia="仿宋_GB2312"/>
          <w:b/>
          <w:sz w:val="30"/>
          <w:lang w:eastAsia="zh-CN"/>
        </w:rPr>
        <w:t>捌拾肆万陆仟柒佰</w:t>
      </w:r>
      <w:r>
        <w:rPr>
          <w:rFonts w:hint="eastAsia" w:ascii="仿宋_GB2312" w:hAnsi="仿宋_GB2312" w:eastAsia="仿宋_GB2312"/>
          <w:b/>
          <w:sz w:val="30"/>
        </w:rPr>
        <w:t>元整）</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十一、注册房地产估价师</w:t>
      </w:r>
    </w:p>
    <w:tbl>
      <w:tblPr>
        <w:tblStyle w:val="4"/>
        <w:tblpPr w:vertAnchor="page" w:horzAnchor="page" w:tblpX="1936" w:tblpY="3305"/>
        <w:tblW w:w="798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58"/>
        <w:gridCol w:w="2670"/>
        <w:gridCol w:w="26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59" w:hRule="exact"/>
        </w:trPr>
        <w:tc>
          <w:tcPr>
            <w:tcW w:w="2658" w:type="dxa"/>
            <w:tcBorders>
              <w:bottom w:val="single" w:color="000000" w:sz="4" w:space="0"/>
              <w:right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70" w:type="dxa"/>
            <w:tcBorders>
              <w:bottom w:val="single" w:color="000000" w:sz="4" w:space="0"/>
              <w:right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W w:w="2658" w:type="dxa"/>
            <w:tcBorders>
              <w:bottom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53" w:hRule="exact"/>
        </w:trPr>
        <w:tc>
          <w:tcPr>
            <w:tcW w:w="2658" w:type="dxa"/>
            <w:tcBorders>
              <w:bottom w:val="single" w:color="000000" w:sz="4" w:space="0"/>
              <w:right w:val="single" w:color="000000" w:sz="4" w:space="0"/>
            </w:tcBorders>
            <w:vAlign w:val="center"/>
          </w:tcPr>
          <w:p>
            <w:pPr>
              <w:pStyle w:val="5"/>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hint="eastAsia" w:ascii="Times New Roman" w:hAnsi="Times New Roman" w:eastAsia="仿宋_GB2312"/>
                <w:b w:val="0"/>
                <w:i w:val="0"/>
                <w:strike w:val="0"/>
                <w:color w:val="000000"/>
                <w:spacing w:val="0"/>
                <w:w w:val="100"/>
                <w:sz w:val="24"/>
                <w:lang w:eastAsia="zh-CN"/>
              </w:rPr>
              <w:t>张东强</w:t>
            </w:r>
          </w:p>
        </w:tc>
        <w:tc>
          <w:tcPr>
            <w:tcW w:w="2670" w:type="dxa"/>
            <w:tcBorders>
              <w:bottom w:val="single" w:color="000000" w:sz="4" w:space="0"/>
              <w:right w:val="single" w:color="000000" w:sz="4" w:space="0"/>
            </w:tcBorders>
            <w:vAlign w:val="center"/>
          </w:tcPr>
          <w:p>
            <w:pPr>
              <w:pStyle w:val="5"/>
              <w:spacing w:line="308" w:lineRule="atLeast"/>
              <w:jc w:val="center"/>
              <w:textAlignment w:val="center"/>
              <w:rPr>
                <w:rFonts w:hint="default" w:ascii="Times New Roman" w:hAnsi="Times New Roman" w:eastAsia="仿宋_GB2312"/>
                <w:b w:val="0"/>
                <w:i w:val="0"/>
                <w:strike w:val="0"/>
                <w:color w:val="000000"/>
                <w:spacing w:val="0"/>
                <w:w w:val="100"/>
                <w:sz w:val="24"/>
                <w:lang w:val="en-US" w:eastAsia="zh-CN"/>
              </w:rPr>
            </w:pPr>
            <w:r>
              <w:rPr>
                <w:rFonts w:ascii="Times New Roman" w:hAnsi="Times New Roman" w:eastAsia="仿宋_GB2312"/>
                <w:b w:val="0"/>
                <w:i w:val="0"/>
                <w:strike w:val="0"/>
                <w:color w:val="000000"/>
                <w:spacing w:val="0"/>
                <w:w w:val="100"/>
                <w:sz w:val="24"/>
              </w:rPr>
              <w:t>1</w:t>
            </w:r>
            <w:r>
              <w:rPr>
                <w:rFonts w:hint="eastAsia" w:ascii="Times New Roman" w:hAnsi="Times New Roman" w:eastAsia="仿宋_GB2312"/>
                <w:b w:val="0"/>
                <w:i w:val="0"/>
                <w:strike w:val="0"/>
                <w:color w:val="000000"/>
                <w:spacing w:val="0"/>
                <w:w w:val="100"/>
                <w:sz w:val="24"/>
                <w:lang w:val="en-US" w:eastAsia="zh-CN"/>
              </w:rPr>
              <w:t>319970048</w:t>
            </w:r>
          </w:p>
        </w:tc>
        <w:tc>
          <w:tcPr>
            <w:tcW w:w="2658" w:type="dxa"/>
            <w:tcBorders>
              <w:bottom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42" w:hRule="exact"/>
        </w:trPr>
        <w:tc>
          <w:tcPr>
            <w:tcW w:w="2658" w:type="dxa"/>
            <w:tcBorders>
              <w:right w:val="single" w:color="000000" w:sz="4" w:space="0"/>
            </w:tcBorders>
            <w:vAlign w:val="center"/>
          </w:tcPr>
          <w:p>
            <w:pPr>
              <w:pStyle w:val="5"/>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hint="eastAsia" w:ascii="Times New Roman" w:hAnsi="Times New Roman" w:eastAsia="仿宋_GB2312"/>
                <w:b w:val="0"/>
                <w:i w:val="0"/>
                <w:strike w:val="0"/>
                <w:color w:val="000000"/>
                <w:spacing w:val="0"/>
                <w:w w:val="100"/>
                <w:sz w:val="24"/>
                <w:lang w:eastAsia="zh-CN"/>
              </w:rPr>
              <w:t>马</w:t>
            </w:r>
            <w:r>
              <w:rPr>
                <w:rFonts w:hint="eastAsia" w:ascii="Times New Roman" w:hAnsi="Times New Roman" w:eastAsia="仿宋_GB2312"/>
                <w:b w:val="0"/>
                <w:i w:val="0"/>
                <w:strike w:val="0"/>
                <w:color w:val="000000"/>
                <w:spacing w:val="0"/>
                <w:w w:val="100"/>
                <w:sz w:val="24"/>
                <w:lang w:val="en-US" w:eastAsia="zh-CN"/>
              </w:rPr>
              <w:t xml:space="preserve">  </w:t>
            </w:r>
            <w:r>
              <w:rPr>
                <w:rFonts w:hint="eastAsia" w:ascii="Times New Roman" w:hAnsi="Times New Roman" w:eastAsia="仿宋_GB2312"/>
                <w:b w:val="0"/>
                <w:i w:val="0"/>
                <w:strike w:val="0"/>
                <w:color w:val="000000"/>
                <w:spacing w:val="0"/>
                <w:w w:val="100"/>
                <w:sz w:val="24"/>
                <w:lang w:eastAsia="zh-CN"/>
              </w:rPr>
              <w:t>静</w:t>
            </w:r>
          </w:p>
        </w:tc>
        <w:tc>
          <w:tcPr>
            <w:tcW w:w="2670" w:type="dxa"/>
            <w:tcBorders>
              <w:right w:val="single" w:color="000000" w:sz="4" w:space="0"/>
            </w:tcBorders>
            <w:vAlign w:val="center"/>
          </w:tcPr>
          <w:p>
            <w:pPr>
              <w:pStyle w:val="5"/>
              <w:spacing w:line="308" w:lineRule="atLeast"/>
              <w:jc w:val="center"/>
              <w:textAlignment w:val="center"/>
              <w:rPr>
                <w:rFonts w:hint="default" w:ascii="Times New Roman" w:hAnsi="Times New Roman" w:eastAsia="仿宋_GB2312"/>
                <w:b w:val="0"/>
                <w:i w:val="0"/>
                <w:strike w:val="0"/>
                <w:color w:val="000000"/>
                <w:spacing w:val="0"/>
                <w:w w:val="100"/>
                <w:sz w:val="24"/>
                <w:lang w:val="en-US" w:eastAsia="zh-CN"/>
              </w:rPr>
            </w:pPr>
            <w:r>
              <w:rPr>
                <w:rFonts w:hint="eastAsia" w:ascii="Times New Roman" w:hAnsi="Times New Roman" w:eastAsia="仿宋_GB2312"/>
                <w:b w:val="0"/>
                <w:i w:val="0"/>
                <w:strike w:val="0"/>
                <w:color w:val="000000"/>
                <w:spacing w:val="0"/>
                <w:w w:val="100"/>
                <w:sz w:val="24"/>
                <w:lang w:val="en-US" w:eastAsia="zh-CN"/>
              </w:rPr>
              <w:t>1320190062</w:t>
            </w:r>
          </w:p>
        </w:tc>
        <w:tc>
          <w:tcPr>
            <w:tcW w:w="2658" w:type="dxa"/>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p>
      <w:pPr>
        <w:widowControl w:val="0"/>
        <w:spacing w:line="548" w:lineRule="atLeast"/>
        <w:ind w:firstLine="600" w:firstLineChars="0"/>
        <w:jc w:val="center"/>
        <w:rPr>
          <w:rFonts w:hint="eastAsia" w:ascii="仿宋_GB2312" w:hAnsi="仿宋_GB2312" w:eastAsia="仿宋_GB2312"/>
          <w:b/>
          <w:sz w:val="30"/>
        </w:rPr>
      </w:pPr>
      <w:r>
        <w:rPr>
          <w:rFonts w:hint="eastAsia" w:ascii="仿宋_GB2312" w:hAnsi="仿宋_GB2312" w:eastAsia="仿宋_GB2312"/>
          <w:sz w:val="30"/>
        </w:rPr>
        <w:t>协助估价人员</w:t>
      </w:r>
    </w:p>
    <w:tbl>
      <w:tblPr>
        <w:tblStyle w:val="4"/>
        <w:tblpPr w:vertAnchor="page" w:horzAnchor="page" w:tblpX="1906" w:tblpY="5363"/>
        <w:tblW w:w="7939"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49"/>
        <w:gridCol w:w="2645"/>
        <w:gridCol w:w="264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2649" w:type="dxa"/>
            <w:tcBorders>
              <w:bottom w:val="single" w:color="000000" w:sz="4" w:space="0"/>
              <w:right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45" w:type="dxa"/>
            <w:tcBorders>
              <w:bottom w:val="single" w:color="000000" w:sz="4" w:space="0"/>
              <w:right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W w:w="2645" w:type="dxa"/>
            <w:tcBorders>
              <w:bottom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42" w:hRule="exact"/>
        </w:trPr>
        <w:tc>
          <w:tcPr>
            <w:tcW w:w="2649" w:type="dxa"/>
            <w:tcBorders>
              <w:right w:val="single" w:color="000000" w:sz="4" w:space="0"/>
            </w:tcBorders>
            <w:vAlign w:val="center"/>
          </w:tcPr>
          <w:p>
            <w:pPr>
              <w:pStyle w:val="5"/>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ascii="Times New Roman" w:hAnsi="Times New Roman" w:eastAsia="仿宋_GB2312"/>
                <w:b w:val="0"/>
                <w:i w:val="0"/>
                <w:strike w:val="0"/>
                <w:color w:val="000000"/>
                <w:spacing w:val="0"/>
                <w:w w:val="100"/>
                <w:sz w:val="24"/>
              </w:rPr>
              <w:t>张</w:t>
            </w:r>
            <w:r>
              <w:rPr>
                <w:rFonts w:hint="eastAsia" w:ascii="Times New Roman" w:hAnsi="Times New Roman" w:eastAsia="仿宋_GB2312"/>
                <w:b w:val="0"/>
                <w:i w:val="0"/>
                <w:strike w:val="0"/>
                <w:color w:val="000000"/>
                <w:spacing w:val="0"/>
                <w:w w:val="100"/>
                <w:sz w:val="24"/>
                <w:lang w:eastAsia="zh-CN"/>
              </w:rPr>
              <w:t>猛</w:t>
            </w:r>
          </w:p>
        </w:tc>
        <w:tc>
          <w:tcPr>
            <w:tcW w:w="2645" w:type="dxa"/>
            <w:tcBorders>
              <w:right w:val="single" w:color="000000" w:sz="4" w:space="0"/>
            </w:tcBorders>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p>
        </w:tc>
        <w:tc>
          <w:tcPr>
            <w:tcW w:w="2645" w:type="dxa"/>
            <w:vAlign w:val="center"/>
          </w:tcPr>
          <w:p>
            <w:pPr>
              <w:pStyle w:val="5"/>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十二、实地查勘期</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lang w:eastAsia="zh-CN"/>
        </w:rPr>
        <w:t>2020年8月20日</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十三、估价作业期</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lang w:eastAsia="zh-CN"/>
        </w:rPr>
        <w:t>2020年8月20日</w:t>
      </w:r>
      <w:r>
        <w:rPr>
          <w:rFonts w:hint="eastAsia" w:ascii="仿宋_GB2312" w:hAnsi="仿宋_GB2312" w:eastAsia="仿宋_GB2312"/>
          <w:sz w:val="30"/>
        </w:rPr>
        <w:t>——</w:t>
      </w:r>
      <w:r>
        <w:rPr>
          <w:rFonts w:hint="eastAsia" w:ascii="仿宋_GB2312" w:hAnsi="仿宋_GB2312" w:eastAsia="仿宋_GB2312"/>
          <w:sz w:val="30"/>
          <w:lang w:eastAsia="zh-CN"/>
        </w:rPr>
        <w:t>2020年9月10日</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附件</w:t>
      </w:r>
    </w:p>
    <w:p>
      <w:pPr>
        <w:widowControl w:val="0"/>
        <w:spacing w:line="548" w:lineRule="atLeast"/>
        <w:ind w:firstLine="600" w:firstLineChars="0"/>
        <w:jc w:val="center"/>
        <w:rPr>
          <w:rFonts w:hint="eastAsia" w:ascii="黑体" w:hAnsi="黑体" w:eastAsia="黑体"/>
          <w:sz w:val="30"/>
        </w:rPr>
      </w:pP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《不动产权证书》</w:t>
      </w:r>
      <w:r>
        <w:rPr>
          <w:rFonts w:hint="eastAsia" w:ascii="仿宋_GB2312" w:hAnsi="仿宋_GB2312" w:eastAsia="仿宋_GB2312"/>
          <w:sz w:val="30"/>
        </w:rPr>
        <w:t>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、房地产价格评估机构营业执照复印件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六</w:t>
      </w:r>
      <w:r>
        <w:rPr>
          <w:rFonts w:hint="eastAsia" w:ascii="仿宋_GB2312" w:hAnsi="仿宋_GB2312" w:eastAsia="仿宋_GB2312"/>
          <w:sz w:val="30"/>
        </w:rPr>
        <w:t>、房地产价格评估机构资质证书复印件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七</w:t>
      </w:r>
      <w:r>
        <w:rPr>
          <w:rFonts w:hint="eastAsia" w:ascii="仿宋_GB2312" w:hAnsi="仿宋_GB2312" w:eastAsia="仿宋_GB2312"/>
          <w:sz w:val="30"/>
        </w:rPr>
        <w:t>、注册房地产估价师注册证书复印件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rPr>
          <w:rFonts w:hint="eastAsia" w:eastAsiaTheme="minorEastAsia"/>
          <w:lang w:eastAsia="zh-CN"/>
        </w:rPr>
      </w:pPr>
      <w:bookmarkStart w:id="0" w:name="_GoBack"/>
      <w:bookmarkEnd w:id="0"/>
    </w:p>
    <w:p>
      <w:pPr>
        <w:rPr>
          <w:rFonts w:hint="eastAsia" w:eastAsiaTheme="minorEastAsia"/>
          <w:lang w:eastAsia="zh-CN"/>
        </w:rPr>
      </w:pPr>
      <w:r>
        <w:rPr>
          <w:rFonts w:hint="eastAsia" w:eastAsiaTheme="minorEastAsia"/>
          <w:lang w:eastAsia="zh-CN"/>
        </w:rPr>
        <w:drawing>
          <wp:inline distT="0" distB="0" distL="114300" distR="114300">
            <wp:extent cx="5266690" cy="7022465"/>
            <wp:effectExtent l="0" t="0" r="10160" b="6985"/>
            <wp:docPr id="2" name="图片 2" descr="10ede69a852ccd85f88d3daf8461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ede69a852ccd85f88d3daf8461da4"/>
                    <pic:cNvPicPr>
                      <a:picLocks noChangeAspect="1"/>
                    </pic:cNvPicPr>
                  </pic:nvPicPr>
                  <pic:blipFill>
                    <a:blip r:embed="rId8"/>
                    <a:stretch>
                      <a:fillRect/>
                    </a:stretch>
                  </pic:blipFill>
                  <pic:spPr>
                    <a:xfrm>
                      <a:off x="0" y="0"/>
                      <a:ext cx="5266690" cy="702246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upright="1"/>
                  </wps:wsp>
                </a:graphicData>
              </a:graphic>
            </wp:inline>
          </w:drawing>
        </mc:Choice>
        <mc:Fallback>
          <w:pict>
            <v:rect id="_x0000_s1026" o:spt="1" style="height:42.5pt;width:425.15pt;" filled="f" stroked="f" coordsize="21600,21600" o:gfxdata="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qkpm0gAAAAQBAAAPAAAAAAAAAAEAIAAAACIA&#10;AABkcnMvZG93bnJldi54bWxQSwECFAAUAAAACACHTuJAVVcbWp0BAAAdAwAADgAAAAAAAAABACAA&#10;AAAhAQAAZHJzL2Uyb0RvYy54bWxQSwUGAAAAAAYABgBZAQAAMAUAAAAA&#10;">
              <v:path/>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upright="1"/>
                  </wps:wsp>
                </a:graphicData>
              </a:graphic>
            </wp:inline>
          </w:drawing>
        </mc:Choice>
        <mc:Fallback>
          <w:pict>
            <v:rect id="_x0000_s1026" o:spt="1" style="height:42.5pt;width:425.15pt;" filled="f" stroked="f" coordsize="21600,21600" o:gfxdata="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qkpm0gAAAAQBAAAPAAAAAAAAAAEAIAAAACIA&#10;AABkcnMvZG93bnJldi54bWxQSwECFAAUAAAACACHTuJAfv2YMJ0BAAAdAwAADgAAAAAAAAABACAA&#10;AAAhAQAAZHJzL2Uyb0RvYy54bWxQSwUGAAAAAAYABgBZAQAAMAUAAAAA&#10;">
              <v:path/>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f5zE1gAAAAUBAAAP&#10;AAAAAAAAAAEAIAAAACIAAABkcnMvZG93bnJldi54bWxQSwECFAAUAAAACACHTuJAZAXIqqgBAAAt&#10;AwAADgAAAAAAAAABACAAAAAlAQAAZHJzL2Uyb0RvYy54bWxQSwUGAAAAAAYABgBZAQAAPwUAAAAA&#10;">
              <v:path/>
              <v:fill on="f" focussize="0,0"/>
              <v:stroke on="f" weight="0.566929133858268pt"/>
              <v:imagedata o:title=""/>
              <o:lock v:ext="edit"/>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upright="1"/>
                  </wps:wsp>
                </a:graphicData>
              </a:graphic>
            </wp:inline>
          </w:drawing>
        </mc:Choice>
        <mc:Fallback>
          <w:pict>
            <v:rect id="_x0000_s1026" o:spt="1" style="height:70.85pt;width:425.15pt;" filled="f" stroked="f" coordsize="21600,21600" o:gfxdata="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jk1ULVAAAABQEAAA8AAAAAAAAAAQAg&#10;AAAAIgAAAGRycy9kb3ducmV2LnhtbFBLAQIUABQAAAAIAIdO4kDitRB7nwEAAB0DAAAOAAAAAAAA&#10;AAEAIAAAACQBAABkcnMvZTJvRG9jLnhtbFBLBQYAAAAABgAGAFkBAAA1BQAAAAA=&#10;">
              <v:path/>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5/nMTWAAAABQEAAA8A&#10;AAAAAAAAAQAgAAAAIgAAAGRycy9kb3ducmV2LnhtbFBLAQIUABQAAAAIAIdO4kDOi2KCpwEAAC0D&#10;AAAOAAAAAAAAAAEAIAAAACUBAABkcnMvZTJvRG9jLnhtbFBLBQYAAAAABgAGAFkBAAA+BQAAAAA=&#10;">
              <v:path/>
              <v:fill on="f" focussize="0,0"/>
              <v:stroke on="f" weight="0.566929133858268pt"/>
              <v:imagedata o:title=""/>
              <o:lock v:ext="edit"/>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upright="1"/>
                  </wps:wsp>
                </a:graphicData>
              </a:graphic>
            </wp:inline>
          </w:drawing>
        </mc:Choice>
        <mc:Fallback>
          <w:pict>
            <v:rect id="_x0000_s1026" o:spt="1" style="height:70.85pt;width:425.15pt;" filled="f" stroked="f" coordsize="21600,21600" o:gfxdata="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jk1ULVAAAABQEAAA8AAAAAAAAAAQAg&#10;AAAAIgAAAGRycy9kb3ducmV2LnhtbFBLAQIUABQAAAAIAIdO4kAPG28KnwEAAB0DAAAOAAAAAAAA&#10;AAEAIAAAACQBAABkcnMvZTJvRG9jLnhtbFBLBQYAAAAABgAGAFkBAAA1BQAAAAA=&#10;">
              <v:path/>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355097"/>
    <w:rsid w:val="1D6A4ED3"/>
    <w:rsid w:val="415F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customStyle="1" w:styleId="5">
    <w:name w:val="WPS Plain"/>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2020-11-25T06:12:35Z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