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atLeast"/>
        <w:jc w:val="right"/>
        <w:rPr>
          <w:rFonts w:hint="eastAsia" w:ascii="宋体" w:hAnsi="宋体" w:eastAsia="宋体" w:cs="宋体"/>
        </w:rPr>
      </w:pPr>
      <w:r>
        <w:rPr>
          <w:rFonts w:hint="eastAsia" w:ascii="宋体" w:hAnsi="宋体" w:eastAsia="宋体" w:cs="宋体"/>
        </w:rPr>
        <w:t xml:space="preserve">          </w:t>
      </w:r>
    </w:p>
    <w:p>
      <w:pPr>
        <w:spacing w:line="500" w:lineRule="atLeast"/>
        <w:jc w:val="left"/>
        <w:rPr>
          <w:rFonts w:hint="eastAsia" w:ascii="宋体" w:hAnsi="宋体" w:eastAsia="宋体" w:cs="宋体"/>
          <w:b/>
          <w:color w:val="auto"/>
          <w:sz w:val="36"/>
        </w:rPr>
      </w:pPr>
      <w:r>
        <w:rPr>
          <w:rFonts w:hint="eastAsia" w:ascii="宋体" w:hAnsi="宋体" w:eastAsia="宋体" w:cs="宋体"/>
        </w:rPr>
        <w:t xml:space="preserve">                        </w:t>
      </w:r>
      <w:r>
        <w:rPr>
          <w:rFonts w:hint="eastAsia" w:ascii="宋体" w:hAnsi="宋体" w:eastAsia="宋体" w:cs="宋体"/>
          <w:color w:val="auto"/>
        </w:rPr>
        <w:t xml:space="preserve">                                                 </w:t>
      </w:r>
    </w:p>
    <w:p>
      <w:pPr>
        <w:spacing w:line="500" w:lineRule="atLeast"/>
        <w:jc w:val="center"/>
        <w:rPr>
          <w:rFonts w:hint="eastAsia" w:ascii="宋体" w:hAnsi="宋体" w:eastAsia="宋体" w:cs="宋体"/>
          <w:b/>
          <w:color w:val="auto"/>
          <w:sz w:val="36"/>
        </w:rPr>
      </w:pPr>
      <w:r>
        <w:rPr>
          <w:rFonts w:hint="eastAsia" w:ascii="宋体" w:hAnsi="宋体" w:eastAsia="宋体" w:cs="宋体"/>
          <w:b/>
          <w:color w:val="auto"/>
          <w:sz w:val="36"/>
          <w:szCs w:val="24"/>
        </w:rPr>
        <w:t>涉执房地产处置司法评估报告</w:t>
      </w:r>
    </w:p>
    <w:p>
      <w:pPr>
        <w:spacing w:line="500" w:lineRule="atLeast"/>
        <w:ind w:left="420" w:firstLine="723" w:firstLineChars="200"/>
        <w:jc w:val="left"/>
        <w:rPr>
          <w:rFonts w:hint="eastAsia" w:ascii="宋体" w:hAnsi="宋体" w:eastAsia="宋体" w:cs="宋体"/>
          <w:b/>
          <w:color w:val="auto"/>
          <w:sz w:val="36"/>
        </w:rPr>
      </w:pPr>
    </w:p>
    <w:p>
      <w:pPr>
        <w:spacing w:line="500" w:lineRule="atLeast"/>
        <w:ind w:left="420" w:firstLine="723" w:firstLineChars="200"/>
        <w:jc w:val="left"/>
        <w:rPr>
          <w:rFonts w:hint="eastAsia" w:ascii="宋体" w:hAnsi="宋体" w:eastAsia="宋体" w:cs="宋体"/>
          <w:b/>
          <w:color w:val="auto"/>
          <w:sz w:val="36"/>
        </w:rPr>
      </w:pPr>
    </w:p>
    <w:p>
      <w:pPr>
        <w:spacing w:before="480" w:beforeLines="200" w:line="660" w:lineRule="exact"/>
        <w:ind w:left="2684" w:leftChars="298" w:hanging="2058" w:hangingChars="732"/>
        <w:jc w:val="left"/>
        <w:rPr>
          <w:rFonts w:hint="eastAsia" w:ascii="宋体" w:hAnsi="宋体" w:eastAsia="宋体" w:cs="宋体"/>
          <w:color w:val="auto"/>
          <w:sz w:val="28"/>
          <w:lang w:eastAsia="zh-CN"/>
        </w:rPr>
      </w:pPr>
      <w:r>
        <w:rPr>
          <w:rFonts w:hint="eastAsia" w:ascii="宋体" w:hAnsi="宋体" w:eastAsia="宋体" w:cs="宋体"/>
          <w:b/>
          <w:color w:val="auto"/>
          <w:sz w:val="28"/>
        </w:rPr>
        <w:t>估价项目名称</w:t>
      </w:r>
      <w:bookmarkStart w:id="0" w:name="项目用途"/>
      <w:r>
        <w:rPr>
          <w:rFonts w:hint="eastAsia" w:ascii="宋体" w:hAnsi="宋体" w:eastAsia="宋体" w:cs="宋体"/>
          <w:b/>
          <w:color w:val="auto"/>
          <w:sz w:val="28"/>
        </w:rPr>
        <w:t>：</w:t>
      </w:r>
      <w:bookmarkEnd w:id="0"/>
      <w:r>
        <w:rPr>
          <w:rFonts w:hint="eastAsia" w:ascii="宋体" w:hAnsi="宋体" w:eastAsia="宋体" w:cs="宋体"/>
          <w:color w:val="auto"/>
          <w:sz w:val="28"/>
        </w:rPr>
        <w:t xml:space="preserve"> </w:t>
      </w:r>
      <w:r>
        <w:rPr>
          <w:rFonts w:hint="eastAsia" w:ascii="宋体" w:hAnsi="宋体" w:eastAsia="宋体" w:cs="宋体"/>
          <w:color w:val="auto"/>
          <w:sz w:val="28"/>
          <w:lang w:eastAsia="zh-CN"/>
        </w:rPr>
        <w:t>成都市成华区二环路东二段22号1栋-1、-2楼共计</w:t>
      </w:r>
      <w:r>
        <w:rPr>
          <w:rFonts w:hint="eastAsia" w:ascii="宋体" w:hAnsi="宋体" w:eastAsia="宋体" w:cs="宋体"/>
          <w:color w:val="auto"/>
          <w:sz w:val="28"/>
          <w:lang w:val="en-US" w:eastAsia="zh-CN"/>
        </w:rPr>
        <w:t>203个</w:t>
      </w:r>
      <w:r>
        <w:rPr>
          <w:rFonts w:hint="eastAsia" w:ascii="宋体" w:hAnsi="宋体" w:eastAsia="宋体" w:cs="宋体"/>
          <w:color w:val="auto"/>
          <w:sz w:val="28"/>
          <w:lang w:eastAsia="zh-CN"/>
        </w:rPr>
        <w:t>车位用房地产市场价值评估</w:t>
      </w:r>
    </w:p>
    <w:p>
      <w:pPr>
        <w:tabs>
          <w:tab w:val="left" w:pos="8610"/>
        </w:tabs>
        <w:spacing w:before="480" w:beforeLines="200" w:line="660" w:lineRule="exact"/>
        <w:ind w:left="630" w:leftChars="300"/>
        <w:jc w:val="left"/>
        <w:rPr>
          <w:rFonts w:hint="eastAsia" w:ascii="宋体" w:hAnsi="宋体" w:eastAsia="宋体" w:cs="宋体"/>
          <w:color w:val="auto"/>
          <w:sz w:val="28"/>
          <w:lang w:eastAsia="zh-CN"/>
        </w:rPr>
      </w:pPr>
      <w:r>
        <w:rPr>
          <w:rFonts w:hint="eastAsia" w:ascii="宋体" w:hAnsi="宋体" w:eastAsia="宋体" w:cs="宋体"/>
          <w:b/>
          <w:color w:val="auto"/>
          <w:sz w:val="28"/>
        </w:rPr>
        <w:t>估价委托人:</w:t>
      </w:r>
      <w:r>
        <w:rPr>
          <w:rFonts w:hint="eastAsia" w:ascii="宋体" w:hAnsi="宋体" w:eastAsia="宋体" w:cs="宋体"/>
          <w:color w:val="auto"/>
          <w:sz w:val="28"/>
        </w:rPr>
        <w:t xml:space="preserve"> </w:t>
      </w:r>
      <w:r>
        <w:rPr>
          <w:rFonts w:hint="eastAsia" w:ascii="宋体" w:hAnsi="宋体" w:eastAsia="宋体" w:cs="宋体"/>
          <w:color w:val="auto"/>
          <w:sz w:val="28"/>
          <w:lang w:eastAsia="zh-CN"/>
        </w:rPr>
        <w:t>成都市成华区人民法院</w:t>
      </w:r>
    </w:p>
    <w:p>
      <w:pPr>
        <w:spacing w:before="480" w:beforeLines="200" w:line="660" w:lineRule="exact"/>
        <w:ind w:left="630" w:leftChars="300"/>
        <w:jc w:val="left"/>
        <w:rPr>
          <w:rFonts w:hint="eastAsia" w:ascii="宋体" w:hAnsi="宋体" w:eastAsia="宋体" w:cs="宋体"/>
          <w:b/>
          <w:color w:val="auto"/>
          <w:sz w:val="28"/>
        </w:rPr>
      </w:pPr>
      <w:r>
        <w:rPr>
          <w:rFonts w:hint="eastAsia" w:ascii="宋体" w:hAnsi="宋体" w:eastAsia="宋体" w:cs="宋体"/>
          <w:b/>
          <w:color w:val="auto"/>
          <w:sz w:val="28"/>
        </w:rPr>
        <w:t xml:space="preserve">房地产估价机构: </w:t>
      </w:r>
      <w:r>
        <w:rPr>
          <w:rFonts w:hint="eastAsia" w:ascii="宋体" w:hAnsi="宋体" w:eastAsia="宋体" w:cs="宋体"/>
          <w:color w:val="auto"/>
          <w:sz w:val="28"/>
          <w:lang w:eastAsia="zh-CN"/>
        </w:rPr>
        <w:t>四川金誉房地产评估有限责任公司</w:t>
      </w:r>
    </w:p>
    <w:p>
      <w:pPr>
        <w:spacing w:before="480" w:beforeLines="200" w:line="660" w:lineRule="exact"/>
        <w:ind w:left="630" w:leftChars="300"/>
        <w:jc w:val="left"/>
        <w:rPr>
          <w:rFonts w:hint="eastAsia" w:ascii="宋体" w:hAnsi="宋体" w:eastAsia="宋体" w:cs="宋体"/>
          <w:color w:val="auto"/>
          <w:sz w:val="28"/>
          <w:lang w:eastAsia="zh-CN"/>
        </w:rPr>
      </w:pPr>
      <w:r>
        <w:rPr>
          <w:rFonts w:hint="eastAsia" w:ascii="宋体" w:hAnsi="宋体" w:eastAsia="宋体" w:cs="宋体"/>
          <w:b/>
          <w:color w:val="auto"/>
          <w:sz w:val="28"/>
        </w:rPr>
        <w:t>注册房地产估价师:</w:t>
      </w:r>
      <w:r>
        <w:rPr>
          <w:rFonts w:hint="eastAsia" w:ascii="宋体" w:hAnsi="宋体" w:eastAsia="宋体" w:cs="宋体"/>
          <w:color w:val="auto"/>
          <w:sz w:val="28"/>
        </w:rPr>
        <w:t xml:space="preserve"> </w:t>
      </w:r>
      <w:r>
        <w:rPr>
          <w:rFonts w:hint="eastAsia" w:ascii="宋体" w:hAnsi="宋体" w:eastAsia="宋体" w:cs="宋体"/>
          <w:color w:val="auto"/>
          <w:sz w:val="28"/>
          <w:lang w:eastAsia="zh-CN"/>
        </w:rPr>
        <w:t>何胤涛   注册号：5120020010    </w:t>
      </w:r>
    </w:p>
    <w:p>
      <w:pPr>
        <w:spacing w:before="480" w:beforeLines="200" w:line="660" w:lineRule="exact"/>
        <w:ind w:left="630" w:leftChars="300"/>
        <w:jc w:val="left"/>
        <w:rPr>
          <w:rFonts w:hint="eastAsia" w:ascii="宋体" w:hAnsi="宋体" w:eastAsia="宋体" w:cs="宋体"/>
          <w:color w:val="auto"/>
          <w:sz w:val="28"/>
          <w:lang w:eastAsia="zh-CN"/>
        </w:rPr>
      </w:pPr>
      <w:r>
        <w:rPr>
          <w:rFonts w:hint="eastAsia" w:ascii="宋体" w:hAnsi="宋体" w:eastAsia="宋体" w:cs="宋体"/>
          <w:color w:val="auto"/>
          <w:sz w:val="28"/>
          <w:lang w:eastAsia="zh-CN"/>
        </w:rPr>
        <w:t xml:space="preserve">                  叶  琴   注册号：5120040432</w:t>
      </w:r>
    </w:p>
    <w:p>
      <w:pPr>
        <w:spacing w:before="480" w:beforeLines="200" w:line="660" w:lineRule="exact"/>
        <w:ind w:firstLine="689" w:firstLineChars="245"/>
        <w:jc w:val="left"/>
        <w:rPr>
          <w:rFonts w:hint="eastAsia" w:ascii="宋体" w:hAnsi="宋体" w:eastAsia="宋体" w:cs="宋体"/>
          <w:color w:val="auto"/>
          <w:sz w:val="28"/>
          <w:lang w:eastAsia="zh-CN"/>
        </w:rPr>
      </w:pPr>
      <w:r>
        <w:rPr>
          <w:rFonts w:hint="eastAsia" w:ascii="宋体" w:hAnsi="宋体" w:eastAsia="宋体" w:cs="宋体"/>
          <w:b/>
          <w:color w:val="auto"/>
          <w:sz w:val="28"/>
        </w:rPr>
        <w:t>估价报告出具日期：</w:t>
      </w:r>
      <w:r>
        <w:rPr>
          <w:rFonts w:hint="eastAsia" w:ascii="宋体" w:hAnsi="宋体" w:eastAsia="宋体" w:cs="宋体"/>
          <w:color w:val="auto"/>
          <w:sz w:val="28"/>
          <w:lang w:eastAsia="zh-CN"/>
        </w:rPr>
        <w:t>2023年03月02日</w:t>
      </w:r>
    </w:p>
    <w:p>
      <w:pPr>
        <w:spacing w:before="480" w:beforeLines="200" w:line="660" w:lineRule="exact"/>
        <w:ind w:firstLine="689" w:firstLineChars="245"/>
        <w:jc w:val="left"/>
        <w:rPr>
          <w:rFonts w:hint="eastAsia" w:ascii="宋体" w:hAnsi="宋体" w:eastAsia="宋体" w:cs="宋体"/>
          <w:color w:val="auto"/>
          <w:sz w:val="28"/>
          <w:lang w:eastAsia="zh-CN"/>
        </w:rPr>
      </w:pPr>
      <w:r>
        <w:rPr>
          <w:rFonts w:hint="eastAsia" w:ascii="宋体" w:hAnsi="宋体" w:eastAsia="宋体" w:cs="宋体"/>
          <w:b/>
          <w:color w:val="auto"/>
          <w:sz w:val="28"/>
        </w:rPr>
        <w:t>估价报告编号:</w:t>
      </w:r>
      <w:r>
        <w:rPr>
          <w:rFonts w:hint="eastAsia" w:ascii="宋体" w:hAnsi="宋体" w:eastAsia="宋体" w:cs="宋体"/>
          <w:color w:val="auto"/>
          <w:sz w:val="28"/>
        </w:rPr>
        <w:t xml:space="preserve"> </w:t>
      </w:r>
      <w:r>
        <w:rPr>
          <w:rFonts w:hint="eastAsia" w:ascii="宋体" w:hAnsi="宋体" w:eastAsia="宋体" w:cs="宋体"/>
          <w:color w:val="auto"/>
          <w:sz w:val="28"/>
          <w:lang w:val="en-US" w:eastAsia="zh-CN"/>
        </w:rPr>
        <w:t>川金誉房</w:t>
      </w:r>
      <w:r>
        <w:rPr>
          <w:rFonts w:hint="eastAsia" w:ascii="宋体" w:hAnsi="宋体" w:eastAsia="宋体" w:cs="宋体"/>
          <w:color w:val="auto"/>
          <w:sz w:val="28"/>
          <w:lang w:eastAsia="zh-CN"/>
        </w:rPr>
        <w:t>[202</w:t>
      </w:r>
      <w:r>
        <w:rPr>
          <w:rFonts w:hint="eastAsia" w:ascii="宋体" w:hAnsi="宋体" w:eastAsia="宋体" w:cs="宋体"/>
          <w:color w:val="auto"/>
          <w:sz w:val="28"/>
          <w:lang w:val="en-US" w:eastAsia="zh-CN"/>
        </w:rPr>
        <w:t>3</w:t>
      </w:r>
      <w:r>
        <w:rPr>
          <w:rFonts w:hint="eastAsia" w:ascii="宋体" w:hAnsi="宋体" w:eastAsia="宋体" w:cs="宋体"/>
          <w:color w:val="auto"/>
          <w:sz w:val="28"/>
          <w:lang w:eastAsia="zh-CN"/>
        </w:rPr>
        <w:t>]</w:t>
      </w:r>
      <w:r>
        <w:rPr>
          <w:rFonts w:hint="eastAsia" w:ascii="宋体" w:hAnsi="宋体" w:eastAsia="宋体" w:cs="宋体"/>
          <w:color w:val="auto"/>
          <w:sz w:val="28"/>
          <w:lang w:val="en-US" w:eastAsia="zh-CN"/>
        </w:rPr>
        <w:t>(估)字</w:t>
      </w:r>
      <w:r>
        <w:rPr>
          <w:rFonts w:hint="eastAsia" w:ascii="宋体" w:hAnsi="宋体" w:eastAsia="宋体" w:cs="宋体"/>
          <w:color w:val="auto"/>
          <w:sz w:val="28"/>
          <w:lang w:eastAsia="zh-CN"/>
        </w:rPr>
        <w:t>第GS</w:t>
      </w:r>
      <w:r>
        <w:rPr>
          <w:rFonts w:hint="eastAsia" w:ascii="宋体" w:hAnsi="宋体" w:eastAsia="宋体" w:cs="宋体"/>
          <w:color w:val="auto"/>
          <w:sz w:val="28"/>
          <w:lang w:val="en-US" w:eastAsia="zh-CN"/>
        </w:rPr>
        <w:t>0</w:t>
      </w:r>
      <w:r>
        <w:rPr>
          <w:rFonts w:hint="eastAsia" w:ascii="宋体" w:hAnsi="宋体" w:cs="宋体"/>
          <w:color w:val="auto"/>
          <w:sz w:val="28"/>
          <w:lang w:val="en-US" w:eastAsia="zh-CN"/>
        </w:rPr>
        <w:t>081</w:t>
      </w:r>
      <w:r>
        <w:rPr>
          <w:rFonts w:hint="eastAsia" w:ascii="宋体" w:hAnsi="宋体" w:eastAsia="宋体" w:cs="宋体"/>
          <w:color w:val="auto"/>
          <w:sz w:val="28"/>
          <w:lang w:eastAsia="zh-CN"/>
        </w:rPr>
        <w:t>号</w:t>
      </w:r>
    </w:p>
    <w:p>
      <w:pPr>
        <w:widowControl/>
        <w:ind w:firstLine="3040" w:firstLineChars="950"/>
        <w:jc w:val="left"/>
        <w:rPr>
          <w:rFonts w:hint="eastAsia" w:ascii="宋体" w:hAnsi="宋体" w:eastAsia="宋体" w:cs="宋体"/>
          <w:color w:val="auto"/>
          <w:sz w:val="32"/>
        </w:rPr>
      </w:pPr>
    </w:p>
    <w:p>
      <w:pPr>
        <w:widowControl/>
        <w:ind w:firstLine="3040" w:firstLineChars="950"/>
        <w:jc w:val="left"/>
        <w:rPr>
          <w:rFonts w:hint="eastAsia" w:ascii="宋体" w:hAnsi="宋体" w:eastAsia="宋体" w:cs="宋体"/>
          <w:color w:val="auto"/>
          <w:sz w:val="32"/>
        </w:rPr>
      </w:pPr>
      <w:r>
        <w:rPr>
          <w:rFonts w:hint="eastAsia" w:ascii="宋体" w:hAnsi="宋体" w:eastAsia="宋体" w:cs="宋体"/>
          <w:color w:val="auto"/>
          <w:sz w:val="32"/>
        </w:rPr>
        <w:t xml:space="preserve">  </w:t>
      </w:r>
    </w:p>
    <w:p>
      <w:pPr>
        <w:widowControl/>
        <w:ind w:firstLine="3040" w:firstLineChars="950"/>
        <w:jc w:val="left"/>
        <w:rPr>
          <w:rFonts w:hint="eastAsia" w:ascii="宋体" w:hAnsi="宋体" w:eastAsia="宋体" w:cs="宋体"/>
          <w:color w:val="auto"/>
          <w:sz w:val="32"/>
        </w:rPr>
      </w:pPr>
    </w:p>
    <w:p>
      <w:pPr>
        <w:widowControl/>
        <w:ind w:firstLine="3040" w:firstLineChars="950"/>
        <w:jc w:val="left"/>
        <w:rPr>
          <w:rFonts w:hint="eastAsia" w:ascii="宋体" w:hAnsi="宋体" w:eastAsia="宋体" w:cs="宋体"/>
          <w:color w:val="auto"/>
          <w:sz w:val="32"/>
        </w:rPr>
      </w:pPr>
    </w:p>
    <w:p>
      <w:pPr>
        <w:widowControl/>
        <w:jc w:val="center"/>
        <w:rPr>
          <w:rFonts w:hint="eastAsia" w:ascii="宋体" w:hAnsi="宋体" w:eastAsia="宋体" w:cs="宋体"/>
          <w:b/>
          <w:color w:val="auto"/>
          <w:sz w:val="32"/>
        </w:rPr>
      </w:pPr>
      <w:r>
        <w:rPr>
          <w:rFonts w:hint="eastAsia" w:ascii="宋体" w:hAnsi="宋体" w:eastAsia="宋体" w:cs="宋体"/>
          <w:color w:val="auto"/>
          <w:sz w:val="32"/>
        </w:rPr>
        <w:br w:type="page"/>
      </w:r>
      <w:bookmarkStart w:id="1" w:name="_Toc283905984"/>
      <w:bookmarkStart w:id="2" w:name="_Toc371455194"/>
      <w:bookmarkStart w:id="3" w:name="_Toc371540977"/>
      <w:r>
        <w:rPr>
          <w:rFonts w:hint="eastAsia" w:ascii="宋体" w:hAnsi="宋体" w:eastAsia="宋体" w:cs="宋体"/>
          <w:b/>
          <w:color w:val="auto"/>
          <w:sz w:val="32"/>
        </w:rPr>
        <w:t>致估价委托人函</w:t>
      </w:r>
      <w:bookmarkEnd w:id="1"/>
      <w:bookmarkEnd w:id="2"/>
      <w:bookmarkEnd w:id="3"/>
    </w:p>
    <w:p>
      <w:pPr>
        <w:tabs>
          <w:tab w:val="left" w:pos="2835"/>
        </w:tabs>
        <w:spacing w:line="440" w:lineRule="exact"/>
        <w:rPr>
          <w:rFonts w:hint="eastAsia" w:ascii="宋体" w:hAnsi="宋体" w:eastAsia="宋体" w:cs="宋体"/>
          <w:b/>
          <w:color w:val="auto"/>
          <w:sz w:val="28"/>
        </w:rPr>
      </w:pPr>
      <w:r>
        <w:rPr>
          <w:rFonts w:hint="eastAsia" w:ascii="宋体" w:hAnsi="宋体" w:eastAsia="宋体" w:cs="宋体"/>
          <w:b/>
          <w:color w:val="auto"/>
          <w:sz w:val="28"/>
          <w:lang w:eastAsia="zh-CN"/>
        </w:rPr>
        <w:t>成都市成华区人民法院</w:t>
      </w:r>
      <w:r>
        <w:rPr>
          <w:rFonts w:hint="eastAsia" w:ascii="宋体" w:hAnsi="宋体" w:eastAsia="宋体" w:cs="宋体"/>
          <w:b/>
          <w:color w:val="auto"/>
          <w:sz w:val="28"/>
        </w:rPr>
        <w:t>：</w:t>
      </w:r>
    </w:p>
    <w:p>
      <w:pPr>
        <w:tabs>
          <w:tab w:val="left" w:pos="2835"/>
        </w:tabs>
        <w:adjustRightInd w:val="0"/>
        <w:snapToGrid w:val="0"/>
        <w:spacing w:line="520" w:lineRule="exact"/>
        <w:ind w:firstLine="552" w:firstLineChars="200"/>
        <w:rPr>
          <w:rFonts w:hint="eastAsia" w:ascii="宋体" w:hAnsi="宋体" w:eastAsia="宋体" w:cs="宋体"/>
          <w:color w:val="auto"/>
          <w:spacing w:val="-2"/>
          <w:sz w:val="28"/>
        </w:rPr>
      </w:pPr>
      <w:r>
        <w:rPr>
          <w:rFonts w:hint="eastAsia" w:ascii="宋体" w:hAnsi="宋体" w:eastAsia="宋体" w:cs="宋体"/>
          <w:color w:val="auto"/>
          <w:spacing w:val="-2"/>
          <w:sz w:val="28"/>
        </w:rPr>
        <w:t>受贵院的委托，对贵院</w:t>
      </w:r>
      <w:r>
        <w:rPr>
          <w:rFonts w:hint="eastAsia" w:ascii="宋体" w:hAnsi="宋体" w:eastAsia="宋体" w:cs="宋体"/>
          <w:color w:val="auto"/>
          <w:spacing w:val="-2"/>
          <w:sz w:val="28"/>
          <w:lang w:eastAsia="zh-CN"/>
        </w:rPr>
        <w:t>2022川0108执257号</w:t>
      </w:r>
      <w:r>
        <w:rPr>
          <w:rFonts w:hint="eastAsia" w:ascii="宋体" w:hAnsi="宋体" w:eastAsia="宋体" w:cs="宋体"/>
          <w:color w:val="auto"/>
          <w:spacing w:val="-2"/>
          <w:sz w:val="28"/>
        </w:rPr>
        <w:t>《委托书》涉及房地产进行了估价，现就相关估价事项说明如下：</w:t>
      </w:r>
    </w:p>
    <w:p>
      <w:pPr>
        <w:tabs>
          <w:tab w:val="left" w:pos="2835"/>
        </w:tabs>
        <w:adjustRightInd w:val="0"/>
        <w:snapToGrid w:val="0"/>
        <w:spacing w:line="520" w:lineRule="exact"/>
        <w:ind w:firstLine="552" w:firstLineChars="200"/>
        <w:rPr>
          <w:rFonts w:hint="eastAsia" w:ascii="宋体" w:hAnsi="宋体" w:eastAsia="宋体" w:cs="宋体"/>
          <w:color w:val="auto"/>
          <w:spacing w:val="-2"/>
          <w:sz w:val="28"/>
        </w:rPr>
      </w:pPr>
      <w:r>
        <w:rPr>
          <w:rFonts w:hint="eastAsia" w:ascii="宋体" w:hAnsi="宋体" w:eastAsia="宋体" w:cs="宋体"/>
          <w:color w:val="auto"/>
          <w:spacing w:val="-2"/>
          <w:sz w:val="28"/>
        </w:rPr>
        <w:t>估价对象：位于</w:t>
      </w:r>
      <w:r>
        <w:rPr>
          <w:rFonts w:hint="eastAsia" w:ascii="宋体" w:hAnsi="宋体" w:eastAsia="宋体" w:cs="宋体"/>
          <w:color w:val="auto"/>
          <w:spacing w:val="-2"/>
          <w:sz w:val="28"/>
          <w:lang w:eastAsia="zh-CN"/>
        </w:rPr>
        <w:t>成华区二环路东二段22号1栋-1、-2楼</w:t>
      </w:r>
      <w:r>
        <w:rPr>
          <w:rFonts w:hint="eastAsia" w:ascii="宋体" w:hAnsi="宋体" w:eastAsia="宋体" w:cs="宋体"/>
          <w:color w:val="auto"/>
          <w:sz w:val="28"/>
          <w:lang w:eastAsia="zh-CN"/>
        </w:rPr>
        <w:t>共计</w:t>
      </w:r>
      <w:r>
        <w:rPr>
          <w:rFonts w:hint="eastAsia" w:ascii="宋体" w:hAnsi="宋体" w:eastAsia="宋体" w:cs="宋体"/>
          <w:color w:val="auto"/>
          <w:sz w:val="28"/>
          <w:lang w:val="en-US" w:eastAsia="zh-CN"/>
        </w:rPr>
        <w:t>203个</w:t>
      </w:r>
      <w:r>
        <w:rPr>
          <w:rFonts w:hint="eastAsia" w:ascii="宋体" w:hAnsi="宋体" w:eastAsia="宋体" w:cs="宋体"/>
          <w:color w:val="auto"/>
          <w:spacing w:val="-2"/>
          <w:sz w:val="28"/>
          <w:lang w:eastAsia="zh-CN"/>
        </w:rPr>
        <w:t>车位用</w:t>
      </w:r>
      <w:r>
        <w:rPr>
          <w:rFonts w:hint="eastAsia" w:ascii="宋体" w:hAnsi="宋体" w:eastAsia="宋体" w:cs="宋体"/>
          <w:color w:val="auto"/>
          <w:spacing w:val="-2"/>
          <w:sz w:val="28"/>
        </w:rPr>
        <w:t>房地产（建筑面积</w:t>
      </w:r>
      <w:r>
        <w:rPr>
          <w:rFonts w:hint="eastAsia" w:ascii="宋体" w:hAnsi="宋体" w:eastAsia="宋体" w:cs="宋体"/>
          <w:color w:val="auto"/>
          <w:spacing w:val="-2"/>
          <w:sz w:val="28"/>
          <w:lang w:eastAsia="zh-CN"/>
        </w:rPr>
        <w:t>合计</w:t>
      </w:r>
      <w:r>
        <w:rPr>
          <w:rFonts w:hint="eastAsia" w:ascii="宋体" w:hAnsi="宋体" w:eastAsia="宋体" w:cs="宋体"/>
          <w:color w:val="auto"/>
          <w:spacing w:val="-2"/>
          <w:sz w:val="28"/>
        </w:rPr>
        <w:t>为</w:t>
      </w:r>
      <w:r>
        <w:rPr>
          <w:rFonts w:hint="eastAsia" w:ascii="宋体" w:hAnsi="宋体" w:eastAsia="宋体" w:cs="宋体"/>
          <w:color w:val="auto"/>
          <w:spacing w:val="-2"/>
          <w:sz w:val="28"/>
          <w:lang w:eastAsia="zh-CN"/>
        </w:rPr>
        <w:t>7402.54</w:t>
      </w:r>
      <w:r>
        <w:rPr>
          <w:rFonts w:hint="eastAsia" w:ascii="宋体" w:hAnsi="宋体" w:eastAsia="宋体" w:cs="宋体"/>
          <w:color w:val="auto"/>
          <w:spacing w:val="-2"/>
          <w:sz w:val="28"/>
        </w:rPr>
        <w:t>平方米及分摊土地使用权、室内装饰装修及不可分割的满足其使用功能的水、电、视、讯、消防等配套设施）。</w:t>
      </w:r>
    </w:p>
    <w:p>
      <w:pPr>
        <w:tabs>
          <w:tab w:val="left" w:pos="2835"/>
        </w:tabs>
        <w:adjustRightInd w:val="0"/>
        <w:snapToGrid w:val="0"/>
        <w:spacing w:line="520" w:lineRule="exact"/>
        <w:ind w:firstLine="552" w:firstLineChars="200"/>
        <w:rPr>
          <w:rFonts w:hint="eastAsia" w:ascii="宋体" w:hAnsi="宋体" w:eastAsia="宋体" w:cs="宋体"/>
          <w:color w:val="auto"/>
          <w:spacing w:val="-2"/>
          <w:sz w:val="28"/>
        </w:rPr>
      </w:pPr>
      <w:r>
        <w:rPr>
          <w:rFonts w:hint="eastAsia" w:ascii="宋体" w:hAnsi="宋体" w:eastAsia="宋体" w:cs="宋体"/>
          <w:color w:val="auto"/>
          <w:spacing w:val="-2"/>
          <w:sz w:val="28"/>
        </w:rPr>
        <w:t>估价目的：</w:t>
      </w:r>
      <w:r>
        <w:rPr>
          <w:rFonts w:hint="eastAsia" w:ascii="宋体" w:hAnsi="宋体" w:eastAsia="宋体" w:cs="宋体"/>
          <w:color w:val="auto"/>
          <w:spacing w:val="-2"/>
          <w:sz w:val="28"/>
          <w:lang w:eastAsia="zh-CN"/>
        </w:rPr>
        <w:t>为人民法院确定财产处置参考价提供参考依据</w:t>
      </w:r>
      <w:r>
        <w:rPr>
          <w:rFonts w:hint="eastAsia" w:ascii="宋体" w:hAnsi="宋体" w:eastAsia="宋体" w:cs="宋体"/>
          <w:color w:val="auto"/>
          <w:spacing w:val="-2"/>
          <w:sz w:val="28"/>
        </w:rPr>
        <w:t>。</w:t>
      </w:r>
    </w:p>
    <w:p>
      <w:pPr>
        <w:tabs>
          <w:tab w:val="left" w:pos="2835"/>
        </w:tabs>
        <w:adjustRightInd w:val="0"/>
        <w:snapToGrid w:val="0"/>
        <w:spacing w:line="520" w:lineRule="exact"/>
        <w:ind w:firstLine="552" w:firstLineChars="200"/>
        <w:rPr>
          <w:rFonts w:hint="eastAsia" w:ascii="宋体" w:hAnsi="宋体" w:eastAsia="宋体" w:cs="宋体"/>
          <w:color w:val="auto"/>
          <w:spacing w:val="-2"/>
          <w:sz w:val="28"/>
        </w:rPr>
      </w:pPr>
      <w:r>
        <w:rPr>
          <w:rFonts w:hint="eastAsia" w:ascii="宋体" w:hAnsi="宋体" w:eastAsia="宋体" w:cs="宋体"/>
          <w:color w:val="auto"/>
          <w:spacing w:val="-2"/>
          <w:sz w:val="28"/>
        </w:rPr>
        <w:t>价值时点：</w:t>
      </w:r>
      <w:r>
        <w:rPr>
          <w:rFonts w:hint="eastAsia" w:ascii="宋体" w:hAnsi="宋体" w:eastAsia="宋体" w:cs="宋体"/>
          <w:color w:val="auto"/>
          <w:spacing w:val="-2"/>
          <w:sz w:val="28"/>
          <w:lang w:eastAsia="zh-CN"/>
        </w:rPr>
        <w:t>2023年02月15日</w:t>
      </w:r>
      <w:r>
        <w:rPr>
          <w:rFonts w:hint="eastAsia" w:ascii="宋体" w:hAnsi="宋体" w:eastAsia="宋体" w:cs="宋体"/>
          <w:color w:val="auto"/>
          <w:spacing w:val="-2"/>
          <w:sz w:val="28"/>
        </w:rPr>
        <w:t>。</w:t>
      </w:r>
    </w:p>
    <w:p>
      <w:pPr>
        <w:tabs>
          <w:tab w:val="left" w:pos="2835"/>
        </w:tabs>
        <w:adjustRightInd w:val="0"/>
        <w:snapToGrid w:val="0"/>
        <w:spacing w:line="520" w:lineRule="exact"/>
        <w:ind w:firstLine="552" w:firstLineChars="200"/>
        <w:rPr>
          <w:rFonts w:hint="eastAsia" w:ascii="宋体" w:hAnsi="宋体" w:eastAsia="宋体" w:cs="宋体"/>
          <w:color w:val="auto"/>
          <w:spacing w:val="-2"/>
          <w:sz w:val="28"/>
        </w:rPr>
      </w:pPr>
      <w:r>
        <w:rPr>
          <w:rFonts w:hint="eastAsia" w:ascii="宋体" w:hAnsi="宋体" w:eastAsia="宋体" w:cs="宋体"/>
          <w:color w:val="auto"/>
          <w:spacing w:val="-2"/>
          <w:sz w:val="28"/>
        </w:rPr>
        <w:t>价值类型：市场价值。</w:t>
      </w:r>
    </w:p>
    <w:p>
      <w:pPr>
        <w:tabs>
          <w:tab w:val="left" w:pos="2835"/>
        </w:tabs>
        <w:adjustRightInd w:val="0"/>
        <w:snapToGrid w:val="0"/>
        <w:spacing w:line="520" w:lineRule="exact"/>
        <w:ind w:firstLine="552" w:firstLineChars="200"/>
        <w:rPr>
          <w:rFonts w:hint="eastAsia" w:ascii="宋体" w:hAnsi="宋体" w:eastAsia="宋体" w:cs="宋体"/>
          <w:color w:val="auto"/>
          <w:spacing w:val="-2"/>
          <w:sz w:val="28"/>
        </w:rPr>
      </w:pPr>
      <w:r>
        <w:rPr>
          <w:rFonts w:hint="eastAsia" w:ascii="宋体" w:hAnsi="宋体" w:eastAsia="宋体" w:cs="宋体"/>
          <w:color w:val="auto"/>
          <w:spacing w:val="-2"/>
          <w:sz w:val="28"/>
        </w:rPr>
        <w:t>估价方法：比较法。</w:t>
      </w:r>
    </w:p>
    <w:p>
      <w:pPr>
        <w:tabs>
          <w:tab w:val="left" w:pos="2835"/>
        </w:tabs>
        <w:adjustRightInd w:val="0"/>
        <w:snapToGrid w:val="0"/>
        <w:spacing w:line="520" w:lineRule="exact"/>
        <w:ind w:firstLine="552" w:firstLineChars="200"/>
        <w:rPr>
          <w:rFonts w:hint="eastAsia" w:ascii="宋体" w:hAnsi="宋体" w:eastAsia="宋体" w:cs="宋体"/>
          <w:color w:val="auto"/>
          <w:spacing w:val="-2"/>
          <w:sz w:val="28"/>
        </w:rPr>
      </w:pPr>
      <w:r>
        <w:rPr>
          <w:rFonts w:hint="eastAsia" w:ascii="宋体" w:hAnsi="宋体" w:eastAsia="宋体" w:cs="宋体"/>
          <w:color w:val="auto"/>
          <w:spacing w:val="-2"/>
          <w:sz w:val="28"/>
        </w:rPr>
        <w:t>我公司估价人员经过现场查勘估价对象的实物状况，结合估价对象的权益状况及所在区域房地产市场状况，在详细分析了影响估价对象价格的各项因素后，根据估价目的，遵循估价原则，按照评估程序，</w:t>
      </w:r>
      <w:r>
        <w:rPr>
          <w:rFonts w:hint="eastAsia" w:ascii="宋体" w:hAnsi="宋体" w:eastAsia="宋体" w:cs="宋体"/>
          <w:color w:val="auto"/>
          <w:spacing w:val="-2"/>
          <w:sz w:val="28"/>
          <w:lang w:eastAsia="zh-CN"/>
        </w:rPr>
        <w:t>经测算</w:t>
      </w:r>
      <w:r>
        <w:rPr>
          <w:rFonts w:hint="eastAsia" w:ascii="宋体" w:hAnsi="宋体" w:eastAsia="宋体" w:cs="宋体"/>
          <w:color w:val="auto"/>
          <w:spacing w:val="-2"/>
          <w:sz w:val="28"/>
        </w:rPr>
        <w:t>确定估价对象</w:t>
      </w:r>
      <w:r>
        <w:rPr>
          <w:rFonts w:hint="eastAsia" w:ascii="宋体" w:hAnsi="宋体" w:eastAsia="宋体" w:cs="宋体"/>
          <w:color w:val="auto"/>
          <w:spacing w:val="-2"/>
          <w:sz w:val="28"/>
          <w:lang w:val="en-US" w:eastAsia="zh-CN"/>
        </w:rPr>
        <w:t>于价值时点</w:t>
      </w:r>
      <w:r>
        <w:rPr>
          <w:rFonts w:hint="eastAsia" w:ascii="宋体" w:hAnsi="宋体" w:eastAsia="宋体" w:cs="宋体"/>
          <w:color w:val="auto"/>
          <w:spacing w:val="-2"/>
          <w:sz w:val="28"/>
        </w:rPr>
        <w:t>满足本报告“估价假设和限制条件”及“价值类型”条件下的评估结果为人民币</w:t>
      </w:r>
      <w:r>
        <w:rPr>
          <w:rFonts w:hint="eastAsia" w:ascii="宋体" w:hAnsi="宋体" w:eastAsia="宋体" w:cs="宋体"/>
          <w:b/>
          <w:bCs/>
          <w:color w:val="auto"/>
          <w:spacing w:val="-2"/>
          <w:sz w:val="28"/>
          <w:lang w:eastAsia="zh-CN"/>
        </w:rPr>
        <w:t>2354.8万元</w:t>
      </w:r>
      <w:r>
        <w:rPr>
          <w:rFonts w:hint="eastAsia" w:ascii="宋体" w:hAnsi="宋体" w:cs="宋体"/>
          <w:b/>
          <w:bCs/>
          <w:color w:val="auto"/>
          <w:spacing w:val="-2"/>
          <w:sz w:val="28"/>
          <w:lang w:eastAsia="zh-CN"/>
        </w:rPr>
        <w:t>，</w:t>
      </w:r>
      <w:r>
        <w:rPr>
          <w:rFonts w:hint="eastAsia" w:ascii="宋体" w:hAnsi="宋体" w:eastAsia="宋体" w:cs="宋体"/>
          <w:color w:val="auto"/>
          <w:spacing w:val="-2"/>
          <w:sz w:val="28"/>
        </w:rPr>
        <w:t>大写</w:t>
      </w:r>
      <w:r>
        <w:rPr>
          <w:rFonts w:hint="eastAsia" w:ascii="宋体" w:hAnsi="宋体" w:eastAsia="宋体" w:cs="宋体"/>
          <w:b/>
          <w:bCs/>
          <w:color w:val="auto"/>
          <w:spacing w:val="-2"/>
          <w:sz w:val="28"/>
          <w:lang w:val="en-US" w:eastAsia="zh-CN"/>
        </w:rPr>
        <w:t>人民币</w:t>
      </w:r>
      <w:r>
        <w:rPr>
          <w:rFonts w:hint="eastAsia" w:ascii="宋体" w:hAnsi="宋体" w:eastAsia="宋体" w:cs="宋体"/>
          <w:b/>
          <w:bCs/>
          <w:color w:val="auto"/>
          <w:spacing w:val="-2"/>
          <w:sz w:val="28"/>
          <w:lang w:eastAsia="zh-CN"/>
        </w:rPr>
        <w:t>贰仟叁佰伍拾肆万捌仟元</w:t>
      </w:r>
      <w:r>
        <w:rPr>
          <w:rFonts w:hint="eastAsia" w:ascii="宋体" w:hAnsi="宋体" w:eastAsia="宋体" w:cs="宋体"/>
          <w:b/>
          <w:bCs/>
          <w:color w:val="auto"/>
          <w:spacing w:val="-2"/>
          <w:sz w:val="28"/>
        </w:rPr>
        <w:t>整</w:t>
      </w:r>
      <w:r>
        <w:rPr>
          <w:rFonts w:hint="eastAsia" w:ascii="宋体" w:hAnsi="宋体" w:eastAsia="宋体" w:cs="宋体"/>
          <w:color w:val="auto"/>
          <w:spacing w:val="-2"/>
          <w:sz w:val="28"/>
        </w:rPr>
        <w:t>。具体详见下表：</w:t>
      </w:r>
    </w:p>
    <w:p>
      <w:pPr>
        <w:tabs>
          <w:tab w:val="left" w:pos="2835"/>
        </w:tabs>
        <w:spacing w:line="440" w:lineRule="exact"/>
        <w:ind w:firstLine="600" w:firstLineChars="250"/>
        <w:jc w:val="center"/>
        <w:rPr>
          <w:rFonts w:hint="eastAsia" w:ascii="宋体" w:hAnsi="宋体" w:eastAsia="宋体" w:cs="宋体"/>
          <w:color w:val="auto"/>
          <w:sz w:val="24"/>
        </w:rPr>
      </w:pPr>
      <w:r>
        <w:rPr>
          <w:rFonts w:hint="eastAsia" w:ascii="宋体" w:hAnsi="宋体" w:eastAsia="宋体" w:cs="宋体"/>
          <w:color w:val="auto"/>
          <w:sz w:val="24"/>
        </w:rPr>
        <w:t>估价结果一览表</w:t>
      </w:r>
    </w:p>
    <w:p>
      <w:pPr>
        <w:pStyle w:val="2"/>
        <w:jc w:val="right"/>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币种：人民币</w:t>
      </w:r>
    </w:p>
    <w:tbl>
      <w:tblPr>
        <w:tblStyle w:val="31"/>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712"/>
        <w:gridCol w:w="1550"/>
        <w:gridCol w:w="1950"/>
        <w:gridCol w:w="688"/>
        <w:gridCol w:w="862"/>
        <w:gridCol w:w="925"/>
        <w:gridCol w:w="625"/>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权利人</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不动产单元号</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不动产坐落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用途</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建筑面积（㎡）</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评估单价</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评估总价（万元）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510108011001GB00008F00020001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成华区二环路东二段22号1栋-1楼76号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510108011001GB00008F00020003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成华区二环路东二段22号1栋-1楼74号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510108011001GB00008F00020008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成华区二环路东二段22号1栋-1楼130号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510108011001GB00008F00020034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成华区二环路东二段22号1栋-1楼106号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510108011001GB00008F00020039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成华区二环路东二段22号1栋-1楼117号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510108011001GB00008F00020064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成华区二环路东二段22号1栋-2楼46号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510108011001GB00008F00020074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成华区二环路东二段22号1栋-1楼28号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510108011001GB00008F00020075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成华区二环路东二段22号1栋-1楼27号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510108011001GB00008F00020076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成华区二环路东二段22号1栋-1楼31号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510108011001GB00008F00020077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成华区二环路东二段22号1栋-1楼24号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510108011001GB00008F00020078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成华区二环路东二段22号1栋-1楼23号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510108011001GB00008F00020079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成华区二环路东二段22号1栋-1楼22号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510108011001GB00008F00020080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成华区二环路东二段22号1栋-1楼132号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510108011001GB00008F00020081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成华区二环路东二段22号1栋-1楼131号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510108011001GB00008F00020217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成华区二环路东二段22号1栋-1楼20号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510108011001GB00008F00020218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成华区二环路东二段22号1栋-1楼53号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510108011001GB00008F00020221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成华区二环路东二段22号1栋-1楼56号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510108011001GB00008F00020227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成华区二环路东二段22号1栋-1楼62号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510108011001GB00008F00020232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成华区二环路东二段22号1栋-1楼26号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510108011001GB00008F00020234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成华区二环路东二段22号1栋-2楼144号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510108011001GB00008F00020236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成华区二环路东二段22号1栋-2楼29号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510108011001GB00008F00020237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成华区二环路东二段22号1栋-2楼28号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510108011001GB00008F00020238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成华区二环路东二段22号1栋-2楼26号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510108011001GB00008F00020239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成华区二环路东二段22号1栋-2楼25号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510108011001GB00008F00020240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成华区二环路东二段22号1栋-2楼48号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510108011001GB00008F00020242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成华区二环路东二段22号1栋-2楼51号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510108011001GB00008F00020243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成华区二环路东二段22号1栋-2楼50号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510108011001GB00008F00020252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成华区二环路东二段22号1栋-1楼128号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510108011001GB00008F00020255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成华区二环路东二段22号1栋-1楼129号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510108011001GB00008F00020258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成华区二环路东二段22号1栋-1楼92号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510108011001GB00008F00020261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成华区二环路东二段22号1栋-1楼88号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510108011001GB00008F00020262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成华区二环路东二段22号1栋-1楼81号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510108011001GB00008F00020263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成华区二环路东二段22号1栋-1楼86号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510108011001GB00008F00020274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成华区二环路东二段22号1栋-1楼134号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510108011001GB00008F00020276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成华区二环路东二段22号1栋-2楼163号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510108011001GB00008F00020277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成华区二环路东二段22号1栋-2楼64号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510108011001GB00008F00020278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成华区二环路东二段22号1栋-2楼132号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510108011001GB00008F00020279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成华区二环路东二段22号1栋-2楼131号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510108011001GB00008F00020280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成华区二环路东二段22号1栋-2楼130号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510108011001GB00008F00020281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成华区二环路东二段22号1栋-2楼126号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510108011001GB00008F00020284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510108011001GB00008F00020286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510108011001GB00008F00020287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510108011001GB00008F00020295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510108011001GB00008F00020296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510108011001GB00008F00020297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成华区二环路东二段22号1栋-1楼98号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510108011001GB00008F00020346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成华区二环路东二段22号1栋-2楼42号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510108011001GB00008F00020347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成华区二环路东二段22号1栋-2楼53号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510108011001GB00008F00020348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510108011001GB00008F00020349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510108011001GB00008F00020350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510108011001GB00008F00020351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510108011001GB00008F00020352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成华区二环路东二段22号1栋-2楼30号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510108011001GB00008F00020353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成华区二环路东二段22号1栋-2楼35号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510108011001GB00008F00020354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成华区二环路东二段22号1栋-2楼34号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510108011001GB00008F00020356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成华区二环路东二段22号1栋-2楼40号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510108011001GB00008F00020358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成华区二环路东二段22号1栋-2楼95号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510108011001GB00008F00020359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成华区二环路东二段22号1栋-2楼94号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510108011001GB00008F00020360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成华区二环路东二段22号1栋-2楼54号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510108011001GB00008F00020361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成华区二环路东二段22号1栋-2楼60号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510108011001GB00008F00020362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成华区二环路东二段22号1栋-2楼80号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510108011001GB00008F00020364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成华区二环路东二段22号1栋-2楼63号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510108011001GB00008F00020365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成华区二环路东二段22号1栋-2楼62号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510108011001GB00008F00020366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510108011001GB00008F00020368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成华区二环路东二段22号1栋-1楼55号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510108011001GB00008F00020370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成华区二环路东二段22号1栋-2楼55号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510108011001GB00008F00020371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成华区二环路东二段22号1栋-2楼93号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510108011001GB00008F00020372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成华区二环路东二段22号1栋-2楼86号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510108011001GB00008F00020373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成华区二环路东二段22号1栋-2楼47号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510108011001GB00008F00020375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成华区二环路东二段22号1栋-2楼129号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510108011001GB00008F00020376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成华区二环路东二段22号1栋-2楼145号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510108011001GB00008F00020378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成华区二环路东二段22号1栋-1楼78号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510108011001GB00008F00020382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成华区二环路东二段22号1栋-1楼41号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510108011001GB00008F00020383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成华区二环路东二段22号1栋-1楼68号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510108011001GB00008F00020385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成华区二环路东二段22号1栋-2楼65号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510108011001GB00008F00020386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510108011001GB00008F00020387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成华区二环路东二段22号1栋-2楼159号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510108011001GB00008F00020388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成华区二环路东二段22号1栋-2楼155号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510108011001GB00008F00020389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成华区二环路东二段22号1栋-2楼115号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510108011001GB00008F00020390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成华区二环路东二段22号1栋-2楼150号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510108011001GB00008F00020391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成华区二环路东二段22号1栋-2楼137号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510108011001GB00008F00020397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成华区二环路东二段22号1栋-1楼85号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510108011001GB00008F00020398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成华区二环路东二段22号1栋-1楼84号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510108011001GB00008F00020399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成华区二环路东二段22号1栋-1楼82号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510108011001GB00008F00020400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成华区二环路东二段22号1栋-2楼61号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510108011001GB00008F00020401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510108011001GB00008F00020402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成华区二环路东二段22号1栋-2楼149号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510108011001GB00008F00020403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成华区二环路东二段22号1栋-2楼152号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510108011001GB00008F00020404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成华区二环路东二段22号1栋-2楼151号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510108011001GB00008F00020405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成华区二环路东二段22号1栋-2楼143号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510108011001GB00008F00020435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成华区二环路东二段22号1栋-2楼147号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510108011001GB00008F00020436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成华区二环路东二段22号1栋-2楼146号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510108011001GB00008F00020444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成华区二环路东二段22号1栋-1楼77号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510108011001GB00008F00020447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成华区二环路东二段22号1栋-1楼83号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510108011001GB00008F00020448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510108011001GB00008F00020449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成华区二环路东二段22号1栋-2楼141号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510108011001GB00008F00020451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成华区二环路东二段22号1栋-2楼133号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510108011001GB00008F00020452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成华区二环路东二段22号1栋-2楼153号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510108011001GB00008F00020453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成华区二环路东二段22号1栋-2楼148号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510108011001GB00008F00020454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成华区二环路东二段22号1栋-2楼154号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510108011001GB00008F00020455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成华区二环路东二段22号1栋-2楼117号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510108011001GB00008F00020456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成华区二环路东二段22号1栋-2楼106号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510108011001GB00008F00020457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成华区二环路东二段22号1栋-2楼127号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510108011001GB00008F00020458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成华区二环路东二段22号1栋-2楼123号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510108011001GB00008F00020460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510108011001GB00008F00020461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510108011001GB00008F00020462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成华区二环路东二段22号1栋-2楼160号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510108011001GB00008F00020465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成华区二环路东二段22号1栋-2楼33号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510108011001GB00008F00020466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成华区二环路东二段22号1栋-2楼27号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510108011001GB00008F00020467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510108011001GB00008F00020468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510108011001GB00008F00020469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成华区二环路东二段22号1栋-2楼23号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510108011001GB00008F00020470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510108011001GB00008F00020471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成华区二环路东二段22号1栋-2楼90号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510108011001GB00008F00020472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成华区二环路东二段22号1栋-2楼84号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510108011001GB00008F00020473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成华区二环路东二段22号1栋-2楼102号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510108011001GB00008F00020474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成华区二环路东二段22号1栋-2楼96号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510108011001GB00008F00020475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成华区二环路东二段22号1栋-2楼59号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510108011001GB00008F00020476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成华区二环路东二段22号1栋-2楼58号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510108011001GB00008F00020477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成华区二环路东二段22号1栋-2楼57号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510108011001GB00008F00020478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成华区二环路东二段22号1栋-2楼56号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510108011001GB00008F00020488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成华区二环路东二段22号1栋-1楼121号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510108011001GB00008F00020491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成华区二环路东二段22号1栋-1楼137号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510108011001GB00008F00020492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成华区二环路东二段22号1栋-1楼133号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510108011001GB00008F00020495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成华区二环路东二段22号1栋-1楼54号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510108011001GB00008F00020500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成华区二环路东二段22号1栋-1楼25号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510108011001GB00008F00020526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成华区二环路东二段22号1栋-2楼79号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510108011001GB00008F00020535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成华区二环路东二段22号1栋-2楼161号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510108011001GB00008F00020544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510108011001GB00008F00020545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成华区二环路东二段22号1栋-2楼71号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510108011001GB00008F00020546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成华区二环路东二段22号1栋-2楼70号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510108011001GB00008F00020547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成华区二环路东二段22号1栋-2楼69号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510108011001GB00008F00020548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成华区二环路东二段22号1栋-2楼67号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510108011001GB00008F00020549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510108011001GB00008F00020550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510108011001GB00008F00020551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510108011001GB00008F00020572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成华区二环路东二段22号1栋-1楼143号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510108011001GB00008F00020573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成华区二环路东二段22号1栋-1楼142号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510108011001GB00008F00020595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成华区二环路东二段22号1栋-1楼140号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510108011001GB00008F00020596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成华区二环路东二段22号1栋-1楼139号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510108011001GB00008F00020597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成华区二环路东二段22号1栋-1楼94号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510108011001GB00008F00020607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成华区二环路东二段22号1栋-2楼43号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510108011001GB00008F00020614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成华区二环路东二段22号1栋-2楼104号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510108011001GB00008F00020623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成华区二环路东二段22号1栋-2楼77号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510108011001GB00008F00020625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成华区二环路东二段22号1栋-1楼63号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510108011001GB00008F00020626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成华区二环路东二段22号1栋-1楼67号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510108011001GB00008F00020628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成华区二环路东二段22号1栋-2楼74号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510108011001GB00008F00020636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510108011001GB00008F00020637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成华区二环路东二段22号1栋-2楼31号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510108011001GB00008F00020638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成华区二环路东二段22号1栋-2楼39号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510108011001GB00008F00020644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成华区二环路东二段22号1栋-2楼101号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510108011001GB00008F00020645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成华区二环路东二段22号1栋-2楼100号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510108011001GB00008F00020646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成华区二环路东二段22号1栋-2楼99号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510108011001GB00008F00020647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成华区二环路东二段22号1栋-2楼92号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510108011001GB00008F00020648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成华区二环路东二段22号1栋-2楼24号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510108011001GB00008F00020649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510108011001GB00008F00020650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成华区二环路东二段22号1栋-2楼22号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510108011001GB00008F00020651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成华区二环路东二段22号1栋-2楼21号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510108011001GB00008F00020652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成华区二环路东二段22号1栋-2楼20号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510108011001GB00008F00020653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成华区二环路东二段22号1栋-2楼13号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510108011001GB00008F00020654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510108011001GB00008F00020655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510108011001GB00008F00020656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510108011001GB00008F00020658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成华区二环路东二段22号1栋-2楼89号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510108011001GB00008F00020659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成华区二环路东二段22号1栋-2楼88号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510108011001GB00008F00020660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成华区二环路东二段22号1栋-2楼87号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510108011001GB00008F00020661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成华区二环路东二段22号1栋-2楼91号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510108011001GB00008F00020662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成华区二环路东二段22号1栋-2楼85号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510108011001GB00008F00020664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成华区二环路东二段22号1栋-2楼82号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510108011001GB00008F00020665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成华区二环路东二段22号1栋-2楼81号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510108011001GB00008F00020669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成华区二环路东二段22号1栋-2楼49号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510108011001GB00008F00020670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成华区二环路东二段22号1栋-2楼41号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510108011001GB00008F00020671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成华区二环路东二段22号1栋-2楼45号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510108011001GB00008F00020672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成华区二环路东二段22号1栋-2楼162号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510108011001GB00008F00020673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成华区二环路东二段22号1栋-2楼158号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510108011001GB00008F00020674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成华区二环路东二段22号1栋-2楼157号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510108011001GB00008F00020675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成华区二环路东二段22号1栋-2楼156号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510108011001GB00008F00020681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成华区二环路东二段22号1栋-2楼110号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510108011001GB00008F00020682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成华区二环路东二段22号1栋-2楼128号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510108011001GB00008F00020685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成华区二环路东二段22号1栋-2楼111号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510108011001GB00008F00020686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成华区二环路东二段22号1栋-2楼109号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510108011001GB00008F00020688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成华区二环路东二段22号1栋-2楼107号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510108011001GB00008F00020689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成华区二环路东二段22号1栋-2楼105号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510108011001GB00008F00020691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成华区二环路东二段22号1栋-1楼38号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510108011001GB00008F00020693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成华区二环路东二段22号1栋-1楼21号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510108011001GB00008F00020694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成华区二环路东二段22号1栋-1楼40号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510108011001GB00008F00020695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成华区二环路东二段22号1栋-1楼39号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510108011001GB00008F00020696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成华区二环路东二段22号1栋-1楼37号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510108011001GB00008F00020697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成华区二环路东二段22号1栋-2楼134号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510108011001GB00008F00020698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成华区二环路东二段22号1栋-2楼142号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510108011001GB00008F00020699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成华区二环路东二段22号1栋-2楼135号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510108011001GB00008F00020700</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成华区二环路东二段22号1栋-2楼122号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510108011001GB00008F00020701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成华区二环路东二段22号1栋-2楼121号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510108011001GB00008F00020702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成华区二环路东二段22号1栋-2楼120号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510108011001GB00008F00020703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成华区二环路东二段22号1栋-2楼119号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510108011001GB00008F00020704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510108011001GB00008F00020705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成华区二环路东二段22号1栋-1楼36号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510108011001GB00008F00020706</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成华区二环路东二段22号1栋-1楼35号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510108011001GB00008F00020707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成华区二环路东二段22号1栋-1楼34号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510108011001GB00008F00020709</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成华区二环路东二段22号1栋-1楼99号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510108011001GB00008F00020711</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成华区二环路东二段22号1栋-1楼102号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40.91</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510108011001GB00008F00020712</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成华区二环路东二段22号1栋-1楼100号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四川昊美房地产开发有限责任公司</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510108011001GB00008F00020714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成华区二环路东二段22号1栋-2楼66号</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车位</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27.27</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6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7402.54</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大写：人民币贰仟叁佰伍拾肆万捌仟元整</w:t>
            </w:r>
          </w:p>
        </w:tc>
      </w:tr>
    </w:tbl>
    <w:p>
      <w:pPr>
        <w:widowControl/>
        <w:spacing w:line="300" w:lineRule="exact"/>
        <w:jc w:val="left"/>
        <w:rPr>
          <w:rFonts w:hint="eastAsia" w:ascii="宋体" w:hAnsi="宋体" w:eastAsia="宋体" w:cs="宋体"/>
          <w:color w:val="auto"/>
        </w:rPr>
      </w:pPr>
      <w:r>
        <w:rPr>
          <w:rFonts w:hint="eastAsia" w:ascii="宋体" w:hAnsi="宋体" w:eastAsia="宋体" w:cs="宋体"/>
          <w:color w:val="auto"/>
        </w:rPr>
        <w:t>特殊事项说明：</w:t>
      </w:r>
    </w:p>
    <w:p>
      <w:pPr>
        <w:widowControl/>
        <w:spacing w:line="300" w:lineRule="exact"/>
        <w:ind w:firstLine="420" w:firstLineChars="200"/>
        <w:jc w:val="left"/>
        <w:rPr>
          <w:rFonts w:hint="eastAsia" w:ascii="宋体" w:hAnsi="宋体" w:eastAsia="宋体" w:cs="宋体"/>
          <w:color w:val="auto"/>
        </w:rPr>
      </w:pPr>
      <w:r>
        <w:rPr>
          <w:rFonts w:hint="eastAsia" w:ascii="宋体" w:hAnsi="宋体" w:eastAsia="宋体" w:cs="宋体"/>
          <w:color w:val="auto"/>
        </w:rPr>
        <w:t>1.权属状况</w:t>
      </w:r>
    </w:p>
    <w:p>
      <w:pPr>
        <w:widowControl/>
        <w:spacing w:line="300" w:lineRule="exact"/>
        <w:ind w:firstLine="420" w:firstLineChars="200"/>
        <w:jc w:val="left"/>
        <w:rPr>
          <w:rFonts w:hint="eastAsia" w:ascii="宋体" w:hAnsi="宋体" w:eastAsia="宋体" w:cs="宋体"/>
          <w:color w:val="auto"/>
          <w:lang w:val="en-US" w:eastAsia="zh-CN"/>
        </w:rPr>
      </w:pPr>
      <w:r>
        <w:rPr>
          <w:rFonts w:hint="eastAsia" w:ascii="宋体" w:hAnsi="宋体" w:eastAsia="宋体" w:cs="宋体"/>
          <w:color w:val="auto"/>
        </w:rPr>
        <w:t>①</w:t>
      </w:r>
      <w:r>
        <w:rPr>
          <w:rFonts w:hint="eastAsia" w:ascii="宋体" w:hAnsi="宋体" w:eastAsia="宋体" w:cs="宋体"/>
          <w:color w:val="auto"/>
          <w:lang w:val="en-US" w:eastAsia="zh-CN"/>
        </w:rPr>
        <w:t>根据委托方提供的</w:t>
      </w:r>
      <w:r>
        <w:rPr>
          <w:rFonts w:hint="eastAsia" w:ascii="宋体" w:hAnsi="宋体" w:eastAsia="宋体" w:cs="宋体"/>
          <w:color w:val="auto"/>
          <w:lang w:eastAsia="zh-CN"/>
        </w:rPr>
        <w:t>《成都市不动产登记信息查询结果》</w:t>
      </w:r>
      <w:r>
        <w:rPr>
          <w:rFonts w:hint="eastAsia" w:ascii="宋体" w:hAnsi="宋体" w:eastAsia="宋体" w:cs="宋体"/>
          <w:color w:val="auto"/>
        </w:rPr>
        <w:t>，至价值时点，估价对象存在</w:t>
      </w:r>
      <w:r>
        <w:rPr>
          <w:rFonts w:hint="eastAsia" w:ascii="宋体" w:hAnsi="宋体" w:cs="宋体"/>
          <w:color w:val="auto"/>
          <w:lang w:val="en-US" w:eastAsia="zh-CN"/>
        </w:rPr>
        <w:t>抵押和</w:t>
      </w:r>
      <w:r>
        <w:rPr>
          <w:rFonts w:hint="eastAsia" w:ascii="宋体" w:hAnsi="宋体" w:eastAsia="宋体" w:cs="宋体"/>
          <w:color w:val="auto"/>
        </w:rPr>
        <w:t>查封登记，本次评估未考虑</w:t>
      </w:r>
      <w:r>
        <w:rPr>
          <w:rFonts w:hint="eastAsia" w:ascii="宋体" w:hAnsi="宋体" w:eastAsia="宋体" w:cs="宋体"/>
          <w:color w:val="auto"/>
          <w:lang w:val="en-US" w:eastAsia="zh-CN"/>
        </w:rPr>
        <w:t>上述查封</w:t>
      </w:r>
      <w:r>
        <w:rPr>
          <w:rFonts w:hint="eastAsia" w:ascii="宋体" w:hAnsi="宋体" w:eastAsia="宋体" w:cs="宋体"/>
          <w:color w:val="auto"/>
        </w:rPr>
        <w:t>因素对房地产价值</w:t>
      </w:r>
      <w:r>
        <w:rPr>
          <w:rFonts w:hint="eastAsia" w:ascii="宋体" w:hAnsi="宋体" w:eastAsia="宋体" w:cs="宋体"/>
          <w:color w:val="auto"/>
          <w:lang w:val="en-US" w:eastAsia="zh-CN"/>
        </w:rPr>
        <w:t>及处置</w:t>
      </w:r>
      <w:r>
        <w:rPr>
          <w:rFonts w:hint="eastAsia" w:ascii="宋体" w:hAnsi="宋体" w:eastAsia="宋体" w:cs="宋体"/>
          <w:color w:val="auto"/>
        </w:rPr>
        <w:t>的影</w:t>
      </w:r>
      <w:r>
        <w:rPr>
          <w:rFonts w:hint="eastAsia" w:ascii="宋体" w:hAnsi="宋体" w:eastAsia="宋体" w:cs="宋体"/>
          <w:color w:val="auto"/>
          <w:lang w:val="en-US" w:eastAsia="zh-CN"/>
        </w:rPr>
        <w:t>响。</w:t>
      </w:r>
    </w:p>
    <w:p>
      <w:pPr>
        <w:ind w:firstLine="420" w:firstLineChars="200"/>
        <w:jc w:val="left"/>
        <w:rPr>
          <w:rFonts w:hint="eastAsia" w:ascii="宋体" w:hAnsi="宋体" w:eastAsia="宋体" w:cs="宋体"/>
          <w:color w:val="auto"/>
          <w:kern w:val="0"/>
          <w:lang w:val="en-US" w:eastAsia="zh-CN"/>
        </w:rPr>
      </w:pPr>
      <w:r>
        <w:rPr>
          <w:rFonts w:hint="eastAsia" w:ascii="宋体" w:hAnsi="宋体" w:eastAsia="宋体" w:cs="宋体"/>
          <w:color w:val="auto"/>
          <w:lang w:val="en-US" w:eastAsia="zh-CN"/>
        </w:rPr>
        <w:t>②据现场查勘调查获知</w:t>
      </w:r>
      <w:r>
        <w:rPr>
          <w:rFonts w:hint="eastAsia" w:ascii="宋体" w:hAnsi="宋体" w:eastAsia="宋体" w:cs="宋体"/>
          <w:color w:val="auto"/>
          <w:kern w:val="0"/>
          <w:lang w:val="en-US" w:eastAsia="zh-CN"/>
        </w:rPr>
        <w:t>，于价值时点估价对象存在出租情形，但未固定车位，</w:t>
      </w:r>
      <w:r>
        <w:rPr>
          <w:rFonts w:hint="eastAsia" w:ascii="宋体" w:hAnsi="宋体" w:cs="宋体"/>
          <w:color w:val="auto"/>
          <w:kern w:val="0"/>
          <w:lang w:val="en-US" w:eastAsia="zh-CN"/>
        </w:rPr>
        <w:t>委托方未提供租赁资料，</w:t>
      </w:r>
      <w:r>
        <w:rPr>
          <w:rFonts w:hint="eastAsia" w:ascii="宋体" w:hAnsi="宋体" w:eastAsia="宋体" w:cs="宋体"/>
          <w:color w:val="auto"/>
          <w:kern w:val="0"/>
          <w:lang w:val="en-US" w:eastAsia="zh-CN"/>
        </w:rPr>
        <w:t>本次估价未考虑租赁关系的影响，敬请报告使用人注意。</w:t>
      </w:r>
    </w:p>
    <w:p>
      <w:pPr>
        <w:ind w:firstLine="420" w:firstLineChars="200"/>
        <w:jc w:val="left"/>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③本次评估估价对象的位置根据委托人提供的《成都市不动产登记信息查询结果》及房屋楼层平面图标示的房号为准，敬请报告使用人注意。</w:t>
      </w:r>
    </w:p>
    <w:p>
      <w:pPr>
        <w:widowControl/>
        <w:spacing w:line="300" w:lineRule="exact"/>
        <w:ind w:firstLine="420" w:firstLineChars="200"/>
        <w:jc w:val="left"/>
        <w:rPr>
          <w:rFonts w:hint="eastAsia" w:ascii="宋体" w:hAnsi="宋体" w:eastAsia="宋体" w:cs="宋体"/>
          <w:color w:val="auto"/>
        </w:rPr>
      </w:pPr>
      <w:r>
        <w:rPr>
          <w:rFonts w:hint="eastAsia" w:ascii="宋体" w:hAnsi="宋体" w:eastAsia="宋体" w:cs="宋体"/>
          <w:color w:val="auto"/>
        </w:rPr>
        <w:t>2.实物状况：</w:t>
      </w:r>
    </w:p>
    <w:p>
      <w:pPr>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lang w:eastAsia="zh-CN"/>
        </w:rPr>
        <w:t>估价对象登记地址为成华区二环</w:t>
      </w:r>
      <w:r>
        <w:rPr>
          <w:rFonts w:hint="eastAsia" w:ascii="宋体" w:hAnsi="宋体" w:eastAsia="宋体" w:cs="宋体"/>
          <w:color w:val="auto"/>
          <w:kern w:val="0"/>
          <w:lang w:val="en-US" w:eastAsia="zh-CN"/>
        </w:rPr>
        <w:t>路东二段22号1栋-1、-2楼共计203个车位用房地产，现场查看地址</w:t>
      </w:r>
      <w:r>
        <w:rPr>
          <w:rFonts w:hint="eastAsia" w:ascii="宋体" w:hAnsi="宋体" w:cs="宋体"/>
          <w:color w:val="auto"/>
          <w:kern w:val="0"/>
          <w:lang w:val="en-US" w:eastAsia="zh-CN"/>
        </w:rPr>
        <w:t>位于</w:t>
      </w:r>
      <w:r>
        <w:rPr>
          <w:rFonts w:hint="eastAsia" w:ascii="宋体" w:hAnsi="宋体" w:eastAsia="宋体" w:cs="宋体"/>
          <w:color w:val="auto"/>
          <w:kern w:val="0"/>
          <w:lang w:eastAsia="zh-CN"/>
        </w:rPr>
        <w:t>二环</w:t>
      </w:r>
      <w:r>
        <w:rPr>
          <w:rFonts w:hint="eastAsia" w:ascii="宋体" w:hAnsi="宋体" w:eastAsia="宋体" w:cs="宋体"/>
          <w:color w:val="auto"/>
          <w:kern w:val="0"/>
          <w:lang w:val="en-US" w:eastAsia="zh-CN"/>
        </w:rPr>
        <w:t>路东二段22号，未见栋号，楼层平面图的车位</w:t>
      </w:r>
      <w:r>
        <w:rPr>
          <w:rFonts w:hint="eastAsia" w:ascii="宋体" w:hAnsi="宋体" w:cs="宋体"/>
          <w:color w:val="auto"/>
          <w:kern w:val="0"/>
          <w:lang w:val="en-US" w:eastAsia="zh-CN"/>
        </w:rPr>
        <w:t>标号</w:t>
      </w:r>
      <w:r>
        <w:rPr>
          <w:rFonts w:hint="eastAsia" w:ascii="宋体" w:hAnsi="宋体" w:eastAsia="宋体" w:cs="宋体"/>
          <w:color w:val="auto"/>
          <w:kern w:val="0"/>
          <w:lang w:val="en-US" w:eastAsia="zh-CN"/>
        </w:rPr>
        <w:t>与现场查勘标示的车位</w:t>
      </w:r>
      <w:r>
        <w:rPr>
          <w:rFonts w:hint="eastAsia" w:ascii="宋体" w:hAnsi="宋体" w:cs="宋体"/>
          <w:color w:val="auto"/>
          <w:kern w:val="0"/>
          <w:lang w:val="en-US" w:eastAsia="zh-CN"/>
        </w:rPr>
        <w:t>标号</w:t>
      </w:r>
      <w:r>
        <w:rPr>
          <w:rFonts w:hint="eastAsia" w:ascii="宋体" w:hAnsi="宋体" w:eastAsia="宋体" w:cs="宋体"/>
          <w:color w:val="auto"/>
          <w:kern w:val="0"/>
          <w:lang w:val="en-US" w:eastAsia="zh-CN"/>
        </w:rPr>
        <w:t>一致，</w:t>
      </w:r>
      <w:r>
        <w:rPr>
          <w:rFonts w:hint="eastAsia" w:ascii="宋体" w:hAnsi="宋体" w:cs="宋体"/>
          <w:color w:val="auto"/>
          <w:kern w:val="0"/>
          <w:lang w:val="en-US" w:eastAsia="zh-CN"/>
        </w:rPr>
        <w:t>车位部分无法辨识号码标识以楼层平面图为准</w:t>
      </w:r>
      <w:r>
        <w:rPr>
          <w:rFonts w:hint="eastAsia" w:ascii="宋体" w:hAnsi="宋体" w:eastAsia="宋体" w:cs="宋体"/>
          <w:color w:val="auto"/>
          <w:kern w:val="0"/>
          <w:lang w:eastAsia="zh-CN"/>
        </w:rPr>
        <w:t>，敬请报告使用人注意</w:t>
      </w:r>
      <w:r>
        <w:rPr>
          <w:rFonts w:hint="eastAsia" w:ascii="宋体" w:hAnsi="宋体" w:eastAsia="宋体" w:cs="宋体"/>
          <w:color w:val="auto"/>
          <w:kern w:val="0"/>
        </w:rPr>
        <w:t>。</w:t>
      </w:r>
    </w:p>
    <w:p>
      <w:pPr>
        <w:widowControl/>
        <w:spacing w:line="300" w:lineRule="exact"/>
        <w:ind w:firstLine="420" w:firstLineChars="200"/>
        <w:jc w:val="left"/>
        <w:rPr>
          <w:rFonts w:hint="eastAsia" w:ascii="宋体" w:hAnsi="宋体" w:eastAsia="宋体" w:cs="宋体"/>
          <w:color w:val="auto"/>
        </w:rPr>
      </w:pPr>
      <w:r>
        <w:rPr>
          <w:rFonts w:hint="eastAsia" w:ascii="宋体" w:hAnsi="宋体" w:eastAsia="宋体" w:cs="宋体"/>
          <w:color w:val="auto"/>
        </w:rPr>
        <w:t>3.价值内涵：</w:t>
      </w:r>
    </w:p>
    <w:p>
      <w:pPr>
        <w:widowControl/>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①评估结果</w:t>
      </w:r>
      <w:r>
        <w:rPr>
          <w:rFonts w:hint="eastAsia" w:ascii="宋体" w:hAnsi="宋体" w:eastAsia="宋体" w:cs="宋体"/>
          <w:color w:val="auto"/>
          <w:kern w:val="0"/>
          <w:lang w:eastAsia="zh-CN"/>
        </w:rPr>
        <w:t>以</w:t>
      </w:r>
      <w:r>
        <w:rPr>
          <w:rFonts w:hint="eastAsia" w:ascii="宋体" w:hAnsi="宋体" w:eastAsia="宋体" w:cs="宋体"/>
          <w:color w:val="auto"/>
          <w:kern w:val="0"/>
        </w:rPr>
        <w:t>人民币</w:t>
      </w:r>
      <w:r>
        <w:rPr>
          <w:rFonts w:hint="eastAsia" w:ascii="宋体" w:hAnsi="宋体" w:eastAsia="宋体" w:cs="宋体"/>
          <w:color w:val="auto"/>
          <w:kern w:val="0"/>
          <w:lang w:eastAsia="zh-CN"/>
        </w:rPr>
        <w:t>计价</w:t>
      </w:r>
      <w:r>
        <w:rPr>
          <w:rFonts w:hint="eastAsia" w:ascii="宋体" w:hAnsi="宋体" w:eastAsia="宋体" w:cs="宋体"/>
          <w:color w:val="auto"/>
          <w:kern w:val="0"/>
        </w:rPr>
        <w:t>。</w:t>
      </w:r>
    </w:p>
    <w:p>
      <w:pPr>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②估价对象</w:t>
      </w:r>
      <w:r>
        <w:rPr>
          <w:rFonts w:hint="eastAsia" w:ascii="宋体" w:hAnsi="宋体" w:eastAsia="宋体" w:cs="宋体"/>
          <w:color w:val="auto"/>
          <w:kern w:val="0"/>
          <w:lang w:val="en-US" w:eastAsia="zh-CN"/>
        </w:rPr>
        <w:t>分摊的</w:t>
      </w:r>
      <w:r>
        <w:rPr>
          <w:rFonts w:hint="eastAsia" w:ascii="宋体" w:hAnsi="宋体" w:eastAsia="宋体" w:cs="宋体"/>
          <w:color w:val="auto"/>
          <w:kern w:val="0"/>
        </w:rPr>
        <w:t>土地使用权以出让方式取得。</w:t>
      </w:r>
    </w:p>
    <w:p>
      <w:pPr>
        <w:ind w:firstLine="420" w:firstLineChars="200"/>
        <w:jc w:val="left"/>
        <w:rPr>
          <w:rFonts w:hint="eastAsia" w:ascii="宋体" w:hAnsi="宋体" w:eastAsia="宋体" w:cs="宋体"/>
          <w:color w:val="auto"/>
          <w:kern w:val="0"/>
        </w:rPr>
      </w:pPr>
      <w:r>
        <w:rPr>
          <w:rFonts w:hint="eastAsia" w:ascii="宋体" w:hAnsi="宋体" w:eastAsia="宋体" w:cs="宋体"/>
          <w:color w:val="auto"/>
          <w:kern w:val="0"/>
        </w:rPr>
        <w:t>③房地产估价结果包含房屋所有权、分摊土地使用权、室内装饰装修及不可分割的满足其使用功能的水、电、视、讯、消防等配套设施</w:t>
      </w:r>
      <w:r>
        <w:rPr>
          <w:rFonts w:hint="eastAsia" w:ascii="宋体" w:hAnsi="宋体" w:eastAsia="宋体" w:cs="宋体"/>
          <w:color w:val="auto"/>
          <w:kern w:val="0"/>
          <w:lang w:eastAsia="zh-CN"/>
        </w:rPr>
        <w:t>价值</w:t>
      </w:r>
      <w:r>
        <w:rPr>
          <w:rFonts w:hint="eastAsia" w:ascii="宋体" w:hAnsi="宋体" w:eastAsia="宋体" w:cs="宋体"/>
          <w:color w:val="auto"/>
          <w:kern w:val="0"/>
        </w:rPr>
        <w:t>。</w:t>
      </w:r>
    </w:p>
    <w:p>
      <w:pPr>
        <w:widowControl/>
        <w:spacing w:line="300" w:lineRule="exact"/>
        <w:ind w:firstLine="420" w:firstLineChars="200"/>
        <w:jc w:val="left"/>
        <w:rPr>
          <w:rFonts w:hint="eastAsia" w:ascii="宋体" w:hAnsi="宋体" w:eastAsia="宋体" w:cs="宋体"/>
          <w:color w:val="auto"/>
        </w:rPr>
      </w:pPr>
      <w:r>
        <w:rPr>
          <w:rFonts w:hint="eastAsia" w:ascii="宋体" w:hAnsi="宋体" w:eastAsia="宋体" w:cs="宋体"/>
          <w:color w:val="auto"/>
          <w:kern w:val="0"/>
        </w:rPr>
        <w:t>④设定为在价值时点，交易双方各自依法承担应缴纳的税费</w:t>
      </w:r>
      <w:r>
        <w:rPr>
          <w:rFonts w:hint="eastAsia" w:ascii="宋体" w:hAnsi="宋体" w:eastAsia="宋体" w:cs="宋体"/>
          <w:color w:val="auto"/>
          <w:kern w:val="0"/>
          <w:sz w:val="24"/>
        </w:rPr>
        <w:t>。</w:t>
      </w:r>
    </w:p>
    <w:p>
      <w:pPr>
        <w:widowControl/>
        <w:spacing w:line="300" w:lineRule="exact"/>
        <w:ind w:firstLine="420" w:firstLineChars="200"/>
        <w:jc w:val="left"/>
        <w:rPr>
          <w:rFonts w:hint="eastAsia" w:ascii="宋体" w:hAnsi="宋体" w:eastAsia="宋体" w:cs="宋体"/>
          <w:color w:val="auto"/>
        </w:rPr>
      </w:pPr>
    </w:p>
    <w:p>
      <w:pPr>
        <w:widowControl/>
        <w:spacing w:line="300" w:lineRule="exact"/>
        <w:ind w:firstLine="420" w:firstLineChars="200"/>
        <w:jc w:val="left"/>
        <w:rPr>
          <w:rFonts w:hint="eastAsia" w:ascii="宋体" w:hAnsi="宋体" w:eastAsia="宋体" w:cs="宋体"/>
          <w:color w:val="auto"/>
        </w:rPr>
      </w:pPr>
    </w:p>
    <w:p>
      <w:pPr>
        <w:tabs>
          <w:tab w:val="left" w:pos="2835"/>
        </w:tabs>
        <w:spacing w:line="320" w:lineRule="exact"/>
        <w:ind w:right="126"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报告使用人在使用本报告之前须对报告全文，特别是“估价的假设和限制条件”认真阅读，以免使用不当，造成损失！估价的详细结果、过程及有关说明，请见附后的《估价结果报告》。</w:t>
      </w:r>
    </w:p>
    <w:p>
      <w:pPr>
        <w:tabs>
          <w:tab w:val="left" w:pos="2835"/>
        </w:tabs>
        <w:spacing w:line="320" w:lineRule="exact"/>
        <w:ind w:right="126" w:firstLine="480" w:firstLineChars="200"/>
        <w:jc w:val="left"/>
        <w:rPr>
          <w:rFonts w:hint="eastAsia" w:ascii="宋体" w:hAnsi="宋体" w:eastAsia="宋体" w:cs="宋体"/>
          <w:color w:val="auto"/>
          <w:sz w:val="24"/>
        </w:rPr>
      </w:pPr>
    </w:p>
    <w:p>
      <w:pPr>
        <w:tabs>
          <w:tab w:val="left" w:pos="2835"/>
        </w:tabs>
        <w:spacing w:line="320" w:lineRule="exact"/>
        <w:ind w:right="126"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此致</w:t>
      </w:r>
    </w:p>
    <w:p>
      <w:pPr>
        <w:tabs>
          <w:tab w:val="left" w:pos="2835"/>
        </w:tabs>
        <w:spacing w:line="500" w:lineRule="atLeast"/>
        <w:ind w:right="-1138" w:firstLine="5740" w:firstLineChars="2050"/>
        <w:rPr>
          <w:rFonts w:hint="eastAsia" w:ascii="宋体" w:hAnsi="宋体" w:eastAsia="宋体" w:cs="宋体"/>
          <w:color w:val="auto"/>
          <w:sz w:val="28"/>
        </w:rPr>
      </w:pPr>
    </w:p>
    <w:p>
      <w:pPr>
        <w:tabs>
          <w:tab w:val="left" w:pos="2835"/>
        </w:tabs>
        <w:spacing w:line="500" w:lineRule="atLeast"/>
        <w:ind w:right="-1138" w:firstLine="5740" w:firstLineChars="2050"/>
        <w:rPr>
          <w:rFonts w:hint="eastAsia" w:ascii="宋体" w:hAnsi="宋体" w:eastAsia="宋体" w:cs="宋体"/>
          <w:color w:val="auto"/>
          <w:sz w:val="28"/>
        </w:rPr>
      </w:pPr>
      <w:r>
        <w:rPr>
          <w:rFonts w:hint="eastAsia" w:ascii="宋体" w:hAnsi="宋体" w:eastAsia="宋体" w:cs="宋体"/>
          <w:color w:val="auto"/>
          <w:sz w:val="28"/>
        </w:rPr>
        <w:t>四川金誉房地产评估有限责任公司</w:t>
      </w:r>
    </w:p>
    <w:p>
      <w:pPr>
        <w:tabs>
          <w:tab w:val="left" w:pos="2835"/>
        </w:tabs>
        <w:spacing w:line="500" w:lineRule="atLeast"/>
        <w:ind w:right="-1138" w:firstLine="6860" w:firstLineChars="2450"/>
        <w:rPr>
          <w:rFonts w:hint="eastAsia" w:ascii="宋体" w:hAnsi="宋体" w:eastAsia="宋体" w:cs="宋体"/>
          <w:color w:val="auto"/>
          <w:sz w:val="28"/>
        </w:rPr>
      </w:pPr>
      <w:r>
        <w:rPr>
          <w:rFonts w:hint="eastAsia" w:ascii="宋体" w:hAnsi="宋体" w:eastAsia="宋体" w:cs="宋体"/>
          <w:color w:val="auto"/>
          <w:sz w:val="28"/>
        </w:rPr>
        <w:t xml:space="preserve">法人代表：段燕                                    </w:t>
      </w:r>
    </w:p>
    <w:p>
      <w:pPr>
        <w:tabs>
          <w:tab w:val="left" w:pos="2835"/>
        </w:tabs>
        <w:spacing w:line="500" w:lineRule="atLeast"/>
        <w:ind w:left="6844" w:leftChars="3059" w:right="-1138" w:hanging="420" w:hangingChars="150"/>
        <w:jc w:val="left"/>
        <w:rPr>
          <w:rFonts w:hint="eastAsia" w:ascii="宋体" w:hAnsi="宋体" w:eastAsia="宋体" w:cs="宋体"/>
          <w:color w:val="auto"/>
          <w:sz w:val="28"/>
          <w:lang w:eastAsia="zh-CN"/>
        </w:rPr>
      </w:pPr>
      <w:r>
        <w:rPr>
          <w:rFonts w:hint="eastAsia" w:ascii="宋体" w:hAnsi="宋体" w:eastAsia="宋体" w:cs="宋体"/>
          <w:color w:val="auto"/>
          <w:sz w:val="28"/>
        </w:rPr>
        <w:t xml:space="preserve">   </w:t>
      </w:r>
      <w:r>
        <w:rPr>
          <w:rFonts w:hint="eastAsia" w:ascii="宋体" w:hAnsi="宋体" w:eastAsia="宋体" w:cs="宋体"/>
          <w:color w:val="auto"/>
          <w:sz w:val="28"/>
          <w:lang w:eastAsia="zh-CN"/>
        </w:rPr>
        <w:t>2023年03月02日</w:t>
      </w:r>
    </w:p>
    <w:p>
      <w:pPr>
        <w:spacing w:line="340" w:lineRule="atLeast"/>
        <w:jc w:val="center"/>
        <w:rPr>
          <w:rFonts w:hint="eastAsia" w:ascii="宋体" w:hAnsi="宋体" w:eastAsia="宋体" w:cs="宋体"/>
          <w:b/>
          <w:color w:val="auto"/>
          <w:sz w:val="36"/>
          <w:szCs w:val="36"/>
        </w:rPr>
      </w:pPr>
      <w:bookmarkStart w:id="4" w:name="_Toc371455195"/>
      <w:bookmarkStart w:id="5" w:name="_Toc371540978"/>
      <w:bookmarkStart w:id="6" w:name="_Toc283905986"/>
      <w:r>
        <w:rPr>
          <w:rFonts w:hint="eastAsia" w:ascii="宋体" w:hAnsi="宋体" w:eastAsia="宋体" w:cs="宋体"/>
          <w:b/>
          <w:color w:val="auto"/>
          <w:sz w:val="32"/>
        </w:rPr>
        <w:br w:type="page"/>
      </w:r>
      <w:r>
        <w:rPr>
          <w:rFonts w:hint="eastAsia" w:ascii="宋体" w:hAnsi="宋体" w:eastAsia="宋体" w:cs="宋体"/>
          <w:b/>
          <w:color w:val="auto"/>
          <w:sz w:val="36"/>
          <w:szCs w:val="36"/>
        </w:rPr>
        <w:t>目     录</w:t>
      </w:r>
    </w:p>
    <w:p>
      <w:pPr>
        <w:spacing w:line="520" w:lineRule="exact"/>
        <w:jc w:val="center"/>
        <w:rPr>
          <w:rFonts w:hint="eastAsia" w:ascii="宋体" w:hAnsi="宋体" w:eastAsia="宋体" w:cs="宋体"/>
          <w:b/>
          <w:color w:val="auto"/>
          <w:sz w:val="44"/>
        </w:rPr>
      </w:pPr>
    </w:p>
    <w:p>
      <w:pPr>
        <w:pStyle w:val="21"/>
        <w:keepNext w:val="0"/>
        <w:keepLines w:val="0"/>
        <w:pageBreakBefore w:val="0"/>
        <w:widowControl w:val="0"/>
        <w:tabs>
          <w:tab w:val="right" w:leader="dot" w:pos="9746"/>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TOC \o "1-2" \u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caps w:val="0"/>
          <w:color w:val="auto"/>
          <w:spacing w:val="0"/>
          <w:kern w:val="2"/>
          <w:sz w:val="24"/>
          <w:szCs w:val="24"/>
          <w:lang w:bidi="ar-SA"/>
        </w:rPr>
        <w:t>估价师声明</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_Toc28521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14</w:t>
      </w:r>
      <w:r>
        <w:rPr>
          <w:rFonts w:hint="eastAsia" w:ascii="宋体" w:hAnsi="宋体" w:eastAsia="宋体" w:cs="宋体"/>
          <w:b w:val="0"/>
          <w:bCs/>
          <w:sz w:val="24"/>
          <w:szCs w:val="24"/>
        </w:rPr>
        <w:fldChar w:fldCharType="end"/>
      </w:r>
    </w:p>
    <w:p>
      <w:pPr>
        <w:pStyle w:val="21"/>
        <w:keepNext w:val="0"/>
        <w:keepLines w:val="0"/>
        <w:pageBreakBefore w:val="0"/>
        <w:widowControl w:val="0"/>
        <w:tabs>
          <w:tab w:val="right" w:leader="dot" w:pos="9746"/>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rPr>
        <w:t>估价假设和限制条件</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_Toc28079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15</w:t>
      </w:r>
      <w:r>
        <w:rPr>
          <w:rFonts w:hint="eastAsia" w:ascii="宋体" w:hAnsi="宋体" w:eastAsia="宋体" w:cs="宋体"/>
          <w:b w:val="0"/>
          <w:bCs/>
          <w:sz w:val="24"/>
          <w:szCs w:val="24"/>
        </w:rPr>
        <w:fldChar w:fldCharType="end"/>
      </w:r>
    </w:p>
    <w:p>
      <w:pPr>
        <w:pStyle w:val="21"/>
        <w:keepNext w:val="0"/>
        <w:keepLines w:val="0"/>
        <w:pageBreakBefore w:val="0"/>
        <w:widowControl w:val="0"/>
        <w:tabs>
          <w:tab w:val="right" w:leader="dot" w:pos="9746"/>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rPr>
        <w:t>估价结果报告</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_Toc2188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18</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u w:val="none" w:color="auto"/>
        </w:rPr>
        <w:t xml:space="preserve">一、 </w:t>
      </w:r>
      <w:r>
        <w:rPr>
          <w:rFonts w:hint="eastAsia" w:ascii="宋体" w:hAnsi="宋体" w:eastAsia="宋体" w:cs="宋体"/>
          <w:b w:val="0"/>
          <w:bCs/>
          <w:color w:val="auto"/>
          <w:sz w:val="24"/>
          <w:szCs w:val="24"/>
        </w:rPr>
        <w:t>估价委托人</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_Toc2008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18</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u w:val="none" w:color="auto"/>
        </w:rPr>
        <w:t xml:space="preserve">二、 </w:t>
      </w:r>
      <w:r>
        <w:rPr>
          <w:rFonts w:hint="eastAsia" w:ascii="宋体" w:hAnsi="宋体" w:eastAsia="宋体" w:cs="宋体"/>
          <w:b w:val="0"/>
          <w:bCs/>
          <w:color w:val="auto"/>
          <w:sz w:val="24"/>
          <w:szCs w:val="24"/>
        </w:rPr>
        <w:t>房地产估价机构</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_Toc10111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18</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u w:val="none" w:color="auto"/>
        </w:rPr>
        <w:t xml:space="preserve">三、 </w:t>
      </w:r>
      <w:r>
        <w:rPr>
          <w:rFonts w:hint="eastAsia" w:ascii="宋体" w:hAnsi="宋体" w:eastAsia="宋体" w:cs="宋体"/>
          <w:b w:val="0"/>
          <w:bCs/>
          <w:color w:val="auto"/>
          <w:sz w:val="24"/>
          <w:szCs w:val="24"/>
        </w:rPr>
        <w:t>估价目的</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_Toc2134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18</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u w:val="none" w:color="auto"/>
        </w:rPr>
        <w:t xml:space="preserve">四、 </w:t>
      </w:r>
      <w:r>
        <w:rPr>
          <w:rFonts w:hint="eastAsia" w:ascii="宋体" w:hAnsi="宋体" w:eastAsia="宋体" w:cs="宋体"/>
          <w:b w:val="0"/>
          <w:bCs/>
          <w:color w:val="auto"/>
          <w:sz w:val="24"/>
          <w:szCs w:val="24"/>
        </w:rPr>
        <w:t>估价对象</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_Toc7449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18</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rPr>
        <w:t>五、价值时点</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_Toc5356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28</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rPr>
        <w:t>六、价值类型</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_Toc14155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28</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rPr>
        <w:t>七、估价原则</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_Toc28182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29</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rPr>
        <w:t>八、估价依据</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_Toc32176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30</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rPr>
        <w:t>九、估价方法</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_Toc18919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31</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rPr>
        <w:t>十、估价结果</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_Toc28515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33</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rPr>
        <w:t>十一、注册房地产估价师</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_Toc12028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33</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rPr>
        <w:t>十二、实地查勘期</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_Toc13495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33</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rPr>
        <w:t>十三、估价作业期</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_Toc6111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33</w:t>
      </w:r>
      <w:r>
        <w:rPr>
          <w:rFonts w:hint="eastAsia" w:ascii="宋体" w:hAnsi="宋体" w:eastAsia="宋体" w:cs="宋体"/>
          <w:b w:val="0"/>
          <w:bCs/>
          <w:sz w:val="24"/>
          <w:szCs w:val="24"/>
        </w:rPr>
        <w:fldChar w:fldCharType="end"/>
      </w:r>
    </w:p>
    <w:p>
      <w:pPr>
        <w:pStyle w:val="21"/>
        <w:keepNext w:val="0"/>
        <w:keepLines w:val="0"/>
        <w:pageBreakBefore w:val="0"/>
        <w:widowControl w:val="0"/>
        <w:tabs>
          <w:tab w:val="right" w:leader="dot" w:pos="9746"/>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rPr>
        <w:t>附    件</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_Toc2956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34</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u w:val="none" w:color="auto"/>
        </w:rPr>
        <w:t xml:space="preserve">1、 </w:t>
      </w:r>
      <w:r>
        <w:rPr>
          <w:rFonts w:hint="eastAsia" w:ascii="宋体" w:hAnsi="宋体" w:eastAsia="宋体" w:cs="宋体"/>
          <w:b w:val="0"/>
          <w:bCs/>
          <w:color w:val="auto"/>
          <w:sz w:val="24"/>
          <w:szCs w:val="24"/>
          <w:lang w:eastAsia="zh-CN"/>
        </w:rPr>
        <w:t>成都市成华区人民法院</w:t>
      </w:r>
      <w:r>
        <w:rPr>
          <w:rFonts w:hint="eastAsia" w:ascii="宋体" w:hAnsi="宋体" w:eastAsia="宋体" w:cs="宋体"/>
          <w:b w:val="0"/>
          <w:bCs/>
          <w:color w:val="auto"/>
          <w:sz w:val="24"/>
          <w:szCs w:val="24"/>
        </w:rPr>
        <w:t>《委托书》复印件；</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_Toc10886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34</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u w:val="none" w:color="auto"/>
        </w:rPr>
        <w:t xml:space="preserve">2、 </w:t>
      </w:r>
      <w:r>
        <w:rPr>
          <w:rFonts w:hint="eastAsia" w:ascii="宋体" w:hAnsi="宋体" w:eastAsia="宋体" w:cs="宋体"/>
          <w:b w:val="0"/>
          <w:bCs/>
          <w:color w:val="auto"/>
          <w:sz w:val="24"/>
          <w:szCs w:val="24"/>
          <w:lang w:val="en-US" w:eastAsia="zh-CN"/>
        </w:rPr>
        <w:t>《成都市不动产登记信息查询结果》、房屋平面图</w:t>
      </w:r>
      <w:r>
        <w:rPr>
          <w:rFonts w:hint="eastAsia" w:ascii="宋体" w:hAnsi="宋体" w:eastAsia="宋体" w:cs="宋体"/>
          <w:b w:val="0"/>
          <w:bCs/>
          <w:color w:val="auto"/>
          <w:sz w:val="24"/>
          <w:szCs w:val="24"/>
        </w:rPr>
        <w:t>复印件；</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_Toc11081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34</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u w:val="none" w:color="auto"/>
        </w:rPr>
        <w:t xml:space="preserve">3、 </w:t>
      </w:r>
      <w:r>
        <w:rPr>
          <w:rFonts w:hint="eastAsia" w:ascii="宋体" w:hAnsi="宋体" w:eastAsia="宋体" w:cs="宋体"/>
          <w:b w:val="0"/>
          <w:bCs/>
          <w:color w:val="auto"/>
          <w:sz w:val="24"/>
          <w:szCs w:val="24"/>
        </w:rPr>
        <w:t>估价对象位置图；</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_Toc27864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34</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u w:val="none" w:color="auto"/>
        </w:rPr>
        <w:t xml:space="preserve">4、 </w:t>
      </w:r>
      <w:r>
        <w:rPr>
          <w:rFonts w:hint="eastAsia" w:ascii="宋体" w:hAnsi="宋体" w:eastAsia="宋体" w:cs="宋体"/>
          <w:b w:val="0"/>
          <w:bCs/>
          <w:color w:val="auto"/>
          <w:sz w:val="24"/>
          <w:szCs w:val="24"/>
        </w:rPr>
        <w:t>估价对象相关照片；</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_Toc1489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34</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u w:val="none" w:color="auto"/>
        </w:rPr>
        <w:t xml:space="preserve">5、 </w:t>
      </w:r>
      <w:r>
        <w:rPr>
          <w:rFonts w:hint="eastAsia" w:ascii="宋体" w:hAnsi="宋体" w:eastAsia="宋体" w:cs="宋体"/>
          <w:b w:val="0"/>
          <w:bCs/>
          <w:color w:val="auto"/>
          <w:sz w:val="24"/>
          <w:szCs w:val="24"/>
        </w:rPr>
        <w:t>四川金誉房地产评估有限责任公司企业营业执照复印件；</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_Toc26211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34</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u w:val="none" w:color="auto"/>
        </w:rPr>
        <w:t xml:space="preserve">6、 </w:t>
      </w:r>
      <w:r>
        <w:rPr>
          <w:rFonts w:hint="eastAsia" w:ascii="宋体" w:hAnsi="宋体" w:eastAsia="宋体" w:cs="宋体"/>
          <w:b w:val="0"/>
          <w:bCs/>
          <w:color w:val="auto"/>
          <w:sz w:val="24"/>
          <w:szCs w:val="24"/>
        </w:rPr>
        <w:t>四川金誉房地产评估有限责任公司估价机构资格证书复印件；</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_Toc13543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34</w:t>
      </w:r>
      <w:r>
        <w:rPr>
          <w:rFonts w:hint="eastAsia" w:ascii="宋体" w:hAnsi="宋体" w:eastAsia="宋体" w:cs="宋体"/>
          <w:b w:val="0"/>
          <w:bCs/>
          <w:sz w:val="24"/>
          <w:szCs w:val="24"/>
        </w:rPr>
        <w:fldChar w:fldCharType="end"/>
      </w:r>
    </w:p>
    <w:p>
      <w:pPr>
        <w:pStyle w:val="24"/>
        <w:keepNext w:val="0"/>
        <w:keepLines w:val="0"/>
        <w:pageBreakBefore w:val="0"/>
        <w:widowControl w:val="0"/>
        <w:tabs>
          <w:tab w:val="right" w:leader="dot" w:pos="9746"/>
          <w:tab w:val="clear" w:pos="851"/>
          <w:tab w:val="clear" w:pos="993"/>
          <w:tab w:val="clear" w:pos="1134"/>
          <w:tab w:val="clear" w:pos="9736"/>
        </w:tabs>
        <w:kinsoku/>
        <w:wordWrap/>
        <w:overflowPunct/>
        <w:topLinePunct w:val="0"/>
        <w:autoSpaceDE/>
        <w:autoSpaceDN/>
        <w:bidi w:val="0"/>
        <w:adjustRightInd/>
        <w:snapToGrid/>
        <w:spacing w:line="440" w:lineRule="exact"/>
        <w:textAlignment w:val="auto"/>
        <w:rPr>
          <w:rFonts w:hint="eastAsia" w:ascii="宋体" w:hAnsi="宋体" w:eastAsia="宋体" w:cs="宋体"/>
        </w:rPr>
      </w:pPr>
      <w:r>
        <w:rPr>
          <w:rFonts w:hint="eastAsia" w:ascii="宋体" w:hAnsi="宋体" w:eastAsia="宋体" w:cs="宋体"/>
          <w:b w:val="0"/>
          <w:bCs/>
          <w:color w:val="auto"/>
          <w:sz w:val="24"/>
          <w:szCs w:val="24"/>
          <w:u w:val="none" w:color="auto"/>
        </w:rPr>
        <w:t xml:space="preserve">7、 </w:t>
      </w:r>
      <w:r>
        <w:rPr>
          <w:rFonts w:hint="eastAsia" w:ascii="宋体" w:hAnsi="宋体" w:eastAsia="宋体" w:cs="宋体"/>
          <w:b w:val="0"/>
          <w:bCs/>
          <w:color w:val="auto"/>
          <w:sz w:val="24"/>
          <w:szCs w:val="24"/>
        </w:rPr>
        <w:t>估价人员注册证书复印件。</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_Toc24736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34</w:t>
      </w:r>
      <w:r>
        <w:rPr>
          <w:rFonts w:hint="eastAsia" w:ascii="宋体" w:hAnsi="宋体" w:eastAsia="宋体" w:cs="宋体"/>
          <w:b w:val="0"/>
          <w:bCs/>
          <w:sz w:val="24"/>
          <w:szCs w:val="24"/>
        </w:rPr>
        <w:fldChar w:fldCharType="end"/>
      </w:r>
    </w:p>
    <w:p>
      <w:pPr>
        <w:pStyle w:val="21"/>
        <w:keepNext w:val="0"/>
        <w:keepLines w:val="0"/>
        <w:pageBreakBefore w:val="0"/>
        <w:widowControl w:val="0"/>
        <w:tabs>
          <w:tab w:val="right" w:leader="dot" w:pos="9746"/>
          <w:tab w:val="clear" w:pos="9736"/>
        </w:tabs>
        <w:kinsoku/>
        <w:wordWrap/>
        <w:overflowPunct/>
        <w:topLinePunct w:val="0"/>
        <w:autoSpaceDE/>
        <w:autoSpaceDN/>
        <w:bidi w:val="0"/>
        <w:adjustRightInd/>
        <w:snapToGrid/>
        <w:spacing w:line="360" w:lineRule="auto"/>
        <w:ind w:firstLine="554" w:firstLineChars="200"/>
        <w:jc w:val="both"/>
        <w:textAlignment w:val="auto"/>
        <w:rPr>
          <w:rFonts w:hint="eastAsia" w:ascii="宋体" w:hAnsi="宋体" w:eastAsia="宋体" w:cs="宋体"/>
          <w:b w:val="0"/>
          <w:color w:val="auto"/>
          <w:sz w:val="21"/>
        </w:rPr>
      </w:pPr>
      <w:r>
        <w:rPr>
          <w:rFonts w:hint="eastAsia" w:ascii="宋体" w:hAnsi="宋体" w:eastAsia="宋体" w:cs="宋体"/>
          <w:bCs w:val="0"/>
          <w:color w:val="auto"/>
          <w:szCs w:val="24"/>
        </w:rPr>
        <w:fldChar w:fldCharType="end"/>
      </w:r>
      <w:bookmarkEnd w:id="4"/>
      <w:bookmarkEnd w:id="5"/>
    </w:p>
    <w:p>
      <w:pPr>
        <w:pStyle w:val="21"/>
        <w:keepNext w:val="0"/>
        <w:keepLines w:val="0"/>
        <w:pageBreakBefore w:val="0"/>
        <w:widowControl w:val="0"/>
        <w:tabs>
          <w:tab w:val="right" w:leader="dot" w:pos="9746"/>
          <w:tab w:val="clear" w:pos="9736"/>
        </w:tabs>
        <w:kinsoku/>
        <w:wordWrap/>
        <w:overflowPunct/>
        <w:topLinePunct w:val="0"/>
        <w:autoSpaceDE/>
        <w:autoSpaceDN/>
        <w:bidi w:val="0"/>
        <w:adjustRightInd/>
        <w:snapToGrid/>
        <w:spacing w:line="360" w:lineRule="exact"/>
        <w:ind w:firstLine="552" w:firstLineChars="200"/>
        <w:textAlignment w:val="auto"/>
        <w:outlineLvl w:val="0"/>
        <w:rPr>
          <w:rFonts w:hint="eastAsia" w:ascii="宋体" w:hAnsi="宋体" w:eastAsia="宋体" w:cs="宋体"/>
          <w:b/>
          <w:caps w:val="0"/>
          <w:color w:val="auto"/>
          <w:spacing w:val="0"/>
          <w:kern w:val="2"/>
          <w:sz w:val="32"/>
          <w:lang w:bidi="ar-SA"/>
        </w:rPr>
      </w:pPr>
      <w:r>
        <w:rPr>
          <w:rFonts w:hint="eastAsia" w:ascii="宋体" w:hAnsi="宋体" w:eastAsia="宋体" w:cs="宋体"/>
          <w:b w:val="0"/>
          <w:color w:val="auto"/>
        </w:rPr>
        <w:br w:type="page"/>
      </w:r>
      <w:bookmarkStart w:id="7" w:name="_Toc28521"/>
      <w:r>
        <w:rPr>
          <w:rFonts w:hint="eastAsia" w:ascii="宋体" w:hAnsi="宋体" w:eastAsia="宋体" w:cs="宋体"/>
          <w:b/>
          <w:caps w:val="0"/>
          <w:color w:val="auto"/>
          <w:spacing w:val="0"/>
          <w:kern w:val="2"/>
          <w:sz w:val="36"/>
          <w:szCs w:val="36"/>
          <w:lang w:bidi="ar-SA"/>
        </w:rPr>
        <w:t>估价师声明</w:t>
      </w:r>
      <w:bookmarkEnd w:id="7"/>
    </w:p>
    <w:p>
      <w:pPr>
        <w:tabs>
          <w:tab w:val="left" w:pos="180"/>
        </w:tabs>
        <w:spacing w:line="500" w:lineRule="exact"/>
        <w:ind w:firstLine="601"/>
        <w:rPr>
          <w:rFonts w:hint="eastAsia" w:ascii="宋体" w:hAnsi="宋体" w:eastAsia="宋体" w:cs="宋体"/>
          <w:color w:val="auto"/>
          <w:spacing w:val="-2"/>
          <w:sz w:val="28"/>
        </w:rPr>
      </w:pPr>
      <w:r>
        <w:rPr>
          <w:rFonts w:hint="eastAsia" w:ascii="宋体" w:hAnsi="宋体" w:eastAsia="宋体" w:cs="宋体"/>
          <w:color w:val="auto"/>
          <w:spacing w:val="-2"/>
          <w:sz w:val="28"/>
        </w:rPr>
        <w:t>根据自己的专业知识和职业道德，在此郑重声明：</w:t>
      </w:r>
    </w:p>
    <w:p>
      <w:pPr>
        <w:tabs>
          <w:tab w:val="left" w:pos="180"/>
        </w:tabs>
        <w:spacing w:line="500" w:lineRule="exact"/>
        <w:ind w:firstLine="601"/>
        <w:rPr>
          <w:rFonts w:hint="eastAsia" w:ascii="宋体" w:hAnsi="宋体" w:eastAsia="宋体" w:cs="宋体"/>
          <w:color w:val="auto"/>
          <w:spacing w:val="-2"/>
          <w:sz w:val="28"/>
        </w:rPr>
      </w:pPr>
      <w:r>
        <w:rPr>
          <w:rFonts w:hint="eastAsia" w:ascii="宋体" w:hAnsi="宋体" w:eastAsia="宋体" w:cs="宋体"/>
          <w:color w:val="auto"/>
          <w:spacing w:val="-2"/>
          <w:sz w:val="28"/>
        </w:rPr>
        <w:t>1.我们在本评估报告中对事实的说明是是真实的和准确的，没有虚假记载、误导性陈述和重大遗漏。</w:t>
      </w:r>
    </w:p>
    <w:p>
      <w:pPr>
        <w:tabs>
          <w:tab w:val="left" w:pos="180"/>
        </w:tabs>
        <w:spacing w:line="500" w:lineRule="exact"/>
        <w:ind w:firstLine="601"/>
        <w:rPr>
          <w:rFonts w:hint="eastAsia" w:ascii="宋体" w:hAnsi="宋体" w:eastAsia="宋体" w:cs="宋体"/>
          <w:color w:val="auto"/>
          <w:spacing w:val="-2"/>
          <w:sz w:val="28"/>
        </w:rPr>
      </w:pPr>
      <w:r>
        <w:rPr>
          <w:rFonts w:hint="eastAsia" w:ascii="宋体" w:hAnsi="宋体" w:eastAsia="宋体" w:cs="宋体"/>
          <w:color w:val="auto"/>
          <w:spacing w:val="-2"/>
          <w:sz w:val="28"/>
        </w:rPr>
        <w:t>2.本估价报告中的分析，意见和结论是我们自己独立、客观、公正的专业分析、意见和结论，但受到本估价报告中已说明的估价假设和限制条件的限制。</w:t>
      </w:r>
    </w:p>
    <w:p>
      <w:pPr>
        <w:tabs>
          <w:tab w:val="left" w:pos="180"/>
        </w:tabs>
        <w:spacing w:line="500" w:lineRule="exact"/>
        <w:ind w:firstLine="601"/>
        <w:rPr>
          <w:rFonts w:hint="eastAsia" w:ascii="宋体" w:hAnsi="宋体" w:eastAsia="宋体" w:cs="宋体"/>
          <w:color w:val="auto"/>
          <w:spacing w:val="-2"/>
          <w:sz w:val="28"/>
        </w:rPr>
      </w:pPr>
      <w:r>
        <w:rPr>
          <w:rFonts w:hint="eastAsia" w:ascii="宋体" w:hAnsi="宋体" w:eastAsia="宋体" w:cs="宋体"/>
          <w:color w:val="auto"/>
          <w:spacing w:val="-2"/>
          <w:sz w:val="28"/>
        </w:rPr>
        <w:t>3.我们与本估价报告中的估价对象没有现实或潜在的利害关系，也与估价委托人及估价利害关系人没有利害关系。</w:t>
      </w:r>
    </w:p>
    <w:p>
      <w:pPr>
        <w:tabs>
          <w:tab w:val="left" w:pos="180"/>
        </w:tabs>
        <w:spacing w:line="500" w:lineRule="exact"/>
        <w:ind w:firstLine="601"/>
        <w:rPr>
          <w:rFonts w:hint="eastAsia" w:ascii="宋体" w:hAnsi="宋体" w:eastAsia="宋体" w:cs="宋体"/>
          <w:color w:val="auto"/>
          <w:spacing w:val="-2"/>
          <w:sz w:val="28"/>
        </w:rPr>
      </w:pPr>
      <w:r>
        <w:rPr>
          <w:rFonts w:hint="eastAsia" w:ascii="宋体" w:hAnsi="宋体" w:eastAsia="宋体" w:cs="宋体"/>
          <w:color w:val="auto"/>
          <w:spacing w:val="-2"/>
          <w:sz w:val="28"/>
        </w:rPr>
        <w:t>4．我们对本估价报告中的估价对象、估价委托人及估价利害关系人没有偏见。</w:t>
      </w:r>
    </w:p>
    <w:p>
      <w:pPr>
        <w:tabs>
          <w:tab w:val="left" w:pos="180"/>
        </w:tabs>
        <w:spacing w:line="500" w:lineRule="exact"/>
        <w:ind w:firstLine="601"/>
        <w:rPr>
          <w:rFonts w:hint="eastAsia" w:ascii="宋体" w:hAnsi="宋体" w:eastAsia="宋体" w:cs="宋体"/>
          <w:color w:val="auto"/>
          <w:spacing w:val="-2"/>
          <w:sz w:val="28"/>
        </w:rPr>
      </w:pPr>
      <w:r>
        <w:rPr>
          <w:rFonts w:hint="eastAsia" w:ascii="宋体" w:hAnsi="宋体" w:eastAsia="宋体" w:cs="宋体"/>
          <w:color w:val="auto"/>
          <w:spacing w:val="-2"/>
          <w:sz w:val="28"/>
        </w:rPr>
        <w:t>5.我们依照中华人民共和国《房地产估价规范》（GB/T50291-2015）、《房地产估价基本术语标准》（GB/T 50899-2013）、《房地产司法鉴定评估指导意见》（川建房发[2011]89号）</w:t>
      </w:r>
      <w:r>
        <w:rPr>
          <w:rFonts w:hint="eastAsia" w:ascii="宋体" w:hAnsi="宋体" w:eastAsia="宋体" w:cs="宋体"/>
          <w:color w:val="auto"/>
          <w:spacing w:val="-2"/>
          <w:sz w:val="28"/>
          <w:lang w:eastAsia="zh-CN"/>
        </w:rPr>
        <w:t>、</w:t>
      </w:r>
      <w:r>
        <w:rPr>
          <w:rFonts w:hint="eastAsia" w:ascii="宋体" w:hAnsi="宋体" w:eastAsia="宋体" w:cs="宋体"/>
          <w:color w:val="auto"/>
          <w:sz w:val="28"/>
          <w:szCs w:val="24"/>
        </w:rPr>
        <w:t>《关于印发&lt;涉执房地产处置司法评估指导意见(试行)&gt;的通知》(中房学〔2021〕37号)</w:t>
      </w:r>
      <w:r>
        <w:rPr>
          <w:rFonts w:hint="eastAsia" w:ascii="宋体" w:hAnsi="宋体" w:eastAsia="宋体" w:cs="宋体"/>
          <w:color w:val="auto"/>
          <w:spacing w:val="-2"/>
          <w:sz w:val="28"/>
        </w:rPr>
        <w:t>进行分析，形成意见和结论，撰写本估价报告。</w:t>
      </w:r>
    </w:p>
    <w:p>
      <w:pPr>
        <w:tabs>
          <w:tab w:val="left" w:pos="180"/>
        </w:tabs>
        <w:spacing w:line="500" w:lineRule="exact"/>
        <w:ind w:firstLine="601"/>
        <w:rPr>
          <w:rFonts w:hint="eastAsia" w:ascii="宋体" w:hAnsi="宋体" w:eastAsia="宋体" w:cs="宋体"/>
          <w:color w:val="auto"/>
          <w:spacing w:val="-2"/>
          <w:sz w:val="28"/>
        </w:rPr>
      </w:pPr>
      <w:r>
        <w:rPr>
          <w:rFonts w:hint="eastAsia" w:ascii="宋体" w:hAnsi="宋体" w:eastAsia="宋体" w:cs="宋体"/>
          <w:color w:val="auto"/>
          <w:spacing w:val="-2"/>
          <w:sz w:val="28"/>
        </w:rPr>
        <w:t>6.注册房地产估价师</w:t>
      </w:r>
      <w:r>
        <w:rPr>
          <w:rFonts w:hint="eastAsia" w:ascii="宋体" w:hAnsi="宋体" w:eastAsia="宋体" w:cs="宋体"/>
          <w:color w:val="auto"/>
          <w:spacing w:val="-2"/>
          <w:sz w:val="28"/>
          <w:lang w:eastAsia="zh-CN"/>
        </w:rPr>
        <w:t>叶琴、</w:t>
      </w:r>
      <w:r>
        <w:rPr>
          <w:rFonts w:hint="eastAsia" w:ascii="宋体" w:hAnsi="宋体" w:eastAsia="宋体" w:cs="宋体"/>
          <w:color w:val="auto"/>
          <w:spacing w:val="-2"/>
          <w:sz w:val="28"/>
          <w:lang w:val="en-US" w:eastAsia="zh-CN"/>
        </w:rPr>
        <w:t>何</w:t>
      </w:r>
      <w:r>
        <w:rPr>
          <w:rFonts w:hint="eastAsia" w:ascii="宋体" w:hAnsi="宋体" w:eastAsia="宋体" w:cs="宋体"/>
          <w:color w:val="auto"/>
          <w:spacing w:val="-2"/>
          <w:sz w:val="28"/>
        </w:rPr>
        <w:t>胤涛已对本估价报告中的估价对象进行了实地查勘并进行记录。</w:t>
      </w:r>
    </w:p>
    <w:p>
      <w:pPr>
        <w:tabs>
          <w:tab w:val="left" w:pos="180"/>
        </w:tabs>
        <w:spacing w:line="500" w:lineRule="exact"/>
        <w:ind w:firstLine="601"/>
        <w:rPr>
          <w:rFonts w:hint="eastAsia" w:ascii="宋体" w:hAnsi="宋体" w:eastAsia="宋体" w:cs="宋体"/>
          <w:color w:val="auto"/>
          <w:spacing w:val="-2"/>
          <w:sz w:val="28"/>
        </w:rPr>
      </w:pPr>
      <w:r>
        <w:rPr>
          <w:rFonts w:hint="eastAsia" w:ascii="宋体" w:hAnsi="宋体" w:eastAsia="宋体" w:cs="宋体"/>
          <w:color w:val="auto"/>
          <w:spacing w:val="-2"/>
          <w:sz w:val="28"/>
        </w:rPr>
        <w:t>7.没有人对本估价报告提供重要专业帮助。</w:t>
      </w:r>
    </w:p>
    <w:p>
      <w:pPr>
        <w:tabs>
          <w:tab w:val="left" w:pos="180"/>
        </w:tabs>
        <w:spacing w:line="500" w:lineRule="exact"/>
        <w:ind w:firstLine="601"/>
        <w:rPr>
          <w:rFonts w:hint="eastAsia" w:ascii="宋体" w:hAnsi="宋体" w:eastAsia="宋体" w:cs="宋体"/>
          <w:color w:val="auto"/>
          <w:spacing w:val="-2"/>
          <w:sz w:val="28"/>
        </w:rPr>
      </w:pPr>
    </w:p>
    <w:p>
      <w:pPr>
        <w:tabs>
          <w:tab w:val="left" w:pos="180"/>
        </w:tabs>
        <w:spacing w:line="500" w:lineRule="exact"/>
        <w:ind w:firstLine="601"/>
        <w:rPr>
          <w:rFonts w:hint="eastAsia" w:ascii="宋体" w:hAnsi="宋体" w:eastAsia="宋体" w:cs="宋体"/>
          <w:color w:val="auto"/>
          <w:spacing w:val="-2"/>
          <w:sz w:val="28"/>
        </w:rPr>
      </w:pPr>
      <w:r>
        <w:rPr>
          <w:rFonts w:hint="eastAsia" w:ascii="宋体" w:hAnsi="宋体" w:eastAsia="宋体" w:cs="宋体"/>
          <w:color w:val="auto"/>
          <w:spacing w:val="-2"/>
          <w:sz w:val="28"/>
        </w:rPr>
        <w:t>注册房地产估价师：何胤涛     注册号：5120020010    签名：</w:t>
      </w:r>
    </w:p>
    <w:p>
      <w:pPr>
        <w:tabs>
          <w:tab w:val="left" w:pos="180"/>
        </w:tabs>
        <w:spacing w:line="500" w:lineRule="exact"/>
        <w:ind w:firstLine="601"/>
        <w:rPr>
          <w:rFonts w:hint="eastAsia" w:ascii="宋体" w:hAnsi="宋体" w:eastAsia="宋体" w:cs="宋体"/>
          <w:color w:val="auto"/>
          <w:spacing w:val="-2"/>
          <w:sz w:val="28"/>
        </w:rPr>
      </w:pPr>
    </w:p>
    <w:p>
      <w:pPr>
        <w:tabs>
          <w:tab w:val="left" w:pos="180"/>
        </w:tabs>
        <w:spacing w:line="500" w:lineRule="exact"/>
        <w:ind w:firstLine="601"/>
        <w:rPr>
          <w:rFonts w:hint="eastAsia" w:ascii="宋体" w:hAnsi="宋体" w:eastAsia="宋体" w:cs="宋体"/>
          <w:color w:val="auto"/>
          <w:spacing w:val="-2"/>
          <w:sz w:val="28"/>
        </w:rPr>
      </w:pPr>
      <w:r>
        <w:rPr>
          <w:rFonts w:hint="eastAsia" w:ascii="宋体" w:hAnsi="宋体" w:eastAsia="宋体" w:cs="宋体"/>
          <w:color w:val="auto"/>
          <w:spacing w:val="-2"/>
          <w:sz w:val="28"/>
        </w:rPr>
        <w:t>注册房地产估价师：</w:t>
      </w:r>
      <w:r>
        <w:rPr>
          <w:rFonts w:hint="eastAsia" w:ascii="宋体" w:hAnsi="宋体" w:eastAsia="宋体" w:cs="宋体"/>
          <w:color w:val="auto"/>
          <w:spacing w:val="-2"/>
          <w:sz w:val="28"/>
          <w:lang w:eastAsia="zh-CN"/>
        </w:rPr>
        <w:t>叶  琴</w:t>
      </w:r>
      <w:r>
        <w:rPr>
          <w:rFonts w:hint="eastAsia" w:ascii="宋体" w:hAnsi="宋体" w:eastAsia="宋体" w:cs="宋体"/>
          <w:color w:val="auto"/>
          <w:spacing w:val="-2"/>
          <w:sz w:val="28"/>
        </w:rPr>
        <w:t xml:space="preserve">     注册号：</w:t>
      </w:r>
      <w:r>
        <w:rPr>
          <w:rFonts w:hint="eastAsia" w:ascii="宋体" w:hAnsi="宋体" w:eastAsia="宋体" w:cs="宋体"/>
          <w:color w:val="auto"/>
          <w:spacing w:val="-2"/>
          <w:sz w:val="28"/>
          <w:lang w:eastAsia="zh-CN"/>
        </w:rPr>
        <w:t>5120040432</w:t>
      </w:r>
      <w:r>
        <w:rPr>
          <w:rFonts w:hint="eastAsia" w:ascii="宋体" w:hAnsi="宋体" w:eastAsia="宋体" w:cs="宋体"/>
          <w:color w:val="auto"/>
          <w:spacing w:val="-2"/>
          <w:sz w:val="28"/>
        </w:rPr>
        <w:t xml:space="preserve">   </w:t>
      </w:r>
      <w:r>
        <w:rPr>
          <w:rFonts w:hint="eastAsia" w:ascii="宋体" w:hAnsi="宋体" w:eastAsia="宋体" w:cs="宋体"/>
          <w:color w:val="auto"/>
          <w:spacing w:val="-2"/>
          <w:sz w:val="28"/>
          <w:lang w:val="en-US" w:eastAsia="zh-CN"/>
        </w:rPr>
        <w:t xml:space="preserve"> </w:t>
      </w:r>
      <w:r>
        <w:rPr>
          <w:rFonts w:hint="eastAsia" w:ascii="宋体" w:hAnsi="宋体" w:eastAsia="宋体" w:cs="宋体"/>
          <w:color w:val="auto"/>
          <w:spacing w:val="-2"/>
          <w:sz w:val="28"/>
        </w:rPr>
        <w:t>签名：</w:t>
      </w:r>
    </w:p>
    <w:p>
      <w:pPr>
        <w:tabs>
          <w:tab w:val="left" w:pos="180"/>
        </w:tabs>
        <w:adjustRightInd w:val="0"/>
        <w:snapToGrid w:val="0"/>
        <w:spacing w:line="500" w:lineRule="exact"/>
        <w:ind w:firstLine="602"/>
        <w:rPr>
          <w:rFonts w:hint="eastAsia" w:ascii="宋体" w:hAnsi="宋体" w:eastAsia="宋体" w:cs="宋体"/>
          <w:color w:val="auto"/>
          <w:sz w:val="28"/>
        </w:rPr>
      </w:pPr>
    </w:p>
    <w:p>
      <w:pPr>
        <w:tabs>
          <w:tab w:val="left" w:pos="180"/>
        </w:tabs>
        <w:adjustRightInd w:val="0"/>
        <w:snapToGrid w:val="0"/>
        <w:spacing w:line="500" w:lineRule="exact"/>
        <w:ind w:firstLine="602"/>
        <w:rPr>
          <w:rFonts w:hint="eastAsia" w:ascii="宋体" w:hAnsi="宋体" w:eastAsia="宋体" w:cs="宋体"/>
          <w:color w:val="auto"/>
          <w:sz w:val="28"/>
        </w:rPr>
      </w:pPr>
    </w:p>
    <w:p>
      <w:pPr>
        <w:keepNext w:val="0"/>
        <w:keepLines w:val="0"/>
        <w:pageBreakBefore w:val="0"/>
        <w:widowControl w:val="0"/>
        <w:tabs>
          <w:tab w:val="left" w:pos="180"/>
        </w:tabs>
        <w:kinsoku/>
        <w:wordWrap/>
        <w:overflowPunct/>
        <w:topLinePunct w:val="0"/>
        <w:autoSpaceDE/>
        <w:autoSpaceDN/>
        <w:bidi w:val="0"/>
        <w:adjustRightInd/>
        <w:snapToGrid/>
        <w:spacing w:line="500" w:lineRule="exact"/>
        <w:ind w:hanging="839"/>
        <w:jc w:val="right"/>
        <w:textAlignment w:val="auto"/>
        <w:outlineLvl w:val="9"/>
        <w:rPr>
          <w:rFonts w:hint="eastAsia" w:ascii="宋体" w:hAnsi="宋体" w:eastAsia="宋体" w:cs="宋体"/>
          <w:color w:val="auto"/>
          <w:sz w:val="28"/>
          <w:lang w:eastAsia="zh-CN"/>
        </w:rPr>
      </w:pPr>
      <w:r>
        <w:rPr>
          <w:rFonts w:hint="eastAsia" w:ascii="宋体" w:hAnsi="宋体" w:eastAsia="宋体" w:cs="宋体"/>
          <w:color w:val="auto"/>
          <w:sz w:val="28"/>
          <w:lang w:eastAsia="zh-CN"/>
        </w:rPr>
        <w:t>2023年03月02日</w:t>
      </w:r>
    </w:p>
    <w:p>
      <w:pPr>
        <w:tabs>
          <w:tab w:val="left" w:pos="180"/>
        </w:tabs>
        <w:adjustRightInd w:val="0"/>
        <w:snapToGrid w:val="0"/>
        <w:spacing w:line="500" w:lineRule="exact"/>
        <w:ind w:right="1222" w:firstLine="554" w:firstLineChars="200"/>
        <w:jc w:val="right"/>
        <w:rPr>
          <w:rFonts w:hint="eastAsia" w:ascii="宋体" w:hAnsi="宋体" w:eastAsia="宋体" w:cs="宋体"/>
          <w:b/>
          <w:caps/>
          <w:color w:val="auto"/>
          <w:spacing w:val="-2"/>
          <w:sz w:val="28"/>
        </w:rPr>
      </w:pPr>
    </w:p>
    <w:p>
      <w:pPr>
        <w:widowControl/>
        <w:ind w:firstLine="2832" w:firstLineChars="647"/>
        <w:outlineLvl w:val="0"/>
        <w:rPr>
          <w:rFonts w:hint="eastAsia" w:ascii="宋体" w:hAnsi="宋体" w:eastAsia="宋体" w:cs="宋体"/>
          <w:b/>
          <w:color w:val="auto"/>
          <w:sz w:val="32"/>
        </w:rPr>
      </w:pPr>
      <w:bookmarkStart w:id="8" w:name="_Toc371455196"/>
      <w:bookmarkStart w:id="9" w:name="_Toc371540979"/>
      <w:r>
        <w:rPr>
          <w:rFonts w:hint="eastAsia" w:ascii="宋体" w:hAnsi="宋体" w:eastAsia="宋体" w:cs="宋体"/>
          <w:b/>
          <w:caps/>
          <w:color w:val="auto"/>
          <w:spacing w:val="-2"/>
          <w:sz w:val="44"/>
        </w:rPr>
        <w:br w:type="page"/>
      </w:r>
      <w:r>
        <w:rPr>
          <w:rFonts w:hint="eastAsia" w:ascii="宋体" w:hAnsi="宋体" w:eastAsia="宋体" w:cs="宋体"/>
          <w:b/>
          <w:caps/>
          <w:color w:val="auto"/>
          <w:spacing w:val="-2"/>
          <w:sz w:val="44"/>
        </w:rPr>
        <w:t xml:space="preserve"> </w:t>
      </w:r>
      <w:r>
        <w:rPr>
          <w:rFonts w:hint="eastAsia" w:ascii="宋体" w:hAnsi="宋体" w:eastAsia="宋体" w:cs="宋体"/>
          <w:b/>
          <w:caps/>
          <w:color w:val="auto"/>
          <w:spacing w:val="-2"/>
          <w:sz w:val="36"/>
          <w:szCs w:val="36"/>
        </w:rPr>
        <w:t xml:space="preserve"> </w:t>
      </w:r>
      <w:bookmarkStart w:id="10" w:name="_Toc28079"/>
      <w:r>
        <w:rPr>
          <w:rFonts w:hint="eastAsia" w:ascii="宋体" w:hAnsi="宋体" w:eastAsia="宋体" w:cs="宋体"/>
          <w:b/>
          <w:color w:val="auto"/>
          <w:sz w:val="36"/>
          <w:szCs w:val="36"/>
        </w:rPr>
        <w:t>估价假设和限制条件</w:t>
      </w:r>
      <w:bookmarkEnd w:id="6"/>
      <w:bookmarkEnd w:id="8"/>
      <w:bookmarkEnd w:id="9"/>
      <w:bookmarkEnd w:id="10"/>
    </w:p>
    <w:p>
      <w:pPr>
        <w:widowControl/>
        <w:ind w:firstLine="1422" w:firstLineChars="600"/>
        <w:jc w:val="left"/>
        <w:rPr>
          <w:rFonts w:hint="eastAsia" w:ascii="宋体" w:hAnsi="宋体" w:eastAsia="宋体" w:cs="宋体"/>
          <w:b/>
          <w:caps/>
          <w:color w:val="auto"/>
          <w:spacing w:val="-2"/>
          <w:sz w:val="24"/>
        </w:rPr>
      </w:pPr>
    </w:p>
    <w:p>
      <w:pPr>
        <w:keepNext/>
        <w:keepLines/>
        <w:pageBreakBefore w:val="0"/>
        <w:widowControl w:val="0"/>
        <w:kinsoku/>
        <w:wordWrap/>
        <w:overflowPunct/>
        <w:topLinePunct w:val="0"/>
        <w:autoSpaceDE/>
        <w:autoSpaceDN/>
        <w:bidi w:val="0"/>
        <w:adjustRightInd/>
        <w:snapToGrid/>
        <w:spacing w:before="20" w:after="20" w:line="600" w:lineRule="exact"/>
        <w:textAlignment w:val="auto"/>
        <w:outlineLvl w:val="9"/>
        <w:rPr>
          <w:rFonts w:hint="eastAsia" w:ascii="宋体" w:hAnsi="宋体" w:eastAsia="宋体" w:cs="宋体"/>
          <w:b w:val="0"/>
          <w:color w:val="auto"/>
          <w:sz w:val="28"/>
          <w:szCs w:val="28"/>
          <w:lang w:eastAsia="zh-CN"/>
        </w:rPr>
      </w:pPr>
      <w:bookmarkStart w:id="11" w:name="_Toc269456042"/>
      <w:r>
        <w:rPr>
          <w:rFonts w:hint="eastAsia" w:ascii="宋体" w:hAnsi="宋体" w:eastAsia="宋体" w:cs="宋体"/>
          <w:color w:val="auto"/>
          <w:sz w:val="28"/>
          <w:szCs w:val="28"/>
        </w:rPr>
        <w:t>一、本次估价假设</w:t>
      </w:r>
      <w:r>
        <w:rPr>
          <w:rFonts w:hint="eastAsia" w:ascii="宋体" w:hAnsi="宋体" w:eastAsia="宋体" w:cs="宋体"/>
          <w:color w:val="auto"/>
          <w:sz w:val="28"/>
          <w:szCs w:val="28"/>
          <w:lang w:eastAsia="zh-CN"/>
        </w:rPr>
        <w:t>条件</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1、本次估价的一般假设</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(1)本次估价，根据估价委托人提供的</w:t>
      </w:r>
      <w:r>
        <w:rPr>
          <w:rFonts w:hint="eastAsia" w:ascii="宋体" w:hAnsi="宋体" w:eastAsia="宋体" w:cs="宋体"/>
          <w:caps/>
          <w:color w:val="auto"/>
          <w:spacing w:val="-2"/>
          <w:sz w:val="28"/>
          <w:lang w:eastAsia="zh-CN"/>
        </w:rPr>
        <w:t>《成都市不动产登记信息查询结果》</w:t>
      </w:r>
      <w:r>
        <w:rPr>
          <w:rFonts w:hint="eastAsia" w:ascii="宋体" w:hAnsi="宋体" w:eastAsia="宋体" w:cs="宋体"/>
          <w:caps/>
          <w:color w:val="auto"/>
          <w:spacing w:val="-2"/>
          <w:sz w:val="28"/>
          <w:lang w:val="en-US" w:eastAsia="zh-CN"/>
        </w:rPr>
        <w:t>，</w:t>
      </w:r>
      <w:r>
        <w:rPr>
          <w:rFonts w:hint="eastAsia" w:ascii="宋体" w:hAnsi="宋体" w:eastAsia="宋体" w:cs="宋体"/>
          <w:caps/>
          <w:color w:val="auto"/>
          <w:spacing w:val="-2"/>
          <w:sz w:val="28"/>
        </w:rPr>
        <w:t>在无理由怀疑其资料真实性的情况下，本次评估设定其记载的内容是真实合法的，估价对象产权清晰、完整，权属无纠纷，可以在公开市场上正常销售、出租为前提。</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(2)</w:t>
      </w:r>
      <w:r>
        <w:rPr>
          <w:rFonts w:hint="eastAsia" w:ascii="宋体" w:hAnsi="宋体" w:eastAsia="宋体" w:cs="宋体"/>
          <w:color w:val="auto"/>
          <w:sz w:val="28"/>
        </w:rPr>
        <w:t>注册房地产估价师已对房屋安全、环境污染等影响估价对象价值的重大因素给予了关注，在无理由怀疑估价对象存在安全隐患且无相应的专业机构进行鉴定、检测的情况下，本次估价假设估价对象能正常安全地持续使用。</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(3)</w:t>
      </w:r>
      <w:r>
        <w:rPr>
          <w:rFonts w:hint="eastAsia" w:ascii="宋体" w:hAnsi="宋体" w:eastAsia="宋体" w:cs="宋体"/>
          <w:color w:val="auto"/>
          <w:sz w:val="28"/>
        </w:rPr>
        <w:t>注册房地产估价师未对房屋建筑面积进行专业测量，经现场查勘观察，估价对象房屋建筑面积与</w:t>
      </w:r>
      <w:r>
        <w:rPr>
          <w:rFonts w:hint="eastAsia" w:ascii="宋体" w:hAnsi="宋体" w:eastAsia="宋体" w:cs="宋体"/>
          <w:color w:val="auto"/>
          <w:sz w:val="28"/>
          <w:lang w:eastAsia="zh-CN"/>
        </w:rPr>
        <w:t>《成都市不动产登记信息查询结果》</w:t>
      </w:r>
      <w:r>
        <w:rPr>
          <w:rFonts w:hint="eastAsia" w:ascii="宋体" w:hAnsi="宋体" w:eastAsia="宋体" w:cs="宋体"/>
          <w:color w:val="auto"/>
          <w:sz w:val="28"/>
        </w:rPr>
        <w:t>登记建筑面积大体相当，本次估价假设估价对象登记面积为准确的。</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(4)本次估价假设在合理时间范围内市场供求关系不发生重大变化或实质性改变。</w:t>
      </w:r>
    </w:p>
    <w:p>
      <w:pPr>
        <w:keepNext w:val="0"/>
        <w:keepLines w:val="0"/>
        <w:pageBreakBefore w:val="0"/>
        <w:widowControl w:val="0"/>
        <w:tabs>
          <w:tab w:val="left" w:pos="180"/>
          <w:tab w:val="left" w:pos="231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(5)本次估价假设委估对象现状满足所采用的城市规划、用途管制和限制条件，另有说明的除外。</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(6)本次估价以估价对象能够按规划的房屋用途持续正常使用为估价前提。</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(7)本次估价假设估价对象在价值时点的房地产市场为公开、平等、自愿的交易市场，即能满足以下条件：</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①交易双方自愿地进行交易；</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②交易双方处于利己动机进行交易；</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③交易双方精明、谨慎行事，并了解交易对象、知晓市场行情；</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④交易双方有较充裕的时间进行交易；</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⑤不存在买者因特殊兴趣而给予附加出价。</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2、未定事项假设</w:t>
      </w:r>
    </w:p>
    <w:p>
      <w:pPr>
        <w:keepNext w:val="0"/>
        <w:keepLines w:val="0"/>
        <w:pageBreakBefore w:val="0"/>
        <w:widowControl w:val="0"/>
        <w:tabs>
          <w:tab w:val="left" w:pos="180"/>
        </w:tabs>
        <w:kinsoku/>
        <w:wordWrap/>
        <w:overflowPunct/>
        <w:topLinePunct w:val="0"/>
        <w:autoSpaceDE/>
        <w:autoSpaceDN/>
        <w:bidi w:val="0"/>
        <w:adjustRightInd w:val="0"/>
        <w:snapToGrid w:val="0"/>
        <w:spacing w:beforeLines="0" w:afterLines="0" w:line="480" w:lineRule="exact"/>
        <w:ind w:firstLine="552" w:firstLineChars="200"/>
        <w:textAlignment w:val="auto"/>
        <w:rPr>
          <w:rFonts w:hint="eastAsia" w:ascii="宋体" w:hAnsi="宋体" w:eastAsia="宋体" w:cs="宋体"/>
          <w:caps/>
          <w:color w:val="auto"/>
          <w:spacing w:val="-2"/>
          <w:sz w:val="28"/>
          <w:szCs w:val="24"/>
        </w:rPr>
      </w:pPr>
      <w:r>
        <w:rPr>
          <w:rFonts w:hint="eastAsia" w:ascii="宋体" w:hAnsi="宋体" w:eastAsia="宋体" w:cs="宋体"/>
          <w:caps/>
          <w:color w:val="auto"/>
          <w:spacing w:val="-2"/>
          <w:sz w:val="28"/>
          <w:szCs w:val="24"/>
          <w:lang w:eastAsia="zh-CN"/>
        </w:rPr>
        <w:t>（</w:t>
      </w:r>
      <w:r>
        <w:rPr>
          <w:rFonts w:hint="eastAsia" w:ascii="宋体" w:hAnsi="宋体" w:eastAsia="宋体" w:cs="宋体"/>
          <w:caps/>
          <w:color w:val="auto"/>
          <w:spacing w:val="-2"/>
          <w:sz w:val="28"/>
          <w:szCs w:val="24"/>
        </w:rPr>
        <w:t>1</w:t>
      </w:r>
      <w:r>
        <w:rPr>
          <w:rFonts w:hint="eastAsia" w:ascii="宋体" w:hAnsi="宋体" w:eastAsia="宋体" w:cs="宋体"/>
          <w:caps/>
          <w:color w:val="auto"/>
          <w:spacing w:val="-2"/>
          <w:sz w:val="28"/>
          <w:szCs w:val="24"/>
          <w:lang w:eastAsia="zh-CN"/>
        </w:rPr>
        <w:t>）</w:t>
      </w:r>
      <w:r>
        <w:rPr>
          <w:rFonts w:hint="eastAsia" w:ascii="宋体" w:hAnsi="宋体" w:eastAsia="宋体" w:cs="宋体"/>
          <w:caps/>
          <w:color w:val="auto"/>
          <w:spacing w:val="-2"/>
          <w:sz w:val="28"/>
          <w:szCs w:val="21"/>
        </w:rPr>
        <w:t>本次估价未能获知估价对象可能存在的水、电、气、物业费等具体欠款金额，据估价目的及相关估价规范，本次评估假设估价对象不存在上述瑕疵因素。</w:t>
      </w:r>
    </w:p>
    <w:p>
      <w:pPr>
        <w:keepNext w:val="0"/>
        <w:keepLines w:val="0"/>
        <w:pageBreakBefore w:val="0"/>
        <w:widowControl w:val="0"/>
        <w:tabs>
          <w:tab w:val="left" w:pos="180"/>
        </w:tabs>
        <w:kinsoku/>
        <w:wordWrap/>
        <w:overflowPunct/>
        <w:topLinePunct w:val="0"/>
        <w:autoSpaceDE/>
        <w:autoSpaceDN/>
        <w:bidi w:val="0"/>
        <w:adjustRightInd w:val="0"/>
        <w:snapToGrid w:val="0"/>
        <w:spacing w:beforeLines="0" w:afterLines="0" w:line="480" w:lineRule="exact"/>
        <w:ind w:firstLine="552" w:firstLineChars="200"/>
        <w:textAlignment w:val="auto"/>
        <w:rPr>
          <w:rFonts w:hint="eastAsia" w:ascii="宋体" w:hAnsi="宋体" w:eastAsia="宋体" w:cs="宋体"/>
          <w:caps/>
          <w:color w:val="auto"/>
          <w:spacing w:val="-2"/>
          <w:sz w:val="28"/>
          <w:szCs w:val="24"/>
        </w:rPr>
      </w:pPr>
      <w:r>
        <w:rPr>
          <w:rFonts w:hint="eastAsia" w:ascii="宋体" w:hAnsi="宋体" w:eastAsia="宋体" w:cs="宋体"/>
          <w:caps/>
          <w:color w:val="auto"/>
          <w:spacing w:val="-2"/>
          <w:sz w:val="28"/>
          <w:szCs w:val="24"/>
          <w:lang w:eastAsia="zh-CN"/>
        </w:rPr>
        <w:t>（</w:t>
      </w:r>
      <w:r>
        <w:rPr>
          <w:rFonts w:hint="eastAsia" w:ascii="宋体" w:hAnsi="宋体" w:eastAsia="宋体" w:cs="宋体"/>
          <w:caps/>
          <w:color w:val="auto"/>
          <w:spacing w:val="-2"/>
          <w:sz w:val="28"/>
          <w:szCs w:val="24"/>
        </w:rPr>
        <w:t>2</w:t>
      </w:r>
      <w:r>
        <w:rPr>
          <w:rFonts w:hint="eastAsia" w:ascii="宋体" w:hAnsi="宋体" w:eastAsia="宋体" w:cs="宋体"/>
          <w:caps/>
          <w:color w:val="auto"/>
          <w:spacing w:val="-2"/>
          <w:sz w:val="28"/>
          <w:szCs w:val="24"/>
          <w:lang w:eastAsia="zh-CN"/>
        </w:rPr>
        <w:t>）</w:t>
      </w:r>
      <w:r>
        <w:rPr>
          <w:rFonts w:hint="eastAsia" w:ascii="宋体" w:hAnsi="宋体" w:eastAsia="宋体" w:cs="宋体"/>
          <w:caps/>
          <w:color w:val="auto"/>
          <w:spacing w:val="-2"/>
          <w:sz w:val="28"/>
          <w:szCs w:val="24"/>
        </w:rPr>
        <w:t>估价对象所涉及的评估费、拍卖费、诉讼费、律师费等财产处置费用，委托书未列明此费用的扣除办法，本次评估设定该费用从案款中扣除，故本次评估假设估价结果不受上述费用的影响。</w:t>
      </w:r>
    </w:p>
    <w:p>
      <w:pPr>
        <w:keepNext w:val="0"/>
        <w:keepLines w:val="0"/>
        <w:pageBreakBefore w:val="0"/>
        <w:widowControl w:val="0"/>
        <w:tabs>
          <w:tab w:val="left" w:pos="180"/>
        </w:tabs>
        <w:kinsoku/>
        <w:wordWrap/>
        <w:overflowPunct/>
        <w:topLinePunct w:val="0"/>
        <w:autoSpaceDE/>
        <w:autoSpaceDN/>
        <w:bidi w:val="0"/>
        <w:adjustRightInd w:val="0"/>
        <w:snapToGrid w:val="0"/>
        <w:spacing w:beforeLines="0" w:afterLines="0" w:line="480" w:lineRule="exact"/>
        <w:ind w:firstLine="552" w:firstLineChars="200"/>
        <w:textAlignment w:val="auto"/>
        <w:rPr>
          <w:rFonts w:hint="eastAsia" w:ascii="宋体" w:hAnsi="宋体" w:eastAsia="宋体" w:cs="宋体"/>
          <w:caps/>
          <w:color w:val="auto"/>
          <w:spacing w:val="-2"/>
          <w:sz w:val="28"/>
          <w:szCs w:val="24"/>
        </w:rPr>
      </w:pPr>
      <w:r>
        <w:rPr>
          <w:rFonts w:hint="eastAsia" w:ascii="宋体" w:hAnsi="宋体" w:eastAsia="宋体" w:cs="宋体"/>
          <w:caps/>
          <w:color w:val="auto"/>
          <w:spacing w:val="-2"/>
          <w:sz w:val="28"/>
          <w:szCs w:val="24"/>
          <w:lang w:eastAsia="zh-CN"/>
        </w:rPr>
        <w:t>（</w:t>
      </w:r>
      <w:r>
        <w:rPr>
          <w:rFonts w:hint="eastAsia" w:ascii="宋体" w:hAnsi="宋体" w:eastAsia="宋体" w:cs="宋体"/>
          <w:caps/>
          <w:color w:val="auto"/>
          <w:spacing w:val="-2"/>
          <w:sz w:val="28"/>
          <w:szCs w:val="24"/>
        </w:rPr>
        <w:t>3</w:t>
      </w:r>
      <w:r>
        <w:rPr>
          <w:rFonts w:hint="eastAsia" w:ascii="宋体" w:hAnsi="宋体" w:eastAsia="宋体" w:cs="宋体"/>
          <w:caps/>
          <w:color w:val="auto"/>
          <w:spacing w:val="-2"/>
          <w:sz w:val="28"/>
          <w:szCs w:val="24"/>
          <w:lang w:eastAsia="zh-CN"/>
        </w:rPr>
        <w:t>）</w:t>
      </w:r>
      <w:r>
        <w:rPr>
          <w:rFonts w:hint="eastAsia" w:ascii="宋体" w:hAnsi="宋体" w:eastAsia="宋体" w:cs="宋体"/>
          <w:caps/>
          <w:color w:val="auto"/>
          <w:spacing w:val="-2"/>
          <w:sz w:val="28"/>
          <w:szCs w:val="24"/>
        </w:rPr>
        <w:t>本次估价假设评估对象被迫转让及处置后不存在被执行人不自愿配合交付的情形。</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3、背离事实假设</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lang w:val="en-US" w:eastAsia="zh-CN"/>
        </w:rPr>
        <w:t>（1）根据委托方提供的《成都市不动产登记信息查询结果》，至价值时点，估价对象存在抵押和查封登记，</w:t>
      </w:r>
      <w:r>
        <w:rPr>
          <w:rFonts w:hint="eastAsia" w:ascii="宋体" w:hAnsi="宋体" w:eastAsia="宋体" w:cs="宋体"/>
          <w:caps/>
          <w:color w:val="auto"/>
          <w:spacing w:val="-2"/>
          <w:sz w:val="28"/>
        </w:rPr>
        <w:t>据估价目的及相关估价规范本次估价假设估价对象不存上述限制资产权利的情形</w:t>
      </w:r>
      <w:r>
        <w:rPr>
          <w:rFonts w:hint="eastAsia" w:ascii="宋体" w:hAnsi="宋体" w:eastAsia="宋体" w:cs="宋体"/>
          <w:color w:val="auto"/>
          <w:kern w:val="0"/>
          <w:sz w:val="28"/>
        </w:rPr>
        <w:t>。</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lang w:val="en-US" w:eastAsia="zh-CN"/>
        </w:rPr>
        <w:t>（2）据现场查勘调查获知，于价值时点估价对象存在出租情形，但未固定车位，委托方未提供租赁资料，本次估价未考虑租赁关系的影响。本次估价假设估价对象不存在显著影响其市场价值的租赁关系（主要指明显偏离市场</w:t>
      </w:r>
      <w:bookmarkStart w:id="80" w:name="_GoBack"/>
      <w:bookmarkEnd w:id="80"/>
      <w:r>
        <w:rPr>
          <w:rFonts w:hint="eastAsia" w:ascii="宋体" w:hAnsi="宋体" w:eastAsia="宋体" w:cs="宋体"/>
          <w:caps/>
          <w:color w:val="auto"/>
          <w:spacing w:val="-2"/>
          <w:sz w:val="28"/>
          <w:lang w:val="en-US" w:eastAsia="zh-CN"/>
        </w:rPr>
        <w:t>状况的租金及经查明存在一次性支付较长租约租金等情形）存在，否则应对估价结果进行调整。</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lang w:val="en-US" w:eastAsia="zh-CN"/>
        </w:rPr>
      </w:pPr>
      <w:r>
        <w:rPr>
          <w:rFonts w:hint="eastAsia" w:ascii="宋体" w:hAnsi="宋体" w:eastAsia="宋体" w:cs="宋体"/>
          <w:caps/>
          <w:color w:val="auto"/>
          <w:spacing w:val="-2"/>
          <w:sz w:val="28"/>
          <w:lang w:val="en-US" w:eastAsia="zh-CN"/>
        </w:rPr>
        <w:t>4、不相一致假设</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lang w:val="en-US" w:eastAsia="zh-CN"/>
        </w:rPr>
      </w:pPr>
      <w:r>
        <w:rPr>
          <w:rFonts w:hint="eastAsia" w:ascii="宋体" w:hAnsi="宋体" w:eastAsia="宋体" w:cs="宋体"/>
          <w:caps/>
          <w:color w:val="auto"/>
          <w:spacing w:val="-2"/>
          <w:sz w:val="28"/>
          <w:lang w:val="en-US" w:eastAsia="zh-CN"/>
        </w:rPr>
        <w:t>估价对象登记地址为成华区二环路东二段22号1栋-1、-2楼共计203个车位用房地产，现场查看地址</w:t>
      </w:r>
      <w:r>
        <w:rPr>
          <w:rFonts w:hint="eastAsia" w:ascii="宋体" w:hAnsi="宋体" w:cs="宋体"/>
          <w:caps/>
          <w:color w:val="auto"/>
          <w:spacing w:val="-2"/>
          <w:sz w:val="28"/>
          <w:lang w:val="en-US" w:eastAsia="zh-CN"/>
        </w:rPr>
        <w:t>位于</w:t>
      </w:r>
      <w:r>
        <w:rPr>
          <w:rFonts w:hint="eastAsia" w:ascii="宋体" w:hAnsi="宋体" w:eastAsia="宋体" w:cs="宋体"/>
          <w:caps/>
          <w:color w:val="auto"/>
          <w:spacing w:val="-2"/>
          <w:sz w:val="28"/>
          <w:lang w:val="en-US" w:eastAsia="zh-CN"/>
        </w:rPr>
        <w:t>二环路东二段22号，未见栋号，楼层平面图的车位标号与现场查勘标示的车位标号一致，</w:t>
      </w:r>
      <w:r>
        <w:rPr>
          <w:rFonts w:hint="eastAsia" w:ascii="宋体" w:hAnsi="宋体" w:cs="宋体"/>
          <w:caps/>
          <w:color w:val="auto"/>
          <w:spacing w:val="-2"/>
          <w:sz w:val="28"/>
          <w:lang w:val="en-US" w:eastAsia="zh-CN"/>
        </w:rPr>
        <w:t>车位部分无法辨识号码标识</w:t>
      </w:r>
      <w:r>
        <w:rPr>
          <w:rFonts w:hint="eastAsia" w:ascii="宋体" w:hAnsi="宋体" w:eastAsia="宋体" w:cs="宋体"/>
          <w:caps/>
          <w:color w:val="auto"/>
          <w:spacing w:val="-2"/>
          <w:sz w:val="28"/>
          <w:lang w:val="en-US" w:eastAsia="zh-CN"/>
        </w:rPr>
        <w:t>以楼层平面图为准，敬请报告使用人注意。</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52" w:firstLineChars="200"/>
        <w:textAlignment w:val="auto"/>
        <w:rPr>
          <w:rFonts w:hint="eastAsia" w:ascii="宋体" w:hAnsi="宋体" w:eastAsia="宋体" w:cs="宋体"/>
          <w:caps/>
          <w:color w:val="auto"/>
          <w:spacing w:val="-2"/>
          <w:sz w:val="28"/>
        </w:rPr>
      </w:pPr>
      <w:r>
        <w:rPr>
          <w:rFonts w:hint="eastAsia" w:ascii="宋体" w:hAnsi="宋体" w:eastAsia="宋体" w:cs="宋体"/>
          <w:caps/>
          <w:color w:val="auto"/>
          <w:spacing w:val="-2"/>
          <w:sz w:val="28"/>
        </w:rPr>
        <w:t>5、依据不足假设</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bookmarkStart w:id="12" w:name="_Toc17375"/>
      <w:r>
        <w:rPr>
          <w:rFonts w:hint="eastAsia" w:ascii="宋体" w:hAnsi="宋体" w:eastAsia="宋体" w:cs="宋体"/>
          <w:color w:val="auto"/>
          <w:sz w:val="28"/>
          <w:szCs w:val="28"/>
          <w:lang w:val="en-US" w:eastAsia="zh-CN"/>
        </w:rPr>
        <w:t>本次估价无依据不足事项</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无依据不足假设</w:t>
      </w:r>
      <w:r>
        <w:rPr>
          <w:rFonts w:hint="eastAsia" w:ascii="宋体" w:hAnsi="宋体" w:eastAsia="宋体" w:cs="宋体"/>
          <w:color w:val="auto"/>
          <w:sz w:val="28"/>
          <w:szCs w:val="28"/>
        </w:rPr>
        <w:t>。</w:t>
      </w:r>
    </w:p>
    <w:p>
      <w:pPr>
        <w:spacing w:before="0" w:after="0" w:line="500" w:lineRule="exact"/>
        <w:ind w:firstLine="560" w:firstLineChars="200"/>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二、本估价报告使用的限制条件</w:t>
      </w:r>
      <w:bookmarkEnd w:id="12"/>
    </w:p>
    <w:p>
      <w:pPr>
        <w:keepNext w:val="0"/>
        <w:keepLines w:val="0"/>
        <w:pageBreakBefore w:val="0"/>
        <w:widowControl w:val="0"/>
        <w:tabs>
          <w:tab w:val="left" w:pos="180"/>
        </w:tabs>
        <w:kinsoku/>
        <w:wordWrap/>
        <w:overflowPunct/>
        <w:topLinePunct w:val="0"/>
        <w:autoSpaceDE/>
        <w:autoSpaceDN/>
        <w:bidi w:val="0"/>
        <w:adjustRightInd w:val="0"/>
        <w:snapToGrid w:val="0"/>
        <w:spacing w:beforeLines="0" w:afterLines="0" w:line="480" w:lineRule="exact"/>
        <w:ind w:firstLine="552" w:firstLineChars="200"/>
        <w:textAlignment w:val="auto"/>
        <w:rPr>
          <w:rFonts w:hint="eastAsia" w:ascii="宋体" w:hAnsi="宋体" w:eastAsia="宋体" w:cs="宋体"/>
          <w:color w:val="auto"/>
          <w:spacing w:val="-2"/>
          <w:sz w:val="28"/>
          <w:szCs w:val="24"/>
        </w:rPr>
      </w:pPr>
      <w:r>
        <w:rPr>
          <w:rFonts w:hint="eastAsia" w:ascii="宋体" w:hAnsi="宋体" w:eastAsia="宋体" w:cs="宋体"/>
          <w:color w:val="auto"/>
          <w:spacing w:val="-2"/>
          <w:sz w:val="28"/>
          <w:szCs w:val="24"/>
        </w:rPr>
        <w:t>1、报告使用人应当按照法律规定和评估报告载明的用途、使用期限等使用评估报告。</w:t>
      </w:r>
    </w:p>
    <w:p>
      <w:pPr>
        <w:keepNext w:val="0"/>
        <w:keepLines w:val="0"/>
        <w:pageBreakBefore w:val="0"/>
        <w:widowControl w:val="0"/>
        <w:tabs>
          <w:tab w:val="left" w:pos="180"/>
        </w:tabs>
        <w:kinsoku/>
        <w:wordWrap/>
        <w:overflowPunct/>
        <w:topLinePunct w:val="0"/>
        <w:autoSpaceDE/>
        <w:autoSpaceDN/>
        <w:bidi w:val="0"/>
        <w:adjustRightInd w:val="0"/>
        <w:snapToGrid w:val="0"/>
        <w:spacing w:beforeLines="0" w:afterLines="0" w:line="480" w:lineRule="exact"/>
        <w:ind w:firstLine="552" w:firstLineChars="200"/>
        <w:textAlignment w:val="auto"/>
        <w:rPr>
          <w:rFonts w:hint="eastAsia" w:ascii="宋体" w:hAnsi="宋体" w:eastAsia="宋体" w:cs="宋体"/>
          <w:color w:val="auto"/>
          <w:spacing w:val="-2"/>
          <w:sz w:val="28"/>
          <w:szCs w:val="24"/>
        </w:rPr>
      </w:pPr>
      <w:r>
        <w:rPr>
          <w:rFonts w:hint="eastAsia" w:ascii="宋体" w:hAnsi="宋体" w:eastAsia="宋体" w:cs="宋体"/>
          <w:color w:val="auto"/>
          <w:spacing w:val="-2"/>
          <w:sz w:val="28"/>
          <w:szCs w:val="24"/>
        </w:rPr>
        <w:t>2、评估结果仅为人民法院确定财产处置参考价服务，不是评估对象处置可实现的成交价格，也不应当被视为对评估对象处置成交价格的保证。</w:t>
      </w:r>
    </w:p>
    <w:p>
      <w:pPr>
        <w:keepNext w:val="0"/>
        <w:keepLines w:val="0"/>
        <w:pageBreakBefore w:val="0"/>
        <w:widowControl w:val="0"/>
        <w:tabs>
          <w:tab w:val="left" w:pos="180"/>
        </w:tabs>
        <w:kinsoku/>
        <w:wordWrap/>
        <w:overflowPunct/>
        <w:topLinePunct w:val="0"/>
        <w:autoSpaceDE/>
        <w:autoSpaceDN/>
        <w:bidi w:val="0"/>
        <w:adjustRightInd w:val="0"/>
        <w:snapToGrid w:val="0"/>
        <w:spacing w:beforeLines="0" w:afterLines="0" w:line="480" w:lineRule="exact"/>
        <w:ind w:firstLine="552" w:firstLineChars="200"/>
        <w:textAlignment w:val="auto"/>
        <w:rPr>
          <w:rFonts w:hint="eastAsia" w:ascii="宋体" w:hAnsi="宋体" w:eastAsia="宋体" w:cs="宋体"/>
          <w:color w:val="auto"/>
          <w:spacing w:val="-2"/>
          <w:sz w:val="28"/>
          <w:szCs w:val="24"/>
        </w:rPr>
      </w:pPr>
      <w:r>
        <w:rPr>
          <w:rFonts w:hint="eastAsia" w:ascii="宋体" w:hAnsi="宋体" w:eastAsia="宋体" w:cs="宋体"/>
          <w:color w:val="auto"/>
          <w:spacing w:val="-2"/>
          <w:sz w:val="28"/>
          <w:szCs w:val="24"/>
        </w:rPr>
        <w:t>3、</w:t>
      </w:r>
      <w:r>
        <w:rPr>
          <w:rFonts w:hint="eastAsia" w:ascii="宋体" w:hAnsi="宋体" w:eastAsia="宋体" w:cs="宋体"/>
          <w:color w:val="auto"/>
          <w:spacing w:val="-2"/>
          <w:sz w:val="28"/>
          <w:szCs w:val="24"/>
          <w:lang w:eastAsia="zh-CN"/>
        </w:rPr>
        <w:t>若</w:t>
      </w:r>
      <w:r>
        <w:rPr>
          <w:rFonts w:hint="eastAsia" w:ascii="宋体" w:hAnsi="宋体" w:eastAsia="宋体" w:cs="宋体"/>
          <w:color w:val="auto"/>
          <w:spacing w:val="-2"/>
          <w:sz w:val="28"/>
          <w:szCs w:val="24"/>
        </w:rPr>
        <w:t>财产拍卖或者变卖之日与价值时点不一致，可能导致评估结果对应的评估对象状况、房地产市场状况、欠缴税费状况等与财产拍卖或者变卖时的相应状况不一致，发生明显变化的，评估结果应当进行相应调整。</w:t>
      </w:r>
    </w:p>
    <w:p>
      <w:pPr>
        <w:keepNext w:val="0"/>
        <w:keepLines w:val="0"/>
        <w:pageBreakBefore w:val="0"/>
        <w:widowControl w:val="0"/>
        <w:tabs>
          <w:tab w:val="left" w:pos="180"/>
        </w:tabs>
        <w:kinsoku/>
        <w:wordWrap/>
        <w:overflowPunct/>
        <w:topLinePunct w:val="0"/>
        <w:autoSpaceDE/>
        <w:autoSpaceDN/>
        <w:bidi w:val="0"/>
        <w:adjustRightInd w:val="0"/>
        <w:snapToGrid w:val="0"/>
        <w:spacing w:beforeLines="0" w:afterLines="0" w:line="480" w:lineRule="exact"/>
        <w:ind w:firstLine="552" w:firstLineChars="200"/>
        <w:textAlignment w:val="auto"/>
        <w:rPr>
          <w:rFonts w:hint="eastAsia" w:ascii="宋体" w:hAnsi="宋体" w:eastAsia="宋体" w:cs="宋体"/>
          <w:caps/>
          <w:color w:val="auto"/>
          <w:spacing w:val="-2"/>
          <w:sz w:val="28"/>
          <w:szCs w:val="24"/>
        </w:rPr>
      </w:pPr>
      <w:r>
        <w:rPr>
          <w:rFonts w:hint="eastAsia" w:ascii="宋体" w:hAnsi="宋体" w:eastAsia="宋体" w:cs="宋体"/>
          <w:color w:val="auto"/>
          <w:spacing w:val="-2"/>
          <w:sz w:val="28"/>
          <w:szCs w:val="24"/>
        </w:rPr>
        <w:t>4、在评估报告使用期限或者评估结果有效期内，评估报告或者评估结果未使用之前，如果评估对象状况或者房地产市场状况发生明显变化的，评估结果应当进行相应调整。</w:t>
      </w:r>
    </w:p>
    <w:p>
      <w:pPr>
        <w:keepNext w:val="0"/>
        <w:keepLines w:val="0"/>
        <w:pageBreakBefore w:val="0"/>
        <w:widowControl w:val="0"/>
        <w:tabs>
          <w:tab w:val="left" w:pos="180"/>
        </w:tabs>
        <w:kinsoku/>
        <w:wordWrap/>
        <w:overflowPunct/>
        <w:topLinePunct w:val="0"/>
        <w:autoSpaceDE/>
        <w:autoSpaceDN/>
        <w:bidi w:val="0"/>
        <w:adjustRightInd w:val="0"/>
        <w:snapToGrid w:val="0"/>
        <w:spacing w:beforeLines="0" w:afterLines="0" w:line="480" w:lineRule="exact"/>
        <w:ind w:firstLine="552" w:firstLineChars="200"/>
        <w:textAlignment w:val="auto"/>
        <w:rPr>
          <w:rFonts w:hint="eastAsia" w:ascii="宋体" w:hAnsi="宋体" w:eastAsia="宋体" w:cs="宋体"/>
          <w:caps/>
          <w:color w:val="auto"/>
          <w:spacing w:val="-2"/>
          <w:sz w:val="28"/>
          <w:szCs w:val="24"/>
        </w:rPr>
      </w:pPr>
      <w:r>
        <w:rPr>
          <w:rFonts w:hint="eastAsia" w:ascii="宋体" w:hAnsi="宋体" w:eastAsia="宋体" w:cs="宋体"/>
          <w:caps/>
          <w:color w:val="auto"/>
          <w:spacing w:val="-2"/>
          <w:sz w:val="28"/>
          <w:szCs w:val="24"/>
        </w:rPr>
        <w:t>5、本估价报告的使用人包括：委托人及与本案有关的当事人。</w:t>
      </w:r>
    </w:p>
    <w:p>
      <w:pPr>
        <w:keepNext w:val="0"/>
        <w:keepLines w:val="0"/>
        <w:pageBreakBefore w:val="0"/>
        <w:widowControl w:val="0"/>
        <w:tabs>
          <w:tab w:val="left" w:pos="180"/>
        </w:tabs>
        <w:kinsoku/>
        <w:wordWrap/>
        <w:overflowPunct/>
        <w:topLinePunct w:val="0"/>
        <w:autoSpaceDE/>
        <w:autoSpaceDN/>
        <w:bidi w:val="0"/>
        <w:adjustRightInd w:val="0"/>
        <w:snapToGrid w:val="0"/>
        <w:spacing w:beforeLines="0" w:afterLines="0" w:line="480" w:lineRule="exact"/>
        <w:ind w:firstLine="552" w:firstLineChars="200"/>
        <w:textAlignment w:val="auto"/>
        <w:rPr>
          <w:rFonts w:hint="eastAsia" w:ascii="宋体" w:hAnsi="宋体" w:eastAsia="宋体" w:cs="宋体"/>
          <w:caps/>
          <w:color w:val="auto"/>
          <w:spacing w:val="-2"/>
          <w:sz w:val="28"/>
          <w:szCs w:val="24"/>
        </w:rPr>
      </w:pPr>
      <w:r>
        <w:rPr>
          <w:rFonts w:hint="eastAsia" w:ascii="宋体" w:hAnsi="宋体" w:eastAsia="宋体" w:cs="宋体"/>
          <w:caps/>
          <w:color w:val="auto"/>
          <w:spacing w:val="-2"/>
          <w:sz w:val="28"/>
          <w:szCs w:val="24"/>
        </w:rPr>
        <w:t>6、本估价报告使用期限自估价报告出具之日起壹年内有效（即</w:t>
      </w:r>
      <w:r>
        <w:rPr>
          <w:rFonts w:hint="eastAsia" w:ascii="宋体" w:hAnsi="宋体" w:eastAsia="宋体" w:cs="宋体"/>
          <w:caps/>
          <w:color w:val="auto"/>
          <w:spacing w:val="-2"/>
          <w:sz w:val="28"/>
          <w:szCs w:val="24"/>
          <w:lang w:eastAsia="zh-CN"/>
        </w:rPr>
        <w:t>2023年03月02日</w:t>
      </w:r>
      <w:r>
        <w:rPr>
          <w:rFonts w:hint="eastAsia" w:ascii="宋体" w:hAnsi="宋体" w:eastAsia="宋体" w:cs="宋体"/>
          <w:caps/>
          <w:color w:val="auto"/>
          <w:spacing w:val="-2"/>
          <w:sz w:val="28"/>
          <w:szCs w:val="24"/>
        </w:rPr>
        <w:t>至</w:t>
      </w:r>
      <w:r>
        <w:rPr>
          <w:rFonts w:hint="eastAsia" w:ascii="宋体" w:hAnsi="宋体" w:eastAsia="宋体" w:cs="宋体"/>
          <w:caps/>
          <w:color w:val="auto"/>
          <w:spacing w:val="-2"/>
          <w:sz w:val="28"/>
          <w:szCs w:val="24"/>
          <w:lang w:eastAsia="zh-CN"/>
        </w:rPr>
        <w:t>2024年03月01日</w:t>
      </w:r>
      <w:r>
        <w:rPr>
          <w:rFonts w:hint="eastAsia" w:ascii="宋体" w:hAnsi="宋体" w:eastAsia="宋体" w:cs="宋体"/>
          <w:caps/>
          <w:color w:val="auto"/>
          <w:spacing w:val="-2"/>
          <w:sz w:val="28"/>
          <w:szCs w:val="24"/>
        </w:rPr>
        <w:t>）。若报告使用期限内，房地产市场或估价对象状况发生重大变化，估价结果需做相应调整或委托估价机构重新估价。</w:t>
      </w:r>
    </w:p>
    <w:p>
      <w:pPr>
        <w:keepNext w:val="0"/>
        <w:keepLines w:val="0"/>
        <w:pageBreakBefore w:val="0"/>
        <w:widowControl w:val="0"/>
        <w:tabs>
          <w:tab w:val="left" w:pos="180"/>
        </w:tabs>
        <w:kinsoku/>
        <w:wordWrap/>
        <w:overflowPunct/>
        <w:topLinePunct w:val="0"/>
        <w:autoSpaceDE/>
        <w:autoSpaceDN/>
        <w:bidi w:val="0"/>
        <w:spacing w:beforeLines="0" w:afterLines="0" w:line="480" w:lineRule="exact"/>
        <w:ind w:firstLine="602"/>
        <w:textAlignment w:val="auto"/>
        <w:rPr>
          <w:rFonts w:hint="eastAsia" w:ascii="宋体" w:hAnsi="宋体" w:eastAsia="宋体" w:cs="宋体"/>
          <w:color w:val="auto"/>
          <w:sz w:val="28"/>
          <w:szCs w:val="24"/>
        </w:rPr>
      </w:pPr>
      <w:r>
        <w:rPr>
          <w:rFonts w:hint="eastAsia" w:ascii="宋体" w:hAnsi="宋体" w:eastAsia="宋体" w:cs="宋体"/>
          <w:caps/>
          <w:color w:val="auto"/>
          <w:spacing w:val="-2"/>
          <w:sz w:val="28"/>
          <w:szCs w:val="24"/>
        </w:rPr>
        <w:t>7、</w:t>
      </w:r>
      <w:r>
        <w:rPr>
          <w:rFonts w:hint="eastAsia" w:ascii="宋体" w:hAnsi="宋体" w:eastAsia="宋体" w:cs="宋体"/>
          <w:color w:val="auto"/>
          <w:sz w:val="28"/>
          <w:szCs w:val="24"/>
        </w:rPr>
        <w:t>本次估价基于在估价对象处置后房屋交易方各自正常负担交易税费的情况下作出，未考虑交易买卖双方可能存在的税费转嫁行为对估价结果的影响，委托方宜在结合案件实际的情况下充分考虑交易税费负担情况使用本估价结果。</w:t>
      </w:r>
    </w:p>
    <w:p>
      <w:pPr>
        <w:keepNext w:val="0"/>
        <w:keepLines w:val="0"/>
        <w:pageBreakBefore w:val="0"/>
        <w:widowControl w:val="0"/>
        <w:tabs>
          <w:tab w:val="left" w:pos="180"/>
        </w:tabs>
        <w:kinsoku/>
        <w:wordWrap/>
        <w:overflowPunct/>
        <w:topLinePunct w:val="0"/>
        <w:autoSpaceDE/>
        <w:autoSpaceDN/>
        <w:bidi w:val="0"/>
        <w:adjustRightInd w:val="0"/>
        <w:snapToGrid w:val="0"/>
        <w:spacing w:beforeLines="0" w:afterLines="0" w:line="480" w:lineRule="exact"/>
        <w:ind w:firstLine="552" w:firstLineChars="200"/>
        <w:textAlignment w:val="auto"/>
        <w:rPr>
          <w:rFonts w:hint="eastAsia" w:ascii="宋体" w:hAnsi="宋体" w:eastAsia="宋体" w:cs="宋体"/>
          <w:caps/>
          <w:color w:val="auto"/>
          <w:spacing w:val="-2"/>
          <w:sz w:val="28"/>
          <w:szCs w:val="24"/>
        </w:rPr>
      </w:pPr>
      <w:r>
        <w:rPr>
          <w:rFonts w:hint="eastAsia" w:ascii="宋体" w:hAnsi="宋体" w:eastAsia="宋体" w:cs="宋体"/>
          <w:caps/>
          <w:color w:val="auto"/>
          <w:spacing w:val="-2"/>
          <w:sz w:val="28"/>
          <w:szCs w:val="24"/>
        </w:rPr>
        <w:t>8、本次估价结果未考虑强制快速变现因素，同时估价结果也未考虑整体变现对估价结果的减值影响。</w:t>
      </w:r>
    </w:p>
    <w:p>
      <w:pPr>
        <w:keepNext w:val="0"/>
        <w:keepLines w:val="0"/>
        <w:pageBreakBefore w:val="0"/>
        <w:widowControl w:val="0"/>
        <w:tabs>
          <w:tab w:val="left" w:pos="180"/>
        </w:tabs>
        <w:kinsoku/>
        <w:wordWrap/>
        <w:overflowPunct/>
        <w:topLinePunct w:val="0"/>
        <w:autoSpaceDE/>
        <w:autoSpaceDN/>
        <w:bidi w:val="0"/>
        <w:adjustRightInd w:val="0"/>
        <w:snapToGrid w:val="0"/>
        <w:spacing w:beforeLines="0" w:afterLines="0" w:line="480" w:lineRule="exact"/>
        <w:ind w:firstLine="552" w:firstLineChars="200"/>
        <w:textAlignment w:val="auto"/>
        <w:rPr>
          <w:rFonts w:hint="eastAsia" w:ascii="宋体" w:hAnsi="宋体" w:eastAsia="宋体" w:cs="宋体"/>
          <w:caps/>
          <w:color w:val="auto"/>
          <w:spacing w:val="-2"/>
          <w:sz w:val="28"/>
          <w:szCs w:val="24"/>
        </w:rPr>
      </w:pPr>
      <w:r>
        <w:rPr>
          <w:rFonts w:hint="eastAsia" w:ascii="宋体" w:hAnsi="宋体" w:eastAsia="宋体" w:cs="宋体"/>
          <w:caps/>
          <w:color w:val="auto"/>
          <w:spacing w:val="-2"/>
          <w:sz w:val="28"/>
          <w:szCs w:val="24"/>
        </w:rPr>
        <w:t>9、未经本估价机构书面同意，本估价报告除用于</w:t>
      </w:r>
      <w:r>
        <w:rPr>
          <w:rFonts w:hint="eastAsia" w:ascii="宋体" w:hAnsi="宋体" w:eastAsia="宋体" w:cs="宋体"/>
          <w:caps/>
          <w:color w:val="auto"/>
          <w:spacing w:val="-2"/>
          <w:sz w:val="28"/>
          <w:szCs w:val="24"/>
          <w:lang w:eastAsia="zh-CN"/>
        </w:rPr>
        <w:t>本次</w:t>
      </w:r>
      <w:r>
        <w:rPr>
          <w:rFonts w:hint="eastAsia" w:ascii="宋体" w:hAnsi="宋体" w:eastAsia="宋体" w:cs="宋体"/>
          <w:caps/>
          <w:color w:val="auto"/>
          <w:spacing w:val="-2"/>
          <w:sz w:val="28"/>
          <w:szCs w:val="24"/>
        </w:rPr>
        <w:t>估价目的</w:t>
      </w:r>
      <w:r>
        <w:rPr>
          <w:rFonts w:hint="eastAsia" w:ascii="宋体" w:hAnsi="宋体" w:eastAsia="宋体" w:cs="宋体"/>
          <w:caps/>
          <w:color w:val="auto"/>
          <w:spacing w:val="-2"/>
          <w:sz w:val="28"/>
          <w:szCs w:val="24"/>
          <w:lang w:eastAsia="zh-CN"/>
        </w:rPr>
        <w:t>相关用途</w:t>
      </w:r>
      <w:r>
        <w:rPr>
          <w:rFonts w:hint="eastAsia" w:ascii="宋体" w:hAnsi="宋体" w:eastAsia="宋体" w:cs="宋体"/>
          <w:caps/>
          <w:color w:val="auto"/>
          <w:spacing w:val="-2"/>
          <w:sz w:val="28"/>
          <w:szCs w:val="24"/>
        </w:rPr>
        <w:t>外均不允许在任何公开发表的文件、通告或声明中引用，亦不得以其他任何方式公开发表。凡因委托方使用本报告不当引起的后果，本估价机构和估价人员不承担任何责任。本估价机构保留对违规使用本报告追究相关法律责任的权利。</w:t>
      </w:r>
    </w:p>
    <w:p>
      <w:pPr>
        <w:keepNext w:val="0"/>
        <w:keepLines w:val="0"/>
        <w:pageBreakBefore w:val="0"/>
        <w:widowControl w:val="0"/>
        <w:tabs>
          <w:tab w:val="left" w:pos="180"/>
        </w:tabs>
        <w:kinsoku/>
        <w:wordWrap/>
        <w:overflowPunct/>
        <w:topLinePunct w:val="0"/>
        <w:autoSpaceDE/>
        <w:autoSpaceDN/>
        <w:bidi w:val="0"/>
        <w:spacing w:beforeLines="0" w:afterLines="0" w:line="480" w:lineRule="exact"/>
        <w:ind w:firstLine="602"/>
        <w:textAlignment w:val="auto"/>
        <w:rPr>
          <w:rFonts w:hint="eastAsia" w:ascii="宋体" w:hAnsi="宋体" w:eastAsia="宋体" w:cs="宋体"/>
          <w:color w:val="auto"/>
          <w:sz w:val="28"/>
          <w:szCs w:val="24"/>
        </w:rPr>
      </w:pPr>
      <w:r>
        <w:rPr>
          <w:rFonts w:hint="eastAsia" w:ascii="宋体" w:hAnsi="宋体" w:eastAsia="宋体" w:cs="宋体"/>
          <w:caps/>
          <w:color w:val="auto"/>
          <w:spacing w:val="-2"/>
          <w:sz w:val="28"/>
          <w:szCs w:val="24"/>
        </w:rPr>
        <w:t>10、</w:t>
      </w:r>
      <w:r>
        <w:rPr>
          <w:rFonts w:hint="eastAsia" w:ascii="宋体" w:hAnsi="宋体" w:eastAsia="宋体" w:cs="宋体"/>
          <w:color w:val="auto"/>
          <w:sz w:val="28"/>
          <w:szCs w:val="24"/>
        </w:rPr>
        <w:t>我公司估价人员已对估价对象进行了现场查勘，并对估价对象现场查勘的客观性、真实性、公正性承担责任，但估价人员对估价对象的现场查勘，仅限于估价对象外观和使用状况。由于我公司是房地产估价机构而非房屋质量安全鉴定机构，不具备房屋质量安全方面鉴定资格及能力，若估价对象存在上述需进行专业检测的内部缺陷，可根据相关房屋质量鉴定结论对评估价值作相应的调整。</w:t>
      </w:r>
    </w:p>
    <w:p>
      <w:pPr>
        <w:keepNext w:val="0"/>
        <w:keepLines w:val="0"/>
        <w:pageBreakBefore w:val="0"/>
        <w:widowControl w:val="0"/>
        <w:tabs>
          <w:tab w:val="left" w:pos="180"/>
        </w:tabs>
        <w:kinsoku/>
        <w:wordWrap/>
        <w:overflowPunct/>
        <w:topLinePunct w:val="0"/>
        <w:autoSpaceDE/>
        <w:autoSpaceDN/>
        <w:bidi w:val="0"/>
        <w:adjustRightInd w:val="0"/>
        <w:snapToGrid w:val="0"/>
        <w:spacing w:beforeLines="0" w:afterLines="0" w:line="480" w:lineRule="exact"/>
        <w:ind w:firstLine="560" w:firstLineChars="200"/>
        <w:textAlignment w:val="auto"/>
        <w:rPr>
          <w:rFonts w:hint="eastAsia" w:ascii="宋体" w:hAnsi="宋体" w:eastAsia="宋体" w:cs="宋体"/>
          <w:caps/>
          <w:color w:val="auto"/>
          <w:spacing w:val="-2"/>
          <w:sz w:val="28"/>
          <w:szCs w:val="24"/>
        </w:rPr>
      </w:pPr>
      <w:r>
        <w:rPr>
          <w:rFonts w:hint="eastAsia" w:ascii="宋体" w:hAnsi="宋体" w:eastAsia="宋体" w:cs="宋体"/>
          <w:color w:val="auto"/>
          <w:sz w:val="28"/>
          <w:szCs w:val="24"/>
        </w:rPr>
        <w:t>11、</w:t>
      </w:r>
      <w:r>
        <w:rPr>
          <w:rFonts w:hint="eastAsia" w:ascii="宋体" w:hAnsi="宋体" w:eastAsia="宋体" w:cs="宋体"/>
          <w:caps/>
          <w:color w:val="auto"/>
          <w:spacing w:val="-2"/>
          <w:sz w:val="28"/>
          <w:szCs w:val="24"/>
        </w:rPr>
        <w:t>本估价报告若出现文字或数字因打印、校对及其他原因发生误差时，请估价委托人及时通知本估价机构更正。</w:t>
      </w:r>
    </w:p>
    <w:p>
      <w:pPr>
        <w:keepNext w:val="0"/>
        <w:keepLines w:val="0"/>
        <w:pageBreakBefore w:val="0"/>
        <w:widowControl w:val="0"/>
        <w:tabs>
          <w:tab w:val="left" w:pos="180"/>
        </w:tabs>
        <w:kinsoku/>
        <w:wordWrap/>
        <w:overflowPunct/>
        <w:topLinePunct w:val="0"/>
        <w:autoSpaceDE/>
        <w:autoSpaceDN/>
        <w:bidi w:val="0"/>
        <w:adjustRightInd w:val="0"/>
        <w:snapToGrid w:val="0"/>
        <w:spacing w:beforeLines="0" w:afterLines="0" w:line="480" w:lineRule="exact"/>
        <w:ind w:firstLine="552" w:firstLineChars="200"/>
        <w:textAlignment w:val="auto"/>
        <w:rPr>
          <w:rFonts w:hint="eastAsia" w:ascii="宋体" w:hAnsi="宋体" w:eastAsia="宋体" w:cs="宋体"/>
          <w:caps/>
          <w:color w:val="auto"/>
          <w:spacing w:val="-2"/>
          <w:sz w:val="28"/>
          <w:szCs w:val="24"/>
        </w:rPr>
      </w:pPr>
      <w:r>
        <w:rPr>
          <w:rFonts w:hint="eastAsia" w:ascii="宋体" w:hAnsi="宋体" w:eastAsia="宋体" w:cs="宋体"/>
          <w:caps/>
          <w:color w:val="auto"/>
          <w:spacing w:val="-2"/>
          <w:sz w:val="28"/>
          <w:szCs w:val="24"/>
        </w:rPr>
        <w:t>12、本估价报告须四川金誉房地产评估有限责任公司盖章及在四川金誉房地产评估有限责任公司注册的两名注册房地产估价师签字后方为有效。</w:t>
      </w:r>
    </w:p>
    <w:p>
      <w:pPr>
        <w:keepNext w:val="0"/>
        <w:keepLines w:val="0"/>
        <w:pageBreakBefore w:val="0"/>
        <w:widowControl w:val="0"/>
        <w:tabs>
          <w:tab w:val="left" w:pos="180"/>
        </w:tabs>
        <w:kinsoku/>
        <w:wordWrap/>
        <w:overflowPunct/>
        <w:topLinePunct w:val="0"/>
        <w:autoSpaceDE/>
        <w:autoSpaceDN/>
        <w:bidi w:val="0"/>
        <w:adjustRightInd w:val="0"/>
        <w:snapToGrid w:val="0"/>
        <w:spacing w:beforeLines="0" w:afterLines="0" w:line="480" w:lineRule="exact"/>
        <w:ind w:firstLine="552" w:firstLineChars="200"/>
        <w:textAlignment w:val="auto"/>
        <w:rPr>
          <w:rFonts w:hint="eastAsia" w:ascii="宋体" w:hAnsi="宋体" w:eastAsia="宋体" w:cs="宋体"/>
          <w:color w:val="auto"/>
          <w:sz w:val="36"/>
          <w:szCs w:val="24"/>
        </w:rPr>
      </w:pPr>
      <w:r>
        <w:rPr>
          <w:rFonts w:hint="eastAsia" w:ascii="宋体" w:hAnsi="宋体" w:eastAsia="宋体" w:cs="宋体"/>
          <w:caps/>
          <w:color w:val="auto"/>
          <w:spacing w:val="-2"/>
          <w:sz w:val="28"/>
          <w:szCs w:val="24"/>
        </w:rPr>
        <w:t>13、本估价报告分为“估价结果报告”和“估价技术报告”两部分。“估价结果报告”提供给估价委托人，“估价技术报告”作为估价机构的技术成果由估价机构留存及提供给估价管理部门查阅。</w:t>
      </w:r>
    </w:p>
    <w:p>
      <w:pPr>
        <w:pStyle w:val="6"/>
        <w:rPr>
          <w:rFonts w:hint="eastAsia" w:ascii="宋体" w:hAnsi="宋体" w:eastAsia="宋体" w:cs="宋体"/>
          <w:color w:val="auto"/>
          <w:sz w:val="36"/>
          <w:szCs w:val="24"/>
        </w:rPr>
      </w:pPr>
    </w:p>
    <w:bookmarkEnd w:id="11"/>
    <w:p>
      <w:pPr>
        <w:rPr>
          <w:rStyle w:val="39"/>
          <w:rFonts w:hint="eastAsia" w:ascii="宋体" w:hAnsi="宋体" w:eastAsia="宋体" w:cs="宋体"/>
          <w:color w:val="auto"/>
        </w:rPr>
      </w:pPr>
      <w:bookmarkStart w:id="13" w:name="_Toc439690698"/>
      <w:r>
        <w:rPr>
          <w:rStyle w:val="39"/>
          <w:rFonts w:hint="eastAsia" w:ascii="宋体" w:hAnsi="宋体" w:eastAsia="宋体" w:cs="宋体"/>
          <w:color w:val="auto"/>
        </w:rPr>
        <w:br w:type="page"/>
      </w:r>
    </w:p>
    <w:p>
      <w:pPr>
        <w:jc w:val="center"/>
        <w:rPr>
          <w:rFonts w:hint="eastAsia" w:ascii="宋体" w:hAnsi="宋体" w:eastAsia="宋体" w:cs="宋体"/>
          <w:b/>
          <w:color w:val="auto"/>
          <w:sz w:val="36"/>
          <w:szCs w:val="36"/>
        </w:rPr>
      </w:pPr>
      <w:bookmarkStart w:id="14" w:name="_Toc2188"/>
      <w:r>
        <w:rPr>
          <w:rStyle w:val="39"/>
          <w:rFonts w:hint="eastAsia" w:ascii="宋体" w:hAnsi="宋体" w:eastAsia="宋体" w:cs="宋体"/>
          <w:color w:val="auto"/>
          <w:sz w:val="36"/>
          <w:szCs w:val="36"/>
        </w:rPr>
        <w:t>估价结果报告</w:t>
      </w:r>
      <w:bookmarkEnd w:id="13"/>
      <w:bookmarkEnd w:id="14"/>
    </w:p>
    <w:p>
      <w:pPr>
        <w:rPr>
          <w:rFonts w:hint="eastAsia" w:ascii="宋体" w:hAnsi="宋体" w:eastAsia="宋体" w:cs="宋体"/>
          <w:color w:val="auto"/>
        </w:rPr>
      </w:pPr>
    </w:p>
    <w:p>
      <w:pPr>
        <w:pStyle w:val="4"/>
        <w:numPr>
          <w:ilvl w:val="0"/>
          <w:numId w:val="1"/>
        </w:numPr>
        <w:spacing w:before="0" w:after="0" w:line="500" w:lineRule="exact"/>
        <w:ind w:left="981"/>
        <w:rPr>
          <w:rFonts w:hint="eastAsia" w:ascii="宋体" w:hAnsi="宋体" w:eastAsia="宋体" w:cs="宋体"/>
          <w:color w:val="auto"/>
          <w:sz w:val="28"/>
        </w:rPr>
      </w:pPr>
      <w:bookmarkStart w:id="15" w:name="_Toc439690699"/>
      <w:bookmarkStart w:id="16" w:name="_Toc2008"/>
      <w:r>
        <w:rPr>
          <w:rFonts w:hint="eastAsia" w:ascii="宋体" w:hAnsi="宋体" w:eastAsia="宋体" w:cs="宋体"/>
          <w:color w:val="auto"/>
          <w:sz w:val="28"/>
        </w:rPr>
        <w:t>估价委托人</w:t>
      </w:r>
      <w:bookmarkEnd w:id="15"/>
      <w:bookmarkEnd w:id="16"/>
    </w:p>
    <w:p>
      <w:pPr>
        <w:tabs>
          <w:tab w:val="left" w:pos="180"/>
        </w:tabs>
        <w:spacing w:line="500" w:lineRule="atLeast"/>
        <w:ind w:firstLine="1024" w:firstLineChars="366"/>
        <w:rPr>
          <w:rFonts w:hint="eastAsia" w:ascii="宋体" w:hAnsi="宋体" w:eastAsia="宋体" w:cs="宋体"/>
          <w:color w:val="auto"/>
          <w:sz w:val="28"/>
          <w:lang w:eastAsia="zh-CN"/>
        </w:rPr>
      </w:pPr>
      <w:r>
        <w:rPr>
          <w:rFonts w:hint="eastAsia" w:ascii="宋体" w:hAnsi="宋体" w:eastAsia="宋体" w:cs="宋体"/>
          <w:color w:val="auto"/>
          <w:sz w:val="28"/>
        </w:rPr>
        <w:t>估价委托人：</w:t>
      </w:r>
      <w:r>
        <w:rPr>
          <w:rFonts w:hint="eastAsia" w:ascii="宋体" w:hAnsi="宋体" w:eastAsia="宋体" w:cs="宋体"/>
          <w:color w:val="auto"/>
          <w:sz w:val="28"/>
          <w:lang w:eastAsia="zh-CN"/>
        </w:rPr>
        <w:t>成都市成华区人民法院</w:t>
      </w:r>
    </w:p>
    <w:p>
      <w:pPr>
        <w:pStyle w:val="4"/>
        <w:numPr>
          <w:ilvl w:val="0"/>
          <w:numId w:val="1"/>
        </w:numPr>
        <w:spacing w:before="0" w:after="0" w:line="500" w:lineRule="exact"/>
        <w:ind w:left="981"/>
        <w:rPr>
          <w:rFonts w:hint="eastAsia" w:ascii="宋体" w:hAnsi="宋体" w:eastAsia="宋体" w:cs="宋体"/>
          <w:color w:val="auto"/>
          <w:sz w:val="28"/>
        </w:rPr>
      </w:pPr>
      <w:bookmarkStart w:id="17" w:name="_Toc10111"/>
      <w:bookmarkStart w:id="18" w:name="_Toc439690700"/>
      <w:r>
        <w:rPr>
          <w:rFonts w:hint="eastAsia" w:ascii="宋体" w:hAnsi="宋体" w:eastAsia="宋体" w:cs="宋体"/>
          <w:color w:val="auto"/>
          <w:sz w:val="28"/>
        </w:rPr>
        <w:t>房地产估价机构</w:t>
      </w:r>
      <w:bookmarkEnd w:id="17"/>
      <w:bookmarkEnd w:id="18"/>
    </w:p>
    <w:p>
      <w:pPr>
        <w:tabs>
          <w:tab w:val="left" w:pos="180"/>
        </w:tabs>
        <w:spacing w:line="500" w:lineRule="atLeast"/>
        <w:ind w:firstLine="1024" w:firstLineChars="366"/>
        <w:rPr>
          <w:rFonts w:hint="eastAsia" w:ascii="宋体" w:hAnsi="宋体" w:eastAsia="宋体" w:cs="宋体"/>
          <w:color w:val="auto"/>
          <w:sz w:val="28"/>
        </w:rPr>
      </w:pPr>
      <w:r>
        <w:rPr>
          <w:rFonts w:hint="eastAsia" w:ascii="宋体" w:hAnsi="宋体" w:eastAsia="宋体" w:cs="宋体"/>
          <w:color w:val="auto"/>
          <w:sz w:val="28"/>
        </w:rPr>
        <w:t>机构名称：四川金誉房地产评估有限责任公司</w:t>
      </w:r>
    </w:p>
    <w:p>
      <w:pPr>
        <w:tabs>
          <w:tab w:val="left" w:pos="180"/>
        </w:tabs>
        <w:spacing w:line="500" w:lineRule="atLeast"/>
        <w:ind w:firstLine="1024" w:firstLineChars="366"/>
        <w:rPr>
          <w:rFonts w:hint="eastAsia" w:ascii="宋体" w:hAnsi="宋体" w:eastAsia="宋体" w:cs="宋体"/>
          <w:color w:val="auto"/>
          <w:sz w:val="28"/>
        </w:rPr>
      </w:pPr>
      <w:r>
        <w:rPr>
          <w:rFonts w:hint="eastAsia" w:ascii="宋体" w:hAnsi="宋体" w:eastAsia="宋体" w:cs="宋体"/>
          <w:color w:val="auto"/>
          <w:sz w:val="28"/>
        </w:rPr>
        <w:t>住所：成都市锦江区通宝街99号6幢1单元9层5-10号</w:t>
      </w:r>
    </w:p>
    <w:p>
      <w:pPr>
        <w:tabs>
          <w:tab w:val="left" w:pos="180"/>
        </w:tabs>
        <w:spacing w:line="500" w:lineRule="atLeast"/>
        <w:ind w:firstLine="1024" w:firstLineChars="366"/>
        <w:rPr>
          <w:rFonts w:hint="eastAsia" w:ascii="宋体" w:hAnsi="宋体" w:eastAsia="宋体" w:cs="宋体"/>
          <w:color w:val="auto"/>
          <w:sz w:val="28"/>
        </w:rPr>
      </w:pPr>
      <w:r>
        <w:rPr>
          <w:rFonts w:hint="eastAsia" w:ascii="宋体" w:hAnsi="宋体" w:eastAsia="宋体" w:cs="宋体"/>
          <w:color w:val="auto"/>
          <w:sz w:val="28"/>
        </w:rPr>
        <w:t>法定代表人：段燕</w:t>
      </w:r>
    </w:p>
    <w:p>
      <w:pPr>
        <w:tabs>
          <w:tab w:val="left" w:pos="180"/>
        </w:tabs>
        <w:spacing w:line="500" w:lineRule="atLeast"/>
        <w:ind w:firstLine="1024" w:firstLineChars="366"/>
        <w:rPr>
          <w:rFonts w:hint="eastAsia" w:ascii="宋体" w:hAnsi="宋体" w:eastAsia="宋体" w:cs="宋体"/>
          <w:color w:val="auto"/>
          <w:sz w:val="28"/>
        </w:rPr>
      </w:pPr>
      <w:r>
        <w:rPr>
          <w:rFonts w:hint="eastAsia" w:ascii="宋体" w:hAnsi="宋体" w:eastAsia="宋体" w:cs="宋体"/>
          <w:color w:val="auto"/>
          <w:sz w:val="28"/>
        </w:rPr>
        <w:t>公司类型：有限责任公司（自然人投资或控股）</w:t>
      </w:r>
    </w:p>
    <w:p>
      <w:pPr>
        <w:tabs>
          <w:tab w:val="left" w:pos="180"/>
        </w:tabs>
        <w:spacing w:line="500" w:lineRule="atLeast"/>
        <w:ind w:firstLine="1024" w:firstLineChars="366"/>
        <w:rPr>
          <w:rFonts w:hint="eastAsia" w:ascii="宋体" w:hAnsi="宋体" w:eastAsia="宋体" w:cs="宋体"/>
          <w:color w:val="auto"/>
          <w:sz w:val="28"/>
        </w:rPr>
      </w:pPr>
      <w:r>
        <w:rPr>
          <w:rFonts w:hint="eastAsia" w:ascii="宋体" w:hAnsi="宋体" w:eastAsia="宋体" w:cs="宋体"/>
          <w:color w:val="auto"/>
          <w:sz w:val="28"/>
        </w:rPr>
        <w:t>统一社会信用代码：91510104762304334M</w:t>
      </w:r>
    </w:p>
    <w:p>
      <w:pPr>
        <w:tabs>
          <w:tab w:val="left" w:pos="180"/>
        </w:tabs>
        <w:spacing w:line="500" w:lineRule="atLeast"/>
        <w:ind w:firstLine="1024" w:firstLineChars="366"/>
        <w:rPr>
          <w:rFonts w:hint="eastAsia" w:ascii="宋体" w:hAnsi="宋体" w:eastAsia="宋体" w:cs="宋体"/>
          <w:color w:val="auto"/>
          <w:sz w:val="28"/>
        </w:rPr>
      </w:pPr>
      <w:r>
        <w:rPr>
          <w:rFonts w:hint="eastAsia" w:ascii="宋体" w:hAnsi="宋体" w:eastAsia="宋体" w:cs="宋体"/>
          <w:color w:val="auto"/>
          <w:sz w:val="28"/>
        </w:rPr>
        <w:t>资质等级：壹级</w:t>
      </w:r>
    </w:p>
    <w:p>
      <w:pPr>
        <w:tabs>
          <w:tab w:val="left" w:pos="180"/>
        </w:tabs>
        <w:spacing w:line="500" w:lineRule="atLeast"/>
        <w:ind w:firstLine="1024" w:firstLineChars="366"/>
        <w:rPr>
          <w:rFonts w:hint="eastAsia" w:ascii="宋体" w:hAnsi="宋体" w:eastAsia="宋体" w:cs="宋体"/>
          <w:color w:val="auto"/>
          <w:sz w:val="28"/>
        </w:rPr>
      </w:pPr>
      <w:r>
        <w:rPr>
          <w:rFonts w:hint="eastAsia" w:ascii="宋体" w:hAnsi="宋体" w:eastAsia="宋体" w:cs="宋体"/>
          <w:color w:val="auto"/>
          <w:sz w:val="28"/>
        </w:rPr>
        <w:t>证  书  编  号：川建房估备字【2018】0120号</w:t>
      </w:r>
    </w:p>
    <w:p>
      <w:pPr>
        <w:tabs>
          <w:tab w:val="left" w:pos="180"/>
        </w:tabs>
        <w:spacing w:line="500" w:lineRule="atLeast"/>
        <w:ind w:firstLine="1024" w:firstLineChars="366"/>
        <w:rPr>
          <w:rFonts w:hint="eastAsia" w:ascii="宋体" w:hAnsi="宋体" w:eastAsia="宋体" w:cs="宋体"/>
          <w:color w:val="auto"/>
          <w:sz w:val="28"/>
        </w:rPr>
      </w:pPr>
      <w:r>
        <w:rPr>
          <w:rFonts w:hint="eastAsia" w:ascii="宋体" w:hAnsi="宋体" w:eastAsia="宋体" w:cs="宋体"/>
          <w:color w:val="auto"/>
          <w:sz w:val="28"/>
        </w:rPr>
        <w:t>有效期限：2021年04月08日至2024年04月08日</w:t>
      </w:r>
    </w:p>
    <w:p>
      <w:pPr>
        <w:pStyle w:val="4"/>
        <w:numPr>
          <w:ilvl w:val="0"/>
          <w:numId w:val="1"/>
        </w:numPr>
        <w:spacing w:before="0" w:after="0" w:line="500" w:lineRule="exact"/>
        <w:ind w:left="981"/>
        <w:rPr>
          <w:rFonts w:hint="eastAsia" w:ascii="宋体" w:hAnsi="宋体" w:eastAsia="宋体" w:cs="宋体"/>
          <w:color w:val="auto"/>
          <w:sz w:val="28"/>
        </w:rPr>
      </w:pPr>
      <w:bookmarkStart w:id="19" w:name="_Toc2134"/>
      <w:r>
        <w:rPr>
          <w:rFonts w:hint="eastAsia" w:ascii="宋体" w:hAnsi="宋体" w:eastAsia="宋体" w:cs="宋体"/>
          <w:color w:val="auto"/>
          <w:sz w:val="28"/>
        </w:rPr>
        <w:t>估价目的</w:t>
      </w:r>
      <w:bookmarkEnd w:id="19"/>
    </w:p>
    <w:p>
      <w:pPr>
        <w:tabs>
          <w:tab w:val="left" w:pos="180"/>
        </w:tabs>
        <w:spacing w:line="500" w:lineRule="atLeast"/>
        <w:ind w:firstLine="1010" w:firstLineChars="366"/>
        <w:rPr>
          <w:rFonts w:hint="eastAsia" w:ascii="宋体" w:hAnsi="宋体" w:eastAsia="宋体" w:cs="宋体"/>
          <w:color w:val="auto"/>
          <w:sz w:val="28"/>
        </w:rPr>
      </w:pPr>
      <w:r>
        <w:rPr>
          <w:rFonts w:hint="eastAsia" w:ascii="宋体" w:hAnsi="宋体" w:eastAsia="宋体" w:cs="宋体"/>
          <w:color w:val="auto"/>
          <w:spacing w:val="-2"/>
          <w:sz w:val="28"/>
          <w:lang w:eastAsia="zh-CN"/>
        </w:rPr>
        <w:t>为人民法院确定财产处置参考价提供参考依据</w:t>
      </w:r>
      <w:r>
        <w:rPr>
          <w:rFonts w:hint="eastAsia" w:ascii="宋体" w:hAnsi="宋体" w:eastAsia="宋体" w:cs="宋体"/>
          <w:color w:val="auto"/>
          <w:sz w:val="28"/>
        </w:rPr>
        <w:t>。</w:t>
      </w:r>
    </w:p>
    <w:p>
      <w:pPr>
        <w:pStyle w:val="4"/>
        <w:numPr>
          <w:ilvl w:val="0"/>
          <w:numId w:val="1"/>
        </w:numPr>
        <w:spacing w:before="0" w:after="0" w:line="500" w:lineRule="exact"/>
        <w:ind w:left="981"/>
        <w:rPr>
          <w:rFonts w:hint="eastAsia" w:ascii="宋体" w:hAnsi="宋体" w:eastAsia="宋体" w:cs="宋体"/>
          <w:color w:val="auto"/>
          <w:sz w:val="28"/>
        </w:rPr>
      </w:pPr>
      <w:bookmarkStart w:id="20" w:name="_Toc7449"/>
      <w:bookmarkStart w:id="21" w:name="_Toc439690701"/>
      <w:r>
        <w:rPr>
          <w:rFonts w:hint="eastAsia" w:ascii="宋体" w:hAnsi="宋体" w:eastAsia="宋体" w:cs="宋体"/>
          <w:color w:val="auto"/>
          <w:sz w:val="28"/>
        </w:rPr>
        <w:t>估价对象</w:t>
      </w:r>
      <w:bookmarkEnd w:id="20"/>
      <w:bookmarkEnd w:id="21"/>
    </w:p>
    <w:p>
      <w:pPr>
        <w:pStyle w:val="79"/>
        <w:tabs>
          <w:tab w:val="left" w:pos="180"/>
        </w:tabs>
        <w:spacing w:line="500" w:lineRule="exact"/>
        <w:ind w:left="600" w:firstLine="0" w:firstLineChars="0"/>
        <w:jc w:val="left"/>
        <w:rPr>
          <w:rFonts w:hint="eastAsia" w:ascii="宋体" w:hAnsi="宋体" w:eastAsia="宋体" w:cs="宋体"/>
          <w:color w:val="auto"/>
          <w:sz w:val="28"/>
        </w:rPr>
      </w:pPr>
      <w:r>
        <w:rPr>
          <w:rFonts w:hint="eastAsia" w:ascii="宋体" w:hAnsi="宋体" w:eastAsia="宋体" w:cs="宋体"/>
          <w:color w:val="auto"/>
          <w:sz w:val="28"/>
        </w:rPr>
        <w:t>（一）估价对象范围及其概况</w:t>
      </w:r>
    </w:p>
    <w:p>
      <w:pPr>
        <w:tabs>
          <w:tab w:val="left" w:pos="180"/>
        </w:tabs>
        <w:spacing w:line="500" w:lineRule="exact"/>
        <w:ind w:firstLine="552" w:firstLineChars="200"/>
        <w:jc w:val="left"/>
        <w:rPr>
          <w:rFonts w:hint="eastAsia" w:ascii="宋体" w:hAnsi="宋体" w:eastAsia="宋体" w:cs="宋体"/>
          <w:color w:val="auto"/>
          <w:sz w:val="28"/>
        </w:rPr>
      </w:pPr>
      <w:r>
        <w:rPr>
          <w:rFonts w:hint="eastAsia" w:ascii="宋体" w:hAnsi="宋体" w:eastAsia="宋体" w:cs="宋体"/>
          <w:color w:val="auto"/>
          <w:spacing w:val="-2"/>
          <w:sz w:val="28"/>
        </w:rPr>
        <w:t>本次估价对象为位于</w:t>
      </w:r>
      <w:r>
        <w:rPr>
          <w:rFonts w:hint="eastAsia" w:ascii="宋体" w:hAnsi="宋体" w:eastAsia="宋体" w:cs="宋体"/>
          <w:color w:val="auto"/>
          <w:spacing w:val="-2"/>
          <w:sz w:val="28"/>
          <w:lang w:eastAsia="zh-CN"/>
        </w:rPr>
        <w:t>成华区二环路东二段22号1栋-1、-2楼</w:t>
      </w:r>
      <w:r>
        <w:rPr>
          <w:rFonts w:hint="eastAsia" w:ascii="宋体" w:hAnsi="宋体" w:eastAsia="宋体" w:cs="宋体"/>
          <w:color w:val="auto"/>
          <w:sz w:val="28"/>
          <w:lang w:eastAsia="zh-CN"/>
        </w:rPr>
        <w:t>共计</w:t>
      </w:r>
      <w:r>
        <w:rPr>
          <w:rFonts w:hint="eastAsia" w:ascii="宋体" w:hAnsi="宋体" w:eastAsia="宋体" w:cs="宋体"/>
          <w:color w:val="auto"/>
          <w:sz w:val="28"/>
          <w:lang w:val="en-US" w:eastAsia="zh-CN"/>
        </w:rPr>
        <w:t>203个</w:t>
      </w:r>
      <w:r>
        <w:rPr>
          <w:rFonts w:hint="eastAsia" w:ascii="宋体" w:hAnsi="宋体" w:eastAsia="宋体" w:cs="宋体"/>
          <w:color w:val="auto"/>
          <w:spacing w:val="-2"/>
          <w:sz w:val="28"/>
        </w:rPr>
        <w:t>车位</w:t>
      </w:r>
      <w:r>
        <w:rPr>
          <w:rFonts w:hint="eastAsia" w:ascii="宋体" w:hAnsi="宋体" w:eastAsia="宋体" w:cs="宋体"/>
          <w:color w:val="auto"/>
          <w:spacing w:val="-2"/>
          <w:sz w:val="28"/>
          <w:lang w:eastAsia="zh-CN"/>
        </w:rPr>
        <w:t>用</w:t>
      </w:r>
      <w:r>
        <w:rPr>
          <w:rFonts w:hint="eastAsia" w:ascii="宋体" w:hAnsi="宋体" w:eastAsia="宋体" w:cs="宋体"/>
          <w:color w:val="auto"/>
          <w:spacing w:val="-2"/>
          <w:sz w:val="28"/>
        </w:rPr>
        <w:t>房地产（建筑面积</w:t>
      </w:r>
      <w:r>
        <w:rPr>
          <w:rFonts w:hint="eastAsia" w:ascii="宋体" w:hAnsi="宋体" w:eastAsia="宋体" w:cs="宋体"/>
          <w:color w:val="auto"/>
          <w:spacing w:val="-2"/>
          <w:sz w:val="28"/>
          <w:lang w:eastAsia="zh-CN"/>
        </w:rPr>
        <w:t>合计</w:t>
      </w:r>
      <w:r>
        <w:rPr>
          <w:rFonts w:hint="eastAsia" w:ascii="宋体" w:hAnsi="宋体" w:eastAsia="宋体" w:cs="宋体"/>
          <w:color w:val="auto"/>
          <w:spacing w:val="-2"/>
          <w:sz w:val="28"/>
        </w:rPr>
        <w:t>为</w:t>
      </w:r>
      <w:r>
        <w:rPr>
          <w:rFonts w:hint="eastAsia" w:ascii="宋体" w:hAnsi="宋体" w:eastAsia="宋体" w:cs="宋体"/>
          <w:color w:val="auto"/>
          <w:spacing w:val="-2"/>
          <w:sz w:val="28"/>
          <w:lang w:eastAsia="zh-CN"/>
        </w:rPr>
        <w:t>7402.54</w:t>
      </w:r>
      <w:r>
        <w:rPr>
          <w:rFonts w:hint="eastAsia" w:ascii="宋体" w:hAnsi="宋体" w:eastAsia="宋体" w:cs="宋体"/>
          <w:color w:val="auto"/>
          <w:spacing w:val="-2"/>
          <w:sz w:val="28"/>
        </w:rPr>
        <w:t>平方米及分摊土地使用权、室内装饰装修及不可分割的满足其使用功能的水、电、视、讯、消防等配套设施）</w:t>
      </w:r>
      <w:r>
        <w:rPr>
          <w:rFonts w:hint="eastAsia" w:ascii="宋体" w:hAnsi="宋体" w:eastAsia="宋体" w:cs="宋体"/>
          <w:color w:val="auto"/>
          <w:sz w:val="28"/>
        </w:rPr>
        <w:t>。</w:t>
      </w:r>
      <w:bookmarkStart w:id="22" w:name="_Toc371455206"/>
      <w:bookmarkStart w:id="23" w:name="_Toc371457155"/>
    </w:p>
    <w:p>
      <w:pPr>
        <w:tabs>
          <w:tab w:val="left" w:pos="180"/>
        </w:tabs>
        <w:spacing w:line="500" w:lineRule="exact"/>
        <w:ind w:firstLine="560" w:firstLineChars="200"/>
        <w:jc w:val="left"/>
        <w:rPr>
          <w:rFonts w:hint="eastAsia" w:ascii="宋体" w:hAnsi="宋体" w:eastAsia="宋体" w:cs="宋体"/>
          <w:color w:val="auto"/>
          <w:sz w:val="28"/>
        </w:rPr>
      </w:pPr>
      <w:r>
        <w:rPr>
          <w:rFonts w:hint="eastAsia" w:ascii="宋体" w:hAnsi="宋体" w:eastAsia="宋体" w:cs="宋体"/>
          <w:color w:val="auto"/>
          <w:sz w:val="28"/>
        </w:rPr>
        <w:t>据委托方提供的</w:t>
      </w:r>
      <w:r>
        <w:rPr>
          <w:rFonts w:hint="eastAsia" w:ascii="宋体" w:hAnsi="宋体" w:eastAsia="宋体" w:cs="宋体"/>
          <w:color w:val="auto"/>
          <w:sz w:val="28"/>
          <w:lang w:eastAsia="zh-CN"/>
        </w:rPr>
        <w:t>《成都市不动产登记信息查询结果》</w:t>
      </w:r>
      <w:r>
        <w:rPr>
          <w:rFonts w:hint="eastAsia" w:ascii="宋体" w:hAnsi="宋体" w:eastAsia="宋体" w:cs="宋体"/>
          <w:color w:val="auto"/>
          <w:sz w:val="28"/>
        </w:rPr>
        <w:t>，估价对象相关登记情况如下表：</w:t>
      </w:r>
      <w:bookmarkEnd w:id="22"/>
      <w:bookmarkEnd w:id="23"/>
    </w:p>
    <w:p>
      <w:pPr>
        <w:tabs>
          <w:tab w:val="left" w:pos="180"/>
        </w:tabs>
        <w:spacing w:line="500" w:lineRule="atLeast"/>
        <w:ind w:firstLine="560" w:firstLineChars="200"/>
        <w:jc w:val="center"/>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《成都市不动产登记信息查询结果》</w:t>
      </w:r>
    </w:p>
    <w:tbl>
      <w:tblPr>
        <w:tblStyle w:val="31"/>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5"/>
        <w:gridCol w:w="1936"/>
        <w:gridCol w:w="2076"/>
        <w:gridCol w:w="2488"/>
        <w:gridCol w:w="1641"/>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权利人</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不动产单元号</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不动产坐落</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建筑面积</w:t>
            </w:r>
            <w:r>
              <w:rPr>
                <w:rFonts w:hint="eastAsia" w:ascii="宋体" w:hAnsi="宋体" w:eastAsia="宋体" w:cs="宋体"/>
                <w:i w:val="0"/>
                <w:iCs w:val="0"/>
                <w:color w:val="auto"/>
                <w:kern w:val="0"/>
                <w:sz w:val="20"/>
                <w:szCs w:val="20"/>
                <w:u w:val="none"/>
                <w:lang w:val="en-US" w:eastAsia="zh-CN" w:bidi="ar"/>
              </w:rPr>
              <w:t>（</w:t>
            </w:r>
            <w:r>
              <w:rPr>
                <w:rStyle w:val="108"/>
                <w:rFonts w:hint="eastAsia" w:ascii="宋体" w:hAnsi="宋体" w:eastAsia="宋体" w:cs="宋体"/>
                <w:color w:val="auto"/>
                <w:lang w:val="en-US" w:eastAsia="zh-CN" w:bidi="ar"/>
              </w:rPr>
              <w:t>㎡</w:t>
            </w:r>
            <w:r>
              <w:rPr>
                <w:rFonts w:hint="eastAsia" w:ascii="宋体" w:hAnsi="宋体" w:eastAsia="宋体" w:cs="宋体"/>
                <w:i w:val="0"/>
                <w:iCs w:val="0"/>
                <w:color w:val="auto"/>
                <w:kern w:val="0"/>
                <w:sz w:val="20"/>
                <w:szCs w:val="20"/>
                <w:u w:val="none"/>
                <w:lang w:val="en-US" w:eastAsia="zh-CN" w:bidi="ar"/>
              </w:rPr>
              <w:t>）</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510108011001GB00008F00020001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成华区二环路东二段22号1栋-1楼76号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510108011001GB00008F00020003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成华区二环路东二段22号1栋-1楼74号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510108011001GB00008F00020008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成华区二环路东二段22号1栋-1楼130号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510108011001GB00008F00020034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成华区二环路东二段22号1栋-1楼106号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510108011001GB00008F00020039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成华区二环路东二段22号1栋-1楼117号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510108011001GB00008F00020064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成华区二环路东二段22号1栋-2楼46号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510108011001GB00008F00020074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成华区二环路东二段22号1栋-1楼28号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510108011001GB00008F00020075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成华区二环路东二段22号1栋-1楼27号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510108011001GB00008F00020076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成华区二环路东二段22号1栋-1楼31号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510108011001GB00008F00020077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成华区二环路东二段22号1栋-1楼24号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510108011001GB00008F00020078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成华区二环路东二段22号1栋-1楼23号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510108011001GB00008F00020079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成华区二环路东二段22号1栋-1楼22号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510108011001GB00008F00020080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成华区二环路东二段22号1栋-1楼132号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510108011001GB00008F00020081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成华区二环路东二段22号1栋-1楼131号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510108011001GB00008F00020217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成华区二环路东二段22号1栋-1楼20号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510108011001GB00008F00020218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成华区二环路东二段22号1栋-1楼53号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510108011001GB00008F00020221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成华区二环路东二段22号1栋-1楼56号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510108011001GB00008F00020227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成华区二环路东二段22号1栋-1楼62号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510108011001GB00008F00020232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成华区二环路东二段22号1栋-1楼26号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510108011001GB00008F00020234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成华区二环路东二段22号1栋-2楼144号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510108011001GB00008F00020236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成华区二环路东二段22号1栋-2楼29号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510108011001GB00008F00020237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成华区二环路东二段22号1栋-2楼28号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510108011001GB00008F00020238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成华区二环路东二段22号1栋-2楼26号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510108011001GB00008F00020239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成华区二环路东二段22号1栋-2楼25号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510108011001GB00008F00020240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成华区二环路东二段22号1栋-2楼48号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510108011001GB00008F00020242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成华区二环路东二段22号1栋-2楼51号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510108011001GB00008F00020243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成华区二环路东二段22号1栋-2楼50号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510108011001GB00008F00020252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成华区二环路东二段22号1栋-1楼128号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510108011001GB00008F00020255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成华区二环路东二段22号1栋-1楼129号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510108011001GB00008F00020258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成华区二环路东二段22号1栋-1楼92号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510108011001GB00008F00020261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成华区二环路东二段22号1栋-1楼88号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510108011001GB00008F00020262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成华区二环路东二段22号1栋-1楼81号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510108011001GB00008F00020263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成华区二环路东二段22号1栋-1楼86号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510108011001GB00008F00020274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成华区二环路东二段22号1栋-1楼134号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510108011001GB00008F00020276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成华区二环路东二段22号1栋-2楼163号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510108011001GB00008F00020277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成华区二环路东二段22号1栋-2楼64号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510108011001GB00008F00020278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成华区二环路东二段22号1栋-2楼132号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510108011001GB00008F00020279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成华区二环路东二段22号1栋-2楼131号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510108011001GB00008F00020280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成华区二环路东二段22号1栋-2楼130号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510108011001GB00008F00020281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成华区二环路东二段22号1栋-2楼126号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510108011001GB00008F00020284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510108011001GB00008F00020286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510108011001GB00008F00020287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510108011001GB00008F00020295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510108011001GB00008F00020296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510108011001GB00008F00020297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成华区二环路东二段22号1栋-1楼98号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510108011001GB00008F00020346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成华区二环路东二段22号1栋-2楼42号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510108011001GB00008F00020347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成华区二环路东二段22号1栋-2楼53号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510108011001GB00008F00020348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510108011001GB00008F00020349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510108011001GB00008F00020350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510108011001GB00008F00020351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510108011001GB00008F00020352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成华区二环路东二段22号1栋-2楼30号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510108011001GB00008F00020353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成华区二环路东二段22号1栋-2楼35号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510108011001GB00008F00020354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成华区二环路东二段22号1栋-2楼34号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510108011001GB00008F00020356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成华区二环路东二段22号1栋-2楼40号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510108011001GB00008F00020358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成华区二环路东二段22号1栋-2楼95号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510108011001GB00008F00020359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成华区二环路东二段22号1栋-2楼94号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510108011001GB00008F00020360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成华区二环路东二段22号1栋-2楼54号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510108011001GB00008F00020361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成华区二环路东二段22号1栋-2楼60号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510108011001GB00008F00020362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成华区二环路东二段22号1栋-2楼80号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510108011001GB00008F00020364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成华区二环路东二段22号1栋-2楼63号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510108011001GB00008F00020365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成华区二环路东二段22号1栋-2楼62号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510108011001GB00008F00020366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510108011001GB00008F00020368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成华区二环路东二段22号1栋-1楼55号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510108011001GB00008F00020370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成华区二环路东二段22号1栋-2楼55号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510108011001GB00008F00020371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成华区二环路东二段22号1栋-2楼93号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510108011001GB00008F00020372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成华区二环路东二段22号1栋-2楼86号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510108011001GB00008F00020373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成华区二环路东二段22号1栋-2楼47号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510108011001GB00008F00020375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成华区二环路东二段22号1栋-2楼129号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510108011001GB00008F00020376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成华区二环路东二段22号1栋-2楼145号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510108011001GB00008F00020378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成华区二环路东二段22号1栋-1楼78号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510108011001GB00008F00020382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成华区二环路东二段22号1栋-1楼41号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510108011001GB00008F00020383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成华区二环路东二段22号1栋-1楼68号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510108011001GB00008F00020385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成华区二环路东二段22号1栋-2楼65号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510108011001GB00008F00020386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510108011001GB00008F00020387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成华区二环路东二段22号1栋-2楼159号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510108011001GB00008F00020388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成华区二环路东二段22号1栋-2楼155号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510108011001GB00008F00020389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成华区二环路东二段22号1栋-2楼115号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510108011001GB00008F00020390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成华区二环路东二段22号1栋-2楼150号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510108011001GB00008F00020391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成华区二环路东二段22号1栋-2楼137号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510108011001GB00008F00020397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成华区二环路东二段22号1栋-1楼85号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510108011001GB00008F00020398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成华区二环路东二段22号1栋-1楼84号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510108011001GB00008F00020399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成华区二环路东二段22号1栋-1楼82号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510108011001GB00008F00020400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成华区二环路东二段22号1栋-2楼61号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510108011001GB00008F00020401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510108011001GB00008F00020402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成华区二环路东二段22号1栋-2楼149号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510108011001GB00008F00020403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成华区二环路东二段22号1栋-2楼152号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510108011001GB00008F00020404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成华区二环路东二段22号1栋-2楼151号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510108011001GB00008F00020405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成华区二环路东二段22号1栋-2楼143号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510108011001GB00008F00020435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成华区二环路东二段22号1栋-2楼147号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510108011001GB00008F00020436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成华区二环路东二段22号1栋-2楼146号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510108011001GB00008F00020444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成华区二环路东二段22号1栋-1楼77号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510108011001GB00008F00020447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成华区二环路东二段22号1栋-1楼83号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510108011001GB00008F00020448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510108011001GB00008F00020449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成华区二环路东二段22号1栋-2楼141号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510108011001GB00008F00020451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成华区二环路东二段22号1栋-2楼133号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510108011001GB00008F00020452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成华区二环路东二段22号1栋-2楼153号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510108011001GB00008F00020453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成华区二环路东二段22号1栋-2楼148号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510108011001GB00008F00020454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成华区二环路东二段22号1栋-2楼154号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510108011001GB00008F00020455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成华区二环路东二段22号1栋-2楼117号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510108011001GB00008F00020456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成华区二环路东二段22号1栋-2楼106号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510108011001GB00008F00020457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成华区二环路东二段22号1栋-2楼127号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510108011001GB00008F00020458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成华区二环路东二段22号1栋-2楼123号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510108011001GB00008F00020460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510108011001GB00008F00020461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510108011001GB00008F00020462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成华区二环路东二段22号1栋-2楼160号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510108011001GB00008F00020465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成华区二环路东二段22号1栋-2楼33号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510108011001GB00008F00020466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成华区二环路东二段22号1栋-2楼27号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510108011001GB00008F00020467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510108011001GB00008F00020468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510108011001GB00008F00020469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成华区二环路东二段22号1栋-2楼23号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510108011001GB00008F00020470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510108011001GB00008F00020471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成华区二环路东二段22号1栋-2楼90号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510108011001GB00008F00020472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成华区二环路东二段22号1栋-2楼84号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510108011001GB00008F00020473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成华区二环路东二段22号1栋-2楼102号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510108011001GB00008F00020474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成华区二环路东二段22号1栋-2楼96号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510108011001GB00008F00020475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成华区二环路东二段22号1栋-2楼59号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510108011001GB00008F00020476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成华区二环路东二段22号1栋-2楼58号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510108011001GB00008F00020477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成华区二环路东二段22号1栋-2楼57号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510108011001GB00008F00020478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成华区二环路东二段22号1栋-2楼56号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510108011001GB00008F00020488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成华区二环路东二段22号1栋-1楼121号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510108011001GB00008F00020491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成华区二环路东二段22号1栋-1楼137号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510108011001GB00008F00020492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成华区二环路东二段22号1栋-1楼133号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510108011001GB00008F00020495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成华区二环路东二段22号1栋-1楼54号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510108011001GB00008F00020500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成华区二环路东二段22号1栋-1楼25号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510108011001GB00008F00020526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成华区二环路东二段22号1栋-2楼79号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510108011001GB00008F00020535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成华区二环路东二段22号1栋-2楼161号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510108011001GB00008F00020544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510108011001GB00008F00020545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成华区二环路东二段22号1栋-2楼71号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510108011001GB00008F00020546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成华区二环路东二段22号1栋-2楼70号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510108011001GB00008F00020547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成华区二环路东二段22号1栋-2楼69号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510108011001GB00008F00020548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成华区二环路东二段22号1栋-2楼67号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510108011001GB00008F00020549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510108011001GB00008F00020550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510108011001GB00008F00020551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510108011001GB00008F00020572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成华区二环路东二段22号1栋-1楼143号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510108011001GB00008F00020573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成华区二环路东二段22号1栋-1楼142号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510108011001GB00008F00020595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成华区二环路东二段22号1栋-1楼140号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510108011001GB00008F00020596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成华区二环路东二段22号1栋-1楼139号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510108011001GB00008F00020597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成华区二环路东二段22号1栋-1楼94号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510108011001GB00008F00020607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成华区二环路东二段22号1栋-2楼43号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510108011001GB00008F00020614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成华区二环路东二段22号1栋-2楼104号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510108011001GB00008F00020623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成华区二环路东二段22号1栋-2楼77号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510108011001GB00008F00020625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成华区二环路东二段22号1栋-1楼63号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510108011001GB00008F00020626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成华区二环路东二段22号1栋-1楼67号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510108011001GB00008F00020628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成华区二环路东二段22号1栋-2楼74号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510108011001GB00008F00020636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510108011001GB00008F00020637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成华区二环路东二段22号1栋-2楼31号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510108011001GB00008F00020638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成华区二环路东二段22号1栋-2楼39号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510108011001GB00008F00020644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成华区二环路东二段22号1栋-2楼101号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510108011001GB00008F00020645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成华区二环路东二段22号1栋-2楼100号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510108011001GB00008F00020646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成华区二环路东二段22号1栋-2楼99号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510108011001GB00008F00020647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成华区二环路东二段22号1栋-2楼92号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510108011001GB00008F00020648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成华区二环路东二段22号1栋-2楼24号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510108011001GB00008F00020649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510108011001GB00008F00020650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成华区二环路东二段22号1栋-2楼22号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510108011001GB00008F00020651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成华区二环路东二段22号1栋-2楼21号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510108011001GB00008F00020652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成华区二环路东二段22号1栋-2楼20号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510108011001GB00008F00020653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成华区二环路东二段22号1栋-2楼13号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510108011001GB00008F00020654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510108011001GB00008F00020655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510108011001GB00008F00020656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510108011001GB00008F00020658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成华区二环路东二段22号1栋-2楼89号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510108011001GB00008F00020659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成华区二环路东二段22号1栋-2楼88号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510108011001GB00008F00020660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成华区二环路东二段22号1栋-2楼87号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510108011001GB00008F00020661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成华区二环路东二段22号1栋-2楼91号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510108011001GB00008F00020662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成华区二环路东二段22号1栋-2楼85号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510108011001GB00008F00020664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成华区二环路东二段22号1栋-2楼82号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510108011001GB00008F00020665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成华区二环路东二段22号1栋-2楼81号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510108011001GB00008F00020669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成华区二环路东二段22号1栋-2楼49号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510108011001GB00008F00020670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成华区二环路东二段22号1栋-2楼41号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510108011001GB00008F00020671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成华区二环路东二段22号1栋-2楼45号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510108011001GB00008F00020672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成华区二环路东二段22号1栋-2楼162号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510108011001GB00008F00020673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成华区二环路东二段22号1栋-2楼158号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510108011001GB00008F00020674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成华区二环路东二段22号1栋-2楼157号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510108011001GB00008F00020675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成华区二环路东二段22号1栋-2楼156号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510108011001GB00008F00020681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成华区二环路东二段22号1栋-2楼110号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510108011001GB00008F00020682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成华区二环路东二段22号1栋-2楼128号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510108011001GB00008F00020685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成华区二环路东二段22号1栋-2楼111号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510108011001GB00008F00020686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成华区二环路东二段22号1栋-2楼109号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510108011001GB00008F00020688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成华区二环路东二段22号1栋-2楼107号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510108011001GB00008F00020689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成华区二环路东二段22号1栋-2楼105号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510108011001GB00008F00020691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成华区二环路东二段22号1栋-1楼38号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510108011001GB00008F00020693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成华区二环路东二段22号1栋-1楼21号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510108011001GB00008F00020694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成华区二环路东二段22号1栋-1楼40号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510108011001GB00008F00020695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成华区二环路东二段22号1栋-1楼39号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510108011001GB00008F00020696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成华区二环路东二段22号1栋-1楼37号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510108011001GB00008F00020697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成华区二环路东二段22号1栋-2楼134号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510108011001GB00008F00020698</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成华区二环路东二段22号1栋-2楼142号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510108011001GB00008F00020699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成华区二环路东二段22号1栋-2楼135号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510108011001GB00008F00020700</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成华区二环路东二段22号1栋-2楼122号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510108011001GB00008F00020701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成华区二环路东二段22号1栋-2楼121号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510108011001GB00008F00020702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成华区二环路东二段22号1栋-2楼120号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510108011001GB00008F00020703</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成华区二环路东二段22号1栋-2楼119号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510108011001GB00008F00020704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197</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510108011001GB00008F00020705</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成华区二环路东二段22号1栋-1楼36号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510108011001GB00008F00020706</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成华区二环路东二段22号1栋-1楼35号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510108011001GB00008F00020707</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成华区二环路东二段22号1栋-1楼34号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39.20</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510108011001GB00008F00020709</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成华区二环路东二段22号1栋-1楼99号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510108011001GB00008F00020711</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成华区二环路东二段22号1栋-1楼102号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40.91</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510108011001GB00008F00020712</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成华区二环路东二段22号1栋-1楼100号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6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w:t>
            </w:r>
          </w:p>
        </w:tc>
        <w:tc>
          <w:tcPr>
            <w:tcW w:w="97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四川昊美房地产开发有限责任公司</w:t>
            </w:r>
          </w:p>
        </w:tc>
        <w:tc>
          <w:tcPr>
            <w:tcW w:w="1042"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510108011001GB00008F00020714</w:t>
            </w:r>
          </w:p>
        </w:tc>
        <w:tc>
          <w:tcPr>
            <w:tcW w:w="1249"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成华区二环路东二段22号1栋-2楼66号</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27.27</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629" w:type="pct"/>
            <w:gridSpan w:val="4"/>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824"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7402.54</w:t>
            </w:r>
          </w:p>
        </w:tc>
        <w:tc>
          <w:tcPr>
            <w:tcW w:w="546" w:type="pc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r>
    </w:tbl>
    <w:p>
      <w:pPr>
        <w:tabs>
          <w:tab w:val="left" w:pos="180"/>
        </w:tabs>
        <w:spacing w:line="500" w:lineRule="atLeast"/>
        <w:ind w:firstLine="560"/>
        <w:rPr>
          <w:rFonts w:hint="eastAsia" w:ascii="宋体" w:hAnsi="宋体" w:eastAsia="宋体" w:cs="宋体"/>
          <w:color w:val="auto"/>
        </w:rPr>
      </w:pPr>
      <w:r>
        <w:rPr>
          <w:rFonts w:hint="eastAsia" w:ascii="宋体" w:hAnsi="宋体" w:eastAsia="宋体" w:cs="宋体"/>
          <w:color w:val="auto"/>
          <w:sz w:val="28"/>
          <w:lang w:val="en-US" w:eastAsia="zh-CN"/>
        </w:rPr>
        <w:t>估价对象土地权利性质为出让，土地使用权期限未2078年02月22日止，于查询时点2023年02月08日为已抵押、已查封状态。</w:t>
      </w:r>
    </w:p>
    <w:p>
      <w:pPr>
        <w:tabs>
          <w:tab w:val="left" w:pos="180"/>
        </w:tabs>
        <w:spacing w:line="500" w:lineRule="atLeast"/>
        <w:ind w:firstLine="56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经现场调查了解，于价值时点估价对象部分车位出租但车位不固定，委托方未提供租赁资料。</w:t>
      </w:r>
    </w:p>
    <w:p>
      <w:pPr>
        <w:tabs>
          <w:tab w:val="left" w:pos="180"/>
        </w:tabs>
        <w:spacing w:line="500" w:lineRule="atLeast"/>
        <w:ind w:firstLine="560"/>
        <w:rPr>
          <w:rFonts w:hint="eastAsia" w:ascii="宋体" w:hAnsi="宋体" w:eastAsia="宋体" w:cs="宋体"/>
          <w:color w:val="auto"/>
          <w:sz w:val="28"/>
        </w:rPr>
      </w:pPr>
      <w:r>
        <w:rPr>
          <w:rFonts w:hint="eastAsia" w:ascii="宋体" w:hAnsi="宋体" w:eastAsia="宋体" w:cs="宋体"/>
          <w:color w:val="auto"/>
          <w:sz w:val="28"/>
        </w:rPr>
        <w:t>（二）估价对象实物状况</w:t>
      </w:r>
    </w:p>
    <w:p>
      <w:pPr>
        <w:tabs>
          <w:tab w:val="left" w:pos="180"/>
        </w:tabs>
        <w:spacing w:line="500" w:lineRule="atLeast"/>
        <w:ind w:firstLine="560"/>
        <w:rPr>
          <w:rFonts w:hint="eastAsia" w:ascii="宋体" w:hAnsi="宋体" w:eastAsia="宋体" w:cs="宋体"/>
          <w:color w:val="auto"/>
          <w:sz w:val="28"/>
        </w:rPr>
      </w:pPr>
      <w:r>
        <w:rPr>
          <w:rFonts w:hint="eastAsia" w:ascii="宋体" w:hAnsi="宋体" w:eastAsia="宋体" w:cs="宋体"/>
          <w:color w:val="auto"/>
          <w:sz w:val="28"/>
        </w:rPr>
        <w:t>1.土地状况描述</w:t>
      </w:r>
    </w:p>
    <w:p>
      <w:pPr>
        <w:tabs>
          <w:tab w:val="left" w:pos="180"/>
        </w:tabs>
        <w:spacing w:line="500" w:lineRule="atLeast"/>
        <w:ind w:firstLine="560"/>
        <w:rPr>
          <w:rFonts w:hint="eastAsia" w:ascii="宋体" w:hAnsi="宋体" w:eastAsia="宋体" w:cs="宋体"/>
          <w:color w:val="auto"/>
          <w:sz w:val="28"/>
        </w:rPr>
      </w:pPr>
      <w:r>
        <w:rPr>
          <w:rFonts w:hint="eastAsia" w:ascii="宋体" w:hAnsi="宋体" w:eastAsia="宋体" w:cs="宋体"/>
          <w:color w:val="auto"/>
          <w:sz w:val="28"/>
        </w:rPr>
        <w:t>根据估价人员现场调查，估价对象为楼盘内的局部房产，其土地为分摊土地（非独用宗地），楼盘土地的实物状况如下表：</w:t>
      </w:r>
    </w:p>
    <w:p>
      <w:pPr>
        <w:spacing w:line="500" w:lineRule="atLeast"/>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w:t>
      </w:r>
      <w:r>
        <w:rPr>
          <w:rFonts w:hint="eastAsia" w:ascii="宋体" w:hAnsi="宋体" w:eastAsia="宋体" w:cs="宋体"/>
          <w:color w:val="auto"/>
          <w:sz w:val="28"/>
          <w:szCs w:val="28"/>
        </w:rPr>
        <w:t xml:space="preserve"> 土地实物状况一览表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7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tl2br w:val="nil"/>
              <w:tr2bl w:val="nil"/>
            </w:tcBorders>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tc>
        <w:tc>
          <w:tcPr>
            <w:tcW w:w="7849" w:type="dxa"/>
            <w:tcBorders>
              <w:tl2br w:val="nil"/>
              <w:tr2bl w:val="nil"/>
            </w:tcBorders>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90" w:type="dxa"/>
            <w:tcBorders>
              <w:tl2br w:val="nil"/>
              <w:tr2bl w:val="nil"/>
            </w:tcBorders>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宗地四至</w:t>
            </w:r>
          </w:p>
        </w:tc>
        <w:tc>
          <w:tcPr>
            <w:tcW w:w="7849" w:type="dxa"/>
            <w:tcBorders>
              <w:tl2br w:val="nil"/>
              <w:tr2bl w:val="nil"/>
            </w:tcBorders>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西：国有建设用地，北：国有建设用地，东：二环路东二段，南：二环路东二段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tl2br w:val="nil"/>
              <w:tr2bl w:val="nil"/>
            </w:tcBorders>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用途</w:t>
            </w:r>
          </w:p>
        </w:tc>
        <w:tc>
          <w:tcPr>
            <w:tcW w:w="7849" w:type="dxa"/>
            <w:tcBorders>
              <w:tl2br w:val="nil"/>
              <w:tr2bl w:val="nil"/>
            </w:tcBorders>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地下车位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0" w:type="dxa"/>
            <w:tcBorders>
              <w:tl2br w:val="nil"/>
              <w:tr2bl w:val="nil"/>
            </w:tcBorders>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形状</w:t>
            </w:r>
          </w:p>
        </w:tc>
        <w:tc>
          <w:tcPr>
            <w:tcW w:w="7849" w:type="dxa"/>
            <w:tcBorders>
              <w:tl2br w:val="nil"/>
              <w:tr2bl w:val="nil"/>
            </w:tcBorders>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所属宗地形状较规则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90" w:type="dxa"/>
            <w:tcBorders>
              <w:tl2br w:val="nil"/>
              <w:tr2bl w:val="nil"/>
            </w:tcBorders>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地势</w:t>
            </w:r>
          </w:p>
        </w:tc>
        <w:tc>
          <w:tcPr>
            <w:tcW w:w="7849" w:type="dxa"/>
            <w:tcBorders>
              <w:tl2br w:val="nil"/>
              <w:tr2bl w:val="nil"/>
            </w:tcBorders>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所属宗地地势基本平整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90" w:type="dxa"/>
            <w:tcBorders>
              <w:tl2br w:val="nil"/>
              <w:tr2bl w:val="nil"/>
            </w:tcBorders>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土壤地基</w:t>
            </w:r>
          </w:p>
        </w:tc>
        <w:tc>
          <w:tcPr>
            <w:tcW w:w="7849" w:type="dxa"/>
            <w:tcBorders>
              <w:tl2br w:val="nil"/>
              <w:tr2bl w:val="nil"/>
            </w:tcBorders>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u-ES"/>
              </w:rPr>
              <w:t>地基承载力一般，未见明显不良地质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90" w:type="dxa"/>
            <w:tcBorders>
              <w:tl2br w:val="nil"/>
              <w:tr2bl w:val="nil"/>
            </w:tcBorders>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开发程度</w:t>
            </w:r>
          </w:p>
        </w:tc>
        <w:tc>
          <w:tcPr>
            <w:tcW w:w="7849" w:type="dxa"/>
            <w:tcBorders>
              <w:tl2br w:val="nil"/>
              <w:tr2bl w:val="nil"/>
            </w:tcBorders>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u-ES"/>
              </w:rPr>
              <w:t>宗地外“六通”，宗地内“六通一平”</w:t>
            </w:r>
          </w:p>
        </w:tc>
      </w:tr>
    </w:tbl>
    <w:p>
      <w:pPr>
        <w:tabs>
          <w:tab w:val="left" w:pos="180"/>
        </w:tabs>
        <w:spacing w:line="500" w:lineRule="atLeast"/>
        <w:ind w:firstLine="560"/>
        <w:rPr>
          <w:rFonts w:hint="eastAsia" w:ascii="宋体" w:hAnsi="宋体" w:eastAsia="宋体" w:cs="宋体"/>
          <w:color w:val="auto"/>
          <w:sz w:val="28"/>
        </w:rPr>
      </w:pPr>
      <w:r>
        <w:rPr>
          <w:rFonts w:hint="eastAsia" w:ascii="宋体" w:hAnsi="宋体" w:eastAsia="宋体" w:cs="宋体"/>
          <w:color w:val="auto"/>
          <w:sz w:val="28"/>
        </w:rPr>
        <w:t>2.建筑物实物状况</w:t>
      </w:r>
    </w:p>
    <w:p>
      <w:pPr>
        <w:tabs>
          <w:tab w:val="left" w:pos="180"/>
        </w:tabs>
        <w:spacing w:line="500" w:lineRule="atLeast"/>
        <w:ind w:firstLine="560"/>
        <w:rPr>
          <w:rFonts w:hint="eastAsia" w:ascii="宋体" w:hAnsi="宋体" w:eastAsia="宋体" w:cs="宋体"/>
          <w:color w:val="auto"/>
          <w:sz w:val="28"/>
        </w:rPr>
      </w:pPr>
      <w:r>
        <w:rPr>
          <w:rFonts w:hint="eastAsia" w:ascii="宋体" w:hAnsi="宋体" w:eastAsia="宋体" w:cs="宋体"/>
          <w:color w:val="auto"/>
          <w:sz w:val="28"/>
        </w:rPr>
        <w:t>据估价人员现场查勘及了解，估价对象房屋的实物查勘及设定情况如下表：</w:t>
      </w:r>
    </w:p>
    <w:p>
      <w:pPr>
        <w:spacing w:line="500" w:lineRule="atLeast"/>
        <w:ind w:firstLine="480" w:firstLineChars="200"/>
        <w:rPr>
          <w:rFonts w:hint="eastAsia" w:ascii="宋体" w:hAnsi="宋体" w:eastAsia="宋体" w:cs="宋体"/>
          <w:color w:val="auto"/>
          <w:sz w:val="28"/>
          <w:szCs w:val="28"/>
        </w:rPr>
      </w:pP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w:t>
      </w:r>
      <w:r>
        <w:rPr>
          <w:rFonts w:hint="eastAsia" w:ascii="宋体" w:hAnsi="宋体" w:eastAsia="宋体" w:cs="宋体"/>
          <w:color w:val="auto"/>
          <w:sz w:val="28"/>
          <w:szCs w:val="28"/>
        </w:rPr>
        <w:t xml:space="preserve"> 估价对象实物查勘及设定情况一览表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96"/>
        <w:gridCol w:w="2312"/>
        <w:gridCol w:w="1363"/>
        <w:gridCol w:w="1612"/>
        <w:gridCol w:w="1138"/>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396"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产权地址</w:t>
            </w:r>
          </w:p>
        </w:tc>
        <w:tc>
          <w:tcPr>
            <w:tcW w:w="8258" w:type="dxa"/>
            <w:gridSpan w:val="5"/>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成华区二环路东二段22号1栋-1、-2楼共计</w:t>
            </w:r>
            <w:r>
              <w:rPr>
                <w:rFonts w:hint="eastAsia" w:ascii="宋体" w:hAnsi="宋体" w:eastAsia="宋体" w:cs="宋体"/>
                <w:color w:val="auto"/>
                <w:kern w:val="0"/>
                <w:sz w:val="21"/>
                <w:szCs w:val="21"/>
                <w:lang w:val="en-US" w:eastAsia="zh-CN"/>
              </w:rPr>
              <w:t>203个</w:t>
            </w:r>
            <w:r>
              <w:rPr>
                <w:rFonts w:hint="eastAsia" w:ascii="宋体" w:hAnsi="宋体" w:eastAsia="宋体" w:cs="宋体"/>
                <w:color w:val="auto"/>
                <w:kern w:val="0"/>
                <w:sz w:val="21"/>
                <w:szCs w:val="21"/>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1396"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实际地址</w:t>
            </w:r>
          </w:p>
        </w:tc>
        <w:tc>
          <w:tcPr>
            <w:tcW w:w="8258" w:type="dxa"/>
            <w:gridSpan w:val="5"/>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成华区二环路东二段22号1栋-1、-2楼共计</w:t>
            </w:r>
            <w:r>
              <w:rPr>
                <w:rFonts w:hint="eastAsia" w:ascii="宋体" w:hAnsi="宋体" w:eastAsia="宋体" w:cs="宋体"/>
                <w:color w:val="auto"/>
                <w:kern w:val="0"/>
                <w:sz w:val="21"/>
                <w:szCs w:val="21"/>
                <w:lang w:val="en-US" w:eastAsia="zh-CN"/>
              </w:rPr>
              <w:t>203个</w:t>
            </w:r>
            <w:r>
              <w:rPr>
                <w:rFonts w:hint="eastAsia" w:ascii="宋体" w:hAnsi="宋体" w:eastAsia="宋体" w:cs="宋体"/>
                <w:color w:val="auto"/>
                <w:kern w:val="0"/>
                <w:sz w:val="21"/>
                <w:szCs w:val="21"/>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1396"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房屋类型</w:t>
            </w:r>
          </w:p>
        </w:tc>
        <w:tc>
          <w:tcPr>
            <w:tcW w:w="23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地下车位</w:t>
            </w:r>
            <w:r>
              <w:rPr>
                <w:rFonts w:hint="eastAsia" w:ascii="宋体" w:hAnsi="宋体" w:eastAsia="宋体" w:cs="宋体"/>
                <w:color w:val="auto"/>
                <w:kern w:val="0"/>
                <w:sz w:val="21"/>
                <w:szCs w:val="21"/>
              </w:rPr>
              <w:t>用房</w:t>
            </w:r>
          </w:p>
        </w:tc>
        <w:tc>
          <w:tcPr>
            <w:tcW w:w="136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建筑结构</w:t>
            </w:r>
          </w:p>
        </w:tc>
        <w:tc>
          <w:tcPr>
            <w:tcW w:w="16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框架</w:t>
            </w:r>
            <w:r>
              <w:rPr>
                <w:rFonts w:hint="eastAsia" w:ascii="宋体" w:hAnsi="宋体" w:eastAsia="宋体" w:cs="宋体"/>
                <w:color w:val="auto"/>
                <w:kern w:val="0"/>
                <w:sz w:val="21"/>
                <w:szCs w:val="21"/>
              </w:rPr>
              <w:t>结构</w:t>
            </w:r>
          </w:p>
        </w:tc>
        <w:tc>
          <w:tcPr>
            <w:tcW w:w="1138"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建成年代</w:t>
            </w:r>
          </w:p>
        </w:tc>
        <w:tc>
          <w:tcPr>
            <w:tcW w:w="183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约20</w:t>
            </w:r>
            <w:r>
              <w:rPr>
                <w:rFonts w:hint="eastAsia" w:ascii="宋体" w:hAnsi="宋体" w:eastAsia="宋体" w:cs="宋体"/>
                <w:color w:val="auto"/>
                <w:kern w:val="0"/>
                <w:sz w:val="21"/>
                <w:szCs w:val="21"/>
                <w:lang w:val="en-US" w:eastAsia="zh-CN"/>
              </w:rPr>
              <w:t>12</w:t>
            </w:r>
            <w:r>
              <w:rPr>
                <w:rFonts w:hint="eastAsia" w:ascii="宋体" w:hAnsi="宋体" w:eastAsia="宋体" w:cs="宋体"/>
                <w:color w:val="auto"/>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1396"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总层数</w:t>
            </w:r>
          </w:p>
        </w:tc>
        <w:tc>
          <w:tcPr>
            <w:tcW w:w="2312" w:type="dxa"/>
            <w:tcBorders>
              <w:tl2br w:val="nil"/>
              <w:tr2bl w:val="nil"/>
            </w:tcBorders>
            <w:noWrap w:val="0"/>
            <w:tcMar>
              <w:top w:w="15" w:type="dxa"/>
              <w:left w:w="15" w:type="dxa"/>
              <w:right w:w="15" w:type="dxa"/>
            </w:tcMar>
            <w:vAlign w:val="center"/>
          </w:tcPr>
          <w:p>
            <w:pPr>
              <w:pStyle w:val="6"/>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bidi="ar-SA"/>
              </w:rPr>
              <w:t>/</w:t>
            </w:r>
          </w:p>
        </w:tc>
        <w:tc>
          <w:tcPr>
            <w:tcW w:w="136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所在层数</w:t>
            </w:r>
          </w:p>
        </w:tc>
        <w:tc>
          <w:tcPr>
            <w:tcW w:w="16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-1、-2</w:t>
            </w:r>
            <w:r>
              <w:rPr>
                <w:rFonts w:hint="eastAsia" w:ascii="宋体" w:hAnsi="宋体" w:eastAsia="宋体" w:cs="宋体"/>
                <w:color w:val="auto"/>
                <w:kern w:val="0"/>
                <w:sz w:val="21"/>
                <w:szCs w:val="21"/>
              </w:rPr>
              <w:t>层</w:t>
            </w:r>
          </w:p>
        </w:tc>
        <w:tc>
          <w:tcPr>
            <w:tcW w:w="1138"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登记用途</w:t>
            </w:r>
          </w:p>
        </w:tc>
        <w:tc>
          <w:tcPr>
            <w:tcW w:w="183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jc w:val="center"/>
        </w:trPr>
        <w:tc>
          <w:tcPr>
            <w:tcW w:w="1396"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实际用途</w:t>
            </w:r>
          </w:p>
        </w:tc>
        <w:tc>
          <w:tcPr>
            <w:tcW w:w="23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标准</w:t>
            </w:r>
            <w:r>
              <w:rPr>
                <w:rFonts w:hint="eastAsia" w:ascii="宋体" w:hAnsi="宋体" w:eastAsia="宋体" w:cs="宋体"/>
                <w:color w:val="auto"/>
                <w:kern w:val="0"/>
                <w:sz w:val="21"/>
                <w:szCs w:val="21"/>
              </w:rPr>
              <w:t>车位</w:t>
            </w:r>
            <w:r>
              <w:rPr>
                <w:rFonts w:hint="eastAsia" w:ascii="宋体" w:hAnsi="宋体" w:eastAsia="宋体" w:cs="宋体"/>
                <w:color w:val="auto"/>
                <w:kern w:val="0"/>
                <w:sz w:val="21"/>
                <w:szCs w:val="21"/>
                <w:lang w:eastAsia="zh-CN"/>
              </w:rPr>
              <w:t>、微型车位</w:t>
            </w:r>
          </w:p>
        </w:tc>
        <w:tc>
          <w:tcPr>
            <w:tcW w:w="136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连通使用</w:t>
            </w:r>
          </w:p>
        </w:tc>
        <w:tc>
          <w:tcPr>
            <w:tcW w:w="16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是</w:t>
            </w:r>
          </w:p>
        </w:tc>
        <w:tc>
          <w:tcPr>
            <w:tcW w:w="1138"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建筑面积</w:t>
            </w:r>
          </w:p>
        </w:tc>
        <w:tc>
          <w:tcPr>
            <w:tcW w:w="183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合计7402.54</w:t>
            </w:r>
            <w:r>
              <w:rPr>
                <w:rFonts w:hint="eastAsia" w:ascii="宋体" w:hAnsi="宋体" w:eastAsia="宋体" w:cs="宋体"/>
                <w:color w:val="auto"/>
                <w:kern w:val="0"/>
                <w:sz w:val="21"/>
                <w:szCs w:val="21"/>
              </w:rPr>
              <w:t>m</w:t>
            </w:r>
            <w:r>
              <w:rPr>
                <w:rFonts w:hint="eastAsia" w:ascii="宋体" w:hAnsi="宋体" w:eastAsia="宋体" w:cs="宋体"/>
                <w:color w:val="auto"/>
                <w:ker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396"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成新率</w:t>
            </w:r>
          </w:p>
        </w:tc>
        <w:tc>
          <w:tcPr>
            <w:tcW w:w="23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八五成新</w:t>
            </w:r>
          </w:p>
        </w:tc>
        <w:tc>
          <w:tcPr>
            <w:tcW w:w="136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平面布置</w:t>
            </w:r>
          </w:p>
        </w:tc>
        <w:tc>
          <w:tcPr>
            <w:tcW w:w="16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合理</w:t>
            </w:r>
          </w:p>
        </w:tc>
        <w:tc>
          <w:tcPr>
            <w:tcW w:w="1138"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使用情况</w:t>
            </w:r>
          </w:p>
        </w:tc>
        <w:tc>
          <w:tcPr>
            <w:tcW w:w="183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396"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利用状况</w:t>
            </w:r>
          </w:p>
        </w:tc>
        <w:tc>
          <w:tcPr>
            <w:tcW w:w="23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部分出租、部分空置</w:t>
            </w:r>
          </w:p>
        </w:tc>
        <w:tc>
          <w:tcPr>
            <w:tcW w:w="136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房屋完损程度 </w:t>
            </w:r>
          </w:p>
        </w:tc>
        <w:tc>
          <w:tcPr>
            <w:tcW w:w="16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完好</w:t>
            </w:r>
          </w:p>
        </w:tc>
        <w:tc>
          <w:tcPr>
            <w:tcW w:w="1138"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瑕疵提示</w:t>
            </w:r>
          </w:p>
        </w:tc>
        <w:tc>
          <w:tcPr>
            <w:tcW w:w="183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jc w:val="center"/>
        </w:trPr>
        <w:tc>
          <w:tcPr>
            <w:tcW w:w="1396"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临街状况</w:t>
            </w:r>
          </w:p>
        </w:tc>
        <w:tc>
          <w:tcPr>
            <w:tcW w:w="23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bidi="ar-SA"/>
              </w:rPr>
              <w:t>/</w:t>
            </w:r>
          </w:p>
        </w:tc>
        <w:tc>
          <w:tcPr>
            <w:tcW w:w="136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人气聚集度</w:t>
            </w:r>
          </w:p>
        </w:tc>
        <w:tc>
          <w:tcPr>
            <w:tcW w:w="16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一般</w:t>
            </w:r>
          </w:p>
        </w:tc>
        <w:tc>
          <w:tcPr>
            <w:tcW w:w="1138"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消防设施</w:t>
            </w:r>
          </w:p>
        </w:tc>
        <w:tc>
          <w:tcPr>
            <w:tcW w:w="183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配置消火栓及</w:t>
            </w:r>
          </w:p>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灭火器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jc w:val="center"/>
        </w:trPr>
        <w:tc>
          <w:tcPr>
            <w:tcW w:w="1396"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层高</w:t>
            </w:r>
          </w:p>
        </w:tc>
        <w:tc>
          <w:tcPr>
            <w:tcW w:w="23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约</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米</w:t>
            </w:r>
          </w:p>
        </w:tc>
        <w:tc>
          <w:tcPr>
            <w:tcW w:w="136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停车场</w:t>
            </w:r>
          </w:p>
        </w:tc>
        <w:tc>
          <w:tcPr>
            <w:tcW w:w="16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w:t>
            </w:r>
            <w:r>
              <w:rPr>
                <w:rFonts w:hint="eastAsia" w:ascii="宋体" w:hAnsi="宋体" w:eastAsia="宋体" w:cs="宋体"/>
                <w:color w:val="auto"/>
                <w:kern w:val="0"/>
                <w:sz w:val="21"/>
                <w:szCs w:val="21"/>
                <w:lang w:val="en-US" w:eastAsia="zh-CN"/>
              </w:rPr>
              <w:t>下</w:t>
            </w:r>
            <w:r>
              <w:rPr>
                <w:rFonts w:hint="eastAsia" w:ascii="宋体" w:hAnsi="宋体" w:eastAsia="宋体" w:cs="宋体"/>
                <w:color w:val="auto"/>
                <w:kern w:val="0"/>
                <w:sz w:val="21"/>
                <w:szCs w:val="21"/>
              </w:rPr>
              <w:t>停车位</w:t>
            </w:r>
          </w:p>
        </w:tc>
        <w:tc>
          <w:tcPr>
            <w:tcW w:w="1138"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垂直交通</w:t>
            </w:r>
          </w:p>
        </w:tc>
        <w:tc>
          <w:tcPr>
            <w:tcW w:w="183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电梯、步行梯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jc w:val="center"/>
        </w:trPr>
        <w:tc>
          <w:tcPr>
            <w:tcW w:w="1396"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基础设施</w:t>
            </w:r>
          </w:p>
        </w:tc>
        <w:tc>
          <w:tcPr>
            <w:tcW w:w="23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水、电、气、视、讯、路</w:t>
            </w:r>
          </w:p>
        </w:tc>
        <w:tc>
          <w:tcPr>
            <w:tcW w:w="136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外墙装饰</w:t>
            </w:r>
          </w:p>
        </w:tc>
        <w:tc>
          <w:tcPr>
            <w:tcW w:w="161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玻璃幕墙、墙砖</w:t>
            </w:r>
          </w:p>
        </w:tc>
        <w:tc>
          <w:tcPr>
            <w:tcW w:w="1138"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门窗</w:t>
            </w:r>
          </w:p>
        </w:tc>
        <w:tc>
          <w:tcPr>
            <w:tcW w:w="1833"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9654" w:type="dxa"/>
            <w:gridSpan w:val="6"/>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装修情况：地面</w:t>
            </w:r>
            <w:r>
              <w:rPr>
                <w:rFonts w:hint="eastAsia" w:ascii="宋体" w:hAnsi="宋体" w:eastAsia="宋体" w:cs="宋体"/>
                <w:color w:val="auto"/>
                <w:kern w:val="0"/>
                <w:sz w:val="21"/>
                <w:szCs w:val="21"/>
                <w:lang w:val="en-US" w:eastAsia="zh-CN"/>
              </w:rPr>
              <w:t>水泥抹砂</w:t>
            </w:r>
            <w:r>
              <w:rPr>
                <w:rFonts w:hint="eastAsia" w:ascii="宋体" w:hAnsi="宋体" w:eastAsia="宋体" w:cs="宋体"/>
                <w:color w:val="auto"/>
                <w:kern w:val="0"/>
                <w:sz w:val="21"/>
                <w:szCs w:val="21"/>
              </w:rPr>
              <w:t>，墙面、天棚粉刷</w:t>
            </w:r>
            <w:r>
              <w:rPr>
                <w:rFonts w:hint="eastAsia" w:ascii="宋体" w:hAnsi="宋体" w:eastAsia="宋体" w:cs="宋体"/>
                <w:color w:val="auto"/>
                <w:kern w:val="0"/>
                <w:sz w:val="21"/>
                <w:szCs w:val="21"/>
                <w:lang w:eastAsia="zh-CN"/>
              </w:rPr>
              <w:t>白</w:t>
            </w:r>
            <w:r>
              <w:rPr>
                <w:rFonts w:hint="eastAsia" w:ascii="宋体" w:hAnsi="宋体" w:eastAsia="宋体" w:cs="宋体"/>
                <w:color w:val="auto"/>
                <w:kern w:val="0"/>
                <w:sz w:val="21"/>
                <w:szCs w:val="21"/>
              </w:rPr>
              <w:t>。</w:t>
            </w:r>
          </w:p>
        </w:tc>
      </w:tr>
    </w:tbl>
    <w:p>
      <w:pPr>
        <w:tabs>
          <w:tab w:val="left" w:pos="180"/>
        </w:tabs>
        <w:spacing w:line="500" w:lineRule="atLeast"/>
        <w:ind w:firstLine="560" w:firstLineChars="200"/>
        <w:rPr>
          <w:rFonts w:hint="eastAsia" w:ascii="宋体" w:hAnsi="宋体" w:eastAsia="宋体" w:cs="宋体"/>
          <w:color w:val="auto"/>
          <w:sz w:val="28"/>
        </w:rPr>
      </w:pPr>
      <w:r>
        <w:rPr>
          <w:rFonts w:hint="eastAsia" w:ascii="宋体" w:hAnsi="宋体" w:eastAsia="宋体" w:cs="宋体"/>
          <w:color w:val="auto"/>
          <w:sz w:val="28"/>
        </w:rPr>
        <w:t>（三）估价对象区位状况</w:t>
      </w:r>
    </w:p>
    <w:p>
      <w:pPr>
        <w:spacing w:line="500" w:lineRule="atLeast"/>
        <w:ind w:firstLine="600" w:firstLineChars="250"/>
        <w:rPr>
          <w:rFonts w:hint="eastAsia" w:ascii="宋体" w:hAnsi="宋体" w:eastAsia="宋体" w:cs="宋体"/>
          <w:color w:val="auto"/>
          <w:sz w:val="28"/>
          <w:lang w:eastAsia="zh-CN"/>
        </w:rPr>
      </w:pPr>
      <w:r>
        <w:rPr>
          <w:rFonts w:hint="eastAsia" w:ascii="宋体" w:hAnsi="宋体" w:eastAsia="宋体" w:cs="宋体"/>
          <w:color w:val="auto"/>
          <w:sz w:val="24"/>
        </w:rPr>
        <w:t xml:space="preserve"> </w:t>
      </w:r>
      <w:r>
        <w:rPr>
          <w:rFonts w:hint="eastAsia" w:ascii="宋体" w:hAnsi="宋体" w:eastAsia="宋体" w:cs="宋体"/>
          <w:color w:val="auto"/>
          <w:sz w:val="28"/>
        </w:rPr>
        <w:t>据估价人员现场查勘及了解，估价对象</w:t>
      </w:r>
      <w:r>
        <w:rPr>
          <w:rFonts w:hint="eastAsia" w:ascii="宋体" w:hAnsi="宋体" w:eastAsia="宋体" w:cs="宋体"/>
          <w:color w:val="auto"/>
          <w:sz w:val="28"/>
          <w:lang w:eastAsia="zh-CN"/>
        </w:rPr>
        <w:t>区位状</w:t>
      </w:r>
      <w:r>
        <w:rPr>
          <w:rFonts w:hint="eastAsia" w:ascii="宋体" w:hAnsi="宋体" w:eastAsia="宋体" w:cs="宋体"/>
          <w:color w:val="auto"/>
          <w:sz w:val="28"/>
        </w:rPr>
        <w:t>况如下表</w:t>
      </w:r>
      <w:r>
        <w:rPr>
          <w:rFonts w:hint="eastAsia" w:ascii="宋体" w:hAnsi="宋体" w:eastAsia="宋体" w:cs="宋体"/>
          <w:color w:val="auto"/>
          <w:sz w:val="28"/>
          <w:lang w:eastAsia="zh-CN"/>
        </w:rPr>
        <w:t>：</w:t>
      </w:r>
    </w:p>
    <w:p>
      <w:pPr>
        <w:spacing w:line="500" w:lineRule="atLeast"/>
        <w:ind w:firstLine="1080" w:firstLineChars="450"/>
        <w:rPr>
          <w:rFonts w:hint="eastAsia" w:ascii="宋体" w:hAnsi="宋体" w:eastAsia="宋体" w:cs="宋体"/>
          <w:color w:val="auto"/>
          <w:sz w:val="28"/>
          <w:szCs w:val="28"/>
        </w:rPr>
      </w:pPr>
      <w:r>
        <w:rPr>
          <w:rFonts w:hint="eastAsia" w:ascii="宋体" w:hAnsi="宋体" w:eastAsia="宋体" w:cs="宋体"/>
          <w:color w:val="auto"/>
          <w:sz w:val="24"/>
        </w:rPr>
        <w:t xml:space="preserve">                    </w:t>
      </w:r>
      <w:r>
        <w:rPr>
          <w:rFonts w:hint="eastAsia" w:ascii="宋体" w:hAnsi="宋体" w:eastAsia="宋体" w:cs="宋体"/>
          <w:color w:val="auto"/>
          <w:sz w:val="28"/>
          <w:szCs w:val="28"/>
        </w:rPr>
        <w:t>估价对象区</w:t>
      </w:r>
      <w:r>
        <w:rPr>
          <w:rFonts w:hint="eastAsia" w:ascii="宋体" w:hAnsi="宋体" w:eastAsia="宋体" w:cs="宋体"/>
          <w:color w:val="auto"/>
          <w:sz w:val="28"/>
          <w:szCs w:val="28"/>
          <w:lang w:eastAsia="zh-CN"/>
        </w:rPr>
        <w:t>位</w:t>
      </w:r>
      <w:r>
        <w:rPr>
          <w:rFonts w:hint="eastAsia" w:ascii="宋体" w:hAnsi="宋体" w:eastAsia="宋体" w:cs="宋体"/>
          <w:color w:val="auto"/>
          <w:sz w:val="28"/>
          <w:szCs w:val="28"/>
        </w:rPr>
        <w:t>条件一览表</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788"/>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550" w:type="dxa"/>
            <w:gridSpan w:val="2"/>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影响因素</w:t>
            </w:r>
          </w:p>
        </w:tc>
        <w:tc>
          <w:tcPr>
            <w:tcW w:w="7412" w:type="dxa"/>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描述内容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50" w:type="dxa"/>
            <w:gridSpan w:val="2"/>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临路状况</w:t>
            </w:r>
          </w:p>
        </w:tc>
        <w:tc>
          <w:tcPr>
            <w:tcW w:w="7412" w:type="dxa"/>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估价对象位于</w:t>
            </w:r>
            <w:r>
              <w:rPr>
                <w:rFonts w:hint="eastAsia" w:ascii="宋体" w:hAnsi="宋体" w:eastAsia="宋体" w:cs="宋体"/>
                <w:color w:val="auto"/>
                <w:sz w:val="21"/>
                <w:szCs w:val="21"/>
                <w:lang w:eastAsia="zh-CN"/>
              </w:rPr>
              <w:t>“和信融锦云湾”</w:t>
            </w:r>
            <w:r>
              <w:rPr>
                <w:rFonts w:hint="eastAsia" w:ascii="宋体" w:hAnsi="宋体" w:eastAsia="宋体" w:cs="宋体"/>
                <w:color w:val="auto"/>
                <w:sz w:val="21"/>
                <w:szCs w:val="21"/>
                <w:lang w:val="en-US" w:eastAsia="zh-CN"/>
              </w:rPr>
              <w:t>-1、-2楼</w:t>
            </w:r>
            <w:r>
              <w:rPr>
                <w:rFonts w:hint="eastAsia" w:ascii="宋体" w:hAnsi="宋体" w:eastAsia="宋体" w:cs="宋体"/>
                <w:color w:val="auto"/>
                <w:sz w:val="21"/>
                <w:szCs w:val="21"/>
              </w:rPr>
              <w:t>，有专门出入口。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50" w:type="dxa"/>
            <w:gridSpan w:val="2"/>
            <w:tcBorders>
              <w:tl2br w:val="nil"/>
              <w:tr2bl w:val="nil"/>
            </w:tcBorders>
            <w:noWrap w:val="0"/>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区域内市场活跃度</w:t>
            </w:r>
          </w:p>
        </w:tc>
        <w:tc>
          <w:tcPr>
            <w:tcW w:w="7412" w:type="dxa"/>
            <w:tcBorders>
              <w:tl2br w:val="nil"/>
              <w:tr2bl w:val="nil"/>
            </w:tcBorders>
            <w:noWrap w:val="0"/>
            <w:vAlign w:val="center"/>
          </w:tcPr>
          <w:p>
            <w:pPr>
              <w:jc w:val="both"/>
              <w:rPr>
                <w:rFonts w:hint="eastAsia" w:ascii="宋体" w:hAnsi="宋体" w:eastAsia="宋体" w:cs="宋体"/>
                <w:color w:val="auto"/>
                <w:sz w:val="21"/>
                <w:szCs w:val="21"/>
              </w:rPr>
            </w:pPr>
            <w:r>
              <w:rPr>
                <w:rFonts w:hint="eastAsia" w:ascii="宋体" w:hAnsi="宋体" w:eastAsia="宋体" w:cs="宋体"/>
                <w:color w:val="auto"/>
                <w:kern w:val="0"/>
                <w:sz w:val="21"/>
                <w:szCs w:val="21"/>
              </w:rPr>
              <w:t>根据估价人员在价值时点的市场调查，该区域市场成交活跃</w:t>
            </w:r>
            <w:r>
              <w:rPr>
                <w:rFonts w:hint="eastAsia" w:ascii="宋体" w:hAnsi="宋体" w:eastAsia="宋体" w:cs="宋体"/>
                <w:color w:val="auto"/>
                <w:kern w:val="0"/>
                <w:sz w:val="21"/>
                <w:szCs w:val="21"/>
                <w:lang w:eastAsia="zh-CN"/>
              </w:rPr>
              <w:t>度一般</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2" w:type="dxa"/>
            <w:vMerge w:val="restart"/>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交通状况</w:t>
            </w:r>
          </w:p>
        </w:tc>
        <w:tc>
          <w:tcPr>
            <w:tcW w:w="1788" w:type="dxa"/>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交通通达度</w:t>
            </w:r>
          </w:p>
        </w:tc>
        <w:tc>
          <w:tcPr>
            <w:tcW w:w="7412" w:type="dxa"/>
            <w:tcBorders>
              <w:tl2br w:val="nil"/>
              <w:tr2bl w:val="nil"/>
            </w:tcBorders>
            <w:noWrap w:val="0"/>
            <w:vAlign w:val="center"/>
          </w:tcPr>
          <w:p>
            <w:pPr>
              <w:widowControl/>
              <w:jc w:val="both"/>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估价对象位于</w:t>
            </w:r>
            <w:r>
              <w:rPr>
                <w:rFonts w:hint="eastAsia" w:ascii="宋体" w:hAnsi="宋体" w:eastAsia="宋体" w:cs="宋体"/>
                <w:color w:val="auto"/>
                <w:sz w:val="21"/>
                <w:szCs w:val="21"/>
                <w:lang w:eastAsia="zh-CN"/>
              </w:rPr>
              <w:t>成都市</w:t>
            </w:r>
            <w:r>
              <w:rPr>
                <w:rFonts w:hint="eastAsia" w:ascii="宋体" w:hAnsi="宋体" w:eastAsia="宋体" w:cs="宋体"/>
                <w:color w:val="auto"/>
                <w:kern w:val="0"/>
                <w:sz w:val="21"/>
                <w:szCs w:val="21"/>
                <w:lang w:eastAsia="zh-CN"/>
              </w:rPr>
              <w:t>成华区二环路东二段</w:t>
            </w:r>
            <w:r>
              <w:rPr>
                <w:rFonts w:hint="eastAsia" w:ascii="宋体" w:hAnsi="宋体" w:eastAsia="宋体" w:cs="宋体"/>
                <w:color w:val="auto"/>
                <w:sz w:val="21"/>
                <w:szCs w:val="21"/>
              </w:rPr>
              <w:t>，</w:t>
            </w:r>
            <w:r>
              <w:rPr>
                <w:rFonts w:hint="eastAsia" w:ascii="宋体" w:hAnsi="宋体" w:eastAsia="宋体" w:cs="宋体"/>
                <w:color w:val="auto"/>
                <w:kern w:val="0"/>
                <w:sz w:val="21"/>
                <w:szCs w:val="21"/>
                <w:lang w:eastAsia="zh-CN"/>
              </w:rPr>
              <w:t>二环路东二段、建设南三路</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杉板桥路</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光明滨河路</w:t>
            </w:r>
            <w:r>
              <w:rPr>
                <w:rFonts w:hint="eastAsia" w:ascii="宋体" w:hAnsi="宋体" w:eastAsia="宋体" w:cs="宋体"/>
                <w:color w:val="auto"/>
                <w:sz w:val="21"/>
                <w:szCs w:val="21"/>
              </w:rPr>
              <w:t>等构成该区域的主要交通网络，道路通达度较高。估价对象</w:t>
            </w:r>
            <w:r>
              <w:rPr>
                <w:rFonts w:hint="eastAsia" w:ascii="宋体" w:hAnsi="宋体" w:eastAsia="宋体" w:cs="宋体"/>
                <w:color w:val="auto"/>
                <w:sz w:val="21"/>
                <w:szCs w:val="21"/>
                <w:lang w:eastAsia="zh-CN"/>
              </w:rPr>
              <w:t>附近有</w:t>
            </w:r>
            <w:r>
              <w:rPr>
                <w:rFonts w:hint="eastAsia" w:ascii="宋体" w:hAnsi="宋体" w:eastAsia="宋体" w:cs="宋体"/>
                <w:color w:val="auto"/>
                <w:sz w:val="21"/>
                <w:szCs w:val="21"/>
                <w:lang w:val="en-US" w:eastAsia="zh-CN"/>
              </w:rPr>
              <w:t>45路、75路、76</w:t>
            </w:r>
            <w:r>
              <w:rPr>
                <w:rFonts w:hint="eastAsia" w:ascii="宋体" w:hAnsi="宋体" w:eastAsia="宋体" w:cs="宋体"/>
                <w:color w:val="auto"/>
                <w:sz w:val="21"/>
                <w:szCs w:val="21"/>
                <w:lang w:eastAsia="zh-CN"/>
              </w:rPr>
              <w:t>路</w:t>
            </w:r>
            <w:r>
              <w:rPr>
                <w:rFonts w:hint="eastAsia" w:ascii="宋体" w:hAnsi="宋体" w:eastAsia="宋体" w:cs="宋体"/>
                <w:color w:val="auto"/>
                <w:sz w:val="21"/>
                <w:szCs w:val="21"/>
                <w:lang w:val="en-US" w:eastAsia="zh-CN"/>
              </w:rPr>
              <w:t>、146路</w:t>
            </w:r>
            <w:r>
              <w:rPr>
                <w:rFonts w:hint="eastAsia" w:ascii="宋体" w:hAnsi="宋体" w:eastAsia="宋体" w:cs="宋体"/>
                <w:color w:val="auto"/>
                <w:sz w:val="21"/>
                <w:szCs w:val="21"/>
                <w:lang w:eastAsia="zh-CN"/>
              </w:rPr>
              <w:t>等多路公交车通过，附近有快速公交、地铁</w:t>
            </w:r>
            <w:r>
              <w:rPr>
                <w:rFonts w:hint="eastAsia" w:ascii="宋体" w:hAnsi="宋体" w:eastAsia="宋体" w:cs="宋体"/>
                <w:color w:val="auto"/>
                <w:sz w:val="21"/>
                <w:szCs w:val="21"/>
                <w:lang w:val="en-US" w:eastAsia="zh-CN"/>
              </w:rPr>
              <w:t>8号线通过，</w:t>
            </w:r>
            <w:r>
              <w:rPr>
                <w:rFonts w:hint="eastAsia" w:ascii="宋体" w:hAnsi="宋体" w:eastAsia="宋体" w:cs="宋体"/>
                <w:color w:val="auto"/>
                <w:sz w:val="21"/>
                <w:szCs w:val="21"/>
              </w:rPr>
              <w:t>交通便捷度</w:t>
            </w:r>
            <w:r>
              <w:rPr>
                <w:rFonts w:hint="eastAsia" w:ascii="宋体" w:hAnsi="宋体" w:eastAsia="宋体" w:cs="宋体"/>
                <w:color w:val="auto"/>
                <w:sz w:val="21"/>
                <w:szCs w:val="21"/>
                <w:lang w:eastAsia="zh-CN"/>
              </w:rPr>
              <w:t>较</w:t>
            </w:r>
            <w:r>
              <w:rPr>
                <w:rFonts w:hint="eastAsia" w:ascii="宋体" w:hAnsi="宋体" w:eastAsia="宋体" w:cs="宋体"/>
                <w:color w:val="auto"/>
                <w:sz w:val="21"/>
                <w:szCs w:val="21"/>
              </w:rPr>
              <w:t>高。估价对象所在区域无交通管制，停车便利度较高。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2" w:type="dxa"/>
            <w:vMerge w:val="continue"/>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p>
        </w:tc>
        <w:tc>
          <w:tcPr>
            <w:tcW w:w="1788" w:type="dxa"/>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交通管制情况</w:t>
            </w:r>
          </w:p>
        </w:tc>
        <w:tc>
          <w:tcPr>
            <w:tcW w:w="7412" w:type="dxa"/>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无</w:t>
            </w:r>
            <w:r>
              <w:rPr>
                <w:rFonts w:hint="eastAsia" w:ascii="宋体" w:hAnsi="宋体" w:eastAsia="宋体" w:cs="宋体"/>
                <w:color w:val="auto"/>
                <w:sz w:val="21"/>
                <w:szCs w:val="21"/>
              </w:rPr>
              <w:t>交通管制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2" w:type="dxa"/>
            <w:vMerge w:val="continue"/>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p>
        </w:tc>
        <w:tc>
          <w:tcPr>
            <w:tcW w:w="1788" w:type="dxa"/>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停车方便程度</w:t>
            </w:r>
          </w:p>
        </w:tc>
        <w:tc>
          <w:tcPr>
            <w:tcW w:w="7412" w:type="dxa"/>
            <w:tcBorders>
              <w:tl2br w:val="nil"/>
              <w:tr2bl w:val="nil"/>
            </w:tcBorders>
            <w:noWrap w:val="0"/>
            <w:vAlign w:val="center"/>
          </w:tcPr>
          <w:p>
            <w:pPr>
              <w:widowControl/>
              <w:jc w:val="both"/>
              <w:textAlignment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停车方便程度一般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2" w:type="dxa"/>
            <w:vMerge w:val="restart"/>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环境状况</w:t>
            </w:r>
          </w:p>
        </w:tc>
        <w:tc>
          <w:tcPr>
            <w:tcW w:w="1788" w:type="dxa"/>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自然环境</w:t>
            </w:r>
          </w:p>
        </w:tc>
        <w:tc>
          <w:tcPr>
            <w:tcW w:w="7412" w:type="dxa"/>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估价对象位于</w:t>
            </w:r>
            <w:r>
              <w:rPr>
                <w:rFonts w:hint="eastAsia" w:ascii="宋体" w:hAnsi="宋体" w:eastAsia="宋体" w:cs="宋体"/>
                <w:color w:val="auto"/>
                <w:sz w:val="21"/>
                <w:szCs w:val="21"/>
                <w:lang w:eastAsia="zh-CN"/>
              </w:rPr>
              <w:t>成都市成华区二环路</w:t>
            </w:r>
            <w:r>
              <w:rPr>
                <w:rFonts w:hint="eastAsia" w:ascii="宋体" w:hAnsi="宋体" w:eastAsia="宋体" w:cs="宋体"/>
                <w:color w:val="auto"/>
                <w:sz w:val="21"/>
                <w:szCs w:val="21"/>
              </w:rPr>
              <w:t>，无空气、噪声、水、固体废物等污染，环境卫生状况一般。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762" w:type="dxa"/>
            <w:vMerge w:val="continue"/>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p>
        </w:tc>
        <w:tc>
          <w:tcPr>
            <w:tcW w:w="1788" w:type="dxa"/>
            <w:tcBorders>
              <w:tl2br w:val="nil"/>
              <w:tr2bl w:val="nil"/>
            </w:tcBorders>
            <w:noWrap w:val="0"/>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区域</w:t>
            </w:r>
            <w:r>
              <w:rPr>
                <w:rFonts w:hint="eastAsia" w:ascii="宋体" w:hAnsi="宋体" w:eastAsia="宋体" w:cs="宋体"/>
                <w:color w:val="auto"/>
                <w:sz w:val="21"/>
                <w:szCs w:val="21"/>
              </w:rPr>
              <w:t>环境</w:t>
            </w:r>
            <w:r>
              <w:rPr>
                <w:rFonts w:hint="eastAsia" w:ascii="宋体" w:hAnsi="宋体" w:eastAsia="宋体" w:cs="宋体"/>
                <w:color w:val="auto"/>
                <w:sz w:val="21"/>
                <w:szCs w:val="21"/>
                <w:lang w:val="en-US" w:eastAsia="zh-CN"/>
              </w:rPr>
              <w:t>及周边配套</w:t>
            </w:r>
          </w:p>
        </w:tc>
        <w:tc>
          <w:tcPr>
            <w:tcW w:w="7412" w:type="dxa"/>
            <w:tcBorders>
              <w:tl2br w:val="nil"/>
              <w:tr2bl w:val="nil"/>
            </w:tcBorders>
            <w:noWrap w:val="0"/>
            <w:vAlign w:val="center"/>
          </w:tcPr>
          <w:p>
            <w:pPr>
              <w:widowControl/>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所处区域内有光明馨苑</w:t>
            </w:r>
            <w:r>
              <w:rPr>
                <w:rFonts w:hint="eastAsia" w:ascii="宋体" w:hAnsi="宋体" w:eastAsia="宋体" w:cs="宋体"/>
                <w:color w:val="auto"/>
                <w:sz w:val="21"/>
                <w:szCs w:val="21"/>
                <w:lang w:eastAsia="zh-CN"/>
              </w:rPr>
              <w:t>、合能耀之城、万科金域蓝湾、培华东路小区、九龙仓御园</w:t>
            </w:r>
            <w:r>
              <w:rPr>
                <w:rFonts w:hint="eastAsia" w:ascii="宋体" w:hAnsi="宋体" w:eastAsia="宋体" w:cs="宋体"/>
                <w:color w:val="auto"/>
                <w:sz w:val="21"/>
                <w:szCs w:val="21"/>
              </w:rPr>
              <w:t>等居住小区；有成都多弗汇、成都成华SM广场</w:t>
            </w:r>
            <w:r>
              <w:rPr>
                <w:rFonts w:hint="eastAsia" w:ascii="宋体" w:hAnsi="宋体" w:eastAsia="宋体" w:cs="宋体"/>
                <w:color w:val="auto"/>
                <w:sz w:val="21"/>
                <w:szCs w:val="21"/>
                <w:lang w:eastAsia="zh-CN"/>
              </w:rPr>
              <w:t>、成都华润万象城、龙湖成都滨江天街、伊藤洋华堂(建设路店)</w:t>
            </w:r>
            <w:r>
              <w:rPr>
                <w:rFonts w:hint="eastAsia" w:ascii="宋体" w:hAnsi="宋体" w:eastAsia="宋体" w:cs="宋体"/>
                <w:color w:val="auto"/>
                <w:sz w:val="21"/>
                <w:szCs w:val="21"/>
              </w:rPr>
              <w:t>等购物场所；有中信银行(成都建设路支行)、恒丰银行(成都成华支行营业部)</w:t>
            </w:r>
            <w:r>
              <w:rPr>
                <w:rFonts w:hint="eastAsia" w:ascii="宋体" w:hAnsi="宋体" w:eastAsia="宋体" w:cs="宋体"/>
                <w:color w:val="auto"/>
                <w:sz w:val="21"/>
                <w:szCs w:val="21"/>
                <w:lang w:eastAsia="zh-CN"/>
              </w:rPr>
              <w:t>、中国建设银行(成都新鸿支行)、招商银行(成都龙湖三千支行)、中国民生银行(成都锦绣东方社区支行)</w:t>
            </w:r>
            <w:r>
              <w:rPr>
                <w:rFonts w:hint="eastAsia" w:ascii="宋体" w:hAnsi="宋体" w:eastAsia="宋体" w:cs="宋体"/>
                <w:color w:val="auto"/>
                <w:sz w:val="21"/>
                <w:szCs w:val="21"/>
              </w:rPr>
              <w:t>等金融机构；有成都市第六人民医院</w:t>
            </w:r>
            <w:r>
              <w:rPr>
                <w:rFonts w:hint="eastAsia" w:ascii="宋体" w:hAnsi="宋体" w:eastAsia="宋体" w:cs="宋体"/>
                <w:color w:val="auto"/>
                <w:sz w:val="21"/>
                <w:szCs w:val="21"/>
                <w:lang w:eastAsia="zh-CN"/>
              </w:rPr>
              <w:t>、成都市华川医院、川北医学院附属成都新华医院、成都军建医院、电子科技大学医院</w:t>
            </w:r>
            <w:r>
              <w:rPr>
                <w:rFonts w:hint="eastAsia" w:ascii="宋体" w:hAnsi="宋体" w:eastAsia="宋体" w:cs="宋体"/>
                <w:color w:val="auto"/>
                <w:sz w:val="21"/>
                <w:szCs w:val="21"/>
              </w:rPr>
              <w:t>等医疗机构；还有慧读慧写作文培训学校(杉板桥校区)</w:t>
            </w:r>
            <w:r>
              <w:rPr>
                <w:rFonts w:hint="eastAsia" w:ascii="宋体" w:hAnsi="宋体" w:eastAsia="宋体" w:cs="宋体"/>
                <w:color w:val="auto"/>
                <w:sz w:val="21"/>
                <w:szCs w:val="21"/>
                <w:lang w:eastAsia="zh-CN"/>
              </w:rPr>
              <w:t>、成都石室中学初中学校(培华校区)、成都市建设路小学(建业校区)、成都双语实验学校、成都市成华小学校(华美校区)、成都市成华小学校(秀美校区)</w:t>
            </w:r>
            <w:r>
              <w:rPr>
                <w:rFonts w:hint="eastAsia" w:ascii="宋体" w:hAnsi="宋体" w:eastAsia="宋体" w:cs="宋体"/>
                <w:color w:val="auto"/>
                <w:sz w:val="21"/>
                <w:szCs w:val="21"/>
              </w:rPr>
              <w:t>等教育机构；区域城市公共设施齐备。区域供水、供电、供气、排水、电讯等基础设施管网齐全，保障度</w:t>
            </w:r>
            <w:r>
              <w:rPr>
                <w:rFonts w:hint="eastAsia" w:ascii="宋体" w:hAnsi="宋体" w:eastAsia="宋体" w:cs="宋体"/>
                <w:color w:val="auto"/>
                <w:sz w:val="21"/>
                <w:szCs w:val="21"/>
                <w:lang w:val="en-US" w:eastAsia="zh-CN"/>
              </w:rPr>
              <w:t>较</w:t>
            </w:r>
            <w:r>
              <w:rPr>
                <w:rFonts w:hint="eastAsia" w:ascii="宋体" w:hAnsi="宋体" w:eastAsia="宋体" w:cs="宋体"/>
                <w:color w:val="auto"/>
                <w:sz w:val="21"/>
                <w:szCs w:val="21"/>
              </w:rPr>
              <w:t>高。</w:t>
            </w:r>
          </w:p>
        </w:tc>
      </w:tr>
    </w:tbl>
    <w:p>
      <w:pPr>
        <w:pStyle w:val="4"/>
        <w:keepNext/>
        <w:keepLines/>
        <w:pageBreakBefore w:val="0"/>
        <w:widowControl w:val="0"/>
        <w:kinsoku/>
        <w:wordWrap/>
        <w:overflowPunct/>
        <w:topLinePunct w:val="0"/>
        <w:autoSpaceDE/>
        <w:autoSpaceDN/>
        <w:bidi w:val="0"/>
        <w:adjustRightInd/>
        <w:snapToGrid/>
        <w:spacing w:before="20" w:after="20" w:line="500" w:lineRule="exact"/>
        <w:ind w:firstLine="562" w:firstLineChars="200"/>
        <w:textAlignment w:val="auto"/>
        <w:rPr>
          <w:rFonts w:hint="eastAsia" w:ascii="宋体" w:hAnsi="宋体" w:eastAsia="宋体" w:cs="宋体"/>
          <w:b w:val="0"/>
          <w:color w:val="auto"/>
        </w:rPr>
      </w:pPr>
      <w:bookmarkStart w:id="24" w:name="_Toc5356"/>
      <w:bookmarkStart w:id="25" w:name="_Toc371540990"/>
      <w:bookmarkStart w:id="26" w:name="_Toc371455209"/>
      <w:bookmarkStart w:id="27" w:name="_Toc439690702"/>
      <w:bookmarkStart w:id="28" w:name="_Toc283905995"/>
      <w:r>
        <w:rPr>
          <w:rFonts w:hint="eastAsia" w:ascii="宋体" w:hAnsi="宋体" w:eastAsia="宋体" w:cs="宋体"/>
          <w:color w:val="auto"/>
          <w:sz w:val="28"/>
          <w:szCs w:val="28"/>
        </w:rPr>
        <w:t>五、价值时点</w:t>
      </w:r>
      <w:bookmarkEnd w:id="24"/>
      <w:bookmarkEnd w:id="25"/>
      <w:bookmarkEnd w:id="26"/>
      <w:bookmarkEnd w:id="27"/>
      <w:bookmarkEnd w:id="28"/>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bookmarkStart w:id="29" w:name="_Toc283905996"/>
      <w:bookmarkStart w:id="30" w:name="_Toc371540991"/>
      <w:bookmarkStart w:id="31" w:name="_Toc371455210"/>
      <w:r>
        <w:rPr>
          <w:rFonts w:hint="eastAsia" w:ascii="宋体" w:hAnsi="宋体" w:eastAsia="宋体" w:cs="宋体"/>
          <w:color w:val="auto"/>
          <w:sz w:val="28"/>
          <w:szCs w:val="21"/>
        </w:rPr>
        <w:t>根据《涉执房地产处置司法评估指导意见（试行）》第十条规定“人民法院未明确价值时点的，一般以评估对象实地查勘完成之日作为价值时点。”</w:t>
      </w:r>
      <w:r>
        <w:rPr>
          <w:rFonts w:hint="eastAsia" w:ascii="宋体" w:hAnsi="宋体" w:eastAsia="宋体" w:cs="宋体"/>
          <w:color w:val="auto"/>
          <w:sz w:val="28"/>
        </w:rPr>
        <w:t>此次估价对象实地查勘日为</w:t>
      </w:r>
      <w:r>
        <w:rPr>
          <w:rFonts w:hint="eastAsia" w:ascii="宋体" w:hAnsi="宋体" w:eastAsia="宋体" w:cs="宋体"/>
          <w:color w:val="auto"/>
          <w:sz w:val="28"/>
          <w:lang w:eastAsia="zh-CN"/>
        </w:rPr>
        <w:t>2023年02月15日</w:t>
      </w:r>
      <w:r>
        <w:rPr>
          <w:rFonts w:hint="eastAsia" w:ascii="宋体" w:hAnsi="宋体" w:eastAsia="宋体" w:cs="宋体"/>
          <w:color w:val="auto"/>
          <w:sz w:val="28"/>
        </w:rPr>
        <w:t>，故价值时点确定为</w:t>
      </w:r>
      <w:r>
        <w:rPr>
          <w:rFonts w:hint="eastAsia" w:ascii="宋体" w:hAnsi="宋体" w:eastAsia="宋体" w:cs="宋体"/>
          <w:color w:val="auto"/>
          <w:sz w:val="28"/>
          <w:lang w:eastAsia="zh-CN"/>
        </w:rPr>
        <w:t>2023年02月15日</w:t>
      </w:r>
      <w:r>
        <w:rPr>
          <w:rFonts w:hint="eastAsia" w:ascii="宋体" w:hAnsi="宋体" w:eastAsia="宋体" w:cs="宋体"/>
          <w:color w:val="auto"/>
          <w:sz w:val="28"/>
        </w:rPr>
        <w:t>。</w:t>
      </w:r>
    </w:p>
    <w:p>
      <w:pPr>
        <w:pStyle w:val="4"/>
        <w:pageBreakBefore w:val="0"/>
        <w:widowControl w:val="0"/>
        <w:kinsoku/>
        <w:wordWrap/>
        <w:overflowPunct/>
        <w:topLinePunct w:val="0"/>
        <w:autoSpaceDE/>
        <w:autoSpaceDN/>
        <w:bidi w:val="0"/>
        <w:spacing w:before="0" w:after="0" w:line="500" w:lineRule="exact"/>
        <w:ind w:left="561"/>
        <w:textAlignment w:val="auto"/>
        <w:rPr>
          <w:rFonts w:hint="eastAsia" w:ascii="宋体" w:hAnsi="宋体" w:eastAsia="宋体" w:cs="宋体"/>
          <w:color w:val="auto"/>
          <w:sz w:val="28"/>
        </w:rPr>
      </w:pPr>
      <w:bookmarkStart w:id="32" w:name="_Toc14155"/>
      <w:bookmarkStart w:id="33" w:name="_Toc439690703"/>
      <w:r>
        <w:rPr>
          <w:rFonts w:hint="eastAsia" w:ascii="宋体" w:hAnsi="宋体" w:eastAsia="宋体" w:cs="宋体"/>
          <w:color w:val="auto"/>
          <w:sz w:val="28"/>
        </w:rPr>
        <w:t>六、价值</w:t>
      </w:r>
      <w:bookmarkEnd w:id="29"/>
      <w:r>
        <w:rPr>
          <w:rFonts w:hint="eastAsia" w:ascii="宋体" w:hAnsi="宋体" w:eastAsia="宋体" w:cs="宋体"/>
          <w:color w:val="auto"/>
          <w:sz w:val="28"/>
        </w:rPr>
        <w:t>类型</w:t>
      </w:r>
      <w:bookmarkEnd w:id="30"/>
      <w:bookmarkEnd w:id="31"/>
      <w:bookmarkEnd w:id="32"/>
      <w:bookmarkEnd w:id="33"/>
    </w:p>
    <w:p>
      <w:pPr>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rPr>
      </w:pPr>
      <w:bookmarkStart w:id="34" w:name="_Toc371455211"/>
      <w:r>
        <w:rPr>
          <w:rFonts w:hint="eastAsia" w:ascii="宋体" w:hAnsi="宋体" w:eastAsia="宋体" w:cs="宋体"/>
          <w:color w:val="auto"/>
          <w:sz w:val="28"/>
        </w:rPr>
        <w:t>1、价值类型及定义：</w:t>
      </w:r>
    </w:p>
    <w:p>
      <w:pPr>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szCs w:val="21"/>
        </w:rPr>
        <w:t>根据《房地产估价规范》和本次估价的具体要求，本估价报告中的评估价值是指估价对象在价值时点规划用途下的房地产市场价值</w:t>
      </w:r>
      <w:r>
        <w:rPr>
          <w:rFonts w:hint="eastAsia" w:ascii="宋体" w:hAnsi="宋体" w:eastAsia="宋体" w:cs="宋体"/>
          <w:color w:val="auto"/>
          <w:sz w:val="28"/>
        </w:rPr>
        <w:t>。</w:t>
      </w:r>
    </w:p>
    <w:p>
      <w:pPr>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房地产市场价值是指估价对象在诸多假设条件下，在公开市场上于价值时点最可能形成或成立的价格，它依据如下假设：①具有一个公开、比较活跃、发达的房地产市场；②估价对象能够自由地在市场上进行交易；③交易双方无任何利害关系，交易的目的是追求各自利益的最大化；④为使交易完成以及达成合理成交价格，需有一个合理的谈判周期，在这个周期内，市场状况、物理状态等是相对静止不变的；⑤交易是在理性及非强制情况下自愿进行的，双方都能够掌握必要的市场信息，不考虑特殊买者的附加出价；⑥不考虑未来市场价值变化、短期强制处分等因素对其价值的影响。</w:t>
      </w:r>
    </w:p>
    <w:p>
      <w:pPr>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2、价值内涵：</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①评估结果</w:t>
      </w:r>
      <w:r>
        <w:rPr>
          <w:rFonts w:hint="eastAsia" w:ascii="宋体" w:hAnsi="宋体" w:eastAsia="宋体" w:cs="宋体"/>
          <w:color w:val="auto"/>
          <w:sz w:val="28"/>
          <w:lang w:eastAsia="zh-CN"/>
        </w:rPr>
        <w:t>以</w:t>
      </w:r>
      <w:r>
        <w:rPr>
          <w:rFonts w:hint="eastAsia" w:ascii="宋体" w:hAnsi="宋体" w:eastAsia="宋体" w:cs="宋体"/>
          <w:color w:val="auto"/>
          <w:sz w:val="28"/>
        </w:rPr>
        <w:t>民币</w:t>
      </w:r>
      <w:r>
        <w:rPr>
          <w:rFonts w:hint="eastAsia" w:ascii="宋体" w:hAnsi="宋体" w:eastAsia="宋体" w:cs="宋体"/>
          <w:color w:val="auto"/>
          <w:sz w:val="28"/>
          <w:lang w:eastAsia="zh-CN"/>
        </w:rPr>
        <w:t>计价</w:t>
      </w:r>
      <w:r>
        <w:rPr>
          <w:rFonts w:hint="eastAsia" w:ascii="宋体" w:hAnsi="宋体" w:eastAsia="宋体" w:cs="宋体"/>
          <w:color w:val="auto"/>
          <w:sz w:val="28"/>
        </w:rPr>
        <w:t>。</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②估价对象设定土地使用权以出让方式取得。</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③房地产估价结果包含房屋所有权、分摊土地使用权、室内装饰装修及不可分割的满足其使用功能的水、电、视、讯、消防等配套设施价值。</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④设定为在价值时点，交易双方各自依法承担应缴纳的税费。</w:t>
      </w:r>
    </w:p>
    <w:bookmarkEnd w:id="34"/>
    <w:p>
      <w:pPr>
        <w:pageBreakBefore w:val="0"/>
        <w:widowControl w:val="0"/>
        <w:kinsoku/>
        <w:wordWrap/>
        <w:overflowPunct/>
        <w:topLinePunct w:val="0"/>
        <w:autoSpaceDE/>
        <w:autoSpaceDN/>
        <w:bidi w:val="0"/>
        <w:adjustRightInd w:val="0"/>
        <w:snapToGrid w:val="0"/>
        <w:spacing w:line="500" w:lineRule="exact"/>
        <w:ind w:firstLine="562" w:firstLineChars="200"/>
        <w:textAlignment w:val="auto"/>
        <w:outlineLvl w:val="1"/>
        <w:rPr>
          <w:rFonts w:hint="eastAsia" w:ascii="宋体" w:hAnsi="宋体" w:eastAsia="宋体" w:cs="宋体"/>
          <w:b/>
          <w:color w:val="auto"/>
          <w:sz w:val="28"/>
        </w:rPr>
      </w:pPr>
      <w:bookmarkStart w:id="35" w:name="_Toc439690704"/>
      <w:bookmarkStart w:id="36" w:name="_Toc28182"/>
      <w:bookmarkStart w:id="37" w:name="_Toc283905998"/>
      <w:bookmarkStart w:id="38" w:name="_Toc371455213"/>
      <w:r>
        <w:rPr>
          <w:rFonts w:hint="eastAsia" w:ascii="宋体" w:hAnsi="宋体" w:eastAsia="宋体" w:cs="宋体"/>
          <w:b/>
          <w:color w:val="auto"/>
          <w:sz w:val="28"/>
        </w:rPr>
        <w:t>七、估价原则</w:t>
      </w:r>
      <w:bookmarkEnd w:id="35"/>
      <w:bookmarkEnd w:id="36"/>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1.独立、客观、公正原则</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独立、客观、公正原则要求房地产估价师站在中立的立场上，评估出对各方当事人来说均是公平合理的价格。</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2.合法原则</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合法原则要求房地产估价应以估价对象的合法权益为前提进行。合法权益包括合法产权、合法使用、合法处分等方面，在合法产权方面，应以房地产权属证书和有证件为依据；在合法使用方面，应以城市规划、土地用途管制等为依据；在合法处分方面，应以法律、法规或合同（如土地使用权出让合同）等允许的处分方式为依据；在其他方面，如评估出的价格必须符合国家的价格政策。</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3.最高最佳使用原则</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所谓最高最佳使用是估价对象的一种最可能的使用，这种最可能的使用是法律上允许、技术上可能、财务上可行、经过充分合理的论证，并能给予估价对象带来最高价值的使用。它的一种具体表现，是以能使估价对象获利最多的用途和开发强度来衡量。这是因为在房地产市场中，每位房地产拥有者在主观上都试图充分地发挥房地产的潜力，采用最高最佳利用方式，取得最大的收益。</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4.替代原则</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根据市场运行规律，在同一商品市场中，商品或提供服务的效用相同或大致相似时，价格低者吸引需求，即有两个以上互有替代性的商品或服务同时存在时，商品或服务的价格中经过相互影响与比较之后来决定的，房地产价格也同亲遵循替代规律，受其它具有相同使用价值的房地产，即同类型具有替代可能的房地产价格所牵制。换言之，具有相同使用价值、替代可能的房地产之间，会相互影响和竟争，使价格相互牵制而趋于一致。</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5.价值时点原则</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时的状况为准。</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总之，在估价过程中，以国家及地方的有关法律、法规为依据，坚持科学、真实、公平原则，做到估价过程合理，估价方法科学，估价结果准确，严格保守在估价过程中知悉的委托方的商业秘密。</w:t>
      </w:r>
    </w:p>
    <w:bookmarkEnd w:id="37"/>
    <w:bookmarkEnd w:id="38"/>
    <w:p>
      <w:pPr>
        <w:pageBreakBefore w:val="0"/>
        <w:widowControl w:val="0"/>
        <w:kinsoku/>
        <w:wordWrap/>
        <w:overflowPunct/>
        <w:topLinePunct w:val="0"/>
        <w:autoSpaceDE/>
        <w:autoSpaceDN/>
        <w:bidi w:val="0"/>
        <w:adjustRightInd w:val="0"/>
        <w:snapToGrid w:val="0"/>
        <w:spacing w:line="500" w:lineRule="exact"/>
        <w:ind w:firstLine="562" w:firstLineChars="200"/>
        <w:textAlignment w:val="auto"/>
        <w:outlineLvl w:val="1"/>
        <w:rPr>
          <w:rFonts w:hint="eastAsia" w:ascii="宋体" w:hAnsi="宋体" w:eastAsia="宋体" w:cs="宋体"/>
          <w:b/>
          <w:color w:val="auto"/>
          <w:sz w:val="28"/>
        </w:rPr>
      </w:pPr>
      <w:bookmarkStart w:id="39" w:name="_Toc439690705"/>
      <w:bookmarkStart w:id="40" w:name="_Toc32176"/>
      <w:bookmarkStart w:id="41" w:name="_Toc371455214"/>
      <w:bookmarkStart w:id="42" w:name="_Toc283905999"/>
      <w:r>
        <w:rPr>
          <w:rFonts w:hint="eastAsia" w:ascii="宋体" w:hAnsi="宋体" w:eastAsia="宋体" w:cs="宋体"/>
          <w:b/>
          <w:color w:val="auto"/>
          <w:sz w:val="28"/>
        </w:rPr>
        <w:t>八、估价依据</w:t>
      </w:r>
      <w:bookmarkEnd w:id="39"/>
      <w:bookmarkEnd w:id="40"/>
    </w:p>
    <w:p>
      <w:pPr>
        <w:pageBreakBefore w:val="0"/>
        <w:widowControl w:val="0"/>
        <w:kinsoku/>
        <w:wordWrap/>
        <w:overflowPunct/>
        <w:topLinePunct w:val="0"/>
        <w:autoSpaceDE/>
        <w:autoSpaceDN/>
        <w:bidi w:val="0"/>
        <w:spacing w:beforeLines="0" w:afterLines="0" w:line="500" w:lineRule="exact"/>
        <w:ind w:firstLine="560" w:firstLineChars="200"/>
        <w:textAlignment w:val="auto"/>
        <w:rPr>
          <w:rFonts w:hint="eastAsia" w:ascii="宋体" w:hAnsi="宋体" w:eastAsia="宋体" w:cs="宋体"/>
          <w:color w:val="auto"/>
          <w:sz w:val="28"/>
          <w:szCs w:val="21"/>
        </w:rPr>
      </w:pPr>
      <w:bookmarkStart w:id="43" w:name="_Toc269456053"/>
      <w:r>
        <w:rPr>
          <w:rFonts w:hint="eastAsia" w:ascii="宋体" w:hAnsi="宋体" w:eastAsia="宋体" w:cs="宋体"/>
          <w:color w:val="auto"/>
          <w:sz w:val="28"/>
          <w:szCs w:val="21"/>
        </w:rPr>
        <w:t>1.法律、法规和政策性文件</w:t>
      </w:r>
    </w:p>
    <w:p>
      <w:pPr>
        <w:pageBreakBefore w:val="0"/>
        <w:widowControl w:val="0"/>
        <w:tabs>
          <w:tab w:val="left" w:pos="180"/>
        </w:tabs>
        <w:kinsoku/>
        <w:wordWrap/>
        <w:overflowPunct/>
        <w:topLinePunct w:val="0"/>
        <w:autoSpaceDE/>
        <w:autoSpaceDN/>
        <w:bidi w:val="0"/>
        <w:spacing w:beforeLines="0" w:afterLines="0" w:line="500" w:lineRule="exact"/>
        <w:ind w:firstLine="616"/>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①《中华人民共和国城市房地产管理法》（</w:t>
      </w:r>
      <w:r>
        <w:rPr>
          <w:rFonts w:hint="eastAsia" w:ascii="宋体" w:hAnsi="宋体" w:eastAsia="宋体" w:cs="宋体"/>
          <w:color w:val="auto"/>
          <w:sz w:val="28"/>
          <w:szCs w:val="24"/>
          <w:lang w:eastAsia="zh-CN"/>
        </w:rPr>
        <w:t>2019年8月26日修正，中华人民共和国主席令第32号发布</w:t>
      </w:r>
      <w:r>
        <w:rPr>
          <w:rFonts w:hint="eastAsia" w:ascii="宋体" w:hAnsi="宋体" w:eastAsia="宋体" w:cs="宋体"/>
          <w:color w:val="auto"/>
          <w:sz w:val="28"/>
          <w:szCs w:val="24"/>
        </w:rPr>
        <w:t>）；</w:t>
      </w:r>
    </w:p>
    <w:p>
      <w:pPr>
        <w:pageBreakBefore w:val="0"/>
        <w:widowControl w:val="0"/>
        <w:tabs>
          <w:tab w:val="left" w:pos="180"/>
        </w:tabs>
        <w:kinsoku/>
        <w:wordWrap/>
        <w:overflowPunct/>
        <w:topLinePunct w:val="0"/>
        <w:autoSpaceDE/>
        <w:autoSpaceDN/>
        <w:bidi w:val="0"/>
        <w:spacing w:beforeLines="0" w:afterLines="0" w:line="500" w:lineRule="exact"/>
        <w:ind w:firstLine="616"/>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②《中华人民共和国土地管理法》（</w:t>
      </w:r>
      <w:r>
        <w:rPr>
          <w:rFonts w:hint="eastAsia" w:ascii="宋体" w:hAnsi="宋体" w:eastAsia="宋体" w:cs="宋体"/>
          <w:color w:val="auto"/>
          <w:sz w:val="28"/>
          <w:szCs w:val="24"/>
          <w:lang w:eastAsia="zh-CN"/>
        </w:rPr>
        <w:t>2019年8月26日修正，中华人民共和国主席令第32号发布</w:t>
      </w:r>
      <w:r>
        <w:rPr>
          <w:rFonts w:hint="eastAsia" w:ascii="宋体" w:hAnsi="宋体" w:eastAsia="宋体" w:cs="宋体"/>
          <w:color w:val="auto"/>
          <w:sz w:val="28"/>
          <w:szCs w:val="24"/>
        </w:rPr>
        <w:t>）；</w:t>
      </w:r>
    </w:p>
    <w:p>
      <w:pPr>
        <w:pageBreakBefore w:val="0"/>
        <w:widowControl w:val="0"/>
        <w:tabs>
          <w:tab w:val="left" w:pos="180"/>
        </w:tabs>
        <w:kinsoku/>
        <w:wordWrap/>
        <w:overflowPunct/>
        <w:topLinePunct w:val="0"/>
        <w:autoSpaceDE/>
        <w:autoSpaceDN/>
        <w:bidi w:val="0"/>
        <w:spacing w:beforeLines="0" w:afterLines="0" w:line="500" w:lineRule="exact"/>
        <w:ind w:firstLine="616"/>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③</w:t>
      </w:r>
      <w:r>
        <w:rPr>
          <w:rFonts w:hint="eastAsia" w:ascii="宋体" w:hAnsi="宋体" w:eastAsia="宋体" w:cs="宋体"/>
          <w:color w:val="auto"/>
          <w:sz w:val="28"/>
          <w:szCs w:val="24"/>
        </w:rPr>
        <w:tab/>
      </w:r>
      <w:r>
        <w:rPr>
          <w:rFonts w:hint="eastAsia" w:ascii="宋体" w:hAnsi="宋体" w:eastAsia="宋体" w:cs="宋体"/>
          <w:color w:val="auto"/>
          <w:sz w:val="28"/>
          <w:szCs w:val="24"/>
        </w:rPr>
        <w:t>《中华人民共和国民法典》(2020年5月28日，中华人民共和国主席令第45号</w:t>
      </w:r>
      <w:r>
        <w:rPr>
          <w:rFonts w:hint="eastAsia" w:ascii="宋体" w:hAnsi="宋体" w:eastAsia="宋体" w:cs="宋体"/>
          <w:color w:val="auto"/>
          <w:sz w:val="28"/>
          <w:szCs w:val="24"/>
          <w:lang w:eastAsia="zh-CN"/>
        </w:rPr>
        <w:t>发布</w:t>
      </w:r>
      <w:r>
        <w:rPr>
          <w:rFonts w:hint="eastAsia" w:ascii="宋体" w:hAnsi="宋体" w:eastAsia="宋体" w:cs="宋体"/>
          <w:color w:val="auto"/>
          <w:sz w:val="28"/>
          <w:szCs w:val="24"/>
        </w:rPr>
        <w:t>）；</w:t>
      </w:r>
    </w:p>
    <w:p>
      <w:pPr>
        <w:pageBreakBefore w:val="0"/>
        <w:widowControl w:val="0"/>
        <w:tabs>
          <w:tab w:val="left" w:pos="180"/>
        </w:tabs>
        <w:kinsoku/>
        <w:wordWrap/>
        <w:overflowPunct/>
        <w:topLinePunct w:val="0"/>
        <w:autoSpaceDE/>
        <w:autoSpaceDN/>
        <w:bidi w:val="0"/>
        <w:spacing w:beforeLines="0" w:afterLines="0" w:line="500" w:lineRule="exact"/>
        <w:ind w:firstLine="616"/>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④《中华人民共和国资产评估法》（2016年7月2日</w:t>
      </w:r>
      <w:r>
        <w:rPr>
          <w:rFonts w:hint="eastAsia" w:ascii="宋体" w:hAnsi="宋体" w:eastAsia="宋体" w:cs="宋体"/>
          <w:color w:val="auto"/>
          <w:sz w:val="28"/>
          <w:szCs w:val="24"/>
          <w:lang w:eastAsia="zh-CN"/>
        </w:rPr>
        <w:t>，</w:t>
      </w:r>
      <w:r>
        <w:rPr>
          <w:rFonts w:hint="eastAsia" w:ascii="宋体" w:hAnsi="宋体" w:eastAsia="宋体" w:cs="宋体"/>
          <w:color w:val="auto"/>
          <w:sz w:val="28"/>
          <w:szCs w:val="24"/>
        </w:rPr>
        <w:t>中华人民共和国主席令第46号</w:t>
      </w:r>
      <w:r>
        <w:rPr>
          <w:rFonts w:hint="eastAsia" w:ascii="宋体" w:hAnsi="宋体" w:eastAsia="宋体" w:cs="宋体"/>
          <w:color w:val="auto"/>
          <w:sz w:val="28"/>
          <w:szCs w:val="24"/>
          <w:lang w:eastAsia="zh-CN"/>
        </w:rPr>
        <w:t>发布</w:t>
      </w:r>
      <w:r>
        <w:rPr>
          <w:rFonts w:hint="eastAsia" w:ascii="宋体" w:hAnsi="宋体" w:eastAsia="宋体" w:cs="宋体"/>
          <w:color w:val="auto"/>
          <w:sz w:val="28"/>
          <w:szCs w:val="24"/>
        </w:rPr>
        <w:t>）；</w:t>
      </w:r>
    </w:p>
    <w:p>
      <w:pPr>
        <w:pageBreakBefore w:val="0"/>
        <w:widowControl w:val="0"/>
        <w:tabs>
          <w:tab w:val="left" w:pos="180"/>
        </w:tabs>
        <w:kinsoku/>
        <w:wordWrap/>
        <w:overflowPunct/>
        <w:topLinePunct w:val="0"/>
        <w:autoSpaceDE/>
        <w:autoSpaceDN/>
        <w:bidi w:val="0"/>
        <w:spacing w:beforeLines="0" w:afterLines="0" w:line="500" w:lineRule="exact"/>
        <w:ind w:firstLine="616"/>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⑤《中华人民共和国拍卖法》（2015年4月24日修正</w:t>
      </w:r>
      <w:r>
        <w:rPr>
          <w:rFonts w:hint="eastAsia" w:ascii="宋体" w:hAnsi="宋体" w:eastAsia="宋体" w:cs="宋体"/>
          <w:color w:val="auto"/>
          <w:sz w:val="28"/>
          <w:szCs w:val="24"/>
          <w:lang w:eastAsia="zh-CN"/>
        </w:rPr>
        <w:t>，</w:t>
      </w:r>
      <w:r>
        <w:rPr>
          <w:rFonts w:hint="eastAsia" w:ascii="宋体" w:hAnsi="宋体" w:eastAsia="宋体" w:cs="宋体"/>
          <w:color w:val="auto"/>
          <w:sz w:val="28"/>
          <w:szCs w:val="24"/>
        </w:rPr>
        <w:t>中华人民共和国主席令第</w:t>
      </w:r>
      <w:r>
        <w:rPr>
          <w:rFonts w:hint="eastAsia" w:ascii="宋体" w:hAnsi="宋体" w:eastAsia="宋体" w:cs="宋体"/>
          <w:color w:val="auto"/>
          <w:sz w:val="28"/>
          <w:szCs w:val="24"/>
          <w:lang w:val="en-US" w:eastAsia="zh-CN"/>
        </w:rPr>
        <w:t>2</w:t>
      </w:r>
      <w:r>
        <w:rPr>
          <w:rFonts w:hint="eastAsia" w:ascii="宋体" w:hAnsi="宋体" w:eastAsia="宋体" w:cs="宋体"/>
          <w:color w:val="auto"/>
          <w:sz w:val="28"/>
          <w:szCs w:val="24"/>
        </w:rPr>
        <w:t>6号</w:t>
      </w:r>
      <w:r>
        <w:rPr>
          <w:rFonts w:hint="eastAsia" w:ascii="宋体" w:hAnsi="宋体" w:eastAsia="宋体" w:cs="宋体"/>
          <w:color w:val="auto"/>
          <w:sz w:val="28"/>
          <w:szCs w:val="24"/>
          <w:lang w:eastAsia="zh-CN"/>
        </w:rPr>
        <w:t>发布</w:t>
      </w:r>
      <w:r>
        <w:rPr>
          <w:rFonts w:hint="eastAsia" w:ascii="宋体" w:hAnsi="宋体" w:eastAsia="宋体" w:cs="宋体"/>
          <w:color w:val="auto"/>
          <w:sz w:val="28"/>
          <w:szCs w:val="24"/>
        </w:rPr>
        <w:t>）；</w:t>
      </w:r>
    </w:p>
    <w:p>
      <w:pPr>
        <w:pageBreakBefore w:val="0"/>
        <w:widowControl w:val="0"/>
        <w:tabs>
          <w:tab w:val="left" w:pos="180"/>
        </w:tabs>
        <w:kinsoku/>
        <w:wordWrap/>
        <w:overflowPunct/>
        <w:topLinePunct w:val="0"/>
        <w:autoSpaceDE/>
        <w:autoSpaceDN/>
        <w:bidi w:val="0"/>
        <w:spacing w:beforeLines="0" w:afterLines="0" w:line="500" w:lineRule="exact"/>
        <w:ind w:firstLine="616"/>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⑥《中华人民共和国城镇国有土地使用权出让和转让暂行条例》（2020年11月29日</w:t>
      </w:r>
      <w:r>
        <w:rPr>
          <w:rFonts w:hint="eastAsia" w:ascii="宋体" w:hAnsi="宋体" w:eastAsia="宋体" w:cs="宋体"/>
          <w:color w:val="auto"/>
          <w:sz w:val="28"/>
          <w:szCs w:val="24"/>
          <w:lang w:eastAsia="zh-CN"/>
        </w:rPr>
        <w:t>修正，中华人民共和国</w:t>
      </w:r>
      <w:r>
        <w:rPr>
          <w:rFonts w:hint="eastAsia" w:ascii="宋体" w:hAnsi="宋体" w:eastAsia="宋体" w:cs="宋体"/>
          <w:color w:val="auto"/>
          <w:sz w:val="28"/>
          <w:szCs w:val="24"/>
        </w:rPr>
        <w:t>国务院令第732号</w:t>
      </w:r>
      <w:r>
        <w:rPr>
          <w:rFonts w:hint="eastAsia" w:ascii="宋体" w:hAnsi="宋体" w:eastAsia="宋体" w:cs="宋体"/>
          <w:color w:val="auto"/>
          <w:sz w:val="28"/>
          <w:szCs w:val="24"/>
          <w:lang w:eastAsia="zh-CN"/>
        </w:rPr>
        <w:t>发布</w:t>
      </w:r>
      <w:r>
        <w:rPr>
          <w:rFonts w:hint="eastAsia" w:ascii="宋体" w:hAnsi="宋体" w:eastAsia="宋体" w:cs="宋体"/>
          <w:color w:val="auto"/>
          <w:sz w:val="28"/>
          <w:szCs w:val="24"/>
        </w:rPr>
        <w:t>）；</w:t>
      </w:r>
    </w:p>
    <w:p>
      <w:pPr>
        <w:pageBreakBefore w:val="0"/>
        <w:widowControl w:val="0"/>
        <w:tabs>
          <w:tab w:val="left" w:pos="180"/>
        </w:tabs>
        <w:kinsoku/>
        <w:wordWrap/>
        <w:overflowPunct/>
        <w:topLinePunct w:val="0"/>
        <w:autoSpaceDE/>
        <w:autoSpaceDN/>
        <w:bidi w:val="0"/>
        <w:spacing w:beforeLines="0" w:afterLines="0" w:line="500" w:lineRule="exact"/>
        <w:ind w:firstLine="616"/>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⑦《不动产登记暂行条例》（2019年3月24日修正</w:t>
      </w:r>
      <w:r>
        <w:rPr>
          <w:rFonts w:hint="eastAsia" w:ascii="宋体" w:hAnsi="宋体" w:eastAsia="宋体" w:cs="宋体"/>
          <w:color w:val="auto"/>
          <w:sz w:val="28"/>
          <w:szCs w:val="24"/>
          <w:lang w:eastAsia="zh-CN"/>
        </w:rPr>
        <w:t>，中华人民共和国</w:t>
      </w:r>
      <w:r>
        <w:rPr>
          <w:rFonts w:hint="eastAsia" w:ascii="宋体" w:hAnsi="宋体" w:eastAsia="宋体" w:cs="宋体"/>
          <w:color w:val="auto"/>
          <w:sz w:val="28"/>
          <w:szCs w:val="24"/>
        </w:rPr>
        <w:t>国务院令第710号</w:t>
      </w:r>
      <w:r>
        <w:rPr>
          <w:rFonts w:hint="eastAsia" w:ascii="宋体" w:hAnsi="宋体" w:eastAsia="宋体" w:cs="宋体"/>
          <w:color w:val="auto"/>
          <w:sz w:val="28"/>
          <w:szCs w:val="24"/>
          <w:lang w:eastAsia="zh-CN"/>
        </w:rPr>
        <w:t>发布</w:t>
      </w:r>
      <w:r>
        <w:rPr>
          <w:rFonts w:hint="eastAsia" w:ascii="宋体" w:hAnsi="宋体" w:eastAsia="宋体" w:cs="宋体"/>
          <w:color w:val="auto"/>
          <w:sz w:val="28"/>
          <w:szCs w:val="24"/>
        </w:rPr>
        <w:t>）；</w:t>
      </w:r>
    </w:p>
    <w:p>
      <w:pPr>
        <w:pageBreakBefore w:val="0"/>
        <w:widowControl w:val="0"/>
        <w:tabs>
          <w:tab w:val="left" w:pos="180"/>
        </w:tabs>
        <w:kinsoku/>
        <w:wordWrap/>
        <w:overflowPunct/>
        <w:topLinePunct w:val="0"/>
        <w:autoSpaceDE/>
        <w:autoSpaceDN/>
        <w:bidi w:val="0"/>
        <w:spacing w:beforeLines="0" w:afterLines="0" w:line="500" w:lineRule="exact"/>
        <w:ind w:firstLine="616"/>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⑧《不动产登记暂行条例实施细则》（2019年7月16日</w:t>
      </w:r>
      <w:r>
        <w:rPr>
          <w:rFonts w:hint="eastAsia" w:ascii="宋体" w:hAnsi="宋体" w:eastAsia="宋体" w:cs="宋体"/>
          <w:color w:val="auto"/>
          <w:sz w:val="28"/>
          <w:szCs w:val="24"/>
          <w:lang w:eastAsia="zh-CN"/>
        </w:rPr>
        <w:t>修正，</w:t>
      </w:r>
      <w:r>
        <w:rPr>
          <w:rFonts w:hint="eastAsia" w:ascii="宋体" w:hAnsi="宋体" w:eastAsia="宋体" w:cs="宋体"/>
          <w:color w:val="auto"/>
          <w:sz w:val="28"/>
          <w:szCs w:val="24"/>
        </w:rPr>
        <w:t>自然资源部</w:t>
      </w:r>
      <w:r>
        <w:rPr>
          <w:rFonts w:hint="eastAsia" w:ascii="宋体" w:hAnsi="宋体" w:eastAsia="宋体" w:cs="宋体"/>
          <w:color w:val="auto"/>
          <w:sz w:val="28"/>
          <w:szCs w:val="24"/>
          <w:lang w:eastAsia="zh-CN"/>
        </w:rPr>
        <w:t>令</w:t>
      </w:r>
      <w:r>
        <w:rPr>
          <w:rFonts w:hint="eastAsia" w:ascii="宋体" w:hAnsi="宋体" w:eastAsia="宋体" w:cs="宋体"/>
          <w:color w:val="auto"/>
          <w:sz w:val="28"/>
          <w:szCs w:val="24"/>
        </w:rPr>
        <w:t>第</w:t>
      </w:r>
      <w:r>
        <w:rPr>
          <w:rFonts w:hint="eastAsia" w:ascii="宋体" w:hAnsi="宋体" w:eastAsia="宋体" w:cs="宋体"/>
          <w:color w:val="auto"/>
          <w:sz w:val="28"/>
          <w:szCs w:val="24"/>
          <w:lang w:val="en-US" w:eastAsia="zh-CN"/>
        </w:rPr>
        <w:t>5号</w:t>
      </w:r>
      <w:r>
        <w:rPr>
          <w:rFonts w:hint="eastAsia" w:ascii="宋体" w:hAnsi="宋体" w:eastAsia="宋体" w:cs="宋体"/>
          <w:color w:val="auto"/>
          <w:sz w:val="28"/>
          <w:szCs w:val="24"/>
          <w:lang w:eastAsia="zh-CN"/>
        </w:rPr>
        <w:t>发布</w:t>
      </w:r>
      <w:r>
        <w:rPr>
          <w:rFonts w:hint="eastAsia" w:ascii="宋体" w:hAnsi="宋体" w:eastAsia="宋体" w:cs="宋体"/>
          <w:color w:val="auto"/>
          <w:sz w:val="28"/>
          <w:szCs w:val="24"/>
        </w:rPr>
        <w:t>）；</w:t>
      </w:r>
    </w:p>
    <w:p>
      <w:pPr>
        <w:pageBreakBefore w:val="0"/>
        <w:widowControl w:val="0"/>
        <w:tabs>
          <w:tab w:val="left" w:pos="180"/>
        </w:tabs>
        <w:kinsoku/>
        <w:wordWrap/>
        <w:overflowPunct/>
        <w:topLinePunct w:val="0"/>
        <w:autoSpaceDE/>
        <w:autoSpaceDN/>
        <w:bidi w:val="0"/>
        <w:spacing w:beforeLines="0" w:afterLines="0" w:line="500" w:lineRule="exact"/>
        <w:ind w:firstLine="616"/>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⑨《关于人民法院民事执行中拍卖、变卖财产的规定》（根据2020年12月23日最高人民法院审判委员会第1823次会议通过的《最高人民法院关于修改〈最高人民法院关于人民法院扣押铁路运输货物若干问题的规定〉等十八件执行类司法解释的决定》修正）；</w:t>
      </w:r>
    </w:p>
    <w:p>
      <w:pPr>
        <w:pageBreakBefore w:val="0"/>
        <w:widowControl w:val="0"/>
        <w:tabs>
          <w:tab w:val="left" w:pos="180"/>
        </w:tabs>
        <w:kinsoku/>
        <w:wordWrap/>
        <w:overflowPunct/>
        <w:topLinePunct w:val="0"/>
        <w:autoSpaceDE/>
        <w:autoSpaceDN/>
        <w:bidi w:val="0"/>
        <w:spacing w:beforeLines="0" w:afterLines="0" w:line="500" w:lineRule="exact"/>
        <w:ind w:firstLine="616"/>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⑩《最高人民法院关于人民法院委托评估、拍卖工作的若干规定》（法释[2011]21号）；</w:t>
      </w:r>
    </w:p>
    <w:p>
      <w:pPr>
        <w:pageBreakBefore w:val="0"/>
        <w:widowControl w:val="0"/>
        <w:tabs>
          <w:tab w:val="left" w:pos="180"/>
        </w:tabs>
        <w:kinsoku/>
        <w:wordWrap/>
        <w:overflowPunct/>
        <w:topLinePunct w:val="0"/>
        <w:autoSpaceDE/>
        <w:autoSpaceDN/>
        <w:bidi w:val="0"/>
        <w:spacing w:beforeLines="0" w:afterLines="0" w:line="500" w:lineRule="exact"/>
        <w:ind w:firstLine="616"/>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⑪《最高人民法院关于人民法院确定财产处置参考价若干问题的规定》（法释[2018]15号，2018年9月1日起施行）；</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4"/>
        </w:rPr>
        <w:t>⑫</w:t>
      </w:r>
      <w:r>
        <w:rPr>
          <w:rFonts w:hint="eastAsia" w:ascii="宋体" w:hAnsi="宋体" w:eastAsia="宋体" w:cs="宋体"/>
          <w:color w:val="auto"/>
          <w:sz w:val="28"/>
          <w:szCs w:val="28"/>
        </w:rPr>
        <w:t>其他估价相关法律、法规和政策性文件。</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2.技术标准、规程、规范</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fldChar w:fldCharType="begin"/>
      </w:r>
      <w:r>
        <w:rPr>
          <w:rFonts w:hint="eastAsia" w:ascii="宋体" w:hAnsi="宋体" w:eastAsia="宋体" w:cs="宋体"/>
          <w:color w:val="auto"/>
          <w:sz w:val="28"/>
        </w:rPr>
        <w:instrText xml:space="preserve"> = 1 \* GB3 </w:instrText>
      </w:r>
      <w:r>
        <w:rPr>
          <w:rFonts w:hint="eastAsia" w:ascii="宋体" w:hAnsi="宋体" w:eastAsia="宋体" w:cs="宋体"/>
          <w:color w:val="auto"/>
          <w:sz w:val="28"/>
        </w:rPr>
        <w:fldChar w:fldCharType="separate"/>
      </w:r>
      <w:r>
        <w:rPr>
          <w:rFonts w:hint="eastAsia" w:ascii="宋体" w:hAnsi="宋体" w:eastAsia="宋体" w:cs="宋体"/>
          <w:color w:val="auto"/>
          <w:sz w:val="28"/>
        </w:rPr>
        <w:t>①</w:t>
      </w:r>
      <w:r>
        <w:rPr>
          <w:rFonts w:hint="eastAsia" w:ascii="宋体" w:hAnsi="宋体" w:eastAsia="宋体" w:cs="宋体"/>
          <w:color w:val="auto"/>
          <w:sz w:val="28"/>
        </w:rPr>
        <w:fldChar w:fldCharType="end"/>
      </w:r>
      <w:r>
        <w:rPr>
          <w:rFonts w:hint="eastAsia" w:ascii="宋体" w:hAnsi="宋体" w:eastAsia="宋体" w:cs="宋体"/>
          <w:color w:val="auto"/>
          <w:sz w:val="28"/>
        </w:rPr>
        <w:t>《房地产估价规范》(GB/T 50291-2015)；</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lang w:val="en-US" w:eastAsia="zh-CN"/>
        </w:rPr>
      </w:pPr>
      <w:r>
        <w:rPr>
          <w:rFonts w:hint="eastAsia" w:ascii="宋体" w:hAnsi="宋体" w:eastAsia="宋体" w:cs="宋体"/>
          <w:color w:val="auto"/>
          <w:sz w:val="28"/>
        </w:rPr>
        <w:fldChar w:fldCharType="begin"/>
      </w:r>
      <w:r>
        <w:rPr>
          <w:rFonts w:hint="eastAsia" w:ascii="宋体" w:hAnsi="宋体" w:eastAsia="宋体" w:cs="宋体"/>
          <w:color w:val="auto"/>
          <w:sz w:val="28"/>
        </w:rPr>
        <w:instrText xml:space="preserve"> = 2 \* GB3 </w:instrText>
      </w:r>
      <w:r>
        <w:rPr>
          <w:rFonts w:hint="eastAsia" w:ascii="宋体" w:hAnsi="宋体" w:eastAsia="宋体" w:cs="宋体"/>
          <w:color w:val="auto"/>
          <w:sz w:val="28"/>
        </w:rPr>
        <w:fldChar w:fldCharType="separate"/>
      </w:r>
      <w:r>
        <w:rPr>
          <w:rFonts w:hint="eastAsia" w:ascii="宋体" w:hAnsi="宋体" w:eastAsia="宋体" w:cs="宋体"/>
          <w:color w:val="auto"/>
          <w:sz w:val="28"/>
        </w:rPr>
        <w:t>②</w:t>
      </w:r>
      <w:r>
        <w:rPr>
          <w:rFonts w:hint="eastAsia" w:ascii="宋体" w:hAnsi="宋体" w:eastAsia="宋体" w:cs="宋体"/>
          <w:color w:val="auto"/>
          <w:sz w:val="28"/>
        </w:rPr>
        <w:fldChar w:fldCharType="end"/>
      </w:r>
      <w:r>
        <w:rPr>
          <w:rFonts w:hint="eastAsia" w:ascii="宋体" w:hAnsi="宋体" w:eastAsia="宋体" w:cs="宋体"/>
          <w:color w:val="auto"/>
          <w:sz w:val="28"/>
        </w:rPr>
        <w:tab/>
      </w:r>
      <w:r>
        <w:rPr>
          <w:rFonts w:hint="eastAsia" w:ascii="宋体" w:hAnsi="宋体" w:eastAsia="宋体" w:cs="宋体"/>
          <w:color w:val="auto"/>
          <w:sz w:val="28"/>
        </w:rPr>
        <w:t>《房地产估价基本术语标准》（GB/T 50899-2013）</w:t>
      </w:r>
      <w:r>
        <w:rPr>
          <w:rFonts w:hint="eastAsia" w:ascii="宋体" w:hAnsi="宋体" w:eastAsia="宋体" w:cs="宋体"/>
          <w:color w:val="auto"/>
          <w:sz w:val="28"/>
          <w:lang w:eastAsia="zh-CN"/>
        </w:rPr>
        <w:t>；</w:t>
      </w:r>
      <w:r>
        <w:rPr>
          <w:rFonts w:hint="eastAsia" w:ascii="宋体" w:hAnsi="宋体" w:eastAsia="宋体" w:cs="宋体"/>
          <w:color w:val="auto"/>
          <w:sz w:val="28"/>
          <w:lang w:val="en-US" w:eastAsia="zh-CN"/>
        </w:rPr>
        <w:t xml:space="preserve"> </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fldChar w:fldCharType="begin"/>
      </w:r>
      <w:r>
        <w:rPr>
          <w:rFonts w:hint="eastAsia" w:ascii="宋体" w:hAnsi="宋体" w:eastAsia="宋体" w:cs="宋体"/>
          <w:color w:val="auto"/>
          <w:sz w:val="28"/>
        </w:rPr>
        <w:instrText xml:space="preserve"> = 3 \* GB3 </w:instrText>
      </w:r>
      <w:r>
        <w:rPr>
          <w:rFonts w:hint="eastAsia" w:ascii="宋体" w:hAnsi="宋体" w:eastAsia="宋体" w:cs="宋体"/>
          <w:color w:val="auto"/>
          <w:sz w:val="28"/>
        </w:rPr>
        <w:fldChar w:fldCharType="separate"/>
      </w:r>
      <w:r>
        <w:rPr>
          <w:rFonts w:hint="eastAsia" w:ascii="宋体" w:hAnsi="宋体" w:eastAsia="宋体" w:cs="宋体"/>
          <w:color w:val="auto"/>
          <w:sz w:val="28"/>
        </w:rPr>
        <w:t>③</w:t>
      </w:r>
      <w:r>
        <w:rPr>
          <w:rFonts w:hint="eastAsia" w:ascii="宋体" w:hAnsi="宋体" w:eastAsia="宋体" w:cs="宋体"/>
          <w:color w:val="auto"/>
          <w:sz w:val="28"/>
        </w:rPr>
        <w:fldChar w:fldCharType="end"/>
      </w:r>
      <w:r>
        <w:rPr>
          <w:rFonts w:hint="eastAsia" w:ascii="宋体" w:hAnsi="宋体" w:eastAsia="宋体" w:cs="宋体"/>
          <w:color w:val="auto"/>
          <w:sz w:val="28"/>
        </w:rPr>
        <w:t>《房地产司法鉴定评估指导意见》（川建房发[2011]89号；</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lang w:val="en-US" w:eastAsia="zh-CN"/>
        </w:rPr>
      </w:pPr>
      <w:r>
        <w:rPr>
          <w:rFonts w:hint="eastAsia" w:ascii="宋体" w:hAnsi="宋体" w:eastAsia="宋体" w:cs="宋体"/>
          <w:color w:val="auto"/>
          <w:sz w:val="28"/>
        </w:rPr>
        <w:fldChar w:fldCharType="begin"/>
      </w:r>
      <w:r>
        <w:rPr>
          <w:rFonts w:hint="eastAsia" w:ascii="宋体" w:hAnsi="宋体" w:eastAsia="宋体" w:cs="宋体"/>
          <w:color w:val="auto"/>
          <w:sz w:val="28"/>
        </w:rPr>
        <w:instrText xml:space="preserve"> = 4 \* GB3 </w:instrText>
      </w:r>
      <w:r>
        <w:rPr>
          <w:rFonts w:hint="eastAsia" w:ascii="宋体" w:hAnsi="宋体" w:eastAsia="宋体" w:cs="宋体"/>
          <w:color w:val="auto"/>
          <w:sz w:val="28"/>
        </w:rPr>
        <w:fldChar w:fldCharType="separate"/>
      </w:r>
      <w:r>
        <w:rPr>
          <w:rFonts w:hint="eastAsia" w:ascii="宋体" w:hAnsi="宋体" w:eastAsia="宋体" w:cs="宋体"/>
          <w:color w:val="auto"/>
          <w:sz w:val="28"/>
        </w:rPr>
        <w:t>④</w:t>
      </w:r>
      <w:r>
        <w:rPr>
          <w:rFonts w:hint="eastAsia" w:ascii="宋体" w:hAnsi="宋体" w:eastAsia="宋体" w:cs="宋体"/>
          <w:color w:val="auto"/>
          <w:sz w:val="28"/>
        </w:rPr>
        <w:fldChar w:fldCharType="end"/>
      </w:r>
      <w:r>
        <w:rPr>
          <w:rFonts w:hint="eastAsia" w:ascii="宋体" w:hAnsi="宋体" w:eastAsia="宋体" w:cs="宋体"/>
          <w:color w:val="auto"/>
          <w:sz w:val="28"/>
        </w:rPr>
        <w:t>《城镇土地估价规程》(GB/T 18508-2014)</w:t>
      </w:r>
      <w:r>
        <w:rPr>
          <w:rFonts w:hint="eastAsia" w:ascii="宋体" w:hAnsi="宋体" w:eastAsia="宋体" w:cs="宋体"/>
          <w:color w:val="auto"/>
          <w:sz w:val="28"/>
          <w:lang w:eastAsia="zh-CN"/>
        </w:rPr>
        <w:t>；</w:t>
      </w:r>
      <w:r>
        <w:rPr>
          <w:rFonts w:hint="eastAsia" w:ascii="宋体" w:hAnsi="宋体" w:eastAsia="宋体" w:cs="宋体"/>
          <w:color w:val="auto"/>
          <w:sz w:val="28"/>
          <w:lang w:val="en-US" w:eastAsia="zh-CN"/>
        </w:rPr>
        <w:t xml:space="preserve"> </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⑤《关于印发&lt;涉执房地产处置司法评估指导意见(试行)&gt;的通知》(中房学〔2021〕37号)。</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3.估价委托人提供的相关资料</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①</w:t>
      </w:r>
      <w:r>
        <w:rPr>
          <w:rFonts w:hint="eastAsia" w:ascii="宋体" w:hAnsi="宋体" w:eastAsia="宋体" w:cs="宋体"/>
          <w:color w:val="auto"/>
          <w:sz w:val="28"/>
          <w:lang w:eastAsia="zh-CN"/>
        </w:rPr>
        <w:t>成都市成华区人民法院</w:t>
      </w:r>
      <w:r>
        <w:rPr>
          <w:rFonts w:hint="eastAsia" w:ascii="宋体" w:hAnsi="宋体" w:eastAsia="宋体" w:cs="宋体"/>
          <w:color w:val="auto"/>
          <w:sz w:val="28"/>
        </w:rPr>
        <w:t>《委托书》；</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②</w:t>
      </w:r>
      <w:r>
        <w:rPr>
          <w:rFonts w:hint="eastAsia" w:ascii="宋体" w:hAnsi="宋体" w:eastAsia="宋体" w:cs="宋体"/>
          <w:color w:val="auto"/>
          <w:sz w:val="28"/>
          <w:lang w:val="en-US" w:eastAsia="zh-CN"/>
        </w:rPr>
        <w:t>《成都市不动产登记信息查询结果》</w:t>
      </w:r>
      <w:r>
        <w:rPr>
          <w:rFonts w:hint="eastAsia" w:ascii="宋体" w:hAnsi="宋体" w:eastAsia="宋体" w:cs="宋体"/>
          <w:color w:val="auto"/>
          <w:sz w:val="28"/>
        </w:rPr>
        <w:t>复印件；</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t>4.估价人员调查收集的相关资料</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fldChar w:fldCharType="begin"/>
      </w:r>
      <w:r>
        <w:rPr>
          <w:rFonts w:hint="eastAsia" w:ascii="宋体" w:hAnsi="宋体" w:eastAsia="宋体" w:cs="宋体"/>
          <w:color w:val="auto"/>
          <w:sz w:val="28"/>
        </w:rPr>
        <w:instrText xml:space="preserve"> = 1 \* GB3 </w:instrText>
      </w:r>
      <w:r>
        <w:rPr>
          <w:rFonts w:hint="eastAsia" w:ascii="宋体" w:hAnsi="宋体" w:eastAsia="宋体" w:cs="宋体"/>
          <w:color w:val="auto"/>
          <w:sz w:val="28"/>
        </w:rPr>
        <w:fldChar w:fldCharType="separate"/>
      </w:r>
      <w:r>
        <w:rPr>
          <w:rFonts w:hint="eastAsia" w:ascii="宋体" w:hAnsi="宋体" w:eastAsia="宋体" w:cs="宋体"/>
          <w:color w:val="auto"/>
          <w:sz w:val="28"/>
        </w:rPr>
        <w:t>①</w:t>
      </w:r>
      <w:r>
        <w:rPr>
          <w:rFonts w:hint="eastAsia" w:ascii="宋体" w:hAnsi="宋体" w:eastAsia="宋体" w:cs="宋体"/>
          <w:color w:val="auto"/>
          <w:sz w:val="28"/>
        </w:rPr>
        <w:fldChar w:fldCharType="end"/>
      </w:r>
      <w:r>
        <w:rPr>
          <w:rFonts w:hint="eastAsia" w:ascii="宋体" w:hAnsi="宋体" w:eastAsia="宋体" w:cs="宋体"/>
          <w:color w:val="auto"/>
          <w:sz w:val="28"/>
        </w:rPr>
        <w:t>估价人员现场查勘和估价机构掌握的其他相关资料；</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color w:val="auto"/>
          <w:sz w:val="28"/>
        </w:rPr>
      </w:pPr>
      <w:r>
        <w:rPr>
          <w:rFonts w:hint="eastAsia" w:ascii="宋体" w:hAnsi="宋体" w:eastAsia="宋体" w:cs="宋体"/>
          <w:color w:val="auto"/>
          <w:sz w:val="28"/>
        </w:rPr>
        <w:fldChar w:fldCharType="begin"/>
      </w:r>
      <w:r>
        <w:rPr>
          <w:rFonts w:hint="eastAsia" w:ascii="宋体" w:hAnsi="宋体" w:eastAsia="宋体" w:cs="宋体"/>
          <w:color w:val="auto"/>
          <w:sz w:val="28"/>
        </w:rPr>
        <w:instrText xml:space="preserve"> = 2 \* GB3 </w:instrText>
      </w:r>
      <w:r>
        <w:rPr>
          <w:rFonts w:hint="eastAsia" w:ascii="宋体" w:hAnsi="宋体" w:eastAsia="宋体" w:cs="宋体"/>
          <w:color w:val="auto"/>
          <w:sz w:val="28"/>
        </w:rPr>
        <w:fldChar w:fldCharType="separate"/>
      </w:r>
      <w:r>
        <w:rPr>
          <w:rFonts w:hint="eastAsia" w:ascii="宋体" w:hAnsi="宋体" w:eastAsia="宋体" w:cs="宋体"/>
          <w:color w:val="auto"/>
          <w:sz w:val="28"/>
        </w:rPr>
        <w:t>②</w:t>
      </w:r>
      <w:r>
        <w:rPr>
          <w:rFonts w:hint="eastAsia" w:ascii="宋体" w:hAnsi="宋体" w:eastAsia="宋体" w:cs="宋体"/>
          <w:color w:val="auto"/>
          <w:sz w:val="28"/>
        </w:rPr>
        <w:fldChar w:fldCharType="end"/>
      </w:r>
      <w:r>
        <w:rPr>
          <w:rFonts w:hint="eastAsia" w:ascii="宋体" w:hAnsi="宋体" w:eastAsia="宋体" w:cs="宋体"/>
          <w:color w:val="auto"/>
          <w:sz w:val="28"/>
        </w:rPr>
        <w:t>估价对象所以区域的房地产市场状况、同类房地产市场交易等数据资料。</w:t>
      </w:r>
    </w:p>
    <w:bookmarkEnd w:id="41"/>
    <w:bookmarkEnd w:id="42"/>
    <w:bookmarkEnd w:id="43"/>
    <w:p>
      <w:pPr>
        <w:pageBreakBefore w:val="0"/>
        <w:widowControl w:val="0"/>
        <w:kinsoku/>
        <w:wordWrap/>
        <w:overflowPunct/>
        <w:topLinePunct w:val="0"/>
        <w:autoSpaceDE/>
        <w:autoSpaceDN/>
        <w:bidi w:val="0"/>
        <w:adjustRightInd w:val="0"/>
        <w:snapToGrid w:val="0"/>
        <w:spacing w:line="500" w:lineRule="exact"/>
        <w:ind w:firstLine="562" w:firstLineChars="200"/>
        <w:textAlignment w:val="auto"/>
        <w:outlineLvl w:val="1"/>
        <w:rPr>
          <w:rFonts w:hint="eastAsia" w:ascii="宋体" w:hAnsi="宋体" w:eastAsia="宋体" w:cs="宋体"/>
          <w:b/>
          <w:color w:val="auto"/>
          <w:sz w:val="28"/>
        </w:rPr>
      </w:pPr>
      <w:bookmarkStart w:id="44" w:name="_Toc18919"/>
      <w:bookmarkStart w:id="45" w:name="_Toc439690706"/>
      <w:bookmarkStart w:id="46" w:name="_Toc269456054"/>
      <w:r>
        <w:rPr>
          <w:rFonts w:hint="eastAsia" w:ascii="宋体" w:hAnsi="宋体" w:eastAsia="宋体" w:cs="宋体"/>
          <w:b/>
          <w:color w:val="auto"/>
          <w:sz w:val="28"/>
        </w:rPr>
        <w:t>九、估价方法</w:t>
      </w:r>
      <w:bookmarkEnd w:id="44"/>
      <w:bookmarkEnd w:id="45"/>
      <w:bookmarkEnd w:id="46"/>
    </w:p>
    <w:p>
      <w:pPr>
        <w:pageBreakBefore w:val="0"/>
        <w:widowControl w:val="0"/>
        <w:kinsoku/>
        <w:wordWrap/>
        <w:overflowPunct/>
        <w:topLinePunct w:val="0"/>
        <w:autoSpaceDE/>
        <w:autoSpaceDN/>
        <w:bidi w:val="0"/>
        <w:adjustRightInd w:val="0"/>
        <w:snapToGrid w:val="0"/>
        <w:spacing w:beforeLines="0" w:afterLines="0" w:line="500" w:lineRule="exact"/>
        <w:ind w:firstLine="560" w:firstLineChars="20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（一）估价方法的介绍</w:t>
      </w:r>
    </w:p>
    <w:p>
      <w:pPr>
        <w:pageBreakBefore w:val="0"/>
        <w:widowControl w:val="0"/>
        <w:kinsoku/>
        <w:wordWrap/>
        <w:overflowPunct/>
        <w:topLinePunct w:val="0"/>
        <w:autoSpaceDE/>
        <w:autoSpaceDN/>
        <w:bidi w:val="0"/>
        <w:adjustRightInd w:val="0"/>
        <w:snapToGrid w:val="0"/>
        <w:spacing w:beforeLines="0" w:afterLines="0" w:line="500" w:lineRule="exact"/>
        <w:ind w:firstLine="560" w:firstLineChars="20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房地产估价的常用方法有比较法、成本法、收益法、假设开发法等。</w:t>
      </w:r>
    </w:p>
    <w:p>
      <w:pPr>
        <w:pageBreakBefore w:val="0"/>
        <w:widowControl w:val="0"/>
        <w:kinsoku/>
        <w:wordWrap/>
        <w:overflowPunct/>
        <w:topLinePunct w:val="0"/>
        <w:autoSpaceDE/>
        <w:autoSpaceDN/>
        <w:bidi w:val="0"/>
        <w:adjustRightInd w:val="0"/>
        <w:snapToGrid w:val="0"/>
        <w:spacing w:beforeLines="0" w:afterLines="0" w:line="500" w:lineRule="exact"/>
        <w:ind w:firstLine="560" w:firstLineChars="20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比较法是将估价对象与在价值时点近期有过交易的类似房地产进行比较，对这些类似房地产的已知价格作适当的修正，以此估算估价对象的客观合理价格或价值的方法。比较法适用于区域同类房地产交易较活跃、交易资料易于收集的项目估价。</w:t>
      </w:r>
    </w:p>
    <w:p>
      <w:pPr>
        <w:pageBreakBefore w:val="0"/>
        <w:widowControl w:val="0"/>
        <w:kinsoku/>
        <w:wordWrap/>
        <w:overflowPunct/>
        <w:topLinePunct w:val="0"/>
        <w:autoSpaceDE/>
        <w:autoSpaceDN/>
        <w:bidi w:val="0"/>
        <w:adjustRightInd w:val="0"/>
        <w:snapToGrid w:val="0"/>
        <w:spacing w:beforeLines="0" w:afterLines="0" w:line="500" w:lineRule="exact"/>
        <w:ind w:firstLine="560" w:firstLineChars="20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成本法是求取估价对象在价值时点的重置价格或重建价格，然后扣除折旧，以此估算估价对象的客观合理价格或价值的方法。成本法适用于市场不发育地区房地产的估价。</w:t>
      </w:r>
    </w:p>
    <w:p>
      <w:pPr>
        <w:pageBreakBefore w:val="0"/>
        <w:widowControl w:val="0"/>
        <w:kinsoku/>
        <w:wordWrap/>
        <w:overflowPunct/>
        <w:topLinePunct w:val="0"/>
        <w:autoSpaceDE/>
        <w:autoSpaceDN/>
        <w:bidi w:val="0"/>
        <w:adjustRightInd w:val="0"/>
        <w:snapToGrid w:val="0"/>
        <w:spacing w:beforeLines="0" w:afterLines="0" w:line="500" w:lineRule="exact"/>
        <w:ind w:firstLine="560" w:firstLineChars="20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收益法是预计估价对象未来的正常净收益，选用适当的资本化率将其折算到价值时点后累加，以此估算估价对象的客观合理价格或价值的方法。收益法适用于有收益或有潜在收益的房地产估价。</w:t>
      </w:r>
    </w:p>
    <w:p>
      <w:pPr>
        <w:pageBreakBefore w:val="0"/>
        <w:widowControl w:val="0"/>
        <w:kinsoku/>
        <w:wordWrap/>
        <w:overflowPunct/>
        <w:topLinePunct w:val="0"/>
        <w:autoSpaceDE/>
        <w:autoSpaceDN/>
        <w:bidi w:val="0"/>
        <w:adjustRightInd w:val="0"/>
        <w:snapToGrid w:val="0"/>
        <w:spacing w:beforeLines="0" w:afterLines="0" w:line="500" w:lineRule="exact"/>
        <w:ind w:firstLine="560" w:firstLineChars="20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假设开发法是预计估价对象开发完成后的价值，扣除预计的正常开发成本、税费和利润等，以此估算估价对象的客观合理价格或价值的方法。假设开发法适用于具有投资开发或再开发潜力的房地产估价。</w:t>
      </w:r>
    </w:p>
    <w:p>
      <w:pPr>
        <w:pageBreakBefore w:val="0"/>
        <w:widowControl w:val="0"/>
        <w:kinsoku/>
        <w:wordWrap/>
        <w:overflowPunct/>
        <w:topLinePunct w:val="0"/>
        <w:autoSpaceDE/>
        <w:autoSpaceDN/>
        <w:bidi w:val="0"/>
        <w:adjustRightInd w:val="0"/>
        <w:snapToGrid w:val="0"/>
        <w:spacing w:beforeLines="0" w:afterLines="0" w:line="500" w:lineRule="exact"/>
        <w:ind w:firstLine="560" w:firstLineChars="20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（二）估价方法的选择依据</w:t>
      </w:r>
    </w:p>
    <w:p>
      <w:pPr>
        <w:pageBreakBefore w:val="0"/>
        <w:widowControl w:val="0"/>
        <w:kinsoku/>
        <w:wordWrap/>
        <w:overflowPunct/>
        <w:topLinePunct w:val="0"/>
        <w:autoSpaceDE/>
        <w:autoSpaceDN/>
        <w:bidi w:val="0"/>
        <w:spacing w:beforeLines="0" w:afterLines="0" w:line="500" w:lineRule="exact"/>
        <w:ind w:firstLine="560" w:firstLineChars="200"/>
        <w:jc w:val="left"/>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估价对象</w:t>
      </w:r>
      <w:r>
        <w:rPr>
          <w:rFonts w:hint="eastAsia" w:ascii="宋体" w:hAnsi="宋体" w:eastAsia="宋体" w:cs="宋体"/>
          <w:color w:val="auto"/>
          <w:sz w:val="28"/>
          <w:szCs w:val="24"/>
          <w:lang w:eastAsia="zh-CN"/>
        </w:rPr>
        <w:t>为</w:t>
      </w:r>
      <w:r>
        <w:rPr>
          <w:rFonts w:hint="eastAsia" w:ascii="宋体" w:hAnsi="宋体" w:eastAsia="宋体" w:cs="宋体"/>
          <w:color w:val="auto"/>
          <w:sz w:val="28"/>
          <w:szCs w:val="24"/>
          <w:lang w:val="en-US" w:eastAsia="zh-CN"/>
        </w:rPr>
        <w:t>商品住宅小区的车位</w:t>
      </w:r>
      <w:r>
        <w:rPr>
          <w:rFonts w:hint="eastAsia" w:ascii="宋体" w:hAnsi="宋体" w:eastAsia="宋体" w:cs="宋体"/>
          <w:color w:val="auto"/>
          <w:sz w:val="28"/>
          <w:szCs w:val="24"/>
        </w:rPr>
        <w:t>，鉴于估价对象所在地区房地产市场具有可比性的类似房屋</w:t>
      </w:r>
      <w:r>
        <w:rPr>
          <w:rFonts w:hint="eastAsia" w:ascii="宋体" w:hAnsi="宋体" w:eastAsia="宋体" w:cs="宋体"/>
          <w:color w:val="auto"/>
          <w:sz w:val="28"/>
          <w:szCs w:val="24"/>
          <w:lang w:val="en-US" w:eastAsia="zh-CN"/>
        </w:rPr>
        <w:t>有市场</w:t>
      </w:r>
      <w:r>
        <w:rPr>
          <w:rFonts w:hint="eastAsia" w:ascii="宋体" w:hAnsi="宋体" w:eastAsia="宋体" w:cs="宋体"/>
          <w:color w:val="auto"/>
          <w:sz w:val="28"/>
          <w:szCs w:val="24"/>
        </w:rPr>
        <w:t>交易，故宜采用比较法进行评估。估价对象类似</w:t>
      </w:r>
      <w:r>
        <w:rPr>
          <w:rFonts w:hint="eastAsia" w:ascii="宋体" w:hAnsi="宋体" w:eastAsia="宋体" w:cs="宋体"/>
          <w:color w:val="auto"/>
          <w:sz w:val="28"/>
          <w:szCs w:val="24"/>
          <w:lang w:val="en-US" w:eastAsia="zh-CN"/>
        </w:rPr>
        <w:t>车位</w:t>
      </w:r>
      <w:r>
        <w:rPr>
          <w:rFonts w:hint="eastAsia" w:ascii="宋体" w:hAnsi="宋体" w:eastAsia="宋体" w:cs="宋体"/>
          <w:color w:val="auto"/>
          <w:sz w:val="28"/>
          <w:szCs w:val="24"/>
          <w:lang w:eastAsia="zh-CN"/>
        </w:rPr>
        <w:t>用房</w:t>
      </w:r>
      <w:r>
        <w:rPr>
          <w:rFonts w:hint="eastAsia" w:ascii="宋体" w:hAnsi="宋体" w:eastAsia="宋体" w:cs="宋体"/>
          <w:color w:val="auto"/>
          <w:sz w:val="28"/>
          <w:szCs w:val="24"/>
          <w:lang w:val="en-US" w:eastAsia="zh-CN"/>
        </w:rPr>
        <w:t>为商品住宅小区的配套房屋，其</w:t>
      </w:r>
      <w:r>
        <w:rPr>
          <w:rFonts w:hint="eastAsia" w:ascii="宋体" w:hAnsi="宋体" w:eastAsia="宋体" w:cs="宋体"/>
          <w:color w:val="auto"/>
          <w:sz w:val="28"/>
          <w:szCs w:val="24"/>
        </w:rPr>
        <w:t>价格</w:t>
      </w:r>
      <w:r>
        <w:rPr>
          <w:rFonts w:hint="eastAsia" w:ascii="宋体" w:hAnsi="宋体" w:eastAsia="宋体" w:cs="宋体"/>
          <w:color w:val="auto"/>
          <w:sz w:val="28"/>
          <w:szCs w:val="24"/>
          <w:lang w:val="en-US" w:eastAsia="zh-CN"/>
        </w:rPr>
        <w:t>主要取决于供需关系，</w:t>
      </w:r>
      <w:r>
        <w:rPr>
          <w:rFonts w:hint="eastAsia" w:ascii="宋体" w:hAnsi="宋体" w:eastAsia="宋体" w:cs="宋体"/>
          <w:color w:val="auto"/>
          <w:sz w:val="28"/>
          <w:szCs w:val="24"/>
        </w:rPr>
        <w:t>与</w:t>
      </w:r>
      <w:r>
        <w:rPr>
          <w:rFonts w:hint="eastAsia" w:ascii="宋体" w:hAnsi="宋体" w:eastAsia="宋体" w:cs="宋体"/>
          <w:color w:val="auto"/>
          <w:sz w:val="28"/>
          <w:szCs w:val="24"/>
          <w:lang w:val="en-US" w:eastAsia="zh-CN"/>
        </w:rPr>
        <w:t>建造</w:t>
      </w:r>
      <w:r>
        <w:rPr>
          <w:rFonts w:hint="eastAsia" w:ascii="宋体" w:hAnsi="宋体" w:eastAsia="宋体" w:cs="宋体"/>
          <w:color w:val="auto"/>
          <w:sz w:val="28"/>
          <w:szCs w:val="24"/>
        </w:rPr>
        <w:t>成本关联性弱，同时成本法一般应用于市场不发育区域房地产估价，</w:t>
      </w:r>
      <w:r>
        <w:rPr>
          <w:rFonts w:hint="eastAsia" w:ascii="宋体" w:hAnsi="宋体" w:eastAsia="宋体" w:cs="宋体"/>
          <w:color w:val="auto"/>
          <w:sz w:val="28"/>
          <w:szCs w:val="24"/>
          <w:lang w:val="en-US" w:eastAsia="zh-CN"/>
        </w:rPr>
        <w:t>故</w:t>
      </w:r>
      <w:r>
        <w:rPr>
          <w:rFonts w:hint="eastAsia" w:ascii="宋体" w:hAnsi="宋体" w:eastAsia="宋体" w:cs="宋体"/>
          <w:color w:val="auto"/>
          <w:sz w:val="28"/>
          <w:szCs w:val="24"/>
        </w:rPr>
        <w:t>采用成本法测算的结果难以准确反映房地产的实际市场价值，不适宜采用成本法作为评估方法。估价对象类似</w:t>
      </w:r>
      <w:r>
        <w:rPr>
          <w:rFonts w:hint="eastAsia" w:ascii="宋体" w:hAnsi="宋体" w:eastAsia="宋体" w:cs="宋体"/>
          <w:color w:val="auto"/>
          <w:sz w:val="28"/>
          <w:szCs w:val="24"/>
          <w:lang w:val="en-US" w:eastAsia="zh-CN"/>
        </w:rPr>
        <w:t>车位</w:t>
      </w:r>
      <w:r>
        <w:rPr>
          <w:rFonts w:hint="eastAsia" w:ascii="宋体" w:hAnsi="宋体" w:eastAsia="宋体" w:cs="宋体"/>
          <w:color w:val="auto"/>
          <w:sz w:val="28"/>
          <w:szCs w:val="24"/>
          <w:lang w:eastAsia="zh-CN"/>
        </w:rPr>
        <w:t>用房</w:t>
      </w:r>
      <w:r>
        <w:rPr>
          <w:rFonts w:hint="eastAsia" w:ascii="宋体" w:hAnsi="宋体" w:eastAsia="宋体" w:cs="宋体"/>
          <w:color w:val="auto"/>
          <w:sz w:val="28"/>
          <w:szCs w:val="24"/>
          <w:lang w:val="en-US" w:eastAsia="zh-CN"/>
        </w:rPr>
        <w:t>为商品住宅小区的配套房屋，</w:t>
      </w:r>
      <w:r>
        <w:rPr>
          <w:rFonts w:hint="eastAsia" w:ascii="宋体" w:hAnsi="宋体" w:eastAsia="宋体" w:cs="宋体"/>
          <w:color w:val="auto"/>
          <w:sz w:val="28"/>
          <w:szCs w:val="24"/>
        </w:rPr>
        <w:t>不属于典型的收益性房地产，</w:t>
      </w:r>
      <w:r>
        <w:rPr>
          <w:rFonts w:hint="eastAsia" w:ascii="宋体" w:hAnsi="宋体" w:eastAsia="宋体" w:cs="宋体"/>
          <w:color w:val="auto"/>
          <w:sz w:val="28"/>
          <w:szCs w:val="24"/>
          <w:lang w:val="en-US" w:eastAsia="zh-CN"/>
        </w:rPr>
        <w:t>其</w:t>
      </w:r>
      <w:r>
        <w:rPr>
          <w:rFonts w:hint="eastAsia" w:ascii="宋体" w:hAnsi="宋体" w:eastAsia="宋体" w:cs="宋体"/>
          <w:color w:val="auto"/>
          <w:sz w:val="28"/>
          <w:szCs w:val="24"/>
        </w:rPr>
        <w:t>价格</w:t>
      </w:r>
      <w:r>
        <w:rPr>
          <w:rFonts w:hint="eastAsia" w:ascii="宋体" w:hAnsi="宋体" w:eastAsia="宋体" w:cs="宋体"/>
          <w:color w:val="auto"/>
          <w:sz w:val="28"/>
          <w:szCs w:val="24"/>
          <w:lang w:val="en-US" w:eastAsia="zh-CN"/>
        </w:rPr>
        <w:t>主要取决于供需关系，</w:t>
      </w:r>
      <w:r>
        <w:rPr>
          <w:rFonts w:hint="eastAsia" w:ascii="宋体" w:hAnsi="宋体" w:eastAsia="宋体" w:cs="宋体"/>
          <w:color w:val="auto"/>
          <w:sz w:val="28"/>
          <w:szCs w:val="24"/>
        </w:rPr>
        <w:t>基于出租目的</w:t>
      </w:r>
      <w:r>
        <w:rPr>
          <w:rFonts w:hint="eastAsia" w:ascii="宋体" w:hAnsi="宋体" w:cs="宋体"/>
          <w:color w:val="auto"/>
          <w:sz w:val="28"/>
          <w:szCs w:val="24"/>
          <w:lang w:val="en-US" w:eastAsia="zh-CN"/>
        </w:rPr>
        <w:t>投资</w:t>
      </w:r>
      <w:r>
        <w:rPr>
          <w:rFonts w:hint="eastAsia" w:ascii="宋体" w:hAnsi="宋体" w:eastAsia="宋体" w:cs="宋体"/>
          <w:color w:val="auto"/>
          <w:sz w:val="28"/>
          <w:szCs w:val="24"/>
        </w:rPr>
        <w:t>购买行为较少，采用收益法测算易与房屋市场价值产生较大偏差，故</w:t>
      </w:r>
      <w:r>
        <w:rPr>
          <w:rFonts w:hint="eastAsia" w:ascii="宋体" w:hAnsi="宋体" w:eastAsia="宋体" w:cs="宋体"/>
          <w:color w:val="auto"/>
          <w:sz w:val="28"/>
          <w:szCs w:val="24"/>
          <w:lang w:val="en-US" w:eastAsia="zh-CN"/>
        </w:rPr>
        <w:t>也</w:t>
      </w:r>
      <w:r>
        <w:rPr>
          <w:rFonts w:hint="eastAsia" w:ascii="宋体" w:hAnsi="宋体" w:eastAsia="宋体" w:cs="宋体"/>
          <w:color w:val="auto"/>
          <w:sz w:val="28"/>
          <w:szCs w:val="24"/>
        </w:rPr>
        <w:t>不宜采用收益法</w:t>
      </w:r>
      <w:r>
        <w:rPr>
          <w:rFonts w:hint="eastAsia" w:ascii="宋体" w:hAnsi="宋体" w:eastAsia="宋体" w:cs="宋体"/>
          <w:color w:val="auto"/>
          <w:sz w:val="28"/>
          <w:szCs w:val="24"/>
          <w:lang w:eastAsia="zh-CN"/>
        </w:rPr>
        <w:t>。</w:t>
      </w:r>
      <w:r>
        <w:rPr>
          <w:rFonts w:hint="eastAsia" w:ascii="宋体" w:hAnsi="宋体" w:eastAsia="宋体" w:cs="宋体"/>
          <w:color w:val="auto"/>
          <w:sz w:val="28"/>
          <w:szCs w:val="24"/>
        </w:rPr>
        <w:t>估价对象属于已建成并</w:t>
      </w:r>
      <w:r>
        <w:rPr>
          <w:rFonts w:hint="eastAsia" w:ascii="宋体" w:hAnsi="宋体" w:eastAsia="宋体" w:cs="宋体"/>
          <w:color w:val="auto"/>
          <w:sz w:val="28"/>
          <w:szCs w:val="24"/>
          <w:lang w:eastAsia="zh-CN"/>
        </w:rPr>
        <w:t>正常</w:t>
      </w:r>
      <w:r>
        <w:rPr>
          <w:rFonts w:hint="eastAsia" w:ascii="宋体" w:hAnsi="宋体" w:eastAsia="宋体" w:cs="宋体"/>
          <w:color w:val="auto"/>
          <w:sz w:val="28"/>
          <w:szCs w:val="24"/>
        </w:rPr>
        <w:t>使用的物业，为所属宗地内的局部房地产，目前楼栋处于正常利用状态，转换用途、装修改造等利用方式</w:t>
      </w:r>
      <w:r>
        <w:rPr>
          <w:rFonts w:hint="eastAsia" w:ascii="宋体" w:hAnsi="宋体" w:cs="宋体"/>
          <w:color w:val="auto"/>
          <w:sz w:val="28"/>
          <w:szCs w:val="24"/>
          <w:lang w:val="en-US" w:eastAsia="zh-CN"/>
        </w:rPr>
        <w:t>不合法或不经济</w:t>
      </w:r>
      <w:r>
        <w:rPr>
          <w:rFonts w:hint="eastAsia" w:ascii="宋体" w:hAnsi="宋体" w:eastAsia="宋体" w:cs="宋体"/>
          <w:color w:val="auto"/>
          <w:sz w:val="28"/>
          <w:szCs w:val="24"/>
        </w:rPr>
        <w:t>，故亦不适宜采用假设开发法估价。</w:t>
      </w:r>
    </w:p>
    <w:p>
      <w:pPr>
        <w:pageBreakBefore w:val="0"/>
        <w:widowControl w:val="0"/>
        <w:kinsoku/>
        <w:wordWrap/>
        <w:overflowPunct/>
        <w:topLinePunct w:val="0"/>
        <w:autoSpaceDE/>
        <w:autoSpaceDN/>
        <w:bidi w:val="0"/>
        <w:spacing w:beforeLines="0" w:afterLines="0" w:line="500" w:lineRule="exact"/>
        <w:ind w:firstLine="560" w:firstLineChars="200"/>
        <w:jc w:val="left"/>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根据以上分析，估价对象适宜采用</w:t>
      </w:r>
      <w:r>
        <w:rPr>
          <w:rFonts w:hint="eastAsia" w:ascii="宋体" w:hAnsi="宋体" w:eastAsia="宋体" w:cs="宋体"/>
          <w:color w:val="auto"/>
          <w:sz w:val="28"/>
          <w:szCs w:val="24"/>
          <w:lang w:val="en-US" w:eastAsia="zh-CN"/>
        </w:rPr>
        <w:t>比较法</w:t>
      </w:r>
      <w:r>
        <w:rPr>
          <w:rFonts w:hint="eastAsia" w:ascii="宋体" w:hAnsi="宋体" w:eastAsia="宋体" w:cs="宋体"/>
          <w:color w:val="auto"/>
          <w:sz w:val="28"/>
          <w:szCs w:val="24"/>
        </w:rPr>
        <w:t>估价。</w:t>
      </w:r>
    </w:p>
    <w:p>
      <w:pPr>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w:t>
      </w:r>
      <w:r>
        <w:rPr>
          <w:rFonts w:hint="eastAsia" w:ascii="宋体" w:hAnsi="宋体" w:eastAsia="宋体" w:cs="宋体"/>
          <w:color w:val="auto"/>
          <w:sz w:val="28"/>
          <w:szCs w:val="24"/>
          <w:lang w:val="en-US" w:eastAsia="zh-CN"/>
        </w:rPr>
        <w:t>三</w:t>
      </w:r>
      <w:r>
        <w:rPr>
          <w:rFonts w:hint="eastAsia" w:ascii="宋体" w:hAnsi="宋体" w:eastAsia="宋体" w:cs="宋体"/>
          <w:color w:val="auto"/>
          <w:sz w:val="28"/>
          <w:szCs w:val="24"/>
        </w:rPr>
        <w:t>）简要测算过程</w:t>
      </w:r>
    </w:p>
    <w:p>
      <w:pPr>
        <w:pageBreakBefore w:val="0"/>
        <w:widowControl w:val="0"/>
        <w:kinsoku/>
        <w:wordWrap/>
        <w:overflowPunct/>
        <w:topLinePunct w:val="0"/>
        <w:autoSpaceDE/>
        <w:autoSpaceDN/>
        <w:bidi w:val="0"/>
        <w:spacing w:line="500" w:lineRule="exact"/>
        <w:ind w:firstLine="560" w:firstLineChars="200"/>
        <w:jc w:val="left"/>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据前述本次采用比较法估价，其应用公式及其测算过程如下：</w:t>
      </w:r>
    </w:p>
    <w:p>
      <w:pPr>
        <w:pageBreakBefore w:val="0"/>
        <w:widowControl w:val="0"/>
        <w:kinsoku/>
        <w:wordWrap/>
        <w:overflowPunct/>
        <w:topLinePunct w:val="0"/>
        <w:autoSpaceDE/>
        <w:autoSpaceDN/>
        <w:bidi w:val="0"/>
        <w:spacing w:line="500" w:lineRule="exact"/>
        <w:ind w:firstLine="560" w:firstLineChars="200"/>
        <w:jc w:val="left"/>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估价对象房地产的比准价格＝可比案例成交单价×交易情况修正×市场状况调整×区域状况调整×实物状况调整×权益状况调整。</w:t>
      </w:r>
    </w:p>
    <w:p>
      <w:pPr>
        <w:pageBreakBefore w:val="0"/>
        <w:widowControl w:val="0"/>
        <w:kinsoku/>
        <w:wordWrap/>
        <w:overflowPunct/>
        <w:topLinePunct w:val="0"/>
        <w:autoSpaceDE/>
        <w:autoSpaceDN/>
        <w:bidi w:val="0"/>
        <w:spacing w:line="500" w:lineRule="exact"/>
        <w:ind w:firstLine="560" w:firstLineChars="200"/>
        <w:jc w:val="left"/>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运用比较法估价按下列步骤进行：</w:t>
      </w:r>
      <w:r>
        <w:rPr>
          <w:rFonts w:hint="eastAsia" w:ascii="宋体" w:hAnsi="宋体" w:eastAsia="宋体" w:cs="宋体"/>
          <w:color w:val="auto"/>
          <w:sz w:val="28"/>
          <w:szCs w:val="24"/>
        </w:rPr>
        <w:fldChar w:fldCharType="begin"/>
      </w:r>
      <w:r>
        <w:rPr>
          <w:rFonts w:hint="eastAsia" w:ascii="宋体" w:hAnsi="宋体" w:eastAsia="宋体" w:cs="宋体"/>
          <w:color w:val="auto"/>
          <w:sz w:val="28"/>
          <w:szCs w:val="24"/>
        </w:rPr>
        <w:instrText xml:space="preserve"> = 1 \* GB3 </w:instrText>
      </w:r>
      <w:r>
        <w:rPr>
          <w:rFonts w:hint="eastAsia" w:ascii="宋体" w:hAnsi="宋体" w:eastAsia="宋体" w:cs="宋体"/>
          <w:color w:val="auto"/>
          <w:sz w:val="28"/>
          <w:szCs w:val="24"/>
        </w:rPr>
        <w:fldChar w:fldCharType="separate"/>
      </w:r>
      <w:r>
        <w:rPr>
          <w:rFonts w:hint="eastAsia" w:ascii="宋体" w:hAnsi="宋体" w:eastAsia="宋体" w:cs="宋体"/>
          <w:color w:val="auto"/>
          <w:sz w:val="28"/>
          <w:szCs w:val="24"/>
        </w:rPr>
        <w:t>①</w:t>
      </w:r>
      <w:r>
        <w:rPr>
          <w:rFonts w:hint="eastAsia" w:ascii="宋体" w:hAnsi="宋体" w:eastAsia="宋体" w:cs="宋体"/>
          <w:color w:val="auto"/>
          <w:sz w:val="28"/>
          <w:szCs w:val="24"/>
        </w:rPr>
        <w:fldChar w:fldCharType="end"/>
      </w:r>
      <w:r>
        <w:rPr>
          <w:rFonts w:hint="eastAsia" w:ascii="宋体" w:hAnsi="宋体" w:eastAsia="宋体" w:cs="宋体"/>
          <w:color w:val="auto"/>
          <w:sz w:val="28"/>
          <w:szCs w:val="24"/>
        </w:rPr>
        <w:t>选取可比实例，对可比实例进行情况说明；②建立价格可比基础；③进行交易情况修正；④进行市场状况调整；⑤区位状况调整；⑥实物状况调整；⑦权益状况调整；⑧求出比准价格。</w:t>
      </w:r>
    </w:p>
    <w:p>
      <w:pPr>
        <w:pageBreakBefore w:val="0"/>
        <w:widowControl w:val="0"/>
        <w:kinsoku/>
        <w:wordWrap/>
        <w:overflowPunct/>
        <w:topLinePunct w:val="0"/>
        <w:autoSpaceDE/>
        <w:autoSpaceDN/>
        <w:bidi w:val="0"/>
        <w:adjustRightInd w:val="0"/>
        <w:snapToGrid w:val="0"/>
        <w:spacing w:line="500" w:lineRule="exact"/>
        <w:ind w:firstLine="562" w:firstLineChars="200"/>
        <w:textAlignment w:val="auto"/>
        <w:outlineLvl w:val="1"/>
        <w:rPr>
          <w:rFonts w:hint="eastAsia" w:ascii="宋体" w:hAnsi="宋体" w:eastAsia="宋体" w:cs="宋体"/>
          <w:b/>
          <w:color w:val="auto"/>
          <w:sz w:val="28"/>
        </w:rPr>
      </w:pPr>
      <w:bookmarkStart w:id="47" w:name="_Toc269456055"/>
      <w:bookmarkStart w:id="48" w:name="_Toc28515"/>
      <w:bookmarkStart w:id="49" w:name="_Toc439690707"/>
      <w:r>
        <w:rPr>
          <w:rFonts w:hint="eastAsia" w:ascii="宋体" w:hAnsi="宋体" w:eastAsia="宋体" w:cs="宋体"/>
          <w:b/>
          <w:color w:val="auto"/>
          <w:sz w:val="28"/>
        </w:rPr>
        <w:t>十、</w:t>
      </w:r>
      <w:bookmarkEnd w:id="47"/>
      <w:r>
        <w:rPr>
          <w:rFonts w:hint="eastAsia" w:ascii="宋体" w:hAnsi="宋体" w:eastAsia="宋体" w:cs="宋体"/>
          <w:b/>
          <w:color w:val="auto"/>
          <w:sz w:val="28"/>
        </w:rPr>
        <w:t>估价结果</w:t>
      </w:r>
      <w:bookmarkEnd w:id="48"/>
      <w:bookmarkEnd w:id="49"/>
    </w:p>
    <w:p>
      <w:pPr>
        <w:pageBreakBefore w:val="0"/>
        <w:widowControl w:val="0"/>
        <w:kinsoku/>
        <w:wordWrap/>
        <w:overflowPunct/>
        <w:topLinePunct w:val="0"/>
        <w:autoSpaceDE/>
        <w:autoSpaceDN/>
        <w:bidi w:val="0"/>
        <w:adjustRightInd w:val="0"/>
        <w:snapToGrid w:val="0"/>
        <w:spacing w:line="500" w:lineRule="exact"/>
        <w:ind w:firstLine="420" w:firstLineChars="150"/>
        <w:textAlignment w:val="auto"/>
        <w:rPr>
          <w:rFonts w:hint="eastAsia" w:ascii="宋体" w:hAnsi="宋体" w:eastAsia="宋体" w:cs="宋体"/>
          <w:color w:val="0000FF"/>
          <w:sz w:val="28"/>
          <w:lang w:eastAsia="zh-CN"/>
        </w:rPr>
      </w:pPr>
      <w:r>
        <w:rPr>
          <w:rFonts w:hint="eastAsia" w:ascii="宋体" w:hAnsi="宋体" w:eastAsia="宋体" w:cs="宋体"/>
          <w:color w:val="auto"/>
          <w:sz w:val="28"/>
        </w:rPr>
        <w:t xml:space="preserve"> 估价人员在认真分析委托方提供的资料，以及注册估价师现场查勘和市场调查取得资料的基础上，对影响估价对象房地产价值的因素进行了综合分析，</w:t>
      </w:r>
      <w:r>
        <w:rPr>
          <w:rFonts w:hint="eastAsia" w:ascii="宋体" w:hAnsi="宋体" w:eastAsia="宋体" w:cs="宋体"/>
          <w:color w:val="auto"/>
          <w:sz w:val="28"/>
          <w:lang w:eastAsia="zh-CN"/>
        </w:rPr>
        <w:t>经</w:t>
      </w:r>
      <w:r>
        <w:rPr>
          <w:rFonts w:hint="eastAsia" w:ascii="宋体" w:hAnsi="宋体" w:eastAsia="宋体" w:cs="宋体"/>
          <w:color w:val="auto"/>
          <w:sz w:val="28"/>
        </w:rPr>
        <w:t>测算确定估价对象在价值时点的市场价值为</w:t>
      </w:r>
      <w:r>
        <w:rPr>
          <w:rFonts w:hint="eastAsia" w:ascii="宋体" w:hAnsi="宋体" w:eastAsia="宋体" w:cs="宋体"/>
          <w:color w:val="auto"/>
          <w:spacing w:val="-2"/>
          <w:sz w:val="28"/>
        </w:rPr>
        <w:t>人民币</w:t>
      </w:r>
      <w:r>
        <w:rPr>
          <w:rFonts w:hint="eastAsia" w:ascii="宋体" w:hAnsi="宋体" w:eastAsia="宋体" w:cs="宋体"/>
          <w:b/>
          <w:bCs/>
          <w:color w:val="auto"/>
          <w:spacing w:val="-2"/>
          <w:sz w:val="28"/>
          <w:lang w:eastAsia="zh-CN"/>
        </w:rPr>
        <w:t>2354.8万元</w:t>
      </w:r>
      <w:r>
        <w:rPr>
          <w:rFonts w:hint="eastAsia" w:ascii="宋体" w:hAnsi="宋体" w:cs="宋体"/>
          <w:b/>
          <w:bCs/>
          <w:color w:val="auto"/>
          <w:spacing w:val="-2"/>
          <w:sz w:val="28"/>
          <w:lang w:eastAsia="zh-CN"/>
        </w:rPr>
        <w:t>，</w:t>
      </w:r>
      <w:r>
        <w:rPr>
          <w:rFonts w:hint="eastAsia" w:ascii="宋体" w:hAnsi="宋体" w:eastAsia="宋体" w:cs="宋体"/>
          <w:color w:val="auto"/>
          <w:spacing w:val="-2"/>
          <w:sz w:val="28"/>
        </w:rPr>
        <w:t>大写</w:t>
      </w:r>
      <w:r>
        <w:rPr>
          <w:rFonts w:hint="eastAsia" w:ascii="宋体" w:hAnsi="宋体" w:eastAsia="宋体" w:cs="宋体"/>
          <w:b/>
          <w:bCs/>
          <w:color w:val="auto"/>
          <w:spacing w:val="-2"/>
          <w:sz w:val="28"/>
          <w:lang w:val="en-US" w:eastAsia="zh-CN"/>
        </w:rPr>
        <w:t>人民币</w:t>
      </w:r>
      <w:r>
        <w:rPr>
          <w:rFonts w:hint="eastAsia" w:ascii="宋体" w:hAnsi="宋体" w:eastAsia="宋体" w:cs="宋体"/>
          <w:b/>
          <w:bCs/>
          <w:color w:val="auto"/>
          <w:spacing w:val="-2"/>
          <w:sz w:val="28"/>
          <w:lang w:eastAsia="zh-CN"/>
        </w:rPr>
        <w:t>贰仟叁佰伍拾肆万捌仟元</w:t>
      </w:r>
      <w:r>
        <w:rPr>
          <w:rFonts w:hint="eastAsia" w:ascii="宋体" w:hAnsi="宋体" w:eastAsia="宋体" w:cs="宋体"/>
          <w:b/>
          <w:bCs/>
          <w:color w:val="auto"/>
          <w:spacing w:val="-2"/>
          <w:sz w:val="28"/>
        </w:rPr>
        <w:t>整</w:t>
      </w:r>
      <w:r>
        <w:rPr>
          <w:rFonts w:hint="eastAsia" w:ascii="宋体" w:hAnsi="宋体" w:eastAsia="宋体" w:cs="宋体"/>
          <w:color w:val="auto"/>
          <w:spacing w:val="-2"/>
          <w:sz w:val="28"/>
        </w:rPr>
        <w:t>。</w:t>
      </w:r>
      <w:r>
        <w:rPr>
          <w:rFonts w:hint="eastAsia" w:ascii="宋体" w:hAnsi="宋体" w:eastAsia="宋体" w:cs="宋体"/>
          <w:color w:val="auto"/>
          <w:sz w:val="28"/>
        </w:rPr>
        <w:t>具体详见</w:t>
      </w:r>
      <w:r>
        <w:rPr>
          <w:rFonts w:hint="eastAsia" w:ascii="宋体" w:hAnsi="宋体" w:cs="宋体"/>
          <w:color w:val="auto"/>
          <w:sz w:val="28"/>
          <w:lang w:eastAsia="zh-CN"/>
        </w:rPr>
        <w:t>《估价结果一览表》</w:t>
      </w:r>
      <w:r>
        <w:rPr>
          <w:rFonts w:hint="eastAsia" w:ascii="宋体" w:hAnsi="宋体" w:eastAsia="宋体" w:cs="宋体"/>
          <w:color w:val="auto"/>
          <w:sz w:val="28"/>
          <w:lang w:eastAsia="zh-CN"/>
        </w:rPr>
        <w:t>。</w:t>
      </w:r>
    </w:p>
    <w:p>
      <w:pPr>
        <w:tabs>
          <w:tab w:val="left" w:pos="180"/>
          <w:tab w:val="left" w:pos="3640"/>
        </w:tabs>
        <w:spacing w:line="500" w:lineRule="exact"/>
        <w:ind w:firstLine="703" w:firstLineChars="250"/>
        <w:outlineLvl w:val="1"/>
        <w:rPr>
          <w:rFonts w:hint="eastAsia" w:ascii="宋体" w:hAnsi="宋体" w:eastAsia="宋体" w:cs="宋体"/>
          <w:b/>
          <w:color w:val="auto"/>
          <w:sz w:val="28"/>
        </w:rPr>
      </w:pPr>
      <w:bookmarkStart w:id="50" w:name="_Toc12028"/>
      <w:bookmarkStart w:id="51" w:name="_Toc439690708"/>
      <w:bookmarkStart w:id="52" w:name="_Toc371457326"/>
      <w:bookmarkStart w:id="53" w:name="_Toc371457412"/>
      <w:bookmarkStart w:id="54" w:name="_Toc371455218"/>
      <w:bookmarkStart w:id="55" w:name="_Toc283906004"/>
    </w:p>
    <w:p>
      <w:pPr>
        <w:tabs>
          <w:tab w:val="left" w:pos="180"/>
          <w:tab w:val="left" w:pos="3640"/>
        </w:tabs>
        <w:spacing w:line="500" w:lineRule="exact"/>
        <w:ind w:firstLine="703" w:firstLineChars="250"/>
        <w:outlineLvl w:val="1"/>
        <w:rPr>
          <w:rFonts w:hint="eastAsia" w:ascii="宋体" w:hAnsi="宋体" w:eastAsia="宋体" w:cs="宋体"/>
          <w:b/>
          <w:color w:val="auto"/>
          <w:sz w:val="28"/>
        </w:rPr>
      </w:pPr>
      <w:r>
        <w:rPr>
          <w:rFonts w:hint="eastAsia" w:ascii="宋体" w:hAnsi="宋体" w:eastAsia="宋体" w:cs="宋体"/>
          <w:b/>
          <w:color w:val="auto"/>
          <w:sz w:val="28"/>
        </w:rPr>
        <w:t>十一、注册房地产估价师</w:t>
      </w:r>
      <w:bookmarkEnd w:id="50"/>
      <w:bookmarkEnd w:id="51"/>
    </w:p>
    <w:p>
      <w:pPr>
        <w:keepNext w:val="0"/>
        <w:keepLines w:val="0"/>
        <w:pageBreakBefore w:val="0"/>
        <w:widowControl w:val="0"/>
        <w:tabs>
          <w:tab w:val="left" w:pos="180"/>
          <w:tab w:val="left" w:pos="3640"/>
        </w:tabs>
        <w:kinsoku/>
        <w:wordWrap/>
        <w:overflowPunct/>
        <w:topLinePunct w:val="0"/>
        <w:autoSpaceDE/>
        <w:autoSpaceDN/>
        <w:bidi w:val="0"/>
        <w:adjustRightInd/>
        <w:snapToGrid/>
        <w:spacing w:line="500" w:lineRule="atLeast"/>
        <w:ind w:firstLine="828" w:firstLineChars="300"/>
        <w:textAlignment w:val="auto"/>
        <w:outlineLvl w:val="9"/>
        <w:rPr>
          <w:rFonts w:hint="eastAsia" w:ascii="宋体" w:hAnsi="宋体" w:eastAsia="宋体" w:cs="宋体"/>
          <w:color w:val="auto"/>
          <w:spacing w:val="-2"/>
          <w:sz w:val="28"/>
        </w:rPr>
      </w:pPr>
      <w:r>
        <w:rPr>
          <w:rFonts w:hint="eastAsia" w:ascii="宋体" w:hAnsi="宋体" w:eastAsia="宋体" w:cs="宋体"/>
          <w:color w:val="auto"/>
          <w:spacing w:val="-2"/>
          <w:sz w:val="28"/>
        </w:rPr>
        <w:t>注册房地产估价师：何胤涛     注册号：5120020010    签名：</w:t>
      </w:r>
    </w:p>
    <w:p>
      <w:pPr>
        <w:keepNext w:val="0"/>
        <w:keepLines w:val="0"/>
        <w:pageBreakBefore w:val="0"/>
        <w:widowControl w:val="0"/>
        <w:tabs>
          <w:tab w:val="left" w:pos="180"/>
          <w:tab w:val="left" w:pos="3640"/>
        </w:tabs>
        <w:kinsoku/>
        <w:wordWrap/>
        <w:overflowPunct/>
        <w:topLinePunct w:val="0"/>
        <w:autoSpaceDE/>
        <w:autoSpaceDN/>
        <w:bidi w:val="0"/>
        <w:adjustRightInd/>
        <w:snapToGrid/>
        <w:spacing w:line="500" w:lineRule="atLeast"/>
        <w:ind w:firstLine="276" w:firstLineChars="100"/>
        <w:textAlignment w:val="auto"/>
        <w:outlineLvl w:val="9"/>
        <w:rPr>
          <w:rFonts w:hint="eastAsia" w:ascii="宋体" w:hAnsi="宋体" w:eastAsia="宋体" w:cs="宋体"/>
          <w:color w:val="auto"/>
          <w:spacing w:val="-2"/>
          <w:sz w:val="28"/>
        </w:rPr>
      </w:pPr>
    </w:p>
    <w:p>
      <w:pPr>
        <w:keepNext w:val="0"/>
        <w:keepLines w:val="0"/>
        <w:pageBreakBefore w:val="0"/>
        <w:widowControl w:val="0"/>
        <w:tabs>
          <w:tab w:val="left" w:pos="180"/>
          <w:tab w:val="left" w:pos="3640"/>
        </w:tabs>
        <w:kinsoku/>
        <w:wordWrap/>
        <w:overflowPunct/>
        <w:topLinePunct w:val="0"/>
        <w:autoSpaceDE/>
        <w:autoSpaceDN/>
        <w:bidi w:val="0"/>
        <w:adjustRightInd/>
        <w:snapToGrid/>
        <w:spacing w:line="500" w:lineRule="atLeast"/>
        <w:ind w:firstLine="828" w:firstLineChars="300"/>
        <w:textAlignment w:val="auto"/>
        <w:outlineLvl w:val="9"/>
        <w:rPr>
          <w:rFonts w:hint="eastAsia" w:ascii="宋体" w:hAnsi="宋体" w:eastAsia="宋体" w:cs="宋体"/>
          <w:color w:val="auto"/>
          <w:spacing w:val="-2"/>
          <w:sz w:val="28"/>
        </w:rPr>
      </w:pPr>
      <w:r>
        <w:rPr>
          <w:rFonts w:hint="eastAsia" w:ascii="宋体" w:hAnsi="宋体" w:eastAsia="宋体" w:cs="宋体"/>
          <w:color w:val="auto"/>
          <w:spacing w:val="-2"/>
          <w:sz w:val="28"/>
        </w:rPr>
        <w:t>注册房地产估价师：</w:t>
      </w:r>
      <w:r>
        <w:rPr>
          <w:rFonts w:hint="eastAsia" w:ascii="宋体" w:hAnsi="宋体" w:eastAsia="宋体" w:cs="宋体"/>
          <w:color w:val="auto"/>
          <w:spacing w:val="-2"/>
          <w:sz w:val="28"/>
          <w:lang w:eastAsia="zh-CN"/>
        </w:rPr>
        <w:t>叶  琴</w:t>
      </w:r>
      <w:r>
        <w:rPr>
          <w:rFonts w:hint="eastAsia" w:ascii="宋体" w:hAnsi="宋体" w:eastAsia="宋体" w:cs="宋体"/>
          <w:color w:val="auto"/>
          <w:spacing w:val="-2"/>
          <w:sz w:val="28"/>
        </w:rPr>
        <w:t xml:space="preserve">     注册号：</w:t>
      </w:r>
      <w:r>
        <w:rPr>
          <w:rFonts w:hint="eastAsia" w:ascii="宋体" w:hAnsi="宋体" w:eastAsia="宋体" w:cs="宋体"/>
          <w:color w:val="auto"/>
          <w:spacing w:val="-2"/>
          <w:sz w:val="28"/>
          <w:lang w:eastAsia="zh-CN"/>
        </w:rPr>
        <w:t>5120040432</w:t>
      </w:r>
      <w:r>
        <w:rPr>
          <w:rFonts w:hint="eastAsia" w:ascii="宋体" w:hAnsi="宋体" w:eastAsia="宋体" w:cs="宋体"/>
          <w:color w:val="auto"/>
          <w:spacing w:val="-2"/>
          <w:sz w:val="28"/>
        </w:rPr>
        <w:t xml:space="preserve">  </w:t>
      </w:r>
      <w:r>
        <w:rPr>
          <w:rFonts w:hint="eastAsia" w:ascii="宋体" w:hAnsi="宋体" w:eastAsia="宋体" w:cs="宋体"/>
          <w:color w:val="auto"/>
          <w:spacing w:val="-2"/>
          <w:sz w:val="28"/>
          <w:lang w:val="en-US" w:eastAsia="zh-CN"/>
        </w:rPr>
        <w:t xml:space="preserve"> </w:t>
      </w:r>
      <w:r>
        <w:rPr>
          <w:rFonts w:hint="eastAsia" w:ascii="宋体" w:hAnsi="宋体" w:eastAsia="宋体" w:cs="宋体"/>
          <w:color w:val="auto"/>
          <w:spacing w:val="-2"/>
          <w:sz w:val="28"/>
        </w:rPr>
        <w:t xml:space="preserve"> 签名：</w:t>
      </w:r>
    </w:p>
    <w:bookmarkEnd w:id="52"/>
    <w:bookmarkEnd w:id="53"/>
    <w:bookmarkEnd w:id="54"/>
    <w:p>
      <w:pPr>
        <w:tabs>
          <w:tab w:val="left" w:pos="180"/>
          <w:tab w:val="left" w:pos="3640"/>
        </w:tabs>
        <w:spacing w:line="500" w:lineRule="exact"/>
        <w:ind w:firstLine="703" w:firstLineChars="250"/>
        <w:outlineLvl w:val="1"/>
        <w:rPr>
          <w:rFonts w:hint="eastAsia" w:ascii="宋体" w:hAnsi="宋体" w:eastAsia="宋体" w:cs="宋体"/>
          <w:b/>
          <w:color w:val="auto"/>
          <w:sz w:val="28"/>
        </w:rPr>
      </w:pPr>
    </w:p>
    <w:p>
      <w:pPr>
        <w:tabs>
          <w:tab w:val="left" w:pos="180"/>
          <w:tab w:val="left" w:pos="3640"/>
        </w:tabs>
        <w:spacing w:line="500" w:lineRule="exact"/>
        <w:ind w:firstLine="703" w:firstLineChars="250"/>
        <w:outlineLvl w:val="1"/>
        <w:rPr>
          <w:rFonts w:hint="eastAsia" w:ascii="宋体" w:hAnsi="宋体" w:eastAsia="宋体" w:cs="宋体"/>
          <w:b/>
          <w:color w:val="auto"/>
          <w:sz w:val="28"/>
        </w:rPr>
      </w:pPr>
      <w:bookmarkStart w:id="56" w:name="_Toc13495"/>
      <w:r>
        <w:rPr>
          <w:rFonts w:hint="eastAsia" w:ascii="宋体" w:hAnsi="宋体" w:eastAsia="宋体" w:cs="宋体"/>
          <w:b/>
          <w:color w:val="auto"/>
          <w:sz w:val="28"/>
        </w:rPr>
        <w:t>十二、实地查勘期</w:t>
      </w:r>
      <w:bookmarkEnd w:id="56"/>
    </w:p>
    <w:p>
      <w:pPr>
        <w:keepNext w:val="0"/>
        <w:keepLines w:val="0"/>
        <w:pageBreakBefore w:val="0"/>
        <w:widowControl w:val="0"/>
        <w:tabs>
          <w:tab w:val="left" w:pos="180"/>
          <w:tab w:val="left" w:pos="3640"/>
        </w:tabs>
        <w:kinsoku/>
        <w:wordWrap/>
        <w:overflowPunct/>
        <w:topLinePunct w:val="0"/>
        <w:autoSpaceDE/>
        <w:autoSpaceDN/>
        <w:bidi w:val="0"/>
        <w:adjustRightInd/>
        <w:snapToGrid/>
        <w:spacing w:line="500" w:lineRule="atLeast"/>
        <w:ind w:firstLine="828" w:firstLineChars="300"/>
        <w:textAlignment w:val="auto"/>
        <w:outlineLvl w:val="9"/>
        <w:rPr>
          <w:rFonts w:hint="eastAsia" w:ascii="宋体" w:hAnsi="宋体" w:eastAsia="宋体" w:cs="宋体"/>
          <w:color w:val="auto"/>
          <w:spacing w:val="-2"/>
          <w:sz w:val="28"/>
          <w:lang w:eastAsia="zh-CN"/>
        </w:rPr>
      </w:pPr>
      <w:r>
        <w:rPr>
          <w:rFonts w:hint="eastAsia" w:ascii="宋体" w:hAnsi="宋体" w:eastAsia="宋体" w:cs="宋体"/>
          <w:color w:val="auto"/>
          <w:spacing w:val="-2"/>
          <w:sz w:val="28"/>
          <w:lang w:eastAsia="zh-CN"/>
        </w:rPr>
        <w:t>2023年02月15日</w:t>
      </w:r>
    </w:p>
    <w:p>
      <w:pPr>
        <w:pStyle w:val="4"/>
        <w:spacing w:before="0" w:after="0" w:line="500" w:lineRule="exact"/>
        <w:ind w:firstLine="700" w:firstLineChars="249"/>
        <w:rPr>
          <w:rFonts w:hint="eastAsia" w:ascii="宋体" w:hAnsi="宋体" w:eastAsia="宋体" w:cs="宋体"/>
          <w:color w:val="auto"/>
          <w:sz w:val="28"/>
        </w:rPr>
      </w:pPr>
    </w:p>
    <w:p>
      <w:pPr>
        <w:pStyle w:val="4"/>
        <w:spacing w:before="0" w:after="0" w:line="500" w:lineRule="exact"/>
        <w:ind w:firstLine="700" w:firstLineChars="249"/>
        <w:rPr>
          <w:rFonts w:hint="eastAsia" w:ascii="宋体" w:hAnsi="宋体" w:eastAsia="宋体" w:cs="宋体"/>
          <w:color w:val="auto"/>
          <w:sz w:val="28"/>
        </w:rPr>
      </w:pPr>
      <w:bookmarkStart w:id="57" w:name="_Toc6111"/>
      <w:r>
        <w:rPr>
          <w:rFonts w:hint="eastAsia" w:ascii="宋体" w:hAnsi="宋体" w:eastAsia="宋体" w:cs="宋体"/>
          <w:color w:val="auto"/>
          <w:sz w:val="28"/>
        </w:rPr>
        <w:t>十三、估价作业期</w:t>
      </w:r>
      <w:bookmarkEnd w:id="57"/>
    </w:p>
    <w:p>
      <w:pPr>
        <w:keepNext w:val="0"/>
        <w:keepLines w:val="0"/>
        <w:pageBreakBefore w:val="0"/>
        <w:widowControl w:val="0"/>
        <w:tabs>
          <w:tab w:val="left" w:pos="180"/>
          <w:tab w:val="left" w:pos="3640"/>
        </w:tabs>
        <w:kinsoku/>
        <w:wordWrap/>
        <w:overflowPunct/>
        <w:topLinePunct w:val="0"/>
        <w:autoSpaceDE/>
        <w:autoSpaceDN/>
        <w:bidi w:val="0"/>
        <w:adjustRightInd/>
        <w:snapToGrid/>
        <w:spacing w:line="500" w:lineRule="atLeast"/>
        <w:ind w:firstLine="828" w:firstLineChars="300"/>
        <w:textAlignment w:val="auto"/>
        <w:outlineLvl w:val="9"/>
        <w:rPr>
          <w:rFonts w:hint="eastAsia" w:ascii="宋体" w:hAnsi="宋体" w:eastAsia="宋体" w:cs="宋体"/>
          <w:color w:val="auto"/>
          <w:lang w:eastAsia="zh-CN"/>
        </w:rPr>
      </w:pPr>
      <w:r>
        <w:rPr>
          <w:rFonts w:hint="eastAsia" w:ascii="宋体" w:hAnsi="宋体" w:eastAsia="宋体" w:cs="宋体"/>
          <w:color w:val="auto"/>
          <w:spacing w:val="-2"/>
          <w:sz w:val="28"/>
          <w:lang w:eastAsia="zh-CN"/>
        </w:rPr>
        <w:t>2023年02月15日</w:t>
      </w:r>
      <w:r>
        <w:rPr>
          <w:rFonts w:hint="eastAsia" w:ascii="宋体" w:hAnsi="宋体" w:eastAsia="宋体" w:cs="宋体"/>
          <w:color w:val="auto"/>
          <w:spacing w:val="-2"/>
          <w:sz w:val="28"/>
        </w:rPr>
        <w:t>至</w:t>
      </w:r>
      <w:r>
        <w:rPr>
          <w:rFonts w:hint="eastAsia" w:ascii="宋体" w:hAnsi="宋体" w:eastAsia="宋体" w:cs="宋体"/>
          <w:color w:val="auto"/>
          <w:spacing w:val="-2"/>
          <w:sz w:val="28"/>
          <w:lang w:eastAsia="zh-CN"/>
        </w:rPr>
        <w:t>2023年03月02日</w:t>
      </w:r>
    </w:p>
    <w:p>
      <w:pPr>
        <w:spacing w:line="500" w:lineRule="exact"/>
        <w:ind w:firstLine="140" w:firstLineChars="50"/>
        <w:jc w:val="left"/>
        <w:rPr>
          <w:rFonts w:hint="eastAsia" w:ascii="宋体" w:hAnsi="宋体" w:eastAsia="宋体" w:cs="宋体"/>
          <w:color w:val="auto"/>
          <w:sz w:val="28"/>
        </w:rPr>
      </w:pPr>
    </w:p>
    <w:bookmarkEnd w:id="55"/>
    <w:p>
      <w:pPr>
        <w:spacing w:line="440" w:lineRule="atLeast"/>
        <w:ind w:firstLine="574"/>
        <w:jc w:val="right"/>
        <w:rPr>
          <w:rFonts w:hint="eastAsia" w:ascii="宋体" w:hAnsi="宋体" w:eastAsia="宋体" w:cs="宋体"/>
          <w:color w:val="auto"/>
          <w:sz w:val="28"/>
        </w:rPr>
      </w:pPr>
      <w:r>
        <w:rPr>
          <w:rFonts w:hint="eastAsia" w:ascii="宋体" w:hAnsi="宋体" w:eastAsia="宋体" w:cs="宋体"/>
          <w:color w:val="auto"/>
          <w:sz w:val="28"/>
        </w:rPr>
        <w:t xml:space="preserve">四川金誉房地产评估有限责任公司            </w:t>
      </w:r>
    </w:p>
    <w:p>
      <w:pPr>
        <w:spacing w:line="440" w:lineRule="atLeast"/>
        <w:ind w:firstLine="574"/>
        <w:jc w:val="center"/>
        <w:rPr>
          <w:rFonts w:hint="eastAsia" w:ascii="宋体" w:hAnsi="宋体" w:eastAsia="宋体" w:cs="宋体"/>
          <w:color w:val="auto"/>
          <w:sz w:val="28"/>
          <w:lang w:eastAsia="zh-CN"/>
        </w:rPr>
      </w:pPr>
      <w:bookmarkStart w:id="58" w:name="_Toc419116406"/>
      <w:bookmarkStart w:id="59" w:name="_Toc371455282"/>
      <w:r>
        <w:rPr>
          <w:rFonts w:hint="eastAsia" w:ascii="宋体" w:hAnsi="宋体" w:eastAsia="宋体" w:cs="宋体"/>
          <w:color w:val="auto"/>
          <w:spacing w:val="-2"/>
          <w:sz w:val="28"/>
        </w:rPr>
        <w:t xml:space="preserve">                                     </w:t>
      </w:r>
      <w:r>
        <w:rPr>
          <w:rFonts w:hint="eastAsia" w:ascii="宋体" w:hAnsi="宋体" w:eastAsia="宋体" w:cs="宋体"/>
          <w:color w:val="auto"/>
          <w:spacing w:val="-2"/>
          <w:sz w:val="28"/>
          <w:lang w:eastAsia="zh-CN"/>
        </w:rPr>
        <w:t>2023年03月02日</w:t>
      </w:r>
    </w:p>
    <w:p>
      <w:pPr>
        <w:pStyle w:val="3"/>
        <w:spacing w:line="240" w:lineRule="auto"/>
        <w:jc w:val="center"/>
        <w:rPr>
          <w:rFonts w:hint="eastAsia" w:ascii="宋体" w:hAnsi="宋体" w:eastAsia="宋体" w:cs="宋体"/>
          <w:color w:val="auto"/>
          <w:sz w:val="36"/>
        </w:rPr>
      </w:pPr>
      <w:r>
        <w:rPr>
          <w:rFonts w:hint="eastAsia" w:ascii="宋体" w:hAnsi="宋体" w:eastAsia="宋体" w:cs="宋体"/>
          <w:color w:val="auto"/>
        </w:rPr>
        <w:br w:type="page"/>
      </w:r>
      <w:bookmarkStart w:id="60" w:name="_Toc2956"/>
      <w:r>
        <w:rPr>
          <w:rFonts w:hint="eastAsia" w:ascii="宋体" w:hAnsi="宋体" w:eastAsia="宋体" w:cs="宋体"/>
          <w:color w:val="auto"/>
          <w:sz w:val="36"/>
        </w:rPr>
        <w:t>附    件</w:t>
      </w:r>
      <w:bookmarkEnd w:id="58"/>
      <w:bookmarkEnd w:id="59"/>
      <w:bookmarkEnd w:id="60"/>
    </w:p>
    <w:p>
      <w:pPr>
        <w:pStyle w:val="4"/>
        <w:numPr>
          <w:ilvl w:val="0"/>
          <w:numId w:val="2"/>
        </w:numPr>
        <w:spacing w:before="0" w:after="0" w:line="500" w:lineRule="exact"/>
        <w:rPr>
          <w:rFonts w:hint="eastAsia" w:ascii="宋体" w:hAnsi="宋体" w:eastAsia="宋体" w:cs="宋体"/>
          <w:b w:val="0"/>
          <w:color w:val="auto"/>
          <w:sz w:val="28"/>
        </w:rPr>
      </w:pPr>
      <w:bookmarkStart w:id="61" w:name="_Toc10886"/>
      <w:bookmarkStart w:id="62" w:name="_Toc15941"/>
      <w:bookmarkStart w:id="63" w:name="_Toc419116408"/>
      <w:r>
        <w:rPr>
          <w:rFonts w:hint="eastAsia" w:ascii="宋体" w:hAnsi="宋体" w:eastAsia="宋体" w:cs="宋体"/>
          <w:b w:val="0"/>
          <w:color w:val="auto"/>
          <w:sz w:val="28"/>
          <w:lang w:eastAsia="zh-CN"/>
        </w:rPr>
        <w:t>成都市成华区人民法院</w:t>
      </w:r>
      <w:r>
        <w:rPr>
          <w:rFonts w:hint="eastAsia" w:ascii="宋体" w:hAnsi="宋体" w:eastAsia="宋体" w:cs="宋体"/>
          <w:b w:val="0"/>
          <w:color w:val="auto"/>
          <w:sz w:val="28"/>
        </w:rPr>
        <w:t>《委托书》复印件；</w:t>
      </w:r>
      <w:bookmarkEnd w:id="61"/>
      <w:bookmarkEnd w:id="62"/>
    </w:p>
    <w:p>
      <w:pPr>
        <w:pStyle w:val="4"/>
        <w:numPr>
          <w:ilvl w:val="0"/>
          <w:numId w:val="2"/>
        </w:numPr>
        <w:spacing w:before="0" w:after="0" w:line="500" w:lineRule="exact"/>
        <w:rPr>
          <w:rFonts w:hint="eastAsia" w:ascii="宋体" w:hAnsi="宋体" w:eastAsia="宋体" w:cs="宋体"/>
          <w:b w:val="0"/>
          <w:color w:val="auto"/>
          <w:sz w:val="28"/>
        </w:rPr>
      </w:pPr>
      <w:bookmarkStart w:id="64" w:name="_Toc11081"/>
      <w:bookmarkStart w:id="65" w:name="_Toc5033"/>
      <w:r>
        <w:rPr>
          <w:rFonts w:hint="eastAsia" w:ascii="宋体" w:hAnsi="宋体" w:eastAsia="宋体" w:cs="宋体"/>
          <w:b w:val="0"/>
          <w:color w:val="auto"/>
          <w:sz w:val="28"/>
          <w:lang w:val="en-US" w:eastAsia="zh-CN"/>
        </w:rPr>
        <w:t>《成都市不动产登记信息查询结果》、房屋平面图</w:t>
      </w:r>
      <w:r>
        <w:rPr>
          <w:rFonts w:hint="eastAsia" w:ascii="宋体" w:hAnsi="宋体" w:eastAsia="宋体" w:cs="宋体"/>
          <w:b w:val="0"/>
          <w:color w:val="auto"/>
          <w:sz w:val="28"/>
        </w:rPr>
        <w:t>复印件；</w:t>
      </w:r>
      <w:bookmarkEnd w:id="64"/>
      <w:bookmarkEnd w:id="65"/>
    </w:p>
    <w:p>
      <w:pPr>
        <w:pStyle w:val="4"/>
        <w:numPr>
          <w:ilvl w:val="0"/>
          <w:numId w:val="2"/>
        </w:numPr>
        <w:spacing w:before="0" w:after="0" w:line="500" w:lineRule="exact"/>
        <w:rPr>
          <w:rFonts w:hint="eastAsia" w:ascii="宋体" w:hAnsi="宋体" w:eastAsia="宋体" w:cs="宋体"/>
          <w:b w:val="0"/>
          <w:color w:val="auto"/>
          <w:sz w:val="28"/>
        </w:rPr>
      </w:pPr>
      <w:bookmarkStart w:id="66" w:name="_Toc6574"/>
      <w:bookmarkStart w:id="67" w:name="_Toc27864"/>
      <w:r>
        <w:rPr>
          <w:rFonts w:hint="eastAsia" w:ascii="宋体" w:hAnsi="宋体" w:eastAsia="宋体" w:cs="宋体"/>
          <w:b w:val="0"/>
          <w:color w:val="auto"/>
          <w:sz w:val="28"/>
        </w:rPr>
        <w:t>估价对象位置图</w:t>
      </w:r>
      <w:bookmarkEnd w:id="63"/>
      <w:r>
        <w:rPr>
          <w:rFonts w:hint="eastAsia" w:ascii="宋体" w:hAnsi="宋体" w:eastAsia="宋体" w:cs="宋体"/>
          <w:b w:val="0"/>
          <w:color w:val="auto"/>
          <w:sz w:val="28"/>
        </w:rPr>
        <w:t>；</w:t>
      </w:r>
      <w:bookmarkEnd w:id="66"/>
      <w:bookmarkEnd w:id="67"/>
    </w:p>
    <w:p>
      <w:pPr>
        <w:pStyle w:val="4"/>
        <w:numPr>
          <w:ilvl w:val="0"/>
          <w:numId w:val="2"/>
        </w:numPr>
        <w:spacing w:before="0" w:after="0" w:line="500" w:lineRule="exact"/>
        <w:rPr>
          <w:rFonts w:hint="eastAsia" w:ascii="宋体" w:hAnsi="宋体" w:eastAsia="宋体" w:cs="宋体"/>
          <w:b w:val="0"/>
          <w:color w:val="auto"/>
          <w:sz w:val="28"/>
        </w:rPr>
      </w:pPr>
      <w:bookmarkStart w:id="68" w:name="_Toc419116409"/>
      <w:bookmarkStart w:id="69" w:name="_Toc6910"/>
      <w:bookmarkStart w:id="70" w:name="_Toc1489"/>
      <w:r>
        <w:rPr>
          <w:rFonts w:hint="eastAsia" w:ascii="宋体" w:hAnsi="宋体" w:eastAsia="宋体" w:cs="宋体"/>
          <w:b w:val="0"/>
          <w:color w:val="auto"/>
          <w:sz w:val="28"/>
        </w:rPr>
        <w:t>估价对象相关照片</w:t>
      </w:r>
      <w:bookmarkEnd w:id="68"/>
      <w:r>
        <w:rPr>
          <w:rFonts w:hint="eastAsia" w:ascii="宋体" w:hAnsi="宋体" w:eastAsia="宋体" w:cs="宋体"/>
          <w:b w:val="0"/>
          <w:color w:val="auto"/>
          <w:sz w:val="28"/>
        </w:rPr>
        <w:t>；</w:t>
      </w:r>
      <w:bookmarkEnd w:id="69"/>
      <w:bookmarkEnd w:id="70"/>
    </w:p>
    <w:p>
      <w:pPr>
        <w:pStyle w:val="4"/>
        <w:numPr>
          <w:ilvl w:val="0"/>
          <w:numId w:val="2"/>
        </w:numPr>
        <w:spacing w:before="0" w:after="0" w:line="500" w:lineRule="exact"/>
        <w:rPr>
          <w:rFonts w:hint="eastAsia" w:ascii="宋体" w:hAnsi="宋体" w:eastAsia="宋体" w:cs="宋体"/>
          <w:b w:val="0"/>
          <w:color w:val="auto"/>
          <w:sz w:val="28"/>
        </w:rPr>
      </w:pPr>
      <w:bookmarkStart w:id="71" w:name="_Toc419116411"/>
      <w:bookmarkStart w:id="72" w:name="_Toc26211"/>
      <w:bookmarkStart w:id="73" w:name="_Toc11046"/>
      <w:r>
        <w:rPr>
          <w:rFonts w:hint="eastAsia" w:ascii="宋体" w:hAnsi="宋体" w:eastAsia="宋体" w:cs="宋体"/>
          <w:b w:val="0"/>
          <w:color w:val="auto"/>
          <w:sz w:val="28"/>
        </w:rPr>
        <w:t>四川金誉房地产评估有限责任公司企业营业执照复印件</w:t>
      </w:r>
      <w:bookmarkEnd w:id="71"/>
      <w:r>
        <w:rPr>
          <w:rFonts w:hint="eastAsia" w:ascii="宋体" w:hAnsi="宋体" w:eastAsia="宋体" w:cs="宋体"/>
          <w:b w:val="0"/>
          <w:color w:val="auto"/>
          <w:sz w:val="28"/>
        </w:rPr>
        <w:t>；</w:t>
      </w:r>
      <w:bookmarkEnd w:id="72"/>
      <w:bookmarkEnd w:id="73"/>
    </w:p>
    <w:p>
      <w:pPr>
        <w:pStyle w:val="4"/>
        <w:numPr>
          <w:ilvl w:val="0"/>
          <w:numId w:val="2"/>
        </w:numPr>
        <w:spacing w:before="0" w:after="0" w:line="500" w:lineRule="exact"/>
        <w:rPr>
          <w:rFonts w:hint="eastAsia" w:ascii="宋体" w:hAnsi="宋体" w:eastAsia="宋体" w:cs="宋体"/>
          <w:b w:val="0"/>
          <w:color w:val="auto"/>
          <w:sz w:val="28"/>
        </w:rPr>
      </w:pPr>
      <w:bookmarkStart w:id="74" w:name="_Toc419116412"/>
      <w:bookmarkStart w:id="75" w:name="_Toc13543"/>
      <w:bookmarkStart w:id="76" w:name="_Toc5082"/>
      <w:r>
        <w:rPr>
          <w:rFonts w:hint="eastAsia" w:ascii="宋体" w:hAnsi="宋体" w:eastAsia="宋体" w:cs="宋体"/>
          <w:b w:val="0"/>
          <w:color w:val="auto"/>
          <w:sz w:val="28"/>
        </w:rPr>
        <w:t>四川金誉房地产评估有限责任公司估价机构资格证书复印件</w:t>
      </w:r>
      <w:bookmarkEnd w:id="74"/>
      <w:r>
        <w:rPr>
          <w:rFonts w:hint="eastAsia" w:ascii="宋体" w:hAnsi="宋体" w:eastAsia="宋体" w:cs="宋体"/>
          <w:b w:val="0"/>
          <w:color w:val="auto"/>
          <w:sz w:val="28"/>
        </w:rPr>
        <w:t>；</w:t>
      </w:r>
      <w:bookmarkEnd w:id="75"/>
      <w:bookmarkEnd w:id="76"/>
    </w:p>
    <w:p>
      <w:pPr>
        <w:pStyle w:val="4"/>
        <w:numPr>
          <w:ilvl w:val="0"/>
          <w:numId w:val="2"/>
        </w:numPr>
        <w:spacing w:before="0" w:after="0" w:line="500" w:lineRule="exact"/>
        <w:rPr>
          <w:rFonts w:hint="eastAsia" w:ascii="宋体" w:hAnsi="宋体" w:eastAsia="宋体" w:cs="宋体"/>
          <w:b w:val="0"/>
          <w:color w:val="auto"/>
          <w:sz w:val="28"/>
        </w:rPr>
      </w:pPr>
      <w:bookmarkStart w:id="77" w:name="_Toc419116413"/>
      <w:bookmarkStart w:id="78" w:name="_Toc24736"/>
      <w:bookmarkStart w:id="79" w:name="_Toc19946"/>
      <w:r>
        <w:rPr>
          <w:rFonts w:hint="eastAsia" w:ascii="宋体" w:hAnsi="宋体" w:eastAsia="宋体" w:cs="宋体"/>
          <w:b w:val="0"/>
          <w:color w:val="auto"/>
          <w:sz w:val="28"/>
        </w:rPr>
        <w:t>估价人员注册证书复印件</w:t>
      </w:r>
      <w:bookmarkEnd w:id="77"/>
      <w:r>
        <w:rPr>
          <w:rFonts w:hint="eastAsia" w:ascii="宋体" w:hAnsi="宋体" w:eastAsia="宋体" w:cs="宋体"/>
          <w:b w:val="0"/>
          <w:color w:val="auto"/>
          <w:sz w:val="28"/>
        </w:rPr>
        <w:t>。</w:t>
      </w:r>
      <w:bookmarkEnd w:id="78"/>
      <w:bookmarkEnd w:id="79"/>
    </w:p>
    <w:p>
      <w:pPr>
        <w:rPr>
          <w:rFonts w:hint="eastAsia" w:ascii="宋体" w:hAnsi="宋体" w:eastAsia="宋体" w:cs="宋体"/>
          <w:color w:val="auto"/>
          <w:sz w:val="28"/>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adjustRightInd w:val="0"/>
        <w:snapToGrid w:val="0"/>
        <w:spacing w:line="360" w:lineRule="auto"/>
        <w:ind w:firstLine="420" w:firstLineChars="200"/>
        <w:jc w:val="right"/>
        <w:rPr>
          <w:rFonts w:hint="eastAsia" w:ascii="宋体" w:hAnsi="宋体" w:eastAsia="宋体" w:cs="宋体"/>
        </w:rPr>
      </w:pPr>
    </w:p>
    <w:p>
      <w:pPr>
        <w:rPr>
          <w:rFonts w:hint="eastAsia" w:ascii="宋体" w:hAnsi="宋体" w:eastAsia="宋体" w:cs="宋体"/>
          <w:b/>
          <w:sz w:val="44"/>
        </w:rPr>
      </w:pPr>
    </w:p>
    <w:sectPr>
      <w:headerReference r:id="rId4" w:type="first"/>
      <w:footerReference r:id="rId6" w:type="first"/>
      <w:headerReference r:id="rId3" w:type="default"/>
      <w:footerReference r:id="rId5" w:type="default"/>
      <w:pgSz w:w="11906" w:h="16838"/>
      <w:pgMar w:top="1440" w:right="1080" w:bottom="1440" w:left="1080" w:header="851" w:footer="992" w:gutter="0"/>
      <w:pgBorders>
        <w:top w:val="none" w:sz="0" w:space="0"/>
        <w:left w:val="none" w:sz="0" w:space="0"/>
        <w:bottom w:val="none" w:sz="0" w:space="0"/>
        <w:right w:val="none" w:sz="0" w:space="0"/>
      </w:pgBorders>
      <w:lnNumType w:countBy="0" w:distance="36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Fonts w:hint="eastAsia"/>
        <w:sz w:val="18"/>
      </w:rPr>
    </w:pPr>
    <w:r>
      <w:rPr>
        <w:rFonts w:hint="default"/>
      </w:rPr>
      <w:fldChar w:fldCharType="begin"/>
    </w:r>
    <w:r>
      <w:rPr>
        <w:rStyle w:val="34"/>
        <w:rFonts w:hint="eastAsia"/>
        <w:sz w:val="18"/>
      </w:rPr>
      <w:instrText xml:space="preserve">PAGE  </w:instrText>
    </w:r>
    <w:r>
      <w:rPr>
        <w:rFonts w:hint="default"/>
      </w:rPr>
      <w:fldChar w:fldCharType="separate"/>
    </w:r>
    <w:r>
      <w:rPr>
        <w:rStyle w:val="34"/>
        <w:rFonts w:hint="eastAsia"/>
        <w:sz w:val="18"/>
      </w:rPr>
      <w:t>25</w:t>
    </w:r>
    <w:r>
      <w:rPr>
        <w:rFonts w:hint="default"/>
      </w:rPr>
      <w:fldChar w:fldCharType="end"/>
    </w:r>
  </w:p>
  <w:p>
    <w:pPr>
      <w:pStyle w:val="20"/>
      <w:jc w:val="right"/>
      <w:rPr>
        <w:rFonts w:hint="default" w:eastAsia="仿宋_GB2312"/>
        <w:i/>
        <w:sz w:val="21"/>
      </w:rPr>
    </w:pPr>
    <w:r>
      <w:rPr>
        <w:rFonts w:eastAsia="仿宋_GB2312"/>
        <w:i/>
        <w:sz w:val="21"/>
      </w:rPr>
      <w:t>四川金誉房地产评估有限责任公司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hint="default" w:eastAsia="仿宋_GB2312"/>
        <w:i/>
        <w:sz w:val="21"/>
      </w:rPr>
    </w:pPr>
    <w:r>
      <w:rPr>
        <w:rFonts w:hint="default"/>
      </w:rPr>
      <w:fldChar w:fldCharType="begin"/>
    </w:r>
    <w:r>
      <w:rPr>
        <w:rStyle w:val="34"/>
        <w:rFonts w:hint="eastAsia"/>
        <w:sz w:val="18"/>
      </w:rPr>
      <w:instrText xml:space="preserve"> PAGE </w:instrText>
    </w:r>
    <w:r>
      <w:rPr>
        <w:rFonts w:hint="default"/>
      </w:rPr>
      <w:fldChar w:fldCharType="separate"/>
    </w:r>
    <w:r>
      <w:rPr>
        <w:rStyle w:val="34"/>
        <w:rFonts w:hint="eastAsia"/>
        <w:sz w:val="18"/>
      </w:rPr>
      <w:t>1</w:t>
    </w:r>
    <w:r>
      <w:rPr>
        <w:rFonts w:hint="default"/>
      </w:rPr>
      <w:fldChar w:fldCharType="end"/>
    </w:r>
    <w:r>
      <w:rPr>
        <w:rStyle w:val="34"/>
        <w:rFonts w:hint="eastAsia"/>
        <w:sz w:val="18"/>
      </w:rPr>
      <w:t xml:space="preserve">            </w:t>
    </w:r>
    <w:r>
      <w:rPr>
        <w:rFonts w:eastAsia="仿宋_GB2312"/>
        <w:i/>
        <w:sz w:val="21"/>
      </w:rPr>
      <w:t>四川金誉房地产评估有限责任公司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0"/>
      </w:pBdr>
      <w:jc w:val="both"/>
      <w:rPr>
        <w:rFonts w:hint="default" w:eastAsia="仿宋_GB2312"/>
        <w:i/>
        <w:sz w:val="21"/>
      </w:rPr>
    </w:pPr>
    <w:r>
      <w:rPr>
        <w:rFonts w:eastAsia="仿宋_GB2312"/>
        <w:i/>
        <w:sz w:val="21"/>
      </w:rPr>
      <w:t>金誉房地产估价报告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0"/>
      </w:pBdr>
      <w:jc w:val="both"/>
      <w:rPr>
        <w:rFonts w:hint="default" w:eastAsia="Times New Roman"/>
      </w:rPr>
    </w:pPr>
    <w:r>
      <w:rPr>
        <w:rFonts w:eastAsia="仿宋_GB2312"/>
        <w:i/>
        <w:sz w:val="21"/>
      </w:rPr>
      <w:t>金誉房地产估价报告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F0FAB"/>
    <w:multiLevelType w:val="multilevel"/>
    <w:tmpl w:val="030F0FAB"/>
    <w:lvl w:ilvl="0" w:tentative="0">
      <w:start w:val="1"/>
      <w:numFmt w:val="decimal"/>
      <w:lvlText w:val="%1、"/>
      <w:lvlJc w:val="left"/>
      <w:pPr>
        <w:tabs>
          <w:tab w:val="left" w:pos="1281"/>
        </w:tabs>
        <w:ind w:left="1281" w:hanging="720"/>
      </w:pPr>
      <w:rPr>
        <w:rFonts w:hint="default" w:ascii="Times New Roman" w:hAnsi="Times New Roman" w:eastAsia="宋体"/>
        <w:u w:val="none" w:color="auto"/>
      </w:rPr>
    </w:lvl>
    <w:lvl w:ilvl="1" w:tentative="0">
      <w:start w:val="1"/>
      <w:numFmt w:val="lowerLetter"/>
      <w:lvlText w:val="%2)"/>
      <w:lvlJc w:val="left"/>
      <w:pPr>
        <w:tabs>
          <w:tab w:val="left" w:pos="1401"/>
        </w:tabs>
        <w:ind w:left="1401" w:hanging="420"/>
      </w:pPr>
      <w:rPr>
        <w:rFonts w:hint="default" w:ascii="Times New Roman" w:hAnsi="Times New Roman" w:eastAsia="宋体"/>
        <w:u w:val="none" w:color="auto"/>
      </w:rPr>
    </w:lvl>
    <w:lvl w:ilvl="2" w:tentative="0">
      <w:start w:val="1"/>
      <w:numFmt w:val="lowerRoman"/>
      <w:lvlText w:val="%3."/>
      <w:lvlJc w:val="right"/>
      <w:pPr>
        <w:tabs>
          <w:tab w:val="left" w:pos="1821"/>
        </w:tabs>
        <w:ind w:left="1821" w:hanging="420"/>
      </w:pPr>
      <w:rPr>
        <w:rFonts w:hint="default" w:ascii="Times New Roman" w:hAnsi="Times New Roman" w:eastAsia="宋体"/>
        <w:u w:val="none" w:color="auto"/>
      </w:rPr>
    </w:lvl>
    <w:lvl w:ilvl="3" w:tentative="0">
      <w:start w:val="1"/>
      <w:numFmt w:val="decimal"/>
      <w:lvlText w:val="%4."/>
      <w:lvlJc w:val="left"/>
      <w:pPr>
        <w:tabs>
          <w:tab w:val="left" w:pos="2241"/>
        </w:tabs>
        <w:ind w:left="2241" w:hanging="420"/>
      </w:pPr>
      <w:rPr>
        <w:rFonts w:hint="default" w:ascii="Times New Roman" w:hAnsi="Times New Roman" w:eastAsia="宋体"/>
        <w:u w:val="none" w:color="auto"/>
      </w:rPr>
    </w:lvl>
    <w:lvl w:ilvl="4" w:tentative="0">
      <w:start w:val="1"/>
      <w:numFmt w:val="lowerLetter"/>
      <w:lvlText w:val="%5)"/>
      <w:lvlJc w:val="left"/>
      <w:pPr>
        <w:tabs>
          <w:tab w:val="left" w:pos="2661"/>
        </w:tabs>
        <w:ind w:left="2661" w:hanging="420"/>
      </w:pPr>
      <w:rPr>
        <w:rFonts w:hint="default" w:ascii="Times New Roman" w:hAnsi="Times New Roman" w:eastAsia="宋体"/>
        <w:u w:val="none" w:color="auto"/>
      </w:rPr>
    </w:lvl>
    <w:lvl w:ilvl="5" w:tentative="0">
      <w:start w:val="1"/>
      <w:numFmt w:val="lowerRoman"/>
      <w:lvlText w:val="%6."/>
      <w:lvlJc w:val="right"/>
      <w:pPr>
        <w:tabs>
          <w:tab w:val="left" w:pos="3081"/>
        </w:tabs>
        <w:ind w:left="3081" w:hanging="420"/>
      </w:pPr>
      <w:rPr>
        <w:rFonts w:hint="default" w:ascii="Times New Roman" w:hAnsi="Times New Roman" w:eastAsia="宋体"/>
        <w:u w:val="none" w:color="auto"/>
      </w:rPr>
    </w:lvl>
    <w:lvl w:ilvl="6" w:tentative="0">
      <w:start w:val="1"/>
      <w:numFmt w:val="decimal"/>
      <w:lvlText w:val="%7."/>
      <w:lvlJc w:val="left"/>
      <w:pPr>
        <w:tabs>
          <w:tab w:val="left" w:pos="3501"/>
        </w:tabs>
        <w:ind w:left="3501" w:hanging="420"/>
      </w:pPr>
      <w:rPr>
        <w:rFonts w:hint="default" w:ascii="Times New Roman" w:hAnsi="Times New Roman" w:eastAsia="宋体"/>
        <w:u w:val="none" w:color="auto"/>
      </w:rPr>
    </w:lvl>
    <w:lvl w:ilvl="7" w:tentative="0">
      <w:start w:val="1"/>
      <w:numFmt w:val="lowerLetter"/>
      <w:lvlText w:val="%8)"/>
      <w:lvlJc w:val="left"/>
      <w:pPr>
        <w:tabs>
          <w:tab w:val="left" w:pos="3921"/>
        </w:tabs>
        <w:ind w:left="3921" w:hanging="420"/>
      </w:pPr>
      <w:rPr>
        <w:rFonts w:hint="default" w:ascii="Times New Roman" w:hAnsi="Times New Roman" w:eastAsia="宋体"/>
        <w:u w:val="none" w:color="auto"/>
      </w:rPr>
    </w:lvl>
    <w:lvl w:ilvl="8" w:tentative="0">
      <w:start w:val="1"/>
      <w:numFmt w:val="lowerRoman"/>
      <w:lvlText w:val="%9."/>
      <w:lvlJc w:val="right"/>
      <w:pPr>
        <w:tabs>
          <w:tab w:val="left" w:pos="4341"/>
        </w:tabs>
        <w:ind w:left="4341" w:hanging="420"/>
      </w:pPr>
      <w:rPr>
        <w:rFonts w:hint="default" w:ascii="Times New Roman" w:hAnsi="Times New Roman" w:eastAsia="宋体"/>
        <w:u w:val="none" w:color="auto"/>
      </w:rPr>
    </w:lvl>
  </w:abstractNum>
  <w:abstractNum w:abstractNumId="1">
    <w:nsid w:val="479737BC"/>
    <w:multiLevelType w:val="multilevel"/>
    <w:tmpl w:val="479737BC"/>
    <w:lvl w:ilvl="0" w:tentative="0">
      <w:start w:val="1"/>
      <w:numFmt w:val="chineseCountingThousand"/>
      <w:lvlText w:val="%1、"/>
      <w:lvlJc w:val="left"/>
      <w:pPr>
        <w:ind w:left="982" w:hanging="420"/>
      </w:pPr>
      <w:rPr>
        <w:rFonts w:hint="default" w:ascii="Times New Roman" w:hAnsi="Times New Roman" w:eastAsia="宋体"/>
        <w:u w:val="none" w:color="auto"/>
      </w:rPr>
    </w:lvl>
    <w:lvl w:ilvl="1" w:tentative="0">
      <w:start w:val="1"/>
      <w:numFmt w:val="lowerLetter"/>
      <w:lvlText w:val="%2)"/>
      <w:lvlJc w:val="left"/>
      <w:pPr>
        <w:ind w:left="1402" w:hanging="420"/>
      </w:pPr>
      <w:rPr>
        <w:rFonts w:hint="default" w:ascii="Times New Roman" w:hAnsi="Times New Roman" w:eastAsia="宋体"/>
        <w:u w:val="none" w:color="auto"/>
      </w:rPr>
    </w:lvl>
    <w:lvl w:ilvl="2" w:tentative="0">
      <w:start w:val="1"/>
      <w:numFmt w:val="lowerRoman"/>
      <w:lvlText w:val="%3."/>
      <w:lvlJc w:val="right"/>
      <w:pPr>
        <w:ind w:left="1822" w:hanging="420"/>
      </w:pPr>
      <w:rPr>
        <w:rFonts w:hint="default" w:ascii="Times New Roman" w:hAnsi="Times New Roman" w:eastAsia="宋体"/>
        <w:u w:val="none" w:color="auto"/>
      </w:rPr>
    </w:lvl>
    <w:lvl w:ilvl="3" w:tentative="0">
      <w:start w:val="1"/>
      <w:numFmt w:val="decimal"/>
      <w:lvlText w:val="%4."/>
      <w:lvlJc w:val="left"/>
      <w:pPr>
        <w:ind w:left="2242" w:hanging="420"/>
      </w:pPr>
      <w:rPr>
        <w:rFonts w:hint="default" w:ascii="Times New Roman" w:hAnsi="Times New Roman" w:eastAsia="宋体"/>
        <w:u w:val="none" w:color="auto"/>
      </w:rPr>
    </w:lvl>
    <w:lvl w:ilvl="4" w:tentative="0">
      <w:start w:val="1"/>
      <w:numFmt w:val="lowerLetter"/>
      <w:lvlText w:val="%5)"/>
      <w:lvlJc w:val="left"/>
      <w:pPr>
        <w:ind w:left="2662" w:hanging="420"/>
      </w:pPr>
      <w:rPr>
        <w:rFonts w:hint="default" w:ascii="Times New Roman" w:hAnsi="Times New Roman" w:eastAsia="宋体"/>
        <w:u w:val="none" w:color="auto"/>
      </w:rPr>
    </w:lvl>
    <w:lvl w:ilvl="5" w:tentative="0">
      <w:start w:val="1"/>
      <w:numFmt w:val="lowerRoman"/>
      <w:lvlText w:val="%6."/>
      <w:lvlJc w:val="right"/>
      <w:pPr>
        <w:ind w:left="3082" w:hanging="420"/>
      </w:pPr>
      <w:rPr>
        <w:rFonts w:hint="default" w:ascii="Times New Roman" w:hAnsi="Times New Roman" w:eastAsia="宋体"/>
        <w:u w:val="none" w:color="auto"/>
      </w:rPr>
    </w:lvl>
    <w:lvl w:ilvl="6" w:tentative="0">
      <w:start w:val="1"/>
      <w:numFmt w:val="decimal"/>
      <w:lvlText w:val="%7."/>
      <w:lvlJc w:val="left"/>
      <w:pPr>
        <w:ind w:left="3502" w:hanging="420"/>
      </w:pPr>
      <w:rPr>
        <w:rFonts w:hint="default" w:ascii="Times New Roman" w:hAnsi="Times New Roman" w:eastAsia="宋体"/>
        <w:u w:val="none" w:color="auto"/>
      </w:rPr>
    </w:lvl>
    <w:lvl w:ilvl="7" w:tentative="0">
      <w:start w:val="1"/>
      <w:numFmt w:val="lowerLetter"/>
      <w:lvlText w:val="%8)"/>
      <w:lvlJc w:val="left"/>
      <w:pPr>
        <w:ind w:left="3922" w:hanging="420"/>
      </w:pPr>
      <w:rPr>
        <w:rFonts w:hint="default" w:ascii="Times New Roman" w:hAnsi="Times New Roman" w:eastAsia="宋体"/>
        <w:u w:val="none" w:color="auto"/>
      </w:rPr>
    </w:lvl>
    <w:lvl w:ilvl="8" w:tentative="0">
      <w:start w:val="1"/>
      <w:numFmt w:val="lowerRoman"/>
      <w:lvlText w:val="%9."/>
      <w:lvlJc w:val="right"/>
      <w:pPr>
        <w:ind w:left="4342" w:hanging="420"/>
      </w:pPr>
      <w:rPr>
        <w:rFonts w:hint="default" w:ascii="Times New Roman" w:hAnsi="Times New Roman" w:eastAsia="宋体"/>
        <w:u w:val="none" w:color="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NDg3ZWU2ZTc3OTU5NWY5OWRmYTQ0Nzc2YWFhNmMifQ=="/>
  </w:docVars>
  <w:rsids>
    <w:rsidRoot w:val="00172A27"/>
    <w:rsid w:val="00092509"/>
    <w:rsid w:val="008117D0"/>
    <w:rsid w:val="009A3A72"/>
    <w:rsid w:val="009D0A2A"/>
    <w:rsid w:val="00A319CA"/>
    <w:rsid w:val="00C6378C"/>
    <w:rsid w:val="00E16AFA"/>
    <w:rsid w:val="00E93D3B"/>
    <w:rsid w:val="00F1507E"/>
    <w:rsid w:val="01264BC2"/>
    <w:rsid w:val="015462E8"/>
    <w:rsid w:val="01855ED4"/>
    <w:rsid w:val="01893E99"/>
    <w:rsid w:val="0248574E"/>
    <w:rsid w:val="03894A9D"/>
    <w:rsid w:val="04354DE8"/>
    <w:rsid w:val="04610B65"/>
    <w:rsid w:val="047F65E6"/>
    <w:rsid w:val="065B15E4"/>
    <w:rsid w:val="07234251"/>
    <w:rsid w:val="07800791"/>
    <w:rsid w:val="07FC30F2"/>
    <w:rsid w:val="08114BDB"/>
    <w:rsid w:val="08A6123D"/>
    <w:rsid w:val="08B936CA"/>
    <w:rsid w:val="095C5BC4"/>
    <w:rsid w:val="09F97722"/>
    <w:rsid w:val="0A6238C6"/>
    <w:rsid w:val="0AEC4F01"/>
    <w:rsid w:val="0AED721D"/>
    <w:rsid w:val="0BB52366"/>
    <w:rsid w:val="0C4874B6"/>
    <w:rsid w:val="0C58445C"/>
    <w:rsid w:val="0E0775FF"/>
    <w:rsid w:val="0E10571A"/>
    <w:rsid w:val="0F15401A"/>
    <w:rsid w:val="0F5D0DD8"/>
    <w:rsid w:val="0F6033CB"/>
    <w:rsid w:val="0F9A49B6"/>
    <w:rsid w:val="10A73DA4"/>
    <w:rsid w:val="10B84EDA"/>
    <w:rsid w:val="114636B8"/>
    <w:rsid w:val="1193576A"/>
    <w:rsid w:val="11AA6770"/>
    <w:rsid w:val="124C7537"/>
    <w:rsid w:val="12A8795F"/>
    <w:rsid w:val="131314D1"/>
    <w:rsid w:val="131A7532"/>
    <w:rsid w:val="139B74C4"/>
    <w:rsid w:val="13E86B29"/>
    <w:rsid w:val="14D309C1"/>
    <w:rsid w:val="15E52305"/>
    <w:rsid w:val="17EF2C4B"/>
    <w:rsid w:val="1893513C"/>
    <w:rsid w:val="18E53F58"/>
    <w:rsid w:val="1A254D02"/>
    <w:rsid w:val="1A473F4B"/>
    <w:rsid w:val="1A6470B0"/>
    <w:rsid w:val="1A77330C"/>
    <w:rsid w:val="1B2A6607"/>
    <w:rsid w:val="1C0A2866"/>
    <w:rsid w:val="1C6E7E6B"/>
    <w:rsid w:val="1DFE611F"/>
    <w:rsid w:val="1E546061"/>
    <w:rsid w:val="1F18493F"/>
    <w:rsid w:val="1F197443"/>
    <w:rsid w:val="1FA324F4"/>
    <w:rsid w:val="1FFF14F3"/>
    <w:rsid w:val="203C7DB6"/>
    <w:rsid w:val="2060600C"/>
    <w:rsid w:val="206C747B"/>
    <w:rsid w:val="20783067"/>
    <w:rsid w:val="20902294"/>
    <w:rsid w:val="20DB41C4"/>
    <w:rsid w:val="2140502C"/>
    <w:rsid w:val="219252F9"/>
    <w:rsid w:val="21A06C03"/>
    <w:rsid w:val="22CE5F67"/>
    <w:rsid w:val="230A17B8"/>
    <w:rsid w:val="23A83C63"/>
    <w:rsid w:val="24A1781E"/>
    <w:rsid w:val="24D74FCA"/>
    <w:rsid w:val="260879E0"/>
    <w:rsid w:val="26303C7B"/>
    <w:rsid w:val="26977253"/>
    <w:rsid w:val="27842F48"/>
    <w:rsid w:val="27B506FA"/>
    <w:rsid w:val="280357E3"/>
    <w:rsid w:val="292A0397"/>
    <w:rsid w:val="293D4E4D"/>
    <w:rsid w:val="29CF181E"/>
    <w:rsid w:val="2A385E3B"/>
    <w:rsid w:val="2BD132D0"/>
    <w:rsid w:val="2CAC5ECF"/>
    <w:rsid w:val="2CEA54D2"/>
    <w:rsid w:val="2DA05BC0"/>
    <w:rsid w:val="2DE9480B"/>
    <w:rsid w:val="2E41090A"/>
    <w:rsid w:val="2EDA313F"/>
    <w:rsid w:val="2FC56C28"/>
    <w:rsid w:val="2FE30833"/>
    <w:rsid w:val="3002524E"/>
    <w:rsid w:val="303C7FB5"/>
    <w:rsid w:val="3094023A"/>
    <w:rsid w:val="30C52290"/>
    <w:rsid w:val="31174C75"/>
    <w:rsid w:val="31225521"/>
    <w:rsid w:val="31DF2DC9"/>
    <w:rsid w:val="327C6F88"/>
    <w:rsid w:val="32E64D0B"/>
    <w:rsid w:val="32FE7323"/>
    <w:rsid w:val="33743B62"/>
    <w:rsid w:val="33E22C61"/>
    <w:rsid w:val="343129DB"/>
    <w:rsid w:val="346B6AD6"/>
    <w:rsid w:val="350846DB"/>
    <w:rsid w:val="354769AB"/>
    <w:rsid w:val="36D87F64"/>
    <w:rsid w:val="36F866A6"/>
    <w:rsid w:val="371D120E"/>
    <w:rsid w:val="38C13EE5"/>
    <w:rsid w:val="38C70290"/>
    <w:rsid w:val="3AB21F1E"/>
    <w:rsid w:val="3B754E7B"/>
    <w:rsid w:val="3BB54D17"/>
    <w:rsid w:val="3C69680D"/>
    <w:rsid w:val="3D3E2AEA"/>
    <w:rsid w:val="3D8E4049"/>
    <w:rsid w:val="3DC15BFA"/>
    <w:rsid w:val="3E69238A"/>
    <w:rsid w:val="3F447E1D"/>
    <w:rsid w:val="41072508"/>
    <w:rsid w:val="41AF475D"/>
    <w:rsid w:val="41B17DE9"/>
    <w:rsid w:val="41F00BF7"/>
    <w:rsid w:val="431466CE"/>
    <w:rsid w:val="43401466"/>
    <w:rsid w:val="435046A5"/>
    <w:rsid w:val="44212D4D"/>
    <w:rsid w:val="446A0C2B"/>
    <w:rsid w:val="44F47813"/>
    <w:rsid w:val="45400F86"/>
    <w:rsid w:val="45F23AC2"/>
    <w:rsid w:val="45FC46AB"/>
    <w:rsid w:val="4619665A"/>
    <w:rsid w:val="4669507C"/>
    <w:rsid w:val="46B52204"/>
    <w:rsid w:val="47015D23"/>
    <w:rsid w:val="47B2035D"/>
    <w:rsid w:val="480F3A01"/>
    <w:rsid w:val="481E3C44"/>
    <w:rsid w:val="48A41BB0"/>
    <w:rsid w:val="491312CF"/>
    <w:rsid w:val="491A4D12"/>
    <w:rsid w:val="495F0638"/>
    <w:rsid w:val="49867CF3"/>
    <w:rsid w:val="49BF4D69"/>
    <w:rsid w:val="4A2329A2"/>
    <w:rsid w:val="4A601C4A"/>
    <w:rsid w:val="4AA57CB4"/>
    <w:rsid w:val="4AAE0CE4"/>
    <w:rsid w:val="4AB12B4E"/>
    <w:rsid w:val="4B005883"/>
    <w:rsid w:val="4B24331D"/>
    <w:rsid w:val="4B771CC5"/>
    <w:rsid w:val="4C327F08"/>
    <w:rsid w:val="4C4E6432"/>
    <w:rsid w:val="4C5F6D55"/>
    <w:rsid w:val="4CAB01AC"/>
    <w:rsid w:val="4D3B14BA"/>
    <w:rsid w:val="4DB7491F"/>
    <w:rsid w:val="4DE63A89"/>
    <w:rsid w:val="4F1D497A"/>
    <w:rsid w:val="4F7A53C3"/>
    <w:rsid w:val="4F870321"/>
    <w:rsid w:val="51B60681"/>
    <w:rsid w:val="520B715F"/>
    <w:rsid w:val="52B458D1"/>
    <w:rsid w:val="52BD7F3F"/>
    <w:rsid w:val="52C04276"/>
    <w:rsid w:val="52EB1306"/>
    <w:rsid w:val="533C6E04"/>
    <w:rsid w:val="53B078D4"/>
    <w:rsid w:val="544467E1"/>
    <w:rsid w:val="556D779F"/>
    <w:rsid w:val="56510737"/>
    <w:rsid w:val="56B84D70"/>
    <w:rsid w:val="57572B86"/>
    <w:rsid w:val="5777201C"/>
    <w:rsid w:val="57E870F2"/>
    <w:rsid w:val="58DC376C"/>
    <w:rsid w:val="58F95BD6"/>
    <w:rsid w:val="59A71CEC"/>
    <w:rsid w:val="5B947B2D"/>
    <w:rsid w:val="5CCF36D7"/>
    <w:rsid w:val="5D1072ED"/>
    <w:rsid w:val="5D7E2D63"/>
    <w:rsid w:val="5DCD3CEB"/>
    <w:rsid w:val="5E126602"/>
    <w:rsid w:val="5E99142F"/>
    <w:rsid w:val="5F6B271F"/>
    <w:rsid w:val="5F8403D9"/>
    <w:rsid w:val="603E2C7E"/>
    <w:rsid w:val="604E31DA"/>
    <w:rsid w:val="611B319B"/>
    <w:rsid w:val="61293358"/>
    <w:rsid w:val="62060A01"/>
    <w:rsid w:val="620B21D7"/>
    <w:rsid w:val="630952EB"/>
    <w:rsid w:val="63295EDD"/>
    <w:rsid w:val="633712BE"/>
    <w:rsid w:val="63D24065"/>
    <w:rsid w:val="643B7BC0"/>
    <w:rsid w:val="6457430E"/>
    <w:rsid w:val="64612135"/>
    <w:rsid w:val="649155FD"/>
    <w:rsid w:val="64A916E1"/>
    <w:rsid w:val="64BC611A"/>
    <w:rsid w:val="65E44824"/>
    <w:rsid w:val="6600417D"/>
    <w:rsid w:val="66C37A39"/>
    <w:rsid w:val="66CF6AB4"/>
    <w:rsid w:val="66EE23C3"/>
    <w:rsid w:val="674C3C46"/>
    <w:rsid w:val="68213DB8"/>
    <w:rsid w:val="68C167C4"/>
    <w:rsid w:val="692F11B8"/>
    <w:rsid w:val="6A6D03E7"/>
    <w:rsid w:val="6AAA34AB"/>
    <w:rsid w:val="6B1B1450"/>
    <w:rsid w:val="6B7A11A9"/>
    <w:rsid w:val="6BAD388A"/>
    <w:rsid w:val="6BF030F6"/>
    <w:rsid w:val="6C570384"/>
    <w:rsid w:val="6CD47EFC"/>
    <w:rsid w:val="6DDD7873"/>
    <w:rsid w:val="6E11552E"/>
    <w:rsid w:val="6F6057E5"/>
    <w:rsid w:val="6FFC55E3"/>
    <w:rsid w:val="70246E4F"/>
    <w:rsid w:val="702F3A42"/>
    <w:rsid w:val="70A001DB"/>
    <w:rsid w:val="70A96FC0"/>
    <w:rsid w:val="70E64A50"/>
    <w:rsid w:val="70F5148D"/>
    <w:rsid w:val="71832D5F"/>
    <w:rsid w:val="71A65ADA"/>
    <w:rsid w:val="71DF1C4E"/>
    <w:rsid w:val="724C156F"/>
    <w:rsid w:val="72E74AAF"/>
    <w:rsid w:val="7320452F"/>
    <w:rsid w:val="73613AA2"/>
    <w:rsid w:val="7535120E"/>
    <w:rsid w:val="75436915"/>
    <w:rsid w:val="75B11215"/>
    <w:rsid w:val="7646093C"/>
    <w:rsid w:val="76CC7227"/>
    <w:rsid w:val="77435CF7"/>
    <w:rsid w:val="7772636E"/>
    <w:rsid w:val="77A77BEF"/>
    <w:rsid w:val="77CF3634"/>
    <w:rsid w:val="78E57CE3"/>
    <w:rsid w:val="79040084"/>
    <w:rsid w:val="7A8C5CE8"/>
    <w:rsid w:val="7ACC6102"/>
    <w:rsid w:val="7AD80D65"/>
    <w:rsid w:val="7ADC7D44"/>
    <w:rsid w:val="7B9B3339"/>
    <w:rsid w:val="7BA66739"/>
    <w:rsid w:val="7BAE72DF"/>
    <w:rsid w:val="7C8731CD"/>
    <w:rsid w:val="7D2B0D13"/>
    <w:rsid w:val="7EEB1B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iPriority="99"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iPriority="99" w:semiHidden="0" w:name="index 9"/>
    <w:lsdException w:uiPriority="99" w:semiHidden="0" w:name="toc 1"/>
    <w:lsdException w:uiPriority="99" w:semiHidden="0" w:name="toc 2"/>
    <w:lsdException w:qFormat="1" w:uiPriority="99" w:semiHidden="0" w:name="toc 3"/>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iPriority="99" w:semiHidden="0" w:name="Normal Indent"/>
    <w:lsdException w:qFormat="1" w:unhideWhenUsed="0" w:uiPriority="0" w:semiHidden="0" w:name="footnote text"/>
    <w:lsdException w:qFormat="1" w:uiPriority="99" w:semiHidden="0" w:name="annotation text"/>
    <w:lsdException w:qFormat="1" w:uiPriority="99" w:semiHidden="0" w:name="header"/>
    <w:lsdException w:uiPriority="99" w:semiHidden="0" w:name="footer"/>
    <w:lsdException w:qFormat="1" w:unhideWhenUsed="0" w:uiPriority="0" w:semiHidden="0" w:name="index heading"/>
    <w:lsdException w:qFormat="1" w:unhideWhenUsed="0" w:uiPriority="99"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99" w:semiHidden="0" w:name="annotation reference"/>
    <w:lsdException w:qFormat="1" w:unhideWhenUsed="0" w:uiPriority="0" w:semiHidden="0" w:name="line number"/>
    <w:lsdException w:qFormat="1" w:uiPriority="99"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99" w:semiHidden="0" w:name="Title"/>
    <w:lsdException w:qFormat="1" w:uiPriority="99" w:semiHidden="0" w:name="Closing"/>
    <w:lsdException w:qFormat="1" w:unhideWhenUsed="0" w:uiPriority="0" w:semiHidden="0" w:name="Signature"/>
    <w:lsdException w:qFormat="1" w:uiPriority="99" w:semiHidden="0" w:name="Default Paragraph Font"/>
    <w:lsdException w:qFormat="1" w:uiPriority="99" w:semiHidden="0" w:name="Body Text"/>
    <w:lsdException w:qFormat="1"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ocked="1"/>
    <w:lsdException w:qFormat="1" w:uiPriority="99" w:semiHidden="0" w:name="Salutation"/>
    <w:lsdException w:qFormat="1" w:uiPriority="99" w:semiHidden="0" w:name="Date"/>
    <w:lsdException w:qFormat="1" w:uiPriority="99" w:semiHidden="0" w:name="Body Text First Indent"/>
    <w:lsdException w:qFormat="1" w:unhideWhenUsed="0" w:uiPriority="0" w:semiHidden="0" w:name="Body Text First Indent 2"/>
    <w:lsdException w:qFormat="1" w:unhideWhenUsed="0" w:uiPriority="0" w:semiHidden="0" w:name="Note Heading"/>
    <w:lsdException w:uiPriority="99" w:semiHidden="0" w:name="Body Text 2"/>
    <w:lsdException w:qFormat="1" w:unhideWhenUsed="0" w:uiPriority="0" w:semiHidden="0" w:name="Body Text 3"/>
    <w:lsdException w:uiPriority="99" w:semiHidden="0" w:name="Body Text Indent 2"/>
    <w:lsdException w:uiPriority="99" w:semiHidden="0" w:name="Body Text Indent 3"/>
    <w:lsdException w:qFormat="1" w:uiPriority="99" w:semiHidden="0" w:name="Block Text"/>
    <w:lsdException w:qFormat="1"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qFormat="1" w:uiPriority="99" w:semiHidden="0" w:name="Document Map"/>
    <w:lsdException w:qFormat="1" w:uiPriority="99" w:semiHidden="0" w:name="Plain Text"/>
    <w:lsdException w:qFormat="1" w:unhideWhenUsed="0" w:uiPriority="0" w:semiHidden="0" w:name="E-mail Signature"/>
    <w:lsdException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iPriority="99"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iPriority="99" w:semiHidden="0" w:name="Balloon Text"/>
    <w:lsdException w:qFormat="1" w:unhideWhenUsed="0" w:uiPriority="0" w:semiHidden="0" w:name="Table Grid" w:locked="1"/>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3">
    <w:name w:val="heading 1"/>
    <w:basedOn w:val="1"/>
    <w:next w:val="1"/>
    <w:link w:val="39"/>
    <w:qFormat/>
    <w:uiPriority w:val="99"/>
    <w:pPr>
      <w:keepNext/>
      <w:keepLines/>
      <w:spacing w:before="340" w:beforeLines="0" w:after="330" w:afterLines="0" w:line="578" w:lineRule="auto"/>
      <w:outlineLvl w:val="0"/>
    </w:pPr>
    <w:rPr>
      <w:rFonts w:hint="eastAsia"/>
      <w:b/>
      <w:kern w:val="44"/>
      <w:sz w:val="44"/>
    </w:rPr>
  </w:style>
  <w:style w:type="paragraph" w:styleId="4">
    <w:name w:val="heading 2"/>
    <w:basedOn w:val="1"/>
    <w:next w:val="1"/>
    <w:link w:val="40"/>
    <w:qFormat/>
    <w:uiPriority w:val="99"/>
    <w:pPr>
      <w:keepNext/>
      <w:keepLines/>
      <w:spacing w:before="260" w:beforeLines="0" w:after="260" w:afterLines="0" w:line="416" w:lineRule="auto"/>
      <w:outlineLvl w:val="1"/>
    </w:pPr>
    <w:rPr>
      <w:rFonts w:hint="eastAsia" w:ascii="Arial" w:hAnsi="Arial" w:eastAsia="黑体"/>
      <w:b/>
      <w:sz w:val="32"/>
    </w:rPr>
  </w:style>
  <w:style w:type="paragraph" w:styleId="5">
    <w:name w:val="heading 3"/>
    <w:basedOn w:val="1"/>
    <w:next w:val="1"/>
    <w:link w:val="41"/>
    <w:qFormat/>
    <w:uiPriority w:val="99"/>
    <w:pPr>
      <w:keepNext/>
      <w:keepLines/>
      <w:spacing w:before="260" w:beforeLines="0" w:after="260" w:afterLines="0" w:line="416" w:lineRule="auto"/>
      <w:outlineLvl w:val="2"/>
    </w:pPr>
    <w:rPr>
      <w:rFonts w:hint="eastAsia"/>
      <w:b/>
      <w:sz w:val="32"/>
    </w:rPr>
  </w:style>
  <w:style w:type="character" w:default="1" w:styleId="32">
    <w:name w:val="Default Paragraph Font"/>
    <w:unhideWhenUsed/>
    <w:qFormat/>
    <w:uiPriority w:val="99"/>
    <w:rPr>
      <w:rFonts w:hint="default"/>
      <w:sz w:val="24"/>
    </w:rPr>
  </w:style>
  <w:style w:type="table" w:default="1" w:styleId="31">
    <w:name w:val="Normal Table"/>
    <w:qFormat/>
    <w:uiPriority w:val="0"/>
    <w:tblPr>
      <w:tblCellMar>
        <w:top w:w="0" w:type="dxa"/>
        <w:left w:w="108" w:type="dxa"/>
        <w:bottom w:w="0" w:type="dxa"/>
        <w:right w:w="108" w:type="dxa"/>
      </w:tblCellMar>
    </w:tblPr>
  </w:style>
  <w:style w:type="paragraph" w:styleId="2">
    <w:name w:val="header"/>
    <w:basedOn w:val="1"/>
    <w:link w:val="53"/>
    <w:unhideWhenUsed/>
    <w:qFormat/>
    <w:uiPriority w:val="99"/>
    <w:pPr>
      <w:pBdr>
        <w:bottom w:val="single" w:color="auto" w:sz="6" w:space="1"/>
      </w:pBdr>
      <w:tabs>
        <w:tab w:val="center" w:pos="4153"/>
        <w:tab w:val="right" w:pos="8306"/>
      </w:tabs>
      <w:snapToGrid w:val="0"/>
      <w:spacing w:beforeLines="0" w:afterLines="0"/>
      <w:jc w:val="center"/>
    </w:pPr>
    <w:rPr>
      <w:rFonts w:hint="eastAsia"/>
      <w:sz w:val="18"/>
    </w:rPr>
  </w:style>
  <w:style w:type="paragraph" w:styleId="6">
    <w:name w:val="Normal Indent"/>
    <w:basedOn w:val="1"/>
    <w:link w:val="38"/>
    <w:unhideWhenUsed/>
    <w:qFormat/>
    <w:uiPriority w:val="99"/>
    <w:pPr>
      <w:spacing w:beforeLines="0" w:afterLines="0"/>
      <w:ind w:firstLine="420"/>
    </w:pPr>
    <w:rPr>
      <w:rFonts w:hint="eastAsia" w:eastAsia="仿宋_GB2312"/>
      <w:sz w:val="28"/>
    </w:rPr>
  </w:style>
  <w:style w:type="paragraph" w:styleId="7">
    <w:name w:val="caption"/>
    <w:basedOn w:val="1"/>
    <w:next w:val="1"/>
    <w:qFormat/>
    <w:uiPriority w:val="99"/>
    <w:pPr>
      <w:spacing w:beforeLines="0" w:afterLines="0"/>
    </w:pPr>
    <w:rPr>
      <w:rFonts w:hint="eastAsia" w:ascii="Arial" w:hAnsi="Arial" w:eastAsia="黑体"/>
      <w:sz w:val="20"/>
    </w:rPr>
  </w:style>
  <w:style w:type="paragraph" w:styleId="8">
    <w:name w:val="Document Map"/>
    <w:basedOn w:val="1"/>
    <w:link w:val="42"/>
    <w:unhideWhenUsed/>
    <w:qFormat/>
    <w:uiPriority w:val="99"/>
    <w:pPr>
      <w:shd w:val="clear" w:color="auto" w:fill="000080"/>
      <w:spacing w:beforeLines="0" w:afterLines="0"/>
    </w:pPr>
    <w:rPr>
      <w:rFonts w:hint="eastAsia"/>
      <w:sz w:val="21"/>
    </w:rPr>
  </w:style>
  <w:style w:type="paragraph" w:styleId="9">
    <w:name w:val="annotation text"/>
    <w:basedOn w:val="1"/>
    <w:link w:val="43"/>
    <w:unhideWhenUsed/>
    <w:qFormat/>
    <w:uiPriority w:val="99"/>
    <w:pPr>
      <w:spacing w:beforeLines="0" w:afterLines="0"/>
      <w:jc w:val="left"/>
    </w:pPr>
    <w:rPr>
      <w:rFonts w:hint="eastAsia"/>
      <w:sz w:val="21"/>
    </w:rPr>
  </w:style>
  <w:style w:type="paragraph" w:styleId="10">
    <w:name w:val="Salutation"/>
    <w:basedOn w:val="1"/>
    <w:next w:val="1"/>
    <w:link w:val="44"/>
    <w:unhideWhenUsed/>
    <w:qFormat/>
    <w:uiPriority w:val="99"/>
    <w:pPr>
      <w:spacing w:beforeLines="0" w:afterLines="0"/>
    </w:pPr>
    <w:rPr>
      <w:rFonts w:hint="eastAsia" w:ascii="仿宋_GB2312" w:hAnsi="仿宋" w:eastAsia="仿宋_GB2312"/>
      <w:sz w:val="28"/>
    </w:rPr>
  </w:style>
  <w:style w:type="paragraph" w:styleId="11">
    <w:name w:val="Closing"/>
    <w:basedOn w:val="1"/>
    <w:link w:val="45"/>
    <w:unhideWhenUsed/>
    <w:qFormat/>
    <w:uiPriority w:val="99"/>
    <w:pPr>
      <w:spacing w:beforeLines="0" w:afterLines="0"/>
      <w:ind w:left="100" w:leftChars="2100"/>
    </w:pPr>
    <w:rPr>
      <w:rFonts w:hint="eastAsia" w:ascii="仿宋_GB2312" w:hAnsi="仿宋" w:eastAsia="仿宋_GB2312"/>
      <w:sz w:val="28"/>
    </w:rPr>
  </w:style>
  <w:style w:type="paragraph" w:styleId="12">
    <w:name w:val="Body Text"/>
    <w:basedOn w:val="1"/>
    <w:link w:val="46"/>
    <w:unhideWhenUsed/>
    <w:qFormat/>
    <w:uiPriority w:val="99"/>
    <w:pPr>
      <w:spacing w:beforeLines="0" w:afterLines="0"/>
    </w:pPr>
    <w:rPr>
      <w:rFonts w:hint="eastAsia" w:ascii="仿宋_GB2312" w:eastAsia="仿宋_GB2312"/>
      <w:sz w:val="18"/>
    </w:rPr>
  </w:style>
  <w:style w:type="paragraph" w:styleId="13">
    <w:name w:val="Body Text Indent"/>
    <w:basedOn w:val="1"/>
    <w:link w:val="47"/>
    <w:unhideWhenUsed/>
    <w:qFormat/>
    <w:uiPriority w:val="99"/>
    <w:pPr>
      <w:spacing w:beforeLines="0" w:afterLines="0"/>
      <w:ind w:firstLine="4400" w:firstLineChars="1000"/>
    </w:pPr>
    <w:rPr>
      <w:rFonts w:hint="eastAsia" w:ascii="仿宋_GB2312" w:eastAsia="仿宋_GB2312"/>
      <w:sz w:val="44"/>
    </w:rPr>
  </w:style>
  <w:style w:type="paragraph" w:styleId="14">
    <w:name w:val="Block Text"/>
    <w:basedOn w:val="1"/>
    <w:unhideWhenUsed/>
    <w:qFormat/>
    <w:uiPriority w:val="99"/>
    <w:pPr>
      <w:spacing w:beforeLines="0" w:afterLines="0"/>
      <w:ind w:left="-135" w:right="-108"/>
      <w:jc w:val="center"/>
    </w:pPr>
    <w:rPr>
      <w:rFonts w:hint="eastAsia" w:ascii="仿宋_GB2312" w:eastAsia="仿宋_GB2312"/>
      <w:sz w:val="18"/>
    </w:rPr>
  </w:style>
  <w:style w:type="paragraph" w:styleId="15">
    <w:name w:val="toc 3"/>
    <w:basedOn w:val="1"/>
    <w:next w:val="1"/>
    <w:unhideWhenUsed/>
    <w:qFormat/>
    <w:uiPriority w:val="99"/>
    <w:pPr>
      <w:spacing w:beforeLines="0" w:afterLines="0"/>
      <w:ind w:left="840" w:leftChars="400"/>
    </w:pPr>
    <w:rPr>
      <w:rFonts w:hint="eastAsia"/>
      <w:sz w:val="21"/>
    </w:rPr>
  </w:style>
  <w:style w:type="paragraph" w:styleId="16">
    <w:name w:val="Plain Text"/>
    <w:basedOn w:val="1"/>
    <w:link w:val="48"/>
    <w:unhideWhenUsed/>
    <w:qFormat/>
    <w:uiPriority w:val="99"/>
    <w:pPr>
      <w:spacing w:beforeLines="0" w:afterLines="0"/>
    </w:pPr>
    <w:rPr>
      <w:rFonts w:hint="eastAsia" w:ascii="宋体" w:hAnsi="Courier New"/>
      <w:sz w:val="21"/>
    </w:rPr>
  </w:style>
  <w:style w:type="paragraph" w:styleId="17">
    <w:name w:val="Date"/>
    <w:basedOn w:val="1"/>
    <w:next w:val="1"/>
    <w:link w:val="49"/>
    <w:unhideWhenUsed/>
    <w:qFormat/>
    <w:uiPriority w:val="99"/>
    <w:pPr>
      <w:spacing w:beforeLines="0" w:afterLines="0"/>
    </w:pPr>
    <w:rPr>
      <w:rFonts w:hint="eastAsia"/>
      <w:sz w:val="24"/>
    </w:rPr>
  </w:style>
  <w:style w:type="paragraph" w:styleId="18">
    <w:name w:val="Body Text Indent 2"/>
    <w:basedOn w:val="1"/>
    <w:link w:val="50"/>
    <w:unhideWhenUsed/>
    <w:uiPriority w:val="99"/>
    <w:pPr>
      <w:spacing w:beforeLines="0" w:afterLines="0"/>
      <w:ind w:left="181" w:leftChars="86" w:firstLine="840" w:firstLineChars="300"/>
    </w:pPr>
    <w:rPr>
      <w:rFonts w:hint="eastAsia" w:ascii="仿宋_GB2312" w:eastAsia="仿宋_GB2312"/>
      <w:sz w:val="28"/>
    </w:rPr>
  </w:style>
  <w:style w:type="paragraph" w:styleId="19">
    <w:name w:val="Balloon Text"/>
    <w:basedOn w:val="1"/>
    <w:link w:val="51"/>
    <w:unhideWhenUsed/>
    <w:uiPriority w:val="99"/>
    <w:pPr>
      <w:spacing w:beforeLines="0" w:afterLines="0"/>
    </w:pPr>
    <w:rPr>
      <w:rFonts w:hint="eastAsia"/>
      <w:sz w:val="18"/>
    </w:rPr>
  </w:style>
  <w:style w:type="paragraph" w:styleId="20">
    <w:name w:val="footer"/>
    <w:basedOn w:val="1"/>
    <w:link w:val="52"/>
    <w:unhideWhenUsed/>
    <w:uiPriority w:val="99"/>
    <w:pPr>
      <w:tabs>
        <w:tab w:val="center" w:pos="4153"/>
        <w:tab w:val="right" w:pos="8306"/>
      </w:tabs>
      <w:snapToGrid w:val="0"/>
      <w:spacing w:beforeLines="0" w:afterLines="0"/>
      <w:jc w:val="left"/>
    </w:pPr>
    <w:rPr>
      <w:rFonts w:hint="eastAsia"/>
      <w:sz w:val="18"/>
    </w:rPr>
  </w:style>
  <w:style w:type="paragraph" w:styleId="21">
    <w:name w:val="toc 1"/>
    <w:basedOn w:val="1"/>
    <w:next w:val="1"/>
    <w:unhideWhenUsed/>
    <w:uiPriority w:val="99"/>
    <w:pPr>
      <w:tabs>
        <w:tab w:val="right" w:leader="dot" w:pos="9736"/>
      </w:tabs>
      <w:spacing w:before="120" w:beforeLines="0" w:after="120" w:afterLines="0" w:line="380" w:lineRule="exact"/>
      <w:jc w:val="center"/>
    </w:pPr>
    <w:rPr>
      <w:rFonts w:hint="eastAsia" w:ascii="仿宋_GB2312" w:hAnsi="仿宋" w:eastAsia="仿宋_GB2312"/>
      <w:b/>
      <w:caps/>
      <w:spacing w:val="-2"/>
      <w:sz w:val="28"/>
    </w:rPr>
  </w:style>
  <w:style w:type="paragraph" w:styleId="22">
    <w:name w:val="Body Text Indent 3"/>
    <w:basedOn w:val="1"/>
    <w:link w:val="54"/>
    <w:unhideWhenUsed/>
    <w:uiPriority w:val="99"/>
    <w:pPr>
      <w:tabs>
        <w:tab w:val="left" w:pos="180"/>
      </w:tabs>
      <w:spacing w:beforeLines="0" w:afterLines="0"/>
      <w:ind w:firstLine="538"/>
    </w:pPr>
    <w:rPr>
      <w:rFonts w:hint="eastAsia" w:ascii="仿宋_GB2312" w:eastAsia="仿宋_GB2312"/>
      <w:sz w:val="28"/>
    </w:rPr>
  </w:style>
  <w:style w:type="paragraph" w:styleId="23">
    <w:name w:val="index 9"/>
    <w:basedOn w:val="1"/>
    <w:next w:val="1"/>
    <w:unhideWhenUsed/>
    <w:qFormat/>
    <w:uiPriority w:val="99"/>
    <w:pPr>
      <w:spacing w:beforeLines="0" w:afterLines="0"/>
      <w:ind w:left="1600" w:leftChars="1600"/>
    </w:pPr>
    <w:rPr>
      <w:rFonts w:hint="eastAsia"/>
      <w:sz w:val="21"/>
    </w:rPr>
  </w:style>
  <w:style w:type="paragraph" w:styleId="24">
    <w:name w:val="toc 2"/>
    <w:basedOn w:val="1"/>
    <w:next w:val="1"/>
    <w:unhideWhenUsed/>
    <w:uiPriority w:val="99"/>
    <w:pPr>
      <w:tabs>
        <w:tab w:val="left" w:pos="851"/>
        <w:tab w:val="left" w:pos="993"/>
        <w:tab w:val="left" w:pos="1134"/>
        <w:tab w:val="right" w:leader="dot" w:pos="9736"/>
      </w:tabs>
      <w:spacing w:beforeLines="0" w:afterLines="0"/>
      <w:ind w:left="420" w:leftChars="200" w:firstLine="6"/>
    </w:pPr>
    <w:rPr>
      <w:rFonts w:hint="eastAsia"/>
      <w:sz w:val="21"/>
    </w:rPr>
  </w:style>
  <w:style w:type="paragraph" w:styleId="25">
    <w:name w:val="Body Text 2"/>
    <w:basedOn w:val="1"/>
    <w:link w:val="55"/>
    <w:unhideWhenUsed/>
    <w:uiPriority w:val="99"/>
    <w:pPr>
      <w:spacing w:beforeLines="0" w:afterLines="0"/>
    </w:pPr>
    <w:rPr>
      <w:rFonts w:hint="eastAsia" w:ascii="仿宋_GB2312"/>
      <w:sz w:val="20"/>
    </w:rPr>
  </w:style>
  <w:style w:type="paragraph" w:styleId="26">
    <w:name w:val="Normal (Web)"/>
    <w:basedOn w:val="1"/>
    <w:unhideWhenUsed/>
    <w:uiPriority w:val="99"/>
    <w:pPr>
      <w:widowControl/>
      <w:spacing w:before="100" w:beforeLines="0" w:beforeAutospacing="1" w:after="100" w:afterLines="0" w:afterAutospacing="1"/>
      <w:jc w:val="left"/>
    </w:pPr>
    <w:rPr>
      <w:rFonts w:hint="eastAsia" w:ascii="宋体" w:hAnsi="宋体"/>
      <w:sz w:val="24"/>
    </w:rPr>
  </w:style>
  <w:style w:type="paragraph" w:styleId="27">
    <w:name w:val="index 1"/>
    <w:basedOn w:val="1"/>
    <w:next w:val="1"/>
    <w:unhideWhenUsed/>
    <w:qFormat/>
    <w:uiPriority w:val="99"/>
    <w:pPr>
      <w:spacing w:beforeLines="0" w:afterLines="0"/>
    </w:pPr>
    <w:rPr>
      <w:rFonts w:hint="eastAsia"/>
      <w:sz w:val="21"/>
    </w:rPr>
  </w:style>
  <w:style w:type="paragraph" w:styleId="28">
    <w:name w:val="Title"/>
    <w:basedOn w:val="1"/>
    <w:next w:val="1"/>
    <w:link w:val="56"/>
    <w:qFormat/>
    <w:uiPriority w:val="99"/>
    <w:pPr>
      <w:widowControl/>
      <w:spacing w:before="240" w:beforeLines="0" w:after="60" w:afterLines="0"/>
      <w:jc w:val="center"/>
      <w:outlineLvl w:val="0"/>
    </w:pPr>
    <w:rPr>
      <w:rFonts w:hint="eastAsia" w:ascii="Cambria" w:hAnsi="Cambria"/>
      <w:b/>
      <w:sz w:val="32"/>
    </w:rPr>
  </w:style>
  <w:style w:type="paragraph" w:styleId="29">
    <w:name w:val="annotation subject"/>
    <w:basedOn w:val="9"/>
    <w:next w:val="9"/>
    <w:link w:val="57"/>
    <w:unhideWhenUsed/>
    <w:qFormat/>
    <w:uiPriority w:val="99"/>
    <w:pPr>
      <w:spacing w:beforeLines="0" w:afterLines="0"/>
    </w:pPr>
    <w:rPr>
      <w:rFonts w:hint="eastAsia"/>
      <w:b/>
      <w:sz w:val="21"/>
    </w:rPr>
  </w:style>
  <w:style w:type="paragraph" w:styleId="30">
    <w:name w:val="Body Text First Indent"/>
    <w:basedOn w:val="12"/>
    <w:link w:val="58"/>
    <w:unhideWhenUsed/>
    <w:qFormat/>
    <w:uiPriority w:val="99"/>
    <w:pPr>
      <w:spacing w:beforeLines="0" w:after="120" w:afterLines="0"/>
      <w:ind w:firstLine="420" w:firstLineChars="100"/>
    </w:pPr>
    <w:rPr>
      <w:rFonts w:hint="eastAsia" w:ascii="Times New Roman" w:eastAsia="宋体"/>
      <w:sz w:val="21"/>
    </w:rPr>
  </w:style>
  <w:style w:type="character" w:styleId="33">
    <w:name w:val="Strong"/>
    <w:qFormat/>
    <w:uiPriority w:val="99"/>
    <w:rPr>
      <w:rFonts w:hint="default" w:ascii="Times New Roman" w:hAnsi="Times New Roman" w:eastAsia="宋体"/>
      <w:b/>
      <w:sz w:val="24"/>
    </w:rPr>
  </w:style>
  <w:style w:type="character" w:styleId="34">
    <w:name w:val="page number"/>
    <w:unhideWhenUsed/>
    <w:qFormat/>
    <w:uiPriority w:val="99"/>
    <w:rPr>
      <w:rFonts w:hint="default" w:ascii="Times New Roman" w:hAnsi="Times New Roman" w:eastAsia="宋体"/>
      <w:sz w:val="24"/>
    </w:rPr>
  </w:style>
  <w:style w:type="character" w:styleId="35">
    <w:name w:val="FollowedHyperlink"/>
    <w:unhideWhenUsed/>
    <w:qFormat/>
    <w:uiPriority w:val="99"/>
    <w:rPr>
      <w:rFonts w:hint="default" w:ascii="Times New Roman" w:hAnsi="Times New Roman" w:eastAsia="宋体"/>
      <w:color w:val="800080"/>
      <w:sz w:val="24"/>
      <w:u w:val="single"/>
    </w:rPr>
  </w:style>
  <w:style w:type="character" w:styleId="36">
    <w:name w:val="Hyperlink"/>
    <w:unhideWhenUsed/>
    <w:qFormat/>
    <w:uiPriority w:val="99"/>
    <w:rPr>
      <w:rFonts w:hint="default" w:ascii="Times New Roman" w:hAnsi="Times New Roman" w:eastAsia="宋体"/>
      <w:color w:val="0000FF"/>
      <w:sz w:val="24"/>
      <w:u w:val="single"/>
    </w:rPr>
  </w:style>
  <w:style w:type="character" w:styleId="37">
    <w:name w:val="annotation reference"/>
    <w:unhideWhenUsed/>
    <w:qFormat/>
    <w:uiPriority w:val="99"/>
    <w:rPr>
      <w:rFonts w:hint="default" w:ascii="Times New Roman" w:hAnsi="Times New Roman" w:eastAsia="宋体"/>
      <w:sz w:val="21"/>
    </w:rPr>
  </w:style>
  <w:style w:type="character" w:customStyle="1" w:styleId="38">
    <w:name w:val="正文缩进 Char"/>
    <w:link w:val="6"/>
    <w:unhideWhenUsed/>
    <w:qFormat/>
    <w:locked/>
    <w:uiPriority w:val="99"/>
    <w:rPr>
      <w:rFonts w:hint="default" w:ascii="Times New Roman" w:hAnsi="Times New Roman" w:eastAsia="仿宋_GB2312"/>
      <w:kern w:val="2"/>
      <w:sz w:val="28"/>
    </w:rPr>
  </w:style>
  <w:style w:type="character" w:customStyle="1" w:styleId="39">
    <w:name w:val="标题 1 Char"/>
    <w:link w:val="3"/>
    <w:unhideWhenUsed/>
    <w:qFormat/>
    <w:locked/>
    <w:uiPriority w:val="99"/>
    <w:rPr>
      <w:rFonts w:hint="default" w:ascii="Times New Roman" w:hAnsi="Times New Roman" w:eastAsia="宋体"/>
      <w:b/>
      <w:kern w:val="44"/>
      <w:sz w:val="44"/>
    </w:rPr>
  </w:style>
  <w:style w:type="character" w:customStyle="1" w:styleId="40">
    <w:name w:val="标题 2 Char"/>
    <w:link w:val="4"/>
    <w:unhideWhenUsed/>
    <w:qFormat/>
    <w:locked/>
    <w:uiPriority w:val="99"/>
    <w:rPr>
      <w:rFonts w:hint="default" w:ascii="Cambria" w:hAnsi="Times New Roman" w:eastAsia="宋体"/>
      <w:b/>
      <w:sz w:val="32"/>
    </w:rPr>
  </w:style>
  <w:style w:type="character" w:customStyle="1" w:styleId="41">
    <w:name w:val="标题 3 Char"/>
    <w:link w:val="5"/>
    <w:unhideWhenUsed/>
    <w:qFormat/>
    <w:locked/>
    <w:uiPriority w:val="99"/>
    <w:rPr>
      <w:rFonts w:hint="default" w:ascii="Times New Roman" w:hAnsi="Times New Roman" w:eastAsia="宋体"/>
      <w:b/>
      <w:sz w:val="32"/>
    </w:rPr>
  </w:style>
  <w:style w:type="character" w:customStyle="1" w:styleId="42">
    <w:name w:val="文档结构图 Char"/>
    <w:link w:val="8"/>
    <w:unhideWhenUsed/>
    <w:qFormat/>
    <w:locked/>
    <w:uiPriority w:val="99"/>
    <w:rPr>
      <w:rFonts w:hint="eastAsia" w:ascii="宋体" w:hAnsi="Times New Roman" w:eastAsia="宋体"/>
      <w:sz w:val="18"/>
    </w:rPr>
  </w:style>
  <w:style w:type="character" w:customStyle="1" w:styleId="43">
    <w:name w:val="批注文字 Char"/>
    <w:link w:val="9"/>
    <w:unhideWhenUsed/>
    <w:qFormat/>
    <w:locked/>
    <w:uiPriority w:val="99"/>
    <w:rPr>
      <w:rFonts w:hint="default" w:ascii="Times New Roman" w:hAnsi="Times New Roman" w:eastAsia="宋体"/>
      <w:sz w:val="21"/>
    </w:rPr>
  </w:style>
  <w:style w:type="character" w:customStyle="1" w:styleId="44">
    <w:name w:val="称呼 Char"/>
    <w:link w:val="10"/>
    <w:unhideWhenUsed/>
    <w:qFormat/>
    <w:locked/>
    <w:uiPriority w:val="99"/>
    <w:rPr>
      <w:rFonts w:hint="default" w:ascii="Times New Roman" w:hAnsi="Times New Roman" w:eastAsia="宋体"/>
      <w:sz w:val="24"/>
    </w:rPr>
  </w:style>
  <w:style w:type="character" w:customStyle="1" w:styleId="45">
    <w:name w:val="结束语 Char"/>
    <w:link w:val="11"/>
    <w:unhideWhenUsed/>
    <w:qFormat/>
    <w:locked/>
    <w:uiPriority w:val="99"/>
    <w:rPr>
      <w:rFonts w:hint="default" w:ascii="Times New Roman" w:hAnsi="Times New Roman" w:eastAsia="宋体"/>
      <w:sz w:val="24"/>
    </w:rPr>
  </w:style>
  <w:style w:type="character" w:customStyle="1" w:styleId="46">
    <w:name w:val="正文文本 Char"/>
    <w:link w:val="12"/>
    <w:unhideWhenUsed/>
    <w:qFormat/>
    <w:locked/>
    <w:uiPriority w:val="99"/>
    <w:rPr>
      <w:rFonts w:hint="default" w:ascii="Times New Roman" w:hAnsi="Times New Roman" w:eastAsia="宋体"/>
      <w:sz w:val="24"/>
    </w:rPr>
  </w:style>
  <w:style w:type="character" w:customStyle="1" w:styleId="47">
    <w:name w:val="正文文本缩进 Char"/>
    <w:link w:val="13"/>
    <w:unhideWhenUsed/>
    <w:qFormat/>
    <w:locked/>
    <w:uiPriority w:val="99"/>
    <w:rPr>
      <w:rFonts w:hint="default" w:ascii="Times New Roman" w:hAnsi="Times New Roman" w:eastAsia="宋体"/>
      <w:sz w:val="24"/>
    </w:rPr>
  </w:style>
  <w:style w:type="character" w:customStyle="1" w:styleId="48">
    <w:name w:val="纯文本 Char"/>
    <w:link w:val="16"/>
    <w:unhideWhenUsed/>
    <w:qFormat/>
    <w:locked/>
    <w:uiPriority w:val="99"/>
    <w:rPr>
      <w:rFonts w:hint="eastAsia" w:ascii="宋体" w:hAnsi="Courier New" w:eastAsia="宋体"/>
      <w:sz w:val="21"/>
    </w:rPr>
  </w:style>
  <w:style w:type="character" w:customStyle="1" w:styleId="49">
    <w:name w:val="日期 Char"/>
    <w:link w:val="17"/>
    <w:unhideWhenUsed/>
    <w:qFormat/>
    <w:locked/>
    <w:uiPriority w:val="99"/>
    <w:rPr>
      <w:rFonts w:hint="default" w:ascii="Times New Roman" w:hAnsi="Times New Roman" w:eastAsia="宋体"/>
      <w:sz w:val="21"/>
    </w:rPr>
  </w:style>
  <w:style w:type="character" w:customStyle="1" w:styleId="50">
    <w:name w:val="正文文本缩进 2 Char"/>
    <w:link w:val="18"/>
    <w:unhideWhenUsed/>
    <w:qFormat/>
    <w:locked/>
    <w:uiPriority w:val="99"/>
    <w:rPr>
      <w:rFonts w:hint="default" w:ascii="Times New Roman" w:hAnsi="Times New Roman" w:eastAsia="宋体"/>
      <w:sz w:val="24"/>
    </w:rPr>
  </w:style>
  <w:style w:type="character" w:customStyle="1" w:styleId="51">
    <w:name w:val="批注框文本 Char"/>
    <w:link w:val="19"/>
    <w:unhideWhenUsed/>
    <w:qFormat/>
    <w:locked/>
    <w:uiPriority w:val="99"/>
    <w:rPr>
      <w:rFonts w:hint="default" w:ascii="Times New Roman" w:hAnsi="Times New Roman" w:eastAsia="宋体"/>
      <w:sz w:val="18"/>
    </w:rPr>
  </w:style>
  <w:style w:type="character" w:customStyle="1" w:styleId="52">
    <w:name w:val="页脚 Char"/>
    <w:link w:val="20"/>
    <w:unhideWhenUsed/>
    <w:qFormat/>
    <w:locked/>
    <w:uiPriority w:val="99"/>
    <w:rPr>
      <w:rFonts w:hint="default" w:ascii="Times New Roman" w:hAnsi="Times New Roman" w:eastAsia="宋体"/>
      <w:sz w:val="18"/>
    </w:rPr>
  </w:style>
  <w:style w:type="character" w:customStyle="1" w:styleId="53">
    <w:name w:val="页眉 Char"/>
    <w:link w:val="2"/>
    <w:unhideWhenUsed/>
    <w:qFormat/>
    <w:locked/>
    <w:uiPriority w:val="99"/>
    <w:rPr>
      <w:rFonts w:hint="default" w:ascii="Times New Roman" w:hAnsi="Times New Roman" w:eastAsia="宋体"/>
      <w:sz w:val="18"/>
    </w:rPr>
  </w:style>
  <w:style w:type="character" w:customStyle="1" w:styleId="54">
    <w:name w:val="正文文本缩进 3 Char"/>
    <w:link w:val="22"/>
    <w:unhideWhenUsed/>
    <w:qFormat/>
    <w:locked/>
    <w:uiPriority w:val="99"/>
    <w:rPr>
      <w:rFonts w:hint="default" w:ascii="Times New Roman" w:hAnsi="Times New Roman" w:eastAsia="宋体"/>
      <w:sz w:val="16"/>
    </w:rPr>
  </w:style>
  <w:style w:type="character" w:customStyle="1" w:styleId="55">
    <w:name w:val="正文文本 2 Char"/>
    <w:link w:val="25"/>
    <w:unhideWhenUsed/>
    <w:qFormat/>
    <w:locked/>
    <w:uiPriority w:val="99"/>
    <w:rPr>
      <w:rFonts w:hint="default" w:ascii="Times New Roman" w:hAnsi="Times New Roman" w:eastAsia="宋体"/>
      <w:sz w:val="21"/>
    </w:rPr>
  </w:style>
  <w:style w:type="character" w:customStyle="1" w:styleId="56">
    <w:name w:val="标题 Char"/>
    <w:link w:val="28"/>
    <w:unhideWhenUsed/>
    <w:qFormat/>
    <w:locked/>
    <w:uiPriority w:val="10"/>
    <w:rPr>
      <w:rFonts w:hint="default" w:ascii="Cambria" w:hAnsi="Times New Roman" w:eastAsia="宋体"/>
      <w:b/>
      <w:sz w:val="32"/>
    </w:rPr>
  </w:style>
  <w:style w:type="character" w:customStyle="1" w:styleId="57">
    <w:name w:val="批注主题 Char"/>
    <w:link w:val="29"/>
    <w:unhideWhenUsed/>
    <w:qFormat/>
    <w:locked/>
    <w:uiPriority w:val="99"/>
    <w:rPr>
      <w:rFonts w:hint="default"/>
      <w:b/>
      <w:sz w:val="21"/>
    </w:rPr>
  </w:style>
  <w:style w:type="character" w:customStyle="1" w:styleId="58">
    <w:name w:val="正文首行缩进 Char"/>
    <w:link w:val="30"/>
    <w:unhideWhenUsed/>
    <w:qFormat/>
    <w:locked/>
    <w:uiPriority w:val="99"/>
    <w:rPr>
      <w:rFonts w:hint="default" w:ascii="Times New Roman" w:hAnsi="Times New Roman" w:eastAsia="宋体"/>
      <w:sz w:val="24"/>
    </w:rPr>
  </w:style>
  <w:style w:type="character" w:customStyle="1" w:styleId="59">
    <w:name w:val="正文文本 2 Char2"/>
    <w:unhideWhenUsed/>
    <w:qFormat/>
    <w:locked/>
    <w:uiPriority w:val="99"/>
    <w:rPr>
      <w:rFonts w:hint="default" w:ascii="Times New Roman" w:hAnsi="Times New Roman" w:eastAsia="宋体"/>
      <w:sz w:val="21"/>
    </w:rPr>
  </w:style>
  <w:style w:type="character" w:customStyle="1" w:styleId="60">
    <w:name w:val="标题 Char2"/>
    <w:unhideWhenUsed/>
    <w:qFormat/>
    <w:locked/>
    <w:uiPriority w:val="10"/>
    <w:rPr>
      <w:rFonts w:hint="default" w:ascii="Cambria" w:hAnsi="Times New Roman" w:eastAsia="宋体"/>
      <w:b/>
      <w:sz w:val="32"/>
    </w:rPr>
  </w:style>
  <w:style w:type="character" w:customStyle="1" w:styleId="61">
    <w:name w:val="正文文本 Char2"/>
    <w:unhideWhenUsed/>
    <w:qFormat/>
    <w:locked/>
    <w:uiPriority w:val="99"/>
    <w:rPr>
      <w:rFonts w:hint="default" w:ascii="Times New Roman" w:hAnsi="Times New Roman" w:eastAsia="宋体"/>
      <w:sz w:val="21"/>
    </w:rPr>
  </w:style>
  <w:style w:type="character" w:customStyle="1" w:styleId="62">
    <w:name w:val="font21"/>
    <w:unhideWhenUsed/>
    <w:qFormat/>
    <w:uiPriority w:val="0"/>
    <w:rPr>
      <w:rFonts w:hint="eastAsia" w:ascii="仿宋_GB2312" w:hAnsi="Times New Roman" w:eastAsia="仿宋_GB2312"/>
      <w:color w:val="000000"/>
      <w:sz w:val="18"/>
    </w:rPr>
  </w:style>
  <w:style w:type="character" w:customStyle="1" w:styleId="63">
    <w:name w:val="批注主题 Char2"/>
    <w:unhideWhenUsed/>
    <w:qFormat/>
    <w:locked/>
    <w:uiPriority w:val="99"/>
    <w:rPr>
      <w:rFonts w:hint="default"/>
      <w:b/>
      <w:sz w:val="21"/>
    </w:rPr>
  </w:style>
  <w:style w:type="character" w:customStyle="1" w:styleId="64">
    <w:name w:val="页眉 Char2"/>
    <w:unhideWhenUsed/>
    <w:qFormat/>
    <w:locked/>
    <w:uiPriority w:val="99"/>
    <w:rPr>
      <w:rFonts w:hint="default" w:ascii="Times New Roman" w:hAnsi="Times New Roman" w:eastAsia="宋体"/>
      <w:sz w:val="18"/>
    </w:rPr>
  </w:style>
  <w:style w:type="character" w:customStyle="1" w:styleId="65">
    <w:name w:val="文档结构图 Char2"/>
    <w:unhideWhenUsed/>
    <w:qFormat/>
    <w:locked/>
    <w:uiPriority w:val="99"/>
    <w:rPr>
      <w:rFonts w:hint="eastAsia" w:ascii="宋体" w:hAnsi="Times New Roman" w:eastAsia="宋体"/>
      <w:sz w:val="18"/>
    </w:rPr>
  </w:style>
  <w:style w:type="character" w:customStyle="1" w:styleId="66">
    <w:name w:val="正文文本缩进 2 Char2"/>
    <w:unhideWhenUsed/>
    <w:qFormat/>
    <w:locked/>
    <w:uiPriority w:val="99"/>
    <w:rPr>
      <w:rFonts w:hint="default" w:ascii="Times New Roman" w:hAnsi="Times New Roman" w:eastAsia="宋体"/>
      <w:sz w:val="21"/>
    </w:rPr>
  </w:style>
  <w:style w:type="character" w:customStyle="1" w:styleId="67">
    <w:name w:val="批注框文本 Char2"/>
    <w:unhideWhenUsed/>
    <w:qFormat/>
    <w:locked/>
    <w:uiPriority w:val="99"/>
    <w:rPr>
      <w:rFonts w:hint="default" w:ascii="Times New Roman" w:hAnsi="Times New Roman" w:eastAsia="宋体"/>
      <w:sz w:val="18"/>
    </w:rPr>
  </w:style>
  <w:style w:type="character" w:customStyle="1" w:styleId="68">
    <w:name w:val="gray"/>
    <w:unhideWhenUsed/>
    <w:qFormat/>
    <w:uiPriority w:val="99"/>
    <w:rPr>
      <w:rFonts w:hint="default" w:ascii="Times New Roman" w:hAnsi="Times New Roman" w:eastAsia="宋体"/>
      <w:sz w:val="24"/>
    </w:rPr>
  </w:style>
  <w:style w:type="character" w:customStyle="1" w:styleId="69">
    <w:name w:val="font01"/>
    <w:unhideWhenUsed/>
    <w:qFormat/>
    <w:uiPriority w:val="0"/>
    <w:rPr>
      <w:rFonts w:hint="eastAsia" w:ascii="宋体" w:hAnsi="Times New Roman" w:eastAsia="宋体"/>
      <w:color w:val="000000"/>
      <w:sz w:val="18"/>
    </w:rPr>
  </w:style>
  <w:style w:type="character" w:customStyle="1" w:styleId="70">
    <w:name w:val="页脚 Char2"/>
    <w:unhideWhenUsed/>
    <w:qFormat/>
    <w:locked/>
    <w:uiPriority w:val="99"/>
    <w:rPr>
      <w:rFonts w:hint="default" w:ascii="Times New Roman" w:hAnsi="Times New Roman" w:eastAsia="宋体"/>
      <w:sz w:val="18"/>
    </w:rPr>
  </w:style>
  <w:style w:type="character" w:customStyle="1" w:styleId="71">
    <w:name w:val="正文首行缩进 Char2"/>
    <w:unhideWhenUsed/>
    <w:qFormat/>
    <w:locked/>
    <w:uiPriority w:val="99"/>
    <w:rPr>
      <w:rFonts w:hint="default"/>
      <w:sz w:val="21"/>
    </w:rPr>
  </w:style>
  <w:style w:type="character" w:customStyle="1" w:styleId="72">
    <w:name w:val="称呼 Char2"/>
    <w:unhideWhenUsed/>
    <w:qFormat/>
    <w:locked/>
    <w:uiPriority w:val="99"/>
    <w:rPr>
      <w:rFonts w:hint="default" w:ascii="Times New Roman" w:hAnsi="Times New Roman" w:eastAsia="宋体"/>
      <w:sz w:val="21"/>
    </w:rPr>
  </w:style>
  <w:style w:type="character" w:customStyle="1" w:styleId="73">
    <w:name w:val="批注文字 Char2"/>
    <w:unhideWhenUsed/>
    <w:qFormat/>
    <w:locked/>
    <w:uiPriority w:val="99"/>
    <w:rPr>
      <w:rFonts w:hint="default" w:ascii="Times New Roman" w:hAnsi="Times New Roman" w:eastAsia="宋体"/>
      <w:sz w:val="21"/>
    </w:rPr>
  </w:style>
  <w:style w:type="character" w:customStyle="1" w:styleId="74">
    <w:name w:val="正文文本缩进 Char2"/>
    <w:unhideWhenUsed/>
    <w:qFormat/>
    <w:locked/>
    <w:uiPriority w:val="99"/>
    <w:rPr>
      <w:rFonts w:hint="default" w:ascii="Times New Roman" w:hAnsi="Times New Roman" w:eastAsia="宋体"/>
      <w:sz w:val="21"/>
    </w:rPr>
  </w:style>
  <w:style w:type="character" w:customStyle="1" w:styleId="75">
    <w:name w:val="日期 Char2"/>
    <w:unhideWhenUsed/>
    <w:qFormat/>
    <w:locked/>
    <w:uiPriority w:val="99"/>
    <w:rPr>
      <w:rFonts w:hint="default" w:ascii="Times New Roman" w:hAnsi="Times New Roman" w:eastAsia="宋体"/>
      <w:sz w:val="21"/>
    </w:rPr>
  </w:style>
  <w:style w:type="character" w:customStyle="1" w:styleId="76">
    <w:name w:val="结束语 Char2"/>
    <w:unhideWhenUsed/>
    <w:qFormat/>
    <w:locked/>
    <w:uiPriority w:val="99"/>
    <w:rPr>
      <w:rFonts w:hint="default" w:ascii="Times New Roman" w:hAnsi="Times New Roman" w:eastAsia="宋体"/>
      <w:sz w:val="21"/>
    </w:rPr>
  </w:style>
  <w:style w:type="paragraph" w:customStyle="1" w:styleId="77">
    <w:name w:val="xl33"/>
    <w:basedOn w:val="1"/>
    <w:unhideWhenUsed/>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customStyle="1" w:styleId="78">
    <w:name w:val="xl34"/>
    <w:basedOn w:val="1"/>
    <w:unhideWhenUsed/>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styleId="79">
    <w:name w:val="List Paragraph"/>
    <w:basedOn w:val="1"/>
    <w:qFormat/>
    <w:uiPriority w:val="99"/>
    <w:pPr>
      <w:spacing w:beforeLines="0" w:afterLines="0"/>
      <w:ind w:firstLine="420" w:firstLineChars="200"/>
    </w:pPr>
    <w:rPr>
      <w:rFonts w:hint="eastAsia"/>
      <w:sz w:val="21"/>
    </w:rPr>
  </w:style>
  <w:style w:type="paragraph" w:customStyle="1" w:styleId="80">
    <w:name w:val="xl37"/>
    <w:basedOn w:val="1"/>
    <w:unhideWhenUsed/>
    <w:qFormat/>
    <w:uiPriority w:val="99"/>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customStyle="1" w:styleId="81">
    <w:name w:val="xl31"/>
    <w:basedOn w:val="1"/>
    <w:unhideWhenUsed/>
    <w:qFormat/>
    <w:uiPriority w:val="99"/>
    <w:pPr>
      <w:widowControl/>
      <w:pBdr>
        <w:top w:val="single" w:color="auto" w:sz="4" w:space="0"/>
        <w:left w:val="single" w:color="auto" w:sz="4" w:space="0"/>
        <w:right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customStyle="1" w:styleId="82">
    <w:name w:val="xl32"/>
    <w:basedOn w:val="1"/>
    <w:unhideWhenUsed/>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customStyle="1" w:styleId="83">
    <w:name w:val="font8"/>
    <w:basedOn w:val="1"/>
    <w:unhideWhenUsed/>
    <w:qFormat/>
    <w:uiPriority w:val="99"/>
    <w:pPr>
      <w:widowControl/>
      <w:spacing w:before="100" w:beforeLines="0" w:beforeAutospacing="1" w:after="100" w:afterLines="0" w:afterAutospacing="1"/>
      <w:jc w:val="left"/>
    </w:pPr>
    <w:rPr>
      <w:rFonts w:hint="eastAsia" w:ascii="宋体" w:hAnsi="宋体"/>
      <w:sz w:val="16"/>
    </w:rPr>
  </w:style>
  <w:style w:type="paragraph" w:customStyle="1" w:styleId="84">
    <w:name w:val="xl25"/>
    <w:basedOn w:val="1"/>
    <w:unhideWhenUsed/>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customStyle="1" w:styleId="85">
    <w:name w:val="font5"/>
    <w:basedOn w:val="1"/>
    <w:unhideWhenUsed/>
    <w:qFormat/>
    <w:uiPriority w:val="99"/>
    <w:pPr>
      <w:widowControl/>
      <w:spacing w:before="100" w:beforeLines="0" w:beforeAutospacing="1" w:after="100" w:afterLines="0" w:afterAutospacing="1"/>
      <w:jc w:val="left"/>
    </w:pPr>
    <w:rPr>
      <w:rFonts w:hint="eastAsia" w:ascii="宋体" w:hAnsi="宋体"/>
      <w:sz w:val="18"/>
    </w:rPr>
  </w:style>
  <w:style w:type="paragraph" w:customStyle="1" w:styleId="86">
    <w:name w:val="Char Char Char Char"/>
    <w:basedOn w:val="1"/>
    <w:unhideWhenUsed/>
    <w:qFormat/>
    <w:uiPriority w:val="99"/>
    <w:pPr>
      <w:spacing w:beforeLines="0" w:afterLines="0"/>
    </w:pPr>
    <w:rPr>
      <w:rFonts w:hint="eastAsia" w:ascii="Tahoma" w:hAnsi="Tahoma"/>
      <w:sz w:val="24"/>
    </w:rPr>
  </w:style>
  <w:style w:type="paragraph" w:customStyle="1" w:styleId="87">
    <w:name w:val="Char Char Char Char1"/>
    <w:basedOn w:val="1"/>
    <w:unhideWhenUsed/>
    <w:qFormat/>
    <w:uiPriority w:val="0"/>
    <w:pPr>
      <w:spacing w:beforeLines="0" w:afterLines="0"/>
    </w:pPr>
    <w:rPr>
      <w:rFonts w:hint="eastAsia" w:ascii="Tahoma" w:hAnsi="Tahoma"/>
      <w:sz w:val="24"/>
    </w:rPr>
  </w:style>
  <w:style w:type="paragraph" w:customStyle="1" w:styleId="88">
    <w:name w:val="xl28"/>
    <w:basedOn w:val="1"/>
    <w:unhideWhenUsed/>
    <w:qFormat/>
    <w:uiPriority w:val="99"/>
    <w:pPr>
      <w:widowControl/>
      <w:pBdr>
        <w:top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customStyle="1" w:styleId="89">
    <w:name w:val="xl26"/>
    <w:basedOn w:val="1"/>
    <w:unhideWhenUsed/>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customStyle="1" w:styleId="90">
    <w:name w:val="xl27"/>
    <w:basedOn w:val="1"/>
    <w:unhideWhenUsed/>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customStyle="1" w:styleId="91">
    <w:name w:val="font11"/>
    <w:basedOn w:val="1"/>
    <w:unhideWhenUsed/>
    <w:qFormat/>
    <w:uiPriority w:val="99"/>
    <w:pPr>
      <w:widowControl/>
      <w:spacing w:before="100" w:beforeLines="0" w:beforeAutospacing="1" w:after="100" w:afterLines="0" w:afterAutospacing="1"/>
      <w:jc w:val="left"/>
    </w:pPr>
    <w:rPr>
      <w:rFonts w:hint="eastAsia"/>
      <w:sz w:val="16"/>
    </w:rPr>
  </w:style>
  <w:style w:type="paragraph" w:customStyle="1" w:styleId="92">
    <w:name w:val="font6"/>
    <w:basedOn w:val="1"/>
    <w:unhideWhenUsed/>
    <w:qFormat/>
    <w:uiPriority w:val="99"/>
    <w:pPr>
      <w:widowControl/>
      <w:spacing w:before="100" w:beforeLines="0" w:beforeAutospacing="1" w:after="100" w:afterLines="0" w:afterAutospacing="1"/>
      <w:jc w:val="left"/>
    </w:pPr>
    <w:rPr>
      <w:rFonts w:hint="eastAsia"/>
      <w:sz w:val="18"/>
    </w:rPr>
  </w:style>
  <w:style w:type="paragraph" w:customStyle="1" w:styleId="93">
    <w:name w:val="xl30"/>
    <w:basedOn w:val="1"/>
    <w:unhideWhenUsed/>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customStyle="1" w:styleId="94">
    <w:name w:val="xl36"/>
    <w:basedOn w:val="1"/>
    <w:unhideWhenUsed/>
    <w:qFormat/>
    <w:uiPriority w:val="99"/>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customStyle="1" w:styleId="95">
    <w:name w:val="font10"/>
    <w:basedOn w:val="1"/>
    <w:unhideWhenUsed/>
    <w:qFormat/>
    <w:uiPriority w:val="99"/>
    <w:pPr>
      <w:widowControl/>
      <w:spacing w:before="100" w:beforeLines="0" w:beforeAutospacing="1" w:after="100" w:afterLines="0" w:afterAutospacing="1"/>
      <w:jc w:val="left"/>
    </w:pPr>
    <w:rPr>
      <w:rFonts w:hint="eastAsia"/>
      <w:color w:val="000000"/>
      <w:sz w:val="18"/>
    </w:rPr>
  </w:style>
  <w:style w:type="paragraph" w:customStyle="1" w:styleId="96">
    <w:name w:val="Char Char Char"/>
    <w:basedOn w:val="1"/>
    <w:unhideWhenUsed/>
    <w:uiPriority w:val="99"/>
    <w:pPr>
      <w:spacing w:beforeLines="0" w:afterLines="0"/>
    </w:pPr>
    <w:rPr>
      <w:rFonts w:hint="eastAsia" w:ascii="Tahoma" w:hAnsi="Tahoma"/>
      <w:sz w:val="24"/>
    </w:rPr>
  </w:style>
  <w:style w:type="paragraph" w:customStyle="1" w:styleId="97">
    <w:name w:val="xl38"/>
    <w:basedOn w:val="1"/>
    <w:unhideWhenUsed/>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customStyle="1" w:styleId="98">
    <w:name w:val="样式7"/>
    <w:basedOn w:val="1"/>
    <w:unhideWhenUsed/>
    <w:qFormat/>
    <w:uiPriority w:val="99"/>
    <w:pPr>
      <w:spacing w:beforeLines="0" w:afterLines="0" w:line="360" w:lineRule="auto"/>
      <w:ind w:firstLine="567"/>
    </w:pPr>
    <w:rPr>
      <w:rFonts w:hint="eastAsia" w:ascii="仿宋_GB2312" w:eastAsia="仿宋_GB2312"/>
      <w:sz w:val="28"/>
    </w:rPr>
  </w:style>
  <w:style w:type="paragraph" w:customStyle="1" w:styleId="99">
    <w:name w:val="font7"/>
    <w:basedOn w:val="1"/>
    <w:unhideWhenUsed/>
    <w:qFormat/>
    <w:uiPriority w:val="99"/>
    <w:pPr>
      <w:widowControl/>
      <w:spacing w:before="100" w:beforeLines="0" w:beforeAutospacing="1" w:after="100" w:afterLines="0" w:afterAutospacing="1"/>
      <w:jc w:val="left"/>
    </w:pPr>
    <w:rPr>
      <w:rFonts w:hint="eastAsia" w:ascii="宋体" w:hAnsi="宋体"/>
      <w:color w:val="000000"/>
      <w:sz w:val="18"/>
    </w:rPr>
  </w:style>
  <w:style w:type="paragraph" w:customStyle="1" w:styleId="100">
    <w:name w:val="xl35"/>
    <w:basedOn w:val="1"/>
    <w:unhideWhenUsed/>
    <w:qFormat/>
    <w:uiPriority w:val="99"/>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customStyle="1" w:styleId="101">
    <w:name w:val="Char"/>
    <w:basedOn w:val="1"/>
    <w:unhideWhenUsed/>
    <w:uiPriority w:val="99"/>
    <w:pPr>
      <w:spacing w:beforeLines="0" w:afterLines="0"/>
    </w:pPr>
    <w:rPr>
      <w:rFonts w:hint="eastAsia" w:ascii="Tahoma" w:hAnsi="Tahoma"/>
      <w:sz w:val="24"/>
    </w:rPr>
  </w:style>
  <w:style w:type="paragraph" w:customStyle="1" w:styleId="102">
    <w:name w:val="正文文本缩进 21"/>
    <w:basedOn w:val="1"/>
    <w:unhideWhenUsed/>
    <w:qFormat/>
    <w:uiPriority w:val="99"/>
    <w:pPr>
      <w:adjustRightInd w:val="0"/>
      <w:spacing w:beforeLines="0" w:afterLines="0" w:line="300" w:lineRule="atLeast"/>
      <w:ind w:firstLine="540"/>
      <w:textAlignment w:val="baseline"/>
    </w:pPr>
    <w:rPr>
      <w:rFonts w:hint="eastAsia" w:ascii="宋体"/>
      <w:sz w:val="28"/>
    </w:rPr>
  </w:style>
  <w:style w:type="paragraph" w:customStyle="1" w:styleId="103">
    <w:name w:val="font1"/>
    <w:basedOn w:val="1"/>
    <w:unhideWhenUsed/>
    <w:uiPriority w:val="0"/>
    <w:pPr>
      <w:widowControl/>
      <w:spacing w:before="100" w:beforeLines="0" w:beforeAutospacing="1" w:after="100" w:afterLines="0" w:afterAutospacing="1"/>
      <w:jc w:val="left"/>
    </w:pPr>
    <w:rPr>
      <w:rFonts w:hint="eastAsia" w:ascii="宋体" w:hAnsi="宋体"/>
      <w:b/>
      <w:sz w:val="24"/>
    </w:rPr>
  </w:style>
  <w:style w:type="paragraph" w:customStyle="1" w:styleId="104">
    <w:name w:val="xl39"/>
    <w:basedOn w:val="1"/>
    <w:unhideWhenUsed/>
    <w:uiPriority w:val="99"/>
    <w:pPr>
      <w:widowControl/>
      <w:pBdr>
        <w:top w:val="single" w:color="auto" w:sz="4" w:space="0"/>
        <w:bottom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customStyle="1" w:styleId="105">
    <w:name w:val="font9"/>
    <w:basedOn w:val="1"/>
    <w:unhideWhenUsed/>
    <w:qFormat/>
    <w:uiPriority w:val="99"/>
    <w:pPr>
      <w:widowControl/>
      <w:spacing w:before="100" w:beforeLines="0" w:beforeAutospacing="1" w:after="100" w:afterLines="0" w:afterAutospacing="1"/>
      <w:jc w:val="left"/>
    </w:pPr>
    <w:rPr>
      <w:rFonts w:hint="eastAsia" w:ascii="宋体" w:hAnsi="宋体"/>
      <w:sz w:val="16"/>
    </w:rPr>
  </w:style>
  <w:style w:type="paragraph" w:customStyle="1" w:styleId="106">
    <w:name w:val="xl24"/>
    <w:basedOn w:val="1"/>
    <w:unhideWhenUsed/>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paragraph" w:customStyle="1" w:styleId="107">
    <w:name w:val="xl29"/>
    <w:basedOn w:val="1"/>
    <w:unhideWhenUsed/>
    <w:qFormat/>
    <w:uiPriority w:val="99"/>
    <w:pPr>
      <w:widowControl/>
      <w:pBdr>
        <w:top w:val="single" w:color="auto" w:sz="4" w:space="0"/>
        <w:left w:val="single" w:color="auto" w:sz="4" w:space="0"/>
        <w:bottom w:val="single" w:color="auto" w:sz="4" w:space="0"/>
      </w:pBdr>
      <w:shd w:val="clear" w:color="auto" w:fill="FFFFFF"/>
      <w:spacing w:before="100" w:beforeLines="0" w:beforeAutospacing="1" w:after="100" w:afterLines="0" w:afterAutospacing="1"/>
      <w:jc w:val="center"/>
      <w:textAlignment w:val="center"/>
    </w:pPr>
    <w:rPr>
      <w:rFonts w:hint="eastAsia" w:ascii="Arial Unicode MS" w:hAnsi="Arial Unicode MS"/>
      <w:sz w:val="16"/>
    </w:rPr>
  </w:style>
  <w:style w:type="character" w:customStyle="1" w:styleId="108">
    <w:name w:val="font31"/>
    <w:basedOn w:val="32"/>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25443</Words>
  <Characters>42082</Characters>
  <Lines>372</Lines>
  <Paragraphs>104</Paragraphs>
  <TotalTime>5</TotalTime>
  <ScaleCrop>false</ScaleCrop>
  <LinksUpToDate>false</LinksUpToDate>
  <CharactersWithSpaces>42460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2021-03-17T11:46:00Z</dcterms:created>
  <dc:creator>Administrator</dc:creator>
  <cp:lastModifiedBy>涛哥</cp:lastModifiedBy>
  <cp:lastPrinted>2021-12-22T00:57:00Z</cp:lastPrinted>
  <dcterms:modified xsi:type="dcterms:W3CDTF">2023-03-14T05:49:36Z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E223A575284F4698B9DDA0F6143B96E3</vt:lpwstr>
  </property>
</Properties>
</file>