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00" w:lineRule="exact"/>
        <w:jc w:val="center"/>
        <w:rPr>
          <w:rFonts w:hint="eastAsia" w:ascii="楷体" w:hAnsi="楷体" w:eastAsia="楷体"/>
          <w:b/>
          <w:color w:val="000000"/>
          <w:sz w:val="72"/>
          <w:szCs w:val="72"/>
        </w:rPr>
      </w:pPr>
      <w:r>
        <w:rPr>
          <w:rFonts w:hint="eastAsia" w:ascii="楷体" w:hAnsi="楷体" w:eastAsia="楷体"/>
          <w:b/>
          <w:color w:val="000000"/>
          <w:sz w:val="52"/>
          <w:szCs w:val="52"/>
        </w:rPr>
        <w:t>涉执房地产处置司法拍卖评估报告</w:t>
      </w:r>
    </w:p>
    <w:p>
      <w:pPr>
        <w:jc w:val="center"/>
        <w:rPr>
          <w:rFonts w:hint="eastAsia" w:ascii="楷体" w:hAnsi="楷体" w:eastAsia="楷体"/>
        </w:rPr>
      </w:pPr>
    </w:p>
    <w:p>
      <w:pPr>
        <w:jc w:val="center"/>
        <w:rPr>
          <w:rFonts w:hint="eastAsia" w:ascii="楷体" w:hAnsi="楷体" w:eastAsia="楷体"/>
        </w:rPr>
      </w:pPr>
      <w:bookmarkStart w:id="1" w:name="_GoBack"/>
      <w:r>
        <w:drawing>
          <wp:anchor distT="0" distB="0" distL="114300" distR="114300" simplePos="0" relativeHeight="251659264" behindDoc="0" locked="0" layoutInCell="1" allowOverlap="1">
            <wp:simplePos x="0" y="0"/>
            <wp:positionH relativeFrom="margin">
              <wp:posOffset>589280</wp:posOffset>
            </wp:positionH>
            <wp:positionV relativeFrom="margin">
              <wp:posOffset>974725</wp:posOffset>
            </wp:positionV>
            <wp:extent cx="4619625" cy="4022090"/>
            <wp:effectExtent l="0" t="0" r="9525" b="16510"/>
            <wp:wrapSquare wrapText="bothSides"/>
            <wp:docPr id="1" name="图片 2" descr="IMG_20220727_09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0220727_094752"/>
                    <pic:cNvPicPr>
                      <a:picLocks noChangeAspect="1"/>
                    </pic:cNvPicPr>
                  </pic:nvPicPr>
                  <pic:blipFill>
                    <a:blip r:embed="rId11"/>
                    <a:stretch>
                      <a:fillRect/>
                    </a:stretch>
                  </pic:blipFill>
                  <pic:spPr>
                    <a:xfrm>
                      <a:off x="0" y="0"/>
                      <a:ext cx="4619625" cy="4022090"/>
                    </a:xfrm>
                    <a:prstGeom prst="rect">
                      <a:avLst/>
                    </a:prstGeom>
                    <a:noFill/>
                    <a:ln>
                      <a:noFill/>
                    </a:ln>
                  </pic:spPr>
                </pic:pic>
              </a:graphicData>
            </a:graphic>
          </wp:anchor>
        </w:drawing>
      </w:r>
      <w:bookmarkEnd w:id="1"/>
    </w:p>
    <w:p>
      <w:pPr>
        <w:spacing w:line="760" w:lineRule="exact"/>
        <w:ind w:firstLine="420" w:firstLineChars="200"/>
        <w:jc w:val="left"/>
        <w:rPr>
          <w:rFonts w:hint="eastAsia" w:ascii="楷体" w:hAnsi="楷体" w:eastAsia="楷体"/>
        </w:rPr>
      </w:pPr>
      <w:r>
        <w:rPr>
          <w:rFonts w:hint="eastAsia" w:ascii="楷体" w:hAnsi="楷体" w:eastAsia="楷体"/>
        </w:rPr>
        <w:t xml:space="preserve">   </w:t>
      </w:r>
    </w:p>
    <w:p>
      <w:pPr>
        <w:spacing w:line="620" w:lineRule="exact"/>
        <w:ind w:firstLine="720" w:firstLineChars="300"/>
        <w:jc w:val="left"/>
        <w:rPr>
          <w:rFonts w:hint="eastAsia" w:ascii="楷体" w:hAnsi="楷体" w:eastAsia="楷体"/>
        </w:rPr>
      </w:pPr>
      <w:r>
        <w:rPr>
          <w:rFonts w:ascii="楷体" w:hAnsi="楷体" w:eastAsia="楷体"/>
          <w:sz w:val="24"/>
          <w:szCs w:val="24"/>
        </w:rPr>
        <w:t>估价报告编号：</w:t>
      </w:r>
      <w:r>
        <w:rPr>
          <w:rFonts w:hint="eastAsia" w:ascii="楷体" w:hAnsi="楷体" w:eastAsia="楷体"/>
          <w:sz w:val="24"/>
          <w:szCs w:val="24"/>
        </w:rPr>
        <w:t>闽鉴岩房评字【2022】0</w:t>
      </w:r>
      <w:r>
        <w:rPr>
          <w:rFonts w:ascii="楷体" w:hAnsi="楷体" w:eastAsia="楷体"/>
          <w:sz w:val="24"/>
          <w:szCs w:val="24"/>
        </w:rPr>
        <w:t>93</w:t>
      </w:r>
      <w:r>
        <w:rPr>
          <w:rFonts w:hint="eastAsia" w:ascii="楷体" w:hAnsi="楷体" w:eastAsia="楷体"/>
          <w:sz w:val="24"/>
          <w:szCs w:val="24"/>
        </w:rPr>
        <w:t>号</w:t>
      </w:r>
    </w:p>
    <w:p>
      <w:pPr>
        <w:spacing w:line="620" w:lineRule="exact"/>
        <w:ind w:left="2398" w:leftChars="342" w:right="388" w:rightChars="185" w:hanging="1680" w:hangingChars="700"/>
        <w:jc w:val="left"/>
        <w:textAlignment w:val="center"/>
        <w:rPr>
          <w:rFonts w:ascii="楷体" w:hAnsi="楷体" w:eastAsia="楷体"/>
          <w:color w:val="000000"/>
          <w:sz w:val="24"/>
          <w:szCs w:val="24"/>
        </w:rPr>
      </w:pPr>
      <w:r>
        <w:rPr>
          <w:rFonts w:ascii="楷体" w:hAnsi="楷体" w:eastAsia="楷体"/>
          <w:sz w:val="24"/>
          <w:szCs w:val="24"/>
        </w:rPr>
        <w:t>估价项目名称：</w:t>
      </w:r>
      <w:r>
        <w:rPr>
          <w:rFonts w:hint="eastAsia" w:ascii="楷体" w:hAnsi="楷体" w:eastAsia="楷体"/>
          <w:sz w:val="24"/>
          <w:szCs w:val="24"/>
        </w:rPr>
        <w:t>龙岩市新罗区红坊街道龙港西路2号中国（龙岩）农产品物流城南区B区商业用房及车位</w:t>
      </w:r>
      <w:r>
        <w:rPr>
          <w:rFonts w:hint="eastAsia" w:ascii="楷体" w:hAnsi="楷体" w:eastAsia="楷体"/>
          <w:color w:val="000000"/>
          <w:sz w:val="24"/>
          <w:szCs w:val="24"/>
        </w:rPr>
        <w:t>房地产司法拍卖估价</w:t>
      </w:r>
    </w:p>
    <w:p>
      <w:pPr>
        <w:tabs>
          <w:tab w:val="left" w:pos="3301"/>
        </w:tabs>
        <w:spacing w:line="620" w:lineRule="exact"/>
        <w:ind w:firstLine="720" w:firstLineChars="300"/>
        <w:jc w:val="left"/>
        <w:textAlignment w:val="center"/>
        <w:rPr>
          <w:rFonts w:hint="eastAsia" w:ascii="楷体" w:hAnsi="楷体" w:eastAsia="楷体"/>
          <w:sz w:val="24"/>
          <w:szCs w:val="24"/>
        </w:rPr>
      </w:pPr>
      <w:r>
        <w:rPr>
          <w:rFonts w:ascii="楷体" w:hAnsi="楷体" w:eastAsia="楷体"/>
          <w:sz w:val="24"/>
          <w:szCs w:val="24"/>
        </w:rPr>
        <w:t>估</w:t>
      </w:r>
      <w:r>
        <w:rPr>
          <w:rFonts w:hint="eastAsia" w:ascii="楷体" w:hAnsi="楷体" w:eastAsia="楷体"/>
          <w:sz w:val="24"/>
          <w:szCs w:val="24"/>
        </w:rPr>
        <w:t xml:space="preserve"> </w:t>
      </w:r>
      <w:r>
        <w:rPr>
          <w:rFonts w:ascii="楷体" w:hAnsi="楷体" w:eastAsia="楷体"/>
          <w:sz w:val="24"/>
          <w:szCs w:val="24"/>
        </w:rPr>
        <w:t>价</w:t>
      </w:r>
      <w:r>
        <w:rPr>
          <w:rFonts w:hint="eastAsia" w:ascii="楷体" w:hAnsi="楷体" w:eastAsia="楷体"/>
          <w:sz w:val="24"/>
          <w:szCs w:val="24"/>
        </w:rPr>
        <w:t xml:space="preserve"> </w:t>
      </w:r>
      <w:r>
        <w:rPr>
          <w:rFonts w:ascii="楷体" w:hAnsi="楷体" w:eastAsia="楷体"/>
          <w:sz w:val="24"/>
          <w:szCs w:val="24"/>
        </w:rPr>
        <w:t xml:space="preserve">委 托 </w:t>
      </w:r>
      <w:r>
        <w:rPr>
          <w:rFonts w:ascii="楷体" w:hAnsi="楷体" w:eastAsia="楷体"/>
          <w:color w:val="000000"/>
          <w:sz w:val="24"/>
          <w:szCs w:val="24"/>
        </w:rPr>
        <w:t>人</w:t>
      </w:r>
      <w:r>
        <w:rPr>
          <w:rFonts w:hint="eastAsia" w:ascii="楷体" w:hAnsi="楷体" w:eastAsia="楷体"/>
          <w:color w:val="000000"/>
          <w:sz w:val="24"/>
          <w:szCs w:val="24"/>
        </w:rPr>
        <w:t>：</w:t>
      </w:r>
      <w:r>
        <w:rPr>
          <w:rFonts w:hint="eastAsia" w:ascii="楷体" w:hAnsi="楷体" w:eastAsia="楷体"/>
          <w:sz w:val="24"/>
          <w:szCs w:val="24"/>
        </w:rPr>
        <w:t>江西省萍乡市中级人民法院</w:t>
      </w:r>
    </w:p>
    <w:p>
      <w:pPr>
        <w:spacing w:line="620" w:lineRule="exact"/>
        <w:ind w:firstLine="720" w:firstLineChars="300"/>
        <w:jc w:val="left"/>
        <w:textAlignment w:val="center"/>
        <w:rPr>
          <w:rFonts w:hint="eastAsia" w:ascii="楷体" w:hAnsi="楷体" w:eastAsia="楷体"/>
          <w:color w:val="000000"/>
          <w:sz w:val="24"/>
          <w:szCs w:val="24"/>
        </w:rPr>
      </w:pPr>
      <w:r>
        <w:rPr>
          <w:rFonts w:ascii="楷体" w:hAnsi="楷体" w:eastAsia="楷体"/>
          <w:color w:val="000000"/>
          <w:sz w:val="24"/>
          <w:szCs w:val="24"/>
        </w:rPr>
        <w:t>房地产估价机构：</w:t>
      </w:r>
      <w:r>
        <w:rPr>
          <w:rFonts w:hint="eastAsia" w:ascii="楷体" w:hAnsi="楷体" w:eastAsia="楷体"/>
          <w:color w:val="000000"/>
          <w:sz w:val="24"/>
          <w:szCs w:val="24"/>
        </w:rPr>
        <w:t>福建明鉴资产评估房地产土地估价有限公司</w:t>
      </w:r>
    </w:p>
    <w:p>
      <w:pPr>
        <w:spacing w:line="620" w:lineRule="exact"/>
        <w:ind w:firstLine="720" w:firstLineChars="300"/>
        <w:jc w:val="left"/>
        <w:textAlignment w:val="center"/>
        <w:rPr>
          <w:rFonts w:hint="eastAsia" w:ascii="楷体" w:hAnsi="楷体" w:eastAsia="楷体"/>
          <w:sz w:val="24"/>
          <w:szCs w:val="24"/>
        </w:rPr>
      </w:pPr>
      <w:r>
        <w:rPr>
          <w:rFonts w:ascii="楷体" w:hAnsi="楷体" w:eastAsia="楷体"/>
          <w:sz w:val="24"/>
          <w:szCs w:val="24"/>
        </w:rPr>
        <w:t>注册房地产估价师</w:t>
      </w:r>
      <w:r>
        <w:rPr>
          <w:rFonts w:ascii="楷体" w:hAnsi="楷体" w:eastAsia="楷体"/>
          <w:color w:val="000000"/>
          <w:sz w:val="24"/>
          <w:szCs w:val="24"/>
        </w:rPr>
        <w:t>：</w:t>
      </w:r>
      <w:r>
        <w:rPr>
          <w:rFonts w:hint="eastAsia" w:ascii="楷体" w:hAnsi="楷体" w:eastAsia="楷体"/>
          <w:sz w:val="24"/>
          <w:szCs w:val="24"/>
        </w:rPr>
        <w:t>李大奇（注册号3520190041）</w:t>
      </w:r>
    </w:p>
    <w:p>
      <w:pPr>
        <w:spacing w:line="620" w:lineRule="exact"/>
        <w:ind w:firstLine="2880" w:firstLineChars="1200"/>
        <w:jc w:val="left"/>
        <w:textAlignment w:val="center"/>
        <w:rPr>
          <w:rFonts w:hint="eastAsia" w:ascii="楷体" w:hAnsi="楷体" w:eastAsia="楷体"/>
          <w:sz w:val="24"/>
          <w:szCs w:val="24"/>
        </w:rPr>
      </w:pPr>
      <w:r>
        <w:rPr>
          <w:rFonts w:hint="eastAsia" w:ascii="楷体" w:hAnsi="楷体" w:eastAsia="楷体"/>
          <w:sz w:val="24"/>
          <w:szCs w:val="24"/>
        </w:rPr>
        <w:t>张  鹏</w:t>
      </w:r>
      <w:r>
        <w:rPr>
          <w:rFonts w:hint="eastAsia" w:ascii="楷体" w:hAnsi="楷体" w:eastAsia="楷体" w:cs="楷体"/>
          <w:sz w:val="24"/>
          <w:szCs w:val="24"/>
        </w:rPr>
        <w:t>（注册号3520070068）</w:t>
      </w:r>
    </w:p>
    <w:p>
      <w:pPr>
        <w:spacing w:line="620" w:lineRule="exact"/>
        <w:ind w:firstLine="720" w:firstLineChars="300"/>
        <w:jc w:val="left"/>
        <w:textAlignment w:val="center"/>
        <w:rPr>
          <w:rFonts w:hint="eastAsia" w:ascii="楷体" w:hAnsi="楷体" w:eastAsia="楷体"/>
          <w:color w:val="FF0000"/>
          <w:sz w:val="24"/>
          <w:szCs w:val="24"/>
        </w:rPr>
      </w:pPr>
      <w:r>
        <w:rPr>
          <w:rFonts w:ascii="楷体" w:hAnsi="楷体" w:eastAsia="楷体"/>
          <w:color w:val="000000"/>
          <w:sz w:val="24"/>
          <w:szCs w:val="24"/>
        </w:rPr>
        <w:t>估价报告出具日期</w:t>
      </w:r>
      <w:r>
        <w:rPr>
          <w:rFonts w:ascii="楷体" w:hAnsi="楷体" w:eastAsia="楷体"/>
          <w:sz w:val="24"/>
          <w:szCs w:val="24"/>
        </w:rPr>
        <w:t>：</w:t>
      </w:r>
      <w:r>
        <w:rPr>
          <w:rFonts w:hint="eastAsia" w:ascii="楷体" w:hAnsi="楷体" w:eastAsia="楷体"/>
          <w:sz w:val="24"/>
          <w:szCs w:val="24"/>
        </w:rPr>
        <w:t>2022年08月05日</w:t>
      </w:r>
    </w:p>
    <w:tbl>
      <w:tblPr>
        <w:tblStyle w:val="10"/>
        <w:tblW w:w="8757" w:type="dxa"/>
        <w:tblInd w:w="423" w:type="dxa"/>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7"/>
      </w:tblGrid>
      <w:tr>
        <w:tblPrEx>
          <w:tblBorders>
            <w:top w:val="none" w:color="auto" w:sz="0"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 w:hRule="atLeast"/>
        </w:trPr>
        <w:tc>
          <w:tcPr>
            <w:tcW w:w="8757" w:type="dxa"/>
            <w:tcBorders>
              <w:bottom w:val="single" w:color="auto" w:sz="12" w:space="0"/>
            </w:tcBorders>
            <w:noWrap w:val="0"/>
            <w:vAlign w:val="top"/>
          </w:tcPr>
          <w:p>
            <w:pPr>
              <w:jc w:val="left"/>
              <w:textAlignment w:val="center"/>
              <w:rPr>
                <w:rFonts w:ascii="楷体" w:hAnsi="楷体" w:eastAsia="楷体"/>
                <w:sz w:val="15"/>
                <w:szCs w:val="15"/>
              </w:rPr>
            </w:pPr>
          </w:p>
        </w:tc>
      </w:tr>
    </w:tbl>
    <w:p>
      <w:pPr>
        <w:spacing w:line="400" w:lineRule="exact"/>
        <w:ind w:firstLine="424" w:firstLineChars="202"/>
        <w:jc w:val="distribute"/>
        <w:rPr>
          <w:rFonts w:hint="eastAsia" w:ascii="楷体" w:hAnsi="楷体" w:eastAsia="楷体"/>
          <w:szCs w:val="21"/>
        </w:rPr>
      </w:pPr>
      <w:r>
        <w:rPr>
          <w:rFonts w:ascii="楷体" w:hAnsi="楷体" w:eastAsia="楷体"/>
          <w:szCs w:val="21"/>
        </w:rPr>
        <w:t>地址：福建省龙岩市新罗区西陂镇天平路58号太古广场7层702室</w:t>
      </w:r>
    </w:p>
    <w:p>
      <w:pPr>
        <w:spacing w:line="400" w:lineRule="exact"/>
        <w:ind w:firstLine="420" w:firstLineChars="200"/>
        <w:rPr>
          <w:rFonts w:ascii="楷体" w:hAnsi="楷体" w:eastAsia="楷体"/>
          <w:color w:val="000000"/>
          <w:sz w:val="44"/>
        </w:rPr>
        <w:sectPr>
          <w:headerReference r:id="rId3" w:type="default"/>
          <w:footerReference r:id="rId4" w:type="default"/>
          <w:endnotePr>
            <w:numFmt w:val="decimal"/>
          </w:endnotePr>
          <w:pgSz w:w="11906" w:h="16838"/>
          <w:pgMar w:top="1191" w:right="1106" w:bottom="1191" w:left="1622" w:header="635" w:footer="992" w:gutter="0"/>
          <w:pgNumType w:start="1"/>
          <w:cols w:space="720" w:num="1"/>
          <w:titlePg/>
          <w:docGrid w:type="linesAndChars" w:linePitch="317" w:charSpace="0"/>
        </w:sectPr>
      </w:pPr>
      <w:r>
        <w:rPr>
          <w:rFonts w:ascii="楷体" w:hAnsi="楷体" w:eastAsia="楷体"/>
          <w:szCs w:val="21"/>
        </w:rPr>
        <w:t xml:space="preserve">邮编：364000         </w:t>
      </w:r>
      <w:r>
        <w:rPr>
          <w:rFonts w:hint="eastAsia" w:ascii="楷体" w:hAnsi="楷体" w:eastAsia="楷体"/>
          <w:szCs w:val="21"/>
        </w:rPr>
        <w:t xml:space="preserve"> </w:t>
      </w:r>
      <w:r>
        <w:rPr>
          <w:rFonts w:ascii="楷体" w:hAnsi="楷体" w:eastAsia="楷体"/>
          <w:szCs w:val="21"/>
        </w:rPr>
        <w:t xml:space="preserve">   电话/传真：0597-2305818           E-mail：lymjcpv@126.com</w:t>
      </w:r>
    </w:p>
    <w:p>
      <w:pPr>
        <w:spacing w:line="500" w:lineRule="exact"/>
        <w:jc w:val="center"/>
        <w:rPr>
          <w:rFonts w:hint="eastAsia" w:ascii="楷体" w:hAnsi="楷体" w:eastAsia="楷体"/>
          <w:b/>
          <w:bCs/>
          <w:color w:val="000000"/>
          <w:sz w:val="44"/>
        </w:rPr>
      </w:pPr>
    </w:p>
    <w:p>
      <w:pPr>
        <w:spacing w:line="500" w:lineRule="exact"/>
        <w:jc w:val="center"/>
        <w:rPr>
          <w:rFonts w:hint="eastAsia" w:ascii="楷体" w:hAnsi="楷体" w:eastAsia="楷体"/>
          <w:b/>
          <w:bCs/>
          <w:color w:val="000000"/>
          <w:sz w:val="44"/>
        </w:rPr>
      </w:pPr>
      <w:r>
        <w:rPr>
          <w:rFonts w:hint="eastAsia" w:ascii="楷体" w:hAnsi="楷体" w:eastAsia="楷体"/>
          <w:b/>
          <w:bCs/>
          <w:color w:val="000000"/>
          <w:sz w:val="44"/>
        </w:rPr>
        <w:t>致估价委托人函</w:t>
      </w:r>
    </w:p>
    <w:p>
      <w:pPr>
        <w:spacing w:line="500" w:lineRule="exact"/>
        <w:jc w:val="center"/>
        <w:rPr>
          <w:rFonts w:hint="eastAsia" w:ascii="楷体" w:hAnsi="楷体" w:eastAsia="楷体"/>
          <w:b/>
          <w:bCs/>
          <w:color w:val="000000"/>
          <w:sz w:val="44"/>
        </w:rPr>
      </w:pPr>
    </w:p>
    <w:p>
      <w:pPr>
        <w:tabs>
          <w:tab w:val="left" w:pos="630"/>
          <w:tab w:val="center" w:pos="4589"/>
        </w:tabs>
        <w:spacing w:line="500" w:lineRule="exact"/>
        <w:rPr>
          <w:rFonts w:hint="eastAsia" w:ascii="楷体" w:hAnsi="楷体" w:eastAsia="楷体"/>
          <w:b/>
          <w:sz w:val="24"/>
          <w:szCs w:val="24"/>
        </w:rPr>
      </w:pPr>
      <w:r>
        <w:rPr>
          <w:rFonts w:hint="eastAsia" w:ascii="楷体" w:hAnsi="楷体" w:eastAsia="楷体"/>
          <w:b/>
          <w:sz w:val="24"/>
          <w:szCs w:val="24"/>
        </w:rPr>
        <w:t>江西省萍乡市中级人民法院：</w:t>
      </w:r>
      <w:r>
        <w:rPr>
          <w:rFonts w:hint="eastAsia" w:ascii="楷体" w:hAnsi="楷体" w:eastAsia="楷体"/>
          <w:b/>
          <w:sz w:val="24"/>
          <w:szCs w:val="24"/>
        </w:rPr>
        <w:tab/>
      </w:r>
    </w:p>
    <w:p>
      <w:pPr>
        <w:spacing w:line="500" w:lineRule="exact"/>
        <w:ind w:firstLine="600" w:firstLineChars="250"/>
        <w:rPr>
          <w:rFonts w:hint="eastAsia" w:ascii="楷体" w:hAnsi="楷体" w:eastAsia="楷体"/>
          <w:sz w:val="24"/>
          <w:szCs w:val="24"/>
        </w:rPr>
      </w:pPr>
      <w:r>
        <w:rPr>
          <w:rFonts w:hint="eastAsia" w:ascii="楷体" w:hAnsi="楷体" w:eastAsia="楷体"/>
          <w:sz w:val="24"/>
          <w:szCs w:val="24"/>
        </w:rPr>
        <w:t>受贵院委托，本估价机构委派注册房地产估价师</w:t>
      </w:r>
      <w:r>
        <w:rPr>
          <w:rFonts w:hint="eastAsia" w:ascii="楷体" w:hAnsi="楷体" w:eastAsia="楷体" w:cs="楷体"/>
          <w:sz w:val="24"/>
          <w:szCs w:val="24"/>
        </w:rPr>
        <w:t>李大奇（注册号3520190041）、</w:t>
      </w:r>
      <w:r>
        <w:rPr>
          <w:rFonts w:hint="eastAsia" w:ascii="楷体" w:hAnsi="楷体" w:eastAsia="楷体"/>
          <w:sz w:val="24"/>
          <w:szCs w:val="24"/>
        </w:rPr>
        <w:t>张鹏</w:t>
      </w:r>
      <w:r>
        <w:rPr>
          <w:rFonts w:hint="eastAsia" w:ascii="楷体" w:hAnsi="楷体" w:eastAsia="楷体"/>
          <w:sz w:val="24"/>
        </w:rPr>
        <w:t>（</w:t>
      </w:r>
      <w:r>
        <w:rPr>
          <w:rFonts w:ascii="楷体" w:hAnsi="楷体" w:eastAsia="楷体"/>
          <w:sz w:val="24"/>
          <w:szCs w:val="24"/>
        </w:rPr>
        <w:t>注册号</w:t>
      </w:r>
      <w:r>
        <w:rPr>
          <w:rFonts w:hint="eastAsia" w:ascii="楷体" w:hAnsi="楷体" w:eastAsia="楷体"/>
          <w:sz w:val="24"/>
          <w:szCs w:val="24"/>
        </w:rPr>
        <w:t>3520070068</w:t>
      </w:r>
      <w:r>
        <w:rPr>
          <w:rFonts w:hint="eastAsia" w:ascii="楷体" w:hAnsi="楷体" w:eastAsia="楷体"/>
          <w:sz w:val="24"/>
        </w:rPr>
        <w:t>）</w:t>
      </w:r>
      <w:r>
        <w:rPr>
          <w:rFonts w:hint="eastAsia" w:ascii="楷体" w:hAnsi="楷体" w:eastAsia="楷体"/>
          <w:sz w:val="24"/>
          <w:szCs w:val="24"/>
        </w:rPr>
        <w:t>对坐落于龙岩市新罗区红坊街道龙港西路2号中国（龙岩）农产品物流城南区B区商业用房及车位房地产进行了估价，有关内容报告如下：</w:t>
      </w:r>
    </w:p>
    <w:p>
      <w:pPr>
        <w:spacing w:line="500" w:lineRule="exact"/>
        <w:ind w:left="119" w:leftChars="57" w:firstLine="480" w:firstLineChars="200"/>
        <w:rPr>
          <w:rFonts w:hint="eastAsia" w:ascii="楷体" w:hAnsi="楷体" w:eastAsia="楷体"/>
          <w:color w:val="000000"/>
          <w:sz w:val="24"/>
          <w:szCs w:val="24"/>
        </w:rPr>
      </w:pPr>
      <w:r>
        <w:rPr>
          <w:rFonts w:hint="eastAsia" w:ascii="楷体" w:hAnsi="楷体" w:eastAsia="楷体"/>
          <w:color w:val="000000"/>
          <w:sz w:val="24"/>
          <w:szCs w:val="24"/>
        </w:rPr>
        <w:t>估价目的：为人民法院确定财产处置参考价提供参考依据。</w:t>
      </w:r>
    </w:p>
    <w:p>
      <w:pPr>
        <w:spacing w:line="500" w:lineRule="exact"/>
        <w:ind w:left="119" w:leftChars="57" w:firstLine="480" w:firstLineChars="200"/>
        <w:rPr>
          <w:rFonts w:ascii="楷体" w:hAnsi="楷体" w:eastAsia="楷体"/>
          <w:sz w:val="24"/>
          <w:szCs w:val="24"/>
        </w:rPr>
      </w:pPr>
      <w:r>
        <w:rPr>
          <w:rFonts w:hint="eastAsia" w:ascii="楷体" w:hAnsi="楷体" w:eastAsia="楷体"/>
          <w:color w:val="000000"/>
          <w:sz w:val="24"/>
          <w:szCs w:val="24"/>
        </w:rPr>
        <w:t>估价对象：</w:t>
      </w:r>
      <w:r>
        <w:rPr>
          <w:rFonts w:hint="eastAsia" w:ascii="楷体" w:hAnsi="楷体" w:eastAsia="楷体"/>
          <w:sz w:val="24"/>
          <w:szCs w:val="24"/>
        </w:rPr>
        <w:t>龙岩市新罗区红坊街道龙港西路2号中国（龙岩）农产品物流城南区B区商业用房及车位房地产，</w:t>
      </w:r>
      <w:r>
        <w:rPr>
          <w:rFonts w:hint="eastAsia" w:ascii="楷体" w:hAnsi="楷体" w:eastAsia="楷体" w:cs="楷体"/>
          <w:sz w:val="24"/>
          <w:szCs w:val="24"/>
        </w:rPr>
        <w:t>财产范围包括建筑物（含室内二次装修）、分摊的土地使用权（</w:t>
      </w:r>
      <w:r>
        <w:rPr>
          <w:rFonts w:ascii="楷体" w:hAnsi="楷体" w:eastAsia="楷体" w:cs="楷体"/>
          <w:sz w:val="24"/>
          <w:szCs w:val="24"/>
        </w:rPr>
        <w:t>含土地出让金</w:t>
      </w:r>
      <w:r>
        <w:rPr>
          <w:rFonts w:hint="eastAsia" w:ascii="楷体" w:hAnsi="楷体" w:eastAsia="楷体" w:cs="楷体"/>
          <w:sz w:val="24"/>
          <w:szCs w:val="24"/>
        </w:rPr>
        <w:t>）及公共配套设施，不包括其他动产、可移动</w:t>
      </w:r>
      <w:r>
        <w:rPr>
          <w:rFonts w:ascii="楷体" w:hAnsi="楷体" w:eastAsia="楷体" w:cs="楷体"/>
          <w:sz w:val="24"/>
          <w:szCs w:val="24"/>
        </w:rPr>
        <w:t>家具</w:t>
      </w:r>
      <w:r>
        <w:rPr>
          <w:rFonts w:hint="eastAsia" w:ascii="楷体" w:hAnsi="楷体" w:eastAsia="楷体" w:cs="楷体"/>
          <w:sz w:val="24"/>
          <w:szCs w:val="24"/>
        </w:rPr>
        <w:t>家电、债权债务、特</w:t>
      </w:r>
      <w:r>
        <w:rPr>
          <w:rFonts w:hint="eastAsia" w:ascii="楷体" w:hAnsi="楷体" w:eastAsia="楷体"/>
          <w:sz w:val="24"/>
          <w:szCs w:val="24"/>
        </w:rPr>
        <w:t>许经营权等其他财产或权益；估价</w:t>
      </w:r>
      <w:r>
        <w:rPr>
          <w:rFonts w:ascii="楷体" w:hAnsi="楷体" w:eastAsia="楷体"/>
          <w:sz w:val="24"/>
          <w:szCs w:val="24"/>
        </w:rPr>
        <w:t>对象所处宗地面</w:t>
      </w:r>
      <w:r>
        <w:rPr>
          <w:rFonts w:ascii="楷体" w:hAnsi="楷体" w:eastAsia="楷体" w:cs="楷体"/>
          <w:sz w:val="24"/>
          <w:szCs w:val="24"/>
        </w:rPr>
        <w:t>积</w:t>
      </w:r>
      <w:r>
        <w:rPr>
          <w:rFonts w:hint="eastAsia" w:ascii="楷体" w:hAnsi="楷体" w:eastAsia="楷体" w:cs="楷体"/>
          <w:sz w:val="24"/>
          <w:szCs w:val="24"/>
        </w:rPr>
        <w:t>38752</w:t>
      </w:r>
      <w:r>
        <w:rPr>
          <w:rFonts w:ascii="楷体" w:hAnsi="楷体" w:eastAsia="楷体" w:cs="楷体"/>
          <w:sz w:val="24"/>
          <w:szCs w:val="24"/>
        </w:rPr>
        <w:t>.00</w:t>
      </w:r>
      <w:r>
        <w:rPr>
          <w:rFonts w:hint="eastAsia" w:ascii="楷体" w:hAnsi="楷体" w:eastAsia="楷体" w:cs="楷体"/>
          <w:sz w:val="24"/>
          <w:szCs w:val="24"/>
        </w:rPr>
        <w:t>㎡，土地</w:t>
      </w:r>
      <w:r>
        <w:rPr>
          <w:rFonts w:ascii="楷体" w:hAnsi="楷体" w:eastAsia="楷体" w:cs="楷体"/>
          <w:sz w:val="24"/>
          <w:szCs w:val="24"/>
        </w:rPr>
        <w:t>使用权用途为商服用地，土地使用权类型为出让，</w:t>
      </w:r>
      <w:r>
        <w:rPr>
          <w:rFonts w:hint="eastAsia" w:ascii="楷体" w:hAnsi="楷体" w:eastAsia="楷体" w:cs="楷体"/>
          <w:sz w:val="24"/>
          <w:szCs w:val="24"/>
        </w:rPr>
        <w:t>权属</w:t>
      </w:r>
      <w:r>
        <w:rPr>
          <w:rFonts w:hint="eastAsia" w:ascii="楷体" w:hAnsi="楷体" w:eastAsia="楷体"/>
          <w:sz w:val="24"/>
          <w:szCs w:val="24"/>
        </w:rPr>
        <w:t>人均为福建中合农产品市场有限公司。 具体</w:t>
      </w:r>
      <w:r>
        <w:rPr>
          <w:rFonts w:ascii="楷体" w:hAnsi="楷体" w:eastAsia="楷体"/>
          <w:sz w:val="24"/>
          <w:szCs w:val="24"/>
        </w:rPr>
        <w:t>详见下表：</w:t>
      </w:r>
    </w:p>
    <w:tbl>
      <w:tblPr>
        <w:tblStyle w:val="10"/>
        <w:tblW w:w="8913" w:type="dxa"/>
        <w:tblInd w:w="250" w:type="dxa"/>
        <w:tblLayout w:type="fixed"/>
        <w:tblCellMar>
          <w:top w:w="0" w:type="dxa"/>
          <w:left w:w="108" w:type="dxa"/>
          <w:bottom w:w="0" w:type="dxa"/>
          <w:right w:w="108" w:type="dxa"/>
        </w:tblCellMar>
      </w:tblPr>
      <w:tblGrid>
        <w:gridCol w:w="2156"/>
        <w:gridCol w:w="1071"/>
        <w:gridCol w:w="1600"/>
        <w:gridCol w:w="1429"/>
        <w:gridCol w:w="1422"/>
        <w:gridCol w:w="1235"/>
      </w:tblGrid>
      <w:tr>
        <w:tblPrEx>
          <w:tblLayout w:type="fixed"/>
          <w:tblCellMar>
            <w:top w:w="0" w:type="dxa"/>
            <w:left w:w="108" w:type="dxa"/>
            <w:bottom w:w="0" w:type="dxa"/>
            <w:right w:w="108" w:type="dxa"/>
          </w:tblCellMar>
        </w:tblPrEx>
        <w:trPr>
          <w:trHeight w:val="250" w:hRule="atLeast"/>
        </w:trPr>
        <w:tc>
          <w:tcPr>
            <w:tcW w:w="2156" w:type="dxa"/>
            <w:tcBorders>
              <w:top w:val="single" w:color="auto" w:sz="4" w:space="0"/>
              <w:left w:val="nil"/>
              <w:bottom w:val="single" w:color="auto" w:sz="4" w:space="0"/>
              <w:right w:val="single" w:color="auto" w:sz="4" w:space="0"/>
            </w:tcBorders>
            <w:shd w:val="clear" w:color="000000" w:fill="EBF1DE"/>
            <w:noWrap w:val="0"/>
            <w:vAlign w:val="center"/>
          </w:tcPr>
          <w:p>
            <w:pPr>
              <w:widowControl/>
              <w:spacing w:line="240" w:lineRule="exact"/>
              <w:jc w:val="center"/>
              <w:rPr>
                <w:rFonts w:ascii="楷体" w:hAnsi="楷体" w:eastAsia="楷体" w:cs="宋体"/>
                <w:kern w:val="0"/>
                <w:sz w:val="18"/>
                <w:szCs w:val="18"/>
              </w:rPr>
            </w:pPr>
            <w:r>
              <w:rPr>
                <w:rFonts w:hint="eastAsia" w:ascii="楷体" w:hAnsi="楷体" w:eastAsia="楷体" w:cs="宋体"/>
                <w:kern w:val="0"/>
                <w:sz w:val="18"/>
                <w:szCs w:val="18"/>
              </w:rPr>
              <w:t xml:space="preserve">估价对象 </w:t>
            </w:r>
          </w:p>
        </w:tc>
        <w:tc>
          <w:tcPr>
            <w:tcW w:w="1071"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面积</w:t>
            </w:r>
            <w:r>
              <w:rPr>
                <w:rFonts w:hint="eastAsia" w:ascii="楷体" w:hAnsi="楷体" w:eastAsia="楷体" w:cs="楷体"/>
                <w:sz w:val="18"/>
                <w:szCs w:val="18"/>
              </w:rPr>
              <w:t>（㎡）</w:t>
            </w:r>
          </w:p>
        </w:tc>
        <w:tc>
          <w:tcPr>
            <w:tcW w:w="1600"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用途</w:t>
            </w:r>
          </w:p>
        </w:tc>
        <w:tc>
          <w:tcPr>
            <w:tcW w:w="1429"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权利性质</w:t>
            </w:r>
          </w:p>
        </w:tc>
        <w:tc>
          <w:tcPr>
            <w:tcW w:w="1422"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建筑结构</w:t>
            </w:r>
          </w:p>
        </w:tc>
        <w:tc>
          <w:tcPr>
            <w:tcW w:w="1235"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位置</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3幢301号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52.01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楷体" w:hAnsi="楷体" w:eastAsia="楷体"/>
                <w:kern w:val="0"/>
                <w:sz w:val="18"/>
                <w:szCs w:val="18"/>
              </w:rPr>
            </w:pPr>
            <w:r>
              <w:rPr>
                <w:rFonts w:hint="eastAsia" w:ascii="楷体" w:hAnsi="楷体" w:eastAsia="楷体"/>
                <w:sz w:val="18"/>
                <w:szCs w:val="18"/>
              </w:rPr>
              <w:t>第3层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3幢302号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32.34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第3层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3幢313号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63.56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第3层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3幢412号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104.98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第4层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4幢518号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55.72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5幢401号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147.20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第4层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7幢502号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94.09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7幢504号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115.18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7幢505号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101.85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2-6、8-16幢C007号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2-6、8-16幢C022号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2-6、8-16幢C023号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2-6、8-16幢C028号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2-6、8-16幢C039号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2-6、8-16幢C054号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2-6、8-16幢C055号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2-6、8-16幢C056号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2-6、8-16幢C057号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2-6、8-16幢C058号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2-6、8-16幢C059号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2-6、8-16幢C060号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2-6、8-16幢C064号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2-6、8-16幢C067号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2-6、8-16幢C068号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2-6、8-16幢C069号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2-6、8-16幢C070号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50" w:hRule="atLeast"/>
        </w:trPr>
        <w:tc>
          <w:tcPr>
            <w:tcW w:w="2156"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2-6、8-16幢C074号 </w:t>
            </w:r>
          </w:p>
        </w:tc>
        <w:tc>
          <w:tcPr>
            <w:tcW w:w="107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2"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35"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bl>
    <w:p>
      <w:pPr>
        <w:spacing w:line="460" w:lineRule="exact"/>
        <w:ind w:left="119" w:leftChars="57" w:firstLine="480" w:firstLineChars="200"/>
        <w:rPr>
          <w:rFonts w:hint="eastAsia" w:ascii="楷体" w:hAnsi="楷体" w:eastAsia="楷体"/>
          <w:color w:val="FF0000"/>
          <w:sz w:val="24"/>
          <w:szCs w:val="24"/>
        </w:rPr>
      </w:pPr>
      <w:r>
        <w:rPr>
          <w:rFonts w:hint="eastAsia" w:ascii="楷体" w:hAnsi="楷体" w:eastAsia="楷体"/>
          <w:color w:val="000000"/>
          <w:sz w:val="24"/>
          <w:szCs w:val="24"/>
        </w:rPr>
        <w:t>价值时点</w:t>
      </w:r>
      <w:r>
        <w:rPr>
          <w:rFonts w:hint="eastAsia" w:ascii="楷体" w:hAnsi="楷体" w:eastAsia="楷体"/>
          <w:sz w:val="24"/>
          <w:szCs w:val="24"/>
        </w:rPr>
        <w:t xml:space="preserve">：2022年07月27日。 </w:t>
      </w:r>
    </w:p>
    <w:p>
      <w:pPr>
        <w:spacing w:line="460" w:lineRule="exact"/>
        <w:ind w:left="119" w:leftChars="57" w:firstLine="480" w:firstLineChars="200"/>
        <w:rPr>
          <w:rFonts w:hint="eastAsia" w:ascii="楷体" w:hAnsi="楷体" w:eastAsia="楷体"/>
          <w:color w:val="000000"/>
          <w:sz w:val="24"/>
          <w:szCs w:val="24"/>
        </w:rPr>
      </w:pPr>
      <w:r>
        <w:rPr>
          <w:rFonts w:hint="eastAsia" w:ascii="楷体" w:hAnsi="楷体" w:eastAsia="楷体"/>
          <w:color w:val="000000"/>
          <w:sz w:val="24"/>
          <w:szCs w:val="24"/>
        </w:rPr>
        <w:t>价值类型：市场价值。</w:t>
      </w:r>
    </w:p>
    <w:p>
      <w:pPr>
        <w:spacing w:line="460" w:lineRule="exact"/>
        <w:ind w:left="119" w:leftChars="57" w:firstLine="480" w:firstLineChars="200"/>
        <w:rPr>
          <w:rFonts w:hint="eastAsia" w:ascii="楷体" w:hAnsi="楷体" w:eastAsia="楷体"/>
          <w:color w:val="000000"/>
          <w:sz w:val="24"/>
          <w:szCs w:val="24"/>
        </w:rPr>
      </w:pPr>
      <w:r>
        <w:rPr>
          <w:rFonts w:hint="eastAsia" w:ascii="楷体" w:hAnsi="楷体" w:eastAsia="楷体"/>
          <w:color w:val="000000"/>
          <w:sz w:val="24"/>
          <w:szCs w:val="24"/>
        </w:rPr>
        <w:t>估价方法：比较法、</w:t>
      </w:r>
      <w:r>
        <w:rPr>
          <w:rFonts w:ascii="楷体" w:hAnsi="楷体" w:eastAsia="楷体"/>
          <w:color w:val="000000"/>
          <w:sz w:val="24"/>
          <w:szCs w:val="24"/>
        </w:rPr>
        <w:t>成本法</w:t>
      </w:r>
    </w:p>
    <w:p>
      <w:pPr>
        <w:spacing w:line="460" w:lineRule="exact"/>
        <w:ind w:left="119" w:leftChars="57" w:firstLine="480" w:firstLineChars="200"/>
        <w:rPr>
          <w:rFonts w:hint="eastAsia" w:ascii="楷体" w:hAnsi="楷体" w:eastAsia="楷体"/>
          <w:color w:val="000000"/>
          <w:sz w:val="24"/>
          <w:szCs w:val="24"/>
        </w:rPr>
      </w:pPr>
      <w:r>
        <w:rPr>
          <w:rFonts w:hint="eastAsia" w:ascii="楷体" w:hAnsi="楷体" w:eastAsia="楷体"/>
          <w:color w:val="000000"/>
          <w:sz w:val="24"/>
          <w:szCs w:val="24"/>
        </w:rPr>
        <w:t>估价结果：本机构估价人员根据特定的估价目的，遵照《中华人民共和国城市房地产管理法》、《房地产估价规范》及</w:t>
      </w:r>
      <w:r>
        <w:rPr>
          <w:rFonts w:ascii="楷体" w:hAnsi="楷体" w:eastAsia="楷体"/>
          <w:color w:val="000000"/>
          <w:sz w:val="24"/>
          <w:szCs w:val="24"/>
        </w:rPr>
        <w:t>《</w:t>
      </w:r>
      <w:r>
        <w:rPr>
          <w:rFonts w:hint="eastAsia" w:ascii="楷体" w:hAnsi="楷体" w:eastAsia="楷体"/>
          <w:sz w:val="24"/>
        </w:rPr>
        <w:t>涉执房地产处置司法评估指导意见（试行）</w:t>
      </w:r>
      <w:r>
        <w:rPr>
          <w:rFonts w:ascii="楷体" w:hAnsi="楷体" w:eastAsia="楷体"/>
          <w:color w:val="000000"/>
          <w:sz w:val="24"/>
          <w:szCs w:val="24"/>
        </w:rPr>
        <w:t>》</w:t>
      </w:r>
      <w:r>
        <w:rPr>
          <w:rFonts w:hint="eastAsia" w:ascii="楷体" w:hAnsi="楷体" w:eastAsia="楷体"/>
          <w:color w:val="000000"/>
          <w:sz w:val="24"/>
          <w:szCs w:val="24"/>
        </w:rPr>
        <w:t>等法律法规和技术标准，遵循独立、客观、公正的原则，经过实地察看和市场调查，运用比较法、成本法进行分析、测算和判断。经评估测算，在公开市场和持续使用前提下，在满足本次估价假设和限制条件下，本次估价对象于价值时点的估价结果如下：</w:t>
      </w:r>
    </w:p>
    <w:p>
      <w:pPr>
        <w:spacing w:line="460" w:lineRule="exact"/>
        <w:ind w:left="119" w:leftChars="57"/>
        <w:jc w:val="center"/>
        <w:rPr>
          <w:rFonts w:hint="eastAsia" w:ascii="楷体" w:hAnsi="楷体" w:eastAsia="楷体"/>
          <w:sz w:val="24"/>
          <w:szCs w:val="24"/>
        </w:rPr>
      </w:pPr>
      <w:r>
        <w:rPr>
          <w:rFonts w:hint="eastAsia" w:ascii="楷体" w:hAnsi="楷体" w:eastAsia="楷体"/>
          <w:sz w:val="24"/>
          <w:szCs w:val="24"/>
        </w:rPr>
        <w:t>估价对象房地产市场价值评估结果</w:t>
      </w:r>
    </w:p>
    <w:tbl>
      <w:tblPr>
        <w:tblStyle w:val="10"/>
        <w:tblW w:w="9012" w:type="dxa"/>
        <w:jc w:val="center"/>
        <w:tblInd w:w="-15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4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095" w:type="dxa"/>
            <w:vMerge w:val="restart"/>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sz w:val="18"/>
                <w:szCs w:val="18"/>
              </w:rPr>
              <w:t>项目</w:t>
            </w:r>
          </w:p>
        </w:tc>
        <w:tc>
          <w:tcPr>
            <w:tcW w:w="4917" w:type="dxa"/>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cs="楷体"/>
                <w:sz w:val="18"/>
                <w:szCs w:val="18"/>
              </w:rPr>
              <w:t>估价结果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095" w:type="dxa"/>
            <w:vMerge w:val="continue"/>
            <w:noWrap w:val="0"/>
            <w:vAlign w:val="center"/>
          </w:tcPr>
          <w:p>
            <w:pPr>
              <w:spacing w:line="240" w:lineRule="exact"/>
              <w:jc w:val="center"/>
              <w:rPr>
                <w:rFonts w:hint="eastAsia" w:ascii="楷体" w:hAnsi="楷体" w:eastAsia="楷体" w:cs="楷体"/>
                <w:sz w:val="18"/>
                <w:szCs w:val="18"/>
              </w:rPr>
            </w:pPr>
          </w:p>
        </w:tc>
        <w:tc>
          <w:tcPr>
            <w:tcW w:w="4917" w:type="dxa"/>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cs="楷体"/>
                <w:sz w:val="18"/>
                <w:szCs w:val="18"/>
              </w:rPr>
              <w:t>总价（万元）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095" w:type="dxa"/>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sz w:val="18"/>
                <w:szCs w:val="18"/>
              </w:rPr>
              <w:t>正常税费负担下的市场价值</w:t>
            </w:r>
          </w:p>
        </w:tc>
        <w:tc>
          <w:tcPr>
            <w:tcW w:w="4917" w:type="dxa"/>
            <w:noWrap w:val="0"/>
            <w:vAlign w:val="center"/>
          </w:tcPr>
          <w:p>
            <w:pPr>
              <w:spacing w:line="240" w:lineRule="exact"/>
              <w:jc w:val="left"/>
              <w:rPr>
                <w:rFonts w:hint="eastAsia" w:ascii="楷体" w:hAnsi="楷体" w:eastAsia="楷体" w:cs="楷体"/>
                <w:sz w:val="18"/>
                <w:szCs w:val="18"/>
              </w:rPr>
            </w:pPr>
            <w:r>
              <w:rPr>
                <w:rFonts w:ascii="楷体" w:hAnsi="楷体" w:eastAsia="楷体" w:cs="楷体"/>
                <w:sz w:val="18"/>
                <w:szCs w:val="18"/>
              </w:rPr>
              <w:t>492.96</w:t>
            </w:r>
            <w:r>
              <w:rPr>
                <w:rFonts w:hint="eastAsia" w:ascii="楷体" w:hAnsi="楷体" w:eastAsia="楷体" w:cs="楷体"/>
                <w:sz w:val="18"/>
                <w:szCs w:val="18"/>
              </w:rPr>
              <w:t>（人民币肆佰玖拾贰万玖仟陆佰元整）</w:t>
            </w:r>
          </w:p>
        </w:tc>
      </w:tr>
    </w:tbl>
    <w:p>
      <w:pPr>
        <w:spacing w:line="500" w:lineRule="exact"/>
        <w:ind w:left="119" w:leftChars="57"/>
        <w:jc w:val="center"/>
        <w:rPr>
          <w:rFonts w:hint="eastAsia" w:ascii="楷体" w:hAnsi="楷体" w:eastAsia="楷体"/>
          <w:sz w:val="24"/>
          <w:szCs w:val="24"/>
        </w:rPr>
      </w:pPr>
      <w:r>
        <w:rPr>
          <w:rFonts w:hint="eastAsia" w:ascii="楷体" w:hAnsi="楷体" w:eastAsia="楷体"/>
          <w:sz w:val="24"/>
          <w:szCs w:val="24"/>
        </w:rPr>
        <w:t>估价对象房地产市场价值评估结果明细表</w:t>
      </w:r>
    </w:p>
    <w:tbl>
      <w:tblPr>
        <w:tblStyle w:val="10"/>
        <w:tblW w:w="8930" w:type="dxa"/>
        <w:tblInd w:w="250" w:type="dxa"/>
        <w:tblLayout w:type="fixed"/>
        <w:tblCellMar>
          <w:top w:w="0" w:type="dxa"/>
          <w:left w:w="108" w:type="dxa"/>
          <w:bottom w:w="0" w:type="dxa"/>
          <w:right w:w="108" w:type="dxa"/>
        </w:tblCellMar>
      </w:tblPr>
      <w:tblGrid>
        <w:gridCol w:w="3934"/>
        <w:gridCol w:w="2531"/>
        <w:gridCol w:w="2465"/>
      </w:tblGrid>
      <w:tr>
        <w:tblPrEx>
          <w:tblLayout w:type="fixed"/>
          <w:tblCellMar>
            <w:top w:w="0" w:type="dxa"/>
            <w:left w:w="108" w:type="dxa"/>
            <w:bottom w:w="0" w:type="dxa"/>
            <w:right w:w="108" w:type="dxa"/>
          </w:tblCellMar>
        </w:tblPrEx>
        <w:trPr>
          <w:trHeight w:val="343" w:hRule="atLeast"/>
        </w:trPr>
        <w:tc>
          <w:tcPr>
            <w:tcW w:w="393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ascii="楷体" w:hAnsi="楷体" w:eastAsia="楷体" w:cs="宋体"/>
                <w:kern w:val="0"/>
                <w:sz w:val="18"/>
                <w:szCs w:val="18"/>
              </w:rPr>
            </w:pPr>
            <w:r>
              <w:rPr>
                <w:rFonts w:hint="eastAsia" w:ascii="楷体" w:hAnsi="楷体" w:eastAsia="楷体" w:cs="宋体"/>
                <w:kern w:val="0"/>
                <w:sz w:val="18"/>
                <w:szCs w:val="18"/>
              </w:rPr>
              <w:t>名称</w:t>
            </w:r>
          </w:p>
        </w:tc>
        <w:tc>
          <w:tcPr>
            <w:tcW w:w="2531"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市场价值（万元）</w:t>
            </w:r>
          </w:p>
        </w:tc>
        <w:tc>
          <w:tcPr>
            <w:tcW w:w="2465"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单价</w:t>
            </w:r>
            <w:r>
              <w:rPr>
                <w:rFonts w:hint="eastAsia" w:ascii="楷体" w:hAnsi="楷体" w:eastAsia="楷体" w:cs="楷体"/>
                <w:sz w:val="18"/>
                <w:szCs w:val="18"/>
              </w:rPr>
              <w:t>（元/㎡）</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3幢301号 </w:t>
            </w:r>
          </w:p>
        </w:tc>
        <w:tc>
          <w:tcPr>
            <w:tcW w:w="2531" w:type="dxa"/>
            <w:tcBorders>
              <w:top w:val="nil"/>
              <w:left w:val="nil"/>
              <w:bottom w:val="single" w:color="auto" w:sz="4" w:space="0"/>
              <w:right w:val="single" w:color="auto" w:sz="4" w:space="0"/>
            </w:tcBorders>
            <w:shd w:val="clear" w:color="auto" w:fill="auto"/>
            <w:noWrap w:val="0"/>
            <w:vAlign w:val="center"/>
          </w:tcPr>
          <w:p>
            <w:pPr>
              <w:widowControl/>
              <w:spacing w:line="240" w:lineRule="exact"/>
              <w:jc w:val="right"/>
              <w:rPr>
                <w:rFonts w:ascii="楷体" w:hAnsi="楷体" w:eastAsia="楷体"/>
                <w:kern w:val="0"/>
                <w:sz w:val="18"/>
                <w:szCs w:val="18"/>
              </w:rPr>
            </w:pPr>
            <w:r>
              <w:rPr>
                <w:rFonts w:hint="eastAsia" w:ascii="楷体" w:hAnsi="楷体" w:eastAsia="楷体"/>
                <w:sz w:val="18"/>
                <w:szCs w:val="18"/>
              </w:rPr>
              <w:t xml:space="preserve">           21.95 </w:t>
            </w:r>
          </w:p>
        </w:tc>
        <w:tc>
          <w:tcPr>
            <w:tcW w:w="2465" w:type="dxa"/>
            <w:tcBorders>
              <w:top w:val="nil"/>
              <w:left w:val="nil"/>
              <w:bottom w:val="single" w:color="auto" w:sz="4" w:space="0"/>
              <w:right w:val="single" w:color="auto" w:sz="4" w:space="0"/>
            </w:tcBorders>
            <w:noWrap w:val="0"/>
            <w:vAlign w:val="center"/>
          </w:tcPr>
          <w:p>
            <w:pPr>
              <w:widowControl/>
              <w:spacing w:line="240" w:lineRule="exact"/>
              <w:jc w:val="center"/>
              <w:rPr>
                <w:rFonts w:ascii="楷体" w:hAnsi="楷体" w:eastAsia="楷体"/>
                <w:kern w:val="0"/>
                <w:sz w:val="18"/>
                <w:szCs w:val="18"/>
              </w:rPr>
            </w:pPr>
            <w:r>
              <w:rPr>
                <w:rFonts w:hint="eastAsia" w:ascii="楷体" w:hAnsi="楷体" w:eastAsia="楷体"/>
                <w:sz w:val="18"/>
                <w:szCs w:val="18"/>
              </w:rPr>
              <w:t xml:space="preserve">4,220.00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3幢302号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13.78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4,262.00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3幢313号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27.10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4,263.00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3幢412号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43.87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4,179.00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4幢518号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23.29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4,179.00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5幢401号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59.67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4,054.00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7幢502号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38.54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4,096.00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7幢504号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47.18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4,096.00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7幢505号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41.72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4,096.00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2-6、8-16幢C007号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2-6、8-16幢C022号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2-6、8-16幢C023号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2-6、8-16幢C028号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2-6、8-16幢C039号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2-6、8-16幢C054号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2-6、8-16幢C055号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2-6、8-16幢C056号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2-6、8-16幢C057号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2-6、8-16幢C058号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2-6、8-16幢C059号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2-6、8-16幢C060号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2-6、8-16幢C064号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2-6、8-16幢C067号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2-6、8-16幢C068号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2-6、8-16幢C069号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2-6、8-16幢C070号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2-6、8-16幢C074号 </w:t>
            </w:r>
          </w:p>
        </w:tc>
        <w:tc>
          <w:tcPr>
            <w:tcW w:w="2531"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465"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279" w:hRule="atLeast"/>
        </w:trPr>
        <w:tc>
          <w:tcPr>
            <w:tcW w:w="393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合计</w:t>
            </w:r>
          </w:p>
        </w:tc>
        <w:tc>
          <w:tcPr>
            <w:tcW w:w="2531" w:type="dxa"/>
            <w:tcBorders>
              <w:top w:val="single" w:color="auto" w:sz="4" w:space="0"/>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b/>
                <w:bCs/>
                <w:sz w:val="18"/>
                <w:szCs w:val="18"/>
              </w:rPr>
            </w:pPr>
            <w:r>
              <w:rPr>
                <w:rFonts w:hint="eastAsia" w:ascii="楷体" w:hAnsi="楷体" w:eastAsia="楷体"/>
                <w:b/>
                <w:bCs/>
                <w:sz w:val="18"/>
                <w:szCs w:val="18"/>
              </w:rPr>
              <w:t xml:space="preserve">        492.96 </w:t>
            </w:r>
          </w:p>
        </w:tc>
        <w:tc>
          <w:tcPr>
            <w:tcW w:w="2465"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p>
        </w:tc>
      </w:tr>
    </w:tbl>
    <w:p>
      <w:pPr>
        <w:spacing w:line="550" w:lineRule="exact"/>
        <w:ind w:firstLine="480" w:firstLineChars="200"/>
        <w:rPr>
          <w:rFonts w:hint="eastAsia" w:ascii="楷体" w:hAnsi="楷体" w:eastAsia="楷体"/>
          <w:sz w:val="24"/>
          <w:szCs w:val="24"/>
        </w:rPr>
      </w:pPr>
      <w:r>
        <w:rPr>
          <w:rFonts w:hint="eastAsia" w:ascii="楷体" w:hAnsi="楷体" w:eastAsia="楷体"/>
          <w:sz w:val="24"/>
          <w:szCs w:val="24"/>
        </w:rPr>
        <w:t>特别提示：</w:t>
      </w:r>
    </w:p>
    <w:p>
      <w:pPr>
        <w:numPr>
          <w:ilvl w:val="0"/>
          <w:numId w:val="1"/>
        </w:numPr>
        <w:tabs>
          <w:tab w:val="left" w:pos="6345"/>
        </w:tabs>
        <w:spacing w:line="460" w:lineRule="exact"/>
        <w:ind w:firstLine="480" w:firstLineChars="200"/>
        <w:rPr>
          <w:rFonts w:ascii="楷体" w:hAnsi="楷体" w:eastAsia="楷体"/>
          <w:sz w:val="24"/>
          <w:szCs w:val="24"/>
        </w:rPr>
      </w:pPr>
      <w:r>
        <w:rPr>
          <w:rFonts w:ascii="楷体" w:hAnsi="楷体" w:eastAsia="楷体"/>
          <w:sz w:val="24"/>
          <w:szCs w:val="24"/>
        </w:rPr>
        <w:t>按照法律法规规定，转让人和买受人各自负担</w:t>
      </w:r>
      <w:r>
        <w:rPr>
          <w:rFonts w:hint="eastAsia" w:ascii="楷体" w:hAnsi="楷体" w:eastAsia="楷体"/>
          <w:sz w:val="24"/>
          <w:szCs w:val="24"/>
        </w:rPr>
        <w:t>交易</w:t>
      </w:r>
      <w:r>
        <w:rPr>
          <w:rFonts w:ascii="楷体" w:hAnsi="楷体" w:eastAsia="楷体"/>
          <w:sz w:val="24"/>
          <w:szCs w:val="24"/>
        </w:rPr>
        <w:t>税费</w:t>
      </w:r>
      <w:r>
        <w:rPr>
          <w:rFonts w:hint="eastAsia" w:ascii="楷体" w:hAnsi="楷体" w:eastAsia="楷体"/>
          <w:sz w:val="24"/>
          <w:szCs w:val="24"/>
        </w:rPr>
        <w:t>。</w:t>
      </w:r>
    </w:p>
    <w:p>
      <w:pPr>
        <w:spacing w:line="460" w:lineRule="exact"/>
        <w:ind w:firstLine="480" w:firstLineChars="200"/>
        <w:rPr>
          <w:rFonts w:ascii="楷体" w:hAnsi="楷体" w:eastAsia="楷体"/>
          <w:sz w:val="24"/>
          <w:szCs w:val="24"/>
        </w:rPr>
      </w:pPr>
      <w:r>
        <w:rPr>
          <w:rFonts w:hint="eastAsia" w:ascii="楷体" w:hAnsi="楷体" w:eastAsia="楷体"/>
          <w:sz w:val="24"/>
          <w:szCs w:val="24"/>
        </w:rPr>
        <w:t>（</w:t>
      </w:r>
      <w:r>
        <w:rPr>
          <w:rFonts w:ascii="楷体" w:hAnsi="楷体" w:eastAsia="楷体"/>
          <w:sz w:val="24"/>
          <w:szCs w:val="24"/>
        </w:rPr>
        <w:t>2</w:t>
      </w:r>
      <w:r>
        <w:rPr>
          <w:rFonts w:hint="eastAsia" w:ascii="楷体" w:hAnsi="楷体" w:eastAsia="楷体"/>
          <w:sz w:val="24"/>
          <w:szCs w:val="24"/>
        </w:rPr>
        <w:t>）本评估报告评估值未考虑估价对象涉及的评估费、拍卖费、诉讼费、律师费等财产处置费用对评估值所产生的影响。</w:t>
      </w:r>
    </w:p>
    <w:p>
      <w:pPr>
        <w:spacing w:line="460" w:lineRule="exact"/>
        <w:ind w:firstLine="480" w:firstLineChars="200"/>
        <w:rPr>
          <w:rFonts w:hint="eastAsia" w:ascii="楷体" w:hAnsi="楷体" w:eastAsia="楷体"/>
          <w:sz w:val="24"/>
          <w:szCs w:val="24"/>
        </w:rPr>
      </w:pPr>
      <w:r>
        <w:rPr>
          <w:rFonts w:hint="eastAsia" w:ascii="楷体" w:hAnsi="楷体" w:eastAsia="楷体"/>
          <w:sz w:val="24"/>
          <w:szCs w:val="24"/>
        </w:rPr>
        <w:t>（</w:t>
      </w:r>
      <w:r>
        <w:rPr>
          <w:rFonts w:ascii="楷体" w:hAnsi="楷体" w:eastAsia="楷体"/>
          <w:sz w:val="24"/>
          <w:szCs w:val="24"/>
        </w:rPr>
        <w:t>3</w:t>
      </w:r>
      <w:r>
        <w:rPr>
          <w:rFonts w:hint="eastAsia" w:ascii="楷体" w:hAnsi="楷体" w:eastAsia="楷体"/>
          <w:sz w:val="24"/>
          <w:szCs w:val="24"/>
        </w:rPr>
        <w:t>）相关当事人应当按照法律规定和评估报告载明的用途、使用人、使用期限等使用范围使用评估报告。否则，房地产估价机构和注册房地产估价师依法不承担责任。</w:t>
      </w:r>
    </w:p>
    <w:p>
      <w:pPr>
        <w:spacing w:line="460" w:lineRule="exact"/>
        <w:ind w:firstLine="480" w:firstLineChars="200"/>
        <w:rPr>
          <w:rFonts w:hint="eastAsia" w:ascii="楷体" w:hAnsi="楷体" w:eastAsia="楷体"/>
          <w:sz w:val="24"/>
          <w:szCs w:val="24"/>
        </w:rPr>
      </w:pPr>
      <w:r>
        <w:rPr>
          <w:rFonts w:hint="eastAsia" w:ascii="楷体" w:hAnsi="楷体" w:eastAsia="楷体"/>
          <w:sz w:val="24"/>
          <w:szCs w:val="24"/>
        </w:rPr>
        <w:t>（</w:t>
      </w:r>
      <w:r>
        <w:rPr>
          <w:rFonts w:ascii="楷体" w:hAnsi="楷体" w:eastAsia="楷体"/>
          <w:sz w:val="24"/>
          <w:szCs w:val="24"/>
        </w:rPr>
        <w:t>4</w:t>
      </w:r>
      <w:r>
        <w:rPr>
          <w:rFonts w:hint="eastAsia" w:ascii="楷体" w:hAnsi="楷体" w:eastAsia="楷体"/>
          <w:sz w:val="24"/>
          <w:szCs w:val="24"/>
        </w:rPr>
        <w:t>）本报告评估结论仅为人民法院确定财产处置参考价服务，不是评估对象处置可实现的成交价格，也不应当被视为对评估对象处置成交价格的保证。</w:t>
      </w:r>
    </w:p>
    <w:p>
      <w:pPr>
        <w:spacing w:line="460" w:lineRule="exact"/>
        <w:ind w:firstLine="480" w:firstLineChars="200"/>
        <w:rPr>
          <w:rFonts w:ascii="楷体" w:hAnsi="楷体" w:eastAsia="楷体"/>
          <w:sz w:val="24"/>
          <w:szCs w:val="24"/>
        </w:rPr>
      </w:pPr>
      <w:r>
        <w:rPr>
          <w:rFonts w:hint="eastAsia" w:ascii="楷体" w:hAnsi="楷体" w:eastAsia="楷体"/>
          <w:sz w:val="24"/>
          <w:szCs w:val="24"/>
        </w:rPr>
        <w:t>（</w:t>
      </w:r>
      <w:r>
        <w:rPr>
          <w:rFonts w:ascii="楷体" w:hAnsi="楷体" w:eastAsia="楷体"/>
          <w:sz w:val="24"/>
          <w:szCs w:val="24"/>
        </w:rPr>
        <w:t>5</w:t>
      </w:r>
      <w:r>
        <w:rPr>
          <w:rFonts w:hint="eastAsia" w:ascii="楷体" w:hAnsi="楷体" w:eastAsia="楷体"/>
          <w:sz w:val="24"/>
          <w:szCs w:val="24"/>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tabs>
          <w:tab w:val="left" w:pos="6345"/>
        </w:tabs>
        <w:spacing w:line="560" w:lineRule="exact"/>
        <w:ind w:firstLine="480" w:firstLineChars="200"/>
        <w:rPr>
          <w:rFonts w:ascii="楷体" w:hAnsi="楷体" w:eastAsia="楷体"/>
          <w:sz w:val="24"/>
          <w:szCs w:val="24"/>
          <w:shd w:val="clear" w:color="auto" w:fill="FFFFFF"/>
        </w:rPr>
      </w:pPr>
      <w:r>
        <w:rPr>
          <w:rFonts w:hint="eastAsia" w:ascii="楷体" w:hAnsi="楷体" w:eastAsia="楷体"/>
          <w:sz w:val="24"/>
          <w:szCs w:val="24"/>
          <w:shd w:val="clear" w:color="auto" w:fill="FFFFFF"/>
        </w:rPr>
        <w:t>（</w:t>
      </w:r>
      <w:r>
        <w:rPr>
          <w:rFonts w:ascii="楷体" w:hAnsi="楷体" w:eastAsia="楷体"/>
          <w:sz w:val="24"/>
          <w:szCs w:val="24"/>
          <w:shd w:val="clear" w:color="auto" w:fill="FFFFFF"/>
        </w:rPr>
        <w:t>6</w:t>
      </w:r>
      <w:r>
        <w:rPr>
          <w:rFonts w:hint="eastAsia" w:ascii="楷体" w:hAnsi="楷体" w:eastAsia="楷体"/>
          <w:sz w:val="24"/>
          <w:szCs w:val="24"/>
          <w:shd w:val="clear" w:color="auto" w:fill="FFFFFF"/>
        </w:rPr>
        <w:t>）在评估报告使用期限或者评估结果有效期内，评估报告或者评估结果未使用之前，如果评估对象状况或者房地产市场状况发生明显变化的，评估结果应当进行相应调整后才可使用。</w:t>
      </w:r>
    </w:p>
    <w:p>
      <w:pPr>
        <w:tabs>
          <w:tab w:val="left" w:pos="6345"/>
        </w:tabs>
        <w:spacing w:line="440" w:lineRule="exact"/>
        <w:ind w:firstLine="480" w:firstLineChars="200"/>
        <w:rPr>
          <w:rFonts w:ascii="楷体" w:hAnsi="楷体" w:eastAsia="楷体"/>
          <w:b/>
          <w:sz w:val="24"/>
          <w:szCs w:val="24"/>
          <w:shd w:val="clear" w:color="auto" w:fill="FFFFFF"/>
        </w:rPr>
      </w:pPr>
      <w:r>
        <w:rPr>
          <w:rFonts w:hint="eastAsia" w:ascii="楷体" w:hAnsi="楷体" w:eastAsia="楷体"/>
          <w:sz w:val="24"/>
          <w:szCs w:val="24"/>
          <w:shd w:val="clear" w:color="auto" w:fill="FFFFFF"/>
        </w:rPr>
        <w:t>（7）</w:t>
      </w:r>
      <w:r>
        <w:rPr>
          <w:rFonts w:hint="eastAsia" w:ascii="楷体" w:hAnsi="楷体" w:eastAsia="楷体"/>
          <w:b/>
          <w:sz w:val="24"/>
          <w:szCs w:val="24"/>
          <w:shd w:val="clear" w:color="auto" w:fill="FFFFFF"/>
        </w:rPr>
        <w:t>本次估价</w:t>
      </w:r>
      <w:r>
        <w:rPr>
          <w:rFonts w:ascii="楷体" w:hAnsi="楷体" w:eastAsia="楷体"/>
          <w:b/>
          <w:sz w:val="24"/>
          <w:szCs w:val="24"/>
          <w:shd w:val="clear" w:color="auto" w:fill="FFFFFF"/>
        </w:rPr>
        <w:t>对象为期房</w:t>
      </w:r>
      <w:r>
        <w:rPr>
          <w:rFonts w:hint="eastAsia" w:ascii="楷体" w:hAnsi="楷体" w:eastAsia="楷体"/>
          <w:b/>
          <w:sz w:val="24"/>
          <w:szCs w:val="24"/>
          <w:shd w:val="clear" w:color="auto" w:fill="FFFFFF"/>
        </w:rPr>
        <w:t>（在建</w:t>
      </w:r>
      <w:r>
        <w:rPr>
          <w:rFonts w:ascii="楷体" w:hAnsi="楷体" w:eastAsia="楷体"/>
          <w:b/>
          <w:sz w:val="24"/>
          <w:szCs w:val="24"/>
          <w:shd w:val="clear" w:color="auto" w:fill="FFFFFF"/>
        </w:rPr>
        <w:t>工程</w:t>
      </w:r>
      <w:r>
        <w:rPr>
          <w:rFonts w:hint="eastAsia" w:ascii="楷体" w:hAnsi="楷体" w:eastAsia="楷体"/>
          <w:b/>
          <w:sz w:val="24"/>
          <w:szCs w:val="24"/>
          <w:shd w:val="clear" w:color="auto" w:fill="FFFFFF"/>
        </w:rPr>
        <w:t>），</w:t>
      </w:r>
      <w:r>
        <w:rPr>
          <w:rFonts w:ascii="楷体" w:hAnsi="楷体" w:eastAsia="楷体"/>
          <w:b/>
          <w:sz w:val="24"/>
          <w:szCs w:val="24"/>
          <w:shd w:val="clear" w:color="auto" w:fill="FFFFFF"/>
        </w:rPr>
        <w:t>本次估价</w:t>
      </w:r>
      <w:r>
        <w:rPr>
          <w:rFonts w:hint="eastAsia" w:ascii="楷体" w:hAnsi="楷体" w:eastAsia="楷体"/>
          <w:b/>
          <w:sz w:val="24"/>
          <w:szCs w:val="24"/>
          <w:shd w:val="clear" w:color="auto" w:fill="FFFFFF"/>
        </w:rPr>
        <w:t>是假设其</w:t>
      </w:r>
      <w:r>
        <w:rPr>
          <w:rFonts w:ascii="楷体" w:hAnsi="楷体" w:eastAsia="楷体"/>
          <w:b/>
          <w:sz w:val="24"/>
          <w:szCs w:val="24"/>
          <w:shd w:val="clear" w:color="auto" w:fill="FFFFFF"/>
        </w:rPr>
        <w:t>可按时完工</w:t>
      </w:r>
      <w:r>
        <w:rPr>
          <w:rFonts w:hint="eastAsia" w:ascii="楷体" w:hAnsi="楷体" w:eastAsia="楷体"/>
          <w:b/>
          <w:sz w:val="24"/>
          <w:szCs w:val="24"/>
          <w:shd w:val="clear" w:color="auto" w:fill="FFFFFF"/>
        </w:rPr>
        <w:t>并</w:t>
      </w:r>
      <w:r>
        <w:rPr>
          <w:rFonts w:ascii="楷体" w:hAnsi="楷体" w:eastAsia="楷体"/>
          <w:b/>
          <w:sz w:val="24"/>
          <w:szCs w:val="24"/>
          <w:shd w:val="clear" w:color="auto" w:fill="FFFFFF"/>
        </w:rPr>
        <w:t>交付使用的情况下</w:t>
      </w:r>
      <w:r>
        <w:rPr>
          <w:rFonts w:hint="eastAsia" w:ascii="楷体" w:hAnsi="楷体" w:eastAsia="楷体"/>
          <w:b/>
          <w:sz w:val="24"/>
          <w:szCs w:val="24"/>
          <w:shd w:val="clear" w:color="auto" w:fill="FFFFFF"/>
        </w:rPr>
        <w:t>进行</w:t>
      </w:r>
      <w:r>
        <w:rPr>
          <w:rFonts w:ascii="楷体" w:hAnsi="楷体" w:eastAsia="楷体"/>
          <w:b/>
          <w:sz w:val="24"/>
          <w:szCs w:val="24"/>
          <w:shd w:val="clear" w:color="auto" w:fill="FFFFFF"/>
        </w:rPr>
        <w:t>估价</w:t>
      </w:r>
      <w:r>
        <w:rPr>
          <w:rFonts w:hint="eastAsia" w:ascii="楷体" w:hAnsi="楷体" w:eastAsia="楷体"/>
          <w:b/>
          <w:sz w:val="24"/>
          <w:szCs w:val="24"/>
          <w:shd w:val="clear" w:color="auto" w:fill="FFFFFF"/>
        </w:rPr>
        <w:t>，</w:t>
      </w:r>
      <w:r>
        <w:rPr>
          <w:rFonts w:ascii="楷体" w:hAnsi="楷体" w:eastAsia="楷体"/>
          <w:b/>
          <w:sz w:val="24"/>
          <w:szCs w:val="24"/>
          <w:shd w:val="clear" w:color="auto" w:fill="FFFFFF"/>
        </w:rPr>
        <w:t>本次估价未考虑估价对象成交后</w:t>
      </w:r>
      <w:r>
        <w:rPr>
          <w:rFonts w:hint="eastAsia" w:ascii="楷体" w:hAnsi="楷体" w:eastAsia="楷体"/>
          <w:b/>
          <w:sz w:val="24"/>
          <w:szCs w:val="24"/>
          <w:shd w:val="clear" w:color="auto" w:fill="FFFFFF"/>
        </w:rPr>
        <w:t>过户、</w:t>
      </w:r>
      <w:r>
        <w:rPr>
          <w:rFonts w:ascii="楷体" w:hAnsi="楷体" w:eastAsia="楷体"/>
          <w:b/>
          <w:sz w:val="24"/>
          <w:szCs w:val="24"/>
          <w:shd w:val="clear" w:color="auto" w:fill="FFFFFF"/>
        </w:rPr>
        <w:t>可能延期交付等事项对估价结果的影响。</w:t>
      </w:r>
    </w:p>
    <w:p>
      <w:pPr>
        <w:tabs>
          <w:tab w:val="left" w:pos="6345"/>
        </w:tabs>
        <w:spacing w:line="560" w:lineRule="exact"/>
        <w:ind w:firstLine="480" w:firstLineChars="200"/>
        <w:rPr>
          <w:rFonts w:hint="eastAsia" w:ascii="楷体" w:hAnsi="楷体" w:eastAsia="楷体"/>
          <w:sz w:val="24"/>
          <w:szCs w:val="24"/>
          <w:shd w:val="clear" w:color="auto" w:fill="FFFFFF"/>
        </w:rPr>
      </w:pPr>
      <w:r>
        <w:rPr>
          <w:rFonts w:hint="eastAsia" w:ascii="楷体" w:hAnsi="楷体" w:eastAsia="楷体"/>
          <w:sz w:val="24"/>
          <w:szCs w:val="24"/>
          <w:shd w:val="clear" w:color="auto" w:fill="FFFFFF"/>
        </w:rPr>
        <w:t>（</w:t>
      </w:r>
      <w:r>
        <w:rPr>
          <w:rFonts w:ascii="楷体" w:hAnsi="楷体" w:eastAsia="楷体"/>
          <w:sz w:val="24"/>
          <w:szCs w:val="24"/>
          <w:shd w:val="clear" w:color="auto" w:fill="FFFFFF"/>
        </w:rPr>
        <w:t>8</w:t>
      </w:r>
      <w:r>
        <w:rPr>
          <w:rFonts w:hint="eastAsia" w:ascii="楷体" w:hAnsi="楷体" w:eastAsia="楷体"/>
          <w:sz w:val="24"/>
          <w:szCs w:val="24"/>
          <w:shd w:val="clear" w:color="auto" w:fill="FFFFFF"/>
        </w:rPr>
        <w:t>）本次估价根据委托方提供的由</w:t>
      </w:r>
      <w:r>
        <w:rPr>
          <w:rFonts w:ascii="楷体" w:hAnsi="楷体" w:eastAsia="楷体"/>
          <w:sz w:val="24"/>
          <w:szCs w:val="24"/>
          <w:shd w:val="clear" w:color="auto" w:fill="FFFFFF"/>
        </w:rPr>
        <w:t>龙岩市住建局出具的</w:t>
      </w:r>
      <w:r>
        <w:rPr>
          <w:rFonts w:hint="eastAsia" w:ascii="楷体" w:hAnsi="楷体" w:eastAsia="楷体"/>
          <w:sz w:val="24"/>
          <w:szCs w:val="24"/>
          <w:shd w:val="clear" w:color="auto" w:fill="FFFFFF"/>
        </w:rPr>
        <w:t>《估价</w:t>
      </w:r>
      <w:r>
        <w:rPr>
          <w:rFonts w:ascii="楷体" w:hAnsi="楷体" w:eastAsia="楷体"/>
          <w:sz w:val="24"/>
          <w:szCs w:val="24"/>
          <w:shd w:val="clear" w:color="auto" w:fill="FFFFFF"/>
        </w:rPr>
        <w:t>对象</w:t>
      </w:r>
      <w:r>
        <w:rPr>
          <w:rFonts w:hint="eastAsia" w:ascii="楷体" w:hAnsi="楷体" w:eastAsia="楷体"/>
          <w:sz w:val="24"/>
          <w:szCs w:val="24"/>
          <w:shd w:val="clear" w:color="auto" w:fill="FFFFFF"/>
        </w:rPr>
        <w:t>明细表》、《不动产登记</w:t>
      </w:r>
      <w:r>
        <w:rPr>
          <w:rFonts w:ascii="楷体" w:hAnsi="楷体" w:eastAsia="楷体"/>
          <w:sz w:val="24"/>
          <w:szCs w:val="24"/>
          <w:shd w:val="clear" w:color="auto" w:fill="FFFFFF"/>
        </w:rPr>
        <w:t>证明</w:t>
      </w:r>
      <w:r>
        <w:rPr>
          <w:rFonts w:hint="eastAsia" w:ascii="楷体" w:hAnsi="楷体" w:eastAsia="楷体"/>
          <w:sz w:val="24"/>
          <w:szCs w:val="24"/>
          <w:shd w:val="clear" w:color="auto" w:fill="FFFFFF"/>
        </w:rPr>
        <w:t>》、</w:t>
      </w:r>
      <w:r>
        <w:rPr>
          <w:rFonts w:ascii="楷体" w:hAnsi="楷体" w:eastAsia="楷体"/>
          <w:sz w:val="24"/>
          <w:szCs w:val="24"/>
          <w:shd w:val="clear" w:color="auto" w:fill="FFFFFF"/>
        </w:rPr>
        <w:t>《</w:t>
      </w:r>
      <w:r>
        <w:rPr>
          <w:rFonts w:hint="eastAsia" w:ascii="楷体" w:hAnsi="楷体" w:eastAsia="楷体"/>
          <w:sz w:val="24"/>
          <w:szCs w:val="24"/>
          <w:shd w:val="clear" w:color="auto" w:fill="FFFFFF"/>
        </w:rPr>
        <w:t>土地</w:t>
      </w:r>
      <w:r>
        <w:rPr>
          <w:rFonts w:ascii="楷体" w:hAnsi="楷体" w:eastAsia="楷体"/>
          <w:sz w:val="24"/>
          <w:szCs w:val="24"/>
          <w:shd w:val="clear" w:color="auto" w:fill="FFFFFF"/>
        </w:rPr>
        <w:t>使用权权证》</w:t>
      </w:r>
      <w:r>
        <w:rPr>
          <w:rFonts w:hint="eastAsia" w:ascii="楷体" w:hAnsi="楷体" w:eastAsia="楷体"/>
          <w:sz w:val="24"/>
          <w:szCs w:val="24"/>
          <w:shd w:val="clear" w:color="auto" w:fill="FFFFFF"/>
        </w:rPr>
        <w:t>、</w:t>
      </w:r>
      <w:r>
        <w:rPr>
          <w:rFonts w:ascii="楷体" w:hAnsi="楷体" w:eastAsia="楷体"/>
          <w:sz w:val="24"/>
          <w:szCs w:val="24"/>
          <w:shd w:val="clear" w:color="auto" w:fill="FFFFFF"/>
        </w:rPr>
        <w:t>《</w:t>
      </w:r>
      <w:r>
        <w:rPr>
          <w:rFonts w:hint="eastAsia" w:ascii="楷体" w:hAnsi="楷体" w:eastAsia="楷体"/>
          <w:sz w:val="24"/>
          <w:szCs w:val="24"/>
          <w:shd w:val="clear" w:color="auto" w:fill="FFFFFF"/>
        </w:rPr>
        <w:t>房屋</w:t>
      </w:r>
      <w:r>
        <w:rPr>
          <w:rFonts w:ascii="楷体" w:hAnsi="楷体" w:eastAsia="楷体"/>
          <w:sz w:val="24"/>
          <w:szCs w:val="24"/>
          <w:shd w:val="clear" w:color="auto" w:fill="FFFFFF"/>
        </w:rPr>
        <w:t>交易与产权档案管理系统</w:t>
      </w:r>
      <w:r>
        <w:rPr>
          <w:rFonts w:hint="eastAsia" w:ascii="楷体" w:hAnsi="楷体" w:eastAsia="楷体"/>
          <w:sz w:val="24"/>
          <w:szCs w:val="24"/>
          <w:shd w:val="clear" w:color="auto" w:fill="FFFFFF"/>
        </w:rPr>
        <w:t>查询</w:t>
      </w:r>
      <w:r>
        <w:rPr>
          <w:rFonts w:ascii="楷体" w:hAnsi="楷体" w:eastAsia="楷体"/>
          <w:sz w:val="24"/>
          <w:szCs w:val="24"/>
          <w:shd w:val="clear" w:color="auto" w:fill="FFFFFF"/>
        </w:rPr>
        <w:t>信息》</w:t>
      </w:r>
      <w:r>
        <w:rPr>
          <w:rFonts w:hint="eastAsia" w:ascii="楷体" w:hAnsi="楷体" w:eastAsia="楷体"/>
          <w:sz w:val="24"/>
          <w:szCs w:val="24"/>
          <w:shd w:val="clear" w:color="auto" w:fill="FFFFFF"/>
        </w:rPr>
        <w:t>设定估价对象的建筑面积、建筑规划用途、建筑结构、房屋性质、</w:t>
      </w:r>
      <w:r>
        <w:rPr>
          <w:rFonts w:ascii="楷体" w:hAnsi="楷体" w:eastAsia="楷体"/>
          <w:sz w:val="24"/>
          <w:szCs w:val="24"/>
          <w:shd w:val="clear" w:color="auto" w:fill="FFFFFF"/>
        </w:rPr>
        <w:t>房号、幢号</w:t>
      </w:r>
      <w:r>
        <w:rPr>
          <w:rFonts w:hint="eastAsia" w:ascii="楷体" w:hAnsi="楷体" w:eastAsia="楷体"/>
          <w:sz w:val="24"/>
          <w:szCs w:val="24"/>
          <w:shd w:val="clear" w:color="auto" w:fill="FFFFFF"/>
        </w:rPr>
        <w:t>、</w:t>
      </w:r>
      <w:r>
        <w:rPr>
          <w:rFonts w:ascii="楷体" w:hAnsi="楷体" w:eastAsia="楷体"/>
          <w:sz w:val="24"/>
          <w:szCs w:val="24"/>
          <w:shd w:val="clear" w:color="auto" w:fill="FFFFFF"/>
        </w:rPr>
        <w:t>土地使用权用途、土地</w:t>
      </w:r>
      <w:r>
        <w:rPr>
          <w:rFonts w:hint="eastAsia" w:ascii="楷体" w:hAnsi="楷体" w:eastAsia="楷体"/>
          <w:sz w:val="24"/>
          <w:szCs w:val="24"/>
          <w:shd w:val="clear" w:color="auto" w:fill="FFFFFF"/>
        </w:rPr>
        <w:t>使用权</w:t>
      </w:r>
      <w:r>
        <w:rPr>
          <w:rFonts w:ascii="楷体" w:hAnsi="楷体" w:eastAsia="楷体"/>
          <w:sz w:val="24"/>
          <w:szCs w:val="24"/>
          <w:shd w:val="clear" w:color="auto" w:fill="FFFFFF"/>
        </w:rPr>
        <w:t>性质</w:t>
      </w:r>
      <w:r>
        <w:rPr>
          <w:rFonts w:hint="eastAsia" w:ascii="楷体" w:hAnsi="楷体" w:eastAsia="楷体"/>
          <w:sz w:val="24"/>
          <w:szCs w:val="24"/>
          <w:shd w:val="clear" w:color="auto" w:fill="FFFFFF"/>
        </w:rPr>
        <w:t>、</w:t>
      </w:r>
      <w:r>
        <w:rPr>
          <w:rFonts w:ascii="楷体" w:hAnsi="楷体" w:eastAsia="楷体"/>
          <w:sz w:val="24"/>
          <w:szCs w:val="24"/>
          <w:shd w:val="clear" w:color="auto" w:fill="FFFFFF"/>
        </w:rPr>
        <w:t>土地使用权</w:t>
      </w:r>
      <w:r>
        <w:rPr>
          <w:rFonts w:hint="eastAsia" w:ascii="楷体" w:hAnsi="楷体" w:eastAsia="楷体"/>
          <w:sz w:val="24"/>
          <w:szCs w:val="24"/>
          <w:shd w:val="clear" w:color="auto" w:fill="FFFFFF"/>
        </w:rPr>
        <w:t>面积等。</w:t>
      </w:r>
    </w:p>
    <w:p>
      <w:pPr>
        <w:tabs>
          <w:tab w:val="left" w:pos="6345"/>
        </w:tabs>
        <w:spacing w:line="560" w:lineRule="exact"/>
        <w:ind w:firstLine="480" w:firstLineChars="200"/>
        <w:rPr>
          <w:rFonts w:hint="eastAsia" w:ascii="楷体" w:hAnsi="楷体" w:eastAsia="楷体" w:cs="宋体"/>
          <w:kern w:val="0"/>
          <w:sz w:val="24"/>
          <w:szCs w:val="24"/>
        </w:rPr>
      </w:pPr>
      <w:r>
        <w:rPr>
          <w:rFonts w:hint="eastAsia" w:ascii="楷体" w:hAnsi="楷体" w:eastAsia="楷体"/>
          <w:sz w:val="24"/>
          <w:szCs w:val="24"/>
          <w:shd w:val="clear" w:color="auto" w:fill="FFFFFF"/>
        </w:rPr>
        <w:t>（</w:t>
      </w:r>
      <w:r>
        <w:rPr>
          <w:rFonts w:ascii="楷体" w:hAnsi="楷体" w:eastAsia="楷体"/>
          <w:sz w:val="24"/>
          <w:szCs w:val="24"/>
          <w:shd w:val="clear" w:color="auto" w:fill="FFFFFF"/>
        </w:rPr>
        <w:t>9</w:t>
      </w:r>
      <w:r>
        <w:rPr>
          <w:rFonts w:hint="eastAsia" w:ascii="楷体" w:hAnsi="楷体" w:eastAsia="楷体"/>
          <w:sz w:val="24"/>
          <w:szCs w:val="24"/>
          <w:shd w:val="clear" w:color="auto" w:fill="FFFFFF"/>
        </w:rPr>
        <w:t>）</w:t>
      </w:r>
      <w:r>
        <w:rPr>
          <w:rFonts w:hint="eastAsia" w:ascii="楷体" w:hAnsi="楷体" w:eastAsia="楷体"/>
          <w:sz w:val="24"/>
          <w:szCs w:val="24"/>
        </w:rPr>
        <w:t>本估价报告使用期限自2022年08月05日起至202</w:t>
      </w:r>
      <w:r>
        <w:rPr>
          <w:rFonts w:ascii="楷体" w:hAnsi="楷体" w:eastAsia="楷体"/>
          <w:sz w:val="24"/>
          <w:szCs w:val="24"/>
        </w:rPr>
        <w:t>3</w:t>
      </w:r>
      <w:r>
        <w:rPr>
          <w:rFonts w:hint="eastAsia" w:ascii="楷体" w:hAnsi="楷体" w:eastAsia="楷体"/>
          <w:sz w:val="24"/>
          <w:szCs w:val="24"/>
        </w:rPr>
        <w:t>年</w:t>
      </w:r>
      <w:r>
        <w:rPr>
          <w:rFonts w:ascii="楷体" w:hAnsi="楷体" w:eastAsia="楷体"/>
          <w:sz w:val="24"/>
          <w:szCs w:val="24"/>
        </w:rPr>
        <w:t>08</w:t>
      </w:r>
      <w:r>
        <w:rPr>
          <w:rFonts w:hint="eastAsia" w:ascii="楷体" w:hAnsi="楷体" w:eastAsia="楷体"/>
          <w:sz w:val="24"/>
          <w:szCs w:val="24"/>
        </w:rPr>
        <w:t>月</w:t>
      </w:r>
      <w:r>
        <w:rPr>
          <w:rFonts w:ascii="楷体" w:hAnsi="楷体" w:eastAsia="楷体"/>
          <w:sz w:val="24"/>
          <w:szCs w:val="24"/>
        </w:rPr>
        <w:t>04</w:t>
      </w:r>
      <w:r>
        <w:rPr>
          <w:rFonts w:hint="eastAsia" w:ascii="楷体" w:hAnsi="楷体" w:eastAsia="楷体"/>
          <w:sz w:val="24"/>
          <w:szCs w:val="24"/>
        </w:rPr>
        <w:t>日止。</w:t>
      </w:r>
    </w:p>
    <w:p>
      <w:pPr>
        <w:tabs>
          <w:tab w:val="left" w:pos="6345"/>
        </w:tabs>
        <w:spacing w:line="560" w:lineRule="exact"/>
        <w:ind w:firstLine="590" w:firstLineChars="246"/>
        <w:rPr>
          <w:rFonts w:hint="eastAsia" w:ascii="楷体" w:hAnsi="楷体" w:eastAsia="楷体"/>
          <w:b/>
          <w:sz w:val="24"/>
          <w:szCs w:val="24"/>
        </w:rPr>
      </w:pPr>
      <w:r>
        <w:rPr>
          <w:rFonts w:ascii="楷体" w:hAnsi="楷体" w:eastAsia="楷体"/>
          <w:b/>
          <w:sz w:val="24"/>
          <w:szCs w:val="24"/>
        </w:rPr>
        <w:t>欲了解本评估项目的全面情况，</w:t>
      </w:r>
      <w:r>
        <w:rPr>
          <w:rFonts w:hint="eastAsia" w:ascii="楷体" w:hAnsi="楷体" w:eastAsia="楷体"/>
          <w:b/>
          <w:sz w:val="24"/>
          <w:szCs w:val="24"/>
        </w:rPr>
        <w:t>请</w:t>
      </w:r>
      <w:r>
        <w:rPr>
          <w:rFonts w:ascii="楷体" w:hAnsi="楷体" w:eastAsia="楷体"/>
          <w:b/>
          <w:sz w:val="24"/>
          <w:szCs w:val="24"/>
        </w:rPr>
        <w:t>阅读</w:t>
      </w:r>
      <w:r>
        <w:rPr>
          <w:rFonts w:hint="eastAsia" w:ascii="楷体" w:hAnsi="楷体" w:eastAsia="楷体"/>
          <w:b/>
          <w:sz w:val="24"/>
          <w:szCs w:val="24"/>
        </w:rPr>
        <w:t>本估价</w:t>
      </w:r>
      <w:r>
        <w:rPr>
          <w:rFonts w:ascii="楷体" w:hAnsi="楷体" w:eastAsia="楷体"/>
          <w:b/>
          <w:sz w:val="24"/>
          <w:szCs w:val="24"/>
        </w:rPr>
        <w:t>报告全文</w:t>
      </w:r>
      <w:r>
        <w:rPr>
          <w:rFonts w:hint="eastAsia" w:ascii="楷体" w:hAnsi="楷体" w:eastAsia="楷体"/>
          <w:b/>
          <w:sz w:val="24"/>
          <w:szCs w:val="24"/>
        </w:rPr>
        <w:t>。</w:t>
      </w:r>
    </w:p>
    <w:p>
      <w:pPr>
        <w:tabs>
          <w:tab w:val="left" w:pos="6345"/>
        </w:tabs>
        <w:spacing w:line="520" w:lineRule="exact"/>
        <w:ind w:firstLine="470" w:firstLineChars="196"/>
        <w:rPr>
          <w:rFonts w:hint="eastAsia" w:ascii="楷体" w:hAnsi="楷体" w:eastAsia="楷体"/>
          <w:color w:val="000000"/>
          <w:sz w:val="24"/>
        </w:rPr>
      </w:pPr>
      <w:r>
        <w:rPr>
          <w:rFonts w:hint="eastAsia" w:ascii="楷体" w:hAnsi="楷体" w:eastAsia="楷体"/>
          <w:color w:val="000000"/>
          <w:sz w:val="24"/>
        </w:rPr>
        <w:t xml:space="preserve">    </w:t>
      </w:r>
    </w:p>
    <w:p>
      <w:pPr>
        <w:rPr>
          <w:rFonts w:hint="eastAsia"/>
        </w:rPr>
      </w:pPr>
    </w:p>
    <w:p>
      <w:pPr>
        <w:pStyle w:val="4"/>
        <w:spacing w:line="520" w:lineRule="exact"/>
        <w:jc w:val="right"/>
        <w:rPr>
          <w:rFonts w:hint="eastAsia" w:ascii="楷体" w:hAnsi="楷体" w:eastAsia="楷体"/>
          <w:color w:val="000000"/>
          <w:sz w:val="24"/>
        </w:rPr>
      </w:pPr>
      <w:r>
        <w:rPr>
          <w:rFonts w:hint="eastAsia" w:ascii="楷体" w:hAnsi="楷体" w:eastAsia="楷体"/>
          <w:color w:val="000000"/>
          <w:sz w:val="24"/>
        </w:rPr>
        <w:t xml:space="preserve"> 福建明鉴资产评估房地产土地估价有限公司（公章）</w:t>
      </w:r>
    </w:p>
    <w:p>
      <w:pPr>
        <w:pStyle w:val="4"/>
        <w:spacing w:line="520" w:lineRule="exact"/>
        <w:ind w:firstLine="5280" w:firstLineChars="2200"/>
        <w:rPr>
          <w:rFonts w:hint="eastAsia" w:ascii="楷体" w:hAnsi="楷体" w:eastAsia="楷体"/>
        </w:rPr>
      </w:pPr>
      <w:r>
        <w:rPr>
          <w:rFonts w:hint="eastAsia" w:ascii="楷体" w:hAnsi="楷体" w:eastAsia="楷体"/>
          <w:color w:val="000000"/>
          <w:sz w:val="24"/>
        </w:rPr>
        <w:t>法定代表人：（签名或盖章）</w:t>
      </w:r>
      <w:r>
        <w:rPr>
          <w:rFonts w:hint="eastAsia" w:ascii="楷体" w:hAnsi="楷体" w:eastAsia="楷体"/>
        </w:rPr>
        <w:t xml:space="preserve">                     </w:t>
      </w:r>
      <w:r>
        <w:rPr>
          <w:rFonts w:hint="eastAsia" w:ascii="楷体" w:hAnsi="楷体" w:eastAsia="楷体"/>
          <w:color w:val="FF0000"/>
        </w:rPr>
        <w:t xml:space="preserve">        </w:t>
      </w:r>
      <w:r>
        <w:rPr>
          <w:rFonts w:hint="eastAsia" w:ascii="楷体" w:hAnsi="楷体" w:eastAsia="楷体"/>
        </w:rPr>
        <w:t xml:space="preserve">  </w:t>
      </w:r>
    </w:p>
    <w:p>
      <w:pPr>
        <w:pStyle w:val="4"/>
        <w:spacing w:line="520" w:lineRule="exact"/>
        <w:jc w:val="center"/>
        <w:rPr>
          <w:rFonts w:hint="eastAsia" w:ascii="楷体" w:hAnsi="楷体" w:eastAsia="楷体"/>
        </w:rPr>
      </w:pPr>
      <w:r>
        <w:rPr>
          <w:rFonts w:hint="eastAsia" w:ascii="楷体" w:hAnsi="楷体" w:eastAsia="楷体"/>
        </w:rPr>
        <w:t xml:space="preserve">                            </w:t>
      </w:r>
      <w:r>
        <w:rPr>
          <w:rFonts w:hint="eastAsia" w:ascii="楷体" w:hAnsi="楷体" w:eastAsia="楷体"/>
          <w:sz w:val="24"/>
        </w:rPr>
        <w:t>日期：2022年08月05日</w:t>
      </w:r>
    </w:p>
    <w:p>
      <w:pPr>
        <w:spacing w:before="158" w:beforeLines="50" w:after="158" w:afterLines="50" w:line="300" w:lineRule="auto"/>
        <w:jc w:val="center"/>
        <w:rPr>
          <w:rFonts w:hint="eastAsia" w:ascii="楷体" w:hAnsi="楷体" w:eastAsia="楷体"/>
          <w:b/>
          <w:bCs/>
          <w:color w:val="000000"/>
          <w:sz w:val="36"/>
          <w:szCs w:val="36"/>
        </w:rPr>
        <w:sectPr>
          <w:footerReference r:id="rId6" w:type="first"/>
          <w:footerReference r:id="rId5" w:type="default"/>
          <w:endnotePr>
            <w:numFmt w:val="decimal"/>
          </w:endnotePr>
          <w:pgSz w:w="11906" w:h="16838"/>
          <w:pgMar w:top="1191" w:right="1106" w:bottom="1191" w:left="1622" w:header="635" w:footer="567" w:gutter="0"/>
          <w:pgNumType w:start="1"/>
          <w:cols w:space="720" w:num="1"/>
          <w:docGrid w:type="linesAndChars" w:linePitch="317" w:charSpace="0"/>
        </w:sectPr>
      </w:pPr>
    </w:p>
    <w:p>
      <w:pPr>
        <w:spacing w:before="158" w:beforeLines="50" w:after="158" w:afterLines="50" w:line="300" w:lineRule="auto"/>
        <w:jc w:val="center"/>
        <w:rPr>
          <w:rFonts w:hint="eastAsia" w:ascii="楷体" w:hAnsi="楷体" w:eastAsia="楷体"/>
          <w:b/>
          <w:bCs/>
          <w:color w:val="000000"/>
          <w:sz w:val="36"/>
          <w:szCs w:val="36"/>
        </w:rPr>
      </w:pPr>
      <w:r>
        <w:rPr>
          <w:rFonts w:hint="eastAsia" w:ascii="楷体" w:hAnsi="楷体" w:eastAsia="楷体"/>
          <w:b/>
          <w:bCs/>
          <w:color w:val="000000"/>
          <w:sz w:val="36"/>
          <w:szCs w:val="36"/>
        </w:rPr>
        <w:t>目   录</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估价师声明……………………………………………………………1</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估价假设和限制条件……………………………………………………………2</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估价结果报告………………………………………………………………4</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一、估价委托人及相关当事人……………………………………………… 4</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二、房地产估价机构…………………………………………………………4</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三、估价目的…………………………………………………………………4</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四、估价对象…………………………………………………………………4</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五、价值时点…………………………………………………………………7</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六、价值类型………………………………………………………………7</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七、估价原则………………………………………………………………7</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八、估价依据………………………………………………………………8</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九、估价方法………………………………………………………………9</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十、估价结果………………………………………………………………9</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十一、注册房地产估价师……………………………………………………10</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十二、实地查勘期……………………………………………………………10</w:t>
      </w:r>
    </w:p>
    <w:p>
      <w:pPr>
        <w:spacing w:line="420" w:lineRule="exact"/>
        <w:ind w:right="777" w:rightChars="370" w:firstLine="314" w:firstLineChars="131"/>
        <w:jc w:val="distribute"/>
        <w:rPr>
          <w:rFonts w:hint="eastAsia" w:ascii="楷体" w:hAnsi="楷体" w:eastAsia="楷体"/>
          <w:sz w:val="24"/>
          <w:szCs w:val="24"/>
        </w:rPr>
      </w:pPr>
      <w:r>
        <w:rPr>
          <w:rFonts w:hint="eastAsia" w:ascii="楷体" w:hAnsi="楷体" w:eastAsia="楷体"/>
          <w:sz w:val="24"/>
          <w:szCs w:val="24"/>
        </w:rPr>
        <w:t xml:space="preserve">   十三、估价作业期………………………………………………………10</w:t>
      </w:r>
    </w:p>
    <w:p>
      <w:pPr>
        <w:spacing w:line="420" w:lineRule="exact"/>
        <w:ind w:right="777" w:rightChars="370" w:firstLine="314" w:firstLineChars="131"/>
        <w:jc w:val="distribute"/>
        <w:rPr>
          <w:rFonts w:ascii="楷体" w:hAnsi="楷体" w:eastAsia="楷体"/>
          <w:sz w:val="24"/>
          <w:szCs w:val="24"/>
        </w:rPr>
      </w:pPr>
      <w:r>
        <w:rPr>
          <w:rFonts w:hint="eastAsia" w:ascii="楷体" w:hAnsi="楷体" w:eastAsia="楷体"/>
          <w:sz w:val="24"/>
          <w:szCs w:val="24"/>
        </w:rPr>
        <w:t>附件………………………………………………………………………………</w:t>
      </w:r>
      <w:r>
        <w:rPr>
          <w:rFonts w:ascii="楷体" w:hAnsi="楷体" w:eastAsia="楷体"/>
          <w:sz w:val="24"/>
          <w:szCs w:val="24"/>
        </w:rPr>
        <w:t>11</w:t>
      </w:r>
    </w:p>
    <w:p>
      <w:pPr>
        <w:spacing w:line="420" w:lineRule="exact"/>
        <w:ind w:firstLine="480" w:firstLineChars="200"/>
        <w:rPr>
          <w:rFonts w:hint="eastAsia" w:ascii="楷体" w:hAnsi="楷体" w:eastAsia="楷体"/>
          <w:sz w:val="24"/>
        </w:rPr>
      </w:pPr>
      <w:r>
        <w:rPr>
          <w:rFonts w:hint="eastAsia" w:ascii="楷体" w:hAnsi="楷体" w:eastAsia="楷体"/>
          <w:sz w:val="24"/>
          <w:szCs w:val="24"/>
        </w:rPr>
        <w:t xml:space="preserve">  </w:t>
      </w:r>
      <w:r>
        <w:rPr>
          <w:rFonts w:hint="eastAsia" w:ascii="楷体" w:hAnsi="楷体" w:eastAsia="楷体"/>
          <w:sz w:val="24"/>
        </w:rPr>
        <w:t>1、江西省萍乡市中级人民法院《委托书》复印件；</w:t>
      </w:r>
    </w:p>
    <w:p>
      <w:pPr>
        <w:spacing w:line="420" w:lineRule="exact"/>
        <w:ind w:firstLine="720" w:firstLineChars="300"/>
        <w:rPr>
          <w:rFonts w:hint="eastAsia" w:ascii="楷体" w:hAnsi="楷体" w:eastAsia="楷体"/>
          <w:sz w:val="24"/>
        </w:rPr>
      </w:pPr>
      <w:r>
        <w:rPr>
          <w:rFonts w:hint="eastAsia" w:ascii="楷体" w:hAnsi="楷体" w:eastAsia="楷体"/>
          <w:sz w:val="24"/>
        </w:rPr>
        <w:t>2、估价对象权属证明文件复印件；</w:t>
      </w:r>
    </w:p>
    <w:p>
      <w:pPr>
        <w:spacing w:line="420" w:lineRule="exact"/>
        <w:ind w:firstLine="720" w:firstLineChars="300"/>
        <w:rPr>
          <w:rFonts w:hint="eastAsia" w:ascii="楷体" w:hAnsi="楷体" w:eastAsia="楷体"/>
          <w:sz w:val="24"/>
        </w:rPr>
      </w:pPr>
      <w:r>
        <w:rPr>
          <w:rFonts w:hint="eastAsia" w:ascii="楷体" w:hAnsi="楷体" w:eastAsia="楷体"/>
          <w:sz w:val="24"/>
        </w:rPr>
        <w:t>3、专业帮助情况和相关专业意见；</w:t>
      </w:r>
    </w:p>
    <w:p>
      <w:pPr>
        <w:spacing w:line="420" w:lineRule="exact"/>
        <w:ind w:firstLine="720" w:firstLineChars="300"/>
        <w:rPr>
          <w:rFonts w:hint="eastAsia" w:ascii="楷体" w:hAnsi="楷体" w:eastAsia="楷体"/>
          <w:sz w:val="24"/>
        </w:rPr>
      </w:pPr>
      <w:r>
        <w:rPr>
          <w:rFonts w:hint="eastAsia" w:ascii="楷体" w:hAnsi="楷体" w:eastAsia="楷体"/>
          <w:sz w:val="24"/>
        </w:rPr>
        <w:t>4、估价对象位置示意图；</w:t>
      </w:r>
    </w:p>
    <w:p>
      <w:pPr>
        <w:spacing w:line="420" w:lineRule="exact"/>
        <w:ind w:firstLine="720" w:firstLineChars="300"/>
        <w:rPr>
          <w:rFonts w:hint="eastAsia" w:ascii="楷体" w:hAnsi="楷体" w:eastAsia="楷体"/>
          <w:sz w:val="24"/>
        </w:rPr>
      </w:pPr>
      <w:r>
        <w:rPr>
          <w:rFonts w:hint="eastAsia" w:ascii="楷体" w:hAnsi="楷体" w:eastAsia="楷体"/>
          <w:sz w:val="24"/>
        </w:rPr>
        <w:t>5、估价对象现状照片；</w:t>
      </w:r>
    </w:p>
    <w:p>
      <w:pPr>
        <w:spacing w:line="420" w:lineRule="exact"/>
        <w:ind w:firstLine="720" w:firstLineChars="300"/>
        <w:rPr>
          <w:rFonts w:hint="eastAsia" w:ascii="楷体" w:hAnsi="楷体" w:eastAsia="楷体"/>
          <w:sz w:val="24"/>
        </w:rPr>
      </w:pPr>
      <w:r>
        <w:rPr>
          <w:rFonts w:hint="eastAsia" w:ascii="楷体" w:hAnsi="楷体" w:eastAsia="楷体"/>
          <w:sz w:val="24"/>
        </w:rPr>
        <w:t>6、房地产估价机构营业执照和估价资质证书复印件；</w:t>
      </w:r>
    </w:p>
    <w:p>
      <w:pPr>
        <w:spacing w:line="420" w:lineRule="exact"/>
        <w:ind w:firstLine="720" w:firstLineChars="300"/>
        <w:rPr>
          <w:rFonts w:hint="eastAsia" w:ascii="楷体" w:hAnsi="楷体" w:eastAsia="楷体"/>
          <w:sz w:val="24"/>
        </w:rPr>
      </w:pPr>
      <w:r>
        <w:rPr>
          <w:rFonts w:hint="eastAsia" w:ascii="楷体" w:hAnsi="楷体" w:eastAsia="楷体"/>
          <w:sz w:val="24"/>
        </w:rPr>
        <w:t>7、注册房地产估价师注册证书复印件；</w:t>
      </w:r>
    </w:p>
    <w:p>
      <w:pPr>
        <w:pStyle w:val="4"/>
        <w:spacing w:before="100" w:line="600" w:lineRule="exact"/>
        <w:jc w:val="center"/>
        <w:rPr>
          <w:rFonts w:hint="eastAsia" w:ascii="楷体" w:hAnsi="楷体" w:eastAsia="楷体"/>
          <w:b/>
          <w:sz w:val="44"/>
          <w:szCs w:val="44"/>
        </w:rPr>
        <w:sectPr>
          <w:headerReference r:id="rId7" w:type="first"/>
          <w:footerReference r:id="rId9" w:type="first"/>
          <w:footerReference r:id="rId8" w:type="default"/>
          <w:endnotePr>
            <w:numFmt w:val="decimal"/>
          </w:endnotePr>
          <w:pgSz w:w="11906" w:h="16838"/>
          <w:pgMar w:top="1191" w:right="1106" w:bottom="1191" w:left="1622" w:header="635" w:footer="567" w:gutter="0"/>
          <w:pgNumType w:start="1"/>
          <w:cols w:space="720" w:num="1"/>
          <w:titlePg/>
          <w:docGrid w:type="linesAndChars" w:linePitch="317" w:charSpace="0"/>
        </w:sectPr>
      </w:pPr>
    </w:p>
    <w:p>
      <w:pPr>
        <w:pStyle w:val="4"/>
        <w:spacing w:before="100" w:line="600" w:lineRule="exact"/>
        <w:jc w:val="center"/>
        <w:rPr>
          <w:rFonts w:hint="eastAsia" w:ascii="楷体" w:hAnsi="楷体" w:eastAsia="楷体"/>
          <w:b/>
          <w:sz w:val="44"/>
          <w:szCs w:val="44"/>
        </w:rPr>
      </w:pPr>
    </w:p>
    <w:p>
      <w:pPr>
        <w:pStyle w:val="4"/>
        <w:spacing w:before="100" w:line="600" w:lineRule="exact"/>
        <w:jc w:val="center"/>
        <w:rPr>
          <w:rFonts w:hint="eastAsia" w:ascii="楷体" w:hAnsi="楷体" w:eastAsia="楷体"/>
          <w:b/>
          <w:sz w:val="44"/>
          <w:szCs w:val="44"/>
        </w:rPr>
      </w:pPr>
      <w:r>
        <w:rPr>
          <w:rFonts w:hint="eastAsia" w:ascii="楷体" w:hAnsi="楷体" w:eastAsia="楷体"/>
          <w:b/>
          <w:sz w:val="44"/>
          <w:szCs w:val="44"/>
        </w:rPr>
        <w:t>估 价 师 声 明</w:t>
      </w:r>
    </w:p>
    <w:p>
      <w:pPr>
        <w:rPr>
          <w:rFonts w:hint="eastAsia" w:ascii="楷体" w:hAnsi="楷体" w:eastAsia="楷体"/>
        </w:rPr>
      </w:pPr>
    </w:p>
    <w:p>
      <w:pPr>
        <w:rPr>
          <w:rFonts w:hint="eastAsia" w:ascii="楷体" w:hAnsi="楷体" w:eastAsia="楷体"/>
        </w:rPr>
      </w:pPr>
    </w:p>
    <w:p>
      <w:pPr>
        <w:spacing w:line="500" w:lineRule="exact"/>
        <w:ind w:firstLine="600" w:firstLineChars="250"/>
        <w:rPr>
          <w:rFonts w:hint="eastAsia" w:ascii="楷体" w:hAnsi="楷体" w:eastAsia="楷体"/>
          <w:sz w:val="24"/>
          <w:szCs w:val="24"/>
        </w:rPr>
      </w:pPr>
      <w:r>
        <w:rPr>
          <w:rFonts w:hint="eastAsia" w:ascii="楷体" w:hAnsi="楷体" w:eastAsia="楷体"/>
          <w:sz w:val="24"/>
          <w:szCs w:val="24"/>
        </w:rPr>
        <w:t>我们根据自己的专业知识和职业道德，在此郑重声明：</w:t>
      </w:r>
    </w:p>
    <w:p>
      <w:pPr>
        <w:spacing w:line="500" w:lineRule="exact"/>
        <w:ind w:firstLine="628" w:firstLineChars="262"/>
        <w:rPr>
          <w:rFonts w:hint="eastAsia" w:ascii="楷体" w:hAnsi="楷体" w:eastAsia="楷体"/>
          <w:sz w:val="24"/>
        </w:rPr>
      </w:pPr>
      <w:r>
        <w:rPr>
          <w:rFonts w:hint="eastAsia" w:ascii="楷体" w:hAnsi="楷体" w:eastAsia="楷体"/>
          <w:sz w:val="24"/>
        </w:rPr>
        <w:t>1、就注册房地产估价师所知，我们在本估价报告中对事实的说明是真实和准确的，没有虚假记载、误导性陈述和重大遗漏。</w:t>
      </w:r>
    </w:p>
    <w:p>
      <w:pPr>
        <w:spacing w:line="500" w:lineRule="exact"/>
        <w:ind w:firstLine="628" w:firstLineChars="262"/>
        <w:rPr>
          <w:rFonts w:hint="eastAsia" w:ascii="楷体" w:hAnsi="楷体" w:eastAsia="楷体"/>
          <w:sz w:val="24"/>
        </w:rPr>
      </w:pPr>
      <w:r>
        <w:rPr>
          <w:rFonts w:hint="eastAsia" w:ascii="楷体" w:hAnsi="楷体" w:eastAsia="楷体"/>
          <w:sz w:val="24"/>
        </w:rPr>
        <w:t>2、本估价报告中的分析、意见和结论是注册房地产估价师独立、客观、公正的专业分析、意见和结论，但受到本估价报告中已说明的估价假设和限制条件的限制。</w:t>
      </w:r>
    </w:p>
    <w:p>
      <w:pPr>
        <w:spacing w:line="500" w:lineRule="exact"/>
        <w:ind w:firstLine="628" w:firstLineChars="262"/>
        <w:rPr>
          <w:rFonts w:hint="eastAsia" w:ascii="楷体" w:hAnsi="楷体" w:eastAsia="楷体"/>
          <w:sz w:val="24"/>
        </w:rPr>
      </w:pPr>
      <w:r>
        <w:rPr>
          <w:rFonts w:hint="eastAsia" w:ascii="楷体" w:hAnsi="楷体" w:eastAsia="楷体"/>
          <w:sz w:val="24"/>
        </w:rPr>
        <w:t>3、注册房地产估价师与本估价报告中的估价对象没有现实或潜在的利益，与估价委托人及估价利害关系人没有利害关系，也对估价报告中的估价对象、估价委托人及估价利害关系人没有偏见。</w:t>
      </w:r>
    </w:p>
    <w:p>
      <w:pPr>
        <w:spacing w:line="500" w:lineRule="exact"/>
        <w:ind w:firstLine="628" w:firstLineChars="262"/>
        <w:rPr>
          <w:rFonts w:hint="eastAsia" w:ascii="楷体" w:hAnsi="楷体" w:eastAsia="楷体"/>
          <w:sz w:val="24"/>
        </w:rPr>
      </w:pPr>
      <w:r>
        <w:rPr>
          <w:rFonts w:hint="eastAsia" w:ascii="楷体" w:hAnsi="楷体" w:eastAsia="楷体"/>
          <w:sz w:val="24"/>
        </w:rPr>
        <w:t>4、我们是依照中华人民共和国国家标准《房地产估价规范》（GB/T50291-2015）、《房地产估价基本术语标准》（GB/T50899-2013）进行分析，形成意见和结论，撰写本估价报告。</w:t>
      </w:r>
    </w:p>
    <w:p>
      <w:pPr>
        <w:spacing w:line="500" w:lineRule="exact"/>
        <w:ind w:firstLine="628" w:firstLineChars="262"/>
        <w:rPr>
          <w:rFonts w:ascii="楷体" w:hAnsi="楷体" w:eastAsia="楷体"/>
          <w:sz w:val="24"/>
        </w:rPr>
      </w:pPr>
      <w:r>
        <w:rPr>
          <w:rFonts w:hint="eastAsia" w:ascii="楷体" w:hAnsi="楷体" w:eastAsia="楷体"/>
          <w:sz w:val="24"/>
        </w:rPr>
        <w:t>5、对估价对象在价值时点的特定司法拍卖估价目的下的价值进行分析、测算和判断并提供相关专业意见，是注册房地产估价师的责任；提供必要的资料并保证所提供资料的真实性、合法性、完整性，恰当使用估价报告是委托人和诉讼活动当事人的责任。</w:t>
      </w:r>
    </w:p>
    <w:p>
      <w:pPr>
        <w:spacing w:line="500" w:lineRule="exact"/>
        <w:ind w:firstLine="628" w:firstLineChars="262"/>
        <w:rPr>
          <w:rFonts w:hint="eastAsia" w:ascii="楷体" w:hAnsi="楷体" w:eastAsia="楷体"/>
          <w:sz w:val="24"/>
        </w:rPr>
      </w:pPr>
      <w:r>
        <w:rPr>
          <w:rFonts w:hint="eastAsia" w:ascii="楷体" w:hAnsi="楷体" w:eastAsia="楷体"/>
          <w:sz w:val="24"/>
        </w:rPr>
        <w:t>6、若因估价程序或者估价依据的不完备，并非因注册房地产估价师的主观过错造成，则当事人不得对评估工作的固有瑕疵提出质疑，也不得因此对估价机构及其注册房地产估价师提出评估不当的指控，当事人应承担房地产司法评估结果可能带来的法律后果。</w:t>
      </w:r>
    </w:p>
    <w:p>
      <w:pPr>
        <w:spacing w:line="500" w:lineRule="exact"/>
        <w:ind w:firstLine="628" w:firstLineChars="262"/>
        <w:rPr>
          <w:rFonts w:hint="eastAsia" w:ascii="楷体" w:hAnsi="楷体" w:eastAsia="楷体"/>
          <w:sz w:val="24"/>
        </w:rPr>
      </w:pPr>
      <w:r>
        <w:rPr>
          <w:rFonts w:hint="eastAsia" w:ascii="楷体" w:hAnsi="楷体" w:eastAsia="楷体"/>
          <w:sz w:val="24"/>
        </w:rPr>
        <w:t>7、注册房地产估价师李大奇于2022年07月27日对估价对象进行了现场勘查。</w:t>
      </w:r>
    </w:p>
    <w:p>
      <w:pPr>
        <w:spacing w:line="500" w:lineRule="exact"/>
        <w:ind w:firstLine="600" w:firstLineChars="250"/>
        <w:rPr>
          <w:rFonts w:hint="eastAsia" w:ascii="楷体" w:hAnsi="楷体" w:eastAsia="楷体"/>
          <w:sz w:val="24"/>
        </w:rPr>
      </w:pPr>
      <w:r>
        <w:rPr>
          <w:rFonts w:hint="eastAsia" w:ascii="楷体" w:hAnsi="楷体" w:eastAsia="楷体"/>
          <w:sz w:val="24"/>
        </w:rPr>
        <w:t>8、没有人对本估价报告提供重要专业帮助。</w:t>
      </w:r>
    </w:p>
    <w:p>
      <w:pPr>
        <w:spacing w:line="500" w:lineRule="exact"/>
        <w:rPr>
          <w:rFonts w:hint="eastAsia" w:ascii="楷体" w:hAnsi="楷体" w:eastAsia="楷体"/>
          <w:sz w:val="24"/>
        </w:rPr>
      </w:pPr>
    </w:p>
    <w:p>
      <w:pPr>
        <w:spacing w:line="500" w:lineRule="exact"/>
        <w:rPr>
          <w:rFonts w:hint="eastAsia" w:ascii="楷体" w:hAnsi="楷体" w:eastAsia="楷体"/>
          <w:sz w:val="24"/>
        </w:rPr>
      </w:pPr>
    </w:p>
    <w:p>
      <w:pPr>
        <w:spacing w:line="500" w:lineRule="exact"/>
        <w:rPr>
          <w:rFonts w:hint="eastAsia" w:ascii="楷体" w:hAnsi="楷体" w:eastAsia="楷体"/>
          <w:sz w:val="24"/>
        </w:rPr>
      </w:pPr>
    </w:p>
    <w:p>
      <w:pPr>
        <w:spacing w:line="500" w:lineRule="exact"/>
        <w:rPr>
          <w:rFonts w:hint="eastAsia" w:ascii="楷体" w:hAnsi="楷体" w:eastAsia="楷体"/>
          <w:sz w:val="24"/>
        </w:rPr>
      </w:pPr>
    </w:p>
    <w:p>
      <w:pPr>
        <w:spacing w:line="500" w:lineRule="exact"/>
        <w:rPr>
          <w:rFonts w:hint="eastAsia" w:ascii="楷体" w:hAnsi="楷体" w:eastAsia="楷体"/>
          <w:sz w:val="24"/>
        </w:rPr>
      </w:pPr>
    </w:p>
    <w:p>
      <w:pPr>
        <w:jc w:val="center"/>
        <w:rPr>
          <w:rFonts w:hint="eastAsia" w:ascii="楷体" w:hAnsi="楷体" w:eastAsia="楷体"/>
          <w:b/>
          <w:bCs/>
          <w:color w:val="000000"/>
          <w:sz w:val="44"/>
        </w:rPr>
      </w:pPr>
      <w:r>
        <w:rPr>
          <w:rFonts w:hint="eastAsia" w:ascii="楷体" w:hAnsi="楷体" w:eastAsia="楷体"/>
          <w:b/>
          <w:bCs/>
          <w:color w:val="000000"/>
          <w:sz w:val="44"/>
        </w:rPr>
        <w:t>估价假设和限制条件</w:t>
      </w:r>
    </w:p>
    <w:p>
      <w:pPr>
        <w:spacing w:line="480" w:lineRule="exact"/>
        <w:jc w:val="center"/>
        <w:rPr>
          <w:rFonts w:hint="eastAsia" w:ascii="楷体" w:hAnsi="楷体" w:eastAsia="楷体"/>
          <w:b/>
          <w:bCs/>
          <w:color w:val="000000"/>
          <w:sz w:val="44"/>
        </w:rPr>
      </w:pPr>
    </w:p>
    <w:p>
      <w:pPr>
        <w:spacing w:line="510" w:lineRule="exact"/>
        <w:ind w:firstLine="482" w:firstLineChars="200"/>
        <w:rPr>
          <w:rFonts w:hint="eastAsia" w:ascii="楷体" w:hAnsi="楷体" w:eastAsia="楷体"/>
          <w:b/>
          <w:bCs/>
          <w:sz w:val="24"/>
          <w:szCs w:val="24"/>
        </w:rPr>
      </w:pPr>
      <w:bookmarkStart w:id="0" w:name="_Toc27733_WPSOffice_Level1"/>
      <w:r>
        <w:rPr>
          <w:rFonts w:hint="eastAsia" w:ascii="楷体" w:hAnsi="楷体" w:eastAsia="楷体"/>
          <w:b/>
          <w:bCs/>
          <w:sz w:val="24"/>
          <w:szCs w:val="24"/>
        </w:rPr>
        <w:t>一、估价假设</w:t>
      </w:r>
      <w:bookmarkEnd w:id="0"/>
    </w:p>
    <w:p>
      <w:pPr>
        <w:pStyle w:val="7"/>
        <w:shd w:val="clear" w:color="auto" w:fill="FFFFFF"/>
        <w:spacing w:before="0" w:beforeAutospacing="0" w:after="0" w:afterAutospacing="0" w:line="510" w:lineRule="exact"/>
        <w:ind w:firstLine="560"/>
        <w:rPr>
          <w:rFonts w:hint="eastAsia" w:ascii="楷体" w:hAnsi="楷体" w:eastAsia="楷体" w:cs="楷体"/>
        </w:rPr>
      </w:pPr>
      <w:r>
        <w:rPr>
          <w:rFonts w:hint="eastAsia" w:ascii="楷体" w:hAnsi="楷体" w:eastAsia="楷体" w:cs="楷体"/>
          <w:shd w:val="clear" w:color="auto" w:fill="FFFFFF"/>
        </w:rPr>
        <w:t>(一)一般假设</w:t>
      </w:r>
    </w:p>
    <w:p>
      <w:pPr>
        <w:pStyle w:val="7"/>
        <w:shd w:val="clear" w:color="auto" w:fill="FFFFFF"/>
        <w:spacing w:before="0" w:beforeAutospacing="0" w:after="0" w:afterAutospacing="0" w:line="510" w:lineRule="exact"/>
        <w:ind w:firstLine="560"/>
        <w:jc w:val="both"/>
        <w:rPr>
          <w:rFonts w:hint="eastAsia" w:ascii="楷体" w:hAnsi="楷体" w:eastAsia="楷体" w:cs="楷体"/>
        </w:rPr>
      </w:pPr>
      <w:r>
        <w:rPr>
          <w:rFonts w:hint="eastAsia" w:ascii="楷体" w:hAnsi="楷体" w:eastAsia="楷体" w:cs="楷体"/>
          <w:shd w:val="clear" w:color="auto" w:fill="FFFFFF"/>
        </w:rPr>
        <w:t>1、估价委托人提供了</w:t>
      </w:r>
      <w:r>
        <w:rPr>
          <w:rFonts w:hint="eastAsia" w:ascii="楷体" w:hAnsi="楷体" w:eastAsia="楷体"/>
          <w:shd w:val="clear" w:color="auto" w:fill="FFFFFF"/>
        </w:rPr>
        <w:t>《估价</w:t>
      </w:r>
      <w:r>
        <w:rPr>
          <w:rFonts w:ascii="楷体" w:hAnsi="楷体" w:eastAsia="楷体"/>
          <w:shd w:val="clear" w:color="auto" w:fill="FFFFFF"/>
        </w:rPr>
        <w:t>对象</w:t>
      </w:r>
      <w:r>
        <w:rPr>
          <w:rFonts w:hint="eastAsia" w:ascii="楷体" w:hAnsi="楷体" w:eastAsia="楷体"/>
          <w:shd w:val="clear" w:color="auto" w:fill="FFFFFF"/>
        </w:rPr>
        <w:t>明细表》、《不动产登记</w:t>
      </w:r>
      <w:r>
        <w:rPr>
          <w:rFonts w:ascii="楷体" w:hAnsi="楷体" w:eastAsia="楷体"/>
          <w:shd w:val="clear" w:color="auto" w:fill="FFFFFF"/>
        </w:rPr>
        <w:t>证明</w:t>
      </w:r>
      <w:r>
        <w:rPr>
          <w:rFonts w:hint="eastAsia" w:ascii="楷体" w:hAnsi="楷体" w:eastAsia="楷体"/>
          <w:shd w:val="clear" w:color="auto" w:fill="FFFFFF"/>
        </w:rPr>
        <w:t>》、</w:t>
      </w:r>
      <w:r>
        <w:rPr>
          <w:rFonts w:ascii="楷体" w:hAnsi="楷体" w:eastAsia="楷体"/>
          <w:shd w:val="clear" w:color="auto" w:fill="FFFFFF"/>
        </w:rPr>
        <w:t>《</w:t>
      </w:r>
      <w:r>
        <w:rPr>
          <w:rFonts w:hint="eastAsia" w:ascii="楷体" w:hAnsi="楷体" w:eastAsia="楷体"/>
          <w:shd w:val="clear" w:color="auto" w:fill="FFFFFF"/>
        </w:rPr>
        <w:t>土地</w:t>
      </w:r>
      <w:r>
        <w:rPr>
          <w:rFonts w:ascii="楷体" w:hAnsi="楷体" w:eastAsia="楷体"/>
          <w:shd w:val="clear" w:color="auto" w:fill="FFFFFF"/>
        </w:rPr>
        <w:t>使用权权证》</w:t>
      </w:r>
      <w:r>
        <w:rPr>
          <w:rFonts w:hint="eastAsia" w:ascii="楷体" w:hAnsi="楷体" w:eastAsia="楷体"/>
          <w:shd w:val="clear" w:color="auto" w:fill="FFFFFF"/>
        </w:rPr>
        <w:t>、</w:t>
      </w:r>
      <w:r>
        <w:rPr>
          <w:rFonts w:ascii="楷体" w:hAnsi="楷体" w:eastAsia="楷体"/>
          <w:shd w:val="clear" w:color="auto" w:fill="FFFFFF"/>
        </w:rPr>
        <w:t>《</w:t>
      </w:r>
      <w:r>
        <w:rPr>
          <w:rFonts w:hint="eastAsia" w:ascii="楷体" w:hAnsi="楷体" w:eastAsia="楷体"/>
          <w:shd w:val="clear" w:color="auto" w:fill="FFFFFF"/>
        </w:rPr>
        <w:t>房屋</w:t>
      </w:r>
      <w:r>
        <w:rPr>
          <w:rFonts w:ascii="楷体" w:hAnsi="楷体" w:eastAsia="楷体"/>
          <w:shd w:val="clear" w:color="auto" w:fill="FFFFFF"/>
        </w:rPr>
        <w:t>交易与产权档案管理系统</w:t>
      </w:r>
      <w:r>
        <w:rPr>
          <w:rFonts w:hint="eastAsia" w:ascii="楷体" w:hAnsi="楷体" w:eastAsia="楷体"/>
          <w:shd w:val="clear" w:color="auto" w:fill="FFFFFF"/>
        </w:rPr>
        <w:t>查询</w:t>
      </w:r>
      <w:r>
        <w:rPr>
          <w:rFonts w:ascii="楷体" w:hAnsi="楷体" w:eastAsia="楷体"/>
          <w:shd w:val="clear" w:color="auto" w:fill="FFFFFF"/>
        </w:rPr>
        <w:t>信息》</w:t>
      </w:r>
      <w:r>
        <w:rPr>
          <w:rFonts w:hint="eastAsia" w:ascii="楷体" w:hAnsi="楷体" w:eastAsia="楷体" w:cs="楷体"/>
          <w:shd w:val="clear" w:color="auto" w:fill="FFFFFF"/>
        </w:rPr>
        <w:t>、《建设</w:t>
      </w:r>
      <w:r>
        <w:rPr>
          <w:rFonts w:ascii="楷体" w:hAnsi="楷体" w:eastAsia="楷体" w:cs="楷体"/>
          <w:shd w:val="clear" w:color="auto" w:fill="FFFFFF"/>
        </w:rPr>
        <w:t>工程施工许可证</w:t>
      </w:r>
      <w:r>
        <w:rPr>
          <w:rFonts w:hint="eastAsia" w:ascii="楷体" w:hAnsi="楷体" w:eastAsia="楷体" w:cs="楷体"/>
          <w:shd w:val="clear" w:color="auto" w:fill="FFFFFF"/>
        </w:rPr>
        <w:t>》估价人员对估价委托人提供的估价对象的权属、面积、用途等资料进行了检查，在无理由怀疑其合法性、真实性、准确性和完整性的情况下，假设估价委托人提供的资料均合法、真实、准确和完整。纳入估价对象财产范围内的房地产权属明确，房屋、土地使用权权属无纠纷。估价委托人及有关当事方对其所提供资料的真实性、合法性、准确性和完整性承担责任。</w:t>
      </w:r>
    </w:p>
    <w:p>
      <w:pPr>
        <w:pStyle w:val="7"/>
        <w:shd w:val="clear" w:color="auto" w:fill="FFFFFF"/>
        <w:spacing w:before="0" w:beforeAutospacing="0" w:after="0" w:afterAutospacing="0" w:line="510" w:lineRule="exact"/>
        <w:ind w:firstLine="560"/>
        <w:jc w:val="both"/>
        <w:rPr>
          <w:rFonts w:hint="eastAsia" w:ascii="楷体" w:hAnsi="楷体" w:eastAsia="楷体" w:cs="楷体"/>
        </w:rPr>
      </w:pPr>
      <w:r>
        <w:rPr>
          <w:rFonts w:hint="eastAsia" w:ascii="楷体" w:hAnsi="楷体" w:eastAsia="楷体" w:cs="楷体"/>
          <w:shd w:val="clear" w:color="auto" w:fill="FFFFFF"/>
        </w:rPr>
        <w:t>2、估价对象在经济耐用年限内或批准的土地使用年限内能够按照本报告设定的用途正常使用并产生效益，</w:t>
      </w:r>
      <w:r>
        <w:rPr>
          <w:rFonts w:hint="eastAsia" w:ascii="楷体" w:hAnsi="楷体" w:eastAsia="楷体"/>
          <w:bCs/>
          <w:color w:val="000000"/>
        </w:rPr>
        <w:t>估价委托人引领估价人员实地查勘的估价对象与委托估价的估价对象一致，具有唯一性</w:t>
      </w:r>
      <w:r>
        <w:rPr>
          <w:rFonts w:hint="eastAsia" w:ascii="楷体" w:hAnsi="楷体" w:eastAsia="楷体" w:cs="楷体"/>
          <w:shd w:val="clear" w:color="auto" w:fill="FFFFFF"/>
        </w:rPr>
        <w:t>。</w:t>
      </w:r>
    </w:p>
    <w:p>
      <w:pPr>
        <w:pStyle w:val="7"/>
        <w:shd w:val="clear" w:color="auto" w:fill="FFFFFF"/>
        <w:spacing w:before="0" w:beforeAutospacing="0" w:after="0" w:afterAutospacing="0" w:line="510" w:lineRule="exact"/>
        <w:ind w:firstLine="560"/>
        <w:jc w:val="both"/>
        <w:rPr>
          <w:rFonts w:hint="eastAsia" w:ascii="楷体" w:hAnsi="楷体" w:eastAsia="楷体" w:cs="楷体"/>
        </w:rPr>
      </w:pPr>
      <w:r>
        <w:rPr>
          <w:rFonts w:hint="eastAsia" w:ascii="楷体" w:hAnsi="楷体" w:eastAsia="楷体" w:cs="楷体"/>
          <w:shd w:val="clear" w:color="auto" w:fill="FFFFFF"/>
        </w:rPr>
        <w:t>3、本报告对房屋安全、环境污染、质量缺陷、建筑面积、财务状况等影响估价对象价值的重大因素给予了关注，在无理由怀疑估价对象存在安全隐患且无相应的专业机构进行鉴定、检测的情况下，本报告以工程无结构性损害等质量缺陷，设备设施符合相关标准，装修符合相关标准（无空气污染、放射性辐射等），可以安全使用为假设前提。如果估价报告使用者对估价对象的房屋安全、环境污染及质量问题存疑，建议估价委托人聘请具有相应资质资格的专业机构或专家先行鉴定、检测或审计等，本房地产估价机构再以专业机构或专家出具的专业意见为依据进行估价。</w:t>
      </w:r>
    </w:p>
    <w:p>
      <w:pPr>
        <w:pStyle w:val="7"/>
        <w:shd w:val="clear" w:color="auto" w:fill="FFFFFF"/>
        <w:spacing w:before="0" w:beforeAutospacing="0" w:after="0" w:afterAutospacing="0" w:line="510" w:lineRule="exact"/>
        <w:ind w:firstLine="561"/>
        <w:jc w:val="both"/>
        <w:rPr>
          <w:rFonts w:hint="eastAsia" w:ascii="楷体" w:hAnsi="楷体" w:eastAsia="楷体" w:cs="楷体"/>
        </w:rPr>
      </w:pPr>
      <w:r>
        <w:rPr>
          <w:rFonts w:hint="eastAsia" w:ascii="楷体" w:hAnsi="楷体" w:eastAsia="楷体" w:cs="楷体"/>
          <w:shd w:val="clear" w:color="auto" w:fill="FFFFFF"/>
        </w:rPr>
        <w:t>4、本估价报告中估价对象的房屋面积以估价委托人提供的</w:t>
      </w:r>
      <w:r>
        <w:rPr>
          <w:rFonts w:ascii="楷体" w:hAnsi="楷体" w:eastAsia="楷体"/>
          <w:shd w:val="clear" w:color="auto" w:fill="FFFFFF"/>
        </w:rPr>
        <w:t>龙岩市住建局出具的</w:t>
      </w:r>
      <w:r>
        <w:rPr>
          <w:rFonts w:hint="eastAsia" w:ascii="楷体" w:hAnsi="楷体" w:eastAsia="楷体"/>
          <w:shd w:val="clear" w:color="auto" w:fill="FFFFFF"/>
        </w:rPr>
        <w:t>《估价</w:t>
      </w:r>
      <w:r>
        <w:rPr>
          <w:rFonts w:ascii="楷体" w:hAnsi="楷体" w:eastAsia="楷体"/>
          <w:shd w:val="clear" w:color="auto" w:fill="FFFFFF"/>
        </w:rPr>
        <w:t>对象</w:t>
      </w:r>
      <w:r>
        <w:rPr>
          <w:rFonts w:hint="eastAsia" w:ascii="楷体" w:hAnsi="楷体" w:eastAsia="楷体"/>
          <w:shd w:val="clear" w:color="auto" w:fill="FFFFFF"/>
        </w:rPr>
        <w:t>明细表》、</w:t>
      </w:r>
      <w:r>
        <w:rPr>
          <w:rFonts w:ascii="楷体" w:hAnsi="楷体" w:eastAsia="楷体"/>
          <w:shd w:val="clear" w:color="auto" w:fill="FFFFFF"/>
        </w:rPr>
        <w:t>《</w:t>
      </w:r>
      <w:r>
        <w:rPr>
          <w:rFonts w:hint="eastAsia" w:ascii="楷体" w:hAnsi="楷体" w:eastAsia="楷体"/>
          <w:shd w:val="clear" w:color="auto" w:fill="FFFFFF"/>
        </w:rPr>
        <w:t>房屋</w:t>
      </w:r>
      <w:r>
        <w:rPr>
          <w:rFonts w:ascii="楷体" w:hAnsi="楷体" w:eastAsia="楷体"/>
          <w:shd w:val="clear" w:color="auto" w:fill="FFFFFF"/>
        </w:rPr>
        <w:t>交易与产权档案管理系统</w:t>
      </w:r>
      <w:r>
        <w:rPr>
          <w:rFonts w:hint="eastAsia" w:ascii="楷体" w:hAnsi="楷体" w:eastAsia="楷体"/>
          <w:shd w:val="clear" w:color="auto" w:fill="FFFFFF"/>
        </w:rPr>
        <w:t>查询</w:t>
      </w:r>
      <w:r>
        <w:rPr>
          <w:rFonts w:ascii="楷体" w:hAnsi="楷体" w:eastAsia="楷体"/>
          <w:shd w:val="clear" w:color="auto" w:fill="FFFFFF"/>
        </w:rPr>
        <w:t>信息》</w:t>
      </w:r>
      <w:r>
        <w:rPr>
          <w:rFonts w:hint="eastAsia" w:ascii="楷体" w:hAnsi="楷体" w:eastAsia="楷体" w:cs="楷体"/>
          <w:shd w:val="clear" w:color="auto" w:fill="FFFFFF"/>
        </w:rPr>
        <w:t>确定的面积为准。如果估价报告使用者对估价对象的建筑面积存疑，建议估价委托人聘请具有相应资质资格的专业机构先行勘察、丈量，本估价机构再以专业机构出具的专业意见为依据进行估价。</w:t>
      </w:r>
    </w:p>
    <w:p>
      <w:pPr>
        <w:pStyle w:val="7"/>
        <w:shd w:val="clear" w:color="auto" w:fill="FFFFFF"/>
        <w:spacing w:before="0" w:beforeAutospacing="0" w:after="0" w:afterAutospacing="0" w:line="510" w:lineRule="exact"/>
        <w:ind w:firstLine="560"/>
        <w:jc w:val="both"/>
        <w:rPr>
          <w:rFonts w:ascii="楷体" w:hAnsi="楷体" w:eastAsia="楷体" w:cs="楷体"/>
          <w:shd w:val="clear" w:color="auto" w:fill="FFFFFF"/>
        </w:rPr>
      </w:pPr>
      <w:r>
        <w:rPr>
          <w:rFonts w:hint="eastAsia" w:ascii="楷体" w:hAnsi="楷体" w:eastAsia="楷体" w:cs="楷体"/>
          <w:shd w:val="clear" w:color="auto" w:fill="FFFFFF"/>
        </w:rPr>
        <w:t>5、</w:t>
      </w:r>
      <w:r>
        <w:rPr>
          <w:rFonts w:hint="eastAsia" w:ascii="楷体" w:hAnsi="楷体" w:eastAsia="楷体"/>
          <w:bCs/>
          <w:color w:val="000000"/>
        </w:rPr>
        <w:t>于价值时点，委托方未能明确估价对象是否存在欠缴税金及相关费用的情况，本次评估，假设估价对象不存在欠缴税金及相关费用的情况</w:t>
      </w:r>
      <w:r>
        <w:rPr>
          <w:rFonts w:hint="eastAsia" w:ascii="楷体" w:hAnsi="楷体" w:eastAsia="楷体" w:cs="楷体"/>
          <w:shd w:val="clear" w:color="auto" w:fill="FFFFFF"/>
        </w:rPr>
        <w:t>。</w:t>
      </w:r>
    </w:p>
    <w:p>
      <w:pPr>
        <w:pStyle w:val="7"/>
        <w:shd w:val="clear" w:color="auto" w:fill="FFFFFF"/>
        <w:spacing w:before="0" w:beforeAutospacing="0" w:after="0" w:afterAutospacing="0" w:line="460" w:lineRule="exact"/>
        <w:ind w:firstLine="561"/>
        <w:jc w:val="both"/>
        <w:rPr>
          <w:rFonts w:ascii="楷体" w:hAnsi="楷体" w:eastAsia="楷体" w:cs="楷体"/>
          <w:shd w:val="clear" w:color="auto" w:fill="FFFFFF"/>
        </w:rPr>
      </w:pPr>
      <w:r>
        <w:rPr>
          <w:rFonts w:hint="eastAsia" w:ascii="楷体" w:hAnsi="楷体" w:eastAsia="楷体" w:cs="楷体"/>
          <w:shd w:val="clear" w:color="auto" w:fill="FFFFFF"/>
        </w:rPr>
        <w:t>6、于价值时点，委托方未能提供估价对象是否存在租赁权及占有使用情况；现场勘查，估价对象为闲置，未发现估价对象可能存在租赁权及占有使用情况；故本次评估根据中房协关于印发《涉执房地产处置司法评估指导意见（试行）》的通知，设定估价对象不存在租赁权及占用使用情况。</w:t>
      </w:r>
    </w:p>
    <w:p>
      <w:pPr>
        <w:pStyle w:val="7"/>
        <w:shd w:val="clear" w:color="auto" w:fill="FFFFFF"/>
        <w:spacing w:before="0" w:beforeAutospacing="0" w:after="0" w:afterAutospacing="0" w:line="460" w:lineRule="exact"/>
        <w:ind w:firstLine="561"/>
        <w:jc w:val="both"/>
        <w:rPr>
          <w:rFonts w:hint="eastAsia" w:ascii="楷体" w:hAnsi="楷体" w:eastAsia="楷体" w:cs="楷体"/>
          <w:shd w:val="clear" w:color="auto" w:fill="FFFFFF"/>
        </w:rPr>
      </w:pPr>
      <w:r>
        <w:rPr>
          <w:rFonts w:hint="eastAsia" w:ascii="楷体" w:hAnsi="楷体" w:eastAsia="楷体" w:cs="楷体"/>
          <w:shd w:val="clear" w:color="auto" w:fill="FFFFFF"/>
        </w:rPr>
        <w:t>7、</w:t>
      </w:r>
      <w:r>
        <w:rPr>
          <w:rFonts w:hint="eastAsia" w:ascii="楷体" w:hAnsi="楷体" w:eastAsia="楷体"/>
          <w:bCs/>
          <w:color w:val="000000"/>
        </w:rPr>
        <w:t>于价值时点，委托方未提供估价对象</w:t>
      </w:r>
      <w:r>
        <w:rPr>
          <w:rFonts w:hint="eastAsia" w:ascii="楷体" w:hAnsi="楷体" w:eastAsia="楷体" w:cs="楷体"/>
          <w:shd w:val="clear" w:color="auto" w:fill="FFFFFF"/>
        </w:rPr>
        <w:t>是否</w:t>
      </w:r>
      <w:r>
        <w:rPr>
          <w:rFonts w:hint="eastAsia" w:ascii="楷体" w:hAnsi="楷体" w:eastAsia="楷体"/>
          <w:bCs/>
          <w:color w:val="000000"/>
        </w:rPr>
        <w:t>存在担保物权</w:t>
      </w:r>
      <w:r>
        <w:rPr>
          <w:rFonts w:ascii="楷体" w:hAnsi="楷体" w:eastAsia="楷体"/>
          <w:bCs/>
          <w:color w:val="000000"/>
        </w:rPr>
        <w:t>设立</w:t>
      </w:r>
      <w:r>
        <w:rPr>
          <w:rFonts w:hint="eastAsia" w:ascii="楷体" w:hAnsi="楷体" w:eastAsia="楷体"/>
          <w:bCs/>
          <w:color w:val="000000"/>
        </w:rPr>
        <w:t>的情况资料，根据调查</w:t>
      </w:r>
      <w:r>
        <w:rPr>
          <w:rFonts w:ascii="楷体" w:hAnsi="楷体" w:eastAsia="楷体"/>
          <w:bCs/>
          <w:color w:val="000000"/>
        </w:rPr>
        <w:t>了解，</w:t>
      </w:r>
      <w:r>
        <w:rPr>
          <w:rFonts w:hint="eastAsia" w:ascii="楷体" w:hAnsi="楷体" w:eastAsia="楷体" w:cs="楷体"/>
          <w:shd w:val="clear" w:color="auto" w:fill="FFFFFF"/>
        </w:rPr>
        <w:t>未发现估价对象可能存在</w:t>
      </w:r>
      <w:r>
        <w:rPr>
          <w:rFonts w:hint="eastAsia" w:ascii="楷体" w:hAnsi="楷体" w:eastAsia="楷体"/>
          <w:bCs/>
          <w:color w:val="000000"/>
        </w:rPr>
        <w:t>担保物权</w:t>
      </w:r>
      <w:r>
        <w:rPr>
          <w:rFonts w:ascii="楷体" w:hAnsi="楷体" w:eastAsia="楷体"/>
          <w:bCs/>
          <w:color w:val="000000"/>
        </w:rPr>
        <w:t>设立</w:t>
      </w:r>
      <w:r>
        <w:rPr>
          <w:rFonts w:hint="eastAsia" w:ascii="楷体" w:hAnsi="楷体" w:eastAsia="楷体" w:cs="楷体"/>
          <w:shd w:val="clear" w:color="auto" w:fill="FFFFFF"/>
        </w:rPr>
        <w:t>情况，故本次评估根据中房协关于印发《涉执房地产处置司法评估指导意见（试行）》的通知，设定估价对象不存在</w:t>
      </w:r>
      <w:r>
        <w:rPr>
          <w:rFonts w:hint="eastAsia" w:ascii="楷体" w:hAnsi="楷体" w:eastAsia="楷体"/>
          <w:bCs/>
          <w:color w:val="000000"/>
        </w:rPr>
        <w:t>担保物权</w:t>
      </w:r>
      <w:r>
        <w:rPr>
          <w:rFonts w:ascii="楷体" w:hAnsi="楷体" w:eastAsia="楷体"/>
          <w:bCs/>
          <w:color w:val="000000"/>
        </w:rPr>
        <w:t>设立</w:t>
      </w:r>
      <w:r>
        <w:rPr>
          <w:rFonts w:hint="eastAsia" w:ascii="楷体" w:hAnsi="楷体" w:eastAsia="楷体" w:cs="楷体"/>
          <w:shd w:val="clear" w:color="auto" w:fill="FFFFFF"/>
        </w:rPr>
        <w:t>情况。</w:t>
      </w:r>
    </w:p>
    <w:p>
      <w:pPr>
        <w:pStyle w:val="7"/>
        <w:shd w:val="clear" w:color="auto" w:fill="FFFFFF"/>
        <w:spacing w:before="0" w:beforeAutospacing="0" w:after="0" w:afterAutospacing="0" w:line="460" w:lineRule="exact"/>
        <w:ind w:firstLine="561"/>
        <w:jc w:val="both"/>
        <w:rPr>
          <w:rFonts w:hint="eastAsia" w:ascii="楷体" w:hAnsi="楷体" w:eastAsia="楷体" w:cs="楷体"/>
        </w:rPr>
      </w:pPr>
      <w:r>
        <w:rPr>
          <w:rFonts w:hint="eastAsia" w:ascii="楷体" w:hAnsi="楷体" w:eastAsia="楷体" w:cs="楷体"/>
          <w:shd w:val="clear" w:color="auto" w:fill="FFFFFF"/>
        </w:rPr>
        <w:t xml:space="preserve"> (二)未定事项假设</w:t>
      </w:r>
    </w:p>
    <w:p>
      <w:pPr>
        <w:pStyle w:val="7"/>
        <w:shd w:val="clear" w:color="auto" w:fill="FFFFFF"/>
        <w:spacing w:before="0" w:beforeAutospacing="0" w:after="0" w:afterAutospacing="0" w:line="460" w:lineRule="exact"/>
        <w:ind w:firstLine="561"/>
        <w:jc w:val="both"/>
        <w:rPr>
          <w:rFonts w:ascii="楷体" w:hAnsi="楷体" w:eastAsia="楷体" w:cs="楷体"/>
          <w:shd w:val="clear" w:color="auto" w:fill="FFFFFF"/>
        </w:rPr>
      </w:pPr>
      <w:r>
        <w:rPr>
          <w:rFonts w:hint="eastAsia" w:ascii="楷体" w:hAnsi="楷体" w:eastAsia="楷体" w:cs="楷体"/>
          <w:shd w:val="clear" w:color="auto" w:fill="FFFFFF"/>
        </w:rPr>
        <w:t>1、假设在价值时点后，宏观经济形势不会出现重大变化，估价对象所处地区的房地产市场供应关系不会出现重大变化，并且无不可抗力对估价对象造成重大影响。</w:t>
      </w:r>
    </w:p>
    <w:p>
      <w:pPr>
        <w:pStyle w:val="7"/>
        <w:shd w:val="clear" w:color="auto" w:fill="FFFFFF"/>
        <w:spacing w:before="0" w:beforeAutospacing="0" w:after="0" w:afterAutospacing="0" w:line="460" w:lineRule="exact"/>
        <w:ind w:firstLine="561"/>
        <w:jc w:val="both"/>
        <w:rPr>
          <w:rFonts w:ascii="楷体" w:hAnsi="楷体" w:eastAsia="楷体" w:cs="楷体"/>
          <w:shd w:val="clear" w:color="auto" w:fill="FFFFFF"/>
        </w:rPr>
      </w:pPr>
      <w:r>
        <w:rPr>
          <w:rFonts w:hint="eastAsia" w:ascii="楷体" w:hAnsi="楷体" w:eastAsia="楷体" w:cs="楷体"/>
          <w:shd w:val="clear" w:color="auto" w:fill="FFFFFF"/>
        </w:rPr>
        <w:t>2、</w:t>
      </w:r>
      <w:r>
        <w:rPr>
          <w:rFonts w:hint="eastAsia" w:ascii="楷体" w:hAnsi="楷体" w:eastAsia="楷体"/>
          <w:b/>
          <w:shd w:val="clear" w:color="auto" w:fill="FFFFFF"/>
        </w:rPr>
        <w:t>本次估价</w:t>
      </w:r>
      <w:r>
        <w:rPr>
          <w:rFonts w:ascii="楷体" w:hAnsi="楷体" w:eastAsia="楷体"/>
          <w:b/>
          <w:shd w:val="clear" w:color="auto" w:fill="FFFFFF"/>
        </w:rPr>
        <w:t>对象为期房</w:t>
      </w:r>
      <w:r>
        <w:rPr>
          <w:rFonts w:hint="eastAsia" w:ascii="楷体" w:hAnsi="楷体" w:eastAsia="楷体"/>
          <w:b/>
          <w:shd w:val="clear" w:color="auto" w:fill="FFFFFF"/>
        </w:rPr>
        <w:t>（在建</w:t>
      </w:r>
      <w:r>
        <w:rPr>
          <w:rFonts w:ascii="楷体" w:hAnsi="楷体" w:eastAsia="楷体"/>
          <w:b/>
          <w:shd w:val="clear" w:color="auto" w:fill="FFFFFF"/>
        </w:rPr>
        <w:t>工程</w:t>
      </w:r>
      <w:r>
        <w:rPr>
          <w:rFonts w:hint="eastAsia" w:ascii="楷体" w:hAnsi="楷体" w:eastAsia="楷体"/>
          <w:b/>
          <w:shd w:val="clear" w:color="auto" w:fill="FFFFFF"/>
        </w:rPr>
        <w:t>），</w:t>
      </w:r>
      <w:r>
        <w:rPr>
          <w:rFonts w:ascii="楷体" w:hAnsi="楷体" w:eastAsia="楷体"/>
          <w:b/>
          <w:shd w:val="clear" w:color="auto" w:fill="FFFFFF"/>
        </w:rPr>
        <w:t>本次估价</w:t>
      </w:r>
      <w:r>
        <w:rPr>
          <w:rFonts w:hint="eastAsia" w:ascii="楷体" w:hAnsi="楷体" w:eastAsia="楷体"/>
          <w:b/>
          <w:shd w:val="clear" w:color="auto" w:fill="FFFFFF"/>
        </w:rPr>
        <w:t>是假设其</w:t>
      </w:r>
      <w:r>
        <w:rPr>
          <w:rFonts w:ascii="楷体" w:hAnsi="楷体" w:eastAsia="楷体"/>
          <w:b/>
          <w:shd w:val="clear" w:color="auto" w:fill="FFFFFF"/>
        </w:rPr>
        <w:t>可按时完工</w:t>
      </w:r>
      <w:r>
        <w:rPr>
          <w:rFonts w:hint="eastAsia" w:ascii="楷体" w:hAnsi="楷体" w:eastAsia="楷体"/>
          <w:b/>
          <w:shd w:val="clear" w:color="auto" w:fill="FFFFFF"/>
        </w:rPr>
        <w:t>并</w:t>
      </w:r>
      <w:r>
        <w:rPr>
          <w:rFonts w:ascii="楷体" w:hAnsi="楷体" w:eastAsia="楷体"/>
          <w:b/>
          <w:shd w:val="clear" w:color="auto" w:fill="FFFFFF"/>
        </w:rPr>
        <w:t>交付使用的情况下</w:t>
      </w:r>
      <w:r>
        <w:rPr>
          <w:rFonts w:hint="eastAsia" w:ascii="楷体" w:hAnsi="楷体" w:eastAsia="楷体"/>
          <w:b/>
          <w:shd w:val="clear" w:color="auto" w:fill="FFFFFF"/>
        </w:rPr>
        <w:t>进行</w:t>
      </w:r>
      <w:r>
        <w:rPr>
          <w:rFonts w:ascii="楷体" w:hAnsi="楷体" w:eastAsia="楷体"/>
          <w:b/>
          <w:shd w:val="clear" w:color="auto" w:fill="FFFFFF"/>
        </w:rPr>
        <w:t>估价</w:t>
      </w:r>
      <w:r>
        <w:rPr>
          <w:rFonts w:hint="eastAsia" w:ascii="楷体" w:hAnsi="楷体" w:eastAsia="楷体"/>
          <w:b/>
          <w:shd w:val="clear" w:color="auto" w:fill="FFFFFF"/>
        </w:rPr>
        <w:t>，</w:t>
      </w:r>
      <w:r>
        <w:rPr>
          <w:rFonts w:ascii="楷体" w:hAnsi="楷体" w:eastAsia="楷体"/>
          <w:b/>
          <w:shd w:val="clear" w:color="auto" w:fill="FFFFFF"/>
        </w:rPr>
        <w:t>本次估价未考虑估价对象成交后</w:t>
      </w:r>
      <w:r>
        <w:rPr>
          <w:rFonts w:hint="eastAsia" w:ascii="楷体" w:hAnsi="楷体" w:eastAsia="楷体"/>
          <w:b/>
          <w:shd w:val="clear" w:color="auto" w:fill="FFFFFF"/>
        </w:rPr>
        <w:t>过户、</w:t>
      </w:r>
      <w:r>
        <w:rPr>
          <w:rFonts w:ascii="楷体" w:hAnsi="楷体" w:eastAsia="楷体"/>
          <w:b/>
          <w:shd w:val="clear" w:color="auto" w:fill="FFFFFF"/>
        </w:rPr>
        <w:t>可能延期交付等事项对估价结果的影响</w:t>
      </w:r>
      <w:r>
        <w:rPr>
          <w:rFonts w:hint="eastAsia" w:ascii="楷体" w:hAnsi="楷体" w:eastAsia="楷体" w:cs="楷体"/>
          <w:shd w:val="clear" w:color="auto" w:fill="FFFFFF"/>
        </w:rPr>
        <w:t>。</w:t>
      </w:r>
    </w:p>
    <w:p>
      <w:pPr>
        <w:pStyle w:val="7"/>
        <w:shd w:val="clear" w:color="auto" w:fill="FFFFFF"/>
        <w:spacing w:before="0" w:beforeAutospacing="0" w:after="0" w:afterAutospacing="0" w:line="460" w:lineRule="exact"/>
        <w:ind w:firstLine="561"/>
        <w:jc w:val="both"/>
        <w:rPr>
          <w:rFonts w:hint="eastAsia" w:ascii="楷体" w:hAnsi="楷体" w:eastAsia="楷体" w:cs="楷体"/>
          <w:shd w:val="clear" w:color="auto" w:fill="FFFFFF"/>
        </w:rPr>
      </w:pPr>
      <w:r>
        <w:rPr>
          <w:rFonts w:hint="eastAsia" w:ascii="楷体" w:hAnsi="楷体" w:eastAsia="楷体" w:cs="楷体"/>
          <w:shd w:val="clear" w:color="auto" w:fill="FFFFFF"/>
        </w:rPr>
        <w:t xml:space="preserve"> (三)背离事实假设</w:t>
      </w:r>
    </w:p>
    <w:p>
      <w:pPr>
        <w:pStyle w:val="7"/>
        <w:shd w:val="clear" w:color="auto" w:fill="FFFFFF"/>
        <w:spacing w:before="0" w:beforeAutospacing="0" w:after="0" w:afterAutospacing="0" w:line="460" w:lineRule="exact"/>
        <w:ind w:firstLine="561"/>
        <w:jc w:val="both"/>
        <w:rPr>
          <w:rFonts w:ascii="楷体" w:hAnsi="楷体" w:eastAsia="楷体" w:cs="楷体"/>
          <w:shd w:val="clear" w:color="auto" w:fill="FFFFFF"/>
        </w:rPr>
      </w:pPr>
      <w:r>
        <w:rPr>
          <w:rFonts w:hint="eastAsia" w:ascii="楷体" w:hAnsi="楷体" w:eastAsia="楷体" w:cs="楷体"/>
          <w:shd w:val="clear" w:color="auto" w:fill="FFFFFF"/>
        </w:rPr>
        <w:t>于价值时点，根据委托方</w:t>
      </w:r>
      <w:r>
        <w:rPr>
          <w:rFonts w:ascii="楷体" w:hAnsi="楷体" w:eastAsia="楷体" w:cs="楷体"/>
          <w:shd w:val="clear" w:color="auto" w:fill="FFFFFF"/>
        </w:rPr>
        <w:t>提供的资料，</w:t>
      </w:r>
      <w:r>
        <w:rPr>
          <w:rFonts w:hint="eastAsia" w:ascii="楷体" w:hAnsi="楷体" w:eastAsia="楷体" w:cs="楷体"/>
          <w:shd w:val="clear" w:color="auto" w:fill="FFFFFF"/>
        </w:rPr>
        <w:t>估价</w:t>
      </w:r>
      <w:r>
        <w:rPr>
          <w:rFonts w:ascii="楷体" w:hAnsi="楷体" w:eastAsia="楷体" w:cs="楷体"/>
          <w:shd w:val="clear" w:color="auto" w:fill="FFFFFF"/>
        </w:rPr>
        <w:t>对象已被查封，现被</w:t>
      </w:r>
      <w:r>
        <w:rPr>
          <w:rFonts w:hint="eastAsia" w:ascii="楷体" w:hAnsi="楷体" w:eastAsia="楷体" w:cs="楷体"/>
          <w:shd w:val="clear" w:color="auto" w:fill="FFFFFF"/>
        </w:rPr>
        <w:t>江西省萍乡市中级人民法院</w:t>
      </w:r>
      <w:r>
        <w:rPr>
          <w:rFonts w:ascii="楷体" w:hAnsi="楷体" w:eastAsia="楷体" w:cs="楷体"/>
          <w:shd w:val="clear" w:color="auto" w:fill="FFFFFF"/>
        </w:rPr>
        <w:t>强制拍卖，本次</w:t>
      </w:r>
      <w:r>
        <w:rPr>
          <w:rFonts w:hint="eastAsia" w:ascii="楷体" w:hAnsi="楷体" w:eastAsia="楷体" w:cs="楷体"/>
          <w:shd w:val="clear" w:color="auto" w:fill="FFFFFF"/>
        </w:rPr>
        <w:t>估价</w:t>
      </w:r>
      <w:r>
        <w:rPr>
          <w:rFonts w:ascii="楷体" w:hAnsi="楷体" w:eastAsia="楷体" w:cs="楷体"/>
          <w:shd w:val="clear" w:color="auto" w:fill="FFFFFF"/>
        </w:rPr>
        <w:t>未</w:t>
      </w:r>
      <w:r>
        <w:rPr>
          <w:rFonts w:hint="eastAsia" w:ascii="楷体" w:hAnsi="楷体" w:eastAsia="楷体" w:cs="楷体"/>
          <w:shd w:val="clear" w:color="auto" w:fill="FFFFFF"/>
        </w:rPr>
        <w:t>考虑</w:t>
      </w:r>
      <w:r>
        <w:rPr>
          <w:rFonts w:ascii="楷体" w:hAnsi="楷体" w:eastAsia="楷体" w:cs="楷体"/>
          <w:shd w:val="clear" w:color="auto" w:fill="FFFFFF"/>
        </w:rPr>
        <w:t>查封事项对估价结果的影响</w:t>
      </w:r>
      <w:r>
        <w:rPr>
          <w:rFonts w:hint="eastAsia" w:ascii="楷体" w:hAnsi="楷体" w:eastAsia="楷体" w:cs="楷体"/>
          <w:shd w:val="clear" w:color="auto" w:fill="FFFFFF"/>
        </w:rPr>
        <w:t>。</w:t>
      </w:r>
    </w:p>
    <w:p>
      <w:pPr>
        <w:pStyle w:val="7"/>
        <w:shd w:val="clear" w:color="auto" w:fill="FFFFFF"/>
        <w:spacing w:before="0" w:beforeAutospacing="0" w:after="0" w:afterAutospacing="0" w:line="460" w:lineRule="exact"/>
        <w:ind w:firstLine="561"/>
        <w:jc w:val="both"/>
        <w:rPr>
          <w:rFonts w:hint="eastAsia" w:ascii="楷体" w:hAnsi="楷体" w:eastAsia="楷体" w:cs="楷体"/>
          <w:shd w:val="clear" w:color="auto" w:fill="FFFFFF"/>
        </w:rPr>
      </w:pPr>
      <w:r>
        <w:rPr>
          <w:rFonts w:hint="eastAsia" w:ascii="楷体" w:hAnsi="楷体" w:eastAsia="楷体" w:cs="楷体"/>
          <w:shd w:val="clear" w:color="auto" w:fill="FFFFFF"/>
        </w:rPr>
        <w:t xml:space="preserve"> (四)不相一致假设</w:t>
      </w:r>
    </w:p>
    <w:p>
      <w:pPr>
        <w:pStyle w:val="7"/>
        <w:shd w:val="clear" w:color="auto" w:fill="FFFFFF"/>
        <w:spacing w:before="0" w:beforeAutospacing="0" w:after="0" w:afterAutospacing="0" w:line="460" w:lineRule="exact"/>
        <w:ind w:firstLine="561"/>
        <w:jc w:val="both"/>
        <w:rPr>
          <w:rFonts w:hint="eastAsia" w:ascii="楷体" w:hAnsi="楷体" w:eastAsia="楷体" w:cs="楷体"/>
        </w:rPr>
      </w:pPr>
      <w:r>
        <w:rPr>
          <w:rFonts w:hint="eastAsia" w:ascii="楷体" w:hAnsi="楷体" w:eastAsia="楷体" w:cs="楷体"/>
          <w:shd w:val="clear" w:color="auto" w:fill="FFFFFF"/>
        </w:rPr>
        <w:t>本估价项目不存在不相一致事项，故本估价报告无不相一致假设。</w:t>
      </w:r>
    </w:p>
    <w:p>
      <w:pPr>
        <w:pStyle w:val="7"/>
        <w:shd w:val="clear" w:color="auto" w:fill="FFFFFF"/>
        <w:spacing w:before="0" w:beforeAutospacing="0" w:after="0" w:afterAutospacing="0" w:line="460" w:lineRule="exact"/>
        <w:ind w:firstLine="561"/>
        <w:jc w:val="both"/>
        <w:rPr>
          <w:rFonts w:hint="eastAsia" w:ascii="楷体" w:hAnsi="楷体" w:eastAsia="楷体" w:cs="楷体"/>
        </w:rPr>
      </w:pPr>
      <w:r>
        <w:rPr>
          <w:rFonts w:hint="eastAsia" w:ascii="楷体" w:hAnsi="楷体" w:eastAsia="楷体" w:cs="楷体"/>
          <w:shd w:val="clear" w:color="auto" w:fill="FFFFFF"/>
        </w:rPr>
        <w:t>(五)依据不足假设</w:t>
      </w:r>
    </w:p>
    <w:p>
      <w:pPr>
        <w:pStyle w:val="7"/>
        <w:shd w:val="clear" w:color="auto" w:fill="FFFFFF"/>
        <w:spacing w:before="0" w:beforeAutospacing="0" w:after="0" w:afterAutospacing="0" w:line="460" w:lineRule="exact"/>
        <w:ind w:firstLine="561"/>
        <w:jc w:val="both"/>
        <w:rPr>
          <w:rFonts w:hint="eastAsia" w:ascii="楷体" w:hAnsi="楷体" w:eastAsia="楷体" w:cs="楷体"/>
          <w:shd w:val="clear" w:color="auto" w:fill="FFFFFF"/>
        </w:rPr>
      </w:pPr>
      <w:r>
        <w:rPr>
          <w:rFonts w:hint="eastAsia" w:ascii="楷体" w:hAnsi="楷体" w:eastAsia="楷体"/>
          <w:shd w:val="clear" w:color="auto" w:fill="FFFFFF"/>
        </w:rPr>
        <w:t>本次估价根据委托方提供的由</w:t>
      </w:r>
      <w:r>
        <w:rPr>
          <w:rFonts w:ascii="楷体" w:hAnsi="楷体" w:eastAsia="楷体"/>
          <w:shd w:val="clear" w:color="auto" w:fill="FFFFFF"/>
        </w:rPr>
        <w:t>龙岩市住建局出具的</w:t>
      </w:r>
      <w:r>
        <w:rPr>
          <w:rFonts w:hint="eastAsia" w:ascii="楷体" w:hAnsi="楷体" w:eastAsia="楷体"/>
          <w:shd w:val="clear" w:color="auto" w:fill="FFFFFF"/>
        </w:rPr>
        <w:t>《估价</w:t>
      </w:r>
      <w:r>
        <w:rPr>
          <w:rFonts w:ascii="楷体" w:hAnsi="楷体" w:eastAsia="楷体"/>
          <w:shd w:val="clear" w:color="auto" w:fill="FFFFFF"/>
        </w:rPr>
        <w:t>对象</w:t>
      </w:r>
      <w:r>
        <w:rPr>
          <w:rFonts w:hint="eastAsia" w:ascii="楷体" w:hAnsi="楷体" w:eastAsia="楷体"/>
          <w:shd w:val="clear" w:color="auto" w:fill="FFFFFF"/>
        </w:rPr>
        <w:t>明细表》、《不动产登记</w:t>
      </w:r>
      <w:r>
        <w:rPr>
          <w:rFonts w:ascii="楷体" w:hAnsi="楷体" w:eastAsia="楷体"/>
          <w:shd w:val="clear" w:color="auto" w:fill="FFFFFF"/>
        </w:rPr>
        <w:t>证明</w:t>
      </w:r>
      <w:r>
        <w:rPr>
          <w:rFonts w:hint="eastAsia" w:ascii="楷体" w:hAnsi="楷体" w:eastAsia="楷体"/>
          <w:shd w:val="clear" w:color="auto" w:fill="FFFFFF"/>
        </w:rPr>
        <w:t>》、</w:t>
      </w:r>
      <w:r>
        <w:rPr>
          <w:rFonts w:ascii="楷体" w:hAnsi="楷体" w:eastAsia="楷体"/>
          <w:shd w:val="clear" w:color="auto" w:fill="FFFFFF"/>
        </w:rPr>
        <w:t>《</w:t>
      </w:r>
      <w:r>
        <w:rPr>
          <w:rFonts w:hint="eastAsia" w:ascii="楷体" w:hAnsi="楷体" w:eastAsia="楷体"/>
          <w:shd w:val="clear" w:color="auto" w:fill="FFFFFF"/>
        </w:rPr>
        <w:t>国有</w:t>
      </w:r>
      <w:r>
        <w:rPr>
          <w:rFonts w:ascii="楷体" w:hAnsi="楷体" w:eastAsia="楷体"/>
          <w:shd w:val="clear" w:color="auto" w:fill="FFFFFF"/>
        </w:rPr>
        <w:t>土地使用权证》</w:t>
      </w:r>
      <w:r>
        <w:rPr>
          <w:rFonts w:hint="eastAsia" w:ascii="楷体" w:hAnsi="楷体" w:eastAsia="楷体"/>
          <w:shd w:val="clear" w:color="auto" w:fill="FFFFFF"/>
        </w:rPr>
        <w:t>、</w:t>
      </w:r>
      <w:r>
        <w:rPr>
          <w:rFonts w:ascii="楷体" w:hAnsi="楷体" w:eastAsia="楷体"/>
          <w:shd w:val="clear" w:color="auto" w:fill="FFFFFF"/>
        </w:rPr>
        <w:t>《</w:t>
      </w:r>
      <w:r>
        <w:rPr>
          <w:rFonts w:hint="eastAsia" w:ascii="楷体" w:hAnsi="楷体" w:eastAsia="楷体"/>
          <w:shd w:val="clear" w:color="auto" w:fill="FFFFFF"/>
        </w:rPr>
        <w:t>房屋</w:t>
      </w:r>
      <w:r>
        <w:rPr>
          <w:rFonts w:ascii="楷体" w:hAnsi="楷体" w:eastAsia="楷体"/>
          <w:shd w:val="clear" w:color="auto" w:fill="FFFFFF"/>
        </w:rPr>
        <w:t>交易与产权档案管理系统</w:t>
      </w:r>
      <w:r>
        <w:rPr>
          <w:rFonts w:hint="eastAsia" w:ascii="楷体" w:hAnsi="楷体" w:eastAsia="楷体"/>
          <w:shd w:val="clear" w:color="auto" w:fill="FFFFFF"/>
        </w:rPr>
        <w:t>查询</w:t>
      </w:r>
      <w:r>
        <w:rPr>
          <w:rFonts w:ascii="楷体" w:hAnsi="楷体" w:eastAsia="楷体"/>
          <w:shd w:val="clear" w:color="auto" w:fill="FFFFFF"/>
        </w:rPr>
        <w:t>信息》</w:t>
      </w:r>
      <w:r>
        <w:rPr>
          <w:rFonts w:hint="eastAsia" w:ascii="楷体" w:hAnsi="楷体" w:eastAsia="楷体"/>
          <w:shd w:val="clear" w:color="auto" w:fill="FFFFFF"/>
        </w:rPr>
        <w:t>设定估价对象的建筑面积、建筑规划用途、建筑结构、房屋性质、</w:t>
      </w:r>
      <w:r>
        <w:rPr>
          <w:rFonts w:ascii="楷体" w:hAnsi="楷体" w:eastAsia="楷体"/>
          <w:shd w:val="clear" w:color="auto" w:fill="FFFFFF"/>
        </w:rPr>
        <w:t>房号、幢号</w:t>
      </w:r>
      <w:r>
        <w:rPr>
          <w:rFonts w:hint="eastAsia" w:ascii="楷体" w:hAnsi="楷体" w:eastAsia="楷体"/>
          <w:shd w:val="clear" w:color="auto" w:fill="FFFFFF"/>
        </w:rPr>
        <w:t>、</w:t>
      </w:r>
      <w:r>
        <w:rPr>
          <w:rFonts w:ascii="楷体" w:hAnsi="楷体" w:eastAsia="楷体"/>
          <w:shd w:val="clear" w:color="auto" w:fill="FFFFFF"/>
        </w:rPr>
        <w:t>土地使用权用途、土地</w:t>
      </w:r>
      <w:r>
        <w:rPr>
          <w:rFonts w:hint="eastAsia" w:ascii="楷体" w:hAnsi="楷体" w:eastAsia="楷体"/>
          <w:shd w:val="clear" w:color="auto" w:fill="FFFFFF"/>
        </w:rPr>
        <w:t>使用权</w:t>
      </w:r>
      <w:r>
        <w:rPr>
          <w:rFonts w:ascii="楷体" w:hAnsi="楷体" w:eastAsia="楷体"/>
          <w:shd w:val="clear" w:color="auto" w:fill="FFFFFF"/>
        </w:rPr>
        <w:t>性质</w:t>
      </w:r>
      <w:r>
        <w:rPr>
          <w:rFonts w:hint="eastAsia" w:ascii="楷体" w:hAnsi="楷体" w:eastAsia="楷体"/>
          <w:shd w:val="clear" w:color="auto" w:fill="FFFFFF"/>
        </w:rPr>
        <w:t>、</w:t>
      </w:r>
      <w:r>
        <w:rPr>
          <w:rFonts w:ascii="楷体" w:hAnsi="楷体" w:eastAsia="楷体"/>
          <w:shd w:val="clear" w:color="auto" w:fill="FFFFFF"/>
        </w:rPr>
        <w:t>土地使用权</w:t>
      </w:r>
      <w:r>
        <w:rPr>
          <w:rFonts w:hint="eastAsia" w:ascii="楷体" w:hAnsi="楷体" w:eastAsia="楷体"/>
          <w:shd w:val="clear" w:color="auto" w:fill="FFFFFF"/>
        </w:rPr>
        <w:t>面积、</w:t>
      </w:r>
      <w:r>
        <w:rPr>
          <w:rFonts w:ascii="楷体" w:hAnsi="楷体" w:eastAsia="楷体"/>
          <w:shd w:val="clear" w:color="auto" w:fill="FFFFFF"/>
        </w:rPr>
        <w:t>权属人</w:t>
      </w:r>
      <w:r>
        <w:rPr>
          <w:rFonts w:hint="eastAsia" w:ascii="楷体" w:hAnsi="楷体" w:eastAsia="楷体"/>
          <w:shd w:val="clear" w:color="auto" w:fill="FFFFFF"/>
        </w:rPr>
        <w:t>等。</w:t>
      </w:r>
      <w:r>
        <w:rPr>
          <w:rFonts w:hint="eastAsia" w:ascii="楷体" w:hAnsi="楷体" w:eastAsia="楷体" w:cs="楷体"/>
          <w:shd w:val="clear" w:color="auto" w:fill="FFFFFF"/>
        </w:rPr>
        <w:t xml:space="preserve">    </w:t>
      </w:r>
    </w:p>
    <w:p>
      <w:pPr>
        <w:pStyle w:val="7"/>
        <w:shd w:val="clear" w:color="auto" w:fill="FFFFFF"/>
        <w:spacing w:before="0" w:beforeAutospacing="0" w:after="0" w:afterAutospacing="0" w:line="460" w:lineRule="exact"/>
        <w:jc w:val="both"/>
        <w:rPr>
          <w:rFonts w:hint="eastAsia" w:ascii="楷体" w:hAnsi="楷体" w:eastAsia="楷体" w:cs="楷体"/>
        </w:rPr>
      </w:pPr>
      <w:r>
        <w:rPr>
          <w:rFonts w:hint="eastAsia" w:ascii="楷体" w:hAnsi="楷体" w:eastAsia="楷体" w:cs="楷体"/>
          <w:shd w:val="clear" w:color="auto" w:fill="FFFFFF"/>
        </w:rPr>
        <w:t xml:space="preserve"> </w:t>
      </w:r>
      <w:r>
        <w:rPr>
          <w:rFonts w:ascii="楷体" w:hAnsi="楷体" w:eastAsia="楷体" w:cs="楷体"/>
          <w:shd w:val="clear" w:color="auto" w:fill="FFFFFF"/>
        </w:rPr>
        <w:t xml:space="preserve">    </w:t>
      </w:r>
      <w:r>
        <w:rPr>
          <w:rFonts w:hint="eastAsia" w:ascii="楷体" w:hAnsi="楷体" w:eastAsia="楷体" w:cs="楷体"/>
          <w:shd w:val="clear" w:color="auto" w:fill="FFFFFF"/>
          <w:lang w:bidi="ar"/>
        </w:rPr>
        <w:t>二、估价报告使用限制</w:t>
      </w:r>
    </w:p>
    <w:p>
      <w:pPr>
        <w:pStyle w:val="7"/>
        <w:shd w:val="clear" w:color="auto" w:fill="FFFFFF"/>
        <w:spacing w:before="0" w:beforeAutospacing="0" w:after="0" w:afterAutospacing="0" w:line="460" w:lineRule="exact"/>
        <w:ind w:firstLine="560"/>
        <w:jc w:val="both"/>
        <w:rPr>
          <w:rFonts w:hint="eastAsia" w:ascii="楷体" w:hAnsi="楷体" w:eastAsia="楷体" w:cs="楷体"/>
        </w:rPr>
      </w:pPr>
      <w:r>
        <w:rPr>
          <w:rFonts w:hint="eastAsia" w:ascii="楷体" w:hAnsi="楷体" w:eastAsia="楷体" w:cs="楷体"/>
          <w:shd w:val="clear" w:color="auto" w:fill="FFFFFF"/>
        </w:rPr>
        <w:t>(一)</w:t>
      </w:r>
      <w:r>
        <w:rPr>
          <w:rFonts w:hint="eastAsia" w:ascii="楷体" w:hAnsi="楷体" w:eastAsia="楷体"/>
          <w:bCs/>
        </w:rPr>
        <w:t xml:space="preserve"> 本估价报告仅作为本次估价目的之使用，不作为其他任何用途使用，若改变估价条件和估价目的或作为其他用途由本报告无效，由此造成的一切损失，本公司不承担任何责任</w:t>
      </w:r>
      <w:r>
        <w:rPr>
          <w:rFonts w:hint="eastAsia" w:ascii="楷体" w:hAnsi="楷体" w:eastAsia="楷体" w:cs="楷体"/>
          <w:shd w:val="clear" w:color="auto" w:fill="FFFFFF"/>
        </w:rPr>
        <w:t>。</w:t>
      </w:r>
    </w:p>
    <w:p>
      <w:pPr>
        <w:pStyle w:val="7"/>
        <w:shd w:val="clear" w:color="auto" w:fill="FFFFFF"/>
        <w:spacing w:before="0" w:beforeAutospacing="0" w:after="0" w:afterAutospacing="0" w:line="470" w:lineRule="exact"/>
        <w:ind w:firstLine="560"/>
        <w:jc w:val="both"/>
        <w:rPr>
          <w:rFonts w:ascii="楷体" w:hAnsi="楷体" w:eastAsia="楷体" w:cs="楷体"/>
          <w:shd w:val="clear" w:color="auto" w:fill="FFFFFF"/>
        </w:rPr>
      </w:pPr>
      <w:r>
        <w:rPr>
          <w:rFonts w:hint="eastAsia" w:ascii="楷体" w:hAnsi="楷体" w:eastAsia="楷体" w:cs="楷体"/>
          <w:shd w:val="clear" w:color="auto" w:fill="FFFFFF"/>
        </w:rPr>
        <w:t>(二)本报告的使用期限为自2022年08月05日（估价报告出具之日）起不超过一年，在此期间，若国家相关政策有重大调整或者房地产市场变化较大时，请重新委托估价。</w:t>
      </w:r>
    </w:p>
    <w:p>
      <w:pPr>
        <w:spacing w:line="520" w:lineRule="exact"/>
        <w:ind w:firstLine="470" w:firstLineChars="196"/>
        <w:rPr>
          <w:rFonts w:hint="eastAsia" w:ascii="楷体" w:hAnsi="楷体" w:eastAsia="楷体"/>
          <w:bCs/>
          <w:sz w:val="24"/>
          <w:szCs w:val="24"/>
        </w:rPr>
      </w:pPr>
      <w:r>
        <w:rPr>
          <w:rFonts w:hint="eastAsia" w:ascii="楷体" w:hAnsi="楷体" w:eastAsia="楷体"/>
          <w:bCs/>
          <w:sz w:val="24"/>
          <w:szCs w:val="24"/>
        </w:rPr>
        <w:t>（三）估价报告使用者为估价委托人（江西省萍乡市中级人民法院）。</w:t>
      </w:r>
    </w:p>
    <w:p>
      <w:pPr>
        <w:pStyle w:val="7"/>
        <w:shd w:val="clear" w:color="auto" w:fill="FFFFFF"/>
        <w:spacing w:before="0" w:beforeAutospacing="0" w:after="0" w:afterAutospacing="0" w:line="520" w:lineRule="exact"/>
        <w:ind w:firstLine="560"/>
        <w:jc w:val="both"/>
        <w:rPr>
          <w:rFonts w:hint="eastAsia" w:ascii="楷体" w:hAnsi="楷体" w:eastAsia="楷体" w:cs="楷体"/>
        </w:rPr>
      </w:pPr>
      <w:r>
        <w:rPr>
          <w:rFonts w:hint="eastAsia" w:ascii="楷体" w:hAnsi="楷体" w:eastAsia="楷体" w:cs="楷体"/>
          <w:shd w:val="clear" w:color="auto" w:fill="FFFFFF"/>
        </w:rPr>
        <w:t>(四)权属证书的真伪只有原颁发机关才能做出准确判断，颁证机关将在办理转让时予以确认。权属有瑕疵将不能依法办理相关手续，我们提请报告使用人关注这一点。</w:t>
      </w:r>
    </w:p>
    <w:p>
      <w:pPr>
        <w:pStyle w:val="7"/>
        <w:shd w:val="clear" w:color="auto" w:fill="FFFFFF"/>
        <w:spacing w:before="0" w:beforeAutospacing="0" w:after="0" w:afterAutospacing="0" w:line="520" w:lineRule="exact"/>
        <w:ind w:firstLine="560"/>
        <w:jc w:val="both"/>
        <w:rPr>
          <w:rFonts w:hint="eastAsia" w:ascii="楷体" w:hAnsi="楷体" w:eastAsia="楷体" w:cs="楷体"/>
        </w:rPr>
      </w:pPr>
      <w:r>
        <w:rPr>
          <w:rFonts w:hint="eastAsia" w:ascii="楷体" w:hAnsi="楷体" w:eastAsia="楷体" w:cs="楷体"/>
          <w:shd w:val="clear" w:color="auto" w:fill="FFFFFF"/>
        </w:rPr>
        <w:t>(五)本报告估价结果的估算是以估价对象在价值时点的状况和本报告对估价对象设定的假设和限制条件为依据进行的。若国家有关政策、市场环境、估价对象的用途和使用方式以及估价中遵循的假设条件发生变化时，估价对象的估价结果也会发生变化，必要时应作相应调整或重新估价。</w:t>
      </w:r>
    </w:p>
    <w:p>
      <w:pPr>
        <w:pStyle w:val="7"/>
        <w:shd w:val="clear" w:color="auto" w:fill="FFFFFF"/>
        <w:spacing w:before="0" w:beforeAutospacing="0" w:after="0" w:afterAutospacing="0" w:line="520" w:lineRule="exact"/>
        <w:ind w:firstLine="561"/>
        <w:jc w:val="both"/>
        <w:rPr>
          <w:rFonts w:hint="eastAsia" w:ascii="楷体" w:hAnsi="楷体" w:eastAsia="楷体" w:cs="楷体"/>
        </w:rPr>
      </w:pPr>
      <w:r>
        <w:rPr>
          <w:rFonts w:hint="eastAsia" w:ascii="楷体" w:hAnsi="楷体" w:eastAsia="楷体" w:cs="楷体"/>
          <w:shd w:val="clear" w:color="auto" w:fill="FFFFFF"/>
        </w:rPr>
        <w:t>(六)本估价报告及附件须同时完整使用方为有效，本估价机构不对仅使用报告中部分内容或使用不当所可能导致的任何损失承担责任。</w:t>
      </w:r>
    </w:p>
    <w:p>
      <w:pPr>
        <w:pStyle w:val="7"/>
        <w:shd w:val="clear" w:color="auto" w:fill="FFFFFF"/>
        <w:spacing w:before="0" w:beforeAutospacing="0" w:after="0" w:afterAutospacing="0" w:line="520" w:lineRule="exact"/>
        <w:ind w:firstLine="561"/>
        <w:jc w:val="both"/>
        <w:rPr>
          <w:rFonts w:hint="eastAsia" w:ascii="楷体" w:hAnsi="楷体" w:eastAsia="楷体" w:cs="楷体"/>
        </w:rPr>
      </w:pPr>
      <w:r>
        <w:rPr>
          <w:rFonts w:hint="eastAsia" w:ascii="楷体" w:hAnsi="楷体" w:eastAsia="楷体" w:cs="楷体"/>
          <w:shd w:val="clear" w:color="auto" w:fill="FFFFFF"/>
        </w:rPr>
        <w:t>(七)对于其他可能影响估价的瑕疵事项，在估价委托人委托估价时未作特殊说明的，而房地产估价人员根据其执业经验一般不能获悉的情况下，估价机构及估价人员不承担相关责任。</w:t>
      </w:r>
    </w:p>
    <w:p>
      <w:pPr>
        <w:pStyle w:val="7"/>
        <w:shd w:val="clear" w:color="auto" w:fill="FFFFFF"/>
        <w:spacing w:before="0" w:beforeAutospacing="0" w:after="0" w:afterAutospacing="0" w:line="520" w:lineRule="exact"/>
        <w:ind w:firstLine="561"/>
        <w:jc w:val="both"/>
        <w:rPr>
          <w:rFonts w:hint="eastAsia" w:ascii="楷体" w:hAnsi="楷体" w:eastAsia="楷体" w:cs="楷体"/>
        </w:rPr>
      </w:pPr>
      <w:r>
        <w:rPr>
          <w:rFonts w:hint="eastAsia" w:ascii="楷体" w:hAnsi="楷体" w:eastAsia="楷体" w:cs="楷体"/>
          <w:shd w:val="clear" w:color="auto" w:fill="FFFFFF"/>
        </w:rPr>
        <w:t>(八)本报告须经估价机构加盖公章并由注册房地产估价师签名后方可使用。</w:t>
      </w:r>
    </w:p>
    <w:p>
      <w:pPr>
        <w:pStyle w:val="7"/>
        <w:shd w:val="clear" w:color="auto" w:fill="FFFFFF"/>
        <w:spacing w:before="0" w:beforeAutospacing="0" w:after="0" w:afterAutospacing="0" w:line="520" w:lineRule="exact"/>
        <w:ind w:firstLine="561"/>
        <w:jc w:val="both"/>
        <w:rPr>
          <w:rFonts w:hint="eastAsia" w:ascii="楷体" w:hAnsi="楷体" w:eastAsia="楷体" w:cs="楷体"/>
        </w:rPr>
      </w:pPr>
      <w:r>
        <w:rPr>
          <w:rFonts w:hint="eastAsia" w:ascii="楷体" w:hAnsi="楷体" w:eastAsia="楷体" w:cs="楷体"/>
          <w:shd w:val="clear" w:color="auto" w:fill="FFFFFF"/>
        </w:rPr>
        <w:t>(九)本报告未经估价机构书面同意，不得向估价委托人及其他报告使用者之外的单位和个人提供，报告的全部和部分内容，未经许可不得发表于任何公开媒体上。</w:t>
      </w:r>
    </w:p>
    <w:p>
      <w:pPr>
        <w:pStyle w:val="3"/>
        <w:spacing w:line="560" w:lineRule="exact"/>
        <w:ind w:left="0" w:leftChars="0" w:firstLine="0" w:firstLineChars="0"/>
        <w:jc w:val="center"/>
        <w:rPr>
          <w:rFonts w:hint="eastAsia" w:ascii="楷体" w:hAnsi="楷体" w:eastAsia="楷体"/>
        </w:rPr>
      </w:pPr>
      <w:r>
        <w:rPr>
          <w:rFonts w:hint="eastAsia" w:ascii="楷体" w:hAnsi="楷体" w:eastAsia="楷体"/>
        </w:rPr>
        <w:br w:type="page"/>
      </w:r>
    </w:p>
    <w:p>
      <w:pPr>
        <w:pStyle w:val="3"/>
        <w:spacing w:line="454" w:lineRule="exact"/>
        <w:ind w:left="0" w:leftChars="0" w:firstLine="0" w:firstLineChars="0"/>
        <w:jc w:val="center"/>
        <w:rPr>
          <w:rFonts w:hint="eastAsia" w:ascii="楷体" w:hAnsi="楷体" w:eastAsia="楷体"/>
          <w:b/>
          <w:color w:val="000000"/>
          <w:sz w:val="44"/>
          <w:szCs w:val="44"/>
        </w:rPr>
      </w:pPr>
      <w:r>
        <w:rPr>
          <w:rFonts w:hint="eastAsia" w:ascii="楷体" w:hAnsi="楷体" w:eastAsia="楷体"/>
          <w:b/>
          <w:color w:val="000000"/>
          <w:sz w:val="44"/>
          <w:szCs w:val="44"/>
        </w:rPr>
        <w:t>估价结果报告</w:t>
      </w:r>
    </w:p>
    <w:p>
      <w:pPr>
        <w:pStyle w:val="3"/>
        <w:spacing w:line="280" w:lineRule="exact"/>
        <w:ind w:left="0" w:leftChars="0" w:right="45" w:firstLine="0" w:firstLineChars="0"/>
        <w:jc w:val="center"/>
        <w:rPr>
          <w:rFonts w:hint="eastAsia" w:ascii="楷体" w:hAnsi="楷体" w:eastAsia="楷体"/>
          <w:color w:val="000000"/>
          <w:sz w:val="44"/>
          <w:szCs w:val="44"/>
        </w:rPr>
      </w:pPr>
    </w:p>
    <w:p>
      <w:pPr>
        <w:spacing w:line="440" w:lineRule="exact"/>
        <w:ind w:firstLine="590" w:firstLineChars="245"/>
        <w:rPr>
          <w:rFonts w:hint="eastAsia" w:ascii="楷体" w:hAnsi="楷体" w:eastAsia="楷体"/>
          <w:b/>
          <w:bCs/>
          <w:color w:val="000000"/>
          <w:sz w:val="24"/>
        </w:rPr>
      </w:pPr>
      <w:r>
        <w:rPr>
          <w:rFonts w:hint="eastAsia" w:ascii="楷体" w:hAnsi="楷体" w:eastAsia="楷体"/>
          <w:b/>
          <w:bCs/>
          <w:color w:val="000000"/>
          <w:sz w:val="24"/>
        </w:rPr>
        <w:t>一、估价委托人及相关当事人</w:t>
      </w:r>
    </w:p>
    <w:p>
      <w:pPr>
        <w:spacing w:line="440" w:lineRule="exact"/>
        <w:ind w:firstLine="588" w:firstLineChars="245"/>
        <w:rPr>
          <w:rFonts w:ascii="楷体" w:hAnsi="楷体" w:eastAsia="楷体"/>
          <w:color w:val="000000"/>
          <w:sz w:val="24"/>
        </w:rPr>
      </w:pPr>
      <w:r>
        <w:rPr>
          <w:rFonts w:hint="eastAsia" w:ascii="楷体" w:hAnsi="楷体" w:eastAsia="楷体"/>
          <w:color w:val="000000"/>
          <w:sz w:val="24"/>
        </w:rPr>
        <w:t>1、估价委托人：江西省萍乡市中级人民法院</w:t>
      </w:r>
    </w:p>
    <w:p>
      <w:pPr>
        <w:spacing w:line="440" w:lineRule="exact"/>
        <w:ind w:firstLine="588" w:firstLineChars="245"/>
        <w:rPr>
          <w:rFonts w:hint="eastAsia" w:ascii="楷体" w:hAnsi="楷体" w:eastAsia="楷体"/>
          <w:color w:val="000000"/>
          <w:sz w:val="24"/>
        </w:rPr>
      </w:pPr>
      <w:r>
        <w:rPr>
          <w:rFonts w:hint="eastAsia" w:ascii="楷体" w:hAnsi="楷体" w:eastAsia="楷体"/>
          <w:color w:val="000000"/>
          <w:sz w:val="24"/>
        </w:rPr>
        <w:t>2、申请</w:t>
      </w:r>
      <w:r>
        <w:rPr>
          <w:rFonts w:ascii="楷体" w:hAnsi="楷体" w:eastAsia="楷体"/>
          <w:color w:val="000000"/>
          <w:sz w:val="24"/>
        </w:rPr>
        <w:t>执行人：江西天耀置业有限公司</w:t>
      </w:r>
    </w:p>
    <w:p>
      <w:pPr>
        <w:spacing w:line="440" w:lineRule="exact"/>
        <w:ind w:firstLine="588" w:firstLineChars="245"/>
        <w:rPr>
          <w:rFonts w:hint="eastAsia" w:ascii="楷体" w:hAnsi="楷体" w:eastAsia="楷体"/>
          <w:sz w:val="24"/>
        </w:rPr>
      </w:pPr>
      <w:r>
        <w:rPr>
          <w:rFonts w:ascii="楷体" w:hAnsi="楷体" w:eastAsia="楷体"/>
          <w:color w:val="000000"/>
          <w:sz w:val="24"/>
        </w:rPr>
        <w:t>3</w:t>
      </w:r>
      <w:r>
        <w:rPr>
          <w:rFonts w:hint="eastAsia" w:ascii="楷体" w:hAnsi="楷体" w:eastAsia="楷体"/>
          <w:color w:val="000000"/>
          <w:sz w:val="24"/>
        </w:rPr>
        <w:t>、</w:t>
      </w:r>
      <w:r>
        <w:rPr>
          <w:rFonts w:hint="eastAsia" w:ascii="楷体" w:hAnsi="楷体" w:eastAsia="楷体"/>
          <w:color w:val="000000"/>
          <w:sz w:val="24"/>
          <w:szCs w:val="22"/>
        </w:rPr>
        <w:t>被执行人：</w:t>
      </w:r>
      <w:r>
        <w:rPr>
          <w:rFonts w:hint="eastAsia" w:ascii="楷体" w:hAnsi="楷体" w:eastAsia="楷体"/>
          <w:sz w:val="24"/>
        </w:rPr>
        <w:t>福建中合农产品市场有限公司</w:t>
      </w:r>
    </w:p>
    <w:p>
      <w:pPr>
        <w:spacing w:line="440" w:lineRule="exact"/>
        <w:ind w:firstLine="588" w:firstLineChars="245"/>
        <w:rPr>
          <w:rFonts w:hint="eastAsia" w:ascii="楷体" w:hAnsi="楷体" w:eastAsia="楷体"/>
          <w:color w:val="000000"/>
          <w:sz w:val="24"/>
        </w:rPr>
      </w:pPr>
      <w:r>
        <w:rPr>
          <w:rFonts w:ascii="楷体" w:hAnsi="楷体" w:eastAsia="楷体"/>
          <w:sz w:val="24"/>
        </w:rPr>
        <w:t>4</w:t>
      </w:r>
      <w:r>
        <w:rPr>
          <w:rFonts w:hint="eastAsia" w:ascii="楷体" w:hAnsi="楷体" w:eastAsia="楷体"/>
          <w:sz w:val="24"/>
        </w:rPr>
        <w:t>、权属人：福建中合农产品市场有限公司</w:t>
      </w:r>
    </w:p>
    <w:p>
      <w:pPr>
        <w:spacing w:line="440" w:lineRule="exact"/>
        <w:ind w:firstLine="590" w:firstLineChars="245"/>
        <w:rPr>
          <w:rFonts w:hint="eastAsia" w:ascii="楷体" w:hAnsi="楷体" w:eastAsia="楷体"/>
          <w:b/>
          <w:bCs/>
          <w:color w:val="000000"/>
          <w:sz w:val="24"/>
        </w:rPr>
      </w:pPr>
      <w:r>
        <w:rPr>
          <w:rFonts w:hint="eastAsia" w:ascii="楷体" w:hAnsi="楷体" w:eastAsia="楷体"/>
          <w:b/>
          <w:bCs/>
          <w:color w:val="000000"/>
          <w:sz w:val="24"/>
        </w:rPr>
        <w:t>二、房地产估价机构</w:t>
      </w:r>
    </w:p>
    <w:p>
      <w:pPr>
        <w:spacing w:line="440" w:lineRule="exact"/>
        <w:ind w:firstLine="520" w:firstLineChars="217"/>
        <w:rPr>
          <w:rFonts w:hint="eastAsia" w:ascii="楷体" w:hAnsi="楷体" w:eastAsia="楷体"/>
          <w:sz w:val="24"/>
        </w:rPr>
      </w:pPr>
      <w:r>
        <w:rPr>
          <w:rFonts w:hint="eastAsia" w:ascii="楷体" w:hAnsi="楷体" w:eastAsia="楷体"/>
          <w:sz w:val="24"/>
        </w:rPr>
        <w:t>估价机构名称：福建明鉴资产评估房地产土地估价有限公司</w:t>
      </w:r>
    </w:p>
    <w:p>
      <w:pPr>
        <w:spacing w:line="440" w:lineRule="exact"/>
        <w:ind w:firstLine="480" w:firstLineChars="200"/>
        <w:rPr>
          <w:rFonts w:hint="eastAsia" w:ascii="楷体" w:hAnsi="楷体" w:eastAsia="楷体"/>
          <w:sz w:val="24"/>
        </w:rPr>
      </w:pPr>
      <w:r>
        <w:rPr>
          <w:rFonts w:hint="eastAsia" w:ascii="楷体" w:hAnsi="楷体" w:eastAsia="楷体"/>
          <w:sz w:val="24"/>
        </w:rPr>
        <w:t>住所：福建省龙岩市新罗区西陂镇天平路58号太古广场7层702室</w:t>
      </w:r>
    </w:p>
    <w:p>
      <w:pPr>
        <w:spacing w:line="440" w:lineRule="exact"/>
        <w:ind w:firstLine="520" w:firstLineChars="217"/>
        <w:rPr>
          <w:rFonts w:hint="eastAsia" w:ascii="楷体" w:hAnsi="楷体" w:eastAsia="楷体"/>
          <w:sz w:val="24"/>
        </w:rPr>
      </w:pPr>
      <w:r>
        <w:rPr>
          <w:rFonts w:hint="eastAsia" w:ascii="楷体" w:hAnsi="楷体" w:eastAsia="楷体"/>
          <w:sz w:val="24"/>
        </w:rPr>
        <w:t>法定代表人：郑建平</w:t>
      </w:r>
    </w:p>
    <w:p>
      <w:pPr>
        <w:spacing w:line="440" w:lineRule="exact"/>
        <w:ind w:firstLine="520" w:firstLineChars="217"/>
        <w:rPr>
          <w:rFonts w:hint="eastAsia" w:ascii="楷体" w:hAnsi="楷体" w:eastAsia="楷体"/>
          <w:sz w:val="24"/>
        </w:rPr>
      </w:pPr>
      <w:r>
        <w:rPr>
          <w:rFonts w:hint="eastAsia" w:ascii="楷体" w:hAnsi="楷体" w:eastAsia="楷体"/>
          <w:sz w:val="24"/>
        </w:rPr>
        <w:t>资质等级：一级</w:t>
      </w:r>
    </w:p>
    <w:p>
      <w:pPr>
        <w:spacing w:line="440" w:lineRule="exact"/>
        <w:ind w:firstLine="520" w:firstLineChars="217"/>
        <w:rPr>
          <w:rFonts w:hint="eastAsia" w:ascii="楷体" w:hAnsi="楷体" w:eastAsia="楷体"/>
          <w:sz w:val="24"/>
        </w:rPr>
      </w:pPr>
      <w:r>
        <w:rPr>
          <w:rFonts w:hint="eastAsia" w:ascii="楷体" w:hAnsi="楷体" w:eastAsia="楷体"/>
          <w:sz w:val="24"/>
        </w:rPr>
        <w:t>资质证书编号：352019031</w:t>
      </w:r>
    </w:p>
    <w:p>
      <w:pPr>
        <w:spacing w:line="440" w:lineRule="exact"/>
        <w:ind w:firstLine="520" w:firstLineChars="217"/>
        <w:rPr>
          <w:rFonts w:hint="eastAsia" w:ascii="楷体" w:hAnsi="楷体" w:eastAsia="楷体"/>
          <w:sz w:val="24"/>
        </w:rPr>
      </w:pPr>
      <w:r>
        <w:rPr>
          <w:rFonts w:hint="eastAsia" w:ascii="楷体" w:hAnsi="楷体" w:eastAsia="楷体"/>
          <w:sz w:val="24"/>
        </w:rPr>
        <w:t>统一社会信用代码：91350800784543993M</w:t>
      </w:r>
    </w:p>
    <w:p>
      <w:pPr>
        <w:spacing w:line="440" w:lineRule="exact"/>
        <w:ind w:firstLine="472" w:firstLineChars="196"/>
        <w:rPr>
          <w:rFonts w:hint="eastAsia" w:ascii="楷体" w:hAnsi="楷体" w:eastAsia="楷体"/>
          <w:b/>
          <w:bCs/>
          <w:sz w:val="24"/>
        </w:rPr>
      </w:pPr>
      <w:r>
        <w:rPr>
          <w:rFonts w:hint="eastAsia" w:ascii="楷体" w:hAnsi="楷体" w:eastAsia="楷体"/>
          <w:b/>
          <w:bCs/>
          <w:sz w:val="24"/>
        </w:rPr>
        <w:t>三、估价目的</w:t>
      </w:r>
    </w:p>
    <w:p>
      <w:pPr>
        <w:tabs>
          <w:tab w:val="left" w:pos="525"/>
        </w:tabs>
        <w:spacing w:line="440" w:lineRule="exact"/>
        <w:ind w:firstLine="470" w:firstLineChars="196"/>
        <w:rPr>
          <w:rFonts w:hint="eastAsia" w:ascii="楷体" w:hAnsi="楷体" w:eastAsia="楷体"/>
          <w:color w:val="000000"/>
          <w:sz w:val="24"/>
          <w:szCs w:val="24"/>
        </w:rPr>
      </w:pPr>
      <w:r>
        <w:rPr>
          <w:rFonts w:hint="eastAsia" w:ascii="楷体" w:hAnsi="楷体" w:eastAsia="楷体"/>
          <w:color w:val="000000"/>
          <w:sz w:val="24"/>
          <w:szCs w:val="24"/>
        </w:rPr>
        <w:t>为人民法院确定财产处置参考价提供参考依据。</w:t>
      </w:r>
    </w:p>
    <w:p>
      <w:pPr>
        <w:tabs>
          <w:tab w:val="left" w:pos="525"/>
        </w:tabs>
        <w:spacing w:line="440" w:lineRule="exact"/>
        <w:ind w:firstLine="472" w:firstLineChars="196"/>
        <w:rPr>
          <w:rFonts w:hint="eastAsia" w:ascii="楷体" w:hAnsi="楷体" w:eastAsia="楷体"/>
          <w:b/>
          <w:bCs/>
          <w:sz w:val="24"/>
        </w:rPr>
      </w:pPr>
      <w:r>
        <w:rPr>
          <w:rFonts w:hint="eastAsia" w:ascii="楷体" w:hAnsi="楷体" w:eastAsia="楷体"/>
          <w:b/>
          <w:bCs/>
          <w:color w:val="000000"/>
          <w:sz w:val="24"/>
        </w:rPr>
        <w:t>四、估价对象</w:t>
      </w:r>
    </w:p>
    <w:p>
      <w:pPr>
        <w:spacing w:line="440" w:lineRule="exact"/>
        <w:ind w:firstLine="520" w:firstLineChars="217"/>
        <w:rPr>
          <w:rFonts w:hint="eastAsia" w:ascii="楷体" w:hAnsi="楷体" w:eastAsia="楷体"/>
          <w:sz w:val="24"/>
        </w:rPr>
      </w:pPr>
      <w:r>
        <w:rPr>
          <w:rFonts w:hint="eastAsia" w:ascii="楷体" w:hAnsi="楷体" w:eastAsia="楷体"/>
          <w:sz w:val="24"/>
        </w:rPr>
        <w:t>（一）估价对象的财产范围</w:t>
      </w:r>
    </w:p>
    <w:p>
      <w:pPr>
        <w:spacing w:line="440" w:lineRule="exact"/>
        <w:ind w:firstLine="520" w:firstLineChars="217"/>
        <w:rPr>
          <w:rFonts w:hint="eastAsia" w:ascii="楷体" w:hAnsi="楷体" w:eastAsia="楷体"/>
          <w:sz w:val="24"/>
          <w:szCs w:val="24"/>
        </w:rPr>
      </w:pPr>
      <w:r>
        <w:rPr>
          <w:rFonts w:hint="eastAsia" w:ascii="楷体" w:hAnsi="楷体" w:eastAsia="楷体"/>
          <w:sz w:val="24"/>
        </w:rPr>
        <w:t>估价对象的财产范围</w:t>
      </w:r>
      <w:r>
        <w:rPr>
          <w:rFonts w:hint="eastAsia" w:ascii="楷体" w:hAnsi="楷体" w:eastAsia="楷体"/>
          <w:sz w:val="24"/>
          <w:szCs w:val="24"/>
        </w:rPr>
        <w:t>包括</w:t>
      </w:r>
      <w:r>
        <w:rPr>
          <w:rFonts w:hint="eastAsia" w:ascii="楷体" w:hAnsi="楷体" w:eastAsia="楷体" w:cs="楷体"/>
          <w:sz w:val="24"/>
          <w:szCs w:val="24"/>
        </w:rPr>
        <w:t>建筑物（含室内二次装修）、分摊的土地使用权（</w:t>
      </w:r>
      <w:r>
        <w:rPr>
          <w:rFonts w:ascii="楷体" w:hAnsi="楷体" w:eastAsia="楷体" w:cs="楷体"/>
          <w:sz w:val="24"/>
          <w:szCs w:val="24"/>
        </w:rPr>
        <w:t>含土地出让金</w:t>
      </w:r>
      <w:r>
        <w:rPr>
          <w:rFonts w:hint="eastAsia" w:ascii="楷体" w:hAnsi="楷体" w:eastAsia="楷体" w:cs="楷体"/>
          <w:sz w:val="24"/>
          <w:szCs w:val="24"/>
        </w:rPr>
        <w:t>）及公共配套设施，不包括其他动产、可移动</w:t>
      </w:r>
      <w:r>
        <w:rPr>
          <w:rFonts w:ascii="楷体" w:hAnsi="楷体" w:eastAsia="楷体" w:cs="楷体"/>
          <w:sz w:val="24"/>
          <w:szCs w:val="24"/>
        </w:rPr>
        <w:t>家具</w:t>
      </w:r>
      <w:r>
        <w:rPr>
          <w:rFonts w:hint="eastAsia" w:ascii="楷体" w:hAnsi="楷体" w:eastAsia="楷体" w:cs="楷体"/>
          <w:sz w:val="24"/>
          <w:szCs w:val="24"/>
        </w:rPr>
        <w:t>家电、债权债务、特</w:t>
      </w:r>
      <w:r>
        <w:rPr>
          <w:rFonts w:hint="eastAsia" w:ascii="楷体" w:hAnsi="楷体" w:eastAsia="楷体"/>
          <w:sz w:val="24"/>
          <w:szCs w:val="24"/>
        </w:rPr>
        <w:t>许经营权等其他财产或权益。</w:t>
      </w:r>
    </w:p>
    <w:p>
      <w:pPr>
        <w:spacing w:line="520" w:lineRule="exact"/>
        <w:ind w:firstLine="520" w:firstLineChars="217"/>
        <w:rPr>
          <w:rFonts w:hint="eastAsia" w:ascii="楷体" w:hAnsi="楷体" w:eastAsia="楷体"/>
          <w:sz w:val="24"/>
          <w:szCs w:val="24"/>
        </w:rPr>
      </w:pPr>
      <w:r>
        <w:rPr>
          <w:rFonts w:hint="eastAsia" w:ascii="楷体" w:hAnsi="楷体" w:eastAsia="楷体"/>
          <w:sz w:val="24"/>
          <w:szCs w:val="24"/>
        </w:rPr>
        <w:t>（二）估价对象基本状况</w:t>
      </w:r>
    </w:p>
    <w:tbl>
      <w:tblPr>
        <w:tblStyle w:val="10"/>
        <w:tblW w:w="903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6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1、坐落</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龙岩市新罗区红坊街道龙港西路2号中国（龙岩）农产品物流城南区B区商业用房及车位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2、规模</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估价对象商场建筑面积合计为</w:t>
            </w:r>
            <w:r>
              <w:rPr>
                <w:rFonts w:ascii="楷体" w:hAnsi="楷体" w:eastAsia="楷体"/>
                <w:color w:val="000000"/>
                <w:sz w:val="18"/>
                <w:szCs w:val="18"/>
              </w:rPr>
              <w:t>766.93</w:t>
            </w:r>
            <w:r>
              <w:rPr>
                <w:rFonts w:hint="eastAsia" w:ascii="楷体" w:hAnsi="楷体" w:eastAsia="楷体"/>
                <w:color w:val="000000"/>
                <w:sz w:val="18"/>
                <w:szCs w:val="18"/>
              </w:rPr>
              <w:t>㎡、</w:t>
            </w:r>
            <w:r>
              <w:rPr>
                <w:rFonts w:ascii="楷体" w:hAnsi="楷体" w:eastAsia="楷体"/>
                <w:color w:val="000000"/>
                <w:sz w:val="18"/>
                <w:szCs w:val="18"/>
              </w:rPr>
              <w:t>车位建筑面积</w:t>
            </w:r>
            <w:r>
              <w:rPr>
                <w:rFonts w:hint="eastAsia" w:ascii="楷体" w:hAnsi="楷体" w:eastAsia="楷体"/>
                <w:color w:val="000000"/>
                <w:sz w:val="18"/>
                <w:szCs w:val="18"/>
              </w:rPr>
              <w:t>为</w:t>
            </w:r>
            <w:r>
              <w:rPr>
                <w:rFonts w:ascii="楷体" w:hAnsi="楷体" w:eastAsia="楷体"/>
                <w:color w:val="000000"/>
                <w:sz w:val="18"/>
                <w:szCs w:val="18"/>
              </w:rPr>
              <w:t>687.60</w:t>
            </w:r>
            <w:r>
              <w:rPr>
                <w:rFonts w:hint="eastAsia" w:ascii="楷体" w:hAnsi="楷体" w:eastAsia="楷体"/>
                <w:color w:val="000000"/>
                <w:sz w:val="18"/>
                <w:szCs w:val="18"/>
              </w:rPr>
              <w:t>㎡（18个</w:t>
            </w:r>
            <w:r>
              <w:rPr>
                <w:rFonts w:ascii="楷体" w:hAnsi="楷体" w:eastAsia="楷体"/>
                <w:color w:val="000000"/>
                <w:sz w:val="18"/>
                <w:szCs w:val="18"/>
              </w:rPr>
              <w:t>车位</w:t>
            </w:r>
            <w:r>
              <w:rPr>
                <w:rFonts w:hint="eastAsia" w:ascii="楷体" w:hAnsi="楷体" w:eastAsia="楷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3、用途</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规划用途为商场、</w:t>
            </w:r>
            <w:r>
              <w:rPr>
                <w:rFonts w:ascii="楷体" w:hAnsi="楷体" w:eastAsia="楷体"/>
                <w:color w:val="000000"/>
                <w:sz w:val="18"/>
                <w:szCs w:val="18"/>
              </w:rPr>
              <w:t>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4、权属</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福建中合农产品市场有限公司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5、现状</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期房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6、担保物权设立情况</w:t>
            </w:r>
          </w:p>
        </w:tc>
        <w:tc>
          <w:tcPr>
            <w:tcW w:w="6534" w:type="dxa"/>
            <w:shd w:val="clear" w:color="auto" w:fill="auto"/>
            <w:noWrap w:val="0"/>
            <w:vAlign w:val="center"/>
          </w:tcPr>
          <w:p>
            <w:pPr>
              <w:spacing w:line="240" w:lineRule="exact"/>
              <w:rPr>
                <w:rFonts w:hint="eastAsia" w:ascii="楷体" w:hAnsi="楷体" w:eastAsia="楷体"/>
                <w:color w:val="000000"/>
                <w:sz w:val="18"/>
                <w:szCs w:val="18"/>
              </w:rPr>
            </w:pPr>
            <w:r>
              <w:rPr>
                <w:rFonts w:hint="eastAsia" w:ascii="楷体" w:hAnsi="楷体" w:eastAsia="楷体"/>
                <w:sz w:val="18"/>
                <w:szCs w:val="18"/>
              </w:rPr>
              <w:t>根据委托方提供的相关估价资料，估价对象未设立</w:t>
            </w:r>
            <w:r>
              <w:rPr>
                <w:rFonts w:hint="eastAsia" w:ascii="楷体" w:hAnsi="楷体" w:eastAsia="楷体"/>
                <w:color w:val="000000"/>
                <w:sz w:val="18"/>
                <w:szCs w:val="18"/>
              </w:rPr>
              <w:t>担保物权设立。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2501"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7、租赁或占用情况</w:t>
            </w:r>
          </w:p>
        </w:tc>
        <w:tc>
          <w:tcPr>
            <w:tcW w:w="6534" w:type="dxa"/>
            <w:shd w:val="clear" w:color="auto" w:fill="auto"/>
            <w:noWrap w:val="0"/>
            <w:vAlign w:val="center"/>
          </w:tcPr>
          <w:p>
            <w:pPr>
              <w:spacing w:line="240" w:lineRule="exact"/>
              <w:rPr>
                <w:rFonts w:hint="eastAsia" w:ascii="楷体" w:hAnsi="楷体" w:eastAsia="楷体"/>
                <w:color w:val="000000"/>
                <w:sz w:val="18"/>
                <w:szCs w:val="18"/>
              </w:rPr>
            </w:pPr>
            <w:r>
              <w:rPr>
                <w:rFonts w:hint="eastAsia" w:ascii="楷体" w:hAnsi="楷体" w:eastAsia="楷体"/>
                <w:sz w:val="18"/>
                <w:szCs w:val="18"/>
              </w:rPr>
              <w:t>估价对象为</w:t>
            </w:r>
            <w:r>
              <w:rPr>
                <w:rFonts w:hint="eastAsia" w:ascii="楷体" w:hAnsi="楷体" w:eastAsia="楷体"/>
                <w:color w:val="000000"/>
                <w:sz w:val="18"/>
                <w:szCs w:val="18"/>
              </w:rPr>
              <w:t>在建</w:t>
            </w:r>
            <w:r>
              <w:rPr>
                <w:rFonts w:hint="eastAsia" w:ascii="楷体" w:hAnsi="楷体" w:eastAsia="楷体"/>
                <w:sz w:val="18"/>
                <w:szCs w:val="18"/>
              </w:rPr>
              <w:t>，估价对象无</w:t>
            </w:r>
            <w:r>
              <w:rPr>
                <w:rFonts w:hint="eastAsia" w:ascii="楷体" w:hAnsi="楷体" w:eastAsia="楷体"/>
                <w:color w:val="000000"/>
                <w:sz w:val="18"/>
                <w:szCs w:val="18"/>
              </w:rPr>
              <w:t>租赁或占用情况。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2501" w:type="dxa"/>
            <w:shd w:val="clear" w:color="auto" w:fill="auto"/>
            <w:noWrap w:val="0"/>
            <w:vAlign w:val="center"/>
          </w:tcPr>
          <w:p>
            <w:pPr>
              <w:numPr>
                <w:ilvl w:val="0"/>
                <w:numId w:val="2"/>
              </w:numPr>
              <w:rPr>
                <w:rFonts w:hint="eastAsia" w:ascii="楷体" w:hAnsi="楷体" w:eastAsia="楷体"/>
                <w:color w:val="000000"/>
                <w:sz w:val="18"/>
                <w:szCs w:val="18"/>
              </w:rPr>
            </w:pPr>
            <w:r>
              <w:rPr>
                <w:rFonts w:hint="eastAsia" w:ascii="楷体" w:hAnsi="楷体" w:eastAsia="楷体"/>
                <w:color w:val="000000"/>
                <w:sz w:val="18"/>
                <w:szCs w:val="18"/>
              </w:rPr>
              <w:t>拖欠税费情况</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估价委托人未提供估价对象拖欠税费相关资料，拖欠税费情况不详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2501" w:type="dxa"/>
            <w:shd w:val="clear" w:color="auto" w:fill="auto"/>
            <w:noWrap w:val="0"/>
            <w:vAlign w:val="center"/>
          </w:tcPr>
          <w:p>
            <w:pPr>
              <w:numPr>
                <w:ilvl w:val="0"/>
                <w:numId w:val="2"/>
              </w:numPr>
              <w:rPr>
                <w:rFonts w:hint="eastAsia" w:ascii="楷体" w:hAnsi="楷体" w:eastAsia="楷体"/>
                <w:color w:val="000000"/>
                <w:sz w:val="18"/>
                <w:szCs w:val="18"/>
              </w:rPr>
            </w:pPr>
            <w:r>
              <w:rPr>
                <w:rFonts w:hint="eastAsia" w:ascii="楷体" w:hAnsi="楷体" w:eastAsia="楷体"/>
                <w:color w:val="000000"/>
                <w:sz w:val="18"/>
                <w:szCs w:val="18"/>
              </w:rPr>
              <w:t>查封等形式限制权情况</w:t>
            </w:r>
          </w:p>
        </w:tc>
        <w:tc>
          <w:tcPr>
            <w:tcW w:w="6534"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江西省萍乡市中级人民法院查封拟强制拍卖</w:t>
            </w:r>
          </w:p>
        </w:tc>
      </w:tr>
    </w:tbl>
    <w:p>
      <w:pPr>
        <w:spacing w:line="520" w:lineRule="exact"/>
        <w:ind w:firstLine="520" w:firstLineChars="217"/>
        <w:rPr>
          <w:rFonts w:hint="eastAsia" w:ascii="楷体" w:hAnsi="楷体" w:eastAsia="楷体"/>
          <w:color w:val="000000"/>
          <w:sz w:val="24"/>
          <w:szCs w:val="24"/>
        </w:rPr>
      </w:pPr>
      <w:r>
        <w:rPr>
          <w:rFonts w:hint="eastAsia" w:ascii="楷体" w:hAnsi="楷体" w:eastAsia="楷体"/>
          <w:color w:val="000000"/>
          <w:sz w:val="24"/>
          <w:szCs w:val="24"/>
        </w:rPr>
        <w:t>（三）土地基本状况</w:t>
      </w:r>
    </w:p>
    <w:tbl>
      <w:tblPr>
        <w:tblStyle w:val="1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1、坐落</w:t>
            </w:r>
          </w:p>
        </w:tc>
        <w:tc>
          <w:tcPr>
            <w:tcW w:w="7029"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olor w:val="000000"/>
                <w:sz w:val="18"/>
                <w:szCs w:val="18"/>
              </w:rPr>
              <w:t xml:space="preserve">龙岩市新罗区红坊街道龙港西路2号中国（龙岩）农产品物流城南区B区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2、四至</w:t>
            </w:r>
          </w:p>
        </w:tc>
        <w:tc>
          <w:tcPr>
            <w:tcW w:w="7029" w:type="dxa"/>
            <w:shd w:val="clear" w:color="auto" w:fill="auto"/>
            <w:noWrap w:val="0"/>
            <w:vAlign w:val="center"/>
          </w:tcPr>
          <w:p>
            <w:pPr>
              <w:rPr>
                <w:rFonts w:hint="eastAsia" w:ascii="楷体" w:hAnsi="楷体" w:eastAsia="楷体"/>
                <w:color w:val="000000"/>
                <w:sz w:val="18"/>
                <w:szCs w:val="18"/>
              </w:rPr>
            </w:pPr>
            <w:r>
              <w:rPr>
                <w:rFonts w:hint="eastAsia" w:ascii="楷体" w:hAnsi="楷体" w:eastAsia="楷体"/>
                <w:color w:val="000000"/>
                <w:sz w:val="18"/>
                <w:szCs w:val="18"/>
              </w:rPr>
              <w:t>小区宗地东至自界止、南至自界止、西至道</w:t>
            </w:r>
            <w:r>
              <w:rPr>
                <w:rFonts w:ascii="楷体" w:hAnsi="楷体" w:eastAsia="楷体"/>
                <w:color w:val="000000"/>
                <w:sz w:val="18"/>
                <w:szCs w:val="18"/>
              </w:rPr>
              <w:t>路</w:t>
            </w:r>
            <w:r>
              <w:rPr>
                <w:rFonts w:hint="eastAsia" w:ascii="楷体" w:hAnsi="楷体" w:eastAsia="楷体"/>
                <w:color w:val="000000"/>
                <w:sz w:val="18"/>
                <w:szCs w:val="18"/>
              </w:rPr>
              <w:t>、北至道路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3、权利类型</w:t>
            </w:r>
          </w:p>
        </w:tc>
        <w:tc>
          <w:tcPr>
            <w:tcW w:w="7029"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国有建设用地使用权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4、使用权类型</w:t>
            </w:r>
          </w:p>
        </w:tc>
        <w:tc>
          <w:tcPr>
            <w:tcW w:w="7029" w:type="dxa"/>
            <w:shd w:val="clear" w:color="auto" w:fill="auto"/>
            <w:noWrap w:val="0"/>
            <w:vAlign w:val="center"/>
          </w:tcPr>
          <w:p>
            <w:pPr>
              <w:rPr>
                <w:rFonts w:ascii="楷体" w:hAnsi="楷体" w:eastAsia="楷体" w:cs="楷体"/>
                <w:sz w:val="18"/>
                <w:szCs w:val="18"/>
              </w:rPr>
            </w:pPr>
            <w:r>
              <w:rPr>
                <w:rFonts w:hint="eastAsia" w:ascii="楷体" w:hAnsi="楷体" w:eastAsia="楷体" w:cs="楷体"/>
                <w:sz w:val="18"/>
                <w:szCs w:val="18"/>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5、用途</w:t>
            </w:r>
          </w:p>
        </w:tc>
        <w:tc>
          <w:tcPr>
            <w:tcW w:w="7029"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商服用地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6、规划条件</w:t>
            </w:r>
          </w:p>
        </w:tc>
        <w:tc>
          <w:tcPr>
            <w:tcW w:w="7029"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商业用房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2043"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s="楷体"/>
                <w:sz w:val="18"/>
                <w:szCs w:val="18"/>
              </w:rPr>
              <w:t>7、开发程度</w:t>
            </w:r>
          </w:p>
        </w:tc>
        <w:tc>
          <w:tcPr>
            <w:tcW w:w="7029" w:type="dxa"/>
            <w:shd w:val="clear" w:color="auto" w:fill="auto"/>
            <w:noWrap w:val="0"/>
            <w:vAlign w:val="center"/>
          </w:tcPr>
          <w:p>
            <w:pPr>
              <w:rPr>
                <w:rFonts w:hint="eastAsia" w:ascii="楷体" w:hAnsi="楷体" w:eastAsia="楷体" w:cs="楷体"/>
                <w:sz w:val="18"/>
                <w:szCs w:val="18"/>
              </w:rPr>
            </w:pPr>
            <w:r>
              <w:rPr>
                <w:rFonts w:hint="eastAsia" w:ascii="楷体" w:hAnsi="楷体" w:eastAsia="楷体"/>
                <w:color w:val="000000"/>
                <w:sz w:val="18"/>
                <w:szCs w:val="18"/>
              </w:rPr>
              <w:t>期房</w:t>
            </w:r>
            <w:r>
              <w:rPr>
                <w:rFonts w:hint="eastAsia" w:ascii="楷体" w:hAnsi="楷体" w:eastAsia="楷体" w:cs="楷体"/>
                <w:sz w:val="18"/>
                <w:szCs w:val="18"/>
              </w:rPr>
              <w:t>，宗地外已达到“五通”</w:t>
            </w:r>
          </w:p>
        </w:tc>
      </w:tr>
    </w:tbl>
    <w:p>
      <w:pPr>
        <w:spacing w:line="480" w:lineRule="exact"/>
        <w:ind w:firstLine="480" w:firstLineChars="200"/>
        <w:rPr>
          <w:rFonts w:hint="eastAsia" w:ascii="楷体" w:hAnsi="楷体" w:eastAsia="楷体"/>
          <w:sz w:val="24"/>
          <w:szCs w:val="24"/>
        </w:rPr>
      </w:pPr>
      <w:r>
        <w:rPr>
          <w:rFonts w:hint="eastAsia" w:ascii="楷体" w:hAnsi="楷体" w:eastAsia="楷体"/>
          <w:sz w:val="24"/>
          <w:szCs w:val="24"/>
        </w:rPr>
        <w:t>（四）建筑物基本状况</w:t>
      </w:r>
    </w:p>
    <w:tbl>
      <w:tblPr>
        <w:tblStyle w:val="10"/>
        <w:tblW w:w="90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1、房屋坐落</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color w:val="000000"/>
                <w:sz w:val="18"/>
                <w:szCs w:val="18"/>
              </w:rPr>
              <w:t xml:space="preserve">龙岩市新罗区红坊街道龙港西路2号中国（龙岩）农产品物流城南区B区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2、建筑结构、质式</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钢混结构，条状建筑物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3、设施设备</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带电梯、通信、水电等配套设施齐全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jc w:val="left"/>
              <w:rPr>
                <w:rFonts w:hint="eastAsia" w:ascii="楷体" w:hAnsi="楷体" w:eastAsia="楷体"/>
                <w:sz w:val="18"/>
                <w:szCs w:val="18"/>
              </w:rPr>
            </w:pPr>
            <w:r>
              <w:rPr>
                <w:rFonts w:hint="eastAsia" w:ascii="楷体" w:hAnsi="楷体" w:eastAsia="楷体"/>
                <w:sz w:val="18"/>
                <w:szCs w:val="18"/>
              </w:rPr>
              <w:t>4、装修情况</w:t>
            </w:r>
          </w:p>
        </w:tc>
        <w:tc>
          <w:tcPr>
            <w:tcW w:w="7085" w:type="dxa"/>
            <w:shd w:val="clear" w:color="auto" w:fill="auto"/>
            <w:noWrap w:val="0"/>
            <w:vAlign w:val="center"/>
          </w:tcPr>
          <w:p>
            <w:pPr>
              <w:spacing w:line="240" w:lineRule="exact"/>
              <w:jc w:val="left"/>
              <w:rPr>
                <w:rFonts w:hint="eastAsia" w:ascii="楷体" w:hAnsi="楷体" w:eastAsia="楷体"/>
                <w:sz w:val="18"/>
                <w:szCs w:val="18"/>
              </w:rPr>
            </w:pPr>
            <w:r>
              <w:rPr>
                <w:rFonts w:hint="eastAsia" w:ascii="楷体" w:hAnsi="楷体" w:eastAsia="楷体"/>
                <w:sz w:val="18"/>
                <w:szCs w:val="18"/>
              </w:rPr>
              <w:t>期房、室内</w:t>
            </w:r>
            <w:r>
              <w:rPr>
                <w:rFonts w:ascii="楷体" w:hAnsi="楷体" w:eastAsia="楷体"/>
                <w:sz w:val="18"/>
                <w:szCs w:val="18"/>
              </w:rPr>
              <w:t>为毛坯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5、建成时间及成新率</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color w:val="000000"/>
                <w:sz w:val="18"/>
                <w:szCs w:val="18"/>
              </w:rPr>
              <w:t>期房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6、使用及维护状况</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维护状况较好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7、外观</w:t>
            </w:r>
          </w:p>
        </w:tc>
        <w:tc>
          <w:tcPr>
            <w:tcW w:w="7085" w:type="dxa"/>
            <w:shd w:val="clear" w:color="auto" w:fill="auto"/>
            <w:noWrap w:val="0"/>
            <w:vAlign w:val="center"/>
          </w:tcPr>
          <w:p>
            <w:pPr>
              <w:spacing w:line="240" w:lineRule="exact"/>
              <w:rPr>
                <w:rFonts w:ascii="楷体" w:hAnsi="楷体" w:eastAsia="楷体"/>
                <w:sz w:val="18"/>
                <w:szCs w:val="18"/>
              </w:rPr>
            </w:pPr>
            <w:r>
              <w:rPr>
                <w:rFonts w:hint="eastAsia" w:ascii="楷体" w:hAnsi="楷体" w:eastAsia="楷体"/>
                <w:sz w:val="18"/>
                <w:szCs w:val="18"/>
              </w:rPr>
              <w:t>瓷砖饰面，建筑物外观较好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8、建筑面积（㎡）</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color w:val="000000"/>
                <w:sz w:val="18"/>
                <w:szCs w:val="18"/>
              </w:rPr>
              <w:t>估价对象商场建筑面积合计为</w:t>
            </w:r>
            <w:r>
              <w:rPr>
                <w:rFonts w:ascii="楷体" w:hAnsi="楷体" w:eastAsia="楷体"/>
                <w:color w:val="000000"/>
                <w:sz w:val="18"/>
                <w:szCs w:val="18"/>
              </w:rPr>
              <w:t>766.93</w:t>
            </w:r>
            <w:r>
              <w:rPr>
                <w:rFonts w:hint="eastAsia" w:ascii="楷体" w:hAnsi="楷体" w:eastAsia="楷体"/>
                <w:color w:val="000000"/>
                <w:sz w:val="18"/>
                <w:szCs w:val="18"/>
              </w:rPr>
              <w:t>㎡、</w:t>
            </w:r>
            <w:r>
              <w:rPr>
                <w:rFonts w:ascii="楷体" w:hAnsi="楷体" w:eastAsia="楷体"/>
                <w:color w:val="000000"/>
                <w:sz w:val="18"/>
                <w:szCs w:val="18"/>
              </w:rPr>
              <w:t>车位建筑面积</w:t>
            </w:r>
            <w:r>
              <w:rPr>
                <w:rFonts w:hint="eastAsia" w:ascii="楷体" w:hAnsi="楷体" w:eastAsia="楷体"/>
                <w:color w:val="000000"/>
                <w:sz w:val="18"/>
                <w:szCs w:val="18"/>
              </w:rPr>
              <w:t>合计为</w:t>
            </w:r>
            <w:r>
              <w:rPr>
                <w:rFonts w:ascii="楷体" w:hAnsi="楷体" w:eastAsia="楷体"/>
                <w:color w:val="000000"/>
                <w:sz w:val="18"/>
                <w:szCs w:val="18"/>
              </w:rPr>
              <w:t>687.60</w:t>
            </w:r>
            <w:r>
              <w:rPr>
                <w:rFonts w:hint="eastAsia" w:ascii="楷体" w:hAnsi="楷体" w:eastAsia="楷体"/>
                <w:color w:val="000000"/>
                <w:sz w:val="18"/>
                <w:szCs w:val="18"/>
              </w:rPr>
              <w:t>㎡（18个</w:t>
            </w:r>
            <w:r>
              <w:rPr>
                <w:rFonts w:ascii="楷体" w:hAnsi="楷体" w:eastAsia="楷体"/>
                <w:color w:val="000000"/>
                <w:sz w:val="18"/>
                <w:szCs w:val="18"/>
              </w:rPr>
              <w:t>车位</w:t>
            </w:r>
            <w:r>
              <w:rPr>
                <w:rFonts w:hint="eastAsia" w:ascii="楷体" w:hAnsi="楷体" w:eastAsia="楷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ascii="楷体" w:hAnsi="楷体" w:eastAsia="楷体"/>
                <w:sz w:val="18"/>
                <w:szCs w:val="18"/>
              </w:rPr>
              <w:t>9</w:t>
            </w:r>
            <w:r>
              <w:rPr>
                <w:rFonts w:hint="eastAsia" w:ascii="楷体" w:hAnsi="楷体" w:eastAsia="楷体"/>
                <w:sz w:val="18"/>
                <w:szCs w:val="18"/>
              </w:rPr>
              <w:t>、层高</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ascii="楷体" w:hAnsi="楷体" w:eastAsia="楷体"/>
                <w:sz w:val="18"/>
                <w:szCs w:val="18"/>
              </w:rPr>
              <w:t>层高</w:t>
            </w:r>
            <w:r>
              <w:rPr>
                <w:rFonts w:hint="eastAsia" w:ascii="楷体" w:hAnsi="楷体" w:eastAsia="楷体"/>
                <w:sz w:val="18"/>
                <w:szCs w:val="18"/>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1</w:t>
            </w:r>
            <w:r>
              <w:rPr>
                <w:rFonts w:ascii="楷体" w:hAnsi="楷体" w:eastAsia="楷体"/>
                <w:sz w:val="18"/>
                <w:szCs w:val="18"/>
              </w:rPr>
              <w:t>0</w:t>
            </w:r>
            <w:r>
              <w:rPr>
                <w:rFonts w:hint="eastAsia" w:ascii="楷体" w:hAnsi="楷体" w:eastAsia="楷体"/>
                <w:sz w:val="18"/>
                <w:szCs w:val="18"/>
              </w:rPr>
              <w:t>、现状利用</w:t>
            </w:r>
          </w:p>
        </w:tc>
        <w:tc>
          <w:tcPr>
            <w:tcW w:w="7085"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color w:val="000000"/>
                <w:sz w:val="18"/>
                <w:szCs w:val="18"/>
              </w:rPr>
              <w:t>期房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1984" w:type="dxa"/>
            <w:shd w:val="clear" w:color="auto" w:fill="auto"/>
            <w:noWrap w:val="0"/>
            <w:vAlign w:val="center"/>
          </w:tcPr>
          <w:p>
            <w:pPr>
              <w:spacing w:line="240" w:lineRule="exact"/>
              <w:rPr>
                <w:rFonts w:hint="eastAsia" w:ascii="楷体" w:hAnsi="楷体" w:eastAsia="楷体"/>
                <w:sz w:val="18"/>
                <w:szCs w:val="18"/>
              </w:rPr>
            </w:pPr>
            <w:r>
              <w:rPr>
                <w:rFonts w:hint="eastAsia" w:ascii="楷体" w:hAnsi="楷体" w:eastAsia="楷体"/>
                <w:sz w:val="18"/>
                <w:szCs w:val="18"/>
              </w:rPr>
              <w:t>11、</w:t>
            </w:r>
            <w:r>
              <w:rPr>
                <w:rFonts w:ascii="楷体" w:hAnsi="楷体" w:eastAsia="楷体"/>
                <w:sz w:val="18"/>
                <w:szCs w:val="18"/>
              </w:rPr>
              <w:t>形象进度</w:t>
            </w:r>
          </w:p>
        </w:tc>
        <w:tc>
          <w:tcPr>
            <w:tcW w:w="7085" w:type="dxa"/>
            <w:shd w:val="clear" w:color="auto" w:fill="auto"/>
            <w:noWrap w:val="0"/>
            <w:vAlign w:val="center"/>
          </w:tcPr>
          <w:p>
            <w:pPr>
              <w:spacing w:line="240" w:lineRule="exact"/>
              <w:rPr>
                <w:rFonts w:hint="eastAsia" w:ascii="楷体" w:hAnsi="楷体" w:eastAsia="楷体"/>
                <w:color w:val="000000"/>
                <w:sz w:val="18"/>
                <w:szCs w:val="18"/>
              </w:rPr>
            </w:pPr>
            <w:r>
              <w:rPr>
                <w:rFonts w:hint="eastAsia" w:ascii="楷体" w:hAnsi="楷体" w:eastAsia="楷体"/>
                <w:color w:val="000000"/>
                <w:sz w:val="18"/>
                <w:szCs w:val="18"/>
              </w:rPr>
              <w:t>估价</w:t>
            </w:r>
            <w:r>
              <w:rPr>
                <w:rFonts w:ascii="楷体" w:hAnsi="楷体" w:eastAsia="楷体"/>
                <w:color w:val="000000"/>
                <w:sz w:val="18"/>
                <w:szCs w:val="18"/>
              </w:rPr>
              <w:t>对象主体建筑</w:t>
            </w:r>
            <w:r>
              <w:rPr>
                <w:rFonts w:hint="eastAsia" w:ascii="楷体" w:hAnsi="楷体" w:eastAsia="楷体"/>
                <w:color w:val="000000"/>
                <w:sz w:val="18"/>
                <w:szCs w:val="18"/>
              </w:rPr>
              <w:t>已</w:t>
            </w:r>
            <w:r>
              <w:rPr>
                <w:rFonts w:ascii="楷体" w:hAnsi="楷体" w:eastAsia="楷体"/>
                <w:color w:val="000000"/>
                <w:sz w:val="18"/>
                <w:szCs w:val="18"/>
              </w:rPr>
              <w:t>完工，门窗、水</w:t>
            </w:r>
            <w:r>
              <w:rPr>
                <w:rFonts w:hint="eastAsia" w:ascii="楷体" w:hAnsi="楷体" w:eastAsia="楷体"/>
                <w:color w:val="000000"/>
                <w:sz w:val="18"/>
                <w:szCs w:val="18"/>
              </w:rPr>
              <w:t>、</w:t>
            </w:r>
            <w:r>
              <w:rPr>
                <w:rFonts w:ascii="楷体" w:hAnsi="楷体" w:eastAsia="楷体"/>
                <w:color w:val="000000"/>
                <w:sz w:val="18"/>
                <w:szCs w:val="18"/>
              </w:rPr>
              <w:t>消防已安装</w:t>
            </w:r>
            <w:r>
              <w:rPr>
                <w:rFonts w:hint="eastAsia" w:ascii="楷体" w:hAnsi="楷体" w:eastAsia="楷体"/>
                <w:color w:val="000000"/>
                <w:sz w:val="18"/>
                <w:szCs w:val="18"/>
              </w:rPr>
              <w:t>、</w:t>
            </w:r>
            <w:r>
              <w:rPr>
                <w:rFonts w:ascii="楷体" w:hAnsi="楷体" w:eastAsia="楷体"/>
                <w:color w:val="000000"/>
                <w:sz w:val="18"/>
                <w:szCs w:val="18"/>
              </w:rPr>
              <w:t>公共楼道</w:t>
            </w:r>
            <w:r>
              <w:rPr>
                <w:rFonts w:hint="eastAsia" w:ascii="楷体" w:hAnsi="楷体" w:eastAsia="楷体"/>
                <w:color w:val="000000"/>
                <w:sz w:val="18"/>
                <w:szCs w:val="18"/>
              </w:rPr>
              <w:t>、</w:t>
            </w:r>
            <w:r>
              <w:rPr>
                <w:rFonts w:ascii="楷体" w:hAnsi="楷体" w:eastAsia="楷体"/>
                <w:color w:val="000000"/>
                <w:sz w:val="18"/>
                <w:szCs w:val="18"/>
              </w:rPr>
              <w:t>外墙已装修完成。室内</w:t>
            </w:r>
            <w:r>
              <w:rPr>
                <w:rFonts w:hint="eastAsia" w:ascii="楷体" w:hAnsi="楷体" w:eastAsia="楷体"/>
                <w:color w:val="000000"/>
                <w:sz w:val="18"/>
                <w:szCs w:val="18"/>
              </w:rPr>
              <w:t>电、</w:t>
            </w:r>
            <w:r>
              <w:rPr>
                <w:rFonts w:ascii="楷体" w:hAnsi="楷体" w:eastAsia="楷体"/>
                <w:color w:val="000000"/>
                <w:sz w:val="18"/>
                <w:szCs w:val="18"/>
              </w:rPr>
              <w:t>楼幢电梯</w:t>
            </w:r>
            <w:r>
              <w:rPr>
                <w:rFonts w:hint="eastAsia" w:ascii="楷体" w:hAnsi="楷体" w:eastAsia="楷体"/>
                <w:color w:val="000000"/>
                <w:sz w:val="18"/>
                <w:szCs w:val="18"/>
              </w:rPr>
              <w:t>未安装</w:t>
            </w:r>
            <w:r>
              <w:rPr>
                <w:rFonts w:ascii="楷体" w:hAnsi="楷体" w:eastAsia="楷体"/>
                <w:color w:val="000000"/>
                <w:sz w:val="18"/>
                <w:szCs w:val="18"/>
              </w:rPr>
              <w:t>，公共绿化未完成</w:t>
            </w:r>
            <w:r>
              <w:rPr>
                <w:rFonts w:hint="eastAsia" w:ascii="楷体" w:hAnsi="楷体" w:eastAsia="楷体"/>
                <w:color w:val="000000"/>
                <w:sz w:val="18"/>
                <w:szCs w:val="18"/>
              </w:rPr>
              <w:t>；在建</w:t>
            </w:r>
            <w:r>
              <w:rPr>
                <w:rFonts w:ascii="楷体" w:hAnsi="楷体" w:eastAsia="楷体"/>
                <w:color w:val="000000"/>
                <w:sz w:val="18"/>
                <w:szCs w:val="18"/>
              </w:rPr>
              <w:t>工程整体形象进度</w:t>
            </w:r>
            <w:r>
              <w:rPr>
                <w:rFonts w:hint="eastAsia" w:ascii="楷体" w:hAnsi="楷体" w:eastAsia="楷体"/>
                <w:color w:val="000000"/>
                <w:sz w:val="18"/>
                <w:szCs w:val="18"/>
              </w:rPr>
              <w:t>约</w:t>
            </w:r>
            <w:r>
              <w:rPr>
                <w:rFonts w:ascii="楷体" w:hAnsi="楷体" w:eastAsia="楷体"/>
                <w:color w:val="000000"/>
                <w:sz w:val="18"/>
                <w:szCs w:val="18"/>
              </w:rPr>
              <w:t>为</w:t>
            </w:r>
            <w:r>
              <w:rPr>
                <w:rFonts w:hint="eastAsia" w:ascii="楷体" w:hAnsi="楷体" w:eastAsia="楷体"/>
                <w:color w:val="000000"/>
                <w:sz w:val="18"/>
                <w:szCs w:val="18"/>
              </w:rPr>
              <w:t>90%。</w:t>
            </w:r>
          </w:p>
        </w:tc>
      </w:tr>
    </w:tbl>
    <w:p>
      <w:pPr>
        <w:spacing w:line="600" w:lineRule="exact"/>
        <w:ind w:firstLine="495"/>
        <w:rPr>
          <w:rFonts w:hint="eastAsia" w:ascii="楷体" w:hAnsi="楷体" w:eastAsia="楷体"/>
          <w:sz w:val="24"/>
        </w:rPr>
      </w:pPr>
      <w:r>
        <w:rPr>
          <w:rFonts w:hint="eastAsia" w:ascii="楷体" w:hAnsi="楷体" w:eastAsia="楷体"/>
          <w:sz w:val="24"/>
        </w:rPr>
        <w:t>（五）估价</w:t>
      </w:r>
      <w:r>
        <w:rPr>
          <w:rFonts w:ascii="楷体" w:hAnsi="楷体" w:eastAsia="楷体"/>
          <w:sz w:val="24"/>
        </w:rPr>
        <w:t>对象</w:t>
      </w:r>
      <w:r>
        <w:rPr>
          <w:rFonts w:hint="eastAsia" w:ascii="楷体" w:hAnsi="楷体" w:eastAsia="楷体"/>
          <w:sz w:val="24"/>
        </w:rPr>
        <w:t>依据</w:t>
      </w:r>
      <w:r>
        <w:rPr>
          <w:rFonts w:hint="eastAsia" w:ascii="楷体" w:hAnsi="楷体" w:eastAsia="楷体"/>
          <w:sz w:val="24"/>
          <w:szCs w:val="24"/>
          <w:shd w:val="clear" w:color="auto" w:fill="FFFFFF"/>
        </w:rPr>
        <w:t>房屋</w:t>
      </w:r>
      <w:r>
        <w:rPr>
          <w:rFonts w:ascii="楷体" w:hAnsi="楷体" w:eastAsia="楷体"/>
          <w:sz w:val="24"/>
          <w:szCs w:val="24"/>
          <w:shd w:val="clear" w:color="auto" w:fill="FFFFFF"/>
        </w:rPr>
        <w:t>交易与产权档案管理系统</w:t>
      </w:r>
      <w:r>
        <w:rPr>
          <w:rFonts w:hint="eastAsia" w:ascii="楷体" w:hAnsi="楷体" w:eastAsia="楷体"/>
          <w:sz w:val="24"/>
          <w:szCs w:val="24"/>
          <w:shd w:val="clear" w:color="auto" w:fill="FFFFFF"/>
        </w:rPr>
        <w:t>查询</w:t>
      </w:r>
      <w:r>
        <w:rPr>
          <w:rFonts w:ascii="楷体" w:hAnsi="楷体" w:eastAsia="楷体"/>
          <w:sz w:val="24"/>
          <w:szCs w:val="24"/>
          <w:shd w:val="clear" w:color="auto" w:fill="FFFFFF"/>
        </w:rPr>
        <w:t>信息</w:t>
      </w:r>
      <w:r>
        <w:rPr>
          <w:rFonts w:hint="eastAsia" w:ascii="楷体" w:hAnsi="楷体" w:eastAsia="楷体"/>
          <w:sz w:val="24"/>
          <w:szCs w:val="24"/>
          <w:shd w:val="clear" w:color="auto" w:fill="FFFFFF"/>
        </w:rPr>
        <w:t>及</w:t>
      </w:r>
      <w:r>
        <w:rPr>
          <w:rFonts w:ascii="楷体" w:hAnsi="楷体" w:eastAsia="楷体"/>
          <w:sz w:val="24"/>
          <w:szCs w:val="24"/>
          <w:shd w:val="clear" w:color="auto" w:fill="FFFFFF"/>
        </w:rPr>
        <w:t>土地使用权证</w:t>
      </w:r>
      <w:r>
        <w:rPr>
          <w:rFonts w:hint="eastAsia" w:ascii="楷体" w:hAnsi="楷体" w:eastAsia="楷体"/>
          <w:sz w:val="24"/>
          <w:szCs w:val="24"/>
          <w:shd w:val="clear" w:color="auto" w:fill="FFFFFF"/>
        </w:rPr>
        <w:t>设定</w:t>
      </w:r>
    </w:p>
    <w:tbl>
      <w:tblPr>
        <w:tblStyle w:val="10"/>
        <w:tblW w:w="9098" w:type="dxa"/>
        <w:tblInd w:w="108" w:type="dxa"/>
        <w:tblLayout w:type="fixed"/>
        <w:tblCellMar>
          <w:top w:w="0" w:type="dxa"/>
          <w:left w:w="108" w:type="dxa"/>
          <w:bottom w:w="0" w:type="dxa"/>
          <w:right w:w="108" w:type="dxa"/>
        </w:tblCellMar>
      </w:tblPr>
      <w:tblGrid>
        <w:gridCol w:w="2308"/>
        <w:gridCol w:w="1076"/>
        <w:gridCol w:w="1608"/>
        <w:gridCol w:w="1436"/>
        <w:gridCol w:w="1429"/>
        <w:gridCol w:w="1241"/>
      </w:tblGrid>
      <w:tr>
        <w:tblPrEx>
          <w:tblLayout w:type="fixed"/>
          <w:tblCellMar>
            <w:top w:w="0" w:type="dxa"/>
            <w:left w:w="108" w:type="dxa"/>
            <w:bottom w:w="0" w:type="dxa"/>
            <w:right w:w="108" w:type="dxa"/>
          </w:tblCellMar>
        </w:tblPrEx>
        <w:trPr>
          <w:trHeight w:val="245" w:hRule="atLeast"/>
        </w:trPr>
        <w:tc>
          <w:tcPr>
            <w:tcW w:w="2308" w:type="dxa"/>
            <w:tcBorders>
              <w:top w:val="single" w:color="auto" w:sz="4" w:space="0"/>
              <w:left w:val="nil"/>
              <w:bottom w:val="single" w:color="auto" w:sz="4" w:space="0"/>
              <w:right w:val="single" w:color="auto" w:sz="4" w:space="0"/>
            </w:tcBorders>
            <w:shd w:val="clear" w:color="000000" w:fill="EBF1DE"/>
            <w:noWrap w:val="0"/>
            <w:vAlign w:val="center"/>
          </w:tcPr>
          <w:p>
            <w:pPr>
              <w:widowControl/>
              <w:spacing w:line="240" w:lineRule="exact"/>
              <w:jc w:val="center"/>
              <w:rPr>
                <w:rFonts w:ascii="楷体" w:hAnsi="楷体" w:eastAsia="楷体" w:cs="宋体"/>
                <w:kern w:val="0"/>
                <w:sz w:val="18"/>
                <w:szCs w:val="18"/>
              </w:rPr>
            </w:pPr>
            <w:r>
              <w:rPr>
                <w:rFonts w:hint="eastAsia" w:ascii="楷体" w:hAnsi="楷体" w:eastAsia="楷体" w:cs="宋体"/>
                <w:kern w:val="0"/>
                <w:sz w:val="18"/>
                <w:szCs w:val="18"/>
              </w:rPr>
              <w:t xml:space="preserve">估价对象 </w:t>
            </w:r>
          </w:p>
        </w:tc>
        <w:tc>
          <w:tcPr>
            <w:tcW w:w="1076"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面积</w:t>
            </w:r>
            <w:r>
              <w:rPr>
                <w:rFonts w:hint="eastAsia" w:ascii="楷体" w:hAnsi="楷体" w:eastAsia="楷体" w:cs="楷体"/>
                <w:sz w:val="18"/>
                <w:szCs w:val="18"/>
              </w:rPr>
              <w:t>（㎡）</w:t>
            </w:r>
          </w:p>
        </w:tc>
        <w:tc>
          <w:tcPr>
            <w:tcW w:w="1608"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用途</w:t>
            </w:r>
          </w:p>
        </w:tc>
        <w:tc>
          <w:tcPr>
            <w:tcW w:w="1436"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权利性质</w:t>
            </w:r>
          </w:p>
        </w:tc>
        <w:tc>
          <w:tcPr>
            <w:tcW w:w="1429"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建筑结构</w:t>
            </w:r>
          </w:p>
        </w:tc>
        <w:tc>
          <w:tcPr>
            <w:tcW w:w="1241" w:type="dxa"/>
            <w:tcBorders>
              <w:top w:val="single" w:color="auto" w:sz="4" w:space="0"/>
              <w:left w:val="nil"/>
              <w:bottom w:val="single" w:color="auto" w:sz="4" w:space="0"/>
              <w:right w:val="single" w:color="auto" w:sz="4" w:space="0"/>
            </w:tcBorders>
            <w:shd w:val="clear" w:color="000000" w:fill="EBF1DE"/>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位置</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3幢301号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52.01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楷体" w:hAnsi="楷体" w:eastAsia="楷体"/>
                <w:kern w:val="0"/>
                <w:sz w:val="18"/>
                <w:szCs w:val="18"/>
              </w:rPr>
            </w:pPr>
            <w:r>
              <w:rPr>
                <w:rFonts w:hint="eastAsia" w:ascii="楷体" w:hAnsi="楷体" w:eastAsia="楷体"/>
                <w:sz w:val="18"/>
                <w:szCs w:val="18"/>
              </w:rPr>
              <w:t>第3层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3幢302号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32.34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第3层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3幢313号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63.56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第3层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3幢412号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104.98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第4层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4幢518号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55.72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5幢401号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147.20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第4层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7幢502号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94.09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7幢504号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115.18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7幢505号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101.85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商服用地/商场</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第5层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2-6、8-16幢C007号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2-6、8-16幢C022号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2-6、8-16幢C023号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2-6、8-16幢C028号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2-6、8-16幢C039号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2-6、8-16幢C054号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2-6、8-16幢C055号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2-6、8-16幢C056号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2-6、8-16幢C057号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2-6、8-16幢C058号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2-6、8-16幢C059号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2-6、8-16幢C060号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2-6、8-16幢C064号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2-6、8-16幢C067号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2-6、8-16幢C068号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2-6、8-16幢C069号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2-6、8-16幢C070号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r>
        <w:tblPrEx>
          <w:tblLayout w:type="fixed"/>
          <w:tblCellMar>
            <w:top w:w="0" w:type="dxa"/>
            <w:left w:w="108" w:type="dxa"/>
            <w:bottom w:w="0" w:type="dxa"/>
            <w:right w:w="108" w:type="dxa"/>
          </w:tblCellMar>
        </w:tblPrEx>
        <w:trPr>
          <w:trHeight w:val="245" w:hRule="atLeast"/>
        </w:trPr>
        <w:tc>
          <w:tcPr>
            <w:tcW w:w="2308" w:type="dxa"/>
            <w:tcBorders>
              <w:top w:val="nil"/>
              <w:left w:val="nil"/>
              <w:bottom w:val="single" w:color="auto" w:sz="4" w:space="0"/>
              <w:right w:val="single" w:color="auto" w:sz="4" w:space="0"/>
            </w:tcBorders>
            <w:shd w:val="clear" w:color="000000" w:fill="EBF1DE"/>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2-6、8-16幢C074号 </w:t>
            </w:r>
          </w:p>
        </w:tc>
        <w:tc>
          <w:tcPr>
            <w:tcW w:w="107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38.20 </w:t>
            </w:r>
          </w:p>
        </w:tc>
        <w:tc>
          <w:tcPr>
            <w:tcW w:w="1608"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车位</w:t>
            </w:r>
          </w:p>
        </w:tc>
        <w:tc>
          <w:tcPr>
            <w:tcW w:w="1436"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出让/商品房</w:t>
            </w:r>
          </w:p>
        </w:tc>
        <w:tc>
          <w:tcPr>
            <w:tcW w:w="1429"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钢混</w:t>
            </w:r>
          </w:p>
        </w:tc>
        <w:tc>
          <w:tcPr>
            <w:tcW w:w="1241"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地下1层</w:t>
            </w:r>
          </w:p>
        </w:tc>
      </w:tr>
    </w:tbl>
    <w:p>
      <w:pPr>
        <w:spacing w:line="600" w:lineRule="exact"/>
        <w:ind w:firstLine="495"/>
        <w:rPr>
          <w:rFonts w:hint="eastAsia" w:ascii="楷体" w:hAnsi="楷体" w:eastAsia="楷体"/>
          <w:sz w:val="24"/>
          <w:szCs w:val="24"/>
        </w:rPr>
      </w:pPr>
      <w:r>
        <w:rPr>
          <w:rFonts w:hint="eastAsia" w:ascii="楷体" w:hAnsi="楷体" w:eastAsia="楷体"/>
          <w:sz w:val="24"/>
        </w:rPr>
        <w:t>（六）估价</w:t>
      </w:r>
      <w:r>
        <w:rPr>
          <w:rFonts w:ascii="楷体" w:hAnsi="楷体" w:eastAsia="楷体"/>
          <w:sz w:val="24"/>
        </w:rPr>
        <w:t>对象所处宗地</w:t>
      </w:r>
      <w:r>
        <w:rPr>
          <w:rFonts w:hint="eastAsia" w:ascii="楷体" w:hAnsi="楷体" w:eastAsia="楷体"/>
          <w:sz w:val="24"/>
          <w:szCs w:val="24"/>
        </w:rPr>
        <w:t>土地使用权情况</w:t>
      </w:r>
    </w:p>
    <w:tbl>
      <w:tblPr>
        <w:tblStyle w:val="10"/>
        <w:tblW w:w="9135" w:type="dxa"/>
        <w:tblInd w:w="108" w:type="dxa"/>
        <w:tblLayout w:type="fixed"/>
        <w:tblCellMar>
          <w:top w:w="0" w:type="dxa"/>
          <w:left w:w="108" w:type="dxa"/>
          <w:bottom w:w="0" w:type="dxa"/>
          <w:right w:w="108" w:type="dxa"/>
        </w:tblCellMar>
      </w:tblPr>
      <w:tblGrid>
        <w:gridCol w:w="2169"/>
        <w:gridCol w:w="6966"/>
      </w:tblGrid>
      <w:tr>
        <w:tblPrEx>
          <w:tblLayout w:type="fixed"/>
          <w:tblCellMar>
            <w:top w:w="0" w:type="dxa"/>
            <w:left w:w="108" w:type="dxa"/>
            <w:bottom w:w="0" w:type="dxa"/>
            <w:right w:w="108" w:type="dxa"/>
          </w:tblCellMar>
        </w:tblPrEx>
        <w:trPr>
          <w:trHeight w:val="504"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土地使用权</w:t>
            </w:r>
            <w:r>
              <w:rPr>
                <w:rFonts w:ascii="楷体" w:hAnsi="楷体" w:eastAsia="楷体"/>
                <w:kern w:val="0"/>
                <w:sz w:val="18"/>
                <w:szCs w:val="18"/>
              </w:rPr>
              <w:t>证</w:t>
            </w:r>
            <w:r>
              <w:rPr>
                <w:rFonts w:hint="eastAsia" w:ascii="楷体" w:hAnsi="楷体" w:eastAsia="楷体"/>
                <w:kern w:val="0"/>
                <w:sz w:val="18"/>
                <w:szCs w:val="18"/>
              </w:rPr>
              <w:t>号</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color w:val="000000"/>
                <w:sz w:val="18"/>
                <w:szCs w:val="18"/>
              </w:rPr>
              <w:t>龙国</w:t>
            </w:r>
            <w:r>
              <w:rPr>
                <w:rFonts w:ascii="楷体" w:hAnsi="楷体" w:eastAsia="楷体"/>
                <w:color w:val="000000"/>
                <w:sz w:val="18"/>
                <w:szCs w:val="18"/>
              </w:rPr>
              <w:t>用（</w:t>
            </w:r>
            <w:r>
              <w:rPr>
                <w:rFonts w:hint="eastAsia" w:ascii="楷体" w:hAnsi="楷体" w:eastAsia="楷体"/>
                <w:color w:val="000000"/>
                <w:sz w:val="18"/>
                <w:szCs w:val="18"/>
              </w:rPr>
              <w:t>2014</w:t>
            </w:r>
            <w:r>
              <w:rPr>
                <w:rFonts w:ascii="楷体" w:hAnsi="楷体" w:eastAsia="楷体"/>
                <w:color w:val="000000"/>
                <w:sz w:val="18"/>
                <w:szCs w:val="18"/>
              </w:rPr>
              <w:t>）</w:t>
            </w:r>
            <w:r>
              <w:rPr>
                <w:rFonts w:hint="eastAsia" w:ascii="楷体" w:hAnsi="楷体" w:eastAsia="楷体"/>
                <w:color w:val="000000"/>
                <w:sz w:val="18"/>
                <w:szCs w:val="18"/>
              </w:rPr>
              <w:t>第006026号</w:t>
            </w:r>
          </w:p>
        </w:tc>
      </w:tr>
      <w:tr>
        <w:tblPrEx>
          <w:tblLayout w:type="fixed"/>
          <w:tblCellMar>
            <w:top w:w="0" w:type="dxa"/>
            <w:left w:w="108" w:type="dxa"/>
            <w:bottom w:w="0" w:type="dxa"/>
            <w:right w:w="108" w:type="dxa"/>
          </w:tblCellMar>
        </w:tblPrEx>
        <w:trPr>
          <w:trHeight w:val="504"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土地使用权</w:t>
            </w:r>
            <w:r>
              <w:rPr>
                <w:rFonts w:ascii="楷体" w:hAnsi="楷体" w:eastAsia="楷体"/>
                <w:kern w:val="0"/>
                <w:sz w:val="18"/>
                <w:szCs w:val="18"/>
              </w:rPr>
              <w:t>人</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福建中</w:t>
            </w:r>
            <w:r>
              <w:rPr>
                <w:rFonts w:ascii="楷体" w:hAnsi="楷体" w:eastAsia="楷体"/>
                <w:kern w:val="0"/>
                <w:sz w:val="18"/>
                <w:szCs w:val="18"/>
              </w:rPr>
              <w:t>合农产品市场有限公司</w:t>
            </w:r>
          </w:p>
        </w:tc>
      </w:tr>
      <w:tr>
        <w:tblPrEx>
          <w:tblLayout w:type="fixed"/>
          <w:tblCellMar>
            <w:top w:w="0" w:type="dxa"/>
            <w:left w:w="108" w:type="dxa"/>
            <w:bottom w:w="0" w:type="dxa"/>
            <w:right w:w="108" w:type="dxa"/>
          </w:tblCellMar>
        </w:tblPrEx>
        <w:trPr>
          <w:trHeight w:val="504"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座落</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新罗区红坊</w:t>
            </w:r>
            <w:r>
              <w:rPr>
                <w:rFonts w:ascii="楷体" w:hAnsi="楷体" w:eastAsia="楷体"/>
                <w:kern w:val="0"/>
                <w:sz w:val="18"/>
                <w:szCs w:val="18"/>
              </w:rPr>
              <w:t>镇龙港路南侧、红坊溪西侧（</w:t>
            </w:r>
            <w:r>
              <w:rPr>
                <w:rFonts w:hint="eastAsia" w:ascii="楷体" w:hAnsi="楷体" w:eastAsia="楷体"/>
                <w:kern w:val="0"/>
                <w:sz w:val="18"/>
                <w:szCs w:val="18"/>
              </w:rPr>
              <w:t>红坊</w:t>
            </w:r>
            <w:r>
              <w:rPr>
                <w:rFonts w:ascii="楷体" w:hAnsi="楷体" w:eastAsia="楷体"/>
                <w:kern w:val="0"/>
                <w:sz w:val="18"/>
                <w:szCs w:val="18"/>
              </w:rPr>
              <w:t>快速通道北侧农场品物流园区</w:t>
            </w:r>
            <w:r>
              <w:rPr>
                <w:rFonts w:hint="eastAsia" w:ascii="楷体" w:hAnsi="楷体" w:eastAsia="楷体"/>
                <w:kern w:val="0"/>
                <w:sz w:val="18"/>
                <w:szCs w:val="18"/>
              </w:rPr>
              <w:t>B地块</w:t>
            </w:r>
            <w:r>
              <w:rPr>
                <w:rFonts w:ascii="楷体" w:hAnsi="楷体" w:eastAsia="楷体"/>
                <w:kern w:val="0"/>
                <w:sz w:val="18"/>
                <w:szCs w:val="18"/>
              </w:rPr>
              <w:t>）</w:t>
            </w:r>
          </w:p>
        </w:tc>
      </w:tr>
      <w:tr>
        <w:tblPrEx>
          <w:tblLayout w:type="fixed"/>
          <w:tblCellMar>
            <w:top w:w="0" w:type="dxa"/>
            <w:left w:w="108" w:type="dxa"/>
            <w:bottom w:w="0" w:type="dxa"/>
            <w:right w:w="108" w:type="dxa"/>
          </w:tblCellMar>
        </w:tblPrEx>
        <w:trPr>
          <w:trHeight w:val="504"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地号</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ascii="楷体" w:hAnsi="楷体" w:eastAsia="楷体"/>
                <w:kern w:val="0"/>
                <w:sz w:val="18"/>
                <w:szCs w:val="18"/>
              </w:rPr>
              <w:t>460-12-6</w:t>
            </w:r>
          </w:p>
        </w:tc>
      </w:tr>
      <w:tr>
        <w:tblPrEx>
          <w:tblLayout w:type="fixed"/>
          <w:tblCellMar>
            <w:top w:w="0" w:type="dxa"/>
            <w:left w:w="108" w:type="dxa"/>
            <w:bottom w:w="0" w:type="dxa"/>
            <w:right w:w="108" w:type="dxa"/>
          </w:tblCellMar>
        </w:tblPrEx>
        <w:trPr>
          <w:trHeight w:val="504"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地类用途</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商服用地</w:t>
            </w:r>
            <w:r>
              <w:rPr>
                <w:rFonts w:ascii="楷体" w:hAnsi="楷体" w:eastAsia="楷体"/>
                <w:kern w:val="0"/>
                <w:sz w:val="18"/>
                <w:szCs w:val="18"/>
              </w:rPr>
              <w:t>（</w:t>
            </w:r>
            <w:r>
              <w:rPr>
                <w:rFonts w:hint="eastAsia" w:ascii="楷体" w:hAnsi="楷体" w:eastAsia="楷体"/>
                <w:kern w:val="0"/>
                <w:sz w:val="18"/>
                <w:szCs w:val="18"/>
              </w:rPr>
              <w:t>详见</w:t>
            </w:r>
            <w:r>
              <w:rPr>
                <w:rFonts w:ascii="楷体" w:hAnsi="楷体" w:eastAsia="楷体"/>
                <w:kern w:val="0"/>
                <w:sz w:val="18"/>
                <w:szCs w:val="18"/>
              </w:rPr>
              <w:t>记事栏）</w:t>
            </w:r>
          </w:p>
        </w:tc>
      </w:tr>
      <w:tr>
        <w:tblPrEx>
          <w:tblLayout w:type="fixed"/>
          <w:tblCellMar>
            <w:top w:w="0" w:type="dxa"/>
            <w:left w:w="108" w:type="dxa"/>
            <w:bottom w:w="0" w:type="dxa"/>
            <w:right w:w="108" w:type="dxa"/>
          </w:tblCellMar>
        </w:tblPrEx>
        <w:trPr>
          <w:trHeight w:val="504"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使用权类型</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出让</w:t>
            </w:r>
          </w:p>
        </w:tc>
      </w:tr>
      <w:tr>
        <w:tblPrEx>
          <w:tblLayout w:type="fixed"/>
          <w:tblCellMar>
            <w:top w:w="0" w:type="dxa"/>
            <w:left w:w="108" w:type="dxa"/>
            <w:bottom w:w="0" w:type="dxa"/>
            <w:right w:w="108" w:type="dxa"/>
          </w:tblCellMar>
        </w:tblPrEx>
        <w:trPr>
          <w:trHeight w:val="520"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终止日期</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2</w:t>
            </w:r>
            <w:r>
              <w:rPr>
                <w:rFonts w:ascii="楷体" w:hAnsi="楷体" w:eastAsia="楷体"/>
                <w:kern w:val="0"/>
                <w:sz w:val="18"/>
                <w:szCs w:val="18"/>
              </w:rPr>
              <w:t>013</w:t>
            </w:r>
            <w:r>
              <w:rPr>
                <w:rFonts w:hint="eastAsia" w:ascii="楷体" w:hAnsi="楷体" w:eastAsia="楷体"/>
                <w:kern w:val="0"/>
                <w:sz w:val="18"/>
                <w:szCs w:val="18"/>
              </w:rPr>
              <w:t>年10月24日</w:t>
            </w:r>
            <w:r>
              <w:rPr>
                <w:rFonts w:ascii="楷体" w:hAnsi="楷体" w:eastAsia="楷体"/>
                <w:kern w:val="0"/>
                <w:sz w:val="18"/>
                <w:szCs w:val="18"/>
              </w:rPr>
              <w:t>至</w:t>
            </w:r>
            <w:r>
              <w:rPr>
                <w:rFonts w:hint="eastAsia" w:ascii="楷体" w:hAnsi="楷体" w:eastAsia="楷体"/>
                <w:kern w:val="0"/>
                <w:sz w:val="18"/>
                <w:szCs w:val="18"/>
              </w:rPr>
              <w:t>2053年10月23日</w:t>
            </w:r>
          </w:p>
        </w:tc>
      </w:tr>
      <w:tr>
        <w:tblPrEx>
          <w:tblLayout w:type="fixed"/>
          <w:tblCellMar>
            <w:top w:w="0" w:type="dxa"/>
            <w:left w:w="108" w:type="dxa"/>
            <w:bottom w:w="0" w:type="dxa"/>
            <w:right w:w="108" w:type="dxa"/>
          </w:tblCellMar>
        </w:tblPrEx>
        <w:trPr>
          <w:trHeight w:val="520"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使用权面积</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38752</w:t>
            </w:r>
            <w:r>
              <w:rPr>
                <w:rFonts w:hint="eastAsia" w:ascii="楷体" w:hAnsi="楷体" w:eastAsia="楷体" w:cs="楷体"/>
                <w:sz w:val="18"/>
                <w:szCs w:val="18"/>
              </w:rPr>
              <w:t>㎡</w:t>
            </w:r>
          </w:p>
        </w:tc>
      </w:tr>
      <w:tr>
        <w:tblPrEx>
          <w:tblLayout w:type="fixed"/>
          <w:tblCellMar>
            <w:top w:w="0" w:type="dxa"/>
            <w:left w:w="108" w:type="dxa"/>
            <w:bottom w:w="0" w:type="dxa"/>
            <w:right w:w="108" w:type="dxa"/>
          </w:tblCellMar>
        </w:tblPrEx>
        <w:trPr>
          <w:trHeight w:val="520" w:hRule="atLeast"/>
        </w:trPr>
        <w:tc>
          <w:tcPr>
            <w:tcW w:w="216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独用面积</w:t>
            </w:r>
          </w:p>
        </w:tc>
        <w:tc>
          <w:tcPr>
            <w:tcW w:w="6966" w:type="dxa"/>
            <w:tcBorders>
              <w:top w:val="single" w:color="000000" w:sz="4" w:space="0"/>
              <w:left w:val="nil"/>
              <w:bottom w:val="single" w:color="000000" w:sz="4" w:space="0"/>
              <w:right w:val="single" w:color="000000" w:sz="4" w:space="0"/>
            </w:tcBorders>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38752</w:t>
            </w:r>
            <w:r>
              <w:rPr>
                <w:rFonts w:hint="eastAsia" w:ascii="楷体" w:hAnsi="楷体" w:eastAsia="楷体" w:cs="楷体"/>
                <w:sz w:val="18"/>
                <w:szCs w:val="18"/>
              </w:rPr>
              <w:t>㎡</w:t>
            </w:r>
          </w:p>
        </w:tc>
      </w:tr>
    </w:tbl>
    <w:p>
      <w:pPr>
        <w:spacing w:line="430" w:lineRule="exact"/>
        <w:ind w:firstLine="472" w:firstLineChars="197"/>
        <w:rPr>
          <w:rFonts w:hint="eastAsia" w:ascii="楷体" w:hAnsi="楷体" w:eastAsia="楷体"/>
          <w:bCs/>
          <w:color w:val="000000"/>
          <w:sz w:val="24"/>
        </w:rPr>
      </w:pPr>
      <w:r>
        <w:rPr>
          <w:rFonts w:hint="eastAsia" w:ascii="楷体" w:hAnsi="楷体" w:eastAsia="楷体"/>
          <w:bCs/>
          <w:color w:val="000000"/>
          <w:sz w:val="24"/>
        </w:rPr>
        <w:t>（七）建筑物</w:t>
      </w:r>
      <w:r>
        <w:rPr>
          <w:rFonts w:ascii="楷体" w:hAnsi="楷体" w:eastAsia="楷体"/>
          <w:bCs/>
          <w:color w:val="000000"/>
          <w:sz w:val="24"/>
        </w:rPr>
        <w:t>权属</w:t>
      </w:r>
    </w:p>
    <w:p>
      <w:pPr>
        <w:spacing w:line="430" w:lineRule="exact"/>
        <w:ind w:firstLine="475" w:firstLineChars="197"/>
        <w:rPr>
          <w:rFonts w:hint="eastAsia" w:ascii="楷体" w:hAnsi="楷体" w:eastAsia="楷体"/>
          <w:b/>
          <w:bCs/>
          <w:sz w:val="24"/>
        </w:rPr>
      </w:pPr>
      <w:r>
        <w:rPr>
          <w:rFonts w:hint="eastAsia" w:ascii="楷体" w:hAnsi="楷体" w:eastAsia="楷体"/>
          <w:b/>
          <w:sz w:val="24"/>
        </w:rPr>
        <w:t>1、建设用地规划许可证</w:t>
      </w:r>
    </w:p>
    <w:tbl>
      <w:tblPr>
        <w:tblStyle w:val="10"/>
        <w:tblW w:w="91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205"/>
        <w:gridCol w:w="839"/>
        <w:gridCol w:w="857"/>
        <w:gridCol w:w="2147"/>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7" w:hRule="atLeast"/>
        </w:trPr>
        <w:tc>
          <w:tcPr>
            <w:tcW w:w="167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建设用地规划许可证</w:t>
            </w:r>
          </w:p>
        </w:tc>
        <w:tc>
          <w:tcPr>
            <w:tcW w:w="120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用地单位</w:t>
            </w:r>
          </w:p>
        </w:tc>
        <w:tc>
          <w:tcPr>
            <w:tcW w:w="839"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用地项目名称</w:t>
            </w:r>
          </w:p>
        </w:tc>
        <w:tc>
          <w:tcPr>
            <w:tcW w:w="857"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用地位置</w:t>
            </w:r>
          </w:p>
        </w:tc>
        <w:tc>
          <w:tcPr>
            <w:tcW w:w="2147"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用地性质</w:t>
            </w:r>
          </w:p>
        </w:tc>
        <w:tc>
          <w:tcPr>
            <w:tcW w:w="2431" w:type="dxa"/>
            <w:shd w:val="clear" w:color="auto" w:fill="auto"/>
            <w:noWrap w:val="0"/>
            <w:vAlign w:val="center"/>
          </w:tcPr>
          <w:p>
            <w:pPr>
              <w:widowControl/>
              <w:spacing w:line="240" w:lineRule="exact"/>
              <w:jc w:val="center"/>
              <w:rPr>
                <w:rFonts w:ascii="楷体" w:hAnsi="楷体" w:eastAsia="楷体"/>
                <w:kern w:val="0"/>
                <w:sz w:val="18"/>
                <w:szCs w:val="18"/>
              </w:rPr>
            </w:pPr>
            <w:r>
              <w:rPr>
                <w:rFonts w:hint="eastAsia" w:ascii="楷体" w:hAnsi="楷体" w:eastAsia="楷体"/>
                <w:kern w:val="0"/>
                <w:sz w:val="18"/>
                <w:szCs w:val="18"/>
              </w:rPr>
              <w:t>用地面积</w:t>
            </w:r>
          </w:p>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67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地字第</w:t>
            </w:r>
            <w:r>
              <w:rPr>
                <w:rFonts w:ascii="楷体" w:hAnsi="楷体" w:eastAsia="楷体"/>
                <w:kern w:val="0"/>
                <w:sz w:val="18"/>
                <w:szCs w:val="18"/>
              </w:rPr>
              <w:t>350800201300140</w:t>
            </w:r>
            <w:r>
              <w:rPr>
                <w:rFonts w:hint="eastAsia" w:ascii="楷体" w:hAnsi="楷体" w:eastAsia="楷体"/>
                <w:kern w:val="0"/>
                <w:sz w:val="18"/>
                <w:szCs w:val="18"/>
              </w:rPr>
              <w:t>号</w:t>
            </w:r>
          </w:p>
        </w:tc>
        <w:tc>
          <w:tcPr>
            <w:tcW w:w="120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福建中</w:t>
            </w:r>
            <w:r>
              <w:rPr>
                <w:rFonts w:ascii="楷体" w:hAnsi="楷体" w:eastAsia="楷体"/>
                <w:kern w:val="0"/>
                <w:sz w:val="18"/>
                <w:szCs w:val="18"/>
              </w:rPr>
              <w:t>合农产品市场有限公司</w:t>
            </w:r>
          </w:p>
        </w:tc>
        <w:tc>
          <w:tcPr>
            <w:tcW w:w="839"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中国（龙岩）农产品</w:t>
            </w:r>
            <w:r>
              <w:rPr>
                <w:rFonts w:ascii="楷体" w:hAnsi="楷体" w:eastAsia="楷体"/>
                <w:kern w:val="0"/>
                <w:sz w:val="18"/>
                <w:szCs w:val="18"/>
              </w:rPr>
              <w:t>物流交易城（</w:t>
            </w:r>
            <w:r>
              <w:rPr>
                <w:rFonts w:hint="eastAsia" w:ascii="楷体" w:hAnsi="楷体" w:eastAsia="楷体"/>
                <w:kern w:val="0"/>
                <w:sz w:val="18"/>
                <w:szCs w:val="18"/>
              </w:rPr>
              <w:t>一期</w:t>
            </w:r>
            <w:r>
              <w:rPr>
                <w:rFonts w:ascii="楷体" w:hAnsi="楷体" w:eastAsia="楷体"/>
                <w:kern w:val="0"/>
                <w:sz w:val="18"/>
                <w:szCs w:val="18"/>
              </w:rPr>
              <w:t>）</w:t>
            </w:r>
          </w:p>
        </w:tc>
        <w:tc>
          <w:tcPr>
            <w:tcW w:w="857"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龙岩陆地港</w:t>
            </w:r>
          </w:p>
        </w:tc>
        <w:tc>
          <w:tcPr>
            <w:tcW w:w="2147"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商服用地-批发零售用地（批发市场）、商服用地-商务金融用地（写字楼）、商服用地-住宿餐饮用地（酒店）</w:t>
            </w:r>
          </w:p>
        </w:tc>
        <w:tc>
          <w:tcPr>
            <w:tcW w:w="2431" w:type="dxa"/>
            <w:shd w:val="clear" w:color="auto" w:fill="auto"/>
            <w:noWrap w:val="0"/>
            <w:vAlign w:val="center"/>
          </w:tcPr>
          <w:p>
            <w:pPr>
              <w:widowControl/>
              <w:spacing w:line="240" w:lineRule="exact"/>
              <w:jc w:val="center"/>
              <w:rPr>
                <w:rFonts w:hint="eastAsia" w:ascii="宋体" w:hAnsi="宋体" w:cs="宋体"/>
                <w:kern w:val="0"/>
                <w:sz w:val="18"/>
                <w:szCs w:val="18"/>
              </w:rPr>
            </w:pPr>
            <w:r>
              <w:rPr>
                <w:rFonts w:ascii="楷体" w:hAnsi="楷体" w:eastAsia="楷体"/>
                <w:kern w:val="0"/>
                <w:sz w:val="18"/>
                <w:szCs w:val="18"/>
              </w:rPr>
              <w:t>196615</w:t>
            </w:r>
            <w:r>
              <w:rPr>
                <w:rFonts w:hint="eastAsia" w:ascii="楷体" w:hAnsi="楷体" w:eastAsia="楷体"/>
                <w:kern w:val="0"/>
                <w:sz w:val="18"/>
                <w:szCs w:val="18"/>
              </w:rPr>
              <w:t>平方米</w:t>
            </w:r>
            <w:r>
              <w:rPr>
                <w:rFonts w:ascii="楷体" w:hAnsi="楷体" w:eastAsia="楷体"/>
                <w:kern w:val="0"/>
                <w:sz w:val="18"/>
                <w:szCs w:val="18"/>
              </w:rPr>
              <w:t>（</w:t>
            </w:r>
            <w:r>
              <w:rPr>
                <w:rFonts w:hint="eastAsia" w:ascii="楷体" w:hAnsi="楷体" w:eastAsia="楷体"/>
                <w:kern w:val="0"/>
                <w:sz w:val="18"/>
                <w:szCs w:val="18"/>
              </w:rPr>
              <w:t>其中A地块-期出让</w:t>
            </w:r>
            <w:r>
              <w:rPr>
                <w:rFonts w:ascii="楷体" w:hAnsi="楷体" w:eastAsia="楷体"/>
                <w:kern w:val="0"/>
                <w:sz w:val="18"/>
                <w:szCs w:val="18"/>
              </w:rPr>
              <w:t>面积</w:t>
            </w:r>
            <w:r>
              <w:rPr>
                <w:rFonts w:hint="eastAsia" w:ascii="楷体" w:hAnsi="楷体" w:eastAsia="楷体"/>
                <w:kern w:val="0"/>
                <w:sz w:val="18"/>
                <w:szCs w:val="18"/>
              </w:rPr>
              <w:t>93924平方米</w:t>
            </w:r>
            <w:r>
              <w:rPr>
                <w:rFonts w:ascii="楷体" w:hAnsi="楷体" w:eastAsia="楷体"/>
                <w:kern w:val="0"/>
                <w:sz w:val="18"/>
                <w:szCs w:val="18"/>
              </w:rPr>
              <w:t>，</w:t>
            </w:r>
            <w:r>
              <w:rPr>
                <w:rFonts w:hint="eastAsia" w:ascii="楷体" w:hAnsi="楷体" w:eastAsia="楷体"/>
                <w:kern w:val="0"/>
                <w:sz w:val="18"/>
                <w:szCs w:val="18"/>
              </w:rPr>
              <w:t>B地块</w:t>
            </w:r>
            <w:r>
              <w:rPr>
                <w:rFonts w:ascii="楷体" w:hAnsi="楷体" w:eastAsia="楷体"/>
                <w:kern w:val="0"/>
                <w:sz w:val="18"/>
                <w:szCs w:val="18"/>
              </w:rPr>
              <w:t>一期出让面积</w:t>
            </w:r>
            <w:r>
              <w:rPr>
                <w:rFonts w:hint="eastAsia" w:ascii="楷体" w:hAnsi="楷体" w:eastAsia="楷体"/>
                <w:kern w:val="0"/>
                <w:sz w:val="18"/>
                <w:szCs w:val="18"/>
              </w:rPr>
              <w:t>38752平方,</w:t>
            </w:r>
            <w:r>
              <w:rPr>
                <w:rFonts w:ascii="楷体" w:hAnsi="楷体" w:eastAsia="楷体"/>
                <w:kern w:val="0"/>
                <w:sz w:val="18"/>
                <w:szCs w:val="18"/>
              </w:rPr>
              <w:t>C</w:t>
            </w:r>
            <w:r>
              <w:rPr>
                <w:rFonts w:hint="eastAsia" w:ascii="楷体" w:hAnsi="楷体" w:eastAsia="楷体"/>
                <w:kern w:val="0"/>
                <w:sz w:val="18"/>
                <w:szCs w:val="18"/>
              </w:rPr>
              <w:t>地块</w:t>
            </w:r>
            <w:r>
              <w:rPr>
                <w:rFonts w:ascii="楷体" w:hAnsi="楷体" w:eastAsia="楷体"/>
                <w:kern w:val="0"/>
                <w:sz w:val="18"/>
                <w:szCs w:val="18"/>
              </w:rPr>
              <w:t>一期出让用地</w:t>
            </w:r>
            <w:r>
              <w:rPr>
                <w:rFonts w:hint="eastAsia" w:ascii="楷体" w:hAnsi="楷体" w:eastAsia="楷体"/>
                <w:kern w:val="0"/>
                <w:sz w:val="18"/>
                <w:szCs w:val="18"/>
              </w:rPr>
              <w:t>面积53753平方米</w:t>
            </w:r>
            <w:r>
              <w:rPr>
                <w:rFonts w:ascii="楷体" w:hAnsi="楷体" w:eastAsia="楷体"/>
                <w:kern w:val="0"/>
                <w:sz w:val="18"/>
                <w:szCs w:val="18"/>
              </w:rPr>
              <w:t>，</w:t>
            </w:r>
            <w:r>
              <w:rPr>
                <w:rFonts w:hint="eastAsia" w:ascii="楷体" w:hAnsi="楷体" w:eastAsia="楷体"/>
                <w:kern w:val="0"/>
                <w:sz w:val="18"/>
                <w:szCs w:val="18"/>
              </w:rPr>
              <w:t>代征</w:t>
            </w:r>
            <w:r>
              <w:rPr>
                <w:rFonts w:ascii="楷体" w:hAnsi="楷体" w:eastAsia="楷体"/>
                <w:kern w:val="0"/>
                <w:sz w:val="18"/>
                <w:szCs w:val="18"/>
              </w:rPr>
              <w:t>道路</w:t>
            </w:r>
            <w:r>
              <w:rPr>
                <w:rFonts w:hint="eastAsia" w:ascii="楷体" w:hAnsi="楷体" w:eastAsia="楷体"/>
                <w:kern w:val="0"/>
                <w:sz w:val="18"/>
                <w:szCs w:val="18"/>
              </w:rPr>
              <w:t>用地面积10186平方米</w:t>
            </w:r>
            <w:r>
              <w:rPr>
                <w:rFonts w:ascii="楷体" w:hAnsi="楷体" w:eastAsia="楷体"/>
                <w:kern w:val="0"/>
                <w:sz w:val="18"/>
                <w:szCs w:val="18"/>
              </w:rPr>
              <w:t>）</w:t>
            </w:r>
          </w:p>
        </w:tc>
      </w:tr>
    </w:tbl>
    <w:p>
      <w:pPr>
        <w:spacing w:line="520" w:lineRule="exact"/>
        <w:ind w:firstLine="482" w:firstLineChars="200"/>
        <w:rPr>
          <w:rFonts w:hint="eastAsia" w:ascii="楷体" w:hAnsi="楷体" w:eastAsia="楷体"/>
          <w:b/>
          <w:bCs/>
          <w:sz w:val="24"/>
        </w:rPr>
      </w:pPr>
      <w:r>
        <w:rPr>
          <w:rFonts w:ascii="楷体" w:hAnsi="楷体" w:eastAsia="楷体"/>
          <w:b/>
          <w:bCs/>
          <w:sz w:val="24"/>
        </w:rPr>
        <w:t>2</w:t>
      </w:r>
      <w:r>
        <w:rPr>
          <w:rFonts w:hint="eastAsia" w:ascii="楷体" w:hAnsi="楷体" w:eastAsia="楷体"/>
          <w:b/>
          <w:bCs/>
          <w:sz w:val="24"/>
        </w:rPr>
        <w:t>、建设工程施工许可证</w:t>
      </w:r>
    </w:p>
    <w:tbl>
      <w:tblPr>
        <w:tblStyle w:val="1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685"/>
        <w:gridCol w:w="786"/>
        <w:gridCol w:w="814"/>
        <w:gridCol w:w="1015"/>
        <w:gridCol w:w="686"/>
        <w:gridCol w:w="636"/>
        <w:gridCol w:w="686"/>
        <w:gridCol w:w="686"/>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2212"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建设工程施工许可证号</w:t>
            </w:r>
          </w:p>
        </w:tc>
        <w:tc>
          <w:tcPr>
            <w:tcW w:w="68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建设单位</w:t>
            </w:r>
          </w:p>
        </w:tc>
        <w:tc>
          <w:tcPr>
            <w:tcW w:w="7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工程名称</w:t>
            </w:r>
          </w:p>
        </w:tc>
        <w:tc>
          <w:tcPr>
            <w:tcW w:w="814"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建设地址</w:t>
            </w:r>
          </w:p>
        </w:tc>
        <w:tc>
          <w:tcPr>
            <w:tcW w:w="101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建设规模</w:t>
            </w:r>
          </w:p>
        </w:tc>
        <w:tc>
          <w:tcPr>
            <w:tcW w:w="6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勘察单位</w:t>
            </w:r>
          </w:p>
        </w:tc>
        <w:tc>
          <w:tcPr>
            <w:tcW w:w="636" w:type="dxa"/>
            <w:shd w:val="clear" w:color="auto" w:fill="auto"/>
            <w:noWrap w:val="0"/>
            <w:vAlign w:val="top"/>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设计</w:t>
            </w:r>
            <w:r>
              <w:rPr>
                <w:rFonts w:ascii="楷体" w:hAnsi="楷体" w:eastAsia="楷体"/>
                <w:kern w:val="0"/>
                <w:sz w:val="18"/>
                <w:szCs w:val="18"/>
              </w:rPr>
              <w:t>单位</w:t>
            </w:r>
          </w:p>
        </w:tc>
        <w:tc>
          <w:tcPr>
            <w:tcW w:w="6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施工单位</w:t>
            </w:r>
          </w:p>
        </w:tc>
        <w:tc>
          <w:tcPr>
            <w:tcW w:w="6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监理单位</w:t>
            </w:r>
          </w:p>
        </w:tc>
        <w:tc>
          <w:tcPr>
            <w:tcW w:w="86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合同工期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2212"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编号</w:t>
            </w:r>
            <w:r>
              <w:rPr>
                <w:rFonts w:ascii="楷体" w:hAnsi="楷体" w:eastAsia="楷体"/>
                <w:kern w:val="0"/>
                <w:sz w:val="18"/>
                <w:szCs w:val="18"/>
              </w:rPr>
              <w:t>350800201607070101</w:t>
            </w:r>
          </w:p>
        </w:tc>
        <w:tc>
          <w:tcPr>
            <w:tcW w:w="68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福建中</w:t>
            </w:r>
            <w:r>
              <w:rPr>
                <w:rFonts w:ascii="楷体" w:hAnsi="楷体" w:eastAsia="楷体"/>
                <w:kern w:val="0"/>
                <w:sz w:val="18"/>
                <w:szCs w:val="18"/>
              </w:rPr>
              <w:t>合农产品市场有限公司</w:t>
            </w:r>
          </w:p>
        </w:tc>
        <w:tc>
          <w:tcPr>
            <w:tcW w:w="7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中国（龙岩）农产品</w:t>
            </w:r>
            <w:r>
              <w:rPr>
                <w:rFonts w:ascii="楷体" w:hAnsi="楷体" w:eastAsia="楷体"/>
                <w:kern w:val="0"/>
                <w:sz w:val="18"/>
                <w:szCs w:val="18"/>
              </w:rPr>
              <w:t>物流交易城</w:t>
            </w:r>
            <w:r>
              <w:rPr>
                <w:rFonts w:hint="eastAsia" w:ascii="楷体" w:hAnsi="楷体" w:eastAsia="楷体"/>
                <w:kern w:val="0"/>
                <w:sz w:val="18"/>
                <w:szCs w:val="18"/>
              </w:rPr>
              <w:t>南区B区</w:t>
            </w:r>
          </w:p>
        </w:tc>
        <w:tc>
          <w:tcPr>
            <w:tcW w:w="814"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龙岩市新罗区红坊</w:t>
            </w:r>
            <w:r>
              <w:rPr>
                <w:rFonts w:ascii="楷体" w:hAnsi="楷体" w:eastAsia="楷体"/>
                <w:kern w:val="0"/>
                <w:sz w:val="18"/>
                <w:szCs w:val="18"/>
              </w:rPr>
              <w:t>镇龙港路南侧、红坊溪西侧</w:t>
            </w:r>
          </w:p>
        </w:tc>
        <w:tc>
          <w:tcPr>
            <w:tcW w:w="1015"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ascii="楷体" w:hAnsi="楷体" w:eastAsia="楷体"/>
                <w:kern w:val="0"/>
                <w:sz w:val="18"/>
                <w:szCs w:val="18"/>
              </w:rPr>
              <w:t>57909.10</w:t>
            </w:r>
            <w:r>
              <w:rPr>
                <w:rFonts w:hint="eastAsia" w:ascii="宋体" w:hAnsi="宋体" w:cs="宋体"/>
                <w:kern w:val="0"/>
                <w:sz w:val="18"/>
                <w:szCs w:val="18"/>
              </w:rPr>
              <w:t>㎡</w:t>
            </w:r>
          </w:p>
        </w:tc>
        <w:tc>
          <w:tcPr>
            <w:tcW w:w="6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福建岩土</w:t>
            </w:r>
            <w:r>
              <w:rPr>
                <w:rFonts w:ascii="楷体" w:hAnsi="楷体" w:eastAsia="楷体"/>
                <w:kern w:val="0"/>
                <w:sz w:val="18"/>
                <w:szCs w:val="18"/>
              </w:rPr>
              <w:t>工程勘察研究院</w:t>
            </w:r>
          </w:p>
        </w:tc>
        <w:tc>
          <w:tcPr>
            <w:tcW w:w="636" w:type="dxa"/>
            <w:shd w:val="clear" w:color="auto" w:fill="auto"/>
            <w:noWrap w:val="0"/>
            <w:vAlign w:val="top"/>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福建省千亿</w:t>
            </w:r>
            <w:r>
              <w:rPr>
                <w:rFonts w:ascii="楷体" w:hAnsi="楷体" w:eastAsia="楷体"/>
                <w:kern w:val="0"/>
                <w:sz w:val="18"/>
                <w:szCs w:val="18"/>
              </w:rPr>
              <w:t>建筑设计有限公司</w:t>
            </w:r>
          </w:p>
        </w:tc>
        <w:tc>
          <w:tcPr>
            <w:tcW w:w="6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南昌市</w:t>
            </w:r>
            <w:r>
              <w:rPr>
                <w:rFonts w:ascii="楷体" w:hAnsi="楷体" w:eastAsia="楷体"/>
                <w:kern w:val="0"/>
                <w:sz w:val="18"/>
                <w:szCs w:val="18"/>
              </w:rPr>
              <w:t>第三建设工程有限责任公司</w:t>
            </w:r>
          </w:p>
        </w:tc>
        <w:tc>
          <w:tcPr>
            <w:tcW w:w="68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hint="eastAsia" w:ascii="楷体" w:hAnsi="楷体" w:eastAsia="楷体"/>
                <w:kern w:val="0"/>
                <w:sz w:val="18"/>
                <w:szCs w:val="18"/>
              </w:rPr>
              <w:t>福建固特</w:t>
            </w:r>
            <w:r>
              <w:rPr>
                <w:rFonts w:ascii="楷体" w:hAnsi="楷体" w:eastAsia="楷体"/>
                <w:kern w:val="0"/>
                <w:sz w:val="18"/>
                <w:szCs w:val="18"/>
              </w:rPr>
              <w:t>新工程监理咨询有限公司</w:t>
            </w:r>
          </w:p>
        </w:tc>
        <w:tc>
          <w:tcPr>
            <w:tcW w:w="866" w:type="dxa"/>
            <w:shd w:val="clear" w:color="auto" w:fill="auto"/>
            <w:noWrap w:val="0"/>
            <w:vAlign w:val="center"/>
          </w:tcPr>
          <w:p>
            <w:pPr>
              <w:widowControl/>
              <w:spacing w:line="240" w:lineRule="exact"/>
              <w:jc w:val="center"/>
              <w:rPr>
                <w:rFonts w:hint="eastAsia" w:ascii="楷体" w:hAnsi="楷体" w:eastAsia="楷体"/>
                <w:kern w:val="0"/>
                <w:sz w:val="18"/>
                <w:szCs w:val="18"/>
              </w:rPr>
            </w:pPr>
            <w:r>
              <w:rPr>
                <w:rFonts w:ascii="楷体" w:hAnsi="楷体" w:eastAsia="楷体"/>
                <w:kern w:val="0"/>
                <w:sz w:val="18"/>
                <w:szCs w:val="18"/>
              </w:rPr>
              <w:t>360</w:t>
            </w:r>
            <w:r>
              <w:rPr>
                <w:rFonts w:hint="eastAsia" w:ascii="楷体" w:hAnsi="楷体" w:eastAsia="楷体"/>
                <w:kern w:val="0"/>
                <w:sz w:val="18"/>
                <w:szCs w:val="18"/>
              </w:rPr>
              <w:t>天</w:t>
            </w:r>
          </w:p>
        </w:tc>
      </w:tr>
    </w:tbl>
    <w:p>
      <w:pPr>
        <w:tabs>
          <w:tab w:val="left" w:pos="525"/>
        </w:tabs>
        <w:spacing w:line="430" w:lineRule="exact"/>
        <w:ind w:firstLine="477" w:firstLineChars="198"/>
        <w:rPr>
          <w:rFonts w:hint="eastAsia" w:ascii="楷体" w:hAnsi="楷体" w:eastAsia="楷体"/>
          <w:b/>
          <w:bCs/>
          <w:color w:val="000000"/>
          <w:sz w:val="24"/>
        </w:rPr>
      </w:pPr>
      <w:r>
        <w:rPr>
          <w:rFonts w:hint="eastAsia" w:ascii="楷体" w:hAnsi="楷体" w:eastAsia="楷体"/>
          <w:b/>
          <w:bCs/>
          <w:color w:val="000000"/>
          <w:sz w:val="24"/>
        </w:rPr>
        <w:t>五、价值时点</w:t>
      </w:r>
    </w:p>
    <w:p>
      <w:pPr>
        <w:spacing w:line="430" w:lineRule="exact"/>
        <w:ind w:left="-61" w:leftChars="-29" w:firstLine="600" w:firstLineChars="250"/>
        <w:rPr>
          <w:rFonts w:hint="eastAsia" w:ascii="楷体" w:hAnsi="楷体" w:eastAsia="楷体"/>
          <w:sz w:val="24"/>
        </w:rPr>
      </w:pPr>
      <w:r>
        <w:rPr>
          <w:rFonts w:hint="eastAsia" w:ascii="楷体" w:hAnsi="楷体" w:eastAsia="楷体"/>
          <w:sz w:val="24"/>
        </w:rPr>
        <w:t>因法院委托书未明确本次价值时点，根据中房协关于印发《涉执房地产处置司法评估指导意见（试行）》的通知，本次价值时点根据现场勘查日2022年07月27日确定。</w:t>
      </w:r>
    </w:p>
    <w:p>
      <w:pPr>
        <w:tabs>
          <w:tab w:val="left" w:pos="525"/>
        </w:tabs>
        <w:spacing w:line="430" w:lineRule="exact"/>
        <w:ind w:firstLine="236" w:firstLineChars="98"/>
        <w:rPr>
          <w:rFonts w:hint="eastAsia" w:ascii="楷体" w:hAnsi="楷体" w:eastAsia="楷体"/>
          <w:b/>
          <w:bCs/>
          <w:color w:val="000000"/>
          <w:sz w:val="24"/>
        </w:rPr>
      </w:pPr>
      <w:r>
        <w:rPr>
          <w:rFonts w:hint="eastAsia" w:ascii="楷体" w:hAnsi="楷体" w:eastAsia="楷体"/>
          <w:b/>
          <w:bCs/>
          <w:color w:val="000000"/>
          <w:sz w:val="24"/>
        </w:rPr>
        <w:t xml:space="preserve">  六、价值类型</w:t>
      </w:r>
    </w:p>
    <w:p>
      <w:pPr>
        <w:spacing w:line="430" w:lineRule="exact"/>
        <w:ind w:firstLine="525"/>
        <w:rPr>
          <w:rFonts w:hint="eastAsia" w:ascii="楷体" w:hAnsi="楷体" w:eastAsia="楷体"/>
          <w:color w:val="000000"/>
          <w:sz w:val="24"/>
          <w:szCs w:val="24"/>
        </w:rPr>
      </w:pPr>
      <w:r>
        <w:rPr>
          <w:rFonts w:hint="eastAsia" w:ascii="楷体" w:hAnsi="楷体" w:eastAsia="楷体"/>
          <w:color w:val="000000"/>
          <w:sz w:val="24"/>
          <w:szCs w:val="24"/>
        </w:rPr>
        <w:t>（一）价值类型名称</w:t>
      </w:r>
    </w:p>
    <w:p>
      <w:pPr>
        <w:spacing w:line="430" w:lineRule="exact"/>
        <w:ind w:firstLine="525"/>
        <w:rPr>
          <w:rFonts w:hint="eastAsia" w:ascii="楷体" w:hAnsi="楷体" w:eastAsia="楷体"/>
          <w:color w:val="000000"/>
          <w:sz w:val="24"/>
          <w:szCs w:val="24"/>
        </w:rPr>
      </w:pPr>
      <w:r>
        <w:rPr>
          <w:rFonts w:hint="eastAsia" w:ascii="楷体" w:hAnsi="楷体" w:eastAsia="楷体"/>
          <w:color w:val="000000"/>
          <w:sz w:val="24"/>
          <w:szCs w:val="24"/>
        </w:rPr>
        <w:t>本次估价的价值类型为市场价值。</w:t>
      </w:r>
    </w:p>
    <w:p>
      <w:pPr>
        <w:spacing w:line="430" w:lineRule="exact"/>
        <w:ind w:firstLine="525"/>
        <w:rPr>
          <w:rFonts w:hint="eastAsia" w:ascii="楷体" w:hAnsi="楷体" w:eastAsia="楷体"/>
          <w:color w:val="000000"/>
          <w:sz w:val="24"/>
          <w:szCs w:val="24"/>
        </w:rPr>
      </w:pPr>
      <w:r>
        <w:rPr>
          <w:rFonts w:hint="eastAsia" w:ascii="楷体" w:hAnsi="楷体" w:eastAsia="楷体"/>
          <w:color w:val="000000"/>
          <w:sz w:val="24"/>
          <w:szCs w:val="24"/>
        </w:rPr>
        <w:t>（二）价值定义</w:t>
      </w:r>
    </w:p>
    <w:p>
      <w:pPr>
        <w:spacing w:line="430" w:lineRule="exact"/>
        <w:ind w:firstLine="525"/>
        <w:rPr>
          <w:rFonts w:hint="eastAsia" w:ascii="楷体" w:hAnsi="楷体" w:eastAsia="楷体"/>
          <w:color w:val="000000"/>
          <w:sz w:val="24"/>
          <w:szCs w:val="24"/>
        </w:rPr>
      </w:pPr>
      <w:r>
        <w:rPr>
          <w:rFonts w:hint="eastAsia" w:ascii="楷体" w:hAnsi="楷体" w:eastAsia="楷体"/>
          <w:color w:val="000000"/>
          <w:sz w:val="24"/>
          <w:szCs w:val="24"/>
        </w:rPr>
        <w:t>市场价值为估价对象经适当营销后，由熟悉情况、谨慎行事且不受强迫的交易双方，以公平交易方式在价值时点自愿进行交易的金额。</w:t>
      </w:r>
    </w:p>
    <w:p>
      <w:pPr>
        <w:spacing w:line="440" w:lineRule="exact"/>
        <w:ind w:firstLine="525"/>
        <w:rPr>
          <w:rFonts w:hint="eastAsia" w:ascii="楷体" w:hAnsi="楷体" w:eastAsia="楷体"/>
          <w:color w:val="000000"/>
          <w:sz w:val="24"/>
          <w:szCs w:val="24"/>
        </w:rPr>
      </w:pPr>
      <w:r>
        <w:rPr>
          <w:rFonts w:hint="eastAsia" w:ascii="楷体" w:hAnsi="楷体" w:eastAsia="楷体"/>
          <w:color w:val="000000"/>
          <w:sz w:val="24"/>
          <w:szCs w:val="24"/>
        </w:rPr>
        <w:t>（三）价值内涵</w:t>
      </w:r>
    </w:p>
    <w:p>
      <w:pPr>
        <w:spacing w:line="440" w:lineRule="exact"/>
        <w:ind w:firstLine="480" w:firstLineChars="200"/>
        <w:rPr>
          <w:rFonts w:hint="eastAsia" w:ascii="楷体" w:hAnsi="楷体" w:eastAsia="楷体"/>
          <w:color w:val="000000"/>
          <w:sz w:val="24"/>
          <w:szCs w:val="24"/>
        </w:rPr>
      </w:pPr>
      <w:r>
        <w:rPr>
          <w:rFonts w:hint="eastAsia" w:ascii="楷体" w:hAnsi="楷体" w:eastAsia="楷体"/>
          <w:color w:val="000000"/>
          <w:sz w:val="24"/>
          <w:szCs w:val="24"/>
        </w:rPr>
        <w:t>价值内涵是指估价对象在价值时点，满足估价假设和限制条件下包括包括建筑物（含室内二次装修）、分摊的土地使用权（</w:t>
      </w:r>
      <w:r>
        <w:rPr>
          <w:rFonts w:ascii="楷体" w:hAnsi="楷体" w:eastAsia="楷体"/>
          <w:color w:val="000000"/>
          <w:sz w:val="24"/>
          <w:szCs w:val="24"/>
        </w:rPr>
        <w:t>含土地出让金</w:t>
      </w:r>
      <w:r>
        <w:rPr>
          <w:rFonts w:hint="eastAsia" w:ascii="楷体" w:hAnsi="楷体" w:eastAsia="楷体"/>
          <w:color w:val="000000"/>
          <w:sz w:val="24"/>
          <w:szCs w:val="24"/>
        </w:rPr>
        <w:t>）及公共配套设施，不包括其他动产、可移动</w:t>
      </w:r>
      <w:r>
        <w:rPr>
          <w:rFonts w:ascii="楷体" w:hAnsi="楷体" w:eastAsia="楷体"/>
          <w:color w:val="000000"/>
          <w:sz w:val="24"/>
          <w:szCs w:val="24"/>
        </w:rPr>
        <w:t>家具</w:t>
      </w:r>
      <w:r>
        <w:rPr>
          <w:rFonts w:hint="eastAsia" w:ascii="楷体" w:hAnsi="楷体" w:eastAsia="楷体"/>
          <w:color w:val="000000"/>
          <w:sz w:val="24"/>
          <w:szCs w:val="24"/>
        </w:rPr>
        <w:t>家电、债权债务、特许经营权等其他财产或权益；付款方式是一次性付清房价款；房屋面积内涵是建筑面积；开发程度</w:t>
      </w:r>
      <w:r>
        <w:rPr>
          <w:rFonts w:hint="eastAsia" w:ascii="楷体" w:hAnsi="楷体" w:eastAsia="楷体"/>
          <w:sz w:val="24"/>
          <w:szCs w:val="24"/>
        </w:rPr>
        <w:t>为现房。</w:t>
      </w:r>
    </w:p>
    <w:p>
      <w:pPr>
        <w:spacing w:line="440" w:lineRule="exact"/>
        <w:ind w:firstLine="482" w:firstLineChars="200"/>
        <w:rPr>
          <w:rFonts w:hint="eastAsia" w:ascii="楷体" w:hAnsi="楷体" w:eastAsia="楷体"/>
          <w:b/>
          <w:bCs/>
          <w:color w:val="000000"/>
          <w:sz w:val="24"/>
        </w:rPr>
      </w:pPr>
      <w:r>
        <w:rPr>
          <w:rFonts w:hint="eastAsia" w:ascii="楷体" w:hAnsi="楷体" w:eastAsia="楷体"/>
          <w:b/>
          <w:bCs/>
          <w:color w:val="000000"/>
          <w:sz w:val="24"/>
        </w:rPr>
        <w:t>七、估价原则</w:t>
      </w:r>
    </w:p>
    <w:p>
      <w:pPr>
        <w:spacing w:line="440" w:lineRule="exact"/>
        <w:ind w:firstLine="480" w:firstLineChars="200"/>
        <w:rPr>
          <w:rFonts w:hint="eastAsia" w:ascii="楷体" w:hAnsi="楷体" w:eastAsia="楷体"/>
          <w:sz w:val="24"/>
        </w:rPr>
      </w:pPr>
      <w:r>
        <w:rPr>
          <w:rFonts w:hint="eastAsia" w:ascii="楷体" w:hAnsi="楷体" w:eastAsia="楷体"/>
          <w:sz w:val="24"/>
        </w:rPr>
        <w:t>本次估价遵循以下原则：</w:t>
      </w:r>
    </w:p>
    <w:p>
      <w:pPr>
        <w:spacing w:line="440" w:lineRule="exact"/>
        <w:ind w:firstLine="480" w:firstLineChars="200"/>
        <w:rPr>
          <w:rFonts w:hint="eastAsia" w:ascii="楷体" w:hAnsi="楷体" w:eastAsia="楷体"/>
          <w:sz w:val="24"/>
        </w:rPr>
      </w:pPr>
      <w:r>
        <w:rPr>
          <w:rFonts w:hint="eastAsia" w:ascii="楷体" w:hAnsi="楷体" w:eastAsia="楷体"/>
          <w:sz w:val="24"/>
        </w:rPr>
        <w:t>1、独立、客观、公正原则：要求站在中立的立场上，实事求是、公平正直地评估出对各方估价利害关系人均是公平合理的价值或价格的原则。</w:t>
      </w:r>
    </w:p>
    <w:p>
      <w:pPr>
        <w:pStyle w:val="2"/>
        <w:spacing w:line="460" w:lineRule="exact"/>
        <w:ind w:firstLine="480" w:firstLineChars="200"/>
        <w:rPr>
          <w:rFonts w:hint="eastAsia" w:ascii="楷体" w:hAnsi="楷体" w:eastAsia="楷体"/>
          <w:sz w:val="24"/>
        </w:rPr>
      </w:pPr>
      <w:r>
        <w:rPr>
          <w:rFonts w:hint="eastAsia" w:ascii="楷体" w:hAnsi="楷体" w:eastAsia="楷体"/>
          <w:sz w:val="24"/>
        </w:rPr>
        <w:t>2、合法原则：要求估价结果是在依法判定的估价对象状况下的价值或价格的原则。</w:t>
      </w:r>
    </w:p>
    <w:p>
      <w:pPr>
        <w:pStyle w:val="2"/>
        <w:spacing w:line="460" w:lineRule="exact"/>
        <w:ind w:firstLine="480" w:firstLineChars="200"/>
        <w:rPr>
          <w:rFonts w:hint="eastAsia" w:ascii="楷体" w:hAnsi="楷体" w:eastAsia="楷体"/>
          <w:sz w:val="24"/>
        </w:rPr>
      </w:pPr>
      <w:r>
        <w:rPr>
          <w:rFonts w:hint="eastAsia" w:ascii="楷体" w:hAnsi="楷体" w:eastAsia="楷体"/>
          <w:sz w:val="24"/>
        </w:rPr>
        <w:t>3、价值时点原则：要求估价结果是在根据估价目的确定的某一特定时间的价值或价格的原则。</w:t>
      </w:r>
    </w:p>
    <w:p>
      <w:pPr>
        <w:pStyle w:val="2"/>
        <w:spacing w:line="460" w:lineRule="exact"/>
        <w:ind w:firstLine="480" w:firstLineChars="200"/>
        <w:rPr>
          <w:rFonts w:hint="eastAsia" w:ascii="楷体" w:hAnsi="楷体" w:eastAsia="楷体"/>
          <w:sz w:val="24"/>
        </w:rPr>
      </w:pPr>
      <w:r>
        <w:rPr>
          <w:rFonts w:hint="eastAsia" w:ascii="楷体" w:hAnsi="楷体" w:eastAsia="楷体"/>
          <w:sz w:val="24"/>
        </w:rPr>
        <w:t>4、替代原则：要求估价结果与估价对象的类似房地产在同等条件下的价值或价格偏差在合理范围内的原则。</w:t>
      </w:r>
    </w:p>
    <w:p>
      <w:pPr>
        <w:pStyle w:val="2"/>
        <w:spacing w:line="460" w:lineRule="exact"/>
        <w:ind w:firstLine="480" w:firstLineChars="200"/>
        <w:rPr>
          <w:rFonts w:hint="eastAsia" w:ascii="楷体" w:hAnsi="楷体" w:eastAsia="楷体"/>
          <w:sz w:val="24"/>
        </w:rPr>
      </w:pPr>
      <w:r>
        <w:rPr>
          <w:rFonts w:hint="eastAsia" w:ascii="楷体" w:hAnsi="楷体" w:eastAsia="楷体"/>
          <w:sz w:val="24"/>
        </w:rPr>
        <w:t>5、最高最佳利用原则：要求估价对象是在估价对象最高最佳利用状况下的价值或价格的原则。</w:t>
      </w:r>
    </w:p>
    <w:p>
      <w:pPr>
        <w:spacing w:line="460" w:lineRule="exact"/>
        <w:ind w:left="630" w:hanging="105"/>
        <w:rPr>
          <w:rFonts w:hint="eastAsia" w:ascii="楷体" w:hAnsi="楷体" w:eastAsia="楷体"/>
          <w:b/>
          <w:bCs/>
          <w:color w:val="000000"/>
          <w:sz w:val="24"/>
        </w:rPr>
      </w:pPr>
      <w:r>
        <w:rPr>
          <w:rFonts w:hint="eastAsia" w:ascii="楷体" w:hAnsi="楷体" w:eastAsia="楷体"/>
          <w:b/>
          <w:bCs/>
          <w:color w:val="000000"/>
          <w:sz w:val="24"/>
        </w:rPr>
        <w:t>八、估价依据</w:t>
      </w:r>
    </w:p>
    <w:p>
      <w:pPr>
        <w:spacing w:line="460" w:lineRule="exact"/>
        <w:ind w:firstLine="570"/>
        <w:rPr>
          <w:rFonts w:hint="eastAsia" w:ascii="楷体" w:hAnsi="楷体" w:eastAsia="楷体"/>
          <w:sz w:val="24"/>
        </w:rPr>
      </w:pPr>
      <w:r>
        <w:rPr>
          <w:rFonts w:hint="eastAsia" w:ascii="楷体" w:hAnsi="楷体" w:eastAsia="楷体"/>
          <w:sz w:val="24"/>
        </w:rPr>
        <w:t>(一）法律、法规和政策依据</w:t>
      </w:r>
    </w:p>
    <w:p>
      <w:pPr>
        <w:spacing w:line="4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1、《中华人民共和国民法典》（2020年5月28日第十三届全国人民代表大会第三次会议表决通过，自2021年1月1日起施行）。</w:t>
      </w:r>
    </w:p>
    <w:p>
      <w:pPr>
        <w:spacing w:line="4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 xml:space="preserve"> 2、《中华人民共和国城市房地产管理法》（2019年8月26日第十三届全国人民代表大会常务委员会第十二次会议第三次修正（主席令第32号））。</w:t>
      </w:r>
    </w:p>
    <w:p>
      <w:pPr>
        <w:spacing w:line="4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 xml:space="preserve"> 3、《中华人民共和国</w:t>
      </w:r>
      <w:r>
        <w:rPr>
          <w:rFonts w:hint="eastAsia" w:ascii="楷体" w:hAnsi="楷体" w:eastAsia="楷体" w:cs="楷体"/>
          <w:sz w:val="24"/>
          <w:szCs w:val="24"/>
        </w:rPr>
        <w:fldChar w:fldCharType="begin"/>
      </w:r>
      <w:r>
        <w:rPr>
          <w:rFonts w:hint="eastAsia" w:ascii="楷体" w:hAnsi="楷体" w:eastAsia="楷体" w:cs="楷体"/>
          <w:sz w:val="24"/>
          <w:szCs w:val="24"/>
        </w:rPr>
        <w:instrText xml:space="preserve"> HYPERLINK "http://baike.baidu.com/view/608030.htm" \t "_blank" </w:instrText>
      </w:r>
      <w:r>
        <w:rPr>
          <w:rFonts w:hint="eastAsia" w:ascii="楷体" w:hAnsi="楷体" w:eastAsia="楷体" w:cs="楷体"/>
          <w:sz w:val="24"/>
          <w:szCs w:val="24"/>
        </w:rPr>
        <w:fldChar w:fldCharType="separate"/>
      </w:r>
      <w:r>
        <w:rPr>
          <w:rFonts w:hint="eastAsia" w:ascii="楷体" w:hAnsi="楷体" w:eastAsia="楷体" w:cs="楷体"/>
          <w:sz w:val="24"/>
          <w:szCs w:val="24"/>
        </w:rPr>
        <w:t>土地管理法</w:t>
      </w:r>
      <w:r>
        <w:rPr>
          <w:rFonts w:hint="eastAsia" w:ascii="楷体" w:hAnsi="楷体" w:eastAsia="楷体" w:cs="楷体"/>
          <w:sz w:val="24"/>
          <w:szCs w:val="24"/>
        </w:rPr>
        <w:fldChar w:fldCharType="end"/>
      </w:r>
      <w:r>
        <w:rPr>
          <w:rFonts w:hint="eastAsia" w:ascii="楷体" w:hAnsi="楷体" w:eastAsia="楷体" w:cs="楷体"/>
          <w:sz w:val="24"/>
          <w:szCs w:val="24"/>
        </w:rPr>
        <w:t>》（2019年8月26日第十三届全国人民代表大会常务委员会第十二次会议第三次修正（主席令第32号））。</w:t>
      </w:r>
    </w:p>
    <w:p>
      <w:pPr>
        <w:spacing w:line="4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 xml:space="preserve"> 4、《中华人民共和国城乡规划法》（2019年4月23日第十三届全国人民代表大会常务委员会第十次会议第二次修正）。</w:t>
      </w:r>
    </w:p>
    <w:p>
      <w:pPr>
        <w:spacing w:line="4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 xml:space="preserve"> 5、《中华人民共和国资产评估法》（2016年7月2日主席令第46号）。</w:t>
      </w:r>
    </w:p>
    <w:p>
      <w:pPr>
        <w:spacing w:line="460" w:lineRule="exact"/>
        <w:ind w:firstLine="570"/>
        <w:rPr>
          <w:rFonts w:hint="eastAsia" w:ascii="楷体" w:hAnsi="楷体" w:eastAsia="楷体"/>
          <w:sz w:val="24"/>
        </w:rPr>
      </w:pPr>
      <w:r>
        <w:rPr>
          <w:rFonts w:hint="eastAsia" w:ascii="楷体" w:hAnsi="楷体" w:eastAsia="楷体"/>
          <w:sz w:val="24"/>
        </w:rPr>
        <w:t>6、最高人民法院关于人民法院委托评估、拍卖工作的若干规定；</w:t>
      </w:r>
    </w:p>
    <w:p>
      <w:pPr>
        <w:spacing w:line="460" w:lineRule="exact"/>
        <w:ind w:firstLine="570"/>
        <w:rPr>
          <w:rFonts w:hint="eastAsia" w:ascii="楷体" w:hAnsi="楷体" w:eastAsia="楷体"/>
          <w:sz w:val="24"/>
        </w:rPr>
      </w:pPr>
      <w:r>
        <w:rPr>
          <w:rFonts w:hint="eastAsia" w:ascii="楷体" w:hAnsi="楷体" w:eastAsia="楷体"/>
          <w:sz w:val="24"/>
        </w:rPr>
        <w:t>7、最高人民法院关于人民法院网络司法拍卖若干问题的规定；</w:t>
      </w:r>
    </w:p>
    <w:p>
      <w:pPr>
        <w:spacing w:line="460" w:lineRule="exact"/>
        <w:ind w:firstLine="570"/>
        <w:rPr>
          <w:rFonts w:hint="eastAsia" w:ascii="楷体" w:hAnsi="楷体" w:eastAsia="楷体"/>
          <w:sz w:val="24"/>
        </w:rPr>
      </w:pPr>
      <w:r>
        <w:rPr>
          <w:rFonts w:hint="eastAsia" w:ascii="楷体" w:hAnsi="楷体" w:eastAsia="楷体"/>
          <w:sz w:val="24"/>
        </w:rPr>
        <w:t>8、《最高人民法院关于人民法院确定财产处置参考价若干问题的规定》（2018年9月1日起施行）；</w:t>
      </w:r>
    </w:p>
    <w:p>
      <w:pPr>
        <w:spacing w:line="460" w:lineRule="exact"/>
        <w:ind w:firstLine="570"/>
        <w:rPr>
          <w:rFonts w:hint="eastAsia" w:ascii="楷体" w:hAnsi="楷体" w:eastAsia="楷体"/>
          <w:sz w:val="24"/>
        </w:rPr>
      </w:pPr>
      <w:r>
        <w:rPr>
          <w:rFonts w:hint="eastAsia" w:ascii="楷体" w:hAnsi="楷体" w:eastAsia="楷体"/>
          <w:sz w:val="24"/>
        </w:rPr>
        <w:t>9、《人民法院委托评估工作规范》（法办〔2018〕273号）；</w:t>
      </w:r>
    </w:p>
    <w:p>
      <w:pPr>
        <w:spacing w:line="460" w:lineRule="exact"/>
        <w:ind w:firstLine="570"/>
        <w:rPr>
          <w:rFonts w:hint="eastAsia" w:ascii="楷体" w:hAnsi="楷体" w:eastAsia="楷体"/>
          <w:sz w:val="24"/>
        </w:rPr>
      </w:pPr>
      <w:r>
        <w:rPr>
          <w:rFonts w:hint="eastAsia" w:ascii="楷体" w:hAnsi="楷体" w:eastAsia="楷体"/>
          <w:sz w:val="24"/>
        </w:rPr>
        <w:t>10、《福建省高级人民法院司法评估拍卖工作规定（试行）》（闽高法[2012]335号）；</w:t>
      </w:r>
    </w:p>
    <w:p>
      <w:pPr>
        <w:spacing w:line="460" w:lineRule="exact"/>
        <w:ind w:firstLine="570"/>
        <w:rPr>
          <w:rFonts w:ascii="楷体" w:hAnsi="楷体" w:eastAsia="楷体"/>
          <w:sz w:val="24"/>
        </w:rPr>
      </w:pPr>
      <w:r>
        <w:rPr>
          <w:rFonts w:hint="eastAsia" w:ascii="楷体" w:hAnsi="楷体" w:eastAsia="楷体"/>
          <w:sz w:val="24"/>
        </w:rPr>
        <w:t>11、福建省高级人民法院关于在全省法院开展网络司法拍卖工作的通知；</w:t>
      </w:r>
    </w:p>
    <w:p>
      <w:pPr>
        <w:spacing w:line="460" w:lineRule="exact"/>
        <w:ind w:firstLine="570"/>
        <w:rPr>
          <w:rFonts w:hint="eastAsia" w:ascii="楷体" w:hAnsi="楷体" w:eastAsia="楷体"/>
          <w:sz w:val="24"/>
        </w:rPr>
      </w:pPr>
      <w:r>
        <w:rPr>
          <w:rFonts w:hint="eastAsia" w:ascii="楷体" w:hAnsi="楷体" w:eastAsia="楷体"/>
          <w:sz w:val="24"/>
        </w:rPr>
        <w:t>12、《龙岩市人民政府关于颁布执行龙岩市中心城区（第九轮）和新罗区8个镇新一轮（2019年）土地级别暨基准地价修编成果的通知》龙政综（2021）43号；</w:t>
      </w:r>
    </w:p>
    <w:p>
      <w:pPr>
        <w:spacing w:line="460" w:lineRule="exact"/>
        <w:ind w:firstLine="573"/>
        <w:rPr>
          <w:rFonts w:hint="eastAsia" w:ascii="楷体" w:hAnsi="楷体" w:eastAsia="楷体"/>
          <w:sz w:val="24"/>
        </w:rPr>
      </w:pPr>
      <w:r>
        <w:rPr>
          <w:rFonts w:hint="eastAsia" w:ascii="楷体" w:hAnsi="楷体" w:eastAsia="楷体"/>
          <w:sz w:val="24"/>
        </w:rPr>
        <w:t>1</w:t>
      </w:r>
      <w:r>
        <w:rPr>
          <w:rFonts w:ascii="楷体" w:hAnsi="楷体" w:eastAsia="楷体"/>
          <w:sz w:val="24"/>
        </w:rPr>
        <w:t>3</w:t>
      </w:r>
      <w:r>
        <w:rPr>
          <w:rFonts w:hint="eastAsia" w:ascii="楷体" w:hAnsi="楷体" w:eastAsia="楷体"/>
          <w:sz w:val="24"/>
        </w:rPr>
        <w:t>、有关部门颁布的有关法律、法规和政策文件。</w:t>
      </w:r>
    </w:p>
    <w:p>
      <w:pPr>
        <w:spacing w:line="460" w:lineRule="exact"/>
        <w:ind w:firstLine="573"/>
        <w:rPr>
          <w:rFonts w:hint="eastAsia" w:ascii="楷体" w:hAnsi="楷体" w:eastAsia="楷体"/>
          <w:sz w:val="24"/>
        </w:rPr>
      </w:pPr>
      <w:r>
        <w:rPr>
          <w:rFonts w:hint="eastAsia" w:ascii="楷体" w:hAnsi="楷体" w:eastAsia="楷体"/>
          <w:sz w:val="24"/>
        </w:rPr>
        <w:t>（二）估价标准依据</w:t>
      </w:r>
    </w:p>
    <w:p>
      <w:pPr>
        <w:spacing w:line="460" w:lineRule="exact"/>
        <w:ind w:firstLine="570"/>
        <w:rPr>
          <w:rFonts w:hint="eastAsia" w:ascii="楷体" w:hAnsi="楷体" w:eastAsia="楷体"/>
          <w:sz w:val="24"/>
        </w:rPr>
      </w:pPr>
      <w:r>
        <w:rPr>
          <w:rFonts w:hint="eastAsia" w:ascii="楷体" w:hAnsi="楷体" w:eastAsia="楷体"/>
          <w:sz w:val="24"/>
        </w:rPr>
        <w:t>1、《房地产估价规范》（</w:t>
      </w:r>
      <w:r>
        <w:rPr>
          <w:rFonts w:ascii="楷体" w:hAnsi="楷体" w:eastAsia="楷体"/>
          <w:sz w:val="24"/>
        </w:rPr>
        <w:t>GB/T50291-</w:t>
      </w:r>
      <w:r>
        <w:rPr>
          <w:rFonts w:hint="eastAsia" w:ascii="楷体" w:hAnsi="楷体" w:eastAsia="楷体"/>
          <w:sz w:val="24"/>
        </w:rPr>
        <w:t>2015</w:t>
      </w:r>
      <w:r>
        <w:rPr>
          <w:rFonts w:ascii="楷体" w:hAnsi="楷体" w:eastAsia="楷体"/>
          <w:sz w:val="24"/>
        </w:rPr>
        <w:t>，</w:t>
      </w:r>
      <w:r>
        <w:rPr>
          <w:rFonts w:hint="eastAsia" w:ascii="楷体" w:hAnsi="楷体" w:eastAsia="楷体"/>
          <w:sz w:val="24"/>
        </w:rPr>
        <w:t>2015</w:t>
      </w:r>
      <w:r>
        <w:rPr>
          <w:rFonts w:ascii="楷体" w:hAnsi="楷体" w:eastAsia="楷体"/>
          <w:sz w:val="24"/>
        </w:rPr>
        <w:t>年</w:t>
      </w:r>
      <w:r>
        <w:rPr>
          <w:rFonts w:hint="eastAsia" w:ascii="楷体" w:hAnsi="楷体" w:eastAsia="楷体"/>
          <w:sz w:val="24"/>
        </w:rPr>
        <w:t>12</w:t>
      </w:r>
      <w:r>
        <w:rPr>
          <w:rFonts w:ascii="楷体" w:hAnsi="楷体" w:eastAsia="楷体"/>
          <w:sz w:val="24"/>
        </w:rPr>
        <w:t>月1日起实施</w:t>
      </w:r>
      <w:r>
        <w:rPr>
          <w:rFonts w:hint="eastAsia" w:ascii="楷体" w:hAnsi="楷体" w:eastAsia="楷体"/>
          <w:sz w:val="24"/>
        </w:rPr>
        <w:t>）；</w:t>
      </w:r>
    </w:p>
    <w:p>
      <w:pPr>
        <w:spacing w:line="460" w:lineRule="exact"/>
        <w:ind w:firstLine="480" w:firstLineChars="200"/>
        <w:rPr>
          <w:rFonts w:hint="eastAsia" w:ascii="楷体" w:hAnsi="楷体" w:eastAsia="楷体"/>
          <w:sz w:val="24"/>
        </w:rPr>
      </w:pPr>
      <w:r>
        <w:rPr>
          <w:rFonts w:hint="eastAsia" w:ascii="楷体" w:hAnsi="楷体" w:eastAsia="楷体"/>
          <w:sz w:val="24"/>
        </w:rPr>
        <w:t xml:space="preserve"> 2、《房地产估价基本术语标准》（GB/T50899-2013,2014年2月1日起实施）。 </w:t>
      </w:r>
    </w:p>
    <w:p>
      <w:pPr>
        <w:spacing w:line="460" w:lineRule="exact"/>
        <w:ind w:firstLine="573"/>
        <w:rPr>
          <w:rFonts w:hint="eastAsia" w:ascii="楷体" w:hAnsi="楷体" w:eastAsia="楷体"/>
          <w:sz w:val="24"/>
        </w:rPr>
      </w:pPr>
      <w:r>
        <w:rPr>
          <w:rFonts w:hint="eastAsia" w:ascii="楷体" w:hAnsi="楷体" w:eastAsia="楷体"/>
          <w:sz w:val="24"/>
        </w:rPr>
        <w:t>3、《涉执房地产处置司法评估指导意见（试行）》（中房协（2021）37号）。</w:t>
      </w:r>
    </w:p>
    <w:p>
      <w:pPr>
        <w:spacing w:line="460" w:lineRule="exact"/>
        <w:ind w:firstLine="570"/>
        <w:rPr>
          <w:rFonts w:hint="eastAsia" w:ascii="楷体" w:hAnsi="楷体" w:eastAsia="楷体"/>
          <w:sz w:val="24"/>
        </w:rPr>
      </w:pPr>
      <w:r>
        <w:rPr>
          <w:rFonts w:hint="eastAsia" w:ascii="楷体" w:hAnsi="楷体" w:eastAsia="楷体"/>
          <w:sz w:val="24"/>
        </w:rPr>
        <w:t>（三）估价委托人提供的资料依据</w:t>
      </w:r>
    </w:p>
    <w:p>
      <w:pPr>
        <w:spacing w:line="460" w:lineRule="exact"/>
        <w:ind w:firstLine="480" w:firstLineChars="200"/>
        <w:rPr>
          <w:rFonts w:hint="eastAsia" w:ascii="楷体" w:hAnsi="楷体" w:eastAsia="楷体"/>
          <w:sz w:val="24"/>
        </w:rPr>
      </w:pPr>
      <w:r>
        <w:rPr>
          <w:rFonts w:hint="eastAsia" w:ascii="楷体" w:hAnsi="楷体" w:eastAsia="楷体"/>
          <w:sz w:val="24"/>
          <w:szCs w:val="24"/>
        </w:rPr>
        <w:t xml:space="preserve"> </w:t>
      </w:r>
      <w:r>
        <w:rPr>
          <w:rFonts w:hint="eastAsia" w:ascii="楷体" w:hAnsi="楷体" w:eastAsia="楷体"/>
          <w:sz w:val="24"/>
        </w:rPr>
        <w:t>1、江西省萍乡市中级人民法院《委托书》；</w:t>
      </w:r>
    </w:p>
    <w:p>
      <w:pPr>
        <w:spacing w:line="460" w:lineRule="exact"/>
        <w:ind w:firstLine="600" w:firstLineChars="250"/>
        <w:rPr>
          <w:rFonts w:hint="eastAsia" w:ascii="楷体" w:hAnsi="楷体" w:eastAsia="楷体"/>
          <w:sz w:val="24"/>
        </w:rPr>
      </w:pPr>
      <w:r>
        <w:rPr>
          <w:rFonts w:hint="eastAsia" w:ascii="楷体" w:hAnsi="楷体" w:eastAsia="楷体"/>
          <w:sz w:val="24"/>
        </w:rPr>
        <w:t>2、</w:t>
      </w:r>
      <w:r>
        <w:rPr>
          <w:rFonts w:hint="eastAsia" w:ascii="楷体" w:hAnsi="楷体" w:eastAsia="楷体"/>
          <w:color w:val="000000"/>
          <w:sz w:val="24"/>
          <w:szCs w:val="24"/>
        </w:rPr>
        <w:t>估价委托人提供的权属证明复印件</w:t>
      </w:r>
      <w:r>
        <w:rPr>
          <w:rFonts w:hint="eastAsia" w:ascii="楷体" w:hAnsi="楷体" w:eastAsia="楷体"/>
          <w:sz w:val="24"/>
        </w:rPr>
        <w:t>；</w:t>
      </w:r>
    </w:p>
    <w:p>
      <w:pPr>
        <w:spacing w:line="460" w:lineRule="exact"/>
        <w:ind w:firstLine="600" w:firstLineChars="250"/>
        <w:rPr>
          <w:rFonts w:ascii="楷体" w:hAnsi="楷体" w:eastAsia="楷体" w:cs="楷体"/>
          <w:sz w:val="24"/>
          <w:szCs w:val="24"/>
        </w:rPr>
      </w:pPr>
      <w:r>
        <w:rPr>
          <w:rFonts w:hint="eastAsia" w:ascii="楷体" w:hAnsi="楷体" w:eastAsia="楷体"/>
          <w:sz w:val="24"/>
        </w:rPr>
        <w:t>3、</w:t>
      </w:r>
      <w:r>
        <w:rPr>
          <w:rFonts w:hint="eastAsia" w:ascii="楷体" w:hAnsi="楷体" w:eastAsia="楷体" w:cs="楷体"/>
          <w:sz w:val="24"/>
          <w:szCs w:val="24"/>
        </w:rPr>
        <w:t>其他与本次估价有关资料</w:t>
      </w:r>
    </w:p>
    <w:p>
      <w:pPr>
        <w:spacing w:line="460" w:lineRule="exact"/>
        <w:ind w:firstLine="600" w:firstLineChars="250"/>
        <w:rPr>
          <w:rFonts w:hint="eastAsia" w:ascii="楷体" w:hAnsi="楷体" w:eastAsia="楷体"/>
          <w:sz w:val="24"/>
        </w:rPr>
      </w:pPr>
      <w:r>
        <w:rPr>
          <w:rFonts w:hint="eastAsia" w:ascii="楷体" w:hAnsi="楷体" w:eastAsia="楷体"/>
          <w:sz w:val="24"/>
        </w:rPr>
        <w:t>（四）估价机构及注册房地产估价师搜集的资料依据</w:t>
      </w:r>
    </w:p>
    <w:p>
      <w:pPr>
        <w:spacing w:line="460" w:lineRule="exact"/>
        <w:ind w:firstLine="570"/>
        <w:rPr>
          <w:rFonts w:hint="eastAsia" w:ascii="楷体" w:hAnsi="楷体" w:eastAsia="楷体"/>
          <w:sz w:val="24"/>
        </w:rPr>
      </w:pPr>
      <w:r>
        <w:rPr>
          <w:rFonts w:hint="eastAsia" w:ascii="楷体" w:hAnsi="楷体" w:eastAsia="楷体"/>
          <w:sz w:val="24"/>
        </w:rPr>
        <w:t>1、估价对象现状照片；</w:t>
      </w:r>
    </w:p>
    <w:p>
      <w:pPr>
        <w:spacing w:line="460" w:lineRule="exact"/>
        <w:ind w:firstLine="570"/>
        <w:rPr>
          <w:rFonts w:hint="eastAsia" w:ascii="楷体" w:hAnsi="楷体" w:eastAsia="楷体"/>
          <w:sz w:val="24"/>
        </w:rPr>
      </w:pPr>
      <w:r>
        <w:rPr>
          <w:rFonts w:hint="eastAsia" w:ascii="楷体" w:hAnsi="楷体" w:eastAsia="楷体"/>
          <w:sz w:val="24"/>
        </w:rPr>
        <w:t>2、实地查勘记录；</w:t>
      </w:r>
    </w:p>
    <w:p>
      <w:pPr>
        <w:spacing w:line="460" w:lineRule="exact"/>
        <w:ind w:firstLine="570"/>
        <w:rPr>
          <w:rFonts w:hint="eastAsia" w:ascii="楷体" w:hAnsi="楷体" w:eastAsia="楷体"/>
          <w:sz w:val="24"/>
        </w:rPr>
      </w:pPr>
      <w:r>
        <w:rPr>
          <w:rFonts w:hint="eastAsia" w:ascii="楷体" w:hAnsi="楷体" w:eastAsia="楷体"/>
          <w:sz w:val="24"/>
        </w:rPr>
        <w:t>3、可比实例等相关资料；</w:t>
      </w:r>
    </w:p>
    <w:p>
      <w:pPr>
        <w:spacing w:line="460" w:lineRule="exact"/>
        <w:ind w:firstLine="570"/>
        <w:rPr>
          <w:rFonts w:hint="eastAsia" w:ascii="楷体" w:hAnsi="楷体" w:eastAsia="楷体"/>
          <w:sz w:val="24"/>
        </w:rPr>
      </w:pPr>
      <w:r>
        <w:rPr>
          <w:rFonts w:hint="eastAsia" w:ascii="楷体" w:hAnsi="楷体" w:eastAsia="楷体"/>
          <w:sz w:val="24"/>
        </w:rPr>
        <w:t>4、当地市场调查和搜集的有关资料等。</w:t>
      </w:r>
    </w:p>
    <w:p>
      <w:pPr>
        <w:spacing w:line="460" w:lineRule="exact"/>
        <w:ind w:firstLine="590" w:firstLineChars="245"/>
        <w:rPr>
          <w:rFonts w:hint="eastAsia" w:ascii="楷体" w:hAnsi="楷体" w:eastAsia="楷体"/>
          <w:b/>
          <w:bCs/>
          <w:sz w:val="24"/>
        </w:rPr>
      </w:pPr>
      <w:r>
        <w:rPr>
          <w:rFonts w:hint="eastAsia" w:ascii="楷体" w:hAnsi="楷体" w:eastAsia="楷体"/>
          <w:b/>
          <w:bCs/>
          <w:sz w:val="24"/>
        </w:rPr>
        <w:t>九、估价方法</w:t>
      </w:r>
    </w:p>
    <w:p>
      <w:pPr>
        <w:spacing w:line="460" w:lineRule="exact"/>
        <w:ind w:firstLine="480" w:firstLineChars="200"/>
        <w:rPr>
          <w:rFonts w:hint="eastAsia" w:ascii="楷体" w:hAnsi="楷体" w:eastAsia="楷体"/>
          <w:sz w:val="24"/>
          <w:szCs w:val="28"/>
        </w:rPr>
      </w:pPr>
      <w:r>
        <w:rPr>
          <w:rFonts w:hint="eastAsia" w:ascii="楷体" w:hAnsi="楷体" w:eastAsia="楷体"/>
          <w:sz w:val="24"/>
          <w:szCs w:val="28"/>
        </w:rPr>
        <w:t>本次选用比较法和</w:t>
      </w:r>
      <w:r>
        <w:rPr>
          <w:rFonts w:ascii="楷体" w:hAnsi="楷体" w:eastAsia="楷体"/>
          <w:sz w:val="24"/>
          <w:szCs w:val="28"/>
        </w:rPr>
        <w:t>成本法</w:t>
      </w:r>
      <w:r>
        <w:rPr>
          <w:rFonts w:hint="eastAsia" w:ascii="楷体" w:hAnsi="楷体" w:eastAsia="楷体"/>
          <w:sz w:val="24"/>
          <w:szCs w:val="28"/>
        </w:rPr>
        <w:t>进行估价。</w:t>
      </w:r>
    </w:p>
    <w:p>
      <w:pPr>
        <w:spacing w:line="460" w:lineRule="exact"/>
        <w:ind w:firstLine="480" w:firstLineChars="200"/>
        <w:rPr>
          <w:rFonts w:hint="eastAsia" w:ascii="楷体" w:hAnsi="楷体" w:eastAsia="楷体"/>
          <w:sz w:val="24"/>
          <w:szCs w:val="28"/>
        </w:rPr>
      </w:pPr>
      <w:r>
        <w:rPr>
          <w:rFonts w:hint="eastAsia" w:ascii="楷体" w:hAnsi="楷体" w:eastAsia="楷体"/>
          <w:sz w:val="24"/>
          <w:szCs w:val="28"/>
        </w:rPr>
        <w:t>1、比较法是指选取一定数量的可比实例，将它们与估价对象进行比较，根据其间的差异对可比实例成交价格进行处理后得到估价对象价值或价格的方法。</w:t>
      </w:r>
    </w:p>
    <w:p>
      <w:pPr>
        <w:spacing w:line="460" w:lineRule="exact"/>
        <w:ind w:firstLine="480" w:firstLineChars="200"/>
        <w:rPr>
          <w:rFonts w:hint="eastAsia" w:ascii="楷体" w:hAnsi="楷体" w:eastAsia="楷体"/>
          <w:sz w:val="24"/>
          <w:szCs w:val="28"/>
        </w:rPr>
      </w:pPr>
      <w:r>
        <w:rPr>
          <w:rFonts w:hint="eastAsia" w:ascii="楷体" w:hAnsi="楷体" w:eastAsia="楷体"/>
          <w:sz w:val="24"/>
          <w:szCs w:val="28"/>
        </w:rPr>
        <w:t>2、成本法是测算估价对象在价值时点的重置成本或重建成本和折旧，将重置成本或重建成本减去折旧得到估价对象价格或价值的方法。</w:t>
      </w:r>
    </w:p>
    <w:p>
      <w:pPr>
        <w:spacing w:line="420" w:lineRule="exact"/>
        <w:ind w:firstLine="482" w:firstLineChars="200"/>
        <w:rPr>
          <w:rFonts w:hint="eastAsia" w:ascii="楷体" w:hAnsi="楷体" w:eastAsia="楷体"/>
          <w:b/>
          <w:bCs/>
          <w:color w:val="000000"/>
          <w:sz w:val="24"/>
        </w:rPr>
      </w:pPr>
      <w:r>
        <w:rPr>
          <w:rFonts w:hint="eastAsia" w:ascii="楷体" w:hAnsi="楷体" w:eastAsia="楷体"/>
          <w:b/>
          <w:bCs/>
          <w:color w:val="000000"/>
          <w:sz w:val="24"/>
        </w:rPr>
        <w:t>十、估价结果</w:t>
      </w:r>
    </w:p>
    <w:p>
      <w:pPr>
        <w:spacing w:line="420" w:lineRule="exact"/>
        <w:ind w:left="120" w:leftChars="57" w:firstLine="480" w:firstLineChars="200"/>
        <w:rPr>
          <w:rFonts w:hint="eastAsia" w:ascii="楷体" w:hAnsi="楷体" w:eastAsia="楷体"/>
          <w:color w:val="000000"/>
          <w:sz w:val="24"/>
          <w:szCs w:val="24"/>
        </w:rPr>
      </w:pPr>
      <w:r>
        <w:rPr>
          <w:rFonts w:hint="eastAsia" w:ascii="楷体" w:hAnsi="楷体" w:eastAsia="楷体"/>
          <w:color w:val="000000"/>
          <w:sz w:val="24"/>
          <w:szCs w:val="24"/>
        </w:rPr>
        <w:t>本机构估价人员根据特定的估价目的，遵照《中华人民共和国城市房地产管理法》、《房地产估价规范》及</w:t>
      </w:r>
      <w:r>
        <w:rPr>
          <w:rFonts w:ascii="楷体" w:hAnsi="楷体" w:eastAsia="楷体"/>
          <w:color w:val="000000"/>
          <w:sz w:val="24"/>
          <w:szCs w:val="24"/>
        </w:rPr>
        <w:t>《</w:t>
      </w:r>
      <w:r>
        <w:rPr>
          <w:rFonts w:hint="eastAsia" w:ascii="楷体" w:hAnsi="楷体" w:eastAsia="楷体"/>
          <w:sz w:val="24"/>
        </w:rPr>
        <w:t>涉执房地产处置司法评估指导意见（试行）</w:t>
      </w:r>
      <w:r>
        <w:rPr>
          <w:rFonts w:ascii="楷体" w:hAnsi="楷体" w:eastAsia="楷体"/>
          <w:color w:val="000000"/>
          <w:sz w:val="24"/>
          <w:szCs w:val="24"/>
        </w:rPr>
        <w:t>》</w:t>
      </w:r>
      <w:r>
        <w:rPr>
          <w:rFonts w:hint="eastAsia" w:ascii="楷体" w:hAnsi="楷体" w:eastAsia="楷体"/>
          <w:color w:val="000000"/>
          <w:sz w:val="24"/>
          <w:szCs w:val="24"/>
        </w:rPr>
        <w:t>等法律法规和技术标准，遵循独立、客观、公正的原则，经过实地察看和市场调查，运用比较法、成本法进行分析、测算和判断。经评估测算，在公开市场和持续使用前提下，在满足本次估价假设和限制条件下，本次估价对象于价值时点的估价结果如下：</w:t>
      </w:r>
    </w:p>
    <w:p>
      <w:pPr>
        <w:spacing w:line="460" w:lineRule="exact"/>
        <w:ind w:left="120" w:leftChars="57"/>
        <w:jc w:val="center"/>
        <w:rPr>
          <w:rFonts w:hint="eastAsia" w:ascii="楷体" w:hAnsi="楷体" w:eastAsia="楷体"/>
          <w:sz w:val="24"/>
          <w:szCs w:val="24"/>
        </w:rPr>
      </w:pPr>
      <w:r>
        <w:rPr>
          <w:rFonts w:hint="eastAsia" w:ascii="楷体" w:hAnsi="楷体" w:eastAsia="楷体"/>
          <w:sz w:val="24"/>
          <w:szCs w:val="24"/>
        </w:rPr>
        <w:t>估价对象房地产市场价值评估结果</w:t>
      </w:r>
    </w:p>
    <w:tbl>
      <w:tblPr>
        <w:tblStyle w:val="10"/>
        <w:tblW w:w="9012" w:type="dxa"/>
        <w:jc w:val="center"/>
        <w:tblInd w:w="-15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4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095" w:type="dxa"/>
            <w:vMerge w:val="restart"/>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sz w:val="18"/>
                <w:szCs w:val="18"/>
              </w:rPr>
              <w:t>项目</w:t>
            </w:r>
          </w:p>
        </w:tc>
        <w:tc>
          <w:tcPr>
            <w:tcW w:w="4917" w:type="dxa"/>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cs="楷体"/>
                <w:sz w:val="18"/>
                <w:szCs w:val="18"/>
              </w:rPr>
              <w:t>估价结果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095" w:type="dxa"/>
            <w:vMerge w:val="continue"/>
            <w:noWrap w:val="0"/>
            <w:vAlign w:val="center"/>
          </w:tcPr>
          <w:p>
            <w:pPr>
              <w:spacing w:line="240" w:lineRule="exact"/>
              <w:jc w:val="center"/>
              <w:rPr>
                <w:rFonts w:hint="eastAsia" w:ascii="楷体" w:hAnsi="楷体" w:eastAsia="楷体" w:cs="楷体"/>
                <w:sz w:val="18"/>
                <w:szCs w:val="18"/>
              </w:rPr>
            </w:pPr>
          </w:p>
        </w:tc>
        <w:tc>
          <w:tcPr>
            <w:tcW w:w="4917" w:type="dxa"/>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cs="楷体"/>
                <w:sz w:val="18"/>
                <w:szCs w:val="18"/>
              </w:rPr>
              <w:t>总价（万元）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095" w:type="dxa"/>
            <w:noWrap w:val="0"/>
            <w:vAlign w:val="center"/>
          </w:tcPr>
          <w:p>
            <w:pPr>
              <w:spacing w:line="240" w:lineRule="exact"/>
              <w:jc w:val="center"/>
              <w:rPr>
                <w:rFonts w:hint="eastAsia" w:ascii="楷体" w:hAnsi="楷体" w:eastAsia="楷体" w:cs="楷体"/>
                <w:sz w:val="18"/>
                <w:szCs w:val="18"/>
              </w:rPr>
            </w:pPr>
            <w:r>
              <w:rPr>
                <w:rFonts w:hint="eastAsia" w:ascii="楷体" w:hAnsi="楷体" w:eastAsia="楷体"/>
                <w:sz w:val="18"/>
                <w:szCs w:val="18"/>
              </w:rPr>
              <w:t>正常税费负担下的市场价值</w:t>
            </w:r>
          </w:p>
        </w:tc>
        <w:tc>
          <w:tcPr>
            <w:tcW w:w="4917" w:type="dxa"/>
            <w:noWrap w:val="0"/>
            <w:vAlign w:val="center"/>
          </w:tcPr>
          <w:p>
            <w:pPr>
              <w:spacing w:line="240" w:lineRule="exact"/>
              <w:jc w:val="left"/>
              <w:rPr>
                <w:rFonts w:hint="eastAsia" w:ascii="楷体" w:hAnsi="楷体" w:eastAsia="楷体" w:cs="楷体"/>
                <w:sz w:val="18"/>
                <w:szCs w:val="18"/>
              </w:rPr>
            </w:pPr>
            <w:r>
              <w:rPr>
                <w:rFonts w:ascii="楷体" w:hAnsi="楷体" w:eastAsia="楷体" w:cs="楷体"/>
                <w:sz w:val="18"/>
                <w:szCs w:val="18"/>
              </w:rPr>
              <w:t>492.96</w:t>
            </w:r>
            <w:r>
              <w:rPr>
                <w:rFonts w:hint="eastAsia" w:ascii="楷体" w:hAnsi="楷体" w:eastAsia="楷体" w:cs="楷体"/>
                <w:sz w:val="18"/>
                <w:szCs w:val="18"/>
              </w:rPr>
              <w:t>（人民币肆佰玖拾贰万玖仟陆佰元整）</w:t>
            </w:r>
          </w:p>
        </w:tc>
      </w:tr>
    </w:tbl>
    <w:p>
      <w:pPr>
        <w:spacing w:line="500" w:lineRule="exact"/>
        <w:ind w:left="120" w:leftChars="57"/>
        <w:jc w:val="center"/>
        <w:rPr>
          <w:rFonts w:hint="eastAsia" w:ascii="楷体" w:hAnsi="楷体" w:eastAsia="楷体"/>
          <w:sz w:val="24"/>
          <w:szCs w:val="24"/>
        </w:rPr>
      </w:pPr>
      <w:r>
        <w:rPr>
          <w:rFonts w:hint="eastAsia" w:ascii="楷体" w:hAnsi="楷体" w:eastAsia="楷体"/>
          <w:sz w:val="24"/>
          <w:szCs w:val="24"/>
        </w:rPr>
        <w:t>估价对象房地产市场价值评估结果明细表</w:t>
      </w:r>
    </w:p>
    <w:tbl>
      <w:tblPr>
        <w:tblStyle w:val="10"/>
        <w:tblW w:w="8930" w:type="dxa"/>
        <w:tblInd w:w="250" w:type="dxa"/>
        <w:tblLayout w:type="fixed"/>
        <w:tblCellMar>
          <w:top w:w="0" w:type="dxa"/>
          <w:left w:w="108" w:type="dxa"/>
          <w:bottom w:w="0" w:type="dxa"/>
          <w:right w:w="108" w:type="dxa"/>
        </w:tblCellMar>
      </w:tblPr>
      <w:tblGrid>
        <w:gridCol w:w="3986"/>
        <w:gridCol w:w="2565"/>
        <w:gridCol w:w="2379"/>
      </w:tblGrid>
      <w:tr>
        <w:tblPrEx>
          <w:tblLayout w:type="fixed"/>
          <w:tblCellMar>
            <w:top w:w="0" w:type="dxa"/>
            <w:left w:w="108" w:type="dxa"/>
            <w:bottom w:w="0" w:type="dxa"/>
            <w:right w:w="108" w:type="dxa"/>
          </w:tblCellMar>
        </w:tblPrEx>
        <w:trPr>
          <w:trHeight w:val="392" w:hRule="atLeast"/>
        </w:trPr>
        <w:tc>
          <w:tcPr>
            <w:tcW w:w="398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ascii="楷体" w:hAnsi="楷体" w:eastAsia="楷体" w:cs="宋体"/>
                <w:kern w:val="0"/>
                <w:sz w:val="18"/>
                <w:szCs w:val="18"/>
              </w:rPr>
            </w:pPr>
            <w:r>
              <w:rPr>
                <w:rFonts w:hint="eastAsia" w:ascii="楷体" w:hAnsi="楷体" w:eastAsia="楷体" w:cs="宋体"/>
                <w:kern w:val="0"/>
                <w:sz w:val="18"/>
                <w:szCs w:val="18"/>
              </w:rPr>
              <w:t>名称</w:t>
            </w:r>
          </w:p>
        </w:tc>
        <w:tc>
          <w:tcPr>
            <w:tcW w:w="2565"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市场价值（万元）</w:t>
            </w:r>
          </w:p>
        </w:tc>
        <w:tc>
          <w:tcPr>
            <w:tcW w:w="2379" w:type="dxa"/>
            <w:tcBorders>
              <w:top w:val="single" w:color="auto" w:sz="4" w:space="0"/>
              <w:left w:val="nil"/>
              <w:bottom w:val="single" w:color="auto" w:sz="4" w:space="0"/>
              <w:right w:val="single" w:color="auto" w:sz="4" w:space="0"/>
            </w:tcBorders>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单价</w:t>
            </w:r>
            <w:r>
              <w:rPr>
                <w:rFonts w:hint="eastAsia" w:ascii="楷体" w:hAnsi="楷体" w:eastAsia="楷体" w:cs="楷体"/>
                <w:sz w:val="18"/>
                <w:szCs w:val="18"/>
              </w:rPr>
              <w:t>（元/㎡）</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3幢301号 </w:t>
            </w:r>
          </w:p>
        </w:tc>
        <w:tc>
          <w:tcPr>
            <w:tcW w:w="2565" w:type="dxa"/>
            <w:tcBorders>
              <w:top w:val="nil"/>
              <w:left w:val="nil"/>
              <w:bottom w:val="single" w:color="auto" w:sz="4" w:space="0"/>
              <w:right w:val="single" w:color="auto" w:sz="4" w:space="0"/>
            </w:tcBorders>
            <w:shd w:val="clear" w:color="auto" w:fill="auto"/>
            <w:noWrap w:val="0"/>
            <w:vAlign w:val="center"/>
          </w:tcPr>
          <w:p>
            <w:pPr>
              <w:widowControl/>
              <w:spacing w:line="240" w:lineRule="exact"/>
              <w:jc w:val="right"/>
              <w:rPr>
                <w:rFonts w:ascii="楷体" w:hAnsi="楷体" w:eastAsia="楷体"/>
                <w:kern w:val="0"/>
                <w:sz w:val="18"/>
                <w:szCs w:val="18"/>
              </w:rPr>
            </w:pPr>
            <w:r>
              <w:rPr>
                <w:rFonts w:hint="eastAsia" w:ascii="楷体" w:hAnsi="楷体" w:eastAsia="楷体"/>
                <w:sz w:val="18"/>
                <w:szCs w:val="18"/>
              </w:rPr>
              <w:t xml:space="preserve">           21.95 </w:t>
            </w:r>
          </w:p>
        </w:tc>
        <w:tc>
          <w:tcPr>
            <w:tcW w:w="2379" w:type="dxa"/>
            <w:tcBorders>
              <w:top w:val="nil"/>
              <w:left w:val="nil"/>
              <w:bottom w:val="single" w:color="auto" w:sz="4" w:space="0"/>
              <w:right w:val="single" w:color="auto" w:sz="4" w:space="0"/>
            </w:tcBorders>
            <w:noWrap w:val="0"/>
            <w:vAlign w:val="center"/>
          </w:tcPr>
          <w:p>
            <w:pPr>
              <w:widowControl/>
              <w:spacing w:line="240" w:lineRule="exact"/>
              <w:jc w:val="center"/>
              <w:rPr>
                <w:rFonts w:ascii="楷体" w:hAnsi="楷体" w:eastAsia="楷体"/>
                <w:kern w:val="0"/>
                <w:sz w:val="18"/>
                <w:szCs w:val="18"/>
              </w:rPr>
            </w:pPr>
            <w:r>
              <w:rPr>
                <w:rFonts w:hint="eastAsia" w:ascii="楷体" w:hAnsi="楷体" w:eastAsia="楷体"/>
                <w:sz w:val="18"/>
                <w:szCs w:val="18"/>
              </w:rPr>
              <w:t xml:space="preserve">4,220.00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3幢302号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13.78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4,262.00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3幢313号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27.10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4,263.00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3幢412号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43.87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4,179.00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4幢518号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23.29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4,179.00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5幢401号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59.67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4,054.00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7幢502号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38.54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4,096.00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7幢504号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47.18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4,096.00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7幢505号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41.72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4,096.00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2-6、8-16幢C007号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2-6、8-16幢C022号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2-6、8-16幢C023号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2-6、8-16幢C028号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2-6、8-16幢C039号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2-6、8-16幢C054号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2-6、8-16幢C055号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2-6、8-16幢C056号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2-6、8-16幢C057号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2-6、8-16幢C058号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2-6、8-16幢C059号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2-6、8-16幢C060号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2-6、8-16幢C064号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2-6、8-16幢C067号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2-6、8-16幢C068号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2-6、8-16幢C069号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2-6、8-16幢C070号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 xml:space="preserve"> 2-6、8-16幢C074号 </w:t>
            </w:r>
          </w:p>
        </w:tc>
        <w:tc>
          <w:tcPr>
            <w:tcW w:w="2565" w:type="dxa"/>
            <w:tcBorders>
              <w:top w:val="nil"/>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sz w:val="18"/>
                <w:szCs w:val="18"/>
              </w:rPr>
            </w:pPr>
            <w:r>
              <w:rPr>
                <w:rFonts w:hint="eastAsia" w:ascii="楷体" w:hAnsi="楷体" w:eastAsia="楷体"/>
                <w:sz w:val="18"/>
                <w:szCs w:val="18"/>
              </w:rPr>
              <w:t xml:space="preserve">            9.77 </w:t>
            </w:r>
          </w:p>
        </w:tc>
        <w:tc>
          <w:tcPr>
            <w:tcW w:w="2379" w:type="dxa"/>
            <w:tcBorders>
              <w:top w:val="nil"/>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r>
              <w:rPr>
                <w:rFonts w:hint="eastAsia" w:ascii="楷体" w:hAnsi="楷体" w:eastAsia="楷体"/>
                <w:sz w:val="18"/>
                <w:szCs w:val="18"/>
              </w:rPr>
              <w:t xml:space="preserve">2,558.00 </w:t>
            </w:r>
          </w:p>
        </w:tc>
      </w:tr>
      <w:tr>
        <w:tblPrEx>
          <w:tblLayout w:type="fixed"/>
          <w:tblCellMar>
            <w:top w:w="0" w:type="dxa"/>
            <w:left w:w="108" w:type="dxa"/>
            <w:bottom w:w="0" w:type="dxa"/>
            <w:right w:w="108" w:type="dxa"/>
          </w:tblCellMar>
        </w:tblPrEx>
        <w:trPr>
          <w:trHeight w:val="319" w:hRule="atLeast"/>
        </w:trPr>
        <w:tc>
          <w:tcPr>
            <w:tcW w:w="398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exact"/>
              <w:jc w:val="center"/>
              <w:rPr>
                <w:rFonts w:hint="eastAsia" w:ascii="楷体" w:hAnsi="楷体" w:eastAsia="楷体" w:cs="宋体"/>
                <w:kern w:val="0"/>
                <w:sz w:val="18"/>
                <w:szCs w:val="18"/>
              </w:rPr>
            </w:pPr>
            <w:r>
              <w:rPr>
                <w:rFonts w:hint="eastAsia" w:ascii="楷体" w:hAnsi="楷体" w:eastAsia="楷体" w:cs="宋体"/>
                <w:kern w:val="0"/>
                <w:sz w:val="18"/>
                <w:szCs w:val="18"/>
              </w:rPr>
              <w:t>合计</w:t>
            </w:r>
          </w:p>
        </w:tc>
        <w:tc>
          <w:tcPr>
            <w:tcW w:w="2565" w:type="dxa"/>
            <w:tcBorders>
              <w:top w:val="single" w:color="auto" w:sz="4" w:space="0"/>
              <w:left w:val="nil"/>
              <w:bottom w:val="single" w:color="auto" w:sz="4" w:space="0"/>
              <w:right w:val="single" w:color="auto" w:sz="4" w:space="0"/>
            </w:tcBorders>
            <w:shd w:val="clear" w:color="auto" w:fill="auto"/>
            <w:noWrap w:val="0"/>
            <w:vAlign w:val="center"/>
          </w:tcPr>
          <w:p>
            <w:pPr>
              <w:spacing w:line="240" w:lineRule="exact"/>
              <w:jc w:val="right"/>
              <w:rPr>
                <w:rFonts w:hint="eastAsia" w:ascii="楷体" w:hAnsi="楷体" w:eastAsia="楷体"/>
                <w:b/>
                <w:bCs/>
                <w:sz w:val="18"/>
                <w:szCs w:val="18"/>
              </w:rPr>
            </w:pPr>
            <w:r>
              <w:rPr>
                <w:rFonts w:hint="eastAsia" w:ascii="楷体" w:hAnsi="楷体" w:eastAsia="楷体"/>
                <w:b/>
                <w:bCs/>
                <w:sz w:val="18"/>
                <w:szCs w:val="18"/>
              </w:rPr>
              <w:t xml:space="preserve">        492.96 </w:t>
            </w:r>
          </w:p>
        </w:tc>
        <w:tc>
          <w:tcPr>
            <w:tcW w:w="2379" w:type="dxa"/>
            <w:tcBorders>
              <w:top w:val="single" w:color="auto" w:sz="4" w:space="0"/>
              <w:left w:val="nil"/>
              <w:bottom w:val="single" w:color="auto" w:sz="4" w:space="0"/>
              <w:right w:val="single" w:color="auto" w:sz="4" w:space="0"/>
            </w:tcBorders>
            <w:noWrap w:val="0"/>
            <w:vAlign w:val="center"/>
          </w:tcPr>
          <w:p>
            <w:pPr>
              <w:spacing w:line="240" w:lineRule="exact"/>
              <w:jc w:val="center"/>
              <w:rPr>
                <w:rFonts w:hint="eastAsia" w:ascii="楷体" w:hAnsi="楷体" w:eastAsia="楷体"/>
                <w:sz w:val="18"/>
                <w:szCs w:val="18"/>
              </w:rPr>
            </w:pPr>
          </w:p>
        </w:tc>
      </w:tr>
    </w:tbl>
    <w:p>
      <w:pPr>
        <w:spacing w:line="520" w:lineRule="exact"/>
        <w:ind w:right="358" w:firstLine="472" w:firstLineChars="196"/>
        <w:jc w:val="left"/>
        <w:rPr>
          <w:rFonts w:hint="eastAsia" w:ascii="楷体" w:hAnsi="楷体" w:eastAsia="楷体"/>
          <w:b/>
          <w:bCs/>
          <w:color w:val="000000"/>
          <w:sz w:val="24"/>
        </w:rPr>
      </w:pPr>
      <w:r>
        <w:rPr>
          <w:rFonts w:hint="eastAsia" w:ascii="楷体" w:hAnsi="楷体" w:eastAsia="楷体"/>
          <w:b/>
          <w:bCs/>
          <w:color w:val="000000"/>
          <w:sz w:val="24"/>
        </w:rPr>
        <w:t>十一、注册房地产估价师</w:t>
      </w:r>
    </w:p>
    <w:tbl>
      <w:tblPr>
        <w:tblStyle w:val="10"/>
        <w:tblW w:w="8996" w:type="dxa"/>
        <w:tblInd w:w="25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2104"/>
        <w:gridCol w:w="2348"/>
        <w:gridCol w:w="27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1823" w:type="dxa"/>
            <w:noWrap w:val="0"/>
            <w:vAlign w:val="center"/>
          </w:tcPr>
          <w:p>
            <w:pPr>
              <w:spacing w:line="520" w:lineRule="exact"/>
              <w:jc w:val="center"/>
              <w:rPr>
                <w:rFonts w:hint="eastAsia" w:ascii="楷体" w:hAnsi="楷体" w:eastAsia="楷体"/>
                <w:color w:val="000000"/>
                <w:sz w:val="24"/>
                <w:szCs w:val="24"/>
              </w:rPr>
            </w:pPr>
            <w:r>
              <w:rPr>
                <w:rFonts w:hint="eastAsia" w:ascii="楷体" w:hAnsi="楷体" w:eastAsia="楷体"/>
                <w:color w:val="000000"/>
                <w:sz w:val="24"/>
                <w:szCs w:val="24"/>
              </w:rPr>
              <w:t>姓名</w:t>
            </w:r>
          </w:p>
        </w:tc>
        <w:tc>
          <w:tcPr>
            <w:tcW w:w="2104" w:type="dxa"/>
            <w:noWrap w:val="0"/>
            <w:vAlign w:val="center"/>
          </w:tcPr>
          <w:p>
            <w:pPr>
              <w:spacing w:line="520" w:lineRule="exact"/>
              <w:jc w:val="center"/>
              <w:rPr>
                <w:rFonts w:hint="eastAsia" w:ascii="楷体" w:hAnsi="楷体" w:eastAsia="楷体"/>
                <w:color w:val="000000"/>
                <w:sz w:val="24"/>
                <w:szCs w:val="24"/>
              </w:rPr>
            </w:pPr>
            <w:r>
              <w:rPr>
                <w:rFonts w:hint="eastAsia" w:ascii="楷体" w:hAnsi="楷体" w:eastAsia="楷体"/>
                <w:color w:val="000000"/>
                <w:sz w:val="24"/>
                <w:szCs w:val="24"/>
              </w:rPr>
              <w:t>注册号</w:t>
            </w:r>
          </w:p>
        </w:tc>
        <w:tc>
          <w:tcPr>
            <w:tcW w:w="2348" w:type="dxa"/>
            <w:noWrap w:val="0"/>
            <w:vAlign w:val="center"/>
          </w:tcPr>
          <w:p>
            <w:pPr>
              <w:spacing w:line="520" w:lineRule="exact"/>
              <w:jc w:val="center"/>
              <w:rPr>
                <w:rFonts w:hint="eastAsia" w:ascii="楷体" w:hAnsi="楷体" w:eastAsia="楷体"/>
                <w:color w:val="000000"/>
                <w:sz w:val="24"/>
                <w:szCs w:val="24"/>
              </w:rPr>
            </w:pPr>
            <w:r>
              <w:rPr>
                <w:rFonts w:hint="eastAsia" w:ascii="楷体" w:hAnsi="楷体" w:eastAsia="楷体"/>
                <w:color w:val="000000"/>
                <w:sz w:val="24"/>
                <w:szCs w:val="24"/>
              </w:rPr>
              <w:t>签名</w:t>
            </w:r>
          </w:p>
        </w:tc>
        <w:tc>
          <w:tcPr>
            <w:tcW w:w="2721" w:type="dxa"/>
            <w:noWrap w:val="0"/>
            <w:vAlign w:val="center"/>
          </w:tcPr>
          <w:p>
            <w:pPr>
              <w:spacing w:line="520" w:lineRule="exact"/>
              <w:jc w:val="center"/>
              <w:rPr>
                <w:rFonts w:hint="eastAsia" w:ascii="楷体" w:hAnsi="楷体" w:eastAsia="楷体"/>
                <w:color w:val="000000"/>
                <w:sz w:val="24"/>
                <w:szCs w:val="24"/>
              </w:rPr>
            </w:pPr>
            <w:r>
              <w:rPr>
                <w:rFonts w:hint="eastAsia" w:ascii="楷体" w:hAnsi="楷体" w:eastAsia="楷体"/>
                <w:color w:val="000000"/>
                <w:sz w:val="24"/>
                <w:szCs w:val="24"/>
              </w:rPr>
              <w:t>签名日期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64" w:hRule="atLeast"/>
        </w:trPr>
        <w:tc>
          <w:tcPr>
            <w:tcW w:w="1823" w:type="dxa"/>
            <w:noWrap w:val="0"/>
            <w:vAlign w:val="center"/>
          </w:tcPr>
          <w:p>
            <w:pPr>
              <w:spacing w:line="540" w:lineRule="exact"/>
              <w:jc w:val="center"/>
              <w:rPr>
                <w:rFonts w:hint="eastAsia" w:ascii="楷体" w:hAnsi="楷体" w:eastAsia="楷体"/>
                <w:sz w:val="24"/>
                <w:szCs w:val="24"/>
              </w:rPr>
            </w:pPr>
            <w:r>
              <w:rPr>
                <w:rFonts w:hint="eastAsia" w:ascii="楷体" w:hAnsi="楷体" w:eastAsia="楷体"/>
                <w:sz w:val="24"/>
                <w:szCs w:val="24"/>
              </w:rPr>
              <w:t>李大奇</w:t>
            </w:r>
          </w:p>
        </w:tc>
        <w:tc>
          <w:tcPr>
            <w:tcW w:w="2104" w:type="dxa"/>
            <w:noWrap w:val="0"/>
            <w:vAlign w:val="center"/>
          </w:tcPr>
          <w:p>
            <w:pPr>
              <w:spacing w:line="540" w:lineRule="exact"/>
              <w:jc w:val="center"/>
              <w:rPr>
                <w:rFonts w:hint="eastAsia" w:ascii="楷体" w:hAnsi="楷体" w:eastAsia="楷体"/>
                <w:sz w:val="24"/>
                <w:szCs w:val="24"/>
              </w:rPr>
            </w:pPr>
            <w:r>
              <w:rPr>
                <w:rFonts w:hint="eastAsia" w:ascii="楷体" w:hAnsi="楷体" w:eastAsia="楷体" w:cs="楷体"/>
                <w:sz w:val="24"/>
                <w:szCs w:val="24"/>
              </w:rPr>
              <w:t>3520190041</w:t>
            </w:r>
          </w:p>
        </w:tc>
        <w:tc>
          <w:tcPr>
            <w:tcW w:w="2348" w:type="dxa"/>
            <w:noWrap w:val="0"/>
            <w:vAlign w:val="center"/>
          </w:tcPr>
          <w:p>
            <w:pPr>
              <w:spacing w:line="520" w:lineRule="exact"/>
              <w:jc w:val="center"/>
              <w:rPr>
                <w:rFonts w:hint="eastAsia" w:ascii="楷体" w:hAnsi="楷体" w:eastAsia="楷体"/>
                <w:sz w:val="24"/>
                <w:szCs w:val="24"/>
              </w:rPr>
            </w:pPr>
          </w:p>
        </w:tc>
        <w:tc>
          <w:tcPr>
            <w:tcW w:w="2721" w:type="dxa"/>
            <w:noWrap w:val="0"/>
            <w:vAlign w:val="center"/>
          </w:tcPr>
          <w:p>
            <w:pPr>
              <w:spacing w:line="520" w:lineRule="exact"/>
              <w:jc w:val="center"/>
              <w:rPr>
                <w:rFonts w:hint="eastAsia" w:ascii="楷体" w:hAnsi="楷体" w:eastAsia="楷体"/>
                <w:sz w:val="24"/>
                <w:szCs w:val="24"/>
              </w:rPr>
            </w:pPr>
            <w:r>
              <w:rPr>
                <w:rFonts w:hint="eastAsia" w:ascii="楷体" w:hAnsi="楷体" w:eastAsia="楷体"/>
                <w:sz w:val="24"/>
                <w:szCs w:val="24"/>
              </w:rPr>
              <w:t xml:space="preserve">      年 </w:t>
            </w:r>
            <w:r>
              <w:rPr>
                <w:rFonts w:ascii="楷体" w:hAnsi="楷体" w:eastAsia="楷体"/>
                <w:sz w:val="24"/>
                <w:szCs w:val="24"/>
              </w:rPr>
              <w:t xml:space="preserve"> </w:t>
            </w:r>
            <w:r>
              <w:rPr>
                <w:rFonts w:hint="eastAsia" w:ascii="楷体" w:hAnsi="楷体" w:eastAsia="楷体"/>
                <w:sz w:val="24"/>
                <w:szCs w:val="24"/>
              </w:rPr>
              <w:t xml:space="preserve"> 月   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4" w:hRule="atLeast"/>
        </w:trPr>
        <w:tc>
          <w:tcPr>
            <w:tcW w:w="1823" w:type="dxa"/>
            <w:noWrap w:val="0"/>
            <w:vAlign w:val="center"/>
          </w:tcPr>
          <w:p>
            <w:pPr>
              <w:spacing w:line="540" w:lineRule="exact"/>
              <w:jc w:val="center"/>
              <w:rPr>
                <w:rFonts w:hint="eastAsia" w:ascii="楷体" w:hAnsi="楷体" w:eastAsia="楷体"/>
                <w:sz w:val="24"/>
                <w:szCs w:val="24"/>
              </w:rPr>
            </w:pPr>
            <w:r>
              <w:rPr>
                <w:rFonts w:hint="eastAsia" w:ascii="楷体" w:hAnsi="楷体" w:eastAsia="楷体"/>
                <w:sz w:val="24"/>
                <w:szCs w:val="24"/>
              </w:rPr>
              <w:t>张  鹏</w:t>
            </w:r>
          </w:p>
        </w:tc>
        <w:tc>
          <w:tcPr>
            <w:tcW w:w="2104" w:type="dxa"/>
            <w:noWrap w:val="0"/>
            <w:vAlign w:val="center"/>
          </w:tcPr>
          <w:p>
            <w:pPr>
              <w:spacing w:line="540" w:lineRule="exact"/>
              <w:jc w:val="center"/>
              <w:rPr>
                <w:rFonts w:hint="eastAsia" w:ascii="楷体" w:hAnsi="楷体" w:eastAsia="楷体"/>
                <w:sz w:val="24"/>
                <w:szCs w:val="24"/>
              </w:rPr>
            </w:pPr>
            <w:r>
              <w:rPr>
                <w:rFonts w:hint="eastAsia" w:ascii="楷体" w:hAnsi="楷体" w:eastAsia="楷体" w:cs="楷体"/>
                <w:sz w:val="24"/>
                <w:szCs w:val="24"/>
              </w:rPr>
              <w:t>3520070068</w:t>
            </w:r>
          </w:p>
        </w:tc>
        <w:tc>
          <w:tcPr>
            <w:tcW w:w="2348" w:type="dxa"/>
            <w:noWrap w:val="0"/>
            <w:vAlign w:val="center"/>
          </w:tcPr>
          <w:p>
            <w:pPr>
              <w:spacing w:line="520" w:lineRule="exact"/>
              <w:jc w:val="center"/>
              <w:rPr>
                <w:rFonts w:hint="eastAsia" w:ascii="楷体" w:hAnsi="楷体" w:eastAsia="楷体"/>
                <w:sz w:val="24"/>
                <w:szCs w:val="24"/>
              </w:rPr>
            </w:pPr>
          </w:p>
        </w:tc>
        <w:tc>
          <w:tcPr>
            <w:tcW w:w="2721" w:type="dxa"/>
            <w:noWrap w:val="0"/>
            <w:vAlign w:val="center"/>
          </w:tcPr>
          <w:p>
            <w:pPr>
              <w:spacing w:line="520" w:lineRule="exact"/>
              <w:jc w:val="center"/>
              <w:rPr>
                <w:rFonts w:hint="eastAsia" w:ascii="楷体" w:hAnsi="楷体" w:eastAsia="楷体"/>
                <w:sz w:val="24"/>
                <w:szCs w:val="24"/>
              </w:rPr>
            </w:pPr>
            <w:r>
              <w:rPr>
                <w:rFonts w:ascii="楷体" w:hAnsi="楷体" w:eastAsia="楷体"/>
                <w:sz w:val="24"/>
                <w:szCs w:val="24"/>
              </w:rPr>
              <w:t xml:space="preserve">  </w:t>
            </w: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 xml:space="preserve">年 </w:t>
            </w:r>
            <w:r>
              <w:rPr>
                <w:rFonts w:ascii="楷体" w:hAnsi="楷体" w:eastAsia="楷体"/>
                <w:sz w:val="24"/>
                <w:szCs w:val="24"/>
              </w:rPr>
              <w:t xml:space="preserve"> </w:t>
            </w:r>
            <w:r>
              <w:rPr>
                <w:rFonts w:hint="eastAsia" w:ascii="楷体" w:hAnsi="楷体" w:eastAsia="楷体"/>
                <w:sz w:val="24"/>
                <w:szCs w:val="24"/>
              </w:rPr>
              <w:t xml:space="preserve"> </w:t>
            </w:r>
            <w:r>
              <w:rPr>
                <w:rFonts w:ascii="楷体" w:hAnsi="楷体" w:eastAsia="楷体"/>
                <w:sz w:val="24"/>
                <w:szCs w:val="24"/>
              </w:rPr>
              <w:t xml:space="preserve"> </w:t>
            </w:r>
            <w:r>
              <w:rPr>
                <w:rFonts w:hint="eastAsia" w:ascii="楷体" w:hAnsi="楷体" w:eastAsia="楷体"/>
                <w:sz w:val="24"/>
                <w:szCs w:val="24"/>
              </w:rPr>
              <w:t xml:space="preserve">月  </w:t>
            </w:r>
            <w:r>
              <w:rPr>
                <w:rFonts w:ascii="楷体" w:hAnsi="楷体" w:eastAsia="楷体"/>
                <w:sz w:val="24"/>
                <w:szCs w:val="24"/>
              </w:rPr>
              <w:t xml:space="preserve"> </w:t>
            </w:r>
            <w:r>
              <w:rPr>
                <w:rFonts w:hint="eastAsia" w:ascii="楷体" w:hAnsi="楷体" w:eastAsia="楷体"/>
                <w:sz w:val="24"/>
                <w:szCs w:val="24"/>
              </w:rPr>
              <w:t>日</w:t>
            </w:r>
          </w:p>
        </w:tc>
      </w:tr>
    </w:tbl>
    <w:p>
      <w:pPr>
        <w:spacing w:line="520" w:lineRule="exact"/>
        <w:ind w:firstLine="482" w:firstLineChars="200"/>
        <w:rPr>
          <w:rFonts w:hint="eastAsia" w:ascii="楷体" w:hAnsi="楷体" w:eastAsia="楷体"/>
          <w:b/>
          <w:bCs/>
          <w:sz w:val="24"/>
          <w:szCs w:val="24"/>
        </w:rPr>
      </w:pPr>
      <w:r>
        <w:rPr>
          <w:rFonts w:hint="eastAsia" w:ascii="楷体" w:hAnsi="楷体" w:eastAsia="楷体"/>
          <w:b/>
          <w:bCs/>
          <w:sz w:val="24"/>
          <w:szCs w:val="24"/>
        </w:rPr>
        <w:t>十二、实地查勘期</w:t>
      </w:r>
    </w:p>
    <w:p>
      <w:pPr>
        <w:spacing w:line="520" w:lineRule="exact"/>
        <w:ind w:firstLine="480" w:firstLineChars="200"/>
        <w:rPr>
          <w:rFonts w:hint="eastAsia" w:ascii="楷体" w:hAnsi="楷体" w:eastAsia="楷体"/>
          <w:sz w:val="24"/>
          <w:szCs w:val="24"/>
        </w:rPr>
      </w:pPr>
      <w:r>
        <w:rPr>
          <w:rFonts w:hint="eastAsia" w:ascii="楷体" w:hAnsi="楷体" w:eastAsia="楷体"/>
          <w:sz w:val="24"/>
          <w:szCs w:val="24"/>
        </w:rPr>
        <w:t>实地查勘日：2022年07月27日</w:t>
      </w:r>
    </w:p>
    <w:p>
      <w:pPr>
        <w:spacing w:line="520" w:lineRule="exact"/>
        <w:ind w:firstLine="482" w:firstLineChars="200"/>
        <w:rPr>
          <w:rFonts w:hint="eastAsia" w:ascii="楷体" w:hAnsi="楷体" w:eastAsia="楷体"/>
          <w:b/>
          <w:bCs/>
          <w:sz w:val="24"/>
          <w:szCs w:val="24"/>
        </w:rPr>
      </w:pPr>
      <w:r>
        <w:rPr>
          <w:rFonts w:hint="eastAsia" w:ascii="楷体" w:hAnsi="楷体" w:eastAsia="楷体"/>
          <w:b/>
          <w:bCs/>
          <w:sz w:val="24"/>
          <w:szCs w:val="24"/>
        </w:rPr>
        <w:t>十三、估价作业期</w:t>
      </w:r>
    </w:p>
    <w:p>
      <w:pPr>
        <w:spacing w:line="520" w:lineRule="exact"/>
        <w:ind w:firstLine="480" w:firstLineChars="200"/>
        <w:rPr>
          <w:rFonts w:hint="eastAsia" w:ascii="楷体" w:hAnsi="楷体" w:eastAsia="楷体"/>
          <w:color w:val="FF0000"/>
          <w:sz w:val="24"/>
          <w:szCs w:val="24"/>
        </w:rPr>
      </w:pPr>
      <w:r>
        <w:rPr>
          <w:rFonts w:hint="eastAsia" w:ascii="楷体" w:hAnsi="楷体" w:eastAsia="楷体"/>
          <w:sz w:val="24"/>
          <w:szCs w:val="24"/>
        </w:rPr>
        <w:t>估价作业期：2022年07月27日起至2022年08月05日止</w:t>
      </w:r>
    </w:p>
    <w:p>
      <w:pPr>
        <w:spacing w:line="420" w:lineRule="atLeast"/>
        <w:jc w:val="right"/>
        <w:rPr>
          <w:rFonts w:hint="eastAsia" w:ascii="楷体" w:hAnsi="楷体" w:eastAsia="楷体"/>
          <w:sz w:val="24"/>
        </w:rPr>
      </w:pPr>
    </w:p>
    <w:p>
      <w:pPr>
        <w:spacing w:line="420" w:lineRule="atLeast"/>
        <w:jc w:val="right"/>
        <w:rPr>
          <w:rFonts w:hint="eastAsia" w:ascii="楷体" w:hAnsi="楷体" w:eastAsia="楷体"/>
          <w:sz w:val="24"/>
        </w:rPr>
      </w:pPr>
    </w:p>
    <w:p>
      <w:pPr>
        <w:spacing w:line="420" w:lineRule="atLeast"/>
        <w:jc w:val="right"/>
        <w:rPr>
          <w:rFonts w:ascii="楷体" w:hAnsi="楷体" w:eastAsia="楷体"/>
          <w:sz w:val="24"/>
        </w:rPr>
      </w:pPr>
    </w:p>
    <w:p>
      <w:pPr>
        <w:spacing w:line="420" w:lineRule="atLeast"/>
        <w:jc w:val="right"/>
        <w:rPr>
          <w:rFonts w:hint="eastAsia" w:ascii="楷体" w:hAnsi="楷体" w:eastAsia="楷体"/>
          <w:sz w:val="24"/>
        </w:rPr>
      </w:pPr>
    </w:p>
    <w:p>
      <w:pPr>
        <w:spacing w:line="420" w:lineRule="atLeast"/>
        <w:jc w:val="right"/>
        <w:rPr>
          <w:rFonts w:hint="eastAsia" w:ascii="楷体" w:hAnsi="楷体" w:eastAsia="楷体"/>
          <w:sz w:val="24"/>
        </w:rPr>
      </w:pPr>
      <w:r>
        <w:rPr>
          <w:rFonts w:hint="eastAsia" w:ascii="楷体" w:hAnsi="楷体" w:eastAsia="楷体"/>
          <w:sz w:val="24"/>
        </w:rPr>
        <w:t>估价机构：福建明鉴资产评估房地产土地估价有限公司</w:t>
      </w:r>
    </w:p>
    <w:p>
      <w:pPr>
        <w:spacing w:line="420" w:lineRule="atLeast"/>
        <w:jc w:val="center"/>
        <w:rPr>
          <w:rFonts w:hint="eastAsia" w:ascii="楷体" w:hAnsi="楷体" w:eastAsia="楷体"/>
          <w:sz w:val="24"/>
        </w:rPr>
      </w:pPr>
    </w:p>
    <w:p>
      <w:pPr>
        <w:spacing w:line="420" w:lineRule="atLeast"/>
        <w:jc w:val="center"/>
        <w:rPr>
          <w:rFonts w:hint="eastAsia" w:ascii="楷体" w:hAnsi="楷体" w:eastAsia="楷体"/>
          <w:color w:val="0000FF"/>
          <w:sz w:val="24"/>
        </w:rPr>
      </w:pPr>
      <w:r>
        <w:rPr>
          <w:rFonts w:hint="eastAsia" w:ascii="楷体" w:hAnsi="楷体" w:eastAsia="楷体"/>
          <w:sz w:val="24"/>
        </w:rPr>
        <w:t xml:space="preserve">                                  </w:t>
      </w:r>
      <w:r>
        <w:rPr>
          <w:rFonts w:hint="eastAsia" w:ascii="楷体" w:hAnsi="楷体" w:eastAsia="楷体"/>
          <w:color w:val="FF0000"/>
          <w:sz w:val="24"/>
        </w:rPr>
        <w:t xml:space="preserve"> </w:t>
      </w:r>
      <w:r>
        <w:rPr>
          <w:rFonts w:hint="eastAsia" w:ascii="楷体" w:hAnsi="楷体" w:eastAsia="楷体"/>
          <w:sz w:val="24"/>
        </w:rPr>
        <w:t>2022年08月05日</w:t>
      </w:r>
      <w:r>
        <w:rPr>
          <w:rFonts w:hint="eastAsia" w:ascii="楷体" w:hAnsi="楷体" w:eastAsia="楷体"/>
          <w:color w:val="0000FF"/>
          <w:sz w:val="24"/>
        </w:rPr>
        <w:br w:type="page"/>
      </w:r>
    </w:p>
    <w:p>
      <w:pPr>
        <w:spacing w:line="500" w:lineRule="exact"/>
        <w:ind w:right="482"/>
        <w:jc w:val="center"/>
        <w:rPr>
          <w:rFonts w:ascii="楷体" w:hAnsi="楷体" w:eastAsia="楷体"/>
          <w:b/>
          <w:bCs/>
          <w:color w:val="000000"/>
          <w:sz w:val="44"/>
        </w:rPr>
      </w:pPr>
    </w:p>
    <w:p>
      <w:pPr>
        <w:spacing w:line="500" w:lineRule="exact"/>
        <w:ind w:right="482"/>
        <w:jc w:val="center"/>
        <w:rPr>
          <w:rFonts w:hint="eastAsia" w:ascii="楷体" w:hAnsi="楷体" w:eastAsia="楷体"/>
          <w:b/>
          <w:bCs/>
          <w:color w:val="000000"/>
          <w:sz w:val="44"/>
        </w:rPr>
      </w:pPr>
      <w:r>
        <w:rPr>
          <w:rFonts w:hint="eastAsia" w:ascii="楷体" w:hAnsi="楷体" w:eastAsia="楷体"/>
          <w:b/>
          <w:bCs/>
          <w:color w:val="000000"/>
          <w:sz w:val="44"/>
        </w:rPr>
        <w:t>附  件</w:t>
      </w:r>
    </w:p>
    <w:p>
      <w:pPr>
        <w:spacing w:line="600" w:lineRule="exact"/>
        <w:ind w:firstLine="720" w:firstLineChars="300"/>
        <w:rPr>
          <w:rFonts w:hint="eastAsia" w:ascii="楷体" w:hAnsi="楷体" w:eastAsia="楷体"/>
          <w:sz w:val="24"/>
        </w:rPr>
      </w:pPr>
    </w:p>
    <w:p>
      <w:pPr>
        <w:spacing w:line="600" w:lineRule="exact"/>
        <w:ind w:firstLine="720" w:firstLineChars="300"/>
        <w:rPr>
          <w:rFonts w:hint="eastAsia" w:ascii="楷体" w:hAnsi="楷体" w:eastAsia="楷体"/>
          <w:sz w:val="24"/>
        </w:rPr>
      </w:pPr>
      <w:r>
        <w:rPr>
          <w:rFonts w:hint="eastAsia" w:ascii="楷体" w:hAnsi="楷体" w:eastAsia="楷体"/>
          <w:sz w:val="24"/>
        </w:rPr>
        <w:t>1、江西省萍乡市中级人民法院《委托书》复印件；</w:t>
      </w:r>
    </w:p>
    <w:p>
      <w:pPr>
        <w:spacing w:line="600" w:lineRule="exact"/>
        <w:ind w:firstLine="720" w:firstLineChars="300"/>
        <w:rPr>
          <w:rFonts w:hint="eastAsia" w:ascii="楷体" w:hAnsi="楷体" w:eastAsia="楷体"/>
          <w:sz w:val="24"/>
        </w:rPr>
      </w:pPr>
      <w:r>
        <w:rPr>
          <w:rFonts w:hint="eastAsia" w:ascii="楷体" w:hAnsi="楷体" w:eastAsia="楷体"/>
          <w:sz w:val="24"/>
        </w:rPr>
        <w:t>2、估价对象权属证明文件复印件；</w:t>
      </w:r>
    </w:p>
    <w:p>
      <w:pPr>
        <w:spacing w:line="600" w:lineRule="exact"/>
        <w:ind w:firstLine="720" w:firstLineChars="300"/>
        <w:rPr>
          <w:rFonts w:hint="eastAsia" w:ascii="楷体" w:hAnsi="楷体" w:eastAsia="楷体"/>
          <w:sz w:val="24"/>
        </w:rPr>
      </w:pPr>
      <w:r>
        <w:rPr>
          <w:rFonts w:hint="eastAsia" w:ascii="楷体" w:hAnsi="楷体" w:eastAsia="楷体"/>
          <w:sz w:val="24"/>
        </w:rPr>
        <w:t>3、专业帮助情况和相关专业意见；</w:t>
      </w:r>
    </w:p>
    <w:p>
      <w:pPr>
        <w:spacing w:line="600" w:lineRule="exact"/>
        <w:ind w:firstLine="720" w:firstLineChars="300"/>
        <w:rPr>
          <w:rFonts w:hint="eastAsia" w:ascii="楷体" w:hAnsi="楷体" w:eastAsia="楷体"/>
          <w:sz w:val="24"/>
        </w:rPr>
      </w:pPr>
      <w:r>
        <w:rPr>
          <w:rFonts w:hint="eastAsia" w:ascii="楷体" w:hAnsi="楷体" w:eastAsia="楷体"/>
          <w:sz w:val="24"/>
        </w:rPr>
        <w:t>4、估价对象位置示意图；</w:t>
      </w:r>
    </w:p>
    <w:p>
      <w:pPr>
        <w:spacing w:line="600" w:lineRule="exact"/>
        <w:ind w:firstLine="720" w:firstLineChars="300"/>
        <w:rPr>
          <w:rFonts w:hint="eastAsia" w:ascii="楷体" w:hAnsi="楷体" w:eastAsia="楷体"/>
          <w:sz w:val="24"/>
        </w:rPr>
      </w:pPr>
      <w:r>
        <w:rPr>
          <w:rFonts w:hint="eastAsia" w:ascii="楷体" w:hAnsi="楷体" w:eastAsia="楷体"/>
          <w:sz w:val="24"/>
        </w:rPr>
        <w:t>5、估价对象现状照片；</w:t>
      </w:r>
    </w:p>
    <w:p>
      <w:pPr>
        <w:spacing w:line="600" w:lineRule="exact"/>
        <w:ind w:firstLine="720" w:firstLineChars="300"/>
        <w:rPr>
          <w:rFonts w:hint="eastAsia" w:ascii="楷体" w:hAnsi="楷体" w:eastAsia="楷体"/>
          <w:sz w:val="24"/>
        </w:rPr>
      </w:pPr>
      <w:r>
        <w:rPr>
          <w:rFonts w:hint="eastAsia" w:ascii="楷体" w:hAnsi="楷体" w:eastAsia="楷体"/>
          <w:sz w:val="24"/>
        </w:rPr>
        <w:t>6、房地产估价机构营业执照和估价资质证书复印件；</w:t>
      </w:r>
    </w:p>
    <w:p>
      <w:pPr>
        <w:spacing w:line="600" w:lineRule="exact"/>
        <w:ind w:firstLine="720" w:firstLineChars="300"/>
        <w:rPr>
          <w:rFonts w:hint="eastAsia" w:ascii="楷体" w:hAnsi="楷体" w:eastAsia="楷体"/>
          <w:sz w:val="24"/>
        </w:rPr>
      </w:pPr>
      <w:r>
        <w:rPr>
          <w:rFonts w:hint="eastAsia" w:ascii="楷体" w:hAnsi="楷体" w:eastAsia="楷体"/>
          <w:sz w:val="24"/>
        </w:rPr>
        <w:t>7、注册房地产估价师注册证书复印件；</w:t>
      </w:r>
    </w:p>
    <w:p>
      <w:pPr>
        <w:spacing w:line="600" w:lineRule="exact"/>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ind w:right="777" w:rightChars="370" w:firstLine="562" w:firstLineChars="200"/>
        <w:rPr>
          <w:rFonts w:ascii="楷体" w:hAnsi="楷体" w:eastAsia="楷体"/>
          <w:b/>
          <w:color w:val="000000"/>
          <w:sz w:val="28"/>
          <w:szCs w:val="28"/>
        </w:rPr>
      </w:pPr>
    </w:p>
    <w:p>
      <w:pPr>
        <w:spacing w:line="480" w:lineRule="auto"/>
        <w:jc w:val="center"/>
        <w:rPr>
          <w:rFonts w:ascii="楷体" w:hAnsi="楷体" w:eastAsia="楷体"/>
          <w:b/>
          <w:sz w:val="44"/>
          <w:szCs w:val="22"/>
        </w:rPr>
      </w:pPr>
    </w:p>
    <w:p>
      <w:pPr>
        <w:spacing w:line="480" w:lineRule="auto"/>
        <w:jc w:val="center"/>
        <w:rPr>
          <w:rFonts w:hint="eastAsia" w:ascii="楷体" w:hAnsi="楷体" w:eastAsia="楷体"/>
          <w:b/>
          <w:sz w:val="44"/>
          <w:szCs w:val="22"/>
        </w:rPr>
      </w:pPr>
      <w:r>
        <w:rPr>
          <w:rFonts w:hint="eastAsia" w:ascii="楷体" w:hAnsi="楷体" w:eastAsia="楷体"/>
          <w:b/>
          <w:sz w:val="44"/>
          <w:szCs w:val="22"/>
        </w:rPr>
        <w:t>估价对象位置示意图</w:t>
      </w:r>
    </w:p>
    <w:p>
      <w:pPr>
        <w:spacing w:line="480" w:lineRule="auto"/>
        <w:jc w:val="center"/>
        <w:rPr>
          <w:rFonts w:hint="eastAsia" w:ascii="楷体" w:hAnsi="楷体" w:eastAsia="楷体"/>
          <w:b/>
          <w:sz w:val="44"/>
          <w:szCs w:val="22"/>
        </w:rPr>
      </w:pPr>
    </w:p>
    <w:p>
      <w:pPr>
        <w:jc w:val="center"/>
        <w:rPr>
          <w:rFonts w:hint="eastAsia" w:ascii="楷体" w:hAnsi="楷体" w:eastAsia="楷体"/>
          <w:b/>
          <w:sz w:val="30"/>
          <w:szCs w:val="30"/>
        </w:rPr>
      </w:pPr>
      <w:r>
        <w:rPr>
          <w:rFonts w:ascii="仿宋_GB2312" w:hAnsi="宋体" w:eastAsia="仿宋_GB2312"/>
          <w:b/>
          <w:color w:val="000000"/>
          <w:szCs w:val="24"/>
        </w:rPr>
        <mc:AlternateContent>
          <mc:Choice Requires="wps">
            <w:drawing>
              <wp:anchor distT="0" distB="0" distL="114300" distR="114300" simplePos="0" relativeHeight="251658240" behindDoc="0" locked="0" layoutInCell="1" allowOverlap="1">
                <wp:simplePos x="0" y="0"/>
                <wp:positionH relativeFrom="column">
                  <wp:posOffset>1325245</wp:posOffset>
                </wp:positionH>
                <wp:positionV relativeFrom="paragraph">
                  <wp:posOffset>1734185</wp:posOffset>
                </wp:positionV>
                <wp:extent cx="428625" cy="396240"/>
                <wp:effectExtent l="29845" t="29845" r="36830" b="31115"/>
                <wp:wrapNone/>
                <wp:docPr id="9" name="五角星 9"/>
                <wp:cNvGraphicFramePr/>
                <a:graphic xmlns:a="http://schemas.openxmlformats.org/drawingml/2006/main">
                  <a:graphicData uri="http://schemas.microsoft.com/office/word/2010/wordprocessingShape">
                    <wps:wsp>
                      <wps:cNvSpPr/>
                      <wps:spPr>
                        <a:xfrm>
                          <a:off x="0" y="0"/>
                          <a:ext cx="428625" cy="396240"/>
                        </a:xfrm>
                        <a:prstGeom prst="star5">
                          <a:avLst/>
                        </a:prstGeom>
                        <a:solidFill>
                          <a:srgbClr val="FF0000"/>
                        </a:solidFill>
                        <a:ln w="19050"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04.35pt;margin-top:136.55pt;height:31.2pt;width:33.75pt;z-index:251658240;mso-width-relative:page;mso-height-relative:page;" fillcolor="#FF0000" filled="t" stroked="t" coordsize="21600,21600" o:gfxdata="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Bto5PX&#10;AAAACwEAAA8AAAAAAAAAAQAgAAAAIgAAAGRycy9kb3ducmV2LnhtbFBLAQIUABQAAAAIAIdO4kBP&#10;PCQS6AEAANQDAAAOAAAAAAAAAAEAIAAAACYBAABkcnMvZTJvRG9jLnhtbFBLBQYAAAAABgAGAFkB&#10;AACABQAAAAA=&#10;">
                <v:path/>
                <v:fill on="t" focussize="0,0"/>
                <v:stroke weight="1.5pt" color="#FF0000"/>
                <v:imagedata o:title=""/>
                <o:lock v:ext="edit" grouping="f" rotation="f" text="f" aspectratio="f"/>
              </v:shape>
            </w:pict>
          </mc:Fallback>
        </mc:AlternateContent>
      </w:r>
      <w:r>
        <w:drawing>
          <wp:inline distT="0" distB="0" distL="114300" distR="114300">
            <wp:extent cx="5298440" cy="3726815"/>
            <wp:effectExtent l="0" t="0" r="16510" b="6985"/>
            <wp:docPr id="10" name="图片 1" descr="QQ截图2022080500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QQ截图20220805001547"/>
                    <pic:cNvPicPr>
                      <a:picLocks noChangeAspect="1"/>
                    </pic:cNvPicPr>
                  </pic:nvPicPr>
                  <pic:blipFill>
                    <a:blip r:embed="rId12"/>
                    <a:stretch>
                      <a:fillRect/>
                    </a:stretch>
                  </pic:blipFill>
                  <pic:spPr>
                    <a:xfrm>
                      <a:off x="0" y="0"/>
                      <a:ext cx="5298440" cy="3726815"/>
                    </a:xfrm>
                    <a:prstGeom prst="rect">
                      <a:avLst/>
                    </a:prstGeom>
                    <a:noFill/>
                    <a:ln>
                      <a:noFill/>
                    </a:ln>
                  </pic:spPr>
                </pic:pic>
              </a:graphicData>
            </a:graphic>
          </wp:inline>
        </w:drawing>
      </w:r>
    </w:p>
    <w:p>
      <w:pPr>
        <w:jc w:val="center"/>
        <w:rPr>
          <w:rFonts w:hint="eastAsia" w:ascii="楷体" w:hAnsi="楷体" w:eastAsia="楷体"/>
          <w:b/>
          <w:sz w:val="30"/>
          <w:szCs w:val="30"/>
        </w:rPr>
      </w:pPr>
    </w:p>
    <w:p>
      <w:pPr>
        <w:jc w:val="center"/>
        <w:rPr>
          <w:rFonts w:hint="eastAsia" w:ascii="楷体" w:hAnsi="楷体" w:eastAsia="楷体"/>
          <w:b/>
          <w:sz w:val="32"/>
          <w:szCs w:val="32"/>
        </w:rPr>
      </w:pPr>
      <w:r>
        <w:rPr>
          <w:rFonts w:hint="eastAsia" w:ascii="楷体" w:hAnsi="楷体" w:eastAsia="楷体"/>
          <w:b/>
          <w:sz w:val="30"/>
          <w:szCs w:val="30"/>
        </w:rPr>
        <w:t>注：标有“☆”处为估价对象所在的位置。</w:t>
      </w:r>
    </w:p>
    <w:p>
      <w:pPr>
        <w:spacing w:line="480" w:lineRule="auto"/>
        <w:ind w:right="777" w:rightChars="370" w:firstLine="960" w:firstLineChars="400"/>
        <w:rPr>
          <w:rFonts w:hint="eastAsia" w:ascii="楷体" w:hAnsi="楷体" w:eastAsia="楷体" w:cs="楷体"/>
          <w:color w:val="000000"/>
          <w:sz w:val="24"/>
          <w:szCs w:val="24"/>
        </w:rPr>
      </w:pPr>
    </w:p>
    <w:p>
      <w:pPr>
        <w:spacing w:line="480" w:lineRule="auto"/>
        <w:ind w:right="777" w:rightChars="370" w:firstLine="960" w:firstLineChars="400"/>
        <w:rPr>
          <w:rFonts w:hint="eastAsia" w:ascii="楷体" w:hAnsi="楷体" w:eastAsia="楷体" w:cs="楷体"/>
          <w:color w:val="000000"/>
          <w:sz w:val="24"/>
          <w:szCs w:val="24"/>
        </w:rPr>
      </w:pPr>
    </w:p>
    <w:p>
      <w:pPr>
        <w:spacing w:line="480" w:lineRule="auto"/>
        <w:ind w:right="777" w:rightChars="370" w:firstLine="960" w:firstLineChars="400"/>
        <w:rPr>
          <w:rFonts w:hint="eastAsia" w:ascii="楷体" w:hAnsi="楷体" w:eastAsia="楷体" w:cs="楷体"/>
          <w:color w:val="000000"/>
          <w:sz w:val="24"/>
          <w:szCs w:val="24"/>
        </w:rPr>
      </w:pPr>
    </w:p>
    <w:p>
      <w:pPr>
        <w:spacing w:line="480" w:lineRule="auto"/>
        <w:ind w:right="777" w:rightChars="370" w:firstLine="960" w:firstLineChars="400"/>
        <w:rPr>
          <w:rFonts w:hint="eastAsia" w:ascii="楷体" w:hAnsi="楷体" w:eastAsia="楷体" w:cs="楷体"/>
          <w:color w:val="000000"/>
          <w:sz w:val="24"/>
          <w:szCs w:val="24"/>
        </w:rPr>
      </w:pPr>
    </w:p>
    <w:p>
      <w:pPr>
        <w:spacing w:line="480" w:lineRule="auto"/>
        <w:ind w:right="777" w:rightChars="370" w:firstLine="960" w:firstLineChars="400"/>
        <w:rPr>
          <w:rFonts w:hint="eastAsia" w:ascii="楷体" w:hAnsi="楷体" w:eastAsia="楷体" w:cs="楷体"/>
          <w:color w:val="000000"/>
          <w:sz w:val="24"/>
          <w:szCs w:val="24"/>
        </w:rPr>
      </w:pPr>
    </w:p>
    <w:p>
      <w:pPr>
        <w:spacing w:line="480" w:lineRule="auto"/>
        <w:ind w:right="777" w:rightChars="370" w:firstLine="960" w:firstLineChars="400"/>
        <w:rPr>
          <w:rFonts w:ascii="楷体" w:hAnsi="楷体" w:eastAsia="楷体" w:cs="楷体"/>
          <w:color w:val="000000"/>
          <w:sz w:val="24"/>
          <w:szCs w:val="24"/>
        </w:rPr>
      </w:pPr>
    </w:p>
    <w:p>
      <w:pPr>
        <w:spacing w:line="480" w:lineRule="auto"/>
        <w:ind w:right="777" w:rightChars="370" w:firstLine="960" w:firstLineChars="400"/>
        <w:rPr>
          <w:rFonts w:ascii="楷体" w:hAnsi="楷体" w:eastAsia="楷体" w:cs="楷体"/>
          <w:color w:val="000000"/>
          <w:sz w:val="24"/>
          <w:szCs w:val="24"/>
        </w:rPr>
      </w:pPr>
    </w:p>
    <w:p>
      <w:pPr>
        <w:spacing w:line="480" w:lineRule="auto"/>
        <w:ind w:right="777" w:rightChars="370" w:firstLine="960" w:firstLineChars="400"/>
        <w:rPr>
          <w:rFonts w:hint="eastAsia" w:ascii="楷体" w:hAnsi="楷体" w:eastAsia="楷体" w:cs="楷体"/>
          <w:color w:val="000000"/>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Style w:val="9"/>
        <w:rFonts w:ascii="宋体" w:hAnsi="宋体"/>
      </w:rPr>
    </w:pPr>
  </w:p>
  <w:p>
    <w:pPr>
      <w:pStyle w:val="5"/>
      <w:ind w:right="360"/>
      <w:jc w:val="both"/>
      <w:rPr>
        <w:rFonts w:hint="eastAsia"/>
      </w:rPr>
    </w:pPr>
    <w:r>
      <w:rPr>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42545</wp:posOffset>
              </wp:positionV>
              <wp:extent cx="5715000" cy="0"/>
              <wp:effectExtent l="0" t="0" r="0" b="0"/>
              <wp:wrapNone/>
              <wp:docPr id="2" name="直接连接符 2"/>
              <wp:cNvGraphicFramePr/>
              <a:graphic xmlns:a="http://schemas.openxmlformats.org/drawingml/2006/main">
                <a:graphicData uri="http://schemas.microsoft.com/office/word/2010/wordprocessingShape">
                  <wps:wsp>
                    <wps:cNvSp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5pt;height:0pt;width:450pt;z-index:251659264;mso-width-relative:page;mso-height-relative:page;" filled="f" coordsize="21600,21600" o:gfxdata="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lAfAtIAAAAEAQAADwAAAAAAAAABACAA&#10;AAAiAAAAZHJzL2Rvd25yZXYueG1sUEsBAhQAFAAAAAgAh07iQENKw9baAQAAlgMAAA4AAAAAAAAA&#10;AQAgAAAAIQEAAGRycy9lMm9Eb2MueG1sUEsFBgAAAAAGAAYAWQEAAG0FAAAAAA==&#10;">
              <v:path arrowok="t"/>
              <v:fill on="f" focussize="0,0"/>
              <v:stroke/>
              <v:imagedata o:title=""/>
              <o:lock v:ext="edit" grouping="f" rotation="f" text="f" aspectratio="f"/>
            </v:line>
          </w:pict>
        </mc:Fallback>
      </mc:AlternateContent>
    </w:r>
  </w:p>
  <w:p>
    <w:pPr>
      <w:pStyle w:val="5"/>
      <w:wordWrap w:val="0"/>
      <w:ind w:right="359" w:rightChars="171"/>
      <w:rPr>
        <w:rFonts w:hint="eastAsia"/>
      </w:rPr>
    </w:pPr>
    <w:r>
      <w:rPr>
        <w:rFonts w:hint="eastAsia"/>
      </w:rPr>
      <w:t xml:space="preserve">福建明鉴资产评估房地产土地估价有限公司                              </w:t>
    </w:r>
    <w:r>
      <w:rPr>
        <w:rStyle w:val="9"/>
        <w:rFonts w:hint="eastAsia"/>
      </w:rPr>
      <w:t xml:space="preserve">  </w:t>
    </w:r>
    <w:r>
      <w:rPr>
        <w:rFonts w:hint="eastAsia" w:ascii="宋体" w:hAnsi="宋体"/>
      </w:rPr>
      <w:t>闽岩鉴房评字【2014】第000号</w: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Style w:val="9"/>
        <w:rFonts w:ascii="宋体" w:hAnsi="宋体"/>
      </w:rPr>
    </w:pPr>
  </w:p>
  <w:p>
    <w:pPr>
      <w:pStyle w:val="5"/>
      <w:ind w:right="360"/>
      <w:jc w:val="both"/>
      <w:rPr>
        <w:rFonts w:hint="eastAsia" w:ascii="宋体" w:hAnsi="宋体"/>
        <w:szCs w:val="18"/>
      </w:rPr>
    </w:pPr>
    <w:r>
      <w:rPr>
        <w:rFonts w:hint="eastAsia" w:ascii="宋体" w:hAnsi="宋体"/>
        <w:sz w:val="2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42545</wp:posOffset>
              </wp:positionV>
              <wp:extent cx="5715000" cy="0"/>
              <wp:effectExtent l="0" t="0" r="0" b="0"/>
              <wp:wrapNone/>
              <wp:docPr id="5" name="直接连接符 5"/>
              <wp:cNvGraphicFramePr/>
              <a:graphic xmlns:a="http://schemas.openxmlformats.org/drawingml/2006/main">
                <a:graphicData uri="http://schemas.microsoft.com/office/word/2010/wordprocessingShape">
                  <wps:wsp>
                    <wps:cNvSp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5pt;height:0pt;width:450pt;z-index:251666432;mso-width-relative:page;mso-height-relative:page;" filled="f" coordsize="21600,21600" o:gfxdata="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lAfAtIAAAAEAQAADwAAAAAAAAABACAA&#10;AAAiAAAAZHJzL2Rvd25yZXYueG1sUEsBAhQAFAAAAAgAh07iQHVdjw/aAQAAlgMAAA4AAAAAAAAA&#10;AQAgAAAAIQEAAGRycy9lMm9Eb2MueG1sUEsFBgAAAAAGAAYAWQEAAG0FAAAAAA==&#10;">
              <v:path arrowok="t"/>
              <v:fill on="f" focussize="0,0"/>
              <v:stroke/>
              <v:imagedata o:title=""/>
              <o:lock v:ext="edit" grouping="f" rotation="f" text="f" aspectratio="f"/>
            </v:line>
          </w:pict>
        </mc:Fallback>
      </mc:AlternateContent>
    </w:r>
  </w:p>
  <w:p>
    <w:pPr>
      <w:pStyle w:val="5"/>
      <w:ind w:right="360"/>
      <w:jc w:val="both"/>
      <w:rPr>
        <w:rFonts w:hint="eastAsia" w:ascii="楷体" w:hAnsi="楷体" w:eastAsia="楷体"/>
        <w:szCs w:val="18"/>
      </w:rPr>
    </w:pPr>
    <w:r>
      <w:rPr>
        <w:rFonts w:hint="eastAsia" w:ascii="楷体" w:hAnsi="楷体" w:eastAsia="楷体"/>
      </w:rPr>
      <w:t>福建明鉴资产评估房地产土地估价有限公司</w:t>
    </w:r>
    <w:r>
      <w:rPr>
        <w:rFonts w:hint="eastAsia" w:ascii="楷体" w:hAnsi="楷体" w:eastAsia="楷体"/>
        <w:szCs w:val="18"/>
      </w:rPr>
      <w:t xml:space="preserve">                              闽鉴岩房评字【202</w:t>
    </w:r>
    <w:r>
      <w:rPr>
        <w:rFonts w:ascii="楷体" w:hAnsi="楷体" w:eastAsia="楷体"/>
        <w:szCs w:val="18"/>
      </w:rPr>
      <w:t>2</w:t>
    </w:r>
    <w:r>
      <w:rPr>
        <w:rFonts w:hint="eastAsia" w:ascii="楷体" w:hAnsi="楷体" w:eastAsia="楷体"/>
        <w:szCs w:val="18"/>
      </w:rPr>
      <w:t>】0</w:t>
    </w:r>
    <w:r>
      <w:rPr>
        <w:rFonts w:ascii="楷体" w:hAnsi="楷体" w:eastAsia="楷体"/>
        <w:szCs w:val="18"/>
      </w:rPr>
      <w:t>93</w:t>
    </w:r>
    <w:r>
      <w:rPr>
        <w:rFonts w:hint="eastAsia" w:ascii="楷体" w:hAnsi="楷体" w:eastAsia="楷体"/>
        <w:szCs w:val="18"/>
      </w:rPr>
      <w:t>号</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jc w:val="both"/>
      <w:rPr>
        <w:rFonts w:hint="eastAsia" w:ascii="楷体_GB2312" w:eastAsia="楷体_GB2312"/>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path/>
              <v:fill on="f" focussize="0,0"/>
              <v:stroke on="f"/>
              <v:imagedata o:title=""/>
              <o:lock v:ext="edit" aspectratio="f"/>
              <v:textbox inset="0mm,0mm,0mm,0mm" style="mso-fit-shape-to-text:t;">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r>
      <w:rPr>
        <w:rFonts w:hint="eastAsia" w:ascii="楷体_GB2312" w:eastAsia="楷体_GB2312"/>
        <w:sz w:val="20"/>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42545</wp:posOffset>
              </wp:positionV>
              <wp:extent cx="5715000" cy="0"/>
              <wp:effectExtent l="0" t="0" r="0" b="0"/>
              <wp:wrapNone/>
              <wp:docPr id="4" name="直接连接符 4"/>
              <wp:cNvGraphicFramePr/>
              <a:graphic xmlns:a="http://schemas.openxmlformats.org/drawingml/2006/main">
                <a:graphicData uri="http://schemas.microsoft.com/office/word/2010/wordprocessingShape">
                  <wps:wsp>
                    <wps:cNvSp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5pt;height:0pt;width:450pt;z-index:251667456;mso-width-relative:page;mso-height-relative:page;" filled="f" coordsize="21600,21600" o:gfxdata="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ZQHwLSAAAABAEAAA8AAAAAAAAAAQAg&#10;AAAAIgAAAGRycy9kb3ducmV2LnhtbFBLAQIUABQAAAAIAIdO4kBkNuti2wEAAJYDAAAOAAAAAAAA&#10;AAEAIAAAACEBAABkcnMvZTJvRG9jLnhtbFBLBQYAAAAABgAGAFkBAABuBQAAAAA=&#10;">
              <v:path arrowok="t"/>
              <v:fill on="f" focussize="0,0"/>
              <v:stroke/>
              <v:imagedata o:title=""/>
              <o:lock v:ext="edit" grouping="f" rotation="f" text="f" aspectratio="f"/>
            </v:line>
          </w:pict>
        </mc:Fallback>
      </mc:AlternateContent>
    </w:r>
  </w:p>
  <w:p>
    <w:pPr>
      <w:pStyle w:val="5"/>
      <w:ind w:right="360"/>
      <w:jc w:val="both"/>
      <w:rPr>
        <w:rFonts w:hint="eastAsia" w:ascii="楷体" w:hAnsi="楷体" w:eastAsia="楷体"/>
      </w:rPr>
    </w:pPr>
    <w:r>
      <w:rPr>
        <w:rFonts w:hint="eastAsia" w:ascii="楷体" w:hAnsi="楷体" w:eastAsia="楷体"/>
        <w:szCs w:val="18"/>
      </w:rPr>
      <w:t xml:space="preserve">福建明鉴资产评估房地产土地估价有限公司                    </w:t>
    </w:r>
    <w:r>
      <w:rPr>
        <w:rStyle w:val="9"/>
        <w:rFonts w:hint="eastAsia" w:ascii="楷体" w:hAnsi="楷体" w:eastAsia="楷体"/>
        <w:szCs w:val="18"/>
      </w:rPr>
      <w:t xml:space="preserve">           闽鉴岩房评字【2021】039号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Style w:val="9"/>
        <w:rFonts w:ascii="宋体" w:hAnsi="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path/>
              <v:fill on="f" focussize="0,0"/>
              <v:stroke on="f"/>
              <v:imagedata o:title=""/>
              <o:lock v:ext="edit" aspectratio="f"/>
              <v:textbox inset="0mm,0mm,0mm,0mm" style="mso-fit-shape-to-text:t;">
                <w:txbxContent>
                  <w:p>
                    <w:pPr>
                      <w:pStyle w:val="5"/>
                      <w:rPr>
                        <w:rFonts w:hint="eastAsia"/>
                      </w:rPr>
                    </w:pPr>
                  </w:p>
                </w:txbxContent>
              </v:textbox>
            </v:shape>
          </w:pict>
        </mc:Fallback>
      </mc:AlternateContent>
    </w:r>
  </w:p>
  <w:p>
    <w:pPr>
      <w:pStyle w:val="5"/>
      <w:ind w:right="360"/>
      <w:jc w:val="both"/>
      <w:rPr>
        <w:rFonts w:hint="eastAsia" w:ascii="宋体" w:hAnsi="宋体"/>
        <w:szCs w:val="18"/>
      </w:rPr>
    </w:pPr>
    <w:r>
      <w:rPr>
        <w:rFonts w:hint="eastAsia" w:ascii="宋体" w:hAnsi="宋体"/>
        <w:sz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42545</wp:posOffset>
              </wp:positionV>
              <wp:extent cx="5715000" cy="0"/>
              <wp:effectExtent l="0" t="0" r="0" b="0"/>
              <wp:wrapNone/>
              <wp:docPr id="8" name="直接连接符 8"/>
              <wp:cNvGraphicFramePr/>
              <a:graphic xmlns:a="http://schemas.openxmlformats.org/drawingml/2006/main">
                <a:graphicData uri="http://schemas.microsoft.com/office/word/2010/wordprocessingShape">
                  <wps:wsp>
                    <wps:cNvSp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5pt;height:0pt;width:450pt;z-index:251662336;mso-width-relative:page;mso-height-relative:page;" filled="f" coordsize="21600,21600" o:gfxdata="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2UB8C0gAAAAQBAAAPAAAAAAAAAAEAIAAA&#10;ACIAAABkcnMvZG93bnJldi54bWxQSwECFAAUAAAACACHTuJAa8jK0dkBAACWAwAADgAAAAAAAAAB&#10;ACAAAAAhAQAAZHJzL2Uyb0RvYy54bWxQSwUGAAAAAAYABgBZAQAAbAUAAAAA&#10;">
              <v:path arrowok="t"/>
              <v:fill on="f" focussize="0,0"/>
              <v:stroke/>
              <v:imagedata o:title=""/>
              <o:lock v:ext="edit" grouping="f" rotation="f" text="f" aspectratio="f"/>
            </v:line>
          </w:pict>
        </mc:Fallback>
      </mc:AlternateContent>
    </w:r>
  </w:p>
  <w:p>
    <w:pPr>
      <w:pStyle w:val="5"/>
      <w:ind w:right="360"/>
      <w:jc w:val="both"/>
      <w:rPr>
        <w:rFonts w:hint="eastAsia" w:ascii="楷体" w:hAnsi="楷体" w:eastAsia="楷体"/>
        <w:szCs w:val="18"/>
      </w:rPr>
    </w:pPr>
    <w:r>
      <w:rPr>
        <w:rFonts w:hint="eastAsia" w:ascii="楷体" w:hAnsi="楷体" w:eastAsia="楷体"/>
      </w:rPr>
      <w:t>福建明鉴资产评估房地产土地估价有限公司</w:t>
    </w:r>
    <w:r>
      <w:rPr>
        <w:rFonts w:hint="eastAsia" w:ascii="楷体" w:hAnsi="楷体" w:eastAsia="楷体"/>
        <w:szCs w:val="18"/>
      </w:rPr>
      <w:t xml:space="preserve">                              闽鉴岩房评字【2021】039号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jc w:val="both"/>
      <w:rPr>
        <w:rFonts w:hint="eastAsia" w:ascii="楷体_GB2312" w:eastAsia="楷体_GB2312"/>
      </w:rPr>
    </w:pPr>
    <w:r>
      <w:rPr>
        <w:rFonts w:hint="eastAsia" w:ascii="楷体_GB2312" w:eastAsia="楷体_GB2312"/>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42545</wp:posOffset>
              </wp:positionV>
              <wp:extent cx="5715000" cy="0"/>
              <wp:effectExtent l="0" t="0" r="0" b="0"/>
              <wp:wrapNone/>
              <wp:docPr id="6" name="直接连接符 6"/>
              <wp:cNvGraphicFramePr/>
              <a:graphic xmlns:a="http://schemas.openxmlformats.org/drawingml/2006/main">
                <a:graphicData uri="http://schemas.microsoft.com/office/word/2010/wordprocessingShape">
                  <wps:wsp>
                    <wps:cNvSp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35pt;height:0pt;width:450pt;z-index:251658240;mso-width-relative:page;mso-height-relative:page;" filled="f" coordsize="21600,21600" o:gfxdata="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lAfAtIAAAAEAQAADwAAAAAAAAABACAA&#10;AAAiAAAAZHJzL2Rvd25yZXYueG1sUEsBAhQAFAAAAAgAh07iQEbgI7jaAQAAlgMAAA4AAAAAAAAA&#10;AQAgAAAAIQEAAGRycy9lMm9Eb2MueG1sUEsFBgAAAAAGAAYAWQEAAG0FAAAAAA==&#10;">
              <v:path arrowok="t"/>
              <v:fill on="f" focussize="0,0"/>
              <v:stroke/>
              <v:imagedata o:title=""/>
              <o:lock v:ext="edit" grouping="f" rotation="f" text="f" aspectratio="f"/>
            </v:line>
          </w:pict>
        </mc:Fallback>
      </mc:AlternateContent>
    </w:r>
  </w:p>
  <w:p>
    <w:pPr>
      <w:pStyle w:val="5"/>
      <w:ind w:right="360"/>
      <w:jc w:val="both"/>
      <w:rPr>
        <w:rFonts w:hint="eastAsia" w:ascii="楷体" w:hAnsi="楷体" w:eastAsia="楷体"/>
      </w:rPr>
    </w:pPr>
    <w:r>
      <w:rPr>
        <w:rFonts w:hint="eastAsia" w:ascii="楷体" w:hAnsi="楷体" w:eastAsia="楷体"/>
      </w:rPr>
      <w:t>福建明鉴资产评估房地产土地估价有限公司</w:t>
    </w:r>
    <w:r>
      <w:rPr>
        <w:rFonts w:hint="eastAsia" w:ascii="楷体" w:hAnsi="楷体" w:eastAsia="楷体"/>
        <w:szCs w:val="18"/>
      </w:rPr>
      <w:t xml:space="preserve">                              闽鉴岩房评字【202</w:t>
    </w:r>
    <w:r>
      <w:rPr>
        <w:rFonts w:ascii="楷体" w:hAnsi="楷体" w:eastAsia="楷体"/>
        <w:szCs w:val="18"/>
      </w:rPr>
      <w:t>2</w:t>
    </w:r>
    <w:r>
      <w:rPr>
        <w:rFonts w:hint="eastAsia" w:ascii="楷体" w:hAnsi="楷体" w:eastAsia="楷体"/>
        <w:szCs w:val="18"/>
      </w:rPr>
      <w:t>】0</w:t>
    </w:r>
    <w:r>
      <w:rPr>
        <w:rFonts w:ascii="楷体" w:hAnsi="楷体" w:eastAsia="楷体"/>
        <w:szCs w:val="18"/>
      </w:rPr>
      <w:t>93</w:t>
    </w:r>
    <w:r>
      <w:rPr>
        <w:rFonts w:hint="eastAsia" w:ascii="楷体" w:hAnsi="楷体" w:eastAsia="楷体"/>
        <w:szCs w:val="18"/>
      </w:rPr>
      <w:t>号</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ascii="楷体" w:hAnsi="楷体" w:eastAsia="楷体"/>
        <w:szCs w:val="21"/>
      </w:rPr>
    </w:pPr>
    <w:r>
      <w:rPr>
        <w:rFonts w:hint="eastAsia" w:ascii="楷体" w:hAnsi="楷体" w:eastAsia="楷体"/>
        <w:szCs w:val="21"/>
      </w:rPr>
      <w:t>龙岩市新罗区红坊街道龙岗西路2号中国（龙岩）农产品物流城南区B区商业用房及车位房地产司法拍卖估价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ascii="宋体" w:hAnsi="宋体"/>
        <w:szCs w:val="21"/>
      </w:rPr>
    </w:pPr>
    <w:r>
      <w:rPr>
        <w:rFonts w:hint="eastAsia" w:ascii="楷体" w:hAnsi="楷体" w:eastAsia="楷体"/>
        <w:szCs w:val="21"/>
      </w:rPr>
      <w:t>龙岩市新罗区红坊街道龙岗西路2号中国（龙岩）农产品物流城南区B区商业用房及车位房地产司法拍卖估价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4B94CC"/>
    <w:multiLevelType w:val="singleLevel"/>
    <w:tmpl w:val="C84B94CC"/>
    <w:lvl w:ilvl="0" w:tentative="0">
      <w:start w:val="8"/>
      <w:numFmt w:val="decimal"/>
      <w:suff w:val="nothing"/>
      <w:lvlText w:val="%1、"/>
      <w:lvlJc w:val="left"/>
    </w:lvl>
  </w:abstractNum>
  <w:abstractNum w:abstractNumId="1">
    <w:nsid w:val="6DB814D7"/>
    <w:multiLevelType w:val="singleLevel"/>
    <w:tmpl w:val="6DB814D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EE468A"/>
    <w:rsid w:val="6FEE4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2">
    <w:name w:val="Body Text Indent"/>
    <w:basedOn w:val="1"/>
    <w:uiPriority w:val="0"/>
    <w:pPr>
      <w:ind w:firstLine="630"/>
    </w:pPr>
    <w:rPr>
      <w:rFonts w:eastAsia="楷体_GB2312"/>
      <w:sz w:val="32"/>
    </w:rPr>
  </w:style>
  <w:style w:type="paragraph" w:styleId="3">
    <w:name w:val="Block Text"/>
    <w:basedOn w:val="1"/>
    <w:uiPriority w:val="0"/>
    <w:pPr>
      <w:spacing w:line="440" w:lineRule="exact"/>
      <w:ind w:left="-27" w:leftChars="-13" w:right="43" w:firstLine="480" w:firstLineChars="200"/>
      <w:jc w:val="left"/>
    </w:pPr>
    <w:rPr>
      <w:rFonts w:ascii="仿宋_GB2312" w:eastAsia="仿宋_GB2312"/>
      <w:kern w:val="0"/>
      <w:sz w:val="24"/>
      <w:szCs w:val="24"/>
    </w:rPr>
  </w:style>
  <w:style w:type="paragraph" w:styleId="4">
    <w:name w:val="Date"/>
    <w:basedOn w:val="1"/>
    <w:next w:val="1"/>
    <w:uiPriority w:val="0"/>
    <w:rPr>
      <w:rFonts w:eastAsia="楷体_GB2312"/>
      <w:sz w:val="32"/>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bottom w:val="single" w:color="auto" w:sz="6" w:space="1"/>
      </w:pBdr>
      <w:tabs>
        <w:tab w:val="center" w:pos="4153"/>
        <w:tab w:val="right" w:pos="8306"/>
      </w:tabs>
      <w:snapToGrid w:val="0"/>
      <w:jc w:val="center"/>
    </w:pPr>
    <w:rPr>
      <w:sz w:val="18"/>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9">
    <w:name w:val="page number"/>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2022-09-22T09:04:00Z</dcterms:created>
  <dc:creator>昌伟</dc:creator>
  <cp:lastModifiedBy>昌伟</cp:lastModifiedBy>
  <dcterms:modified xsi:type="dcterms:W3CDTF">2022-09-22T09:04:16Z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