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宋体" w:eastAsia="仿宋_GB2312"/>
        </w:rPr>
      </w:pPr>
      <w:bookmarkStart w:id="91" w:name="_GoBack"/>
      <w:bookmarkEnd w:id="91"/>
    </w:p>
    <w:p>
      <w:pPr>
        <w:rPr>
          <w:rFonts w:hint="eastAsia" w:ascii="仿宋_GB2312" w:hAnsi="宋体" w:eastAsia="仿宋_GB2312"/>
        </w:rPr>
      </w:pPr>
    </w:p>
    <w:p>
      <w:pPr>
        <w:rPr>
          <w:rFonts w:hint="eastAsia" w:ascii="仿宋_GB2312" w:hAnsi="宋体" w:eastAsia="仿宋_GB2312"/>
        </w:rPr>
      </w:pPr>
    </w:p>
    <w:p>
      <w:pPr>
        <w:rPr>
          <w:rFonts w:hint="eastAsia" w:ascii="仿宋_GB2312" w:hAnsi="宋体" w:eastAsia="仿宋_GB2312"/>
        </w:rPr>
      </w:pPr>
    </w:p>
    <w:p>
      <w:pPr>
        <w:rPr>
          <w:rFonts w:hint="eastAsia" w:ascii="仿宋_GB2312" w:hAnsi="宋体" w:eastAsia="仿宋_GB2312"/>
        </w:rPr>
      </w:pPr>
    </w:p>
    <w:p>
      <w:pPr>
        <w:rPr>
          <w:rFonts w:hint="eastAsia" w:ascii="仿宋_GB2312" w:hAnsi="宋体" w:eastAsia="仿宋_GB2312"/>
        </w:rPr>
      </w:pPr>
    </w:p>
    <w:p>
      <w:pPr>
        <w:rPr>
          <w:rFonts w:hint="eastAsia" w:ascii="仿宋_GB2312" w:hAnsi="宋体" w:eastAsia="仿宋_GB2312"/>
        </w:rPr>
      </w:pPr>
    </w:p>
    <w:p>
      <w:pPr>
        <w:rPr>
          <w:rFonts w:hint="eastAsia" w:ascii="仿宋_GB2312" w:hAnsi="宋体" w:eastAsia="仿宋_GB2312"/>
        </w:rPr>
      </w:pPr>
    </w:p>
    <w:p>
      <w:pPr>
        <w:rPr>
          <w:rFonts w:hint="eastAsia" w:ascii="仿宋_GB2312" w:hAnsi="宋体" w:eastAsia="仿宋_GB2312"/>
        </w:rPr>
      </w:pPr>
    </w:p>
    <w:p>
      <w:pPr>
        <w:rPr>
          <w:rFonts w:hint="eastAsia" w:ascii="仿宋_GB2312" w:hAnsi="宋体" w:eastAsia="仿宋_GB2312"/>
        </w:rPr>
      </w:pPr>
    </w:p>
    <w:p>
      <w:pPr>
        <w:ind w:firstLine="1760" w:firstLineChars="400"/>
        <w:rPr>
          <w:rFonts w:hint="eastAsia" w:ascii="仿宋_GB2312" w:hAnsi="宋体" w:eastAsia="仿宋_GB2312"/>
          <w:szCs w:val="21"/>
        </w:rPr>
      </w:pPr>
      <w:r>
        <w:rPr>
          <w:rFonts w:hint="eastAsia" w:ascii="仿宋_GB2312" w:hAnsi="宋体" w:eastAsia="仿宋_GB2312"/>
          <w:sz w:val="44"/>
          <w:szCs w:val="44"/>
          <w:lang w:val="en-US" w:eastAsia="zh-CN"/>
        </w:rPr>
        <w:t>涉执</w:t>
      </w:r>
      <w:r>
        <w:rPr>
          <w:rFonts w:hint="eastAsia" w:ascii="仿宋_GB2312" w:hAnsi="宋体" w:eastAsia="仿宋_GB2312"/>
          <w:sz w:val="44"/>
          <w:szCs w:val="44"/>
        </w:rPr>
        <w:t>房地产</w:t>
      </w:r>
      <w:r>
        <w:rPr>
          <w:rFonts w:hint="eastAsia" w:ascii="仿宋_GB2312" w:hAnsi="宋体" w:eastAsia="仿宋_GB2312"/>
          <w:sz w:val="44"/>
          <w:szCs w:val="44"/>
          <w:lang w:val="en-US" w:eastAsia="zh-CN"/>
        </w:rPr>
        <w:t>处置司法评估</w:t>
      </w:r>
      <w:r>
        <w:rPr>
          <w:rFonts w:hint="eastAsia" w:ascii="仿宋_GB2312" w:hAnsi="宋体" w:eastAsia="仿宋_GB2312"/>
          <w:sz w:val="44"/>
          <w:szCs w:val="44"/>
        </w:rPr>
        <w:t>报告</w:t>
      </w:r>
    </w:p>
    <w:p>
      <w:pPr>
        <w:rPr>
          <w:rFonts w:hint="eastAsia" w:ascii="仿宋_GB2312" w:hAnsi="宋体" w:eastAsia="仿宋_GB2312"/>
          <w:szCs w:val="21"/>
        </w:rPr>
      </w:pPr>
    </w:p>
    <w:p>
      <w:pPr>
        <w:rPr>
          <w:rFonts w:hint="eastAsia" w:ascii="仿宋_GB2312" w:hAnsi="宋体" w:eastAsia="仿宋_GB2312"/>
          <w:szCs w:val="21"/>
        </w:rPr>
      </w:pPr>
    </w:p>
    <w:p>
      <w:pPr>
        <w:rPr>
          <w:rFonts w:hint="eastAsia" w:ascii="仿宋_GB2312" w:hAnsi="宋体" w:eastAsia="仿宋_GB2312"/>
          <w:szCs w:val="21"/>
        </w:rPr>
      </w:pPr>
    </w:p>
    <w:p>
      <w:pPr>
        <w:rPr>
          <w:rFonts w:hint="eastAsia" w:ascii="仿宋_GB2312" w:hAnsi="宋体" w:eastAsia="仿宋_GB2312"/>
          <w:szCs w:val="21"/>
        </w:rPr>
      </w:pPr>
    </w:p>
    <w:p>
      <w:pPr>
        <w:rPr>
          <w:rFonts w:hint="eastAsia" w:ascii="仿宋_GB2312" w:hAnsi="宋体" w:eastAsia="仿宋_GB2312"/>
          <w:szCs w:val="21"/>
        </w:rPr>
      </w:pPr>
    </w:p>
    <w:p>
      <w:pPr>
        <w:rPr>
          <w:rFonts w:hint="eastAsia" w:ascii="仿宋_GB2312" w:hAnsi="宋体" w:eastAsia="仿宋_GB2312"/>
          <w:szCs w:val="21"/>
        </w:rPr>
      </w:pPr>
    </w:p>
    <w:p>
      <w:pPr>
        <w:rPr>
          <w:rFonts w:hint="eastAsia" w:ascii="仿宋_GB2312" w:hAnsi="宋体" w:eastAsia="仿宋_GB2312"/>
          <w:szCs w:val="21"/>
        </w:rPr>
      </w:pPr>
    </w:p>
    <w:p>
      <w:pPr>
        <w:rPr>
          <w:rFonts w:hint="eastAsia" w:ascii="仿宋_GB2312" w:hAnsi="宋体" w:eastAsia="仿宋_GB2312"/>
          <w:szCs w:val="21"/>
        </w:rPr>
      </w:pPr>
    </w:p>
    <w:p>
      <w:pPr>
        <w:rPr>
          <w:rFonts w:hint="eastAsia" w:ascii="仿宋_GB2312" w:hAnsi="宋体" w:eastAsia="仿宋_GB2312"/>
          <w:szCs w:val="21"/>
        </w:rPr>
      </w:pPr>
    </w:p>
    <w:p>
      <w:pPr>
        <w:rPr>
          <w:rFonts w:hint="eastAsia" w:ascii="仿宋_GB2312" w:hAnsi="宋体" w:eastAsia="仿宋_GB2312"/>
          <w:szCs w:val="21"/>
        </w:rPr>
      </w:pPr>
    </w:p>
    <w:p>
      <w:pPr>
        <w:keepNext w:val="0"/>
        <w:keepLines w:val="0"/>
        <w:pageBreakBefore w:val="0"/>
        <w:widowControl w:val="0"/>
        <w:kinsoku/>
        <w:wordWrap/>
        <w:overflowPunct/>
        <w:topLinePunct w:val="0"/>
        <w:autoSpaceDE/>
        <w:autoSpaceDN/>
        <w:bidi w:val="0"/>
        <w:adjustRightInd/>
        <w:snapToGrid/>
        <w:spacing w:line="360" w:lineRule="auto"/>
        <w:ind w:left="2559" w:leftChars="152" w:hanging="2240" w:hangingChars="700"/>
        <w:textAlignment w:val="auto"/>
        <w:rPr>
          <w:rFonts w:hint="eastAsia" w:ascii="仿宋_GB2312" w:hAnsi="宋体" w:eastAsia="仿宋_GB2312"/>
          <w:sz w:val="32"/>
          <w:szCs w:val="32"/>
          <w:lang w:eastAsia="zh-CN"/>
        </w:rPr>
      </w:pPr>
      <w:r>
        <w:rPr>
          <w:rFonts w:hint="eastAsia" w:ascii="仿宋_GB2312" w:hAnsi="宋体" w:eastAsia="仿宋_GB2312"/>
          <w:sz w:val="32"/>
          <w:szCs w:val="32"/>
          <w:lang w:eastAsia="zh-CN"/>
        </w:rPr>
        <w:t>估价</w:t>
      </w:r>
      <w:r>
        <w:rPr>
          <w:rFonts w:hint="eastAsia" w:ascii="仿宋_GB2312" w:hAnsi="宋体" w:eastAsia="仿宋_GB2312"/>
          <w:sz w:val="32"/>
          <w:szCs w:val="32"/>
        </w:rPr>
        <w:t>项目名称：</w:t>
      </w:r>
      <w:r>
        <w:rPr>
          <w:rFonts w:hint="eastAsia" w:ascii="仿宋_GB2312" w:hAnsi="宋体" w:eastAsia="仿宋_GB2312"/>
          <w:sz w:val="32"/>
          <w:szCs w:val="32"/>
          <w:lang w:eastAsia="zh-CN"/>
        </w:rPr>
        <w:t>魏敏所有的位于抚州市玉茗大道丰源宜合2#1-1室、1-2室商业房地产司法处置涉及的房地产</w:t>
      </w:r>
      <w:r>
        <w:rPr>
          <w:rFonts w:hint="eastAsia" w:ascii="仿宋_GB2312" w:hAnsi="宋体" w:eastAsia="仿宋_GB2312"/>
          <w:sz w:val="32"/>
          <w:szCs w:val="32"/>
          <w:lang w:val="en-US" w:eastAsia="zh-CN"/>
        </w:rPr>
        <w:t>价值评估</w:t>
      </w:r>
    </w:p>
    <w:p>
      <w:pPr>
        <w:keepNext w:val="0"/>
        <w:keepLines w:val="0"/>
        <w:pageBreakBefore w:val="0"/>
        <w:widowControl w:val="0"/>
        <w:kinsoku/>
        <w:wordWrap/>
        <w:overflowPunct/>
        <w:topLinePunct w:val="0"/>
        <w:autoSpaceDE/>
        <w:autoSpaceDN/>
        <w:bidi w:val="0"/>
        <w:adjustRightInd/>
        <w:snapToGrid/>
        <w:spacing w:line="240" w:lineRule="auto"/>
        <w:ind w:left="3007" w:leftChars="152" w:hanging="2688" w:hangingChars="700"/>
        <w:textAlignment w:val="auto"/>
        <w:rPr>
          <w:rFonts w:hint="eastAsia" w:ascii="仿宋_GB2312" w:hAnsi="宋体" w:eastAsia="仿宋_GB2312"/>
          <w:color w:val="0000FF"/>
          <w:sz w:val="32"/>
          <w:szCs w:val="32"/>
          <w:lang w:eastAsia="zh-CN"/>
        </w:rPr>
      </w:pPr>
      <w:r>
        <w:rPr>
          <w:rFonts w:hint="eastAsia" w:ascii="仿宋_GB2312" w:hAnsi="宋体" w:eastAsia="仿宋_GB2312"/>
          <w:spacing w:val="32"/>
          <w:sz w:val="32"/>
          <w:szCs w:val="32"/>
          <w:lang w:eastAsia="zh-CN"/>
        </w:rPr>
        <w:t>估价</w:t>
      </w:r>
      <w:r>
        <w:rPr>
          <w:rFonts w:hint="eastAsia" w:ascii="仿宋_GB2312" w:hAnsi="宋体" w:eastAsia="仿宋_GB2312"/>
          <w:spacing w:val="32"/>
          <w:sz w:val="32"/>
          <w:szCs w:val="32"/>
        </w:rPr>
        <w:t>委托人</w:t>
      </w:r>
      <w:r>
        <w:rPr>
          <w:rFonts w:hint="eastAsia" w:ascii="仿宋_GB2312" w:hAnsi="宋体" w:eastAsia="仿宋_GB2312"/>
          <w:sz w:val="32"/>
          <w:szCs w:val="32"/>
          <w:lang w:eastAsia="zh-CN"/>
        </w:rPr>
        <w:t>：南昌高新技术产业开发区人民法院</w:t>
      </w:r>
    </w:p>
    <w:p>
      <w:pPr>
        <w:keepNext w:val="0"/>
        <w:keepLines w:val="0"/>
        <w:pageBreakBefore w:val="0"/>
        <w:widowControl w:val="0"/>
        <w:kinsoku/>
        <w:wordWrap/>
        <w:overflowPunct/>
        <w:topLinePunct w:val="0"/>
        <w:autoSpaceDE/>
        <w:autoSpaceDN/>
        <w:bidi w:val="0"/>
        <w:adjustRightInd/>
        <w:snapToGrid/>
        <w:spacing w:line="240" w:lineRule="auto"/>
        <w:ind w:left="2559" w:leftChars="152" w:hanging="2240" w:hangingChars="700"/>
        <w:textAlignment w:val="auto"/>
        <w:rPr>
          <w:rFonts w:hint="eastAsia" w:ascii="仿宋_GB2312" w:hAnsi="宋体" w:eastAsia="仿宋_GB2312"/>
          <w:sz w:val="32"/>
          <w:szCs w:val="32"/>
          <w:lang w:eastAsia="zh-CN"/>
        </w:rPr>
      </w:pPr>
      <w:r>
        <w:rPr>
          <w:rFonts w:hint="eastAsia" w:ascii="仿宋_GB2312" w:hAnsi="宋体" w:eastAsia="仿宋_GB2312"/>
          <w:sz w:val="32"/>
          <w:szCs w:val="32"/>
          <w:lang w:eastAsia="zh-CN"/>
        </w:rPr>
        <w:t>房地产估价机构</w:t>
      </w:r>
      <w:r>
        <w:rPr>
          <w:rFonts w:hint="eastAsia" w:ascii="仿宋_GB2312" w:hAnsi="宋体" w:eastAsia="仿宋_GB2312"/>
          <w:sz w:val="32"/>
          <w:szCs w:val="32"/>
        </w:rPr>
        <w:t>：</w:t>
      </w:r>
      <w:r>
        <w:rPr>
          <w:rFonts w:hint="eastAsia" w:ascii="仿宋_GB2312" w:hAnsi="宋体" w:eastAsia="仿宋_GB2312"/>
          <w:sz w:val="32"/>
          <w:szCs w:val="32"/>
          <w:lang w:eastAsia="zh-CN"/>
        </w:rPr>
        <w:t>江西万恒房地产资产评估咨询有限公司</w:t>
      </w:r>
    </w:p>
    <w:p>
      <w:pPr>
        <w:keepNext w:val="0"/>
        <w:keepLines w:val="0"/>
        <w:pageBreakBefore w:val="0"/>
        <w:widowControl w:val="0"/>
        <w:kinsoku/>
        <w:wordWrap/>
        <w:overflowPunct/>
        <w:topLinePunct w:val="0"/>
        <w:autoSpaceDE/>
        <w:autoSpaceDN/>
        <w:bidi w:val="0"/>
        <w:adjustRightInd/>
        <w:snapToGrid/>
        <w:spacing w:line="240" w:lineRule="auto"/>
        <w:ind w:firstLine="320" w:firstLineChars="100"/>
        <w:textAlignment w:val="auto"/>
        <w:rPr>
          <w:rFonts w:hint="eastAsia" w:ascii="仿宋_GB2312" w:hAnsi="宋体" w:eastAsia="仿宋_GB2312"/>
          <w:sz w:val="32"/>
          <w:szCs w:val="32"/>
        </w:rPr>
      </w:pPr>
      <w:r>
        <w:rPr>
          <w:rFonts w:hint="eastAsia" w:ascii="仿宋_GB2312" w:hAnsi="宋体" w:eastAsia="仿宋_GB2312"/>
          <w:sz w:val="32"/>
          <w:szCs w:val="32"/>
        </w:rPr>
        <w:t>注册房地产估价师：</w:t>
      </w:r>
      <w:r>
        <w:rPr>
          <w:rFonts w:hint="eastAsia" w:ascii="仿宋_GB2312" w:hAnsi="宋体" w:eastAsia="仿宋_GB2312"/>
          <w:sz w:val="32"/>
          <w:szCs w:val="32"/>
          <w:lang w:val="en-US" w:eastAsia="zh-CN"/>
        </w:rPr>
        <w:t>李舰</w:t>
      </w:r>
      <w:r>
        <w:rPr>
          <w:rFonts w:hint="eastAsia" w:ascii="仿宋_GB2312" w:hAnsi="宋体" w:eastAsia="仿宋_GB2312"/>
          <w:sz w:val="32"/>
          <w:szCs w:val="32"/>
        </w:rPr>
        <w:t>（</w:t>
      </w:r>
      <w:r>
        <w:rPr>
          <w:rFonts w:hint="eastAsia" w:ascii="仿宋_GB2312" w:hAnsi="宋体" w:eastAsia="仿宋_GB2312"/>
          <w:sz w:val="32"/>
          <w:szCs w:val="32"/>
          <w:lang w:eastAsia="zh-CN"/>
        </w:rPr>
        <w:t>3</w:t>
      </w:r>
      <w:r>
        <w:rPr>
          <w:rFonts w:hint="eastAsia" w:ascii="仿宋_GB2312" w:hAnsi="宋体" w:eastAsia="仿宋_GB2312"/>
          <w:sz w:val="32"/>
          <w:szCs w:val="32"/>
          <w:lang w:val="en-US" w:eastAsia="zh-CN"/>
        </w:rPr>
        <w:t>620200071</w:t>
      </w:r>
      <w:r>
        <w:rPr>
          <w:rFonts w:hint="eastAsia" w:ascii="仿宋_GB2312" w:hAnsi="宋体" w:eastAsia="仿宋_GB2312"/>
          <w:sz w:val="32"/>
          <w:szCs w:val="32"/>
        </w:rPr>
        <w:t>）</w:t>
      </w:r>
      <w:r>
        <w:rPr>
          <w:rFonts w:hint="eastAsia" w:ascii="仿宋_GB2312" w:hAnsi="宋体" w:eastAsia="仿宋_GB2312"/>
          <w:sz w:val="32"/>
          <w:szCs w:val="32"/>
          <w:lang w:val="en-US" w:eastAsia="zh-CN"/>
        </w:rPr>
        <w:t>王辉</w:t>
      </w:r>
      <w:r>
        <w:rPr>
          <w:rFonts w:hint="eastAsia" w:ascii="仿宋_GB2312" w:hAnsi="宋体" w:eastAsia="仿宋_GB2312"/>
          <w:sz w:val="32"/>
          <w:szCs w:val="32"/>
        </w:rPr>
        <w:t>（</w:t>
      </w:r>
      <w:r>
        <w:rPr>
          <w:rFonts w:hint="eastAsia" w:ascii="仿宋_GB2312" w:hAnsi="宋体" w:eastAsia="仿宋_GB2312"/>
          <w:sz w:val="32"/>
          <w:szCs w:val="32"/>
          <w:lang w:eastAsia="zh-CN"/>
        </w:rPr>
        <w:t>3619970077</w:t>
      </w:r>
      <w:r>
        <w:rPr>
          <w:rFonts w:hint="eastAsia" w:ascii="仿宋_GB2312" w:hAnsi="宋体" w:eastAsia="仿宋_GB2312"/>
          <w:sz w:val="32"/>
          <w:szCs w:val="32"/>
        </w:rPr>
        <w:t>）</w:t>
      </w:r>
    </w:p>
    <w:p>
      <w:pPr>
        <w:keepNext w:val="0"/>
        <w:keepLines w:val="0"/>
        <w:pageBreakBefore w:val="0"/>
        <w:widowControl w:val="0"/>
        <w:tabs>
          <w:tab w:val="left" w:pos="315"/>
        </w:tabs>
        <w:kinsoku/>
        <w:wordWrap/>
        <w:overflowPunct/>
        <w:topLinePunct w:val="0"/>
        <w:autoSpaceDE/>
        <w:autoSpaceDN/>
        <w:bidi w:val="0"/>
        <w:adjustRightInd/>
        <w:snapToGrid/>
        <w:spacing w:line="240" w:lineRule="auto"/>
        <w:ind w:firstLine="320" w:firstLineChars="100"/>
        <w:textAlignment w:val="auto"/>
        <w:rPr>
          <w:rFonts w:hint="eastAsia" w:ascii="仿宋_GB2312" w:hAnsi="仿宋_GB2312" w:eastAsia="仿宋_GB2312" w:cs="仿宋_GB2312"/>
          <w:sz w:val="32"/>
          <w:szCs w:val="32"/>
        </w:rPr>
      </w:pPr>
      <w:r>
        <w:rPr>
          <w:rFonts w:hint="eastAsia" w:ascii="仿宋_GB2312" w:hAnsi="宋体" w:eastAsia="仿宋_GB2312"/>
          <w:color w:val="000000"/>
          <w:sz w:val="32"/>
          <w:szCs w:val="32"/>
          <w:lang w:eastAsia="zh-CN"/>
        </w:rPr>
        <w:t>估价</w:t>
      </w:r>
      <w:r>
        <w:rPr>
          <w:rFonts w:hint="eastAsia" w:ascii="仿宋_GB2312" w:hAnsi="宋体" w:eastAsia="仿宋_GB2312"/>
          <w:color w:val="000000"/>
          <w:sz w:val="32"/>
          <w:szCs w:val="32"/>
        </w:rPr>
        <w:t>报告编号</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万恒评字[202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lang w:eastAsia="zh-CN"/>
        </w:rPr>
        <w:t>]第</w:t>
      </w:r>
      <w:r>
        <w:rPr>
          <w:rFonts w:hint="eastAsia" w:ascii="仿宋_GB2312" w:hAnsi="仿宋_GB2312" w:eastAsia="仿宋_GB2312" w:cs="仿宋_GB2312"/>
          <w:color w:val="000000"/>
          <w:sz w:val="32"/>
          <w:szCs w:val="32"/>
          <w:lang w:val="en-US" w:eastAsia="zh-CN"/>
        </w:rPr>
        <w:t>W103101</w:t>
      </w:r>
      <w:r>
        <w:rPr>
          <w:rFonts w:hint="eastAsia" w:ascii="仿宋_GB2312" w:hAnsi="仿宋_GB2312" w:eastAsia="仿宋_GB2312" w:cs="仿宋_GB2312"/>
          <w:color w:val="000000"/>
          <w:sz w:val="32"/>
          <w:szCs w:val="32"/>
          <w:lang w:eastAsia="zh-CN"/>
        </w:rPr>
        <w:t>号</w:t>
      </w:r>
    </w:p>
    <w:p>
      <w:pPr>
        <w:keepNext w:val="0"/>
        <w:keepLines w:val="0"/>
        <w:pageBreakBefore w:val="0"/>
        <w:widowControl w:val="0"/>
        <w:tabs>
          <w:tab w:val="left" w:pos="315"/>
        </w:tabs>
        <w:kinsoku/>
        <w:wordWrap/>
        <w:overflowPunct/>
        <w:topLinePunct w:val="0"/>
        <w:autoSpaceDE/>
        <w:autoSpaceDN/>
        <w:bidi w:val="0"/>
        <w:adjustRightInd w:val="0"/>
        <w:snapToGrid w:val="0"/>
        <w:spacing w:line="480" w:lineRule="exact"/>
        <w:ind w:firstLine="320" w:firstLineChars="100"/>
        <w:jc w:val="both"/>
        <w:textAlignment w:val="auto"/>
        <w:rPr>
          <w:rFonts w:hint="eastAsia" w:ascii="仿宋_GB2312" w:hAnsi="宋体" w:eastAsia="仿宋_GB2312"/>
          <w:b/>
          <w:color w:val="000000"/>
          <w:sz w:val="32"/>
          <w:szCs w:val="32"/>
        </w:rPr>
        <w:sectPr>
          <w:headerReference r:id="rId4" w:type="first"/>
          <w:headerReference r:id="rId3" w:type="default"/>
          <w:pgSz w:w="11906" w:h="16838"/>
          <w:pgMar w:top="1714" w:right="1531" w:bottom="1091" w:left="1797" w:header="964" w:footer="936" w:gutter="0"/>
          <w:pgBorders>
            <w:top w:val="none" w:sz="0" w:space="0"/>
            <w:left w:val="none" w:sz="0" w:space="0"/>
            <w:bottom w:val="none" w:sz="0" w:space="0"/>
            <w:right w:val="none" w:sz="0" w:space="0"/>
          </w:pgBorders>
          <w:pgNumType w:fmt="decimal"/>
          <w:cols w:space="720" w:num="1"/>
          <w:titlePg/>
          <w:docGrid w:type="lines" w:linePitch="312" w:charSpace="0"/>
        </w:sectPr>
      </w:pPr>
      <w:r>
        <w:rPr>
          <w:rFonts w:hint="eastAsia" w:ascii="仿宋_GB2312" w:hAnsi="宋体" w:eastAsia="仿宋_GB2312"/>
          <w:color w:val="000000"/>
          <w:sz w:val="32"/>
          <w:szCs w:val="32"/>
          <w:lang w:eastAsia="zh-CN"/>
        </w:rPr>
        <w:t>估价</w:t>
      </w:r>
      <w:r>
        <w:rPr>
          <w:rFonts w:hint="eastAsia" w:ascii="仿宋_GB2312" w:hAnsi="宋体" w:eastAsia="仿宋_GB2312"/>
          <w:color w:val="000000"/>
          <w:sz w:val="32"/>
          <w:szCs w:val="32"/>
        </w:rPr>
        <w:t>报告出具日期：</w:t>
      </w:r>
      <w:r>
        <w:rPr>
          <w:rFonts w:hint="eastAsia" w:ascii="仿宋_GB2312" w:hAnsi="宋体" w:eastAsia="仿宋_GB2312"/>
          <w:sz w:val="32"/>
          <w:szCs w:val="32"/>
          <w:lang w:eastAsia="zh-CN"/>
        </w:rPr>
        <w:t>202</w:t>
      </w:r>
      <w:r>
        <w:rPr>
          <w:rFonts w:hint="eastAsia" w:ascii="仿宋_GB2312" w:hAnsi="宋体" w:eastAsia="仿宋_GB2312"/>
          <w:sz w:val="32"/>
          <w:szCs w:val="32"/>
          <w:lang w:val="en-US" w:eastAsia="zh-CN"/>
        </w:rPr>
        <w:t>2</w:t>
      </w:r>
      <w:r>
        <w:rPr>
          <w:rFonts w:hint="eastAsia" w:ascii="仿宋_GB2312" w:hAnsi="宋体" w:eastAsia="仿宋_GB2312"/>
          <w:sz w:val="32"/>
          <w:szCs w:val="32"/>
          <w:lang w:eastAsia="zh-CN"/>
        </w:rPr>
        <w:t>年</w:t>
      </w:r>
      <w:r>
        <w:rPr>
          <w:rFonts w:hint="eastAsia" w:ascii="仿宋_GB2312" w:hAnsi="宋体" w:eastAsia="仿宋_GB2312"/>
          <w:sz w:val="32"/>
          <w:szCs w:val="32"/>
          <w:lang w:val="en-US" w:eastAsia="zh-CN"/>
        </w:rPr>
        <w:t>10</w:t>
      </w:r>
      <w:r>
        <w:rPr>
          <w:rFonts w:hint="eastAsia" w:ascii="仿宋_GB2312" w:hAnsi="宋体" w:eastAsia="仿宋_GB2312"/>
          <w:sz w:val="32"/>
          <w:szCs w:val="32"/>
          <w:lang w:eastAsia="zh-CN"/>
        </w:rPr>
        <w:t>月</w:t>
      </w:r>
      <w:r>
        <w:rPr>
          <w:rFonts w:hint="eastAsia" w:ascii="仿宋_GB2312" w:hAnsi="宋体" w:eastAsia="仿宋_GB2312"/>
          <w:sz w:val="32"/>
          <w:szCs w:val="32"/>
          <w:lang w:val="en-US" w:eastAsia="zh-CN"/>
        </w:rPr>
        <w:t>31</w:t>
      </w:r>
      <w:r>
        <w:rPr>
          <w:rFonts w:hint="eastAsia" w:ascii="仿宋_GB2312" w:hAnsi="宋体" w:eastAsia="仿宋_GB2312"/>
          <w:sz w:val="32"/>
          <w:szCs w:val="32"/>
          <w:lang w:eastAsia="zh-CN"/>
        </w:rPr>
        <w:t>日</w:t>
      </w:r>
    </w:p>
    <w:p>
      <w:pPr>
        <w:keepNext w:val="0"/>
        <w:keepLines w:val="0"/>
        <w:pageBreakBefore w:val="0"/>
        <w:widowControl w:val="0"/>
        <w:tabs>
          <w:tab w:val="left" w:pos="315"/>
        </w:tabs>
        <w:kinsoku/>
        <w:wordWrap/>
        <w:overflowPunct/>
        <w:topLinePunct w:val="0"/>
        <w:autoSpaceDE/>
        <w:autoSpaceDN/>
        <w:bidi w:val="0"/>
        <w:adjustRightInd w:val="0"/>
        <w:snapToGrid w:val="0"/>
        <w:spacing w:line="480" w:lineRule="exact"/>
        <w:ind w:firstLine="321" w:firstLineChars="100"/>
        <w:jc w:val="center"/>
        <w:textAlignment w:val="auto"/>
        <w:rPr>
          <w:rFonts w:hint="eastAsia" w:ascii="仿宋_GB2312" w:hAnsi="宋体" w:eastAsia="仿宋_GB2312"/>
          <w:b/>
          <w:color w:val="000000"/>
          <w:sz w:val="32"/>
          <w:szCs w:val="32"/>
        </w:rPr>
      </w:pPr>
      <w:r>
        <w:rPr>
          <w:rFonts w:hint="eastAsia" w:ascii="仿宋_GB2312" w:hAnsi="宋体" w:eastAsia="仿宋_GB2312"/>
          <w:b/>
          <w:color w:val="000000"/>
          <w:sz w:val="32"/>
          <w:szCs w:val="32"/>
        </w:rPr>
        <w:t>致</w:t>
      </w:r>
      <w:r>
        <w:rPr>
          <w:rFonts w:hint="eastAsia" w:ascii="仿宋_GB2312" w:hAnsi="宋体" w:eastAsia="仿宋_GB2312"/>
          <w:b/>
          <w:color w:val="000000"/>
          <w:sz w:val="32"/>
          <w:szCs w:val="32"/>
          <w:lang w:eastAsia="zh-CN"/>
        </w:rPr>
        <w:t>估价</w:t>
      </w:r>
      <w:r>
        <w:rPr>
          <w:rFonts w:hint="eastAsia" w:ascii="仿宋_GB2312" w:hAnsi="宋体" w:eastAsia="仿宋_GB2312"/>
          <w:b/>
          <w:color w:val="000000"/>
          <w:sz w:val="32"/>
          <w:szCs w:val="32"/>
        </w:rPr>
        <w:t>委托人函</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仿宋_GB2312" w:hAnsi="宋体" w:eastAsia="仿宋_GB2312"/>
          <w:b/>
          <w:bCs/>
          <w:color w:val="auto"/>
          <w:sz w:val="28"/>
          <w:szCs w:val="28"/>
        </w:rPr>
      </w:pPr>
      <w:r>
        <w:rPr>
          <w:rFonts w:hint="eastAsia" w:ascii="仿宋_GB2312" w:hAnsi="宋体" w:eastAsia="仿宋_GB2312"/>
          <w:b/>
          <w:bCs/>
          <w:color w:val="auto"/>
          <w:sz w:val="28"/>
          <w:szCs w:val="28"/>
          <w:lang w:eastAsia="zh-CN"/>
        </w:rPr>
        <w:t>南昌高新技术产业开发区人民法院</w:t>
      </w:r>
      <w:r>
        <w:rPr>
          <w:rFonts w:hint="eastAsia" w:ascii="仿宋_GB2312" w:hAnsi="宋体" w:eastAsia="仿宋_GB2312"/>
          <w:b/>
          <w:bCs/>
          <w:color w:val="auto"/>
          <w:sz w:val="28"/>
          <w:szCs w:val="28"/>
        </w:rPr>
        <w:t>：</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sz w:val="28"/>
          <w:szCs w:val="28"/>
        </w:rPr>
        <w:t>承蒙委托，我公司派遣注册房地产估价师，就贵院在</w:t>
      </w:r>
      <w:r>
        <w:rPr>
          <w:rFonts w:hint="eastAsia" w:ascii="仿宋_GB2312" w:hAnsi="宋体" w:eastAsia="仿宋_GB2312"/>
          <w:sz w:val="28"/>
          <w:szCs w:val="28"/>
          <w:lang w:eastAsia="zh-CN"/>
        </w:rPr>
        <w:t>办理</w:t>
      </w:r>
      <w:r>
        <w:rPr>
          <w:rFonts w:hint="eastAsia" w:ascii="仿宋_GB2312" w:hAnsi="宋体" w:eastAsia="仿宋_GB2312"/>
          <w:sz w:val="28"/>
          <w:szCs w:val="28"/>
        </w:rPr>
        <w:t>执行</w:t>
      </w:r>
      <w:r>
        <w:rPr>
          <w:rFonts w:hint="eastAsia" w:ascii="仿宋_GB2312" w:hAnsi="宋体" w:eastAsia="仿宋_GB2312"/>
          <w:sz w:val="28"/>
          <w:szCs w:val="28"/>
          <w:lang w:val="en-US" w:eastAsia="zh-CN"/>
        </w:rPr>
        <w:t>申请执行人吴惠</w:t>
      </w:r>
      <w:r>
        <w:rPr>
          <w:rFonts w:hint="eastAsia" w:ascii="仿宋_GB2312" w:hAnsi="宋体" w:eastAsia="仿宋_GB2312"/>
          <w:sz w:val="28"/>
          <w:szCs w:val="28"/>
          <w:lang w:eastAsia="zh-CN"/>
        </w:rPr>
        <w:t>与</w:t>
      </w:r>
      <w:r>
        <w:rPr>
          <w:rFonts w:hint="eastAsia" w:ascii="仿宋_GB2312" w:hAnsi="宋体" w:eastAsia="仿宋_GB2312"/>
          <w:sz w:val="28"/>
          <w:szCs w:val="28"/>
          <w:lang w:val="en-US" w:eastAsia="zh-CN"/>
        </w:rPr>
        <w:t>被执行人江西省天成物联网科技有限公司、魏敏、翁梅兰、朱文洪、蔡金辉、林俊杰追偿权纠纷一案过程中</w:t>
      </w:r>
      <w:r>
        <w:rPr>
          <w:rFonts w:hint="eastAsia" w:ascii="仿宋_GB2312" w:hAnsi="宋体" w:eastAsia="仿宋_GB2312"/>
          <w:sz w:val="28"/>
          <w:szCs w:val="28"/>
        </w:rPr>
        <w:t>[（202</w:t>
      </w:r>
      <w:r>
        <w:rPr>
          <w:rFonts w:hint="eastAsia" w:ascii="仿宋_GB2312" w:hAnsi="宋体" w:eastAsia="仿宋_GB2312"/>
          <w:sz w:val="28"/>
          <w:szCs w:val="28"/>
          <w:lang w:val="en-US" w:eastAsia="zh-CN"/>
        </w:rPr>
        <w:t>1</w:t>
      </w:r>
      <w:r>
        <w:rPr>
          <w:rFonts w:hint="eastAsia" w:ascii="仿宋_GB2312" w:hAnsi="宋体" w:eastAsia="仿宋_GB2312"/>
          <w:sz w:val="28"/>
          <w:szCs w:val="28"/>
        </w:rPr>
        <w:t>）赣</w:t>
      </w:r>
      <w:r>
        <w:rPr>
          <w:rFonts w:hint="eastAsia" w:ascii="仿宋_GB2312" w:hAnsi="宋体" w:eastAsia="仿宋_GB2312"/>
          <w:sz w:val="28"/>
          <w:szCs w:val="28"/>
          <w:lang w:val="en-US" w:eastAsia="zh-CN"/>
        </w:rPr>
        <w:t>0191</w:t>
      </w:r>
      <w:r>
        <w:rPr>
          <w:rFonts w:hint="eastAsia" w:ascii="仿宋_GB2312" w:hAnsi="宋体" w:eastAsia="仿宋_GB2312"/>
          <w:sz w:val="28"/>
          <w:szCs w:val="28"/>
        </w:rPr>
        <w:t>执</w:t>
      </w:r>
      <w:r>
        <w:rPr>
          <w:rFonts w:hint="eastAsia" w:ascii="仿宋_GB2312" w:hAnsi="宋体" w:eastAsia="仿宋_GB2312"/>
          <w:sz w:val="28"/>
          <w:szCs w:val="28"/>
          <w:lang w:val="en-US" w:eastAsia="zh-CN"/>
        </w:rPr>
        <w:t>1621</w:t>
      </w:r>
      <w:r>
        <w:rPr>
          <w:rFonts w:hint="eastAsia" w:ascii="仿宋_GB2312" w:hAnsi="宋体" w:eastAsia="仿宋_GB2312"/>
          <w:sz w:val="28"/>
          <w:szCs w:val="28"/>
        </w:rPr>
        <w:t>号]</w:t>
      </w:r>
      <w:r>
        <w:rPr>
          <w:rFonts w:hint="eastAsia" w:ascii="仿宋_GB2312" w:hAnsi="宋体" w:eastAsia="仿宋_GB2312"/>
          <w:sz w:val="28"/>
          <w:szCs w:val="28"/>
          <w:lang w:eastAsia="zh-CN"/>
        </w:rPr>
        <w:t>，所涉及的魏敏所有的位于抚州市玉茗大道丰源宜合2#1-1室、1-2室商业房地产</w:t>
      </w:r>
      <w:r>
        <w:rPr>
          <w:rFonts w:hint="eastAsia" w:ascii="仿宋_GB2312" w:hAnsi="宋体" w:eastAsia="仿宋_GB2312"/>
          <w:sz w:val="28"/>
          <w:szCs w:val="28"/>
          <w:lang w:val="en-US" w:eastAsia="zh-CN"/>
        </w:rPr>
        <w:t>价值</w:t>
      </w:r>
      <w:r>
        <w:rPr>
          <w:rFonts w:hint="eastAsia" w:ascii="仿宋_GB2312" w:hAnsi="宋体" w:eastAsia="仿宋_GB2312"/>
          <w:sz w:val="28"/>
          <w:szCs w:val="28"/>
        </w:rPr>
        <w:t>进行</w:t>
      </w:r>
      <w:r>
        <w:rPr>
          <w:rFonts w:hint="eastAsia" w:ascii="仿宋_GB2312" w:hAnsi="宋体" w:eastAsia="仿宋_GB2312"/>
          <w:sz w:val="28"/>
          <w:szCs w:val="28"/>
          <w:lang w:eastAsia="zh-CN"/>
        </w:rPr>
        <w:t>评估</w:t>
      </w:r>
      <w:r>
        <w:rPr>
          <w:rFonts w:hint="eastAsia" w:ascii="仿宋_GB2312" w:hAnsi="宋体" w:eastAsia="仿宋_GB2312"/>
          <w:sz w:val="28"/>
          <w:szCs w:val="28"/>
        </w:rPr>
        <w:t>，</w:t>
      </w:r>
      <w:r>
        <w:rPr>
          <w:rFonts w:hint="eastAsia" w:ascii="仿宋_GB2312" w:hAnsi="宋体" w:eastAsia="仿宋_GB2312"/>
          <w:sz w:val="28"/>
          <w:szCs w:val="28"/>
          <w:lang w:eastAsia="zh-CN"/>
        </w:rPr>
        <w:t>估价目的是为人民法院确定房地产处置参考价提供参考依据</w:t>
      </w:r>
      <w:r>
        <w:rPr>
          <w:rFonts w:hint="eastAsia" w:ascii="仿宋_GB2312" w:hAnsi="宋体" w:eastAsia="仿宋_GB2312"/>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480" w:lineRule="exact"/>
        <w:ind w:right="34" w:firstLine="560" w:firstLineChars="200"/>
        <w:jc w:val="both"/>
        <w:textAlignment w:val="auto"/>
        <w:rPr>
          <w:rFonts w:hint="eastAsia" w:ascii="仿宋" w:hAnsi="仿宋" w:eastAsia="仿宋" w:cs="仿宋"/>
          <w:b/>
          <w:sz w:val="30"/>
          <w:szCs w:val="30"/>
          <w:u w:val="dotted"/>
        </w:rPr>
      </w:pPr>
      <w:r>
        <w:rPr>
          <w:rFonts w:hint="eastAsia" w:ascii="仿宋_GB2312" w:hAnsi="宋体" w:eastAsia="仿宋_GB2312"/>
          <w:sz w:val="28"/>
          <w:szCs w:val="28"/>
        </w:rPr>
        <w:t>经过实地查勘与市场调查，遵照《中华人民共和国城市房地产管理法》、《房地产估价规范》等法律法规和技术标准，遵循各项估价原则，选用适宜的估价方法对估价对象进行了测算，在认真分析所掌握的资料并充分考虑估价对象比较因素的基础上，经过综合测算，确定估价对象于价值时点</w:t>
      </w:r>
      <w:r>
        <w:rPr>
          <w:rFonts w:hint="eastAsia" w:ascii="仿宋_GB2312" w:hAnsi="宋体" w:eastAsia="仿宋_GB2312"/>
          <w:sz w:val="28"/>
          <w:szCs w:val="28"/>
          <w:lang w:val="en-US" w:eastAsia="zh-CN"/>
        </w:rPr>
        <w:t>2022年10月25日</w:t>
      </w:r>
      <w:r>
        <w:rPr>
          <w:rFonts w:hint="eastAsia" w:ascii="仿宋_GB2312" w:hAnsi="宋体" w:eastAsia="仿宋_GB2312"/>
          <w:sz w:val="28"/>
          <w:szCs w:val="28"/>
        </w:rPr>
        <w:t>在满足估价假设和限制条件下的价值进行估算和判定，得出估价结果——</w:t>
      </w:r>
      <w:r>
        <w:rPr>
          <w:rFonts w:hint="eastAsia" w:ascii="仿宋_GB2312" w:hAnsi="宋体" w:eastAsia="仿宋_GB2312"/>
          <w:sz w:val="28"/>
          <w:szCs w:val="28"/>
          <w:lang w:eastAsia="zh-CN"/>
        </w:rPr>
        <w:t>估价对象</w:t>
      </w:r>
      <w:r>
        <w:rPr>
          <w:rFonts w:hint="eastAsia" w:ascii="仿宋_GB2312" w:hAnsi="宋体" w:eastAsia="仿宋_GB2312"/>
          <w:sz w:val="28"/>
          <w:szCs w:val="28"/>
          <w:lang w:val="en-US" w:eastAsia="zh-CN"/>
        </w:rPr>
        <w:t>房地产</w:t>
      </w:r>
      <w:r>
        <w:rPr>
          <w:rFonts w:hint="eastAsia" w:ascii="仿宋_GB2312" w:hAnsi="宋体" w:eastAsia="仿宋_GB2312"/>
          <w:sz w:val="28"/>
          <w:szCs w:val="28"/>
          <w:lang w:eastAsia="zh-CN"/>
        </w:rPr>
        <w:t>评估</w:t>
      </w:r>
      <w:r>
        <w:rPr>
          <w:rFonts w:hint="eastAsia" w:ascii="仿宋_GB2312" w:hAnsi="宋体" w:eastAsia="仿宋_GB2312"/>
          <w:sz w:val="28"/>
          <w:szCs w:val="28"/>
        </w:rPr>
        <w:t>总</w:t>
      </w:r>
      <w:r>
        <w:rPr>
          <w:rFonts w:hint="eastAsia" w:ascii="仿宋_GB2312" w:hAnsi="宋体" w:eastAsia="仿宋_GB2312"/>
          <w:sz w:val="28"/>
          <w:szCs w:val="28"/>
          <w:lang w:eastAsia="zh-CN"/>
        </w:rPr>
        <w:t>值</w:t>
      </w:r>
      <w:r>
        <w:rPr>
          <w:rFonts w:hint="eastAsia" w:ascii="仿宋_GB2312" w:hAnsi="宋体" w:eastAsia="仿宋_GB2312"/>
          <w:sz w:val="28"/>
          <w:szCs w:val="28"/>
        </w:rPr>
        <w:t>为大写人民币</w:t>
      </w:r>
      <w:r>
        <w:rPr>
          <w:rFonts w:hint="eastAsia" w:ascii="仿宋_GB2312" w:hAnsi="宋体" w:eastAsia="仿宋_GB2312"/>
          <w:b/>
          <w:bCs/>
          <w:sz w:val="28"/>
          <w:szCs w:val="28"/>
          <w:lang w:val="en-US" w:eastAsia="zh-CN"/>
        </w:rPr>
        <w:fldChar w:fldCharType="begin"/>
      </w:r>
      <w:r>
        <w:rPr>
          <w:rFonts w:hint="eastAsia" w:ascii="仿宋_GB2312" w:hAnsi="宋体" w:eastAsia="仿宋_GB2312"/>
          <w:b/>
          <w:bCs/>
          <w:sz w:val="28"/>
          <w:szCs w:val="28"/>
          <w:lang w:val="en-US" w:eastAsia="zh-CN"/>
        </w:rPr>
        <w:instrText xml:space="preserve"> = 1684758 \* CHINESENUM2 \* MERGEFORMAT </w:instrText>
      </w:r>
      <w:r>
        <w:rPr>
          <w:rFonts w:hint="eastAsia" w:ascii="仿宋_GB2312" w:hAnsi="宋体" w:eastAsia="仿宋_GB2312"/>
          <w:b/>
          <w:bCs/>
          <w:sz w:val="28"/>
          <w:szCs w:val="28"/>
          <w:lang w:val="en-US" w:eastAsia="zh-CN"/>
        </w:rPr>
        <w:fldChar w:fldCharType="separate"/>
      </w:r>
      <w:r>
        <w:rPr>
          <w:rFonts w:hint="eastAsia" w:ascii="仿宋_GB2312" w:hAnsi="宋体" w:eastAsia="仿宋_GB2312"/>
          <w:b/>
          <w:bCs/>
          <w:sz w:val="28"/>
          <w:szCs w:val="28"/>
        </w:rPr>
        <w:t>壹佰陆拾捌万肆仟柒佰伍拾捌</w:t>
      </w:r>
      <w:r>
        <w:rPr>
          <w:rFonts w:hint="eastAsia" w:ascii="仿宋_GB2312" w:hAnsi="宋体" w:eastAsia="仿宋_GB2312"/>
          <w:b/>
          <w:bCs/>
          <w:sz w:val="28"/>
          <w:szCs w:val="28"/>
          <w:lang w:val="en-US" w:eastAsia="zh-CN"/>
        </w:rPr>
        <w:fldChar w:fldCharType="end"/>
      </w:r>
      <w:r>
        <w:rPr>
          <w:rFonts w:hint="eastAsia" w:ascii="仿宋_GB2312" w:hAnsi="宋体" w:eastAsia="仿宋_GB2312"/>
          <w:b/>
          <w:bCs/>
          <w:sz w:val="28"/>
          <w:szCs w:val="28"/>
          <w:lang w:eastAsia="zh-CN"/>
        </w:rPr>
        <w:t>元</w:t>
      </w:r>
      <w:r>
        <w:rPr>
          <w:rFonts w:hint="eastAsia" w:ascii="仿宋_GB2312" w:hAnsi="仿宋" w:eastAsia="仿宋_GB2312"/>
          <w:b/>
          <w:bCs w:val="0"/>
          <w:color w:val="auto"/>
          <w:sz w:val="28"/>
          <w:szCs w:val="28"/>
        </w:rPr>
        <w:t>整</w:t>
      </w:r>
      <w:r>
        <w:rPr>
          <w:rFonts w:hint="eastAsia" w:ascii="仿宋_GB2312" w:hAnsi="仿宋" w:eastAsia="仿宋_GB2312"/>
          <w:b/>
          <w:color w:val="auto"/>
          <w:sz w:val="28"/>
          <w:szCs w:val="28"/>
        </w:rPr>
        <w:t>（</w:t>
      </w:r>
      <w:r>
        <w:rPr>
          <w:rFonts w:hint="eastAsia" w:ascii="仿宋_GB2312" w:hAnsi="仿宋_GB2312" w:eastAsia="仿宋_GB2312" w:cs="仿宋_GB2312"/>
          <w:b/>
          <w:bCs/>
          <w:color w:val="auto"/>
          <w:sz w:val="28"/>
          <w:szCs w:val="28"/>
          <w:highlight w:val="none"/>
        </w:rPr>
        <w:t>¥</w:t>
      </w:r>
      <w:r>
        <w:rPr>
          <w:rFonts w:hint="eastAsia" w:ascii="仿宋_GB2312" w:hAnsi="宋体" w:eastAsia="仿宋_GB2312"/>
          <w:b/>
          <w:bCs/>
          <w:sz w:val="28"/>
          <w:szCs w:val="28"/>
          <w:lang w:val="en-US" w:eastAsia="zh-CN"/>
        </w:rPr>
        <w:t>1684758</w:t>
      </w:r>
      <w:r>
        <w:rPr>
          <w:rFonts w:hint="eastAsia" w:ascii="仿宋_GB2312" w:hAnsi="仿宋" w:eastAsia="仿宋_GB2312"/>
          <w:b/>
          <w:color w:val="auto"/>
          <w:sz w:val="28"/>
          <w:szCs w:val="28"/>
        </w:rPr>
        <w:t>元）</w:t>
      </w:r>
      <w:r>
        <w:rPr>
          <w:rFonts w:hint="eastAsia" w:ascii="仿宋_GB2312" w:hAnsi="仿宋" w:eastAsia="仿宋_GB2312"/>
          <w:bCs/>
          <w:sz w:val="28"/>
          <w:szCs w:val="28"/>
        </w:rPr>
        <w:t>。</w:t>
      </w:r>
      <w:r>
        <w:rPr>
          <w:rFonts w:hint="eastAsia" w:ascii="仿宋_GB2312" w:hAnsi="仿宋" w:eastAsia="仿宋_GB2312"/>
          <w:b w:val="0"/>
          <w:bCs/>
          <w:sz w:val="28"/>
          <w:szCs w:val="28"/>
          <w:lang w:eastAsia="zh-CN"/>
        </w:rPr>
        <w:t>（详见《估价</w:t>
      </w:r>
      <w:r>
        <w:rPr>
          <w:rFonts w:hint="eastAsia" w:ascii="仿宋_GB2312" w:hAnsi="宋体" w:eastAsia="仿宋_GB2312"/>
          <w:b w:val="0"/>
          <w:bCs/>
          <w:sz w:val="28"/>
          <w:szCs w:val="28"/>
          <w:u w:val="none"/>
        </w:rPr>
        <w:t>结果一览表</w:t>
      </w:r>
      <w:r>
        <w:rPr>
          <w:rFonts w:hint="eastAsia" w:ascii="仿宋_GB2312" w:hAnsi="宋体" w:eastAsia="仿宋_GB2312"/>
          <w:b w:val="0"/>
          <w:bCs/>
          <w:sz w:val="28"/>
          <w:szCs w:val="28"/>
          <w:u w:val="none"/>
          <w:lang w:eastAsia="zh-CN"/>
        </w:rPr>
        <w:t>》</w:t>
      </w:r>
      <w:r>
        <w:rPr>
          <w:rFonts w:hint="eastAsia" w:ascii="仿宋_GB2312" w:hAnsi="仿宋" w:eastAsia="仿宋_GB2312"/>
          <w:b w:val="0"/>
          <w:bCs/>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right="34" w:firstLine="3313" w:firstLineChars="1100"/>
        <w:jc w:val="both"/>
        <w:textAlignment w:val="auto"/>
        <w:rPr>
          <w:rFonts w:hint="default" w:ascii="仿宋_GB2312" w:hAnsi="宋体" w:eastAsia="仿宋_GB2312"/>
          <w:b/>
          <w:sz w:val="30"/>
          <w:szCs w:val="30"/>
          <w:u w:val="none"/>
          <w:lang w:val="en-US" w:eastAsia="zh-CN"/>
        </w:rPr>
      </w:pPr>
      <w:r>
        <w:rPr>
          <w:rFonts w:hint="eastAsia" w:ascii="仿宋" w:hAnsi="仿宋" w:eastAsia="仿宋" w:cs="仿宋"/>
          <w:b/>
          <w:sz w:val="30"/>
          <w:szCs w:val="30"/>
          <w:u w:val="dotted"/>
        </w:rPr>
        <w:t>估价</w:t>
      </w:r>
      <w:r>
        <w:rPr>
          <w:rFonts w:hint="eastAsia" w:ascii="仿宋" w:hAnsi="仿宋" w:eastAsia="仿宋" w:cs="仿宋"/>
          <w:b/>
          <w:sz w:val="30"/>
          <w:szCs w:val="30"/>
          <w:u w:val="dotted"/>
          <w:lang w:eastAsia="zh-CN"/>
        </w:rPr>
        <w:t>结果一览表</w:t>
      </w:r>
    </w:p>
    <w:tbl>
      <w:tblPr>
        <w:tblStyle w:val="12"/>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91"/>
        <w:gridCol w:w="1674"/>
        <w:gridCol w:w="1279"/>
        <w:gridCol w:w="501"/>
        <w:gridCol w:w="649"/>
        <w:gridCol w:w="569"/>
        <w:gridCol w:w="1143"/>
        <w:gridCol w:w="1184"/>
        <w:gridCol w:w="9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480" w:lineRule="exact"/>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房屋所有权人</w:t>
            </w:r>
          </w:p>
        </w:tc>
        <w:tc>
          <w:tcPr>
            <w:tcW w:w="1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480" w:lineRule="exact"/>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房屋坐落</w:t>
            </w:r>
          </w:p>
        </w:tc>
        <w:tc>
          <w:tcPr>
            <w:tcW w:w="12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480" w:lineRule="exact"/>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不动产权证书号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480" w:lineRule="exact"/>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用途</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480" w:lineRule="exact"/>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建筑结构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480" w:lineRule="exact"/>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楼层</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480" w:lineRule="exact"/>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建筑面积﹙㎡﹚</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480" w:lineRule="exact"/>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评估单价(元/㎡)</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480" w:lineRule="exact"/>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评估总价(元)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48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魏敏</w:t>
            </w:r>
          </w:p>
        </w:tc>
        <w:tc>
          <w:tcPr>
            <w:tcW w:w="1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48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抚州市玉茗大道丰源宜合2#1-1室</w:t>
            </w:r>
          </w:p>
        </w:tc>
        <w:tc>
          <w:tcPr>
            <w:tcW w:w="12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48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青-0045486号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48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商业</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48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框剪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48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w:t>
            </w: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480" w:lineRule="exact"/>
              <w:jc w:val="center"/>
              <w:textAlignment w:val="center"/>
              <w:rPr>
                <w:rFonts w:hint="eastAsia" w:ascii="仿宋" w:hAnsi="仿宋" w:eastAsia="仿宋" w:cs="仿宋"/>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99.15</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480" w:lineRule="exact"/>
              <w:jc w:val="center"/>
              <w:textAlignment w:val="center"/>
              <w:rPr>
                <w:rFonts w:hint="eastAsia" w:ascii="仿宋" w:hAnsi="仿宋" w:eastAsia="仿宋" w:cs="仿宋"/>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8669</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480" w:lineRule="exact"/>
              <w:jc w:val="center"/>
              <w:textAlignment w:val="center"/>
              <w:rPr>
                <w:rFonts w:hint="eastAsia" w:ascii="仿宋" w:hAnsi="仿宋" w:eastAsia="仿宋" w:cs="仿宋"/>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859531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48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魏敏</w:t>
            </w:r>
          </w:p>
        </w:tc>
        <w:tc>
          <w:tcPr>
            <w:tcW w:w="1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48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抚州市玉茗大道丰源宜合2#1-2室</w:t>
            </w:r>
          </w:p>
        </w:tc>
        <w:tc>
          <w:tcPr>
            <w:tcW w:w="12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48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青-0045605号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48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商业</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48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框剪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48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w:t>
            </w: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480" w:lineRule="exact"/>
              <w:jc w:val="center"/>
              <w:textAlignment w:val="center"/>
              <w:rPr>
                <w:rFonts w:hint="eastAsia" w:ascii="仿宋" w:hAnsi="仿宋" w:eastAsia="仿宋" w:cs="仿宋"/>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85.64</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480" w:lineRule="exact"/>
              <w:jc w:val="center"/>
              <w:textAlignment w:val="center"/>
              <w:rPr>
                <w:rFonts w:hint="eastAsia" w:ascii="仿宋" w:hAnsi="仿宋" w:eastAsia="仿宋" w:cs="仿宋"/>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9636</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480" w:lineRule="exact"/>
              <w:jc w:val="center"/>
              <w:textAlignment w:val="center"/>
              <w:rPr>
                <w:rFonts w:hint="eastAsia" w:ascii="仿宋" w:hAnsi="仿宋" w:eastAsia="仿宋" w:cs="仿宋"/>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825227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56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48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合计</w:t>
            </w: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480" w:lineRule="exact"/>
              <w:jc w:val="center"/>
              <w:textAlignment w:val="center"/>
              <w:rPr>
                <w:rFonts w:hint="eastAsia" w:ascii="仿宋" w:hAnsi="仿宋" w:eastAsia="仿宋" w:cs="仿宋"/>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184.79</w:t>
            </w:r>
          </w:p>
        </w:tc>
        <w:tc>
          <w:tcPr>
            <w:tcW w:w="11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480" w:lineRule="exact"/>
              <w:jc w:val="center"/>
              <w:rPr>
                <w:rFonts w:hint="eastAsia" w:ascii="仿宋" w:hAnsi="仿宋" w:eastAsia="仿宋" w:cs="仿宋"/>
                <w:i w:val="0"/>
                <w:iCs w:val="0"/>
                <w:color w:val="000000"/>
                <w:sz w:val="21"/>
                <w:szCs w:val="21"/>
                <w:u w:val="none"/>
              </w:rPr>
            </w:pP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480" w:lineRule="exact"/>
              <w:jc w:val="center"/>
              <w:textAlignment w:val="center"/>
              <w:rPr>
                <w:rFonts w:hint="eastAsia" w:ascii="仿宋" w:hAnsi="仿宋" w:eastAsia="仿宋" w:cs="仿宋"/>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1684758</w:t>
            </w:r>
          </w:p>
        </w:tc>
      </w:tr>
    </w:tbl>
    <w:p>
      <w:pPr>
        <w:keepNext w:val="0"/>
        <w:keepLines w:val="0"/>
        <w:pageBreakBefore w:val="0"/>
        <w:widowControl w:val="0"/>
        <w:kinsoku/>
        <w:wordWrap/>
        <w:overflowPunct/>
        <w:topLinePunct w:val="0"/>
        <w:autoSpaceDE/>
        <w:autoSpaceDN/>
        <w:bidi w:val="0"/>
        <w:adjustRightInd w:val="0"/>
        <w:snapToGrid w:val="0"/>
        <w:spacing w:line="480" w:lineRule="exact"/>
        <w:ind w:firstLine="555"/>
        <w:jc w:val="left"/>
        <w:textAlignment w:val="auto"/>
        <w:rPr>
          <w:rFonts w:hint="eastAsia" w:ascii="仿宋_GB2312" w:hAnsi="宋体" w:eastAsia="仿宋_GB2312"/>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480" w:lineRule="exact"/>
        <w:ind w:firstLine="555"/>
        <w:jc w:val="left"/>
        <w:textAlignment w:val="auto"/>
        <w:rPr>
          <w:rFonts w:hint="eastAsia" w:ascii="仿宋_GB2312" w:hAnsi="宋体" w:eastAsia="仿宋_GB2312"/>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480" w:lineRule="exact"/>
        <w:ind w:firstLine="555"/>
        <w:jc w:val="left"/>
        <w:textAlignment w:val="auto"/>
        <w:rPr>
          <w:rFonts w:hint="eastAsia" w:ascii="仿宋_GB2312" w:hAnsi="宋体" w:eastAsia="仿宋_GB2312"/>
          <w:sz w:val="28"/>
          <w:szCs w:val="28"/>
        </w:rPr>
      </w:pPr>
      <w:r>
        <w:rPr>
          <w:rFonts w:hint="eastAsia" w:ascii="仿宋_GB2312" w:hAnsi="宋体" w:eastAsia="仿宋_GB2312"/>
          <w:sz w:val="28"/>
          <w:szCs w:val="28"/>
          <w:lang w:val="en-US" w:eastAsia="zh-CN"/>
        </w:rPr>
        <w:t>江西丰安物业管理有限责任公司丰源宜合管理处提供账单至2022年10月31日估价对象欠物业费人民币26057元（见附件）；</w:t>
      </w:r>
      <w:r>
        <w:rPr>
          <w:rFonts w:hint="eastAsia" w:ascii="仿宋_GB2312" w:hAnsi="宋体" w:eastAsia="仿宋_GB2312"/>
          <w:sz w:val="28"/>
          <w:szCs w:val="28"/>
          <w:lang w:eastAsia="zh-CN"/>
        </w:rPr>
        <w:t>估价</w:t>
      </w:r>
      <w:r>
        <w:rPr>
          <w:rFonts w:hint="eastAsia" w:ascii="仿宋_GB2312" w:hAnsi="宋体" w:eastAsia="仿宋_GB2312"/>
          <w:sz w:val="28"/>
          <w:szCs w:val="28"/>
        </w:rPr>
        <w:t>的有关情况和相关专业意见，请见附后的</w:t>
      </w:r>
      <w:r>
        <w:rPr>
          <w:rFonts w:hint="eastAsia" w:ascii="仿宋_GB2312" w:hAnsi="宋体" w:eastAsia="仿宋_GB2312"/>
          <w:sz w:val="28"/>
          <w:szCs w:val="28"/>
          <w:lang w:eastAsia="zh-CN"/>
        </w:rPr>
        <w:t>估价</w:t>
      </w:r>
      <w:r>
        <w:rPr>
          <w:rFonts w:hint="eastAsia" w:ascii="仿宋_GB2312" w:hAnsi="宋体" w:eastAsia="仿宋_GB2312"/>
          <w:sz w:val="28"/>
          <w:szCs w:val="28"/>
        </w:rPr>
        <w:t>报告。本</w:t>
      </w:r>
      <w:r>
        <w:rPr>
          <w:rFonts w:hint="eastAsia" w:ascii="仿宋_GB2312" w:hAnsi="宋体" w:eastAsia="仿宋_GB2312"/>
          <w:sz w:val="28"/>
          <w:szCs w:val="28"/>
          <w:lang w:eastAsia="zh-CN"/>
        </w:rPr>
        <w:t>估价</w:t>
      </w:r>
      <w:r>
        <w:rPr>
          <w:rFonts w:hint="eastAsia" w:ascii="仿宋_GB2312" w:hAnsi="宋体" w:eastAsia="仿宋_GB2312"/>
          <w:sz w:val="28"/>
          <w:szCs w:val="28"/>
        </w:rPr>
        <w:t>报告使用期限至</w:t>
      </w:r>
      <w:r>
        <w:rPr>
          <w:rFonts w:hint="eastAsia" w:ascii="仿宋_GB2312" w:hAnsi="宋体" w:eastAsia="仿宋_GB2312"/>
          <w:sz w:val="28"/>
          <w:szCs w:val="28"/>
          <w:lang w:eastAsia="zh-CN"/>
        </w:rPr>
        <w:t>202</w:t>
      </w:r>
      <w:r>
        <w:rPr>
          <w:rFonts w:hint="eastAsia" w:ascii="仿宋_GB2312" w:hAnsi="宋体" w:eastAsia="仿宋_GB2312"/>
          <w:sz w:val="28"/>
          <w:szCs w:val="28"/>
          <w:lang w:val="en-US" w:eastAsia="zh-CN"/>
        </w:rPr>
        <w:t>3</w:t>
      </w:r>
      <w:r>
        <w:rPr>
          <w:rFonts w:hint="eastAsia" w:ascii="仿宋_GB2312" w:hAnsi="宋体" w:eastAsia="仿宋_GB2312"/>
          <w:sz w:val="28"/>
          <w:szCs w:val="28"/>
          <w:lang w:eastAsia="zh-CN"/>
        </w:rPr>
        <w:t>年</w:t>
      </w:r>
      <w:r>
        <w:rPr>
          <w:rFonts w:hint="eastAsia" w:ascii="仿宋_GB2312" w:hAnsi="宋体" w:eastAsia="仿宋_GB2312"/>
          <w:sz w:val="28"/>
          <w:szCs w:val="28"/>
          <w:lang w:val="en-US" w:eastAsia="zh-CN"/>
        </w:rPr>
        <w:t>10</w:t>
      </w:r>
      <w:r>
        <w:rPr>
          <w:rFonts w:hint="eastAsia" w:ascii="仿宋_GB2312" w:hAnsi="宋体" w:eastAsia="仿宋_GB2312"/>
          <w:sz w:val="28"/>
          <w:szCs w:val="28"/>
          <w:lang w:eastAsia="zh-CN"/>
        </w:rPr>
        <w:t>月</w:t>
      </w:r>
      <w:r>
        <w:rPr>
          <w:rFonts w:hint="eastAsia" w:ascii="仿宋_GB2312" w:hAnsi="宋体" w:eastAsia="仿宋_GB2312"/>
          <w:sz w:val="28"/>
          <w:szCs w:val="28"/>
          <w:lang w:val="en-US" w:eastAsia="zh-CN"/>
        </w:rPr>
        <w:t>30</w:t>
      </w:r>
      <w:r>
        <w:rPr>
          <w:rFonts w:hint="eastAsia" w:ascii="仿宋_GB2312" w:hAnsi="宋体" w:eastAsia="仿宋_GB2312"/>
          <w:sz w:val="28"/>
          <w:szCs w:val="28"/>
          <w:lang w:eastAsia="zh-CN"/>
        </w:rPr>
        <w:t>日</w:t>
      </w:r>
      <w:r>
        <w:rPr>
          <w:rFonts w:hint="eastAsia" w:ascii="仿宋_GB2312" w:hAnsi="宋体" w:eastAsia="仿宋_GB2312"/>
          <w:sz w:val="28"/>
          <w:szCs w:val="28"/>
        </w:rPr>
        <w:t>止。另请关注本</w:t>
      </w:r>
      <w:r>
        <w:rPr>
          <w:rFonts w:hint="eastAsia" w:ascii="仿宋_GB2312" w:hAnsi="宋体" w:eastAsia="仿宋_GB2312"/>
          <w:sz w:val="28"/>
          <w:szCs w:val="28"/>
          <w:lang w:eastAsia="zh-CN"/>
        </w:rPr>
        <w:t>估价</w:t>
      </w:r>
      <w:r>
        <w:rPr>
          <w:rFonts w:hint="eastAsia" w:ascii="仿宋_GB2312" w:hAnsi="宋体" w:eastAsia="仿宋_GB2312"/>
          <w:sz w:val="28"/>
          <w:szCs w:val="28"/>
        </w:rPr>
        <w:t>报告中的价值内涵和</w:t>
      </w:r>
      <w:r>
        <w:rPr>
          <w:rFonts w:hint="eastAsia" w:ascii="仿宋_GB2312" w:hAnsi="宋体" w:eastAsia="仿宋_GB2312"/>
          <w:sz w:val="28"/>
          <w:szCs w:val="28"/>
          <w:lang w:eastAsia="zh-CN"/>
        </w:rPr>
        <w:t>估价</w:t>
      </w:r>
      <w:r>
        <w:rPr>
          <w:rFonts w:hint="eastAsia" w:ascii="仿宋_GB2312" w:hAnsi="宋体" w:eastAsia="仿宋_GB2312"/>
          <w:sz w:val="28"/>
          <w:szCs w:val="28"/>
        </w:rPr>
        <w:t>的假设及限制条件。</w:t>
      </w:r>
    </w:p>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eastAsia" w:ascii="仿宋_GB2312" w:hAnsi="宋体" w:eastAsia="仿宋_GB2312"/>
          <w:sz w:val="28"/>
          <w:szCs w:val="28"/>
        </w:rPr>
      </w:pPr>
      <w:r>
        <w:rPr>
          <w:rFonts w:hint="eastAsia" w:ascii="仿宋_GB2312" w:hAnsi="宋体" w:eastAsia="仿宋_GB2312"/>
          <w:sz w:val="28"/>
          <w:szCs w:val="28"/>
        </w:rPr>
        <w:t xml:space="preserve">    此致！ </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left"/>
        <w:textAlignment w:val="auto"/>
        <w:rPr>
          <w:rFonts w:hint="eastAsia" w:ascii="仿宋_GB2312" w:hAnsi="宋体" w:eastAsia="仿宋_GB2312"/>
          <w:sz w:val="28"/>
          <w:szCs w:val="28"/>
        </w:rPr>
      </w:pPr>
      <w:r>
        <w:rPr>
          <w:rFonts w:hint="eastAsia" w:ascii="仿宋_GB2312" w:hAnsi="宋体" w:eastAsia="仿宋_GB2312"/>
          <w:sz w:val="28"/>
          <w:szCs w:val="28"/>
          <w:lang w:eastAsia="zh-CN"/>
        </w:rPr>
        <w:t>估价</w:t>
      </w:r>
      <w:r>
        <w:rPr>
          <w:rFonts w:hint="eastAsia" w:ascii="仿宋_GB2312" w:hAnsi="宋体" w:eastAsia="仿宋_GB2312"/>
          <w:sz w:val="28"/>
          <w:szCs w:val="28"/>
        </w:rPr>
        <w:t>机构法定代表人签章：</w:t>
      </w:r>
    </w:p>
    <w:p>
      <w:pPr>
        <w:keepNext w:val="0"/>
        <w:keepLines w:val="0"/>
        <w:pageBreakBefore w:val="0"/>
        <w:widowControl w:val="0"/>
        <w:kinsoku/>
        <w:wordWrap/>
        <w:overflowPunct/>
        <w:topLinePunct w:val="0"/>
        <w:autoSpaceDE/>
        <w:autoSpaceDN/>
        <w:bidi w:val="0"/>
        <w:adjustRightInd w:val="0"/>
        <w:snapToGrid w:val="0"/>
        <w:spacing w:line="480" w:lineRule="exact"/>
        <w:jc w:val="right"/>
        <w:textAlignment w:val="auto"/>
        <w:rPr>
          <w:rFonts w:hint="eastAsia" w:ascii="仿宋_GB2312" w:hAnsi="宋体" w:eastAsia="仿宋_GB2312"/>
          <w:sz w:val="28"/>
          <w:szCs w:val="28"/>
          <w:lang w:eastAsia="zh-CN"/>
        </w:rPr>
      </w:pPr>
      <w:r>
        <w:rPr>
          <w:rFonts w:hint="eastAsia" w:ascii="仿宋_GB2312" w:hAnsi="宋体" w:eastAsia="仿宋_GB2312"/>
          <w:sz w:val="28"/>
          <w:szCs w:val="28"/>
        </w:rPr>
        <w:t xml:space="preserve">                       </w:t>
      </w:r>
      <w:r>
        <w:rPr>
          <w:rFonts w:hint="eastAsia" w:ascii="仿宋_GB2312" w:hAnsi="宋体" w:eastAsia="仿宋_GB2312"/>
          <w:sz w:val="28"/>
          <w:szCs w:val="28"/>
          <w:lang w:eastAsia="zh-CN"/>
        </w:rPr>
        <w:t>江西万恒房地产资产评估咨询有限公司</w:t>
      </w:r>
    </w:p>
    <w:p>
      <w:pPr>
        <w:keepNext w:val="0"/>
        <w:keepLines w:val="0"/>
        <w:pageBreakBefore w:val="0"/>
        <w:widowControl w:val="0"/>
        <w:tabs>
          <w:tab w:val="left" w:pos="315"/>
        </w:tabs>
        <w:kinsoku/>
        <w:wordWrap/>
        <w:overflowPunct/>
        <w:topLinePunct w:val="0"/>
        <w:autoSpaceDE/>
        <w:autoSpaceDN/>
        <w:bidi w:val="0"/>
        <w:adjustRightInd w:val="0"/>
        <w:snapToGrid w:val="0"/>
        <w:spacing w:line="480" w:lineRule="exact"/>
        <w:ind w:firstLine="280" w:firstLineChars="100"/>
        <w:jc w:val="center"/>
        <w:textAlignment w:val="auto"/>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 xml:space="preserve">                    </w:t>
      </w:r>
    </w:p>
    <w:p>
      <w:pPr>
        <w:keepNext w:val="0"/>
        <w:keepLines w:val="0"/>
        <w:pageBreakBefore w:val="0"/>
        <w:widowControl w:val="0"/>
        <w:tabs>
          <w:tab w:val="left" w:pos="315"/>
        </w:tabs>
        <w:kinsoku/>
        <w:wordWrap/>
        <w:overflowPunct/>
        <w:topLinePunct w:val="0"/>
        <w:autoSpaceDE/>
        <w:autoSpaceDN/>
        <w:bidi w:val="0"/>
        <w:adjustRightInd w:val="0"/>
        <w:snapToGrid w:val="0"/>
        <w:spacing w:line="480" w:lineRule="exact"/>
        <w:ind w:firstLine="280" w:firstLineChars="100"/>
        <w:jc w:val="center"/>
        <w:textAlignment w:val="auto"/>
        <w:rPr>
          <w:rFonts w:hint="eastAsia" w:ascii="仿宋_GB2312" w:hAnsi="宋体" w:eastAsia="仿宋_GB2312"/>
          <w:sz w:val="28"/>
          <w:szCs w:val="28"/>
          <w:lang w:eastAsia="zh-CN"/>
        </w:rPr>
      </w:pP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lang w:eastAsia="zh-CN"/>
        </w:rPr>
        <w:t>202</w:t>
      </w:r>
      <w:r>
        <w:rPr>
          <w:rFonts w:hint="eastAsia" w:ascii="仿宋_GB2312" w:hAnsi="宋体" w:eastAsia="仿宋_GB2312"/>
          <w:sz w:val="28"/>
          <w:szCs w:val="28"/>
          <w:lang w:val="en-US" w:eastAsia="zh-CN"/>
        </w:rPr>
        <w:t>2</w:t>
      </w:r>
      <w:r>
        <w:rPr>
          <w:rFonts w:hint="eastAsia" w:ascii="仿宋_GB2312" w:hAnsi="宋体" w:eastAsia="仿宋_GB2312"/>
          <w:sz w:val="28"/>
          <w:szCs w:val="28"/>
          <w:lang w:eastAsia="zh-CN"/>
        </w:rPr>
        <w:t>年</w:t>
      </w:r>
      <w:r>
        <w:rPr>
          <w:rFonts w:hint="eastAsia" w:ascii="仿宋_GB2312" w:hAnsi="宋体" w:eastAsia="仿宋_GB2312"/>
          <w:sz w:val="28"/>
          <w:szCs w:val="28"/>
          <w:lang w:val="en-US" w:eastAsia="zh-CN"/>
        </w:rPr>
        <w:t>10</w:t>
      </w:r>
      <w:r>
        <w:rPr>
          <w:rFonts w:hint="eastAsia" w:ascii="仿宋_GB2312" w:hAnsi="宋体" w:eastAsia="仿宋_GB2312"/>
          <w:sz w:val="28"/>
          <w:szCs w:val="28"/>
          <w:lang w:eastAsia="zh-CN"/>
        </w:rPr>
        <w:t>月</w:t>
      </w:r>
      <w:r>
        <w:rPr>
          <w:rFonts w:hint="eastAsia" w:ascii="仿宋_GB2312" w:hAnsi="宋体" w:eastAsia="仿宋_GB2312"/>
          <w:sz w:val="28"/>
          <w:szCs w:val="28"/>
          <w:lang w:val="en-US" w:eastAsia="zh-CN"/>
        </w:rPr>
        <w:t>31</w:t>
      </w:r>
      <w:r>
        <w:rPr>
          <w:rFonts w:hint="eastAsia" w:ascii="仿宋_GB2312" w:hAnsi="宋体" w:eastAsia="仿宋_GB2312"/>
          <w:sz w:val="28"/>
          <w:szCs w:val="28"/>
          <w:lang w:eastAsia="zh-CN"/>
        </w:rPr>
        <w:t>日</w:t>
      </w:r>
    </w:p>
    <w:p>
      <w:pPr>
        <w:keepNext w:val="0"/>
        <w:keepLines w:val="0"/>
        <w:pageBreakBefore w:val="0"/>
        <w:widowControl w:val="0"/>
        <w:kinsoku/>
        <w:wordWrap/>
        <w:overflowPunct/>
        <w:topLinePunct w:val="0"/>
        <w:autoSpaceDE/>
        <w:autoSpaceDN/>
        <w:bidi w:val="0"/>
        <w:adjustRightInd/>
        <w:snapToGrid/>
        <w:spacing w:line="480" w:lineRule="exact"/>
        <w:ind w:right="34" w:firstLine="562" w:firstLineChars="200"/>
        <w:jc w:val="center"/>
        <w:textAlignment w:val="auto"/>
        <w:rPr>
          <w:rFonts w:hint="eastAsia" w:ascii="仿宋_GB2312" w:hAnsi="宋体" w:eastAsia="仿宋_GB2312"/>
          <w:b/>
          <w:sz w:val="28"/>
          <w:szCs w:val="28"/>
          <w:u w:val="none"/>
          <w:lang w:eastAsia="zh-CN"/>
        </w:rPr>
        <w:sectPr>
          <w:footerReference r:id="rId6" w:type="first"/>
          <w:footerReference r:id="rId5" w:type="default"/>
          <w:pgSz w:w="11906" w:h="16838"/>
          <w:pgMar w:top="1714" w:right="1531" w:bottom="1091" w:left="1797" w:header="964" w:footer="936" w:gutter="0"/>
          <w:pgBorders>
            <w:top w:val="none" w:sz="0" w:space="0"/>
            <w:left w:val="none" w:sz="0" w:space="0"/>
            <w:bottom w:val="none" w:sz="0" w:space="0"/>
            <w:right w:val="none" w:sz="0" w:space="0"/>
          </w:pgBorders>
          <w:pgNumType w:fmt="decimal" w:start="2"/>
          <w:cols w:space="720"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val="0"/>
        <w:snapToGrid w:val="0"/>
        <w:spacing w:after="0" w:afterLines="-2147483648" w:line="400" w:lineRule="exact"/>
        <w:ind w:firstLine="643" w:firstLineChars="200"/>
        <w:jc w:val="center"/>
        <w:textAlignment w:val="auto"/>
        <w:rPr>
          <w:rFonts w:hint="eastAsia" w:ascii="仿宋_GB2312" w:hAnsi="宋体" w:eastAsia="仿宋_GB2312"/>
          <w:b/>
          <w:color w:val="000000"/>
          <w:sz w:val="44"/>
          <w:szCs w:val="44"/>
        </w:rPr>
      </w:pPr>
      <w:r>
        <w:rPr>
          <w:rFonts w:hint="eastAsia" w:ascii="仿宋_GB2312" w:hAnsi="宋体" w:eastAsia="仿宋_GB2312"/>
          <w:b/>
          <w:color w:val="000000"/>
          <w:sz w:val="32"/>
          <w:szCs w:val="32"/>
        </w:rPr>
        <w:t>目       录</w:t>
      </w:r>
    </w:p>
    <w:p>
      <w:pPr>
        <w:pStyle w:val="9"/>
        <w:tabs>
          <w:tab w:val="right" w:leader="dot" w:pos="8578"/>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TOC \o "1-2" \h \z \u </w:instrText>
      </w:r>
      <w:r>
        <w:rPr>
          <w:rFonts w:hint="eastAsia" w:ascii="仿宋" w:hAnsi="仿宋" w:eastAsia="仿宋" w:cs="仿宋"/>
          <w:sz w:val="24"/>
          <w:szCs w:val="24"/>
        </w:rPr>
        <w:fldChar w:fldCharType="separate"/>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_Toc30289 </w:instrText>
      </w:r>
      <w:r>
        <w:rPr>
          <w:rFonts w:hint="eastAsia" w:ascii="仿宋" w:hAnsi="仿宋" w:eastAsia="仿宋" w:cs="仿宋"/>
          <w:sz w:val="24"/>
          <w:szCs w:val="24"/>
        </w:rPr>
        <w:fldChar w:fldCharType="separate"/>
      </w:r>
      <w:r>
        <w:rPr>
          <w:rFonts w:hint="eastAsia" w:ascii="仿宋" w:hAnsi="仿宋" w:eastAsia="仿宋" w:cs="仿宋"/>
          <w:sz w:val="24"/>
          <w:szCs w:val="24"/>
        </w:rPr>
        <w:t>一、声明</w:t>
      </w:r>
      <w:r>
        <w:rPr>
          <w:rFonts w:hint="eastAsia" w:ascii="仿宋" w:hAnsi="仿宋" w:eastAsia="仿宋" w:cs="仿宋"/>
          <w:sz w:val="24"/>
          <w:szCs w:val="24"/>
        </w:rPr>
        <w:tab/>
      </w:r>
      <w:r>
        <w:rPr>
          <w:rFonts w:hint="eastAsia" w:ascii="仿宋" w:hAnsi="仿宋" w:eastAsia="仿宋" w:cs="仿宋"/>
          <w:sz w:val="24"/>
          <w:szCs w:val="24"/>
          <w:lang w:val="en-US" w:eastAsia="zh-CN"/>
        </w:rPr>
        <w:t>4</w:t>
      </w:r>
      <w:r>
        <w:rPr>
          <w:rFonts w:hint="eastAsia" w:ascii="仿宋" w:hAnsi="仿宋" w:eastAsia="仿宋" w:cs="仿宋"/>
          <w:sz w:val="24"/>
          <w:szCs w:val="24"/>
        </w:rPr>
        <w:fldChar w:fldCharType="end"/>
      </w:r>
    </w:p>
    <w:p>
      <w:pPr>
        <w:pStyle w:val="9"/>
        <w:tabs>
          <w:tab w:val="right" w:leader="dot" w:pos="8578"/>
        </w:tabs>
        <w:rPr>
          <w:rFonts w:hint="eastAsia" w:ascii="仿宋" w:hAnsi="仿宋" w:eastAsia="仿宋" w:cs="仿宋"/>
          <w:sz w:val="24"/>
          <w:szCs w:val="24"/>
          <w:lang w:val="en-US" w:eastAsia="zh-CN"/>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_Toc1309 </w:instrText>
      </w:r>
      <w:r>
        <w:rPr>
          <w:rFonts w:hint="eastAsia" w:ascii="仿宋" w:hAnsi="仿宋" w:eastAsia="仿宋" w:cs="仿宋"/>
          <w:sz w:val="24"/>
          <w:szCs w:val="24"/>
        </w:rPr>
        <w:fldChar w:fldCharType="separate"/>
      </w:r>
      <w:r>
        <w:rPr>
          <w:rFonts w:hint="eastAsia" w:ascii="仿宋" w:hAnsi="仿宋" w:eastAsia="仿宋" w:cs="仿宋"/>
          <w:sz w:val="24"/>
          <w:szCs w:val="24"/>
        </w:rPr>
        <w:t>二、</w:t>
      </w:r>
      <w:r>
        <w:rPr>
          <w:rFonts w:hint="eastAsia" w:ascii="仿宋" w:hAnsi="仿宋" w:eastAsia="仿宋" w:cs="仿宋"/>
          <w:sz w:val="24"/>
          <w:szCs w:val="24"/>
          <w:lang w:eastAsia="zh-CN"/>
        </w:rPr>
        <w:t>估价</w:t>
      </w:r>
      <w:r>
        <w:rPr>
          <w:rFonts w:hint="eastAsia" w:ascii="仿宋" w:hAnsi="仿宋" w:eastAsia="仿宋" w:cs="仿宋"/>
          <w:sz w:val="24"/>
          <w:szCs w:val="24"/>
        </w:rPr>
        <w:t>的假设和限制条件</w:t>
      </w:r>
      <w:r>
        <w:rPr>
          <w:rFonts w:hint="eastAsia" w:ascii="仿宋" w:hAnsi="仿宋" w:eastAsia="仿宋" w:cs="仿宋"/>
          <w:sz w:val="24"/>
          <w:szCs w:val="24"/>
        </w:rPr>
        <w:tab/>
      </w:r>
      <w:r>
        <w:rPr>
          <w:rFonts w:hint="eastAsia" w:ascii="仿宋" w:hAnsi="仿宋" w:eastAsia="仿宋" w:cs="仿宋"/>
          <w:sz w:val="24"/>
          <w:szCs w:val="24"/>
          <w:lang w:val="en-US" w:eastAsia="zh-CN"/>
        </w:rPr>
        <w:t>5</w:t>
      </w:r>
      <w:r>
        <w:rPr>
          <w:rFonts w:hint="eastAsia" w:ascii="仿宋" w:hAnsi="仿宋" w:eastAsia="仿宋" w:cs="仿宋"/>
          <w:sz w:val="24"/>
          <w:szCs w:val="24"/>
        </w:rPr>
        <w:fldChar w:fldCharType="end"/>
      </w:r>
    </w:p>
    <w:p>
      <w:pPr>
        <w:pStyle w:val="9"/>
        <w:tabs>
          <w:tab w:val="right" w:leader="dot" w:pos="8578"/>
        </w:tabs>
        <w:rPr>
          <w:rFonts w:hint="eastAsia" w:ascii="仿宋" w:hAnsi="仿宋" w:eastAsia="仿宋" w:cs="仿宋"/>
          <w:sz w:val="24"/>
          <w:szCs w:val="24"/>
          <w:lang w:val="en-US" w:eastAsia="zh-CN"/>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_Toc561 </w:instrText>
      </w:r>
      <w:r>
        <w:rPr>
          <w:rFonts w:hint="eastAsia" w:ascii="仿宋" w:hAnsi="仿宋" w:eastAsia="仿宋" w:cs="仿宋"/>
          <w:sz w:val="24"/>
          <w:szCs w:val="24"/>
        </w:rPr>
        <w:fldChar w:fldCharType="separate"/>
      </w:r>
      <w:r>
        <w:rPr>
          <w:rFonts w:hint="eastAsia" w:ascii="仿宋" w:hAnsi="仿宋" w:eastAsia="仿宋" w:cs="仿宋"/>
          <w:bCs w:val="0"/>
          <w:sz w:val="24"/>
          <w:szCs w:val="24"/>
        </w:rPr>
        <w:t>三、</w:t>
      </w:r>
      <w:r>
        <w:rPr>
          <w:rFonts w:hint="eastAsia" w:ascii="仿宋" w:hAnsi="仿宋" w:eastAsia="仿宋" w:cs="仿宋"/>
          <w:bCs w:val="0"/>
          <w:sz w:val="24"/>
          <w:szCs w:val="24"/>
          <w:lang w:eastAsia="zh-CN"/>
        </w:rPr>
        <w:t>估价</w:t>
      </w:r>
      <w:r>
        <w:rPr>
          <w:rFonts w:hint="eastAsia" w:ascii="仿宋" w:hAnsi="仿宋" w:eastAsia="仿宋" w:cs="仿宋"/>
          <w:bCs w:val="0"/>
          <w:sz w:val="24"/>
          <w:szCs w:val="24"/>
        </w:rPr>
        <w:t>结果报告</w:t>
      </w:r>
      <w:r>
        <w:rPr>
          <w:rFonts w:hint="eastAsia" w:ascii="仿宋" w:hAnsi="仿宋" w:eastAsia="仿宋" w:cs="仿宋"/>
          <w:sz w:val="24"/>
          <w:szCs w:val="24"/>
        </w:rPr>
        <w:tab/>
      </w:r>
      <w:r>
        <w:rPr>
          <w:rFonts w:hint="eastAsia" w:ascii="仿宋" w:hAnsi="仿宋" w:eastAsia="仿宋" w:cs="仿宋"/>
          <w:sz w:val="24"/>
          <w:szCs w:val="24"/>
          <w:lang w:val="en-US" w:eastAsia="zh-CN"/>
        </w:rPr>
        <w:t>8</w:t>
      </w:r>
      <w:r>
        <w:rPr>
          <w:rFonts w:hint="eastAsia" w:ascii="仿宋" w:hAnsi="仿宋" w:eastAsia="仿宋" w:cs="仿宋"/>
          <w:sz w:val="24"/>
          <w:szCs w:val="24"/>
        </w:rPr>
        <w:fldChar w:fldCharType="end"/>
      </w:r>
    </w:p>
    <w:p>
      <w:pPr>
        <w:pStyle w:val="10"/>
        <w:tabs>
          <w:tab w:val="right" w:leader="dot" w:pos="8578"/>
        </w:tabs>
        <w:rPr>
          <w:rFonts w:hint="eastAsia" w:ascii="仿宋" w:hAnsi="仿宋" w:eastAsia="仿宋" w:cs="仿宋"/>
          <w:sz w:val="24"/>
          <w:szCs w:val="24"/>
          <w:lang w:val="en-US" w:eastAsia="zh-CN"/>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_Toc3578 </w:instrText>
      </w:r>
      <w:r>
        <w:rPr>
          <w:rFonts w:hint="eastAsia" w:ascii="仿宋" w:hAnsi="仿宋" w:eastAsia="仿宋" w:cs="仿宋"/>
          <w:sz w:val="24"/>
          <w:szCs w:val="24"/>
        </w:rPr>
        <w:fldChar w:fldCharType="separate"/>
      </w:r>
      <w:r>
        <w:rPr>
          <w:rFonts w:hint="eastAsia" w:ascii="仿宋" w:hAnsi="仿宋" w:eastAsia="仿宋" w:cs="仿宋"/>
          <w:sz w:val="24"/>
          <w:szCs w:val="24"/>
        </w:rPr>
        <w:t>（一）</w:t>
      </w:r>
      <w:r>
        <w:rPr>
          <w:rFonts w:hint="eastAsia" w:ascii="仿宋" w:hAnsi="仿宋" w:eastAsia="仿宋" w:cs="仿宋"/>
          <w:sz w:val="24"/>
          <w:szCs w:val="24"/>
          <w:lang w:eastAsia="zh-CN"/>
        </w:rPr>
        <w:t>估价委托人</w:t>
      </w:r>
      <w:r>
        <w:rPr>
          <w:rFonts w:hint="eastAsia" w:ascii="仿宋" w:hAnsi="仿宋" w:eastAsia="仿宋" w:cs="仿宋"/>
          <w:sz w:val="24"/>
          <w:szCs w:val="24"/>
        </w:rPr>
        <w:tab/>
      </w:r>
      <w:r>
        <w:rPr>
          <w:rFonts w:hint="eastAsia" w:ascii="仿宋" w:hAnsi="仿宋" w:eastAsia="仿宋" w:cs="仿宋"/>
          <w:sz w:val="24"/>
          <w:szCs w:val="24"/>
        </w:rPr>
        <w:fldChar w:fldCharType="end"/>
      </w:r>
      <w:r>
        <w:rPr>
          <w:rFonts w:hint="eastAsia" w:ascii="仿宋" w:hAnsi="仿宋" w:eastAsia="仿宋" w:cs="仿宋"/>
          <w:sz w:val="24"/>
          <w:szCs w:val="24"/>
          <w:lang w:val="en-US" w:eastAsia="zh-CN"/>
        </w:rPr>
        <w:t>8</w:t>
      </w:r>
    </w:p>
    <w:p>
      <w:pPr>
        <w:pStyle w:val="10"/>
        <w:tabs>
          <w:tab w:val="right" w:leader="dot" w:pos="8578"/>
        </w:tabs>
        <w:rPr>
          <w:rFonts w:hint="eastAsia" w:ascii="仿宋" w:hAnsi="仿宋" w:eastAsia="仿宋" w:cs="仿宋"/>
          <w:sz w:val="24"/>
          <w:szCs w:val="24"/>
          <w:lang w:val="en-US" w:eastAsia="zh-CN"/>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_Toc9024 </w:instrText>
      </w:r>
      <w:r>
        <w:rPr>
          <w:rFonts w:hint="eastAsia" w:ascii="仿宋" w:hAnsi="仿宋" w:eastAsia="仿宋" w:cs="仿宋"/>
          <w:sz w:val="24"/>
          <w:szCs w:val="24"/>
        </w:rPr>
        <w:fldChar w:fldCharType="separate"/>
      </w:r>
      <w:r>
        <w:rPr>
          <w:rFonts w:hint="eastAsia" w:ascii="仿宋" w:hAnsi="仿宋" w:eastAsia="仿宋" w:cs="仿宋"/>
          <w:sz w:val="24"/>
          <w:szCs w:val="24"/>
        </w:rPr>
        <w:t>（二）</w:t>
      </w:r>
      <w:r>
        <w:rPr>
          <w:rFonts w:hint="eastAsia" w:ascii="仿宋" w:hAnsi="仿宋" w:eastAsia="仿宋" w:cs="仿宋"/>
          <w:sz w:val="24"/>
          <w:szCs w:val="24"/>
          <w:lang w:eastAsia="zh-CN"/>
        </w:rPr>
        <w:t>估价</w:t>
      </w:r>
      <w:r>
        <w:rPr>
          <w:rFonts w:hint="eastAsia" w:ascii="仿宋" w:hAnsi="仿宋" w:eastAsia="仿宋" w:cs="仿宋"/>
          <w:sz w:val="24"/>
          <w:szCs w:val="24"/>
        </w:rPr>
        <w:t>方</w:t>
      </w:r>
      <w:r>
        <w:rPr>
          <w:rFonts w:hint="eastAsia" w:ascii="仿宋" w:hAnsi="仿宋" w:eastAsia="仿宋" w:cs="仿宋"/>
          <w:sz w:val="24"/>
          <w:szCs w:val="24"/>
        </w:rPr>
        <w:tab/>
      </w:r>
      <w:r>
        <w:rPr>
          <w:rFonts w:hint="eastAsia" w:ascii="仿宋" w:hAnsi="仿宋" w:eastAsia="仿宋" w:cs="仿宋"/>
          <w:sz w:val="24"/>
          <w:szCs w:val="24"/>
        </w:rPr>
        <w:fldChar w:fldCharType="end"/>
      </w:r>
      <w:r>
        <w:rPr>
          <w:rFonts w:hint="eastAsia" w:ascii="仿宋" w:hAnsi="仿宋" w:eastAsia="仿宋" w:cs="仿宋"/>
          <w:sz w:val="24"/>
          <w:szCs w:val="24"/>
          <w:lang w:val="en-US" w:eastAsia="zh-CN"/>
        </w:rPr>
        <w:t>8</w:t>
      </w:r>
    </w:p>
    <w:p>
      <w:pPr>
        <w:pStyle w:val="10"/>
        <w:tabs>
          <w:tab w:val="right" w:leader="dot" w:pos="8578"/>
        </w:tabs>
        <w:rPr>
          <w:rFonts w:hint="eastAsia" w:ascii="仿宋" w:hAnsi="仿宋" w:eastAsia="仿宋" w:cs="仿宋"/>
          <w:sz w:val="24"/>
          <w:szCs w:val="24"/>
          <w:lang w:val="en-US" w:eastAsia="zh-CN"/>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_Toc13433 </w:instrText>
      </w:r>
      <w:r>
        <w:rPr>
          <w:rFonts w:hint="eastAsia" w:ascii="仿宋" w:hAnsi="仿宋" w:eastAsia="仿宋" w:cs="仿宋"/>
          <w:sz w:val="24"/>
          <w:szCs w:val="24"/>
        </w:rPr>
        <w:fldChar w:fldCharType="separate"/>
      </w:r>
      <w:r>
        <w:rPr>
          <w:rFonts w:hint="eastAsia" w:ascii="仿宋" w:hAnsi="仿宋" w:eastAsia="仿宋" w:cs="仿宋"/>
          <w:sz w:val="24"/>
          <w:szCs w:val="24"/>
        </w:rPr>
        <w:t>（三）</w:t>
      </w:r>
      <w:r>
        <w:rPr>
          <w:rFonts w:hint="eastAsia" w:ascii="仿宋" w:hAnsi="仿宋" w:eastAsia="仿宋" w:cs="仿宋"/>
          <w:sz w:val="24"/>
          <w:szCs w:val="24"/>
          <w:lang w:eastAsia="zh-CN"/>
        </w:rPr>
        <w:t>估价目的</w:t>
      </w:r>
      <w:r>
        <w:rPr>
          <w:rFonts w:hint="eastAsia" w:ascii="仿宋" w:hAnsi="仿宋" w:eastAsia="仿宋" w:cs="仿宋"/>
          <w:sz w:val="24"/>
          <w:szCs w:val="24"/>
        </w:rPr>
        <w:tab/>
      </w:r>
      <w:r>
        <w:rPr>
          <w:rFonts w:hint="eastAsia" w:ascii="仿宋" w:hAnsi="仿宋" w:eastAsia="仿宋" w:cs="仿宋"/>
          <w:sz w:val="24"/>
          <w:szCs w:val="24"/>
        </w:rPr>
        <w:fldChar w:fldCharType="end"/>
      </w:r>
      <w:r>
        <w:rPr>
          <w:rFonts w:hint="eastAsia" w:ascii="仿宋" w:hAnsi="仿宋" w:eastAsia="仿宋" w:cs="仿宋"/>
          <w:sz w:val="24"/>
          <w:szCs w:val="24"/>
          <w:lang w:val="en-US" w:eastAsia="zh-CN"/>
        </w:rPr>
        <w:t>8</w:t>
      </w:r>
    </w:p>
    <w:p>
      <w:pPr>
        <w:pStyle w:val="10"/>
        <w:tabs>
          <w:tab w:val="right" w:leader="dot" w:pos="8578"/>
        </w:tabs>
        <w:rPr>
          <w:rFonts w:hint="eastAsia" w:ascii="仿宋" w:hAnsi="仿宋" w:eastAsia="仿宋" w:cs="仿宋"/>
          <w:sz w:val="24"/>
          <w:szCs w:val="24"/>
          <w:lang w:val="en-US" w:eastAsia="zh-CN"/>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_Toc23776 </w:instrText>
      </w:r>
      <w:r>
        <w:rPr>
          <w:rFonts w:hint="eastAsia" w:ascii="仿宋" w:hAnsi="仿宋" w:eastAsia="仿宋" w:cs="仿宋"/>
          <w:sz w:val="24"/>
          <w:szCs w:val="24"/>
        </w:rPr>
        <w:fldChar w:fldCharType="separate"/>
      </w:r>
      <w:r>
        <w:rPr>
          <w:rFonts w:hint="eastAsia" w:ascii="仿宋" w:hAnsi="仿宋" w:eastAsia="仿宋" w:cs="仿宋"/>
          <w:sz w:val="24"/>
          <w:szCs w:val="24"/>
        </w:rPr>
        <w:t>（四）</w:t>
      </w:r>
      <w:r>
        <w:rPr>
          <w:rFonts w:hint="eastAsia" w:ascii="仿宋" w:hAnsi="仿宋" w:eastAsia="仿宋" w:cs="仿宋"/>
          <w:sz w:val="24"/>
          <w:szCs w:val="24"/>
          <w:lang w:eastAsia="zh-CN"/>
        </w:rPr>
        <w:t>估价对象</w:t>
      </w:r>
      <w:r>
        <w:rPr>
          <w:rFonts w:hint="eastAsia" w:ascii="仿宋" w:hAnsi="仿宋" w:eastAsia="仿宋" w:cs="仿宋"/>
          <w:sz w:val="24"/>
          <w:szCs w:val="24"/>
        </w:rPr>
        <w:tab/>
      </w:r>
      <w:r>
        <w:rPr>
          <w:rFonts w:hint="eastAsia" w:ascii="仿宋" w:hAnsi="仿宋" w:eastAsia="仿宋" w:cs="仿宋"/>
          <w:sz w:val="24"/>
          <w:szCs w:val="24"/>
        </w:rPr>
        <w:fldChar w:fldCharType="end"/>
      </w:r>
      <w:r>
        <w:rPr>
          <w:rFonts w:hint="eastAsia" w:ascii="仿宋" w:hAnsi="仿宋" w:eastAsia="仿宋" w:cs="仿宋"/>
          <w:sz w:val="24"/>
          <w:szCs w:val="24"/>
          <w:lang w:val="en-US" w:eastAsia="zh-CN"/>
        </w:rPr>
        <w:t>8</w:t>
      </w:r>
    </w:p>
    <w:p>
      <w:pPr>
        <w:pStyle w:val="10"/>
        <w:tabs>
          <w:tab w:val="right" w:leader="dot" w:pos="8578"/>
        </w:tabs>
        <w:rPr>
          <w:rFonts w:hint="default" w:ascii="仿宋" w:hAnsi="仿宋" w:eastAsia="仿宋" w:cs="仿宋"/>
          <w:sz w:val="24"/>
          <w:szCs w:val="24"/>
          <w:lang w:val="en-US" w:eastAsia="zh-CN"/>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_Toc8676 </w:instrText>
      </w:r>
      <w:r>
        <w:rPr>
          <w:rFonts w:hint="eastAsia" w:ascii="仿宋" w:hAnsi="仿宋" w:eastAsia="仿宋" w:cs="仿宋"/>
          <w:sz w:val="24"/>
          <w:szCs w:val="24"/>
        </w:rPr>
        <w:fldChar w:fldCharType="separate"/>
      </w:r>
      <w:r>
        <w:rPr>
          <w:rFonts w:hint="eastAsia" w:ascii="仿宋" w:hAnsi="仿宋" w:eastAsia="仿宋" w:cs="仿宋"/>
          <w:sz w:val="24"/>
          <w:szCs w:val="24"/>
        </w:rPr>
        <w:t>（五）价值时点</w:t>
      </w:r>
      <w:r>
        <w:rPr>
          <w:rFonts w:hint="eastAsia" w:ascii="仿宋" w:hAnsi="仿宋" w:eastAsia="仿宋" w:cs="仿宋"/>
          <w:sz w:val="24"/>
          <w:szCs w:val="24"/>
        </w:rPr>
        <w:tab/>
      </w:r>
      <w:r>
        <w:rPr>
          <w:rFonts w:hint="eastAsia" w:ascii="仿宋" w:hAnsi="仿宋" w:eastAsia="仿宋" w:cs="仿宋"/>
          <w:sz w:val="24"/>
          <w:szCs w:val="24"/>
        </w:rPr>
        <w:fldChar w:fldCharType="end"/>
      </w:r>
      <w:r>
        <w:rPr>
          <w:rFonts w:hint="eastAsia" w:ascii="仿宋" w:hAnsi="仿宋" w:eastAsia="仿宋" w:cs="仿宋"/>
          <w:sz w:val="24"/>
          <w:szCs w:val="24"/>
          <w:lang w:val="en-US" w:eastAsia="zh-CN"/>
        </w:rPr>
        <w:t>11</w:t>
      </w:r>
    </w:p>
    <w:p>
      <w:pPr>
        <w:pStyle w:val="10"/>
        <w:tabs>
          <w:tab w:val="right" w:leader="dot" w:pos="8578"/>
        </w:tabs>
        <w:rPr>
          <w:rFonts w:hint="default" w:ascii="仿宋" w:hAnsi="仿宋" w:eastAsia="仿宋" w:cs="仿宋"/>
          <w:sz w:val="24"/>
          <w:szCs w:val="24"/>
          <w:lang w:val="en-US" w:eastAsia="zh-CN"/>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_Toc24794 </w:instrText>
      </w:r>
      <w:r>
        <w:rPr>
          <w:rFonts w:hint="eastAsia" w:ascii="仿宋" w:hAnsi="仿宋" w:eastAsia="仿宋" w:cs="仿宋"/>
          <w:sz w:val="24"/>
          <w:szCs w:val="24"/>
        </w:rPr>
        <w:fldChar w:fldCharType="separate"/>
      </w:r>
      <w:r>
        <w:rPr>
          <w:rFonts w:hint="eastAsia" w:ascii="仿宋" w:hAnsi="仿宋" w:eastAsia="仿宋" w:cs="仿宋"/>
          <w:sz w:val="24"/>
          <w:szCs w:val="24"/>
        </w:rPr>
        <w:t>（六）价值</w:t>
      </w:r>
      <w:r>
        <w:rPr>
          <w:rFonts w:hint="eastAsia" w:ascii="仿宋" w:hAnsi="仿宋" w:eastAsia="仿宋" w:cs="仿宋"/>
          <w:sz w:val="24"/>
          <w:szCs w:val="24"/>
          <w:lang w:eastAsia="zh-CN"/>
        </w:rPr>
        <w:t>类型</w:t>
      </w:r>
      <w:r>
        <w:rPr>
          <w:rFonts w:hint="eastAsia" w:ascii="仿宋" w:hAnsi="仿宋" w:eastAsia="仿宋" w:cs="仿宋"/>
          <w:sz w:val="24"/>
          <w:szCs w:val="24"/>
        </w:rPr>
        <w:tab/>
      </w:r>
      <w:r>
        <w:rPr>
          <w:rFonts w:hint="eastAsia" w:ascii="仿宋" w:hAnsi="仿宋" w:eastAsia="仿宋" w:cs="仿宋"/>
          <w:sz w:val="24"/>
          <w:szCs w:val="24"/>
        </w:rPr>
        <w:fldChar w:fldCharType="end"/>
      </w:r>
      <w:r>
        <w:rPr>
          <w:rFonts w:hint="eastAsia" w:ascii="仿宋" w:hAnsi="仿宋" w:eastAsia="仿宋" w:cs="仿宋"/>
          <w:sz w:val="24"/>
          <w:szCs w:val="24"/>
          <w:lang w:val="en-US" w:eastAsia="zh-CN"/>
        </w:rPr>
        <w:t>11</w:t>
      </w:r>
    </w:p>
    <w:p>
      <w:pPr>
        <w:pStyle w:val="10"/>
        <w:tabs>
          <w:tab w:val="right" w:leader="dot" w:pos="8578"/>
        </w:tabs>
        <w:rPr>
          <w:rFonts w:hint="default" w:ascii="仿宋" w:hAnsi="仿宋" w:eastAsia="仿宋" w:cs="仿宋"/>
          <w:sz w:val="24"/>
          <w:szCs w:val="24"/>
          <w:lang w:val="en-US" w:eastAsia="zh-CN"/>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_Toc24551 </w:instrText>
      </w:r>
      <w:r>
        <w:rPr>
          <w:rFonts w:hint="eastAsia" w:ascii="仿宋" w:hAnsi="仿宋" w:eastAsia="仿宋" w:cs="仿宋"/>
          <w:sz w:val="24"/>
          <w:szCs w:val="24"/>
        </w:rPr>
        <w:fldChar w:fldCharType="separate"/>
      </w:r>
      <w:r>
        <w:rPr>
          <w:rFonts w:hint="eastAsia" w:ascii="仿宋" w:hAnsi="仿宋" w:eastAsia="仿宋" w:cs="仿宋"/>
          <w:sz w:val="24"/>
          <w:szCs w:val="24"/>
        </w:rPr>
        <w:t>（七）</w:t>
      </w:r>
      <w:r>
        <w:rPr>
          <w:rFonts w:hint="eastAsia" w:ascii="仿宋" w:hAnsi="仿宋" w:eastAsia="仿宋" w:cs="仿宋"/>
          <w:sz w:val="24"/>
          <w:szCs w:val="24"/>
          <w:lang w:eastAsia="zh-CN"/>
        </w:rPr>
        <w:t>估价</w:t>
      </w:r>
      <w:r>
        <w:rPr>
          <w:rFonts w:hint="eastAsia" w:ascii="仿宋" w:hAnsi="仿宋" w:eastAsia="仿宋" w:cs="仿宋"/>
          <w:sz w:val="24"/>
          <w:szCs w:val="24"/>
        </w:rPr>
        <w:t>依据</w:t>
      </w:r>
      <w:r>
        <w:rPr>
          <w:rFonts w:hint="eastAsia" w:ascii="仿宋" w:hAnsi="仿宋" w:eastAsia="仿宋" w:cs="仿宋"/>
          <w:sz w:val="24"/>
          <w:szCs w:val="24"/>
        </w:rPr>
        <w:tab/>
      </w:r>
      <w:r>
        <w:rPr>
          <w:rFonts w:hint="eastAsia" w:ascii="仿宋" w:hAnsi="仿宋" w:eastAsia="仿宋" w:cs="仿宋"/>
          <w:sz w:val="24"/>
          <w:szCs w:val="24"/>
        </w:rPr>
        <w:fldChar w:fldCharType="end"/>
      </w:r>
      <w:r>
        <w:rPr>
          <w:rFonts w:hint="eastAsia" w:ascii="仿宋" w:hAnsi="仿宋" w:eastAsia="仿宋" w:cs="仿宋"/>
          <w:sz w:val="24"/>
          <w:szCs w:val="24"/>
          <w:lang w:val="en-US" w:eastAsia="zh-CN"/>
        </w:rPr>
        <w:t>11</w:t>
      </w:r>
    </w:p>
    <w:p>
      <w:pPr>
        <w:pStyle w:val="10"/>
        <w:tabs>
          <w:tab w:val="right" w:leader="dot" w:pos="8578"/>
        </w:tabs>
        <w:rPr>
          <w:rFonts w:hint="default" w:ascii="仿宋" w:hAnsi="仿宋" w:eastAsia="仿宋" w:cs="仿宋"/>
          <w:sz w:val="24"/>
          <w:szCs w:val="24"/>
          <w:lang w:val="en-US" w:eastAsia="zh-CN"/>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_Toc15655 </w:instrText>
      </w:r>
      <w:r>
        <w:rPr>
          <w:rFonts w:hint="eastAsia" w:ascii="仿宋" w:hAnsi="仿宋" w:eastAsia="仿宋" w:cs="仿宋"/>
          <w:sz w:val="24"/>
          <w:szCs w:val="24"/>
        </w:rPr>
        <w:fldChar w:fldCharType="separate"/>
      </w:r>
      <w:r>
        <w:rPr>
          <w:rFonts w:hint="eastAsia" w:ascii="仿宋" w:hAnsi="仿宋" w:eastAsia="仿宋" w:cs="仿宋"/>
          <w:sz w:val="24"/>
          <w:szCs w:val="24"/>
        </w:rPr>
        <w:t>（八）</w:t>
      </w:r>
      <w:r>
        <w:rPr>
          <w:rFonts w:hint="eastAsia" w:ascii="仿宋" w:hAnsi="仿宋" w:eastAsia="仿宋" w:cs="仿宋"/>
          <w:sz w:val="24"/>
          <w:szCs w:val="24"/>
          <w:lang w:eastAsia="zh-CN"/>
        </w:rPr>
        <w:t>估价原则</w:t>
      </w:r>
      <w:r>
        <w:rPr>
          <w:rFonts w:hint="eastAsia" w:ascii="仿宋" w:hAnsi="仿宋" w:eastAsia="仿宋" w:cs="仿宋"/>
          <w:sz w:val="24"/>
          <w:szCs w:val="24"/>
        </w:rPr>
        <w:tab/>
      </w:r>
      <w:r>
        <w:rPr>
          <w:rFonts w:hint="eastAsia" w:ascii="仿宋" w:hAnsi="仿宋" w:eastAsia="仿宋" w:cs="仿宋"/>
          <w:sz w:val="24"/>
          <w:szCs w:val="24"/>
        </w:rPr>
        <w:fldChar w:fldCharType="end"/>
      </w:r>
      <w:r>
        <w:rPr>
          <w:rFonts w:hint="eastAsia" w:ascii="仿宋" w:hAnsi="仿宋" w:eastAsia="仿宋" w:cs="仿宋"/>
          <w:sz w:val="24"/>
          <w:szCs w:val="24"/>
          <w:lang w:val="en-US" w:eastAsia="zh-CN"/>
        </w:rPr>
        <w:t>13</w:t>
      </w:r>
    </w:p>
    <w:p>
      <w:pPr>
        <w:pStyle w:val="10"/>
        <w:tabs>
          <w:tab w:val="right" w:leader="dot" w:pos="8578"/>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_Toc11171 </w:instrText>
      </w:r>
      <w:r>
        <w:rPr>
          <w:rFonts w:hint="eastAsia" w:ascii="仿宋" w:hAnsi="仿宋" w:eastAsia="仿宋" w:cs="仿宋"/>
          <w:sz w:val="24"/>
          <w:szCs w:val="24"/>
        </w:rPr>
        <w:fldChar w:fldCharType="separate"/>
      </w:r>
      <w:r>
        <w:rPr>
          <w:rFonts w:hint="eastAsia" w:ascii="仿宋" w:hAnsi="仿宋" w:eastAsia="仿宋" w:cs="仿宋"/>
          <w:sz w:val="24"/>
          <w:szCs w:val="24"/>
        </w:rPr>
        <w:t>（九）</w:t>
      </w:r>
      <w:r>
        <w:rPr>
          <w:rFonts w:hint="eastAsia" w:ascii="仿宋" w:hAnsi="仿宋" w:eastAsia="仿宋" w:cs="仿宋"/>
          <w:sz w:val="24"/>
          <w:szCs w:val="24"/>
          <w:lang w:eastAsia="zh-CN"/>
        </w:rPr>
        <w:t>估价</w:t>
      </w:r>
      <w:r>
        <w:rPr>
          <w:rFonts w:hint="eastAsia" w:ascii="仿宋" w:hAnsi="仿宋" w:eastAsia="仿宋" w:cs="仿宋"/>
          <w:sz w:val="24"/>
          <w:szCs w:val="24"/>
        </w:rPr>
        <w:t>方法</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_Toc11171 </w:instrText>
      </w:r>
      <w:r>
        <w:rPr>
          <w:rFonts w:hint="eastAsia" w:ascii="仿宋" w:hAnsi="仿宋" w:eastAsia="仿宋" w:cs="仿宋"/>
          <w:sz w:val="24"/>
          <w:szCs w:val="24"/>
        </w:rPr>
        <w:fldChar w:fldCharType="separate"/>
      </w:r>
      <w:r>
        <w:rPr>
          <w:rFonts w:hint="eastAsia" w:ascii="仿宋" w:hAnsi="仿宋" w:eastAsia="仿宋" w:cs="仿宋"/>
          <w:sz w:val="24"/>
          <w:szCs w:val="24"/>
        </w:rPr>
        <w:t>13</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0"/>
        <w:tabs>
          <w:tab w:val="right" w:leader="dot" w:pos="8578"/>
        </w:tabs>
        <w:rPr>
          <w:rFonts w:hint="eastAsia" w:ascii="仿宋" w:hAnsi="仿宋" w:eastAsia="仿宋" w:cs="仿宋"/>
          <w:sz w:val="24"/>
          <w:szCs w:val="24"/>
          <w:lang w:val="en-US" w:eastAsia="zh-CN"/>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_Toc19755 </w:instrText>
      </w:r>
      <w:r>
        <w:rPr>
          <w:rFonts w:hint="eastAsia" w:ascii="仿宋" w:hAnsi="仿宋" w:eastAsia="仿宋" w:cs="仿宋"/>
          <w:sz w:val="24"/>
          <w:szCs w:val="24"/>
        </w:rPr>
        <w:fldChar w:fldCharType="separate"/>
      </w:r>
      <w:r>
        <w:rPr>
          <w:rFonts w:hint="eastAsia" w:ascii="仿宋" w:hAnsi="仿宋" w:eastAsia="仿宋" w:cs="仿宋"/>
          <w:sz w:val="24"/>
          <w:szCs w:val="24"/>
        </w:rPr>
        <w:t>（十）</w:t>
      </w:r>
      <w:r>
        <w:rPr>
          <w:rFonts w:hint="eastAsia" w:ascii="仿宋" w:hAnsi="仿宋" w:eastAsia="仿宋" w:cs="仿宋"/>
          <w:sz w:val="24"/>
          <w:szCs w:val="24"/>
          <w:lang w:eastAsia="zh-CN"/>
        </w:rPr>
        <w:t>估价</w:t>
      </w:r>
      <w:r>
        <w:rPr>
          <w:rFonts w:hint="eastAsia" w:ascii="仿宋" w:hAnsi="仿宋" w:eastAsia="仿宋" w:cs="仿宋"/>
          <w:sz w:val="24"/>
          <w:szCs w:val="24"/>
        </w:rPr>
        <w:t>结果</w:t>
      </w:r>
      <w:r>
        <w:rPr>
          <w:rFonts w:hint="eastAsia" w:ascii="仿宋" w:hAnsi="仿宋" w:eastAsia="仿宋" w:cs="仿宋"/>
          <w:sz w:val="24"/>
          <w:szCs w:val="24"/>
        </w:rPr>
        <w:tab/>
      </w:r>
      <w:r>
        <w:rPr>
          <w:rFonts w:hint="eastAsia" w:ascii="仿宋" w:hAnsi="仿宋" w:eastAsia="仿宋" w:cs="仿宋"/>
          <w:sz w:val="24"/>
          <w:szCs w:val="24"/>
          <w:lang w:val="en-US" w:eastAsia="zh-CN"/>
        </w:rPr>
        <w:t>1</w:t>
      </w:r>
      <w:r>
        <w:rPr>
          <w:rFonts w:hint="eastAsia" w:ascii="仿宋" w:hAnsi="仿宋" w:eastAsia="仿宋" w:cs="仿宋"/>
          <w:sz w:val="24"/>
          <w:szCs w:val="24"/>
        </w:rPr>
        <w:fldChar w:fldCharType="end"/>
      </w:r>
      <w:r>
        <w:rPr>
          <w:rFonts w:hint="eastAsia" w:ascii="仿宋" w:hAnsi="仿宋" w:eastAsia="仿宋" w:cs="仿宋"/>
          <w:sz w:val="24"/>
          <w:szCs w:val="24"/>
          <w:lang w:val="en-US" w:eastAsia="zh-CN"/>
        </w:rPr>
        <w:t>5</w:t>
      </w:r>
    </w:p>
    <w:p>
      <w:pPr>
        <w:pStyle w:val="10"/>
        <w:tabs>
          <w:tab w:val="right" w:leader="dot" w:pos="8578"/>
        </w:tabs>
        <w:rPr>
          <w:rFonts w:hint="eastAsia" w:ascii="仿宋" w:hAnsi="仿宋" w:eastAsia="仿宋" w:cs="仿宋"/>
          <w:sz w:val="24"/>
          <w:szCs w:val="24"/>
          <w:lang w:val="en-US" w:eastAsia="zh-CN"/>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_Toc25231 </w:instrText>
      </w:r>
      <w:r>
        <w:rPr>
          <w:rFonts w:hint="eastAsia" w:ascii="仿宋" w:hAnsi="仿宋" w:eastAsia="仿宋" w:cs="仿宋"/>
          <w:sz w:val="24"/>
          <w:szCs w:val="24"/>
        </w:rPr>
        <w:fldChar w:fldCharType="separate"/>
      </w:r>
      <w:r>
        <w:rPr>
          <w:rFonts w:hint="eastAsia" w:ascii="仿宋" w:hAnsi="仿宋" w:eastAsia="仿宋" w:cs="仿宋"/>
          <w:sz w:val="24"/>
          <w:szCs w:val="24"/>
        </w:rPr>
        <w:t>（十</w:t>
      </w:r>
      <w:r>
        <w:rPr>
          <w:rFonts w:hint="eastAsia" w:ascii="仿宋" w:hAnsi="仿宋" w:eastAsia="仿宋" w:cs="仿宋"/>
          <w:sz w:val="24"/>
          <w:szCs w:val="24"/>
          <w:lang w:eastAsia="zh-CN"/>
        </w:rPr>
        <w:t>一</w:t>
      </w:r>
      <w:r>
        <w:rPr>
          <w:rFonts w:hint="eastAsia" w:ascii="仿宋" w:hAnsi="仿宋" w:eastAsia="仿宋" w:cs="仿宋"/>
          <w:sz w:val="24"/>
          <w:szCs w:val="24"/>
        </w:rPr>
        <w:t>）注册房地产估价师</w:t>
      </w:r>
      <w:r>
        <w:rPr>
          <w:rFonts w:hint="eastAsia" w:ascii="仿宋" w:hAnsi="仿宋" w:eastAsia="仿宋" w:cs="仿宋"/>
          <w:sz w:val="24"/>
          <w:szCs w:val="24"/>
        </w:rPr>
        <w:tab/>
      </w:r>
      <w:r>
        <w:rPr>
          <w:rFonts w:hint="eastAsia" w:ascii="仿宋" w:hAnsi="仿宋" w:eastAsia="仿宋" w:cs="仿宋"/>
          <w:sz w:val="24"/>
          <w:szCs w:val="24"/>
          <w:lang w:val="en-US" w:eastAsia="zh-CN"/>
        </w:rPr>
        <w:t>1</w:t>
      </w:r>
      <w:r>
        <w:rPr>
          <w:rFonts w:hint="eastAsia" w:ascii="仿宋" w:hAnsi="仿宋" w:eastAsia="仿宋" w:cs="仿宋"/>
          <w:sz w:val="24"/>
          <w:szCs w:val="24"/>
        </w:rPr>
        <w:fldChar w:fldCharType="end"/>
      </w:r>
      <w:r>
        <w:rPr>
          <w:rFonts w:hint="eastAsia" w:ascii="仿宋" w:hAnsi="仿宋" w:eastAsia="仿宋" w:cs="仿宋"/>
          <w:sz w:val="24"/>
          <w:szCs w:val="24"/>
          <w:lang w:val="en-US" w:eastAsia="zh-CN"/>
        </w:rPr>
        <w:t>5</w:t>
      </w:r>
    </w:p>
    <w:p>
      <w:pPr>
        <w:pStyle w:val="10"/>
        <w:tabs>
          <w:tab w:val="right" w:leader="dot" w:pos="8578"/>
        </w:tabs>
        <w:rPr>
          <w:rFonts w:hint="default" w:ascii="仿宋" w:hAnsi="仿宋" w:eastAsia="仿宋" w:cs="仿宋"/>
          <w:sz w:val="24"/>
          <w:szCs w:val="24"/>
          <w:lang w:val="en-US" w:eastAsia="zh-CN"/>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_Toc25231 </w:instrText>
      </w:r>
      <w:r>
        <w:rPr>
          <w:rFonts w:hint="eastAsia" w:ascii="仿宋" w:hAnsi="仿宋" w:eastAsia="仿宋" w:cs="仿宋"/>
          <w:sz w:val="24"/>
          <w:szCs w:val="24"/>
        </w:rPr>
        <w:fldChar w:fldCharType="separate"/>
      </w:r>
      <w:r>
        <w:rPr>
          <w:rFonts w:hint="eastAsia" w:ascii="仿宋" w:hAnsi="仿宋" w:eastAsia="仿宋" w:cs="仿宋"/>
          <w:sz w:val="24"/>
          <w:szCs w:val="24"/>
        </w:rPr>
        <w:t>（十</w:t>
      </w:r>
      <w:r>
        <w:rPr>
          <w:rFonts w:hint="eastAsia" w:ascii="仿宋" w:hAnsi="仿宋" w:eastAsia="仿宋" w:cs="仿宋"/>
          <w:sz w:val="24"/>
          <w:szCs w:val="24"/>
          <w:lang w:eastAsia="zh-CN"/>
        </w:rPr>
        <w:t>二</w:t>
      </w:r>
      <w:r>
        <w:rPr>
          <w:rFonts w:hint="eastAsia" w:ascii="仿宋" w:hAnsi="仿宋" w:eastAsia="仿宋" w:cs="仿宋"/>
          <w:sz w:val="24"/>
          <w:szCs w:val="24"/>
        </w:rPr>
        <w:t>）实地查勘日期</w:t>
      </w:r>
      <w:r>
        <w:rPr>
          <w:rFonts w:hint="eastAsia" w:ascii="仿宋" w:hAnsi="仿宋" w:eastAsia="仿宋" w:cs="仿宋"/>
          <w:sz w:val="24"/>
          <w:szCs w:val="24"/>
        </w:rPr>
        <w:tab/>
      </w:r>
      <w:r>
        <w:rPr>
          <w:rFonts w:hint="eastAsia" w:ascii="仿宋" w:hAnsi="仿宋" w:eastAsia="仿宋" w:cs="仿宋"/>
          <w:sz w:val="24"/>
          <w:szCs w:val="24"/>
          <w:lang w:val="en-US" w:eastAsia="zh-CN"/>
        </w:rPr>
        <w:t>1</w:t>
      </w:r>
      <w:r>
        <w:rPr>
          <w:rFonts w:hint="eastAsia" w:ascii="仿宋" w:hAnsi="仿宋" w:eastAsia="仿宋" w:cs="仿宋"/>
          <w:sz w:val="24"/>
          <w:szCs w:val="24"/>
        </w:rPr>
        <w:fldChar w:fldCharType="end"/>
      </w:r>
      <w:r>
        <w:rPr>
          <w:rFonts w:hint="eastAsia" w:ascii="仿宋" w:hAnsi="仿宋" w:eastAsia="仿宋" w:cs="仿宋"/>
          <w:sz w:val="24"/>
          <w:szCs w:val="24"/>
          <w:lang w:val="en-US" w:eastAsia="zh-CN"/>
        </w:rPr>
        <w:t>5</w:t>
      </w:r>
    </w:p>
    <w:p>
      <w:pPr>
        <w:pStyle w:val="10"/>
        <w:tabs>
          <w:tab w:val="right" w:leader="dot" w:pos="8578"/>
        </w:tabs>
        <w:rPr>
          <w:rFonts w:hint="eastAsia" w:ascii="仿宋" w:hAnsi="仿宋" w:eastAsia="仿宋" w:cs="仿宋"/>
          <w:sz w:val="24"/>
          <w:szCs w:val="24"/>
          <w:lang w:val="en-US" w:eastAsia="zh-CN"/>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_Toc12698 </w:instrText>
      </w:r>
      <w:r>
        <w:rPr>
          <w:rFonts w:hint="eastAsia" w:ascii="仿宋" w:hAnsi="仿宋" w:eastAsia="仿宋" w:cs="仿宋"/>
          <w:sz w:val="24"/>
          <w:szCs w:val="24"/>
        </w:rPr>
        <w:fldChar w:fldCharType="separate"/>
      </w:r>
      <w:r>
        <w:rPr>
          <w:rFonts w:hint="eastAsia" w:ascii="仿宋" w:hAnsi="仿宋" w:eastAsia="仿宋" w:cs="仿宋"/>
          <w:sz w:val="24"/>
          <w:szCs w:val="24"/>
        </w:rPr>
        <w:t>（十</w:t>
      </w:r>
      <w:r>
        <w:rPr>
          <w:rFonts w:hint="eastAsia" w:ascii="仿宋" w:hAnsi="仿宋" w:eastAsia="仿宋" w:cs="仿宋"/>
          <w:sz w:val="24"/>
          <w:szCs w:val="24"/>
          <w:lang w:eastAsia="zh-CN"/>
        </w:rPr>
        <w:t>三</w:t>
      </w:r>
      <w:r>
        <w:rPr>
          <w:rFonts w:hint="eastAsia" w:ascii="仿宋" w:hAnsi="仿宋" w:eastAsia="仿宋" w:cs="仿宋"/>
          <w:sz w:val="24"/>
          <w:szCs w:val="24"/>
        </w:rPr>
        <w:t>）估价作业日期</w:t>
      </w:r>
      <w:r>
        <w:rPr>
          <w:rFonts w:hint="eastAsia" w:ascii="仿宋" w:hAnsi="仿宋" w:eastAsia="仿宋" w:cs="仿宋"/>
          <w:sz w:val="24"/>
          <w:szCs w:val="24"/>
        </w:rPr>
        <w:tab/>
      </w:r>
      <w:r>
        <w:rPr>
          <w:rFonts w:hint="eastAsia" w:ascii="仿宋" w:hAnsi="仿宋" w:eastAsia="仿宋" w:cs="仿宋"/>
          <w:sz w:val="24"/>
          <w:szCs w:val="24"/>
          <w:lang w:val="en-US" w:eastAsia="zh-CN"/>
        </w:rPr>
        <w:t>1</w:t>
      </w:r>
      <w:r>
        <w:rPr>
          <w:rFonts w:hint="eastAsia" w:ascii="仿宋" w:hAnsi="仿宋" w:eastAsia="仿宋" w:cs="仿宋"/>
          <w:sz w:val="24"/>
          <w:szCs w:val="24"/>
        </w:rPr>
        <w:fldChar w:fldCharType="end"/>
      </w:r>
      <w:r>
        <w:rPr>
          <w:rFonts w:hint="eastAsia" w:ascii="仿宋" w:hAnsi="仿宋" w:eastAsia="仿宋" w:cs="仿宋"/>
          <w:sz w:val="24"/>
          <w:szCs w:val="24"/>
          <w:lang w:val="en-US" w:eastAsia="zh-CN"/>
        </w:rPr>
        <w:t>5</w:t>
      </w:r>
    </w:p>
    <w:p>
      <w:pPr>
        <w:pStyle w:val="9"/>
        <w:tabs>
          <w:tab w:val="right" w:leader="dot" w:pos="8578"/>
        </w:tabs>
        <w:rPr>
          <w:rFonts w:hint="eastAsia" w:ascii="仿宋" w:hAnsi="仿宋" w:eastAsia="仿宋" w:cs="仿宋"/>
          <w:sz w:val="24"/>
          <w:szCs w:val="24"/>
          <w:lang w:val="en-US" w:eastAsia="zh-CN"/>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_Toc1817 </w:instrText>
      </w:r>
      <w:r>
        <w:rPr>
          <w:rFonts w:hint="eastAsia" w:ascii="仿宋" w:hAnsi="仿宋" w:eastAsia="仿宋" w:cs="仿宋"/>
          <w:sz w:val="24"/>
          <w:szCs w:val="24"/>
        </w:rPr>
        <w:fldChar w:fldCharType="separate"/>
      </w:r>
      <w:r>
        <w:rPr>
          <w:rFonts w:hint="eastAsia" w:ascii="仿宋" w:hAnsi="仿宋" w:eastAsia="仿宋" w:cs="仿宋"/>
          <w:sz w:val="24"/>
          <w:szCs w:val="24"/>
          <w:lang w:eastAsia="zh-CN"/>
        </w:rPr>
        <w:t>四</w:t>
      </w:r>
      <w:r>
        <w:rPr>
          <w:rFonts w:hint="eastAsia" w:ascii="仿宋" w:hAnsi="仿宋" w:eastAsia="仿宋" w:cs="仿宋"/>
          <w:sz w:val="24"/>
          <w:szCs w:val="24"/>
        </w:rPr>
        <w:t>、附  件</w:t>
      </w:r>
      <w:r>
        <w:rPr>
          <w:rFonts w:hint="eastAsia" w:ascii="仿宋" w:hAnsi="仿宋" w:eastAsia="仿宋" w:cs="仿宋"/>
          <w:sz w:val="24"/>
          <w:szCs w:val="24"/>
        </w:rPr>
        <w:tab/>
      </w:r>
      <w:r>
        <w:rPr>
          <w:rFonts w:hint="eastAsia" w:ascii="仿宋" w:hAnsi="仿宋" w:eastAsia="仿宋" w:cs="仿宋"/>
          <w:sz w:val="24"/>
          <w:szCs w:val="24"/>
          <w:lang w:val="en-US" w:eastAsia="zh-CN"/>
        </w:rPr>
        <w:t>1</w:t>
      </w:r>
      <w:r>
        <w:rPr>
          <w:rFonts w:hint="eastAsia" w:ascii="仿宋" w:hAnsi="仿宋" w:eastAsia="仿宋" w:cs="仿宋"/>
          <w:sz w:val="24"/>
          <w:szCs w:val="24"/>
        </w:rPr>
        <w:fldChar w:fldCharType="end"/>
      </w:r>
      <w:r>
        <w:rPr>
          <w:rFonts w:hint="eastAsia" w:ascii="仿宋" w:hAnsi="仿宋" w:eastAsia="仿宋" w:cs="仿宋"/>
          <w:sz w:val="24"/>
          <w:szCs w:val="24"/>
          <w:lang w:val="en-US" w:eastAsia="zh-CN"/>
        </w:rPr>
        <w:t>6</w:t>
      </w:r>
    </w:p>
    <w:p>
      <w:pPr>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fldChar w:fldCharType="end"/>
      </w:r>
      <w:r>
        <w:rPr>
          <w:rFonts w:hint="eastAsia" w:ascii="仿宋" w:hAnsi="仿宋" w:eastAsia="仿宋" w:cs="仿宋"/>
          <w:sz w:val="24"/>
          <w:szCs w:val="24"/>
        </w:rPr>
        <w:t>（</w:t>
      </w:r>
      <w:r>
        <w:rPr>
          <w:rFonts w:hint="eastAsia" w:ascii="仿宋" w:hAnsi="仿宋" w:eastAsia="仿宋" w:cs="仿宋"/>
          <w:sz w:val="24"/>
          <w:szCs w:val="24"/>
          <w:lang w:eastAsia="zh-CN"/>
        </w:rPr>
        <w:t>一）</w:t>
      </w:r>
      <w:r>
        <w:rPr>
          <w:rFonts w:hint="eastAsia" w:ascii="仿宋" w:hAnsi="仿宋" w:eastAsia="仿宋" w:cs="仿宋"/>
          <w:sz w:val="24"/>
          <w:szCs w:val="24"/>
        </w:rPr>
        <w:t>《估价委托书》复印件；</w:t>
      </w:r>
    </w:p>
    <w:p>
      <w:pPr>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eastAsia="zh-CN"/>
        </w:rPr>
        <w:t>（二）</w:t>
      </w:r>
      <w:r>
        <w:rPr>
          <w:rFonts w:hint="eastAsia" w:ascii="仿宋" w:hAnsi="仿宋" w:eastAsia="仿宋" w:cs="仿宋"/>
          <w:sz w:val="24"/>
          <w:szCs w:val="24"/>
        </w:rPr>
        <w:t>估价对象实地查勘照片；</w:t>
      </w:r>
    </w:p>
    <w:p>
      <w:pPr>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eastAsia="zh-CN"/>
        </w:rPr>
        <w:t>（三）</w:t>
      </w:r>
      <w:r>
        <w:rPr>
          <w:rFonts w:hint="eastAsia" w:ascii="仿宋" w:hAnsi="仿宋" w:eastAsia="仿宋" w:cs="仿宋"/>
          <w:sz w:val="24"/>
          <w:szCs w:val="24"/>
        </w:rPr>
        <w:t>估价对象</w:t>
      </w:r>
      <w:r>
        <w:rPr>
          <w:rFonts w:hint="eastAsia" w:ascii="仿宋" w:hAnsi="仿宋" w:eastAsia="仿宋" w:cs="仿宋"/>
          <w:sz w:val="24"/>
          <w:szCs w:val="24"/>
          <w:lang w:eastAsia="zh-CN"/>
        </w:rPr>
        <w:t>位置图</w:t>
      </w:r>
      <w:r>
        <w:rPr>
          <w:rFonts w:hint="eastAsia" w:ascii="仿宋" w:hAnsi="仿宋" w:eastAsia="仿宋" w:cs="仿宋"/>
          <w:sz w:val="24"/>
          <w:szCs w:val="24"/>
        </w:rPr>
        <w:t>；</w:t>
      </w:r>
    </w:p>
    <w:p>
      <w:pPr>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eastAsia="zh-CN"/>
        </w:rPr>
        <w:t>（四）</w:t>
      </w:r>
      <w:r>
        <w:rPr>
          <w:rFonts w:hint="eastAsia" w:ascii="仿宋" w:hAnsi="仿宋" w:eastAsia="仿宋" w:cs="仿宋"/>
          <w:sz w:val="24"/>
          <w:szCs w:val="24"/>
        </w:rPr>
        <w:t>估价对象相关资料；</w:t>
      </w:r>
    </w:p>
    <w:p>
      <w:pPr>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eastAsia="zh-CN"/>
        </w:rPr>
        <w:t>（五）</w:t>
      </w:r>
      <w:r>
        <w:rPr>
          <w:rFonts w:hint="eastAsia" w:ascii="仿宋" w:hAnsi="仿宋" w:eastAsia="仿宋" w:cs="仿宋"/>
          <w:sz w:val="24"/>
          <w:szCs w:val="24"/>
        </w:rPr>
        <w:t>房地产估价机构营业执照复印件；</w:t>
      </w:r>
    </w:p>
    <w:p>
      <w:pPr>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eastAsia="zh-CN"/>
        </w:rPr>
        <w:t>（六）</w:t>
      </w:r>
      <w:r>
        <w:rPr>
          <w:rFonts w:hint="eastAsia" w:ascii="仿宋" w:hAnsi="仿宋" w:eastAsia="仿宋" w:cs="仿宋"/>
          <w:sz w:val="24"/>
          <w:szCs w:val="24"/>
        </w:rPr>
        <w:t>房地产估价机构资质证书复印件；</w:t>
      </w:r>
    </w:p>
    <w:p>
      <w:pPr>
        <w:spacing w:line="360" w:lineRule="exact"/>
        <w:ind w:firstLine="480" w:firstLineChars="200"/>
        <w:rPr>
          <w:rFonts w:hint="eastAsia" w:ascii="仿宋_GB2312" w:hAnsi="宋体" w:eastAsia="仿宋_GB2312"/>
          <w:sz w:val="24"/>
          <w:szCs w:val="24"/>
        </w:rPr>
      </w:pPr>
      <w:r>
        <w:rPr>
          <w:rFonts w:hint="eastAsia" w:ascii="仿宋" w:hAnsi="仿宋" w:eastAsia="仿宋" w:cs="仿宋"/>
          <w:sz w:val="24"/>
          <w:szCs w:val="24"/>
          <w:lang w:eastAsia="zh-CN"/>
        </w:rPr>
        <w:t>（七）</w:t>
      </w:r>
      <w:r>
        <w:rPr>
          <w:rFonts w:hint="eastAsia" w:ascii="仿宋" w:hAnsi="仿宋" w:eastAsia="仿宋" w:cs="仿宋"/>
          <w:sz w:val="24"/>
          <w:szCs w:val="24"/>
        </w:rPr>
        <w:t>注册房地产估价师注册证书复印件</w:t>
      </w:r>
    </w:p>
    <w:p>
      <w:pPr>
        <w:spacing w:line="440" w:lineRule="exact"/>
        <w:rPr>
          <w:rFonts w:hint="eastAsia"/>
        </w:rPr>
      </w:pPr>
    </w:p>
    <w:p>
      <w:pPr>
        <w:pStyle w:val="2"/>
        <w:pageBreakBefore w:val="0"/>
        <w:widowControl w:val="0"/>
        <w:kinsoku/>
        <w:wordWrap/>
        <w:overflowPunct/>
        <w:topLinePunct w:val="0"/>
        <w:autoSpaceDE/>
        <w:autoSpaceDN/>
        <w:bidi w:val="0"/>
        <w:adjustRightInd w:val="0"/>
        <w:snapToGrid w:val="0"/>
        <w:spacing w:after="93" w:line="480" w:lineRule="exact"/>
        <w:textAlignment w:val="auto"/>
        <w:rPr>
          <w:rFonts w:hint="eastAsia" w:ascii="仿宋_GB2312" w:eastAsia="仿宋_GB2312"/>
          <w:b/>
        </w:rPr>
      </w:pPr>
      <w:r>
        <w:rPr>
          <w:rFonts w:hint="eastAsia" w:ascii="仿宋_GB2312" w:eastAsia="仿宋_GB2312"/>
          <w:b/>
        </w:rPr>
        <w:br w:type="page"/>
      </w:r>
      <w:bookmarkStart w:id="0" w:name="_Toc30289"/>
      <w:bookmarkStart w:id="1" w:name="_Toc536174645"/>
      <w:bookmarkStart w:id="2" w:name="_Toc22207"/>
      <w:r>
        <w:rPr>
          <w:rFonts w:hint="eastAsia" w:ascii="仿宋_GB2312" w:eastAsia="仿宋_GB2312"/>
          <w:b/>
        </w:rPr>
        <w:t>一、声明</w:t>
      </w:r>
      <w:bookmarkEnd w:id="0"/>
      <w:bookmarkEnd w:id="1"/>
      <w:bookmarkEnd w:id="2"/>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我们根据自己的专业知识和职业道德，在此郑重声明：</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仿宋_GB2312" w:hAnsi="宋体" w:eastAsia="仿宋_GB2312" w:cs="仿宋_GB2312"/>
          <w:sz w:val="28"/>
          <w:szCs w:val="28"/>
        </w:rPr>
      </w:pPr>
      <w:r>
        <w:rPr>
          <w:rFonts w:hint="eastAsia" w:ascii="仿宋_GB2312" w:hAnsi="宋体" w:eastAsia="仿宋_GB2312" w:cs="仿宋_GB2312"/>
          <w:sz w:val="30"/>
        </w:rPr>
        <w:t xml:space="preserve"> </w:t>
      </w:r>
      <w:r>
        <w:rPr>
          <w:rFonts w:hint="eastAsia" w:ascii="仿宋_GB2312" w:hAnsi="宋体" w:eastAsia="仿宋_GB2312" w:cs="仿宋_GB2312"/>
          <w:sz w:val="28"/>
          <w:szCs w:val="28"/>
        </w:rPr>
        <w:t xml:space="preserve">   1、我们在本</w:t>
      </w:r>
      <w:r>
        <w:rPr>
          <w:rFonts w:hint="eastAsia" w:ascii="仿宋_GB2312" w:hAnsi="宋体" w:eastAsia="仿宋_GB2312" w:cs="仿宋_GB2312"/>
          <w:sz w:val="28"/>
          <w:szCs w:val="28"/>
          <w:lang w:eastAsia="zh-CN"/>
        </w:rPr>
        <w:t>估价</w:t>
      </w:r>
      <w:r>
        <w:rPr>
          <w:rFonts w:hint="eastAsia" w:ascii="仿宋_GB2312" w:hAnsi="宋体" w:eastAsia="仿宋_GB2312" w:cs="仿宋_GB2312"/>
          <w:sz w:val="28"/>
          <w:szCs w:val="28"/>
        </w:rPr>
        <w:t>报告中对事实的陈述是真实的、准确的，没有虚假记载、误导性陈述和重大遗漏。</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2、本</w:t>
      </w:r>
      <w:r>
        <w:rPr>
          <w:rFonts w:hint="eastAsia" w:ascii="仿宋_GB2312" w:hAnsi="宋体" w:eastAsia="仿宋_GB2312" w:cs="仿宋_GB2312"/>
          <w:sz w:val="28"/>
          <w:szCs w:val="28"/>
          <w:lang w:eastAsia="zh-CN"/>
        </w:rPr>
        <w:t>估价</w:t>
      </w:r>
      <w:r>
        <w:rPr>
          <w:rFonts w:hint="eastAsia" w:ascii="仿宋_GB2312" w:hAnsi="宋体" w:eastAsia="仿宋_GB2312" w:cs="仿宋_GB2312"/>
          <w:sz w:val="28"/>
          <w:szCs w:val="28"/>
        </w:rPr>
        <w:t>报告中的分析、意见和结论是我们独立、客观、公正的专业分析、意见和结论，但受到</w:t>
      </w:r>
      <w:r>
        <w:rPr>
          <w:rFonts w:hint="eastAsia" w:ascii="仿宋_GB2312" w:hAnsi="宋体" w:eastAsia="仿宋_GB2312" w:cs="仿宋_GB2312"/>
          <w:sz w:val="28"/>
          <w:szCs w:val="28"/>
          <w:lang w:eastAsia="zh-CN"/>
        </w:rPr>
        <w:t>估价</w:t>
      </w:r>
      <w:r>
        <w:rPr>
          <w:rFonts w:hint="eastAsia" w:ascii="仿宋_GB2312" w:hAnsi="宋体" w:eastAsia="仿宋_GB2312" w:cs="仿宋_GB2312"/>
          <w:sz w:val="28"/>
          <w:szCs w:val="28"/>
        </w:rPr>
        <w:t>报告中已经说明的</w:t>
      </w:r>
      <w:r>
        <w:rPr>
          <w:rFonts w:hint="eastAsia" w:ascii="仿宋_GB2312" w:hAnsi="宋体" w:eastAsia="仿宋_GB2312" w:cs="仿宋_GB2312"/>
          <w:sz w:val="28"/>
          <w:szCs w:val="28"/>
          <w:lang w:eastAsia="zh-CN"/>
        </w:rPr>
        <w:t>估价假设</w:t>
      </w:r>
      <w:r>
        <w:rPr>
          <w:rFonts w:hint="eastAsia" w:ascii="仿宋_GB2312" w:hAnsi="宋体" w:eastAsia="仿宋_GB2312" w:cs="仿宋_GB2312"/>
          <w:sz w:val="28"/>
          <w:szCs w:val="28"/>
        </w:rPr>
        <w:t>和限制条件的限制。</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3、我们与本</w:t>
      </w:r>
      <w:r>
        <w:rPr>
          <w:rFonts w:hint="eastAsia" w:ascii="仿宋_GB2312" w:hAnsi="宋体" w:eastAsia="仿宋_GB2312" w:cs="仿宋_GB2312"/>
          <w:sz w:val="28"/>
          <w:szCs w:val="28"/>
          <w:lang w:eastAsia="zh-CN"/>
        </w:rPr>
        <w:t>估价</w:t>
      </w:r>
      <w:r>
        <w:rPr>
          <w:rFonts w:hint="eastAsia" w:ascii="仿宋_GB2312" w:hAnsi="宋体" w:eastAsia="仿宋_GB2312" w:cs="仿宋_GB2312"/>
          <w:sz w:val="28"/>
          <w:szCs w:val="28"/>
        </w:rPr>
        <w:t>报告中的</w:t>
      </w:r>
      <w:r>
        <w:rPr>
          <w:rFonts w:hint="eastAsia" w:ascii="仿宋_GB2312" w:hAnsi="宋体" w:eastAsia="仿宋_GB2312" w:cs="仿宋_GB2312"/>
          <w:sz w:val="28"/>
          <w:szCs w:val="28"/>
          <w:lang w:eastAsia="zh-CN"/>
        </w:rPr>
        <w:t>估价对象</w:t>
      </w:r>
      <w:r>
        <w:rPr>
          <w:rFonts w:hint="eastAsia" w:ascii="仿宋_GB2312" w:hAnsi="宋体" w:eastAsia="仿宋_GB2312" w:cs="仿宋_GB2312"/>
          <w:sz w:val="28"/>
          <w:szCs w:val="28"/>
        </w:rPr>
        <w:t>没有现实或潜在的利益，与</w:t>
      </w:r>
      <w:r>
        <w:rPr>
          <w:rFonts w:hint="eastAsia" w:ascii="仿宋_GB2312" w:hAnsi="宋体" w:eastAsia="仿宋_GB2312" w:cs="仿宋_GB2312"/>
          <w:sz w:val="28"/>
          <w:szCs w:val="28"/>
          <w:lang w:eastAsia="zh-CN"/>
        </w:rPr>
        <w:t>估价委托人</w:t>
      </w:r>
      <w:r>
        <w:rPr>
          <w:rFonts w:hint="eastAsia" w:ascii="仿宋_GB2312" w:hAnsi="宋体" w:eastAsia="仿宋_GB2312" w:cs="仿宋_GB2312"/>
          <w:sz w:val="28"/>
          <w:szCs w:val="28"/>
        </w:rPr>
        <w:t>及</w:t>
      </w:r>
      <w:r>
        <w:rPr>
          <w:rFonts w:hint="eastAsia" w:ascii="仿宋_GB2312" w:hAnsi="宋体" w:eastAsia="仿宋_GB2312" w:cs="仿宋_GB2312"/>
          <w:sz w:val="28"/>
          <w:szCs w:val="28"/>
          <w:lang w:eastAsia="zh-CN"/>
        </w:rPr>
        <w:t>估价</w:t>
      </w:r>
      <w:r>
        <w:rPr>
          <w:rFonts w:hint="eastAsia" w:ascii="仿宋_GB2312" w:hAnsi="宋体" w:eastAsia="仿宋_GB2312" w:cs="仿宋_GB2312"/>
          <w:sz w:val="28"/>
          <w:szCs w:val="28"/>
        </w:rPr>
        <w:t>利害关系人没有利害关系，也对</w:t>
      </w:r>
      <w:r>
        <w:rPr>
          <w:rFonts w:hint="eastAsia" w:ascii="仿宋_GB2312" w:hAnsi="宋体" w:eastAsia="仿宋_GB2312" w:cs="仿宋_GB2312"/>
          <w:sz w:val="28"/>
          <w:szCs w:val="28"/>
          <w:lang w:eastAsia="zh-CN"/>
        </w:rPr>
        <w:t>估价对象</w:t>
      </w:r>
      <w:r>
        <w:rPr>
          <w:rFonts w:hint="eastAsia" w:ascii="仿宋_GB2312" w:hAnsi="宋体" w:eastAsia="仿宋_GB2312" w:cs="仿宋_GB2312"/>
          <w:sz w:val="28"/>
          <w:szCs w:val="28"/>
        </w:rPr>
        <w:t>、</w:t>
      </w:r>
      <w:r>
        <w:rPr>
          <w:rFonts w:hint="eastAsia" w:ascii="仿宋_GB2312" w:hAnsi="宋体" w:eastAsia="仿宋_GB2312" w:cs="仿宋_GB2312"/>
          <w:sz w:val="28"/>
          <w:szCs w:val="28"/>
          <w:lang w:eastAsia="zh-CN"/>
        </w:rPr>
        <w:t>估价委托人</w:t>
      </w:r>
      <w:r>
        <w:rPr>
          <w:rFonts w:hint="eastAsia" w:ascii="仿宋_GB2312" w:hAnsi="宋体" w:eastAsia="仿宋_GB2312" w:cs="仿宋_GB2312"/>
          <w:sz w:val="28"/>
          <w:szCs w:val="28"/>
        </w:rPr>
        <w:t>及</w:t>
      </w:r>
      <w:r>
        <w:rPr>
          <w:rFonts w:hint="eastAsia" w:ascii="仿宋_GB2312" w:hAnsi="宋体" w:eastAsia="仿宋_GB2312" w:cs="仿宋_GB2312"/>
          <w:sz w:val="28"/>
          <w:szCs w:val="28"/>
          <w:lang w:eastAsia="zh-CN"/>
        </w:rPr>
        <w:t>估价</w:t>
      </w:r>
      <w:r>
        <w:rPr>
          <w:rFonts w:hint="eastAsia" w:ascii="仿宋_GB2312" w:hAnsi="宋体" w:eastAsia="仿宋_GB2312" w:cs="仿宋_GB2312"/>
          <w:sz w:val="28"/>
          <w:szCs w:val="28"/>
        </w:rPr>
        <w:t>利害关系人没有偏见。</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4、我们依照中华人民共和国国家标准《房地产估价规范》、《房地产估价基本术语标准》以及相关房地产估价专项标准进行分析，形成意见和结论，撰写本</w:t>
      </w:r>
      <w:r>
        <w:rPr>
          <w:rFonts w:hint="eastAsia" w:ascii="仿宋_GB2312" w:hAnsi="宋体" w:eastAsia="仿宋_GB2312" w:cs="仿宋_GB2312"/>
          <w:sz w:val="28"/>
          <w:szCs w:val="28"/>
          <w:lang w:eastAsia="zh-CN"/>
        </w:rPr>
        <w:t>估价</w:t>
      </w:r>
      <w:r>
        <w:rPr>
          <w:rFonts w:hint="eastAsia" w:ascii="仿宋_GB2312" w:hAnsi="宋体" w:eastAsia="仿宋_GB2312" w:cs="仿宋_GB2312"/>
          <w:sz w:val="28"/>
          <w:szCs w:val="28"/>
        </w:rPr>
        <w:t>报告。</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5、本</w:t>
      </w:r>
      <w:r>
        <w:rPr>
          <w:rFonts w:hint="eastAsia" w:ascii="仿宋_GB2312" w:hAnsi="宋体" w:eastAsia="仿宋_GB2312" w:cs="仿宋_GB2312"/>
          <w:sz w:val="28"/>
          <w:szCs w:val="28"/>
          <w:lang w:eastAsia="zh-CN"/>
        </w:rPr>
        <w:t>估价</w:t>
      </w:r>
      <w:r>
        <w:rPr>
          <w:rFonts w:hint="eastAsia" w:ascii="仿宋_GB2312" w:hAnsi="宋体" w:eastAsia="仿宋_GB2312" w:cs="仿宋_GB2312"/>
          <w:sz w:val="28"/>
          <w:szCs w:val="28"/>
        </w:rPr>
        <w:t>报告中，除使用政府部门、行业公布的价格资料和公开市场价格信息外，主要依据</w:t>
      </w:r>
      <w:r>
        <w:rPr>
          <w:rFonts w:hint="eastAsia" w:ascii="仿宋_GB2312" w:hAnsi="宋体" w:eastAsia="仿宋_GB2312" w:cs="仿宋_GB2312"/>
          <w:sz w:val="28"/>
          <w:szCs w:val="28"/>
          <w:lang w:eastAsia="zh-CN"/>
        </w:rPr>
        <w:t>估价委托人</w:t>
      </w:r>
      <w:r>
        <w:rPr>
          <w:rFonts w:hint="eastAsia" w:ascii="仿宋_GB2312" w:hAnsi="宋体" w:eastAsia="仿宋_GB2312" w:cs="仿宋_GB2312"/>
          <w:sz w:val="28"/>
          <w:szCs w:val="28"/>
        </w:rPr>
        <w:t>提供的有关资料，包括但不限于其提供的权属证件等复印件，</w:t>
      </w:r>
      <w:r>
        <w:rPr>
          <w:rFonts w:hint="eastAsia" w:ascii="仿宋_GB2312" w:hAnsi="宋体" w:eastAsia="仿宋_GB2312" w:cs="仿宋_GB2312"/>
          <w:sz w:val="28"/>
          <w:szCs w:val="28"/>
          <w:lang w:eastAsia="zh-CN"/>
        </w:rPr>
        <w:t>估价委托人</w:t>
      </w:r>
      <w:r>
        <w:rPr>
          <w:rFonts w:hint="eastAsia" w:ascii="仿宋_GB2312" w:hAnsi="宋体" w:eastAsia="仿宋_GB2312" w:cs="仿宋_GB2312"/>
          <w:sz w:val="28"/>
          <w:szCs w:val="28"/>
        </w:rPr>
        <w:t>应对其提供的全部资料的真实性、合法性和完整性负责。</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cs="仿宋_GB2312"/>
          <w:sz w:val="28"/>
          <w:szCs w:val="28"/>
        </w:rPr>
        <w:t>6、我司</w:t>
      </w:r>
      <w:r>
        <w:rPr>
          <w:rFonts w:hint="eastAsia" w:ascii="仿宋_GB2312" w:hAnsi="宋体" w:eastAsia="仿宋_GB2312" w:cs="仿宋_GB2312"/>
          <w:sz w:val="28"/>
          <w:szCs w:val="28"/>
          <w:lang w:eastAsia="zh-CN"/>
        </w:rPr>
        <w:t>估价</w:t>
      </w:r>
      <w:r>
        <w:rPr>
          <w:rFonts w:hint="eastAsia" w:ascii="仿宋_GB2312" w:hAnsi="宋体" w:eastAsia="仿宋_GB2312" w:cs="仿宋_GB2312"/>
          <w:sz w:val="28"/>
          <w:szCs w:val="28"/>
        </w:rPr>
        <w:t>人</w:t>
      </w:r>
      <w:r>
        <w:rPr>
          <w:rFonts w:hint="eastAsia" w:ascii="仿宋_GB2312" w:hAnsi="宋体" w:eastAsia="仿宋_GB2312" w:cs="仿宋_GB2312"/>
          <w:sz w:val="28"/>
          <w:szCs w:val="28"/>
          <w:lang w:eastAsia="zh-CN"/>
        </w:rPr>
        <w:t>员</w:t>
      </w:r>
      <w:r>
        <w:rPr>
          <w:rFonts w:hint="eastAsia" w:ascii="仿宋_GB2312" w:hAnsi="宋体" w:eastAsia="仿宋_GB2312"/>
          <w:sz w:val="28"/>
          <w:szCs w:val="28"/>
        </w:rPr>
        <w:t>已于</w:t>
      </w:r>
      <w:r>
        <w:rPr>
          <w:rFonts w:hint="eastAsia" w:ascii="仿宋_GB2312" w:hAnsi="宋体" w:eastAsia="仿宋_GB2312"/>
          <w:sz w:val="28"/>
          <w:szCs w:val="28"/>
          <w:lang w:eastAsia="zh-CN"/>
        </w:rPr>
        <w:t>2022年10月25日</w:t>
      </w:r>
      <w:r>
        <w:rPr>
          <w:rFonts w:hint="eastAsia" w:ascii="仿宋_GB2312" w:hAnsi="宋体" w:eastAsia="仿宋_GB2312"/>
          <w:sz w:val="28"/>
          <w:szCs w:val="28"/>
        </w:rPr>
        <w:t>对本报告中的</w:t>
      </w:r>
      <w:r>
        <w:rPr>
          <w:rFonts w:hint="eastAsia" w:ascii="仿宋_GB2312" w:hAnsi="宋体" w:eastAsia="仿宋_GB2312"/>
          <w:sz w:val="28"/>
          <w:szCs w:val="28"/>
          <w:lang w:eastAsia="zh-CN"/>
        </w:rPr>
        <w:t>估价对象</w:t>
      </w:r>
      <w:r>
        <w:rPr>
          <w:rFonts w:hint="eastAsia" w:ascii="仿宋_GB2312" w:hAnsi="宋体" w:eastAsia="仿宋_GB2312"/>
          <w:sz w:val="28"/>
          <w:szCs w:val="28"/>
        </w:rPr>
        <w:t>进行了实地查勘，</w:t>
      </w:r>
      <w:r>
        <w:rPr>
          <w:rFonts w:hint="eastAsia" w:ascii="仿宋_GB2312" w:hAnsi="宋体" w:eastAsia="仿宋_GB2312" w:cs="仿宋_GB2312"/>
          <w:sz w:val="28"/>
          <w:szCs w:val="28"/>
        </w:rPr>
        <w:t>但仅限于其外观和使用状况。</w:t>
      </w:r>
      <w:r>
        <w:rPr>
          <w:rFonts w:hint="eastAsia" w:ascii="仿宋_GB2312" w:hAnsi="宋体" w:eastAsia="仿宋_GB2312" w:cs="仿宋_GB2312"/>
          <w:sz w:val="28"/>
          <w:szCs w:val="28"/>
          <w:lang w:eastAsia="zh-CN"/>
        </w:rPr>
        <w:t>估价</w:t>
      </w:r>
      <w:r>
        <w:rPr>
          <w:rFonts w:hint="eastAsia" w:ascii="仿宋_GB2312" w:hAnsi="宋体" w:eastAsia="仿宋_GB2312" w:cs="仿宋_GB2312"/>
          <w:sz w:val="28"/>
          <w:szCs w:val="28"/>
        </w:rPr>
        <w:t>人员不承担对</w:t>
      </w:r>
      <w:r>
        <w:rPr>
          <w:rFonts w:hint="eastAsia" w:ascii="仿宋_GB2312" w:hAnsi="宋体" w:eastAsia="仿宋_GB2312" w:cs="仿宋_GB2312"/>
          <w:sz w:val="28"/>
          <w:szCs w:val="28"/>
          <w:lang w:eastAsia="zh-CN"/>
        </w:rPr>
        <w:t>估价对象</w:t>
      </w:r>
      <w:r>
        <w:rPr>
          <w:rFonts w:hint="eastAsia" w:ascii="仿宋_GB2312" w:hAnsi="宋体" w:eastAsia="仿宋_GB2312" w:cs="仿宋_GB2312"/>
          <w:sz w:val="28"/>
          <w:szCs w:val="28"/>
        </w:rPr>
        <w:t>的建筑结构、质量进行调查的责任和其他被遮盖、未暴露及难于触及</w:t>
      </w:r>
      <w:r>
        <w:rPr>
          <w:rFonts w:hint="eastAsia" w:ascii="仿宋_GB2312" w:hAnsi="宋体" w:eastAsia="仿宋_GB2312"/>
          <w:sz w:val="28"/>
          <w:szCs w:val="28"/>
        </w:rPr>
        <w:t>的部分进行检视的责任。</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rPr>
      </w:pPr>
      <w:r>
        <w:rPr>
          <w:rFonts w:hint="eastAsia" w:ascii="仿宋_GB2312" w:hAnsi="宋体" w:eastAsia="仿宋_GB2312"/>
          <w:sz w:val="28"/>
          <w:szCs w:val="28"/>
        </w:rPr>
        <w:t>7、没有其他行业的专业人员对</w:t>
      </w:r>
      <w:r>
        <w:rPr>
          <w:rFonts w:hint="eastAsia" w:ascii="仿宋_GB2312" w:hAnsi="宋体" w:eastAsia="仿宋_GB2312"/>
          <w:sz w:val="28"/>
          <w:szCs w:val="28"/>
          <w:lang w:eastAsia="zh-CN"/>
        </w:rPr>
        <w:t>估价</w:t>
      </w:r>
      <w:r>
        <w:rPr>
          <w:rFonts w:hint="eastAsia" w:ascii="仿宋_GB2312" w:hAnsi="宋体" w:eastAsia="仿宋_GB2312"/>
          <w:sz w:val="28"/>
          <w:szCs w:val="28"/>
        </w:rPr>
        <w:t>报告提供了重要专业帮助。</w:t>
      </w:r>
      <w:bookmarkStart w:id="3" w:name="_Toc536174646"/>
      <w:bookmarkStart w:id="4" w:name="_Toc14172"/>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pStyle w:val="2"/>
        <w:pageBreakBefore w:val="0"/>
        <w:widowControl w:val="0"/>
        <w:kinsoku/>
        <w:wordWrap/>
        <w:overflowPunct/>
        <w:topLinePunct w:val="0"/>
        <w:autoSpaceDE/>
        <w:autoSpaceDN/>
        <w:bidi w:val="0"/>
        <w:adjustRightInd w:val="0"/>
        <w:snapToGrid w:val="0"/>
        <w:spacing w:after="93" w:line="480" w:lineRule="exact"/>
        <w:textAlignment w:val="auto"/>
        <w:rPr>
          <w:rFonts w:hint="eastAsia" w:ascii="仿宋_GB2312" w:hAnsi="宋体" w:eastAsia="仿宋_GB2312"/>
          <w:b/>
        </w:rPr>
      </w:pPr>
      <w:bookmarkStart w:id="5" w:name="_Toc1309"/>
      <w:r>
        <w:rPr>
          <w:rFonts w:hint="eastAsia" w:ascii="仿宋_GB2312" w:hAnsi="宋体" w:eastAsia="仿宋_GB2312"/>
          <w:b/>
        </w:rPr>
        <w:t>二、</w:t>
      </w:r>
      <w:r>
        <w:rPr>
          <w:rFonts w:hint="eastAsia" w:ascii="仿宋_GB2312" w:hAnsi="宋体" w:eastAsia="仿宋_GB2312"/>
          <w:b/>
          <w:lang w:eastAsia="zh-CN"/>
        </w:rPr>
        <w:t>估价</w:t>
      </w:r>
      <w:r>
        <w:rPr>
          <w:rFonts w:hint="eastAsia" w:ascii="仿宋_GB2312" w:hAnsi="宋体" w:eastAsia="仿宋_GB2312"/>
          <w:b/>
        </w:rPr>
        <w:t>的假设和限制条件</w:t>
      </w:r>
      <w:bookmarkEnd w:id="3"/>
      <w:bookmarkEnd w:id="4"/>
      <w:bookmarkEnd w:id="5"/>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jc w:val="both"/>
        <w:textAlignment w:val="baseline"/>
        <w:rPr>
          <w:rFonts w:hint="eastAsia" w:ascii="仿宋" w:hAnsi="仿宋" w:eastAsia="仿宋" w:cs="仿宋"/>
          <w:b/>
          <w:bCs w:val="0"/>
          <w:sz w:val="28"/>
          <w:szCs w:val="28"/>
          <w:lang w:val="en-US"/>
        </w:rPr>
      </w:pPr>
      <w:r>
        <w:rPr>
          <w:rFonts w:hint="eastAsia" w:ascii="仿宋" w:hAnsi="仿宋" w:eastAsia="仿宋" w:cs="仿宋"/>
          <w:b/>
          <w:bCs w:val="0"/>
          <w:color w:val="auto"/>
          <w:kern w:val="2"/>
          <w:sz w:val="28"/>
          <w:szCs w:val="28"/>
          <w:lang w:val="en-US" w:eastAsia="zh-CN" w:bidi="ar"/>
        </w:rPr>
        <w:t>一、估价假设</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562" w:firstLineChars="200"/>
        <w:jc w:val="both"/>
        <w:textAlignment w:val="baseline"/>
        <w:rPr>
          <w:rFonts w:hint="eastAsia" w:ascii="仿宋" w:hAnsi="仿宋" w:eastAsia="仿宋" w:cs="仿宋"/>
          <w:b/>
          <w:bCs w:val="0"/>
          <w:sz w:val="28"/>
          <w:szCs w:val="28"/>
          <w:lang w:val="en-US"/>
        </w:rPr>
      </w:pPr>
      <w:r>
        <w:rPr>
          <w:rFonts w:hint="eastAsia" w:ascii="仿宋" w:hAnsi="仿宋" w:eastAsia="仿宋" w:cs="仿宋"/>
          <w:b/>
          <w:bCs w:val="0"/>
          <w:color w:val="auto"/>
          <w:kern w:val="2"/>
          <w:sz w:val="28"/>
          <w:szCs w:val="28"/>
          <w:lang w:val="en-US" w:eastAsia="zh-CN" w:bidi="ar"/>
        </w:rPr>
        <w:t>1、一般假设</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560" w:firstLineChars="200"/>
        <w:jc w:val="both"/>
        <w:textAlignment w:val="baseline"/>
        <w:rPr>
          <w:rFonts w:hint="eastAsia" w:ascii="仿宋" w:hAnsi="仿宋" w:eastAsia="仿宋" w:cs="仿宋"/>
          <w:sz w:val="28"/>
          <w:szCs w:val="28"/>
          <w:lang w:val="en-US"/>
        </w:rPr>
      </w:pPr>
      <w:r>
        <w:rPr>
          <w:rFonts w:hint="eastAsia" w:ascii="仿宋" w:hAnsi="仿宋" w:eastAsia="仿宋" w:cs="仿宋"/>
          <w:color w:val="auto"/>
          <w:kern w:val="2"/>
          <w:sz w:val="28"/>
          <w:szCs w:val="28"/>
          <w:lang w:val="en-US" w:eastAsia="zh-CN" w:bidi="ar"/>
        </w:rPr>
        <w:t>（1）假定任何有关估价对象的运作方式、程序符合国家、地方的有关法律、法规。在价值时点时，估价对象权属合法、清晰，无争议，并能够正常上市交易。</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560" w:firstLineChars="200"/>
        <w:jc w:val="both"/>
        <w:textAlignment w:val="baseline"/>
        <w:rPr>
          <w:rFonts w:hint="eastAsia" w:ascii="仿宋" w:hAnsi="仿宋" w:eastAsia="仿宋" w:cs="仿宋"/>
          <w:sz w:val="28"/>
          <w:szCs w:val="28"/>
          <w:lang w:val="en-US"/>
        </w:rPr>
      </w:pPr>
      <w:r>
        <w:rPr>
          <w:rFonts w:hint="eastAsia" w:ascii="仿宋" w:hAnsi="仿宋" w:eastAsia="仿宋" w:cs="仿宋"/>
          <w:color w:val="auto"/>
          <w:kern w:val="2"/>
          <w:sz w:val="28"/>
          <w:szCs w:val="28"/>
          <w:lang w:val="en-US" w:eastAsia="zh-CN" w:bidi="ar"/>
        </w:rPr>
        <w:t>（2）本次估价，假定在价值时点时的房地产市场状况是公开、平等、自愿的交易市场。</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560" w:firstLineChars="200"/>
        <w:jc w:val="both"/>
        <w:textAlignment w:val="baseline"/>
        <w:rPr>
          <w:rFonts w:hint="eastAsia" w:ascii="仿宋" w:hAnsi="仿宋" w:eastAsia="仿宋" w:cs="仿宋"/>
          <w:sz w:val="28"/>
          <w:szCs w:val="28"/>
          <w:lang w:val="en-US"/>
        </w:rPr>
      </w:pPr>
      <w:r>
        <w:rPr>
          <w:rFonts w:hint="eastAsia" w:ascii="仿宋" w:hAnsi="仿宋" w:eastAsia="仿宋" w:cs="仿宋"/>
          <w:color w:val="auto"/>
          <w:kern w:val="2"/>
          <w:sz w:val="28"/>
          <w:szCs w:val="28"/>
          <w:lang w:val="en-US" w:eastAsia="zh-CN" w:bidi="ar"/>
        </w:rPr>
        <w:t>（3）以估价对象无权属纠纷，符合法律、法规规定，在市场上可转让为假设前提。</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560" w:firstLineChars="200"/>
        <w:jc w:val="both"/>
        <w:textAlignment w:val="baseline"/>
        <w:rPr>
          <w:rFonts w:hint="eastAsia" w:ascii="仿宋" w:hAnsi="仿宋" w:eastAsia="仿宋" w:cs="仿宋"/>
          <w:sz w:val="28"/>
          <w:szCs w:val="28"/>
          <w:lang w:val="en-US"/>
        </w:rPr>
      </w:pPr>
      <w:r>
        <w:rPr>
          <w:rFonts w:hint="eastAsia" w:ascii="仿宋" w:hAnsi="仿宋" w:eastAsia="仿宋" w:cs="仿宋"/>
          <w:color w:val="auto"/>
          <w:kern w:val="2"/>
          <w:sz w:val="28"/>
          <w:szCs w:val="28"/>
          <w:lang w:val="en-US" w:eastAsia="zh-CN" w:bidi="ar"/>
        </w:rPr>
        <w:t>（4）本次估价中，估价人员进行的实地查勘仅限于估价对象的外观和使用状况，未进行专业面积测量和质量鉴定，不承担对估价对象建筑结构质量进行调查的责任，也不承担对其他被遮盖未暴露及难于接触到的部分进行勘查的责任，故无理由怀疑建筑物存在安全隐患，假定估价对象建筑结构是安全的，无结构性损坏。</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560" w:firstLineChars="200"/>
        <w:jc w:val="both"/>
        <w:textAlignment w:val="baseline"/>
        <w:rPr>
          <w:rFonts w:hint="eastAsia" w:ascii="仿宋" w:hAnsi="仿宋" w:eastAsia="仿宋" w:cs="仿宋"/>
          <w:sz w:val="28"/>
          <w:szCs w:val="28"/>
          <w:lang w:val="en-US"/>
        </w:rPr>
      </w:pPr>
      <w:r>
        <w:rPr>
          <w:rFonts w:hint="eastAsia" w:ascii="仿宋" w:hAnsi="仿宋" w:eastAsia="仿宋" w:cs="仿宋"/>
          <w:color w:val="auto"/>
          <w:kern w:val="2"/>
          <w:sz w:val="28"/>
          <w:szCs w:val="28"/>
          <w:lang w:val="en-US" w:eastAsia="zh-CN" w:bidi="ar"/>
        </w:rPr>
        <w:t>（5）估价委托人提供的房地产估价所必需的有关情况、资料是本次估价的重要依据，估价人员无理由怀疑估价委托人提供的情况和资料的真实性、合法性、完整性和有效性，未向政府有关部门核实和查证，故假设产权证等资料所记载数据可靠，且不存在争议。</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560" w:firstLineChars="200"/>
        <w:jc w:val="both"/>
        <w:textAlignment w:val="baseline"/>
        <w:rPr>
          <w:rFonts w:hint="eastAsia" w:ascii="仿宋" w:hAnsi="仿宋" w:eastAsia="仿宋" w:cs="仿宋"/>
          <w:color w:val="auto"/>
          <w:kern w:val="2"/>
          <w:sz w:val="28"/>
          <w:szCs w:val="28"/>
          <w:lang w:val="en-US" w:eastAsia="zh-CN" w:bidi="ar"/>
        </w:rPr>
      </w:pPr>
      <w:r>
        <w:rPr>
          <w:rFonts w:hint="eastAsia" w:ascii="仿宋" w:hAnsi="仿宋" w:eastAsia="仿宋" w:cs="仿宋"/>
          <w:color w:val="auto"/>
          <w:kern w:val="2"/>
          <w:sz w:val="28"/>
          <w:szCs w:val="28"/>
          <w:lang w:val="en-US" w:eastAsia="zh-CN" w:bidi="ar"/>
        </w:rPr>
        <w:t>（6）本估价报告中的估价对象目前处于空置状况，本次估价对象房地产市场价值不考虑估价对象租赁权影响。</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560" w:firstLineChars="200"/>
        <w:jc w:val="both"/>
        <w:textAlignment w:val="baseline"/>
        <w:rPr>
          <w:rFonts w:hint="eastAsia" w:ascii="仿宋" w:hAnsi="仿宋" w:eastAsia="仿宋" w:cs="仿宋"/>
          <w:color w:val="auto"/>
          <w:kern w:val="2"/>
          <w:sz w:val="28"/>
          <w:szCs w:val="28"/>
          <w:lang w:val="en-US" w:eastAsia="zh-CN" w:bidi="ar"/>
        </w:rPr>
      </w:pPr>
      <w:r>
        <w:rPr>
          <w:rFonts w:hint="eastAsia" w:ascii="仿宋" w:hAnsi="仿宋" w:eastAsia="仿宋" w:cs="仿宋"/>
          <w:color w:val="auto"/>
          <w:kern w:val="2"/>
          <w:sz w:val="28"/>
          <w:szCs w:val="28"/>
          <w:lang w:val="en-US" w:eastAsia="zh-CN" w:bidi="ar"/>
        </w:rPr>
        <w:t>（7）本估价报告中的估价对象房地产假定人民法院拍卖（或者变卖）财产之日的评估对象状况和房地产市场状况与实地查勘完成之日的状况相同。</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562" w:firstLineChars="200"/>
        <w:jc w:val="both"/>
        <w:textAlignment w:val="baseline"/>
        <w:rPr>
          <w:rFonts w:hint="eastAsia" w:ascii="仿宋" w:hAnsi="仿宋" w:eastAsia="仿宋" w:cs="仿宋"/>
          <w:b/>
          <w:bCs w:val="0"/>
          <w:sz w:val="28"/>
          <w:szCs w:val="28"/>
          <w:lang w:val="en-US"/>
        </w:rPr>
      </w:pPr>
      <w:r>
        <w:rPr>
          <w:rFonts w:hint="eastAsia" w:ascii="仿宋" w:hAnsi="仿宋" w:eastAsia="仿宋" w:cs="仿宋"/>
          <w:b/>
          <w:bCs w:val="0"/>
          <w:color w:val="auto"/>
          <w:kern w:val="2"/>
          <w:sz w:val="28"/>
          <w:szCs w:val="28"/>
          <w:lang w:val="en-US" w:eastAsia="zh-CN" w:bidi="ar"/>
        </w:rPr>
        <w:t>2、未定事项假设</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536" w:firstLineChars="200"/>
        <w:jc w:val="both"/>
        <w:textAlignment w:val="baseline"/>
        <w:rPr>
          <w:rFonts w:hint="eastAsia" w:ascii="仿宋" w:hAnsi="仿宋" w:eastAsia="仿宋" w:cs="仿宋"/>
          <w:spacing w:val="-6"/>
          <w:sz w:val="28"/>
          <w:szCs w:val="28"/>
          <w:lang w:val="en-US"/>
        </w:rPr>
      </w:pPr>
      <w:r>
        <w:rPr>
          <w:rFonts w:hint="eastAsia" w:ascii="仿宋" w:hAnsi="仿宋" w:eastAsia="仿宋" w:cs="仿宋"/>
          <w:color w:val="auto"/>
          <w:spacing w:val="-6"/>
          <w:kern w:val="2"/>
          <w:sz w:val="28"/>
          <w:szCs w:val="28"/>
          <w:lang w:val="en-US" w:eastAsia="zh-CN" w:bidi="ar"/>
        </w:rPr>
        <w:t>无未定事项假设。</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562" w:firstLineChars="200"/>
        <w:jc w:val="both"/>
        <w:textAlignment w:val="baseline"/>
        <w:rPr>
          <w:rFonts w:hint="eastAsia" w:ascii="仿宋" w:hAnsi="仿宋" w:eastAsia="仿宋" w:cs="仿宋"/>
          <w:b/>
          <w:bCs w:val="0"/>
          <w:sz w:val="28"/>
          <w:szCs w:val="28"/>
          <w:lang w:val="en-US"/>
        </w:rPr>
      </w:pPr>
      <w:r>
        <w:rPr>
          <w:rFonts w:hint="eastAsia" w:ascii="仿宋" w:hAnsi="仿宋" w:eastAsia="仿宋" w:cs="仿宋"/>
          <w:b/>
          <w:bCs w:val="0"/>
          <w:color w:val="auto"/>
          <w:kern w:val="2"/>
          <w:sz w:val="28"/>
          <w:szCs w:val="28"/>
          <w:lang w:val="en-US" w:eastAsia="zh-CN" w:bidi="ar"/>
        </w:rPr>
        <w:t>3、背离事实假设</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560" w:firstLineChars="200"/>
        <w:jc w:val="both"/>
        <w:textAlignment w:val="baseline"/>
        <w:rPr>
          <w:rFonts w:hint="eastAsia" w:ascii="仿宋" w:hAnsi="仿宋" w:eastAsia="仿宋" w:cs="仿宋"/>
          <w:b w:val="0"/>
          <w:bCs/>
          <w:color w:val="auto"/>
          <w:kern w:val="2"/>
          <w:sz w:val="28"/>
          <w:szCs w:val="28"/>
          <w:lang w:val="en-US" w:eastAsia="zh-CN" w:bidi="ar"/>
        </w:rPr>
      </w:pPr>
      <w:r>
        <w:rPr>
          <w:rFonts w:hint="eastAsia" w:ascii="仿宋" w:hAnsi="仿宋" w:eastAsia="仿宋" w:cs="仿宋"/>
          <w:b w:val="0"/>
          <w:bCs/>
          <w:color w:val="auto"/>
          <w:kern w:val="2"/>
          <w:sz w:val="28"/>
          <w:szCs w:val="28"/>
          <w:lang w:val="en-US" w:eastAsia="zh-CN" w:bidi="ar"/>
        </w:rPr>
        <w:t>估价报告不考虑评估对象被查封以及原有的担保物权和其他优先受偿权情况，视为没有查封、未设立担保物权及其他优先受偿权的财产进行评估。</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562" w:firstLineChars="200"/>
        <w:jc w:val="both"/>
        <w:textAlignment w:val="baseline"/>
        <w:rPr>
          <w:rFonts w:hint="eastAsia" w:ascii="仿宋" w:hAnsi="仿宋" w:eastAsia="仿宋" w:cs="仿宋"/>
          <w:b/>
          <w:bCs w:val="0"/>
          <w:sz w:val="28"/>
          <w:szCs w:val="28"/>
          <w:lang w:val="en-US"/>
        </w:rPr>
      </w:pPr>
      <w:r>
        <w:rPr>
          <w:rFonts w:hint="eastAsia" w:ascii="仿宋" w:hAnsi="仿宋" w:eastAsia="仿宋" w:cs="仿宋"/>
          <w:b/>
          <w:bCs w:val="0"/>
          <w:color w:val="auto"/>
          <w:kern w:val="2"/>
          <w:sz w:val="28"/>
          <w:szCs w:val="28"/>
          <w:lang w:val="en-US" w:eastAsia="zh-CN" w:bidi="ar"/>
        </w:rPr>
        <w:t>4、不相一致假设</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560" w:firstLineChars="200"/>
        <w:jc w:val="both"/>
        <w:textAlignment w:val="baseline"/>
        <w:rPr>
          <w:rFonts w:hint="default" w:ascii="仿宋" w:hAnsi="仿宋" w:eastAsia="仿宋" w:cs="仿宋"/>
          <w:b w:val="0"/>
          <w:bCs/>
          <w:color w:val="auto"/>
          <w:kern w:val="2"/>
          <w:sz w:val="28"/>
          <w:szCs w:val="28"/>
          <w:lang w:val="en-US" w:eastAsia="zh-CN" w:bidi="ar"/>
        </w:rPr>
      </w:pPr>
      <w:r>
        <w:rPr>
          <w:rFonts w:hint="eastAsia" w:ascii="仿宋" w:hAnsi="仿宋" w:eastAsia="仿宋" w:cs="仿宋"/>
          <w:b w:val="0"/>
          <w:bCs/>
          <w:color w:val="auto"/>
          <w:kern w:val="2"/>
          <w:sz w:val="28"/>
          <w:szCs w:val="28"/>
          <w:lang w:val="en-US" w:eastAsia="zh-CN" w:bidi="ar"/>
        </w:rPr>
        <w:t>无不相一致假设。</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562" w:firstLineChars="200"/>
        <w:jc w:val="both"/>
        <w:textAlignment w:val="baseline"/>
        <w:rPr>
          <w:rFonts w:hint="eastAsia" w:ascii="仿宋" w:hAnsi="仿宋" w:eastAsia="仿宋" w:cs="仿宋"/>
          <w:b/>
          <w:bCs w:val="0"/>
          <w:sz w:val="28"/>
          <w:szCs w:val="28"/>
          <w:lang w:val="en-US"/>
        </w:rPr>
      </w:pPr>
      <w:r>
        <w:rPr>
          <w:rFonts w:hint="eastAsia" w:ascii="仿宋" w:hAnsi="仿宋" w:eastAsia="仿宋" w:cs="仿宋"/>
          <w:b/>
          <w:bCs w:val="0"/>
          <w:color w:val="auto"/>
          <w:kern w:val="2"/>
          <w:sz w:val="28"/>
          <w:szCs w:val="28"/>
          <w:lang w:val="en-US" w:eastAsia="zh-CN" w:bidi="ar"/>
        </w:rPr>
        <w:t>5、依据不足假设</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560" w:firstLineChars="200"/>
        <w:jc w:val="both"/>
        <w:textAlignment w:val="baseline"/>
        <w:rPr>
          <w:rFonts w:hint="eastAsia" w:ascii="仿宋" w:hAnsi="仿宋" w:eastAsia="仿宋" w:cs="仿宋"/>
          <w:color w:val="auto"/>
          <w:kern w:val="2"/>
          <w:sz w:val="28"/>
          <w:szCs w:val="28"/>
          <w:lang w:val="en-US" w:eastAsia="zh-CN" w:bidi="ar"/>
        </w:rPr>
      </w:pPr>
      <w:r>
        <w:rPr>
          <w:rFonts w:hint="eastAsia" w:ascii="仿宋" w:hAnsi="仿宋" w:eastAsia="仿宋" w:cs="仿宋"/>
          <w:color w:val="auto"/>
          <w:kern w:val="2"/>
          <w:sz w:val="28"/>
          <w:szCs w:val="28"/>
          <w:lang w:val="en-US" w:eastAsia="zh-CN" w:bidi="ar"/>
        </w:rPr>
        <w:t>无依据不足假设。</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jc w:val="both"/>
        <w:textAlignment w:val="baseline"/>
        <w:rPr>
          <w:rFonts w:hint="eastAsia" w:ascii="仿宋" w:hAnsi="仿宋" w:eastAsia="仿宋" w:cs="仿宋"/>
          <w:b/>
          <w:bCs w:val="0"/>
          <w:sz w:val="28"/>
          <w:szCs w:val="28"/>
          <w:lang w:val="en-US"/>
        </w:rPr>
      </w:pPr>
      <w:r>
        <w:rPr>
          <w:rFonts w:hint="eastAsia" w:ascii="仿宋" w:hAnsi="仿宋" w:eastAsia="仿宋" w:cs="仿宋"/>
          <w:b/>
          <w:bCs w:val="0"/>
          <w:color w:val="auto"/>
          <w:kern w:val="2"/>
          <w:sz w:val="28"/>
          <w:szCs w:val="28"/>
          <w:lang w:val="en-US" w:eastAsia="zh-CN" w:bidi="ar"/>
        </w:rPr>
        <w:t>二、限制条件</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560" w:firstLineChars="200"/>
        <w:jc w:val="both"/>
        <w:textAlignment w:val="baseline"/>
        <w:rPr>
          <w:rFonts w:hint="eastAsia" w:ascii="仿宋" w:hAnsi="仿宋" w:eastAsia="仿宋" w:cs="仿宋"/>
          <w:color w:val="auto"/>
          <w:kern w:val="2"/>
          <w:sz w:val="28"/>
          <w:szCs w:val="28"/>
          <w:lang w:val="en-US" w:eastAsia="zh-CN" w:bidi="ar"/>
        </w:rPr>
      </w:pPr>
      <w:r>
        <w:rPr>
          <w:rFonts w:hint="eastAsia" w:ascii="仿宋" w:hAnsi="仿宋" w:eastAsia="仿宋" w:cs="仿宋"/>
          <w:color w:val="auto"/>
          <w:kern w:val="2"/>
          <w:sz w:val="28"/>
          <w:szCs w:val="28"/>
          <w:lang w:val="en-US" w:eastAsia="zh-CN" w:bidi="ar"/>
        </w:rPr>
        <w:t>1、本报告仅为南昌高新技术产业开发区人民法院进行司法处置提供价格参考依据，若改变估价目的及使用条件需向本估价机构咨询后重新出具报告。</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560" w:firstLineChars="200"/>
        <w:jc w:val="both"/>
        <w:textAlignment w:val="baseline"/>
        <w:rPr>
          <w:rFonts w:hint="eastAsia" w:ascii="仿宋" w:hAnsi="仿宋" w:eastAsia="仿宋" w:cs="仿宋"/>
          <w:color w:val="auto"/>
          <w:kern w:val="2"/>
          <w:sz w:val="28"/>
          <w:szCs w:val="28"/>
          <w:lang w:val="en-US" w:eastAsia="zh-CN" w:bidi="ar"/>
        </w:rPr>
      </w:pPr>
      <w:r>
        <w:rPr>
          <w:rFonts w:hint="eastAsia" w:ascii="仿宋" w:hAnsi="仿宋" w:eastAsia="仿宋" w:cs="仿宋"/>
          <w:color w:val="auto"/>
          <w:kern w:val="2"/>
          <w:sz w:val="28"/>
          <w:szCs w:val="28"/>
          <w:lang w:val="en-US" w:eastAsia="zh-CN" w:bidi="ar"/>
        </w:rPr>
        <w:t>2、估价对象的价值内涵是因司法处置涉及的房地产市场价值，未考虑未来市场变化风险对评估价值的影响，评估价值不包括办理产权登记过程中所涉及的买卖双方所需承担的一切税、费和所需补交的相关税、费（包括但不限于所得税、增值税、土地增值税、契税、过户手续费、印花税、权证费、水利基金费、划拨土地转让补交的出让金以及房产及土地交易中规定缴纳的各种费用）。</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560" w:firstLineChars="200"/>
        <w:jc w:val="both"/>
        <w:textAlignment w:val="baseline"/>
        <w:rPr>
          <w:rFonts w:hint="default" w:ascii="仿宋" w:hAnsi="仿宋" w:eastAsia="仿宋" w:cs="仿宋"/>
          <w:color w:val="auto"/>
          <w:kern w:val="2"/>
          <w:sz w:val="28"/>
          <w:szCs w:val="28"/>
          <w:lang w:val="en-US" w:eastAsia="zh-CN" w:bidi="ar"/>
        </w:rPr>
      </w:pPr>
      <w:r>
        <w:rPr>
          <w:rFonts w:hint="eastAsia" w:ascii="仿宋" w:hAnsi="仿宋" w:eastAsia="仿宋" w:cs="仿宋"/>
          <w:color w:val="auto"/>
          <w:kern w:val="2"/>
          <w:sz w:val="28"/>
          <w:szCs w:val="28"/>
          <w:lang w:val="en-US" w:eastAsia="zh-CN" w:bidi="ar"/>
        </w:rPr>
        <w:t>3、本次估价结果是在估价假设和限制条件下的房地合一价值，包括房屋所有权和建设用地使用权，包括其附着于建筑物的装饰装修价值，不包括室内家具、家电等可移动资产价值。</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560" w:firstLineChars="200"/>
        <w:jc w:val="both"/>
        <w:textAlignment w:val="baseline"/>
        <w:rPr>
          <w:rFonts w:hint="default" w:ascii="仿宋" w:hAnsi="仿宋" w:eastAsia="仿宋" w:cs="仿宋"/>
          <w:sz w:val="28"/>
          <w:szCs w:val="28"/>
          <w:lang w:val="en-US"/>
        </w:rPr>
      </w:pPr>
      <w:r>
        <w:rPr>
          <w:rFonts w:hint="eastAsia" w:ascii="仿宋" w:hAnsi="仿宋" w:eastAsia="仿宋" w:cs="仿宋"/>
          <w:color w:val="auto"/>
          <w:kern w:val="2"/>
          <w:sz w:val="28"/>
          <w:szCs w:val="28"/>
          <w:lang w:val="en-US" w:eastAsia="zh-CN" w:bidi="ar"/>
        </w:rPr>
        <w:t xml:space="preserve">4、本报告使用期限为一年。即自估价报告出具之日起一年内有效，超过一年，需重新进行评估。                                                                                                                                                                                                                                                                                                                                                                                                                                                                                                                                                                                                                                                                                                                                                                                                                 </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560" w:firstLineChars="200"/>
        <w:jc w:val="both"/>
        <w:textAlignment w:val="baseline"/>
        <w:rPr>
          <w:rFonts w:hint="eastAsia" w:ascii="仿宋" w:hAnsi="仿宋" w:eastAsia="仿宋" w:cs="仿宋"/>
          <w:color w:val="auto"/>
          <w:kern w:val="2"/>
          <w:sz w:val="28"/>
          <w:szCs w:val="28"/>
          <w:lang w:val="en-US" w:eastAsia="zh-CN" w:bidi="ar"/>
        </w:rPr>
      </w:pPr>
      <w:r>
        <w:rPr>
          <w:rFonts w:hint="eastAsia" w:ascii="仿宋" w:hAnsi="仿宋" w:eastAsia="仿宋" w:cs="仿宋"/>
          <w:color w:val="auto"/>
          <w:kern w:val="2"/>
          <w:sz w:val="28"/>
          <w:szCs w:val="28"/>
          <w:lang w:val="en-US" w:eastAsia="zh-CN" w:bidi="ar"/>
        </w:rPr>
        <w:t>5、本报告专为委托人所使用，未经本公司同意，不得向委托人和估价报告审查部门之外的单位和个人提供。报告的全部或部分内容不得发表任何公开媒体上。</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560" w:firstLineChars="200"/>
        <w:jc w:val="both"/>
        <w:textAlignment w:val="baseline"/>
        <w:rPr>
          <w:rFonts w:hint="default" w:ascii="仿宋" w:hAnsi="仿宋" w:eastAsia="仿宋" w:cs="仿宋"/>
          <w:color w:val="auto"/>
          <w:kern w:val="2"/>
          <w:sz w:val="28"/>
          <w:szCs w:val="28"/>
          <w:lang w:val="en-US" w:eastAsia="zh-CN" w:bidi="ar"/>
        </w:rPr>
      </w:pPr>
      <w:r>
        <w:rPr>
          <w:rFonts w:hint="eastAsia" w:ascii="仿宋" w:hAnsi="仿宋" w:eastAsia="仿宋" w:cs="仿宋"/>
          <w:color w:val="auto"/>
          <w:kern w:val="2"/>
          <w:sz w:val="28"/>
          <w:szCs w:val="28"/>
          <w:lang w:val="en-US" w:eastAsia="zh-CN" w:bidi="ar"/>
        </w:rPr>
        <w:t>6、本估价报告必须完整使用（尤其是价格）方为有效，对仅使用本估价报告中的部分内容所导致的可能发生的损失，估价机构不承担任何责任，如当事人对本估价报告有异议，需在收到估价报告后五日内以书面形式提出。</w:t>
      </w:r>
    </w:p>
    <w:p>
      <w:pPr>
        <w:pageBreakBefore w:val="0"/>
        <w:widowControl w:val="0"/>
        <w:tabs>
          <w:tab w:val="left" w:pos="3023"/>
        </w:tabs>
        <w:kinsoku/>
        <w:wordWrap/>
        <w:overflowPunct/>
        <w:topLinePunct w:val="0"/>
        <w:autoSpaceDE/>
        <w:autoSpaceDN/>
        <w:bidi w:val="0"/>
        <w:adjustRightInd w:val="0"/>
        <w:snapToGrid w:val="0"/>
        <w:spacing w:line="480" w:lineRule="exact"/>
        <w:ind w:firstLine="560" w:firstLineChars="200"/>
        <w:textAlignment w:val="auto"/>
        <w:rPr>
          <w:rFonts w:hint="eastAsia" w:ascii="仿宋_GB2312" w:eastAsia="仿宋_GB2312"/>
          <w:sz w:val="28"/>
          <w:szCs w:val="28"/>
        </w:rPr>
      </w:pPr>
      <w:r>
        <w:rPr>
          <w:rFonts w:hint="eastAsia" w:ascii="仿宋" w:hAnsi="仿宋" w:eastAsia="仿宋" w:cs="仿宋"/>
          <w:color w:val="auto"/>
          <w:kern w:val="2"/>
          <w:sz w:val="28"/>
          <w:szCs w:val="28"/>
          <w:lang w:val="en-US" w:eastAsia="zh-CN" w:bidi="ar"/>
        </w:rPr>
        <w:t>7、本估价报告经估价机构盖章并由注册房地产估价师签字后方可使用。由江西万恒房地产资产评估咨询有限公司负责解释。</w:t>
      </w:r>
    </w:p>
    <w:p>
      <w:pPr>
        <w:pageBreakBefore w:val="0"/>
        <w:widowControl w:val="0"/>
        <w:kinsoku/>
        <w:wordWrap/>
        <w:overflowPunct/>
        <w:topLinePunct w:val="0"/>
        <w:autoSpaceDE/>
        <w:autoSpaceDN/>
        <w:bidi w:val="0"/>
        <w:adjustRightInd w:val="0"/>
        <w:snapToGrid w:val="0"/>
        <w:spacing w:line="480" w:lineRule="exact"/>
        <w:textAlignment w:val="auto"/>
        <w:rPr>
          <w:rFonts w:hint="eastAsia"/>
          <w:lang w:eastAsia="zh-CN"/>
        </w:rPr>
      </w:pPr>
      <w:r>
        <w:rPr>
          <w:rFonts w:hint="eastAsia" w:ascii="仿宋" w:hAnsi="仿宋" w:eastAsia="仿宋" w:cs="仿宋"/>
          <w:b/>
          <w:bCs w:val="0"/>
          <w:color w:val="auto"/>
          <w:kern w:val="2"/>
          <w:sz w:val="28"/>
          <w:szCs w:val="28"/>
          <w:lang w:val="en-US" w:eastAsia="zh-CN" w:bidi="ar"/>
        </w:rPr>
        <w:t>三、其他说明事项</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560" w:firstLineChars="200"/>
        <w:jc w:val="both"/>
        <w:textAlignment w:val="baseline"/>
        <w:rPr>
          <w:rFonts w:hint="eastAsia" w:ascii="仿宋" w:hAnsi="仿宋" w:eastAsia="仿宋" w:cs="仿宋"/>
          <w:color w:val="auto"/>
          <w:kern w:val="2"/>
          <w:sz w:val="28"/>
          <w:szCs w:val="28"/>
          <w:lang w:val="en-US" w:eastAsia="zh-CN" w:bidi="ar"/>
        </w:rPr>
      </w:pPr>
      <w:r>
        <w:rPr>
          <w:rFonts w:hint="eastAsia" w:ascii="仿宋" w:hAnsi="仿宋" w:eastAsia="仿宋" w:cs="仿宋"/>
          <w:color w:val="auto"/>
          <w:kern w:val="2"/>
          <w:sz w:val="28"/>
          <w:szCs w:val="28"/>
          <w:lang w:val="en-US" w:eastAsia="zh-CN" w:bidi="ar"/>
        </w:rPr>
        <w:t>1．本估价报告中的数据全部采用电算化连续计算得出，由于在报告中计算的数据均按四舍五入进行取整，因此，可能出现个别等式左右不完全相等的情况，但此种情况不影响计算结果及估价结论的准确性。</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560" w:firstLineChars="200"/>
        <w:jc w:val="both"/>
        <w:textAlignment w:val="baseline"/>
        <w:rPr>
          <w:rFonts w:hint="eastAsia" w:ascii="仿宋" w:hAnsi="仿宋" w:eastAsia="仿宋" w:cs="仿宋"/>
          <w:color w:val="auto"/>
          <w:kern w:val="2"/>
          <w:sz w:val="28"/>
          <w:szCs w:val="28"/>
          <w:lang w:val="en-US" w:eastAsia="zh-CN" w:bidi="ar"/>
        </w:rPr>
      </w:pPr>
      <w:r>
        <w:rPr>
          <w:rFonts w:hint="eastAsia" w:ascii="仿宋" w:hAnsi="仿宋" w:eastAsia="仿宋" w:cs="仿宋"/>
          <w:color w:val="auto"/>
          <w:kern w:val="2"/>
          <w:sz w:val="28"/>
          <w:szCs w:val="28"/>
          <w:lang w:val="en-US" w:eastAsia="zh-CN" w:bidi="ar"/>
        </w:rPr>
        <w:t>2.在评估结果有效期内，评估对象状况或者房地产市场发生明显变化的，评估结果应当进行相应调整。</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560" w:firstLineChars="200"/>
        <w:jc w:val="both"/>
        <w:textAlignment w:val="baseline"/>
        <w:rPr>
          <w:rFonts w:hint="eastAsia" w:ascii="仿宋" w:hAnsi="仿宋" w:eastAsia="仿宋" w:cs="仿宋"/>
          <w:color w:val="auto"/>
          <w:kern w:val="2"/>
          <w:sz w:val="28"/>
          <w:szCs w:val="28"/>
          <w:lang w:val="en-US" w:eastAsia="zh-CN" w:bidi="ar"/>
        </w:rPr>
      </w:pPr>
      <w:r>
        <w:rPr>
          <w:rFonts w:hint="eastAsia" w:ascii="仿宋" w:hAnsi="仿宋" w:eastAsia="仿宋" w:cs="仿宋"/>
          <w:color w:val="auto"/>
          <w:kern w:val="2"/>
          <w:sz w:val="28"/>
          <w:szCs w:val="28"/>
          <w:lang w:val="en-US" w:eastAsia="zh-CN" w:bidi="ar"/>
        </w:rPr>
        <w:t>3.委托人或者评估报告使用人应当按照法律规定和评估报告载明的使用范围使用评估报告，违反该规定使用评估报告的，房地产估价机构和注册房地产估价师依法不承担责任。</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20" w:lineRule="exact"/>
        <w:ind w:left="0" w:right="0" w:firstLine="560" w:firstLineChars="200"/>
        <w:jc w:val="both"/>
        <w:textAlignment w:val="baseline"/>
        <w:rPr>
          <w:rFonts w:hint="eastAsia"/>
        </w:rPr>
      </w:pPr>
      <w:r>
        <w:rPr>
          <w:rFonts w:hint="eastAsia" w:ascii="仿宋" w:hAnsi="仿宋" w:eastAsia="仿宋" w:cs="仿宋"/>
          <w:color w:val="auto"/>
          <w:kern w:val="2"/>
          <w:sz w:val="28"/>
          <w:szCs w:val="28"/>
          <w:lang w:val="en-US" w:eastAsia="zh-CN" w:bidi="ar"/>
        </w:rPr>
        <w:t>4.评估结果不等于评估对象处置可实现的成交价，不应被认为是对评估对象处置成交价的保证。</w:t>
      </w:r>
      <w:r>
        <w:rPr>
          <w:rFonts w:hint="eastAsia"/>
        </w:rPr>
        <w:br w:type="page"/>
      </w:r>
    </w:p>
    <w:p>
      <w:pPr>
        <w:pStyle w:val="2"/>
        <w:keepNext/>
        <w:keepLines/>
        <w:pageBreakBefore w:val="0"/>
        <w:widowControl w:val="0"/>
        <w:kinsoku/>
        <w:wordWrap/>
        <w:overflowPunct/>
        <w:topLinePunct w:val="0"/>
        <w:autoSpaceDE/>
        <w:autoSpaceDN/>
        <w:bidi w:val="0"/>
        <w:adjustRightInd w:val="0"/>
        <w:snapToGrid w:val="0"/>
        <w:spacing w:after="93" w:line="480" w:lineRule="exact"/>
        <w:ind w:firstLine="108"/>
        <w:textAlignment w:val="auto"/>
        <w:rPr>
          <w:rFonts w:hint="eastAsia" w:ascii="仿宋_GB2312" w:eastAsia="仿宋_GB2312"/>
          <w:b/>
          <w:bCs w:val="0"/>
        </w:rPr>
      </w:pPr>
      <w:bookmarkStart w:id="6" w:name="_Toc536174647"/>
      <w:bookmarkStart w:id="7" w:name="_Toc561"/>
      <w:bookmarkStart w:id="8" w:name="_Toc29780"/>
      <w:r>
        <w:rPr>
          <w:rFonts w:hint="eastAsia" w:ascii="仿宋_GB2312" w:eastAsia="仿宋_GB2312"/>
          <w:b/>
          <w:bCs w:val="0"/>
        </w:rPr>
        <w:t>三、</w:t>
      </w:r>
      <w:r>
        <w:rPr>
          <w:rFonts w:hint="eastAsia" w:ascii="仿宋_GB2312" w:eastAsia="仿宋_GB2312"/>
          <w:b/>
          <w:bCs w:val="0"/>
          <w:lang w:eastAsia="zh-CN"/>
        </w:rPr>
        <w:t>估价</w:t>
      </w:r>
      <w:r>
        <w:rPr>
          <w:rFonts w:hint="eastAsia" w:ascii="仿宋_GB2312" w:eastAsia="仿宋_GB2312"/>
          <w:b/>
          <w:bCs w:val="0"/>
        </w:rPr>
        <w:t>结果报告</w:t>
      </w:r>
      <w:bookmarkEnd w:id="6"/>
      <w:bookmarkEnd w:id="7"/>
      <w:bookmarkEnd w:id="8"/>
    </w:p>
    <w:p>
      <w:pPr>
        <w:pStyle w:val="4"/>
        <w:pageBreakBefore w:val="0"/>
        <w:widowControl w:val="0"/>
        <w:kinsoku/>
        <w:wordWrap/>
        <w:overflowPunct/>
        <w:topLinePunct w:val="0"/>
        <w:autoSpaceDE/>
        <w:autoSpaceDN/>
        <w:bidi w:val="0"/>
        <w:adjustRightInd w:val="0"/>
        <w:snapToGrid w:val="0"/>
        <w:spacing w:line="480" w:lineRule="exact"/>
        <w:textAlignment w:val="auto"/>
        <w:rPr>
          <w:rFonts w:hint="eastAsia" w:ascii="仿宋_GB2312" w:eastAsia="仿宋_GB2312"/>
          <w:b/>
        </w:rPr>
      </w:pPr>
      <w:bookmarkStart w:id="9" w:name="_Toc536174648"/>
      <w:bookmarkStart w:id="10" w:name="_Toc4725"/>
      <w:bookmarkStart w:id="11" w:name="_Toc3578"/>
      <w:r>
        <w:rPr>
          <w:rFonts w:hint="eastAsia" w:ascii="仿宋_GB2312" w:eastAsia="仿宋_GB2312"/>
          <w:b/>
        </w:rPr>
        <w:t>（一）</w:t>
      </w:r>
      <w:bookmarkEnd w:id="9"/>
      <w:bookmarkEnd w:id="10"/>
      <w:r>
        <w:rPr>
          <w:rFonts w:hint="eastAsia" w:ascii="仿宋_GB2312" w:eastAsia="仿宋_GB2312"/>
          <w:b/>
          <w:lang w:eastAsia="zh-CN"/>
        </w:rPr>
        <w:t>估价委托人</w:t>
      </w:r>
      <w:bookmarkEnd w:id="11"/>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default" w:ascii="仿宋_GB2312" w:hAnsi="宋体" w:eastAsia="仿宋_GB2312"/>
          <w:sz w:val="28"/>
          <w:szCs w:val="28"/>
          <w:lang w:val="en-US" w:eastAsia="zh-CN"/>
        </w:rPr>
      </w:pPr>
      <w:r>
        <w:rPr>
          <w:rFonts w:hint="default" w:ascii="Times New Roman" w:hAnsi="Times New Roman" w:eastAsia="仿宋_GB2312" w:cs="Times New Roman"/>
          <w:bCs/>
          <w:sz w:val="28"/>
          <w:szCs w:val="28"/>
        </w:rPr>
        <w:t>名称</w:t>
      </w:r>
      <w:r>
        <w:rPr>
          <w:rFonts w:hint="eastAsia" w:ascii="仿宋_GB2312" w:hAnsi="宋体" w:eastAsia="仿宋_GB2312"/>
          <w:color w:val="auto"/>
          <w:sz w:val="28"/>
          <w:szCs w:val="28"/>
        </w:rPr>
        <w:t>：</w:t>
      </w:r>
      <w:r>
        <w:rPr>
          <w:rFonts w:hint="eastAsia" w:ascii="仿宋_GB2312" w:hAnsi="宋体" w:eastAsia="仿宋_GB2312"/>
          <w:color w:val="auto"/>
          <w:sz w:val="28"/>
          <w:szCs w:val="28"/>
          <w:lang w:eastAsia="zh-CN"/>
        </w:rPr>
        <w:t>南昌高新技术产业开发区人民法院</w:t>
      </w:r>
    </w:p>
    <w:p>
      <w:pPr>
        <w:pStyle w:val="4"/>
        <w:pageBreakBefore w:val="0"/>
        <w:widowControl w:val="0"/>
        <w:kinsoku/>
        <w:wordWrap/>
        <w:overflowPunct/>
        <w:topLinePunct w:val="0"/>
        <w:autoSpaceDE/>
        <w:autoSpaceDN/>
        <w:bidi w:val="0"/>
        <w:adjustRightInd w:val="0"/>
        <w:snapToGrid w:val="0"/>
        <w:spacing w:line="480" w:lineRule="exact"/>
        <w:textAlignment w:val="auto"/>
        <w:rPr>
          <w:rFonts w:hint="eastAsia" w:ascii="仿宋_GB2312" w:eastAsia="仿宋_GB2312"/>
          <w:b/>
        </w:rPr>
      </w:pPr>
      <w:bookmarkStart w:id="12" w:name="_Toc9024"/>
      <w:bookmarkStart w:id="13" w:name="_Toc536174649"/>
      <w:bookmarkStart w:id="14" w:name="_Toc9388"/>
      <w:r>
        <w:rPr>
          <w:rFonts w:hint="eastAsia" w:ascii="仿宋_GB2312" w:eastAsia="仿宋_GB2312"/>
          <w:b/>
        </w:rPr>
        <w:t>（二）</w:t>
      </w:r>
      <w:r>
        <w:rPr>
          <w:rFonts w:hint="eastAsia" w:ascii="仿宋_GB2312" w:eastAsia="仿宋_GB2312"/>
          <w:b/>
          <w:lang w:eastAsia="zh-CN"/>
        </w:rPr>
        <w:t>估价</w:t>
      </w:r>
      <w:r>
        <w:rPr>
          <w:rFonts w:hint="eastAsia" w:ascii="仿宋_GB2312" w:eastAsia="仿宋_GB2312"/>
          <w:b/>
        </w:rPr>
        <w:t>方</w:t>
      </w:r>
      <w:bookmarkEnd w:id="12"/>
      <w:bookmarkEnd w:id="13"/>
      <w:bookmarkEnd w:id="14"/>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default" w:ascii="仿宋_GB2312" w:hAnsi="宋体" w:eastAsia="仿宋_GB2312"/>
          <w:sz w:val="28"/>
          <w:szCs w:val="28"/>
          <w:lang w:val="en-US" w:eastAsia="zh-CN"/>
        </w:rPr>
      </w:pPr>
      <w:bookmarkStart w:id="15" w:name="_Toc536174650"/>
      <w:bookmarkStart w:id="16" w:name="_Toc9510"/>
      <w:bookmarkStart w:id="17" w:name="_Toc13433"/>
      <w:r>
        <w:rPr>
          <w:rFonts w:hint="default" w:ascii="仿宋_GB2312" w:hAnsi="宋体" w:eastAsia="仿宋_GB2312"/>
          <w:sz w:val="28"/>
          <w:szCs w:val="28"/>
          <w:lang w:val="en-US" w:eastAsia="zh-CN"/>
        </w:rPr>
        <w:t>估价机构名称：江西万恒房地产资产评估咨询有限公司</w:t>
      </w:r>
    </w:p>
    <w:p>
      <w:pPr>
        <w:tabs>
          <w:tab w:val="left" w:pos="2520"/>
        </w:tabs>
        <w:spacing w:line="440" w:lineRule="exact"/>
        <w:ind w:firstLine="560" w:firstLineChars="200"/>
        <w:rPr>
          <w:rFonts w:hint="default" w:ascii="仿宋" w:hAnsi="仿宋" w:eastAsia="仿宋"/>
          <w:sz w:val="28"/>
          <w:szCs w:val="28"/>
          <w:lang w:val="en-US" w:eastAsia="zh-CN"/>
        </w:rPr>
      </w:pPr>
      <w:r>
        <w:rPr>
          <w:rFonts w:hint="eastAsia" w:ascii="仿宋" w:hAnsi="仿宋" w:eastAsia="仿宋"/>
          <w:sz w:val="28"/>
          <w:szCs w:val="28"/>
          <w:lang w:val="en-US" w:eastAsia="zh-CN"/>
        </w:rPr>
        <w:t>法人代表：王辉</w:t>
      </w:r>
    </w:p>
    <w:p>
      <w:pPr>
        <w:tabs>
          <w:tab w:val="left" w:pos="2520"/>
        </w:tabs>
        <w:spacing w:line="440" w:lineRule="exact"/>
        <w:ind w:firstLine="560" w:firstLineChars="200"/>
        <w:rPr>
          <w:rFonts w:hint="default" w:ascii="仿宋" w:hAnsi="仿宋" w:eastAsia="仿宋"/>
          <w:sz w:val="28"/>
          <w:szCs w:val="28"/>
          <w:lang w:val="en-US" w:eastAsia="zh-CN"/>
        </w:rPr>
      </w:pPr>
      <w:r>
        <w:rPr>
          <w:rFonts w:hint="eastAsia" w:ascii="仿宋" w:hAnsi="仿宋" w:eastAsia="仿宋"/>
          <w:sz w:val="28"/>
          <w:szCs w:val="28"/>
          <w:lang w:val="en-US" w:eastAsia="zh-CN"/>
        </w:rPr>
        <w:t>单位地址：江西省南昌市红谷滩区红谷北大道968号绿地外滩城19#商业、办公楼1402室</w:t>
      </w:r>
    </w:p>
    <w:p>
      <w:pPr>
        <w:tabs>
          <w:tab w:val="left" w:pos="2520"/>
        </w:tabs>
        <w:spacing w:line="440" w:lineRule="exact"/>
        <w:ind w:firstLine="560" w:firstLineChars="200"/>
        <w:rPr>
          <w:rFonts w:hint="default" w:ascii="仿宋" w:hAnsi="仿宋" w:eastAsia="仿宋"/>
          <w:sz w:val="28"/>
          <w:szCs w:val="28"/>
          <w:lang w:val="en-US" w:eastAsia="zh-CN"/>
        </w:rPr>
      </w:pPr>
      <w:r>
        <w:rPr>
          <w:rFonts w:hint="eastAsia" w:ascii="仿宋" w:hAnsi="仿宋" w:eastAsia="仿宋"/>
          <w:sz w:val="28"/>
          <w:szCs w:val="28"/>
          <w:lang w:val="en-US" w:eastAsia="zh-CN"/>
        </w:rPr>
        <w:t>证书编号：赣建房评字1712号</w:t>
      </w:r>
    </w:p>
    <w:p>
      <w:pPr>
        <w:tabs>
          <w:tab w:val="left" w:pos="2520"/>
        </w:tabs>
        <w:spacing w:line="440" w:lineRule="exact"/>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备案等级：壹级</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default" w:ascii="仿宋_GB2312" w:hAnsi="宋体" w:eastAsia="仿宋_GB2312"/>
          <w:sz w:val="28"/>
          <w:szCs w:val="28"/>
          <w:lang w:val="en-US" w:eastAsia="zh-CN"/>
        </w:rPr>
      </w:pPr>
      <w:r>
        <w:rPr>
          <w:rFonts w:hint="default" w:ascii="仿宋_GB2312" w:hAnsi="宋体" w:eastAsia="仿宋_GB2312"/>
          <w:sz w:val="28"/>
          <w:szCs w:val="28"/>
          <w:lang w:val="en-US" w:eastAsia="zh-CN"/>
        </w:rPr>
        <w:t>公司类型：有限责任公司（自然人投资或控股）</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rPr>
      </w:pPr>
      <w:r>
        <w:rPr>
          <w:rFonts w:hint="default" w:ascii="仿宋_GB2312" w:hAnsi="宋体" w:eastAsia="仿宋_GB2312"/>
          <w:sz w:val="28"/>
          <w:szCs w:val="28"/>
          <w:lang w:val="en-US" w:eastAsia="zh-CN"/>
        </w:rPr>
        <w:t>经营范围：房地产评估咨询；土地评估咨询服务；房地产营销策划；房地产信息咨询；工程技术咨询服务；测绘服务（依法须经批准的项目，经相关部门批准后方可开展经营活动）***</w:t>
      </w:r>
    </w:p>
    <w:p>
      <w:pPr>
        <w:pStyle w:val="4"/>
        <w:pageBreakBefore w:val="0"/>
        <w:widowControl w:val="0"/>
        <w:kinsoku/>
        <w:wordWrap/>
        <w:overflowPunct/>
        <w:topLinePunct w:val="0"/>
        <w:autoSpaceDE/>
        <w:autoSpaceDN/>
        <w:bidi w:val="0"/>
        <w:adjustRightInd w:val="0"/>
        <w:snapToGrid w:val="0"/>
        <w:spacing w:line="480" w:lineRule="exact"/>
        <w:textAlignment w:val="auto"/>
        <w:rPr>
          <w:rFonts w:hint="eastAsia" w:ascii="仿宋_GB2312" w:eastAsia="仿宋_GB2312"/>
          <w:b/>
        </w:rPr>
      </w:pPr>
      <w:r>
        <w:rPr>
          <w:rFonts w:hint="eastAsia" w:ascii="仿宋_GB2312" w:eastAsia="仿宋_GB2312"/>
          <w:b/>
        </w:rPr>
        <w:t>（三）</w:t>
      </w:r>
      <w:bookmarkEnd w:id="15"/>
      <w:bookmarkEnd w:id="16"/>
      <w:r>
        <w:rPr>
          <w:rFonts w:hint="eastAsia" w:ascii="仿宋_GB2312" w:eastAsia="仿宋_GB2312"/>
          <w:b/>
          <w:lang w:eastAsia="zh-CN"/>
        </w:rPr>
        <w:t>估价目的</w:t>
      </w:r>
      <w:bookmarkEnd w:id="17"/>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eastAsia="仿宋_GB2312"/>
          <w:b/>
        </w:rPr>
      </w:pPr>
      <w:r>
        <w:rPr>
          <w:rFonts w:hint="eastAsia" w:ascii="仿宋_GB2312" w:hAnsi="宋体" w:eastAsia="仿宋_GB2312"/>
          <w:sz w:val="28"/>
          <w:szCs w:val="28"/>
          <w:lang w:eastAsia="zh-CN"/>
        </w:rPr>
        <w:t>为人民法院确定房地产处置参考价提供参考依据</w:t>
      </w:r>
      <w:r>
        <w:rPr>
          <w:rFonts w:hint="eastAsia" w:ascii="仿宋_GB2312" w:hAnsi="宋体" w:eastAsia="仿宋_GB2312"/>
          <w:color w:val="auto"/>
          <w:spacing w:val="-10"/>
          <w:sz w:val="28"/>
          <w:szCs w:val="28"/>
        </w:rPr>
        <w:t>。</w:t>
      </w:r>
    </w:p>
    <w:p>
      <w:pPr>
        <w:pStyle w:val="4"/>
        <w:pageBreakBefore w:val="0"/>
        <w:widowControl w:val="0"/>
        <w:numPr>
          <w:ilvl w:val="0"/>
          <w:numId w:val="0"/>
        </w:numPr>
        <w:kinsoku/>
        <w:wordWrap/>
        <w:overflowPunct/>
        <w:topLinePunct w:val="0"/>
        <w:autoSpaceDE/>
        <w:autoSpaceDN/>
        <w:bidi w:val="0"/>
        <w:adjustRightInd w:val="0"/>
        <w:snapToGrid w:val="0"/>
        <w:spacing w:line="480" w:lineRule="exact"/>
        <w:textAlignment w:val="auto"/>
        <w:rPr>
          <w:rFonts w:hint="eastAsia" w:ascii="仿宋_GB2312" w:eastAsia="仿宋_GB2312"/>
          <w:b/>
          <w:lang w:eastAsia="zh-CN"/>
        </w:rPr>
      </w:pPr>
      <w:bookmarkStart w:id="18" w:name="_Toc23776"/>
      <w:r>
        <w:rPr>
          <w:rFonts w:hint="eastAsia" w:ascii="仿宋_GB2312" w:eastAsia="仿宋_GB2312"/>
          <w:b/>
          <w:lang w:eastAsia="zh-CN"/>
        </w:rPr>
        <w:t>（四）估价对象</w:t>
      </w:r>
      <w:bookmarkEnd w:id="18"/>
    </w:p>
    <w:p>
      <w:pPr>
        <w:pageBreakBefore w:val="0"/>
        <w:widowControl w:val="0"/>
        <w:kinsoku/>
        <w:wordWrap/>
        <w:overflowPunct/>
        <w:topLinePunct w:val="0"/>
        <w:autoSpaceDE/>
        <w:autoSpaceDN/>
        <w:bidi w:val="0"/>
        <w:adjustRightInd w:val="0"/>
        <w:snapToGrid w:val="0"/>
        <w:spacing w:line="480" w:lineRule="exact"/>
        <w:ind w:firstLine="420" w:firstLineChars="200"/>
        <w:textAlignment w:val="auto"/>
        <w:rPr>
          <w:rFonts w:hint="eastAsia" w:ascii="仿宋_GB2312" w:hAnsi="宋体" w:eastAsia="仿宋_GB2312"/>
          <w:sz w:val="28"/>
          <w:szCs w:val="28"/>
          <w:lang w:val="en-US"/>
        </w:rPr>
      </w:pPr>
      <w:r>
        <w:rPr>
          <w:rFonts w:hint="eastAsia"/>
          <w:lang w:val="en-US" w:eastAsia="zh-CN"/>
        </w:rPr>
        <w:t xml:space="preserve"> </w:t>
      </w:r>
      <w:r>
        <w:rPr>
          <w:rFonts w:hint="eastAsia" w:ascii="仿宋_GB2312" w:hAnsi="宋体" w:eastAsia="仿宋_GB2312"/>
          <w:b/>
          <w:bCs/>
          <w:sz w:val="28"/>
          <w:szCs w:val="28"/>
          <w:lang w:val="en-US" w:eastAsia="zh-CN"/>
        </w:rPr>
        <w:t>1、实物状况描述与分析</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hAnsi="宋体" w:eastAsia="仿宋_GB2312"/>
          <w:sz w:val="28"/>
          <w:szCs w:val="28"/>
          <w:lang w:val="en-US" w:eastAsia="zh-CN"/>
        </w:rPr>
      </w:pPr>
      <w:r>
        <w:rPr>
          <w:rFonts w:eastAsia="仿宋"/>
          <w:sz w:val="28"/>
        </w:rPr>
        <w:t>根据估价委托人提供的《</w:t>
      </w:r>
      <w:r>
        <w:rPr>
          <w:rFonts w:hint="eastAsia" w:eastAsia="仿宋"/>
          <w:sz w:val="28"/>
          <w:lang w:val="en-US" w:eastAsia="zh-CN"/>
        </w:rPr>
        <w:t>不动产产权情况表</w:t>
      </w:r>
      <w:r>
        <w:rPr>
          <w:rFonts w:eastAsia="仿宋"/>
          <w:sz w:val="28"/>
        </w:rPr>
        <w:t>》复印件</w:t>
      </w:r>
      <w:r>
        <w:rPr>
          <w:rFonts w:hint="eastAsia" w:eastAsia="仿宋"/>
          <w:sz w:val="28"/>
          <w:lang w:eastAsia="zh-CN"/>
        </w:rPr>
        <w:t>、</w:t>
      </w:r>
      <w:r>
        <w:rPr>
          <w:rFonts w:eastAsia="仿宋"/>
          <w:sz w:val="28"/>
        </w:rPr>
        <w:t>《</w:t>
      </w:r>
      <w:r>
        <w:rPr>
          <w:rFonts w:hint="eastAsia" w:eastAsia="仿宋"/>
          <w:sz w:val="28"/>
          <w:lang w:val="en-US" w:eastAsia="zh-CN"/>
        </w:rPr>
        <w:t>房产测绘报告</w:t>
      </w:r>
      <w:r>
        <w:rPr>
          <w:rFonts w:eastAsia="仿宋"/>
          <w:sz w:val="28"/>
        </w:rPr>
        <w:t>》复印件和估价人员实地查勘</w:t>
      </w:r>
      <w:r>
        <w:rPr>
          <w:rFonts w:hint="eastAsia" w:eastAsia="仿宋"/>
          <w:sz w:val="28"/>
          <w:lang w:eastAsia="zh-CN"/>
        </w:rPr>
        <w:t>，</w:t>
      </w:r>
      <w:r>
        <w:rPr>
          <w:rFonts w:hint="eastAsia" w:ascii="仿宋_GB2312" w:hAnsi="宋体" w:eastAsia="仿宋_GB2312"/>
          <w:sz w:val="28"/>
          <w:szCs w:val="28"/>
          <w:lang w:val="en-US" w:eastAsia="zh-CN"/>
        </w:rPr>
        <w:t>估价对象</w:t>
      </w:r>
      <w:r>
        <w:rPr>
          <w:rFonts w:hint="eastAsia" w:ascii="Times New Roman" w:hAnsi="Times New Roman" w:eastAsia="仿宋" w:cs="Times New Roman"/>
          <w:sz w:val="28"/>
          <w:lang w:eastAsia="zh-CN"/>
        </w:rPr>
        <w:t>位于</w:t>
      </w:r>
      <w:r>
        <w:rPr>
          <w:rFonts w:hint="eastAsia" w:ascii="仿宋_GB2312" w:hAnsi="宋体" w:eastAsia="仿宋_GB2312"/>
          <w:sz w:val="28"/>
          <w:szCs w:val="28"/>
          <w:lang w:eastAsia="zh-CN"/>
        </w:rPr>
        <w:t>抚州市玉茗大道丰源宜合2#1-1室、1-2室商业房地产共</w:t>
      </w:r>
      <w:r>
        <w:rPr>
          <w:rFonts w:hint="eastAsia" w:ascii="仿宋_GB2312" w:hAnsi="宋体" w:eastAsia="仿宋_GB2312"/>
          <w:sz w:val="28"/>
          <w:szCs w:val="28"/>
          <w:lang w:val="en-US" w:eastAsia="zh-CN"/>
        </w:rPr>
        <w:t>2</w:t>
      </w:r>
      <w:r>
        <w:rPr>
          <w:rFonts w:hint="eastAsia" w:ascii="仿宋_GB2312" w:hAnsi="宋体" w:eastAsia="仿宋_GB2312"/>
          <w:sz w:val="28"/>
          <w:szCs w:val="28"/>
          <w:lang w:eastAsia="zh-CN"/>
        </w:rPr>
        <w:t>宗商业房地产；</w:t>
      </w:r>
      <w:r>
        <w:rPr>
          <w:rFonts w:hint="eastAsia" w:ascii="仿宋_GB2312" w:hAnsi="宋体" w:eastAsia="仿宋_GB2312"/>
          <w:sz w:val="28"/>
          <w:szCs w:val="28"/>
          <w:lang w:val="en-US" w:eastAsia="zh-CN"/>
        </w:rPr>
        <w:t>其中</w:t>
      </w:r>
      <w:r>
        <w:rPr>
          <w:rFonts w:hint="eastAsia" w:ascii="仿宋_GB2312" w:hAnsi="宋体" w:eastAsia="仿宋_GB2312"/>
          <w:sz w:val="28"/>
          <w:szCs w:val="28"/>
          <w:lang w:eastAsia="zh-CN"/>
        </w:rPr>
        <w:t>1-1</w:t>
      </w:r>
      <w:r>
        <w:rPr>
          <w:rFonts w:hint="eastAsia" w:ascii="仿宋_GB2312" w:hAnsi="宋体" w:eastAsia="仿宋_GB2312"/>
          <w:sz w:val="28"/>
          <w:szCs w:val="28"/>
          <w:lang w:val="en-US" w:eastAsia="zh-CN"/>
        </w:rPr>
        <w:t>室不临街</w:t>
      </w:r>
      <w:r>
        <w:rPr>
          <w:rFonts w:hint="eastAsia" w:ascii="仿宋_GB2312" w:hAnsi="宋体" w:eastAsia="仿宋_GB2312"/>
          <w:sz w:val="28"/>
          <w:szCs w:val="28"/>
          <w:lang w:eastAsia="zh-CN"/>
        </w:rPr>
        <w:t>、1-2</w:t>
      </w:r>
      <w:r>
        <w:rPr>
          <w:rFonts w:hint="eastAsia" w:ascii="仿宋_GB2312" w:hAnsi="宋体" w:eastAsia="仿宋_GB2312"/>
          <w:sz w:val="28"/>
          <w:szCs w:val="28"/>
          <w:lang w:val="en-US" w:eastAsia="zh-CN"/>
        </w:rPr>
        <w:t>室临街，层高较高，1-1号有阁楼，曾经做过装修，见照片</w:t>
      </w:r>
      <w:r>
        <w:rPr>
          <w:rFonts w:hint="eastAsia" w:eastAsia="仿宋" w:cs="Times New Roman"/>
          <w:sz w:val="28"/>
          <w:lang w:val="en-US" w:eastAsia="zh-CN"/>
        </w:rPr>
        <w:t>。目前空置，</w:t>
      </w:r>
      <w:r>
        <w:rPr>
          <w:rFonts w:hint="eastAsia" w:ascii="仿宋_GB2312" w:hAnsi="宋体" w:eastAsia="仿宋_GB2312"/>
          <w:sz w:val="28"/>
          <w:szCs w:val="28"/>
          <w:lang w:val="en-US" w:eastAsia="zh-CN"/>
        </w:rPr>
        <w:t>维护状况一般。</w:t>
      </w:r>
    </w:p>
    <w:p>
      <w:pPr>
        <w:pageBreakBefore w:val="0"/>
        <w:widowControl w:val="0"/>
        <w:kinsoku/>
        <w:wordWrap/>
        <w:overflowPunct/>
        <w:topLinePunct w:val="0"/>
        <w:autoSpaceDE/>
        <w:autoSpaceDN/>
        <w:bidi w:val="0"/>
        <w:adjustRightInd w:val="0"/>
        <w:snapToGrid w:val="0"/>
        <w:spacing w:line="480" w:lineRule="exact"/>
        <w:ind w:firstLine="562" w:firstLineChars="200"/>
        <w:textAlignment w:val="auto"/>
        <w:rPr>
          <w:rFonts w:hint="default" w:ascii="仿宋_GB2312" w:hAnsi="宋体" w:eastAsia="仿宋_GB2312"/>
          <w:sz w:val="28"/>
          <w:szCs w:val="28"/>
          <w:lang w:val="en-US" w:eastAsia="zh-CN"/>
        </w:rPr>
      </w:pPr>
      <w:r>
        <w:rPr>
          <w:rFonts w:hint="eastAsia" w:ascii="仿宋" w:hAnsi="仿宋" w:eastAsia="仿宋" w:cs="仿宋"/>
          <w:b/>
          <w:color w:val="auto"/>
          <w:kern w:val="2"/>
          <w:sz w:val="28"/>
          <w:szCs w:val="28"/>
          <w:lang w:val="en-US" w:eastAsia="zh-CN" w:bidi="ar"/>
        </w:rPr>
        <w:t>2、权益状况描述与分析</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hAnsi="宋体" w:eastAsia="仿宋_GB2312"/>
          <w:sz w:val="28"/>
          <w:szCs w:val="28"/>
          <w:lang w:eastAsia="zh-CN"/>
        </w:rPr>
      </w:pPr>
      <w:r>
        <w:rPr>
          <w:rFonts w:hint="eastAsia" w:ascii="仿宋_GB2312" w:hAnsi="宋体" w:eastAsia="仿宋_GB2312"/>
          <w:sz w:val="28"/>
          <w:szCs w:val="28"/>
          <w:lang w:eastAsia="zh-CN"/>
        </w:rPr>
        <w:t>（</w:t>
      </w:r>
      <w:r>
        <w:rPr>
          <w:rFonts w:hint="eastAsia" w:ascii="仿宋_GB2312" w:hAnsi="宋体" w:eastAsia="仿宋_GB2312"/>
          <w:sz w:val="28"/>
          <w:szCs w:val="28"/>
          <w:lang w:val="en-US" w:eastAsia="zh-CN"/>
        </w:rPr>
        <w:t>1</w:t>
      </w:r>
      <w:r>
        <w:rPr>
          <w:rFonts w:hint="eastAsia" w:ascii="仿宋_GB2312" w:hAnsi="宋体" w:eastAsia="仿宋_GB2312"/>
          <w:sz w:val="28"/>
          <w:szCs w:val="28"/>
          <w:lang w:eastAsia="zh-CN"/>
        </w:rPr>
        <w:t>）</w:t>
      </w:r>
      <w:r>
        <w:rPr>
          <w:rFonts w:hint="eastAsia" w:ascii="仿宋_GB2312" w:hAnsi="宋体" w:eastAsia="仿宋_GB2312"/>
          <w:sz w:val="28"/>
          <w:szCs w:val="28"/>
          <w:lang w:val="en-US" w:eastAsia="zh-CN"/>
        </w:rPr>
        <w:t>不动产</w:t>
      </w:r>
      <w:r>
        <w:rPr>
          <w:rFonts w:hint="eastAsia" w:ascii="仿宋_GB2312" w:hAnsi="宋体" w:eastAsia="仿宋_GB2312"/>
          <w:sz w:val="28"/>
          <w:szCs w:val="28"/>
          <w:lang w:eastAsia="zh-CN"/>
        </w:rPr>
        <w:t>权益状况：</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hAnsi="宋体" w:eastAsia="仿宋"/>
          <w:sz w:val="28"/>
          <w:szCs w:val="28"/>
          <w:lang w:eastAsia="zh-CN"/>
        </w:rPr>
      </w:pPr>
      <w:r>
        <w:rPr>
          <w:rFonts w:eastAsia="仿宋"/>
          <w:sz w:val="28"/>
        </w:rPr>
        <w:t>根据委托方提供的《</w:t>
      </w:r>
      <w:r>
        <w:rPr>
          <w:rFonts w:hint="eastAsia" w:eastAsia="仿宋"/>
          <w:sz w:val="28"/>
          <w:lang w:val="en-US" w:eastAsia="zh-CN"/>
        </w:rPr>
        <w:t>不动产产权情况表</w:t>
      </w:r>
      <w:r>
        <w:rPr>
          <w:rFonts w:eastAsia="仿宋"/>
          <w:sz w:val="28"/>
        </w:rPr>
        <w:t>》复印件</w:t>
      </w:r>
      <w:r>
        <w:rPr>
          <w:rFonts w:hint="eastAsia" w:eastAsia="仿宋"/>
          <w:sz w:val="28"/>
          <w:lang w:eastAsia="zh-CN"/>
        </w:rPr>
        <w:t>、</w:t>
      </w:r>
      <w:r>
        <w:rPr>
          <w:rFonts w:eastAsia="仿宋"/>
          <w:sz w:val="28"/>
        </w:rPr>
        <w:t>《</w:t>
      </w:r>
      <w:r>
        <w:rPr>
          <w:rFonts w:hint="eastAsia" w:eastAsia="仿宋"/>
          <w:sz w:val="28"/>
          <w:lang w:val="en-US" w:eastAsia="zh-CN"/>
        </w:rPr>
        <w:t>房产测绘报告</w:t>
      </w:r>
      <w:r>
        <w:rPr>
          <w:rFonts w:eastAsia="仿宋"/>
          <w:sz w:val="28"/>
        </w:rPr>
        <w:t>》复印件，目前估价对象产权清晰，详见物业权属状况明细表</w:t>
      </w:r>
      <w:r>
        <w:rPr>
          <w:rFonts w:hint="eastAsia" w:eastAsia="仿宋"/>
          <w:sz w:val="28"/>
          <w:lang w:eastAsia="zh-CN"/>
        </w:rPr>
        <w:t>：</w:t>
      </w:r>
    </w:p>
    <w:p>
      <w:pPr>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仿宋" w:hAnsi="仿宋" w:eastAsia="仿宋" w:cs="仿宋"/>
          <w:b/>
          <w:bCs w:val="0"/>
          <w:color w:val="auto"/>
          <w:kern w:val="2"/>
          <w:sz w:val="28"/>
          <w:szCs w:val="28"/>
          <w:lang w:val="en-US" w:eastAsia="zh-CN" w:bidi="ar"/>
        </w:rPr>
      </w:pPr>
    </w:p>
    <w:p>
      <w:pPr>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仿宋" w:hAnsi="仿宋" w:eastAsia="仿宋" w:cs="仿宋"/>
          <w:b/>
          <w:bCs w:val="0"/>
          <w:color w:val="auto"/>
          <w:kern w:val="2"/>
          <w:sz w:val="28"/>
          <w:szCs w:val="28"/>
          <w:lang w:val="en-US" w:eastAsia="zh-CN" w:bidi="ar"/>
        </w:rPr>
      </w:pPr>
    </w:p>
    <w:p>
      <w:pPr>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仿宋" w:hAnsi="仿宋" w:eastAsia="仿宋" w:cs="仿宋"/>
          <w:b/>
          <w:bCs w:val="0"/>
          <w:color w:val="auto"/>
          <w:kern w:val="2"/>
          <w:sz w:val="28"/>
          <w:szCs w:val="28"/>
          <w:lang w:val="en-US" w:eastAsia="zh-CN" w:bidi="ar"/>
        </w:rPr>
      </w:pPr>
      <w:r>
        <w:rPr>
          <w:rFonts w:hint="eastAsia" w:ascii="仿宋" w:hAnsi="仿宋" w:eastAsia="仿宋" w:cs="仿宋"/>
          <w:b/>
          <w:bCs w:val="0"/>
          <w:color w:val="auto"/>
          <w:kern w:val="2"/>
          <w:sz w:val="28"/>
          <w:szCs w:val="28"/>
          <w:lang w:val="en-US" w:eastAsia="zh-CN" w:bidi="ar"/>
        </w:rPr>
        <w:t>房屋权益状况明细表</w:t>
      </w:r>
    </w:p>
    <w:tbl>
      <w:tblPr>
        <w:tblStyle w:val="12"/>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39"/>
        <w:gridCol w:w="2265"/>
        <w:gridCol w:w="1710"/>
        <w:gridCol w:w="765"/>
        <w:gridCol w:w="840"/>
        <w:gridCol w:w="830"/>
        <w:gridCol w:w="13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21"/>
                <w:szCs w:val="21"/>
                <w:u w:val="none"/>
              </w:rPr>
            </w:pPr>
            <w:r>
              <w:rPr>
                <w:rFonts w:hint="default" w:ascii="仿宋_GB2312" w:hAnsi="宋体" w:eastAsia="仿宋_GB2312" w:cs="仿宋_GB2312"/>
                <w:b/>
                <w:bCs/>
                <w:i w:val="0"/>
                <w:iCs w:val="0"/>
                <w:color w:val="000000"/>
                <w:kern w:val="0"/>
                <w:sz w:val="21"/>
                <w:szCs w:val="21"/>
                <w:u w:val="none"/>
                <w:lang w:val="en-US" w:eastAsia="zh-CN" w:bidi="ar"/>
              </w:rPr>
              <w:t>房屋所有权人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1"/>
                <w:szCs w:val="21"/>
                <w:u w:val="none"/>
              </w:rPr>
            </w:pPr>
            <w:r>
              <w:rPr>
                <w:rFonts w:hint="default" w:ascii="仿宋_GB2312" w:hAnsi="宋体" w:eastAsia="仿宋_GB2312" w:cs="仿宋_GB2312"/>
                <w:b/>
                <w:bCs/>
                <w:i w:val="0"/>
                <w:iCs w:val="0"/>
                <w:color w:val="000000"/>
                <w:kern w:val="0"/>
                <w:sz w:val="21"/>
                <w:szCs w:val="21"/>
                <w:u w:val="none"/>
                <w:lang w:val="en-US" w:eastAsia="zh-CN" w:bidi="ar"/>
              </w:rPr>
              <w:t>房屋坐落</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1"/>
                <w:szCs w:val="21"/>
                <w:u w:val="none"/>
              </w:rPr>
            </w:pPr>
            <w:r>
              <w:rPr>
                <w:rFonts w:hint="default" w:ascii="仿宋_GB2312" w:hAnsi="宋体" w:eastAsia="仿宋_GB2312" w:cs="仿宋_GB2312"/>
                <w:b/>
                <w:bCs/>
                <w:i w:val="0"/>
                <w:iCs w:val="0"/>
                <w:color w:val="000000"/>
                <w:kern w:val="0"/>
                <w:sz w:val="21"/>
                <w:szCs w:val="21"/>
                <w:u w:val="none"/>
                <w:lang w:val="en-US" w:eastAsia="zh-CN" w:bidi="ar"/>
              </w:rPr>
              <w:t>不动产权证书号</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1"/>
                <w:szCs w:val="21"/>
                <w:u w:val="none"/>
              </w:rPr>
            </w:pPr>
            <w:r>
              <w:rPr>
                <w:rFonts w:hint="default" w:ascii="仿宋_GB2312" w:hAnsi="宋体" w:eastAsia="仿宋_GB2312" w:cs="仿宋_GB2312"/>
                <w:b/>
                <w:bCs/>
                <w:i w:val="0"/>
                <w:iCs w:val="0"/>
                <w:color w:val="000000"/>
                <w:kern w:val="0"/>
                <w:sz w:val="21"/>
                <w:szCs w:val="21"/>
                <w:u w:val="none"/>
                <w:lang w:val="en-US" w:eastAsia="zh-CN" w:bidi="ar"/>
              </w:rPr>
              <w:t>用途</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1"/>
                <w:szCs w:val="21"/>
                <w:u w:val="none"/>
              </w:rPr>
            </w:pPr>
            <w:r>
              <w:rPr>
                <w:rFonts w:hint="default" w:ascii="仿宋_GB2312" w:hAnsi="宋体" w:eastAsia="仿宋_GB2312" w:cs="仿宋_GB2312"/>
                <w:b/>
                <w:bCs/>
                <w:i w:val="0"/>
                <w:iCs w:val="0"/>
                <w:color w:val="000000"/>
                <w:kern w:val="0"/>
                <w:sz w:val="21"/>
                <w:szCs w:val="21"/>
                <w:u w:val="none"/>
                <w:lang w:val="en-US" w:eastAsia="zh-CN" w:bidi="ar"/>
              </w:rPr>
              <w:t>建筑结构</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1"/>
                <w:szCs w:val="21"/>
                <w:u w:val="none"/>
              </w:rPr>
            </w:pPr>
            <w:r>
              <w:rPr>
                <w:rFonts w:hint="default" w:ascii="仿宋_GB2312" w:hAnsi="宋体" w:eastAsia="仿宋_GB2312" w:cs="仿宋_GB2312"/>
                <w:b/>
                <w:bCs/>
                <w:i w:val="0"/>
                <w:iCs w:val="0"/>
                <w:color w:val="000000"/>
                <w:kern w:val="0"/>
                <w:sz w:val="21"/>
                <w:szCs w:val="21"/>
                <w:u w:val="none"/>
                <w:lang w:val="en-US" w:eastAsia="zh-CN" w:bidi="ar"/>
              </w:rPr>
              <w:t>楼层</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1"/>
                <w:szCs w:val="21"/>
                <w:u w:val="none"/>
              </w:rPr>
            </w:pPr>
            <w:r>
              <w:rPr>
                <w:rFonts w:hint="default" w:ascii="仿宋_GB2312" w:hAnsi="宋体" w:eastAsia="仿宋_GB2312" w:cs="仿宋_GB2312"/>
                <w:b/>
                <w:bCs/>
                <w:i w:val="0"/>
                <w:iCs w:val="0"/>
                <w:color w:val="000000"/>
                <w:kern w:val="0"/>
                <w:sz w:val="21"/>
                <w:szCs w:val="21"/>
                <w:u w:val="none"/>
                <w:lang w:val="en-US" w:eastAsia="zh-CN" w:bidi="ar"/>
              </w:rPr>
              <w:t>建筑面积﹙㎡﹚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魏敏</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抚州市玉茗大道丰源宜合</w:t>
            </w:r>
            <w:r>
              <w:rPr>
                <w:rFonts w:hint="eastAsia" w:ascii="仿宋_GB2312" w:hAnsi="宋体" w:eastAsia="仿宋_GB2312" w:cs="仿宋_GB2312"/>
                <w:i w:val="0"/>
                <w:iCs w:val="0"/>
                <w:color w:val="000000"/>
                <w:kern w:val="0"/>
                <w:sz w:val="21"/>
                <w:szCs w:val="21"/>
                <w:u w:val="none"/>
                <w:lang w:val="en-US" w:eastAsia="zh-CN" w:bidi="ar"/>
              </w:rPr>
              <w:t>2#1-1室</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青-0045486号</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商业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框剪</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99.15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魏敏</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抚州市玉茗大道丰源宜合</w:t>
            </w:r>
            <w:r>
              <w:rPr>
                <w:rFonts w:hint="eastAsia" w:ascii="仿宋_GB2312" w:hAnsi="宋体" w:eastAsia="仿宋_GB2312" w:cs="仿宋_GB2312"/>
                <w:i w:val="0"/>
                <w:iCs w:val="0"/>
                <w:color w:val="000000"/>
                <w:kern w:val="0"/>
                <w:sz w:val="21"/>
                <w:szCs w:val="21"/>
                <w:u w:val="none"/>
                <w:lang w:val="en-US" w:eastAsia="zh-CN" w:bidi="ar"/>
              </w:rPr>
              <w:t>2#1-2室</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青-0045605号</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商业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框剪</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85.64</w:t>
            </w:r>
          </w:p>
        </w:tc>
      </w:tr>
    </w:tbl>
    <w:p>
      <w:pPr>
        <w:tabs>
          <w:tab w:val="left" w:pos="540"/>
        </w:tabs>
        <w:adjustRightInd w:val="0"/>
        <w:snapToGrid w:val="0"/>
        <w:spacing w:line="520" w:lineRule="exact"/>
        <w:jc w:val="center"/>
        <w:rPr>
          <w:rFonts w:eastAsia="仿宋"/>
          <w:b/>
          <w:bCs/>
          <w:sz w:val="28"/>
        </w:rPr>
      </w:pPr>
      <w:r>
        <w:rPr>
          <w:rFonts w:eastAsia="仿宋"/>
          <w:b/>
          <w:bCs/>
          <w:sz w:val="28"/>
        </w:rPr>
        <w:t>土地权</w:t>
      </w:r>
      <w:r>
        <w:rPr>
          <w:rFonts w:hint="eastAsia" w:eastAsia="仿宋"/>
          <w:b/>
          <w:bCs/>
          <w:sz w:val="28"/>
          <w:lang w:val="en-US" w:eastAsia="zh-CN"/>
        </w:rPr>
        <w:t>益</w:t>
      </w:r>
      <w:r>
        <w:rPr>
          <w:rFonts w:eastAsia="仿宋"/>
          <w:b/>
          <w:bCs/>
          <w:sz w:val="28"/>
        </w:rPr>
        <w:t>状况</w:t>
      </w:r>
    </w:p>
    <w:tbl>
      <w:tblPr>
        <w:tblStyle w:val="12"/>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58"/>
        <w:gridCol w:w="2080"/>
        <w:gridCol w:w="1861"/>
        <w:gridCol w:w="1080"/>
        <w:gridCol w:w="1156"/>
        <w:gridCol w:w="12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21"/>
                <w:szCs w:val="21"/>
                <w:u w:val="none"/>
              </w:rPr>
            </w:pPr>
            <w:r>
              <w:rPr>
                <w:rFonts w:hint="default" w:ascii="仿宋_GB2312" w:hAnsi="宋体" w:eastAsia="仿宋_GB2312" w:cs="仿宋_GB2312"/>
                <w:b/>
                <w:bCs/>
                <w:i w:val="0"/>
                <w:iCs w:val="0"/>
                <w:color w:val="000000"/>
                <w:kern w:val="0"/>
                <w:sz w:val="21"/>
                <w:szCs w:val="21"/>
                <w:u w:val="none"/>
                <w:lang w:val="en-US" w:eastAsia="zh-CN" w:bidi="ar"/>
              </w:rPr>
              <w:t>土地使用权人</w:t>
            </w: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1"/>
                <w:szCs w:val="21"/>
                <w:u w:val="none"/>
              </w:rPr>
            </w:pPr>
            <w:r>
              <w:rPr>
                <w:rFonts w:hint="default" w:ascii="仿宋_GB2312" w:hAnsi="宋体" w:eastAsia="仿宋_GB2312" w:cs="仿宋_GB2312"/>
                <w:b/>
                <w:bCs/>
                <w:i w:val="0"/>
                <w:iCs w:val="0"/>
                <w:color w:val="000000"/>
                <w:kern w:val="0"/>
                <w:sz w:val="21"/>
                <w:szCs w:val="21"/>
                <w:u w:val="none"/>
                <w:lang w:val="en-US" w:eastAsia="zh-CN" w:bidi="ar"/>
              </w:rPr>
              <w:t>坐落</w:t>
            </w:r>
          </w:p>
        </w:tc>
        <w:tc>
          <w:tcPr>
            <w:tcW w:w="18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1"/>
                <w:szCs w:val="21"/>
                <w:u w:val="none"/>
              </w:rPr>
            </w:pPr>
            <w:r>
              <w:rPr>
                <w:rFonts w:hint="default" w:ascii="仿宋_GB2312" w:hAnsi="宋体" w:eastAsia="仿宋_GB2312" w:cs="仿宋_GB2312"/>
                <w:b/>
                <w:bCs/>
                <w:i w:val="0"/>
                <w:iCs w:val="0"/>
                <w:color w:val="000000"/>
                <w:kern w:val="0"/>
                <w:sz w:val="21"/>
                <w:szCs w:val="21"/>
                <w:u w:val="none"/>
                <w:lang w:val="en-US" w:eastAsia="zh-CN" w:bidi="ar"/>
              </w:rPr>
              <w:t>不动产权证书号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1"/>
                <w:szCs w:val="21"/>
                <w:u w:val="none"/>
              </w:rPr>
            </w:pPr>
            <w:r>
              <w:rPr>
                <w:rFonts w:hint="default" w:ascii="仿宋_GB2312" w:hAnsi="宋体" w:eastAsia="仿宋_GB2312" w:cs="仿宋_GB2312"/>
                <w:b/>
                <w:bCs/>
                <w:i w:val="0"/>
                <w:iCs w:val="0"/>
                <w:color w:val="000000"/>
                <w:kern w:val="0"/>
                <w:sz w:val="21"/>
                <w:szCs w:val="21"/>
                <w:u w:val="none"/>
                <w:lang w:val="en-US" w:eastAsia="zh-CN" w:bidi="ar"/>
              </w:rPr>
              <w:t>用途</w:t>
            </w:r>
          </w:p>
        </w:tc>
        <w:tc>
          <w:tcPr>
            <w:tcW w:w="11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1"/>
                <w:szCs w:val="21"/>
                <w:u w:val="none"/>
              </w:rPr>
            </w:pPr>
            <w:r>
              <w:rPr>
                <w:rFonts w:hint="default" w:ascii="仿宋_GB2312" w:hAnsi="宋体" w:eastAsia="仿宋_GB2312" w:cs="仿宋_GB2312"/>
                <w:b/>
                <w:bCs/>
                <w:i w:val="0"/>
                <w:iCs w:val="0"/>
                <w:color w:val="000000"/>
                <w:kern w:val="0"/>
                <w:sz w:val="21"/>
                <w:szCs w:val="21"/>
                <w:u w:val="none"/>
                <w:lang w:val="en-US" w:eastAsia="zh-CN" w:bidi="ar"/>
              </w:rPr>
              <w:t>土地类型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1"/>
                <w:szCs w:val="21"/>
                <w:u w:val="none"/>
              </w:rPr>
            </w:pPr>
            <w:r>
              <w:rPr>
                <w:rFonts w:hint="default" w:ascii="仿宋_GB2312" w:hAnsi="宋体" w:eastAsia="仿宋_GB2312" w:cs="仿宋_GB2312"/>
                <w:b/>
                <w:bCs/>
                <w:i w:val="0"/>
                <w:iCs w:val="0"/>
                <w:color w:val="000000"/>
                <w:kern w:val="0"/>
                <w:sz w:val="21"/>
                <w:szCs w:val="21"/>
                <w:u w:val="none"/>
                <w:lang w:val="en-US" w:eastAsia="zh-CN" w:bidi="ar"/>
              </w:rPr>
              <w:t>终止日期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魏敏</w:t>
            </w: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抚州市玉茗大道丰源宜合</w:t>
            </w:r>
            <w:r>
              <w:rPr>
                <w:rFonts w:hint="eastAsia" w:ascii="仿宋_GB2312" w:hAnsi="宋体" w:eastAsia="仿宋_GB2312" w:cs="仿宋_GB2312"/>
                <w:i w:val="0"/>
                <w:iCs w:val="0"/>
                <w:color w:val="000000"/>
                <w:kern w:val="0"/>
                <w:sz w:val="21"/>
                <w:szCs w:val="21"/>
                <w:u w:val="none"/>
                <w:lang w:val="en-US" w:eastAsia="zh-CN" w:bidi="ar"/>
              </w:rPr>
              <w:t>2#1-1室</w:t>
            </w:r>
          </w:p>
        </w:tc>
        <w:tc>
          <w:tcPr>
            <w:tcW w:w="18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青-0045486号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商业</w:t>
            </w:r>
          </w:p>
        </w:tc>
        <w:tc>
          <w:tcPr>
            <w:tcW w:w="11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出让</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2047.10.18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魏敏</w:t>
            </w: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抚州市玉茗大道丰源宜合</w:t>
            </w:r>
            <w:r>
              <w:rPr>
                <w:rFonts w:hint="eastAsia" w:ascii="仿宋_GB2312" w:hAnsi="宋体" w:eastAsia="仿宋_GB2312" w:cs="仿宋_GB2312"/>
                <w:i w:val="0"/>
                <w:iCs w:val="0"/>
                <w:color w:val="000000"/>
                <w:kern w:val="0"/>
                <w:sz w:val="21"/>
                <w:szCs w:val="21"/>
                <w:u w:val="none"/>
                <w:lang w:val="en-US" w:eastAsia="zh-CN" w:bidi="ar"/>
              </w:rPr>
              <w:t>2#1-2室</w:t>
            </w:r>
          </w:p>
        </w:tc>
        <w:tc>
          <w:tcPr>
            <w:tcW w:w="18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青-0045605号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商业</w:t>
            </w:r>
          </w:p>
        </w:tc>
        <w:tc>
          <w:tcPr>
            <w:tcW w:w="11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出让</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2047.10.18</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jc w:val="left"/>
        <w:textAlignment w:val="auto"/>
        <w:rPr>
          <w:rFonts w:hint="eastAsia" w:ascii="仿宋_GB2312" w:hAnsi="宋体" w:eastAsia="仿宋_GB2312" w:cs="Times New Roman"/>
          <w:sz w:val="28"/>
          <w:szCs w:val="28"/>
          <w:lang w:val="en-US" w:eastAsia="zh-CN"/>
        </w:rPr>
      </w:pPr>
      <w:r>
        <w:rPr>
          <w:rFonts w:hint="eastAsia" w:ascii="仿宋_GB2312" w:hAnsi="宋体" w:eastAsia="仿宋_GB2312" w:cs="Times New Roman"/>
          <w:sz w:val="28"/>
          <w:szCs w:val="28"/>
          <w:lang w:val="en-US" w:eastAsia="zh-CN"/>
        </w:rPr>
        <w:t>（2）价格影响分析</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jc w:val="left"/>
        <w:textAlignment w:val="auto"/>
        <w:rPr>
          <w:rFonts w:hint="default" w:ascii="仿宋_GB2312" w:hAnsi="宋体" w:eastAsia="仿宋_GB2312" w:cs="Times New Roman"/>
          <w:sz w:val="28"/>
          <w:szCs w:val="28"/>
          <w:lang w:val="en-US" w:eastAsia="zh-CN"/>
        </w:rPr>
      </w:pPr>
      <w:r>
        <w:rPr>
          <w:rFonts w:hint="eastAsia" w:ascii="仿宋_GB2312" w:hAnsi="宋体" w:eastAsia="仿宋_GB2312" w:cs="Times New Roman"/>
          <w:sz w:val="28"/>
          <w:szCs w:val="28"/>
          <w:lang w:val="en-US" w:eastAsia="zh-CN"/>
        </w:rPr>
        <w:t xml:space="preserve">    估价对象已取得</w:t>
      </w:r>
      <w:r>
        <w:rPr>
          <w:rFonts w:eastAsia="仿宋"/>
          <w:sz w:val="28"/>
        </w:rPr>
        <w:t>《</w:t>
      </w:r>
      <w:r>
        <w:rPr>
          <w:rFonts w:hint="eastAsia" w:eastAsia="仿宋"/>
          <w:sz w:val="28"/>
          <w:lang w:val="en-US" w:eastAsia="zh-CN"/>
        </w:rPr>
        <w:t>不动产权利证书</w:t>
      </w:r>
      <w:r>
        <w:rPr>
          <w:rFonts w:eastAsia="仿宋"/>
          <w:sz w:val="28"/>
        </w:rPr>
        <w:t>》</w:t>
      </w:r>
      <w:r>
        <w:rPr>
          <w:rFonts w:hint="eastAsia" w:ascii="仿宋_GB2312" w:hAnsi="宋体" w:eastAsia="仿宋_GB2312" w:cs="Times New Roman"/>
          <w:sz w:val="28"/>
          <w:szCs w:val="28"/>
          <w:lang w:val="en-US" w:eastAsia="zh-CN"/>
        </w:rPr>
        <w:t>。根据估价目的，本次估价报告不考虑评估对象被查封以及原有的担保物权和其他优先受偿权情况，视为没有查封、未设立担保物权及其他优先受偿权的财产进行评估。除此之外，估价对象权属清晰，权益上不存在其他影响其房地产价值的瑕疵。</w:t>
      </w:r>
    </w:p>
    <w:p>
      <w:pPr>
        <w:keepNext w:val="0"/>
        <w:keepLines w:val="0"/>
        <w:pageBreakBefore w:val="0"/>
        <w:widowControl w:val="0"/>
        <w:numPr>
          <w:ilvl w:val="0"/>
          <w:numId w:val="1"/>
        </w:numPr>
        <w:kinsoku/>
        <w:wordWrap/>
        <w:overflowPunct/>
        <w:topLinePunct w:val="0"/>
        <w:autoSpaceDE/>
        <w:autoSpaceDN/>
        <w:bidi w:val="0"/>
        <w:adjustRightInd w:val="0"/>
        <w:snapToGrid w:val="0"/>
        <w:spacing w:line="480" w:lineRule="exact"/>
        <w:ind w:firstLine="562" w:firstLineChars="200"/>
        <w:jc w:val="left"/>
        <w:textAlignment w:val="auto"/>
        <w:rPr>
          <w:rFonts w:hint="eastAsia" w:ascii="仿宋" w:hAnsi="仿宋" w:eastAsia="仿宋" w:cs="仿宋"/>
          <w:b/>
          <w:color w:val="auto"/>
          <w:kern w:val="2"/>
          <w:sz w:val="28"/>
          <w:szCs w:val="28"/>
          <w:lang w:val="en-US" w:eastAsia="zh-CN" w:bidi="ar"/>
        </w:rPr>
      </w:pPr>
      <w:r>
        <w:rPr>
          <w:rFonts w:hint="eastAsia" w:ascii="仿宋" w:hAnsi="仿宋" w:eastAsia="仿宋" w:cs="仿宋"/>
          <w:b/>
          <w:color w:val="auto"/>
          <w:kern w:val="2"/>
          <w:sz w:val="28"/>
          <w:szCs w:val="28"/>
          <w:lang w:val="en-US" w:eastAsia="zh-CN" w:bidi="ar"/>
        </w:rPr>
        <w:t>区位状况描述与分析</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firstLine="560" w:firstLineChars="200"/>
        <w:jc w:val="left"/>
        <w:textAlignment w:val="auto"/>
        <w:rPr>
          <w:rFonts w:hint="eastAsia" w:ascii="仿宋" w:hAnsi="仿宋" w:eastAsia="仿宋" w:cs="仿宋"/>
          <w:b w:val="0"/>
          <w:bCs/>
          <w:color w:val="auto"/>
          <w:kern w:val="2"/>
          <w:sz w:val="28"/>
          <w:szCs w:val="28"/>
          <w:lang w:val="en-US" w:eastAsia="zh-CN" w:bidi="ar"/>
        </w:rPr>
      </w:pPr>
      <w:r>
        <w:rPr>
          <w:rFonts w:hint="eastAsia" w:ascii="仿宋" w:hAnsi="仿宋" w:eastAsia="仿宋" w:cs="仿宋"/>
          <w:b w:val="0"/>
          <w:bCs/>
          <w:color w:val="auto"/>
          <w:kern w:val="2"/>
          <w:sz w:val="28"/>
          <w:szCs w:val="28"/>
          <w:lang w:val="en-US" w:eastAsia="zh-CN" w:bidi="ar"/>
        </w:rPr>
        <w:t>（1）坐落：估价对象位于</w:t>
      </w:r>
      <w:r>
        <w:rPr>
          <w:rFonts w:hint="eastAsia" w:ascii="仿宋_GB2312" w:hAnsi="宋体" w:eastAsia="仿宋_GB2312"/>
          <w:sz w:val="28"/>
          <w:szCs w:val="28"/>
          <w:lang w:eastAsia="zh-CN"/>
        </w:rPr>
        <w:t>抚州市玉茗大道丰源宜合2#1-1室、1-2室商业房地产共</w:t>
      </w:r>
      <w:r>
        <w:rPr>
          <w:rFonts w:hint="eastAsia" w:ascii="仿宋_GB2312" w:hAnsi="宋体" w:eastAsia="仿宋_GB2312"/>
          <w:sz w:val="28"/>
          <w:szCs w:val="28"/>
          <w:lang w:val="en-US" w:eastAsia="zh-CN"/>
        </w:rPr>
        <w:t>2</w:t>
      </w:r>
      <w:r>
        <w:rPr>
          <w:rFonts w:hint="eastAsia" w:ascii="仿宋_GB2312" w:hAnsi="宋体" w:eastAsia="仿宋_GB2312"/>
          <w:sz w:val="28"/>
          <w:szCs w:val="28"/>
          <w:lang w:eastAsia="zh-CN"/>
        </w:rPr>
        <w:t>宗商业房地产</w:t>
      </w:r>
      <w:r>
        <w:rPr>
          <w:rFonts w:hint="eastAsia" w:ascii="仿宋" w:hAnsi="仿宋" w:eastAsia="仿宋" w:cs="仿宋"/>
          <w:b w:val="0"/>
          <w:bCs/>
          <w:color w:val="auto"/>
          <w:kern w:val="2"/>
          <w:sz w:val="28"/>
          <w:szCs w:val="28"/>
          <w:lang w:val="en-US" w:eastAsia="zh-CN" w:bidi="ar"/>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firstLine="560" w:firstLineChars="200"/>
        <w:jc w:val="left"/>
        <w:textAlignment w:val="auto"/>
        <w:rPr>
          <w:rFonts w:hint="default" w:ascii="仿宋" w:hAnsi="仿宋" w:eastAsia="仿宋" w:cs="仿宋"/>
          <w:b w:val="0"/>
          <w:bCs/>
          <w:color w:val="auto"/>
          <w:kern w:val="2"/>
          <w:sz w:val="28"/>
          <w:szCs w:val="28"/>
          <w:lang w:val="en-US" w:eastAsia="zh-CN" w:bidi="ar"/>
        </w:rPr>
      </w:pPr>
      <w:r>
        <w:rPr>
          <w:rFonts w:hint="eastAsia" w:ascii="仿宋" w:hAnsi="仿宋" w:eastAsia="仿宋" w:cs="仿宋"/>
          <w:b w:val="0"/>
          <w:bCs/>
          <w:color w:val="auto"/>
          <w:kern w:val="2"/>
          <w:sz w:val="28"/>
          <w:szCs w:val="28"/>
          <w:lang w:val="en-US" w:eastAsia="zh-CN" w:bidi="ar"/>
        </w:rPr>
        <w:t>（2）交通：估价对象位于</w:t>
      </w:r>
      <w:r>
        <w:rPr>
          <w:rFonts w:hint="eastAsia" w:ascii="仿宋_GB2312" w:hAnsi="宋体" w:eastAsia="仿宋_GB2312"/>
          <w:sz w:val="28"/>
          <w:szCs w:val="28"/>
          <w:lang w:eastAsia="zh-CN"/>
        </w:rPr>
        <w:t>抚州市玉茗大道丰源宜合2#1-1室、1-2室</w:t>
      </w:r>
      <w:r>
        <w:rPr>
          <w:rFonts w:hint="eastAsia" w:ascii="仿宋" w:hAnsi="仿宋" w:eastAsia="仿宋" w:cs="仿宋"/>
          <w:b w:val="0"/>
          <w:bCs/>
          <w:color w:val="auto"/>
          <w:kern w:val="2"/>
          <w:sz w:val="28"/>
          <w:szCs w:val="28"/>
          <w:lang w:val="en-US" w:eastAsia="zh-CN" w:bidi="ar"/>
        </w:rPr>
        <w:t>，有多路公交车，交通较为便捷。</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firstLine="560" w:firstLineChars="200"/>
        <w:jc w:val="left"/>
        <w:textAlignment w:val="auto"/>
        <w:rPr>
          <w:rFonts w:hint="eastAsia" w:ascii="仿宋" w:hAnsi="仿宋" w:eastAsia="仿宋" w:cs="仿宋"/>
          <w:b w:val="0"/>
          <w:bCs/>
          <w:color w:val="auto"/>
          <w:kern w:val="2"/>
          <w:sz w:val="28"/>
          <w:szCs w:val="28"/>
          <w:lang w:val="en-US" w:eastAsia="zh-CN" w:bidi="ar"/>
        </w:rPr>
      </w:pPr>
      <w:r>
        <w:rPr>
          <w:rFonts w:hint="eastAsia" w:ascii="仿宋" w:hAnsi="仿宋" w:eastAsia="仿宋" w:cs="仿宋"/>
          <w:b w:val="0"/>
          <w:bCs/>
          <w:color w:val="auto"/>
          <w:kern w:val="2"/>
          <w:sz w:val="28"/>
          <w:szCs w:val="28"/>
          <w:lang w:val="en-US" w:eastAsia="zh-CN" w:bidi="ar"/>
        </w:rPr>
        <w:t>（3）环境：周边景观环境、人文环境较好。</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firstLine="560" w:firstLineChars="200"/>
        <w:jc w:val="left"/>
        <w:textAlignment w:val="auto"/>
        <w:rPr>
          <w:rFonts w:hint="eastAsia" w:ascii="仿宋" w:hAnsi="仿宋" w:eastAsia="仿宋" w:cs="仿宋"/>
          <w:b w:val="0"/>
          <w:bCs/>
          <w:color w:val="auto"/>
          <w:kern w:val="2"/>
          <w:sz w:val="28"/>
          <w:szCs w:val="28"/>
          <w:lang w:val="en-US" w:eastAsia="zh-CN" w:bidi="ar"/>
        </w:rPr>
      </w:pPr>
      <w:r>
        <w:rPr>
          <w:rFonts w:hint="eastAsia" w:ascii="仿宋" w:hAnsi="仿宋" w:eastAsia="仿宋" w:cs="仿宋"/>
          <w:b w:val="0"/>
          <w:bCs/>
          <w:color w:val="auto"/>
          <w:kern w:val="2"/>
          <w:sz w:val="28"/>
          <w:szCs w:val="28"/>
          <w:lang w:val="en-US" w:eastAsia="zh-CN" w:bidi="ar"/>
        </w:rPr>
        <w:t>（4）配套设施：区域内水、电、路等基础设施齐全，各类公共建筑和商业设施较好。</w:t>
      </w:r>
    </w:p>
    <w:p>
      <w:pPr>
        <w:pStyle w:val="4"/>
        <w:pageBreakBefore w:val="0"/>
        <w:widowControl w:val="0"/>
        <w:kinsoku/>
        <w:wordWrap/>
        <w:overflowPunct/>
        <w:topLinePunct w:val="0"/>
        <w:autoSpaceDE/>
        <w:autoSpaceDN/>
        <w:bidi w:val="0"/>
        <w:adjustRightInd w:val="0"/>
        <w:snapToGrid w:val="0"/>
        <w:spacing w:line="480" w:lineRule="exact"/>
        <w:ind w:firstLine="420"/>
        <w:textAlignment w:val="auto"/>
        <w:rPr>
          <w:rFonts w:hint="eastAsia" w:ascii="仿宋_GB2312" w:eastAsia="仿宋_GB2312"/>
          <w:b/>
          <w:spacing w:val="-20"/>
          <w:sz w:val="28"/>
        </w:rPr>
      </w:pPr>
      <w:bookmarkStart w:id="19" w:name="_Toc8676"/>
      <w:bookmarkStart w:id="20" w:name="_Toc22894"/>
      <w:bookmarkStart w:id="21" w:name="_Toc536174652"/>
      <w:r>
        <w:rPr>
          <w:rFonts w:hint="eastAsia" w:ascii="仿宋_GB2312" w:eastAsia="仿宋_GB2312"/>
          <w:b/>
        </w:rPr>
        <w:t>（五）价值时点</w:t>
      </w:r>
      <w:bookmarkEnd w:id="19"/>
      <w:bookmarkEnd w:id="20"/>
      <w:bookmarkEnd w:id="21"/>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hAnsi="宋体" w:eastAsia="仿宋_GB2312"/>
          <w:sz w:val="18"/>
          <w:szCs w:val="18"/>
        </w:rPr>
      </w:pPr>
      <w:r>
        <w:rPr>
          <w:rFonts w:hint="eastAsia" w:ascii="仿宋_GB2312" w:hAnsi="宋体" w:eastAsia="仿宋_GB2312"/>
          <w:sz w:val="28"/>
          <w:szCs w:val="28"/>
          <w:lang w:val="en-US" w:eastAsia="zh-CN"/>
        </w:rPr>
        <w:t>2022年10月25日（现场查勘之日）</w:t>
      </w:r>
      <w:r>
        <w:rPr>
          <w:rFonts w:hint="eastAsia" w:ascii="仿宋_GB2312" w:hAnsi="宋体" w:eastAsia="仿宋_GB2312"/>
          <w:sz w:val="28"/>
          <w:szCs w:val="28"/>
          <w:lang w:eastAsia="zh-CN"/>
        </w:rPr>
        <w:t>。</w:t>
      </w:r>
    </w:p>
    <w:p>
      <w:pPr>
        <w:pStyle w:val="4"/>
        <w:pageBreakBefore w:val="0"/>
        <w:widowControl w:val="0"/>
        <w:kinsoku/>
        <w:wordWrap/>
        <w:overflowPunct/>
        <w:topLinePunct w:val="0"/>
        <w:autoSpaceDE/>
        <w:autoSpaceDN/>
        <w:bidi w:val="0"/>
        <w:adjustRightInd w:val="0"/>
        <w:snapToGrid w:val="0"/>
        <w:spacing w:line="480" w:lineRule="exact"/>
        <w:ind w:firstLine="420"/>
        <w:textAlignment w:val="auto"/>
        <w:rPr>
          <w:rFonts w:hint="eastAsia" w:ascii="仿宋_GB2312" w:eastAsia="仿宋_GB2312"/>
          <w:b/>
          <w:lang w:eastAsia="zh-CN"/>
        </w:rPr>
      </w:pPr>
      <w:bookmarkStart w:id="22" w:name="_Toc19285"/>
      <w:bookmarkStart w:id="23" w:name="_Toc24794"/>
      <w:bookmarkStart w:id="24" w:name="_Toc536174653"/>
      <w:r>
        <w:rPr>
          <w:rFonts w:hint="eastAsia" w:ascii="仿宋_GB2312" w:eastAsia="仿宋_GB2312"/>
          <w:b/>
        </w:rPr>
        <w:t>（六）价值</w:t>
      </w:r>
      <w:bookmarkEnd w:id="22"/>
      <w:bookmarkEnd w:id="23"/>
      <w:bookmarkEnd w:id="24"/>
      <w:r>
        <w:rPr>
          <w:rFonts w:hint="eastAsia" w:ascii="仿宋_GB2312" w:eastAsia="仿宋_GB2312"/>
          <w:b/>
          <w:lang w:eastAsia="zh-CN"/>
        </w:rPr>
        <w:t>类型</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lang w:val="en-US" w:eastAsia="zh-CN"/>
        </w:rPr>
        <w:t>本次评估的是估价对象在价值时点的市场价值，市场价值为估价对象由熟悉情况、谨慎行事且不受强迫的交易双方，以公平交易方式在价值时点自愿进行交易的金额。</w:t>
      </w:r>
    </w:p>
    <w:p>
      <w:pPr>
        <w:pStyle w:val="4"/>
        <w:pageBreakBefore w:val="0"/>
        <w:widowControl w:val="0"/>
        <w:kinsoku/>
        <w:wordWrap/>
        <w:overflowPunct/>
        <w:topLinePunct w:val="0"/>
        <w:autoSpaceDE/>
        <w:autoSpaceDN/>
        <w:bidi w:val="0"/>
        <w:adjustRightInd w:val="0"/>
        <w:snapToGrid w:val="0"/>
        <w:spacing w:line="480" w:lineRule="exact"/>
        <w:ind w:firstLine="420"/>
        <w:textAlignment w:val="auto"/>
        <w:rPr>
          <w:rFonts w:hint="eastAsia" w:ascii="仿宋_GB2312" w:eastAsia="仿宋_GB2312"/>
          <w:b/>
          <w:color w:val="000000"/>
          <w:sz w:val="28"/>
        </w:rPr>
      </w:pPr>
      <w:bookmarkStart w:id="25" w:name="_Toc24551"/>
      <w:bookmarkStart w:id="26" w:name="_Toc1707"/>
      <w:bookmarkStart w:id="27" w:name="_Toc536174654"/>
      <w:r>
        <w:rPr>
          <w:rFonts w:hint="eastAsia" w:ascii="仿宋_GB2312" w:eastAsia="仿宋_GB2312"/>
          <w:b/>
        </w:rPr>
        <w:t>（七）</w:t>
      </w:r>
      <w:r>
        <w:rPr>
          <w:rFonts w:hint="eastAsia" w:ascii="仿宋_GB2312" w:eastAsia="仿宋_GB2312"/>
          <w:b/>
          <w:lang w:eastAsia="zh-CN"/>
        </w:rPr>
        <w:t>估价</w:t>
      </w:r>
      <w:r>
        <w:rPr>
          <w:rFonts w:hint="eastAsia" w:ascii="仿宋_GB2312" w:eastAsia="仿宋_GB2312"/>
          <w:b/>
        </w:rPr>
        <w:t>依据</w:t>
      </w:r>
      <w:bookmarkEnd w:id="25"/>
      <w:bookmarkEnd w:id="26"/>
      <w:bookmarkEnd w:id="27"/>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1、法律、法规和政策性文件</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（1）《中华人民共和国资产评估法》（中华人民共和国主席令第46号，自2016年12月1日起施行）；</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lang w:eastAsia="zh-CN"/>
        </w:rPr>
        <w:t>（</w:t>
      </w:r>
      <w:r>
        <w:rPr>
          <w:rFonts w:hint="eastAsia" w:ascii="仿宋_GB2312" w:hAnsi="宋体" w:eastAsia="仿宋_GB2312"/>
          <w:sz w:val="28"/>
          <w:szCs w:val="28"/>
          <w:lang w:val="en-US" w:eastAsia="zh-CN"/>
        </w:rPr>
        <w:t>2</w:t>
      </w:r>
      <w:r>
        <w:rPr>
          <w:rFonts w:hint="eastAsia" w:ascii="仿宋_GB2312" w:hAnsi="宋体" w:eastAsia="仿宋_GB2312"/>
          <w:sz w:val="28"/>
          <w:szCs w:val="28"/>
          <w:lang w:eastAsia="zh-CN"/>
        </w:rPr>
        <w:t>）《中华人民共和国城市房地产管理法》（中华人民共和国主席令第32号，根据2019年8月26日第十三届全国人民代表大会常务委员会第十二次会议《关于修改〈中华人民共和国土地管理法〉、〈中华人民共和国城市房地产管理法〉的决定》第三次修正，自2020年1月1日起施行）</w:t>
      </w:r>
      <w:r>
        <w:rPr>
          <w:rFonts w:hint="eastAsia" w:ascii="仿宋_GB2312" w:hAnsi="宋体" w:eastAsia="仿宋_GB2312"/>
          <w:sz w:val="28"/>
          <w:szCs w:val="28"/>
        </w:rPr>
        <w:t>；</w:t>
      </w:r>
    </w:p>
    <w:p>
      <w:pPr>
        <w:pageBreakBefore w:val="0"/>
        <w:widowControl w:val="0"/>
        <w:tabs>
          <w:tab w:val="left" w:pos="2912"/>
        </w:tabs>
        <w:kinsoku/>
        <w:wordWrap/>
        <w:overflowPunct/>
        <w:topLinePunct w:val="0"/>
        <w:autoSpaceDE/>
        <w:autoSpaceDN/>
        <w:bidi w:val="0"/>
        <w:adjustRightInd w:val="0"/>
        <w:snapToGrid w:val="0"/>
        <w:spacing w:line="48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3）《中华人民共和国土地管理法》（中华人民共和国主席令第32号，根据2019年8月26日第十三届全国人民代表大会常务委员会第十二次会议《关于修改〈中华人民共和国土地管理法〉、〈中华人民共和国城市房地产管理法〉的决定》第三次修正，自2020年1月1日起施行）;</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（4）《中华人民共和国民法典》（中华人民共和国主席令第45号，中华人民共和国第十三届全国人民代表大会第三次会议于2020年5月28日通过，自2021年1月1日起施行）；</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（5）《中华人民共和国拍卖法》(中华人民共和国主席令第24号，自2015年4月24日起施行)；</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（6）《全国人民代表大会常务委员会关于司法处置管理问题的决定》(2005年2月28日第十届全国人民代表大会常务委员会第十四次会议通过 根据2015年4月24日第十二届全国人民代表大会常务委员会第十四次会议修正)；</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hAnsi="宋体" w:eastAsia="仿宋_GB2312"/>
          <w:sz w:val="28"/>
          <w:szCs w:val="28"/>
          <w:lang w:eastAsia="zh-CN"/>
        </w:rPr>
      </w:pPr>
      <w:r>
        <w:rPr>
          <w:rFonts w:hint="eastAsia" w:ascii="仿宋_GB2312" w:hAnsi="宋体" w:eastAsia="仿宋_GB2312"/>
          <w:sz w:val="28"/>
          <w:szCs w:val="28"/>
        </w:rPr>
        <w:t>（</w:t>
      </w:r>
      <w:r>
        <w:rPr>
          <w:rFonts w:hint="eastAsia" w:ascii="仿宋_GB2312" w:hAnsi="宋体" w:eastAsia="仿宋_GB2312"/>
          <w:sz w:val="28"/>
          <w:szCs w:val="28"/>
          <w:lang w:val="en-US" w:eastAsia="zh-CN"/>
        </w:rPr>
        <w:t>7</w:t>
      </w:r>
      <w:r>
        <w:rPr>
          <w:rFonts w:hint="eastAsia" w:ascii="仿宋_GB2312" w:hAnsi="宋体" w:eastAsia="仿宋_GB2312"/>
          <w:sz w:val="28"/>
          <w:szCs w:val="28"/>
        </w:rPr>
        <w:t>）《司法处置程序通则》(中华人民共和国司法部令第132号，自2016年5月1日起施行)</w:t>
      </w:r>
      <w:r>
        <w:rPr>
          <w:rFonts w:hint="eastAsia" w:ascii="仿宋_GB2312" w:hAnsi="宋体" w:eastAsia="仿宋_GB2312"/>
          <w:sz w:val="28"/>
          <w:szCs w:val="28"/>
          <w:lang w:eastAsia="zh-CN"/>
        </w:rPr>
        <w:t>；</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hAnsi="宋体" w:eastAsia="仿宋_GB2312"/>
          <w:sz w:val="28"/>
          <w:szCs w:val="28"/>
          <w:lang w:eastAsia="zh-CN"/>
        </w:rPr>
      </w:pPr>
      <w:r>
        <w:rPr>
          <w:rFonts w:hint="eastAsia" w:ascii="仿宋_GB2312" w:hAnsi="宋体" w:eastAsia="仿宋_GB2312"/>
          <w:sz w:val="28"/>
          <w:szCs w:val="28"/>
          <w:lang w:eastAsia="zh-CN"/>
        </w:rPr>
        <w:t>（</w:t>
      </w:r>
      <w:r>
        <w:rPr>
          <w:rFonts w:hint="eastAsia" w:ascii="仿宋_GB2312" w:hAnsi="宋体" w:eastAsia="仿宋_GB2312"/>
          <w:sz w:val="28"/>
          <w:szCs w:val="28"/>
          <w:lang w:val="en-US" w:eastAsia="zh-CN"/>
        </w:rPr>
        <w:t>8</w:t>
      </w:r>
      <w:r>
        <w:rPr>
          <w:rFonts w:hint="eastAsia" w:ascii="仿宋_GB2312" w:hAnsi="宋体" w:eastAsia="仿宋_GB2312"/>
          <w:sz w:val="28"/>
          <w:szCs w:val="28"/>
          <w:lang w:eastAsia="zh-CN"/>
        </w:rPr>
        <w:t>）《最高人民法院关于人民法院民事执行中拍卖、变卖财产的规定》(法释[2004]16号)；</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hAnsi="宋体" w:eastAsia="仿宋_GB2312"/>
          <w:sz w:val="28"/>
          <w:szCs w:val="28"/>
          <w:lang w:eastAsia="zh-CN"/>
        </w:rPr>
      </w:pPr>
      <w:r>
        <w:rPr>
          <w:rFonts w:hint="eastAsia" w:ascii="仿宋_GB2312" w:hAnsi="宋体" w:eastAsia="仿宋_GB2312"/>
          <w:sz w:val="28"/>
          <w:szCs w:val="28"/>
          <w:lang w:eastAsia="zh-CN"/>
        </w:rPr>
        <w:t>（</w:t>
      </w:r>
      <w:r>
        <w:rPr>
          <w:rFonts w:hint="eastAsia" w:ascii="仿宋_GB2312" w:hAnsi="宋体" w:eastAsia="仿宋_GB2312"/>
          <w:sz w:val="28"/>
          <w:szCs w:val="28"/>
          <w:lang w:val="en-US" w:eastAsia="zh-CN"/>
        </w:rPr>
        <w:t>9</w:t>
      </w:r>
      <w:r>
        <w:rPr>
          <w:rFonts w:hint="eastAsia" w:ascii="仿宋_GB2312" w:hAnsi="宋体" w:eastAsia="仿宋_GB2312"/>
          <w:sz w:val="28"/>
          <w:szCs w:val="28"/>
          <w:lang w:eastAsia="zh-CN"/>
        </w:rPr>
        <w:t>）《最高人民法院对外委托鉴定、评估、拍卖等工作管理规定》</w:t>
      </w:r>
    </w:p>
    <w:p>
      <w:pPr>
        <w:pageBreakBefore w:val="0"/>
        <w:widowControl w:val="0"/>
        <w:kinsoku/>
        <w:wordWrap/>
        <w:overflowPunct/>
        <w:topLinePunct w:val="0"/>
        <w:autoSpaceDE/>
        <w:autoSpaceDN/>
        <w:bidi w:val="0"/>
        <w:adjustRightInd w:val="0"/>
        <w:snapToGrid w:val="0"/>
        <w:spacing w:line="480" w:lineRule="exact"/>
        <w:textAlignment w:val="auto"/>
        <w:rPr>
          <w:rFonts w:hint="eastAsia" w:ascii="仿宋_GB2312" w:hAnsi="宋体" w:eastAsia="仿宋_GB2312"/>
          <w:sz w:val="28"/>
          <w:szCs w:val="28"/>
          <w:lang w:eastAsia="zh-CN"/>
        </w:rPr>
      </w:pPr>
      <w:r>
        <w:rPr>
          <w:rFonts w:hint="eastAsia" w:ascii="仿宋_GB2312" w:hAnsi="宋体" w:eastAsia="仿宋_GB2312"/>
          <w:sz w:val="28"/>
          <w:szCs w:val="28"/>
          <w:lang w:eastAsia="zh-CN"/>
        </w:rPr>
        <w:t>(法办发[2007]5号)；</w:t>
      </w:r>
    </w:p>
    <w:p>
      <w:pPr>
        <w:pageBreakBefore w:val="0"/>
        <w:widowControl w:val="0"/>
        <w:numPr>
          <w:ilvl w:val="0"/>
          <w:numId w:val="2"/>
        </w:numPr>
        <w:kinsoku/>
        <w:wordWrap/>
        <w:overflowPunct/>
        <w:topLinePunct w:val="0"/>
        <w:autoSpaceDE/>
        <w:autoSpaceDN/>
        <w:bidi w:val="0"/>
        <w:adjustRightInd w:val="0"/>
        <w:snapToGrid w:val="0"/>
        <w:spacing w:line="480" w:lineRule="exact"/>
        <w:ind w:firstLine="560" w:firstLineChars="200"/>
        <w:textAlignment w:val="auto"/>
        <w:rPr>
          <w:rFonts w:hint="eastAsia" w:ascii="仿宋_GB2312" w:hAnsi="宋体" w:eastAsia="仿宋_GB2312"/>
          <w:sz w:val="28"/>
          <w:szCs w:val="28"/>
          <w:lang w:eastAsia="zh-CN"/>
        </w:rPr>
      </w:pPr>
      <w:r>
        <w:rPr>
          <w:rFonts w:hint="eastAsia" w:ascii="仿宋_GB2312" w:hAnsi="宋体" w:eastAsia="仿宋_GB2312"/>
          <w:sz w:val="28"/>
          <w:szCs w:val="28"/>
          <w:lang w:eastAsia="zh-CN"/>
        </w:rPr>
        <w:t>《最高人民法院关于人民法院委托评估、拍卖和变卖工作的若干规定》（2009年8月24日法释〔2009〕16号）；</w:t>
      </w:r>
    </w:p>
    <w:p>
      <w:pPr>
        <w:pageBreakBefore w:val="0"/>
        <w:widowControl w:val="0"/>
        <w:numPr>
          <w:ilvl w:val="0"/>
          <w:numId w:val="2"/>
        </w:numPr>
        <w:kinsoku/>
        <w:wordWrap/>
        <w:overflowPunct/>
        <w:topLinePunct w:val="0"/>
        <w:autoSpaceDE/>
        <w:autoSpaceDN/>
        <w:bidi w:val="0"/>
        <w:adjustRightInd w:val="0"/>
        <w:snapToGrid w:val="0"/>
        <w:spacing w:line="480" w:lineRule="exact"/>
        <w:ind w:firstLine="560" w:firstLineChars="200"/>
        <w:textAlignment w:val="auto"/>
        <w:rPr>
          <w:rFonts w:hint="eastAsia" w:ascii="仿宋_GB2312" w:hAnsi="宋体" w:eastAsia="仿宋_GB2312"/>
          <w:sz w:val="28"/>
          <w:szCs w:val="28"/>
          <w:lang w:eastAsia="zh-CN"/>
        </w:rPr>
      </w:pPr>
      <w:r>
        <w:rPr>
          <w:rFonts w:hint="eastAsia" w:ascii="仿宋_GB2312" w:hAnsi="宋体" w:eastAsia="仿宋_GB2312"/>
          <w:sz w:val="28"/>
          <w:szCs w:val="28"/>
          <w:lang w:eastAsia="zh-CN"/>
        </w:rPr>
        <w:t>《最高人民法院关于人民法院确定财产处置参考价若干问题的规定》（法释〔2018〕15号，自2018年9月1日起施行）；</w:t>
      </w:r>
    </w:p>
    <w:p>
      <w:pPr>
        <w:pageBreakBefore w:val="0"/>
        <w:widowControl w:val="0"/>
        <w:numPr>
          <w:ilvl w:val="0"/>
          <w:numId w:val="2"/>
        </w:numPr>
        <w:kinsoku/>
        <w:wordWrap/>
        <w:overflowPunct/>
        <w:topLinePunct w:val="0"/>
        <w:autoSpaceDE/>
        <w:autoSpaceDN/>
        <w:bidi w:val="0"/>
        <w:adjustRightInd w:val="0"/>
        <w:snapToGrid w:val="0"/>
        <w:spacing w:line="480" w:lineRule="exact"/>
        <w:ind w:firstLine="560" w:firstLineChars="200"/>
        <w:textAlignment w:val="auto"/>
        <w:rPr>
          <w:rFonts w:hint="eastAsia" w:ascii="仿宋_GB2312" w:hAnsi="宋体" w:eastAsia="仿宋_GB2312"/>
          <w:sz w:val="28"/>
          <w:szCs w:val="28"/>
          <w:lang w:eastAsia="zh-CN"/>
        </w:rPr>
      </w:pPr>
      <w:r>
        <w:rPr>
          <w:rFonts w:hint="eastAsia" w:ascii="仿宋_GB2312" w:hAnsi="宋体" w:eastAsia="仿宋_GB2312"/>
          <w:sz w:val="28"/>
          <w:szCs w:val="28"/>
          <w:lang w:eastAsia="zh-CN"/>
        </w:rPr>
        <w:t>《关于印发〈人民法院委托评估工作规范〉的通知》（法办（2018）273号，2018年12月10日）。</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2、技术标准、规程、规范</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（1）《房地产估价规范》（GB/T50291-2015）</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（2）《房地产估价基本术语标准》（GB/T50729-2013）</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（3）关于印发《涉执房地产处置司法评估指导意见（试行）》的通知（中房学〔2021〕37 号）。</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3、</w:t>
      </w:r>
      <w:r>
        <w:rPr>
          <w:rFonts w:hint="eastAsia" w:ascii="仿宋_GB2312" w:hAnsi="宋体" w:eastAsia="仿宋_GB2312"/>
          <w:sz w:val="28"/>
          <w:szCs w:val="28"/>
          <w:lang w:eastAsia="zh-CN"/>
        </w:rPr>
        <w:t>估价委托人</w:t>
      </w:r>
      <w:r>
        <w:rPr>
          <w:rFonts w:hint="eastAsia" w:ascii="仿宋_GB2312" w:hAnsi="宋体" w:eastAsia="仿宋_GB2312"/>
          <w:sz w:val="28"/>
          <w:szCs w:val="28"/>
        </w:rPr>
        <w:t>提供的相关资料</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hAnsi="宋体" w:eastAsia="仿宋_GB2312"/>
          <w:sz w:val="28"/>
          <w:szCs w:val="28"/>
          <w:lang w:eastAsia="zh-CN"/>
        </w:rPr>
      </w:pPr>
      <w:r>
        <w:rPr>
          <w:rFonts w:hint="eastAsia" w:ascii="仿宋_GB2312" w:hAnsi="宋体" w:eastAsia="仿宋_GB2312"/>
          <w:sz w:val="28"/>
          <w:szCs w:val="28"/>
          <w:lang w:eastAsia="zh-CN"/>
        </w:rPr>
        <w:t>（</w:t>
      </w:r>
      <w:r>
        <w:rPr>
          <w:rFonts w:hint="eastAsia" w:ascii="仿宋_GB2312" w:hAnsi="宋体" w:eastAsia="仿宋_GB2312"/>
          <w:sz w:val="28"/>
          <w:szCs w:val="28"/>
          <w:lang w:val="en-US" w:eastAsia="zh-CN"/>
        </w:rPr>
        <w:t>1</w:t>
      </w:r>
      <w:r>
        <w:rPr>
          <w:rFonts w:hint="eastAsia" w:ascii="仿宋_GB2312" w:hAnsi="宋体" w:eastAsia="仿宋_GB2312"/>
          <w:sz w:val="28"/>
          <w:szCs w:val="28"/>
          <w:lang w:eastAsia="zh-CN"/>
        </w:rPr>
        <w:t>）《估价委托书》复印件</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w:t>
      </w:r>
      <w:r>
        <w:rPr>
          <w:rFonts w:hint="eastAsia" w:ascii="仿宋_GB2312" w:hAnsi="宋体" w:eastAsia="仿宋_GB2312"/>
          <w:sz w:val="28"/>
          <w:szCs w:val="28"/>
          <w:lang w:val="en-US" w:eastAsia="zh-CN"/>
        </w:rPr>
        <w:t>2</w:t>
      </w:r>
      <w:r>
        <w:rPr>
          <w:rFonts w:hint="eastAsia" w:ascii="仿宋_GB2312" w:hAnsi="宋体" w:eastAsia="仿宋_GB2312"/>
          <w:sz w:val="28"/>
          <w:szCs w:val="28"/>
        </w:rPr>
        <w:t>）</w:t>
      </w:r>
      <w:r>
        <w:rPr>
          <w:rFonts w:eastAsia="仿宋"/>
          <w:sz w:val="28"/>
        </w:rPr>
        <w:t>《</w:t>
      </w:r>
      <w:r>
        <w:rPr>
          <w:rFonts w:hint="eastAsia" w:eastAsia="仿宋"/>
          <w:sz w:val="28"/>
          <w:lang w:val="en-US" w:eastAsia="zh-CN"/>
        </w:rPr>
        <w:t>不动产产权情况表</w:t>
      </w:r>
      <w:r>
        <w:rPr>
          <w:rFonts w:eastAsia="仿宋"/>
          <w:sz w:val="28"/>
        </w:rPr>
        <w:t>》复印件</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eastAsia="仿宋"/>
          <w:sz w:val="28"/>
        </w:rPr>
      </w:pPr>
      <w:r>
        <w:rPr>
          <w:rFonts w:hint="eastAsia" w:ascii="仿宋_GB2312" w:hAnsi="宋体" w:eastAsia="仿宋_GB2312"/>
          <w:sz w:val="28"/>
          <w:szCs w:val="28"/>
          <w:lang w:eastAsia="zh-CN"/>
        </w:rPr>
        <w:t>（</w:t>
      </w:r>
      <w:r>
        <w:rPr>
          <w:rFonts w:hint="eastAsia" w:ascii="仿宋_GB2312" w:hAnsi="宋体" w:eastAsia="仿宋_GB2312"/>
          <w:sz w:val="28"/>
          <w:szCs w:val="28"/>
          <w:lang w:val="en-US" w:eastAsia="zh-CN"/>
        </w:rPr>
        <w:t>3</w:t>
      </w:r>
      <w:r>
        <w:rPr>
          <w:rFonts w:hint="eastAsia" w:ascii="仿宋_GB2312" w:hAnsi="宋体" w:eastAsia="仿宋_GB2312"/>
          <w:sz w:val="28"/>
          <w:szCs w:val="28"/>
          <w:lang w:eastAsia="zh-CN"/>
        </w:rPr>
        <w:t>）</w:t>
      </w:r>
      <w:r>
        <w:rPr>
          <w:rFonts w:eastAsia="仿宋"/>
          <w:sz w:val="28"/>
        </w:rPr>
        <w:t>《</w:t>
      </w:r>
      <w:r>
        <w:rPr>
          <w:rFonts w:hint="eastAsia" w:eastAsia="仿宋"/>
          <w:sz w:val="28"/>
          <w:lang w:val="en-US" w:eastAsia="zh-CN"/>
        </w:rPr>
        <w:t>房产测绘报告</w:t>
      </w:r>
      <w:r>
        <w:rPr>
          <w:rFonts w:eastAsia="仿宋"/>
          <w:sz w:val="28"/>
        </w:rPr>
        <w:t>》复印件</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（4）《丰源宜合2栋1-01/1-02商铺物业费明细》（江西丰安物业管理有限责任公司丰源宜合管理处）</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4、</w:t>
      </w:r>
      <w:r>
        <w:rPr>
          <w:rFonts w:hint="eastAsia" w:ascii="仿宋_GB2312" w:hAnsi="宋体" w:eastAsia="仿宋_GB2312"/>
          <w:sz w:val="28"/>
          <w:szCs w:val="28"/>
          <w:lang w:eastAsia="zh-CN"/>
        </w:rPr>
        <w:t>估价</w:t>
      </w:r>
      <w:r>
        <w:rPr>
          <w:rFonts w:hint="eastAsia" w:ascii="仿宋_GB2312" w:hAnsi="宋体" w:eastAsia="仿宋_GB2312"/>
          <w:sz w:val="28"/>
          <w:szCs w:val="28"/>
        </w:rPr>
        <w:t>人员调查收集的相关资料</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（1）</w:t>
      </w:r>
      <w:r>
        <w:rPr>
          <w:rFonts w:hint="eastAsia" w:ascii="仿宋_GB2312" w:hAnsi="宋体" w:eastAsia="仿宋_GB2312"/>
          <w:sz w:val="28"/>
          <w:szCs w:val="28"/>
          <w:lang w:eastAsia="zh-CN"/>
        </w:rPr>
        <w:t>估价</w:t>
      </w:r>
      <w:r>
        <w:rPr>
          <w:rFonts w:hint="eastAsia" w:ascii="仿宋_GB2312" w:hAnsi="宋体" w:eastAsia="仿宋_GB2312"/>
          <w:sz w:val="28"/>
          <w:szCs w:val="28"/>
        </w:rPr>
        <w:t>人员实地查勘和</w:t>
      </w:r>
      <w:r>
        <w:rPr>
          <w:rFonts w:hint="eastAsia" w:ascii="仿宋_GB2312" w:hAnsi="宋体" w:eastAsia="仿宋_GB2312"/>
          <w:sz w:val="28"/>
          <w:szCs w:val="28"/>
          <w:lang w:eastAsia="zh-CN"/>
        </w:rPr>
        <w:t>估价</w:t>
      </w:r>
      <w:r>
        <w:rPr>
          <w:rFonts w:hint="eastAsia" w:ascii="仿宋_GB2312" w:hAnsi="宋体" w:eastAsia="仿宋_GB2312"/>
          <w:sz w:val="28"/>
          <w:szCs w:val="28"/>
        </w:rPr>
        <w:t>机构掌握的其他相关资料；</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（2）</w:t>
      </w:r>
      <w:r>
        <w:rPr>
          <w:rFonts w:hint="eastAsia" w:ascii="仿宋_GB2312" w:hAnsi="宋体" w:eastAsia="仿宋_GB2312"/>
          <w:sz w:val="28"/>
          <w:szCs w:val="28"/>
          <w:lang w:eastAsia="zh-CN"/>
        </w:rPr>
        <w:t>估价对象</w:t>
      </w:r>
      <w:r>
        <w:rPr>
          <w:rFonts w:hint="eastAsia" w:ascii="仿宋_GB2312" w:hAnsi="宋体" w:eastAsia="仿宋_GB2312"/>
          <w:sz w:val="28"/>
          <w:szCs w:val="28"/>
        </w:rPr>
        <w:t>所在区域房地产市场状况、同类房地产市场交易等数据资料。</w:t>
      </w:r>
    </w:p>
    <w:p>
      <w:pPr>
        <w:pStyle w:val="4"/>
        <w:pageBreakBefore w:val="0"/>
        <w:widowControl w:val="0"/>
        <w:kinsoku/>
        <w:wordWrap/>
        <w:overflowPunct/>
        <w:topLinePunct w:val="0"/>
        <w:autoSpaceDE/>
        <w:autoSpaceDN/>
        <w:bidi w:val="0"/>
        <w:adjustRightInd w:val="0"/>
        <w:snapToGrid w:val="0"/>
        <w:spacing w:line="480" w:lineRule="exact"/>
        <w:ind w:firstLine="420"/>
        <w:textAlignment w:val="auto"/>
        <w:rPr>
          <w:rFonts w:hint="eastAsia" w:ascii="仿宋_GB2312" w:eastAsia="仿宋_GB2312"/>
          <w:b/>
        </w:rPr>
      </w:pPr>
      <w:bookmarkStart w:id="28" w:name="_Toc18868"/>
      <w:bookmarkStart w:id="29" w:name="_Toc536174655"/>
      <w:bookmarkStart w:id="30" w:name="_Toc15655"/>
      <w:r>
        <w:rPr>
          <w:rFonts w:hint="eastAsia" w:ascii="仿宋_GB2312" w:eastAsia="仿宋_GB2312"/>
          <w:b/>
        </w:rPr>
        <w:t>（八）</w:t>
      </w:r>
      <w:bookmarkEnd w:id="28"/>
      <w:bookmarkEnd w:id="29"/>
      <w:r>
        <w:rPr>
          <w:rFonts w:hint="eastAsia" w:ascii="仿宋_GB2312" w:eastAsia="仿宋_GB2312"/>
          <w:b/>
          <w:lang w:eastAsia="zh-CN"/>
        </w:rPr>
        <w:t>估价原则</w:t>
      </w:r>
      <w:bookmarkEnd w:id="30"/>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hAnsi="宋体" w:eastAsia="仿宋_GB2312"/>
          <w:bCs/>
          <w:sz w:val="28"/>
          <w:szCs w:val="28"/>
        </w:rPr>
      </w:pPr>
      <w:r>
        <w:rPr>
          <w:rFonts w:hint="eastAsia" w:ascii="仿宋_GB2312" w:hAnsi="宋体" w:eastAsia="仿宋_GB2312"/>
          <w:bCs/>
          <w:sz w:val="28"/>
          <w:szCs w:val="28"/>
        </w:rPr>
        <w:t>1、独立、客观、公正原则</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要求站在中立的立场上，</w:t>
      </w:r>
      <w:r>
        <w:rPr>
          <w:rFonts w:hint="eastAsia" w:ascii="仿宋_GB2312" w:hAnsi="宋体" w:eastAsia="仿宋_GB2312"/>
          <w:sz w:val="28"/>
          <w:szCs w:val="28"/>
          <w:lang w:eastAsia="zh-CN"/>
        </w:rPr>
        <w:t>实事求是</w:t>
      </w:r>
      <w:r>
        <w:rPr>
          <w:rFonts w:hint="eastAsia" w:ascii="仿宋_GB2312" w:hAnsi="宋体" w:eastAsia="仿宋_GB2312"/>
          <w:sz w:val="28"/>
          <w:szCs w:val="28"/>
        </w:rPr>
        <w:t>地</w:t>
      </w:r>
      <w:r>
        <w:rPr>
          <w:rFonts w:hint="eastAsia" w:ascii="仿宋_GB2312" w:hAnsi="宋体" w:eastAsia="仿宋_GB2312"/>
          <w:sz w:val="28"/>
          <w:szCs w:val="28"/>
          <w:lang w:eastAsia="zh-CN"/>
        </w:rPr>
        <w:t>测算</w:t>
      </w:r>
      <w:r>
        <w:rPr>
          <w:rFonts w:hint="eastAsia" w:ascii="仿宋_GB2312" w:hAnsi="宋体" w:eastAsia="仿宋_GB2312"/>
          <w:sz w:val="28"/>
          <w:szCs w:val="28"/>
        </w:rPr>
        <w:t>出对各方</w:t>
      </w:r>
      <w:r>
        <w:rPr>
          <w:rFonts w:hint="eastAsia" w:ascii="仿宋_GB2312" w:hAnsi="宋体" w:eastAsia="仿宋_GB2312"/>
          <w:sz w:val="28"/>
          <w:szCs w:val="28"/>
          <w:lang w:eastAsia="zh-CN"/>
        </w:rPr>
        <w:t>估价利</w:t>
      </w:r>
      <w:r>
        <w:rPr>
          <w:rFonts w:hint="eastAsia" w:ascii="仿宋_GB2312" w:hAnsi="宋体" w:eastAsia="仿宋_GB2312"/>
          <w:sz w:val="28"/>
          <w:szCs w:val="28"/>
        </w:rPr>
        <w:t>害关系人均是公平合理价值或价格的原则。</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hAnsi="宋体" w:eastAsia="仿宋_GB2312"/>
          <w:bCs/>
          <w:sz w:val="28"/>
          <w:szCs w:val="28"/>
        </w:rPr>
      </w:pPr>
      <w:r>
        <w:rPr>
          <w:rFonts w:hint="eastAsia" w:ascii="仿宋_GB2312" w:hAnsi="宋体" w:eastAsia="仿宋_GB2312"/>
          <w:bCs/>
          <w:sz w:val="28"/>
          <w:szCs w:val="28"/>
        </w:rPr>
        <w:t>2、合法原则</w:t>
      </w:r>
    </w:p>
    <w:p>
      <w:pPr>
        <w:pageBreakBefore w:val="0"/>
        <w:widowControl w:val="0"/>
        <w:kinsoku/>
        <w:wordWrap/>
        <w:overflowPunct/>
        <w:topLinePunct w:val="0"/>
        <w:autoSpaceDE/>
        <w:autoSpaceDN/>
        <w:bidi w:val="0"/>
        <w:adjustRightInd w:val="0"/>
        <w:snapToGrid w:val="0"/>
        <w:spacing w:line="480" w:lineRule="exact"/>
        <w:ind w:firstLine="544" w:firstLineChars="200"/>
        <w:textAlignment w:val="auto"/>
        <w:rPr>
          <w:rFonts w:hint="eastAsia" w:ascii="仿宋_GB2312" w:hAnsi="宋体" w:eastAsia="仿宋_GB2312"/>
          <w:sz w:val="28"/>
          <w:szCs w:val="28"/>
        </w:rPr>
      </w:pPr>
      <w:r>
        <w:rPr>
          <w:rFonts w:hint="eastAsia" w:ascii="仿宋_GB2312" w:hAnsi="宋体" w:eastAsia="仿宋_GB2312"/>
          <w:spacing w:val="-4"/>
          <w:sz w:val="28"/>
          <w:szCs w:val="28"/>
        </w:rPr>
        <w:t>要求</w:t>
      </w:r>
      <w:r>
        <w:rPr>
          <w:rFonts w:hint="eastAsia" w:ascii="仿宋_GB2312" w:hAnsi="宋体" w:eastAsia="仿宋_GB2312"/>
          <w:spacing w:val="-4"/>
          <w:sz w:val="28"/>
          <w:szCs w:val="28"/>
          <w:lang w:eastAsia="zh-CN"/>
        </w:rPr>
        <w:t>估价</w:t>
      </w:r>
      <w:r>
        <w:rPr>
          <w:rFonts w:hint="eastAsia" w:ascii="仿宋_GB2312" w:hAnsi="宋体" w:eastAsia="仿宋_GB2312"/>
          <w:spacing w:val="-4"/>
          <w:sz w:val="28"/>
          <w:szCs w:val="28"/>
        </w:rPr>
        <w:t>结果是在依法判定的</w:t>
      </w:r>
      <w:r>
        <w:rPr>
          <w:rFonts w:hint="eastAsia" w:ascii="仿宋_GB2312" w:hAnsi="宋体" w:eastAsia="仿宋_GB2312"/>
          <w:spacing w:val="-4"/>
          <w:sz w:val="28"/>
          <w:szCs w:val="28"/>
          <w:lang w:eastAsia="zh-CN"/>
        </w:rPr>
        <w:t>估价对象</w:t>
      </w:r>
      <w:r>
        <w:rPr>
          <w:rFonts w:hint="eastAsia" w:ascii="仿宋_GB2312" w:hAnsi="宋体" w:eastAsia="仿宋_GB2312"/>
          <w:spacing w:val="-4"/>
          <w:sz w:val="28"/>
          <w:szCs w:val="28"/>
        </w:rPr>
        <w:t>状况下的价值或价格的原则</w:t>
      </w:r>
      <w:r>
        <w:rPr>
          <w:rFonts w:hint="eastAsia" w:ascii="仿宋_GB2312" w:hAnsi="宋体" w:eastAsia="仿宋_GB2312"/>
          <w:sz w:val="28"/>
          <w:szCs w:val="28"/>
        </w:rPr>
        <w:t>。</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hAnsi="宋体" w:eastAsia="仿宋_GB2312"/>
          <w:bCs/>
          <w:sz w:val="28"/>
          <w:szCs w:val="28"/>
        </w:rPr>
      </w:pPr>
      <w:r>
        <w:rPr>
          <w:rFonts w:hint="eastAsia" w:ascii="仿宋_GB2312" w:hAnsi="宋体" w:eastAsia="仿宋_GB2312"/>
          <w:bCs/>
          <w:sz w:val="28"/>
          <w:szCs w:val="28"/>
        </w:rPr>
        <w:t>3、价值时点原则</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hAnsi="宋体" w:eastAsia="仿宋_GB2312"/>
          <w:bCs/>
          <w:sz w:val="28"/>
          <w:szCs w:val="28"/>
        </w:rPr>
      </w:pPr>
      <w:r>
        <w:rPr>
          <w:rFonts w:hint="eastAsia" w:ascii="仿宋_GB2312" w:hAnsi="宋体" w:eastAsia="仿宋_GB2312"/>
          <w:bCs/>
          <w:sz w:val="28"/>
          <w:szCs w:val="28"/>
        </w:rPr>
        <w:t>要求房地产</w:t>
      </w:r>
      <w:r>
        <w:rPr>
          <w:rFonts w:hint="eastAsia" w:ascii="仿宋_GB2312" w:hAnsi="宋体" w:eastAsia="仿宋_GB2312"/>
          <w:bCs/>
          <w:sz w:val="28"/>
          <w:szCs w:val="28"/>
          <w:lang w:eastAsia="zh-CN"/>
        </w:rPr>
        <w:t>估价</w:t>
      </w:r>
      <w:r>
        <w:rPr>
          <w:rFonts w:hint="eastAsia" w:ascii="仿宋_GB2312" w:hAnsi="宋体" w:eastAsia="仿宋_GB2312"/>
          <w:bCs/>
          <w:sz w:val="28"/>
          <w:szCs w:val="28"/>
        </w:rPr>
        <w:t>结果应是</w:t>
      </w:r>
      <w:r>
        <w:rPr>
          <w:rFonts w:hint="eastAsia" w:ascii="仿宋_GB2312" w:hAnsi="宋体" w:eastAsia="仿宋_GB2312"/>
          <w:bCs/>
          <w:sz w:val="28"/>
          <w:szCs w:val="28"/>
          <w:lang w:eastAsia="zh-CN"/>
        </w:rPr>
        <w:t>估价对象</w:t>
      </w:r>
      <w:r>
        <w:rPr>
          <w:rFonts w:hint="eastAsia" w:ascii="仿宋_GB2312" w:hAnsi="宋体" w:eastAsia="仿宋_GB2312"/>
          <w:bCs/>
          <w:sz w:val="28"/>
          <w:szCs w:val="28"/>
        </w:rPr>
        <w:t>在价值时点的客观合理</w:t>
      </w:r>
      <w:r>
        <w:rPr>
          <w:rFonts w:hint="eastAsia" w:ascii="仿宋_GB2312" w:hAnsi="宋体" w:eastAsia="仿宋_GB2312"/>
          <w:spacing w:val="-4"/>
          <w:sz w:val="28"/>
          <w:szCs w:val="28"/>
        </w:rPr>
        <w:t>价值或价格</w:t>
      </w:r>
      <w:r>
        <w:rPr>
          <w:rFonts w:hint="eastAsia" w:ascii="仿宋_GB2312" w:hAnsi="宋体" w:eastAsia="仿宋_GB2312"/>
          <w:bCs/>
          <w:sz w:val="28"/>
          <w:szCs w:val="28"/>
        </w:rPr>
        <w:t>。价值时点是</w:t>
      </w:r>
      <w:r>
        <w:rPr>
          <w:rFonts w:hint="eastAsia" w:ascii="仿宋_GB2312" w:hAnsi="宋体" w:eastAsia="仿宋_GB2312"/>
          <w:bCs/>
          <w:sz w:val="28"/>
          <w:szCs w:val="28"/>
          <w:lang w:eastAsia="zh-CN"/>
        </w:rPr>
        <w:t>估价</w:t>
      </w:r>
      <w:r>
        <w:rPr>
          <w:rFonts w:hint="eastAsia" w:ascii="仿宋_GB2312" w:hAnsi="宋体" w:eastAsia="仿宋_GB2312"/>
          <w:bCs/>
          <w:sz w:val="28"/>
          <w:szCs w:val="28"/>
        </w:rPr>
        <w:t>房地产</w:t>
      </w:r>
      <w:r>
        <w:rPr>
          <w:rFonts w:hint="eastAsia" w:ascii="仿宋_GB2312" w:hAnsi="宋体" w:eastAsia="仿宋_GB2312"/>
          <w:spacing w:val="-4"/>
          <w:sz w:val="28"/>
          <w:szCs w:val="28"/>
        </w:rPr>
        <w:t>价值或</w:t>
      </w:r>
      <w:r>
        <w:rPr>
          <w:rFonts w:hint="eastAsia" w:ascii="仿宋_GB2312" w:hAnsi="宋体" w:eastAsia="仿宋_GB2312"/>
          <w:bCs/>
          <w:sz w:val="28"/>
          <w:szCs w:val="28"/>
        </w:rPr>
        <w:t>价格的时间界定。</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hAnsi="宋体" w:eastAsia="仿宋_GB2312"/>
          <w:bCs/>
          <w:sz w:val="28"/>
          <w:szCs w:val="28"/>
        </w:rPr>
      </w:pPr>
      <w:r>
        <w:rPr>
          <w:rFonts w:hint="eastAsia" w:ascii="仿宋_GB2312" w:hAnsi="宋体" w:eastAsia="仿宋_GB2312"/>
          <w:bCs/>
          <w:sz w:val="28"/>
          <w:szCs w:val="28"/>
        </w:rPr>
        <w:t>4、替代原则</w:t>
      </w:r>
    </w:p>
    <w:p>
      <w:pPr>
        <w:pageBreakBefore w:val="0"/>
        <w:widowControl w:val="0"/>
        <w:kinsoku/>
        <w:wordWrap/>
        <w:overflowPunct/>
        <w:topLinePunct w:val="0"/>
        <w:autoSpaceDE/>
        <w:autoSpaceDN/>
        <w:bidi w:val="0"/>
        <w:adjustRightInd w:val="0"/>
        <w:snapToGrid w:val="0"/>
        <w:spacing w:line="480" w:lineRule="exact"/>
        <w:ind w:firstLine="544" w:firstLineChars="200"/>
        <w:textAlignment w:val="auto"/>
        <w:rPr>
          <w:rFonts w:hint="eastAsia" w:ascii="仿宋_GB2312" w:hAnsi="宋体" w:eastAsia="仿宋_GB2312"/>
          <w:bCs/>
          <w:spacing w:val="-4"/>
          <w:sz w:val="28"/>
          <w:szCs w:val="28"/>
        </w:rPr>
      </w:pPr>
      <w:r>
        <w:rPr>
          <w:rFonts w:hint="eastAsia" w:ascii="仿宋_GB2312" w:hAnsi="宋体" w:eastAsia="仿宋_GB2312"/>
          <w:bCs/>
          <w:spacing w:val="-4"/>
          <w:sz w:val="28"/>
          <w:szCs w:val="28"/>
        </w:rPr>
        <w:t>要求</w:t>
      </w:r>
      <w:r>
        <w:rPr>
          <w:rFonts w:hint="eastAsia" w:ascii="仿宋_GB2312" w:hAnsi="宋体" w:eastAsia="仿宋_GB2312"/>
          <w:bCs/>
          <w:spacing w:val="-4"/>
          <w:sz w:val="28"/>
          <w:szCs w:val="28"/>
          <w:lang w:eastAsia="zh-CN"/>
        </w:rPr>
        <w:t>估价</w:t>
      </w:r>
      <w:r>
        <w:rPr>
          <w:rFonts w:hint="eastAsia" w:ascii="仿宋_GB2312" w:hAnsi="宋体" w:eastAsia="仿宋_GB2312"/>
          <w:bCs/>
          <w:spacing w:val="-4"/>
          <w:sz w:val="28"/>
          <w:szCs w:val="28"/>
        </w:rPr>
        <w:t>结果</w:t>
      </w:r>
      <w:r>
        <w:rPr>
          <w:rFonts w:hint="eastAsia" w:ascii="仿宋_GB2312" w:hAnsi="宋体" w:eastAsia="仿宋_GB2312"/>
          <w:bCs/>
          <w:spacing w:val="-4"/>
          <w:sz w:val="28"/>
          <w:szCs w:val="28"/>
          <w:lang w:eastAsia="zh-CN"/>
        </w:rPr>
        <w:t>与估价对象的类似房地产在同等条件下的价值或价格偏差应在合理范围内</w:t>
      </w:r>
      <w:r>
        <w:rPr>
          <w:rFonts w:hint="eastAsia" w:ascii="仿宋_GB2312" w:hAnsi="宋体" w:eastAsia="仿宋_GB2312"/>
          <w:bCs/>
          <w:spacing w:val="-4"/>
          <w:sz w:val="28"/>
          <w:szCs w:val="28"/>
        </w:rPr>
        <w:t>的原则。</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hAnsi="宋体" w:eastAsia="仿宋_GB2312"/>
          <w:bCs/>
          <w:sz w:val="28"/>
          <w:szCs w:val="28"/>
        </w:rPr>
      </w:pPr>
      <w:r>
        <w:rPr>
          <w:rFonts w:hint="eastAsia" w:ascii="仿宋_GB2312" w:hAnsi="宋体" w:eastAsia="仿宋_GB2312"/>
          <w:bCs/>
          <w:sz w:val="28"/>
          <w:szCs w:val="28"/>
        </w:rPr>
        <w:t>5、最高最佳利用原则</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hAnsi="宋体" w:eastAsia="仿宋_GB2312"/>
          <w:bCs/>
          <w:sz w:val="28"/>
          <w:szCs w:val="28"/>
        </w:rPr>
      </w:pPr>
      <w:r>
        <w:rPr>
          <w:rFonts w:hint="eastAsia" w:ascii="仿宋_GB2312" w:hAnsi="宋体" w:eastAsia="仿宋_GB2312"/>
          <w:bCs/>
          <w:sz w:val="28"/>
          <w:szCs w:val="28"/>
        </w:rPr>
        <w:t>要求</w:t>
      </w:r>
      <w:r>
        <w:rPr>
          <w:rFonts w:hint="eastAsia" w:ascii="仿宋_GB2312" w:hAnsi="宋体" w:eastAsia="仿宋_GB2312"/>
          <w:bCs/>
          <w:sz w:val="28"/>
          <w:szCs w:val="28"/>
          <w:lang w:eastAsia="zh-CN"/>
        </w:rPr>
        <w:t>估价</w:t>
      </w:r>
      <w:r>
        <w:rPr>
          <w:rFonts w:hint="eastAsia" w:ascii="仿宋_GB2312" w:hAnsi="宋体" w:eastAsia="仿宋_GB2312"/>
          <w:bCs/>
          <w:sz w:val="28"/>
          <w:szCs w:val="28"/>
        </w:rPr>
        <w:t>结果</w:t>
      </w:r>
      <w:r>
        <w:rPr>
          <w:rFonts w:hint="eastAsia" w:ascii="仿宋_GB2312" w:hAnsi="宋体" w:eastAsia="仿宋_GB2312"/>
          <w:bCs/>
          <w:sz w:val="28"/>
          <w:szCs w:val="28"/>
          <w:lang w:val="en-US" w:eastAsia="zh-CN"/>
        </w:rPr>
        <w:t>是</w:t>
      </w:r>
      <w:r>
        <w:rPr>
          <w:rFonts w:hint="eastAsia" w:ascii="仿宋_GB2312" w:hAnsi="宋体" w:eastAsia="仿宋_GB2312"/>
          <w:bCs/>
          <w:sz w:val="28"/>
          <w:szCs w:val="28"/>
        </w:rPr>
        <w:t>在</w:t>
      </w:r>
      <w:r>
        <w:rPr>
          <w:rFonts w:hint="eastAsia" w:ascii="仿宋_GB2312" w:hAnsi="宋体" w:eastAsia="仿宋_GB2312"/>
          <w:bCs/>
          <w:sz w:val="28"/>
          <w:szCs w:val="28"/>
          <w:lang w:eastAsia="zh-CN"/>
        </w:rPr>
        <w:t>估价对象</w:t>
      </w:r>
      <w:r>
        <w:rPr>
          <w:rFonts w:hint="eastAsia" w:ascii="仿宋_GB2312" w:hAnsi="宋体" w:eastAsia="仿宋_GB2312"/>
          <w:bCs/>
          <w:sz w:val="28"/>
          <w:szCs w:val="28"/>
        </w:rPr>
        <w:t>最高最佳利用状况下的价值或价格的原则。最高最佳利用指法律上允许、技术上可能、财务上可行并使价值最大</w:t>
      </w:r>
      <w:r>
        <w:rPr>
          <w:rFonts w:hint="eastAsia" w:ascii="仿宋_GB2312" w:hAnsi="宋体" w:eastAsia="仿宋_GB2312"/>
          <w:bCs/>
          <w:sz w:val="28"/>
          <w:szCs w:val="28"/>
          <w:lang w:eastAsia="zh-CN"/>
        </w:rPr>
        <w:t>化</w:t>
      </w:r>
      <w:r>
        <w:rPr>
          <w:rFonts w:hint="eastAsia" w:ascii="仿宋_GB2312" w:hAnsi="宋体" w:eastAsia="仿宋_GB2312"/>
          <w:bCs/>
          <w:sz w:val="28"/>
          <w:szCs w:val="28"/>
        </w:rPr>
        <w:t>的合理、可能的利用，包括最佳的用途、规模、档次等。</w:t>
      </w:r>
    </w:p>
    <w:p>
      <w:pPr>
        <w:pStyle w:val="4"/>
        <w:pageBreakBefore w:val="0"/>
        <w:widowControl w:val="0"/>
        <w:kinsoku/>
        <w:wordWrap/>
        <w:overflowPunct/>
        <w:topLinePunct w:val="0"/>
        <w:autoSpaceDE/>
        <w:autoSpaceDN/>
        <w:bidi w:val="0"/>
        <w:adjustRightInd w:val="0"/>
        <w:snapToGrid w:val="0"/>
        <w:spacing w:line="480" w:lineRule="exact"/>
        <w:ind w:firstLine="420"/>
        <w:textAlignment w:val="auto"/>
        <w:rPr>
          <w:rFonts w:hint="eastAsia" w:ascii="仿宋_GB2312" w:eastAsia="仿宋_GB2312"/>
          <w:b/>
        </w:rPr>
      </w:pPr>
      <w:bookmarkStart w:id="31" w:name="_Toc26857"/>
      <w:bookmarkStart w:id="32" w:name="_Toc536174656"/>
      <w:bookmarkStart w:id="33" w:name="_Toc11171"/>
      <w:r>
        <w:rPr>
          <w:rFonts w:hint="eastAsia" w:ascii="仿宋_GB2312" w:eastAsia="仿宋_GB2312"/>
          <w:b/>
        </w:rPr>
        <w:t>（九）</w:t>
      </w:r>
      <w:r>
        <w:rPr>
          <w:rFonts w:hint="eastAsia" w:ascii="仿宋_GB2312" w:eastAsia="仿宋_GB2312"/>
          <w:b/>
          <w:lang w:eastAsia="zh-CN"/>
        </w:rPr>
        <w:t>估价</w:t>
      </w:r>
      <w:r>
        <w:rPr>
          <w:rFonts w:hint="eastAsia" w:ascii="仿宋_GB2312" w:eastAsia="仿宋_GB2312"/>
          <w:b/>
        </w:rPr>
        <w:t>方法</w:t>
      </w:r>
      <w:bookmarkEnd w:id="31"/>
      <w:bookmarkEnd w:id="32"/>
      <w:bookmarkEnd w:id="33"/>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eastAsia="仿宋_GB2312"/>
          <w:sz w:val="28"/>
          <w:szCs w:val="28"/>
        </w:rPr>
      </w:pPr>
      <w:r>
        <w:rPr>
          <w:rFonts w:hint="eastAsia" w:eastAsia="仿宋_GB2312"/>
          <w:sz w:val="28"/>
          <w:szCs w:val="28"/>
        </w:rPr>
        <w:t>求取房地产市场价值时，主要的估价方法有比较法、成本法、收益法、假设开发法等，比较法适用于市场发达、交易活跃、有充足的具有替代性房地产的评估，成本法适用于无市场依据或市场依据不充分而不易采用比较法、收益法、假设开发法进行评估情况下的房地产评估，收益法适用于有现实收益或潜在收益的房地产评估，假设开发法适用于具有投资开发或有开发潜力的房地产评估。需根据特定的估价目的、估价对象状况、交易市场情况等选择适宜的估价方法。方法选择思路：</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default" w:eastAsia="仿宋_GB2312"/>
          <w:sz w:val="28"/>
          <w:szCs w:val="28"/>
          <w:lang w:val="en-US" w:eastAsia="zh-CN"/>
        </w:rPr>
      </w:pPr>
      <w:r>
        <w:rPr>
          <w:rFonts w:hint="eastAsia" w:eastAsia="仿宋_GB2312"/>
          <w:sz w:val="28"/>
          <w:szCs w:val="28"/>
        </w:rPr>
        <w:t>（一）理论上不适用的估价方法：估价对象为</w:t>
      </w:r>
      <w:r>
        <w:rPr>
          <w:rFonts w:hint="eastAsia" w:eastAsia="仿宋_GB2312"/>
          <w:sz w:val="28"/>
          <w:szCs w:val="28"/>
          <w:lang w:val="en-US" w:eastAsia="zh-CN"/>
        </w:rPr>
        <w:t>商业</w:t>
      </w:r>
      <w:r>
        <w:rPr>
          <w:rFonts w:hint="eastAsia" w:eastAsia="仿宋_GB2312"/>
          <w:sz w:val="28"/>
          <w:szCs w:val="28"/>
        </w:rPr>
        <w:t>用途房地产，根据房地产估价规范理论上不适合采用假设开发法，因为现状为</w:t>
      </w:r>
      <w:r>
        <w:rPr>
          <w:rFonts w:hint="eastAsia" w:eastAsia="仿宋_GB2312"/>
          <w:sz w:val="28"/>
          <w:szCs w:val="28"/>
          <w:lang w:val="en-US" w:eastAsia="zh-CN"/>
        </w:rPr>
        <w:t>空置状态</w:t>
      </w:r>
      <w:r>
        <w:rPr>
          <w:rFonts w:hint="eastAsia" w:eastAsia="仿宋_GB2312"/>
          <w:sz w:val="28"/>
          <w:szCs w:val="28"/>
        </w:rPr>
        <w:t>且短期内重新开发或改扩建增加价值的可能性不大，故不适合采用假设开发法进行评估</w:t>
      </w:r>
      <w:r>
        <w:rPr>
          <w:rFonts w:hint="eastAsia" w:eastAsia="仿宋_GB2312"/>
          <w:sz w:val="28"/>
          <w:szCs w:val="28"/>
          <w:lang w:val="en-US" w:eastAsia="zh-CN"/>
        </w:rPr>
        <w:t>。</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default" w:eastAsia="仿宋_GB2312"/>
          <w:color w:val="auto"/>
          <w:sz w:val="28"/>
          <w:szCs w:val="28"/>
          <w:lang w:val="en-US" w:eastAsia="zh-CN"/>
        </w:rPr>
      </w:pPr>
      <w:r>
        <w:rPr>
          <w:rFonts w:hint="eastAsia" w:eastAsia="仿宋_GB2312"/>
          <w:sz w:val="28"/>
          <w:szCs w:val="28"/>
        </w:rPr>
        <w:t>（二）理论上适用，但客观条件不具备的估价方法：</w:t>
      </w:r>
      <w:r>
        <w:rPr>
          <w:rFonts w:hint="eastAsia" w:eastAsia="仿宋_GB2312"/>
          <w:color w:val="auto"/>
          <w:sz w:val="28"/>
          <w:szCs w:val="28"/>
        </w:rPr>
        <w:t>估价对象为</w:t>
      </w:r>
      <w:r>
        <w:rPr>
          <w:rFonts w:hint="eastAsia" w:eastAsia="仿宋_GB2312"/>
          <w:color w:val="auto"/>
          <w:sz w:val="28"/>
          <w:szCs w:val="28"/>
          <w:lang w:val="en-US" w:eastAsia="zh-CN"/>
        </w:rPr>
        <w:t>空置状态</w:t>
      </w:r>
      <w:r>
        <w:rPr>
          <w:rFonts w:hint="eastAsia" w:eastAsia="仿宋_GB2312"/>
          <w:color w:val="auto"/>
          <w:sz w:val="28"/>
          <w:szCs w:val="28"/>
        </w:rPr>
        <w:t>的</w:t>
      </w:r>
      <w:r>
        <w:rPr>
          <w:rFonts w:hint="eastAsia" w:eastAsia="仿宋_GB2312"/>
          <w:color w:val="auto"/>
          <w:sz w:val="28"/>
          <w:szCs w:val="28"/>
          <w:lang w:val="en-US" w:eastAsia="zh-CN"/>
        </w:rPr>
        <w:t>商业</w:t>
      </w:r>
      <w:r>
        <w:rPr>
          <w:rFonts w:hint="eastAsia" w:eastAsia="仿宋_GB2312"/>
          <w:color w:val="auto"/>
          <w:sz w:val="28"/>
          <w:szCs w:val="28"/>
        </w:rPr>
        <w:t>用途房地产，</w:t>
      </w:r>
      <w:r>
        <w:rPr>
          <w:rFonts w:hint="eastAsia" w:eastAsia="仿宋_GB2312"/>
          <w:color w:val="auto"/>
          <w:sz w:val="28"/>
          <w:szCs w:val="28"/>
          <w:lang w:val="en-US" w:eastAsia="zh-CN"/>
        </w:rPr>
        <w:t>位于</w:t>
      </w:r>
      <w:r>
        <w:rPr>
          <w:rFonts w:hint="eastAsia" w:eastAsia="仿宋_GB2312"/>
          <w:color w:val="auto"/>
          <w:sz w:val="28"/>
          <w:szCs w:val="28"/>
        </w:rPr>
        <w:t>建筑物的</w:t>
      </w:r>
      <w:r>
        <w:rPr>
          <w:rFonts w:hint="eastAsia" w:eastAsia="仿宋_GB2312"/>
          <w:color w:val="auto"/>
          <w:sz w:val="28"/>
          <w:szCs w:val="28"/>
          <w:lang w:val="en-US" w:eastAsia="zh-CN"/>
        </w:rPr>
        <w:t>一部分</w:t>
      </w:r>
      <w:r>
        <w:rPr>
          <w:rFonts w:hint="eastAsia" w:eastAsia="仿宋_GB2312"/>
          <w:color w:val="auto"/>
          <w:sz w:val="28"/>
          <w:szCs w:val="28"/>
        </w:rPr>
        <w:t>，其建造成本、土地成本和公共配套设施成本不易</w:t>
      </w:r>
      <w:r>
        <w:rPr>
          <w:rFonts w:hint="eastAsia" w:eastAsia="仿宋_GB2312"/>
          <w:color w:val="auto"/>
          <w:sz w:val="28"/>
          <w:szCs w:val="28"/>
          <w:lang w:val="en-US" w:eastAsia="zh-CN"/>
        </w:rPr>
        <w:t>取得</w:t>
      </w:r>
      <w:r>
        <w:rPr>
          <w:rFonts w:hint="eastAsia" w:eastAsia="仿宋_GB2312"/>
          <w:color w:val="auto"/>
          <w:sz w:val="28"/>
          <w:szCs w:val="28"/>
        </w:rPr>
        <w:t>，因此不适合使用成本法进行评估；</w:t>
      </w:r>
      <w:r>
        <w:rPr>
          <w:rFonts w:hint="eastAsia" w:eastAsia="仿宋_GB2312"/>
          <w:sz w:val="28"/>
          <w:szCs w:val="28"/>
        </w:rPr>
        <w:t>估价对象</w:t>
      </w:r>
      <w:r>
        <w:rPr>
          <w:rFonts w:hint="eastAsia" w:eastAsia="仿宋_GB2312"/>
          <w:sz w:val="28"/>
          <w:szCs w:val="28"/>
          <w:lang w:val="en-US" w:eastAsia="zh-CN"/>
        </w:rPr>
        <w:t>为商业房地产，近期</w:t>
      </w:r>
      <w:r>
        <w:rPr>
          <w:rFonts w:hint="eastAsia" w:eastAsia="仿宋_GB2312"/>
          <w:sz w:val="28"/>
          <w:szCs w:val="28"/>
        </w:rPr>
        <w:t>所在区域房地产交易</w:t>
      </w:r>
      <w:r>
        <w:rPr>
          <w:rFonts w:hint="eastAsia" w:eastAsia="仿宋_GB2312"/>
          <w:sz w:val="28"/>
          <w:szCs w:val="28"/>
          <w:lang w:val="en-US" w:eastAsia="zh-CN"/>
        </w:rPr>
        <w:t>极少</w:t>
      </w:r>
      <w:r>
        <w:rPr>
          <w:rFonts w:hint="eastAsia" w:eastAsia="仿宋_GB2312"/>
          <w:sz w:val="28"/>
          <w:szCs w:val="28"/>
        </w:rPr>
        <w:t>，交易案例资料</w:t>
      </w:r>
      <w:r>
        <w:rPr>
          <w:rFonts w:hint="eastAsia" w:eastAsia="仿宋_GB2312"/>
          <w:sz w:val="28"/>
          <w:szCs w:val="28"/>
          <w:lang w:val="en-US" w:eastAsia="zh-CN"/>
        </w:rPr>
        <w:t>难以</w:t>
      </w:r>
      <w:r>
        <w:rPr>
          <w:rFonts w:hint="eastAsia" w:eastAsia="仿宋_GB2312"/>
          <w:sz w:val="28"/>
          <w:szCs w:val="28"/>
        </w:rPr>
        <w:t>收集，</w:t>
      </w:r>
      <w:r>
        <w:rPr>
          <w:rFonts w:hint="eastAsia" w:eastAsia="仿宋_GB2312"/>
          <w:sz w:val="28"/>
          <w:szCs w:val="28"/>
          <w:lang w:val="en-US" w:eastAsia="zh-CN"/>
        </w:rPr>
        <w:t>不适宜使用</w:t>
      </w:r>
      <w:r>
        <w:rPr>
          <w:rFonts w:hint="eastAsia" w:eastAsia="仿宋_GB2312"/>
          <w:sz w:val="28"/>
          <w:szCs w:val="28"/>
        </w:rPr>
        <w:t>比较法</w:t>
      </w:r>
      <w:r>
        <w:rPr>
          <w:rFonts w:hint="eastAsia" w:eastAsia="仿宋_GB2312"/>
          <w:color w:val="auto"/>
          <w:sz w:val="28"/>
          <w:szCs w:val="28"/>
        </w:rPr>
        <w:t>进行估价</w:t>
      </w:r>
      <w:r>
        <w:rPr>
          <w:rFonts w:hint="eastAsia" w:eastAsia="仿宋_GB2312"/>
          <w:color w:val="auto"/>
          <w:sz w:val="28"/>
          <w:szCs w:val="28"/>
          <w:lang w:val="en-US" w:eastAsia="zh-CN"/>
        </w:rPr>
        <w:t>。</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default" w:eastAsia="仿宋_GB2312"/>
          <w:sz w:val="28"/>
          <w:szCs w:val="28"/>
          <w:lang w:val="en-US" w:eastAsia="zh-CN"/>
        </w:rPr>
      </w:pPr>
      <w:r>
        <w:rPr>
          <w:rFonts w:hint="eastAsia" w:eastAsia="仿宋_GB2312"/>
          <w:sz w:val="28"/>
          <w:szCs w:val="28"/>
        </w:rPr>
        <w:t>（三）适用的估价方法：估价对象为</w:t>
      </w:r>
      <w:r>
        <w:rPr>
          <w:rFonts w:hint="eastAsia" w:eastAsia="仿宋_GB2312"/>
          <w:sz w:val="28"/>
          <w:szCs w:val="28"/>
          <w:lang w:val="en-US" w:eastAsia="zh-CN"/>
        </w:rPr>
        <w:t>商业</w:t>
      </w:r>
      <w:r>
        <w:rPr>
          <w:rFonts w:hint="eastAsia" w:eastAsia="仿宋_GB2312"/>
          <w:sz w:val="28"/>
          <w:szCs w:val="28"/>
        </w:rPr>
        <w:t>用途房地产，周边同类用房租赁实例较</w:t>
      </w:r>
      <w:r>
        <w:rPr>
          <w:rFonts w:hint="eastAsia" w:eastAsia="仿宋_GB2312"/>
          <w:sz w:val="28"/>
          <w:szCs w:val="28"/>
          <w:lang w:val="en-US" w:eastAsia="zh-CN"/>
        </w:rPr>
        <w:t>多</w:t>
      </w:r>
      <w:r>
        <w:rPr>
          <w:rFonts w:hint="eastAsia" w:eastAsia="仿宋_GB2312"/>
          <w:sz w:val="28"/>
          <w:szCs w:val="28"/>
        </w:rPr>
        <w:t>，因此，适合采用收益法对估价对象进行估价</w:t>
      </w:r>
      <w:r>
        <w:rPr>
          <w:rFonts w:hint="eastAsia" w:eastAsia="仿宋_GB2312"/>
          <w:sz w:val="28"/>
          <w:szCs w:val="28"/>
          <w:lang w:val="en-US" w:eastAsia="zh-CN"/>
        </w:rPr>
        <w:t>。</w:t>
      </w:r>
    </w:p>
    <w:p>
      <w:pPr>
        <w:snapToGrid w:val="0"/>
        <w:spacing w:line="500" w:lineRule="exact"/>
        <w:ind w:firstLine="537" w:firstLineChars="192"/>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收益法是预测估价对象的未来收益，利用报酬率或资本化率、收益乘数将未来收益转换为价值得到估价对象价值或价格的方法。</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eastAsia="仿宋_GB2312"/>
          <w:sz w:val="28"/>
          <w:szCs w:val="28"/>
        </w:rPr>
      </w:pPr>
      <w:r>
        <w:rPr>
          <w:rFonts w:hint="eastAsia" w:eastAsia="仿宋_GB2312"/>
          <w:sz w:val="28"/>
          <w:szCs w:val="28"/>
        </w:rPr>
        <w:t>综上所述，估价人员在认真分析所掌握的资料并对邻近类似房地产进行实地查看调查后，根据估价对象的特点及本次估价目的，遵照国家有关法律、法规、估价技术标准，对估价对象采用</w:t>
      </w:r>
      <w:r>
        <w:rPr>
          <w:rFonts w:hint="eastAsia" w:eastAsia="仿宋_GB2312"/>
          <w:sz w:val="28"/>
          <w:szCs w:val="28"/>
          <w:lang w:val="en-US" w:eastAsia="zh-CN"/>
        </w:rPr>
        <w:t>收益法</w:t>
      </w:r>
      <w:r>
        <w:rPr>
          <w:rFonts w:hint="eastAsia" w:eastAsia="仿宋_GB2312"/>
          <w:sz w:val="28"/>
          <w:szCs w:val="28"/>
        </w:rPr>
        <w:t>进行评估。</w:t>
      </w:r>
    </w:p>
    <w:p>
      <w:pPr>
        <w:snapToGrid w:val="0"/>
        <w:spacing w:line="500" w:lineRule="exact"/>
        <w:ind w:firstLine="523" w:firstLineChars="187"/>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选用有限年年净收益按一定比率递增的房地产价格计算公式：</w:t>
      </w:r>
    </w:p>
    <w:p>
      <w:pPr>
        <w:snapToGrid w:val="0"/>
        <w:ind w:firstLine="480" w:firstLineChars="200"/>
        <w:rPr>
          <w:rFonts w:ascii="Times New Roman" w:hAnsi="Times New Roman" w:eastAsia="仿宋_GB2312" w:cs="Times New Roman"/>
          <w:color w:val="000000"/>
          <w:sz w:val="24"/>
        </w:rPr>
      </w:pPr>
      <w:r>
        <w:rPr>
          <w:rFonts w:ascii="Times New Roman" w:hAnsi="Times New Roman" w:eastAsia="仿宋_GB2312" w:cs="Times New Roman"/>
          <w:i/>
          <w:iCs/>
          <w:color w:val="000000"/>
          <w:position w:val="-32"/>
          <w:sz w:val="24"/>
        </w:rPr>
        <w:object>
          <v:shape id="_x0000_i1025" o:spt="75" type="#_x0000_t75" style="height:40.3pt;width:142.8pt;" o:ole="t" filled="f" o:preferrelative="t" stroked="f" coordsize="21600,21600">
            <v:path/>
            <v:fill on="f" focussize="0,0"/>
            <v:stroke on="f" joinstyle="miter"/>
            <v:imagedata r:id="rId11" o:title=""/>
            <o:lock v:ext="edit" aspectratio="t"/>
            <w10:wrap type="none"/>
            <w10:anchorlock/>
          </v:shape>
          <o:OLEObject Type="Embed" ProgID="Equation.3" ShapeID="_x0000_i1025" DrawAspect="Content" ObjectID="_1468075725" r:id="rId10">
            <o:LockedField>false</o:LockedField>
          </o:OLEObject>
        </w:object>
      </w:r>
    </w:p>
    <w:p>
      <w:pPr>
        <w:spacing w:line="500" w:lineRule="exact"/>
        <w:ind w:firstLine="42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其中：V—为收益价值；</w:t>
      </w:r>
    </w:p>
    <w:p>
      <w:pPr>
        <w:spacing w:line="500" w:lineRule="exact"/>
        <w:ind w:firstLine="1363" w:firstLineChars="487"/>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a—为房地产未来第一年的净收益；</w:t>
      </w:r>
    </w:p>
    <w:p>
      <w:pPr>
        <w:spacing w:line="500" w:lineRule="exact"/>
        <w:ind w:firstLine="1363" w:firstLineChars="487"/>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Y—为报酬率；</w:t>
      </w:r>
    </w:p>
    <w:p>
      <w:pPr>
        <w:spacing w:line="500" w:lineRule="exact"/>
        <w:ind w:firstLine="1363" w:firstLineChars="487"/>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n—为房地产的收益期；</w:t>
      </w:r>
    </w:p>
    <w:p>
      <w:pPr>
        <w:spacing w:line="500" w:lineRule="exact"/>
        <w:ind w:firstLine="1363" w:firstLineChars="487"/>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sz w:val="28"/>
          <w:szCs w:val="28"/>
        </w:rPr>
        <w:t>g—为净收益逐年递增的比率</w:t>
      </w:r>
    </w:p>
    <w:p>
      <w:pPr>
        <w:pStyle w:val="4"/>
        <w:pageBreakBefore w:val="0"/>
        <w:widowControl w:val="0"/>
        <w:kinsoku/>
        <w:wordWrap/>
        <w:overflowPunct/>
        <w:topLinePunct w:val="0"/>
        <w:autoSpaceDE/>
        <w:autoSpaceDN/>
        <w:bidi w:val="0"/>
        <w:adjustRightInd w:val="0"/>
        <w:snapToGrid w:val="0"/>
        <w:spacing w:line="480" w:lineRule="exact"/>
        <w:ind w:firstLine="281" w:firstLineChars="100"/>
        <w:textAlignment w:val="auto"/>
        <w:rPr>
          <w:rFonts w:hint="eastAsia" w:ascii="仿宋_GB2312" w:eastAsia="仿宋_GB2312"/>
          <w:b/>
          <w:bCs/>
          <w:sz w:val="28"/>
        </w:rPr>
      </w:pPr>
      <w:bookmarkStart w:id="34" w:name="_Toc19755"/>
      <w:bookmarkStart w:id="35" w:name="_Toc536174657"/>
      <w:bookmarkStart w:id="36" w:name="_Toc15374"/>
      <w:r>
        <w:rPr>
          <w:rFonts w:hint="eastAsia" w:ascii="仿宋_GB2312" w:eastAsia="仿宋_GB2312"/>
          <w:b/>
          <w:bCs/>
          <w:sz w:val="28"/>
        </w:rPr>
        <w:t>（十）</w:t>
      </w:r>
      <w:r>
        <w:rPr>
          <w:rFonts w:hint="eastAsia" w:ascii="仿宋_GB2312" w:eastAsia="仿宋_GB2312"/>
          <w:b/>
          <w:bCs/>
          <w:sz w:val="28"/>
          <w:lang w:eastAsia="zh-CN"/>
        </w:rPr>
        <w:t>估价</w:t>
      </w:r>
      <w:r>
        <w:rPr>
          <w:rFonts w:hint="eastAsia" w:ascii="仿宋_GB2312" w:eastAsia="仿宋_GB2312"/>
          <w:b/>
          <w:bCs/>
          <w:sz w:val="28"/>
        </w:rPr>
        <w:t>结果</w:t>
      </w:r>
      <w:bookmarkEnd w:id="34"/>
      <w:bookmarkEnd w:id="35"/>
      <w:bookmarkEnd w:id="36"/>
    </w:p>
    <w:p>
      <w:pPr>
        <w:keepNext w:val="0"/>
        <w:keepLines w:val="0"/>
        <w:pageBreakBefore w:val="0"/>
        <w:widowControl w:val="0"/>
        <w:kinsoku/>
        <w:wordWrap/>
        <w:overflowPunct/>
        <w:topLinePunct w:val="0"/>
        <w:autoSpaceDE/>
        <w:autoSpaceDN/>
        <w:bidi w:val="0"/>
        <w:adjustRightInd w:val="0"/>
        <w:snapToGrid w:val="0"/>
        <w:spacing w:line="480" w:lineRule="exact"/>
        <w:ind w:right="34" w:firstLine="560" w:firstLineChars="200"/>
        <w:jc w:val="both"/>
        <w:textAlignment w:val="auto"/>
        <w:rPr>
          <w:rFonts w:hint="eastAsia" w:ascii="仿宋" w:hAnsi="仿宋" w:eastAsia="仿宋" w:cs="仿宋"/>
          <w:b/>
          <w:sz w:val="30"/>
          <w:szCs w:val="30"/>
          <w:u w:val="dotted"/>
        </w:rPr>
      </w:pPr>
      <w:r>
        <w:rPr>
          <w:rFonts w:hint="eastAsia" w:ascii="仿宋_GB2312" w:hAnsi="宋体" w:eastAsia="仿宋_GB2312"/>
          <w:sz w:val="28"/>
          <w:szCs w:val="28"/>
        </w:rPr>
        <w:t>经过实地查勘与市场调查，遵照《中华人民共和国城市房地产管理法》、《房地产估价规范》等法律法规和技术标准，遵循各项估价原则，选用适宜的估价方法（</w:t>
      </w:r>
      <w:r>
        <w:rPr>
          <w:rFonts w:hint="eastAsia" w:ascii="仿宋_GB2312" w:hAnsi="宋体" w:eastAsia="仿宋_GB2312"/>
          <w:sz w:val="28"/>
          <w:szCs w:val="28"/>
          <w:lang w:val="en-US" w:eastAsia="zh-CN"/>
        </w:rPr>
        <w:t>收益法</w:t>
      </w:r>
      <w:r>
        <w:rPr>
          <w:rFonts w:hint="eastAsia" w:ascii="仿宋_GB2312" w:hAnsi="宋体" w:eastAsia="仿宋_GB2312"/>
          <w:sz w:val="28"/>
          <w:szCs w:val="28"/>
        </w:rPr>
        <w:t>）对估价对象进行了测算，在认真分析所掌握的资料并充分考虑估价对象比较因素的基础上，经过综合测算，最终确定</w:t>
      </w:r>
      <w:r>
        <w:rPr>
          <w:rFonts w:hint="eastAsia" w:ascii="仿宋_GB2312" w:hAnsi="宋体" w:eastAsia="仿宋_GB2312"/>
          <w:sz w:val="28"/>
          <w:szCs w:val="28"/>
          <w:lang w:eastAsia="zh-CN"/>
        </w:rPr>
        <w:t>估价对象</w:t>
      </w:r>
      <w:r>
        <w:rPr>
          <w:rFonts w:hint="eastAsia" w:ascii="仿宋_GB2312" w:hAnsi="宋体" w:eastAsia="仿宋_GB2312"/>
          <w:sz w:val="28"/>
          <w:szCs w:val="28"/>
        </w:rPr>
        <w:t>于价值时点</w:t>
      </w:r>
      <w:r>
        <w:rPr>
          <w:rFonts w:hint="eastAsia" w:ascii="仿宋_GB2312" w:hAnsi="宋体" w:eastAsia="仿宋_GB2312"/>
          <w:sz w:val="28"/>
          <w:szCs w:val="28"/>
          <w:lang w:eastAsia="zh-CN"/>
        </w:rPr>
        <w:t>2022年10月25日</w:t>
      </w:r>
      <w:r>
        <w:rPr>
          <w:rFonts w:hint="eastAsia" w:ascii="仿宋_GB2312" w:hAnsi="宋体" w:eastAsia="仿宋_GB2312"/>
          <w:sz w:val="28"/>
          <w:szCs w:val="28"/>
        </w:rPr>
        <w:t>在满足</w:t>
      </w:r>
      <w:r>
        <w:rPr>
          <w:rFonts w:hint="eastAsia" w:ascii="仿宋_GB2312" w:hAnsi="宋体" w:eastAsia="仿宋_GB2312"/>
          <w:sz w:val="28"/>
          <w:szCs w:val="28"/>
          <w:lang w:eastAsia="zh-CN"/>
        </w:rPr>
        <w:t>估价假设</w:t>
      </w:r>
      <w:r>
        <w:rPr>
          <w:rFonts w:hint="eastAsia" w:ascii="仿宋_GB2312" w:hAnsi="宋体" w:eastAsia="仿宋_GB2312"/>
          <w:sz w:val="28"/>
          <w:szCs w:val="28"/>
        </w:rPr>
        <w:t>和限制条件下的价值进行估算和判定，得出</w:t>
      </w:r>
      <w:r>
        <w:rPr>
          <w:rFonts w:hint="eastAsia" w:ascii="仿宋_GB2312" w:hAnsi="宋体" w:eastAsia="仿宋_GB2312"/>
          <w:sz w:val="28"/>
          <w:szCs w:val="28"/>
          <w:lang w:eastAsia="zh-CN"/>
        </w:rPr>
        <w:t>估价</w:t>
      </w:r>
      <w:r>
        <w:rPr>
          <w:rFonts w:hint="eastAsia" w:ascii="仿宋_GB2312" w:hAnsi="宋体" w:eastAsia="仿宋_GB2312"/>
          <w:sz w:val="28"/>
          <w:szCs w:val="28"/>
        </w:rPr>
        <w:t>结果——</w:t>
      </w:r>
      <w:r>
        <w:rPr>
          <w:rFonts w:hint="eastAsia" w:ascii="仿宋_GB2312" w:hAnsi="宋体" w:eastAsia="仿宋_GB2312"/>
          <w:sz w:val="28"/>
          <w:szCs w:val="28"/>
          <w:lang w:eastAsia="zh-CN"/>
        </w:rPr>
        <w:t>估价对象</w:t>
      </w:r>
      <w:r>
        <w:rPr>
          <w:rFonts w:hint="eastAsia" w:ascii="仿宋_GB2312" w:hAnsi="宋体" w:eastAsia="仿宋_GB2312"/>
          <w:sz w:val="28"/>
          <w:szCs w:val="28"/>
          <w:lang w:val="en-US" w:eastAsia="zh-CN"/>
        </w:rPr>
        <w:t>房地产</w:t>
      </w:r>
      <w:r>
        <w:rPr>
          <w:rFonts w:hint="eastAsia" w:ascii="仿宋_GB2312" w:hAnsi="宋体" w:eastAsia="仿宋_GB2312"/>
          <w:sz w:val="28"/>
          <w:szCs w:val="28"/>
          <w:lang w:eastAsia="zh-CN"/>
        </w:rPr>
        <w:t>评估</w:t>
      </w:r>
      <w:r>
        <w:rPr>
          <w:rFonts w:hint="eastAsia" w:ascii="仿宋_GB2312" w:hAnsi="宋体" w:eastAsia="仿宋_GB2312"/>
          <w:sz w:val="28"/>
          <w:szCs w:val="28"/>
        </w:rPr>
        <w:t>总</w:t>
      </w:r>
      <w:r>
        <w:rPr>
          <w:rFonts w:hint="eastAsia" w:ascii="仿宋_GB2312" w:hAnsi="宋体" w:eastAsia="仿宋_GB2312"/>
          <w:sz w:val="28"/>
          <w:szCs w:val="28"/>
          <w:lang w:eastAsia="zh-CN"/>
        </w:rPr>
        <w:t>值</w:t>
      </w:r>
      <w:r>
        <w:rPr>
          <w:rFonts w:hint="eastAsia" w:ascii="仿宋_GB2312" w:hAnsi="宋体" w:eastAsia="仿宋_GB2312"/>
          <w:sz w:val="28"/>
          <w:szCs w:val="28"/>
        </w:rPr>
        <w:t>为大写人民币</w:t>
      </w:r>
      <w:r>
        <w:rPr>
          <w:rFonts w:hint="eastAsia" w:ascii="仿宋_GB2312" w:hAnsi="宋体" w:eastAsia="仿宋_GB2312"/>
          <w:b/>
          <w:bCs/>
          <w:sz w:val="28"/>
          <w:szCs w:val="28"/>
          <w:lang w:val="en-US" w:eastAsia="zh-CN"/>
        </w:rPr>
        <w:fldChar w:fldCharType="begin"/>
      </w:r>
      <w:r>
        <w:rPr>
          <w:rFonts w:hint="eastAsia" w:ascii="仿宋_GB2312" w:hAnsi="宋体" w:eastAsia="仿宋_GB2312"/>
          <w:b/>
          <w:bCs/>
          <w:sz w:val="28"/>
          <w:szCs w:val="28"/>
          <w:lang w:val="en-US" w:eastAsia="zh-CN"/>
        </w:rPr>
        <w:instrText xml:space="preserve"> = 1684758 \* CHINESENUM2 \* MERGEFORMAT </w:instrText>
      </w:r>
      <w:r>
        <w:rPr>
          <w:rFonts w:hint="eastAsia" w:ascii="仿宋_GB2312" w:hAnsi="宋体" w:eastAsia="仿宋_GB2312"/>
          <w:b/>
          <w:bCs/>
          <w:sz w:val="28"/>
          <w:szCs w:val="28"/>
          <w:lang w:val="en-US" w:eastAsia="zh-CN"/>
        </w:rPr>
        <w:fldChar w:fldCharType="separate"/>
      </w:r>
      <w:r>
        <w:rPr>
          <w:rFonts w:hint="eastAsia" w:ascii="仿宋_GB2312" w:hAnsi="宋体" w:eastAsia="仿宋_GB2312"/>
          <w:b/>
          <w:bCs/>
          <w:sz w:val="28"/>
          <w:szCs w:val="28"/>
        </w:rPr>
        <w:t>壹佰陆拾捌万肆仟柒佰伍拾捌</w:t>
      </w:r>
      <w:r>
        <w:rPr>
          <w:rFonts w:hint="eastAsia" w:ascii="仿宋_GB2312" w:hAnsi="宋体" w:eastAsia="仿宋_GB2312"/>
          <w:b/>
          <w:bCs/>
          <w:sz w:val="28"/>
          <w:szCs w:val="28"/>
          <w:lang w:val="en-US" w:eastAsia="zh-CN"/>
        </w:rPr>
        <w:fldChar w:fldCharType="end"/>
      </w:r>
      <w:r>
        <w:rPr>
          <w:rFonts w:hint="eastAsia" w:ascii="仿宋_GB2312" w:hAnsi="宋体" w:eastAsia="仿宋_GB2312"/>
          <w:b/>
          <w:bCs/>
          <w:sz w:val="28"/>
          <w:szCs w:val="28"/>
          <w:lang w:eastAsia="zh-CN"/>
        </w:rPr>
        <w:t>元</w:t>
      </w:r>
      <w:r>
        <w:rPr>
          <w:rFonts w:hint="eastAsia" w:ascii="仿宋_GB2312" w:hAnsi="仿宋" w:eastAsia="仿宋_GB2312"/>
          <w:b/>
          <w:bCs w:val="0"/>
          <w:color w:val="auto"/>
          <w:sz w:val="28"/>
          <w:szCs w:val="28"/>
        </w:rPr>
        <w:t>整</w:t>
      </w:r>
      <w:r>
        <w:rPr>
          <w:rFonts w:hint="eastAsia" w:ascii="仿宋_GB2312" w:hAnsi="仿宋" w:eastAsia="仿宋_GB2312"/>
          <w:b/>
          <w:color w:val="auto"/>
          <w:sz w:val="28"/>
          <w:szCs w:val="28"/>
        </w:rPr>
        <w:t>（</w:t>
      </w:r>
      <w:r>
        <w:rPr>
          <w:rFonts w:hint="eastAsia" w:ascii="仿宋_GB2312" w:hAnsi="仿宋_GB2312" w:eastAsia="仿宋_GB2312" w:cs="仿宋_GB2312"/>
          <w:b/>
          <w:bCs/>
          <w:color w:val="auto"/>
          <w:sz w:val="28"/>
          <w:szCs w:val="28"/>
          <w:highlight w:val="none"/>
        </w:rPr>
        <w:t>¥</w:t>
      </w:r>
      <w:r>
        <w:rPr>
          <w:rFonts w:hint="eastAsia" w:ascii="仿宋_GB2312" w:hAnsi="宋体" w:eastAsia="仿宋_GB2312"/>
          <w:b/>
          <w:bCs/>
          <w:sz w:val="28"/>
          <w:szCs w:val="28"/>
          <w:lang w:val="en-US" w:eastAsia="zh-CN"/>
        </w:rPr>
        <w:t>1684758</w:t>
      </w:r>
      <w:r>
        <w:rPr>
          <w:rFonts w:hint="eastAsia" w:ascii="仿宋_GB2312" w:hAnsi="仿宋" w:eastAsia="仿宋_GB2312"/>
          <w:b/>
          <w:color w:val="auto"/>
          <w:sz w:val="28"/>
          <w:szCs w:val="28"/>
        </w:rPr>
        <w:t>元）</w:t>
      </w:r>
      <w:r>
        <w:rPr>
          <w:rFonts w:hint="eastAsia" w:ascii="仿宋_GB2312" w:hAnsi="仿宋" w:eastAsia="仿宋_GB2312"/>
          <w:bCs/>
          <w:sz w:val="28"/>
          <w:szCs w:val="28"/>
        </w:rPr>
        <w:t>。</w:t>
      </w:r>
      <w:r>
        <w:rPr>
          <w:rFonts w:hint="eastAsia" w:ascii="仿宋_GB2312" w:hAnsi="仿宋" w:eastAsia="仿宋_GB2312"/>
          <w:b w:val="0"/>
          <w:bCs/>
          <w:sz w:val="28"/>
          <w:szCs w:val="28"/>
          <w:lang w:eastAsia="zh-CN"/>
        </w:rPr>
        <w:t>（详见《估价</w:t>
      </w:r>
      <w:r>
        <w:rPr>
          <w:rFonts w:hint="eastAsia" w:ascii="仿宋_GB2312" w:hAnsi="宋体" w:eastAsia="仿宋_GB2312"/>
          <w:b w:val="0"/>
          <w:bCs/>
          <w:sz w:val="28"/>
          <w:szCs w:val="28"/>
          <w:u w:val="none"/>
        </w:rPr>
        <w:t>结果一览表</w:t>
      </w:r>
      <w:r>
        <w:rPr>
          <w:rFonts w:hint="eastAsia" w:ascii="仿宋_GB2312" w:hAnsi="宋体" w:eastAsia="仿宋_GB2312"/>
          <w:b w:val="0"/>
          <w:bCs/>
          <w:sz w:val="28"/>
          <w:szCs w:val="28"/>
          <w:u w:val="none"/>
          <w:lang w:eastAsia="zh-CN"/>
        </w:rPr>
        <w:t>》</w:t>
      </w:r>
      <w:r>
        <w:rPr>
          <w:rFonts w:hint="eastAsia" w:ascii="仿宋_GB2312" w:hAnsi="仿宋" w:eastAsia="仿宋_GB2312"/>
          <w:b w:val="0"/>
          <w:bCs/>
          <w:sz w:val="28"/>
          <w:szCs w:val="28"/>
          <w:lang w:eastAsia="zh-CN"/>
        </w:rPr>
        <w:t>）</w:t>
      </w:r>
    </w:p>
    <w:p>
      <w:pPr>
        <w:pStyle w:val="4"/>
        <w:numPr>
          <w:ilvl w:val="0"/>
          <w:numId w:val="0"/>
        </w:numPr>
        <w:snapToGrid w:val="0"/>
        <w:spacing w:before="0" w:after="0" w:line="500" w:lineRule="exact"/>
        <w:ind w:firstLine="281" w:firstLineChars="100"/>
        <w:jc w:val="left"/>
        <w:rPr>
          <w:rFonts w:hint="eastAsia" w:ascii="仿宋_GB2312" w:hAnsi="宋体" w:eastAsia="仿宋_GB2312"/>
          <w:sz w:val="28"/>
          <w:szCs w:val="28"/>
        </w:rPr>
      </w:pPr>
      <w:r>
        <w:rPr>
          <w:rFonts w:hint="eastAsia" w:ascii="Times New Roman" w:hAnsi="仿宋" w:eastAsia="仿宋" w:cs="Times New Roman"/>
          <w:b/>
          <w:bCs w:val="0"/>
          <w:color w:val="000000" w:themeColor="text1"/>
          <w:sz w:val="28"/>
          <w:szCs w:val="28"/>
          <w:lang w:eastAsia="zh-CN"/>
          <w14:textFill>
            <w14:solidFill>
              <w14:schemeClr w14:val="tx1"/>
            </w14:solidFill>
          </w14:textFill>
        </w:rPr>
        <w:t>（</w:t>
      </w:r>
      <w:r>
        <w:rPr>
          <w:rFonts w:hint="eastAsia" w:ascii="仿宋_GB2312" w:eastAsia="仿宋_GB2312" w:cs="Times New Roman"/>
          <w:b/>
          <w:bCs w:val="0"/>
          <w:sz w:val="28"/>
          <w:lang w:eastAsia="zh-CN"/>
        </w:rPr>
        <w:t>十一）</w:t>
      </w:r>
      <w:r>
        <w:rPr>
          <w:rFonts w:hint="eastAsia" w:ascii="仿宋_GB2312" w:eastAsia="仿宋_GB2312" w:cs="Times New Roman"/>
          <w:b/>
          <w:bCs w:val="0"/>
          <w:sz w:val="28"/>
        </w:rPr>
        <w:t>注册房地产估价师</w:t>
      </w:r>
    </w:p>
    <w:p>
      <w:pPr>
        <w:adjustRightInd w:val="0"/>
        <w:snapToGrid w:val="0"/>
        <w:spacing w:line="500" w:lineRule="exact"/>
        <w:ind w:firstLine="560" w:firstLineChars="200"/>
        <w:rPr>
          <w:rFonts w:hAnsi="仿宋" w:eastAsia="仿宋"/>
          <w:color w:val="000000" w:themeColor="text1"/>
          <w:sz w:val="26"/>
          <w:szCs w:val="26"/>
          <w14:textFill>
            <w14:solidFill>
              <w14:schemeClr w14:val="tx1"/>
            </w14:solidFill>
          </w14:textFill>
        </w:rPr>
      </w:pPr>
      <w:r>
        <w:rPr>
          <w:rFonts w:hAnsi="仿宋" w:eastAsia="仿宋"/>
          <w:color w:val="000000" w:themeColor="text1"/>
          <w:sz w:val="28"/>
          <w:szCs w:val="28"/>
          <w14:textFill>
            <w14:solidFill>
              <w14:schemeClr w14:val="tx1"/>
            </w14:solidFill>
          </w14:textFill>
        </w:rPr>
        <w:t>参加本次估价的注册房地产估价师为</w:t>
      </w:r>
      <w:r>
        <w:rPr>
          <w:rFonts w:hAnsi="仿宋" w:eastAsia="仿宋"/>
          <w:color w:val="000000" w:themeColor="text1"/>
          <w:sz w:val="26"/>
          <w:szCs w:val="26"/>
          <w14:textFill>
            <w14:solidFill>
              <w14:schemeClr w14:val="tx1"/>
            </w14:solidFill>
          </w14:textFill>
        </w:rPr>
        <w:t>：</w:t>
      </w:r>
    </w:p>
    <w:p>
      <w:pPr>
        <w:adjustRightInd w:val="0"/>
        <w:snapToGrid w:val="0"/>
        <w:spacing w:line="500" w:lineRule="exact"/>
        <w:ind w:firstLine="520" w:firstLineChars="200"/>
        <w:rPr>
          <w:rFonts w:hAnsi="仿宋" w:eastAsia="仿宋"/>
          <w:color w:val="000000" w:themeColor="text1"/>
          <w:sz w:val="26"/>
          <w:szCs w:val="26"/>
          <w14:textFill>
            <w14:solidFill>
              <w14:schemeClr w14:val="tx1"/>
            </w14:solidFill>
          </w14:textFill>
        </w:rPr>
      </w:pPr>
    </w:p>
    <w:tbl>
      <w:tblPr>
        <w:tblStyle w:val="12"/>
        <w:tblW w:w="944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2"/>
        <w:gridCol w:w="2249"/>
        <w:gridCol w:w="2526"/>
        <w:gridCol w:w="263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2032" w:type="dxa"/>
            <w:tcBorders>
              <w:top w:val="double" w:color="auto" w:sz="4" w:space="0"/>
            </w:tcBorders>
            <w:vAlign w:val="center"/>
          </w:tcPr>
          <w:p>
            <w:pPr>
              <w:tabs>
                <w:tab w:val="left" w:pos="735"/>
              </w:tabs>
              <w:overflowPunct w:val="0"/>
              <w:spacing w:line="312" w:lineRule="auto"/>
              <w:jc w:val="center"/>
              <w:rPr>
                <w:rFonts w:eastAsia="仿宋"/>
                <w:color w:val="000000" w:themeColor="text1"/>
                <w:sz w:val="28"/>
                <w:szCs w:val="28"/>
                <w14:textFill>
                  <w14:solidFill>
                    <w14:schemeClr w14:val="tx1"/>
                  </w14:solidFill>
                </w14:textFill>
              </w:rPr>
            </w:pPr>
            <w:r>
              <w:rPr>
                <w:rFonts w:hAnsi="仿宋" w:eastAsia="仿宋"/>
                <w:color w:val="000000" w:themeColor="text1"/>
                <w:sz w:val="28"/>
                <w:szCs w:val="28"/>
                <w14:textFill>
                  <w14:solidFill>
                    <w14:schemeClr w14:val="tx1"/>
                  </w14:solidFill>
                </w14:textFill>
              </w:rPr>
              <w:t>姓名</w:t>
            </w:r>
          </w:p>
        </w:tc>
        <w:tc>
          <w:tcPr>
            <w:tcW w:w="2249" w:type="dxa"/>
            <w:tcBorders>
              <w:top w:val="double" w:color="auto" w:sz="4" w:space="0"/>
            </w:tcBorders>
            <w:vAlign w:val="center"/>
          </w:tcPr>
          <w:p>
            <w:pPr>
              <w:tabs>
                <w:tab w:val="left" w:pos="735"/>
              </w:tabs>
              <w:wordWrap w:val="0"/>
              <w:overflowPunct w:val="0"/>
              <w:spacing w:line="312" w:lineRule="auto"/>
              <w:jc w:val="center"/>
              <w:rPr>
                <w:rFonts w:eastAsia="仿宋"/>
                <w:color w:val="000000" w:themeColor="text1"/>
                <w:sz w:val="28"/>
                <w:szCs w:val="28"/>
                <w14:textFill>
                  <w14:solidFill>
                    <w14:schemeClr w14:val="tx1"/>
                  </w14:solidFill>
                </w14:textFill>
              </w:rPr>
            </w:pPr>
            <w:r>
              <w:rPr>
                <w:rFonts w:hAnsi="仿宋" w:eastAsia="仿宋"/>
                <w:color w:val="000000" w:themeColor="text1"/>
                <w:sz w:val="28"/>
                <w:szCs w:val="28"/>
                <w14:textFill>
                  <w14:solidFill>
                    <w14:schemeClr w14:val="tx1"/>
                  </w14:solidFill>
                </w14:textFill>
              </w:rPr>
              <w:t>注册号</w:t>
            </w:r>
          </w:p>
        </w:tc>
        <w:tc>
          <w:tcPr>
            <w:tcW w:w="2526" w:type="dxa"/>
            <w:tcBorders>
              <w:top w:val="double" w:color="auto" w:sz="4" w:space="0"/>
            </w:tcBorders>
            <w:vAlign w:val="center"/>
          </w:tcPr>
          <w:p>
            <w:pPr>
              <w:tabs>
                <w:tab w:val="left" w:pos="735"/>
              </w:tabs>
              <w:wordWrap w:val="0"/>
              <w:overflowPunct w:val="0"/>
              <w:spacing w:line="312" w:lineRule="auto"/>
              <w:jc w:val="center"/>
              <w:rPr>
                <w:rFonts w:eastAsia="仿宋"/>
                <w:color w:val="000000" w:themeColor="text1"/>
                <w:sz w:val="28"/>
                <w:szCs w:val="28"/>
                <w14:textFill>
                  <w14:solidFill>
                    <w14:schemeClr w14:val="tx1"/>
                  </w14:solidFill>
                </w14:textFill>
              </w:rPr>
            </w:pPr>
            <w:r>
              <w:rPr>
                <w:rFonts w:hAnsi="仿宋" w:eastAsia="仿宋"/>
                <w:color w:val="000000" w:themeColor="text1"/>
                <w:sz w:val="28"/>
                <w:szCs w:val="28"/>
                <w14:textFill>
                  <w14:solidFill>
                    <w14:schemeClr w14:val="tx1"/>
                  </w14:solidFill>
                </w14:textFill>
              </w:rPr>
              <w:t>签名</w:t>
            </w:r>
          </w:p>
        </w:tc>
        <w:tc>
          <w:tcPr>
            <w:tcW w:w="2635" w:type="dxa"/>
            <w:tcBorders>
              <w:top w:val="double" w:color="auto" w:sz="4" w:space="0"/>
            </w:tcBorders>
            <w:vAlign w:val="center"/>
          </w:tcPr>
          <w:p>
            <w:pPr>
              <w:tabs>
                <w:tab w:val="left" w:pos="735"/>
              </w:tabs>
              <w:wordWrap w:val="0"/>
              <w:overflowPunct w:val="0"/>
              <w:spacing w:line="312" w:lineRule="auto"/>
              <w:jc w:val="center"/>
              <w:rPr>
                <w:rFonts w:eastAsia="仿宋"/>
                <w:color w:val="000000" w:themeColor="text1"/>
                <w:sz w:val="28"/>
                <w:szCs w:val="28"/>
                <w14:textFill>
                  <w14:solidFill>
                    <w14:schemeClr w14:val="tx1"/>
                  </w14:solidFill>
                </w14:textFill>
              </w:rPr>
            </w:pPr>
            <w:r>
              <w:rPr>
                <w:rFonts w:hAnsi="仿宋" w:eastAsia="仿宋"/>
                <w:color w:val="000000" w:themeColor="text1"/>
                <w:sz w:val="28"/>
                <w:szCs w:val="28"/>
                <w14:textFill>
                  <w14:solidFill>
                    <w14:schemeClr w14:val="tx1"/>
                  </w14:solidFill>
                </w14:textFill>
              </w:rPr>
              <w:t>签名日期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2032" w:type="dxa"/>
            <w:vAlign w:val="center"/>
          </w:tcPr>
          <w:p>
            <w:pPr>
              <w:tabs>
                <w:tab w:val="left" w:pos="735"/>
              </w:tabs>
              <w:overflowPunct w:val="0"/>
              <w:spacing w:line="312" w:lineRule="auto"/>
              <w:jc w:val="center"/>
              <w:rPr>
                <w:rFonts w:hint="eastAsia" w:eastAsia="仿宋"/>
                <w:color w:val="000000" w:themeColor="text1"/>
                <w:sz w:val="28"/>
                <w:szCs w:val="28"/>
                <w:lang w:eastAsia="zh-CN"/>
                <w14:textFill>
                  <w14:solidFill>
                    <w14:schemeClr w14:val="tx1"/>
                  </w14:solidFill>
                </w14:textFill>
              </w:rPr>
            </w:pPr>
            <w:r>
              <w:rPr>
                <w:rFonts w:hint="eastAsia" w:hAnsi="仿宋" w:eastAsia="仿宋"/>
                <w:color w:val="000000" w:themeColor="text1"/>
                <w:sz w:val="28"/>
                <w:szCs w:val="28"/>
                <w:lang w:val="en-US" w:eastAsia="zh-CN"/>
                <w14:textFill>
                  <w14:solidFill>
                    <w14:schemeClr w14:val="tx1"/>
                  </w14:solidFill>
                </w14:textFill>
              </w:rPr>
              <w:t>李舰</w:t>
            </w:r>
          </w:p>
        </w:tc>
        <w:tc>
          <w:tcPr>
            <w:tcW w:w="2249" w:type="dxa"/>
            <w:vAlign w:val="center"/>
          </w:tcPr>
          <w:p>
            <w:pPr>
              <w:tabs>
                <w:tab w:val="left" w:pos="735"/>
              </w:tabs>
              <w:overflowPunct w:val="0"/>
              <w:spacing w:line="312" w:lineRule="auto"/>
              <w:jc w:val="center"/>
              <w:rPr>
                <w:rFonts w:hint="eastAsia" w:eastAsia="仿宋"/>
                <w:color w:val="000000" w:themeColor="text1"/>
                <w:sz w:val="28"/>
                <w:szCs w:val="28"/>
                <w:lang w:eastAsia="zh-CN"/>
                <w14:textFill>
                  <w14:solidFill>
                    <w14:schemeClr w14:val="tx1"/>
                  </w14:solidFill>
                </w14:textFill>
              </w:rPr>
            </w:pPr>
            <w:r>
              <w:rPr>
                <w:rFonts w:hint="eastAsia" w:ascii="Times New Roman" w:hAnsi="Times New Roman" w:eastAsia="仿宋" w:cs="Times New Roman"/>
                <w:color w:val="000000" w:themeColor="text1"/>
                <w:sz w:val="28"/>
                <w:szCs w:val="28"/>
                <w:lang w:eastAsia="zh-CN"/>
                <w14:textFill>
                  <w14:solidFill>
                    <w14:schemeClr w14:val="tx1"/>
                  </w14:solidFill>
                </w14:textFill>
              </w:rPr>
              <w:t>3</w:t>
            </w:r>
            <w:r>
              <w:rPr>
                <w:rFonts w:hint="eastAsia" w:ascii="Times New Roman" w:hAnsi="Times New Roman" w:eastAsia="仿宋" w:cs="Times New Roman"/>
                <w:color w:val="000000" w:themeColor="text1"/>
                <w:sz w:val="28"/>
                <w:szCs w:val="28"/>
                <w:lang w:val="en-US" w:eastAsia="zh-CN"/>
                <w14:textFill>
                  <w14:solidFill>
                    <w14:schemeClr w14:val="tx1"/>
                  </w14:solidFill>
                </w14:textFill>
              </w:rPr>
              <w:t>620200071</w:t>
            </w:r>
          </w:p>
        </w:tc>
        <w:tc>
          <w:tcPr>
            <w:tcW w:w="2526" w:type="dxa"/>
            <w:vAlign w:val="center"/>
          </w:tcPr>
          <w:p>
            <w:pPr>
              <w:tabs>
                <w:tab w:val="left" w:pos="735"/>
              </w:tabs>
              <w:wordWrap w:val="0"/>
              <w:overflowPunct w:val="0"/>
              <w:spacing w:line="312" w:lineRule="auto"/>
              <w:jc w:val="center"/>
              <w:rPr>
                <w:rFonts w:eastAsia="仿宋"/>
                <w:color w:val="000000" w:themeColor="text1"/>
                <w14:textFill>
                  <w14:solidFill>
                    <w14:schemeClr w14:val="tx1"/>
                  </w14:solidFill>
                </w14:textFill>
              </w:rPr>
            </w:pPr>
          </w:p>
        </w:tc>
        <w:tc>
          <w:tcPr>
            <w:tcW w:w="2635" w:type="dxa"/>
            <w:vAlign w:val="center"/>
          </w:tcPr>
          <w:p>
            <w:pPr>
              <w:tabs>
                <w:tab w:val="left" w:pos="735"/>
              </w:tabs>
              <w:overflowPunct w:val="0"/>
              <w:spacing w:line="312" w:lineRule="auto"/>
              <w:jc w:val="center"/>
              <w:rPr>
                <w:rFonts w:hint="eastAsia" w:hAnsi="仿宋" w:eastAsia="仿宋"/>
                <w:color w:val="000000" w:themeColor="text1"/>
                <w:sz w:val="28"/>
                <w:szCs w:val="28"/>
                <w:lang w:eastAsia="zh-CN"/>
                <w14:textFill>
                  <w14:solidFill>
                    <w14:schemeClr w14:val="tx1"/>
                  </w14:solidFill>
                </w14:textFill>
              </w:rPr>
            </w:pPr>
            <w:r>
              <w:rPr>
                <w:rFonts w:hint="eastAsia" w:hAnsi="仿宋" w:eastAsia="仿宋"/>
                <w:color w:val="000000" w:themeColor="text1"/>
                <w:sz w:val="28"/>
                <w:szCs w:val="28"/>
                <w:lang w:eastAsia="zh-CN"/>
                <w14:textFill>
                  <w14:solidFill>
                    <w14:schemeClr w14:val="tx1"/>
                  </w14:solidFill>
                </w14:textFill>
              </w:rPr>
              <w:t>2022年9月26日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jc w:val="center"/>
        </w:trPr>
        <w:tc>
          <w:tcPr>
            <w:tcW w:w="2032" w:type="dxa"/>
            <w:tcBorders>
              <w:bottom w:val="double" w:color="auto" w:sz="4" w:space="0"/>
            </w:tcBorders>
            <w:vAlign w:val="center"/>
          </w:tcPr>
          <w:p>
            <w:pPr>
              <w:tabs>
                <w:tab w:val="left" w:pos="735"/>
              </w:tabs>
              <w:overflowPunct w:val="0"/>
              <w:spacing w:line="312" w:lineRule="auto"/>
              <w:jc w:val="center"/>
              <w:rPr>
                <w:rFonts w:hint="default" w:eastAsia="仿宋"/>
                <w:color w:val="000000" w:themeColor="text1"/>
                <w:sz w:val="28"/>
                <w:szCs w:val="28"/>
                <w:lang w:val="en-US" w:eastAsia="zh-CN"/>
                <w14:textFill>
                  <w14:solidFill>
                    <w14:schemeClr w14:val="tx1"/>
                  </w14:solidFill>
                </w14:textFill>
              </w:rPr>
            </w:pPr>
            <w:r>
              <w:rPr>
                <w:rFonts w:hint="eastAsia" w:eastAsia="仿宋"/>
                <w:color w:val="000000" w:themeColor="text1"/>
                <w:sz w:val="28"/>
                <w:szCs w:val="28"/>
                <w:lang w:val="en-US" w:eastAsia="zh-CN"/>
                <w14:textFill>
                  <w14:solidFill>
                    <w14:schemeClr w14:val="tx1"/>
                  </w14:solidFill>
                </w14:textFill>
              </w:rPr>
              <w:t>王辉</w:t>
            </w:r>
          </w:p>
        </w:tc>
        <w:tc>
          <w:tcPr>
            <w:tcW w:w="2249" w:type="dxa"/>
            <w:tcBorders>
              <w:bottom w:val="double" w:color="auto" w:sz="4" w:space="0"/>
            </w:tcBorders>
            <w:vAlign w:val="center"/>
          </w:tcPr>
          <w:p>
            <w:pPr>
              <w:tabs>
                <w:tab w:val="left" w:pos="735"/>
              </w:tabs>
              <w:overflowPunct w:val="0"/>
              <w:spacing w:line="312" w:lineRule="auto"/>
              <w:jc w:val="center"/>
              <w:rPr>
                <w:rFonts w:hint="eastAsia" w:eastAsia="仿宋"/>
                <w:color w:val="000000" w:themeColor="text1"/>
                <w:sz w:val="28"/>
                <w:szCs w:val="28"/>
                <w:lang w:eastAsia="zh-CN"/>
                <w14:textFill>
                  <w14:solidFill>
                    <w14:schemeClr w14:val="tx1"/>
                  </w14:solidFill>
                </w14:textFill>
              </w:rPr>
            </w:pPr>
            <w:r>
              <w:rPr>
                <w:rFonts w:hint="eastAsia" w:eastAsia="仿宋"/>
                <w:color w:val="000000" w:themeColor="text1"/>
                <w:sz w:val="28"/>
                <w:szCs w:val="28"/>
                <w:lang w:eastAsia="zh-CN"/>
                <w14:textFill>
                  <w14:solidFill>
                    <w14:schemeClr w14:val="tx1"/>
                  </w14:solidFill>
                </w14:textFill>
              </w:rPr>
              <w:t>3619970077</w:t>
            </w:r>
          </w:p>
        </w:tc>
        <w:tc>
          <w:tcPr>
            <w:tcW w:w="2526" w:type="dxa"/>
            <w:tcBorders>
              <w:bottom w:val="double" w:color="auto" w:sz="4" w:space="0"/>
            </w:tcBorders>
            <w:vAlign w:val="center"/>
          </w:tcPr>
          <w:p>
            <w:pPr>
              <w:tabs>
                <w:tab w:val="left" w:pos="735"/>
              </w:tabs>
              <w:wordWrap w:val="0"/>
              <w:overflowPunct w:val="0"/>
              <w:spacing w:line="312" w:lineRule="auto"/>
              <w:jc w:val="center"/>
              <w:rPr>
                <w:rFonts w:eastAsia="仿宋"/>
                <w:color w:val="000000" w:themeColor="text1"/>
                <w14:textFill>
                  <w14:solidFill>
                    <w14:schemeClr w14:val="tx1"/>
                  </w14:solidFill>
                </w14:textFill>
              </w:rPr>
            </w:pPr>
          </w:p>
        </w:tc>
        <w:tc>
          <w:tcPr>
            <w:tcW w:w="2635" w:type="dxa"/>
            <w:tcBorders>
              <w:bottom w:val="double" w:color="auto" w:sz="4" w:space="0"/>
            </w:tcBorders>
            <w:vAlign w:val="center"/>
          </w:tcPr>
          <w:p>
            <w:pPr>
              <w:tabs>
                <w:tab w:val="left" w:pos="735"/>
              </w:tabs>
              <w:overflowPunct w:val="0"/>
              <w:spacing w:line="312" w:lineRule="auto"/>
              <w:jc w:val="center"/>
              <w:rPr>
                <w:rFonts w:hint="eastAsia" w:hAnsi="仿宋" w:eastAsia="仿宋"/>
                <w:color w:val="000000" w:themeColor="text1"/>
                <w:sz w:val="28"/>
                <w:szCs w:val="28"/>
                <w:lang w:eastAsia="zh-CN"/>
                <w14:textFill>
                  <w14:solidFill>
                    <w14:schemeClr w14:val="tx1"/>
                  </w14:solidFill>
                </w14:textFill>
              </w:rPr>
            </w:pPr>
            <w:r>
              <w:rPr>
                <w:rFonts w:hint="eastAsia" w:hAnsi="仿宋" w:eastAsia="仿宋"/>
                <w:color w:val="000000" w:themeColor="text1"/>
                <w:sz w:val="28"/>
                <w:szCs w:val="28"/>
                <w:lang w:eastAsia="zh-CN"/>
                <w14:textFill>
                  <w14:solidFill>
                    <w14:schemeClr w14:val="tx1"/>
                  </w14:solidFill>
                </w14:textFill>
              </w:rPr>
              <w:t>2022年9月26日</w:t>
            </w:r>
          </w:p>
        </w:tc>
      </w:tr>
    </w:tbl>
    <w:p>
      <w:pPr>
        <w:pStyle w:val="4"/>
        <w:pageBreakBefore w:val="0"/>
        <w:widowControl w:val="0"/>
        <w:kinsoku/>
        <w:wordWrap/>
        <w:overflowPunct/>
        <w:topLinePunct w:val="0"/>
        <w:autoSpaceDE/>
        <w:autoSpaceDN/>
        <w:bidi w:val="0"/>
        <w:adjustRightInd w:val="0"/>
        <w:snapToGrid w:val="0"/>
        <w:spacing w:line="480" w:lineRule="exact"/>
        <w:ind w:firstLine="301" w:firstLineChars="100"/>
        <w:textAlignment w:val="auto"/>
        <w:rPr>
          <w:rFonts w:hint="eastAsia" w:ascii="仿宋_GB2312" w:eastAsia="仿宋_GB2312"/>
          <w:b/>
        </w:rPr>
      </w:pPr>
      <w:bookmarkStart w:id="37" w:name="_Toc536174659"/>
      <w:bookmarkStart w:id="38" w:name="_Toc443307026"/>
      <w:bookmarkStart w:id="39" w:name="_Toc25231"/>
      <w:bookmarkStart w:id="40" w:name="_Toc29405"/>
      <w:bookmarkStart w:id="41" w:name="_Toc27884"/>
      <w:bookmarkStart w:id="42" w:name="_Toc8129"/>
      <w:bookmarkStart w:id="43" w:name="_Toc19983"/>
      <w:bookmarkStart w:id="44" w:name="_Toc4282"/>
      <w:bookmarkStart w:id="45" w:name="_Toc14358"/>
      <w:bookmarkStart w:id="46" w:name="_Toc2268"/>
      <w:bookmarkStart w:id="47" w:name="_Toc9206"/>
      <w:bookmarkStart w:id="48" w:name="_Toc19561"/>
      <w:bookmarkStart w:id="49" w:name="_Toc2303"/>
      <w:bookmarkStart w:id="50" w:name="_Toc536174663"/>
      <w:bookmarkStart w:id="51" w:name="_Toc8941"/>
      <w:bookmarkStart w:id="52" w:name="_Toc447631692"/>
      <w:bookmarkStart w:id="53" w:name="_Toc25962"/>
      <w:bookmarkStart w:id="54" w:name="_Toc21598"/>
      <w:bookmarkStart w:id="55" w:name="_Toc3127"/>
      <w:bookmarkStart w:id="56" w:name="_Toc8404"/>
      <w:bookmarkStart w:id="57" w:name="_Toc23129"/>
      <w:bookmarkStart w:id="58" w:name="_Toc458439944"/>
      <w:bookmarkStart w:id="59" w:name="_Toc18044"/>
      <w:bookmarkStart w:id="60" w:name="_Toc28449"/>
      <w:bookmarkStart w:id="61" w:name="_Toc443307031"/>
      <w:bookmarkStart w:id="62" w:name="_Toc458006245"/>
      <w:bookmarkStart w:id="63" w:name="_Toc2147"/>
      <w:r>
        <w:rPr>
          <w:rFonts w:hint="eastAsia" w:ascii="仿宋_GB2312" w:eastAsia="仿宋_GB2312"/>
          <w:b/>
        </w:rPr>
        <w:t>（十</w:t>
      </w:r>
      <w:r>
        <w:rPr>
          <w:rFonts w:hint="eastAsia" w:ascii="仿宋_GB2312" w:eastAsia="仿宋_GB2312"/>
          <w:b/>
          <w:lang w:eastAsia="zh-CN"/>
        </w:rPr>
        <w:t>二</w:t>
      </w:r>
      <w:r>
        <w:rPr>
          <w:rFonts w:hint="eastAsia" w:ascii="仿宋_GB2312" w:eastAsia="仿宋_GB2312"/>
          <w:b/>
        </w:rPr>
        <w:t>）实地查勘日期</w:t>
      </w:r>
      <w:bookmarkEnd w:id="37"/>
      <w:bookmarkEnd w:id="38"/>
      <w:bookmarkEnd w:id="39"/>
      <w:bookmarkEnd w:id="40"/>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lang w:eastAsia="zh-CN"/>
        </w:rPr>
        <w:t>2022年10月25日</w:t>
      </w:r>
    </w:p>
    <w:p>
      <w:pPr>
        <w:pStyle w:val="4"/>
        <w:pageBreakBefore w:val="0"/>
        <w:widowControl w:val="0"/>
        <w:kinsoku/>
        <w:wordWrap/>
        <w:overflowPunct/>
        <w:topLinePunct w:val="0"/>
        <w:autoSpaceDE/>
        <w:autoSpaceDN/>
        <w:bidi w:val="0"/>
        <w:adjustRightInd w:val="0"/>
        <w:snapToGrid w:val="0"/>
        <w:spacing w:line="480" w:lineRule="exact"/>
        <w:ind w:firstLine="301" w:firstLineChars="100"/>
        <w:textAlignment w:val="auto"/>
        <w:rPr>
          <w:rFonts w:hint="eastAsia" w:ascii="仿宋_GB2312" w:eastAsia="仿宋_GB2312"/>
          <w:b/>
        </w:rPr>
      </w:pPr>
      <w:bookmarkStart w:id="64" w:name="_Toc17511"/>
      <w:bookmarkStart w:id="65" w:name="_Toc12698"/>
      <w:bookmarkStart w:id="66" w:name="_Toc536174660"/>
      <w:r>
        <w:rPr>
          <w:rFonts w:hint="eastAsia" w:ascii="仿宋_GB2312" w:eastAsia="仿宋_GB2312"/>
          <w:b/>
        </w:rPr>
        <w:t>（十</w:t>
      </w:r>
      <w:r>
        <w:rPr>
          <w:rFonts w:hint="eastAsia" w:ascii="仿宋_GB2312" w:eastAsia="仿宋_GB2312"/>
          <w:b/>
          <w:lang w:eastAsia="zh-CN"/>
        </w:rPr>
        <w:t>三</w:t>
      </w:r>
      <w:r>
        <w:rPr>
          <w:rFonts w:hint="eastAsia" w:ascii="仿宋_GB2312" w:eastAsia="仿宋_GB2312"/>
          <w:b/>
        </w:rPr>
        <w:t>）估价作业日期</w:t>
      </w:r>
      <w:bookmarkEnd w:id="64"/>
      <w:bookmarkEnd w:id="65"/>
      <w:bookmarkEnd w:id="66"/>
    </w:p>
    <w:p>
      <w:pPr>
        <w:pageBreakBefore w:val="0"/>
        <w:widowControl w:val="0"/>
        <w:kinsoku/>
        <w:wordWrap/>
        <w:overflowPunct/>
        <w:topLinePunct w:val="0"/>
        <w:autoSpaceDE/>
        <w:autoSpaceDN/>
        <w:bidi w:val="0"/>
        <w:adjustRightInd w:val="0"/>
        <w:snapToGrid w:val="0"/>
        <w:spacing w:line="480" w:lineRule="exact"/>
        <w:ind w:firstLine="600"/>
        <w:textAlignment w:val="auto"/>
        <w:rPr>
          <w:rFonts w:hint="eastAsia" w:ascii="仿宋_GB2312" w:hAnsi="宋体" w:eastAsia="仿宋_GB2312"/>
          <w:spacing w:val="-8"/>
          <w:sz w:val="28"/>
          <w:szCs w:val="28"/>
          <w:lang w:val="en-US" w:eastAsia="zh-CN"/>
        </w:rPr>
      </w:pPr>
      <w:r>
        <w:rPr>
          <w:rFonts w:hint="eastAsia" w:ascii="仿宋_GB2312" w:hAnsi="宋体" w:eastAsia="仿宋_GB2312"/>
          <w:spacing w:val="-8"/>
          <w:sz w:val="28"/>
          <w:szCs w:val="28"/>
          <w:lang w:eastAsia="zh-CN"/>
        </w:rPr>
        <w:t>202</w:t>
      </w:r>
      <w:r>
        <w:rPr>
          <w:rFonts w:hint="eastAsia" w:ascii="仿宋_GB2312" w:hAnsi="宋体" w:eastAsia="仿宋_GB2312"/>
          <w:spacing w:val="-8"/>
          <w:sz w:val="28"/>
          <w:szCs w:val="28"/>
          <w:lang w:val="en-US" w:eastAsia="zh-CN"/>
        </w:rPr>
        <w:t>2</w:t>
      </w:r>
      <w:r>
        <w:rPr>
          <w:rFonts w:hint="eastAsia" w:ascii="仿宋_GB2312" w:hAnsi="宋体" w:eastAsia="仿宋_GB2312"/>
          <w:spacing w:val="-8"/>
          <w:sz w:val="28"/>
          <w:szCs w:val="28"/>
          <w:lang w:eastAsia="zh-CN"/>
        </w:rPr>
        <w:t>年</w:t>
      </w:r>
      <w:r>
        <w:rPr>
          <w:rFonts w:hint="eastAsia" w:ascii="仿宋_GB2312" w:hAnsi="宋体" w:eastAsia="仿宋_GB2312"/>
          <w:spacing w:val="-8"/>
          <w:sz w:val="28"/>
          <w:szCs w:val="28"/>
          <w:lang w:val="en-US" w:eastAsia="zh-CN"/>
        </w:rPr>
        <w:t>10</w:t>
      </w:r>
      <w:r>
        <w:rPr>
          <w:rFonts w:hint="eastAsia" w:ascii="仿宋_GB2312" w:hAnsi="宋体" w:eastAsia="仿宋_GB2312"/>
          <w:spacing w:val="-8"/>
          <w:sz w:val="28"/>
          <w:szCs w:val="28"/>
          <w:lang w:eastAsia="zh-CN"/>
        </w:rPr>
        <w:t>月</w:t>
      </w:r>
      <w:r>
        <w:rPr>
          <w:rFonts w:hint="eastAsia" w:ascii="仿宋_GB2312" w:hAnsi="宋体" w:eastAsia="仿宋_GB2312"/>
          <w:spacing w:val="-8"/>
          <w:sz w:val="28"/>
          <w:szCs w:val="28"/>
          <w:lang w:val="en-US" w:eastAsia="zh-CN"/>
        </w:rPr>
        <w:t>25</w:t>
      </w:r>
      <w:r>
        <w:rPr>
          <w:rFonts w:hint="eastAsia" w:ascii="仿宋_GB2312" w:hAnsi="宋体" w:eastAsia="仿宋_GB2312"/>
          <w:spacing w:val="-8"/>
          <w:sz w:val="28"/>
          <w:szCs w:val="28"/>
          <w:lang w:eastAsia="zh-CN"/>
        </w:rPr>
        <w:t>日至</w:t>
      </w:r>
      <w:r>
        <w:rPr>
          <w:rFonts w:hint="eastAsia" w:ascii="仿宋_GB2312" w:hAnsi="宋体" w:eastAsia="仿宋_GB2312"/>
          <w:spacing w:val="-8"/>
          <w:sz w:val="28"/>
          <w:szCs w:val="28"/>
          <w:lang w:val="en-US" w:eastAsia="zh-CN"/>
        </w:rPr>
        <w:t>2022年10月31日</w:t>
      </w:r>
    </w:p>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Pr>
        <w:pStyle w:val="3"/>
        <w:ind w:left="0" w:leftChars="0" w:firstLine="0" w:firstLineChars="0"/>
        <w:rPr>
          <w:rFonts w:hint="eastAsia" w:ascii="仿宋_GB2312" w:eastAsia="仿宋_GB2312"/>
          <w:b/>
          <w:lang w:eastAsia="zh-CN"/>
        </w:rPr>
      </w:pPr>
      <w:bookmarkStart w:id="67" w:name="_Toc10879"/>
      <w:bookmarkStart w:id="68" w:name="_Toc9055"/>
      <w:bookmarkStart w:id="69" w:name="_Toc18470"/>
      <w:bookmarkStart w:id="70" w:name="_Toc1817"/>
      <w:bookmarkStart w:id="71" w:name="_Toc29856"/>
      <w:bookmarkStart w:id="72" w:name="_Toc31567"/>
      <w:bookmarkStart w:id="73" w:name="_Toc4079"/>
      <w:bookmarkStart w:id="74" w:name="_Toc8246"/>
      <w:bookmarkStart w:id="75" w:name="_Toc31148"/>
      <w:bookmarkStart w:id="76" w:name="_Toc458439951"/>
      <w:bookmarkStart w:id="77" w:name="_Toc13187"/>
      <w:bookmarkStart w:id="78" w:name="_Toc29914"/>
      <w:bookmarkStart w:id="79" w:name="_Toc4189"/>
      <w:bookmarkStart w:id="80" w:name="_Toc27374"/>
      <w:bookmarkStart w:id="81" w:name="_Toc29574"/>
      <w:bookmarkStart w:id="82" w:name="_Toc23921"/>
      <w:bookmarkStart w:id="83" w:name="_Toc96"/>
      <w:bookmarkStart w:id="84" w:name="_Toc458006252"/>
      <w:bookmarkStart w:id="85" w:name="_Toc536174670"/>
      <w:bookmarkStart w:id="86" w:name="_Toc443307038"/>
      <w:bookmarkStart w:id="87" w:name="_Toc27825"/>
      <w:bookmarkStart w:id="88" w:name="_Toc10592"/>
      <w:bookmarkStart w:id="89" w:name="_Toc447631699"/>
      <w:bookmarkStart w:id="90" w:name="_Toc24128"/>
    </w:p>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Pr>
        <w:pageBreakBefore w:val="0"/>
        <w:widowControl w:val="0"/>
        <w:kinsoku/>
        <w:wordWrap/>
        <w:overflowPunct/>
        <w:topLinePunct w:val="0"/>
        <w:autoSpaceDE/>
        <w:autoSpaceDN/>
        <w:bidi w:val="0"/>
        <w:adjustRightInd w:val="0"/>
        <w:snapToGrid w:val="0"/>
        <w:spacing w:line="480" w:lineRule="exact"/>
        <w:jc w:val="left"/>
        <w:textAlignment w:val="auto"/>
        <w:rPr>
          <w:rFonts w:hint="eastAsia"/>
        </w:rPr>
      </w:pPr>
    </w:p>
    <w:p>
      <w:pPr>
        <w:pStyle w:val="2"/>
        <w:keepNext/>
        <w:keepLines/>
        <w:pageBreakBefore w:val="0"/>
        <w:widowControl w:val="0"/>
        <w:kinsoku/>
        <w:wordWrap/>
        <w:overflowPunct/>
        <w:topLinePunct w:val="0"/>
        <w:autoSpaceDE/>
        <w:autoSpaceDN/>
        <w:bidi w:val="0"/>
        <w:adjustRightInd w:val="0"/>
        <w:snapToGrid w:val="0"/>
        <w:spacing w:after="93" w:line="480" w:lineRule="exact"/>
        <w:jc w:val="center"/>
        <w:textAlignment w:val="auto"/>
        <w:rPr>
          <w:rFonts w:hint="eastAsia" w:ascii="仿宋_GB2312" w:eastAsia="仿宋_GB2312"/>
          <w:b/>
          <w:lang w:eastAsia="zh-CN"/>
        </w:rPr>
      </w:pPr>
    </w:p>
    <w:p>
      <w:pPr>
        <w:pStyle w:val="2"/>
        <w:keepNext/>
        <w:keepLines/>
        <w:pageBreakBefore w:val="0"/>
        <w:widowControl w:val="0"/>
        <w:kinsoku/>
        <w:wordWrap/>
        <w:overflowPunct/>
        <w:topLinePunct w:val="0"/>
        <w:autoSpaceDE/>
        <w:autoSpaceDN/>
        <w:bidi w:val="0"/>
        <w:adjustRightInd w:val="0"/>
        <w:snapToGrid w:val="0"/>
        <w:spacing w:after="93" w:line="480" w:lineRule="exact"/>
        <w:jc w:val="center"/>
        <w:textAlignment w:val="auto"/>
        <w:rPr>
          <w:rFonts w:hint="eastAsia" w:ascii="仿宋_GB2312" w:eastAsia="仿宋_GB2312"/>
          <w:b/>
          <w:lang w:eastAsia="zh-CN"/>
        </w:rPr>
      </w:pPr>
    </w:p>
    <w:p>
      <w:pPr>
        <w:pStyle w:val="2"/>
        <w:keepNext/>
        <w:keepLines/>
        <w:pageBreakBefore w:val="0"/>
        <w:widowControl w:val="0"/>
        <w:kinsoku/>
        <w:wordWrap/>
        <w:overflowPunct/>
        <w:topLinePunct w:val="0"/>
        <w:autoSpaceDE/>
        <w:autoSpaceDN/>
        <w:bidi w:val="0"/>
        <w:adjustRightInd w:val="0"/>
        <w:snapToGrid w:val="0"/>
        <w:spacing w:after="93" w:line="480" w:lineRule="exact"/>
        <w:jc w:val="center"/>
        <w:textAlignment w:val="auto"/>
        <w:rPr>
          <w:rFonts w:hint="eastAsia" w:ascii="仿宋_GB2312" w:eastAsia="仿宋_GB2312"/>
          <w:b/>
          <w:lang w:eastAsia="zh-CN"/>
        </w:rPr>
      </w:pPr>
    </w:p>
    <w:p>
      <w:pPr>
        <w:pStyle w:val="2"/>
        <w:keepNext/>
        <w:keepLines/>
        <w:pageBreakBefore w:val="0"/>
        <w:widowControl w:val="0"/>
        <w:kinsoku/>
        <w:wordWrap/>
        <w:overflowPunct/>
        <w:topLinePunct w:val="0"/>
        <w:autoSpaceDE/>
        <w:autoSpaceDN/>
        <w:bidi w:val="0"/>
        <w:adjustRightInd w:val="0"/>
        <w:snapToGrid w:val="0"/>
        <w:spacing w:after="93" w:line="480" w:lineRule="exact"/>
        <w:jc w:val="center"/>
        <w:textAlignment w:val="auto"/>
        <w:rPr>
          <w:rFonts w:hint="eastAsia" w:ascii="仿宋_GB2312" w:eastAsia="仿宋_GB2312"/>
          <w:b/>
          <w:lang w:eastAsia="zh-CN"/>
        </w:rPr>
      </w:pPr>
    </w:p>
    <w:p>
      <w:pPr>
        <w:pStyle w:val="2"/>
        <w:keepNext/>
        <w:keepLines/>
        <w:pageBreakBefore w:val="0"/>
        <w:widowControl w:val="0"/>
        <w:kinsoku/>
        <w:wordWrap/>
        <w:overflowPunct/>
        <w:topLinePunct w:val="0"/>
        <w:autoSpaceDE/>
        <w:autoSpaceDN/>
        <w:bidi w:val="0"/>
        <w:adjustRightInd w:val="0"/>
        <w:snapToGrid w:val="0"/>
        <w:spacing w:after="93" w:line="480" w:lineRule="exact"/>
        <w:jc w:val="center"/>
        <w:textAlignment w:val="auto"/>
        <w:rPr>
          <w:rFonts w:hint="eastAsia" w:ascii="仿宋_GB2312" w:eastAsia="仿宋_GB2312"/>
          <w:b/>
          <w:lang w:eastAsia="zh-CN"/>
        </w:rPr>
      </w:pPr>
    </w:p>
    <w:p>
      <w:pPr>
        <w:pStyle w:val="2"/>
        <w:keepNext/>
        <w:keepLines/>
        <w:pageBreakBefore w:val="0"/>
        <w:widowControl w:val="0"/>
        <w:kinsoku/>
        <w:wordWrap/>
        <w:overflowPunct/>
        <w:topLinePunct w:val="0"/>
        <w:autoSpaceDE/>
        <w:autoSpaceDN/>
        <w:bidi w:val="0"/>
        <w:adjustRightInd w:val="0"/>
        <w:snapToGrid w:val="0"/>
        <w:spacing w:after="93" w:line="480" w:lineRule="exact"/>
        <w:jc w:val="center"/>
        <w:textAlignment w:val="auto"/>
        <w:rPr>
          <w:rFonts w:hint="eastAsia" w:ascii="仿宋_GB2312" w:eastAsia="仿宋_GB2312"/>
          <w:b/>
          <w:lang w:eastAsia="zh-CN"/>
        </w:rPr>
      </w:pPr>
    </w:p>
    <w:p>
      <w:pPr>
        <w:pStyle w:val="2"/>
        <w:keepNext/>
        <w:keepLines/>
        <w:pageBreakBefore w:val="0"/>
        <w:widowControl w:val="0"/>
        <w:kinsoku/>
        <w:wordWrap/>
        <w:overflowPunct/>
        <w:topLinePunct w:val="0"/>
        <w:autoSpaceDE/>
        <w:autoSpaceDN/>
        <w:bidi w:val="0"/>
        <w:adjustRightInd w:val="0"/>
        <w:snapToGrid w:val="0"/>
        <w:spacing w:after="93" w:line="480" w:lineRule="exact"/>
        <w:jc w:val="center"/>
        <w:textAlignment w:val="auto"/>
        <w:rPr>
          <w:rFonts w:hint="eastAsia" w:ascii="仿宋_GB2312" w:eastAsia="仿宋_GB2312"/>
          <w:b/>
          <w:lang w:eastAsia="zh-CN"/>
        </w:rPr>
      </w:pPr>
    </w:p>
    <w:p>
      <w:pPr>
        <w:pStyle w:val="2"/>
        <w:keepNext/>
        <w:keepLines/>
        <w:pageBreakBefore w:val="0"/>
        <w:widowControl w:val="0"/>
        <w:kinsoku/>
        <w:wordWrap/>
        <w:overflowPunct/>
        <w:topLinePunct w:val="0"/>
        <w:autoSpaceDE/>
        <w:autoSpaceDN/>
        <w:bidi w:val="0"/>
        <w:adjustRightInd w:val="0"/>
        <w:snapToGrid w:val="0"/>
        <w:spacing w:after="93" w:line="480" w:lineRule="exact"/>
        <w:jc w:val="center"/>
        <w:textAlignment w:val="auto"/>
        <w:rPr>
          <w:rFonts w:hint="eastAsia" w:ascii="仿宋_GB2312" w:eastAsia="仿宋_GB2312"/>
          <w:b/>
          <w:lang w:eastAsia="zh-CN"/>
        </w:rPr>
      </w:pPr>
    </w:p>
    <w:p>
      <w:pPr>
        <w:pStyle w:val="2"/>
        <w:keepNext/>
        <w:keepLines/>
        <w:pageBreakBefore w:val="0"/>
        <w:widowControl w:val="0"/>
        <w:kinsoku/>
        <w:wordWrap/>
        <w:overflowPunct/>
        <w:topLinePunct w:val="0"/>
        <w:autoSpaceDE/>
        <w:autoSpaceDN/>
        <w:bidi w:val="0"/>
        <w:adjustRightInd w:val="0"/>
        <w:snapToGrid w:val="0"/>
        <w:spacing w:after="93" w:line="480" w:lineRule="exact"/>
        <w:jc w:val="center"/>
        <w:textAlignment w:val="auto"/>
        <w:rPr>
          <w:rFonts w:hint="eastAsia" w:ascii="仿宋_GB2312" w:eastAsia="仿宋_GB2312"/>
          <w:b/>
          <w:lang w:eastAsia="zh-CN"/>
        </w:rPr>
      </w:pPr>
    </w:p>
    <w:p>
      <w:pPr>
        <w:pStyle w:val="2"/>
        <w:keepNext/>
        <w:keepLines/>
        <w:pageBreakBefore w:val="0"/>
        <w:widowControl w:val="0"/>
        <w:kinsoku/>
        <w:wordWrap/>
        <w:overflowPunct/>
        <w:topLinePunct w:val="0"/>
        <w:autoSpaceDE/>
        <w:autoSpaceDN/>
        <w:bidi w:val="0"/>
        <w:adjustRightInd w:val="0"/>
        <w:snapToGrid w:val="0"/>
        <w:spacing w:after="93" w:line="480" w:lineRule="exact"/>
        <w:jc w:val="center"/>
        <w:textAlignment w:val="auto"/>
        <w:rPr>
          <w:rFonts w:hint="eastAsia" w:ascii="仿宋_GB2312" w:eastAsia="仿宋_GB2312"/>
          <w:b/>
          <w:lang w:eastAsia="zh-CN"/>
        </w:rPr>
      </w:pPr>
    </w:p>
    <w:p>
      <w:pPr>
        <w:pStyle w:val="2"/>
        <w:keepNext/>
        <w:keepLines/>
        <w:pageBreakBefore w:val="0"/>
        <w:widowControl w:val="0"/>
        <w:kinsoku/>
        <w:wordWrap/>
        <w:overflowPunct/>
        <w:topLinePunct w:val="0"/>
        <w:autoSpaceDE/>
        <w:autoSpaceDN/>
        <w:bidi w:val="0"/>
        <w:adjustRightInd w:val="0"/>
        <w:snapToGrid w:val="0"/>
        <w:spacing w:after="93" w:line="480" w:lineRule="exact"/>
        <w:jc w:val="center"/>
        <w:textAlignment w:val="auto"/>
        <w:rPr>
          <w:rFonts w:hint="eastAsia" w:ascii="仿宋_GB2312" w:eastAsia="仿宋_GB2312"/>
          <w:b/>
          <w:lang w:eastAsia="zh-CN"/>
        </w:rPr>
      </w:pPr>
    </w:p>
    <w:p>
      <w:pPr>
        <w:pageBreakBefore w:val="0"/>
        <w:widowControl w:val="0"/>
        <w:kinsoku/>
        <w:wordWrap/>
        <w:overflowPunct/>
        <w:topLinePunct w:val="0"/>
        <w:autoSpaceDE/>
        <w:autoSpaceDN/>
        <w:bidi w:val="0"/>
        <w:adjustRightInd w:val="0"/>
        <w:snapToGrid w:val="0"/>
        <w:spacing w:line="480" w:lineRule="exact"/>
        <w:textAlignment w:val="auto"/>
      </w:pPr>
    </w:p>
    <w:p>
      <w:pPr>
        <w:pageBreakBefore w:val="0"/>
        <w:widowControl w:val="0"/>
        <w:kinsoku/>
        <w:wordWrap/>
        <w:overflowPunct/>
        <w:topLinePunct w:val="0"/>
        <w:autoSpaceDE/>
        <w:autoSpaceDN/>
        <w:bidi w:val="0"/>
        <w:adjustRightInd w:val="0"/>
        <w:snapToGrid w:val="0"/>
        <w:spacing w:line="480" w:lineRule="exact"/>
        <w:textAlignment w:val="auto"/>
      </w:pPr>
    </w:p>
    <w:p>
      <w:pPr>
        <w:pStyle w:val="2"/>
        <w:keepNext/>
        <w:keepLines/>
        <w:pageBreakBefore w:val="0"/>
        <w:widowControl w:val="0"/>
        <w:kinsoku/>
        <w:wordWrap/>
        <w:overflowPunct/>
        <w:topLinePunct w:val="0"/>
        <w:autoSpaceDE/>
        <w:autoSpaceDN/>
        <w:bidi w:val="0"/>
        <w:adjustRightInd w:val="0"/>
        <w:snapToGrid w:val="0"/>
        <w:spacing w:after="93" w:line="480" w:lineRule="exact"/>
        <w:jc w:val="center"/>
        <w:textAlignment w:val="auto"/>
        <w:rPr>
          <w:rFonts w:hint="eastAsia" w:ascii="仿宋_GB2312" w:eastAsia="仿宋_GB2312"/>
          <w:b/>
        </w:rPr>
      </w:pPr>
      <w:r>
        <w:rPr>
          <w:rFonts w:hint="eastAsia" w:ascii="仿宋_GB2312" w:eastAsia="仿宋_GB2312"/>
          <w:b/>
          <w:lang w:eastAsia="zh-CN"/>
        </w:rPr>
        <w:t>四</w:t>
      </w:r>
      <w:r>
        <w:rPr>
          <w:rFonts w:hint="eastAsia" w:ascii="仿宋_GB2312" w:eastAsia="仿宋_GB2312"/>
          <w:b/>
        </w:rPr>
        <w:t>、附  件</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hAnsi="宋体" w:eastAsia="仿宋_GB2312"/>
          <w:sz w:val="28"/>
          <w:szCs w:val="28"/>
          <w:lang w:eastAsia="zh-CN"/>
        </w:rPr>
      </w:pPr>
      <w:r>
        <w:rPr>
          <w:rFonts w:hint="eastAsia" w:ascii="仿宋_GB2312" w:hAnsi="宋体" w:eastAsia="仿宋_GB2312"/>
          <w:sz w:val="28"/>
          <w:szCs w:val="28"/>
          <w:lang w:eastAsia="zh-CN"/>
        </w:rPr>
        <w:t>（一）、《估价委托书》复印件；</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lang w:eastAsia="zh-CN"/>
        </w:rPr>
        <w:t>（</w:t>
      </w:r>
      <w:r>
        <w:rPr>
          <w:rFonts w:hint="eastAsia" w:ascii="仿宋_GB2312" w:hAnsi="宋体" w:eastAsia="仿宋_GB2312"/>
          <w:sz w:val="28"/>
          <w:szCs w:val="28"/>
          <w:lang w:val="en-US" w:eastAsia="zh-CN"/>
        </w:rPr>
        <w:t>二</w:t>
      </w:r>
      <w:r>
        <w:rPr>
          <w:rFonts w:hint="eastAsia" w:ascii="仿宋_GB2312" w:hAnsi="宋体" w:eastAsia="仿宋_GB2312"/>
          <w:sz w:val="28"/>
          <w:szCs w:val="28"/>
          <w:lang w:eastAsia="zh-CN"/>
        </w:rPr>
        <w:t>）</w:t>
      </w:r>
      <w:r>
        <w:rPr>
          <w:rFonts w:eastAsia="仿宋"/>
          <w:sz w:val="28"/>
        </w:rPr>
        <w:t>《</w:t>
      </w:r>
      <w:r>
        <w:rPr>
          <w:rFonts w:hint="eastAsia" w:eastAsia="仿宋"/>
          <w:sz w:val="28"/>
          <w:lang w:val="en-US" w:eastAsia="zh-CN"/>
        </w:rPr>
        <w:t>不动产产权情况表</w:t>
      </w:r>
      <w:r>
        <w:rPr>
          <w:rFonts w:eastAsia="仿宋"/>
          <w:sz w:val="28"/>
        </w:rPr>
        <w:t>》复印件</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eastAsia="仿宋"/>
          <w:sz w:val="28"/>
        </w:rPr>
      </w:pPr>
      <w:r>
        <w:rPr>
          <w:rFonts w:hint="eastAsia" w:ascii="仿宋_GB2312" w:hAnsi="宋体" w:eastAsia="仿宋_GB2312"/>
          <w:sz w:val="28"/>
          <w:szCs w:val="28"/>
          <w:lang w:eastAsia="zh-CN"/>
        </w:rPr>
        <w:t>（</w:t>
      </w:r>
      <w:r>
        <w:rPr>
          <w:rFonts w:hint="eastAsia" w:ascii="仿宋_GB2312" w:hAnsi="宋体" w:eastAsia="仿宋_GB2312"/>
          <w:sz w:val="28"/>
          <w:szCs w:val="28"/>
          <w:lang w:val="en-US" w:eastAsia="zh-CN"/>
        </w:rPr>
        <w:t>三</w:t>
      </w:r>
      <w:r>
        <w:rPr>
          <w:rFonts w:hint="eastAsia" w:ascii="仿宋_GB2312" w:hAnsi="宋体" w:eastAsia="仿宋_GB2312"/>
          <w:sz w:val="28"/>
          <w:szCs w:val="28"/>
          <w:lang w:eastAsia="zh-CN"/>
        </w:rPr>
        <w:t>）</w:t>
      </w:r>
      <w:r>
        <w:rPr>
          <w:rFonts w:eastAsia="仿宋"/>
          <w:sz w:val="28"/>
        </w:rPr>
        <w:t>《</w:t>
      </w:r>
      <w:r>
        <w:rPr>
          <w:rFonts w:hint="eastAsia" w:eastAsia="仿宋"/>
          <w:sz w:val="28"/>
          <w:lang w:val="en-US" w:eastAsia="zh-CN"/>
        </w:rPr>
        <w:t>房产测绘报告</w:t>
      </w:r>
      <w:r>
        <w:rPr>
          <w:rFonts w:eastAsia="仿宋"/>
          <w:sz w:val="28"/>
        </w:rPr>
        <w:t>》复印件</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（四）《丰源宜合2栋1-01/1-02商铺物业费明细》（江西丰安物业管理有限责任公司丰源宜合管理处）</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hAnsi="宋体" w:eastAsia="仿宋_GB2312"/>
          <w:sz w:val="28"/>
          <w:szCs w:val="28"/>
          <w:lang w:eastAsia="zh-CN"/>
        </w:rPr>
      </w:pPr>
      <w:r>
        <w:rPr>
          <w:rFonts w:hint="eastAsia" w:ascii="仿宋_GB2312" w:hAnsi="宋体" w:eastAsia="仿宋_GB2312"/>
          <w:sz w:val="28"/>
          <w:szCs w:val="28"/>
          <w:lang w:eastAsia="zh-CN"/>
        </w:rPr>
        <w:t>（</w:t>
      </w:r>
      <w:r>
        <w:rPr>
          <w:rFonts w:hint="eastAsia" w:ascii="仿宋_GB2312" w:hAnsi="宋体" w:eastAsia="仿宋_GB2312"/>
          <w:sz w:val="28"/>
          <w:szCs w:val="28"/>
          <w:lang w:val="en-US" w:eastAsia="zh-CN"/>
        </w:rPr>
        <w:t>五</w:t>
      </w:r>
      <w:r>
        <w:rPr>
          <w:rFonts w:hint="eastAsia" w:ascii="仿宋_GB2312" w:hAnsi="宋体" w:eastAsia="仿宋_GB2312"/>
          <w:sz w:val="28"/>
          <w:szCs w:val="28"/>
          <w:lang w:eastAsia="zh-CN"/>
        </w:rPr>
        <w:t>）估价对象实地查勘照片；</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hAnsi="宋体" w:eastAsia="仿宋_GB2312"/>
          <w:sz w:val="28"/>
          <w:szCs w:val="28"/>
          <w:lang w:eastAsia="zh-CN"/>
        </w:rPr>
      </w:pPr>
      <w:r>
        <w:rPr>
          <w:rFonts w:hint="eastAsia" w:ascii="仿宋_GB2312" w:hAnsi="宋体" w:eastAsia="仿宋_GB2312"/>
          <w:sz w:val="28"/>
          <w:szCs w:val="28"/>
          <w:lang w:eastAsia="zh-CN"/>
        </w:rPr>
        <w:t>（</w:t>
      </w:r>
      <w:r>
        <w:rPr>
          <w:rFonts w:hint="eastAsia" w:ascii="仿宋_GB2312" w:hAnsi="宋体" w:eastAsia="仿宋_GB2312"/>
          <w:sz w:val="28"/>
          <w:szCs w:val="28"/>
          <w:lang w:val="en-US" w:eastAsia="zh-CN"/>
        </w:rPr>
        <w:t>六</w:t>
      </w:r>
      <w:r>
        <w:rPr>
          <w:rFonts w:hint="eastAsia" w:ascii="仿宋_GB2312" w:hAnsi="宋体" w:eastAsia="仿宋_GB2312"/>
          <w:sz w:val="28"/>
          <w:szCs w:val="28"/>
          <w:lang w:eastAsia="zh-CN"/>
        </w:rPr>
        <w:t>）估价对象位置图；</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hAnsi="宋体" w:eastAsia="仿宋_GB2312"/>
          <w:sz w:val="28"/>
          <w:szCs w:val="28"/>
          <w:lang w:eastAsia="zh-CN"/>
        </w:rPr>
      </w:pPr>
      <w:r>
        <w:rPr>
          <w:rFonts w:hint="eastAsia" w:ascii="仿宋_GB2312" w:hAnsi="宋体" w:eastAsia="仿宋_GB2312"/>
          <w:sz w:val="28"/>
          <w:szCs w:val="28"/>
          <w:lang w:eastAsia="zh-CN"/>
        </w:rPr>
        <w:t>（</w:t>
      </w:r>
      <w:r>
        <w:rPr>
          <w:rFonts w:hint="eastAsia" w:ascii="仿宋_GB2312" w:hAnsi="宋体" w:eastAsia="仿宋_GB2312"/>
          <w:sz w:val="28"/>
          <w:szCs w:val="28"/>
          <w:lang w:val="en-US" w:eastAsia="zh-CN"/>
        </w:rPr>
        <w:t>七</w:t>
      </w:r>
      <w:r>
        <w:rPr>
          <w:rFonts w:hint="eastAsia" w:ascii="仿宋_GB2312" w:hAnsi="宋体" w:eastAsia="仿宋_GB2312"/>
          <w:sz w:val="28"/>
          <w:szCs w:val="28"/>
          <w:lang w:eastAsia="zh-CN"/>
        </w:rPr>
        <w:t>）房地产估价机构营业执照复印件；</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hAnsi="宋体" w:eastAsia="仿宋_GB2312"/>
          <w:sz w:val="28"/>
          <w:szCs w:val="28"/>
          <w:lang w:eastAsia="zh-CN"/>
        </w:rPr>
      </w:pPr>
      <w:r>
        <w:rPr>
          <w:rFonts w:hint="eastAsia" w:ascii="仿宋_GB2312" w:hAnsi="宋体" w:eastAsia="仿宋_GB2312"/>
          <w:sz w:val="28"/>
          <w:szCs w:val="28"/>
          <w:lang w:eastAsia="zh-CN"/>
        </w:rPr>
        <w:t>（</w:t>
      </w:r>
      <w:r>
        <w:rPr>
          <w:rFonts w:hint="eastAsia" w:ascii="仿宋_GB2312" w:hAnsi="宋体" w:eastAsia="仿宋_GB2312"/>
          <w:sz w:val="28"/>
          <w:szCs w:val="28"/>
          <w:lang w:val="en-US" w:eastAsia="zh-CN"/>
        </w:rPr>
        <w:t>八</w:t>
      </w:r>
      <w:r>
        <w:rPr>
          <w:rFonts w:hint="eastAsia" w:ascii="仿宋_GB2312" w:hAnsi="宋体" w:eastAsia="仿宋_GB2312"/>
          <w:sz w:val="28"/>
          <w:szCs w:val="28"/>
          <w:lang w:eastAsia="zh-CN"/>
        </w:rPr>
        <w:t>）房地产估价机构资质证书复印件；</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hAnsi="宋体" w:eastAsia="仿宋_GB2312"/>
          <w:sz w:val="28"/>
          <w:szCs w:val="28"/>
          <w:lang w:eastAsia="zh-CN"/>
        </w:rPr>
      </w:pPr>
      <w:r>
        <w:rPr>
          <w:rFonts w:hint="eastAsia" w:ascii="仿宋_GB2312" w:hAnsi="宋体" w:eastAsia="仿宋_GB2312"/>
          <w:sz w:val="28"/>
          <w:szCs w:val="28"/>
          <w:lang w:eastAsia="zh-CN"/>
        </w:rPr>
        <w:t>（</w:t>
      </w:r>
      <w:r>
        <w:rPr>
          <w:rFonts w:hint="eastAsia" w:ascii="仿宋_GB2312" w:hAnsi="宋体" w:eastAsia="仿宋_GB2312"/>
          <w:sz w:val="28"/>
          <w:szCs w:val="28"/>
          <w:lang w:val="en-US" w:eastAsia="zh-CN"/>
        </w:rPr>
        <w:t>九</w:t>
      </w:r>
      <w:r>
        <w:rPr>
          <w:rFonts w:hint="eastAsia" w:ascii="仿宋_GB2312" w:hAnsi="宋体" w:eastAsia="仿宋_GB2312"/>
          <w:sz w:val="28"/>
          <w:szCs w:val="28"/>
          <w:lang w:eastAsia="zh-CN"/>
        </w:rPr>
        <w:t>）注册房地产估价师注册证书复印件</w:t>
      </w:r>
    </w:p>
    <w:p>
      <w:pPr>
        <w:pageBreakBefore w:val="0"/>
        <w:widowControl w:val="0"/>
        <w:kinsoku/>
        <w:wordWrap/>
        <w:overflowPunct/>
        <w:topLinePunct w:val="0"/>
        <w:autoSpaceDE/>
        <w:autoSpaceDN/>
        <w:bidi w:val="0"/>
        <w:adjustRightInd w:val="0"/>
        <w:snapToGrid w:val="0"/>
        <w:spacing w:line="480" w:lineRule="exact"/>
        <w:textAlignment w:val="auto"/>
      </w:pPr>
    </w:p>
    <w:p>
      <w:pPr>
        <w:pageBreakBefore w:val="0"/>
        <w:widowControl w:val="0"/>
        <w:kinsoku/>
        <w:wordWrap/>
        <w:overflowPunct/>
        <w:topLinePunct w:val="0"/>
        <w:autoSpaceDE/>
        <w:autoSpaceDN/>
        <w:bidi w:val="0"/>
        <w:adjustRightInd w:val="0"/>
        <w:snapToGrid w:val="0"/>
        <w:spacing w:line="480" w:lineRule="exact"/>
        <w:textAlignment w:val="auto"/>
      </w:pPr>
    </w:p>
    <w:p>
      <w:pPr>
        <w:pageBreakBefore w:val="0"/>
        <w:widowControl w:val="0"/>
        <w:kinsoku/>
        <w:wordWrap/>
        <w:overflowPunct/>
        <w:topLinePunct w:val="0"/>
        <w:autoSpaceDE/>
        <w:autoSpaceDN/>
        <w:bidi w:val="0"/>
        <w:adjustRightInd w:val="0"/>
        <w:snapToGrid w:val="0"/>
        <w:spacing w:line="480" w:lineRule="exact"/>
        <w:textAlignment w:val="auto"/>
      </w:pPr>
    </w:p>
    <w:p>
      <w:pPr>
        <w:pageBreakBefore w:val="0"/>
        <w:widowControl w:val="0"/>
        <w:kinsoku/>
        <w:wordWrap/>
        <w:overflowPunct/>
        <w:topLinePunct w:val="0"/>
        <w:autoSpaceDE/>
        <w:autoSpaceDN/>
        <w:bidi w:val="0"/>
        <w:adjustRightInd w:val="0"/>
        <w:snapToGrid w:val="0"/>
        <w:spacing w:line="480" w:lineRule="exact"/>
        <w:textAlignment w:val="auto"/>
      </w:pPr>
    </w:p>
    <w:p>
      <w:pPr>
        <w:pageBreakBefore w:val="0"/>
        <w:widowControl w:val="0"/>
        <w:kinsoku/>
        <w:wordWrap/>
        <w:overflowPunct/>
        <w:topLinePunct w:val="0"/>
        <w:autoSpaceDE/>
        <w:autoSpaceDN/>
        <w:bidi w:val="0"/>
        <w:adjustRightInd w:val="0"/>
        <w:snapToGrid w:val="0"/>
        <w:spacing w:line="480" w:lineRule="exact"/>
        <w:textAlignment w:val="auto"/>
      </w:pPr>
    </w:p>
    <w:p>
      <w:pPr>
        <w:pageBreakBefore w:val="0"/>
        <w:widowControl w:val="0"/>
        <w:kinsoku/>
        <w:wordWrap/>
        <w:overflowPunct/>
        <w:topLinePunct w:val="0"/>
        <w:autoSpaceDE/>
        <w:autoSpaceDN/>
        <w:bidi w:val="0"/>
        <w:adjustRightInd w:val="0"/>
        <w:snapToGrid w:val="0"/>
        <w:spacing w:line="480" w:lineRule="exact"/>
        <w:textAlignment w:val="auto"/>
      </w:pPr>
    </w:p>
    <w:p>
      <w:pPr>
        <w:pageBreakBefore w:val="0"/>
        <w:widowControl w:val="0"/>
        <w:kinsoku/>
        <w:wordWrap/>
        <w:overflowPunct/>
        <w:topLinePunct w:val="0"/>
        <w:autoSpaceDE/>
        <w:autoSpaceDN/>
        <w:bidi w:val="0"/>
        <w:adjustRightInd w:val="0"/>
        <w:snapToGrid w:val="0"/>
        <w:spacing w:line="480" w:lineRule="exact"/>
        <w:textAlignment w:val="auto"/>
      </w:pPr>
    </w:p>
    <w:p>
      <w:pPr>
        <w:pageBreakBefore w:val="0"/>
        <w:widowControl w:val="0"/>
        <w:kinsoku/>
        <w:wordWrap/>
        <w:overflowPunct/>
        <w:topLinePunct w:val="0"/>
        <w:autoSpaceDE/>
        <w:autoSpaceDN/>
        <w:bidi w:val="0"/>
        <w:adjustRightInd w:val="0"/>
        <w:snapToGrid w:val="0"/>
        <w:spacing w:line="480" w:lineRule="exact"/>
        <w:textAlignment w:val="auto"/>
      </w:pPr>
    </w:p>
    <w:p>
      <w:pPr>
        <w:pageBreakBefore w:val="0"/>
        <w:widowControl w:val="0"/>
        <w:kinsoku/>
        <w:wordWrap/>
        <w:overflowPunct/>
        <w:topLinePunct w:val="0"/>
        <w:autoSpaceDE/>
        <w:autoSpaceDN/>
        <w:bidi w:val="0"/>
        <w:adjustRightInd w:val="0"/>
        <w:snapToGrid w:val="0"/>
        <w:spacing w:line="480" w:lineRule="exact"/>
        <w:textAlignment w:val="auto"/>
      </w:pPr>
    </w:p>
    <w:p>
      <w:pPr>
        <w:pageBreakBefore w:val="0"/>
        <w:widowControl w:val="0"/>
        <w:kinsoku/>
        <w:wordWrap/>
        <w:overflowPunct/>
        <w:topLinePunct w:val="0"/>
        <w:autoSpaceDE/>
        <w:autoSpaceDN/>
        <w:bidi w:val="0"/>
        <w:adjustRightInd w:val="0"/>
        <w:snapToGrid w:val="0"/>
        <w:spacing w:line="480" w:lineRule="exact"/>
        <w:textAlignment w:val="auto"/>
      </w:pPr>
    </w:p>
    <w:p>
      <w:pPr>
        <w:pageBreakBefore w:val="0"/>
        <w:widowControl w:val="0"/>
        <w:kinsoku/>
        <w:wordWrap/>
        <w:overflowPunct/>
        <w:topLinePunct w:val="0"/>
        <w:autoSpaceDE/>
        <w:autoSpaceDN/>
        <w:bidi w:val="0"/>
        <w:adjustRightInd w:val="0"/>
        <w:snapToGrid w:val="0"/>
        <w:spacing w:line="480" w:lineRule="exact"/>
        <w:textAlignment w:val="auto"/>
      </w:pPr>
    </w:p>
    <w:p>
      <w:pPr>
        <w:pageBreakBefore w:val="0"/>
        <w:widowControl w:val="0"/>
        <w:kinsoku/>
        <w:wordWrap/>
        <w:overflowPunct/>
        <w:topLinePunct w:val="0"/>
        <w:autoSpaceDE/>
        <w:autoSpaceDN/>
        <w:bidi w:val="0"/>
        <w:adjustRightInd w:val="0"/>
        <w:snapToGrid w:val="0"/>
        <w:spacing w:line="480" w:lineRule="exact"/>
        <w:textAlignment w:val="auto"/>
      </w:pPr>
    </w:p>
    <w:p>
      <w:pPr>
        <w:pageBreakBefore w:val="0"/>
        <w:widowControl w:val="0"/>
        <w:kinsoku/>
        <w:wordWrap/>
        <w:overflowPunct/>
        <w:topLinePunct w:val="0"/>
        <w:autoSpaceDE/>
        <w:autoSpaceDN/>
        <w:bidi w:val="0"/>
        <w:adjustRightInd w:val="0"/>
        <w:snapToGrid w:val="0"/>
        <w:spacing w:line="480" w:lineRule="exact"/>
        <w:textAlignment w:val="auto"/>
      </w:pPr>
    </w:p>
    <w:p>
      <w:pPr>
        <w:pageBreakBefore w:val="0"/>
        <w:widowControl w:val="0"/>
        <w:kinsoku/>
        <w:wordWrap/>
        <w:overflowPunct/>
        <w:topLinePunct w:val="0"/>
        <w:autoSpaceDE/>
        <w:autoSpaceDN/>
        <w:bidi w:val="0"/>
        <w:adjustRightInd w:val="0"/>
        <w:snapToGrid w:val="0"/>
        <w:spacing w:line="480" w:lineRule="exact"/>
        <w:jc w:val="center"/>
        <w:textAlignment w:val="auto"/>
        <w:rPr>
          <w:rFonts w:hint="eastAsia"/>
          <w:sz w:val="28"/>
          <w:szCs w:val="28"/>
          <w:lang w:eastAsia="zh-CN"/>
        </w:rPr>
      </w:pPr>
    </w:p>
    <w:p>
      <w:pPr>
        <w:pageBreakBefore w:val="0"/>
        <w:widowControl w:val="0"/>
        <w:kinsoku/>
        <w:wordWrap/>
        <w:overflowPunct/>
        <w:topLinePunct w:val="0"/>
        <w:autoSpaceDE/>
        <w:autoSpaceDN/>
        <w:bidi w:val="0"/>
        <w:adjustRightInd w:val="0"/>
        <w:snapToGrid w:val="0"/>
        <w:spacing w:line="480" w:lineRule="exact"/>
        <w:jc w:val="center"/>
        <w:textAlignment w:val="auto"/>
        <w:rPr>
          <w:rFonts w:hint="eastAsia"/>
          <w:sz w:val="28"/>
          <w:szCs w:val="28"/>
          <w:lang w:eastAsia="zh-CN"/>
        </w:rPr>
      </w:pPr>
    </w:p>
    <w:p>
      <w:pPr>
        <w:pageBreakBefore w:val="0"/>
        <w:widowControl w:val="0"/>
        <w:kinsoku/>
        <w:wordWrap/>
        <w:overflowPunct/>
        <w:topLinePunct w:val="0"/>
        <w:autoSpaceDE/>
        <w:autoSpaceDN/>
        <w:bidi w:val="0"/>
        <w:adjustRightInd w:val="0"/>
        <w:snapToGrid w:val="0"/>
        <w:spacing w:line="480" w:lineRule="exact"/>
        <w:jc w:val="center"/>
        <w:textAlignment w:val="auto"/>
        <w:rPr>
          <w:rFonts w:hint="eastAsia"/>
          <w:sz w:val="28"/>
          <w:szCs w:val="28"/>
          <w:lang w:eastAsia="zh-CN"/>
        </w:rPr>
      </w:pPr>
    </w:p>
    <w:p>
      <w:pPr>
        <w:pageBreakBefore w:val="0"/>
        <w:widowControl w:val="0"/>
        <w:kinsoku/>
        <w:wordWrap/>
        <w:overflowPunct/>
        <w:topLinePunct w:val="0"/>
        <w:autoSpaceDE/>
        <w:autoSpaceDN/>
        <w:bidi w:val="0"/>
        <w:adjustRightInd w:val="0"/>
        <w:snapToGrid w:val="0"/>
        <w:spacing w:line="480" w:lineRule="exact"/>
        <w:jc w:val="center"/>
        <w:textAlignment w:val="auto"/>
        <w:rPr>
          <w:rFonts w:hint="eastAsia" w:eastAsia="宋体"/>
          <w:sz w:val="28"/>
          <w:szCs w:val="28"/>
          <w:lang w:val="en-US" w:eastAsia="zh-CN"/>
        </w:rPr>
      </w:pPr>
      <w:r>
        <w:rPr>
          <w:rFonts w:hint="eastAsia"/>
          <w:sz w:val="28"/>
          <w:szCs w:val="28"/>
          <w:lang w:eastAsia="zh-CN"/>
        </w:rPr>
        <w:t>估价对象照片</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58"/>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5" w:hRule="atLeast"/>
        </w:trPr>
        <w:tc>
          <w:tcPr>
            <w:tcW w:w="4258" w:type="dxa"/>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sz w:val="28"/>
                <w:szCs w:val="28"/>
                <w:vertAlign w:val="baseline"/>
                <w:lang w:eastAsia="zh-CN"/>
              </w:rPr>
            </w:pPr>
            <w:r>
              <w:rPr>
                <w:rFonts w:hint="eastAsia"/>
                <w:sz w:val="28"/>
                <w:szCs w:val="28"/>
                <w:vertAlign w:val="baseline"/>
                <w:lang w:eastAsia="zh-CN"/>
              </w:rPr>
              <w:drawing>
                <wp:anchor distT="0" distB="0" distL="114300" distR="114300" simplePos="0" relativeHeight="251663360" behindDoc="0" locked="0" layoutInCell="1" allowOverlap="1">
                  <wp:simplePos x="0" y="0"/>
                  <wp:positionH relativeFrom="column">
                    <wp:posOffset>-46990</wp:posOffset>
                  </wp:positionH>
                  <wp:positionV relativeFrom="paragraph">
                    <wp:posOffset>0</wp:posOffset>
                  </wp:positionV>
                  <wp:extent cx="2759075" cy="2087880"/>
                  <wp:effectExtent l="0" t="0" r="3175" b="7620"/>
                  <wp:wrapNone/>
                  <wp:docPr id="5" name="图片 5" descr="微信图片_20221031100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221031100655"/>
                          <pic:cNvPicPr>
                            <a:picLocks noChangeAspect="1"/>
                          </pic:cNvPicPr>
                        </pic:nvPicPr>
                        <pic:blipFill>
                          <a:blip r:embed="rId12"/>
                          <a:stretch>
                            <a:fillRect/>
                          </a:stretch>
                        </pic:blipFill>
                        <pic:spPr>
                          <a:xfrm>
                            <a:off x="0" y="0"/>
                            <a:ext cx="2759075" cy="2087880"/>
                          </a:xfrm>
                          <a:prstGeom prst="rect">
                            <a:avLst/>
                          </a:prstGeom>
                        </pic:spPr>
                      </pic:pic>
                    </a:graphicData>
                  </a:graphic>
                </wp:anchor>
              </w:drawing>
            </w:r>
          </w:p>
        </w:tc>
        <w:tc>
          <w:tcPr>
            <w:tcW w:w="4536" w:type="dxa"/>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sz w:val="28"/>
                <w:szCs w:val="28"/>
                <w:vertAlign w:val="baseline"/>
                <w:lang w:eastAsia="zh-CN"/>
              </w:rPr>
            </w:pPr>
            <w:r>
              <w:rPr>
                <w:rFonts w:hint="eastAsia"/>
                <w:sz w:val="28"/>
                <w:szCs w:val="28"/>
                <w:vertAlign w:val="baseline"/>
                <w:lang w:eastAsia="zh-CN"/>
              </w:rPr>
              <w:drawing>
                <wp:inline distT="0" distB="0" distL="114300" distR="114300">
                  <wp:extent cx="2734310" cy="2072640"/>
                  <wp:effectExtent l="0" t="0" r="8890" b="3810"/>
                  <wp:docPr id="6" name="图片 6" descr="微信图片_202210311006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微信图片_202210311006554"/>
                          <pic:cNvPicPr>
                            <a:picLocks noChangeAspect="1"/>
                          </pic:cNvPicPr>
                        </pic:nvPicPr>
                        <pic:blipFill>
                          <a:blip r:embed="rId13"/>
                          <a:stretch>
                            <a:fillRect/>
                          </a:stretch>
                        </pic:blipFill>
                        <pic:spPr>
                          <a:xfrm>
                            <a:off x="0" y="0"/>
                            <a:ext cx="2734310" cy="207264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9" w:hRule="atLeast"/>
        </w:trPr>
        <w:tc>
          <w:tcPr>
            <w:tcW w:w="4258" w:type="dxa"/>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sz w:val="28"/>
                <w:szCs w:val="28"/>
                <w:vertAlign w:val="baseline"/>
                <w:lang w:eastAsia="zh-CN"/>
              </w:rPr>
            </w:pPr>
            <w:r>
              <w:rPr>
                <w:rFonts w:hint="eastAsia"/>
                <w:sz w:val="28"/>
                <w:szCs w:val="28"/>
                <w:vertAlign w:val="baseline"/>
                <w:lang w:eastAsia="zh-CN"/>
              </w:rPr>
              <w:drawing>
                <wp:anchor distT="0" distB="0" distL="114300" distR="114300" simplePos="0" relativeHeight="251665408" behindDoc="0" locked="0" layoutInCell="1" allowOverlap="1">
                  <wp:simplePos x="0" y="0"/>
                  <wp:positionH relativeFrom="column">
                    <wp:posOffset>-57150</wp:posOffset>
                  </wp:positionH>
                  <wp:positionV relativeFrom="paragraph">
                    <wp:posOffset>47625</wp:posOffset>
                  </wp:positionV>
                  <wp:extent cx="2727325" cy="2050415"/>
                  <wp:effectExtent l="0" t="0" r="15875" b="6985"/>
                  <wp:wrapNone/>
                  <wp:docPr id="8" name="图片 8" descr="微信图片_202210311006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微信图片_202210311006555"/>
                          <pic:cNvPicPr>
                            <a:picLocks noChangeAspect="1"/>
                          </pic:cNvPicPr>
                        </pic:nvPicPr>
                        <pic:blipFill>
                          <a:blip r:embed="rId14"/>
                          <a:stretch>
                            <a:fillRect/>
                          </a:stretch>
                        </pic:blipFill>
                        <pic:spPr>
                          <a:xfrm>
                            <a:off x="0" y="0"/>
                            <a:ext cx="2727325" cy="2050415"/>
                          </a:xfrm>
                          <a:prstGeom prst="rect">
                            <a:avLst/>
                          </a:prstGeom>
                        </pic:spPr>
                      </pic:pic>
                    </a:graphicData>
                  </a:graphic>
                </wp:anchor>
              </w:drawing>
            </w:r>
          </w:p>
        </w:tc>
        <w:tc>
          <w:tcPr>
            <w:tcW w:w="4536" w:type="dxa"/>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sz w:val="28"/>
                <w:szCs w:val="28"/>
                <w:vertAlign w:val="baseline"/>
                <w:lang w:eastAsia="zh-CN"/>
              </w:rPr>
            </w:pPr>
            <w:r>
              <w:rPr>
                <w:rFonts w:hint="eastAsia"/>
                <w:sz w:val="28"/>
                <w:szCs w:val="28"/>
                <w:vertAlign w:val="baseline"/>
                <w:lang w:eastAsia="zh-CN"/>
              </w:rPr>
              <w:drawing>
                <wp:anchor distT="0" distB="0" distL="114300" distR="114300" simplePos="0" relativeHeight="251664384" behindDoc="0" locked="0" layoutInCell="1" allowOverlap="1">
                  <wp:simplePos x="0" y="0"/>
                  <wp:positionH relativeFrom="column">
                    <wp:posOffset>-57150</wp:posOffset>
                  </wp:positionH>
                  <wp:positionV relativeFrom="paragraph">
                    <wp:posOffset>0</wp:posOffset>
                  </wp:positionV>
                  <wp:extent cx="2857500" cy="2092325"/>
                  <wp:effectExtent l="0" t="0" r="0" b="3175"/>
                  <wp:wrapNone/>
                  <wp:docPr id="9" name="图片 9" descr="微信图片_202210311006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微信图片_202210311006551"/>
                          <pic:cNvPicPr>
                            <a:picLocks noChangeAspect="1"/>
                          </pic:cNvPicPr>
                        </pic:nvPicPr>
                        <pic:blipFill>
                          <a:blip r:embed="rId15"/>
                          <a:stretch>
                            <a:fillRect/>
                          </a:stretch>
                        </pic:blipFill>
                        <pic:spPr>
                          <a:xfrm>
                            <a:off x="0" y="0"/>
                            <a:ext cx="2857500" cy="2092325"/>
                          </a:xfrm>
                          <a:prstGeom prst="rect">
                            <a:avLst/>
                          </a:prstGeom>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9" w:hRule="atLeast"/>
        </w:trPr>
        <w:tc>
          <w:tcPr>
            <w:tcW w:w="4258" w:type="dxa"/>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sz w:val="28"/>
                <w:szCs w:val="28"/>
                <w:vertAlign w:val="baseline"/>
                <w:lang w:eastAsia="zh-CN"/>
              </w:rPr>
            </w:pPr>
            <w:r>
              <w:rPr>
                <w:rFonts w:hint="eastAsia"/>
                <w:sz w:val="28"/>
                <w:szCs w:val="28"/>
                <w:vertAlign w:val="baseline"/>
                <w:lang w:eastAsia="zh-CN"/>
              </w:rPr>
              <w:drawing>
                <wp:anchor distT="0" distB="0" distL="114300" distR="114300" simplePos="0" relativeHeight="251666432" behindDoc="0" locked="0" layoutInCell="1" allowOverlap="1">
                  <wp:simplePos x="0" y="0"/>
                  <wp:positionH relativeFrom="column">
                    <wp:posOffset>-66040</wp:posOffset>
                  </wp:positionH>
                  <wp:positionV relativeFrom="paragraph">
                    <wp:posOffset>0</wp:posOffset>
                  </wp:positionV>
                  <wp:extent cx="2707640" cy="2117725"/>
                  <wp:effectExtent l="0" t="0" r="16510" b="15875"/>
                  <wp:wrapNone/>
                  <wp:docPr id="10" name="图片 10" descr="微信图片_202210311006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图片_202210311006552"/>
                          <pic:cNvPicPr>
                            <a:picLocks noChangeAspect="1"/>
                          </pic:cNvPicPr>
                        </pic:nvPicPr>
                        <pic:blipFill>
                          <a:blip r:embed="rId16"/>
                          <a:stretch>
                            <a:fillRect/>
                          </a:stretch>
                        </pic:blipFill>
                        <pic:spPr>
                          <a:xfrm>
                            <a:off x="0" y="0"/>
                            <a:ext cx="2707640" cy="2117725"/>
                          </a:xfrm>
                          <a:prstGeom prst="rect">
                            <a:avLst/>
                          </a:prstGeom>
                        </pic:spPr>
                      </pic:pic>
                    </a:graphicData>
                  </a:graphic>
                </wp:anchor>
              </w:drawing>
            </w:r>
          </w:p>
        </w:tc>
        <w:tc>
          <w:tcPr>
            <w:tcW w:w="4536" w:type="dxa"/>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sz w:val="28"/>
                <w:szCs w:val="28"/>
                <w:vertAlign w:val="baseline"/>
                <w:lang w:eastAsia="zh-CN"/>
              </w:rPr>
            </w:pPr>
            <w:r>
              <w:rPr>
                <w:rFonts w:hint="eastAsia"/>
                <w:sz w:val="28"/>
                <w:szCs w:val="28"/>
                <w:vertAlign w:val="baseline"/>
                <w:lang w:eastAsia="zh-CN"/>
              </w:rPr>
              <w:drawing>
                <wp:anchor distT="0" distB="0" distL="114300" distR="114300" simplePos="0" relativeHeight="251667456" behindDoc="0" locked="0" layoutInCell="1" allowOverlap="1">
                  <wp:simplePos x="0" y="0"/>
                  <wp:positionH relativeFrom="column">
                    <wp:posOffset>-38100</wp:posOffset>
                  </wp:positionH>
                  <wp:positionV relativeFrom="paragraph">
                    <wp:posOffset>0</wp:posOffset>
                  </wp:positionV>
                  <wp:extent cx="2820035" cy="2111375"/>
                  <wp:effectExtent l="0" t="0" r="18415" b="3175"/>
                  <wp:wrapNone/>
                  <wp:docPr id="11" name="图片 11" descr="微信图片_202210311006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微信图片_202210311006553"/>
                          <pic:cNvPicPr>
                            <a:picLocks noChangeAspect="1"/>
                          </pic:cNvPicPr>
                        </pic:nvPicPr>
                        <pic:blipFill>
                          <a:blip r:embed="rId17"/>
                          <a:stretch>
                            <a:fillRect/>
                          </a:stretch>
                        </pic:blipFill>
                        <pic:spPr>
                          <a:xfrm>
                            <a:off x="0" y="0"/>
                            <a:ext cx="2820035" cy="2111375"/>
                          </a:xfrm>
                          <a:prstGeom prst="rect">
                            <a:avLst/>
                          </a:prstGeom>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794" w:type="dxa"/>
            <w:gridSpan w:val="2"/>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sz w:val="28"/>
                <w:szCs w:val="28"/>
                <w:vertAlign w:val="baseline"/>
                <w:lang w:val="en-US" w:eastAsia="zh-CN"/>
              </w:rPr>
            </w:pPr>
          </w:p>
        </w:tc>
      </w:tr>
    </w:tbl>
    <w:p>
      <w:pPr>
        <w:pageBreakBefore w:val="0"/>
        <w:widowControl w:val="0"/>
        <w:kinsoku/>
        <w:wordWrap/>
        <w:overflowPunct/>
        <w:topLinePunct w:val="0"/>
        <w:autoSpaceDE/>
        <w:autoSpaceDN/>
        <w:bidi w:val="0"/>
        <w:adjustRightInd w:val="0"/>
        <w:snapToGrid w:val="0"/>
        <w:spacing w:line="480" w:lineRule="exact"/>
        <w:jc w:val="center"/>
        <w:textAlignment w:val="auto"/>
        <w:rPr>
          <w:rFonts w:hint="eastAsia"/>
          <w:sz w:val="28"/>
          <w:szCs w:val="28"/>
          <w:lang w:eastAsia="zh-CN"/>
        </w:rPr>
      </w:pPr>
    </w:p>
    <w:p>
      <w:pPr>
        <w:pageBreakBefore w:val="0"/>
        <w:widowControl w:val="0"/>
        <w:kinsoku/>
        <w:wordWrap/>
        <w:overflowPunct/>
        <w:topLinePunct w:val="0"/>
        <w:autoSpaceDE/>
        <w:autoSpaceDN/>
        <w:bidi w:val="0"/>
        <w:adjustRightInd w:val="0"/>
        <w:snapToGrid w:val="0"/>
        <w:spacing w:line="480" w:lineRule="exact"/>
        <w:jc w:val="center"/>
        <w:textAlignment w:val="auto"/>
        <w:rPr>
          <w:rFonts w:hint="eastAsia"/>
          <w:sz w:val="28"/>
          <w:szCs w:val="28"/>
          <w:lang w:eastAsia="zh-CN"/>
        </w:rPr>
      </w:pPr>
    </w:p>
    <w:p>
      <w:pPr>
        <w:pageBreakBefore w:val="0"/>
        <w:widowControl w:val="0"/>
        <w:kinsoku/>
        <w:wordWrap/>
        <w:overflowPunct/>
        <w:topLinePunct w:val="0"/>
        <w:autoSpaceDE/>
        <w:autoSpaceDN/>
        <w:bidi w:val="0"/>
        <w:adjustRightInd w:val="0"/>
        <w:snapToGrid w:val="0"/>
        <w:spacing w:line="480" w:lineRule="exact"/>
        <w:jc w:val="center"/>
        <w:textAlignment w:val="auto"/>
        <w:rPr>
          <w:rFonts w:hint="eastAsia"/>
          <w:sz w:val="28"/>
          <w:szCs w:val="28"/>
          <w:lang w:eastAsia="zh-CN"/>
        </w:rPr>
      </w:pPr>
    </w:p>
    <w:p>
      <w:pPr>
        <w:pageBreakBefore w:val="0"/>
        <w:widowControl w:val="0"/>
        <w:kinsoku/>
        <w:wordWrap/>
        <w:overflowPunct/>
        <w:topLinePunct w:val="0"/>
        <w:autoSpaceDE/>
        <w:autoSpaceDN/>
        <w:bidi w:val="0"/>
        <w:adjustRightInd w:val="0"/>
        <w:snapToGrid w:val="0"/>
        <w:spacing w:line="480" w:lineRule="exact"/>
        <w:jc w:val="center"/>
        <w:textAlignment w:val="auto"/>
        <w:rPr>
          <w:rFonts w:hint="eastAsia"/>
          <w:sz w:val="28"/>
          <w:szCs w:val="28"/>
          <w:lang w:eastAsia="zh-CN"/>
        </w:rPr>
      </w:pPr>
    </w:p>
    <w:p>
      <w:pPr>
        <w:pageBreakBefore w:val="0"/>
        <w:widowControl w:val="0"/>
        <w:kinsoku/>
        <w:wordWrap/>
        <w:overflowPunct/>
        <w:topLinePunct w:val="0"/>
        <w:autoSpaceDE/>
        <w:autoSpaceDN/>
        <w:bidi w:val="0"/>
        <w:adjustRightInd w:val="0"/>
        <w:snapToGrid w:val="0"/>
        <w:spacing w:line="480" w:lineRule="exact"/>
        <w:jc w:val="center"/>
        <w:textAlignment w:val="auto"/>
        <w:rPr>
          <w:rFonts w:hint="eastAsia"/>
          <w:sz w:val="28"/>
          <w:szCs w:val="28"/>
          <w:lang w:eastAsia="zh-CN"/>
        </w:rPr>
      </w:pPr>
    </w:p>
    <w:p>
      <w:pPr>
        <w:pageBreakBefore w:val="0"/>
        <w:widowControl w:val="0"/>
        <w:kinsoku/>
        <w:wordWrap/>
        <w:overflowPunct/>
        <w:topLinePunct w:val="0"/>
        <w:autoSpaceDE/>
        <w:autoSpaceDN/>
        <w:bidi w:val="0"/>
        <w:adjustRightInd w:val="0"/>
        <w:snapToGrid w:val="0"/>
        <w:spacing w:line="480" w:lineRule="exact"/>
        <w:jc w:val="center"/>
        <w:textAlignment w:val="auto"/>
        <w:rPr>
          <w:rFonts w:hint="eastAsia"/>
          <w:sz w:val="28"/>
          <w:szCs w:val="28"/>
          <w:lang w:eastAsia="zh-CN"/>
        </w:rPr>
      </w:pPr>
    </w:p>
    <w:p>
      <w:pPr>
        <w:pageBreakBefore w:val="0"/>
        <w:widowControl w:val="0"/>
        <w:kinsoku/>
        <w:wordWrap/>
        <w:overflowPunct/>
        <w:topLinePunct w:val="0"/>
        <w:autoSpaceDE/>
        <w:autoSpaceDN/>
        <w:bidi w:val="0"/>
        <w:adjustRightInd w:val="0"/>
        <w:snapToGrid w:val="0"/>
        <w:spacing w:line="480" w:lineRule="exact"/>
        <w:jc w:val="center"/>
        <w:textAlignment w:val="auto"/>
        <w:rPr>
          <w:rFonts w:hint="eastAsia"/>
          <w:sz w:val="28"/>
          <w:szCs w:val="28"/>
          <w:lang w:eastAsia="zh-CN"/>
        </w:rPr>
      </w:pPr>
      <w:r>
        <w:rPr>
          <w:rFonts w:hint="eastAsia"/>
          <w:sz w:val="28"/>
          <w:szCs w:val="28"/>
          <w:lang w:eastAsia="zh-CN"/>
        </w:rPr>
        <w:t>估价对象位置示意图</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sz w:val="28"/>
          <w:szCs w:val="28"/>
          <w:lang w:eastAsia="zh-CN"/>
        </w:rPr>
      </w:pPr>
      <w:r>
        <w:rPr>
          <w:sz w:val="21"/>
        </w:rPr>
        <mc:AlternateContent>
          <mc:Choice Requires="wps">
            <w:drawing>
              <wp:anchor distT="0" distB="0" distL="114300" distR="114300" simplePos="0" relativeHeight="251662336" behindDoc="0" locked="0" layoutInCell="1" allowOverlap="1">
                <wp:simplePos x="0" y="0"/>
                <wp:positionH relativeFrom="column">
                  <wp:posOffset>1973580</wp:posOffset>
                </wp:positionH>
                <wp:positionV relativeFrom="paragraph">
                  <wp:posOffset>581660</wp:posOffset>
                </wp:positionV>
                <wp:extent cx="914400" cy="325120"/>
                <wp:effectExtent l="6350" t="6350" r="12700" b="335280"/>
                <wp:wrapNone/>
                <wp:docPr id="15" name="矩形标注 15"/>
                <wp:cNvGraphicFramePr/>
                <a:graphic xmlns:a="http://schemas.openxmlformats.org/drawingml/2006/main">
                  <a:graphicData uri="http://schemas.microsoft.com/office/word/2010/wordprocessingShape">
                    <wps:wsp>
                      <wps:cNvSpPr/>
                      <wps:spPr>
                        <a:xfrm>
                          <a:off x="3808095" y="2684780"/>
                          <a:ext cx="914400" cy="325120"/>
                        </a:xfrm>
                        <a:prstGeom prst="wedgeRectCallout">
                          <a:avLst>
                            <a:gd name="adj1" fmla="val -42500"/>
                            <a:gd name="adj2" fmla="val 144671"/>
                          </a:avLst>
                        </a:prstGeom>
                      </wps:spPr>
                      <wps:style>
                        <a:lnRef idx="2">
                          <a:schemeClr val="dk1"/>
                        </a:lnRef>
                        <a:fillRef idx="1">
                          <a:schemeClr val="lt1"/>
                        </a:fillRef>
                        <a:effectRef idx="0">
                          <a:schemeClr val="dk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00" w:lineRule="exact"/>
                              <w:jc w:val="both"/>
                              <w:textAlignment w:val="auto"/>
                            </w:pPr>
                            <w:r>
                              <w:rPr>
                                <w:rFonts w:hint="eastAsia"/>
                                <w:sz w:val="18"/>
                                <w:szCs w:val="18"/>
                                <w:lang w:eastAsia="zh-CN"/>
                              </w:rPr>
                              <w:t>估价对象位置</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1" type="#_x0000_t61" style="position:absolute;left:0pt;margin-left:155.4pt;margin-top:45.8pt;height:25.6pt;width:72pt;z-index:251662336;v-text-anchor:middle;mso-width-relative:page;mso-height-relative:page;" fillcolor="#FFFFFF [3201]" filled="t" stroked="t" coordsize="21600,21600" o:gfxdata="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" adj="1620,42049">
                <v:fill on="t" focussize="0,0"/>
                <v:stroke weight="1pt" color="#000000 [3200]"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both"/>
                        <w:textAlignment w:val="auto"/>
                      </w:pPr>
                      <w:r>
                        <w:rPr>
                          <w:rFonts w:hint="eastAsia"/>
                          <w:sz w:val="18"/>
                          <w:szCs w:val="18"/>
                          <w:lang w:eastAsia="zh-CN"/>
                        </w:rPr>
                        <w:t>估价对象位置</w:t>
                      </w:r>
                    </w:p>
                  </w:txbxContent>
                </v:textbox>
              </v:shape>
            </w:pict>
          </mc:Fallback>
        </mc:AlternateContent>
      </w:r>
      <w:r>
        <w:drawing>
          <wp:anchor distT="0" distB="0" distL="114300" distR="114300" simplePos="0" relativeHeight="251663360" behindDoc="1" locked="0" layoutInCell="1" allowOverlap="1">
            <wp:simplePos x="0" y="0"/>
            <wp:positionH relativeFrom="column">
              <wp:posOffset>0</wp:posOffset>
            </wp:positionH>
            <wp:positionV relativeFrom="paragraph">
              <wp:posOffset>0</wp:posOffset>
            </wp:positionV>
            <wp:extent cx="5441315" cy="3784600"/>
            <wp:effectExtent l="0" t="0" r="6985" b="635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8"/>
                    <a:stretch>
                      <a:fillRect/>
                    </a:stretch>
                  </pic:blipFill>
                  <pic:spPr>
                    <a:xfrm>
                      <a:off x="0" y="0"/>
                      <a:ext cx="5441315" cy="3784600"/>
                    </a:xfrm>
                    <a:prstGeom prst="rect">
                      <a:avLst/>
                    </a:prstGeom>
                    <a:noFill/>
                    <a:ln>
                      <a:noFill/>
                    </a:ln>
                  </pic:spPr>
                </pic:pic>
              </a:graphicData>
            </a:graphic>
          </wp:anchor>
        </w:drawing>
      </w:r>
    </w:p>
    <w:sectPr>
      <w:footerReference r:id="rId8" w:type="first"/>
      <w:footerReference r:id="rId7" w:type="default"/>
      <w:pgSz w:w="11906" w:h="16838"/>
      <w:pgMar w:top="1714" w:right="1531" w:bottom="1091" w:left="1797" w:header="964" w:footer="936"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细黑">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sz w:val="24"/>
      </w:rPr>
    </w:pPr>
    <w:r>
      <w:rPr>
        <w:sz w:val="2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sz w:val="24"/>
                            </w:rPr>
                            <w:t xml:space="preserve">- </w:t>
                          </w:r>
                          <w:r>
                            <w:rPr>
                              <w:sz w:val="24"/>
                            </w:rPr>
                            <w:fldChar w:fldCharType="begin"/>
                          </w:r>
                          <w:r>
                            <w:rPr>
                              <w:sz w:val="24"/>
                            </w:rPr>
                            <w:instrText xml:space="preserve"> PAGE </w:instrText>
                          </w:r>
                          <w:r>
                            <w:rPr>
                              <w:sz w:val="24"/>
                            </w:rPr>
                            <w:fldChar w:fldCharType="separate"/>
                          </w:r>
                          <w:r>
                            <w:rPr>
                              <w:sz w:val="24"/>
                            </w:rPr>
                            <w:t>24</w:t>
                          </w:r>
                          <w:r>
                            <w:rPr>
                              <w:sz w:val="24"/>
                            </w:rPr>
                            <w:fldChar w:fldCharType="end"/>
                          </w:r>
                          <w:r>
                            <w:rPr>
                              <w:sz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7"/>
                    </w:pPr>
                    <w:r>
                      <w:rPr>
                        <w:sz w:val="24"/>
                      </w:rPr>
                      <w:t xml:space="preserve">- </w:t>
                    </w:r>
                    <w:r>
                      <w:rPr>
                        <w:sz w:val="24"/>
                      </w:rPr>
                      <w:fldChar w:fldCharType="begin"/>
                    </w:r>
                    <w:r>
                      <w:rPr>
                        <w:sz w:val="24"/>
                      </w:rPr>
                      <w:instrText xml:space="preserve"> PAGE </w:instrText>
                    </w:r>
                    <w:r>
                      <w:rPr>
                        <w:sz w:val="24"/>
                      </w:rPr>
                      <w:fldChar w:fldCharType="separate"/>
                    </w:r>
                    <w:r>
                      <w:rPr>
                        <w:sz w:val="24"/>
                      </w:rPr>
                      <w:t>24</w:t>
                    </w:r>
                    <w:r>
                      <w:rPr>
                        <w:sz w:val="24"/>
                      </w:rPr>
                      <w:fldChar w:fldCharType="end"/>
                    </w:r>
                    <w:r>
                      <w:rPr>
                        <w:sz w:val="24"/>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sz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sz w:val="24"/>
                            </w:rPr>
                            <w:t xml:space="preserve">- </w:t>
                          </w:r>
                          <w:r>
                            <w:rPr>
                              <w:sz w:val="24"/>
                            </w:rPr>
                            <w:fldChar w:fldCharType="begin"/>
                          </w:r>
                          <w:r>
                            <w:rPr>
                              <w:sz w:val="24"/>
                            </w:rPr>
                            <w:instrText xml:space="preserve"> PAGE </w:instrText>
                          </w:r>
                          <w:r>
                            <w:rPr>
                              <w:sz w:val="24"/>
                            </w:rPr>
                            <w:fldChar w:fldCharType="separate"/>
                          </w:r>
                          <w:r>
                            <w:rPr>
                              <w:sz w:val="24"/>
                            </w:rPr>
                            <w:t>24</w:t>
                          </w:r>
                          <w:r>
                            <w:rPr>
                              <w:sz w:val="24"/>
                            </w:rPr>
                            <w:fldChar w:fldCharType="end"/>
                          </w:r>
                          <w:r>
                            <w:rPr>
                              <w:sz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7"/>
                    </w:pPr>
                    <w:r>
                      <w:rPr>
                        <w:sz w:val="24"/>
                      </w:rPr>
                      <w:t xml:space="preserve">- </w:t>
                    </w:r>
                    <w:r>
                      <w:rPr>
                        <w:sz w:val="24"/>
                      </w:rPr>
                      <w:fldChar w:fldCharType="begin"/>
                    </w:r>
                    <w:r>
                      <w:rPr>
                        <w:sz w:val="24"/>
                      </w:rPr>
                      <w:instrText xml:space="preserve"> PAGE </w:instrText>
                    </w:r>
                    <w:r>
                      <w:rPr>
                        <w:sz w:val="24"/>
                      </w:rPr>
                      <w:fldChar w:fldCharType="separate"/>
                    </w:r>
                    <w:r>
                      <w:rPr>
                        <w:sz w:val="24"/>
                      </w:rPr>
                      <w:t>24</w:t>
                    </w:r>
                    <w:r>
                      <w:rPr>
                        <w:sz w:val="24"/>
                      </w:rPr>
                      <w:fldChar w:fldCharType="end"/>
                    </w:r>
                    <w:r>
                      <w:rPr>
                        <w:sz w:val="24"/>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39</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39</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none" w:color="auto" w:sz="0" w:space="1"/>
        <w:left w:val="none" w:color="auto" w:sz="0" w:space="4"/>
        <w:bottom w:val="single" w:color="auto" w:sz="4" w:space="1"/>
        <w:right w:val="none" w:color="auto" w:sz="0" w:space="4"/>
      </w:pBdr>
      <w:tabs>
        <w:tab w:val="right" w:pos="9180"/>
        <w:tab w:val="clear" w:pos="8306"/>
      </w:tabs>
      <w:spacing w:line="0" w:lineRule="atLeast"/>
      <w:jc w:val="both"/>
      <w:rPr>
        <w:rFonts w:ascii="仿宋_GB2312" w:eastAsia="仿宋_GB2312"/>
        <w:sz w:val="21"/>
        <w:szCs w:val="21"/>
      </w:rPr>
    </w:pPr>
    <w:r>
      <w:rPr>
        <w:rFonts w:hint="eastAsia"/>
      </w:rPr>
      <w:drawing>
        <wp:anchor distT="0" distB="0" distL="114300" distR="114300" simplePos="0" relativeHeight="251664384" behindDoc="1" locked="0" layoutInCell="1" allowOverlap="1">
          <wp:simplePos x="0" y="0"/>
          <wp:positionH relativeFrom="column">
            <wp:posOffset>35560</wp:posOffset>
          </wp:positionH>
          <wp:positionV relativeFrom="paragraph">
            <wp:posOffset>59055</wp:posOffset>
          </wp:positionV>
          <wp:extent cx="703580" cy="426085"/>
          <wp:effectExtent l="0" t="0" r="1270" b="12065"/>
          <wp:wrapNone/>
          <wp:docPr id="4" name="图片 4"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片1"/>
                  <pic:cNvPicPr>
                    <a:picLocks noChangeAspect="1"/>
                  </pic:cNvPicPr>
                </pic:nvPicPr>
                <pic:blipFill>
                  <a:blip r:embed="rId1"/>
                  <a:stretch>
                    <a:fillRect/>
                  </a:stretch>
                </pic:blipFill>
                <pic:spPr>
                  <a:xfrm>
                    <a:off x="0" y="0"/>
                    <a:ext cx="703580" cy="426085"/>
                  </a:xfrm>
                  <a:prstGeom prst="rect">
                    <a:avLst/>
                  </a:prstGeom>
                  <a:noFill/>
                  <a:ln>
                    <a:noFill/>
                  </a:ln>
                </pic:spPr>
              </pic:pic>
            </a:graphicData>
          </a:graphic>
        </wp:anchor>
      </w:drawing>
    </w:r>
  </w:p>
  <w:p>
    <w:pPr>
      <w:pStyle w:val="8"/>
      <w:keepNext w:val="0"/>
      <w:keepLines w:val="0"/>
      <w:pageBreakBefore w:val="0"/>
      <w:widowControl w:val="0"/>
      <w:pBdr>
        <w:top w:val="none" w:color="auto" w:sz="0" w:space="1"/>
        <w:left w:val="none" w:color="auto" w:sz="0" w:space="4"/>
        <w:bottom w:val="single" w:color="auto" w:sz="4" w:space="1"/>
        <w:right w:val="none" w:color="auto" w:sz="0" w:space="4"/>
      </w:pBdr>
      <w:tabs>
        <w:tab w:val="right" w:pos="9180"/>
        <w:tab w:val="clear" w:pos="8306"/>
      </w:tabs>
      <w:kinsoku/>
      <w:wordWrap/>
      <w:overflowPunct/>
      <w:topLinePunct w:val="0"/>
      <w:autoSpaceDE/>
      <w:autoSpaceDN/>
      <w:bidi w:val="0"/>
      <w:adjustRightInd w:val="0"/>
      <w:snapToGrid w:val="0"/>
      <w:spacing w:line="0" w:lineRule="atLeast"/>
      <w:ind w:right="0" w:rightChars="0" w:firstLine="720"/>
      <w:jc w:val="right"/>
      <w:textAlignment w:val="baseline"/>
      <w:outlineLvl w:val="9"/>
      <w:rPr>
        <w:rFonts w:hint="eastAsia"/>
        <w:spacing w:val="45"/>
        <w:lang w:val="en-US" w:eastAsia="zh-CN"/>
      </w:rPr>
    </w:pPr>
    <w:r>
      <w:rPr>
        <w:rFonts w:hint="eastAsia"/>
        <w:spacing w:val="45"/>
        <w:lang w:eastAsia="zh-CN"/>
      </w:rPr>
      <w:t>江西万恒房地产资产评估咨询有限公司</w:t>
    </w:r>
    <w:r>
      <w:rPr>
        <w:rFonts w:hint="eastAsia"/>
        <w:spacing w:val="45"/>
        <w:lang w:val="en-US" w:eastAsia="zh-CN"/>
      </w:rPr>
      <w:t xml:space="preserve">                   </w:t>
    </w:r>
  </w:p>
  <w:p>
    <w:pPr>
      <w:pStyle w:val="8"/>
      <w:keepNext w:val="0"/>
      <w:keepLines w:val="0"/>
      <w:pageBreakBefore w:val="0"/>
      <w:widowControl w:val="0"/>
      <w:pBdr>
        <w:top w:val="none" w:color="auto" w:sz="0" w:space="1"/>
        <w:left w:val="none" w:color="auto" w:sz="0" w:space="4"/>
        <w:bottom w:val="single" w:color="auto" w:sz="4" w:space="1"/>
        <w:right w:val="none" w:color="auto" w:sz="0" w:space="4"/>
      </w:pBdr>
      <w:tabs>
        <w:tab w:val="right" w:pos="9180"/>
        <w:tab w:val="clear" w:pos="8306"/>
      </w:tabs>
      <w:kinsoku/>
      <w:wordWrap/>
      <w:overflowPunct/>
      <w:topLinePunct w:val="0"/>
      <w:autoSpaceDE/>
      <w:autoSpaceDN/>
      <w:bidi w:val="0"/>
      <w:adjustRightInd w:val="0"/>
      <w:snapToGrid w:val="0"/>
      <w:spacing w:line="0" w:lineRule="atLeast"/>
      <w:ind w:right="0" w:rightChars="0" w:firstLine="720"/>
      <w:jc w:val="right"/>
      <w:textAlignment w:val="baseline"/>
      <w:outlineLvl w:val="9"/>
      <w:rPr>
        <w:rFonts w:hint="default"/>
        <w:u w:val="none"/>
        <w:lang w:val="en-US" w:eastAsia="zh-CN"/>
      </w:rPr>
    </w:pPr>
    <w:r>
      <w:rPr>
        <w:rFonts w:hint="eastAsia" w:ascii="仿宋" w:hAnsi="仿宋" w:eastAsia="仿宋" w:cs="仿宋"/>
        <w:b w:val="0"/>
        <w:bCs w:val="0"/>
        <w:spacing w:val="-11"/>
        <w:sz w:val="18"/>
        <w:szCs w:val="18"/>
        <w:lang w:eastAsia="zh-CN"/>
      </w:rPr>
      <w:t>Jiangxi Wan Heng real estate appraisal consulting Co., Ltd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71DDED"/>
    <w:multiLevelType w:val="singleLevel"/>
    <w:tmpl w:val="1871DDED"/>
    <w:lvl w:ilvl="0" w:tentative="0">
      <w:start w:val="10"/>
      <w:numFmt w:val="decimal"/>
      <w:suff w:val="nothing"/>
      <w:lvlText w:val="（%1）"/>
      <w:lvlJc w:val="left"/>
    </w:lvl>
  </w:abstractNum>
  <w:abstractNum w:abstractNumId="1">
    <w:nsid w:val="273AC458"/>
    <w:multiLevelType w:val="singleLevel"/>
    <w:tmpl w:val="273AC458"/>
    <w:lvl w:ilvl="0" w:tentative="0">
      <w:start w:val="3"/>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4MjBiOGFmNzBkOTg1ZjkwYzU5ZDc4M2M5MDMzYTAifQ=="/>
  </w:docVars>
  <w:rsids>
    <w:rsidRoot w:val="41835A8F"/>
    <w:rsid w:val="00033147"/>
    <w:rsid w:val="00291F07"/>
    <w:rsid w:val="003E6E9F"/>
    <w:rsid w:val="00407C36"/>
    <w:rsid w:val="00653F53"/>
    <w:rsid w:val="00AB6E9B"/>
    <w:rsid w:val="00B0510A"/>
    <w:rsid w:val="01487AA3"/>
    <w:rsid w:val="016D2FD3"/>
    <w:rsid w:val="017B11E4"/>
    <w:rsid w:val="017C6D0A"/>
    <w:rsid w:val="01ED1707"/>
    <w:rsid w:val="01FB46C1"/>
    <w:rsid w:val="020827F7"/>
    <w:rsid w:val="020C620F"/>
    <w:rsid w:val="02223D56"/>
    <w:rsid w:val="0227136C"/>
    <w:rsid w:val="0238076A"/>
    <w:rsid w:val="024170C4"/>
    <w:rsid w:val="02734CAA"/>
    <w:rsid w:val="02B358DC"/>
    <w:rsid w:val="02B734F6"/>
    <w:rsid w:val="02D13933"/>
    <w:rsid w:val="02D30EDD"/>
    <w:rsid w:val="02F37207"/>
    <w:rsid w:val="02FB0A4A"/>
    <w:rsid w:val="03115803"/>
    <w:rsid w:val="03424D8C"/>
    <w:rsid w:val="03477694"/>
    <w:rsid w:val="03547CBD"/>
    <w:rsid w:val="035C18C6"/>
    <w:rsid w:val="035E700F"/>
    <w:rsid w:val="03710AF1"/>
    <w:rsid w:val="03857DC1"/>
    <w:rsid w:val="03897316"/>
    <w:rsid w:val="03D10E1C"/>
    <w:rsid w:val="03DA046E"/>
    <w:rsid w:val="03F170C3"/>
    <w:rsid w:val="03FB3428"/>
    <w:rsid w:val="03FB60F4"/>
    <w:rsid w:val="03FD632C"/>
    <w:rsid w:val="04122D17"/>
    <w:rsid w:val="04407A09"/>
    <w:rsid w:val="0445446E"/>
    <w:rsid w:val="045F0C31"/>
    <w:rsid w:val="048368BF"/>
    <w:rsid w:val="04932CE9"/>
    <w:rsid w:val="04B657F2"/>
    <w:rsid w:val="04B94CA0"/>
    <w:rsid w:val="04E52C1B"/>
    <w:rsid w:val="04FB663A"/>
    <w:rsid w:val="052737CD"/>
    <w:rsid w:val="052C30F5"/>
    <w:rsid w:val="053A27F9"/>
    <w:rsid w:val="05707590"/>
    <w:rsid w:val="05910967"/>
    <w:rsid w:val="05AB3196"/>
    <w:rsid w:val="05CF7D32"/>
    <w:rsid w:val="05DB28F6"/>
    <w:rsid w:val="06022E0F"/>
    <w:rsid w:val="062C6F51"/>
    <w:rsid w:val="063D1B65"/>
    <w:rsid w:val="065C6F6B"/>
    <w:rsid w:val="0678035F"/>
    <w:rsid w:val="067D537C"/>
    <w:rsid w:val="06913E8A"/>
    <w:rsid w:val="06A4010A"/>
    <w:rsid w:val="06E62062"/>
    <w:rsid w:val="06E84E86"/>
    <w:rsid w:val="070662CD"/>
    <w:rsid w:val="07535D4A"/>
    <w:rsid w:val="076A7676"/>
    <w:rsid w:val="078B2B53"/>
    <w:rsid w:val="07983D6A"/>
    <w:rsid w:val="07AB41FD"/>
    <w:rsid w:val="07C02B14"/>
    <w:rsid w:val="07E6536F"/>
    <w:rsid w:val="07F30C66"/>
    <w:rsid w:val="080B78A1"/>
    <w:rsid w:val="080C0C36"/>
    <w:rsid w:val="081C3274"/>
    <w:rsid w:val="085D7377"/>
    <w:rsid w:val="08771391"/>
    <w:rsid w:val="08837C58"/>
    <w:rsid w:val="08972DCE"/>
    <w:rsid w:val="08AF0236"/>
    <w:rsid w:val="08E27D9B"/>
    <w:rsid w:val="08E86976"/>
    <w:rsid w:val="08F64464"/>
    <w:rsid w:val="08FC7EEB"/>
    <w:rsid w:val="091D2F57"/>
    <w:rsid w:val="0935436E"/>
    <w:rsid w:val="09365A74"/>
    <w:rsid w:val="093A4E01"/>
    <w:rsid w:val="094E14FF"/>
    <w:rsid w:val="096133B5"/>
    <w:rsid w:val="09865343"/>
    <w:rsid w:val="098B5FCB"/>
    <w:rsid w:val="099E7C1E"/>
    <w:rsid w:val="09A16F6E"/>
    <w:rsid w:val="09A64126"/>
    <w:rsid w:val="09D222C4"/>
    <w:rsid w:val="09D9512C"/>
    <w:rsid w:val="09E75BB4"/>
    <w:rsid w:val="0A0F466B"/>
    <w:rsid w:val="0A216ACC"/>
    <w:rsid w:val="0A240108"/>
    <w:rsid w:val="0A4E7848"/>
    <w:rsid w:val="0A502945"/>
    <w:rsid w:val="0A540248"/>
    <w:rsid w:val="0A6E2CCF"/>
    <w:rsid w:val="0A704A10"/>
    <w:rsid w:val="0A764446"/>
    <w:rsid w:val="0A897609"/>
    <w:rsid w:val="0A982E07"/>
    <w:rsid w:val="0AD4311F"/>
    <w:rsid w:val="0AE34AD7"/>
    <w:rsid w:val="0AF84EA7"/>
    <w:rsid w:val="0B105CE8"/>
    <w:rsid w:val="0B15024F"/>
    <w:rsid w:val="0B17357E"/>
    <w:rsid w:val="0B244298"/>
    <w:rsid w:val="0B2A23A2"/>
    <w:rsid w:val="0B630F42"/>
    <w:rsid w:val="0B664560"/>
    <w:rsid w:val="0B8309AE"/>
    <w:rsid w:val="0BAE21D6"/>
    <w:rsid w:val="0BB306DA"/>
    <w:rsid w:val="0BBB7004"/>
    <w:rsid w:val="0BD116EA"/>
    <w:rsid w:val="0BD51E39"/>
    <w:rsid w:val="0BF13017"/>
    <w:rsid w:val="0C051876"/>
    <w:rsid w:val="0C690799"/>
    <w:rsid w:val="0C6B1ED2"/>
    <w:rsid w:val="0C6D1521"/>
    <w:rsid w:val="0C7358DA"/>
    <w:rsid w:val="0C88426E"/>
    <w:rsid w:val="0C926487"/>
    <w:rsid w:val="0CBD0134"/>
    <w:rsid w:val="0CBE6A9A"/>
    <w:rsid w:val="0CC657F1"/>
    <w:rsid w:val="0CC914BA"/>
    <w:rsid w:val="0CD735ED"/>
    <w:rsid w:val="0CDA2575"/>
    <w:rsid w:val="0CE46F88"/>
    <w:rsid w:val="0CFC589C"/>
    <w:rsid w:val="0D057E9F"/>
    <w:rsid w:val="0D7E1D2A"/>
    <w:rsid w:val="0DEB2708"/>
    <w:rsid w:val="0DF26E47"/>
    <w:rsid w:val="0DF473D5"/>
    <w:rsid w:val="0E0F1C58"/>
    <w:rsid w:val="0E1808A4"/>
    <w:rsid w:val="0E271463"/>
    <w:rsid w:val="0E2A2171"/>
    <w:rsid w:val="0E2C61D7"/>
    <w:rsid w:val="0E445EDA"/>
    <w:rsid w:val="0E495DA7"/>
    <w:rsid w:val="0E7F5536"/>
    <w:rsid w:val="0EA7106E"/>
    <w:rsid w:val="0EC3545A"/>
    <w:rsid w:val="0ED751BD"/>
    <w:rsid w:val="0ED905D2"/>
    <w:rsid w:val="0EDA4739"/>
    <w:rsid w:val="0EE34E80"/>
    <w:rsid w:val="0EED39FC"/>
    <w:rsid w:val="0EFC3634"/>
    <w:rsid w:val="0F074A1D"/>
    <w:rsid w:val="0F2E7896"/>
    <w:rsid w:val="0F38272C"/>
    <w:rsid w:val="0F415318"/>
    <w:rsid w:val="0F694576"/>
    <w:rsid w:val="0F7C4B26"/>
    <w:rsid w:val="0F7D6A6F"/>
    <w:rsid w:val="0F9227CD"/>
    <w:rsid w:val="0FBF1CE7"/>
    <w:rsid w:val="0FE01470"/>
    <w:rsid w:val="0FF93909"/>
    <w:rsid w:val="1004533B"/>
    <w:rsid w:val="10126D3D"/>
    <w:rsid w:val="103C2192"/>
    <w:rsid w:val="104B232C"/>
    <w:rsid w:val="105C559E"/>
    <w:rsid w:val="105D1AFE"/>
    <w:rsid w:val="106B2178"/>
    <w:rsid w:val="107F1E74"/>
    <w:rsid w:val="10A172C5"/>
    <w:rsid w:val="10AC7FBF"/>
    <w:rsid w:val="10C04E65"/>
    <w:rsid w:val="10DB1C9F"/>
    <w:rsid w:val="10E9095F"/>
    <w:rsid w:val="10F13271"/>
    <w:rsid w:val="111833F6"/>
    <w:rsid w:val="112D1081"/>
    <w:rsid w:val="11383843"/>
    <w:rsid w:val="114C6816"/>
    <w:rsid w:val="11845377"/>
    <w:rsid w:val="11BB0D6C"/>
    <w:rsid w:val="11D75867"/>
    <w:rsid w:val="11E77CED"/>
    <w:rsid w:val="121B7850"/>
    <w:rsid w:val="12505D75"/>
    <w:rsid w:val="126D2E2C"/>
    <w:rsid w:val="127C6B6A"/>
    <w:rsid w:val="127C77EE"/>
    <w:rsid w:val="12912233"/>
    <w:rsid w:val="129C3BCF"/>
    <w:rsid w:val="12A06DEE"/>
    <w:rsid w:val="12A41F71"/>
    <w:rsid w:val="12CD1206"/>
    <w:rsid w:val="12D23EA0"/>
    <w:rsid w:val="12DF2194"/>
    <w:rsid w:val="12E24579"/>
    <w:rsid w:val="12F46D8E"/>
    <w:rsid w:val="13017C7F"/>
    <w:rsid w:val="130F45DF"/>
    <w:rsid w:val="130F753A"/>
    <w:rsid w:val="13147120"/>
    <w:rsid w:val="13346913"/>
    <w:rsid w:val="13456E07"/>
    <w:rsid w:val="13596EAB"/>
    <w:rsid w:val="138F3A3E"/>
    <w:rsid w:val="13AA736E"/>
    <w:rsid w:val="13BC61A3"/>
    <w:rsid w:val="13C74558"/>
    <w:rsid w:val="13CF0E44"/>
    <w:rsid w:val="13E02153"/>
    <w:rsid w:val="13ED5A54"/>
    <w:rsid w:val="140022A7"/>
    <w:rsid w:val="14173DB7"/>
    <w:rsid w:val="143418DB"/>
    <w:rsid w:val="143622C3"/>
    <w:rsid w:val="144551EC"/>
    <w:rsid w:val="145625BE"/>
    <w:rsid w:val="145F6238"/>
    <w:rsid w:val="1466016B"/>
    <w:rsid w:val="14686380"/>
    <w:rsid w:val="148751C8"/>
    <w:rsid w:val="14A8013D"/>
    <w:rsid w:val="14BA2B93"/>
    <w:rsid w:val="14DA7967"/>
    <w:rsid w:val="14E07884"/>
    <w:rsid w:val="150D7504"/>
    <w:rsid w:val="15110CF6"/>
    <w:rsid w:val="15323435"/>
    <w:rsid w:val="153F0DA4"/>
    <w:rsid w:val="15686038"/>
    <w:rsid w:val="15902F87"/>
    <w:rsid w:val="15C27DA5"/>
    <w:rsid w:val="15C3285D"/>
    <w:rsid w:val="160927E6"/>
    <w:rsid w:val="16227A29"/>
    <w:rsid w:val="163C73AD"/>
    <w:rsid w:val="16506E38"/>
    <w:rsid w:val="16580AB5"/>
    <w:rsid w:val="16B46D2C"/>
    <w:rsid w:val="16B53CE8"/>
    <w:rsid w:val="16B67F19"/>
    <w:rsid w:val="16C339EA"/>
    <w:rsid w:val="16D606D1"/>
    <w:rsid w:val="17040AB8"/>
    <w:rsid w:val="17092996"/>
    <w:rsid w:val="17121482"/>
    <w:rsid w:val="171C1330"/>
    <w:rsid w:val="173A7924"/>
    <w:rsid w:val="174C7A84"/>
    <w:rsid w:val="17732337"/>
    <w:rsid w:val="178564C1"/>
    <w:rsid w:val="179F3F80"/>
    <w:rsid w:val="17C1448C"/>
    <w:rsid w:val="17C350E5"/>
    <w:rsid w:val="17E64228"/>
    <w:rsid w:val="17E812A1"/>
    <w:rsid w:val="17EB5696"/>
    <w:rsid w:val="18111E34"/>
    <w:rsid w:val="183049FA"/>
    <w:rsid w:val="1841644A"/>
    <w:rsid w:val="18530B11"/>
    <w:rsid w:val="18561C0B"/>
    <w:rsid w:val="188547BB"/>
    <w:rsid w:val="18AD439F"/>
    <w:rsid w:val="18CA4259"/>
    <w:rsid w:val="18F14419"/>
    <w:rsid w:val="18FB378C"/>
    <w:rsid w:val="191E46F6"/>
    <w:rsid w:val="19501D84"/>
    <w:rsid w:val="19691393"/>
    <w:rsid w:val="19840EEF"/>
    <w:rsid w:val="19920F67"/>
    <w:rsid w:val="19A5312F"/>
    <w:rsid w:val="19A677BA"/>
    <w:rsid w:val="19AC0E4C"/>
    <w:rsid w:val="19C3727A"/>
    <w:rsid w:val="19CC6629"/>
    <w:rsid w:val="1A2668F8"/>
    <w:rsid w:val="1A915C99"/>
    <w:rsid w:val="1A95718B"/>
    <w:rsid w:val="1AAC0209"/>
    <w:rsid w:val="1AC82D3D"/>
    <w:rsid w:val="1B017324"/>
    <w:rsid w:val="1B2861F2"/>
    <w:rsid w:val="1B2D6B47"/>
    <w:rsid w:val="1B2D759B"/>
    <w:rsid w:val="1B30637F"/>
    <w:rsid w:val="1B410951"/>
    <w:rsid w:val="1B480DEE"/>
    <w:rsid w:val="1B491C28"/>
    <w:rsid w:val="1B496795"/>
    <w:rsid w:val="1B5C4573"/>
    <w:rsid w:val="1B5E393B"/>
    <w:rsid w:val="1B9962F7"/>
    <w:rsid w:val="1BA96962"/>
    <w:rsid w:val="1BD53CD9"/>
    <w:rsid w:val="1BEB574D"/>
    <w:rsid w:val="1BEC6B0F"/>
    <w:rsid w:val="1BF34341"/>
    <w:rsid w:val="1BFB512C"/>
    <w:rsid w:val="1BFE618F"/>
    <w:rsid w:val="1C1151A3"/>
    <w:rsid w:val="1C1A7122"/>
    <w:rsid w:val="1C26089F"/>
    <w:rsid w:val="1C321E09"/>
    <w:rsid w:val="1C461F1E"/>
    <w:rsid w:val="1C492613"/>
    <w:rsid w:val="1C7D3C0B"/>
    <w:rsid w:val="1C8459B4"/>
    <w:rsid w:val="1C8B6369"/>
    <w:rsid w:val="1C913D23"/>
    <w:rsid w:val="1CA1462E"/>
    <w:rsid w:val="1CE95353"/>
    <w:rsid w:val="1D063D8F"/>
    <w:rsid w:val="1D1E727E"/>
    <w:rsid w:val="1D3019C0"/>
    <w:rsid w:val="1D7F334C"/>
    <w:rsid w:val="1DAB18DB"/>
    <w:rsid w:val="1DAB6FB1"/>
    <w:rsid w:val="1DB43856"/>
    <w:rsid w:val="1DBD5A64"/>
    <w:rsid w:val="1DC35F95"/>
    <w:rsid w:val="1DCD471E"/>
    <w:rsid w:val="1E125E1C"/>
    <w:rsid w:val="1E2C6D65"/>
    <w:rsid w:val="1E3E57AE"/>
    <w:rsid w:val="1E511591"/>
    <w:rsid w:val="1E54315F"/>
    <w:rsid w:val="1E560918"/>
    <w:rsid w:val="1E633E0E"/>
    <w:rsid w:val="1E655EC9"/>
    <w:rsid w:val="1E696A6E"/>
    <w:rsid w:val="1E712D55"/>
    <w:rsid w:val="1E783E31"/>
    <w:rsid w:val="1E7F5F95"/>
    <w:rsid w:val="1E7F6DA6"/>
    <w:rsid w:val="1E845724"/>
    <w:rsid w:val="1E912F65"/>
    <w:rsid w:val="1EA10DB2"/>
    <w:rsid w:val="1EC9639D"/>
    <w:rsid w:val="1ECC78F2"/>
    <w:rsid w:val="1EE95587"/>
    <w:rsid w:val="1EEB2C89"/>
    <w:rsid w:val="1F0146D9"/>
    <w:rsid w:val="1F0B42D2"/>
    <w:rsid w:val="1F0F33E9"/>
    <w:rsid w:val="1F23394E"/>
    <w:rsid w:val="1F2C7B4A"/>
    <w:rsid w:val="1F334269"/>
    <w:rsid w:val="1F50180B"/>
    <w:rsid w:val="1F7C0DC8"/>
    <w:rsid w:val="1F8B19D1"/>
    <w:rsid w:val="1F8D685B"/>
    <w:rsid w:val="1F942E72"/>
    <w:rsid w:val="1FD96FC7"/>
    <w:rsid w:val="1FEC044F"/>
    <w:rsid w:val="1FEC0D58"/>
    <w:rsid w:val="200218CA"/>
    <w:rsid w:val="20164905"/>
    <w:rsid w:val="20310A2E"/>
    <w:rsid w:val="20333789"/>
    <w:rsid w:val="204B0931"/>
    <w:rsid w:val="20717F2A"/>
    <w:rsid w:val="20956ADE"/>
    <w:rsid w:val="209F7BF6"/>
    <w:rsid w:val="20A05B9F"/>
    <w:rsid w:val="20AA3407"/>
    <w:rsid w:val="20C21C43"/>
    <w:rsid w:val="20D62A88"/>
    <w:rsid w:val="20E90D2C"/>
    <w:rsid w:val="20F107FA"/>
    <w:rsid w:val="21036033"/>
    <w:rsid w:val="210B073E"/>
    <w:rsid w:val="2115733A"/>
    <w:rsid w:val="21216465"/>
    <w:rsid w:val="213F53EB"/>
    <w:rsid w:val="21551786"/>
    <w:rsid w:val="21553016"/>
    <w:rsid w:val="21560A57"/>
    <w:rsid w:val="21806FA0"/>
    <w:rsid w:val="21964112"/>
    <w:rsid w:val="21C15AE3"/>
    <w:rsid w:val="21CC76AF"/>
    <w:rsid w:val="21D76D11"/>
    <w:rsid w:val="21D917A0"/>
    <w:rsid w:val="220019D8"/>
    <w:rsid w:val="22142B32"/>
    <w:rsid w:val="223B79D1"/>
    <w:rsid w:val="22452F75"/>
    <w:rsid w:val="22577FCD"/>
    <w:rsid w:val="225A7CA7"/>
    <w:rsid w:val="22806864"/>
    <w:rsid w:val="22865D7E"/>
    <w:rsid w:val="22877A2F"/>
    <w:rsid w:val="228D26CE"/>
    <w:rsid w:val="228D4E5F"/>
    <w:rsid w:val="229879F0"/>
    <w:rsid w:val="22AD4B1E"/>
    <w:rsid w:val="22F4274D"/>
    <w:rsid w:val="230A4235"/>
    <w:rsid w:val="23166B67"/>
    <w:rsid w:val="23272CE4"/>
    <w:rsid w:val="235B687B"/>
    <w:rsid w:val="23616ECC"/>
    <w:rsid w:val="236C3BA8"/>
    <w:rsid w:val="238A360C"/>
    <w:rsid w:val="23A10B26"/>
    <w:rsid w:val="23AD3553"/>
    <w:rsid w:val="23C018F1"/>
    <w:rsid w:val="23C77F56"/>
    <w:rsid w:val="23FA298F"/>
    <w:rsid w:val="24094C2F"/>
    <w:rsid w:val="240A29CD"/>
    <w:rsid w:val="24235683"/>
    <w:rsid w:val="243E40FE"/>
    <w:rsid w:val="245F6BB6"/>
    <w:rsid w:val="24633AC8"/>
    <w:rsid w:val="246428DD"/>
    <w:rsid w:val="246D6C5B"/>
    <w:rsid w:val="246F7A98"/>
    <w:rsid w:val="248F3DDE"/>
    <w:rsid w:val="249B512D"/>
    <w:rsid w:val="24CA1229"/>
    <w:rsid w:val="25017F35"/>
    <w:rsid w:val="25030820"/>
    <w:rsid w:val="251558B4"/>
    <w:rsid w:val="2536704D"/>
    <w:rsid w:val="253B3C0A"/>
    <w:rsid w:val="2597580B"/>
    <w:rsid w:val="25A11FE4"/>
    <w:rsid w:val="25B32F51"/>
    <w:rsid w:val="25B83F05"/>
    <w:rsid w:val="25CB3C39"/>
    <w:rsid w:val="25CF1DB9"/>
    <w:rsid w:val="25DF3FBE"/>
    <w:rsid w:val="25E65D46"/>
    <w:rsid w:val="26011311"/>
    <w:rsid w:val="26041924"/>
    <w:rsid w:val="260B342B"/>
    <w:rsid w:val="26161406"/>
    <w:rsid w:val="265A0748"/>
    <w:rsid w:val="265A3A36"/>
    <w:rsid w:val="26602FA8"/>
    <w:rsid w:val="26717002"/>
    <w:rsid w:val="2681467D"/>
    <w:rsid w:val="26C257BF"/>
    <w:rsid w:val="26CF1507"/>
    <w:rsid w:val="26D076C6"/>
    <w:rsid w:val="26DA7645"/>
    <w:rsid w:val="26E55FBF"/>
    <w:rsid w:val="27041C60"/>
    <w:rsid w:val="271C2272"/>
    <w:rsid w:val="276106B6"/>
    <w:rsid w:val="2761526F"/>
    <w:rsid w:val="2768644F"/>
    <w:rsid w:val="27822A1D"/>
    <w:rsid w:val="27C71B72"/>
    <w:rsid w:val="27CB1A67"/>
    <w:rsid w:val="27DA0163"/>
    <w:rsid w:val="27DC01DB"/>
    <w:rsid w:val="27EE6F77"/>
    <w:rsid w:val="28167ED8"/>
    <w:rsid w:val="28334846"/>
    <w:rsid w:val="28401848"/>
    <w:rsid w:val="288F49C3"/>
    <w:rsid w:val="28D25BBF"/>
    <w:rsid w:val="28E27F49"/>
    <w:rsid w:val="292F3BE8"/>
    <w:rsid w:val="293E7215"/>
    <w:rsid w:val="29573832"/>
    <w:rsid w:val="29842A7C"/>
    <w:rsid w:val="298B0BE5"/>
    <w:rsid w:val="298F7205"/>
    <w:rsid w:val="29947A6F"/>
    <w:rsid w:val="299A569A"/>
    <w:rsid w:val="29E12186"/>
    <w:rsid w:val="29FB7F85"/>
    <w:rsid w:val="2A5E1621"/>
    <w:rsid w:val="2A766457"/>
    <w:rsid w:val="2A851D48"/>
    <w:rsid w:val="2A9803C5"/>
    <w:rsid w:val="2AA34875"/>
    <w:rsid w:val="2AFB703C"/>
    <w:rsid w:val="2B2362C5"/>
    <w:rsid w:val="2B266F6C"/>
    <w:rsid w:val="2B442A11"/>
    <w:rsid w:val="2B97359C"/>
    <w:rsid w:val="2B9B40AD"/>
    <w:rsid w:val="2BA9618D"/>
    <w:rsid w:val="2BDF795D"/>
    <w:rsid w:val="2BF67536"/>
    <w:rsid w:val="2C2C057D"/>
    <w:rsid w:val="2C545E95"/>
    <w:rsid w:val="2C5675DE"/>
    <w:rsid w:val="2C5D1363"/>
    <w:rsid w:val="2C82701B"/>
    <w:rsid w:val="2C8A5613"/>
    <w:rsid w:val="2CC54C1E"/>
    <w:rsid w:val="2CD42159"/>
    <w:rsid w:val="2CD51841"/>
    <w:rsid w:val="2CEA7908"/>
    <w:rsid w:val="2D0A0A4B"/>
    <w:rsid w:val="2D1773EB"/>
    <w:rsid w:val="2D1C7470"/>
    <w:rsid w:val="2D240D8F"/>
    <w:rsid w:val="2D2665F7"/>
    <w:rsid w:val="2D3F201D"/>
    <w:rsid w:val="2D412A32"/>
    <w:rsid w:val="2D5F0287"/>
    <w:rsid w:val="2D761C92"/>
    <w:rsid w:val="2D7C1BD2"/>
    <w:rsid w:val="2D83129D"/>
    <w:rsid w:val="2D8E75C8"/>
    <w:rsid w:val="2DA134D1"/>
    <w:rsid w:val="2DAF4930"/>
    <w:rsid w:val="2DC675A7"/>
    <w:rsid w:val="2DCC2C44"/>
    <w:rsid w:val="2DD438A6"/>
    <w:rsid w:val="2E033C92"/>
    <w:rsid w:val="2E0434D3"/>
    <w:rsid w:val="2E07001B"/>
    <w:rsid w:val="2E0B2D43"/>
    <w:rsid w:val="2E651FD5"/>
    <w:rsid w:val="2E7B0158"/>
    <w:rsid w:val="2EA85F95"/>
    <w:rsid w:val="2EB1161C"/>
    <w:rsid w:val="2EBD6CEE"/>
    <w:rsid w:val="2EC851B9"/>
    <w:rsid w:val="2EDD4C94"/>
    <w:rsid w:val="2EF7784D"/>
    <w:rsid w:val="2EFE0BC4"/>
    <w:rsid w:val="2F063133"/>
    <w:rsid w:val="2F277381"/>
    <w:rsid w:val="2F40041D"/>
    <w:rsid w:val="2F651C26"/>
    <w:rsid w:val="2F7E7D2A"/>
    <w:rsid w:val="2F8A246F"/>
    <w:rsid w:val="2F8C0118"/>
    <w:rsid w:val="2F977782"/>
    <w:rsid w:val="2FEF25D8"/>
    <w:rsid w:val="2FF12D33"/>
    <w:rsid w:val="2FF74304"/>
    <w:rsid w:val="300056E5"/>
    <w:rsid w:val="3004527F"/>
    <w:rsid w:val="301D7787"/>
    <w:rsid w:val="30245A8E"/>
    <w:rsid w:val="302C660B"/>
    <w:rsid w:val="3054034B"/>
    <w:rsid w:val="30897E77"/>
    <w:rsid w:val="308E4509"/>
    <w:rsid w:val="309B7F9D"/>
    <w:rsid w:val="309C2398"/>
    <w:rsid w:val="30A465DA"/>
    <w:rsid w:val="30CC1284"/>
    <w:rsid w:val="30D9678D"/>
    <w:rsid w:val="30E20127"/>
    <w:rsid w:val="30EB518F"/>
    <w:rsid w:val="30EC1A7F"/>
    <w:rsid w:val="31107F16"/>
    <w:rsid w:val="312D3559"/>
    <w:rsid w:val="314D4F61"/>
    <w:rsid w:val="31520EA8"/>
    <w:rsid w:val="31573A50"/>
    <w:rsid w:val="31643A77"/>
    <w:rsid w:val="317108DB"/>
    <w:rsid w:val="31724A28"/>
    <w:rsid w:val="317A4765"/>
    <w:rsid w:val="317C65E1"/>
    <w:rsid w:val="31806B9A"/>
    <w:rsid w:val="31B25CAD"/>
    <w:rsid w:val="31CB4899"/>
    <w:rsid w:val="32034C16"/>
    <w:rsid w:val="32035BAA"/>
    <w:rsid w:val="32134996"/>
    <w:rsid w:val="32262AB6"/>
    <w:rsid w:val="323F31FE"/>
    <w:rsid w:val="32402A59"/>
    <w:rsid w:val="32411207"/>
    <w:rsid w:val="32582463"/>
    <w:rsid w:val="32601BAD"/>
    <w:rsid w:val="326F1FC4"/>
    <w:rsid w:val="32715B68"/>
    <w:rsid w:val="32C875F0"/>
    <w:rsid w:val="32CA1671"/>
    <w:rsid w:val="32CB5CE4"/>
    <w:rsid w:val="32D26931"/>
    <w:rsid w:val="32D57295"/>
    <w:rsid w:val="32D855C0"/>
    <w:rsid w:val="330322D8"/>
    <w:rsid w:val="33432E41"/>
    <w:rsid w:val="33451442"/>
    <w:rsid w:val="33503603"/>
    <w:rsid w:val="3358196A"/>
    <w:rsid w:val="33607E81"/>
    <w:rsid w:val="3361189B"/>
    <w:rsid w:val="33733A0F"/>
    <w:rsid w:val="339F1D3E"/>
    <w:rsid w:val="33A304FF"/>
    <w:rsid w:val="33D6199D"/>
    <w:rsid w:val="34130E46"/>
    <w:rsid w:val="34164CBB"/>
    <w:rsid w:val="341E40C0"/>
    <w:rsid w:val="342A0F10"/>
    <w:rsid w:val="342F1E1E"/>
    <w:rsid w:val="343B1244"/>
    <w:rsid w:val="347219F0"/>
    <w:rsid w:val="3473143C"/>
    <w:rsid w:val="347946D2"/>
    <w:rsid w:val="348512FC"/>
    <w:rsid w:val="34871272"/>
    <w:rsid w:val="34875B5B"/>
    <w:rsid w:val="349B7FCC"/>
    <w:rsid w:val="34A0321C"/>
    <w:rsid w:val="34B028EC"/>
    <w:rsid w:val="34C208FD"/>
    <w:rsid w:val="34D643A8"/>
    <w:rsid w:val="34E2688C"/>
    <w:rsid w:val="34EF21AF"/>
    <w:rsid w:val="350902DA"/>
    <w:rsid w:val="3517537F"/>
    <w:rsid w:val="35192093"/>
    <w:rsid w:val="353A0493"/>
    <w:rsid w:val="35432BEE"/>
    <w:rsid w:val="35571548"/>
    <w:rsid w:val="3574624D"/>
    <w:rsid w:val="35752973"/>
    <w:rsid w:val="35A719F0"/>
    <w:rsid w:val="35B13D81"/>
    <w:rsid w:val="35D70E72"/>
    <w:rsid w:val="35E50060"/>
    <w:rsid w:val="35ED3291"/>
    <w:rsid w:val="360F1295"/>
    <w:rsid w:val="36222685"/>
    <w:rsid w:val="364D069A"/>
    <w:rsid w:val="3663302B"/>
    <w:rsid w:val="366E4B18"/>
    <w:rsid w:val="36914A2B"/>
    <w:rsid w:val="369C51AA"/>
    <w:rsid w:val="36BF3746"/>
    <w:rsid w:val="36C30B34"/>
    <w:rsid w:val="36CC0C7A"/>
    <w:rsid w:val="36CC46EB"/>
    <w:rsid w:val="36D31C7E"/>
    <w:rsid w:val="37164DDE"/>
    <w:rsid w:val="37182A56"/>
    <w:rsid w:val="373F6235"/>
    <w:rsid w:val="374A5660"/>
    <w:rsid w:val="375A0217"/>
    <w:rsid w:val="37622359"/>
    <w:rsid w:val="37636530"/>
    <w:rsid w:val="3787293D"/>
    <w:rsid w:val="379A4B55"/>
    <w:rsid w:val="37AB43B7"/>
    <w:rsid w:val="37C504B7"/>
    <w:rsid w:val="37CB693D"/>
    <w:rsid w:val="37CE5802"/>
    <w:rsid w:val="37D42E17"/>
    <w:rsid w:val="37DE5A4E"/>
    <w:rsid w:val="37DF17C6"/>
    <w:rsid w:val="38022BDC"/>
    <w:rsid w:val="381527F9"/>
    <w:rsid w:val="382711FC"/>
    <w:rsid w:val="3882287D"/>
    <w:rsid w:val="3887112F"/>
    <w:rsid w:val="38A27A2D"/>
    <w:rsid w:val="38AC3871"/>
    <w:rsid w:val="38C3444E"/>
    <w:rsid w:val="38CA5F97"/>
    <w:rsid w:val="38E01351"/>
    <w:rsid w:val="38E02171"/>
    <w:rsid w:val="38FB4002"/>
    <w:rsid w:val="390E4E50"/>
    <w:rsid w:val="39194A1C"/>
    <w:rsid w:val="39310268"/>
    <w:rsid w:val="394923BD"/>
    <w:rsid w:val="39605CF0"/>
    <w:rsid w:val="39637456"/>
    <w:rsid w:val="396C4189"/>
    <w:rsid w:val="39732916"/>
    <w:rsid w:val="39775520"/>
    <w:rsid w:val="398E541B"/>
    <w:rsid w:val="39AF5D66"/>
    <w:rsid w:val="39CE0C45"/>
    <w:rsid w:val="39EF139C"/>
    <w:rsid w:val="3A234EF7"/>
    <w:rsid w:val="3A7970FF"/>
    <w:rsid w:val="3A7E14C6"/>
    <w:rsid w:val="3ABE5933"/>
    <w:rsid w:val="3ACA3D59"/>
    <w:rsid w:val="3ADC13A2"/>
    <w:rsid w:val="3AF235BE"/>
    <w:rsid w:val="3B273268"/>
    <w:rsid w:val="3B3A2868"/>
    <w:rsid w:val="3B4F5A36"/>
    <w:rsid w:val="3B6E7EC6"/>
    <w:rsid w:val="3B856133"/>
    <w:rsid w:val="3B9561F8"/>
    <w:rsid w:val="3BC114B3"/>
    <w:rsid w:val="3BC75114"/>
    <w:rsid w:val="3BFD0B69"/>
    <w:rsid w:val="3C093110"/>
    <w:rsid w:val="3C123C1B"/>
    <w:rsid w:val="3C1D483C"/>
    <w:rsid w:val="3C25574C"/>
    <w:rsid w:val="3C2C5488"/>
    <w:rsid w:val="3C381A58"/>
    <w:rsid w:val="3C382F3C"/>
    <w:rsid w:val="3C3D1751"/>
    <w:rsid w:val="3C744E4A"/>
    <w:rsid w:val="3C92700E"/>
    <w:rsid w:val="3C9349A5"/>
    <w:rsid w:val="3CB317E5"/>
    <w:rsid w:val="3CD63197"/>
    <w:rsid w:val="3CEF3364"/>
    <w:rsid w:val="3D0976C9"/>
    <w:rsid w:val="3D0C0E41"/>
    <w:rsid w:val="3D2D59A3"/>
    <w:rsid w:val="3D310A15"/>
    <w:rsid w:val="3D4E5423"/>
    <w:rsid w:val="3D4F3037"/>
    <w:rsid w:val="3D682202"/>
    <w:rsid w:val="3D7A20C9"/>
    <w:rsid w:val="3DAD594F"/>
    <w:rsid w:val="3DB03956"/>
    <w:rsid w:val="3DBA4E00"/>
    <w:rsid w:val="3DC5497C"/>
    <w:rsid w:val="3E103868"/>
    <w:rsid w:val="3E1B7EE3"/>
    <w:rsid w:val="3E29379B"/>
    <w:rsid w:val="3E32335D"/>
    <w:rsid w:val="3E352C9E"/>
    <w:rsid w:val="3E4748B6"/>
    <w:rsid w:val="3E500D27"/>
    <w:rsid w:val="3E5926E8"/>
    <w:rsid w:val="3E5A2DD5"/>
    <w:rsid w:val="3E626B12"/>
    <w:rsid w:val="3E974BB7"/>
    <w:rsid w:val="3E9F0C38"/>
    <w:rsid w:val="3EB55562"/>
    <w:rsid w:val="3EB92D70"/>
    <w:rsid w:val="3EC62590"/>
    <w:rsid w:val="3ED90476"/>
    <w:rsid w:val="3EF07BA4"/>
    <w:rsid w:val="3EF25025"/>
    <w:rsid w:val="3F10699F"/>
    <w:rsid w:val="3F167E83"/>
    <w:rsid w:val="3F4E11EC"/>
    <w:rsid w:val="3F5D20D2"/>
    <w:rsid w:val="3F8D1B98"/>
    <w:rsid w:val="3FBD3840"/>
    <w:rsid w:val="3FF52724"/>
    <w:rsid w:val="3FFE3E5D"/>
    <w:rsid w:val="40264CCE"/>
    <w:rsid w:val="4039537D"/>
    <w:rsid w:val="403F06C2"/>
    <w:rsid w:val="40796D55"/>
    <w:rsid w:val="40A6216C"/>
    <w:rsid w:val="40C07D17"/>
    <w:rsid w:val="40D6556A"/>
    <w:rsid w:val="411E547D"/>
    <w:rsid w:val="412B15D8"/>
    <w:rsid w:val="41835A8F"/>
    <w:rsid w:val="41856D8F"/>
    <w:rsid w:val="41E60855"/>
    <w:rsid w:val="41EA4FEF"/>
    <w:rsid w:val="41F30837"/>
    <w:rsid w:val="41FB794B"/>
    <w:rsid w:val="41FE5D05"/>
    <w:rsid w:val="41FF010B"/>
    <w:rsid w:val="421F3D94"/>
    <w:rsid w:val="423A2254"/>
    <w:rsid w:val="4253550F"/>
    <w:rsid w:val="425702CC"/>
    <w:rsid w:val="42630327"/>
    <w:rsid w:val="42796749"/>
    <w:rsid w:val="427E22EE"/>
    <w:rsid w:val="428972C3"/>
    <w:rsid w:val="42913F7D"/>
    <w:rsid w:val="429A7FF2"/>
    <w:rsid w:val="429D4DA3"/>
    <w:rsid w:val="42AF6CB7"/>
    <w:rsid w:val="42C10518"/>
    <w:rsid w:val="42E11E78"/>
    <w:rsid w:val="42F5304E"/>
    <w:rsid w:val="4300593B"/>
    <w:rsid w:val="432454BF"/>
    <w:rsid w:val="433C3565"/>
    <w:rsid w:val="4341410C"/>
    <w:rsid w:val="436E41EC"/>
    <w:rsid w:val="43805AD3"/>
    <w:rsid w:val="43936E39"/>
    <w:rsid w:val="43AE09CA"/>
    <w:rsid w:val="43B82AC0"/>
    <w:rsid w:val="4409384A"/>
    <w:rsid w:val="444C0C5C"/>
    <w:rsid w:val="447D04FE"/>
    <w:rsid w:val="44896F08"/>
    <w:rsid w:val="44BE3F63"/>
    <w:rsid w:val="44FC14B7"/>
    <w:rsid w:val="45114100"/>
    <w:rsid w:val="45683654"/>
    <w:rsid w:val="458539AC"/>
    <w:rsid w:val="45B3643F"/>
    <w:rsid w:val="45DB0F99"/>
    <w:rsid w:val="45E3416D"/>
    <w:rsid w:val="45EB764C"/>
    <w:rsid w:val="45EF52CA"/>
    <w:rsid w:val="45F41CD8"/>
    <w:rsid w:val="45F42758"/>
    <w:rsid w:val="4607621A"/>
    <w:rsid w:val="461A0599"/>
    <w:rsid w:val="462C492F"/>
    <w:rsid w:val="46314DBB"/>
    <w:rsid w:val="464E2621"/>
    <w:rsid w:val="465616D0"/>
    <w:rsid w:val="46867153"/>
    <w:rsid w:val="46895C9A"/>
    <w:rsid w:val="46933E79"/>
    <w:rsid w:val="46B718EC"/>
    <w:rsid w:val="46CD5260"/>
    <w:rsid w:val="46D63D94"/>
    <w:rsid w:val="46F30DEA"/>
    <w:rsid w:val="46F830B4"/>
    <w:rsid w:val="47150D60"/>
    <w:rsid w:val="471C30B6"/>
    <w:rsid w:val="47277F63"/>
    <w:rsid w:val="472C51B3"/>
    <w:rsid w:val="47526CEE"/>
    <w:rsid w:val="47544C62"/>
    <w:rsid w:val="475C2EA3"/>
    <w:rsid w:val="476D45A9"/>
    <w:rsid w:val="478B070E"/>
    <w:rsid w:val="479053E5"/>
    <w:rsid w:val="479209DB"/>
    <w:rsid w:val="4799729B"/>
    <w:rsid w:val="47A04704"/>
    <w:rsid w:val="47D7636A"/>
    <w:rsid w:val="47D80CB2"/>
    <w:rsid w:val="47EB56B6"/>
    <w:rsid w:val="47FC4441"/>
    <w:rsid w:val="47FD3BC5"/>
    <w:rsid w:val="483D056E"/>
    <w:rsid w:val="48555B81"/>
    <w:rsid w:val="486C47C0"/>
    <w:rsid w:val="48AE760B"/>
    <w:rsid w:val="48B87B65"/>
    <w:rsid w:val="48E43727"/>
    <w:rsid w:val="48EE7ABB"/>
    <w:rsid w:val="493044E7"/>
    <w:rsid w:val="49444A72"/>
    <w:rsid w:val="49493E24"/>
    <w:rsid w:val="49553696"/>
    <w:rsid w:val="497B0D71"/>
    <w:rsid w:val="49D55A98"/>
    <w:rsid w:val="4A0D2382"/>
    <w:rsid w:val="4A270EB9"/>
    <w:rsid w:val="4A73206F"/>
    <w:rsid w:val="4A7B5618"/>
    <w:rsid w:val="4A7E0482"/>
    <w:rsid w:val="4ADF3B5F"/>
    <w:rsid w:val="4AEF3676"/>
    <w:rsid w:val="4B04529B"/>
    <w:rsid w:val="4B225637"/>
    <w:rsid w:val="4B280ACF"/>
    <w:rsid w:val="4B294DDA"/>
    <w:rsid w:val="4B4009A3"/>
    <w:rsid w:val="4B441857"/>
    <w:rsid w:val="4B6046CF"/>
    <w:rsid w:val="4B6247D0"/>
    <w:rsid w:val="4B7F64A3"/>
    <w:rsid w:val="4B9C33DF"/>
    <w:rsid w:val="4BB842DF"/>
    <w:rsid w:val="4BCE4974"/>
    <w:rsid w:val="4C075369"/>
    <w:rsid w:val="4C0A285A"/>
    <w:rsid w:val="4C115F9A"/>
    <w:rsid w:val="4C6F5603"/>
    <w:rsid w:val="4C796596"/>
    <w:rsid w:val="4C854154"/>
    <w:rsid w:val="4CA612A0"/>
    <w:rsid w:val="4CA814D4"/>
    <w:rsid w:val="4CAA1F4A"/>
    <w:rsid w:val="4CC0176E"/>
    <w:rsid w:val="4CC454B3"/>
    <w:rsid w:val="4CCA2281"/>
    <w:rsid w:val="4CEC046F"/>
    <w:rsid w:val="4CF04F59"/>
    <w:rsid w:val="4D081846"/>
    <w:rsid w:val="4D146C96"/>
    <w:rsid w:val="4D475E09"/>
    <w:rsid w:val="4D4E03EF"/>
    <w:rsid w:val="4D6D3ED6"/>
    <w:rsid w:val="4D7507CE"/>
    <w:rsid w:val="4D7E5390"/>
    <w:rsid w:val="4D8270AC"/>
    <w:rsid w:val="4D98328E"/>
    <w:rsid w:val="4D984C09"/>
    <w:rsid w:val="4DAD2100"/>
    <w:rsid w:val="4DB87B57"/>
    <w:rsid w:val="4E0A57E3"/>
    <w:rsid w:val="4E257ADB"/>
    <w:rsid w:val="4E370148"/>
    <w:rsid w:val="4E402B66"/>
    <w:rsid w:val="4E4F7E23"/>
    <w:rsid w:val="4E717D9A"/>
    <w:rsid w:val="4EBD2E1C"/>
    <w:rsid w:val="4EC859E2"/>
    <w:rsid w:val="4ED975F2"/>
    <w:rsid w:val="4ED97E7C"/>
    <w:rsid w:val="4F0C04A7"/>
    <w:rsid w:val="4F2400BF"/>
    <w:rsid w:val="4F2D6B7F"/>
    <w:rsid w:val="4F460445"/>
    <w:rsid w:val="4F5F2B0E"/>
    <w:rsid w:val="4F710C45"/>
    <w:rsid w:val="4F937D69"/>
    <w:rsid w:val="4FDC68BF"/>
    <w:rsid w:val="4FE973DF"/>
    <w:rsid w:val="4FEC63D6"/>
    <w:rsid w:val="4FF15DD5"/>
    <w:rsid w:val="500E64AE"/>
    <w:rsid w:val="5014785E"/>
    <w:rsid w:val="501874B5"/>
    <w:rsid w:val="50211065"/>
    <w:rsid w:val="503304BB"/>
    <w:rsid w:val="50350168"/>
    <w:rsid w:val="503B1623"/>
    <w:rsid w:val="50463679"/>
    <w:rsid w:val="504C4F0B"/>
    <w:rsid w:val="506E723F"/>
    <w:rsid w:val="50D35331"/>
    <w:rsid w:val="50D7154A"/>
    <w:rsid w:val="50F27097"/>
    <w:rsid w:val="50FE5FA1"/>
    <w:rsid w:val="511D29A1"/>
    <w:rsid w:val="511E704D"/>
    <w:rsid w:val="51274F5F"/>
    <w:rsid w:val="513F5C18"/>
    <w:rsid w:val="51600E2A"/>
    <w:rsid w:val="517C4606"/>
    <w:rsid w:val="517F5A7B"/>
    <w:rsid w:val="517F5F1F"/>
    <w:rsid w:val="51851B61"/>
    <w:rsid w:val="518E3BE9"/>
    <w:rsid w:val="519E2619"/>
    <w:rsid w:val="51AB5672"/>
    <w:rsid w:val="51B55CA2"/>
    <w:rsid w:val="51C47027"/>
    <w:rsid w:val="51D56345"/>
    <w:rsid w:val="51E43446"/>
    <w:rsid w:val="51E62040"/>
    <w:rsid w:val="520C2603"/>
    <w:rsid w:val="52120376"/>
    <w:rsid w:val="521A298C"/>
    <w:rsid w:val="52283CFC"/>
    <w:rsid w:val="523522B6"/>
    <w:rsid w:val="524D0E0A"/>
    <w:rsid w:val="52655481"/>
    <w:rsid w:val="52716DB6"/>
    <w:rsid w:val="527C36B2"/>
    <w:rsid w:val="52B171B6"/>
    <w:rsid w:val="52B529BF"/>
    <w:rsid w:val="52D533D2"/>
    <w:rsid w:val="52E9070C"/>
    <w:rsid w:val="5305295D"/>
    <w:rsid w:val="531447A2"/>
    <w:rsid w:val="53527F5D"/>
    <w:rsid w:val="5354676C"/>
    <w:rsid w:val="53961ECF"/>
    <w:rsid w:val="53C1735E"/>
    <w:rsid w:val="53D23419"/>
    <w:rsid w:val="53D5310A"/>
    <w:rsid w:val="53DC50DF"/>
    <w:rsid w:val="53E56E1F"/>
    <w:rsid w:val="5411465D"/>
    <w:rsid w:val="54181116"/>
    <w:rsid w:val="542A0A1D"/>
    <w:rsid w:val="54307646"/>
    <w:rsid w:val="54416590"/>
    <w:rsid w:val="54432850"/>
    <w:rsid w:val="544A7972"/>
    <w:rsid w:val="545F4DF4"/>
    <w:rsid w:val="54684BC5"/>
    <w:rsid w:val="54C62B98"/>
    <w:rsid w:val="54EA7E61"/>
    <w:rsid w:val="550A5498"/>
    <w:rsid w:val="550D0CAD"/>
    <w:rsid w:val="550F63F8"/>
    <w:rsid w:val="55280270"/>
    <w:rsid w:val="55343F37"/>
    <w:rsid w:val="554F6987"/>
    <w:rsid w:val="555A64D1"/>
    <w:rsid w:val="55686829"/>
    <w:rsid w:val="556A01EA"/>
    <w:rsid w:val="55766E6E"/>
    <w:rsid w:val="55A11D00"/>
    <w:rsid w:val="55AF480A"/>
    <w:rsid w:val="55BF552F"/>
    <w:rsid w:val="55ED74B5"/>
    <w:rsid w:val="55ED7E44"/>
    <w:rsid w:val="55EE6201"/>
    <w:rsid w:val="56044F55"/>
    <w:rsid w:val="561B218E"/>
    <w:rsid w:val="562B3FAA"/>
    <w:rsid w:val="565B373E"/>
    <w:rsid w:val="56760225"/>
    <w:rsid w:val="56902C2F"/>
    <w:rsid w:val="56A35344"/>
    <w:rsid w:val="56AE5E60"/>
    <w:rsid w:val="56F55499"/>
    <w:rsid w:val="56F90583"/>
    <w:rsid w:val="574061E6"/>
    <w:rsid w:val="57420017"/>
    <w:rsid w:val="57426FCC"/>
    <w:rsid w:val="57454CCA"/>
    <w:rsid w:val="5755501C"/>
    <w:rsid w:val="57680F72"/>
    <w:rsid w:val="578D3AA7"/>
    <w:rsid w:val="57964122"/>
    <w:rsid w:val="57AE7FC8"/>
    <w:rsid w:val="57CD1758"/>
    <w:rsid w:val="57D07051"/>
    <w:rsid w:val="57D07F46"/>
    <w:rsid w:val="57EC78BB"/>
    <w:rsid w:val="580320D2"/>
    <w:rsid w:val="58252160"/>
    <w:rsid w:val="582F49AE"/>
    <w:rsid w:val="58302553"/>
    <w:rsid w:val="58452EA3"/>
    <w:rsid w:val="586963E6"/>
    <w:rsid w:val="586B080E"/>
    <w:rsid w:val="58793142"/>
    <w:rsid w:val="58822162"/>
    <w:rsid w:val="589D6784"/>
    <w:rsid w:val="58A474DF"/>
    <w:rsid w:val="58BE6EE6"/>
    <w:rsid w:val="58C738DA"/>
    <w:rsid w:val="58E53B21"/>
    <w:rsid w:val="58EB399F"/>
    <w:rsid w:val="593D3617"/>
    <w:rsid w:val="595C6C7C"/>
    <w:rsid w:val="59684D1F"/>
    <w:rsid w:val="59896CB3"/>
    <w:rsid w:val="59A7395E"/>
    <w:rsid w:val="59A7507F"/>
    <w:rsid w:val="59AF4A8B"/>
    <w:rsid w:val="59B20467"/>
    <w:rsid w:val="59C517D5"/>
    <w:rsid w:val="59D559E0"/>
    <w:rsid w:val="59DF3868"/>
    <w:rsid w:val="59E56B8F"/>
    <w:rsid w:val="59F10F7C"/>
    <w:rsid w:val="5A0B2C92"/>
    <w:rsid w:val="5A174CB2"/>
    <w:rsid w:val="5A1B049E"/>
    <w:rsid w:val="5A470C5D"/>
    <w:rsid w:val="5A63411D"/>
    <w:rsid w:val="5A6746D2"/>
    <w:rsid w:val="5A6F20DD"/>
    <w:rsid w:val="5A986289"/>
    <w:rsid w:val="5A9A513F"/>
    <w:rsid w:val="5AA17E3F"/>
    <w:rsid w:val="5AA87186"/>
    <w:rsid w:val="5AAF3872"/>
    <w:rsid w:val="5AAF72EA"/>
    <w:rsid w:val="5AD013DE"/>
    <w:rsid w:val="5ADA311D"/>
    <w:rsid w:val="5B4B19D7"/>
    <w:rsid w:val="5B650BAC"/>
    <w:rsid w:val="5B83219A"/>
    <w:rsid w:val="5B8B66EB"/>
    <w:rsid w:val="5BA25001"/>
    <w:rsid w:val="5BC3524B"/>
    <w:rsid w:val="5BC87CF7"/>
    <w:rsid w:val="5BDA78C4"/>
    <w:rsid w:val="5BE264A5"/>
    <w:rsid w:val="5BFC4568"/>
    <w:rsid w:val="5BFE5E0F"/>
    <w:rsid w:val="5C204C37"/>
    <w:rsid w:val="5C241E69"/>
    <w:rsid w:val="5C685E55"/>
    <w:rsid w:val="5CDB4484"/>
    <w:rsid w:val="5CDD77D2"/>
    <w:rsid w:val="5CF768CF"/>
    <w:rsid w:val="5D0041A5"/>
    <w:rsid w:val="5D183F97"/>
    <w:rsid w:val="5D1C1541"/>
    <w:rsid w:val="5D1C5E69"/>
    <w:rsid w:val="5D284884"/>
    <w:rsid w:val="5D2961A8"/>
    <w:rsid w:val="5D3C19C9"/>
    <w:rsid w:val="5D4B31E0"/>
    <w:rsid w:val="5D9D3085"/>
    <w:rsid w:val="5DE614D0"/>
    <w:rsid w:val="5DF43025"/>
    <w:rsid w:val="5E1127CD"/>
    <w:rsid w:val="5E2D3CCF"/>
    <w:rsid w:val="5E5D6E1D"/>
    <w:rsid w:val="5E853803"/>
    <w:rsid w:val="5E8C7702"/>
    <w:rsid w:val="5E8E550E"/>
    <w:rsid w:val="5E9E5C80"/>
    <w:rsid w:val="5EAC6BEA"/>
    <w:rsid w:val="5EC12029"/>
    <w:rsid w:val="5EDD041B"/>
    <w:rsid w:val="5EF0704B"/>
    <w:rsid w:val="5EF86F5E"/>
    <w:rsid w:val="5F145A44"/>
    <w:rsid w:val="5F2F27FF"/>
    <w:rsid w:val="5F30453F"/>
    <w:rsid w:val="5F5D1DFF"/>
    <w:rsid w:val="5F7D2A80"/>
    <w:rsid w:val="5F9917F0"/>
    <w:rsid w:val="5F9B5240"/>
    <w:rsid w:val="5FA82319"/>
    <w:rsid w:val="5FA977B6"/>
    <w:rsid w:val="5FBA1E47"/>
    <w:rsid w:val="5FC67835"/>
    <w:rsid w:val="5FD276E4"/>
    <w:rsid w:val="5FD50456"/>
    <w:rsid w:val="5FEB114F"/>
    <w:rsid w:val="5FF45E51"/>
    <w:rsid w:val="600D184D"/>
    <w:rsid w:val="60172403"/>
    <w:rsid w:val="60321968"/>
    <w:rsid w:val="60327E35"/>
    <w:rsid w:val="60423FA1"/>
    <w:rsid w:val="60783322"/>
    <w:rsid w:val="608F5E14"/>
    <w:rsid w:val="60A726E6"/>
    <w:rsid w:val="60BB5793"/>
    <w:rsid w:val="60D21752"/>
    <w:rsid w:val="60D55468"/>
    <w:rsid w:val="60DE482E"/>
    <w:rsid w:val="60E22866"/>
    <w:rsid w:val="60F70811"/>
    <w:rsid w:val="6103123D"/>
    <w:rsid w:val="6115642F"/>
    <w:rsid w:val="61191DA7"/>
    <w:rsid w:val="6137102D"/>
    <w:rsid w:val="6185786A"/>
    <w:rsid w:val="61AD7BC6"/>
    <w:rsid w:val="62037CDB"/>
    <w:rsid w:val="6256021A"/>
    <w:rsid w:val="625C384C"/>
    <w:rsid w:val="626F0D31"/>
    <w:rsid w:val="62792458"/>
    <w:rsid w:val="627F47EF"/>
    <w:rsid w:val="628A08D4"/>
    <w:rsid w:val="62943029"/>
    <w:rsid w:val="62995EF8"/>
    <w:rsid w:val="62B17737"/>
    <w:rsid w:val="62C0026E"/>
    <w:rsid w:val="62D8322F"/>
    <w:rsid w:val="62DB2580"/>
    <w:rsid w:val="62E72E4E"/>
    <w:rsid w:val="62ED167F"/>
    <w:rsid w:val="62F615EE"/>
    <w:rsid w:val="63090737"/>
    <w:rsid w:val="631C3E17"/>
    <w:rsid w:val="63233169"/>
    <w:rsid w:val="632717A7"/>
    <w:rsid w:val="6332113A"/>
    <w:rsid w:val="6334235C"/>
    <w:rsid w:val="63495A2C"/>
    <w:rsid w:val="636E139D"/>
    <w:rsid w:val="636E7ED1"/>
    <w:rsid w:val="6375454B"/>
    <w:rsid w:val="63AB77AA"/>
    <w:rsid w:val="63B6072C"/>
    <w:rsid w:val="63B91087"/>
    <w:rsid w:val="64056AFA"/>
    <w:rsid w:val="642129E4"/>
    <w:rsid w:val="642B3BC0"/>
    <w:rsid w:val="642E3AF7"/>
    <w:rsid w:val="646F1CD5"/>
    <w:rsid w:val="647F7083"/>
    <w:rsid w:val="6487222F"/>
    <w:rsid w:val="648D4093"/>
    <w:rsid w:val="64EF09EB"/>
    <w:rsid w:val="64EF7F53"/>
    <w:rsid w:val="64F83058"/>
    <w:rsid w:val="64FF796F"/>
    <w:rsid w:val="650376CB"/>
    <w:rsid w:val="651128E7"/>
    <w:rsid w:val="651E4E2C"/>
    <w:rsid w:val="651E79C6"/>
    <w:rsid w:val="65227307"/>
    <w:rsid w:val="652A557F"/>
    <w:rsid w:val="652E2279"/>
    <w:rsid w:val="652F5A5D"/>
    <w:rsid w:val="655609DD"/>
    <w:rsid w:val="65674857"/>
    <w:rsid w:val="657E3D51"/>
    <w:rsid w:val="659706DB"/>
    <w:rsid w:val="659C19A0"/>
    <w:rsid w:val="659F685C"/>
    <w:rsid w:val="65BA333E"/>
    <w:rsid w:val="65C55682"/>
    <w:rsid w:val="65CF70B3"/>
    <w:rsid w:val="65D02052"/>
    <w:rsid w:val="65D20845"/>
    <w:rsid w:val="65EC34F3"/>
    <w:rsid w:val="65FA0734"/>
    <w:rsid w:val="65FB3841"/>
    <w:rsid w:val="660A13DA"/>
    <w:rsid w:val="6631721E"/>
    <w:rsid w:val="6632314C"/>
    <w:rsid w:val="663E21FE"/>
    <w:rsid w:val="66474F01"/>
    <w:rsid w:val="66636E3E"/>
    <w:rsid w:val="667A719C"/>
    <w:rsid w:val="667B379C"/>
    <w:rsid w:val="6687523C"/>
    <w:rsid w:val="66B1215B"/>
    <w:rsid w:val="66BF3A9C"/>
    <w:rsid w:val="66E14162"/>
    <w:rsid w:val="670A477C"/>
    <w:rsid w:val="671D1344"/>
    <w:rsid w:val="67206C39"/>
    <w:rsid w:val="67354018"/>
    <w:rsid w:val="673906C7"/>
    <w:rsid w:val="673E7444"/>
    <w:rsid w:val="6745110A"/>
    <w:rsid w:val="67555F12"/>
    <w:rsid w:val="675A6424"/>
    <w:rsid w:val="676034DA"/>
    <w:rsid w:val="67A269C9"/>
    <w:rsid w:val="67BF65E4"/>
    <w:rsid w:val="67C5396B"/>
    <w:rsid w:val="67E040DF"/>
    <w:rsid w:val="67EB329B"/>
    <w:rsid w:val="67EE18D3"/>
    <w:rsid w:val="67F24A7A"/>
    <w:rsid w:val="68000FAF"/>
    <w:rsid w:val="68045FF9"/>
    <w:rsid w:val="681B3B74"/>
    <w:rsid w:val="68203BE9"/>
    <w:rsid w:val="683B6EFE"/>
    <w:rsid w:val="683F3D1C"/>
    <w:rsid w:val="68674743"/>
    <w:rsid w:val="686A3DEB"/>
    <w:rsid w:val="686D2479"/>
    <w:rsid w:val="687706BD"/>
    <w:rsid w:val="68B677C0"/>
    <w:rsid w:val="68D8562F"/>
    <w:rsid w:val="692B4FD2"/>
    <w:rsid w:val="692F3CA9"/>
    <w:rsid w:val="693073EF"/>
    <w:rsid w:val="694C55F0"/>
    <w:rsid w:val="69731AF1"/>
    <w:rsid w:val="69903D78"/>
    <w:rsid w:val="69A92DDA"/>
    <w:rsid w:val="69B730EF"/>
    <w:rsid w:val="69D435B4"/>
    <w:rsid w:val="69EC72A7"/>
    <w:rsid w:val="6A070584"/>
    <w:rsid w:val="6A121D75"/>
    <w:rsid w:val="6A172D6D"/>
    <w:rsid w:val="6A1A0A4A"/>
    <w:rsid w:val="6A7D133D"/>
    <w:rsid w:val="6A8E0A7C"/>
    <w:rsid w:val="6A9A1C95"/>
    <w:rsid w:val="6AB204F0"/>
    <w:rsid w:val="6AC81AD0"/>
    <w:rsid w:val="6B057BDB"/>
    <w:rsid w:val="6B086362"/>
    <w:rsid w:val="6B2B73D5"/>
    <w:rsid w:val="6B39651C"/>
    <w:rsid w:val="6B440643"/>
    <w:rsid w:val="6B50403C"/>
    <w:rsid w:val="6B504AEA"/>
    <w:rsid w:val="6B5C045C"/>
    <w:rsid w:val="6B691E93"/>
    <w:rsid w:val="6BAC3191"/>
    <w:rsid w:val="6BBD539F"/>
    <w:rsid w:val="6BE071E8"/>
    <w:rsid w:val="6BE3070F"/>
    <w:rsid w:val="6BED2FF4"/>
    <w:rsid w:val="6C085FB0"/>
    <w:rsid w:val="6C18727D"/>
    <w:rsid w:val="6C1A413C"/>
    <w:rsid w:val="6C206934"/>
    <w:rsid w:val="6C5B00CD"/>
    <w:rsid w:val="6C6945F1"/>
    <w:rsid w:val="6C6A086F"/>
    <w:rsid w:val="6CAF54C3"/>
    <w:rsid w:val="6D2715E6"/>
    <w:rsid w:val="6D2B6B41"/>
    <w:rsid w:val="6D4D45EF"/>
    <w:rsid w:val="6D5339E4"/>
    <w:rsid w:val="6D743B93"/>
    <w:rsid w:val="6D7970A3"/>
    <w:rsid w:val="6D874650"/>
    <w:rsid w:val="6DAF51BB"/>
    <w:rsid w:val="6DCE2C49"/>
    <w:rsid w:val="6DE454B8"/>
    <w:rsid w:val="6DE9487C"/>
    <w:rsid w:val="6E015FFF"/>
    <w:rsid w:val="6E0D5293"/>
    <w:rsid w:val="6E18358A"/>
    <w:rsid w:val="6E2B5111"/>
    <w:rsid w:val="6E5F294A"/>
    <w:rsid w:val="6E623FDB"/>
    <w:rsid w:val="6E62766C"/>
    <w:rsid w:val="6E6C60D7"/>
    <w:rsid w:val="6E841C7C"/>
    <w:rsid w:val="6E9E391E"/>
    <w:rsid w:val="6EBE7FA5"/>
    <w:rsid w:val="6EC22971"/>
    <w:rsid w:val="6EE7360C"/>
    <w:rsid w:val="6EEC35B5"/>
    <w:rsid w:val="6F152DFC"/>
    <w:rsid w:val="6F211BF5"/>
    <w:rsid w:val="6F5252F8"/>
    <w:rsid w:val="6F69402F"/>
    <w:rsid w:val="6F6D7535"/>
    <w:rsid w:val="6F773AB6"/>
    <w:rsid w:val="6F7B338A"/>
    <w:rsid w:val="6F9F4B9A"/>
    <w:rsid w:val="6FCB2946"/>
    <w:rsid w:val="6FD72CAD"/>
    <w:rsid w:val="700D2E86"/>
    <w:rsid w:val="700D5C5D"/>
    <w:rsid w:val="703A1840"/>
    <w:rsid w:val="703E51F4"/>
    <w:rsid w:val="705855B5"/>
    <w:rsid w:val="705A140E"/>
    <w:rsid w:val="707149AA"/>
    <w:rsid w:val="70786E87"/>
    <w:rsid w:val="709B3617"/>
    <w:rsid w:val="70B7060E"/>
    <w:rsid w:val="70BD0E94"/>
    <w:rsid w:val="70C00AF1"/>
    <w:rsid w:val="70C12D9C"/>
    <w:rsid w:val="71017503"/>
    <w:rsid w:val="71180E86"/>
    <w:rsid w:val="7141612A"/>
    <w:rsid w:val="714F6A99"/>
    <w:rsid w:val="715A6E35"/>
    <w:rsid w:val="7167048D"/>
    <w:rsid w:val="716C7326"/>
    <w:rsid w:val="71922E29"/>
    <w:rsid w:val="71A425E0"/>
    <w:rsid w:val="71A83375"/>
    <w:rsid w:val="71B013FA"/>
    <w:rsid w:val="72021BBE"/>
    <w:rsid w:val="72026BEA"/>
    <w:rsid w:val="72515E56"/>
    <w:rsid w:val="726A43F9"/>
    <w:rsid w:val="72783355"/>
    <w:rsid w:val="72810D01"/>
    <w:rsid w:val="72B6412D"/>
    <w:rsid w:val="72FE5269"/>
    <w:rsid w:val="73013DC3"/>
    <w:rsid w:val="73431F94"/>
    <w:rsid w:val="735A7977"/>
    <w:rsid w:val="735E280F"/>
    <w:rsid w:val="73642930"/>
    <w:rsid w:val="738B7625"/>
    <w:rsid w:val="73A0182E"/>
    <w:rsid w:val="73A152AE"/>
    <w:rsid w:val="73A93EDE"/>
    <w:rsid w:val="73DB680B"/>
    <w:rsid w:val="73F045AC"/>
    <w:rsid w:val="741D2E7E"/>
    <w:rsid w:val="744E4A37"/>
    <w:rsid w:val="746C6DF4"/>
    <w:rsid w:val="7480781A"/>
    <w:rsid w:val="748E5B2A"/>
    <w:rsid w:val="74985220"/>
    <w:rsid w:val="74AB0330"/>
    <w:rsid w:val="74AE7F7A"/>
    <w:rsid w:val="74BE7A92"/>
    <w:rsid w:val="74C80FA0"/>
    <w:rsid w:val="74C82DBC"/>
    <w:rsid w:val="74F33BDF"/>
    <w:rsid w:val="750121BA"/>
    <w:rsid w:val="750C2D25"/>
    <w:rsid w:val="75293887"/>
    <w:rsid w:val="752C6A65"/>
    <w:rsid w:val="757C1E26"/>
    <w:rsid w:val="758C632C"/>
    <w:rsid w:val="75A02F72"/>
    <w:rsid w:val="75AF5F40"/>
    <w:rsid w:val="75B32869"/>
    <w:rsid w:val="760167EA"/>
    <w:rsid w:val="76085571"/>
    <w:rsid w:val="76114CE0"/>
    <w:rsid w:val="76332694"/>
    <w:rsid w:val="764A2F51"/>
    <w:rsid w:val="7651275F"/>
    <w:rsid w:val="7657019E"/>
    <w:rsid w:val="765B4B59"/>
    <w:rsid w:val="76686D15"/>
    <w:rsid w:val="767C7879"/>
    <w:rsid w:val="768717FC"/>
    <w:rsid w:val="768C43C2"/>
    <w:rsid w:val="76A44316"/>
    <w:rsid w:val="76AB06DE"/>
    <w:rsid w:val="76C20E3A"/>
    <w:rsid w:val="76E126EB"/>
    <w:rsid w:val="76FD1302"/>
    <w:rsid w:val="7717459C"/>
    <w:rsid w:val="772E0ECB"/>
    <w:rsid w:val="77403D27"/>
    <w:rsid w:val="7763615A"/>
    <w:rsid w:val="77BE1FE6"/>
    <w:rsid w:val="77C367DD"/>
    <w:rsid w:val="77D71D14"/>
    <w:rsid w:val="77F208C9"/>
    <w:rsid w:val="77F461AD"/>
    <w:rsid w:val="78061EEC"/>
    <w:rsid w:val="78103493"/>
    <w:rsid w:val="781E20C7"/>
    <w:rsid w:val="78236589"/>
    <w:rsid w:val="7831045F"/>
    <w:rsid w:val="78355572"/>
    <w:rsid w:val="78CD0F1D"/>
    <w:rsid w:val="78D54DF1"/>
    <w:rsid w:val="7909298D"/>
    <w:rsid w:val="792627D5"/>
    <w:rsid w:val="7932313D"/>
    <w:rsid w:val="794214D7"/>
    <w:rsid w:val="79837141"/>
    <w:rsid w:val="79890941"/>
    <w:rsid w:val="79915240"/>
    <w:rsid w:val="7997722F"/>
    <w:rsid w:val="79AA3FA5"/>
    <w:rsid w:val="79AC2DD5"/>
    <w:rsid w:val="79AF6D4C"/>
    <w:rsid w:val="79B16B06"/>
    <w:rsid w:val="79BC139B"/>
    <w:rsid w:val="79EB5404"/>
    <w:rsid w:val="7A04129B"/>
    <w:rsid w:val="7A085EEC"/>
    <w:rsid w:val="7A1255D8"/>
    <w:rsid w:val="7A486292"/>
    <w:rsid w:val="7A5A050E"/>
    <w:rsid w:val="7A726011"/>
    <w:rsid w:val="7A7B7FF9"/>
    <w:rsid w:val="7A800BB7"/>
    <w:rsid w:val="7A8A28F0"/>
    <w:rsid w:val="7ABC4B7F"/>
    <w:rsid w:val="7ACA79A5"/>
    <w:rsid w:val="7ACC2F08"/>
    <w:rsid w:val="7AD27903"/>
    <w:rsid w:val="7AD67DFB"/>
    <w:rsid w:val="7AEA0046"/>
    <w:rsid w:val="7AFB78D5"/>
    <w:rsid w:val="7B026D06"/>
    <w:rsid w:val="7B497F48"/>
    <w:rsid w:val="7B511D29"/>
    <w:rsid w:val="7B570793"/>
    <w:rsid w:val="7B573A84"/>
    <w:rsid w:val="7B7A6E08"/>
    <w:rsid w:val="7B827A6B"/>
    <w:rsid w:val="7B8536C2"/>
    <w:rsid w:val="7B911885"/>
    <w:rsid w:val="7B9D777A"/>
    <w:rsid w:val="7BAB5D85"/>
    <w:rsid w:val="7BDC41C4"/>
    <w:rsid w:val="7C0C72F2"/>
    <w:rsid w:val="7C2327BF"/>
    <w:rsid w:val="7C3201CA"/>
    <w:rsid w:val="7C365F6F"/>
    <w:rsid w:val="7C475B0B"/>
    <w:rsid w:val="7C512196"/>
    <w:rsid w:val="7CA62321"/>
    <w:rsid w:val="7CA86152"/>
    <w:rsid w:val="7CB27D3F"/>
    <w:rsid w:val="7CF56BA5"/>
    <w:rsid w:val="7CF851A1"/>
    <w:rsid w:val="7D190F91"/>
    <w:rsid w:val="7D1949CF"/>
    <w:rsid w:val="7D347719"/>
    <w:rsid w:val="7D723107"/>
    <w:rsid w:val="7D754ED2"/>
    <w:rsid w:val="7D7810DD"/>
    <w:rsid w:val="7DCC0B6E"/>
    <w:rsid w:val="7DE40DFB"/>
    <w:rsid w:val="7DEF14B4"/>
    <w:rsid w:val="7DF74740"/>
    <w:rsid w:val="7E0155BF"/>
    <w:rsid w:val="7E0D62E5"/>
    <w:rsid w:val="7E12478C"/>
    <w:rsid w:val="7E1A7B53"/>
    <w:rsid w:val="7E1B0869"/>
    <w:rsid w:val="7E227618"/>
    <w:rsid w:val="7E3113D6"/>
    <w:rsid w:val="7E4B05E8"/>
    <w:rsid w:val="7E585E5A"/>
    <w:rsid w:val="7E6B5643"/>
    <w:rsid w:val="7E70324F"/>
    <w:rsid w:val="7E770B68"/>
    <w:rsid w:val="7E803881"/>
    <w:rsid w:val="7EA97F80"/>
    <w:rsid w:val="7EB046D9"/>
    <w:rsid w:val="7EC6535B"/>
    <w:rsid w:val="7EC860DC"/>
    <w:rsid w:val="7EDA196C"/>
    <w:rsid w:val="7F1929D9"/>
    <w:rsid w:val="7F3417C9"/>
    <w:rsid w:val="7F3C2436"/>
    <w:rsid w:val="7F5D4A77"/>
    <w:rsid w:val="7F811B61"/>
    <w:rsid w:val="7F8871EC"/>
    <w:rsid w:val="7F8C7C71"/>
    <w:rsid w:val="7F950B84"/>
    <w:rsid w:val="7FB179DC"/>
    <w:rsid w:val="7FBE6A22"/>
    <w:rsid w:val="7FF058EB"/>
    <w:rsid w:val="7FFE40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3"/>
    <w:next w:val="3"/>
    <w:link w:val="27"/>
    <w:qFormat/>
    <w:uiPriority w:val="0"/>
    <w:pPr>
      <w:keepNext/>
      <w:keepLines/>
      <w:spacing w:after="30" w:afterLines="30"/>
      <w:ind w:left="0"/>
      <w:jc w:val="center"/>
      <w:outlineLvl w:val="0"/>
    </w:pPr>
    <w:rPr>
      <w:rFonts w:ascii="Arial" w:hAnsi="Arial" w:eastAsia="宋体"/>
      <w:bCs/>
      <w:kern w:val="44"/>
      <w:sz w:val="32"/>
      <w:szCs w:val="32"/>
    </w:rPr>
  </w:style>
  <w:style w:type="paragraph" w:styleId="4">
    <w:name w:val="heading 2"/>
    <w:basedOn w:val="3"/>
    <w:next w:val="3"/>
    <w:qFormat/>
    <w:uiPriority w:val="0"/>
    <w:pPr>
      <w:keepNext/>
      <w:keepLines/>
      <w:tabs>
        <w:tab w:val="left" w:pos="5568"/>
      </w:tabs>
      <w:ind w:left="0"/>
      <w:jc w:val="left"/>
      <w:outlineLvl w:val="1"/>
    </w:pPr>
    <w:rPr>
      <w:rFonts w:ascii="Arial" w:hAnsi="Arial" w:eastAsia="宋体"/>
      <w:bCs/>
      <w:kern w:val="44"/>
      <w:sz w:val="30"/>
      <w:szCs w:val="28"/>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customStyle="1" w:styleId="3">
    <w:name w:val="报告正文 Char Char Char"/>
    <w:basedOn w:val="1"/>
    <w:qFormat/>
    <w:uiPriority w:val="0"/>
    <w:pPr>
      <w:adjustRightInd w:val="0"/>
      <w:snapToGrid w:val="0"/>
      <w:spacing w:line="336" w:lineRule="auto"/>
      <w:ind w:left="2603"/>
    </w:pPr>
    <w:rPr>
      <w:rFonts w:ascii="华文细黑" w:hAnsi="Calibri" w:eastAsia="华文细黑" w:cs="宋体"/>
      <w:sz w:val="22"/>
      <w:szCs w:val="24"/>
    </w:rPr>
  </w:style>
  <w:style w:type="paragraph" w:styleId="5">
    <w:name w:val="Body Text"/>
    <w:basedOn w:val="1"/>
    <w:qFormat/>
    <w:uiPriority w:val="0"/>
    <w:pPr>
      <w:widowControl w:val="0"/>
      <w:tabs>
        <w:tab w:val="left" w:pos="5775"/>
      </w:tabs>
      <w:spacing w:line="360" w:lineRule="auto"/>
      <w:jc w:val="both"/>
    </w:pPr>
    <w:rPr>
      <w:rFonts w:ascii="仿宋_GB2312" w:eastAsia="仿宋_GB2312"/>
      <w:kern w:val="2"/>
      <w:sz w:val="36"/>
      <w:szCs w:val="20"/>
    </w:rPr>
  </w:style>
  <w:style w:type="paragraph" w:styleId="6">
    <w:name w:val="Body Text Indent"/>
    <w:basedOn w:val="1"/>
    <w:qFormat/>
    <w:uiPriority w:val="0"/>
    <w:pPr>
      <w:spacing w:after="120"/>
      <w:ind w:left="420" w:leftChars="20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semiHidden/>
    <w:qFormat/>
    <w:uiPriority w:val="0"/>
  </w:style>
  <w:style w:type="paragraph" w:styleId="10">
    <w:name w:val="toc 2"/>
    <w:basedOn w:val="1"/>
    <w:next w:val="1"/>
    <w:semiHidden/>
    <w:qFormat/>
    <w:uiPriority w:val="0"/>
    <w:pPr>
      <w:ind w:left="420" w:leftChars="200"/>
    </w:pPr>
  </w:style>
  <w:style w:type="paragraph" w:styleId="11">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0"/>
    <w:rPr>
      <w:b/>
    </w:rPr>
  </w:style>
  <w:style w:type="character" w:styleId="16">
    <w:name w:val="page number"/>
    <w:qFormat/>
    <w:uiPriority w:val="0"/>
    <w:rPr>
      <w:szCs w:val="24"/>
    </w:rPr>
  </w:style>
  <w:style w:type="character" w:styleId="17">
    <w:name w:val="FollowedHyperlink"/>
    <w:basedOn w:val="14"/>
    <w:qFormat/>
    <w:uiPriority w:val="0"/>
    <w:rPr>
      <w:color w:val="222222"/>
      <w:u w:val="none"/>
    </w:rPr>
  </w:style>
  <w:style w:type="character" w:styleId="18">
    <w:name w:val="Emphasis"/>
    <w:basedOn w:val="14"/>
    <w:qFormat/>
    <w:uiPriority w:val="0"/>
  </w:style>
  <w:style w:type="character" w:styleId="19">
    <w:name w:val="HTML Definition"/>
    <w:basedOn w:val="14"/>
    <w:qFormat/>
    <w:uiPriority w:val="0"/>
  </w:style>
  <w:style w:type="character" w:styleId="20">
    <w:name w:val="HTML Variable"/>
    <w:basedOn w:val="14"/>
    <w:qFormat/>
    <w:uiPriority w:val="0"/>
  </w:style>
  <w:style w:type="character" w:styleId="21">
    <w:name w:val="Hyperlink"/>
    <w:basedOn w:val="14"/>
    <w:qFormat/>
    <w:uiPriority w:val="0"/>
    <w:rPr>
      <w:color w:val="0000FF"/>
      <w:u w:val="single"/>
    </w:rPr>
  </w:style>
  <w:style w:type="character" w:styleId="22">
    <w:name w:val="HTML Code"/>
    <w:basedOn w:val="14"/>
    <w:qFormat/>
    <w:uiPriority w:val="0"/>
    <w:rPr>
      <w:rFonts w:ascii="Courier New" w:hAnsi="Courier New" w:eastAsia="Courier New" w:cs="Courier New"/>
      <w:sz w:val="20"/>
    </w:rPr>
  </w:style>
  <w:style w:type="character" w:styleId="23">
    <w:name w:val="HTML Cite"/>
    <w:basedOn w:val="14"/>
    <w:qFormat/>
    <w:uiPriority w:val="0"/>
  </w:style>
  <w:style w:type="character" w:styleId="24">
    <w:name w:val="HTML Keyboard"/>
    <w:basedOn w:val="14"/>
    <w:qFormat/>
    <w:uiPriority w:val="0"/>
    <w:rPr>
      <w:rFonts w:hint="default" w:ascii="Courier New" w:hAnsi="Courier New" w:eastAsia="Courier New" w:cs="Courier New"/>
      <w:sz w:val="20"/>
    </w:rPr>
  </w:style>
  <w:style w:type="character" w:styleId="25">
    <w:name w:val="HTML Sample"/>
    <w:basedOn w:val="14"/>
    <w:qFormat/>
    <w:uiPriority w:val="0"/>
    <w:rPr>
      <w:rFonts w:hint="default" w:ascii="Courier New" w:hAnsi="Courier New" w:eastAsia="Courier New" w:cs="Courier New"/>
    </w:rPr>
  </w:style>
  <w:style w:type="character" w:customStyle="1" w:styleId="26">
    <w:name w:val="font41"/>
    <w:basedOn w:val="14"/>
    <w:qFormat/>
    <w:uiPriority w:val="0"/>
    <w:rPr>
      <w:rFonts w:hint="eastAsia" w:ascii="仿宋_GB2312" w:eastAsia="仿宋_GB2312" w:cs="仿宋_GB2312"/>
      <w:b/>
      <w:color w:val="000000"/>
      <w:sz w:val="24"/>
      <w:szCs w:val="24"/>
      <w:u w:val="none"/>
    </w:rPr>
  </w:style>
  <w:style w:type="character" w:customStyle="1" w:styleId="27">
    <w:name w:val="标题 1 Char"/>
    <w:link w:val="2"/>
    <w:qFormat/>
    <w:uiPriority w:val="0"/>
    <w:rPr>
      <w:rFonts w:ascii="Arial" w:hAnsi="Arial" w:eastAsia="宋体"/>
      <w:bCs/>
      <w:kern w:val="44"/>
      <w:sz w:val="32"/>
      <w:szCs w:val="32"/>
    </w:rPr>
  </w:style>
  <w:style w:type="character" w:customStyle="1" w:styleId="28">
    <w:name w:val="font01"/>
    <w:basedOn w:val="14"/>
    <w:qFormat/>
    <w:uiPriority w:val="0"/>
    <w:rPr>
      <w:rFonts w:hint="eastAsia" w:ascii="宋体" w:hAnsi="宋体" w:eastAsia="宋体" w:cs="宋体"/>
      <w:color w:val="000000"/>
      <w:sz w:val="22"/>
      <w:szCs w:val="22"/>
      <w:u w:val="none"/>
    </w:rPr>
  </w:style>
  <w:style w:type="character" w:customStyle="1" w:styleId="29">
    <w:name w:val="font11"/>
    <w:basedOn w:val="14"/>
    <w:qFormat/>
    <w:uiPriority w:val="0"/>
    <w:rPr>
      <w:rFonts w:ascii="宋体" w:hAnsi="宋体" w:eastAsia="宋体" w:cs="宋体"/>
      <w:color w:val="000000"/>
      <w:sz w:val="22"/>
      <w:szCs w:val="22"/>
      <w:u w:val="none"/>
    </w:rPr>
  </w:style>
  <w:style w:type="character" w:customStyle="1" w:styleId="30">
    <w:name w:val="ml2csping"/>
    <w:basedOn w:val="14"/>
    <w:qFormat/>
    <w:uiPriority w:val="0"/>
  </w:style>
  <w:style w:type="character" w:customStyle="1" w:styleId="31">
    <w:name w:val="font21"/>
    <w:basedOn w:val="14"/>
    <w:qFormat/>
    <w:uiPriority w:val="0"/>
    <w:rPr>
      <w:rFonts w:hint="eastAsia" w:ascii="宋体" w:hAnsi="宋体" w:eastAsia="宋体" w:cs="宋体"/>
      <w:color w:val="000000"/>
      <w:sz w:val="22"/>
      <w:szCs w:val="22"/>
      <w:u w:val="none"/>
    </w:rPr>
  </w:style>
  <w:style w:type="paragraph" w:customStyle="1" w:styleId="32">
    <w:name w:val="Normal"/>
    <w:qFormat/>
    <w:uiPriority w:val="0"/>
    <w:pPr>
      <w:jc w:val="both"/>
    </w:pPr>
    <w:rPr>
      <w:rFonts w:ascii="Times New Roman" w:hAnsi="Times New Roman" w:eastAsia="宋体" w:cs="Times New Roman"/>
      <w:kern w:val="2"/>
      <w:sz w:val="21"/>
      <w:szCs w:val="21"/>
      <w:lang w:val="en-US" w:eastAsia="zh-CN" w:bidi="ar-SA"/>
    </w:rPr>
  </w:style>
  <w:style w:type="paragraph" w:customStyle="1" w:styleId="33">
    <w:name w:val="报告正文"/>
    <w:basedOn w:val="1"/>
    <w:qFormat/>
    <w:uiPriority w:val="0"/>
    <w:pPr>
      <w:adjustRightInd w:val="0"/>
      <w:snapToGrid w:val="0"/>
      <w:spacing w:line="336" w:lineRule="auto"/>
      <w:ind w:left="2603"/>
    </w:pPr>
    <w:rPr>
      <w:rFonts w:ascii="华文细黑" w:eastAsia="华文细黑" w:cs="宋体"/>
      <w:sz w:val="22"/>
    </w:rPr>
  </w:style>
  <w:style w:type="character" w:customStyle="1" w:styleId="34">
    <w:name w:val="font31"/>
    <w:basedOn w:val="14"/>
    <w:qFormat/>
    <w:uiPriority w:val="0"/>
    <w:rPr>
      <w:rFonts w:hint="default" w:ascii="仿宋_GB2312" w:eastAsia="仿宋_GB2312" w:cs="仿宋_GB2312"/>
      <w:b/>
      <w:color w:val="000000"/>
      <w:sz w:val="18"/>
      <w:szCs w:val="18"/>
      <w:u w:val="none"/>
    </w:rPr>
  </w:style>
  <w:style w:type="paragraph" w:customStyle="1" w:styleId="35">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9.png"/><Relationship Id="rId17" Type="http://schemas.openxmlformats.org/officeDocument/2006/relationships/image" Target="media/image8.jpeg"/><Relationship Id="rId16" Type="http://schemas.openxmlformats.org/officeDocument/2006/relationships/image" Target="media/image7.jpeg"/><Relationship Id="rId15" Type="http://schemas.openxmlformats.org/officeDocument/2006/relationships/image" Target="media/image6.jpeg"/><Relationship Id="rId14" Type="http://schemas.openxmlformats.org/officeDocument/2006/relationships/image" Target="media/image5.jpeg"/><Relationship Id="rId13" Type="http://schemas.openxmlformats.org/officeDocument/2006/relationships/image" Target="media/image4.jpeg"/><Relationship Id="rId12" Type="http://schemas.openxmlformats.org/officeDocument/2006/relationships/image" Target="media/image3.jpeg"/><Relationship Id="rId11" Type="http://schemas.openxmlformats.org/officeDocument/2006/relationships/image" Target="media/image2.wmf"/><Relationship Id="rId10" Type="http://schemas.openxmlformats.org/officeDocument/2006/relationships/oleObject" Target="embeddings/oleObject1.bin"/><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6740</Words>
  <Characters>7210</Characters>
  <Lines>0</Lines>
  <Paragraphs>0</Paragraphs>
  <TotalTime>29</TotalTime>
  <ScaleCrop>false</ScaleCrop>
  <LinksUpToDate>false</LinksUpToDate>
  <CharactersWithSpaces>8378</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2019-09-06T09:55:00Z</dcterms:created>
  <dc:creator>天生要强(Uzi)</dc:creator>
  <cp:lastModifiedBy>胡显耀</cp:lastModifiedBy>
  <cp:lastPrinted>2022-10-10T06:56:00Z</cp:lastPrinted>
  <dcterms:modified xsi:type="dcterms:W3CDTF">2022-11-09T03:14:40Z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43458EA066494D73A6643B2A5B45FAC7</vt:lpwstr>
  </property>
</Properties>
</file>