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rPr>
      </w:pPr>
      <w:bookmarkStart w:id="0" w:name="_Toc471825261"/>
      <w:r>
        <w:t xml:space="preserve"> </w:t>
      </w:r>
    </w:p>
    <w:p>
      <w:pPr>
        <w:rPr>
          <w:rFonts w:cs="Times New Roman"/>
        </w:rPr>
      </w:pPr>
    </w:p>
    <w:p>
      <w:pPr>
        <w:jc w:val="both"/>
        <w:rPr>
          <w:rFonts w:ascii="宋体" w:cs="Times New Roman"/>
          <w:b/>
          <w:bCs/>
          <w:sz w:val="44"/>
          <w:szCs w:val="44"/>
        </w:rPr>
      </w:pPr>
    </w:p>
    <w:bookmarkEnd w:id="0"/>
    <w:p>
      <w:pPr>
        <w:jc w:val="center"/>
        <w:rPr>
          <w:rFonts w:hint="eastAsia" w:ascii="宋体" w:hAnsi="宋体" w:cs="宋体"/>
          <w:b/>
          <w:bCs/>
          <w:sz w:val="44"/>
          <w:szCs w:val="44"/>
          <w:lang w:eastAsia="zh-CN"/>
        </w:rPr>
      </w:pPr>
      <w:bookmarkStart w:id="1" w:name="_Toc9212"/>
      <w:bookmarkStart w:id="2" w:name="_Toc446783847"/>
      <w:bookmarkStart w:id="3" w:name="_Toc450934394"/>
      <w:bookmarkStart w:id="4" w:name="_Toc471825296"/>
      <w:bookmarkStart w:id="5" w:name="_Toc446842826"/>
      <w:bookmarkStart w:id="6" w:name="_Toc446842395"/>
      <w:bookmarkStart w:id="7" w:name="_Toc446842903"/>
      <w:bookmarkStart w:id="8" w:name="_Toc446842642"/>
      <w:r>
        <w:rPr>
          <w:rFonts w:hint="eastAsia" w:ascii="宋体" w:hAnsi="宋体" w:cs="宋体"/>
          <w:b/>
          <w:bCs/>
          <w:sz w:val="44"/>
          <w:szCs w:val="44"/>
          <w:lang w:val="en-US" w:eastAsia="zh-CN"/>
        </w:rPr>
        <w:t>于希忠涉执房地产司法评估</w:t>
      </w:r>
      <w:r>
        <w:rPr>
          <w:rFonts w:hint="eastAsia" w:ascii="宋体" w:hAnsi="宋体" w:cs="宋体"/>
          <w:b/>
          <w:bCs/>
          <w:sz w:val="44"/>
          <w:szCs w:val="44"/>
          <w:lang w:eastAsia="zh-CN"/>
        </w:rPr>
        <w:t>项目</w:t>
      </w:r>
    </w:p>
    <w:p>
      <w:pPr>
        <w:jc w:val="center"/>
        <w:rPr>
          <w:rFonts w:ascii="宋体" w:cs="Times New Roman"/>
          <w:b/>
          <w:bCs/>
          <w:sz w:val="44"/>
          <w:szCs w:val="44"/>
        </w:rPr>
      </w:pPr>
      <w:r>
        <w:rPr>
          <w:rFonts w:hint="eastAsia" w:ascii="宋体" w:hAnsi="宋体" w:cs="宋体"/>
          <w:b/>
          <w:bCs/>
          <w:sz w:val="44"/>
          <w:szCs w:val="44"/>
        </w:rPr>
        <w:t>房</w:t>
      </w:r>
      <w:r>
        <w:rPr>
          <w:rFonts w:hint="eastAsia" w:ascii="宋体" w:hAnsi="宋体" w:cs="宋体"/>
          <w:b/>
          <w:bCs/>
          <w:sz w:val="44"/>
          <w:szCs w:val="44"/>
          <w:lang w:eastAsia="zh-CN"/>
        </w:rPr>
        <w:t>地</w:t>
      </w:r>
      <w:r>
        <w:rPr>
          <w:rFonts w:hint="eastAsia" w:ascii="宋体" w:hAnsi="宋体" w:cs="宋体"/>
          <w:b/>
          <w:bCs/>
          <w:sz w:val="44"/>
          <w:szCs w:val="44"/>
        </w:rPr>
        <w:t>产估价报告书</w:t>
      </w:r>
    </w:p>
    <w:p>
      <w:pPr>
        <w:rPr>
          <w:rFonts w:cs="Times New Roman"/>
        </w:rPr>
      </w:pPr>
    </w:p>
    <w:p>
      <w:pPr>
        <w:jc w:val="center"/>
        <w:rPr>
          <w:rFonts w:ascii="宋体" w:cs="Times New Roman"/>
          <w:b/>
          <w:bCs/>
          <w:sz w:val="32"/>
          <w:szCs w:val="32"/>
          <w:highlight w:val="none"/>
        </w:rPr>
      </w:pPr>
      <w:r>
        <w:rPr>
          <w:rFonts w:hint="eastAsia" w:ascii="宋体" w:hAnsi="宋体" w:cs="宋体"/>
          <w:b/>
          <w:bCs/>
          <w:sz w:val="32"/>
          <w:szCs w:val="32"/>
          <w:highlight w:val="none"/>
        </w:rPr>
        <w:t>辽方正房估</w:t>
      </w:r>
      <w:r>
        <w:rPr>
          <w:rFonts w:hint="eastAsia" w:ascii="宋体" w:hAnsi="宋体" w:cs="宋体"/>
          <w:b/>
          <w:bCs/>
          <w:sz w:val="32"/>
          <w:szCs w:val="32"/>
          <w:highlight w:val="none"/>
          <w:lang w:eastAsia="zh-CN"/>
        </w:rPr>
        <w:t>咨</w:t>
      </w:r>
      <w:r>
        <w:rPr>
          <w:rFonts w:hint="eastAsia" w:ascii="宋体" w:hAnsi="宋体" w:cs="宋体"/>
          <w:b/>
          <w:bCs/>
          <w:sz w:val="32"/>
          <w:szCs w:val="32"/>
          <w:highlight w:val="none"/>
        </w:rPr>
        <w:t>字（</w:t>
      </w:r>
      <w:r>
        <w:rPr>
          <w:rFonts w:ascii="宋体" w:hAnsi="宋体" w:cs="宋体"/>
          <w:b/>
          <w:bCs/>
          <w:sz w:val="32"/>
          <w:szCs w:val="32"/>
          <w:highlight w:val="none"/>
        </w:rPr>
        <w:t>20</w:t>
      </w:r>
      <w:r>
        <w:rPr>
          <w:rFonts w:hint="eastAsia" w:ascii="宋体" w:hAnsi="宋体" w:cs="宋体"/>
          <w:b/>
          <w:bCs/>
          <w:sz w:val="32"/>
          <w:szCs w:val="32"/>
          <w:highlight w:val="none"/>
          <w:lang w:val="en-US" w:eastAsia="zh-CN"/>
        </w:rPr>
        <w:t>22</w:t>
      </w:r>
      <w:r>
        <w:rPr>
          <w:rFonts w:hint="eastAsia" w:ascii="宋体" w:hAnsi="宋体" w:cs="宋体"/>
          <w:b/>
          <w:bCs/>
          <w:sz w:val="32"/>
          <w:szCs w:val="32"/>
          <w:highlight w:val="none"/>
        </w:rPr>
        <w:t>）第</w:t>
      </w:r>
      <w:r>
        <w:rPr>
          <w:rFonts w:hint="eastAsia" w:ascii="宋体" w:hAnsi="宋体" w:cs="宋体"/>
          <w:b/>
          <w:bCs/>
          <w:sz w:val="32"/>
          <w:szCs w:val="32"/>
          <w:highlight w:val="none"/>
          <w:lang w:val="en-US" w:eastAsia="zh-CN"/>
        </w:rPr>
        <w:t>104</w:t>
      </w:r>
      <w:r>
        <w:rPr>
          <w:rFonts w:hint="eastAsia" w:ascii="宋体" w:hAnsi="宋体" w:cs="宋体"/>
          <w:b/>
          <w:bCs/>
          <w:sz w:val="32"/>
          <w:szCs w:val="32"/>
          <w:highlight w:val="none"/>
        </w:rPr>
        <w:t>号</w:t>
      </w:r>
    </w:p>
    <w:p>
      <w:pPr>
        <w:rPr>
          <w:rFonts w:ascii="楷体_GB2312" w:eastAsia="楷体_GB2312" w:cs="Times New Roman"/>
        </w:rPr>
      </w:pPr>
    </w:p>
    <w:p>
      <w:pPr>
        <w:rPr>
          <w:rFonts w:ascii="楷体_GB2312" w:eastAsia="楷体_GB2312" w:cs="Times New Roman"/>
        </w:rPr>
      </w:pPr>
    </w:p>
    <w:p>
      <w:pPr>
        <w:rPr>
          <w:rFonts w:ascii="楷体_GB2312" w:eastAsia="楷体_GB2312" w:cs="Times New Roman"/>
        </w:rPr>
      </w:pPr>
    </w:p>
    <w:p>
      <w:pPr>
        <w:rPr>
          <w:rFonts w:ascii="楷体_GB2312" w:eastAsia="楷体_GB2312" w:cs="Times New Roman"/>
        </w:rPr>
      </w:pPr>
    </w:p>
    <w:p>
      <w:pPr>
        <w:rPr>
          <w:rFonts w:ascii="楷体_GB2312" w:eastAsia="楷体_GB2312" w:cs="Times New Roman"/>
        </w:rPr>
      </w:pPr>
    </w:p>
    <w:p>
      <w:pPr>
        <w:rPr>
          <w:rFonts w:ascii="楷体_GB2312" w:eastAsia="楷体_GB2312" w:cs="Times New Roman"/>
        </w:rPr>
      </w:pPr>
    </w:p>
    <w:p>
      <w:pPr>
        <w:rPr>
          <w:rFonts w:ascii="楷体_GB2312" w:eastAsia="楷体_GB2312" w:cs="Times New Roman"/>
        </w:rPr>
      </w:pPr>
    </w:p>
    <w:p>
      <w:pPr>
        <w:rPr>
          <w:rFonts w:ascii="楷体_GB2312" w:eastAsia="楷体_GB2312" w:cs="Times New Roman"/>
        </w:rPr>
      </w:pPr>
    </w:p>
    <w:p>
      <w:pPr>
        <w:rPr>
          <w:rFonts w:ascii="楷体_GB2312" w:eastAsia="楷体_GB2312" w:cs="Times New Roman"/>
        </w:rPr>
      </w:pPr>
    </w:p>
    <w:p>
      <w:pPr>
        <w:rPr>
          <w:rFonts w:ascii="楷体_GB2312" w:eastAsia="楷体_GB2312" w:cs="Times New Roman"/>
        </w:rPr>
      </w:pPr>
    </w:p>
    <w:p>
      <w:pPr>
        <w:rPr>
          <w:rFonts w:ascii="楷体_GB2312" w:eastAsia="楷体_GB2312" w:cs="Times New Roman"/>
        </w:rPr>
      </w:pPr>
    </w:p>
    <w:p>
      <w:pPr>
        <w:jc w:val="center"/>
        <w:rPr>
          <w:rFonts w:ascii="宋体" w:cs="Times New Roman"/>
          <w:b/>
          <w:bCs/>
          <w:sz w:val="32"/>
          <w:szCs w:val="32"/>
        </w:rPr>
      </w:pPr>
    </w:p>
    <w:p>
      <w:pPr>
        <w:jc w:val="center"/>
        <w:rPr>
          <w:rFonts w:ascii="宋体" w:cs="Times New Roman"/>
          <w:b/>
          <w:bCs/>
          <w:sz w:val="32"/>
          <w:szCs w:val="32"/>
        </w:rPr>
      </w:pPr>
    </w:p>
    <w:p>
      <w:pPr>
        <w:jc w:val="center"/>
        <w:rPr>
          <w:rFonts w:ascii="宋体" w:cs="Times New Roman"/>
          <w:b/>
          <w:bCs/>
          <w:sz w:val="32"/>
          <w:szCs w:val="32"/>
        </w:rPr>
      </w:pPr>
    </w:p>
    <w:p>
      <w:pPr>
        <w:jc w:val="center"/>
        <w:rPr>
          <w:rFonts w:hint="eastAsia" w:ascii="宋体" w:hAnsi="宋体" w:cs="宋体"/>
          <w:b/>
          <w:bCs/>
          <w:sz w:val="32"/>
          <w:szCs w:val="32"/>
        </w:rPr>
      </w:pPr>
    </w:p>
    <w:p>
      <w:pPr>
        <w:jc w:val="both"/>
        <w:rPr>
          <w:rFonts w:hint="eastAsia" w:ascii="宋体" w:hAnsi="宋体" w:cs="宋体"/>
          <w:b/>
          <w:bCs/>
          <w:sz w:val="32"/>
          <w:szCs w:val="32"/>
        </w:rPr>
      </w:pPr>
    </w:p>
    <w:p>
      <w:pPr>
        <w:jc w:val="center"/>
        <w:rPr>
          <w:rFonts w:ascii="宋体" w:cs="Times New Roman"/>
          <w:b/>
          <w:bCs/>
          <w:sz w:val="32"/>
          <w:szCs w:val="32"/>
        </w:rPr>
      </w:pPr>
      <w:r>
        <w:rPr>
          <w:rFonts w:hint="eastAsia" w:ascii="宋体" w:hAnsi="宋体" w:cs="宋体"/>
          <w:b/>
          <w:bCs/>
          <w:sz w:val="32"/>
          <w:szCs w:val="32"/>
        </w:rPr>
        <w:t>辽宁方正房产土地资产评估有限责任公司</w:t>
      </w:r>
    </w:p>
    <w:p>
      <w:pPr>
        <w:rPr>
          <w:rFonts w:ascii="宋体" w:cs="Times New Roman"/>
        </w:rPr>
      </w:pPr>
    </w:p>
    <w:p>
      <w:pPr>
        <w:jc w:val="center"/>
        <w:rPr>
          <w:rFonts w:ascii="宋体" w:cs="Times New Roman"/>
          <w:b/>
          <w:bCs/>
          <w:sz w:val="32"/>
          <w:szCs w:val="32"/>
        </w:rPr>
      </w:pPr>
      <w:r>
        <w:rPr>
          <w:rFonts w:hint="eastAsia" w:ascii="宋体" w:hAnsi="宋体" w:cs="宋体"/>
          <w:b/>
          <w:bCs/>
          <w:sz w:val="32"/>
          <w:szCs w:val="32"/>
        </w:rPr>
        <w:t>报告提交日期：二○</w:t>
      </w:r>
      <w:r>
        <w:rPr>
          <w:rFonts w:hint="eastAsia" w:ascii="宋体" w:hAnsi="宋体" w:cs="宋体"/>
          <w:b/>
          <w:bCs/>
          <w:sz w:val="32"/>
          <w:szCs w:val="32"/>
          <w:lang w:eastAsia="zh-CN"/>
        </w:rPr>
        <w:t>二</w:t>
      </w:r>
      <w:r>
        <w:rPr>
          <w:rFonts w:hint="eastAsia" w:ascii="宋体" w:hAnsi="宋体" w:cs="宋体"/>
          <w:b/>
          <w:bCs/>
          <w:sz w:val="32"/>
          <w:szCs w:val="32"/>
          <w:lang w:val="en-US" w:eastAsia="zh-CN"/>
        </w:rPr>
        <w:t>二</w:t>
      </w:r>
      <w:r>
        <w:rPr>
          <w:rFonts w:hint="eastAsia" w:ascii="宋体" w:hAnsi="宋体" w:cs="宋体"/>
          <w:b/>
          <w:bCs/>
          <w:sz w:val="32"/>
          <w:szCs w:val="32"/>
        </w:rPr>
        <w:t>年</w:t>
      </w:r>
      <w:r>
        <w:rPr>
          <w:rFonts w:hint="eastAsia" w:ascii="宋体" w:hAnsi="宋体" w:cs="宋体"/>
          <w:b/>
          <w:bCs/>
          <w:sz w:val="32"/>
          <w:szCs w:val="32"/>
          <w:lang w:val="en-US" w:eastAsia="zh-CN"/>
        </w:rPr>
        <w:t>八</w:t>
      </w:r>
      <w:r>
        <w:rPr>
          <w:rFonts w:hint="eastAsia" w:ascii="宋体" w:hAnsi="宋体" w:cs="宋体"/>
          <w:b/>
          <w:bCs/>
          <w:sz w:val="32"/>
          <w:szCs w:val="32"/>
          <w:lang w:eastAsia="zh-CN"/>
        </w:rPr>
        <w:t>月</w:t>
      </w:r>
      <w:r>
        <w:rPr>
          <w:rFonts w:hint="eastAsia" w:ascii="宋体" w:hAnsi="宋体" w:cs="宋体"/>
          <w:b/>
          <w:bCs/>
          <w:sz w:val="32"/>
          <w:szCs w:val="32"/>
          <w:lang w:val="en-US" w:eastAsia="zh-CN"/>
        </w:rPr>
        <w:t>八</w:t>
      </w:r>
      <w:r>
        <w:rPr>
          <w:rFonts w:hint="eastAsia" w:ascii="宋体" w:hAnsi="宋体" w:cs="宋体"/>
          <w:b/>
          <w:bCs/>
          <w:sz w:val="32"/>
          <w:szCs w:val="32"/>
          <w:lang w:eastAsia="zh-CN"/>
        </w:rPr>
        <w:t>日</w:t>
      </w:r>
    </w:p>
    <w:p>
      <w:pPr>
        <w:jc w:val="center"/>
        <w:rPr>
          <w:rFonts w:hint="eastAsia" w:ascii="宋体" w:hAnsi="宋体" w:cs="宋体"/>
          <w:b/>
          <w:bCs/>
          <w:sz w:val="44"/>
          <w:szCs w:val="44"/>
        </w:rPr>
      </w:pPr>
    </w:p>
    <w:p>
      <w:pPr>
        <w:jc w:val="center"/>
        <w:rPr>
          <w:rFonts w:hint="eastAsia" w:ascii="宋体" w:hAnsi="宋体" w:cs="宋体"/>
          <w:b/>
          <w:bCs/>
          <w:sz w:val="44"/>
          <w:szCs w:val="44"/>
        </w:rPr>
      </w:pPr>
    </w:p>
    <w:p>
      <w:pPr>
        <w:jc w:val="center"/>
        <w:rPr>
          <w:rFonts w:hint="eastAsia" w:ascii="宋体" w:hAnsi="宋体" w:cs="宋体"/>
          <w:b/>
          <w:bCs/>
          <w:sz w:val="44"/>
          <w:szCs w:val="44"/>
        </w:rPr>
      </w:pPr>
    </w:p>
    <w:p>
      <w:pPr>
        <w:jc w:val="center"/>
        <w:rPr>
          <w:rFonts w:ascii="宋体" w:cs="Times New Roman"/>
          <w:b/>
          <w:bCs/>
          <w:sz w:val="44"/>
          <w:szCs w:val="44"/>
        </w:rPr>
      </w:pPr>
      <w:r>
        <w:rPr>
          <w:rFonts w:hint="eastAsia" w:ascii="宋体" w:hAnsi="宋体" w:cs="宋体"/>
          <w:b/>
          <w:bCs/>
          <w:sz w:val="44"/>
          <w:szCs w:val="44"/>
        </w:rPr>
        <w:t>房地产</w:t>
      </w:r>
      <w:r>
        <w:rPr>
          <w:rFonts w:hint="eastAsia" w:ascii="宋体" w:hAnsi="宋体" w:cs="宋体"/>
          <w:b/>
          <w:bCs/>
          <w:sz w:val="44"/>
          <w:szCs w:val="44"/>
          <w:lang w:eastAsia="zh-CN"/>
        </w:rPr>
        <w:t>估价</w:t>
      </w:r>
      <w:r>
        <w:rPr>
          <w:rFonts w:hint="eastAsia" w:ascii="宋体" w:hAnsi="宋体" w:cs="宋体"/>
          <w:b/>
          <w:bCs/>
          <w:sz w:val="44"/>
          <w:szCs w:val="44"/>
        </w:rPr>
        <w:t>报告</w:t>
      </w:r>
    </w:p>
    <w:p>
      <w:pPr>
        <w:jc w:val="center"/>
        <w:rPr>
          <w:rFonts w:ascii="宋体" w:cs="Times New Roman"/>
          <w:b/>
          <w:bCs/>
          <w:sz w:val="30"/>
          <w:szCs w:val="30"/>
        </w:rPr>
      </w:pPr>
    </w:p>
    <w:p>
      <w:pPr>
        <w:ind w:firstLine="640" w:firstLineChars="200"/>
        <w:jc w:val="left"/>
        <w:rPr>
          <w:rFonts w:ascii="宋体" w:cs="Times New Roman"/>
          <w:sz w:val="32"/>
          <w:szCs w:val="32"/>
          <w:highlight w:val="yellow"/>
        </w:rPr>
      </w:pPr>
      <w:r>
        <w:rPr>
          <w:rFonts w:hint="eastAsia" w:ascii="宋体" w:hAnsi="宋体" w:cs="宋体"/>
          <w:sz w:val="32"/>
          <w:szCs w:val="32"/>
        </w:rPr>
        <w:t>估价报告编号：</w:t>
      </w:r>
      <w:r>
        <w:rPr>
          <w:rFonts w:hint="eastAsia" w:ascii="宋体" w:hAnsi="宋体" w:cs="宋体"/>
          <w:sz w:val="32"/>
          <w:szCs w:val="32"/>
          <w:highlight w:val="none"/>
        </w:rPr>
        <w:t>辽方正房估</w:t>
      </w:r>
      <w:r>
        <w:rPr>
          <w:rFonts w:hint="eastAsia" w:ascii="宋体" w:hAnsi="宋体" w:cs="宋体"/>
          <w:sz w:val="32"/>
          <w:szCs w:val="32"/>
          <w:highlight w:val="none"/>
          <w:lang w:eastAsia="zh-CN"/>
        </w:rPr>
        <w:t>咨</w:t>
      </w:r>
      <w:r>
        <w:rPr>
          <w:rFonts w:hint="eastAsia" w:ascii="宋体" w:hAnsi="宋体" w:cs="宋体"/>
          <w:sz w:val="32"/>
          <w:szCs w:val="32"/>
          <w:highlight w:val="none"/>
        </w:rPr>
        <w:t>字（</w:t>
      </w:r>
      <w:r>
        <w:rPr>
          <w:rFonts w:ascii="宋体" w:hAnsi="宋体" w:cs="宋体"/>
          <w:sz w:val="32"/>
          <w:szCs w:val="32"/>
          <w:highlight w:val="none"/>
        </w:rPr>
        <w:t>20</w:t>
      </w:r>
      <w:r>
        <w:rPr>
          <w:rFonts w:hint="eastAsia" w:ascii="宋体" w:hAnsi="宋体" w:cs="宋体"/>
          <w:sz w:val="32"/>
          <w:szCs w:val="32"/>
          <w:highlight w:val="none"/>
          <w:lang w:val="en-US" w:eastAsia="zh-CN"/>
        </w:rPr>
        <w:t>22</w:t>
      </w:r>
      <w:r>
        <w:rPr>
          <w:rFonts w:hint="eastAsia" w:ascii="宋体" w:hAnsi="宋体" w:cs="宋体"/>
          <w:sz w:val="32"/>
          <w:szCs w:val="32"/>
          <w:highlight w:val="none"/>
        </w:rPr>
        <w:t>）第</w:t>
      </w:r>
      <w:r>
        <w:rPr>
          <w:rFonts w:hint="eastAsia" w:ascii="宋体" w:hAnsi="宋体" w:cs="宋体"/>
          <w:sz w:val="32"/>
          <w:szCs w:val="32"/>
          <w:highlight w:val="none"/>
          <w:lang w:val="en-US" w:eastAsia="zh-CN"/>
        </w:rPr>
        <w:t>104</w:t>
      </w:r>
      <w:r>
        <w:rPr>
          <w:rFonts w:hint="eastAsia" w:ascii="宋体" w:hAnsi="宋体" w:cs="宋体"/>
          <w:sz w:val="32"/>
          <w:szCs w:val="32"/>
          <w:highlight w:val="none"/>
        </w:rPr>
        <w:t>号</w:t>
      </w:r>
    </w:p>
    <w:p>
      <w:pPr>
        <w:ind w:firstLine="515" w:firstLineChars="161"/>
        <w:jc w:val="left"/>
        <w:rPr>
          <w:rFonts w:ascii="宋体" w:cs="Times New Roman"/>
          <w:sz w:val="32"/>
          <w:szCs w:val="32"/>
        </w:rPr>
      </w:pPr>
    </w:p>
    <w:p>
      <w:pPr>
        <w:ind w:firstLine="515" w:firstLineChars="161"/>
        <w:jc w:val="left"/>
        <w:rPr>
          <w:rFonts w:ascii="宋体" w:cs="Times New Roman"/>
          <w:sz w:val="32"/>
          <w:szCs w:val="32"/>
        </w:rPr>
      </w:pPr>
    </w:p>
    <w:p>
      <w:pPr>
        <w:ind w:left="2878" w:leftChars="304" w:hanging="2240" w:hangingChars="700"/>
        <w:jc w:val="left"/>
        <w:rPr>
          <w:rFonts w:hint="eastAsia" w:ascii="宋体" w:hAnsi="宋体" w:cs="宋体"/>
          <w:sz w:val="32"/>
          <w:szCs w:val="32"/>
          <w:lang w:val="en-US" w:eastAsia="zh-CN"/>
        </w:rPr>
      </w:pPr>
      <w:r>
        <w:rPr>
          <w:rFonts w:hint="eastAsia" w:ascii="宋体" w:hAnsi="宋体" w:cs="宋体"/>
          <w:sz w:val="32"/>
          <w:szCs w:val="32"/>
        </w:rPr>
        <w:t>估价项目名称：</w:t>
      </w:r>
      <w:r>
        <w:rPr>
          <w:rFonts w:hint="eastAsia" w:ascii="宋体" w:hAnsi="宋体" w:cs="宋体"/>
          <w:sz w:val="32"/>
          <w:szCs w:val="32"/>
          <w:lang w:val="en-US" w:eastAsia="zh-CN"/>
        </w:rPr>
        <w:t>王艳与于希忠、东港市宏达实业有限公司追偿权纠纷案件所涉1套住宅用途房屋司法评估项目</w:t>
      </w:r>
    </w:p>
    <w:p>
      <w:pPr>
        <w:ind w:left="2878" w:leftChars="304" w:hanging="2240" w:hangingChars="700"/>
        <w:jc w:val="left"/>
        <w:rPr>
          <w:rFonts w:hint="eastAsia" w:ascii="宋体" w:hAnsi="宋体" w:cs="宋体"/>
          <w:sz w:val="32"/>
          <w:szCs w:val="32"/>
          <w:lang w:val="en-US" w:eastAsia="zh-CN"/>
        </w:rPr>
      </w:pPr>
    </w:p>
    <w:p>
      <w:pPr>
        <w:jc w:val="left"/>
        <w:rPr>
          <w:rFonts w:hint="eastAsia" w:ascii="宋体" w:hAnsi="宋体" w:cs="宋体"/>
          <w:sz w:val="32"/>
          <w:szCs w:val="32"/>
        </w:rPr>
      </w:pPr>
    </w:p>
    <w:p>
      <w:pPr>
        <w:ind w:firstLine="640" w:firstLineChars="200"/>
        <w:jc w:val="left"/>
        <w:rPr>
          <w:rFonts w:ascii="宋体" w:cs="Times New Roman"/>
          <w:sz w:val="32"/>
          <w:szCs w:val="32"/>
        </w:rPr>
      </w:pPr>
      <w:r>
        <w:rPr>
          <w:rFonts w:hint="eastAsia" w:ascii="宋体" w:hAnsi="宋体" w:cs="宋体"/>
          <w:sz w:val="32"/>
          <w:szCs w:val="32"/>
        </w:rPr>
        <w:t>估价委托人：</w:t>
      </w:r>
      <w:r>
        <w:rPr>
          <w:rFonts w:hint="eastAsia" w:ascii="宋体" w:hAnsi="宋体" w:cs="宋体"/>
          <w:sz w:val="32"/>
          <w:szCs w:val="32"/>
          <w:lang w:eastAsia="zh-CN"/>
        </w:rPr>
        <w:t>东港市人民法院</w:t>
      </w:r>
    </w:p>
    <w:p>
      <w:pPr>
        <w:ind w:firstLine="480" w:firstLineChars="150"/>
        <w:jc w:val="left"/>
        <w:rPr>
          <w:rFonts w:ascii="宋体" w:cs="Times New Roman"/>
          <w:sz w:val="32"/>
          <w:szCs w:val="32"/>
        </w:rPr>
      </w:pPr>
    </w:p>
    <w:p>
      <w:pPr>
        <w:ind w:firstLine="480" w:firstLineChars="150"/>
        <w:jc w:val="left"/>
        <w:rPr>
          <w:rFonts w:hint="eastAsia" w:ascii="宋体" w:hAnsi="宋体" w:cs="宋体"/>
          <w:sz w:val="32"/>
          <w:szCs w:val="32"/>
        </w:rPr>
      </w:pPr>
    </w:p>
    <w:p>
      <w:pPr>
        <w:ind w:firstLine="640" w:firstLineChars="200"/>
        <w:jc w:val="left"/>
        <w:rPr>
          <w:rFonts w:hint="eastAsia" w:ascii="宋体" w:hAnsi="宋体" w:cs="宋体"/>
          <w:sz w:val="32"/>
          <w:szCs w:val="32"/>
        </w:rPr>
      </w:pPr>
      <w:r>
        <w:rPr>
          <w:rFonts w:hint="eastAsia" w:ascii="宋体" w:hAnsi="宋体" w:cs="宋体"/>
          <w:sz w:val="32"/>
          <w:szCs w:val="32"/>
        </w:rPr>
        <w:t>房地产估价机构：辽宁方正房产土地资产评估有限责任公司</w:t>
      </w:r>
    </w:p>
    <w:p>
      <w:pPr>
        <w:ind w:firstLine="640" w:firstLineChars="200"/>
        <w:jc w:val="left"/>
        <w:rPr>
          <w:rFonts w:hint="eastAsia" w:ascii="宋体" w:hAnsi="宋体" w:cs="宋体"/>
          <w:sz w:val="32"/>
          <w:szCs w:val="32"/>
        </w:rPr>
      </w:pPr>
    </w:p>
    <w:p>
      <w:pPr>
        <w:jc w:val="left"/>
        <w:rPr>
          <w:rFonts w:hint="eastAsia" w:ascii="宋体" w:hAnsi="宋体" w:cs="宋体"/>
          <w:sz w:val="32"/>
          <w:szCs w:val="32"/>
        </w:rPr>
      </w:pPr>
    </w:p>
    <w:p>
      <w:pPr>
        <w:ind w:firstLine="640" w:firstLineChars="200"/>
        <w:jc w:val="left"/>
        <w:rPr>
          <w:rFonts w:ascii="宋体" w:hAnsi="宋体" w:cs="宋体"/>
          <w:sz w:val="32"/>
          <w:szCs w:val="32"/>
        </w:rPr>
      </w:pPr>
      <w:r>
        <w:rPr>
          <w:rFonts w:hint="eastAsia" w:ascii="宋体" w:hAnsi="宋体" w:cs="宋体"/>
          <w:sz w:val="32"/>
          <w:szCs w:val="32"/>
        </w:rPr>
        <w:t>注册房地产估价师：</w:t>
      </w:r>
      <w:r>
        <w:rPr>
          <w:rFonts w:hint="eastAsia" w:ascii="宋体" w:hAnsi="宋体" w:cs="宋体"/>
          <w:sz w:val="32"/>
          <w:szCs w:val="32"/>
          <w:lang w:val="en-US" w:eastAsia="zh-CN"/>
        </w:rPr>
        <w:t xml:space="preserve">  </w:t>
      </w:r>
      <w:r>
        <w:rPr>
          <w:rFonts w:hint="eastAsia" w:ascii="宋体" w:hAnsi="宋体" w:cs="宋体"/>
          <w:sz w:val="32"/>
          <w:szCs w:val="32"/>
          <w:lang w:eastAsia="zh-CN"/>
        </w:rPr>
        <w:t>朱玉峰</w:t>
      </w:r>
      <w:r>
        <w:rPr>
          <w:rFonts w:ascii="宋体" w:hAnsi="宋体" w:cs="宋体"/>
          <w:sz w:val="32"/>
          <w:szCs w:val="32"/>
        </w:rPr>
        <w:t xml:space="preserve">     2120</w:t>
      </w:r>
      <w:r>
        <w:rPr>
          <w:rFonts w:hint="eastAsia" w:ascii="宋体" w:hAnsi="宋体" w:cs="宋体"/>
          <w:sz w:val="32"/>
          <w:szCs w:val="32"/>
          <w:lang w:val="en-US" w:eastAsia="zh-CN"/>
        </w:rPr>
        <w:t>060152</w:t>
      </w:r>
    </w:p>
    <w:p>
      <w:pPr>
        <w:ind w:firstLine="3840" w:firstLineChars="1200"/>
        <w:jc w:val="left"/>
        <w:rPr>
          <w:rFonts w:hint="eastAsia" w:ascii="宋体" w:hAnsi="宋体" w:cs="宋体"/>
          <w:sz w:val="32"/>
          <w:szCs w:val="32"/>
        </w:rPr>
      </w:pPr>
      <w:r>
        <w:rPr>
          <w:rFonts w:hint="eastAsia" w:ascii="宋体" w:hAnsi="宋体" w:cs="宋体"/>
          <w:sz w:val="32"/>
          <w:szCs w:val="32"/>
        </w:rPr>
        <w:t>孟庆艳</w:t>
      </w:r>
      <w:r>
        <w:rPr>
          <w:rFonts w:ascii="宋体" w:hAnsi="宋体" w:cs="宋体"/>
          <w:sz w:val="32"/>
          <w:szCs w:val="32"/>
        </w:rPr>
        <w:t xml:space="preserve">     2120090066</w:t>
      </w:r>
    </w:p>
    <w:p>
      <w:pPr>
        <w:jc w:val="left"/>
        <w:rPr>
          <w:rFonts w:hint="eastAsia" w:ascii="宋体" w:hAnsi="宋体" w:cs="宋体"/>
          <w:sz w:val="32"/>
          <w:szCs w:val="32"/>
        </w:rPr>
      </w:pPr>
    </w:p>
    <w:p>
      <w:pPr>
        <w:ind w:firstLine="640" w:firstLineChars="200"/>
        <w:jc w:val="left"/>
        <w:rPr>
          <w:rFonts w:hint="eastAsia" w:ascii="宋体" w:hAnsi="宋体" w:cs="宋体"/>
          <w:sz w:val="32"/>
          <w:szCs w:val="32"/>
        </w:rPr>
      </w:pPr>
    </w:p>
    <w:p>
      <w:pPr>
        <w:ind w:firstLine="640" w:firstLineChars="200"/>
        <w:jc w:val="left"/>
        <w:rPr>
          <w:rFonts w:hint="eastAsia" w:ascii="宋体" w:hAnsi="宋体" w:cs="宋体"/>
          <w:sz w:val="32"/>
          <w:szCs w:val="32"/>
          <w:lang w:eastAsia="zh-CN"/>
        </w:rPr>
      </w:pPr>
      <w:r>
        <w:rPr>
          <w:rFonts w:hint="eastAsia" w:ascii="宋体" w:hAnsi="宋体" w:cs="宋体"/>
          <w:sz w:val="32"/>
          <w:szCs w:val="32"/>
        </w:rPr>
        <w:t>估价报告出具日期：</w:t>
      </w:r>
      <w:r>
        <w:rPr>
          <w:rFonts w:hint="eastAsia" w:ascii="宋体" w:hAnsi="宋体" w:cs="宋体"/>
          <w:sz w:val="32"/>
          <w:szCs w:val="32"/>
          <w:lang w:eastAsia="zh-CN"/>
        </w:rPr>
        <w:t>2022年</w:t>
      </w:r>
      <w:r>
        <w:rPr>
          <w:rFonts w:hint="eastAsia" w:ascii="宋体" w:hAnsi="宋体" w:cs="宋体"/>
          <w:sz w:val="32"/>
          <w:szCs w:val="32"/>
          <w:lang w:val="en-US" w:eastAsia="zh-CN"/>
        </w:rPr>
        <w:t>8</w:t>
      </w:r>
      <w:r>
        <w:rPr>
          <w:rFonts w:hint="eastAsia" w:ascii="宋体" w:hAnsi="宋体" w:cs="宋体"/>
          <w:sz w:val="32"/>
          <w:szCs w:val="32"/>
          <w:lang w:eastAsia="zh-CN"/>
        </w:rPr>
        <w:t>月</w:t>
      </w:r>
      <w:r>
        <w:rPr>
          <w:rFonts w:hint="eastAsia" w:ascii="宋体" w:hAnsi="宋体" w:cs="宋体"/>
          <w:sz w:val="32"/>
          <w:szCs w:val="32"/>
          <w:lang w:val="en-US" w:eastAsia="zh-CN"/>
        </w:rPr>
        <w:t>8</w:t>
      </w:r>
      <w:r>
        <w:rPr>
          <w:rFonts w:hint="eastAsia" w:ascii="宋体" w:hAnsi="宋体" w:cs="宋体"/>
          <w:sz w:val="32"/>
          <w:szCs w:val="32"/>
          <w:lang w:eastAsia="zh-CN"/>
        </w:rPr>
        <w:t>日</w:t>
      </w:r>
    </w:p>
    <w:p>
      <w:pPr>
        <w:spacing w:line="480" w:lineRule="auto"/>
        <w:jc w:val="center"/>
        <w:rPr>
          <w:rFonts w:ascii="宋体" w:cs="Times New Roman"/>
          <w:b/>
          <w:bCs/>
          <w:sz w:val="44"/>
          <w:szCs w:val="44"/>
        </w:rPr>
      </w:pPr>
      <w:r>
        <w:rPr>
          <w:rFonts w:hint="eastAsia" w:ascii="宋体" w:hAnsi="宋体" w:cs="宋体"/>
          <w:b/>
          <w:bCs/>
          <w:sz w:val="44"/>
          <w:szCs w:val="44"/>
        </w:rPr>
        <w:t>致估价委托人函</w:t>
      </w:r>
    </w:p>
    <w:p>
      <w:pPr>
        <w:spacing w:line="520" w:lineRule="exact"/>
        <w:rPr>
          <w:rFonts w:ascii="宋体" w:cs="Times New Roman"/>
          <w:b/>
          <w:bCs/>
          <w:sz w:val="28"/>
          <w:szCs w:val="28"/>
        </w:rPr>
      </w:pPr>
      <w:r>
        <w:rPr>
          <w:rFonts w:hint="eastAsia" w:ascii="宋体" w:hAnsi="宋体" w:cs="宋体"/>
          <w:b/>
          <w:bCs/>
          <w:sz w:val="28"/>
          <w:szCs w:val="28"/>
          <w:lang w:eastAsia="zh-CN"/>
        </w:rPr>
        <w:t>东港市人民法院</w:t>
      </w:r>
      <w:r>
        <w:rPr>
          <w:rFonts w:hint="eastAsia" w:ascii="宋体" w:hAnsi="宋体" w:cs="宋体"/>
          <w:b/>
          <w:bCs/>
          <w:sz w:val="28"/>
          <w:szCs w:val="28"/>
        </w:rPr>
        <w:t>：</w:t>
      </w:r>
    </w:p>
    <w:p>
      <w:pPr>
        <w:adjustRightInd w:val="0"/>
        <w:snapToGrid w:val="0"/>
        <w:spacing w:line="480" w:lineRule="exact"/>
        <w:ind w:firstLine="560" w:firstLineChars="200"/>
        <w:rPr>
          <w:rFonts w:hint="eastAsia" w:ascii="宋体" w:hAnsi="宋体" w:cs="宋体"/>
          <w:color w:val="000000"/>
          <w:sz w:val="28"/>
          <w:szCs w:val="28"/>
          <w:shd w:val="clear" w:color="auto" w:fill="FFFFFF"/>
        </w:rPr>
      </w:pPr>
      <w:r>
        <w:rPr>
          <w:rFonts w:hint="eastAsia" w:ascii="宋体" w:hAnsi="宋体" w:cs="宋体"/>
          <w:sz w:val="28"/>
          <w:szCs w:val="28"/>
        </w:rPr>
        <w:t>受</w:t>
      </w:r>
      <w:r>
        <w:rPr>
          <w:rFonts w:hint="eastAsia" w:ascii="宋体" w:hAnsi="宋体" w:cs="宋体"/>
          <w:sz w:val="28"/>
          <w:szCs w:val="28"/>
          <w:lang w:val="en-US" w:eastAsia="zh-CN"/>
        </w:rPr>
        <w:t>贵</w:t>
      </w:r>
      <w:r>
        <w:rPr>
          <w:rFonts w:hint="eastAsia" w:ascii="宋体" w:hAnsi="宋体" w:cs="宋体"/>
          <w:sz w:val="28"/>
          <w:szCs w:val="28"/>
          <w:lang w:eastAsia="zh-CN"/>
        </w:rPr>
        <w:t>院</w:t>
      </w:r>
      <w:r>
        <w:rPr>
          <w:rFonts w:hint="eastAsia" w:ascii="宋体" w:hAnsi="宋体" w:cs="宋体"/>
          <w:sz w:val="28"/>
          <w:szCs w:val="28"/>
        </w:rPr>
        <w:t>委托</w:t>
      </w:r>
      <w:r>
        <w:rPr>
          <w:rFonts w:hint="eastAsia" w:ascii="宋体" w:hAnsi="宋体" w:cs="宋体"/>
          <w:sz w:val="28"/>
          <w:szCs w:val="28"/>
          <w:lang w:val="en-US" w:eastAsia="zh-CN"/>
        </w:rPr>
        <w:t>(</w:t>
      </w:r>
      <w:r>
        <w:rPr>
          <w:rFonts w:hint="eastAsia" w:ascii="宋体" w:hAnsi="宋体" w:cs="宋体"/>
          <w:sz w:val="28"/>
          <w:szCs w:val="28"/>
          <w:lang w:eastAsia="zh-CN"/>
        </w:rPr>
        <w:t>司法鉴定评估委托书</w:t>
      </w:r>
      <w:r>
        <w:rPr>
          <w:rFonts w:hint="eastAsia" w:ascii="宋体" w:hAnsi="宋体" w:cs="宋体"/>
          <w:sz w:val="28"/>
          <w:szCs w:val="28"/>
          <w:lang w:val="en-US" w:eastAsia="zh-CN"/>
        </w:rPr>
        <w:t>(2021)辽0681执恢962号</w:t>
      </w:r>
      <w:r>
        <w:rPr>
          <w:rFonts w:hint="eastAsia" w:ascii="宋体" w:hAnsi="宋体" w:cs="宋体"/>
          <w:sz w:val="28"/>
          <w:szCs w:val="28"/>
          <w:lang w:eastAsia="zh-CN"/>
        </w:rPr>
        <w:t>），</w:t>
      </w:r>
      <w:r>
        <w:rPr>
          <w:rFonts w:hint="eastAsia" w:ascii="宋体" w:hAnsi="宋体" w:cs="宋体"/>
          <w:sz w:val="28"/>
          <w:szCs w:val="28"/>
        </w:rPr>
        <w:t>辽宁方正房产土地资产评估有限责任公司</w:t>
      </w:r>
      <w:r>
        <w:rPr>
          <w:rFonts w:hint="eastAsia" w:ascii="宋体" w:hAnsi="宋体" w:cs="宋体"/>
          <w:color w:val="000000"/>
          <w:sz w:val="28"/>
          <w:szCs w:val="28"/>
          <w:shd w:val="clear" w:color="auto" w:fill="FFFFFF"/>
        </w:rPr>
        <w:t>遵照独立</w:t>
      </w:r>
      <w:r>
        <w:rPr>
          <w:rFonts w:hint="eastAsia" w:ascii="宋体" w:hAnsi="宋体" w:cs="宋体"/>
          <w:color w:val="000000"/>
          <w:sz w:val="28"/>
          <w:szCs w:val="28"/>
          <w:shd w:val="clear" w:color="auto" w:fill="FFFFFF"/>
          <w:lang w:eastAsia="zh-CN"/>
        </w:rPr>
        <w:t>、</w:t>
      </w:r>
      <w:r>
        <w:rPr>
          <w:rFonts w:hint="eastAsia" w:ascii="宋体" w:hAnsi="宋体" w:cs="宋体"/>
          <w:color w:val="000000"/>
          <w:sz w:val="28"/>
          <w:szCs w:val="28"/>
          <w:shd w:val="clear" w:color="auto" w:fill="FFFFFF"/>
        </w:rPr>
        <w:t>客观、公正的原则，组织专业评估人员对</w:t>
      </w:r>
      <w:r>
        <w:rPr>
          <w:rFonts w:hint="eastAsia" w:ascii="宋体" w:hAnsi="宋体" w:cs="宋体"/>
          <w:color w:val="000000"/>
          <w:sz w:val="28"/>
          <w:szCs w:val="28"/>
          <w:shd w:val="clear" w:color="auto" w:fill="FFFFFF"/>
          <w:lang w:val="en-US" w:eastAsia="zh-CN"/>
        </w:rPr>
        <w:t>于希忠单独所有的</w:t>
      </w:r>
      <w:r>
        <w:rPr>
          <w:rFonts w:hint="eastAsia" w:ascii="宋体" w:hAnsi="宋体" w:cs="宋体"/>
          <w:color w:val="000000"/>
          <w:sz w:val="28"/>
          <w:szCs w:val="28"/>
          <w:shd w:val="clear" w:color="auto" w:fill="FFFFFF"/>
        </w:rPr>
        <w:t>位于</w:t>
      </w:r>
      <w:r>
        <w:rPr>
          <w:rFonts w:hint="eastAsia" w:ascii="宋体" w:hAnsi="宋体" w:cs="宋体"/>
          <w:color w:val="000000"/>
          <w:sz w:val="28"/>
          <w:szCs w:val="28"/>
          <w:shd w:val="clear" w:color="auto" w:fill="FFFFFF"/>
          <w:lang w:eastAsia="zh-CN"/>
        </w:rPr>
        <w:t>特莱维国际花园</w:t>
      </w:r>
      <w:r>
        <w:rPr>
          <w:rFonts w:hint="eastAsia" w:ascii="宋体" w:hAnsi="宋体" w:cs="宋体"/>
          <w:color w:val="000000"/>
          <w:sz w:val="28"/>
          <w:szCs w:val="28"/>
          <w:shd w:val="clear" w:color="auto" w:fill="FFFFFF"/>
          <w:lang w:val="en-US" w:eastAsia="zh-CN"/>
        </w:rPr>
        <w:t>9号楼1308</w:t>
      </w:r>
      <w:r>
        <w:rPr>
          <w:rFonts w:hint="eastAsia" w:ascii="宋体" w:hAnsi="宋体" w:cs="宋体"/>
          <w:sz w:val="28"/>
          <w:szCs w:val="28"/>
          <w:lang w:eastAsia="zh-CN"/>
        </w:rPr>
        <w:t>的</w:t>
      </w:r>
      <w:r>
        <w:rPr>
          <w:rFonts w:hint="eastAsia" w:ascii="宋体" w:hAnsi="宋体" w:cs="宋体"/>
          <w:sz w:val="28"/>
          <w:szCs w:val="28"/>
          <w:lang w:val="en-US" w:eastAsia="zh-CN"/>
        </w:rPr>
        <w:t>1套住宅用途房地产</w:t>
      </w:r>
      <w:r>
        <w:rPr>
          <w:rFonts w:hint="eastAsia" w:ascii="宋体" w:hAnsi="宋体" w:cs="宋体"/>
          <w:color w:val="000000"/>
          <w:sz w:val="28"/>
          <w:szCs w:val="28"/>
          <w:shd w:val="clear" w:color="auto" w:fill="FFFFFF"/>
        </w:rPr>
        <w:t>的</w:t>
      </w:r>
      <w:r>
        <w:rPr>
          <w:rFonts w:hint="eastAsia" w:ascii="宋体" w:hAnsi="宋体" w:cs="宋体"/>
          <w:color w:val="000000"/>
          <w:sz w:val="28"/>
          <w:szCs w:val="28"/>
          <w:shd w:val="clear" w:color="auto" w:fill="FFFFFF"/>
          <w:lang w:eastAsia="zh-CN"/>
        </w:rPr>
        <w:t>市场</w:t>
      </w:r>
      <w:r>
        <w:rPr>
          <w:rFonts w:hint="eastAsia" w:ascii="宋体" w:hAnsi="宋体" w:cs="宋体"/>
          <w:color w:val="000000"/>
          <w:sz w:val="28"/>
          <w:szCs w:val="28"/>
          <w:shd w:val="clear" w:color="auto" w:fill="FFFFFF"/>
        </w:rPr>
        <w:t>价值进行了评估。</w:t>
      </w:r>
      <w:bookmarkStart w:id="159" w:name="_GoBack"/>
      <w:bookmarkEnd w:id="159"/>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我公司秉着独立客观公正原则，安排公司注册房地产估价师组成专门小组，按照国家规定的技术标准和程序，认真进行了房地产的现场查勘与深入市场调查，在合理的假设下，经全面研究、分析、测算后，已形成房地产估价报告、估价结论与估价结果，现将估价基本情况与估价结果报告如下。</w:t>
      </w:r>
    </w:p>
    <w:p>
      <w:pPr>
        <w:adjustRightInd w:val="0"/>
        <w:snapToGrid w:val="0"/>
        <w:spacing w:line="480" w:lineRule="exact"/>
        <w:ind w:firstLine="562" w:firstLineChars="200"/>
        <w:rPr>
          <w:rFonts w:ascii="宋体" w:cs="Times New Roman"/>
          <w:color w:val="333333"/>
          <w:sz w:val="28"/>
          <w:szCs w:val="28"/>
        </w:rPr>
      </w:pPr>
      <w:r>
        <w:rPr>
          <w:rFonts w:hint="eastAsia" w:ascii="宋体" w:hAnsi="宋体" w:cs="宋体"/>
          <w:b/>
          <w:bCs/>
          <w:sz w:val="28"/>
          <w:szCs w:val="28"/>
        </w:rPr>
        <w:t>一、</w:t>
      </w:r>
      <w:r>
        <w:rPr>
          <w:rFonts w:hint="eastAsia" w:ascii="宋体" w:hAnsi="宋体" w:cs="宋体"/>
          <w:b/>
          <w:bCs/>
          <w:color w:val="333333"/>
          <w:sz w:val="28"/>
          <w:szCs w:val="28"/>
          <w:shd w:val="clear" w:color="auto" w:fill="FFFFFF"/>
        </w:rPr>
        <w:t>估价目的</w:t>
      </w:r>
    </w:p>
    <w:p>
      <w:pPr>
        <w:spacing w:line="520" w:lineRule="exact"/>
        <w:ind w:firstLine="560" w:firstLineChars="200"/>
        <w:rPr>
          <w:rFonts w:ascii="宋体" w:cs="Times New Roman"/>
          <w:b/>
          <w:bCs/>
          <w:sz w:val="28"/>
          <w:szCs w:val="28"/>
        </w:rPr>
      </w:pPr>
      <w:r>
        <w:rPr>
          <w:rFonts w:hint="eastAsia" w:asciiTheme="minorEastAsia" w:hAnsiTheme="minorEastAsia" w:eastAsiaTheme="minorEastAsia" w:cstheme="minorEastAsia"/>
          <w:color w:val="000000" w:themeColor="text1"/>
          <w:sz w:val="28"/>
          <w:szCs w:val="28"/>
          <w:shd w:val="clear" w:color="auto" w:fill="FFFFFF"/>
        </w:rPr>
        <w:t>为</w:t>
      </w:r>
      <w:r>
        <w:rPr>
          <w:rFonts w:hint="eastAsia" w:asciiTheme="minorEastAsia" w:hAnsiTheme="minorEastAsia" w:eastAsiaTheme="minorEastAsia" w:cstheme="minorEastAsia"/>
          <w:color w:val="000000" w:themeColor="text1"/>
          <w:sz w:val="28"/>
          <w:szCs w:val="28"/>
          <w:shd w:val="clear" w:color="auto" w:fill="FFFFFF"/>
          <w:lang w:eastAsia="zh-CN"/>
        </w:rPr>
        <w:t>人民法院确定财产处置参考价提供</w:t>
      </w:r>
      <w:r>
        <w:rPr>
          <w:rFonts w:hint="eastAsia" w:asciiTheme="minorEastAsia" w:hAnsiTheme="minorEastAsia" w:eastAsiaTheme="minorEastAsia" w:cstheme="minorEastAsia"/>
          <w:color w:val="000000" w:themeColor="text1"/>
          <w:sz w:val="28"/>
          <w:szCs w:val="28"/>
          <w:shd w:val="clear" w:color="auto" w:fill="FFFFFF"/>
          <w:lang w:val="en-US" w:eastAsia="zh-CN"/>
        </w:rPr>
        <w:t>价值</w:t>
      </w:r>
      <w:r>
        <w:rPr>
          <w:rFonts w:hint="eastAsia" w:asciiTheme="minorEastAsia" w:hAnsiTheme="minorEastAsia" w:eastAsiaTheme="minorEastAsia" w:cstheme="minorEastAsia"/>
          <w:color w:val="000000" w:themeColor="text1"/>
          <w:sz w:val="28"/>
          <w:szCs w:val="28"/>
          <w:shd w:val="clear" w:color="auto" w:fill="FFFFFF"/>
          <w:lang w:eastAsia="zh-CN"/>
        </w:rPr>
        <w:t>参考依据</w:t>
      </w:r>
      <w:r>
        <w:rPr>
          <w:rFonts w:hint="eastAsia" w:ascii="宋体" w:hAnsi="宋体" w:cs="宋体"/>
          <w:color w:val="000000"/>
          <w:sz w:val="28"/>
          <w:szCs w:val="28"/>
          <w:shd w:val="clear" w:color="auto" w:fill="FFFFFF"/>
        </w:rPr>
        <w:t>。</w:t>
      </w:r>
    </w:p>
    <w:p>
      <w:pPr>
        <w:numPr>
          <w:ilvl w:val="0"/>
          <w:numId w:val="3"/>
        </w:numPr>
        <w:shd w:val="clear" w:color="auto" w:fill="FFFFFF"/>
        <w:spacing w:line="520" w:lineRule="exact"/>
        <w:ind w:firstLine="562" w:firstLineChars="200"/>
        <w:rPr>
          <w:rFonts w:hint="eastAsia" w:ascii="宋体" w:hAnsi="宋体" w:cs="宋体"/>
          <w:b/>
          <w:bCs/>
          <w:color w:val="333333"/>
          <w:sz w:val="28"/>
          <w:szCs w:val="28"/>
          <w:shd w:val="clear" w:color="auto" w:fill="FFFFFF"/>
          <w:lang w:eastAsia="zh-CN"/>
        </w:rPr>
      </w:pPr>
      <w:r>
        <w:rPr>
          <w:rFonts w:hint="eastAsia" w:ascii="宋体" w:hAnsi="宋体" w:cs="宋体"/>
          <w:b/>
          <w:bCs/>
          <w:color w:val="333333"/>
          <w:sz w:val="28"/>
          <w:szCs w:val="28"/>
          <w:shd w:val="clear" w:color="auto" w:fill="FFFFFF"/>
          <w:lang w:eastAsia="zh-CN"/>
        </w:rPr>
        <w:t>估价对象</w:t>
      </w:r>
      <w:bookmarkStart w:id="9" w:name="_Toc32363"/>
    </w:p>
    <w:p>
      <w:pPr>
        <w:numPr>
          <w:ilvl w:val="0"/>
          <w:numId w:val="0"/>
        </w:numPr>
        <w:shd w:val="clear" w:color="auto" w:fill="FFFFFF"/>
        <w:spacing w:line="520" w:lineRule="exact"/>
        <w:ind w:firstLine="281" w:firstLineChars="100"/>
        <w:rPr>
          <w:rFonts w:hint="eastAsia" w:ascii="宋体" w:hAnsi="宋体" w:eastAsia="宋体" w:cs="宋体"/>
          <w:sz w:val="28"/>
          <w:szCs w:val="28"/>
          <w:lang w:eastAsia="zh-CN"/>
        </w:rPr>
      </w:pPr>
      <w:r>
        <w:rPr>
          <w:rFonts w:hint="eastAsia" w:ascii="宋体" w:hAnsi="宋体" w:cs="宋体"/>
          <w:b/>
          <w:bCs/>
          <w:color w:val="333333"/>
          <w:sz w:val="28"/>
          <w:szCs w:val="28"/>
          <w:shd w:val="clear" w:color="auto" w:fill="FFFFFF"/>
          <w:lang w:val="en-US" w:eastAsia="zh-CN"/>
        </w:rPr>
        <w:t xml:space="preserve">  </w:t>
      </w:r>
      <w:r>
        <w:rPr>
          <w:rFonts w:hint="eastAsia" w:ascii="宋体" w:hAnsi="宋体" w:cs="宋体"/>
          <w:b w:val="0"/>
          <w:bCs w:val="0"/>
          <w:color w:val="333333"/>
          <w:sz w:val="28"/>
          <w:szCs w:val="28"/>
          <w:shd w:val="clear" w:color="auto" w:fill="FFFFFF"/>
          <w:lang w:val="en-US" w:eastAsia="zh-CN"/>
        </w:rPr>
        <w:t>(</w:t>
      </w:r>
      <w:r>
        <w:rPr>
          <w:rFonts w:hint="eastAsia" w:ascii="宋体" w:hAnsi="宋体" w:eastAsia="宋体" w:cs="宋体"/>
          <w:sz w:val="28"/>
          <w:szCs w:val="28"/>
        </w:rPr>
        <w:t>一)财产范围：建筑物、分摊的国有土地使用权</w:t>
      </w:r>
      <w:r>
        <w:rPr>
          <w:rFonts w:hint="eastAsia" w:ascii="宋体" w:hAnsi="宋体" w:cs="宋体"/>
          <w:sz w:val="28"/>
          <w:szCs w:val="28"/>
          <w:lang w:val="en-US" w:eastAsia="zh-CN"/>
        </w:rPr>
        <w:t>、室内装修及</w:t>
      </w:r>
      <w:r>
        <w:rPr>
          <w:rFonts w:hint="eastAsia" w:ascii="宋体" w:hAnsi="宋体" w:eastAsia="宋体" w:cs="宋体"/>
          <w:sz w:val="28"/>
          <w:szCs w:val="28"/>
        </w:rPr>
        <w:t>配</w:t>
      </w:r>
      <w:r>
        <w:rPr>
          <w:rFonts w:hint="eastAsia" w:ascii="宋体" w:hAnsi="宋体" w:cs="宋体"/>
          <w:sz w:val="28"/>
          <w:szCs w:val="28"/>
          <w:lang w:eastAsia="zh-CN"/>
        </w:rPr>
        <w:t>套设施。</w:t>
      </w:r>
    </w:p>
    <w:p>
      <w:pPr>
        <w:adjustRightInd w:val="0"/>
        <w:snapToGrid w:val="0"/>
        <w:spacing w:line="480" w:lineRule="exact"/>
        <w:ind w:left="567"/>
        <w:rPr>
          <w:rFonts w:hint="eastAsia" w:ascii="宋体" w:hAnsi="宋体" w:eastAsia="宋体" w:cs="宋体"/>
          <w:sz w:val="28"/>
          <w:szCs w:val="28"/>
          <w:lang w:eastAsia="zh-CN"/>
        </w:rPr>
      </w:pPr>
      <w:r>
        <w:rPr>
          <w:rFonts w:hint="eastAsia" w:ascii="宋体" w:hAnsi="宋体" w:eastAsia="宋体" w:cs="宋体"/>
          <w:sz w:val="28"/>
          <w:szCs w:val="28"/>
        </w:rPr>
        <w:t>(二)名称：</w:t>
      </w:r>
      <w:r>
        <w:rPr>
          <w:rFonts w:hint="eastAsia" w:ascii="宋体" w:hAnsi="宋体" w:cs="宋体"/>
          <w:sz w:val="28"/>
          <w:szCs w:val="28"/>
          <w:lang w:eastAsia="zh-CN"/>
        </w:rPr>
        <w:t>于希忠</w:t>
      </w:r>
      <w:r>
        <w:rPr>
          <w:rFonts w:hint="eastAsia" w:ascii="宋体" w:hAnsi="宋体" w:cs="宋体"/>
          <w:sz w:val="28"/>
          <w:szCs w:val="28"/>
          <w:lang w:val="en-US" w:eastAsia="zh-CN"/>
        </w:rPr>
        <w:t>单独所有</w:t>
      </w:r>
      <w:r>
        <w:rPr>
          <w:rFonts w:hint="eastAsia" w:ascii="宋体" w:hAnsi="宋体" w:eastAsia="宋体" w:cs="宋体"/>
          <w:sz w:val="28"/>
          <w:szCs w:val="28"/>
        </w:rPr>
        <w:t>的房地产</w:t>
      </w:r>
      <w:r>
        <w:rPr>
          <w:rFonts w:hint="eastAsia" w:ascii="宋体" w:hAnsi="宋体" w:eastAsia="宋体" w:cs="宋体"/>
          <w:sz w:val="28"/>
          <w:szCs w:val="28"/>
          <w:lang w:eastAsia="zh-CN"/>
        </w:rPr>
        <w:t>。</w:t>
      </w:r>
    </w:p>
    <w:p>
      <w:pPr>
        <w:adjustRightInd w:val="0"/>
        <w:snapToGrid w:val="0"/>
        <w:spacing w:line="480" w:lineRule="exact"/>
        <w:ind w:firstLine="560" w:firstLineChars="200"/>
        <w:rPr>
          <w:rFonts w:hint="eastAsia" w:ascii="宋体" w:hAnsi="宋体" w:cs="宋体"/>
          <w:sz w:val="28"/>
          <w:szCs w:val="28"/>
          <w:lang w:val="en-US" w:eastAsia="zh-CN"/>
        </w:rPr>
      </w:pPr>
      <w:r>
        <w:rPr>
          <w:rFonts w:hint="eastAsia" w:ascii="宋体" w:hAnsi="宋体" w:eastAsia="宋体" w:cs="宋体"/>
          <w:sz w:val="28"/>
          <w:szCs w:val="28"/>
        </w:rPr>
        <w:t>(三)坐落：</w:t>
      </w:r>
      <w:r>
        <w:rPr>
          <w:rFonts w:hint="eastAsia" w:ascii="宋体" w:hAnsi="宋体" w:cs="宋体"/>
          <w:sz w:val="28"/>
          <w:szCs w:val="28"/>
          <w:lang w:eastAsia="zh-CN"/>
        </w:rPr>
        <w:t>特莱维国际花园</w:t>
      </w:r>
      <w:r>
        <w:rPr>
          <w:rFonts w:hint="eastAsia" w:ascii="宋体" w:hAnsi="宋体" w:cs="宋体"/>
          <w:sz w:val="28"/>
          <w:szCs w:val="28"/>
          <w:lang w:val="en-US" w:eastAsia="zh-CN"/>
        </w:rPr>
        <w:t>9号楼1308。</w:t>
      </w:r>
    </w:p>
    <w:p>
      <w:pPr>
        <w:adjustRightInd w:val="0"/>
        <w:snapToGrid w:val="0"/>
        <w:spacing w:line="48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(四)规模：建筑面积为</w:t>
      </w:r>
      <w:r>
        <w:rPr>
          <w:rFonts w:hint="eastAsia" w:asciiTheme="minorEastAsia" w:hAnsiTheme="minorEastAsia" w:eastAsiaTheme="minorEastAsia" w:cstheme="minorEastAsia"/>
          <w:color w:val="000000"/>
          <w:sz w:val="28"/>
          <w:szCs w:val="28"/>
          <w:lang w:val="en-US" w:eastAsia="zh-CN"/>
        </w:rPr>
        <w:t>86.27</w:t>
      </w:r>
      <w:r>
        <w:rPr>
          <w:rFonts w:hint="eastAsia" w:asciiTheme="minorEastAsia" w:hAnsiTheme="minorEastAsia" w:eastAsiaTheme="minorEastAsia" w:cstheme="minorEastAsia"/>
          <w:color w:val="000000"/>
          <w:sz w:val="28"/>
          <w:szCs w:val="28"/>
        </w:rPr>
        <w:t>平方米。</w:t>
      </w:r>
    </w:p>
    <w:p>
      <w:pPr>
        <w:adjustRightInd w:val="0"/>
        <w:snapToGrid w:val="0"/>
        <w:spacing w:line="48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(五)用途：</w:t>
      </w:r>
      <w:r>
        <w:rPr>
          <w:rFonts w:hint="eastAsia" w:asciiTheme="minorEastAsia" w:hAnsiTheme="minorEastAsia" w:eastAsiaTheme="minorEastAsia" w:cstheme="minorEastAsia"/>
          <w:color w:val="000000"/>
          <w:sz w:val="28"/>
          <w:szCs w:val="28"/>
          <w:lang w:eastAsia="zh-CN"/>
        </w:rPr>
        <w:t>住宅</w:t>
      </w:r>
      <w:r>
        <w:rPr>
          <w:rFonts w:hint="eastAsia" w:asciiTheme="minorEastAsia" w:hAnsiTheme="minorEastAsia" w:eastAsiaTheme="minorEastAsia" w:cstheme="minorEastAsia"/>
          <w:color w:val="000000"/>
          <w:sz w:val="28"/>
          <w:szCs w:val="28"/>
        </w:rPr>
        <w:t>。</w:t>
      </w:r>
    </w:p>
    <w:p>
      <w:pPr>
        <w:adjustRightInd w:val="0"/>
        <w:snapToGrid w:val="0"/>
        <w:spacing w:line="480" w:lineRule="exact"/>
        <w:ind w:firstLine="560" w:firstLineChars="200"/>
        <w:rPr>
          <w:rFonts w:hint="eastAsia" w:ascii="宋体" w:hAnsi="宋体" w:cs="宋体"/>
          <w:sz w:val="28"/>
          <w:szCs w:val="28"/>
          <w:lang w:val="en-US" w:eastAsia="zh-CN"/>
        </w:rPr>
      </w:pPr>
      <w:r>
        <w:rPr>
          <w:rFonts w:hint="eastAsia" w:asciiTheme="minorEastAsia" w:hAnsiTheme="minorEastAsia" w:eastAsiaTheme="minorEastAsia" w:cstheme="minorEastAsia"/>
          <w:color w:val="000000"/>
          <w:sz w:val="28"/>
          <w:szCs w:val="28"/>
        </w:rPr>
        <w:t>(六)权属：所有权人为</w:t>
      </w:r>
      <w:r>
        <w:rPr>
          <w:rFonts w:hint="eastAsia" w:asciiTheme="minorEastAsia" w:hAnsiTheme="minorEastAsia" w:eastAsiaTheme="minorEastAsia" w:cstheme="minorEastAsia"/>
          <w:color w:val="000000"/>
          <w:sz w:val="28"/>
          <w:szCs w:val="28"/>
          <w:lang w:val="en-US" w:eastAsia="zh-CN"/>
        </w:rPr>
        <w:t>于希忠</w:t>
      </w:r>
      <w:r>
        <w:rPr>
          <w:rFonts w:hint="eastAsia" w:asciiTheme="minorEastAsia" w:hAnsiTheme="minorEastAsia" w:eastAsiaTheme="minorEastAsia" w:cstheme="minorEastAsia"/>
          <w:color w:val="000000"/>
          <w:sz w:val="28"/>
          <w:szCs w:val="28"/>
        </w:rPr>
        <w:t>。</w:t>
      </w:r>
    </w:p>
    <w:p>
      <w:pPr>
        <w:keepNext w:val="0"/>
        <w:keepLines w:val="0"/>
        <w:shd w:val="clear" w:color="auto" w:fill="FFFFFF"/>
        <w:spacing w:before="0" w:after="0" w:line="520" w:lineRule="exact"/>
        <w:ind w:firstLine="562" w:firstLineChars="200"/>
        <w:jc w:val="left"/>
        <w:outlineLvl w:val="9"/>
        <w:rPr>
          <w:rFonts w:ascii="宋体" w:cs="Times New Roman"/>
          <w:color w:val="333333"/>
          <w:sz w:val="28"/>
          <w:szCs w:val="28"/>
        </w:rPr>
      </w:pPr>
      <w:r>
        <w:rPr>
          <w:rFonts w:hint="eastAsia" w:ascii="宋体" w:hAnsi="宋体" w:cs="宋体"/>
          <w:b/>
          <w:bCs/>
          <w:color w:val="333333"/>
          <w:sz w:val="28"/>
          <w:szCs w:val="28"/>
          <w:shd w:val="clear" w:color="auto" w:fill="FFFFFF"/>
        </w:rPr>
        <w:t>三、价值时点</w:t>
      </w:r>
      <w:bookmarkEnd w:id="9"/>
    </w:p>
    <w:p>
      <w:pPr>
        <w:spacing w:line="520" w:lineRule="exact"/>
        <w:ind w:firstLine="560" w:firstLineChars="200"/>
        <w:rPr>
          <w:rFonts w:ascii="宋体" w:cs="Times New Roman"/>
          <w:color w:val="333333"/>
          <w:sz w:val="28"/>
          <w:szCs w:val="28"/>
        </w:rPr>
      </w:pPr>
      <w:r>
        <w:rPr>
          <w:rFonts w:hint="eastAsia" w:ascii="宋体" w:hAnsi="宋体" w:cs="宋体"/>
          <w:color w:val="333333"/>
          <w:sz w:val="28"/>
          <w:szCs w:val="28"/>
          <w:shd w:val="clear" w:color="auto" w:fill="FFFFFF"/>
        </w:rPr>
        <w:t>价值时点为</w:t>
      </w:r>
      <w:r>
        <w:rPr>
          <w:rFonts w:hint="eastAsia" w:ascii="宋体" w:hAnsi="宋体" w:cs="宋体"/>
          <w:sz w:val="28"/>
          <w:szCs w:val="28"/>
          <w:lang w:eastAsia="zh-CN"/>
        </w:rPr>
        <w:t>2022年</w:t>
      </w:r>
      <w:r>
        <w:rPr>
          <w:rFonts w:hint="eastAsia" w:ascii="宋体" w:hAnsi="宋体" w:cs="宋体"/>
          <w:sz w:val="28"/>
          <w:szCs w:val="28"/>
          <w:lang w:val="en-US" w:eastAsia="zh-CN"/>
        </w:rPr>
        <w:t>8</w:t>
      </w:r>
      <w:r>
        <w:rPr>
          <w:rFonts w:hint="eastAsia" w:ascii="宋体" w:hAnsi="宋体" w:cs="宋体"/>
          <w:sz w:val="28"/>
          <w:szCs w:val="28"/>
          <w:lang w:eastAsia="zh-CN"/>
        </w:rPr>
        <w:t>月</w:t>
      </w:r>
      <w:r>
        <w:rPr>
          <w:rFonts w:hint="eastAsia" w:ascii="宋体" w:hAnsi="宋体" w:cs="宋体"/>
          <w:sz w:val="28"/>
          <w:szCs w:val="28"/>
          <w:lang w:val="en-US" w:eastAsia="zh-CN"/>
        </w:rPr>
        <w:t>1</w:t>
      </w:r>
      <w:r>
        <w:rPr>
          <w:rFonts w:hint="eastAsia" w:ascii="宋体" w:hAnsi="宋体" w:cs="宋体"/>
          <w:sz w:val="28"/>
          <w:szCs w:val="28"/>
          <w:lang w:eastAsia="zh-CN"/>
        </w:rPr>
        <w:t>日</w:t>
      </w:r>
      <w:r>
        <w:rPr>
          <w:rFonts w:hint="eastAsia" w:ascii="宋体" w:hAnsi="宋体" w:cs="宋体"/>
          <w:color w:val="000000"/>
          <w:sz w:val="28"/>
          <w:szCs w:val="28"/>
          <w:shd w:val="clear" w:color="auto" w:fill="FFFFFF"/>
        </w:rPr>
        <w:t>。</w:t>
      </w:r>
    </w:p>
    <w:p>
      <w:pPr>
        <w:keepNext w:val="0"/>
        <w:keepLines w:val="0"/>
        <w:shd w:val="clear" w:color="auto" w:fill="FFFFFF"/>
        <w:spacing w:before="0" w:after="0" w:line="520" w:lineRule="exact"/>
        <w:jc w:val="left"/>
        <w:outlineLvl w:val="9"/>
        <w:rPr>
          <w:rFonts w:ascii="宋体" w:cs="Times New Roman"/>
          <w:b/>
          <w:bCs/>
          <w:color w:val="333333"/>
          <w:sz w:val="28"/>
          <w:szCs w:val="28"/>
        </w:rPr>
      </w:pPr>
      <w:bookmarkStart w:id="10" w:name="_Toc30453"/>
      <w:r>
        <w:rPr>
          <w:rFonts w:hint="eastAsia" w:ascii="宋体" w:hAnsi="宋体" w:cs="宋体"/>
          <w:b/>
          <w:bCs/>
          <w:color w:val="333333"/>
          <w:sz w:val="28"/>
          <w:szCs w:val="28"/>
          <w:shd w:val="clear" w:color="auto" w:fill="FFFFFF"/>
          <w:lang w:val="en-US" w:eastAsia="zh-CN"/>
        </w:rPr>
        <w:t xml:space="preserve">    </w:t>
      </w:r>
      <w:r>
        <w:rPr>
          <w:rFonts w:hint="eastAsia" w:ascii="宋体" w:hAnsi="宋体" w:cs="宋体"/>
          <w:b/>
          <w:bCs/>
          <w:color w:val="333333"/>
          <w:sz w:val="28"/>
          <w:szCs w:val="28"/>
          <w:shd w:val="clear" w:color="auto" w:fill="FFFFFF"/>
        </w:rPr>
        <w:t>四、价值类型</w:t>
      </w:r>
      <w:bookmarkEnd w:id="10"/>
    </w:p>
    <w:p>
      <w:pPr>
        <w:pStyle w:val="22"/>
        <w:widowControl w:val="0"/>
        <w:shd w:val="clear" w:color="auto" w:fill="FFFFFF"/>
        <w:spacing w:before="0" w:beforeAutospacing="0" w:after="0" w:afterAutospacing="0" w:line="520" w:lineRule="exact"/>
        <w:ind w:firstLine="560" w:firstLineChars="200"/>
        <w:jc w:val="both"/>
        <w:rPr>
          <w:rFonts w:ascii="宋体" w:cs="Times New Roman"/>
          <w:color w:val="333333"/>
          <w:sz w:val="28"/>
          <w:szCs w:val="28"/>
        </w:rPr>
      </w:pPr>
      <w:r>
        <w:rPr>
          <w:rFonts w:hint="eastAsia" w:ascii="宋体" w:hAnsi="宋体" w:cs="宋体"/>
          <w:color w:val="000000"/>
          <w:sz w:val="28"/>
          <w:szCs w:val="28"/>
          <w:shd w:val="clear" w:color="auto" w:fill="FFFFFF"/>
        </w:rPr>
        <w:t>本次估价价值类型为房地产</w:t>
      </w:r>
      <w:r>
        <w:rPr>
          <w:rFonts w:hint="eastAsia" w:ascii="宋体" w:hAnsi="宋体" w:cs="宋体"/>
          <w:color w:val="000000"/>
          <w:sz w:val="28"/>
          <w:szCs w:val="28"/>
          <w:shd w:val="clear" w:color="auto" w:fill="FFFFFF"/>
          <w:lang w:eastAsia="zh-CN"/>
        </w:rPr>
        <w:t>市场</w:t>
      </w:r>
      <w:r>
        <w:rPr>
          <w:rFonts w:hint="eastAsia" w:ascii="宋体" w:hAnsi="宋体" w:cs="宋体"/>
          <w:color w:val="000000"/>
          <w:sz w:val="28"/>
          <w:szCs w:val="28"/>
          <w:shd w:val="clear" w:color="auto" w:fill="FFFFFF"/>
        </w:rPr>
        <w:t>价值。</w:t>
      </w:r>
    </w:p>
    <w:p>
      <w:pPr>
        <w:keepNext w:val="0"/>
        <w:keepLines w:val="0"/>
        <w:shd w:val="clear" w:color="auto" w:fill="FFFFFF"/>
        <w:spacing w:before="0" w:after="0" w:line="520" w:lineRule="exact"/>
        <w:ind w:firstLine="562" w:firstLineChars="200"/>
        <w:jc w:val="left"/>
        <w:outlineLvl w:val="9"/>
        <w:rPr>
          <w:rFonts w:ascii="宋体" w:cs="Times New Roman"/>
          <w:color w:val="333333"/>
          <w:sz w:val="28"/>
          <w:szCs w:val="28"/>
        </w:rPr>
      </w:pPr>
      <w:bookmarkStart w:id="11" w:name="_Toc1780"/>
      <w:r>
        <w:rPr>
          <w:rFonts w:hint="eastAsia" w:ascii="宋体" w:hAnsi="宋体" w:cs="宋体"/>
          <w:b/>
          <w:bCs/>
          <w:color w:val="333333"/>
          <w:sz w:val="28"/>
          <w:szCs w:val="28"/>
          <w:shd w:val="clear" w:color="auto" w:fill="FFFFFF"/>
        </w:rPr>
        <w:t>五、估价方法</w:t>
      </w:r>
      <w:bookmarkEnd w:id="11"/>
    </w:p>
    <w:p>
      <w:pPr>
        <w:pStyle w:val="22"/>
        <w:widowControl w:val="0"/>
        <w:shd w:val="clear" w:color="auto" w:fill="FFFFFF"/>
        <w:spacing w:before="0" w:beforeAutospacing="0" w:after="0" w:afterAutospacing="0" w:line="520" w:lineRule="exact"/>
        <w:ind w:firstLine="546" w:firstLineChars="195"/>
        <w:jc w:val="both"/>
        <w:rPr>
          <w:rFonts w:ascii="宋体" w:cs="Times New Roman"/>
          <w:color w:val="333333"/>
          <w:sz w:val="28"/>
          <w:szCs w:val="28"/>
        </w:rPr>
      </w:pPr>
      <w:r>
        <w:rPr>
          <w:rFonts w:hint="eastAsia" w:ascii="宋体" w:hAnsi="宋体" w:cs="宋体"/>
          <w:color w:val="auto"/>
          <w:sz w:val="28"/>
          <w:szCs w:val="28"/>
          <w:shd w:val="clear" w:color="auto" w:fill="FFFFFF"/>
          <w:lang w:eastAsia="zh-CN"/>
        </w:rPr>
        <w:t>采</w:t>
      </w:r>
      <w:r>
        <w:rPr>
          <w:rFonts w:hint="eastAsia" w:ascii="宋体" w:hAnsi="宋体" w:cs="宋体"/>
          <w:color w:val="auto"/>
          <w:sz w:val="28"/>
          <w:szCs w:val="28"/>
          <w:shd w:val="clear" w:color="auto" w:fill="FFFFFF"/>
        </w:rPr>
        <w:t>用</w:t>
      </w:r>
      <w:r>
        <w:rPr>
          <w:rFonts w:hint="eastAsia" w:ascii="宋体" w:hAnsi="宋体" w:cs="宋体"/>
          <w:sz w:val="28"/>
          <w:szCs w:val="28"/>
        </w:rPr>
        <w:t>“比较法”</w:t>
      </w:r>
      <w:r>
        <w:rPr>
          <w:rFonts w:hint="eastAsia" w:ascii="宋体" w:hAnsi="宋体" w:cs="宋体"/>
          <w:sz w:val="28"/>
          <w:szCs w:val="28"/>
          <w:lang w:eastAsia="zh-CN"/>
        </w:rPr>
        <w:t>和</w:t>
      </w:r>
      <w:r>
        <w:rPr>
          <w:rFonts w:hint="eastAsia" w:ascii="宋体" w:hAnsi="宋体" w:cs="宋体"/>
          <w:sz w:val="28"/>
          <w:szCs w:val="28"/>
        </w:rPr>
        <w:t>“</w:t>
      </w:r>
      <w:r>
        <w:rPr>
          <w:rFonts w:hint="eastAsia" w:ascii="宋体" w:hAnsi="宋体" w:cs="宋体"/>
          <w:sz w:val="28"/>
          <w:szCs w:val="28"/>
          <w:lang w:eastAsia="zh-CN"/>
        </w:rPr>
        <w:t>收益</w:t>
      </w:r>
      <w:r>
        <w:rPr>
          <w:rFonts w:hint="eastAsia" w:ascii="宋体" w:hAnsi="宋体" w:cs="宋体"/>
          <w:sz w:val="28"/>
          <w:szCs w:val="28"/>
        </w:rPr>
        <w:t>法”</w:t>
      </w:r>
      <w:r>
        <w:rPr>
          <w:rFonts w:hint="eastAsia" w:ascii="宋体" w:hAnsi="宋体" w:cs="宋体"/>
          <w:color w:val="333333"/>
          <w:sz w:val="28"/>
          <w:szCs w:val="28"/>
          <w:shd w:val="clear" w:color="auto" w:fill="FFFFFF"/>
        </w:rPr>
        <w:t>。</w:t>
      </w:r>
    </w:p>
    <w:p>
      <w:pPr>
        <w:keepNext w:val="0"/>
        <w:keepLines w:val="0"/>
        <w:shd w:val="clear" w:color="auto" w:fill="FFFFFF"/>
        <w:spacing w:before="0" w:after="0" w:line="520" w:lineRule="exact"/>
        <w:jc w:val="left"/>
        <w:outlineLvl w:val="9"/>
        <w:rPr>
          <w:rFonts w:ascii="宋体" w:cs="Times New Roman"/>
          <w:b/>
          <w:bCs/>
          <w:color w:val="333333"/>
          <w:sz w:val="28"/>
          <w:szCs w:val="28"/>
          <w:shd w:val="clear" w:color="auto" w:fill="FFFFFF"/>
        </w:rPr>
      </w:pPr>
      <w:bookmarkStart w:id="12" w:name="_Toc1681"/>
      <w:r>
        <w:rPr>
          <w:rFonts w:hint="eastAsia" w:cs="宋体"/>
          <w:shd w:val="clear" w:color="auto" w:fill="FFFFFF"/>
          <w:lang w:val="en-US" w:eastAsia="zh-CN"/>
        </w:rPr>
        <w:t xml:space="preserve">     </w:t>
      </w:r>
      <w:r>
        <w:rPr>
          <w:rFonts w:hint="eastAsia" w:cs="宋体"/>
          <w:b/>
          <w:bCs/>
          <w:sz w:val="28"/>
          <w:szCs w:val="28"/>
          <w:shd w:val="clear" w:color="auto" w:fill="FFFFFF"/>
        </w:rPr>
        <w:t>六、估价结果</w:t>
      </w:r>
      <w:bookmarkEnd w:id="12"/>
    </w:p>
    <w:p>
      <w:pPr>
        <w:pStyle w:val="22"/>
        <w:widowControl w:val="0"/>
        <w:shd w:val="clear" w:color="auto" w:fill="FFFFFF"/>
        <w:spacing w:before="0" w:beforeAutospacing="0" w:after="0" w:afterAutospacing="0" w:line="520" w:lineRule="exact"/>
        <w:ind w:firstLine="560" w:firstLineChars="200"/>
        <w:jc w:val="both"/>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sz w:val="28"/>
          <w:szCs w:val="28"/>
        </w:rPr>
        <w:t>评估总价为</w:t>
      </w:r>
      <w:r>
        <w:rPr>
          <w:rFonts w:hint="eastAsia" w:ascii="宋体" w:hAnsi="宋体" w:cs="宋体"/>
          <w:sz w:val="28"/>
          <w:szCs w:val="28"/>
          <w:lang w:val="en-US" w:eastAsia="zh-CN"/>
        </w:rPr>
        <w:t>¥440,840.00</w:t>
      </w:r>
      <w:r>
        <w:rPr>
          <w:rFonts w:hint="eastAsia" w:ascii="宋体" w:hAnsi="宋体" w:eastAsia="宋体" w:cs="宋体"/>
          <w:sz w:val="28"/>
          <w:szCs w:val="28"/>
        </w:rPr>
        <w:t>元</w:t>
      </w:r>
      <w:r>
        <w:rPr>
          <w:rFonts w:hint="eastAsia" w:ascii="宋体" w:hAnsi="宋体" w:cs="宋体"/>
          <w:sz w:val="28"/>
          <w:szCs w:val="28"/>
          <w:lang w:eastAsia="zh-CN"/>
        </w:rPr>
        <w:t>（取整）</w:t>
      </w:r>
      <w:r>
        <w:rPr>
          <w:rFonts w:hint="eastAsia" w:ascii="宋体" w:hAnsi="宋体" w:eastAsia="宋体" w:cs="宋体"/>
          <w:sz w:val="28"/>
          <w:szCs w:val="28"/>
        </w:rPr>
        <w:t>（人民币大写：</w:t>
      </w:r>
      <w:r>
        <w:rPr>
          <w:rFonts w:hint="eastAsia" w:ascii="宋体" w:hAnsi="宋体" w:cs="宋体"/>
          <w:sz w:val="28"/>
          <w:szCs w:val="28"/>
          <w:lang w:eastAsia="zh-CN"/>
        </w:rPr>
        <w:t>肆拾肆万零捌佰肆拾元整</w:t>
      </w:r>
      <w:r>
        <w:rPr>
          <w:rFonts w:hint="eastAsia" w:ascii="宋体" w:hAnsi="宋体" w:eastAsia="宋体" w:cs="宋体"/>
          <w:sz w:val="28"/>
          <w:szCs w:val="28"/>
        </w:rPr>
        <w:t>），单价为</w:t>
      </w:r>
      <w:r>
        <w:rPr>
          <w:rFonts w:hint="eastAsia" w:ascii="宋体" w:hAnsi="宋体" w:cs="宋体"/>
          <w:sz w:val="28"/>
          <w:szCs w:val="28"/>
          <w:lang w:val="en-US" w:eastAsia="zh-CN"/>
        </w:rPr>
        <w:t>5110</w:t>
      </w:r>
      <w:r>
        <w:rPr>
          <w:rFonts w:hint="eastAsia" w:ascii="宋体" w:hAnsi="宋体" w:eastAsia="宋体" w:cs="宋体"/>
          <w:sz w:val="28"/>
          <w:szCs w:val="28"/>
        </w:rPr>
        <w:t>元/平方米</w:t>
      </w:r>
      <w:r>
        <w:rPr>
          <w:rFonts w:hint="eastAsia" w:ascii="宋体" w:hAnsi="宋体" w:eastAsia="宋体" w:cs="宋体"/>
          <w:color w:val="auto"/>
          <w:sz w:val="28"/>
          <w:szCs w:val="28"/>
          <w:shd w:val="clear" w:color="auto" w:fill="FFFFFF"/>
          <w:lang w:val="en-US" w:eastAsia="zh-CN"/>
        </w:rPr>
        <w:t>。</w:t>
      </w:r>
    </w:p>
    <w:p>
      <w:pPr>
        <w:tabs>
          <w:tab w:val="left" w:pos="1280"/>
        </w:tabs>
        <w:adjustRightInd w:val="0"/>
        <w:snapToGrid w:val="0"/>
        <w:spacing w:line="480" w:lineRule="exact"/>
        <w:ind w:left="566"/>
        <w:rPr>
          <w:rFonts w:ascii="仿宋_GB2312" w:hAnsi="仿宋_GB2312" w:eastAsia="仿宋_GB2312" w:cs="仿宋_GB2312"/>
          <w:b/>
          <w:bCs/>
          <w:sz w:val="28"/>
          <w:szCs w:val="28"/>
        </w:rPr>
      </w:pPr>
      <w:r>
        <w:rPr>
          <w:rFonts w:hint="eastAsia" w:ascii="宋体" w:hAnsi="宋体" w:eastAsia="宋体" w:cs="宋体"/>
          <w:b/>
          <w:bCs/>
          <w:sz w:val="28"/>
          <w:szCs w:val="28"/>
        </w:rPr>
        <w:t>七、与估价结果和使用估价报告有关的特别提示</w:t>
      </w:r>
    </w:p>
    <w:p>
      <w:pPr>
        <w:tabs>
          <w:tab w:val="left" w:pos="1280"/>
        </w:tabs>
        <w:adjustRightInd w:val="0"/>
        <w:snapToGrid w:val="0"/>
        <w:spacing w:line="480" w:lineRule="exact"/>
        <w:ind w:firstLine="565" w:firstLineChars="202"/>
        <w:rPr>
          <w:rFonts w:hint="eastAsia" w:ascii="宋体" w:hAnsi="宋体" w:eastAsia="宋体" w:cs="宋体"/>
          <w:sz w:val="28"/>
          <w:szCs w:val="28"/>
        </w:rPr>
      </w:pPr>
      <w:r>
        <w:rPr>
          <w:rFonts w:hint="eastAsia" w:ascii="宋体" w:hAnsi="宋体" w:eastAsia="宋体" w:cs="宋体"/>
          <w:sz w:val="28"/>
          <w:szCs w:val="28"/>
        </w:rPr>
        <w:t>(一)估价结果成立的限制条件：详见本估价报告“估价假设和限制条件”章节。</w:t>
      </w:r>
    </w:p>
    <w:p>
      <w:pPr>
        <w:tabs>
          <w:tab w:val="left" w:pos="1280"/>
        </w:tabs>
        <w:adjustRightInd w:val="0"/>
        <w:snapToGrid w:val="0"/>
        <w:spacing w:line="480" w:lineRule="exact"/>
        <w:ind w:firstLine="565" w:firstLineChars="202"/>
        <w:rPr>
          <w:rFonts w:hint="eastAsia" w:ascii="宋体" w:hAnsi="宋体" w:eastAsia="宋体" w:cs="宋体"/>
          <w:sz w:val="28"/>
          <w:szCs w:val="28"/>
        </w:rPr>
      </w:pPr>
      <w:r>
        <w:rPr>
          <w:rFonts w:hint="eastAsia" w:ascii="宋体" w:hAnsi="宋体" w:eastAsia="宋体" w:cs="宋体"/>
          <w:sz w:val="28"/>
          <w:szCs w:val="28"/>
        </w:rPr>
        <w:t>(二)其他需要说明的事项：</w:t>
      </w:r>
    </w:p>
    <w:p>
      <w:pPr>
        <w:tabs>
          <w:tab w:val="left" w:pos="1280"/>
        </w:tabs>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1.本估价报告仅供人民法院</w:t>
      </w:r>
      <w:r>
        <w:rPr>
          <w:rFonts w:hint="eastAsia" w:ascii="宋体" w:hAnsi="宋体" w:cs="宋体"/>
          <w:sz w:val="28"/>
          <w:szCs w:val="28"/>
          <w:lang w:eastAsia="zh-CN"/>
        </w:rPr>
        <w:t>确定处置价格</w:t>
      </w:r>
      <w:r>
        <w:rPr>
          <w:rFonts w:hint="eastAsia" w:ascii="宋体" w:hAnsi="宋体" w:eastAsia="宋体" w:cs="宋体"/>
          <w:sz w:val="28"/>
          <w:szCs w:val="28"/>
        </w:rPr>
        <w:t>使用。</w:t>
      </w:r>
    </w:p>
    <w:p>
      <w:pPr>
        <w:tabs>
          <w:tab w:val="left" w:pos="1280"/>
        </w:tabs>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2.本次评估结果以单价为准，总价为单价乘以建筑面积保留至</w:t>
      </w:r>
      <w:r>
        <w:rPr>
          <w:rFonts w:hint="eastAsia" w:ascii="宋体" w:hAnsi="宋体" w:cs="宋体"/>
          <w:sz w:val="28"/>
          <w:szCs w:val="28"/>
          <w:lang w:val="en-US" w:eastAsia="zh-CN"/>
        </w:rPr>
        <w:t>个</w:t>
      </w:r>
      <w:r>
        <w:rPr>
          <w:rFonts w:hint="eastAsia" w:ascii="宋体" w:hAnsi="宋体" w:eastAsia="宋体" w:cs="宋体"/>
          <w:sz w:val="28"/>
          <w:szCs w:val="28"/>
        </w:rPr>
        <w:t>位。</w:t>
      </w:r>
    </w:p>
    <w:p>
      <w:pPr>
        <w:tabs>
          <w:tab w:val="left" w:pos="1280"/>
        </w:tabs>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3.估价结果不等于估价对象处置可实现的成交价，不应被认为是对估价对象处置成交价的保证。</w:t>
      </w:r>
    </w:p>
    <w:p>
      <w:pPr>
        <w:tabs>
          <w:tab w:val="left" w:pos="1280"/>
        </w:tabs>
        <w:adjustRightInd w:val="0"/>
        <w:snapToGrid w:val="0"/>
        <w:spacing w:line="480" w:lineRule="exact"/>
        <w:ind w:firstLine="560" w:firstLineChars="200"/>
        <w:rPr>
          <w:rFonts w:hint="default"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4.于价值时点估价对象处于查封状态。</w:t>
      </w:r>
    </w:p>
    <w:p>
      <w:pPr>
        <w:tabs>
          <w:tab w:val="left" w:pos="1280"/>
        </w:tabs>
        <w:adjustRightInd w:val="0"/>
        <w:snapToGrid w:val="0"/>
        <w:spacing w:line="480" w:lineRule="exact"/>
        <w:ind w:firstLine="560" w:firstLineChars="200"/>
        <w:rPr>
          <w:rFonts w:hint="eastAsia" w:ascii="宋体" w:hAnsi="宋体" w:cs="宋体"/>
          <w:sz w:val="28"/>
          <w:szCs w:val="28"/>
          <w:shd w:val="clear" w:color="auto" w:fill="FFFFFF"/>
        </w:rPr>
      </w:pPr>
      <w:r>
        <w:rPr>
          <w:rFonts w:hint="eastAsia" w:ascii="宋体" w:hAnsi="宋体" w:cs="宋体"/>
          <w:sz w:val="28"/>
          <w:szCs w:val="28"/>
          <w:lang w:val="en-US" w:eastAsia="zh-CN"/>
        </w:rPr>
        <w:t>5</w:t>
      </w:r>
      <w:r>
        <w:rPr>
          <w:rFonts w:hint="eastAsia" w:ascii="宋体" w:hAnsi="宋体" w:eastAsia="宋体" w:cs="宋体"/>
          <w:sz w:val="28"/>
          <w:szCs w:val="28"/>
        </w:rPr>
        <w:t>.本估价报告的使用有效期为壹年，自估价报告出具之日起计算，本估价报告出具之日为</w:t>
      </w:r>
      <w:r>
        <w:rPr>
          <w:rFonts w:hint="eastAsia" w:ascii="宋体" w:hAnsi="宋体" w:cs="宋体"/>
          <w:sz w:val="28"/>
          <w:szCs w:val="28"/>
          <w:lang w:eastAsia="zh-CN"/>
        </w:rPr>
        <w:t>2022年</w:t>
      </w:r>
      <w:r>
        <w:rPr>
          <w:rFonts w:hint="eastAsia" w:ascii="宋体" w:hAnsi="宋体" w:cs="宋体"/>
          <w:sz w:val="28"/>
          <w:szCs w:val="28"/>
          <w:lang w:val="en-US" w:eastAsia="zh-CN"/>
        </w:rPr>
        <w:t>8</w:t>
      </w:r>
      <w:r>
        <w:rPr>
          <w:rFonts w:hint="eastAsia" w:ascii="宋体" w:hAnsi="宋体" w:cs="宋体"/>
          <w:sz w:val="28"/>
          <w:szCs w:val="28"/>
          <w:lang w:eastAsia="zh-CN"/>
        </w:rPr>
        <w:t>月</w:t>
      </w:r>
      <w:r>
        <w:rPr>
          <w:rFonts w:hint="eastAsia" w:ascii="宋体" w:hAnsi="宋体" w:cs="宋体"/>
          <w:sz w:val="28"/>
          <w:szCs w:val="28"/>
          <w:lang w:val="en-US" w:eastAsia="zh-CN"/>
        </w:rPr>
        <w:t>8</w:t>
      </w:r>
      <w:r>
        <w:rPr>
          <w:rFonts w:hint="eastAsia" w:ascii="宋体" w:hAnsi="宋体" w:cs="宋体"/>
          <w:sz w:val="28"/>
          <w:szCs w:val="28"/>
          <w:lang w:eastAsia="zh-CN"/>
        </w:rPr>
        <w:t>日</w:t>
      </w:r>
      <w:r>
        <w:rPr>
          <w:rFonts w:hint="eastAsia" w:ascii="宋体" w:hAnsi="宋体" w:eastAsia="宋体" w:cs="宋体"/>
          <w:sz w:val="28"/>
          <w:szCs w:val="28"/>
        </w:rPr>
        <w:t>。</w:t>
      </w:r>
    </w:p>
    <w:p>
      <w:pPr>
        <w:pStyle w:val="22"/>
        <w:widowControl w:val="0"/>
        <w:shd w:val="clear" w:color="auto" w:fill="FFFFFF"/>
        <w:spacing w:before="0" w:beforeAutospacing="0" w:after="0" w:afterAutospacing="0" w:line="560" w:lineRule="exact"/>
        <w:ind w:firstLine="3080" w:firstLineChars="1100"/>
        <w:jc w:val="both"/>
        <w:rPr>
          <w:rFonts w:hint="eastAsia" w:ascii="宋体" w:hAnsi="宋体" w:cs="宋体"/>
          <w:sz w:val="28"/>
          <w:szCs w:val="28"/>
          <w:shd w:val="clear" w:color="auto" w:fill="FFFFFF"/>
        </w:rPr>
      </w:pPr>
    </w:p>
    <w:p>
      <w:pPr>
        <w:pStyle w:val="22"/>
        <w:widowControl w:val="0"/>
        <w:shd w:val="clear" w:color="auto" w:fill="FFFFFF"/>
        <w:spacing w:before="0" w:beforeAutospacing="0" w:after="0" w:afterAutospacing="0" w:line="560" w:lineRule="exact"/>
        <w:ind w:firstLine="3080" w:firstLineChars="1100"/>
        <w:jc w:val="both"/>
        <w:rPr>
          <w:rFonts w:ascii="宋体" w:cs="宋体"/>
          <w:sz w:val="28"/>
          <w:szCs w:val="28"/>
          <w:shd w:val="clear" w:color="auto" w:fill="FFFFFF"/>
        </w:rPr>
      </w:pPr>
      <w:r>
        <w:rPr>
          <w:rFonts w:hint="eastAsia" w:ascii="宋体" w:hAnsi="宋体" w:cs="宋体"/>
          <w:sz w:val="28"/>
          <w:szCs w:val="28"/>
          <w:shd w:val="clear" w:color="auto" w:fill="FFFFFF"/>
        </w:rPr>
        <w:t>辽宁方正房产土地资产评估有限责任公司</w:t>
      </w:r>
    </w:p>
    <w:p>
      <w:pPr>
        <w:pStyle w:val="22"/>
        <w:widowControl w:val="0"/>
        <w:shd w:val="clear" w:color="auto" w:fill="FFFFFF"/>
        <w:spacing w:before="0" w:beforeAutospacing="0" w:after="0" w:afterAutospacing="0" w:line="560" w:lineRule="exact"/>
        <w:ind w:firstLine="2100" w:firstLineChars="750"/>
        <w:jc w:val="both"/>
        <w:rPr>
          <w:rFonts w:ascii="宋体" w:cs="宋体"/>
          <w:sz w:val="28"/>
          <w:szCs w:val="28"/>
          <w:shd w:val="clear" w:color="auto" w:fill="FFFFFF"/>
        </w:rPr>
      </w:pPr>
      <w:r>
        <w:rPr>
          <w:rFonts w:ascii="宋体" w:hAnsi="宋体" w:cs="宋体"/>
          <w:sz w:val="28"/>
          <w:szCs w:val="28"/>
          <w:shd w:val="clear" w:color="auto" w:fill="FFFFFF"/>
        </w:rPr>
        <w:t xml:space="preserve">             </w:t>
      </w:r>
      <w:r>
        <w:rPr>
          <w:rFonts w:hint="eastAsia" w:ascii="宋体" w:hAnsi="宋体" w:cs="宋体"/>
          <w:sz w:val="28"/>
          <w:szCs w:val="28"/>
          <w:shd w:val="clear" w:color="auto" w:fill="FFFFFF"/>
        </w:rPr>
        <w:t>估价机构法定代表人（盖章）</w:t>
      </w:r>
    </w:p>
    <w:p>
      <w:pPr>
        <w:pStyle w:val="22"/>
        <w:widowControl w:val="0"/>
        <w:shd w:val="clear" w:color="auto" w:fill="FFFFFF"/>
        <w:spacing w:before="0" w:beforeAutospacing="0" w:after="0" w:afterAutospacing="0" w:line="560" w:lineRule="exact"/>
        <w:ind w:firstLine="3640" w:firstLineChars="1300"/>
        <w:jc w:val="both"/>
        <w:rPr>
          <w:rFonts w:ascii="宋体" w:cs="Times New Roman"/>
          <w:color w:val="333333"/>
          <w:sz w:val="28"/>
          <w:szCs w:val="28"/>
          <w:shd w:val="clear" w:color="auto" w:fill="FFFFFF"/>
        </w:rPr>
        <w:sectPr>
          <w:headerReference r:id="rId5" w:type="default"/>
          <w:footerReference r:id="rId6" w:type="default"/>
          <w:pgSz w:w="11906" w:h="16838"/>
          <w:pgMar w:top="1440" w:right="1418" w:bottom="1440" w:left="1531" w:header="851" w:footer="992" w:gutter="0"/>
          <w:pgNumType w:start="1"/>
          <w:cols w:space="425" w:num="1"/>
          <w:docGrid w:type="lines" w:linePitch="312" w:charSpace="0"/>
        </w:sectPr>
      </w:pPr>
      <w:r>
        <w:rPr>
          <w:rFonts w:hint="eastAsia" w:ascii="宋体" w:hAnsi="宋体" w:cs="宋体"/>
          <w:sz w:val="28"/>
          <w:szCs w:val="28"/>
          <w:shd w:val="clear" w:color="auto" w:fill="FFFFFF"/>
        </w:rPr>
        <w:t>致函日期：二〇</w:t>
      </w:r>
      <w:r>
        <w:rPr>
          <w:rFonts w:hint="eastAsia" w:ascii="宋体" w:hAnsi="宋体" w:cs="宋体"/>
          <w:sz w:val="28"/>
          <w:szCs w:val="28"/>
          <w:shd w:val="clear" w:color="auto" w:fill="FFFFFF"/>
          <w:lang w:eastAsia="zh-CN"/>
        </w:rPr>
        <w:t>二</w:t>
      </w:r>
      <w:r>
        <w:rPr>
          <w:rFonts w:hint="eastAsia" w:ascii="宋体" w:hAnsi="宋体" w:cs="宋体"/>
          <w:sz w:val="28"/>
          <w:szCs w:val="28"/>
          <w:shd w:val="clear" w:color="auto" w:fill="FFFFFF"/>
          <w:lang w:val="en-US" w:eastAsia="zh-CN"/>
        </w:rPr>
        <w:t>二</w:t>
      </w:r>
      <w:r>
        <w:rPr>
          <w:rFonts w:hint="eastAsia" w:ascii="宋体" w:hAnsi="宋体" w:cs="宋体"/>
          <w:sz w:val="28"/>
          <w:szCs w:val="28"/>
          <w:shd w:val="clear" w:color="auto" w:fill="FFFFFF"/>
        </w:rPr>
        <w:t>年</w:t>
      </w:r>
      <w:r>
        <w:rPr>
          <w:rFonts w:hint="eastAsia" w:ascii="宋体" w:hAnsi="宋体" w:cs="宋体"/>
          <w:sz w:val="28"/>
          <w:szCs w:val="28"/>
          <w:shd w:val="clear" w:color="auto" w:fill="FFFFFF"/>
          <w:lang w:eastAsia="zh-CN"/>
        </w:rPr>
        <w:t>八月八日</w:t>
      </w:r>
    </w:p>
    <w:p>
      <w:pPr>
        <w:jc w:val="center"/>
        <w:rPr>
          <w:rFonts w:ascii="宋体" w:cs="Times New Roman"/>
          <w:b/>
          <w:bCs/>
          <w:sz w:val="44"/>
          <w:szCs w:val="44"/>
        </w:rPr>
      </w:pPr>
      <w:bookmarkStart w:id="13" w:name="_Toc446783823"/>
      <w:bookmarkStart w:id="14" w:name="_Toc446058046"/>
      <w:r>
        <w:rPr>
          <w:rFonts w:hint="eastAsia" w:ascii="宋体" w:hAnsi="宋体" w:cs="宋体"/>
          <w:b/>
          <w:bCs/>
          <w:sz w:val="44"/>
          <w:szCs w:val="44"/>
        </w:rPr>
        <w:t>目</w:t>
      </w:r>
      <w:r>
        <w:rPr>
          <w:rFonts w:ascii="宋体" w:hAnsi="宋体" w:cs="宋体"/>
          <w:b/>
          <w:bCs/>
          <w:sz w:val="44"/>
          <w:szCs w:val="44"/>
        </w:rPr>
        <w:t xml:space="preserve">  </w:t>
      </w:r>
      <w:r>
        <w:rPr>
          <w:rFonts w:hint="eastAsia" w:ascii="宋体" w:hAnsi="宋体" w:cs="宋体"/>
          <w:b/>
          <w:bCs/>
          <w:sz w:val="44"/>
          <w:szCs w:val="44"/>
        </w:rPr>
        <w:t>录</w:t>
      </w:r>
    </w:p>
    <w:p>
      <w:pPr>
        <w:pStyle w:val="16"/>
        <w:tabs>
          <w:tab w:val="right" w:leader="dot" w:pos="8957"/>
          <w:tab w:val="clear" w:pos="9078"/>
        </w:tabs>
      </w:pPr>
      <w:r>
        <w:rPr>
          <w:rFonts w:ascii="宋体" w:hAnsi="宋体" w:cs="宋体"/>
        </w:rPr>
        <w:fldChar w:fldCharType="begin"/>
      </w:r>
      <w:r>
        <w:rPr>
          <w:rFonts w:ascii="宋体" w:hAnsi="宋体" w:cs="宋体"/>
        </w:rPr>
        <w:instrText xml:space="preserve"> TOC \o "1-3" \h \z \u </w:instrText>
      </w:r>
      <w:r>
        <w:rPr>
          <w:rFonts w:ascii="宋体" w:hAnsi="宋体" w:cs="宋体"/>
        </w:rPr>
        <w:fldChar w:fldCharType="separate"/>
      </w:r>
      <w:r>
        <w:rPr>
          <w:rFonts w:ascii="宋体" w:hAnsi="宋体" w:cs="宋体"/>
        </w:rPr>
        <w:fldChar w:fldCharType="begin"/>
      </w:r>
      <w:r>
        <w:rPr>
          <w:rFonts w:ascii="宋体" w:hAnsi="宋体" w:cs="宋体"/>
        </w:rPr>
        <w:instrText xml:space="preserve"> HYPERLINK \l _Toc17839 </w:instrText>
      </w:r>
      <w:r>
        <w:rPr>
          <w:rFonts w:ascii="宋体" w:hAnsi="宋体" w:cs="宋体"/>
        </w:rPr>
        <w:fldChar w:fldCharType="separate"/>
      </w:r>
      <w:r>
        <w:rPr>
          <w:rFonts w:hint="eastAsia" w:ascii="宋体" w:hAnsi="宋体" w:cs="宋体"/>
        </w:rPr>
        <w:t>估价师声明</w:t>
      </w:r>
      <w:r>
        <w:tab/>
      </w:r>
      <w:r>
        <w:fldChar w:fldCharType="begin"/>
      </w:r>
      <w:r>
        <w:instrText xml:space="preserve"> PAGEREF _Toc17839 \h </w:instrText>
      </w:r>
      <w:r>
        <w:fldChar w:fldCharType="separate"/>
      </w:r>
      <w:r>
        <w:t>1</w:t>
      </w:r>
      <w:r>
        <w:fldChar w:fldCharType="end"/>
      </w:r>
      <w:r>
        <w:rPr>
          <w:rFonts w:ascii="宋体" w:hAnsi="宋体" w:cs="宋体"/>
        </w:rPr>
        <w:fldChar w:fldCharType="end"/>
      </w:r>
    </w:p>
    <w:p>
      <w:pPr>
        <w:pStyle w:val="16"/>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_Toc26831 </w:instrText>
      </w:r>
      <w:r>
        <w:rPr>
          <w:rFonts w:ascii="宋体" w:hAnsi="宋体" w:eastAsia="宋体" w:cs="宋体"/>
          <w:kern w:val="0"/>
          <w:szCs w:val="21"/>
          <w:lang w:val="en-US" w:eastAsia="zh-CN" w:bidi="ar-SA"/>
        </w:rPr>
        <w:fldChar w:fldCharType="separate"/>
      </w:r>
      <w:r>
        <w:rPr>
          <w:rFonts w:hint="eastAsia" w:ascii="宋体" w:hAnsi="宋体" w:cs="宋体"/>
        </w:rPr>
        <w:t>估价假设和限制条件</w:t>
      </w:r>
      <w:r>
        <w:tab/>
      </w:r>
      <w:r>
        <w:fldChar w:fldCharType="begin"/>
      </w:r>
      <w:r>
        <w:instrText xml:space="preserve"> PAGEREF _Toc26831 \h </w:instrText>
      </w:r>
      <w:r>
        <w:fldChar w:fldCharType="separate"/>
      </w:r>
      <w:r>
        <w:t>2</w:t>
      </w:r>
      <w:r>
        <w:fldChar w:fldCharType="end"/>
      </w:r>
      <w:r>
        <w:rPr>
          <w:rFonts w:ascii="宋体" w:hAnsi="宋体" w:eastAsia="宋体" w:cs="宋体"/>
          <w:kern w:val="0"/>
          <w:szCs w:val="21"/>
          <w:lang w:val="en-US" w:eastAsia="zh-CN" w:bidi="ar-SA"/>
        </w:rPr>
        <w:fldChar w:fldCharType="end"/>
      </w:r>
    </w:p>
    <w:p>
      <w:pPr>
        <w:pStyle w:val="16"/>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_Toc18570 </w:instrText>
      </w:r>
      <w:r>
        <w:rPr>
          <w:rFonts w:ascii="宋体" w:hAnsi="宋体" w:eastAsia="宋体" w:cs="宋体"/>
          <w:kern w:val="0"/>
          <w:szCs w:val="21"/>
          <w:lang w:val="en-US" w:eastAsia="zh-CN" w:bidi="ar-SA"/>
        </w:rPr>
        <w:fldChar w:fldCharType="separate"/>
      </w:r>
      <w:r>
        <w:rPr>
          <w:rFonts w:hint="eastAsia" w:ascii="宋体" w:hAnsi="宋体" w:cs="宋体"/>
        </w:rPr>
        <w:t>估价结果报告</w:t>
      </w:r>
      <w:r>
        <w:tab/>
      </w:r>
      <w:r>
        <w:fldChar w:fldCharType="begin"/>
      </w:r>
      <w:r>
        <w:instrText xml:space="preserve"> PAGEREF _Toc18570 \h </w:instrText>
      </w:r>
      <w:r>
        <w:fldChar w:fldCharType="separate"/>
      </w:r>
      <w:r>
        <w:t>4</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_Toc29239 </w:instrText>
      </w:r>
      <w:r>
        <w:rPr>
          <w:rFonts w:ascii="宋体" w:hAnsi="宋体" w:eastAsia="宋体" w:cs="宋体"/>
          <w:kern w:val="0"/>
          <w:szCs w:val="21"/>
          <w:lang w:val="en-US" w:eastAsia="zh-CN" w:bidi="ar-SA"/>
        </w:rPr>
        <w:fldChar w:fldCharType="separate"/>
      </w:r>
      <w:r>
        <w:rPr>
          <w:rFonts w:hint="eastAsia" w:ascii="宋体" w:hAnsi="宋体" w:eastAsia="宋体" w:cs="宋体"/>
          <w:szCs w:val="28"/>
        </w:rPr>
        <w:t>一、估价委托人</w:t>
      </w:r>
      <w:r>
        <w:tab/>
      </w:r>
      <w:r>
        <w:fldChar w:fldCharType="begin"/>
      </w:r>
      <w:r>
        <w:instrText xml:space="preserve"> PAGEREF _Toc29239 \h </w:instrText>
      </w:r>
      <w:r>
        <w:fldChar w:fldCharType="separate"/>
      </w:r>
      <w:r>
        <w:t>4</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_Toc28166 </w:instrText>
      </w:r>
      <w:r>
        <w:rPr>
          <w:rFonts w:ascii="宋体" w:hAnsi="宋体" w:eastAsia="宋体" w:cs="宋体"/>
          <w:kern w:val="0"/>
          <w:szCs w:val="21"/>
          <w:lang w:val="en-US" w:eastAsia="zh-CN" w:bidi="ar-SA"/>
        </w:rPr>
        <w:fldChar w:fldCharType="separate"/>
      </w:r>
      <w:r>
        <w:rPr>
          <w:rFonts w:hint="eastAsia" w:ascii="宋体" w:hAnsi="宋体" w:eastAsia="宋体" w:cs="宋体"/>
          <w:szCs w:val="28"/>
        </w:rPr>
        <w:t>二、房地产估价机构</w:t>
      </w:r>
      <w:r>
        <w:tab/>
      </w:r>
      <w:r>
        <w:fldChar w:fldCharType="begin"/>
      </w:r>
      <w:r>
        <w:instrText xml:space="preserve"> PAGEREF _Toc28166 \h </w:instrText>
      </w:r>
      <w:r>
        <w:fldChar w:fldCharType="separate"/>
      </w:r>
      <w:r>
        <w:t>4</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_Toc21961 </w:instrText>
      </w:r>
      <w:r>
        <w:rPr>
          <w:rFonts w:ascii="宋体" w:hAnsi="宋体" w:eastAsia="宋体" w:cs="宋体"/>
          <w:kern w:val="0"/>
          <w:szCs w:val="21"/>
          <w:lang w:val="en-US" w:eastAsia="zh-CN" w:bidi="ar-SA"/>
        </w:rPr>
        <w:fldChar w:fldCharType="separate"/>
      </w:r>
      <w:r>
        <w:rPr>
          <w:rFonts w:hint="eastAsia" w:ascii="宋体" w:hAnsi="宋体" w:eastAsia="宋体" w:cs="宋体"/>
          <w:szCs w:val="28"/>
        </w:rPr>
        <w:t>三、估价目的</w:t>
      </w:r>
      <w:r>
        <w:tab/>
      </w:r>
      <w:r>
        <w:fldChar w:fldCharType="begin"/>
      </w:r>
      <w:r>
        <w:instrText xml:space="preserve"> PAGEREF _Toc21961 \h </w:instrText>
      </w:r>
      <w:r>
        <w:fldChar w:fldCharType="separate"/>
      </w:r>
      <w:r>
        <w:t>4</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_Toc31715 </w:instrText>
      </w:r>
      <w:r>
        <w:rPr>
          <w:rFonts w:ascii="宋体" w:hAnsi="宋体" w:eastAsia="宋体" w:cs="宋体"/>
          <w:kern w:val="0"/>
          <w:szCs w:val="21"/>
          <w:lang w:val="en-US" w:eastAsia="zh-CN" w:bidi="ar-SA"/>
        </w:rPr>
        <w:fldChar w:fldCharType="separate"/>
      </w:r>
      <w:r>
        <w:rPr>
          <w:rFonts w:hint="eastAsia" w:ascii="宋体" w:hAnsi="宋体" w:eastAsia="宋体" w:cs="宋体"/>
          <w:szCs w:val="28"/>
        </w:rPr>
        <w:t>四、估价对象</w:t>
      </w:r>
      <w:r>
        <w:tab/>
      </w:r>
      <w:r>
        <w:fldChar w:fldCharType="begin"/>
      </w:r>
      <w:r>
        <w:instrText xml:space="preserve"> PAGEREF _Toc31715 \h </w:instrText>
      </w:r>
      <w:r>
        <w:fldChar w:fldCharType="separate"/>
      </w:r>
      <w:r>
        <w:t>4</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_Toc25755 </w:instrText>
      </w:r>
      <w:r>
        <w:rPr>
          <w:rFonts w:ascii="宋体" w:hAnsi="宋体" w:eastAsia="宋体" w:cs="宋体"/>
          <w:kern w:val="0"/>
          <w:szCs w:val="21"/>
          <w:lang w:val="en-US" w:eastAsia="zh-CN" w:bidi="ar-SA"/>
        </w:rPr>
        <w:fldChar w:fldCharType="separate"/>
      </w:r>
      <w:r>
        <w:rPr>
          <w:rFonts w:hint="eastAsia" w:ascii="宋体" w:hAnsi="宋体" w:eastAsia="宋体" w:cs="宋体"/>
          <w:szCs w:val="28"/>
        </w:rPr>
        <w:t>五、价值时点</w:t>
      </w:r>
      <w:r>
        <w:tab/>
      </w:r>
      <w:r>
        <w:fldChar w:fldCharType="begin"/>
      </w:r>
      <w:r>
        <w:instrText xml:space="preserve"> PAGEREF _Toc25755 \h </w:instrText>
      </w:r>
      <w:r>
        <w:fldChar w:fldCharType="separate"/>
      </w:r>
      <w:r>
        <w:t>5</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_Toc32716 </w:instrText>
      </w:r>
      <w:r>
        <w:rPr>
          <w:rFonts w:ascii="宋体" w:hAnsi="宋体" w:eastAsia="宋体" w:cs="宋体"/>
          <w:kern w:val="0"/>
          <w:szCs w:val="21"/>
          <w:lang w:val="en-US" w:eastAsia="zh-CN" w:bidi="ar-SA"/>
        </w:rPr>
        <w:fldChar w:fldCharType="separate"/>
      </w:r>
      <w:r>
        <w:rPr>
          <w:rFonts w:hint="eastAsia" w:ascii="宋体" w:hAnsi="宋体" w:eastAsia="宋体" w:cs="宋体"/>
          <w:szCs w:val="28"/>
        </w:rPr>
        <w:t>六、价值类型</w:t>
      </w:r>
      <w:r>
        <w:tab/>
      </w:r>
      <w:r>
        <w:fldChar w:fldCharType="begin"/>
      </w:r>
      <w:r>
        <w:instrText xml:space="preserve"> PAGEREF _Toc32716 \h </w:instrText>
      </w:r>
      <w:r>
        <w:fldChar w:fldCharType="separate"/>
      </w:r>
      <w:r>
        <w:t>6</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_Toc15064 </w:instrText>
      </w:r>
      <w:r>
        <w:rPr>
          <w:rFonts w:ascii="宋体" w:hAnsi="宋体" w:eastAsia="宋体" w:cs="宋体"/>
          <w:kern w:val="0"/>
          <w:szCs w:val="21"/>
          <w:lang w:val="en-US" w:eastAsia="zh-CN" w:bidi="ar-SA"/>
        </w:rPr>
        <w:fldChar w:fldCharType="separate"/>
      </w:r>
      <w:r>
        <w:rPr>
          <w:rFonts w:hint="eastAsia" w:ascii="宋体" w:hAnsi="宋体" w:eastAsia="宋体" w:cs="宋体"/>
          <w:szCs w:val="28"/>
        </w:rPr>
        <w:t>七、估价原则</w:t>
      </w:r>
      <w:r>
        <w:tab/>
      </w:r>
      <w:r>
        <w:fldChar w:fldCharType="begin"/>
      </w:r>
      <w:r>
        <w:instrText xml:space="preserve"> PAGEREF _Toc15064 \h </w:instrText>
      </w:r>
      <w:r>
        <w:fldChar w:fldCharType="separate"/>
      </w:r>
      <w:r>
        <w:t>6</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_Toc32204 </w:instrText>
      </w:r>
      <w:r>
        <w:rPr>
          <w:rFonts w:ascii="宋体" w:hAnsi="宋体" w:eastAsia="宋体" w:cs="宋体"/>
          <w:kern w:val="0"/>
          <w:szCs w:val="21"/>
          <w:lang w:val="en-US" w:eastAsia="zh-CN" w:bidi="ar-SA"/>
        </w:rPr>
        <w:fldChar w:fldCharType="separate"/>
      </w:r>
      <w:r>
        <w:rPr>
          <w:rFonts w:hint="eastAsia" w:ascii="宋体" w:hAnsi="宋体" w:eastAsia="宋体" w:cs="宋体"/>
          <w:szCs w:val="28"/>
        </w:rPr>
        <w:t>八、估价依据</w:t>
      </w:r>
      <w:r>
        <w:tab/>
      </w:r>
      <w:r>
        <w:fldChar w:fldCharType="begin"/>
      </w:r>
      <w:r>
        <w:instrText xml:space="preserve"> PAGEREF _Toc32204 \h </w:instrText>
      </w:r>
      <w:r>
        <w:fldChar w:fldCharType="separate"/>
      </w:r>
      <w:r>
        <w:t>8</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_Toc19163 </w:instrText>
      </w:r>
      <w:r>
        <w:rPr>
          <w:rFonts w:ascii="宋体" w:hAnsi="宋体" w:eastAsia="宋体" w:cs="宋体"/>
          <w:kern w:val="0"/>
          <w:szCs w:val="21"/>
          <w:lang w:val="en-US" w:eastAsia="zh-CN" w:bidi="ar-SA"/>
        </w:rPr>
        <w:fldChar w:fldCharType="separate"/>
      </w:r>
      <w:r>
        <w:rPr>
          <w:rFonts w:hint="eastAsia" w:ascii="宋体" w:hAnsi="宋体" w:eastAsia="宋体" w:cs="宋体"/>
          <w:szCs w:val="28"/>
        </w:rPr>
        <w:t>九、估价方法</w:t>
      </w:r>
      <w:r>
        <w:tab/>
      </w:r>
      <w:r>
        <w:fldChar w:fldCharType="begin"/>
      </w:r>
      <w:r>
        <w:instrText xml:space="preserve"> PAGEREF _Toc19163 \h </w:instrText>
      </w:r>
      <w:r>
        <w:fldChar w:fldCharType="separate"/>
      </w:r>
      <w:r>
        <w:t>9</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_Toc2905 </w:instrText>
      </w:r>
      <w:r>
        <w:rPr>
          <w:rFonts w:ascii="宋体" w:hAnsi="宋体" w:eastAsia="宋体" w:cs="宋体"/>
          <w:kern w:val="0"/>
          <w:szCs w:val="21"/>
          <w:lang w:val="en-US" w:eastAsia="zh-CN" w:bidi="ar-SA"/>
        </w:rPr>
        <w:fldChar w:fldCharType="separate"/>
      </w:r>
      <w:r>
        <w:rPr>
          <w:rFonts w:hint="eastAsia" w:ascii="宋体" w:hAnsi="宋体" w:eastAsia="宋体" w:cs="宋体"/>
          <w:szCs w:val="28"/>
        </w:rPr>
        <w:t>十、估价结果</w:t>
      </w:r>
      <w:r>
        <w:tab/>
      </w:r>
      <w:r>
        <w:fldChar w:fldCharType="begin"/>
      </w:r>
      <w:r>
        <w:instrText xml:space="preserve"> PAGEREF _Toc2905 \h </w:instrText>
      </w:r>
      <w:r>
        <w:fldChar w:fldCharType="separate"/>
      </w:r>
      <w:r>
        <w:t>11</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_Toc22153 </w:instrText>
      </w:r>
      <w:r>
        <w:rPr>
          <w:rFonts w:ascii="宋体" w:hAnsi="宋体" w:eastAsia="宋体" w:cs="宋体"/>
          <w:kern w:val="0"/>
          <w:szCs w:val="21"/>
          <w:lang w:val="en-US" w:eastAsia="zh-CN" w:bidi="ar-SA"/>
        </w:rPr>
        <w:fldChar w:fldCharType="separate"/>
      </w:r>
      <w:r>
        <w:rPr>
          <w:rFonts w:hint="eastAsia" w:ascii="宋体" w:hAnsi="宋体" w:eastAsia="宋体" w:cs="宋体"/>
          <w:szCs w:val="28"/>
          <w:lang w:eastAsia="zh-CN"/>
        </w:rPr>
        <w:t>十一、注册</w:t>
      </w:r>
      <w:r>
        <w:rPr>
          <w:rFonts w:hint="eastAsia" w:ascii="宋体" w:hAnsi="宋体" w:eastAsia="宋体" w:cs="宋体"/>
          <w:szCs w:val="28"/>
        </w:rPr>
        <w:t>房地产估价师</w:t>
      </w:r>
      <w:r>
        <w:tab/>
      </w:r>
      <w:r>
        <w:fldChar w:fldCharType="begin"/>
      </w:r>
      <w:r>
        <w:instrText xml:space="preserve"> PAGEREF _Toc22153 \h </w:instrText>
      </w:r>
      <w:r>
        <w:fldChar w:fldCharType="separate"/>
      </w:r>
      <w:r>
        <w:t>12</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_Toc1009 </w:instrText>
      </w:r>
      <w:r>
        <w:rPr>
          <w:rFonts w:ascii="宋体" w:hAnsi="宋体" w:eastAsia="宋体" w:cs="宋体"/>
          <w:kern w:val="0"/>
          <w:szCs w:val="21"/>
          <w:lang w:val="en-US" w:eastAsia="zh-CN" w:bidi="ar-SA"/>
        </w:rPr>
        <w:fldChar w:fldCharType="separate"/>
      </w:r>
      <w:r>
        <w:rPr>
          <w:rFonts w:hint="eastAsia" w:ascii="宋体" w:hAnsi="宋体" w:eastAsia="宋体" w:cs="宋体"/>
          <w:szCs w:val="28"/>
          <w:lang w:eastAsia="zh-CN"/>
        </w:rPr>
        <w:t>十二、实地查勘期</w:t>
      </w:r>
      <w:r>
        <w:tab/>
      </w:r>
      <w:r>
        <w:fldChar w:fldCharType="begin"/>
      </w:r>
      <w:r>
        <w:instrText xml:space="preserve"> PAGEREF _Toc1009 \h </w:instrText>
      </w:r>
      <w:r>
        <w:fldChar w:fldCharType="separate"/>
      </w:r>
      <w:r>
        <w:t>12</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_Toc28676 </w:instrText>
      </w:r>
      <w:r>
        <w:rPr>
          <w:rFonts w:ascii="宋体" w:hAnsi="宋体" w:eastAsia="宋体" w:cs="宋体"/>
          <w:kern w:val="0"/>
          <w:szCs w:val="21"/>
          <w:lang w:val="en-US" w:eastAsia="zh-CN" w:bidi="ar-SA"/>
        </w:rPr>
        <w:fldChar w:fldCharType="separate"/>
      </w:r>
      <w:r>
        <w:rPr>
          <w:rFonts w:hint="eastAsia" w:ascii="宋体" w:hAnsi="宋体" w:eastAsia="宋体" w:cs="宋体"/>
          <w:szCs w:val="28"/>
          <w:lang w:eastAsia="zh-CN"/>
        </w:rPr>
        <w:t>十三、估价作业期</w:t>
      </w:r>
      <w:r>
        <w:tab/>
      </w:r>
      <w:r>
        <w:fldChar w:fldCharType="begin"/>
      </w:r>
      <w:r>
        <w:instrText xml:space="preserve"> PAGEREF _Toc28676 \h </w:instrText>
      </w:r>
      <w:r>
        <w:fldChar w:fldCharType="separate"/>
      </w:r>
      <w:r>
        <w:t>12</w:t>
      </w:r>
      <w:r>
        <w:fldChar w:fldCharType="end"/>
      </w:r>
      <w:r>
        <w:rPr>
          <w:rFonts w:ascii="宋体" w:hAnsi="宋体" w:eastAsia="宋体" w:cs="宋体"/>
          <w:kern w:val="0"/>
          <w:szCs w:val="21"/>
          <w:lang w:val="en-US" w:eastAsia="zh-CN" w:bidi="ar-SA"/>
        </w:rPr>
        <w:fldChar w:fldCharType="end"/>
      </w:r>
    </w:p>
    <w:p>
      <w:pPr>
        <w:pStyle w:val="16"/>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_Toc11095 </w:instrText>
      </w:r>
      <w:r>
        <w:rPr>
          <w:rFonts w:ascii="宋体" w:hAnsi="宋体" w:eastAsia="宋体" w:cs="宋体"/>
          <w:kern w:val="0"/>
          <w:szCs w:val="21"/>
          <w:lang w:val="en-US" w:eastAsia="zh-CN" w:bidi="ar-SA"/>
        </w:rPr>
        <w:fldChar w:fldCharType="separate"/>
      </w:r>
      <w:r>
        <w:rPr>
          <w:rFonts w:hint="eastAsia" w:cs="宋体"/>
        </w:rPr>
        <w:t>附</w:t>
      </w:r>
      <w:r>
        <w:t xml:space="preserve">  </w:t>
      </w:r>
      <w:r>
        <w:rPr>
          <w:rFonts w:hint="eastAsia" w:cs="宋体"/>
        </w:rPr>
        <w:t>件</w:t>
      </w:r>
      <w:r>
        <w:tab/>
      </w:r>
      <w:r>
        <w:fldChar w:fldCharType="begin"/>
      </w:r>
      <w:r>
        <w:instrText xml:space="preserve"> PAGEREF _Toc11095 \h </w:instrText>
      </w:r>
      <w:r>
        <w:fldChar w:fldCharType="separate"/>
      </w:r>
      <w:r>
        <w:t>13</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_Toc9581 </w:instrText>
      </w:r>
      <w:r>
        <w:rPr>
          <w:rFonts w:ascii="宋体" w:hAnsi="宋体" w:eastAsia="宋体" w:cs="宋体"/>
          <w:kern w:val="0"/>
          <w:szCs w:val="21"/>
          <w:lang w:val="en-US" w:eastAsia="zh-CN" w:bidi="ar-SA"/>
        </w:rPr>
        <w:fldChar w:fldCharType="separate"/>
      </w:r>
      <w:r>
        <w:rPr>
          <w:rFonts w:hint="eastAsia" w:asciiTheme="minorEastAsia" w:hAnsiTheme="minorEastAsia" w:eastAsiaTheme="minorEastAsia" w:cstheme="minorEastAsia"/>
          <w:szCs w:val="28"/>
          <w:lang w:val="en-US" w:eastAsia="zh-CN"/>
        </w:rPr>
        <w:t>一、</w:t>
      </w:r>
      <w:r>
        <w:rPr>
          <w:rFonts w:hint="eastAsia" w:asciiTheme="minorEastAsia" w:hAnsiTheme="minorEastAsia" w:eastAsiaTheme="minorEastAsia" w:cstheme="minorEastAsia"/>
          <w:szCs w:val="28"/>
          <w:lang w:eastAsia="zh-CN"/>
        </w:rPr>
        <w:t>司法鉴定评估委托书复印件；</w:t>
      </w:r>
      <w:r>
        <w:tab/>
      </w:r>
      <w:r>
        <w:fldChar w:fldCharType="begin"/>
      </w:r>
      <w:r>
        <w:instrText xml:space="preserve"> PAGEREF _Toc9581 \h </w:instrText>
      </w:r>
      <w:r>
        <w:fldChar w:fldCharType="separate"/>
      </w:r>
      <w:r>
        <w:t>13</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_Toc29420 </w:instrText>
      </w:r>
      <w:r>
        <w:rPr>
          <w:rFonts w:ascii="宋体" w:hAnsi="宋体" w:eastAsia="宋体" w:cs="宋体"/>
          <w:kern w:val="0"/>
          <w:szCs w:val="21"/>
          <w:lang w:val="en-US" w:eastAsia="zh-CN" w:bidi="ar-SA"/>
        </w:rPr>
        <w:fldChar w:fldCharType="separate"/>
      </w:r>
      <w:r>
        <w:rPr>
          <w:rFonts w:hint="eastAsia" w:asciiTheme="minorEastAsia" w:hAnsiTheme="minorEastAsia" w:eastAsiaTheme="minorEastAsia" w:cstheme="minorEastAsia"/>
          <w:szCs w:val="28"/>
          <w:lang w:val="en-US" w:eastAsia="zh-CN"/>
        </w:rPr>
        <w:t>二</w:t>
      </w:r>
      <w:r>
        <w:rPr>
          <w:rFonts w:hint="eastAsia" w:asciiTheme="minorEastAsia" w:hAnsiTheme="minorEastAsia" w:eastAsiaTheme="minorEastAsia" w:cstheme="minorEastAsia"/>
          <w:szCs w:val="28"/>
          <w:lang w:eastAsia="zh-CN"/>
        </w:rPr>
        <w:t>、</w:t>
      </w:r>
      <w:r>
        <w:rPr>
          <w:rFonts w:hint="eastAsia" w:asciiTheme="minorEastAsia" w:hAnsiTheme="minorEastAsia" w:eastAsiaTheme="minorEastAsia" w:cstheme="minorEastAsia"/>
          <w:szCs w:val="28"/>
        </w:rPr>
        <w:t>委估房地产位置图</w:t>
      </w:r>
      <w:r>
        <w:rPr>
          <w:rFonts w:hint="eastAsia" w:asciiTheme="minorEastAsia" w:hAnsiTheme="minorEastAsia" w:eastAsiaTheme="minorEastAsia" w:cstheme="minorEastAsia"/>
          <w:szCs w:val="28"/>
          <w:lang w:eastAsia="zh-CN"/>
        </w:rPr>
        <w:t>复印件</w:t>
      </w:r>
      <w:r>
        <w:rPr>
          <w:rFonts w:hint="eastAsia" w:asciiTheme="minorEastAsia" w:hAnsiTheme="minorEastAsia" w:eastAsiaTheme="minorEastAsia" w:cstheme="minorEastAsia"/>
          <w:szCs w:val="28"/>
        </w:rPr>
        <w:t>；</w:t>
      </w:r>
      <w:r>
        <w:tab/>
      </w:r>
      <w:r>
        <w:fldChar w:fldCharType="begin"/>
      </w:r>
      <w:r>
        <w:instrText xml:space="preserve"> PAGEREF _Toc29420 \h </w:instrText>
      </w:r>
      <w:r>
        <w:fldChar w:fldCharType="separate"/>
      </w:r>
      <w:r>
        <w:t>13</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_Toc22361 </w:instrText>
      </w:r>
      <w:r>
        <w:rPr>
          <w:rFonts w:ascii="宋体" w:hAnsi="宋体" w:eastAsia="宋体" w:cs="宋体"/>
          <w:kern w:val="0"/>
          <w:szCs w:val="21"/>
          <w:lang w:val="en-US" w:eastAsia="zh-CN" w:bidi="ar-SA"/>
        </w:rPr>
        <w:fldChar w:fldCharType="separate"/>
      </w:r>
      <w:r>
        <w:rPr>
          <w:rFonts w:hint="eastAsia" w:asciiTheme="minorEastAsia" w:hAnsiTheme="minorEastAsia" w:eastAsiaTheme="minorEastAsia" w:cstheme="minorEastAsia"/>
          <w:szCs w:val="28"/>
          <w:lang w:val="en-US" w:eastAsia="zh-CN"/>
        </w:rPr>
        <w:t>三</w:t>
      </w:r>
      <w:r>
        <w:rPr>
          <w:rFonts w:hint="eastAsia" w:asciiTheme="minorEastAsia" w:hAnsiTheme="minorEastAsia" w:eastAsiaTheme="minorEastAsia" w:cstheme="minorEastAsia"/>
          <w:szCs w:val="28"/>
        </w:rPr>
        <w:t>、委估房地产照片</w:t>
      </w:r>
      <w:r>
        <w:rPr>
          <w:rFonts w:hint="eastAsia" w:asciiTheme="minorEastAsia" w:hAnsiTheme="minorEastAsia" w:eastAsiaTheme="minorEastAsia" w:cstheme="minorEastAsia"/>
          <w:szCs w:val="28"/>
          <w:lang w:eastAsia="zh-CN"/>
        </w:rPr>
        <w:t>复印件</w:t>
      </w:r>
      <w:r>
        <w:rPr>
          <w:rFonts w:hint="eastAsia" w:asciiTheme="minorEastAsia" w:hAnsiTheme="minorEastAsia" w:eastAsiaTheme="minorEastAsia" w:cstheme="minorEastAsia"/>
          <w:szCs w:val="28"/>
        </w:rPr>
        <w:t>；</w:t>
      </w:r>
      <w:r>
        <w:tab/>
      </w:r>
      <w:r>
        <w:fldChar w:fldCharType="begin"/>
      </w:r>
      <w:r>
        <w:instrText xml:space="preserve"> PAGEREF _Toc22361 \h </w:instrText>
      </w:r>
      <w:r>
        <w:fldChar w:fldCharType="separate"/>
      </w:r>
      <w:r>
        <w:t>13</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_Toc710 </w:instrText>
      </w:r>
      <w:r>
        <w:rPr>
          <w:rFonts w:ascii="宋体" w:hAnsi="宋体" w:eastAsia="宋体" w:cs="宋体"/>
          <w:kern w:val="0"/>
          <w:szCs w:val="21"/>
          <w:lang w:val="en-US" w:eastAsia="zh-CN" w:bidi="ar-SA"/>
        </w:rPr>
        <w:fldChar w:fldCharType="separate"/>
      </w:r>
      <w:r>
        <w:rPr>
          <w:rFonts w:hint="eastAsia" w:asciiTheme="minorEastAsia" w:hAnsiTheme="minorEastAsia" w:eastAsiaTheme="minorEastAsia" w:cstheme="minorEastAsia"/>
          <w:szCs w:val="28"/>
          <w:lang w:val="en-US" w:eastAsia="zh-CN"/>
        </w:rPr>
        <w:t>四</w:t>
      </w:r>
      <w:r>
        <w:rPr>
          <w:rFonts w:hint="eastAsia" w:asciiTheme="minorEastAsia" w:hAnsiTheme="minorEastAsia" w:eastAsiaTheme="minorEastAsia" w:cstheme="minorEastAsia"/>
          <w:szCs w:val="28"/>
        </w:rPr>
        <w:t>、</w:t>
      </w:r>
      <w:r>
        <w:rPr>
          <w:rFonts w:hint="eastAsia" w:asciiTheme="minorEastAsia" w:hAnsiTheme="minorEastAsia" w:eastAsiaTheme="minorEastAsia" w:cstheme="minorEastAsia"/>
          <w:szCs w:val="28"/>
          <w:lang w:eastAsia="zh-CN"/>
        </w:rPr>
        <w:t>委托人提供的不动产产权情况表复印件</w:t>
      </w:r>
      <w:r>
        <w:rPr>
          <w:rFonts w:hint="eastAsia" w:asciiTheme="minorEastAsia" w:hAnsiTheme="minorEastAsia" w:eastAsiaTheme="minorEastAsia" w:cstheme="minorEastAsia"/>
          <w:szCs w:val="28"/>
        </w:rPr>
        <w:t>；</w:t>
      </w:r>
      <w:r>
        <w:tab/>
      </w:r>
      <w:r>
        <w:fldChar w:fldCharType="begin"/>
      </w:r>
      <w:r>
        <w:instrText xml:space="preserve"> PAGEREF _Toc710 \h </w:instrText>
      </w:r>
      <w:r>
        <w:fldChar w:fldCharType="separate"/>
      </w:r>
      <w:r>
        <w:t>13</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_Toc30738 </w:instrText>
      </w:r>
      <w:r>
        <w:rPr>
          <w:rFonts w:ascii="宋体" w:hAnsi="宋体" w:eastAsia="宋体" w:cs="宋体"/>
          <w:kern w:val="0"/>
          <w:szCs w:val="21"/>
          <w:lang w:val="en-US" w:eastAsia="zh-CN" w:bidi="ar-SA"/>
        </w:rPr>
        <w:fldChar w:fldCharType="separate"/>
      </w:r>
      <w:r>
        <w:rPr>
          <w:rFonts w:hint="eastAsia" w:asciiTheme="minorEastAsia" w:hAnsiTheme="minorEastAsia" w:eastAsiaTheme="minorEastAsia" w:cstheme="minorEastAsia"/>
          <w:szCs w:val="28"/>
          <w:lang w:val="en-US" w:eastAsia="zh-CN"/>
        </w:rPr>
        <w:t>五</w:t>
      </w:r>
      <w:r>
        <w:rPr>
          <w:rFonts w:hint="eastAsia" w:asciiTheme="minorEastAsia" w:hAnsiTheme="minorEastAsia" w:eastAsiaTheme="minorEastAsia" w:cstheme="minorEastAsia"/>
          <w:szCs w:val="28"/>
        </w:rPr>
        <w:t>、</w:t>
      </w:r>
      <w:r>
        <w:rPr>
          <w:rFonts w:hint="eastAsia" w:asciiTheme="minorEastAsia" w:hAnsiTheme="minorEastAsia" w:eastAsiaTheme="minorEastAsia" w:cstheme="minorEastAsia"/>
          <w:szCs w:val="28"/>
          <w:lang w:eastAsia="zh-CN"/>
        </w:rPr>
        <w:t>鉴定人承诺书</w:t>
      </w:r>
      <w:r>
        <w:rPr>
          <w:rFonts w:hint="eastAsia" w:asciiTheme="minorEastAsia" w:hAnsiTheme="minorEastAsia" w:eastAsiaTheme="minorEastAsia" w:cstheme="minorEastAsia"/>
          <w:szCs w:val="28"/>
        </w:rPr>
        <w:t>；</w:t>
      </w:r>
      <w:r>
        <w:tab/>
      </w:r>
      <w:r>
        <w:fldChar w:fldCharType="begin"/>
      </w:r>
      <w:r>
        <w:instrText xml:space="preserve"> PAGEREF _Toc30738 \h </w:instrText>
      </w:r>
      <w:r>
        <w:fldChar w:fldCharType="separate"/>
      </w:r>
      <w:r>
        <w:t>13</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_Toc27750 </w:instrText>
      </w:r>
      <w:r>
        <w:rPr>
          <w:rFonts w:ascii="宋体" w:hAnsi="宋体" w:eastAsia="宋体" w:cs="宋体"/>
          <w:kern w:val="0"/>
          <w:szCs w:val="21"/>
          <w:lang w:val="en-US" w:eastAsia="zh-CN" w:bidi="ar-SA"/>
        </w:rPr>
        <w:fldChar w:fldCharType="separate"/>
      </w:r>
      <w:r>
        <w:rPr>
          <w:rFonts w:hint="eastAsia" w:asciiTheme="minorEastAsia" w:hAnsiTheme="minorEastAsia" w:eastAsiaTheme="minorEastAsia" w:cstheme="minorEastAsia"/>
          <w:szCs w:val="28"/>
          <w:lang w:eastAsia="zh-CN"/>
        </w:rPr>
        <w:t>六</w:t>
      </w:r>
      <w:r>
        <w:rPr>
          <w:rFonts w:hint="eastAsia" w:asciiTheme="minorEastAsia" w:hAnsiTheme="minorEastAsia" w:eastAsiaTheme="minorEastAsia" w:cstheme="minorEastAsia"/>
          <w:szCs w:val="28"/>
        </w:rPr>
        <w:t>、房地产估价机构企业法人营业执照复印件；</w:t>
      </w:r>
      <w:r>
        <w:tab/>
      </w:r>
      <w:r>
        <w:fldChar w:fldCharType="begin"/>
      </w:r>
      <w:r>
        <w:instrText xml:space="preserve"> PAGEREF _Toc27750 \h </w:instrText>
      </w:r>
      <w:r>
        <w:fldChar w:fldCharType="separate"/>
      </w:r>
      <w:r>
        <w:t>13</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_Toc8685 </w:instrText>
      </w:r>
      <w:r>
        <w:rPr>
          <w:rFonts w:ascii="宋体" w:hAnsi="宋体" w:eastAsia="宋体" w:cs="宋体"/>
          <w:kern w:val="0"/>
          <w:szCs w:val="21"/>
          <w:lang w:val="en-US" w:eastAsia="zh-CN" w:bidi="ar-SA"/>
        </w:rPr>
        <w:fldChar w:fldCharType="separate"/>
      </w:r>
      <w:r>
        <w:rPr>
          <w:rFonts w:hint="eastAsia" w:asciiTheme="minorEastAsia" w:hAnsiTheme="minorEastAsia" w:eastAsiaTheme="minorEastAsia" w:cstheme="minorEastAsia"/>
          <w:szCs w:val="28"/>
          <w:lang w:val="en-US" w:eastAsia="zh-CN"/>
        </w:rPr>
        <w:t>七</w:t>
      </w:r>
      <w:r>
        <w:rPr>
          <w:rFonts w:hint="eastAsia" w:asciiTheme="minorEastAsia" w:hAnsiTheme="minorEastAsia" w:eastAsiaTheme="minorEastAsia" w:cstheme="minorEastAsia"/>
          <w:szCs w:val="28"/>
        </w:rPr>
        <w:t>、房地产估价机构</w:t>
      </w:r>
      <w:r>
        <w:rPr>
          <w:rFonts w:hint="eastAsia" w:asciiTheme="minorEastAsia" w:hAnsiTheme="minorEastAsia" w:eastAsiaTheme="minorEastAsia" w:cstheme="minorEastAsia"/>
          <w:szCs w:val="28"/>
          <w:lang w:eastAsia="zh-CN"/>
        </w:rPr>
        <w:t>备案</w:t>
      </w:r>
      <w:r>
        <w:rPr>
          <w:rFonts w:hint="eastAsia" w:asciiTheme="minorEastAsia" w:hAnsiTheme="minorEastAsia" w:eastAsiaTheme="minorEastAsia" w:cstheme="minorEastAsia"/>
          <w:szCs w:val="28"/>
        </w:rPr>
        <w:t>证书复印件；</w:t>
      </w:r>
      <w:r>
        <w:tab/>
      </w:r>
      <w:r>
        <w:fldChar w:fldCharType="begin"/>
      </w:r>
      <w:r>
        <w:instrText xml:space="preserve"> PAGEREF _Toc8685 \h </w:instrText>
      </w:r>
      <w:r>
        <w:fldChar w:fldCharType="separate"/>
      </w:r>
      <w:r>
        <w:t>13</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_Toc23618 </w:instrText>
      </w:r>
      <w:r>
        <w:rPr>
          <w:rFonts w:ascii="宋体" w:hAnsi="宋体" w:eastAsia="宋体" w:cs="宋体"/>
          <w:kern w:val="0"/>
          <w:szCs w:val="21"/>
          <w:lang w:val="en-US" w:eastAsia="zh-CN" w:bidi="ar-SA"/>
        </w:rPr>
        <w:fldChar w:fldCharType="separate"/>
      </w:r>
      <w:r>
        <w:rPr>
          <w:rFonts w:hint="eastAsia" w:asciiTheme="minorEastAsia" w:hAnsiTheme="minorEastAsia" w:eastAsiaTheme="minorEastAsia" w:cstheme="minorEastAsia"/>
          <w:szCs w:val="28"/>
          <w:lang w:val="en-US" w:eastAsia="zh-CN"/>
        </w:rPr>
        <w:t>八</w:t>
      </w:r>
      <w:r>
        <w:rPr>
          <w:rFonts w:hint="eastAsia" w:asciiTheme="minorEastAsia" w:hAnsiTheme="minorEastAsia" w:eastAsiaTheme="minorEastAsia" w:cstheme="minorEastAsia"/>
          <w:szCs w:val="28"/>
        </w:rPr>
        <w:t>、注册房地产估价师执业资格证书复印件</w:t>
      </w:r>
      <w:r>
        <w:rPr>
          <w:rFonts w:hint="eastAsia" w:asciiTheme="minorEastAsia" w:hAnsiTheme="minorEastAsia" w:eastAsiaTheme="minorEastAsia" w:cstheme="minorEastAsia"/>
          <w:szCs w:val="28"/>
          <w:lang w:eastAsia="zh-CN"/>
        </w:rPr>
        <w:t>。</w:t>
      </w:r>
      <w:r>
        <w:tab/>
      </w:r>
      <w:r>
        <w:fldChar w:fldCharType="begin"/>
      </w:r>
      <w:r>
        <w:instrText xml:space="preserve"> PAGEREF _Toc23618 \h </w:instrText>
      </w:r>
      <w:r>
        <w:fldChar w:fldCharType="separate"/>
      </w:r>
      <w:r>
        <w:t>13</w:t>
      </w:r>
      <w:r>
        <w:fldChar w:fldCharType="end"/>
      </w:r>
      <w:r>
        <w:rPr>
          <w:rFonts w:ascii="宋体" w:hAnsi="宋体" w:eastAsia="宋体" w:cs="宋体"/>
          <w:kern w:val="0"/>
          <w:szCs w:val="21"/>
          <w:lang w:val="en-US" w:eastAsia="zh-CN" w:bidi="ar-SA"/>
        </w:rPr>
        <w:fldChar w:fldCharType="end"/>
      </w:r>
    </w:p>
    <w:p>
      <w:pPr>
        <w:shd w:val="clear" w:color="auto" w:fill="FFFFFF"/>
        <w:spacing w:line="320" w:lineRule="atLeast"/>
        <w:ind w:left="420" w:firstLine="240"/>
        <w:rPr>
          <w:rStyle w:val="34"/>
          <w:rFonts w:ascii="宋体" w:cs="Times New Roman"/>
        </w:rPr>
        <w:sectPr>
          <w:headerReference r:id="rId7" w:type="default"/>
          <w:footerReference r:id="rId8" w:type="default"/>
          <w:pgSz w:w="11906" w:h="16838"/>
          <w:pgMar w:top="1440" w:right="1418" w:bottom="1440" w:left="1531" w:header="851" w:footer="992" w:gutter="0"/>
          <w:pgNumType w:start="1"/>
          <w:cols w:space="425" w:num="1"/>
          <w:docGrid w:type="lines" w:linePitch="312" w:charSpace="0"/>
        </w:sectPr>
      </w:pPr>
      <w:r>
        <w:rPr>
          <w:rFonts w:ascii="宋体" w:hAnsi="宋体" w:eastAsia="宋体" w:cs="宋体"/>
          <w:kern w:val="0"/>
          <w:szCs w:val="21"/>
          <w:lang w:val="en-US" w:eastAsia="zh-CN" w:bidi="ar-SA"/>
        </w:rPr>
        <w:fldChar w:fldCharType="end"/>
      </w:r>
      <w:bookmarkStart w:id="15" w:name="_Toc446842877"/>
      <w:bookmarkStart w:id="16" w:name="_Toc446842369"/>
      <w:bookmarkStart w:id="17" w:name="_Toc450934370"/>
      <w:bookmarkStart w:id="18" w:name="_Toc471825268"/>
      <w:bookmarkStart w:id="19" w:name="_Toc446842800"/>
      <w:bookmarkStart w:id="20" w:name="_Toc446842616"/>
    </w:p>
    <w:p>
      <w:pPr>
        <w:spacing w:line="480" w:lineRule="exact"/>
        <w:jc w:val="center"/>
        <w:rPr>
          <w:rStyle w:val="34"/>
          <w:rFonts w:ascii="宋体" w:cs="Times New Roman"/>
        </w:rPr>
      </w:pPr>
      <w:bookmarkStart w:id="21" w:name="_Toc17839"/>
      <w:r>
        <w:rPr>
          <w:rStyle w:val="34"/>
          <w:rFonts w:hint="eastAsia" w:ascii="宋体" w:hAnsi="宋体" w:cs="宋体"/>
        </w:rPr>
        <w:t>估价师声明</w:t>
      </w:r>
      <w:bookmarkEnd w:id="13"/>
      <w:bookmarkEnd w:id="14"/>
      <w:bookmarkEnd w:id="15"/>
      <w:bookmarkEnd w:id="16"/>
      <w:bookmarkEnd w:id="17"/>
      <w:bookmarkEnd w:id="18"/>
      <w:bookmarkEnd w:id="19"/>
      <w:bookmarkEnd w:id="20"/>
    </w:p>
    <w:bookmarkEnd w:id="21"/>
    <w:p>
      <w:pPr>
        <w:pStyle w:val="10"/>
        <w:adjustRightInd/>
        <w:spacing w:line="460" w:lineRule="exact"/>
        <w:ind w:firstLine="0"/>
        <w:textAlignment w:val="center"/>
        <w:rPr>
          <w:rFonts w:hint="eastAsia" w:ascii="宋体" w:hAnsi="宋体" w:eastAsia="宋体" w:cs="宋体"/>
          <w:b/>
          <w:kern w:val="2"/>
          <w:sz w:val="28"/>
          <w:szCs w:val="28"/>
        </w:rPr>
      </w:pPr>
      <w:bookmarkStart w:id="22" w:name="_Toc446842801"/>
      <w:bookmarkStart w:id="23" w:name="_Toc471825269"/>
      <w:bookmarkStart w:id="24" w:name="_Toc446783824"/>
      <w:bookmarkStart w:id="25" w:name="_Toc446842878"/>
      <w:bookmarkStart w:id="26" w:name="_Toc450934371"/>
      <w:bookmarkStart w:id="27" w:name="_Toc446842617"/>
      <w:bookmarkStart w:id="28" w:name="_Toc446842370"/>
      <w:r>
        <w:rPr>
          <w:rFonts w:hint="eastAsia" w:ascii="宋体" w:hAnsi="宋体" w:eastAsia="宋体" w:cs="宋体"/>
          <w:b/>
          <w:kern w:val="2"/>
          <w:sz w:val="28"/>
          <w:szCs w:val="28"/>
        </w:rPr>
        <w:t>我们郑重声明：</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一、注册房地产估价师在估价报告中对事实的说明是真实和准确的，没有虚假记载、误导性陈述和重大遗漏。</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二、估价报告中的分析、意见和结论是注册房地产估价师独立、客观、公正的专业分析、意见和结论，但受到估价报告中已说明的估价假设和限制条件的限制。</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三、注册房地产估价师与估价报告中的估价对象没有现实或潜在的利益，与估价委托人及估价利害关系人没有利害关系，也对估价对象、估价委托人及估价利害关系人没有偏见。</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四、注册房地产估价师是依照有关房地产估价标准的规定进行估价工作，撰写估价报告。</w:t>
      </w:r>
    </w:p>
    <w:p>
      <w:pPr>
        <w:pStyle w:val="2"/>
        <w:keepNext w:val="0"/>
        <w:keepLines w:val="0"/>
        <w:numPr>
          <w:ilvl w:val="0"/>
          <w:numId w:val="0"/>
        </w:numPr>
        <w:spacing w:line="520" w:lineRule="exact"/>
        <w:jc w:val="center"/>
        <w:rPr>
          <w:rFonts w:hint="eastAsia" w:ascii="宋体" w:hAnsi="宋体" w:eastAsia="宋体" w:cs="宋体"/>
        </w:rPr>
        <w:sectPr>
          <w:footerReference r:id="rId9" w:type="default"/>
          <w:pgSz w:w="11906" w:h="16838"/>
          <w:pgMar w:top="1440" w:right="1418" w:bottom="1440" w:left="1531" w:header="851" w:footer="992" w:gutter="0"/>
          <w:pgNumType w:start="1"/>
          <w:cols w:space="425" w:num="1"/>
          <w:docGrid w:type="lines" w:linePitch="312" w:charSpace="0"/>
        </w:sectPr>
      </w:pPr>
    </w:p>
    <w:p>
      <w:pPr>
        <w:pStyle w:val="2"/>
        <w:keepNext w:val="0"/>
        <w:keepLines w:val="0"/>
        <w:numPr>
          <w:ilvl w:val="0"/>
          <w:numId w:val="0"/>
        </w:numPr>
        <w:spacing w:line="520" w:lineRule="exact"/>
        <w:jc w:val="center"/>
        <w:rPr>
          <w:rFonts w:ascii="宋体" w:cs="Times New Roman"/>
        </w:rPr>
      </w:pPr>
      <w:bookmarkStart w:id="29" w:name="_Toc26831"/>
      <w:r>
        <w:rPr>
          <w:rFonts w:hint="eastAsia" w:ascii="宋体" w:hAnsi="宋体" w:cs="宋体"/>
        </w:rPr>
        <w:t>估价假设和限制条件</w:t>
      </w:r>
      <w:bookmarkEnd w:id="22"/>
      <w:bookmarkEnd w:id="23"/>
      <w:bookmarkEnd w:id="24"/>
      <w:bookmarkEnd w:id="25"/>
      <w:bookmarkEnd w:id="26"/>
      <w:bookmarkEnd w:id="27"/>
      <w:bookmarkEnd w:id="28"/>
      <w:bookmarkEnd w:id="29"/>
    </w:p>
    <w:p>
      <w:pPr>
        <w:adjustRightInd w:val="0"/>
        <w:snapToGrid w:val="0"/>
        <w:spacing w:line="480" w:lineRule="exact"/>
        <w:ind w:firstLine="565" w:firstLineChars="201"/>
        <w:rPr>
          <w:rFonts w:hint="eastAsia" w:ascii="宋体" w:hAnsi="宋体" w:eastAsia="宋体" w:cs="宋体"/>
          <w:b/>
          <w:sz w:val="28"/>
          <w:szCs w:val="28"/>
        </w:rPr>
      </w:pPr>
      <w:bookmarkStart w:id="30" w:name="_Toc471825272"/>
      <w:bookmarkStart w:id="31" w:name="_Toc446842373"/>
      <w:bookmarkStart w:id="32" w:name="_Toc450934374"/>
      <w:bookmarkStart w:id="33" w:name="_Toc446842620"/>
      <w:bookmarkStart w:id="34" w:name="_Toc446783825"/>
      <w:bookmarkStart w:id="35" w:name="_Toc446842881"/>
      <w:bookmarkStart w:id="36" w:name="_Toc446842804"/>
      <w:r>
        <w:rPr>
          <w:rFonts w:hint="eastAsia" w:ascii="宋体" w:hAnsi="宋体" w:eastAsia="宋体" w:cs="宋体"/>
          <w:b/>
          <w:sz w:val="28"/>
          <w:szCs w:val="28"/>
        </w:rPr>
        <w:t>一、一般假设</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（一）估价委托人提供了«</w:t>
      </w:r>
      <w:r>
        <w:rPr>
          <w:rFonts w:hint="eastAsia" w:ascii="宋体" w:hAnsi="宋体" w:cs="宋体"/>
          <w:sz w:val="28"/>
          <w:szCs w:val="28"/>
          <w:lang w:eastAsia="zh-CN"/>
        </w:rPr>
        <w:t>不动产产权情况表</w:t>
      </w:r>
      <w:r>
        <w:rPr>
          <w:rFonts w:hint="eastAsia" w:ascii="宋体" w:hAnsi="宋体" w:eastAsia="宋体" w:cs="宋体"/>
          <w:sz w:val="28"/>
          <w:szCs w:val="28"/>
        </w:rPr>
        <w:t>»的复印件，我公司估价人员已对估价委托人提供的资料进行了审慎检查并留存相关复印件，但未向有关管理部门核实，故本估价报告假设估价委托人提供的房地产权属资料（含提供的复印件）全面、真实、准确、合法有效。</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（二）本次估价未对估价对象做建筑基础和结构上的检测，也不承担对其他被遮盖非暴露及难于接触到的部分进行勘</w:t>
      </w:r>
      <w:r>
        <w:rPr>
          <w:rFonts w:hint="eastAsia" w:ascii="宋体" w:hAnsi="宋体" w:eastAsia="宋体" w:cs="宋体"/>
          <w:sz w:val="28"/>
          <w:szCs w:val="28"/>
          <w:lang w:eastAsia="zh-CN"/>
        </w:rPr>
        <w:t>查</w:t>
      </w:r>
      <w:r>
        <w:rPr>
          <w:rFonts w:hint="eastAsia" w:ascii="宋体" w:hAnsi="宋体" w:eastAsia="宋体" w:cs="宋体"/>
          <w:sz w:val="28"/>
          <w:szCs w:val="28"/>
        </w:rPr>
        <w:t>的责任，并假设其基础、结构无重大质量问题。</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三</w:t>
      </w:r>
      <w:r>
        <w:rPr>
          <w:rFonts w:hint="eastAsia" w:ascii="宋体" w:hAnsi="宋体" w:eastAsia="宋体" w:cs="宋体"/>
          <w:sz w:val="28"/>
          <w:szCs w:val="28"/>
        </w:rPr>
        <w:t>）本次估价假设估价对象所在建筑附属设备(如楼梯、消防设施、配套管线)等均是安全可靠的，均能正常使用。</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四</w:t>
      </w:r>
      <w:r>
        <w:rPr>
          <w:rFonts w:hint="eastAsia" w:ascii="宋体" w:hAnsi="宋体" w:eastAsia="宋体" w:cs="宋体"/>
          <w:sz w:val="28"/>
          <w:szCs w:val="28"/>
        </w:rPr>
        <w:t>）相对于估价对象的特性和房地产的市场状态而言，为使交易完成并达到合理价格，有一个合理的谈判周期；在这个周期内，市场状态、价值水平是静止不变的；不考虑特殊性质买家的附加叫价。</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五</w:t>
      </w:r>
      <w:r>
        <w:rPr>
          <w:rFonts w:hint="eastAsia" w:ascii="宋体" w:hAnsi="宋体" w:eastAsia="宋体" w:cs="宋体"/>
          <w:sz w:val="28"/>
          <w:szCs w:val="28"/>
        </w:rPr>
        <w:t>）交易双方是在公开的市场上进行交易，交易目的在于最大限度地追求经济利益，并掌握必要的市场信息，有较充裕的时间进行交易，对交易对象具有必要的专业知识，交易条件公开并不具有排他性。</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六</w:t>
      </w:r>
      <w:r>
        <w:rPr>
          <w:rFonts w:hint="eastAsia" w:ascii="宋体" w:hAnsi="宋体" w:eastAsia="宋体" w:cs="宋体"/>
          <w:sz w:val="28"/>
          <w:szCs w:val="28"/>
        </w:rPr>
        <w:t>）估价对象能够按照最高最佳使用原则而持续使用为前提，即按</w:t>
      </w:r>
      <w:r>
        <w:rPr>
          <w:rFonts w:hint="eastAsia" w:ascii="宋体" w:hAnsi="宋体" w:cs="宋体"/>
          <w:sz w:val="28"/>
          <w:szCs w:val="28"/>
          <w:lang w:eastAsia="zh-CN"/>
        </w:rPr>
        <w:t>住宅用途</w:t>
      </w:r>
      <w:r>
        <w:rPr>
          <w:rFonts w:hint="eastAsia" w:ascii="宋体" w:hAnsi="宋体" w:eastAsia="宋体" w:cs="宋体"/>
          <w:sz w:val="28"/>
          <w:szCs w:val="28"/>
        </w:rPr>
        <w:t>持续使用。</w:t>
      </w:r>
    </w:p>
    <w:p>
      <w:pPr>
        <w:adjustRightInd w:val="0"/>
        <w:snapToGrid w:val="0"/>
        <w:spacing w:line="48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二、未定事项假设</w:t>
      </w:r>
    </w:p>
    <w:p>
      <w:pPr>
        <w:adjustRightInd w:val="0"/>
        <w:snapToGrid w:val="0"/>
        <w:spacing w:line="480" w:lineRule="exact"/>
        <w:ind w:firstLine="560" w:firstLineChars="200"/>
        <w:rPr>
          <w:rFonts w:hint="eastAsia" w:ascii="宋体" w:hAnsi="宋体" w:cs="宋体"/>
          <w:sz w:val="28"/>
          <w:szCs w:val="28"/>
          <w:lang w:eastAsia="zh-CN"/>
        </w:rPr>
      </w:pPr>
      <w:r>
        <w:rPr>
          <w:rFonts w:hint="eastAsia" w:ascii="宋体" w:hAnsi="宋体" w:cs="宋体"/>
          <w:sz w:val="28"/>
          <w:szCs w:val="28"/>
          <w:lang w:eastAsia="zh-CN"/>
        </w:rPr>
        <w:t>本次估价无未定事项假设。</w:t>
      </w:r>
    </w:p>
    <w:p>
      <w:pPr>
        <w:adjustRightInd w:val="0"/>
        <w:snapToGrid w:val="0"/>
        <w:spacing w:line="48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三、背离事实假设</w:t>
      </w:r>
    </w:p>
    <w:p>
      <w:pPr>
        <w:adjustRightInd w:val="0"/>
        <w:snapToGrid w:val="0"/>
        <w:spacing w:line="480" w:lineRule="exact"/>
        <w:ind w:firstLine="560" w:firstLineChars="200"/>
        <w:rPr>
          <w:rFonts w:hint="eastAsia" w:ascii="宋体" w:hAnsi="宋体" w:cs="宋体"/>
          <w:sz w:val="28"/>
          <w:szCs w:val="28"/>
          <w:lang w:eastAsia="zh-CN"/>
        </w:rPr>
      </w:pPr>
      <w:r>
        <w:rPr>
          <w:rFonts w:hint="eastAsia" w:ascii="宋体" w:hAnsi="宋体" w:cs="宋体"/>
          <w:sz w:val="28"/>
          <w:szCs w:val="28"/>
          <w:lang w:eastAsia="zh-CN"/>
        </w:rPr>
        <w:t>估价对象处于</w:t>
      </w:r>
      <w:r>
        <w:rPr>
          <w:rFonts w:hint="eastAsia" w:ascii="宋体" w:hAnsi="宋体" w:cs="宋体"/>
          <w:sz w:val="28"/>
          <w:szCs w:val="28"/>
          <w:lang w:val="en-US" w:eastAsia="zh-CN"/>
        </w:rPr>
        <w:t>查封</w:t>
      </w:r>
      <w:r>
        <w:rPr>
          <w:rFonts w:hint="eastAsia" w:ascii="宋体" w:hAnsi="宋体" w:cs="宋体"/>
          <w:sz w:val="28"/>
          <w:szCs w:val="28"/>
          <w:lang w:eastAsia="zh-CN"/>
        </w:rPr>
        <w:t>状态，本次评估未考虑</w:t>
      </w:r>
      <w:r>
        <w:rPr>
          <w:rFonts w:hint="eastAsia" w:ascii="宋体" w:hAnsi="宋体" w:cs="宋体"/>
          <w:sz w:val="28"/>
          <w:szCs w:val="28"/>
          <w:lang w:val="en-US" w:eastAsia="zh-CN"/>
        </w:rPr>
        <w:t>查封</w:t>
      </w:r>
      <w:r>
        <w:rPr>
          <w:rFonts w:hint="eastAsia" w:ascii="宋体" w:hAnsi="宋体" w:cs="宋体"/>
          <w:sz w:val="28"/>
          <w:szCs w:val="28"/>
          <w:lang w:eastAsia="zh-CN"/>
        </w:rPr>
        <w:t>对估价结果影响。</w:t>
      </w:r>
    </w:p>
    <w:p>
      <w:pPr>
        <w:keepNext w:val="0"/>
        <w:keepLines w:val="0"/>
        <w:pageBreakBefore w:val="0"/>
        <w:widowControl w:val="0"/>
        <w:kinsoku/>
        <w:wordWrap/>
        <w:overflowPunct/>
        <w:topLinePunct w:val="0"/>
        <w:autoSpaceDE/>
        <w:autoSpaceDN/>
        <w:bidi w:val="0"/>
        <w:adjustRightInd w:val="0"/>
        <w:snapToGrid w:val="0"/>
        <w:spacing w:line="480" w:lineRule="exact"/>
        <w:ind w:firstLine="562" w:firstLineChars="200"/>
        <w:jc w:val="left"/>
        <w:textAlignment w:val="auto"/>
        <w:rPr>
          <w:rFonts w:hint="eastAsia" w:ascii="宋体" w:hAnsi="宋体" w:eastAsia="宋体" w:cs="宋体"/>
          <w:b/>
          <w:sz w:val="28"/>
          <w:szCs w:val="28"/>
        </w:rPr>
      </w:pPr>
      <w:r>
        <w:rPr>
          <w:rFonts w:hint="eastAsia" w:ascii="宋体" w:hAnsi="宋体" w:eastAsia="宋体" w:cs="宋体"/>
          <w:b/>
          <w:sz w:val="28"/>
          <w:szCs w:val="28"/>
        </w:rPr>
        <w:t>四、不相一致假设</w:t>
      </w:r>
    </w:p>
    <w:p>
      <w:pPr>
        <w:adjustRightInd w:val="0"/>
        <w:snapToGrid w:val="0"/>
        <w:spacing w:line="480" w:lineRule="exact"/>
        <w:ind w:firstLine="560" w:firstLineChars="200"/>
        <w:rPr>
          <w:rFonts w:hint="eastAsia" w:ascii="宋体" w:hAnsi="宋体" w:cs="宋体"/>
          <w:sz w:val="28"/>
          <w:szCs w:val="28"/>
          <w:lang w:eastAsia="zh-CN"/>
        </w:rPr>
      </w:pPr>
      <w:r>
        <w:rPr>
          <w:rFonts w:hint="eastAsia" w:ascii="宋体" w:hAnsi="宋体" w:cs="宋体"/>
          <w:sz w:val="28"/>
          <w:szCs w:val="28"/>
          <w:lang w:eastAsia="zh-CN"/>
        </w:rPr>
        <w:t>本次估价无不相一致假设。</w:t>
      </w:r>
    </w:p>
    <w:p>
      <w:pPr>
        <w:numPr>
          <w:ilvl w:val="0"/>
          <w:numId w:val="4"/>
        </w:numPr>
        <w:adjustRightInd w:val="0"/>
        <w:snapToGrid w:val="0"/>
        <w:spacing w:line="48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依据不足假设</w:t>
      </w:r>
      <w:bookmarkStart w:id="37" w:name="_Toc14174"/>
      <w:bookmarkStart w:id="38" w:name="_Toc31805"/>
      <w:bookmarkStart w:id="39" w:name="_Toc15324"/>
      <w:bookmarkStart w:id="40" w:name="_Toc17949"/>
      <w:bookmarkStart w:id="41" w:name="_Toc17918"/>
    </w:p>
    <w:p>
      <w:pPr>
        <w:numPr>
          <w:ilvl w:val="0"/>
          <w:numId w:val="0"/>
        </w:numPr>
        <w:adjustRightInd w:val="0"/>
        <w:snapToGrid w:val="0"/>
        <w:spacing w:line="480" w:lineRule="exact"/>
        <w:ind w:firstLine="560" w:firstLineChars="200"/>
        <w:rPr>
          <w:rFonts w:hint="eastAsia" w:ascii="宋体" w:hAnsi="宋体" w:eastAsia="宋体" w:cs="宋体"/>
          <w:b w:val="0"/>
          <w:bCs w:val="0"/>
          <w:sz w:val="28"/>
          <w:szCs w:val="28"/>
          <w:lang w:eastAsia="zh-CN"/>
        </w:rPr>
      </w:pPr>
      <w:r>
        <w:rPr>
          <w:rFonts w:hint="eastAsia" w:ascii="宋体" w:hAnsi="宋体" w:cs="宋体"/>
          <w:b w:val="0"/>
          <w:bCs w:val="0"/>
          <w:sz w:val="28"/>
          <w:szCs w:val="28"/>
          <w:lang w:eastAsia="zh-CN"/>
        </w:rPr>
        <w:t>本次估价无依据不足假设。</w:t>
      </w:r>
    </w:p>
    <w:p>
      <w:pPr>
        <w:numPr>
          <w:ilvl w:val="0"/>
          <w:numId w:val="0"/>
        </w:numPr>
        <w:adjustRightInd w:val="0"/>
        <w:snapToGrid w:val="0"/>
        <w:spacing w:line="48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六、估价报告使用限制</w:t>
      </w:r>
      <w:bookmarkEnd w:id="37"/>
      <w:bookmarkEnd w:id="38"/>
      <w:bookmarkEnd w:id="39"/>
      <w:bookmarkEnd w:id="40"/>
      <w:bookmarkEnd w:id="41"/>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（一）本估价报告仅为人民法院确定财产处置参考价提供参考依据，不可用作其他目的。</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（二）在估价报告有效期内，于价值时点后发生的影响估价对象价值的期后事项，包括国家、地方及行业的法规、经济政策的变化、资产市场价值的巨大波动等，不能直接使用于本估价报告的评估结论。</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（三）当事人如对本估价报告有异议应在规定的时间内向法院提出复议申请。</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（四）本报告必须完整使用方为有效，对仅使用本报告</w:t>
      </w:r>
      <w:r>
        <w:rPr>
          <w:rFonts w:hint="eastAsia" w:ascii="宋体" w:hAnsi="宋体" w:cs="宋体"/>
          <w:sz w:val="28"/>
          <w:szCs w:val="28"/>
          <w:lang w:eastAsia="zh-CN"/>
        </w:rPr>
        <w:t>中部</w:t>
      </w:r>
      <w:r>
        <w:rPr>
          <w:rFonts w:hint="eastAsia" w:ascii="宋体" w:hAnsi="宋体" w:eastAsia="宋体" w:cs="宋体"/>
          <w:sz w:val="28"/>
          <w:szCs w:val="28"/>
        </w:rPr>
        <w:t>分内容导致可能的损失，本估价机构不承担责任。</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五）本报告仅供估价委托人使用。非为法律规定的情况及房产主管部门之外，未经估价机构许可，不得提供给除执行程序中指定的单位和个人之外的任何单位和个人，其全部或部分内容不得刊载于除执行程序中指定的媒体之外的任何文件、公告或公开媒体上。</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（六）本估价报告的使用有效期为壹年，自估价报告出具之日起计算，本估价报告出具之日为</w:t>
      </w:r>
      <w:r>
        <w:rPr>
          <w:rFonts w:hint="eastAsia" w:ascii="宋体" w:hAnsi="宋体" w:cs="宋体"/>
          <w:sz w:val="28"/>
          <w:szCs w:val="28"/>
          <w:lang w:eastAsia="zh-CN"/>
        </w:rPr>
        <w:t>2022年</w:t>
      </w:r>
      <w:r>
        <w:rPr>
          <w:rFonts w:hint="eastAsia" w:ascii="宋体" w:hAnsi="宋体" w:cs="宋体"/>
          <w:sz w:val="28"/>
          <w:szCs w:val="28"/>
          <w:lang w:val="en-US" w:eastAsia="zh-CN"/>
        </w:rPr>
        <w:t>8</w:t>
      </w:r>
      <w:r>
        <w:rPr>
          <w:rFonts w:hint="eastAsia" w:ascii="宋体" w:hAnsi="宋体" w:cs="宋体"/>
          <w:sz w:val="28"/>
          <w:szCs w:val="28"/>
          <w:lang w:eastAsia="zh-CN"/>
        </w:rPr>
        <w:t>月</w:t>
      </w:r>
      <w:r>
        <w:rPr>
          <w:rFonts w:hint="eastAsia" w:ascii="宋体" w:hAnsi="宋体" w:cs="宋体"/>
          <w:sz w:val="28"/>
          <w:szCs w:val="28"/>
          <w:lang w:val="en-US" w:eastAsia="zh-CN"/>
        </w:rPr>
        <w:t>8</w:t>
      </w:r>
      <w:r>
        <w:rPr>
          <w:rFonts w:hint="eastAsia" w:ascii="宋体" w:hAnsi="宋体" w:cs="宋体"/>
          <w:sz w:val="28"/>
          <w:szCs w:val="28"/>
          <w:lang w:eastAsia="zh-CN"/>
        </w:rPr>
        <w:t>日</w:t>
      </w:r>
      <w:r>
        <w:rPr>
          <w:rFonts w:hint="eastAsia" w:ascii="宋体" w:hAnsi="宋体" w:eastAsia="宋体" w:cs="宋体"/>
          <w:sz w:val="28"/>
          <w:szCs w:val="28"/>
        </w:rPr>
        <w:t>。若在报告应用有效期内因国家相关政策、房地产市场需求发生变化而对房地产价格产生较大影响时，其价格应随市场变动的走势而相应调整或重新估价。</w:t>
      </w:r>
    </w:p>
    <w:p>
      <w:pPr>
        <w:pStyle w:val="2"/>
        <w:keepNext w:val="0"/>
        <w:keepLines w:val="0"/>
        <w:numPr>
          <w:ilvl w:val="0"/>
          <w:numId w:val="0"/>
        </w:numPr>
        <w:jc w:val="center"/>
        <w:rPr>
          <w:rFonts w:hint="eastAsia" w:ascii="宋体" w:hAnsi="宋体" w:cs="宋体"/>
        </w:rPr>
      </w:pPr>
    </w:p>
    <w:p>
      <w:pPr>
        <w:pStyle w:val="2"/>
        <w:keepNext w:val="0"/>
        <w:keepLines w:val="0"/>
        <w:numPr>
          <w:ilvl w:val="0"/>
          <w:numId w:val="0"/>
        </w:numPr>
        <w:jc w:val="center"/>
        <w:rPr>
          <w:rFonts w:hint="eastAsia" w:ascii="宋体" w:hAnsi="宋体" w:cs="宋体"/>
        </w:rPr>
      </w:pPr>
    </w:p>
    <w:p>
      <w:pPr>
        <w:pStyle w:val="2"/>
        <w:keepNext w:val="0"/>
        <w:keepLines w:val="0"/>
        <w:numPr>
          <w:ilvl w:val="0"/>
          <w:numId w:val="0"/>
        </w:numPr>
        <w:jc w:val="cente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rPr>
      </w:pPr>
    </w:p>
    <w:p>
      <w:pPr>
        <w:pStyle w:val="2"/>
        <w:keepNext w:val="0"/>
        <w:keepLines w:val="0"/>
        <w:numPr>
          <w:ilvl w:val="0"/>
          <w:numId w:val="0"/>
        </w:numPr>
        <w:jc w:val="center"/>
        <w:rPr>
          <w:rFonts w:ascii="宋体" w:cs="Times New Roman"/>
        </w:rPr>
      </w:pPr>
      <w:bookmarkStart w:id="42" w:name="_Toc18570"/>
      <w:r>
        <w:rPr>
          <w:rFonts w:hint="eastAsia" w:ascii="宋体" w:hAnsi="宋体" w:cs="宋体"/>
        </w:rPr>
        <w:t>估价结果报告</w:t>
      </w:r>
      <w:bookmarkEnd w:id="30"/>
      <w:bookmarkEnd w:id="31"/>
      <w:bookmarkEnd w:id="32"/>
      <w:bookmarkEnd w:id="33"/>
      <w:bookmarkEnd w:id="34"/>
      <w:bookmarkEnd w:id="35"/>
      <w:bookmarkEnd w:id="36"/>
      <w:bookmarkEnd w:id="42"/>
    </w:p>
    <w:p>
      <w:pPr>
        <w:pStyle w:val="3"/>
        <w:keepNext w:val="0"/>
        <w:keepLines w:val="0"/>
        <w:spacing w:line="560" w:lineRule="exact"/>
        <w:rPr>
          <w:rFonts w:ascii="宋体" w:hAnsi="宋体" w:eastAsia="宋体" w:cs="Times New Roman"/>
          <w:sz w:val="28"/>
          <w:szCs w:val="28"/>
        </w:rPr>
      </w:pPr>
      <w:bookmarkStart w:id="43" w:name="_Toc29239"/>
      <w:bookmarkStart w:id="44" w:name="_Toc471825273"/>
      <w:bookmarkStart w:id="45" w:name="_Toc446842805"/>
      <w:bookmarkStart w:id="46" w:name="_Toc450934375"/>
      <w:bookmarkStart w:id="47" w:name="_Toc446783826"/>
      <w:bookmarkStart w:id="48" w:name="_Toc446842882"/>
      <w:bookmarkStart w:id="49" w:name="_Toc446842621"/>
      <w:bookmarkStart w:id="50" w:name="_Toc446842374"/>
      <w:r>
        <w:rPr>
          <w:rFonts w:hint="eastAsia" w:ascii="宋体" w:hAnsi="宋体" w:eastAsia="宋体" w:cs="宋体"/>
          <w:sz w:val="28"/>
          <w:szCs w:val="28"/>
        </w:rPr>
        <w:t>一、估价委托人</w:t>
      </w:r>
      <w:bookmarkEnd w:id="43"/>
      <w:bookmarkEnd w:id="44"/>
      <w:bookmarkEnd w:id="45"/>
      <w:bookmarkEnd w:id="46"/>
      <w:bookmarkEnd w:id="47"/>
      <w:bookmarkEnd w:id="48"/>
      <w:bookmarkEnd w:id="49"/>
      <w:bookmarkEnd w:id="50"/>
    </w:p>
    <w:p>
      <w:pPr>
        <w:spacing w:line="560" w:lineRule="exact"/>
        <w:ind w:firstLine="560" w:firstLineChars="200"/>
        <w:rPr>
          <w:rFonts w:hint="default" w:ascii="宋体" w:hAnsi="宋体" w:cs="宋体"/>
          <w:sz w:val="28"/>
          <w:szCs w:val="28"/>
          <w:lang w:val="en-US" w:eastAsia="zh-CN"/>
        </w:rPr>
      </w:pPr>
      <w:bookmarkStart w:id="51" w:name="_Toc446783827"/>
      <w:bookmarkStart w:id="52" w:name="_Toc446842622"/>
      <w:bookmarkStart w:id="53" w:name="_Toc446842883"/>
      <w:bookmarkStart w:id="54" w:name="_Toc446842375"/>
      <w:bookmarkStart w:id="55" w:name="_Toc446842806"/>
      <w:r>
        <w:rPr>
          <w:rFonts w:hint="eastAsia" w:ascii="宋体" w:hAnsi="宋体" w:cs="宋体"/>
          <w:sz w:val="28"/>
          <w:szCs w:val="28"/>
          <w:lang w:eastAsia="zh-CN"/>
        </w:rPr>
        <w:t>名称</w:t>
      </w:r>
      <w:r>
        <w:rPr>
          <w:rFonts w:ascii="宋体" w:hAnsi="宋体" w:cs="宋体"/>
          <w:sz w:val="28"/>
          <w:szCs w:val="28"/>
        </w:rPr>
        <w:t>:</w:t>
      </w:r>
      <w:r>
        <w:rPr>
          <w:rFonts w:hint="eastAsia" w:ascii="宋体" w:hAnsi="宋体" w:cs="宋体"/>
          <w:sz w:val="28"/>
          <w:szCs w:val="28"/>
          <w:lang w:eastAsia="zh-CN"/>
        </w:rPr>
        <w:t>东港市人民法院</w:t>
      </w:r>
    </w:p>
    <w:p>
      <w:pPr>
        <w:pStyle w:val="3"/>
        <w:keepNext w:val="0"/>
        <w:keepLines w:val="0"/>
        <w:spacing w:line="560" w:lineRule="exact"/>
        <w:rPr>
          <w:rFonts w:ascii="宋体" w:hAnsi="宋体" w:eastAsia="宋体" w:cs="Times New Roman"/>
          <w:sz w:val="28"/>
          <w:szCs w:val="28"/>
        </w:rPr>
      </w:pPr>
      <w:bookmarkStart w:id="56" w:name="_Toc450934376"/>
      <w:bookmarkStart w:id="57" w:name="_Toc471825274"/>
      <w:bookmarkStart w:id="58" w:name="_Toc28166"/>
      <w:r>
        <w:rPr>
          <w:rFonts w:hint="eastAsia" w:ascii="宋体" w:hAnsi="宋体" w:eastAsia="宋体" w:cs="宋体"/>
          <w:sz w:val="28"/>
          <w:szCs w:val="28"/>
        </w:rPr>
        <w:t>二、房地产估价机构</w:t>
      </w:r>
      <w:bookmarkEnd w:id="51"/>
      <w:bookmarkEnd w:id="52"/>
      <w:bookmarkEnd w:id="53"/>
      <w:bookmarkEnd w:id="54"/>
      <w:bookmarkEnd w:id="55"/>
      <w:bookmarkEnd w:id="56"/>
      <w:bookmarkEnd w:id="57"/>
      <w:bookmarkEnd w:id="58"/>
    </w:p>
    <w:p>
      <w:pPr>
        <w:spacing w:line="520" w:lineRule="exact"/>
        <w:ind w:firstLine="560" w:firstLineChars="200"/>
        <w:rPr>
          <w:rFonts w:ascii="宋体" w:cs="Times New Roman"/>
          <w:sz w:val="28"/>
          <w:szCs w:val="28"/>
        </w:rPr>
      </w:pPr>
      <w:bookmarkStart w:id="59" w:name="_Toc446842376"/>
      <w:bookmarkStart w:id="60" w:name="_Toc446842884"/>
      <w:bookmarkStart w:id="61" w:name="_Toc446842623"/>
      <w:bookmarkStart w:id="62" w:name="_Toc446783828"/>
      <w:bookmarkStart w:id="63" w:name="_Toc446842807"/>
      <w:r>
        <w:rPr>
          <w:rFonts w:hint="eastAsia" w:ascii="宋体" w:hAnsi="宋体" w:cs="宋体"/>
          <w:sz w:val="28"/>
          <w:szCs w:val="28"/>
        </w:rPr>
        <w:t>名称：辽宁方正房产土地资产评估有限责任公司</w:t>
      </w:r>
    </w:p>
    <w:p>
      <w:pPr>
        <w:spacing w:line="520" w:lineRule="exact"/>
        <w:ind w:firstLine="560" w:firstLineChars="200"/>
        <w:rPr>
          <w:rFonts w:hint="eastAsia" w:ascii="宋体" w:hAnsi="宋体" w:cs="宋体"/>
          <w:sz w:val="28"/>
          <w:szCs w:val="28"/>
          <w:lang w:eastAsia="zh-CN"/>
        </w:rPr>
      </w:pPr>
      <w:r>
        <w:rPr>
          <w:rFonts w:hint="eastAsia" w:ascii="宋体" w:hAnsi="宋体" w:cs="宋体"/>
          <w:sz w:val="28"/>
          <w:szCs w:val="28"/>
        </w:rPr>
        <w:t>法定代表人：</w:t>
      </w:r>
      <w:r>
        <w:rPr>
          <w:rFonts w:hint="eastAsia" w:ascii="宋体" w:hAnsi="宋体" w:cs="宋体"/>
          <w:sz w:val="28"/>
          <w:szCs w:val="28"/>
          <w:lang w:eastAsia="zh-CN"/>
        </w:rPr>
        <w:t>邵新</w:t>
      </w:r>
    </w:p>
    <w:p>
      <w:pPr>
        <w:spacing w:line="520" w:lineRule="exact"/>
        <w:ind w:firstLine="560" w:firstLineChars="200"/>
        <w:rPr>
          <w:rFonts w:ascii="宋体" w:cs="Times New Roman"/>
          <w:sz w:val="28"/>
          <w:szCs w:val="28"/>
        </w:rPr>
      </w:pPr>
      <w:r>
        <w:rPr>
          <w:rFonts w:hint="eastAsia" w:ascii="宋体" w:hAnsi="宋体" w:cs="宋体"/>
          <w:sz w:val="28"/>
          <w:szCs w:val="28"/>
        </w:rPr>
        <w:t>估价机构地址：</w:t>
      </w:r>
      <w:r>
        <w:rPr>
          <w:rFonts w:hint="eastAsia" w:ascii="宋体" w:hAnsi="宋体" w:cs="宋体"/>
          <w:sz w:val="28"/>
          <w:szCs w:val="28"/>
          <w:lang w:val="en-US" w:eastAsia="zh-CN"/>
        </w:rPr>
        <w:t>朝阳市</w:t>
      </w:r>
      <w:r>
        <w:rPr>
          <w:rFonts w:hint="eastAsia" w:ascii="宋体" w:hAnsi="宋体" w:cs="宋体"/>
          <w:sz w:val="28"/>
          <w:szCs w:val="28"/>
        </w:rPr>
        <w:t>双塔区</w:t>
      </w:r>
      <w:r>
        <w:rPr>
          <w:rFonts w:hint="eastAsia" w:ascii="宋体" w:hAnsi="宋体" w:cs="宋体"/>
          <w:sz w:val="28"/>
          <w:szCs w:val="28"/>
          <w:lang w:eastAsia="zh-CN"/>
        </w:rPr>
        <w:t>珠江路三段</w:t>
      </w:r>
      <w:r>
        <w:rPr>
          <w:rFonts w:ascii="宋体" w:hAnsi="宋体" w:cs="宋体"/>
          <w:sz w:val="28"/>
          <w:szCs w:val="28"/>
        </w:rPr>
        <w:t>57</w:t>
      </w:r>
      <w:r>
        <w:rPr>
          <w:rFonts w:hint="eastAsia" w:ascii="宋体" w:hAnsi="宋体" w:cs="宋体"/>
          <w:sz w:val="28"/>
          <w:szCs w:val="28"/>
        </w:rPr>
        <w:t>号</w:t>
      </w:r>
    </w:p>
    <w:p>
      <w:pPr>
        <w:spacing w:line="520" w:lineRule="exact"/>
        <w:ind w:firstLine="560" w:firstLineChars="200"/>
        <w:rPr>
          <w:rFonts w:ascii="宋体" w:cs="Times New Roman"/>
          <w:sz w:val="28"/>
          <w:szCs w:val="28"/>
        </w:rPr>
      </w:pPr>
      <w:r>
        <w:rPr>
          <w:rFonts w:hint="eastAsia" w:ascii="宋体" w:hAnsi="宋体" w:cs="宋体"/>
          <w:sz w:val="28"/>
          <w:szCs w:val="28"/>
        </w:rPr>
        <w:t>资质级别：贰级</w:t>
      </w:r>
    </w:p>
    <w:p>
      <w:pPr>
        <w:spacing w:line="520" w:lineRule="exact"/>
        <w:ind w:firstLine="560" w:firstLineChars="200"/>
        <w:rPr>
          <w:rFonts w:ascii="宋体" w:cs="Times New Roman"/>
          <w:sz w:val="28"/>
          <w:szCs w:val="28"/>
        </w:rPr>
      </w:pPr>
      <w:r>
        <w:rPr>
          <w:rFonts w:hint="eastAsia" w:ascii="宋体" w:hAnsi="宋体" w:cs="宋体"/>
          <w:sz w:val="28"/>
          <w:szCs w:val="28"/>
        </w:rPr>
        <w:t>房地产估价机构</w:t>
      </w:r>
      <w:r>
        <w:rPr>
          <w:rFonts w:hint="eastAsia" w:ascii="宋体" w:hAnsi="宋体" w:cs="宋体"/>
          <w:sz w:val="28"/>
          <w:szCs w:val="28"/>
          <w:lang w:eastAsia="zh-CN"/>
        </w:rPr>
        <w:t>备案</w:t>
      </w:r>
      <w:r>
        <w:rPr>
          <w:rFonts w:hint="eastAsia" w:ascii="宋体" w:hAnsi="宋体" w:cs="宋体"/>
          <w:sz w:val="28"/>
          <w:szCs w:val="28"/>
        </w:rPr>
        <w:t>证书编号：第</w:t>
      </w:r>
      <w:r>
        <w:rPr>
          <w:rFonts w:ascii="宋体" w:hAnsi="宋体" w:cs="宋体"/>
          <w:sz w:val="28"/>
          <w:szCs w:val="28"/>
        </w:rPr>
        <w:t>0000101206</w:t>
      </w:r>
      <w:r>
        <w:rPr>
          <w:rFonts w:hint="eastAsia" w:ascii="宋体" w:hAnsi="宋体" w:cs="宋体"/>
          <w:sz w:val="28"/>
          <w:szCs w:val="28"/>
        </w:rPr>
        <w:t>号</w:t>
      </w:r>
    </w:p>
    <w:p>
      <w:pPr>
        <w:spacing w:line="520" w:lineRule="exact"/>
        <w:ind w:firstLine="560" w:firstLineChars="200"/>
        <w:rPr>
          <w:rFonts w:ascii="宋体" w:hAnsi="宋体" w:cs="宋体"/>
          <w:sz w:val="28"/>
          <w:szCs w:val="28"/>
        </w:rPr>
      </w:pPr>
      <w:r>
        <w:rPr>
          <w:rFonts w:hint="eastAsia" w:ascii="宋体" w:hAnsi="宋体" w:cs="宋体"/>
          <w:sz w:val="28"/>
          <w:szCs w:val="28"/>
        </w:rPr>
        <w:t>联系电话：</w:t>
      </w:r>
      <w:r>
        <w:rPr>
          <w:rFonts w:ascii="宋体" w:hAnsi="宋体" w:cs="宋体"/>
          <w:sz w:val="28"/>
          <w:szCs w:val="28"/>
        </w:rPr>
        <w:t>0421—2639</w:t>
      </w:r>
      <w:r>
        <w:rPr>
          <w:rFonts w:hint="eastAsia" w:ascii="宋体" w:hAnsi="宋体" w:cs="宋体"/>
          <w:sz w:val="28"/>
          <w:szCs w:val="28"/>
          <w:lang w:val="en-US" w:eastAsia="zh-CN"/>
        </w:rPr>
        <w:t>2</w:t>
      </w:r>
      <w:r>
        <w:rPr>
          <w:rFonts w:ascii="宋体" w:hAnsi="宋体" w:cs="宋体"/>
          <w:sz w:val="28"/>
          <w:szCs w:val="28"/>
        </w:rPr>
        <w:t>00</w:t>
      </w:r>
    </w:p>
    <w:p>
      <w:pPr>
        <w:pStyle w:val="3"/>
        <w:keepNext w:val="0"/>
        <w:keepLines w:val="0"/>
        <w:pageBreakBefore w:val="0"/>
        <w:widowControl w:val="0"/>
        <w:kinsoku/>
        <w:wordWrap/>
        <w:overflowPunct/>
        <w:topLinePunct w:val="0"/>
        <w:autoSpaceDE/>
        <w:autoSpaceDN/>
        <w:bidi w:val="0"/>
        <w:adjustRightInd w:val="0"/>
        <w:snapToGrid/>
        <w:spacing w:line="440" w:lineRule="exact"/>
        <w:textAlignment w:val="auto"/>
        <w:rPr>
          <w:rFonts w:ascii="宋体" w:hAnsi="宋体" w:eastAsia="宋体" w:cs="Times New Roman"/>
          <w:sz w:val="28"/>
          <w:szCs w:val="28"/>
        </w:rPr>
      </w:pPr>
      <w:bookmarkStart w:id="64" w:name="_Toc471825275"/>
      <w:bookmarkStart w:id="65" w:name="_Toc21961"/>
      <w:bookmarkStart w:id="66" w:name="_Toc450934377"/>
      <w:r>
        <w:rPr>
          <w:rFonts w:hint="eastAsia" w:ascii="宋体" w:hAnsi="宋体" w:eastAsia="宋体" w:cs="宋体"/>
          <w:sz w:val="28"/>
          <w:szCs w:val="28"/>
        </w:rPr>
        <w:t>三、估价目的</w:t>
      </w:r>
      <w:bookmarkEnd w:id="59"/>
      <w:bookmarkEnd w:id="60"/>
      <w:bookmarkEnd w:id="61"/>
      <w:bookmarkEnd w:id="62"/>
      <w:bookmarkEnd w:id="63"/>
      <w:bookmarkEnd w:id="64"/>
      <w:bookmarkEnd w:id="65"/>
      <w:bookmarkEnd w:id="66"/>
    </w:p>
    <w:p>
      <w:pPr>
        <w:keepNext w:val="0"/>
        <w:keepLines w:val="0"/>
        <w:pageBreakBefore w:val="0"/>
        <w:widowControl w:val="0"/>
        <w:kinsoku/>
        <w:wordWrap/>
        <w:overflowPunct/>
        <w:topLinePunct w:val="0"/>
        <w:autoSpaceDE/>
        <w:autoSpaceDN/>
        <w:bidi w:val="0"/>
        <w:adjustRightInd w:val="0"/>
        <w:snapToGrid/>
        <w:spacing w:line="440" w:lineRule="exact"/>
        <w:ind w:firstLine="560" w:firstLineChars="200"/>
        <w:textAlignment w:val="auto"/>
        <w:outlineLvl w:val="9"/>
        <w:rPr>
          <w:rFonts w:hint="eastAsia" w:ascii="宋体" w:hAnsi="宋体" w:cs="宋体"/>
          <w:b w:val="0"/>
          <w:bCs w:val="0"/>
          <w:color w:val="000000"/>
          <w:sz w:val="28"/>
          <w:szCs w:val="28"/>
          <w:shd w:val="clear" w:color="auto" w:fill="FFFFFF"/>
        </w:rPr>
      </w:pPr>
      <w:bookmarkStart w:id="67" w:name="_Toc20441"/>
      <w:bookmarkStart w:id="68" w:name="_Toc446783829"/>
      <w:bookmarkStart w:id="69" w:name="_Toc446842885"/>
      <w:bookmarkStart w:id="70" w:name="_Toc450934378"/>
      <w:bookmarkStart w:id="71" w:name="_Toc446842624"/>
      <w:bookmarkStart w:id="72" w:name="_Toc471825276"/>
      <w:bookmarkStart w:id="73" w:name="_Toc446842377"/>
      <w:bookmarkStart w:id="74" w:name="_Toc446842808"/>
      <w:r>
        <w:rPr>
          <w:rFonts w:hint="eastAsia" w:asciiTheme="minorEastAsia" w:hAnsiTheme="minorEastAsia" w:eastAsiaTheme="minorEastAsia" w:cstheme="minorEastAsia"/>
          <w:color w:val="000000" w:themeColor="text1"/>
          <w:sz w:val="28"/>
          <w:szCs w:val="28"/>
          <w:shd w:val="clear" w:color="auto" w:fill="FFFFFF"/>
        </w:rPr>
        <w:t>为</w:t>
      </w:r>
      <w:r>
        <w:rPr>
          <w:rFonts w:hint="eastAsia" w:asciiTheme="minorEastAsia" w:hAnsiTheme="minorEastAsia" w:eastAsiaTheme="minorEastAsia" w:cstheme="minorEastAsia"/>
          <w:color w:val="000000" w:themeColor="text1"/>
          <w:sz w:val="28"/>
          <w:szCs w:val="28"/>
          <w:shd w:val="clear" w:color="auto" w:fill="FFFFFF"/>
          <w:lang w:eastAsia="zh-CN"/>
        </w:rPr>
        <w:t>人民法院确定财产处置参考价提供</w:t>
      </w:r>
      <w:r>
        <w:rPr>
          <w:rFonts w:hint="eastAsia" w:asciiTheme="minorEastAsia" w:hAnsiTheme="minorEastAsia" w:eastAsiaTheme="minorEastAsia" w:cstheme="minorEastAsia"/>
          <w:color w:val="000000" w:themeColor="text1"/>
          <w:sz w:val="28"/>
          <w:szCs w:val="28"/>
          <w:shd w:val="clear" w:color="auto" w:fill="FFFFFF"/>
          <w:lang w:val="en-US" w:eastAsia="zh-CN"/>
        </w:rPr>
        <w:t>价值</w:t>
      </w:r>
      <w:r>
        <w:rPr>
          <w:rFonts w:hint="eastAsia" w:asciiTheme="minorEastAsia" w:hAnsiTheme="minorEastAsia" w:eastAsiaTheme="minorEastAsia" w:cstheme="minorEastAsia"/>
          <w:color w:val="000000" w:themeColor="text1"/>
          <w:sz w:val="28"/>
          <w:szCs w:val="28"/>
          <w:shd w:val="clear" w:color="auto" w:fill="FFFFFF"/>
          <w:lang w:eastAsia="zh-CN"/>
        </w:rPr>
        <w:t>参考依据</w:t>
      </w:r>
      <w:r>
        <w:rPr>
          <w:rFonts w:hint="eastAsia" w:ascii="宋体" w:hAnsi="宋体" w:eastAsia="宋体" w:cs="宋体"/>
          <w:b w:val="0"/>
          <w:bCs w:val="0"/>
          <w:color w:val="000000"/>
          <w:sz w:val="28"/>
          <w:szCs w:val="28"/>
          <w:shd w:val="clear" w:color="auto" w:fill="FFFFFF"/>
        </w:rPr>
        <w:t>。</w:t>
      </w:r>
      <w:bookmarkEnd w:id="67"/>
    </w:p>
    <w:p>
      <w:pPr>
        <w:pStyle w:val="3"/>
        <w:keepNext w:val="0"/>
        <w:keepLines w:val="0"/>
        <w:pageBreakBefore w:val="0"/>
        <w:widowControl w:val="0"/>
        <w:kinsoku/>
        <w:wordWrap/>
        <w:overflowPunct/>
        <w:topLinePunct w:val="0"/>
        <w:autoSpaceDE/>
        <w:autoSpaceDN/>
        <w:bidi w:val="0"/>
        <w:adjustRightInd w:val="0"/>
        <w:snapToGrid/>
        <w:spacing w:line="440" w:lineRule="exact"/>
        <w:textAlignment w:val="auto"/>
        <w:rPr>
          <w:rFonts w:ascii="宋体" w:hAnsi="宋体" w:eastAsia="宋体" w:cs="Times New Roman"/>
          <w:sz w:val="28"/>
          <w:szCs w:val="28"/>
        </w:rPr>
      </w:pPr>
      <w:bookmarkStart w:id="75" w:name="_Toc31715"/>
      <w:r>
        <w:rPr>
          <w:rFonts w:hint="eastAsia" w:ascii="宋体" w:hAnsi="宋体" w:eastAsia="宋体" w:cs="宋体"/>
          <w:sz w:val="28"/>
          <w:szCs w:val="28"/>
        </w:rPr>
        <w:t>四、估价对象</w:t>
      </w:r>
      <w:bookmarkEnd w:id="68"/>
      <w:bookmarkEnd w:id="69"/>
      <w:bookmarkEnd w:id="70"/>
      <w:bookmarkEnd w:id="71"/>
      <w:bookmarkEnd w:id="72"/>
      <w:bookmarkEnd w:id="73"/>
      <w:bookmarkEnd w:id="74"/>
      <w:bookmarkEnd w:id="75"/>
    </w:p>
    <w:p>
      <w:pPr>
        <w:spacing w:line="520" w:lineRule="exact"/>
        <w:ind w:firstLine="560" w:firstLineChars="200"/>
        <w:rPr>
          <w:rFonts w:ascii="宋体" w:cs="Times New Roman"/>
          <w:sz w:val="28"/>
          <w:szCs w:val="28"/>
        </w:rPr>
      </w:pPr>
      <w:bookmarkStart w:id="76" w:name="_Toc446783830"/>
      <w:bookmarkStart w:id="77" w:name="_Toc446842625"/>
      <w:bookmarkStart w:id="78" w:name="_Toc446842809"/>
      <w:bookmarkStart w:id="79" w:name="_Toc446842886"/>
      <w:bookmarkStart w:id="80" w:name="_Toc446842378"/>
      <w:r>
        <w:rPr>
          <w:rFonts w:hint="eastAsia" w:ascii="宋体" w:hAnsi="宋体" w:cs="宋体"/>
          <w:sz w:val="28"/>
          <w:szCs w:val="28"/>
          <w:lang w:eastAsia="zh-CN"/>
        </w:rPr>
        <w:t>（一）</w:t>
      </w:r>
      <w:r>
        <w:rPr>
          <w:rFonts w:hint="eastAsia" w:ascii="宋体" w:hAnsi="宋体" w:cs="宋体"/>
          <w:sz w:val="28"/>
          <w:szCs w:val="28"/>
        </w:rPr>
        <w:t>估价对象</w:t>
      </w:r>
      <w:r>
        <w:rPr>
          <w:rFonts w:hint="eastAsia" w:ascii="宋体" w:hAnsi="宋体" w:cs="宋体"/>
          <w:sz w:val="28"/>
          <w:szCs w:val="28"/>
          <w:lang w:eastAsia="zh-CN"/>
        </w:rPr>
        <w:t>财产</w:t>
      </w:r>
      <w:r>
        <w:rPr>
          <w:rFonts w:hint="eastAsia" w:ascii="宋体" w:hAnsi="宋体" w:cs="宋体"/>
          <w:sz w:val="28"/>
          <w:szCs w:val="28"/>
        </w:rPr>
        <w:t>范围</w:t>
      </w:r>
    </w:p>
    <w:p>
      <w:pPr>
        <w:spacing w:line="520" w:lineRule="exact"/>
        <w:ind w:firstLine="560" w:firstLineChars="200"/>
        <w:rPr>
          <w:rFonts w:hint="eastAsia" w:ascii="宋体" w:hAnsi="宋体" w:eastAsia="宋体" w:cs="宋体"/>
          <w:sz w:val="28"/>
          <w:szCs w:val="28"/>
        </w:rPr>
      </w:pPr>
      <w:bookmarkStart w:id="81" w:name="_Toc471825723"/>
      <w:bookmarkStart w:id="82" w:name="_Toc471826173"/>
      <w:bookmarkStart w:id="83" w:name="_Toc471825277"/>
      <w:bookmarkStart w:id="84" w:name="_Toc450934379"/>
      <w:r>
        <w:rPr>
          <w:rFonts w:hint="eastAsia" w:ascii="宋体" w:hAnsi="宋体" w:eastAsia="宋体" w:cs="宋体"/>
          <w:sz w:val="28"/>
          <w:szCs w:val="28"/>
        </w:rPr>
        <w:t>本次估价对象为</w:t>
      </w:r>
      <w:r>
        <w:rPr>
          <w:rFonts w:hint="eastAsia" w:ascii="宋体" w:hAnsi="宋体" w:cs="宋体"/>
          <w:sz w:val="28"/>
          <w:szCs w:val="28"/>
          <w:lang w:eastAsia="zh-CN"/>
        </w:rPr>
        <w:t>于希忠单独所有</w:t>
      </w:r>
      <w:r>
        <w:rPr>
          <w:rFonts w:hint="eastAsia" w:ascii="宋体" w:hAnsi="宋体" w:eastAsia="宋体" w:cs="宋体"/>
          <w:sz w:val="28"/>
          <w:szCs w:val="28"/>
        </w:rPr>
        <w:t>的位于</w:t>
      </w:r>
      <w:r>
        <w:rPr>
          <w:rFonts w:hint="eastAsia" w:ascii="宋体" w:hAnsi="宋体" w:cs="宋体"/>
          <w:sz w:val="28"/>
          <w:szCs w:val="28"/>
          <w:lang w:eastAsia="zh-CN"/>
        </w:rPr>
        <w:t>特莱维国际花园</w:t>
      </w:r>
      <w:r>
        <w:rPr>
          <w:rFonts w:hint="eastAsia" w:ascii="宋体" w:hAnsi="宋体" w:cs="宋体"/>
          <w:sz w:val="28"/>
          <w:szCs w:val="28"/>
          <w:lang w:val="en-US" w:eastAsia="zh-CN"/>
        </w:rPr>
        <w:t>9号楼1308的1套住宅用途</w:t>
      </w:r>
      <w:r>
        <w:rPr>
          <w:rFonts w:hint="eastAsia" w:ascii="宋体" w:hAnsi="宋体" w:eastAsia="宋体" w:cs="宋体"/>
          <w:sz w:val="28"/>
          <w:szCs w:val="28"/>
        </w:rPr>
        <w:t>房地产。</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财产范围包括建筑物、分摊的国有土地使用权</w:t>
      </w:r>
      <w:r>
        <w:rPr>
          <w:rFonts w:hint="eastAsia" w:ascii="宋体" w:hAnsi="宋体" w:cs="宋体"/>
          <w:sz w:val="28"/>
          <w:szCs w:val="28"/>
          <w:lang w:val="en-US" w:eastAsia="zh-CN"/>
        </w:rPr>
        <w:t>、室内装修及</w:t>
      </w:r>
      <w:r>
        <w:rPr>
          <w:rFonts w:hint="eastAsia" w:ascii="宋体" w:hAnsi="宋体" w:eastAsia="宋体" w:cs="宋体"/>
          <w:sz w:val="28"/>
          <w:szCs w:val="28"/>
        </w:rPr>
        <w:t>配</w:t>
      </w:r>
      <w:r>
        <w:rPr>
          <w:rFonts w:hint="eastAsia" w:ascii="宋体" w:hAnsi="宋体" w:cs="宋体"/>
          <w:sz w:val="28"/>
          <w:szCs w:val="28"/>
          <w:lang w:eastAsia="zh-CN"/>
        </w:rPr>
        <w:t>套设施</w:t>
      </w:r>
      <w:r>
        <w:rPr>
          <w:rFonts w:hint="eastAsia" w:ascii="宋体" w:hAnsi="宋体" w:eastAsia="宋体" w:cs="宋体"/>
          <w:sz w:val="28"/>
          <w:szCs w:val="28"/>
        </w:rPr>
        <w:t>，不包括估价对象室内动产及依附于估价对象的债权债务、特许经营权等其他财产或权益。</w:t>
      </w:r>
    </w:p>
    <w:p>
      <w:pPr>
        <w:spacing w:line="520" w:lineRule="exact"/>
        <w:ind w:firstLine="560" w:firstLineChars="200"/>
        <w:textAlignment w:val="baseline"/>
        <w:rPr>
          <w:rFonts w:ascii="宋体" w:cs="Times New Roman"/>
          <w:sz w:val="28"/>
          <w:szCs w:val="28"/>
        </w:rPr>
      </w:pPr>
      <w:r>
        <w:rPr>
          <w:rFonts w:hint="eastAsia" w:ascii="宋体" w:hAnsi="宋体" w:cs="宋体"/>
          <w:sz w:val="28"/>
          <w:szCs w:val="28"/>
          <w:lang w:eastAsia="zh-CN"/>
        </w:rPr>
        <w:t>（二）</w:t>
      </w:r>
      <w:r>
        <w:rPr>
          <w:rFonts w:hint="eastAsia" w:ascii="宋体" w:hAnsi="宋体" w:cs="宋体"/>
          <w:sz w:val="28"/>
          <w:szCs w:val="28"/>
        </w:rPr>
        <w:t>估价对象基本情况</w:t>
      </w:r>
    </w:p>
    <w:bookmarkEnd w:id="81"/>
    <w:bookmarkEnd w:id="82"/>
    <w:bookmarkEnd w:id="83"/>
    <w:p>
      <w:pPr>
        <w:pStyle w:val="10"/>
        <w:spacing w:line="500" w:lineRule="exact"/>
        <w:ind w:firstLine="560" w:firstLineChars="200"/>
        <w:textAlignment w:val="center"/>
        <w:rPr>
          <w:rFonts w:hint="eastAsia" w:ascii="宋体" w:hAnsi="宋体" w:eastAsia="宋体" w:cs="宋体"/>
          <w:kern w:val="2"/>
          <w:sz w:val="28"/>
          <w:szCs w:val="28"/>
          <w:lang w:eastAsia="zh-CN"/>
        </w:rPr>
      </w:pPr>
      <w:bookmarkStart w:id="85" w:name="_Toc471825278"/>
      <w:r>
        <w:rPr>
          <w:rFonts w:hint="eastAsia" w:ascii="宋体" w:hAnsi="宋体" w:eastAsia="宋体" w:cs="宋体"/>
          <w:kern w:val="2"/>
          <w:sz w:val="28"/>
          <w:szCs w:val="28"/>
        </w:rPr>
        <w:t>1.名称：</w:t>
      </w:r>
      <w:r>
        <w:rPr>
          <w:rFonts w:hint="eastAsia" w:ascii="宋体" w:hAnsi="宋体" w:cs="宋体"/>
          <w:kern w:val="2"/>
          <w:sz w:val="28"/>
          <w:szCs w:val="28"/>
          <w:lang w:eastAsia="zh-CN"/>
        </w:rPr>
        <w:t>于希忠</w:t>
      </w:r>
      <w:r>
        <w:rPr>
          <w:rFonts w:hint="eastAsia" w:ascii="宋体" w:hAnsi="宋体" w:eastAsia="宋体" w:cs="宋体"/>
          <w:kern w:val="2"/>
          <w:sz w:val="28"/>
          <w:szCs w:val="28"/>
        </w:rPr>
        <w:t>所属房地产</w:t>
      </w:r>
      <w:r>
        <w:rPr>
          <w:rFonts w:hint="eastAsia" w:ascii="宋体" w:hAnsi="宋体" w:cs="宋体"/>
          <w:kern w:val="2"/>
          <w:sz w:val="28"/>
          <w:szCs w:val="28"/>
          <w:lang w:eastAsia="zh-CN"/>
        </w:rPr>
        <w:t>。</w:t>
      </w:r>
    </w:p>
    <w:p>
      <w:pPr>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2.坐落：</w:t>
      </w:r>
      <w:r>
        <w:rPr>
          <w:rFonts w:hint="eastAsia" w:ascii="宋体" w:hAnsi="宋体" w:cs="宋体"/>
          <w:sz w:val="28"/>
          <w:szCs w:val="28"/>
          <w:lang w:eastAsia="zh-CN"/>
        </w:rPr>
        <w:t>特莱维国际花园</w:t>
      </w:r>
      <w:r>
        <w:rPr>
          <w:rFonts w:hint="eastAsia" w:ascii="宋体" w:hAnsi="宋体" w:cs="宋体"/>
          <w:sz w:val="28"/>
          <w:szCs w:val="28"/>
          <w:lang w:val="en-US" w:eastAsia="zh-CN"/>
        </w:rPr>
        <w:t>9号楼1308</w:t>
      </w:r>
      <w:r>
        <w:rPr>
          <w:rFonts w:hint="eastAsia" w:ascii="宋体" w:hAnsi="宋体" w:eastAsia="宋体" w:cs="宋体"/>
          <w:sz w:val="28"/>
          <w:szCs w:val="28"/>
        </w:rPr>
        <w:t>。</w:t>
      </w:r>
    </w:p>
    <w:p>
      <w:pPr>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3.规模：列入本次评估范围内</w:t>
      </w:r>
      <w:r>
        <w:rPr>
          <w:rFonts w:hint="eastAsia" w:ascii="宋体" w:hAnsi="宋体" w:cs="宋体"/>
          <w:color w:val="000000"/>
          <w:sz w:val="28"/>
          <w:szCs w:val="28"/>
          <w:lang w:val="en-US" w:eastAsia="zh-CN"/>
        </w:rPr>
        <w:t>1套房屋的</w:t>
      </w:r>
      <w:r>
        <w:rPr>
          <w:rFonts w:hint="eastAsia" w:ascii="宋体" w:hAnsi="宋体" w:eastAsia="宋体" w:cs="宋体"/>
          <w:color w:val="000000"/>
          <w:sz w:val="28"/>
          <w:szCs w:val="28"/>
        </w:rPr>
        <w:t>建筑面积为</w:t>
      </w:r>
      <w:r>
        <w:rPr>
          <w:rFonts w:hint="eastAsia" w:ascii="宋体" w:hAnsi="宋体" w:cs="宋体"/>
          <w:color w:val="000000"/>
          <w:sz w:val="28"/>
          <w:szCs w:val="28"/>
          <w:lang w:val="en-US" w:eastAsia="zh-CN"/>
        </w:rPr>
        <w:t>86.27㎡。</w:t>
      </w:r>
    </w:p>
    <w:p>
      <w:pPr>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4.用途：规划用途为</w:t>
      </w:r>
      <w:r>
        <w:rPr>
          <w:rFonts w:hint="eastAsia" w:ascii="宋体" w:hAnsi="宋体" w:cs="宋体"/>
          <w:sz w:val="28"/>
          <w:szCs w:val="28"/>
          <w:lang w:eastAsia="zh-CN"/>
        </w:rPr>
        <w:t>住宅</w:t>
      </w:r>
      <w:r>
        <w:rPr>
          <w:rFonts w:hint="eastAsia" w:ascii="宋体" w:hAnsi="宋体" w:eastAsia="宋体" w:cs="宋体"/>
          <w:sz w:val="28"/>
          <w:szCs w:val="28"/>
        </w:rPr>
        <w:t>，现场勘查估价对象用途为</w:t>
      </w:r>
      <w:r>
        <w:rPr>
          <w:rFonts w:hint="eastAsia" w:ascii="宋体" w:hAnsi="宋体" w:cs="宋体"/>
          <w:sz w:val="28"/>
          <w:szCs w:val="28"/>
          <w:lang w:eastAsia="zh-CN"/>
        </w:rPr>
        <w:t>住宅</w:t>
      </w:r>
      <w:r>
        <w:rPr>
          <w:rFonts w:hint="eastAsia" w:ascii="宋体" w:hAnsi="宋体" w:eastAsia="宋体" w:cs="宋体"/>
          <w:sz w:val="28"/>
          <w:szCs w:val="28"/>
        </w:rPr>
        <w:t>，与</w:t>
      </w:r>
      <w:r>
        <w:rPr>
          <w:rFonts w:hint="eastAsia" w:ascii="宋体" w:hAnsi="宋体" w:eastAsia="宋体" w:cs="宋体"/>
          <w:sz w:val="28"/>
          <w:szCs w:val="28"/>
          <w:lang w:eastAsia="zh-CN"/>
        </w:rPr>
        <w:t>规划</w:t>
      </w:r>
      <w:r>
        <w:rPr>
          <w:rFonts w:hint="eastAsia" w:ascii="宋体" w:hAnsi="宋体" w:eastAsia="宋体" w:cs="宋体"/>
          <w:sz w:val="28"/>
          <w:szCs w:val="28"/>
        </w:rPr>
        <w:t>用途相同。</w:t>
      </w:r>
    </w:p>
    <w:p>
      <w:pPr>
        <w:adjustRightInd w:val="0"/>
        <w:snapToGrid w:val="0"/>
        <w:spacing w:line="500" w:lineRule="exact"/>
        <w:ind w:firstLine="560" w:firstLineChars="200"/>
        <w:rPr>
          <w:rFonts w:hint="default" w:ascii="宋体" w:hAnsi="宋体" w:eastAsia="宋体" w:cs="宋体"/>
          <w:sz w:val="28"/>
          <w:szCs w:val="28"/>
          <w:lang w:val="en-US" w:eastAsia="zh-CN"/>
        </w:rPr>
      </w:pPr>
      <w:r>
        <w:rPr>
          <w:rFonts w:hint="eastAsia" w:ascii="宋体" w:hAnsi="宋体" w:cs="宋体"/>
          <w:sz w:val="28"/>
          <w:szCs w:val="28"/>
          <w:lang w:val="en-US" w:eastAsia="zh-CN"/>
        </w:rPr>
        <w:t>5.楼层：估价对象总层数17层，位于13层。</w:t>
      </w:r>
    </w:p>
    <w:p>
      <w:pPr>
        <w:pStyle w:val="10"/>
        <w:spacing w:line="500" w:lineRule="exact"/>
        <w:ind w:firstLine="560" w:firstLineChars="200"/>
        <w:textAlignment w:val="center"/>
        <w:rPr>
          <w:rFonts w:hint="eastAsia" w:ascii="宋体" w:hAnsi="宋体" w:eastAsia="宋体" w:cs="宋体"/>
          <w:color w:val="000000"/>
          <w:sz w:val="28"/>
          <w:szCs w:val="28"/>
          <w:highlight w:val="none"/>
        </w:rPr>
      </w:pPr>
      <w:r>
        <w:rPr>
          <w:rFonts w:hint="eastAsia" w:ascii="宋体" w:hAnsi="宋体" w:cs="宋体"/>
          <w:sz w:val="28"/>
          <w:szCs w:val="28"/>
          <w:highlight w:val="none"/>
          <w:lang w:val="en-US" w:eastAsia="zh-CN"/>
        </w:rPr>
        <w:t>6</w:t>
      </w:r>
      <w:r>
        <w:rPr>
          <w:rFonts w:hint="eastAsia" w:ascii="宋体" w:hAnsi="宋体" w:eastAsia="宋体" w:cs="宋体"/>
          <w:color w:val="0000FF"/>
          <w:sz w:val="28"/>
          <w:szCs w:val="28"/>
          <w:highlight w:val="none"/>
        </w:rPr>
        <w:t>.</w:t>
      </w:r>
      <w:r>
        <w:rPr>
          <w:rFonts w:hint="eastAsia" w:ascii="宋体" w:hAnsi="宋体" w:eastAsia="宋体" w:cs="宋体"/>
          <w:color w:val="000000"/>
          <w:sz w:val="28"/>
          <w:szCs w:val="28"/>
          <w:highlight w:val="none"/>
        </w:rPr>
        <w:t>权属：</w:t>
      </w:r>
      <w:r>
        <w:rPr>
          <w:rFonts w:hint="eastAsia" w:ascii="宋体" w:hAnsi="宋体" w:cs="宋体"/>
          <w:color w:val="000000"/>
          <w:sz w:val="28"/>
          <w:szCs w:val="28"/>
          <w:highlight w:val="none"/>
          <w:lang w:val="en-US" w:eastAsia="zh-CN"/>
        </w:rPr>
        <w:t>根据</w:t>
      </w:r>
      <w:r>
        <w:rPr>
          <w:rFonts w:hint="eastAsia" w:ascii="宋体" w:hAnsi="宋体" w:eastAsia="宋体" w:cs="宋体"/>
          <w:sz w:val="28"/>
          <w:szCs w:val="28"/>
          <w:highlight w:val="none"/>
        </w:rPr>
        <w:t>估价委托人提供的«</w:t>
      </w:r>
      <w:r>
        <w:rPr>
          <w:rFonts w:hint="eastAsia" w:ascii="宋体" w:hAnsi="宋体" w:cs="宋体"/>
          <w:sz w:val="28"/>
          <w:szCs w:val="28"/>
          <w:highlight w:val="none"/>
          <w:lang w:val="en-US" w:eastAsia="zh-CN"/>
        </w:rPr>
        <w:t>不动产产权情况表</w:t>
      </w:r>
      <w:r>
        <w:rPr>
          <w:rFonts w:hint="eastAsia" w:ascii="宋体" w:hAnsi="宋体" w:eastAsia="宋体" w:cs="宋体"/>
          <w:sz w:val="28"/>
          <w:szCs w:val="28"/>
          <w:highlight w:val="none"/>
        </w:rPr>
        <w:t>»记载</w:t>
      </w:r>
      <w:r>
        <w:rPr>
          <w:rFonts w:hint="eastAsia" w:ascii="宋体" w:hAnsi="宋体" w:cs="宋体"/>
          <w:sz w:val="28"/>
          <w:szCs w:val="28"/>
          <w:highlight w:val="none"/>
          <w:lang w:eastAsia="zh-CN"/>
        </w:rPr>
        <w:t>，不动产权证号为</w:t>
      </w:r>
      <w:r>
        <w:rPr>
          <w:rFonts w:hint="eastAsia" w:ascii="宋体" w:hAnsi="宋体" w:cs="宋体"/>
          <w:sz w:val="28"/>
          <w:szCs w:val="28"/>
          <w:highlight w:val="none"/>
          <w:lang w:val="en-US" w:eastAsia="zh-CN"/>
        </w:rPr>
        <w:t>C20141209466，</w:t>
      </w:r>
      <w:r>
        <w:rPr>
          <w:rFonts w:hint="eastAsia" w:ascii="宋体" w:hAnsi="宋体" w:cs="宋体"/>
          <w:color w:val="000000"/>
          <w:sz w:val="28"/>
          <w:szCs w:val="28"/>
          <w:highlight w:val="none"/>
          <w:lang w:eastAsia="zh-CN"/>
        </w:rPr>
        <w:t>房屋所有</w:t>
      </w:r>
      <w:r>
        <w:rPr>
          <w:rFonts w:hint="eastAsia" w:ascii="宋体" w:hAnsi="宋体" w:cs="宋体"/>
          <w:color w:val="000000"/>
          <w:sz w:val="28"/>
          <w:szCs w:val="28"/>
          <w:highlight w:val="none"/>
          <w:lang w:val="en-US" w:eastAsia="zh-CN"/>
        </w:rPr>
        <w:t>权</w:t>
      </w:r>
      <w:r>
        <w:rPr>
          <w:rFonts w:hint="eastAsia" w:ascii="宋体" w:hAnsi="宋体" w:cs="宋体"/>
          <w:color w:val="000000"/>
          <w:sz w:val="28"/>
          <w:szCs w:val="28"/>
          <w:highlight w:val="none"/>
          <w:lang w:eastAsia="zh-CN"/>
        </w:rPr>
        <w:t>人为于希忠。</w:t>
      </w:r>
    </w:p>
    <w:p>
      <w:pPr>
        <w:pStyle w:val="10"/>
        <w:spacing w:line="500" w:lineRule="exact"/>
        <w:ind w:firstLine="560" w:firstLineChars="200"/>
        <w:textAlignment w:val="center"/>
        <w:rPr>
          <w:rFonts w:hint="eastAsia" w:ascii="宋体" w:hAnsi="宋体" w:eastAsia="宋体" w:cs="宋体"/>
          <w:sz w:val="28"/>
          <w:szCs w:val="28"/>
          <w:highlight w:val="none"/>
        </w:rPr>
      </w:pPr>
      <w:r>
        <w:rPr>
          <w:rFonts w:hint="eastAsia" w:ascii="宋体" w:hAnsi="宋体" w:cs="宋体"/>
          <w:sz w:val="28"/>
          <w:szCs w:val="28"/>
          <w:highlight w:val="none"/>
          <w:lang w:val="en-US" w:eastAsia="zh-CN"/>
        </w:rPr>
        <w:t>7</w:t>
      </w:r>
      <w:r>
        <w:rPr>
          <w:rFonts w:hint="eastAsia" w:ascii="宋体" w:hAnsi="宋体" w:eastAsia="宋体" w:cs="宋体"/>
          <w:sz w:val="28"/>
          <w:szCs w:val="28"/>
          <w:highlight w:val="none"/>
        </w:rPr>
        <w:t>.利用现状：估价对象于现场勘查时为</w:t>
      </w:r>
      <w:r>
        <w:rPr>
          <w:rFonts w:hint="eastAsia" w:ascii="宋体" w:hAnsi="宋体" w:cs="宋体"/>
          <w:sz w:val="28"/>
          <w:szCs w:val="28"/>
          <w:highlight w:val="none"/>
          <w:lang w:val="en-US" w:eastAsia="zh-CN"/>
        </w:rPr>
        <w:t>闲置</w:t>
      </w:r>
      <w:r>
        <w:rPr>
          <w:rFonts w:hint="eastAsia" w:ascii="宋体" w:hAnsi="宋体" w:eastAsia="宋体" w:cs="宋体"/>
          <w:sz w:val="28"/>
          <w:szCs w:val="28"/>
          <w:highlight w:val="none"/>
          <w:lang w:eastAsia="zh-CN"/>
        </w:rPr>
        <w:t>状态</w:t>
      </w:r>
      <w:r>
        <w:rPr>
          <w:rFonts w:hint="eastAsia" w:ascii="宋体" w:hAnsi="宋体" w:eastAsia="宋体" w:cs="宋体"/>
          <w:sz w:val="28"/>
          <w:szCs w:val="28"/>
          <w:highlight w:val="none"/>
        </w:rPr>
        <w:t>。</w:t>
      </w:r>
    </w:p>
    <w:p>
      <w:pPr>
        <w:pStyle w:val="10"/>
        <w:spacing w:line="500" w:lineRule="exact"/>
        <w:ind w:firstLine="560" w:firstLineChars="200"/>
        <w:textAlignment w:val="center"/>
        <w:rPr>
          <w:rFonts w:hint="eastAsia" w:ascii="宋体" w:hAnsi="宋体" w:eastAsia="宋体" w:cs="宋体"/>
          <w:b w:val="0"/>
          <w:bCs/>
          <w:sz w:val="28"/>
          <w:szCs w:val="28"/>
          <w:lang w:eastAsia="zh-CN"/>
        </w:rPr>
      </w:pPr>
      <w:r>
        <w:rPr>
          <w:rFonts w:hint="eastAsia" w:ascii="宋体" w:hAnsi="宋体" w:eastAsia="宋体" w:cs="宋体"/>
          <w:b w:val="0"/>
          <w:bCs/>
          <w:sz w:val="28"/>
          <w:szCs w:val="28"/>
        </w:rPr>
        <w:t>（三）土地基本状况</w:t>
      </w:r>
    </w:p>
    <w:p>
      <w:pPr>
        <w:pStyle w:val="10"/>
        <w:spacing w:line="50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估价对象</w:t>
      </w:r>
      <w:r>
        <w:rPr>
          <w:rFonts w:hint="eastAsia" w:ascii="宋体" w:hAnsi="宋体" w:eastAsia="宋体" w:cs="宋体"/>
          <w:sz w:val="28"/>
          <w:szCs w:val="28"/>
        </w:rPr>
        <w:t>四至：</w:t>
      </w:r>
      <w:r>
        <w:rPr>
          <w:rFonts w:hint="eastAsia" w:ascii="宋体" w:hAnsi="宋体" w:cs="宋体"/>
          <w:sz w:val="28"/>
          <w:szCs w:val="28"/>
          <w:lang w:eastAsia="zh-CN"/>
        </w:rPr>
        <w:t>北</w:t>
      </w:r>
      <w:r>
        <w:rPr>
          <w:rFonts w:hint="eastAsia" w:ascii="宋体" w:hAnsi="宋体" w:cs="宋体"/>
          <w:sz w:val="28"/>
          <w:szCs w:val="28"/>
          <w:lang w:val="en-US" w:eastAsia="zh-CN"/>
        </w:rPr>
        <w:t>侧临近迎宾东大街</w:t>
      </w:r>
      <w:r>
        <w:rPr>
          <w:rFonts w:hint="eastAsia" w:ascii="宋体" w:hAnsi="宋体" w:cs="宋体"/>
          <w:sz w:val="28"/>
          <w:szCs w:val="28"/>
          <w:lang w:eastAsia="zh-CN"/>
        </w:rPr>
        <w:t>，</w:t>
      </w:r>
      <w:r>
        <w:rPr>
          <w:rFonts w:hint="eastAsia" w:ascii="宋体" w:hAnsi="宋体" w:cs="宋体"/>
          <w:sz w:val="28"/>
          <w:szCs w:val="28"/>
          <w:lang w:val="en-US" w:eastAsia="zh-CN"/>
        </w:rPr>
        <w:t>南侧临向阳街</w:t>
      </w:r>
      <w:r>
        <w:rPr>
          <w:rFonts w:hint="eastAsia" w:ascii="宋体" w:hAnsi="宋体" w:cs="宋体"/>
          <w:sz w:val="28"/>
          <w:szCs w:val="28"/>
          <w:lang w:eastAsia="zh-CN"/>
        </w:rPr>
        <w:t>，</w:t>
      </w:r>
      <w:r>
        <w:rPr>
          <w:rFonts w:hint="eastAsia" w:ascii="宋体" w:hAnsi="宋体" w:cs="宋体"/>
          <w:sz w:val="28"/>
          <w:szCs w:val="28"/>
          <w:lang w:val="en-US" w:eastAsia="zh-CN"/>
        </w:rPr>
        <w:t>西侧临新兴路</w:t>
      </w:r>
      <w:r>
        <w:rPr>
          <w:rFonts w:hint="eastAsia" w:ascii="宋体" w:hAnsi="宋体" w:cs="宋体"/>
          <w:sz w:val="28"/>
          <w:szCs w:val="28"/>
          <w:lang w:eastAsia="zh-CN"/>
        </w:rPr>
        <w:t>，</w:t>
      </w:r>
      <w:r>
        <w:rPr>
          <w:rFonts w:hint="eastAsia" w:ascii="宋体" w:hAnsi="宋体" w:cs="宋体"/>
          <w:sz w:val="28"/>
          <w:szCs w:val="28"/>
          <w:lang w:val="en-US" w:eastAsia="zh-CN"/>
        </w:rPr>
        <w:t>东侧临居民楼</w:t>
      </w:r>
      <w:r>
        <w:rPr>
          <w:rFonts w:hint="eastAsia" w:ascii="宋体" w:hAnsi="宋体" w:eastAsia="宋体" w:cs="宋体"/>
          <w:sz w:val="28"/>
          <w:szCs w:val="28"/>
        </w:rPr>
        <w:t>。</w:t>
      </w:r>
    </w:p>
    <w:p>
      <w:pPr>
        <w:pStyle w:val="10"/>
        <w:spacing w:line="50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2.形状：形状</w:t>
      </w:r>
      <w:r>
        <w:rPr>
          <w:rFonts w:hint="eastAsia" w:ascii="宋体" w:hAnsi="宋体" w:eastAsia="宋体" w:cs="宋体"/>
          <w:sz w:val="28"/>
          <w:szCs w:val="28"/>
          <w:lang w:eastAsia="zh-CN"/>
        </w:rPr>
        <w:t>较</w:t>
      </w:r>
      <w:r>
        <w:rPr>
          <w:rFonts w:hint="eastAsia" w:ascii="宋体" w:hAnsi="宋体" w:eastAsia="宋体" w:cs="宋体"/>
          <w:sz w:val="28"/>
          <w:szCs w:val="28"/>
        </w:rPr>
        <w:t>规则，地势平坦。</w:t>
      </w:r>
    </w:p>
    <w:p>
      <w:pPr>
        <w:pStyle w:val="10"/>
        <w:spacing w:line="500" w:lineRule="exact"/>
        <w:ind w:firstLine="560" w:firstLineChars="200"/>
        <w:textAlignment w:val="center"/>
        <w:rPr>
          <w:rFonts w:hint="eastAsia" w:ascii="宋体" w:hAnsi="宋体" w:eastAsia="宋体" w:cs="宋体"/>
          <w:sz w:val="28"/>
          <w:szCs w:val="28"/>
          <w:lang w:eastAsia="zh-CN"/>
        </w:rPr>
      </w:pPr>
      <w:r>
        <w:rPr>
          <w:rFonts w:hint="eastAsia" w:ascii="宋体" w:hAnsi="宋体" w:eastAsia="宋体" w:cs="宋体"/>
          <w:sz w:val="28"/>
          <w:szCs w:val="28"/>
        </w:rPr>
        <w:t>3.开发程度：宗地外具备通上水、通下水、通电、通讯、通路、通暖气等配套条件，基础设施比较完善。</w:t>
      </w:r>
    </w:p>
    <w:p>
      <w:pPr>
        <w:pStyle w:val="10"/>
        <w:spacing w:line="50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4.土地使用期限：</w:t>
      </w:r>
      <w:r>
        <w:rPr>
          <w:rFonts w:hint="eastAsia" w:ascii="宋体" w:hAnsi="宋体" w:cs="宋体"/>
          <w:sz w:val="28"/>
          <w:szCs w:val="28"/>
          <w:lang w:val="en-US" w:eastAsia="zh-CN"/>
        </w:rPr>
        <w:t>2005/12/8起2075/12/8止</w:t>
      </w:r>
      <w:r>
        <w:rPr>
          <w:rFonts w:hint="eastAsia" w:ascii="宋体" w:hAnsi="宋体" w:eastAsia="宋体" w:cs="宋体"/>
          <w:sz w:val="28"/>
          <w:szCs w:val="28"/>
        </w:rPr>
        <w:t>。</w:t>
      </w:r>
    </w:p>
    <w:p>
      <w:pPr>
        <w:adjustRightInd w:val="0"/>
        <w:snapToGrid w:val="0"/>
        <w:spacing w:line="500" w:lineRule="exact"/>
        <w:ind w:firstLine="560" w:firstLineChars="200"/>
        <w:rPr>
          <w:rFonts w:hint="eastAsia" w:ascii="宋体" w:hAnsi="宋体" w:eastAsia="宋体" w:cs="宋体"/>
          <w:b w:val="0"/>
          <w:bCs/>
          <w:sz w:val="28"/>
          <w:szCs w:val="28"/>
        </w:rPr>
      </w:pPr>
      <w:r>
        <w:rPr>
          <w:rFonts w:hint="eastAsia" w:ascii="宋体" w:hAnsi="宋体" w:eastAsia="宋体" w:cs="宋体"/>
          <w:b w:val="0"/>
          <w:bCs/>
          <w:sz w:val="28"/>
          <w:szCs w:val="28"/>
        </w:rPr>
        <w:t>（四）建筑物基本状况</w:t>
      </w:r>
    </w:p>
    <w:p>
      <w:pPr>
        <w:adjustRightInd w:val="0"/>
        <w:snapToGrid w:val="0"/>
        <w:spacing w:line="500" w:lineRule="exact"/>
        <w:ind w:firstLine="560" w:firstLineChars="200"/>
        <w:rPr>
          <w:rFonts w:hint="default" w:ascii="宋体" w:hAnsi="宋体"/>
          <w:sz w:val="28"/>
          <w:lang w:val="en-US" w:eastAsia="zh-CN"/>
        </w:rPr>
      </w:pPr>
      <w:r>
        <w:rPr>
          <w:rFonts w:hint="eastAsia" w:ascii="宋体" w:hAnsi="宋体"/>
          <w:sz w:val="28"/>
          <w:lang w:val="en-US" w:eastAsia="zh-CN"/>
        </w:rPr>
        <w:t>1.建筑结构：钢混结构。</w:t>
      </w:r>
    </w:p>
    <w:p>
      <w:pPr>
        <w:adjustRightInd w:val="0"/>
        <w:snapToGrid w:val="0"/>
        <w:spacing w:line="500" w:lineRule="exact"/>
        <w:ind w:firstLine="560" w:firstLineChars="200"/>
        <w:rPr>
          <w:rFonts w:hint="default" w:ascii="宋体" w:hAnsi="宋体"/>
          <w:sz w:val="28"/>
          <w:lang w:val="en-US" w:eastAsia="zh-CN"/>
        </w:rPr>
      </w:pPr>
      <w:r>
        <w:rPr>
          <w:rFonts w:hint="eastAsia" w:ascii="宋体" w:hAnsi="宋体"/>
          <w:sz w:val="28"/>
          <w:lang w:val="en-US" w:eastAsia="zh-CN"/>
        </w:rPr>
        <w:t>2.设施设备：通上水、通下水、通电、通讯、通天然气、地热供暖。</w:t>
      </w:r>
    </w:p>
    <w:p>
      <w:pPr>
        <w:adjustRightInd w:val="0"/>
        <w:snapToGrid w:val="0"/>
        <w:spacing w:line="500" w:lineRule="exact"/>
        <w:ind w:firstLine="560" w:firstLineChars="200"/>
        <w:rPr>
          <w:rFonts w:hint="default" w:ascii="宋体" w:hAnsi="宋体"/>
          <w:sz w:val="28"/>
          <w:lang w:val="en-US" w:eastAsia="zh-CN"/>
        </w:rPr>
      </w:pPr>
      <w:r>
        <w:rPr>
          <w:rFonts w:hint="eastAsia" w:ascii="宋体" w:hAnsi="宋体"/>
          <w:sz w:val="28"/>
          <w:lang w:val="en-US" w:eastAsia="zh-CN"/>
        </w:rPr>
        <w:t>3.装饰装修：主体外墙粘砖，入户防盗门、塑钢玻璃窗，卧室地面铺砖，墙面壁纸，顶部刮白，厨房及卫生间地面地砖，墙面粘砖，吊顶，客厅地面地砖，墙面壁纸，顶部吊顶，高2.8米。</w:t>
      </w:r>
    </w:p>
    <w:p>
      <w:pPr>
        <w:adjustRightInd w:val="0"/>
        <w:snapToGrid w:val="0"/>
        <w:spacing w:line="500" w:lineRule="exact"/>
        <w:ind w:firstLine="560" w:firstLineChars="200"/>
        <w:rPr>
          <w:rFonts w:hint="default" w:ascii="宋体" w:hAnsi="宋体"/>
          <w:sz w:val="28"/>
          <w:lang w:val="en-US" w:eastAsia="zh-CN"/>
        </w:rPr>
      </w:pPr>
      <w:r>
        <w:rPr>
          <w:rFonts w:hint="eastAsia" w:ascii="宋体" w:hAnsi="宋体"/>
          <w:sz w:val="28"/>
          <w:lang w:val="en-US" w:eastAsia="zh-CN"/>
        </w:rPr>
        <w:t>4.新旧程度：估价对象建成于2009年，成新度为八成，房屋维护保养状态较好。</w:t>
      </w:r>
    </w:p>
    <w:p>
      <w:pPr>
        <w:pStyle w:val="3"/>
        <w:keepNext w:val="0"/>
        <w:keepLines w:val="0"/>
        <w:spacing w:line="560" w:lineRule="exact"/>
        <w:rPr>
          <w:rFonts w:hint="eastAsia" w:ascii="宋体" w:hAnsi="宋体" w:eastAsia="宋体" w:cs="宋体"/>
          <w:sz w:val="28"/>
          <w:szCs w:val="28"/>
        </w:rPr>
      </w:pPr>
      <w:bookmarkStart w:id="86" w:name="_Toc25755"/>
      <w:r>
        <w:rPr>
          <w:rFonts w:hint="eastAsia" w:ascii="宋体" w:hAnsi="宋体" w:eastAsia="宋体" w:cs="宋体"/>
          <w:sz w:val="28"/>
          <w:szCs w:val="28"/>
        </w:rPr>
        <w:t>五、价值时点</w:t>
      </w:r>
      <w:bookmarkEnd w:id="76"/>
      <w:bookmarkEnd w:id="77"/>
      <w:bookmarkEnd w:id="78"/>
      <w:bookmarkEnd w:id="79"/>
      <w:bookmarkEnd w:id="80"/>
      <w:bookmarkEnd w:id="84"/>
      <w:bookmarkEnd w:id="85"/>
      <w:bookmarkEnd w:id="86"/>
    </w:p>
    <w:p>
      <w:pPr>
        <w:spacing w:line="520" w:lineRule="exact"/>
        <w:ind w:firstLine="560" w:firstLineChars="200"/>
        <w:rPr>
          <w:rFonts w:ascii="宋体" w:cs="Times New Roman"/>
          <w:sz w:val="28"/>
          <w:szCs w:val="28"/>
        </w:rPr>
      </w:pPr>
      <w:bookmarkStart w:id="87" w:name="_Toc446842626"/>
      <w:bookmarkStart w:id="88" w:name="_Toc446842379"/>
      <w:bookmarkStart w:id="89" w:name="_Toc446783831"/>
      <w:bookmarkStart w:id="90" w:name="_Toc446842810"/>
      <w:bookmarkStart w:id="91" w:name="_Toc446842887"/>
      <w:r>
        <w:rPr>
          <w:rFonts w:hint="eastAsia" w:ascii="宋体" w:hAnsi="宋体" w:cs="宋体"/>
          <w:sz w:val="28"/>
          <w:szCs w:val="28"/>
        </w:rPr>
        <w:t>根据估价目的，本次估价的价值时点定为</w:t>
      </w:r>
      <w:r>
        <w:rPr>
          <w:rFonts w:hint="eastAsia" w:ascii="宋体" w:hAnsi="宋体" w:cs="宋体"/>
          <w:sz w:val="28"/>
          <w:szCs w:val="28"/>
          <w:lang w:eastAsia="zh-CN"/>
        </w:rPr>
        <w:t>现场查勘之日，即2022年</w:t>
      </w:r>
      <w:r>
        <w:rPr>
          <w:rFonts w:hint="eastAsia" w:ascii="宋体" w:hAnsi="宋体" w:cs="宋体"/>
          <w:sz w:val="28"/>
          <w:szCs w:val="28"/>
          <w:lang w:val="en-US" w:eastAsia="zh-CN"/>
        </w:rPr>
        <w:t>8</w:t>
      </w:r>
      <w:r>
        <w:rPr>
          <w:rFonts w:hint="eastAsia" w:ascii="宋体" w:hAnsi="宋体" w:cs="宋体"/>
          <w:sz w:val="28"/>
          <w:szCs w:val="28"/>
          <w:lang w:eastAsia="zh-CN"/>
        </w:rPr>
        <w:t>月</w:t>
      </w:r>
      <w:r>
        <w:rPr>
          <w:rFonts w:hint="eastAsia" w:ascii="宋体" w:hAnsi="宋体" w:cs="宋体"/>
          <w:sz w:val="28"/>
          <w:szCs w:val="28"/>
          <w:lang w:val="en-US" w:eastAsia="zh-CN"/>
        </w:rPr>
        <w:t>1</w:t>
      </w:r>
      <w:r>
        <w:rPr>
          <w:rFonts w:hint="eastAsia" w:ascii="宋体" w:hAnsi="宋体" w:cs="宋体"/>
          <w:sz w:val="28"/>
          <w:szCs w:val="28"/>
          <w:lang w:eastAsia="zh-CN"/>
        </w:rPr>
        <w:t>日</w:t>
      </w:r>
      <w:r>
        <w:rPr>
          <w:rFonts w:hint="eastAsia" w:ascii="宋体" w:hAnsi="宋体" w:cs="宋体"/>
          <w:sz w:val="28"/>
          <w:szCs w:val="28"/>
        </w:rPr>
        <w:t>。</w:t>
      </w:r>
    </w:p>
    <w:p>
      <w:pPr>
        <w:pStyle w:val="3"/>
        <w:keepNext w:val="0"/>
        <w:keepLines w:val="0"/>
        <w:spacing w:line="560" w:lineRule="exact"/>
        <w:rPr>
          <w:rFonts w:hint="eastAsia" w:ascii="宋体" w:hAnsi="宋体" w:eastAsia="宋体" w:cs="宋体"/>
          <w:sz w:val="28"/>
          <w:szCs w:val="28"/>
        </w:rPr>
      </w:pPr>
      <w:bookmarkStart w:id="92" w:name="_Toc450934380"/>
      <w:bookmarkStart w:id="93" w:name="_Toc471825279"/>
      <w:bookmarkStart w:id="94" w:name="_Toc32716"/>
      <w:r>
        <w:rPr>
          <w:rFonts w:hint="eastAsia" w:ascii="宋体" w:hAnsi="宋体" w:eastAsia="宋体" w:cs="宋体"/>
          <w:sz w:val="28"/>
          <w:szCs w:val="28"/>
        </w:rPr>
        <w:t>六、价值类型</w:t>
      </w:r>
      <w:bookmarkEnd w:id="87"/>
      <w:bookmarkEnd w:id="88"/>
      <w:bookmarkEnd w:id="89"/>
      <w:bookmarkEnd w:id="90"/>
      <w:bookmarkEnd w:id="91"/>
      <w:bookmarkEnd w:id="92"/>
      <w:bookmarkEnd w:id="93"/>
      <w:bookmarkEnd w:id="94"/>
    </w:p>
    <w:p>
      <w:pPr>
        <w:spacing w:line="520" w:lineRule="exact"/>
        <w:ind w:firstLine="560" w:firstLineChars="200"/>
        <w:rPr>
          <w:rFonts w:hint="eastAsia" w:ascii="宋体" w:eastAsia="宋体" w:cs="Times New Roman"/>
          <w:sz w:val="28"/>
          <w:szCs w:val="28"/>
          <w:lang w:eastAsia="zh-CN"/>
        </w:rPr>
      </w:pPr>
      <w:bookmarkStart w:id="95" w:name="_Toc446842627"/>
      <w:bookmarkStart w:id="96" w:name="_Toc446842811"/>
      <w:bookmarkStart w:id="97" w:name="_Toc446842888"/>
      <w:bookmarkStart w:id="98" w:name="_Toc446783832"/>
      <w:bookmarkStart w:id="99" w:name="_Toc446842380"/>
      <w:r>
        <w:rPr>
          <w:rFonts w:hint="eastAsia" w:ascii="宋体" w:cs="Times New Roman"/>
          <w:sz w:val="28"/>
          <w:szCs w:val="28"/>
          <w:lang w:eastAsia="zh-CN"/>
        </w:rPr>
        <w:t>本次评估价值类型为市场价值。</w:t>
      </w:r>
    </w:p>
    <w:p>
      <w:pPr>
        <w:spacing w:line="520" w:lineRule="exact"/>
        <w:ind w:firstLine="560" w:firstLineChars="200"/>
        <w:rPr>
          <w:rFonts w:ascii="宋体" w:cs="Times New Roman"/>
          <w:sz w:val="28"/>
          <w:szCs w:val="28"/>
        </w:rPr>
      </w:pPr>
      <w:r>
        <w:rPr>
          <w:rFonts w:hint="eastAsia" w:ascii="宋体" w:hAnsi="宋体" w:cs="宋体"/>
          <w:sz w:val="28"/>
          <w:szCs w:val="28"/>
        </w:rPr>
        <w:t>市场价值是估价对象经适当营销后，由熟悉情况、谨慎行事且不受强迫的交易双方，以公平交易方式在价值时点自愿进行交易的金额。</w:t>
      </w:r>
    </w:p>
    <w:p>
      <w:pPr>
        <w:pStyle w:val="3"/>
        <w:keepNext w:val="0"/>
        <w:keepLines w:val="0"/>
        <w:spacing w:line="560" w:lineRule="exact"/>
        <w:rPr>
          <w:rFonts w:ascii="宋体" w:hAnsi="宋体" w:eastAsia="宋体" w:cs="Times New Roman"/>
          <w:sz w:val="28"/>
          <w:szCs w:val="28"/>
        </w:rPr>
      </w:pPr>
      <w:bookmarkStart w:id="100" w:name="_Toc471825280"/>
      <w:bookmarkStart w:id="101" w:name="_Toc450934381"/>
      <w:bookmarkStart w:id="102" w:name="_Toc15064"/>
      <w:r>
        <w:rPr>
          <w:rFonts w:hint="eastAsia" w:ascii="宋体" w:hAnsi="宋体" w:eastAsia="宋体" w:cs="宋体"/>
          <w:sz w:val="28"/>
          <w:szCs w:val="28"/>
        </w:rPr>
        <w:t>七、估价原则</w:t>
      </w:r>
      <w:bookmarkEnd w:id="95"/>
      <w:bookmarkEnd w:id="96"/>
      <w:bookmarkEnd w:id="97"/>
      <w:bookmarkEnd w:id="98"/>
      <w:bookmarkEnd w:id="99"/>
      <w:bookmarkEnd w:id="100"/>
      <w:bookmarkEnd w:id="101"/>
      <w:bookmarkEnd w:id="102"/>
    </w:p>
    <w:p>
      <w:pPr>
        <w:adjustRightInd w:val="0"/>
        <w:snapToGrid w:val="0"/>
        <w:spacing w:line="500" w:lineRule="exact"/>
        <w:ind w:firstLine="560" w:firstLineChars="200"/>
        <w:rPr>
          <w:rFonts w:hint="eastAsia" w:ascii="宋体" w:hAnsi="宋体" w:eastAsia="宋体" w:cs="宋体"/>
          <w:sz w:val="28"/>
          <w:szCs w:val="28"/>
        </w:rPr>
      </w:pPr>
      <w:bookmarkStart w:id="103" w:name="_Toc446842628"/>
      <w:bookmarkStart w:id="104" w:name="_Toc450934382"/>
      <w:bookmarkStart w:id="105" w:name="_Toc446783833"/>
      <w:bookmarkStart w:id="106" w:name="_Toc471825281"/>
      <w:bookmarkStart w:id="107" w:name="_Toc446842812"/>
      <w:bookmarkStart w:id="108" w:name="_Toc447714751"/>
      <w:bookmarkStart w:id="109" w:name="_Toc446842889"/>
      <w:bookmarkStart w:id="110" w:name="_Toc446842381"/>
      <w:bookmarkStart w:id="111" w:name="_Toc446842382"/>
      <w:bookmarkStart w:id="112" w:name="_Toc446783834"/>
      <w:bookmarkStart w:id="113" w:name="_Toc446842890"/>
      <w:bookmarkStart w:id="114" w:name="_Toc446842813"/>
      <w:bookmarkStart w:id="115" w:name="_Toc446842629"/>
      <w:r>
        <w:rPr>
          <w:rFonts w:hint="eastAsia" w:ascii="宋体" w:hAnsi="宋体" w:eastAsia="宋体" w:cs="宋体"/>
          <w:sz w:val="28"/>
          <w:szCs w:val="28"/>
        </w:rPr>
        <w:t>我们在本次估价时遵循了以下原则：</w:t>
      </w:r>
    </w:p>
    <w:p>
      <w:pPr>
        <w:adjustRightInd w:val="0"/>
        <w:snapToGrid w:val="0"/>
        <w:spacing w:line="500" w:lineRule="exact"/>
        <w:ind w:firstLine="425" w:firstLineChars="152"/>
        <w:rPr>
          <w:rFonts w:hint="eastAsia" w:ascii="宋体" w:hAnsi="宋体" w:eastAsia="宋体" w:cs="宋体"/>
          <w:sz w:val="28"/>
          <w:szCs w:val="28"/>
        </w:rPr>
      </w:pPr>
      <w:r>
        <w:rPr>
          <w:rFonts w:hint="eastAsia" w:ascii="宋体" w:hAnsi="宋体" w:eastAsia="宋体" w:cs="宋体"/>
          <w:sz w:val="28"/>
          <w:szCs w:val="28"/>
        </w:rPr>
        <w:t>（一）独立、客观、公正原则</w:t>
      </w:r>
    </w:p>
    <w:p>
      <w:pPr>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是要求站在中立的立场上，实事求是、公平正直的评估出对各方估价利害关系人均是公平合理的价值或价格的原则。</w:t>
      </w:r>
    </w:p>
    <w:p>
      <w:pPr>
        <w:adjustRightInd w:val="0"/>
        <w:snapToGrid w:val="0"/>
        <w:spacing w:line="50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就是要求注册房地产估价师和房地产估价机构在估价中不带着、好恶和偏见，应按照事物的本来面目、实事求是的进行估价。所谓“公正”，就是要求注册房地产估价师和房地产估价机构在估价中不偏袒估价利害关系人中的任何一方，应坚持原则、公平正直的进行估价</w:t>
      </w:r>
      <w:r>
        <w:rPr>
          <w:rFonts w:hint="eastAsia" w:ascii="宋体" w:hAnsi="宋体" w:cs="宋体"/>
          <w:sz w:val="28"/>
          <w:szCs w:val="28"/>
          <w:lang w:eastAsia="zh-CN"/>
        </w:rPr>
        <w:t>。</w:t>
      </w:r>
    </w:p>
    <w:p>
      <w:pPr>
        <w:adjustRightInd w:val="0"/>
        <w:snapToGrid w:val="0"/>
        <w:spacing w:line="500" w:lineRule="exact"/>
        <w:ind w:firstLine="425" w:firstLineChars="152"/>
        <w:rPr>
          <w:rFonts w:hint="eastAsia" w:ascii="宋体" w:hAnsi="宋体" w:eastAsia="宋体" w:cs="宋体"/>
          <w:sz w:val="28"/>
          <w:szCs w:val="28"/>
        </w:rPr>
      </w:pPr>
      <w:r>
        <w:rPr>
          <w:rFonts w:hint="eastAsia" w:ascii="宋体" w:hAnsi="宋体" w:eastAsia="宋体" w:cs="宋体"/>
          <w:sz w:val="28"/>
          <w:szCs w:val="28"/>
        </w:rPr>
        <w:t>（二）合法原则</w:t>
      </w:r>
    </w:p>
    <w:p>
      <w:pPr>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是要求估价结果是在依法判定的估价对象状况下的价值或价格的原则。</w:t>
      </w:r>
    </w:p>
    <w:p>
      <w:pPr>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w:t>
      </w:r>
      <w:r>
        <w:rPr>
          <w:rFonts w:hint="eastAsia" w:ascii="宋体" w:hAnsi="宋体" w:cs="宋体"/>
          <w:sz w:val="28"/>
          <w:szCs w:val="28"/>
          <w:lang w:eastAsia="zh-CN"/>
        </w:rPr>
        <w:t>房屋所有权证书</w:t>
      </w:r>
      <w:r>
        <w:rPr>
          <w:rFonts w:hint="eastAsia" w:ascii="宋体" w:hAnsi="宋体" w:eastAsia="宋体" w:cs="宋体"/>
          <w:sz w:val="28"/>
          <w:szCs w:val="28"/>
        </w:rPr>
        <w:t>（房屋登记簿、土地登记簿）、权属证书、有关批文和合同等（如规划意见书、国有建设用地使用权出让招标文件、国有建设用地使用权出让合同、房地产转让合同、房屋租赁合同等）。</w:t>
      </w:r>
    </w:p>
    <w:p>
      <w:pPr>
        <w:adjustRightInd w:val="0"/>
        <w:snapToGrid w:val="0"/>
        <w:spacing w:line="500" w:lineRule="exact"/>
        <w:ind w:firstLine="425" w:firstLineChars="152"/>
        <w:rPr>
          <w:rFonts w:hint="eastAsia" w:ascii="宋体" w:hAnsi="宋体" w:eastAsia="宋体" w:cs="宋体"/>
          <w:sz w:val="28"/>
          <w:szCs w:val="28"/>
        </w:rPr>
      </w:pPr>
      <w:r>
        <w:rPr>
          <w:rFonts w:hint="eastAsia" w:ascii="宋体" w:hAnsi="宋体" w:eastAsia="宋体" w:cs="宋体"/>
          <w:sz w:val="28"/>
          <w:szCs w:val="28"/>
        </w:rPr>
        <w:t>（三）最高最佳利用原则</w:t>
      </w:r>
    </w:p>
    <w:p>
      <w:pPr>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是要求估价结果是在估价对象最高最佳利用状况下的价值或价格的原则。</w:t>
      </w:r>
    </w:p>
    <w:p>
      <w:pPr>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最高最佳利用必须同时满足四个条件：一是法律上允许；二是技术上可能；三是财务上可行；四是价值最大化。最高最佳利用不是无条件的最高最佳利用，而是在法律、法规、政策以及建设用地使用权出让合同等允许范围内的最高最佳利用。</w:t>
      </w:r>
    </w:p>
    <w:p>
      <w:pPr>
        <w:adjustRightInd w:val="0"/>
        <w:snapToGrid w:val="0"/>
        <w:spacing w:line="500" w:lineRule="exact"/>
        <w:ind w:firstLine="425" w:firstLineChars="152"/>
        <w:rPr>
          <w:rFonts w:hint="eastAsia" w:ascii="宋体" w:hAnsi="宋体" w:eastAsia="宋体" w:cs="宋体"/>
          <w:sz w:val="28"/>
          <w:szCs w:val="28"/>
        </w:rPr>
      </w:pPr>
      <w:r>
        <w:rPr>
          <w:rFonts w:hint="eastAsia" w:ascii="宋体" w:hAnsi="宋体" w:eastAsia="宋体" w:cs="宋体"/>
          <w:sz w:val="28"/>
          <w:szCs w:val="28"/>
        </w:rPr>
        <w:t>（四）替代原则</w:t>
      </w:r>
    </w:p>
    <w:p>
      <w:pPr>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是要求估价结果与估价对象的类似房地产在同等条件下的价值或价格偏差在合理范围内的原则。</w:t>
      </w:r>
    </w:p>
    <w:p>
      <w:pPr>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adjustRightInd w:val="0"/>
        <w:snapToGrid w:val="0"/>
        <w:spacing w:line="500" w:lineRule="exact"/>
        <w:ind w:firstLine="425" w:firstLineChars="152"/>
        <w:rPr>
          <w:rFonts w:hint="eastAsia" w:ascii="宋体" w:hAnsi="宋体" w:eastAsia="宋体" w:cs="宋体"/>
          <w:sz w:val="28"/>
          <w:szCs w:val="28"/>
        </w:rPr>
      </w:pPr>
      <w:r>
        <w:rPr>
          <w:rFonts w:hint="eastAsia" w:ascii="宋体" w:hAnsi="宋体" w:eastAsia="宋体" w:cs="宋体"/>
          <w:sz w:val="28"/>
          <w:szCs w:val="28"/>
        </w:rPr>
        <w:t>（五）价值时点原则</w:t>
      </w:r>
    </w:p>
    <w:p>
      <w:pPr>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是要求估价结果是在根据估价目的确定的某一特定时间的价值或价格的原则。</w:t>
      </w:r>
    </w:p>
    <w:p>
      <w:pPr>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有不同的市场价格。</w:t>
      </w:r>
    </w:p>
    <w:p>
      <w:pPr>
        <w:pStyle w:val="3"/>
        <w:keepNext w:val="0"/>
        <w:keepLines w:val="0"/>
        <w:spacing w:line="560" w:lineRule="exact"/>
        <w:rPr>
          <w:rFonts w:ascii="宋体" w:hAnsi="宋体" w:eastAsia="宋体" w:cs="Times New Roman"/>
          <w:sz w:val="28"/>
          <w:szCs w:val="28"/>
        </w:rPr>
      </w:pPr>
      <w:bookmarkStart w:id="116" w:name="_Toc32204"/>
      <w:r>
        <w:rPr>
          <w:rFonts w:hint="eastAsia" w:ascii="宋体" w:hAnsi="宋体" w:eastAsia="宋体" w:cs="宋体"/>
          <w:sz w:val="28"/>
          <w:szCs w:val="28"/>
        </w:rPr>
        <w:t>八、估价依据</w:t>
      </w:r>
      <w:bookmarkEnd w:id="103"/>
      <w:bookmarkEnd w:id="104"/>
      <w:bookmarkEnd w:id="105"/>
      <w:bookmarkEnd w:id="106"/>
      <w:bookmarkEnd w:id="107"/>
      <w:bookmarkEnd w:id="108"/>
      <w:bookmarkEnd w:id="109"/>
      <w:bookmarkEnd w:id="110"/>
      <w:bookmarkEnd w:id="116"/>
    </w:p>
    <w:p>
      <w:pPr>
        <w:adjustRightInd w:val="0"/>
        <w:snapToGrid w:val="0"/>
        <w:spacing w:line="500" w:lineRule="exact"/>
        <w:ind w:firstLine="424" w:firstLineChars="151"/>
        <w:rPr>
          <w:rFonts w:hint="eastAsia" w:ascii="宋体" w:hAnsi="宋体" w:eastAsia="宋体" w:cs="宋体"/>
          <w:b/>
          <w:sz w:val="28"/>
          <w:szCs w:val="28"/>
        </w:rPr>
      </w:pPr>
      <w:bookmarkStart w:id="117" w:name="_Toc471825282"/>
      <w:bookmarkStart w:id="118" w:name="_Toc450934383"/>
      <w:r>
        <w:rPr>
          <w:rFonts w:hint="eastAsia" w:ascii="宋体" w:hAnsi="宋体" w:eastAsia="宋体" w:cs="宋体"/>
          <w:b/>
          <w:sz w:val="28"/>
          <w:szCs w:val="28"/>
        </w:rPr>
        <w:t>（一）有关法律、法规和政策性文件</w:t>
      </w:r>
    </w:p>
    <w:p>
      <w:pPr>
        <w:adjustRightInd w:val="0"/>
        <w:snapToGrid w:val="0"/>
        <w:spacing w:line="50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1.《中华人民共和国城市房地产管理法》</w:t>
      </w:r>
      <w:r>
        <w:rPr>
          <w:rFonts w:hint="eastAsia" w:ascii="宋体" w:hAnsi="宋体" w:cs="宋体"/>
          <w:sz w:val="28"/>
          <w:szCs w:val="28"/>
          <w:lang w:val="en-US" w:eastAsia="zh-CN"/>
        </w:rPr>
        <w:t>(</w:t>
      </w:r>
      <w:r>
        <w:rPr>
          <w:rFonts w:hint="eastAsia" w:ascii="宋体" w:hAnsi="宋体" w:eastAsia="宋体" w:cs="宋体"/>
          <w:sz w:val="28"/>
          <w:szCs w:val="28"/>
        </w:rPr>
        <w:t xml:space="preserve"> 自 </w:t>
      </w:r>
      <w:r>
        <w:rPr>
          <w:rFonts w:hint="eastAsia" w:ascii="宋体" w:hAnsi="宋体" w:cs="宋体"/>
          <w:sz w:val="28"/>
          <w:szCs w:val="28"/>
          <w:lang w:val="en-US" w:eastAsia="zh-CN"/>
        </w:rPr>
        <w:t>2019</w:t>
      </w:r>
      <w:r>
        <w:rPr>
          <w:rFonts w:hint="eastAsia" w:ascii="宋体" w:hAnsi="宋体" w:eastAsia="宋体" w:cs="宋体"/>
          <w:sz w:val="28"/>
          <w:szCs w:val="28"/>
        </w:rPr>
        <w:t xml:space="preserve"> 年</w:t>
      </w:r>
      <w:r>
        <w:rPr>
          <w:rFonts w:hint="eastAsia" w:ascii="宋体" w:hAnsi="宋体" w:cs="宋体"/>
          <w:sz w:val="28"/>
          <w:szCs w:val="28"/>
          <w:lang w:val="en-US" w:eastAsia="zh-CN"/>
        </w:rPr>
        <w:t>8</w:t>
      </w:r>
      <w:r>
        <w:rPr>
          <w:rFonts w:hint="eastAsia" w:ascii="宋体" w:hAnsi="宋体" w:eastAsia="宋体" w:cs="宋体"/>
          <w:sz w:val="28"/>
          <w:szCs w:val="28"/>
        </w:rPr>
        <w:t>月</w:t>
      </w:r>
      <w:r>
        <w:rPr>
          <w:rFonts w:hint="eastAsia" w:ascii="宋体" w:hAnsi="宋体" w:cs="宋体"/>
          <w:sz w:val="28"/>
          <w:szCs w:val="28"/>
          <w:lang w:val="en-US" w:eastAsia="zh-CN"/>
        </w:rPr>
        <w:t>26</w:t>
      </w:r>
      <w:r>
        <w:rPr>
          <w:rFonts w:hint="eastAsia" w:ascii="宋体" w:hAnsi="宋体" w:eastAsia="宋体" w:cs="宋体"/>
          <w:sz w:val="28"/>
          <w:szCs w:val="28"/>
        </w:rPr>
        <w:t>日</w:t>
      </w:r>
      <w:r>
        <w:rPr>
          <w:rFonts w:hint="eastAsia" w:ascii="宋体" w:hAnsi="宋体" w:cs="宋体"/>
          <w:sz w:val="28"/>
          <w:szCs w:val="28"/>
          <w:lang w:val="en-US" w:eastAsia="zh-CN"/>
        </w:rPr>
        <w:t>第三次修正</w:t>
      </w:r>
      <w:r>
        <w:rPr>
          <w:rFonts w:hint="eastAsia" w:ascii="宋体" w:hAnsi="宋体" w:eastAsia="宋体" w:cs="宋体"/>
          <w:sz w:val="28"/>
          <w:szCs w:val="28"/>
        </w:rPr>
        <w:t>，20</w:t>
      </w:r>
      <w:r>
        <w:rPr>
          <w:rFonts w:hint="eastAsia" w:ascii="宋体" w:hAnsi="宋体" w:cs="宋体"/>
          <w:sz w:val="28"/>
          <w:szCs w:val="28"/>
          <w:lang w:val="en-US" w:eastAsia="zh-CN"/>
        </w:rPr>
        <w:t>20</w:t>
      </w:r>
      <w:r>
        <w:rPr>
          <w:rFonts w:hint="eastAsia" w:ascii="宋体" w:hAnsi="宋体" w:eastAsia="宋体" w:cs="宋体"/>
          <w:sz w:val="28"/>
          <w:szCs w:val="28"/>
        </w:rPr>
        <w:t xml:space="preserve">年 </w:t>
      </w:r>
      <w:r>
        <w:rPr>
          <w:rFonts w:hint="eastAsia" w:ascii="宋体" w:hAnsi="宋体" w:cs="宋体"/>
          <w:sz w:val="28"/>
          <w:szCs w:val="28"/>
          <w:lang w:val="en-US" w:eastAsia="zh-CN"/>
        </w:rPr>
        <w:t>1</w:t>
      </w:r>
      <w:r>
        <w:rPr>
          <w:rFonts w:hint="eastAsia" w:ascii="宋体" w:hAnsi="宋体" w:eastAsia="宋体" w:cs="宋体"/>
          <w:sz w:val="28"/>
          <w:szCs w:val="28"/>
        </w:rPr>
        <w:t xml:space="preserve">月 </w:t>
      </w:r>
      <w:r>
        <w:rPr>
          <w:rFonts w:hint="eastAsia" w:ascii="宋体" w:hAnsi="宋体" w:cs="宋体"/>
          <w:sz w:val="28"/>
          <w:szCs w:val="28"/>
          <w:lang w:val="en-US" w:eastAsia="zh-CN"/>
        </w:rPr>
        <w:t>1</w:t>
      </w:r>
      <w:r>
        <w:rPr>
          <w:rFonts w:hint="eastAsia" w:ascii="宋体" w:hAnsi="宋体" w:eastAsia="宋体" w:cs="宋体"/>
          <w:sz w:val="28"/>
          <w:szCs w:val="28"/>
        </w:rPr>
        <w:t xml:space="preserve"> 日</w:t>
      </w:r>
      <w:r>
        <w:rPr>
          <w:rFonts w:hint="eastAsia" w:ascii="宋体" w:hAnsi="宋体" w:cs="宋体"/>
          <w:sz w:val="28"/>
          <w:szCs w:val="28"/>
          <w:lang w:val="en-US" w:eastAsia="zh-CN"/>
        </w:rPr>
        <w:t>起施行</w:t>
      </w:r>
      <w:r>
        <w:rPr>
          <w:rFonts w:hint="eastAsia" w:ascii="宋体" w:hAnsi="宋体" w:eastAsia="宋体" w:cs="宋体"/>
          <w:sz w:val="28"/>
          <w:szCs w:val="28"/>
        </w:rPr>
        <w:t>)</w:t>
      </w:r>
      <w:r>
        <w:rPr>
          <w:rFonts w:hint="eastAsia" w:ascii="宋体" w:hAnsi="宋体" w:cs="宋体"/>
          <w:sz w:val="28"/>
          <w:szCs w:val="28"/>
          <w:lang w:eastAsia="zh-CN"/>
        </w:rPr>
        <w:t>。</w:t>
      </w:r>
    </w:p>
    <w:p>
      <w:pPr>
        <w:adjustRightInd w:val="0"/>
        <w:snapToGrid w:val="0"/>
        <w:spacing w:line="50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2.《中华人民共和国</w:t>
      </w:r>
      <w:r>
        <w:rPr>
          <w:rFonts w:hint="eastAsia" w:ascii="宋体" w:hAnsi="宋体" w:cs="宋体"/>
          <w:sz w:val="28"/>
          <w:szCs w:val="28"/>
          <w:lang w:val="en-US" w:eastAsia="zh-CN"/>
        </w:rPr>
        <w:t>民法典</w:t>
      </w: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"http://baike.baidu.com/view/4425625.htm" \t "_blank"</w:instrText>
      </w:r>
      <w:r>
        <w:rPr>
          <w:rFonts w:hint="eastAsia" w:ascii="宋体" w:hAnsi="宋体" w:eastAsia="宋体" w:cs="宋体"/>
          <w:sz w:val="28"/>
          <w:szCs w:val="28"/>
        </w:rPr>
        <w:fldChar w:fldCharType="separate"/>
      </w:r>
      <w:r>
        <w:rPr>
          <w:rFonts w:hint="eastAsia" w:ascii="宋体" w:hAnsi="宋体" w:eastAsia="宋体" w:cs="宋体"/>
          <w:sz w:val="28"/>
          <w:szCs w:val="28"/>
        </w:rPr>
        <w:t>中华人民共和国第十</w:t>
      </w:r>
      <w:r>
        <w:rPr>
          <w:rFonts w:hint="eastAsia" w:ascii="宋体" w:hAnsi="宋体" w:cs="宋体"/>
          <w:sz w:val="28"/>
          <w:szCs w:val="28"/>
          <w:lang w:val="en-US" w:eastAsia="zh-CN"/>
        </w:rPr>
        <w:t>三</w:t>
      </w:r>
      <w:r>
        <w:rPr>
          <w:rFonts w:hint="eastAsia" w:ascii="宋体" w:hAnsi="宋体" w:eastAsia="宋体" w:cs="宋体"/>
          <w:sz w:val="28"/>
          <w:szCs w:val="28"/>
        </w:rPr>
        <w:t>届全国人民代表大会第</w:t>
      </w:r>
      <w:r>
        <w:rPr>
          <w:rFonts w:hint="eastAsia" w:ascii="宋体" w:hAnsi="宋体" w:cs="宋体"/>
          <w:sz w:val="28"/>
          <w:szCs w:val="28"/>
          <w:lang w:val="en-US" w:eastAsia="zh-CN"/>
        </w:rPr>
        <w:t>三</w:t>
      </w:r>
      <w:r>
        <w:rPr>
          <w:rFonts w:hint="eastAsia" w:ascii="宋体" w:hAnsi="宋体" w:eastAsia="宋体" w:cs="宋体"/>
          <w:sz w:val="28"/>
          <w:szCs w:val="28"/>
        </w:rPr>
        <w:t>次会议</w:t>
      </w:r>
      <w:r>
        <w:rPr>
          <w:rFonts w:hint="eastAsia" w:ascii="宋体" w:hAnsi="宋体" w:eastAsia="宋体" w:cs="宋体"/>
          <w:sz w:val="28"/>
          <w:szCs w:val="28"/>
        </w:rPr>
        <w:fldChar w:fldCharType="end"/>
      </w:r>
      <w:r>
        <w:rPr>
          <w:rFonts w:hint="eastAsia" w:ascii="宋体" w:hAnsi="宋体" w:eastAsia="宋体" w:cs="宋体"/>
          <w:sz w:val="28"/>
          <w:szCs w:val="28"/>
        </w:rPr>
        <w:t>于</w:t>
      </w:r>
      <w:r>
        <w:rPr>
          <w:rFonts w:hint="eastAsia" w:ascii="宋体" w:hAnsi="宋体" w:cs="宋体"/>
          <w:sz w:val="28"/>
          <w:szCs w:val="28"/>
          <w:lang w:val="en-US" w:eastAsia="zh-CN"/>
        </w:rPr>
        <w:t>2020</w:t>
      </w:r>
      <w:r>
        <w:rPr>
          <w:rFonts w:hint="eastAsia" w:ascii="宋体" w:hAnsi="宋体" w:eastAsia="宋体" w:cs="宋体"/>
          <w:sz w:val="28"/>
          <w:szCs w:val="28"/>
        </w:rPr>
        <w:t>年</w:t>
      </w:r>
      <w:r>
        <w:rPr>
          <w:rFonts w:hint="eastAsia" w:ascii="宋体" w:hAnsi="宋体" w:cs="宋体"/>
          <w:sz w:val="28"/>
          <w:szCs w:val="28"/>
          <w:lang w:val="en-US" w:eastAsia="zh-CN"/>
        </w:rPr>
        <w:t>5</w:t>
      </w:r>
      <w:r>
        <w:rPr>
          <w:rFonts w:hint="eastAsia" w:ascii="宋体" w:hAnsi="宋体" w:eastAsia="宋体" w:cs="宋体"/>
          <w:sz w:val="28"/>
          <w:szCs w:val="28"/>
        </w:rPr>
        <w:t>月</w:t>
      </w:r>
      <w:r>
        <w:rPr>
          <w:rFonts w:hint="eastAsia" w:ascii="宋体" w:hAnsi="宋体" w:cs="宋体"/>
          <w:sz w:val="28"/>
          <w:szCs w:val="28"/>
          <w:lang w:val="en-US" w:eastAsia="zh-CN"/>
        </w:rPr>
        <w:t>28</w:t>
      </w:r>
      <w:r>
        <w:rPr>
          <w:rFonts w:hint="eastAsia" w:ascii="宋体" w:hAnsi="宋体" w:eastAsia="宋体" w:cs="宋体"/>
          <w:sz w:val="28"/>
          <w:szCs w:val="28"/>
        </w:rPr>
        <w:t>日通过，自20</w:t>
      </w:r>
      <w:r>
        <w:rPr>
          <w:rFonts w:hint="eastAsia" w:ascii="宋体" w:hAnsi="宋体" w:cs="宋体"/>
          <w:sz w:val="28"/>
          <w:szCs w:val="28"/>
          <w:lang w:val="en-US" w:eastAsia="zh-CN"/>
        </w:rPr>
        <w:t>21</w:t>
      </w:r>
      <w:r>
        <w:rPr>
          <w:rFonts w:hint="eastAsia" w:ascii="宋体" w:hAnsi="宋体" w:eastAsia="宋体" w:cs="宋体"/>
          <w:sz w:val="28"/>
          <w:szCs w:val="28"/>
        </w:rPr>
        <w:t>年</w:t>
      </w:r>
      <w:r>
        <w:rPr>
          <w:rFonts w:hint="eastAsia" w:ascii="宋体" w:hAnsi="宋体" w:cs="宋体"/>
          <w:sz w:val="28"/>
          <w:szCs w:val="28"/>
          <w:lang w:val="en-US" w:eastAsia="zh-CN"/>
        </w:rPr>
        <w:t>1</w:t>
      </w:r>
      <w:r>
        <w:rPr>
          <w:rFonts w:hint="eastAsia" w:ascii="宋体" w:hAnsi="宋体" w:eastAsia="宋体" w:cs="宋体"/>
          <w:sz w:val="28"/>
          <w:szCs w:val="28"/>
        </w:rPr>
        <w:t>月1日起施行]</w:t>
      </w:r>
      <w:r>
        <w:rPr>
          <w:rFonts w:hint="eastAsia" w:ascii="宋体" w:hAnsi="宋体" w:cs="宋体"/>
          <w:sz w:val="28"/>
          <w:szCs w:val="28"/>
          <w:lang w:eastAsia="zh-CN"/>
        </w:rPr>
        <w:t>。</w:t>
      </w:r>
    </w:p>
    <w:p>
      <w:pPr>
        <w:pStyle w:val="10"/>
        <w:snapToGrid w:val="0"/>
        <w:spacing w:line="500" w:lineRule="exact"/>
        <w:ind w:firstLine="560" w:firstLineChars="200"/>
        <w:textAlignment w:val="center"/>
        <w:rPr>
          <w:rFonts w:hint="eastAsia" w:ascii="宋体" w:hAnsi="宋体" w:eastAsia="宋体" w:cs="宋体"/>
          <w:kern w:val="2"/>
          <w:sz w:val="28"/>
          <w:szCs w:val="28"/>
          <w:lang w:eastAsia="zh-CN"/>
        </w:rPr>
      </w:pPr>
      <w:r>
        <w:rPr>
          <w:rFonts w:hint="eastAsia" w:ascii="宋体" w:hAnsi="宋体" w:cs="宋体"/>
          <w:kern w:val="2"/>
          <w:sz w:val="28"/>
          <w:szCs w:val="28"/>
          <w:lang w:val="en-US" w:eastAsia="zh-CN"/>
        </w:rPr>
        <w:t>3</w:t>
      </w:r>
      <w:r>
        <w:rPr>
          <w:rFonts w:hint="eastAsia" w:ascii="宋体" w:hAnsi="宋体" w:eastAsia="宋体" w:cs="宋体"/>
          <w:kern w:val="2"/>
          <w:sz w:val="28"/>
          <w:szCs w:val="28"/>
        </w:rPr>
        <w:t>.《中华人民共和国资产评估法》（2016年7月2日，十二届全国人大常委会第二十一次会议审议通过）[2016年12月1日起施行]</w:t>
      </w:r>
      <w:r>
        <w:rPr>
          <w:rFonts w:hint="eastAsia" w:ascii="宋体" w:hAnsi="宋体" w:cs="宋体"/>
          <w:kern w:val="2"/>
          <w:sz w:val="28"/>
          <w:szCs w:val="28"/>
          <w:lang w:eastAsia="zh-CN"/>
        </w:rPr>
        <w:t>。</w:t>
      </w:r>
    </w:p>
    <w:p>
      <w:pPr>
        <w:adjustRightInd w:val="0"/>
        <w:snapToGrid w:val="0"/>
        <w:spacing w:line="500" w:lineRule="exact"/>
        <w:ind w:firstLine="565" w:firstLineChars="202"/>
        <w:rPr>
          <w:rFonts w:hint="eastAsia" w:ascii="宋体" w:hAnsi="宋体" w:eastAsia="宋体" w:cs="宋体"/>
          <w:sz w:val="28"/>
          <w:szCs w:val="28"/>
          <w:lang w:eastAsia="zh-CN"/>
        </w:rPr>
      </w:pPr>
      <w:r>
        <w:rPr>
          <w:rFonts w:hint="eastAsia" w:ascii="宋体" w:hAnsi="宋体" w:cs="宋体"/>
          <w:sz w:val="28"/>
          <w:szCs w:val="28"/>
          <w:lang w:val="en-US" w:eastAsia="zh-CN"/>
        </w:rPr>
        <w:t>4</w:t>
      </w:r>
      <w:r>
        <w:rPr>
          <w:rFonts w:hint="eastAsia" w:ascii="宋体" w:hAnsi="宋体" w:eastAsia="宋体" w:cs="宋体"/>
          <w:sz w:val="28"/>
          <w:szCs w:val="28"/>
        </w:rPr>
        <w:t xml:space="preserve">.《中华人民共和国土地管理法》 </w:t>
      </w:r>
      <w:r>
        <w:rPr>
          <w:rFonts w:hint="eastAsia" w:ascii="宋体" w:hAnsi="宋体" w:cs="宋体"/>
          <w:sz w:val="28"/>
          <w:szCs w:val="28"/>
          <w:lang w:val="en-US" w:eastAsia="zh-CN"/>
        </w:rPr>
        <w:t>(</w:t>
      </w:r>
      <w:r>
        <w:rPr>
          <w:rFonts w:hint="eastAsia" w:ascii="宋体" w:hAnsi="宋体" w:eastAsia="宋体" w:cs="宋体"/>
          <w:sz w:val="28"/>
          <w:szCs w:val="28"/>
        </w:rPr>
        <w:t xml:space="preserve">自 </w:t>
      </w:r>
      <w:r>
        <w:rPr>
          <w:rFonts w:hint="eastAsia" w:ascii="宋体" w:hAnsi="宋体" w:cs="宋体"/>
          <w:sz w:val="28"/>
          <w:szCs w:val="28"/>
          <w:lang w:val="en-US" w:eastAsia="zh-CN"/>
        </w:rPr>
        <w:t>2019</w:t>
      </w:r>
      <w:r>
        <w:rPr>
          <w:rFonts w:hint="eastAsia" w:ascii="宋体" w:hAnsi="宋体" w:eastAsia="宋体" w:cs="宋体"/>
          <w:sz w:val="28"/>
          <w:szCs w:val="28"/>
        </w:rPr>
        <w:t xml:space="preserve"> 年</w:t>
      </w:r>
      <w:r>
        <w:rPr>
          <w:rFonts w:hint="eastAsia" w:ascii="宋体" w:hAnsi="宋体" w:cs="宋体"/>
          <w:sz w:val="28"/>
          <w:szCs w:val="28"/>
          <w:lang w:val="en-US" w:eastAsia="zh-CN"/>
        </w:rPr>
        <w:t>8</w:t>
      </w:r>
      <w:r>
        <w:rPr>
          <w:rFonts w:hint="eastAsia" w:ascii="宋体" w:hAnsi="宋体" w:eastAsia="宋体" w:cs="宋体"/>
          <w:sz w:val="28"/>
          <w:szCs w:val="28"/>
        </w:rPr>
        <w:t>月</w:t>
      </w:r>
      <w:r>
        <w:rPr>
          <w:rFonts w:hint="eastAsia" w:ascii="宋体" w:hAnsi="宋体" w:cs="宋体"/>
          <w:sz w:val="28"/>
          <w:szCs w:val="28"/>
          <w:lang w:val="en-US" w:eastAsia="zh-CN"/>
        </w:rPr>
        <w:t>26</w:t>
      </w:r>
      <w:r>
        <w:rPr>
          <w:rFonts w:hint="eastAsia" w:ascii="宋体" w:hAnsi="宋体" w:eastAsia="宋体" w:cs="宋体"/>
          <w:sz w:val="28"/>
          <w:szCs w:val="28"/>
        </w:rPr>
        <w:t>日</w:t>
      </w:r>
      <w:r>
        <w:rPr>
          <w:rFonts w:hint="eastAsia" w:ascii="宋体" w:hAnsi="宋体" w:cs="宋体"/>
          <w:sz w:val="28"/>
          <w:szCs w:val="28"/>
          <w:lang w:val="en-US" w:eastAsia="zh-CN"/>
        </w:rPr>
        <w:t>第三次修正</w:t>
      </w:r>
      <w:r>
        <w:rPr>
          <w:rFonts w:hint="eastAsia" w:ascii="宋体" w:hAnsi="宋体" w:eastAsia="宋体" w:cs="宋体"/>
          <w:sz w:val="28"/>
          <w:szCs w:val="28"/>
        </w:rPr>
        <w:t>，20</w:t>
      </w:r>
      <w:r>
        <w:rPr>
          <w:rFonts w:hint="eastAsia" w:ascii="宋体" w:hAnsi="宋体" w:cs="宋体"/>
          <w:sz w:val="28"/>
          <w:szCs w:val="28"/>
          <w:lang w:val="en-US" w:eastAsia="zh-CN"/>
        </w:rPr>
        <w:t>20</w:t>
      </w:r>
      <w:r>
        <w:rPr>
          <w:rFonts w:hint="eastAsia" w:ascii="宋体" w:hAnsi="宋体" w:eastAsia="宋体" w:cs="宋体"/>
          <w:sz w:val="28"/>
          <w:szCs w:val="28"/>
        </w:rPr>
        <w:t xml:space="preserve">年 </w:t>
      </w:r>
      <w:r>
        <w:rPr>
          <w:rFonts w:hint="eastAsia" w:ascii="宋体" w:hAnsi="宋体" w:cs="宋体"/>
          <w:sz w:val="28"/>
          <w:szCs w:val="28"/>
          <w:lang w:val="en-US" w:eastAsia="zh-CN"/>
        </w:rPr>
        <w:t>1</w:t>
      </w:r>
      <w:r>
        <w:rPr>
          <w:rFonts w:hint="eastAsia" w:ascii="宋体" w:hAnsi="宋体" w:eastAsia="宋体" w:cs="宋体"/>
          <w:sz w:val="28"/>
          <w:szCs w:val="28"/>
        </w:rPr>
        <w:t xml:space="preserve">月 </w:t>
      </w:r>
      <w:r>
        <w:rPr>
          <w:rFonts w:hint="eastAsia" w:ascii="宋体" w:hAnsi="宋体" w:cs="宋体"/>
          <w:sz w:val="28"/>
          <w:szCs w:val="28"/>
          <w:lang w:val="en-US" w:eastAsia="zh-CN"/>
        </w:rPr>
        <w:t>1</w:t>
      </w:r>
      <w:r>
        <w:rPr>
          <w:rFonts w:hint="eastAsia" w:ascii="宋体" w:hAnsi="宋体" w:eastAsia="宋体" w:cs="宋体"/>
          <w:sz w:val="28"/>
          <w:szCs w:val="28"/>
        </w:rPr>
        <w:t xml:space="preserve"> 日</w:t>
      </w:r>
      <w:r>
        <w:rPr>
          <w:rFonts w:hint="eastAsia" w:ascii="宋体" w:hAnsi="宋体" w:cs="宋体"/>
          <w:sz w:val="28"/>
          <w:szCs w:val="28"/>
          <w:lang w:val="en-US" w:eastAsia="zh-CN"/>
        </w:rPr>
        <w:t>起施行</w:t>
      </w:r>
      <w:r>
        <w:rPr>
          <w:rFonts w:hint="eastAsia" w:ascii="宋体" w:hAnsi="宋体" w:eastAsia="宋体" w:cs="宋体"/>
          <w:sz w:val="28"/>
          <w:szCs w:val="28"/>
        </w:rPr>
        <w:t>)</w:t>
      </w:r>
      <w:r>
        <w:rPr>
          <w:rFonts w:hint="eastAsia" w:ascii="宋体" w:hAnsi="宋体" w:cs="宋体"/>
          <w:sz w:val="28"/>
          <w:szCs w:val="28"/>
          <w:lang w:eastAsia="zh-CN"/>
        </w:rPr>
        <w:t>。</w:t>
      </w:r>
    </w:p>
    <w:p>
      <w:pPr>
        <w:adjustRightInd w:val="0"/>
        <w:snapToGrid w:val="0"/>
        <w:spacing w:line="500" w:lineRule="exact"/>
        <w:ind w:firstLine="565" w:firstLineChars="202"/>
        <w:rPr>
          <w:rFonts w:hint="eastAsia" w:ascii="宋体" w:hAnsi="宋体" w:eastAsia="宋体" w:cs="宋体"/>
          <w:sz w:val="28"/>
          <w:szCs w:val="28"/>
          <w:lang w:eastAsia="zh-CN"/>
        </w:rPr>
      </w:pPr>
      <w:r>
        <w:rPr>
          <w:rFonts w:hint="eastAsia" w:ascii="宋体" w:hAnsi="宋体" w:cs="宋体"/>
          <w:sz w:val="28"/>
          <w:szCs w:val="28"/>
          <w:lang w:val="en-US" w:eastAsia="zh-CN"/>
        </w:rPr>
        <w:t>5</w:t>
      </w:r>
      <w:r>
        <w:rPr>
          <w:rFonts w:hint="eastAsia" w:ascii="宋体" w:hAnsi="宋体" w:eastAsia="宋体" w:cs="宋体"/>
          <w:sz w:val="28"/>
          <w:szCs w:val="28"/>
        </w:rPr>
        <w:t>.《中华人民共和国土地管理法实施条例》（中华人民共和国国务院令第 256 号，自 1999 年 1 月 1 日起施行,20</w:t>
      </w:r>
      <w:r>
        <w:rPr>
          <w:rFonts w:hint="eastAsia" w:ascii="宋体" w:hAnsi="宋体" w:cs="宋体"/>
          <w:sz w:val="28"/>
          <w:szCs w:val="28"/>
          <w:lang w:val="en-US" w:eastAsia="zh-CN"/>
        </w:rPr>
        <w:t>21</w:t>
      </w:r>
      <w:r>
        <w:rPr>
          <w:rFonts w:hint="eastAsia" w:ascii="宋体" w:hAnsi="宋体" w:eastAsia="宋体" w:cs="宋体"/>
          <w:sz w:val="28"/>
          <w:szCs w:val="28"/>
        </w:rPr>
        <w:t xml:space="preserve"> 年 7 月 </w:t>
      </w:r>
      <w:r>
        <w:rPr>
          <w:rFonts w:hint="eastAsia" w:ascii="宋体" w:hAnsi="宋体" w:cs="宋体"/>
          <w:sz w:val="28"/>
          <w:szCs w:val="28"/>
          <w:lang w:val="en-US" w:eastAsia="zh-CN"/>
        </w:rPr>
        <w:t>2</w:t>
      </w:r>
      <w:r>
        <w:rPr>
          <w:rFonts w:hint="eastAsia" w:ascii="宋体" w:hAnsi="宋体" w:eastAsia="宋体" w:cs="宋体"/>
          <w:sz w:val="28"/>
          <w:szCs w:val="28"/>
        </w:rPr>
        <w:t xml:space="preserve"> 日第</w:t>
      </w:r>
      <w:r>
        <w:rPr>
          <w:rFonts w:hint="eastAsia" w:ascii="宋体" w:hAnsi="宋体" w:cs="宋体"/>
          <w:sz w:val="28"/>
          <w:szCs w:val="28"/>
          <w:lang w:eastAsia="zh-CN"/>
        </w:rPr>
        <w:t>三</w:t>
      </w:r>
      <w:r>
        <w:rPr>
          <w:rFonts w:hint="eastAsia" w:ascii="宋体" w:hAnsi="宋体" w:eastAsia="宋体" w:cs="宋体"/>
          <w:sz w:val="28"/>
          <w:szCs w:val="28"/>
        </w:rPr>
        <w:t>次修正）</w:t>
      </w:r>
      <w:r>
        <w:rPr>
          <w:rFonts w:hint="eastAsia" w:ascii="宋体" w:hAnsi="宋体" w:cs="宋体"/>
          <w:sz w:val="28"/>
          <w:szCs w:val="28"/>
          <w:lang w:eastAsia="zh-CN"/>
        </w:rPr>
        <w:t>。</w:t>
      </w:r>
    </w:p>
    <w:p>
      <w:pPr>
        <w:adjustRightInd w:val="0"/>
        <w:snapToGrid w:val="0"/>
        <w:spacing w:line="500" w:lineRule="exact"/>
        <w:ind w:firstLine="565" w:firstLineChars="202"/>
        <w:rPr>
          <w:rFonts w:hint="eastAsia" w:ascii="宋体" w:hAnsi="宋体" w:eastAsia="宋体" w:cs="宋体"/>
          <w:sz w:val="28"/>
          <w:szCs w:val="28"/>
        </w:rPr>
      </w:pPr>
      <w:r>
        <w:rPr>
          <w:rFonts w:hint="eastAsia" w:ascii="宋体" w:hAnsi="宋体" w:cs="宋体"/>
          <w:sz w:val="28"/>
          <w:szCs w:val="28"/>
          <w:lang w:val="en-US" w:eastAsia="zh-CN"/>
        </w:rPr>
        <w:t>6</w:t>
      </w:r>
      <w:r>
        <w:rPr>
          <w:rFonts w:hint="eastAsia" w:ascii="宋体" w:hAnsi="宋体" w:eastAsia="宋体" w:cs="宋体"/>
          <w:sz w:val="28"/>
          <w:szCs w:val="28"/>
        </w:rPr>
        <w:t>.中华人民共和国城镇国有土地使用权出让和转让暂行条例（中华人民共和国国务院令第 55 号，自 2006 年 5 月 19 日施行）。</w:t>
      </w:r>
    </w:p>
    <w:p>
      <w:pPr>
        <w:adjustRightInd w:val="0"/>
        <w:snapToGrid w:val="0"/>
        <w:spacing w:line="500" w:lineRule="exact"/>
        <w:ind w:firstLine="424" w:firstLineChars="151"/>
        <w:rPr>
          <w:rFonts w:hint="eastAsia" w:ascii="宋体" w:hAnsi="宋体" w:eastAsia="宋体" w:cs="宋体"/>
          <w:b/>
          <w:sz w:val="28"/>
          <w:szCs w:val="28"/>
        </w:rPr>
      </w:pPr>
      <w:r>
        <w:rPr>
          <w:rFonts w:hint="eastAsia" w:ascii="宋体" w:hAnsi="宋体" w:eastAsia="宋体" w:cs="宋体"/>
          <w:b/>
          <w:sz w:val="28"/>
          <w:szCs w:val="28"/>
        </w:rPr>
        <w:t>（二）部门规章</w:t>
      </w:r>
    </w:p>
    <w:p>
      <w:pPr>
        <w:pStyle w:val="10"/>
        <w:snapToGrid w:val="0"/>
        <w:spacing w:line="50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1.《最高人民法院关于人民法院委托评估、拍卖工作的若干规定》(法释[2011]21号，自2012年1月1日起施行)；</w:t>
      </w:r>
    </w:p>
    <w:p>
      <w:pPr>
        <w:pStyle w:val="10"/>
        <w:snapToGrid w:val="0"/>
        <w:spacing w:line="50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2.《最高人民法院关于人民法院确定财产处置参考价若干问题的规定》（法释[2018]15号，2018年6月4日最高人民法院审判委员会第1741次会议通过，自2018年9月1日起施行）。</w:t>
      </w:r>
    </w:p>
    <w:p>
      <w:pPr>
        <w:pStyle w:val="10"/>
        <w:snapToGrid w:val="0"/>
        <w:spacing w:line="500" w:lineRule="exact"/>
        <w:ind w:firstLine="424" w:firstLineChars="151"/>
        <w:textAlignment w:val="center"/>
        <w:rPr>
          <w:rFonts w:hint="eastAsia" w:ascii="宋体" w:hAnsi="宋体" w:eastAsia="宋体" w:cs="宋体"/>
          <w:b/>
          <w:sz w:val="28"/>
          <w:szCs w:val="28"/>
        </w:rPr>
      </w:pPr>
      <w:r>
        <w:rPr>
          <w:rFonts w:hint="eastAsia" w:ascii="宋体" w:hAnsi="宋体" w:eastAsia="宋体" w:cs="宋体"/>
          <w:b/>
          <w:sz w:val="28"/>
          <w:szCs w:val="28"/>
        </w:rPr>
        <w:t>（三）技术标准</w:t>
      </w:r>
    </w:p>
    <w:p>
      <w:pPr>
        <w:pStyle w:val="10"/>
        <w:snapToGrid w:val="0"/>
        <w:spacing w:line="500" w:lineRule="exact"/>
        <w:ind w:firstLine="560" w:firstLineChars="200"/>
        <w:textAlignment w:val="center"/>
        <w:rPr>
          <w:rFonts w:hint="eastAsia" w:ascii="宋体" w:hAnsi="宋体" w:eastAsia="宋体" w:cs="宋体"/>
          <w:sz w:val="28"/>
          <w:szCs w:val="28"/>
          <w:lang w:eastAsia="zh-CN"/>
        </w:rPr>
      </w:pPr>
      <w:r>
        <w:rPr>
          <w:rFonts w:hint="eastAsia" w:ascii="宋体" w:hAnsi="宋体" w:eastAsia="宋体" w:cs="宋体"/>
          <w:sz w:val="28"/>
          <w:szCs w:val="28"/>
        </w:rPr>
        <w:t>1.《房地产估价规范》(GB/T50291-2015)[2015年12月1日起实施]</w:t>
      </w:r>
      <w:r>
        <w:rPr>
          <w:rFonts w:hint="eastAsia" w:ascii="宋体" w:hAnsi="宋体" w:cs="宋体"/>
          <w:sz w:val="28"/>
          <w:szCs w:val="28"/>
          <w:lang w:eastAsia="zh-CN"/>
        </w:rPr>
        <w:t>。</w:t>
      </w:r>
    </w:p>
    <w:p>
      <w:pPr>
        <w:pStyle w:val="10"/>
        <w:snapToGrid w:val="0"/>
        <w:spacing w:line="500" w:lineRule="exact"/>
        <w:ind w:firstLine="565" w:firstLineChars="202"/>
        <w:textAlignment w:val="center"/>
        <w:rPr>
          <w:rFonts w:hint="eastAsia" w:ascii="宋体" w:hAnsi="宋体" w:eastAsia="宋体" w:cs="宋体"/>
          <w:sz w:val="28"/>
          <w:szCs w:val="28"/>
          <w:lang w:eastAsia="zh-CN"/>
        </w:rPr>
      </w:pPr>
      <w:r>
        <w:rPr>
          <w:rFonts w:hint="eastAsia" w:ascii="宋体" w:hAnsi="宋体" w:eastAsia="宋体" w:cs="宋体"/>
          <w:sz w:val="28"/>
          <w:szCs w:val="28"/>
        </w:rPr>
        <w:t>2.《城镇土地估价规程》(GB-T18508-2014)[2014年12月1日起实施]</w:t>
      </w:r>
      <w:r>
        <w:rPr>
          <w:rFonts w:hint="eastAsia" w:ascii="宋体" w:hAnsi="宋体" w:cs="宋体"/>
          <w:sz w:val="28"/>
          <w:szCs w:val="28"/>
          <w:lang w:eastAsia="zh-CN"/>
        </w:rPr>
        <w:t>。</w:t>
      </w:r>
    </w:p>
    <w:p>
      <w:pPr>
        <w:pStyle w:val="10"/>
        <w:snapToGrid w:val="0"/>
        <w:spacing w:line="500" w:lineRule="exact"/>
        <w:ind w:firstLine="560" w:firstLineChars="200"/>
        <w:textAlignment w:val="center"/>
        <w:rPr>
          <w:rFonts w:hint="eastAsia" w:ascii="宋体" w:hAnsi="宋体" w:eastAsia="宋体" w:cs="宋体"/>
          <w:sz w:val="28"/>
          <w:szCs w:val="28"/>
          <w:lang w:eastAsia="zh-CN"/>
        </w:rPr>
      </w:pPr>
      <w:r>
        <w:rPr>
          <w:rFonts w:hint="eastAsia" w:ascii="宋体" w:hAnsi="宋体" w:eastAsia="宋体" w:cs="宋体"/>
          <w:sz w:val="28"/>
          <w:szCs w:val="28"/>
        </w:rPr>
        <w:t>3.《房地产估价基本术语标准》(GB/T50899-2013)[2013年6月26日发布，2014年2月1日起实施]</w:t>
      </w:r>
      <w:r>
        <w:rPr>
          <w:rFonts w:hint="eastAsia" w:ascii="宋体" w:hAnsi="宋体" w:cs="宋体"/>
          <w:sz w:val="28"/>
          <w:szCs w:val="28"/>
          <w:lang w:eastAsia="zh-CN"/>
        </w:rPr>
        <w:t>。</w:t>
      </w:r>
    </w:p>
    <w:p>
      <w:pPr>
        <w:pStyle w:val="10"/>
        <w:snapToGrid w:val="0"/>
        <w:spacing w:line="500" w:lineRule="exact"/>
        <w:ind w:firstLine="424" w:firstLineChars="151"/>
        <w:textAlignment w:val="center"/>
        <w:rPr>
          <w:rFonts w:hint="eastAsia" w:ascii="宋体" w:hAnsi="宋体" w:eastAsia="宋体" w:cs="宋体"/>
          <w:b/>
          <w:sz w:val="28"/>
          <w:szCs w:val="28"/>
        </w:rPr>
      </w:pPr>
      <w:r>
        <w:rPr>
          <w:rFonts w:hint="eastAsia" w:ascii="宋体" w:hAnsi="宋体" w:eastAsia="宋体" w:cs="宋体"/>
          <w:b/>
          <w:sz w:val="28"/>
          <w:szCs w:val="28"/>
        </w:rPr>
        <w:t>（四）估价委托人提供的估价委托书</w:t>
      </w:r>
    </w:p>
    <w:p>
      <w:pPr>
        <w:pStyle w:val="10"/>
        <w:snapToGrid w:val="0"/>
        <w:spacing w:line="500" w:lineRule="exact"/>
        <w:ind w:firstLine="560" w:firstLineChars="200"/>
        <w:textAlignment w:val="center"/>
        <w:rPr>
          <w:rFonts w:hint="eastAsia" w:ascii="宋体" w:hAnsi="宋体" w:eastAsia="宋体" w:cs="宋体"/>
          <w:sz w:val="28"/>
          <w:szCs w:val="28"/>
          <w:lang w:val="en-US" w:eastAsia="zh-CN"/>
        </w:rPr>
      </w:pPr>
      <w:r>
        <w:rPr>
          <w:rFonts w:hint="eastAsia" w:ascii="宋体" w:hAnsi="宋体" w:eastAsia="宋体" w:cs="宋体"/>
          <w:sz w:val="28"/>
          <w:szCs w:val="28"/>
          <w:lang w:eastAsia="zh-CN"/>
        </w:rPr>
        <w:t>司法鉴定评估委托书</w:t>
      </w:r>
      <w:r>
        <w:rPr>
          <w:rFonts w:hint="eastAsia" w:ascii="宋体" w:hAnsi="宋体" w:eastAsia="宋体" w:cs="宋体"/>
          <w:sz w:val="28"/>
          <w:szCs w:val="28"/>
          <w:lang w:val="en-US" w:eastAsia="zh-CN"/>
        </w:rPr>
        <w:t>[</w:t>
      </w:r>
      <w:r>
        <w:rPr>
          <w:rFonts w:hint="eastAsia" w:ascii="宋体" w:hAnsi="宋体" w:eastAsia="宋体" w:cs="宋体"/>
          <w:sz w:val="28"/>
          <w:szCs w:val="28"/>
        </w:rPr>
        <w:t>（202</w:t>
      </w:r>
      <w:r>
        <w:rPr>
          <w:rFonts w:hint="eastAsia" w:ascii="宋体" w:hAnsi="宋体" w:cs="宋体"/>
          <w:sz w:val="28"/>
          <w:szCs w:val="28"/>
          <w:lang w:val="en-US" w:eastAsia="zh-CN"/>
        </w:rPr>
        <w:t>1</w:t>
      </w:r>
      <w:r>
        <w:rPr>
          <w:rFonts w:hint="eastAsia" w:ascii="宋体" w:hAnsi="宋体" w:eastAsia="宋体" w:cs="宋体"/>
          <w:sz w:val="28"/>
          <w:szCs w:val="28"/>
        </w:rPr>
        <w:t>）辽</w:t>
      </w:r>
      <w:r>
        <w:rPr>
          <w:rFonts w:hint="eastAsia" w:ascii="宋体" w:hAnsi="宋体" w:cs="宋体"/>
          <w:sz w:val="28"/>
          <w:szCs w:val="28"/>
          <w:lang w:val="en-US" w:eastAsia="zh-CN"/>
        </w:rPr>
        <w:t>0681执恢962号</w:t>
      </w:r>
      <w:r>
        <w:rPr>
          <w:rFonts w:hint="eastAsia" w:ascii="宋体" w:hAnsi="宋体" w:eastAsia="宋体" w:cs="宋体"/>
          <w:sz w:val="28"/>
          <w:lang w:val="en-US" w:eastAsia="zh-CN"/>
        </w:rPr>
        <w:t>]</w:t>
      </w:r>
      <w:r>
        <w:rPr>
          <w:rFonts w:hint="eastAsia" w:ascii="宋体" w:hAnsi="宋体" w:cs="宋体"/>
          <w:sz w:val="28"/>
          <w:lang w:val="en-US" w:eastAsia="zh-CN"/>
        </w:rPr>
        <w:t>。</w:t>
      </w:r>
    </w:p>
    <w:p>
      <w:pPr>
        <w:pStyle w:val="10"/>
        <w:snapToGrid w:val="0"/>
        <w:spacing w:line="500" w:lineRule="exact"/>
        <w:ind w:firstLine="424" w:firstLineChars="151"/>
        <w:textAlignment w:val="center"/>
        <w:rPr>
          <w:rFonts w:hint="eastAsia" w:ascii="宋体" w:hAnsi="宋体" w:eastAsia="宋体" w:cs="宋体"/>
          <w:b/>
          <w:sz w:val="28"/>
          <w:szCs w:val="28"/>
        </w:rPr>
      </w:pPr>
      <w:r>
        <w:rPr>
          <w:rFonts w:hint="eastAsia" w:ascii="宋体" w:hAnsi="宋体" w:eastAsia="宋体" w:cs="宋体"/>
          <w:b/>
          <w:sz w:val="28"/>
          <w:szCs w:val="28"/>
        </w:rPr>
        <w:t>（五）估价委托人提供的估价所需资料</w:t>
      </w:r>
    </w:p>
    <w:p>
      <w:pPr>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1.不动产产权情况表复印件</w:t>
      </w:r>
      <w:r>
        <w:rPr>
          <w:rFonts w:hint="eastAsia" w:ascii="宋体" w:hAnsi="宋体" w:eastAsia="宋体" w:cs="宋体"/>
          <w:sz w:val="28"/>
          <w:szCs w:val="28"/>
        </w:rPr>
        <w:t>。</w:t>
      </w:r>
    </w:p>
    <w:p>
      <w:pPr>
        <w:adjustRightInd w:val="0"/>
        <w:snapToGrid w:val="0"/>
        <w:spacing w:line="500" w:lineRule="exact"/>
        <w:ind w:firstLine="424" w:firstLineChars="151"/>
        <w:rPr>
          <w:rFonts w:hint="eastAsia" w:ascii="宋体" w:hAnsi="宋体" w:eastAsia="宋体" w:cs="宋体"/>
          <w:b/>
          <w:sz w:val="28"/>
          <w:szCs w:val="28"/>
        </w:rPr>
      </w:pPr>
      <w:r>
        <w:rPr>
          <w:rFonts w:hint="eastAsia" w:ascii="宋体" w:hAnsi="宋体" w:eastAsia="宋体" w:cs="宋体"/>
          <w:b/>
          <w:sz w:val="28"/>
          <w:szCs w:val="28"/>
        </w:rPr>
        <w:t>（六）估价机构和估价人员掌握及收集的有关资料</w:t>
      </w:r>
    </w:p>
    <w:p>
      <w:pPr>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1.估价对象及周边环境照片；</w:t>
      </w:r>
    </w:p>
    <w:p>
      <w:pPr>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eastAsia="zh-CN"/>
        </w:rPr>
        <w:t>丹东市</w:t>
      </w:r>
      <w:r>
        <w:rPr>
          <w:rFonts w:hint="eastAsia" w:ascii="宋体" w:hAnsi="宋体" w:eastAsia="宋体" w:cs="宋体"/>
          <w:sz w:val="28"/>
          <w:szCs w:val="28"/>
        </w:rPr>
        <w:t>建筑工程造价信息；</w:t>
      </w:r>
    </w:p>
    <w:p>
      <w:pPr>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cs="宋体"/>
          <w:sz w:val="28"/>
          <w:szCs w:val="28"/>
          <w:lang w:eastAsia="zh-CN"/>
        </w:rPr>
        <w:t>丹东市</w:t>
      </w:r>
      <w:r>
        <w:rPr>
          <w:rFonts w:hint="eastAsia" w:ascii="宋体" w:hAnsi="宋体" w:eastAsia="宋体" w:cs="宋体"/>
          <w:sz w:val="28"/>
          <w:szCs w:val="28"/>
        </w:rPr>
        <w:t>房地产市场信息；</w:t>
      </w:r>
    </w:p>
    <w:p>
      <w:pPr>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4.人民银行公布的资金存、贷款利率；</w:t>
      </w:r>
    </w:p>
    <w:p>
      <w:pPr>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5.估价对象类似房地产投资回报市场信息；</w:t>
      </w:r>
    </w:p>
    <w:p>
      <w:pPr>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6.估价机构积累的其他相关信息资料；</w:t>
      </w:r>
    </w:p>
    <w:p>
      <w:pPr>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7.估价人员掌握的其他相关信息资料。</w:t>
      </w:r>
    </w:p>
    <w:p>
      <w:pPr>
        <w:pStyle w:val="3"/>
        <w:keepNext w:val="0"/>
        <w:keepLines w:val="0"/>
        <w:spacing w:line="560" w:lineRule="exact"/>
        <w:rPr>
          <w:rFonts w:ascii="宋体" w:hAnsi="宋体" w:eastAsia="宋体" w:cs="Times New Roman"/>
          <w:sz w:val="28"/>
          <w:szCs w:val="28"/>
        </w:rPr>
      </w:pPr>
      <w:bookmarkStart w:id="119" w:name="_Toc19163"/>
      <w:r>
        <w:rPr>
          <w:rFonts w:hint="eastAsia" w:ascii="宋体" w:hAnsi="宋体" w:eastAsia="宋体" w:cs="宋体"/>
          <w:sz w:val="28"/>
          <w:szCs w:val="28"/>
        </w:rPr>
        <w:t>九、估价方法</w:t>
      </w:r>
      <w:bookmarkEnd w:id="111"/>
      <w:bookmarkEnd w:id="112"/>
      <w:bookmarkEnd w:id="113"/>
      <w:bookmarkEnd w:id="114"/>
      <w:bookmarkEnd w:id="115"/>
      <w:bookmarkEnd w:id="117"/>
      <w:bookmarkEnd w:id="118"/>
      <w:bookmarkEnd w:id="119"/>
    </w:p>
    <w:p>
      <w:pPr>
        <w:pStyle w:val="10"/>
        <w:spacing w:line="500" w:lineRule="exact"/>
        <w:ind w:firstLine="424" w:firstLineChars="151"/>
        <w:textAlignment w:val="center"/>
        <w:rPr>
          <w:rFonts w:hint="eastAsia" w:ascii="宋体" w:hAnsi="宋体" w:eastAsia="宋体" w:cs="宋体"/>
          <w:b/>
          <w:sz w:val="28"/>
        </w:rPr>
      </w:pPr>
      <w:r>
        <w:rPr>
          <w:rFonts w:hint="eastAsia" w:ascii="宋体" w:hAnsi="宋体" w:eastAsia="宋体" w:cs="宋体"/>
          <w:b/>
          <w:sz w:val="28"/>
        </w:rPr>
        <w:t>（一）估价方法选择</w:t>
      </w:r>
    </w:p>
    <w:p>
      <w:pPr>
        <w:pStyle w:val="10"/>
        <w:spacing w:line="500" w:lineRule="exact"/>
        <w:ind w:firstLine="560" w:firstLineChars="200"/>
        <w:textAlignment w:val="center"/>
        <w:rPr>
          <w:rFonts w:hint="eastAsia" w:ascii="宋体" w:hAnsi="宋体" w:eastAsia="宋体" w:cs="宋体"/>
          <w:sz w:val="28"/>
          <w:szCs w:val="28"/>
        </w:rPr>
      </w:pPr>
      <w:bookmarkStart w:id="120" w:name="_Toc381365447"/>
      <w:r>
        <w:rPr>
          <w:rFonts w:hint="eastAsia" w:ascii="宋体" w:hAnsi="宋体" w:eastAsia="宋体" w:cs="宋体"/>
          <w:sz w:val="28"/>
          <w:szCs w:val="28"/>
        </w:rPr>
        <w:t>按照《房地产估价规范(GB/T50291-2015)》，房地产估价方法有比较法、收益法、成本法、假设开发法。</w:t>
      </w:r>
    </w:p>
    <w:p>
      <w:pPr>
        <w:pStyle w:val="10"/>
        <w:spacing w:line="50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本次估价对象用途为</w:t>
      </w:r>
      <w:r>
        <w:rPr>
          <w:rFonts w:hint="eastAsia" w:ascii="宋体" w:hAnsi="宋体" w:cs="宋体"/>
          <w:sz w:val="28"/>
          <w:szCs w:val="28"/>
          <w:lang w:val="en-US" w:eastAsia="zh-CN"/>
        </w:rPr>
        <w:t>住宅</w:t>
      </w:r>
      <w:r>
        <w:rPr>
          <w:rFonts w:hint="eastAsia" w:ascii="宋体" w:hAnsi="宋体" w:eastAsia="宋体" w:cs="宋体"/>
          <w:sz w:val="28"/>
          <w:szCs w:val="28"/>
        </w:rPr>
        <w:t>，周围区域存在较多的类似房地产，能够找到买卖交易实例，适合选用比较法。经调查周边的相同用途房地产租赁市场，同一供求圈范围内与估价对象类似房地产市场租金、费用等资料较易取得，适合选用收益法。</w:t>
      </w:r>
    </w:p>
    <w:p>
      <w:pPr>
        <w:pStyle w:val="10"/>
        <w:spacing w:line="50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另外由于估价委托人没有提供估价对象的土地权属资料，土地取得成本无法测算，不宜采用成本法评估。估价对象为</w:t>
      </w:r>
      <w:r>
        <w:rPr>
          <w:rFonts w:hint="eastAsia" w:ascii="宋体" w:hAnsi="宋体" w:cs="宋体"/>
          <w:sz w:val="28"/>
          <w:szCs w:val="28"/>
          <w:lang w:val="en-US" w:eastAsia="zh-CN"/>
        </w:rPr>
        <w:t>住宅</w:t>
      </w:r>
      <w:r>
        <w:rPr>
          <w:rFonts w:hint="eastAsia" w:ascii="宋体" w:hAnsi="宋体" w:eastAsia="宋体" w:cs="宋体"/>
          <w:sz w:val="28"/>
          <w:szCs w:val="28"/>
        </w:rPr>
        <w:t>且已投入使用，在现行规划状况下，不适于选用假设开发法评估。</w:t>
      </w:r>
    </w:p>
    <w:p>
      <w:pPr>
        <w:pStyle w:val="10"/>
        <w:spacing w:line="50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综上所述，本次估价选用比较法和收益法。</w:t>
      </w:r>
    </w:p>
    <w:p>
      <w:pPr>
        <w:pStyle w:val="10"/>
        <w:spacing w:line="500" w:lineRule="exact"/>
        <w:ind w:firstLine="424" w:firstLineChars="151"/>
        <w:textAlignment w:val="center"/>
        <w:rPr>
          <w:rFonts w:hint="eastAsia" w:ascii="宋体" w:hAnsi="宋体" w:eastAsia="宋体" w:cs="宋体"/>
          <w:b/>
          <w:sz w:val="28"/>
        </w:rPr>
      </w:pPr>
      <w:r>
        <w:rPr>
          <w:rFonts w:hint="eastAsia" w:ascii="宋体" w:hAnsi="宋体" w:eastAsia="宋体" w:cs="宋体"/>
          <w:b/>
          <w:sz w:val="28"/>
        </w:rPr>
        <w:t>（二）估价方法简介</w:t>
      </w:r>
    </w:p>
    <w:p>
      <w:pPr>
        <w:spacing w:line="500" w:lineRule="exact"/>
        <w:ind w:firstLine="562" w:firstLineChars="200"/>
        <w:textAlignment w:val="center"/>
        <w:rPr>
          <w:rFonts w:hint="eastAsia" w:ascii="宋体" w:hAnsi="宋体" w:eastAsia="宋体" w:cs="宋体"/>
          <w:b/>
          <w:bCs/>
          <w:sz w:val="28"/>
        </w:rPr>
      </w:pPr>
      <w:r>
        <w:rPr>
          <w:rFonts w:hint="eastAsia" w:ascii="宋体" w:hAnsi="宋体" w:eastAsia="宋体" w:cs="宋体"/>
          <w:b/>
          <w:bCs/>
          <w:sz w:val="28"/>
        </w:rPr>
        <w:t>1.比较法</w:t>
      </w:r>
    </w:p>
    <w:p>
      <w:pPr>
        <w:pStyle w:val="10"/>
        <w:spacing w:line="50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比较法是指选取一定数量的可比实例，将它们与估价对象进行比较，根据其间的差异对可比实例成交价格进行处理后得到估价对象价值或价格的方法。公式如下：</w:t>
      </w:r>
    </w:p>
    <w:p>
      <w:pPr>
        <w:pStyle w:val="10"/>
        <w:spacing w:before="120" w:beforeLines="50" w:after="120" w:afterLines="50" w:line="54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估价对象价格=可比实例价格</w:t>
      </w:r>
      <w:r>
        <w:rPr>
          <w:rFonts w:hint="eastAsia" w:ascii="宋体" w:hAnsi="宋体" w:eastAsia="宋体" w:cs="宋体"/>
          <w:sz w:val="28"/>
          <w:szCs w:val="28"/>
        </w:rPr>
        <w:object>
          <v:shape id="_x0000_i1025" o:spt="75" type="#_x0000_t75" style="height:34.35pt;width:102.15pt;" o:ole="t" filled="f" o:preferrelative="t" stroked="f" coordsize="21600,21600">
            <v:path/>
            <v:fill on="f" focussize="0,0"/>
            <v:stroke on="f"/>
            <v:imagedata r:id="rId14" o:title=""/>
            <o:lock v:ext="edit" grouping="f" rotation="f" text="f" aspectratio="t"/>
            <w10:wrap type="none"/>
            <w10:anchorlock/>
          </v:shape>
          <o:OLEObject Type="Embed" ProgID="Equation.3" ShapeID="_x0000_i1025" DrawAspect="Content" ObjectID="_1468075725" r:id="rId13">
            <o:LockedField>false</o:LockedField>
          </o:OLEObject>
        </w:object>
      </w:r>
    </w:p>
    <w:p>
      <w:pPr>
        <w:pStyle w:val="1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其中三项修正系数分别为交易情况修正、市场状况调整、房地产状况调整。</w:t>
      </w:r>
    </w:p>
    <w:p>
      <w:pPr>
        <w:pStyle w:val="10"/>
        <w:spacing w:line="520" w:lineRule="exact"/>
        <w:ind w:firstLine="557" w:firstLineChars="198"/>
        <w:textAlignment w:val="center"/>
        <w:rPr>
          <w:rFonts w:hint="eastAsia" w:ascii="宋体" w:hAnsi="宋体" w:eastAsia="宋体" w:cs="宋体"/>
          <w:b/>
          <w:bCs/>
          <w:sz w:val="28"/>
        </w:rPr>
      </w:pPr>
      <w:r>
        <w:rPr>
          <w:rFonts w:hint="eastAsia" w:ascii="宋体" w:hAnsi="宋体" w:eastAsia="宋体" w:cs="宋体"/>
          <w:b/>
          <w:bCs/>
          <w:sz w:val="28"/>
        </w:rPr>
        <w:t>2.收益法</w:t>
      </w:r>
    </w:p>
    <w:p>
      <w:pPr>
        <w:spacing w:line="52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收益法是求取估价对象未来的正常净收益，选用适当的资本化率将其折现到价值时点后累加，以此估算估价对象的客观合理价格或价值的方法。</w:t>
      </w:r>
    </w:p>
    <w:p>
      <w:pPr>
        <w:spacing w:line="52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设定房地产在</w:t>
      </w:r>
      <w:r>
        <w:rPr>
          <w:rFonts w:hint="eastAsia" w:ascii="宋体" w:hAnsi="宋体" w:cs="宋体"/>
          <w:sz w:val="28"/>
          <w:szCs w:val="28"/>
          <w:lang w:val="en-US" w:eastAsia="zh-CN"/>
        </w:rPr>
        <w:t>i</w:t>
      </w:r>
      <w:r>
        <w:rPr>
          <w:rFonts w:hint="eastAsia" w:ascii="宋体" w:hAnsi="宋体" w:eastAsia="宋体" w:cs="宋体"/>
          <w:sz w:val="28"/>
          <w:szCs w:val="28"/>
        </w:rPr>
        <w:t>年前出租获取正常净收益，第</w:t>
      </w:r>
      <w:r>
        <w:rPr>
          <w:rFonts w:hint="eastAsia" w:ascii="宋体" w:hAnsi="宋体" w:cs="宋体"/>
          <w:sz w:val="28"/>
          <w:szCs w:val="28"/>
          <w:lang w:val="en-US" w:eastAsia="zh-CN"/>
        </w:rPr>
        <w:t>t</w:t>
      </w:r>
      <w:r>
        <w:rPr>
          <w:rFonts w:hint="eastAsia" w:ascii="宋体" w:hAnsi="宋体" w:eastAsia="宋体" w:cs="宋体"/>
          <w:sz w:val="28"/>
          <w:szCs w:val="28"/>
        </w:rPr>
        <w:t>年转售获取转售收益。</w:t>
      </w:r>
    </w:p>
    <w:p>
      <w:pPr>
        <w:tabs>
          <w:tab w:val="left" w:pos="2000"/>
        </w:tabs>
        <w:spacing w:before="120" w:beforeLines="50" w:after="120" w:afterLines="50" w:line="240" w:lineRule="atLeast"/>
        <w:textAlignment w:val="center"/>
        <w:rPr>
          <w:rFonts w:hint="eastAsia" w:ascii="宋体" w:hAnsi="宋体" w:eastAsia="宋体" w:cs="宋体"/>
          <w:sz w:val="28"/>
          <w:szCs w:val="28"/>
        </w:rPr>
      </w:pPr>
      <w:r>
        <w:rPr>
          <w:rFonts w:hint="eastAsia"/>
          <w:sz w:val="21"/>
          <w:szCs w:val="21"/>
          <w:lang w:val="en-US" w:eastAsia="zh-CN"/>
        </w:rPr>
        <w:t xml:space="preserve">      </w:t>
      </w:r>
      <w:r>
        <w:rPr>
          <w:sz w:val="21"/>
          <w:szCs w:val="21"/>
        </w:rPr>
        <w:pict>
          <v:shape id="_x0000_i1026" o:spt="75" type="#_x0000_t75" style="height:56.7pt;width:255.1pt;" filled="f" o:preferrelative="t" stroked="f" coordsize="21600,21600" equationxml="&lt;?xml version=&quot;1.0&quot; encoding=&quot;UTF-8&quot; standalone=&quot;yes&quot;?&gt;&#13;&#10;&lt;?mso-application progid=&quot;Word.Document&quot;?&gt;&#13;&#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00&quot;/&gt;&lt;w:characterSpacingControl w:val=&quot;CompressPunctuation&quot;/&gt;&lt;w:documentProtection w:enforcement=&quot;off&quot;/&gt;&lt;w:defaultTabStop w:val=&quot;420&quot;/&gt;&lt;w:drawingGridHorizontalSpacing w:val=&quot;105&quot;/&gt;&lt;w:drawingGridVerticalSpacing w:val=&quot;156&quot;/&gt;&lt;w:displayHorizontalDrawingGridEvery w:val=&quot;1&quot;/&gt;&lt;w:displayVerticalDrawingGridEvery w:val=&quot;1&quot;/&gt;&lt;w:noLineBreaksAfter w:lang=&quot;zh-CN&quot; w:val=&quot;$([{£¥·‘“〈《「『【〔〖〝﹙﹛﹝＄（．［｛￡￥&quot;/&gt;&lt;w:noLineBreaksBefore w:lang=&quot;zh-CN&quot; w:val=&quot;!%),.:;&amp;gt;?]}¢¨°·ˇˉ―‖’”…‰′″›℃∶、。〃〉》」』】〕〗〞︶︺︾﹀﹄﹚﹜﹞！＂％＇），．：；？］｀｜｝～￠&quot;/&gt;&lt;w:compat&gt;&lt;w:adjustLineHeightInTable/&gt;&lt;w:doNotExpandShiftReturn/&gt;&lt;w:balanceSingleByteDoubleByteWidth/&gt;&lt;w:useFELayout/&gt;&lt;w:spaceForUL/&gt;&lt;w:breakWrappedTables/&gt;&lt;w:dontGrowAutofit/&gt;&lt;w:useFELayout/&gt;&lt;/w:compat&gt;&lt;/w:docPr&gt;&lt;w:body&gt;&lt;wx:sect&gt;&lt;w:p&gt;&lt;m:oMathPara&gt;&lt;m:oMath&gt;&lt;m:r&gt;&lt;m:rPr&gt;&lt;m:sty m:val=&quot;p&quot;/&gt;&lt;/m:rPr&gt;&lt;w:rPr&gt;&lt;w:rFonts w:ascii=&quot;Cambria Math&quot; w:h-ansi=&quot;Cambria Math&quot; w:cs=&quot;Courier New&quot; w:hint=&quot;fareast&quot;/&gt;&lt;w:color w:val=&quot;000000&quot;/&gt;&lt;w:sz w:val=&quot;28&quot;/&gt;&lt;w:sz-cs w:val=&quot;28&quot;/&gt;&lt;/w:rPr&gt;&lt;m:t&gt;计算公式为：&lt;/m:t&gt;&lt;/m:r&gt;&lt;m:r&gt;&lt;m:rPr&gt;&lt;m:sty m:val=&quot;p&quot;/&gt;&lt;/m:rPr&gt;&lt;w:rPr&gt;&lt;w:rFonts w:ascii=&quot;Cambria Math&quot; w:h-ansi=&quot;Cambria Math&quot; w:hint=&quot;default&quot;/&gt;&lt;w:sz w:val=&quot;36&quot;/&gt;&lt;/w:rPr&gt;&lt;m:t&gt;V=&lt;/m:t&gt;&lt;/m:r&gt;&lt;m:nary&gt;&lt;m:naryPr&gt;&lt;m:chr m:val=&quot;∑&quot;/&gt;&lt;m:limLoc m:val=&quot;undOvr&quot;/&gt;&lt;m:ctrlPr&gt;&lt;w:rPr&gt;&lt;w:rFonts w:ascii=&quot;Cambria Math&quot; w:h-ansi=&quot;Cambria Math&quot; w:fareast=&quot;宋体&quot; w:cs=&quot;Times New Roman&quot; w:hint=&quot;default&quot;/&gt;&lt;w:kern w:val=&quot;2&quot;/&gt;&lt;w:sz w:val=&quot;36&quot;/&gt;&lt;w:sz-cs w:val=&quot;22&quot;/&gt;&lt;/w:rPr&gt;&lt;/m:ctrlPr&gt;&lt;/m:naryPr&gt;&lt;m:sub&gt;&lt;m:r&gt;&lt;m:rPr&gt;&lt;m:sty m:val=&quot;p&quot;/&gt;&lt;/m:rPr&gt;&lt;w:rPr&gt;&lt;w:rFonts w:ascii=&quot;Cambria Math&quot; w:h-ansi=&quot;Cambria Math&quot; w:hint=&quot;default&quot;/&gt;&lt;w:sz w:val=&quot;36&quot;/&gt;&lt;/w:rPr&gt;&lt;m:t&gt;i=1&lt;/m:t&gt;&lt;/m:r&gt;&lt;m:ctrlPr&gt;&lt;w:rPr&gt;&lt;w:rFonts w:ascii=&quot;Cambria Math&quot; w:h-ansi=&quot;Cambria Math&quot; w:fareast=&quot;宋体&quot; w:cs=&quot;Times New Roman&quot; w:hint=&quot;default&quot;/&gt;&lt;w:kern w:val=&quot;2&quot;/&gt;&lt;w:sz w:val=&quot;36&quot;/&gt;&lt;w:sz-cs w:val=&quot;22&quot;/&gt;&lt;/w:rPr&gt;&lt;/m:ctrlPr&gt;&lt;/m:sub&gt;&lt;m:sup&gt;&lt;m:r&gt;&lt;m:rPr&gt;&lt;m:sty m:val=&quot;p&quot;/&gt;&lt;/m:rPr&gt;&lt;w:rPr&gt;&lt;w:rFonts w:ascii=&quot;Cambria Math&quot; w:h-ansi=&quot;Cambria Math&quot; w:hint=&quot;default&quot;/&gt;&lt;w:sz w:val=&quot;36&quot;/&gt;&lt;/w:rPr&gt;&lt;m:t&gt;t&lt;/m:t&gt;&lt;/m:r&gt;&lt;m:ctrlPr&gt;&lt;w:rPr&gt;&lt;w:rFonts w:ascii=&quot;Cambria Math&quot; w:h-ansi=&quot;Cambria Math&quot; w:fareast=&quot;宋体&quot; w:cs=&quot;Times New Roman&quot; w:hint=&quot;default&quot;/&gt;&lt;w:kern w:val=&quot;2&quot;/&gt;&lt;w:sz w:val=&quot;36&quot;/&gt;&lt;w:sz-cs w:val=&quot;22&quot;/&gt;&lt;/w:rPr&gt;&lt;/m:ctrlPr&gt;&lt;/m:sup&gt;&lt;m:e&gt;&lt;m:f&gt;&lt;m:fPr&gt;&lt;m:ctrlPr&gt;&lt;w:rPr&gt;&lt;w:rFonts w:ascii=&quot;Cambria Math&quot; w:h-ansi=&quot;Cambria Math&quot; w:fareast=&quot;宋体&quot; w:cs=&quot;Times New Roman&quot; w:hint=&quot;default&quot;/&gt;&lt;w:kern w:val=&quot;2&quot;/&gt;&lt;w:sz w:val=&quot;36&quot;/&gt;&lt;w:sz-cs w:val=&quot;22&quot;/&gt;&lt;/w:rPr&gt;&lt;/m:ctrlPr&gt;&lt;/m:fPr&gt;&lt;m:num&gt;&lt;m:sSub&gt;&lt;m:sSubPr&gt;&lt;m:ctrlPr&gt;&lt;w:rPr&gt;&lt;w:rFonts w:ascii=&quot;Cambria Math&quot; w:h-ansi=&quot;Cambria Math&quot; w:fareast=&quot;宋体&quot; w:cs=&quot;Times New Roman&quot; w:hint=&quot;default&quot;/&gt;&lt;w:kern w:val=&quot;2&quot;/&gt;&lt;w:sz w:val=&quot;36&quot;/&gt;&lt;w:sz-cs w:val=&quot;22&quot;/&gt;&lt;/w:rPr&gt;&lt;/m:ctrlPr&gt;&lt;/m:sSubPr&gt;&lt;m:e&gt;&lt;m:r&gt;&lt;m:rPr&gt;&lt;m:sty m:val=&quot;p&quot;/&gt;&lt;/m:rPr&gt;&lt;w:rPr&gt;&lt;w:rFonts w:ascii=&quot;Cambria Math&quot; w:h-ansi=&quot;Cambria Math&quot; w:hint=&quot;default&quot;/&gt;&lt;w:sz w:val=&quot;36&quot;/&gt;&lt;/w:rPr&gt;&lt;m:t&gt;A&lt;/m:t&gt;&lt;/m:r&gt;&lt;m:ctrlPr&gt;&lt;w:rPr&gt;&lt;w:rFonts w:ascii=&quot;Cambria Math&quot; w:h-ansi=&quot;Cambria Math&quot; w:fareast=&quot;宋体&quot; w:cs=&quot;Times New Roman&quot; w:hint=&quot;default&quot;/&gt;&lt;w:kern w:val=&quot;2&quot;/&gt;&lt;w:sz w:val=&quot;36&quot;/&gt;&lt;w:sz-cs w:val=&quot;22&quot;/&gt;&lt;/w:rPr&gt;&lt;/m:ctrlPr&gt;&lt;/m:e&gt;&lt;m:sub&gt;&lt;m:r&gt;&lt;m:rPr&gt;&lt;m:sty m:val=&quot;p&quot;/&gt;&lt;/m:rPr&gt;&lt;w:rPr&gt;&lt;w:rFonts w:ascii=&quot;Cambria Math&quot; w:h-ansi=&quot;Cambria Math&quot; w:hint=&quot;default&quot;/&gt;&lt;w:sz w:val=&quot;36&quot;/&gt;&lt;/w:rPr&gt;&lt;m:t&gt;i&lt;/m:t&gt;&lt;/m:r&gt;&lt;m:ctrlPr&gt;&lt;w:rPr&gt;&lt;w:rFonts w:ascii=&quot;Cambria Math&quot; w:h-ansi=&quot;Cambria Math&quot; w:fareast=&quot;宋体&quot; w:cs=&quot;Times New Roman&quot; w:hint=&quot;default&quot;/&gt;&lt;w:kern w:val=&quot;2&quot;/&gt;&lt;w:sz w:val=&quot;36&quot;/&gt;&lt;w:sz-cs w:val=&quot;22&quot;/&gt;&lt;/w:rPr&gt;&lt;/m:ctrlPr&gt;&lt;/m:sub&gt;&lt;/m:sSub&gt;&lt;m:ctrlPr&gt;&lt;w:rPr&gt;&lt;w:rFonts w:ascii=&quot;Cambria Math&quot; w:h-ansi=&quot;Cambria Math&quot; w:fareast=&quot;宋体&quot; w:cs=&quot;Times New Roman&quot; w:hint=&quot;default&quot;/&gt;&lt;w:kern w:val=&quot;2&quot;/&gt;&lt;w:sz w:val=&quot;36&quot;/&gt;&lt;w:sz-cs w:val=&quot;22&quot;/&gt;&lt;/w:rPr&gt;&lt;/m:ctrlPr&gt;&lt;/m:num&gt;&lt;m:den&gt;&lt;m:sSup&gt;&lt;m:sSupPr&gt;&lt;m:ctrlPr&gt;&lt;w:rPr&gt;&lt;w:rFonts w:ascii=&quot;Cambria Math&quot; w:h-ansi=&quot;Cambria Math&quot; w:fareast=&quot;宋体&quot; w:cs=&quot;Times New Roman&quot; w:hint=&quot;default&quot;/&gt;&lt;w:kern w:val=&quot;2&quot;/&gt;&lt;w:sz w:val=&quot;36&quot;/&gt;&lt;w:sz-cs w:val=&quot;22&quot;/&gt;&lt;/w:rPr&gt;&lt;/m:ctrlPr&gt;&lt;/m:sSupPr&gt;&lt;m:e&gt;&lt;m:r&gt;&lt;m:rPr&gt;&lt;m:sty m:val=&quot;p&quot;/&gt;&lt;/m:rPr&gt;&lt;w:rPr&gt;&lt;w:rFonts w:ascii=&quot;Cambria Math&quot; w:h-ansi=&quot;Cambria Math&quot; w:hint=&quot;default&quot;/&gt;&lt;w:sz w:val=&quot;36&quot;/&gt;&lt;/w:rPr&gt;&lt;m:t&gt;(1+&lt;/m:t&gt;&lt;/m:r&gt;&lt;m:sSub&gt;&lt;m:sSubPr&gt;&lt;m:ctrlPr&gt;&lt;w:rPr&gt;&lt;w:rFonts w:ascii=&quot;Cambria Math&quot; w:h-ansi=&quot;Cambria Math&quot; w:fareast=&quot;宋体&quot; w:cs=&quot;Times New Roman&quot; w:hint=&quot;default&quot;/&gt;&lt;w:kern w:val=&quot;2&quot;/&gt;&lt;w:sz w:val=&quot;36&quot;/&gt;&lt;w:sz-cs w:val=&quot;22&quot;/&gt;&lt;/w:rPr&gt;&lt;/m:ctrlPr&gt;&lt;/m:sSubPr&gt;&lt;m:e&gt;&lt;m:r&gt;&lt;m:rPr&gt;&lt;m:sty m:val=&quot;p&quot;/&gt;&lt;/m:rPr&gt;&lt;w:rPr&gt;&lt;w:rFonts w:ascii=&quot;Cambria Math&quot; w:h-ansi=&quot;Cambria Math&quot; w:hint=&quot;default&quot;/&gt;&lt;w:sz w:val=&quot;36&quot;/&gt;&lt;/w:rPr&gt;&lt;m:t&gt;Y&lt;/m:t&gt;&lt;/m:r&gt;&lt;m:ctrlPr&gt;&lt;w:rPr&gt;&lt;w:rFonts w:ascii=&quot;Cambria Math&quot; w:h-ansi=&quot;Cambria Math&quot; w:fareast=&quot;宋体&quot; w:cs=&quot;Times New Roman&quot; w:hint=&quot;default&quot;/&gt;&lt;w:kern w:val=&quot;2&quot;/&gt;&lt;w:sz w:val=&quot;36&quot;/&gt;&lt;w:sz-cs w:val=&quot;22&quot;/&gt;&lt;/w:rPr&gt;&lt;/m:ctrlPr&gt;&lt;/m:e&gt;&lt;m:sub&gt;&lt;m:r&gt;&lt;m:rPr&gt;&lt;m:sty m:val=&quot;p&quot;/&gt;&lt;/m:rPr&gt;&lt;w:rPr&gt;&lt;w:rFonts w:ascii=&quot;Cambria Math&quot; w:h-ansi=&quot;Cambria Math&quot; w:hint=&quot;default&quot;/&gt;&lt;w:sz w:val=&quot;36&quot;/&gt;&lt;/w:rPr&gt;&lt;m:t&gt;i&lt;/m:t&gt;&lt;/m:r&gt;&lt;m:ctrlPr&gt;&lt;w:rPr&gt;&lt;w:rFonts w:ascii=&quot;Cambria Math&quot; w:h-ansi=&quot;Cambria Math&quot; w:fareast=&quot;宋体&quot; w:cs=&quot;Times New Roman&quot; w:hint=&quot;default&quot;/&gt;&lt;w:kern w:val=&quot;2&quot;/&gt;&lt;w:sz w:val=&quot;36&quot;/&gt;&lt;w:sz-cs w:val=&quot;22&quot;/&gt;&lt;/w:rPr&gt;&lt;/m:ctrlPr&gt;&lt;/m:sub&gt;&lt;/m:sSub&gt;&lt;m:r&gt;&lt;m:rPr&gt;&lt;m:sty m:val=&quot;p&quot;/&gt;&lt;/m:rPr&gt;&lt;w:rPr&gt;&lt;w:rFonts w:ascii=&quot;Cambria Math&quot; w:h-ansi=&quot;Cambria Math&quot; w:hint=&quot;default&quot;/&gt;&lt;w:sz w:val=&quot;36&quot;/&gt;&lt;/w:rPr&gt;&lt;m:t&gt;)&lt;/m:t&gt;&lt;/m:r&gt;&lt;m:ctrlPr&gt;&lt;w:rPr&gt;&lt;w:rFonts w:ascii=&quot;Cambria Math&quot; w:h-ansi=&quot;Cambria Math&quot; w:fareast=&quot;宋体&quot; w:cs=&quot;Times New Roman&quot; w:hint=&quot;default&quot;/&gt;&lt;w:kern w:val=&quot;2&quot;/&gt;&lt;w:sz w:val=&quot;36&quot;/&gt;&lt;w:sz-cs w:val=&quot;22&quot;/&gt;&lt;/w:rPr&gt;&lt;/m:ctrlPr&gt;&lt;/m:e&gt;&lt;m:sup&gt;&lt;m:r&gt;&lt;m:rPr&gt;&lt;m:sty m:val=&quot;p&quot;/&gt;&lt;/m:rPr&gt;&lt;w:rPr&gt;&lt;w:rFonts w:ascii=&quot;Cambria Math&quot; w:h-ansi=&quot;Cambria Math&quot; w:hint=&quot;default&quot;/&gt;&lt;w:sz w:val=&quot;36&quot;/&gt;&lt;/w:rPr&gt;&lt;m:t&gt;i&lt;/m:t&gt;&lt;/m:r&gt;&lt;m:ctrlPr&gt;&lt;w:rPr&gt;&lt;w:rFonts w:ascii=&quot;Cambria Math&quot; w:h-ansi=&quot;Cambria Math&quot; w:fareast=&quot;宋体&quot; w:cs=&quot;Times New Roman&quot; w:hint=&quot;default&quot;/&gt;&lt;w:kern w:val=&quot;2&quot;/&gt;&lt;w:sz w:val=&quot;36&quot;/&gt;&lt;w:sz-cs w:val=&quot;22&quot;/&gt;&lt;/w:rPr&gt;&lt;/m:ctrlPr&gt;&lt;/m:sup&gt;&lt;/m:sSup&gt;&lt;m:ctrlPr&gt;&lt;w:rPr&gt;&lt;w:rFonts w:ascii=&quot;Cambria Math&quot; w:h-ansi=&quot;Cambria Math&quot; w:fareast=&quot;宋体&quot; w:cs=&quot;Times New Roman&quot; w:hint=&quot;default&quot;/&gt;&lt;w:kern w:val=&quot;2&quot;/&gt;&lt;w:sz w:val=&quot;36&quot;/&gt;&lt;w:sz-cs w:val=&quot;22&quot;/&gt;&lt;/w:rPr&gt;&lt;/m:ctrlPr&gt;&lt;/m:den&gt;&lt;/m:f&gt;&lt;m:ctrlPr&gt;&lt;w:rPr&gt;&lt;w:rFonts w:ascii=&quot;Cambria Math&quot; w:h-ansi=&quot;Cambria Math&quot; w:fareast=&quot;宋体&quot; w:cs=&quot;Times New Roman&quot; w:hint=&quot;default&quot;/&gt;&lt;w:kern w:val=&quot;2&quot;/&gt;&lt;w:sz w:val=&quot;36&quot;/&gt;&lt;w:sz-cs w:val=&quot;22&quot;/&gt;&lt;/w:rPr&gt;&lt;/m:ctrlPr&gt;&lt;/m:e&gt;&lt;/m:nary&gt;&lt;m:r&gt;&lt;m:rPr&gt;&lt;m:sty m:val=&quot;p&quot;/&gt;&lt;/m:rPr&gt;&lt;w:rPr&gt;&lt;w:rFonts w:ascii=&quot;Cambria Math&quot; w:h-ansi=&quot;Cambria Math&quot; w:hint=&quot;default&quot;/&gt;&lt;w:sz w:val=&quot;36&quot;/&gt;&lt;/w:rPr&gt;&lt;m:t&gt;+&lt;/m:t&gt;&lt;/m:r&gt;&lt;m:f&gt;&lt;m:fPr&gt;&lt;m:ctrlPr&gt;&lt;w:rPr&gt;&lt;w:rFonts w:ascii=&quot;Cambria Math&quot; w:h-ansi=&quot;Cambria Math&quot; w:fareast=&quot;宋体&quot; w:cs=&quot;Times New Roman&quot; w:hint=&quot;default&quot;/&gt;&lt;w:kern w:val=&quot;2&quot;/&gt;&lt;w:sz w:val=&quot;36&quot;/&gt;&lt;w:sz-cs w:val=&quot;22&quot;/&gt;&lt;/w:rPr&gt;&lt;/m:ctrlPr&gt;&lt;/m:fPr&gt;&lt;m:num&gt;&lt;m:sSub&gt;&lt;m:sSubPr&gt;&lt;m:ctrlPr&gt;&lt;w:rPr&gt;&lt;w:rFonts w:ascii=&quot;Cambria Math&quot; w:h-ansi=&quot;Cambria Math&quot; w:fareast=&quot;宋体&quot; w:cs=&quot;Times New Roman&quot; w:hint=&quot;default&quot;/&gt;&lt;w:kern w:val=&quot;2&quot;/&gt;&lt;w:sz w:val=&quot;36&quot;/&gt;&lt;w:sz-cs w:val=&quot;22&quot;/&gt;&lt;/w:rPr&gt;&lt;/m:ctrlPr&gt;&lt;/m:sSubPr&gt;&lt;m:e&gt;&lt;m:r&gt;&lt;m:rPr&gt;&lt;m:sty m:val=&quot;p&quot;/&gt;&lt;/m:rPr&gt;&lt;w:rPr&gt;&lt;w:rFonts w:ascii=&quot;Cambria Math&quot; w:h-ansi=&quot;Cambria Math&quot; w:hint=&quot;fareast&quot;/&gt;&lt;w:sz w:val=&quot;36&quot;/&gt;&lt;/w:rPr&gt;&lt;m:t&gt;V&lt;/m:t&gt;&lt;/m:r&gt;&lt;m:ctrlPr&gt;&lt;w:rPr&gt;&lt;w:rFonts w:ascii=&quot;Cambria Math&quot; w:h-ansi=&quot;Cambria Math&quot; w:fareast=&quot;宋体&quot; w:cs=&quot;Times New Roman&quot; w:hint=&quot;default&quot;/&gt;&lt;w:kern w:val=&quot;2&quot;/&gt;&lt;w:sz w:val=&quot;36&quot;/&gt;&lt;w:sz-cs w:val=&quot;22&quot;/&gt;&lt;/w:rPr&gt;&lt;/m:ctrlPr&gt;&lt;/m:e&gt;&lt;m:sub&gt;&lt;m:r&gt;&lt;m:rPr&gt;&lt;m:sty m:val=&quot;p&quot;/&gt;&lt;/m:rPr&gt;&lt;w:rPr&gt;&lt;w:rFonts w:ascii=&quot;Cambria Math&quot; w:h-ansi=&quot;Cambria Math&quot; w:hint=&quot;default&quot;/&gt;&lt;w:sz w:val=&quot;36&quot;/&gt;&lt;/w:rPr&gt;&lt;m:t&gt;t&lt;/m:t&gt;&lt;/m:r&gt;&lt;m:ctrlPr&gt;&lt;w:rPr&gt;&lt;w:rFonts w:ascii=&quot;Cambria Math&quot; w:h-ansi=&quot;Cambria Math&quot; w:fareast=&quot;宋体&quot; w:cs=&quot;Times New Roman&quot; w:hint=&quot;default&quot;/&gt;&lt;w:kern w:val=&quot;2&quot;/&gt;&lt;w:sz w:val=&quot;36&quot;/&gt;&lt;w:sz-cs w:val=&quot;22&quot;/&gt;&lt;/w:rPr&gt;&lt;/m:ctrlPr&gt;&lt;/m:sub&gt;&lt;/m:sSub&gt;&lt;m:ctrlPr&gt;&lt;w:rPr&gt;&lt;w:rFonts w:ascii=&quot;Cambria Math&quot; w:h-ansi=&quot;Cambria Math&quot; w:fareast=&quot;宋体&quot; w:cs=&quot;Times New Roman&quot; w:hint=&quot;default&quot;/&gt;&lt;w:kern w:val=&quot;2&quot;/&gt;&lt;w:sz w:val=&quot;36&quot;/&gt;&lt;w:sz-cs w:val=&quot;22&quot;/&gt;&lt;/w:rPr&gt;&lt;/m:ctrlPr&gt;&lt;/m:num&gt;&lt;m:den&gt;&lt;m:sSup&gt;&lt;m:sSupPr&gt;&lt;m:ctrlPr&gt;&lt;w:rPr&gt;&lt;w:rFonts w:ascii=&quot;Cambria Math&quot; w:h-ansi=&quot;Cambria Math&quot; w:fareast=&quot;宋体&quot; w:cs=&quot;Times New Roman&quot; w:hint=&quot;default&quot;/&gt;&lt;w:kern w:val=&quot;2&quot;/&gt;&lt;w:sz w:val=&quot;36&quot;/&gt;&lt;w:sz-cs w:val=&quot;22&quot;/&gt;&lt;/w:rPr&gt;&lt;/m:ctrlPr&gt;&lt;/m:sSupPr&gt;&lt;m:e&gt;&lt;m:r&gt;&lt;m:rPr&gt;&lt;m:sty m:val=&quot;p&quot;/&gt;&lt;/m:rPr&gt;&lt;w:rPr&gt;&lt;w:rFonts w:ascii=&quot;Cambria Math&quot; w:h-ansi=&quot;Cambria Math&quot; w:hint=&quot;default&quot;/&gt;&lt;w:sz w:val=&quot;36&quot;/&gt;&lt;/w:rPr&gt;&lt;m:t&gt;(1+&lt;/m:t&gt;&lt;/m:r&gt;&lt;m:sSub&gt;&lt;m:sSubPr&gt;&lt;m:ctrlPr&gt;&lt;w:rPr&gt;&lt;w:rFonts w:ascii=&quot;Cambria Math&quot; w:h-ansi=&quot;Cambria Math&quot; w:fareast=&quot;宋体&quot; w:cs=&quot;Times New Roman&quot; w:hint=&quot;default&quot;/&gt;&lt;w:kern w:val=&quot;2&quot;/&gt;&lt;w:sz w:val=&quot;36&quot;/&gt;&lt;w:sz-cs w:val=&quot;22&quot;/&gt;&lt;/w:rPr&gt;&lt;/m:ctrlPr&gt;&lt;/m:sSubPr&gt;&lt;m:e&gt;&lt;m:r&gt;&lt;m:rPr&gt;&lt;m:sty m:val=&quot;p&quot;/&gt;&lt;/m:rPr&gt;&lt;w:rPr&gt;&lt;w:rFonts w:ascii=&quot;Cambria Math&quot; w:h-ansi=&quot;Cambria Math&quot; w:hint=&quot;default&quot;/&gt;&lt;w:sz w:val=&quot;36&quot;/&gt;&lt;/w:rPr&gt;&lt;m:t&gt;Y&lt;/m:t&gt;&lt;/m:r&gt;&lt;m:ctrlPr&gt;&lt;w:rPr&gt;&lt;w:rFonts w:ascii=&quot;Cambria Math&quot; w:h-ansi=&quot;Cambria Math&quot; w:fareast=&quot;宋体&quot; w:cs=&quot;Times New Roman&quot; w:hint=&quot;default&quot;/&gt;&lt;w:kern w:val=&quot;2&quot;/&gt;&lt;w:sz w:val=&quot;36&quot;/&gt;&lt;w:sz-cs w:val=&quot;22&quot;/&gt;&lt;/w:rPr&gt;&lt;/m:ctrlPr&gt;&lt;/m:e&gt;&lt;m:sub&gt;&lt;m:r&gt;&lt;m:rPr&gt;&lt;m:sty m:val=&quot;p&quot;/&gt;&lt;/m:rPr&gt;&lt;w:rPr&gt;&lt;w:rFonts w:ascii=&quot;Cambria Math&quot; w:h-ansi=&quot;Cambria Math&quot; w:hint=&quot;default&quot;/&gt;&lt;w:sz w:val=&quot;36&quot;/&gt;&lt;/w:rPr&gt;&lt;m:t&gt;t&lt;/m:t&gt;&lt;/m:r&gt;&lt;m:ctrlPr&gt;&lt;w:rPr&gt;&lt;w:rFonts w:ascii=&quot;Cambria Math&quot; w:h-ansi=&quot;Cambria Math&quot; w:fareast=&quot;宋体&quot; w:cs=&quot;Times New Roman&quot; w:hint=&quot;default&quot;/&gt;&lt;w:kern w:val=&quot;2&quot;/&gt;&lt;w:sz w:val=&quot;36&quot;/&gt;&lt;w:sz-cs w:val=&quot;22&quot;/&gt;&lt;/w:rPr&gt;&lt;/m:ctrlPr&gt;&lt;/m:sub&gt;&lt;/m:sSub&gt;&lt;m:r&gt;&lt;m:rPr&gt;&lt;m:sty m:val=&quot;p&quot;/&gt;&lt;/m:rPr&gt;&lt;w:rPr&gt;&lt;w:rFonts w:ascii=&quot;Cambria Math&quot; w:h-ansi=&quot;Cambria Math&quot; w:hint=&quot;default&quot;/&gt;&lt;w:sz w:val=&quot;36&quot;/&gt;&lt;/w:rPr&gt;&lt;m:t&gt;)&lt;/m:t&gt;&lt;/m:r&gt;&lt;m:ctrlPr&gt;&lt;w:rPr&gt;&lt;w:rFonts w:ascii=&quot;Cambria Math&quot; w:h-ansi=&quot;Cambria Math&quot; w:fareast=&quot;宋体&quot; w:cs=&quot;Times New Roman&quot; w:hint=&quot;default&quot;/&gt;&lt;w:kern w:val=&quot;2&quot;/&gt;&lt;w:sz w:val=&quot;36&quot;/&gt;&lt;w:sz-cs w:val=&quot;22&quot;/&gt;&lt;/w:rPr&gt;&lt;/m:ctrlPr&gt;&lt;/m:e&gt;&lt;m:sup&gt;&lt;m:r&gt;&lt;m:rPr&gt;&lt;m:sty m:val=&quot;p&quot;/&gt;&lt;/m:rPr&gt;&lt;w:rPr&gt;&lt;w:rFonts w:ascii=&quot;Cambria Math&quot; w:h-ansi=&quot;Cambria Math&quot; w:hint=&quot;default&quot;/&gt;&lt;w:sz w:val=&quot;36&quot;/&gt;&lt;/w:rPr&gt;&lt;m:t&gt;t&lt;/m:t&gt;&lt;/m:r&gt;&lt;m:ctrlPr&gt;&lt;w:rPr&gt;&lt;w:rFonts w:ascii=&quot;Cambria Math&quot; w:h-ansi=&quot;Cambria Math&quot; w:fareast=&quot;宋体&quot; w:cs=&quot;Times New Roman&quot; w:hint=&quot;default&quot;/&gt;&lt;w:kern w:val=&quot;2&quot;/&gt;&lt;w:sz w:val=&quot;36&quot;/&gt;&lt;w:sz-cs w:val=&quot;22&quot;/&gt;&lt;/w:rPr&gt;&lt;/m:ctrlPr&gt;&lt;/m:sup&gt;&lt;/m:sSup&gt;&lt;m:ctrlPr&gt;&lt;w:rPr&gt;&lt;w:rFonts w:ascii=&quot;Cambria Math&quot; w:h-ansi=&quot;Cambria Math&quot; w:fareast=&quot;宋体&quot; w:cs=&quot;Times New Roman&quot; w:hint=&quot;default&quot;/&gt;&lt;w:kern w:val=&quot;2&quot;/&gt;&lt;w:sz w:val=&quot;36&quot;/&gt;&lt;w:sz-cs w:val=&quot;22&quot;/&gt;&lt;/w:rPr&gt;&lt;/m:ctrlPr&gt;&lt;/m:den&gt;&lt;/m:f&gt;&lt;/m:oMath&gt;&lt;/m:oMathPara&gt;&lt;/w:p&gt;&lt;/wx:sect&gt;&lt;/w:body&gt;&lt;/w:wordDocument&gt;">
            <v:path/>
            <v:fill on="f" focussize="0,0"/>
            <v:stroke on="f"/>
            <v:imagedata r:id="rId15" o:title=""/>
            <o:lock v:ext="edit" aspectratio="f"/>
            <w10:wrap type="none"/>
            <w10:anchorlock/>
          </v:shape>
        </w:pict>
      </w:r>
      <w:r>
        <w:rPr>
          <w:rFonts w:hint="eastAsia" w:ascii="宋体" w:hAnsi="宋体" w:eastAsia="宋体" w:cs="宋体"/>
          <w:sz w:val="28"/>
          <w:szCs w:val="28"/>
        </w:rPr>
        <w:t xml:space="preserve"> </w:t>
      </w:r>
    </w:p>
    <w:p>
      <w:pPr>
        <w:spacing w:line="520" w:lineRule="exact"/>
        <w:ind w:firstLine="560" w:firstLineChars="200"/>
        <w:rPr>
          <w:rFonts w:ascii="宋体" w:hAnsi="宋体" w:cs="Courier New"/>
          <w:sz w:val="28"/>
          <w:szCs w:val="28"/>
        </w:rPr>
      </w:pPr>
      <w:r>
        <w:rPr>
          <w:rFonts w:hint="eastAsia" w:ascii="宋体" w:hAnsi="宋体" w:cs="Courier New"/>
          <w:sz w:val="28"/>
          <w:szCs w:val="28"/>
        </w:rPr>
        <w:t>上式中：V—收益价值(元或元/m</w:t>
      </w:r>
      <w:r>
        <w:rPr>
          <w:rFonts w:hint="eastAsia" w:ascii="宋体" w:hAnsi="宋体" w:cs="Courier New"/>
          <w:sz w:val="28"/>
          <w:szCs w:val="28"/>
          <w:vertAlign w:val="superscript"/>
        </w:rPr>
        <w:t>2</w:t>
      </w:r>
      <w:r>
        <w:rPr>
          <w:rFonts w:hint="eastAsia" w:ascii="宋体" w:hAnsi="宋体" w:cs="Courier New"/>
          <w:sz w:val="28"/>
          <w:szCs w:val="28"/>
        </w:rPr>
        <w:t>)；</w:t>
      </w:r>
    </w:p>
    <w:p>
      <w:pPr>
        <w:widowControl/>
        <w:spacing w:line="520" w:lineRule="exact"/>
        <w:jc w:val="left"/>
        <w:rPr>
          <w:rFonts w:ascii="宋体" w:hAnsi="宋体" w:cs="Courier New"/>
          <w:sz w:val="28"/>
          <w:szCs w:val="28"/>
        </w:rPr>
      </w:pPr>
      <w:r>
        <w:rPr>
          <w:rFonts w:hint="eastAsia" w:ascii="宋体" w:hAnsi="宋体" w:cs="Courier New"/>
          <w:sz w:val="28"/>
          <w:szCs w:val="28"/>
        </w:rPr>
        <w:t>        A</w:t>
      </w:r>
      <w:r>
        <w:rPr>
          <w:rFonts w:hint="eastAsia" w:ascii="宋体" w:hAnsi="宋体" w:cs="Courier New"/>
          <w:sz w:val="28"/>
          <w:szCs w:val="28"/>
          <w:vertAlign w:val="subscript"/>
        </w:rPr>
        <w:t>i</w:t>
      </w:r>
      <w:r>
        <w:rPr>
          <w:rFonts w:hint="eastAsia" w:ascii="宋体" w:hAnsi="宋体" w:cs="Courier New"/>
          <w:sz w:val="28"/>
          <w:szCs w:val="28"/>
        </w:rPr>
        <w:t>—期间收益(元或元/m</w:t>
      </w:r>
      <w:r>
        <w:rPr>
          <w:rFonts w:hint="eastAsia" w:ascii="宋体" w:hAnsi="宋体" w:cs="Courier New"/>
          <w:sz w:val="28"/>
          <w:szCs w:val="28"/>
          <w:vertAlign w:val="superscript"/>
        </w:rPr>
        <w:t>2</w:t>
      </w:r>
      <w:r>
        <w:rPr>
          <w:rFonts w:hint="eastAsia" w:ascii="宋体" w:hAnsi="宋体" w:cs="Courier New"/>
          <w:sz w:val="28"/>
          <w:szCs w:val="28"/>
        </w:rPr>
        <w:t>)；</w:t>
      </w:r>
    </w:p>
    <w:p>
      <w:pPr>
        <w:widowControl/>
        <w:spacing w:line="520" w:lineRule="exact"/>
        <w:ind w:firstLine="1685" w:firstLineChars="602"/>
        <w:jc w:val="left"/>
        <w:rPr>
          <w:rFonts w:ascii="宋体" w:hAnsi="宋体" w:cs="Courier New"/>
          <w:sz w:val="28"/>
          <w:szCs w:val="28"/>
        </w:rPr>
      </w:pPr>
      <w:r>
        <w:rPr>
          <w:rFonts w:hint="eastAsia" w:ascii="宋体" w:hAnsi="宋体" w:cs="Courier New"/>
          <w:sz w:val="28"/>
          <w:szCs w:val="28"/>
        </w:rPr>
        <w:t>Y</w:t>
      </w:r>
      <w:r>
        <w:rPr>
          <w:rFonts w:hint="eastAsia" w:ascii="宋体" w:hAnsi="宋体" w:cs="Courier New"/>
          <w:sz w:val="28"/>
          <w:szCs w:val="28"/>
          <w:vertAlign w:val="subscript"/>
        </w:rPr>
        <w:t>i</w:t>
      </w:r>
      <w:r>
        <w:rPr>
          <w:rFonts w:hint="eastAsia" w:ascii="宋体" w:hAnsi="宋体" w:cs="Courier New"/>
          <w:sz w:val="28"/>
          <w:szCs w:val="28"/>
        </w:rPr>
        <w:t>—未来第i年的报酬率（%）；</w:t>
      </w:r>
    </w:p>
    <w:p>
      <w:pPr>
        <w:widowControl/>
        <w:spacing w:line="520" w:lineRule="exact"/>
        <w:ind w:firstLine="1685" w:firstLineChars="602"/>
        <w:jc w:val="left"/>
        <w:rPr>
          <w:rFonts w:ascii="宋体" w:hAnsi="宋体" w:cs="Courier New"/>
          <w:sz w:val="28"/>
          <w:szCs w:val="28"/>
        </w:rPr>
      </w:pPr>
      <w:r>
        <w:rPr>
          <w:rFonts w:hint="eastAsia" w:ascii="宋体" w:hAnsi="宋体" w:cs="Courier New"/>
          <w:sz w:val="28"/>
          <w:szCs w:val="28"/>
        </w:rPr>
        <w:t>Y</w:t>
      </w:r>
      <w:r>
        <w:rPr>
          <w:rFonts w:hint="eastAsia" w:ascii="宋体" w:hAnsi="宋体" w:cs="Courier New"/>
          <w:sz w:val="28"/>
          <w:szCs w:val="28"/>
          <w:vertAlign w:val="subscript"/>
        </w:rPr>
        <w:t>t</w:t>
      </w:r>
      <w:r>
        <w:rPr>
          <w:rFonts w:hint="eastAsia" w:ascii="宋体" w:hAnsi="宋体" w:cs="Courier New"/>
          <w:sz w:val="28"/>
          <w:szCs w:val="28"/>
        </w:rPr>
        <w:t>—期末报酬率（%）；</w:t>
      </w:r>
    </w:p>
    <w:p>
      <w:pPr>
        <w:widowControl/>
        <w:spacing w:line="520" w:lineRule="exact"/>
        <w:ind w:firstLine="1685" w:firstLineChars="602"/>
        <w:jc w:val="left"/>
        <w:rPr>
          <w:rFonts w:ascii="宋体" w:hAnsi="宋体" w:cs="Courier New"/>
          <w:sz w:val="28"/>
          <w:szCs w:val="28"/>
        </w:rPr>
      </w:pPr>
      <w:r>
        <w:rPr>
          <w:rFonts w:hint="eastAsia" w:ascii="宋体" w:hAnsi="宋体" w:cs="Courier New"/>
          <w:sz w:val="28"/>
          <w:szCs w:val="28"/>
        </w:rPr>
        <w:t>V</w:t>
      </w:r>
      <w:r>
        <w:rPr>
          <w:rFonts w:hint="eastAsia" w:ascii="宋体" w:hAnsi="宋体" w:cs="Courier New"/>
          <w:sz w:val="28"/>
          <w:szCs w:val="28"/>
          <w:vertAlign w:val="subscript"/>
        </w:rPr>
        <w:t>t</w:t>
      </w:r>
      <w:r>
        <w:rPr>
          <w:rFonts w:hint="eastAsia" w:ascii="宋体" w:hAnsi="宋体" w:cs="Courier New"/>
          <w:sz w:val="28"/>
          <w:szCs w:val="28"/>
        </w:rPr>
        <w:t xml:space="preserve">—期末转售收益； </w:t>
      </w:r>
    </w:p>
    <w:p>
      <w:pPr>
        <w:widowControl/>
        <w:spacing w:line="520" w:lineRule="exact"/>
        <w:jc w:val="left"/>
        <w:rPr>
          <w:rFonts w:ascii="宋体" w:hAnsi="宋体" w:cs="Courier New"/>
          <w:sz w:val="28"/>
          <w:szCs w:val="28"/>
        </w:rPr>
      </w:pPr>
      <w:r>
        <w:rPr>
          <w:rFonts w:hint="eastAsia" w:ascii="宋体" w:hAnsi="宋体" w:cs="Courier New"/>
          <w:sz w:val="28"/>
          <w:szCs w:val="28"/>
        </w:rPr>
        <w:t>          t—持有期（年）。</w:t>
      </w:r>
    </w:p>
    <w:p>
      <w:pPr>
        <w:pStyle w:val="10"/>
        <w:spacing w:line="520" w:lineRule="exact"/>
        <w:ind w:firstLine="424" w:firstLineChars="151"/>
        <w:textAlignment w:val="center"/>
        <w:rPr>
          <w:rFonts w:hint="eastAsia" w:ascii="宋体" w:hAnsi="宋体" w:eastAsia="宋体" w:cs="宋体"/>
          <w:b/>
          <w:sz w:val="28"/>
        </w:rPr>
      </w:pPr>
      <w:r>
        <w:rPr>
          <w:rFonts w:hint="eastAsia" w:ascii="宋体" w:hAnsi="宋体" w:eastAsia="宋体" w:cs="宋体"/>
          <w:b/>
          <w:sz w:val="28"/>
        </w:rPr>
        <w:t>（三）估价结果的确定</w:t>
      </w:r>
    </w:p>
    <w:p>
      <w:pPr>
        <w:adjustRightInd w:val="0"/>
        <w:snapToGrid w:val="0"/>
        <w:spacing w:line="520" w:lineRule="exact"/>
        <w:ind w:firstLine="560" w:firstLineChars="200"/>
        <w:rPr>
          <w:rFonts w:hint="eastAsia" w:ascii="宋体" w:hAnsi="宋体" w:eastAsia="宋体" w:cs="宋体"/>
          <w:sz w:val="28"/>
        </w:rPr>
      </w:pPr>
      <w:bookmarkStart w:id="121" w:name="_Toc311622316"/>
      <w:r>
        <w:rPr>
          <w:rFonts w:hint="eastAsia" w:ascii="宋体" w:hAnsi="宋体" w:eastAsia="宋体" w:cs="宋体"/>
          <w:sz w:val="28"/>
        </w:rPr>
        <w:t>通过比较法和收益法评估估价对象市场价值，两种评估方法的估价结果</w:t>
      </w:r>
      <w:r>
        <w:rPr>
          <w:rFonts w:hint="eastAsia" w:ascii="宋体" w:hAnsi="宋体" w:cs="宋体"/>
          <w:sz w:val="28"/>
          <w:lang w:val="en-US" w:eastAsia="zh-CN"/>
        </w:rPr>
        <w:t>差异较小</w:t>
      </w:r>
      <w:r>
        <w:rPr>
          <w:rFonts w:hint="eastAsia" w:ascii="宋体" w:hAnsi="宋体" w:eastAsia="宋体" w:cs="宋体"/>
          <w:sz w:val="28"/>
        </w:rPr>
        <w:t>。综合分析后，</w:t>
      </w:r>
      <w:bookmarkEnd w:id="121"/>
      <w:r>
        <w:rPr>
          <w:rFonts w:hint="eastAsia" w:ascii="宋体" w:hAnsi="宋体" w:eastAsia="宋体" w:cs="宋体"/>
          <w:sz w:val="28"/>
        </w:rPr>
        <w:t>采用</w:t>
      </w:r>
      <w:r>
        <w:rPr>
          <w:rFonts w:hint="eastAsia" w:ascii="宋体" w:hAnsi="宋体" w:cs="宋体"/>
          <w:sz w:val="28"/>
          <w:lang w:val="en-US" w:eastAsia="zh-CN"/>
        </w:rPr>
        <w:t>简单平均值</w:t>
      </w:r>
      <w:r>
        <w:rPr>
          <w:rFonts w:hint="eastAsia" w:ascii="宋体" w:hAnsi="宋体" w:eastAsia="宋体" w:cs="宋体"/>
          <w:sz w:val="28"/>
        </w:rPr>
        <w:t>确定最终估价结果。</w:t>
      </w:r>
    </w:p>
    <w:p>
      <w:pPr>
        <w:pStyle w:val="3"/>
        <w:keepNext w:val="0"/>
        <w:keepLines w:val="0"/>
        <w:spacing w:line="560" w:lineRule="exact"/>
        <w:rPr>
          <w:rFonts w:hint="eastAsia" w:ascii="宋体" w:hAnsi="宋体" w:eastAsia="宋体" w:cs="宋体"/>
          <w:sz w:val="28"/>
          <w:szCs w:val="28"/>
        </w:rPr>
      </w:pPr>
      <w:bookmarkStart w:id="122" w:name="_Toc36192970"/>
      <w:bookmarkStart w:id="123" w:name="_Toc36195296"/>
      <w:bookmarkStart w:id="124" w:name="_Toc36195186"/>
      <w:bookmarkStart w:id="125" w:name="_Toc2905"/>
      <w:r>
        <w:rPr>
          <w:rFonts w:hint="eastAsia" w:ascii="宋体" w:hAnsi="宋体" w:eastAsia="宋体" w:cs="宋体"/>
          <w:sz w:val="28"/>
          <w:szCs w:val="28"/>
        </w:rPr>
        <w:t>十、估价结果</w:t>
      </w:r>
      <w:bookmarkEnd w:id="120"/>
      <w:bookmarkEnd w:id="122"/>
      <w:bookmarkEnd w:id="123"/>
      <w:bookmarkEnd w:id="124"/>
      <w:bookmarkEnd w:id="125"/>
    </w:p>
    <w:p>
      <w:pPr>
        <w:adjustRightInd w:val="0"/>
        <w:snapToGrid w:val="0"/>
        <w:spacing w:line="520" w:lineRule="exact"/>
        <w:ind w:firstLine="424" w:firstLineChars="151"/>
        <w:rPr>
          <w:rFonts w:hint="eastAsia" w:ascii="宋体" w:hAnsi="宋体" w:eastAsia="宋体" w:cs="宋体"/>
          <w:b/>
          <w:sz w:val="28"/>
        </w:rPr>
      </w:pPr>
      <w:r>
        <w:rPr>
          <w:rFonts w:hint="eastAsia" w:ascii="宋体" w:hAnsi="宋体" w:eastAsia="宋体" w:cs="宋体"/>
          <w:b/>
          <w:sz w:val="28"/>
        </w:rPr>
        <w:t>（一）估价结果</w:t>
      </w:r>
    </w:p>
    <w:p>
      <w:pPr>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rPr>
        <w:t>估价人员根据估价目的，按照估价程序，遵循估价原则，采用科学的估价方法，在认真分析现有资料的基础上，经过周密测算并对各种影响房地产价格的因素进行了分析，最后确定估价对象在价值时点</w:t>
      </w:r>
      <w:r>
        <w:rPr>
          <w:rFonts w:hint="eastAsia" w:ascii="宋体" w:hAnsi="宋体" w:cs="宋体"/>
          <w:sz w:val="28"/>
          <w:lang w:eastAsia="zh-CN"/>
        </w:rPr>
        <w:t>2022年</w:t>
      </w:r>
      <w:r>
        <w:rPr>
          <w:rFonts w:hint="eastAsia" w:ascii="宋体" w:hAnsi="宋体" w:cs="宋体"/>
          <w:sz w:val="28"/>
          <w:lang w:val="en-US" w:eastAsia="zh-CN"/>
        </w:rPr>
        <w:t>8</w:t>
      </w:r>
      <w:r>
        <w:rPr>
          <w:rFonts w:hint="eastAsia" w:ascii="宋体" w:hAnsi="宋体" w:cs="宋体"/>
          <w:sz w:val="28"/>
          <w:lang w:eastAsia="zh-CN"/>
        </w:rPr>
        <w:t>月</w:t>
      </w:r>
      <w:r>
        <w:rPr>
          <w:rFonts w:hint="eastAsia" w:ascii="宋体" w:hAnsi="宋体" w:cs="宋体"/>
          <w:sz w:val="28"/>
          <w:lang w:val="en-US" w:eastAsia="zh-CN"/>
        </w:rPr>
        <w:t>1</w:t>
      </w:r>
      <w:r>
        <w:rPr>
          <w:rFonts w:hint="eastAsia" w:ascii="宋体" w:hAnsi="宋体" w:cs="宋体"/>
          <w:sz w:val="28"/>
          <w:lang w:eastAsia="zh-CN"/>
        </w:rPr>
        <w:t>日</w:t>
      </w:r>
      <w:r>
        <w:rPr>
          <w:rFonts w:hint="eastAsia" w:ascii="宋体" w:hAnsi="宋体" w:eastAsia="宋体" w:cs="宋体"/>
          <w:sz w:val="28"/>
        </w:rPr>
        <w:t>的评估结果为：</w:t>
      </w:r>
      <w:r>
        <w:rPr>
          <w:rFonts w:hint="eastAsia" w:ascii="宋体" w:hAnsi="宋体" w:eastAsia="宋体" w:cs="宋体"/>
          <w:sz w:val="28"/>
          <w:szCs w:val="28"/>
        </w:rPr>
        <w:t>评估总价为</w:t>
      </w:r>
      <w:r>
        <w:rPr>
          <w:rFonts w:hint="eastAsia" w:ascii="宋体" w:hAnsi="宋体" w:cs="宋体"/>
          <w:sz w:val="28"/>
          <w:szCs w:val="28"/>
          <w:lang w:val="en-US" w:eastAsia="zh-CN"/>
        </w:rPr>
        <w:t>¥440,840.00</w:t>
      </w:r>
      <w:r>
        <w:rPr>
          <w:rFonts w:hint="eastAsia" w:ascii="宋体" w:hAnsi="宋体" w:eastAsia="宋体" w:cs="宋体"/>
          <w:sz w:val="28"/>
          <w:szCs w:val="28"/>
        </w:rPr>
        <w:t>元</w:t>
      </w:r>
      <w:r>
        <w:rPr>
          <w:rFonts w:hint="eastAsia" w:ascii="宋体" w:hAnsi="宋体" w:cs="宋体"/>
          <w:sz w:val="28"/>
          <w:szCs w:val="28"/>
          <w:lang w:eastAsia="zh-CN"/>
        </w:rPr>
        <w:t>（取整）</w:t>
      </w:r>
      <w:r>
        <w:rPr>
          <w:rFonts w:hint="eastAsia" w:ascii="宋体" w:hAnsi="宋体" w:eastAsia="宋体" w:cs="宋体"/>
          <w:sz w:val="28"/>
          <w:szCs w:val="28"/>
        </w:rPr>
        <w:t>（人民币大写：</w:t>
      </w:r>
      <w:r>
        <w:rPr>
          <w:rFonts w:hint="eastAsia" w:ascii="宋体" w:hAnsi="宋体" w:cs="宋体"/>
          <w:sz w:val="28"/>
          <w:szCs w:val="28"/>
          <w:lang w:eastAsia="zh-CN"/>
        </w:rPr>
        <w:t>肆拾肆万零捌佰肆拾元整</w:t>
      </w:r>
      <w:r>
        <w:rPr>
          <w:rFonts w:hint="eastAsia" w:ascii="宋体" w:hAnsi="宋体" w:eastAsia="宋体" w:cs="宋体"/>
          <w:sz w:val="28"/>
          <w:szCs w:val="28"/>
        </w:rPr>
        <w:t>），单价为</w:t>
      </w:r>
      <w:r>
        <w:rPr>
          <w:rFonts w:hint="eastAsia" w:ascii="宋体" w:hAnsi="宋体" w:cs="宋体"/>
          <w:sz w:val="28"/>
          <w:szCs w:val="28"/>
          <w:lang w:val="en-US" w:eastAsia="zh-CN"/>
        </w:rPr>
        <w:t>5110</w:t>
      </w:r>
      <w:r>
        <w:rPr>
          <w:rFonts w:hint="eastAsia" w:ascii="宋体" w:hAnsi="宋体" w:eastAsia="宋体" w:cs="宋体"/>
          <w:sz w:val="28"/>
          <w:szCs w:val="28"/>
        </w:rPr>
        <w:t>元/平方米。</w:t>
      </w:r>
    </w:p>
    <w:p>
      <w:pPr>
        <w:keepNext w:val="0"/>
        <w:keepLines w:val="0"/>
        <w:pageBreakBefore w:val="0"/>
        <w:widowControl w:val="0"/>
        <w:kinsoku/>
        <w:wordWrap/>
        <w:overflowPunct/>
        <w:topLinePunct w:val="0"/>
        <w:autoSpaceDE/>
        <w:autoSpaceDN/>
        <w:bidi w:val="0"/>
        <w:adjustRightInd w:val="0"/>
        <w:snapToGrid w:val="0"/>
        <w:spacing w:line="560" w:lineRule="atLeast"/>
        <w:ind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rPr>
        <w:t>（二）估价结果内涵</w:t>
      </w:r>
    </w:p>
    <w:p>
      <w:pPr>
        <w:keepNext w:val="0"/>
        <w:keepLines w:val="0"/>
        <w:pageBreakBefore w:val="0"/>
        <w:widowControl w:val="0"/>
        <w:kinsoku/>
        <w:wordWrap/>
        <w:overflowPunct/>
        <w:topLinePunct w:val="0"/>
        <w:autoSpaceDE/>
        <w:autoSpaceDN/>
        <w:bidi w:val="0"/>
        <w:adjustRightInd w:val="0"/>
        <w:snapToGrid w:val="0"/>
        <w:spacing w:line="56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本估价结果是估价对象在价值时点实际状态下、满足估价假设及限制条件的市场价值。估价结果包括建筑物、配套设施、内部装饰装修及分摊的国有土地使用权价值。</w:t>
      </w:r>
    </w:p>
    <w:p>
      <w:pPr>
        <w:keepNext w:val="0"/>
        <w:keepLines w:val="0"/>
        <w:pageBreakBefore w:val="0"/>
        <w:widowControl w:val="0"/>
        <w:kinsoku/>
        <w:wordWrap/>
        <w:overflowPunct/>
        <w:topLinePunct w:val="0"/>
        <w:autoSpaceDE/>
        <w:autoSpaceDN/>
        <w:bidi w:val="0"/>
        <w:adjustRightInd w:val="0"/>
        <w:snapToGrid w:val="0"/>
        <w:spacing w:line="560" w:lineRule="atLeast"/>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atLeast"/>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atLeast"/>
        <w:ind w:firstLine="560" w:firstLineChars="200"/>
        <w:textAlignment w:val="auto"/>
        <w:rPr>
          <w:rFonts w:hint="eastAsia" w:ascii="宋体" w:hAnsi="宋体" w:eastAsia="宋体" w:cs="宋体"/>
          <w:sz w:val="28"/>
          <w:szCs w:val="28"/>
        </w:rPr>
      </w:pPr>
    </w:p>
    <w:p>
      <w:pPr>
        <w:pStyle w:val="3"/>
        <w:keepNext w:val="0"/>
        <w:keepLines w:val="0"/>
        <w:spacing w:line="560" w:lineRule="exact"/>
        <w:rPr>
          <w:rFonts w:hint="eastAsia" w:ascii="宋体" w:hAnsi="宋体" w:eastAsia="宋体" w:cs="宋体"/>
          <w:sz w:val="28"/>
          <w:szCs w:val="28"/>
        </w:rPr>
      </w:pPr>
      <w:bookmarkStart w:id="126" w:name="_Toc36195187"/>
      <w:bookmarkStart w:id="127" w:name="_Toc36192971"/>
      <w:bookmarkStart w:id="128" w:name="_Toc381365448"/>
      <w:bookmarkStart w:id="129" w:name="_Toc36195297"/>
      <w:bookmarkStart w:id="130" w:name="_Toc22153"/>
      <w:r>
        <w:rPr>
          <w:rFonts w:hint="eastAsia" w:ascii="宋体" w:hAnsi="宋体" w:eastAsia="宋体" w:cs="宋体"/>
          <w:sz w:val="28"/>
          <w:szCs w:val="28"/>
          <w:lang w:eastAsia="zh-CN"/>
        </w:rPr>
        <w:t>十一、注册</w:t>
      </w:r>
      <w:r>
        <w:rPr>
          <w:rFonts w:hint="eastAsia" w:ascii="宋体" w:hAnsi="宋体" w:eastAsia="宋体" w:cs="宋体"/>
          <w:sz w:val="28"/>
          <w:szCs w:val="28"/>
        </w:rPr>
        <w:t>房地产估价师</w:t>
      </w:r>
      <w:bookmarkEnd w:id="126"/>
      <w:bookmarkEnd w:id="127"/>
      <w:bookmarkEnd w:id="128"/>
      <w:bookmarkEnd w:id="129"/>
      <w:bookmarkEnd w:id="130"/>
    </w:p>
    <w:p>
      <w:pPr>
        <w:spacing w:line="360" w:lineRule="auto"/>
        <w:ind w:firstLine="2800" w:firstLineChars="1000"/>
        <w:rPr>
          <w:rFonts w:ascii="宋体" w:cs="Times New Roman"/>
        </w:rPr>
      </w:pPr>
      <w:r>
        <w:rPr>
          <w:rFonts w:hint="eastAsia" w:ascii="宋体" w:hAnsi="宋体" w:cs="宋体"/>
          <w:sz w:val="28"/>
          <w:szCs w:val="28"/>
        </w:rPr>
        <w:t>参加估价的注册房地产估价师</w:t>
      </w:r>
      <w:r>
        <w:rPr>
          <w:rFonts w:ascii="宋体" w:hAnsi="宋体" w:cs="宋体"/>
          <w:sz w:val="28"/>
          <w:szCs w:val="28"/>
        </w:rPr>
        <w:t xml:space="preserve"> </w:t>
      </w:r>
    </w:p>
    <w:tbl>
      <w:tblPr>
        <w:tblStyle w:val="25"/>
        <w:tblW w:w="900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800"/>
        <w:gridCol w:w="270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440" w:type="dxa"/>
            <w:vAlign w:val="center"/>
          </w:tcPr>
          <w:p>
            <w:pPr>
              <w:spacing w:line="580" w:lineRule="exact"/>
              <w:ind w:firstLine="280" w:firstLineChars="100"/>
              <w:rPr>
                <w:rFonts w:ascii="宋体" w:cs="Times New Roman"/>
                <w:sz w:val="28"/>
                <w:szCs w:val="28"/>
              </w:rPr>
            </w:pPr>
            <w:r>
              <w:rPr>
                <w:rFonts w:hint="eastAsia" w:ascii="宋体" w:hAnsi="宋体" w:cs="宋体"/>
                <w:sz w:val="28"/>
                <w:szCs w:val="28"/>
              </w:rPr>
              <w:t>姓</w:t>
            </w:r>
            <w:r>
              <w:rPr>
                <w:rFonts w:ascii="宋体" w:hAnsi="宋体" w:cs="宋体"/>
                <w:sz w:val="28"/>
                <w:szCs w:val="28"/>
              </w:rPr>
              <w:t xml:space="preserve">  </w:t>
            </w:r>
            <w:r>
              <w:rPr>
                <w:rFonts w:hint="eastAsia" w:ascii="宋体" w:hAnsi="宋体" w:cs="宋体"/>
                <w:sz w:val="28"/>
                <w:szCs w:val="28"/>
              </w:rPr>
              <w:t>名</w:t>
            </w:r>
          </w:p>
        </w:tc>
        <w:tc>
          <w:tcPr>
            <w:tcW w:w="1800" w:type="dxa"/>
            <w:vAlign w:val="center"/>
          </w:tcPr>
          <w:p>
            <w:pPr>
              <w:spacing w:line="580" w:lineRule="exact"/>
              <w:ind w:firstLine="420" w:firstLineChars="150"/>
              <w:rPr>
                <w:rFonts w:ascii="宋体" w:cs="Times New Roman"/>
                <w:sz w:val="28"/>
                <w:szCs w:val="28"/>
              </w:rPr>
            </w:pPr>
            <w:r>
              <w:rPr>
                <w:rFonts w:hint="eastAsia" w:ascii="宋体" w:hAnsi="宋体" w:cs="宋体"/>
                <w:sz w:val="28"/>
                <w:szCs w:val="28"/>
              </w:rPr>
              <w:t>注册号</w:t>
            </w:r>
          </w:p>
        </w:tc>
        <w:tc>
          <w:tcPr>
            <w:tcW w:w="2700" w:type="dxa"/>
            <w:vAlign w:val="center"/>
          </w:tcPr>
          <w:p>
            <w:pPr>
              <w:spacing w:line="580" w:lineRule="exact"/>
              <w:ind w:firstLine="840" w:firstLineChars="300"/>
              <w:rPr>
                <w:rFonts w:ascii="宋体" w:cs="Times New Roman"/>
                <w:sz w:val="28"/>
                <w:szCs w:val="28"/>
              </w:rPr>
            </w:pPr>
            <w:r>
              <w:rPr>
                <w:rFonts w:hint="eastAsia" w:ascii="宋体" w:hAnsi="宋体" w:cs="宋体"/>
                <w:sz w:val="28"/>
                <w:szCs w:val="28"/>
              </w:rPr>
              <w:t>签</w:t>
            </w:r>
            <w:r>
              <w:rPr>
                <w:rFonts w:ascii="宋体" w:hAnsi="宋体" w:cs="宋体"/>
                <w:sz w:val="28"/>
                <w:szCs w:val="28"/>
              </w:rPr>
              <w:t xml:space="preserve">  </w:t>
            </w:r>
            <w:r>
              <w:rPr>
                <w:rFonts w:hint="eastAsia" w:ascii="宋体" w:hAnsi="宋体" w:cs="宋体"/>
                <w:sz w:val="28"/>
                <w:szCs w:val="28"/>
              </w:rPr>
              <w:t>名</w:t>
            </w:r>
          </w:p>
        </w:tc>
        <w:tc>
          <w:tcPr>
            <w:tcW w:w="3060" w:type="dxa"/>
            <w:vAlign w:val="center"/>
          </w:tcPr>
          <w:p>
            <w:pPr>
              <w:spacing w:line="580" w:lineRule="exact"/>
              <w:ind w:firstLine="980" w:firstLineChars="350"/>
              <w:rPr>
                <w:rFonts w:ascii="宋体" w:cs="Times New Roman"/>
                <w:sz w:val="28"/>
                <w:szCs w:val="28"/>
              </w:rPr>
            </w:pPr>
            <w:r>
              <w:rPr>
                <w:rFonts w:hint="eastAsia" w:ascii="宋体" w:hAnsi="宋体" w:cs="宋体"/>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1440" w:type="dxa"/>
            <w:vAlign w:val="center"/>
          </w:tcPr>
          <w:p>
            <w:pPr>
              <w:spacing w:line="580" w:lineRule="exact"/>
              <w:jc w:val="center"/>
              <w:rPr>
                <w:rFonts w:ascii="宋体" w:cs="Times New Roman"/>
                <w:sz w:val="28"/>
                <w:szCs w:val="28"/>
              </w:rPr>
            </w:pPr>
            <w:r>
              <w:rPr>
                <w:rFonts w:hint="eastAsia" w:ascii="宋体" w:hAnsi="宋体" w:cs="宋体"/>
                <w:sz w:val="28"/>
                <w:szCs w:val="28"/>
              </w:rPr>
              <w:t>朱玉峰</w:t>
            </w:r>
          </w:p>
        </w:tc>
        <w:tc>
          <w:tcPr>
            <w:tcW w:w="1800" w:type="dxa"/>
            <w:vAlign w:val="center"/>
          </w:tcPr>
          <w:p>
            <w:pPr>
              <w:pStyle w:val="53"/>
              <w:widowControl w:val="0"/>
              <w:spacing w:line="480" w:lineRule="auto"/>
              <w:jc w:val="center"/>
              <w:rPr>
                <w:rFonts w:ascii="宋体" w:hAnsi="宋体" w:cs="宋体"/>
                <w:sz w:val="28"/>
                <w:szCs w:val="28"/>
              </w:rPr>
            </w:pPr>
            <w:r>
              <w:rPr>
                <w:rFonts w:ascii="宋体" w:hAnsi="宋体" w:cs="宋体"/>
                <w:sz w:val="28"/>
                <w:szCs w:val="28"/>
              </w:rPr>
              <w:t>2120060152</w:t>
            </w:r>
          </w:p>
        </w:tc>
        <w:tc>
          <w:tcPr>
            <w:tcW w:w="2700" w:type="dxa"/>
            <w:vAlign w:val="center"/>
          </w:tcPr>
          <w:p>
            <w:pPr>
              <w:spacing w:line="580" w:lineRule="exact"/>
              <w:jc w:val="center"/>
              <w:rPr>
                <w:rFonts w:ascii="宋体" w:cs="Times New Roman"/>
                <w:sz w:val="28"/>
                <w:szCs w:val="28"/>
              </w:rPr>
            </w:pPr>
          </w:p>
        </w:tc>
        <w:tc>
          <w:tcPr>
            <w:tcW w:w="3060" w:type="dxa"/>
            <w:vAlign w:val="center"/>
          </w:tcPr>
          <w:p>
            <w:pPr>
              <w:spacing w:line="580" w:lineRule="exact"/>
              <w:ind w:firstLine="280" w:firstLineChars="100"/>
              <w:rPr>
                <w:rFonts w:hint="eastAsia" w:ascii="宋体" w:eastAsia="宋体" w:cs="Times New Roman"/>
                <w:sz w:val="28"/>
                <w:szCs w:val="28"/>
                <w:lang w:eastAsia="zh-CN"/>
              </w:rPr>
            </w:pPr>
            <w:r>
              <w:rPr>
                <w:rFonts w:hint="eastAsia" w:ascii="宋体" w:hAnsi="宋体" w:cs="宋体"/>
                <w:sz w:val="28"/>
                <w:szCs w:val="28"/>
                <w:lang w:eastAsia="zh-CN"/>
              </w:rPr>
              <w:t>2022年</w:t>
            </w:r>
            <w:r>
              <w:rPr>
                <w:rFonts w:hint="eastAsia" w:ascii="宋体" w:hAnsi="宋体" w:cs="宋体"/>
                <w:sz w:val="28"/>
                <w:szCs w:val="28"/>
                <w:lang w:val="en-US" w:eastAsia="zh-CN"/>
              </w:rPr>
              <w:t>8</w:t>
            </w:r>
            <w:r>
              <w:rPr>
                <w:rFonts w:hint="eastAsia" w:ascii="宋体" w:hAnsi="宋体" w:cs="宋体"/>
                <w:sz w:val="28"/>
                <w:szCs w:val="28"/>
                <w:lang w:eastAsia="zh-CN"/>
              </w:rPr>
              <w:t>月</w:t>
            </w:r>
            <w:r>
              <w:rPr>
                <w:rFonts w:hint="eastAsia" w:ascii="宋体" w:hAnsi="宋体" w:cs="宋体"/>
                <w:sz w:val="28"/>
                <w:szCs w:val="28"/>
                <w:lang w:val="en-US" w:eastAsia="zh-CN"/>
              </w:rPr>
              <w:t>8</w:t>
            </w:r>
            <w:r>
              <w:rPr>
                <w:rFonts w:hint="eastAsia" w:ascii="宋体" w:hAnsi="宋体" w:cs="宋体"/>
                <w:sz w:val="28"/>
                <w:szCs w:val="28"/>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440" w:type="dxa"/>
            <w:vAlign w:val="center"/>
          </w:tcPr>
          <w:p>
            <w:pPr>
              <w:spacing w:line="580" w:lineRule="exact"/>
              <w:jc w:val="center"/>
              <w:rPr>
                <w:rFonts w:ascii="宋体" w:cs="Times New Roman"/>
                <w:sz w:val="28"/>
                <w:szCs w:val="28"/>
              </w:rPr>
            </w:pPr>
            <w:r>
              <w:rPr>
                <w:rFonts w:hint="eastAsia" w:ascii="宋体" w:hAnsi="宋体" w:cs="宋体"/>
                <w:sz w:val="28"/>
                <w:szCs w:val="28"/>
              </w:rPr>
              <w:t>孟庆艳</w:t>
            </w:r>
          </w:p>
        </w:tc>
        <w:tc>
          <w:tcPr>
            <w:tcW w:w="1800" w:type="dxa"/>
            <w:vAlign w:val="center"/>
          </w:tcPr>
          <w:p>
            <w:pPr>
              <w:pStyle w:val="53"/>
              <w:widowControl w:val="0"/>
              <w:spacing w:line="480" w:lineRule="auto"/>
              <w:ind w:left="0"/>
              <w:jc w:val="center"/>
              <w:rPr>
                <w:rFonts w:ascii="宋体" w:cs="Times New Roman"/>
                <w:sz w:val="28"/>
                <w:szCs w:val="28"/>
              </w:rPr>
            </w:pPr>
            <w:r>
              <w:rPr>
                <w:rFonts w:ascii="宋体" w:hAnsi="宋体" w:cs="宋体"/>
                <w:sz w:val="28"/>
                <w:szCs w:val="28"/>
              </w:rPr>
              <w:t>2120090066</w:t>
            </w:r>
          </w:p>
        </w:tc>
        <w:tc>
          <w:tcPr>
            <w:tcW w:w="2700" w:type="dxa"/>
            <w:vAlign w:val="center"/>
          </w:tcPr>
          <w:p>
            <w:pPr>
              <w:spacing w:line="580" w:lineRule="exact"/>
              <w:jc w:val="center"/>
              <w:rPr>
                <w:rFonts w:ascii="宋体" w:cs="Times New Roman"/>
                <w:sz w:val="28"/>
                <w:szCs w:val="28"/>
              </w:rPr>
            </w:pPr>
          </w:p>
        </w:tc>
        <w:tc>
          <w:tcPr>
            <w:tcW w:w="3060" w:type="dxa"/>
            <w:vAlign w:val="center"/>
          </w:tcPr>
          <w:p>
            <w:pPr>
              <w:spacing w:line="580" w:lineRule="exact"/>
              <w:ind w:firstLine="280" w:firstLineChars="100"/>
              <w:jc w:val="both"/>
              <w:rPr>
                <w:rFonts w:hint="eastAsia" w:ascii="宋体" w:eastAsia="宋体" w:cs="Times New Roman"/>
                <w:sz w:val="28"/>
                <w:szCs w:val="28"/>
                <w:lang w:eastAsia="zh-CN"/>
              </w:rPr>
            </w:pPr>
            <w:r>
              <w:rPr>
                <w:rFonts w:hint="eastAsia" w:ascii="宋体" w:hAnsi="宋体" w:cs="宋体"/>
                <w:sz w:val="28"/>
                <w:szCs w:val="28"/>
                <w:lang w:eastAsia="zh-CN"/>
              </w:rPr>
              <w:t>2022年</w:t>
            </w:r>
            <w:r>
              <w:rPr>
                <w:rFonts w:hint="eastAsia" w:ascii="宋体" w:hAnsi="宋体" w:cs="宋体"/>
                <w:sz w:val="28"/>
                <w:szCs w:val="28"/>
                <w:lang w:val="en-US" w:eastAsia="zh-CN"/>
              </w:rPr>
              <w:t>8</w:t>
            </w:r>
            <w:r>
              <w:rPr>
                <w:rFonts w:hint="eastAsia" w:ascii="宋体" w:hAnsi="宋体" w:cs="宋体"/>
                <w:sz w:val="28"/>
                <w:szCs w:val="28"/>
                <w:lang w:eastAsia="zh-CN"/>
              </w:rPr>
              <w:t>月</w:t>
            </w:r>
            <w:r>
              <w:rPr>
                <w:rFonts w:hint="eastAsia" w:ascii="宋体" w:hAnsi="宋体" w:cs="宋体"/>
                <w:sz w:val="28"/>
                <w:szCs w:val="28"/>
                <w:lang w:val="en-US" w:eastAsia="zh-CN"/>
              </w:rPr>
              <w:t>8</w:t>
            </w:r>
            <w:r>
              <w:rPr>
                <w:rFonts w:hint="eastAsia" w:ascii="宋体" w:hAnsi="宋体" w:cs="宋体"/>
                <w:sz w:val="28"/>
                <w:szCs w:val="28"/>
                <w:lang w:eastAsia="zh-CN"/>
              </w:rPr>
              <w:t>日</w:t>
            </w:r>
          </w:p>
        </w:tc>
      </w:tr>
    </w:tbl>
    <w:p>
      <w:pPr>
        <w:pStyle w:val="3"/>
        <w:keepNext w:val="0"/>
        <w:keepLines w:val="0"/>
        <w:spacing w:line="560" w:lineRule="exact"/>
        <w:rPr>
          <w:rFonts w:hint="eastAsia" w:ascii="宋体" w:hAnsi="宋体" w:eastAsia="宋体" w:cs="宋体"/>
          <w:sz w:val="28"/>
          <w:szCs w:val="28"/>
          <w:lang w:eastAsia="zh-CN"/>
        </w:rPr>
      </w:pPr>
      <w:bookmarkStart w:id="131" w:name="_Toc381365449"/>
      <w:bookmarkStart w:id="132" w:name="_Toc36195188"/>
      <w:bookmarkStart w:id="133" w:name="_Toc36195298"/>
      <w:bookmarkStart w:id="134" w:name="_Toc36192972"/>
      <w:bookmarkStart w:id="135" w:name="_Toc1009"/>
      <w:r>
        <w:rPr>
          <w:rFonts w:hint="eastAsia" w:ascii="宋体" w:hAnsi="宋体" w:eastAsia="宋体" w:cs="宋体"/>
          <w:sz w:val="28"/>
          <w:szCs w:val="28"/>
          <w:lang w:eastAsia="zh-CN"/>
        </w:rPr>
        <w:t>十二、实地查勘期</w:t>
      </w:r>
      <w:bookmarkEnd w:id="131"/>
      <w:bookmarkEnd w:id="132"/>
      <w:bookmarkEnd w:id="133"/>
      <w:bookmarkEnd w:id="134"/>
      <w:bookmarkEnd w:id="135"/>
    </w:p>
    <w:p>
      <w:pPr>
        <w:keepNext w:val="0"/>
        <w:keepLines w:val="0"/>
        <w:pageBreakBefore w:val="0"/>
        <w:widowControl w:val="0"/>
        <w:kinsoku/>
        <w:wordWrap/>
        <w:overflowPunct/>
        <w:topLinePunct w:val="0"/>
        <w:autoSpaceDE/>
        <w:autoSpaceDN/>
        <w:bidi w:val="0"/>
        <w:adjustRightInd w:val="0"/>
        <w:snapToGrid w:val="0"/>
        <w:spacing w:line="560" w:lineRule="atLeas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2022年</w:t>
      </w:r>
      <w:r>
        <w:rPr>
          <w:rFonts w:hint="eastAsia" w:ascii="宋体" w:hAnsi="宋体" w:cs="宋体"/>
          <w:sz w:val="28"/>
          <w:szCs w:val="28"/>
          <w:lang w:val="en-US" w:eastAsia="zh-CN"/>
        </w:rPr>
        <w:t>8</w:t>
      </w:r>
      <w:r>
        <w:rPr>
          <w:rFonts w:hint="eastAsia" w:ascii="宋体" w:hAnsi="宋体" w:cs="宋体"/>
          <w:sz w:val="28"/>
          <w:szCs w:val="28"/>
          <w:lang w:eastAsia="zh-CN"/>
        </w:rPr>
        <w:t>月</w:t>
      </w:r>
      <w:r>
        <w:rPr>
          <w:rFonts w:hint="eastAsia" w:ascii="宋体" w:hAnsi="宋体" w:cs="宋体"/>
          <w:sz w:val="28"/>
          <w:szCs w:val="28"/>
          <w:lang w:val="en-US" w:eastAsia="zh-CN"/>
        </w:rPr>
        <w:t>1</w:t>
      </w:r>
      <w:r>
        <w:rPr>
          <w:rFonts w:hint="eastAsia" w:ascii="宋体" w:hAnsi="宋体" w:cs="宋体"/>
          <w:sz w:val="28"/>
          <w:szCs w:val="28"/>
          <w:lang w:eastAsia="zh-CN"/>
        </w:rPr>
        <w:t>日</w:t>
      </w:r>
      <w:r>
        <w:rPr>
          <w:rFonts w:hint="eastAsia" w:ascii="宋体" w:hAnsi="宋体" w:cs="宋体"/>
          <w:sz w:val="28"/>
          <w:szCs w:val="28"/>
          <w:lang w:val="en-US" w:eastAsia="zh-CN"/>
        </w:rPr>
        <w:t>到2022年8月1日</w:t>
      </w:r>
      <w:r>
        <w:rPr>
          <w:rFonts w:hint="eastAsia" w:ascii="宋体" w:hAnsi="宋体" w:eastAsia="宋体" w:cs="宋体"/>
          <w:sz w:val="28"/>
          <w:szCs w:val="28"/>
        </w:rPr>
        <w:t>。</w:t>
      </w:r>
    </w:p>
    <w:p>
      <w:pPr>
        <w:pStyle w:val="3"/>
        <w:keepNext w:val="0"/>
        <w:keepLines w:val="0"/>
        <w:spacing w:line="560" w:lineRule="exact"/>
        <w:rPr>
          <w:rFonts w:hint="eastAsia" w:ascii="宋体" w:hAnsi="宋体" w:eastAsia="宋体" w:cs="宋体"/>
          <w:sz w:val="28"/>
          <w:szCs w:val="28"/>
          <w:lang w:eastAsia="zh-CN"/>
        </w:rPr>
      </w:pPr>
      <w:bookmarkStart w:id="136" w:name="_Toc381365450"/>
      <w:bookmarkStart w:id="137" w:name="_Toc36195299"/>
      <w:bookmarkStart w:id="138" w:name="_Toc36195189"/>
      <w:bookmarkStart w:id="139" w:name="_Toc36192973"/>
      <w:bookmarkStart w:id="140" w:name="_Toc28676"/>
      <w:r>
        <w:rPr>
          <w:rFonts w:hint="eastAsia" w:ascii="宋体" w:hAnsi="宋体" w:eastAsia="宋体" w:cs="宋体"/>
          <w:sz w:val="28"/>
          <w:szCs w:val="28"/>
          <w:lang w:eastAsia="zh-CN"/>
        </w:rPr>
        <w:t>十三、估价作业期</w:t>
      </w:r>
      <w:bookmarkEnd w:id="136"/>
      <w:bookmarkEnd w:id="137"/>
      <w:bookmarkEnd w:id="138"/>
      <w:bookmarkEnd w:id="139"/>
      <w:bookmarkEnd w:id="140"/>
    </w:p>
    <w:p>
      <w:pPr>
        <w:keepNext w:val="0"/>
        <w:keepLines w:val="0"/>
        <w:pageBreakBefore w:val="0"/>
        <w:widowControl w:val="0"/>
        <w:kinsoku/>
        <w:wordWrap/>
        <w:overflowPunct/>
        <w:topLinePunct w:val="0"/>
        <w:autoSpaceDE/>
        <w:autoSpaceDN/>
        <w:bidi w:val="0"/>
        <w:adjustRightInd w:val="0"/>
        <w:snapToGrid w:val="0"/>
        <w:spacing w:line="560" w:lineRule="atLeas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2022年</w:t>
      </w:r>
      <w:r>
        <w:rPr>
          <w:rFonts w:hint="eastAsia" w:ascii="宋体" w:hAnsi="宋体" w:cs="宋体"/>
          <w:sz w:val="28"/>
          <w:szCs w:val="28"/>
          <w:lang w:val="en-US" w:eastAsia="zh-CN"/>
        </w:rPr>
        <w:t>7</w:t>
      </w:r>
      <w:r>
        <w:rPr>
          <w:rFonts w:hint="eastAsia" w:ascii="宋体" w:hAnsi="宋体" w:cs="宋体"/>
          <w:sz w:val="28"/>
          <w:szCs w:val="28"/>
          <w:lang w:eastAsia="zh-CN"/>
        </w:rPr>
        <w:t>月</w:t>
      </w:r>
      <w:r>
        <w:rPr>
          <w:rFonts w:hint="eastAsia" w:ascii="宋体" w:hAnsi="宋体" w:cs="宋体"/>
          <w:sz w:val="28"/>
          <w:szCs w:val="28"/>
          <w:lang w:val="en-US" w:eastAsia="zh-CN"/>
        </w:rPr>
        <w:t>26</w:t>
      </w:r>
      <w:r>
        <w:rPr>
          <w:rFonts w:hint="eastAsia" w:ascii="宋体" w:hAnsi="宋体" w:cs="宋体"/>
          <w:sz w:val="28"/>
          <w:szCs w:val="28"/>
          <w:lang w:eastAsia="zh-CN"/>
        </w:rPr>
        <w:t>日</w:t>
      </w:r>
      <w:r>
        <w:rPr>
          <w:rFonts w:hint="eastAsia" w:ascii="宋体" w:hAnsi="宋体" w:cs="宋体"/>
          <w:sz w:val="28"/>
          <w:szCs w:val="28"/>
          <w:lang w:val="en-US" w:eastAsia="zh-CN"/>
        </w:rPr>
        <w:t>到</w:t>
      </w:r>
      <w:r>
        <w:rPr>
          <w:rFonts w:hint="eastAsia" w:ascii="宋体" w:hAnsi="宋体" w:cs="宋体"/>
          <w:sz w:val="28"/>
          <w:szCs w:val="28"/>
          <w:lang w:eastAsia="zh-CN"/>
        </w:rPr>
        <w:t>2022年</w:t>
      </w:r>
      <w:r>
        <w:rPr>
          <w:rFonts w:hint="eastAsia" w:ascii="宋体" w:hAnsi="宋体" w:cs="宋体"/>
          <w:sz w:val="28"/>
          <w:szCs w:val="28"/>
          <w:lang w:val="en-US" w:eastAsia="zh-CN"/>
        </w:rPr>
        <w:t>8</w:t>
      </w:r>
      <w:r>
        <w:rPr>
          <w:rFonts w:hint="eastAsia" w:ascii="宋体" w:hAnsi="宋体" w:cs="宋体"/>
          <w:sz w:val="28"/>
          <w:szCs w:val="28"/>
          <w:lang w:eastAsia="zh-CN"/>
        </w:rPr>
        <w:t>月</w:t>
      </w:r>
      <w:r>
        <w:rPr>
          <w:rFonts w:hint="eastAsia" w:ascii="宋体" w:hAnsi="宋体" w:cs="宋体"/>
          <w:sz w:val="28"/>
          <w:szCs w:val="28"/>
          <w:lang w:val="en-US" w:eastAsia="zh-CN"/>
        </w:rPr>
        <w:t>8</w:t>
      </w:r>
      <w:r>
        <w:rPr>
          <w:rFonts w:hint="eastAsia" w:ascii="宋体" w:hAnsi="宋体" w:cs="宋体"/>
          <w:sz w:val="28"/>
          <w:szCs w:val="28"/>
          <w:lang w:eastAsia="zh-CN"/>
        </w:rPr>
        <w:t>日</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outlineLvl w:val="0"/>
        <w:rPr>
          <w:rFonts w:hint="eastAsia" w:ascii="宋体" w:hAnsi="宋体" w:cs="Courier New"/>
          <w:b/>
          <w:sz w:val="44"/>
          <w:szCs w:val="44"/>
        </w:rPr>
      </w:pP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outlineLvl w:val="0"/>
        <w:rPr>
          <w:rFonts w:hint="eastAsia" w:ascii="宋体" w:hAnsi="宋体" w:cs="Courier New"/>
          <w:b/>
          <w:sz w:val="44"/>
          <w:szCs w:val="44"/>
        </w:rPr>
      </w:pP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outlineLvl w:val="0"/>
        <w:rPr>
          <w:rFonts w:hint="eastAsia" w:ascii="宋体" w:hAnsi="宋体" w:cs="Courier New"/>
          <w:b/>
          <w:sz w:val="44"/>
          <w:szCs w:val="44"/>
        </w:rPr>
      </w:pP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outlineLvl w:val="0"/>
        <w:rPr>
          <w:rFonts w:hint="eastAsia" w:ascii="宋体" w:hAnsi="宋体" w:cs="Courier New"/>
          <w:b/>
          <w:sz w:val="44"/>
          <w:szCs w:val="44"/>
        </w:rPr>
      </w:pP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outlineLvl w:val="0"/>
        <w:rPr>
          <w:rFonts w:hint="eastAsia" w:ascii="宋体" w:hAnsi="宋体" w:cs="Courier New"/>
          <w:b/>
          <w:sz w:val="44"/>
          <w:szCs w:val="44"/>
        </w:rPr>
      </w:pP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outlineLvl w:val="0"/>
        <w:rPr>
          <w:rFonts w:hint="eastAsia" w:ascii="宋体" w:hAnsi="宋体" w:cs="Courier New"/>
          <w:b/>
          <w:sz w:val="44"/>
          <w:szCs w:val="44"/>
        </w:rPr>
      </w:pP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outlineLvl w:val="0"/>
        <w:rPr>
          <w:rFonts w:hint="eastAsia" w:ascii="宋体" w:hAnsi="宋体" w:cs="Courier New"/>
          <w:b/>
          <w:sz w:val="44"/>
          <w:szCs w:val="44"/>
        </w:rPr>
      </w:pP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outlineLvl w:val="0"/>
        <w:rPr>
          <w:rFonts w:hint="eastAsia" w:ascii="宋体" w:hAnsi="宋体" w:cs="Courier New"/>
          <w:b/>
          <w:sz w:val="44"/>
          <w:szCs w:val="44"/>
        </w:rPr>
      </w:pP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outlineLvl w:val="0"/>
        <w:rPr>
          <w:rFonts w:hint="eastAsia" w:ascii="宋体" w:hAnsi="宋体" w:cs="Courier New"/>
          <w:b/>
          <w:sz w:val="44"/>
          <w:szCs w:val="44"/>
        </w:rPr>
      </w:pPr>
    </w:p>
    <w:p>
      <w:pPr>
        <w:keepNext w:val="0"/>
        <w:keepLines w:val="0"/>
        <w:pageBreakBefore w:val="0"/>
        <w:widowControl w:val="0"/>
        <w:kinsoku/>
        <w:wordWrap/>
        <w:overflowPunct/>
        <w:topLinePunct w:val="0"/>
        <w:autoSpaceDE/>
        <w:autoSpaceDN/>
        <w:bidi w:val="0"/>
        <w:adjustRightInd w:val="0"/>
        <w:snapToGrid/>
        <w:spacing w:line="520" w:lineRule="exact"/>
        <w:jc w:val="both"/>
        <w:textAlignment w:val="auto"/>
        <w:outlineLvl w:val="0"/>
        <w:rPr>
          <w:rFonts w:hint="eastAsia" w:ascii="宋体" w:hAnsi="宋体" w:cs="Courier New"/>
          <w:b/>
          <w:sz w:val="44"/>
          <w:szCs w:val="44"/>
        </w:rPr>
      </w:pPr>
    </w:p>
    <w:bookmarkEnd w:id="1"/>
    <w:p>
      <w:pPr>
        <w:pStyle w:val="2"/>
        <w:keepNext w:val="0"/>
        <w:keepLines w:val="0"/>
        <w:numPr>
          <w:ilvl w:val="0"/>
          <w:numId w:val="0"/>
        </w:numPr>
        <w:jc w:val="center"/>
        <w:rPr>
          <w:rFonts w:cs="Times New Roman"/>
        </w:rPr>
      </w:pPr>
      <w:bookmarkStart w:id="141" w:name="_Toc13805"/>
      <w:bookmarkStart w:id="142" w:name="_Toc11095"/>
      <w:r>
        <w:rPr>
          <w:rFonts w:hint="eastAsia" w:cs="宋体"/>
        </w:rPr>
        <w:t>附</w:t>
      </w:r>
      <w:r>
        <w:t xml:space="preserve">  </w:t>
      </w:r>
      <w:r>
        <w:rPr>
          <w:rFonts w:hint="eastAsia" w:cs="宋体"/>
        </w:rPr>
        <w:t>件</w:t>
      </w:r>
      <w:bookmarkEnd w:id="2"/>
      <w:bookmarkEnd w:id="3"/>
      <w:bookmarkEnd w:id="4"/>
      <w:bookmarkEnd w:id="5"/>
      <w:bookmarkEnd w:id="6"/>
      <w:bookmarkEnd w:id="7"/>
      <w:bookmarkEnd w:id="8"/>
      <w:bookmarkEnd w:id="141"/>
      <w:bookmarkEnd w:id="142"/>
    </w:p>
    <w:p>
      <w:pPr>
        <w:pStyle w:val="3"/>
        <w:keepNext w:val="0"/>
        <w:keepLines w:val="0"/>
        <w:numPr>
          <w:ilvl w:val="0"/>
          <w:numId w:val="0"/>
        </w:numPr>
        <w:tabs>
          <w:tab w:val="left" w:pos="840"/>
        </w:tabs>
        <w:outlineLvl w:val="1"/>
        <w:rPr>
          <w:rFonts w:hint="eastAsia" w:asciiTheme="minorEastAsia" w:hAnsiTheme="minorEastAsia" w:eastAsiaTheme="minorEastAsia" w:cstheme="minorEastAsia"/>
          <w:sz w:val="28"/>
          <w:szCs w:val="28"/>
          <w:lang w:eastAsia="zh-CN"/>
        </w:rPr>
      </w:pPr>
      <w:bookmarkStart w:id="143" w:name="_Toc17349"/>
      <w:bookmarkStart w:id="144" w:name="_Toc9581"/>
      <w:r>
        <w:rPr>
          <w:rFonts w:hint="eastAsia" w:asciiTheme="minorEastAsia" w:hAnsiTheme="minorEastAsia" w:eastAsiaTheme="minorEastAsia" w:cstheme="minorEastAsia"/>
          <w:sz w:val="28"/>
          <w:szCs w:val="28"/>
          <w:lang w:val="en-US" w:eastAsia="zh-CN"/>
        </w:rPr>
        <w:t>一、</w:t>
      </w:r>
      <w:r>
        <w:rPr>
          <w:rFonts w:hint="eastAsia" w:asciiTheme="minorEastAsia" w:hAnsiTheme="minorEastAsia" w:eastAsiaTheme="minorEastAsia" w:cstheme="minorEastAsia"/>
          <w:sz w:val="28"/>
          <w:szCs w:val="28"/>
          <w:lang w:eastAsia="zh-CN"/>
        </w:rPr>
        <w:t>司法鉴定评估委托书复印件；</w:t>
      </w:r>
      <w:bookmarkEnd w:id="143"/>
      <w:bookmarkEnd w:id="144"/>
    </w:p>
    <w:p>
      <w:pPr>
        <w:pStyle w:val="3"/>
        <w:keepNext w:val="0"/>
        <w:keepLines w:val="0"/>
        <w:numPr>
          <w:ilvl w:val="0"/>
          <w:numId w:val="0"/>
        </w:numPr>
        <w:tabs>
          <w:tab w:val="left" w:pos="840"/>
        </w:tabs>
        <w:outlineLvl w:val="1"/>
        <w:rPr>
          <w:rFonts w:hint="eastAsia" w:asciiTheme="minorEastAsia" w:hAnsiTheme="minorEastAsia" w:eastAsiaTheme="minorEastAsia" w:cstheme="minorEastAsia"/>
          <w:sz w:val="28"/>
          <w:szCs w:val="28"/>
        </w:rPr>
      </w:pPr>
      <w:bookmarkStart w:id="145" w:name="_Toc6468"/>
      <w:bookmarkStart w:id="146" w:name="_Toc29420"/>
      <w:r>
        <w:rPr>
          <w:rFonts w:hint="eastAsia" w:asciiTheme="minorEastAsia" w:hAnsiTheme="minorEastAsia" w:eastAsiaTheme="minorEastAsia" w:cstheme="minorEastAsia"/>
          <w:sz w:val="28"/>
          <w:szCs w:val="28"/>
          <w:lang w:val="en-US" w:eastAsia="zh-CN"/>
        </w:rPr>
        <w:t>二</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委估房地产位置图</w:t>
      </w:r>
      <w:r>
        <w:rPr>
          <w:rFonts w:hint="eastAsia" w:asciiTheme="minorEastAsia" w:hAnsiTheme="minorEastAsia" w:eastAsiaTheme="minorEastAsia" w:cstheme="minorEastAsia"/>
          <w:sz w:val="28"/>
          <w:szCs w:val="28"/>
          <w:lang w:eastAsia="zh-CN"/>
        </w:rPr>
        <w:t>复印件</w:t>
      </w:r>
      <w:r>
        <w:rPr>
          <w:rFonts w:hint="eastAsia" w:asciiTheme="minorEastAsia" w:hAnsiTheme="minorEastAsia" w:eastAsiaTheme="minorEastAsia" w:cstheme="minorEastAsia"/>
          <w:sz w:val="28"/>
          <w:szCs w:val="28"/>
        </w:rPr>
        <w:t>；</w:t>
      </w:r>
      <w:bookmarkEnd w:id="145"/>
      <w:bookmarkEnd w:id="146"/>
    </w:p>
    <w:p>
      <w:pPr>
        <w:pStyle w:val="3"/>
        <w:keepNext w:val="0"/>
        <w:keepLines w:val="0"/>
        <w:outlineLvl w:val="1"/>
        <w:rPr>
          <w:rFonts w:hint="eastAsia" w:asciiTheme="minorEastAsia" w:hAnsiTheme="minorEastAsia" w:eastAsiaTheme="minorEastAsia" w:cstheme="minorEastAsia"/>
          <w:sz w:val="28"/>
          <w:szCs w:val="28"/>
        </w:rPr>
      </w:pPr>
      <w:bookmarkStart w:id="147" w:name="_Toc27941"/>
      <w:bookmarkStart w:id="148" w:name="_Toc22361"/>
      <w:r>
        <w:rPr>
          <w:rFonts w:hint="eastAsia" w:asciiTheme="minorEastAsia" w:hAnsiTheme="minorEastAsia" w:eastAsiaTheme="minorEastAsia" w:cstheme="minorEastAsia"/>
          <w:sz w:val="28"/>
          <w:szCs w:val="28"/>
          <w:lang w:val="en-US" w:eastAsia="zh-CN"/>
        </w:rPr>
        <w:t>三</w:t>
      </w:r>
      <w:r>
        <w:rPr>
          <w:rFonts w:hint="eastAsia" w:asciiTheme="minorEastAsia" w:hAnsiTheme="minorEastAsia" w:eastAsiaTheme="minorEastAsia" w:cstheme="minorEastAsia"/>
          <w:sz w:val="28"/>
          <w:szCs w:val="28"/>
        </w:rPr>
        <w:t>、委估房地产照片</w:t>
      </w:r>
      <w:r>
        <w:rPr>
          <w:rFonts w:hint="eastAsia" w:asciiTheme="minorEastAsia" w:hAnsiTheme="minorEastAsia" w:eastAsiaTheme="minorEastAsia" w:cstheme="minorEastAsia"/>
          <w:sz w:val="28"/>
          <w:szCs w:val="28"/>
          <w:lang w:eastAsia="zh-CN"/>
        </w:rPr>
        <w:t>复印件</w:t>
      </w:r>
      <w:r>
        <w:rPr>
          <w:rFonts w:hint="eastAsia" w:asciiTheme="minorEastAsia" w:hAnsiTheme="minorEastAsia" w:eastAsiaTheme="minorEastAsia" w:cstheme="minorEastAsia"/>
          <w:sz w:val="28"/>
          <w:szCs w:val="28"/>
        </w:rPr>
        <w:t>；</w:t>
      </w:r>
      <w:bookmarkEnd w:id="147"/>
      <w:bookmarkEnd w:id="148"/>
    </w:p>
    <w:p>
      <w:pPr>
        <w:pStyle w:val="3"/>
        <w:keepNext w:val="0"/>
        <w:keepLines w:val="0"/>
        <w:outlineLvl w:val="1"/>
        <w:rPr>
          <w:rFonts w:hint="eastAsia" w:asciiTheme="minorEastAsia" w:hAnsiTheme="minorEastAsia" w:eastAsiaTheme="minorEastAsia" w:cstheme="minorEastAsia"/>
          <w:sz w:val="28"/>
          <w:szCs w:val="28"/>
        </w:rPr>
      </w:pPr>
      <w:bookmarkStart w:id="149" w:name="_Toc16404"/>
      <w:bookmarkStart w:id="150" w:name="_Toc710"/>
      <w:r>
        <w:rPr>
          <w:rFonts w:hint="eastAsia" w:asciiTheme="minorEastAsia" w:hAnsiTheme="minorEastAsia" w:eastAsiaTheme="minorEastAsia" w:cstheme="minorEastAsia"/>
          <w:sz w:val="28"/>
          <w:szCs w:val="28"/>
          <w:lang w:val="en-US" w:eastAsia="zh-CN"/>
        </w:rPr>
        <w:t>四</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委托人提供的不动产产权情况表复印件</w:t>
      </w:r>
      <w:r>
        <w:rPr>
          <w:rFonts w:hint="eastAsia" w:asciiTheme="minorEastAsia" w:hAnsiTheme="minorEastAsia" w:eastAsiaTheme="minorEastAsia" w:cstheme="minorEastAsia"/>
          <w:sz w:val="28"/>
          <w:szCs w:val="28"/>
        </w:rPr>
        <w:t>；</w:t>
      </w:r>
      <w:bookmarkEnd w:id="149"/>
      <w:bookmarkEnd w:id="150"/>
    </w:p>
    <w:p>
      <w:pPr>
        <w:pStyle w:val="3"/>
        <w:keepNext w:val="0"/>
        <w:keepLines w:val="0"/>
        <w:outlineLvl w:val="1"/>
        <w:rPr>
          <w:rFonts w:hint="eastAsia" w:eastAsiaTheme="minorEastAsia"/>
          <w:lang w:val="en-US" w:eastAsia="zh-CN"/>
        </w:rPr>
      </w:pPr>
      <w:bookmarkStart w:id="151" w:name="_Toc30738"/>
      <w:r>
        <w:rPr>
          <w:rFonts w:hint="eastAsia" w:asciiTheme="minorEastAsia" w:hAnsiTheme="minorEastAsia" w:eastAsiaTheme="minorEastAsia" w:cstheme="minorEastAsia"/>
          <w:sz w:val="28"/>
          <w:szCs w:val="28"/>
          <w:lang w:val="en-US" w:eastAsia="zh-CN"/>
        </w:rPr>
        <w:t>五</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鉴定人承诺书</w:t>
      </w:r>
      <w:r>
        <w:rPr>
          <w:rFonts w:hint="eastAsia" w:asciiTheme="minorEastAsia" w:hAnsiTheme="minorEastAsia" w:eastAsiaTheme="minorEastAsia" w:cstheme="minorEastAsia"/>
          <w:sz w:val="28"/>
          <w:szCs w:val="28"/>
        </w:rPr>
        <w:t>；</w:t>
      </w:r>
      <w:bookmarkEnd w:id="151"/>
    </w:p>
    <w:p>
      <w:pPr>
        <w:pStyle w:val="3"/>
        <w:keepNext w:val="0"/>
        <w:keepLines w:val="0"/>
        <w:outlineLvl w:val="1"/>
        <w:rPr>
          <w:rFonts w:hint="eastAsia" w:asciiTheme="minorEastAsia" w:hAnsiTheme="minorEastAsia" w:eastAsiaTheme="minorEastAsia" w:cstheme="minorEastAsia"/>
          <w:sz w:val="28"/>
          <w:szCs w:val="28"/>
        </w:rPr>
      </w:pPr>
      <w:bookmarkStart w:id="152" w:name="_Toc14464"/>
      <w:bookmarkStart w:id="153" w:name="_Toc27750"/>
      <w:r>
        <w:rPr>
          <w:rFonts w:hint="eastAsia" w:asciiTheme="minorEastAsia" w:hAnsiTheme="minorEastAsia" w:eastAsiaTheme="minorEastAsia" w:cstheme="minorEastAsia"/>
          <w:sz w:val="28"/>
          <w:szCs w:val="28"/>
          <w:lang w:eastAsia="zh-CN"/>
        </w:rPr>
        <w:t>六</w:t>
      </w:r>
      <w:r>
        <w:rPr>
          <w:rFonts w:hint="eastAsia" w:asciiTheme="minorEastAsia" w:hAnsiTheme="minorEastAsia" w:eastAsiaTheme="minorEastAsia" w:cstheme="minorEastAsia"/>
          <w:sz w:val="28"/>
          <w:szCs w:val="28"/>
        </w:rPr>
        <w:t>、房地产估价机构企业法人营业执照复印件；</w:t>
      </w:r>
      <w:bookmarkEnd w:id="152"/>
      <w:bookmarkEnd w:id="153"/>
    </w:p>
    <w:p>
      <w:pPr>
        <w:pStyle w:val="3"/>
        <w:keepNext w:val="0"/>
        <w:keepLines w:val="0"/>
        <w:outlineLvl w:val="1"/>
        <w:rPr>
          <w:rFonts w:hint="eastAsia" w:asciiTheme="minorEastAsia" w:hAnsiTheme="minorEastAsia" w:eastAsiaTheme="minorEastAsia" w:cstheme="minorEastAsia"/>
          <w:sz w:val="28"/>
          <w:szCs w:val="28"/>
        </w:rPr>
      </w:pPr>
      <w:bookmarkStart w:id="154" w:name="_Toc18699"/>
      <w:bookmarkStart w:id="155" w:name="_Toc9411"/>
      <w:bookmarkStart w:id="156" w:name="_Toc8685"/>
      <w:r>
        <w:rPr>
          <w:rFonts w:hint="eastAsia" w:asciiTheme="minorEastAsia" w:hAnsiTheme="minorEastAsia" w:eastAsiaTheme="minorEastAsia" w:cstheme="minorEastAsia"/>
          <w:sz w:val="28"/>
          <w:szCs w:val="28"/>
          <w:lang w:val="en-US" w:eastAsia="zh-CN"/>
        </w:rPr>
        <w:t>七</w:t>
      </w:r>
      <w:r>
        <w:rPr>
          <w:rFonts w:hint="eastAsia" w:asciiTheme="minorEastAsia" w:hAnsiTheme="minorEastAsia" w:eastAsiaTheme="minorEastAsia" w:cstheme="minorEastAsia"/>
          <w:sz w:val="28"/>
          <w:szCs w:val="28"/>
        </w:rPr>
        <w:t>、</w:t>
      </w:r>
      <w:bookmarkEnd w:id="154"/>
      <w:r>
        <w:rPr>
          <w:rFonts w:hint="eastAsia" w:asciiTheme="minorEastAsia" w:hAnsiTheme="minorEastAsia" w:eastAsiaTheme="minorEastAsia" w:cstheme="minorEastAsia"/>
          <w:sz w:val="28"/>
          <w:szCs w:val="28"/>
        </w:rPr>
        <w:t>房地产估价机构</w:t>
      </w:r>
      <w:r>
        <w:rPr>
          <w:rFonts w:hint="eastAsia" w:asciiTheme="minorEastAsia" w:hAnsiTheme="minorEastAsia" w:eastAsiaTheme="minorEastAsia" w:cstheme="minorEastAsia"/>
          <w:sz w:val="28"/>
          <w:szCs w:val="28"/>
          <w:lang w:eastAsia="zh-CN"/>
        </w:rPr>
        <w:t>备案</w:t>
      </w:r>
      <w:r>
        <w:rPr>
          <w:rFonts w:hint="eastAsia" w:asciiTheme="minorEastAsia" w:hAnsiTheme="minorEastAsia" w:eastAsiaTheme="minorEastAsia" w:cstheme="minorEastAsia"/>
          <w:sz w:val="28"/>
          <w:szCs w:val="28"/>
        </w:rPr>
        <w:t>证书复印件；</w:t>
      </w:r>
      <w:bookmarkEnd w:id="155"/>
      <w:bookmarkEnd w:id="156"/>
    </w:p>
    <w:p>
      <w:pPr>
        <w:pStyle w:val="3"/>
        <w:keepNext w:val="0"/>
        <w:keepLines w:val="0"/>
        <w:outlineLvl w:val="1"/>
        <w:rPr>
          <w:rFonts w:hint="eastAsia" w:asciiTheme="minorEastAsia" w:hAnsiTheme="minorEastAsia" w:eastAsiaTheme="minorEastAsia" w:cstheme="minorEastAsia"/>
          <w:sz w:val="28"/>
          <w:szCs w:val="28"/>
          <w:lang w:eastAsia="zh-CN"/>
        </w:rPr>
      </w:pPr>
      <w:bookmarkStart w:id="157" w:name="_Toc9173"/>
      <w:bookmarkStart w:id="158" w:name="_Toc23618"/>
      <w:r>
        <w:rPr>
          <w:rFonts w:hint="eastAsia" w:asciiTheme="minorEastAsia" w:hAnsiTheme="minorEastAsia" w:eastAsiaTheme="minorEastAsia" w:cstheme="minorEastAsia"/>
          <w:sz w:val="28"/>
          <w:szCs w:val="28"/>
          <w:lang w:val="en-US" w:eastAsia="zh-CN"/>
        </w:rPr>
        <w:t>八</w:t>
      </w:r>
      <w:r>
        <w:rPr>
          <w:rFonts w:hint="eastAsia" w:asciiTheme="minorEastAsia" w:hAnsiTheme="minorEastAsia" w:eastAsiaTheme="minorEastAsia" w:cstheme="minorEastAsia"/>
          <w:sz w:val="28"/>
          <w:szCs w:val="28"/>
        </w:rPr>
        <w:t>、注册房地产估价师执业资格证书复印件</w:t>
      </w:r>
      <w:r>
        <w:rPr>
          <w:rFonts w:hint="eastAsia" w:asciiTheme="minorEastAsia" w:hAnsiTheme="minorEastAsia" w:eastAsiaTheme="minorEastAsia" w:cstheme="minorEastAsia"/>
          <w:sz w:val="28"/>
          <w:szCs w:val="28"/>
          <w:lang w:eastAsia="zh-CN"/>
        </w:rPr>
        <w:t>。</w:t>
      </w:r>
      <w:bookmarkEnd w:id="157"/>
      <w:bookmarkEnd w:id="158"/>
    </w:p>
    <w:p>
      <w:pPr>
        <w:rPr>
          <w:rFonts w:ascii="宋体" w:cs="Times New Roman"/>
          <w:b/>
          <w:bCs/>
          <w:sz w:val="30"/>
          <w:szCs w:val="30"/>
        </w:rPr>
      </w:pPr>
    </w:p>
    <w:sectPr>
      <w:headerReference r:id="rId10" w:type="default"/>
      <w:footerReference r:id="rId11" w:type="default"/>
      <w:pgSz w:w="11906" w:h="16838"/>
      <w:pgMar w:top="1440" w:right="1418" w:bottom="1440"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cs="宋体"/>
        <w:sz w:val="21"/>
        <w:szCs w:val="21"/>
      </w:rPr>
    </w:pPr>
  </w:p>
  <w:p>
    <w:pPr>
      <w:pStyle w:val="14"/>
      <w:rPr>
        <w:sz w:val="21"/>
        <w:szCs w:val="21"/>
      </w:rPr>
    </w:pPr>
    <w:r>
      <w:pict>
        <v:line id="_x0000_s4100" o:spid="_x0000_s4100" o:spt="20" style="position:absolute;left:0pt;margin-left:5.5pt;margin-top:-3.2pt;height:0.05pt;width:430.5pt;z-index:251661312;mso-width-relative:page;mso-height-relative:page;" coordsize="21600,21600">
          <v:path arrowok="t"/>
          <v:fill focussize="0,0"/>
          <v:stroke/>
          <v:imagedata o:title=""/>
          <o:lock v:ext="edit"/>
        </v:line>
      </w:pict>
    </w:r>
    <w:r>
      <w:rPr>
        <w:rFonts w:hint="eastAsia" w:cs="宋体"/>
        <w:sz w:val="21"/>
        <w:szCs w:val="21"/>
      </w:rPr>
      <w:t>辽宁方正房产土地资产评估有限责任公司</w:t>
    </w:r>
    <w:r>
      <w:rPr>
        <w:sz w:val="21"/>
        <w:szCs w:val="21"/>
      </w:rPr>
      <w:t xml:space="preserve">     </w:t>
    </w:r>
    <w:r>
      <w:rPr>
        <w:rFonts w:hint="eastAsia" w:cs="宋体"/>
        <w:sz w:val="21"/>
        <w:szCs w:val="21"/>
      </w:rPr>
      <w:t>电话：</w:t>
    </w:r>
    <w:r>
      <w:rPr>
        <w:sz w:val="21"/>
        <w:szCs w:val="21"/>
      </w:rPr>
      <w:t>0421-2639</w:t>
    </w:r>
    <w:r>
      <w:rPr>
        <w:rFonts w:hint="eastAsia"/>
        <w:sz w:val="21"/>
        <w:szCs w:val="21"/>
        <w:lang w:val="en-US" w:eastAsia="zh-CN"/>
      </w:rPr>
      <w:t>2</w:t>
    </w:r>
    <w:r>
      <w:rPr>
        <w:sz w:val="21"/>
        <w:szCs w:val="21"/>
      </w:rPr>
      <w:t xml:space="preserve">00      </w:t>
    </w:r>
    <w:r>
      <w:rPr>
        <w:rFonts w:hint="eastAsia" w:cs="宋体"/>
        <w:sz w:val="21"/>
        <w:szCs w:val="21"/>
      </w:rPr>
      <w:t>传真：</w:t>
    </w:r>
    <w:r>
      <w:rPr>
        <w:sz w:val="21"/>
        <w:szCs w:val="21"/>
      </w:rPr>
      <w:t>0421-2617710</w:t>
    </w:r>
  </w:p>
  <w:p>
    <w:pPr>
      <w:pStyle w:val="14"/>
      <w:rPr>
        <w:sz w:val="21"/>
        <w:szCs w:val="21"/>
      </w:rPr>
    </w:pPr>
    <w:r>
      <w:rPr>
        <w:rFonts w:hint="eastAsia" w:cs="宋体"/>
        <w:sz w:val="21"/>
        <w:szCs w:val="21"/>
      </w:rPr>
      <w:t>办公地址：</w:t>
    </w:r>
    <w:r>
      <w:rPr>
        <w:rFonts w:hint="eastAsia" w:cs="宋体"/>
        <w:sz w:val="21"/>
        <w:szCs w:val="21"/>
        <w:lang w:val="en-US" w:eastAsia="zh-CN"/>
      </w:rPr>
      <w:t>朝阳市</w:t>
    </w:r>
    <w:r>
      <w:rPr>
        <w:rFonts w:hint="eastAsia" w:cs="宋体"/>
        <w:sz w:val="21"/>
        <w:szCs w:val="21"/>
      </w:rPr>
      <w:t>双塔区</w:t>
    </w:r>
    <w:r>
      <w:rPr>
        <w:rFonts w:hint="eastAsia" w:cs="宋体"/>
        <w:sz w:val="21"/>
        <w:szCs w:val="21"/>
        <w:lang w:eastAsia="zh-CN"/>
      </w:rPr>
      <w:t>珠江路三段</w:t>
    </w:r>
    <w:r>
      <w:rPr>
        <w:sz w:val="21"/>
        <w:szCs w:val="21"/>
      </w:rPr>
      <w:t>57</w:t>
    </w:r>
    <w:r>
      <w:rPr>
        <w:rFonts w:hint="eastAsia" w:cs="宋体"/>
        <w:sz w:val="21"/>
        <w:szCs w:val="21"/>
      </w:rPr>
      <w:t>号</w:t>
    </w:r>
    <w:r>
      <w:rPr>
        <w:sz w:val="21"/>
        <w:szCs w:val="21"/>
      </w:rPr>
      <w:t xml:space="preserve">                            </w:t>
    </w:r>
    <w:r>
      <w:rPr>
        <w:rFonts w:hint="eastAsia" w:cs="宋体"/>
        <w:sz w:val="21"/>
        <w:szCs w:val="21"/>
      </w:rPr>
      <w:t>邮编：</w:t>
    </w:r>
    <w:r>
      <w:rPr>
        <w:sz w:val="21"/>
        <w:szCs w:val="21"/>
      </w:rPr>
      <w:t>122000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t>-------------------------------------------------------------------------------------------------</w:t>
    </w:r>
  </w:p>
  <w:p>
    <w:pPr>
      <w:pStyle w:val="14"/>
      <w:rPr>
        <w:sz w:val="21"/>
        <w:szCs w:val="21"/>
      </w:rPr>
    </w:pPr>
    <w:r>
      <w:rPr>
        <w:rFonts w:hint="eastAsia" w:cs="宋体"/>
        <w:sz w:val="21"/>
        <w:szCs w:val="21"/>
      </w:rPr>
      <w:t>辽宁方正房产土地资产评估有限责任公司</w:t>
    </w:r>
    <w:r>
      <w:rPr>
        <w:sz w:val="21"/>
        <w:szCs w:val="21"/>
      </w:rPr>
      <w:t xml:space="preserve">     </w:t>
    </w:r>
    <w:r>
      <w:rPr>
        <w:rFonts w:hint="eastAsia" w:cs="宋体"/>
        <w:sz w:val="21"/>
        <w:szCs w:val="21"/>
      </w:rPr>
      <w:t>电话：</w:t>
    </w:r>
    <w:r>
      <w:rPr>
        <w:sz w:val="21"/>
        <w:szCs w:val="21"/>
      </w:rPr>
      <w:t>0421-2639</w:t>
    </w:r>
    <w:r>
      <w:rPr>
        <w:rFonts w:hint="eastAsia"/>
        <w:sz w:val="21"/>
        <w:szCs w:val="21"/>
        <w:lang w:val="en-US" w:eastAsia="zh-CN"/>
      </w:rPr>
      <w:t>2</w:t>
    </w:r>
    <w:r>
      <w:rPr>
        <w:sz w:val="21"/>
        <w:szCs w:val="21"/>
      </w:rPr>
      <w:t xml:space="preserve">00      </w:t>
    </w:r>
    <w:r>
      <w:rPr>
        <w:rFonts w:hint="eastAsia" w:cs="宋体"/>
        <w:sz w:val="21"/>
        <w:szCs w:val="21"/>
      </w:rPr>
      <w:t>传真：</w:t>
    </w:r>
    <w:r>
      <w:rPr>
        <w:sz w:val="21"/>
        <w:szCs w:val="21"/>
      </w:rPr>
      <w:t>0421-2617710</w:t>
    </w:r>
  </w:p>
  <w:p>
    <w:pPr>
      <w:pStyle w:val="14"/>
      <w:rPr>
        <w:sz w:val="21"/>
        <w:szCs w:val="21"/>
      </w:rPr>
    </w:pPr>
    <w:r>
      <w:rPr>
        <w:rFonts w:hint="eastAsia" w:cs="宋体"/>
        <w:sz w:val="21"/>
        <w:szCs w:val="21"/>
      </w:rPr>
      <w:t>办公地址：</w:t>
    </w:r>
    <w:r>
      <w:rPr>
        <w:rFonts w:hint="eastAsia" w:cs="宋体"/>
        <w:sz w:val="21"/>
        <w:szCs w:val="21"/>
        <w:lang w:val="en-US" w:eastAsia="zh-CN"/>
      </w:rPr>
      <w:t>朝阳</w:t>
    </w:r>
    <w:r>
      <w:rPr>
        <w:rFonts w:hint="eastAsia" w:cs="宋体"/>
        <w:sz w:val="21"/>
        <w:szCs w:val="21"/>
        <w:lang w:eastAsia="zh-CN"/>
      </w:rPr>
      <w:t>市</w:t>
    </w:r>
    <w:r>
      <w:rPr>
        <w:rFonts w:hint="eastAsia" w:cs="宋体"/>
        <w:sz w:val="21"/>
        <w:szCs w:val="21"/>
      </w:rPr>
      <w:t>双塔区</w:t>
    </w:r>
    <w:r>
      <w:rPr>
        <w:rFonts w:hint="eastAsia" w:cs="宋体"/>
        <w:sz w:val="21"/>
        <w:szCs w:val="21"/>
        <w:lang w:eastAsia="zh-CN"/>
      </w:rPr>
      <w:t>珠江路三段</w:t>
    </w:r>
    <w:r>
      <w:rPr>
        <w:sz w:val="21"/>
        <w:szCs w:val="21"/>
      </w:rPr>
      <w:t>57</w:t>
    </w:r>
    <w:r>
      <w:rPr>
        <w:rFonts w:hint="eastAsia" w:cs="宋体"/>
        <w:sz w:val="21"/>
        <w:szCs w:val="21"/>
      </w:rPr>
      <w:t>号</w:t>
    </w:r>
    <w:r>
      <w:rPr>
        <w:sz w:val="21"/>
        <w:szCs w:val="21"/>
      </w:rPr>
      <w:t xml:space="preserve">                            </w:t>
    </w:r>
    <w:r>
      <w:rPr>
        <w:rFonts w:hint="eastAsia" w:cs="宋体"/>
        <w:sz w:val="21"/>
        <w:szCs w:val="21"/>
      </w:rPr>
      <w:t>邮编：</w:t>
    </w:r>
    <w:r>
      <w:rPr>
        <w:sz w:val="21"/>
        <w:szCs w:val="21"/>
      </w:rPr>
      <w:t>122000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4101" o:spid="_x0000_s4101" o:spt="202" type="#_x0000_t202" style="position:absolute;left:0pt;flip:x;margin-left:444.8pt;margin-top:0pt;height:144pt;width:18.75pt;mso-position-horizontal-relative:margin;z-index:251660288;mso-width-relative:page;mso-height-relative:page;" filled="f" stroked="f" coordsize="21600,21600">
          <v:path/>
          <v:fill on="f" focussize="0,0"/>
          <v:stroke on="f" joinstyle="miter"/>
          <v:imagedata o:title=""/>
          <o:lock v:ext="edit"/>
          <v:textbox inset="0mm,0mm,0mm,0mm" style="mso-fit-shape-to-text:t;">
            <w:txbxContent>
              <w:p>
                <w:pPr>
                  <w:pStyle w:val="14"/>
                  <w:rPr>
                    <w:rFonts w:cs="Times New Roman"/>
                  </w:rPr>
                </w:pPr>
                <w:r>
                  <w:fldChar w:fldCharType="begin"/>
                </w:r>
                <w:r>
                  <w:instrText xml:space="preserve"> PAGE  \* MERGEFORMAT </w:instrText>
                </w:r>
                <w:r>
                  <w:fldChar w:fldCharType="separate"/>
                </w:r>
                <w:r>
                  <w:t>1</w:t>
                </w:r>
                <w:r>
                  <w:fldChar w:fldCharType="end"/>
                </w:r>
              </w:p>
            </w:txbxContent>
          </v:textbox>
        </v:shape>
      </w:pict>
    </w:r>
    <w:r>
      <w:t>-------------------------------------------------------------------------------------------------</w:t>
    </w:r>
  </w:p>
  <w:p>
    <w:pPr>
      <w:pStyle w:val="14"/>
      <w:rPr>
        <w:sz w:val="21"/>
        <w:szCs w:val="21"/>
      </w:rPr>
    </w:pPr>
    <w:r>
      <w:rPr>
        <w:rFonts w:hint="eastAsia" w:cs="宋体"/>
        <w:sz w:val="21"/>
        <w:szCs w:val="21"/>
      </w:rPr>
      <w:t>辽宁方正房产土地资产评估有限责任公司</w:t>
    </w:r>
    <w:r>
      <w:rPr>
        <w:sz w:val="21"/>
        <w:szCs w:val="21"/>
      </w:rPr>
      <w:t xml:space="preserve">     </w:t>
    </w:r>
    <w:r>
      <w:rPr>
        <w:rFonts w:hint="eastAsia" w:cs="宋体"/>
        <w:sz w:val="21"/>
        <w:szCs w:val="21"/>
      </w:rPr>
      <w:t>电话：</w:t>
    </w:r>
    <w:r>
      <w:rPr>
        <w:sz w:val="21"/>
        <w:szCs w:val="21"/>
      </w:rPr>
      <w:t>0421-2639</w:t>
    </w:r>
    <w:r>
      <w:rPr>
        <w:rFonts w:hint="eastAsia"/>
        <w:sz w:val="21"/>
        <w:szCs w:val="21"/>
        <w:lang w:val="en-US" w:eastAsia="zh-CN"/>
      </w:rPr>
      <w:t>2</w:t>
    </w:r>
    <w:r>
      <w:rPr>
        <w:sz w:val="21"/>
        <w:szCs w:val="21"/>
      </w:rPr>
      <w:t xml:space="preserve">00      </w:t>
    </w:r>
    <w:r>
      <w:rPr>
        <w:rFonts w:hint="eastAsia" w:cs="宋体"/>
        <w:sz w:val="21"/>
        <w:szCs w:val="21"/>
      </w:rPr>
      <w:t>传真：</w:t>
    </w:r>
    <w:r>
      <w:rPr>
        <w:sz w:val="21"/>
        <w:szCs w:val="21"/>
      </w:rPr>
      <w:t>0421-2617710</w:t>
    </w:r>
  </w:p>
  <w:p>
    <w:pPr>
      <w:pStyle w:val="14"/>
      <w:rPr>
        <w:sz w:val="21"/>
        <w:szCs w:val="21"/>
      </w:rPr>
    </w:pPr>
    <w:r>
      <w:rPr>
        <w:rFonts w:hint="eastAsia" w:cs="宋体"/>
        <w:sz w:val="21"/>
        <w:szCs w:val="21"/>
      </w:rPr>
      <w:t>办公地址：</w:t>
    </w:r>
    <w:r>
      <w:rPr>
        <w:rFonts w:hint="eastAsia" w:cs="宋体"/>
        <w:sz w:val="21"/>
        <w:szCs w:val="21"/>
        <w:lang w:val="en-US" w:eastAsia="zh-CN"/>
      </w:rPr>
      <w:t>朝阳</w:t>
    </w:r>
    <w:r>
      <w:rPr>
        <w:rFonts w:hint="eastAsia" w:cs="宋体"/>
        <w:sz w:val="21"/>
        <w:szCs w:val="21"/>
        <w:lang w:eastAsia="zh-CN"/>
      </w:rPr>
      <w:t>市</w:t>
    </w:r>
    <w:r>
      <w:rPr>
        <w:rFonts w:hint="eastAsia" w:cs="宋体"/>
        <w:sz w:val="21"/>
        <w:szCs w:val="21"/>
      </w:rPr>
      <w:t>双塔区</w:t>
    </w:r>
    <w:r>
      <w:rPr>
        <w:rFonts w:hint="eastAsia" w:cs="宋体"/>
        <w:sz w:val="21"/>
        <w:szCs w:val="21"/>
        <w:lang w:eastAsia="zh-CN"/>
      </w:rPr>
      <w:t>珠江路三段</w:t>
    </w:r>
    <w:r>
      <w:rPr>
        <w:sz w:val="21"/>
        <w:szCs w:val="21"/>
      </w:rPr>
      <w:t>57</w:t>
    </w:r>
    <w:r>
      <w:rPr>
        <w:rFonts w:hint="eastAsia" w:cs="宋体"/>
        <w:sz w:val="21"/>
        <w:szCs w:val="21"/>
      </w:rPr>
      <w:t>号</w:t>
    </w:r>
    <w:r>
      <w:rPr>
        <w:sz w:val="21"/>
        <w:szCs w:val="21"/>
      </w:rPr>
      <w:t xml:space="preserve">                            </w:t>
    </w:r>
    <w:r>
      <w:rPr>
        <w:rFonts w:hint="eastAsia" w:cs="宋体"/>
        <w:sz w:val="21"/>
        <w:szCs w:val="21"/>
      </w:rPr>
      <w:t>邮编：</w:t>
    </w:r>
    <w:r>
      <w:rPr>
        <w:sz w:val="21"/>
        <w:szCs w:val="21"/>
      </w:rPr>
      <w:t>122000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4099" o:spid="_x0000_s4099" o:spt="202" type="#_x0000_t202" style="position:absolute;left:0pt;flip:x;margin-left:432.1pt;margin-top:0pt;height:144pt;width:21pt;mso-position-horizontal-relative:margin;z-index:251659264;mso-width-relative:page;mso-height-relative:page;" filled="f" stroked="f" coordsize="21600,21600">
          <v:path/>
          <v:fill on="f" focussize="0,0"/>
          <v:stroke on="f" joinstyle="miter"/>
          <v:imagedata o:title=""/>
          <o:lock v:ext="edit"/>
          <v:textbox inset="0mm,0mm,0mm,0mm" style="mso-fit-shape-to-text:t;">
            <w:txbxContent>
              <w:p>
                <w:pPr>
                  <w:pStyle w:val="14"/>
                  <w:rPr>
                    <w:rFonts w:cs="Times New Roman"/>
                  </w:rPr>
                </w:pPr>
                <w:r>
                  <w:fldChar w:fldCharType="begin"/>
                </w:r>
                <w:r>
                  <w:instrText xml:space="preserve"> PAGE  \* MERGEFORMAT </w:instrText>
                </w:r>
                <w:r>
                  <w:fldChar w:fldCharType="separate"/>
                </w:r>
                <w:r>
                  <w:t>24</w:t>
                </w:r>
                <w:r>
                  <w:fldChar w:fldCharType="end"/>
                </w:r>
              </w:p>
            </w:txbxContent>
          </v:textbox>
        </v:shape>
      </w:pict>
    </w:r>
    <w:r>
      <w:t>---------------------------------------------------------------------------------------------</w:t>
    </w:r>
  </w:p>
  <w:p>
    <w:pPr>
      <w:pStyle w:val="14"/>
      <w:rPr>
        <w:sz w:val="21"/>
        <w:szCs w:val="21"/>
      </w:rPr>
    </w:pPr>
    <w:r>
      <w:rPr>
        <w:rFonts w:hint="eastAsia" w:cs="宋体"/>
        <w:sz w:val="21"/>
        <w:szCs w:val="21"/>
      </w:rPr>
      <w:t>辽宁方正房产土地资产评估有限责任公司</w:t>
    </w:r>
    <w:r>
      <w:rPr>
        <w:sz w:val="21"/>
        <w:szCs w:val="21"/>
      </w:rPr>
      <w:t xml:space="preserve">     </w:t>
    </w:r>
    <w:r>
      <w:rPr>
        <w:rFonts w:hint="eastAsia" w:cs="宋体"/>
        <w:sz w:val="21"/>
        <w:szCs w:val="21"/>
      </w:rPr>
      <w:t>电话：</w:t>
    </w:r>
    <w:r>
      <w:rPr>
        <w:sz w:val="21"/>
        <w:szCs w:val="21"/>
      </w:rPr>
      <w:t>0421-2639</w:t>
    </w:r>
    <w:r>
      <w:rPr>
        <w:rFonts w:hint="eastAsia"/>
        <w:sz w:val="21"/>
        <w:szCs w:val="21"/>
        <w:lang w:val="en-US" w:eastAsia="zh-CN"/>
      </w:rPr>
      <w:t>2</w:t>
    </w:r>
    <w:r>
      <w:rPr>
        <w:sz w:val="21"/>
        <w:szCs w:val="21"/>
      </w:rPr>
      <w:t xml:space="preserve">00      </w:t>
    </w:r>
    <w:r>
      <w:rPr>
        <w:rFonts w:hint="eastAsia" w:cs="宋体"/>
        <w:sz w:val="21"/>
        <w:szCs w:val="21"/>
      </w:rPr>
      <w:t>传真：</w:t>
    </w:r>
    <w:r>
      <w:rPr>
        <w:sz w:val="21"/>
        <w:szCs w:val="21"/>
      </w:rPr>
      <w:t>0421-2617710</w:t>
    </w:r>
  </w:p>
  <w:p>
    <w:pPr>
      <w:pStyle w:val="14"/>
      <w:rPr>
        <w:sz w:val="21"/>
        <w:szCs w:val="21"/>
      </w:rPr>
    </w:pPr>
    <w:r>
      <w:rPr>
        <w:rFonts w:hint="eastAsia" w:cs="宋体"/>
        <w:sz w:val="21"/>
        <w:szCs w:val="21"/>
      </w:rPr>
      <w:t>办公地址：</w:t>
    </w:r>
    <w:r>
      <w:rPr>
        <w:rFonts w:hint="eastAsia" w:cs="宋体"/>
        <w:sz w:val="21"/>
        <w:szCs w:val="21"/>
        <w:lang w:val="en-US" w:eastAsia="zh-CN"/>
      </w:rPr>
      <w:t>朝阳市</w:t>
    </w:r>
    <w:r>
      <w:rPr>
        <w:rFonts w:hint="eastAsia" w:cs="宋体"/>
        <w:sz w:val="21"/>
        <w:szCs w:val="21"/>
      </w:rPr>
      <w:t>双塔区</w:t>
    </w:r>
    <w:r>
      <w:rPr>
        <w:rFonts w:hint="eastAsia" w:cs="宋体"/>
        <w:sz w:val="21"/>
        <w:szCs w:val="21"/>
        <w:lang w:eastAsia="zh-CN"/>
      </w:rPr>
      <w:t>珠江路三段</w:t>
    </w:r>
    <w:r>
      <w:rPr>
        <w:sz w:val="21"/>
        <w:szCs w:val="21"/>
      </w:rPr>
      <w:t>57</w:t>
    </w:r>
    <w:r>
      <w:rPr>
        <w:rFonts w:hint="eastAsia" w:cs="宋体"/>
        <w:sz w:val="21"/>
        <w:szCs w:val="21"/>
      </w:rPr>
      <w:t>号</w:t>
    </w:r>
    <w:r>
      <w:rPr>
        <w:sz w:val="21"/>
        <w:szCs w:val="21"/>
      </w:rPr>
      <w:t xml:space="preserve">                            </w:t>
    </w:r>
    <w:r>
      <w:rPr>
        <w:rFonts w:hint="eastAsia" w:cs="宋体"/>
        <w:sz w:val="21"/>
        <w:szCs w:val="21"/>
      </w:rPr>
      <w:t>邮编：</w:t>
    </w:r>
    <w:r>
      <w:rPr>
        <w:sz w:val="21"/>
        <w:szCs w:val="21"/>
      </w:rPr>
      <w:t>122000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cs="Times New Roman"/>
        <w:sz w:val="24"/>
        <w:szCs w:val="24"/>
      </w:rPr>
    </w:pPr>
    <w:r>
      <w:rPr>
        <w:rFonts w:hint="eastAsia" w:cs="宋体"/>
        <w:sz w:val="24"/>
        <w:szCs w:val="24"/>
        <w:lang w:eastAsia="zh-CN"/>
      </w:rPr>
      <w:t>于希忠涉执房地产</w:t>
    </w:r>
    <w:r>
      <w:rPr>
        <w:rFonts w:hint="eastAsia" w:cs="宋体"/>
        <w:sz w:val="24"/>
        <w:szCs w:val="24"/>
        <w:lang w:val="en-US" w:eastAsia="zh-CN"/>
      </w:rPr>
      <w:t>司法</w:t>
    </w:r>
    <w:r>
      <w:rPr>
        <w:rFonts w:hint="eastAsia" w:cs="宋体"/>
        <w:sz w:val="24"/>
        <w:szCs w:val="24"/>
        <w:lang w:eastAsia="zh-CN"/>
      </w:rPr>
      <w:t>评估项目</w:t>
    </w:r>
    <w:r>
      <w:rPr>
        <w:rFonts w:hint="eastAsia" w:cs="宋体"/>
        <w:sz w:val="24"/>
        <w:szCs w:val="24"/>
      </w:rPr>
      <w:t>房地产估价报告书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cs="宋体"/>
        <w:sz w:val="24"/>
        <w:szCs w:val="24"/>
        <w:lang w:eastAsia="zh-CN"/>
      </w:rPr>
      <w:t>于希忠涉执房地产评估项目</w:t>
    </w:r>
    <w:r>
      <w:rPr>
        <w:rFonts w:hint="eastAsia" w:cs="宋体"/>
        <w:sz w:val="24"/>
        <w:szCs w:val="24"/>
      </w:rPr>
      <w:t>房地产估价报告书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cs="宋体"/>
        <w:sz w:val="24"/>
        <w:szCs w:val="24"/>
        <w:lang w:eastAsia="zh-CN"/>
      </w:rPr>
      <w:t>于希忠涉执房地产评估项目</w:t>
    </w:r>
    <w:r>
      <w:rPr>
        <w:rFonts w:hint="eastAsia" w:cs="宋体"/>
        <w:sz w:val="24"/>
        <w:szCs w:val="24"/>
      </w:rPr>
      <w:t>房地产估价报告书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D30A2A"/>
    <w:multiLevelType w:val="singleLevel"/>
    <w:tmpl w:val="AED30A2A"/>
    <w:lvl w:ilvl="0" w:tentative="0">
      <w:start w:val="2"/>
      <w:numFmt w:val="chineseCounting"/>
      <w:suff w:val="nothing"/>
      <w:lvlText w:val="%1、"/>
      <w:lvlJc w:val="left"/>
      <w:rPr>
        <w:rFonts w:hint="eastAsia"/>
      </w:rPr>
    </w:lvl>
  </w:abstractNum>
  <w:abstractNum w:abstractNumId="1">
    <w:nsid w:val="DEEB3D5A"/>
    <w:multiLevelType w:val="singleLevel"/>
    <w:tmpl w:val="DEEB3D5A"/>
    <w:lvl w:ilvl="0" w:tentative="0">
      <w:start w:val="5"/>
      <w:numFmt w:val="chineseCounting"/>
      <w:suff w:val="nothing"/>
      <w:lvlText w:val="%1、"/>
      <w:lvlJc w:val="left"/>
      <w:rPr>
        <w:rFonts w:hint="eastAsia"/>
      </w:rPr>
    </w:lvl>
  </w:abstractNum>
  <w:abstractNum w:abstractNumId="2">
    <w:nsid w:val="1C6346C0"/>
    <w:multiLevelType w:val="multilevel"/>
    <w:tmpl w:val="1C6346C0"/>
    <w:lvl w:ilvl="0" w:tentative="0">
      <w:start w:val="1"/>
      <w:numFmt w:val="chineseCountingThousand"/>
      <w:pStyle w:val="2"/>
      <w:lvlText w:val="（%1）"/>
      <w:lvlJc w:val="left"/>
      <w:pPr>
        <w:tabs>
          <w:tab w:val="left" w:pos="840"/>
        </w:tabs>
        <w:ind w:left="840" w:hanging="420"/>
      </w:pPr>
      <w:rPr>
        <w:b/>
        <w:bC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244F18E1"/>
    <w:multiLevelType w:val="multilevel"/>
    <w:tmpl w:val="244F18E1"/>
    <w:lvl w:ilvl="0" w:tentative="0">
      <w:start w:val="1"/>
      <w:numFmt w:val="decimal"/>
      <w:pStyle w:val="60"/>
      <w:lvlText w:val="%1、"/>
      <w:lvlJc w:val="left"/>
      <w:pPr>
        <w:tabs>
          <w:tab w:val="left" w:pos="1140"/>
        </w:tabs>
        <w:ind w:left="1140" w:hanging="720"/>
      </w:pPr>
      <w:rPr>
        <w:rFonts w:ascii="Times New Roman" w:hAnsi="Times New Roman" w:eastAsia="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Q2YmJmYzZlZTJlYjMwM2I0ZWUwYTg0ZjBlOTk3YzMifQ=="/>
  </w:docVars>
  <w:rsids>
    <w:rsidRoot w:val="00975E04"/>
    <w:rsid w:val="000023EB"/>
    <w:rsid w:val="00004BB3"/>
    <w:rsid w:val="000105B0"/>
    <w:rsid w:val="00012886"/>
    <w:rsid w:val="0001477F"/>
    <w:rsid w:val="00033837"/>
    <w:rsid w:val="000377EB"/>
    <w:rsid w:val="00041DC6"/>
    <w:rsid w:val="00042C27"/>
    <w:rsid w:val="00063D68"/>
    <w:rsid w:val="00066494"/>
    <w:rsid w:val="000701FD"/>
    <w:rsid w:val="00072F73"/>
    <w:rsid w:val="00075078"/>
    <w:rsid w:val="0007514C"/>
    <w:rsid w:val="0007565A"/>
    <w:rsid w:val="000766B0"/>
    <w:rsid w:val="00080887"/>
    <w:rsid w:val="0008246A"/>
    <w:rsid w:val="00082764"/>
    <w:rsid w:val="00085AD4"/>
    <w:rsid w:val="00094C8E"/>
    <w:rsid w:val="000A42F5"/>
    <w:rsid w:val="000B1894"/>
    <w:rsid w:val="000D1CAA"/>
    <w:rsid w:val="000D2BD8"/>
    <w:rsid w:val="000D4695"/>
    <w:rsid w:val="000D725E"/>
    <w:rsid w:val="000D76BB"/>
    <w:rsid w:val="000E1A3F"/>
    <w:rsid w:val="000E3B2F"/>
    <w:rsid w:val="000F3D1D"/>
    <w:rsid w:val="00102382"/>
    <w:rsid w:val="00104AFE"/>
    <w:rsid w:val="00107D76"/>
    <w:rsid w:val="00112EF2"/>
    <w:rsid w:val="001163ED"/>
    <w:rsid w:val="00126938"/>
    <w:rsid w:val="0013718F"/>
    <w:rsid w:val="00152131"/>
    <w:rsid w:val="001535CC"/>
    <w:rsid w:val="00164556"/>
    <w:rsid w:val="00166B26"/>
    <w:rsid w:val="001758F8"/>
    <w:rsid w:val="00177086"/>
    <w:rsid w:val="001879BD"/>
    <w:rsid w:val="00187ABE"/>
    <w:rsid w:val="00187E30"/>
    <w:rsid w:val="00194705"/>
    <w:rsid w:val="00194A5A"/>
    <w:rsid w:val="0019507C"/>
    <w:rsid w:val="00195309"/>
    <w:rsid w:val="00197219"/>
    <w:rsid w:val="001A5D4A"/>
    <w:rsid w:val="001A7122"/>
    <w:rsid w:val="001A78D0"/>
    <w:rsid w:val="001B32F3"/>
    <w:rsid w:val="001B4E39"/>
    <w:rsid w:val="001B5314"/>
    <w:rsid w:val="001B6587"/>
    <w:rsid w:val="001C1E9D"/>
    <w:rsid w:val="001E2E0A"/>
    <w:rsid w:val="001F1F42"/>
    <w:rsid w:val="001F6092"/>
    <w:rsid w:val="00203657"/>
    <w:rsid w:val="00206181"/>
    <w:rsid w:val="00206BBE"/>
    <w:rsid w:val="00217076"/>
    <w:rsid w:val="00221959"/>
    <w:rsid w:val="002241E8"/>
    <w:rsid w:val="00225503"/>
    <w:rsid w:val="0023230F"/>
    <w:rsid w:val="00234F67"/>
    <w:rsid w:val="002445B5"/>
    <w:rsid w:val="00251B5B"/>
    <w:rsid w:val="00270534"/>
    <w:rsid w:val="002717DF"/>
    <w:rsid w:val="0027323E"/>
    <w:rsid w:val="00284615"/>
    <w:rsid w:val="0029223A"/>
    <w:rsid w:val="00296A02"/>
    <w:rsid w:val="002A5769"/>
    <w:rsid w:val="002C0321"/>
    <w:rsid w:val="002C1793"/>
    <w:rsid w:val="002C6E87"/>
    <w:rsid w:val="002D39A7"/>
    <w:rsid w:val="002E0D74"/>
    <w:rsid w:val="002F0DC0"/>
    <w:rsid w:val="002F199F"/>
    <w:rsid w:val="00300F2F"/>
    <w:rsid w:val="00301A7E"/>
    <w:rsid w:val="003026C6"/>
    <w:rsid w:val="0031010F"/>
    <w:rsid w:val="00314F08"/>
    <w:rsid w:val="0032021A"/>
    <w:rsid w:val="00337673"/>
    <w:rsid w:val="0034042F"/>
    <w:rsid w:val="00341EBC"/>
    <w:rsid w:val="00342DF8"/>
    <w:rsid w:val="003434D3"/>
    <w:rsid w:val="00345E18"/>
    <w:rsid w:val="003551AC"/>
    <w:rsid w:val="0036259E"/>
    <w:rsid w:val="003649A1"/>
    <w:rsid w:val="00366969"/>
    <w:rsid w:val="00366E7C"/>
    <w:rsid w:val="00384CD6"/>
    <w:rsid w:val="00385825"/>
    <w:rsid w:val="003903BE"/>
    <w:rsid w:val="0039046D"/>
    <w:rsid w:val="003922DC"/>
    <w:rsid w:val="003928ED"/>
    <w:rsid w:val="00396715"/>
    <w:rsid w:val="0039776F"/>
    <w:rsid w:val="003A0704"/>
    <w:rsid w:val="003A1659"/>
    <w:rsid w:val="003A4D17"/>
    <w:rsid w:val="003A5C71"/>
    <w:rsid w:val="003B147F"/>
    <w:rsid w:val="003B436F"/>
    <w:rsid w:val="003B65C6"/>
    <w:rsid w:val="003B7730"/>
    <w:rsid w:val="003C30AF"/>
    <w:rsid w:val="003C472A"/>
    <w:rsid w:val="003C52F8"/>
    <w:rsid w:val="003D1D97"/>
    <w:rsid w:val="003D331A"/>
    <w:rsid w:val="003E1E7C"/>
    <w:rsid w:val="003E36C2"/>
    <w:rsid w:val="003E373D"/>
    <w:rsid w:val="003E396C"/>
    <w:rsid w:val="003E5622"/>
    <w:rsid w:val="003E6C52"/>
    <w:rsid w:val="00406053"/>
    <w:rsid w:val="00440473"/>
    <w:rsid w:val="00450568"/>
    <w:rsid w:val="004579F3"/>
    <w:rsid w:val="004710C6"/>
    <w:rsid w:val="00471A93"/>
    <w:rsid w:val="00473DC2"/>
    <w:rsid w:val="00475D70"/>
    <w:rsid w:val="00493310"/>
    <w:rsid w:val="004976D5"/>
    <w:rsid w:val="004A2DD5"/>
    <w:rsid w:val="004A318C"/>
    <w:rsid w:val="004B23B8"/>
    <w:rsid w:val="004B5533"/>
    <w:rsid w:val="004C26F0"/>
    <w:rsid w:val="004C2811"/>
    <w:rsid w:val="004C6B09"/>
    <w:rsid w:val="004C75E4"/>
    <w:rsid w:val="004D6773"/>
    <w:rsid w:val="004E1631"/>
    <w:rsid w:val="004E1849"/>
    <w:rsid w:val="004E212F"/>
    <w:rsid w:val="004E6D18"/>
    <w:rsid w:val="004F0B7A"/>
    <w:rsid w:val="004F5B95"/>
    <w:rsid w:val="005069E5"/>
    <w:rsid w:val="00507E0E"/>
    <w:rsid w:val="00513968"/>
    <w:rsid w:val="00517FAF"/>
    <w:rsid w:val="00522B26"/>
    <w:rsid w:val="00522F61"/>
    <w:rsid w:val="005235BC"/>
    <w:rsid w:val="005247D9"/>
    <w:rsid w:val="005271B7"/>
    <w:rsid w:val="00527A2C"/>
    <w:rsid w:val="0053259C"/>
    <w:rsid w:val="005408AC"/>
    <w:rsid w:val="00554CB9"/>
    <w:rsid w:val="0055633D"/>
    <w:rsid w:val="0056032E"/>
    <w:rsid w:val="00560C14"/>
    <w:rsid w:val="00563908"/>
    <w:rsid w:val="00563BBD"/>
    <w:rsid w:val="005714E6"/>
    <w:rsid w:val="005770F0"/>
    <w:rsid w:val="005774B9"/>
    <w:rsid w:val="0058167D"/>
    <w:rsid w:val="00581BA2"/>
    <w:rsid w:val="00581D91"/>
    <w:rsid w:val="00584451"/>
    <w:rsid w:val="00584600"/>
    <w:rsid w:val="005958DE"/>
    <w:rsid w:val="005A0B79"/>
    <w:rsid w:val="005A6E08"/>
    <w:rsid w:val="005C1885"/>
    <w:rsid w:val="005E2747"/>
    <w:rsid w:val="005E2D1C"/>
    <w:rsid w:val="005F0755"/>
    <w:rsid w:val="005F31C8"/>
    <w:rsid w:val="005F31ED"/>
    <w:rsid w:val="005F5B05"/>
    <w:rsid w:val="006130AA"/>
    <w:rsid w:val="00614220"/>
    <w:rsid w:val="0061628D"/>
    <w:rsid w:val="00630050"/>
    <w:rsid w:val="00642758"/>
    <w:rsid w:val="00644606"/>
    <w:rsid w:val="006460D8"/>
    <w:rsid w:val="00647227"/>
    <w:rsid w:val="006478C0"/>
    <w:rsid w:val="006664CA"/>
    <w:rsid w:val="006666F5"/>
    <w:rsid w:val="00667A96"/>
    <w:rsid w:val="0067735A"/>
    <w:rsid w:val="00684F1C"/>
    <w:rsid w:val="00685304"/>
    <w:rsid w:val="006867B2"/>
    <w:rsid w:val="00687BEB"/>
    <w:rsid w:val="00691A37"/>
    <w:rsid w:val="006933BD"/>
    <w:rsid w:val="0069517C"/>
    <w:rsid w:val="006A2482"/>
    <w:rsid w:val="006B515A"/>
    <w:rsid w:val="006C321F"/>
    <w:rsid w:val="006C347D"/>
    <w:rsid w:val="006C6FEF"/>
    <w:rsid w:val="006E1391"/>
    <w:rsid w:val="006E262E"/>
    <w:rsid w:val="006E3568"/>
    <w:rsid w:val="006F0D72"/>
    <w:rsid w:val="00701AA9"/>
    <w:rsid w:val="007040D7"/>
    <w:rsid w:val="00714B87"/>
    <w:rsid w:val="00717EFD"/>
    <w:rsid w:val="007269C3"/>
    <w:rsid w:val="00731B7D"/>
    <w:rsid w:val="0073397A"/>
    <w:rsid w:val="00736F2D"/>
    <w:rsid w:val="00737899"/>
    <w:rsid w:val="00752A3D"/>
    <w:rsid w:val="00757607"/>
    <w:rsid w:val="00763731"/>
    <w:rsid w:val="00763DE9"/>
    <w:rsid w:val="0077004F"/>
    <w:rsid w:val="00771315"/>
    <w:rsid w:val="00772486"/>
    <w:rsid w:val="0078454E"/>
    <w:rsid w:val="00786C9B"/>
    <w:rsid w:val="007874DF"/>
    <w:rsid w:val="007974D0"/>
    <w:rsid w:val="007A3612"/>
    <w:rsid w:val="007A4D50"/>
    <w:rsid w:val="007A6C15"/>
    <w:rsid w:val="007B0F04"/>
    <w:rsid w:val="007C4927"/>
    <w:rsid w:val="007D20DA"/>
    <w:rsid w:val="007D4944"/>
    <w:rsid w:val="007D5C2C"/>
    <w:rsid w:val="007D6E65"/>
    <w:rsid w:val="007E1389"/>
    <w:rsid w:val="007E4EF7"/>
    <w:rsid w:val="007E54F4"/>
    <w:rsid w:val="007F091A"/>
    <w:rsid w:val="007F2D58"/>
    <w:rsid w:val="00800697"/>
    <w:rsid w:val="008011D1"/>
    <w:rsid w:val="00801CC4"/>
    <w:rsid w:val="008061BA"/>
    <w:rsid w:val="008254AE"/>
    <w:rsid w:val="00830E1D"/>
    <w:rsid w:val="008311CC"/>
    <w:rsid w:val="008319AF"/>
    <w:rsid w:val="0084108D"/>
    <w:rsid w:val="00851301"/>
    <w:rsid w:val="00854841"/>
    <w:rsid w:val="00872613"/>
    <w:rsid w:val="008763D4"/>
    <w:rsid w:val="00876B3E"/>
    <w:rsid w:val="00880D4D"/>
    <w:rsid w:val="00881BD9"/>
    <w:rsid w:val="0088685E"/>
    <w:rsid w:val="008900E3"/>
    <w:rsid w:val="00890D16"/>
    <w:rsid w:val="008966EA"/>
    <w:rsid w:val="008A1DCA"/>
    <w:rsid w:val="008A474C"/>
    <w:rsid w:val="008B03DA"/>
    <w:rsid w:val="008B03EB"/>
    <w:rsid w:val="008B33CF"/>
    <w:rsid w:val="008B4778"/>
    <w:rsid w:val="008C3A54"/>
    <w:rsid w:val="008C6357"/>
    <w:rsid w:val="008D001D"/>
    <w:rsid w:val="008D4260"/>
    <w:rsid w:val="008E57C0"/>
    <w:rsid w:val="008F6B3D"/>
    <w:rsid w:val="008F7B97"/>
    <w:rsid w:val="0091501C"/>
    <w:rsid w:val="00926A37"/>
    <w:rsid w:val="00941E9F"/>
    <w:rsid w:val="00941F3E"/>
    <w:rsid w:val="00952F23"/>
    <w:rsid w:val="00955B50"/>
    <w:rsid w:val="0097049E"/>
    <w:rsid w:val="00971AAE"/>
    <w:rsid w:val="00975E04"/>
    <w:rsid w:val="00980CE8"/>
    <w:rsid w:val="0098572E"/>
    <w:rsid w:val="00996CCE"/>
    <w:rsid w:val="009A1BAD"/>
    <w:rsid w:val="009A2CF0"/>
    <w:rsid w:val="009A721C"/>
    <w:rsid w:val="009B4F58"/>
    <w:rsid w:val="009C33D1"/>
    <w:rsid w:val="009C38BF"/>
    <w:rsid w:val="009D0C93"/>
    <w:rsid w:val="009D5336"/>
    <w:rsid w:val="009E6265"/>
    <w:rsid w:val="009F3E11"/>
    <w:rsid w:val="00A14BE4"/>
    <w:rsid w:val="00A30BB0"/>
    <w:rsid w:val="00A32F3A"/>
    <w:rsid w:val="00A34991"/>
    <w:rsid w:val="00A3743B"/>
    <w:rsid w:val="00A50594"/>
    <w:rsid w:val="00A65D73"/>
    <w:rsid w:val="00A72EBE"/>
    <w:rsid w:val="00A82F1B"/>
    <w:rsid w:val="00A83466"/>
    <w:rsid w:val="00A83C7D"/>
    <w:rsid w:val="00A84499"/>
    <w:rsid w:val="00A905C7"/>
    <w:rsid w:val="00A95645"/>
    <w:rsid w:val="00A9639C"/>
    <w:rsid w:val="00A97FA4"/>
    <w:rsid w:val="00AA7CA9"/>
    <w:rsid w:val="00AB0F29"/>
    <w:rsid w:val="00AB320B"/>
    <w:rsid w:val="00AB7812"/>
    <w:rsid w:val="00AD4B73"/>
    <w:rsid w:val="00AD795B"/>
    <w:rsid w:val="00AE290F"/>
    <w:rsid w:val="00AE550E"/>
    <w:rsid w:val="00AE764C"/>
    <w:rsid w:val="00AF216A"/>
    <w:rsid w:val="00AF53A2"/>
    <w:rsid w:val="00AF5EF3"/>
    <w:rsid w:val="00AF6209"/>
    <w:rsid w:val="00AF700D"/>
    <w:rsid w:val="00B01A11"/>
    <w:rsid w:val="00B0327D"/>
    <w:rsid w:val="00B04426"/>
    <w:rsid w:val="00B17878"/>
    <w:rsid w:val="00B25245"/>
    <w:rsid w:val="00B267FA"/>
    <w:rsid w:val="00B30DD4"/>
    <w:rsid w:val="00B324A0"/>
    <w:rsid w:val="00B33926"/>
    <w:rsid w:val="00B35EE1"/>
    <w:rsid w:val="00B4099F"/>
    <w:rsid w:val="00B44437"/>
    <w:rsid w:val="00B461DD"/>
    <w:rsid w:val="00B64C3E"/>
    <w:rsid w:val="00B73221"/>
    <w:rsid w:val="00B756B8"/>
    <w:rsid w:val="00B808AD"/>
    <w:rsid w:val="00B82612"/>
    <w:rsid w:val="00B854FE"/>
    <w:rsid w:val="00B90675"/>
    <w:rsid w:val="00B94C61"/>
    <w:rsid w:val="00BA2B67"/>
    <w:rsid w:val="00BA5492"/>
    <w:rsid w:val="00BB188A"/>
    <w:rsid w:val="00BB22E4"/>
    <w:rsid w:val="00BB3582"/>
    <w:rsid w:val="00BB370D"/>
    <w:rsid w:val="00BB51FB"/>
    <w:rsid w:val="00BC09B8"/>
    <w:rsid w:val="00BC2337"/>
    <w:rsid w:val="00BC59D5"/>
    <w:rsid w:val="00BC6368"/>
    <w:rsid w:val="00BC6876"/>
    <w:rsid w:val="00BD2B7B"/>
    <w:rsid w:val="00BD64D9"/>
    <w:rsid w:val="00BD7D1D"/>
    <w:rsid w:val="00BE7B68"/>
    <w:rsid w:val="00BF1AD9"/>
    <w:rsid w:val="00BF4BE0"/>
    <w:rsid w:val="00C015C5"/>
    <w:rsid w:val="00C04DD8"/>
    <w:rsid w:val="00C0557F"/>
    <w:rsid w:val="00C0589D"/>
    <w:rsid w:val="00C104AF"/>
    <w:rsid w:val="00C10E3A"/>
    <w:rsid w:val="00C164E6"/>
    <w:rsid w:val="00C200C4"/>
    <w:rsid w:val="00C22876"/>
    <w:rsid w:val="00C2299F"/>
    <w:rsid w:val="00C40F6B"/>
    <w:rsid w:val="00C43D55"/>
    <w:rsid w:val="00C464A1"/>
    <w:rsid w:val="00C539B2"/>
    <w:rsid w:val="00C55702"/>
    <w:rsid w:val="00C5752D"/>
    <w:rsid w:val="00C63054"/>
    <w:rsid w:val="00C718D2"/>
    <w:rsid w:val="00C7339F"/>
    <w:rsid w:val="00C77BF6"/>
    <w:rsid w:val="00C77FE5"/>
    <w:rsid w:val="00C91876"/>
    <w:rsid w:val="00C928B3"/>
    <w:rsid w:val="00C9306F"/>
    <w:rsid w:val="00C93983"/>
    <w:rsid w:val="00CA3B18"/>
    <w:rsid w:val="00CC154B"/>
    <w:rsid w:val="00CC52E9"/>
    <w:rsid w:val="00CC78EC"/>
    <w:rsid w:val="00CD1387"/>
    <w:rsid w:val="00CE6C5C"/>
    <w:rsid w:val="00CF3F00"/>
    <w:rsid w:val="00D0113A"/>
    <w:rsid w:val="00D0281C"/>
    <w:rsid w:val="00D033F9"/>
    <w:rsid w:val="00D03D76"/>
    <w:rsid w:val="00D03F84"/>
    <w:rsid w:val="00D10AA7"/>
    <w:rsid w:val="00D33192"/>
    <w:rsid w:val="00D341E2"/>
    <w:rsid w:val="00D348D2"/>
    <w:rsid w:val="00D421CE"/>
    <w:rsid w:val="00D441C5"/>
    <w:rsid w:val="00D4472C"/>
    <w:rsid w:val="00D47AB5"/>
    <w:rsid w:val="00D513B9"/>
    <w:rsid w:val="00D521D6"/>
    <w:rsid w:val="00D632B0"/>
    <w:rsid w:val="00D654BB"/>
    <w:rsid w:val="00D6647B"/>
    <w:rsid w:val="00D66AA8"/>
    <w:rsid w:val="00D73FF4"/>
    <w:rsid w:val="00D7663C"/>
    <w:rsid w:val="00D87BF1"/>
    <w:rsid w:val="00DA514D"/>
    <w:rsid w:val="00DC1354"/>
    <w:rsid w:val="00DC2A19"/>
    <w:rsid w:val="00DD3305"/>
    <w:rsid w:val="00DD6EA2"/>
    <w:rsid w:val="00DD7BD0"/>
    <w:rsid w:val="00DE62D8"/>
    <w:rsid w:val="00DE65EE"/>
    <w:rsid w:val="00DF0D7D"/>
    <w:rsid w:val="00DF1743"/>
    <w:rsid w:val="00DF3907"/>
    <w:rsid w:val="00DF444B"/>
    <w:rsid w:val="00DF6085"/>
    <w:rsid w:val="00E02574"/>
    <w:rsid w:val="00E06160"/>
    <w:rsid w:val="00E21113"/>
    <w:rsid w:val="00E22266"/>
    <w:rsid w:val="00E23608"/>
    <w:rsid w:val="00E33FA0"/>
    <w:rsid w:val="00E34969"/>
    <w:rsid w:val="00E416FC"/>
    <w:rsid w:val="00E43F81"/>
    <w:rsid w:val="00E46AA4"/>
    <w:rsid w:val="00E46CE1"/>
    <w:rsid w:val="00E56CE4"/>
    <w:rsid w:val="00E57D3F"/>
    <w:rsid w:val="00E616B1"/>
    <w:rsid w:val="00E6216E"/>
    <w:rsid w:val="00E71F97"/>
    <w:rsid w:val="00E77B79"/>
    <w:rsid w:val="00E82AAD"/>
    <w:rsid w:val="00E86B5E"/>
    <w:rsid w:val="00E92B7F"/>
    <w:rsid w:val="00E96EA8"/>
    <w:rsid w:val="00E97369"/>
    <w:rsid w:val="00EA1502"/>
    <w:rsid w:val="00EA20E6"/>
    <w:rsid w:val="00EB27D2"/>
    <w:rsid w:val="00EB3463"/>
    <w:rsid w:val="00EC29CA"/>
    <w:rsid w:val="00EC2F93"/>
    <w:rsid w:val="00EC4E01"/>
    <w:rsid w:val="00ED59A7"/>
    <w:rsid w:val="00ED7A5B"/>
    <w:rsid w:val="00EE08C6"/>
    <w:rsid w:val="00EE4D55"/>
    <w:rsid w:val="00EE5840"/>
    <w:rsid w:val="00EF04F8"/>
    <w:rsid w:val="00EF18BD"/>
    <w:rsid w:val="00EF3A03"/>
    <w:rsid w:val="00F02C5F"/>
    <w:rsid w:val="00F06F02"/>
    <w:rsid w:val="00F0790C"/>
    <w:rsid w:val="00F13C99"/>
    <w:rsid w:val="00F202F5"/>
    <w:rsid w:val="00F218E5"/>
    <w:rsid w:val="00F239FA"/>
    <w:rsid w:val="00F251AD"/>
    <w:rsid w:val="00F3368E"/>
    <w:rsid w:val="00F42721"/>
    <w:rsid w:val="00F4303E"/>
    <w:rsid w:val="00F458BE"/>
    <w:rsid w:val="00F471C7"/>
    <w:rsid w:val="00F47FCB"/>
    <w:rsid w:val="00F54444"/>
    <w:rsid w:val="00F646A2"/>
    <w:rsid w:val="00F65786"/>
    <w:rsid w:val="00F67F9B"/>
    <w:rsid w:val="00F72270"/>
    <w:rsid w:val="00F75F98"/>
    <w:rsid w:val="00F76D81"/>
    <w:rsid w:val="00F8371C"/>
    <w:rsid w:val="00F84E01"/>
    <w:rsid w:val="00F8503B"/>
    <w:rsid w:val="00F861DD"/>
    <w:rsid w:val="00F92534"/>
    <w:rsid w:val="00F943F4"/>
    <w:rsid w:val="00FA0FBF"/>
    <w:rsid w:val="00FA4590"/>
    <w:rsid w:val="00FA7555"/>
    <w:rsid w:val="00FB16DB"/>
    <w:rsid w:val="00FB35EF"/>
    <w:rsid w:val="00FB7661"/>
    <w:rsid w:val="00FC0A96"/>
    <w:rsid w:val="00FC1C17"/>
    <w:rsid w:val="00FD76A3"/>
    <w:rsid w:val="00FE6022"/>
    <w:rsid w:val="00FE7265"/>
    <w:rsid w:val="00FF46DB"/>
    <w:rsid w:val="01061A52"/>
    <w:rsid w:val="013A217A"/>
    <w:rsid w:val="01465E99"/>
    <w:rsid w:val="01702AA6"/>
    <w:rsid w:val="01830300"/>
    <w:rsid w:val="01A86D70"/>
    <w:rsid w:val="01CB0143"/>
    <w:rsid w:val="01CB07D9"/>
    <w:rsid w:val="01D04DBD"/>
    <w:rsid w:val="01D62778"/>
    <w:rsid w:val="01DF530A"/>
    <w:rsid w:val="01F97596"/>
    <w:rsid w:val="02034C92"/>
    <w:rsid w:val="023552A3"/>
    <w:rsid w:val="02390434"/>
    <w:rsid w:val="0243084F"/>
    <w:rsid w:val="0278625D"/>
    <w:rsid w:val="029A23AC"/>
    <w:rsid w:val="02B23C9B"/>
    <w:rsid w:val="02B66C59"/>
    <w:rsid w:val="02BD75BB"/>
    <w:rsid w:val="02D206D8"/>
    <w:rsid w:val="03044908"/>
    <w:rsid w:val="032B760D"/>
    <w:rsid w:val="03516535"/>
    <w:rsid w:val="035A7458"/>
    <w:rsid w:val="03986A4F"/>
    <w:rsid w:val="03CA0201"/>
    <w:rsid w:val="03D12DC5"/>
    <w:rsid w:val="03FA3F87"/>
    <w:rsid w:val="04055E1F"/>
    <w:rsid w:val="0423797B"/>
    <w:rsid w:val="044C315A"/>
    <w:rsid w:val="04846259"/>
    <w:rsid w:val="04AD1E9C"/>
    <w:rsid w:val="04DB2A96"/>
    <w:rsid w:val="04E53E6B"/>
    <w:rsid w:val="052007F7"/>
    <w:rsid w:val="05201E4F"/>
    <w:rsid w:val="053E5D56"/>
    <w:rsid w:val="058A42DB"/>
    <w:rsid w:val="05905D18"/>
    <w:rsid w:val="05933499"/>
    <w:rsid w:val="059C4FA3"/>
    <w:rsid w:val="05A93B04"/>
    <w:rsid w:val="05BD1C33"/>
    <w:rsid w:val="05C574E7"/>
    <w:rsid w:val="05E104A2"/>
    <w:rsid w:val="05EC51FC"/>
    <w:rsid w:val="05F52AB5"/>
    <w:rsid w:val="05FE4192"/>
    <w:rsid w:val="06444FF6"/>
    <w:rsid w:val="068B196F"/>
    <w:rsid w:val="06DB5BD1"/>
    <w:rsid w:val="070D20EF"/>
    <w:rsid w:val="07234FFE"/>
    <w:rsid w:val="07241BCE"/>
    <w:rsid w:val="076E2D7A"/>
    <w:rsid w:val="07727897"/>
    <w:rsid w:val="078668BD"/>
    <w:rsid w:val="07A20778"/>
    <w:rsid w:val="07AB3C55"/>
    <w:rsid w:val="07D66FC7"/>
    <w:rsid w:val="085D2F84"/>
    <w:rsid w:val="08611F32"/>
    <w:rsid w:val="086A13DA"/>
    <w:rsid w:val="08DE1487"/>
    <w:rsid w:val="08E776EF"/>
    <w:rsid w:val="08F80929"/>
    <w:rsid w:val="094728A1"/>
    <w:rsid w:val="0958290F"/>
    <w:rsid w:val="09632FDD"/>
    <w:rsid w:val="096B1593"/>
    <w:rsid w:val="09773D0A"/>
    <w:rsid w:val="09B035E0"/>
    <w:rsid w:val="09EE392C"/>
    <w:rsid w:val="0A093674"/>
    <w:rsid w:val="0A3847A2"/>
    <w:rsid w:val="0A6F08F5"/>
    <w:rsid w:val="0A7A23AE"/>
    <w:rsid w:val="0AA85914"/>
    <w:rsid w:val="0AB55F3B"/>
    <w:rsid w:val="0B005ECD"/>
    <w:rsid w:val="0B2D058F"/>
    <w:rsid w:val="0B2F7D3C"/>
    <w:rsid w:val="0B4C34A0"/>
    <w:rsid w:val="0B604592"/>
    <w:rsid w:val="0B7417E5"/>
    <w:rsid w:val="0B815D29"/>
    <w:rsid w:val="0BB17D91"/>
    <w:rsid w:val="0BC5646B"/>
    <w:rsid w:val="0C2363A0"/>
    <w:rsid w:val="0C3F61BB"/>
    <w:rsid w:val="0C406057"/>
    <w:rsid w:val="0C571C79"/>
    <w:rsid w:val="0C7D5D75"/>
    <w:rsid w:val="0C85695D"/>
    <w:rsid w:val="0CA83A50"/>
    <w:rsid w:val="0CC45CC1"/>
    <w:rsid w:val="0CE6638B"/>
    <w:rsid w:val="0D0248BB"/>
    <w:rsid w:val="0D533FF5"/>
    <w:rsid w:val="0D630A6E"/>
    <w:rsid w:val="0D6A756D"/>
    <w:rsid w:val="0DB2524A"/>
    <w:rsid w:val="0DC1540F"/>
    <w:rsid w:val="0DD138E3"/>
    <w:rsid w:val="0E0438F7"/>
    <w:rsid w:val="0E0A101F"/>
    <w:rsid w:val="0E201169"/>
    <w:rsid w:val="0E493D19"/>
    <w:rsid w:val="0E8D4E92"/>
    <w:rsid w:val="0EA21BEE"/>
    <w:rsid w:val="0EE43157"/>
    <w:rsid w:val="0EEF30E7"/>
    <w:rsid w:val="0F011424"/>
    <w:rsid w:val="0F485165"/>
    <w:rsid w:val="0F4F6AA2"/>
    <w:rsid w:val="0F844BBA"/>
    <w:rsid w:val="0F8F1020"/>
    <w:rsid w:val="0FA768EF"/>
    <w:rsid w:val="0FAD740E"/>
    <w:rsid w:val="0FD372A3"/>
    <w:rsid w:val="0FDB50EB"/>
    <w:rsid w:val="0FED450E"/>
    <w:rsid w:val="10073757"/>
    <w:rsid w:val="101F2277"/>
    <w:rsid w:val="10213E20"/>
    <w:rsid w:val="104045B6"/>
    <w:rsid w:val="107A269F"/>
    <w:rsid w:val="108B032A"/>
    <w:rsid w:val="10A65E39"/>
    <w:rsid w:val="10AC632B"/>
    <w:rsid w:val="11447B1A"/>
    <w:rsid w:val="11554D0E"/>
    <w:rsid w:val="117B001B"/>
    <w:rsid w:val="119B1B89"/>
    <w:rsid w:val="11B53FB3"/>
    <w:rsid w:val="12077E6E"/>
    <w:rsid w:val="120C3AF8"/>
    <w:rsid w:val="1212315E"/>
    <w:rsid w:val="121D61C7"/>
    <w:rsid w:val="122E37D0"/>
    <w:rsid w:val="122E68CE"/>
    <w:rsid w:val="12417E78"/>
    <w:rsid w:val="124C5776"/>
    <w:rsid w:val="127F1B06"/>
    <w:rsid w:val="12DE5048"/>
    <w:rsid w:val="12E20C2F"/>
    <w:rsid w:val="12E35366"/>
    <w:rsid w:val="12F468E3"/>
    <w:rsid w:val="131B75FC"/>
    <w:rsid w:val="13466059"/>
    <w:rsid w:val="13567762"/>
    <w:rsid w:val="13737D50"/>
    <w:rsid w:val="13835492"/>
    <w:rsid w:val="13B76752"/>
    <w:rsid w:val="13BD4A93"/>
    <w:rsid w:val="13ED755B"/>
    <w:rsid w:val="13FC498A"/>
    <w:rsid w:val="142D10A6"/>
    <w:rsid w:val="142F1916"/>
    <w:rsid w:val="147750E2"/>
    <w:rsid w:val="14792382"/>
    <w:rsid w:val="147D2F0A"/>
    <w:rsid w:val="14A31E2C"/>
    <w:rsid w:val="151F0E60"/>
    <w:rsid w:val="15754171"/>
    <w:rsid w:val="15D66FCB"/>
    <w:rsid w:val="16124AF2"/>
    <w:rsid w:val="1626604C"/>
    <w:rsid w:val="163C3AA5"/>
    <w:rsid w:val="16655B4A"/>
    <w:rsid w:val="16770E54"/>
    <w:rsid w:val="167C28F6"/>
    <w:rsid w:val="168A3BFC"/>
    <w:rsid w:val="16930977"/>
    <w:rsid w:val="16D16D88"/>
    <w:rsid w:val="16E03331"/>
    <w:rsid w:val="178147D2"/>
    <w:rsid w:val="17914E29"/>
    <w:rsid w:val="179E0857"/>
    <w:rsid w:val="17AE6EDE"/>
    <w:rsid w:val="17B57A44"/>
    <w:rsid w:val="17F87927"/>
    <w:rsid w:val="180225DA"/>
    <w:rsid w:val="182E0F33"/>
    <w:rsid w:val="183B356D"/>
    <w:rsid w:val="18AF65D0"/>
    <w:rsid w:val="18BB7B27"/>
    <w:rsid w:val="18D96521"/>
    <w:rsid w:val="18F23427"/>
    <w:rsid w:val="18F40688"/>
    <w:rsid w:val="18F73CA9"/>
    <w:rsid w:val="190837AF"/>
    <w:rsid w:val="192F6DA0"/>
    <w:rsid w:val="19401195"/>
    <w:rsid w:val="19434531"/>
    <w:rsid w:val="19572ECC"/>
    <w:rsid w:val="197B025E"/>
    <w:rsid w:val="197E648B"/>
    <w:rsid w:val="19B56673"/>
    <w:rsid w:val="19DE5D3E"/>
    <w:rsid w:val="19E570D9"/>
    <w:rsid w:val="19F141B3"/>
    <w:rsid w:val="1A0A67E0"/>
    <w:rsid w:val="1A37204A"/>
    <w:rsid w:val="1A727425"/>
    <w:rsid w:val="1A834BDA"/>
    <w:rsid w:val="1A883E9E"/>
    <w:rsid w:val="1AB31474"/>
    <w:rsid w:val="1ACE3DF1"/>
    <w:rsid w:val="1ADA7645"/>
    <w:rsid w:val="1AF97B33"/>
    <w:rsid w:val="1B027245"/>
    <w:rsid w:val="1B0E15A1"/>
    <w:rsid w:val="1B516025"/>
    <w:rsid w:val="1B8B46F3"/>
    <w:rsid w:val="1BA717D9"/>
    <w:rsid w:val="1BCF37F0"/>
    <w:rsid w:val="1BD03AB7"/>
    <w:rsid w:val="1BF74F91"/>
    <w:rsid w:val="1C013268"/>
    <w:rsid w:val="1C4659EE"/>
    <w:rsid w:val="1C7B328A"/>
    <w:rsid w:val="1C845C40"/>
    <w:rsid w:val="1C8A4E41"/>
    <w:rsid w:val="1CB47446"/>
    <w:rsid w:val="1CDA700F"/>
    <w:rsid w:val="1CFD3945"/>
    <w:rsid w:val="1CFD695B"/>
    <w:rsid w:val="1D127620"/>
    <w:rsid w:val="1D25607F"/>
    <w:rsid w:val="1D5049D2"/>
    <w:rsid w:val="1D522FA7"/>
    <w:rsid w:val="1D5B4C8B"/>
    <w:rsid w:val="1D7F7208"/>
    <w:rsid w:val="1D835251"/>
    <w:rsid w:val="1DAD5480"/>
    <w:rsid w:val="1DC039B8"/>
    <w:rsid w:val="1E1A22FB"/>
    <w:rsid w:val="1E8D7BCB"/>
    <w:rsid w:val="1E9D6DB5"/>
    <w:rsid w:val="1EA47D19"/>
    <w:rsid w:val="1EAD0211"/>
    <w:rsid w:val="1ED94423"/>
    <w:rsid w:val="1F103A16"/>
    <w:rsid w:val="1F1733AC"/>
    <w:rsid w:val="1F28552B"/>
    <w:rsid w:val="1F4244E8"/>
    <w:rsid w:val="1F591CE1"/>
    <w:rsid w:val="1F963D1F"/>
    <w:rsid w:val="1F99686A"/>
    <w:rsid w:val="1FA96C63"/>
    <w:rsid w:val="1FC93454"/>
    <w:rsid w:val="20085E28"/>
    <w:rsid w:val="20105F2B"/>
    <w:rsid w:val="20205036"/>
    <w:rsid w:val="202C3D5F"/>
    <w:rsid w:val="208E7909"/>
    <w:rsid w:val="20AC70BB"/>
    <w:rsid w:val="20AF7190"/>
    <w:rsid w:val="20D96CF5"/>
    <w:rsid w:val="210D5433"/>
    <w:rsid w:val="21501C00"/>
    <w:rsid w:val="21655F5D"/>
    <w:rsid w:val="21800D58"/>
    <w:rsid w:val="21856375"/>
    <w:rsid w:val="21901172"/>
    <w:rsid w:val="21D85FDA"/>
    <w:rsid w:val="22103DB9"/>
    <w:rsid w:val="22543A03"/>
    <w:rsid w:val="22685EC8"/>
    <w:rsid w:val="22A26E4D"/>
    <w:rsid w:val="22BC55D3"/>
    <w:rsid w:val="22BD6D81"/>
    <w:rsid w:val="22C011FA"/>
    <w:rsid w:val="22CD4EAB"/>
    <w:rsid w:val="22D611C4"/>
    <w:rsid w:val="22D91D97"/>
    <w:rsid w:val="233408A2"/>
    <w:rsid w:val="237621D9"/>
    <w:rsid w:val="2380395A"/>
    <w:rsid w:val="23842128"/>
    <w:rsid w:val="23C53D08"/>
    <w:rsid w:val="23D7165F"/>
    <w:rsid w:val="23F67D77"/>
    <w:rsid w:val="23FB12E9"/>
    <w:rsid w:val="24C737CE"/>
    <w:rsid w:val="24EA3542"/>
    <w:rsid w:val="2516483C"/>
    <w:rsid w:val="25251709"/>
    <w:rsid w:val="25396266"/>
    <w:rsid w:val="25417B0F"/>
    <w:rsid w:val="2557361D"/>
    <w:rsid w:val="25577E51"/>
    <w:rsid w:val="256623C5"/>
    <w:rsid w:val="258C048B"/>
    <w:rsid w:val="25E708A7"/>
    <w:rsid w:val="25E82C8B"/>
    <w:rsid w:val="260E79F7"/>
    <w:rsid w:val="260F27B5"/>
    <w:rsid w:val="263C1AEB"/>
    <w:rsid w:val="266F059B"/>
    <w:rsid w:val="267577D5"/>
    <w:rsid w:val="26812DC0"/>
    <w:rsid w:val="2685592E"/>
    <w:rsid w:val="269F0AF5"/>
    <w:rsid w:val="26A60FCA"/>
    <w:rsid w:val="26B61B45"/>
    <w:rsid w:val="26F445C7"/>
    <w:rsid w:val="26F64415"/>
    <w:rsid w:val="26FA73D4"/>
    <w:rsid w:val="272306A8"/>
    <w:rsid w:val="27436550"/>
    <w:rsid w:val="27704F09"/>
    <w:rsid w:val="27776D82"/>
    <w:rsid w:val="2784047E"/>
    <w:rsid w:val="27890D77"/>
    <w:rsid w:val="27A649EB"/>
    <w:rsid w:val="27C438D3"/>
    <w:rsid w:val="27D75B9B"/>
    <w:rsid w:val="27E07862"/>
    <w:rsid w:val="28425CE3"/>
    <w:rsid w:val="28594E42"/>
    <w:rsid w:val="285C1A4F"/>
    <w:rsid w:val="285F294F"/>
    <w:rsid w:val="28652BE2"/>
    <w:rsid w:val="288434FE"/>
    <w:rsid w:val="288B4FAF"/>
    <w:rsid w:val="28C300EF"/>
    <w:rsid w:val="28D95D4A"/>
    <w:rsid w:val="28E96ED4"/>
    <w:rsid w:val="28F4769F"/>
    <w:rsid w:val="2900464B"/>
    <w:rsid w:val="292A5560"/>
    <w:rsid w:val="29365A59"/>
    <w:rsid w:val="293B2C85"/>
    <w:rsid w:val="293E6C7E"/>
    <w:rsid w:val="29617193"/>
    <w:rsid w:val="29622060"/>
    <w:rsid w:val="298E2B2C"/>
    <w:rsid w:val="29C22B24"/>
    <w:rsid w:val="29C94526"/>
    <w:rsid w:val="2A1947A4"/>
    <w:rsid w:val="2AC769BD"/>
    <w:rsid w:val="2AE141A5"/>
    <w:rsid w:val="2AE97C85"/>
    <w:rsid w:val="2B270BE9"/>
    <w:rsid w:val="2B4C14BD"/>
    <w:rsid w:val="2B64139E"/>
    <w:rsid w:val="2B6E68EF"/>
    <w:rsid w:val="2B794AF2"/>
    <w:rsid w:val="2B7C2EE6"/>
    <w:rsid w:val="2B9B7183"/>
    <w:rsid w:val="2B9F7A1D"/>
    <w:rsid w:val="2BE30287"/>
    <w:rsid w:val="2C1A3DBB"/>
    <w:rsid w:val="2C2D2EFD"/>
    <w:rsid w:val="2C2E4029"/>
    <w:rsid w:val="2C410CB4"/>
    <w:rsid w:val="2C4F42C5"/>
    <w:rsid w:val="2CAF2787"/>
    <w:rsid w:val="2CB34A8B"/>
    <w:rsid w:val="2CFE30E4"/>
    <w:rsid w:val="2D0A773C"/>
    <w:rsid w:val="2D324D86"/>
    <w:rsid w:val="2D3E326A"/>
    <w:rsid w:val="2D475C93"/>
    <w:rsid w:val="2D4A1213"/>
    <w:rsid w:val="2D65539B"/>
    <w:rsid w:val="2D872B3B"/>
    <w:rsid w:val="2D9B1CAE"/>
    <w:rsid w:val="2DAC602B"/>
    <w:rsid w:val="2DBA335C"/>
    <w:rsid w:val="2DE37E46"/>
    <w:rsid w:val="2E0A050A"/>
    <w:rsid w:val="2E4722CA"/>
    <w:rsid w:val="2E6B7701"/>
    <w:rsid w:val="2E7D0162"/>
    <w:rsid w:val="2E951E2A"/>
    <w:rsid w:val="2EAC1260"/>
    <w:rsid w:val="2EB10CAC"/>
    <w:rsid w:val="2EC31645"/>
    <w:rsid w:val="2EE6543F"/>
    <w:rsid w:val="2F1321AD"/>
    <w:rsid w:val="2F2148C9"/>
    <w:rsid w:val="2F485B36"/>
    <w:rsid w:val="2F541F33"/>
    <w:rsid w:val="2F69563C"/>
    <w:rsid w:val="2F7E576A"/>
    <w:rsid w:val="2F881BAA"/>
    <w:rsid w:val="2F910375"/>
    <w:rsid w:val="2F927575"/>
    <w:rsid w:val="2FA653A8"/>
    <w:rsid w:val="2FAD7193"/>
    <w:rsid w:val="2FD92F53"/>
    <w:rsid w:val="2FDC09BF"/>
    <w:rsid w:val="2FEC766C"/>
    <w:rsid w:val="2FEF69C0"/>
    <w:rsid w:val="30002F56"/>
    <w:rsid w:val="30007355"/>
    <w:rsid w:val="30167854"/>
    <w:rsid w:val="3048725A"/>
    <w:rsid w:val="305C2A56"/>
    <w:rsid w:val="30A72074"/>
    <w:rsid w:val="30B24A19"/>
    <w:rsid w:val="30F2683D"/>
    <w:rsid w:val="310F2F03"/>
    <w:rsid w:val="318F78E8"/>
    <w:rsid w:val="31D4796E"/>
    <w:rsid w:val="328B0FDB"/>
    <w:rsid w:val="329313B7"/>
    <w:rsid w:val="32A05710"/>
    <w:rsid w:val="32AC7C52"/>
    <w:rsid w:val="32C43191"/>
    <w:rsid w:val="32DF4F2B"/>
    <w:rsid w:val="32F3427B"/>
    <w:rsid w:val="32FB53F2"/>
    <w:rsid w:val="331C63D6"/>
    <w:rsid w:val="333D246D"/>
    <w:rsid w:val="333D7024"/>
    <w:rsid w:val="338630FD"/>
    <w:rsid w:val="338E210F"/>
    <w:rsid w:val="33A50A49"/>
    <w:rsid w:val="33C32A5E"/>
    <w:rsid w:val="33C60EF7"/>
    <w:rsid w:val="33C63E19"/>
    <w:rsid w:val="33CA700F"/>
    <w:rsid w:val="33E87217"/>
    <w:rsid w:val="33E960A9"/>
    <w:rsid w:val="33F11829"/>
    <w:rsid w:val="341317E3"/>
    <w:rsid w:val="3416778A"/>
    <w:rsid w:val="343E4746"/>
    <w:rsid w:val="344C272E"/>
    <w:rsid w:val="348313C4"/>
    <w:rsid w:val="34874D02"/>
    <w:rsid w:val="34BA5559"/>
    <w:rsid w:val="34CD3A33"/>
    <w:rsid w:val="34D363CE"/>
    <w:rsid w:val="34F756B5"/>
    <w:rsid w:val="34F975F8"/>
    <w:rsid w:val="350E7D18"/>
    <w:rsid w:val="350F1FAB"/>
    <w:rsid w:val="35382A32"/>
    <w:rsid w:val="353C59D8"/>
    <w:rsid w:val="356C07CF"/>
    <w:rsid w:val="3575159B"/>
    <w:rsid w:val="35762F2D"/>
    <w:rsid w:val="357D5C2B"/>
    <w:rsid w:val="3581554F"/>
    <w:rsid w:val="35EC02CC"/>
    <w:rsid w:val="35EE266D"/>
    <w:rsid w:val="36074761"/>
    <w:rsid w:val="36742B9B"/>
    <w:rsid w:val="36884A94"/>
    <w:rsid w:val="36893923"/>
    <w:rsid w:val="36CE38A8"/>
    <w:rsid w:val="36D42B19"/>
    <w:rsid w:val="36DD0945"/>
    <w:rsid w:val="36FC1F48"/>
    <w:rsid w:val="36FD4D4E"/>
    <w:rsid w:val="373F721E"/>
    <w:rsid w:val="37402B0F"/>
    <w:rsid w:val="37605883"/>
    <w:rsid w:val="3762274A"/>
    <w:rsid w:val="37655123"/>
    <w:rsid w:val="37841F0A"/>
    <w:rsid w:val="37973E17"/>
    <w:rsid w:val="379D0A01"/>
    <w:rsid w:val="37B016CC"/>
    <w:rsid w:val="37C81467"/>
    <w:rsid w:val="37D3797F"/>
    <w:rsid w:val="37F64DA1"/>
    <w:rsid w:val="37F8446E"/>
    <w:rsid w:val="38014094"/>
    <w:rsid w:val="38084EF6"/>
    <w:rsid w:val="385F7DC3"/>
    <w:rsid w:val="387B6A22"/>
    <w:rsid w:val="38982102"/>
    <w:rsid w:val="38D86866"/>
    <w:rsid w:val="39281A8B"/>
    <w:rsid w:val="39724BCE"/>
    <w:rsid w:val="39EF3069"/>
    <w:rsid w:val="39FD2AB5"/>
    <w:rsid w:val="39FE6D17"/>
    <w:rsid w:val="3A114755"/>
    <w:rsid w:val="3A3B51DD"/>
    <w:rsid w:val="3A402967"/>
    <w:rsid w:val="3A703CBB"/>
    <w:rsid w:val="3AA92A88"/>
    <w:rsid w:val="3ADC28E8"/>
    <w:rsid w:val="3AE95EE5"/>
    <w:rsid w:val="3B125022"/>
    <w:rsid w:val="3B161E86"/>
    <w:rsid w:val="3B401B3D"/>
    <w:rsid w:val="3B7140D8"/>
    <w:rsid w:val="3B9D2293"/>
    <w:rsid w:val="3BA00AB2"/>
    <w:rsid w:val="3BB71072"/>
    <w:rsid w:val="3BCF0046"/>
    <w:rsid w:val="3BE11363"/>
    <w:rsid w:val="3BFB7EA2"/>
    <w:rsid w:val="3C503AAE"/>
    <w:rsid w:val="3C5D40B0"/>
    <w:rsid w:val="3C823282"/>
    <w:rsid w:val="3CE51CC1"/>
    <w:rsid w:val="3CF2384F"/>
    <w:rsid w:val="3D1D277E"/>
    <w:rsid w:val="3D4208F0"/>
    <w:rsid w:val="3D482AB7"/>
    <w:rsid w:val="3D4D6421"/>
    <w:rsid w:val="3D5C078D"/>
    <w:rsid w:val="3D7146C6"/>
    <w:rsid w:val="3DB30682"/>
    <w:rsid w:val="3DB3133A"/>
    <w:rsid w:val="3DF5711F"/>
    <w:rsid w:val="3DFC0D32"/>
    <w:rsid w:val="3E1932BE"/>
    <w:rsid w:val="3E254815"/>
    <w:rsid w:val="3E43260B"/>
    <w:rsid w:val="3E7320BC"/>
    <w:rsid w:val="3EC61272"/>
    <w:rsid w:val="3EEA3C81"/>
    <w:rsid w:val="3EFB3542"/>
    <w:rsid w:val="3F2206D8"/>
    <w:rsid w:val="3F2A77CA"/>
    <w:rsid w:val="3F2E0275"/>
    <w:rsid w:val="3F572602"/>
    <w:rsid w:val="3F852B10"/>
    <w:rsid w:val="3F99657C"/>
    <w:rsid w:val="3F9B17B0"/>
    <w:rsid w:val="3FAE09F2"/>
    <w:rsid w:val="3FD7027C"/>
    <w:rsid w:val="3FEF2986"/>
    <w:rsid w:val="40356E8E"/>
    <w:rsid w:val="4049391B"/>
    <w:rsid w:val="40844E72"/>
    <w:rsid w:val="409245B2"/>
    <w:rsid w:val="409F0BC6"/>
    <w:rsid w:val="40A25B0B"/>
    <w:rsid w:val="40D259FE"/>
    <w:rsid w:val="410024ED"/>
    <w:rsid w:val="4131549A"/>
    <w:rsid w:val="414446DA"/>
    <w:rsid w:val="415B73D0"/>
    <w:rsid w:val="415E5E14"/>
    <w:rsid w:val="41AD79C1"/>
    <w:rsid w:val="41B92D7E"/>
    <w:rsid w:val="41C528D1"/>
    <w:rsid w:val="41EB0ADF"/>
    <w:rsid w:val="421107CE"/>
    <w:rsid w:val="42206C63"/>
    <w:rsid w:val="42A54060"/>
    <w:rsid w:val="42B54035"/>
    <w:rsid w:val="42D12B3D"/>
    <w:rsid w:val="42E564AE"/>
    <w:rsid w:val="431E2096"/>
    <w:rsid w:val="43546D05"/>
    <w:rsid w:val="43D73ED3"/>
    <w:rsid w:val="44034502"/>
    <w:rsid w:val="441803B2"/>
    <w:rsid w:val="442E34F9"/>
    <w:rsid w:val="44365E73"/>
    <w:rsid w:val="445B6BA6"/>
    <w:rsid w:val="44690AD8"/>
    <w:rsid w:val="446E590F"/>
    <w:rsid w:val="44A233D1"/>
    <w:rsid w:val="44B538BD"/>
    <w:rsid w:val="44E450E3"/>
    <w:rsid w:val="45024B3D"/>
    <w:rsid w:val="45080DD4"/>
    <w:rsid w:val="450E5BDA"/>
    <w:rsid w:val="452D2CBE"/>
    <w:rsid w:val="455B285E"/>
    <w:rsid w:val="457E0114"/>
    <w:rsid w:val="45A54388"/>
    <w:rsid w:val="45C070E5"/>
    <w:rsid w:val="45CF4A1B"/>
    <w:rsid w:val="45E3379C"/>
    <w:rsid w:val="46086100"/>
    <w:rsid w:val="460F597B"/>
    <w:rsid w:val="46170EA5"/>
    <w:rsid w:val="461F37B9"/>
    <w:rsid w:val="46302623"/>
    <w:rsid w:val="4650001B"/>
    <w:rsid w:val="4652376B"/>
    <w:rsid w:val="466C33D9"/>
    <w:rsid w:val="467404E4"/>
    <w:rsid w:val="46F71EC5"/>
    <w:rsid w:val="47335CF9"/>
    <w:rsid w:val="474D59FA"/>
    <w:rsid w:val="474F0D62"/>
    <w:rsid w:val="475103C0"/>
    <w:rsid w:val="475B6321"/>
    <w:rsid w:val="47715605"/>
    <w:rsid w:val="478753DE"/>
    <w:rsid w:val="478A76CA"/>
    <w:rsid w:val="4796183B"/>
    <w:rsid w:val="47A76D05"/>
    <w:rsid w:val="47A968B8"/>
    <w:rsid w:val="47B27574"/>
    <w:rsid w:val="47D90EAD"/>
    <w:rsid w:val="481468CF"/>
    <w:rsid w:val="48202234"/>
    <w:rsid w:val="48544893"/>
    <w:rsid w:val="488C11FF"/>
    <w:rsid w:val="489B3E26"/>
    <w:rsid w:val="48CE5C52"/>
    <w:rsid w:val="48E37415"/>
    <w:rsid w:val="4953041A"/>
    <w:rsid w:val="496D43D3"/>
    <w:rsid w:val="497037E4"/>
    <w:rsid w:val="49A64833"/>
    <w:rsid w:val="49AE0B8F"/>
    <w:rsid w:val="49EF05E7"/>
    <w:rsid w:val="49FB680C"/>
    <w:rsid w:val="49FE06C7"/>
    <w:rsid w:val="4A395658"/>
    <w:rsid w:val="4A403A38"/>
    <w:rsid w:val="4A91268E"/>
    <w:rsid w:val="4AFD01C3"/>
    <w:rsid w:val="4B1441A2"/>
    <w:rsid w:val="4B293617"/>
    <w:rsid w:val="4B424CBA"/>
    <w:rsid w:val="4B8459E9"/>
    <w:rsid w:val="4B8A7E50"/>
    <w:rsid w:val="4BA404D6"/>
    <w:rsid w:val="4BB502F8"/>
    <w:rsid w:val="4BD24DB1"/>
    <w:rsid w:val="4BD32291"/>
    <w:rsid w:val="4BD3627F"/>
    <w:rsid w:val="4BD37103"/>
    <w:rsid w:val="4C13236E"/>
    <w:rsid w:val="4C1B3E39"/>
    <w:rsid w:val="4C381D3D"/>
    <w:rsid w:val="4C3B64B7"/>
    <w:rsid w:val="4C601E6F"/>
    <w:rsid w:val="4C7907DF"/>
    <w:rsid w:val="4C792C18"/>
    <w:rsid w:val="4CD11A50"/>
    <w:rsid w:val="4D0E2EE5"/>
    <w:rsid w:val="4DAD4008"/>
    <w:rsid w:val="4DAF5A2D"/>
    <w:rsid w:val="4DE57FF0"/>
    <w:rsid w:val="4E051E11"/>
    <w:rsid w:val="4E2B59B7"/>
    <w:rsid w:val="4E410FEE"/>
    <w:rsid w:val="4E4A63E6"/>
    <w:rsid w:val="4E6656E1"/>
    <w:rsid w:val="4EB96B07"/>
    <w:rsid w:val="4EC07803"/>
    <w:rsid w:val="4ED71FD6"/>
    <w:rsid w:val="4EE26F0D"/>
    <w:rsid w:val="4EEC7962"/>
    <w:rsid w:val="4EEF2B15"/>
    <w:rsid w:val="4EEF7A4D"/>
    <w:rsid w:val="4EF057D9"/>
    <w:rsid w:val="4EFB0E26"/>
    <w:rsid w:val="4F2F4253"/>
    <w:rsid w:val="4F490D02"/>
    <w:rsid w:val="4F6F0DF5"/>
    <w:rsid w:val="4FD74AA3"/>
    <w:rsid w:val="4FE630F5"/>
    <w:rsid w:val="4FF60DBF"/>
    <w:rsid w:val="4FF63367"/>
    <w:rsid w:val="50091AC5"/>
    <w:rsid w:val="501E1E64"/>
    <w:rsid w:val="50297E86"/>
    <w:rsid w:val="50501BBD"/>
    <w:rsid w:val="50572AD3"/>
    <w:rsid w:val="50715CA1"/>
    <w:rsid w:val="508B1675"/>
    <w:rsid w:val="50A21FDC"/>
    <w:rsid w:val="50AF668D"/>
    <w:rsid w:val="50D15734"/>
    <w:rsid w:val="50E067C0"/>
    <w:rsid w:val="50F60639"/>
    <w:rsid w:val="511D4A6D"/>
    <w:rsid w:val="514D38C7"/>
    <w:rsid w:val="51D36F11"/>
    <w:rsid w:val="51D925DA"/>
    <w:rsid w:val="51E80B2C"/>
    <w:rsid w:val="52126AEC"/>
    <w:rsid w:val="52241C2F"/>
    <w:rsid w:val="52423283"/>
    <w:rsid w:val="525B0C19"/>
    <w:rsid w:val="5277043E"/>
    <w:rsid w:val="5279414D"/>
    <w:rsid w:val="529B45B5"/>
    <w:rsid w:val="529B6689"/>
    <w:rsid w:val="52F46D74"/>
    <w:rsid w:val="52FB711B"/>
    <w:rsid w:val="53205314"/>
    <w:rsid w:val="532141F7"/>
    <w:rsid w:val="5362208E"/>
    <w:rsid w:val="53982AFD"/>
    <w:rsid w:val="53AE6E19"/>
    <w:rsid w:val="53C8527D"/>
    <w:rsid w:val="53D07309"/>
    <w:rsid w:val="54365137"/>
    <w:rsid w:val="544642A8"/>
    <w:rsid w:val="545E11E2"/>
    <w:rsid w:val="546B19B9"/>
    <w:rsid w:val="548F37B9"/>
    <w:rsid w:val="549D493C"/>
    <w:rsid w:val="54A8082E"/>
    <w:rsid w:val="54B51105"/>
    <w:rsid w:val="54BB0D1F"/>
    <w:rsid w:val="54D71E92"/>
    <w:rsid w:val="54E575F8"/>
    <w:rsid w:val="54E82284"/>
    <w:rsid w:val="5508238C"/>
    <w:rsid w:val="55240CAF"/>
    <w:rsid w:val="55621A29"/>
    <w:rsid w:val="557C038E"/>
    <w:rsid w:val="55C44C7F"/>
    <w:rsid w:val="55CE22FF"/>
    <w:rsid w:val="55DC6059"/>
    <w:rsid w:val="55E04D70"/>
    <w:rsid w:val="56316796"/>
    <w:rsid w:val="56524905"/>
    <w:rsid w:val="5671779A"/>
    <w:rsid w:val="56D47425"/>
    <w:rsid w:val="56F84746"/>
    <w:rsid w:val="57444084"/>
    <w:rsid w:val="5781735B"/>
    <w:rsid w:val="581B73D3"/>
    <w:rsid w:val="582D5CC7"/>
    <w:rsid w:val="58472D18"/>
    <w:rsid w:val="58607069"/>
    <w:rsid w:val="5897028E"/>
    <w:rsid w:val="58BA5628"/>
    <w:rsid w:val="58FD7637"/>
    <w:rsid w:val="59153FBC"/>
    <w:rsid w:val="59303F4E"/>
    <w:rsid w:val="59305AAA"/>
    <w:rsid w:val="59446AF6"/>
    <w:rsid w:val="59723634"/>
    <w:rsid w:val="597F4D17"/>
    <w:rsid w:val="59940620"/>
    <w:rsid w:val="59DC228F"/>
    <w:rsid w:val="59E405C7"/>
    <w:rsid w:val="59FF3E5C"/>
    <w:rsid w:val="5A0A35A9"/>
    <w:rsid w:val="5A8D06F1"/>
    <w:rsid w:val="5B1958E0"/>
    <w:rsid w:val="5B1C4371"/>
    <w:rsid w:val="5B2667EA"/>
    <w:rsid w:val="5B483A9C"/>
    <w:rsid w:val="5B69190A"/>
    <w:rsid w:val="5B947F19"/>
    <w:rsid w:val="5BB52F12"/>
    <w:rsid w:val="5BEC750E"/>
    <w:rsid w:val="5BEE182F"/>
    <w:rsid w:val="5C037941"/>
    <w:rsid w:val="5C0A2321"/>
    <w:rsid w:val="5C4567B3"/>
    <w:rsid w:val="5C7E485A"/>
    <w:rsid w:val="5C8442A0"/>
    <w:rsid w:val="5CB132C3"/>
    <w:rsid w:val="5CD672DC"/>
    <w:rsid w:val="5CDE253E"/>
    <w:rsid w:val="5CFB5EAA"/>
    <w:rsid w:val="5D0F474D"/>
    <w:rsid w:val="5D103073"/>
    <w:rsid w:val="5D192842"/>
    <w:rsid w:val="5D501E16"/>
    <w:rsid w:val="5D814161"/>
    <w:rsid w:val="5D873482"/>
    <w:rsid w:val="5D9000AC"/>
    <w:rsid w:val="5D916256"/>
    <w:rsid w:val="5D9A36F8"/>
    <w:rsid w:val="5DAD34CC"/>
    <w:rsid w:val="5DB419B1"/>
    <w:rsid w:val="5DBA1216"/>
    <w:rsid w:val="5DE840B8"/>
    <w:rsid w:val="5DFF0842"/>
    <w:rsid w:val="5E232E58"/>
    <w:rsid w:val="5E261CD3"/>
    <w:rsid w:val="5E2D6AA9"/>
    <w:rsid w:val="5E4B017A"/>
    <w:rsid w:val="5E9B0A7A"/>
    <w:rsid w:val="5EC65559"/>
    <w:rsid w:val="5F2E6DAB"/>
    <w:rsid w:val="5F474D4B"/>
    <w:rsid w:val="5F516378"/>
    <w:rsid w:val="5F606692"/>
    <w:rsid w:val="5F6F742C"/>
    <w:rsid w:val="5F7C7418"/>
    <w:rsid w:val="5FD72DFF"/>
    <w:rsid w:val="602858F1"/>
    <w:rsid w:val="604F38B8"/>
    <w:rsid w:val="60667A96"/>
    <w:rsid w:val="60C24619"/>
    <w:rsid w:val="60F67F52"/>
    <w:rsid w:val="61066C92"/>
    <w:rsid w:val="612F7BC1"/>
    <w:rsid w:val="613D6166"/>
    <w:rsid w:val="61C7337B"/>
    <w:rsid w:val="61D06A31"/>
    <w:rsid w:val="61D63526"/>
    <w:rsid w:val="61F246AD"/>
    <w:rsid w:val="6231144E"/>
    <w:rsid w:val="625D2E52"/>
    <w:rsid w:val="627A632F"/>
    <w:rsid w:val="62A83533"/>
    <w:rsid w:val="62CF3C21"/>
    <w:rsid w:val="62D42125"/>
    <w:rsid w:val="62F418ED"/>
    <w:rsid w:val="63480DC0"/>
    <w:rsid w:val="634E1D05"/>
    <w:rsid w:val="635676B1"/>
    <w:rsid w:val="63677A5C"/>
    <w:rsid w:val="63C269F9"/>
    <w:rsid w:val="63CA1E4C"/>
    <w:rsid w:val="63CD17D3"/>
    <w:rsid w:val="63EF6482"/>
    <w:rsid w:val="640E1238"/>
    <w:rsid w:val="641A6C65"/>
    <w:rsid w:val="641E1106"/>
    <w:rsid w:val="644353F0"/>
    <w:rsid w:val="64454BD8"/>
    <w:rsid w:val="64745FDF"/>
    <w:rsid w:val="647C4922"/>
    <w:rsid w:val="64891058"/>
    <w:rsid w:val="64A02CCF"/>
    <w:rsid w:val="64C8189F"/>
    <w:rsid w:val="64E050B3"/>
    <w:rsid w:val="64F90192"/>
    <w:rsid w:val="64FA6047"/>
    <w:rsid w:val="650203A6"/>
    <w:rsid w:val="65056FB1"/>
    <w:rsid w:val="65483E5F"/>
    <w:rsid w:val="654A4279"/>
    <w:rsid w:val="655F7D5F"/>
    <w:rsid w:val="65A93999"/>
    <w:rsid w:val="65F55F48"/>
    <w:rsid w:val="66365EBB"/>
    <w:rsid w:val="665C1773"/>
    <w:rsid w:val="66914628"/>
    <w:rsid w:val="669F58D2"/>
    <w:rsid w:val="66E547EA"/>
    <w:rsid w:val="66E73D08"/>
    <w:rsid w:val="66F94F2D"/>
    <w:rsid w:val="66FC1D65"/>
    <w:rsid w:val="673E217C"/>
    <w:rsid w:val="675D2D45"/>
    <w:rsid w:val="67C178D4"/>
    <w:rsid w:val="67C940B7"/>
    <w:rsid w:val="67CD5E71"/>
    <w:rsid w:val="67F820C4"/>
    <w:rsid w:val="68101349"/>
    <w:rsid w:val="68183DB4"/>
    <w:rsid w:val="686119DE"/>
    <w:rsid w:val="687F147C"/>
    <w:rsid w:val="687F5BE1"/>
    <w:rsid w:val="688959D2"/>
    <w:rsid w:val="68917AD9"/>
    <w:rsid w:val="689646E6"/>
    <w:rsid w:val="68A97E8D"/>
    <w:rsid w:val="68D14118"/>
    <w:rsid w:val="68F21A93"/>
    <w:rsid w:val="68FD3E1C"/>
    <w:rsid w:val="690305C1"/>
    <w:rsid w:val="691601DF"/>
    <w:rsid w:val="69804D50"/>
    <w:rsid w:val="69DB2CA8"/>
    <w:rsid w:val="69E22761"/>
    <w:rsid w:val="6A082E12"/>
    <w:rsid w:val="6A1550B9"/>
    <w:rsid w:val="6A2D1E2F"/>
    <w:rsid w:val="6A5A0D88"/>
    <w:rsid w:val="6A5A36E2"/>
    <w:rsid w:val="6A9558F6"/>
    <w:rsid w:val="6A9F1701"/>
    <w:rsid w:val="6AD16D63"/>
    <w:rsid w:val="6AD3006A"/>
    <w:rsid w:val="6AD63ECE"/>
    <w:rsid w:val="6AF5724A"/>
    <w:rsid w:val="6AFE49A8"/>
    <w:rsid w:val="6B190031"/>
    <w:rsid w:val="6B1C3BBC"/>
    <w:rsid w:val="6B47057E"/>
    <w:rsid w:val="6B514673"/>
    <w:rsid w:val="6B892EF5"/>
    <w:rsid w:val="6B9829B4"/>
    <w:rsid w:val="6BC53217"/>
    <w:rsid w:val="6BC859E4"/>
    <w:rsid w:val="6C426660"/>
    <w:rsid w:val="6C706B13"/>
    <w:rsid w:val="6C793EB5"/>
    <w:rsid w:val="6CC174EA"/>
    <w:rsid w:val="6CC21E47"/>
    <w:rsid w:val="6CE919F9"/>
    <w:rsid w:val="6CEB2CDB"/>
    <w:rsid w:val="6CF372C1"/>
    <w:rsid w:val="6D006C0F"/>
    <w:rsid w:val="6D1C7EA3"/>
    <w:rsid w:val="6D346F21"/>
    <w:rsid w:val="6D5647FB"/>
    <w:rsid w:val="6D565754"/>
    <w:rsid w:val="6D7972CB"/>
    <w:rsid w:val="6D883E9C"/>
    <w:rsid w:val="6D8C0187"/>
    <w:rsid w:val="6DB32858"/>
    <w:rsid w:val="6DD93D41"/>
    <w:rsid w:val="6DDA5497"/>
    <w:rsid w:val="6E3B5D07"/>
    <w:rsid w:val="6E620A5B"/>
    <w:rsid w:val="6E8B6D25"/>
    <w:rsid w:val="6E8E6B7E"/>
    <w:rsid w:val="6ECC02BC"/>
    <w:rsid w:val="6ECD269B"/>
    <w:rsid w:val="6EE543F4"/>
    <w:rsid w:val="6F157326"/>
    <w:rsid w:val="6F187DAF"/>
    <w:rsid w:val="6F472307"/>
    <w:rsid w:val="6F6048CC"/>
    <w:rsid w:val="6F695A96"/>
    <w:rsid w:val="6F974DEA"/>
    <w:rsid w:val="6FC54B06"/>
    <w:rsid w:val="70194908"/>
    <w:rsid w:val="701A6F86"/>
    <w:rsid w:val="703E533A"/>
    <w:rsid w:val="706359DC"/>
    <w:rsid w:val="707A0C0A"/>
    <w:rsid w:val="707B01AB"/>
    <w:rsid w:val="70867E8F"/>
    <w:rsid w:val="70973DDF"/>
    <w:rsid w:val="70A1512B"/>
    <w:rsid w:val="70DD1058"/>
    <w:rsid w:val="71122B0D"/>
    <w:rsid w:val="713E4039"/>
    <w:rsid w:val="7156294D"/>
    <w:rsid w:val="71575D8F"/>
    <w:rsid w:val="715E0993"/>
    <w:rsid w:val="71706118"/>
    <w:rsid w:val="718E206C"/>
    <w:rsid w:val="71B0505E"/>
    <w:rsid w:val="71E775E3"/>
    <w:rsid w:val="71EF0A26"/>
    <w:rsid w:val="724C08E7"/>
    <w:rsid w:val="725B526B"/>
    <w:rsid w:val="726B2A43"/>
    <w:rsid w:val="72702E59"/>
    <w:rsid w:val="72757DA7"/>
    <w:rsid w:val="72AA13BF"/>
    <w:rsid w:val="72ED2B30"/>
    <w:rsid w:val="730054C1"/>
    <w:rsid w:val="730179BD"/>
    <w:rsid w:val="7323697F"/>
    <w:rsid w:val="732A4D1A"/>
    <w:rsid w:val="732D2040"/>
    <w:rsid w:val="732F6AC2"/>
    <w:rsid w:val="73415811"/>
    <w:rsid w:val="7351232C"/>
    <w:rsid w:val="736A4800"/>
    <w:rsid w:val="73EF674F"/>
    <w:rsid w:val="73F34FDC"/>
    <w:rsid w:val="742668FD"/>
    <w:rsid w:val="74371B14"/>
    <w:rsid w:val="746133A9"/>
    <w:rsid w:val="74AD6E69"/>
    <w:rsid w:val="74C15B85"/>
    <w:rsid w:val="74EE3D95"/>
    <w:rsid w:val="7511469D"/>
    <w:rsid w:val="755811C7"/>
    <w:rsid w:val="7581449E"/>
    <w:rsid w:val="75B261F8"/>
    <w:rsid w:val="75B52486"/>
    <w:rsid w:val="75C84FE0"/>
    <w:rsid w:val="75DF7C01"/>
    <w:rsid w:val="760C2055"/>
    <w:rsid w:val="760D6D96"/>
    <w:rsid w:val="76103B50"/>
    <w:rsid w:val="76291B10"/>
    <w:rsid w:val="764F69F1"/>
    <w:rsid w:val="76675775"/>
    <w:rsid w:val="77035B96"/>
    <w:rsid w:val="77076E12"/>
    <w:rsid w:val="771B2D7F"/>
    <w:rsid w:val="77344D43"/>
    <w:rsid w:val="77367068"/>
    <w:rsid w:val="775B1438"/>
    <w:rsid w:val="77745746"/>
    <w:rsid w:val="77907027"/>
    <w:rsid w:val="77913A2A"/>
    <w:rsid w:val="77D41DE9"/>
    <w:rsid w:val="77E85C9E"/>
    <w:rsid w:val="78197788"/>
    <w:rsid w:val="78632E2A"/>
    <w:rsid w:val="7889745A"/>
    <w:rsid w:val="78B325CF"/>
    <w:rsid w:val="78D7521F"/>
    <w:rsid w:val="78FE609D"/>
    <w:rsid w:val="79071E34"/>
    <w:rsid w:val="790C7478"/>
    <w:rsid w:val="791F57A5"/>
    <w:rsid w:val="792B4B00"/>
    <w:rsid w:val="795A39A0"/>
    <w:rsid w:val="79940D01"/>
    <w:rsid w:val="79B30E9E"/>
    <w:rsid w:val="79C76B21"/>
    <w:rsid w:val="79E76376"/>
    <w:rsid w:val="79F543D5"/>
    <w:rsid w:val="7A196C8B"/>
    <w:rsid w:val="7A291B34"/>
    <w:rsid w:val="7A444C5E"/>
    <w:rsid w:val="7A4567D7"/>
    <w:rsid w:val="7A6D7DBC"/>
    <w:rsid w:val="7A813FFC"/>
    <w:rsid w:val="7A910122"/>
    <w:rsid w:val="7A984ADA"/>
    <w:rsid w:val="7A9F443C"/>
    <w:rsid w:val="7AA17C39"/>
    <w:rsid w:val="7ACF718E"/>
    <w:rsid w:val="7AD27BB4"/>
    <w:rsid w:val="7B053ACD"/>
    <w:rsid w:val="7B36579A"/>
    <w:rsid w:val="7B3B2180"/>
    <w:rsid w:val="7B4507ED"/>
    <w:rsid w:val="7B6A0816"/>
    <w:rsid w:val="7B865274"/>
    <w:rsid w:val="7B906D9E"/>
    <w:rsid w:val="7BD6776F"/>
    <w:rsid w:val="7BF249EB"/>
    <w:rsid w:val="7C4A7760"/>
    <w:rsid w:val="7C533AF5"/>
    <w:rsid w:val="7C635E71"/>
    <w:rsid w:val="7C6E7187"/>
    <w:rsid w:val="7C826CF2"/>
    <w:rsid w:val="7C88180B"/>
    <w:rsid w:val="7CA54D4F"/>
    <w:rsid w:val="7CA95923"/>
    <w:rsid w:val="7CC40E80"/>
    <w:rsid w:val="7D186867"/>
    <w:rsid w:val="7D211256"/>
    <w:rsid w:val="7D284DC6"/>
    <w:rsid w:val="7D656E40"/>
    <w:rsid w:val="7D825A69"/>
    <w:rsid w:val="7D9859F7"/>
    <w:rsid w:val="7E2661D3"/>
    <w:rsid w:val="7E445172"/>
    <w:rsid w:val="7E4577BB"/>
    <w:rsid w:val="7E875C8F"/>
    <w:rsid w:val="7E907DA5"/>
    <w:rsid w:val="7E970076"/>
    <w:rsid w:val="7EC14D4E"/>
    <w:rsid w:val="7EEB6CF3"/>
    <w:rsid w:val="7EF73DCA"/>
    <w:rsid w:val="7EFF0F35"/>
    <w:rsid w:val="7F2F76C2"/>
    <w:rsid w:val="7F344E3A"/>
    <w:rsid w:val="7F355DD2"/>
    <w:rsid w:val="7F4D2C0B"/>
    <w:rsid w:val="7F693CEF"/>
    <w:rsid w:val="7F6C6A68"/>
    <w:rsid w:val="7F785B8C"/>
    <w:rsid w:val="7F8C2F6E"/>
    <w:rsid w:val="7FEF6909"/>
    <w:rsid w:val="7FF308BE"/>
    <w:rsid w:val="7FF8479F"/>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pPr>
    <w:rPr>
      <w:rFonts w:ascii="黑体" w:hAnsi="黑体" w:eastAsia="宋体" w:cs="黑体"/>
      <w:kern w:val="0"/>
      <w:sz w:val="21"/>
      <w:szCs w:val="21"/>
      <w:lang w:val="en-US" w:eastAsia="zh-CN" w:bidi="ar-SA"/>
    </w:rPr>
  </w:style>
  <w:style w:type="paragraph" w:styleId="2">
    <w:name w:val="heading 1"/>
    <w:basedOn w:val="1"/>
    <w:next w:val="1"/>
    <w:link w:val="34"/>
    <w:qFormat/>
    <w:uiPriority w:val="99"/>
    <w:pPr>
      <w:keepNext/>
      <w:keepLines/>
      <w:numPr>
        <w:ilvl w:val="0"/>
        <w:numId w:val="1"/>
      </w:numPr>
      <w:spacing w:before="340" w:after="330" w:line="578" w:lineRule="atLeast"/>
      <w:outlineLvl w:val="0"/>
    </w:pPr>
    <w:rPr>
      <w:b/>
      <w:bCs/>
      <w:kern w:val="44"/>
      <w:sz w:val="44"/>
      <w:szCs w:val="44"/>
    </w:rPr>
  </w:style>
  <w:style w:type="paragraph" w:styleId="3">
    <w:name w:val="heading 2"/>
    <w:basedOn w:val="1"/>
    <w:next w:val="1"/>
    <w:link w:val="35"/>
    <w:qFormat/>
    <w:uiPriority w:val="99"/>
    <w:pPr>
      <w:keepNext/>
      <w:keepLines/>
      <w:spacing w:before="260" w:after="260" w:line="416" w:lineRule="atLeast"/>
      <w:outlineLvl w:val="1"/>
    </w:pPr>
    <w:rPr>
      <w:rFonts w:ascii="Tahoma" w:hAnsi="Tahoma" w:eastAsia="仿宋" w:cs="Tahoma"/>
      <w:b/>
      <w:bCs/>
      <w:sz w:val="32"/>
      <w:szCs w:val="32"/>
    </w:rPr>
  </w:style>
  <w:style w:type="paragraph" w:styleId="4">
    <w:name w:val="heading 3"/>
    <w:basedOn w:val="1"/>
    <w:next w:val="1"/>
    <w:link w:val="36"/>
    <w:qFormat/>
    <w:uiPriority w:val="99"/>
    <w:pPr>
      <w:keepNext/>
      <w:keepLines/>
      <w:spacing w:before="260" w:after="260" w:line="416" w:lineRule="atLeast"/>
      <w:outlineLvl w:val="2"/>
    </w:pPr>
    <w:rPr>
      <w:b/>
      <w:bCs/>
      <w:sz w:val="32"/>
      <w:szCs w:val="32"/>
    </w:rPr>
  </w:style>
  <w:style w:type="character" w:default="1" w:styleId="27">
    <w:name w:val="Default Paragraph Font"/>
    <w:semiHidden/>
    <w:qFormat/>
    <w:uiPriority w:val="99"/>
  </w:style>
  <w:style w:type="table" w:default="1" w:styleId="25">
    <w:name w:val="Normal Table"/>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pPr>
  </w:style>
  <w:style w:type="paragraph" w:styleId="6">
    <w:name w:val="annotation text"/>
    <w:basedOn w:val="1"/>
    <w:link w:val="37"/>
    <w:semiHidden/>
    <w:qFormat/>
    <w:uiPriority w:val="99"/>
    <w:pPr>
      <w:jc w:val="left"/>
    </w:pPr>
  </w:style>
  <w:style w:type="paragraph" w:styleId="7">
    <w:name w:val="Body Text"/>
    <w:basedOn w:val="1"/>
    <w:link w:val="39"/>
    <w:qFormat/>
    <w:uiPriority w:val="99"/>
    <w:pPr>
      <w:autoSpaceDE w:val="0"/>
      <w:autoSpaceDN w:val="0"/>
      <w:snapToGrid w:val="0"/>
      <w:spacing w:line="240" w:lineRule="auto"/>
      <w:jc w:val="center"/>
    </w:pPr>
    <w:rPr>
      <w:rFonts w:ascii="Arial" w:cs="Arial"/>
      <w:color w:val="000000"/>
      <w:kern w:val="2"/>
      <w:sz w:val="18"/>
      <w:szCs w:val="18"/>
    </w:rPr>
  </w:style>
  <w:style w:type="paragraph" w:styleId="8">
    <w:name w:val="Body Text Indent"/>
    <w:basedOn w:val="1"/>
    <w:link w:val="40"/>
    <w:qFormat/>
    <w:uiPriority w:val="99"/>
    <w:pPr>
      <w:spacing w:line="480" w:lineRule="auto"/>
      <w:ind w:firstLine="900"/>
    </w:pPr>
    <w:rPr>
      <w:rFonts w:ascii="Courier New" w:eastAsia="Times New Roman" w:cs="Courier New"/>
      <w:spacing w:val="64"/>
      <w:sz w:val="28"/>
      <w:szCs w:val="28"/>
    </w:rPr>
  </w:style>
  <w:style w:type="paragraph" w:styleId="9">
    <w:name w:val="toc 3"/>
    <w:basedOn w:val="1"/>
    <w:next w:val="1"/>
    <w:semiHidden/>
    <w:qFormat/>
    <w:uiPriority w:val="99"/>
    <w:pPr>
      <w:ind w:left="840" w:leftChars="400"/>
    </w:pPr>
  </w:style>
  <w:style w:type="paragraph" w:styleId="10">
    <w:name w:val="Plain Text"/>
    <w:basedOn w:val="1"/>
    <w:link w:val="41"/>
    <w:qFormat/>
    <w:uiPriority w:val="99"/>
    <w:pPr>
      <w:adjustRightInd/>
      <w:spacing w:line="240" w:lineRule="auto"/>
    </w:pPr>
    <w:rPr>
      <w:rFonts w:ascii="Arial" w:hAnsi="Arial" w:cs="Arial"/>
      <w:kern w:val="2"/>
      <w:sz w:val="28"/>
      <w:szCs w:val="28"/>
    </w:rPr>
  </w:style>
  <w:style w:type="paragraph" w:styleId="11">
    <w:name w:val="Date"/>
    <w:basedOn w:val="1"/>
    <w:next w:val="1"/>
    <w:link w:val="42"/>
    <w:qFormat/>
    <w:uiPriority w:val="99"/>
    <w:pPr>
      <w:jc w:val="right"/>
    </w:pPr>
    <w:rPr>
      <w:rFonts w:ascii="Courier New" w:eastAsia="Times New Roman" w:cs="Courier New"/>
      <w:spacing w:val="64"/>
      <w:sz w:val="28"/>
      <w:szCs w:val="28"/>
    </w:rPr>
  </w:style>
  <w:style w:type="paragraph" w:styleId="12">
    <w:name w:val="Body Text Indent 2"/>
    <w:basedOn w:val="1"/>
    <w:link w:val="43"/>
    <w:qFormat/>
    <w:uiPriority w:val="99"/>
    <w:pPr>
      <w:spacing w:line="480" w:lineRule="auto"/>
      <w:ind w:firstLine="840"/>
    </w:pPr>
    <w:rPr>
      <w:rFonts w:ascii="Courier New" w:eastAsia="Times New Roman" w:cs="Courier New"/>
      <w:spacing w:val="64"/>
      <w:sz w:val="28"/>
      <w:szCs w:val="28"/>
    </w:rPr>
  </w:style>
  <w:style w:type="paragraph" w:styleId="13">
    <w:name w:val="Balloon Text"/>
    <w:basedOn w:val="1"/>
    <w:link w:val="44"/>
    <w:semiHidden/>
    <w:qFormat/>
    <w:uiPriority w:val="99"/>
    <w:rPr>
      <w:sz w:val="18"/>
      <w:szCs w:val="18"/>
    </w:rPr>
  </w:style>
  <w:style w:type="paragraph" w:styleId="14">
    <w:name w:val="footer"/>
    <w:basedOn w:val="1"/>
    <w:link w:val="45"/>
    <w:qFormat/>
    <w:uiPriority w:val="99"/>
    <w:pPr>
      <w:tabs>
        <w:tab w:val="center" w:pos="4153"/>
        <w:tab w:val="right" w:pos="8306"/>
      </w:tabs>
      <w:snapToGrid w:val="0"/>
      <w:jc w:val="left"/>
    </w:pPr>
    <w:rPr>
      <w:sz w:val="18"/>
      <w:szCs w:val="18"/>
    </w:rPr>
  </w:style>
  <w:style w:type="paragraph" w:styleId="15">
    <w:name w:val="header"/>
    <w:basedOn w:val="1"/>
    <w:link w:val="46"/>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qFormat/>
    <w:uiPriority w:val="99"/>
    <w:pPr>
      <w:tabs>
        <w:tab w:val="right" w:leader="dot" w:pos="9078"/>
      </w:tabs>
      <w:spacing w:line="380" w:lineRule="exact"/>
    </w:pPr>
    <w:rPr>
      <w:rFonts w:ascii="Courier New" w:hAnsi="隶书" w:eastAsia="Times New Roman" w:cs="Courier New"/>
      <w:b/>
      <w:bCs/>
      <w:sz w:val="28"/>
      <w:szCs w:val="28"/>
    </w:rPr>
  </w:style>
  <w:style w:type="paragraph" w:styleId="17">
    <w:name w:val="Body Text Indent 3"/>
    <w:basedOn w:val="1"/>
    <w:link w:val="47"/>
    <w:qFormat/>
    <w:uiPriority w:val="99"/>
    <w:pPr>
      <w:spacing w:line="480" w:lineRule="auto"/>
      <w:ind w:firstLine="839"/>
    </w:pPr>
    <w:rPr>
      <w:rFonts w:ascii="Courier New" w:eastAsia="Times New Roman" w:cs="Courier New"/>
      <w:spacing w:val="64"/>
      <w:sz w:val="28"/>
      <w:szCs w:val="28"/>
    </w:rPr>
  </w:style>
  <w:style w:type="paragraph" w:styleId="18">
    <w:name w:val="toc 2"/>
    <w:basedOn w:val="7"/>
    <w:next w:val="7"/>
    <w:semiHidden/>
    <w:qFormat/>
    <w:uiPriority w:val="99"/>
    <w:pPr>
      <w:tabs>
        <w:tab w:val="right" w:leader="dot" w:pos="9078"/>
      </w:tabs>
      <w:spacing w:line="380" w:lineRule="exact"/>
      <w:ind w:left="200" w:leftChars="200"/>
      <w:jc w:val="both"/>
    </w:pPr>
    <w:rPr>
      <w:rFonts w:eastAsia="Times New Roman"/>
      <w:sz w:val="28"/>
      <w:szCs w:val="28"/>
    </w:rPr>
  </w:style>
  <w:style w:type="paragraph" w:styleId="19">
    <w:name w:val="toc 9"/>
    <w:basedOn w:val="1"/>
    <w:next w:val="1"/>
    <w:semiHidden/>
    <w:qFormat/>
    <w:uiPriority w:val="99"/>
    <w:pPr>
      <w:ind w:left="3360" w:leftChars="1600"/>
    </w:pPr>
  </w:style>
  <w:style w:type="paragraph" w:styleId="20">
    <w:name w:val="Body Text 2"/>
    <w:basedOn w:val="1"/>
    <w:link w:val="48"/>
    <w:qFormat/>
    <w:uiPriority w:val="99"/>
    <w:pPr>
      <w:snapToGrid w:val="0"/>
      <w:spacing w:line="240" w:lineRule="auto"/>
      <w:jc w:val="center"/>
    </w:pPr>
    <w:rPr>
      <w:rFonts w:ascii="Arial" w:cs="Arial"/>
      <w:kern w:val="2"/>
      <w:sz w:val="18"/>
      <w:szCs w:val="18"/>
    </w:rPr>
  </w:style>
  <w:style w:type="paragraph" w:styleId="21">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Tahoma" w:hAnsi="Tahoma" w:cs="Tahoma"/>
      <w:sz w:val="24"/>
      <w:szCs w:val="24"/>
    </w:rPr>
  </w:style>
  <w:style w:type="paragraph" w:styleId="22">
    <w:name w:val="Normal (Web)"/>
    <w:basedOn w:val="1"/>
    <w:qFormat/>
    <w:uiPriority w:val="99"/>
    <w:pPr>
      <w:widowControl/>
      <w:adjustRightInd/>
      <w:spacing w:before="100" w:beforeAutospacing="1" w:after="100" w:afterAutospacing="1" w:line="240" w:lineRule="auto"/>
      <w:jc w:val="left"/>
    </w:pPr>
    <w:rPr>
      <w:rFonts w:ascii="Arial" w:hAnsi="Arial" w:cs="Arial"/>
      <w:sz w:val="24"/>
      <w:szCs w:val="24"/>
    </w:rPr>
  </w:style>
  <w:style w:type="paragraph" w:styleId="23">
    <w:name w:val="Title"/>
    <w:basedOn w:val="1"/>
    <w:next w:val="1"/>
    <w:link w:val="50"/>
    <w:qFormat/>
    <w:uiPriority w:val="99"/>
    <w:pPr>
      <w:spacing w:before="240" w:after="60"/>
      <w:jc w:val="center"/>
      <w:outlineLvl w:val="0"/>
    </w:pPr>
    <w:rPr>
      <w:rFonts w:ascii="Cambria" w:hAnsi="Cambria" w:cs="Cambria"/>
      <w:b/>
      <w:bCs/>
      <w:sz w:val="32"/>
      <w:szCs w:val="32"/>
    </w:rPr>
  </w:style>
  <w:style w:type="paragraph" w:styleId="24">
    <w:name w:val="annotation subject"/>
    <w:basedOn w:val="6"/>
    <w:next w:val="6"/>
    <w:link w:val="38"/>
    <w:semiHidden/>
    <w:qFormat/>
    <w:uiPriority w:val="99"/>
    <w:rPr>
      <w:b/>
      <w:bCs/>
    </w:rPr>
  </w:style>
  <w:style w:type="table" w:styleId="26">
    <w:name w:val="Table Grid"/>
    <w:basedOn w:val="25"/>
    <w:qFormat/>
    <w:uiPriority w:val="99"/>
    <w:pPr>
      <w:widowControl w:val="0"/>
      <w:adjustRightInd w:val="0"/>
      <w:spacing w:line="312" w:lineRule="atLeast"/>
      <w:jc w:val="both"/>
    </w:pPr>
    <w:rPr>
      <w:rFonts w:ascii="黑体" w:hAnsi="黑体" w:cs="黑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99"/>
    <w:rPr>
      <w:b/>
      <w:bCs/>
    </w:rPr>
  </w:style>
  <w:style w:type="character" w:styleId="29">
    <w:name w:val="page number"/>
    <w:basedOn w:val="27"/>
    <w:qFormat/>
    <w:uiPriority w:val="99"/>
    <w:rPr>
      <w:rFonts w:ascii="Arial" w:hAnsi="Arial" w:cs="Arial"/>
    </w:rPr>
  </w:style>
  <w:style w:type="character" w:styleId="30">
    <w:name w:val="FollowedHyperlink"/>
    <w:basedOn w:val="27"/>
    <w:qFormat/>
    <w:uiPriority w:val="99"/>
    <w:rPr>
      <w:color w:val="800080"/>
      <w:u w:val="single"/>
    </w:rPr>
  </w:style>
  <w:style w:type="character" w:styleId="31">
    <w:name w:val="Emphasis"/>
    <w:basedOn w:val="27"/>
    <w:qFormat/>
    <w:uiPriority w:val="99"/>
    <w:rPr>
      <w:i/>
      <w:iCs/>
    </w:rPr>
  </w:style>
  <w:style w:type="character" w:styleId="32">
    <w:name w:val="Hyperlink"/>
    <w:basedOn w:val="27"/>
    <w:qFormat/>
    <w:uiPriority w:val="99"/>
    <w:rPr>
      <w:color w:val="auto"/>
      <w:u w:val="single"/>
    </w:rPr>
  </w:style>
  <w:style w:type="character" w:styleId="33">
    <w:name w:val="annotation reference"/>
    <w:basedOn w:val="27"/>
    <w:semiHidden/>
    <w:qFormat/>
    <w:uiPriority w:val="99"/>
    <w:rPr>
      <w:sz w:val="21"/>
      <w:szCs w:val="21"/>
    </w:rPr>
  </w:style>
  <w:style w:type="character" w:customStyle="1" w:styleId="34">
    <w:name w:val="Heading 1 Char"/>
    <w:basedOn w:val="27"/>
    <w:link w:val="2"/>
    <w:qFormat/>
    <w:locked/>
    <w:uiPriority w:val="99"/>
    <w:rPr>
      <w:rFonts w:ascii="黑体" w:hAnsi="黑体" w:eastAsia="宋体" w:cs="黑体"/>
      <w:b/>
      <w:bCs/>
      <w:kern w:val="44"/>
      <w:sz w:val="44"/>
      <w:szCs w:val="44"/>
    </w:rPr>
  </w:style>
  <w:style w:type="character" w:customStyle="1" w:styleId="35">
    <w:name w:val="Heading 2 Char"/>
    <w:basedOn w:val="27"/>
    <w:link w:val="3"/>
    <w:semiHidden/>
    <w:qFormat/>
    <w:locked/>
    <w:uiPriority w:val="99"/>
    <w:rPr>
      <w:rFonts w:ascii="Tahoma" w:hAnsi="Tahoma" w:eastAsia="仿宋" w:cs="Tahoma"/>
      <w:b/>
      <w:bCs/>
      <w:kern w:val="0"/>
      <w:sz w:val="32"/>
      <w:szCs w:val="32"/>
    </w:rPr>
  </w:style>
  <w:style w:type="character" w:customStyle="1" w:styleId="36">
    <w:name w:val="Heading 3 Char"/>
    <w:basedOn w:val="27"/>
    <w:link w:val="4"/>
    <w:semiHidden/>
    <w:qFormat/>
    <w:locked/>
    <w:uiPriority w:val="99"/>
    <w:rPr>
      <w:rFonts w:ascii="黑体" w:hAnsi="黑体" w:eastAsia="宋体" w:cs="黑体"/>
      <w:b/>
      <w:bCs/>
      <w:kern w:val="0"/>
      <w:sz w:val="32"/>
      <w:szCs w:val="32"/>
    </w:rPr>
  </w:style>
  <w:style w:type="character" w:customStyle="1" w:styleId="37">
    <w:name w:val="Comment Text Char"/>
    <w:basedOn w:val="27"/>
    <w:link w:val="6"/>
    <w:semiHidden/>
    <w:qFormat/>
    <w:locked/>
    <w:uiPriority w:val="99"/>
    <w:rPr>
      <w:rFonts w:ascii="黑体" w:hAnsi="黑体" w:eastAsia="宋体" w:cs="黑体"/>
      <w:kern w:val="0"/>
      <w:sz w:val="21"/>
      <w:szCs w:val="21"/>
    </w:rPr>
  </w:style>
  <w:style w:type="character" w:customStyle="1" w:styleId="38">
    <w:name w:val="Comment Subject Char"/>
    <w:basedOn w:val="37"/>
    <w:link w:val="24"/>
    <w:semiHidden/>
    <w:qFormat/>
    <w:locked/>
    <w:uiPriority w:val="99"/>
    <w:rPr>
      <w:b/>
      <w:bCs/>
    </w:rPr>
  </w:style>
  <w:style w:type="character" w:customStyle="1" w:styleId="39">
    <w:name w:val="Body Text Char"/>
    <w:basedOn w:val="27"/>
    <w:link w:val="7"/>
    <w:semiHidden/>
    <w:qFormat/>
    <w:locked/>
    <w:uiPriority w:val="99"/>
    <w:rPr>
      <w:rFonts w:ascii="Arial" w:hAnsi="黑体" w:eastAsia="宋体" w:cs="Arial"/>
      <w:color w:val="000000"/>
      <w:sz w:val="20"/>
      <w:szCs w:val="20"/>
    </w:rPr>
  </w:style>
  <w:style w:type="character" w:customStyle="1" w:styleId="40">
    <w:name w:val="Body Text Indent Char"/>
    <w:basedOn w:val="27"/>
    <w:link w:val="8"/>
    <w:semiHidden/>
    <w:qFormat/>
    <w:locked/>
    <w:uiPriority w:val="99"/>
    <w:rPr>
      <w:rFonts w:ascii="Courier New" w:hAnsi="黑体" w:eastAsia="Times New Roman" w:cs="Courier New"/>
      <w:spacing w:val="64"/>
      <w:kern w:val="0"/>
      <w:sz w:val="28"/>
      <w:szCs w:val="28"/>
    </w:rPr>
  </w:style>
  <w:style w:type="character" w:customStyle="1" w:styleId="41">
    <w:name w:val="Plain Text Char"/>
    <w:basedOn w:val="27"/>
    <w:link w:val="10"/>
    <w:semiHidden/>
    <w:qFormat/>
    <w:locked/>
    <w:uiPriority w:val="99"/>
    <w:rPr>
      <w:rFonts w:ascii="Arial" w:hAnsi="Arial" w:eastAsia="宋体" w:cs="Arial"/>
      <w:sz w:val="20"/>
      <w:szCs w:val="20"/>
    </w:rPr>
  </w:style>
  <w:style w:type="character" w:customStyle="1" w:styleId="42">
    <w:name w:val="Date Char"/>
    <w:basedOn w:val="27"/>
    <w:link w:val="11"/>
    <w:semiHidden/>
    <w:qFormat/>
    <w:locked/>
    <w:uiPriority w:val="99"/>
    <w:rPr>
      <w:rFonts w:ascii="Courier New" w:hAnsi="黑体" w:eastAsia="Times New Roman" w:cs="Courier New"/>
      <w:spacing w:val="64"/>
      <w:kern w:val="0"/>
      <w:sz w:val="28"/>
      <w:szCs w:val="28"/>
    </w:rPr>
  </w:style>
  <w:style w:type="character" w:customStyle="1" w:styleId="43">
    <w:name w:val="Body Text Indent 2 Char"/>
    <w:basedOn w:val="27"/>
    <w:link w:val="12"/>
    <w:semiHidden/>
    <w:qFormat/>
    <w:locked/>
    <w:uiPriority w:val="99"/>
    <w:rPr>
      <w:rFonts w:ascii="Courier New" w:hAnsi="黑体" w:eastAsia="Times New Roman" w:cs="Courier New"/>
      <w:spacing w:val="64"/>
      <w:kern w:val="0"/>
      <w:sz w:val="28"/>
      <w:szCs w:val="28"/>
    </w:rPr>
  </w:style>
  <w:style w:type="character" w:customStyle="1" w:styleId="44">
    <w:name w:val="Balloon Text Char"/>
    <w:basedOn w:val="27"/>
    <w:link w:val="13"/>
    <w:semiHidden/>
    <w:qFormat/>
    <w:locked/>
    <w:uiPriority w:val="99"/>
    <w:rPr>
      <w:sz w:val="18"/>
      <w:szCs w:val="18"/>
    </w:rPr>
  </w:style>
  <w:style w:type="character" w:customStyle="1" w:styleId="45">
    <w:name w:val="Footer Char"/>
    <w:basedOn w:val="27"/>
    <w:link w:val="14"/>
    <w:qFormat/>
    <w:locked/>
    <w:uiPriority w:val="99"/>
    <w:rPr>
      <w:rFonts w:ascii="黑体" w:hAnsi="黑体" w:eastAsia="宋体" w:cs="黑体"/>
      <w:kern w:val="0"/>
      <w:sz w:val="18"/>
      <w:szCs w:val="18"/>
    </w:rPr>
  </w:style>
  <w:style w:type="character" w:customStyle="1" w:styleId="46">
    <w:name w:val="Header Char"/>
    <w:basedOn w:val="27"/>
    <w:link w:val="15"/>
    <w:qFormat/>
    <w:locked/>
    <w:uiPriority w:val="99"/>
    <w:rPr>
      <w:rFonts w:ascii="黑体" w:hAnsi="黑体" w:eastAsia="宋体" w:cs="黑体"/>
      <w:kern w:val="0"/>
      <w:sz w:val="18"/>
      <w:szCs w:val="18"/>
    </w:rPr>
  </w:style>
  <w:style w:type="character" w:customStyle="1" w:styleId="47">
    <w:name w:val="Body Text Indent 3 Char"/>
    <w:basedOn w:val="27"/>
    <w:link w:val="17"/>
    <w:semiHidden/>
    <w:qFormat/>
    <w:locked/>
    <w:uiPriority w:val="99"/>
    <w:rPr>
      <w:rFonts w:ascii="Courier New" w:hAnsi="黑体" w:eastAsia="Times New Roman" w:cs="Courier New"/>
      <w:spacing w:val="64"/>
      <w:kern w:val="0"/>
      <w:sz w:val="28"/>
      <w:szCs w:val="28"/>
    </w:rPr>
  </w:style>
  <w:style w:type="character" w:customStyle="1" w:styleId="48">
    <w:name w:val="Body Text 2 Char"/>
    <w:basedOn w:val="27"/>
    <w:link w:val="20"/>
    <w:semiHidden/>
    <w:qFormat/>
    <w:locked/>
    <w:uiPriority w:val="99"/>
    <w:rPr>
      <w:rFonts w:ascii="Arial" w:hAnsi="黑体" w:eastAsia="宋体" w:cs="Arial"/>
      <w:sz w:val="20"/>
      <w:szCs w:val="20"/>
    </w:rPr>
  </w:style>
  <w:style w:type="character" w:customStyle="1" w:styleId="49">
    <w:name w:val="HTML Preformatted Char"/>
    <w:basedOn w:val="27"/>
    <w:link w:val="21"/>
    <w:semiHidden/>
    <w:qFormat/>
    <w:locked/>
    <w:uiPriority w:val="99"/>
    <w:rPr>
      <w:rFonts w:ascii="Tahoma" w:hAnsi="Tahoma" w:eastAsia="宋体" w:cs="Tahoma"/>
      <w:kern w:val="0"/>
      <w:sz w:val="24"/>
      <w:szCs w:val="24"/>
    </w:rPr>
  </w:style>
  <w:style w:type="character" w:customStyle="1" w:styleId="50">
    <w:name w:val="Title Char"/>
    <w:basedOn w:val="27"/>
    <w:link w:val="23"/>
    <w:qFormat/>
    <w:locked/>
    <w:uiPriority w:val="99"/>
    <w:rPr>
      <w:rFonts w:ascii="Cambria" w:hAnsi="Cambria" w:eastAsia="宋体" w:cs="Cambria"/>
      <w:b/>
      <w:bCs/>
      <w:kern w:val="0"/>
      <w:sz w:val="32"/>
      <w:szCs w:val="32"/>
    </w:rPr>
  </w:style>
  <w:style w:type="character" w:customStyle="1" w:styleId="51">
    <w:name w:val="Placeholder Text"/>
    <w:basedOn w:val="27"/>
    <w:semiHidden/>
    <w:qFormat/>
    <w:uiPriority w:val="99"/>
    <w:rPr>
      <w:color w:val="808080"/>
    </w:rPr>
  </w:style>
  <w:style w:type="paragraph" w:customStyle="1" w:styleId="52">
    <w:name w:val="TOC 标题1"/>
    <w:basedOn w:val="2"/>
    <w:next w:val="1"/>
    <w:qFormat/>
    <w:uiPriority w:val="99"/>
    <w:pPr>
      <w:widowControl/>
      <w:adjustRightInd/>
      <w:spacing w:before="480" w:after="0" w:line="276" w:lineRule="auto"/>
      <w:jc w:val="left"/>
      <w:outlineLvl w:val="9"/>
    </w:pPr>
    <w:rPr>
      <w:rFonts w:ascii="Cambria" w:hAnsi="Cambria" w:cs="Cambria"/>
      <w:color w:val="365F91"/>
      <w:kern w:val="0"/>
      <w:sz w:val="28"/>
      <w:szCs w:val="28"/>
    </w:rPr>
  </w:style>
  <w:style w:type="paragraph" w:customStyle="1" w:styleId="53">
    <w:name w:val="p0"/>
    <w:basedOn w:val="1"/>
    <w:qFormat/>
    <w:uiPriority w:val="99"/>
    <w:pPr>
      <w:widowControl/>
      <w:adjustRightInd/>
      <w:spacing w:line="365" w:lineRule="atLeast"/>
      <w:ind w:left="1"/>
    </w:pPr>
    <w:rPr>
      <w:sz w:val="20"/>
      <w:szCs w:val="20"/>
    </w:rPr>
  </w:style>
  <w:style w:type="paragraph" w:customStyle="1" w:styleId="54">
    <w:name w:val="Char Char Char1 Char Char Char Char"/>
    <w:basedOn w:val="1"/>
    <w:qFormat/>
    <w:uiPriority w:val="99"/>
    <w:pPr>
      <w:adjustRightInd/>
      <w:spacing w:line="240" w:lineRule="auto"/>
    </w:pPr>
    <w:rPr>
      <w:rFonts w:ascii="Arial" w:hAnsi="Arial" w:cs="Arial"/>
      <w:kern w:val="2"/>
      <w:sz w:val="32"/>
      <w:szCs w:val="32"/>
    </w:rPr>
  </w:style>
  <w:style w:type="paragraph" w:customStyle="1" w:styleId="55">
    <w:name w:val="pic-info"/>
    <w:basedOn w:val="1"/>
    <w:qFormat/>
    <w:uiPriority w:val="99"/>
    <w:pPr>
      <w:widowControl/>
      <w:adjustRightInd/>
      <w:spacing w:before="100" w:beforeAutospacing="1" w:after="100" w:afterAutospacing="1" w:line="240" w:lineRule="auto"/>
      <w:jc w:val="left"/>
    </w:pPr>
    <w:rPr>
      <w:rFonts w:ascii="Arial" w:hAnsi="Arial" w:cs="Arial"/>
      <w:sz w:val="24"/>
      <w:szCs w:val="24"/>
    </w:rPr>
  </w:style>
  <w:style w:type="paragraph" w:customStyle="1" w:styleId="56">
    <w:name w:val="album-div"/>
    <w:basedOn w:val="1"/>
    <w:qFormat/>
    <w:uiPriority w:val="99"/>
    <w:pPr>
      <w:widowControl/>
      <w:adjustRightInd/>
      <w:spacing w:before="100" w:beforeAutospacing="1" w:after="100" w:afterAutospacing="1" w:line="240" w:lineRule="auto"/>
      <w:jc w:val="left"/>
    </w:pPr>
    <w:rPr>
      <w:rFonts w:ascii="Arial" w:hAnsi="Arial" w:cs="Arial"/>
      <w:sz w:val="24"/>
      <w:szCs w:val="24"/>
    </w:rPr>
  </w:style>
  <w:style w:type="paragraph" w:customStyle="1" w:styleId="57">
    <w:name w:val="Char4"/>
    <w:basedOn w:val="1"/>
    <w:qFormat/>
    <w:uiPriority w:val="99"/>
    <w:pPr>
      <w:adjustRightInd/>
      <w:spacing w:line="240" w:lineRule="auto"/>
    </w:pPr>
    <w:rPr>
      <w:rFonts w:ascii="Courier New" w:hAnsi="Courier New" w:cs="Courier New"/>
      <w:kern w:val="2"/>
      <w:sz w:val="24"/>
      <w:szCs w:val="24"/>
    </w:rPr>
  </w:style>
  <w:style w:type="character" w:customStyle="1" w:styleId="58">
    <w:name w:val="样式7 Char Char"/>
    <w:link w:val="59"/>
    <w:qFormat/>
    <w:locked/>
    <w:uiPriority w:val="99"/>
    <w:rPr>
      <w:rFonts w:ascii="Courier New" w:hAnsi="Courier New" w:cs="Courier New"/>
      <w:sz w:val="28"/>
      <w:szCs w:val="28"/>
    </w:rPr>
  </w:style>
  <w:style w:type="paragraph" w:customStyle="1" w:styleId="59">
    <w:name w:val="样式7"/>
    <w:basedOn w:val="1"/>
    <w:link w:val="58"/>
    <w:qFormat/>
    <w:uiPriority w:val="99"/>
    <w:pPr>
      <w:adjustRightInd/>
      <w:spacing w:line="360" w:lineRule="auto"/>
      <w:ind w:firstLine="567"/>
    </w:pPr>
    <w:rPr>
      <w:rFonts w:ascii="Courier New" w:hAnsi="Courier New" w:cs="Courier New"/>
      <w:sz w:val="28"/>
      <w:szCs w:val="28"/>
    </w:rPr>
  </w:style>
  <w:style w:type="paragraph" w:customStyle="1" w:styleId="60">
    <w:name w:val="样式1"/>
    <w:basedOn w:val="3"/>
    <w:qFormat/>
    <w:uiPriority w:val="99"/>
    <w:pPr>
      <w:numPr>
        <w:ilvl w:val="0"/>
        <w:numId w:val="2"/>
      </w:numPr>
      <w:spacing w:line="240" w:lineRule="exact"/>
    </w:pPr>
    <w:rPr>
      <w:b w:val="0"/>
      <w:bCs w:val="0"/>
      <w:sz w:val="28"/>
      <w:szCs w:val="28"/>
    </w:rPr>
  </w:style>
  <w:style w:type="paragraph" w:customStyle="1" w:styleId="61">
    <w:name w:val="样式2"/>
    <w:basedOn w:val="18"/>
    <w:qFormat/>
    <w:uiPriority w:val="99"/>
    <w:pPr>
      <w:tabs>
        <w:tab w:val="left" w:pos="1260"/>
      </w:tabs>
      <w:spacing w:line="240" w:lineRule="exact"/>
      <w:ind w:left="100" w:leftChars="100"/>
    </w:pPr>
  </w:style>
  <w:style w:type="character" w:customStyle="1" w:styleId="62">
    <w:name w:val="apple-converted-space"/>
    <w:basedOn w:val="27"/>
    <w:qFormat/>
    <w:uiPriority w:val="99"/>
  </w:style>
  <w:style w:type="character" w:customStyle="1" w:styleId="63">
    <w:name w:val="title_zhengwen1"/>
    <w:basedOn w:val="27"/>
    <w:qFormat/>
    <w:uiPriority w:val="99"/>
    <w:rPr>
      <w:color w:val="000000"/>
      <w:sz w:val="21"/>
      <w:szCs w:val="21"/>
    </w:rPr>
  </w:style>
  <w:style w:type="character" w:customStyle="1" w:styleId="64">
    <w:name w:val="headline-content2"/>
    <w:basedOn w:val="27"/>
    <w:qFormat/>
    <w:uiPriority w:val="99"/>
  </w:style>
  <w:style w:type="character" w:customStyle="1" w:styleId="65">
    <w:name w:val="title"/>
    <w:basedOn w:val="27"/>
    <w:qFormat/>
    <w:uiPriority w:val="99"/>
  </w:style>
  <w:style w:type="character" w:customStyle="1" w:styleId="66">
    <w:name w:val="albumcount"/>
    <w:basedOn w:val="27"/>
    <w:qFormat/>
    <w:uiPriority w:val="99"/>
  </w:style>
  <w:style w:type="paragraph" w:customStyle="1" w:styleId="67">
    <w:name w:val="Char Char Char1 Char Char Char Char1"/>
    <w:basedOn w:val="1"/>
    <w:qFormat/>
    <w:uiPriority w:val="99"/>
    <w:pPr>
      <w:adjustRightInd/>
      <w:spacing w:line="240" w:lineRule="auto"/>
    </w:pPr>
    <w:rPr>
      <w:rFonts w:ascii="Arial" w:hAnsi="Arial" w:cs="Arial"/>
      <w:kern w:val="2"/>
      <w:sz w:val="32"/>
      <w:szCs w:val="32"/>
    </w:rPr>
  </w:style>
  <w:style w:type="paragraph" w:customStyle="1" w:styleId="68">
    <w:name w:val="Char41"/>
    <w:basedOn w:val="1"/>
    <w:qFormat/>
    <w:uiPriority w:val="99"/>
    <w:pPr>
      <w:adjustRightInd/>
      <w:spacing w:line="240" w:lineRule="auto"/>
    </w:pPr>
    <w:rPr>
      <w:rFonts w:ascii="Courier New" w:hAnsi="Courier New" w:cs="Courier New"/>
      <w:kern w:val="2"/>
      <w:sz w:val="24"/>
      <w:szCs w:val="24"/>
    </w:rPr>
  </w:style>
  <w:style w:type="paragraph" w:customStyle="1" w:styleId="69">
    <w:name w:val="样式 标题 2 + 宋体 四号 非加粗 行距: 固定值 28 磅"/>
    <w:basedOn w:val="3"/>
    <w:qFormat/>
    <w:uiPriority w:val="99"/>
    <w:pPr>
      <w:adjustRightInd/>
      <w:spacing w:line="440" w:lineRule="exact"/>
    </w:pPr>
    <w:rPr>
      <w:rFonts w:ascii="宋体" w:hAnsi="宋体" w:eastAsia="宋体" w:cs="宋体"/>
      <w:b w:val="0"/>
      <w:bCs w:val="0"/>
      <w:kern w:val="2"/>
      <w:sz w:val="28"/>
      <w:szCs w:val="28"/>
    </w:rPr>
  </w:style>
  <w:style w:type="paragraph" w:customStyle="1" w:styleId="70">
    <w:name w:val="样式 标题 2 + 宋体 四号 非加粗 行距: 固定值 22 磅1"/>
    <w:basedOn w:val="3"/>
    <w:qFormat/>
    <w:uiPriority w:val="99"/>
    <w:pPr>
      <w:adjustRightInd/>
      <w:spacing w:line="560" w:lineRule="exact"/>
    </w:pPr>
    <w:rPr>
      <w:rFonts w:ascii="宋体" w:hAnsi="宋体" w:eastAsia="宋体" w:cs="宋体"/>
      <w:b w:val="0"/>
      <w:bCs w:val="0"/>
      <w:kern w:val="2"/>
      <w:sz w:val="28"/>
      <w:szCs w:val="28"/>
    </w:rPr>
  </w:style>
  <w:style w:type="paragraph" w:customStyle="1" w:styleId="71">
    <w:name w:val="List Paragraph"/>
    <w:basedOn w:val="1"/>
    <w:qFormat/>
    <w:uiPriority w:val="99"/>
    <w:pPr>
      <w:ind w:firstLine="420" w:firstLineChars="200"/>
    </w:pPr>
  </w:style>
  <w:style w:type="paragraph" w:customStyle="1" w:styleId="72">
    <w:name w:val="Char Char Char Char Char Char Char Char Char Char Char Char Char Char Char Char"/>
    <w:basedOn w:val="1"/>
    <w:qFormat/>
    <w:uiPriority w:val="99"/>
    <w:pPr>
      <w:adjustRightInd/>
      <w:snapToGrid w:val="0"/>
      <w:spacing w:line="360" w:lineRule="auto"/>
      <w:ind w:firstLine="200" w:firstLineChars="200"/>
    </w:pPr>
    <w:rPr>
      <w:rFonts w:ascii="Times New Roman" w:hAnsi="Times New Roman" w:eastAsia="仿宋_GB2312" w:cs="Times New Roman"/>
      <w:kern w:val="2"/>
      <w:sz w:val="24"/>
      <w:szCs w:val="24"/>
    </w:rPr>
  </w:style>
  <w:style w:type="character" w:customStyle="1" w:styleId="73">
    <w:name w:val="font41"/>
    <w:basedOn w:val="27"/>
    <w:qFormat/>
    <w:uiPriority w:val="0"/>
    <w:rPr>
      <w:rFonts w:hint="eastAsia" w:ascii="宋体" w:hAnsi="宋体" w:eastAsia="宋体" w:cs="宋体"/>
      <w:color w:val="000000"/>
      <w:sz w:val="20"/>
      <w:szCs w:val="20"/>
      <w:u w:val="none"/>
    </w:rPr>
  </w:style>
  <w:style w:type="character" w:customStyle="1" w:styleId="74">
    <w:name w:val="font01"/>
    <w:basedOn w:val="27"/>
    <w:qFormat/>
    <w:uiPriority w:val="0"/>
    <w:rPr>
      <w:rFonts w:hint="eastAsia" w:ascii="宋体" w:hAnsi="宋体" w:eastAsia="宋体" w:cs="宋体"/>
      <w:color w:val="000000"/>
      <w:sz w:val="21"/>
      <w:szCs w:val="21"/>
      <w:u w:val="none"/>
      <w:vertAlign w:val="superscript"/>
    </w:rPr>
  </w:style>
  <w:style w:type="character" w:customStyle="1" w:styleId="75">
    <w:name w:val="font11"/>
    <w:basedOn w:val="27"/>
    <w:qFormat/>
    <w:uiPriority w:val="0"/>
    <w:rPr>
      <w:rFonts w:hint="eastAsia" w:ascii="宋体" w:hAnsi="宋体" w:eastAsia="宋体" w:cs="宋体"/>
      <w:color w:val="000000"/>
      <w:sz w:val="21"/>
      <w:szCs w:val="21"/>
      <w:u w:val="none"/>
    </w:rPr>
  </w:style>
  <w:style w:type="paragraph" w:customStyle="1" w:styleId="76">
    <w:name w:val="报告正文"/>
    <w:basedOn w:val="1"/>
    <w:qFormat/>
    <w:uiPriority w:val="0"/>
    <w:pPr>
      <w:spacing w:line="500" w:lineRule="exact"/>
      <w:ind w:firstLine="567"/>
    </w:pPr>
    <w:rPr>
      <w:rFonts w:ascii="仿宋_GB2312" w:hAnsi="Courier New"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0"/>
    <customShpInfo spid="_x0000_s4101"/>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辽宁方正房产土地资产评估有限责任公司     电话：0421-2639200      传真：0421-2617710办公地址：朝阳市双塔区珠江路三段57号                            邮编：122000</Company>
  <Pages>18</Pages>
  <Words>6612</Words>
  <Characters>7026</Characters>
  <Lines>0</Lines>
  <Paragraphs>0</Paragraphs>
  <TotalTime>26</TotalTime>
  <ScaleCrop>false</ScaleCrop>
  <LinksUpToDate>false</LinksUpToDate>
  <CharactersWithSpaces>7458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2017-03-08T07:34:00Z</dcterms:created>
  <dc:creator>微软用户</dc:creator>
  <cp:lastModifiedBy>Administrator</cp:lastModifiedBy>
  <cp:lastPrinted>2022-08-12T05:25:48Z</cp:lastPrinted>
  <dcterms:modified xsi:type="dcterms:W3CDTF">2022-08-12T05:45:46Z</dcterms:modified>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EF821C1A3DAE4B33A66142A80F248F1D</vt:lpwstr>
  </property>
</Properties>
</file>