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0"/>
        </w:tabs>
        <w:jc w:val="center"/>
        <w:rPr>
          <w:rFonts w:ascii="宋体" w:hAnsi="宋体"/>
          <w:b/>
          <w:bCs/>
          <w:sz w:val="44"/>
          <w:szCs w:val="44"/>
        </w:rPr>
      </w:pPr>
    </w:p>
    <w:p>
      <w:pPr>
        <w:pStyle w:val="2"/>
      </w:pPr>
    </w:p>
    <w:p>
      <w:pPr>
        <w:tabs>
          <w:tab w:val="left" w:pos="4140"/>
        </w:tabs>
        <w:jc w:val="center"/>
        <w:rPr>
          <w:rFonts w:ascii="宋体" w:hAnsi="宋体"/>
          <w:b/>
          <w:bCs/>
          <w:sz w:val="44"/>
          <w:szCs w:val="44"/>
        </w:rPr>
      </w:pPr>
    </w:p>
    <w:p>
      <w:pPr>
        <w:tabs>
          <w:tab w:val="left" w:pos="4140"/>
        </w:tabs>
        <w:jc w:val="center"/>
        <w:rPr>
          <w:rFonts w:ascii="宋体" w:hAnsi="宋体"/>
          <w:b/>
          <w:bCs/>
          <w:sz w:val="44"/>
          <w:szCs w:val="44"/>
        </w:rPr>
      </w:pPr>
    </w:p>
    <w:p>
      <w:pPr>
        <w:tabs>
          <w:tab w:val="left" w:pos="4140"/>
        </w:tabs>
        <w:jc w:val="center"/>
        <w:rPr>
          <w:rFonts w:ascii="宋体" w:hAnsi="宋体"/>
          <w:b/>
          <w:bCs/>
          <w:sz w:val="44"/>
          <w:szCs w:val="44"/>
        </w:rPr>
      </w:pPr>
    </w:p>
    <w:p>
      <w:pPr>
        <w:jc w:val="center"/>
        <w:rPr>
          <w:rFonts w:ascii="楷体_GB2312" w:hAnsi="宋体" w:eastAsia="楷体_GB2312"/>
          <w:sz w:val="32"/>
        </w:rPr>
      </w:pPr>
      <w:r>
        <w:rPr>
          <w:rFonts w:hint="eastAsia" w:ascii="宋体" w:hAnsi="宋体"/>
          <w:b/>
          <w:bCs/>
          <w:sz w:val="44"/>
          <w:szCs w:val="44"/>
        </w:rPr>
        <w:t>涉执房地产处置司法评估报告</w:t>
      </w:r>
    </w:p>
    <w:p>
      <w:pPr>
        <w:rPr>
          <w:rFonts w:ascii="楷体_GB2312" w:hAnsi="宋体" w:eastAsia="楷体_GB2312"/>
          <w:sz w:val="32"/>
        </w:rPr>
      </w:pPr>
    </w:p>
    <w:p>
      <w:pPr>
        <w:rPr>
          <w:rFonts w:ascii="楷体_GB2312" w:hAnsi="宋体" w:eastAsia="楷体_GB2312"/>
          <w:sz w:val="32"/>
        </w:rPr>
      </w:pPr>
    </w:p>
    <w:p>
      <w:pPr>
        <w:rPr>
          <w:rFonts w:ascii="楷体_GB2312" w:hAnsi="宋体" w:eastAsia="楷体_GB2312"/>
          <w:sz w:val="32"/>
        </w:rPr>
      </w:pPr>
    </w:p>
    <w:p>
      <w:pPr>
        <w:rPr>
          <w:rFonts w:ascii="楷体_GB2312" w:hAnsi="宋体" w:eastAsia="楷体_GB2312"/>
          <w:sz w:val="32"/>
        </w:rPr>
      </w:pPr>
    </w:p>
    <w:p>
      <w:pPr>
        <w:rPr>
          <w:rFonts w:ascii="楷体_GB2312" w:hAnsi="宋体" w:eastAsia="楷体_GB2312"/>
          <w:sz w:val="32"/>
        </w:rPr>
      </w:pPr>
    </w:p>
    <w:p>
      <w:pPr>
        <w:rPr>
          <w:rFonts w:ascii="楷体_GB2312" w:hAnsi="宋体" w:eastAsia="楷体_GB2312"/>
          <w:sz w:val="32"/>
        </w:rPr>
      </w:pPr>
    </w:p>
    <w:p>
      <w:pPr>
        <w:rPr>
          <w:rFonts w:ascii="楷体_GB2312" w:hAnsi="宋体" w:eastAsia="楷体_GB2312"/>
          <w:sz w:val="32"/>
        </w:rPr>
      </w:pPr>
    </w:p>
    <w:p>
      <w:pPr>
        <w:ind w:left="2159" w:hanging="2159" w:hangingChars="717"/>
        <w:rPr>
          <w:rFonts w:ascii="仿宋_GB2312" w:hAnsi="宋体" w:eastAsia="仿宋_GB2312"/>
          <w:b/>
          <w:bCs/>
          <w:sz w:val="30"/>
          <w:szCs w:val="30"/>
        </w:rPr>
      </w:pPr>
    </w:p>
    <w:p>
      <w:pPr>
        <w:ind w:left="2159" w:hanging="2159" w:hangingChars="717"/>
        <w:rPr>
          <w:rFonts w:ascii="仿宋_GB2312" w:hAnsi="宋体" w:eastAsia="仿宋_GB2312"/>
          <w:b/>
          <w:bCs/>
          <w:sz w:val="30"/>
          <w:szCs w:val="30"/>
        </w:rPr>
      </w:pPr>
    </w:p>
    <w:p>
      <w:pPr>
        <w:ind w:left="2159" w:hanging="2159" w:hangingChars="717"/>
        <w:rPr>
          <w:rFonts w:ascii="仿宋_GB2312" w:hAnsi="宋体" w:eastAsia="仿宋_GB2312"/>
          <w:b/>
          <w:sz w:val="28"/>
          <w:szCs w:val="28"/>
        </w:rPr>
      </w:pPr>
      <w:r>
        <w:rPr>
          <w:rFonts w:hint="eastAsia" w:ascii="仿宋_GB2312" w:hAnsi="宋体" w:eastAsia="仿宋_GB2312"/>
          <w:b/>
          <w:bCs/>
          <w:sz w:val="30"/>
          <w:szCs w:val="30"/>
        </w:rPr>
        <w:t>估价项目名称：</w:t>
      </w:r>
      <w:r>
        <w:rPr>
          <w:rFonts w:hint="eastAsia" w:ascii="仿宋_GB2312" w:hAnsi="宋体" w:eastAsia="仿宋_GB2312"/>
          <w:sz w:val="30"/>
          <w:szCs w:val="30"/>
        </w:rPr>
        <w:t>丰泽区城东片区安吉路中段西侧美仙山花苑4号楼702的住宅房地产市场价格估价</w:t>
      </w:r>
    </w:p>
    <w:p>
      <w:pPr>
        <w:spacing w:line="520" w:lineRule="exact"/>
        <w:rPr>
          <w:rFonts w:ascii="仿宋_GB2312" w:hAnsi="宋体" w:eastAsia="仿宋_GB2312"/>
          <w:sz w:val="28"/>
          <w:szCs w:val="28"/>
        </w:rPr>
      </w:pPr>
      <w:r>
        <w:rPr>
          <w:rFonts w:hint="eastAsia" w:ascii="仿宋_GB2312" w:hAnsi="宋体" w:eastAsia="仿宋_GB2312"/>
          <w:b/>
          <w:sz w:val="28"/>
          <w:szCs w:val="28"/>
        </w:rPr>
        <w:t>估价委托人：</w:t>
      </w:r>
      <w:r>
        <w:rPr>
          <w:rFonts w:hint="eastAsia" w:ascii="仿宋_GB2312" w:hAnsi="宋体" w:eastAsia="仿宋_GB2312" w:cs="宋体"/>
          <w:sz w:val="28"/>
          <w:szCs w:val="28"/>
        </w:rPr>
        <w:t>晋江市人民法院</w:t>
      </w:r>
    </w:p>
    <w:p>
      <w:pPr>
        <w:spacing w:line="520" w:lineRule="exact"/>
        <w:rPr>
          <w:rFonts w:ascii="仿宋_GB2312" w:hAnsi="宋体" w:eastAsia="仿宋_GB2312"/>
          <w:sz w:val="28"/>
          <w:szCs w:val="28"/>
        </w:rPr>
      </w:pPr>
      <w:r>
        <w:rPr>
          <w:rFonts w:hint="eastAsia" w:ascii="仿宋_GB2312" w:hAnsi="宋体" w:eastAsia="仿宋_GB2312"/>
          <w:b/>
          <w:sz w:val="28"/>
          <w:szCs w:val="28"/>
        </w:rPr>
        <w:t>估价机构：</w:t>
      </w:r>
      <w:r>
        <w:rPr>
          <w:rFonts w:hint="eastAsia" w:ascii="仿宋_GB2312" w:hAnsi="宋体" w:eastAsia="仿宋_GB2312"/>
          <w:sz w:val="28"/>
          <w:szCs w:val="28"/>
        </w:rPr>
        <w:t>福建明达房地产评估有限公司</w:t>
      </w:r>
    </w:p>
    <w:p>
      <w:pPr>
        <w:rPr>
          <w:rFonts w:ascii="仿宋_GB2312" w:hAnsi="宋体" w:eastAsia="仿宋_GB2312"/>
          <w:sz w:val="28"/>
          <w:szCs w:val="28"/>
        </w:rPr>
      </w:pPr>
      <w:r>
        <w:rPr>
          <w:rFonts w:hint="eastAsia" w:ascii="仿宋_GB2312" w:hAnsi="宋体" w:eastAsia="仿宋_GB2312"/>
          <w:b/>
          <w:sz w:val="28"/>
          <w:szCs w:val="28"/>
        </w:rPr>
        <w:t>注册房地产估价师：</w:t>
      </w:r>
      <w:r>
        <w:rPr>
          <w:rFonts w:hint="eastAsia" w:ascii="仿宋_GB2312" w:hAnsi="宋体" w:eastAsia="仿宋_GB2312"/>
          <w:sz w:val="28"/>
          <w:szCs w:val="28"/>
        </w:rPr>
        <w:t>同艳楠（注册号：</w:t>
      </w:r>
      <w:r>
        <w:rPr>
          <w:rFonts w:ascii="仿宋_GB2312" w:hAnsi="宋体" w:eastAsia="仿宋_GB2312"/>
          <w:sz w:val="28"/>
          <w:szCs w:val="28"/>
        </w:rPr>
        <w:t>3520100034</w:t>
      </w:r>
      <w:r>
        <w:rPr>
          <w:rFonts w:hint="eastAsia" w:ascii="仿宋_GB2312" w:hAnsi="宋体" w:eastAsia="仿宋_GB2312"/>
          <w:sz w:val="28"/>
          <w:szCs w:val="28"/>
        </w:rPr>
        <w:t>）</w:t>
      </w:r>
    </w:p>
    <w:p>
      <w:pPr>
        <w:ind w:firstLine="140" w:firstLineChars="50"/>
        <w:rPr>
          <w:rFonts w:ascii="仿宋_GB2312" w:hAnsi="宋体" w:eastAsia="仿宋_GB2312"/>
          <w:sz w:val="28"/>
          <w:szCs w:val="28"/>
        </w:rPr>
      </w:pPr>
      <w:r>
        <w:rPr>
          <w:rFonts w:hint="eastAsia" w:ascii="仿宋_GB2312" w:hAnsi="宋体" w:eastAsia="仿宋_GB2312"/>
          <w:sz w:val="28"/>
          <w:szCs w:val="28"/>
        </w:rPr>
        <w:t xml:space="preserve">                 朱金华（注册号：</w:t>
      </w:r>
      <w:r>
        <w:rPr>
          <w:rFonts w:ascii="仿宋_GB2312" w:hAnsi="宋体" w:eastAsia="仿宋_GB2312"/>
          <w:sz w:val="28"/>
          <w:szCs w:val="28"/>
        </w:rPr>
        <w:t>3520140094</w:t>
      </w:r>
      <w:r>
        <w:rPr>
          <w:rFonts w:hint="eastAsia" w:ascii="仿宋_GB2312" w:hAnsi="宋体" w:eastAsia="仿宋_GB2312"/>
          <w:sz w:val="28"/>
          <w:szCs w:val="28"/>
        </w:rPr>
        <w:t>）</w:t>
      </w:r>
    </w:p>
    <w:p>
      <w:pPr>
        <w:spacing w:line="520" w:lineRule="exact"/>
        <w:rPr>
          <w:rFonts w:ascii="仿宋_GB2312" w:hAnsi="宋体" w:eastAsia="仿宋_GB2312"/>
          <w:spacing w:val="-4"/>
          <w:sz w:val="28"/>
          <w:szCs w:val="28"/>
        </w:rPr>
      </w:pPr>
      <w:r>
        <w:rPr>
          <w:rFonts w:hint="eastAsia" w:ascii="仿宋_GB2312" w:hAnsi="宋体" w:eastAsia="仿宋_GB2312"/>
          <w:b/>
          <w:spacing w:val="-4"/>
          <w:sz w:val="28"/>
          <w:szCs w:val="28"/>
        </w:rPr>
        <w:t>估价报告出具日期：</w:t>
      </w:r>
      <w:r>
        <w:rPr>
          <w:rFonts w:hint="eastAsia" w:ascii="仿宋_GB2312" w:hAnsi="宋体" w:eastAsia="仿宋_GB2312"/>
          <w:spacing w:val="-4"/>
          <w:sz w:val="28"/>
          <w:szCs w:val="28"/>
        </w:rPr>
        <w:t>二○二二年六月十五日</w:t>
      </w:r>
    </w:p>
    <w:p>
      <w:pPr>
        <w:spacing w:line="520" w:lineRule="exact"/>
        <w:rPr>
          <w:rFonts w:ascii="仿宋_GB2312" w:hAnsi="宋体" w:eastAsia="仿宋_GB2312"/>
          <w:sz w:val="28"/>
          <w:szCs w:val="28"/>
        </w:rPr>
      </w:pPr>
      <w:r>
        <w:rPr>
          <w:rFonts w:hint="eastAsia" w:ascii="仿宋_GB2312" w:hAnsi="宋体" w:eastAsia="仿宋_GB2312"/>
          <w:b/>
          <w:sz w:val="28"/>
          <w:szCs w:val="28"/>
        </w:rPr>
        <w:t>估价报告编号：</w:t>
      </w:r>
      <w:r>
        <w:rPr>
          <w:rFonts w:hint="eastAsia" w:ascii="仿宋_GB2312" w:hAnsi="宋体" w:eastAsia="仿宋_GB2312"/>
          <w:sz w:val="28"/>
          <w:szCs w:val="28"/>
        </w:rPr>
        <w:t>闽明达房评字[2022]第</w:t>
      </w:r>
      <w:r>
        <w:rPr>
          <w:rFonts w:hint="eastAsia" w:ascii="仿宋_GB2312" w:hAnsi="宋体" w:eastAsia="仿宋_GB2312"/>
          <w:sz w:val="28"/>
          <w:szCs w:val="28"/>
          <w:lang w:val="en-US" w:eastAsia="zh-CN"/>
        </w:rPr>
        <w:t>0003</w:t>
      </w:r>
      <w:r>
        <w:rPr>
          <w:rFonts w:hint="eastAsia" w:ascii="仿宋_GB2312" w:hAnsi="宋体" w:eastAsia="仿宋_GB2312"/>
          <w:sz w:val="28"/>
          <w:szCs w:val="28"/>
        </w:rPr>
        <w:t>号</w:t>
      </w:r>
    </w:p>
    <w:p>
      <w:pPr>
        <w:spacing w:line="520" w:lineRule="exact"/>
        <w:rPr>
          <w:rFonts w:ascii="仿宋_GB2312" w:hAnsi="宋体" w:eastAsia="仿宋_GB2312"/>
          <w:sz w:val="28"/>
          <w:szCs w:val="28"/>
        </w:rPr>
      </w:pPr>
    </w:p>
    <w:p>
      <w:pPr>
        <w:spacing w:line="660" w:lineRule="exact"/>
        <w:jc w:val="center"/>
        <w:rPr>
          <w:rFonts w:ascii="宋体" w:hAnsi="宋体" w:cs="宋体"/>
          <w:b/>
          <w:bCs/>
          <w:sz w:val="44"/>
          <w:szCs w:val="44"/>
        </w:rPr>
      </w:pPr>
      <w:r>
        <w:rPr>
          <w:rFonts w:hint="eastAsia" w:ascii="宋体" w:hAnsi="宋体" w:cs="宋体"/>
          <w:b/>
          <w:bCs/>
          <w:sz w:val="44"/>
          <w:szCs w:val="44"/>
        </w:rPr>
        <w:t>致估价委托人函</w:t>
      </w:r>
    </w:p>
    <w:p>
      <w:pPr>
        <w:spacing w:line="500" w:lineRule="exact"/>
        <w:jc w:val="center"/>
        <w:rPr>
          <w:rFonts w:ascii="仿宋_GB2312" w:hAnsi="宋体" w:eastAsia="仿宋_GB2312"/>
          <w:sz w:val="28"/>
          <w:szCs w:val="28"/>
        </w:rPr>
      </w:pPr>
      <w:r>
        <w:rPr>
          <w:rFonts w:hint="eastAsia" w:ascii="仿宋_GB2312" w:hAnsi="宋体" w:eastAsia="仿宋_GB2312"/>
          <w:sz w:val="28"/>
          <w:szCs w:val="28"/>
        </w:rPr>
        <w:t>闽明达房评字[2022]第</w:t>
      </w:r>
      <w:r>
        <w:rPr>
          <w:rFonts w:hint="eastAsia" w:ascii="仿宋_GB2312" w:hAnsi="宋体" w:eastAsia="仿宋_GB2312"/>
          <w:sz w:val="28"/>
          <w:szCs w:val="28"/>
          <w:lang w:val="en-US" w:eastAsia="zh-CN"/>
        </w:rPr>
        <w:t>0003</w:t>
      </w:r>
      <w:r>
        <w:rPr>
          <w:rFonts w:hint="eastAsia" w:ascii="仿宋_GB2312" w:hAnsi="宋体" w:eastAsia="仿宋_GB2312"/>
          <w:sz w:val="28"/>
          <w:szCs w:val="28"/>
        </w:rPr>
        <w:t>号</w:t>
      </w:r>
    </w:p>
    <w:p>
      <w:pPr>
        <w:spacing w:line="540" w:lineRule="exact"/>
        <w:rPr>
          <w:rFonts w:ascii="仿宋_GB2312" w:hAnsi="宋体" w:eastAsia="仿宋_GB2312"/>
          <w:sz w:val="28"/>
        </w:rPr>
      </w:pPr>
    </w:p>
    <w:p>
      <w:pPr>
        <w:spacing w:line="520" w:lineRule="exact"/>
        <w:rPr>
          <w:rFonts w:ascii="仿宋_GB2312" w:hAnsi="宋体" w:eastAsia="仿宋_GB2312"/>
          <w:sz w:val="28"/>
        </w:rPr>
      </w:pPr>
      <w:r>
        <w:rPr>
          <w:rFonts w:hint="eastAsia" w:ascii="仿宋_GB2312" w:hAnsi="宋体" w:eastAsia="仿宋_GB2312"/>
          <w:sz w:val="28"/>
        </w:rPr>
        <w:t>晋江市人民法院：</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受贵方的委托，本估价机构委派注册房地产估价师同艳楠（注册号：</w:t>
      </w:r>
      <w:r>
        <w:rPr>
          <w:rFonts w:ascii="仿宋_GB2312" w:hAnsi="宋体" w:eastAsia="仿宋_GB2312"/>
          <w:sz w:val="28"/>
          <w:szCs w:val="28"/>
        </w:rPr>
        <w:t>3520100034</w:t>
      </w:r>
      <w:r>
        <w:rPr>
          <w:rFonts w:hint="eastAsia" w:ascii="仿宋_GB2312" w:hAnsi="宋体" w:eastAsia="仿宋_GB2312"/>
          <w:sz w:val="28"/>
          <w:szCs w:val="28"/>
        </w:rPr>
        <w:t>）、朱金华（注册号：</w:t>
      </w:r>
      <w:r>
        <w:rPr>
          <w:rFonts w:ascii="仿宋_GB2312" w:hAnsi="宋体" w:eastAsia="仿宋_GB2312"/>
          <w:sz w:val="28"/>
          <w:szCs w:val="28"/>
        </w:rPr>
        <w:t>3520140094</w:t>
      </w:r>
      <w:r>
        <w:rPr>
          <w:rFonts w:hint="eastAsia" w:ascii="仿宋_GB2312" w:hAnsi="宋体" w:eastAsia="仿宋_GB2312"/>
          <w:sz w:val="28"/>
          <w:szCs w:val="28"/>
        </w:rPr>
        <w:t>）及助手房地产估价员施清鑫（岗位证号：MD001）对估价对象进行了估价，有关内容报告如下：</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估价目的：为人民法院确定财产处置参考价提供参考依据。</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对象：估价对象为位于丰泽区城东片区安吉路中段西侧美仙山花苑4号楼702的住宅房地产；财产范围包括建筑物（含室内二次装修）、分摊的土地使用权（含土地出让金）及公共配套设施，不包括动产、债权债务、特许经营权等其他财产或权益。</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估价委托人提供的《不动产权证书》（证号：闽（2019）泉州市不动产权第0002647号、闽（2019）泉州市不动产权第0002648号），权利人为郑金聪、江燕玲，共有情况为共同共有，坐落于丰泽区城东片区安吉路中段西侧美仙山花苑4号楼702，不动产单元号为 350503 013014 GB00022 F00050049，权利类型为国有建设用地使用权/房屋所有权，权利性质为出让/市场化商品房，用途为城镇住宅用地/住宅，房屋建筑面积为134.09平方米，房屋结构为钢筋混凝士结构，房屋总层数为18层，所在层为第7层，取得方式为买卖，宗地面积为82026.8平方米，使用期限至2088年08月30日止。估价对象房屋现状为自住。</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价值时点：二○二二年六月六日，为</w:t>
      </w:r>
      <w:r>
        <w:rPr>
          <w:rFonts w:hint="eastAsia" w:ascii="仿宋_GB2312" w:hAnsi="宋体" w:eastAsia="仿宋_GB2312"/>
          <w:sz w:val="28"/>
        </w:rPr>
        <w:t>实地查勘日</w:t>
      </w:r>
      <w:r>
        <w:rPr>
          <w:rFonts w:hint="eastAsia" w:ascii="仿宋_GB2312" w:hAnsi="宋体" w:eastAsia="仿宋_GB2312"/>
          <w:sz w:val="28"/>
          <w:szCs w:val="28"/>
        </w:rPr>
        <w:t>。</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价值类型：市场价格。</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估价方法：比较法、收益法。</w:t>
      </w:r>
    </w:p>
    <w:p>
      <w:pPr>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结果：估价人员根据评估目的，遵循估价原则，按照估价程序和技术标准，通过实地查勘和市场调查，选用比较法、收益法并进行认真的分析、综合和严密的测算，确定估价对象房地产在价值时点二○二二年六月六日的</w:t>
      </w:r>
      <w:r>
        <w:rPr>
          <w:rFonts w:hint="eastAsia" w:ascii="仿宋_GB2312" w:hAnsi="宋体" w:eastAsia="仿宋_GB2312"/>
          <w:b/>
          <w:bCs/>
          <w:sz w:val="28"/>
          <w:szCs w:val="28"/>
        </w:rPr>
        <w:t>市场价格为人民币</w:t>
      </w:r>
      <w:r>
        <w:rPr>
          <w:rFonts w:ascii="仿宋_GB2312" w:hAnsi="宋体" w:eastAsia="仿宋_GB2312"/>
          <w:b/>
          <w:bCs/>
          <w:sz w:val="28"/>
          <w:szCs w:val="28"/>
        </w:rPr>
        <w:fldChar w:fldCharType="begin"/>
      </w:r>
      <w:r>
        <w:rPr>
          <w:rFonts w:ascii="仿宋_GB2312" w:hAnsi="宋体" w:eastAsia="仿宋_GB2312"/>
          <w:b/>
          <w:bCs/>
          <w:sz w:val="28"/>
          <w:szCs w:val="28"/>
        </w:rPr>
        <w:instrText xml:space="preserve"> = 2114063 \* CHINESENUM2 \* MERGEFORMAT </w:instrText>
      </w:r>
      <w:r>
        <w:rPr>
          <w:rFonts w:ascii="仿宋_GB2312" w:hAnsi="宋体" w:eastAsia="仿宋_GB2312"/>
          <w:b/>
          <w:bCs/>
          <w:sz w:val="28"/>
          <w:szCs w:val="28"/>
        </w:rPr>
        <w:fldChar w:fldCharType="separate"/>
      </w:r>
      <w:r>
        <w:rPr>
          <w:rFonts w:hint="eastAsia" w:ascii="仿宋_GB2312" w:hAnsi="宋体" w:eastAsia="仿宋_GB2312"/>
          <w:b/>
          <w:bCs/>
          <w:sz w:val="28"/>
          <w:szCs w:val="28"/>
        </w:rPr>
        <w:t>贰佰壹拾壹万肆仟零陆拾叁</w:t>
      </w:r>
      <w:r>
        <w:rPr>
          <w:rFonts w:ascii="仿宋_GB2312" w:hAnsi="宋体" w:eastAsia="仿宋_GB2312"/>
          <w:b/>
          <w:bCs/>
          <w:sz w:val="28"/>
          <w:szCs w:val="28"/>
        </w:rPr>
        <w:fldChar w:fldCharType="end"/>
      </w:r>
      <w:r>
        <w:rPr>
          <w:rFonts w:hint="eastAsia" w:ascii="仿宋_GB2312" w:hAnsi="宋体" w:eastAsia="仿宋_GB2312"/>
          <w:b/>
          <w:bCs/>
          <w:sz w:val="28"/>
          <w:szCs w:val="28"/>
        </w:rPr>
        <w:t>元（RMB：</w:t>
      </w:r>
      <w:r>
        <w:rPr>
          <w:rFonts w:ascii="仿宋_GB2312" w:hAnsi="宋体" w:eastAsia="仿宋_GB2312"/>
          <w:b/>
          <w:bCs/>
          <w:sz w:val="28"/>
          <w:szCs w:val="28"/>
        </w:rPr>
        <w:t>2114063</w:t>
      </w:r>
      <w:r>
        <w:rPr>
          <w:rFonts w:hint="eastAsia" w:ascii="仿宋_GB2312" w:hAnsi="宋体" w:eastAsia="仿宋_GB2312"/>
          <w:b/>
          <w:bCs/>
          <w:sz w:val="28"/>
          <w:szCs w:val="28"/>
        </w:rPr>
        <w:t>元），</w:t>
      </w:r>
      <w:r>
        <w:rPr>
          <w:rFonts w:hint="eastAsia" w:ascii="仿宋_GB2312" w:hAnsi="宋体" w:eastAsia="仿宋_GB2312"/>
          <w:sz w:val="28"/>
          <w:szCs w:val="28"/>
        </w:rPr>
        <w:t xml:space="preserve">估价对象评估价格详情见下表： </w:t>
      </w:r>
    </w:p>
    <w:p>
      <w:pPr>
        <w:spacing w:line="400" w:lineRule="exact"/>
        <w:ind w:firstLine="551" w:firstLineChars="196"/>
        <w:jc w:val="center"/>
        <w:outlineLvl w:val="1"/>
        <w:rPr>
          <w:rFonts w:ascii="仿宋_GB2312" w:hAnsi="宋体" w:eastAsia="仿宋_GB2312"/>
          <w:b/>
          <w:bCs/>
          <w:sz w:val="28"/>
          <w:szCs w:val="28"/>
        </w:rPr>
      </w:pPr>
      <w:r>
        <w:rPr>
          <w:rFonts w:hint="eastAsia" w:ascii="仿宋_GB2312" w:hAnsi="宋体" w:eastAsia="仿宋_GB2312"/>
          <w:b/>
          <w:bCs/>
          <w:sz w:val="28"/>
          <w:szCs w:val="28"/>
        </w:rPr>
        <w:t>估价对象评估价格表</w:t>
      </w:r>
    </w:p>
    <w:tbl>
      <w:tblPr>
        <w:tblStyle w:val="26"/>
        <w:tblW w:w="876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3947"/>
        <w:gridCol w:w="1604"/>
        <w:gridCol w:w="1604"/>
        <w:gridCol w:w="16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3947"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估价对象</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建筑面积（㎡）</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市场单价</w:t>
            </w:r>
          </w:p>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（元/㎡）</w:t>
            </w:r>
          </w:p>
        </w:tc>
        <w:tc>
          <w:tcPr>
            <w:tcW w:w="1606"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市场价格</w:t>
            </w:r>
          </w:p>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3947"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丰泽区城东片区安吉路中段西侧美仙山花苑4号楼702</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134.09</w:t>
            </w:r>
            <w:r>
              <w:rPr>
                <w:rFonts w:ascii="仿宋_GB2312" w:hAnsi="宋体" w:eastAsia="仿宋_GB2312" w:cs="仿宋_GB2312"/>
                <w:color w:val="000000"/>
                <w:kern w:val="0"/>
                <w:sz w:val="28"/>
                <w:szCs w:val="28"/>
                <w:lang w:bidi="ar"/>
              </w:rPr>
              <w:t xml:space="preserve"> </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15766</w:t>
            </w:r>
          </w:p>
        </w:tc>
        <w:tc>
          <w:tcPr>
            <w:tcW w:w="1606"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2114063</w:t>
            </w:r>
          </w:p>
        </w:tc>
      </w:tr>
    </w:tbl>
    <w:p>
      <w:pPr>
        <w:spacing w:line="300" w:lineRule="exact"/>
        <w:ind w:firstLine="482"/>
        <w:rPr>
          <w:rFonts w:ascii="仿宋_GB2312" w:hAnsi="宋体" w:eastAsia="仿宋_GB2312"/>
          <w:b/>
          <w:bCs/>
          <w:sz w:val="24"/>
          <w:lang w:val="zh-CN"/>
        </w:rPr>
      </w:pPr>
      <w:r>
        <w:rPr>
          <w:rFonts w:hint="eastAsia" w:ascii="仿宋_GB2312" w:hAnsi="宋体" w:eastAsia="仿宋_GB2312"/>
          <w:b/>
          <w:bCs/>
          <w:sz w:val="24"/>
          <w:lang w:val="zh-CN"/>
        </w:rPr>
        <w:t>特别提示：</w:t>
      </w:r>
    </w:p>
    <w:p>
      <w:pPr>
        <w:spacing w:line="300" w:lineRule="exact"/>
        <w:ind w:firstLine="482"/>
        <w:rPr>
          <w:rFonts w:ascii="仿宋_GB2312" w:hAnsi="宋体" w:eastAsia="仿宋_GB2312"/>
          <w:sz w:val="24"/>
          <w:lang w:val="zh-CN"/>
        </w:rPr>
      </w:pPr>
      <w:bookmarkStart w:id="0" w:name="OLE_LINK5"/>
      <w:r>
        <w:rPr>
          <w:rFonts w:hint="eastAsia" w:ascii="仿宋_GB2312" w:hAnsi="宋体" w:eastAsia="仿宋_GB2312"/>
          <w:sz w:val="24"/>
          <w:lang w:val="zh-CN"/>
        </w:rPr>
        <w:t>（1）估价对象市场价格对应的交易税费按照法律法规规定，转让人和买受人各自负担己方税费；以上评估结果</w:t>
      </w:r>
      <w:r>
        <w:rPr>
          <w:rFonts w:hint="eastAsia" w:ascii="仿宋_GB2312" w:hAnsi="宋体" w:eastAsia="仿宋_GB2312"/>
          <w:sz w:val="24"/>
        </w:rPr>
        <w:t>未</w:t>
      </w:r>
      <w:r>
        <w:rPr>
          <w:rFonts w:hint="eastAsia" w:ascii="仿宋_GB2312" w:hAnsi="宋体" w:eastAsia="仿宋_GB2312"/>
          <w:sz w:val="24"/>
          <w:lang w:val="zh-CN"/>
        </w:rPr>
        <w:t>扣除</w:t>
      </w:r>
      <w:r>
        <w:rPr>
          <w:rFonts w:hint="eastAsia" w:ascii="仿宋_GB2312" w:hAnsi="宋体" w:eastAsia="仿宋_GB2312"/>
          <w:sz w:val="24"/>
        </w:rPr>
        <w:t>预计卖方需缴交税费</w:t>
      </w:r>
      <w:r>
        <w:rPr>
          <w:rFonts w:hint="eastAsia" w:ascii="仿宋_GB2312" w:hAnsi="宋体" w:eastAsia="仿宋_GB2312"/>
          <w:sz w:val="24"/>
          <w:lang w:val="zh-CN"/>
        </w:rPr>
        <w:t>，具体交易税费以实际成交额，在当地不动产交易中心税务窗口计算缴纳为准。</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2</w:t>
      </w:r>
      <w:r>
        <w:rPr>
          <w:rFonts w:hint="eastAsia" w:ascii="仿宋_GB2312" w:hAnsi="宋体" w:eastAsia="仿宋_GB2312"/>
          <w:sz w:val="24"/>
          <w:lang w:val="zh-CN"/>
        </w:rPr>
        <w:t>）本次评估估价结果未扣除评估费、拍卖费、诉讼费、律师费等财产处置费用；</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3</w:t>
      </w:r>
      <w:r>
        <w:rPr>
          <w:rFonts w:hint="eastAsia" w:ascii="仿宋_GB2312" w:hAnsi="宋体" w:eastAsia="仿宋_GB2312"/>
          <w:sz w:val="24"/>
          <w:lang w:val="zh-CN"/>
        </w:rPr>
        <w:t>）本估价结果包括估价对象室内二次装修但不包括家电家具、</w:t>
      </w:r>
      <w:r>
        <w:rPr>
          <w:rFonts w:hint="eastAsia" w:ascii="仿宋_GB2312" w:hAnsi="宋体" w:eastAsia="仿宋_GB2312"/>
          <w:sz w:val="24"/>
        </w:rPr>
        <w:t>中央空调</w:t>
      </w:r>
      <w:r>
        <w:rPr>
          <w:rFonts w:hint="eastAsia" w:ascii="仿宋_GB2312" w:hAnsi="宋体" w:eastAsia="仿宋_GB2312"/>
          <w:sz w:val="24"/>
          <w:lang w:val="zh-CN"/>
        </w:rPr>
        <w:t>等动产；</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4</w:t>
      </w:r>
      <w:r>
        <w:rPr>
          <w:rFonts w:hint="eastAsia" w:ascii="仿宋_GB2312" w:hAnsi="宋体" w:eastAsia="仿宋_GB2312"/>
          <w:sz w:val="24"/>
          <w:lang w:val="zh-CN"/>
        </w:rPr>
        <w:t>）应当按照法律规定和评估报告载明的用途、使用人、使用期限等使用范围使用评估报告。否则，房地产估价机构和注册房地产估价师依法不承担责任；</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5</w:t>
      </w:r>
      <w:r>
        <w:rPr>
          <w:rFonts w:hint="eastAsia" w:ascii="仿宋_GB2312" w:hAnsi="宋体" w:eastAsia="仿宋_GB2312"/>
          <w:sz w:val="24"/>
          <w:lang w:val="zh-CN"/>
        </w:rPr>
        <w:t>）评估结果仅为人民法院确定财产处置参考价服务，不是估价对象处置可实现的成交价格，也不应当被视为对估价对象处置成交价格的保证；</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6</w:t>
      </w:r>
      <w:r>
        <w:rPr>
          <w:rFonts w:hint="eastAsia" w:ascii="仿宋_GB2312" w:hAnsi="宋体" w:eastAsia="仿宋_GB2312"/>
          <w:sz w:val="24"/>
          <w:lang w:val="zh-CN"/>
        </w:rPr>
        <w:t>）财产拍卖或者变卖之日与价值时点不一致，可能导致评估结果对应的估价对象状况、房地产市场状况、欠缴税费状况等与财产拍卖或者变卖时的相应状况不一致，发生明显变化的，评估结果应当进行相应调整后才可使用；</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7</w:t>
      </w:r>
      <w:r>
        <w:rPr>
          <w:rFonts w:hint="eastAsia" w:ascii="仿宋_GB2312" w:hAnsi="宋体" w:eastAsia="仿宋_GB2312"/>
          <w:sz w:val="24"/>
          <w:lang w:val="zh-CN"/>
        </w:rPr>
        <w:t>）在评估报告使用期限或者评估结果有效期内，评估报告或者评估结果未使用之前，如果估价对象状况或者房地产市场状况发生明显变化的，评估结果应当进行相应调整后才可使用；</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8</w:t>
      </w:r>
      <w:r>
        <w:rPr>
          <w:rFonts w:hint="eastAsia" w:ascii="仿宋_GB2312" w:hAnsi="宋体" w:eastAsia="仿宋_GB2312"/>
          <w:sz w:val="24"/>
          <w:lang w:val="zh-CN"/>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w:t>
      </w:r>
      <w:r>
        <w:rPr>
          <w:rFonts w:hint="eastAsia" w:ascii="仿宋_GB2312" w:hAnsi="宋体" w:eastAsia="仿宋_GB2312"/>
          <w:sz w:val="24"/>
        </w:rPr>
        <w:t>9</w:t>
      </w:r>
      <w:r>
        <w:rPr>
          <w:rFonts w:hint="eastAsia" w:ascii="仿宋_GB2312" w:hAnsi="宋体" w:eastAsia="仿宋_GB2312"/>
          <w:sz w:val="24"/>
          <w:lang w:val="zh-CN"/>
        </w:rPr>
        <w:t>）本估价报告应用有效期为一年，时间从报告出具之日起生效；</w:t>
      </w:r>
    </w:p>
    <w:p>
      <w:pPr>
        <w:spacing w:line="300" w:lineRule="exact"/>
        <w:ind w:firstLine="482"/>
        <w:rPr>
          <w:rFonts w:ascii="仿宋_GB2312" w:hAnsi="宋体" w:eastAsia="仿宋_GB2312"/>
          <w:sz w:val="24"/>
          <w:lang w:val="zh-CN"/>
        </w:rPr>
      </w:pPr>
      <w:r>
        <w:rPr>
          <w:rFonts w:hint="eastAsia" w:ascii="仿宋_GB2312" w:hAnsi="宋体" w:eastAsia="仿宋_GB2312"/>
          <w:sz w:val="24"/>
          <w:lang w:val="zh-CN"/>
        </w:rPr>
        <w:t>（1</w:t>
      </w:r>
      <w:r>
        <w:rPr>
          <w:rFonts w:hint="eastAsia" w:ascii="仿宋_GB2312" w:hAnsi="宋体" w:eastAsia="仿宋_GB2312"/>
          <w:sz w:val="24"/>
        </w:rPr>
        <w:t>0</w:t>
      </w:r>
      <w:r>
        <w:rPr>
          <w:rFonts w:hint="eastAsia" w:ascii="仿宋_GB2312" w:hAnsi="宋体" w:eastAsia="仿宋_GB2312"/>
          <w:sz w:val="24"/>
          <w:lang w:val="zh-CN"/>
        </w:rPr>
        <w:t>）估价报告使用者在使用本估价报告时，应认真阅读估价报告全文，合理理解评估结论，以免因使用不当造成损失。</w:t>
      </w:r>
    </w:p>
    <w:p>
      <w:pPr>
        <w:pStyle w:val="2"/>
        <w:rPr>
          <w:lang w:val="zh-CN"/>
        </w:rPr>
      </w:pPr>
    </w:p>
    <w:p>
      <w:pPr>
        <w:pStyle w:val="3"/>
        <w:rPr>
          <w:lang w:val="zh-CN"/>
        </w:rPr>
      </w:pPr>
    </w:p>
    <w:p>
      <w:pPr>
        <w:snapToGrid w:val="0"/>
        <w:spacing w:line="440" w:lineRule="exact"/>
        <w:rPr>
          <w:rFonts w:ascii="仿宋_GB2312" w:hAnsi="宋体" w:eastAsia="仿宋_GB2312"/>
          <w:sz w:val="28"/>
        </w:rPr>
      </w:pPr>
      <w:r>
        <w:rPr>
          <w:rFonts w:hint="eastAsia" w:ascii="仿宋_GB2312" w:hAnsi="宋体" w:eastAsia="仿宋_GB2312"/>
          <w:sz w:val="28"/>
        </w:rPr>
        <w:t xml:space="preserve">                           估价机构：</w:t>
      </w:r>
      <w:r>
        <w:rPr>
          <w:rFonts w:hint="eastAsia" w:ascii="仿宋_GB2312" w:hAnsi="宋体" w:eastAsia="仿宋_GB2312"/>
          <w:sz w:val="28"/>
          <w:szCs w:val="28"/>
        </w:rPr>
        <w:t>福建明达房地产评估有限公司</w:t>
      </w:r>
    </w:p>
    <w:p>
      <w:pPr>
        <w:spacing w:line="440" w:lineRule="exact"/>
        <w:jc w:val="right"/>
        <w:rPr>
          <w:rFonts w:ascii="仿宋_GB2312" w:hAnsi="宋体" w:eastAsia="仿宋_GB2312"/>
          <w:sz w:val="28"/>
        </w:rPr>
      </w:pPr>
      <w:r>
        <w:rPr>
          <w:rFonts w:hint="eastAsia" w:ascii="仿宋_GB2312" w:hAnsi="宋体" w:eastAsia="仿宋_GB2312"/>
          <w:sz w:val="28"/>
        </w:rPr>
        <w:t xml:space="preserve">法定代表人：               （签字） </w:t>
      </w:r>
    </w:p>
    <w:p>
      <w:pPr>
        <w:snapToGrid w:val="0"/>
        <w:spacing w:line="440" w:lineRule="exact"/>
        <w:jc w:val="center"/>
        <w:rPr>
          <w:rFonts w:ascii="仿宋_GB2312" w:hAnsi="宋体" w:eastAsia="仿宋_GB2312"/>
          <w:sz w:val="28"/>
          <w:szCs w:val="28"/>
        </w:rPr>
      </w:pPr>
      <w:r>
        <w:rPr>
          <w:rFonts w:hint="eastAsia" w:ascii="仿宋_GB2312" w:hAnsi="宋体" w:eastAsia="仿宋_GB2312"/>
          <w:spacing w:val="-4"/>
          <w:sz w:val="28"/>
          <w:szCs w:val="28"/>
        </w:rPr>
        <w:t xml:space="preserve">                                          二○二二年六月十五日</w:t>
      </w:r>
    </w:p>
    <w:bookmarkEnd w:id="0"/>
    <w:p>
      <w:pPr>
        <w:spacing w:line="440" w:lineRule="exact"/>
        <w:rPr>
          <w:rFonts w:ascii="仿宋_GB2312" w:hAnsi="仿宋_GB2312" w:eastAsia="仿宋_GB2312" w:cs="仿宋_GB2312"/>
          <w:b/>
          <w:sz w:val="44"/>
        </w:rPr>
        <w:sectPr>
          <w:headerReference r:id="rId3" w:type="default"/>
          <w:pgSz w:w="11906" w:h="16838"/>
          <w:pgMar w:top="936" w:right="1466" w:bottom="1248" w:left="1620" w:header="851" w:footer="992" w:gutter="0"/>
          <w:pgNumType w:start="1"/>
          <w:cols w:space="720" w:num="1"/>
          <w:docGrid w:type="lines" w:linePitch="312" w:charSpace="0"/>
        </w:sectPr>
      </w:pPr>
    </w:p>
    <w:p>
      <w:pPr>
        <w:jc w:val="center"/>
        <w:rPr>
          <w:rFonts w:ascii="宋体" w:hAnsi="宋体"/>
          <w:b/>
          <w:sz w:val="44"/>
        </w:rPr>
      </w:pPr>
      <w:r>
        <w:rPr>
          <w:rFonts w:hint="eastAsia" w:ascii="宋体" w:hAnsi="宋体"/>
          <w:b/>
          <w:sz w:val="44"/>
        </w:rPr>
        <w:t>目  录</w:t>
      </w:r>
    </w:p>
    <w:p>
      <w:pPr>
        <w:jc w:val="center"/>
        <w:rPr>
          <w:rFonts w:ascii="宋体" w:hAnsi="宋体"/>
          <w:b/>
          <w:szCs w:val="21"/>
        </w:rPr>
      </w:pPr>
    </w:p>
    <w:p>
      <w:pPr>
        <w:pStyle w:val="19"/>
        <w:tabs>
          <w:tab w:val="right" w:leader="dot" w:pos="8640"/>
        </w:tabs>
        <w:spacing w:line="280" w:lineRule="exact"/>
        <w:rPr>
          <w:rFonts w:ascii="仿宋_GB2312" w:eastAsia="仿宋_GB2312"/>
          <w:sz w:val="24"/>
          <w:szCs w:val="24"/>
        </w:rPr>
      </w:pPr>
      <w:r>
        <w:rPr>
          <w:rFonts w:hint="eastAsia" w:ascii="仿宋_GB2312" w:hAnsi="仿宋_GB2312" w:eastAsia="仿宋_GB2312" w:cs="仿宋_GB2312"/>
          <w:b w:val="0"/>
          <w:sz w:val="24"/>
          <w:szCs w:val="24"/>
        </w:rPr>
        <w:fldChar w:fldCharType="begin"/>
      </w:r>
      <w:r>
        <w:rPr>
          <w:rFonts w:hint="eastAsia" w:ascii="仿宋_GB2312" w:hAnsi="仿宋_GB2312" w:eastAsia="仿宋_GB2312" w:cs="仿宋_GB2312"/>
          <w:b w:val="0"/>
          <w:sz w:val="24"/>
          <w:szCs w:val="24"/>
        </w:rPr>
        <w:instrText xml:space="preserve"> TOC \o "1-2" \u </w:instrText>
      </w:r>
      <w:r>
        <w:rPr>
          <w:rFonts w:hint="eastAsia" w:ascii="仿宋_GB2312" w:hAnsi="仿宋_GB2312" w:eastAsia="仿宋_GB2312" w:cs="仿宋_GB2312"/>
          <w:b w:val="0"/>
          <w:sz w:val="24"/>
          <w:szCs w:val="24"/>
        </w:rPr>
        <w:fldChar w:fldCharType="separate"/>
      </w:r>
      <w:r>
        <w:rPr>
          <w:rFonts w:hint="eastAsia" w:ascii="仿宋_GB2312" w:hAnsi="宋体" w:eastAsia="仿宋_GB2312"/>
          <w:sz w:val="24"/>
          <w:szCs w:val="24"/>
        </w:rPr>
        <w:t>注册房地产估价师声明</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_Toc16836 \h </w:instrText>
      </w:r>
      <w:r>
        <w:rPr>
          <w:rFonts w:hint="eastAsia" w:ascii="仿宋_GB2312" w:eastAsia="仿宋_GB2312"/>
          <w:sz w:val="24"/>
          <w:szCs w:val="24"/>
        </w:rPr>
        <w:fldChar w:fldCharType="separate"/>
      </w:r>
      <w:r>
        <w:rPr>
          <w:rFonts w:hint="eastAsia" w:ascii="仿宋_GB2312" w:eastAsia="仿宋_GB2312"/>
          <w:sz w:val="24"/>
          <w:szCs w:val="24"/>
        </w:rPr>
        <w:t>1</w:t>
      </w:r>
      <w:r>
        <w:rPr>
          <w:rFonts w:hint="eastAsia" w:ascii="仿宋_GB2312" w:eastAsia="仿宋_GB2312"/>
          <w:sz w:val="24"/>
          <w:szCs w:val="24"/>
        </w:rPr>
        <w:fldChar w:fldCharType="end"/>
      </w:r>
    </w:p>
    <w:p>
      <w:pPr>
        <w:pStyle w:val="19"/>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估价假设和限制条件</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_Toc13814 \h </w:instrText>
      </w:r>
      <w:r>
        <w:rPr>
          <w:rFonts w:hint="eastAsia" w:ascii="仿宋_GB2312" w:eastAsia="仿宋_GB2312"/>
          <w:sz w:val="24"/>
          <w:szCs w:val="24"/>
        </w:rPr>
        <w:fldChar w:fldCharType="separate"/>
      </w:r>
      <w:r>
        <w:rPr>
          <w:rFonts w:hint="eastAsia" w:ascii="仿宋_GB2312" w:eastAsia="仿宋_GB2312"/>
          <w:sz w:val="24"/>
          <w:szCs w:val="24"/>
        </w:rPr>
        <w:t>2</w:t>
      </w:r>
      <w:r>
        <w:rPr>
          <w:rFonts w:hint="eastAsia" w:ascii="仿宋_GB2312" w:eastAsia="仿宋_GB2312"/>
          <w:sz w:val="24"/>
          <w:szCs w:val="24"/>
        </w:rPr>
        <w:fldChar w:fldCharType="end"/>
      </w:r>
    </w:p>
    <w:p>
      <w:pPr>
        <w:pStyle w:val="19"/>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估价结果报告</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_Toc24913 \h </w:instrText>
      </w:r>
      <w:r>
        <w:rPr>
          <w:rFonts w:hint="eastAsia" w:ascii="仿宋_GB2312" w:eastAsia="仿宋_GB2312"/>
          <w:sz w:val="24"/>
          <w:szCs w:val="24"/>
        </w:rPr>
        <w:fldChar w:fldCharType="separate"/>
      </w:r>
      <w:r>
        <w:rPr>
          <w:rFonts w:hint="eastAsia" w:ascii="仿宋_GB2312" w:eastAsia="仿宋_GB2312"/>
          <w:sz w:val="24"/>
          <w:szCs w:val="24"/>
        </w:rPr>
        <w:t>4</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一、估价委托人</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_Toc6618 \h </w:instrText>
      </w:r>
      <w:r>
        <w:rPr>
          <w:rFonts w:hint="eastAsia" w:ascii="仿宋_GB2312" w:eastAsia="仿宋_GB2312"/>
          <w:sz w:val="24"/>
          <w:szCs w:val="24"/>
        </w:rPr>
        <w:fldChar w:fldCharType="separate"/>
      </w:r>
      <w:r>
        <w:rPr>
          <w:rFonts w:hint="eastAsia" w:ascii="仿宋_GB2312" w:eastAsia="仿宋_GB2312"/>
          <w:sz w:val="24"/>
          <w:szCs w:val="24"/>
        </w:rPr>
        <w:t>4</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二、估价机构</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_Toc2336 \h </w:instrText>
      </w:r>
      <w:r>
        <w:rPr>
          <w:rFonts w:hint="eastAsia" w:ascii="仿宋_GB2312" w:eastAsia="仿宋_GB2312"/>
          <w:sz w:val="24"/>
          <w:szCs w:val="24"/>
        </w:rPr>
        <w:fldChar w:fldCharType="separate"/>
      </w:r>
      <w:r>
        <w:rPr>
          <w:rFonts w:hint="eastAsia" w:ascii="仿宋_GB2312" w:eastAsia="仿宋_GB2312"/>
          <w:sz w:val="24"/>
          <w:szCs w:val="24"/>
        </w:rPr>
        <w:t>4</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三、估价目的</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_Toc22172 \h </w:instrText>
      </w:r>
      <w:r>
        <w:rPr>
          <w:rFonts w:hint="eastAsia" w:ascii="仿宋_GB2312" w:eastAsia="仿宋_GB2312"/>
          <w:sz w:val="24"/>
          <w:szCs w:val="24"/>
        </w:rPr>
        <w:fldChar w:fldCharType="separate"/>
      </w:r>
      <w:r>
        <w:rPr>
          <w:rFonts w:hint="eastAsia" w:ascii="仿宋_GB2312" w:eastAsia="仿宋_GB2312"/>
          <w:sz w:val="24"/>
          <w:szCs w:val="24"/>
        </w:rPr>
        <w:t>4</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四、估价对象</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_Toc10863 \h </w:instrText>
      </w:r>
      <w:r>
        <w:rPr>
          <w:rFonts w:hint="eastAsia" w:ascii="仿宋_GB2312" w:eastAsia="仿宋_GB2312"/>
          <w:sz w:val="24"/>
          <w:szCs w:val="24"/>
        </w:rPr>
        <w:fldChar w:fldCharType="separate"/>
      </w:r>
      <w:r>
        <w:rPr>
          <w:rFonts w:hint="eastAsia" w:ascii="仿宋_GB2312" w:eastAsia="仿宋_GB2312"/>
          <w:sz w:val="24"/>
          <w:szCs w:val="24"/>
        </w:rPr>
        <w:t>4</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五、价值时点</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_Toc3986 \h </w:instrText>
      </w:r>
      <w:r>
        <w:rPr>
          <w:rFonts w:hint="eastAsia" w:ascii="仿宋_GB2312" w:eastAsia="仿宋_GB2312"/>
          <w:sz w:val="24"/>
          <w:szCs w:val="24"/>
        </w:rPr>
        <w:fldChar w:fldCharType="separate"/>
      </w:r>
      <w:r>
        <w:rPr>
          <w:rFonts w:hint="eastAsia" w:ascii="仿宋_GB2312" w:eastAsia="仿宋_GB2312"/>
          <w:sz w:val="24"/>
          <w:szCs w:val="24"/>
        </w:rPr>
        <w:t>6</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六、价值类型</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_Toc15878 \h </w:instrText>
      </w:r>
      <w:r>
        <w:rPr>
          <w:rFonts w:hint="eastAsia" w:ascii="仿宋_GB2312" w:eastAsia="仿宋_GB2312"/>
          <w:sz w:val="24"/>
          <w:szCs w:val="24"/>
        </w:rPr>
        <w:fldChar w:fldCharType="separate"/>
      </w:r>
      <w:r>
        <w:rPr>
          <w:rFonts w:hint="eastAsia" w:ascii="仿宋_GB2312" w:eastAsia="仿宋_GB2312"/>
          <w:sz w:val="24"/>
          <w:szCs w:val="24"/>
        </w:rPr>
        <w:t>6</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七、估价原则</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_Toc23047 \h </w:instrText>
      </w:r>
      <w:r>
        <w:rPr>
          <w:rFonts w:hint="eastAsia" w:ascii="仿宋_GB2312" w:eastAsia="仿宋_GB2312"/>
          <w:sz w:val="24"/>
          <w:szCs w:val="24"/>
        </w:rPr>
        <w:fldChar w:fldCharType="separate"/>
      </w:r>
      <w:r>
        <w:rPr>
          <w:rFonts w:hint="eastAsia" w:ascii="仿宋_GB2312" w:eastAsia="仿宋_GB2312"/>
          <w:sz w:val="24"/>
          <w:szCs w:val="24"/>
        </w:rPr>
        <w:t>6</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八、估价依据</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_Toc3356 \h </w:instrText>
      </w:r>
      <w:r>
        <w:rPr>
          <w:rFonts w:hint="eastAsia" w:ascii="仿宋_GB2312" w:eastAsia="仿宋_GB2312"/>
          <w:sz w:val="24"/>
          <w:szCs w:val="24"/>
        </w:rPr>
        <w:fldChar w:fldCharType="separate"/>
      </w:r>
      <w:r>
        <w:rPr>
          <w:rFonts w:hint="eastAsia" w:ascii="仿宋_GB2312" w:eastAsia="仿宋_GB2312"/>
          <w:sz w:val="24"/>
          <w:szCs w:val="24"/>
        </w:rPr>
        <w:t>7</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九、估价方法</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_Toc9990 \h </w:instrText>
      </w:r>
      <w:r>
        <w:rPr>
          <w:rFonts w:hint="eastAsia" w:ascii="仿宋_GB2312" w:eastAsia="仿宋_GB2312"/>
          <w:sz w:val="24"/>
          <w:szCs w:val="24"/>
        </w:rPr>
        <w:fldChar w:fldCharType="separate"/>
      </w:r>
      <w:r>
        <w:rPr>
          <w:rFonts w:hint="eastAsia" w:ascii="仿宋_GB2312" w:eastAsia="仿宋_GB2312"/>
          <w:sz w:val="24"/>
          <w:szCs w:val="24"/>
        </w:rPr>
        <w:t>9</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十、估价结果</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_Toc9848 \h </w:instrText>
      </w:r>
      <w:r>
        <w:rPr>
          <w:rFonts w:hint="eastAsia" w:ascii="仿宋_GB2312" w:eastAsia="仿宋_GB2312"/>
          <w:sz w:val="24"/>
          <w:szCs w:val="24"/>
        </w:rPr>
        <w:fldChar w:fldCharType="separate"/>
      </w:r>
      <w:r>
        <w:rPr>
          <w:rFonts w:hint="eastAsia" w:ascii="仿宋_GB2312" w:eastAsia="仿宋_GB2312"/>
          <w:sz w:val="24"/>
          <w:szCs w:val="24"/>
        </w:rPr>
        <w:t>9</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十一、注册房地产估价师</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_Toc19580 \h </w:instrText>
      </w:r>
      <w:r>
        <w:rPr>
          <w:rFonts w:hint="eastAsia" w:ascii="仿宋_GB2312" w:eastAsia="仿宋_GB2312"/>
          <w:sz w:val="24"/>
          <w:szCs w:val="24"/>
        </w:rPr>
        <w:fldChar w:fldCharType="separate"/>
      </w:r>
      <w:r>
        <w:rPr>
          <w:rFonts w:hint="eastAsia" w:ascii="仿宋_GB2312" w:eastAsia="仿宋_GB2312"/>
          <w:sz w:val="24"/>
          <w:szCs w:val="24"/>
        </w:rPr>
        <w:t>9</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十二、实地查勘期</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_Toc2453 \h </w:instrText>
      </w:r>
      <w:r>
        <w:rPr>
          <w:rFonts w:hint="eastAsia" w:ascii="仿宋_GB2312" w:eastAsia="仿宋_GB2312"/>
          <w:sz w:val="24"/>
          <w:szCs w:val="24"/>
        </w:rPr>
        <w:fldChar w:fldCharType="separate"/>
      </w:r>
      <w:r>
        <w:rPr>
          <w:rFonts w:hint="eastAsia" w:ascii="仿宋_GB2312" w:eastAsia="仿宋_GB2312"/>
          <w:sz w:val="24"/>
          <w:szCs w:val="24"/>
        </w:rPr>
        <w:t>9</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十三、估价作业期</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_Toc12367 \h </w:instrText>
      </w:r>
      <w:r>
        <w:rPr>
          <w:rFonts w:hint="eastAsia" w:ascii="仿宋_GB2312" w:eastAsia="仿宋_GB2312"/>
          <w:sz w:val="24"/>
          <w:szCs w:val="24"/>
        </w:rPr>
        <w:fldChar w:fldCharType="separate"/>
      </w:r>
      <w:r>
        <w:rPr>
          <w:rFonts w:hint="eastAsia" w:ascii="仿宋_GB2312" w:eastAsia="仿宋_GB2312"/>
          <w:sz w:val="24"/>
          <w:szCs w:val="24"/>
        </w:rPr>
        <w:t>10</w:t>
      </w:r>
      <w:r>
        <w:rPr>
          <w:rFonts w:hint="eastAsia" w:ascii="仿宋_GB2312" w:eastAsia="仿宋_GB2312"/>
          <w:sz w:val="24"/>
          <w:szCs w:val="24"/>
        </w:rPr>
        <w:fldChar w:fldCharType="end"/>
      </w:r>
    </w:p>
    <w:p>
      <w:pPr>
        <w:pStyle w:val="23"/>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十四、估价报告使用期限</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_Toc8133 \h </w:instrText>
      </w:r>
      <w:r>
        <w:rPr>
          <w:rFonts w:hint="eastAsia" w:ascii="仿宋_GB2312" w:eastAsia="仿宋_GB2312"/>
          <w:sz w:val="24"/>
          <w:szCs w:val="24"/>
        </w:rPr>
        <w:fldChar w:fldCharType="separate"/>
      </w:r>
      <w:r>
        <w:rPr>
          <w:rFonts w:hint="eastAsia" w:ascii="仿宋_GB2312" w:eastAsia="仿宋_GB2312"/>
          <w:sz w:val="24"/>
          <w:szCs w:val="24"/>
        </w:rPr>
        <w:t>10</w:t>
      </w:r>
      <w:r>
        <w:rPr>
          <w:rFonts w:hint="eastAsia" w:ascii="仿宋_GB2312" w:eastAsia="仿宋_GB2312"/>
          <w:sz w:val="24"/>
          <w:szCs w:val="24"/>
        </w:rPr>
        <w:fldChar w:fldCharType="end"/>
      </w:r>
    </w:p>
    <w:p>
      <w:pPr>
        <w:pStyle w:val="19"/>
        <w:tabs>
          <w:tab w:val="right" w:leader="dot" w:pos="8640"/>
        </w:tabs>
        <w:spacing w:line="280" w:lineRule="exact"/>
        <w:rPr>
          <w:rFonts w:ascii="仿宋_GB2312" w:eastAsia="仿宋_GB2312"/>
          <w:sz w:val="24"/>
          <w:szCs w:val="24"/>
        </w:rPr>
      </w:pPr>
      <w:r>
        <w:rPr>
          <w:rFonts w:hint="eastAsia" w:ascii="仿宋_GB2312" w:hAnsi="宋体" w:eastAsia="仿宋_GB2312"/>
          <w:sz w:val="24"/>
          <w:szCs w:val="24"/>
        </w:rPr>
        <w:t>附  件</w:t>
      </w:r>
      <w:r>
        <w:rPr>
          <w:rFonts w:hint="eastAsia" w:ascii="仿宋_GB2312" w:eastAsia="仿宋_GB2312"/>
          <w:sz w:val="24"/>
          <w:szCs w:val="24"/>
        </w:rPr>
        <w:tab/>
      </w:r>
      <w:r>
        <w:rPr>
          <w:rFonts w:hint="eastAsia" w:ascii="仿宋_GB2312" w:eastAsia="仿宋_GB2312"/>
          <w:sz w:val="24"/>
          <w:szCs w:val="24"/>
        </w:rPr>
        <w:fldChar w:fldCharType="begin"/>
      </w:r>
      <w:r>
        <w:rPr>
          <w:rFonts w:hint="eastAsia" w:ascii="仿宋_GB2312" w:eastAsia="仿宋_GB2312"/>
          <w:sz w:val="24"/>
          <w:szCs w:val="24"/>
        </w:rPr>
        <w:instrText xml:space="preserve"> PAGEREF _Toc23735 \h </w:instrText>
      </w:r>
      <w:r>
        <w:rPr>
          <w:rFonts w:hint="eastAsia" w:ascii="仿宋_GB2312" w:eastAsia="仿宋_GB2312"/>
          <w:sz w:val="24"/>
          <w:szCs w:val="24"/>
        </w:rPr>
        <w:fldChar w:fldCharType="separate"/>
      </w:r>
      <w:r>
        <w:rPr>
          <w:rFonts w:hint="eastAsia" w:ascii="仿宋_GB2312" w:eastAsia="仿宋_GB2312"/>
          <w:sz w:val="24"/>
          <w:szCs w:val="24"/>
        </w:rPr>
        <w:t>11</w:t>
      </w:r>
      <w:r>
        <w:rPr>
          <w:rFonts w:hint="eastAsia" w:ascii="仿宋_GB2312" w:eastAsia="仿宋_GB2312"/>
          <w:sz w:val="24"/>
          <w:szCs w:val="24"/>
        </w:rPr>
        <w:fldChar w:fldCharType="end"/>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一、专业帮助情况和相关专业意见</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rPr>
        <w:t>二、《福建省晋江市人民法院价格鉴定委托书》[（2021）闽0582执11571号]（复印件）</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rPr>
        <w:t>三、《福建省晋江市人民法院执行裁定书》[（2021）闽0582执11571号]（复印件）</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rPr>
        <w:t>四、估价对象位置图</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lang w:val="en-US" w:eastAsia="zh-CN"/>
        </w:rPr>
        <w:t>五</w:t>
      </w:r>
      <w:r>
        <w:rPr>
          <w:rFonts w:hint="eastAsia" w:ascii="仿宋_GB2312" w:hAnsi="仿宋_GB2312" w:eastAsia="仿宋_GB2312" w:cs="仿宋_GB2312"/>
          <w:sz w:val="24"/>
        </w:rPr>
        <w:t>、估价对象照片</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lang w:val="en-US" w:eastAsia="zh-CN"/>
        </w:rPr>
        <w:t>六</w:t>
      </w:r>
      <w:r>
        <w:rPr>
          <w:rFonts w:hint="eastAsia" w:ascii="仿宋_GB2312" w:hAnsi="仿宋_GB2312" w:eastAsia="仿宋_GB2312" w:cs="仿宋_GB2312"/>
          <w:sz w:val="24"/>
        </w:rPr>
        <w:t>、《不动产权证书》（证号：闽（2019）泉州市不动产权第0002647号、闽（2019）泉州市不动产权第0002648号）（复印件）</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lang w:val="en-US" w:eastAsia="zh-CN"/>
        </w:rPr>
        <w:t>七</w:t>
      </w:r>
      <w:r>
        <w:rPr>
          <w:rFonts w:hint="eastAsia" w:ascii="仿宋_GB2312" w:hAnsi="仿宋_GB2312" w:eastAsia="仿宋_GB2312" w:cs="仿宋_GB2312"/>
          <w:sz w:val="24"/>
        </w:rPr>
        <w:t>、《不动产登记证明》（证号：闽（2020）泉州市不动产证明第0025948号）（复印件）</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lang w:val="en-US" w:eastAsia="zh-CN"/>
        </w:rPr>
        <w:t>八</w:t>
      </w:r>
      <w:r>
        <w:rPr>
          <w:rFonts w:hint="eastAsia" w:ascii="仿宋_GB2312" w:hAnsi="仿宋_GB2312" w:eastAsia="仿宋_GB2312" w:cs="仿宋_GB2312"/>
          <w:sz w:val="24"/>
        </w:rPr>
        <w:t>、评估机构企业法人营业执照（复印件）</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lang w:val="en-US" w:eastAsia="zh-CN"/>
        </w:rPr>
        <w:t>九</w:t>
      </w:r>
      <w:r>
        <w:rPr>
          <w:rFonts w:hint="eastAsia" w:ascii="仿宋_GB2312" w:hAnsi="仿宋_GB2312" w:eastAsia="仿宋_GB2312" w:cs="仿宋_GB2312"/>
          <w:sz w:val="24"/>
        </w:rPr>
        <w:t>、房地产估价机构备案证书（复印件）</w:t>
      </w:r>
    </w:p>
    <w:p>
      <w:pPr>
        <w:spacing w:line="280" w:lineRule="exact"/>
        <w:ind w:left="420"/>
        <w:rPr>
          <w:rFonts w:ascii="仿宋_GB2312" w:hAnsi="仿宋_GB2312" w:eastAsia="仿宋_GB2312" w:cs="仿宋_GB2312"/>
          <w:sz w:val="24"/>
        </w:rPr>
      </w:pPr>
      <w:r>
        <w:rPr>
          <w:rFonts w:hint="eastAsia" w:ascii="仿宋_GB2312" w:hAnsi="仿宋_GB2312" w:eastAsia="仿宋_GB2312" w:cs="仿宋_GB2312"/>
          <w:sz w:val="24"/>
        </w:rPr>
        <w:t>十、房地产估价师注册证书（复印件）</w:t>
      </w:r>
    </w:p>
    <w:p>
      <w:pPr>
        <w:spacing w:line="280" w:lineRule="exact"/>
        <w:ind w:left="420"/>
        <w:rPr>
          <w:rFonts w:ascii="仿宋_GB2312" w:hAnsi="仿宋_GB2312" w:eastAsia="仿宋_GB2312" w:cs="仿宋_GB2312"/>
          <w:sz w:val="24"/>
        </w:rPr>
      </w:pPr>
    </w:p>
    <w:p>
      <w:pPr>
        <w:jc w:val="center"/>
        <w:outlineLvl w:val="0"/>
        <w:rPr>
          <w:rFonts w:ascii="宋体" w:hAnsi="宋体"/>
          <w:b/>
          <w:bCs/>
          <w:sz w:val="44"/>
        </w:rPr>
        <w:sectPr>
          <w:headerReference r:id="rId4" w:type="default"/>
          <w:footerReference r:id="rId5" w:type="default"/>
          <w:pgSz w:w="11906" w:h="16838"/>
          <w:pgMar w:top="1440" w:right="1646" w:bottom="1440" w:left="1620" w:header="851" w:footer="992" w:gutter="0"/>
          <w:pgNumType w:start="1"/>
          <w:cols w:space="720" w:num="1"/>
          <w:docGrid w:type="lines" w:linePitch="312" w:charSpace="0"/>
        </w:sectPr>
      </w:pPr>
      <w:bookmarkStart w:id="1" w:name="_Toc16836"/>
    </w:p>
    <w:p>
      <w:pPr>
        <w:jc w:val="center"/>
        <w:outlineLvl w:val="0"/>
        <w:rPr>
          <w:rFonts w:ascii="宋体" w:hAnsi="宋体"/>
          <w:b/>
          <w:bCs/>
          <w:sz w:val="44"/>
        </w:rPr>
      </w:pPr>
      <w:r>
        <w:rPr>
          <w:rFonts w:hint="eastAsia" w:ascii="宋体" w:hAnsi="宋体"/>
          <w:b/>
          <w:bCs/>
          <w:sz w:val="44"/>
        </w:rPr>
        <w:t>注册房地产估价师声明</w:t>
      </w:r>
      <w:bookmarkEnd w:id="1"/>
    </w:p>
    <w:p>
      <w:pPr>
        <w:spacing w:line="460" w:lineRule="exact"/>
        <w:ind w:firstLine="560" w:firstLineChars="200"/>
        <w:rPr>
          <w:rFonts w:ascii="仿宋_GB2312" w:hAnsi="宋体" w:eastAsia="仿宋_GB2312"/>
          <w:sz w:val="28"/>
        </w:rPr>
      </w:pPr>
    </w:p>
    <w:p>
      <w:pPr>
        <w:spacing w:line="460" w:lineRule="exact"/>
        <w:ind w:firstLine="560" w:firstLineChars="200"/>
        <w:rPr>
          <w:rFonts w:ascii="仿宋_GB2312" w:hAnsi="宋体" w:eastAsia="仿宋_GB2312"/>
          <w:sz w:val="28"/>
        </w:rPr>
      </w:pPr>
      <w:r>
        <w:rPr>
          <w:rFonts w:hint="eastAsia" w:ascii="仿宋_GB2312" w:hAnsi="宋体" w:eastAsia="仿宋_GB2312"/>
          <w:sz w:val="28"/>
        </w:rPr>
        <w:t>我们根据自己的专业知识和职业道德，在此郑重声明：</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1、我们在本估价报告中对事实的说明是真实和准确的，没有虚假记载、误导性陈述和重大遗漏。</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2、本估价报告中的分析、意见和结论是我们独立、客观、公正的专业分析、意见和结论，但受到本估价报告中所说明的估价假设和限制条件的限制。</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3、我们与本估价报告中的估价对象没有现实或潜在的利益，与估价委托人及估价利害关系人没有利害关系。</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4、我们对本估价报告中的估价对象、估价委托人及估价利害关系人没有偏见。</w:t>
      </w:r>
    </w:p>
    <w:p>
      <w:pPr>
        <w:spacing w:line="460" w:lineRule="exact"/>
        <w:ind w:firstLine="560" w:firstLineChars="200"/>
        <w:rPr>
          <w:rFonts w:ascii="仿宋_GB2312" w:hAnsi="宋体" w:eastAsia="仿宋_GB2312"/>
          <w:sz w:val="28"/>
        </w:rPr>
      </w:pPr>
      <w:r>
        <w:rPr>
          <w:rFonts w:hint="eastAsia" w:ascii="仿宋_GB2312" w:hAnsi="宋体" w:eastAsia="仿宋_GB2312"/>
          <w:sz w:val="28"/>
        </w:rPr>
        <w:t>5、我们依照中华人民共和国国家标准《房地产估价规范》（中华人民共和国国家标准GB/T50291-2015）、《房地产估价基本术语标准》（中华人民共和国国家标准GB/T50899-2013）进行分析，形成意见和结论，撰写本估价报告。</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rPr>
        <w:t>6、</w:t>
      </w:r>
      <w:r>
        <w:rPr>
          <w:rFonts w:hint="eastAsia" w:ascii="仿宋_GB2312" w:hAnsi="宋体" w:eastAsia="仿宋_GB2312"/>
          <w:sz w:val="28"/>
          <w:szCs w:val="28"/>
        </w:rPr>
        <w:t>注册房地产估价师朱金华（注册号：</w:t>
      </w:r>
      <w:r>
        <w:rPr>
          <w:rFonts w:ascii="仿宋_GB2312" w:hAnsi="宋体" w:eastAsia="仿宋_GB2312"/>
          <w:sz w:val="28"/>
          <w:szCs w:val="28"/>
        </w:rPr>
        <w:t>3520140094</w:t>
      </w:r>
      <w:r>
        <w:rPr>
          <w:rFonts w:hint="eastAsia" w:ascii="仿宋_GB2312" w:hAnsi="宋体" w:eastAsia="仿宋_GB2312"/>
          <w:sz w:val="28"/>
          <w:szCs w:val="28"/>
        </w:rPr>
        <w:t>）、估价员施清鑫（岗位证号：MD001）已于价值时点二○二二年六月六日对本估价报告中的估价对象进行了实地查勘并进行记录。</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rPr>
        <w:t>7、</w:t>
      </w:r>
      <w:r>
        <w:rPr>
          <w:rFonts w:hint="eastAsia" w:ascii="仿宋_GB2312" w:hAnsi="宋体" w:eastAsia="仿宋_GB2312"/>
          <w:sz w:val="28"/>
          <w:szCs w:val="28"/>
        </w:rPr>
        <w:t>没有人对本估价报告提供重要专业帮助。</w:t>
      </w:r>
    </w:p>
    <w:p>
      <w:pPr>
        <w:spacing w:line="460" w:lineRule="exact"/>
        <w:ind w:firstLine="551" w:firstLineChars="196"/>
        <w:jc w:val="center"/>
        <w:rPr>
          <w:rFonts w:ascii="仿宋_GB2312" w:hAnsi="宋体" w:eastAsia="仿宋_GB2312"/>
          <w:b/>
          <w:bCs/>
          <w:sz w:val="28"/>
        </w:rPr>
      </w:pPr>
      <w:r>
        <w:rPr>
          <w:rFonts w:hint="eastAsia" w:ascii="仿宋_GB2312" w:hAnsi="宋体" w:eastAsia="仿宋_GB2312"/>
          <w:b/>
          <w:bCs/>
          <w:sz w:val="28"/>
          <w:szCs w:val="28"/>
        </w:rPr>
        <w:t>注册房地产估价师</w:t>
      </w:r>
    </w:p>
    <w:tbl>
      <w:tblPr>
        <w:tblStyle w:val="26"/>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2051"/>
        <w:gridCol w:w="2488"/>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853" w:type="dxa"/>
            <w:vAlign w:val="center"/>
          </w:tcPr>
          <w:p>
            <w:pPr>
              <w:spacing w:line="460" w:lineRule="exact"/>
              <w:jc w:val="center"/>
              <w:rPr>
                <w:rFonts w:ascii="仿宋_GB2312" w:hAnsi="宋体" w:eastAsia="仿宋_GB2312"/>
                <w:b/>
                <w:sz w:val="28"/>
              </w:rPr>
            </w:pPr>
            <w:r>
              <w:rPr>
                <w:rFonts w:hint="eastAsia" w:ascii="仿宋_GB2312" w:hAnsi="宋体" w:eastAsia="仿宋_GB2312"/>
                <w:b/>
                <w:sz w:val="28"/>
              </w:rPr>
              <w:t>姓名</w:t>
            </w:r>
          </w:p>
        </w:tc>
        <w:tc>
          <w:tcPr>
            <w:tcW w:w="2051" w:type="dxa"/>
            <w:vAlign w:val="center"/>
          </w:tcPr>
          <w:p>
            <w:pPr>
              <w:spacing w:line="460" w:lineRule="exact"/>
              <w:jc w:val="center"/>
              <w:rPr>
                <w:rFonts w:ascii="仿宋_GB2312" w:hAnsi="宋体" w:eastAsia="仿宋_GB2312"/>
                <w:b/>
                <w:sz w:val="28"/>
              </w:rPr>
            </w:pPr>
            <w:r>
              <w:rPr>
                <w:rFonts w:hint="eastAsia" w:ascii="仿宋_GB2312" w:hAnsi="宋体" w:eastAsia="仿宋_GB2312"/>
                <w:b/>
                <w:sz w:val="28"/>
              </w:rPr>
              <w:t>注册号</w:t>
            </w:r>
          </w:p>
        </w:tc>
        <w:tc>
          <w:tcPr>
            <w:tcW w:w="2488" w:type="dxa"/>
            <w:vAlign w:val="center"/>
          </w:tcPr>
          <w:p>
            <w:pPr>
              <w:spacing w:line="460" w:lineRule="exact"/>
              <w:jc w:val="center"/>
              <w:rPr>
                <w:rFonts w:ascii="仿宋_GB2312" w:hAnsi="宋体" w:eastAsia="仿宋_GB2312"/>
                <w:b/>
                <w:sz w:val="28"/>
              </w:rPr>
            </w:pPr>
            <w:r>
              <w:rPr>
                <w:rFonts w:hint="eastAsia" w:ascii="仿宋_GB2312" w:hAnsi="宋体" w:eastAsia="仿宋_GB2312"/>
                <w:b/>
                <w:sz w:val="28"/>
              </w:rPr>
              <w:t>签名</w:t>
            </w:r>
          </w:p>
        </w:tc>
        <w:tc>
          <w:tcPr>
            <w:tcW w:w="2487" w:type="dxa"/>
            <w:vAlign w:val="center"/>
          </w:tcPr>
          <w:p>
            <w:pPr>
              <w:spacing w:line="460" w:lineRule="exact"/>
              <w:jc w:val="center"/>
              <w:rPr>
                <w:rFonts w:ascii="仿宋_GB2312" w:hAnsi="宋体" w:eastAsia="仿宋_GB2312"/>
                <w:b/>
                <w:sz w:val="28"/>
              </w:rPr>
            </w:pPr>
            <w:r>
              <w:rPr>
                <w:rFonts w:hint="eastAsia" w:ascii="仿宋_GB2312" w:hAnsi="宋体" w:eastAsia="仿宋_GB2312"/>
                <w:b/>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853"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同艳楠</w:t>
            </w:r>
          </w:p>
        </w:tc>
        <w:tc>
          <w:tcPr>
            <w:tcW w:w="2051"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3520100034</w:t>
            </w:r>
          </w:p>
        </w:tc>
        <w:tc>
          <w:tcPr>
            <w:tcW w:w="2488" w:type="dxa"/>
            <w:vAlign w:val="center"/>
          </w:tcPr>
          <w:p>
            <w:pPr>
              <w:spacing w:line="460" w:lineRule="exact"/>
              <w:jc w:val="center"/>
              <w:rPr>
                <w:rFonts w:ascii="仿宋_GB2312" w:hAnsi="宋体" w:eastAsia="仿宋_GB2312"/>
                <w:b/>
                <w:sz w:val="28"/>
              </w:rPr>
            </w:pPr>
          </w:p>
        </w:tc>
        <w:tc>
          <w:tcPr>
            <w:tcW w:w="2487" w:type="dxa"/>
            <w:vAlign w:val="center"/>
          </w:tcPr>
          <w:p>
            <w:pPr>
              <w:spacing w:line="460" w:lineRule="exact"/>
              <w:jc w:val="center"/>
              <w:rPr>
                <w:rFonts w:ascii="仿宋_GB2312" w:hAnsi="宋体" w:eastAsia="仿宋_GB2312"/>
                <w:sz w:val="28"/>
              </w:rPr>
            </w:pPr>
            <w:r>
              <w:rPr>
                <w:rFonts w:hint="eastAsia" w:ascii="仿宋_GB2312" w:hAnsi="宋体" w:eastAsia="仿宋_GB2312"/>
                <w:sz w:val="28"/>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853"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朱金华</w:t>
            </w:r>
          </w:p>
        </w:tc>
        <w:tc>
          <w:tcPr>
            <w:tcW w:w="2051" w:type="dxa"/>
            <w:vAlign w:val="center"/>
          </w:tcPr>
          <w:p>
            <w:pPr>
              <w:spacing w:line="460" w:lineRule="exact"/>
              <w:jc w:val="center"/>
              <w:rPr>
                <w:rFonts w:ascii="仿宋_GB2312" w:hAnsi="宋体" w:eastAsia="仿宋_GB2312"/>
                <w:bCs/>
                <w:sz w:val="28"/>
              </w:rPr>
            </w:pPr>
            <w:r>
              <w:rPr>
                <w:rFonts w:hint="eastAsia" w:ascii="仿宋_GB2312" w:hAnsi="宋体" w:eastAsia="仿宋_GB2312"/>
                <w:bCs/>
                <w:sz w:val="28"/>
              </w:rPr>
              <w:t>3520140094</w:t>
            </w:r>
          </w:p>
        </w:tc>
        <w:tc>
          <w:tcPr>
            <w:tcW w:w="2488" w:type="dxa"/>
            <w:vAlign w:val="center"/>
          </w:tcPr>
          <w:p>
            <w:pPr>
              <w:spacing w:line="460" w:lineRule="exact"/>
              <w:jc w:val="center"/>
              <w:rPr>
                <w:rFonts w:ascii="仿宋_GB2312" w:hAnsi="宋体" w:eastAsia="仿宋_GB2312"/>
                <w:b/>
                <w:sz w:val="28"/>
              </w:rPr>
            </w:pPr>
          </w:p>
        </w:tc>
        <w:tc>
          <w:tcPr>
            <w:tcW w:w="2487" w:type="dxa"/>
            <w:vAlign w:val="center"/>
          </w:tcPr>
          <w:p>
            <w:pPr>
              <w:spacing w:line="460" w:lineRule="exact"/>
              <w:jc w:val="center"/>
              <w:rPr>
                <w:rFonts w:ascii="仿宋_GB2312" w:hAnsi="宋体" w:eastAsia="仿宋_GB2312"/>
                <w:sz w:val="28"/>
              </w:rPr>
            </w:pPr>
            <w:r>
              <w:rPr>
                <w:rFonts w:hint="eastAsia" w:ascii="仿宋_GB2312" w:hAnsi="宋体" w:eastAsia="仿宋_GB2312"/>
                <w:sz w:val="28"/>
              </w:rPr>
              <w:t>2022年  月  日</w:t>
            </w:r>
          </w:p>
        </w:tc>
      </w:tr>
    </w:tbl>
    <w:p>
      <w:pPr>
        <w:tabs>
          <w:tab w:val="left" w:pos="0"/>
        </w:tabs>
        <w:spacing w:line="460" w:lineRule="exact"/>
        <w:ind w:left="360"/>
        <w:jc w:val="center"/>
        <w:rPr>
          <w:rFonts w:ascii="仿宋_GB2312" w:hAnsi="宋体" w:eastAsia="仿宋_GB2312"/>
          <w:sz w:val="28"/>
        </w:rPr>
      </w:pPr>
    </w:p>
    <w:p>
      <w:pPr>
        <w:tabs>
          <w:tab w:val="left" w:pos="0"/>
        </w:tabs>
        <w:spacing w:line="460" w:lineRule="exact"/>
        <w:ind w:left="360"/>
        <w:jc w:val="center"/>
        <w:rPr>
          <w:rFonts w:ascii="仿宋_GB2312" w:hAnsi="宋体" w:eastAsia="仿宋_GB2312"/>
          <w:sz w:val="28"/>
        </w:rPr>
      </w:pPr>
      <w:r>
        <w:rPr>
          <w:rFonts w:hint="eastAsia" w:ascii="仿宋_GB2312" w:hAnsi="宋体" w:eastAsia="仿宋_GB2312"/>
          <w:sz w:val="28"/>
        </w:rPr>
        <w:t xml:space="preserve">                           </w:t>
      </w:r>
    </w:p>
    <w:p>
      <w:pPr>
        <w:tabs>
          <w:tab w:val="left" w:pos="0"/>
        </w:tabs>
        <w:jc w:val="center"/>
        <w:outlineLvl w:val="0"/>
        <w:rPr>
          <w:rFonts w:ascii="宋体" w:hAnsi="宋体"/>
          <w:b/>
          <w:bCs/>
          <w:sz w:val="44"/>
        </w:rPr>
      </w:pPr>
      <w:bookmarkStart w:id="2" w:name="_Toc13814"/>
      <w:bookmarkStart w:id="3" w:name="_Toc455125305"/>
      <w:r>
        <w:rPr>
          <w:rFonts w:hint="eastAsia" w:ascii="宋体" w:hAnsi="宋体"/>
          <w:b/>
          <w:bCs/>
          <w:sz w:val="44"/>
        </w:rPr>
        <w:t>估价假设和限制条件</w:t>
      </w:r>
      <w:bookmarkEnd w:id="2"/>
      <w:bookmarkEnd w:id="3"/>
    </w:p>
    <w:p>
      <w:pPr>
        <w:tabs>
          <w:tab w:val="left" w:pos="0"/>
        </w:tabs>
        <w:spacing w:line="460" w:lineRule="exact"/>
        <w:jc w:val="center"/>
        <w:outlineLvl w:val="0"/>
        <w:rPr>
          <w:rFonts w:ascii="宋体" w:hAnsi="宋体"/>
          <w:b/>
          <w:bCs/>
          <w:sz w:val="13"/>
          <w:szCs w:val="13"/>
        </w:rPr>
      </w:pPr>
    </w:p>
    <w:p>
      <w:pPr>
        <w:spacing w:line="340" w:lineRule="exact"/>
        <w:ind w:firstLine="551" w:firstLineChars="196"/>
        <w:rPr>
          <w:rFonts w:ascii="仿宋_GB2312" w:hAnsi="宋体" w:eastAsia="仿宋_GB2312"/>
          <w:b/>
          <w:bCs/>
          <w:sz w:val="28"/>
          <w:szCs w:val="28"/>
        </w:rPr>
      </w:pPr>
      <w:r>
        <w:rPr>
          <w:rFonts w:hint="eastAsia" w:ascii="仿宋_GB2312" w:hAnsi="宋体" w:eastAsia="仿宋_GB2312"/>
          <w:b/>
          <w:bCs/>
          <w:sz w:val="28"/>
          <w:szCs w:val="28"/>
        </w:rPr>
        <w:t>一、本次估价的各项假设</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（一）一般假设</w:t>
      </w:r>
    </w:p>
    <w:p>
      <w:pPr>
        <w:spacing w:line="340" w:lineRule="exact"/>
        <w:ind w:firstLine="548" w:firstLineChars="196"/>
        <w:rPr>
          <w:rFonts w:ascii="仿宋_GB2312" w:hAnsi="宋体" w:eastAsia="仿宋_GB2312"/>
          <w:sz w:val="28"/>
          <w:szCs w:val="28"/>
          <w:lang w:val="zh-CN"/>
        </w:rPr>
      </w:pPr>
      <w:r>
        <w:rPr>
          <w:rFonts w:hint="eastAsia" w:ascii="仿宋_GB2312" w:hAnsi="宋体" w:eastAsia="仿宋_GB2312"/>
          <w:sz w:val="28"/>
          <w:szCs w:val="28"/>
          <w:lang w:val="zh-CN"/>
        </w:rPr>
        <w:t>1、假定价值时点时的房地产市场状况是公开、平等、自愿的交易市场。</w:t>
      </w:r>
    </w:p>
    <w:p>
      <w:pPr>
        <w:spacing w:line="340" w:lineRule="exact"/>
        <w:ind w:firstLine="548" w:firstLineChars="196"/>
        <w:rPr>
          <w:rFonts w:ascii="仿宋_GB2312" w:hAnsi="宋体" w:eastAsia="仿宋_GB2312"/>
          <w:sz w:val="28"/>
          <w:szCs w:val="28"/>
          <w:lang w:val="zh-CN"/>
        </w:rPr>
      </w:pPr>
      <w:r>
        <w:rPr>
          <w:rFonts w:hint="eastAsia" w:ascii="仿宋_GB2312" w:hAnsi="宋体" w:eastAsia="仿宋_GB2312"/>
          <w:sz w:val="28"/>
          <w:szCs w:val="28"/>
          <w:lang w:val="zh-CN"/>
        </w:rPr>
        <w:t>2、本次估价所依据的“《不动产权证书》（证号：闽（2019）泉州市不动产权第0002647号、闽（2019）泉州市不动产权第0002648号）”是由估价委托人提供的，我们未向政府有关部门进行核实，在无理由怀疑其合法性、真实性、准确性和完整性的情况下，假定估价委托人提供的全部资料和陈述的情况是真实、合法、有效、完整的，且权属人对估价对象拥有合法完整的权利。</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zh-CN"/>
        </w:rPr>
        <w:t>估价对象的建筑面积、土地使用权面积以估价委托人提供的权属资料为依据，我们并未进行专业测量，经实地查勘，未发现明显不符的现象，本次估价依据的面积资料以“《不动产权证书》（证号：闽（2019）泉州市不动产权第0002647号、闽（2019）泉州市不动产权第0002648号）”记载为准，假定面积资料是合法、准确的。</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4、由于估价委托人未委托专业机构对估价对象建筑物安全、环境污染等进行专业鉴定、检测，估价人员无理由怀疑估价对象存在安全隐患，故本次估价假设估价对象建筑物安全、无环境污染问题，且建筑物在耐用年限内或批准的土地使用年限内能够正常持续使用。</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5、估价委托人引领估价人员进行实地查勘的房地产与所提供的权属证书所记载的坐落一致，且具有唯一性。</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6、由于估价对象为整体房地产中的一部分，即套房，本次估价以估价对象能合法分摊及享用整体房地产的各项公共权益及公用配套设施为假设前提。</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7、经现场查勘和咨询估价委托人，估价对象房产未发现存在租赁权、用益物权及占有使用情况，本次评估以估价对象不存在租赁权、用益物权及占有使用情况为假设前提。</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8、本次评估以估价对象不存在欠缴税金及相关费用，包括税收、物业费、供暖费、水电气费等及其滞纳金为假设前提。</w:t>
      </w:r>
    </w:p>
    <w:p>
      <w:pPr>
        <w:spacing w:line="340" w:lineRule="exact"/>
        <w:ind w:firstLine="548" w:firstLineChars="196"/>
        <w:rPr>
          <w:rFonts w:ascii="仿宋_GB2312" w:hAnsi="宋体" w:eastAsia="仿宋_GB2312"/>
          <w:sz w:val="28"/>
          <w:szCs w:val="28"/>
        </w:rPr>
      </w:pPr>
      <w:r>
        <w:rPr>
          <w:rFonts w:ascii="仿宋_GB2312" w:hAnsi="宋体" w:eastAsia="仿宋_GB2312"/>
          <w:sz w:val="28"/>
          <w:szCs w:val="28"/>
        </w:rPr>
        <w:t>9</w:t>
      </w:r>
      <w:r>
        <w:rPr>
          <w:rFonts w:hint="eastAsia" w:ascii="仿宋_GB2312" w:hAnsi="宋体" w:eastAsia="仿宋_GB2312"/>
          <w:sz w:val="28"/>
          <w:szCs w:val="28"/>
        </w:rPr>
        <w:t>、本次估价为涉执房地产处置司法评估，估价对象被迫转让及处置后被执行人存在不自愿配合交付因素，本次评估结果已考虑其不利影响。</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0</w:t>
      </w:r>
      <w:r>
        <w:rPr>
          <w:rFonts w:hint="eastAsia" w:ascii="仿宋_GB2312" w:hAnsi="宋体" w:eastAsia="仿宋_GB2312"/>
          <w:sz w:val="28"/>
          <w:szCs w:val="28"/>
        </w:rPr>
        <w:t>、估价对象市场价格对应的交易税费按照法律法规规定，转让人和买受人各自负担己方税费。</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（二）未定事项假设</w:t>
      </w:r>
    </w:p>
    <w:p>
      <w:pPr>
        <w:spacing w:line="340" w:lineRule="exact"/>
        <w:ind w:firstLine="548" w:firstLineChars="196"/>
        <w:rPr>
          <w:rFonts w:ascii="仿宋_GB2312" w:hAnsi="宋体" w:eastAsia="仿宋_GB2312"/>
          <w:sz w:val="28"/>
          <w:szCs w:val="28"/>
          <w:lang w:val="zh-CN"/>
        </w:rPr>
      </w:pPr>
      <w:r>
        <w:rPr>
          <w:rFonts w:hint="eastAsia" w:ascii="仿宋_GB2312" w:hAnsi="宋体" w:eastAsia="仿宋_GB2312"/>
          <w:sz w:val="28"/>
          <w:szCs w:val="28"/>
          <w:lang w:val="zh-CN"/>
        </w:rPr>
        <w:t>估价委托人提供的“《不动产权证书》（证号：闽（2019）泉州市不动产权第0002647号、闽（2019）泉州市不动产权第0002648号）”未记载建筑物的建成年份，估价委托人也未提供相关建成年份资料，经调查，估价对象建筑物建成于20</w:t>
      </w:r>
      <w:r>
        <w:rPr>
          <w:rFonts w:hint="eastAsia" w:ascii="仿宋_GB2312" w:hAnsi="宋体" w:eastAsia="仿宋_GB2312"/>
          <w:sz w:val="28"/>
          <w:szCs w:val="28"/>
        </w:rPr>
        <w:t>11</w:t>
      </w:r>
      <w:r>
        <w:rPr>
          <w:rFonts w:hint="eastAsia" w:ascii="仿宋_GB2312" w:hAnsi="宋体" w:eastAsia="仿宋_GB2312"/>
          <w:sz w:val="28"/>
          <w:szCs w:val="28"/>
          <w:lang w:val="zh-CN"/>
        </w:rPr>
        <w:t>年，本次估价建筑物的建成年份以实际调查为准。</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（三）背离事实假设</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在价值时点，估价对象房地产已被人民法院查封（或存在担保物权、其他优先受偿款），本次估价不考虑估价对象被查封以及原有的担保物权和其他优先受偿权的影响。</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（四）不相一致假设</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无不相一致假设。</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（五）依据不足假设</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无依据不足假设。</w:t>
      </w:r>
    </w:p>
    <w:p>
      <w:pPr>
        <w:spacing w:line="340" w:lineRule="exact"/>
        <w:ind w:firstLine="551" w:firstLineChars="196"/>
        <w:rPr>
          <w:rFonts w:ascii="仿宋_GB2312" w:hAnsi="宋体" w:eastAsia="仿宋_GB2312"/>
          <w:b/>
          <w:bCs/>
          <w:sz w:val="28"/>
          <w:szCs w:val="28"/>
        </w:rPr>
      </w:pPr>
      <w:r>
        <w:rPr>
          <w:rFonts w:hint="eastAsia" w:ascii="仿宋_GB2312" w:hAnsi="宋体" w:eastAsia="仿宋_GB2312"/>
          <w:b/>
          <w:bCs/>
          <w:sz w:val="28"/>
          <w:szCs w:val="28"/>
        </w:rPr>
        <w:t>二、估价报告使用限制</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1、本估价报告仅作为本次估价目的之使用，不作其他任何用途使用。</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2、本估价报告只能由报告载明的估价报告使用者使用。估价报告使用者为估价委托人。</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zh-CN"/>
        </w:rPr>
        <w:t>本估价报告应用有效期为一年，时间从报告出具之日起生效。</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4、本估价报告评估结果仅为人民法院确定财产处置参考价服务，不是估价对象处置可实现的成交价格，也不应当被视为对估价对象处置成交价格的保证。</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5、财产拍卖或者变卖之日与本估价报告价值时点不一致，可能导致评估结果对应的估价对象状况、房地产市场状况、欠缴税费状况等与财产拍卖或者变卖时的相应状况不一致，发生明显变化的，评估结果应当进行相应调整后才可使用。</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6、在评估报告使用期限或者评估结果有效期内，评估报告或者评估结果未使用之前，如果估价对象状况或者房地产市场状况发生明显变化的，评估结果应当进行相应调整后才可使用。</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7、未经本估价机构书面同意，任何单位或个人不得将本估价报告的全部或部分内容发表于任何公开媒体上。</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8、应用本估价报告时，估价报告使用人应明确本次估价的“价值类型”和“估价假设和限制条件”部分所载明的内容，严格按照本估价报告全部完整地应用，不应断章取义。</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9、本估价报告的估价结果，须经福建明达房地产评估有限公司盖章、法定代表人签名及在该公司执业的2名注册房地产估价师签字，并作为一个整体完整使用时有效。本报告仅原件有效，复印件或电子档无效。</w:t>
      </w:r>
    </w:p>
    <w:p>
      <w:pPr>
        <w:spacing w:line="340" w:lineRule="exact"/>
        <w:ind w:firstLine="548" w:firstLineChars="196"/>
        <w:rPr>
          <w:rFonts w:ascii="仿宋_GB2312" w:hAnsi="宋体" w:eastAsia="仿宋_GB2312"/>
          <w:sz w:val="28"/>
          <w:szCs w:val="28"/>
        </w:rPr>
      </w:pPr>
      <w:r>
        <w:rPr>
          <w:rFonts w:hint="eastAsia" w:ascii="仿宋_GB2312" w:hAnsi="宋体" w:eastAsia="仿宋_GB2312"/>
          <w:sz w:val="28"/>
          <w:szCs w:val="28"/>
        </w:rPr>
        <w:t>10、本估价报告的解释权归福建明达房地产评估有限公司。</w:t>
      </w:r>
    </w:p>
    <w:p>
      <w:pPr>
        <w:pStyle w:val="2"/>
        <w:rPr>
          <w:rFonts w:ascii="仿宋_GB2312" w:hAnsi="宋体" w:eastAsia="仿宋_GB2312"/>
          <w:sz w:val="28"/>
          <w:szCs w:val="28"/>
        </w:rPr>
      </w:pPr>
    </w:p>
    <w:p>
      <w:pPr>
        <w:pStyle w:val="3"/>
      </w:pPr>
    </w:p>
    <w:p>
      <w:pPr>
        <w:tabs>
          <w:tab w:val="left" w:pos="0"/>
        </w:tabs>
        <w:jc w:val="center"/>
        <w:outlineLvl w:val="0"/>
        <w:rPr>
          <w:rFonts w:ascii="宋体" w:hAnsi="宋体"/>
          <w:b/>
          <w:bCs/>
          <w:sz w:val="44"/>
        </w:rPr>
      </w:pPr>
      <w:bookmarkStart w:id="4" w:name="_Toc24913"/>
      <w:r>
        <w:rPr>
          <w:rFonts w:hint="eastAsia" w:ascii="宋体" w:hAnsi="宋体"/>
          <w:b/>
          <w:bCs/>
          <w:sz w:val="44"/>
        </w:rPr>
        <w:t>估价结果报告</w:t>
      </w:r>
      <w:bookmarkEnd w:id="4"/>
    </w:p>
    <w:p>
      <w:pPr>
        <w:tabs>
          <w:tab w:val="left" w:pos="180"/>
        </w:tabs>
        <w:spacing w:line="400" w:lineRule="exact"/>
        <w:ind w:firstLine="551" w:firstLineChars="196"/>
        <w:outlineLvl w:val="1"/>
        <w:rPr>
          <w:rFonts w:ascii="仿宋_GB2312" w:hAnsi="宋体" w:eastAsia="仿宋_GB2312"/>
          <w:b/>
          <w:sz w:val="28"/>
        </w:rPr>
      </w:pPr>
      <w:bookmarkStart w:id="5" w:name="_Toc6618"/>
      <w:r>
        <w:rPr>
          <w:rFonts w:hint="eastAsia" w:ascii="仿宋_GB2312" w:hAnsi="宋体" w:eastAsia="仿宋_GB2312"/>
          <w:b/>
          <w:sz w:val="28"/>
        </w:rPr>
        <w:t>一、估价委托人</w:t>
      </w:r>
      <w:bookmarkEnd w:id="5"/>
    </w:p>
    <w:p>
      <w:pPr>
        <w:tabs>
          <w:tab w:val="left" w:pos="180"/>
        </w:tabs>
        <w:spacing w:line="440" w:lineRule="exact"/>
        <w:ind w:firstLine="560" w:firstLineChars="200"/>
        <w:rPr>
          <w:rFonts w:ascii="仿宋_GB2312" w:hAnsi="宋体" w:eastAsia="仿宋_GB2312"/>
          <w:sz w:val="28"/>
        </w:rPr>
      </w:pPr>
      <w:r>
        <w:rPr>
          <w:rFonts w:hint="eastAsia" w:ascii="仿宋_GB2312" w:hAnsi="宋体" w:eastAsia="仿宋_GB2312"/>
          <w:sz w:val="28"/>
        </w:rPr>
        <w:t>估价委托人：晋江市人民法院</w:t>
      </w:r>
    </w:p>
    <w:p>
      <w:pPr>
        <w:tabs>
          <w:tab w:val="left" w:pos="180"/>
        </w:tabs>
        <w:spacing w:line="440" w:lineRule="exact"/>
        <w:ind w:firstLine="560" w:firstLineChars="200"/>
        <w:rPr>
          <w:rFonts w:ascii="仿宋_GB2312" w:hAnsi="宋体" w:eastAsia="仿宋_GB2312"/>
          <w:sz w:val="28"/>
        </w:rPr>
      </w:pPr>
      <w:bookmarkStart w:id="6" w:name="_Toc2336"/>
      <w:r>
        <w:rPr>
          <w:rFonts w:hint="eastAsia" w:ascii="仿宋_GB2312" w:hAnsi="宋体" w:eastAsia="仿宋_GB2312"/>
          <w:sz w:val="28"/>
        </w:rPr>
        <w:t>地址：福建省泉州市晋江市崇德路38号</w:t>
      </w:r>
    </w:p>
    <w:p>
      <w:pPr>
        <w:tabs>
          <w:tab w:val="left" w:pos="180"/>
        </w:tabs>
        <w:spacing w:line="400" w:lineRule="exact"/>
        <w:ind w:firstLine="551" w:firstLineChars="196"/>
        <w:outlineLvl w:val="1"/>
        <w:rPr>
          <w:rFonts w:ascii="仿宋_GB2312" w:hAnsi="宋体" w:eastAsia="仿宋_GB2312"/>
          <w:sz w:val="28"/>
        </w:rPr>
      </w:pPr>
      <w:r>
        <w:rPr>
          <w:rFonts w:hint="eastAsia" w:ascii="仿宋_GB2312" w:hAnsi="宋体" w:eastAsia="仿宋_GB2312"/>
          <w:b/>
          <w:sz w:val="28"/>
        </w:rPr>
        <w:t>二、估价机构</w:t>
      </w:r>
      <w:bookmarkEnd w:id="6"/>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名称：福建明达房地产评估有限公司</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统一社会信用代码：91350582775382315H</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法定代表人：朱金华</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单位地址：福建省泉州市晋江市青阳街道世纪大道520号宝龙写字楼5楼513室</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联系电话：0595-85633380</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房地产资质等级：贰级       房地产资质证书编号：QZ20171116</w:t>
      </w:r>
    </w:p>
    <w:p>
      <w:pPr>
        <w:tabs>
          <w:tab w:val="left" w:pos="180"/>
        </w:tabs>
        <w:spacing w:line="400" w:lineRule="exact"/>
        <w:ind w:firstLine="551" w:firstLineChars="196"/>
        <w:outlineLvl w:val="1"/>
        <w:rPr>
          <w:rFonts w:ascii="仿宋_GB2312" w:hAnsi="宋体" w:eastAsia="仿宋_GB2312"/>
          <w:b/>
          <w:sz w:val="28"/>
        </w:rPr>
      </w:pPr>
      <w:bookmarkStart w:id="7" w:name="_Toc22172"/>
      <w:r>
        <w:rPr>
          <w:rFonts w:hint="eastAsia" w:ascii="仿宋_GB2312" w:hAnsi="宋体" w:eastAsia="仿宋_GB2312"/>
          <w:b/>
          <w:sz w:val="28"/>
        </w:rPr>
        <w:t>三、估价目的</w:t>
      </w:r>
      <w:bookmarkEnd w:id="7"/>
    </w:p>
    <w:p>
      <w:pPr>
        <w:tabs>
          <w:tab w:val="left" w:pos="180"/>
        </w:tabs>
        <w:spacing w:line="400" w:lineRule="exact"/>
        <w:ind w:firstLine="560" w:firstLineChars="200"/>
        <w:rPr>
          <w:rFonts w:ascii="仿宋_GB2312" w:hAnsi="宋体" w:eastAsia="仿宋_GB2312"/>
          <w:b/>
          <w:sz w:val="28"/>
        </w:rPr>
      </w:pPr>
      <w:r>
        <w:rPr>
          <w:rFonts w:hint="eastAsia" w:ascii="仿宋_GB2312" w:hAnsi="宋体" w:eastAsia="仿宋_GB2312"/>
          <w:sz w:val="28"/>
        </w:rPr>
        <w:t>估价目的是为人民法院确定财产处置参考价提供参考依据。</w:t>
      </w:r>
    </w:p>
    <w:p>
      <w:pPr>
        <w:tabs>
          <w:tab w:val="left" w:pos="180"/>
        </w:tabs>
        <w:spacing w:line="400" w:lineRule="exact"/>
        <w:ind w:firstLine="551" w:firstLineChars="196"/>
        <w:outlineLvl w:val="1"/>
        <w:rPr>
          <w:rFonts w:ascii="仿宋_GB2312" w:hAnsi="宋体" w:eastAsia="仿宋_GB2312"/>
          <w:b/>
          <w:sz w:val="28"/>
        </w:rPr>
      </w:pPr>
      <w:bookmarkStart w:id="8" w:name="_Toc10863"/>
      <w:r>
        <w:rPr>
          <w:rFonts w:hint="eastAsia" w:ascii="仿宋_GB2312" w:hAnsi="宋体" w:eastAsia="仿宋_GB2312"/>
          <w:b/>
          <w:sz w:val="28"/>
        </w:rPr>
        <w:t>四、估价对象</w:t>
      </w:r>
      <w:bookmarkEnd w:id="8"/>
    </w:p>
    <w:p>
      <w:pPr>
        <w:tabs>
          <w:tab w:val="left" w:pos="180"/>
        </w:tabs>
        <w:spacing w:line="400" w:lineRule="exact"/>
        <w:ind w:firstLine="562" w:firstLineChars="200"/>
        <w:rPr>
          <w:rFonts w:ascii="仿宋_GB2312" w:hAnsi="宋体" w:eastAsia="仿宋_GB2312"/>
          <w:b/>
          <w:bCs/>
          <w:sz w:val="28"/>
        </w:rPr>
      </w:pPr>
      <w:r>
        <w:rPr>
          <w:rFonts w:hint="eastAsia" w:ascii="仿宋_GB2312" w:hAnsi="宋体" w:eastAsia="仿宋_GB2312"/>
          <w:b/>
          <w:bCs/>
          <w:sz w:val="28"/>
        </w:rPr>
        <w:t>（一）估价对象及其财产范围</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估价对象为位于</w:t>
      </w:r>
      <w:r>
        <w:rPr>
          <w:rFonts w:hint="eastAsia" w:ascii="仿宋_GB2312" w:hAnsi="宋体" w:eastAsia="仿宋_GB2312"/>
          <w:sz w:val="28"/>
          <w:szCs w:val="28"/>
        </w:rPr>
        <w:t>丰泽区城东片区安吉路中段西侧美仙山花苑4号楼702的住宅房地产，其财产范围包括建筑物（含室内二次装修）</w:t>
      </w:r>
      <w:r>
        <w:rPr>
          <w:rFonts w:hint="eastAsia" w:ascii="仿宋_GB2312" w:hAnsi="宋体" w:eastAsia="仿宋_GB2312"/>
          <w:sz w:val="28"/>
        </w:rPr>
        <w:t>、分摊的土地使用权（含土地出让金）及公共配套设施，不包括动产、债权债务、特许经营权等其他财产或权益。</w:t>
      </w:r>
    </w:p>
    <w:p>
      <w:pPr>
        <w:tabs>
          <w:tab w:val="left" w:pos="180"/>
        </w:tabs>
        <w:spacing w:line="400" w:lineRule="exact"/>
        <w:ind w:firstLine="562" w:firstLineChars="200"/>
        <w:rPr>
          <w:rFonts w:ascii="仿宋_GB2312" w:hAnsi="宋体" w:eastAsia="仿宋_GB2312"/>
          <w:b/>
          <w:bCs/>
          <w:sz w:val="28"/>
        </w:rPr>
      </w:pPr>
      <w:r>
        <w:rPr>
          <w:rFonts w:hint="eastAsia" w:ascii="仿宋_GB2312" w:hAnsi="宋体" w:eastAsia="仿宋_GB2312"/>
          <w:b/>
          <w:bCs/>
          <w:sz w:val="28"/>
        </w:rPr>
        <w:t>（二）估价对象基本情况</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根据估价委托人提供的《不动产权证书》（证号：闽（2019）泉州市不动产权第0002647号、闽（2019）泉州市不动产权第0002648号），权利人为郑金聪、江燕玲，共有情况为共同共有，坐落于丰泽区城东片区安吉路中段西侧美仙山花苑4号楼702，不动产单元号为 350503 013014 GB00022 F00050049，权利类型为国有建设用地使用权/房屋所有权，权利性质为出让/市场化商品房，用途为城镇住宅用地/住宅，房屋建筑面积为134.09平方米，房屋结构为钢筋混凝士结构，房屋总层数为18层，所在层为第7层，取得方式为买卖，宗地面积为82026.8平方米，使用期限至2088年08月30日止。</w:t>
      </w:r>
    </w:p>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估价对象约建成于2011年，现状为自住。</w:t>
      </w:r>
    </w:p>
    <w:p>
      <w:pPr>
        <w:pStyle w:val="9"/>
        <w:adjustRightInd w:val="0"/>
        <w:snapToGrid w:val="0"/>
        <w:spacing w:line="380" w:lineRule="exact"/>
        <w:ind w:firstLine="562" w:firstLineChars="200"/>
        <w:jc w:val="center"/>
        <w:rPr>
          <w:rFonts w:ascii="仿宋_GB2312" w:hAnsi="Arial Narrow" w:eastAsia="仿宋_GB2312"/>
          <w:b/>
          <w:bCs/>
          <w:sz w:val="28"/>
          <w:szCs w:val="28"/>
        </w:rPr>
      </w:pPr>
      <w:r>
        <w:rPr>
          <w:rFonts w:hint="eastAsia" w:ascii="仿宋_GB2312" w:hAnsi="Arial Narrow" w:eastAsia="仿宋_GB2312"/>
          <w:b/>
          <w:bCs/>
          <w:sz w:val="28"/>
          <w:szCs w:val="28"/>
        </w:rPr>
        <w:t>估价对象房屋登记状况表</w:t>
      </w:r>
    </w:p>
    <w:tbl>
      <w:tblPr>
        <w:tblStyle w:val="26"/>
        <w:tblW w:w="9061" w:type="dxa"/>
        <w:tblInd w:w="91"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2284"/>
        <w:gridCol w:w="677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不动产权证书证号</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闽（2019）泉州市不动产权第0002647号、闽（2019）泉州市不动产权第0002648号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权利人</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郑金聪、江燕玲</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共有情况</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共同共有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坐落</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丰泽区城东片区安吉路中段西侧美仙山花苑4号楼702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不动产单元号</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 350503 013014 GB00022 F00050049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权利类型 </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国有建设用地使用权/房屋所有权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权利性质 </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出让/市场化商品房</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用 途 </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城镇住宅用地/住宅</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宗地面积</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82026.8平方米</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房屋建筑面积</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134.09平方米</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 xml:space="preserve">使用期限 </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至2088年08月30日止</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房屋结构</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钢筋混凝士结构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房屋总层数</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18层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所在层</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第7层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284"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取得方式</w:t>
            </w:r>
          </w:p>
        </w:tc>
        <w:tc>
          <w:tcPr>
            <w:tcW w:w="6777" w:type="dxa"/>
            <w:tcMar>
              <w:top w:w="0" w:type="dxa"/>
              <w:left w:w="28" w:type="dxa"/>
              <w:bottom w:w="0" w:type="dxa"/>
              <w:right w:w="28" w:type="dxa"/>
            </w:tcMar>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买卖</w:t>
            </w:r>
          </w:p>
        </w:tc>
      </w:tr>
    </w:tbl>
    <w:p>
      <w:pPr>
        <w:tabs>
          <w:tab w:val="left" w:pos="180"/>
        </w:tabs>
        <w:spacing w:line="400" w:lineRule="exact"/>
        <w:ind w:firstLine="560" w:firstLineChars="200"/>
        <w:rPr>
          <w:rFonts w:ascii="仿宋_GB2312" w:hAnsi="宋体" w:eastAsia="仿宋_GB2312"/>
          <w:sz w:val="28"/>
        </w:rPr>
      </w:pPr>
      <w:r>
        <w:rPr>
          <w:rFonts w:hint="eastAsia" w:ascii="仿宋_GB2312" w:hAnsi="宋体" w:eastAsia="仿宋_GB2312"/>
          <w:sz w:val="28"/>
        </w:rPr>
        <w:t>根据委托人提供的《不动产登记证明》（证号：闽（2020）泉州市不动产证明第0025948号），估价对象房屋存在抵押权。</w:t>
      </w:r>
    </w:p>
    <w:p>
      <w:pPr>
        <w:tabs>
          <w:tab w:val="left" w:pos="180"/>
        </w:tabs>
        <w:spacing w:line="400" w:lineRule="exact"/>
        <w:ind w:firstLine="562" w:firstLineChars="200"/>
        <w:rPr>
          <w:rFonts w:ascii="仿宋_GB2312" w:hAnsi="宋体" w:eastAsia="仿宋_GB2312"/>
          <w:b/>
          <w:bCs/>
          <w:sz w:val="28"/>
        </w:rPr>
      </w:pPr>
      <w:r>
        <w:rPr>
          <w:rFonts w:hint="eastAsia" w:ascii="仿宋_GB2312" w:hAnsi="宋体" w:eastAsia="仿宋_GB2312"/>
          <w:b/>
          <w:bCs/>
          <w:sz w:val="28"/>
        </w:rPr>
        <w:t>（三）土地基本情况</w:t>
      </w:r>
    </w:p>
    <w:p>
      <w:pPr>
        <w:tabs>
          <w:tab w:val="left" w:pos="180"/>
        </w:tabs>
        <w:spacing w:line="440" w:lineRule="exact"/>
        <w:ind w:firstLine="562" w:firstLineChars="200"/>
        <w:jc w:val="center"/>
        <w:rPr>
          <w:rFonts w:ascii="仿宋_GB2312" w:hAnsi="宋体" w:eastAsia="仿宋_GB2312"/>
          <w:b/>
          <w:bCs/>
          <w:sz w:val="28"/>
          <w:szCs w:val="28"/>
        </w:rPr>
      </w:pPr>
      <w:r>
        <w:rPr>
          <w:rFonts w:hint="eastAsia" w:ascii="仿宋_GB2312" w:hAnsi="宋体" w:eastAsia="仿宋_GB2312"/>
          <w:b/>
          <w:bCs/>
          <w:sz w:val="28"/>
          <w:szCs w:val="28"/>
        </w:rPr>
        <w:t>土地基本状况表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ind w:firstLine="482" w:firstLineChars="200"/>
              <w:rPr>
                <w:rFonts w:ascii="仿宋_GB2312" w:hAnsi="宋体" w:eastAsia="仿宋_GB2312"/>
                <w:b/>
                <w:bCs/>
                <w:sz w:val="24"/>
              </w:rPr>
            </w:pPr>
            <w:r>
              <w:rPr>
                <w:rFonts w:hint="eastAsia" w:ascii="仿宋_GB2312" w:hAnsi="宋体" w:eastAsia="仿宋_GB2312"/>
                <w:b/>
                <w:bCs/>
                <w:sz w:val="24"/>
              </w:rPr>
              <w:t>项   目</w:t>
            </w:r>
          </w:p>
        </w:tc>
        <w:tc>
          <w:tcPr>
            <w:tcW w:w="6923" w:type="dxa"/>
            <w:vAlign w:val="center"/>
          </w:tcPr>
          <w:p>
            <w:pPr>
              <w:ind w:firstLine="2650" w:firstLineChars="1100"/>
              <w:rPr>
                <w:rFonts w:ascii="仿宋_GB2312" w:hAnsi="宋体" w:eastAsia="仿宋_GB2312"/>
                <w:b/>
                <w:bCs/>
                <w:sz w:val="24"/>
              </w:rPr>
            </w:pPr>
            <w:r>
              <w:rPr>
                <w:rFonts w:hint="eastAsia" w:ascii="仿宋_GB2312" w:hAnsi="宋体" w:eastAsia="仿宋_GB2312"/>
                <w:b/>
                <w:bCs/>
                <w:sz w:val="24"/>
              </w:rPr>
              <w:t>状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1、名称</w:t>
            </w:r>
          </w:p>
        </w:tc>
        <w:tc>
          <w:tcPr>
            <w:tcW w:w="6923" w:type="dxa"/>
            <w:vAlign w:val="center"/>
          </w:tcPr>
          <w:p>
            <w:pPr>
              <w:rPr>
                <w:rFonts w:ascii="仿宋_GB2312" w:hAnsi="宋体" w:eastAsia="仿宋_GB2312"/>
                <w:sz w:val="24"/>
              </w:rPr>
            </w:pPr>
            <w:r>
              <w:rPr>
                <w:rFonts w:hint="eastAsia" w:ascii="仿宋_GB2312" w:hAnsi="宋体" w:eastAsia="仿宋_GB2312"/>
                <w:sz w:val="24"/>
              </w:rPr>
              <w:t>丰泽区城东片区安吉路中段西侧美仙山花苑4号楼702所属土地。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2、土地使用权人</w:t>
            </w:r>
          </w:p>
        </w:tc>
        <w:tc>
          <w:tcPr>
            <w:tcW w:w="6923" w:type="dxa"/>
            <w:vAlign w:val="center"/>
          </w:tcPr>
          <w:p>
            <w:pPr>
              <w:rPr>
                <w:rFonts w:ascii="仿宋_GB2312" w:hAnsi="宋体" w:eastAsia="仿宋_GB2312"/>
                <w:sz w:val="24"/>
              </w:rPr>
            </w:pPr>
            <w:r>
              <w:rPr>
                <w:rFonts w:hint="eastAsia" w:ascii="仿宋_GB2312" w:hAnsi="宋体" w:eastAsia="仿宋_GB2312"/>
                <w:sz w:val="24"/>
              </w:rPr>
              <w:t>郑金聪、江燕玲。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3、小区四至</w:t>
            </w:r>
          </w:p>
        </w:tc>
        <w:tc>
          <w:tcPr>
            <w:tcW w:w="6923" w:type="dxa"/>
          </w:tcPr>
          <w:p>
            <w:pPr>
              <w:rPr>
                <w:rFonts w:ascii="仿宋_GB2312" w:hAnsi="宋体" w:eastAsia="仿宋_GB2312"/>
                <w:sz w:val="24"/>
              </w:rPr>
            </w:pPr>
            <w:r>
              <w:rPr>
                <w:rFonts w:hint="eastAsia" w:ascii="仿宋_GB2312" w:hAnsi="宋体" w:eastAsia="仿宋_GB2312"/>
                <w:sz w:val="24"/>
              </w:rPr>
              <w:t>东埔路以东、青莲街以南、美仙山花苑二期以西、同兴街以北。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4、土地级别</w:t>
            </w:r>
          </w:p>
        </w:tc>
        <w:tc>
          <w:tcPr>
            <w:tcW w:w="6923" w:type="dxa"/>
          </w:tcPr>
          <w:p>
            <w:pPr>
              <w:rPr>
                <w:rFonts w:ascii="仿宋_GB2312" w:hAnsi="宋体" w:eastAsia="仿宋_GB2312"/>
                <w:sz w:val="24"/>
              </w:rPr>
            </w:pPr>
            <w:r>
              <w:rPr>
                <w:rFonts w:hint="eastAsia" w:ascii="仿宋_GB2312" w:hAnsi="宋体" w:eastAsia="仿宋_GB2312"/>
                <w:sz w:val="24"/>
              </w:rPr>
              <w:t>依据《泉州市人民政府关于实施泉州市中心市区新一轮城镇土地定级和基准地价的通告》[泉政〔2021〕2号]划分，估价对象属泉州市一级住宅用地。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5、土地使用权类型</w:t>
            </w:r>
          </w:p>
        </w:tc>
        <w:tc>
          <w:tcPr>
            <w:tcW w:w="6923" w:type="dxa"/>
          </w:tcPr>
          <w:p>
            <w:pPr>
              <w:rPr>
                <w:rFonts w:ascii="仿宋_GB2312" w:hAnsi="宋体" w:eastAsia="仿宋_GB2312"/>
                <w:sz w:val="24"/>
              </w:rPr>
            </w:pPr>
            <w:r>
              <w:rPr>
                <w:rFonts w:hint="eastAsia" w:ascii="仿宋_GB2312" w:hAnsi="宋体" w:eastAsia="仿宋_GB2312"/>
                <w:sz w:val="24"/>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0" w:type="dxa"/>
            <w:vAlign w:val="center"/>
          </w:tcPr>
          <w:p>
            <w:pPr>
              <w:rPr>
                <w:rFonts w:ascii="仿宋_GB2312" w:hAnsi="宋体" w:eastAsia="仿宋_GB2312"/>
                <w:sz w:val="24"/>
              </w:rPr>
            </w:pPr>
            <w:r>
              <w:rPr>
                <w:rFonts w:hint="eastAsia" w:ascii="仿宋_GB2312" w:hAnsi="宋体" w:eastAsia="仿宋_GB2312"/>
                <w:sz w:val="24"/>
              </w:rPr>
              <w:t>6、土地使用期限</w:t>
            </w:r>
          </w:p>
        </w:tc>
        <w:tc>
          <w:tcPr>
            <w:tcW w:w="6923" w:type="dxa"/>
          </w:tcPr>
          <w:p>
            <w:pPr>
              <w:rPr>
                <w:rFonts w:ascii="仿宋_GB2312" w:hAnsi="宋体" w:eastAsia="仿宋_GB2312"/>
                <w:sz w:val="24"/>
              </w:rPr>
            </w:pPr>
            <w:r>
              <w:rPr>
                <w:rFonts w:hint="eastAsia" w:ascii="仿宋_GB2312" w:hAnsi="宋体" w:eastAsia="仿宋_GB2312"/>
                <w:sz w:val="24"/>
              </w:rPr>
              <w:t>至2088年08月30日止。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7、小区宗地形状</w:t>
            </w:r>
          </w:p>
        </w:tc>
        <w:tc>
          <w:tcPr>
            <w:tcW w:w="6923" w:type="dxa"/>
          </w:tcPr>
          <w:p>
            <w:pPr>
              <w:rPr>
                <w:rFonts w:ascii="仿宋_GB2312" w:hAnsi="宋体" w:eastAsia="仿宋_GB2312"/>
                <w:sz w:val="24"/>
              </w:rPr>
            </w:pPr>
            <w:r>
              <w:rPr>
                <w:rFonts w:hint="eastAsia" w:ascii="仿宋_GB2312" w:hAnsi="宋体" w:eastAsia="仿宋_GB2312"/>
                <w:sz w:val="24"/>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8、土地开发程度</w:t>
            </w:r>
          </w:p>
        </w:tc>
        <w:tc>
          <w:tcPr>
            <w:tcW w:w="6923" w:type="dxa"/>
          </w:tcPr>
          <w:p>
            <w:pPr>
              <w:rPr>
                <w:rFonts w:ascii="仿宋_GB2312" w:hAnsi="宋体" w:eastAsia="仿宋_GB2312"/>
                <w:sz w:val="24"/>
              </w:rPr>
            </w:pPr>
            <w:r>
              <w:rPr>
                <w:rFonts w:hint="eastAsia" w:ascii="仿宋_GB2312" w:hAnsi="宋体" w:eastAsia="仿宋_GB2312"/>
                <w:sz w:val="24"/>
              </w:rPr>
              <w:t>红线外“六通”(通路、供电、供水、排水、通讯、通燃气），红线内居住小区已开发完成。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9、土地使用权面积</w:t>
            </w:r>
          </w:p>
        </w:tc>
        <w:tc>
          <w:tcPr>
            <w:tcW w:w="6923" w:type="dxa"/>
          </w:tcPr>
          <w:p>
            <w:pPr>
              <w:rPr>
                <w:rFonts w:ascii="仿宋_GB2312" w:hAnsi="宋体" w:eastAsia="仿宋_GB2312"/>
                <w:sz w:val="24"/>
              </w:rPr>
            </w:pPr>
            <w:r>
              <w:rPr>
                <w:rFonts w:hint="eastAsia" w:ascii="仿宋_GB2312" w:hAnsi="宋体" w:eastAsia="仿宋_GB2312"/>
                <w:sz w:val="24"/>
              </w:rPr>
              <w:t>82026.8平方米。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rPr>
                <w:rFonts w:ascii="仿宋_GB2312" w:hAnsi="宋体" w:eastAsia="仿宋_GB2312"/>
                <w:sz w:val="24"/>
              </w:rPr>
            </w:pPr>
            <w:r>
              <w:rPr>
                <w:rFonts w:hint="eastAsia" w:ascii="仿宋_GB2312" w:hAnsi="宋体" w:eastAsia="仿宋_GB2312"/>
                <w:sz w:val="24"/>
              </w:rPr>
              <w:t>10、规划条件</w:t>
            </w:r>
          </w:p>
        </w:tc>
        <w:tc>
          <w:tcPr>
            <w:tcW w:w="6923" w:type="dxa"/>
          </w:tcPr>
          <w:p>
            <w:pPr>
              <w:rPr>
                <w:rFonts w:ascii="仿宋_GB2312" w:hAnsi="宋体" w:eastAsia="仿宋_GB2312"/>
                <w:sz w:val="24"/>
              </w:rPr>
            </w:pPr>
            <w:r>
              <w:rPr>
                <w:rFonts w:hint="eastAsia" w:ascii="仿宋_GB2312" w:hAnsi="宋体" w:eastAsia="仿宋_GB2312" w:cs="仿宋_GB2312"/>
                <w:kern w:val="0"/>
                <w:sz w:val="24"/>
                <w:lang w:bidi="ar"/>
              </w:rPr>
              <w:t>根据估价委托人提供的资料及估价师实地查勘判断，小区规划主要用途为住宅，建筑密度、容积率较适中，绿化率较合理，符合规划。</w:t>
            </w:r>
          </w:p>
        </w:tc>
      </w:tr>
    </w:tbl>
    <w:p>
      <w:pPr>
        <w:tabs>
          <w:tab w:val="left" w:pos="180"/>
        </w:tabs>
        <w:spacing w:line="440" w:lineRule="exact"/>
        <w:ind w:firstLine="562" w:firstLineChars="200"/>
        <w:rPr>
          <w:rFonts w:ascii="仿宋_GB2312" w:hAnsi="宋体" w:eastAsia="仿宋_GB2312"/>
          <w:b/>
          <w:bCs/>
          <w:sz w:val="28"/>
        </w:rPr>
      </w:pPr>
      <w:r>
        <w:rPr>
          <w:rFonts w:hint="eastAsia" w:ascii="仿宋_GB2312" w:hAnsi="宋体" w:eastAsia="仿宋_GB2312"/>
          <w:b/>
          <w:bCs/>
          <w:sz w:val="28"/>
        </w:rPr>
        <w:t>（四）建筑物基本情况</w:t>
      </w:r>
    </w:p>
    <w:p>
      <w:pPr>
        <w:tabs>
          <w:tab w:val="left" w:pos="180"/>
        </w:tabs>
        <w:spacing w:line="440" w:lineRule="exact"/>
        <w:ind w:firstLine="562" w:firstLineChars="200"/>
        <w:jc w:val="center"/>
        <w:rPr>
          <w:rFonts w:ascii="仿宋_GB2312" w:hAnsi="宋体" w:eastAsia="仿宋_GB2312"/>
          <w:b/>
          <w:bCs/>
          <w:sz w:val="28"/>
          <w:szCs w:val="28"/>
        </w:rPr>
      </w:pPr>
      <w:r>
        <w:rPr>
          <w:rFonts w:hint="eastAsia" w:ascii="仿宋_GB2312" w:hAnsi="宋体" w:eastAsia="仿宋_GB2312"/>
          <w:b/>
          <w:bCs/>
          <w:sz w:val="28"/>
          <w:szCs w:val="28"/>
        </w:rPr>
        <w:t>建筑物基本状况表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9"/>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vAlign w:val="center"/>
          </w:tcPr>
          <w:p>
            <w:pPr>
              <w:ind w:firstLine="482" w:firstLineChars="200"/>
              <w:rPr>
                <w:rFonts w:ascii="仿宋_GB2312" w:hAnsi="宋体" w:eastAsia="仿宋_GB2312"/>
                <w:sz w:val="24"/>
              </w:rPr>
            </w:pPr>
            <w:r>
              <w:rPr>
                <w:rFonts w:hint="eastAsia" w:ascii="仿宋_GB2312" w:hAnsi="宋体" w:eastAsia="仿宋_GB2312"/>
                <w:b/>
                <w:bCs/>
                <w:sz w:val="24"/>
              </w:rPr>
              <w:t>项   目</w:t>
            </w:r>
          </w:p>
        </w:tc>
        <w:tc>
          <w:tcPr>
            <w:tcW w:w="6784" w:type="dxa"/>
            <w:vAlign w:val="center"/>
          </w:tcPr>
          <w:p>
            <w:pPr>
              <w:ind w:firstLine="2650" w:firstLineChars="1100"/>
              <w:rPr>
                <w:rFonts w:ascii="仿宋_GB2312" w:hAnsi="宋体" w:eastAsia="仿宋_GB2312"/>
                <w:sz w:val="24"/>
              </w:rPr>
            </w:pPr>
            <w:r>
              <w:rPr>
                <w:rFonts w:hint="eastAsia" w:ascii="仿宋_GB2312" w:hAnsi="宋体" w:eastAsia="仿宋_GB2312"/>
                <w:b/>
                <w:bCs/>
                <w:sz w:val="24"/>
              </w:rPr>
              <w:t>状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1、名称</w:t>
            </w:r>
          </w:p>
        </w:tc>
        <w:tc>
          <w:tcPr>
            <w:tcW w:w="6784" w:type="dxa"/>
          </w:tcPr>
          <w:p>
            <w:pPr>
              <w:jc w:val="left"/>
              <w:rPr>
                <w:rFonts w:ascii="仿宋_GB2312" w:hAnsi="宋体" w:eastAsia="仿宋_GB2312"/>
                <w:sz w:val="24"/>
              </w:rPr>
            </w:pPr>
            <w:r>
              <w:rPr>
                <w:rFonts w:hint="eastAsia" w:ascii="仿宋_GB2312" w:hAnsi="宋体" w:eastAsia="仿宋_GB2312"/>
                <w:sz w:val="24"/>
              </w:rPr>
              <w:t>丰泽区城东片区安吉路中段西侧美仙山花苑4号楼702。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359" w:type="dxa"/>
          </w:tcPr>
          <w:p>
            <w:pPr>
              <w:jc w:val="left"/>
              <w:rPr>
                <w:rFonts w:ascii="仿宋_GB2312" w:hAnsi="宋体" w:eastAsia="仿宋_GB2312"/>
                <w:sz w:val="24"/>
              </w:rPr>
            </w:pPr>
            <w:r>
              <w:rPr>
                <w:rFonts w:hint="eastAsia" w:ascii="仿宋_GB2312" w:hAnsi="宋体" w:eastAsia="仿宋_GB2312"/>
                <w:sz w:val="24"/>
              </w:rPr>
              <w:t>2、房屋所有权人</w:t>
            </w:r>
          </w:p>
        </w:tc>
        <w:tc>
          <w:tcPr>
            <w:tcW w:w="6784" w:type="dxa"/>
          </w:tcPr>
          <w:p>
            <w:pPr>
              <w:jc w:val="left"/>
              <w:rPr>
                <w:rFonts w:ascii="仿宋_GB2312" w:hAnsi="宋体" w:eastAsia="仿宋_GB2312"/>
                <w:sz w:val="24"/>
              </w:rPr>
            </w:pPr>
            <w:r>
              <w:rPr>
                <w:rFonts w:hint="eastAsia" w:ascii="仿宋_GB2312" w:hAnsi="宋体" w:eastAsia="仿宋_GB2312"/>
                <w:sz w:val="24"/>
              </w:rPr>
              <w:t>郑金聪、江燕玲。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3、建筑结构</w:t>
            </w:r>
          </w:p>
        </w:tc>
        <w:tc>
          <w:tcPr>
            <w:tcW w:w="6784" w:type="dxa"/>
          </w:tcPr>
          <w:p>
            <w:pPr>
              <w:rPr>
                <w:rFonts w:ascii="仿宋_GB2312" w:hAnsi="宋体" w:eastAsia="仿宋_GB2312"/>
                <w:sz w:val="24"/>
              </w:rPr>
            </w:pPr>
            <w:r>
              <w:rPr>
                <w:rFonts w:hint="eastAsia" w:ascii="仿宋_GB2312" w:hAnsi="宋体" w:eastAsia="仿宋_GB2312"/>
                <w:sz w:val="24"/>
              </w:rPr>
              <w:t>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4、房屋总层数</w:t>
            </w:r>
          </w:p>
        </w:tc>
        <w:tc>
          <w:tcPr>
            <w:tcW w:w="6784" w:type="dxa"/>
          </w:tcPr>
          <w:p>
            <w:pPr>
              <w:rPr>
                <w:rFonts w:ascii="仿宋_GB2312" w:hAnsi="宋体" w:eastAsia="仿宋_GB2312"/>
                <w:sz w:val="24"/>
              </w:rPr>
            </w:pPr>
            <w:r>
              <w:rPr>
                <w:rFonts w:hint="eastAsia" w:ascii="仿宋_GB2312" w:hAnsi="宋体" w:eastAsia="仿宋_GB2312"/>
                <w:sz w:val="24"/>
              </w:rPr>
              <w:t>总18层。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5、所在层次</w:t>
            </w:r>
          </w:p>
        </w:tc>
        <w:tc>
          <w:tcPr>
            <w:tcW w:w="6784" w:type="dxa"/>
          </w:tcPr>
          <w:p>
            <w:pPr>
              <w:rPr>
                <w:rFonts w:ascii="仿宋_GB2312" w:hAnsi="宋体" w:eastAsia="仿宋_GB2312"/>
                <w:sz w:val="24"/>
              </w:rPr>
            </w:pPr>
            <w:r>
              <w:rPr>
                <w:rFonts w:hint="eastAsia" w:ascii="仿宋_GB2312" w:hAnsi="宋体" w:eastAsia="仿宋_GB2312"/>
                <w:sz w:val="24"/>
              </w:rPr>
              <w:t>第7层。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6、建筑面积</w:t>
            </w:r>
          </w:p>
        </w:tc>
        <w:tc>
          <w:tcPr>
            <w:tcW w:w="6784" w:type="dxa"/>
          </w:tcPr>
          <w:p>
            <w:pPr>
              <w:rPr>
                <w:rFonts w:ascii="仿宋_GB2312" w:hAnsi="宋体" w:eastAsia="仿宋_GB2312"/>
                <w:sz w:val="24"/>
              </w:rPr>
            </w:pPr>
            <w:r>
              <w:rPr>
                <w:rFonts w:hint="eastAsia" w:ascii="仿宋_GB2312" w:hAnsi="宋体" w:eastAsia="仿宋_GB2312"/>
                <w:sz w:val="24"/>
              </w:rPr>
              <w:t>134.09平方米。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7、规划用途</w:t>
            </w:r>
          </w:p>
        </w:tc>
        <w:tc>
          <w:tcPr>
            <w:tcW w:w="6784" w:type="dxa"/>
          </w:tcPr>
          <w:p>
            <w:pPr>
              <w:rPr>
                <w:rFonts w:ascii="仿宋_GB2312" w:hAnsi="宋体" w:eastAsia="仿宋_GB2312"/>
                <w:sz w:val="24"/>
              </w:rPr>
            </w:pPr>
            <w:r>
              <w:rPr>
                <w:rFonts w:hint="eastAsia" w:ascii="仿宋_GB2312" w:hAnsi="宋体" w:eastAsia="仿宋_GB2312"/>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8、实际用途</w:t>
            </w:r>
          </w:p>
        </w:tc>
        <w:tc>
          <w:tcPr>
            <w:tcW w:w="6784" w:type="dxa"/>
          </w:tcPr>
          <w:p>
            <w:pPr>
              <w:rPr>
                <w:rFonts w:ascii="仿宋_GB2312" w:hAnsi="宋体" w:eastAsia="仿宋_GB2312"/>
                <w:sz w:val="24"/>
              </w:rPr>
            </w:pPr>
            <w:r>
              <w:rPr>
                <w:rFonts w:hint="eastAsia" w:ascii="仿宋_GB2312" w:hAnsi="宋体" w:eastAsia="仿宋_GB2312"/>
                <w:sz w:val="24"/>
              </w:rPr>
              <w:t>住宅，现状为自住。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9、建成时间</w:t>
            </w:r>
          </w:p>
        </w:tc>
        <w:tc>
          <w:tcPr>
            <w:tcW w:w="6784" w:type="dxa"/>
          </w:tcPr>
          <w:p>
            <w:pPr>
              <w:rPr>
                <w:rFonts w:ascii="仿宋_GB2312" w:hAnsi="宋体" w:eastAsia="仿宋_GB2312"/>
                <w:sz w:val="24"/>
              </w:rPr>
            </w:pPr>
            <w:r>
              <w:rPr>
                <w:rFonts w:hint="eastAsia" w:ascii="仿宋_GB2312" w:hAnsi="宋体" w:eastAsia="仿宋_GB2312"/>
                <w:sz w:val="24"/>
              </w:rPr>
              <w:t>2011年，按直线折旧法成新率为82%。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10、朝向及单元位置</w:t>
            </w:r>
          </w:p>
        </w:tc>
        <w:tc>
          <w:tcPr>
            <w:tcW w:w="6784" w:type="dxa"/>
          </w:tcPr>
          <w:p>
            <w:pPr>
              <w:rPr>
                <w:rFonts w:ascii="仿宋_GB2312" w:hAnsi="宋体" w:eastAsia="仿宋_GB2312"/>
                <w:sz w:val="24"/>
              </w:rPr>
            </w:pPr>
            <w:r>
              <w:rPr>
                <w:rFonts w:hint="eastAsia" w:ascii="仿宋_GB2312" w:hAnsi="宋体" w:eastAsia="仿宋_GB2312"/>
                <w:sz w:val="24"/>
              </w:rPr>
              <w:t>南北朝向，临小区边道路，临中心花园，位置较好。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11、层高</w:t>
            </w:r>
          </w:p>
        </w:tc>
        <w:tc>
          <w:tcPr>
            <w:tcW w:w="6784" w:type="dxa"/>
          </w:tcPr>
          <w:p>
            <w:pPr>
              <w:rPr>
                <w:rFonts w:ascii="仿宋_GB2312" w:hAnsi="宋体" w:eastAsia="仿宋_GB2312"/>
                <w:sz w:val="24"/>
              </w:rPr>
            </w:pPr>
            <w:r>
              <w:rPr>
                <w:rFonts w:hint="eastAsia" w:ascii="仿宋_GB2312" w:hAnsi="宋体" w:eastAsia="仿宋_GB2312"/>
                <w:sz w:val="24"/>
              </w:rPr>
              <w:t>约2.9米。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12、户型</w:t>
            </w:r>
          </w:p>
        </w:tc>
        <w:tc>
          <w:tcPr>
            <w:tcW w:w="6784" w:type="dxa"/>
          </w:tcPr>
          <w:p>
            <w:pPr>
              <w:rPr>
                <w:rFonts w:ascii="仿宋_GB2312" w:hAnsi="宋体" w:eastAsia="仿宋_GB2312"/>
                <w:sz w:val="24"/>
              </w:rPr>
            </w:pPr>
            <w:r>
              <w:rPr>
                <w:rFonts w:hint="eastAsia" w:ascii="仿宋_GB2312" w:hAnsi="宋体" w:eastAsia="仿宋_GB2312"/>
                <w:sz w:val="24"/>
              </w:rPr>
              <w:t>三室两厅一厨两卫两阳台。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13、设施设备</w:t>
            </w:r>
          </w:p>
        </w:tc>
        <w:tc>
          <w:tcPr>
            <w:tcW w:w="6784" w:type="dxa"/>
          </w:tcPr>
          <w:p>
            <w:pPr>
              <w:rPr>
                <w:rFonts w:ascii="仿宋_GB2312" w:hAnsi="宋体" w:eastAsia="仿宋_GB2312"/>
                <w:sz w:val="24"/>
              </w:rPr>
            </w:pPr>
            <w:r>
              <w:rPr>
                <w:rFonts w:hint="eastAsia" w:ascii="仿宋_GB2312" w:hAnsi="宋体" w:eastAsia="仿宋_GB2312"/>
                <w:sz w:val="24"/>
              </w:rPr>
              <w:t>垂直交通为楼梯、电梯；水、电、消防、通讯等设施齐全。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14、装饰装修</w:t>
            </w:r>
          </w:p>
        </w:tc>
        <w:tc>
          <w:tcPr>
            <w:tcW w:w="6784" w:type="dxa"/>
          </w:tcPr>
          <w:p>
            <w:pPr>
              <w:rPr>
                <w:rFonts w:ascii="仿宋_GB2312" w:hAnsi="宋体" w:eastAsia="仿宋_GB2312"/>
                <w:sz w:val="24"/>
              </w:rPr>
            </w:pPr>
            <w:r>
              <w:rPr>
                <w:rFonts w:hint="eastAsia" w:ascii="仿宋_GB2312" w:hAnsi="宋体" w:eastAsia="仿宋_GB2312"/>
                <w:sz w:val="24"/>
              </w:rPr>
              <w:t>估价对象外墙面涂料粉刷（底部瓷砖贴面），铝合金窗，水、电、卫等设施到位。室内二次装修情况详见下表《估价对象室内二次装修一览表》。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359" w:type="dxa"/>
          </w:tcPr>
          <w:p>
            <w:pPr>
              <w:jc w:val="left"/>
              <w:rPr>
                <w:rFonts w:ascii="仿宋_GB2312" w:hAnsi="宋体" w:eastAsia="仿宋_GB2312"/>
                <w:sz w:val="24"/>
              </w:rPr>
            </w:pPr>
            <w:r>
              <w:rPr>
                <w:rFonts w:hint="eastAsia" w:ascii="仿宋_GB2312" w:hAnsi="宋体" w:eastAsia="仿宋_GB2312"/>
                <w:sz w:val="24"/>
              </w:rPr>
              <w:t>15、维护状况</w:t>
            </w:r>
          </w:p>
        </w:tc>
        <w:tc>
          <w:tcPr>
            <w:tcW w:w="6784" w:type="dxa"/>
          </w:tcPr>
          <w:p>
            <w:pPr>
              <w:rPr>
                <w:rFonts w:ascii="仿宋_GB2312" w:hAnsi="宋体" w:eastAsia="仿宋_GB2312"/>
                <w:sz w:val="24"/>
              </w:rPr>
            </w:pPr>
            <w:r>
              <w:rPr>
                <w:rFonts w:hint="eastAsia" w:ascii="仿宋_GB2312" w:hAnsi="宋体" w:eastAsia="仿宋_GB2312"/>
                <w:sz w:val="24"/>
              </w:rPr>
              <w:t>维护及保养状况较好。</w:t>
            </w:r>
          </w:p>
        </w:tc>
      </w:tr>
    </w:tbl>
    <w:p>
      <w:pPr>
        <w:tabs>
          <w:tab w:val="left" w:pos="180"/>
        </w:tabs>
        <w:spacing w:line="440" w:lineRule="exact"/>
        <w:ind w:firstLine="482" w:firstLineChars="200"/>
        <w:jc w:val="center"/>
        <w:rPr>
          <w:rFonts w:ascii="仿宋_GB2312" w:hAnsi="宋体" w:eastAsia="仿宋_GB2312"/>
          <w:b/>
          <w:bCs/>
          <w:sz w:val="24"/>
        </w:rPr>
      </w:pPr>
      <w:bookmarkStart w:id="9" w:name="_Toc3986"/>
      <w:r>
        <w:rPr>
          <w:rFonts w:hint="eastAsia" w:ascii="仿宋_GB2312" w:hAnsi="宋体" w:eastAsia="仿宋_GB2312"/>
          <w:b/>
          <w:bCs/>
          <w:sz w:val="24"/>
        </w:rPr>
        <w:t>估价对象室内二次装修一览表</w:t>
      </w:r>
    </w:p>
    <w:tbl>
      <w:tblPr>
        <w:tblStyle w:val="26"/>
        <w:tblW w:w="912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860"/>
        <w:gridCol w:w="1860"/>
        <w:gridCol w:w="1860"/>
        <w:gridCol w:w="2187"/>
        <w:gridCol w:w="13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 w:hRule="atLeast"/>
        </w:trPr>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项  目</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地  面</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墙  面</w:t>
            </w:r>
          </w:p>
        </w:tc>
        <w:tc>
          <w:tcPr>
            <w:tcW w:w="2187"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天  棚</w:t>
            </w:r>
          </w:p>
        </w:tc>
        <w:tc>
          <w:tcPr>
            <w:tcW w:w="1359"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备  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6" w:hRule="atLeast"/>
        </w:trPr>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大厅</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2187"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涂料粉刷、木作吊顶</w:t>
            </w:r>
          </w:p>
        </w:tc>
        <w:tc>
          <w:tcPr>
            <w:tcW w:w="1359" w:type="dxa"/>
            <w:vAlign w:val="center"/>
          </w:tcPr>
          <w:p>
            <w:pPr>
              <w:spacing w:line="260" w:lineRule="exact"/>
              <w:jc w:val="center"/>
              <w:textAlignment w:val="center"/>
              <w:rPr>
                <w:rFonts w:ascii="仿宋_GB2312" w:hAnsi="宋体" w:eastAsia="仿宋_GB2312" w:cs="仿宋_GB2312"/>
                <w:color w:val="000000"/>
                <w:kern w:val="0"/>
                <w:szCs w:val="21"/>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6" w:hRule="atLeast"/>
        </w:trPr>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餐厅</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2187"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涂料粉刷、木作吊顶</w:t>
            </w:r>
          </w:p>
        </w:tc>
        <w:tc>
          <w:tcPr>
            <w:tcW w:w="1359" w:type="dxa"/>
            <w:vAlign w:val="center"/>
          </w:tcPr>
          <w:p>
            <w:pPr>
              <w:spacing w:line="260" w:lineRule="exact"/>
              <w:jc w:val="center"/>
              <w:textAlignment w:val="center"/>
              <w:rPr>
                <w:rFonts w:ascii="仿宋_GB2312" w:hAnsi="宋体" w:eastAsia="仿宋_GB2312" w:cs="仿宋_GB2312"/>
                <w:color w:val="000000"/>
                <w:kern w:val="0"/>
                <w:szCs w:val="21"/>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6" w:hRule="atLeast"/>
        </w:trPr>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卧室</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木地板</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墙纸</w:t>
            </w:r>
          </w:p>
        </w:tc>
        <w:tc>
          <w:tcPr>
            <w:tcW w:w="2187"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涂料粉刷、木作吊顶</w:t>
            </w:r>
          </w:p>
        </w:tc>
        <w:tc>
          <w:tcPr>
            <w:tcW w:w="1359" w:type="dxa"/>
            <w:vAlign w:val="center"/>
          </w:tcPr>
          <w:p>
            <w:pPr>
              <w:spacing w:line="260" w:lineRule="exact"/>
              <w:jc w:val="center"/>
              <w:textAlignment w:val="center"/>
              <w:rPr>
                <w:rFonts w:ascii="仿宋_GB2312" w:hAnsi="宋体" w:eastAsia="仿宋_GB2312" w:cs="仿宋_GB2312"/>
                <w:color w:val="000000"/>
                <w:kern w:val="0"/>
                <w:szCs w:val="21"/>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6" w:hRule="atLeast"/>
        </w:trPr>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厨房</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2187"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铝扣板吊顶</w:t>
            </w:r>
          </w:p>
        </w:tc>
        <w:tc>
          <w:tcPr>
            <w:tcW w:w="1359" w:type="dxa"/>
            <w:vAlign w:val="center"/>
          </w:tcPr>
          <w:p>
            <w:pPr>
              <w:spacing w:line="260" w:lineRule="exact"/>
              <w:jc w:val="center"/>
              <w:textAlignment w:val="center"/>
              <w:rPr>
                <w:rFonts w:ascii="仿宋_GB2312" w:hAnsi="宋体" w:eastAsia="仿宋_GB2312" w:cs="仿宋_GB2312"/>
                <w:color w:val="000000"/>
                <w:kern w:val="0"/>
                <w:szCs w:val="21"/>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卫生间</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1860"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瓷砖</w:t>
            </w:r>
          </w:p>
        </w:tc>
        <w:tc>
          <w:tcPr>
            <w:tcW w:w="2187" w:type="dxa"/>
            <w:vAlign w:val="center"/>
          </w:tcPr>
          <w:p>
            <w:pPr>
              <w:spacing w:line="260" w:lineRule="exact"/>
              <w:jc w:val="center"/>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铝扣板吊顶</w:t>
            </w:r>
          </w:p>
        </w:tc>
        <w:tc>
          <w:tcPr>
            <w:tcW w:w="1359" w:type="dxa"/>
            <w:vAlign w:val="center"/>
          </w:tcPr>
          <w:p>
            <w:pPr>
              <w:spacing w:line="260" w:lineRule="exact"/>
              <w:jc w:val="center"/>
              <w:textAlignment w:val="center"/>
              <w:rPr>
                <w:rFonts w:ascii="仿宋_GB2312" w:hAnsi="宋体" w:eastAsia="仿宋_GB2312" w:cs="仿宋_GB2312"/>
                <w:color w:val="000000"/>
                <w:kern w:val="0"/>
                <w:szCs w:val="21"/>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9126" w:type="dxa"/>
            <w:gridSpan w:val="5"/>
            <w:vAlign w:val="center"/>
          </w:tcPr>
          <w:p>
            <w:pPr>
              <w:spacing w:line="260" w:lineRule="exact"/>
              <w:textAlignment w:val="center"/>
              <w:rPr>
                <w:rFonts w:ascii="仿宋_GB2312" w:hAnsi="宋体" w:eastAsia="仿宋_GB2312" w:cs="仿宋_GB2312"/>
                <w:color w:val="000000"/>
                <w:kern w:val="0"/>
                <w:szCs w:val="21"/>
                <w:lang w:bidi="ar"/>
              </w:rPr>
            </w:pPr>
            <w:r>
              <w:rPr>
                <w:rFonts w:hint="eastAsia" w:ascii="仿宋_GB2312" w:hAnsi="宋体" w:eastAsia="仿宋_GB2312" w:cs="仿宋_GB2312"/>
                <w:color w:val="000000"/>
                <w:kern w:val="0"/>
                <w:szCs w:val="21"/>
                <w:lang w:bidi="ar"/>
              </w:rPr>
              <w:t>备注：本次估价对象室内二次装修包括与装修相连的衣柜、橱柜、鞋柜等（拆除会严重影响室内二次装修的完整性），但不包括电视、热水器、中央空调、空调、餐桌、沙发等家电家具。</w:t>
            </w:r>
          </w:p>
        </w:tc>
      </w:tr>
    </w:tbl>
    <w:p>
      <w:pPr>
        <w:tabs>
          <w:tab w:val="left" w:pos="0"/>
        </w:tabs>
        <w:spacing w:line="400" w:lineRule="exact"/>
        <w:ind w:firstLine="551" w:firstLineChars="196"/>
        <w:outlineLvl w:val="1"/>
        <w:rPr>
          <w:rFonts w:ascii="仿宋_GB2312" w:hAnsi="宋体" w:eastAsia="仿宋_GB2312"/>
          <w:sz w:val="28"/>
        </w:rPr>
      </w:pPr>
      <w:r>
        <w:rPr>
          <w:rFonts w:hint="eastAsia" w:ascii="仿宋_GB2312" w:hAnsi="宋体" w:eastAsia="仿宋_GB2312"/>
          <w:b/>
          <w:sz w:val="28"/>
        </w:rPr>
        <w:t>五、价值时点</w:t>
      </w:r>
      <w:bookmarkEnd w:id="9"/>
    </w:p>
    <w:p>
      <w:pPr>
        <w:tabs>
          <w:tab w:val="left" w:pos="-720"/>
        </w:tabs>
        <w:spacing w:line="400" w:lineRule="exact"/>
        <w:ind w:left="-718" w:leftChars="-342" w:firstLine="1260" w:firstLineChars="450"/>
        <w:rPr>
          <w:rFonts w:ascii="仿宋_GB2312" w:hAnsi="宋体" w:eastAsia="仿宋_GB2312"/>
          <w:sz w:val="28"/>
        </w:rPr>
      </w:pPr>
      <w:r>
        <w:rPr>
          <w:rFonts w:hint="eastAsia" w:ascii="仿宋_GB2312" w:hAnsi="宋体" w:eastAsia="仿宋_GB2312"/>
          <w:sz w:val="28"/>
        </w:rPr>
        <w:t>价值时点为估价人员实地查勘日，即二○二二年六月六日。</w:t>
      </w:r>
    </w:p>
    <w:p>
      <w:pPr>
        <w:spacing w:line="400" w:lineRule="exact"/>
        <w:ind w:firstLine="551" w:firstLineChars="196"/>
        <w:outlineLvl w:val="1"/>
        <w:rPr>
          <w:rFonts w:ascii="仿宋_GB2312" w:hAnsi="宋体" w:eastAsia="仿宋_GB2312"/>
          <w:b/>
          <w:sz w:val="28"/>
        </w:rPr>
      </w:pPr>
      <w:bookmarkStart w:id="10" w:name="_Toc15878"/>
      <w:r>
        <w:rPr>
          <w:rFonts w:hint="eastAsia" w:ascii="仿宋_GB2312" w:hAnsi="宋体" w:eastAsia="仿宋_GB2312"/>
          <w:b/>
          <w:sz w:val="28"/>
        </w:rPr>
        <w:t>六、价值类型</w:t>
      </w:r>
      <w:bookmarkEnd w:id="10"/>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（一）价值类型名称</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本次估价的价值类型为市场价格。</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（二）价值定义</w:t>
      </w:r>
    </w:p>
    <w:p>
      <w:pPr>
        <w:tabs>
          <w:tab w:val="left" w:pos="0"/>
        </w:tabs>
        <w:spacing w:line="400" w:lineRule="exact"/>
        <w:ind w:firstLine="560" w:firstLineChars="200"/>
        <w:rPr>
          <w:rFonts w:ascii="仿宋_GB2312" w:hAnsi="宋体" w:eastAsia="仿宋_GB2312"/>
          <w:sz w:val="28"/>
        </w:rPr>
      </w:pPr>
      <w:r>
        <w:rPr>
          <w:rFonts w:hint="eastAsia" w:ascii="仿宋_GB2312" w:hAnsi="宋体" w:eastAsia="仿宋_GB2312"/>
          <w:sz w:val="28"/>
        </w:rPr>
        <w:t>市场价格为估价对象经适当营销后，由熟悉情况、谨慎行事且不受强迫的交易双方，以公平交易方式在价值时点自愿进行交易的金额。</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（三）价值内涵</w:t>
      </w:r>
    </w:p>
    <w:p>
      <w:pPr>
        <w:snapToGrid w:val="0"/>
        <w:spacing w:line="400" w:lineRule="exact"/>
        <w:ind w:firstLine="560" w:firstLineChars="200"/>
        <w:rPr>
          <w:rFonts w:ascii="仿宋_GB2312" w:hAnsi="宋体" w:eastAsia="仿宋_GB2312"/>
          <w:sz w:val="28"/>
        </w:rPr>
      </w:pPr>
      <w:bookmarkStart w:id="11" w:name="OLE_LINK75"/>
      <w:bookmarkStart w:id="12" w:name="OLE_LINK76"/>
      <w:r>
        <w:rPr>
          <w:rFonts w:hint="eastAsia" w:ascii="仿宋_GB2312" w:hAnsi="宋体" w:eastAsia="仿宋_GB2312"/>
          <w:sz w:val="28"/>
        </w:rPr>
        <w:t>估价对象在</w:t>
      </w:r>
      <w:bookmarkStart w:id="13" w:name="OLE_LINK2"/>
      <w:r>
        <w:rPr>
          <w:rFonts w:hint="eastAsia" w:ascii="仿宋_GB2312" w:hAnsi="宋体" w:eastAsia="仿宋_GB2312"/>
          <w:sz w:val="28"/>
        </w:rPr>
        <w:t>价值时点</w:t>
      </w:r>
      <w:bookmarkEnd w:id="13"/>
      <w:r>
        <w:rPr>
          <w:rFonts w:hint="eastAsia" w:ascii="仿宋_GB2312" w:hAnsi="宋体" w:eastAsia="仿宋_GB2312"/>
          <w:sz w:val="28"/>
        </w:rPr>
        <w:t>，满足本次估价假设和限制条件下包括建筑物（含室内二次装修）、分摊的土地使用权（含土地出让金）及公共配套设施，不包括动产、债权债务、特许经营权等其他财产或权益；付款方式是一次性付清房价款（包括首付款及按揭贷款）；房屋面积内涵是建筑面积；开发程度为现房，具备</w:t>
      </w:r>
      <w:bookmarkEnd w:id="11"/>
      <w:r>
        <w:rPr>
          <w:rFonts w:hint="eastAsia" w:ascii="仿宋_GB2312" w:hAnsi="宋体" w:eastAsia="仿宋_GB2312"/>
          <w:sz w:val="28"/>
        </w:rPr>
        <w:t>“六通”(通路、供电、供水、排水、通讯、通燃气）。</w:t>
      </w:r>
    </w:p>
    <w:bookmarkEnd w:id="12"/>
    <w:p>
      <w:pPr>
        <w:spacing w:line="400" w:lineRule="exact"/>
        <w:ind w:firstLine="551" w:firstLineChars="196"/>
        <w:outlineLvl w:val="1"/>
        <w:rPr>
          <w:rFonts w:ascii="仿宋_GB2312" w:hAnsi="宋体" w:eastAsia="仿宋_GB2312"/>
          <w:b/>
          <w:sz w:val="28"/>
        </w:rPr>
      </w:pPr>
      <w:bookmarkStart w:id="14" w:name="_Toc23047"/>
      <w:bookmarkStart w:id="15" w:name="_Toc455125315"/>
      <w:r>
        <w:rPr>
          <w:rFonts w:hint="eastAsia" w:ascii="仿宋_GB2312" w:hAnsi="宋体" w:eastAsia="仿宋_GB2312"/>
          <w:b/>
          <w:sz w:val="28"/>
        </w:rPr>
        <w:t>七、估价原则</w:t>
      </w:r>
      <w:bookmarkEnd w:id="14"/>
      <w:bookmarkEnd w:id="15"/>
    </w:p>
    <w:p>
      <w:pPr>
        <w:spacing w:line="400" w:lineRule="exact"/>
        <w:ind w:left="-6" w:leftChars="-3" w:firstLine="560" w:firstLineChars="200"/>
        <w:jc w:val="left"/>
        <w:rPr>
          <w:rFonts w:ascii="仿宋_GB2312" w:hAnsi="宋体" w:eastAsia="仿宋_GB2312"/>
          <w:sz w:val="28"/>
        </w:rPr>
      </w:pPr>
      <w:r>
        <w:rPr>
          <w:rFonts w:hint="eastAsia" w:ascii="仿宋_GB2312" w:hAnsi="宋体" w:eastAsia="仿宋_GB2312"/>
          <w:sz w:val="28"/>
        </w:rPr>
        <w:t>本次估价遵循以下原则：</w:t>
      </w:r>
    </w:p>
    <w:p>
      <w:pPr>
        <w:spacing w:line="400" w:lineRule="exact"/>
        <w:ind w:left="-6" w:leftChars="-3" w:firstLine="560" w:firstLineChars="200"/>
        <w:jc w:val="left"/>
        <w:rPr>
          <w:rFonts w:ascii="仿宋_GB2312" w:hAnsi="宋体" w:eastAsia="仿宋_GB2312"/>
          <w:sz w:val="28"/>
          <w:szCs w:val="28"/>
          <w:lang w:val="zh-CN"/>
        </w:rPr>
      </w:pPr>
      <w:r>
        <w:rPr>
          <w:rFonts w:hint="eastAsia" w:ascii="仿宋_GB2312" w:hAnsi="宋体" w:eastAsia="仿宋_GB2312"/>
          <w:sz w:val="28"/>
          <w:szCs w:val="28"/>
        </w:rPr>
        <w:t>1.独立、客观、公正原则：要求站在中立的立场上，实事求是、公平正直地评估出对各方估价利害关系人均是公平合理的价值或价格。</w:t>
      </w:r>
    </w:p>
    <w:p>
      <w:pPr>
        <w:spacing w:line="400" w:lineRule="exact"/>
        <w:ind w:left="-6" w:leftChars="-3" w:firstLine="560" w:firstLineChars="200"/>
        <w:jc w:val="left"/>
        <w:rPr>
          <w:rFonts w:ascii="仿宋_GB2312" w:hAnsi="宋体" w:eastAsia="仿宋_GB2312"/>
          <w:sz w:val="28"/>
          <w:szCs w:val="28"/>
          <w:lang w:val="zh-CN"/>
        </w:rPr>
      </w:pPr>
      <w:r>
        <w:rPr>
          <w:rFonts w:hint="eastAsia" w:ascii="仿宋_GB2312" w:hAnsi="宋体" w:eastAsia="仿宋_GB2312"/>
          <w:sz w:val="28"/>
          <w:szCs w:val="28"/>
        </w:rPr>
        <w:t>2.合法原则：要求估价结果是在依法判定的估价对象状况下的价值或价格。</w:t>
      </w:r>
    </w:p>
    <w:p>
      <w:pPr>
        <w:spacing w:line="400" w:lineRule="exact"/>
        <w:ind w:left="-6" w:leftChars="-3" w:firstLine="560" w:firstLineChars="200"/>
        <w:jc w:val="left"/>
        <w:rPr>
          <w:rFonts w:ascii="仿宋_GB2312" w:hAnsi="宋体" w:eastAsia="仿宋_GB2312"/>
          <w:sz w:val="28"/>
          <w:szCs w:val="28"/>
          <w:lang w:val="zh-CN"/>
        </w:rPr>
      </w:pPr>
      <w:r>
        <w:rPr>
          <w:rFonts w:hint="eastAsia" w:ascii="仿宋_GB2312" w:hAnsi="宋体" w:eastAsia="仿宋_GB2312"/>
          <w:sz w:val="28"/>
          <w:szCs w:val="28"/>
        </w:rPr>
        <w:t>3.价值时点原则：要求估价结果是在根据估价目的确定的某一特定时间的价值或价格。</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4.替代原则：要求估价结果与估价对象的类似房地产在同等条件下的价值或价格偏差在合理范围内。</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5.最高最佳利用原则：要求估价结果是在估价对象最高最佳利用状况下的价值或价格的原则。</w:t>
      </w:r>
    </w:p>
    <w:p>
      <w:pPr>
        <w:spacing w:line="400" w:lineRule="exact"/>
        <w:ind w:firstLine="551" w:firstLineChars="196"/>
        <w:outlineLvl w:val="1"/>
        <w:rPr>
          <w:rFonts w:ascii="仿宋_GB2312" w:hAnsi="宋体" w:eastAsia="仿宋_GB2312"/>
          <w:b/>
          <w:sz w:val="28"/>
        </w:rPr>
      </w:pPr>
      <w:bookmarkStart w:id="16" w:name="_Toc3356"/>
      <w:r>
        <w:rPr>
          <w:rFonts w:hint="eastAsia" w:ascii="仿宋_GB2312" w:hAnsi="宋体" w:eastAsia="仿宋_GB2312"/>
          <w:b/>
          <w:sz w:val="28"/>
        </w:rPr>
        <w:t>八、估价依据</w:t>
      </w:r>
      <w:bookmarkEnd w:id="16"/>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（一）法律、法规和政策性文件</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1、《中华人民共和国资产评估法》（中华人民共和国第十二届全国人民代表大会常务委员会第二十一次会议于2016年7月2日通过，自2016年12月1日起施行）；</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2、《中华人民共和国城市房地产管理法》（根据2019年8月26日第十三届全国人民代表大会常务委员会第十二次会议《关于修改〈中华人民共和国土地管理法〉、〈中华人民共和国城市房地产管理法〉的决定》第三次修正，中华人民共和国主席令第三十二号公布，自2020年1月1日起施行）；</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3、《中华人民共和国土地管理法》（根据2019年8月26日第十三届全国人民代表大会常务委员会第十二次会议《关于修改〈中华人民共和国土地管理法〉、〈中华人民共和国城市房地产管理法〉的决定》第三次修正，中华人民共和国主席令第三十二号公布，自2020年1月1日起施行）；</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4、《中华人民共和国民法典》（2020年5月28日第十三届全国人民代表大会第三次会议通过，中华人民共和国主席令第四十五号公布，自2021年1月1日起施行）；</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5、《中华人民共和国城乡规划法》（根据2019年4月23日第十三届全国人民代表大会常务委员会第十次会议《关于修改〈中华人民共和国建筑法〉等八部法律的决定》第二次修正）；</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6、《中华人民共和国土地管理法实施条例》（1998年12月30日中华人民共和国国务院令第256号发布，根据2014年7月29日《国务院关于修改部分行政法规的决定》第二次修订）；</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7、《中华人民共和国城镇国有土地使用权出让和转让暂行条例》（1990年5月19日，中华人民共和国国务院令第55号）；</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8、《泉州市人民政府关于实施泉州市中心市区新一轮城镇土地定级和基准地价的通告》[泉政〔2021〕2号]；</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9、《最高人民法院关于人民法院民事执行中拍卖、变卖财产的规定》（2004年10月26日最高人民法院审判委员会第1330次会议通过，根据2020年12月23日最高人民法院审判委员会第1823次会议通过的《最高人民法院关于修改〈最高人民法院关于人民法院扣押铁路运输货物若干问题的规定〉等十八件执行类司法解释的决定》修正）；</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10、《最高人民法院关于人民法院委托评估、拍卖工作的若干规定》（法释〔2011〕21 号文）；</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11、《福建省高级人民法院司法评估拍卖工作规定（试行）》(闽高法[2012]335号)；</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12、《最高人民法院关于人民法院网络司法拍卖若干问题的规定》（法释[2016]18 号）；</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13、《最高人民法院关于人民法院确定财产处置参考价若干问题的规定》（法释〔2018〕15号）；</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14、《人民法院委托评估工作规范》（法办〔2018〕273号）</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15、其他与估价工作相关的法律、法规和规章制度。</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（二）技术标准、规程、规范</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1、 《房地产估价规范》（中华人民共和国国家标准GB/T50291-2015）；</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2、《房地产估价基本术语规范》(中华人民共和国国家标准GB/T50899-2013)；</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3、关于印发《涉执房地产处置司法评估指导意见（试行）》的通知（中房学〔2021〕37号）。</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（三）估价委托人提供的相关资料</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1、《福建省晋江市人民法院价格鉴定委托书》[（2021）闽0582执11571号]复印件；</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2、《福建省晋江市人民法院执行裁定书》[（2021）闽0582执11571号]复印件；</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3、《不动产权证书》（证号：闽（2019）泉州市不动产权第0002647号、闽（2019）泉州市不动产权第0002648号）复印件；</w:t>
      </w:r>
    </w:p>
    <w:p>
      <w:pPr>
        <w:spacing w:line="400" w:lineRule="exact"/>
        <w:ind w:left="-6" w:leftChars="-3" w:firstLine="560" w:firstLineChars="200"/>
        <w:jc w:val="left"/>
        <w:rPr>
          <w:rFonts w:ascii="仿宋_GB2312" w:hAnsi="宋体" w:eastAsia="仿宋_GB2312"/>
          <w:sz w:val="28"/>
          <w:szCs w:val="28"/>
        </w:rPr>
      </w:pPr>
      <w:r>
        <w:rPr>
          <w:rFonts w:hint="eastAsia" w:ascii="仿宋_GB2312" w:hAnsi="宋体" w:eastAsia="仿宋_GB2312"/>
          <w:sz w:val="28"/>
          <w:szCs w:val="28"/>
        </w:rPr>
        <w:t>4、《不动产登记证明》（证号：闽（2020）泉州市不动产证明第0025948号）复印件。</w:t>
      </w:r>
    </w:p>
    <w:p>
      <w:pPr>
        <w:spacing w:line="400" w:lineRule="exact"/>
        <w:ind w:firstLine="560" w:firstLineChars="200"/>
        <w:jc w:val="left"/>
        <w:rPr>
          <w:rFonts w:ascii="仿宋_GB2312" w:hAnsi="宋体" w:eastAsia="仿宋_GB2312"/>
          <w:sz w:val="28"/>
        </w:rPr>
      </w:pPr>
      <w:r>
        <w:rPr>
          <w:rFonts w:hint="eastAsia" w:ascii="仿宋_GB2312" w:hAnsi="宋体" w:eastAsia="仿宋_GB2312"/>
          <w:sz w:val="28"/>
        </w:rPr>
        <w:t>（四）估价人员调查收集的相关资料</w:t>
      </w:r>
    </w:p>
    <w:p>
      <w:pPr>
        <w:spacing w:line="400" w:lineRule="exact"/>
        <w:ind w:left="-6" w:leftChars="-3" w:firstLine="560" w:firstLineChars="200"/>
        <w:jc w:val="left"/>
        <w:rPr>
          <w:rFonts w:ascii="仿宋_GB2312" w:hAnsi="宋体" w:eastAsia="仿宋_GB2312"/>
          <w:sz w:val="28"/>
        </w:rPr>
      </w:pPr>
      <w:r>
        <w:rPr>
          <w:rFonts w:hint="eastAsia" w:ascii="仿宋_GB2312" w:hAnsi="宋体" w:eastAsia="仿宋_GB2312"/>
          <w:sz w:val="28"/>
        </w:rPr>
        <w:t>1、估价对象现场勘查照片；</w:t>
      </w:r>
    </w:p>
    <w:p>
      <w:pPr>
        <w:spacing w:line="400" w:lineRule="exact"/>
        <w:ind w:left="-6" w:leftChars="-3" w:firstLine="560" w:firstLineChars="200"/>
        <w:jc w:val="left"/>
        <w:rPr>
          <w:rFonts w:ascii="仿宋_GB2312" w:hAnsi="宋体" w:eastAsia="仿宋_GB2312"/>
          <w:sz w:val="28"/>
        </w:rPr>
      </w:pPr>
      <w:r>
        <w:rPr>
          <w:rFonts w:ascii="仿宋_GB2312" w:hAnsi="宋体" w:eastAsia="仿宋_GB2312"/>
          <w:sz w:val="28"/>
        </w:rPr>
        <w:t>2</w:t>
      </w:r>
      <w:r>
        <w:rPr>
          <w:rFonts w:hint="eastAsia" w:ascii="仿宋_GB2312" w:hAnsi="宋体" w:eastAsia="仿宋_GB2312"/>
          <w:sz w:val="28"/>
        </w:rPr>
        <w:t>、实地查勘记录；</w:t>
      </w:r>
    </w:p>
    <w:p>
      <w:pPr>
        <w:spacing w:line="400" w:lineRule="exact"/>
        <w:ind w:left="-6" w:leftChars="-3" w:firstLine="560" w:firstLineChars="200"/>
        <w:jc w:val="left"/>
        <w:rPr>
          <w:rFonts w:ascii="仿宋_GB2312" w:hAnsi="宋体" w:eastAsia="仿宋_GB2312"/>
          <w:sz w:val="28"/>
        </w:rPr>
      </w:pPr>
      <w:r>
        <w:rPr>
          <w:rFonts w:hint="eastAsia" w:ascii="仿宋_GB2312" w:hAnsi="宋体" w:eastAsia="仿宋_GB2312"/>
          <w:sz w:val="28"/>
        </w:rPr>
        <w:t>3、可比实例等相关资料；</w:t>
      </w:r>
    </w:p>
    <w:p>
      <w:pPr>
        <w:spacing w:line="400" w:lineRule="exact"/>
        <w:ind w:left="-6" w:leftChars="-3" w:firstLine="560" w:firstLineChars="200"/>
        <w:jc w:val="left"/>
        <w:rPr>
          <w:rFonts w:ascii="仿宋_GB2312" w:hAnsi="宋体" w:eastAsia="仿宋_GB2312"/>
          <w:sz w:val="28"/>
        </w:rPr>
      </w:pPr>
      <w:r>
        <w:rPr>
          <w:rFonts w:hint="eastAsia" w:ascii="仿宋_GB2312" w:hAnsi="宋体" w:eastAsia="仿宋_GB2312"/>
          <w:sz w:val="28"/>
        </w:rPr>
        <w:t>4、当地市场调查和搜集的有关资料等。</w:t>
      </w:r>
    </w:p>
    <w:p>
      <w:pPr>
        <w:spacing w:line="400" w:lineRule="exact"/>
        <w:ind w:firstLine="551" w:firstLineChars="196"/>
        <w:jc w:val="left"/>
        <w:outlineLvl w:val="1"/>
        <w:rPr>
          <w:rFonts w:ascii="仿宋_GB2312" w:hAnsi="宋体" w:eastAsia="仿宋_GB2312"/>
          <w:b/>
          <w:sz w:val="28"/>
        </w:rPr>
      </w:pPr>
      <w:bookmarkStart w:id="17" w:name="_Toc9990"/>
      <w:bookmarkStart w:id="18" w:name="_Toc455125317"/>
      <w:r>
        <w:rPr>
          <w:rFonts w:hint="eastAsia" w:ascii="仿宋_GB2312" w:hAnsi="宋体" w:eastAsia="仿宋_GB2312"/>
          <w:b/>
          <w:sz w:val="28"/>
        </w:rPr>
        <w:t>九、估价方法</w:t>
      </w:r>
      <w:bookmarkEnd w:id="17"/>
      <w:bookmarkEnd w:id="18"/>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本次选用比较法和收益法进行估价。</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1、比较法是选取一定数量的可比实例，将它们与估价对象进行比较，根据其间的差异对可比实例的成交价格进行处理后得到估价对象价值或价格的方法。</w:t>
      </w:r>
    </w:p>
    <w:p>
      <w:pPr>
        <w:snapToGrid w:val="0"/>
        <w:spacing w:line="400" w:lineRule="exact"/>
        <w:ind w:firstLine="560" w:firstLineChars="200"/>
        <w:rPr>
          <w:rFonts w:ascii="仿宋_GB2312" w:hAnsi="宋体" w:eastAsia="仿宋_GB2312"/>
          <w:sz w:val="28"/>
        </w:rPr>
      </w:pPr>
      <w:r>
        <w:rPr>
          <w:rFonts w:hint="eastAsia" w:ascii="仿宋_GB2312" w:hAnsi="宋体" w:eastAsia="仿宋_GB2312"/>
          <w:sz w:val="28"/>
        </w:rPr>
        <w:t>2、收益法是预测估价对象的未来收益，利用报酬率或资本化率、收益乘数将未来收益转换为价值得到估价对象价值或价格的方法。</w:t>
      </w:r>
    </w:p>
    <w:p>
      <w:pPr>
        <w:spacing w:line="400" w:lineRule="exact"/>
        <w:ind w:firstLine="551" w:firstLineChars="196"/>
        <w:jc w:val="left"/>
        <w:outlineLvl w:val="1"/>
        <w:rPr>
          <w:rFonts w:ascii="仿宋_GB2312" w:hAnsi="宋体" w:eastAsia="仿宋_GB2312"/>
          <w:b/>
          <w:sz w:val="32"/>
        </w:rPr>
      </w:pPr>
      <w:bookmarkStart w:id="19" w:name="_Toc9848"/>
      <w:r>
        <w:rPr>
          <w:rFonts w:hint="eastAsia" w:ascii="仿宋_GB2312" w:hAnsi="宋体" w:eastAsia="仿宋_GB2312"/>
          <w:b/>
          <w:sz w:val="28"/>
        </w:rPr>
        <w:t>十、估价结果</w:t>
      </w:r>
      <w:bookmarkEnd w:id="19"/>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rPr>
        <w:t>遵照有关的法律法规、政策文件和估价标准，根据估价委托人提供的相关资料以及本估价机构及注册房地产估价师掌握的资料，按照估价目的，遵循估价原则，采用收益法和比较法进行了分析、测算和推断，在满足估价假设和限制条件下，</w:t>
      </w:r>
      <w:r>
        <w:rPr>
          <w:rFonts w:hint="eastAsia" w:ascii="仿宋_GB2312" w:hAnsi="宋体" w:eastAsia="仿宋_GB2312"/>
          <w:sz w:val="28"/>
          <w:szCs w:val="28"/>
        </w:rPr>
        <w:t>确定估价对象房地产在价值时点二○二二年六月六日的</w:t>
      </w:r>
      <w:r>
        <w:rPr>
          <w:rFonts w:hint="eastAsia" w:ascii="仿宋_GB2312" w:hAnsi="宋体" w:eastAsia="仿宋_GB2312"/>
          <w:b/>
          <w:bCs/>
          <w:sz w:val="28"/>
          <w:szCs w:val="28"/>
        </w:rPr>
        <w:t>市场价格为人民币</w:t>
      </w:r>
      <w:r>
        <w:rPr>
          <w:rFonts w:ascii="仿宋_GB2312" w:hAnsi="宋体" w:eastAsia="仿宋_GB2312"/>
          <w:b/>
          <w:bCs/>
          <w:sz w:val="28"/>
          <w:szCs w:val="28"/>
        </w:rPr>
        <w:fldChar w:fldCharType="begin"/>
      </w:r>
      <w:r>
        <w:rPr>
          <w:rFonts w:ascii="仿宋_GB2312" w:hAnsi="宋体" w:eastAsia="仿宋_GB2312"/>
          <w:b/>
          <w:bCs/>
          <w:sz w:val="28"/>
          <w:szCs w:val="28"/>
        </w:rPr>
        <w:instrText xml:space="preserve"> = 2114063 \* CHINESENUM2 \* MERGEFORMAT </w:instrText>
      </w:r>
      <w:r>
        <w:rPr>
          <w:rFonts w:ascii="仿宋_GB2312" w:hAnsi="宋体" w:eastAsia="仿宋_GB2312"/>
          <w:b/>
          <w:bCs/>
          <w:sz w:val="28"/>
          <w:szCs w:val="28"/>
        </w:rPr>
        <w:fldChar w:fldCharType="separate"/>
      </w:r>
      <w:r>
        <w:rPr>
          <w:rFonts w:hint="eastAsia" w:ascii="仿宋_GB2312" w:hAnsi="宋体" w:eastAsia="仿宋_GB2312"/>
          <w:b/>
          <w:bCs/>
          <w:sz w:val="28"/>
          <w:szCs w:val="28"/>
        </w:rPr>
        <w:t>贰佰壹拾壹万肆仟零陆拾叁</w:t>
      </w:r>
      <w:r>
        <w:rPr>
          <w:rFonts w:ascii="仿宋_GB2312" w:hAnsi="宋体" w:eastAsia="仿宋_GB2312"/>
          <w:b/>
          <w:bCs/>
          <w:sz w:val="28"/>
          <w:szCs w:val="28"/>
        </w:rPr>
        <w:fldChar w:fldCharType="end"/>
      </w:r>
      <w:r>
        <w:rPr>
          <w:rFonts w:hint="eastAsia" w:ascii="仿宋_GB2312" w:hAnsi="宋体" w:eastAsia="仿宋_GB2312"/>
          <w:b/>
          <w:bCs/>
          <w:sz w:val="28"/>
          <w:szCs w:val="28"/>
        </w:rPr>
        <w:t>元（RMB：</w:t>
      </w:r>
      <w:r>
        <w:rPr>
          <w:rFonts w:ascii="仿宋_GB2312" w:hAnsi="宋体" w:eastAsia="仿宋_GB2312"/>
          <w:b/>
          <w:bCs/>
          <w:sz w:val="28"/>
          <w:szCs w:val="28"/>
        </w:rPr>
        <w:t>2114063</w:t>
      </w:r>
      <w:r>
        <w:rPr>
          <w:rFonts w:hint="eastAsia" w:ascii="仿宋_GB2312" w:hAnsi="宋体" w:eastAsia="仿宋_GB2312"/>
          <w:b/>
          <w:bCs/>
          <w:sz w:val="28"/>
          <w:szCs w:val="28"/>
        </w:rPr>
        <w:t>元），</w:t>
      </w:r>
      <w:r>
        <w:rPr>
          <w:rFonts w:hint="eastAsia" w:ascii="仿宋_GB2312" w:hAnsi="宋体" w:eastAsia="仿宋_GB2312"/>
          <w:sz w:val="28"/>
          <w:szCs w:val="28"/>
        </w:rPr>
        <w:t xml:space="preserve">估价对象评估价格详情见下表： </w:t>
      </w:r>
    </w:p>
    <w:p>
      <w:pPr>
        <w:spacing w:line="400" w:lineRule="exact"/>
        <w:ind w:firstLine="551" w:firstLineChars="196"/>
        <w:jc w:val="center"/>
        <w:outlineLvl w:val="1"/>
        <w:rPr>
          <w:rFonts w:ascii="仿宋_GB2312" w:hAnsi="宋体" w:eastAsia="仿宋_GB2312"/>
          <w:b/>
          <w:bCs/>
          <w:sz w:val="28"/>
          <w:szCs w:val="28"/>
        </w:rPr>
      </w:pPr>
      <w:r>
        <w:rPr>
          <w:rFonts w:hint="eastAsia" w:ascii="仿宋_GB2312" w:hAnsi="宋体" w:eastAsia="仿宋_GB2312"/>
          <w:b/>
          <w:bCs/>
          <w:sz w:val="28"/>
          <w:szCs w:val="28"/>
        </w:rPr>
        <w:t>估价对象评估价格表</w:t>
      </w:r>
    </w:p>
    <w:tbl>
      <w:tblPr>
        <w:tblStyle w:val="26"/>
        <w:tblW w:w="876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3947"/>
        <w:gridCol w:w="1604"/>
        <w:gridCol w:w="1604"/>
        <w:gridCol w:w="160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3947"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估价对象</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建筑面积（㎡）</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市场单价</w:t>
            </w:r>
          </w:p>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（元/㎡）</w:t>
            </w:r>
          </w:p>
        </w:tc>
        <w:tc>
          <w:tcPr>
            <w:tcW w:w="1606"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市场价格</w:t>
            </w:r>
          </w:p>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3947"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丰泽区城东片区安吉路中段西侧美仙山花苑4号楼702</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134.09</w:t>
            </w:r>
            <w:r>
              <w:rPr>
                <w:rFonts w:ascii="仿宋_GB2312" w:hAnsi="宋体" w:eastAsia="仿宋_GB2312" w:cs="仿宋_GB2312"/>
                <w:color w:val="000000"/>
                <w:kern w:val="0"/>
                <w:sz w:val="28"/>
                <w:szCs w:val="28"/>
                <w:lang w:bidi="ar"/>
              </w:rPr>
              <w:t xml:space="preserve"> </w:t>
            </w:r>
          </w:p>
        </w:tc>
        <w:tc>
          <w:tcPr>
            <w:tcW w:w="1604"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15766</w:t>
            </w:r>
          </w:p>
        </w:tc>
        <w:tc>
          <w:tcPr>
            <w:tcW w:w="1606" w:type="dxa"/>
            <w:vAlign w:val="center"/>
          </w:tcPr>
          <w:p>
            <w:pPr>
              <w:widowControl/>
              <w:spacing w:line="300" w:lineRule="exact"/>
              <w:jc w:val="center"/>
              <w:textAlignment w:val="center"/>
              <w:rPr>
                <w:rFonts w:ascii="仿宋_GB2312" w:hAnsi="宋体" w:eastAsia="仿宋_GB2312" w:cs="仿宋_GB2312"/>
                <w:color w:val="000000"/>
                <w:kern w:val="0"/>
                <w:sz w:val="28"/>
                <w:szCs w:val="28"/>
                <w:lang w:bidi="ar"/>
              </w:rPr>
            </w:pPr>
            <w:r>
              <w:rPr>
                <w:rFonts w:ascii="仿宋_GB2312" w:hAnsi="宋体" w:eastAsia="仿宋_GB2312" w:cs="仿宋_GB2312"/>
                <w:color w:val="000000"/>
                <w:kern w:val="0"/>
                <w:sz w:val="28"/>
                <w:szCs w:val="28"/>
                <w:lang w:bidi="ar"/>
              </w:rPr>
              <w:t>2114063</w:t>
            </w:r>
          </w:p>
        </w:tc>
      </w:tr>
    </w:tbl>
    <w:p>
      <w:pPr>
        <w:snapToGrid w:val="0"/>
        <w:spacing w:line="260" w:lineRule="exact"/>
        <w:ind w:firstLine="480" w:firstLineChars="200"/>
        <w:rPr>
          <w:rFonts w:ascii="仿宋_GB2312" w:hAnsi="宋体" w:eastAsia="仿宋_GB2312"/>
          <w:sz w:val="24"/>
        </w:rPr>
      </w:pPr>
    </w:p>
    <w:p>
      <w:pPr>
        <w:snapToGrid w:val="0"/>
        <w:spacing w:line="260" w:lineRule="exact"/>
        <w:ind w:firstLine="480" w:firstLineChars="200"/>
        <w:rPr>
          <w:rFonts w:ascii="仿宋_GB2312" w:hAnsi="宋体" w:eastAsia="仿宋_GB2312"/>
          <w:sz w:val="24"/>
        </w:rPr>
      </w:pPr>
      <w:r>
        <w:rPr>
          <w:rFonts w:hint="eastAsia" w:ascii="仿宋_GB2312" w:hAnsi="宋体" w:eastAsia="仿宋_GB2312"/>
          <w:sz w:val="24"/>
        </w:rPr>
        <w:t>估价结果内涵是估价对象在价值时点，满足本次估价假设和限制条件下包括建筑物（含室内二次装修）、分摊的土地使用权（含土地出让金）及公共配套设施，不包括动产、债权债务、特许经营权等其他财产或权益；付款方式是一次性付清房价款（包括首付款及按揭贷款）；房屋面积内涵是建筑面积；开发程度为现房，具备“六通”(通路、供电、供水、排水、通讯、通燃气）。</w:t>
      </w:r>
    </w:p>
    <w:p>
      <w:pPr>
        <w:spacing w:line="440" w:lineRule="exact"/>
        <w:ind w:firstLine="551" w:firstLineChars="196"/>
        <w:jc w:val="left"/>
        <w:outlineLvl w:val="1"/>
        <w:rPr>
          <w:rFonts w:ascii="仿宋_GB2312" w:hAnsi="宋体" w:eastAsia="仿宋_GB2312"/>
          <w:b/>
          <w:sz w:val="28"/>
        </w:rPr>
      </w:pPr>
      <w:bookmarkStart w:id="20" w:name="_Toc19580"/>
      <w:r>
        <w:rPr>
          <w:rFonts w:hint="eastAsia" w:ascii="仿宋_GB2312" w:hAnsi="宋体" w:eastAsia="仿宋_GB2312"/>
          <w:b/>
          <w:sz w:val="28"/>
        </w:rPr>
        <w:t>十一、注册房地产估价师</w:t>
      </w:r>
      <w:bookmarkEnd w:id="20"/>
    </w:p>
    <w:p>
      <w:pPr>
        <w:spacing w:line="440" w:lineRule="exact"/>
        <w:ind w:firstLine="551" w:firstLineChars="196"/>
        <w:rPr>
          <w:rFonts w:ascii="仿宋_GB2312" w:hAnsi="宋体" w:eastAsia="仿宋_GB2312"/>
          <w:b/>
          <w:bCs/>
          <w:sz w:val="28"/>
        </w:rPr>
      </w:pPr>
      <w:r>
        <w:rPr>
          <w:rFonts w:hint="eastAsia" w:ascii="仿宋_GB2312" w:hAnsi="宋体" w:eastAsia="仿宋_GB2312"/>
          <w:b/>
          <w:sz w:val="28"/>
        </w:rPr>
        <w:t>参加估价的注册房地产估价师：</w:t>
      </w:r>
      <w:r>
        <w:rPr>
          <w:rFonts w:hint="eastAsia" w:ascii="仿宋_GB2312" w:hAnsi="宋体" w:eastAsia="仿宋_GB2312"/>
          <w:sz w:val="28"/>
          <w:szCs w:val="28"/>
        </w:rPr>
        <w:t xml:space="preserve"> </w:t>
      </w:r>
    </w:p>
    <w:tbl>
      <w:tblPr>
        <w:tblStyle w:val="26"/>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1924"/>
        <w:gridCol w:w="2420"/>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7" w:type="dxa"/>
            <w:vAlign w:val="center"/>
          </w:tcPr>
          <w:p>
            <w:pPr>
              <w:spacing w:line="400" w:lineRule="exact"/>
              <w:jc w:val="center"/>
              <w:rPr>
                <w:rFonts w:ascii="仿宋_GB2312" w:hAnsi="宋体" w:eastAsia="仿宋_GB2312"/>
                <w:b/>
                <w:sz w:val="28"/>
              </w:rPr>
            </w:pPr>
            <w:r>
              <w:rPr>
                <w:rFonts w:hint="eastAsia" w:ascii="仿宋_GB2312" w:hAnsi="宋体" w:eastAsia="仿宋_GB2312"/>
                <w:b/>
                <w:sz w:val="28"/>
              </w:rPr>
              <w:t>姓名</w:t>
            </w:r>
          </w:p>
        </w:tc>
        <w:tc>
          <w:tcPr>
            <w:tcW w:w="1924" w:type="dxa"/>
            <w:vAlign w:val="center"/>
          </w:tcPr>
          <w:p>
            <w:pPr>
              <w:spacing w:line="400" w:lineRule="exact"/>
              <w:jc w:val="center"/>
              <w:rPr>
                <w:rFonts w:ascii="仿宋_GB2312" w:hAnsi="宋体" w:eastAsia="仿宋_GB2312"/>
                <w:b/>
                <w:sz w:val="28"/>
              </w:rPr>
            </w:pPr>
            <w:r>
              <w:rPr>
                <w:rFonts w:hint="eastAsia" w:ascii="仿宋_GB2312" w:hAnsi="宋体" w:eastAsia="仿宋_GB2312"/>
                <w:b/>
                <w:sz w:val="28"/>
              </w:rPr>
              <w:t>注册号</w:t>
            </w:r>
          </w:p>
        </w:tc>
        <w:tc>
          <w:tcPr>
            <w:tcW w:w="2420" w:type="dxa"/>
            <w:vAlign w:val="center"/>
          </w:tcPr>
          <w:p>
            <w:pPr>
              <w:spacing w:line="400" w:lineRule="exact"/>
              <w:jc w:val="center"/>
              <w:rPr>
                <w:rFonts w:ascii="仿宋_GB2312" w:hAnsi="宋体" w:eastAsia="仿宋_GB2312"/>
                <w:b/>
                <w:sz w:val="28"/>
              </w:rPr>
            </w:pPr>
            <w:r>
              <w:rPr>
                <w:rFonts w:hint="eastAsia" w:ascii="仿宋_GB2312" w:hAnsi="宋体" w:eastAsia="仿宋_GB2312"/>
                <w:b/>
                <w:sz w:val="28"/>
              </w:rPr>
              <w:t>签名</w:t>
            </w:r>
          </w:p>
        </w:tc>
        <w:tc>
          <w:tcPr>
            <w:tcW w:w="2667" w:type="dxa"/>
            <w:vAlign w:val="center"/>
          </w:tcPr>
          <w:p>
            <w:pPr>
              <w:spacing w:line="400" w:lineRule="exact"/>
              <w:jc w:val="center"/>
              <w:rPr>
                <w:rFonts w:ascii="仿宋_GB2312" w:hAnsi="宋体" w:eastAsia="仿宋_GB2312"/>
                <w:b/>
                <w:sz w:val="28"/>
              </w:rPr>
            </w:pPr>
            <w:r>
              <w:rPr>
                <w:rFonts w:hint="eastAsia" w:ascii="仿宋_GB2312" w:hAnsi="宋体" w:eastAsia="仿宋_GB2312"/>
                <w:b/>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987" w:type="dxa"/>
            <w:vAlign w:val="center"/>
          </w:tcPr>
          <w:p>
            <w:pPr>
              <w:spacing w:line="400" w:lineRule="exact"/>
              <w:jc w:val="center"/>
              <w:rPr>
                <w:rFonts w:ascii="仿宋_GB2312" w:hAnsi="宋体" w:eastAsia="仿宋_GB2312"/>
                <w:bCs/>
                <w:sz w:val="28"/>
              </w:rPr>
            </w:pPr>
            <w:r>
              <w:rPr>
                <w:rFonts w:hint="eastAsia" w:ascii="仿宋_GB2312" w:hAnsi="宋体" w:eastAsia="仿宋_GB2312"/>
                <w:bCs/>
                <w:sz w:val="28"/>
              </w:rPr>
              <w:t>同艳楠</w:t>
            </w:r>
          </w:p>
        </w:tc>
        <w:tc>
          <w:tcPr>
            <w:tcW w:w="1924" w:type="dxa"/>
            <w:vAlign w:val="center"/>
          </w:tcPr>
          <w:p>
            <w:pPr>
              <w:spacing w:line="400" w:lineRule="exact"/>
              <w:jc w:val="center"/>
              <w:rPr>
                <w:rFonts w:ascii="仿宋_GB2312" w:hAnsi="宋体" w:eastAsia="仿宋_GB2312"/>
                <w:bCs/>
                <w:sz w:val="28"/>
              </w:rPr>
            </w:pPr>
            <w:r>
              <w:rPr>
                <w:rFonts w:hint="eastAsia" w:ascii="仿宋_GB2312" w:hAnsi="宋体" w:eastAsia="仿宋_GB2312"/>
                <w:bCs/>
                <w:sz w:val="28"/>
              </w:rPr>
              <w:t>3520100034</w:t>
            </w:r>
          </w:p>
        </w:tc>
        <w:tc>
          <w:tcPr>
            <w:tcW w:w="2420" w:type="dxa"/>
            <w:vAlign w:val="center"/>
          </w:tcPr>
          <w:p>
            <w:pPr>
              <w:spacing w:line="400" w:lineRule="exact"/>
              <w:jc w:val="center"/>
              <w:rPr>
                <w:rFonts w:ascii="仿宋_GB2312" w:hAnsi="宋体" w:eastAsia="仿宋_GB2312"/>
                <w:b/>
                <w:sz w:val="28"/>
              </w:rPr>
            </w:pPr>
          </w:p>
        </w:tc>
        <w:tc>
          <w:tcPr>
            <w:tcW w:w="2667" w:type="dxa"/>
            <w:vAlign w:val="center"/>
          </w:tcPr>
          <w:p>
            <w:pPr>
              <w:spacing w:line="400" w:lineRule="exact"/>
              <w:jc w:val="center"/>
              <w:rPr>
                <w:rFonts w:ascii="仿宋_GB2312" w:hAnsi="宋体" w:eastAsia="仿宋_GB2312"/>
                <w:sz w:val="28"/>
              </w:rPr>
            </w:pPr>
            <w:r>
              <w:rPr>
                <w:rFonts w:hint="eastAsia" w:ascii="仿宋_GB2312" w:hAnsi="宋体" w:eastAsia="仿宋_GB2312"/>
                <w:sz w:val="28"/>
              </w:rPr>
              <w:t>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987" w:type="dxa"/>
            <w:vAlign w:val="center"/>
          </w:tcPr>
          <w:p>
            <w:pPr>
              <w:spacing w:line="400" w:lineRule="exact"/>
              <w:jc w:val="center"/>
              <w:rPr>
                <w:rFonts w:ascii="仿宋_GB2312" w:hAnsi="宋体" w:eastAsia="仿宋_GB2312"/>
                <w:bCs/>
                <w:sz w:val="28"/>
              </w:rPr>
            </w:pPr>
            <w:r>
              <w:rPr>
                <w:rFonts w:hint="eastAsia" w:ascii="仿宋_GB2312" w:hAnsi="宋体" w:eastAsia="仿宋_GB2312"/>
                <w:bCs/>
                <w:sz w:val="28"/>
              </w:rPr>
              <w:t>朱金华</w:t>
            </w:r>
          </w:p>
        </w:tc>
        <w:tc>
          <w:tcPr>
            <w:tcW w:w="1924" w:type="dxa"/>
            <w:vAlign w:val="center"/>
          </w:tcPr>
          <w:p>
            <w:pPr>
              <w:spacing w:line="400" w:lineRule="exact"/>
              <w:jc w:val="center"/>
              <w:rPr>
                <w:rFonts w:ascii="仿宋_GB2312" w:hAnsi="宋体" w:eastAsia="仿宋_GB2312"/>
                <w:bCs/>
                <w:sz w:val="28"/>
              </w:rPr>
            </w:pPr>
            <w:r>
              <w:rPr>
                <w:rFonts w:hint="eastAsia" w:ascii="仿宋_GB2312" w:hAnsi="宋体" w:eastAsia="仿宋_GB2312"/>
                <w:bCs/>
                <w:sz w:val="28"/>
              </w:rPr>
              <w:t>3520140094</w:t>
            </w:r>
          </w:p>
        </w:tc>
        <w:tc>
          <w:tcPr>
            <w:tcW w:w="2420" w:type="dxa"/>
            <w:vAlign w:val="center"/>
          </w:tcPr>
          <w:p>
            <w:pPr>
              <w:spacing w:line="400" w:lineRule="exact"/>
              <w:jc w:val="center"/>
              <w:rPr>
                <w:rFonts w:ascii="仿宋_GB2312" w:hAnsi="宋体" w:eastAsia="仿宋_GB2312"/>
                <w:b/>
                <w:sz w:val="28"/>
              </w:rPr>
            </w:pPr>
          </w:p>
        </w:tc>
        <w:tc>
          <w:tcPr>
            <w:tcW w:w="2667" w:type="dxa"/>
            <w:vAlign w:val="center"/>
          </w:tcPr>
          <w:p>
            <w:pPr>
              <w:spacing w:line="400" w:lineRule="exact"/>
              <w:jc w:val="center"/>
              <w:rPr>
                <w:rFonts w:ascii="仿宋_GB2312" w:hAnsi="宋体" w:eastAsia="仿宋_GB2312"/>
                <w:sz w:val="28"/>
              </w:rPr>
            </w:pPr>
            <w:r>
              <w:rPr>
                <w:rFonts w:hint="eastAsia" w:ascii="仿宋_GB2312" w:hAnsi="宋体" w:eastAsia="仿宋_GB2312"/>
                <w:sz w:val="28"/>
              </w:rPr>
              <w:t>2022年  月  日</w:t>
            </w:r>
          </w:p>
        </w:tc>
      </w:tr>
    </w:tbl>
    <w:p>
      <w:pPr>
        <w:spacing w:line="400" w:lineRule="exact"/>
        <w:ind w:firstLine="551" w:firstLineChars="196"/>
        <w:jc w:val="left"/>
        <w:outlineLvl w:val="1"/>
        <w:rPr>
          <w:rFonts w:ascii="仿宋_GB2312" w:hAnsi="宋体" w:eastAsia="仿宋_GB2312"/>
          <w:b/>
          <w:sz w:val="28"/>
        </w:rPr>
      </w:pPr>
      <w:bookmarkStart w:id="21" w:name="_Toc2453"/>
      <w:r>
        <w:rPr>
          <w:rFonts w:hint="eastAsia" w:ascii="仿宋_GB2312" w:hAnsi="宋体" w:eastAsia="仿宋_GB2312"/>
          <w:b/>
          <w:sz w:val="28"/>
        </w:rPr>
        <w:t>十二、实地查勘期</w:t>
      </w:r>
      <w:bookmarkEnd w:id="21"/>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实地查勘期：二○二二年六月六日至二○二二年六月六日</w:t>
      </w:r>
    </w:p>
    <w:p>
      <w:pPr>
        <w:spacing w:line="400" w:lineRule="exact"/>
        <w:ind w:firstLine="551" w:firstLineChars="196"/>
        <w:jc w:val="left"/>
        <w:outlineLvl w:val="1"/>
        <w:rPr>
          <w:rFonts w:ascii="仿宋_GB2312" w:hAnsi="宋体" w:eastAsia="仿宋_GB2312"/>
          <w:b/>
          <w:sz w:val="28"/>
        </w:rPr>
      </w:pPr>
      <w:bookmarkStart w:id="22" w:name="_Toc12367"/>
      <w:r>
        <w:rPr>
          <w:rFonts w:hint="eastAsia" w:ascii="仿宋_GB2312" w:hAnsi="宋体" w:eastAsia="仿宋_GB2312"/>
          <w:b/>
          <w:sz w:val="28"/>
        </w:rPr>
        <w:t>十三、估价作业期</w:t>
      </w:r>
      <w:bookmarkEnd w:id="22"/>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估价作业期：二○二二年六月六日至二○二二年六月十五日</w:t>
      </w:r>
    </w:p>
    <w:p>
      <w:pPr>
        <w:tabs>
          <w:tab w:val="left" w:pos="180"/>
        </w:tabs>
        <w:spacing w:line="400" w:lineRule="exact"/>
        <w:ind w:firstLine="551" w:firstLineChars="196"/>
        <w:outlineLvl w:val="1"/>
        <w:rPr>
          <w:rFonts w:ascii="仿宋_GB2312" w:hAnsi="宋体" w:eastAsia="仿宋_GB2312"/>
          <w:b/>
          <w:sz w:val="28"/>
        </w:rPr>
      </w:pPr>
      <w:bookmarkStart w:id="23" w:name="_Toc8133"/>
      <w:bookmarkStart w:id="24" w:name="_Toc529000637"/>
      <w:r>
        <w:rPr>
          <w:rFonts w:hint="eastAsia" w:ascii="仿宋_GB2312" w:hAnsi="宋体" w:eastAsia="仿宋_GB2312"/>
          <w:b/>
          <w:sz w:val="28"/>
        </w:rPr>
        <w:t>十四、估价报告使用期限</w:t>
      </w:r>
      <w:bookmarkEnd w:id="23"/>
      <w:bookmarkEnd w:id="24"/>
    </w:p>
    <w:p>
      <w:pPr>
        <w:spacing w:line="400" w:lineRule="exact"/>
        <w:ind w:firstLine="560" w:firstLineChars="200"/>
        <w:jc w:val="left"/>
        <w:outlineLvl w:val="1"/>
        <w:rPr>
          <w:rFonts w:ascii="仿宋_GB2312" w:hAnsi="宋体" w:eastAsia="仿宋_GB2312"/>
          <w:sz w:val="28"/>
          <w:szCs w:val="28"/>
        </w:rPr>
      </w:pPr>
      <w:bookmarkStart w:id="25" w:name="_Toc22653"/>
      <w:bookmarkStart w:id="26" w:name="_Toc28004"/>
      <w:r>
        <w:rPr>
          <w:rFonts w:hint="eastAsia" w:ascii="仿宋_GB2312" w:hAnsi="宋体" w:eastAsia="仿宋_GB2312"/>
          <w:sz w:val="28"/>
          <w:szCs w:val="28"/>
        </w:rPr>
        <w:t>本估价报告应用有效期为一年，时间从报告出具之日起生效。</w:t>
      </w:r>
      <w:bookmarkEnd w:id="25"/>
      <w:bookmarkEnd w:id="26"/>
    </w:p>
    <w:p>
      <w:pPr>
        <w:pStyle w:val="2"/>
      </w:pPr>
    </w:p>
    <w:p>
      <w:pPr>
        <w:pStyle w:val="3"/>
      </w:pPr>
    </w:p>
    <w:p>
      <w:pPr>
        <w:snapToGrid w:val="0"/>
        <w:spacing w:line="360" w:lineRule="exact"/>
        <w:ind w:firstLine="3360" w:firstLineChars="1200"/>
        <w:rPr>
          <w:rFonts w:ascii="仿宋_GB2312" w:hAnsi="宋体" w:eastAsia="仿宋_GB2312"/>
          <w:spacing w:val="-4"/>
          <w:sz w:val="28"/>
          <w:szCs w:val="28"/>
        </w:rPr>
      </w:pPr>
      <w:r>
        <w:rPr>
          <w:rFonts w:hint="eastAsia" w:ascii="仿宋_GB2312" w:hAnsi="宋体" w:eastAsia="仿宋_GB2312"/>
          <w:sz w:val="28"/>
        </w:rPr>
        <w:t>估价机构：</w:t>
      </w:r>
      <w:r>
        <w:rPr>
          <w:rFonts w:hint="eastAsia" w:ascii="仿宋_GB2312" w:hAnsi="宋体" w:eastAsia="仿宋_GB2312"/>
          <w:sz w:val="28"/>
          <w:szCs w:val="28"/>
        </w:rPr>
        <w:t>福建明达房地产评估有限公司</w:t>
      </w:r>
      <w:r>
        <w:rPr>
          <w:rFonts w:hint="eastAsia" w:ascii="仿宋_GB2312" w:hAnsi="宋体" w:eastAsia="仿宋_GB2312"/>
          <w:spacing w:val="-4"/>
          <w:sz w:val="28"/>
          <w:szCs w:val="28"/>
        </w:rPr>
        <w:t xml:space="preserve">                                     </w:t>
      </w:r>
    </w:p>
    <w:p>
      <w:pPr>
        <w:spacing w:line="360" w:lineRule="exact"/>
        <w:ind w:firstLine="5168" w:firstLineChars="1900"/>
        <w:jc w:val="left"/>
        <w:outlineLvl w:val="1"/>
        <w:rPr>
          <w:rFonts w:ascii="仿宋_GB2312" w:hAnsi="宋体" w:eastAsia="仿宋_GB2312" w:cs="宋体"/>
          <w:spacing w:val="-4"/>
          <w:sz w:val="28"/>
          <w:szCs w:val="28"/>
        </w:rPr>
      </w:pPr>
      <w:r>
        <w:rPr>
          <w:rFonts w:hint="eastAsia" w:ascii="仿宋_GB2312" w:hAnsi="宋体" w:eastAsia="仿宋_GB2312"/>
          <w:spacing w:val="-4"/>
          <w:sz w:val="28"/>
          <w:szCs w:val="28"/>
        </w:rPr>
        <w:t>二○二二年六月十五日</w:t>
      </w:r>
    </w:p>
    <w:p>
      <w:pPr>
        <w:jc w:val="center"/>
        <w:outlineLvl w:val="0"/>
        <w:rPr>
          <w:rFonts w:ascii="宋体" w:hAnsi="宋体"/>
          <w:b/>
          <w:bCs/>
          <w:sz w:val="44"/>
        </w:rPr>
      </w:pPr>
      <w:r>
        <w:rPr>
          <w:rFonts w:ascii="仿宋_GB2312" w:hAnsi="宋体" w:eastAsia="仿宋_GB2312" w:cs="宋体"/>
          <w:spacing w:val="-4"/>
          <w:sz w:val="28"/>
          <w:szCs w:val="28"/>
        </w:rPr>
        <w:br w:type="page"/>
      </w:r>
      <w:bookmarkStart w:id="27" w:name="_Toc25933"/>
      <w:bookmarkStart w:id="28" w:name="_Toc23735"/>
      <w:r>
        <w:rPr>
          <w:rFonts w:hint="eastAsia" w:ascii="宋体" w:hAnsi="宋体"/>
          <w:b/>
          <w:bCs/>
          <w:sz w:val="44"/>
        </w:rPr>
        <w:t>附  件</w:t>
      </w:r>
      <w:bookmarkEnd w:id="27"/>
      <w:bookmarkEnd w:id="28"/>
    </w:p>
    <w:p>
      <w:pPr>
        <w:autoSpaceDE w:val="0"/>
        <w:autoSpaceDN w:val="0"/>
        <w:adjustRightInd w:val="0"/>
        <w:spacing w:line="420" w:lineRule="exact"/>
        <w:jc w:val="left"/>
        <w:rPr>
          <w:rFonts w:ascii="楷体_GB2312" w:hAnsi="宋体" w:eastAsia="楷体_GB2312"/>
          <w:sz w:val="28"/>
        </w:rPr>
      </w:pPr>
    </w:p>
    <w:p>
      <w:pPr>
        <w:ind w:left="420"/>
        <w:rPr>
          <w:rFonts w:hint="eastAsia" w:ascii="仿宋_GB2312" w:hAnsi="宋体" w:eastAsia="仿宋_GB2312"/>
          <w:sz w:val="28"/>
          <w:szCs w:val="28"/>
        </w:rPr>
      </w:pPr>
      <w:bookmarkStart w:id="29" w:name="_GoBack"/>
      <w:r>
        <w:rPr>
          <w:rFonts w:hint="eastAsia" w:ascii="仿宋_GB2312" w:hAnsi="宋体" w:eastAsia="仿宋_GB2312"/>
          <w:sz w:val="28"/>
          <w:szCs w:val="28"/>
        </w:rPr>
        <w:t>一、专业帮助情况和相关专业意见</w:t>
      </w:r>
    </w:p>
    <w:p>
      <w:pPr>
        <w:ind w:left="420"/>
        <w:rPr>
          <w:rFonts w:hint="eastAsia" w:ascii="仿宋_GB2312" w:hAnsi="宋体" w:eastAsia="仿宋_GB2312"/>
          <w:sz w:val="28"/>
          <w:szCs w:val="28"/>
        </w:rPr>
      </w:pPr>
      <w:r>
        <w:rPr>
          <w:rFonts w:hint="eastAsia" w:ascii="仿宋_GB2312" w:hAnsi="宋体" w:eastAsia="仿宋_GB2312"/>
          <w:sz w:val="28"/>
          <w:szCs w:val="28"/>
        </w:rPr>
        <w:t>二、《福建省晋江市人民法院价格鉴定委托书》[（2021）闽0582执11571号]（复印件）</w:t>
      </w:r>
    </w:p>
    <w:p>
      <w:pPr>
        <w:ind w:left="420"/>
        <w:rPr>
          <w:rFonts w:hint="eastAsia" w:ascii="仿宋_GB2312" w:hAnsi="宋体" w:eastAsia="仿宋_GB2312"/>
          <w:sz w:val="28"/>
          <w:szCs w:val="28"/>
        </w:rPr>
      </w:pPr>
      <w:r>
        <w:rPr>
          <w:rFonts w:hint="eastAsia" w:ascii="仿宋_GB2312" w:hAnsi="宋体" w:eastAsia="仿宋_GB2312"/>
          <w:sz w:val="28"/>
          <w:szCs w:val="28"/>
        </w:rPr>
        <w:t>三、《福建省晋江市人民法院执行裁定书》[（2021）闽0582执11571号]（复印件）</w:t>
      </w:r>
    </w:p>
    <w:p>
      <w:pPr>
        <w:ind w:left="420"/>
        <w:rPr>
          <w:rFonts w:hint="eastAsia" w:ascii="仿宋_GB2312" w:hAnsi="宋体" w:eastAsia="仿宋_GB2312"/>
          <w:sz w:val="28"/>
          <w:szCs w:val="28"/>
        </w:rPr>
      </w:pPr>
      <w:r>
        <w:rPr>
          <w:rFonts w:hint="eastAsia" w:ascii="仿宋_GB2312" w:hAnsi="宋体" w:eastAsia="仿宋_GB2312"/>
          <w:sz w:val="28"/>
          <w:szCs w:val="28"/>
        </w:rPr>
        <w:t>四、估价对象位置图</w:t>
      </w:r>
    </w:p>
    <w:p>
      <w:pPr>
        <w:ind w:left="420"/>
        <w:rPr>
          <w:rFonts w:hint="eastAsia" w:ascii="仿宋_GB2312" w:hAnsi="宋体" w:eastAsia="仿宋_GB2312"/>
          <w:sz w:val="28"/>
          <w:szCs w:val="28"/>
        </w:rPr>
      </w:pPr>
      <w:r>
        <w:rPr>
          <w:rFonts w:hint="eastAsia" w:ascii="仿宋_GB2312" w:hAnsi="宋体" w:eastAsia="仿宋_GB2312"/>
          <w:sz w:val="28"/>
          <w:szCs w:val="28"/>
          <w:lang w:val="en-US" w:eastAsia="zh-CN"/>
        </w:rPr>
        <w:t>五</w:t>
      </w:r>
      <w:r>
        <w:rPr>
          <w:rFonts w:hint="eastAsia" w:ascii="仿宋_GB2312" w:hAnsi="宋体" w:eastAsia="仿宋_GB2312"/>
          <w:sz w:val="28"/>
          <w:szCs w:val="28"/>
        </w:rPr>
        <w:t>、估价对象照片</w:t>
      </w:r>
    </w:p>
    <w:p>
      <w:pPr>
        <w:ind w:left="420"/>
        <w:rPr>
          <w:rFonts w:hint="eastAsia" w:ascii="仿宋_GB2312" w:hAnsi="宋体" w:eastAsia="仿宋_GB2312"/>
          <w:sz w:val="28"/>
          <w:szCs w:val="28"/>
        </w:rPr>
      </w:pPr>
      <w:r>
        <w:rPr>
          <w:rFonts w:hint="eastAsia" w:ascii="仿宋_GB2312" w:hAnsi="宋体" w:eastAsia="仿宋_GB2312"/>
          <w:sz w:val="28"/>
          <w:szCs w:val="28"/>
          <w:lang w:val="en-US" w:eastAsia="zh-CN"/>
        </w:rPr>
        <w:t>六</w:t>
      </w:r>
      <w:r>
        <w:rPr>
          <w:rFonts w:hint="eastAsia" w:ascii="仿宋_GB2312" w:hAnsi="宋体" w:eastAsia="仿宋_GB2312"/>
          <w:sz w:val="28"/>
          <w:szCs w:val="28"/>
        </w:rPr>
        <w:t>、《不动产权证书》（证号：闽（2019）泉州市不动产权第0002647号、闽（2019）泉州市不动产权第0002648号）（复印件）</w:t>
      </w:r>
    </w:p>
    <w:p>
      <w:pPr>
        <w:ind w:left="420"/>
        <w:rPr>
          <w:rFonts w:hint="eastAsia" w:ascii="仿宋_GB2312" w:hAnsi="宋体" w:eastAsia="仿宋_GB2312"/>
          <w:sz w:val="28"/>
          <w:szCs w:val="28"/>
        </w:rPr>
      </w:pPr>
      <w:r>
        <w:rPr>
          <w:rFonts w:hint="eastAsia" w:ascii="仿宋_GB2312" w:hAnsi="宋体" w:eastAsia="仿宋_GB2312"/>
          <w:sz w:val="28"/>
          <w:szCs w:val="28"/>
          <w:lang w:val="en-US" w:eastAsia="zh-CN"/>
        </w:rPr>
        <w:t>七</w:t>
      </w:r>
      <w:r>
        <w:rPr>
          <w:rFonts w:hint="eastAsia" w:ascii="仿宋_GB2312" w:hAnsi="宋体" w:eastAsia="仿宋_GB2312"/>
          <w:sz w:val="28"/>
          <w:szCs w:val="28"/>
        </w:rPr>
        <w:t>、《不动产登记证明》（证号：闽（2020）泉州市不动产证明第0025948号）（复印件）</w:t>
      </w:r>
    </w:p>
    <w:p>
      <w:pPr>
        <w:ind w:left="420"/>
        <w:rPr>
          <w:rFonts w:hint="eastAsia" w:ascii="仿宋_GB2312" w:hAnsi="宋体" w:eastAsia="仿宋_GB2312"/>
          <w:sz w:val="28"/>
          <w:szCs w:val="28"/>
        </w:rPr>
      </w:pPr>
      <w:r>
        <w:rPr>
          <w:rFonts w:hint="eastAsia" w:ascii="仿宋_GB2312" w:hAnsi="宋体" w:eastAsia="仿宋_GB2312"/>
          <w:sz w:val="28"/>
          <w:szCs w:val="28"/>
          <w:lang w:val="en-US" w:eastAsia="zh-CN"/>
        </w:rPr>
        <w:t>八</w:t>
      </w:r>
      <w:r>
        <w:rPr>
          <w:rFonts w:hint="eastAsia" w:ascii="仿宋_GB2312" w:hAnsi="宋体" w:eastAsia="仿宋_GB2312"/>
          <w:sz w:val="28"/>
          <w:szCs w:val="28"/>
        </w:rPr>
        <w:t>、评估机构企业法人营业执照（复印件）</w:t>
      </w:r>
    </w:p>
    <w:p>
      <w:pPr>
        <w:ind w:left="420"/>
        <w:rPr>
          <w:rFonts w:hint="eastAsia" w:ascii="仿宋_GB2312" w:hAnsi="宋体" w:eastAsia="仿宋_GB2312"/>
          <w:sz w:val="28"/>
          <w:szCs w:val="28"/>
        </w:rPr>
      </w:pPr>
      <w:r>
        <w:rPr>
          <w:rFonts w:hint="eastAsia" w:ascii="仿宋_GB2312" w:hAnsi="宋体" w:eastAsia="仿宋_GB2312"/>
          <w:sz w:val="28"/>
          <w:szCs w:val="28"/>
          <w:lang w:val="en-US" w:eastAsia="zh-CN"/>
        </w:rPr>
        <w:t>九</w:t>
      </w:r>
      <w:r>
        <w:rPr>
          <w:rFonts w:hint="eastAsia" w:ascii="仿宋_GB2312" w:hAnsi="宋体" w:eastAsia="仿宋_GB2312"/>
          <w:sz w:val="28"/>
          <w:szCs w:val="28"/>
        </w:rPr>
        <w:t>、房地产估价机构备案证书（复印件）</w:t>
      </w:r>
    </w:p>
    <w:p>
      <w:pPr>
        <w:ind w:left="420"/>
        <w:rPr>
          <w:rFonts w:hint="eastAsia" w:ascii="仿宋_GB2312" w:hAnsi="宋体" w:eastAsia="仿宋_GB2312"/>
          <w:sz w:val="28"/>
          <w:szCs w:val="28"/>
        </w:rPr>
      </w:pPr>
      <w:r>
        <w:rPr>
          <w:rFonts w:hint="eastAsia" w:ascii="仿宋_GB2312" w:hAnsi="宋体" w:eastAsia="仿宋_GB2312"/>
          <w:sz w:val="28"/>
          <w:szCs w:val="28"/>
        </w:rPr>
        <w:t>十、房地产估价师注册证书（复印件）</w:t>
      </w:r>
    </w:p>
    <w:bookmarkEnd w:id="29"/>
    <w:p>
      <w:pPr>
        <w:ind w:left="420"/>
        <w:rPr>
          <w:rFonts w:ascii="仿宋_GB2312" w:hAnsi="宋体" w:eastAsia="仿宋_GB2312"/>
          <w:sz w:val="28"/>
          <w:szCs w:val="28"/>
        </w:rPr>
      </w:pPr>
    </w:p>
    <w:p>
      <w:pPr>
        <w:ind w:left="420"/>
        <w:rPr>
          <w:rFonts w:ascii="仿宋_GB2312" w:hAnsi="宋体" w:eastAsia="仿宋_GB2312"/>
          <w:sz w:val="28"/>
          <w:szCs w:val="28"/>
        </w:rPr>
      </w:pPr>
    </w:p>
    <w:p>
      <w:pPr>
        <w:ind w:left="420"/>
        <w:rPr>
          <w:rFonts w:ascii="仿宋_GB2312" w:hAnsi="宋体" w:eastAsia="仿宋_GB2312"/>
          <w:sz w:val="28"/>
          <w:szCs w:val="28"/>
        </w:rPr>
      </w:pPr>
    </w:p>
    <w:p>
      <w:pPr>
        <w:ind w:left="420"/>
        <w:rPr>
          <w:rFonts w:ascii="仿宋_GB2312" w:hAnsi="宋体" w:eastAsia="仿宋_GB2312"/>
          <w:sz w:val="28"/>
          <w:szCs w:val="28"/>
        </w:rPr>
      </w:pPr>
    </w:p>
    <w:p>
      <w:pPr>
        <w:ind w:left="420"/>
        <w:rPr>
          <w:rFonts w:ascii="仿宋_GB2312" w:hAnsi="宋体" w:eastAsia="仿宋_GB2312"/>
          <w:sz w:val="28"/>
          <w:szCs w:val="28"/>
        </w:rPr>
        <w:sectPr>
          <w:footerReference r:id="rId6" w:type="default"/>
          <w:pgSz w:w="11906" w:h="16838"/>
          <w:pgMar w:top="1440" w:right="1646" w:bottom="1440" w:left="1620" w:header="851" w:footer="992" w:gutter="0"/>
          <w:pgNumType w:start="1"/>
          <w:cols w:space="720" w:num="1"/>
          <w:docGrid w:type="lines" w:linePitch="312" w:charSpace="0"/>
        </w:sectPr>
      </w:pPr>
    </w:p>
    <w:p>
      <w:pPr>
        <w:jc w:val="center"/>
        <w:rPr>
          <w:b/>
          <w:bCs/>
          <w:sz w:val="44"/>
          <w:szCs w:val="44"/>
        </w:rPr>
      </w:pPr>
      <w:r>
        <w:rPr>
          <w:rFonts w:hint="eastAsia"/>
          <w:b/>
          <w:bCs/>
          <w:sz w:val="44"/>
          <w:szCs w:val="44"/>
        </w:rPr>
        <w:t>专业帮助情况和相关专业意见</w:t>
      </w:r>
    </w:p>
    <w:p>
      <w:pPr>
        <w:ind w:firstLine="560" w:firstLineChars="200"/>
        <w:rPr>
          <w:rFonts w:ascii="仿宋_GB2312" w:eastAsia="仿宋_GB2312"/>
          <w:sz w:val="28"/>
          <w:szCs w:val="28"/>
        </w:rPr>
      </w:pPr>
      <w:r>
        <w:rPr>
          <w:rFonts w:hint="eastAsia" w:ascii="仿宋_GB2312" w:eastAsia="仿宋_GB2312"/>
          <w:sz w:val="28"/>
          <w:szCs w:val="28"/>
        </w:rPr>
        <w:t>本次估价中，没有人对本报告提供了专业帮助，也未依据相关专业意见进行估价。</w:t>
      </w:r>
    </w:p>
    <w:p>
      <w:pPr>
        <w:ind w:left="420"/>
        <w:rPr>
          <w:rFonts w:ascii="仿宋_GB2312" w:hAnsi="宋体" w:eastAsia="仿宋_GB2312"/>
          <w:sz w:val="28"/>
          <w:szCs w:val="28"/>
        </w:rPr>
      </w:pPr>
    </w:p>
    <w:p>
      <w:pPr>
        <w:jc w:val="center"/>
        <w:rPr>
          <w:b/>
          <w:sz w:val="32"/>
        </w:rPr>
      </w:pPr>
    </w:p>
    <w:sectPr>
      <w:headerReference r:id="rId7" w:type="default"/>
      <w:footerReference r:id="rId8" w:type="default"/>
      <w:pgSz w:w="11906" w:h="16838"/>
      <w:pgMar w:top="1440" w:right="164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方正姚体">
    <w:altName w:val="Malgun Gothic Semilight"/>
    <w:panose1 w:val="02010601030101010101"/>
    <w:charset w:val="86"/>
    <w:family w:val="auto"/>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Arial Narrow">
    <w:altName w:val="Arial"/>
    <w:panose1 w:val="020B0606020202030204"/>
    <w:charset w:val="00"/>
    <w:family w:val="swiss"/>
    <w:pitch w:val="default"/>
    <w:sig w:usb0="00000000" w:usb1="00000000" w:usb2="00000000" w:usb3="00000000" w:csb0="0000009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7"/>
                          </w:pP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5X5J0AAAAAMBAAAPAAAAAAAAAAEAIAAAACIA&#10;AABkcnMvZG93bnJldi54bWxQSwECFAAUAAAACACHTuJAHWbNZRECAAATBAAADgAAAAAAAAABACAA&#10;AAAfAQAAZHJzL2Uyb0RvYy54bWxQSwUGAAAAAAYABgBZAQAAogUAAAAA&#10;">
              <v:fill on="f" focussize="0,0"/>
              <v:stroke on="f"/>
              <v:imagedata o:title=""/>
              <o:lock v:ext="edit" aspectratio="f"/>
              <v:textbox inset="0mm,0mm,0mm,0mm" style="mso-fit-shape-to-text:t;">
                <w:txbxContent>
                  <w:p>
                    <w:pPr>
                      <w:pStyle w:val="1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57835" cy="147955"/>
              <wp:effectExtent l="0" t="0" r="0" b="0"/>
              <wp:wrapNone/>
              <wp:docPr id="3" name="文本框 1031"/>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wps:spPr>
                    <wps:txbx>
                      <w:txbxContent>
                        <w:p>
                          <w:pPr>
                            <w:pStyle w:val="17"/>
                          </w:pPr>
                          <w:r>
                            <w:t xml:space="preserve">第 </w:t>
                          </w:r>
                          <w:r>
                            <w:fldChar w:fldCharType="begin"/>
                          </w:r>
                          <w:r>
                            <w:instrText xml:space="preserve"> PAGE  \* MERGEFORMAT </w:instrText>
                          </w:r>
                          <w:r>
                            <w:fldChar w:fldCharType="separate"/>
                          </w:r>
                          <w:r>
                            <w:t>33</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1031" o:spid="_x0000_s1026" o:spt="202" type="#_x0000_t202" style="position:absolute;left:0pt;margin-top:0pt;height:11.65pt;width:36.05pt;mso-position-horizontal:center;mso-position-horizontal-relative:margin;mso-wrap-style:none;z-index:251662336;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&#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ZxqQ0QAAAAMBAAAPAAAAAAAAAAEAIAAAACIAAABk&#10;cnMvZG93bnJldi54bWxQSwECFAAUAAAACACHTuJAJT3+rw0CAAAFBAAADgAAAAAAAAABACAAAAAg&#10;AQAAZHJzL2Uyb0RvYy54bWxQSwUGAAAAAAYABgBZAQAAnwUAAAAA&#10;">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33</w:t>
                    </w:r>
                    <w:r>
                      <w:fldChar w:fldCharType="end"/>
                    </w:r>
                    <w:r>
                      <w:t xml:space="preserve"> 页</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3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p>
                      </w:txbxContent>
                    </wps:txbx>
                    <wps:bodyPr rot="0" vert="horz" wrap="none" lIns="0" tIns="0" rIns="0" bIns="0" anchor="t" anchorCtr="0" upright="1">
                      <a:spAutoFit/>
                    </wps:bodyPr>
                  </wps:wsp>
                </a:graphicData>
              </a:graphic>
            </wp:anchor>
          </w:drawing>
        </mc:Choice>
        <mc:Fallback>
          <w:pict>
            <v:shape id="文本框 1030"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PlfknQAAAAAwEAAA8AAAAAAAAAAQAgAAAAIgAAAGRy&#10;cy9kb3ducmV2LnhtbFBLAQIUABQAAAAIAIdO4kBTc+w2DQIAAAUEAAAOAAAAAAAAAAEAIAAAAB8B&#10;AABkcnMvZTJvRG9jLnhtbFBLBQYAAAAABgAGAFkBAACeBQAAAAA=&#10;">
              <v:fill on="f" focussize="0,0"/>
              <v:stroke on="f"/>
              <v:imagedata o:title=""/>
              <o:lock v:ext="edit" aspectratio="f"/>
              <v:textbox inset="0mm,0mm,0mm,0mm" style="mso-fit-shape-to-text:t;">
                <w:txbxContent>
                  <w:p>
                    <w:pPr>
                      <w:pStyle w:val="17"/>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V+SdAAAAADAQAADwAAAAAAAAABACAAAAAiAAAAZHJz&#10;L2Rvd25yZXYueG1sUEsBAhQAFAAAAAgAh07iQLDaddgMAgAABQQAAA4AAAAAAAAAAQAgAAAAHwEA&#10;AGRycy9lMm9Eb2MueG1sUEsFBgAAAAAGAAYAWQEAAJ0FAAAAAA==&#10;">
              <v:fill on="f" focussize="0,0"/>
              <v:stroke on="f"/>
              <v:imagedata o:title=""/>
              <o:lock v:ext="edit" aspectratio="f"/>
              <v:textbox inset="0mm,0mm,0mm,0mm" style="mso-fit-shape-to-text:t;">
                <w:txbxContent>
                  <w:p>
                    <w:pPr>
                      <w:pStyle w:val="1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exact"/>
      <w:rPr>
        <w:rFonts w:ascii="仿宋_GB2312" w:hAnsi="宋体" w:eastAsia="仿宋_GB2312"/>
        <w:sz w:val="24"/>
        <w:szCs w:val="24"/>
      </w:rPr>
    </w:pPr>
    <w:r>
      <w:drawing>
        <wp:anchor distT="0" distB="0" distL="114300" distR="114300" simplePos="0" relativeHeight="251659264" behindDoc="1" locked="0" layoutInCell="1" allowOverlap="1">
          <wp:simplePos x="0" y="0"/>
          <wp:positionH relativeFrom="column">
            <wp:posOffset>-228600</wp:posOffset>
          </wp:positionH>
          <wp:positionV relativeFrom="paragraph">
            <wp:posOffset>-220345</wp:posOffset>
          </wp:positionV>
          <wp:extent cx="571500" cy="520065"/>
          <wp:effectExtent l="0" t="0" r="0" b="0"/>
          <wp:wrapNone/>
          <wp:docPr id="1026"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1500" cy="520065"/>
                  </a:xfrm>
                  <a:prstGeom prst="rect">
                    <a:avLst/>
                  </a:prstGeom>
                  <a:noFill/>
                  <a:ln>
                    <a:noFill/>
                  </a:ln>
                </pic:spPr>
              </pic:pic>
            </a:graphicData>
          </a:graphic>
        </wp:anchor>
      </w:drawing>
    </w:r>
    <w:r>
      <w:rPr>
        <w:rFonts w:hint="eastAsia" w:ascii="楷体_GB2312" w:eastAsia="楷体_GB2312"/>
        <w:sz w:val="21"/>
      </w:rPr>
      <w:t xml:space="preserve">   </w:t>
    </w:r>
    <w:r>
      <w:rPr>
        <w:rFonts w:hint="eastAsia" w:ascii="宋体" w:hAnsi="宋体"/>
        <w:sz w:val="24"/>
        <w:szCs w:val="24"/>
      </w:rPr>
      <w:t xml:space="preserve"> </w:t>
    </w:r>
    <w:r>
      <w:rPr>
        <w:rFonts w:hint="eastAsia" w:ascii="仿宋_GB2312" w:hAnsi="宋体" w:eastAsia="仿宋_GB2312"/>
        <w:sz w:val="24"/>
        <w:szCs w:val="24"/>
      </w:rPr>
      <w:t xml:space="preserve">  </w:t>
    </w:r>
    <w:r>
      <w:rPr>
        <w:rFonts w:hint="eastAsia" w:ascii="方正姚体" w:hAnsi="宋体" w:eastAsia="方正姚体"/>
        <w:b/>
        <w:sz w:val="24"/>
        <w:szCs w:val="24"/>
      </w:rPr>
      <w:t>明达评估宗旨</w:t>
    </w:r>
    <w:r>
      <w:rPr>
        <w:rFonts w:hint="eastAsia" w:ascii="方正姚体" w:hAnsi="宋体" w:eastAsia="方正姚体"/>
        <w:b/>
        <w:spacing w:val="-20"/>
        <w:sz w:val="24"/>
        <w:szCs w:val="24"/>
      </w:rPr>
      <w:t>：</w:t>
    </w:r>
    <w:r>
      <w:rPr>
        <w:rFonts w:hint="eastAsia" w:ascii="方正姚体" w:hAnsi="宋体" w:eastAsia="方正姚体"/>
        <w:b/>
        <w:sz w:val="24"/>
        <w:szCs w:val="24"/>
      </w:rPr>
      <w:t xml:space="preserve">“守法、公正、客观、科学”的原则 </w:t>
    </w:r>
    <w:r>
      <w:rPr>
        <w:rFonts w:hint="eastAsia" w:ascii="仿宋_GB2312" w:hAnsi="宋体" w:eastAsia="仿宋_GB2312"/>
        <w:sz w:val="24"/>
        <w:szCs w:val="24"/>
      </w:rPr>
      <w:t>电话:13506958911</w:t>
    </w:r>
  </w:p>
  <w:p>
    <w:pPr>
      <w:pStyle w:val="18"/>
      <w:spacing w:line="240" w:lineRule="exact"/>
      <w:rPr>
        <w:rFonts w:ascii="方正姚体" w:eastAsia="方正姚体"/>
        <w:b/>
      </w:rPr>
    </w:pPr>
    <w:r>
      <w:rPr>
        <w:rFonts w:hint="eastAsia" w:ascii="仿宋_GB2312" w:eastAsia="仿宋_GB2312"/>
      </w:rPr>
      <w:t xml:space="preserve">                             </w:t>
    </w:r>
    <w:r>
      <w:rPr>
        <w:rFonts w:hint="eastAsia" w:ascii="仿宋_GB2312" w:hAnsi="宋体" w:eastAsia="仿宋_GB2312"/>
        <w:sz w:val="24"/>
        <w:szCs w:val="24"/>
      </w:rPr>
      <w:t xml:space="preserve">                                    13905070038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F6D7F"/>
    <w:multiLevelType w:val="multilevel"/>
    <w:tmpl w:val="605F6D7F"/>
    <w:lvl w:ilvl="0" w:tentative="0">
      <w:start w:val="1"/>
      <w:numFmt w:val="decimal"/>
      <w:lvlText w:val="%1、"/>
      <w:lvlJc w:val="left"/>
      <w:pPr>
        <w:tabs>
          <w:tab w:val="left" w:pos="720"/>
        </w:tabs>
        <w:ind w:left="720" w:hanging="720"/>
      </w:pPr>
      <w:rPr>
        <w:rFonts w:hint="eastAsia"/>
      </w:rPr>
    </w:lvl>
    <w:lvl w:ilvl="1" w:tentative="0">
      <w:start w:val="1"/>
      <w:numFmt w:val="japaneseCounting"/>
      <w:lvlText w:val="（%2）"/>
      <w:lvlJc w:val="left"/>
      <w:pPr>
        <w:tabs>
          <w:tab w:val="left" w:pos="1275"/>
        </w:tabs>
        <w:ind w:left="1275" w:hanging="855"/>
      </w:pPr>
      <w:rPr>
        <w:rFonts w:hint="eastAsia"/>
      </w:rPr>
    </w:lvl>
    <w:lvl w:ilvl="2" w:tentative="0">
      <w:start w:val="1"/>
      <w:numFmt w:val="upperLetter"/>
      <w:pStyle w:val="4"/>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N2ZiMTg0MWUzMDEwZWRhMGE3NDRjODk4YTliZTgifQ=="/>
  </w:docVars>
  <w:rsids>
    <w:rsidRoot w:val="00EE0599"/>
    <w:rsid w:val="00000483"/>
    <w:rsid w:val="000007E0"/>
    <w:rsid w:val="00000ACB"/>
    <w:rsid w:val="00001039"/>
    <w:rsid w:val="00001E6F"/>
    <w:rsid w:val="00004C74"/>
    <w:rsid w:val="00005148"/>
    <w:rsid w:val="00005475"/>
    <w:rsid w:val="0000554A"/>
    <w:rsid w:val="00005A93"/>
    <w:rsid w:val="00006070"/>
    <w:rsid w:val="00006502"/>
    <w:rsid w:val="000067C8"/>
    <w:rsid w:val="00007427"/>
    <w:rsid w:val="0000756D"/>
    <w:rsid w:val="00007900"/>
    <w:rsid w:val="000079F2"/>
    <w:rsid w:val="000116AC"/>
    <w:rsid w:val="00011C56"/>
    <w:rsid w:val="00012F5E"/>
    <w:rsid w:val="000134BC"/>
    <w:rsid w:val="00013CCF"/>
    <w:rsid w:val="00013D41"/>
    <w:rsid w:val="00013EF0"/>
    <w:rsid w:val="0001477A"/>
    <w:rsid w:val="0001504B"/>
    <w:rsid w:val="00015124"/>
    <w:rsid w:val="0001587F"/>
    <w:rsid w:val="00015F04"/>
    <w:rsid w:val="000166C1"/>
    <w:rsid w:val="000168F8"/>
    <w:rsid w:val="000175C6"/>
    <w:rsid w:val="00017F2F"/>
    <w:rsid w:val="000215E5"/>
    <w:rsid w:val="0002201F"/>
    <w:rsid w:val="00023993"/>
    <w:rsid w:val="00023FB5"/>
    <w:rsid w:val="000245DB"/>
    <w:rsid w:val="00025A72"/>
    <w:rsid w:val="00026062"/>
    <w:rsid w:val="00026263"/>
    <w:rsid w:val="00026359"/>
    <w:rsid w:val="000266CF"/>
    <w:rsid w:val="000273B9"/>
    <w:rsid w:val="00027768"/>
    <w:rsid w:val="00030334"/>
    <w:rsid w:val="00030D14"/>
    <w:rsid w:val="00030FFE"/>
    <w:rsid w:val="000313DB"/>
    <w:rsid w:val="000318C8"/>
    <w:rsid w:val="000325F1"/>
    <w:rsid w:val="00033D77"/>
    <w:rsid w:val="000342FF"/>
    <w:rsid w:val="00035C76"/>
    <w:rsid w:val="0003689B"/>
    <w:rsid w:val="000377DC"/>
    <w:rsid w:val="000404D1"/>
    <w:rsid w:val="0004088B"/>
    <w:rsid w:val="000426B0"/>
    <w:rsid w:val="0004321F"/>
    <w:rsid w:val="00044100"/>
    <w:rsid w:val="000443EF"/>
    <w:rsid w:val="000446AA"/>
    <w:rsid w:val="0004608B"/>
    <w:rsid w:val="00046888"/>
    <w:rsid w:val="00046963"/>
    <w:rsid w:val="00047204"/>
    <w:rsid w:val="00047B06"/>
    <w:rsid w:val="0005097B"/>
    <w:rsid w:val="000509A7"/>
    <w:rsid w:val="000537BD"/>
    <w:rsid w:val="00054BA5"/>
    <w:rsid w:val="00055268"/>
    <w:rsid w:val="000557A9"/>
    <w:rsid w:val="00056447"/>
    <w:rsid w:val="000572B1"/>
    <w:rsid w:val="000578E1"/>
    <w:rsid w:val="00057FD5"/>
    <w:rsid w:val="000620B8"/>
    <w:rsid w:val="000621CD"/>
    <w:rsid w:val="0006253A"/>
    <w:rsid w:val="00062595"/>
    <w:rsid w:val="0006325F"/>
    <w:rsid w:val="00063E1F"/>
    <w:rsid w:val="000646AC"/>
    <w:rsid w:val="00065608"/>
    <w:rsid w:val="000656BF"/>
    <w:rsid w:val="000661A2"/>
    <w:rsid w:val="00067805"/>
    <w:rsid w:val="00067F8F"/>
    <w:rsid w:val="000705EC"/>
    <w:rsid w:val="000706AA"/>
    <w:rsid w:val="00070CA7"/>
    <w:rsid w:val="0007162E"/>
    <w:rsid w:val="00072F4D"/>
    <w:rsid w:val="000732F4"/>
    <w:rsid w:val="00074563"/>
    <w:rsid w:val="00074A27"/>
    <w:rsid w:val="00074CA9"/>
    <w:rsid w:val="00074E77"/>
    <w:rsid w:val="000754BD"/>
    <w:rsid w:val="000764E7"/>
    <w:rsid w:val="000775C3"/>
    <w:rsid w:val="00080158"/>
    <w:rsid w:val="00080428"/>
    <w:rsid w:val="00080447"/>
    <w:rsid w:val="000811A5"/>
    <w:rsid w:val="00081DA7"/>
    <w:rsid w:val="00082C1E"/>
    <w:rsid w:val="00082DA1"/>
    <w:rsid w:val="00083B28"/>
    <w:rsid w:val="0008415D"/>
    <w:rsid w:val="00084C5D"/>
    <w:rsid w:val="00084FC0"/>
    <w:rsid w:val="00085833"/>
    <w:rsid w:val="00085FCB"/>
    <w:rsid w:val="00086BE4"/>
    <w:rsid w:val="00086F60"/>
    <w:rsid w:val="00087F29"/>
    <w:rsid w:val="000905F7"/>
    <w:rsid w:val="000909C5"/>
    <w:rsid w:val="00090C31"/>
    <w:rsid w:val="00092CCF"/>
    <w:rsid w:val="000945F0"/>
    <w:rsid w:val="0009655E"/>
    <w:rsid w:val="000974AA"/>
    <w:rsid w:val="000A1531"/>
    <w:rsid w:val="000A16C8"/>
    <w:rsid w:val="000A1DC2"/>
    <w:rsid w:val="000A3219"/>
    <w:rsid w:val="000A3885"/>
    <w:rsid w:val="000A3E2A"/>
    <w:rsid w:val="000A44B6"/>
    <w:rsid w:val="000A4538"/>
    <w:rsid w:val="000A4DF6"/>
    <w:rsid w:val="000A4F91"/>
    <w:rsid w:val="000A562C"/>
    <w:rsid w:val="000A658F"/>
    <w:rsid w:val="000A6C79"/>
    <w:rsid w:val="000A764C"/>
    <w:rsid w:val="000A79A1"/>
    <w:rsid w:val="000B011A"/>
    <w:rsid w:val="000B0976"/>
    <w:rsid w:val="000B2490"/>
    <w:rsid w:val="000B27CC"/>
    <w:rsid w:val="000B4E8D"/>
    <w:rsid w:val="000B5313"/>
    <w:rsid w:val="000B56CF"/>
    <w:rsid w:val="000B601A"/>
    <w:rsid w:val="000B6212"/>
    <w:rsid w:val="000B6750"/>
    <w:rsid w:val="000B6B7C"/>
    <w:rsid w:val="000B6DA8"/>
    <w:rsid w:val="000B6FB4"/>
    <w:rsid w:val="000B700D"/>
    <w:rsid w:val="000B7167"/>
    <w:rsid w:val="000C1A66"/>
    <w:rsid w:val="000C3D27"/>
    <w:rsid w:val="000C56F0"/>
    <w:rsid w:val="000C5A7A"/>
    <w:rsid w:val="000C62C1"/>
    <w:rsid w:val="000C6C5E"/>
    <w:rsid w:val="000C793F"/>
    <w:rsid w:val="000C7BF2"/>
    <w:rsid w:val="000D0433"/>
    <w:rsid w:val="000D1F5A"/>
    <w:rsid w:val="000D30DC"/>
    <w:rsid w:val="000D35A5"/>
    <w:rsid w:val="000D4219"/>
    <w:rsid w:val="000D4F0C"/>
    <w:rsid w:val="000D6F08"/>
    <w:rsid w:val="000D74E4"/>
    <w:rsid w:val="000D7518"/>
    <w:rsid w:val="000E0170"/>
    <w:rsid w:val="000E047E"/>
    <w:rsid w:val="000E09B0"/>
    <w:rsid w:val="000E0CDF"/>
    <w:rsid w:val="000E1E26"/>
    <w:rsid w:val="000E48F2"/>
    <w:rsid w:val="000E52B3"/>
    <w:rsid w:val="000E589E"/>
    <w:rsid w:val="000E6A48"/>
    <w:rsid w:val="000E6CAD"/>
    <w:rsid w:val="000E776D"/>
    <w:rsid w:val="000F0D18"/>
    <w:rsid w:val="000F2472"/>
    <w:rsid w:val="000F24C7"/>
    <w:rsid w:val="000F420B"/>
    <w:rsid w:val="000F4EA4"/>
    <w:rsid w:val="000F59C6"/>
    <w:rsid w:val="000F6BB0"/>
    <w:rsid w:val="000F7B38"/>
    <w:rsid w:val="00100BA6"/>
    <w:rsid w:val="0010178C"/>
    <w:rsid w:val="001019CB"/>
    <w:rsid w:val="00101BF9"/>
    <w:rsid w:val="0010265D"/>
    <w:rsid w:val="00102E7C"/>
    <w:rsid w:val="00103867"/>
    <w:rsid w:val="001045C0"/>
    <w:rsid w:val="00104AC0"/>
    <w:rsid w:val="0010542E"/>
    <w:rsid w:val="00105BB4"/>
    <w:rsid w:val="00105BDE"/>
    <w:rsid w:val="00105FCB"/>
    <w:rsid w:val="001062E7"/>
    <w:rsid w:val="00106C36"/>
    <w:rsid w:val="0011101C"/>
    <w:rsid w:val="00112EDA"/>
    <w:rsid w:val="00113E02"/>
    <w:rsid w:val="001168E3"/>
    <w:rsid w:val="00116D22"/>
    <w:rsid w:val="0011702A"/>
    <w:rsid w:val="001171EE"/>
    <w:rsid w:val="00117E42"/>
    <w:rsid w:val="001203BE"/>
    <w:rsid w:val="00120663"/>
    <w:rsid w:val="001212B6"/>
    <w:rsid w:val="00122B35"/>
    <w:rsid w:val="00122BBD"/>
    <w:rsid w:val="00124858"/>
    <w:rsid w:val="00124E8A"/>
    <w:rsid w:val="00126B7F"/>
    <w:rsid w:val="00126CCA"/>
    <w:rsid w:val="00127EA1"/>
    <w:rsid w:val="00127F17"/>
    <w:rsid w:val="001309C5"/>
    <w:rsid w:val="00130AB8"/>
    <w:rsid w:val="00130FDA"/>
    <w:rsid w:val="001315E0"/>
    <w:rsid w:val="0013184E"/>
    <w:rsid w:val="00131B5C"/>
    <w:rsid w:val="00132DA3"/>
    <w:rsid w:val="00133F70"/>
    <w:rsid w:val="00134336"/>
    <w:rsid w:val="001343FA"/>
    <w:rsid w:val="00135838"/>
    <w:rsid w:val="00135B9B"/>
    <w:rsid w:val="0013633E"/>
    <w:rsid w:val="00136405"/>
    <w:rsid w:val="00137F12"/>
    <w:rsid w:val="00140296"/>
    <w:rsid w:val="00140866"/>
    <w:rsid w:val="00140B92"/>
    <w:rsid w:val="00140FD3"/>
    <w:rsid w:val="00141D9D"/>
    <w:rsid w:val="0014246B"/>
    <w:rsid w:val="001425F1"/>
    <w:rsid w:val="00144F11"/>
    <w:rsid w:val="001452A3"/>
    <w:rsid w:val="00145720"/>
    <w:rsid w:val="0014680F"/>
    <w:rsid w:val="001468A0"/>
    <w:rsid w:val="00146B1C"/>
    <w:rsid w:val="001505A6"/>
    <w:rsid w:val="001511D1"/>
    <w:rsid w:val="001516B7"/>
    <w:rsid w:val="001518AB"/>
    <w:rsid w:val="00152761"/>
    <w:rsid w:val="00152A96"/>
    <w:rsid w:val="0015300E"/>
    <w:rsid w:val="00153BC0"/>
    <w:rsid w:val="00153BEE"/>
    <w:rsid w:val="001554FE"/>
    <w:rsid w:val="001565C9"/>
    <w:rsid w:val="001565DF"/>
    <w:rsid w:val="001601AD"/>
    <w:rsid w:val="00160201"/>
    <w:rsid w:val="00160510"/>
    <w:rsid w:val="0016138E"/>
    <w:rsid w:val="00161A90"/>
    <w:rsid w:val="00161BCC"/>
    <w:rsid w:val="001635E7"/>
    <w:rsid w:val="0016385E"/>
    <w:rsid w:val="001641EA"/>
    <w:rsid w:val="001648EC"/>
    <w:rsid w:val="00166754"/>
    <w:rsid w:val="0016769B"/>
    <w:rsid w:val="0016783E"/>
    <w:rsid w:val="00167BA4"/>
    <w:rsid w:val="0017008C"/>
    <w:rsid w:val="0017144C"/>
    <w:rsid w:val="001716A8"/>
    <w:rsid w:val="00172412"/>
    <w:rsid w:val="00173F16"/>
    <w:rsid w:val="00174333"/>
    <w:rsid w:val="00174AC1"/>
    <w:rsid w:val="00175775"/>
    <w:rsid w:val="00175823"/>
    <w:rsid w:val="001758E4"/>
    <w:rsid w:val="00175E86"/>
    <w:rsid w:val="001765FE"/>
    <w:rsid w:val="00177BA8"/>
    <w:rsid w:val="00177ECD"/>
    <w:rsid w:val="0018002A"/>
    <w:rsid w:val="00180CBE"/>
    <w:rsid w:val="00181CEC"/>
    <w:rsid w:val="00181E5C"/>
    <w:rsid w:val="0018210C"/>
    <w:rsid w:val="00182573"/>
    <w:rsid w:val="001828B0"/>
    <w:rsid w:val="0018305A"/>
    <w:rsid w:val="00183570"/>
    <w:rsid w:val="00183AB7"/>
    <w:rsid w:val="00183B11"/>
    <w:rsid w:val="00183E5E"/>
    <w:rsid w:val="0018492C"/>
    <w:rsid w:val="00185019"/>
    <w:rsid w:val="001851C6"/>
    <w:rsid w:val="00185425"/>
    <w:rsid w:val="001858C3"/>
    <w:rsid w:val="00186D69"/>
    <w:rsid w:val="00187BB5"/>
    <w:rsid w:val="00187D83"/>
    <w:rsid w:val="00190282"/>
    <w:rsid w:val="00190672"/>
    <w:rsid w:val="00191D79"/>
    <w:rsid w:val="00191DF7"/>
    <w:rsid w:val="00191EDA"/>
    <w:rsid w:val="001920A9"/>
    <w:rsid w:val="00192810"/>
    <w:rsid w:val="00192815"/>
    <w:rsid w:val="00192851"/>
    <w:rsid w:val="00192A31"/>
    <w:rsid w:val="00193153"/>
    <w:rsid w:val="0019317E"/>
    <w:rsid w:val="00193FF1"/>
    <w:rsid w:val="001941A5"/>
    <w:rsid w:val="00194674"/>
    <w:rsid w:val="00194D0A"/>
    <w:rsid w:val="001950EC"/>
    <w:rsid w:val="00195647"/>
    <w:rsid w:val="00195653"/>
    <w:rsid w:val="00195926"/>
    <w:rsid w:val="0019698D"/>
    <w:rsid w:val="00196E4F"/>
    <w:rsid w:val="00197A70"/>
    <w:rsid w:val="001A1919"/>
    <w:rsid w:val="001A26C8"/>
    <w:rsid w:val="001A4D3C"/>
    <w:rsid w:val="001A5049"/>
    <w:rsid w:val="001A54CA"/>
    <w:rsid w:val="001A6359"/>
    <w:rsid w:val="001A6CB1"/>
    <w:rsid w:val="001A6F71"/>
    <w:rsid w:val="001A716A"/>
    <w:rsid w:val="001A74D2"/>
    <w:rsid w:val="001A7685"/>
    <w:rsid w:val="001A7A59"/>
    <w:rsid w:val="001B01C6"/>
    <w:rsid w:val="001B0D5A"/>
    <w:rsid w:val="001B1B23"/>
    <w:rsid w:val="001B274C"/>
    <w:rsid w:val="001B293C"/>
    <w:rsid w:val="001B2AC2"/>
    <w:rsid w:val="001B3D1E"/>
    <w:rsid w:val="001B454D"/>
    <w:rsid w:val="001B4595"/>
    <w:rsid w:val="001B45FB"/>
    <w:rsid w:val="001B4B1A"/>
    <w:rsid w:val="001B51A0"/>
    <w:rsid w:val="001B52D2"/>
    <w:rsid w:val="001B546B"/>
    <w:rsid w:val="001B5C56"/>
    <w:rsid w:val="001B6C68"/>
    <w:rsid w:val="001B7C14"/>
    <w:rsid w:val="001B7C48"/>
    <w:rsid w:val="001C0324"/>
    <w:rsid w:val="001C1960"/>
    <w:rsid w:val="001C3048"/>
    <w:rsid w:val="001C38C7"/>
    <w:rsid w:val="001C415F"/>
    <w:rsid w:val="001C583C"/>
    <w:rsid w:val="001C667C"/>
    <w:rsid w:val="001C6903"/>
    <w:rsid w:val="001C6D1F"/>
    <w:rsid w:val="001C7575"/>
    <w:rsid w:val="001C7C89"/>
    <w:rsid w:val="001D0197"/>
    <w:rsid w:val="001D046C"/>
    <w:rsid w:val="001D18B9"/>
    <w:rsid w:val="001D20C5"/>
    <w:rsid w:val="001D2D4D"/>
    <w:rsid w:val="001D33E6"/>
    <w:rsid w:val="001D3EC9"/>
    <w:rsid w:val="001D4521"/>
    <w:rsid w:val="001D4A7D"/>
    <w:rsid w:val="001D5E43"/>
    <w:rsid w:val="001D636A"/>
    <w:rsid w:val="001D69AE"/>
    <w:rsid w:val="001D6A08"/>
    <w:rsid w:val="001D6BF4"/>
    <w:rsid w:val="001D6DA9"/>
    <w:rsid w:val="001D6EA1"/>
    <w:rsid w:val="001D7C87"/>
    <w:rsid w:val="001D7CE8"/>
    <w:rsid w:val="001E0287"/>
    <w:rsid w:val="001E0799"/>
    <w:rsid w:val="001E0DF8"/>
    <w:rsid w:val="001E300E"/>
    <w:rsid w:val="001E3C9B"/>
    <w:rsid w:val="001E50F6"/>
    <w:rsid w:val="001E5F92"/>
    <w:rsid w:val="001E61E2"/>
    <w:rsid w:val="001E676F"/>
    <w:rsid w:val="001E6876"/>
    <w:rsid w:val="001F0024"/>
    <w:rsid w:val="001F0B4D"/>
    <w:rsid w:val="001F152B"/>
    <w:rsid w:val="001F1DFC"/>
    <w:rsid w:val="001F2B84"/>
    <w:rsid w:val="001F325C"/>
    <w:rsid w:val="001F420A"/>
    <w:rsid w:val="001F4F64"/>
    <w:rsid w:val="001F4F74"/>
    <w:rsid w:val="001F650E"/>
    <w:rsid w:val="001F7187"/>
    <w:rsid w:val="001F7788"/>
    <w:rsid w:val="001F7B7B"/>
    <w:rsid w:val="0020002E"/>
    <w:rsid w:val="00201003"/>
    <w:rsid w:val="002020C5"/>
    <w:rsid w:val="00202929"/>
    <w:rsid w:val="00202F7F"/>
    <w:rsid w:val="00203489"/>
    <w:rsid w:val="00203C60"/>
    <w:rsid w:val="00204A81"/>
    <w:rsid w:val="00204FB5"/>
    <w:rsid w:val="002063B9"/>
    <w:rsid w:val="00206C79"/>
    <w:rsid w:val="00207317"/>
    <w:rsid w:val="002079EB"/>
    <w:rsid w:val="00207A40"/>
    <w:rsid w:val="00207FC0"/>
    <w:rsid w:val="00211236"/>
    <w:rsid w:val="002113D4"/>
    <w:rsid w:val="002119FF"/>
    <w:rsid w:val="00211FC3"/>
    <w:rsid w:val="0021488C"/>
    <w:rsid w:val="002154D1"/>
    <w:rsid w:val="00215DAF"/>
    <w:rsid w:val="002178BF"/>
    <w:rsid w:val="00221761"/>
    <w:rsid w:val="0022218C"/>
    <w:rsid w:val="00222A2F"/>
    <w:rsid w:val="00222BE5"/>
    <w:rsid w:val="00222C0E"/>
    <w:rsid w:val="0022469E"/>
    <w:rsid w:val="00225567"/>
    <w:rsid w:val="002259F3"/>
    <w:rsid w:val="00225BFE"/>
    <w:rsid w:val="00225C02"/>
    <w:rsid w:val="00225CA1"/>
    <w:rsid w:val="00225E3B"/>
    <w:rsid w:val="00225EBB"/>
    <w:rsid w:val="00226CA8"/>
    <w:rsid w:val="00226FE2"/>
    <w:rsid w:val="002272D9"/>
    <w:rsid w:val="0022735A"/>
    <w:rsid w:val="002277E2"/>
    <w:rsid w:val="00230815"/>
    <w:rsid w:val="00230C30"/>
    <w:rsid w:val="00230F13"/>
    <w:rsid w:val="00230F17"/>
    <w:rsid w:val="00230F87"/>
    <w:rsid w:val="0023268A"/>
    <w:rsid w:val="002329DD"/>
    <w:rsid w:val="0023300F"/>
    <w:rsid w:val="002342FB"/>
    <w:rsid w:val="002345C8"/>
    <w:rsid w:val="00235F98"/>
    <w:rsid w:val="002362DE"/>
    <w:rsid w:val="002363BB"/>
    <w:rsid w:val="00236449"/>
    <w:rsid w:val="00240B8E"/>
    <w:rsid w:val="00240F25"/>
    <w:rsid w:val="0024122C"/>
    <w:rsid w:val="0024150F"/>
    <w:rsid w:val="00241B3A"/>
    <w:rsid w:val="00242084"/>
    <w:rsid w:val="00242381"/>
    <w:rsid w:val="00242A22"/>
    <w:rsid w:val="002455C9"/>
    <w:rsid w:val="00246F38"/>
    <w:rsid w:val="00247077"/>
    <w:rsid w:val="002504E3"/>
    <w:rsid w:val="002504FF"/>
    <w:rsid w:val="00250999"/>
    <w:rsid w:val="002510D7"/>
    <w:rsid w:val="00251801"/>
    <w:rsid w:val="002527A6"/>
    <w:rsid w:val="00253ABF"/>
    <w:rsid w:val="0025500A"/>
    <w:rsid w:val="002553E3"/>
    <w:rsid w:val="00255FF5"/>
    <w:rsid w:val="00256A12"/>
    <w:rsid w:val="00256B7E"/>
    <w:rsid w:val="0025706D"/>
    <w:rsid w:val="00257155"/>
    <w:rsid w:val="002601AB"/>
    <w:rsid w:val="00261210"/>
    <w:rsid w:val="002621D2"/>
    <w:rsid w:val="00262771"/>
    <w:rsid w:val="00262C1C"/>
    <w:rsid w:val="0026454B"/>
    <w:rsid w:val="00264945"/>
    <w:rsid w:val="00264CAE"/>
    <w:rsid w:val="00266A11"/>
    <w:rsid w:val="00266A5F"/>
    <w:rsid w:val="00266BC5"/>
    <w:rsid w:val="00267BC7"/>
    <w:rsid w:val="00270329"/>
    <w:rsid w:val="002706BE"/>
    <w:rsid w:val="002706D0"/>
    <w:rsid w:val="00270E3E"/>
    <w:rsid w:val="00271439"/>
    <w:rsid w:val="00271928"/>
    <w:rsid w:val="00273BDB"/>
    <w:rsid w:val="002741D8"/>
    <w:rsid w:val="0027440A"/>
    <w:rsid w:val="00274B03"/>
    <w:rsid w:val="002753D0"/>
    <w:rsid w:val="0027650B"/>
    <w:rsid w:val="00276834"/>
    <w:rsid w:val="00277B00"/>
    <w:rsid w:val="00280351"/>
    <w:rsid w:val="00280990"/>
    <w:rsid w:val="00281287"/>
    <w:rsid w:val="002818E8"/>
    <w:rsid w:val="00282FF0"/>
    <w:rsid w:val="00283D45"/>
    <w:rsid w:val="00284024"/>
    <w:rsid w:val="002840BD"/>
    <w:rsid w:val="00284A01"/>
    <w:rsid w:val="0028515D"/>
    <w:rsid w:val="00285243"/>
    <w:rsid w:val="002868F6"/>
    <w:rsid w:val="00286A01"/>
    <w:rsid w:val="00286D0C"/>
    <w:rsid w:val="00287BAE"/>
    <w:rsid w:val="002906D1"/>
    <w:rsid w:val="00291CA8"/>
    <w:rsid w:val="00292FEB"/>
    <w:rsid w:val="00295661"/>
    <w:rsid w:val="002961C1"/>
    <w:rsid w:val="00296F45"/>
    <w:rsid w:val="00297064"/>
    <w:rsid w:val="002A06E5"/>
    <w:rsid w:val="002A08D3"/>
    <w:rsid w:val="002A0AA5"/>
    <w:rsid w:val="002A1305"/>
    <w:rsid w:val="002A18D6"/>
    <w:rsid w:val="002A1ECA"/>
    <w:rsid w:val="002A2309"/>
    <w:rsid w:val="002A3C58"/>
    <w:rsid w:val="002A3E88"/>
    <w:rsid w:val="002A4118"/>
    <w:rsid w:val="002A5733"/>
    <w:rsid w:val="002A5CA3"/>
    <w:rsid w:val="002A6B2C"/>
    <w:rsid w:val="002A6B86"/>
    <w:rsid w:val="002A71DF"/>
    <w:rsid w:val="002A7686"/>
    <w:rsid w:val="002A7D9C"/>
    <w:rsid w:val="002A7FB1"/>
    <w:rsid w:val="002B02DC"/>
    <w:rsid w:val="002B0F40"/>
    <w:rsid w:val="002B14DF"/>
    <w:rsid w:val="002B165C"/>
    <w:rsid w:val="002B20D2"/>
    <w:rsid w:val="002B5710"/>
    <w:rsid w:val="002B6744"/>
    <w:rsid w:val="002B6A0B"/>
    <w:rsid w:val="002B6F67"/>
    <w:rsid w:val="002B7AE5"/>
    <w:rsid w:val="002C049F"/>
    <w:rsid w:val="002C29DD"/>
    <w:rsid w:val="002C2BC6"/>
    <w:rsid w:val="002C3903"/>
    <w:rsid w:val="002C393F"/>
    <w:rsid w:val="002C3C42"/>
    <w:rsid w:val="002C3C88"/>
    <w:rsid w:val="002C5A2D"/>
    <w:rsid w:val="002C5E51"/>
    <w:rsid w:val="002C7770"/>
    <w:rsid w:val="002C7B96"/>
    <w:rsid w:val="002D1430"/>
    <w:rsid w:val="002D1557"/>
    <w:rsid w:val="002D1CC6"/>
    <w:rsid w:val="002D1F10"/>
    <w:rsid w:val="002D23F0"/>
    <w:rsid w:val="002D3542"/>
    <w:rsid w:val="002D38A2"/>
    <w:rsid w:val="002D3ADE"/>
    <w:rsid w:val="002D3F7F"/>
    <w:rsid w:val="002D47BF"/>
    <w:rsid w:val="002D55E9"/>
    <w:rsid w:val="002D6B7C"/>
    <w:rsid w:val="002D6FB8"/>
    <w:rsid w:val="002E0753"/>
    <w:rsid w:val="002E11E5"/>
    <w:rsid w:val="002E17E2"/>
    <w:rsid w:val="002E2A66"/>
    <w:rsid w:val="002E35CE"/>
    <w:rsid w:val="002E35D9"/>
    <w:rsid w:val="002E3798"/>
    <w:rsid w:val="002E3C82"/>
    <w:rsid w:val="002E4EAA"/>
    <w:rsid w:val="002E574A"/>
    <w:rsid w:val="002E6189"/>
    <w:rsid w:val="002E65E4"/>
    <w:rsid w:val="002E6899"/>
    <w:rsid w:val="002E7108"/>
    <w:rsid w:val="002F0729"/>
    <w:rsid w:val="002F0A15"/>
    <w:rsid w:val="002F2212"/>
    <w:rsid w:val="002F2976"/>
    <w:rsid w:val="002F3219"/>
    <w:rsid w:val="002F326A"/>
    <w:rsid w:val="002F4247"/>
    <w:rsid w:val="002F46E4"/>
    <w:rsid w:val="002F5638"/>
    <w:rsid w:val="002F5A53"/>
    <w:rsid w:val="002F6252"/>
    <w:rsid w:val="002F66BB"/>
    <w:rsid w:val="002F7A43"/>
    <w:rsid w:val="002F7FBB"/>
    <w:rsid w:val="00300047"/>
    <w:rsid w:val="0030057A"/>
    <w:rsid w:val="00301F1C"/>
    <w:rsid w:val="003029EC"/>
    <w:rsid w:val="0030355F"/>
    <w:rsid w:val="00304BEA"/>
    <w:rsid w:val="00304D1F"/>
    <w:rsid w:val="0030509B"/>
    <w:rsid w:val="00305DFA"/>
    <w:rsid w:val="003063B2"/>
    <w:rsid w:val="003064DF"/>
    <w:rsid w:val="00311CBF"/>
    <w:rsid w:val="00313428"/>
    <w:rsid w:val="00313D60"/>
    <w:rsid w:val="00313DAA"/>
    <w:rsid w:val="00315C09"/>
    <w:rsid w:val="00320599"/>
    <w:rsid w:val="003224FC"/>
    <w:rsid w:val="003225C6"/>
    <w:rsid w:val="0032355A"/>
    <w:rsid w:val="003251DA"/>
    <w:rsid w:val="003257F8"/>
    <w:rsid w:val="00325FDF"/>
    <w:rsid w:val="00326E96"/>
    <w:rsid w:val="003300BF"/>
    <w:rsid w:val="00330DB5"/>
    <w:rsid w:val="00334364"/>
    <w:rsid w:val="00335FAC"/>
    <w:rsid w:val="00336848"/>
    <w:rsid w:val="00337909"/>
    <w:rsid w:val="0034022F"/>
    <w:rsid w:val="003407F4"/>
    <w:rsid w:val="00340DCB"/>
    <w:rsid w:val="00342855"/>
    <w:rsid w:val="00342CE4"/>
    <w:rsid w:val="003449CE"/>
    <w:rsid w:val="00344AFC"/>
    <w:rsid w:val="00346264"/>
    <w:rsid w:val="00346311"/>
    <w:rsid w:val="00346611"/>
    <w:rsid w:val="00346A90"/>
    <w:rsid w:val="00347390"/>
    <w:rsid w:val="0034757E"/>
    <w:rsid w:val="00347CD1"/>
    <w:rsid w:val="00350394"/>
    <w:rsid w:val="00350A69"/>
    <w:rsid w:val="00350D54"/>
    <w:rsid w:val="003512D4"/>
    <w:rsid w:val="00351A29"/>
    <w:rsid w:val="00351EE0"/>
    <w:rsid w:val="003527F3"/>
    <w:rsid w:val="00353184"/>
    <w:rsid w:val="00353769"/>
    <w:rsid w:val="00354BD1"/>
    <w:rsid w:val="00355702"/>
    <w:rsid w:val="003558E9"/>
    <w:rsid w:val="00355E79"/>
    <w:rsid w:val="00355FFC"/>
    <w:rsid w:val="00356D98"/>
    <w:rsid w:val="00357258"/>
    <w:rsid w:val="00357320"/>
    <w:rsid w:val="00357699"/>
    <w:rsid w:val="00357BE9"/>
    <w:rsid w:val="00360295"/>
    <w:rsid w:val="00360521"/>
    <w:rsid w:val="003606A5"/>
    <w:rsid w:val="00360FFD"/>
    <w:rsid w:val="00361CEE"/>
    <w:rsid w:val="00362089"/>
    <w:rsid w:val="00362868"/>
    <w:rsid w:val="00363B0D"/>
    <w:rsid w:val="003648FE"/>
    <w:rsid w:val="00364ABE"/>
    <w:rsid w:val="00365AEB"/>
    <w:rsid w:val="003670D2"/>
    <w:rsid w:val="003703EB"/>
    <w:rsid w:val="003703F3"/>
    <w:rsid w:val="00371C1D"/>
    <w:rsid w:val="00371F2A"/>
    <w:rsid w:val="003728C9"/>
    <w:rsid w:val="00373785"/>
    <w:rsid w:val="00374B12"/>
    <w:rsid w:val="00376126"/>
    <w:rsid w:val="003762B9"/>
    <w:rsid w:val="0037656B"/>
    <w:rsid w:val="00376705"/>
    <w:rsid w:val="00376A61"/>
    <w:rsid w:val="003801F3"/>
    <w:rsid w:val="00380990"/>
    <w:rsid w:val="00380999"/>
    <w:rsid w:val="00380BFB"/>
    <w:rsid w:val="0038208F"/>
    <w:rsid w:val="00382C22"/>
    <w:rsid w:val="003830BE"/>
    <w:rsid w:val="00385055"/>
    <w:rsid w:val="003850CF"/>
    <w:rsid w:val="003855A4"/>
    <w:rsid w:val="00386602"/>
    <w:rsid w:val="00386644"/>
    <w:rsid w:val="00387511"/>
    <w:rsid w:val="00390953"/>
    <w:rsid w:val="00390E7E"/>
    <w:rsid w:val="00391CB8"/>
    <w:rsid w:val="00391F14"/>
    <w:rsid w:val="00392970"/>
    <w:rsid w:val="00392D28"/>
    <w:rsid w:val="003935F8"/>
    <w:rsid w:val="003938D8"/>
    <w:rsid w:val="00393D81"/>
    <w:rsid w:val="00393E73"/>
    <w:rsid w:val="003953EE"/>
    <w:rsid w:val="00396261"/>
    <w:rsid w:val="00397B66"/>
    <w:rsid w:val="00397F89"/>
    <w:rsid w:val="003A008A"/>
    <w:rsid w:val="003A0451"/>
    <w:rsid w:val="003A0B0B"/>
    <w:rsid w:val="003A1BDE"/>
    <w:rsid w:val="003A1CED"/>
    <w:rsid w:val="003A1E06"/>
    <w:rsid w:val="003A276C"/>
    <w:rsid w:val="003A29CE"/>
    <w:rsid w:val="003A3116"/>
    <w:rsid w:val="003A325D"/>
    <w:rsid w:val="003A3B08"/>
    <w:rsid w:val="003A3D77"/>
    <w:rsid w:val="003A4850"/>
    <w:rsid w:val="003A48E1"/>
    <w:rsid w:val="003A493D"/>
    <w:rsid w:val="003A4A9F"/>
    <w:rsid w:val="003A6190"/>
    <w:rsid w:val="003A6F75"/>
    <w:rsid w:val="003A7302"/>
    <w:rsid w:val="003A7B04"/>
    <w:rsid w:val="003B209F"/>
    <w:rsid w:val="003B3ED8"/>
    <w:rsid w:val="003B3F3D"/>
    <w:rsid w:val="003B4C25"/>
    <w:rsid w:val="003B5394"/>
    <w:rsid w:val="003B5EE7"/>
    <w:rsid w:val="003B605F"/>
    <w:rsid w:val="003B71DD"/>
    <w:rsid w:val="003B7614"/>
    <w:rsid w:val="003C0078"/>
    <w:rsid w:val="003C0D8D"/>
    <w:rsid w:val="003C2262"/>
    <w:rsid w:val="003C2B49"/>
    <w:rsid w:val="003C2CB0"/>
    <w:rsid w:val="003C343A"/>
    <w:rsid w:val="003C46CE"/>
    <w:rsid w:val="003C46F3"/>
    <w:rsid w:val="003C4908"/>
    <w:rsid w:val="003C6931"/>
    <w:rsid w:val="003C78C8"/>
    <w:rsid w:val="003C7F2B"/>
    <w:rsid w:val="003D0586"/>
    <w:rsid w:val="003D0DCC"/>
    <w:rsid w:val="003D0FA9"/>
    <w:rsid w:val="003D23A0"/>
    <w:rsid w:val="003D5BFE"/>
    <w:rsid w:val="003D688A"/>
    <w:rsid w:val="003D7A26"/>
    <w:rsid w:val="003E12EB"/>
    <w:rsid w:val="003E144E"/>
    <w:rsid w:val="003E2503"/>
    <w:rsid w:val="003E467E"/>
    <w:rsid w:val="003E46A3"/>
    <w:rsid w:val="003E56C8"/>
    <w:rsid w:val="003E5726"/>
    <w:rsid w:val="003E58B1"/>
    <w:rsid w:val="003E5E3F"/>
    <w:rsid w:val="003E6137"/>
    <w:rsid w:val="003E64AA"/>
    <w:rsid w:val="003E746A"/>
    <w:rsid w:val="003F048B"/>
    <w:rsid w:val="003F0524"/>
    <w:rsid w:val="003F264C"/>
    <w:rsid w:val="003F2762"/>
    <w:rsid w:val="003F36C1"/>
    <w:rsid w:val="003F39C6"/>
    <w:rsid w:val="003F41D6"/>
    <w:rsid w:val="003F4380"/>
    <w:rsid w:val="003F557B"/>
    <w:rsid w:val="003F5AC2"/>
    <w:rsid w:val="003F6D94"/>
    <w:rsid w:val="003F774B"/>
    <w:rsid w:val="003F7A2D"/>
    <w:rsid w:val="004002B9"/>
    <w:rsid w:val="00401B4D"/>
    <w:rsid w:val="00403A0E"/>
    <w:rsid w:val="004040B7"/>
    <w:rsid w:val="00405FE9"/>
    <w:rsid w:val="004079A9"/>
    <w:rsid w:val="00407ACD"/>
    <w:rsid w:val="00407DE9"/>
    <w:rsid w:val="004101DA"/>
    <w:rsid w:val="00410499"/>
    <w:rsid w:val="00410807"/>
    <w:rsid w:val="0041113E"/>
    <w:rsid w:val="004118E4"/>
    <w:rsid w:val="004121DC"/>
    <w:rsid w:val="00412A27"/>
    <w:rsid w:val="004148C6"/>
    <w:rsid w:val="00415499"/>
    <w:rsid w:val="004161C7"/>
    <w:rsid w:val="004164DD"/>
    <w:rsid w:val="0042063A"/>
    <w:rsid w:val="004206C4"/>
    <w:rsid w:val="00420F30"/>
    <w:rsid w:val="00421939"/>
    <w:rsid w:val="004236A6"/>
    <w:rsid w:val="00424A57"/>
    <w:rsid w:val="00424A9B"/>
    <w:rsid w:val="004266F5"/>
    <w:rsid w:val="00426EBF"/>
    <w:rsid w:val="004271F5"/>
    <w:rsid w:val="00430F7F"/>
    <w:rsid w:val="00431401"/>
    <w:rsid w:val="0043246E"/>
    <w:rsid w:val="00432595"/>
    <w:rsid w:val="00432AEF"/>
    <w:rsid w:val="00433200"/>
    <w:rsid w:val="004339DB"/>
    <w:rsid w:val="00434EB3"/>
    <w:rsid w:val="00435021"/>
    <w:rsid w:val="00440137"/>
    <w:rsid w:val="00440720"/>
    <w:rsid w:val="00440EF1"/>
    <w:rsid w:val="0044175E"/>
    <w:rsid w:val="00441D40"/>
    <w:rsid w:val="004432C3"/>
    <w:rsid w:val="0044356E"/>
    <w:rsid w:val="00446403"/>
    <w:rsid w:val="0044677F"/>
    <w:rsid w:val="00446EF0"/>
    <w:rsid w:val="0044784E"/>
    <w:rsid w:val="004514A7"/>
    <w:rsid w:val="004516D2"/>
    <w:rsid w:val="004522CB"/>
    <w:rsid w:val="00452396"/>
    <w:rsid w:val="0045305E"/>
    <w:rsid w:val="00453E1A"/>
    <w:rsid w:val="00453F08"/>
    <w:rsid w:val="00454C56"/>
    <w:rsid w:val="00454D4C"/>
    <w:rsid w:val="004563D9"/>
    <w:rsid w:val="0045651A"/>
    <w:rsid w:val="0045665D"/>
    <w:rsid w:val="00456815"/>
    <w:rsid w:val="0045684A"/>
    <w:rsid w:val="00457FA3"/>
    <w:rsid w:val="00460BE0"/>
    <w:rsid w:val="00461268"/>
    <w:rsid w:val="0046356A"/>
    <w:rsid w:val="004635F1"/>
    <w:rsid w:val="00463ACD"/>
    <w:rsid w:val="00464237"/>
    <w:rsid w:val="00464691"/>
    <w:rsid w:val="004647C1"/>
    <w:rsid w:val="00464838"/>
    <w:rsid w:val="00465529"/>
    <w:rsid w:val="00465A09"/>
    <w:rsid w:val="00465A32"/>
    <w:rsid w:val="004666DC"/>
    <w:rsid w:val="00466931"/>
    <w:rsid w:val="00466A07"/>
    <w:rsid w:val="00466B64"/>
    <w:rsid w:val="004679CB"/>
    <w:rsid w:val="00467FA6"/>
    <w:rsid w:val="00467FFB"/>
    <w:rsid w:val="004709E2"/>
    <w:rsid w:val="00470CC3"/>
    <w:rsid w:val="00472682"/>
    <w:rsid w:val="004727CB"/>
    <w:rsid w:val="004730FF"/>
    <w:rsid w:val="004733B2"/>
    <w:rsid w:val="004734C0"/>
    <w:rsid w:val="004734DE"/>
    <w:rsid w:val="004737AB"/>
    <w:rsid w:val="00473A9C"/>
    <w:rsid w:val="0047410F"/>
    <w:rsid w:val="004749A1"/>
    <w:rsid w:val="00474B52"/>
    <w:rsid w:val="00474D50"/>
    <w:rsid w:val="00475C95"/>
    <w:rsid w:val="00476AA4"/>
    <w:rsid w:val="00477BC7"/>
    <w:rsid w:val="00480B91"/>
    <w:rsid w:val="00480F25"/>
    <w:rsid w:val="0048185B"/>
    <w:rsid w:val="0048243F"/>
    <w:rsid w:val="004825EE"/>
    <w:rsid w:val="00482720"/>
    <w:rsid w:val="00484593"/>
    <w:rsid w:val="00484EEF"/>
    <w:rsid w:val="004852F0"/>
    <w:rsid w:val="004877C6"/>
    <w:rsid w:val="00487B1E"/>
    <w:rsid w:val="00490448"/>
    <w:rsid w:val="0049052C"/>
    <w:rsid w:val="0049059B"/>
    <w:rsid w:val="00490712"/>
    <w:rsid w:val="0049424A"/>
    <w:rsid w:val="004945F1"/>
    <w:rsid w:val="00496A22"/>
    <w:rsid w:val="00497B9E"/>
    <w:rsid w:val="00497BA8"/>
    <w:rsid w:val="00497DEE"/>
    <w:rsid w:val="004A05F5"/>
    <w:rsid w:val="004A0823"/>
    <w:rsid w:val="004A098A"/>
    <w:rsid w:val="004A12BF"/>
    <w:rsid w:val="004A1606"/>
    <w:rsid w:val="004A1886"/>
    <w:rsid w:val="004A1960"/>
    <w:rsid w:val="004A425C"/>
    <w:rsid w:val="004A433B"/>
    <w:rsid w:val="004A43B4"/>
    <w:rsid w:val="004A4768"/>
    <w:rsid w:val="004A4BCB"/>
    <w:rsid w:val="004A4DE3"/>
    <w:rsid w:val="004A5107"/>
    <w:rsid w:val="004A54F3"/>
    <w:rsid w:val="004A62B9"/>
    <w:rsid w:val="004A6F1E"/>
    <w:rsid w:val="004A7293"/>
    <w:rsid w:val="004B00EB"/>
    <w:rsid w:val="004B036D"/>
    <w:rsid w:val="004B1F8E"/>
    <w:rsid w:val="004B234A"/>
    <w:rsid w:val="004B2698"/>
    <w:rsid w:val="004B2987"/>
    <w:rsid w:val="004B2E3B"/>
    <w:rsid w:val="004B35C1"/>
    <w:rsid w:val="004B369F"/>
    <w:rsid w:val="004B36CE"/>
    <w:rsid w:val="004B39EA"/>
    <w:rsid w:val="004B3D98"/>
    <w:rsid w:val="004B4091"/>
    <w:rsid w:val="004B41C7"/>
    <w:rsid w:val="004B471B"/>
    <w:rsid w:val="004B4E99"/>
    <w:rsid w:val="004B52B2"/>
    <w:rsid w:val="004B5504"/>
    <w:rsid w:val="004B5575"/>
    <w:rsid w:val="004B58F4"/>
    <w:rsid w:val="004C11F4"/>
    <w:rsid w:val="004C12E2"/>
    <w:rsid w:val="004C15D1"/>
    <w:rsid w:val="004C297F"/>
    <w:rsid w:val="004C42A8"/>
    <w:rsid w:val="004C5346"/>
    <w:rsid w:val="004C54F8"/>
    <w:rsid w:val="004C5878"/>
    <w:rsid w:val="004C6967"/>
    <w:rsid w:val="004C6F1B"/>
    <w:rsid w:val="004C7685"/>
    <w:rsid w:val="004C7DCE"/>
    <w:rsid w:val="004D140F"/>
    <w:rsid w:val="004D25EC"/>
    <w:rsid w:val="004D4864"/>
    <w:rsid w:val="004D63C6"/>
    <w:rsid w:val="004E00B5"/>
    <w:rsid w:val="004E112A"/>
    <w:rsid w:val="004E24B0"/>
    <w:rsid w:val="004E2A83"/>
    <w:rsid w:val="004E4453"/>
    <w:rsid w:val="004E4C2E"/>
    <w:rsid w:val="004E56ED"/>
    <w:rsid w:val="004E5EFB"/>
    <w:rsid w:val="004E613F"/>
    <w:rsid w:val="004E6A2F"/>
    <w:rsid w:val="004E6C1D"/>
    <w:rsid w:val="004E6EF7"/>
    <w:rsid w:val="004E7AC5"/>
    <w:rsid w:val="004E7AE7"/>
    <w:rsid w:val="004E7B10"/>
    <w:rsid w:val="004F01D2"/>
    <w:rsid w:val="004F2858"/>
    <w:rsid w:val="004F34A4"/>
    <w:rsid w:val="004F3E98"/>
    <w:rsid w:val="004F3EAB"/>
    <w:rsid w:val="004F3FB8"/>
    <w:rsid w:val="004F44C6"/>
    <w:rsid w:val="004F4724"/>
    <w:rsid w:val="004F47A6"/>
    <w:rsid w:val="004F4EC3"/>
    <w:rsid w:val="004F5DCE"/>
    <w:rsid w:val="004F660D"/>
    <w:rsid w:val="004F6B0A"/>
    <w:rsid w:val="004F788B"/>
    <w:rsid w:val="004F79A5"/>
    <w:rsid w:val="005001B3"/>
    <w:rsid w:val="00501E9A"/>
    <w:rsid w:val="00502728"/>
    <w:rsid w:val="00503641"/>
    <w:rsid w:val="0050471D"/>
    <w:rsid w:val="00505A02"/>
    <w:rsid w:val="0050672F"/>
    <w:rsid w:val="00507897"/>
    <w:rsid w:val="00510C32"/>
    <w:rsid w:val="00511F73"/>
    <w:rsid w:val="00512A78"/>
    <w:rsid w:val="00512DBF"/>
    <w:rsid w:val="00513CCF"/>
    <w:rsid w:val="0051449C"/>
    <w:rsid w:val="00514A33"/>
    <w:rsid w:val="005150BA"/>
    <w:rsid w:val="00515E58"/>
    <w:rsid w:val="0052019D"/>
    <w:rsid w:val="0052042F"/>
    <w:rsid w:val="00520FB4"/>
    <w:rsid w:val="005211B9"/>
    <w:rsid w:val="0052190B"/>
    <w:rsid w:val="00521B48"/>
    <w:rsid w:val="0052230C"/>
    <w:rsid w:val="00522550"/>
    <w:rsid w:val="00524299"/>
    <w:rsid w:val="005251C1"/>
    <w:rsid w:val="00525F34"/>
    <w:rsid w:val="0052763C"/>
    <w:rsid w:val="00527A57"/>
    <w:rsid w:val="00530580"/>
    <w:rsid w:val="00530E67"/>
    <w:rsid w:val="005319B3"/>
    <w:rsid w:val="0053227A"/>
    <w:rsid w:val="005332D6"/>
    <w:rsid w:val="00533FA5"/>
    <w:rsid w:val="0053414F"/>
    <w:rsid w:val="00534F0A"/>
    <w:rsid w:val="00535B45"/>
    <w:rsid w:val="005407D1"/>
    <w:rsid w:val="0054089E"/>
    <w:rsid w:val="00541B71"/>
    <w:rsid w:val="00541E23"/>
    <w:rsid w:val="00542180"/>
    <w:rsid w:val="00543FEA"/>
    <w:rsid w:val="005443AA"/>
    <w:rsid w:val="00544CF5"/>
    <w:rsid w:val="00545478"/>
    <w:rsid w:val="00545822"/>
    <w:rsid w:val="00545FFD"/>
    <w:rsid w:val="00547530"/>
    <w:rsid w:val="00551EB9"/>
    <w:rsid w:val="005522D5"/>
    <w:rsid w:val="00552663"/>
    <w:rsid w:val="00552C6F"/>
    <w:rsid w:val="00553DAA"/>
    <w:rsid w:val="00554018"/>
    <w:rsid w:val="005552A9"/>
    <w:rsid w:val="0055617A"/>
    <w:rsid w:val="00556376"/>
    <w:rsid w:val="00556579"/>
    <w:rsid w:val="005601AD"/>
    <w:rsid w:val="00561935"/>
    <w:rsid w:val="0056218C"/>
    <w:rsid w:val="005625AD"/>
    <w:rsid w:val="00562CD3"/>
    <w:rsid w:val="00563056"/>
    <w:rsid w:val="005659DC"/>
    <w:rsid w:val="00567670"/>
    <w:rsid w:val="00571A5F"/>
    <w:rsid w:val="00571EAF"/>
    <w:rsid w:val="00572303"/>
    <w:rsid w:val="00572D65"/>
    <w:rsid w:val="00573EA4"/>
    <w:rsid w:val="0057697C"/>
    <w:rsid w:val="005816B2"/>
    <w:rsid w:val="00581776"/>
    <w:rsid w:val="00582776"/>
    <w:rsid w:val="00582941"/>
    <w:rsid w:val="005833F7"/>
    <w:rsid w:val="005848AB"/>
    <w:rsid w:val="00584BF8"/>
    <w:rsid w:val="00584DC8"/>
    <w:rsid w:val="005855C3"/>
    <w:rsid w:val="00585647"/>
    <w:rsid w:val="00585D41"/>
    <w:rsid w:val="00586693"/>
    <w:rsid w:val="00587612"/>
    <w:rsid w:val="005910A3"/>
    <w:rsid w:val="00591447"/>
    <w:rsid w:val="00592760"/>
    <w:rsid w:val="00593534"/>
    <w:rsid w:val="00593CB3"/>
    <w:rsid w:val="005961EB"/>
    <w:rsid w:val="005962BD"/>
    <w:rsid w:val="005963B5"/>
    <w:rsid w:val="00597722"/>
    <w:rsid w:val="00597FC8"/>
    <w:rsid w:val="005A0649"/>
    <w:rsid w:val="005A22E1"/>
    <w:rsid w:val="005A2FF1"/>
    <w:rsid w:val="005A6E1C"/>
    <w:rsid w:val="005A7F36"/>
    <w:rsid w:val="005B2A44"/>
    <w:rsid w:val="005B2C82"/>
    <w:rsid w:val="005B3862"/>
    <w:rsid w:val="005B4888"/>
    <w:rsid w:val="005B49D1"/>
    <w:rsid w:val="005B4C5A"/>
    <w:rsid w:val="005B5C5F"/>
    <w:rsid w:val="005B7DB8"/>
    <w:rsid w:val="005C0A46"/>
    <w:rsid w:val="005C15BB"/>
    <w:rsid w:val="005C31C2"/>
    <w:rsid w:val="005C3AE2"/>
    <w:rsid w:val="005C3E99"/>
    <w:rsid w:val="005C63AD"/>
    <w:rsid w:val="005C65E0"/>
    <w:rsid w:val="005C6941"/>
    <w:rsid w:val="005C6BF0"/>
    <w:rsid w:val="005C74C7"/>
    <w:rsid w:val="005D032E"/>
    <w:rsid w:val="005D0688"/>
    <w:rsid w:val="005D0708"/>
    <w:rsid w:val="005D0ABE"/>
    <w:rsid w:val="005D172C"/>
    <w:rsid w:val="005D308E"/>
    <w:rsid w:val="005D3341"/>
    <w:rsid w:val="005D55A4"/>
    <w:rsid w:val="005D6129"/>
    <w:rsid w:val="005D6E3F"/>
    <w:rsid w:val="005E04F1"/>
    <w:rsid w:val="005E056E"/>
    <w:rsid w:val="005E1963"/>
    <w:rsid w:val="005E215A"/>
    <w:rsid w:val="005E2CBE"/>
    <w:rsid w:val="005E3E90"/>
    <w:rsid w:val="005E40BE"/>
    <w:rsid w:val="005E4101"/>
    <w:rsid w:val="005E525C"/>
    <w:rsid w:val="005E5365"/>
    <w:rsid w:val="005E592A"/>
    <w:rsid w:val="005E7150"/>
    <w:rsid w:val="005E78CF"/>
    <w:rsid w:val="005E7A8E"/>
    <w:rsid w:val="005F0B2E"/>
    <w:rsid w:val="005F117E"/>
    <w:rsid w:val="005F1B4A"/>
    <w:rsid w:val="005F2AF7"/>
    <w:rsid w:val="005F3DDB"/>
    <w:rsid w:val="005F4129"/>
    <w:rsid w:val="005F510F"/>
    <w:rsid w:val="005F6D69"/>
    <w:rsid w:val="005F7393"/>
    <w:rsid w:val="005F73E4"/>
    <w:rsid w:val="005F7458"/>
    <w:rsid w:val="005F7838"/>
    <w:rsid w:val="00600455"/>
    <w:rsid w:val="006018A7"/>
    <w:rsid w:val="006020EA"/>
    <w:rsid w:val="00603165"/>
    <w:rsid w:val="0060406D"/>
    <w:rsid w:val="00605E9F"/>
    <w:rsid w:val="0060771B"/>
    <w:rsid w:val="00610035"/>
    <w:rsid w:val="006104AA"/>
    <w:rsid w:val="0061058C"/>
    <w:rsid w:val="006136E3"/>
    <w:rsid w:val="00613A8D"/>
    <w:rsid w:val="00613BEF"/>
    <w:rsid w:val="00614187"/>
    <w:rsid w:val="0061458F"/>
    <w:rsid w:val="00614DBF"/>
    <w:rsid w:val="0061636E"/>
    <w:rsid w:val="0061653F"/>
    <w:rsid w:val="006167DD"/>
    <w:rsid w:val="00617791"/>
    <w:rsid w:val="00617D5E"/>
    <w:rsid w:val="00617F2D"/>
    <w:rsid w:val="00620A27"/>
    <w:rsid w:val="00620CC2"/>
    <w:rsid w:val="00622C4E"/>
    <w:rsid w:val="0062365B"/>
    <w:rsid w:val="0062387B"/>
    <w:rsid w:val="00624DEC"/>
    <w:rsid w:val="00625030"/>
    <w:rsid w:val="0062552F"/>
    <w:rsid w:val="00625FD7"/>
    <w:rsid w:val="006270CA"/>
    <w:rsid w:val="00630BDD"/>
    <w:rsid w:val="006312FA"/>
    <w:rsid w:val="00632091"/>
    <w:rsid w:val="0063235C"/>
    <w:rsid w:val="006323C7"/>
    <w:rsid w:val="006335C3"/>
    <w:rsid w:val="0063434D"/>
    <w:rsid w:val="00635B90"/>
    <w:rsid w:val="00635E64"/>
    <w:rsid w:val="00635FA7"/>
    <w:rsid w:val="006362E4"/>
    <w:rsid w:val="0064050E"/>
    <w:rsid w:val="00640730"/>
    <w:rsid w:val="006413B3"/>
    <w:rsid w:val="0064208D"/>
    <w:rsid w:val="006424E9"/>
    <w:rsid w:val="00642946"/>
    <w:rsid w:val="00642A12"/>
    <w:rsid w:val="00643106"/>
    <w:rsid w:val="00643D76"/>
    <w:rsid w:val="0064491E"/>
    <w:rsid w:val="00644986"/>
    <w:rsid w:val="00644B03"/>
    <w:rsid w:val="006451A0"/>
    <w:rsid w:val="00647688"/>
    <w:rsid w:val="00647DF6"/>
    <w:rsid w:val="0065045C"/>
    <w:rsid w:val="00650EBD"/>
    <w:rsid w:val="006515B6"/>
    <w:rsid w:val="00651CAC"/>
    <w:rsid w:val="00651F17"/>
    <w:rsid w:val="00652AC4"/>
    <w:rsid w:val="00653D9E"/>
    <w:rsid w:val="00655B53"/>
    <w:rsid w:val="006560E8"/>
    <w:rsid w:val="00656268"/>
    <w:rsid w:val="00656397"/>
    <w:rsid w:val="00657211"/>
    <w:rsid w:val="00657967"/>
    <w:rsid w:val="00660FE2"/>
    <w:rsid w:val="00661015"/>
    <w:rsid w:val="00661AC8"/>
    <w:rsid w:val="00661EA5"/>
    <w:rsid w:val="006633E1"/>
    <w:rsid w:val="0066365B"/>
    <w:rsid w:val="0066492E"/>
    <w:rsid w:val="00665117"/>
    <w:rsid w:val="006651DF"/>
    <w:rsid w:val="006657A9"/>
    <w:rsid w:val="00665F75"/>
    <w:rsid w:val="00666EBB"/>
    <w:rsid w:val="00670128"/>
    <w:rsid w:val="0067067C"/>
    <w:rsid w:val="00670BA8"/>
    <w:rsid w:val="00670DBB"/>
    <w:rsid w:val="00671CF7"/>
    <w:rsid w:val="00671D72"/>
    <w:rsid w:val="0067230D"/>
    <w:rsid w:val="006723CB"/>
    <w:rsid w:val="00672440"/>
    <w:rsid w:val="00673643"/>
    <w:rsid w:val="00673C3F"/>
    <w:rsid w:val="00673EB6"/>
    <w:rsid w:val="006745CB"/>
    <w:rsid w:val="006748AB"/>
    <w:rsid w:val="006757CC"/>
    <w:rsid w:val="00675E47"/>
    <w:rsid w:val="00675F1D"/>
    <w:rsid w:val="00676E27"/>
    <w:rsid w:val="00677582"/>
    <w:rsid w:val="00680434"/>
    <w:rsid w:val="00680BD1"/>
    <w:rsid w:val="00680BDE"/>
    <w:rsid w:val="006811E6"/>
    <w:rsid w:val="00681394"/>
    <w:rsid w:val="0068174D"/>
    <w:rsid w:val="00681CAC"/>
    <w:rsid w:val="0068551E"/>
    <w:rsid w:val="006857D0"/>
    <w:rsid w:val="006869AE"/>
    <w:rsid w:val="00686F18"/>
    <w:rsid w:val="00690C1D"/>
    <w:rsid w:val="00691890"/>
    <w:rsid w:val="00692A18"/>
    <w:rsid w:val="00692DC4"/>
    <w:rsid w:val="00692E5B"/>
    <w:rsid w:val="006936CC"/>
    <w:rsid w:val="00694768"/>
    <w:rsid w:val="00694DB7"/>
    <w:rsid w:val="00695566"/>
    <w:rsid w:val="00695C79"/>
    <w:rsid w:val="00695D4E"/>
    <w:rsid w:val="00695E77"/>
    <w:rsid w:val="00696B17"/>
    <w:rsid w:val="006A059E"/>
    <w:rsid w:val="006A0BF3"/>
    <w:rsid w:val="006A1C71"/>
    <w:rsid w:val="006A2906"/>
    <w:rsid w:val="006A318F"/>
    <w:rsid w:val="006A419C"/>
    <w:rsid w:val="006A5CC4"/>
    <w:rsid w:val="006A600E"/>
    <w:rsid w:val="006A6D1A"/>
    <w:rsid w:val="006A6E0C"/>
    <w:rsid w:val="006B0521"/>
    <w:rsid w:val="006B174C"/>
    <w:rsid w:val="006B1A8D"/>
    <w:rsid w:val="006B2241"/>
    <w:rsid w:val="006B3B5D"/>
    <w:rsid w:val="006B3DAD"/>
    <w:rsid w:val="006B49E7"/>
    <w:rsid w:val="006B5025"/>
    <w:rsid w:val="006B51CE"/>
    <w:rsid w:val="006B61C1"/>
    <w:rsid w:val="006B6618"/>
    <w:rsid w:val="006B7A38"/>
    <w:rsid w:val="006C07BD"/>
    <w:rsid w:val="006C0E98"/>
    <w:rsid w:val="006C183D"/>
    <w:rsid w:val="006C1D0A"/>
    <w:rsid w:val="006C24B7"/>
    <w:rsid w:val="006C2F1E"/>
    <w:rsid w:val="006C37D9"/>
    <w:rsid w:val="006C4F50"/>
    <w:rsid w:val="006C4FF0"/>
    <w:rsid w:val="006C5202"/>
    <w:rsid w:val="006C5EE8"/>
    <w:rsid w:val="006D1A04"/>
    <w:rsid w:val="006D2287"/>
    <w:rsid w:val="006D3690"/>
    <w:rsid w:val="006D3AC3"/>
    <w:rsid w:val="006D3C1D"/>
    <w:rsid w:val="006D3D43"/>
    <w:rsid w:val="006D3ED1"/>
    <w:rsid w:val="006D3EF5"/>
    <w:rsid w:val="006D443E"/>
    <w:rsid w:val="006D454B"/>
    <w:rsid w:val="006D51A7"/>
    <w:rsid w:val="006D5DAA"/>
    <w:rsid w:val="006D5E5C"/>
    <w:rsid w:val="006D6F98"/>
    <w:rsid w:val="006D705B"/>
    <w:rsid w:val="006D763C"/>
    <w:rsid w:val="006D7CC6"/>
    <w:rsid w:val="006D7E14"/>
    <w:rsid w:val="006E048F"/>
    <w:rsid w:val="006E0F8E"/>
    <w:rsid w:val="006E19D2"/>
    <w:rsid w:val="006E1FF2"/>
    <w:rsid w:val="006E2693"/>
    <w:rsid w:val="006E30F3"/>
    <w:rsid w:val="006E53F7"/>
    <w:rsid w:val="006E5A5F"/>
    <w:rsid w:val="006E7015"/>
    <w:rsid w:val="006E74C7"/>
    <w:rsid w:val="006E75D2"/>
    <w:rsid w:val="006E7E74"/>
    <w:rsid w:val="006F03FD"/>
    <w:rsid w:val="006F0468"/>
    <w:rsid w:val="006F09CF"/>
    <w:rsid w:val="006F0FC4"/>
    <w:rsid w:val="006F1A3F"/>
    <w:rsid w:val="006F2174"/>
    <w:rsid w:val="006F21AA"/>
    <w:rsid w:val="006F2B75"/>
    <w:rsid w:val="006F461B"/>
    <w:rsid w:val="006F4681"/>
    <w:rsid w:val="006F5A52"/>
    <w:rsid w:val="006F7199"/>
    <w:rsid w:val="006F71CE"/>
    <w:rsid w:val="00700A1E"/>
    <w:rsid w:val="00700CE0"/>
    <w:rsid w:val="007010C7"/>
    <w:rsid w:val="007014EE"/>
    <w:rsid w:val="00702195"/>
    <w:rsid w:val="00702693"/>
    <w:rsid w:val="00702901"/>
    <w:rsid w:val="00702A6B"/>
    <w:rsid w:val="00703E4C"/>
    <w:rsid w:val="00703F0E"/>
    <w:rsid w:val="0070460A"/>
    <w:rsid w:val="00704D3E"/>
    <w:rsid w:val="00705163"/>
    <w:rsid w:val="00705369"/>
    <w:rsid w:val="00705818"/>
    <w:rsid w:val="007063A8"/>
    <w:rsid w:val="00706669"/>
    <w:rsid w:val="00711DD8"/>
    <w:rsid w:val="007124D8"/>
    <w:rsid w:val="007137C8"/>
    <w:rsid w:val="0071417D"/>
    <w:rsid w:val="0071449B"/>
    <w:rsid w:val="00714BD6"/>
    <w:rsid w:val="00714E20"/>
    <w:rsid w:val="00715AFE"/>
    <w:rsid w:val="007174BB"/>
    <w:rsid w:val="00717630"/>
    <w:rsid w:val="0071772D"/>
    <w:rsid w:val="00720203"/>
    <w:rsid w:val="00720857"/>
    <w:rsid w:val="00721E72"/>
    <w:rsid w:val="0072269A"/>
    <w:rsid w:val="00722D6C"/>
    <w:rsid w:val="00722F89"/>
    <w:rsid w:val="007233AC"/>
    <w:rsid w:val="00723D71"/>
    <w:rsid w:val="00724FAB"/>
    <w:rsid w:val="007252C7"/>
    <w:rsid w:val="007257F0"/>
    <w:rsid w:val="00726165"/>
    <w:rsid w:val="007264CA"/>
    <w:rsid w:val="00727786"/>
    <w:rsid w:val="0072783F"/>
    <w:rsid w:val="00730659"/>
    <w:rsid w:val="00730F2E"/>
    <w:rsid w:val="00730FA7"/>
    <w:rsid w:val="00732197"/>
    <w:rsid w:val="00732496"/>
    <w:rsid w:val="0073274F"/>
    <w:rsid w:val="007327F4"/>
    <w:rsid w:val="00732EEC"/>
    <w:rsid w:val="007336D6"/>
    <w:rsid w:val="00735487"/>
    <w:rsid w:val="00735F87"/>
    <w:rsid w:val="00736EFF"/>
    <w:rsid w:val="00736FFD"/>
    <w:rsid w:val="00737548"/>
    <w:rsid w:val="00740092"/>
    <w:rsid w:val="00741CB0"/>
    <w:rsid w:val="00743B08"/>
    <w:rsid w:val="00744D83"/>
    <w:rsid w:val="00745053"/>
    <w:rsid w:val="00747028"/>
    <w:rsid w:val="0074744F"/>
    <w:rsid w:val="007474EA"/>
    <w:rsid w:val="00747A9D"/>
    <w:rsid w:val="00750A20"/>
    <w:rsid w:val="007513EC"/>
    <w:rsid w:val="00751EF1"/>
    <w:rsid w:val="007542C9"/>
    <w:rsid w:val="00754CEE"/>
    <w:rsid w:val="007557CC"/>
    <w:rsid w:val="00755C47"/>
    <w:rsid w:val="00756E0A"/>
    <w:rsid w:val="00756F05"/>
    <w:rsid w:val="00757F3D"/>
    <w:rsid w:val="00760905"/>
    <w:rsid w:val="0076166B"/>
    <w:rsid w:val="00761C34"/>
    <w:rsid w:val="0076226A"/>
    <w:rsid w:val="007630A8"/>
    <w:rsid w:val="007630CE"/>
    <w:rsid w:val="007636E4"/>
    <w:rsid w:val="00763A6E"/>
    <w:rsid w:val="00764B22"/>
    <w:rsid w:val="00766052"/>
    <w:rsid w:val="007673C6"/>
    <w:rsid w:val="00767578"/>
    <w:rsid w:val="00767E06"/>
    <w:rsid w:val="00770EF0"/>
    <w:rsid w:val="00771974"/>
    <w:rsid w:val="007726B4"/>
    <w:rsid w:val="00772D87"/>
    <w:rsid w:val="00773392"/>
    <w:rsid w:val="0077353D"/>
    <w:rsid w:val="00774D14"/>
    <w:rsid w:val="00775B88"/>
    <w:rsid w:val="00775C56"/>
    <w:rsid w:val="00776A2A"/>
    <w:rsid w:val="00777352"/>
    <w:rsid w:val="00777861"/>
    <w:rsid w:val="0078122B"/>
    <w:rsid w:val="00782072"/>
    <w:rsid w:val="00782081"/>
    <w:rsid w:val="00782EE6"/>
    <w:rsid w:val="007835E8"/>
    <w:rsid w:val="00783CB7"/>
    <w:rsid w:val="007851AD"/>
    <w:rsid w:val="00785726"/>
    <w:rsid w:val="00785E78"/>
    <w:rsid w:val="00785FAD"/>
    <w:rsid w:val="00787457"/>
    <w:rsid w:val="007876D8"/>
    <w:rsid w:val="00787FC5"/>
    <w:rsid w:val="00790670"/>
    <w:rsid w:val="00790CA3"/>
    <w:rsid w:val="00790FB6"/>
    <w:rsid w:val="007913C7"/>
    <w:rsid w:val="007920AD"/>
    <w:rsid w:val="00793FC1"/>
    <w:rsid w:val="00795BE3"/>
    <w:rsid w:val="00796976"/>
    <w:rsid w:val="00796CB7"/>
    <w:rsid w:val="007A1477"/>
    <w:rsid w:val="007A1CEE"/>
    <w:rsid w:val="007A2713"/>
    <w:rsid w:val="007A3261"/>
    <w:rsid w:val="007A4BF2"/>
    <w:rsid w:val="007A529E"/>
    <w:rsid w:val="007A5BA1"/>
    <w:rsid w:val="007A66A1"/>
    <w:rsid w:val="007A6A7A"/>
    <w:rsid w:val="007A7117"/>
    <w:rsid w:val="007A7456"/>
    <w:rsid w:val="007A75AF"/>
    <w:rsid w:val="007A7E17"/>
    <w:rsid w:val="007B012D"/>
    <w:rsid w:val="007B06B8"/>
    <w:rsid w:val="007B1096"/>
    <w:rsid w:val="007B2573"/>
    <w:rsid w:val="007B34F6"/>
    <w:rsid w:val="007B3C59"/>
    <w:rsid w:val="007B42CF"/>
    <w:rsid w:val="007B42E4"/>
    <w:rsid w:val="007B4979"/>
    <w:rsid w:val="007B5C69"/>
    <w:rsid w:val="007B664C"/>
    <w:rsid w:val="007B770A"/>
    <w:rsid w:val="007B7B98"/>
    <w:rsid w:val="007C0B36"/>
    <w:rsid w:val="007C1385"/>
    <w:rsid w:val="007C21E1"/>
    <w:rsid w:val="007C2E38"/>
    <w:rsid w:val="007C35FA"/>
    <w:rsid w:val="007C46FA"/>
    <w:rsid w:val="007C6117"/>
    <w:rsid w:val="007D020B"/>
    <w:rsid w:val="007D02FB"/>
    <w:rsid w:val="007D1E11"/>
    <w:rsid w:val="007D2425"/>
    <w:rsid w:val="007D2605"/>
    <w:rsid w:val="007D47CA"/>
    <w:rsid w:val="007D5321"/>
    <w:rsid w:val="007D5C1D"/>
    <w:rsid w:val="007D5EDD"/>
    <w:rsid w:val="007D5EDE"/>
    <w:rsid w:val="007D6A0E"/>
    <w:rsid w:val="007D6EE8"/>
    <w:rsid w:val="007D707E"/>
    <w:rsid w:val="007D74E3"/>
    <w:rsid w:val="007E0354"/>
    <w:rsid w:val="007E0E17"/>
    <w:rsid w:val="007E1B38"/>
    <w:rsid w:val="007E1F33"/>
    <w:rsid w:val="007E2D3D"/>
    <w:rsid w:val="007E2FFE"/>
    <w:rsid w:val="007E3622"/>
    <w:rsid w:val="007E4E51"/>
    <w:rsid w:val="007E4EA9"/>
    <w:rsid w:val="007E522B"/>
    <w:rsid w:val="007E5308"/>
    <w:rsid w:val="007E5CC3"/>
    <w:rsid w:val="007E7299"/>
    <w:rsid w:val="007F0807"/>
    <w:rsid w:val="007F0DD3"/>
    <w:rsid w:val="007F1B01"/>
    <w:rsid w:val="007F1E90"/>
    <w:rsid w:val="007F2180"/>
    <w:rsid w:val="007F2B9D"/>
    <w:rsid w:val="007F41DD"/>
    <w:rsid w:val="007F4426"/>
    <w:rsid w:val="007F4D75"/>
    <w:rsid w:val="007F5052"/>
    <w:rsid w:val="007F5571"/>
    <w:rsid w:val="007F5F77"/>
    <w:rsid w:val="007F6B30"/>
    <w:rsid w:val="007F6C3A"/>
    <w:rsid w:val="007F75CB"/>
    <w:rsid w:val="007F7C72"/>
    <w:rsid w:val="0080057A"/>
    <w:rsid w:val="00801748"/>
    <w:rsid w:val="00801C31"/>
    <w:rsid w:val="00801CEC"/>
    <w:rsid w:val="00802A13"/>
    <w:rsid w:val="00802C6A"/>
    <w:rsid w:val="0080573C"/>
    <w:rsid w:val="00807176"/>
    <w:rsid w:val="00807A03"/>
    <w:rsid w:val="008109FE"/>
    <w:rsid w:val="00810B4C"/>
    <w:rsid w:val="00813090"/>
    <w:rsid w:val="00813717"/>
    <w:rsid w:val="00813BCA"/>
    <w:rsid w:val="00813F85"/>
    <w:rsid w:val="00814248"/>
    <w:rsid w:val="00814551"/>
    <w:rsid w:val="008149BB"/>
    <w:rsid w:val="00816630"/>
    <w:rsid w:val="00817C3B"/>
    <w:rsid w:val="00820AA2"/>
    <w:rsid w:val="00821247"/>
    <w:rsid w:val="0082285D"/>
    <w:rsid w:val="00822AAA"/>
    <w:rsid w:val="00822D62"/>
    <w:rsid w:val="008234DD"/>
    <w:rsid w:val="00823868"/>
    <w:rsid w:val="00823CEF"/>
    <w:rsid w:val="008245C3"/>
    <w:rsid w:val="00825236"/>
    <w:rsid w:val="0082540A"/>
    <w:rsid w:val="008258DB"/>
    <w:rsid w:val="008264D6"/>
    <w:rsid w:val="008271C6"/>
    <w:rsid w:val="0082796B"/>
    <w:rsid w:val="00827B1A"/>
    <w:rsid w:val="00830E78"/>
    <w:rsid w:val="00831CA0"/>
    <w:rsid w:val="008320F2"/>
    <w:rsid w:val="00832514"/>
    <w:rsid w:val="0083259C"/>
    <w:rsid w:val="00832D3B"/>
    <w:rsid w:val="0083360A"/>
    <w:rsid w:val="0083362C"/>
    <w:rsid w:val="00833B33"/>
    <w:rsid w:val="00835657"/>
    <w:rsid w:val="00835CF2"/>
    <w:rsid w:val="00836DDA"/>
    <w:rsid w:val="00836EAD"/>
    <w:rsid w:val="00837013"/>
    <w:rsid w:val="008373D0"/>
    <w:rsid w:val="0083746B"/>
    <w:rsid w:val="00837B8D"/>
    <w:rsid w:val="00837F9B"/>
    <w:rsid w:val="00840499"/>
    <w:rsid w:val="00840EDC"/>
    <w:rsid w:val="0084131F"/>
    <w:rsid w:val="008424FE"/>
    <w:rsid w:val="008432A1"/>
    <w:rsid w:val="008432D2"/>
    <w:rsid w:val="00843BFC"/>
    <w:rsid w:val="00844B28"/>
    <w:rsid w:val="00845756"/>
    <w:rsid w:val="00845833"/>
    <w:rsid w:val="008467F0"/>
    <w:rsid w:val="00846C08"/>
    <w:rsid w:val="00850235"/>
    <w:rsid w:val="0085032D"/>
    <w:rsid w:val="008504BF"/>
    <w:rsid w:val="00850CD0"/>
    <w:rsid w:val="008510AE"/>
    <w:rsid w:val="008520B9"/>
    <w:rsid w:val="008526DE"/>
    <w:rsid w:val="00852CC1"/>
    <w:rsid w:val="00853D9A"/>
    <w:rsid w:val="008548F0"/>
    <w:rsid w:val="008549CE"/>
    <w:rsid w:val="008557CC"/>
    <w:rsid w:val="008571BA"/>
    <w:rsid w:val="00857A6B"/>
    <w:rsid w:val="00860529"/>
    <w:rsid w:val="008661DA"/>
    <w:rsid w:val="00866E00"/>
    <w:rsid w:val="008677F2"/>
    <w:rsid w:val="008679FA"/>
    <w:rsid w:val="00867A09"/>
    <w:rsid w:val="00871061"/>
    <w:rsid w:val="00871220"/>
    <w:rsid w:val="00871664"/>
    <w:rsid w:val="008725DF"/>
    <w:rsid w:val="00873FCB"/>
    <w:rsid w:val="00874638"/>
    <w:rsid w:val="008755A3"/>
    <w:rsid w:val="0087763E"/>
    <w:rsid w:val="00877A95"/>
    <w:rsid w:val="008811FD"/>
    <w:rsid w:val="0088136E"/>
    <w:rsid w:val="008817C3"/>
    <w:rsid w:val="00881CF4"/>
    <w:rsid w:val="008822D4"/>
    <w:rsid w:val="0088431A"/>
    <w:rsid w:val="0088483C"/>
    <w:rsid w:val="00884E4C"/>
    <w:rsid w:val="00887385"/>
    <w:rsid w:val="00887A5F"/>
    <w:rsid w:val="00890FE6"/>
    <w:rsid w:val="0089139A"/>
    <w:rsid w:val="00891478"/>
    <w:rsid w:val="00891EA5"/>
    <w:rsid w:val="00892229"/>
    <w:rsid w:val="0089279A"/>
    <w:rsid w:val="00893833"/>
    <w:rsid w:val="00895086"/>
    <w:rsid w:val="00895132"/>
    <w:rsid w:val="00895BA2"/>
    <w:rsid w:val="00895F16"/>
    <w:rsid w:val="008960E8"/>
    <w:rsid w:val="0089671E"/>
    <w:rsid w:val="00896CA6"/>
    <w:rsid w:val="008A07AD"/>
    <w:rsid w:val="008A0D6D"/>
    <w:rsid w:val="008A0DE7"/>
    <w:rsid w:val="008A4F20"/>
    <w:rsid w:val="008A5211"/>
    <w:rsid w:val="008A63CE"/>
    <w:rsid w:val="008B0B74"/>
    <w:rsid w:val="008B1DA5"/>
    <w:rsid w:val="008B20DA"/>
    <w:rsid w:val="008B2766"/>
    <w:rsid w:val="008B281F"/>
    <w:rsid w:val="008B30DF"/>
    <w:rsid w:val="008B375F"/>
    <w:rsid w:val="008B4049"/>
    <w:rsid w:val="008B4C2C"/>
    <w:rsid w:val="008B5639"/>
    <w:rsid w:val="008B62D6"/>
    <w:rsid w:val="008B68B4"/>
    <w:rsid w:val="008B6F24"/>
    <w:rsid w:val="008B7C5E"/>
    <w:rsid w:val="008B7E35"/>
    <w:rsid w:val="008C057F"/>
    <w:rsid w:val="008C1053"/>
    <w:rsid w:val="008C19D6"/>
    <w:rsid w:val="008C2033"/>
    <w:rsid w:val="008C20AB"/>
    <w:rsid w:val="008C24A3"/>
    <w:rsid w:val="008C2693"/>
    <w:rsid w:val="008C2A70"/>
    <w:rsid w:val="008C3887"/>
    <w:rsid w:val="008C3AEC"/>
    <w:rsid w:val="008C3F27"/>
    <w:rsid w:val="008C4013"/>
    <w:rsid w:val="008C46B7"/>
    <w:rsid w:val="008C553A"/>
    <w:rsid w:val="008C55C1"/>
    <w:rsid w:val="008C71D2"/>
    <w:rsid w:val="008C71FB"/>
    <w:rsid w:val="008C7466"/>
    <w:rsid w:val="008C7983"/>
    <w:rsid w:val="008D04B1"/>
    <w:rsid w:val="008D304C"/>
    <w:rsid w:val="008D3F2F"/>
    <w:rsid w:val="008D4002"/>
    <w:rsid w:val="008D5295"/>
    <w:rsid w:val="008D56B6"/>
    <w:rsid w:val="008E03E8"/>
    <w:rsid w:val="008E1C2F"/>
    <w:rsid w:val="008E5115"/>
    <w:rsid w:val="008E5CD6"/>
    <w:rsid w:val="008E5EBB"/>
    <w:rsid w:val="008E726F"/>
    <w:rsid w:val="008E7429"/>
    <w:rsid w:val="008E7546"/>
    <w:rsid w:val="008E7893"/>
    <w:rsid w:val="008E7903"/>
    <w:rsid w:val="008F1104"/>
    <w:rsid w:val="008F13B3"/>
    <w:rsid w:val="008F19BD"/>
    <w:rsid w:val="008F26C3"/>
    <w:rsid w:val="008F2EF4"/>
    <w:rsid w:val="008F3068"/>
    <w:rsid w:val="008F3315"/>
    <w:rsid w:val="008F3628"/>
    <w:rsid w:val="008F3A6D"/>
    <w:rsid w:val="008F48E4"/>
    <w:rsid w:val="008F5116"/>
    <w:rsid w:val="008F5A8D"/>
    <w:rsid w:val="008F6691"/>
    <w:rsid w:val="008F7298"/>
    <w:rsid w:val="00900757"/>
    <w:rsid w:val="0090195F"/>
    <w:rsid w:val="0090231F"/>
    <w:rsid w:val="00902AA6"/>
    <w:rsid w:val="009038F6"/>
    <w:rsid w:val="00903CCB"/>
    <w:rsid w:val="00903FA5"/>
    <w:rsid w:val="00905592"/>
    <w:rsid w:val="009068A5"/>
    <w:rsid w:val="009071D2"/>
    <w:rsid w:val="00911A5A"/>
    <w:rsid w:val="00911D99"/>
    <w:rsid w:val="00912A6B"/>
    <w:rsid w:val="0091523B"/>
    <w:rsid w:val="0091591E"/>
    <w:rsid w:val="00915AB8"/>
    <w:rsid w:val="00916BE5"/>
    <w:rsid w:val="00916EB1"/>
    <w:rsid w:val="00916F7C"/>
    <w:rsid w:val="009177AC"/>
    <w:rsid w:val="00917D08"/>
    <w:rsid w:val="00920211"/>
    <w:rsid w:val="00923386"/>
    <w:rsid w:val="00924244"/>
    <w:rsid w:val="0092473E"/>
    <w:rsid w:val="00925654"/>
    <w:rsid w:val="009262E4"/>
    <w:rsid w:val="00927CA0"/>
    <w:rsid w:val="00931021"/>
    <w:rsid w:val="0093324E"/>
    <w:rsid w:val="00934829"/>
    <w:rsid w:val="009348A2"/>
    <w:rsid w:val="00935C85"/>
    <w:rsid w:val="00935DC9"/>
    <w:rsid w:val="00936446"/>
    <w:rsid w:val="009408A0"/>
    <w:rsid w:val="00940ACA"/>
    <w:rsid w:val="00940B5C"/>
    <w:rsid w:val="009413A7"/>
    <w:rsid w:val="009417A1"/>
    <w:rsid w:val="00942A0D"/>
    <w:rsid w:val="00942C87"/>
    <w:rsid w:val="00942D5F"/>
    <w:rsid w:val="009431FC"/>
    <w:rsid w:val="009439B3"/>
    <w:rsid w:val="0094434A"/>
    <w:rsid w:val="009444DC"/>
    <w:rsid w:val="00944A72"/>
    <w:rsid w:val="00945A73"/>
    <w:rsid w:val="00945BA3"/>
    <w:rsid w:val="00946043"/>
    <w:rsid w:val="009462A8"/>
    <w:rsid w:val="009467BF"/>
    <w:rsid w:val="00946891"/>
    <w:rsid w:val="00946A2E"/>
    <w:rsid w:val="0094778C"/>
    <w:rsid w:val="00947D95"/>
    <w:rsid w:val="009505B9"/>
    <w:rsid w:val="009508B5"/>
    <w:rsid w:val="00950A72"/>
    <w:rsid w:val="0095131E"/>
    <w:rsid w:val="00951399"/>
    <w:rsid w:val="00952722"/>
    <w:rsid w:val="0095412D"/>
    <w:rsid w:val="009545BD"/>
    <w:rsid w:val="00955A45"/>
    <w:rsid w:val="00955AF1"/>
    <w:rsid w:val="009564CC"/>
    <w:rsid w:val="00957792"/>
    <w:rsid w:val="00957B0D"/>
    <w:rsid w:val="0096088A"/>
    <w:rsid w:val="00961799"/>
    <w:rsid w:val="00961CD3"/>
    <w:rsid w:val="00961DE5"/>
    <w:rsid w:val="00962999"/>
    <w:rsid w:val="00963481"/>
    <w:rsid w:val="0096350B"/>
    <w:rsid w:val="009639D9"/>
    <w:rsid w:val="00963D29"/>
    <w:rsid w:val="009645E1"/>
    <w:rsid w:val="00964C54"/>
    <w:rsid w:val="009652EC"/>
    <w:rsid w:val="009661FD"/>
    <w:rsid w:val="00967BFD"/>
    <w:rsid w:val="009703C7"/>
    <w:rsid w:val="00970BA0"/>
    <w:rsid w:val="00970CD7"/>
    <w:rsid w:val="00970F98"/>
    <w:rsid w:val="00971030"/>
    <w:rsid w:val="00971BE7"/>
    <w:rsid w:val="00972688"/>
    <w:rsid w:val="00972727"/>
    <w:rsid w:val="00972917"/>
    <w:rsid w:val="009730FF"/>
    <w:rsid w:val="00973F23"/>
    <w:rsid w:val="009745D4"/>
    <w:rsid w:val="00975152"/>
    <w:rsid w:val="00975E70"/>
    <w:rsid w:val="00975E74"/>
    <w:rsid w:val="00976130"/>
    <w:rsid w:val="009761B2"/>
    <w:rsid w:val="009763C5"/>
    <w:rsid w:val="00976880"/>
    <w:rsid w:val="00976ACF"/>
    <w:rsid w:val="009801BD"/>
    <w:rsid w:val="0098045F"/>
    <w:rsid w:val="0098129C"/>
    <w:rsid w:val="00981F1E"/>
    <w:rsid w:val="00982CD3"/>
    <w:rsid w:val="00982F22"/>
    <w:rsid w:val="0098324C"/>
    <w:rsid w:val="009834C3"/>
    <w:rsid w:val="00983627"/>
    <w:rsid w:val="00984FBD"/>
    <w:rsid w:val="00985183"/>
    <w:rsid w:val="00985B02"/>
    <w:rsid w:val="00986770"/>
    <w:rsid w:val="00986936"/>
    <w:rsid w:val="00987FDD"/>
    <w:rsid w:val="00990A48"/>
    <w:rsid w:val="0099112A"/>
    <w:rsid w:val="00991E7C"/>
    <w:rsid w:val="00992971"/>
    <w:rsid w:val="009938C4"/>
    <w:rsid w:val="00993D77"/>
    <w:rsid w:val="00993D79"/>
    <w:rsid w:val="00995EED"/>
    <w:rsid w:val="00996143"/>
    <w:rsid w:val="009A07B6"/>
    <w:rsid w:val="009A1064"/>
    <w:rsid w:val="009A1065"/>
    <w:rsid w:val="009A18F5"/>
    <w:rsid w:val="009A240B"/>
    <w:rsid w:val="009A3006"/>
    <w:rsid w:val="009A3A70"/>
    <w:rsid w:val="009A460E"/>
    <w:rsid w:val="009A4AE0"/>
    <w:rsid w:val="009A50E3"/>
    <w:rsid w:val="009A58A5"/>
    <w:rsid w:val="009A6226"/>
    <w:rsid w:val="009A63BE"/>
    <w:rsid w:val="009A67EE"/>
    <w:rsid w:val="009A7BCB"/>
    <w:rsid w:val="009B1352"/>
    <w:rsid w:val="009B1F76"/>
    <w:rsid w:val="009B2804"/>
    <w:rsid w:val="009B2ABD"/>
    <w:rsid w:val="009B3F3C"/>
    <w:rsid w:val="009B47C6"/>
    <w:rsid w:val="009B4A29"/>
    <w:rsid w:val="009B68B8"/>
    <w:rsid w:val="009B7C9B"/>
    <w:rsid w:val="009B7FBA"/>
    <w:rsid w:val="009C03EA"/>
    <w:rsid w:val="009C12B5"/>
    <w:rsid w:val="009C269B"/>
    <w:rsid w:val="009C2F68"/>
    <w:rsid w:val="009C314E"/>
    <w:rsid w:val="009C369D"/>
    <w:rsid w:val="009C3F5B"/>
    <w:rsid w:val="009C4B01"/>
    <w:rsid w:val="009C5599"/>
    <w:rsid w:val="009C61B1"/>
    <w:rsid w:val="009D0AD4"/>
    <w:rsid w:val="009D0BA7"/>
    <w:rsid w:val="009D1490"/>
    <w:rsid w:val="009D30D9"/>
    <w:rsid w:val="009D3B29"/>
    <w:rsid w:val="009D3F92"/>
    <w:rsid w:val="009D4CBD"/>
    <w:rsid w:val="009D5D90"/>
    <w:rsid w:val="009D6304"/>
    <w:rsid w:val="009D68B4"/>
    <w:rsid w:val="009E0B3C"/>
    <w:rsid w:val="009E1640"/>
    <w:rsid w:val="009E19EE"/>
    <w:rsid w:val="009E3403"/>
    <w:rsid w:val="009E39DD"/>
    <w:rsid w:val="009E561F"/>
    <w:rsid w:val="009E69BB"/>
    <w:rsid w:val="009E6AAF"/>
    <w:rsid w:val="009E79FB"/>
    <w:rsid w:val="009E7E4E"/>
    <w:rsid w:val="009F0734"/>
    <w:rsid w:val="009F08AE"/>
    <w:rsid w:val="009F0F1E"/>
    <w:rsid w:val="009F12B3"/>
    <w:rsid w:val="009F3657"/>
    <w:rsid w:val="009F413F"/>
    <w:rsid w:val="009F4392"/>
    <w:rsid w:val="009F4A08"/>
    <w:rsid w:val="009F508B"/>
    <w:rsid w:val="009F5573"/>
    <w:rsid w:val="009F565E"/>
    <w:rsid w:val="009F6727"/>
    <w:rsid w:val="009F7207"/>
    <w:rsid w:val="009F7FB7"/>
    <w:rsid w:val="00A00B33"/>
    <w:rsid w:val="00A00F85"/>
    <w:rsid w:val="00A018DF"/>
    <w:rsid w:val="00A01E80"/>
    <w:rsid w:val="00A01F5E"/>
    <w:rsid w:val="00A02046"/>
    <w:rsid w:val="00A04850"/>
    <w:rsid w:val="00A075E4"/>
    <w:rsid w:val="00A1039D"/>
    <w:rsid w:val="00A104AA"/>
    <w:rsid w:val="00A1311D"/>
    <w:rsid w:val="00A13812"/>
    <w:rsid w:val="00A13FE6"/>
    <w:rsid w:val="00A14288"/>
    <w:rsid w:val="00A14B99"/>
    <w:rsid w:val="00A17E1A"/>
    <w:rsid w:val="00A21D3F"/>
    <w:rsid w:val="00A22E75"/>
    <w:rsid w:val="00A23173"/>
    <w:rsid w:val="00A23355"/>
    <w:rsid w:val="00A245AC"/>
    <w:rsid w:val="00A249AC"/>
    <w:rsid w:val="00A25A57"/>
    <w:rsid w:val="00A25D2F"/>
    <w:rsid w:val="00A25D8C"/>
    <w:rsid w:val="00A25E89"/>
    <w:rsid w:val="00A26AA7"/>
    <w:rsid w:val="00A26D1B"/>
    <w:rsid w:val="00A30273"/>
    <w:rsid w:val="00A3063B"/>
    <w:rsid w:val="00A30C75"/>
    <w:rsid w:val="00A314FD"/>
    <w:rsid w:val="00A3242E"/>
    <w:rsid w:val="00A326E6"/>
    <w:rsid w:val="00A32ACD"/>
    <w:rsid w:val="00A32CFA"/>
    <w:rsid w:val="00A33355"/>
    <w:rsid w:val="00A334A4"/>
    <w:rsid w:val="00A33954"/>
    <w:rsid w:val="00A34ECD"/>
    <w:rsid w:val="00A374A9"/>
    <w:rsid w:val="00A401D4"/>
    <w:rsid w:val="00A403E6"/>
    <w:rsid w:val="00A404E2"/>
    <w:rsid w:val="00A40822"/>
    <w:rsid w:val="00A40BAF"/>
    <w:rsid w:val="00A43095"/>
    <w:rsid w:val="00A44C71"/>
    <w:rsid w:val="00A47173"/>
    <w:rsid w:val="00A47734"/>
    <w:rsid w:val="00A47EF5"/>
    <w:rsid w:val="00A5104C"/>
    <w:rsid w:val="00A510E5"/>
    <w:rsid w:val="00A5145D"/>
    <w:rsid w:val="00A5196B"/>
    <w:rsid w:val="00A51AA0"/>
    <w:rsid w:val="00A524F3"/>
    <w:rsid w:val="00A52EF9"/>
    <w:rsid w:val="00A53534"/>
    <w:rsid w:val="00A55EA3"/>
    <w:rsid w:val="00A56605"/>
    <w:rsid w:val="00A57194"/>
    <w:rsid w:val="00A5756A"/>
    <w:rsid w:val="00A5796C"/>
    <w:rsid w:val="00A57D97"/>
    <w:rsid w:val="00A57FFC"/>
    <w:rsid w:val="00A60EEB"/>
    <w:rsid w:val="00A6153F"/>
    <w:rsid w:val="00A630FF"/>
    <w:rsid w:val="00A63114"/>
    <w:rsid w:val="00A63247"/>
    <w:rsid w:val="00A65691"/>
    <w:rsid w:val="00A66563"/>
    <w:rsid w:val="00A6765B"/>
    <w:rsid w:val="00A70246"/>
    <w:rsid w:val="00A7132F"/>
    <w:rsid w:val="00A71330"/>
    <w:rsid w:val="00A71747"/>
    <w:rsid w:val="00A72D6F"/>
    <w:rsid w:val="00A736C8"/>
    <w:rsid w:val="00A73A92"/>
    <w:rsid w:val="00A74202"/>
    <w:rsid w:val="00A74687"/>
    <w:rsid w:val="00A75313"/>
    <w:rsid w:val="00A773A2"/>
    <w:rsid w:val="00A77B00"/>
    <w:rsid w:val="00A77C3F"/>
    <w:rsid w:val="00A77DBF"/>
    <w:rsid w:val="00A807DD"/>
    <w:rsid w:val="00A813D9"/>
    <w:rsid w:val="00A8140A"/>
    <w:rsid w:val="00A8317C"/>
    <w:rsid w:val="00A83CE9"/>
    <w:rsid w:val="00A83DC7"/>
    <w:rsid w:val="00A850A0"/>
    <w:rsid w:val="00A85824"/>
    <w:rsid w:val="00A8591F"/>
    <w:rsid w:val="00A860F6"/>
    <w:rsid w:val="00A86CB4"/>
    <w:rsid w:val="00A905F1"/>
    <w:rsid w:val="00A90683"/>
    <w:rsid w:val="00A91D24"/>
    <w:rsid w:val="00A92447"/>
    <w:rsid w:val="00A93902"/>
    <w:rsid w:val="00A940EB"/>
    <w:rsid w:val="00A95979"/>
    <w:rsid w:val="00A96BEC"/>
    <w:rsid w:val="00A97127"/>
    <w:rsid w:val="00AA051F"/>
    <w:rsid w:val="00AA096B"/>
    <w:rsid w:val="00AA0FE9"/>
    <w:rsid w:val="00AA119E"/>
    <w:rsid w:val="00AA2B8A"/>
    <w:rsid w:val="00AA31C6"/>
    <w:rsid w:val="00AA4142"/>
    <w:rsid w:val="00AA4F53"/>
    <w:rsid w:val="00AA61B1"/>
    <w:rsid w:val="00AA64DF"/>
    <w:rsid w:val="00AA7605"/>
    <w:rsid w:val="00AB16A5"/>
    <w:rsid w:val="00AB1A26"/>
    <w:rsid w:val="00AB29A0"/>
    <w:rsid w:val="00AB2E36"/>
    <w:rsid w:val="00AB30C3"/>
    <w:rsid w:val="00AB4B54"/>
    <w:rsid w:val="00AB4C15"/>
    <w:rsid w:val="00AB4F43"/>
    <w:rsid w:val="00AB5774"/>
    <w:rsid w:val="00AB58F3"/>
    <w:rsid w:val="00AC07E6"/>
    <w:rsid w:val="00AC0C77"/>
    <w:rsid w:val="00AC1BAA"/>
    <w:rsid w:val="00AC370D"/>
    <w:rsid w:val="00AC37B3"/>
    <w:rsid w:val="00AC4352"/>
    <w:rsid w:val="00AC47F7"/>
    <w:rsid w:val="00AC4F2B"/>
    <w:rsid w:val="00AC510D"/>
    <w:rsid w:val="00AC594B"/>
    <w:rsid w:val="00AC5A93"/>
    <w:rsid w:val="00AC5E81"/>
    <w:rsid w:val="00AC7026"/>
    <w:rsid w:val="00AC7074"/>
    <w:rsid w:val="00AD0467"/>
    <w:rsid w:val="00AD0A52"/>
    <w:rsid w:val="00AD12CD"/>
    <w:rsid w:val="00AD1452"/>
    <w:rsid w:val="00AD42B8"/>
    <w:rsid w:val="00AD5410"/>
    <w:rsid w:val="00AD57AB"/>
    <w:rsid w:val="00AD6367"/>
    <w:rsid w:val="00AD7275"/>
    <w:rsid w:val="00AD7B67"/>
    <w:rsid w:val="00AD7B8B"/>
    <w:rsid w:val="00AE05D8"/>
    <w:rsid w:val="00AE0F5A"/>
    <w:rsid w:val="00AE1EB3"/>
    <w:rsid w:val="00AE2718"/>
    <w:rsid w:val="00AE2D2A"/>
    <w:rsid w:val="00AE47C2"/>
    <w:rsid w:val="00AE4AF1"/>
    <w:rsid w:val="00AE5A3C"/>
    <w:rsid w:val="00AE619A"/>
    <w:rsid w:val="00AE6A0E"/>
    <w:rsid w:val="00AE6E20"/>
    <w:rsid w:val="00AE7738"/>
    <w:rsid w:val="00AF0D7D"/>
    <w:rsid w:val="00AF128C"/>
    <w:rsid w:val="00AF138B"/>
    <w:rsid w:val="00AF159E"/>
    <w:rsid w:val="00AF1791"/>
    <w:rsid w:val="00AF3212"/>
    <w:rsid w:val="00AF3B45"/>
    <w:rsid w:val="00AF4F72"/>
    <w:rsid w:val="00AF50F4"/>
    <w:rsid w:val="00AF5ACB"/>
    <w:rsid w:val="00AF5E01"/>
    <w:rsid w:val="00AF5E08"/>
    <w:rsid w:val="00AF64E6"/>
    <w:rsid w:val="00AF7A96"/>
    <w:rsid w:val="00B00232"/>
    <w:rsid w:val="00B003F5"/>
    <w:rsid w:val="00B00C56"/>
    <w:rsid w:val="00B02DCE"/>
    <w:rsid w:val="00B02EFA"/>
    <w:rsid w:val="00B037CA"/>
    <w:rsid w:val="00B051D2"/>
    <w:rsid w:val="00B05282"/>
    <w:rsid w:val="00B06C68"/>
    <w:rsid w:val="00B06FF8"/>
    <w:rsid w:val="00B10024"/>
    <w:rsid w:val="00B107DB"/>
    <w:rsid w:val="00B10EA9"/>
    <w:rsid w:val="00B117E0"/>
    <w:rsid w:val="00B11894"/>
    <w:rsid w:val="00B122AB"/>
    <w:rsid w:val="00B124DE"/>
    <w:rsid w:val="00B125A4"/>
    <w:rsid w:val="00B12A14"/>
    <w:rsid w:val="00B12E1F"/>
    <w:rsid w:val="00B1471E"/>
    <w:rsid w:val="00B14BDD"/>
    <w:rsid w:val="00B157A7"/>
    <w:rsid w:val="00B15AC9"/>
    <w:rsid w:val="00B17969"/>
    <w:rsid w:val="00B20C70"/>
    <w:rsid w:val="00B211BD"/>
    <w:rsid w:val="00B2127E"/>
    <w:rsid w:val="00B2162B"/>
    <w:rsid w:val="00B21D78"/>
    <w:rsid w:val="00B233E4"/>
    <w:rsid w:val="00B23B08"/>
    <w:rsid w:val="00B23EDD"/>
    <w:rsid w:val="00B240A3"/>
    <w:rsid w:val="00B2572D"/>
    <w:rsid w:val="00B25CD2"/>
    <w:rsid w:val="00B26E8E"/>
    <w:rsid w:val="00B302B6"/>
    <w:rsid w:val="00B3137C"/>
    <w:rsid w:val="00B317C0"/>
    <w:rsid w:val="00B3223B"/>
    <w:rsid w:val="00B3334C"/>
    <w:rsid w:val="00B344A0"/>
    <w:rsid w:val="00B352EB"/>
    <w:rsid w:val="00B36825"/>
    <w:rsid w:val="00B36FD9"/>
    <w:rsid w:val="00B372C3"/>
    <w:rsid w:val="00B373BC"/>
    <w:rsid w:val="00B37E30"/>
    <w:rsid w:val="00B401CA"/>
    <w:rsid w:val="00B40311"/>
    <w:rsid w:val="00B410FC"/>
    <w:rsid w:val="00B41230"/>
    <w:rsid w:val="00B417E1"/>
    <w:rsid w:val="00B422BA"/>
    <w:rsid w:val="00B42756"/>
    <w:rsid w:val="00B42F0D"/>
    <w:rsid w:val="00B43620"/>
    <w:rsid w:val="00B43DE5"/>
    <w:rsid w:val="00B441F8"/>
    <w:rsid w:val="00B44417"/>
    <w:rsid w:val="00B44641"/>
    <w:rsid w:val="00B44CF3"/>
    <w:rsid w:val="00B44FAC"/>
    <w:rsid w:val="00B462FC"/>
    <w:rsid w:val="00B46B0F"/>
    <w:rsid w:val="00B47A83"/>
    <w:rsid w:val="00B50221"/>
    <w:rsid w:val="00B50E30"/>
    <w:rsid w:val="00B51B20"/>
    <w:rsid w:val="00B51D9B"/>
    <w:rsid w:val="00B529D2"/>
    <w:rsid w:val="00B529F6"/>
    <w:rsid w:val="00B55DE4"/>
    <w:rsid w:val="00B56745"/>
    <w:rsid w:val="00B57554"/>
    <w:rsid w:val="00B57F7F"/>
    <w:rsid w:val="00B60DAA"/>
    <w:rsid w:val="00B62EFE"/>
    <w:rsid w:val="00B644B8"/>
    <w:rsid w:val="00B6451C"/>
    <w:rsid w:val="00B652F9"/>
    <w:rsid w:val="00B65CB0"/>
    <w:rsid w:val="00B670A3"/>
    <w:rsid w:val="00B671EE"/>
    <w:rsid w:val="00B70C2A"/>
    <w:rsid w:val="00B71B3F"/>
    <w:rsid w:val="00B71DCC"/>
    <w:rsid w:val="00B722C3"/>
    <w:rsid w:val="00B7239C"/>
    <w:rsid w:val="00B726EC"/>
    <w:rsid w:val="00B72F40"/>
    <w:rsid w:val="00B737FE"/>
    <w:rsid w:val="00B74D63"/>
    <w:rsid w:val="00B74F11"/>
    <w:rsid w:val="00B76077"/>
    <w:rsid w:val="00B76524"/>
    <w:rsid w:val="00B76D77"/>
    <w:rsid w:val="00B80496"/>
    <w:rsid w:val="00B809AF"/>
    <w:rsid w:val="00B80EFF"/>
    <w:rsid w:val="00B80FE9"/>
    <w:rsid w:val="00B81884"/>
    <w:rsid w:val="00B81CAD"/>
    <w:rsid w:val="00B8283B"/>
    <w:rsid w:val="00B829DE"/>
    <w:rsid w:val="00B82AE6"/>
    <w:rsid w:val="00B83E3E"/>
    <w:rsid w:val="00B85420"/>
    <w:rsid w:val="00B85975"/>
    <w:rsid w:val="00B867F5"/>
    <w:rsid w:val="00B86FCD"/>
    <w:rsid w:val="00B87DE0"/>
    <w:rsid w:val="00B90161"/>
    <w:rsid w:val="00B9115D"/>
    <w:rsid w:val="00B92488"/>
    <w:rsid w:val="00B92571"/>
    <w:rsid w:val="00B9272B"/>
    <w:rsid w:val="00B9272D"/>
    <w:rsid w:val="00B927A5"/>
    <w:rsid w:val="00B929C2"/>
    <w:rsid w:val="00B94A6F"/>
    <w:rsid w:val="00B9575F"/>
    <w:rsid w:val="00B95A05"/>
    <w:rsid w:val="00B9688F"/>
    <w:rsid w:val="00B9759E"/>
    <w:rsid w:val="00BA0CF4"/>
    <w:rsid w:val="00BA1745"/>
    <w:rsid w:val="00BA1D70"/>
    <w:rsid w:val="00BA21ED"/>
    <w:rsid w:val="00BA2A6B"/>
    <w:rsid w:val="00BA37A7"/>
    <w:rsid w:val="00BA3AF8"/>
    <w:rsid w:val="00BA483F"/>
    <w:rsid w:val="00BA55D5"/>
    <w:rsid w:val="00BA6AA4"/>
    <w:rsid w:val="00BA6F50"/>
    <w:rsid w:val="00BA7192"/>
    <w:rsid w:val="00BA751F"/>
    <w:rsid w:val="00BA7A16"/>
    <w:rsid w:val="00BA7E9A"/>
    <w:rsid w:val="00BB01A8"/>
    <w:rsid w:val="00BB1C05"/>
    <w:rsid w:val="00BB20D3"/>
    <w:rsid w:val="00BB4069"/>
    <w:rsid w:val="00BB4D33"/>
    <w:rsid w:val="00BB567A"/>
    <w:rsid w:val="00BB6F98"/>
    <w:rsid w:val="00BB79EF"/>
    <w:rsid w:val="00BC16D3"/>
    <w:rsid w:val="00BC21B3"/>
    <w:rsid w:val="00BC3520"/>
    <w:rsid w:val="00BC37B9"/>
    <w:rsid w:val="00BC3A3A"/>
    <w:rsid w:val="00BC3F58"/>
    <w:rsid w:val="00BC4064"/>
    <w:rsid w:val="00BC41B1"/>
    <w:rsid w:val="00BC4231"/>
    <w:rsid w:val="00BC5383"/>
    <w:rsid w:val="00BC566E"/>
    <w:rsid w:val="00BC589E"/>
    <w:rsid w:val="00BC5B46"/>
    <w:rsid w:val="00BC6209"/>
    <w:rsid w:val="00BC6471"/>
    <w:rsid w:val="00BD00B7"/>
    <w:rsid w:val="00BD0D0A"/>
    <w:rsid w:val="00BD0D79"/>
    <w:rsid w:val="00BD2356"/>
    <w:rsid w:val="00BD338E"/>
    <w:rsid w:val="00BD3588"/>
    <w:rsid w:val="00BD3AB9"/>
    <w:rsid w:val="00BD464C"/>
    <w:rsid w:val="00BD4981"/>
    <w:rsid w:val="00BD49B3"/>
    <w:rsid w:val="00BD4A64"/>
    <w:rsid w:val="00BD505E"/>
    <w:rsid w:val="00BD538C"/>
    <w:rsid w:val="00BD6076"/>
    <w:rsid w:val="00BD609D"/>
    <w:rsid w:val="00BD6669"/>
    <w:rsid w:val="00BD714C"/>
    <w:rsid w:val="00BD7CD2"/>
    <w:rsid w:val="00BE0377"/>
    <w:rsid w:val="00BE03DC"/>
    <w:rsid w:val="00BE204A"/>
    <w:rsid w:val="00BE24DD"/>
    <w:rsid w:val="00BE430C"/>
    <w:rsid w:val="00BE554A"/>
    <w:rsid w:val="00BE6211"/>
    <w:rsid w:val="00BE6226"/>
    <w:rsid w:val="00BE6236"/>
    <w:rsid w:val="00BE682F"/>
    <w:rsid w:val="00BE7285"/>
    <w:rsid w:val="00BE7364"/>
    <w:rsid w:val="00BF0369"/>
    <w:rsid w:val="00BF24B6"/>
    <w:rsid w:val="00BF3018"/>
    <w:rsid w:val="00BF37DB"/>
    <w:rsid w:val="00BF6330"/>
    <w:rsid w:val="00BF643F"/>
    <w:rsid w:val="00BF6DD8"/>
    <w:rsid w:val="00C00F15"/>
    <w:rsid w:val="00C01339"/>
    <w:rsid w:val="00C017B8"/>
    <w:rsid w:val="00C02B86"/>
    <w:rsid w:val="00C035CB"/>
    <w:rsid w:val="00C03D28"/>
    <w:rsid w:val="00C040FA"/>
    <w:rsid w:val="00C04DAB"/>
    <w:rsid w:val="00C05E48"/>
    <w:rsid w:val="00C071E1"/>
    <w:rsid w:val="00C079CE"/>
    <w:rsid w:val="00C1147F"/>
    <w:rsid w:val="00C11693"/>
    <w:rsid w:val="00C11C42"/>
    <w:rsid w:val="00C120DC"/>
    <w:rsid w:val="00C1214C"/>
    <w:rsid w:val="00C12AD6"/>
    <w:rsid w:val="00C12E22"/>
    <w:rsid w:val="00C136E7"/>
    <w:rsid w:val="00C13BBD"/>
    <w:rsid w:val="00C13F45"/>
    <w:rsid w:val="00C15A05"/>
    <w:rsid w:val="00C160F4"/>
    <w:rsid w:val="00C17386"/>
    <w:rsid w:val="00C221F4"/>
    <w:rsid w:val="00C229B8"/>
    <w:rsid w:val="00C26524"/>
    <w:rsid w:val="00C26C79"/>
    <w:rsid w:val="00C274C1"/>
    <w:rsid w:val="00C27A81"/>
    <w:rsid w:val="00C3106C"/>
    <w:rsid w:val="00C31CC9"/>
    <w:rsid w:val="00C31F40"/>
    <w:rsid w:val="00C32F55"/>
    <w:rsid w:val="00C32FC0"/>
    <w:rsid w:val="00C336A0"/>
    <w:rsid w:val="00C347DD"/>
    <w:rsid w:val="00C34AB1"/>
    <w:rsid w:val="00C3563A"/>
    <w:rsid w:val="00C35D0C"/>
    <w:rsid w:val="00C401B5"/>
    <w:rsid w:val="00C40327"/>
    <w:rsid w:val="00C40C1F"/>
    <w:rsid w:val="00C410C8"/>
    <w:rsid w:val="00C421D0"/>
    <w:rsid w:val="00C422B7"/>
    <w:rsid w:val="00C42524"/>
    <w:rsid w:val="00C44574"/>
    <w:rsid w:val="00C449AC"/>
    <w:rsid w:val="00C45904"/>
    <w:rsid w:val="00C45A10"/>
    <w:rsid w:val="00C46FD2"/>
    <w:rsid w:val="00C509FC"/>
    <w:rsid w:val="00C50BCE"/>
    <w:rsid w:val="00C5130C"/>
    <w:rsid w:val="00C51607"/>
    <w:rsid w:val="00C51C5D"/>
    <w:rsid w:val="00C51E01"/>
    <w:rsid w:val="00C52091"/>
    <w:rsid w:val="00C5214D"/>
    <w:rsid w:val="00C52333"/>
    <w:rsid w:val="00C5281D"/>
    <w:rsid w:val="00C52C0B"/>
    <w:rsid w:val="00C53688"/>
    <w:rsid w:val="00C53C52"/>
    <w:rsid w:val="00C53CAD"/>
    <w:rsid w:val="00C5408B"/>
    <w:rsid w:val="00C541C0"/>
    <w:rsid w:val="00C5684D"/>
    <w:rsid w:val="00C56ECF"/>
    <w:rsid w:val="00C611D7"/>
    <w:rsid w:val="00C61BB2"/>
    <w:rsid w:val="00C61CBF"/>
    <w:rsid w:val="00C61D82"/>
    <w:rsid w:val="00C62503"/>
    <w:rsid w:val="00C63FE6"/>
    <w:rsid w:val="00C6440E"/>
    <w:rsid w:val="00C649DC"/>
    <w:rsid w:val="00C6547F"/>
    <w:rsid w:val="00C65A5E"/>
    <w:rsid w:val="00C661D0"/>
    <w:rsid w:val="00C66B30"/>
    <w:rsid w:val="00C66B47"/>
    <w:rsid w:val="00C67C75"/>
    <w:rsid w:val="00C70566"/>
    <w:rsid w:val="00C70EE2"/>
    <w:rsid w:val="00C71073"/>
    <w:rsid w:val="00C714BC"/>
    <w:rsid w:val="00C719AD"/>
    <w:rsid w:val="00C71C91"/>
    <w:rsid w:val="00C71F6B"/>
    <w:rsid w:val="00C72F6D"/>
    <w:rsid w:val="00C73FB4"/>
    <w:rsid w:val="00C742F0"/>
    <w:rsid w:val="00C748E0"/>
    <w:rsid w:val="00C74F47"/>
    <w:rsid w:val="00C75523"/>
    <w:rsid w:val="00C756E7"/>
    <w:rsid w:val="00C7613A"/>
    <w:rsid w:val="00C7724A"/>
    <w:rsid w:val="00C7769E"/>
    <w:rsid w:val="00C81014"/>
    <w:rsid w:val="00C81AF2"/>
    <w:rsid w:val="00C81EFE"/>
    <w:rsid w:val="00C83254"/>
    <w:rsid w:val="00C835AB"/>
    <w:rsid w:val="00C837C0"/>
    <w:rsid w:val="00C84A74"/>
    <w:rsid w:val="00C852B1"/>
    <w:rsid w:val="00C8532C"/>
    <w:rsid w:val="00C86B02"/>
    <w:rsid w:val="00C86DB3"/>
    <w:rsid w:val="00C87D64"/>
    <w:rsid w:val="00C87F3C"/>
    <w:rsid w:val="00C90B7D"/>
    <w:rsid w:val="00C918E6"/>
    <w:rsid w:val="00C91D88"/>
    <w:rsid w:val="00C91F81"/>
    <w:rsid w:val="00C92F0F"/>
    <w:rsid w:val="00C92FA4"/>
    <w:rsid w:val="00C93865"/>
    <w:rsid w:val="00C959C3"/>
    <w:rsid w:val="00C96650"/>
    <w:rsid w:val="00C96FB1"/>
    <w:rsid w:val="00C970ED"/>
    <w:rsid w:val="00C9773C"/>
    <w:rsid w:val="00C97C66"/>
    <w:rsid w:val="00CA0250"/>
    <w:rsid w:val="00CA0DEE"/>
    <w:rsid w:val="00CA0FFA"/>
    <w:rsid w:val="00CA129F"/>
    <w:rsid w:val="00CA2303"/>
    <w:rsid w:val="00CA2DA6"/>
    <w:rsid w:val="00CA32B2"/>
    <w:rsid w:val="00CA33EB"/>
    <w:rsid w:val="00CA36C7"/>
    <w:rsid w:val="00CA572F"/>
    <w:rsid w:val="00CA5C3A"/>
    <w:rsid w:val="00CA658B"/>
    <w:rsid w:val="00CA6A83"/>
    <w:rsid w:val="00CB0D34"/>
    <w:rsid w:val="00CB39B4"/>
    <w:rsid w:val="00CB3E84"/>
    <w:rsid w:val="00CB43F9"/>
    <w:rsid w:val="00CB51B3"/>
    <w:rsid w:val="00CB5BBF"/>
    <w:rsid w:val="00CB6BC3"/>
    <w:rsid w:val="00CB701B"/>
    <w:rsid w:val="00CB7F7A"/>
    <w:rsid w:val="00CC01AA"/>
    <w:rsid w:val="00CC068E"/>
    <w:rsid w:val="00CC0919"/>
    <w:rsid w:val="00CC0C90"/>
    <w:rsid w:val="00CC0CD3"/>
    <w:rsid w:val="00CC0F39"/>
    <w:rsid w:val="00CC252E"/>
    <w:rsid w:val="00CC4E52"/>
    <w:rsid w:val="00CC590A"/>
    <w:rsid w:val="00CC621E"/>
    <w:rsid w:val="00CC6D51"/>
    <w:rsid w:val="00CD0273"/>
    <w:rsid w:val="00CD03E5"/>
    <w:rsid w:val="00CD0A08"/>
    <w:rsid w:val="00CD116C"/>
    <w:rsid w:val="00CD1E1D"/>
    <w:rsid w:val="00CD2317"/>
    <w:rsid w:val="00CD2407"/>
    <w:rsid w:val="00CD2B68"/>
    <w:rsid w:val="00CD2E98"/>
    <w:rsid w:val="00CD2F24"/>
    <w:rsid w:val="00CD3BF6"/>
    <w:rsid w:val="00CD4593"/>
    <w:rsid w:val="00CD4AF0"/>
    <w:rsid w:val="00CD548A"/>
    <w:rsid w:val="00CD5AE2"/>
    <w:rsid w:val="00CD5B64"/>
    <w:rsid w:val="00CD5C60"/>
    <w:rsid w:val="00CD6430"/>
    <w:rsid w:val="00CD6D12"/>
    <w:rsid w:val="00CD6D78"/>
    <w:rsid w:val="00CE035A"/>
    <w:rsid w:val="00CE1031"/>
    <w:rsid w:val="00CE4177"/>
    <w:rsid w:val="00CE46D3"/>
    <w:rsid w:val="00CE567E"/>
    <w:rsid w:val="00CE578C"/>
    <w:rsid w:val="00CE5965"/>
    <w:rsid w:val="00CE686C"/>
    <w:rsid w:val="00CE713D"/>
    <w:rsid w:val="00CE7321"/>
    <w:rsid w:val="00CE7583"/>
    <w:rsid w:val="00CF0491"/>
    <w:rsid w:val="00CF09E1"/>
    <w:rsid w:val="00CF1A38"/>
    <w:rsid w:val="00CF2369"/>
    <w:rsid w:val="00CF297A"/>
    <w:rsid w:val="00CF3930"/>
    <w:rsid w:val="00CF48A6"/>
    <w:rsid w:val="00CF4BB7"/>
    <w:rsid w:val="00CF5C05"/>
    <w:rsid w:val="00CF6353"/>
    <w:rsid w:val="00CF6A28"/>
    <w:rsid w:val="00CF6C2F"/>
    <w:rsid w:val="00D00B18"/>
    <w:rsid w:val="00D02F75"/>
    <w:rsid w:val="00D03026"/>
    <w:rsid w:val="00D03F56"/>
    <w:rsid w:val="00D051CD"/>
    <w:rsid w:val="00D05368"/>
    <w:rsid w:val="00D05531"/>
    <w:rsid w:val="00D0580A"/>
    <w:rsid w:val="00D06481"/>
    <w:rsid w:val="00D06AFC"/>
    <w:rsid w:val="00D06B3B"/>
    <w:rsid w:val="00D07B2D"/>
    <w:rsid w:val="00D10885"/>
    <w:rsid w:val="00D1200C"/>
    <w:rsid w:val="00D1204C"/>
    <w:rsid w:val="00D1213B"/>
    <w:rsid w:val="00D123A1"/>
    <w:rsid w:val="00D12EAC"/>
    <w:rsid w:val="00D132CA"/>
    <w:rsid w:val="00D141C1"/>
    <w:rsid w:val="00D14F10"/>
    <w:rsid w:val="00D20565"/>
    <w:rsid w:val="00D214B8"/>
    <w:rsid w:val="00D22689"/>
    <w:rsid w:val="00D22892"/>
    <w:rsid w:val="00D22E6D"/>
    <w:rsid w:val="00D23C32"/>
    <w:rsid w:val="00D2445B"/>
    <w:rsid w:val="00D24894"/>
    <w:rsid w:val="00D26419"/>
    <w:rsid w:val="00D2714D"/>
    <w:rsid w:val="00D31B23"/>
    <w:rsid w:val="00D31B60"/>
    <w:rsid w:val="00D32670"/>
    <w:rsid w:val="00D32FFF"/>
    <w:rsid w:val="00D33B78"/>
    <w:rsid w:val="00D34AC2"/>
    <w:rsid w:val="00D34E28"/>
    <w:rsid w:val="00D35306"/>
    <w:rsid w:val="00D3579B"/>
    <w:rsid w:val="00D3691E"/>
    <w:rsid w:val="00D40868"/>
    <w:rsid w:val="00D41254"/>
    <w:rsid w:val="00D41CC8"/>
    <w:rsid w:val="00D41F71"/>
    <w:rsid w:val="00D4216C"/>
    <w:rsid w:val="00D4301A"/>
    <w:rsid w:val="00D4411B"/>
    <w:rsid w:val="00D44D29"/>
    <w:rsid w:val="00D4524F"/>
    <w:rsid w:val="00D45B2B"/>
    <w:rsid w:val="00D45C8D"/>
    <w:rsid w:val="00D45EE6"/>
    <w:rsid w:val="00D4625C"/>
    <w:rsid w:val="00D46A4A"/>
    <w:rsid w:val="00D51B77"/>
    <w:rsid w:val="00D52C7A"/>
    <w:rsid w:val="00D52FF5"/>
    <w:rsid w:val="00D537ED"/>
    <w:rsid w:val="00D54048"/>
    <w:rsid w:val="00D5418B"/>
    <w:rsid w:val="00D54E39"/>
    <w:rsid w:val="00D55278"/>
    <w:rsid w:val="00D60055"/>
    <w:rsid w:val="00D60348"/>
    <w:rsid w:val="00D61FB2"/>
    <w:rsid w:val="00D6208E"/>
    <w:rsid w:val="00D6236A"/>
    <w:rsid w:val="00D64B23"/>
    <w:rsid w:val="00D66BFD"/>
    <w:rsid w:val="00D71674"/>
    <w:rsid w:val="00D738ED"/>
    <w:rsid w:val="00D74103"/>
    <w:rsid w:val="00D7583B"/>
    <w:rsid w:val="00D809A9"/>
    <w:rsid w:val="00D8132D"/>
    <w:rsid w:val="00D81BA1"/>
    <w:rsid w:val="00D82610"/>
    <w:rsid w:val="00D85870"/>
    <w:rsid w:val="00D858AE"/>
    <w:rsid w:val="00D85B50"/>
    <w:rsid w:val="00D85B68"/>
    <w:rsid w:val="00D85FC2"/>
    <w:rsid w:val="00D87E74"/>
    <w:rsid w:val="00D90285"/>
    <w:rsid w:val="00D907B6"/>
    <w:rsid w:val="00D90D94"/>
    <w:rsid w:val="00D9172F"/>
    <w:rsid w:val="00D91A08"/>
    <w:rsid w:val="00D91A99"/>
    <w:rsid w:val="00D91F59"/>
    <w:rsid w:val="00D92733"/>
    <w:rsid w:val="00D934A7"/>
    <w:rsid w:val="00D93705"/>
    <w:rsid w:val="00D93EA8"/>
    <w:rsid w:val="00D942C5"/>
    <w:rsid w:val="00D950DC"/>
    <w:rsid w:val="00D956C8"/>
    <w:rsid w:val="00D95E84"/>
    <w:rsid w:val="00D96A81"/>
    <w:rsid w:val="00D96F41"/>
    <w:rsid w:val="00D9739D"/>
    <w:rsid w:val="00D97F8B"/>
    <w:rsid w:val="00DA09F0"/>
    <w:rsid w:val="00DA2BF8"/>
    <w:rsid w:val="00DA2C0E"/>
    <w:rsid w:val="00DA2C58"/>
    <w:rsid w:val="00DA36F9"/>
    <w:rsid w:val="00DA3875"/>
    <w:rsid w:val="00DA460D"/>
    <w:rsid w:val="00DA4D4D"/>
    <w:rsid w:val="00DA5BAD"/>
    <w:rsid w:val="00DA722D"/>
    <w:rsid w:val="00DA7312"/>
    <w:rsid w:val="00DA7A42"/>
    <w:rsid w:val="00DB01FD"/>
    <w:rsid w:val="00DB0213"/>
    <w:rsid w:val="00DB0D48"/>
    <w:rsid w:val="00DB110F"/>
    <w:rsid w:val="00DB305D"/>
    <w:rsid w:val="00DB36BE"/>
    <w:rsid w:val="00DB4224"/>
    <w:rsid w:val="00DB4DDD"/>
    <w:rsid w:val="00DB50AF"/>
    <w:rsid w:val="00DB552D"/>
    <w:rsid w:val="00DB5B62"/>
    <w:rsid w:val="00DB6253"/>
    <w:rsid w:val="00DB627F"/>
    <w:rsid w:val="00DC0620"/>
    <w:rsid w:val="00DC0EE8"/>
    <w:rsid w:val="00DC0F16"/>
    <w:rsid w:val="00DC324F"/>
    <w:rsid w:val="00DC35A6"/>
    <w:rsid w:val="00DC37ED"/>
    <w:rsid w:val="00DC395A"/>
    <w:rsid w:val="00DC4CAA"/>
    <w:rsid w:val="00DC6A9F"/>
    <w:rsid w:val="00DC6F05"/>
    <w:rsid w:val="00DC775E"/>
    <w:rsid w:val="00DC7D31"/>
    <w:rsid w:val="00DD1F91"/>
    <w:rsid w:val="00DD2543"/>
    <w:rsid w:val="00DD27EE"/>
    <w:rsid w:val="00DD2D79"/>
    <w:rsid w:val="00DD452B"/>
    <w:rsid w:val="00DD4A37"/>
    <w:rsid w:val="00DD6226"/>
    <w:rsid w:val="00DD68D5"/>
    <w:rsid w:val="00DD6D86"/>
    <w:rsid w:val="00DD76F5"/>
    <w:rsid w:val="00DD77D4"/>
    <w:rsid w:val="00DE1D15"/>
    <w:rsid w:val="00DE28C1"/>
    <w:rsid w:val="00DE2AAE"/>
    <w:rsid w:val="00DE2E4B"/>
    <w:rsid w:val="00DE2FDF"/>
    <w:rsid w:val="00DE39BA"/>
    <w:rsid w:val="00DE46C4"/>
    <w:rsid w:val="00DE46CD"/>
    <w:rsid w:val="00DE4C6F"/>
    <w:rsid w:val="00DE560D"/>
    <w:rsid w:val="00DE56B9"/>
    <w:rsid w:val="00DE5E1C"/>
    <w:rsid w:val="00DE65DC"/>
    <w:rsid w:val="00DE68A6"/>
    <w:rsid w:val="00DF06A4"/>
    <w:rsid w:val="00DF4E1D"/>
    <w:rsid w:val="00DF52B0"/>
    <w:rsid w:val="00DF5A7F"/>
    <w:rsid w:val="00DF74F2"/>
    <w:rsid w:val="00E020DF"/>
    <w:rsid w:val="00E039AE"/>
    <w:rsid w:val="00E03C80"/>
    <w:rsid w:val="00E03FF1"/>
    <w:rsid w:val="00E04CB0"/>
    <w:rsid w:val="00E06A0E"/>
    <w:rsid w:val="00E071B8"/>
    <w:rsid w:val="00E07612"/>
    <w:rsid w:val="00E07E71"/>
    <w:rsid w:val="00E10801"/>
    <w:rsid w:val="00E110C2"/>
    <w:rsid w:val="00E12FE6"/>
    <w:rsid w:val="00E1306A"/>
    <w:rsid w:val="00E1455D"/>
    <w:rsid w:val="00E146DF"/>
    <w:rsid w:val="00E154EC"/>
    <w:rsid w:val="00E15907"/>
    <w:rsid w:val="00E16798"/>
    <w:rsid w:val="00E176F1"/>
    <w:rsid w:val="00E2012D"/>
    <w:rsid w:val="00E201B9"/>
    <w:rsid w:val="00E20237"/>
    <w:rsid w:val="00E203EE"/>
    <w:rsid w:val="00E228E6"/>
    <w:rsid w:val="00E23071"/>
    <w:rsid w:val="00E23417"/>
    <w:rsid w:val="00E236C2"/>
    <w:rsid w:val="00E23754"/>
    <w:rsid w:val="00E24531"/>
    <w:rsid w:val="00E2558D"/>
    <w:rsid w:val="00E26D14"/>
    <w:rsid w:val="00E26F65"/>
    <w:rsid w:val="00E26FBC"/>
    <w:rsid w:val="00E3009E"/>
    <w:rsid w:val="00E303E2"/>
    <w:rsid w:val="00E30D8C"/>
    <w:rsid w:val="00E30F65"/>
    <w:rsid w:val="00E313C1"/>
    <w:rsid w:val="00E31584"/>
    <w:rsid w:val="00E31EDB"/>
    <w:rsid w:val="00E32D36"/>
    <w:rsid w:val="00E3335B"/>
    <w:rsid w:val="00E338F5"/>
    <w:rsid w:val="00E344FA"/>
    <w:rsid w:val="00E34868"/>
    <w:rsid w:val="00E34E83"/>
    <w:rsid w:val="00E35061"/>
    <w:rsid w:val="00E37284"/>
    <w:rsid w:val="00E37696"/>
    <w:rsid w:val="00E405A9"/>
    <w:rsid w:val="00E40FF8"/>
    <w:rsid w:val="00E41B6A"/>
    <w:rsid w:val="00E434F0"/>
    <w:rsid w:val="00E4359A"/>
    <w:rsid w:val="00E438BE"/>
    <w:rsid w:val="00E4627F"/>
    <w:rsid w:val="00E50518"/>
    <w:rsid w:val="00E51014"/>
    <w:rsid w:val="00E51752"/>
    <w:rsid w:val="00E51941"/>
    <w:rsid w:val="00E51FD1"/>
    <w:rsid w:val="00E52594"/>
    <w:rsid w:val="00E52A72"/>
    <w:rsid w:val="00E52A88"/>
    <w:rsid w:val="00E53A70"/>
    <w:rsid w:val="00E5486E"/>
    <w:rsid w:val="00E56D33"/>
    <w:rsid w:val="00E56F0F"/>
    <w:rsid w:val="00E57164"/>
    <w:rsid w:val="00E576C0"/>
    <w:rsid w:val="00E57DF9"/>
    <w:rsid w:val="00E600C8"/>
    <w:rsid w:val="00E602BD"/>
    <w:rsid w:val="00E60798"/>
    <w:rsid w:val="00E60BFB"/>
    <w:rsid w:val="00E619EC"/>
    <w:rsid w:val="00E62961"/>
    <w:rsid w:val="00E62BB9"/>
    <w:rsid w:val="00E62DDF"/>
    <w:rsid w:val="00E6305F"/>
    <w:rsid w:val="00E64312"/>
    <w:rsid w:val="00E64BC2"/>
    <w:rsid w:val="00E657ED"/>
    <w:rsid w:val="00E65AB3"/>
    <w:rsid w:val="00E65DAB"/>
    <w:rsid w:val="00E66A3F"/>
    <w:rsid w:val="00E6747E"/>
    <w:rsid w:val="00E6751B"/>
    <w:rsid w:val="00E7176A"/>
    <w:rsid w:val="00E725BC"/>
    <w:rsid w:val="00E72FAE"/>
    <w:rsid w:val="00E73B5F"/>
    <w:rsid w:val="00E741A4"/>
    <w:rsid w:val="00E74689"/>
    <w:rsid w:val="00E74CD9"/>
    <w:rsid w:val="00E7533E"/>
    <w:rsid w:val="00E757F1"/>
    <w:rsid w:val="00E763B5"/>
    <w:rsid w:val="00E76977"/>
    <w:rsid w:val="00E76AAA"/>
    <w:rsid w:val="00E76B3E"/>
    <w:rsid w:val="00E77828"/>
    <w:rsid w:val="00E8013B"/>
    <w:rsid w:val="00E83806"/>
    <w:rsid w:val="00E8391A"/>
    <w:rsid w:val="00E83C60"/>
    <w:rsid w:val="00E83D35"/>
    <w:rsid w:val="00E83DA9"/>
    <w:rsid w:val="00E842B0"/>
    <w:rsid w:val="00E85899"/>
    <w:rsid w:val="00E85FB4"/>
    <w:rsid w:val="00E8668E"/>
    <w:rsid w:val="00E86983"/>
    <w:rsid w:val="00E86ED9"/>
    <w:rsid w:val="00E8741D"/>
    <w:rsid w:val="00E87F46"/>
    <w:rsid w:val="00E90D1A"/>
    <w:rsid w:val="00E9113E"/>
    <w:rsid w:val="00E920B5"/>
    <w:rsid w:val="00E92F97"/>
    <w:rsid w:val="00E93916"/>
    <w:rsid w:val="00E93FDD"/>
    <w:rsid w:val="00E94426"/>
    <w:rsid w:val="00E94C09"/>
    <w:rsid w:val="00E94F4B"/>
    <w:rsid w:val="00E95009"/>
    <w:rsid w:val="00E95844"/>
    <w:rsid w:val="00E95864"/>
    <w:rsid w:val="00E96F67"/>
    <w:rsid w:val="00EA2309"/>
    <w:rsid w:val="00EA3330"/>
    <w:rsid w:val="00EA3755"/>
    <w:rsid w:val="00EA37C9"/>
    <w:rsid w:val="00EA4629"/>
    <w:rsid w:val="00EA6E29"/>
    <w:rsid w:val="00EB2AC6"/>
    <w:rsid w:val="00EB301E"/>
    <w:rsid w:val="00EB4142"/>
    <w:rsid w:val="00EB437E"/>
    <w:rsid w:val="00EB4428"/>
    <w:rsid w:val="00EB517B"/>
    <w:rsid w:val="00EB56E3"/>
    <w:rsid w:val="00EB56FB"/>
    <w:rsid w:val="00EB763B"/>
    <w:rsid w:val="00EC07DC"/>
    <w:rsid w:val="00EC379E"/>
    <w:rsid w:val="00EC37AB"/>
    <w:rsid w:val="00EC4B3C"/>
    <w:rsid w:val="00EC6ACF"/>
    <w:rsid w:val="00EC6BEB"/>
    <w:rsid w:val="00EC75CA"/>
    <w:rsid w:val="00EC7A40"/>
    <w:rsid w:val="00ED171F"/>
    <w:rsid w:val="00ED32F6"/>
    <w:rsid w:val="00ED3573"/>
    <w:rsid w:val="00ED368A"/>
    <w:rsid w:val="00ED3EC4"/>
    <w:rsid w:val="00ED40E4"/>
    <w:rsid w:val="00ED56E4"/>
    <w:rsid w:val="00ED5DA2"/>
    <w:rsid w:val="00ED5DDF"/>
    <w:rsid w:val="00ED62B6"/>
    <w:rsid w:val="00ED71F8"/>
    <w:rsid w:val="00ED75D8"/>
    <w:rsid w:val="00ED793A"/>
    <w:rsid w:val="00EE048F"/>
    <w:rsid w:val="00EE053C"/>
    <w:rsid w:val="00EE0599"/>
    <w:rsid w:val="00EE21B0"/>
    <w:rsid w:val="00EE24DB"/>
    <w:rsid w:val="00EE2F67"/>
    <w:rsid w:val="00EE3B10"/>
    <w:rsid w:val="00EE3C80"/>
    <w:rsid w:val="00EE449B"/>
    <w:rsid w:val="00EE4537"/>
    <w:rsid w:val="00EE4833"/>
    <w:rsid w:val="00EE4882"/>
    <w:rsid w:val="00EE4FBD"/>
    <w:rsid w:val="00EE5B43"/>
    <w:rsid w:val="00EE7548"/>
    <w:rsid w:val="00EE7BD7"/>
    <w:rsid w:val="00EF0C06"/>
    <w:rsid w:val="00EF1413"/>
    <w:rsid w:val="00EF1E30"/>
    <w:rsid w:val="00EF2522"/>
    <w:rsid w:val="00EF25D2"/>
    <w:rsid w:val="00EF304A"/>
    <w:rsid w:val="00EF32E0"/>
    <w:rsid w:val="00EF42D8"/>
    <w:rsid w:val="00EF45D7"/>
    <w:rsid w:val="00EF58D8"/>
    <w:rsid w:val="00EF5A8A"/>
    <w:rsid w:val="00EF6128"/>
    <w:rsid w:val="00EF6EE6"/>
    <w:rsid w:val="00F02F73"/>
    <w:rsid w:val="00F0302B"/>
    <w:rsid w:val="00F0312F"/>
    <w:rsid w:val="00F04913"/>
    <w:rsid w:val="00F05F4F"/>
    <w:rsid w:val="00F062BC"/>
    <w:rsid w:val="00F06477"/>
    <w:rsid w:val="00F110AD"/>
    <w:rsid w:val="00F1147A"/>
    <w:rsid w:val="00F119DD"/>
    <w:rsid w:val="00F11D4B"/>
    <w:rsid w:val="00F1250E"/>
    <w:rsid w:val="00F132E3"/>
    <w:rsid w:val="00F13A04"/>
    <w:rsid w:val="00F13D57"/>
    <w:rsid w:val="00F1422F"/>
    <w:rsid w:val="00F147CD"/>
    <w:rsid w:val="00F1493E"/>
    <w:rsid w:val="00F14AF3"/>
    <w:rsid w:val="00F14D36"/>
    <w:rsid w:val="00F162BA"/>
    <w:rsid w:val="00F16893"/>
    <w:rsid w:val="00F17181"/>
    <w:rsid w:val="00F20820"/>
    <w:rsid w:val="00F21552"/>
    <w:rsid w:val="00F21B4E"/>
    <w:rsid w:val="00F2229E"/>
    <w:rsid w:val="00F22DA4"/>
    <w:rsid w:val="00F22FA5"/>
    <w:rsid w:val="00F23A3C"/>
    <w:rsid w:val="00F24667"/>
    <w:rsid w:val="00F257DA"/>
    <w:rsid w:val="00F27E77"/>
    <w:rsid w:val="00F322A4"/>
    <w:rsid w:val="00F32E46"/>
    <w:rsid w:val="00F33747"/>
    <w:rsid w:val="00F33939"/>
    <w:rsid w:val="00F34A49"/>
    <w:rsid w:val="00F35493"/>
    <w:rsid w:val="00F3573E"/>
    <w:rsid w:val="00F3644B"/>
    <w:rsid w:val="00F36607"/>
    <w:rsid w:val="00F36A53"/>
    <w:rsid w:val="00F37410"/>
    <w:rsid w:val="00F3789C"/>
    <w:rsid w:val="00F402B5"/>
    <w:rsid w:val="00F403F8"/>
    <w:rsid w:val="00F409E3"/>
    <w:rsid w:val="00F41612"/>
    <w:rsid w:val="00F41933"/>
    <w:rsid w:val="00F41E23"/>
    <w:rsid w:val="00F421B5"/>
    <w:rsid w:val="00F4229D"/>
    <w:rsid w:val="00F435E2"/>
    <w:rsid w:val="00F43C32"/>
    <w:rsid w:val="00F44641"/>
    <w:rsid w:val="00F4783B"/>
    <w:rsid w:val="00F47BCB"/>
    <w:rsid w:val="00F52430"/>
    <w:rsid w:val="00F52B76"/>
    <w:rsid w:val="00F53283"/>
    <w:rsid w:val="00F53918"/>
    <w:rsid w:val="00F53CF2"/>
    <w:rsid w:val="00F540C2"/>
    <w:rsid w:val="00F55F0E"/>
    <w:rsid w:val="00F5643B"/>
    <w:rsid w:val="00F564AE"/>
    <w:rsid w:val="00F566C7"/>
    <w:rsid w:val="00F5695D"/>
    <w:rsid w:val="00F569A0"/>
    <w:rsid w:val="00F56C55"/>
    <w:rsid w:val="00F57947"/>
    <w:rsid w:val="00F607E3"/>
    <w:rsid w:val="00F6156A"/>
    <w:rsid w:val="00F61711"/>
    <w:rsid w:val="00F61748"/>
    <w:rsid w:val="00F62074"/>
    <w:rsid w:val="00F622BF"/>
    <w:rsid w:val="00F62323"/>
    <w:rsid w:val="00F62D95"/>
    <w:rsid w:val="00F631B3"/>
    <w:rsid w:val="00F644A4"/>
    <w:rsid w:val="00F654A9"/>
    <w:rsid w:val="00F65755"/>
    <w:rsid w:val="00F6724E"/>
    <w:rsid w:val="00F713AF"/>
    <w:rsid w:val="00F72954"/>
    <w:rsid w:val="00F7493F"/>
    <w:rsid w:val="00F74B25"/>
    <w:rsid w:val="00F74DB1"/>
    <w:rsid w:val="00F753BA"/>
    <w:rsid w:val="00F76066"/>
    <w:rsid w:val="00F76AFF"/>
    <w:rsid w:val="00F76D2D"/>
    <w:rsid w:val="00F813F0"/>
    <w:rsid w:val="00F81948"/>
    <w:rsid w:val="00F82234"/>
    <w:rsid w:val="00F8245C"/>
    <w:rsid w:val="00F8265B"/>
    <w:rsid w:val="00F8272B"/>
    <w:rsid w:val="00F82CAD"/>
    <w:rsid w:val="00F83FAE"/>
    <w:rsid w:val="00F83FCF"/>
    <w:rsid w:val="00F84FC8"/>
    <w:rsid w:val="00F8624D"/>
    <w:rsid w:val="00F86255"/>
    <w:rsid w:val="00F87658"/>
    <w:rsid w:val="00F87C46"/>
    <w:rsid w:val="00F87DBA"/>
    <w:rsid w:val="00F90381"/>
    <w:rsid w:val="00F90EA3"/>
    <w:rsid w:val="00F9119A"/>
    <w:rsid w:val="00F91D67"/>
    <w:rsid w:val="00F91DC1"/>
    <w:rsid w:val="00F92306"/>
    <w:rsid w:val="00F92B5A"/>
    <w:rsid w:val="00F9345E"/>
    <w:rsid w:val="00F9347E"/>
    <w:rsid w:val="00F95398"/>
    <w:rsid w:val="00F95CA4"/>
    <w:rsid w:val="00F96A7B"/>
    <w:rsid w:val="00F96D9B"/>
    <w:rsid w:val="00F972D3"/>
    <w:rsid w:val="00F97F4A"/>
    <w:rsid w:val="00FA08D4"/>
    <w:rsid w:val="00FA0975"/>
    <w:rsid w:val="00FA27B5"/>
    <w:rsid w:val="00FA2E60"/>
    <w:rsid w:val="00FA51A9"/>
    <w:rsid w:val="00FA5635"/>
    <w:rsid w:val="00FA5738"/>
    <w:rsid w:val="00FA57E9"/>
    <w:rsid w:val="00FA632F"/>
    <w:rsid w:val="00FA6799"/>
    <w:rsid w:val="00FA73E9"/>
    <w:rsid w:val="00FB0F32"/>
    <w:rsid w:val="00FB12DC"/>
    <w:rsid w:val="00FB13C9"/>
    <w:rsid w:val="00FB159C"/>
    <w:rsid w:val="00FB1B15"/>
    <w:rsid w:val="00FB21BC"/>
    <w:rsid w:val="00FB23DF"/>
    <w:rsid w:val="00FB248C"/>
    <w:rsid w:val="00FB2E97"/>
    <w:rsid w:val="00FB36E0"/>
    <w:rsid w:val="00FB3D3A"/>
    <w:rsid w:val="00FB3D5C"/>
    <w:rsid w:val="00FB4EE6"/>
    <w:rsid w:val="00FB5ABA"/>
    <w:rsid w:val="00FB7374"/>
    <w:rsid w:val="00FB777B"/>
    <w:rsid w:val="00FB7A29"/>
    <w:rsid w:val="00FB7B06"/>
    <w:rsid w:val="00FC022A"/>
    <w:rsid w:val="00FC0431"/>
    <w:rsid w:val="00FC044E"/>
    <w:rsid w:val="00FC0CB6"/>
    <w:rsid w:val="00FC0E22"/>
    <w:rsid w:val="00FC1218"/>
    <w:rsid w:val="00FC13DF"/>
    <w:rsid w:val="00FC1A8E"/>
    <w:rsid w:val="00FC1D5E"/>
    <w:rsid w:val="00FC1FE8"/>
    <w:rsid w:val="00FC28A6"/>
    <w:rsid w:val="00FC2F23"/>
    <w:rsid w:val="00FC303C"/>
    <w:rsid w:val="00FC371E"/>
    <w:rsid w:val="00FC4A31"/>
    <w:rsid w:val="00FC4B11"/>
    <w:rsid w:val="00FC4B58"/>
    <w:rsid w:val="00FC5011"/>
    <w:rsid w:val="00FC61C9"/>
    <w:rsid w:val="00FC7441"/>
    <w:rsid w:val="00FC74C4"/>
    <w:rsid w:val="00FC78C0"/>
    <w:rsid w:val="00FC7F38"/>
    <w:rsid w:val="00FD09F8"/>
    <w:rsid w:val="00FD0E11"/>
    <w:rsid w:val="00FD1AFC"/>
    <w:rsid w:val="00FD2E20"/>
    <w:rsid w:val="00FD30E7"/>
    <w:rsid w:val="00FD30E8"/>
    <w:rsid w:val="00FD38AC"/>
    <w:rsid w:val="00FD47FF"/>
    <w:rsid w:val="00FD792F"/>
    <w:rsid w:val="00FD7C42"/>
    <w:rsid w:val="00FE141D"/>
    <w:rsid w:val="00FE145F"/>
    <w:rsid w:val="00FE17B7"/>
    <w:rsid w:val="00FE4162"/>
    <w:rsid w:val="00FE4ED9"/>
    <w:rsid w:val="00FE70C2"/>
    <w:rsid w:val="00FF0F96"/>
    <w:rsid w:val="00FF1563"/>
    <w:rsid w:val="00FF1EAA"/>
    <w:rsid w:val="00FF38C0"/>
    <w:rsid w:val="00FF3F5B"/>
    <w:rsid w:val="00FF4412"/>
    <w:rsid w:val="00FF47A8"/>
    <w:rsid w:val="00FF493A"/>
    <w:rsid w:val="00FF4B7B"/>
    <w:rsid w:val="00FF4B84"/>
    <w:rsid w:val="00FF4F35"/>
    <w:rsid w:val="00FF5A04"/>
    <w:rsid w:val="00FF5ECB"/>
    <w:rsid w:val="00FF6085"/>
    <w:rsid w:val="00FF7632"/>
    <w:rsid w:val="01007CD6"/>
    <w:rsid w:val="010E0C35"/>
    <w:rsid w:val="01675789"/>
    <w:rsid w:val="016A6211"/>
    <w:rsid w:val="01784C5B"/>
    <w:rsid w:val="018A58CB"/>
    <w:rsid w:val="01B710E3"/>
    <w:rsid w:val="01B823FE"/>
    <w:rsid w:val="01B85C46"/>
    <w:rsid w:val="01B85D19"/>
    <w:rsid w:val="01BE08D4"/>
    <w:rsid w:val="01FE16D7"/>
    <w:rsid w:val="020B6D2C"/>
    <w:rsid w:val="02452821"/>
    <w:rsid w:val="024F15B3"/>
    <w:rsid w:val="028676BD"/>
    <w:rsid w:val="02E61E47"/>
    <w:rsid w:val="033F47D0"/>
    <w:rsid w:val="036648AE"/>
    <w:rsid w:val="036C18D4"/>
    <w:rsid w:val="037973A3"/>
    <w:rsid w:val="037C6098"/>
    <w:rsid w:val="038F530D"/>
    <w:rsid w:val="03E66E07"/>
    <w:rsid w:val="040A702D"/>
    <w:rsid w:val="042A10AF"/>
    <w:rsid w:val="04323B88"/>
    <w:rsid w:val="04533CD9"/>
    <w:rsid w:val="047B390B"/>
    <w:rsid w:val="048B3E34"/>
    <w:rsid w:val="048C0413"/>
    <w:rsid w:val="049E5F97"/>
    <w:rsid w:val="04BF7315"/>
    <w:rsid w:val="04E33AA4"/>
    <w:rsid w:val="04FD0195"/>
    <w:rsid w:val="04FD1ABF"/>
    <w:rsid w:val="05583F98"/>
    <w:rsid w:val="056B08B2"/>
    <w:rsid w:val="05706B86"/>
    <w:rsid w:val="05946D18"/>
    <w:rsid w:val="0596664B"/>
    <w:rsid w:val="0601011B"/>
    <w:rsid w:val="062F5F23"/>
    <w:rsid w:val="0635436F"/>
    <w:rsid w:val="064C38CB"/>
    <w:rsid w:val="067E2971"/>
    <w:rsid w:val="06E82282"/>
    <w:rsid w:val="071E44E5"/>
    <w:rsid w:val="07447737"/>
    <w:rsid w:val="075B30C3"/>
    <w:rsid w:val="078D3D2A"/>
    <w:rsid w:val="07AF3E7D"/>
    <w:rsid w:val="07B233E7"/>
    <w:rsid w:val="08161C67"/>
    <w:rsid w:val="082208F4"/>
    <w:rsid w:val="08686904"/>
    <w:rsid w:val="087750B4"/>
    <w:rsid w:val="088554F5"/>
    <w:rsid w:val="088A0D2A"/>
    <w:rsid w:val="088C314F"/>
    <w:rsid w:val="08A270CD"/>
    <w:rsid w:val="08AC08C9"/>
    <w:rsid w:val="08AF5E2C"/>
    <w:rsid w:val="08E214EE"/>
    <w:rsid w:val="09004A28"/>
    <w:rsid w:val="09083F37"/>
    <w:rsid w:val="09314BE1"/>
    <w:rsid w:val="09315E11"/>
    <w:rsid w:val="09427D78"/>
    <w:rsid w:val="095A71A1"/>
    <w:rsid w:val="09611B99"/>
    <w:rsid w:val="096C37F0"/>
    <w:rsid w:val="09A40A92"/>
    <w:rsid w:val="09A5050F"/>
    <w:rsid w:val="09A5634F"/>
    <w:rsid w:val="09B13015"/>
    <w:rsid w:val="09D41C46"/>
    <w:rsid w:val="0A0232AC"/>
    <w:rsid w:val="0A232419"/>
    <w:rsid w:val="0A4D7792"/>
    <w:rsid w:val="0A666865"/>
    <w:rsid w:val="0A92493C"/>
    <w:rsid w:val="0ADA6DD0"/>
    <w:rsid w:val="0AE56526"/>
    <w:rsid w:val="0AFF2E86"/>
    <w:rsid w:val="0AFF48D0"/>
    <w:rsid w:val="0B297BED"/>
    <w:rsid w:val="0B3C0D8F"/>
    <w:rsid w:val="0B3E0EEB"/>
    <w:rsid w:val="0B3F046B"/>
    <w:rsid w:val="0B592E2A"/>
    <w:rsid w:val="0B672DAC"/>
    <w:rsid w:val="0B6A069D"/>
    <w:rsid w:val="0B7D07D5"/>
    <w:rsid w:val="0B974E6D"/>
    <w:rsid w:val="0B9E52EB"/>
    <w:rsid w:val="0BD97E5F"/>
    <w:rsid w:val="0C011A26"/>
    <w:rsid w:val="0C223ACA"/>
    <w:rsid w:val="0C5A0BF0"/>
    <w:rsid w:val="0C923886"/>
    <w:rsid w:val="0CA166D5"/>
    <w:rsid w:val="0CD2555F"/>
    <w:rsid w:val="0CDD5277"/>
    <w:rsid w:val="0D311271"/>
    <w:rsid w:val="0D381BDB"/>
    <w:rsid w:val="0D3F6ADD"/>
    <w:rsid w:val="0D611BD6"/>
    <w:rsid w:val="0D9B230E"/>
    <w:rsid w:val="0DB166CD"/>
    <w:rsid w:val="0DF85BE3"/>
    <w:rsid w:val="0E0C0ABA"/>
    <w:rsid w:val="0E257929"/>
    <w:rsid w:val="0E516278"/>
    <w:rsid w:val="0E7450C7"/>
    <w:rsid w:val="0EB24613"/>
    <w:rsid w:val="0EC53536"/>
    <w:rsid w:val="0ED35C64"/>
    <w:rsid w:val="0EDB1514"/>
    <w:rsid w:val="0EDC10CA"/>
    <w:rsid w:val="0EDD3311"/>
    <w:rsid w:val="0EEA3BE3"/>
    <w:rsid w:val="0EEC3CBE"/>
    <w:rsid w:val="0F161BEE"/>
    <w:rsid w:val="0F167D4E"/>
    <w:rsid w:val="0F4A161A"/>
    <w:rsid w:val="0F4A55FB"/>
    <w:rsid w:val="0F5326A4"/>
    <w:rsid w:val="0F5B7AEB"/>
    <w:rsid w:val="0F68375E"/>
    <w:rsid w:val="0F8937C7"/>
    <w:rsid w:val="0FAC31E7"/>
    <w:rsid w:val="0FCE583F"/>
    <w:rsid w:val="100B407B"/>
    <w:rsid w:val="10333F68"/>
    <w:rsid w:val="10572899"/>
    <w:rsid w:val="1082045C"/>
    <w:rsid w:val="108369EB"/>
    <w:rsid w:val="108E23B1"/>
    <w:rsid w:val="10E50343"/>
    <w:rsid w:val="11027FDA"/>
    <w:rsid w:val="111121AC"/>
    <w:rsid w:val="112A739B"/>
    <w:rsid w:val="112A799E"/>
    <w:rsid w:val="113467F4"/>
    <w:rsid w:val="113A4C18"/>
    <w:rsid w:val="114C1130"/>
    <w:rsid w:val="11A007F3"/>
    <w:rsid w:val="11A862FE"/>
    <w:rsid w:val="11C32B55"/>
    <w:rsid w:val="11DA1F57"/>
    <w:rsid w:val="120842E5"/>
    <w:rsid w:val="1215551B"/>
    <w:rsid w:val="121A2CAF"/>
    <w:rsid w:val="121D03C4"/>
    <w:rsid w:val="12403F8F"/>
    <w:rsid w:val="12621A69"/>
    <w:rsid w:val="126A2314"/>
    <w:rsid w:val="127A42E5"/>
    <w:rsid w:val="128E6E01"/>
    <w:rsid w:val="12C30801"/>
    <w:rsid w:val="13005729"/>
    <w:rsid w:val="134D075A"/>
    <w:rsid w:val="13541895"/>
    <w:rsid w:val="13A46650"/>
    <w:rsid w:val="13AB33F1"/>
    <w:rsid w:val="13AE71F7"/>
    <w:rsid w:val="13B27FD5"/>
    <w:rsid w:val="141C314D"/>
    <w:rsid w:val="144813FA"/>
    <w:rsid w:val="144E09DA"/>
    <w:rsid w:val="145D4B1E"/>
    <w:rsid w:val="146015F5"/>
    <w:rsid w:val="149037B7"/>
    <w:rsid w:val="14945DC2"/>
    <w:rsid w:val="14D97166"/>
    <w:rsid w:val="14F728A3"/>
    <w:rsid w:val="15077553"/>
    <w:rsid w:val="150D2A41"/>
    <w:rsid w:val="1511232A"/>
    <w:rsid w:val="154D2C06"/>
    <w:rsid w:val="157B1D8E"/>
    <w:rsid w:val="15965ED1"/>
    <w:rsid w:val="16194E48"/>
    <w:rsid w:val="16274A07"/>
    <w:rsid w:val="162E5893"/>
    <w:rsid w:val="163A7A42"/>
    <w:rsid w:val="1645470D"/>
    <w:rsid w:val="165A4337"/>
    <w:rsid w:val="167401D6"/>
    <w:rsid w:val="169B6F2F"/>
    <w:rsid w:val="16A64179"/>
    <w:rsid w:val="16D17E1E"/>
    <w:rsid w:val="16F86C61"/>
    <w:rsid w:val="17011E6F"/>
    <w:rsid w:val="17446985"/>
    <w:rsid w:val="174F28DE"/>
    <w:rsid w:val="17576B7E"/>
    <w:rsid w:val="177A2613"/>
    <w:rsid w:val="178D0D9C"/>
    <w:rsid w:val="17A3434E"/>
    <w:rsid w:val="17AD77C6"/>
    <w:rsid w:val="17B21804"/>
    <w:rsid w:val="17C85992"/>
    <w:rsid w:val="180036FD"/>
    <w:rsid w:val="180D1063"/>
    <w:rsid w:val="181973D6"/>
    <w:rsid w:val="189F1262"/>
    <w:rsid w:val="18E8050F"/>
    <w:rsid w:val="1932077C"/>
    <w:rsid w:val="19414372"/>
    <w:rsid w:val="19414F09"/>
    <w:rsid w:val="1943291A"/>
    <w:rsid w:val="195A5D36"/>
    <w:rsid w:val="1966283C"/>
    <w:rsid w:val="197D7D98"/>
    <w:rsid w:val="19C07355"/>
    <w:rsid w:val="19EB77AE"/>
    <w:rsid w:val="19F4033F"/>
    <w:rsid w:val="1A501578"/>
    <w:rsid w:val="1A5A0E8A"/>
    <w:rsid w:val="1A657B9C"/>
    <w:rsid w:val="1A6B0B4F"/>
    <w:rsid w:val="1A7D3760"/>
    <w:rsid w:val="1A9569EA"/>
    <w:rsid w:val="1AA75749"/>
    <w:rsid w:val="1AD21ABE"/>
    <w:rsid w:val="1AD942B7"/>
    <w:rsid w:val="1ADB3EC0"/>
    <w:rsid w:val="1AEC0C1F"/>
    <w:rsid w:val="1AFC5BAE"/>
    <w:rsid w:val="1B026B8B"/>
    <w:rsid w:val="1B4A4017"/>
    <w:rsid w:val="1B521573"/>
    <w:rsid w:val="1B574ECB"/>
    <w:rsid w:val="1B7910A3"/>
    <w:rsid w:val="1B88478B"/>
    <w:rsid w:val="1BAF1D5E"/>
    <w:rsid w:val="1BC86938"/>
    <w:rsid w:val="1C327EA2"/>
    <w:rsid w:val="1C651297"/>
    <w:rsid w:val="1C6568C1"/>
    <w:rsid w:val="1C69084B"/>
    <w:rsid w:val="1CA75479"/>
    <w:rsid w:val="1CA94929"/>
    <w:rsid w:val="1CB3587E"/>
    <w:rsid w:val="1CBC3933"/>
    <w:rsid w:val="1CE2347F"/>
    <w:rsid w:val="1D0D42E3"/>
    <w:rsid w:val="1D0E0EAD"/>
    <w:rsid w:val="1D133556"/>
    <w:rsid w:val="1D5576B8"/>
    <w:rsid w:val="1D664E5A"/>
    <w:rsid w:val="1D7050E1"/>
    <w:rsid w:val="1D8D7521"/>
    <w:rsid w:val="1E012619"/>
    <w:rsid w:val="1E05777A"/>
    <w:rsid w:val="1E0E3AB5"/>
    <w:rsid w:val="1E0F1ECE"/>
    <w:rsid w:val="1E4F389C"/>
    <w:rsid w:val="1E560B54"/>
    <w:rsid w:val="1E666CB7"/>
    <w:rsid w:val="1EA2768F"/>
    <w:rsid w:val="1EBB544C"/>
    <w:rsid w:val="1EBF678A"/>
    <w:rsid w:val="1EE2069D"/>
    <w:rsid w:val="1EF2237E"/>
    <w:rsid w:val="1F201050"/>
    <w:rsid w:val="1F2048E8"/>
    <w:rsid w:val="1F225ABF"/>
    <w:rsid w:val="1F2C13CF"/>
    <w:rsid w:val="1F2D21E3"/>
    <w:rsid w:val="1F334CC2"/>
    <w:rsid w:val="1F5239FB"/>
    <w:rsid w:val="1F68379C"/>
    <w:rsid w:val="1F9A4AD4"/>
    <w:rsid w:val="1FAB223A"/>
    <w:rsid w:val="1FBB017B"/>
    <w:rsid w:val="1FC246F6"/>
    <w:rsid w:val="1FC8197A"/>
    <w:rsid w:val="1FD3394E"/>
    <w:rsid w:val="1FF56A54"/>
    <w:rsid w:val="1FF64400"/>
    <w:rsid w:val="1FF6475A"/>
    <w:rsid w:val="202C1FB9"/>
    <w:rsid w:val="202D76F6"/>
    <w:rsid w:val="203942EC"/>
    <w:rsid w:val="209E2BC2"/>
    <w:rsid w:val="20BA17B4"/>
    <w:rsid w:val="20EF72FB"/>
    <w:rsid w:val="20FD531A"/>
    <w:rsid w:val="211E79D7"/>
    <w:rsid w:val="216055CD"/>
    <w:rsid w:val="21691625"/>
    <w:rsid w:val="21707B70"/>
    <w:rsid w:val="222B5CC8"/>
    <w:rsid w:val="223C1995"/>
    <w:rsid w:val="22457B0A"/>
    <w:rsid w:val="22595924"/>
    <w:rsid w:val="22662E3D"/>
    <w:rsid w:val="229D5917"/>
    <w:rsid w:val="22B20386"/>
    <w:rsid w:val="22B90AC4"/>
    <w:rsid w:val="22BE7F39"/>
    <w:rsid w:val="22C356A9"/>
    <w:rsid w:val="22CC2ACD"/>
    <w:rsid w:val="22D24CAD"/>
    <w:rsid w:val="22DA1A75"/>
    <w:rsid w:val="22FA117D"/>
    <w:rsid w:val="231F1508"/>
    <w:rsid w:val="233174B0"/>
    <w:rsid w:val="2339039D"/>
    <w:rsid w:val="23410782"/>
    <w:rsid w:val="23425600"/>
    <w:rsid w:val="236A26FC"/>
    <w:rsid w:val="23891C29"/>
    <w:rsid w:val="238B2A4B"/>
    <w:rsid w:val="23AE7BE1"/>
    <w:rsid w:val="23CE0255"/>
    <w:rsid w:val="23DE6AC8"/>
    <w:rsid w:val="24182FDA"/>
    <w:rsid w:val="24886C7F"/>
    <w:rsid w:val="249B266B"/>
    <w:rsid w:val="24B3367E"/>
    <w:rsid w:val="24BC729A"/>
    <w:rsid w:val="24EA4A54"/>
    <w:rsid w:val="24EE1E99"/>
    <w:rsid w:val="24FB24C0"/>
    <w:rsid w:val="250C5F4F"/>
    <w:rsid w:val="25346EF8"/>
    <w:rsid w:val="25364AAD"/>
    <w:rsid w:val="25387C26"/>
    <w:rsid w:val="25457290"/>
    <w:rsid w:val="2593449F"/>
    <w:rsid w:val="259431D7"/>
    <w:rsid w:val="25E34FAC"/>
    <w:rsid w:val="25F12713"/>
    <w:rsid w:val="261C52D0"/>
    <w:rsid w:val="26334B86"/>
    <w:rsid w:val="263E1E33"/>
    <w:rsid w:val="26464467"/>
    <w:rsid w:val="26497B55"/>
    <w:rsid w:val="26B8385C"/>
    <w:rsid w:val="26BD2397"/>
    <w:rsid w:val="26C302B9"/>
    <w:rsid w:val="26C57C89"/>
    <w:rsid w:val="26D93950"/>
    <w:rsid w:val="273F0DD0"/>
    <w:rsid w:val="276D4E78"/>
    <w:rsid w:val="27934C2A"/>
    <w:rsid w:val="279E4E47"/>
    <w:rsid w:val="27B57C8D"/>
    <w:rsid w:val="27CC0CB4"/>
    <w:rsid w:val="27F050E7"/>
    <w:rsid w:val="27FB0392"/>
    <w:rsid w:val="281C0B11"/>
    <w:rsid w:val="28457282"/>
    <w:rsid w:val="2854649B"/>
    <w:rsid w:val="28A00886"/>
    <w:rsid w:val="28E374EB"/>
    <w:rsid w:val="28E52290"/>
    <w:rsid w:val="28F92EA0"/>
    <w:rsid w:val="2900617A"/>
    <w:rsid w:val="296345D4"/>
    <w:rsid w:val="296F7290"/>
    <w:rsid w:val="29B02E69"/>
    <w:rsid w:val="29C959ED"/>
    <w:rsid w:val="29F23E8A"/>
    <w:rsid w:val="29F61257"/>
    <w:rsid w:val="2A040D40"/>
    <w:rsid w:val="2A0E5AAB"/>
    <w:rsid w:val="2A200E19"/>
    <w:rsid w:val="2A4F267A"/>
    <w:rsid w:val="2A5F181F"/>
    <w:rsid w:val="2A747822"/>
    <w:rsid w:val="2A7D32E7"/>
    <w:rsid w:val="2A8877A6"/>
    <w:rsid w:val="2AAE21B8"/>
    <w:rsid w:val="2AC1048A"/>
    <w:rsid w:val="2AC777E7"/>
    <w:rsid w:val="2B0911AB"/>
    <w:rsid w:val="2B512E32"/>
    <w:rsid w:val="2B683CD8"/>
    <w:rsid w:val="2B746B21"/>
    <w:rsid w:val="2B8E7BE2"/>
    <w:rsid w:val="2BA93008"/>
    <w:rsid w:val="2BAA0720"/>
    <w:rsid w:val="2BAA5F79"/>
    <w:rsid w:val="2BB231D2"/>
    <w:rsid w:val="2BC5322F"/>
    <w:rsid w:val="2BC96440"/>
    <w:rsid w:val="2BD1411A"/>
    <w:rsid w:val="2BE03317"/>
    <w:rsid w:val="2BEF6D81"/>
    <w:rsid w:val="2C033C5F"/>
    <w:rsid w:val="2C3D7FA4"/>
    <w:rsid w:val="2C645988"/>
    <w:rsid w:val="2C7C2ACC"/>
    <w:rsid w:val="2C816A68"/>
    <w:rsid w:val="2C8D7E9A"/>
    <w:rsid w:val="2CA110BC"/>
    <w:rsid w:val="2CB64792"/>
    <w:rsid w:val="2CF40D9F"/>
    <w:rsid w:val="2D016192"/>
    <w:rsid w:val="2D0414AC"/>
    <w:rsid w:val="2D123ACA"/>
    <w:rsid w:val="2D1406C1"/>
    <w:rsid w:val="2D610FED"/>
    <w:rsid w:val="2D944DA4"/>
    <w:rsid w:val="2D9920E2"/>
    <w:rsid w:val="2DA4343D"/>
    <w:rsid w:val="2DAE18F2"/>
    <w:rsid w:val="2DD463B3"/>
    <w:rsid w:val="2DD94EBB"/>
    <w:rsid w:val="2E225A7F"/>
    <w:rsid w:val="2E3305CD"/>
    <w:rsid w:val="2E447885"/>
    <w:rsid w:val="2E451EA3"/>
    <w:rsid w:val="2E467EBE"/>
    <w:rsid w:val="2E5C2136"/>
    <w:rsid w:val="2E5E07B3"/>
    <w:rsid w:val="2E722BA7"/>
    <w:rsid w:val="2E7423FF"/>
    <w:rsid w:val="2EAC7A4A"/>
    <w:rsid w:val="2EC9096B"/>
    <w:rsid w:val="2EF33BB3"/>
    <w:rsid w:val="2EF700EA"/>
    <w:rsid w:val="2EFB4BA1"/>
    <w:rsid w:val="2F10799C"/>
    <w:rsid w:val="2F1126CD"/>
    <w:rsid w:val="2F1B740E"/>
    <w:rsid w:val="2F7E463C"/>
    <w:rsid w:val="2F940A97"/>
    <w:rsid w:val="2FA6287F"/>
    <w:rsid w:val="2FCD67FF"/>
    <w:rsid w:val="2FDB4C6B"/>
    <w:rsid w:val="2FE37DD1"/>
    <w:rsid w:val="2FF81ACE"/>
    <w:rsid w:val="30134B5A"/>
    <w:rsid w:val="301C3A87"/>
    <w:rsid w:val="301E0F8B"/>
    <w:rsid w:val="30536F23"/>
    <w:rsid w:val="306C49C7"/>
    <w:rsid w:val="30801526"/>
    <w:rsid w:val="308A103C"/>
    <w:rsid w:val="308B2942"/>
    <w:rsid w:val="30992039"/>
    <w:rsid w:val="30CB78A0"/>
    <w:rsid w:val="30D245C2"/>
    <w:rsid w:val="30E76C19"/>
    <w:rsid w:val="31104280"/>
    <w:rsid w:val="311C0355"/>
    <w:rsid w:val="31457A4F"/>
    <w:rsid w:val="31597143"/>
    <w:rsid w:val="31704145"/>
    <w:rsid w:val="31A40AF3"/>
    <w:rsid w:val="31B52584"/>
    <w:rsid w:val="31D153E6"/>
    <w:rsid w:val="31DB4B39"/>
    <w:rsid w:val="31E154FD"/>
    <w:rsid w:val="31E7493B"/>
    <w:rsid w:val="31F456A2"/>
    <w:rsid w:val="31F577F3"/>
    <w:rsid w:val="31FC5695"/>
    <w:rsid w:val="320B7E25"/>
    <w:rsid w:val="32176D89"/>
    <w:rsid w:val="32563986"/>
    <w:rsid w:val="326031C4"/>
    <w:rsid w:val="326B5E52"/>
    <w:rsid w:val="32791B8A"/>
    <w:rsid w:val="327B0795"/>
    <w:rsid w:val="3290493D"/>
    <w:rsid w:val="32AC082E"/>
    <w:rsid w:val="32CC5A4A"/>
    <w:rsid w:val="32CD0426"/>
    <w:rsid w:val="32D24FDE"/>
    <w:rsid w:val="32D54F55"/>
    <w:rsid w:val="33040FF6"/>
    <w:rsid w:val="33207296"/>
    <w:rsid w:val="334C5D3B"/>
    <w:rsid w:val="3352177B"/>
    <w:rsid w:val="3377444C"/>
    <w:rsid w:val="338628A8"/>
    <w:rsid w:val="33CB2D0C"/>
    <w:rsid w:val="33CE06E3"/>
    <w:rsid w:val="33D3179D"/>
    <w:rsid w:val="33D91C17"/>
    <w:rsid w:val="33EA3EC9"/>
    <w:rsid w:val="340F0F27"/>
    <w:rsid w:val="34836CD1"/>
    <w:rsid w:val="34930AF1"/>
    <w:rsid w:val="34D423D0"/>
    <w:rsid w:val="350B3DFB"/>
    <w:rsid w:val="351C3852"/>
    <w:rsid w:val="35270295"/>
    <w:rsid w:val="35441B04"/>
    <w:rsid w:val="355B2624"/>
    <w:rsid w:val="35651D30"/>
    <w:rsid w:val="35707C11"/>
    <w:rsid w:val="3582409F"/>
    <w:rsid w:val="35982C37"/>
    <w:rsid w:val="35A24C5B"/>
    <w:rsid w:val="360C21E6"/>
    <w:rsid w:val="36226ACF"/>
    <w:rsid w:val="3630528D"/>
    <w:rsid w:val="365263B1"/>
    <w:rsid w:val="3683502B"/>
    <w:rsid w:val="36CC00DD"/>
    <w:rsid w:val="36CE17DB"/>
    <w:rsid w:val="3712770A"/>
    <w:rsid w:val="3728419A"/>
    <w:rsid w:val="37352344"/>
    <w:rsid w:val="37370465"/>
    <w:rsid w:val="37490E61"/>
    <w:rsid w:val="376A396D"/>
    <w:rsid w:val="37A53BCE"/>
    <w:rsid w:val="37C13DD1"/>
    <w:rsid w:val="37F60D26"/>
    <w:rsid w:val="38121EB6"/>
    <w:rsid w:val="382C1246"/>
    <w:rsid w:val="382C3F85"/>
    <w:rsid w:val="383E1728"/>
    <w:rsid w:val="383E473E"/>
    <w:rsid w:val="38516DCD"/>
    <w:rsid w:val="385C7203"/>
    <w:rsid w:val="389B1D17"/>
    <w:rsid w:val="38A8774F"/>
    <w:rsid w:val="38CC77A0"/>
    <w:rsid w:val="38CD1538"/>
    <w:rsid w:val="38CD4818"/>
    <w:rsid w:val="38D823D1"/>
    <w:rsid w:val="39056633"/>
    <w:rsid w:val="390B4E58"/>
    <w:rsid w:val="39475874"/>
    <w:rsid w:val="394F3CCA"/>
    <w:rsid w:val="39621DD7"/>
    <w:rsid w:val="399A05C1"/>
    <w:rsid w:val="39C86F4E"/>
    <w:rsid w:val="39EB38E0"/>
    <w:rsid w:val="3A477B2D"/>
    <w:rsid w:val="3A7B136D"/>
    <w:rsid w:val="3A7C2097"/>
    <w:rsid w:val="3A8521B0"/>
    <w:rsid w:val="3A912E86"/>
    <w:rsid w:val="3A9F3811"/>
    <w:rsid w:val="3AA0543F"/>
    <w:rsid w:val="3AA53AF2"/>
    <w:rsid w:val="3AB26854"/>
    <w:rsid w:val="3AC20B4F"/>
    <w:rsid w:val="3AC60C8F"/>
    <w:rsid w:val="3ACE5267"/>
    <w:rsid w:val="3AEF3F90"/>
    <w:rsid w:val="3B01670A"/>
    <w:rsid w:val="3B2A1412"/>
    <w:rsid w:val="3B514119"/>
    <w:rsid w:val="3B524D62"/>
    <w:rsid w:val="3B6E2210"/>
    <w:rsid w:val="3B707E8B"/>
    <w:rsid w:val="3B933B5C"/>
    <w:rsid w:val="3BA47B45"/>
    <w:rsid w:val="3BD36DC0"/>
    <w:rsid w:val="3C073268"/>
    <w:rsid w:val="3C2159B0"/>
    <w:rsid w:val="3C6424D7"/>
    <w:rsid w:val="3C691D1B"/>
    <w:rsid w:val="3C7050E2"/>
    <w:rsid w:val="3C75508C"/>
    <w:rsid w:val="3C8E4D58"/>
    <w:rsid w:val="3CAD0704"/>
    <w:rsid w:val="3CC3268A"/>
    <w:rsid w:val="3D3F2344"/>
    <w:rsid w:val="3D4D2D2E"/>
    <w:rsid w:val="3D500F26"/>
    <w:rsid w:val="3D9E4C0D"/>
    <w:rsid w:val="3DCF2BDF"/>
    <w:rsid w:val="3DE06A63"/>
    <w:rsid w:val="3DE37813"/>
    <w:rsid w:val="3DFA33B2"/>
    <w:rsid w:val="3E040F4F"/>
    <w:rsid w:val="3E111FAD"/>
    <w:rsid w:val="3E1347D7"/>
    <w:rsid w:val="3E13501D"/>
    <w:rsid w:val="3E161A39"/>
    <w:rsid w:val="3E2A34AC"/>
    <w:rsid w:val="3E4E60C7"/>
    <w:rsid w:val="3E6B36D0"/>
    <w:rsid w:val="3E71195D"/>
    <w:rsid w:val="3E85147F"/>
    <w:rsid w:val="3E8E35FE"/>
    <w:rsid w:val="3E9F7093"/>
    <w:rsid w:val="3EA23144"/>
    <w:rsid w:val="3EFA1636"/>
    <w:rsid w:val="3F38463E"/>
    <w:rsid w:val="3F39073F"/>
    <w:rsid w:val="3F48085B"/>
    <w:rsid w:val="3F536A2F"/>
    <w:rsid w:val="3F5C0F35"/>
    <w:rsid w:val="3F5D3DBC"/>
    <w:rsid w:val="3F5F124E"/>
    <w:rsid w:val="3F9836A8"/>
    <w:rsid w:val="3FCE3A45"/>
    <w:rsid w:val="3FF554B3"/>
    <w:rsid w:val="400554ED"/>
    <w:rsid w:val="403A495C"/>
    <w:rsid w:val="4064196D"/>
    <w:rsid w:val="40665C9C"/>
    <w:rsid w:val="40813935"/>
    <w:rsid w:val="408B5629"/>
    <w:rsid w:val="409314CC"/>
    <w:rsid w:val="411A4394"/>
    <w:rsid w:val="414C7ECC"/>
    <w:rsid w:val="41747567"/>
    <w:rsid w:val="41786A9A"/>
    <w:rsid w:val="417F0FDE"/>
    <w:rsid w:val="4191768D"/>
    <w:rsid w:val="419F1134"/>
    <w:rsid w:val="41AB6083"/>
    <w:rsid w:val="41BB7C2F"/>
    <w:rsid w:val="41CC4F79"/>
    <w:rsid w:val="41E01DA7"/>
    <w:rsid w:val="41E713C5"/>
    <w:rsid w:val="41ED4D55"/>
    <w:rsid w:val="41F4579B"/>
    <w:rsid w:val="422A18B2"/>
    <w:rsid w:val="4250032B"/>
    <w:rsid w:val="42597F11"/>
    <w:rsid w:val="42A258CA"/>
    <w:rsid w:val="42E60FD4"/>
    <w:rsid w:val="43014CE6"/>
    <w:rsid w:val="431E139F"/>
    <w:rsid w:val="43696EBC"/>
    <w:rsid w:val="437B6392"/>
    <w:rsid w:val="437D720D"/>
    <w:rsid w:val="43DB336F"/>
    <w:rsid w:val="43EF52A5"/>
    <w:rsid w:val="44223166"/>
    <w:rsid w:val="4455693E"/>
    <w:rsid w:val="44894F93"/>
    <w:rsid w:val="4498617D"/>
    <w:rsid w:val="44CA52CC"/>
    <w:rsid w:val="450F7D35"/>
    <w:rsid w:val="451E5578"/>
    <w:rsid w:val="453768D9"/>
    <w:rsid w:val="455856EB"/>
    <w:rsid w:val="45690C18"/>
    <w:rsid w:val="458C7AB3"/>
    <w:rsid w:val="45A32084"/>
    <w:rsid w:val="45C070B2"/>
    <w:rsid w:val="45D74549"/>
    <w:rsid w:val="45DB181E"/>
    <w:rsid w:val="46072EE3"/>
    <w:rsid w:val="46096CF7"/>
    <w:rsid w:val="462A7814"/>
    <w:rsid w:val="462E6911"/>
    <w:rsid w:val="46401F41"/>
    <w:rsid w:val="46446B3E"/>
    <w:rsid w:val="46652DCE"/>
    <w:rsid w:val="46A27927"/>
    <w:rsid w:val="46B428C9"/>
    <w:rsid w:val="46CC17CB"/>
    <w:rsid w:val="46FA59AC"/>
    <w:rsid w:val="4703102D"/>
    <w:rsid w:val="47243340"/>
    <w:rsid w:val="47472974"/>
    <w:rsid w:val="474E7981"/>
    <w:rsid w:val="47531ED6"/>
    <w:rsid w:val="475B1488"/>
    <w:rsid w:val="475D6979"/>
    <w:rsid w:val="477361B6"/>
    <w:rsid w:val="47777335"/>
    <w:rsid w:val="477814AE"/>
    <w:rsid w:val="47AD0233"/>
    <w:rsid w:val="480E1DCD"/>
    <w:rsid w:val="481510D5"/>
    <w:rsid w:val="483C182E"/>
    <w:rsid w:val="48547045"/>
    <w:rsid w:val="48606481"/>
    <w:rsid w:val="487A18B3"/>
    <w:rsid w:val="488D20B3"/>
    <w:rsid w:val="48941B34"/>
    <w:rsid w:val="48953043"/>
    <w:rsid w:val="48B4421D"/>
    <w:rsid w:val="48E41AE4"/>
    <w:rsid w:val="490310FB"/>
    <w:rsid w:val="49125150"/>
    <w:rsid w:val="49155A35"/>
    <w:rsid w:val="49226CEC"/>
    <w:rsid w:val="493E72CB"/>
    <w:rsid w:val="495B232A"/>
    <w:rsid w:val="49611087"/>
    <w:rsid w:val="496C49A2"/>
    <w:rsid w:val="497F2A01"/>
    <w:rsid w:val="49824D4B"/>
    <w:rsid w:val="498C76DA"/>
    <w:rsid w:val="49A56036"/>
    <w:rsid w:val="49CA5E32"/>
    <w:rsid w:val="49D11BF0"/>
    <w:rsid w:val="49E30CA1"/>
    <w:rsid w:val="49E65C88"/>
    <w:rsid w:val="4A12000E"/>
    <w:rsid w:val="4A3573CB"/>
    <w:rsid w:val="4A591CA0"/>
    <w:rsid w:val="4A5A7E26"/>
    <w:rsid w:val="4A734B5A"/>
    <w:rsid w:val="4A7620DD"/>
    <w:rsid w:val="4AA10D1C"/>
    <w:rsid w:val="4AB81AEC"/>
    <w:rsid w:val="4AB841A0"/>
    <w:rsid w:val="4AC7725F"/>
    <w:rsid w:val="4AE640EA"/>
    <w:rsid w:val="4B0B7F9B"/>
    <w:rsid w:val="4B185E2C"/>
    <w:rsid w:val="4B21430B"/>
    <w:rsid w:val="4B692391"/>
    <w:rsid w:val="4B6B71A0"/>
    <w:rsid w:val="4B7342A7"/>
    <w:rsid w:val="4B910B8B"/>
    <w:rsid w:val="4BBA2153"/>
    <w:rsid w:val="4BDD639B"/>
    <w:rsid w:val="4BE57A65"/>
    <w:rsid w:val="4C0132D4"/>
    <w:rsid w:val="4C206167"/>
    <w:rsid w:val="4C43011D"/>
    <w:rsid w:val="4C4E363F"/>
    <w:rsid w:val="4CB266AC"/>
    <w:rsid w:val="4CC15164"/>
    <w:rsid w:val="4CCC3C6F"/>
    <w:rsid w:val="4CF667AD"/>
    <w:rsid w:val="4D090A1F"/>
    <w:rsid w:val="4D241CFD"/>
    <w:rsid w:val="4D493BCF"/>
    <w:rsid w:val="4D4D2FBA"/>
    <w:rsid w:val="4D915612"/>
    <w:rsid w:val="4D97427D"/>
    <w:rsid w:val="4DC16643"/>
    <w:rsid w:val="4DDC4386"/>
    <w:rsid w:val="4E2E29AE"/>
    <w:rsid w:val="4E485247"/>
    <w:rsid w:val="4E4E1750"/>
    <w:rsid w:val="4E571EC7"/>
    <w:rsid w:val="4E7F0FE9"/>
    <w:rsid w:val="4E81283B"/>
    <w:rsid w:val="4E8B2A91"/>
    <w:rsid w:val="4E9451A3"/>
    <w:rsid w:val="4EBE7E62"/>
    <w:rsid w:val="4ED80404"/>
    <w:rsid w:val="4ED80FF1"/>
    <w:rsid w:val="4F183BBE"/>
    <w:rsid w:val="4F2B6C73"/>
    <w:rsid w:val="4F3912F9"/>
    <w:rsid w:val="4F39206A"/>
    <w:rsid w:val="4F3E0B1B"/>
    <w:rsid w:val="4F560990"/>
    <w:rsid w:val="4F6951EC"/>
    <w:rsid w:val="4F824E3E"/>
    <w:rsid w:val="4FB16B60"/>
    <w:rsid w:val="4FC74BC1"/>
    <w:rsid w:val="501F0F6B"/>
    <w:rsid w:val="50316C15"/>
    <w:rsid w:val="504D7ABE"/>
    <w:rsid w:val="50633BC8"/>
    <w:rsid w:val="506A1143"/>
    <w:rsid w:val="506A211C"/>
    <w:rsid w:val="50854BED"/>
    <w:rsid w:val="50A110AB"/>
    <w:rsid w:val="50CF3B08"/>
    <w:rsid w:val="50F33616"/>
    <w:rsid w:val="510D2520"/>
    <w:rsid w:val="511B204C"/>
    <w:rsid w:val="511D6D6B"/>
    <w:rsid w:val="512661F5"/>
    <w:rsid w:val="513A1760"/>
    <w:rsid w:val="51733CFC"/>
    <w:rsid w:val="51767BC1"/>
    <w:rsid w:val="51937451"/>
    <w:rsid w:val="51961864"/>
    <w:rsid w:val="519B7E83"/>
    <w:rsid w:val="51B573C7"/>
    <w:rsid w:val="51B96712"/>
    <w:rsid w:val="51E44F46"/>
    <w:rsid w:val="51E77807"/>
    <w:rsid w:val="51FA269F"/>
    <w:rsid w:val="522F0523"/>
    <w:rsid w:val="52447862"/>
    <w:rsid w:val="52451A66"/>
    <w:rsid w:val="524E3EE3"/>
    <w:rsid w:val="525370ED"/>
    <w:rsid w:val="52791AEA"/>
    <w:rsid w:val="529078A6"/>
    <w:rsid w:val="52A128A1"/>
    <w:rsid w:val="52A753EF"/>
    <w:rsid w:val="52D63FF8"/>
    <w:rsid w:val="531E4E74"/>
    <w:rsid w:val="532144A6"/>
    <w:rsid w:val="53503A50"/>
    <w:rsid w:val="539140F0"/>
    <w:rsid w:val="53A44C92"/>
    <w:rsid w:val="53A71565"/>
    <w:rsid w:val="53B35830"/>
    <w:rsid w:val="53D81DB5"/>
    <w:rsid w:val="53E564B8"/>
    <w:rsid w:val="53F05C88"/>
    <w:rsid w:val="540526A0"/>
    <w:rsid w:val="541904E0"/>
    <w:rsid w:val="545509EE"/>
    <w:rsid w:val="54572E14"/>
    <w:rsid w:val="54845526"/>
    <w:rsid w:val="54863281"/>
    <w:rsid w:val="548811A0"/>
    <w:rsid w:val="54BE6435"/>
    <w:rsid w:val="5508687A"/>
    <w:rsid w:val="55253F43"/>
    <w:rsid w:val="553618CB"/>
    <w:rsid w:val="555605EA"/>
    <w:rsid w:val="55866D12"/>
    <w:rsid w:val="55CD7ADD"/>
    <w:rsid w:val="55CF5D1D"/>
    <w:rsid w:val="55DF4FAC"/>
    <w:rsid w:val="56344EFC"/>
    <w:rsid w:val="56963E3D"/>
    <w:rsid w:val="56B341B2"/>
    <w:rsid w:val="56ED01B5"/>
    <w:rsid w:val="570606C5"/>
    <w:rsid w:val="57162241"/>
    <w:rsid w:val="57290746"/>
    <w:rsid w:val="57307572"/>
    <w:rsid w:val="574636DF"/>
    <w:rsid w:val="575528B8"/>
    <w:rsid w:val="575B0FEC"/>
    <w:rsid w:val="57641E83"/>
    <w:rsid w:val="57843634"/>
    <w:rsid w:val="57AA6E40"/>
    <w:rsid w:val="57BC4EF5"/>
    <w:rsid w:val="57DC2DA2"/>
    <w:rsid w:val="5807659B"/>
    <w:rsid w:val="58176340"/>
    <w:rsid w:val="584624A6"/>
    <w:rsid w:val="58615BB3"/>
    <w:rsid w:val="587B55C9"/>
    <w:rsid w:val="58A56792"/>
    <w:rsid w:val="58E5739D"/>
    <w:rsid w:val="58F5622F"/>
    <w:rsid w:val="5941390F"/>
    <w:rsid w:val="594362DC"/>
    <w:rsid w:val="59722F4A"/>
    <w:rsid w:val="599F0523"/>
    <w:rsid w:val="59A92D10"/>
    <w:rsid w:val="59C42BA7"/>
    <w:rsid w:val="59D40A37"/>
    <w:rsid w:val="59E30306"/>
    <w:rsid w:val="5A15795D"/>
    <w:rsid w:val="5A250F78"/>
    <w:rsid w:val="5A284DD7"/>
    <w:rsid w:val="5A316D64"/>
    <w:rsid w:val="5A442520"/>
    <w:rsid w:val="5A862384"/>
    <w:rsid w:val="5AB04EA9"/>
    <w:rsid w:val="5AC01A2B"/>
    <w:rsid w:val="5ACD5782"/>
    <w:rsid w:val="5AE708C0"/>
    <w:rsid w:val="5AEA56F9"/>
    <w:rsid w:val="5AFC2796"/>
    <w:rsid w:val="5B1778F0"/>
    <w:rsid w:val="5B344415"/>
    <w:rsid w:val="5B5A6EC2"/>
    <w:rsid w:val="5B70273B"/>
    <w:rsid w:val="5B7976B8"/>
    <w:rsid w:val="5B7A33B6"/>
    <w:rsid w:val="5B8878FB"/>
    <w:rsid w:val="5B9D1601"/>
    <w:rsid w:val="5BB26EFB"/>
    <w:rsid w:val="5BBC5EAF"/>
    <w:rsid w:val="5BC31C4E"/>
    <w:rsid w:val="5BC87A11"/>
    <w:rsid w:val="5BF72A57"/>
    <w:rsid w:val="5C2724E5"/>
    <w:rsid w:val="5C582CC5"/>
    <w:rsid w:val="5C6544C8"/>
    <w:rsid w:val="5C900994"/>
    <w:rsid w:val="5CD265EA"/>
    <w:rsid w:val="5CE51D8C"/>
    <w:rsid w:val="5CE84886"/>
    <w:rsid w:val="5CF57FC4"/>
    <w:rsid w:val="5D3C6019"/>
    <w:rsid w:val="5D3C7323"/>
    <w:rsid w:val="5D5A0E23"/>
    <w:rsid w:val="5DB263FE"/>
    <w:rsid w:val="5DB66078"/>
    <w:rsid w:val="5DE5712B"/>
    <w:rsid w:val="5DF06B6E"/>
    <w:rsid w:val="5E09741F"/>
    <w:rsid w:val="5E3B19D1"/>
    <w:rsid w:val="5E411B1D"/>
    <w:rsid w:val="5E574CB3"/>
    <w:rsid w:val="5EAA5F7E"/>
    <w:rsid w:val="5EBC6616"/>
    <w:rsid w:val="5EC95286"/>
    <w:rsid w:val="5ECB7662"/>
    <w:rsid w:val="5EF96655"/>
    <w:rsid w:val="5F2724CF"/>
    <w:rsid w:val="5F376A5A"/>
    <w:rsid w:val="5F3A4AC9"/>
    <w:rsid w:val="5F4727B5"/>
    <w:rsid w:val="5F727BC2"/>
    <w:rsid w:val="5F991F33"/>
    <w:rsid w:val="5FC93C46"/>
    <w:rsid w:val="5FD802B7"/>
    <w:rsid w:val="5FDC3EE7"/>
    <w:rsid w:val="60266554"/>
    <w:rsid w:val="60272032"/>
    <w:rsid w:val="602E47BF"/>
    <w:rsid w:val="6050705E"/>
    <w:rsid w:val="609F6B7E"/>
    <w:rsid w:val="60A94F1B"/>
    <w:rsid w:val="60AC5C7D"/>
    <w:rsid w:val="60C779CB"/>
    <w:rsid w:val="6128624D"/>
    <w:rsid w:val="615F1987"/>
    <w:rsid w:val="616474CA"/>
    <w:rsid w:val="61777959"/>
    <w:rsid w:val="61803EB2"/>
    <w:rsid w:val="61857C38"/>
    <w:rsid w:val="61DA0C4B"/>
    <w:rsid w:val="623F5ACA"/>
    <w:rsid w:val="624C1682"/>
    <w:rsid w:val="624D71A8"/>
    <w:rsid w:val="626F47C4"/>
    <w:rsid w:val="627807C2"/>
    <w:rsid w:val="62A374ED"/>
    <w:rsid w:val="62D63281"/>
    <w:rsid w:val="62EB387B"/>
    <w:rsid w:val="62FF7A7A"/>
    <w:rsid w:val="630C1822"/>
    <w:rsid w:val="631E4F4F"/>
    <w:rsid w:val="63306775"/>
    <w:rsid w:val="63B3128D"/>
    <w:rsid w:val="63B5634B"/>
    <w:rsid w:val="63C97EF5"/>
    <w:rsid w:val="63D14136"/>
    <w:rsid w:val="6401363E"/>
    <w:rsid w:val="641E310D"/>
    <w:rsid w:val="64663903"/>
    <w:rsid w:val="64AE3167"/>
    <w:rsid w:val="64B4350F"/>
    <w:rsid w:val="64B97D35"/>
    <w:rsid w:val="64C2737D"/>
    <w:rsid w:val="64D94D5A"/>
    <w:rsid w:val="650422DB"/>
    <w:rsid w:val="65047888"/>
    <w:rsid w:val="653321A0"/>
    <w:rsid w:val="65390123"/>
    <w:rsid w:val="653A348A"/>
    <w:rsid w:val="65400C5E"/>
    <w:rsid w:val="657D7E8A"/>
    <w:rsid w:val="658069B6"/>
    <w:rsid w:val="658E5481"/>
    <w:rsid w:val="659916BC"/>
    <w:rsid w:val="659C41FC"/>
    <w:rsid w:val="65B62E90"/>
    <w:rsid w:val="65DC0F6F"/>
    <w:rsid w:val="65EF6109"/>
    <w:rsid w:val="65F22540"/>
    <w:rsid w:val="65FE3493"/>
    <w:rsid w:val="6614147E"/>
    <w:rsid w:val="663E0F10"/>
    <w:rsid w:val="663F414B"/>
    <w:rsid w:val="665C5C0C"/>
    <w:rsid w:val="66723DAC"/>
    <w:rsid w:val="66813159"/>
    <w:rsid w:val="66882EA5"/>
    <w:rsid w:val="668F1478"/>
    <w:rsid w:val="66967B63"/>
    <w:rsid w:val="66DB2FD4"/>
    <w:rsid w:val="66FC31BA"/>
    <w:rsid w:val="672F7F97"/>
    <w:rsid w:val="67392DEC"/>
    <w:rsid w:val="67457E48"/>
    <w:rsid w:val="67466644"/>
    <w:rsid w:val="67705E13"/>
    <w:rsid w:val="67765E96"/>
    <w:rsid w:val="67872893"/>
    <w:rsid w:val="67F2636F"/>
    <w:rsid w:val="681532B7"/>
    <w:rsid w:val="68164373"/>
    <w:rsid w:val="68425AEE"/>
    <w:rsid w:val="68703BF0"/>
    <w:rsid w:val="687765F2"/>
    <w:rsid w:val="68B83DA8"/>
    <w:rsid w:val="68C37DB6"/>
    <w:rsid w:val="68C539EF"/>
    <w:rsid w:val="68F013E2"/>
    <w:rsid w:val="69006F9B"/>
    <w:rsid w:val="69021DE1"/>
    <w:rsid w:val="69034A64"/>
    <w:rsid w:val="69235E31"/>
    <w:rsid w:val="69366E32"/>
    <w:rsid w:val="693C3A07"/>
    <w:rsid w:val="69AA1A26"/>
    <w:rsid w:val="69C013F2"/>
    <w:rsid w:val="69F83BC7"/>
    <w:rsid w:val="6A515AC2"/>
    <w:rsid w:val="6A5959A1"/>
    <w:rsid w:val="6A7670C5"/>
    <w:rsid w:val="6A8736F1"/>
    <w:rsid w:val="6ABD2832"/>
    <w:rsid w:val="6AC5370F"/>
    <w:rsid w:val="6B255FBE"/>
    <w:rsid w:val="6B2A272B"/>
    <w:rsid w:val="6B39390B"/>
    <w:rsid w:val="6B4D5025"/>
    <w:rsid w:val="6B5A5A2B"/>
    <w:rsid w:val="6B89408C"/>
    <w:rsid w:val="6BF630E7"/>
    <w:rsid w:val="6BFD5CFA"/>
    <w:rsid w:val="6C0470A5"/>
    <w:rsid w:val="6C4B103B"/>
    <w:rsid w:val="6C5866FC"/>
    <w:rsid w:val="6C601D19"/>
    <w:rsid w:val="6C9C6627"/>
    <w:rsid w:val="6CB73A58"/>
    <w:rsid w:val="6D1F37E1"/>
    <w:rsid w:val="6D327F22"/>
    <w:rsid w:val="6D45389E"/>
    <w:rsid w:val="6D686504"/>
    <w:rsid w:val="6D7013EF"/>
    <w:rsid w:val="6D7879AA"/>
    <w:rsid w:val="6D8C58DC"/>
    <w:rsid w:val="6D93168C"/>
    <w:rsid w:val="6D997F7C"/>
    <w:rsid w:val="6DCA214A"/>
    <w:rsid w:val="6DD37E2F"/>
    <w:rsid w:val="6DE061DA"/>
    <w:rsid w:val="6DE323D1"/>
    <w:rsid w:val="6E2A6842"/>
    <w:rsid w:val="6E8C7EFB"/>
    <w:rsid w:val="6E9A45B4"/>
    <w:rsid w:val="6EC5410B"/>
    <w:rsid w:val="6EC63635"/>
    <w:rsid w:val="6EC86472"/>
    <w:rsid w:val="6ED14B61"/>
    <w:rsid w:val="6EFE6B79"/>
    <w:rsid w:val="6F50591F"/>
    <w:rsid w:val="6F654B52"/>
    <w:rsid w:val="6F743933"/>
    <w:rsid w:val="6FA470F0"/>
    <w:rsid w:val="6FAE0FED"/>
    <w:rsid w:val="6FB06B87"/>
    <w:rsid w:val="6FBC7A43"/>
    <w:rsid w:val="6FD24250"/>
    <w:rsid w:val="6FD36F5D"/>
    <w:rsid w:val="700F1F41"/>
    <w:rsid w:val="70311237"/>
    <w:rsid w:val="7047527A"/>
    <w:rsid w:val="706E4EB9"/>
    <w:rsid w:val="7078448B"/>
    <w:rsid w:val="708E06E3"/>
    <w:rsid w:val="70B6693D"/>
    <w:rsid w:val="70E750C7"/>
    <w:rsid w:val="70F02C5E"/>
    <w:rsid w:val="70F151C8"/>
    <w:rsid w:val="70F25D82"/>
    <w:rsid w:val="7137627A"/>
    <w:rsid w:val="713C51CD"/>
    <w:rsid w:val="71487932"/>
    <w:rsid w:val="7183025C"/>
    <w:rsid w:val="719F29C7"/>
    <w:rsid w:val="71C70D25"/>
    <w:rsid w:val="71D23226"/>
    <w:rsid w:val="71E25C28"/>
    <w:rsid w:val="72224483"/>
    <w:rsid w:val="72270754"/>
    <w:rsid w:val="7249173A"/>
    <w:rsid w:val="72586EA4"/>
    <w:rsid w:val="727B020D"/>
    <w:rsid w:val="7282631B"/>
    <w:rsid w:val="72993751"/>
    <w:rsid w:val="729E36F2"/>
    <w:rsid w:val="72B03B48"/>
    <w:rsid w:val="72D40B66"/>
    <w:rsid w:val="72E74AAF"/>
    <w:rsid w:val="72F77F58"/>
    <w:rsid w:val="73256B37"/>
    <w:rsid w:val="734168B5"/>
    <w:rsid w:val="735E5064"/>
    <w:rsid w:val="735F5663"/>
    <w:rsid w:val="73650BEF"/>
    <w:rsid w:val="736B3932"/>
    <w:rsid w:val="73726D01"/>
    <w:rsid w:val="73851CB3"/>
    <w:rsid w:val="739C4797"/>
    <w:rsid w:val="73C5052A"/>
    <w:rsid w:val="73EF3D8F"/>
    <w:rsid w:val="740A7612"/>
    <w:rsid w:val="74654825"/>
    <w:rsid w:val="746B1900"/>
    <w:rsid w:val="7474407D"/>
    <w:rsid w:val="74A66ABD"/>
    <w:rsid w:val="74E04199"/>
    <w:rsid w:val="750F01C1"/>
    <w:rsid w:val="752F51CC"/>
    <w:rsid w:val="7540635A"/>
    <w:rsid w:val="758331B5"/>
    <w:rsid w:val="759C38B3"/>
    <w:rsid w:val="75B41433"/>
    <w:rsid w:val="75BD0315"/>
    <w:rsid w:val="75C93109"/>
    <w:rsid w:val="75E25EDD"/>
    <w:rsid w:val="763225E4"/>
    <w:rsid w:val="763541D5"/>
    <w:rsid w:val="765E765C"/>
    <w:rsid w:val="768D4629"/>
    <w:rsid w:val="76946CFC"/>
    <w:rsid w:val="76AF2DB0"/>
    <w:rsid w:val="76D06F30"/>
    <w:rsid w:val="76D72DA9"/>
    <w:rsid w:val="76F030FC"/>
    <w:rsid w:val="77014888"/>
    <w:rsid w:val="77017FC3"/>
    <w:rsid w:val="77163F96"/>
    <w:rsid w:val="77233F7D"/>
    <w:rsid w:val="772A140E"/>
    <w:rsid w:val="774A1BCA"/>
    <w:rsid w:val="774B621A"/>
    <w:rsid w:val="775E0159"/>
    <w:rsid w:val="777B7079"/>
    <w:rsid w:val="779C58A6"/>
    <w:rsid w:val="77C37D5B"/>
    <w:rsid w:val="77E1578A"/>
    <w:rsid w:val="781E6A06"/>
    <w:rsid w:val="783D525A"/>
    <w:rsid w:val="7859032F"/>
    <w:rsid w:val="785E7A7B"/>
    <w:rsid w:val="78650950"/>
    <w:rsid w:val="789F554B"/>
    <w:rsid w:val="78AF73A3"/>
    <w:rsid w:val="78EC2DF4"/>
    <w:rsid w:val="79295E21"/>
    <w:rsid w:val="794C4546"/>
    <w:rsid w:val="795F1843"/>
    <w:rsid w:val="797F61DF"/>
    <w:rsid w:val="79905EA0"/>
    <w:rsid w:val="79A82EBD"/>
    <w:rsid w:val="79CF3D70"/>
    <w:rsid w:val="79D62B9E"/>
    <w:rsid w:val="79DF17F3"/>
    <w:rsid w:val="7A166013"/>
    <w:rsid w:val="7A241802"/>
    <w:rsid w:val="7A320D06"/>
    <w:rsid w:val="7A4A0E36"/>
    <w:rsid w:val="7A4B0BA9"/>
    <w:rsid w:val="7A53517D"/>
    <w:rsid w:val="7A542A3D"/>
    <w:rsid w:val="7A762411"/>
    <w:rsid w:val="7A8C7CD2"/>
    <w:rsid w:val="7A9A7679"/>
    <w:rsid w:val="7A9C7E8B"/>
    <w:rsid w:val="7ACA32FC"/>
    <w:rsid w:val="7ACD7F8E"/>
    <w:rsid w:val="7AE64DA7"/>
    <w:rsid w:val="7AE919DB"/>
    <w:rsid w:val="7B1C254D"/>
    <w:rsid w:val="7B4D1277"/>
    <w:rsid w:val="7B56270B"/>
    <w:rsid w:val="7BA52BA6"/>
    <w:rsid w:val="7BAA38AB"/>
    <w:rsid w:val="7BD05B41"/>
    <w:rsid w:val="7BF15813"/>
    <w:rsid w:val="7C0B36A2"/>
    <w:rsid w:val="7C20562E"/>
    <w:rsid w:val="7C430F3A"/>
    <w:rsid w:val="7C580EE2"/>
    <w:rsid w:val="7C8E4DA9"/>
    <w:rsid w:val="7CA81B6A"/>
    <w:rsid w:val="7CE5519E"/>
    <w:rsid w:val="7CEF0442"/>
    <w:rsid w:val="7CFC6CE2"/>
    <w:rsid w:val="7D0E6731"/>
    <w:rsid w:val="7D2B4A68"/>
    <w:rsid w:val="7D320648"/>
    <w:rsid w:val="7D5F08A0"/>
    <w:rsid w:val="7D623EED"/>
    <w:rsid w:val="7D871C83"/>
    <w:rsid w:val="7D935CBD"/>
    <w:rsid w:val="7E1A416C"/>
    <w:rsid w:val="7E1C466D"/>
    <w:rsid w:val="7E2356AB"/>
    <w:rsid w:val="7E2A566F"/>
    <w:rsid w:val="7E376491"/>
    <w:rsid w:val="7E710087"/>
    <w:rsid w:val="7EDD04C3"/>
    <w:rsid w:val="7EE06F82"/>
    <w:rsid w:val="7F1E3DBB"/>
    <w:rsid w:val="7F2A3C2D"/>
    <w:rsid w:val="7F346D83"/>
    <w:rsid w:val="7F4B401A"/>
    <w:rsid w:val="7F4F37E1"/>
    <w:rsid w:val="7F5D4A77"/>
    <w:rsid w:val="7F8C250A"/>
    <w:rsid w:val="7F987ECC"/>
    <w:rsid w:val="7FA1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numPr>
        <w:ilvl w:val="2"/>
        <w:numId w:val="1"/>
      </w:numPr>
      <w:tabs>
        <w:tab w:val="clear" w:pos="1560"/>
      </w:tabs>
      <w:ind w:left="1260"/>
      <w:jc w:val="left"/>
      <w:outlineLvl w:val="0"/>
    </w:pPr>
    <w:rPr>
      <w:sz w:val="32"/>
    </w:rPr>
  </w:style>
  <w:style w:type="paragraph" w:styleId="5">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paragraph" w:styleId="6">
    <w:name w:val="heading 3"/>
    <w:basedOn w:val="1"/>
    <w:next w:val="1"/>
    <w:qFormat/>
    <w:uiPriority w:val="0"/>
    <w:pPr>
      <w:keepNext/>
      <w:keepLines/>
      <w:spacing w:before="260" w:after="260" w:line="416" w:lineRule="atLeast"/>
      <w:ind w:firstLine="200" w:firstLineChars="200"/>
      <w:outlineLvl w:val="2"/>
    </w:pPr>
    <w:rPr>
      <w:b/>
      <w:bCs/>
      <w:sz w:val="32"/>
      <w:szCs w:val="32"/>
    </w:rPr>
  </w:style>
  <w:style w:type="paragraph" w:styleId="7">
    <w:name w:val="heading 4"/>
    <w:basedOn w:val="1"/>
    <w:next w:val="1"/>
    <w:qFormat/>
    <w:uiPriority w:val="0"/>
    <w:pPr>
      <w:spacing w:before="100" w:beforeAutospacing="1" w:after="100" w:afterAutospacing="1"/>
      <w:jc w:val="left"/>
      <w:outlineLvl w:val="3"/>
    </w:pPr>
    <w:rPr>
      <w:rFonts w:hint="eastAsia" w:ascii="宋体" w:hAnsi="宋体"/>
      <w:b/>
      <w:kern w:val="0"/>
      <w:sz w:val="24"/>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toc 4"/>
    <w:basedOn w:val="1"/>
    <w:next w:val="1"/>
    <w:semiHidden/>
    <w:qFormat/>
    <w:uiPriority w:val="0"/>
    <w:pPr>
      <w:ind w:left="630"/>
      <w:jc w:val="left"/>
    </w:pPr>
    <w:rPr>
      <w:sz w:val="18"/>
      <w:szCs w:val="18"/>
    </w:rPr>
  </w:style>
  <w:style w:type="paragraph" w:styleId="8">
    <w:name w:val="toc 7"/>
    <w:basedOn w:val="1"/>
    <w:next w:val="1"/>
    <w:semiHidden/>
    <w:qFormat/>
    <w:uiPriority w:val="0"/>
    <w:pPr>
      <w:ind w:left="1260"/>
      <w:jc w:val="left"/>
    </w:pPr>
    <w:rPr>
      <w:sz w:val="18"/>
      <w:szCs w:val="18"/>
    </w:rPr>
  </w:style>
  <w:style w:type="paragraph" w:styleId="9">
    <w:name w:val="Body Text"/>
    <w:basedOn w:val="1"/>
    <w:qFormat/>
    <w:uiPriority w:val="0"/>
    <w:rPr>
      <w:rFonts w:eastAsia="仿宋体"/>
      <w:kern w:val="0"/>
      <w:szCs w:val="20"/>
    </w:rPr>
  </w:style>
  <w:style w:type="paragraph" w:styleId="10">
    <w:name w:val="Body Text Indent"/>
    <w:basedOn w:val="1"/>
    <w:qFormat/>
    <w:uiPriority w:val="0"/>
    <w:pPr>
      <w:spacing w:line="540" w:lineRule="exact"/>
      <w:ind w:left="133" w:firstLine="560"/>
    </w:pPr>
    <w:rPr>
      <w:rFonts w:ascii="楷体_GB2312" w:hAnsi="宋体" w:eastAsia="楷体_GB2312"/>
      <w:sz w:val="32"/>
    </w:rPr>
  </w:style>
  <w:style w:type="paragraph" w:styleId="11">
    <w:name w:val="toc 5"/>
    <w:basedOn w:val="1"/>
    <w:next w:val="1"/>
    <w:semiHidden/>
    <w:qFormat/>
    <w:uiPriority w:val="0"/>
    <w:pPr>
      <w:ind w:left="840"/>
      <w:jc w:val="left"/>
    </w:pPr>
    <w:rPr>
      <w:sz w:val="18"/>
      <w:szCs w:val="18"/>
    </w:rPr>
  </w:style>
  <w:style w:type="paragraph" w:styleId="12">
    <w:name w:val="toc 3"/>
    <w:basedOn w:val="1"/>
    <w:next w:val="1"/>
    <w:semiHidden/>
    <w:qFormat/>
    <w:uiPriority w:val="0"/>
    <w:pPr>
      <w:ind w:left="420"/>
      <w:jc w:val="left"/>
    </w:pPr>
    <w:rPr>
      <w:i/>
      <w:iCs/>
      <w:sz w:val="20"/>
      <w:szCs w:val="20"/>
    </w:rPr>
  </w:style>
  <w:style w:type="paragraph" w:styleId="13">
    <w:name w:val="Plain Text"/>
    <w:basedOn w:val="1"/>
    <w:qFormat/>
    <w:uiPriority w:val="0"/>
    <w:rPr>
      <w:rFonts w:ascii="宋体" w:hAnsi="Courier New"/>
      <w:szCs w:val="20"/>
    </w:rPr>
  </w:style>
  <w:style w:type="paragraph" w:styleId="14">
    <w:name w:val="toc 8"/>
    <w:basedOn w:val="1"/>
    <w:next w:val="1"/>
    <w:semiHidden/>
    <w:qFormat/>
    <w:uiPriority w:val="0"/>
    <w:pPr>
      <w:ind w:left="1470"/>
      <w:jc w:val="left"/>
    </w:pPr>
    <w:rPr>
      <w:sz w:val="18"/>
      <w:szCs w:val="18"/>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tabs>
        <w:tab w:val="left" w:pos="2985"/>
      </w:tabs>
      <w:ind w:firstLine="640" w:firstLineChars="200"/>
    </w:pPr>
    <w:rPr>
      <w:rFonts w:ascii="宋体" w:hAnsi="宋体" w:eastAsia="楷体_GB2312"/>
      <w:sz w:val="32"/>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spacing w:before="120" w:after="120"/>
      <w:jc w:val="left"/>
    </w:pPr>
    <w:rPr>
      <w:b/>
      <w:bCs/>
      <w:caps/>
      <w:sz w:val="20"/>
      <w:szCs w:val="20"/>
    </w:rPr>
  </w:style>
  <w:style w:type="paragraph" w:styleId="20">
    <w:name w:val="List"/>
    <w:basedOn w:val="1"/>
    <w:qFormat/>
    <w:uiPriority w:val="0"/>
    <w:pPr>
      <w:adjustRightInd w:val="0"/>
      <w:textAlignment w:val="baseline"/>
    </w:pPr>
    <w:rPr>
      <w:kern w:val="0"/>
      <w:szCs w:val="20"/>
    </w:rPr>
  </w:style>
  <w:style w:type="paragraph" w:styleId="21">
    <w:name w:val="toc 6"/>
    <w:basedOn w:val="1"/>
    <w:next w:val="1"/>
    <w:semiHidden/>
    <w:qFormat/>
    <w:uiPriority w:val="0"/>
    <w:pPr>
      <w:ind w:left="1050"/>
      <w:jc w:val="left"/>
    </w:pPr>
    <w:rPr>
      <w:sz w:val="18"/>
      <w:szCs w:val="18"/>
    </w:rPr>
  </w:style>
  <w:style w:type="paragraph" w:styleId="22">
    <w:name w:val="Body Text Indent 3"/>
    <w:basedOn w:val="1"/>
    <w:qFormat/>
    <w:uiPriority w:val="0"/>
    <w:pPr>
      <w:ind w:firstLine="560" w:firstLineChars="200"/>
    </w:pPr>
    <w:rPr>
      <w:rFonts w:ascii="宋体" w:hAnsi="宋体"/>
      <w:sz w:val="28"/>
    </w:rPr>
  </w:style>
  <w:style w:type="paragraph" w:styleId="23">
    <w:name w:val="toc 2"/>
    <w:basedOn w:val="1"/>
    <w:next w:val="1"/>
    <w:semiHidden/>
    <w:qFormat/>
    <w:uiPriority w:val="0"/>
    <w:pPr>
      <w:ind w:left="210"/>
      <w:jc w:val="left"/>
    </w:pPr>
    <w:rPr>
      <w:smallCaps/>
      <w:sz w:val="20"/>
      <w:szCs w:val="20"/>
    </w:rPr>
  </w:style>
  <w:style w:type="paragraph" w:styleId="24">
    <w:name w:val="toc 9"/>
    <w:basedOn w:val="1"/>
    <w:next w:val="1"/>
    <w:semiHidden/>
    <w:qFormat/>
    <w:uiPriority w:val="0"/>
    <w:pPr>
      <w:ind w:left="1680"/>
      <w:jc w:val="left"/>
    </w:pPr>
    <w:rPr>
      <w:sz w:val="18"/>
      <w:szCs w:val="18"/>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rPr>
  </w:style>
  <w:style w:type="character" w:styleId="30">
    <w:name w:val="page number"/>
    <w:qFormat/>
    <w:uiPriority w:val="0"/>
  </w:style>
  <w:style w:type="character" w:styleId="31">
    <w:name w:val="FollowedHyperlink"/>
    <w:qFormat/>
    <w:uiPriority w:val="0"/>
    <w:rPr>
      <w:color w:val="800080"/>
      <w:u w:val="none"/>
    </w:rPr>
  </w:style>
  <w:style w:type="character" w:styleId="32">
    <w:name w:val="Emphasis"/>
    <w:qFormat/>
    <w:uiPriority w:val="0"/>
  </w:style>
  <w:style w:type="character" w:styleId="33">
    <w:name w:val="HTML Variable"/>
    <w:qFormat/>
    <w:uiPriority w:val="0"/>
  </w:style>
  <w:style w:type="character" w:styleId="34">
    <w:name w:val="Hyperlink"/>
    <w:qFormat/>
    <w:uiPriority w:val="0"/>
    <w:rPr>
      <w:color w:val="094790"/>
      <w:u w:val="none"/>
    </w:rPr>
  </w:style>
  <w:style w:type="character" w:customStyle="1" w:styleId="35">
    <w:name w:val="icon4"/>
    <w:qFormat/>
    <w:uiPriority w:val="0"/>
  </w:style>
  <w:style w:type="character" w:customStyle="1" w:styleId="36">
    <w:name w:val="font61"/>
    <w:qFormat/>
    <w:uiPriority w:val="0"/>
    <w:rPr>
      <w:rFonts w:hint="eastAsia" w:ascii="宋体" w:hAnsi="宋体" w:eastAsia="宋体" w:cs="宋体"/>
      <w:color w:val="000000"/>
      <w:sz w:val="24"/>
      <w:szCs w:val="24"/>
      <w:u w:val="none"/>
      <w:vertAlign w:val="superscript"/>
    </w:rPr>
  </w:style>
  <w:style w:type="character" w:customStyle="1" w:styleId="37">
    <w:name w:val="font01"/>
    <w:qFormat/>
    <w:uiPriority w:val="0"/>
    <w:rPr>
      <w:rFonts w:hint="eastAsia" w:ascii="宋体" w:hAnsi="宋体" w:eastAsia="宋体" w:cs="宋体"/>
      <w:color w:val="000000"/>
      <w:sz w:val="24"/>
      <w:szCs w:val="24"/>
      <w:u w:val="none"/>
    </w:rPr>
  </w:style>
  <w:style w:type="character" w:customStyle="1" w:styleId="38">
    <w:name w:val="icon21"/>
    <w:qFormat/>
    <w:uiPriority w:val="0"/>
  </w:style>
  <w:style w:type="character" w:customStyle="1" w:styleId="39">
    <w:name w:val="font21"/>
    <w:qFormat/>
    <w:uiPriority w:val="0"/>
    <w:rPr>
      <w:rFonts w:hint="eastAsia" w:ascii="仿宋_GB2312" w:eastAsia="仿宋_GB2312" w:cs="仿宋_GB2312"/>
      <w:color w:val="000000"/>
      <w:sz w:val="24"/>
      <w:szCs w:val="24"/>
      <w:u w:val="none"/>
    </w:rPr>
  </w:style>
  <w:style w:type="character" w:customStyle="1" w:styleId="40">
    <w:name w:val="icon1"/>
    <w:qFormat/>
    <w:uiPriority w:val="0"/>
  </w:style>
  <w:style w:type="character" w:customStyle="1" w:styleId="41">
    <w:name w:val="bsharetext"/>
    <w:qFormat/>
    <w:uiPriority w:val="0"/>
  </w:style>
  <w:style w:type="character" w:customStyle="1" w:styleId="42">
    <w:name w:val="disabled2"/>
    <w:qFormat/>
    <w:uiPriority w:val="0"/>
    <w:rPr>
      <w:bdr w:val="single" w:color="E4E4E4" w:sz="6" w:space="0"/>
    </w:rPr>
  </w:style>
  <w:style w:type="character" w:customStyle="1" w:styleId="43">
    <w:name w:val="icon41"/>
    <w:qFormat/>
    <w:uiPriority w:val="0"/>
  </w:style>
  <w:style w:type="character" w:customStyle="1" w:styleId="44">
    <w:name w:val="icon22"/>
    <w:qFormat/>
    <w:uiPriority w:val="0"/>
  </w:style>
  <w:style w:type="character" w:customStyle="1" w:styleId="45">
    <w:name w:val="disab1"/>
    <w:qFormat/>
    <w:uiPriority w:val="0"/>
    <w:rPr>
      <w:bdr w:val="single" w:color="E4E4E4" w:sz="6" w:space="0"/>
    </w:rPr>
  </w:style>
  <w:style w:type="character" w:customStyle="1" w:styleId="46">
    <w:name w:val="font11"/>
    <w:qFormat/>
    <w:uiPriority w:val="0"/>
    <w:rPr>
      <w:rFonts w:hint="eastAsia" w:ascii="仿宋_GB2312" w:eastAsia="仿宋_GB2312" w:cs="仿宋_GB2312"/>
      <w:color w:val="000000"/>
      <w:sz w:val="15"/>
      <w:szCs w:val="15"/>
      <w:u w:val="none"/>
    </w:rPr>
  </w:style>
  <w:style w:type="character" w:customStyle="1" w:styleId="47">
    <w:name w:val="icon11"/>
    <w:qFormat/>
    <w:uiPriority w:val="0"/>
  </w:style>
  <w:style w:type="character" w:customStyle="1" w:styleId="48">
    <w:name w:val="icon31"/>
    <w:qFormat/>
    <w:uiPriority w:val="0"/>
  </w:style>
  <w:style w:type="character" w:customStyle="1" w:styleId="49">
    <w:name w:val="icon42"/>
    <w:qFormat/>
    <w:uiPriority w:val="0"/>
  </w:style>
  <w:style w:type="character" w:customStyle="1" w:styleId="50">
    <w:name w:val="on"/>
    <w:qFormat/>
    <w:uiPriority w:val="0"/>
    <w:rPr>
      <w:color w:val="DC0002"/>
    </w:rPr>
  </w:style>
  <w:style w:type="character" w:customStyle="1" w:styleId="51">
    <w:name w:val="current"/>
    <w:qFormat/>
    <w:uiPriority w:val="0"/>
    <w:rPr>
      <w:b/>
      <w:color w:val="FFFFFF"/>
      <w:bdr w:val="single" w:color="DB0002" w:sz="6" w:space="0"/>
      <w:shd w:val="clear" w:color="auto" w:fill="D80D00"/>
    </w:rPr>
  </w:style>
  <w:style w:type="character" w:customStyle="1" w:styleId="52">
    <w:name w:val="font41"/>
    <w:qFormat/>
    <w:uiPriority w:val="0"/>
    <w:rPr>
      <w:rFonts w:hint="eastAsia" w:ascii="仿宋_GB2312" w:eastAsia="仿宋_GB2312" w:cs="仿宋_GB2312"/>
      <w:color w:val="000000"/>
      <w:sz w:val="24"/>
      <w:szCs w:val="24"/>
      <w:u w:val="none"/>
    </w:rPr>
  </w:style>
  <w:style w:type="character" w:customStyle="1" w:styleId="53">
    <w:name w:val="current1"/>
    <w:qFormat/>
    <w:uiPriority w:val="0"/>
    <w:rPr>
      <w:bdr w:val="single" w:color="E4E4E4" w:sz="6" w:space="0"/>
    </w:rPr>
  </w:style>
  <w:style w:type="character" w:customStyle="1" w:styleId="54">
    <w:name w:val="go"/>
    <w:qFormat/>
    <w:uiPriority w:val="0"/>
    <w:rPr>
      <w:shd w:val="clear" w:color="auto" w:fill="E2E2E2"/>
    </w:rPr>
  </w:style>
  <w:style w:type="character" w:customStyle="1" w:styleId="55">
    <w:name w:val="icon32"/>
    <w:qFormat/>
    <w:uiPriority w:val="0"/>
  </w:style>
  <w:style w:type="character" w:customStyle="1" w:styleId="56">
    <w:name w:val="icon12"/>
    <w:qFormat/>
    <w:uiPriority w:val="0"/>
  </w:style>
  <w:style w:type="character" w:customStyle="1" w:styleId="57">
    <w:name w:val="icon2"/>
    <w:qFormat/>
    <w:uiPriority w:val="0"/>
  </w:style>
  <w:style w:type="character" w:customStyle="1" w:styleId="58">
    <w:name w:val="disab2"/>
    <w:qFormat/>
    <w:uiPriority w:val="0"/>
    <w:rPr>
      <w:bdr w:val="single" w:color="E4E4E4" w:sz="6" w:space="0"/>
    </w:rPr>
  </w:style>
  <w:style w:type="character" w:customStyle="1" w:styleId="59">
    <w:name w:val="icon3"/>
    <w:qFormat/>
    <w:uiPriority w:val="0"/>
  </w:style>
  <w:style w:type="character" w:customStyle="1" w:styleId="60">
    <w:name w:val="current2"/>
    <w:qFormat/>
    <w:uiPriority w:val="0"/>
    <w:rPr>
      <w:bdr w:val="single" w:color="E4E4E4" w:sz="6" w:space="0"/>
    </w:rPr>
  </w:style>
  <w:style w:type="character" w:customStyle="1" w:styleId="61">
    <w:name w:val="on1"/>
    <w:qFormat/>
    <w:uiPriority w:val="0"/>
    <w:rPr>
      <w:color w:val="DC0002"/>
    </w:rPr>
  </w:style>
  <w:style w:type="character" w:customStyle="1" w:styleId="62">
    <w:name w:val="disabled1"/>
    <w:qFormat/>
    <w:uiPriority w:val="0"/>
    <w:rPr>
      <w:bdr w:val="single" w:color="E4E4E4" w:sz="6" w:space="0"/>
    </w:rPr>
  </w:style>
  <w:style w:type="character" w:customStyle="1" w:styleId="63">
    <w:name w:val="disab"/>
    <w:qFormat/>
    <w:uiPriority w:val="0"/>
    <w:rPr>
      <w:bdr w:val="single" w:color="E4E4E4" w:sz="6" w:space="0"/>
      <w:shd w:val="clear" w:color="auto" w:fill="CCCCCC"/>
    </w:rPr>
  </w:style>
  <w:style w:type="character" w:customStyle="1" w:styleId="64">
    <w:name w:val="font31"/>
    <w:qFormat/>
    <w:uiPriority w:val="0"/>
    <w:rPr>
      <w:rFonts w:hint="eastAsia" w:ascii="仿宋_GB2312" w:eastAsia="仿宋_GB2312" w:cs="仿宋_GB2312"/>
      <w:color w:val="000000"/>
      <w:sz w:val="24"/>
      <w:szCs w:val="24"/>
      <w:u w:val="none"/>
    </w:rPr>
  </w:style>
  <w:style w:type="character" w:customStyle="1" w:styleId="65">
    <w:name w:val="font71"/>
    <w:qFormat/>
    <w:uiPriority w:val="0"/>
    <w:rPr>
      <w:rFonts w:hint="eastAsia" w:ascii="仿宋_GB2312" w:eastAsia="仿宋_GB2312" w:cs="仿宋_GB2312"/>
      <w:color w:val="auto"/>
      <w:sz w:val="24"/>
      <w:szCs w:val="24"/>
      <w:u w:val="none"/>
    </w:rPr>
  </w:style>
  <w:style w:type="character" w:customStyle="1" w:styleId="66">
    <w:name w:val="disabled"/>
    <w:qFormat/>
    <w:uiPriority w:val="0"/>
    <w:rPr>
      <w:color w:val="CCCCCC"/>
      <w:bdr w:val="single" w:color="F3F3F3" w:sz="6" w:space="0"/>
    </w:rPr>
  </w:style>
  <w:style w:type="character" w:customStyle="1" w:styleId="67">
    <w:name w:val="font51"/>
    <w:qFormat/>
    <w:uiPriority w:val="0"/>
    <w:rPr>
      <w:rFonts w:hint="eastAsia" w:ascii="宋体" w:hAnsi="宋体" w:eastAsia="宋体" w:cs="宋体"/>
      <w:color w:val="000000"/>
      <w:sz w:val="24"/>
      <w:szCs w:val="24"/>
      <w:u w:val="none"/>
      <w:vertAlign w:val="superscript"/>
    </w:rPr>
  </w:style>
  <w:style w:type="paragraph" w:customStyle="1" w:styleId="68">
    <w:name w:val="地理段落"/>
    <w:basedOn w:val="1"/>
    <w:qFormat/>
    <w:uiPriority w:val="0"/>
    <w:pPr>
      <w:tabs>
        <w:tab w:val="left" w:pos="4860"/>
      </w:tabs>
      <w:spacing w:line="440" w:lineRule="exact"/>
      <w:textAlignment w:val="center"/>
    </w:pPr>
    <w:rPr>
      <w:rFonts w:ascii="宋体" w:hAnsi="宋体"/>
      <w:sz w:val="28"/>
      <w:szCs w:val="28"/>
    </w:rPr>
  </w:style>
  <w:style w:type="paragraph" w:customStyle="1" w:styleId="69">
    <w:name w:val="xl2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70">
    <w:name w:val="_Style 12"/>
    <w:basedOn w:val="1"/>
    <w:next w:val="16"/>
    <w:qFormat/>
    <w:uiPriority w:val="0"/>
    <w:pPr>
      <w:tabs>
        <w:tab w:val="left" w:pos="2985"/>
      </w:tabs>
      <w:ind w:firstLine="640" w:firstLineChars="200"/>
    </w:pPr>
    <w:rPr>
      <w:rFonts w:ascii="宋体" w:hAnsi="宋体" w:eastAsia="楷体_GB2312"/>
      <w:sz w:val="32"/>
    </w:rPr>
  </w:style>
  <w:style w:type="paragraph" w:customStyle="1" w:styleId="71">
    <w:name w:val="xl30"/>
    <w:basedOn w:val="1"/>
    <w:qFormat/>
    <w:uiPriority w:val="0"/>
    <w:pPr>
      <w:widowControl/>
      <w:spacing w:before="100" w:after="100"/>
      <w:jc w:val="center"/>
    </w:pPr>
    <w:rPr>
      <w:rFonts w:ascii="仿宋_GB2312" w:hAnsi="宋体" w:eastAsia="仿宋_GB2312"/>
      <w:kern w:val="0"/>
      <w:sz w:val="24"/>
      <w:szCs w:val="20"/>
    </w:rPr>
  </w:style>
  <w:style w:type="paragraph" w:customStyle="1" w:styleId="72">
    <w:name w:val="zgx"/>
    <w:basedOn w:val="1"/>
    <w:qFormat/>
    <w:uiPriority w:val="0"/>
    <w:pPr>
      <w:adjustRightInd w:val="0"/>
      <w:spacing w:line="360" w:lineRule="auto"/>
      <w:ind w:firstLine="454"/>
      <w:textAlignment w:val="baseline"/>
    </w:pPr>
    <w:rPr>
      <w:kern w:val="28"/>
      <w:sz w:val="24"/>
      <w:szCs w:val="20"/>
    </w:rPr>
  </w:style>
  <w:style w:type="paragraph" w:customStyle="1" w:styleId="73">
    <w:name w:val="Char"/>
    <w:basedOn w:val="1"/>
    <w:qFormat/>
    <w:uiPriority w:val="0"/>
    <w:rPr>
      <w:sz w:val="28"/>
      <w:szCs w:val="20"/>
    </w:rPr>
  </w:style>
  <w:style w:type="paragraph" w:customStyle="1" w:styleId="74">
    <w:name w:val="Char1"/>
    <w:basedOn w:val="1"/>
    <w:qFormat/>
    <w:uiPriority w:val="0"/>
    <w:rPr>
      <w:szCs w:val="20"/>
    </w:rPr>
  </w:style>
  <w:style w:type="paragraph" w:customStyle="1" w:styleId="75">
    <w:name w:val="样式1"/>
    <w:basedOn w:val="4"/>
    <w:qFormat/>
    <w:uiPriority w:val="0"/>
    <w:pPr>
      <w:jc w:val="center"/>
    </w:pPr>
    <w:rPr>
      <w:rFonts w:ascii="宋体" w:hAnsi="宋体"/>
      <w:b/>
      <w:bCs/>
      <w:sz w:val="44"/>
    </w:rPr>
  </w:style>
  <w:style w:type="character" w:customStyle="1" w:styleId="76">
    <w:name w:val="fontstyle01"/>
    <w:qFormat/>
    <w:uiPriority w:val="0"/>
    <w:rPr>
      <w:rFonts w:ascii="仿宋_GB2312" w:eastAsia="仿宋_GB2312" w:cs="仿宋_GB2312"/>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8716</Words>
  <Characters>9532</Characters>
  <Lines>271</Lines>
  <Paragraphs>76</Paragraphs>
  <TotalTime>0</TotalTime>
  <ScaleCrop>false</ScaleCrop>
  <LinksUpToDate>false</LinksUpToDate>
  <CharactersWithSpaces>9922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2022-06-15T02:38:00Z</dcterms:created>
  <dc:creator>^_-</dc:creator>
  <cp:lastModifiedBy>朱金华</cp:lastModifiedBy>
  <cp:lastPrinted>2021-03-18T08:31:00Z</cp:lastPrinted>
  <dcterms:modified xsi:type="dcterms:W3CDTF">2022-06-30T08:06:56Z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837AF043000E4370AFB3C139B64FA98B</vt:lpwstr>
  </property>
</Properties>
</file>