
<file path=[Content_Types].xml><?xml version="1.0" encoding="utf-8"?>
<Types xmlns="http://schemas.openxmlformats.org/package/2006/content-types">
  <Default Extension="xml" ContentType="application/xml"/>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ind w:firstLine="420" w:firstLineChars="0"/>
        <w:jc w:val="center"/>
        <w:rPr>
          <w:rFonts w:ascii="仿宋" w:hAnsi="仿宋" w:eastAsia="仿宋"/>
          <w:sz w:val="36"/>
          <w:szCs w:val="36"/>
        </w:rPr>
      </w:pPr>
      <w:r>
        <w:rPr>
          <w:rFonts w:hint="eastAsia" w:ascii="仿宋" w:hAnsi="仿宋" w:eastAsia="仿宋"/>
          <w:b/>
          <w:bCs/>
          <w:sz w:val="36"/>
          <w:szCs w:val="36"/>
        </w:rPr>
        <w:t>目    录</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一、致委托方函....................</w:t>
      </w:r>
      <w:r>
        <w:rPr>
          <w:rFonts w:hint="eastAsia" w:ascii="仿宋_GB2312" w:hAnsi="宋体" w:eastAsia="仿宋_GB2312"/>
          <w:sz w:val="28"/>
          <w:szCs w:val="28"/>
          <w:lang w:val="en-US" w:eastAsia="zh-CN"/>
        </w:rPr>
        <w:t>...................3</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二、估价师声明</w:t>
      </w:r>
      <w:r>
        <w:rPr>
          <w:rFonts w:hint="eastAsia" w:ascii="仿宋_GB2312" w:hAnsi="宋体" w:eastAsia="仿宋_GB2312"/>
          <w:sz w:val="28"/>
          <w:szCs w:val="28"/>
          <w:lang w:val="en-US" w:eastAsia="zh-CN"/>
        </w:rPr>
        <w:t xml:space="preserve"> ......................................4</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三、估价的假设和限制条件</w:t>
      </w:r>
      <w:r>
        <w:rPr>
          <w:rFonts w:hint="eastAsia" w:ascii="仿宋_GB2312" w:hAnsi="宋体" w:eastAsia="仿宋_GB2312"/>
          <w:sz w:val="28"/>
          <w:szCs w:val="28"/>
          <w:lang w:val="en-US" w:eastAsia="zh-CN"/>
        </w:rPr>
        <w:t xml:space="preserve"> ..........................5-7</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四、房地产估价结果报告</w:t>
      </w:r>
      <w:r>
        <w:rPr>
          <w:rFonts w:hint="eastAsia" w:ascii="仿宋_GB2312" w:hAnsi="宋体" w:eastAsia="仿宋_GB2312"/>
          <w:sz w:val="28"/>
          <w:szCs w:val="28"/>
          <w:lang w:val="en-US" w:eastAsia="zh-CN"/>
        </w:rPr>
        <w:t xml:space="preserve"> ...........................8-12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（一）委托方........................................ 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（二）估价方.........................................8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（三）估价对象 ......................................8</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（四）估价目的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（五）估价时点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（六）价值定义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（七）估价依据 ......................................9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（八）估价原则 .....................................10</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（九）估价方法 .....................................11</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（十）估价结果 .....................................11</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（十一）评估机构 ...................................12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（十二）评估人员....................................12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（十三）报告出具日期................................12</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（十四）估价报告应用的有效期 .......................12</w:t>
      </w:r>
    </w:p>
    <w:p>
      <w:pPr>
        <w:ind w:firstLine="562" w:firstLineChars="200"/>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 xml:space="preserve"> 五、房地产估价技术报告</w:t>
      </w:r>
      <w:r>
        <w:rPr>
          <w:rFonts w:hint="eastAsia" w:ascii="仿宋_GB2312" w:hAnsi="宋体" w:eastAsia="仿宋_GB2312"/>
          <w:sz w:val="28"/>
          <w:szCs w:val="28"/>
          <w:lang w:val="en-US" w:eastAsia="zh-CN"/>
        </w:rPr>
        <w:t xml:space="preserve"> .........................13-19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（一）估价对象实物分析 .............................13</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（二）区域因素分析 .................................13</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（三）最高最佳使用分析 .............................14</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（四）估价方法的选用................................14</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（五）估价测算过程...............................15-19</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（六）估价结果确定..................................19</w:t>
      </w:r>
      <w:bookmarkStart w:id="0" w:name="_GoBack"/>
      <w:bookmarkEnd w:id="0"/>
    </w:p>
    <w:p>
      <w:pPr>
        <w:jc w:val="both"/>
        <w:rPr>
          <w:rFonts w:hint="eastAsia" w:ascii="仿宋_GB2312" w:hAnsi="宋体" w:eastAsia="仿宋_GB2312"/>
          <w:sz w:val="28"/>
          <w:szCs w:val="28"/>
          <w:lang w:val="en-US" w:eastAsia="zh-CN"/>
        </w:rPr>
      </w:pPr>
      <w:r>
        <w:rPr>
          <w:rFonts w:hint="eastAsia" w:ascii="仿宋_GB2312" w:hAnsi="宋体" w:eastAsia="仿宋_GB2312"/>
          <w:b/>
          <w:bCs/>
          <w:sz w:val="28"/>
          <w:szCs w:val="28"/>
          <w:lang w:val="en-US" w:eastAsia="zh-CN"/>
        </w:rPr>
        <w:t xml:space="preserve">      六、附件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（一）孝感市孝南区人民法院司法鉴定委托书复印件；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（二）价格评估机构资质证书复印件；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（三）评估机构法人营业执照副本复印件；</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 xml:space="preserve"> （四）价格评估人员资格证书复印件；</w:t>
      </w:r>
    </w:p>
    <w:p>
      <w:pPr>
        <w:ind w:firstLine="560" w:firstLineChars="200"/>
        <w:rPr>
          <w:rFonts w:hint="eastAsia" w:ascii="仿宋" w:hAnsi="仿宋" w:eastAsia="仿宋"/>
          <w:b/>
          <w:bCs/>
          <w:sz w:val="44"/>
          <w:szCs w:val="44"/>
        </w:rPr>
      </w:pPr>
      <w:r>
        <w:rPr>
          <w:rFonts w:hint="eastAsia" w:ascii="仿宋_GB2312" w:hAnsi="宋体" w:eastAsia="仿宋_GB2312"/>
          <w:sz w:val="28"/>
          <w:szCs w:val="28"/>
          <w:lang w:val="en-US" w:eastAsia="zh-CN"/>
        </w:rPr>
        <w:t xml:space="preserve"> （五）现场勘验估价对象有关照片。</w:t>
      </w:r>
    </w:p>
    <w:p>
      <w:pPr>
        <w:jc w:val="center"/>
        <w:rPr>
          <w:rFonts w:hint="eastAsia" w:ascii="仿宋" w:hAnsi="仿宋" w:eastAsia="仿宋"/>
          <w:b/>
          <w:bCs/>
          <w:sz w:val="44"/>
          <w:szCs w:val="44"/>
        </w:rPr>
      </w:pPr>
    </w:p>
    <w:p>
      <w:pPr>
        <w:jc w:val="center"/>
        <w:rPr>
          <w:rFonts w:hint="eastAsia" w:ascii="仿宋" w:hAnsi="仿宋" w:eastAsia="仿宋"/>
          <w:b/>
          <w:bCs/>
          <w:sz w:val="44"/>
          <w:szCs w:val="44"/>
          <w:lang w:val="en-US" w:eastAsia="zh-CN"/>
        </w:rPr>
      </w:pPr>
    </w:p>
    <w:p>
      <w:pPr>
        <w:jc w:val="both"/>
        <w:rPr>
          <w:rFonts w:hint="eastAsia" w:ascii="仿宋" w:hAnsi="仿宋" w:eastAsia="仿宋"/>
          <w:b/>
          <w:bCs/>
          <w:sz w:val="44"/>
          <w:szCs w:val="44"/>
        </w:rPr>
      </w:pPr>
    </w:p>
    <w:p>
      <w:pPr>
        <w:jc w:val="center"/>
        <w:rPr>
          <w:rFonts w:hint="eastAsia" w:ascii="仿宋" w:hAnsi="仿宋" w:eastAsia="仿宋"/>
          <w:b/>
          <w:bCs/>
          <w:sz w:val="44"/>
          <w:szCs w:val="44"/>
        </w:rPr>
      </w:pPr>
    </w:p>
    <w:p>
      <w:pPr>
        <w:jc w:val="center"/>
        <w:rPr>
          <w:rFonts w:hint="eastAsia" w:ascii="仿宋" w:hAnsi="仿宋" w:eastAsia="仿宋"/>
          <w:b/>
          <w:bCs/>
          <w:sz w:val="44"/>
          <w:szCs w:val="44"/>
        </w:rPr>
      </w:pPr>
    </w:p>
    <w:p>
      <w:pPr>
        <w:jc w:val="both"/>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 xml:space="preserve">            </w:t>
      </w:r>
    </w:p>
    <w:p>
      <w:pPr>
        <w:jc w:val="both"/>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 xml:space="preserve">  </w:t>
      </w:r>
    </w:p>
    <w:p>
      <w:pPr>
        <w:jc w:val="center"/>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p>
    <w:p>
      <w:pPr>
        <w:jc w:val="both"/>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致委托方函</w:t>
      </w:r>
    </w:p>
    <w:p>
      <w:pPr>
        <w:ind w:firstLine="560" w:firstLineChars="200"/>
        <w:rPr>
          <w:rFonts w:hint="eastAsia" w:ascii="仿宋_GB2312" w:hAnsi="宋体" w:eastAsia="仿宋_GB2312" w:cs="Times New Roman"/>
          <w:kern w:val="2"/>
          <w:sz w:val="28"/>
          <w:szCs w:val="28"/>
          <w:lang w:val="en-US" w:eastAsia="zh-CN" w:bidi="ar-SA"/>
        </w:rPr>
      </w:pP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sz w:val="28"/>
          <w:szCs w:val="28"/>
          <w:lang w:val="en-US" w:eastAsia="zh-CN"/>
        </w:rPr>
        <w:t>孝感市孝南区</w:t>
      </w:r>
      <w:r>
        <w:rPr>
          <w:rFonts w:hint="eastAsia" w:ascii="仿宋_GB2312" w:hAnsi="宋体" w:eastAsia="仿宋_GB2312" w:cs="Times New Roman"/>
          <w:kern w:val="2"/>
          <w:sz w:val="28"/>
          <w:szCs w:val="28"/>
          <w:lang w:val="en-US" w:eastAsia="zh-CN" w:bidi="ar-SA"/>
        </w:rPr>
        <w:t>人民法院：</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sz w:val="28"/>
          <w:szCs w:val="28"/>
          <w:lang w:val="en-US" w:eastAsia="zh-CN"/>
        </w:rPr>
        <w:t>受贵方（以下简称委托方）的委托，本公司于2022年03月22日派员对委托方列明的戴培与案外人田美萍共有的、位于孝感市理丝小区小康楼2栋203室，建筑面积为89.5平方米的住宅房屋（含相关权益）进行了现场实地查勘，并对估价对象房地产于估价时点2022年03月22日的市场价值进行了估价，为委托方处理案件确定房地产处置参考价提供价格咨询参考依据。</w:t>
      </w:r>
    </w:p>
    <w:p>
      <w:pPr>
        <w:ind w:firstLine="560" w:firstLineChars="200"/>
        <w:rPr>
          <w:rFonts w:hint="eastAsia" w:ascii="仿宋_GB2312" w:hAnsi="宋体" w:eastAsia="仿宋_GB2312" w:cs="Times New Roman"/>
          <w:kern w:val="2"/>
          <w:sz w:val="28"/>
          <w:szCs w:val="28"/>
          <w:highlight w:val="yellow"/>
          <w:lang w:val="en-US" w:eastAsia="zh-CN" w:bidi="ar-SA"/>
        </w:rPr>
      </w:pPr>
      <w:r>
        <w:rPr>
          <w:rFonts w:hint="eastAsia" w:ascii="仿宋_GB2312" w:hAnsi="宋体" w:eastAsia="仿宋_GB2312"/>
          <w:sz w:val="28"/>
          <w:szCs w:val="28"/>
          <w:lang w:val="en-US" w:eastAsia="zh-CN"/>
        </w:rPr>
        <w:t>在整个估价过程中，估价人员本着独立、客观、公正的原则，根据估价目的，收集有关资料，按照估价程序，选择市场法对估价对象进行了评估。估价人员经过实地勘察和测算，确定估价对象在估价时点可能形成的市场价值为￥329808元(大写人民币叁拾贰万玖仟捌佰零捌元整)</w:t>
      </w:r>
      <w:r>
        <w:rPr>
          <w:rFonts w:hint="eastAsia" w:ascii="仿宋_GB2312" w:hAnsi="宋体" w:eastAsia="仿宋_GB2312" w:cs="Times New Roman"/>
          <w:kern w:val="2"/>
          <w:sz w:val="28"/>
          <w:szCs w:val="28"/>
          <w:lang w:val="en-US" w:eastAsia="zh-CN" w:bidi="ar-SA"/>
        </w:rPr>
        <w:t>。</w:t>
      </w:r>
    </w:p>
    <w:p>
      <w:pPr>
        <w:rPr>
          <w:rFonts w:hint="eastAsia" w:ascii="仿宋_GB2312" w:hAnsi="宋体" w:eastAsia="仿宋_GB2312" w:cs="Times New Roman"/>
          <w:kern w:val="2"/>
          <w:sz w:val="28"/>
          <w:szCs w:val="28"/>
          <w:lang w:val="en-US" w:eastAsia="zh-CN" w:bidi="ar-SA"/>
        </w:rPr>
      </w:pPr>
    </w:p>
    <w:p>
      <w:pPr>
        <w:rPr>
          <w:rFonts w:hint="eastAsia" w:ascii="仿宋_GB2312" w:hAnsi="宋体" w:eastAsia="仿宋_GB2312" w:cs="Times New Roman"/>
          <w:kern w:val="2"/>
          <w:sz w:val="28"/>
          <w:szCs w:val="28"/>
          <w:lang w:val="en-US" w:eastAsia="zh-CN" w:bidi="ar-SA"/>
        </w:rPr>
      </w:pPr>
    </w:p>
    <w:p>
      <w:pPr>
        <w:rPr>
          <w:rFonts w:hint="eastAsia" w:ascii="仿宋" w:hAnsi="仿宋" w:eastAsia="仿宋" w:cs="仿宋"/>
          <w:sz w:val="30"/>
          <w:szCs w:val="30"/>
          <w:lang w:val="en-US" w:eastAsia="zh-CN"/>
        </w:rPr>
      </w:pP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二○二二年四月一日</w:t>
      </w:r>
    </w:p>
    <w:p>
      <w:pPr>
        <w:jc w:val="both"/>
        <w:rPr>
          <w:rFonts w:hint="eastAsia" w:ascii="仿宋" w:hAnsi="仿宋" w:eastAsia="仿宋"/>
          <w:b/>
          <w:bCs/>
          <w:sz w:val="44"/>
          <w:szCs w:val="44"/>
          <w:lang w:val="en-US" w:eastAsia="zh-CN"/>
        </w:rPr>
      </w:pPr>
    </w:p>
    <w:p>
      <w:pPr>
        <w:jc w:val="both"/>
        <w:rPr>
          <w:rFonts w:hint="eastAsia" w:ascii="仿宋" w:hAnsi="仿宋" w:eastAsia="仿宋"/>
          <w:b/>
          <w:bCs/>
          <w:sz w:val="44"/>
          <w:szCs w:val="44"/>
          <w:lang w:val="en-US" w:eastAsia="zh-CN"/>
        </w:rPr>
      </w:pPr>
    </w:p>
    <w:p>
      <w:pPr>
        <w:jc w:val="center"/>
        <w:rPr>
          <w:rFonts w:hint="eastAsia" w:ascii="仿宋" w:hAnsi="仿宋" w:eastAsia="仿宋"/>
          <w:b/>
          <w:bCs/>
          <w:sz w:val="44"/>
          <w:szCs w:val="44"/>
          <w:lang w:val="en-US" w:eastAsia="zh-CN"/>
        </w:rPr>
      </w:pPr>
    </w:p>
    <w:p>
      <w:pPr>
        <w:jc w:val="center"/>
        <w:rPr>
          <w:rFonts w:ascii="仿宋" w:hAnsi="仿宋" w:eastAsia="仿宋"/>
          <w:b/>
          <w:bCs/>
          <w:sz w:val="30"/>
          <w:szCs w:val="30"/>
        </w:rPr>
      </w:pPr>
      <w:r>
        <w:rPr>
          <w:rFonts w:hint="eastAsia" w:ascii="仿宋" w:hAnsi="仿宋" w:eastAsia="仿宋"/>
          <w:b/>
          <w:bCs/>
          <w:sz w:val="44"/>
          <w:szCs w:val="44"/>
          <w:lang w:val="en-US" w:eastAsia="zh-CN"/>
        </w:rPr>
        <w:t>估价师声明</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我们根据自己的专业知识和职业道德，在此郑重声明：</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1、我们所提供的估价服务是依据《房地产估价规范》进行的，估价报告中陈述事实是真实和准确的，请仔细阅读本估价报告及有关附件。</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2、估价报告中的分析、意见和结论，是我们自己公正的专业分析、意见和结论，但受到估价报告中已说明的假设和限制条件的限制。</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3、我们与本估价报告中的估价对象没有任何利害关系；对相关各方的当事人没有任何偏见，也没有任何个人利害关系。</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4、我们依照中华人民共和国国家标准《房地产估价规范》等有关法律法规的规定进行分析，形成意见和结论，撰写本估价报告。</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5、我们仅对委托方指定的估价对象范围进行了实地勘查，估价过程中，未能取得资产占有方有关书面或口头情况说明，我们仅依据所取得的产权资料估算；相关权属资料仅以委托方提供的复印件为依据，我们不对其建筑结构质量、数量等内容的准确性及相关权益负责。</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6、由于估价人员的专业限制，本次估价过程中没有其他专业人员及机构对本估价报告提供诸如结构安全、环境保护、规划控制、产权设定与登记、装修及配套设施设备的权属等方面的专业支持和帮助。</w:t>
      </w:r>
    </w:p>
    <w:p>
      <w:pPr>
        <w:rPr>
          <w:rFonts w:hint="eastAsia" w:ascii="仿宋" w:hAnsi="仿宋" w:eastAsia="仿宋"/>
          <w:b/>
          <w:bCs/>
          <w:sz w:val="44"/>
          <w:szCs w:val="44"/>
          <w:lang w:val="en-US" w:eastAsia="zh-CN"/>
        </w:rPr>
      </w:pPr>
      <w:r>
        <w:rPr>
          <w:rFonts w:hint="eastAsia" w:ascii="仿宋_GB2312" w:hAnsi="宋体" w:eastAsia="仿宋_GB2312" w:cs="Times New Roman"/>
          <w:kern w:val="2"/>
          <w:sz w:val="28"/>
          <w:szCs w:val="28"/>
          <w:lang w:val="en-US" w:eastAsia="zh-CN" w:bidi="ar-SA"/>
        </w:rPr>
        <w:t xml:space="preserve">    7、其他声明事项：出于职业责任，我们与委托方进行必要沟通，避免对本估价报告使用不当的情况发生，提示估价报告使用者合理并恰当使用估价报告，并声明不承担相关当事人决策的责任。</w:t>
      </w:r>
    </w:p>
    <w:p>
      <w:pPr>
        <w:jc w:val="center"/>
        <w:rPr>
          <w:rFonts w:hint="eastAsia" w:ascii="仿宋" w:hAnsi="仿宋" w:eastAsia="仿宋"/>
          <w:b/>
          <w:bCs/>
          <w:sz w:val="44"/>
          <w:szCs w:val="44"/>
          <w:lang w:val="en-US" w:eastAsia="zh-CN"/>
        </w:rPr>
      </w:pPr>
      <w:r>
        <w:rPr>
          <w:rFonts w:hint="eastAsia" w:ascii="仿宋" w:hAnsi="仿宋" w:eastAsia="仿宋"/>
          <w:b/>
          <w:bCs/>
          <w:sz w:val="44"/>
          <w:szCs w:val="44"/>
          <w:lang w:val="en-US" w:eastAsia="zh-CN"/>
        </w:rPr>
        <w:t>估价的假设和限制条件</w:t>
      </w:r>
    </w:p>
    <w:p>
      <w:pPr>
        <w:pStyle w:val="11"/>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pStyle w:val="11"/>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（一）本次估价假设条件</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1、估价对象产权手续齐全，房屋产权明确清晰，可在公开市场上自由转让交易。</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次估价对象以估价时点的权属实物存量——包括商品房买卖合同记载范围内的建筑物为前提，本报告所称“估价结果”是指对估价对象在现有用途、状态不变的前提下，为本报告书所列明的目的和假设限制条件下的现行公开市场价值的估计值，无特殊指定情况下，计价金额以人民币元为单位。</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3、不考虑特殊买家或关联方交易，也不考虑估价对象合并、分割等特殊交易；交易双方所获信息是平等或对称的，并谨慎对待估价对象。</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4、在本估价报告书有效期内估价对象存量及相关影响因素、评估所遵循的合法、最高最佳使用原则等不发生变化，估价时点房地产市场为公开公平的均衡市场；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5、估价结果的有效性依赖于本次估价的前提、假设限制以及遵循的经济原则，这些条件是由本公司估价人员根据估价对象实际情况并结合估价相关规定综合提出的，具有客观性和合理性，以上条件若不成立，本估价结果无效。</w:t>
      </w:r>
    </w:p>
    <w:p>
      <w:pPr>
        <w:rPr>
          <w:rFonts w:ascii="仿宋" w:hAnsi="仿宋" w:eastAsia="仿宋"/>
          <w:sz w:val="30"/>
          <w:szCs w:val="30"/>
        </w:rPr>
      </w:pPr>
      <w:r>
        <w:rPr>
          <w:rFonts w:hint="eastAsia" w:ascii="仿宋" w:hAnsi="仿宋" w:eastAsia="仿宋"/>
          <w:sz w:val="30"/>
          <w:szCs w:val="30"/>
          <w:lang w:val="en-US" w:eastAsia="zh-CN"/>
        </w:rPr>
        <w:t xml:space="preserve">   </w:t>
      </w:r>
      <w:r>
        <w:rPr>
          <w:rFonts w:hint="eastAsia" w:ascii="仿宋_GB2312" w:hAnsi="宋体" w:eastAsia="仿宋_GB2312" w:cs="Times New Roman"/>
          <w:kern w:val="2"/>
          <w:sz w:val="28"/>
          <w:szCs w:val="28"/>
          <w:lang w:val="en-US" w:eastAsia="zh-CN" w:bidi="ar-SA"/>
        </w:rPr>
        <w:t>（二）估价限制条件</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本次估价中运用的法律权属及其证明资料均由委托方提供（复印件），本公司估价人员未能见原件，也未向政府有关部门核实，委托方和相关当事方对其所提供全部资料的真实性、合法性及合理使用估价报告负责；建议有关法律权属及其证明资料的确定最终以有权机关确认为准，若与委托方向我们提供的资料存在差异，本公司保留对报告书的修正权；</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2、本估价报告书及列明结论仅对本次估价目的，其他用途的运用均属无效；</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3、本估价报告及附件须同时完整使用方为有效，本公司不对仅使用报告中部分内容或不同时使用所可能导致的任何损失承担责任。</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本次估价中所运用的资料数据均来自委托方提供的复印件，对超出估价师专业范围之外的其他专业问题未作任何结论和说明，现场工作人员对因遮盖、未暴露、预埋设施及其它人为阻碍难于触及到的部分未进行检验，有关这部分事项请向其他专业工程师、律师及相关政府主管部门询及。</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5、本估价报告书自估价报告完成之日起壹年内有效。在有效期内使用本报告时，应充分考虑房地产市场可能的变化情况及未来发展状况，并随时与本公司联系，以达到有效使用之目的。</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6、本估价报告及相关部分的解释权属湖北循其本价格鉴定评估有限公司，未经本公司书面同意，有关本估价报告的全部或部分内容不得传阅给除使用人以及估价行业管理部门以外的第三者，亦不可公布于任何公开媒体。  </w:t>
      </w:r>
    </w:p>
    <w:p>
      <w:pPr>
        <w:rPr>
          <w:rFonts w:hint="eastAsia" w:ascii="仿宋_GB2312" w:hAnsi="宋体" w:eastAsia="仿宋_GB2312" w:cs="Times New Roman"/>
          <w:kern w:val="2"/>
          <w:sz w:val="28"/>
          <w:szCs w:val="28"/>
          <w:lang w:val="en-US" w:eastAsia="zh-CN" w:bidi="ar-SA"/>
        </w:rPr>
      </w:pPr>
      <w:r>
        <w:rPr>
          <w:rFonts w:hint="eastAsia" w:ascii="仿宋" w:hAnsi="仿宋" w:eastAsia="仿宋"/>
          <w:sz w:val="30"/>
          <w:szCs w:val="30"/>
          <w:lang w:val="en-US" w:eastAsia="zh-CN"/>
        </w:rPr>
        <w:t xml:space="preserve">   </w:t>
      </w:r>
      <w:r>
        <w:rPr>
          <w:rFonts w:hint="eastAsia" w:ascii="仿宋_GB2312" w:hAnsi="宋体" w:eastAsia="仿宋_GB2312" w:cs="Times New Roman"/>
          <w:kern w:val="2"/>
          <w:sz w:val="28"/>
          <w:szCs w:val="28"/>
          <w:lang w:val="en-US" w:eastAsia="zh-CN" w:bidi="ar-SA"/>
        </w:rPr>
        <w:t xml:space="preserve">（三）特别事项说明 </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1、本报告是根据人民法院及相关当事人提供的资料和信息出具，资料和信息的真实性、完整性、合法性对评估结论构成影响，依据同一标的资产的其他资料或者信息可能得出与本报告不一致的评估结论。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2、本评估报告使用人须正确理解和使用评估结论，评估结论不等同于评估对象可实现价格，评估结论不应当被认为是对评估对象可实现价格的保证。</w:t>
      </w:r>
    </w:p>
    <w:p>
      <w:pPr>
        <w:numPr>
          <w:ilvl w:val="0"/>
          <w:numId w:val="0"/>
        </w:numPr>
        <w:ind w:firstLine="560" w:firstLineChars="200"/>
        <w:rPr>
          <w:rFonts w:hint="default" w:ascii="仿宋_GB2312" w:hAnsi="宋体" w:eastAsia="仿宋_GB2312" w:cs="Times New Roman"/>
          <w:kern w:val="2"/>
          <w:sz w:val="28"/>
          <w:szCs w:val="28"/>
          <w:lang w:val="en-US" w:eastAsia="zh-CN" w:bidi="ar-SA"/>
        </w:rPr>
      </w:pPr>
      <w:r>
        <w:rPr>
          <w:rFonts w:hint="eastAsia" w:ascii="仿宋_GB2312" w:hAnsi="仿宋" w:eastAsia="仿宋_GB2312"/>
          <w:b w:val="0"/>
          <w:bCs/>
          <w:sz w:val="28"/>
          <w:szCs w:val="28"/>
          <w:lang w:val="en-US" w:eastAsia="zh-CN"/>
        </w:rPr>
        <w:t>3、当事人或其他利害关系人对本估价报告如有异议，可以在收到估价报告10日内以书面形式向人民法院提出。</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4、估价结果是根据估价对象使用年限、现场勘查情况，结合市场实际交易实例，采用市场法进行综合估算的。</w:t>
      </w:r>
    </w:p>
    <w:p>
      <w:pPr>
        <w:ind w:firstLine="560" w:firstLineChars="200"/>
        <w:rPr>
          <w:rFonts w:hint="default" w:ascii="仿宋" w:hAnsi="仿宋" w:eastAsia="仿宋"/>
          <w:color w:val="auto"/>
          <w:sz w:val="30"/>
          <w:szCs w:val="30"/>
          <w:lang w:val="en-US" w:eastAsia="zh-CN"/>
        </w:rPr>
      </w:pPr>
      <w:r>
        <w:rPr>
          <w:rFonts w:hint="eastAsia" w:ascii="仿宋_GB2312" w:hAnsi="宋体" w:eastAsia="仿宋_GB2312" w:cs="Times New Roman"/>
          <w:kern w:val="2"/>
          <w:sz w:val="28"/>
          <w:szCs w:val="28"/>
          <w:lang w:val="en-US" w:eastAsia="zh-CN" w:bidi="ar-SA"/>
        </w:rPr>
        <w:t>5、评估过程中未考虑该房屋产权抵押、查封后对估价结果的影响。</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ind w:firstLine="560" w:firstLineChars="200"/>
        <w:rPr>
          <w:rFonts w:hint="eastAsia" w:ascii="仿宋_GB2312" w:hAnsi="宋体" w:eastAsia="仿宋_GB2312" w:cs="Times New Roman"/>
          <w:kern w:val="2"/>
          <w:sz w:val="28"/>
          <w:szCs w:val="28"/>
          <w:lang w:val="en-US" w:eastAsia="zh-CN" w:bidi="ar-SA"/>
        </w:rPr>
      </w:pPr>
    </w:p>
    <w:p>
      <w:pPr>
        <w:ind w:firstLine="560" w:firstLineChars="200"/>
        <w:rPr>
          <w:rFonts w:hint="eastAsia" w:ascii="仿宋_GB2312" w:hAnsi="宋体" w:eastAsia="仿宋_GB2312" w:cs="Times New Roman"/>
          <w:kern w:val="2"/>
          <w:sz w:val="28"/>
          <w:szCs w:val="28"/>
          <w:lang w:val="en-US" w:eastAsia="zh-CN" w:bidi="ar-SA"/>
        </w:rPr>
      </w:pP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二○二二年四月一日</w:t>
      </w:r>
    </w:p>
    <w:p>
      <w:pPr>
        <w:rPr>
          <w:rFonts w:hint="eastAsia" w:ascii="仿宋_GB2312" w:hAnsi="宋体" w:eastAsia="仿宋_GB2312" w:cs="Times New Roman"/>
          <w:kern w:val="2"/>
          <w:sz w:val="28"/>
          <w:szCs w:val="28"/>
          <w:lang w:val="en-US" w:eastAsia="zh-CN" w:bidi="ar-SA"/>
        </w:rPr>
      </w:pPr>
    </w:p>
    <w:p>
      <w:pPr>
        <w:rPr>
          <w:rFonts w:hint="eastAsia" w:ascii="仿宋" w:hAnsi="仿宋"/>
          <w:b/>
          <w:w w:val="40"/>
          <w:sz w:val="140"/>
          <w:szCs w:val="140"/>
          <w:lang w:val="en-US" w:eastAsia="zh-CN"/>
        </w:rPr>
      </w:pPr>
    </w:p>
    <w:p>
      <w:pPr>
        <w:rPr>
          <w:rFonts w:hint="eastAsia" w:ascii="仿宋" w:hAnsi="仿宋"/>
          <w:b/>
          <w:w w:val="40"/>
          <w:sz w:val="140"/>
          <w:szCs w:val="140"/>
        </w:rPr>
      </w:pPr>
      <w:r>
        <w:rPr>
          <w:rFonts w:hint="eastAsia" w:ascii="仿宋" w:hAnsi="仿宋"/>
          <w:b/>
          <w:w w:val="40"/>
          <w:sz w:val="140"/>
          <w:szCs w:val="140"/>
          <w:lang w:val="en-US" w:eastAsia="zh-CN"/>
        </w:rPr>
        <w:t xml:space="preserve"> </w:t>
      </w:r>
      <w:r>
        <w:rPr>
          <w:rFonts w:hint="eastAsia" w:ascii="仿宋" w:hAnsi="仿宋"/>
          <w:b/>
          <w:w w:val="40"/>
          <w:sz w:val="140"/>
          <w:szCs w:val="140"/>
        </w:rPr>
        <w:t>湖北循其本价格鉴定评估有限公司</w:t>
      </w:r>
    </w:p>
    <w:p>
      <w:pPr>
        <w:ind w:left="-92" w:leftChars="-85" w:right="-147" w:rightChars="-70" w:hanging="86" w:hangingChars="31"/>
        <w:jc w:val="center"/>
        <w:rPr>
          <w:rFonts w:hint="eastAsia" w:ascii="仿宋_GB2312" w:hAnsi="仿宋" w:eastAsia="仿宋_GB2312"/>
          <w:kern w:val="13"/>
          <w:sz w:val="28"/>
          <w:szCs w:val="28"/>
          <w:highlight w:val="none"/>
        </w:rPr>
      </w:pPr>
      <w:r>
        <w:rPr>
          <w:sz w:val="28"/>
          <w:highlight w:val="none"/>
        </w:rPr>
        <mc:AlternateContent>
          <mc:Choice Requires="wps">
            <w:drawing>
              <wp:anchor distT="0" distB="0" distL="114300" distR="114300" simplePos="0" relativeHeight="251661312" behindDoc="0" locked="0" layoutInCell="1" allowOverlap="1">
                <wp:simplePos x="0" y="0"/>
                <wp:positionH relativeFrom="column">
                  <wp:posOffset>80010</wp:posOffset>
                </wp:positionH>
                <wp:positionV relativeFrom="paragraph">
                  <wp:posOffset>346075</wp:posOffset>
                </wp:positionV>
                <wp:extent cx="5511800" cy="15240"/>
                <wp:effectExtent l="0" t="4445" r="12700" b="8890"/>
                <wp:wrapNone/>
                <wp:docPr id="1" name="直接连接符 1"/>
                <wp:cNvGraphicFramePr/>
                <a:graphic xmlns:a="http://schemas.openxmlformats.org/drawingml/2006/main">
                  <a:graphicData uri="http://schemas.microsoft.com/office/word/2010/wordprocessingShape">
                    <wps:wsp>
                      <wps:cNvCnPr/>
                      <wps:spPr>
                        <a:xfrm>
                          <a:off x="0" y="0"/>
                          <a:ext cx="5511800" cy="1524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6.3pt;margin-top:27.25pt;height:1.2pt;width:434pt;z-index:251661312;mso-width-relative:page;mso-height-relative:page;" filled="f" stroked="t" coordsize="21600,21600" o:gfxdata="UEsDBAoAAAAAAIdO4kAAAAAAAAAAAAAAAAAEAAAAZHJzL1BLAwQUAAAACACHTuJAh0blu9UAAAAI&#10;AQAADwAAAGRycy9kb3ducmV2LnhtbE2PPU/DMBCGdyT+g3VILFVrN9AohDgdgGwsFCrWa3IkEfE5&#10;jd0P+PUcE4zvh957rlif3aCONIXes4XlwoAirn3Tc2vh7bWaZ6BCRG5w8EwWvijAury8KDBv/Ilf&#10;6LiJrZIRDjla6GIcc61D3ZHDsPAjsWQffnIYRU6tbiY8ybgbdGJMqh32LBc6HOmho/pzc3AWQrWl&#10;ffU9q2fm/ab1lOwfn5/Q2uurpbkHFekc/8rwiy/oUArTzh+4CWoQnaTStLC6XYGSPMuMGDsx0jvQ&#10;ZaH/P1D+AFBLAwQUAAAACACHTuJAMBHcYN4BAACaAwAADgAAAGRycy9lMm9Eb2MueG1srVNLjhMx&#10;EN0jcQfLe9LdEUFDK51ZTBg2CCIBB6jY7m5L/snlSSeX4AJI7GDFkj23YeYYlJ2Q4bNBiCwqZbv8&#10;qt7z6+Xl3hq2UxG1dx1vZjVnygkvtRs6/vbN9aMLzjCBk2C8Ux0/KOSXq4cPllNo1dyP3kgVGYE4&#10;bKfQ8TGl0FYVilFZwJkPytFh76OFRMs4VDLCROjWVPO6flJNPsoQvVCItLs+HvJVwe97JdKrvkeV&#10;mOk4zZZKjCVuc6xWS2iHCGHU4jQG/MMUFrSjpmeoNSRgN1H/AWW1iB59n2bC28r3vRaqcCA2Tf0b&#10;m9cjBFW4kDgYzjLh/4MVL3ebyLSkt+PMgaUnun3/5du7j3dfP1C8/fyJNVmkKWBLtVduE08rDJuY&#10;Ge/7aPM/cWH7IuzhLKzaJyZoc7Fomoua9Bd01izmj4vw1f3lEDE9V96ynHTcaJd5Qwu7F5ioIZX+&#10;KMnbxrGp408X8wVBAtmmN5AotYGIoBvKXfRGy2ttTL6Bcdhemch2kI1QfpkW4f5SlpusAcdjXTk6&#10;WmRUIJ85ydIhkESOvMzzCFZJzowi6+eMAKFNoM3fVFJr42iCrOxRy5xtvTzQg9yEqIeRlCjilxoy&#10;QJn3ZNbssJ/XBen+k1p9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IdG5bvVAAAACAEAAA8AAAAA&#10;AAAAAQAgAAAAIgAAAGRycy9kb3ducmV2LnhtbFBLAQIUABQAAAAIAIdO4kAwEdxg3gEAAJoDAAAO&#10;AAAAAAAAAAEAIAAAACQBAABkcnMvZTJvRG9jLnhtbFBLBQYAAAAABgAGAFkBAAB0BQAAAAA=&#10;">
                <v:fill on="f" focussize="0,0"/>
                <v:stroke color="#000000" joinstyle="round"/>
                <v:imagedata o:title=""/>
                <o:lock v:ext="edit" aspectratio="f"/>
              </v:line>
            </w:pict>
          </mc:Fallback>
        </mc:AlternateContent>
      </w:r>
      <w:r>
        <w:rPr>
          <w:rFonts w:hint="eastAsia" w:ascii="仿宋_GB2312" w:hAnsi="仿宋" w:eastAsia="仿宋_GB2312"/>
          <w:kern w:val="13"/>
          <w:sz w:val="28"/>
          <w:szCs w:val="28"/>
          <w:highlight w:val="none"/>
        </w:rPr>
        <w:t>鄂循价鉴[20</w:t>
      </w:r>
      <w:r>
        <w:rPr>
          <w:rFonts w:hint="eastAsia" w:ascii="仿宋_GB2312" w:hAnsi="仿宋" w:eastAsia="仿宋_GB2312"/>
          <w:kern w:val="13"/>
          <w:sz w:val="28"/>
          <w:szCs w:val="28"/>
          <w:highlight w:val="none"/>
          <w:lang w:val="en-US" w:eastAsia="zh-CN"/>
        </w:rPr>
        <w:t>22</w:t>
      </w:r>
      <w:r>
        <w:rPr>
          <w:rFonts w:hint="eastAsia" w:ascii="仿宋_GB2312" w:hAnsi="仿宋" w:eastAsia="仿宋_GB2312"/>
          <w:kern w:val="13"/>
          <w:sz w:val="28"/>
          <w:szCs w:val="28"/>
          <w:highlight w:val="none"/>
        </w:rPr>
        <w:t>]第</w:t>
      </w:r>
      <w:r>
        <w:rPr>
          <w:rFonts w:hint="eastAsia" w:ascii="仿宋_GB2312" w:hAnsi="仿宋" w:eastAsia="仿宋_GB2312"/>
          <w:kern w:val="13"/>
          <w:sz w:val="28"/>
          <w:szCs w:val="28"/>
          <w:highlight w:val="none"/>
          <w:lang w:val="en-US" w:eastAsia="zh-CN"/>
        </w:rPr>
        <w:t>71062</w:t>
      </w:r>
      <w:r>
        <w:rPr>
          <w:rFonts w:hint="eastAsia" w:ascii="仿宋_GB2312" w:hAnsi="仿宋" w:eastAsia="仿宋_GB2312"/>
          <w:kern w:val="13"/>
          <w:sz w:val="28"/>
          <w:szCs w:val="28"/>
          <w:highlight w:val="none"/>
        </w:rPr>
        <w:t>号</w:t>
      </w:r>
    </w:p>
    <w:p>
      <w:pPr>
        <w:jc w:val="center"/>
        <w:rPr>
          <w:rFonts w:hint="eastAsia" w:ascii="仿宋" w:hAnsi="仿宋" w:eastAsia="仿宋"/>
          <w:b/>
          <w:bCs/>
          <w:sz w:val="32"/>
          <w:szCs w:val="32"/>
          <w:lang w:eastAsia="zh-CN"/>
        </w:rPr>
      </w:pPr>
      <w:r>
        <w:rPr>
          <w:rFonts w:hint="eastAsia" w:ascii="仿宋" w:hAnsi="仿宋" w:eastAsia="仿宋"/>
          <w:b/>
          <w:bCs/>
          <w:sz w:val="32"/>
          <w:szCs w:val="32"/>
          <w:lang w:eastAsia="zh-CN"/>
        </w:rPr>
        <w:t>戴培与案外人田美萍共有的</w:t>
      </w:r>
    </w:p>
    <w:p>
      <w:pPr>
        <w:jc w:val="center"/>
        <w:rPr>
          <w:rFonts w:hint="default" w:ascii="仿宋" w:hAnsi="仿宋" w:eastAsia="仿宋"/>
          <w:b/>
          <w:bCs/>
          <w:sz w:val="32"/>
          <w:szCs w:val="32"/>
          <w:lang w:val="en-US" w:eastAsia="zh-CN"/>
        </w:rPr>
      </w:pPr>
      <w:r>
        <w:rPr>
          <w:rFonts w:hint="eastAsia" w:ascii="仿宋" w:hAnsi="仿宋" w:eastAsia="仿宋"/>
          <w:b/>
          <w:bCs/>
          <w:sz w:val="32"/>
          <w:szCs w:val="32"/>
          <w:lang w:eastAsia="zh-CN"/>
        </w:rPr>
        <w:t>位于孝感市理丝小区小康楼</w:t>
      </w:r>
      <w:r>
        <w:rPr>
          <w:rFonts w:hint="eastAsia" w:ascii="仿宋" w:hAnsi="仿宋" w:eastAsia="仿宋"/>
          <w:b/>
          <w:bCs/>
          <w:sz w:val="32"/>
          <w:szCs w:val="32"/>
          <w:lang w:val="en-US" w:eastAsia="zh-CN"/>
        </w:rPr>
        <w:t>2栋2层203室</w:t>
      </w:r>
    </w:p>
    <w:p>
      <w:pPr>
        <w:jc w:val="center"/>
        <w:rPr>
          <w:rFonts w:ascii="仿宋" w:hAnsi="仿宋" w:eastAsia="仿宋"/>
          <w:b/>
          <w:bCs/>
          <w:sz w:val="36"/>
          <w:szCs w:val="36"/>
        </w:rPr>
      </w:pPr>
      <w:r>
        <w:rPr>
          <w:rFonts w:hint="eastAsia" w:ascii="仿宋" w:hAnsi="仿宋" w:eastAsia="仿宋"/>
          <w:b/>
          <w:bCs/>
          <w:sz w:val="32"/>
          <w:szCs w:val="32"/>
        </w:rPr>
        <w:t>房地产估价结果报告</w:t>
      </w:r>
    </w:p>
    <w:p>
      <w:pPr>
        <w:jc w:val="center"/>
        <w:rPr>
          <w:rFonts w:hint="eastAsia" w:ascii="仿宋_GB2312" w:hAnsi="宋体" w:eastAsia="仿宋_GB2312" w:cs="Times New Roman"/>
          <w:kern w:val="2"/>
          <w:sz w:val="28"/>
          <w:szCs w:val="28"/>
          <w:lang w:val="en-US" w:eastAsia="zh-CN" w:bidi="ar-SA"/>
        </w:rPr>
      </w:pPr>
    </w:p>
    <w:p>
      <w:pPr>
        <w:rPr>
          <w:rFonts w:hint="eastAsia" w:ascii="仿宋_GB2312" w:hAnsi="宋体" w:eastAsia="仿宋_GB2312"/>
          <w:b/>
          <w:bCs/>
          <w:sz w:val="30"/>
          <w:szCs w:val="30"/>
          <w:lang w:val="en-US" w:eastAsia="zh-CN"/>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b/>
          <w:bCs/>
          <w:sz w:val="30"/>
          <w:szCs w:val="30"/>
          <w:lang w:val="en-US" w:eastAsia="zh-CN"/>
        </w:rPr>
        <w:t>（一）委托方</w:t>
      </w:r>
    </w:p>
    <w:p>
      <w:pPr>
        <w:numPr>
          <w:ilvl w:val="0"/>
          <w:numId w:val="1"/>
        </w:num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委托方：</w:t>
      </w:r>
      <w:r>
        <w:rPr>
          <w:rFonts w:hint="eastAsia" w:ascii="仿宋_GB2312" w:hAnsi="宋体" w:eastAsia="仿宋_GB2312"/>
          <w:sz w:val="28"/>
          <w:szCs w:val="28"/>
          <w:lang w:val="en-US" w:eastAsia="zh-CN"/>
        </w:rPr>
        <w:t>孝感市孝南区</w:t>
      </w:r>
      <w:r>
        <w:rPr>
          <w:rFonts w:hint="eastAsia" w:ascii="仿宋_GB2312" w:hAnsi="宋体" w:eastAsia="仿宋_GB2312" w:cs="Times New Roman"/>
          <w:kern w:val="2"/>
          <w:sz w:val="28"/>
          <w:szCs w:val="28"/>
          <w:lang w:val="en-US" w:eastAsia="zh-CN" w:bidi="ar-SA"/>
        </w:rPr>
        <w:t>人民法院</w:t>
      </w:r>
    </w:p>
    <w:p>
      <w:pPr>
        <w:numPr>
          <w:ilvl w:val="0"/>
          <w:numId w:val="1"/>
        </w:numPr>
        <w:ind w:left="0" w:leftChars="0"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住所：</w:t>
      </w:r>
      <w:r>
        <w:rPr>
          <w:rFonts w:hint="eastAsia" w:ascii="仿宋_GB2312" w:hAnsi="宋体" w:eastAsia="仿宋_GB2312" w:cs="Times New Roman"/>
          <w:kern w:val="2"/>
          <w:sz w:val="28"/>
          <w:szCs w:val="28"/>
          <w:highlight w:val="none"/>
          <w:lang w:val="en-US" w:eastAsia="zh-CN" w:bidi="ar-SA"/>
        </w:rPr>
        <w:t>湖北省孝感市孝南区黄花路38号</w:t>
      </w:r>
    </w:p>
    <w:p>
      <w:pPr>
        <w:numPr>
          <w:ilvl w:val="0"/>
          <w:numId w:val="0"/>
        </w:num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（二）估价方：</w:t>
      </w:r>
      <w:r>
        <w:rPr>
          <w:rFonts w:hint="eastAsia" w:ascii="仿宋_GB2312" w:hAnsi="宋体" w:eastAsia="仿宋_GB2312" w:cs="Times New Roman"/>
          <w:kern w:val="2"/>
          <w:sz w:val="28"/>
          <w:szCs w:val="28"/>
          <w:lang w:val="en-US" w:eastAsia="zh-CN" w:bidi="ar-SA"/>
        </w:rPr>
        <w:t>湖北循其本价格鉴定评估有限公司</w:t>
      </w:r>
    </w:p>
    <w:p>
      <w:pPr>
        <w:ind w:firstLine="560" w:firstLineChars="200"/>
        <w:rPr>
          <w:rFonts w:hint="eastAsia" w:ascii="仿宋_GB2312" w:hAnsi="宋体" w:eastAsia="仿宋_GB2312"/>
          <w:sz w:val="28"/>
          <w:szCs w:val="28"/>
          <w:lang w:val="en-US" w:eastAsia="zh-CN"/>
        </w:rPr>
      </w:pPr>
      <w:r>
        <w:rPr>
          <w:rFonts w:hint="eastAsia" w:ascii="仿宋_GB2312" w:hAnsi="宋体" w:eastAsia="仿宋_GB2312" w:cs="Times New Roman"/>
          <w:kern w:val="2"/>
          <w:sz w:val="28"/>
          <w:szCs w:val="28"/>
          <w:lang w:val="en-US" w:eastAsia="zh-CN" w:bidi="ar-SA"/>
        </w:rPr>
        <w:t>1. 法定代表人：</w:t>
      </w:r>
      <w:r>
        <w:rPr>
          <w:rFonts w:hint="eastAsia" w:ascii="仿宋_GB2312" w:hAnsi="宋体" w:eastAsia="仿宋_GB2312"/>
          <w:sz w:val="28"/>
          <w:szCs w:val="28"/>
          <w:lang w:val="en-US" w:eastAsia="zh-CN"/>
        </w:rPr>
        <w:t>魏胜凯</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 住所：</w:t>
      </w:r>
      <w:r>
        <w:rPr>
          <w:rFonts w:hint="eastAsia" w:ascii="仿宋_GB2312" w:hAnsi="宋体" w:eastAsia="仿宋_GB2312" w:cs="Times New Roman"/>
          <w:kern w:val="2"/>
          <w:sz w:val="28"/>
          <w:szCs w:val="28"/>
          <w:lang w:val="en-US" w:eastAsia="zh-CN" w:bidi="ar-SA"/>
        </w:rPr>
        <w:t>湖北省咸宁市高新贺胜路（墨香苑小区）3栋5层504</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（三）估价对象</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1、估价对象范围</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本次估价对象范围为戴培与案外人田美萍共有的、位于孝感市理丝小区小康楼2栋2层203室，建筑面积为89.5平方米的住宅房地产。</w:t>
      </w:r>
    </w:p>
    <w:p>
      <w:p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2、估价对象基本情况</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经本机构人员的实地勘查和委托方提供的委托书及房地产权登记信息及其他事项登记信息等资料，可知估价对象实体状况如下：</w:t>
      </w:r>
    </w:p>
    <w:p>
      <w:pPr>
        <w:ind w:firstLine="560" w:firstLineChars="20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估价对象座落</w:t>
      </w:r>
      <w:r>
        <w:rPr>
          <w:rFonts w:hint="eastAsia" w:ascii="仿宋_GB2312" w:hAnsi="宋体" w:eastAsia="仿宋_GB2312" w:cs="Times New Roman"/>
          <w:kern w:val="2"/>
          <w:sz w:val="28"/>
          <w:szCs w:val="28"/>
          <w:lang w:val="en-US" w:eastAsia="zh-CN" w:bidi="ar-SA"/>
        </w:rPr>
        <w:t>孝感市理丝小区2栋2幢2层203室，房屋所有权</w:t>
      </w:r>
      <w:r>
        <w:rPr>
          <w:rFonts w:hint="eastAsia" w:ascii="仿宋_GB2312" w:hAnsi="宋体" w:eastAsia="仿宋_GB2312" w:cs="Times New Roman"/>
          <w:kern w:val="2"/>
          <w:sz w:val="28"/>
          <w:szCs w:val="28"/>
          <w:highlight w:val="none"/>
          <w:lang w:val="en-US" w:eastAsia="zh-CN" w:bidi="ar-SA"/>
        </w:rPr>
        <w:t>人为田美萍，房屋共有情况为单独所有，房屋结构为混合结构，所在层数/总层数为2层/6层，</w:t>
      </w:r>
      <w:r>
        <w:rPr>
          <w:rFonts w:hint="eastAsia" w:ascii="仿宋_GB2312" w:hAnsi="宋体" w:eastAsia="仿宋_GB2312" w:cs="Times New Roman"/>
          <w:kern w:val="2"/>
          <w:sz w:val="28"/>
          <w:szCs w:val="28"/>
          <w:lang w:val="en-US" w:eastAsia="zh-CN" w:bidi="ar-SA"/>
        </w:rPr>
        <w:t>建筑面积为89.5平方米，</w:t>
      </w:r>
      <w:r>
        <w:rPr>
          <w:rFonts w:hint="eastAsia" w:ascii="仿宋_GB2312" w:hAnsi="宋体" w:eastAsia="仿宋_GB2312" w:cs="Times New Roman"/>
          <w:kern w:val="2"/>
          <w:sz w:val="28"/>
          <w:szCs w:val="28"/>
          <w:highlight w:val="none"/>
          <w:lang w:val="en-US" w:eastAsia="zh-CN" w:bidi="ar-SA"/>
        </w:rPr>
        <w:t>不动产权证书号为00056442号，登记时间为2013年09月27日。</w:t>
      </w:r>
    </w:p>
    <w:p>
      <w:pPr>
        <w:ind w:firstLine="560"/>
        <w:rPr>
          <w:rFonts w:hint="default"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经现场勘验和调查，估价对象房屋位于孝感市</w:t>
      </w:r>
      <w:r>
        <w:rPr>
          <w:rFonts w:hint="eastAsia" w:ascii="仿宋_GB2312" w:hAnsi="宋体" w:eastAsia="仿宋_GB2312" w:cs="Times New Roman"/>
          <w:kern w:val="2"/>
          <w:sz w:val="28"/>
          <w:szCs w:val="28"/>
          <w:lang w:val="en-US" w:eastAsia="zh-CN" w:bidi="ar-SA"/>
        </w:rPr>
        <w:t>交通路北理丝</w:t>
      </w:r>
      <w:r>
        <w:rPr>
          <w:rFonts w:hint="eastAsia" w:ascii="仿宋_GB2312" w:hAnsi="宋体" w:eastAsia="仿宋_GB2312" w:cs="Times New Roman"/>
          <w:kern w:val="2"/>
          <w:sz w:val="28"/>
          <w:szCs w:val="28"/>
          <w:highlight w:val="none"/>
          <w:lang w:val="en-US" w:eastAsia="zh-CN" w:bidi="ar-SA"/>
        </w:rPr>
        <w:t>小区，现编号为理丝园2栋1单元2层203室，建成于1996年，南北朝向，总层数为6层的步梯楼房，现状用途为成套住宅，外观陈旧，外墙为水泥砂浆粉刷，因多种原因未能进入屋内开展现场勘验。经调查相关当事人，室内为普通装修。</w:t>
      </w:r>
    </w:p>
    <w:p>
      <w:pPr>
        <w:jc w:val="both"/>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（四）估价目的</w:t>
      </w:r>
    </w:p>
    <w:p>
      <w:pPr>
        <w:ind w:firstLine="560"/>
        <w:rPr>
          <w:rFonts w:hint="eastAsia" w:ascii="仿宋_GB2312" w:hAnsi="宋体" w:eastAsia="仿宋_GB2312"/>
          <w:b/>
          <w:bCs/>
          <w:sz w:val="30"/>
          <w:szCs w:val="30"/>
          <w:lang w:val="en-US" w:eastAsia="zh-CN"/>
        </w:rPr>
      </w:pPr>
      <w:r>
        <w:rPr>
          <w:rFonts w:hint="eastAsia" w:ascii="仿宋_GB2312" w:hAnsi="宋体" w:eastAsia="仿宋_GB2312" w:cs="Times New Roman"/>
          <w:kern w:val="2"/>
          <w:sz w:val="28"/>
          <w:szCs w:val="28"/>
          <w:highlight w:val="none"/>
          <w:lang w:val="en-US" w:eastAsia="zh-CN" w:bidi="ar-SA"/>
        </w:rPr>
        <w:t>为委托方处理案件提供价格咨询参考依据而评估该房产市场价格，供委托方及相关当事方咨询参考。</w:t>
      </w:r>
      <w:r>
        <w:rPr>
          <w:rFonts w:hint="eastAsia" w:ascii="仿宋_GB2312" w:hAnsi="宋体" w:eastAsia="仿宋_GB2312"/>
          <w:b/>
          <w:bCs/>
          <w:sz w:val="30"/>
          <w:szCs w:val="30"/>
          <w:highlight w:val="none"/>
          <w:lang w:val="en-US" w:eastAsia="zh-CN"/>
        </w:rPr>
        <w:t xml:space="preserve"> </w:t>
      </w:r>
      <w:r>
        <w:rPr>
          <w:rFonts w:hint="eastAsia" w:ascii="仿宋_GB2312" w:hAnsi="宋体" w:eastAsia="仿宋_GB2312"/>
          <w:b/>
          <w:bCs/>
          <w:sz w:val="30"/>
          <w:szCs w:val="30"/>
          <w:lang w:val="en-US" w:eastAsia="zh-CN"/>
        </w:rPr>
        <w:t xml:space="preserve">  </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（五）估价时点</w:t>
      </w:r>
    </w:p>
    <w:p>
      <w:pPr>
        <w:ind w:firstLine="56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二0二二年三月二十二日。</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（六）价值定义</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本次评估价格是指对估价对象在现有用途、状态不变的前提下，采用公开市场价值标准，为本报告书所列明的目的和假设限制条件下的现行公开市场价值的估计值。</w:t>
      </w:r>
    </w:p>
    <w:p>
      <w:pPr>
        <w:rPr>
          <w:rFonts w:hint="eastAsia" w:ascii="仿宋_GB2312" w:hAnsi="宋体" w:eastAsia="仿宋_GB2312"/>
          <w:b/>
          <w:bCs/>
          <w:sz w:val="30"/>
          <w:szCs w:val="30"/>
          <w:lang w:val="en-US" w:eastAsia="zh-CN"/>
        </w:rPr>
      </w:pPr>
      <w:r>
        <w:rPr>
          <w:rFonts w:hint="eastAsia" w:ascii="仿宋_GB2312" w:hAnsi="宋体" w:eastAsia="仿宋_GB2312"/>
          <w:b/>
          <w:bCs/>
          <w:sz w:val="30"/>
          <w:szCs w:val="30"/>
          <w:lang w:val="en-US" w:eastAsia="zh-CN"/>
        </w:rPr>
        <w:t xml:space="preserve">  （七）估价依据</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1、法律法规依据</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（1）《中华人民共和国价格法》；</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w:t>
      </w:r>
      <w:r>
        <w:rPr>
          <w:rFonts w:hint="default" w:ascii="仿宋_GB2312" w:hAnsi="宋体" w:eastAsia="仿宋_GB2312" w:cs="Times New Roman"/>
          <w:kern w:val="2"/>
          <w:sz w:val="28"/>
          <w:szCs w:val="28"/>
          <w:lang w:val="en-US" w:eastAsia="zh-CN" w:bidi="ar-SA"/>
        </w:rPr>
        <w:t>《中华人民共和国</w:t>
      </w:r>
      <w:r>
        <w:rPr>
          <w:rFonts w:hint="eastAsia" w:ascii="仿宋_GB2312" w:hAnsi="宋体" w:eastAsia="仿宋_GB2312" w:cs="Times New Roman"/>
          <w:kern w:val="2"/>
          <w:sz w:val="28"/>
          <w:szCs w:val="28"/>
          <w:lang w:val="en-US" w:eastAsia="zh-CN" w:bidi="ar-SA"/>
        </w:rPr>
        <w:t>资产评估</w:t>
      </w:r>
      <w:r>
        <w:rPr>
          <w:rFonts w:hint="default" w:ascii="仿宋_GB2312" w:hAnsi="宋体" w:eastAsia="仿宋_GB2312" w:cs="Times New Roman"/>
          <w:kern w:val="2"/>
          <w:sz w:val="28"/>
          <w:szCs w:val="28"/>
          <w:lang w:val="en-US" w:eastAsia="zh-CN" w:bidi="ar-SA"/>
        </w:rPr>
        <w:t>法》</w:t>
      </w:r>
      <w:r>
        <w:rPr>
          <w:rFonts w:hint="eastAsia" w:ascii="仿宋_GB2312" w:hAnsi="宋体" w:eastAsia="仿宋_GB2312" w:cs="Times New Roman"/>
          <w:kern w:val="2"/>
          <w:sz w:val="28"/>
          <w:szCs w:val="28"/>
          <w:lang w:val="en-US" w:eastAsia="zh-CN" w:bidi="ar-SA"/>
        </w:rPr>
        <w:t>；</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（3）《中华人民共和国城市房地产管理法》；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（4）《中华人民共和国土地管理法》；</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（5）中华人民共和国国家标准《房地产估价规范》；</w:t>
      </w:r>
    </w:p>
    <w:p>
      <w:pPr>
        <w:spacing w:beforeLines="0" w:afterLines="0"/>
        <w:ind w:firstLine="280" w:firstLineChars="100"/>
        <w:jc w:val="left"/>
        <w:rPr>
          <w:rFonts w:hint="eastAsia" w:ascii="仿宋" w:hAnsi="仿宋" w:eastAsia="仿宋"/>
          <w:sz w:val="28"/>
          <w:szCs w:val="28"/>
        </w:rPr>
      </w:pPr>
      <w:r>
        <w:rPr>
          <w:rFonts w:hint="eastAsia" w:ascii="仿宋" w:hAnsi="仿宋" w:eastAsia="仿宋"/>
          <w:sz w:val="28"/>
          <w:szCs w:val="28"/>
          <w:lang w:eastAsia="zh-CN"/>
        </w:rPr>
        <w:t>（</w:t>
      </w:r>
      <w:r>
        <w:rPr>
          <w:rFonts w:hint="eastAsia" w:ascii="仿宋" w:hAnsi="仿宋" w:eastAsia="仿宋"/>
          <w:sz w:val="28"/>
          <w:szCs w:val="28"/>
          <w:lang w:val="en-US" w:eastAsia="zh-CN"/>
        </w:rPr>
        <w:t>6</w:t>
      </w:r>
      <w:r>
        <w:rPr>
          <w:rFonts w:hint="eastAsia" w:ascii="仿宋" w:hAnsi="仿宋" w:eastAsia="仿宋"/>
          <w:sz w:val="28"/>
          <w:szCs w:val="28"/>
          <w:lang w:eastAsia="zh-CN"/>
        </w:rPr>
        <w:t>）</w:t>
      </w:r>
      <w:r>
        <w:rPr>
          <w:rFonts w:hint="eastAsia" w:ascii="仿宋" w:hAnsi="仿宋" w:eastAsia="仿宋"/>
          <w:sz w:val="28"/>
          <w:szCs w:val="28"/>
        </w:rPr>
        <w:t>《价格评估执业规范》</w:t>
      </w:r>
      <w:r>
        <w:rPr>
          <w:rFonts w:hint="eastAsia" w:ascii="仿宋" w:hAnsi="仿宋" w:eastAsia="仿宋"/>
          <w:sz w:val="28"/>
          <w:szCs w:val="28"/>
          <w:lang w:eastAsia="zh-CN"/>
        </w:rPr>
        <w:t>；</w:t>
      </w:r>
    </w:p>
    <w:p>
      <w:pPr>
        <w:spacing w:beforeLines="0" w:afterLines="0"/>
        <w:jc w:val="left"/>
        <w:rPr>
          <w:rFonts w:hint="eastAsia" w:ascii="仿宋" w:hAnsi="仿宋" w:eastAsia="仿宋"/>
          <w:sz w:val="28"/>
          <w:szCs w:val="28"/>
        </w:rPr>
      </w:pPr>
      <w:r>
        <w:rPr>
          <w:rFonts w:hint="eastAsia" w:ascii="仿宋" w:hAnsi="仿宋" w:eastAsia="仿宋"/>
          <w:sz w:val="28"/>
          <w:szCs w:val="28"/>
          <w:lang w:val="en-US" w:eastAsia="zh-CN"/>
        </w:rPr>
        <w:t xml:space="preserve">  </w:t>
      </w:r>
      <w:r>
        <w:rPr>
          <w:rFonts w:hint="eastAsia" w:ascii="仿宋" w:hAnsi="仿宋" w:eastAsia="仿宋"/>
          <w:sz w:val="28"/>
          <w:szCs w:val="28"/>
          <w:lang w:eastAsia="zh-CN"/>
        </w:rPr>
        <w:t>（</w:t>
      </w:r>
      <w:r>
        <w:rPr>
          <w:rFonts w:hint="eastAsia" w:ascii="仿宋" w:hAnsi="仿宋" w:eastAsia="仿宋"/>
          <w:sz w:val="28"/>
          <w:szCs w:val="28"/>
          <w:lang w:val="en-US" w:eastAsia="zh-CN"/>
        </w:rPr>
        <w:t>7</w:t>
      </w:r>
      <w:r>
        <w:rPr>
          <w:rFonts w:hint="eastAsia" w:ascii="仿宋" w:hAnsi="仿宋" w:eastAsia="仿宋"/>
          <w:sz w:val="28"/>
          <w:szCs w:val="28"/>
          <w:lang w:eastAsia="zh-CN"/>
        </w:rPr>
        <w:t>）</w:t>
      </w:r>
      <w:r>
        <w:rPr>
          <w:rFonts w:hint="eastAsia" w:ascii="仿宋" w:hAnsi="仿宋" w:eastAsia="仿宋"/>
          <w:sz w:val="28"/>
          <w:szCs w:val="28"/>
        </w:rPr>
        <w:t>《价格评估人员自律守则》</w:t>
      </w:r>
      <w:r>
        <w:rPr>
          <w:rFonts w:hint="eastAsia" w:ascii="仿宋" w:hAnsi="仿宋" w:eastAsia="仿宋"/>
          <w:sz w:val="28"/>
          <w:szCs w:val="28"/>
          <w:lang w:eastAsia="zh-CN"/>
        </w:rPr>
        <w:t>；</w:t>
      </w:r>
    </w:p>
    <w:p>
      <w:pPr>
        <w:rPr>
          <w:rFonts w:hint="eastAsia" w:ascii="仿宋_GB2312" w:hAnsi="宋体" w:eastAsia="仿宋_GB2312" w:cs="Times New Roman"/>
          <w:kern w:val="2"/>
          <w:sz w:val="28"/>
          <w:szCs w:val="28"/>
          <w:lang w:val="en-US" w:eastAsia="zh-CN" w:bidi="ar-SA"/>
        </w:rPr>
      </w:pPr>
      <w:r>
        <w:rPr>
          <w:rFonts w:hint="eastAsia" w:ascii="仿宋" w:hAnsi="仿宋" w:eastAsia="仿宋"/>
          <w:sz w:val="28"/>
          <w:szCs w:val="28"/>
          <w:lang w:val="en-US" w:eastAsia="zh-CN"/>
        </w:rPr>
        <w:t xml:space="preserve">  </w:t>
      </w:r>
      <w:r>
        <w:rPr>
          <w:rFonts w:hint="eastAsia" w:ascii="仿宋" w:hAnsi="仿宋" w:eastAsia="仿宋"/>
          <w:sz w:val="28"/>
          <w:szCs w:val="28"/>
          <w:lang w:eastAsia="zh-CN"/>
        </w:rPr>
        <w:t>（</w:t>
      </w:r>
      <w:r>
        <w:rPr>
          <w:rFonts w:hint="eastAsia" w:ascii="仿宋" w:hAnsi="仿宋" w:eastAsia="仿宋"/>
          <w:sz w:val="28"/>
          <w:szCs w:val="28"/>
          <w:lang w:val="en-US" w:eastAsia="zh-CN"/>
        </w:rPr>
        <w:t>8</w:t>
      </w:r>
      <w:r>
        <w:rPr>
          <w:rFonts w:hint="eastAsia" w:ascii="仿宋" w:hAnsi="仿宋" w:eastAsia="仿宋"/>
          <w:sz w:val="28"/>
          <w:szCs w:val="28"/>
          <w:lang w:eastAsia="zh-CN"/>
        </w:rPr>
        <w:t>）</w:t>
      </w:r>
      <w:r>
        <w:rPr>
          <w:rFonts w:hint="eastAsia" w:ascii="仿宋" w:hAnsi="仿宋" w:eastAsia="仿宋"/>
          <w:sz w:val="28"/>
          <w:szCs w:val="28"/>
        </w:rPr>
        <w:t>《价格评估行业职业操守》</w:t>
      </w:r>
      <w:r>
        <w:rPr>
          <w:rFonts w:hint="eastAsia" w:ascii="仿宋" w:hAnsi="仿宋" w:eastAsia="仿宋"/>
          <w:sz w:val="28"/>
          <w:szCs w:val="28"/>
          <w:lang w:eastAsia="zh-CN"/>
        </w:rPr>
        <w:t>。</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2、委托方提供的有关资料</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（1）委托方提供的价格评估鉴定委托书；</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（2）委托方提供的相关权属资料复印件及其他资料复印件。</w:t>
      </w:r>
    </w:p>
    <w:p>
      <w:pPr>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3、估价机构和估价人员现场查勘、调查所得的资料；掌握和收集的其它询价资料、参数资料和国家有关部门发布的统计资料和技术标准资料。</w:t>
      </w:r>
    </w:p>
    <w:p>
      <w:p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（八）估价原则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我们按照《房地产估价规范》规定，遵循估价行业公认的估价工作原则，对估价对象进行独立、客观、科学的评价，并遵守国家保密规定。</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本次估价中我们还特别遵循以下估价经济原则：</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独立、客观、公正原则：我们进行估价的最高行为准则。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合法原则：在本次估价时其应当符合国家的法律、法规有关规定，以估价对象的合法权益为前提；本次评估以委托方提供的相关权属资料载明事项体现合法原则。</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最高最佳使用原则：能给估价对象带来最高收益的使用，这种使用是法律上允许、技术上可能、财务上可行，本次估价中以其按现状使用为最高最佳使用。</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时点原则：由于房地产市场是不断变化的，在不同的估价时点，同一宗房地产往往具有不同的价格水平。估价时点原则是指求取某一时点的价格，所以在评估一宗房地产价格时，必须假定市场停止在估价时点上，同时对估价对象的房地产市场情况及自</w:t>
      </w:r>
      <w:r>
        <w:rPr>
          <w:rFonts w:hint="eastAsia" w:ascii="仿宋" w:hAnsi="仿宋" w:eastAsia="仿宋"/>
          <w:sz w:val="30"/>
          <w:szCs w:val="30"/>
          <w:lang w:val="en-US" w:eastAsia="zh-CN"/>
        </w:rPr>
        <w:t>身情况的界定，也是以在</w:t>
      </w:r>
      <w:r>
        <w:rPr>
          <w:rFonts w:hint="eastAsia" w:ascii="仿宋_GB2312" w:hAnsi="宋体" w:eastAsia="仿宋_GB2312" w:cs="Times New Roman"/>
          <w:kern w:val="2"/>
          <w:sz w:val="28"/>
          <w:szCs w:val="28"/>
          <w:lang w:val="en-US" w:eastAsia="zh-CN" w:bidi="ar-SA"/>
        </w:rPr>
        <w:t>估价时点的状况为准。</w:t>
      </w:r>
    </w:p>
    <w:p>
      <w:pPr>
        <w:numPr>
          <w:ilvl w:val="0"/>
          <w:numId w:val="0"/>
        </w:num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（九）估价方法</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根据估价规范要求和评估人员现场踏勘，以及对估价对象的使用年限、周边类似房地产交易实例和宗地所处区域因素等资料进行收集、分析和整理，结合评估目的，本次估价采用了市场法测算估价对象的公开市场价值。</w:t>
      </w:r>
    </w:p>
    <w:p>
      <w:pPr>
        <w:ind w:firstLine="560" w:firstLineChars="200"/>
        <w:rPr>
          <w:rFonts w:ascii="仿宋" w:hAnsi="仿宋" w:eastAsia="仿宋" w:cs="Arial"/>
          <w:color w:val="333333"/>
          <w:sz w:val="30"/>
          <w:szCs w:val="30"/>
          <w:shd w:val="clear" w:color="auto" w:fill="FFFFFF"/>
        </w:rPr>
      </w:pPr>
      <w:r>
        <w:rPr>
          <w:rFonts w:hint="eastAsia" w:ascii="仿宋_GB2312" w:hAnsi="宋体" w:eastAsia="仿宋_GB2312" w:cs="Times New Roman"/>
          <w:kern w:val="2"/>
          <w:sz w:val="28"/>
          <w:szCs w:val="28"/>
          <w:lang w:val="en-US" w:eastAsia="zh-CN" w:bidi="ar-SA"/>
        </w:rPr>
        <w:t>市场法也称市场价格比较法，是指通过比较被评估资产与最近售出类似资产的异同，并将类似的市场价格进行调整，从而确定被评估资产价值的一种</w:t>
      </w:r>
      <w:r>
        <w:rPr>
          <w:rFonts w:hint="eastAsia" w:ascii="仿宋_GB2312" w:hAnsi="宋体" w:eastAsia="仿宋_GB2312" w:cs="Times New Roman"/>
          <w:kern w:val="2"/>
          <w:sz w:val="28"/>
          <w:szCs w:val="28"/>
          <w:lang w:val="en-US" w:eastAsia="zh-CN" w:bidi="ar-SA"/>
        </w:rPr>
        <w:fldChar w:fldCharType="begin"/>
      </w:r>
      <w:r>
        <w:rPr>
          <w:rFonts w:hint="eastAsia" w:ascii="仿宋_GB2312" w:hAnsi="宋体" w:eastAsia="仿宋_GB2312" w:cs="Times New Roman"/>
          <w:kern w:val="2"/>
          <w:sz w:val="28"/>
          <w:szCs w:val="28"/>
          <w:lang w:val="en-US" w:eastAsia="zh-CN" w:bidi="ar-SA"/>
        </w:rPr>
        <w:instrText xml:space="preserve"> HYPERLINK "https://baike.so.com/doc/5779526-5992308.html" \t "_blank" </w:instrText>
      </w:r>
      <w:r>
        <w:rPr>
          <w:rFonts w:hint="eastAsia" w:ascii="仿宋_GB2312" w:hAnsi="宋体" w:eastAsia="仿宋_GB2312" w:cs="Times New Roman"/>
          <w:kern w:val="2"/>
          <w:sz w:val="28"/>
          <w:szCs w:val="28"/>
          <w:lang w:val="en-US" w:eastAsia="zh-CN" w:bidi="ar-SA"/>
        </w:rPr>
        <w:fldChar w:fldCharType="separate"/>
      </w:r>
      <w:r>
        <w:rPr>
          <w:rFonts w:hint="eastAsia" w:ascii="仿宋_GB2312" w:hAnsi="宋体" w:eastAsia="仿宋_GB2312" w:cs="Times New Roman"/>
          <w:kern w:val="2"/>
          <w:sz w:val="28"/>
          <w:szCs w:val="28"/>
          <w:lang w:val="en-US" w:eastAsia="zh-CN" w:bidi="ar-SA"/>
        </w:rPr>
        <w:t>评估方法</w:t>
      </w:r>
      <w:r>
        <w:rPr>
          <w:rFonts w:hint="eastAsia" w:ascii="仿宋_GB2312" w:hAnsi="宋体" w:eastAsia="仿宋_GB2312" w:cs="Times New Roman"/>
          <w:kern w:val="2"/>
          <w:sz w:val="28"/>
          <w:szCs w:val="28"/>
          <w:lang w:val="en-US" w:eastAsia="zh-CN" w:bidi="ar-SA"/>
        </w:rPr>
        <w:fldChar w:fldCharType="end"/>
      </w:r>
      <w:r>
        <w:rPr>
          <w:rFonts w:hint="eastAsia" w:ascii="仿宋_GB2312" w:hAnsi="宋体" w:eastAsia="仿宋_GB2312" w:cs="Times New Roman"/>
          <w:kern w:val="2"/>
          <w:sz w:val="28"/>
          <w:szCs w:val="28"/>
          <w:lang w:val="en-US" w:eastAsia="zh-CN" w:bidi="ar-SA"/>
        </w:rPr>
        <w:t>。首先选取同一区域的三个交易实例，与待估对象通过区域因素、个别因素的比较，并进行价格增减调整，估算被评估对象的市场价格。</w:t>
      </w:r>
    </w:p>
    <w:p>
      <w:pPr>
        <w:ind w:firstLine="560" w:firstLineChars="200"/>
        <w:rPr>
          <w:rFonts w:hint="eastAsia" w:ascii="仿宋_GB2312" w:hAnsi="仿宋" w:eastAsia="仿宋_GB2312"/>
          <w:b/>
          <w:sz w:val="28"/>
          <w:szCs w:val="28"/>
          <w:lang w:val="en-US" w:eastAsia="zh-CN"/>
        </w:rPr>
      </w:pPr>
      <w:r>
        <w:rPr>
          <w:rFonts w:hint="eastAsia" w:ascii="仿宋_GB2312" w:hAnsi="宋体" w:eastAsia="仿宋_GB2312" w:cs="Times New Roman"/>
          <w:kern w:val="2"/>
          <w:sz w:val="28"/>
          <w:szCs w:val="28"/>
          <w:lang w:val="en-US" w:eastAsia="zh-CN" w:bidi="ar-SA"/>
        </w:rPr>
        <w:t xml:space="preserve">评估值（比准价格）=可比实例价格×交易情况修正×市场状况调整×房地产状况调整 </w:t>
      </w:r>
      <w:r>
        <w:rPr>
          <w:rFonts w:hint="eastAsia" w:ascii="仿宋_GB2312" w:hAnsi="仿宋" w:eastAsia="仿宋_GB2312"/>
          <w:b/>
          <w:sz w:val="28"/>
          <w:szCs w:val="28"/>
          <w:lang w:val="en-US" w:eastAsia="zh-CN"/>
        </w:rPr>
        <w:t xml:space="preserve">  </w:t>
      </w:r>
    </w:p>
    <w:p>
      <w:pPr>
        <w:rPr>
          <w:rFonts w:hint="eastAsia" w:ascii="仿宋_GB2312" w:hAnsi="仿宋" w:eastAsia="仿宋_GB2312"/>
          <w:b/>
          <w:sz w:val="28"/>
          <w:szCs w:val="28"/>
        </w:rPr>
      </w:pPr>
      <w:r>
        <w:rPr>
          <w:rFonts w:hint="eastAsia" w:ascii="仿宋_GB2312" w:hAnsi="仿宋" w:eastAsia="仿宋_GB2312"/>
          <w:b/>
          <w:sz w:val="28"/>
          <w:szCs w:val="28"/>
          <w:lang w:val="en-US" w:eastAsia="zh-CN"/>
        </w:rPr>
        <w:t xml:space="preserve">   </w:t>
      </w:r>
      <w:r>
        <w:rPr>
          <w:rFonts w:hint="eastAsia" w:ascii="仿宋_GB2312" w:hAnsi="仿宋" w:eastAsia="仿宋_GB2312"/>
          <w:b/>
          <w:sz w:val="28"/>
          <w:szCs w:val="28"/>
        </w:rPr>
        <w:t>（十）估价结果</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估价人员经过实地勘查和测算，确定估价对象在估价时点可能形成的市场价值为￥</w:t>
      </w:r>
      <w:r>
        <w:rPr>
          <w:rFonts w:hint="eastAsia" w:ascii="仿宋" w:hAnsi="仿宋" w:eastAsia="仿宋" w:cs="仿宋"/>
          <w:sz w:val="30"/>
          <w:szCs w:val="30"/>
          <w:lang w:val="en-US" w:eastAsia="zh-CN"/>
        </w:rPr>
        <w:t>329808</w:t>
      </w:r>
      <w:r>
        <w:rPr>
          <w:rFonts w:hint="eastAsia" w:ascii="仿宋_GB2312" w:hAnsi="宋体" w:eastAsia="仿宋_GB2312" w:cs="Times New Roman"/>
          <w:kern w:val="2"/>
          <w:sz w:val="28"/>
          <w:szCs w:val="28"/>
          <w:lang w:val="en-US" w:eastAsia="zh-CN" w:bidi="ar-SA"/>
        </w:rPr>
        <w:t>元(大写人民币叁拾贰万玖仟捌佰零捌元整)。</w:t>
      </w:r>
    </w:p>
    <w:p>
      <w:pPr>
        <w:rPr>
          <w:rFonts w:hint="eastAsia" w:ascii="仿宋_GB2312" w:hAnsi="仿宋" w:eastAsia="仿宋_GB2312" w:cs="Times New Roman"/>
          <w:b/>
          <w:kern w:val="2"/>
          <w:sz w:val="28"/>
          <w:szCs w:val="28"/>
          <w:lang w:val="zh-CN" w:eastAsia="zh-CN" w:bidi="ar-SA"/>
        </w:rPr>
      </w:pPr>
      <w:r>
        <w:rPr>
          <w:rFonts w:hint="eastAsia" w:ascii="仿宋_GB2312" w:hAnsi="仿宋" w:eastAsia="仿宋_GB2312" w:cs="Times New Roman"/>
          <w:b/>
          <w:kern w:val="2"/>
          <w:sz w:val="28"/>
          <w:szCs w:val="28"/>
          <w:lang w:val="en-US" w:eastAsia="zh-CN" w:bidi="ar-SA"/>
        </w:rPr>
        <w:t xml:space="preserve">   </w:t>
      </w:r>
      <w:r>
        <w:rPr>
          <w:rFonts w:hint="eastAsia" w:ascii="仿宋_GB2312" w:hAnsi="仿宋" w:eastAsia="仿宋_GB2312" w:cs="Times New Roman"/>
          <w:b/>
          <w:kern w:val="2"/>
          <w:sz w:val="28"/>
          <w:szCs w:val="28"/>
          <w:lang w:val="zh-CN" w:eastAsia="zh-CN" w:bidi="ar-SA"/>
        </w:rPr>
        <w:t>（十一）价格评估机构</w:t>
      </w:r>
    </w:p>
    <w:p>
      <w:pPr>
        <w:pStyle w:val="5"/>
        <w:spacing w:line="600" w:lineRule="exact"/>
        <w:ind w:firstLine="560" w:firstLineChars="200"/>
        <w:jc w:val="both"/>
        <w:rPr>
          <w:rFonts w:hint="eastAsia" w:ascii="仿宋_GB2312" w:hAnsi="仿宋" w:eastAsia="仿宋_GB2312" w:cs="Times New Roman"/>
          <w:kern w:val="2"/>
          <w:sz w:val="28"/>
          <w:szCs w:val="28"/>
          <w:lang w:val="zh-CN" w:eastAsia="zh-CN" w:bidi="ar-SA"/>
        </w:rPr>
      </w:pPr>
      <w:r>
        <w:rPr>
          <w:rFonts w:hint="eastAsia" w:ascii="仿宋_GB2312" w:hAnsi="仿宋" w:eastAsia="仿宋_GB2312" w:cs="Times New Roman"/>
          <w:kern w:val="2"/>
          <w:sz w:val="28"/>
          <w:szCs w:val="28"/>
          <w:lang w:val="zh-CN" w:eastAsia="zh-CN" w:bidi="ar-SA"/>
        </w:rPr>
        <w:t>机构名称：湖北循其本价格鉴定评估有限公司</w:t>
      </w:r>
    </w:p>
    <w:p>
      <w:pPr>
        <w:pStyle w:val="5"/>
        <w:tabs>
          <w:tab w:val="left" w:pos="900"/>
          <w:tab w:val="left" w:pos="1820"/>
          <w:tab w:val="left" w:pos="2740"/>
          <w:tab w:val="left" w:pos="3660"/>
          <w:tab w:val="left" w:pos="5480"/>
          <w:tab w:val="left" w:pos="6400"/>
          <w:tab w:val="left" w:pos="7320"/>
          <w:tab w:val="left" w:pos="8240"/>
          <w:tab w:val="left" w:pos="10060"/>
          <w:tab w:val="left" w:pos="10980"/>
          <w:tab w:val="left" w:pos="11900"/>
          <w:tab w:val="left" w:pos="12820"/>
          <w:tab w:val="left" w:pos="14640"/>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600" w:lineRule="exact"/>
        <w:ind w:firstLine="560" w:firstLineChars="200"/>
        <w:jc w:val="both"/>
        <w:rPr>
          <w:rFonts w:hint="eastAsia" w:ascii="仿宋_GB2312" w:hAnsi="仿宋" w:eastAsia="仿宋_GB2312" w:cs="Times New Roman"/>
          <w:kern w:val="2"/>
          <w:sz w:val="28"/>
          <w:szCs w:val="28"/>
          <w:lang w:val="en-US" w:eastAsia="zh-CN" w:bidi="ar-SA"/>
        </w:rPr>
      </w:pPr>
      <w:r>
        <w:rPr>
          <w:rFonts w:hint="eastAsia" w:ascii="仿宋_GB2312" w:hAnsi="仿宋" w:eastAsia="仿宋_GB2312" w:cs="Times New Roman"/>
          <w:kern w:val="2"/>
          <w:sz w:val="28"/>
          <w:szCs w:val="28"/>
          <w:lang w:val="zh-CN" w:eastAsia="zh-CN" w:bidi="ar-SA"/>
        </w:rPr>
        <w:t>机构资质证号：中</w:t>
      </w:r>
      <w:r>
        <w:rPr>
          <w:rFonts w:hint="eastAsia" w:ascii="仿宋_GB2312" w:hAnsi="仿宋" w:eastAsia="仿宋_GB2312" w:cs="Times New Roman"/>
          <w:kern w:val="2"/>
          <w:sz w:val="28"/>
          <w:szCs w:val="28"/>
          <w:lang w:val="en-US" w:eastAsia="zh-CN" w:bidi="ar-SA"/>
        </w:rPr>
        <w:t>J</w:t>
      </w:r>
      <w:r>
        <w:rPr>
          <w:rFonts w:hint="eastAsia" w:ascii="仿宋_GB2312" w:hAnsi="仿宋" w:eastAsia="仿宋_GB2312" w:cs="Times New Roman"/>
          <w:kern w:val="2"/>
          <w:sz w:val="28"/>
          <w:szCs w:val="28"/>
          <w:lang w:val="zh-CN" w:eastAsia="zh-CN" w:bidi="ar-SA"/>
        </w:rPr>
        <w:t>1</w:t>
      </w:r>
      <w:r>
        <w:rPr>
          <w:rFonts w:hint="eastAsia" w:ascii="仿宋_GB2312" w:hAnsi="仿宋" w:eastAsia="仿宋_GB2312" w:cs="Times New Roman"/>
          <w:kern w:val="2"/>
          <w:sz w:val="28"/>
          <w:szCs w:val="28"/>
          <w:lang w:val="en-US" w:eastAsia="zh-CN" w:bidi="ar-SA"/>
        </w:rPr>
        <w:t>7</w:t>
      </w:r>
      <w:r>
        <w:rPr>
          <w:rFonts w:hint="eastAsia" w:ascii="仿宋_GB2312" w:hAnsi="仿宋" w:eastAsia="仿宋_GB2312" w:cs="Times New Roman"/>
          <w:kern w:val="2"/>
          <w:sz w:val="28"/>
          <w:szCs w:val="28"/>
          <w:lang w:val="zh-CN" w:eastAsia="zh-CN" w:bidi="ar-SA"/>
        </w:rPr>
        <w:t>000</w:t>
      </w:r>
      <w:r>
        <w:rPr>
          <w:rFonts w:hint="eastAsia" w:ascii="仿宋_GB2312" w:hAnsi="仿宋" w:eastAsia="仿宋_GB2312" w:cs="Times New Roman"/>
          <w:kern w:val="2"/>
          <w:sz w:val="28"/>
          <w:szCs w:val="28"/>
          <w:lang w:val="en-US" w:eastAsia="zh-CN" w:bidi="ar-SA"/>
        </w:rPr>
        <w:t>4</w:t>
      </w:r>
    </w:p>
    <w:p>
      <w:pPr>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b/>
          <w:bCs/>
          <w:sz w:val="30"/>
          <w:szCs w:val="30"/>
          <w:lang w:val="en-US" w:eastAsia="zh-CN"/>
        </w:rPr>
        <w:t xml:space="preserve">   （十二）估价专业人员</w:t>
      </w:r>
      <w:r>
        <w:rPr>
          <w:rFonts w:hint="eastAsia" w:ascii="仿宋_GB2312" w:hAnsi="宋体" w:eastAsia="仿宋_GB2312" w:cs="Times New Roman"/>
          <w:kern w:val="2"/>
          <w:sz w:val="28"/>
          <w:szCs w:val="28"/>
          <w:lang w:val="en-US" w:eastAsia="zh-CN" w:bidi="ar-SA"/>
        </w:rPr>
        <w:t xml:space="preserve">   </w:t>
      </w:r>
    </w:p>
    <w:tbl>
      <w:tblPr>
        <w:tblStyle w:val="9"/>
        <w:tblpPr w:leftFromText="180" w:rightFromText="180" w:vertAnchor="text" w:horzAnchor="page" w:tblpXSpec="center" w:tblpY="81"/>
        <w:tblOverlap w:val="never"/>
        <w:tblW w:w="77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7"/>
        <w:gridCol w:w="1875"/>
        <w:gridCol w:w="1625"/>
        <w:gridCol w:w="2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457"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2"/>
                <w:rFonts w:hint="eastAsia" w:ascii="仿宋" w:hAnsi="仿宋" w:eastAsia="仿宋" w:cs="宋体"/>
                <w:color w:val="000000"/>
                <w:sz w:val="30"/>
                <w:szCs w:val="30"/>
              </w:rPr>
              <w:t>姓  名</w:t>
            </w:r>
          </w:p>
        </w:tc>
        <w:tc>
          <w:tcPr>
            <w:tcW w:w="187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2"/>
                <w:rFonts w:hint="eastAsia" w:ascii="仿宋" w:hAnsi="仿宋" w:eastAsia="仿宋" w:cs="宋体"/>
                <w:color w:val="000000"/>
                <w:sz w:val="30"/>
                <w:szCs w:val="30"/>
              </w:rPr>
              <w:t>资格证名号</w:t>
            </w:r>
          </w:p>
        </w:tc>
        <w:tc>
          <w:tcPr>
            <w:tcW w:w="162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2"/>
                <w:rFonts w:hint="eastAsia" w:ascii="仿宋" w:hAnsi="仿宋" w:eastAsia="仿宋" w:cs="宋体"/>
                <w:color w:val="000000"/>
                <w:sz w:val="30"/>
                <w:szCs w:val="30"/>
              </w:rPr>
              <w:t>资格证号</w:t>
            </w:r>
          </w:p>
        </w:tc>
        <w:tc>
          <w:tcPr>
            <w:tcW w:w="2765" w:type="dxa"/>
            <w:vAlign w:val="center"/>
          </w:tcPr>
          <w:p>
            <w:pPr>
              <w:spacing w:line="600" w:lineRule="exact"/>
              <w:jc w:val="center"/>
              <w:rPr>
                <w:rFonts w:hint="eastAsia" w:ascii="仿宋_GB2312" w:hAnsi="仿宋_GB2312" w:eastAsia="仿宋_GB2312" w:cs="仿宋_GB2312"/>
                <w:color w:val="000000"/>
                <w:sz w:val="24"/>
                <w:szCs w:val="24"/>
                <w:lang w:val="zh-CN"/>
              </w:rPr>
            </w:pPr>
            <w:r>
              <w:rPr>
                <w:rStyle w:val="12"/>
                <w:rFonts w:hint="eastAsia" w:ascii="仿宋" w:hAnsi="仿宋" w:eastAsia="仿宋" w:cs="宋体"/>
                <w:color w:val="000000"/>
                <w:sz w:val="30"/>
                <w:szCs w:val="30"/>
              </w:rPr>
              <w:t>签字或盖章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65" w:hRule="atLeast"/>
          <w:jc w:val="center"/>
        </w:trPr>
        <w:tc>
          <w:tcPr>
            <w:tcW w:w="1457"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2"/>
                <w:rFonts w:hint="eastAsia" w:ascii="仿宋" w:hAnsi="仿宋" w:eastAsia="仿宋" w:cs="宋体"/>
                <w:color w:val="000000"/>
                <w:sz w:val="30"/>
                <w:szCs w:val="30"/>
              </w:rPr>
              <w:t>孙  坚</w:t>
            </w:r>
          </w:p>
        </w:tc>
        <w:tc>
          <w:tcPr>
            <w:tcW w:w="187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2"/>
                <w:rFonts w:hint="eastAsia" w:ascii="仿宋" w:hAnsi="仿宋" w:eastAsia="仿宋" w:cs="宋体"/>
                <w:color w:val="000000"/>
                <w:sz w:val="30"/>
                <w:szCs w:val="30"/>
              </w:rPr>
              <w:t>价格鉴证师</w:t>
            </w:r>
          </w:p>
        </w:tc>
        <w:tc>
          <w:tcPr>
            <w:tcW w:w="162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2"/>
                <w:rFonts w:hint="eastAsia" w:ascii="仿宋" w:hAnsi="仿宋" w:eastAsia="仿宋" w:cs="宋体"/>
                <w:color w:val="000000"/>
                <w:sz w:val="30"/>
                <w:szCs w:val="30"/>
              </w:rPr>
              <w:t>0003035</w:t>
            </w:r>
          </w:p>
        </w:tc>
        <w:tc>
          <w:tcPr>
            <w:tcW w:w="2765" w:type="dxa"/>
            <w:vAlign w:val="center"/>
          </w:tcPr>
          <w:p>
            <w:pPr>
              <w:pStyle w:val="5"/>
              <w:spacing w:line="600" w:lineRule="exact"/>
              <w:jc w:val="center"/>
              <w:rPr>
                <w:rFonts w:hint="eastAsia" w:ascii="仿宋_GB2312" w:hAnsi="仿宋_GB2312" w:eastAsia="仿宋_GB2312" w:cs="仿宋_GB2312"/>
                <w:color w:val="000000"/>
                <w:sz w:val="24"/>
                <w:szCs w:val="24"/>
                <w:lang w:val="zh-CN"/>
              </w:rPr>
            </w:pPr>
            <w:r>
              <w:rPr>
                <w:rFonts w:hint="eastAsia" w:ascii="仿宋" w:hAnsi="仿宋" w:eastAsia="仿宋" w:cs="仿宋"/>
                <w:sz w:val="32"/>
                <w:szCs w:val="32"/>
              </w:rPr>
              <w:drawing>
                <wp:anchor distT="0" distB="0" distL="114300" distR="114300" simplePos="0" relativeHeight="251668480" behindDoc="1" locked="0" layoutInCell="1" allowOverlap="1">
                  <wp:simplePos x="0" y="0"/>
                  <wp:positionH relativeFrom="column">
                    <wp:posOffset>180975</wp:posOffset>
                  </wp:positionH>
                  <wp:positionV relativeFrom="paragraph">
                    <wp:posOffset>158750</wp:posOffset>
                  </wp:positionV>
                  <wp:extent cx="1273810" cy="491490"/>
                  <wp:effectExtent l="0" t="0" r="2540" b="3810"/>
                  <wp:wrapNone/>
                  <wp:docPr id="6" name="图片 7" descr="孙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孙坚"/>
                          <pic:cNvPicPr>
                            <a:picLocks noChangeAspect="1"/>
                          </pic:cNvPicPr>
                        </pic:nvPicPr>
                        <pic:blipFill>
                          <a:blip r:embed="rId7"/>
                          <a:stretch>
                            <a:fillRect/>
                          </a:stretch>
                        </pic:blipFill>
                        <pic:spPr>
                          <a:xfrm>
                            <a:off x="0" y="0"/>
                            <a:ext cx="1273810" cy="491490"/>
                          </a:xfrm>
                          <a:prstGeom prst="rect">
                            <a:avLst/>
                          </a:prstGeom>
                          <a:noFill/>
                          <a:ln w="9525">
                            <a:noFill/>
                            <a:miter/>
                          </a:ln>
                          <a:effectLst/>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33" w:hRule="atLeast"/>
          <w:jc w:val="center"/>
        </w:trPr>
        <w:tc>
          <w:tcPr>
            <w:tcW w:w="1457"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2"/>
                <w:rFonts w:hint="eastAsia" w:ascii="仿宋" w:hAnsi="仿宋" w:eastAsia="仿宋" w:cs="宋体"/>
                <w:color w:val="000000"/>
                <w:sz w:val="30"/>
                <w:szCs w:val="30"/>
              </w:rPr>
              <w:t>刘汉生</w:t>
            </w:r>
          </w:p>
        </w:tc>
        <w:tc>
          <w:tcPr>
            <w:tcW w:w="187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2"/>
                <w:rFonts w:hint="eastAsia" w:ascii="仿宋" w:hAnsi="仿宋" w:eastAsia="仿宋" w:cs="宋体"/>
                <w:color w:val="000000"/>
                <w:sz w:val="30"/>
                <w:szCs w:val="30"/>
              </w:rPr>
              <w:t>价格鉴证师</w:t>
            </w:r>
          </w:p>
        </w:tc>
        <w:tc>
          <w:tcPr>
            <w:tcW w:w="1625" w:type="dxa"/>
            <w:vAlign w:val="center"/>
          </w:tcPr>
          <w:p>
            <w:pPr>
              <w:spacing w:line="600" w:lineRule="exact"/>
              <w:jc w:val="center"/>
              <w:rPr>
                <w:rFonts w:hint="eastAsia" w:ascii="仿宋_GB2312" w:hAnsi="仿宋_GB2312" w:eastAsia="仿宋_GB2312" w:cs="仿宋_GB2312"/>
                <w:color w:val="000000"/>
                <w:sz w:val="28"/>
                <w:szCs w:val="28"/>
                <w:lang w:val="zh-CN"/>
              </w:rPr>
            </w:pPr>
            <w:r>
              <w:rPr>
                <w:rStyle w:val="12"/>
                <w:rFonts w:hint="eastAsia" w:ascii="仿宋" w:hAnsi="仿宋" w:eastAsia="仿宋" w:cs="宋体"/>
                <w:color w:val="000000"/>
                <w:sz w:val="30"/>
                <w:szCs w:val="30"/>
              </w:rPr>
              <w:t>0017039</w:t>
            </w:r>
          </w:p>
        </w:tc>
        <w:tc>
          <w:tcPr>
            <w:tcW w:w="2765" w:type="dxa"/>
            <w:vAlign w:val="center"/>
          </w:tcPr>
          <w:p>
            <w:pPr>
              <w:pStyle w:val="5"/>
              <w:rPr>
                <w:rFonts w:hint="eastAsia" w:ascii="仿宋" w:hAnsi="仿宋" w:eastAsia="仿宋"/>
                <w:color w:val="000000"/>
                <w:sz w:val="32"/>
                <w:szCs w:val="32"/>
              </w:rPr>
            </w:pPr>
            <w:r>
              <w:rPr>
                <w:lang w:val="zh-CN" w:eastAsia="zh-CN"/>
              </w:rPr>
              <w:drawing>
                <wp:anchor distT="0" distB="0" distL="114300" distR="114300" simplePos="0" relativeHeight="251669504" behindDoc="0" locked="0" layoutInCell="1" allowOverlap="1">
                  <wp:simplePos x="0" y="0"/>
                  <wp:positionH relativeFrom="column">
                    <wp:posOffset>10795</wp:posOffset>
                  </wp:positionH>
                  <wp:positionV relativeFrom="paragraph">
                    <wp:posOffset>25400</wp:posOffset>
                  </wp:positionV>
                  <wp:extent cx="1494790" cy="1033780"/>
                  <wp:effectExtent l="0" t="0" r="10795" b="0"/>
                  <wp:wrapNone/>
                  <wp:docPr id="7" name="图片 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1"/>
                          <pic:cNvPicPr>
                            <a:picLocks noChangeAspect="1"/>
                          </pic:cNvPicPr>
                        </pic:nvPicPr>
                        <pic:blipFill>
                          <a:blip r:embed="rId8"/>
                          <a:stretch>
                            <a:fillRect/>
                          </a:stretch>
                        </pic:blipFill>
                        <pic:spPr>
                          <a:xfrm>
                            <a:off x="0" y="0"/>
                            <a:ext cx="1494790" cy="1033780"/>
                          </a:xfrm>
                          <a:prstGeom prst="rect">
                            <a:avLst/>
                          </a:prstGeom>
                          <a:noFill/>
                          <a:ln w="9525">
                            <a:noFill/>
                            <a:miter/>
                          </a:ln>
                          <a:effectLst/>
                        </pic:spPr>
                      </pic:pic>
                    </a:graphicData>
                  </a:graphic>
                </wp:anchor>
              </w:drawing>
            </w:r>
            <w:r>
              <w:rPr>
                <w:rFonts w:hint="eastAsia" w:ascii="仿宋" w:hAnsi="仿宋" w:eastAsia="仿宋"/>
                <w:color w:val="000000"/>
                <w:sz w:val="32"/>
                <w:szCs w:val="32"/>
              </w:rPr>
              <w:drawing>
                <wp:anchor distT="0" distB="0" distL="114300" distR="114300" simplePos="0" relativeHeight="251670528" behindDoc="0" locked="0" layoutInCell="1" allowOverlap="1">
                  <wp:simplePos x="0" y="0"/>
                  <wp:positionH relativeFrom="column">
                    <wp:posOffset>158115</wp:posOffset>
                  </wp:positionH>
                  <wp:positionV relativeFrom="page">
                    <wp:posOffset>209550</wp:posOffset>
                  </wp:positionV>
                  <wp:extent cx="635" cy="635"/>
                  <wp:effectExtent l="0" t="0" r="0" b="0"/>
                  <wp:wrapNone/>
                  <wp:docPr id="8" name="图片 8" descr="Screenshot_20210124-145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Screenshot_20210124-145428"/>
                          <pic:cNvPicPr>
                            <a:picLocks noChangeAspect="1"/>
                          </pic:cNvPicPr>
                        </pic:nvPicPr>
                        <pic:blipFill>
                          <a:blip r:embed="rId9"/>
                          <a:srcRect l="18570" t="17889" r="23581" b="11664"/>
                          <a:stretch>
                            <a:fillRect/>
                          </a:stretch>
                        </pic:blipFill>
                        <pic:spPr>
                          <a:xfrm>
                            <a:off x="0" y="0"/>
                            <a:ext cx="635" cy="635"/>
                          </a:xfrm>
                          <a:prstGeom prst="rect">
                            <a:avLst/>
                          </a:prstGeom>
                          <a:noFill/>
                          <a:ln w="9525">
                            <a:noFill/>
                            <a:miter/>
                          </a:ln>
                          <a:effectLst/>
                        </pic:spPr>
                      </pic:pic>
                    </a:graphicData>
                  </a:graphic>
                </wp:anchor>
              </w:drawing>
            </w:r>
          </w:p>
          <w:p>
            <w:pPr>
              <w:pStyle w:val="5"/>
              <w:rPr>
                <w:rFonts w:hint="eastAsia" w:ascii="仿宋_GB2312" w:hAnsi="仿宋_GB2312" w:eastAsia="仿宋_GB2312" w:cs="仿宋_GB2312"/>
                <w:color w:val="000000"/>
                <w:sz w:val="24"/>
                <w:szCs w:val="24"/>
                <w:lang w:val="zh-CN"/>
              </w:rPr>
            </w:pPr>
          </w:p>
        </w:tc>
      </w:tr>
    </w:tbl>
    <w:p>
      <w:pPr>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numPr>
          <w:ilvl w:val="0"/>
          <w:numId w:val="0"/>
        </w:numPr>
        <w:rPr>
          <w:rFonts w:hint="eastAsia" w:ascii="仿宋_GB2312" w:hAnsi="宋体" w:eastAsia="仿宋_GB2312" w:cs="Times New Roman"/>
          <w:kern w:val="2"/>
          <w:sz w:val="28"/>
          <w:szCs w:val="28"/>
          <w:lang w:val="en-US" w:eastAsia="zh-CN" w:bidi="ar-SA"/>
        </w:rPr>
      </w:pPr>
    </w:p>
    <w:p>
      <w:pPr>
        <w:numPr>
          <w:ilvl w:val="0"/>
          <w:numId w:val="0"/>
        </w:numPr>
        <w:rPr>
          <w:rFonts w:hint="eastAsia" w:ascii="仿宋_GB2312" w:hAnsi="宋体" w:eastAsia="仿宋_GB2312" w:cs="Times New Roman"/>
          <w:kern w:val="2"/>
          <w:sz w:val="28"/>
          <w:szCs w:val="28"/>
          <w:lang w:val="en-US" w:eastAsia="zh-CN" w:bidi="ar-SA"/>
        </w:rPr>
      </w:pPr>
    </w:p>
    <w:p>
      <w:pPr>
        <w:numPr>
          <w:ilvl w:val="0"/>
          <w:numId w:val="0"/>
        </w:numPr>
        <w:rPr>
          <w:rFonts w:hint="eastAsia" w:ascii="仿宋_GB2312" w:hAnsi="宋体" w:eastAsia="仿宋_GB2312" w:cs="Times New Roman"/>
          <w:kern w:val="2"/>
          <w:sz w:val="28"/>
          <w:szCs w:val="28"/>
          <w:lang w:val="en-US" w:eastAsia="zh-CN" w:bidi="ar-SA"/>
        </w:rPr>
      </w:pPr>
    </w:p>
    <w:p>
      <w:pPr>
        <w:numPr>
          <w:ilvl w:val="0"/>
          <w:numId w:val="0"/>
        </w:numPr>
        <w:rPr>
          <w:rFonts w:hint="eastAsia" w:ascii="仿宋_GB2312" w:hAnsi="宋体" w:eastAsia="仿宋_GB2312" w:cs="Times New Roman"/>
          <w:kern w:val="2"/>
          <w:sz w:val="28"/>
          <w:szCs w:val="28"/>
          <w:lang w:val="en-US" w:eastAsia="zh-CN" w:bidi="ar-SA"/>
        </w:rPr>
      </w:pPr>
    </w:p>
    <w:p>
      <w:pPr>
        <w:numPr>
          <w:ilvl w:val="0"/>
          <w:numId w:val="0"/>
        </w:numPr>
        <w:rPr>
          <w:rFonts w:hint="eastAsia" w:ascii="仿宋_GB2312" w:hAnsi="宋体" w:eastAsia="仿宋_GB2312" w:cs="Times New Roman"/>
          <w:kern w:val="2"/>
          <w:sz w:val="28"/>
          <w:szCs w:val="28"/>
          <w:lang w:val="en-US" w:eastAsia="zh-CN" w:bidi="ar-SA"/>
        </w:rPr>
      </w:pPr>
    </w:p>
    <w:p>
      <w:pPr>
        <w:numPr>
          <w:ilvl w:val="0"/>
          <w:numId w:val="0"/>
        </w:numPr>
        <w:rPr>
          <w:rStyle w:val="12"/>
          <w:rFonts w:hint="eastAsia" w:ascii="仿宋_GB2312" w:hAnsi="仿宋" w:eastAsia="仿宋_GB2312" w:cs="宋体"/>
          <w:b/>
          <w:sz w:val="28"/>
          <w:szCs w:val="28"/>
          <w:highlight w:val="none"/>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b/>
          <w:bCs/>
          <w:sz w:val="30"/>
          <w:szCs w:val="30"/>
          <w:highlight w:val="none"/>
          <w:lang w:val="en-US" w:eastAsia="zh-CN"/>
        </w:rPr>
        <w:t>（十三）</w:t>
      </w:r>
      <w:r>
        <w:rPr>
          <w:rFonts w:hint="eastAsia" w:ascii="仿宋_GB2312" w:hAnsi="仿宋" w:eastAsia="仿宋_GB2312"/>
          <w:b/>
          <w:sz w:val="28"/>
          <w:szCs w:val="28"/>
          <w:highlight w:val="none"/>
        </w:rPr>
        <w:t>评估报告日</w:t>
      </w:r>
      <w:r>
        <w:rPr>
          <w:rStyle w:val="12"/>
          <w:rFonts w:hint="eastAsia" w:ascii="仿宋" w:hAnsi="仿宋" w:eastAsia="仿宋_GB2312" w:cs="宋体"/>
          <w:b/>
          <w:sz w:val="28"/>
          <w:szCs w:val="28"/>
          <w:highlight w:val="none"/>
        </w:rPr>
        <w:t> </w:t>
      </w:r>
    </w:p>
    <w:p>
      <w:pPr>
        <w:ind w:firstLine="560" w:firstLineChars="200"/>
        <w:rPr>
          <w:rFonts w:hint="eastAsia" w:ascii="仿宋_GB2312" w:hAnsi="宋体" w:eastAsia="仿宋_GB2312" w:cs="Times New Roman"/>
          <w:kern w:val="2"/>
          <w:sz w:val="28"/>
          <w:szCs w:val="28"/>
          <w:highlight w:val="none"/>
          <w:lang w:val="en-US" w:eastAsia="zh-CN" w:bidi="ar-SA"/>
        </w:rPr>
      </w:pPr>
      <w:r>
        <w:rPr>
          <w:rStyle w:val="12"/>
          <w:rFonts w:hint="eastAsia" w:ascii="仿宋_GB2312" w:hAnsi="仿宋" w:eastAsia="仿宋_GB2312" w:cs="宋体"/>
          <w:sz w:val="28"/>
          <w:szCs w:val="28"/>
          <w:highlight w:val="none"/>
        </w:rPr>
        <w:t>本次出具评估报告日期为20</w:t>
      </w:r>
      <w:r>
        <w:rPr>
          <w:rStyle w:val="12"/>
          <w:rFonts w:hint="eastAsia" w:ascii="仿宋_GB2312" w:hAnsi="仿宋" w:eastAsia="仿宋_GB2312" w:cs="宋体"/>
          <w:sz w:val="28"/>
          <w:szCs w:val="28"/>
          <w:highlight w:val="none"/>
          <w:lang w:val="en-US" w:eastAsia="zh-CN"/>
        </w:rPr>
        <w:t>22</w:t>
      </w:r>
      <w:r>
        <w:rPr>
          <w:rStyle w:val="12"/>
          <w:rFonts w:hint="eastAsia" w:ascii="仿宋_GB2312" w:hAnsi="仿宋" w:eastAsia="仿宋_GB2312" w:cs="宋体"/>
          <w:sz w:val="28"/>
          <w:szCs w:val="28"/>
          <w:highlight w:val="none"/>
        </w:rPr>
        <w:t>年</w:t>
      </w:r>
      <w:r>
        <w:rPr>
          <w:rStyle w:val="12"/>
          <w:rFonts w:hint="eastAsia" w:ascii="仿宋_GB2312" w:hAnsi="仿宋" w:eastAsia="仿宋_GB2312" w:cs="宋体"/>
          <w:sz w:val="28"/>
          <w:szCs w:val="28"/>
          <w:highlight w:val="none"/>
          <w:lang w:val="en-US" w:eastAsia="zh-CN"/>
        </w:rPr>
        <w:t>04</w:t>
      </w:r>
      <w:r>
        <w:rPr>
          <w:rStyle w:val="12"/>
          <w:rFonts w:hint="eastAsia" w:ascii="仿宋_GB2312" w:hAnsi="仿宋" w:eastAsia="仿宋_GB2312" w:cs="宋体"/>
          <w:sz w:val="28"/>
          <w:szCs w:val="28"/>
          <w:highlight w:val="none"/>
        </w:rPr>
        <w:t>月</w:t>
      </w:r>
      <w:r>
        <w:rPr>
          <w:rStyle w:val="12"/>
          <w:rFonts w:hint="eastAsia" w:ascii="仿宋_GB2312" w:hAnsi="仿宋" w:eastAsia="仿宋_GB2312" w:cs="宋体"/>
          <w:sz w:val="28"/>
          <w:szCs w:val="28"/>
          <w:highlight w:val="none"/>
          <w:lang w:val="en-US" w:eastAsia="zh-CN"/>
        </w:rPr>
        <w:t>01</w:t>
      </w:r>
      <w:r>
        <w:rPr>
          <w:rStyle w:val="12"/>
          <w:rFonts w:hint="eastAsia" w:ascii="仿宋_GB2312" w:hAnsi="仿宋" w:eastAsia="仿宋_GB2312" w:cs="宋体"/>
          <w:sz w:val="28"/>
          <w:szCs w:val="28"/>
          <w:highlight w:val="none"/>
        </w:rPr>
        <w:t>日</w:t>
      </w:r>
      <w:r>
        <w:rPr>
          <w:rStyle w:val="12"/>
          <w:rFonts w:hint="eastAsia" w:ascii="仿宋_GB2312" w:hAnsi="仿宋" w:eastAsia="仿宋_GB2312" w:cs="宋体"/>
          <w:sz w:val="28"/>
          <w:szCs w:val="28"/>
          <w:highlight w:val="none"/>
        </w:rPr>
        <w:t>。</w:t>
      </w:r>
      <w:r>
        <w:rPr>
          <w:rFonts w:hint="eastAsia" w:ascii="仿宋_GB2312" w:hAnsi="宋体" w:eastAsia="仿宋_GB2312" w:cs="Times New Roman"/>
          <w:kern w:val="2"/>
          <w:sz w:val="28"/>
          <w:szCs w:val="28"/>
          <w:highlight w:val="none"/>
          <w:lang w:val="en-US" w:eastAsia="zh-CN" w:bidi="ar-SA"/>
        </w:rPr>
        <w:t xml:space="preserve"> </w:t>
      </w:r>
    </w:p>
    <w:p>
      <w:pPr>
        <w:rPr>
          <w:rFonts w:hint="eastAsia" w:ascii="仿宋_GB2312" w:hAnsi="仿宋" w:eastAsia="仿宋_GB2312"/>
          <w:b/>
          <w:sz w:val="28"/>
          <w:szCs w:val="28"/>
          <w:lang w:val="en-US" w:eastAsia="zh-CN"/>
        </w:rPr>
      </w:pPr>
      <w:r>
        <w:rPr>
          <w:rFonts w:hint="eastAsia" w:ascii="仿宋_GB2312" w:hAnsi="仿宋" w:eastAsia="仿宋_GB2312"/>
          <w:b/>
          <w:sz w:val="28"/>
          <w:szCs w:val="28"/>
          <w:lang w:val="en-US" w:eastAsia="zh-CN"/>
        </w:rPr>
        <w:t xml:space="preserve">   （十四）估价报告应用的有效期</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若无特别约定，估价结论有效期为从估价报告完成之日起壹年。超过有效期后需重新估价方可使用。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ind w:firstLine="4200" w:firstLineChars="15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jc w:val="both"/>
        <w:rPr>
          <w:rFonts w:hint="eastAsia" w:ascii="仿宋" w:hAnsi="仿宋" w:eastAsia="仿宋"/>
          <w:b/>
          <w:bCs/>
          <w:sz w:val="32"/>
          <w:szCs w:val="32"/>
          <w:highlight w:val="none"/>
          <w:lang w:eastAsia="zh-CN"/>
        </w:rPr>
      </w:pPr>
      <w:r>
        <w:rPr>
          <w:rFonts w:hint="eastAsia" w:ascii="仿宋_GB2312" w:hAnsi="宋体" w:eastAsia="仿宋_GB2312" w:cs="Times New Roman"/>
          <w:kern w:val="2"/>
          <w:sz w:val="28"/>
          <w:szCs w:val="28"/>
          <w:lang w:val="en-US" w:eastAsia="zh-CN" w:bidi="ar-SA"/>
        </w:rPr>
        <w:t xml:space="preserve">                             </w:t>
      </w:r>
      <w:r>
        <w:rPr>
          <w:rFonts w:hint="eastAsia" w:ascii="仿宋_GB2312" w:hAnsi="宋体" w:eastAsia="仿宋_GB2312" w:cs="Times New Roman"/>
          <w:kern w:val="2"/>
          <w:sz w:val="28"/>
          <w:szCs w:val="28"/>
          <w:highlight w:val="none"/>
          <w:lang w:val="en-US" w:eastAsia="zh-CN" w:bidi="ar-SA"/>
        </w:rPr>
        <w:t xml:space="preserve">       二0二二年四月一日</w:t>
      </w:r>
    </w:p>
    <w:p>
      <w:pPr>
        <w:jc w:val="both"/>
        <w:rPr>
          <w:rFonts w:hint="eastAsia" w:ascii="仿宋" w:hAnsi="仿宋" w:eastAsia="仿宋"/>
          <w:b/>
          <w:bCs/>
          <w:sz w:val="36"/>
          <w:szCs w:val="36"/>
          <w:lang w:eastAsia="zh-CN"/>
        </w:rPr>
      </w:pPr>
    </w:p>
    <w:p>
      <w:pPr>
        <w:jc w:val="center"/>
        <w:rPr>
          <w:rFonts w:hint="eastAsia" w:ascii="仿宋" w:hAnsi="仿宋" w:eastAsia="仿宋"/>
          <w:b/>
          <w:bCs/>
          <w:sz w:val="32"/>
          <w:szCs w:val="32"/>
          <w:lang w:eastAsia="zh-CN"/>
        </w:rPr>
      </w:pPr>
      <w:r>
        <w:rPr>
          <w:rFonts w:hint="eastAsia" w:ascii="仿宋" w:hAnsi="仿宋" w:eastAsia="仿宋"/>
          <w:b/>
          <w:bCs/>
          <w:sz w:val="32"/>
          <w:szCs w:val="32"/>
          <w:lang w:eastAsia="zh-CN"/>
        </w:rPr>
        <w:t>戴培与案外人田美萍共有的</w:t>
      </w:r>
    </w:p>
    <w:p>
      <w:pPr>
        <w:jc w:val="center"/>
        <w:rPr>
          <w:rFonts w:hint="default" w:ascii="仿宋" w:hAnsi="仿宋" w:eastAsia="仿宋"/>
          <w:b/>
          <w:bCs/>
          <w:sz w:val="32"/>
          <w:szCs w:val="32"/>
          <w:lang w:val="en-US" w:eastAsia="zh-CN"/>
        </w:rPr>
      </w:pPr>
      <w:r>
        <w:rPr>
          <w:rFonts w:hint="eastAsia" w:ascii="仿宋" w:hAnsi="仿宋" w:eastAsia="仿宋"/>
          <w:b/>
          <w:bCs/>
          <w:sz w:val="32"/>
          <w:szCs w:val="32"/>
          <w:lang w:eastAsia="zh-CN"/>
        </w:rPr>
        <w:t>位于孝感市理丝小区小康楼</w:t>
      </w:r>
      <w:r>
        <w:rPr>
          <w:rFonts w:hint="eastAsia" w:ascii="仿宋" w:hAnsi="仿宋" w:eastAsia="仿宋"/>
          <w:b/>
          <w:bCs/>
          <w:sz w:val="32"/>
          <w:szCs w:val="32"/>
          <w:lang w:val="en-US" w:eastAsia="zh-CN"/>
        </w:rPr>
        <w:t>2栋2层203室</w:t>
      </w:r>
    </w:p>
    <w:p>
      <w:pPr>
        <w:jc w:val="center"/>
        <w:rPr>
          <w:rFonts w:hint="eastAsia" w:ascii="仿宋" w:hAnsi="仿宋" w:eastAsia="仿宋"/>
          <w:b/>
          <w:bCs/>
          <w:sz w:val="36"/>
          <w:szCs w:val="36"/>
        </w:rPr>
      </w:pPr>
      <w:r>
        <w:rPr>
          <w:rFonts w:hint="eastAsia" w:ascii="仿宋" w:hAnsi="仿宋" w:eastAsia="仿宋"/>
          <w:b/>
          <w:bCs/>
          <w:sz w:val="32"/>
          <w:szCs w:val="32"/>
          <w:lang w:eastAsia="zh-CN"/>
        </w:rPr>
        <w:t>房地产</w:t>
      </w:r>
      <w:r>
        <w:rPr>
          <w:rFonts w:hint="eastAsia" w:ascii="仿宋" w:hAnsi="仿宋" w:eastAsia="仿宋"/>
          <w:b/>
          <w:bCs/>
          <w:sz w:val="32"/>
          <w:szCs w:val="32"/>
        </w:rPr>
        <w:t>估价技术报告</w:t>
      </w:r>
    </w:p>
    <w:p>
      <w:pPr>
        <w:jc w:val="center"/>
        <w:rPr>
          <w:rFonts w:hint="eastAsia" w:ascii="仿宋" w:hAnsi="仿宋" w:eastAsia="仿宋"/>
          <w:b/>
          <w:bCs/>
          <w:sz w:val="32"/>
          <w:szCs w:val="32"/>
        </w:rPr>
      </w:pPr>
    </w:p>
    <w:p>
      <w:pPr>
        <w:jc w:val="both"/>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一、估价对象实物状况描述与分析</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对象座落孝感市理丝小区2栋2幢2层203室，房屋所有权人为田美萍，房屋共有情况为单独所有，房屋结构为混合结构，所在层数/总层数为2层/6层，建筑面积为89.5平方米，不动产权证书号为00056442号，登记时间为2013年09月27日。</w:t>
      </w:r>
    </w:p>
    <w:p>
      <w:pPr>
        <w:ind w:firstLine="560" w:firstLineChars="200"/>
        <w:rPr>
          <w:rFonts w:hint="default"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经现场勘验和调查，估价对象房屋位于孝感市交通路北理丝小区，现编号为理丝园2栋1单元2层203室，建成于1996年，南北朝向，总层数为6层的步梯楼房，现状用途为成套住宅，外观陈旧，外墙为水泥砂浆粉刷，因多种原因未能进入屋内开展现场勘验。经调查相关当事人，室内为普通装修。</w:t>
      </w:r>
    </w:p>
    <w:p>
      <w:pPr>
        <w:numPr>
          <w:ilvl w:val="0"/>
          <w:numId w:val="2"/>
        </w:numPr>
        <w:ind w:left="562" w:leftChars="0" w:firstLine="0" w:firstLineChars="0"/>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估价对象区域因素分析</w:t>
      </w:r>
    </w:p>
    <w:p>
      <w:pPr>
        <w:keepNext w:val="0"/>
        <w:keepLines w:val="0"/>
        <w:widowControl/>
        <w:suppressLineNumbers w:val="0"/>
        <w:wordWrap w:val="0"/>
        <w:ind w:firstLine="560" w:firstLineChars="200"/>
        <w:jc w:val="left"/>
        <w:rPr>
          <w:rFonts w:hint="eastAsia" w:ascii="仿宋" w:hAnsi="仿宋" w:eastAsia="仿宋" w:cs="仿宋"/>
          <w:kern w:val="2"/>
          <w:sz w:val="28"/>
          <w:szCs w:val="28"/>
          <w:lang w:val="en-US" w:eastAsia="zh-CN" w:bidi="ar-SA"/>
        </w:rPr>
      </w:pPr>
      <w:r>
        <w:rPr>
          <w:rFonts w:hint="eastAsia" w:ascii="仿宋_GB2312" w:hAnsi="宋体" w:eastAsia="仿宋_GB2312" w:cs="Times New Roman"/>
          <w:kern w:val="2"/>
          <w:sz w:val="28"/>
          <w:szCs w:val="28"/>
          <w:lang w:val="en-US" w:eastAsia="zh-CN" w:bidi="ar-SA"/>
        </w:rPr>
        <w:t>估价对象位于孝感市交通路理丝小区。此小区所在区域为孝感市中心城区核心地段，商业繁华旺区，附近生活、公共配套非常齐全，城市功能完善，周边建有湖北工程学院、孝感高中、三里学校、体育路小学等大学、中小学校，还有多家民营幼儿园；有孝感市丽人医院、孝感市东方妇科医院、孝感市痔瘘医院及多家社区卫生服务中心、诊所；有中百超市、武商量贩等各类大中型商超及餐饮美食、休闲娱乐和八里街等商业群，遍布各类专业银行和邮政营业网点；交通十分方便而快捷，多路公交汽车通达；孝感市教育局、邮政局、孝感市高新开发区、孝感市电视台、孝感市体育中心、孝南区民政局等机关、团体单位环伺周围，居住、购物、交通、学校、医疗等各方面条件非常成熟完备。</w:t>
      </w:r>
    </w:p>
    <w:p>
      <w:pPr>
        <w:numPr>
          <w:ilvl w:val="0"/>
          <w:numId w:val="0"/>
        </w:numPr>
        <w:rPr>
          <w:rFonts w:ascii="仿宋" w:hAnsi="仿宋" w:eastAsia="仿宋"/>
          <w:sz w:val="30"/>
          <w:szCs w:val="30"/>
        </w:rPr>
      </w:pPr>
      <w:r>
        <w:rPr>
          <w:rFonts w:hint="eastAsia" w:ascii="仿宋_GB2312" w:hAnsi="宋体" w:eastAsia="仿宋_GB2312" w:cs="Times New Roman"/>
          <w:b/>
          <w:bCs/>
          <w:kern w:val="2"/>
          <w:sz w:val="28"/>
          <w:szCs w:val="28"/>
          <w:lang w:val="en-US" w:eastAsia="zh-CN" w:bidi="ar-SA"/>
        </w:rPr>
        <w:t xml:space="preserve">    三、最高最佳使用分析</w:t>
      </w:r>
    </w:p>
    <w:p>
      <w:pPr>
        <w:ind w:firstLine="560" w:firstLineChars="200"/>
        <w:rPr>
          <w:rFonts w:ascii="仿宋" w:hAnsi="仿宋" w:eastAsia="仿宋"/>
          <w:sz w:val="30"/>
          <w:szCs w:val="30"/>
        </w:rPr>
      </w:pPr>
      <w:r>
        <w:rPr>
          <w:rFonts w:hint="eastAsia" w:ascii="仿宋_GB2312" w:hAnsi="宋体" w:eastAsia="仿宋_GB2312" w:cs="Times New Roman"/>
          <w:kern w:val="2"/>
          <w:sz w:val="28"/>
          <w:szCs w:val="28"/>
          <w:lang w:val="en-US" w:eastAsia="zh-CN" w:bidi="ar-SA"/>
        </w:rPr>
        <w:t>最高最佳使用是估价对象的一种最可能的使用，这种最可能的使用方法是法律上允许、技术上可行、经济上合理，经过充分合理的论证，并能给估价对象带来最高价值的使用，它的一种具体表现是以使估价对象获利最多的用途和形式来衡量，也就是说评估价值应当是在合法使用方式下，各种可能的使用方式中，能够获得最大收益的使用方式的估价结果。根据估价对象的个别因素和区位条件，我们认为估价对象的规划用途为其最佳用途，估价对象用途为住宅房地产，并保持其实体现状、持续使用为前提。</w:t>
      </w:r>
    </w:p>
    <w:p>
      <w:p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四、估价方法的选用</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人员在认真分析所掌握的资料，并对估价对象进行实地勘查以及对周边房地产市场进行调查后，根据估价规范要求以及估价对象的特点、评估目的及宗地所处区域因素等，遵照国家法律、法规和估价技术标准，针对估价对象是住宅房屋，调查房地产中介机构有类似房地产交易案例，并对估价对象进行现场勘验，经过反复研究，我们采用了市场法综合测算估价对象的公开市场价值。</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市场法是指通过比较被评估资产与最近售出类似资产的异同，并将类似的市场价格进行调整，从而确定被评估资产价值的一种</w:t>
      </w:r>
      <w:r>
        <w:rPr>
          <w:rFonts w:hint="eastAsia" w:ascii="仿宋_GB2312" w:hAnsi="宋体" w:eastAsia="仿宋_GB2312" w:cs="Times New Roman"/>
          <w:kern w:val="2"/>
          <w:sz w:val="28"/>
          <w:szCs w:val="28"/>
          <w:lang w:val="en-US" w:eastAsia="zh-CN" w:bidi="ar-SA"/>
        </w:rPr>
        <w:fldChar w:fldCharType="begin"/>
      </w:r>
      <w:r>
        <w:rPr>
          <w:rFonts w:hint="eastAsia" w:ascii="仿宋_GB2312" w:hAnsi="宋体" w:eastAsia="仿宋_GB2312" w:cs="Times New Roman"/>
          <w:kern w:val="2"/>
          <w:sz w:val="28"/>
          <w:szCs w:val="28"/>
          <w:lang w:val="en-US" w:eastAsia="zh-CN" w:bidi="ar-SA"/>
        </w:rPr>
        <w:instrText xml:space="preserve"> HYPERLINK "https://baike.so.com/doc/5779526-5992308.html" \t "_blank" </w:instrText>
      </w:r>
      <w:r>
        <w:rPr>
          <w:rFonts w:hint="eastAsia" w:ascii="仿宋_GB2312" w:hAnsi="宋体" w:eastAsia="仿宋_GB2312" w:cs="Times New Roman"/>
          <w:kern w:val="2"/>
          <w:sz w:val="28"/>
          <w:szCs w:val="28"/>
          <w:lang w:val="en-US" w:eastAsia="zh-CN" w:bidi="ar-SA"/>
        </w:rPr>
        <w:fldChar w:fldCharType="separate"/>
      </w:r>
      <w:r>
        <w:rPr>
          <w:rFonts w:hint="eastAsia" w:ascii="仿宋_GB2312" w:hAnsi="宋体" w:eastAsia="仿宋_GB2312" w:cs="Times New Roman"/>
          <w:kern w:val="2"/>
          <w:sz w:val="28"/>
          <w:szCs w:val="28"/>
          <w:lang w:val="en-US" w:eastAsia="zh-CN" w:bidi="ar-SA"/>
        </w:rPr>
        <w:t>评估方法</w:t>
      </w:r>
      <w:r>
        <w:rPr>
          <w:rFonts w:hint="eastAsia" w:ascii="仿宋_GB2312" w:hAnsi="宋体" w:eastAsia="仿宋_GB2312" w:cs="Times New Roman"/>
          <w:kern w:val="2"/>
          <w:sz w:val="28"/>
          <w:szCs w:val="28"/>
          <w:lang w:val="en-US" w:eastAsia="zh-CN" w:bidi="ar-SA"/>
        </w:rPr>
        <w:fldChar w:fldCharType="end"/>
      </w:r>
      <w:r>
        <w:rPr>
          <w:rFonts w:hint="eastAsia" w:ascii="仿宋_GB2312" w:hAnsi="宋体" w:eastAsia="仿宋_GB2312" w:cs="Times New Roman"/>
          <w:kern w:val="2"/>
          <w:sz w:val="28"/>
          <w:szCs w:val="28"/>
          <w:lang w:val="en-US" w:eastAsia="zh-CN" w:bidi="ar-SA"/>
        </w:rPr>
        <w:t>。首先选取同一区域的三个交易实例，与待估对象通过区域因素、个别因素的比较，并进行价格增减调整，估算被评估对象的市场价格。</w:t>
      </w:r>
    </w:p>
    <w:p>
      <w:pPr>
        <w:numPr>
          <w:ilvl w:val="0"/>
          <w:numId w:val="0"/>
        </w:numPr>
        <w:ind w:firstLine="560"/>
        <w:rPr>
          <w:rFonts w:hint="eastAsia" w:ascii="仿宋_GB2312" w:hAnsi="宋体" w:eastAsia="仿宋_GB2312" w:cs="Times New Roman"/>
          <w:b/>
          <w:bCs/>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 xml:space="preserve">评估值（比准价格）=可比实例价格×交易情况修正×市场状况调整×房地产状况调整 </w:t>
      </w:r>
      <w:r>
        <w:rPr>
          <w:rFonts w:hint="eastAsia" w:ascii="仿宋_GB2312" w:hAnsi="宋体" w:eastAsia="仿宋_GB2312" w:cs="Times New Roman"/>
          <w:b/>
          <w:bCs/>
          <w:kern w:val="2"/>
          <w:sz w:val="28"/>
          <w:szCs w:val="28"/>
          <w:highlight w:val="none"/>
          <w:lang w:val="en-US" w:eastAsia="zh-CN" w:bidi="ar-SA"/>
        </w:rPr>
        <w:t xml:space="preserve">   </w:t>
      </w:r>
    </w:p>
    <w:p>
      <w:pPr>
        <w:numPr>
          <w:ilvl w:val="0"/>
          <w:numId w:val="0"/>
        </w:numPr>
        <w:ind w:firstLine="560"/>
        <w:rPr>
          <w:rFonts w:hint="eastAsia" w:ascii="仿宋_GB2312" w:hAnsi="宋体" w:eastAsia="仿宋_GB2312" w:cs="Times New Roman"/>
          <w:b/>
          <w:bCs/>
          <w:kern w:val="2"/>
          <w:sz w:val="28"/>
          <w:szCs w:val="28"/>
          <w:highlight w:val="none"/>
          <w:lang w:val="en-US" w:eastAsia="zh-CN" w:bidi="ar-SA"/>
        </w:rPr>
      </w:pPr>
      <w:r>
        <w:rPr>
          <w:rFonts w:hint="eastAsia" w:ascii="仿宋_GB2312" w:hAnsi="宋体" w:eastAsia="仿宋_GB2312" w:cs="Times New Roman"/>
          <w:b/>
          <w:bCs/>
          <w:kern w:val="2"/>
          <w:sz w:val="28"/>
          <w:szCs w:val="28"/>
          <w:highlight w:val="none"/>
          <w:lang w:val="en-US" w:eastAsia="zh-CN" w:bidi="ar-SA"/>
        </w:rPr>
        <w:t>五、估价过程</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接受委托后，我们认真研究分析了委托方提供的不动产登记信息、现场勘验照片等有关资料，随后开展了广泛的市场调查，并采用市场法进行了估价测算。</w:t>
      </w:r>
    </w:p>
    <w:p>
      <w:pPr>
        <w:numPr>
          <w:ilvl w:val="0"/>
          <w:numId w:val="0"/>
        </w:numPr>
        <w:ind w:firstLine="560"/>
        <w:rPr>
          <w:rFonts w:hint="eastAsia"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highlight w:val="none"/>
          <w:lang w:val="en-US" w:eastAsia="zh-CN" w:bidi="ar-SA"/>
        </w:rPr>
        <w:t>1、比较实例选择</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针对估价对象的功能和特点，根据替代原则，按用途相同、土地级别相同、价格类型相同等特点，对与估价对象同一区域内的类似住宅房屋价格进行了市场调查和比较分析，按照估价要求，筛选三个可比实例。</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实例A：理丝小区住宅，2000年建成，总层数7层，所在层4层，南北朝向，简单装修，建筑面积80平米，三室二厅一卫，拟交易总价32万，折合单价约4000元/㎡，拟交易日期2022年03月份。</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实例B：理丝小区住宅，1999年建成，总层数6层，所在层2层，南北朝向，简单装修，建筑面积90平米，三室二厅一卫，拟交易总价35万，折合单价约3889元/㎡，拟交易日期2022年03月份。</w:t>
      </w:r>
    </w:p>
    <w:p>
      <w:pPr>
        <w:numPr>
          <w:ilvl w:val="0"/>
          <w:numId w:val="0"/>
        </w:numPr>
        <w:ind w:firstLine="560"/>
        <w:rPr>
          <w:rFonts w:hint="default" w:ascii="仿宋_GB2312" w:hAnsi="宋体" w:eastAsia="仿宋_GB2312" w:cs="Times New Roman"/>
          <w:kern w:val="2"/>
          <w:sz w:val="28"/>
          <w:szCs w:val="28"/>
          <w:highlight w:val="none"/>
          <w:lang w:val="en-US" w:eastAsia="zh-CN" w:bidi="ar-SA"/>
        </w:rPr>
      </w:pPr>
      <w:r>
        <w:rPr>
          <w:rFonts w:hint="eastAsia" w:ascii="仿宋_GB2312" w:hAnsi="宋体" w:eastAsia="仿宋_GB2312" w:cs="Times New Roman"/>
          <w:kern w:val="2"/>
          <w:sz w:val="28"/>
          <w:szCs w:val="28"/>
          <w:lang w:val="en-US" w:eastAsia="zh-CN" w:bidi="ar-SA"/>
        </w:rPr>
        <w:t>实例C：理丝小区住宅，2000年建成，总层数6层，所在层2层，南北朝向，简单装修，建筑面积89平米，三室二厅一卫，拟交易总价30.5万，折合单价约3427元/㎡，拟交易日期2022年01月份。</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2、比较因素条件说明</w:t>
      </w:r>
    </w:p>
    <w:p>
      <w:pPr>
        <w:numPr>
          <w:ilvl w:val="0"/>
          <w:numId w:val="0"/>
        </w:numPr>
        <w:ind w:firstLine="560"/>
        <w:rPr>
          <w:rFonts w:hint="default" w:ascii="仿宋" w:hAnsi="仿宋" w:eastAsia="仿宋" w:cs="仿宋"/>
          <w:sz w:val="30"/>
          <w:szCs w:val="30"/>
          <w:lang w:val="en-US" w:eastAsia="zh-CN"/>
        </w:rPr>
      </w:pPr>
      <w:r>
        <w:rPr>
          <w:rFonts w:hint="eastAsia" w:ascii="仿宋_GB2312" w:hAnsi="宋体" w:eastAsia="仿宋_GB2312" w:cs="Times New Roman"/>
          <w:kern w:val="2"/>
          <w:sz w:val="28"/>
          <w:szCs w:val="28"/>
          <w:lang w:val="en-US" w:eastAsia="zh-CN" w:bidi="ar-SA"/>
        </w:rPr>
        <w:t>估价对象和比较实例的比较因素条件说明见表1。</w:t>
      </w:r>
    </w:p>
    <w:p>
      <w:pPr>
        <w:numPr>
          <w:ilvl w:val="0"/>
          <w:numId w:val="0"/>
        </w:numPr>
        <w:jc w:val="center"/>
        <w:rPr>
          <w:rFonts w:hint="default" w:ascii="仿宋" w:hAnsi="仿宋" w:eastAsia="仿宋" w:cs="仿宋"/>
          <w:sz w:val="30"/>
          <w:szCs w:val="30"/>
          <w:lang w:val="en-US" w:eastAsia="zh-CN"/>
        </w:rPr>
      </w:pPr>
      <w:r>
        <w:rPr>
          <w:rFonts w:hint="eastAsia" w:ascii="仿宋" w:hAnsi="仿宋" w:eastAsia="仿宋" w:cs="仿宋"/>
          <w:sz w:val="30"/>
          <w:szCs w:val="30"/>
          <w:lang w:val="en-US" w:eastAsia="zh-CN"/>
        </w:rPr>
        <w:t>比较因素条件说明表1</w:t>
      </w:r>
    </w:p>
    <w:tbl>
      <w:tblPr>
        <w:tblStyle w:val="10"/>
        <w:tblW w:w="9517"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7"/>
        <w:gridCol w:w="2054"/>
        <w:gridCol w:w="1446"/>
        <w:gridCol w:w="1567"/>
        <w:gridCol w:w="1550"/>
        <w:gridCol w:w="1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3321" w:type="dxa"/>
            <w:gridSpan w:val="2"/>
            <w:vAlign w:val="center"/>
          </w:tcPr>
          <w:p>
            <w:pPr>
              <w:snapToGrid w:val="0"/>
              <w:spacing w:line="240" w:lineRule="auto"/>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因素内容/</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估价对象与案例</w:t>
            </w:r>
          </w:p>
        </w:tc>
        <w:tc>
          <w:tcPr>
            <w:tcW w:w="1446" w:type="dxa"/>
            <w:vAlign w:val="center"/>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估价</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对象</w:t>
            </w:r>
          </w:p>
        </w:tc>
        <w:tc>
          <w:tcPr>
            <w:tcW w:w="1567" w:type="dxa"/>
            <w:vAlign w:val="center"/>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可比案例A</w:t>
            </w:r>
          </w:p>
        </w:tc>
        <w:tc>
          <w:tcPr>
            <w:tcW w:w="1550" w:type="dxa"/>
            <w:vAlign w:val="center"/>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可比案例B</w:t>
            </w:r>
          </w:p>
        </w:tc>
        <w:tc>
          <w:tcPr>
            <w:tcW w:w="1633" w:type="dxa"/>
            <w:vAlign w:val="center"/>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3" w:hRule="atLeast"/>
        </w:trPr>
        <w:tc>
          <w:tcPr>
            <w:tcW w:w="3321" w:type="dxa"/>
            <w:gridSpan w:val="2"/>
            <w:vAlign w:val="center"/>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8"/>
                <w:szCs w:val="28"/>
                <w:vertAlign w:val="baseline"/>
                <w:lang w:val="en-US" w:eastAsia="zh-CN"/>
              </w:rPr>
              <w:t>座 落位 置</w:t>
            </w:r>
          </w:p>
        </w:tc>
        <w:tc>
          <w:tcPr>
            <w:tcW w:w="1446" w:type="dxa"/>
            <w:vAlign w:val="center"/>
          </w:tcPr>
          <w:p>
            <w:pPr>
              <w:numPr>
                <w:ilvl w:val="0"/>
                <w:numId w:val="0"/>
              </w:numPr>
              <w:ind w:left="0" w:leftChars="0"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理丝小区</w:t>
            </w:r>
          </w:p>
          <w:p>
            <w:pPr>
              <w:numPr>
                <w:ilvl w:val="0"/>
                <w:numId w:val="0"/>
              </w:numPr>
              <w:ind w:left="0" w:leftChars="0" w:firstLine="0" w:firstLineChars="0"/>
              <w:jc w:val="center"/>
              <w:rPr>
                <w:rFonts w:hint="default" w:ascii="仿宋" w:hAnsi="仿宋" w:eastAsia="仿宋" w:cs="仿宋"/>
                <w:sz w:val="24"/>
                <w:szCs w:val="24"/>
                <w:vertAlign w:val="baseline"/>
                <w:lang w:val="en-US" w:eastAsia="zh-CN"/>
              </w:rPr>
            </w:pPr>
            <w:r>
              <w:rPr>
                <w:rFonts w:hint="eastAsia" w:ascii="仿宋" w:hAnsi="仿宋" w:eastAsia="仿宋" w:cs="仿宋"/>
                <w:color w:val="auto"/>
                <w:sz w:val="24"/>
                <w:szCs w:val="24"/>
                <w:lang w:val="en-US" w:eastAsia="zh-CN"/>
              </w:rPr>
              <w:t>2幢1单元2层203室</w:t>
            </w:r>
          </w:p>
        </w:tc>
        <w:tc>
          <w:tcPr>
            <w:tcW w:w="1567" w:type="dxa"/>
            <w:vAlign w:val="center"/>
          </w:tcPr>
          <w:p>
            <w:pPr>
              <w:numPr>
                <w:ilvl w:val="0"/>
                <w:numId w:val="0"/>
              </w:numPr>
              <w:ind w:left="0" w:leftChars="0" w:firstLine="0" w:firstLineChars="0"/>
              <w:jc w:val="center"/>
              <w:rPr>
                <w:rFonts w:hint="default" w:ascii="仿宋" w:hAnsi="仿宋" w:eastAsia="仿宋" w:cs="仿宋"/>
                <w:sz w:val="28"/>
                <w:szCs w:val="28"/>
                <w:vertAlign w:val="baseline"/>
                <w:lang w:val="en-US" w:eastAsia="zh-CN"/>
              </w:rPr>
            </w:pPr>
            <w:r>
              <w:rPr>
                <w:rFonts w:hint="eastAsia" w:ascii="仿宋" w:hAnsi="仿宋" w:eastAsia="仿宋" w:cs="仿宋"/>
                <w:color w:val="auto"/>
                <w:sz w:val="28"/>
                <w:szCs w:val="28"/>
                <w:lang w:val="en-US" w:eastAsia="zh-CN"/>
              </w:rPr>
              <w:t>理丝小区</w:t>
            </w:r>
          </w:p>
        </w:tc>
        <w:tc>
          <w:tcPr>
            <w:tcW w:w="1550" w:type="dxa"/>
            <w:vAlign w:val="center"/>
          </w:tcPr>
          <w:p>
            <w:pPr>
              <w:numPr>
                <w:ilvl w:val="0"/>
                <w:numId w:val="0"/>
              </w:numPr>
              <w:ind w:left="0" w:leftChars="0" w:firstLine="0" w:firstLineChars="0"/>
              <w:jc w:val="center"/>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理丝小区</w:t>
            </w:r>
          </w:p>
        </w:tc>
        <w:tc>
          <w:tcPr>
            <w:tcW w:w="1633" w:type="dxa"/>
            <w:vAlign w:val="center"/>
          </w:tcPr>
          <w:p>
            <w:pPr>
              <w:numPr>
                <w:ilvl w:val="0"/>
                <w:numId w:val="0"/>
              </w:numPr>
              <w:ind w:left="0" w:leftChars="0" w:firstLine="0" w:firstLineChars="0"/>
              <w:jc w:val="center"/>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理丝小区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楼盘名称</w:t>
            </w:r>
          </w:p>
        </w:tc>
        <w:tc>
          <w:tcPr>
            <w:tcW w:w="1446" w:type="dxa"/>
            <w:vAlign w:val="center"/>
          </w:tcPr>
          <w:p>
            <w:pPr>
              <w:numPr>
                <w:ilvl w:val="0"/>
                <w:numId w:val="0"/>
              </w:numPr>
              <w:ind w:left="0" w:leftChars="0" w:firstLine="0" w:firstLineChars="0"/>
              <w:jc w:val="center"/>
              <w:rPr>
                <w:rFonts w:hint="default" w:ascii="仿宋" w:hAnsi="仿宋" w:eastAsia="仿宋" w:cs="仿宋"/>
                <w:sz w:val="28"/>
                <w:szCs w:val="28"/>
                <w:vertAlign w:val="baseline"/>
                <w:lang w:val="en-US" w:eastAsia="zh-CN"/>
              </w:rPr>
            </w:pPr>
            <w:r>
              <w:rPr>
                <w:rFonts w:hint="eastAsia" w:ascii="仿宋" w:hAnsi="仿宋" w:eastAsia="仿宋" w:cs="仿宋"/>
                <w:color w:val="auto"/>
                <w:sz w:val="28"/>
                <w:szCs w:val="28"/>
                <w:lang w:val="en-US" w:eastAsia="zh-CN"/>
              </w:rPr>
              <w:t>理丝小区</w:t>
            </w:r>
          </w:p>
        </w:tc>
        <w:tc>
          <w:tcPr>
            <w:tcW w:w="1567" w:type="dxa"/>
            <w:vAlign w:val="center"/>
          </w:tcPr>
          <w:p>
            <w:pPr>
              <w:numPr>
                <w:ilvl w:val="0"/>
                <w:numId w:val="0"/>
              </w:numPr>
              <w:ind w:left="0" w:leftChars="0" w:firstLine="0" w:firstLineChars="0"/>
              <w:jc w:val="center"/>
              <w:rPr>
                <w:rFonts w:hint="eastAsia" w:ascii="仿宋" w:hAnsi="仿宋" w:eastAsia="仿宋" w:cs="仿宋"/>
                <w:sz w:val="28"/>
                <w:szCs w:val="28"/>
                <w:vertAlign w:val="baseline"/>
                <w:lang w:val="en-US" w:eastAsia="zh-CN"/>
              </w:rPr>
            </w:pPr>
            <w:r>
              <w:rPr>
                <w:rFonts w:hint="eastAsia" w:ascii="仿宋" w:hAnsi="仿宋" w:eastAsia="仿宋" w:cs="仿宋"/>
                <w:color w:val="auto"/>
                <w:sz w:val="28"/>
                <w:szCs w:val="28"/>
                <w:lang w:val="en-US" w:eastAsia="zh-CN"/>
              </w:rPr>
              <w:t>理丝小区</w:t>
            </w:r>
          </w:p>
        </w:tc>
        <w:tc>
          <w:tcPr>
            <w:tcW w:w="1550" w:type="dxa"/>
            <w:vAlign w:val="center"/>
          </w:tcPr>
          <w:p>
            <w:pPr>
              <w:numPr>
                <w:ilvl w:val="0"/>
                <w:numId w:val="0"/>
              </w:numPr>
              <w:ind w:left="0" w:leftChars="0" w:firstLine="0" w:firstLineChars="0"/>
              <w:jc w:val="center"/>
              <w:rPr>
                <w:rFonts w:hint="eastAsia" w:ascii="仿宋" w:hAnsi="仿宋" w:eastAsia="仿宋" w:cs="仿宋"/>
                <w:sz w:val="28"/>
                <w:szCs w:val="28"/>
                <w:vertAlign w:val="baseline"/>
                <w:lang w:val="en-US" w:eastAsia="zh-CN"/>
              </w:rPr>
            </w:pPr>
            <w:r>
              <w:rPr>
                <w:rFonts w:hint="eastAsia" w:ascii="仿宋" w:hAnsi="仿宋" w:eastAsia="仿宋" w:cs="仿宋"/>
                <w:color w:val="auto"/>
                <w:sz w:val="28"/>
                <w:szCs w:val="28"/>
                <w:lang w:val="en-US" w:eastAsia="zh-CN"/>
              </w:rPr>
              <w:t>理丝小区</w:t>
            </w:r>
          </w:p>
        </w:tc>
        <w:tc>
          <w:tcPr>
            <w:tcW w:w="1633" w:type="dxa"/>
            <w:vAlign w:val="center"/>
          </w:tcPr>
          <w:p>
            <w:pPr>
              <w:numPr>
                <w:ilvl w:val="0"/>
                <w:numId w:val="0"/>
              </w:numPr>
              <w:ind w:left="0" w:leftChars="0" w:firstLine="0" w:firstLineChars="0"/>
              <w:jc w:val="center"/>
              <w:rPr>
                <w:rFonts w:hint="eastAsia" w:ascii="仿宋" w:hAnsi="仿宋" w:eastAsia="仿宋" w:cs="仿宋"/>
                <w:sz w:val="28"/>
                <w:szCs w:val="28"/>
                <w:vertAlign w:val="baseline"/>
                <w:lang w:val="en-US" w:eastAsia="zh-CN"/>
              </w:rPr>
            </w:pPr>
            <w:r>
              <w:rPr>
                <w:rFonts w:hint="eastAsia" w:ascii="仿宋" w:hAnsi="仿宋" w:eastAsia="仿宋" w:cs="仿宋"/>
                <w:color w:val="auto"/>
                <w:sz w:val="28"/>
                <w:szCs w:val="28"/>
                <w:lang w:val="en-US" w:eastAsia="zh-CN"/>
              </w:rPr>
              <w:t>理丝小区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成交单价（元/</w:t>
            </w:r>
            <w:r>
              <w:rPr>
                <w:rFonts w:hint="eastAsia" w:ascii="仿宋" w:hAnsi="仿宋" w:eastAsia="仿宋" w:cs="仿宋"/>
                <w:color w:val="auto"/>
                <w:sz w:val="30"/>
                <w:szCs w:val="30"/>
                <w:lang w:val="en-US" w:eastAsia="zh-CN"/>
              </w:rPr>
              <w:t>M</w:t>
            </w:r>
            <w:r>
              <w:rPr>
                <w:rFonts w:hint="eastAsia" w:ascii="仿宋" w:hAnsi="仿宋" w:eastAsia="仿宋" w:cs="仿宋"/>
                <w:color w:val="auto"/>
                <w:sz w:val="30"/>
                <w:szCs w:val="30"/>
                <w:vertAlign w:val="superscript"/>
                <w:lang w:val="en-US" w:eastAsia="zh-CN"/>
              </w:rPr>
              <w:t>2</w:t>
            </w:r>
            <w:r>
              <w:rPr>
                <w:rFonts w:hint="eastAsia" w:ascii="仿宋" w:hAnsi="仿宋" w:eastAsia="仿宋" w:cs="仿宋"/>
                <w:sz w:val="30"/>
                <w:szCs w:val="30"/>
                <w:vertAlign w:val="baseline"/>
                <w:lang w:val="en-US" w:eastAsia="zh-CN"/>
              </w:rPr>
              <w:t>)</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w:t>
            </w:r>
          </w:p>
        </w:tc>
        <w:tc>
          <w:tcPr>
            <w:tcW w:w="1567" w:type="dxa"/>
            <w:vAlign w:val="top"/>
          </w:tcPr>
          <w:p>
            <w:pPr>
              <w:jc w:val="center"/>
              <w:rPr>
                <w:rFonts w:hint="default"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4000</w:t>
            </w:r>
          </w:p>
        </w:tc>
        <w:tc>
          <w:tcPr>
            <w:tcW w:w="1550" w:type="dxa"/>
            <w:vAlign w:val="top"/>
          </w:tcPr>
          <w:p>
            <w:pPr>
              <w:jc w:val="center"/>
              <w:rPr>
                <w:rFonts w:hint="default"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3889</w:t>
            </w:r>
          </w:p>
        </w:tc>
        <w:tc>
          <w:tcPr>
            <w:tcW w:w="1633" w:type="dxa"/>
            <w:vAlign w:val="top"/>
          </w:tcPr>
          <w:p>
            <w:pPr>
              <w:jc w:val="center"/>
              <w:rPr>
                <w:rFonts w:hint="default"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3427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情况</w:t>
            </w: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交易情况</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正常</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正常</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类型</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二手房</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二手房</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二手房</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二手房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市场</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状况</w:t>
            </w: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交易日期</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2022.03</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2022.03</w:t>
            </w:r>
          </w:p>
        </w:tc>
        <w:tc>
          <w:tcPr>
            <w:tcW w:w="155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2022.03</w:t>
            </w:r>
          </w:p>
        </w:tc>
        <w:tc>
          <w:tcPr>
            <w:tcW w:w="1633"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2022.01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both"/>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0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区域繁华程度</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较繁华</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较繁华</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较繁华</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较繁华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交通便捷程度</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便捷</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便捷</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便捷</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便捷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公共设施配套</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完备程度</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较完善</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较完善</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较完善</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较完善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区域环境景观</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绿地覆盖度</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5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633"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城市规划</w:t>
            </w:r>
          </w:p>
        </w:tc>
        <w:tc>
          <w:tcPr>
            <w:tcW w:w="1446"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c>
          <w:tcPr>
            <w:tcW w:w="1567"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c>
          <w:tcPr>
            <w:tcW w:w="1550"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c>
          <w:tcPr>
            <w:tcW w:w="1633"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居住、</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商业区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权益状况说明</w:t>
            </w: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房产类型</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商品房</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商品房</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商品房</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商品房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权属清晰情况</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restart"/>
            <w:vAlign w:val="top"/>
          </w:tcPr>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实物</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054"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建筑结构</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混合</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混合</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混合</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混合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临街状态</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临内街</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临内街</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临内街</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临内街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28"/>
                <w:szCs w:val="28"/>
                <w:vertAlign w:val="baseline"/>
                <w:lang w:val="en-US" w:eastAsia="zh-CN"/>
              </w:rPr>
              <w:t>所在层/总层数</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2/6</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4/7</w:t>
            </w:r>
          </w:p>
        </w:tc>
        <w:tc>
          <w:tcPr>
            <w:tcW w:w="155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2/6</w:t>
            </w:r>
          </w:p>
        </w:tc>
        <w:tc>
          <w:tcPr>
            <w:tcW w:w="1633"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面积大小</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适中</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适中</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适中</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适中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布局户型</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三室二厅</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三室二厅</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二室二厅</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二室二厅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装修情况</w:t>
            </w:r>
          </w:p>
        </w:tc>
        <w:tc>
          <w:tcPr>
            <w:tcW w:w="1446" w:type="dxa"/>
            <w:vAlign w:val="top"/>
          </w:tcPr>
          <w:p>
            <w:pPr>
              <w:jc w:val="center"/>
              <w:rPr>
                <w:rFonts w:hint="default" w:ascii="仿宋" w:hAnsi="仿宋" w:eastAsia="仿宋" w:cs="仿宋"/>
                <w:color w:val="000000" w:themeColor="text1"/>
                <w:sz w:val="30"/>
                <w:szCs w:val="30"/>
                <w:highlight w:val="none"/>
                <w:vertAlign w:val="baseline"/>
                <w:lang w:val="en-US" w:eastAsia="zh-CN"/>
                <w14:textFill>
                  <w14:solidFill>
                    <w14:schemeClr w14:val="tx1"/>
                  </w14:solidFill>
                </w14:textFill>
              </w:rPr>
            </w:pPr>
            <w:r>
              <w:rPr>
                <w:rFonts w:hint="eastAsia" w:ascii="仿宋" w:hAnsi="仿宋" w:eastAsia="仿宋" w:cs="仿宋"/>
                <w:color w:val="000000" w:themeColor="text1"/>
                <w:sz w:val="30"/>
                <w:szCs w:val="30"/>
                <w:highlight w:val="none"/>
                <w:vertAlign w:val="baseline"/>
                <w:lang w:val="en-US" w:eastAsia="zh-CN"/>
                <w14:textFill>
                  <w14:solidFill>
                    <w14:schemeClr w14:val="tx1"/>
                  </w14:solidFill>
                </w14:textFill>
              </w:rPr>
              <w:t>简单装修</w:t>
            </w:r>
          </w:p>
        </w:tc>
        <w:tc>
          <w:tcPr>
            <w:tcW w:w="1567" w:type="dxa"/>
            <w:vAlign w:val="top"/>
          </w:tcPr>
          <w:p>
            <w:pPr>
              <w:jc w:val="center"/>
              <w:rPr>
                <w:rFonts w:hint="eastAsia" w:ascii="仿宋" w:hAnsi="仿宋" w:eastAsia="仿宋" w:cs="仿宋"/>
                <w:color w:val="000000" w:themeColor="text1"/>
                <w:sz w:val="30"/>
                <w:szCs w:val="30"/>
                <w:highlight w:val="none"/>
                <w:vertAlign w:val="baseline"/>
                <w:lang w:val="en-US" w:eastAsia="zh-CN"/>
                <w14:textFill>
                  <w14:solidFill>
                    <w14:schemeClr w14:val="tx1"/>
                  </w14:solidFill>
                </w14:textFill>
              </w:rPr>
            </w:pPr>
            <w:r>
              <w:rPr>
                <w:rFonts w:hint="eastAsia" w:ascii="仿宋" w:hAnsi="仿宋" w:eastAsia="仿宋" w:cs="仿宋"/>
                <w:color w:val="000000" w:themeColor="text1"/>
                <w:sz w:val="30"/>
                <w:szCs w:val="30"/>
                <w:highlight w:val="none"/>
                <w:vertAlign w:val="baseline"/>
                <w:lang w:val="en-US" w:eastAsia="zh-CN"/>
                <w14:textFill>
                  <w14:solidFill>
                    <w14:schemeClr w14:val="tx1"/>
                  </w14:solidFill>
                </w14:textFill>
              </w:rPr>
              <w:t>简单装修</w:t>
            </w:r>
          </w:p>
        </w:tc>
        <w:tc>
          <w:tcPr>
            <w:tcW w:w="1550" w:type="dxa"/>
            <w:vAlign w:val="top"/>
          </w:tcPr>
          <w:p>
            <w:pPr>
              <w:jc w:val="center"/>
              <w:rPr>
                <w:rFonts w:hint="default" w:ascii="仿宋" w:hAnsi="仿宋" w:eastAsia="仿宋" w:cs="仿宋"/>
                <w:color w:val="000000" w:themeColor="text1"/>
                <w:sz w:val="30"/>
                <w:szCs w:val="30"/>
                <w:vertAlign w:val="baseline"/>
                <w:lang w:val="en-US" w:eastAsia="zh-CN"/>
                <w14:textFill>
                  <w14:solidFill>
                    <w14:schemeClr w14:val="tx1"/>
                  </w14:solidFill>
                </w14:textFill>
              </w:rPr>
            </w:pPr>
            <w:r>
              <w:rPr>
                <w:rFonts w:hint="eastAsia" w:ascii="仿宋" w:hAnsi="仿宋" w:eastAsia="仿宋" w:cs="仿宋"/>
                <w:color w:val="000000" w:themeColor="text1"/>
                <w:sz w:val="30"/>
                <w:szCs w:val="30"/>
                <w:highlight w:val="none"/>
                <w:vertAlign w:val="baseline"/>
                <w:lang w:val="en-US" w:eastAsia="zh-CN"/>
                <w14:textFill>
                  <w14:solidFill>
                    <w14:schemeClr w14:val="tx1"/>
                  </w14:solidFill>
                </w14:textFill>
              </w:rPr>
              <w:t>简单装修</w:t>
            </w:r>
          </w:p>
        </w:tc>
        <w:tc>
          <w:tcPr>
            <w:tcW w:w="1633" w:type="dxa"/>
            <w:vAlign w:val="top"/>
          </w:tcPr>
          <w:p>
            <w:pPr>
              <w:jc w:val="center"/>
              <w:rPr>
                <w:rFonts w:hint="eastAsia" w:ascii="仿宋" w:hAnsi="仿宋" w:eastAsia="仿宋" w:cs="仿宋"/>
                <w:color w:val="000000" w:themeColor="text1"/>
                <w:sz w:val="30"/>
                <w:szCs w:val="30"/>
                <w:vertAlign w:val="baseline"/>
                <w:lang w:val="en-US" w:eastAsia="zh-CN"/>
                <w14:textFill>
                  <w14:solidFill>
                    <w14:schemeClr w14:val="tx1"/>
                  </w14:solidFill>
                </w14:textFill>
              </w:rPr>
            </w:pPr>
            <w:r>
              <w:rPr>
                <w:rFonts w:hint="eastAsia" w:ascii="仿宋" w:hAnsi="仿宋" w:eastAsia="仿宋" w:cs="仿宋"/>
                <w:color w:val="000000" w:themeColor="text1"/>
                <w:sz w:val="30"/>
                <w:szCs w:val="30"/>
                <w:highlight w:val="none"/>
                <w:vertAlign w:val="baseline"/>
                <w:lang w:val="en-US" w:eastAsia="zh-CN"/>
                <w14:textFill>
                  <w14:solidFill>
                    <w14:schemeClr w14:val="tx1"/>
                  </w14:solidFill>
                </w14:textFill>
              </w:rPr>
              <w:t>简单装修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朝向及采光</w:t>
            </w:r>
            <w:r>
              <w:rPr>
                <w:rFonts w:hint="eastAsia" w:ascii="仿宋" w:hAnsi="仿宋" w:eastAsia="仿宋" w:cs="仿宋"/>
                <w:sz w:val="30"/>
                <w:szCs w:val="30"/>
                <w:vertAlign w:val="baseline"/>
                <w:lang w:val="en-US" w:eastAsia="zh-CN"/>
              </w:rPr>
              <w:t>通风</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南北，好</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南北，好</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南北，好</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南北，好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层高</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标准层高</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标准层高</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标准层高</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标准层高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新旧程度</w:t>
            </w:r>
          </w:p>
        </w:tc>
        <w:tc>
          <w:tcPr>
            <w:tcW w:w="1446"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48%</w:t>
            </w:r>
          </w:p>
        </w:tc>
        <w:tc>
          <w:tcPr>
            <w:tcW w:w="1567"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56%</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highlight w:val="none"/>
                <w:vertAlign w:val="baseline"/>
                <w:lang w:val="en-US" w:eastAsia="zh-CN"/>
              </w:rPr>
              <w:t>58%</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highlight w:val="none"/>
                <w:vertAlign w:val="baseline"/>
                <w:lang w:val="en-US" w:eastAsia="zh-CN"/>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物业管理</w:t>
            </w:r>
          </w:p>
        </w:tc>
        <w:tc>
          <w:tcPr>
            <w:tcW w:w="14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67" w:type="dxa"/>
            <w:vMerge w:val="continue"/>
            <w:vAlign w:val="top"/>
          </w:tcPr>
          <w:p>
            <w:pPr>
              <w:jc w:val="center"/>
              <w:rPr>
                <w:rFonts w:hint="eastAsia" w:ascii="仿宋" w:hAnsi="仿宋" w:eastAsia="仿宋" w:cs="仿宋"/>
                <w:sz w:val="30"/>
                <w:szCs w:val="30"/>
                <w:vertAlign w:val="baseline"/>
                <w:lang w:val="en-US" w:eastAsia="zh-CN"/>
              </w:rPr>
            </w:pPr>
          </w:p>
        </w:tc>
        <w:tc>
          <w:tcPr>
            <w:tcW w:w="2054" w:type="dxa"/>
            <w:vAlign w:val="top"/>
          </w:tcPr>
          <w:p>
            <w:pPr>
              <w:ind w:firstLine="300" w:firstLineChars="100"/>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噪 音</w:t>
            </w:r>
          </w:p>
        </w:tc>
        <w:tc>
          <w:tcPr>
            <w:tcW w:w="14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lang w:val="en-US" w:eastAsia="zh-CN"/>
              </w:rPr>
              <w:t>不安静</w:t>
            </w:r>
          </w:p>
        </w:tc>
        <w:tc>
          <w:tcPr>
            <w:tcW w:w="15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lang w:val="en-US" w:eastAsia="zh-CN"/>
              </w:rPr>
              <w:t>不安静</w:t>
            </w:r>
          </w:p>
        </w:tc>
        <w:tc>
          <w:tcPr>
            <w:tcW w:w="1550"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lang w:val="en-US" w:eastAsia="zh-CN"/>
              </w:rPr>
              <w:t>不安静</w:t>
            </w:r>
          </w:p>
        </w:tc>
        <w:tc>
          <w:tcPr>
            <w:tcW w:w="1633"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lang w:val="en-US" w:eastAsia="zh-CN"/>
              </w:rPr>
              <w:t>不安静</w:t>
            </w:r>
          </w:p>
        </w:tc>
      </w:tr>
    </w:tbl>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3、编制比较因素修正指数表</w:t>
      </w:r>
    </w:p>
    <w:p>
      <w:pPr>
        <w:numPr>
          <w:ilvl w:val="0"/>
          <w:numId w:val="0"/>
        </w:numPr>
        <w:ind w:firstLine="560"/>
        <w:rPr>
          <w:rFonts w:hint="default" w:ascii="仿宋" w:hAnsi="仿宋" w:eastAsia="仿宋" w:cs="仿宋"/>
          <w:sz w:val="30"/>
          <w:szCs w:val="30"/>
          <w:lang w:val="en-US" w:eastAsia="zh-CN"/>
        </w:rPr>
      </w:pPr>
      <w:r>
        <w:rPr>
          <w:rFonts w:hint="eastAsia" w:ascii="仿宋_GB2312" w:hAnsi="宋体" w:eastAsia="仿宋_GB2312" w:cs="Times New Roman"/>
          <w:kern w:val="2"/>
          <w:sz w:val="28"/>
          <w:szCs w:val="28"/>
          <w:lang w:val="en-US" w:eastAsia="zh-CN" w:bidi="ar-SA"/>
        </w:rPr>
        <w:t>根据估价对象与比较实例各种因素具体情况，编制比较因素修正指数表，见表2。</w:t>
      </w:r>
    </w:p>
    <w:p>
      <w:pPr>
        <w:jc w:val="center"/>
        <w:rPr>
          <w:rFonts w:hint="default" w:ascii="仿宋" w:hAnsi="仿宋" w:eastAsia="仿宋" w:cs="仿宋"/>
          <w:sz w:val="30"/>
          <w:szCs w:val="30"/>
          <w:highlight w:val="none"/>
          <w:lang w:val="en-US" w:eastAsia="zh-CN"/>
        </w:rPr>
      </w:pPr>
      <w:r>
        <w:rPr>
          <w:rFonts w:hint="eastAsia" w:ascii="仿宋" w:hAnsi="仿宋" w:eastAsia="仿宋" w:cs="仿宋"/>
          <w:sz w:val="30"/>
          <w:szCs w:val="30"/>
          <w:highlight w:val="none"/>
          <w:lang w:eastAsia="zh-CN"/>
        </w:rPr>
        <w:t>比较因素条件指数表</w:t>
      </w:r>
      <w:r>
        <w:rPr>
          <w:rFonts w:hint="eastAsia" w:ascii="仿宋" w:hAnsi="仿宋" w:eastAsia="仿宋" w:cs="仿宋"/>
          <w:sz w:val="30"/>
          <w:szCs w:val="30"/>
          <w:highlight w:val="none"/>
          <w:lang w:val="en-US" w:eastAsia="zh-CN"/>
        </w:rPr>
        <w:t>2</w:t>
      </w:r>
    </w:p>
    <w:tbl>
      <w:tblPr>
        <w:tblStyle w:val="10"/>
        <w:tblW w:w="9517"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7"/>
        <w:gridCol w:w="2154"/>
        <w:gridCol w:w="1146"/>
        <w:gridCol w:w="1867"/>
        <w:gridCol w:w="1550"/>
        <w:gridCol w:w="16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3321" w:type="dxa"/>
            <w:gridSpan w:val="2"/>
            <w:vAlign w:val="center"/>
          </w:tcPr>
          <w:p>
            <w:pPr>
              <w:snapToGrid w:val="0"/>
              <w:spacing w:line="240" w:lineRule="auto"/>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因素内容/</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估价对象与案例</w:t>
            </w:r>
          </w:p>
        </w:tc>
        <w:tc>
          <w:tcPr>
            <w:tcW w:w="1146" w:type="dxa"/>
            <w:vAlign w:val="center"/>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估价</w:t>
            </w:r>
          </w:p>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对象</w:t>
            </w:r>
          </w:p>
        </w:tc>
        <w:tc>
          <w:tcPr>
            <w:tcW w:w="1867" w:type="dxa"/>
            <w:vAlign w:val="center"/>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可比案例A</w:t>
            </w:r>
          </w:p>
        </w:tc>
        <w:tc>
          <w:tcPr>
            <w:tcW w:w="1550" w:type="dxa"/>
            <w:vAlign w:val="center"/>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可比案例B</w:t>
            </w:r>
          </w:p>
        </w:tc>
        <w:tc>
          <w:tcPr>
            <w:tcW w:w="1633" w:type="dxa"/>
            <w:vAlign w:val="center"/>
          </w:tcPr>
          <w:p>
            <w:pPr>
              <w:jc w:val="center"/>
              <w:rPr>
                <w:rFonts w:hint="default"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可比案例C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成交单价（元/平米）</w:t>
            </w:r>
          </w:p>
        </w:tc>
        <w:tc>
          <w:tcPr>
            <w:tcW w:w="11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w:t>
            </w:r>
          </w:p>
        </w:tc>
        <w:tc>
          <w:tcPr>
            <w:tcW w:w="1867"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highlight w:val="none"/>
                <w:vertAlign w:val="baseline"/>
                <w:lang w:val="en-US" w:eastAsia="zh-CN"/>
              </w:rPr>
              <w:t>4000</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highlight w:val="none"/>
                <w:vertAlign w:val="baseline"/>
                <w:lang w:val="en-US" w:eastAsia="zh-CN"/>
              </w:rPr>
              <w:t>3889</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highlight w:val="none"/>
                <w:vertAlign w:val="baseline"/>
                <w:lang w:val="en-US" w:eastAsia="zh-CN"/>
              </w:rPr>
              <w:t>3427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情况</w:t>
            </w: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交易情况</w:t>
            </w:r>
          </w:p>
        </w:tc>
        <w:tc>
          <w:tcPr>
            <w:tcW w:w="11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类型</w:t>
            </w:r>
          </w:p>
        </w:tc>
        <w:tc>
          <w:tcPr>
            <w:tcW w:w="1146"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市场状况</w:t>
            </w:r>
          </w:p>
        </w:tc>
        <w:tc>
          <w:tcPr>
            <w:tcW w:w="1146"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550"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30"/>
                <w:szCs w:val="30"/>
                <w:vertAlign w:val="baseline"/>
                <w:lang w:val="en-US" w:eastAsia="zh-CN"/>
              </w:rPr>
            </w:pPr>
          </w:p>
          <w:p>
            <w:pPr>
              <w:ind w:firstLine="300" w:firstLineChars="1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区域繁华程度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交通便捷程度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公共设施配套</w:t>
            </w: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24"/>
                <w:szCs w:val="24"/>
                <w:vertAlign w:val="baseline"/>
                <w:lang w:val="en-US" w:eastAsia="zh-CN"/>
              </w:rPr>
              <w:t>完备程度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区域环境景观</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绿地覆盖度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城市规划</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小计</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67" w:type="dxa"/>
            <w:vMerge w:val="restart"/>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权益状况说明</w:t>
            </w: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房产类型</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权属清晰情况</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30"/>
                <w:szCs w:val="30"/>
                <w:vertAlign w:val="baseline"/>
                <w:lang w:val="en-US" w:eastAsia="zh-CN"/>
              </w:rPr>
            </w:pPr>
          </w:p>
          <w:p>
            <w:pPr>
              <w:jc w:val="both"/>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实物</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状况</w:t>
            </w:r>
          </w:p>
          <w:p>
            <w:pPr>
              <w:jc w:val="center"/>
              <w:rPr>
                <w:rFonts w:hint="eastAsia" w:ascii="仿宋" w:hAnsi="仿宋" w:eastAsia="仿宋" w:cs="仿宋"/>
                <w:sz w:val="30"/>
                <w:szCs w:val="30"/>
                <w:vertAlign w:val="baseline"/>
                <w:lang w:val="en-US" w:eastAsia="zh-CN"/>
              </w:rPr>
            </w:pPr>
          </w:p>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说明</w:t>
            </w:r>
          </w:p>
        </w:tc>
        <w:tc>
          <w:tcPr>
            <w:tcW w:w="2154" w:type="dxa"/>
            <w:vAlign w:val="top"/>
          </w:tcPr>
          <w:p>
            <w:pPr>
              <w:jc w:val="center"/>
              <w:rPr>
                <w:rFonts w:hint="default"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建筑结构</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临街状态</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所在楼层</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sz w:val="30"/>
                <w:szCs w:val="30"/>
                <w:vertAlign w:val="baseline"/>
                <w:lang w:val="en-US" w:eastAsia="zh-CN"/>
              </w:rPr>
              <w:t>101</w:t>
            </w:r>
          </w:p>
        </w:tc>
        <w:tc>
          <w:tcPr>
            <w:tcW w:w="1550"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vertAlign w:val="baseline"/>
                <w:lang w:val="en-US" w:eastAsia="zh-CN"/>
              </w:rPr>
              <w:t>100</w:t>
            </w:r>
          </w:p>
        </w:tc>
        <w:tc>
          <w:tcPr>
            <w:tcW w:w="1633"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sz w:val="30"/>
                <w:szCs w:val="30"/>
                <w:highlight w:val="none"/>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面积大小</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布局户型</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装修情况</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550"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100</w:t>
            </w:r>
          </w:p>
        </w:tc>
        <w:tc>
          <w:tcPr>
            <w:tcW w:w="1633" w:type="dxa"/>
            <w:vAlign w:val="top"/>
          </w:tcPr>
          <w:p>
            <w:pPr>
              <w:jc w:val="center"/>
              <w:rPr>
                <w:rFonts w:hint="default" w:ascii="仿宋" w:hAnsi="仿宋" w:eastAsia="仿宋" w:cs="仿宋"/>
                <w:color w:val="auto"/>
                <w:sz w:val="30"/>
                <w:szCs w:val="30"/>
                <w:highlight w:val="none"/>
                <w:vertAlign w:val="baseline"/>
                <w:lang w:val="en-US" w:eastAsia="zh-CN"/>
              </w:rPr>
            </w:pPr>
            <w:r>
              <w:rPr>
                <w:rFonts w:hint="eastAsia" w:ascii="仿宋" w:hAnsi="仿宋" w:eastAsia="仿宋" w:cs="仿宋"/>
                <w:color w:val="auto"/>
                <w:sz w:val="30"/>
                <w:szCs w:val="30"/>
                <w:highlight w:val="none"/>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朝向</w:t>
            </w:r>
            <w:r>
              <w:rPr>
                <w:rFonts w:hint="eastAsia" w:ascii="仿宋" w:hAnsi="仿宋" w:eastAsia="仿宋" w:cs="仿宋"/>
                <w:sz w:val="24"/>
                <w:szCs w:val="24"/>
                <w:vertAlign w:val="baseline"/>
                <w:lang w:val="en-US" w:eastAsia="zh-CN"/>
              </w:rPr>
              <w:t>及采光</w:t>
            </w:r>
            <w:r>
              <w:rPr>
                <w:rFonts w:hint="eastAsia" w:ascii="仿宋" w:hAnsi="仿宋" w:eastAsia="仿宋" w:cs="仿宋"/>
                <w:sz w:val="30"/>
                <w:szCs w:val="30"/>
                <w:vertAlign w:val="baseline"/>
                <w:lang w:val="en-US" w:eastAsia="zh-CN"/>
              </w:rPr>
              <w:t>通风</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层高</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550"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633"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jc w:val="center"/>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新旧程度</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102</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102</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ind w:firstLine="300" w:firstLineChars="1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物业管理</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ind w:firstLine="600" w:firstLineChars="2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噪音</w:t>
            </w:r>
          </w:p>
        </w:tc>
        <w:tc>
          <w:tcPr>
            <w:tcW w:w="1146"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eastAsia"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30"/>
                <w:szCs w:val="30"/>
                <w:vertAlign w:val="baseline"/>
                <w:lang w:val="en-US" w:eastAsia="zh-CN"/>
              </w:rPr>
            </w:pPr>
          </w:p>
        </w:tc>
        <w:tc>
          <w:tcPr>
            <w:tcW w:w="2154" w:type="dxa"/>
            <w:vAlign w:val="top"/>
          </w:tcPr>
          <w:p>
            <w:pPr>
              <w:ind w:firstLine="600" w:firstLineChars="200"/>
              <w:jc w:val="both"/>
              <w:rPr>
                <w:rFonts w:hint="eastAsia" w:ascii="仿宋" w:hAnsi="仿宋" w:eastAsia="仿宋" w:cs="仿宋"/>
                <w:sz w:val="30"/>
                <w:szCs w:val="30"/>
                <w:vertAlign w:val="baseline"/>
                <w:lang w:val="en-US" w:eastAsia="zh-CN"/>
              </w:rPr>
            </w:pPr>
            <w:r>
              <w:rPr>
                <w:rFonts w:hint="eastAsia" w:ascii="仿宋" w:hAnsi="仿宋" w:eastAsia="仿宋" w:cs="仿宋"/>
                <w:sz w:val="30"/>
                <w:szCs w:val="30"/>
                <w:vertAlign w:val="baseline"/>
                <w:lang w:val="en-US" w:eastAsia="zh-CN"/>
              </w:rPr>
              <w:t>小计</w:t>
            </w:r>
          </w:p>
        </w:tc>
        <w:tc>
          <w:tcPr>
            <w:tcW w:w="1146"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100</w:t>
            </w:r>
          </w:p>
        </w:tc>
        <w:tc>
          <w:tcPr>
            <w:tcW w:w="1867"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103</w:t>
            </w:r>
          </w:p>
        </w:tc>
        <w:tc>
          <w:tcPr>
            <w:tcW w:w="1550"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102</w:t>
            </w:r>
          </w:p>
        </w:tc>
        <w:tc>
          <w:tcPr>
            <w:tcW w:w="1633" w:type="dxa"/>
            <w:vAlign w:val="top"/>
          </w:tcPr>
          <w:p>
            <w:pPr>
              <w:jc w:val="center"/>
              <w:rPr>
                <w:rFonts w:hint="default" w:ascii="仿宋" w:hAnsi="仿宋" w:eastAsia="仿宋" w:cs="仿宋"/>
                <w:color w:val="auto"/>
                <w:sz w:val="30"/>
                <w:szCs w:val="30"/>
                <w:vertAlign w:val="baseline"/>
                <w:lang w:val="en-US" w:eastAsia="zh-CN"/>
              </w:rPr>
            </w:pPr>
            <w:r>
              <w:rPr>
                <w:rFonts w:hint="eastAsia" w:ascii="仿宋" w:hAnsi="仿宋" w:eastAsia="仿宋" w:cs="仿宋"/>
                <w:color w:val="auto"/>
                <w:sz w:val="30"/>
                <w:szCs w:val="30"/>
                <w:vertAlign w:val="baseline"/>
                <w:lang w:val="en-US" w:eastAsia="zh-CN"/>
              </w:rPr>
              <w:t>102</w:t>
            </w:r>
          </w:p>
        </w:tc>
      </w:tr>
    </w:tbl>
    <w:p>
      <w:pPr>
        <w:numPr>
          <w:ilvl w:val="0"/>
          <w:numId w:val="0"/>
        </w:num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4、比较因素修正系数确定</w:t>
      </w:r>
    </w:p>
    <w:p>
      <w:pPr>
        <w:numPr>
          <w:ilvl w:val="0"/>
          <w:numId w:val="0"/>
        </w:numPr>
        <w:ind w:firstLine="560"/>
        <w:rPr>
          <w:rFonts w:hint="default"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在因素条件指数表的基础上，将估价对象的因素条件指数与可比实例的因素条件指数进行比较，得到比较因素修正系数，见表3。</w:t>
      </w:r>
    </w:p>
    <w:p>
      <w:pPr>
        <w:jc w:val="center"/>
        <w:rPr>
          <w:rFonts w:hint="default" w:ascii="仿宋" w:hAnsi="仿宋" w:eastAsia="仿宋" w:cs="仿宋"/>
          <w:sz w:val="30"/>
          <w:szCs w:val="30"/>
          <w:lang w:val="en-US" w:eastAsia="zh-CN"/>
        </w:rPr>
      </w:pPr>
      <w:r>
        <w:rPr>
          <w:rFonts w:hint="eastAsia" w:ascii="仿宋" w:hAnsi="仿宋" w:eastAsia="仿宋" w:cs="仿宋"/>
          <w:sz w:val="30"/>
          <w:szCs w:val="30"/>
          <w:lang w:eastAsia="zh-CN"/>
        </w:rPr>
        <w:t>比较因素修正系数表</w:t>
      </w:r>
      <w:r>
        <w:rPr>
          <w:rFonts w:hint="eastAsia" w:ascii="仿宋" w:hAnsi="仿宋" w:eastAsia="仿宋" w:cs="仿宋"/>
          <w:sz w:val="30"/>
          <w:szCs w:val="30"/>
          <w:lang w:val="en-US" w:eastAsia="zh-CN"/>
        </w:rPr>
        <w:t>3</w:t>
      </w:r>
    </w:p>
    <w:tbl>
      <w:tblPr>
        <w:tblStyle w:val="10"/>
        <w:tblW w:w="9717" w:type="dxa"/>
        <w:tblInd w:w="-4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7"/>
        <w:gridCol w:w="2154"/>
        <w:gridCol w:w="1146"/>
        <w:gridCol w:w="1867"/>
        <w:gridCol w:w="1550"/>
        <w:gridCol w:w="1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7" w:hRule="atLeast"/>
        </w:trPr>
        <w:tc>
          <w:tcPr>
            <w:tcW w:w="3321" w:type="dxa"/>
            <w:gridSpan w:val="2"/>
            <w:vAlign w:val="center"/>
          </w:tcPr>
          <w:p>
            <w:pPr>
              <w:snapToGrid w:val="0"/>
              <w:spacing w:line="24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因素</w:t>
            </w:r>
          </w:p>
          <w:p>
            <w:pPr>
              <w:snapToGrid w:val="0"/>
              <w:spacing w:line="24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内容</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估价对象与案例</w:t>
            </w:r>
          </w:p>
        </w:tc>
        <w:tc>
          <w:tcPr>
            <w:tcW w:w="1146" w:type="dxa"/>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估价</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对象</w:t>
            </w:r>
          </w:p>
        </w:tc>
        <w:tc>
          <w:tcPr>
            <w:tcW w:w="1867" w:type="dxa"/>
            <w:vAlign w:val="center"/>
          </w:tcPr>
          <w:p>
            <w:pPr>
              <w:spacing w:line="720" w:lineRule="auto"/>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可比案例A</w:t>
            </w:r>
          </w:p>
        </w:tc>
        <w:tc>
          <w:tcPr>
            <w:tcW w:w="1550" w:type="dxa"/>
            <w:vAlign w:val="center"/>
          </w:tcPr>
          <w:p>
            <w:pPr>
              <w:spacing w:line="720" w:lineRule="auto"/>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可比案例B</w:t>
            </w:r>
          </w:p>
        </w:tc>
        <w:tc>
          <w:tcPr>
            <w:tcW w:w="1833" w:type="dxa"/>
            <w:vAlign w:val="center"/>
          </w:tcPr>
          <w:p>
            <w:pPr>
              <w:spacing w:line="720" w:lineRule="auto"/>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可比案例C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default"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成交单价（元/平米）</w:t>
            </w:r>
          </w:p>
        </w:tc>
        <w:tc>
          <w:tcPr>
            <w:tcW w:w="1146" w:type="dxa"/>
            <w:vAlign w:val="top"/>
          </w:tcPr>
          <w:p>
            <w:pPr>
              <w:jc w:val="center"/>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w:t>
            </w:r>
          </w:p>
        </w:tc>
        <w:tc>
          <w:tcPr>
            <w:tcW w:w="1867"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sz w:val="24"/>
                <w:szCs w:val="24"/>
                <w:highlight w:val="none"/>
                <w:vertAlign w:val="baseline"/>
                <w:lang w:val="en-US" w:eastAsia="zh-CN"/>
              </w:rPr>
              <w:t>4000</w:t>
            </w:r>
          </w:p>
        </w:tc>
        <w:tc>
          <w:tcPr>
            <w:tcW w:w="1550"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sz w:val="24"/>
                <w:szCs w:val="24"/>
                <w:highlight w:val="none"/>
                <w:vertAlign w:val="baseline"/>
                <w:lang w:val="en-US" w:eastAsia="zh-CN"/>
              </w:rPr>
              <w:t>3889</w:t>
            </w:r>
          </w:p>
        </w:tc>
        <w:tc>
          <w:tcPr>
            <w:tcW w:w="1833"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sz w:val="24"/>
                <w:szCs w:val="24"/>
                <w:highlight w:val="none"/>
                <w:vertAlign w:val="baseline"/>
                <w:lang w:val="en-US" w:eastAsia="zh-CN"/>
              </w:rPr>
              <w:t>3427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restart"/>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交易</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情况</w:t>
            </w:r>
          </w:p>
        </w:tc>
        <w:tc>
          <w:tcPr>
            <w:tcW w:w="215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交易情况</w:t>
            </w:r>
          </w:p>
        </w:tc>
        <w:tc>
          <w:tcPr>
            <w:tcW w:w="1146" w:type="dxa"/>
            <w:vAlign w:val="top"/>
          </w:tcPr>
          <w:p>
            <w:pPr>
              <w:jc w:val="center"/>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867"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550"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833"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7" w:type="dxa"/>
            <w:vMerge w:val="continue"/>
            <w:vAlign w:val="top"/>
          </w:tcPr>
          <w:p>
            <w:pPr>
              <w:jc w:val="center"/>
              <w:rPr>
                <w:rFonts w:hint="eastAsia" w:ascii="仿宋" w:hAnsi="仿宋" w:eastAsia="仿宋" w:cs="仿宋"/>
                <w:sz w:val="24"/>
                <w:szCs w:val="24"/>
                <w:vertAlign w:val="baseline"/>
                <w:lang w:val="en-US" w:eastAsia="zh-CN"/>
              </w:rPr>
            </w:pPr>
          </w:p>
        </w:tc>
        <w:tc>
          <w:tcPr>
            <w:tcW w:w="2154" w:type="dxa"/>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类型</w:t>
            </w:r>
          </w:p>
        </w:tc>
        <w:tc>
          <w:tcPr>
            <w:tcW w:w="1146"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867"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550"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833"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市场状况调整系数</w:t>
            </w:r>
          </w:p>
        </w:tc>
        <w:tc>
          <w:tcPr>
            <w:tcW w:w="1146" w:type="dxa"/>
            <w:vAlign w:val="top"/>
          </w:tcPr>
          <w:p>
            <w:pPr>
              <w:jc w:val="center"/>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867"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550"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833"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区域状况调整系数</w:t>
            </w:r>
          </w:p>
        </w:tc>
        <w:tc>
          <w:tcPr>
            <w:tcW w:w="1146" w:type="dxa"/>
            <w:vAlign w:val="top"/>
          </w:tcPr>
          <w:p>
            <w:pPr>
              <w:jc w:val="center"/>
              <w:rPr>
                <w:rFonts w:hint="eastAsia"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867" w:type="dxa"/>
            <w:vAlign w:val="top"/>
          </w:tcPr>
          <w:p>
            <w:pPr>
              <w:jc w:val="center"/>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550" w:type="dxa"/>
            <w:vAlign w:val="top"/>
          </w:tcPr>
          <w:p>
            <w:pPr>
              <w:jc w:val="center"/>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833" w:type="dxa"/>
            <w:vAlign w:val="top"/>
          </w:tcPr>
          <w:p>
            <w:pPr>
              <w:jc w:val="center"/>
              <w:rPr>
                <w:rFonts w:hint="default" w:ascii="仿宋" w:hAnsi="仿宋" w:eastAsia="仿宋" w:cs="仿宋"/>
                <w:color w:val="auto"/>
                <w:sz w:val="24"/>
                <w:szCs w:val="24"/>
                <w:vertAlign w:val="baseline"/>
                <w:lang w:val="en-US" w:eastAsia="zh-CN"/>
              </w:rPr>
            </w:pPr>
            <w:r>
              <w:rPr>
                <w:rFonts w:hint="eastAsia" w:ascii="仿宋" w:hAnsi="仿宋" w:eastAsia="仿宋" w:cs="仿宋"/>
                <w:color w:val="auto"/>
                <w:sz w:val="24"/>
                <w:szCs w:val="24"/>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权益状况调整系数</w:t>
            </w:r>
          </w:p>
        </w:tc>
        <w:tc>
          <w:tcPr>
            <w:tcW w:w="1146" w:type="dxa"/>
            <w:vAlign w:val="top"/>
          </w:tcPr>
          <w:p>
            <w:pPr>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100</w:t>
            </w:r>
          </w:p>
        </w:tc>
        <w:tc>
          <w:tcPr>
            <w:tcW w:w="1867" w:type="dxa"/>
            <w:vAlign w:val="top"/>
          </w:tcPr>
          <w:p>
            <w:pPr>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100</w:t>
            </w:r>
          </w:p>
        </w:tc>
        <w:tc>
          <w:tcPr>
            <w:tcW w:w="1550" w:type="dxa"/>
            <w:vAlign w:val="top"/>
          </w:tcPr>
          <w:p>
            <w:pPr>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100</w:t>
            </w:r>
          </w:p>
        </w:tc>
        <w:tc>
          <w:tcPr>
            <w:tcW w:w="1833" w:type="dxa"/>
            <w:vAlign w:val="top"/>
          </w:tcPr>
          <w:p>
            <w:pPr>
              <w:jc w:val="center"/>
              <w:rPr>
                <w:rFonts w:hint="eastAsia"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实物状况调整系数</w:t>
            </w:r>
          </w:p>
        </w:tc>
        <w:tc>
          <w:tcPr>
            <w:tcW w:w="1146"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vertAlign w:val="baseline"/>
                <w:lang w:val="en-US" w:eastAsia="zh-CN"/>
              </w:rPr>
              <w:t>100</w:t>
            </w:r>
          </w:p>
        </w:tc>
        <w:tc>
          <w:tcPr>
            <w:tcW w:w="1867"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vertAlign w:val="baseline"/>
                <w:lang w:val="en-US" w:eastAsia="zh-CN"/>
              </w:rPr>
              <w:t>103</w:t>
            </w:r>
          </w:p>
        </w:tc>
        <w:tc>
          <w:tcPr>
            <w:tcW w:w="1550"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vertAlign w:val="baseline"/>
                <w:lang w:val="en-US" w:eastAsia="zh-CN"/>
              </w:rPr>
              <w:t>102</w:t>
            </w:r>
          </w:p>
        </w:tc>
        <w:tc>
          <w:tcPr>
            <w:tcW w:w="1833"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vertAlign w:val="baseline"/>
                <w:lang w:val="en-US" w:eastAsia="zh-CN"/>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21" w:type="dxa"/>
            <w:gridSpan w:val="2"/>
            <w:vAlign w:val="top"/>
          </w:tcPr>
          <w:p>
            <w:pPr>
              <w:jc w:val="center"/>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比准价格（元/平米）</w:t>
            </w:r>
          </w:p>
        </w:tc>
        <w:tc>
          <w:tcPr>
            <w:tcW w:w="1146"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w:t>
            </w:r>
          </w:p>
        </w:tc>
        <w:tc>
          <w:tcPr>
            <w:tcW w:w="1867"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3883</w:t>
            </w:r>
          </w:p>
        </w:tc>
        <w:tc>
          <w:tcPr>
            <w:tcW w:w="1550"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3813</w:t>
            </w:r>
          </w:p>
        </w:tc>
        <w:tc>
          <w:tcPr>
            <w:tcW w:w="1833" w:type="dxa"/>
            <w:vAlign w:val="top"/>
          </w:tcPr>
          <w:p>
            <w:pPr>
              <w:jc w:val="center"/>
              <w:rPr>
                <w:rFonts w:hint="default" w:ascii="仿宋" w:hAnsi="仿宋" w:eastAsia="仿宋" w:cs="仿宋"/>
                <w:color w:val="auto"/>
                <w:sz w:val="24"/>
                <w:szCs w:val="24"/>
                <w:highlight w:val="none"/>
                <w:vertAlign w:val="baseline"/>
                <w:lang w:val="en-US" w:eastAsia="zh-CN"/>
              </w:rPr>
            </w:pPr>
            <w:r>
              <w:rPr>
                <w:rFonts w:hint="eastAsia" w:ascii="仿宋" w:hAnsi="仿宋" w:eastAsia="仿宋" w:cs="仿宋"/>
                <w:color w:val="auto"/>
                <w:sz w:val="24"/>
                <w:szCs w:val="24"/>
                <w:highlight w:val="none"/>
                <w:vertAlign w:val="baseline"/>
                <w:lang w:val="en-US" w:eastAsia="zh-CN"/>
              </w:rPr>
              <w:t>3360</w:t>
            </w:r>
          </w:p>
        </w:tc>
      </w:tr>
    </w:tbl>
    <w:p>
      <w:pPr>
        <w:numPr>
          <w:ilvl w:val="0"/>
          <w:numId w:val="0"/>
        </w:numPr>
        <w:ind w:firstLine="600" w:firstLineChars="200"/>
        <w:jc w:val="left"/>
        <w:rPr>
          <w:rFonts w:hint="eastAsia" w:ascii="仿宋" w:hAnsi="仿宋" w:eastAsia="仿宋" w:cs="仿宋"/>
          <w:sz w:val="30"/>
          <w:szCs w:val="30"/>
          <w:lang w:val="en-US" w:eastAsia="zh-CN"/>
        </w:rPr>
      </w:pPr>
      <w:r>
        <w:rPr>
          <w:rFonts w:hint="eastAsia" w:ascii="仿宋" w:hAnsi="仿宋" w:eastAsia="仿宋" w:cs="仿宋"/>
          <w:sz w:val="30"/>
          <w:szCs w:val="30"/>
          <w:lang w:val="en-US" w:eastAsia="zh-CN"/>
        </w:rPr>
        <w:t>5、求取估价对象价值</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由于可比实例A、B、C与估价对象条件因素相当类似，且比准价格相差不远，因此采取算数平均值的求取方法，估算估价对象的价格。</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评估单价=（3883+3813+3360）</w:t>
      </w:r>
      <w:r>
        <w:rPr>
          <w:rFonts w:hint="default" w:ascii="仿宋_GB2312" w:hAnsi="宋体" w:eastAsia="仿宋_GB2312" w:cs="Times New Roman"/>
          <w:kern w:val="2"/>
          <w:sz w:val="28"/>
          <w:szCs w:val="28"/>
          <w:lang w:val="en-US" w:eastAsia="zh-CN" w:bidi="ar-SA"/>
        </w:rPr>
        <w:t>÷</w:t>
      </w:r>
      <w:r>
        <w:rPr>
          <w:rFonts w:hint="eastAsia" w:ascii="仿宋_GB2312" w:hAnsi="宋体" w:eastAsia="仿宋_GB2312" w:cs="Times New Roman"/>
          <w:kern w:val="2"/>
          <w:sz w:val="28"/>
          <w:szCs w:val="28"/>
          <w:lang w:val="en-US" w:eastAsia="zh-CN" w:bidi="ar-SA"/>
        </w:rPr>
        <w:t>3≈3685(元/平米)</w:t>
      </w:r>
    </w:p>
    <w:p>
      <w:pPr>
        <w:numPr>
          <w:ilvl w:val="0"/>
          <w:numId w:val="0"/>
        </w:numPr>
        <w:ind w:firstLine="56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评估总值=3685×89.5≈329808(元)</w:t>
      </w:r>
    </w:p>
    <w:p>
      <w:pPr>
        <w:rPr>
          <w:rFonts w:hint="eastAsia" w:ascii="仿宋_GB2312" w:hAnsi="宋体" w:eastAsia="仿宋_GB2312" w:cs="Times New Roman"/>
          <w:b/>
          <w:bCs/>
          <w:kern w:val="2"/>
          <w:sz w:val="28"/>
          <w:szCs w:val="28"/>
          <w:lang w:val="en-US" w:eastAsia="zh-CN" w:bidi="ar-SA"/>
        </w:rPr>
      </w:pPr>
      <w:r>
        <w:rPr>
          <w:rFonts w:hint="eastAsia" w:ascii="仿宋_GB2312" w:hAnsi="宋体" w:eastAsia="仿宋_GB2312" w:cs="Times New Roman"/>
          <w:b/>
          <w:bCs/>
          <w:kern w:val="2"/>
          <w:sz w:val="28"/>
          <w:szCs w:val="28"/>
          <w:lang w:val="en-US" w:eastAsia="zh-CN" w:bidi="ar-SA"/>
        </w:rPr>
        <w:t xml:space="preserve">    六、估价结果确定</w:t>
      </w:r>
    </w:p>
    <w:p>
      <w:pPr>
        <w:ind w:firstLine="560" w:firstLineChars="200"/>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估价人员根据估价目的，遵循估价原则，按照规定的估价程序和估价方法，经过具体测算，确定估价对象在估价时点可能形成的市场价值为￥</w:t>
      </w:r>
      <w:r>
        <w:rPr>
          <w:rFonts w:hint="eastAsia" w:ascii="仿宋" w:hAnsi="仿宋" w:eastAsia="仿宋" w:cs="仿宋"/>
          <w:sz w:val="30"/>
          <w:szCs w:val="30"/>
          <w:lang w:val="en-US" w:eastAsia="zh-CN"/>
        </w:rPr>
        <w:t>329808</w:t>
      </w:r>
      <w:r>
        <w:rPr>
          <w:rFonts w:hint="eastAsia" w:ascii="仿宋_GB2312" w:hAnsi="宋体" w:eastAsia="仿宋_GB2312" w:cs="Times New Roman"/>
          <w:kern w:val="2"/>
          <w:sz w:val="28"/>
          <w:szCs w:val="28"/>
          <w:lang w:val="en-US" w:eastAsia="zh-CN" w:bidi="ar-SA"/>
        </w:rPr>
        <w:t>元(大写人民币叁拾贰万玖仟捌佰零捌元整)。</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w:t>
      </w:r>
    </w:p>
    <w:p>
      <w:pPr>
        <w:rPr>
          <w:rFonts w:hint="eastAsia" w:ascii="仿宋_GB2312" w:hAnsi="宋体" w:eastAsia="仿宋_GB2312" w:cs="Times New Roman"/>
          <w:kern w:val="2"/>
          <w:sz w:val="28"/>
          <w:szCs w:val="28"/>
          <w:lang w:val="en-US" w:eastAsia="zh-CN" w:bidi="ar-SA"/>
        </w:rPr>
      </w:pPr>
      <w:r>
        <w:rPr>
          <w:rFonts w:hint="eastAsia" w:ascii="仿宋_GB2312" w:hAnsi="宋体" w:eastAsia="仿宋_GB2312" w:cs="Times New Roman"/>
          <w:kern w:val="2"/>
          <w:sz w:val="28"/>
          <w:szCs w:val="28"/>
          <w:lang w:val="en-US" w:eastAsia="zh-CN" w:bidi="ar-SA"/>
        </w:rPr>
        <w:t xml:space="preserve">                              湖北循其本价格鉴定评估有限公司</w:t>
      </w:r>
    </w:p>
    <w:p>
      <w:pPr>
        <w:tabs>
          <w:tab w:val="right" w:pos="8806"/>
        </w:tabs>
        <w:jc w:val="both"/>
        <w:rPr>
          <w:highlight w:val="none"/>
        </w:rPr>
      </w:pPr>
      <w:r>
        <w:rPr>
          <w:rFonts w:hint="eastAsia" w:ascii="仿宋_GB2312" w:hAnsi="宋体" w:eastAsia="仿宋_GB2312" w:cs="Times New Roman"/>
          <w:kern w:val="2"/>
          <w:sz w:val="28"/>
          <w:szCs w:val="28"/>
          <w:highlight w:val="none"/>
          <w:lang w:val="en-US" w:eastAsia="zh-CN" w:bidi="ar-SA"/>
        </w:rPr>
        <w:t xml:space="preserve">                                  二0二二年四月一日</w:t>
      </w:r>
      <w:r>
        <w:rPr>
          <w:rFonts w:hint="eastAsia" w:ascii="仿宋_GB2312" w:hAnsi="宋体" w:eastAsia="仿宋_GB2312" w:cs="Times New Roman"/>
          <w:kern w:val="2"/>
          <w:sz w:val="28"/>
          <w:szCs w:val="28"/>
          <w:highlight w:val="none"/>
          <w:lang w:val="en-US" w:eastAsia="zh-CN" w:bidi="ar-SA"/>
        </w:rPr>
        <w:tab/>
      </w:r>
    </w:p>
    <w:sectPr>
      <w:headerReference r:id="rId3" w:type="default"/>
      <w:footerReference r:id="rId4" w:type="default"/>
      <w:footerReference r:id="rId5" w:type="even"/>
      <w:pgSz w:w="11906" w:h="16838"/>
      <w:pgMar w:top="1644" w:right="1520" w:bottom="1361" w:left="15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modern"/>
    <w:pitch w:val="default"/>
    <w:sig w:usb0="E00002FF" w:usb1="400004FF" w:usb2="00000000" w:usb3="00000000" w:csb0="2000019F" w:csb1="00000000"/>
  </w:font>
  <w:font w:name="Calibri">
    <w:panose1 w:val="020F0502020204030204"/>
    <w:charset w:val="00"/>
    <w:family w:val="decorative"/>
    <w:pitch w:val="default"/>
    <w:sig w:usb0="E10002FF" w:usb1="4000ACFF" w:usb2="00000009" w:usb3="00000000" w:csb0="2000019F" w:csb1="00000000"/>
  </w:font>
  <w:font w:name="Arial">
    <w:panose1 w:val="020B0604020202020204"/>
    <w:charset w:val="01"/>
    <w:family w:val="decorative"/>
    <w:pitch w:val="default"/>
    <w:sig w:usb0="E0002AFF" w:usb1="C0007843" w:usb2="00000009" w:usb3="00000000" w:csb0="400001FF" w:csb1="FFFF0000"/>
  </w:font>
  <w:font w:name="Courier New">
    <w:panose1 w:val="02070309020205020404"/>
    <w:charset w:val="01"/>
    <w:family w:val="swiss"/>
    <w:pitch w:val="default"/>
    <w:sig w:usb0="E0002AFF" w:usb1="C0007843" w:usb2="00000009" w:usb3="00000000" w:csb0="400001FF" w:csb1="FFFF0000"/>
  </w:font>
  <w:font w:name="Symbol">
    <w:panose1 w:val="05050102010706020507"/>
    <w:charset w:val="02"/>
    <w:family w:val="modern"/>
    <w:pitch w:val="default"/>
    <w:sig w:usb0="00000000" w:usb1="00000000" w:usb2="00000000" w:usb3="00000000" w:csb0="80000000" w:csb1="00000000"/>
  </w:font>
  <w:font w:name="仿宋">
    <w:panose1 w:val="02010609060101010101"/>
    <w:charset w:val="86"/>
    <w:family w:val="roman"/>
    <w:pitch w:val="default"/>
    <w:sig w:usb0="800002BF" w:usb1="38CF7CFA" w:usb2="00000016" w:usb3="00000000" w:csb0="00040001" w:csb1="00000000"/>
  </w:font>
  <w:font w:name="仿宋_GB2312">
    <w:altName w:val="仿宋"/>
    <w:panose1 w:val="02010609030001010101"/>
    <w:charset w:val="86"/>
    <w:family w:val="swiss"/>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仿宋">
    <w:panose1 w:val="02010609060101010101"/>
    <w:charset w:val="86"/>
    <w:family w:val="swiss"/>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 w:name="Cambria">
    <w:panose1 w:val="02040503050406030204"/>
    <w:charset w:val="00"/>
    <w:family w:val="swiss"/>
    <w:pitch w:val="default"/>
    <w:sig w:usb0="E00002FF" w:usb1="400004FF" w:usb2="00000000" w:usb3="00000000" w:csb0="2000019F" w:csb1="00000000"/>
  </w:font>
  <w:font w:name="Calibri">
    <w:panose1 w:val="020F0502020204030204"/>
    <w:charset w:val="00"/>
    <w:family w:val="roman"/>
    <w:pitch w:val="default"/>
    <w:sig w:usb0="E10002FF" w:usb1="4000ACFF" w:usb2="00000009" w:usb3="00000000" w:csb0="2000019F" w:csb1="00000000"/>
  </w:font>
  <w:font w:name="Arial">
    <w:panose1 w:val="020B0604020202020204"/>
    <w:charset w:val="01"/>
    <w:family w:val="roman"/>
    <w:pitch w:val="default"/>
    <w:sig w:usb0="E0002AFF" w:usb1="C0007843" w:usb2="00000009" w:usb3="00000000" w:csb0="400001FF" w:csb1="FFFF0000"/>
  </w:font>
  <w:font w:name="Courier New">
    <w:panose1 w:val="02070309020205020404"/>
    <w:charset w:val="01"/>
    <w:family w:val="decorative"/>
    <w:pitch w:val="default"/>
    <w:sig w:usb0="E0002AFF" w:usb1="C0007843" w:usb2="00000009" w:usb3="00000000" w:csb0="400001FF" w:csb1="FFFF0000"/>
  </w:font>
  <w:font w:name="Symbol">
    <w:panose1 w:val="05050102010706020507"/>
    <w:charset w:val="02"/>
    <w:family w:val="swiss"/>
    <w:pitch w:val="default"/>
    <w:sig w:usb0="00000000" w:usb1="00000000" w:usb2="00000000" w:usb3="00000000" w:csb0="80000000" w:csb1="00000000"/>
  </w:font>
  <w:font w:name="Cambria">
    <w:panose1 w:val="02040503050406030204"/>
    <w:charset w:val="00"/>
    <w:family w:val="decorative"/>
    <w:pitch w:val="default"/>
    <w:sig w:usb0="E00002FF" w:usb1="400004FF" w:usb2="00000000" w:usb3="00000000" w:csb0="2000019F" w:csb1="00000000"/>
  </w:font>
  <w:font w:name="Calibri">
    <w:panose1 w:val="020F0502020204030204"/>
    <w:charset w:val="00"/>
    <w:family w:val="modern"/>
    <w:pitch w:val="default"/>
    <w:sig w:usb0="E10002FF" w:usb1="4000ACFF" w:usb2="00000009" w:usb3="00000000" w:csb0="2000019F" w:csb1="00000000"/>
  </w:font>
  <w:font w:name="Arial">
    <w:panose1 w:val="020B0604020202020204"/>
    <w:charset w:val="01"/>
    <w:family w:val="modern"/>
    <w:pitch w:val="default"/>
    <w:sig w:usb0="E0002AFF" w:usb1="C0007843" w:usb2="00000009" w:usb3="00000000" w:csb0="400001FF" w:csb1="FFFF0000"/>
  </w:font>
  <w:font w:name="Courier New">
    <w:panose1 w:val="02070309020205020404"/>
    <w:charset w:val="01"/>
    <w:family w:val="roman"/>
    <w:pitch w:val="default"/>
    <w:sig w:usb0="E0002AFF" w:usb1="C0007843" w:usb2="00000009" w:usb3="00000000" w:csb0="400001FF" w:csb1="FFFF0000"/>
  </w:font>
  <w:font w:name="Symbol">
    <w:panose1 w:val="05050102010706020507"/>
    <w:charset w:val="02"/>
    <w:family w:val="decorative"/>
    <w:pitch w:val="default"/>
    <w:sig w:usb0="00000000" w:usb1="00000000" w:usb2="00000000" w:usb3="00000000" w:csb0="80000000" w:csb1="00000000"/>
  </w:font>
  <w:font w:name="仿宋_GB2312">
    <w:altName w:val="仿宋"/>
    <w:panose1 w:val="02010609030001010101"/>
    <w:charset w:val="86"/>
    <w:family w:val="roman"/>
    <w:pitch w:val="default"/>
    <w:sig w:usb0="00000000" w:usb1="00000000" w:usb2="00000010" w:usb3="00000000" w:csb0="0004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decorative"/>
    <w:pitch w:val="default"/>
    <w:sig w:usb0="800002BF" w:usb1="38CF7CFA" w:usb2="00000016" w:usb3="00000000" w:csb0="00040001" w:csb1="00000000"/>
  </w:font>
  <w:font w:name="仿宋_GB2312">
    <w:altName w:val="仿宋"/>
    <w:panose1 w:val="020106090300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001010101"/>
    <w:charset w:val="86"/>
    <w:family w:val="decorative"/>
    <w:pitch w:val="default"/>
    <w:sig w:usb0="00000000" w:usb1="00000000" w:usb2="00000010" w:usb3="00000000" w:csb0="00040000" w:csb1="00000000"/>
  </w:font>
  <w:font w:name="仿宋">
    <w:panose1 w:val="02010609060101010101"/>
    <w:charset w:val="86"/>
    <w:family w:val="roman"/>
    <w:pitch w:val="default"/>
    <w:sig w:usb0="800002BF" w:usb1="38CF7CFA" w:usb2="00000016" w:usb3="00000000" w:csb0="00040001" w:csb1="00000000"/>
  </w:font>
  <w:font w:name="仿宋">
    <w:panose1 w:val="02010609060101010101"/>
    <w:charset w:val="86"/>
    <w:family w:val="decorative"/>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rPr>
        <w:rFonts w:hint="eastAsia" w:ascii="宋体" w:hAnsi="宋体"/>
        <w:color w:val="000000"/>
        <w:sz w:val="18"/>
        <w:szCs w:val="18"/>
      </w:rPr>
    </w:pPr>
    <w:r>
      <w:rPr>
        <w:rFonts w:hint="eastAsia"/>
        <w:u w:val="single"/>
      </w:rPr>
      <w:t xml:space="preserve">                                                                                            </w:t>
    </w:r>
    <w:r>
      <w:rPr>
        <w:rFonts w:hint="eastAsia" w:ascii="宋体" w:hAnsi="宋体"/>
        <w:sz w:val="18"/>
        <w:szCs w:val="18"/>
      </w:rPr>
      <w:t>公司名称：</w:t>
    </w:r>
    <w:r>
      <w:rPr>
        <w:rFonts w:hint="eastAsia" w:ascii="宋体" w:hAnsi="宋体"/>
        <w:color w:val="000000"/>
        <w:sz w:val="18"/>
        <w:szCs w:val="18"/>
      </w:rPr>
      <w:t>湖北循其本价格鉴定评估有限公司</w:t>
    </w:r>
  </w:p>
  <w:p>
    <w:pPr/>
    <w:r>
      <w:rPr>
        <w:rFonts w:hint="eastAsia" w:ascii="宋体" w:hAnsi="宋体"/>
        <w:sz w:val="18"/>
        <w:szCs w:val="18"/>
      </w:rPr>
      <w:t>网址：</w:t>
    </w:r>
    <w:r>
      <w:rPr>
        <w:rFonts w:ascii="宋体" w:hAnsi="宋体"/>
        <w:sz w:val="18"/>
        <w:szCs w:val="18"/>
      </w:rPr>
      <w:fldChar w:fldCharType="begin"/>
    </w:r>
    <w:r>
      <w:rPr>
        <w:rFonts w:ascii="宋体" w:hAnsi="宋体"/>
        <w:sz w:val="18"/>
        <w:szCs w:val="18"/>
      </w:rPr>
      <w:instrText xml:space="preserve"> HYPERLINK "http://</w:instrText>
    </w:r>
    <w:r>
      <w:rPr>
        <w:rFonts w:hint="eastAsia" w:ascii="宋体" w:hAnsi="宋体"/>
        <w:sz w:val="18"/>
        <w:szCs w:val="18"/>
      </w:rPr>
      <w:instrText xml:space="preserve">www.xqb.cn.com</w:instrText>
    </w:r>
    <w:r>
      <w:rPr>
        <w:rFonts w:ascii="宋体" w:hAnsi="宋体"/>
        <w:sz w:val="18"/>
        <w:szCs w:val="18"/>
      </w:rPr>
      <w:instrText xml:space="preserve">" </w:instrText>
    </w:r>
    <w:r>
      <w:rPr>
        <w:rFonts w:ascii="宋体" w:hAnsi="宋体"/>
        <w:sz w:val="18"/>
        <w:szCs w:val="18"/>
      </w:rPr>
      <w:fldChar w:fldCharType="separate"/>
    </w:r>
    <w:r>
      <w:rPr>
        <w:rStyle w:val="8"/>
        <w:rFonts w:hint="eastAsia" w:ascii="宋体" w:hAnsi="宋体"/>
        <w:sz w:val="18"/>
        <w:szCs w:val="18"/>
      </w:rPr>
      <w:t>www.xqb.cn.com</w:t>
    </w:r>
    <w:r>
      <w:rPr>
        <w:rFonts w:ascii="宋体" w:hAnsi="宋体"/>
        <w:sz w:val="18"/>
        <w:szCs w:val="18"/>
      </w:rPr>
      <w:fldChar w:fldCharType="end"/>
    </w:r>
    <w:r>
      <w:rPr>
        <w:rFonts w:hint="eastAsia" w:ascii="宋体" w:hAnsi="宋体"/>
        <w:sz w:val="18"/>
        <w:szCs w:val="18"/>
      </w:rPr>
      <w:t xml:space="preserve">   邮箱：</w:t>
    </w:r>
    <w:r>
      <w:rPr>
        <w:rFonts w:ascii="宋体" w:hAnsi="宋体"/>
        <w:sz w:val="18"/>
        <w:szCs w:val="18"/>
      </w:rPr>
      <w:fldChar w:fldCharType="begin"/>
    </w:r>
    <w:r>
      <w:rPr>
        <w:rFonts w:ascii="宋体" w:hAnsi="宋体"/>
        <w:sz w:val="18"/>
        <w:szCs w:val="18"/>
      </w:rPr>
      <w:instrText xml:space="preserve"> HYPERLINK "mailto:</w:instrText>
    </w:r>
    <w:r>
      <w:rPr>
        <w:rFonts w:hint="eastAsia" w:ascii="宋体" w:hAnsi="宋体"/>
        <w:sz w:val="18"/>
        <w:szCs w:val="18"/>
      </w:rPr>
      <w:instrText xml:space="preserve">boss@xqb.cn.com</w:instrText>
    </w:r>
    <w:r>
      <w:rPr>
        <w:rFonts w:ascii="宋体" w:hAnsi="宋体"/>
        <w:sz w:val="18"/>
        <w:szCs w:val="18"/>
      </w:rPr>
      <w:instrText xml:space="preserve">" </w:instrText>
    </w:r>
    <w:r>
      <w:rPr>
        <w:rFonts w:ascii="宋体" w:hAnsi="宋体"/>
        <w:sz w:val="18"/>
        <w:szCs w:val="18"/>
      </w:rPr>
      <w:fldChar w:fldCharType="separate"/>
    </w:r>
    <w:r>
      <w:rPr>
        <w:rStyle w:val="8"/>
        <w:rFonts w:hint="eastAsia" w:ascii="宋体" w:hAnsi="宋体"/>
        <w:sz w:val="18"/>
        <w:szCs w:val="18"/>
      </w:rPr>
      <w:t>boss@xqb.cn.com</w:t>
    </w:r>
    <w:r>
      <w:rPr>
        <w:rFonts w:ascii="宋体" w:hAnsi="宋体"/>
        <w:sz w:val="18"/>
        <w:szCs w:val="18"/>
      </w:rPr>
      <w:fldChar w:fldCharType="end"/>
    </w:r>
    <w:r>
      <w:rPr>
        <w:rFonts w:hint="eastAsia" w:ascii="宋体" w:hAnsi="宋体"/>
        <w:sz w:val="18"/>
        <w:szCs w:val="18"/>
      </w:rPr>
      <w:t>　　</w:t>
    </w:r>
    <w:r>
      <w:rPr>
        <w:rFonts w:hint="eastAsia"/>
      </w:rPr>
      <w:t>　               　　　　</w:t>
    </w:r>
    <w:r>
      <w:rPr>
        <w:rFonts w:hint="eastAsia"/>
        <w:lang w:val="en-US" w:eastAsia="zh-CN"/>
      </w:rPr>
      <w:t xml:space="preserve">  </w:t>
    </w:r>
    <w:r>
      <w:rPr>
        <w:rFonts w:hint="eastAsia"/>
      </w:rPr>
      <w:t>　第</w:t>
    </w:r>
    <w:r>
      <w:rPr>
        <w:sz w:val="18"/>
        <w:szCs w:val="18"/>
      </w:rPr>
      <w:fldChar w:fldCharType="begin"/>
    </w:r>
    <w:r>
      <w:rPr>
        <w:rStyle w:val="7"/>
        <w:sz w:val="18"/>
        <w:szCs w:val="18"/>
      </w:rPr>
      <w:instrText xml:space="preserve"> PAGE </w:instrText>
    </w:r>
    <w:r>
      <w:rPr>
        <w:sz w:val="18"/>
        <w:szCs w:val="18"/>
      </w:rPr>
      <w:fldChar w:fldCharType="separate"/>
    </w:r>
    <w:r>
      <w:rPr>
        <w:rStyle w:val="7"/>
        <w:sz w:val="18"/>
        <w:szCs w:val="18"/>
      </w:rPr>
      <w:t>1</w:t>
    </w:r>
    <w:r>
      <w:rPr>
        <w:sz w:val="18"/>
        <w:szCs w:val="18"/>
      </w:rPr>
      <w:fldChar w:fldCharType="end"/>
    </w:r>
    <w:r>
      <w:rPr>
        <w:rStyle w:val="7"/>
        <w:rFonts w:hint="eastAsia"/>
        <w:sz w:val="18"/>
        <w:szCs w:val="18"/>
      </w:rPr>
      <w:t>页  共</w:t>
    </w:r>
    <w:r>
      <w:rPr>
        <w:rStyle w:val="7"/>
        <w:rFonts w:hint="eastAsia"/>
        <w:sz w:val="18"/>
        <w:szCs w:val="18"/>
        <w:lang w:val="en-US" w:eastAsia="zh-CN"/>
      </w:rPr>
      <w:t>19</w:t>
    </w:r>
    <w:r>
      <w:rPr>
        <w:rStyle w:val="7"/>
        <w:rFonts w:hint="eastAsia"/>
        <w:sz w:val="18"/>
        <w:szCs w:val="18"/>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3"/>
      <w:framePr w:wrap="around" w:vAnchor="text" w:hAnchor="margin" w:xAlign="center" w:y="1"/>
      <w:rPr>
        <w:rStyle w:val="7"/>
      </w:rPr>
    </w:pPr>
    <w:r>
      <w:fldChar w:fldCharType="begin"/>
    </w:r>
    <w:r>
      <w:rPr>
        <w:rStyle w:val="7"/>
      </w:rPr>
      <w:instrText xml:space="preserve">PAGE  </w:instrText>
    </w:r>
    <w:r>
      <w:fldChar w:fldCharType="separate"/>
    </w:r>
    <w:r>
      <w:rPr>
        <w:rStyle w:val="7"/>
      </w:rPr>
      <w:t>5</w:t>
    </w:r>
    <w:r>
      <w:fldChar w:fldCharType="end"/>
    </w:r>
  </w:p>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4"/>
      <w:pBdr>
        <w:bottom w:val="none" w:color="auto" w:sz="0" w:space="0"/>
      </w:pBdr>
      <w:rPr>
        <w:rFonts w:hint="eastAsia"/>
      </w:rPr>
    </w:pPr>
  </w:p>
  <w:p>
    <w:pPr>
      <w:rPr>
        <w:rFonts w:hint="eastAsia" w:ascii="宋体" w:hAnsi="宋体"/>
        <w:color w:val="000000"/>
        <w:sz w:val="18"/>
        <w:szCs w:val="18"/>
        <w:u w:val="single"/>
      </w:rPr>
    </w:pPr>
    <w:r>
      <w:rPr>
        <w:rFonts w:hint="eastAsia" w:ascii="宋体" w:hAnsi="宋体"/>
        <w:sz w:val="18"/>
        <w:szCs w:val="18"/>
        <w:u w:val="single"/>
      </w:rPr>
      <w:t>公正　 公平　 公开        　　　　　　　　　　　　　　</w:t>
    </w:r>
    <w:r>
      <w:rPr>
        <w:rFonts w:hint="eastAsia" w:ascii="宋体" w:hAnsi="宋体"/>
        <w:sz w:val="18"/>
        <w:szCs w:val="18"/>
        <w:u w:val="single"/>
        <w:lang w:val="en-US" w:eastAsia="zh-CN"/>
      </w:rPr>
      <w:t xml:space="preserve">                     房地产市场价值</w:t>
    </w:r>
    <w:r>
      <w:rPr>
        <w:rFonts w:hint="eastAsia" w:ascii="宋体" w:hAnsi="宋体"/>
        <w:sz w:val="18"/>
        <w:szCs w:val="18"/>
        <w:u w:val="single"/>
      </w:rPr>
      <w:t>评估报告</w:t>
    </w:r>
  </w:p>
  <w:p>
    <w:pPr>
      <w:widowControl/>
      <w:jc w:val="left"/>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578213565">
    <w:nsid w:val="5E11A0BD"/>
    <w:multiLevelType w:val="singleLevel"/>
    <w:tmpl w:val="5E11A0BD"/>
    <w:lvl w:ilvl="0" w:tentative="1">
      <w:start w:val="1"/>
      <w:numFmt w:val="decimal"/>
      <w:suff w:val="space"/>
      <w:lvlText w:val="%1."/>
      <w:lvlJc w:val="left"/>
    </w:lvl>
  </w:abstractNum>
  <w:abstractNum w:abstractNumId="928329504">
    <w:nsid w:val="37552F20"/>
    <w:multiLevelType w:val="singleLevel"/>
    <w:tmpl w:val="37552F20"/>
    <w:lvl w:ilvl="0" w:tentative="1">
      <w:start w:val="2"/>
      <w:numFmt w:val="chineseCounting"/>
      <w:suff w:val="nothing"/>
      <w:lvlText w:val="%1、"/>
      <w:lvlJc w:val="left"/>
      <w:pPr>
        <w:ind w:left="562" w:leftChars="0" w:firstLine="0" w:firstLineChars="0"/>
      </w:pPr>
      <w:rPr>
        <w:rFonts w:hint="eastAsia"/>
      </w:rPr>
    </w:lvl>
  </w:abstractNum>
  <w:num w:numId="1">
    <w:abstractNumId w:val="1578213565"/>
  </w:num>
  <w:num w:numId="2">
    <w:abstractNumId w:val="92832950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65D766E"/>
    <w:rsid w:val="015E64D8"/>
    <w:rsid w:val="06474F59"/>
    <w:rsid w:val="0A745034"/>
    <w:rsid w:val="185276F3"/>
    <w:rsid w:val="1CC34A3E"/>
    <w:rsid w:val="1E742207"/>
    <w:rsid w:val="23524303"/>
    <w:rsid w:val="30635070"/>
    <w:rsid w:val="34153282"/>
    <w:rsid w:val="365D766E"/>
    <w:rsid w:val="5C4F1B7F"/>
    <w:rsid w:val="6893229E"/>
    <w:rsid w:val="71032079"/>
    <w:rsid w:val="744E2DE9"/>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6">
    <w:name w:val="Default Paragraph Font"/>
    <w:semiHidden/>
    <w:uiPriority w:val="0"/>
  </w:style>
  <w:style w:type="table" w:default="1" w:styleId="9">
    <w:name w:val="Normal Table"/>
    <w:semiHidden/>
    <w:qFormat/>
    <w:uiPriority w:val="0"/>
    <w:tblPr>
      <w:tblLayout w:type="fixed"/>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rFonts w:ascii="Times New Roman" w:hAnsi="Times New Roman" w:eastAsia="宋体" w:cs="Times New Roman"/>
      <w:sz w:val="18"/>
      <w:szCs w:val="18"/>
    </w:rPr>
  </w:style>
  <w:style w:type="paragraph" w:styleId="4">
    <w:name w:val="header"/>
    <w:basedOn w:val="1"/>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styleId="5">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szCs w:val="24"/>
    </w:rPr>
  </w:style>
  <w:style w:type="character" w:styleId="7">
    <w:name w:val="page number"/>
    <w:basedOn w:val="6"/>
    <w:qFormat/>
    <w:uiPriority w:val="0"/>
    <w:rPr>
      <w:rFonts w:ascii="Times New Roman" w:hAnsi="Times New Roman" w:eastAsia="宋体" w:cs="Times New Roman"/>
    </w:rPr>
  </w:style>
  <w:style w:type="character" w:styleId="8">
    <w:name w:val="Hyperlink"/>
    <w:basedOn w:val="6"/>
    <w:qFormat/>
    <w:uiPriority w:val="0"/>
    <w:rPr>
      <w:rFonts w:ascii="Times New Roman" w:hAnsi="Times New Roman" w:eastAsia="宋体" w:cs="Times New Roman"/>
      <w:color w:val="0000FF"/>
      <w:u w:val="single"/>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1">
    <w:name w:val="List Paragraph"/>
    <w:basedOn w:val="1"/>
    <w:qFormat/>
    <w:uiPriority w:val="34"/>
    <w:pPr>
      <w:ind w:firstLine="420" w:firstLineChars="200"/>
    </w:pPr>
  </w:style>
  <w:style w:type="character" w:customStyle="1" w:styleId="12">
    <w:name w:val="apple-converted-space"/>
    <w:basedOn w:val="6"/>
    <w:qFormat/>
    <w:uiPriority w:val="0"/>
    <w:rPr>
      <w:rFonts w:ascii="Times New Roman" w:hAnsi="Times New Roman"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1.tiff"/><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Office_10.8.0.5391_F1E327BC-269C-435d-A152-05C5408002CA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2022-03-25T08:54:00Z</dcterms:created>
  <dc:creator>Administrator</dc:creator>
  <cp:lastModifiedBy>Administrator</cp:lastModifiedBy>
  <dcterms:modified xsi:type="dcterms:W3CDTF">2022-04-01T07:28:20Z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2052-10.8.0.5391</vt:lpwstr>
  </property>
  <property fmtid="{D5CDD505-2E9C-101B-9397-08002B2CF9AE}" pid="3" name="ICV">
    <vt:lpwstr>EA82D71624DF492288860DCE82248F33</vt:lpwstr>
  </property>
</Properties>
</file>