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楷体_GB2312" w:hAnsi="楷体_GB2312" w:eastAsia="楷体_GB2312" w:cs="楷体_GB2312"/>
          <w:b/>
          <w:bCs/>
          <w:sz w:val="52"/>
        </w:rPr>
      </w:pPr>
    </w:p>
    <w:p>
      <w:pPr>
        <w:spacing w:line="360" w:lineRule="auto"/>
        <w:jc w:val="center"/>
        <w:rPr>
          <w:rFonts w:hint="eastAsia" w:ascii="楷体_GB2312" w:hAnsi="楷体_GB2312" w:eastAsia="楷体_GB2312" w:cs="楷体_GB2312"/>
          <w:b/>
          <w:bCs/>
          <w:sz w:val="72"/>
        </w:rPr>
      </w:pPr>
      <w:r>
        <w:rPr>
          <w:rFonts w:hint="eastAsia" w:ascii="楷体_GB2312" w:hAnsi="楷体_GB2312" w:eastAsia="楷体_GB2312" w:cs="楷体_GB2312"/>
          <w:b/>
          <w:bCs/>
          <w:sz w:val="72"/>
        </w:rPr>
        <w:t>涉执房地产处置司法评估报</w:t>
      </w:r>
      <w:r>
        <w:rPr>
          <w:rFonts w:hint="eastAsia" w:ascii="楷体_GB2312" w:hAnsi="楷体_GB2312" w:eastAsia="楷体_GB2312" w:cs="楷体_GB2312"/>
          <w:b/>
          <w:bCs/>
          <w:sz w:val="72"/>
          <w:lang w:val="en-US" w:eastAsia="zh-CN"/>
        </w:rPr>
        <w:t xml:space="preserve"> </w:t>
      </w:r>
      <w:r>
        <w:rPr>
          <w:rFonts w:hint="eastAsia" w:ascii="楷体_GB2312" w:hAnsi="楷体_GB2312" w:eastAsia="楷体_GB2312" w:cs="楷体_GB2312"/>
          <w:b/>
          <w:bCs/>
          <w:sz w:val="72"/>
        </w:rPr>
        <w:t>告</w:t>
      </w:r>
    </w:p>
    <w:p>
      <w:pPr>
        <w:spacing w:line="360" w:lineRule="auto"/>
        <w:jc w:val="center"/>
        <w:rPr>
          <w:rFonts w:hint="eastAsia" w:ascii="楷体_GB2312" w:hAnsi="楷体_GB2312" w:eastAsia="楷体_GB2312" w:cs="楷体_GB2312"/>
          <w:b/>
          <w:bCs/>
          <w:sz w:val="72"/>
        </w:rPr>
      </w:pPr>
    </w:p>
    <w:p>
      <w:pPr>
        <w:spacing w:line="360" w:lineRule="auto"/>
        <w:ind w:left="2711" w:hanging="2409" w:hangingChars="75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估价项目名称：</w:t>
      </w:r>
      <w:r>
        <w:rPr>
          <w:rFonts w:hint="eastAsia" w:ascii="楷体_GB2312" w:hAnsi="楷体_GB2312" w:eastAsia="楷体_GB2312" w:cs="楷体_GB2312"/>
          <w:b/>
          <w:bCs/>
          <w:sz w:val="32"/>
          <w:szCs w:val="32"/>
          <w:lang w:val="en-US" w:eastAsia="zh-CN"/>
        </w:rPr>
        <w:t>夏竹轩所属位于武汉市东湖新技术开发区大学</w:t>
      </w:r>
    </w:p>
    <w:p>
      <w:pPr>
        <w:spacing w:line="360" w:lineRule="auto"/>
        <w:ind w:left="2402" w:leftChars="1067" w:hanging="161" w:hangingChars="5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园路1号武汉万科城市花园特一区A2单元2</w:t>
      </w:r>
    </w:p>
    <w:p>
      <w:pPr>
        <w:spacing w:line="360" w:lineRule="auto"/>
        <w:ind w:left="2402" w:leftChars="1067" w:hanging="161" w:hangingChars="5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层01室住宅房地产价格司法评估报告</w:t>
      </w:r>
    </w:p>
    <w:p>
      <w:pPr>
        <w:spacing w:line="360" w:lineRule="auto"/>
        <w:ind w:left="-2" w:leftChars="-1" w:right="34" w:rightChars="16"/>
        <w:jc w:val="left"/>
        <w:rPr>
          <w:rFonts w:hint="eastAsia" w:ascii="楷体_GB2312" w:hAnsi="楷体_GB2312" w:eastAsia="楷体_GB2312" w:cs="楷体_GB2312"/>
          <w:b/>
          <w:bCs/>
          <w:sz w:val="32"/>
          <w:szCs w:val="32"/>
        </w:rPr>
      </w:pPr>
    </w:p>
    <w:p>
      <w:pPr>
        <w:spacing w:line="360" w:lineRule="auto"/>
        <w:ind w:left="-2" w:leftChars="-1" w:right="34" w:rightChars="16"/>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估价委托</w:t>
      </w:r>
      <w:r>
        <w:rPr>
          <w:rFonts w:hint="eastAsia" w:ascii="楷体_GB2312" w:hAnsi="楷体_GB2312" w:eastAsia="楷体_GB2312" w:cs="楷体_GB2312"/>
          <w:b/>
          <w:bCs/>
          <w:sz w:val="32"/>
          <w:szCs w:val="32"/>
          <w:lang w:val="en-US" w:eastAsia="zh-CN"/>
        </w:rPr>
        <w:t>方</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应城市</w:t>
      </w:r>
      <w:r>
        <w:rPr>
          <w:rFonts w:hint="eastAsia" w:ascii="楷体_GB2312" w:hAnsi="楷体_GB2312" w:eastAsia="楷体_GB2312" w:cs="楷体_GB2312"/>
          <w:b/>
          <w:bCs/>
          <w:sz w:val="32"/>
          <w:szCs w:val="32"/>
          <w:lang w:eastAsia="zh-CN"/>
        </w:rPr>
        <w:t>人民法院</w:t>
      </w:r>
    </w:p>
    <w:p>
      <w:pPr>
        <w:spacing w:line="360" w:lineRule="auto"/>
        <w:ind w:left="-2" w:leftChars="-1" w:right="34" w:rightChars="16"/>
        <w:jc w:val="left"/>
        <w:rPr>
          <w:rFonts w:hint="eastAsia" w:ascii="楷体_GB2312" w:hAnsi="楷体_GB2312" w:eastAsia="楷体_GB2312" w:cs="楷体_GB2312"/>
          <w:b/>
          <w:bCs/>
          <w:sz w:val="32"/>
          <w:szCs w:val="32"/>
        </w:rPr>
      </w:pPr>
    </w:p>
    <w:p>
      <w:pPr>
        <w:spacing w:line="360" w:lineRule="auto"/>
        <w:ind w:left="-2" w:leftChars="-1" w:right="34" w:rightChars="16"/>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房地产</w:t>
      </w:r>
      <w:r>
        <w:rPr>
          <w:rFonts w:hint="eastAsia" w:ascii="楷体_GB2312" w:hAnsi="楷体_GB2312" w:eastAsia="楷体_GB2312" w:cs="楷体_GB2312"/>
          <w:b/>
          <w:bCs/>
          <w:sz w:val="32"/>
          <w:szCs w:val="32"/>
        </w:rPr>
        <w:t>估价机构：湖北方联房地产评估咨询有限责任公司</w:t>
      </w:r>
    </w:p>
    <w:p>
      <w:pPr>
        <w:spacing w:line="360" w:lineRule="auto"/>
        <w:ind w:left="-2" w:leftChars="-1" w:right="34" w:rightChars="16"/>
        <w:jc w:val="left"/>
        <w:rPr>
          <w:rFonts w:hint="eastAsia" w:ascii="楷体_GB2312" w:hAnsi="楷体_GB2312" w:eastAsia="楷体_GB2312" w:cs="楷体_GB2312"/>
          <w:b/>
          <w:bCs/>
          <w:sz w:val="32"/>
          <w:szCs w:val="32"/>
        </w:rPr>
      </w:pPr>
    </w:p>
    <w:p>
      <w:pPr>
        <w:spacing w:line="360" w:lineRule="auto"/>
        <w:ind w:left="-2" w:leftChars="-1" w:right="34" w:rightChars="16"/>
        <w:jc w:val="left"/>
        <w:rPr>
          <w:rFonts w:hint="eastAsia" w:ascii="楷体_GB2312" w:hAnsi="楷体_GB2312" w:eastAsia="楷体_GB2312" w:cs="楷体_GB2312"/>
          <w:b/>
          <w:sz w:val="32"/>
          <w:szCs w:val="32"/>
        </w:rPr>
      </w:pPr>
      <w:r>
        <w:rPr>
          <w:rFonts w:hint="eastAsia" w:ascii="楷体_GB2312" w:hAnsi="楷体_GB2312" w:eastAsia="楷体_GB2312" w:cs="楷体_GB2312"/>
          <w:b/>
          <w:bCs/>
          <w:sz w:val="32"/>
          <w:szCs w:val="32"/>
        </w:rPr>
        <w:t>注册房地产估价师：</w:t>
      </w:r>
      <w:r>
        <w:rPr>
          <w:rFonts w:hint="eastAsia" w:ascii="楷体_GB2312" w:hAnsi="黑体" w:eastAsia="楷体_GB2312" w:cs="黑体"/>
          <w:b/>
          <w:sz w:val="32"/>
          <w:szCs w:val="32"/>
        </w:rPr>
        <w:t>徐红英（注册号：4219960123）</w:t>
      </w:r>
    </w:p>
    <w:p>
      <w:pPr>
        <w:spacing w:line="360" w:lineRule="auto"/>
        <w:ind w:left="-2" w:leftChars="-1" w:right="34" w:rightChars="16"/>
        <w:jc w:val="lef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 xml:space="preserve">                  胡  静（注册号：4220140048）    </w:t>
      </w:r>
    </w:p>
    <w:p>
      <w:pPr>
        <w:spacing w:line="360" w:lineRule="auto"/>
        <w:ind w:left="-2" w:leftChars="-1" w:right="34" w:rightChars="16"/>
        <w:jc w:val="left"/>
        <w:rPr>
          <w:rFonts w:hint="eastAsia" w:ascii="楷体_GB2312" w:hAnsi="楷体_GB2312" w:eastAsia="楷体_GB2312" w:cs="楷体_GB2312"/>
          <w:b/>
          <w:sz w:val="32"/>
          <w:szCs w:val="32"/>
        </w:rPr>
      </w:pPr>
    </w:p>
    <w:p>
      <w:pPr>
        <w:spacing w:line="360" w:lineRule="auto"/>
        <w:ind w:left="-2" w:leftChars="-1" w:right="34" w:rightChars="16"/>
        <w:jc w:val="left"/>
        <w:rPr>
          <w:rFonts w:hint="default" w:ascii="楷体_GB2312" w:hAnsi="楷体_GB2312" w:eastAsia="楷体_GB2312" w:cs="楷体_GB2312"/>
          <w:b/>
          <w:color w:val="C00000"/>
          <w:sz w:val="32"/>
          <w:szCs w:val="32"/>
          <w:lang w:val="en-US" w:eastAsia="zh-CN"/>
        </w:rPr>
      </w:pPr>
      <w:r>
        <w:rPr>
          <w:rFonts w:hint="eastAsia" w:ascii="楷体_GB2312" w:hAnsi="楷体_GB2312" w:eastAsia="楷体_GB2312" w:cs="楷体_GB2312"/>
          <w:b/>
          <w:bCs/>
          <w:sz w:val="32"/>
          <w:szCs w:val="32"/>
        </w:rPr>
        <w:t>估价报告出具日期：</w:t>
      </w:r>
      <w:r>
        <w:rPr>
          <w:rFonts w:hint="eastAsia" w:ascii="楷体_GB2312" w:hAnsi="楷体_GB2312" w:eastAsia="楷体_GB2312" w:cs="楷体_GB2312"/>
          <w:b/>
          <w:color w:val="auto"/>
          <w:sz w:val="32"/>
          <w:szCs w:val="32"/>
          <w:lang w:val="en-US" w:eastAsia="zh-CN"/>
        </w:rPr>
        <w:t>二〇二二</w:t>
      </w:r>
      <w:r>
        <w:rPr>
          <w:rFonts w:hint="eastAsia" w:ascii="楷体_GB2312" w:hAnsi="楷体_GB2312" w:eastAsia="楷体_GB2312" w:cs="楷体_GB2312"/>
          <w:b/>
          <w:color w:val="auto"/>
          <w:sz w:val="32"/>
          <w:szCs w:val="32"/>
          <w:lang w:eastAsia="zh-CN"/>
        </w:rPr>
        <w:t>年</w:t>
      </w:r>
      <w:r>
        <w:rPr>
          <w:rFonts w:hint="eastAsia" w:ascii="楷体_GB2312" w:hAnsi="楷体_GB2312" w:eastAsia="楷体_GB2312" w:cs="楷体_GB2312"/>
          <w:b/>
          <w:color w:val="auto"/>
          <w:sz w:val="32"/>
          <w:szCs w:val="32"/>
          <w:lang w:val="en-US" w:eastAsia="zh-CN"/>
        </w:rPr>
        <w:t>八月十九日</w:t>
      </w:r>
    </w:p>
    <w:p>
      <w:pPr>
        <w:spacing w:line="360" w:lineRule="auto"/>
        <w:ind w:left="-2" w:leftChars="-1" w:right="34" w:rightChars="16"/>
        <w:jc w:val="left"/>
        <w:rPr>
          <w:rFonts w:hint="eastAsia" w:ascii="楷体_GB2312" w:hAnsi="楷体_GB2312" w:eastAsia="楷体_GB2312" w:cs="楷体_GB2312"/>
          <w:b/>
          <w:sz w:val="32"/>
          <w:szCs w:val="32"/>
          <w:lang w:eastAsia="zh-CN"/>
        </w:rPr>
      </w:pPr>
    </w:p>
    <w:p>
      <w:pPr>
        <w:spacing w:line="360" w:lineRule="auto"/>
        <w:ind w:left="-2" w:leftChars="-1" w:right="34" w:rightChars="16"/>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b/>
          <w:bCs/>
          <w:sz w:val="32"/>
          <w:szCs w:val="32"/>
        </w:rPr>
        <w:t>估价报告编号：</w:t>
      </w:r>
      <w:r>
        <w:rPr>
          <w:rFonts w:hint="eastAsia" w:ascii="楷体_GB2312" w:hAnsi="楷体_GB2312" w:eastAsia="楷体_GB2312" w:cs="楷体_GB2312"/>
          <w:b/>
          <w:sz w:val="32"/>
          <w:szCs w:val="32"/>
        </w:rPr>
        <w:t>鄂方房评字</w:t>
      </w:r>
      <w:r>
        <w:rPr>
          <w:rFonts w:hint="eastAsia" w:ascii="楷体_GB2312" w:hAnsi="楷体_GB2312" w:eastAsia="楷体_GB2312" w:cs="楷体_GB2312"/>
          <w:b/>
          <w:sz w:val="32"/>
          <w:szCs w:val="32"/>
          <w:lang w:eastAsia="zh-CN"/>
        </w:rPr>
        <w:t>（涢）</w:t>
      </w:r>
      <w:r>
        <w:rPr>
          <w:rFonts w:hint="eastAsia" w:ascii="楷体_GB2312" w:hAnsi="楷体_GB2312" w:eastAsia="楷体_GB2312" w:cs="楷体_GB2312"/>
          <w:b/>
          <w:color w:val="auto"/>
          <w:sz w:val="32"/>
          <w:szCs w:val="32"/>
        </w:rPr>
        <w:t>[20</w:t>
      </w:r>
      <w:r>
        <w:rPr>
          <w:rFonts w:hint="eastAsia" w:ascii="楷体_GB2312" w:hAnsi="楷体_GB2312" w:eastAsia="楷体_GB2312" w:cs="楷体_GB2312"/>
          <w:b/>
          <w:color w:val="auto"/>
          <w:sz w:val="32"/>
          <w:szCs w:val="32"/>
          <w:lang w:val="en-US" w:eastAsia="zh-CN"/>
        </w:rPr>
        <w:t>22</w:t>
      </w:r>
      <w:r>
        <w:rPr>
          <w:rFonts w:hint="eastAsia" w:ascii="楷体_GB2312" w:hAnsi="楷体_GB2312" w:eastAsia="楷体_GB2312" w:cs="楷体_GB2312"/>
          <w:b/>
          <w:color w:val="auto"/>
          <w:sz w:val="32"/>
          <w:szCs w:val="32"/>
        </w:rPr>
        <w:t>]</w:t>
      </w:r>
      <w:r>
        <w:rPr>
          <w:rFonts w:hint="eastAsia" w:ascii="楷体_GB2312" w:hAnsi="楷体_GB2312" w:eastAsia="楷体_GB2312" w:cs="楷体_GB2312"/>
          <w:b/>
          <w:color w:val="auto"/>
          <w:sz w:val="32"/>
          <w:szCs w:val="32"/>
          <w:lang w:val="en-US" w:eastAsia="zh-CN"/>
        </w:rPr>
        <w:t>0819052</w:t>
      </w:r>
      <w:r>
        <w:rPr>
          <w:rFonts w:hint="eastAsia" w:ascii="楷体_GB2312" w:hAnsi="楷体_GB2312" w:eastAsia="楷体_GB2312" w:cs="楷体_GB2312"/>
          <w:b/>
          <w:color w:val="auto"/>
          <w:sz w:val="32"/>
          <w:szCs w:val="32"/>
        </w:rPr>
        <w:t>号</w:t>
      </w:r>
    </w:p>
    <w:p>
      <w:pPr>
        <w:spacing w:line="360" w:lineRule="auto"/>
        <w:ind w:left="-365" w:leftChars="-174" w:firstLine="1100" w:firstLineChars="249"/>
        <w:jc w:val="center"/>
        <w:rPr>
          <w:rFonts w:hint="eastAsia" w:ascii="楷体_GB2312" w:hAnsi="楷体_GB2312" w:eastAsia="楷体_GB2312" w:cs="楷体_GB2312"/>
          <w:b/>
          <w:bCs/>
          <w:sz w:val="44"/>
        </w:rPr>
        <w:sectPr>
          <w:footerReference r:id="rId3" w:type="default"/>
          <w:pgSz w:w="11907" w:h="16834"/>
          <w:pgMar w:top="1440" w:right="1644" w:bottom="1440" w:left="1701" w:header="851" w:footer="992" w:gutter="0"/>
          <w:pgNumType w:fmt="decimal" w:start="0" w:chapStyle="1" w:chapSep="hyphen"/>
          <w:cols w:space="425" w:num="1"/>
          <w:docGrid w:type="lines" w:linePitch="312" w:charSpace="0"/>
        </w:sectPr>
      </w:pPr>
    </w:p>
    <w:p>
      <w:pPr>
        <w:spacing w:line="360" w:lineRule="auto"/>
        <w:jc w:val="center"/>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致委托人函</w:t>
      </w:r>
    </w:p>
    <w:p>
      <w:pPr>
        <w:spacing w:line="360" w:lineRule="auto"/>
        <w:rPr>
          <w:rFonts w:hint="eastAsia" w:ascii="楷体_GB2312" w:hAnsi="楷体_GB2312" w:eastAsia="楷体_GB2312" w:cs="楷体_GB2312"/>
          <w:sz w:val="24"/>
        </w:rPr>
      </w:pPr>
    </w:p>
    <w:p>
      <w:pPr>
        <w:spacing w:line="360" w:lineRule="auto"/>
        <w:rPr>
          <w:rFonts w:hint="eastAsia" w:ascii="楷体_GB2312" w:hAnsi="楷体_GB2312" w:eastAsia="楷体_GB2312" w:cs="楷体_GB2312"/>
          <w:sz w:val="28"/>
        </w:rPr>
      </w:pPr>
      <w:r>
        <w:rPr>
          <w:rFonts w:hint="eastAsia" w:ascii="楷体_GB2312" w:hAnsi="楷体_GB2312" w:eastAsia="楷体_GB2312" w:cs="楷体_GB2312"/>
          <w:sz w:val="28"/>
          <w:lang w:val="en-US" w:eastAsia="zh-CN"/>
        </w:rPr>
        <w:t>应城市</w:t>
      </w:r>
      <w:r>
        <w:rPr>
          <w:rFonts w:hint="eastAsia" w:ascii="楷体_GB2312" w:hAnsi="楷体_GB2312" w:eastAsia="楷体_GB2312" w:cs="楷体_GB2312"/>
          <w:sz w:val="28"/>
          <w:lang w:eastAsia="zh-CN"/>
        </w:rPr>
        <w:t>人民法院</w:t>
      </w:r>
      <w:r>
        <w:rPr>
          <w:rFonts w:hint="eastAsia" w:ascii="楷体_GB2312" w:hAnsi="楷体_GB2312" w:eastAsia="楷体_GB2312" w:cs="楷体_GB2312"/>
          <w:sz w:val="28"/>
        </w:rPr>
        <w:t>：</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我</w:t>
      </w:r>
      <w:r>
        <w:rPr>
          <w:rFonts w:hint="eastAsia" w:ascii="楷体" w:hAnsi="楷体" w:eastAsia="楷体" w:cs="楷体"/>
          <w:sz w:val="28"/>
          <w:szCs w:val="28"/>
          <w:lang w:eastAsia="zh-CN"/>
        </w:rPr>
        <w:t>公司</w:t>
      </w:r>
      <w:r>
        <w:rPr>
          <w:rFonts w:hint="eastAsia" w:ascii="楷体" w:hAnsi="楷体" w:eastAsia="楷体" w:cs="楷体"/>
          <w:sz w:val="28"/>
          <w:szCs w:val="28"/>
          <w:lang w:val="en-US" w:eastAsia="zh-CN"/>
        </w:rPr>
        <w:t>于2022年5月11日接受贵方</w:t>
      </w:r>
      <w:r>
        <w:rPr>
          <w:rFonts w:hint="eastAsia" w:ascii="楷体" w:hAnsi="楷体" w:eastAsia="楷体" w:cs="楷体"/>
          <w:sz w:val="28"/>
          <w:szCs w:val="28"/>
        </w:rPr>
        <w:t>委托，</w:t>
      </w:r>
      <w:r>
        <w:rPr>
          <w:rFonts w:hint="eastAsia" w:ascii="楷体" w:hAnsi="楷体" w:eastAsia="楷体" w:cs="楷体"/>
          <w:sz w:val="28"/>
          <w:szCs w:val="28"/>
          <w:lang w:val="en-US" w:eastAsia="zh-CN"/>
        </w:rPr>
        <w:t>对夏竹轩所属位于武汉市东湖新技术开发区大学园路1号武汉万科城市花园特一区A2单元2层01室住宅房地产</w:t>
      </w:r>
      <w:r>
        <w:rPr>
          <w:rFonts w:hint="eastAsia" w:ascii="楷体" w:hAnsi="楷体" w:eastAsia="楷体" w:cs="楷体"/>
          <w:sz w:val="28"/>
          <w:szCs w:val="28"/>
        </w:rPr>
        <w:t>进行了</w:t>
      </w:r>
      <w:r>
        <w:rPr>
          <w:rFonts w:hint="eastAsia" w:ascii="楷体" w:hAnsi="楷体" w:eastAsia="楷体" w:cs="楷体"/>
          <w:sz w:val="28"/>
          <w:szCs w:val="28"/>
          <w:lang w:val="en-US" w:eastAsia="zh-CN"/>
        </w:rPr>
        <w:t>估价</w:t>
      </w:r>
      <w:r>
        <w:rPr>
          <w:rFonts w:hint="eastAsia" w:ascii="楷体" w:hAnsi="楷体" w:eastAsia="楷体" w:cs="楷体"/>
          <w:sz w:val="28"/>
          <w:szCs w:val="28"/>
        </w:rPr>
        <w:t>。估价范围内建筑面积</w:t>
      </w:r>
      <w:r>
        <w:rPr>
          <w:rFonts w:hint="eastAsia" w:ascii="楷体" w:hAnsi="楷体" w:eastAsia="楷体" w:cs="楷体"/>
          <w:sz w:val="28"/>
          <w:szCs w:val="28"/>
          <w:lang w:val="en-US" w:eastAsia="zh-CN"/>
        </w:rPr>
        <w:t>108.15</w:t>
      </w:r>
      <w:r>
        <w:rPr>
          <w:rFonts w:hint="eastAsia" w:ascii="楷体" w:hAnsi="楷体" w:eastAsia="楷体" w:cs="楷体"/>
          <w:sz w:val="28"/>
          <w:szCs w:val="28"/>
        </w:rPr>
        <w:t xml:space="preserve"> ㎡</w:t>
      </w:r>
      <w:r>
        <w:rPr>
          <w:rFonts w:hint="eastAsia" w:ascii="楷体" w:hAnsi="楷体" w:eastAsia="楷体" w:cs="楷体"/>
          <w:sz w:val="28"/>
          <w:szCs w:val="28"/>
          <w:lang w:eastAsia="zh-CN"/>
        </w:rPr>
        <w:t>，分摊土地使用权面积</w:t>
      </w:r>
      <w:r>
        <w:rPr>
          <w:rFonts w:hint="eastAsia" w:ascii="楷体" w:hAnsi="楷体" w:eastAsia="楷体" w:cs="楷体"/>
          <w:sz w:val="28"/>
          <w:szCs w:val="28"/>
          <w:lang w:val="en-US" w:eastAsia="zh-CN"/>
        </w:rPr>
        <w:t>14.95㎡</w:t>
      </w:r>
      <w:r>
        <w:rPr>
          <w:rFonts w:hint="eastAsia" w:ascii="楷体" w:hAnsi="楷体" w:eastAsia="楷体" w:cs="楷体"/>
          <w:sz w:val="28"/>
          <w:szCs w:val="28"/>
        </w:rPr>
        <w:t>。估价目的是为评估估价对象在价值时点的房地产市场价格，为人民法院确定财产处置参考价提供参考依据。</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根据估价委托人提供的《</w:t>
      </w:r>
      <w:r>
        <w:rPr>
          <w:rFonts w:hint="eastAsia" w:ascii="楷体" w:hAnsi="楷体" w:eastAsia="楷体" w:cs="楷体"/>
          <w:sz w:val="28"/>
          <w:szCs w:val="28"/>
          <w:lang w:eastAsia="zh-CN"/>
        </w:rPr>
        <w:t>不动产权证书</w:t>
      </w:r>
      <w:r>
        <w:rPr>
          <w:rFonts w:hint="eastAsia" w:ascii="楷体" w:hAnsi="楷体" w:eastAsia="楷体" w:cs="楷体"/>
          <w:sz w:val="28"/>
          <w:szCs w:val="28"/>
        </w:rPr>
        <w:t>》可知，估价对象的权利人为</w:t>
      </w:r>
      <w:r>
        <w:rPr>
          <w:rFonts w:hint="eastAsia" w:ascii="楷体" w:hAnsi="楷体" w:eastAsia="楷体" w:cs="楷体"/>
          <w:sz w:val="28"/>
          <w:szCs w:val="28"/>
          <w:lang w:val="en-US" w:eastAsia="zh-CN"/>
        </w:rPr>
        <w:t>夏竹轩</w:t>
      </w:r>
      <w:r>
        <w:rPr>
          <w:rFonts w:hint="eastAsia" w:ascii="楷体" w:hAnsi="楷体" w:eastAsia="楷体" w:cs="楷体"/>
          <w:sz w:val="28"/>
          <w:szCs w:val="28"/>
        </w:rPr>
        <w:t>，房屋总层数</w:t>
      </w:r>
      <w:r>
        <w:rPr>
          <w:rFonts w:hint="eastAsia" w:ascii="楷体" w:hAnsi="楷体" w:eastAsia="楷体" w:cs="楷体"/>
          <w:sz w:val="28"/>
          <w:szCs w:val="28"/>
          <w:lang w:val="en-US" w:eastAsia="zh-CN"/>
        </w:rPr>
        <w:t>9</w:t>
      </w:r>
      <w:r>
        <w:rPr>
          <w:rFonts w:hint="eastAsia" w:ascii="楷体" w:hAnsi="楷体" w:eastAsia="楷体" w:cs="楷体"/>
          <w:sz w:val="28"/>
          <w:szCs w:val="28"/>
        </w:rPr>
        <w:t>层，</w:t>
      </w:r>
      <w:r>
        <w:rPr>
          <w:rFonts w:hint="eastAsia" w:ascii="楷体" w:hAnsi="楷体" w:eastAsia="楷体" w:cs="楷体"/>
          <w:sz w:val="28"/>
          <w:szCs w:val="28"/>
          <w:lang w:eastAsia="zh-CN"/>
        </w:rPr>
        <w:t>所在层为第</w:t>
      </w:r>
      <w:r>
        <w:rPr>
          <w:rFonts w:hint="eastAsia" w:ascii="楷体" w:hAnsi="楷体" w:eastAsia="楷体" w:cs="楷体"/>
          <w:sz w:val="28"/>
          <w:szCs w:val="28"/>
          <w:lang w:val="en-US" w:eastAsia="zh-CN"/>
        </w:rPr>
        <w:t>2层，</w:t>
      </w:r>
      <w:r>
        <w:rPr>
          <w:rFonts w:hint="eastAsia" w:ascii="楷体" w:hAnsi="楷体" w:eastAsia="楷体" w:cs="楷体"/>
          <w:sz w:val="28"/>
          <w:szCs w:val="28"/>
          <w:lang w:eastAsia="zh-CN"/>
        </w:rPr>
        <w:t>钢筋混凝土</w:t>
      </w:r>
      <w:r>
        <w:rPr>
          <w:rFonts w:hint="eastAsia" w:ascii="楷体" w:hAnsi="楷体" w:eastAsia="楷体" w:cs="楷体"/>
          <w:sz w:val="28"/>
          <w:szCs w:val="28"/>
        </w:rPr>
        <w:t>结构。本次评估假设估价对象产权明晰，不存在任何产权纠纷，可以在公开市场上进行合法转让，可以按照法律法规相关规定办理产权手续。</w:t>
      </w:r>
    </w:p>
    <w:p>
      <w:pPr>
        <w:spacing w:line="360" w:lineRule="auto"/>
        <w:ind w:firstLine="560" w:firstLineChars="200"/>
        <w:rPr>
          <w:rFonts w:hint="eastAsia" w:ascii="楷体" w:hAnsi="楷体" w:eastAsia="楷体" w:cs="楷体"/>
          <w:color w:val="C00000"/>
          <w:sz w:val="28"/>
          <w:szCs w:val="28"/>
          <w:lang w:val="en-US" w:eastAsia="zh-CN"/>
        </w:rPr>
      </w:pPr>
      <w:r>
        <w:rPr>
          <w:rFonts w:hint="eastAsia" w:ascii="楷体" w:hAnsi="楷体" w:eastAsia="楷体" w:cs="楷体"/>
          <w:sz w:val="28"/>
          <w:szCs w:val="28"/>
        </w:rPr>
        <w:t>我公司估价人员在现场查勘的基础上，根据《房地产估价规范》、有关政策法规和我公司掌握的房地产市场资料及长期积累的估价经验，结合贵方提供的资料和本次的估价目的，遵循独立、客观、公正的原则，按照估价程序，选取科学的估价方法，综合分析影响房地产价格的各项因素，经认真分析计算，确定估价对象房地产在价值时点</w:t>
      </w:r>
      <w:r>
        <w:rPr>
          <w:rFonts w:hint="eastAsia" w:ascii="楷体" w:hAnsi="楷体" w:eastAsia="楷体" w:cs="楷体"/>
          <w:color w:val="auto"/>
          <w:sz w:val="28"/>
          <w:szCs w:val="28"/>
          <w:lang w:eastAsia="zh-CN"/>
        </w:rPr>
        <w:t>202</w:t>
      </w:r>
      <w:r>
        <w:rPr>
          <w:rFonts w:hint="eastAsia" w:ascii="楷体" w:hAnsi="楷体" w:eastAsia="楷体" w:cs="楷体"/>
          <w:color w:val="auto"/>
          <w:sz w:val="28"/>
          <w:szCs w:val="28"/>
          <w:lang w:val="en-US" w:eastAsia="zh-CN"/>
        </w:rPr>
        <w:t>2</w:t>
      </w:r>
      <w:r>
        <w:rPr>
          <w:rFonts w:hint="eastAsia" w:ascii="楷体" w:hAnsi="楷体" w:eastAsia="楷体" w:cs="楷体"/>
          <w:color w:val="auto"/>
          <w:sz w:val="28"/>
          <w:szCs w:val="28"/>
          <w:lang w:eastAsia="zh-CN"/>
        </w:rPr>
        <w:t>年</w:t>
      </w:r>
      <w:r>
        <w:rPr>
          <w:rFonts w:hint="eastAsia" w:ascii="楷体" w:hAnsi="楷体" w:eastAsia="楷体" w:cs="楷体"/>
          <w:color w:val="auto"/>
          <w:sz w:val="28"/>
          <w:szCs w:val="28"/>
          <w:lang w:val="en-US" w:eastAsia="zh-CN"/>
        </w:rPr>
        <w:t>8</w:t>
      </w:r>
      <w:r>
        <w:rPr>
          <w:rFonts w:hint="eastAsia" w:ascii="楷体" w:hAnsi="楷体" w:eastAsia="楷体" w:cs="楷体"/>
          <w:color w:val="auto"/>
          <w:sz w:val="28"/>
          <w:szCs w:val="28"/>
          <w:lang w:eastAsia="zh-CN"/>
        </w:rPr>
        <w:t>月</w:t>
      </w:r>
      <w:r>
        <w:rPr>
          <w:rFonts w:hint="eastAsia" w:ascii="楷体" w:hAnsi="楷体" w:eastAsia="楷体" w:cs="楷体"/>
          <w:color w:val="auto"/>
          <w:sz w:val="28"/>
          <w:szCs w:val="28"/>
          <w:lang w:val="en-US" w:eastAsia="zh-CN"/>
        </w:rPr>
        <w:t>9</w:t>
      </w:r>
      <w:r>
        <w:rPr>
          <w:rFonts w:hint="eastAsia" w:ascii="楷体" w:hAnsi="楷体" w:eastAsia="楷体" w:cs="楷体"/>
          <w:color w:val="auto"/>
          <w:sz w:val="28"/>
          <w:szCs w:val="28"/>
          <w:lang w:eastAsia="zh-CN"/>
        </w:rPr>
        <w:t>日</w:t>
      </w:r>
      <w:r>
        <w:rPr>
          <w:rFonts w:hint="eastAsia" w:ascii="楷体" w:hAnsi="楷体" w:eastAsia="楷体" w:cs="楷体"/>
          <w:color w:val="auto"/>
          <w:sz w:val="28"/>
          <w:szCs w:val="28"/>
        </w:rPr>
        <w:t>的市场价值</w:t>
      </w:r>
      <w:r>
        <w:rPr>
          <w:rFonts w:hint="eastAsia" w:ascii="楷体" w:hAnsi="楷体" w:eastAsia="楷体" w:cs="楷体"/>
          <w:color w:val="auto"/>
          <w:sz w:val="28"/>
          <w:szCs w:val="28"/>
          <w:lang w:eastAsia="zh-CN"/>
        </w:rPr>
        <w:t>为</w:t>
      </w:r>
      <w:r>
        <w:rPr>
          <w:rFonts w:hint="eastAsia" w:ascii="楷体" w:hAnsi="楷体" w:eastAsia="楷体" w:cs="楷体"/>
          <w:color w:val="auto"/>
          <w:sz w:val="28"/>
          <w:szCs w:val="28"/>
        </w:rPr>
        <w:t>人民币</w:t>
      </w:r>
      <w:r>
        <w:rPr>
          <w:rFonts w:hint="eastAsia" w:ascii="楷体" w:hAnsi="楷体" w:eastAsia="楷体" w:cs="楷体"/>
          <w:color w:val="auto"/>
          <w:sz w:val="28"/>
          <w:szCs w:val="28"/>
          <w:lang w:val="en-US" w:eastAsia="zh-CN"/>
        </w:rPr>
        <w:t>叁佰零陆万壹仟壹佰叁拾捌</w:t>
      </w:r>
      <w:r>
        <w:rPr>
          <w:rFonts w:hint="eastAsia" w:ascii="楷体" w:hAnsi="楷体" w:eastAsia="楷体" w:cs="楷体"/>
          <w:color w:val="auto"/>
          <w:sz w:val="28"/>
          <w:szCs w:val="28"/>
        </w:rPr>
        <w:t>元整（¥</w:t>
      </w:r>
      <w:r>
        <w:rPr>
          <w:rFonts w:hint="eastAsia" w:ascii="楷体" w:hAnsi="楷体" w:eastAsia="楷体" w:cs="楷体"/>
          <w:color w:val="auto"/>
          <w:sz w:val="28"/>
          <w:szCs w:val="28"/>
          <w:lang w:val="en-US" w:eastAsia="zh-CN"/>
        </w:rPr>
        <w:t>3061138</w:t>
      </w:r>
      <w:r>
        <w:rPr>
          <w:rFonts w:hint="eastAsia" w:ascii="楷体" w:hAnsi="楷体" w:eastAsia="楷体" w:cs="楷体"/>
          <w:color w:val="auto"/>
          <w:sz w:val="28"/>
          <w:szCs w:val="28"/>
        </w:rPr>
        <w:t>.00元）。</w:t>
      </w:r>
      <w:r>
        <w:rPr>
          <w:rFonts w:hint="eastAsia" w:ascii="楷体" w:hAnsi="楷体" w:eastAsia="楷体" w:cs="楷体"/>
          <w:color w:val="auto"/>
          <w:sz w:val="28"/>
          <w:szCs w:val="28"/>
          <w:lang w:val="en-US" w:eastAsia="zh-CN"/>
        </w:rPr>
        <w:t>下附估价结果一览表</w:t>
      </w:r>
    </w:p>
    <w:p>
      <w:pPr>
        <w:spacing w:line="360" w:lineRule="auto"/>
        <w:ind w:firstLine="562" w:firstLineChars="200"/>
        <w:jc w:val="cente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估价结果一览表</w:t>
      </w:r>
    </w:p>
    <w:tbl>
      <w:tblPr>
        <w:tblStyle w:val="17"/>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858"/>
        <w:gridCol w:w="1262"/>
        <w:gridCol w:w="130"/>
        <w:gridCol w:w="1023"/>
        <w:gridCol w:w="127"/>
        <w:gridCol w:w="475"/>
        <w:gridCol w:w="245"/>
        <w:gridCol w:w="1059"/>
        <w:gridCol w:w="82"/>
        <w:gridCol w:w="259"/>
        <w:gridCol w:w="963"/>
        <w:gridCol w:w="32"/>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jc w:val="center"/>
        </w:trPr>
        <w:tc>
          <w:tcPr>
            <w:tcW w:w="1955" w:type="dxa"/>
            <w:gridSpan w:val="2"/>
            <w:vAlign w:val="center"/>
          </w:tcPr>
          <w:p>
            <w:pPr>
              <w:snapToGrid w:val="0"/>
              <w:spacing w:before="50" w:line="240" w:lineRule="auto"/>
              <w:jc w:val="center"/>
              <w:rPr>
                <w:rFonts w:hint="eastAsia" w:ascii="楷体" w:hAnsi="楷体" w:eastAsia="楷体" w:cs="楷体"/>
                <w:b/>
                <w:sz w:val="24"/>
              </w:rPr>
            </w:pPr>
            <w:r>
              <w:rPr>
                <w:rFonts w:hint="eastAsia" w:ascii="楷体" w:hAnsi="楷体" w:eastAsia="楷体" w:cs="楷体"/>
                <w:b/>
                <w:sz w:val="24"/>
              </w:rPr>
              <w:t>估价项目名称</w:t>
            </w:r>
          </w:p>
        </w:tc>
        <w:tc>
          <w:tcPr>
            <w:tcW w:w="6931" w:type="dxa"/>
            <w:gridSpan w:val="12"/>
            <w:vAlign w:val="center"/>
          </w:tcPr>
          <w:p>
            <w:pPr>
              <w:pStyle w:val="8"/>
              <w:tabs>
                <w:tab w:val="left" w:pos="5306"/>
                <w:tab w:val="left" w:pos="7781"/>
              </w:tabs>
              <w:spacing w:line="240" w:lineRule="auto"/>
              <w:ind w:left="0" w:leftChars="0" w:firstLine="0" w:firstLineChars="0"/>
              <w:jc w:val="center"/>
              <w:rPr>
                <w:rFonts w:hint="eastAsia" w:ascii="楷体" w:hAnsi="楷体" w:eastAsia="楷体" w:cs="楷体"/>
                <w:bCs/>
                <w:sz w:val="24"/>
              </w:rPr>
            </w:pPr>
            <w:r>
              <w:rPr>
                <w:rFonts w:hint="eastAsia" w:ascii="楷体" w:hAnsi="楷体" w:eastAsia="楷体" w:cs="楷体"/>
                <w:bCs/>
                <w:sz w:val="24"/>
                <w:lang w:eastAsia="zh-CN"/>
              </w:rPr>
              <w:t>夏竹轩所属位于武汉市东湖新技术开发区大学园路1号武汉万科城市花园特一区A2单元2层01室住宅房地产价格司法评估报告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1955" w:type="dxa"/>
            <w:gridSpan w:val="2"/>
            <w:vAlign w:val="center"/>
          </w:tcPr>
          <w:p>
            <w:pPr>
              <w:snapToGrid w:val="0"/>
              <w:spacing w:before="50" w:line="240" w:lineRule="auto"/>
              <w:jc w:val="center"/>
              <w:rPr>
                <w:rFonts w:hint="eastAsia" w:ascii="楷体" w:hAnsi="楷体" w:eastAsia="楷体" w:cs="楷体"/>
                <w:b/>
                <w:sz w:val="24"/>
              </w:rPr>
            </w:pPr>
            <w:r>
              <w:rPr>
                <w:rFonts w:hint="eastAsia" w:ascii="楷体" w:hAnsi="楷体" w:eastAsia="楷体" w:cs="楷体"/>
                <w:b/>
                <w:sz w:val="24"/>
              </w:rPr>
              <w:t>产权人</w:t>
            </w:r>
          </w:p>
        </w:tc>
        <w:tc>
          <w:tcPr>
            <w:tcW w:w="2542" w:type="dxa"/>
            <w:gridSpan w:val="4"/>
            <w:vAlign w:val="center"/>
          </w:tcPr>
          <w:p>
            <w:pPr>
              <w:snapToGrid w:val="0"/>
              <w:spacing w:before="50" w:line="240" w:lineRule="auto"/>
              <w:ind w:firstLine="120" w:firstLineChars="50"/>
              <w:jc w:val="center"/>
              <w:rPr>
                <w:rFonts w:hint="eastAsia" w:ascii="楷体" w:hAnsi="楷体" w:eastAsia="楷体" w:cs="楷体"/>
                <w:sz w:val="24"/>
                <w:lang w:val="en-US" w:eastAsia="zh-CN"/>
              </w:rPr>
            </w:pPr>
            <w:r>
              <w:rPr>
                <w:rFonts w:hint="eastAsia" w:ascii="楷体" w:hAnsi="楷体" w:eastAsia="楷体" w:cs="楷体"/>
                <w:bCs/>
                <w:kern w:val="2"/>
                <w:sz w:val="24"/>
                <w:szCs w:val="24"/>
                <w:lang w:val="en-US" w:eastAsia="zh-CN" w:bidi="ar-SA"/>
              </w:rPr>
              <w:t>夏竹轩</w:t>
            </w:r>
          </w:p>
        </w:tc>
        <w:tc>
          <w:tcPr>
            <w:tcW w:w="2120" w:type="dxa"/>
            <w:gridSpan w:val="5"/>
            <w:vAlign w:val="center"/>
          </w:tcPr>
          <w:p>
            <w:pPr>
              <w:snapToGrid w:val="0"/>
              <w:spacing w:before="50" w:line="240" w:lineRule="auto"/>
              <w:jc w:val="center"/>
              <w:rPr>
                <w:rFonts w:hint="eastAsia" w:ascii="楷体" w:hAnsi="楷体" w:eastAsia="楷体" w:cs="楷体"/>
                <w:b/>
                <w:sz w:val="24"/>
                <w:lang w:val="en-US" w:eastAsia="zh-CN"/>
              </w:rPr>
            </w:pPr>
            <w:r>
              <w:rPr>
                <w:rFonts w:hint="eastAsia" w:ascii="楷体" w:hAnsi="楷体" w:eastAsia="楷体" w:cs="楷体"/>
                <w:b/>
                <w:sz w:val="24"/>
              </w:rPr>
              <w:t>估价委托</w:t>
            </w:r>
            <w:r>
              <w:rPr>
                <w:rFonts w:hint="eastAsia" w:ascii="楷体" w:hAnsi="楷体" w:eastAsia="楷体" w:cs="楷体"/>
                <w:b/>
                <w:sz w:val="24"/>
                <w:lang w:val="en-US" w:eastAsia="zh-CN"/>
              </w:rPr>
              <w:t>方</w:t>
            </w:r>
          </w:p>
        </w:tc>
        <w:tc>
          <w:tcPr>
            <w:tcW w:w="2269" w:type="dxa"/>
            <w:gridSpan w:val="3"/>
            <w:vAlign w:val="center"/>
          </w:tcPr>
          <w:p>
            <w:pPr>
              <w:snapToGrid w:val="0"/>
              <w:spacing w:before="50" w:line="240" w:lineRule="auto"/>
              <w:jc w:val="center"/>
              <w:rPr>
                <w:rFonts w:hint="eastAsia" w:ascii="楷体" w:hAnsi="楷体" w:eastAsia="楷体" w:cs="楷体"/>
                <w:sz w:val="24"/>
                <w:lang w:val="en-US" w:eastAsia="zh-CN"/>
              </w:rPr>
            </w:pPr>
            <w:r>
              <w:rPr>
                <w:rFonts w:hint="eastAsia" w:ascii="楷体" w:hAnsi="楷体" w:eastAsia="楷体" w:cs="楷体"/>
                <w:sz w:val="24"/>
                <w:lang w:val="en-US" w:eastAsia="zh-CN"/>
              </w:rPr>
              <w:t>应城市人民法院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1955" w:type="dxa"/>
            <w:gridSpan w:val="2"/>
            <w:vAlign w:val="center"/>
          </w:tcPr>
          <w:p>
            <w:pPr>
              <w:snapToGrid w:val="0"/>
              <w:spacing w:before="50" w:line="240" w:lineRule="auto"/>
              <w:jc w:val="center"/>
              <w:rPr>
                <w:rFonts w:hint="eastAsia" w:ascii="楷体" w:hAnsi="楷体" w:eastAsia="楷体" w:cs="楷体"/>
                <w:b/>
                <w:sz w:val="24"/>
              </w:rPr>
            </w:pPr>
            <w:r>
              <w:rPr>
                <w:rFonts w:hint="eastAsia" w:ascii="楷体" w:hAnsi="楷体" w:eastAsia="楷体" w:cs="楷体"/>
                <w:b/>
                <w:sz w:val="24"/>
              </w:rPr>
              <w:t>估价目的</w:t>
            </w:r>
          </w:p>
        </w:tc>
        <w:tc>
          <w:tcPr>
            <w:tcW w:w="6931" w:type="dxa"/>
            <w:gridSpan w:val="12"/>
            <w:vAlign w:val="center"/>
          </w:tcPr>
          <w:p>
            <w:pPr>
              <w:snapToGrid w:val="0"/>
              <w:spacing w:before="50" w:line="240" w:lineRule="auto"/>
              <w:jc w:val="center"/>
              <w:rPr>
                <w:rFonts w:hint="eastAsia" w:ascii="楷体" w:hAnsi="楷体" w:eastAsia="楷体" w:cs="楷体"/>
                <w:sz w:val="24"/>
              </w:rPr>
            </w:pPr>
            <w:r>
              <w:rPr>
                <w:rFonts w:hint="eastAsia" w:ascii="楷体" w:hAnsi="楷体" w:eastAsia="楷体" w:cs="楷体"/>
                <w:sz w:val="24"/>
                <w:lang w:val="en-US" w:eastAsia="zh-CN"/>
              </w:rPr>
              <w:t>本次</w:t>
            </w:r>
            <w:r>
              <w:rPr>
                <w:rFonts w:hint="eastAsia" w:ascii="楷体" w:hAnsi="楷体" w:eastAsia="楷体" w:cs="楷体"/>
                <w:sz w:val="24"/>
              </w:rPr>
              <w:t>估价</w:t>
            </w:r>
            <w:r>
              <w:rPr>
                <w:rFonts w:hint="eastAsia" w:ascii="楷体" w:hAnsi="楷体" w:eastAsia="楷体" w:cs="楷体"/>
                <w:sz w:val="24"/>
                <w:lang w:val="en-US" w:eastAsia="zh-CN"/>
              </w:rPr>
              <w:t>的是评估估价</w:t>
            </w:r>
            <w:r>
              <w:rPr>
                <w:rFonts w:hint="eastAsia" w:ascii="楷体" w:hAnsi="楷体" w:eastAsia="楷体" w:cs="楷体"/>
                <w:sz w:val="24"/>
              </w:rPr>
              <w:t>对象</w:t>
            </w:r>
            <w:r>
              <w:rPr>
                <w:rFonts w:hint="eastAsia" w:ascii="楷体" w:hAnsi="楷体" w:eastAsia="楷体" w:cs="楷体"/>
                <w:sz w:val="24"/>
                <w:lang w:val="en-US" w:eastAsia="zh-CN"/>
              </w:rPr>
              <w:t>在价值时点的房地产市场价格</w:t>
            </w:r>
            <w:r>
              <w:rPr>
                <w:rFonts w:hint="eastAsia" w:ascii="楷体" w:hAnsi="楷体" w:eastAsia="楷体" w:cs="楷体"/>
                <w:sz w:val="24"/>
              </w:rPr>
              <w:t>，</w:t>
            </w:r>
            <w:r>
              <w:rPr>
                <w:rFonts w:hint="eastAsia" w:ascii="楷体" w:hAnsi="楷体" w:eastAsia="楷体" w:cs="楷体"/>
                <w:sz w:val="24"/>
                <w:lang w:eastAsia="zh-CN"/>
              </w:rPr>
              <w:t>为人民法院确定财产处置参考价提供参考依据</w:t>
            </w:r>
            <w:r>
              <w:rPr>
                <w:rFonts w:hint="eastAsia" w:ascii="楷体" w:hAnsi="楷体" w:eastAsia="楷体" w:cs="楷体"/>
                <w:sz w:val="24"/>
              </w:rPr>
              <w:t>。</w:t>
            </w:r>
          </w:p>
          <w:p>
            <w:pPr>
              <w:snapToGrid w:val="0"/>
              <w:spacing w:before="50" w:line="240" w:lineRule="auto"/>
              <w:jc w:val="center"/>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exact"/>
          <w:jc w:val="center"/>
        </w:trPr>
        <w:tc>
          <w:tcPr>
            <w:tcW w:w="1955" w:type="dxa"/>
            <w:gridSpan w:val="2"/>
            <w:vAlign w:val="center"/>
          </w:tcPr>
          <w:p>
            <w:pPr>
              <w:snapToGrid w:val="0"/>
              <w:spacing w:before="50" w:line="240" w:lineRule="auto"/>
              <w:jc w:val="center"/>
              <w:rPr>
                <w:rFonts w:hint="eastAsia" w:ascii="楷体" w:hAnsi="楷体" w:eastAsia="楷体" w:cs="楷体"/>
                <w:b/>
                <w:sz w:val="24"/>
              </w:rPr>
            </w:pPr>
            <w:r>
              <w:rPr>
                <w:rFonts w:hint="eastAsia" w:ascii="楷体" w:hAnsi="楷体" w:eastAsia="楷体" w:cs="楷体"/>
                <w:b/>
                <w:sz w:val="24"/>
              </w:rPr>
              <w:t>估价对象范围</w:t>
            </w:r>
          </w:p>
        </w:tc>
        <w:tc>
          <w:tcPr>
            <w:tcW w:w="6931" w:type="dxa"/>
            <w:gridSpan w:val="12"/>
            <w:vAlign w:val="center"/>
          </w:tcPr>
          <w:p>
            <w:pPr>
              <w:snapToGrid w:val="0"/>
              <w:spacing w:before="50" w:line="240" w:lineRule="auto"/>
              <w:jc w:val="center"/>
              <w:rPr>
                <w:rFonts w:hint="eastAsia" w:ascii="楷体" w:hAnsi="楷体" w:eastAsia="楷体" w:cs="楷体"/>
                <w:sz w:val="24"/>
                <w:lang w:val="en-US" w:eastAsia="zh-CN"/>
              </w:rPr>
            </w:pPr>
            <w:r>
              <w:rPr>
                <w:rFonts w:hint="eastAsia" w:ascii="楷体" w:hAnsi="楷体" w:eastAsia="楷体" w:cs="楷体"/>
                <w:bCs/>
                <w:sz w:val="24"/>
              </w:rPr>
              <w:t>包括夏竹轩所属位于武汉市东湖新技术开发区大学园路1号武</w:t>
            </w:r>
            <w:r>
              <w:rPr>
                <w:rFonts w:hint="eastAsia" w:ascii="楷体" w:hAnsi="楷体" w:eastAsia="楷体" w:cs="楷体"/>
                <w:bCs/>
                <w:sz w:val="24"/>
                <w:lang w:val="en-US" w:eastAsia="zh-CN"/>
              </w:rPr>
              <w:t>汉</w:t>
            </w:r>
            <w:r>
              <w:rPr>
                <w:rFonts w:hint="eastAsia" w:ascii="楷体" w:hAnsi="楷体" w:eastAsia="楷体" w:cs="楷体"/>
                <w:bCs/>
                <w:sz w:val="24"/>
              </w:rPr>
              <w:t>万</w:t>
            </w:r>
            <w:r>
              <w:rPr>
                <w:rFonts w:hint="eastAsia" w:ascii="楷体" w:hAnsi="楷体" w:eastAsia="楷体" w:cs="楷体"/>
                <w:bCs/>
                <w:sz w:val="24"/>
                <w:lang w:val="en-US" w:eastAsia="zh-CN"/>
              </w:rPr>
              <w:t>科</w:t>
            </w:r>
            <w:r>
              <w:rPr>
                <w:rFonts w:hint="eastAsia" w:ascii="楷体" w:hAnsi="楷体" w:eastAsia="楷体" w:cs="楷体"/>
                <w:bCs/>
                <w:sz w:val="24"/>
              </w:rPr>
              <w:t>城市花园特一区A2单元2层01室住宅房地产，建筑面积</w:t>
            </w:r>
            <w:r>
              <w:rPr>
                <w:rFonts w:hint="eastAsia" w:ascii="楷体" w:hAnsi="楷体" w:eastAsia="楷体" w:cs="楷体"/>
                <w:bCs/>
                <w:sz w:val="24"/>
                <w:lang w:val="en-US" w:eastAsia="zh-CN"/>
              </w:rPr>
              <w:t>108.15</w:t>
            </w:r>
            <w:r>
              <w:rPr>
                <w:rFonts w:hint="eastAsia" w:ascii="楷体" w:hAnsi="楷体" w:eastAsia="楷体" w:cs="楷体"/>
                <w:bCs/>
                <w:sz w:val="24"/>
              </w:rPr>
              <w:t>㎡，土地使用权面积</w:t>
            </w:r>
            <w:r>
              <w:rPr>
                <w:rFonts w:hint="eastAsia" w:ascii="楷体" w:hAnsi="楷体" w:eastAsia="楷体" w:cs="楷体"/>
                <w:bCs/>
                <w:sz w:val="24"/>
                <w:lang w:val="en-US" w:eastAsia="zh-CN"/>
              </w:rPr>
              <w:t>14.95㎡，</w:t>
            </w:r>
            <w:r>
              <w:rPr>
                <w:rFonts w:hint="eastAsia" w:ascii="楷体" w:hAnsi="楷体" w:eastAsia="楷体" w:cs="楷体"/>
                <w:bCs/>
                <w:sz w:val="24"/>
              </w:rPr>
              <w:t>以及与房地产不可分割的满足其使用功能的供水、供电、排水、消防等基础配套设施</w:t>
            </w:r>
            <w:r>
              <w:rPr>
                <w:rFonts w:hint="eastAsia" w:ascii="楷体" w:hAnsi="楷体" w:eastAsia="楷体" w:cs="楷体"/>
                <w:bCs/>
                <w:sz w:val="24"/>
                <w:lang w:eastAsia="zh-CN"/>
              </w:rPr>
              <w:t>及室内装修装饰</w:t>
            </w:r>
            <w:r>
              <w:rPr>
                <w:rFonts w:hint="eastAsia" w:ascii="楷体" w:hAnsi="楷体" w:eastAsia="楷体" w:cs="楷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1955" w:type="dxa"/>
            <w:gridSpan w:val="2"/>
            <w:vAlign w:val="center"/>
          </w:tcPr>
          <w:p>
            <w:pPr>
              <w:snapToGrid w:val="0"/>
              <w:spacing w:before="50" w:line="240" w:lineRule="auto"/>
              <w:ind w:firstLine="241" w:firstLineChars="100"/>
              <w:jc w:val="center"/>
              <w:rPr>
                <w:rFonts w:hint="eastAsia" w:ascii="楷体" w:hAnsi="楷体" w:eastAsia="楷体" w:cs="楷体"/>
                <w:b/>
                <w:sz w:val="24"/>
                <w:lang w:val="en-US" w:eastAsia="zh-CN"/>
              </w:rPr>
            </w:pPr>
            <w:r>
              <w:rPr>
                <w:rFonts w:hint="eastAsia" w:ascii="楷体" w:hAnsi="楷体" w:eastAsia="楷体" w:cs="楷体"/>
                <w:b/>
                <w:sz w:val="24"/>
                <w:lang w:val="en-US" w:eastAsia="zh-CN"/>
              </w:rPr>
              <w:t>不动产权证号</w:t>
            </w:r>
          </w:p>
        </w:tc>
        <w:tc>
          <w:tcPr>
            <w:tcW w:w="6931" w:type="dxa"/>
            <w:gridSpan w:val="12"/>
            <w:vAlign w:val="center"/>
          </w:tcPr>
          <w:p>
            <w:pPr>
              <w:snapToGrid w:val="0"/>
              <w:spacing w:before="50" w:line="240" w:lineRule="auto"/>
              <w:ind w:firstLine="240" w:firstLineChars="100"/>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鄂（2017）武汉市东开不动产权第0004237号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1955" w:type="dxa"/>
            <w:gridSpan w:val="2"/>
            <w:vAlign w:val="center"/>
          </w:tcPr>
          <w:p>
            <w:pPr>
              <w:snapToGrid w:val="0"/>
              <w:spacing w:before="50" w:line="240" w:lineRule="auto"/>
              <w:ind w:firstLine="241" w:firstLineChars="100"/>
              <w:jc w:val="center"/>
              <w:rPr>
                <w:rFonts w:hint="eastAsia" w:ascii="楷体" w:hAnsi="楷体" w:eastAsia="楷体" w:cs="楷体"/>
                <w:kern w:val="2"/>
                <w:sz w:val="24"/>
                <w:szCs w:val="24"/>
                <w:lang w:val="en-US" w:eastAsia="zh-CN" w:bidi="ar-SA"/>
              </w:rPr>
            </w:pPr>
            <w:r>
              <w:rPr>
                <w:rFonts w:hint="eastAsia" w:ascii="楷体" w:hAnsi="楷体" w:eastAsia="楷体" w:cs="楷体"/>
                <w:b/>
                <w:sz w:val="24"/>
                <w:lang w:val="en-US" w:eastAsia="zh-CN"/>
              </w:rPr>
              <w:t>房屋建筑面积</w:t>
            </w:r>
          </w:p>
        </w:tc>
        <w:tc>
          <w:tcPr>
            <w:tcW w:w="1262" w:type="dxa"/>
            <w:vAlign w:val="center"/>
          </w:tcPr>
          <w:p>
            <w:pPr>
              <w:tabs>
                <w:tab w:val="left" w:pos="1442"/>
                <w:tab w:val="center" w:pos="1749"/>
              </w:tabs>
              <w:snapToGrid w:val="0"/>
              <w:spacing w:before="50" w:line="240" w:lineRule="auto"/>
              <w:jc w:val="left"/>
              <w:rPr>
                <w:rFonts w:hint="eastAsia" w:ascii="楷体" w:hAnsi="楷体" w:eastAsia="楷体" w:cs="楷体"/>
                <w:kern w:val="2"/>
                <w:sz w:val="24"/>
                <w:szCs w:val="24"/>
                <w:lang w:val="en-US" w:eastAsia="zh-CN" w:bidi="ar-SA"/>
              </w:rPr>
            </w:pPr>
            <w:r>
              <w:rPr>
                <w:rFonts w:hint="eastAsia" w:ascii="楷体" w:hAnsi="楷体" w:eastAsia="楷体" w:cs="楷体"/>
                <w:b w:val="0"/>
                <w:bCs w:val="0"/>
                <w:sz w:val="24"/>
                <w:lang w:val="en-US" w:eastAsia="zh-CN"/>
              </w:rPr>
              <w:t>108.15㎡</w:t>
            </w:r>
          </w:p>
        </w:tc>
        <w:tc>
          <w:tcPr>
            <w:tcW w:w="1755" w:type="dxa"/>
            <w:gridSpan w:val="4"/>
            <w:vAlign w:val="center"/>
          </w:tcPr>
          <w:p>
            <w:pPr>
              <w:snapToGrid w:val="0"/>
              <w:spacing w:before="50" w:line="240" w:lineRule="auto"/>
              <w:jc w:val="both"/>
              <w:rPr>
                <w:rFonts w:hint="eastAsia" w:ascii="楷体" w:hAnsi="楷体" w:eastAsia="楷体" w:cs="楷体"/>
                <w:b/>
                <w:kern w:val="2"/>
                <w:sz w:val="24"/>
                <w:szCs w:val="24"/>
                <w:lang w:val="en-US" w:eastAsia="zh-CN" w:bidi="ar-SA"/>
              </w:rPr>
            </w:pPr>
            <w:r>
              <w:rPr>
                <w:rFonts w:hint="eastAsia" w:ascii="楷体" w:hAnsi="楷体" w:eastAsia="楷体" w:cs="楷体"/>
                <w:b/>
                <w:kern w:val="2"/>
                <w:sz w:val="24"/>
                <w:szCs w:val="24"/>
                <w:lang w:val="en-US" w:eastAsia="zh-CN" w:bidi="ar-SA"/>
              </w:rPr>
              <w:t>土地分摊面积</w:t>
            </w:r>
          </w:p>
        </w:tc>
        <w:tc>
          <w:tcPr>
            <w:tcW w:w="1304" w:type="dxa"/>
            <w:gridSpan w:val="2"/>
            <w:vAlign w:val="center"/>
          </w:tcPr>
          <w:p>
            <w:pPr>
              <w:snapToGrid w:val="0"/>
              <w:spacing w:before="50" w:line="240" w:lineRule="auto"/>
              <w:jc w:val="both"/>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14.95㎡</w:t>
            </w:r>
          </w:p>
        </w:tc>
        <w:tc>
          <w:tcPr>
            <w:tcW w:w="1304" w:type="dxa"/>
            <w:gridSpan w:val="3"/>
            <w:vAlign w:val="center"/>
          </w:tcPr>
          <w:p>
            <w:pPr>
              <w:snapToGrid w:val="0"/>
              <w:spacing w:before="50" w:line="240" w:lineRule="auto"/>
              <w:jc w:val="both"/>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权利性质</w:t>
            </w:r>
          </w:p>
        </w:tc>
        <w:tc>
          <w:tcPr>
            <w:tcW w:w="1306" w:type="dxa"/>
            <w:gridSpan w:val="2"/>
            <w:vAlign w:val="center"/>
          </w:tcPr>
          <w:p>
            <w:pPr>
              <w:snapToGrid w:val="0"/>
              <w:spacing w:before="50" w:line="240" w:lineRule="auto"/>
              <w:ind w:firstLine="240" w:firstLineChars="100"/>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1955" w:type="dxa"/>
            <w:gridSpan w:val="2"/>
            <w:vAlign w:val="center"/>
          </w:tcPr>
          <w:p>
            <w:pPr>
              <w:snapToGrid w:val="0"/>
              <w:spacing w:before="50" w:line="240" w:lineRule="auto"/>
              <w:jc w:val="center"/>
              <w:rPr>
                <w:rFonts w:hint="eastAsia" w:ascii="楷体" w:hAnsi="楷体" w:eastAsia="楷体" w:cs="楷体"/>
                <w:b/>
                <w:kern w:val="2"/>
                <w:sz w:val="24"/>
                <w:szCs w:val="24"/>
                <w:lang w:val="en-US" w:eastAsia="zh-CN" w:bidi="ar-SA"/>
              </w:rPr>
            </w:pPr>
            <w:r>
              <w:rPr>
                <w:rFonts w:hint="eastAsia" w:ascii="楷体" w:hAnsi="楷体" w:eastAsia="楷体" w:cs="楷体"/>
                <w:b/>
                <w:sz w:val="24"/>
              </w:rPr>
              <w:t>价值时点</w:t>
            </w:r>
          </w:p>
        </w:tc>
        <w:tc>
          <w:tcPr>
            <w:tcW w:w="2542" w:type="dxa"/>
            <w:gridSpan w:val="4"/>
            <w:vAlign w:val="center"/>
          </w:tcPr>
          <w:p>
            <w:pPr>
              <w:snapToGrid w:val="0"/>
              <w:spacing w:before="50" w:line="240" w:lineRule="auto"/>
              <w:ind w:firstLine="240" w:firstLineChars="100"/>
              <w:jc w:val="center"/>
              <w:rPr>
                <w:rFonts w:hint="eastAsia" w:ascii="楷体" w:hAnsi="楷体" w:eastAsia="楷体" w:cs="楷体"/>
                <w:color w:val="auto"/>
                <w:sz w:val="24"/>
                <w:lang w:val="en-US" w:eastAsia="zh-CN"/>
              </w:rPr>
            </w:pPr>
            <w:r>
              <w:rPr>
                <w:rFonts w:hint="eastAsia" w:ascii="楷体" w:hAnsi="楷体" w:eastAsia="楷体" w:cs="楷体"/>
                <w:color w:val="auto"/>
                <w:sz w:val="24"/>
                <w:lang w:val="en-US" w:eastAsia="zh-CN"/>
              </w:rPr>
              <w:t>2022年8月9日</w:t>
            </w:r>
          </w:p>
        </w:tc>
        <w:tc>
          <w:tcPr>
            <w:tcW w:w="2120" w:type="dxa"/>
            <w:gridSpan w:val="5"/>
            <w:vAlign w:val="center"/>
          </w:tcPr>
          <w:p>
            <w:pPr>
              <w:snapToGrid w:val="0"/>
              <w:spacing w:before="50" w:line="240" w:lineRule="auto"/>
              <w:ind w:firstLine="241" w:firstLineChars="100"/>
              <w:jc w:val="center"/>
              <w:rPr>
                <w:rFonts w:hint="eastAsia" w:ascii="楷体" w:hAnsi="楷体" w:eastAsia="楷体" w:cs="楷体"/>
                <w:b/>
                <w:color w:val="auto"/>
                <w:kern w:val="2"/>
                <w:sz w:val="24"/>
                <w:szCs w:val="24"/>
                <w:lang w:val="en-US" w:eastAsia="zh-CN" w:bidi="ar-SA"/>
              </w:rPr>
            </w:pPr>
            <w:r>
              <w:rPr>
                <w:rFonts w:hint="eastAsia" w:ascii="楷体" w:hAnsi="楷体" w:eastAsia="楷体" w:cs="楷体"/>
                <w:b/>
                <w:color w:val="auto"/>
                <w:sz w:val="24"/>
                <w:lang w:val="en-US" w:eastAsia="zh-CN"/>
              </w:rPr>
              <w:t>规划用途</w:t>
            </w:r>
          </w:p>
        </w:tc>
        <w:tc>
          <w:tcPr>
            <w:tcW w:w="2269" w:type="dxa"/>
            <w:gridSpan w:val="3"/>
            <w:vAlign w:val="center"/>
          </w:tcPr>
          <w:p>
            <w:pPr>
              <w:snapToGrid w:val="0"/>
              <w:spacing w:before="50" w:line="240" w:lineRule="auto"/>
              <w:ind w:firstLine="240" w:firstLineChars="100"/>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jc w:val="center"/>
        </w:trPr>
        <w:tc>
          <w:tcPr>
            <w:tcW w:w="1955" w:type="dxa"/>
            <w:gridSpan w:val="2"/>
            <w:vAlign w:val="center"/>
          </w:tcPr>
          <w:p>
            <w:pPr>
              <w:snapToGrid w:val="0"/>
              <w:spacing w:before="50" w:line="240" w:lineRule="auto"/>
              <w:jc w:val="center"/>
              <w:rPr>
                <w:rFonts w:hint="eastAsia" w:ascii="楷体" w:hAnsi="楷体" w:eastAsia="楷体" w:cs="楷体"/>
                <w:b/>
                <w:sz w:val="24"/>
              </w:rPr>
            </w:pPr>
            <w:r>
              <w:rPr>
                <w:rFonts w:hint="eastAsia" w:ascii="楷体" w:hAnsi="楷体" w:eastAsia="楷体" w:cs="楷体"/>
                <w:b/>
                <w:sz w:val="24"/>
              </w:rPr>
              <w:t>价值类型</w:t>
            </w:r>
          </w:p>
        </w:tc>
        <w:tc>
          <w:tcPr>
            <w:tcW w:w="6931" w:type="dxa"/>
            <w:gridSpan w:val="12"/>
            <w:vAlign w:val="center"/>
          </w:tcPr>
          <w:p>
            <w:pPr>
              <w:snapToGrid w:val="0"/>
              <w:spacing w:before="50" w:line="240" w:lineRule="auto"/>
              <w:jc w:val="both"/>
              <w:rPr>
                <w:rFonts w:hint="eastAsia" w:ascii="楷体" w:hAnsi="楷体" w:eastAsia="楷体" w:cs="楷体"/>
                <w:sz w:val="24"/>
              </w:rPr>
            </w:pPr>
            <w:r>
              <w:rPr>
                <w:rFonts w:hint="eastAsia" w:ascii="楷体" w:hAnsi="楷体" w:eastAsia="楷体" w:cs="楷体"/>
                <w:sz w:val="24"/>
              </w:rPr>
              <w:t>本次估价价格为估价对象房地产在价值时点完整权利状态及满足各项假设限制条件下的房地产市场价</w:t>
            </w:r>
            <w:r>
              <w:rPr>
                <w:rFonts w:hint="eastAsia" w:ascii="楷体" w:hAnsi="楷体" w:eastAsia="楷体" w:cs="楷体"/>
                <w:sz w:val="24"/>
                <w:lang w:val="en-US" w:eastAsia="zh-CN"/>
              </w:rPr>
              <w:t>格</w:t>
            </w:r>
            <w:r>
              <w:rPr>
                <w:rFonts w:hint="eastAsia" w:ascii="楷体" w:hAnsi="楷体" w:eastAsia="楷体" w:cs="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955" w:type="dxa"/>
            <w:gridSpan w:val="2"/>
            <w:vAlign w:val="center"/>
          </w:tcPr>
          <w:p>
            <w:pPr>
              <w:snapToGrid w:val="0"/>
              <w:spacing w:before="50" w:line="240" w:lineRule="auto"/>
              <w:jc w:val="center"/>
              <w:rPr>
                <w:rFonts w:hint="eastAsia" w:ascii="楷体" w:hAnsi="楷体" w:eastAsia="楷体" w:cs="楷体"/>
                <w:b/>
                <w:sz w:val="24"/>
              </w:rPr>
            </w:pPr>
            <w:r>
              <w:rPr>
                <w:rFonts w:hint="eastAsia" w:ascii="楷体" w:hAnsi="楷体" w:eastAsia="楷体" w:cs="楷体"/>
                <w:b/>
                <w:sz w:val="24"/>
              </w:rPr>
              <w:t>估价方法</w:t>
            </w:r>
          </w:p>
        </w:tc>
        <w:tc>
          <w:tcPr>
            <w:tcW w:w="6931" w:type="dxa"/>
            <w:gridSpan w:val="12"/>
            <w:vAlign w:val="center"/>
          </w:tcPr>
          <w:p>
            <w:pPr>
              <w:snapToGrid w:val="0"/>
              <w:spacing w:before="50" w:line="240" w:lineRule="auto"/>
              <w:ind w:firstLine="2640" w:firstLineChars="1100"/>
              <w:jc w:val="both"/>
              <w:rPr>
                <w:rFonts w:hint="eastAsia" w:ascii="楷体" w:hAnsi="楷体" w:eastAsia="楷体" w:cs="楷体"/>
                <w:sz w:val="24"/>
                <w:lang w:val="en-US" w:eastAsia="zh-CN"/>
              </w:rPr>
            </w:pPr>
            <w:r>
              <w:rPr>
                <w:rFonts w:hint="eastAsia" w:ascii="楷体" w:hAnsi="楷体" w:eastAsia="楷体" w:cs="楷体"/>
                <w:sz w:val="24"/>
              </w:rPr>
              <w:t>市场法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886" w:type="dxa"/>
            <w:gridSpan w:val="14"/>
            <w:vAlign w:val="center"/>
          </w:tcPr>
          <w:p>
            <w:pPr>
              <w:snapToGrid w:val="0"/>
              <w:spacing w:before="50" w:line="240" w:lineRule="auto"/>
              <w:jc w:val="center"/>
              <w:rPr>
                <w:rFonts w:ascii="宋体" w:hAnsi="宋体" w:cs="宋体"/>
                <w:sz w:val="24"/>
              </w:rPr>
            </w:pPr>
            <w:r>
              <w:rPr>
                <w:rFonts w:hint="eastAsia" w:ascii="楷体" w:hAnsi="楷体" w:eastAsia="楷体" w:cs="楷体"/>
                <w:b/>
                <w:sz w:val="24"/>
              </w:rPr>
              <w:t>评估结果明细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6" w:hRule="atLeast"/>
          <w:jc w:val="center"/>
        </w:trPr>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楷体" w:hAnsi="楷体" w:eastAsia="楷体" w:cs="楷体"/>
                <w:kern w:val="0"/>
                <w:szCs w:val="21"/>
              </w:rPr>
            </w:pPr>
            <w:r>
              <w:rPr>
                <w:rFonts w:hint="eastAsia" w:ascii="楷体" w:hAnsi="楷体" w:eastAsia="楷体" w:cs="楷体"/>
                <w:kern w:val="0"/>
                <w:szCs w:val="21"/>
              </w:rPr>
              <w:t>权利人</w:t>
            </w:r>
          </w:p>
        </w:tc>
        <w:tc>
          <w:tcPr>
            <w:tcW w:w="2250" w:type="dxa"/>
            <w:gridSpan w:val="3"/>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楷体" w:hAnsi="楷体" w:eastAsia="楷体" w:cs="楷体"/>
                <w:kern w:val="0"/>
                <w:szCs w:val="21"/>
              </w:rPr>
            </w:pPr>
            <w:r>
              <w:rPr>
                <w:rFonts w:hint="eastAsia" w:ascii="楷体" w:hAnsi="楷体" w:eastAsia="楷体" w:cs="楷体"/>
                <w:kern w:val="0"/>
                <w:szCs w:val="21"/>
              </w:rPr>
              <w:t>房屋</w:t>
            </w:r>
          </w:p>
          <w:p>
            <w:pPr>
              <w:widowControl/>
              <w:spacing w:line="300" w:lineRule="atLeast"/>
              <w:jc w:val="center"/>
              <w:rPr>
                <w:rFonts w:hint="eastAsia" w:ascii="楷体" w:hAnsi="楷体" w:eastAsia="楷体" w:cs="楷体"/>
                <w:kern w:val="0"/>
                <w:szCs w:val="21"/>
              </w:rPr>
            </w:pPr>
            <w:r>
              <w:rPr>
                <w:rFonts w:hint="eastAsia" w:ascii="楷体" w:hAnsi="楷体" w:eastAsia="楷体" w:cs="楷体"/>
                <w:kern w:val="0"/>
                <w:szCs w:val="21"/>
              </w:rPr>
              <w:t>坐落</w:t>
            </w:r>
          </w:p>
        </w:tc>
        <w:tc>
          <w:tcPr>
            <w:tcW w:w="1023"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楷体" w:hAnsi="楷体" w:eastAsia="楷体" w:cs="楷体"/>
                <w:kern w:val="0"/>
                <w:szCs w:val="21"/>
                <w:lang w:eastAsia="zh-CN"/>
              </w:rPr>
            </w:pPr>
            <w:r>
              <w:rPr>
                <w:rFonts w:hint="eastAsia" w:ascii="楷体" w:hAnsi="楷体" w:eastAsia="楷体" w:cs="楷体"/>
                <w:kern w:val="0"/>
                <w:szCs w:val="21"/>
                <w:lang w:val="en-US" w:eastAsia="zh-CN"/>
              </w:rPr>
              <w:t>总层数/所在</w:t>
            </w:r>
            <w:r>
              <w:rPr>
                <w:rFonts w:hint="eastAsia" w:ascii="楷体" w:hAnsi="楷体" w:eastAsia="楷体" w:cs="楷体"/>
                <w:kern w:val="0"/>
                <w:szCs w:val="21"/>
              </w:rPr>
              <w:t>层</w:t>
            </w:r>
          </w:p>
        </w:tc>
        <w:tc>
          <w:tcPr>
            <w:tcW w:w="847" w:type="dxa"/>
            <w:gridSpan w:val="3"/>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楷体" w:hAnsi="楷体" w:eastAsia="楷体" w:cs="楷体"/>
                <w:kern w:val="0"/>
                <w:szCs w:val="21"/>
                <w:lang w:eastAsia="zh-CN"/>
              </w:rPr>
            </w:pPr>
            <w:r>
              <w:rPr>
                <w:rFonts w:hint="eastAsia" w:ascii="楷体" w:hAnsi="楷体" w:eastAsia="楷体" w:cs="楷体"/>
                <w:kern w:val="0"/>
                <w:szCs w:val="21"/>
                <w:lang w:eastAsia="zh-CN"/>
              </w:rPr>
              <w:t>实际</w:t>
            </w:r>
          </w:p>
          <w:p>
            <w:pPr>
              <w:widowControl/>
              <w:spacing w:line="300" w:lineRule="atLeast"/>
              <w:jc w:val="center"/>
              <w:rPr>
                <w:rFonts w:hint="eastAsia" w:ascii="楷体" w:hAnsi="楷体" w:eastAsia="楷体" w:cs="楷体"/>
                <w:kern w:val="0"/>
                <w:szCs w:val="21"/>
              </w:rPr>
            </w:pPr>
            <w:r>
              <w:rPr>
                <w:rFonts w:hint="eastAsia" w:ascii="楷体" w:hAnsi="楷体" w:eastAsia="楷体" w:cs="楷体"/>
                <w:kern w:val="0"/>
                <w:szCs w:val="21"/>
              </w:rPr>
              <w:t>用途</w:t>
            </w:r>
          </w:p>
        </w:tc>
        <w:tc>
          <w:tcPr>
            <w:tcW w:w="11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楷体" w:hAnsi="楷体" w:eastAsia="楷体" w:cs="楷体"/>
                <w:kern w:val="0"/>
                <w:szCs w:val="21"/>
              </w:rPr>
            </w:pPr>
            <w:r>
              <w:rPr>
                <w:rFonts w:hint="eastAsia" w:ascii="楷体" w:hAnsi="楷体" w:eastAsia="楷体" w:cs="楷体"/>
                <w:kern w:val="0"/>
                <w:szCs w:val="21"/>
              </w:rPr>
              <w:t>建筑面积（㎡）</w:t>
            </w:r>
          </w:p>
        </w:tc>
        <w:tc>
          <w:tcPr>
            <w:tcW w:w="1254" w:type="dxa"/>
            <w:gridSpan w:val="3"/>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楷体" w:hAnsi="楷体" w:eastAsia="楷体" w:cs="楷体"/>
                <w:kern w:val="0"/>
                <w:szCs w:val="21"/>
              </w:rPr>
            </w:pPr>
            <w:r>
              <w:rPr>
                <w:rFonts w:hint="eastAsia" w:ascii="楷体" w:hAnsi="楷体" w:eastAsia="楷体" w:cs="楷体"/>
                <w:kern w:val="0"/>
                <w:szCs w:val="21"/>
              </w:rPr>
              <w:t>评估单价</w:t>
            </w:r>
          </w:p>
          <w:p>
            <w:pPr>
              <w:widowControl/>
              <w:spacing w:line="300" w:lineRule="atLeast"/>
              <w:jc w:val="center"/>
              <w:rPr>
                <w:rFonts w:hint="eastAsia" w:ascii="楷体" w:hAnsi="楷体" w:eastAsia="楷体" w:cs="楷体"/>
                <w:kern w:val="0"/>
                <w:szCs w:val="21"/>
              </w:rPr>
            </w:pPr>
            <w:r>
              <w:rPr>
                <w:rFonts w:hint="eastAsia" w:ascii="楷体" w:hAnsi="楷体" w:eastAsia="楷体" w:cs="楷体"/>
                <w:kern w:val="0"/>
                <w:szCs w:val="21"/>
              </w:rPr>
              <w:t>（元/㎡）</w:t>
            </w:r>
          </w:p>
        </w:tc>
        <w:tc>
          <w:tcPr>
            <w:tcW w:w="1274"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楷体" w:hAnsi="楷体" w:eastAsia="楷体" w:cs="楷体"/>
                <w:kern w:val="0"/>
                <w:szCs w:val="21"/>
              </w:rPr>
            </w:pPr>
            <w:r>
              <w:rPr>
                <w:rFonts w:hint="eastAsia" w:ascii="楷体" w:hAnsi="楷体" w:eastAsia="楷体" w:cs="楷体"/>
                <w:kern w:val="0"/>
                <w:szCs w:val="21"/>
              </w:rPr>
              <w:t>评估总价</w:t>
            </w:r>
          </w:p>
          <w:p>
            <w:pPr>
              <w:widowControl/>
              <w:spacing w:line="300" w:lineRule="atLeast"/>
              <w:jc w:val="center"/>
              <w:rPr>
                <w:rFonts w:hint="eastAsia" w:ascii="楷体" w:hAnsi="楷体" w:eastAsia="楷体" w:cs="楷体"/>
                <w:kern w:val="0"/>
                <w:szCs w:val="21"/>
              </w:rPr>
            </w:pPr>
            <w:r>
              <w:rPr>
                <w:rFonts w:hint="eastAsia" w:ascii="楷体" w:hAnsi="楷体" w:eastAsia="楷体" w:cs="楷体"/>
                <w:kern w:val="0"/>
                <w:szCs w:val="21"/>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8" w:hRule="atLeast"/>
          <w:jc w:val="center"/>
        </w:trPr>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default" w:ascii="楷体" w:hAnsi="楷体" w:eastAsia="楷体" w:cs="楷体"/>
                <w:kern w:val="0"/>
                <w:szCs w:val="21"/>
                <w:lang w:val="en-US" w:eastAsia="zh-CN"/>
              </w:rPr>
            </w:pPr>
            <w:r>
              <w:rPr>
                <w:rFonts w:hint="eastAsia" w:ascii="楷体" w:hAnsi="楷体" w:eastAsia="楷体" w:cs="楷体"/>
                <w:kern w:val="0"/>
                <w:szCs w:val="21"/>
                <w:lang w:val="en-US" w:eastAsia="zh-CN"/>
              </w:rPr>
              <w:t>夏竹轩</w:t>
            </w:r>
          </w:p>
        </w:tc>
        <w:tc>
          <w:tcPr>
            <w:tcW w:w="2250" w:type="dxa"/>
            <w:gridSpan w:val="3"/>
            <w:tcBorders>
              <w:top w:val="nil"/>
              <w:left w:val="single" w:color="auto" w:sz="4" w:space="0"/>
              <w:bottom w:val="single" w:color="auto" w:sz="4" w:space="0"/>
              <w:right w:val="single" w:color="auto" w:sz="4" w:space="0"/>
            </w:tcBorders>
            <w:noWrap w:val="0"/>
            <w:vAlign w:val="center"/>
          </w:tcPr>
          <w:p>
            <w:pPr>
              <w:widowControl/>
              <w:spacing w:line="300" w:lineRule="atLeast"/>
              <w:jc w:val="center"/>
              <w:rPr>
                <w:rFonts w:hint="default" w:ascii="楷体" w:hAnsi="楷体" w:eastAsia="楷体" w:cs="楷体"/>
                <w:kern w:val="0"/>
                <w:szCs w:val="21"/>
                <w:lang w:val="en-US" w:eastAsia="zh-CN"/>
              </w:rPr>
            </w:pPr>
            <w:r>
              <w:rPr>
                <w:rFonts w:hint="eastAsia" w:ascii="楷体" w:hAnsi="楷体" w:eastAsia="楷体" w:cs="楷体"/>
                <w:kern w:val="0"/>
                <w:szCs w:val="21"/>
                <w:lang w:val="en-US" w:eastAsia="zh-CN"/>
              </w:rPr>
              <w:t>武汉市东湖新技术开发区大学园路1号武汉万科城市花园特一区A2单元2层01室</w:t>
            </w:r>
          </w:p>
        </w:tc>
        <w:tc>
          <w:tcPr>
            <w:tcW w:w="1023" w:type="dxa"/>
            <w:tcBorders>
              <w:top w:val="nil"/>
              <w:left w:val="nil"/>
              <w:bottom w:val="single" w:color="auto" w:sz="4" w:space="0"/>
              <w:right w:val="single" w:color="auto" w:sz="4" w:space="0"/>
            </w:tcBorders>
            <w:noWrap w:val="0"/>
            <w:vAlign w:val="center"/>
          </w:tcPr>
          <w:p>
            <w:pPr>
              <w:widowControl/>
              <w:spacing w:line="300" w:lineRule="atLeast"/>
              <w:jc w:val="center"/>
              <w:rPr>
                <w:rFonts w:hint="default" w:ascii="楷体" w:hAnsi="楷体" w:eastAsia="楷体" w:cs="楷体"/>
                <w:kern w:val="0"/>
                <w:szCs w:val="21"/>
                <w:lang w:val="en-US" w:eastAsia="zh-CN"/>
              </w:rPr>
            </w:pPr>
            <w:r>
              <w:rPr>
                <w:rFonts w:hint="eastAsia" w:ascii="楷体" w:hAnsi="楷体" w:eastAsia="楷体" w:cs="楷体"/>
                <w:kern w:val="0"/>
                <w:szCs w:val="21"/>
                <w:lang w:val="en-US" w:eastAsia="zh-CN"/>
              </w:rPr>
              <w:t>9/2</w:t>
            </w:r>
          </w:p>
        </w:tc>
        <w:tc>
          <w:tcPr>
            <w:tcW w:w="847" w:type="dxa"/>
            <w:gridSpan w:val="3"/>
            <w:tcBorders>
              <w:top w:val="nil"/>
              <w:left w:val="nil"/>
              <w:bottom w:val="single" w:color="auto" w:sz="4" w:space="0"/>
              <w:right w:val="single" w:color="auto" w:sz="4" w:space="0"/>
            </w:tcBorders>
            <w:noWrap w:val="0"/>
            <w:vAlign w:val="center"/>
          </w:tcPr>
          <w:p>
            <w:pPr>
              <w:widowControl/>
              <w:spacing w:line="300" w:lineRule="atLeast"/>
              <w:jc w:val="center"/>
              <w:rPr>
                <w:rFonts w:hint="default" w:ascii="楷体" w:hAnsi="楷体" w:eastAsia="楷体" w:cs="楷体"/>
                <w:kern w:val="0"/>
                <w:szCs w:val="21"/>
                <w:lang w:val="en-US" w:eastAsia="zh-CN"/>
              </w:rPr>
            </w:pPr>
            <w:r>
              <w:rPr>
                <w:rFonts w:hint="eastAsia" w:ascii="楷体" w:hAnsi="楷体" w:eastAsia="楷体" w:cs="楷体"/>
                <w:kern w:val="0"/>
                <w:szCs w:val="21"/>
                <w:lang w:val="en-US" w:eastAsia="zh-CN"/>
              </w:rPr>
              <w:t>住宅</w:t>
            </w:r>
          </w:p>
        </w:tc>
        <w:tc>
          <w:tcPr>
            <w:tcW w:w="114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hint="default" w:ascii="楷体" w:hAnsi="楷体" w:eastAsia="楷体" w:cs="楷体"/>
                <w:kern w:val="0"/>
                <w:szCs w:val="21"/>
                <w:lang w:val="en-US" w:eastAsia="zh-CN"/>
              </w:rPr>
            </w:pPr>
            <w:r>
              <w:rPr>
                <w:rFonts w:hint="eastAsia" w:ascii="楷体" w:hAnsi="楷体" w:eastAsia="楷体" w:cs="楷体"/>
                <w:kern w:val="0"/>
                <w:szCs w:val="21"/>
                <w:lang w:val="en-US" w:eastAsia="zh-CN"/>
              </w:rPr>
              <w:t>108.15</w:t>
            </w:r>
          </w:p>
        </w:tc>
        <w:tc>
          <w:tcPr>
            <w:tcW w:w="1254" w:type="dxa"/>
            <w:gridSpan w:val="3"/>
            <w:tcBorders>
              <w:top w:val="nil"/>
              <w:left w:val="nil"/>
              <w:bottom w:val="single" w:color="auto" w:sz="4" w:space="0"/>
              <w:right w:val="single" w:color="auto" w:sz="4" w:space="0"/>
            </w:tcBorders>
            <w:noWrap w:val="0"/>
            <w:vAlign w:val="center"/>
          </w:tcPr>
          <w:p>
            <w:pPr>
              <w:spacing w:line="300" w:lineRule="atLeast"/>
              <w:jc w:val="center"/>
              <w:rPr>
                <w:rFonts w:hint="default" w:ascii="楷体" w:hAnsi="楷体" w:eastAsia="楷体" w:cs="楷体"/>
                <w:color w:val="auto"/>
                <w:kern w:val="0"/>
                <w:szCs w:val="21"/>
                <w:lang w:val="en-US" w:eastAsia="zh-CN"/>
              </w:rPr>
            </w:pPr>
            <w:r>
              <w:rPr>
                <w:rFonts w:hint="eastAsia" w:ascii="楷体" w:hAnsi="楷体" w:eastAsia="楷体" w:cs="楷体"/>
                <w:color w:val="auto"/>
                <w:kern w:val="0"/>
                <w:szCs w:val="21"/>
                <w:lang w:val="en-US" w:eastAsia="zh-CN"/>
              </w:rPr>
              <w:t>28304.56</w:t>
            </w:r>
          </w:p>
        </w:tc>
        <w:tc>
          <w:tcPr>
            <w:tcW w:w="1274" w:type="dxa"/>
            <w:tcBorders>
              <w:top w:val="nil"/>
              <w:left w:val="nil"/>
              <w:bottom w:val="single" w:color="auto" w:sz="4" w:space="0"/>
              <w:right w:val="single" w:color="auto" w:sz="4" w:space="0"/>
            </w:tcBorders>
            <w:noWrap/>
            <w:vAlign w:val="center"/>
          </w:tcPr>
          <w:p>
            <w:pPr>
              <w:spacing w:line="300" w:lineRule="atLeast"/>
              <w:jc w:val="center"/>
              <w:rPr>
                <w:rFonts w:hint="default" w:ascii="楷体" w:hAnsi="楷体" w:eastAsia="楷体" w:cs="楷体"/>
                <w:color w:val="auto"/>
                <w:kern w:val="0"/>
                <w:szCs w:val="21"/>
                <w:lang w:val="en-US" w:eastAsia="zh-CN"/>
              </w:rPr>
            </w:pPr>
            <w:r>
              <w:rPr>
                <w:rFonts w:hint="eastAsia" w:ascii="楷体" w:hAnsi="楷体" w:eastAsia="楷体" w:cs="楷体"/>
                <w:color w:val="auto"/>
                <w:kern w:val="0"/>
                <w:szCs w:val="21"/>
                <w:lang w:val="en-US" w:eastAsia="zh-CN"/>
              </w:rPr>
              <w:t>306.1138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57" w:hRule="atLeast"/>
          <w:jc w:val="center"/>
        </w:trPr>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楷体" w:hAnsi="楷体" w:eastAsia="楷体" w:cs="楷体"/>
                <w:kern w:val="0"/>
                <w:szCs w:val="21"/>
                <w:lang w:val="en-US" w:eastAsia="zh-CN"/>
              </w:rPr>
            </w:pPr>
            <w:r>
              <w:rPr>
                <w:rFonts w:hint="eastAsia" w:ascii="楷体" w:hAnsi="楷体" w:eastAsia="楷体" w:cs="楷体"/>
                <w:kern w:val="0"/>
                <w:szCs w:val="21"/>
                <w:lang w:val="en-US" w:eastAsia="zh-CN"/>
              </w:rPr>
              <w:t>小计</w:t>
            </w:r>
          </w:p>
        </w:tc>
        <w:tc>
          <w:tcPr>
            <w:tcW w:w="22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楷体" w:hAnsi="楷体" w:eastAsia="楷体" w:cs="楷体"/>
                <w:kern w:val="0"/>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楷体" w:hAnsi="楷体" w:eastAsia="楷体" w:cs="楷体"/>
                <w:kern w:val="0"/>
                <w:szCs w:val="21"/>
              </w:rPr>
            </w:pPr>
          </w:p>
        </w:tc>
        <w:tc>
          <w:tcPr>
            <w:tcW w:w="84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default" w:ascii="楷体" w:hAnsi="楷体" w:eastAsia="楷体" w:cs="楷体"/>
                <w:kern w:val="0"/>
                <w:szCs w:val="21"/>
                <w:lang w:val="en-US" w:eastAsia="zh-CN"/>
              </w:rPr>
            </w:pPr>
          </w:p>
        </w:tc>
        <w:tc>
          <w:tcPr>
            <w:tcW w:w="11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default" w:ascii="楷体" w:hAnsi="楷体" w:eastAsia="楷体" w:cs="楷体"/>
                <w:kern w:val="0"/>
                <w:szCs w:val="21"/>
                <w:lang w:val="en-US" w:eastAsia="zh-CN"/>
              </w:rPr>
            </w:pPr>
            <w:r>
              <w:rPr>
                <w:rFonts w:hint="eastAsia" w:ascii="楷体" w:hAnsi="楷体" w:eastAsia="楷体" w:cs="楷体"/>
                <w:kern w:val="0"/>
                <w:szCs w:val="21"/>
                <w:lang w:val="en-US" w:eastAsia="zh-CN"/>
              </w:rPr>
              <w:t>108.15</w:t>
            </w:r>
          </w:p>
        </w:tc>
        <w:tc>
          <w:tcPr>
            <w:tcW w:w="125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楷体" w:hAnsi="楷体" w:eastAsia="楷体" w:cs="楷体"/>
                <w:color w:val="auto"/>
                <w:kern w:val="0"/>
                <w:szCs w:val="21"/>
              </w:rPr>
            </w:pPr>
          </w:p>
        </w:tc>
        <w:tc>
          <w:tcPr>
            <w:tcW w:w="127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楷体" w:hAnsi="楷体" w:eastAsia="楷体" w:cs="楷体"/>
                <w:color w:val="auto"/>
                <w:szCs w:val="21"/>
                <w:lang w:val="en-US" w:eastAsia="zh-CN"/>
              </w:rPr>
            </w:pPr>
            <w:r>
              <w:rPr>
                <w:rFonts w:hint="eastAsia" w:ascii="楷体" w:hAnsi="楷体" w:eastAsia="楷体" w:cs="楷体"/>
                <w:color w:val="auto"/>
                <w:szCs w:val="21"/>
                <w:lang w:val="en-US" w:eastAsia="zh-CN"/>
              </w:rPr>
              <w:t>306.1138</w:t>
            </w:r>
          </w:p>
        </w:tc>
      </w:tr>
    </w:tbl>
    <w:p>
      <w:pPr>
        <w:spacing w:line="360" w:lineRule="auto"/>
        <w:ind w:firstLine="560" w:firstLineChars="200"/>
        <w:jc w:val="both"/>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估价的有关情况和相关专业意见，请见附后的估价报告。本估价报告使用期限为一年（2022年8月19日至2023年8月18日）。另</w:t>
      </w:r>
    </w:p>
    <w:p>
      <w:pPr>
        <w:spacing w:line="360" w:lineRule="auto"/>
        <w:jc w:val="both"/>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 xml:space="preserve">请关注本估价报告中的价值内涵和估价假设与限制。               </w:t>
      </w:r>
    </w:p>
    <w:p>
      <w:pPr>
        <w:spacing w:line="360" w:lineRule="auto"/>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 xml:space="preserve">              </w:t>
      </w:r>
    </w:p>
    <w:p>
      <w:pPr>
        <w:spacing w:line="360" w:lineRule="auto"/>
        <w:ind w:firstLine="3360" w:firstLineChars="1200"/>
        <w:jc w:val="both"/>
        <w:rPr>
          <w:rFonts w:hint="eastAsia" w:ascii="楷体" w:hAnsi="楷体" w:eastAsia="楷体" w:cs="楷体"/>
          <w:sz w:val="28"/>
          <w:szCs w:val="28"/>
        </w:rPr>
      </w:pPr>
      <w:r>
        <w:rPr>
          <w:rFonts w:hint="eastAsia" w:ascii="楷体" w:hAnsi="楷体" w:eastAsia="楷体" w:cs="楷体"/>
          <w:sz w:val="28"/>
          <w:szCs w:val="28"/>
        </w:rPr>
        <w:t>湖北方联房地产评估咨询有限责任公司</w:t>
      </w:r>
    </w:p>
    <w:p>
      <w:pPr>
        <w:spacing w:line="360" w:lineRule="auto"/>
        <w:jc w:val="center"/>
        <w:rPr>
          <w:rFonts w:hint="eastAsia"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法定代表人（签章）：</w:t>
      </w:r>
    </w:p>
    <w:p>
      <w:pPr>
        <w:spacing w:line="360" w:lineRule="auto"/>
        <w:ind w:firstLine="4480" w:firstLineChars="1600"/>
        <w:rPr>
          <w:rFonts w:hint="eastAsia" w:ascii="楷体" w:hAnsi="楷体" w:eastAsia="楷体" w:cs="楷体"/>
          <w:b w:val="0"/>
          <w:bCs w:val="0"/>
          <w:color w:val="auto"/>
          <w:sz w:val="28"/>
          <w:szCs w:val="28"/>
          <w:lang w:val="en-US"/>
        </w:rPr>
        <w:sectPr>
          <w:headerReference r:id="rId4" w:type="default"/>
          <w:footerReference r:id="rId5" w:type="default"/>
          <w:pgSz w:w="11907" w:h="16834"/>
          <w:pgMar w:top="1440" w:right="1797" w:bottom="1440" w:left="1797" w:header="851" w:footer="992" w:gutter="0"/>
          <w:pgNumType w:fmt="decimal" w:start="1" w:chapStyle="1" w:chapSep="hyphen"/>
          <w:cols w:space="425" w:num="1"/>
          <w:docGrid w:type="lines" w:linePitch="312" w:charSpace="0"/>
        </w:sectPr>
      </w:pPr>
      <w:r>
        <w:rPr>
          <w:rFonts w:hint="eastAsia" w:ascii="楷体" w:hAnsi="楷体" w:eastAsia="楷体" w:cs="楷体"/>
          <w:b w:val="0"/>
          <w:bCs w:val="0"/>
          <w:color w:val="auto"/>
          <w:sz w:val="28"/>
          <w:szCs w:val="28"/>
          <w:lang w:eastAsia="zh-CN"/>
        </w:rPr>
        <w:t>202</w:t>
      </w:r>
      <w:r>
        <w:rPr>
          <w:rFonts w:hint="eastAsia" w:ascii="楷体" w:hAnsi="楷体" w:eastAsia="楷体" w:cs="楷体"/>
          <w:b w:val="0"/>
          <w:bCs w:val="0"/>
          <w:color w:val="auto"/>
          <w:sz w:val="28"/>
          <w:szCs w:val="28"/>
          <w:lang w:val="en-US" w:eastAsia="zh-CN"/>
        </w:rPr>
        <w:t>2</w:t>
      </w:r>
      <w:r>
        <w:rPr>
          <w:rFonts w:hint="eastAsia" w:ascii="楷体" w:hAnsi="楷体" w:eastAsia="楷体" w:cs="楷体"/>
          <w:b w:val="0"/>
          <w:bCs w:val="0"/>
          <w:color w:val="auto"/>
          <w:sz w:val="28"/>
          <w:szCs w:val="28"/>
          <w:lang w:eastAsia="zh-CN"/>
        </w:rPr>
        <w:t>年</w:t>
      </w:r>
      <w:r>
        <w:rPr>
          <w:rFonts w:hint="eastAsia" w:ascii="楷体" w:hAnsi="楷体" w:eastAsia="楷体" w:cs="楷体"/>
          <w:b w:val="0"/>
          <w:bCs w:val="0"/>
          <w:color w:val="auto"/>
          <w:sz w:val="28"/>
          <w:szCs w:val="28"/>
          <w:lang w:val="en-US" w:eastAsia="zh-CN"/>
        </w:rPr>
        <w:t>8</w:t>
      </w:r>
      <w:r>
        <w:rPr>
          <w:rFonts w:hint="eastAsia" w:ascii="楷体" w:hAnsi="楷体" w:eastAsia="楷体" w:cs="楷体"/>
          <w:b w:val="0"/>
          <w:bCs w:val="0"/>
          <w:color w:val="auto"/>
          <w:sz w:val="28"/>
          <w:szCs w:val="28"/>
          <w:lang w:eastAsia="zh-CN"/>
        </w:rPr>
        <w:t>月</w:t>
      </w:r>
      <w:r>
        <w:rPr>
          <w:rFonts w:hint="eastAsia" w:ascii="楷体" w:hAnsi="楷体" w:eastAsia="楷体" w:cs="楷体"/>
          <w:b w:val="0"/>
          <w:bCs w:val="0"/>
          <w:color w:val="auto"/>
          <w:sz w:val="28"/>
          <w:szCs w:val="28"/>
          <w:lang w:val="en-US" w:eastAsia="zh-CN"/>
        </w:rPr>
        <w:t>19</w:t>
      </w:r>
      <w:r>
        <w:rPr>
          <w:rFonts w:hint="eastAsia" w:ascii="楷体" w:hAnsi="楷体" w:eastAsia="楷体" w:cs="楷体"/>
          <w:b w:val="0"/>
          <w:bCs w:val="0"/>
          <w:color w:val="auto"/>
          <w:sz w:val="28"/>
          <w:szCs w:val="28"/>
          <w:lang w:eastAsia="zh-CN"/>
        </w:rPr>
        <w:t>日</w:t>
      </w:r>
    </w:p>
    <w:p>
      <w:pPr>
        <w:pStyle w:val="12"/>
        <w:tabs>
          <w:tab w:val="right" w:leader="dot" w:pos="8313"/>
          <w:tab w:val="clear" w:pos="8303"/>
        </w:tabs>
        <w:spacing w:line="360" w:lineRule="auto"/>
        <w:jc w:val="center"/>
        <w:rPr>
          <w:rFonts w:hint="eastAsia" w:ascii="楷体" w:hAnsi="楷体" w:eastAsia="楷体" w:cs="楷体"/>
          <w:b/>
          <w:bCs/>
          <w:sz w:val="32"/>
          <w:szCs w:val="32"/>
          <w:u w:val="none"/>
          <w:lang w:val="en-US" w:eastAsia="zh-CN"/>
        </w:rPr>
      </w:pPr>
      <w:r>
        <w:rPr>
          <w:rFonts w:hint="eastAsia" w:ascii="楷体" w:hAnsi="楷体" w:eastAsia="楷体" w:cs="楷体"/>
          <w:b/>
          <w:bCs/>
          <w:sz w:val="32"/>
          <w:szCs w:val="32"/>
          <w:u w:val="none"/>
          <w:lang w:val="en-US" w:eastAsia="zh-CN"/>
        </w:rPr>
        <w:t>目    录</w:t>
      </w:r>
    </w:p>
    <w:p>
      <w:pPr>
        <w:spacing w:line="360" w:lineRule="auto"/>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auto"/>
        <w:rPr>
          <w:rFonts w:hint="eastAsia" w:ascii="楷体" w:hAnsi="楷体" w:eastAsia="楷体" w:cs="楷体"/>
          <w:color w:val="000000"/>
          <w:kern w:val="0"/>
          <w:sz w:val="24"/>
          <w:szCs w:val="24"/>
          <w:lang w:val="en-US" w:eastAsia="zh-CN" w:bidi="ar"/>
        </w:rPr>
      </w:pPr>
      <w:r>
        <w:rPr>
          <w:rFonts w:hint="eastAsia" w:ascii="楷体_GB2312" w:hAnsi="楷体_GB2312" w:eastAsia="楷体_GB2312" w:cs="楷体_GB2312"/>
          <w:sz w:val="32"/>
          <w:szCs w:val="32"/>
          <w:u w:val="double"/>
        </w:rPr>
        <w:fldChar w:fldCharType="begin"/>
      </w:r>
      <w:r>
        <w:rPr>
          <w:rFonts w:hint="eastAsia" w:ascii="楷体_GB2312" w:hAnsi="楷体_GB2312" w:eastAsia="楷体_GB2312" w:cs="楷体_GB2312"/>
          <w:sz w:val="32"/>
          <w:szCs w:val="32"/>
          <w:u w:val="double"/>
        </w:rPr>
        <w:instrText xml:space="preserve">TOC \o "1-2" \h \u </w:instrText>
      </w:r>
      <w:r>
        <w:rPr>
          <w:rFonts w:hint="eastAsia" w:ascii="楷体_GB2312" w:hAnsi="楷体_GB2312" w:eastAsia="楷体_GB2312" w:cs="楷体_GB2312"/>
          <w:sz w:val="32"/>
          <w:szCs w:val="32"/>
          <w:u w:val="double"/>
        </w:rPr>
        <w:fldChar w:fldCharType="separate"/>
      </w:r>
      <w:r>
        <w:rPr>
          <w:rFonts w:hint="eastAsia" w:ascii="楷体" w:hAnsi="楷体" w:eastAsia="楷体" w:cs="楷体"/>
          <w:color w:val="000000"/>
          <w:kern w:val="0"/>
          <w:sz w:val="24"/>
          <w:szCs w:val="24"/>
          <w:lang w:val="en-US" w:eastAsia="zh-CN" w:bidi="ar"/>
        </w:rPr>
        <w:t xml:space="preserve">一、致委托方.........................................................1 </w:t>
      </w:r>
    </w:p>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 xml:space="preserve">二、估价师声.........................................................4 </w:t>
      </w:r>
    </w:p>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 xml:space="preserve">三、估价的假设和限制条件、变现能力分析及风险提........................5 </w:t>
      </w:r>
    </w:p>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 xml:space="preserve">四、估价结果........................................................10 </w:t>
      </w:r>
    </w:p>
    <w:p>
      <w:pPr>
        <w:keepNext w:val="0"/>
        <w:keepLines w:val="0"/>
        <w:pageBreakBefore w:val="0"/>
        <w:widowControl/>
        <w:suppressLineNumbers w:val="0"/>
        <w:kinsoku/>
        <w:wordWrap/>
        <w:overflowPunct/>
        <w:topLinePunct w:val="0"/>
        <w:autoSpaceDE/>
        <w:autoSpaceDN/>
        <w:bidi w:val="0"/>
        <w:adjustRightInd/>
        <w:snapToGrid/>
        <w:spacing w:line="480" w:lineRule="auto"/>
        <w:ind w:left="239" w:leftChars="114" w:firstLine="0" w:firstLineChars="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 xml:space="preserve">（一）委托方......................................................10（二）估价方......................................................10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240" w:firstLineChars="1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 xml:space="preserve">（三）估价对象....................................................10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240" w:firstLineChars="1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 xml:space="preserve">（四）估价目的 ...................................................10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240" w:firstLineChars="1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 xml:space="preserve">（五）价值时点....................................................13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240" w:firstLineChars="1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 xml:space="preserve">（六）价值定义 ...................................................13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240" w:firstLineChars="1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 xml:space="preserve">（七）估价依据 ...................................................14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240" w:firstLineChars="1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 xml:space="preserve">（八）估价原则 ...................................................15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240" w:firstLineChars="1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 xml:space="preserve">（九）估价方法 ...................................................17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240" w:firstLineChars="1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 xml:space="preserve">（十）估价结果 ...................................................18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240" w:firstLineChars="1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 xml:space="preserve">（十一）价作业日期................................................18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240" w:firstLineChars="1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 xml:space="preserve">（十二）估价报告应用的有效期......................................19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240" w:firstLineChars="1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 xml:space="preserve">（十三）估价人员..................................................19 </w:t>
      </w:r>
    </w:p>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auto"/>
        <w:rPr>
          <w:rFonts w:hint="default"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五、附件............................................................20</w:t>
      </w:r>
    </w:p>
    <w:p>
      <w:pPr>
        <w:pStyle w:val="12"/>
        <w:keepNext w:val="0"/>
        <w:keepLines w:val="0"/>
        <w:pageBreakBefore w:val="0"/>
        <w:tabs>
          <w:tab w:val="right" w:leader="dot" w:pos="8313"/>
          <w:tab w:val="clear" w:pos="8303"/>
        </w:tabs>
        <w:kinsoku/>
        <w:wordWrap/>
        <w:overflowPunct/>
        <w:topLinePunct w:val="0"/>
        <w:autoSpaceDE/>
        <w:autoSpaceDN/>
        <w:bidi w:val="0"/>
        <w:adjustRightInd/>
        <w:snapToGrid/>
        <w:spacing w:line="360" w:lineRule="auto"/>
        <w:textAlignment w:val="auto"/>
        <w:rPr>
          <w:rFonts w:hint="eastAsia" w:eastAsia="楷体_GB2312"/>
          <w:lang w:val="en-US" w:eastAsia="zh-CN"/>
        </w:rPr>
      </w:pPr>
    </w:p>
    <w:p>
      <w:pPr>
        <w:pStyle w:val="16"/>
        <w:keepNext w:val="0"/>
        <w:keepLines w:val="0"/>
        <w:pageBreakBefore w:val="0"/>
        <w:kinsoku/>
        <w:wordWrap/>
        <w:overflowPunct/>
        <w:topLinePunct w:val="0"/>
        <w:autoSpaceDE/>
        <w:autoSpaceDN/>
        <w:bidi w:val="0"/>
        <w:adjustRightInd/>
        <w:snapToGrid/>
        <w:spacing w:line="360" w:lineRule="auto"/>
        <w:jc w:val="both"/>
        <w:textAlignment w:val="auto"/>
        <w:outlineLvl w:val="9"/>
        <w:rPr>
          <w:rFonts w:hint="eastAsia" w:ascii="楷体_GB2312" w:hAnsi="楷体_GB2312" w:eastAsia="楷体_GB2312" w:cs="楷体_GB2312"/>
          <w:sz w:val="32"/>
          <w:szCs w:val="32"/>
          <w:u w:val="double"/>
        </w:rPr>
      </w:pPr>
      <w:r>
        <w:rPr>
          <w:rFonts w:hint="eastAsia" w:ascii="楷体_GB2312" w:hAnsi="楷体_GB2312" w:eastAsia="楷体_GB2312" w:cs="楷体_GB2312"/>
          <w:szCs w:val="32"/>
          <w:u w:val="double"/>
        </w:rPr>
        <w:fldChar w:fldCharType="end"/>
      </w:r>
    </w:p>
    <w:p>
      <w:pPr>
        <w:spacing w:line="360" w:lineRule="auto"/>
        <w:jc w:val="center"/>
        <w:outlineLvl w:val="0"/>
        <w:rPr>
          <w:rFonts w:hint="eastAsia" w:ascii="楷体" w:hAnsi="楷体" w:eastAsia="楷体" w:cs="楷体"/>
          <w:b/>
          <w:bCs/>
          <w:sz w:val="36"/>
          <w:szCs w:val="36"/>
        </w:rPr>
      </w:pPr>
      <w:bookmarkStart w:id="0" w:name="_Toc28914"/>
      <w:bookmarkStart w:id="1" w:name="_Toc23954"/>
      <w:bookmarkStart w:id="2" w:name="_Toc22990"/>
      <w:bookmarkStart w:id="3" w:name="_Toc467076840"/>
      <w:r>
        <w:rPr>
          <w:rFonts w:hint="eastAsia" w:ascii="楷体" w:hAnsi="楷体" w:eastAsia="楷体" w:cs="楷体"/>
          <w:b/>
          <w:bCs/>
          <w:sz w:val="36"/>
          <w:szCs w:val="36"/>
        </w:rPr>
        <w:t>估价师声明</w:t>
      </w:r>
      <w:bookmarkEnd w:id="0"/>
      <w:bookmarkEnd w:id="1"/>
      <w:bookmarkEnd w:id="2"/>
      <w:bookmarkEnd w:id="3"/>
    </w:p>
    <w:p>
      <w:pPr>
        <w:spacing w:line="360" w:lineRule="auto"/>
        <w:rPr>
          <w:rFonts w:hint="eastAsia" w:ascii="楷体" w:hAnsi="楷体" w:eastAsia="楷体" w:cs="楷体"/>
          <w:sz w:val="28"/>
          <w:szCs w:val="28"/>
        </w:rPr>
      </w:pPr>
      <w:r>
        <w:rPr>
          <w:rFonts w:hint="eastAsia" w:ascii="楷体" w:hAnsi="楷体" w:eastAsia="楷体" w:cs="楷体"/>
          <w:sz w:val="28"/>
          <w:szCs w:val="28"/>
        </w:rPr>
        <w:t>我们郑重声明：</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1、我们在本估价报告中陈述的事实是真实和准确的。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2、本估价报告中的分析、意见和结论是我们自己公正的专业分析、意见和结论，但受到本估价报告中已说明的假设和限制条件的限制。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3、我们与本估价报告中的估价对象没有利害关系，也与当事人没有个人利害关系或偏见。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4、我们依据中华人民共和国国家标准《房地产估价规范》进行分析，形成意见和结论，撰写本估价报告。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5、参与本次估价项目的估价师对本报告中的估价对象进行了详细的实地查勘，并对勘察的客观性、真实性、公正性承担责任。但我们对估价对象的现场勘查仅限于其外观和使用状况等一般性的察看，并未进行结构测试，不可能确定其内部缺损，对被遮盖、未暴露及难以接触到的部分，依据委托方提供的资料和常规设计进行评估。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6、本报告估价结果仅作为委托方在本次估价目的下使用，不得做其他用途</w:t>
      </w:r>
    </w:p>
    <w:p>
      <w:pPr>
        <w:spacing w:line="360" w:lineRule="auto"/>
        <w:ind w:firstLine="560" w:firstLineChars="200"/>
        <w:rPr>
          <w:rFonts w:hint="eastAsia" w:ascii="楷体_GB2312" w:hAnsi="楷体_GB2312" w:eastAsia="楷体_GB2312" w:cs="楷体_GB2312"/>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楷体_GB2312" w:hAnsi="楷体_GB2312" w:eastAsia="楷体_GB2312" w:cs="楷体_GB2312"/>
          <w:b/>
          <w:bCs/>
          <w:sz w:val="36"/>
          <w:szCs w:val="36"/>
        </w:rPr>
      </w:pPr>
      <w:bookmarkStart w:id="4" w:name="_Toc16587"/>
      <w:bookmarkStart w:id="5" w:name="_Toc401"/>
      <w:bookmarkStart w:id="6" w:name="_Toc467076841"/>
      <w:bookmarkStart w:id="7" w:name="_Toc27086"/>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eastAsia" w:ascii="楷体_GB2312" w:hAnsi="楷体_GB2312" w:eastAsia="楷体_GB2312" w:cs="楷体_GB2312"/>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eastAsia" w:ascii="楷体_GB2312" w:hAnsi="楷体_GB2312" w:eastAsia="楷体_GB2312" w:cs="楷体_GB2312"/>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楷体_GB2312" w:hAnsi="楷体_GB2312" w:eastAsia="楷体_GB2312" w:cs="楷体_GB2312"/>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楷体_GB2312" w:hAnsi="楷体_GB2312" w:eastAsia="楷体_GB2312" w:cs="楷体_GB2312"/>
          <w:b/>
          <w:bCs/>
          <w:sz w:val="36"/>
          <w:szCs w:val="36"/>
          <w:lang w:val="en-US" w:eastAsia="zh-CN"/>
        </w:rPr>
      </w:pPr>
      <w:r>
        <w:rPr>
          <w:rFonts w:hint="eastAsia" w:ascii="楷体" w:hAnsi="楷体" w:eastAsia="楷体" w:cs="楷体"/>
          <w:b/>
          <w:bCs/>
          <w:sz w:val="36"/>
          <w:szCs w:val="36"/>
        </w:rPr>
        <w:t>估价的假设和限制条件</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_GB2312" w:hAnsi="楷体_GB2312" w:eastAsia="楷体_GB2312" w:cs="楷体_GB2312"/>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sz w:val="28"/>
          <w:szCs w:val="28"/>
        </w:rPr>
      </w:pPr>
      <w:r>
        <w:rPr>
          <w:rFonts w:hint="eastAsia" w:ascii="楷体" w:hAnsi="楷体" w:eastAsia="楷体" w:cs="楷体"/>
          <w:b/>
          <w:sz w:val="28"/>
          <w:szCs w:val="28"/>
        </w:rPr>
        <w:t>一</w:t>
      </w:r>
      <w:r>
        <w:rPr>
          <w:rFonts w:hint="eastAsia" w:ascii="楷体" w:hAnsi="楷体" w:eastAsia="楷体" w:cs="楷体"/>
          <w:b/>
          <w:sz w:val="28"/>
          <w:szCs w:val="28"/>
          <w:lang w:eastAsia="zh-CN"/>
        </w:rPr>
        <w:t>、</w:t>
      </w:r>
      <w:r>
        <w:rPr>
          <w:rFonts w:hint="eastAsia" w:ascii="楷体" w:hAnsi="楷体" w:eastAsia="楷体" w:cs="楷体"/>
          <w:b/>
          <w:sz w:val="28"/>
          <w:szCs w:val="28"/>
        </w:rPr>
        <w:t>一般假设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1、本报告以估价委托人提供的资料真实、合法、完整为假设前提。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2、假定价值时点的房地产市场状况是公开、平等、自愿的交易市场，即满足以下条件：（1）自愿销售的卖方及自愿购买的买方；（2）交易双方无任何利害关系，交易的目的是追求各自利益的最大化；（3）交易双方了解交易对象知晓市场行情；（4）交易双方有较充裕的时间进行交易；（5）不存在特殊买者的附加出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3、假设估价对象产权明晰，在价值时点估价对象不存在任何产权纠纷，可以在公开市场上进行合法转让。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4、本次估价根据</w:t>
      </w:r>
      <w:r>
        <w:rPr>
          <w:rFonts w:hint="eastAsia" w:ascii="楷体" w:hAnsi="楷体" w:eastAsia="楷体" w:cs="楷体"/>
          <w:sz w:val="28"/>
          <w:szCs w:val="28"/>
          <w:lang w:val="en-US" w:eastAsia="zh-CN"/>
        </w:rPr>
        <w:t>委托方提供的《不动产权证书》和</w:t>
      </w:r>
      <w:r>
        <w:rPr>
          <w:rFonts w:hint="eastAsia" w:ascii="楷体" w:hAnsi="楷体" w:eastAsia="楷体" w:cs="楷体"/>
          <w:sz w:val="28"/>
          <w:szCs w:val="28"/>
        </w:rPr>
        <w:t>最高最佳使用原则，设定估价对象房地产用途为</w:t>
      </w:r>
      <w:r>
        <w:rPr>
          <w:rFonts w:hint="eastAsia" w:ascii="楷体" w:hAnsi="楷体" w:eastAsia="楷体" w:cs="楷体"/>
          <w:sz w:val="28"/>
          <w:szCs w:val="28"/>
          <w:lang w:val="en-US" w:eastAsia="zh-CN"/>
        </w:rPr>
        <w:t>住宅，</w:t>
      </w:r>
      <w:r>
        <w:rPr>
          <w:rFonts w:hint="eastAsia" w:ascii="楷体" w:hAnsi="楷体" w:eastAsia="楷体" w:cs="楷体"/>
          <w:sz w:val="28"/>
          <w:szCs w:val="28"/>
        </w:rPr>
        <w:t>并假设估价对象按照</w:t>
      </w:r>
      <w:r>
        <w:rPr>
          <w:rFonts w:hint="eastAsia" w:ascii="楷体" w:hAnsi="楷体" w:eastAsia="楷体" w:cs="楷体"/>
          <w:sz w:val="28"/>
          <w:szCs w:val="28"/>
          <w:lang w:val="en-US" w:eastAsia="zh-CN"/>
        </w:rPr>
        <w:t>住宅</w:t>
      </w:r>
      <w:r>
        <w:rPr>
          <w:rFonts w:hint="eastAsia" w:ascii="楷体" w:hAnsi="楷体" w:eastAsia="楷体" w:cs="楷体"/>
          <w:sz w:val="28"/>
          <w:szCs w:val="28"/>
          <w:lang w:eastAsia="zh-CN"/>
        </w:rPr>
        <w:t>用途</w:t>
      </w:r>
      <w:r>
        <w:rPr>
          <w:rFonts w:hint="eastAsia" w:ascii="楷体" w:hAnsi="楷体" w:eastAsia="楷体" w:cs="楷体"/>
          <w:sz w:val="28"/>
          <w:szCs w:val="28"/>
        </w:rPr>
        <w:t>持续使用。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5</w:t>
      </w:r>
      <w:r>
        <w:rPr>
          <w:rFonts w:hint="eastAsia" w:ascii="楷体" w:hAnsi="楷体" w:eastAsia="楷体" w:cs="楷体"/>
          <w:sz w:val="28"/>
          <w:szCs w:val="28"/>
        </w:rPr>
        <w:t>、我们</w:t>
      </w:r>
      <w:r>
        <w:rPr>
          <w:rFonts w:hint="eastAsia" w:ascii="楷体" w:hAnsi="楷体" w:eastAsia="楷体" w:cs="楷体"/>
          <w:sz w:val="28"/>
          <w:szCs w:val="28"/>
          <w:lang w:eastAsia="zh-CN"/>
        </w:rPr>
        <w:t>于</w:t>
      </w:r>
      <w:r>
        <w:rPr>
          <w:rFonts w:hint="eastAsia" w:ascii="楷体" w:hAnsi="楷体" w:eastAsia="楷体" w:cs="楷体"/>
          <w:sz w:val="28"/>
          <w:szCs w:val="28"/>
          <w:lang w:val="en-US" w:eastAsia="zh-CN"/>
        </w:rPr>
        <w:t>2022年8月9日</w:t>
      </w:r>
      <w:r>
        <w:rPr>
          <w:rFonts w:hint="eastAsia" w:ascii="楷体" w:hAnsi="楷体" w:eastAsia="楷体" w:cs="楷体"/>
          <w:sz w:val="28"/>
          <w:szCs w:val="28"/>
        </w:rPr>
        <w:t>对估价对象进行了实地查勘，并进行了现场拍照。但估价人员的现场勘查仅限于估价对象的内外部状况和区位状况，并未对估价对象做建筑物基础、房屋结构上的测量和实验。对房屋安全、环境污染等影响估价对象价值或者价格的重大因素给予了关注，在无理由怀疑估价对象存在安全隐患且无相应的专业机构进行鉴定、检测的情况下，在本次估价中假设其无建筑物基础、房屋结构等方面的重大质量问题，符合国家有关技术、质量和验收规范，并符合国家有关安全使用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6</w:t>
      </w:r>
      <w:r>
        <w:rPr>
          <w:rFonts w:hint="eastAsia" w:ascii="楷体" w:hAnsi="楷体" w:eastAsia="楷体" w:cs="楷体"/>
          <w:sz w:val="28"/>
          <w:szCs w:val="28"/>
        </w:rPr>
        <w:t>、本次</w:t>
      </w:r>
      <w:r>
        <w:rPr>
          <w:rFonts w:hint="eastAsia" w:ascii="楷体" w:hAnsi="楷体" w:eastAsia="楷体" w:cs="楷体"/>
          <w:sz w:val="28"/>
          <w:szCs w:val="28"/>
          <w:lang w:eastAsia="zh-CN"/>
        </w:rPr>
        <w:t>估价对象建筑面积</w:t>
      </w:r>
      <w:r>
        <w:rPr>
          <w:rFonts w:hint="eastAsia" w:ascii="楷体" w:hAnsi="楷体" w:eastAsia="楷体" w:cs="楷体"/>
          <w:sz w:val="28"/>
          <w:szCs w:val="28"/>
          <w:lang w:val="en-US" w:eastAsia="zh-CN"/>
        </w:rPr>
        <w:t>108.15㎡，</w:t>
      </w:r>
      <w:r>
        <w:rPr>
          <w:rFonts w:hint="eastAsia" w:ascii="楷体" w:hAnsi="楷体" w:eastAsia="楷体" w:cs="楷体"/>
          <w:sz w:val="28"/>
          <w:szCs w:val="28"/>
        </w:rPr>
        <w:t>来源于委托人提供的《</w:t>
      </w:r>
      <w:r>
        <w:rPr>
          <w:rFonts w:hint="eastAsia" w:ascii="楷体" w:hAnsi="楷体" w:eastAsia="楷体" w:cs="楷体"/>
          <w:sz w:val="28"/>
          <w:szCs w:val="28"/>
          <w:lang w:eastAsia="zh-CN"/>
        </w:rPr>
        <w:t>不动产权证书</w:t>
      </w:r>
      <w:r>
        <w:rPr>
          <w:rFonts w:hint="eastAsia" w:ascii="楷体" w:hAnsi="楷体" w:eastAsia="楷体" w:cs="楷体"/>
          <w:sz w:val="28"/>
          <w:szCs w:val="28"/>
        </w:rPr>
        <w:t>》复印件上注明的面积，房地产估价师未进行专业测量，本报告以委托方提供的建筑面积为估价的前提条件。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7</w:t>
      </w:r>
      <w:r>
        <w:rPr>
          <w:rFonts w:hint="eastAsia" w:ascii="楷体" w:hAnsi="楷体" w:eastAsia="楷体" w:cs="楷体"/>
          <w:sz w:val="28"/>
          <w:szCs w:val="28"/>
        </w:rPr>
        <w:t>、此次评估委托人未明确存在租赁权、用益物权及占有使用情况，房地产估价机构经过尽职调查后也未发现、掌握相关情况，本次估价是以估价对象的房屋所有权及国有土地使用权不存在抵押权、租赁等为假设前提，故本次评估未考虑他项权利存在对估价结果的影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8、</w:t>
      </w:r>
      <w:r>
        <w:rPr>
          <w:rFonts w:hint="eastAsia" w:ascii="楷体" w:hAnsi="楷体" w:eastAsia="楷体" w:cs="楷体"/>
          <w:sz w:val="28"/>
          <w:szCs w:val="28"/>
        </w:rPr>
        <w:t>涉执房地产处置司法评估应当关注评估对象交易税费负担方式及其对评估对象市场价格的影响，但委托方未书面明确评估对象交易税费负担方式，通过估价人员及委托人现场询问调查当事人及相关人员，假设此次 估价对象的交易税费按照法律法规规定由转让人和买受人各自负担，对估价对象市场价格无影响。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_GB2312" w:hAnsi="楷体_GB2312" w:eastAsia="楷体_GB2312" w:cs="楷体_GB2312"/>
          <w:sz w:val="28"/>
          <w:szCs w:val="28"/>
        </w:rPr>
      </w:pPr>
      <w:r>
        <w:rPr>
          <w:rFonts w:hint="eastAsia" w:ascii="楷体" w:hAnsi="楷体" w:eastAsia="楷体" w:cs="楷体"/>
          <w:sz w:val="28"/>
          <w:szCs w:val="28"/>
          <w:lang w:val="en-US" w:eastAsia="zh-CN"/>
        </w:rPr>
        <w:t>9</w:t>
      </w:r>
      <w:r>
        <w:rPr>
          <w:rFonts w:hint="eastAsia" w:ascii="楷体" w:hAnsi="楷体" w:eastAsia="楷体" w:cs="楷体"/>
          <w:sz w:val="28"/>
          <w:szCs w:val="28"/>
        </w:rPr>
        <w:t>、</w:t>
      </w:r>
      <w:r>
        <w:rPr>
          <w:rFonts w:hint="eastAsia" w:ascii="楷体" w:hAnsi="楷体" w:eastAsia="楷体" w:cs="楷体"/>
          <w:sz w:val="28"/>
          <w:szCs w:val="28"/>
          <w:lang w:val="en-US" w:eastAsia="zh-CN"/>
        </w:rPr>
        <w:t>本次评估假设评估对象不存在欠缴税金及相关费用，包括税收、物业费、供暖费、水电气费等及其滞纳金。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sz w:val="28"/>
        </w:rPr>
      </w:pPr>
      <w:r>
        <w:rPr>
          <w:rFonts w:hint="eastAsia" w:ascii="楷体" w:hAnsi="楷体" w:eastAsia="楷体" w:cs="楷体"/>
          <w:b/>
          <w:sz w:val="28"/>
        </w:rPr>
        <w:t>二</w:t>
      </w:r>
      <w:r>
        <w:rPr>
          <w:rFonts w:hint="eastAsia" w:ascii="楷体" w:hAnsi="楷体" w:eastAsia="楷体" w:cs="楷体"/>
          <w:b/>
          <w:sz w:val="28"/>
          <w:lang w:eastAsia="zh-CN"/>
        </w:rPr>
        <w:t>、</w:t>
      </w:r>
      <w:r>
        <w:rPr>
          <w:rFonts w:hint="eastAsia" w:ascii="楷体" w:hAnsi="楷体" w:eastAsia="楷体" w:cs="楷体"/>
          <w:b/>
          <w:sz w:val="28"/>
        </w:rPr>
        <w:t>未定事项假设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lang w:val="en-US" w:eastAsia="zh-CN"/>
        </w:rPr>
      </w:pPr>
      <w:r>
        <w:rPr>
          <w:rFonts w:hint="eastAsia" w:ascii="楷体" w:hAnsi="楷体" w:eastAsia="楷体" w:cs="楷体"/>
          <w:sz w:val="28"/>
          <w:lang w:val="en-US" w:eastAsia="zh-CN"/>
        </w:rPr>
        <w:t>1、本次估价对象由委托方及有关人员现场指认，若与实际不符，应重新估价。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lang w:val="en-US" w:eastAsia="zh-CN"/>
        </w:rPr>
      </w:pPr>
      <w:r>
        <w:rPr>
          <w:rFonts w:hint="eastAsia" w:ascii="楷体" w:hAnsi="楷体" w:eastAsia="楷体" w:cs="楷体"/>
          <w:sz w:val="28"/>
          <w:lang w:val="en-US" w:eastAsia="zh-CN"/>
        </w:rPr>
        <w:t>2、本次评估不考虑评估费、拍卖费、诉讼费、律师费等财产处置费用及其对评估结果的影响。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sz w:val="28"/>
        </w:rPr>
      </w:pPr>
      <w:r>
        <w:rPr>
          <w:rFonts w:hint="eastAsia" w:ascii="楷体" w:hAnsi="楷体" w:eastAsia="楷体" w:cs="楷体"/>
          <w:b/>
          <w:sz w:val="28"/>
        </w:rPr>
        <w:t>三</w:t>
      </w:r>
      <w:r>
        <w:rPr>
          <w:rFonts w:hint="eastAsia" w:ascii="楷体" w:hAnsi="楷体" w:eastAsia="楷体" w:cs="楷体"/>
          <w:b/>
          <w:sz w:val="28"/>
          <w:lang w:eastAsia="zh-CN"/>
        </w:rPr>
        <w:t>、</w:t>
      </w:r>
      <w:r>
        <w:rPr>
          <w:rFonts w:hint="eastAsia" w:ascii="楷体" w:hAnsi="楷体" w:eastAsia="楷体" w:cs="楷体"/>
          <w:b/>
          <w:sz w:val="28"/>
        </w:rPr>
        <w:t>背离事实假设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lang w:val="en-US" w:eastAsia="zh-CN"/>
        </w:rPr>
      </w:pPr>
      <w:r>
        <w:rPr>
          <w:rFonts w:hint="eastAsia" w:ascii="楷体" w:hAnsi="楷体" w:eastAsia="楷体" w:cs="楷体"/>
          <w:sz w:val="28"/>
          <w:lang w:val="en-US" w:eastAsia="zh-CN"/>
        </w:rPr>
        <w:t>根据委托方提供的《武汉市不动产权登记信息查询单》可知，估价对象存在抵押权利限制情况，本次评估不考虑评估对象抵押以及原有的担保物权和其他优先受偿权对估价对象市场价格的影响。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sz w:val="28"/>
        </w:rPr>
      </w:pPr>
      <w:r>
        <w:rPr>
          <w:rFonts w:hint="eastAsia" w:ascii="楷体" w:hAnsi="楷体" w:eastAsia="楷体" w:cs="楷体"/>
          <w:b/>
          <w:sz w:val="28"/>
        </w:rPr>
        <w:t>四</w:t>
      </w:r>
      <w:r>
        <w:rPr>
          <w:rFonts w:hint="eastAsia" w:ascii="楷体" w:hAnsi="楷体" w:eastAsia="楷体" w:cs="楷体"/>
          <w:b/>
          <w:sz w:val="28"/>
          <w:lang w:eastAsia="zh-CN"/>
        </w:rPr>
        <w:t>、</w:t>
      </w:r>
      <w:r>
        <w:rPr>
          <w:rFonts w:hint="eastAsia" w:ascii="楷体" w:hAnsi="楷体" w:eastAsia="楷体" w:cs="楷体"/>
          <w:b/>
          <w:sz w:val="28"/>
        </w:rPr>
        <w:t>不相一致假设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sz w:val="28"/>
        </w:rPr>
      </w:pPr>
      <w:r>
        <w:rPr>
          <w:rFonts w:hint="eastAsia" w:ascii="楷体" w:hAnsi="楷体" w:eastAsia="楷体" w:cs="楷体"/>
          <w:sz w:val="28"/>
          <w:szCs w:val="28"/>
        </w:rPr>
        <w:t>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sz w:val="28"/>
          <w:szCs w:val="28"/>
        </w:rPr>
      </w:pPr>
      <w:r>
        <w:rPr>
          <w:rFonts w:hint="eastAsia" w:ascii="楷体" w:hAnsi="楷体" w:eastAsia="楷体" w:cs="楷体"/>
          <w:b/>
          <w:sz w:val="28"/>
          <w:szCs w:val="28"/>
        </w:rPr>
        <w:t>五</w:t>
      </w:r>
      <w:r>
        <w:rPr>
          <w:rFonts w:hint="eastAsia" w:ascii="楷体" w:hAnsi="楷体" w:eastAsia="楷体" w:cs="楷体"/>
          <w:b/>
          <w:sz w:val="28"/>
          <w:szCs w:val="28"/>
          <w:lang w:eastAsia="zh-CN"/>
        </w:rPr>
        <w:t>、</w:t>
      </w:r>
      <w:r>
        <w:rPr>
          <w:rFonts w:hint="eastAsia" w:ascii="楷体" w:hAnsi="楷体" w:eastAsia="楷体" w:cs="楷体"/>
          <w:b/>
          <w:sz w:val="28"/>
          <w:szCs w:val="28"/>
        </w:rPr>
        <w:t>依据不足假设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rPr>
      </w:pPr>
      <w:r>
        <w:rPr>
          <w:rFonts w:hint="eastAsia" w:ascii="楷体" w:hAnsi="楷体" w:eastAsia="楷体" w:cs="楷体"/>
          <w:sz w:val="28"/>
        </w:rPr>
        <w:t>1、本报告估价结果没有考虑快速变现</w:t>
      </w:r>
      <w:r>
        <w:rPr>
          <w:rFonts w:hint="eastAsia" w:ascii="楷体" w:hAnsi="楷体" w:eastAsia="楷体" w:cs="楷体"/>
          <w:sz w:val="28"/>
          <w:lang w:eastAsia="zh-CN"/>
        </w:rPr>
        <w:t>，</w:t>
      </w:r>
      <w:r>
        <w:rPr>
          <w:rFonts w:hint="eastAsia" w:ascii="楷体" w:hAnsi="楷体" w:eastAsia="楷体" w:cs="楷体"/>
          <w:sz w:val="28"/>
        </w:rPr>
        <w:t>税费转嫁等特殊的交易方式，以及可能发生的办理抵押登记、权利转移相关费用对估价对象房地产价值的影响；遇有自然力和其他不可抗力等因素对房地产价值的影响，也没有考虑估价对象将来可能承担违约责任的事宜，以及特殊交易方式下的特殊交易价格等对估价值的影响；当上述条件发生变化时，估价结果一般亦会发生变化。委托人及相关报告使用人在利用本报告结果时应予以充分的考虑及重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rPr>
      </w:pPr>
      <w:r>
        <w:rPr>
          <w:rFonts w:hint="eastAsia" w:ascii="楷体" w:hAnsi="楷体" w:eastAsia="楷体" w:cs="楷体"/>
          <w:sz w:val="28"/>
        </w:rPr>
        <w:t>2、估价人员</w:t>
      </w:r>
      <w:r>
        <w:rPr>
          <w:rFonts w:hint="eastAsia" w:ascii="楷体" w:hAnsi="楷体" w:eastAsia="楷体" w:cs="楷体"/>
          <w:sz w:val="28"/>
          <w:lang w:val="en-US" w:eastAsia="zh-CN"/>
        </w:rPr>
        <w:t>已</w:t>
      </w:r>
      <w:r>
        <w:rPr>
          <w:rFonts w:hint="eastAsia" w:ascii="楷体" w:hAnsi="楷体" w:eastAsia="楷体" w:cs="楷体"/>
          <w:sz w:val="28"/>
        </w:rPr>
        <w:t>查看</w:t>
      </w:r>
      <w:r>
        <w:rPr>
          <w:rFonts w:hint="eastAsia" w:ascii="楷体" w:hAnsi="楷体" w:eastAsia="楷体" w:cs="楷体"/>
          <w:sz w:val="28"/>
          <w:lang w:eastAsia="zh-CN"/>
        </w:rPr>
        <w:t>《</w:t>
      </w:r>
      <w:r>
        <w:rPr>
          <w:rFonts w:hint="eastAsia" w:ascii="楷体" w:hAnsi="楷体" w:eastAsia="楷体" w:cs="楷体"/>
          <w:sz w:val="28"/>
          <w:lang w:val="en-US" w:eastAsia="zh-CN"/>
        </w:rPr>
        <w:t>不动产权证书</w:t>
      </w:r>
      <w:r>
        <w:rPr>
          <w:rFonts w:hint="eastAsia" w:ascii="楷体" w:hAnsi="楷体" w:eastAsia="楷体" w:cs="楷体"/>
          <w:sz w:val="28"/>
          <w:lang w:eastAsia="zh-CN"/>
        </w:rPr>
        <w:t>》</w:t>
      </w:r>
      <w:r>
        <w:rPr>
          <w:rFonts w:hint="eastAsia" w:ascii="楷体" w:hAnsi="楷体" w:eastAsia="楷体" w:cs="楷体"/>
          <w:sz w:val="28"/>
          <w:lang w:val="en-US" w:eastAsia="zh-CN"/>
        </w:rPr>
        <w:t>复印件及相关资料的复印件</w:t>
      </w:r>
      <w:r>
        <w:rPr>
          <w:rFonts w:hint="eastAsia" w:ascii="楷体" w:hAnsi="楷体" w:eastAsia="楷体" w:cs="楷体"/>
          <w:sz w:val="28"/>
        </w:rPr>
        <w:t>，估价人员无法在现有条件下对原件内容进行核实，同时房地产估价师未能到有关主管部门对委托方所提供的资料内容进行核实，在无理由怀疑其完整性、准确性、真实性和合法性的前提下，本次估价是以委托人提供的与估价对象有关的法律文件、权属证明及相关资料真实有效为前提的，其合法性和真实性应由委托人负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sz w:val="28"/>
          <w:lang w:val="en-US" w:eastAsia="zh-CN"/>
        </w:rPr>
      </w:pPr>
      <w:r>
        <w:rPr>
          <w:rFonts w:hint="eastAsia" w:ascii="楷体" w:hAnsi="楷体" w:eastAsia="楷体" w:cs="楷体"/>
          <w:b/>
          <w:sz w:val="28"/>
          <w:szCs w:val="28"/>
        </w:rPr>
        <w:t>六</w:t>
      </w:r>
      <w:r>
        <w:rPr>
          <w:rFonts w:hint="eastAsia" w:ascii="楷体" w:hAnsi="楷体" w:eastAsia="楷体" w:cs="楷体"/>
          <w:b/>
          <w:sz w:val="28"/>
          <w:szCs w:val="28"/>
          <w:lang w:eastAsia="zh-CN"/>
        </w:rPr>
        <w:t>、</w:t>
      </w:r>
      <w:r>
        <w:rPr>
          <w:rFonts w:hint="eastAsia" w:ascii="楷体" w:hAnsi="楷体" w:eastAsia="楷体" w:cs="楷体"/>
          <w:b/>
          <w:sz w:val="28"/>
          <w:szCs w:val="28"/>
        </w:rPr>
        <w:t>估价报告</w:t>
      </w:r>
      <w:r>
        <w:rPr>
          <w:rFonts w:hint="eastAsia" w:ascii="楷体" w:hAnsi="楷体" w:eastAsia="楷体" w:cs="楷体"/>
          <w:b/>
          <w:sz w:val="28"/>
          <w:szCs w:val="28"/>
          <w:lang w:val="en-US" w:eastAsia="zh-CN"/>
        </w:rPr>
        <w:t>的</w:t>
      </w:r>
      <w:r>
        <w:rPr>
          <w:rFonts w:hint="eastAsia" w:ascii="楷体" w:hAnsi="楷体" w:eastAsia="楷体" w:cs="楷体"/>
          <w:b/>
          <w:sz w:val="28"/>
          <w:szCs w:val="28"/>
        </w:rPr>
        <w:t>限制</w:t>
      </w:r>
      <w:r>
        <w:rPr>
          <w:rFonts w:hint="eastAsia" w:ascii="楷体" w:hAnsi="楷体" w:eastAsia="楷体" w:cs="楷体"/>
          <w:b/>
          <w:sz w:val="28"/>
          <w:szCs w:val="28"/>
          <w:lang w:val="en-US" w:eastAsia="zh-CN"/>
        </w:rPr>
        <w:t>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1、本报告估价结果的计算是以估价对象房地产在价值时点的状况和估价报告对估价对象房地产的假设和限制条件为依据进行，如房地产状况或估价报告中对估价对象房地产的假设和限制条件发生变化，估价结果应做相应调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2、报告的有效性、合法性直接取决于委托方提供的有关资料的完整及真实有效。对由于委托方所提供资料不实或不全而影响估价报告正常使用的责任以及由此而产生的法律后果</w:t>
      </w:r>
      <w:r>
        <w:rPr>
          <w:rFonts w:hint="eastAsia" w:ascii="楷体" w:hAnsi="楷体" w:eastAsia="楷体" w:cs="楷体"/>
          <w:sz w:val="28"/>
          <w:szCs w:val="28"/>
          <w:lang w:eastAsia="zh-CN"/>
        </w:rPr>
        <w:t>，</w:t>
      </w:r>
      <w:r>
        <w:rPr>
          <w:rFonts w:hint="eastAsia" w:ascii="楷体" w:hAnsi="楷体" w:eastAsia="楷体" w:cs="楷体"/>
          <w:sz w:val="28"/>
          <w:szCs w:val="28"/>
        </w:rPr>
        <w:t>由</w:t>
      </w:r>
      <w:r>
        <w:rPr>
          <w:rFonts w:hint="eastAsia" w:ascii="楷体" w:hAnsi="楷体" w:eastAsia="楷体" w:cs="楷体"/>
          <w:sz w:val="28"/>
          <w:szCs w:val="28"/>
          <w:lang w:eastAsia="zh-CN"/>
        </w:rPr>
        <w:t>估价委托人</w:t>
      </w:r>
      <w:r>
        <w:rPr>
          <w:rFonts w:hint="eastAsia" w:ascii="楷体" w:hAnsi="楷体" w:eastAsia="楷体" w:cs="楷体"/>
          <w:sz w:val="28"/>
          <w:szCs w:val="28"/>
        </w:rPr>
        <w:t>负责。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lang w:eastAsia="zh-CN"/>
        </w:rPr>
      </w:pPr>
      <w:r>
        <w:rPr>
          <w:rFonts w:hint="eastAsia" w:ascii="楷体" w:hAnsi="楷体" w:eastAsia="楷体" w:cs="楷体"/>
          <w:sz w:val="28"/>
          <w:szCs w:val="28"/>
        </w:rPr>
        <w:t>3、</w:t>
      </w:r>
      <w:r>
        <w:rPr>
          <w:rFonts w:hint="eastAsia" w:ascii="楷体" w:hAnsi="楷体" w:eastAsia="楷体" w:cs="楷体"/>
          <w:sz w:val="28"/>
          <w:szCs w:val="28"/>
          <w:lang w:val="en-US" w:eastAsia="zh-CN"/>
        </w:rPr>
        <w:t>委托方及其他报告使用人</w:t>
      </w:r>
      <w:r>
        <w:rPr>
          <w:rFonts w:hint="eastAsia" w:ascii="楷体" w:hAnsi="楷体" w:eastAsia="楷体" w:cs="楷体"/>
          <w:sz w:val="28"/>
        </w:rPr>
        <w:t>应当按照法律规定和评估报告载明的用途、使用人、使用期限等使用范围使用评估报告。否则，房地产估价机构和注册房地产估价师依法不承担责任</w:t>
      </w:r>
      <w:r>
        <w:rPr>
          <w:rFonts w:hint="eastAsia" w:ascii="楷体" w:hAnsi="楷体" w:eastAsia="楷体" w:cs="楷体"/>
          <w:sz w:val="28"/>
          <w:lang w:eastAsia="zh-CN"/>
        </w:rPr>
        <w:t>。估价委托人必须完整使用本报告，对仅使用报告中的部分内容或片面使用导致的有关损失，估价机构不承担责任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rPr>
        <w:t>4、</w:t>
      </w:r>
      <w:r>
        <w:rPr>
          <w:rFonts w:hint="eastAsia" w:ascii="楷体" w:hAnsi="楷体" w:eastAsia="楷体" w:cs="楷体"/>
          <w:sz w:val="28"/>
          <w:szCs w:val="28"/>
        </w:rPr>
        <w:t>本报告对估价对象市场价格的把握，仅相对于价值时点的假设条件、市场状况而言，并未考虑市场价格波动、国家经济政策发生变化、强制力因素以及其他不可抗力等因素对估价对象房地产价格的影响。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5、</w:t>
      </w:r>
      <w:r>
        <w:rPr>
          <w:rFonts w:hint="eastAsia" w:ascii="楷体" w:hAnsi="楷体" w:eastAsia="楷体" w:cs="楷体"/>
          <w:sz w:val="28"/>
          <w:szCs w:val="28"/>
          <w:lang w:val="en-US" w:eastAsia="zh-CN"/>
        </w:rPr>
        <w:t>本次</w:t>
      </w:r>
      <w:r>
        <w:rPr>
          <w:rFonts w:hint="eastAsia" w:ascii="楷体" w:hAnsi="楷体" w:eastAsia="楷体" w:cs="楷体"/>
          <w:sz w:val="28"/>
          <w:szCs w:val="28"/>
        </w:rPr>
        <w:t>评估结果仅为人民法院确定财产处置参考价服务，不是评估对象处置可实现的成交价格，也不应当被视为对评估对象处置成交价格的保证</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6、在评估报告使用期限或者评估结果有效期内，评估报告或者评估结果未使用之前，如果评估对象状况或者房地产市场状况发生明显变化的，评估结果应当进行相应调整后才可使用</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7、本次估价报告书未经估价机构同意，不得向估价委托人及本次估价目的下的报告使用者以外的单位和个人提供，报告的部分或全部内容不得发表于任何公开媒体之上。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8、</w:t>
      </w:r>
      <w:r>
        <w:rPr>
          <w:rFonts w:hint="eastAsia" w:ascii="楷体" w:hAnsi="楷体" w:eastAsia="楷体" w:cs="楷体"/>
          <w:sz w:val="28"/>
          <w:szCs w:val="28"/>
        </w:rPr>
        <w:t>本次估价报告应用的有效期自估价报告出具之日起为一年，即自</w:t>
      </w:r>
      <w:r>
        <w:rPr>
          <w:rFonts w:hint="eastAsia" w:ascii="楷体" w:hAnsi="楷体" w:eastAsia="楷体" w:cs="楷体"/>
          <w:color w:val="auto"/>
          <w:sz w:val="28"/>
          <w:szCs w:val="28"/>
          <w:lang w:eastAsia="zh-CN"/>
        </w:rPr>
        <w:t>202</w:t>
      </w:r>
      <w:r>
        <w:rPr>
          <w:rFonts w:hint="eastAsia" w:ascii="楷体" w:hAnsi="楷体" w:eastAsia="楷体" w:cs="楷体"/>
          <w:color w:val="auto"/>
          <w:sz w:val="28"/>
          <w:szCs w:val="28"/>
          <w:lang w:val="en-US" w:eastAsia="zh-CN"/>
        </w:rPr>
        <w:t>2</w:t>
      </w:r>
      <w:r>
        <w:rPr>
          <w:rFonts w:hint="eastAsia" w:ascii="楷体" w:hAnsi="楷体" w:eastAsia="楷体" w:cs="楷体"/>
          <w:color w:val="auto"/>
          <w:sz w:val="28"/>
          <w:szCs w:val="28"/>
          <w:lang w:eastAsia="zh-CN"/>
        </w:rPr>
        <w:t>年</w:t>
      </w:r>
      <w:r>
        <w:rPr>
          <w:rFonts w:hint="eastAsia" w:ascii="楷体" w:hAnsi="楷体" w:eastAsia="楷体" w:cs="楷体"/>
          <w:color w:val="auto"/>
          <w:sz w:val="28"/>
          <w:szCs w:val="28"/>
          <w:lang w:val="en-US" w:eastAsia="zh-CN"/>
        </w:rPr>
        <w:t>8</w:t>
      </w:r>
      <w:r>
        <w:rPr>
          <w:rFonts w:hint="eastAsia" w:ascii="楷体" w:hAnsi="楷体" w:eastAsia="楷体" w:cs="楷体"/>
          <w:color w:val="auto"/>
          <w:sz w:val="28"/>
          <w:szCs w:val="28"/>
          <w:lang w:eastAsia="zh-CN"/>
        </w:rPr>
        <w:t>月</w:t>
      </w:r>
      <w:r>
        <w:rPr>
          <w:rFonts w:hint="eastAsia" w:ascii="楷体" w:hAnsi="楷体" w:eastAsia="楷体" w:cs="楷体"/>
          <w:color w:val="auto"/>
          <w:sz w:val="28"/>
          <w:szCs w:val="28"/>
          <w:lang w:val="en-US" w:eastAsia="zh-CN"/>
        </w:rPr>
        <w:t>19</w:t>
      </w:r>
      <w:r>
        <w:rPr>
          <w:rFonts w:hint="eastAsia" w:ascii="楷体" w:hAnsi="楷体" w:eastAsia="楷体" w:cs="楷体"/>
          <w:color w:val="auto"/>
          <w:sz w:val="28"/>
          <w:szCs w:val="28"/>
          <w:lang w:eastAsia="zh-CN"/>
        </w:rPr>
        <w:t>日</w:t>
      </w:r>
      <w:r>
        <w:rPr>
          <w:rFonts w:hint="eastAsia" w:ascii="楷体" w:hAnsi="楷体" w:eastAsia="楷体" w:cs="楷体"/>
          <w:color w:val="auto"/>
          <w:sz w:val="28"/>
          <w:szCs w:val="28"/>
        </w:rPr>
        <w:t>至</w:t>
      </w:r>
      <w:r>
        <w:rPr>
          <w:rFonts w:hint="eastAsia" w:ascii="楷体" w:hAnsi="楷体" w:eastAsia="楷体" w:cs="楷体"/>
          <w:color w:val="auto"/>
          <w:sz w:val="28"/>
          <w:szCs w:val="28"/>
          <w:lang w:eastAsia="zh-CN"/>
        </w:rPr>
        <w:t>202</w:t>
      </w:r>
      <w:r>
        <w:rPr>
          <w:rFonts w:hint="eastAsia" w:ascii="楷体" w:hAnsi="楷体" w:eastAsia="楷体" w:cs="楷体"/>
          <w:color w:val="auto"/>
          <w:sz w:val="28"/>
          <w:szCs w:val="28"/>
          <w:lang w:val="en-US" w:eastAsia="zh-CN"/>
        </w:rPr>
        <w:t>3</w:t>
      </w:r>
      <w:r>
        <w:rPr>
          <w:rFonts w:hint="eastAsia" w:ascii="楷体" w:hAnsi="楷体" w:eastAsia="楷体" w:cs="楷体"/>
          <w:color w:val="auto"/>
          <w:sz w:val="28"/>
          <w:szCs w:val="28"/>
          <w:lang w:eastAsia="zh-CN"/>
        </w:rPr>
        <w:t>年</w:t>
      </w:r>
      <w:r>
        <w:rPr>
          <w:rFonts w:hint="eastAsia" w:ascii="楷体" w:hAnsi="楷体" w:eastAsia="楷体" w:cs="楷体"/>
          <w:color w:val="auto"/>
          <w:sz w:val="28"/>
          <w:szCs w:val="28"/>
          <w:lang w:val="en-US" w:eastAsia="zh-CN"/>
        </w:rPr>
        <w:t>8</w:t>
      </w:r>
      <w:r>
        <w:rPr>
          <w:rFonts w:hint="eastAsia" w:ascii="楷体" w:hAnsi="楷体" w:eastAsia="楷体" w:cs="楷体"/>
          <w:color w:val="auto"/>
          <w:sz w:val="28"/>
          <w:szCs w:val="28"/>
          <w:lang w:eastAsia="zh-CN"/>
        </w:rPr>
        <w:t>月</w:t>
      </w:r>
      <w:r>
        <w:rPr>
          <w:rFonts w:hint="eastAsia" w:ascii="楷体" w:hAnsi="楷体" w:eastAsia="楷体" w:cs="楷体"/>
          <w:color w:val="auto"/>
          <w:sz w:val="28"/>
          <w:szCs w:val="28"/>
          <w:lang w:val="en-US" w:eastAsia="zh-CN"/>
        </w:rPr>
        <w:t>18</w:t>
      </w:r>
      <w:r>
        <w:rPr>
          <w:rFonts w:hint="eastAsia" w:ascii="楷体" w:hAnsi="楷体" w:eastAsia="楷体" w:cs="楷体"/>
          <w:color w:val="auto"/>
          <w:sz w:val="28"/>
          <w:szCs w:val="28"/>
          <w:lang w:eastAsia="zh-CN"/>
        </w:rPr>
        <w:t>日</w:t>
      </w:r>
      <w:r>
        <w:rPr>
          <w:rFonts w:hint="eastAsia" w:ascii="楷体" w:hAnsi="楷体" w:eastAsia="楷体" w:cs="楷体"/>
          <w:color w:val="auto"/>
          <w:sz w:val="28"/>
          <w:szCs w:val="28"/>
        </w:rPr>
        <w:t>止</w:t>
      </w:r>
      <w:r>
        <w:rPr>
          <w:rFonts w:hint="eastAsia" w:ascii="楷体" w:hAnsi="楷体" w:eastAsia="楷体" w:cs="楷体"/>
          <w:sz w:val="28"/>
          <w:szCs w:val="28"/>
        </w:rPr>
        <w:t>，实现估价目的时，可以估价结果作为依据，超过一年需重新进行估价。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9、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_GB2312" w:hAnsi="楷体_GB2312" w:eastAsia="楷体_GB2312" w:cs="楷体_GB2312"/>
          <w:sz w:val="28"/>
          <w:szCs w:val="28"/>
        </w:rPr>
      </w:pPr>
      <w:r>
        <w:rPr>
          <w:rFonts w:hint="eastAsia" w:ascii="楷体" w:hAnsi="楷体" w:eastAsia="楷体" w:cs="楷体"/>
          <w:sz w:val="28"/>
          <w:szCs w:val="28"/>
          <w:lang w:val="en-US" w:eastAsia="zh-CN"/>
        </w:rPr>
        <w:t>10</w:t>
      </w:r>
      <w:r>
        <w:rPr>
          <w:rFonts w:hint="eastAsia" w:ascii="楷体" w:hAnsi="楷体" w:eastAsia="楷体" w:cs="楷体"/>
          <w:sz w:val="28"/>
          <w:szCs w:val="28"/>
        </w:rPr>
        <w:t>、本报告解释权归湖北方联房地产评估咨询有限责任公司</w:t>
      </w:r>
      <w:r>
        <w:rPr>
          <w:rFonts w:hint="eastAsia" w:ascii="楷体_GB2312" w:hAnsi="楷体_GB2312" w:eastAsia="楷体_GB2312" w:cs="楷体_GB2312"/>
          <w:sz w:val="28"/>
          <w:szCs w:val="28"/>
        </w:rPr>
        <w:t>。</w:t>
      </w:r>
    </w:p>
    <w:p>
      <w:pPr>
        <w:spacing w:line="360" w:lineRule="auto"/>
        <w:jc w:val="center"/>
        <w:outlineLvl w:val="0"/>
        <w:rPr>
          <w:rFonts w:hint="eastAsia" w:ascii="楷体_GB2312" w:hAnsi="楷体_GB2312" w:eastAsia="楷体_GB2312" w:cs="楷体_GB2312"/>
          <w:b/>
          <w:bCs/>
          <w:sz w:val="36"/>
          <w:szCs w:val="36"/>
        </w:rPr>
      </w:pPr>
      <w:bookmarkStart w:id="8" w:name="_Toc12703"/>
      <w:bookmarkStart w:id="9" w:name="_Toc5824"/>
      <w:bookmarkStart w:id="10" w:name="_Toc467076842"/>
      <w:bookmarkStart w:id="11" w:name="_Toc8149"/>
    </w:p>
    <w:p>
      <w:pPr>
        <w:spacing w:line="360" w:lineRule="auto"/>
        <w:jc w:val="center"/>
        <w:outlineLvl w:val="0"/>
        <w:rPr>
          <w:rFonts w:hint="eastAsia" w:ascii="楷体_GB2312" w:hAnsi="楷体_GB2312" w:eastAsia="楷体_GB2312" w:cs="楷体_GB2312"/>
          <w:b/>
          <w:bCs/>
          <w:sz w:val="36"/>
          <w:szCs w:val="36"/>
        </w:rPr>
      </w:pPr>
    </w:p>
    <w:p>
      <w:pPr>
        <w:spacing w:line="360" w:lineRule="auto"/>
        <w:jc w:val="center"/>
        <w:outlineLvl w:val="0"/>
        <w:rPr>
          <w:rFonts w:hint="eastAsia" w:ascii="楷体_GB2312" w:hAnsi="楷体_GB2312" w:eastAsia="楷体_GB2312" w:cs="楷体_GB2312"/>
          <w:b/>
          <w:bCs/>
          <w:sz w:val="36"/>
          <w:szCs w:val="36"/>
        </w:rPr>
      </w:pPr>
    </w:p>
    <w:p>
      <w:pPr>
        <w:spacing w:line="360" w:lineRule="auto"/>
        <w:jc w:val="center"/>
        <w:outlineLvl w:val="0"/>
        <w:rPr>
          <w:rFonts w:hint="eastAsia" w:ascii="楷体_GB2312" w:hAnsi="楷体_GB2312" w:eastAsia="楷体_GB2312" w:cs="楷体_GB2312"/>
          <w:b/>
          <w:bCs/>
          <w:sz w:val="36"/>
          <w:szCs w:val="36"/>
        </w:rPr>
      </w:pPr>
    </w:p>
    <w:p>
      <w:pPr>
        <w:spacing w:line="360" w:lineRule="auto"/>
        <w:jc w:val="center"/>
        <w:outlineLvl w:val="0"/>
        <w:rPr>
          <w:rFonts w:hint="eastAsia" w:ascii="楷体_GB2312" w:hAnsi="楷体_GB2312" w:eastAsia="楷体_GB2312" w:cs="楷体_GB2312"/>
          <w:b/>
          <w:bCs/>
          <w:sz w:val="36"/>
          <w:szCs w:val="36"/>
        </w:rPr>
      </w:pPr>
    </w:p>
    <w:p>
      <w:pPr>
        <w:spacing w:line="360" w:lineRule="auto"/>
        <w:jc w:val="center"/>
        <w:outlineLvl w:val="0"/>
        <w:rPr>
          <w:rFonts w:hint="eastAsia" w:ascii="楷体_GB2312" w:hAnsi="楷体_GB2312" w:eastAsia="楷体_GB2312" w:cs="楷体_GB2312"/>
          <w:b/>
          <w:bCs/>
          <w:sz w:val="36"/>
          <w:szCs w:val="36"/>
        </w:rPr>
      </w:pPr>
    </w:p>
    <w:p>
      <w:pPr>
        <w:spacing w:line="360" w:lineRule="auto"/>
        <w:jc w:val="center"/>
        <w:outlineLvl w:val="0"/>
        <w:rPr>
          <w:rFonts w:hint="eastAsia" w:ascii="楷体_GB2312" w:hAnsi="楷体_GB2312" w:eastAsia="楷体_GB2312" w:cs="楷体_GB2312"/>
          <w:b/>
          <w:bCs/>
          <w:sz w:val="36"/>
          <w:szCs w:val="36"/>
        </w:rPr>
      </w:pPr>
    </w:p>
    <w:p>
      <w:pPr>
        <w:spacing w:line="360" w:lineRule="auto"/>
        <w:jc w:val="center"/>
        <w:outlineLvl w:val="0"/>
        <w:rPr>
          <w:rFonts w:hint="eastAsia" w:ascii="楷体_GB2312" w:hAnsi="楷体_GB2312" w:eastAsia="楷体_GB2312" w:cs="楷体_GB2312"/>
          <w:b/>
          <w:bCs/>
          <w:sz w:val="36"/>
          <w:szCs w:val="36"/>
        </w:rPr>
      </w:pPr>
    </w:p>
    <w:p>
      <w:pPr>
        <w:spacing w:line="360" w:lineRule="auto"/>
        <w:jc w:val="center"/>
        <w:outlineLvl w:val="0"/>
        <w:rPr>
          <w:rFonts w:hint="eastAsia" w:ascii="楷体_GB2312" w:hAnsi="楷体_GB2312" w:eastAsia="楷体_GB2312" w:cs="楷体_GB2312"/>
          <w:b/>
          <w:bCs/>
          <w:sz w:val="36"/>
          <w:szCs w:val="36"/>
        </w:rPr>
      </w:pPr>
    </w:p>
    <w:p>
      <w:pPr>
        <w:spacing w:line="360" w:lineRule="auto"/>
        <w:jc w:val="center"/>
        <w:outlineLvl w:val="0"/>
        <w:rPr>
          <w:rFonts w:hint="eastAsia" w:ascii="楷体_GB2312" w:hAnsi="楷体_GB2312" w:eastAsia="楷体_GB2312" w:cs="楷体_GB2312"/>
          <w:b/>
          <w:bCs/>
          <w:sz w:val="36"/>
          <w:szCs w:val="36"/>
        </w:rPr>
      </w:pPr>
    </w:p>
    <w:p>
      <w:pPr>
        <w:spacing w:line="360" w:lineRule="auto"/>
        <w:jc w:val="center"/>
        <w:outlineLvl w:val="0"/>
        <w:rPr>
          <w:rFonts w:hint="eastAsia" w:ascii="楷体_GB2312" w:hAnsi="楷体_GB2312" w:eastAsia="楷体_GB2312" w:cs="楷体_GB2312"/>
          <w:b/>
          <w:bCs/>
          <w:sz w:val="36"/>
          <w:szCs w:val="36"/>
        </w:rPr>
      </w:pPr>
    </w:p>
    <w:p>
      <w:pPr>
        <w:spacing w:line="360" w:lineRule="auto"/>
        <w:jc w:val="center"/>
        <w:outlineLvl w:val="0"/>
        <w:rPr>
          <w:rFonts w:hint="eastAsia" w:ascii="楷体_GB2312" w:hAnsi="楷体_GB2312" w:eastAsia="楷体_GB2312" w:cs="楷体_GB2312"/>
          <w:b/>
          <w:bCs/>
          <w:sz w:val="36"/>
          <w:szCs w:val="36"/>
        </w:rPr>
      </w:pPr>
    </w:p>
    <w:p>
      <w:pPr>
        <w:spacing w:line="360" w:lineRule="auto"/>
        <w:jc w:val="center"/>
        <w:outlineLvl w:val="0"/>
        <w:rPr>
          <w:rFonts w:hint="eastAsia" w:ascii="楷体_GB2312" w:hAnsi="楷体_GB2312" w:eastAsia="楷体_GB2312" w:cs="楷体_GB2312"/>
          <w:b/>
          <w:bCs/>
          <w:sz w:val="36"/>
          <w:szCs w:val="36"/>
        </w:rPr>
      </w:pPr>
    </w:p>
    <w:p>
      <w:pPr>
        <w:spacing w:line="360" w:lineRule="auto"/>
        <w:jc w:val="center"/>
        <w:outlineLvl w:val="0"/>
        <w:rPr>
          <w:rFonts w:hint="eastAsia" w:ascii="楷体" w:hAnsi="楷体" w:eastAsia="楷体" w:cs="楷体"/>
          <w:b/>
          <w:bCs/>
          <w:sz w:val="36"/>
          <w:szCs w:val="36"/>
        </w:rPr>
      </w:pPr>
      <w:r>
        <w:rPr>
          <w:rFonts w:hint="eastAsia" w:ascii="楷体" w:hAnsi="楷体" w:eastAsia="楷体" w:cs="楷体"/>
          <w:b/>
          <w:bCs/>
          <w:sz w:val="36"/>
          <w:szCs w:val="36"/>
        </w:rPr>
        <w:t>房地产估价结果报告</w:t>
      </w:r>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1"/>
        <w:rPr>
          <w:rFonts w:hint="eastAsia" w:ascii="楷体" w:hAnsi="楷体" w:eastAsia="楷体" w:cs="楷体"/>
          <w:b/>
          <w:sz w:val="28"/>
          <w:szCs w:val="28"/>
          <w:lang w:eastAsia="zh-CN"/>
        </w:rPr>
      </w:pPr>
      <w:bookmarkStart w:id="12" w:name="_Toc7946"/>
      <w:bookmarkStart w:id="13" w:name="_Toc18247"/>
      <w:bookmarkStart w:id="14" w:name="_Toc14759"/>
      <w:bookmarkStart w:id="15" w:name="_Toc467076843"/>
      <w:r>
        <w:rPr>
          <w:rFonts w:hint="eastAsia" w:ascii="楷体" w:hAnsi="楷体" w:eastAsia="楷体" w:cs="楷体"/>
          <w:b/>
          <w:sz w:val="28"/>
          <w:szCs w:val="28"/>
        </w:rPr>
        <w:t>一、委托</w:t>
      </w:r>
      <w:bookmarkEnd w:id="12"/>
      <w:bookmarkEnd w:id="13"/>
      <w:bookmarkEnd w:id="14"/>
      <w:bookmarkEnd w:id="15"/>
      <w:r>
        <w:rPr>
          <w:rFonts w:hint="eastAsia" w:ascii="楷体" w:hAnsi="楷体" w:eastAsia="楷体" w:cs="楷体"/>
          <w:b/>
          <w:sz w:val="28"/>
          <w:szCs w:val="28"/>
          <w:lang w:val="en-US" w:eastAsia="zh-CN"/>
        </w:rPr>
        <w:t>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sz w:val="28"/>
          <w:lang w:eastAsia="zh-CN"/>
        </w:rPr>
      </w:pPr>
      <w:r>
        <w:rPr>
          <w:rFonts w:hint="eastAsia" w:ascii="楷体" w:hAnsi="楷体" w:eastAsia="楷体" w:cs="楷体"/>
          <w:sz w:val="28"/>
        </w:rPr>
        <w:t>名 称：</w:t>
      </w:r>
      <w:r>
        <w:rPr>
          <w:rFonts w:hint="eastAsia" w:ascii="楷体" w:hAnsi="楷体" w:eastAsia="楷体" w:cs="楷体"/>
          <w:sz w:val="28"/>
          <w:lang w:val="en-US" w:eastAsia="zh-CN"/>
        </w:rPr>
        <w:t>应城市</w:t>
      </w:r>
      <w:r>
        <w:rPr>
          <w:rFonts w:hint="eastAsia" w:ascii="楷体" w:hAnsi="楷体" w:eastAsia="楷体" w:cs="楷体"/>
          <w:sz w:val="28"/>
          <w:lang w:eastAsia="zh-CN"/>
        </w:rPr>
        <w:t>人民法院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sz w:val="28"/>
          <w:lang w:val="en-US" w:eastAsia="zh-CN"/>
        </w:rPr>
      </w:pPr>
      <w:r>
        <w:rPr>
          <w:rFonts w:hint="eastAsia" w:ascii="楷体" w:hAnsi="楷体" w:eastAsia="楷体" w:cs="楷体"/>
          <w:sz w:val="28"/>
        </w:rPr>
        <w:t>地 址：</w:t>
      </w:r>
      <w:r>
        <w:rPr>
          <w:rFonts w:hint="eastAsia" w:ascii="楷体" w:hAnsi="楷体" w:eastAsia="楷体" w:cs="楷体"/>
          <w:sz w:val="28"/>
          <w:lang w:val="en-US" w:eastAsia="zh-CN"/>
        </w:rPr>
        <w:t>孝感市应城市蒲阳大道37号</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1"/>
        <w:rPr>
          <w:rFonts w:hint="eastAsia" w:ascii="楷体" w:hAnsi="楷体" w:eastAsia="楷体" w:cs="楷体"/>
          <w:b/>
          <w:sz w:val="28"/>
          <w:szCs w:val="28"/>
          <w:lang w:val="en-US" w:eastAsia="zh-CN"/>
        </w:rPr>
      </w:pPr>
      <w:bookmarkStart w:id="16" w:name="_Toc21967"/>
      <w:bookmarkStart w:id="17" w:name="_Toc11921"/>
      <w:bookmarkStart w:id="18" w:name="_Toc10485"/>
      <w:bookmarkStart w:id="19" w:name="_Toc467076844"/>
      <w:r>
        <w:rPr>
          <w:rFonts w:hint="eastAsia" w:ascii="楷体" w:hAnsi="楷体" w:eastAsia="楷体" w:cs="楷体"/>
          <w:b/>
          <w:sz w:val="28"/>
          <w:szCs w:val="28"/>
        </w:rPr>
        <w:t>二、</w:t>
      </w:r>
      <w:bookmarkEnd w:id="16"/>
      <w:bookmarkEnd w:id="17"/>
      <w:bookmarkEnd w:id="18"/>
      <w:bookmarkEnd w:id="19"/>
      <w:r>
        <w:rPr>
          <w:rFonts w:hint="eastAsia" w:ascii="楷体" w:hAnsi="楷体" w:eastAsia="楷体" w:cs="楷体"/>
          <w:b/>
          <w:sz w:val="28"/>
          <w:szCs w:val="28"/>
          <w:lang w:val="en-US" w:eastAsia="zh-CN"/>
        </w:rPr>
        <w:t>估价方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sz w:val="28"/>
          <w:szCs w:val="28"/>
        </w:rPr>
      </w:pPr>
      <w:r>
        <w:rPr>
          <w:rFonts w:hint="eastAsia" w:ascii="楷体" w:hAnsi="楷体" w:eastAsia="楷体" w:cs="楷体"/>
          <w:sz w:val="28"/>
          <w:szCs w:val="28"/>
        </w:rPr>
        <w:t xml:space="preserve">机构名称：湖北方联房地产评估咨询有限责任公司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sz w:val="28"/>
          <w:szCs w:val="28"/>
        </w:rPr>
      </w:pPr>
      <w:r>
        <w:rPr>
          <w:rFonts w:hint="eastAsia" w:ascii="楷体" w:hAnsi="楷体" w:eastAsia="楷体" w:cs="楷体"/>
          <w:sz w:val="28"/>
          <w:szCs w:val="28"/>
        </w:rPr>
        <w:t xml:space="preserve">法定代表人：陈硕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sz w:val="28"/>
          <w:szCs w:val="28"/>
        </w:rPr>
      </w:pPr>
      <w:r>
        <w:rPr>
          <w:rFonts w:hint="eastAsia" w:ascii="楷体" w:hAnsi="楷体" w:eastAsia="楷体" w:cs="楷体"/>
          <w:sz w:val="28"/>
          <w:szCs w:val="28"/>
        </w:rPr>
        <w:t xml:space="preserve">住所：孝感市北京路 53 号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sz w:val="28"/>
          <w:szCs w:val="28"/>
        </w:rPr>
      </w:pPr>
      <w:r>
        <w:rPr>
          <w:rFonts w:hint="eastAsia" w:ascii="楷体" w:hAnsi="楷体" w:eastAsia="楷体" w:cs="楷体"/>
          <w:sz w:val="28"/>
          <w:szCs w:val="28"/>
        </w:rPr>
        <w:t xml:space="preserve">统一社会信用代码：91420900764113160M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sz w:val="28"/>
          <w:szCs w:val="28"/>
        </w:rPr>
      </w:pPr>
      <w:r>
        <w:rPr>
          <w:rFonts w:hint="eastAsia" w:ascii="楷体" w:hAnsi="楷体" w:eastAsia="楷体" w:cs="楷体"/>
          <w:sz w:val="28"/>
          <w:szCs w:val="28"/>
        </w:rPr>
        <w:t>备案等级：房地产估价机构备案贰级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sz w:val="28"/>
          <w:szCs w:val="28"/>
        </w:rPr>
      </w:pPr>
      <w:r>
        <w:rPr>
          <w:rFonts w:hint="eastAsia" w:ascii="楷体" w:hAnsi="楷体" w:eastAsia="楷体" w:cs="楷体"/>
          <w:sz w:val="28"/>
          <w:szCs w:val="28"/>
        </w:rPr>
        <w:t>证书编号：孝建估证字第 003 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sz w:val="28"/>
          <w:szCs w:val="28"/>
        </w:rPr>
      </w:pPr>
      <w:r>
        <w:rPr>
          <w:rFonts w:hint="eastAsia" w:ascii="楷体" w:hAnsi="楷体" w:eastAsia="楷体" w:cs="楷体"/>
          <w:sz w:val="28"/>
          <w:szCs w:val="28"/>
        </w:rPr>
        <w:t xml:space="preserve">联 系 人：李宗义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sz w:val="28"/>
        </w:rPr>
      </w:pPr>
      <w:r>
        <w:rPr>
          <w:rFonts w:hint="eastAsia" w:ascii="楷体" w:hAnsi="楷体" w:eastAsia="楷体" w:cs="楷体"/>
          <w:sz w:val="28"/>
          <w:szCs w:val="28"/>
        </w:rPr>
        <w:t>联系电话：0712-5221977 13307296798</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1"/>
        <w:rPr>
          <w:rFonts w:hint="eastAsia" w:ascii="楷体" w:hAnsi="楷体" w:eastAsia="楷体" w:cs="楷体"/>
          <w:b/>
          <w:sz w:val="28"/>
          <w:szCs w:val="28"/>
        </w:rPr>
      </w:pPr>
      <w:bookmarkStart w:id="20" w:name="_Toc467076845"/>
      <w:bookmarkStart w:id="21" w:name="_Toc14160"/>
      <w:bookmarkStart w:id="22" w:name="_Toc4900"/>
      <w:bookmarkStart w:id="23" w:name="_Toc29659"/>
      <w:r>
        <w:rPr>
          <w:rFonts w:hint="eastAsia" w:ascii="楷体" w:hAnsi="楷体" w:eastAsia="楷体" w:cs="楷体"/>
          <w:b/>
          <w:sz w:val="28"/>
          <w:szCs w:val="28"/>
        </w:rPr>
        <w:t>估价目的</w:t>
      </w:r>
      <w:bookmarkEnd w:id="20"/>
      <w:bookmarkEnd w:id="21"/>
      <w:bookmarkEnd w:id="22"/>
      <w:bookmarkEnd w:id="23"/>
    </w:p>
    <w:p>
      <w:pPr>
        <w:keepNext w:val="0"/>
        <w:keepLines w:val="0"/>
        <w:pageBreakBefore w:val="0"/>
        <w:widowControl w:val="0"/>
        <w:tabs>
          <w:tab w:val="left" w:pos="5360"/>
        </w:tabs>
        <w:kinsoku/>
        <w:wordWrap/>
        <w:overflowPunct/>
        <w:topLinePunct w:val="0"/>
        <w:autoSpaceDE/>
        <w:autoSpaceDN/>
        <w:bidi w:val="0"/>
        <w:adjustRightInd/>
        <w:snapToGrid/>
        <w:spacing w:line="600" w:lineRule="exact"/>
        <w:ind w:firstLine="560" w:firstLineChars="200"/>
        <w:textAlignment w:val="auto"/>
        <w:outlineLvl w:val="0"/>
        <w:rPr>
          <w:rFonts w:hint="eastAsia" w:ascii="楷体" w:hAnsi="楷体" w:eastAsia="楷体" w:cs="楷体"/>
          <w:b/>
          <w:bCs/>
          <w:sz w:val="28"/>
        </w:rPr>
      </w:pPr>
      <w:r>
        <w:rPr>
          <w:rFonts w:hint="eastAsia" w:ascii="楷体" w:hAnsi="楷体" w:eastAsia="楷体" w:cs="楷体"/>
          <w:sz w:val="28"/>
          <w:szCs w:val="28"/>
        </w:rPr>
        <w:t>评估估价对象在价值时点的房地产市场价格，为人民法院确定财产处置参考价提供参考依据。</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1"/>
        <w:rPr>
          <w:rFonts w:hint="eastAsia" w:ascii="楷体" w:hAnsi="楷体" w:eastAsia="楷体" w:cs="楷体"/>
          <w:b/>
          <w:sz w:val="28"/>
          <w:szCs w:val="28"/>
        </w:rPr>
      </w:pPr>
      <w:bookmarkStart w:id="24" w:name="_Toc467076846"/>
      <w:bookmarkStart w:id="25" w:name="_Toc31657"/>
      <w:bookmarkStart w:id="26" w:name="_Toc25390"/>
      <w:bookmarkStart w:id="27" w:name="_Toc15402"/>
      <w:r>
        <w:rPr>
          <w:rFonts w:hint="eastAsia" w:ascii="楷体" w:hAnsi="楷体" w:eastAsia="楷体" w:cs="楷体"/>
          <w:b/>
          <w:sz w:val="28"/>
          <w:szCs w:val="28"/>
        </w:rPr>
        <w:t>四、估价对象</w:t>
      </w:r>
      <w:bookmarkEnd w:id="24"/>
      <w:bookmarkEnd w:id="25"/>
      <w:bookmarkEnd w:id="26"/>
      <w:bookmarkEnd w:id="27"/>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楷体" w:hAnsi="楷体" w:eastAsia="楷体" w:cs="楷体"/>
          <w:b/>
          <w:sz w:val="28"/>
        </w:rPr>
      </w:pPr>
      <w:r>
        <w:rPr>
          <w:rFonts w:hint="eastAsia" w:ascii="楷体" w:hAnsi="楷体" w:eastAsia="楷体" w:cs="楷体"/>
          <w:b/>
          <w:sz w:val="28"/>
          <w:lang w:eastAsia="zh-CN"/>
        </w:rPr>
        <w:t>（</w:t>
      </w:r>
      <w:r>
        <w:rPr>
          <w:rFonts w:hint="eastAsia" w:ascii="楷体" w:hAnsi="楷体" w:eastAsia="楷体" w:cs="楷体"/>
          <w:b/>
          <w:sz w:val="28"/>
          <w:lang w:val="en-US" w:eastAsia="zh-CN"/>
        </w:rPr>
        <w:t>一）</w:t>
      </w:r>
      <w:r>
        <w:rPr>
          <w:rFonts w:hint="eastAsia" w:ascii="楷体" w:hAnsi="楷体" w:eastAsia="楷体" w:cs="楷体"/>
          <w:b/>
          <w:sz w:val="28"/>
        </w:rPr>
        <w:t>估价范围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eastAsia="zh-CN"/>
        </w:rPr>
        <w:t>根据委托方提供的《不动产权证书》复印件可知，</w:t>
      </w:r>
      <w:r>
        <w:rPr>
          <w:rFonts w:hint="eastAsia" w:ascii="楷体" w:hAnsi="楷体" w:eastAsia="楷体" w:cs="楷体"/>
          <w:sz w:val="28"/>
          <w:szCs w:val="28"/>
        </w:rPr>
        <w:t>此次估价</w:t>
      </w:r>
      <w:r>
        <w:rPr>
          <w:rFonts w:hint="eastAsia" w:ascii="楷体" w:hAnsi="楷体" w:eastAsia="楷体" w:cs="楷体"/>
          <w:sz w:val="28"/>
          <w:szCs w:val="28"/>
          <w:lang w:eastAsia="zh-CN"/>
        </w:rPr>
        <w:t>对象的</w:t>
      </w:r>
      <w:r>
        <w:rPr>
          <w:rFonts w:hint="eastAsia" w:ascii="楷体" w:hAnsi="楷体" w:eastAsia="楷体" w:cs="楷体"/>
          <w:sz w:val="28"/>
          <w:szCs w:val="28"/>
        </w:rPr>
        <w:t>范围</w:t>
      </w:r>
      <w:r>
        <w:rPr>
          <w:rFonts w:hint="eastAsia" w:ascii="楷体" w:hAnsi="楷体" w:eastAsia="楷体" w:cs="楷体"/>
          <w:sz w:val="28"/>
          <w:szCs w:val="28"/>
          <w:lang w:eastAsia="zh-CN"/>
        </w:rPr>
        <w:t>为</w:t>
      </w:r>
      <w:r>
        <w:rPr>
          <w:rFonts w:hint="eastAsia" w:ascii="楷体" w:hAnsi="楷体" w:eastAsia="楷体" w:cs="楷体"/>
          <w:sz w:val="28"/>
          <w:szCs w:val="28"/>
          <w:lang w:val="en-US" w:eastAsia="zh-CN"/>
        </w:rPr>
        <w:t>夏竹轩所属位于武汉市东湖新技术开发区大学园路1号武汉万科城市花园特一区A2单元2层01室</w:t>
      </w:r>
      <w:r>
        <w:rPr>
          <w:rFonts w:hint="eastAsia" w:ascii="楷体" w:hAnsi="楷体" w:eastAsia="楷体" w:cs="楷体"/>
          <w:sz w:val="28"/>
          <w:szCs w:val="28"/>
        </w:rPr>
        <w:t>住宅房地产，建筑面积</w:t>
      </w:r>
      <w:r>
        <w:rPr>
          <w:rFonts w:hint="eastAsia" w:ascii="楷体" w:hAnsi="楷体" w:eastAsia="楷体" w:cs="楷体"/>
          <w:sz w:val="28"/>
          <w:szCs w:val="28"/>
          <w:lang w:val="en-US" w:eastAsia="zh-CN"/>
        </w:rPr>
        <w:t>108.15</w:t>
      </w:r>
      <w:r>
        <w:rPr>
          <w:rFonts w:hint="eastAsia" w:ascii="楷体" w:hAnsi="楷体" w:eastAsia="楷体" w:cs="楷体"/>
          <w:sz w:val="28"/>
          <w:szCs w:val="28"/>
        </w:rPr>
        <w:t>㎡，分摊的土地使用权面积</w:t>
      </w:r>
      <w:r>
        <w:rPr>
          <w:rFonts w:hint="eastAsia" w:ascii="楷体" w:hAnsi="楷体" w:eastAsia="楷体" w:cs="楷体"/>
          <w:sz w:val="28"/>
          <w:szCs w:val="28"/>
          <w:lang w:val="en-US" w:eastAsia="zh-CN"/>
        </w:rPr>
        <w:t>14.95㎡，</w:t>
      </w:r>
      <w:r>
        <w:rPr>
          <w:rFonts w:hint="eastAsia" w:ascii="楷体" w:hAnsi="楷体" w:eastAsia="楷体" w:cs="楷体"/>
          <w:sz w:val="28"/>
          <w:szCs w:val="28"/>
        </w:rPr>
        <w:t>以及与房地产不可分割的满足其使用功能的供水、供电、排水、消防等基础配套设施</w:t>
      </w:r>
      <w:r>
        <w:rPr>
          <w:rFonts w:hint="eastAsia" w:ascii="楷体" w:hAnsi="楷体" w:eastAsia="楷体" w:cs="楷体"/>
          <w:sz w:val="28"/>
          <w:szCs w:val="28"/>
          <w:lang w:eastAsia="zh-CN"/>
        </w:rPr>
        <w:t>及装饰装修价值</w:t>
      </w:r>
      <w:r>
        <w:rPr>
          <w:rFonts w:hint="eastAsia" w:ascii="楷体" w:hAnsi="楷体" w:eastAsia="楷体" w:cs="楷体"/>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281" w:firstLineChars="100"/>
        <w:textAlignment w:val="auto"/>
        <w:rPr>
          <w:rFonts w:hint="eastAsia" w:ascii="楷体" w:hAnsi="楷体" w:eastAsia="楷体" w:cs="楷体"/>
          <w:b/>
          <w:sz w:val="28"/>
        </w:rPr>
      </w:pPr>
      <w:r>
        <w:rPr>
          <w:rFonts w:hint="eastAsia" w:ascii="楷体" w:hAnsi="楷体" w:eastAsia="楷体" w:cs="楷体"/>
          <w:b/>
          <w:sz w:val="28"/>
          <w:lang w:eastAsia="zh-CN"/>
        </w:rPr>
        <w:t>（</w:t>
      </w:r>
      <w:r>
        <w:rPr>
          <w:rFonts w:hint="eastAsia" w:ascii="楷体" w:hAnsi="楷体" w:eastAsia="楷体" w:cs="楷体"/>
          <w:b/>
          <w:sz w:val="28"/>
          <w:lang w:val="en-US" w:eastAsia="zh-CN"/>
        </w:rPr>
        <w:t>二）估价对象房地产坐落</w:t>
      </w:r>
      <w:bookmarkStart w:id="57" w:name="_GoBack"/>
      <w:bookmarkEnd w:id="57"/>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估价对象房地产位于武汉市东湖新技术开发区大学园路1号武汉万</w:t>
      </w:r>
      <w:r>
        <w:rPr>
          <w:rFonts w:hint="eastAsia" w:ascii="楷体" w:hAnsi="楷体" w:eastAsia="楷体" w:cs="楷体"/>
          <w:sz w:val="28"/>
          <w:szCs w:val="28"/>
          <w:lang w:val="en-US" w:eastAsia="zh-CN"/>
        </w:rPr>
        <w:t>科</w:t>
      </w:r>
      <w:r>
        <w:rPr>
          <w:rFonts w:hint="eastAsia" w:ascii="楷体" w:hAnsi="楷体" w:eastAsia="楷体" w:cs="楷体"/>
          <w:sz w:val="28"/>
          <w:szCs w:val="28"/>
        </w:rPr>
        <w:t>城市花园特一区A2单元2层01室，</w:t>
      </w:r>
      <w:r>
        <w:rPr>
          <w:rFonts w:hint="eastAsia" w:ascii="楷体" w:hAnsi="楷体" w:eastAsia="楷体" w:cs="楷体"/>
          <w:color w:val="000000" w:themeColor="text1"/>
          <w:sz w:val="28"/>
          <w:szCs w:val="28"/>
        </w:rPr>
        <w:t>临</w:t>
      </w:r>
      <w:r>
        <w:rPr>
          <w:rFonts w:hint="eastAsia" w:ascii="楷体" w:hAnsi="楷体" w:eastAsia="楷体" w:cs="楷体"/>
          <w:color w:val="000000" w:themeColor="text1"/>
          <w:sz w:val="28"/>
          <w:szCs w:val="28"/>
          <w:lang w:val="en-US" w:eastAsia="zh-CN"/>
        </w:rPr>
        <w:t>大学园路</w:t>
      </w:r>
      <w:r>
        <w:rPr>
          <w:rFonts w:hint="eastAsia" w:ascii="楷体" w:hAnsi="楷体" w:eastAsia="楷体" w:cs="楷体"/>
          <w:sz w:val="28"/>
          <w:szCs w:val="28"/>
        </w:rPr>
        <w:t>，估价对象房地产具体位置详见下图所示：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_GB2312" w:eastAsia="楷体_GB2312"/>
          <w:sz w:val="28"/>
          <w:szCs w:val="28"/>
        </w:rPr>
      </w:pPr>
      <w:r>
        <w:rPr>
          <w:rFonts w:hint="eastAsia" w:ascii="楷体_GB2312" w:eastAsia="楷体_GB2312"/>
          <w:sz w:val="28"/>
          <w:szCs w:val="28"/>
        </w:rPr>
        <w:pict>
          <v:shape id="_x0000_i1025" o:spt="75" alt="地理位置图" type="#_x0000_t75" style="height:276.25pt;width:439.2pt;" filled="f" o:preferrelative="t" stroked="f" coordsize="21600,21600">
            <v:path/>
            <v:fill on="f" focussize="0,0"/>
            <v:stroke on="f"/>
            <v:imagedata r:id="rId9" o:title="地理位置图"/>
            <o:lock v:ext="edit" aspectratio="t"/>
            <w10:wrap type="none"/>
            <w10:anchorlock/>
          </v:shape>
        </w:pic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b/>
          <w:bCs/>
          <w:sz w:val="28"/>
          <w:szCs w:val="28"/>
        </w:rPr>
      </w:pPr>
      <w:r>
        <w:rPr>
          <w:rFonts w:hint="eastAsia" w:ascii="楷体" w:hAnsi="楷体" w:eastAsia="楷体" w:cs="楷体"/>
          <w:b/>
          <w:bCs/>
          <w:sz w:val="28"/>
          <w:szCs w:val="28"/>
        </w:rPr>
        <w:t>（三）公共配套设施完善程度及交通程度</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楷体" w:hAnsi="楷体" w:eastAsia="楷体" w:cs="楷体"/>
          <w:b w:val="0"/>
          <w:bCs/>
          <w:sz w:val="28"/>
        </w:rPr>
      </w:pPr>
      <w:bookmarkStart w:id="28" w:name="实物"/>
      <w:r>
        <w:rPr>
          <w:rFonts w:hint="eastAsia" w:ascii="楷体" w:hAnsi="楷体" w:eastAsia="楷体" w:cs="楷体"/>
          <w:b w:val="0"/>
          <w:bCs/>
          <w:sz w:val="28"/>
        </w:rPr>
        <w:t>估价对象房地产位于武汉市东湖新技术开发区大学园路1号武汉万</w:t>
      </w:r>
      <w:r>
        <w:rPr>
          <w:rFonts w:hint="eastAsia" w:ascii="楷体" w:hAnsi="楷体" w:eastAsia="楷体" w:cs="楷体"/>
          <w:b w:val="0"/>
          <w:bCs/>
          <w:sz w:val="28"/>
          <w:lang w:val="en-US" w:eastAsia="zh-CN"/>
        </w:rPr>
        <w:t>科</w:t>
      </w:r>
      <w:r>
        <w:rPr>
          <w:rFonts w:hint="eastAsia" w:ascii="楷体" w:hAnsi="楷体" w:eastAsia="楷体" w:cs="楷体"/>
          <w:b w:val="0"/>
          <w:bCs/>
          <w:sz w:val="28"/>
        </w:rPr>
        <w:t>城市花园特一区A2单元2层01室，所处地段有多条主次干道，路面宽阔</w:t>
      </w:r>
      <w:r>
        <w:rPr>
          <w:rFonts w:hint="eastAsia" w:ascii="楷体" w:hAnsi="楷体" w:eastAsia="楷体" w:cs="楷体"/>
          <w:b w:val="0"/>
          <w:bCs/>
          <w:sz w:val="28"/>
          <w:lang w:eastAsia="zh-CN"/>
        </w:rPr>
        <w:t>，</w:t>
      </w:r>
      <w:r>
        <w:rPr>
          <w:rFonts w:hint="eastAsia" w:ascii="楷体" w:hAnsi="楷体" w:eastAsia="楷体" w:cs="楷体"/>
          <w:b w:val="0"/>
          <w:bCs/>
          <w:sz w:val="28"/>
        </w:rPr>
        <w:t>人、车流量较大，交通便捷度高，通达程度高。估价对象附近有</w:t>
      </w:r>
      <w:r>
        <w:rPr>
          <w:rFonts w:hint="eastAsia" w:ascii="楷体" w:hAnsi="楷体" w:eastAsia="楷体" w:cs="楷体"/>
          <w:b w:val="0"/>
          <w:bCs/>
          <w:sz w:val="28"/>
          <w:lang w:val="en-US" w:eastAsia="zh-CN"/>
        </w:rPr>
        <w:t>城市花园上东区</w:t>
      </w:r>
      <w:r>
        <w:rPr>
          <w:rFonts w:hint="eastAsia" w:ascii="楷体" w:hAnsi="楷体" w:eastAsia="楷体" w:cs="楷体"/>
          <w:b w:val="0"/>
          <w:bCs/>
          <w:sz w:val="28"/>
        </w:rPr>
        <w:t>、</w:t>
      </w:r>
      <w:r>
        <w:rPr>
          <w:rFonts w:hint="eastAsia" w:ascii="楷体" w:hAnsi="楷体" w:eastAsia="楷体" w:cs="楷体"/>
          <w:b w:val="0"/>
          <w:bCs/>
          <w:sz w:val="28"/>
          <w:lang w:val="en-US" w:eastAsia="zh-CN"/>
        </w:rPr>
        <w:t>城市花园上西区</w:t>
      </w:r>
      <w:r>
        <w:rPr>
          <w:rFonts w:hint="eastAsia" w:ascii="楷体" w:hAnsi="楷体" w:eastAsia="楷体" w:cs="楷体"/>
          <w:b w:val="0"/>
          <w:bCs/>
          <w:sz w:val="28"/>
        </w:rPr>
        <w:t>等大中型住宅区，给排水、供电、通讯、通路等外部基础配套设施齐全完备，所在区域公共服务设施十分完善，</w:t>
      </w:r>
      <w:r>
        <w:rPr>
          <w:rFonts w:hint="eastAsia" w:ascii="楷体" w:hAnsi="楷体" w:eastAsia="楷体" w:cs="楷体"/>
          <w:b w:val="0"/>
          <w:bCs/>
          <w:color w:val="000000" w:themeColor="text1"/>
          <w:sz w:val="28"/>
        </w:rPr>
        <w:t>周边有</w:t>
      </w:r>
      <w:r>
        <w:rPr>
          <w:rFonts w:hint="eastAsia" w:ascii="楷体" w:hAnsi="楷体" w:eastAsia="楷体" w:cs="楷体"/>
          <w:b w:val="0"/>
          <w:bCs/>
          <w:color w:val="000000" w:themeColor="text1"/>
          <w:sz w:val="28"/>
          <w:lang w:val="en-US" w:eastAsia="zh-CN"/>
        </w:rPr>
        <w:t>书香5号书店</w:t>
      </w:r>
      <w:r>
        <w:rPr>
          <w:rFonts w:hint="eastAsia" w:ascii="楷体" w:hAnsi="楷体" w:eastAsia="楷体" w:cs="楷体"/>
          <w:b w:val="0"/>
          <w:bCs/>
          <w:color w:val="000000" w:themeColor="text1"/>
          <w:sz w:val="28"/>
        </w:rPr>
        <w:t>、</w:t>
      </w:r>
      <w:r>
        <w:rPr>
          <w:rFonts w:hint="eastAsia" w:ascii="楷体" w:hAnsi="楷体" w:eastAsia="楷体" w:cs="楷体"/>
          <w:b w:val="0"/>
          <w:bCs/>
          <w:color w:val="000000" w:themeColor="text1"/>
          <w:sz w:val="28"/>
          <w:lang w:val="en-US" w:eastAsia="zh-CN"/>
        </w:rPr>
        <w:t>阳光海会所</w:t>
      </w:r>
      <w:r>
        <w:rPr>
          <w:rFonts w:hint="eastAsia" w:ascii="楷体" w:hAnsi="楷体" w:eastAsia="楷体" w:cs="楷体"/>
          <w:b w:val="0"/>
          <w:bCs/>
          <w:color w:val="000000" w:themeColor="text1"/>
          <w:sz w:val="28"/>
        </w:rPr>
        <w:t>、</w:t>
      </w:r>
      <w:r>
        <w:rPr>
          <w:rFonts w:hint="eastAsia" w:ascii="楷体" w:hAnsi="楷体" w:eastAsia="楷体" w:cs="楷体"/>
          <w:b w:val="0"/>
          <w:bCs/>
          <w:color w:val="000000" w:themeColor="text1"/>
          <w:sz w:val="28"/>
          <w:lang w:val="en-US" w:eastAsia="zh-CN"/>
        </w:rPr>
        <w:t>乐享之星青少年羽毛球训练营、银行、超市</w:t>
      </w:r>
      <w:r>
        <w:rPr>
          <w:rFonts w:hint="eastAsia" w:ascii="楷体" w:hAnsi="楷体" w:eastAsia="楷体" w:cs="楷体"/>
          <w:b w:val="0"/>
          <w:bCs/>
          <w:color w:val="000000" w:themeColor="text1"/>
          <w:sz w:val="28"/>
        </w:rPr>
        <w:t>等</w:t>
      </w:r>
      <w:r>
        <w:rPr>
          <w:rFonts w:hint="eastAsia" w:ascii="楷体" w:hAnsi="楷体" w:eastAsia="楷体" w:cs="楷体"/>
          <w:b w:val="0"/>
          <w:bCs/>
          <w:sz w:val="28"/>
        </w:rPr>
        <w:t xml:space="preserve">公共配套设施齐全完善，能满足附近居民生活需要，对估价对象房地产市场价值有一定有利影响。 </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楷体" w:hAnsi="楷体" w:eastAsia="楷体" w:cs="楷体"/>
          <w:b/>
          <w:bCs w:val="0"/>
          <w:sz w:val="28"/>
          <w:lang w:val="en-US" w:eastAsia="zh-CN"/>
        </w:rPr>
      </w:pPr>
      <w:r>
        <w:rPr>
          <w:rFonts w:hint="eastAsia" w:ascii="楷体" w:hAnsi="楷体" w:eastAsia="楷体" w:cs="楷体"/>
          <w:b/>
          <w:bCs w:val="0"/>
          <w:sz w:val="28"/>
        </w:rPr>
        <w:t>（四）实物状况</w:t>
      </w:r>
      <w:r>
        <w:rPr>
          <w:rFonts w:hint="eastAsia" w:ascii="楷体" w:hAnsi="楷体" w:eastAsia="楷体" w:cs="楷体"/>
          <w:b/>
          <w:bCs w:val="0"/>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楷体" w:hAnsi="楷体" w:eastAsia="楷体" w:cs="楷体"/>
          <w:b w:val="0"/>
          <w:bCs/>
          <w:sz w:val="28"/>
        </w:rPr>
      </w:pPr>
      <w:r>
        <w:rPr>
          <w:rFonts w:hint="eastAsia" w:ascii="楷体" w:hAnsi="楷体" w:eastAsia="楷体" w:cs="楷体"/>
          <w:b w:val="0"/>
          <w:bCs/>
          <w:sz w:val="28"/>
        </w:rPr>
        <w:t xml:space="preserve"> 1、建筑物情况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楷体" w:hAnsi="楷体" w:eastAsia="楷体" w:cs="楷体"/>
          <w:b w:val="0"/>
          <w:bCs/>
          <w:sz w:val="28"/>
        </w:rPr>
      </w:pPr>
      <w:r>
        <w:rPr>
          <w:rFonts w:hint="eastAsia" w:ascii="楷体" w:hAnsi="楷体" w:eastAsia="楷体" w:cs="楷体"/>
          <w:b w:val="0"/>
          <w:bCs/>
          <w:sz w:val="28"/>
        </w:rPr>
        <w:t>本次估价对象房地产位于武汉市东湖新技术开发区大学园路1号武汉万</w:t>
      </w:r>
      <w:r>
        <w:rPr>
          <w:rFonts w:hint="eastAsia" w:ascii="楷体" w:hAnsi="楷体" w:eastAsia="楷体" w:cs="楷体"/>
          <w:b w:val="0"/>
          <w:bCs/>
          <w:sz w:val="28"/>
          <w:lang w:val="en-US" w:eastAsia="zh-CN"/>
        </w:rPr>
        <w:t>科</w:t>
      </w:r>
      <w:r>
        <w:rPr>
          <w:rFonts w:hint="eastAsia" w:ascii="楷体" w:hAnsi="楷体" w:eastAsia="楷体" w:cs="楷体"/>
          <w:b w:val="0"/>
          <w:bCs/>
          <w:sz w:val="28"/>
        </w:rPr>
        <w:t>城市花园特一区A2单元2层01室，房地产建于</w:t>
      </w:r>
      <w:r>
        <w:rPr>
          <w:rFonts w:hint="eastAsia" w:ascii="楷体" w:hAnsi="楷体" w:eastAsia="楷体" w:cs="楷体"/>
          <w:b w:val="0"/>
          <w:bCs/>
          <w:color w:val="auto"/>
          <w:sz w:val="28"/>
        </w:rPr>
        <w:t>2005</w:t>
      </w:r>
      <w:r>
        <w:rPr>
          <w:rFonts w:hint="eastAsia" w:ascii="楷体" w:hAnsi="楷体" w:eastAsia="楷体" w:cs="楷体"/>
          <w:b w:val="0"/>
          <w:bCs/>
          <w:sz w:val="28"/>
        </w:rPr>
        <w:t>年左右，估价对象建筑面积</w:t>
      </w:r>
      <w:r>
        <w:rPr>
          <w:rFonts w:hint="eastAsia" w:ascii="楷体" w:hAnsi="楷体" w:eastAsia="楷体" w:cs="楷体"/>
          <w:b w:val="0"/>
          <w:bCs/>
          <w:sz w:val="28"/>
          <w:lang w:val="en-US" w:eastAsia="zh-CN"/>
        </w:rPr>
        <w:t>108.15</w:t>
      </w:r>
      <w:r>
        <w:rPr>
          <w:rFonts w:hint="eastAsia" w:ascii="楷体" w:hAnsi="楷体" w:eastAsia="楷体" w:cs="楷体"/>
          <w:b w:val="0"/>
          <w:bCs/>
          <w:sz w:val="28"/>
        </w:rPr>
        <w:t>㎡,所在房地产总层数为</w:t>
      </w:r>
      <w:r>
        <w:rPr>
          <w:rFonts w:hint="eastAsia" w:ascii="楷体" w:hAnsi="楷体" w:eastAsia="楷体" w:cs="楷体"/>
          <w:b w:val="0"/>
          <w:bCs/>
          <w:sz w:val="28"/>
          <w:lang w:val="en-US" w:eastAsia="zh-CN"/>
        </w:rPr>
        <w:t>9</w:t>
      </w:r>
      <w:r>
        <w:rPr>
          <w:rFonts w:hint="eastAsia" w:ascii="楷体" w:hAnsi="楷体" w:eastAsia="楷体" w:cs="楷体"/>
          <w:b w:val="0"/>
          <w:bCs/>
          <w:sz w:val="28"/>
        </w:rPr>
        <w:t>层，所在层为2层，</w:t>
      </w:r>
      <w:r>
        <w:rPr>
          <w:rFonts w:hint="eastAsia" w:ascii="楷体" w:hAnsi="楷体" w:eastAsia="楷体" w:cs="楷体"/>
          <w:b w:val="0"/>
          <w:bCs/>
          <w:sz w:val="28"/>
          <w:lang w:eastAsia="zh-CN"/>
        </w:rPr>
        <w:t>电梯</w:t>
      </w:r>
      <w:r>
        <w:rPr>
          <w:rFonts w:hint="eastAsia" w:ascii="楷体" w:hAnsi="楷体" w:eastAsia="楷体" w:cs="楷体"/>
          <w:b w:val="0"/>
          <w:bCs/>
          <w:sz w:val="28"/>
        </w:rPr>
        <w:t>房，</w:t>
      </w:r>
      <w:r>
        <w:rPr>
          <w:rFonts w:hint="eastAsia" w:ascii="楷体" w:hAnsi="楷体" w:eastAsia="楷体" w:cs="楷体"/>
          <w:b w:val="0"/>
          <w:bCs/>
          <w:sz w:val="28"/>
          <w:lang w:eastAsia="zh-CN"/>
        </w:rPr>
        <w:t>钢筋混凝土</w:t>
      </w:r>
      <w:r>
        <w:rPr>
          <w:rFonts w:hint="eastAsia" w:ascii="楷体" w:hAnsi="楷体" w:eastAsia="楷体" w:cs="楷体"/>
          <w:b w:val="0"/>
          <w:bCs/>
          <w:sz w:val="28"/>
        </w:rPr>
        <w:t>结构。经过估价人员现场勘查，估价对象外墙为水泥漆饰面，室内套间式住宅，中级装修，乳胶漆墙面，木地板地面</w:t>
      </w:r>
      <w:r>
        <w:rPr>
          <w:rFonts w:hint="eastAsia" w:ascii="楷体" w:hAnsi="楷体" w:eastAsia="楷体" w:cs="楷体"/>
          <w:b w:val="0"/>
          <w:bCs/>
          <w:color w:val="000000" w:themeColor="text1"/>
          <w:sz w:val="28"/>
        </w:rPr>
        <w:t>，卧室、厨房安装</w:t>
      </w:r>
      <w:r>
        <w:rPr>
          <w:rFonts w:hint="eastAsia" w:ascii="楷体" w:hAnsi="楷体" w:eastAsia="楷体" w:cs="楷体"/>
          <w:b w:val="0"/>
          <w:bCs/>
          <w:color w:val="000000" w:themeColor="text1"/>
          <w:sz w:val="28"/>
          <w:lang w:eastAsia="zh-CN"/>
        </w:rPr>
        <w:t>木质固定柜，</w:t>
      </w:r>
      <w:r>
        <w:rPr>
          <w:rFonts w:hint="eastAsia" w:ascii="楷体" w:hAnsi="楷体" w:eastAsia="楷体" w:cs="楷体"/>
          <w:b w:val="0"/>
          <w:bCs/>
          <w:color w:val="000000" w:themeColor="text1"/>
          <w:sz w:val="28"/>
        </w:rPr>
        <w:t>卫生间、厨房地砖地面，瓷砖墙面，铝扣板吊顶；室内</w:t>
      </w:r>
      <w:r>
        <w:rPr>
          <w:rFonts w:hint="eastAsia" w:ascii="楷体" w:hAnsi="楷体" w:eastAsia="楷体" w:cs="楷体"/>
          <w:b w:val="0"/>
          <w:bCs/>
          <w:color w:val="000000" w:themeColor="text1"/>
          <w:sz w:val="28"/>
          <w:lang w:eastAsia="zh-CN"/>
        </w:rPr>
        <w:t>彩</w:t>
      </w:r>
      <w:r>
        <w:rPr>
          <w:rFonts w:hint="eastAsia" w:ascii="楷体" w:hAnsi="楷体" w:eastAsia="楷体" w:cs="楷体"/>
          <w:b w:val="0"/>
          <w:bCs/>
          <w:color w:val="000000" w:themeColor="text1"/>
          <w:sz w:val="28"/>
        </w:rPr>
        <w:t>钢窗、木质包门、大门为防盗门</w:t>
      </w:r>
      <w:r>
        <w:rPr>
          <w:rFonts w:hint="eastAsia" w:ascii="楷体" w:hAnsi="楷体" w:eastAsia="楷体" w:cs="楷体"/>
          <w:b w:val="0"/>
          <w:bCs/>
          <w:sz w:val="28"/>
        </w:rPr>
        <w:t>，室内水、电、卫、燃气</w:t>
      </w:r>
      <w:r>
        <w:rPr>
          <w:rFonts w:hint="eastAsia" w:ascii="楷体" w:hAnsi="楷体" w:eastAsia="楷体" w:cs="楷体"/>
          <w:b w:val="0"/>
          <w:bCs/>
          <w:sz w:val="28"/>
          <w:lang w:eastAsia="zh-CN"/>
        </w:rPr>
        <w:t>、网络</w:t>
      </w:r>
      <w:r>
        <w:rPr>
          <w:rFonts w:hint="eastAsia" w:ascii="楷体" w:hAnsi="楷体" w:eastAsia="楷体" w:cs="楷体"/>
          <w:b w:val="0"/>
          <w:bCs/>
          <w:sz w:val="28"/>
        </w:rPr>
        <w:t xml:space="preserve">等设施管线设备完好。根据现场勘查情况，房屋质量整体维护较好。综合评定房地产为完好房，综合成新率 </w:t>
      </w:r>
      <w:r>
        <w:rPr>
          <w:rFonts w:hint="eastAsia" w:ascii="楷体" w:hAnsi="楷体" w:eastAsia="楷体" w:cs="楷体"/>
          <w:b w:val="0"/>
          <w:bCs/>
          <w:sz w:val="28"/>
          <w:lang w:val="en-US" w:eastAsia="zh-CN"/>
        </w:rPr>
        <w:t>85</w:t>
      </w:r>
      <w:r>
        <w:rPr>
          <w:rFonts w:hint="eastAsia" w:ascii="楷体" w:hAnsi="楷体" w:eastAsia="楷体" w:cs="楷体"/>
          <w:b w:val="0"/>
          <w:bCs/>
          <w:sz w:val="28"/>
        </w:rPr>
        <w:t>%。估价对象房地产基本情况详见下图：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_GB2312" w:hAnsi="楷体_GB2312" w:eastAsia="楷体_GB2312" w:cs="楷体_GB2312"/>
          <w:b w:val="0"/>
          <w:bCs/>
          <w:sz w:val="28"/>
          <w:lang w:eastAsia="zh-CN"/>
        </w:rPr>
      </w:pPr>
      <w:r>
        <w:rPr>
          <w:rFonts w:hint="eastAsia" w:ascii="楷体_GB2312" w:hAnsi="楷体_GB2312" w:eastAsia="楷体_GB2312" w:cs="楷体_GB2312"/>
          <w:b w:val="0"/>
          <w:bCs/>
          <w:sz w:val="28"/>
          <w:lang w:eastAsia="zh-CN"/>
        </w:rPr>
        <w:pict>
          <v:shape id="_x0000_i1026" o:spt="75" alt="QQ截图20220819143319" type="#_x0000_t75" style="height:328.05pt;width:415.2pt;" filled="f" o:preferrelative="t" stroked="f" coordsize="21600,21600">
            <v:path/>
            <v:fill on="f" focussize="0,0"/>
            <v:stroke on="f"/>
            <v:imagedata r:id="rId10" o:title="QQ截图20220819143319"/>
            <o:lock v:ext="edit" aspectratio="t"/>
            <w10:wrap type="none"/>
            <w10:anchorlock/>
          </v:shape>
        </w:pic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2、</w:t>
      </w:r>
      <w:r>
        <w:rPr>
          <w:rFonts w:hint="eastAsia" w:ascii="楷体" w:hAnsi="楷体" w:eastAsia="楷体" w:cs="楷体"/>
          <w:sz w:val="28"/>
          <w:szCs w:val="28"/>
        </w:rPr>
        <w:t>土地</w:t>
      </w:r>
      <w:r>
        <w:rPr>
          <w:rFonts w:hint="eastAsia" w:ascii="楷体" w:hAnsi="楷体" w:eastAsia="楷体" w:cs="楷体"/>
          <w:sz w:val="28"/>
          <w:szCs w:val="28"/>
          <w:lang w:val="en-US" w:eastAsia="zh-CN"/>
        </w:rPr>
        <w:t>情</w:t>
      </w:r>
      <w:r>
        <w:rPr>
          <w:rFonts w:hint="eastAsia" w:ascii="楷体" w:hAnsi="楷体" w:eastAsia="楷体" w:cs="楷体"/>
          <w:sz w:val="28"/>
          <w:szCs w:val="28"/>
        </w:rPr>
        <w:t>况</w:t>
      </w:r>
    </w:p>
    <w:bookmarkEnd w:id="28"/>
    <w:p>
      <w:pPr>
        <w:numPr>
          <w:ilvl w:val="0"/>
          <w:numId w:val="0"/>
        </w:numPr>
        <w:spacing w:line="360" w:lineRule="auto"/>
        <w:ind w:firstLine="560" w:firstLineChars="200"/>
        <w:rPr>
          <w:rFonts w:hint="eastAsia" w:ascii="楷体" w:hAnsi="楷体" w:eastAsia="楷体" w:cs="楷体"/>
          <w:b/>
          <w:sz w:val="28"/>
        </w:rPr>
      </w:pPr>
      <w:r>
        <w:rPr>
          <w:rFonts w:hint="eastAsia" w:ascii="楷体" w:hAnsi="楷体" w:eastAsia="楷体" w:cs="楷体"/>
          <w:sz w:val="28"/>
          <w:szCs w:val="28"/>
        </w:rPr>
        <w:t>估价对象房地产土地用途为住宅用地，土地实际开发程度：宗地红线内、外“六通”，红线内场地平整。地势、地质、水文状况良好</w:t>
      </w:r>
      <w:r>
        <w:rPr>
          <w:rFonts w:hint="eastAsia" w:ascii="楷体" w:hAnsi="楷体" w:eastAsia="楷体" w:cs="楷体"/>
          <w:sz w:val="28"/>
          <w:szCs w:val="28"/>
          <w:lang w:eastAsia="zh-CN"/>
        </w:rPr>
        <w:t>。</w:t>
      </w:r>
      <w:r>
        <w:rPr>
          <w:rFonts w:hint="eastAsia" w:ascii="楷体" w:hAnsi="楷体" w:eastAsia="楷体" w:cs="楷体"/>
          <w:sz w:val="28"/>
          <w:szCs w:val="28"/>
        </w:rPr>
        <w:t>宗地形状：较规则长方形。</w:t>
      </w:r>
    </w:p>
    <w:p>
      <w:pPr>
        <w:numPr>
          <w:ilvl w:val="0"/>
          <w:numId w:val="0"/>
        </w:numPr>
        <w:spacing w:line="360" w:lineRule="auto"/>
        <w:ind w:firstLine="560" w:firstLineChars="200"/>
        <w:rPr>
          <w:rFonts w:hint="eastAsia" w:ascii="楷体" w:hAnsi="楷体" w:eastAsia="楷体" w:cs="楷体"/>
          <w:b w:val="0"/>
          <w:bCs/>
          <w:sz w:val="28"/>
        </w:rPr>
      </w:pPr>
      <w:r>
        <w:rPr>
          <w:rFonts w:hint="eastAsia" w:ascii="楷体" w:hAnsi="楷体" w:eastAsia="楷体" w:cs="楷体"/>
          <w:b w:val="0"/>
          <w:bCs/>
          <w:sz w:val="28"/>
          <w:lang w:val="en-US" w:eastAsia="zh-CN"/>
        </w:rPr>
        <w:t>3、权益</w:t>
      </w:r>
      <w:r>
        <w:rPr>
          <w:rFonts w:hint="eastAsia" w:ascii="楷体" w:hAnsi="楷体" w:eastAsia="楷体" w:cs="楷体"/>
          <w:b w:val="0"/>
          <w:bCs/>
          <w:sz w:val="28"/>
          <w:lang w:eastAsia="zh-CN"/>
        </w:rPr>
        <w:t>状况</w:t>
      </w:r>
    </w:p>
    <w:p>
      <w:pPr>
        <w:numPr>
          <w:ilvl w:val="0"/>
          <w:numId w:val="0"/>
        </w:numPr>
        <w:spacing w:line="360" w:lineRule="auto"/>
        <w:ind w:firstLine="560" w:firstLineChars="200"/>
        <w:rPr>
          <w:rFonts w:hint="eastAsia" w:ascii="楷体_GB2312" w:hAnsi="宋体" w:eastAsia="楷体_GB2312"/>
          <w:sz w:val="28"/>
          <w:szCs w:val="28"/>
          <w:lang w:val="en-US" w:eastAsia="zh-CN"/>
        </w:rPr>
      </w:pPr>
      <w:r>
        <w:rPr>
          <w:rFonts w:hint="eastAsia" w:ascii="楷体" w:hAnsi="楷体" w:eastAsia="楷体" w:cs="楷体"/>
          <w:sz w:val="28"/>
          <w:szCs w:val="28"/>
          <w:lang w:val="en-US" w:eastAsia="zh-CN"/>
        </w:rPr>
        <w:t>委托方提供了估价对象《不动产证书》，证载情况详见下表：</w:t>
      </w:r>
    </w:p>
    <w:tbl>
      <w:tblPr>
        <w:tblStyle w:val="18"/>
        <w:tblW w:w="8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6"/>
        <w:gridCol w:w="7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546" w:type="dxa"/>
          </w:tcPr>
          <w:p>
            <w:pPr>
              <w:numPr>
                <w:ilvl w:val="0"/>
                <w:numId w:val="0"/>
              </w:numPr>
              <w:spacing w:line="360" w:lineRule="auto"/>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不动产证号</w:t>
            </w:r>
          </w:p>
        </w:tc>
        <w:tc>
          <w:tcPr>
            <w:tcW w:w="7162" w:type="dxa"/>
          </w:tcPr>
          <w:p>
            <w:pPr>
              <w:numPr>
                <w:ilvl w:val="0"/>
                <w:numId w:val="0"/>
              </w:numPr>
              <w:spacing w:line="360" w:lineRule="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鄂（2017）武汉市东开不动产权第0004237号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46" w:type="dxa"/>
          </w:tcPr>
          <w:p>
            <w:pPr>
              <w:numPr>
                <w:ilvl w:val="0"/>
                <w:numId w:val="0"/>
              </w:numPr>
              <w:spacing w:line="360" w:lineRule="auto"/>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权利人</w:t>
            </w:r>
          </w:p>
        </w:tc>
        <w:tc>
          <w:tcPr>
            <w:tcW w:w="7162" w:type="dxa"/>
          </w:tcPr>
          <w:p>
            <w:pPr>
              <w:numPr>
                <w:ilvl w:val="0"/>
                <w:numId w:val="0"/>
              </w:numPr>
              <w:spacing w:line="360" w:lineRule="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夏竹轩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546" w:type="dxa"/>
          </w:tcPr>
          <w:p>
            <w:pPr>
              <w:numPr>
                <w:ilvl w:val="0"/>
                <w:numId w:val="0"/>
              </w:numPr>
              <w:spacing w:line="360" w:lineRule="auto"/>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坐落</w:t>
            </w:r>
          </w:p>
        </w:tc>
        <w:tc>
          <w:tcPr>
            <w:tcW w:w="7162" w:type="dxa"/>
          </w:tcPr>
          <w:p>
            <w:pPr>
              <w:numPr>
                <w:ilvl w:val="0"/>
                <w:numId w:val="0"/>
              </w:numPr>
              <w:spacing w:line="360" w:lineRule="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东湖新技术开发区大学园路1号武汉万科城市花园特一区A2单元2层01室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46" w:type="dxa"/>
          </w:tcPr>
          <w:p>
            <w:pPr>
              <w:numPr>
                <w:ilvl w:val="0"/>
                <w:numId w:val="0"/>
              </w:numPr>
              <w:spacing w:line="360" w:lineRule="auto"/>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不动产单元号</w:t>
            </w:r>
          </w:p>
        </w:tc>
        <w:tc>
          <w:tcPr>
            <w:tcW w:w="7162" w:type="dxa"/>
          </w:tcPr>
          <w:p>
            <w:pPr>
              <w:numPr>
                <w:ilvl w:val="0"/>
                <w:numId w:val="0"/>
              </w:numPr>
              <w:spacing w:line="360" w:lineRule="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420115088006GB00006F00500014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46" w:type="dxa"/>
          </w:tcPr>
          <w:p>
            <w:pPr>
              <w:numPr>
                <w:ilvl w:val="0"/>
                <w:numId w:val="0"/>
              </w:numPr>
              <w:spacing w:line="360" w:lineRule="auto"/>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权利类型</w:t>
            </w:r>
          </w:p>
        </w:tc>
        <w:tc>
          <w:tcPr>
            <w:tcW w:w="7162" w:type="dxa"/>
          </w:tcPr>
          <w:p>
            <w:pPr>
              <w:numPr>
                <w:ilvl w:val="0"/>
                <w:numId w:val="0"/>
              </w:numPr>
              <w:spacing w:line="360" w:lineRule="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国有建设用地使用权/房屋（构筑物）所有权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46" w:type="dxa"/>
          </w:tcPr>
          <w:p>
            <w:pPr>
              <w:numPr>
                <w:ilvl w:val="0"/>
                <w:numId w:val="0"/>
              </w:numPr>
              <w:spacing w:line="360" w:lineRule="auto"/>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权利性质</w:t>
            </w:r>
          </w:p>
        </w:tc>
        <w:tc>
          <w:tcPr>
            <w:tcW w:w="7162" w:type="dxa"/>
          </w:tcPr>
          <w:p>
            <w:pPr>
              <w:numPr>
                <w:ilvl w:val="0"/>
                <w:numId w:val="0"/>
              </w:numPr>
              <w:spacing w:line="360" w:lineRule="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出让/市场化商品房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46" w:type="dxa"/>
          </w:tcPr>
          <w:p>
            <w:pPr>
              <w:numPr>
                <w:ilvl w:val="0"/>
                <w:numId w:val="0"/>
              </w:numPr>
              <w:spacing w:line="360" w:lineRule="auto"/>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用途</w:t>
            </w:r>
          </w:p>
        </w:tc>
        <w:tc>
          <w:tcPr>
            <w:tcW w:w="7162" w:type="dxa"/>
          </w:tcPr>
          <w:p>
            <w:pPr>
              <w:numPr>
                <w:ilvl w:val="0"/>
                <w:numId w:val="0"/>
              </w:numPr>
              <w:spacing w:line="360" w:lineRule="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城镇住宅用地 /成套住宅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546" w:type="dxa"/>
          </w:tcPr>
          <w:p>
            <w:pPr>
              <w:numPr>
                <w:ilvl w:val="0"/>
                <w:numId w:val="0"/>
              </w:numPr>
              <w:spacing w:line="360" w:lineRule="auto"/>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面积</w:t>
            </w:r>
          </w:p>
        </w:tc>
        <w:tc>
          <w:tcPr>
            <w:tcW w:w="7162" w:type="dxa"/>
          </w:tcPr>
          <w:p>
            <w:pPr>
              <w:numPr>
                <w:ilvl w:val="0"/>
                <w:numId w:val="0"/>
              </w:numPr>
              <w:spacing w:line="360" w:lineRule="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土地使用权面积330357.01平方米 /房屋建筑面积108.15平方米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546" w:type="dxa"/>
          </w:tcPr>
          <w:p>
            <w:pPr>
              <w:numPr>
                <w:ilvl w:val="0"/>
                <w:numId w:val="0"/>
              </w:numPr>
              <w:spacing w:line="360" w:lineRule="auto"/>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使用期限</w:t>
            </w:r>
          </w:p>
        </w:tc>
        <w:tc>
          <w:tcPr>
            <w:tcW w:w="7162" w:type="dxa"/>
          </w:tcPr>
          <w:p>
            <w:pPr>
              <w:numPr>
                <w:ilvl w:val="0"/>
                <w:numId w:val="0"/>
              </w:numPr>
              <w:spacing w:line="360" w:lineRule="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国有建设用地使用权2002年05月28日起至2072年5月28日止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1546" w:type="dxa"/>
            <w:vAlign w:val="center"/>
          </w:tcPr>
          <w:p>
            <w:pPr>
              <w:numPr>
                <w:ilvl w:val="0"/>
                <w:numId w:val="0"/>
              </w:numPr>
              <w:spacing w:line="360" w:lineRule="auto"/>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权利其他状况</w:t>
            </w:r>
          </w:p>
        </w:tc>
        <w:tc>
          <w:tcPr>
            <w:tcW w:w="7162" w:type="dxa"/>
          </w:tcPr>
          <w:p>
            <w:pPr>
              <w:numPr>
                <w:ilvl w:val="0"/>
                <w:numId w:val="0"/>
              </w:numPr>
              <w:spacing w:line="360" w:lineRule="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分摊土地面积14.95平方米，</w:t>
            </w:r>
          </w:p>
          <w:p>
            <w:pPr>
              <w:numPr>
                <w:ilvl w:val="0"/>
                <w:numId w:val="0"/>
              </w:numPr>
              <w:spacing w:line="360" w:lineRule="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专有建筑面积83.99平方米，分摊建筑面积24.16平方米，</w:t>
            </w:r>
          </w:p>
          <w:p>
            <w:pPr>
              <w:numPr>
                <w:ilvl w:val="0"/>
                <w:numId w:val="0"/>
              </w:numPr>
              <w:spacing w:line="360" w:lineRule="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房屋结构：钢筋混凝土结构，房屋总层数和所在层数：9/2</w:t>
            </w:r>
          </w:p>
        </w:tc>
      </w:tr>
    </w:tbl>
    <w:p>
      <w:pPr>
        <w:keepNext w:val="0"/>
        <w:keepLines w:val="0"/>
        <w:pageBreakBefore w:val="0"/>
        <w:kinsoku/>
        <w:wordWrap/>
        <w:overflowPunct/>
        <w:topLinePunct w:val="0"/>
        <w:bidi w:val="0"/>
        <w:snapToGrid/>
        <w:spacing w:line="660" w:lineRule="exact"/>
        <w:textAlignment w:val="auto"/>
        <w:outlineLvl w:val="1"/>
        <w:rPr>
          <w:rFonts w:hint="eastAsia" w:ascii="楷体" w:hAnsi="楷体" w:eastAsia="楷体" w:cs="楷体"/>
          <w:b/>
          <w:sz w:val="28"/>
          <w:szCs w:val="28"/>
        </w:rPr>
      </w:pPr>
      <w:bookmarkStart w:id="29" w:name="_Toc882"/>
      <w:bookmarkStart w:id="30" w:name="_Toc467076847"/>
      <w:bookmarkStart w:id="31" w:name="_Toc18273"/>
      <w:bookmarkStart w:id="32" w:name="_Toc6859"/>
      <w:r>
        <w:rPr>
          <w:rFonts w:hint="eastAsia" w:ascii="楷体" w:hAnsi="楷体" w:eastAsia="楷体" w:cs="楷体"/>
          <w:b/>
          <w:sz w:val="28"/>
          <w:szCs w:val="28"/>
        </w:rPr>
        <w:t>五、价值时点</w:t>
      </w:r>
      <w:bookmarkEnd w:id="29"/>
      <w:bookmarkEnd w:id="30"/>
      <w:bookmarkEnd w:id="31"/>
      <w:bookmarkEnd w:id="32"/>
    </w:p>
    <w:p>
      <w:pPr>
        <w:keepNext w:val="0"/>
        <w:keepLines w:val="0"/>
        <w:pageBreakBefore w:val="0"/>
        <w:kinsoku/>
        <w:wordWrap/>
        <w:overflowPunct/>
        <w:topLinePunct w:val="0"/>
        <w:bidi w:val="0"/>
        <w:snapToGrid/>
        <w:spacing w:line="660" w:lineRule="exact"/>
        <w:ind w:firstLine="560" w:firstLineChars="200"/>
        <w:textAlignment w:val="auto"/>
        <w:rPr>
          <w:rFonts w:hint="eastAsia" w:ascii="楷体" w:hAnsi="楷体" w:eastAsia="楷体" w:cs="楷体"/>
          <w:sz w:val="28"/>
        </w:rPr>
      </w:pPr>
      <w:r>
        <w:rPr>
          <w:rFonts w:hint="eastAsia" w:ascii="楷体" w:hAnsi="楷体" w:eastAsia="楷体" w:cs="楷体"/>
          <w:sz w:val="28"/>
        </w:rPr>
        <w:t>本</w:t>
      </w:r>
      <w:r>
        <w:rPr>
          <w:rFonts w:hint="eastAsia" w:ascii="楷体" w:hAnsi="楷体" w:eastAsia="楷体" w:cs="楷体"/>
          <w:sz w:val="28"/>
          <w:lang w:val="en-US" w:eastAsia="zh-CN"/>
        </w:rPr>
        <w:t>次估价以现场勘查</w:t>
      </w:r>
      <w:r>
        <w:rPr>
          <w:rFonts w:hint="eastAsia" w:ascii="楷体" w:hAnsi="楷体" w:eastAsia="楷体" w:cs="楷体"/>
          <w:sz w:val="28"/>
        </w:rPr>
        <w:t>日</w:t>
      </w:r>
      <w:r>
        <w:rPr>
          <w:rFonts w:hint="eastAsia" w:ascii="楷体" w:hAnsi="楷体" w:eastAsia="楷体" w:cs="楷体"/>
          <w:color w:val="auto"/>
          <w:sz w:val="28"/>
          <w:lang w:eastAsia="zh-CN"/>
        </w:rPr>
        <w:t>202</w:t>
      </w:r>
      <w:r>
        <w:rPr>
          <w:rFonts w:hint="eastAsia" w:ascii="楷体" w:hAnsi="楷体" w:eastAsia="楷体" w:cs="楷体"/>
          <w:color w:val="auto"/>
          <w:sz w:val="28"/>
          <w:lang w:val="en-US" w:eastAsia="zh-CN"/>
        </w:rPr>
        <w:t>2</w:t>
      </w:r>
      <w:r>
        <w:rPr>
          <w:rFonts w:hint="eastAsia" w:ascii="楷体" w:hAnsi="楷体" w:eastAsia="楷体" w:cs="楷体"/>
          <w:color w:val="auto"/>
          <w:sz w:val="28"/>
          <w:lang w:eastAsia="zh-CN"/>
        </w:rPr>
        <w:t>年</w:t>
      </w:r>
      <w:r>
        <w:rPr>
          <w:rFonts w:hint="eastAsia" w:ascii="楷体" w:hAnsi="楷体" w:eastAsia="楷体" w:cs="楷体"/>
          <w:color w:val="auto"/>
          <w:sz w:val="28"/>
          <w:lang w:val="en-US" w:eastAsia="zh-CN"/>
        </w:rPr>
        <w:t>8</w:t>
      </w:r>
      <w:r>
        <w:rPr>
          <w:rFonts w:hint="eastAsia" w:ascii="楷体" w:hAnsi="楷体" w:eastAsia="楷体" w:cs="楷体"/>
          <w:color w:val="auto"/>
          <w:sz w:val="28"/>
          <w:lang w:eastAsia="zh-CN"/>
        </w:rPr>
        <w:t>月</w:t>
      </w:r>
      <w:r>
        <w:rPr>
          <w:rFonts w:hint="eastAsia" w:ascii="楷体" w:hAnsi="楷体" w:eastAsia="楷体" w:cs="楷体"/>
          <w:color w:val="auto"/>
          <w:sz w:val="28"/>
          <w:lang w:val="en-US" w:eastAsia="zh-CN"/>
        </w:rPr>
        <w:t>9</w:t>
      </w:r>
      <w:r>
        <w:rPr>
          <w:rFonts w:hint="eastAsia" w:ascii="楷体" w:hAnsi="楷体" w:eastAsia="楷体" w:cs="楷体"/>
          <w:color w:val="auto"/>
          <w:sz w:val="28"/>
          <w:lang w:eastAsia="zh-CN"/>
        </w:rPr>
        <w:t>日</w:t>
      </w:r>
      <w:r>
        <w:rPr>
          <w:rFonts w:hint="eastAsia" w:ascii="楷体" w:hAnsi="楷体" w:eastAsia="楷体" w:cs="楷体"/>
          <w:color w:val="auto"/>
          <w:sz w:val="28"/>
        </w:rPr>
        <w:t>作</w:t>
      </w:r>
      <w:r>
        <w:rPr>
          <w:rFonts w:hint="eastAsia" w:ascii="楷体" w:hAnsi="楷体" w:eastAsia="楷体" w:cs="楷体"/>
          <w:sz w:val="28"/>
        </w:rPr>
        <w:t>为价值时点。</w:t>
      </w:r>
    </w:p>
    <w:p>
      <w:pPr>
        <w:keepNext w:val="0"/>
        <w:keepLines w:val="0"/>
        <w:pageBreakBefore w:val="0"/>
        <w:kinsoku/>
        <w:wordWrap/>
        <w:overflowPunct/>
        <w:topLinePunct w:val="0"/>
        <w:bidi w:val="0"/>
        <w:snapToGrid/>
        <w:spacing w:line="660" w:lineRule="exact"/>
        <w:textAlignment w:val="auto"/>
        <w:outlineLvl w:val="1"/>
        <w:rPr>
          <w:rFonts w:hint="eastAsia" w:ascii="楷体" w:hAnsi="楷体" w:eastAsia="楷体" w:cs="楷体"/>
          <w:b/>
          <w:sz w:val="28"/>
          <w:szCs w:val="28"/>
        </w:rPr>
      </w:pPr>
      <w:bookmarkStart w:id="33" w:name="_Toc6141"/>
      <w:bookmarkStart w:id="34" w:name="_Toc17512"/>
      <w:bookmarkStart w:id="35" w:name="_Toc467076848"/>
      <w:bookmarkStart w:id="36" w:name="_Toc6293"/>
      <w:r>
        <w:rPr>
          <w:rFonts w:hint="eastAsia" w:ascii="楷体" w:hAnsi="楷体" w:eastAsia="楷体" w:cs="楷体"/>
          <w:b/>
          <w:sz w:val="28"/>
          <w:szCs w:val="28"/>
        </w:rPr>
        <w:t>六、价值定义</w:t>
      </w:r>
      <w:bookmarkEnd w:id="33"/>
      <w:bookmarkEnd w:id="34"/>
      <w:bookmarkEnd w:id="35"/>
      <w:bookmarkEnd w:id="36"/>
    </w:p>
    <w:p>
      <w:pPr>
        <w:keepNext w:val="0"/>
        <w:keepLines w:val="0"/>
        <w:widowControl/>
        <w:suppressLineNumbers w:val="0"/>
        <w:ind w:firstLine="840" w:firstLineChars="3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本次估价采用公开市场价值标准。公开市场价值标准，是指所评估出的客观合理价格或价值应是在公开市场上最可能形成或成立的价格。所谓公开市场，是指一个竞争性的市场，在该市场交易各方进行交易的目的在于最大限度的追求经济利益，他们并且都掌握了必要的市场信息，有比较充裕的时间进行交易，对交易对象具有必要的专业认识。此外，市场交易条件公开并不具有排它性，即所有市场主体都可以自由平等地参与交易。</w:t>
      </w:r>
    </w:p>
    <w:p>
      <w:pPr>
        <w:keepNext w:val="0"/>
        <w:keepLines w:val="0"/>
        <w:pageBreakBefore w:val="0"/>
        <w:kinsoku/>
        <w:wordWrap/>
        <w:overflowPunct/>
        <w:topLinePunct w:val="0"/>
        <w:bidi w:val="0"/>
        <w:snapToGrid/>
        <w:spacing w:line="660" w:lineRule="exact"/>
        <w:textAlignment w:val="auto"/>
        <w:outlineLvl w:val="1"/>
        <w:rPr>
          <w:rFonts w:hint="eastAsia" w:ascii="楷体" w:hAnsi="楷体" w:eastAsia="楷体" w:cs="楷体"/>
          <w:b/>
          <w:sz w:val="28"/>
          <w:szCs w:val="28"/>
        </w:rPr>
      </w:pPr>
      <w:bookmarkStart w:id="37" w:name="_Toc5826"/>
      <w:bookmarkStart w:id="38" w:name="_Toc8855"/>
      <w:bookmarkStart w:id="39" w:name="_Toc467076849"/>
      <w:bookmarkStart w:id="40" w:name="_Toc19456"/>
      <w:r>
        <w:rPr>
          <w:rFonts w:hint="eastAsia" w:ascii="楷体" w:hAnsi="楷体" w:eastAsia="楷体" w:cs="楷体"/>
          <w:b/>
          <w:sz w:val="28"/>
          <w:szCs w:val="28"/>
        </w:rPr>
        <w:t>七、估价依据</w:t>
      </w:r>
      <w:bookmarkEnd w:id="37"/>
      <w:bookmarkEnd w:id="38"/>
      <w:bookmarkEnd w:id="39"/>
      <w:bookmarkEnd w:id="40"/>
    </w:p>
    <w:p>
      <w:pPr>
        <w:keepNext w:val="0"/>
        <w:keepLines w:val="0"/>
        <w:widowControl/>
        <w:suppressLineNumbers w:val="0"/>
        <w:ind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1、《中华人民共和国城市房地产管理法》(2007年8月30日第十届全国人民代表大会常务委员会第二十九次会议通过)；</w:t>
      </w:r>
    </w:p>
    <w:p>
      <w:pPr>
        <w:keepNext w:val="0"/>
        <w:keepLines w:val="0"/>
        <w:widowControl/>
        <w:suppressLineNumbers w:val="0"/>
        <w:ind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2、《中华人民共和国物权法》；</w:t>
      </w:r>
    </w:p>
    <w:p>
      <w:pPr>
        <w:keepNext w:val="0"/>
        <w:keepLines w:val="0"/>
        <w:widowControl/>
        <w:suppressLineNumbers w:val="0"/>
        <w:ind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3、《中华人民共和国城镇国有土地使用权出让和转让暂行条例》(国务院1990第55号令)；</w:t>
      </w:r>
    </w:p>
    <w:p>
      <w:pPr>
        <w:keepNext w:val="0"/>
        <w:keepLines w:val="0"/>
        <w:widowControl/>
        <w:suppressLineNumbers w:val="0"/>
        <w:ind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4、《湖北省城镇国有土地使用权出让和转让实施办法》(省政府1993年第45号令)；</w:t>
      </w:r>
    </w:p>
    <w:p>
      <w:pPr>
        <w:keepNext w:val="0"/>
        <w:keepLines w:val="0"/>
        <w:widowControl/>
        <w:suppressLineNumbers w:val="0"/>
        <w:ind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5、《中华人民共和国资产评估法》（中华人民共和国主席令第46号）；</w:t>
      </w:r>
    </w:p>
    <w:p>
      <w:pPr>
        <w:keepNext w:val="0"/>
        <w:keepLines w:val="0"/>
        <w:widowControl/>
        <w:suppressLineNumbers w:val="0"/>
        <w:ind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6、《人民法院委托评估工作规范》（中华人民共和国建设部令第99号）；</w:t>
      </w:r>
    </w:p>
    <w:p>
      <w:pPr>
        <w:keepNext w:val="0"/>
        <w:keepLines w:val="0"/>
        <w:widowControl/>
        <w:suppressLineNumbers w:val="0"/>
        <w:ind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7、《最高人民法院办公厅、中国资产评估协会、中国土地估价师与土地登记代理人协会、中国房地产估价师与房地产经纪人协会、中国矿业权评估师协会、中国珠宝玉石首饰行业协会关于印发&lt;人民法院委托评估工作规范&gt;的通知》（法办[2018]273号）。</w:t>
      </w:r>
    </w:p>
    <w:p>
      <w:pPr>
        <w:keepNext w:val="0"/>
        <w:keepLines w:val="0"/>
        <w:widowControl/>
        <w:suppressLineNumbers w:val="0"/>
        <w:ind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8、《司法鉴定程序通则》（司法部令第107号，2007年10月1日施行）；</w:t>
      </w:r>
    </w:p>
    <w:p>
      <w:pPr>
        <w:keepNext w:val="0"/>
        <w:keepLines w:val="0"/>
        <w:widowControl/>
        <w:suppressLineNumbers w:val="0"/>
        <w:ind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9、《房地产估价规范》GB/T 50291—2015；</w:t>
      </w:r>
    </w:p>
    <w:p>
      <w:pPr>
        <w:keepNext w:val="0"/>
        <w:keepLines w:val="0"/>
        <w:widowControl/>
        <w:suppressLineNumbers w:val="0"/>
        <w:ind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10、《城镇土地估价规程》（GB/T18508-2014）</w:t>
      </w:r>
    </w:p>
    <w:p>
      <w:pPr>
        <w:keepNext w:val="0"/>
        <w:keepLines w:val="0"/>
        <w:widowControl/>
        <w:suppressLineNumbers w:val="0"/>
        <w:ind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11、《房地产估价基本术语标准》GB/T 50899-2013）；</w:t>
      </w:r>
    </w:p>
    <w:p>
      <w:pPr>
        <w:keepNext w:val="0"/>
        <w:keepLines w:val="0"/>
        <w:widowControl/>
        <w:suppressLineNumbers w:val="0"/>
        <w:ind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12、《涉执房地产处置司法评估指导意见（试行）》（中房学〔2021〕37号）</w:t>
      </w:r>
    </w:p>
    <w:p>
      <w:pPr>
        <w:keepNext w:val="0"/>
        <w:keepLines w:val="0"/>
        <w:widowControl/>
        <w:suppressLineNumbers w:val="0"/>
        <w:ind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13、中华人民共和国原城乡建设环境保护部颁发的《房屋完损等级分类标准》；</w:t>
      </w:r>
      <w:r>
        <w:rPr>
          <w:rFonts w:hint="eastAsia" w:ascii="楷体" w:hAnsi="楷体" w:eastAsia="楷体" w:cs="楷体"/>
          <w:color w:val="auto"/>
          <w:kern w:val="0"/>
          <w:sz w:val="28"/>
          <w:szCs w:val="28"/>
          <w:lang w:val="en-US" w:eastAsia="zh-CN" w:bidi="ar"/>
        </w:rPr>
        <w:t xml:space="preserve"> </w:t>
      </w:r>
    </w:p>
    <w:p>
      <w:pPr>
        <w:keepNext w:val="0"/>
        <w:keepLines w:val="0"/>
        <w:pageBreakBefore w:val="0"/>
        <w:widowControl/>
        <w:suppressLineNumbers w:val="0"/>
        <w:kinsoku/>
        <w:wordWrap/>
        <w:overflowPunct/>
        <w:topLinePunct w:val="0"/>
        <w:bidi w:val="0"/>
        <w:snapToGrid/>
        <w:spacing w:line="660" w:lineRule="exact"/>
        <w:ind w:firstLine="560" w:firstLineChars="200"/>
        <w:jc w:val="left"/>
        <w:textAlignment w:val="auto"/>
        <w:rPr>
          <w:rFonts w:hint="eastAsia" w:ascii="楷体" w:hAnsi="楷体" w:eastAsia="楷体" w:cs="楷体"/>
          <w:sz w:val="28"/>
          <w:szCs w:val="28"/>
          <w:lang w:val="en-US" w:eastAsia="zh-CN"/>
        </w:rPr>
      </w:pPr>
      <w:r>
        <w:rPr>
          <w:rFonts w:hint="eastAsia" w:ascii="楷体" w:hAnsi="楷体" w:eastAsia="楷体" w:cs="楷体"/>
          <w:color w:val="000000"/>
          <w:kern w:val="0"/>
          <w:sz w:val="28"/>
          <w:szCs w:val="28"/>
          <w:lang w:val="en-US" w:eastAsia="zh-CN" w:bidi="ar"/>
        </w:rPr>
        <w:t xml:space="preserve"> </w:t>
      </w:r>
      <w:r>
        <w:rPr>
          <w:rFonts w:hint="eastAsia" w:ascii="楷体" w:hAnsi="楷体" w:eastAsia="楷体" w:cs="楷体"/>
          <w:sz w:val="28"/>
          <w:szCs w:val="28"/>
          <w:lang w:val="en-US" w:eastAsia="zh-CN"/>
        </w:rPr>
        <w:t>14、委托方提供的资料：</w:t>
      </w:r>
    </w:p>
    <w:p>
      <w:pPr>
        <w:keepNext w:val="0"/>
        <w:keepLines w:val="0"/>
        <w:pageBreakBefore w:val="0"/>
        <w:kinsoku/>
        <w:wordWrap/>
        <w:overflowPunct/>
        <w:topLinePunct w:val="0"/>
        <w:bidi w:val="0"/>
        <w:snapToGrid/>
        <w:spacing w:line="660" w:lineRule="exac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（1）《不动产权证书》、《武汉市不动产权登记信息查询单》复印件 ；</w:t>
      </w:r>
    </w:p>
    <w:p>
      <w:pPr>
        <w:keepNext w:val="0"/>
        <w:keepLines w:val="0"/>
        <w:pageBreakBefore w:val="0"/>
        <w:kinsoku/>
        <w:wordWrap/>
        <w:overflowPunct/>
        <w:topLinePunct w:val="0"/>
        <w:bidi w:val="0"/>
        <w:snapToGrid/>
        <w:spacing w:line="660" w:lineRule="exac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（2）（2022）应法鉴委字50号《司法鉴定对外委托书》。</w:t>
      </w:r>
    </w:p>
    <w:p>
      <w:pPr>
        <w:keepNext w:val="0"/>
        <w:keepLines w:val="0"/>
        <w:pageBreakBefore w:val="0"/>
        <w:kinsoku/>
        <w:wordWrap/>
        <w:overflowPunct/>
        <w:topLinePunct w:val="0"/>
        <w:bidi w:val="0"/>
        <w:snapToGrid/>
        <w:spacing w:line="6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15</w:t>
      </w:r>
      <w:r>
        <w:rPr>
          <w:rFonts w:hint="eastAsia" w:ascii="楷体" w:hAnsi="楷体" w:eastAsia="楷体" w:cs="楷体"/>
          <w:sz w:val="28"/>
          <w:szCs w:val="28"/>
        </w:rPr>
        <w:t>、评估人员现场拍摄照</w:t>
      </w:r>
      <w:r>
        <w:rPr>
          <w:rFonts w:hint="eastAsia" w:ascii="楷体" w:hAnsi="楷体" w:eastAsia="楷体" w:cs="楷体"/>
          <w:sz w:val="28"/>
          <w:szCs w:val="28"/>
          <w:lang w:val="en-US" w:eastAsia="zh-CN"/>
        </w:rPr>
        <w:t>片</w:t>
      </w:r>
      <w:r>
        <w:rPr>
          <w:rFonts w:hint="eastAsia" w:ascii="楷体" w:hAnsi="楷体" w:eastAsia="楷体" w:cs="楷体"/>
          <w:sz w:val="28"/>
          <w:szCs w:val="28"/>
        </w:rPr>
        <w:t>及勘查情况。</w:t>
      </w:r>
    </w:p>
    <w:p>
      <w:pPr>
        <w:pStyle w:val="6"/>
        <w:keepNext w:val="0"/>
        <w:keepLines w:val="0"/>
        <w:pageBreakBefore w:val="0"/>
        <w:tabs>
          <w:tab w:val="left" w:pos="447"/>
        </w:tabs>
        <w:kinsoku/>
        <w:wordWrap/>
        <w:overflowPunct/>
        <w:topLinePunct w:val="0"/>
        <w:bidi w:val="0"/>
        <w:snapToGrid/>
        <w:spacing w:line="660" w:lineRule="exact"/>
        <w:ind w:left="0" w:leftChars="0" w:right="0" w:firstLine="560" w:firstLineChars="200"/>
        <w:textAlignment w:val="auto"/>
        <w:rPr>
          <w:rFonts w:hint="eastAsia" w:ascii="楷体" w:hAnsi="楷体" w:eastAsia="楷体" w:cs="楷体"/>
          <w:szCs w:val="28"/>
        </w:rPr>
      </w:pPr>
      <w:r>
        <w:rPr>
          <w:rFonts w:hint="eastAsia" w:ascii="楷体" w:hAnsi="楷体" w:eastAsia="楷体" w:cs="楷体"/>
          <w:szCs w:val="28"/>
          <w:lang w:val="en-US" w:eastAsia="zh-CN"/>
        </w:rPr>
        <w:t>16、</w:t>
      </w:r>
      <w:r>
        <w:rPr>
          <w:rFonts w:hint="eastAsia" w:ascii="楷体" w:hAnsi="楷体" w:eastAsia="楷体" w:cs="楷体"/>
          <w:szCs w:val="28"/>
        </w:rPr>
        <w:t>本评估机构掌握的评估相关资料。</w:t>
      </w:r>
    </w:p>
    <w:p>
      <w:pPr>
        <w:keepNext w:val="0"/>
        <w:keepLines w:val="0"/>
        <w:pageBreakBefore w:val="0"/>
        <w:kinsoku/>
        <w:wordWrap/>
        <w:overflowPunct/>
        <w:topLinePunct w:val="0"/>
        <w:bidi w:val="0"/>
        <w:snapToGrid/>
        <w:spacing w:line="660" w:lineRule="exact"/>
        <w:textAlignment w:val="auto"/>
        <w:outlineLvl w:val="1"/>
        <w:rPr>
          <w:rFonts w:hint="eastAsia" w:ascii="楷体" w:hAnsi="楷体" w:eastAsia="楷体" w:cs="楷体"/>
          <w:b/>
          <w:sz w:val="28"/>
          <w:szCs w:val="28"/>
        </w:rPr>
      </w:pPr>
      <w:bookmarkStart w:id="41" w:name="_Toc21475"/>
      <w:bookmarkStart w:id="42" w:name="_Toc17780"/>
      <w:bookmarkStart w:id="43" w:name="_Toc467076850"/>
      <w:bookmarkStart w:id="44" w:name="_Toc7000"/>
      <w:r>
        <w:rPr>
          <w:rFonts w:hint="eastAsia" w:ascii="楷体" w:hAnsi="楷体" w:eastAsia="楷体" w:cs="楷体"/>
          <w:b/>
          <w:sz w:val="28"/>
          <w:szCs w:val="28"/>
        </w:rPr>
        <w:t>八、估价原则</w:t>
      </w:r>
      <w:bookmarkEnd w:id="41"/>
      <w:bookmarkEnd w:id="42"/>
      <w:bookmarkEnd w:id="43"/>
      <w:bookmarkEnd w:id="44"/>
    </w:p>
    <w:p>
      <w:pPr>
        <w:keepNext w:val="0"/>
        <w:keepLines w:val="0"/>
        <w:pageBreakBefore w:val="0"/>
        <w:kinsoku/>
        <w:wordWrap/>
        <w:overflowPunct/>
        <w:topLinePunct w:val="0"/>
        <w:bidi w:val="0"/>
        <w:snapToGrid/>
        <w:spacing w:line="6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本次评估在遵循公正、公平、公开、客观、科学原则的前提下，具体依据下列原则：</w:t>
      </w:r>
    </w:p>
    <w:p>
      <w:pPr>
        <w:keepNext w:val="0"/>
        <w:keepLines w:val="0"/>
        <w:pageBreakBefore w:val="0"/>
        <w:kinsoku/>
        <w:wordWrap/>
        <w:overflowPunct/>
        <w:topLinePunct w:val="0"/>
        <w:autoSpaceDE w:val="0"/>
        <w:autoSpaceDN w:val="0"/>
        <w:bidi w:val="0"/>
        <w:adjustRightInd w:val="0"/>
        <w:snapToGrid/>
        <w:spacing w:line="66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lang w:eastAsia="zh-CN"/>
        </w:rPr>
        <w:t>（</w:t>
      </w:r>
      <w:r>
        <w:rPr>
          <w:rFonts w:hint="eastAsia" w:ascii="楷体" w:hAnsi="楷体" w:eastAsia="楷体" w:cs="楷体"/>
          <w:b/>
          <w:bCs/>
          <w:sz w:val="28"/>
          <w:szCs w:val="28"/>
          <w:lang w:val="en-US" w:eastAsia="zh-CN"/>
        </w:rPr>
        <w:t>一</w:t>
      </w:r>
      <w:r>
        <w:rPr>
          <w:rFonts w:hint="eastAsia" w:ascii="楷体" w:hAnsi="楷体" w:eastAsia="楷体" w:cs="楷体"/>
          <w:b/>
          <w:bCs/>
          <w:sz w:val="28"/>
          <w:szCs w:val="28"/>
          <w:lang w:eastAsia="zh-CN"/>
        </w:rPr>
        <w:t>）</w:t>
      </w:r>
      <w:r>
        <w:rPr>
          <w:rFonts w:hint="eastAsia" w:ascii="楷体" w:hAnsi="楷体" w:eastAsia="楷体" w:cs="楷体"/>
          <w:b/>
          <w:bCs/>
          <w:sz w:val="28"/>
          <w:szCs w:val="28"/>
        </w:rPr>
        <w:t>合法原则</w:t>
      </w:r>
    </w:p>
    <w:p>
      <w:pPr>
        <w:keepNext w:val="0"/>
        <w:keepLines w:val="0"/>
        <w:pageBreakBefore w:val="0"/>
        <w:kinsoku/>
        <w:wordWrap/>
        <w:overflowPunct/>
        <w:topLinePunct w:val="0"/>
        <w:bidi w:val="0"/>
        <w:snapToGrid/>
        <w:spacing w:line="6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即必须以估价对象的合法使用、合法交易或合法处分为前提进行。所谓合法，是指符合国家的法律、法规和当地政府的有关规定。一是要求在估价时必须确认估价对象具有合法产权。二是要求在估价时所涉及的估价对象用途必须是合法的。三是要求在估价中如果涉及估价对象的交易或处分方式时，该交易或处分方式必须是合法的。</w:t>
      </w:r>
    </w:p>
    <w:p>
      <w:pPr>
        <w:keepNext w:val="0"/>
        <w:keepLines w:val="0"/>
        <w:pageBreakBefore w:val="0"/>
        <w:kinsoku/>
        <w:wordWrap/>
        <w:overflowPunct/>
        <w:topLinePunct w:val="0"/>
        <w:bidi w:val="0"/>
        <w:snapToGrid/>
        <w:spacing w:line="660" w:lineRule="exact"/>
        <w:ind w:firstLine="562" w:firstLineChars="200"/>
        <w:textAlignment w:val="auto"/>
        <w:rPr>
          <w:rFonts w:hint="eastAsia" w:ascii="楷体" w:hAnsi="楷体" w:eastAsia="楷体" w:cs="楷体"/>
          <w:sz w:val="28"/>
          <w:szCs w:val="28"/>
        </w:rPr>
      </w:pPr>
      <w:r>
        <w:rPr>
          <w:rFonts w:hint="eastAsia" w:ascii="楷体" w:hAnsi="楷体" w:eastAsia="楷体" w:cs="楷体"/>
          <w:b/>
          <w:bCs/>
          <w:sz w:val="28"/>
          <w:szCs w:val="28"/>
          <w:lang w:eastAsia="zh-CN"/>
        </w:rPr>
        <w:t>（</w:t>
      </w:r>
      <w:r>
        <w:rPr>
          <w:rFonts w:hint="eastAsia" w:ascii="楷体" w:hAnsi="楷体" w:eastAsia="楷体" w:cs="楷体"/>
          <w:b/>
          <w:bCs/>
          <w:sz w:val="28"/>
          <w:szCs w:val="28"/>
          <w:lang w:val="en-US" w:eastAsia="zh-CN"/>
        </w:rPr>
        <w:t>二</w:t>
      </w:r>
      <w:r>
        <w:rPr>
          <w:rFonts w:hint="eastAsia" w:ascii="楷体" w:hAnsi="楷体" w:eastAsia="楷体" w:cs="楷体"/>
          <w:b/>
          <w:bCs/>
          <w:sz w:val="28"/>
          <w:szCs w:val="28"/>
          <w:lang w:eastAsia="zh-CN"/>
        </w:rPr>
        <w:t>）</w:t>
      </w:r>
      <w:r>
        <w:rPr>
          <w:rFonts w:hint="eastAsia" w:ascii="楷体" w:hAnsi="楷体" w:eastAsia="楷体" w:cs="楷体"/>
          <w:b/>
          <w:bCs/>
          <w:sz w:val="28"/>
          <w:szCs w:val="28"/>
        </w:rPr>
        <w:t>最高最佳使用原则</w:t>
      </w:r>
    </w:p>
    <w:p>
      <w:pPr>
        <w:keepNext w:val="0"/>
        <w:keepLines w:val="0"/>
        <w:pageBreakBefore w:val="0"/>
        <w:kinsoku/>
        <w:wordWrap/>
        <w:overflowPunct/>
        <w:topLinePunct w:val="0"/>
        <w:bidi w:val="0"/>
        <w:snapToGrid/>
        <w:spacing w:line="6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所谓最高最佳使用，要求房地产估价应以估价对象的最高最佳使用为前提进行。它是指法律上允许，技术上可能，财务上可行，经过充分合理的论证，能使估价对象的价值达到最大的一种最可能的使用。</w:t>
      </w:r>
    </w:p>
    <w:p>
      <w:pPr>
        <w:keepNext w:val="0"/>
        <w:keepLines w:val="0"/>
        <w:pageBreakBefore w:val="0"/>
        <w:kinsoku/>
        <w:wordWrap/>
        <w:overflowPunct/>
        <w:topLinePunct w:val="0"/>
        <w:bidi w:val="0"/>
        <w:snapToGrid/>
        <w:spacing w:line="660" w:lineRule="exact"/>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lang w:eastAsia="zh-CN"/>
        </w:rPr>
        <w:t>（</w:t>
      </w:r>
      <w:r>
        <w:rPr>
          <w:rFonts w:hint="eastAsia" w:ascii="楷体" w:hAnsi="楷体" w:eastAsia="楷体" w:cs="楷体"/>
          <w:b/>
          <w:bCs/>
          <w:sz w:val="28"/>
          <w:szCs w:val="28"/>
          <w:lang w:val="en-US" w:eastAsia="zh-CN"/>
        </w:rPr>
        <w:t>三</w:t>
      </w:r>
      <w:r>
        <w:rPr>
          <w:rFonts w:hint="eastAsia" w:ascii="楷体" w:hAnsi="楷体" w:eastAsia="楷体" w:cs="楷体"/>
          <w:b/>
          <w:bCs/>
          <w:sz w:val="28"/>
          <w:szCs w:val="28"/>
          <w:lang w:eastAsia="zh-CN"/>
        </w:rPr>
        <w:t>）</w:t>
      </w:r>
      <w:r>
        <w:rPr>
          <w:rFonts w:hint="eastAsia" w:ascii="楷体" w:hAnsi="楷体" w:eastAsia="楷体" w:cs="楷体"/>
          <w:b/>
          <w:bCs/>
          <w:sz w:val="28"/>
          <w:szCs w:val="28"/>
        </w:rPr>
        <w:t>房地产替代性原则</w:t>
      </w:r>
    </w:p>
    <w:p>
      <w:pPr>
        <w:keepNext w:val="0"/>
        <w:keepLines w:val="0"/>
        <w:pageBreakBefore w:val="0"/>
        <w:kinsoku/>
        <w:wordWrap/>
        <w:overflowPunct/>
        <w:topLinePunct w:val="0"/>
        <w:bidi w:val="0"/>
        <w:snapToGrid/>
        <w:spacing w:line="6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替代原则要求房地产估价结果不得明显偏离类似房地产在同等条件下的正常价格。类似房地产是指与估价对象处在同一供求范围内，并在用途、规模、档次、建筑结构等方面与估价对象相同或相近的房地产。同一供求范围是指与估价对象相同或相近的房地产所处的区域范围。</w:t>
      </w:r>
    </w:p>
    <w:p>
      <w:pPr>
        <w:keepNext w:val="0"/>
        <w:keepLines w:val="0"/>
        <w:pageBreakBefore w:val="0"/>
        <w:kinsoku/>
        <w:wordWrap/>
        <w:overflowPunct/>
        <w:topLinePunct w:val="0"/>
        <w:bidi w:val="0"/>
        <w:snapToGrid/>
        <w:spacing w:line="660" w:lineRule="exact"/>
        <w:ind w:firstLine="562" w:firstLineChars="200"/>
        <w:textAlignment w:val="auto"/>
        <w:rPr>
          <w:rFonts w:hint="eastAsia" w:ascii="楷体" w:hAnsi="楷体" w:eastAsia="楷体" w:cs="楷体"/>
          <w:sz w:val="28"/>
          <w:szCs w:val="28"/>
        </w:rPr>
      </w:pPr>
      <w:r>
        <w:rPr>
          <w:rFonts w:hint="eastAsia" w:ascii="楷体" w:hAnsi="楷体" w:eastAsia="楷体" w:cs="楷体"/>
          <w:b/>
          <w:bCs/>
          <w:sz w:val="28"/>
          <w:szCs w:val="28"/>
          <w:lang w:eastAsia="zh-CN"/>
        </w:rPr>
        <w:t>（</w:t>
      </w:r>
      <w:r>
        <w:rPr>
          <w:rFonts w:hint="eastAsia" w:ascii="楷体" w:hAnsi="楷体" w:eastAsia="楷体" w:cs="楷体"/>
          <w:b/>
          <w:bCs/>
          <w:sz w:val="28"/>
          <w:szCs w:val="28"/>
          <w:lang w:val="en-US" w:eastAsia="zh-CN"/>
        </w:rPr>
        <w:t>四）</w:t>
      </w:r>
      <w:r>
        <w:rPr>
          <w:rFonts w:hint="eastAsia" w:ascii="楷体" w:hAnsi="楷体" w:eastAsia="楷体" w:cs="楷体"/>
          <w:b/>
          <w:bCs/>
          <w:sz w:val="28"/>
          <w:szCs w:val="28"/>
        </w:rPr>
        <w:t>价值时点原则</w:t>
      </w:r>
    </w:p>
    <w:p>
      <w:pPr>
        <w:keepNext w:val="0"/>
        <w:keepLines w:val="0"/>
        <w:pageBreakBefore w:val="0"/>
        <w:kinsoku/>
        <w:wordWrap/>
        <w:overflowPunct/>
        <w:topLinePunct w:val="0"/>
        <w:bidi w:val="0"/>
        <w:snapToGrid/>
        <w:spacing w:line="6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价值时点原则要求房地产估价结果应是估价对象在价值时点上的客观合理价格或价值。估价不是求取估价对象在所有时间上的价格，而是求取估价对象在某一时间上的价格，而这一时间不是估价人员可以随意假定的，必须依据估价目的来确定，这一时点即是价值时点。</w:t>
      </w:r>
    </w:p>
    <w:p>
      <w:pPr>
        <w:keepNext w:val="0"/>
        <w:keepLines w:val="0"/>
        <w:pageBreakBefore w:val="0"/>
        <w:numPr>
          <w:ilvl w:val="0"/>
          <w:numId w:val="1"/>
        </w:numPr>
        <w:kinsoku/>
        <w:wordWrap/>
        <w:overflowPunct/>
        <w:topLinePunct w:val="0"/>
        <w:bidi w:val="0"/>
        <w:snapToGrid/>
        <w:spacing w:line="660" w:lineRule="exact"/>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rPr>
        <w:t xml:space="preserve">谨慎原则 </w:t>
      </w:r>
    </w:p>
    <w:p>
      <w:pPr>
        <w:keepNext w:val="0"/>
        <w:keepLines w:val="0"/>
        <w:pageBreakBefore w:val="0"/>
        <w:widowControl w:val="0"/>
        <w:numPr>
          <w:ilvl w:val="0"/>
          <w:numId w:val="0"/>
        </w:numPr>
        <w:kinsoku/>
        <w:wordWrap/>
        <w:overflowPunct/>
        <w:topLinePunct w:val="0"/>
        <w:bidi w:val="0"/>
        <w:snapToGrid/>
        <w:spacing w:line="6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亦称审慎原则、稳健性原则等，在评估环境中存在不确定因素和风险、评估要素的确认和计量的精确性受到影响的情况下，应运用谨慎的职业判断和稳妥的方法进行处理。充分预计可能的负债、损失和费用，尽量少计或不计可能的资产和收益，以免引起报告使用者的盲目乐观。</w:t>
      </w:r>
    </w:p>
    <w:p>
      <w:pPr>
        <w:keepNext w:val="0"/>
        <w:keepLines w:val="0"/>
        <w:pageBreakBefore w:val="0"/>
        <w:widowControl w:val="0"/>
        <w:kinsoku/>
        <w:wordWrap/>
        <w:overflowPunct/>
        <w:topLinePunct w:val="0"/>
        <w:bidi w:val="0"/>
        <w:snapToGrid/>
        <w:spacing w:line="660" w:lineRule="exact"/>
        <w:textAlignment w:val="auto"/>
        <w:outlineLvl w:val="1"/>
        <w:rPr>
          <w:rFonts w:hint="eastAsia" w:ascii="楷体" w:hAnsi="楷体" w:eastAsia="楷体" w:cs="楷体"/>
          <w:b/>
          <w:sz w:val="28"/>
          <w:szCs w:val="28"/>
        </w:rPr>
      </w:pPr>
      <w:bookmarkStart w:id="45" w:name="_Toc467076851"/>
      <w:bookmarkStart w:id="46" w:name="_Toc22479"/>
      <w:bookmarkStart w:id="47" w:name="_Toc1445"/>
      <w:bookmarkStart w:id="48" w:name="_Toc5239"/>
      <w:r>
        <w:rPr>
          <w:rFonts w:hint="eastAsia" w:ascii="楷体" w:hAnsi="楷体" w:eastAsia="楷体" w:cs="楷体"/>
          <w:b/>
          <w:sz w:val="28"/>
          <w:szCs w:val="28"/>
        </w:rPr>
        <w:t>九、估价</w:t>
      </w:r>
      <w:r>
        <w:rPr>
          <w:rFonts w:hint="eastAsia" w:ascii="楷体" w:hAnsi="楷体" w:eastAsia="楷体" w:cs="楷体"/>
          <w:b/>
          <w:sz w:val="28"/>
          <w:szCs w:val="28"/>
          <w:lang w:val="en-US" w:eastAsia="zh-CN"/>
        </w:rPr>
        <w:t>思路及</w:t>
      </w:r>
      <w:r>
        <w:rPr>
          <w:rFonts w:hint="eastAsia" w:ascii="楷体" w:hAnsi="楷体" w:eastAsia="楷体" w:cs="楷体"/>
          <w:b/>
          <w:sz w:val="28"/>
          <w:szCs w:val="28"/>
        </w:rPr>
        <w:t>方法</w:t>
      </w:r>
      <w:bookmarkEnd w:id="45"/>
      <w:bookmarkEnd w:id="46"/>
      <w:bookmarkEnd w:id="47"/>
      <w:bookmarkEnd w:id="48"/>
    </w:p>
    <w:p>
      <w:pPr>
        <w:numPr>
          <w:ilvl w:val="0"/>
          <w:numId w:val="0"/>
        </w:numPr>
        <w:spacing w:line="360" w:lineRule="auto"/>
        <w:ind w:firstLine="560" w:firstLineChars="200"/>
        <w:outlineLvl w:val="9"/>
        <w:rPr>
          <w:rFonts w:hint="eastAsia" w:ascii="楷体" w:hAnsi="楷体" w:eastAsia="楷体" w:cs="楷体"/>
          <w:sz w:val="28"/>
          <w:szCs w:val="28"/>
        </w:rPr>
      </w:pPr>
      <w:r>
        <w:rPr>
          <w:rFonts w:hint="eastAsia" w:ascii="楷体" w:hAnsi="楷体" w:eastAsia="楷体" w:cs="楷体"/>
          <w:sz w:val="28"/>
          <w:szCs w:val="28"/>
        </w:rPr>
        <w:t>根据《房地产估价规范》通行的估价方法有比较法、收益法、成本法、假设开发法等。估价方法的选择应按照《房地产估价规范》，结合估价机构掌握的有关资料和待估房地产的实际状况、估价目的以及估价对象所在的房地产市场具体特点来确定的。</w:t>
      </w:r>
    </w:p>
    <w:p>
      <w:pPr>
        <w:numPr>
          <w:ilvl w:val="0"/>
          <w:numId w:val="0"/>
        </w:numPr>
        <w:spacing w:line="360" w:lineRule="auto"/>
        <w:ind w:firstLine="560" w:firstLineChars="200"/>
        <w:outlineLvl w:val="9"/>
        <w:rPr>
          <w:rFonts w:hint="eastAsia" w:ascii="楷体" w:hAnsi="楷体" w:eastAsia="楷体" w:cs="楷体"/>
          <w:sz w:val="28"/>
          <w:szCs w:val="28"/>
        </w:rPr>
      </w:pPr>
      <w:r>
        <w:rPr>
          <w:rFonts w:hint="eastAsia" w:ascii="楷体" w:hAnsi="楷体" w:eastAsia="楷体" w:cs="楷体"/>
          <w:sz w:val="28"/>
          <w:szCs w:val="28"/>
        </w:rPr>
        <w:t>1、根据《房地产估价规范》，“有条件选用比较法进行估价的，应以比较法作为主要估价方法，估价对象房地产作为住宅房地产，在统一供求圈内类似房地产交易市场比较活跃，交易实例较多，故宜采用比较法进行评估；</w:t>
      </w:r>
    </w:p>
    <w:p>
      <w:pPr>
        <w:numPr>
          <w:ilvl w:val="0"/>
          <w:numId w:val="0"/>
        </w:numPr>
        <w:spacing w:line="360" w:lineRule="auto"/>
        <w:ind w:firstLine="560" w:firstLineChars="200"/>
        <w:outlineLvl w:val="9"/>
        <w:rPr>
          <w:rFonts w:hint="eastAsia" w:ascii="楷体" w:hAnsi="楷体" w:eastAsia="楷体" w:cs="楷体"/>
          <w:sz w:val="28"/>
          <w:szCs w:val="28"/>
        </w:rPr>
      </w:pPr>
      <w:r>
        <w:rPr>
          <w:rFonts w:hint="eastAsia" w:ascii="楷体" w:hAnsi="楷体" w:eastAsia="楷体" w:cs="楷体"/>
          <w:sz w:val="28"/>
          <w:szCs w:val="28"/>
        </w:rPr>
        <w:t>2、根据《房地产估价规范》， “收益性房地产的估价，应选用收益法作为其中的一种估价方法”，估价对象所在区域类似住宅房地产的出租案例较少，其净收益和收益期限难以通过市场调查获得，故不采用收益法；</w:t>
      </w:r>
    </w:p>
    <w:p>
      <w:pPr>
        <w:numPr>
          <w:ilvl w:val="0"/>
          <w:numId w:val="0"/>
        </w:numPr>
        <w:spacing w:line="360" w:lineRule="auto"/>
        <w:ind w:firstLine="560" w:firstLineChars="200"/>
        <w:outlineLvl w:val="9"/>
        <w:rPr>
          <w:rFonts w:hint="eastAsia" w:ascii="楷体" w:hAnsi="楷体" w:eastAsia="楷体" w:cs="楷体"/>
          <w:sz w:val="28"/>
          <w:szCs w:val="28"/>
        </w:rPr>
      </w:pPr>
      <w:r>
        <w:rPr>
          <w:rFonts w:hint="eastAsia" w:ascii="楷体" w:hAnsi="楷体" w:eastAsia="楷体" w:cs="楷体"/>
          <w:sz w:val="28"/>
          <w:szCs w:val="28"/>
        </w:rPr>
        <w:t>3、根据《房地产估价规范》， “具有投资开发或再开发潜力的房地产的估价，应选用假设开发法作为其中的一种估价方法”，估价对象已建成使用多年的商品房，不具有房地产再投资开发潜力，故不选用假设开发法进行估价。</w:t>
      </w:r>
    </w:p>
    <w:p>
      <w:pPr>
        <w:numPr>
          <w:ilvl w:val="0"/>
          <w:numId w:val="0"/>
        </w:numPr>
        <w:spacing w:line="360" w:lineRule="auto"/>
        <w:ind w:firstLine="560" w:firstLineChars="200"/>
        <w:outlineLvl w:val="9"/>
        <w:rPr>
          <w:rFonts w:hint="eastAsia" w:ascii="楷体" w:hAnsi="楷体" w:eastAsia="楷体" w:cs="楷体"/>
          <w:sz w:val="28"/>
          <w:szCs w:val="28"/>
        </w:rPr>
      </w:pPr>
      <w:r>
        <w:rPr>
          <w:rFonts w:hint="eastAsia" w:ascii="楷体" w:hAnsi="楷体" w:eastAsia="楷体" w:cs="楷体"/>
          <w:sz w:val="28"/>
          <w:szCs w:val="28"/>
        </w:rPr>
        <w:t>4、根据《房地产估价规范》， “在无市场依据或市场依据不充分而不宜采用比较法、收益法、假设开发法进行估价的情况下，可采用成本法作为主要的估价方法”。估价对象为住宅房地产，采用成本法无法真实反映其市场价值水平，故不宜采用成本法进行评估。</w:t>
      </w:r>
    </w:p>
    <w:p>
      <w:pPr>
        <w:numPr>
          <w:ilvl w:val="0"/>
          <w:numId w:val="0"/>
        </w:numPr>
        <w:spacing w:line="360" w:lineRule="auto"/>
        <w:ind w:firstLine="560" w:firstLineChars="200"/>
        <w:outlineLvl w:val="9"/>
        <w:rPr>
          <w:rFonts w:hint="eastAsia" w:ascii="楷体" w:hAnsi="楷体" w:eastAsia="楷体" w:cs="楷体"/>
          <w:sz w:val="28"/>
          <w:szCs w:val="28"/>
        </w:rPr>
      </w:pPr>
      <w:r>
        <w:rPr>
          <w:rFonts w:hint="eastAsia" w:ascii="楷体" w:hAnsi="楷体" w:eastAsia="楷体" w:cs="楷体"/>
          <w:sz w:val="28"/>
          <w:szCs w:val="28"/>
        </w:rPr>
        <w:t>比较法是根据替代原则，将估价对象房地产与在近期已经发生了交易的类似房地产加以比较对照，并根据后者的成交价格，以及两者在交易情况、市场状况、区域状况、实物状况以及权益状况素等方面存在的差异大小，进行价格修正，以最终得到估价对象在价值时点的正常市场价格的一种估价方法。其估价公式如下：</w:t>
      </w:r>
    </w:p>
    <w:p>
      <w:pPr>
        <w:numPr>
          <w:ilvl w:val="0"/>
          <w:numId w:val="0"/>
        </w:numPr>
        <w:spacing w:line="360" w:lineRule="auto"/>
        <w:outlineLvl w:val="9"/>
        <w:rPr>
          <w:rFonts w:hint="eastAsia" w:ascii="楷体" w:hAnsi="楷体" w:eastAsia="楷体" w:cs="楷体"/>
          <w:sz w:val="28"/>
          <w:szCs w:val="28"/>
        </w:rPr>
      </w:pPr>
      <w:r>
        <w:rPr>
          <w:rFonts w:hint="eastAsia" w:ascii="楷体" w:hAnsi="楷体" w:eastAsia="楷体" w:cs="楷体"/>
          <w:sz w:val="28"/>
          <w:szCs w:val="28"/>
        </w:rPr>
        <w:t>待估房地产评估单价=比较实例房地产单价×K1×K2×K3</w:t>
      </w:r>
    </w:p>
    <w:p>
      <w:pPr>
        <w:numPr>
          <w:ilvl w:val="0"/>
          <w:numId w:val="0"/>
        </w:numPr>
        <w:spacing w:line="360" w:lineRule="auto"/>
        <w:outlineLvl w:val="9"/>
        <w:rPr>
          <w:rFonts w:hint="eastAsia" w:ascii="楷体" w:hAnsi="楷体" w:eastAsia="楷体" w:cs="楷体"/>
          <w:sz w:val="28"/>
          <w:szCs w:val="28"/>
        </w:rPr>
      </w:pPr>
      <w:r>
        <w:rPr>
          <w:rFonts w:hint="eastAsia" w:ascii="楷体" w:hAnsi="楷体" w:eastAsia="楷体" w:cs="楷体"/>
          <w:sz w:val="28"/>
          <w:szCs w:val="28"/>
        </w:rPr>
        <w:t xml:space="preserve">    式中：K1：交易情况修正      K3：实物状况修正</w:t>
      </w:r>
    </w:p>
    <w:p>
      <w:pPr>
        <w:numPr>
          <w:ilvl w:val="0"/>
          <w:numId w:val="0"/>
        </w:numPr>
        <w:spacing w:line="360" w:lineRule="auto"/>
        <w:outlineLvl w:val="9"/>
        <w:rPr>
          <w:rFonts w:hint="eastAsia" w:ascii="楷体" w:hAnsi="楷体" w:eastAsia="楷体" w:cs="楷体"/>
          <w:sz w:val="28"/>
          <w:szCs w:val="28"/>
        </w:rPr>
      </w:pPr>
      <w:r>
        <w:rPr>
          <w:rFonts w:hint="eastAsia" w:ascii="楷体" w:hAnsi="楷体" w:eastAsia="楷体" w:cs="楷体"/>
          <w:sz w:val="28"/>
          <w:szCs w:val="28"/>
        </w:rPr>
        <w:t xml:space="preserve">        K2：市场状况修正</w:t>
      </w:r>
    </w:p>
    <w:p>
      <w:pPr>
        <w:numPr>
          <w:ilvl w:val="0"/>
          <w:numId w:val="0"/>
        </w:numPr>
        <w:spacing w:line="360" w:lineRule="auto"/>
        <w:outlineLvl w:val="9"/>
        <w:rPr>
          <w:rFonts w:hint="eastAsia" w:ascii="楷体" w:hAnsi="楷体" w:eastAsia="楷体" w:cs="楷体"/>
          <w:sz w:val="28"/>
          <w:szCs w:val="28"/>
        </w:rPr>
      </w:pPr>
      <w:r>
        <w:rPr>
          <w:rFonts w:hint="eastAsia" w:ascii="楷体" w:hAnsi="楷体" w:eastAsia="楷体" w:cs="楷体"/>
          <w:sz w:val="28"/>
          <w:szCs w:val="28"/>
        </w:rPr>
        <w:t xml:space="preserve">        评估总价＝评估单位价格×建筑面积</w:t>
      </w:r>
    </w:p>
    <w:p>
      <w:pPr>
        <w:keepNext w:val="0"/>
        <w:keepLines w:val="0"/>
        <w:pageBreakBefore w:val="0"/>
        <w:numPr>
          <w:ilvl w:val="0"/>
          <w:numId w:val="0"/>
        </w:numPr>
        <w:kinsoku/>
        <w:wordWrap/>
        <w:overflowPunct/>
        <w:topLinePunct w:val="0"/>
        <w:bidi w:val="0"/>
        <w:snapToGrid/>
        <w:spacing w:line="660" w:lineRule="exact"/>
        <w:textAlignment w:val="auto"/>
        <w:outlineLvl w:val="9"/>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十、估价结果</w:t>
      </w:r>
    </w:p>
    <w:p>
      <w:pPr>
        <w:keepNext w:val="0"/>
        <w:keepLines w:val="0"/>
        <w:pageBreakBefore w:val="0"/>
        <w:numPr>
          <w:ilvl w:val="0"/>
          <w:numId w:val="0"/>
        </w:numPr>
        <w:kinsoku/>
        <w:wordWrap/>
        <w:overflowPunct/>
        <w:topLinePunct w:val="0"/>
        <w:bidi w:val="0"/>
        <w:snapToGrid/>
        <w:spacing w:line="660" w:lineRule="exact"/>
        <w:ind w:firstLine="560" w:firstLineChars="200"/>
        <w:textAlignment w:val="auto"/>
        <w:outlineLvl w:val="9"/>
        <w:rPr>
          <w:rFonts w:hint="eastAsia" w:ascii="楷体" w:hAnsi="楷体" w:eastAsia="楷体" w:cs="楷体"/>
          <w:b/>
          <w:bCs/>
          <w:sz w:val="28"/>
          <w:szCs w:val="28"/>
          <w:lang w:val="en-US" w:eastAsia="zh-CN"/>
        </w:rPr>
      </w:pPr>
      <w:r>
        <w:rPr>
          <w:rFonts w:hint="eastAsia" w:ascii="楷体" w:hAnsi="楷体" w:eastAsia="楷体" w:cs="楷体"/>
          <w:b w:val="0"/>
          <w:bCs w:val="0"/>
          <w:sz w:val="28"/>
          <w:szCs w:val="28"/>
          <w:lang w:val="en-US" w:eastAsia="zh-CN"/>
        </w:rPr>
        <w:t>受委托方的委托，我公司对委估房地产进行了估价，确定估价对象在价值时点</w:t>
      </w:r>
      <w:r>
        <w:rPr>
          <w:rFonts w:hint="eastAsia" w:ascii="楷体" w:hAnsi="楷体" w:eastAsia="楷体" w:cs="楷体"/>
          <w:b w:val="0"/>
          <w:bCs w:val="0"/>
          <w:color w:val="auto"/>
          <w:sz w:val="28"/>
          <w:szCs w:val="28"/>
          <w:lang w:val="en-US" w:eastAsia="zh-CN"/>
        </w:rPr>
        <w:t>2022年8月9日完</w:t>
      </w:r>
      <w:r>
        <w:rPr>
          <w:rFonts w:hint="eastAsia" w:ascii="楷体" w:hAnsi="楷体" w:eastAsia="楷体" w:cs="楷体"/>
          <w:b w:val="0"/>
          <w:bCs w:val="0"/>
          <w:sz w:val="28"/>
          <w:szCs w:val="28"/>
          <w:lang w:val="en-US" w:eastAsia="zh-CN"/>
        </w:rPr>
        <w:t>整权利状态及满足各项假设限制条件下的房地产公开市场价值为</w:t>
      </w:r>
      <w:r>
        <w:rPr>
          <w:rFonts w:hint="eastAsia" w:ascii="楷体" w:hAnsi="楷体" w:eastAsia="楷体" w:cs="楷体"/>
          <w:color w:val="auto"/>
          <w:sz w:val="28"/>
          <w:szCs w:val="28"/>
        </w:rPr>
        <w:t>人民币</w:t>
      </w:r>
      <w:r>
        <w:rPr>
          <w:rFonts w:hint="eastAsia" w:ascii="楷体" w:hAnsi="楷体" w:eastAsia="楷体" w:cs="楷体"/>
          <w:color w:val="auto"/>
          <w:sz w:val="28"/>
          <w:szCs w:val="28"/>
          <w:lang w:val="en-US" w:eastAsia="zh-CN"/>
        </w:rPr>
        <w:t>叁佰零陆万壹仟壹佰叁拾捌</w:t>
      </w:r>
      <w:r>
        <w:rPr>
          <w:rFonts w:hint="eastAsia" w:ascii="楷体" w:hAnsi="楷体" w:eastAsia="楷体" w:cs="楷体"/>
          <w:color w:val="auto"/>
          <w:sz w:val="28"/>
          <w:szCs w:val="28"/>
        </w:rPr>
        <w:t>元整（¥</w:t>
      </w:r>
      <w:r>
        <w:rPr>
          <w:rFonts w:hint="eastAsia" w:ascii="楷体" w:hAnsi="楷体" w:eastAsia="楷体" w:cs="楷体"/>
          <w:color w:val="auto"/>
          <w:sz w:val="28"/>
          <w:szCs w:val="28"/>
          <w:lang w:val="en-US" w:eastAsia="zh-CN"/>
        </w:rPr>
        <w:t>3061138</w:t>
      </w:r>
      <w:r>
        <w:rPr>
          <w:rFonts w:hint="eastAsia" w:ascii="楷体" w:hAnsi="楷体" w:eastAsia="楷体" w:cs="楷体"/>
          <w:color w:val="auto"/>
          <w:sz w:val="28"/>
          <w:szCs w:val="28"/>
        </w:rPr>
        <w:t>.00元）</w:t>
      </w:r>
      <w:r>
        <w:rPr>
          <w:rFonts w:hint="eastAsia" w:ascii="楷体" w:hAnsi="楷体" w:eastAsia="楷体" w:cs="楷体"/>
          <w:b w:val="0"/>
          <w:bCs w:val="0"/>
          <w:color w:val="auto"/>
          <w:sz w:val="28"/>
          <w:szCs w:val="28"/>
          <w:lang w:val="en-US" w:eastAsia="zh-CN"/>
        </w:rPr>
        <w:t>，评估单价 RMB28304.56</w:t>
      </w:r>
      <w:r>
        <w:rPr>
          <w:rFonts w:hint="eastAsia" w:ascii="楷体" w:hAnsi="楷体" w:eastAsia="楷体" w:cs="楷体"/>
          <w:b w:val="0"/>
          <w:bCs w:val="0"/>
          <w:sz w:val="28"/>
          <w:szCs w:val="28"/>
          <w:lang w:val="en-US" w:eastAsia="zh-CN"/>
        </w:rPr>
        <w:t>元/㎡。</w:t>
      </w:r>
    </w:p>
    <w:p>
      <w:pPr>
        <w:keepNext w:val="0"/>
        <w:keepLines w:val="0"/>
        <w:pageBreakBefore w:val="0"/>
        <w:numPr>
          <w:ilvl w:val="0"/>
          <w:numId w:val="0"/>
        </w:numPr>
        <w:kinsoku/>
        <w:wordWrap/>
        <w:overflowPunct/>
        <w:topLinePunct w:val="0"/>
        <w:bidi w:val="0"/>
        <w:snapToGrid/>
        <w:spacing w:line="660" w:lineRule="exact"/>
        <w:textAlignment w:val="auto"/>
        <w:outlineLvl w:val="9"/>
        <w:rPr>
          <w:rFonts w:hint="eastAsia" w:ascii="楷体" w:hAnsi="楷体" w:eastAsia="楷体" w:cs="楷体"/>
          <w:b/>
          <w:bCs/>
          <w:sz w:val="28"/>
          <w:szCs w:val="28"/>
        </w:rPr>
      </w:pPr>
      <w:r>
        <w:rPr>
          <w:rFonts w:hint="eastAsia" w:ascii="楷体" w:hAnsi="楷体" w:eastAsia="楷体" w:cs="楷体"/>
          <w:b/>
          <w:bCs/>
          <w:sz w:val="28"/>
          <w:szCs w:val="28"/>
          <w:lang w:val="en-US" w:eastAsia="zh-CN"/>
        </w:rPr>
        <w:t>十一、估价作业日期</w:t>
      </w:r>
    </w:p>
    <w:p>
      <w:pPr>
        <w:keepNext w:val="0"/>
        <w:keepLines w:val="0"/>
        <w:pageBreakBefore w:val="0"/>
        <w:widowControl/>
        <w:suppressLineNumbers w:val="0"/>
        <w:kinsoku/>
        <w:wordWrap/>
        <w:overflowPunct/>
        <w:topLinePunct w:val="0"/>
        <w:bidi w:val="0"/>
        <w:snapToGrid/>
        <w:spacing w:line="660" w:lineRule="exact"/>
        <w:ind w:firstLine="560" w:firstLineChars="200"/>
        <w:jc w:val="left"/>
        <w:textAlignment w:val="auto"/>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2022年5月11日至 2022年8月19日</w:t>
      </w:r>
    </w:p>
    <w:p>
      <w:pPr>
        <w:keepNext w:val="0"/>
        <w:keepLines w:val="0"/>
        <w:pageBreakBefore w:val="0"/>
        <w:numPr>
          <w:ilvl w:val="0"/>
          <w:numId w:val="0"/>
        </w:numPr>
        <w:kinsoku/>
        <w:wordWrap/>
        <w:overflowPunct/>
        <w:topLinePunct w:val="0"/>
        <w:bidi w:val="0"/>
        <w:snapToGrid/>
        <w:spacing w:line="660" w:lineRule="exact"/>
        <w:textAlignment w:val="auto"/>
        <w:outlineLvl w:val="9"/>
        <w:rPr>
          <w:rFonts w:hint="eastAsia" w:ascii="楷体_GB2312" w:hAnsi="楷体_GB2312" w:eastAsia="楷体_GB2312" w:cs="楷体_GB2312"/>
          <w:b/>
          <w:bCs/>
          <w:sz w:val="28"/>
          <w:szCs w:val="28"/>
          <w:lang w:eastAsia="zh-CN"/>
        </w:rPr>
      </w:pPr>
    </w:p>
    <w:p>
      <w:pPr>
        <w:keepNext w:val="0"/>
        <w:keepLines w:val="0"/>
        <w:pageBreakBefore w:val="0"/>
        <w:numPr>
          <w:ilvl w:val="0"/>
          <w:numId w:val="0"/>
        </w:numPr>
        <w:kinsoku/>
        <w:wordWrap/>
        <w:overflowPunct/>
        <w:topLinePunct w:val="0"/>
        <w:bidi w:val="0"/>
        <w:snapToGrid/>
        <w:spacing w:line="660" w:lineRule="exact"/>
        <w:textAlignment w:val="auto"/>
        <w:outlineLvl w:val="9"/>
        <w:rPr>
          <w:rFonts w:hint="eastAsia" w:ascii="楷体" w:hAnsi="楷体" w:eastAsia="楷体" w:cs="楷体"/>
          <w:b/>
          <w:bCs/>
          <w:sz w:val="28"/>
          <w:szCs w:val="28"/>
        </w:rPr>
      </w:pPr>
      <w:r>
        <w:rPr>
          <w:rFonts w:hint="eastAsia" w:ascii="楷体" w:hAnsi="楷体" w:eastAsia="楷体" w:cs="楷体"/>
          <w:b/>
          <w:bCs/>
          <w:sz w:val="28"/>
          <w:szCs w:val="28"/>
          <w:lang w:eastAsia="zh-CN"/>
        </w:rPr>
        <w:t>十二、</w:t>
      </w:r>
      <w:r>
        <w:rPr>
          <w:rFonts w:hint="eastAsia" w:ascii="楷体" w:hAnsi="楷体" w:eastAsia="楷体" w:cs="楷体"/>
          <w:b/>
          <w:bCs/>
          <w:sz w:val="28"/>
          <w:szCs w:val="28"/>
        </w:rPr>
        <w:t xml:space="preserve">估价报告应用的限制条件 </w:t>
      </w:r>
    </w:p>
    <w:p>
      <w:pPr>
        <w:keepNext w:val="0"/>
        <w:keepLines w:val="0"/>
        <w:pageBreakBefore w:val="0"/>
        <w:numPr>
          <w:ilvl w:val="0"/>
          <w:numId w:val="0"/>
        </w:numPr>
        <w:kinsoku/>
        <w:wordWrap/>
        <w:overflowPunct/>
        <w:topLinePunct w:val="0"/>
        <w:bidi w:val="0"/>
        <w:snapToGrid/>
        <w:spacing w:line="660" w:lineRule="exact"/>
        <w:ind w:firstLine="560" w:firstLineChars="200"/>
        <w:textAlignment w:val="auto"/>
        <w:outlineLvl w:val="9"/>
        <w:rPr>
          <w:rFonts w:hint="eastAsia" w:ascii="楷体" w:hAnsi="楷体" w:eastAsia="楷体" w:cs="楷体"/>
          <w:sz w:val="28"/>
          <w:szCs w:val="28"/>
        </w:rPr>
      </w:pPr>
      <w:r>
        <w:rPr>
          <w:rFonts w:hint="eastAsia" w:ascii="楷体" w:hAnsi="楷体" w:eastAsia="楷体" w:cs="楷体"/>
          <w:sz w:val="28"/>
          <w:szCs w:val="28"/>
          <w:lang w:val="en-US" w:eastAsia="zh-CN"/>
        </w:rPr>
        <w:t>本</w:t>
      </w:r>
      <w:r>
        <w:rPr>
          <w:rFonts w:hint="eastAsia" w:ascii="楷体" w:hAnsi="楷体" w:eastAsia="楷体" w:cs="楷体"/>
          <w:sz w:val="28"/>
          <w:szCs w:val="28"/>
        </w:rPr>
        <w:t>报告书的应用有效期为壹年，自完成日期起壹年内有效</w:t>
      </w:r>
      <w:r>
        <w:rPr>
          <w:rFonts w:hint="eastAsia" w:ascii="楷体" w:hAnsi="楷体" w:eastAsia="楷体" w:cs="楷体"/>
          <w:sz w:val="28"/>
          <w:szCs w:val="28"/>
          <w:lang w:eastAsia="zh-CN"/>
        </w:rPr>
        <w:t>，</w:t>
      </w:r>
      <w:r>
        <w:rPr>
          <w:rFonts w:hint="eastAsia" w:ascii="楷体" w:hAnsi="楷体" w:eastAsia="楷体" w:cs="楷体"/>
          <w:sz w:val="28"/>
          <w:szCs w:val="28"/>
        </w:rPr>
        <w:t xml:space="preserve">即从 </w:t>
      </w:r>
      <w:r>
        <w:rPr>
          <w:rFonts w:hint="eastAsia" w:ascii="楷体" w:hAnsi="楷体" w:eastAsia="楷体" w:cs="楷体"/>
          <w:color w:val="auto"/>
          <w:sz w:val="28"/>
          <w:szCs w:val="28"/>
        </w:rPr>
        <w:t>202</w:t>
      </w:r>
      <w:r>
        <w:rPr>
          <w:rFonts w:hint="eastAsia" w:ascii="楷体" w:hAnsi="楷体" w:eastAsia="楷体" w:cs="楷体"/>
          <w:color w:val="auto"/>
          <w:sz w:val="28"/>
          <w:szCs w:val="28"/>
          <w:lang w:val="en-US" w:eastAsia="zh-CN"/>
        </w:rPr>
        <w:t>2</w:t>
      </w:r>
      <w:r>
        <w:rPr>
          <w:rFonts w:hint="eastAsia" w:ascii="楷体" w:hAnsi="楷体" w:eastAsia="楷体" w:cs="楷体"/>
          <w:color w:val="auto"/>
          <w:sz w:val="28"/>
          <w:szCs w:val="28"/>
        </w:rPr>
        <w:t>年</w:t>
      </w:r>
      <w:r>
        <w:rPr>
          <w:rFonts w:hint="eastAsia" w:ascii="楷体" w:hAnsi="楷体" w:eastAsia="楷体" w:cs="楷体"/>
          <w:color w:val="auto"/>
          <w:sz w:val="28"/>
          <w:szCs w:val="28"/>
          <w:lang w:val="en-US" w:eastAsia="zh-CN"/>
        </w:rPr>
        <w:t>8</w:t>
      </w:r>
      <w:r>
        <w:rPr>
          <w:rFonts w:hint="eastAsia" w:ascii="楷体" w:hAnsi="楷体" w:eastAsia="楷体" w:cs="楷体"/>
          <w:color w:val="auto"/>
          <w:sz w:val="28"/>
          <w:szCs w:val="28"/>
        </w:rPr>
        <w:t>月</w:t>
      </w:r>
      <w:r>
        <w:rPr>
          <w:rFonts w:hint="eastAsia" w:ascii="楷体" w:hAnsi="楷体" w:eastAsia="楷体" w:cs="楷体"/>
          <w:color w:val="auto"/>
          <w:sz w:val="28"/>
          <w:szCs w:val="28"/>
          <w:lang w:val="en-US" w:eastAsia="zh-CN"/>
        </w:rPr>
        <w:t>19</w:t>
      </w:r>
      <w:r>
        <w:rPr>
          <w:rFonts w:hint="eastAsia" w:ascii="楷体" w:hAnsi="楷体" w:eastAsia="楷体" w:cs="楷体"/>
          <w:color w:val="auto"/>
          <w:sz w:val="28"/>
          <w:szCs w:val="28"/>
        </w:rPr>
        <w:t>日起至 202</w:t>
      </w:r>
      <w:r>
        <w:rPr>
          <w:rFonts w:hint="eastAsia" w:ascii="楷体" w:hAnsi="楷体" w:eastAsia="楷体" w:cs="楷体"/>
          <w:color w:val="auto"/>
          <w:sz w:val="28"/>
          <w:szCs w:val="28"/>
          <w:lang w:val="en-US" w:eastAsia="zh-CN"/>
        </w:rPr>
        <w:t>3</w:t>
      </w:r>
      <w:r>
        <w:rPr>
          <w:rFonts w:hint="eastAsia" w:ascii="楷体" w:hAnsi="楷体" w:eastAsia="楷体" w:cs="楷体"/>
          <w:color w:val="auto"/>
          <w:sz w:val="28"/>
          <w:szCs w:val="28"/>
        </w:rPr>
        <w:t>年</w:t>
      </w:r>
      <w:r>
        <w:rPr>
          <w:rFonts w:hint="eastAsia" w:ascii="楷体" w:hAnsi="楷体" w:eastAsia="楷体" w:cs="楷体"/>
          <w:color w:val="auto"/>
          <w:sz w:val="28"/>
          <w:szCs w:val="28"/>
          <w:lang w:val="en-US" w:eastAsia="zh-CN"/>
        </w:rPr>
        <w:t>8</w:t>
      </w:r>
      <w:r>
        <w:rPr>
          <w:rFonts w:hint="eastAsia" w:ascii="楷体" w:hAnsi="楷体" w:eastAsia="楷体" w:cs="楷体"/>
          <w:color w:val="auto"/>
          <w:sz w:val="28"/>
          <w:szCs w:val="28"/>
        </w:rPr>
        <w:t>月</w:t>
      </w:r>
      <w:r>
        <w:rPr>
          <w:rFonts w:hint="eastAsia" w:ascii="楷体" w:hAnsi="楷体" w:eastAsia="楷体" w:cs="楷体"/>
          <w:color w:val="auto"/>
          <w:sz w:val="28"/>
          <w:szCs w:val="28"/>
          <w:lang w:val="en-US" w:eastAsia="zh-CN"/>
        </w:rPr>
        <w:t>18</w:t>
      </w:r>
      <w:r>
        <w:rPr>
          <w:rFonts w:hint="eastAsia" w:ascii="楷体" w:hAnsi="楷体" w:eastAsia="楷体" w:cs="楷体"/>
          <w:color w:val="auto"/>
          <w:sz w:val="28"/>
          <w:szCs w:val="28"/>
        </w:rPr>
        <w:t>日止。随此函附交壹份估价报</w:t>
      </w:r>
      <w:r>
        <w:rPr>
          <w:rFonts w:hint="eastAsia" w:ascii="楷体" w:hAnsi="楷体" w:eastAsia="楷体" w:cs="楷体"/>
          <w:sz w:val="28"/>
          <w:szCs w:val="28"/>
        </w:rPr>
        <w:t>告。</w:t>
      </w:r>
    </w:p>
    <w:p>
      <w:pPr>
        <w:keepNext w:val="0"/>
        <w:keepLines w:val="0"/>
        <w:pageBreakBefore w:val="0"/>
        <w:kinsoku/>
        <w:wordWrap/>
        <w:overflowPunct/>
        <w:topLinePunct w:val="0"/>
        <w:bidi w:val="0"/>
        <w:snapToGrid/>
        <w:spacing w:line="660" w:lineRule="exact"/>
        <w:textAlignment w:val="auto"/>
        <w:outlineLvl w:val="1"/>
        <w:rPr>
          <w:rFonts w:hint="eastAsia" w:ascii="楷体" w:hAnsi="楷体" w:eastAsia="楷体" w:cs="楷体"/>
          <w:b/>
          <w:sz w:val="28"/>
          <w:szCs w:val="28"/>
          <w:lang w:val="en-US" w:eastAsia="zh-CN"/>
        </w:rPr>
      </w:pPr>
      <w:bookmarkStart w:id="49" w:name="_Toc5373"/>
      <w:bookmarkStart w:id="50" w:name="_Toc23367"/>
      <w:bookmarkStart w:id="51" w:name="_Toc18169"/>
      <w:bookmarkStart w:id="52" w:name="_Toc467076853"/>
      <w:r>
        <w:rPr>
          <w:rFonts w:hint="eastAsia" w:ascii="楷体" w:hAnsi="楷体" w:eastAsia="楷体" w:cs="楷体"/>
          <w:b/>
          <w:sz w:val="28"/>
          <w:szCs w:val="28"/>
        </w:rPr>
        <w:t>十</w:t>
      </w:r>
      <w:r>
        <w:rPr>
          <w:rFonts w:hint="eastAsia" w:ascii="楷体" w:hAnsi="楷体" w:eastAsia="楷体" w:cs="楷体"/>
          <w:b/>
          <w:sz w:val="28"/>
          <w:szCs w:val="28"/>
          <w:lang w:val="en-US" w:eastAsia="zh-CN"/>
        </w:rPr>
        <w:t>三</w:t>
      </w:r>
      <w:r>
        <w:rPr>
          <w:rFonts w:hint="eastAsia" w:ascii="楷体" w:hAnsi="楷体" w:eastAsia="楷体" w:cs="楷体"/>
          <w:b/>
          <w:sz w:val="28"/>
          <w:szCs w:val="28"/>
        </w:rPr>
        <w:t>、</w:t>
      </w:r>
      <w:bookmarkEnd w:id="49"/>
      <w:bookmarkEnd w:id="50"/>
      <w:bookmarkEnd w:id="51"/>
      <w:bookmarkEnd w:id="52"/>
      <w:r>
        <w:rPr>
          <w:rFonts w:hint="eastAsia" w:ascii="楷体" w:hAnsi="楷体" w:eastAsia="楷体" w:cs="楷体"/>
          <w:b/>
          <w:sz w:val="28"/>
          <w:szCs w:val="28"/>
          <w:lang w:val="en-US" w:eastAsia="zh-CN"/>
        </w:rPr>
        <w:t>估价人员</w:t>
      </w:r>
    </w:p>
    <w:tbl>
      <w:tblPr>
        <w:tblStyle w:val="17"/>
        <w:tblW w:w="819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2738"/>
        <w:gridCol w:w="3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vAlign w:val="center"/>
          </w:tcPr>
          <w:p>
            <w:pPr>
              <w:spacing w:line="360" w:lineRule="auto"/>
              <w:jc w:val="center"/>
              <w:rPr>
                <w:rFonts w:hint="eastAsia" w:ascii="楷体" w:hAnsi="楷体" w:eastAsia="楷体" w:cs="楷体"/>
                <w:bCs/>
                <w:sz w:val="28"/>
                <w:szCs w:val="28"/>
              </w:rPr>
            </w:pPr>
            <w:r>
              <w:rPr>
                <w:rFonts w:hint="eastAsia" w:ascii="楷体" w:hAnsi="楷体" w:eastAsia="楷体" w:cs="楷体"/>
                <w:bCs/>
                <w:sz w:val="28"/>
                <w:szCs w:val="28"/>
              </w:rPr>
              <w:t>姓名</w:t>
            </w:r>
          </w:p>
        </w:tc>
        <w:tc>
          <w:tcPr>
            <w:tcW w:w="2738" w:type="dxa"/>
            <w:vAlign w:val="center"/>
          </w:tcPr>
          <w:p>
            <w:pPr>
              <w:spacing w:line="360" w:lineRule="auto"/>
              <w:jc w:val="center"/>
              <w:rPr>
                <w:rFonts w:hint="eastAsia" w:ascii="楷体" w:hAnsi="楷体" w:eastAsia="楷体" w:cs="楷体"/>
                <w:bCs/>
                <w:sz w:val="28"/>
                <w:szCs w:val="28"/>
              </w:rPr>
            </w:pPr>
            <w:r>
              <w:rPr>
                <w:rFonts w:hint="eastAsia" w:ascii="楷体" w:hAnsi="楷体" w:eastAsia="楷体" w:cs="楷体"/>
                <w:bCs/>
                <w:sz w:val="28"/>
                <w:szCs w:val="28"/>
              </w:rPr>
              <w:t>注册号</w:t>
            </w:r>
          </w:p>
        </w:tc>
        <w:tc>
          <w:tcPr>
            <w:tcW w:w="3037" w:type="dxa"/>
            <w:vAlign w:val="center"/>
          </w:tcPr>
          <w:p>
            <w:pPr>
              <w:spacing w:line="360" w:lineRule="auto"/>
              <w:jc w:val="center"/>
              <w:rPr>
                <w:rFonts w:hint="eastAsia" w:ascii="楷体" w:hAnsi="楷体" w:eastAsia="楷体" w:cs="楷体"/>
                <w:bCs/>
                <w:sz w:val="28"/>
                <w:szCs w:val="28"/>
                <w:lang w:val="en-US" w:eastAsia="zh-CN"/>
              </w:rPr>
            </w:pPr>
            <w:r>
              <w:rPr>
                <w:rFonts w:hint="eastAsia" w:ascii="楷体" w:hAnsi="楷体" w:eastAsia="楷体" w:cs="楷体"/>
                <w:bCs/>
                <w:sz w:val="28"/>
                <w:szCs w:val="28"/>
              </w:rPr>
              <w:t>签</w:t>
            </w:r>
            <w:r>
              <w:rPr>
                <w:rFonts w:hint="eastAsia" w:ascii="楷体" w:hAnsi="楷体" w:eastAsia="楷体" w:cs="楷体"/>
                <w:bCs/>
                <w:sz w:val="28"/>
                <w:szCs w:val="28"/>
                <w:lang w:val="en-US" w:eastAsia="zh-CN"/>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2415" w:type="dxa"/>
            <w:vAlign w:val="center"/>
          </w:tcPr>
          <w:p>
            <w:pPr>
              <w:spacing w:line="360" w:lineRule="auto"/>
              <w:jc w:val="center"/>
              <w:rPr>
                <w:rFonts w:hint="eastAsia" w:ascii="楷体" w:hAnsi="楷体" w:eastAsia="楷体" w:cs="楷体"/>
                <w:bCs/>
                <w:sz w:val="28"/>
                <w:szCs w:val="28"/>
                <w:lang w:eastAsia="zh-CN"/>
              </w:rPr>
            </w:pPr>
            <w:r>
              <w:rPr>
                <w:rFonts w:hint="eastAsia" w:ascii="楷体" w:hAnsi="楷体" w:eastAsia="楷体" w:cs="楷体"/>
                <w:bCs/>
                <w:sz w:val="28"/>
                <w:szCs w:val="28"/>
                <w:lang w:val="en-US" w:eastAsia="zh-CN"/>
              </w:rPr>
              <w:t>徐红英</w:t>
            </w:r>
          </w:p>
        </w:tc>
        <w:tc>
          <w:tcPr>
            <w:tcW w:w="2738" w:type="dxa"/>
            <w:vAlign w:val="center"/>
          </w:tcPr>
          <w:p>
            <w:pPr>
              <w:spacing w:line="360" w:lineRule="auto"/>
              <w:jc w:val="center"/>
              <w:rPr>
                <w:rFonts w:hint="eastAsia" w:ascii="楷体" w:hAnsi="楷体" w:eastAsia="楷体" w:cs="楷体"/>
                <w:bCs/>
                <w:sz w:val="28"/>
                <w:szCs w:val="28"/>
                <w:lang w:val="en-US" w:eastAsia="zh-CN"/>
              </w:rPr>
            </w:pPr>
            <w:r>
              <w:rPr>
                <w:rFonts w:hint="eastAsia" w:ascii="楷体" w:hAnsi="楷体" w:eastAsia="楷体" w:cs="楷体"/>
                <w:bCs/>
                <w:sz w:val="28"/>
                <w:szCs w:val="28"/>
              </w:rPr>
              <w:t>4219960123</w:t>
            </w:r>
          </w:p>
        </w:tc>
        <w:tc>
          <w:tcPr>
            <w:tcW w:w="3037" w:type="dxa"/>
            <w:vAlign w:val="center"/>
          </w:tcPr>
          <w:p>
            <w:pPr>
              <w:spacing w:line="360" w:lineRule="auto"/>
              <w:jc w:val="center"/>
              <w:rPr>
                <w:rFonts w:hint="eastAsia" w:ascii="楷体" w:hAnsi="楷体" w:eastAsia="楷体" w:cs="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2415" w:type="dxa"/>
            <w:vAlign w:val="center"/>
          </w:tcPr>
          <w:p>
            <w:pPr>
              <w:spacing w:line="360" w:lineRule="auto"/>
              <w:jc w:val="center"/>
              <w:rPr>
                <w:rFonts w:hint="eastAsia" w:ascii="楷体" w:hAnsi="楷体" w:eastAsia="楷体" w:cs="楷体"/>
                <w:bCs/>
                <w:sz w:val="28"/>
                <w:szCs w:val="28"/>
              </w:rPr>
            </w:pPr>
            <w:r>
              <w:rPr>
                <w:rFonts w:hint="eastAsia" w:ascii="楷体" w:hAnsi="楷体" w:eastAsia="楷体" w:cs="楷体"/>
                <w:bCs/>
                <w:sz w:val="28"/>
                <w:szCs w:val="28"/>
              </w:rPr>
              <w:t>胡</w:t>
            </w:r>
            <w:r>
              <w:rPr>
                <w:rFonts w:hint="eastAsia" w:ascii="楷体" w:hAnsi="楷体" w:eastAsia="楷体" w:cs="楷体"/>
                <w:bCs/>
                <w:sz w:val="28"/>
                <w:szCs w:val="28"/>
                <w:lang w:val="en-US" w:eastAsia="zh-CN"/>
              </w:rPr>
              <w:t xml:space="preserve">  </w:t>
            </w:r>
            <w:r>
              <w:rPr>
                <w:rFonts w:hint="eastAsia" w:ascii="楷体" w:hAnsi="楷体" w:eastAsia="楷体" w:cs="楷体"/>
                <w:bCs/>
                <w:sz w:val="28"/>
                <w:szCs w:val="28"/>
              </w:rPr>
              <w:t>静</w:t>
            </w:r>
          </w:p>
        </w:tc>
        <w:tc>
          <w:tcPr>
            <w:tcW w:w="2738" w:type="dxa"/>
            <w:vAlign w:val="center"/>
          </w:tcPr>
          <w:p>
            <w:pPr>
              <w:spacing w:line="360" w:lineRule="auto"/>
              <w:jc w:val="center"/>
              <w:rPr>
                <w:rFonts w:hint="eastAsia" w:ascii="楷体" w:hAnsi="楷体" w:eastAsia="楷体" w:cs="楷体"/>
                <w:bCs/>
                <w:sz w:val="28"/>
                <w:szCs w:val="28"/>
              </w:rPr>
            </w:pPr>
            <w:r>
              <w:rPr>
                <w:rFonts w:hint="eastAsia" w:ascii="楷体" w:hAnsi="楷体" w:eastAsia="楷体" w:cs="楷体"/>
                <w:bCs/>
                <w:sz w:val="28"/>
                <w:szCs w:val="28"/>
              </w:rPr>
              <w:t>4220140048</w:t>
            </w:r>
          </w:p>
        </w:tc>
        <w:tc>
          <w:tcPr>
            <w:tcW w:w="3037" w:type="dxa"/>
            <w:vAlign w:val="center"/>
          </w:tcPr>
          <w:p>
            <w:pPr>
              <w:spacing w:line="360" w:lineRule="auto"/>
              <w:jc w:val="center"/>
              <w:rPr>
                <w:rFonts w:hint="eastAsia" w:ascii="楷体" w:hAnsi="楷体" w:eastAsia="楷体" w:cs="楷体"/>
                <w:bCs/>
                <w:sz w:val="28"/>
                <w:szCs w:val="28"/>
              </w:rPr>
            </w:pPr>
          </w:p>
        </w:tc>
      </w:tr>
    </w:tbl>
    <w:p>
      <w:pPr>
        <w:keepNext w:val="0"/>
        <w:keepLines w:val="0"/>
        <w:pageBreakBefore w:val="0"/>
        <w:widowControl w:val="0"/>
        <w:kinsoku/>
        <w:wordWrap/>
        <w:overflowPunct/>
        <w:topLinePunct w:val="0"/>
        <w:autoSpaceDE/>
        <w:autoSpaceDN/>
        <w:bidi w:val="0"/>
        <w:adjustRightInd/>
        <w:snapToGrid/>
        <w:spacing w:line="240" w:lineRule="exact"/>
        <w:ind w:firstLine="560" w:firstLineChars="200"/>
        <w:textAlignment w:val="auto"/>
        <w:rPr>
          <w:rFonts w:hint="eastAsia" w:ascii="楷体_GB2312" w:hAnsi="楷体_GB2312" w:eastAsia="楷体_GB2312" w:cs="楷体_GB2312"/>
          <w:sz w:val="28"/>
        </w:rPr>
      </w:pPr>
    </w:p>
    <w:p>
      <w:pPr>
        <w:spacing w:line="360" w:lineRule="auto"/>
        <w:ind w:firstLine="3360" w:firstLineChars="1200"/>
        <w:jc w:val="both"/>
        <w:rPr>
          <w:rFonts w:hint="eastAsia" w:ascii="楷体_GB2312" w:hAnsi="楷体_GB2312" w:eastAsia="楷体_GB2312" w:cs="楷体_GB2312"/>
          <w:sz w:val="28"/>
          <w:szCs w:val="28"/>
        </w:rPr>
      </w:pPr>
    </w:p>
    <w:p>
      <w:pPr>
        <w:spacing w:line="360" w:lineRule="auto"/>
        <w:ind w:firstLine="3360" w:firstLineChars="1200"/>
        <w:jc w:val="both"/>
        <w:rPr>
          <w:rFonts w:hint="eastAsia" w:ascii="楷体_GB2312" w:hAnsi="楷体_GB2312" w:eastAsia="楷体_GB2312" w:cs="楷体_GB2312"/>
          <w:sz w:val="28"/>
          <w:szCs w:val="28"/>
        </w:rPr>
      </w:pPr>
    </w:p>
    <w:p>
      <w:pPr>
        <w:spacing w:line="360" w:lineRule="auto"/>
        <w:ind w:firstLine="3360" w:firstLineChars="1200"/>
        <w:jc w:val="both"/>
        <w:rPr>
          <w:rFonts w:hint="eastAsia" w:ascii="楷体" w:hAnsi="楷体" w:eastAsia="楷体" w:cs="楷体"/>
          <w:sz w:val="28"/>
          <w:szCs w:val="28"/>
        </w:rPr>
      </w:pPr>
      <w:r>
        <w:rPr>
          <w:rFonts w:hint="eastAsia" w:ascii="楷体" w:hAnsi="楷体" w:eastAsia="楷体" w:cs="楷体"/>
          <w:sz w:val="28"/>
          <w:szCs w:val="28"/>
        </w:rPr>
        <w:t>湖北方联房地产评估咨询有限责任公司</w:t>
      </w:r>
    </w:p>
    <w:p>
      <w:pPr>
        <w:spacing w:line="360" w:lineRule="auto"/>
        <w:jc w:val="center"/>
        <w:rPr>
          <w:rFonts w:hint="eastAsia" w:ascii="楷体" w:hAnsi="楷体" w:eastAsia="楷体" w:cs="楷体"/>
          <w:b/>
          <w:bCs/>
          <w:color w:val="auto"/>
          <w:sz w:val="28"/>
          <w:szCs w:val="28"/>
        </w:rPr>
      </w:pPr>
      <w:bookmarkStart w:id="53" w:name="_Toc467076856"/>
      <w:r>
        <w:rPr>
          <w:rFonts w:hint="eastAsia" w:ascii="楷体" w:hAnsi="楷体" w:eastAsia="楷体" w:cs="楷体"/>
          <w:sz w:val="28"/>
          <w:szCs w:val="28"/>
          <w:lang w:val="en-US" w:eastAsia="zh-CN"/>
        </w:rPr>
        <w:t xml:space="preserve">                     </w:t>
      </w:r>
      <w:r>
        <w:rPr>
          <w:rFonts w:hint="eastAsia" w:ascii="楷体" w:hAnsi="楷体" w:eastAsia="楷体" w:cs="楷体"/>
          <w:color w:val="auto"/>
          <w:sz w:val="28"/>
          <w:szCs w:val="28"/>
          <w:lang w:val="en-US" w:eastAsia="zh-CN"/>
        </w:rPr>
        <w:t xml:space="preserve">  2022年8月19日</w:t>
      </w:r>
    </w:p>
    <w:p>
      <w:pPr>
        <w:spacing w:line="360" w:lineRule="auto"/>
        <w:jc w:val="center"/>
        <w:rPr>
          <w:rFonts w:hint="eastAsia" w:ascii="楷体_GB2312" w:hAnsi="楷体_GB2312" w:eastAsia="楷体_GB2312" w:cs="楷体_GB2312"/>
          <w:b/>
          <w:bCs/>
          <w:sz w:val="36"/>
          <w:szCs w:val="36"/>
        </w:rPr>
      </w:pPr>
    </w:p>
    <w:p>
      <w:pPr>
        <w:spacing w:line="360" w:lineRule="auto"/>
        <w:jc w:val="center"/>
        <w:rPr>
          <w:rFonts w:hint="eastAsia" w:ascii="楷体_GB2312" w:hAnsi="楷体_GB2312" w:eastAsia="楷体_GB2312" w:cs="楷体_GB2312"/>
          <w:b/>
          <w:bCs/>
          <w:sz w:val="36"/>
          <w:szCs w:val="36"/>
        </w:rPr>
      </w:pPr>
    </w:p>
    <w:p>
      <w:pPr>
        <w:spacing w:line="360" w:lineRule="auto"/>
        <w:jc w:val="center"/>
        <w:rPr>
          <w:rFonts w:hint="eastAsia" w:ascii="楷体_GB2312" w:hAnsi="楷体_GB2312" w:eastAsia="楷体_GB2312" w:cs="楷体_GB2312"/>
          <w:b/>
          <w:bCs/>
          <w:sz w:val="36"/>
          <w:szCs w:val="36"/>
        </w:rPr>
      </w:pPr>
    </w:p>
    <w:p>
      <w:pPr>
        <w:spacing w:line="360" w:lineRule="auto"/>
        <w:jc w:val="center"/>
        <w:rPr>
          <w:rFonts w:hint="eastAsia" w:ascii="楷体_GB2312" w:hAnsi="楷体_GB2312" w:eastAsia="楷体_GB2312" w:cs="楷体_GB2312"/>
          <w:b/>
          <w:bCs/>
          <w:sz w:val="36"/>
          <w:szCs w:val="36"/>
        </w:rPr>
      </w:pPr>
    </w:p>
    <w:p>
      <w:pPr>
        <w:spacing w:line="360" w:lineRule="auto"/>
        <w:jc w:val="center"/>
        <w:rPr>
          <w:rFonts w:hint="eastAsia" w:ascii="楷体_GB2312" w:hAnsi="楷体_GB2312" w:eastAsia="楷体_GB2312" w:cs="楷体_GB2312"/>
          <w:b/>
          <w:bCs/>
          <w:sz w:val="36"/>
          <w:szCs w:val="36"/>
        </w:rPr>
      </w:pPr>
    </w:p>
    <w:p>
      <w:pPr>
        <w:spacing w:line="360" w:lineRule="auto"/>
        <w:jc w:val="center"/>
        <w:outlineLvl w:val="0"/>
        <w:rPr>
          <w:rFonts w:hint="eastAsia" w:ascii="楷体_GB2312" w:hAnsi="楷体_GB2312" w:eastAsia="楷体_GB2312" w:cs="楷体_GB2312"/>
          <w:b/>
          <w:bCs/>
          <w:sz w:val="36"/>
          <w:szCs w:val="36"/>
        </w:rPr>
      </w:pPr>
      <w:bookmarkStart w:id="54" w:name="_Toc22235"/>
      <w:bookmarkStart w:id="55" w:name="_Toc11513"/>
      <w:bookmarkStart w:id="56" w:name="_Toc180"/>
      <w:r>
        <w:rPr>
          <w:rFonts w:hint="eastAsia" w:ascii="楷体_GB2312" w:hAnsi="楷体_GB2312" w:eastAsia="楷体_GB2312" w:cs="楷体_GB2312"/>
          <w:b/>
          <w:bCs/>
          <w:sz w:val="36"/>
          <w:szCs w:val="36"/>
        </w:rPr>
        <w:t>附   件</w:t>
      </w:r>
      <w:bookmarkEnd w:id="53"/>
      <w:bookmarkEnd w:id="54"/>
      <w:bookmarkEnd w:id="55"/>
      <w:bookmarkEnd w:id="56"/>
    </w:p>
    <w:p>
      <w:pPr>
        <w:spacing w:line="360" w:lineRule="auto"/>
        <w:ind w:left="640"/>
        <w:jc w:val="center"/>
        <w:rPr>
          <w:rFonts w:hint="eastAsia" w:ascii="楷体_GB2312" w:hAnsi="楷体_GB2312" w:eastAsia="楷体_GB2312" w:cs="楷体_GB2312"/>
          <w:b/>
          <w:bCs/>
          <w:sz w:val="28"/>
          <w:szCs w:val="28"/>
        </w:rPr>
      </w:pPr>
    </w:p>
    <w:p>
      <w:pPr>
        <w:numPr>
          <w:ilvl w:val="0"/>
          <w:numId w:val="2"/>
        </w:numPr>
        <w:spacing w:line="360" w:lineRule="auto"/>
        <w:jc w:val="both"/>
        <w:rPr>
          <w:rFonts w:hint="eastAsia" w:ascii="楷体" w:hAnsi="楷体" w:eastAsia="楷体" w:cs="楷体"/>
          <w:sz w:val="28"/>
          <w:szCs w:val="28"/>
        </w:rPr>
      </w:pPr>
      <w:r>
        <w:rPr>
          <w:rFonts w:hint="eastAsia" w:ascii="楷体" w:hAnsi="楷体" w:eastAsia="楷体" w:cs="楷体"/>
          <w:sz w:val="28"/>
          <w:szCs w:val="28"/>
          <w:lang w:val="en-US" w:eastAsia="zh-CN"/>
        </w:rPr>
        <w:t>应城市</w:t>
      </w:r>
      <w:r>
        <w:rPr>
          <w:rFonts w:hint="eastAsia" w:ascii="楷体" w:hAnsi="楷体" w:eastAsia="楷体" w:cs="楷体"/>
          <w:sz w:val="28"/>
          <w:szCs w:val="28"/>
        </w:rPr>
        <w:t>人民法院司法鉴定委托书；</w:t>
      </w:r>
    </w:p>
    <w:p>
      <w:pPr>
        <w:numPr>
          <w:ilvl w:val="0"/>
          <w:numId w:val="2"/>
        </w:numPr>
        <w:spacing w:line="360" w:lineRule="auto"/>
        <w:ind w:left="0" w:leftChars="0" w:firstLine="0" w:firstLineChars="0"/>
        <w:jc w:val="both"/>
        <w:rPr>
          <w:rFonts w:hint="eastAsia" w:ascii="楷体" w:hAnsi="楷体" w:eastAsia="楷体" w:cs="楷体"/>
          <w:sz w:val="28"/>
          <w:szCs w:val="28"/>
        </w:rPr>
      </w:pPr>
      <w:r>
        <w:rPr>
          <w:rFonts w:hint="eastAsia" w:ascii="楷体" w:hAnsi="楷体" w:eastAsia="楷体" w:cs="楷体"/>
          <w:sz w:val="28"/>
          <w:szCs w:val="28"/>
        </w:rPr>
        <w:t>《不动产</w:t>
      </w:r>
      <w:r>
        <w:rPr>
          <w:rFonts w:hint="eastAsia" w:ascii="楷体" w:hAnsi="楷体" w:eastAsia="楷体" w:cs="楷体"/>
          <w:sz w:val="28"/>
          <w:szCs w:val="28"/>
          <w:lang w:eastAsia="zh-CN"/>
        </w:rPr>
        <w:t>权证书</w:t>
      </w:r>
      <w:r>
        <w:rPr>
          <w:rFonts w:hint="eastAsia" w:ascii="楷体" w:hAnsi="楷体" w:eastAsia="楷体" w:cs="楷体"/>
          <w:sz w:val="28"/>
          <w:szCs w:val="28"/>
        </w:rPr>
        <w:t>》、《</w:t>
      </w:r>
      <w:r>
        <w:rPr>
          <w:rFonts w:hint="eastAsia" w:ascii="楷体" w:hAnsi="楷体" w:eastAsia="楷体" w:cs="楷体"/>
          <w:sz w:val="28"/>
          <w:szCs w:val="28"/>
          <w:lang w:eastAsia="zh-CN"/>
        </w:rPr>
        <w:t>武汉市不动产权登记信息查询单</w:t>
      </w:r>
      <w:r>
        <w:rPr>
          <w:rFonts w:hint="eastAsia" w:ascii="楷体" w:hAnsi="楷体" w:eastAsia="楷体" w:cs="楷体"/>
          <w:sz w:val="28"/>
          <w:szCs w:val="28"/>
        </w:rPr>
        <w:t>》</w:t>
      </w:r>
    </w:p>
    <w:p>
      <w:pPr>
        <w:numPr>
          <w:ilvl w:val="0"/>
          <w:numId w:val="2"/>
        </w:numPr>
        <w:spacing w:line="360" w:lineRule="auto"/>
        <w:ind w:left="0" w:leftChars="0" w:firstLine="0" w:firstLineChars="0"/>
        <w:jc w:val="both"/>
        <w:rPr>
          <w:rFonts w:hint="eastAsia" w:ascii="楷体" w:hAnsi="楷体" w:eastAsia="楷体" w:cs="楷体"/>
          <w:sz w:val="28"/>
          <w:szCs w:val="28"/>
        </w:rPr>
      </w:pPr>
      <w:r>
        <w:rPr>
          <w:rFonts w:hint="eastAsia" w:ascii="楷体" w:hAnsi="楷体" w:eastAsia="楷体" w:cs="楷体"/>
          <w:sz w:val="28"/>
          <w:szCs w:val="28"/>
        </w:rPr>
        <w:t>评估机构企业营业执照复印件；</w:t>
      </w:r>
    </w:p>
    <w:p>
      <w:pPr>
        <w:numPr>
          <w:ilvl w:val="0"/>
          <w:numId w:val="2"/>
        </w:numPr>
        <w:spacing w:line="360" w:lineRule="auto"/>
        <w:ind w:left="0" w:leftChars="0" w:firstLine="0" w:firstLineChars="0"/>
        <w:jc w:val="both"/>
        <w:rPr>
          <w:rFonts w:hint="eastAsia" w:ascii="楷体" w:hAnsi="楷体" w:eastAsia="楷体" w:cs="楷体"/>
          <w:sz w:val="28"/>
          <w:szCs w:val="28"/>
        </w:rPr>
      </w:pPr>
      <w:r>
        <w:rPr>
          <w:rFonts w:hint="eastAsia" w:ascii="楷体" w:hAnsi="楷体" w:eastAsia="楷体" w:cs="楷体"/>
          <w:sz w:val="28"/>
          <w:szCs w:val="28"/>
        </w:rPr>
        <w:t>评估机构备案证书复印件；</w:t>
      </w:r>
    </w:p>
    <w:p>
      <w:pPr>
        <w:numPr>
          <w:ilvl w:val="0"/>
          <w:numId w:val="0"/>
        </w:numPr>
        <w:spacing w:line="360" w:lineRule="auto"/>
        <w:ind w:leftChars="0"/>
        <w:jc w:val="both"/>
        <w:rPr>
          <w:rFonts w:hint="eastAsia" w:ascii="楷体" w:hAnsi="楷体" w:eastAsia="楷体" w:cs="楷体"/>
          <w:b/>
          <w:bCs/>
          <w:sz w:val="28"/>
          <w:szCs w:val="28"/>
          <w:lang w:eastAsia="zh-CN"/>
        </w:rPr>
      </w:pPr>
      <w:r>
        <w:rPr>
          <w:rFonts w:hint="eastAsia" w:ascii="楷体" w:hAnsi="楷体" w:eastAsia="楷体" w:cs="楷体"/>
          <w:sz w:val="28"/>
          <w:szCs w:val="28"/>
        </w:rPr>
        <w:t>5、房地产估价师注册证复印件。</w:t>
      </w:r>
    </w:p>
    <w:p>
      <w:pPr>
        <w:spacing w:line="360" w:lineRule="auto"/>
        <w:jc w:val="center"/>
        <w:rPr>
          <w:rFonts w:hint="eastAsia" w:ascii="楷体_GB2312" w:hAnsi="楷体_GB2312" w:eastAsia="楷体_GB2312" w:cs="楷体_GB2312"/>
          <w:b/>
          <w:bCs/>
          <w:sz w:val="36"/>
          <w:szCs w:val="36"/>
          <w:lang w:val="en-US" w:eastAsia="zh-CN"/>
        </w:rPr>
      </w:pPr>
    </w:p>
    <w:p>
      <w:pPr>
        <w:spacing w:line="360" w:lineRule="auto"/>
        <w:jc w:val="center"/>
        <w:rPr>
          <w:rFonts w:hint="eastAsia" w:ascii="楷体_GB2312" w:hAnsi="楷体_GB2312" w:eastAsia="楷体_GB2312" w:cs="楷体_GB2312"/>
          <w:b/>
          <w:bCs/>
          <w:sz w:val="36"/>
          <w:szCs w:val="36"/>
          <w:lang w:val="en-US" w:eastAsia="zh-CN"/>
        </w:rPr>
      </w:pPr>
    </w:p>
    <w:p>
      <w:pPr>
        <w:spacing w:line="360" w:lineRule="auto"/>
        <w:jc w:val="center"/>
        <w:rPr>
          <w:rFonts w:hint="eastAsia" w:ascii="楷体_GB2312" w:hAnsi="楷体_GB2312" w:eastAsia="楷体_GB2312" w:cs="楷体_GB2312"/>
          <w:b/>
          <w:bCs/>
          <w:sz w:val="36"/>
          <w:szCs w:val="36"/>
          <w:lang w:val="en-US" w:eastAsia="zh-CN"/>
        </w:rPr>
      </w:pPr>
    </w:p>
    <w:p>
      <w:pPr>
        <w:spacing w:line="360" w:lineRule="auto"/>
        <w:jc w:val="center"/>
        <w:rPr>
          <w:rFonts w:hint="eastAsia" w:ascii="楷体_GB2312" w:hAnsi="楷体_GB2312" w:eastAsia="楷体_GB2312" w:cs="楷体_GB2312"/>
          <w:b/>
          <w:bCs/>
          <w:sz w:val="36"/>
          <w:szCs w:val="36"/>
          <w:lang w:val="en-US" w:eastAsia="zh-CN"/>
        </w:rPr>
      </w:pPr>
    </w:p>
    <w:p>
      <w:pPr>
        <w:spacing w:line="360" w:lineRule="auto"/>
        <w:jc w:val="center"/>
        <w:rPr>
          <w:rFonts w:hint="eastAsia" w:ascii="楷体_GB2312" w:hAnsi="楷体_GB2312" w:eastAsia="楷体_GB2312" w:cs="楷体_GB2312"/>
          <w:b/>
          <w:bCs/>
          <w:sz w:val="36"/>
          <w:szCs w:val="36"/>
          <w:lang w:val="en-US" w:eastAsia="zh-CN"/>
        </w:rPr>
      </w:pPr>
    </w:p>
    <w:p>
      <w:pPr>
        <w:spacing w:line="360" w:lineRule="auto"/>
        <w:jc w:val="center"/>
        <w:rPr>
          <w:rFonts w:hint="eastAsia" w:ascii="楷体_GB2312" w:hAnsi="楷体_GB2312" w:eastAsia="楷体_GB2312" w:cs="楷体_GB2312"/>
          <w:b/>
          <w:bCs/>
          <w:sz w:val="36"/>
          <w:szCs w:val="36"/>
          <w:lang w:val="en-US" w:eastAsia="zh-CN"/>
        </w:rPr>
      </w:pPr>
    </w:p>
    <w:p>
      <w:pPr>
        <w:spacing w:line="360" w:lineRule="auto"/>
        <w:jc w:val="center"/>
        <w:rPr>
          <w:rFonts w:hint="eastAsia" w:ascii="楷体_GB2312" w:hAnsi="楷体_GB2312" w:eastAsia="楷体_GB2312" w:cs="楷体_GB2312"/>
          <w:b/>
          <w:bCs/>
          <w:sz w:val="36"/>
          <w:szCs w:val="36"/>
          <w:lang w:val="en-US" w:eastAsia="zh-CN"/>
        </w:rPr>
      </w:pPr>
    </w:p>
    <w:p>
      <w:pPr>
        <w:spacing w:line="360" w:lineRule="auto"/>
        <w:jc w:val="center"/>
        <w:rPr>
          <w:rFonts w:hint="eastAsia" w:ascii="楷体_GB2312" w:hAnsi="楷体_GB2312" w:eastAsia="楷体_GB2312" w:cs="楷体_GB2312"/>
          <w:b/>
          <w:bCs/>
          <w:sz w:val="36"/>
          <w:szCs w:val="36"/>
          <w:lang w:val="en-US" w:eastAsia="zh-CN"/>
        </w:rPr>
      </w:pPr>
    </w:p>
    <w:p>
      <w:pPr>
        <w:spacing w:line="360" w:lineRule="auto"/>
        <w:jc w:val="both"/>
        <w:rPr>
          <w:rFonts w:hint="eastAsia" w:ascii="楷体_GB2312" w:hAnsi="楷体_GB2312" w:eastAsia="楷体_GB2312" w:cs="楷体_GB2312"/>
          <w:sz w:val="28"/>
        </w:rPr>
      </w:pPr>
    </w:p>
    <w:sectPr>
      <w:headerReference r:id="rId6" w:type="default"/>
      <w:footerReference r:id="rId7" w:type="default"/>
      <w:pgSz w:w="11907" w:h="16834"/>
      <w:pgMar w:top="1440" w:right="1797" w:bottom="1440" w:left="1797" w:header="851" w:footer="992" w:gutter="0"/>
      <w:pgNumType w:fmt="decimal" w:chapStyle="1" w:chapSep="hyphen"/>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line id="_x0000_s4097" o:spid="_x0000_s4097" o:spt="20" style="position:absolute;left:0pt;flip:y;margin-left:-1pt;margin-top:-0.9pt;height:1pt;width:430.95pt;z-index:251661312;mso-width-relative:page;mso-height-relative:page;" fillcolor="#FFFFFF" filled="t" stroked="t" coordsize="21600,21600">
          <v:path arrowok="t"/>
          <v:fill on="t" color2="#FFFFFF" focussize="0,0"/>
          <v:stroke color="#000000"/>
          <v:imagedata o:title=""/>
          <o:lock v:ext="edit" aspectratio="f"/>
        </v:line>
      </w:pict>
    </w:r>
    <w:r>
      <w:rPr>
        <w:rFonts w:hint="eastAsia" w:eastAsia="楷体_GB2312"/>
        <w:b/>
        <w:bCs/>
        <w:i w:val="0"/>
        <w:iCs w:val="0"/>
      </w:rPr>
      <w:t xml:space="preserve">湖北方联房地产评估咨询有限责任公司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auto" w:sz="4" w:space="1"/>
      </w:pBdr>
      <w:rPr>
        <w:rFonts w:eastAsia="楷体_GB2312"/>
        <w:i/>
        <w:iCs/>
      </w:rPr>
    </w:pPr>
    <w:r>
      <w:rPr>
        <w:sz w:val="18"/>
      </w:rPr>
      <w:pict>
        <v:shape id="_x0000_s4098" o:spid="_x0000_s4098"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v:textbox>
        </v:shape>
      </w:pict>
    </w:r>
    <w:r>
      <w:rPr>
        <w:rFonts w:hint="eastAsia" w:eastAsia="楷体_GB2312"/>
        <w:b/>
        <w:bCs/>
        <w:i w:val="0"/>
        <w:iCs w:val="0"/>
      </w:rPr>
      <w:t xml:space="preserve">湖北方联房地产评估咨询有限责任公司  </w:t>
    </w:r>
    <w:r>
      <w:rPr>
        <w:rFonts w:eastAsia="楷体_GB2312"/>
        <w:i/>
        <w:iCs/>
      </w:rPr>
      <w:t xml:space="preserve">       </w:t>
    </w:r>
    <w:r>
      <w:rPr>
        <w:rFonts w:hint="eastAsia" w:eastAsia="楷体_GB2312"/>
        <w:i/>
        <w:iC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auto" w:sz="4" w:space="1"/>
      </w:pBdr>
      <w:rPr>
        <w:rFonts w:eastAsia="楷体_GB2312"/>
        <w:i w:val="0"/>
        <w:iCs w:val="0"/>
      </w:rPr>
    </w:pPr>
    <w:r>
      <w:rPr>
        <w:sz w:val="18"/>
      </w:rPr>
      <w:pict>
        <v:shape id="_x0000_s4099" o:spid="_x0000_s4099"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v:textbox>
        </v:shape>
      </w:pict>
    </w:r>
    <w:r>
      <w:rPr>
        <w:rFonts w:hint="eastAsia" w:eastAsia="楷体_GB2312"/>
        <w:i w:val="0"/>
        <w:iCs w:val="0"/>
      </w:rPr>
      <w:t xml:space="preserve">湖北方联房地产评估咨询有限责任公司  </w:t>
    </w:r>
    <w:r>
      <w:rPr>
        <w:rFonts w:eastAsia="楷体_GB2312"/>
        <w:i w:val="0"/>
        <w:iCs w:val="0"/>
      </w:rPr>
      <w:t xml:space="preserve">     </w:t>
    </w:r>
    <w:r>
      <w:rPr>
        <w:rFonts w:hint="eastAsia" w:eastAsia="楷体_GB2312"/>
        <w:i w:val="0"/>
        <w:iCs w:val="0"/>
      </w:rPr>
      <w:t xml:space="preserve">  </w:t>
    </w:r>
    <w:r>
      <w:rPr>
        <w:rFonts w:eastAsia="楷体_GB2312"/>
        <w:i w:val="0"/>
        <w:iCs w:val="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2"/>
      </w:pBdr>
      <w:jc w:val="both"/>
      <w:rPr>
        <w:rFonts w:eastAsia="楷体_GB2312"/>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9881E1"/>
    <w:multiLevelType w:val="singleLevel"/>
    <w:tmpl w:val="919881E1"/>
    <w:lvl w:ilvl="0" w:tentative="0">
      <w:start w:val="5"/>
      <w:numFmt w:val="chineseCounting"/>
      <w:suff w:val="nothing"/>
      <w:lvlText w:val="（%1）"/>
      <w:lvlJc w:val="left"/>
      <w:rPr>
        <w:rFonts w:hint="eastAsia"/>
      </w:rPr>
    </w:lvl>
  </w:abstractNum>
  <w:abstractNum w:abstractNumId="1">
    <w:nsid w:val="E20639D3"/>
    <w:multiLevelType w:val="singleLevel"/>
    <w:tmpl w:val="E20639D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c0NjkxNDFhMzA3NWRhZTAwMzIwNjJjYzU4YzY2MTkifQ=="/>
  </w:docVars>
  <w:rsids>
    <w:rsidRoot w:val="007A291B"/>
    <w:rsid w:val="00000796"/>
    <w:rsid w:val="00004955"/>
    <w:rsid w:val="000062C1"/>
    <w:rsid w:val="00006957"/>
    <w:rsid w:val="00007B30"/>
    <w:rsid w:val="00011291"/>
    <w:rsid w:val="000114BE"/>
    <w:rsid w:val="000121C7"/>
    <w:rsid w:val="000165A6"/>
    <w:rsid w:val="00020F40"/>
    <w:rsid w:val="000229AB"/>
    <w:rsid w:val="000254B0"/>
    <w:rsid w:val="000313A4"/>
    <w:rsid w:val="00031F4C"/>
    <w:rsid w:val="00032693"/>
    <w:rsid w:val="00033228"/>
    <w:rsid w:val="000339DF"/>
    <w:rsid w:val="000347CB"/>
    <w:rsid w:val="00034AD8"/>
    <w:rsid w:val="00035F31"/>
    <w:rsid w:val="00036EF6"/>
    <w:rsid w:val="00043D6E"/>
    <w:rsid w:val="00044D19"/>
    <w:rsid w:val="000452FD"/>
    <w:rsid w:val="0004556B"/>
    <w:rsid w:val="000459FB"/>
    <w:rsid w:val="00045BA9"/>
    <w:rsid w:val="000464BA"/>
    <w:rsid w:val="00047825"/>
    <w:rsid w:val="00052855"/>
    <w:rsid w:val="0005785F"/>
    <w:rsid w:val="00063D44"/>
    <w:rsid w:val="00066572"/>
    <w:rsid w:val="00067FA4"/>
    <w:rsid w:val="0007352F"/>
    <w:rsid w:val="00080A5B"/>
    <w:rsid w:val="00080FFC"/>
    <w:rsid w:val="00082A21"/>
    <w:rsid w:val="00086DF8"/>
    <w:rsid w:val="000901AB"/>
    <w:rsid w:val="00092F88"/>
    <w:rsid w:val="000A031F"/>
    <w:rsid w:val="000A6E7C"/>
    <w:rsid w:val="000A6F12"/>
    <w:rsid w:val="000B17BD"/>
    <w:rsid w:val="000B4CC1"/>
    <w:rsid w:val="000B5C51"/>
    <w:rsid w:val="000B7E43"/>
    <w:rsid w:val="000C04DA"/>
    <w:rsid w:val="000C1F2C"/>
    <w:rsid w:val="000C2307"/>
    <w:rsid w:val="000C2BE6"/>
    <w:rsid w:val="000C45DB"/>
    <w:rsid w:val="000C5D09"/>
    <w:rsid w:val="000D0886"/>
    <w:rsid w:val="000D3CBA"/>
    <w:rsid w:val="000D4DDD"/>
    <w:rsid w:val="000D64A7"/>
    <w:rsid w:val="000E11B5"/>
    <w:rsid w:val="000E1967"/>
    <w:rsid w:val="000E3A79"/>
    <w:rsid w:val="000E4422"/>
    <w:rsid w:val="000E4E29"/>
    <w:rsid w:val="000E7C20"/>
    <w:rsid w:val="000F08B7"/>
    <w:rsid w:val="000F0945"/>
    <w:rsid w:val="000F2954"/>
    <w:rsid w:val="000F6F6D"/>
    <w:rsid w:val="000F72BE"/>
    <w:rsid w:val="00102008"/>
    <w:rsid w:val="00103CA8"/>
    <w:rsid w:val="001058DC"/>
    <w:rsid w:val="00105A4D"/>
    <w:rsid w:val="00112A08"/>
    <w:rsid w:val="0011306B"/>
    <w:rsid w:val="0011324E"/>
    <w:rsid w:val="001174D3"/>
    <w:rsid w:val="00121EAA"/>
    <w:rsid w:val="001237EB"/>
    <w:rsid w:val="00123948"/>
    <w:rsid w:val="00123F91"/>
    <w:rsid w:val="00132204"/>
    <w:rsid w:val="00134273"/>
    <w:rsid w:val="00140516"/>
    <w:rsid w:val="00143A92"/>
    <w:rsid w:val="00144281"/>
    <w:rsid w:val="00144AED"/>
    <w:rsid w:val="001457AE"/>
    <w:rsid w:val="001506A0"/>
    <w:rsid w:val="00151E0D"/>
    <w:rsid w:val="00154737"/>
    <w:rsid w:val="0015563F"/>
    <w:rsid w:val="00155C48"/>
    <w:rsid w:val="00160E54"/>
    <w:rsid w:val="00161D1E"/>
    <w:rsid w:val="00164655"/>
    <w:rsid w:val="0016692E"/>
    <w:rsid w:val="00170F41"/>
    <w:rsid w:val="0017162E"/>
    <w:rsid w:val="00171D0B"/>
    <w:rsid w:val="0017281E"/>
    <w:rsid w:val="0017606A"/>
    <w:rsid w:val="00176BAE"/>
    <w:rsid w:val="0018171B"/>
    <w:rsid w:val="0018787D"/>
    <w:rsid w:val="00190506"/>
    <w:rsid w:val="0019161B"/>
    <w:rsid w:val="00193337"/>
    <w:rsid w:val="00194BBF"/>
    <w:rsid w:val="0019710A"/>
    <w:rsid w:val="001A1ADD"/>
    <w:rsid w:val="001A280D"/>
    <w:rsid w:val="001A34F8"/>
    <w:rsid w:val="001A4C25"/>
    <w:rsid w:val="001A6115"/>
    <w:rsid w:val="001B175E"/>
    <w:rsid w:val="001B28CD"/>
    <w:rsid w:val="001B2CB9"/>
    <w:rsid w:val="001B3677"/>
    <w:rsid w:val="001B4E50"/>
    <w:rsid w:val="001B6BA3"/>
    <w:rsid w:val="001C114E"/>
    <w:rsid w:val="001C1DFA"/>
    <w:rsid w:val="001C2445"/>
    <w:rsid w:val="001C56AC"/>
    <w:rsid w:val="001C59A4"/>
    <w:rsid w:val="001C6D2D"/>
    <w:rsid w:val="001C6E2A"/>
    <w:rsid w:val="001D6AAA"/>
    <w:rsid w:val="001D70FB"/>
    <w:rsid w:val="001D7E87"/>
    <w:rsid w:val="001E075B"/>
    <w:rsid w:val="001E221F"/>
    <w:rsid w:val="001E29BC"/>
    <w:rsid w:val="001E4F9E"/>
    <w:rsid w:val="001E7473"/>
    <w:rsid w:val="001E7819"/>
    <w:rsid w:val="001E7E6D"/>
    <w:rsid w:val="001E7F85"/>
    <w:rsid w:val="001F0023"/>
    <w:rsid w:val="001F10BE"/>
    <w:rsid w:val="001F3D3E"/>
    <w:rsid w:val="001F494A"/>
    <w:rsid w:val="00200AA3"/>
    <w:rsid w:val="00201BEC"/>
    <w:rsid w:val="00203B3D"/>
    <w:rsid w:val="0020572B"/>
    <w:rsid w:val="00206870"/>
    <w:rsid w:val="00207276"/>
    <w:rsid w:val="002100F7"/>
    <w:rsid w:val="00210287"/>
    <w:rsid w:val="002149C7"/>
    <w:rsid w:val="00214E9B"/>
    <w:rsid w:val="00216239"/>
    <w:rsid w:val="0022050A"/>
    <w:rsid w:val="0022358F"/>
    <w:rsid w:val="00226DCC"/>
    <w:rsid w:val="00230775"/>
    <w:rsid w:val="00230C35"/>
    <w:rsid w:val="00231A95"/>
    <w:rsid w:val="00235C8F"/>
    <w:rsid w:val="0024304F"/>
    <w:rsid w:val="00244B1E"/>
    <w:rsid w:val="00244B3A"/>
    <w:rsid w:val="002465A0"/>
    <w:rsid w:val="00255581"/>
    <w:rsid w:val="00256346"/>
    <w:rsid w:val="00256E5B"/>
    <w:rsid w:val="0026585C"/>
    <w:rsid w:val="00266714"/>
    <w:rsid w:val="0027437F"/>
    <w:rsid w:val="00274DBF"/>
    <w:rsid w:val="00282C68"/>
    <w:rsid w:val="00287C97"/>
    <w:rsid w:val="00294210"/>
    <w:rsid w:val="00295230"/>
    <w:rsid w:val="0029671C"/>
    <w:rsid w:val="00296E7F"/>
    <w:rsid w:val="002A0833"/>
    <w:rsid w:val="002A189E"/>
    <w:rsid w:val="002A6367"/>
    <w:rsid w:val="002B337C"/>
    <w:rsid w:val="002B34B6"/>
    <w:rsid w:val="002B4448"/>
    <w:rsid w:val="002C00F4"/>
    <w:rsid w:val="002C05B2"/>
    <w:rsid w:val="002C2AA0"/>
    <w:rsid w:val="002C3DBF"/>
    <w:rsid w:val="002C3F60"/>
    <w:rsid w:val="002C4152"/>
    <w:rsid w:val="002C4FFF"/>
    <w:rsid w:val="002C67B7"/>
    <w:rsid w:val="002D1F38"/>
    <w:rsid w:val="002D5D81"/>
    <w:rsid w:val="002D639B"/>
    <w:rsid w:val="002D7AD8"/>
    <w:rsid w:val="002E5316"/>
    <w:rsid w:val="002E781A"/>
    <w:rsid w:val="002F01C7"/>
    <w:rsid w:val="002F10CF"/>
    <w:rsid w:val="002F4132"/>
    <w:rsid w:val="002F5041"/>
    <w:rsid w:val="003012F6"/>
    <w:rsid w:val="00302C7B"/>
    <w:rsid w:val="00304FF1"/>
    <w:rsid w:val="00305B65"/>
    <w:rsid w:val="003066F4"/>
    <w:rsid w:val="0031021F"/>
    <w:rsid w:val="003119BA"/>
    <w:rsid w:val="003129F7"/>
    <w:rsid w:val="00321E35"/>
    <w:rsid w:val="003248D1"/>
    <w:rsid w:val="00325131"/>
    <w:rsid w:val="003254C7"/>
    <w:rsid w:val="00326A21"/>
    <w:rsid w:val="003274D6"/>
    <w:rsid w:val="003300DB"/>
    <w:rsid w:val="00330F7B"/>
    <w:rsid w:val="0033120A"/>
    <w:rsid w:val="00332A5A"/>
    <w:rsid w:val="00332FDE"/>
    <w:rsid w:val="00334629"/>
    <w:rsid w:val="00341222"/>
    <w:rsid w:val="00342284"/>
    <w:rsid w:val="00343E5E"/>
    <w:rsid w:val="00345735"/>
    <w:rsid w:val="00352A8C"/>
    <w:rsid w:val="00352C5E"/>
    <w:rsid w:val="00361CF7"/>
    <w:rsid w:val="003629F4"/>
    <w:rsid w:val="0036552C"/>
    <w:rsid w:val="003702B1"/>
    <w:rsid w:val="00371CA6"/>
    <w:rsid w:val="003728E9"/>
    <w:rsid w:val="00373759"/>
    <w:rsid w:val="0037387D"/>
    <w:rsid w:val="00373AB8"/>
    <w:rsid w:val="00376BE7"/>
    <w:rsid w:val="0038149E"/>
    <w:rsid w:val="0038195D"/>
    <w:rsid w:val="00381BC8"/>
    <w:rsid w:val="003839AD"/>
    <w:rsid w:val="00384E7C"/>
    <w:rsid w:val="003858F0"/>
    <w:rsid w:val="00387A59"/>
    <w:rsid w:val="00390258"/>
    <w:rsid w:val="00391E41"/>
    <w:rsid w:val="00395704"/>
    <w:rsid w:val="00396803"/>
    <w:rsid w:val="00397B4E"/>
    <w:rsid w:val="003A0764"/>
    <w:rsid w:val="003A08A0"/>
    <w:rsid w:val="003A0BF3"/>
    <w:rsid w:val="003A7595"/>
    <w:rsid w:val="003A7AFB"/>
    <w:rsid w:val="003B4E7D"/>
    <w:rsid w:val="003B51E7"/>
    <w:rsid w:val="003B5FE4"/>
    <w:rsid w:val="003C1439"/>
    <w:rsid w:val="003C1BA7"/>
    <w:rsid w:val="003C1CB5"/>
    <w:rsid w:val="003C2BC9"/>
    <w:rsid w:val="003D492D"/>
    <w:rsid w:val="003D4CFF"/>
    <w:rsid w:val="003D6656"/>
    <w:rsid w:val="003D7044"/>
    <w:rsid w:val="003E0427"/>
    <w:rsid w:val="003E05BA"/>
    <w:rsid w:val="003E0B4A"/>
    <w:rsid w:val="003E115F"/>
    <w:rsid w:val="003E162F"/>
    <w:rsid w:val="003E1B82"/>
    <w:rsid w:val="003E2666"/>
    <w:rsid w:val="003E3BA3"/>
    <w:rsid w:val="003E6EA1"/>
    <w:rsid w:val="003F1659"/>
    <w:rsid w:val="003F1A7B"/>
    <w:rsid w:val="003F50F9"/>
    <w:rsid w:val="003F6985"/>
    <w:rsid w:val="00406039"/>
    <w:rsid w:val="00406125"/>
    <w:rsid w:val="004078A5"/>
    <w:rsid w:val="004125F7"/>
    <w:rsid w:val="0041394B"/>
    <w:rsid w:val="00415A6D"/>
    <w:rsid w:val="00415CCC"/>
    <w:rsid w:val="00415F7F"/>
    <w:rsid w:val="004206ED"/>
    <w:rsid w:val="00420CCC"/>
    <w:rsid w:val="00424B5A"/>
    <w:rsid w:val="00425C5B"/>
    <w:rsid w:val="00430B21"/>
    <w:rsid w:val="00432BC2"/>
    <w:rsid w:val="004331BB"/>
    <w:rsid w:val="00443660"/>
    <w:rsid w:val="00445FB8"/>
    <w:rsid w:val="00447AF2"/>
    <w:rsid w:val="004549C9"/>
    <w:rsid w:val="004615EA"/>
    <w:rsid w:val="00462A7B"/>
    <w:rsid w:val="00463CDF"/>
    <w:rsid w:val="00465837"/>
    <w:rsid w:val="004661FC"/>
    <w:rsid w:val="00466F21"/>
    <w:rsid w:val="004704AF"/>
    <w:rsid w:val="004705A8"/>
    <w:rsid w:val="00471847"/>
    <w:rsid w:val="00472D29"/>
    <w:rsid w:val="00474428"/>
    <w:rsid w:val="0047628D"/>
    <w:rsid w:val="00477CF5"/>
    <w:rsid w:val="00480CAF"/>
    <w:rsid w:val="00481FE2"/>
    <w:rsid w:val="004845AD"/>
    <w:rsid w:val="0048550A"/>
    <w:rsid w:val="00485D9B"/>
    <w:rsid w:val="0048706C"/>
    <w:rsid w:val="0049127E"/>
    <w:rsid w:val="00491552"/>
    <w:rsid w:val="00492C8C"/>
    <w:rsid w:val="004930E9"/>
    <w:rsid w:val="00494DE9"/>
    <w:rsid w:val="004A0DE8"/>
    <w:rsid w:val="004A2FD0"/>
    <w:rsid w:val="004A4211"/>
    <w:rsid w:val="004A4D3F"/>
    <w:rsid w:val="004A589A"/>
    <w:rsid w:val="004B1506"/>
    <w:rsid w:val="004B310E"/>
    <w:rsid w:val="004B6294"/>
    <w:rsid w:val="004B6352"/>
    <w:rsid w:val="004B7639"/>
    <w:rsid w:val="004B76EF"/>
    <w:rsid w:val="004C18A5"/>
    <w:rsid w:val="004C36D1"/>
    <w:rsid w:val="004D7B91"/>
    <w:rsid w:val="004E4572"/>
    <w:rsid w:val="004E60CD"/>
    <w:rsid w:val="004E6356"/>
    <w:rsid w:val="004E7D24"/>
    <w:rsid w:val="004F12C0"/>
    <w:rsid w:val="004F422B"/>
    <w:rsid w:val="004F4E38"/>
    <w:rsid w:val="00501542"/>
    <w:rsid w:val="00501867"/>
    <w:rsid w:val="00501D58"/>
    <w:rsid w:val="005026A1"/>
    <w:rsid w:val="00503C82"/>
    <w:rsid w:val="00504C10"/>
    <w:rsid w:val="00505EC9"/>
    <w:rsid w:val="0050612A"/>
    <w:rsid w:val="005077BA"/>
    <w:rsid w:val="005102DC"/>
    <w:rsid w:val="00511F27"/>
    <w:rsid w:val="00512B23"/>
    <w:rsid w:val="00512F56"/>
    <w:rsid w:val="00512F94"/>
    <w:rsid w:val="0051336B"/>
    <w:rsid w:val="00513B76"/>
    <w:rsid w:val="00514666"/>
    <w:rsid w:val="00521397"/>
    <w:rsid w:val="00521EFB"/>
    <w:rsid w:val="005237A7"/>
    <w:rsid w:val="00533229"/>
    <w:rsid w:val="00533414"/>
    <w:rsid w:val="00533D9A"/>
    <w:rsid w:val="00534106"/>
    <w:rsid w:val="0053428F"/>
    <w:rsid w:val="005344D0"/>
    <w:rsid w:val="00537376"/>
    <w:rsid w:val="00537C50"/>
    <w:rsid w:val="005423E9"/>
    <w:rsid w:val="005427D6"/>
    <w:rsid w:val="00545B6D"/>
    <w:rsid w:val="00546540"/>
    <w:rsid w:val="00550117"/>
    <w:rsid w:val="005506D9"/>
    <w:rsid w:val="00550F9F"/>
    <w:rsid w:val="005537E0"/>
    <w:rsid w:val="005539F0"/>
    <w:rsid w:val="00553DFD"/>
    <w:rsid w:val="005559FC"/>
    <w:rsid w:val="00557BFA"/>
    <w:rsid w:val="005626E7"/>
    <w:rsid w:val="0056490B"/>
    <w:rsid w:val="005664AE"/>
    <w:rsid w:val="005678F5"/>
    <w:rsid w:val="00570E38"/>
    <w:rsid w:val="00572D1E"/>
    <w:rsid w:val="00573DEA"/>
    <w:rsid w:val="00576521"/>
    <w:rsid w:val="00582700"/>
    <w:rsid w:val="00583FCF"/>
    <w:rsid w:val="00587DCE"/>
    <w:rsid w:val="00591038"/>
    <w:rsid w:val="005913DE"/>
    <w:rsid w:val="005923A2"/>
    <w:rsid w:val="005A0834"/>
    <w:rsid w:val="005A1F69"/>
    <w:rsid w:val="005A3260"/>
    <w:rsid w:val="005A4A8E"/>
    <w:rsid w:val="005A5065"/>
    <w:rsid w:val="005A6A6F"/>
    <w:rsid w:val="005A768A"/>
    <w:rsid w:val="005B040C"/>
    <w:rsid w:val="005B0BD3"/>
    <w:rsid w:val="005B15D2"/>
    <w:rsid w:val="005B1844"/>
    <w:rsid w:val="005B389D"/>
    <w:rsid w:val="005B42DD"/>
    <w:rsid w:val="005B78EA"/>
    <w:rsid w:val="005C0E51"/>
    <w:rsid w:val="005C176F"/>
    <w:rsid w:val="005C2303"/>
    <w:rsid w:val="005C6026"/>
    <w:rsid w:val="005C69C7"/>
    <w:rsid w:val="005D22A4"/>
    <w:rsid w:val="005D6CED"/>
    <w:rsid w:val="005D7BE1"/>
    <w:rsid w:val="005E090F"/>
    <w:rsid w:val="005E3A57"/>
    <w:rsid w:val="005E3F5D"/>
    <w:rsid w:val="005E6CEE"/>
    <w:rsid w:val="005F0281"/>
    <w:rsid w:val="005F1A11"/>
    <w:rsid w:val="005F43B3"/>
    <w:rsid w:val="005F4FF1"/>
    <w:rsid w:val="005F6113"/>
    <w:rsid w:val="005F6E68"/>
    <w:rsid w:val="0060007A"/>
    <w:rsid w:val="00604622"/>
    <w:rsid w:val="00604846"/>
    <w:rsid w:val="006075B9"/>
    <w:rsid w:val="006078C3"/>
    <w:rsid w:val="006103D0"/>
    <w:rsid w:val="00614636"/>
    <w:rsid w:val="00616952"/>
    <w:rsid w:val="006229B7"/>
    <w:rsid w:val="00622A37"/>
    <w:rsid w:val="00623C10"/>
    <w:rsid w:val="00627DA5"/>
    <w:rsid w:val="006308C0"/>
    <w:rsid w:val="00630DBF"/>
    <w:rsid w:val="00631FC9"/>
    <w:rsid w:val="00633760"/>
    <w:rsid w:val="0063461D"/>
    <w:rsid w:val="00637064"/>
    <w:rsid w:val="00641E35"/>
    <w:rsid w:val="00643773"/>
    <w:rsid w:val="00644894"/>
    <w:rsid w:val="00645C8B"/>
    <w:rsid w:val="00645C93"/>
    <w:rsid w:val="00646635"/>
    <w:rsid w:val="0064675F"/>
    <w:rsid w:val="00651CFB"/>
    <w:rsid w:val="00653143"/>
    <w:rsid w:val="00660AC8"/>
    <w:rsid w:val="006627BB"/>
    <w:rsid w:val="0066312D"/>
    <w:rsid w:val="00665467"/>
    <w:rsid w:val="00670004"/>
    <w:rsid w:val="00673072"/>
    <w:rsid w:val="006744D7"/>
    <w:rsid w:val="006755A4"/>
    <w:rsid w:val="00677E78"/>
    <w:rsid w:val="0068212D"/>
    <w:rsid w:val="0068458E"/>
    <w:rsid w:val="00684CA7"/>
    <w:rsid w:val="00685AF2"/>
    <w:rsid w:val="00687EF9"/>
    <w:rsid w:val="0069186C"/>
    <w:rsid w:val="00691A8B"/>
    <w:rsid w:val="00693CE3"/>
    <w:rsid w:val="006954B7"/>
    <w:rsid w:val="0069646A"/>
    <w:rsid w:val="0069732A"/>
    <w:rsid w:val="006979FC"/>
    <w:rsid w:val="00697B10"/>
    <w:rsid w:val="006A0C63"/>
    <w:rsid w:val="006A0EF3"/>
    <w:rsid w:val="006A59D7"/>
    <w:rsid w:val="006A5F30"/>
    <w:rsid w:val="006A6094"/>
    <w:rsid w:val="006A62FA"/>
    <w:rsid w:val="006A69B2"/>
    <w:rsid w:val="006A76B8"/>
    <w:rsid w:val="006A7FB4"/>
    <w:rsid w:val="006B116B"/>
    <w:rsid w:val="006B1201"/>
    <w:rsid w:val="006B2573"/>
    <w:rsid w:val="006B3C80"/>
    <w:rsid w:val="006B556B"/>
    <w:rsid w:val="006C295C"/>
    <w:rsid w:val="006C3CCA"/>
    <w:rsid w:val="006C41CE"/>
    <w:rsid w:val="006D1BE4"/>
    <w:rsid w:val="006D1DD3"/>
    <w:rsid w:val="006D2A12"/>
    <w:rsid w:val="006D443A"/>
    <w:rsid w:val="006D450B"/>
    <w:rsid w:val="006D451D"/>
    <w:rsid w:val="006D6DBD"/>
    <w:rsid w:val="006E16A5"/>
    <w:rsid w:val="006E41FA"/>
    <w:rsid w:val="006E4DC2"/>
    <w:rsid w:val="006E4ED8"/>
    <w:rsid w:val="006E7E23"/>
    <w:rsid w:val="006E7EFF"/>
    <w:rsid w:val="006F0B2F"/>
    <w:rsid w:val="006F4076"/>
    <w:rsid w:val="00702B3A"/>
    <w:rsid w:val="0070690A"/>
    <w:rsid w:val="007075BD"/>
    <w:rsid w:val="00711396"/>
    <w:rsid w:val="00714FF9"/>
    <w:rsid w:val="00716938"/>
    <w:rsid w:val="00720371"/>
    <w:rsid w:val="00720860"/>
    <w:rsid w:val="00721D2A"/>
    <w:rsid w:val="00721F5B"/>
    <w:rsid w:val="00722BFB"/>
    <w:rsid w:val="00723056"/>
    <w:rsid w:val="00727372"/>
    <w:rsid w:val="007308F1"/>
    <w:rsid w:val="00732951"/>
    <w:rsid w:val="00732D32"/>
    <w:rsid w:val="007343F3"/>
    <w:rsid w:val="007355D6"/>
    <w:rsid w:val="007376B1"/>
    <w:rsid w:val="007419D5"/>
    <w:rsid w:val="0074517A"/>
    <w:rsid w:val="007514B8"/>
    <w:rsid w:val="00751891"/>
    <w:rsid w:val="00752BFF"/>
    <w:rsid w:val="00752C5E"/>
    <w:rsid w:val="00752FCF"/>
    <w:rsid w:val="00755A96"/>
    <w:rsid w:val="0075788C"/>
    <w:rsid w:val="00757B98"/>
    <w:rsid w:val="00761963"/>
    <w:rsid w:val="0076227A"/>
    <w:rsid w:val="0076368D"/>
    <w:rsid w:val="00773874"/>
    <w:rsid w:val="007745D1"/>
    <w:rsid w:val="00774E70"/>
    <w:rsid w:val="00775B1B"/>
    <w:rsid w:val="00775F89"/>
    <w:rsid w:val="00777ED1"/>
    <w:rsid w:val="00780DE8"/>
    <w:rsid w:val="007810EF"/>
    <w:rsid w:val="00783866"/>
    <w:rsid w:val="00784E1B"/>
    <w:rsid w:val="00785B76"/>
    <w:rsid w:val="00790B40"/>
    <w:rsid w:val="0079109C"/>
    <w:rsid w:val="00791438"/>
    <w:rsid w:val="00793787"/>
    <w:rsid w:val="0079740D"/>
    <w:rsid w:val="007A1F47"/>
    <w:rsid w:val="007A291B"/>
    <w:rsid w:val="007A5B74"/>
    <w:rsid w:val="007A6986"/>
    <w:rsid w:val="007B095A"/>
    <w:rsid w:val="007B1501"/>
    <w:rsid w:val="007B1536"/>
    <w:rsid w:val="007B235E"/>
    <w:rsid w:val="007B2732"/>
    <w:rsid w:val="007B5F15"/>
    <w:rsid w:val="007B69B6"/>
    <w:rsid w:val="007B723E"/>
    <w:rsid w:val="007D03E2"/>
    <w:rsid w:val="007D07DF"/>
    <w:rsid w:val="007D28D5"/>
    <w:rsid w:val="007D5BD2"/>
    <w:rsid w:val="007D6784"/>
    <w:rsid w:val="007D6EDC"/>
    <w:rsid w:val="007E054F"/>
    <w:rsid w:val="007E1B4F"/>
    <w:rsid w:val="007E3169"/>
    <w:rsid w:val="007E4B3E"/>
    <w:rsid w:val="007E4D80"/>
    <w:rsid w:val="007E57B4"/>
    <w:rsid w:val="007E7461"/>
    <w:rsid w:val="007F0141"/>
    <w:rsid w:val="007F2B64"/>
    <w:rsid w:val="007F32E2"/>
    <w:rsid w:val="007F5042"/>
    <w:rsid w:val="007F512B"/>
    <w:rsid w:val="0080499C"/>
    <w:rsid w:val="008065D0"/>
    <w:rsid w:val="00807BBC"/>
    <w:rsid w:val="00811EF6"/>
    <w:rsid w:val="00812180"/>
    <w:rsid w:val="00814AF3"/>
    <w:rsid w:val="008155F2"/>
    <w:rsid w:val="008159BE"/>
    <w:rsid w:val="00822C3E"/>
    <w:rsid w:val="0082380D"/>
    <w:rsid w:val="00823963"/>
    <w:rsid w:val="00825927"/>
    <w:rsid w:val="0082603A"/>
    <w:rsid w:val="00830CB9"/>
    <w:rsid w:val="00833C90"/>
    <w:rsid w:val="008343B4"/>
    <w:rsid w:val="008402E5"/>
    <w:rsid w:val="00840E89"/>
    <w:rsid w:val="008412AE"/>
    <w:rsid w:val="008428CA"/>
    <w:rsid w:val="00843940"/>
    <w:rsid w:val="00844B86"/>
    <w:rsid w:val="00845522"/>
    <w:rsid w:val="0085001B"/>
    <w:rsid w:val="00850B5A"/>
    <w:rsid w:val="00861F15"/>
    <w:rsid w:val="0086399E"/>
    <w:rsid w:val="00863B59"/>
    <w:rsid w:val="00863C29"/>
    <w:rsid w:val="00865E10"/>
    <w:rsid w:val="00866BAA"/>
    <w:rsid w:val="00867DAF"/>
    <w:rsid w:val="00874224"/>
    <w:rsid w:val="008761CC"/>
    <w:rsid w:val="008763BA"/>
    <w:rsid w:val="008769AF"/>
    <w:rsid w:val="00877B32"/>
    <w:rsid w:val="00877B79"/>
    <w:rsid w:val="0088231F"/>
    <w:rsid w:val="00882407"/>
    <w:rsid w:val="008832CE"/>
    <w:rsid w:val="0088433D"/>
    <w:rsid w:val="00884A7A"/>
    <w:rsid w:val="00885338"/>
    <w:rsid w:val="008908E6"/>
    <w:rsid w:val="00891325"/>
    <w:rsid w:val="00891BA8"/>
    <w:rsid w:val="008946F7"/>
    <w:rsid w:val="0089502C"/>
    <w:rsid w:val="008A4983"/>
    <w:rsid w:val="008A4A37"/>
    <w:rsid w:val="008A54D5"/>
    <w:rsid w:val="008A67F8"/>
    <w:rsid w:val="008A7355"/>
    <w:rsid w:val="008B106F"/>
    <w:rsid w:val="008B12F4"/>
    <w:rsid w:val="008B2ECF"/>
    <w:rsid w:val="008B46FD"/>
    <w:rsid w:val="008B4AF0"/>
    <w:rsid w:val="008C203F"/>
    <w:rsid w:val="008C2778"/>
    <w:rsid w:val="008C5995"/>
    <w:rsid w:val="008C771D"/>
    <w:rsid w:val="008D3869"/>
    <w:rsid w:val="008D3DC8"/>
    <w:rsid w:val="008D4D2C"/>
    <w:rsid w:val="008D65CB"/>
    <w:rsid w:val="008D7E0D"/>
    <w:rsid w:val="008E3970"/>
    <w:rsid w:val="008E65C8"/>
    <w:rsid w:val="008E7C7B"/>
    <w:rsid w:val="008F3CAF"/>
    <w:rsid w:val="008F4A08"/>
    <w:rsid w:val="008F4D79"/>
    <w:rsid w:val="008F6251"/>
    <w:rsid w:val="008F682C"/>
    <w:rsid w:val="008F7E6A"/>
    <w:rsid w:val="0090120D"/>
    <w:rsid w:val="00901A2C"/>
    <w:rsid w:val="00903702"/>
    <w:rsid w:val="00904F24"/>
    <w:rsid w:val="0091167D"/>
    <w:rsid w:val="009125EA"/>
    <w:rsid w:val="00917C29"/>
    <w:rsid w:val="00917EED"/>
    <w:rsid w:val="00920326"/>
    <w:rsid w:val="00920750"/>
    <w:rsid w:val="0092266D"/>
    <w:rsid w:val="0092679F"/>
    <w:rsid w:val="0093152D"/>
    <w:rsid w:val="009318C2"/>
    <w:rsid w:val="009337D2"/>
    <w:rsid w:val="00933DF3"/>
    <w:rsid w:val="00933EDD"/>
    <w:rsid w:val="00934A55"/>
    <w:rsid w:val="00935B05"/>
    <w:rsid w:val="0093647C"/>
    <w:rsid w:val="00936FF7"/>
    <w:rsid w:val="00937EA2"/>
    <w:rsid w:val="0094513D"/>
    <w:rsid w:val="00946AB7"/>
    <w:rsid w:val="00947247"/>
    <w:rsid w:val="00950DCE"/>
    <w:rsid w:val="0095209C"/>
    <w:rsid w:val="00952865"/>
    <w:rsid w:val="00953D9C"/>
    <w:rsid w:val="00955562"/>
    <w:rsid w:val="00960AEA"/>
    <w:rsid w:val="00965DE6"/>
    <w:rsid w:val="00967020"/>
    <w:rsid w:val="009735A8"/>
    <w:rsid w:val="0097619F"/>
    <w:rsid w:val="00976D8B"/>
    <w:rsid w:val="00977F70"/>
    <w:rsid w:val="009808A2"/>
    <w:rsid w:val="00980E62"/>
    <w:rsid w:val="00982C1C"/>
    <w:rsid w:val="00983AAF"/>
    <w:rsid w:val="0098580B"/>
    <w:rsid w:val="0099177F"/>
    <w:rsid w:val="009938CF"/>
    <w:rsid w:val="00993943"/>
    <w:rsid w:val="00993AE6"/>
    <w:rsid w:val="00993EFD"/>
    <w:rsid w:val="00997B5C"/>
    <w:rsid w:val="00997F16"/>
    <w:rsid w:val="009A0168"/>
    <w:rsid w:val="009A0F1B"/>
    <w:rsid w:val="009A1EC7"/>
    <w:rsid w:val="009A3EE3"/>
    <w:rsid w:val="009B30E1"/>
    <w:rsid w:val="009B363F"/>
    <w:rsid w:val="009B449B"/>
    <w:rsid w:val="009B55B5"/>
    <w:rsid w:val="009B60C3"/>
    <w:rsid w:val="009B618D"/>
    <w:rsid w:val="009B729A"/>
    <w:rsid w:val="009B79FA"/>
    <w:rsid w:val="009B7C64"/>
    <w:rsid w:val="009C1158"/>
    <w:rsid w:val="009C3E5E"/>
    <w:rsid w:val="009C59B0"/>
    <w:rsid w:val="009C6319"/>
    <w:rsid w:val="009D1B22"/>
    <w:rsid w:val="009D26A2"/>
    <w:rsid w:val="009D2863"/>
    <w:rsid w:val="009D28C1"/>
    <w:rsid w:val="009D36E5"/>
    <w:rsid w:val="009E1745"/>
    <w:rsid w:val="009E2591"/>
    <w:rsid w:val="009E4620"/>
    <w:rsid w:val="009E5034"/>
    <w:rsid w:val="009E50BB"/>
    <w:rsid w:val="009E5F76"/>
    <w:rsid w:val="009F0AFF"/>
    <w:rsid w:val="009F27F8"/>
    <w:rsid w:val="009F40C1"/>
    <w:rsid w:val="009F4699"/>
    <w:rsid w:val="009F4918"/>
    <w:rsid w:val="009F6287"/>
    <w:rsid w:val="009F71DC"/>
    <w:rsid w:val="00A0127B"/>
    <w:rsid w:val="00A10D41"/>
    <w:rsid w:val="00A11439"/>
    <w:rsid w:val="00A118A7"/>
    <w:rsid w:val="00A12136"/>
    <w:rsid w:val="00A12A66"/>
    <w:rsid w:val="00A13F92"/>
    <w:rsid w:val="00A16B84"/>
    <w:rsid w:val="00A17FBD"/>
    <w:rsid w:val="00A2041C"/>
    <w:rsid w:val="00A23B5C"/>
    <w:rsid w:val="00A331ED"/>
    <w:rsid w:val="00A40BC8"/>
    <w:rsid w:val="00A40CC9"/>
    <w:rsid w:val="00A42231"/>
    <w:rsid w:val="00A427AA"/>
    <w:rsid w:val="00A47565"/>
    <w:rsid w:val="00A511CF"/>
    <w:rsid w:val="00A526DB"/>
    <w:rsid w:val="00A5531F"/>
    <w:rsid w:val="00A5588D"/>
    <w:rsid w:val="00A55D2D"/>
    <w:rsid w:val="00A63940"/>
    <w:rsid w:val="00A6788B"/>
    <w:rsid w:val="00A70EF4"/>
    <w:rsid w:val="00A77343"/>
    <w:rsid w:val="00A8167A"/>
    <w:rsid w:val="00A84467"/>
    <w:rsid w:val="00A900D6"/>
    <w:rsid w:val="00A92E33"/>
    <w:rsid w:val="00A94065"/>
    <w:rsid w:val="00A94740"/>
    <w:rsid w:val="00A957F3"/>
    <w:rsid w:val="00AA07CE"/>
    <w:rsid w:val="00AA0C3F"/>
    <w:rsid w:val="00AA10B7"/>
    <w:rsid w:val="00AA1E3B"/>
    <w:rsid w:val="00AA23C3"/>
    <w:rsid w:val="00AA4C9C"/>
    <w:rsid w:val="00AA56AB"/>
    <w:rsid w:val="00AA6100"/>
    <w:rsid w:val="00AB69BD"/>
    <w:rsid w:val="00AC051C"/>
    <w:rsid w:val="00AC132B"/>
    <w:rsid w:val="00AC4008"/>
    <w:rsid w:val="00AC7118"/>
    <w:rsid w:val="00AD0C09"/>
    <w:rsid w:val="00AD7532"/>
    <w:rsid w:val="00AD7CD3"/>
    <w:rsid w:val="00AE5CF3"/>
    <w:rsid w:val="00AE5EEA"/>
    <w:rsid w:val="00AF1EAE"/>
    <w:rsid w:val="00AF6CEB"/>
    <w:rsid w:val="00B07969"/>
    <w:rsid w:val="00B07DBD"/>
    <w:rsid w:val="00B1047B"/>
    <w:rsid w:val="00B107FE"/>
    <w:rsid w:val="00B1395C"/>
    <w:rsid w:val="00B165BC"/>
    <w:rsid w:val="00B17C27"/>
    <w:rsid w:val="00B20F43"/>
    <w:rsid w:val="00B23EC2"/>
    <w:rsid w:val="00B254DA"/>
    <w:rsid w:val="00B27B88"/>
    <w:rsid w:val="00B30EF1"/>
    <w:rsid w:val="00B34C1C"/>
    <w:rsid w:val="00B35030"/>
    <w:rsid w:val="00B3615E"/>
    <w:rsid w:val="00B367C6"/>
    <w:rsid w:val="00B37A81"/>
    <w:rsid w:val="00B40F0B"/>
    <w:rsid w:val="00B41CA4"/>
    <w:rsid w:val="00B420FE"/>
    <w:rsid w:val="00B42241"/>
    <w:rsid w:val="00B42E7B"/>
    <w:rsid w:val="00B431A1"/>
    <w:rsid w:val="00B45E86"/>
    <w:rsid w:val="00B46E80"/>
    <w:rsid w:val="00B52057"/>
    <w:rsid w:val="00B53CE4"/>
    <w:rsid w:val="00B5443F"/>
    <w:rsid w:val="00B55A38"/>
    <w:rsid w:val="00B6133B"/>
    <w:rsid w:val="00B616CD"/>
    <w:rsid w:val="00B618C9"/>
    <w:rsid w:val="00B622C7"/>
    <w:rsid w:val="00B63C1D"/>
    <w:rsid w:val="00B640B7"/>
    <w:rsid w:val="00B66690"/>
    <w:rsid w:val="00B67BB2"/>
    <w:rsid w:val="00B713F8"/>
    <w:rsid w:val="00B72876"/>
    <w:rsid w:val="00B7353B"/>
    <w:rsid w:val="00B736B3"/>
    <w:rsid w:val="00B74E10"/>
    <w:rsid w:val="00B76901"/>
    <w:rsid w:val="00B76BC4"/>
    <w:rsid w:val="00B76E4A"/>
    <w:rsid w:val="00B772FE"/>
    <w:rsid w:val="00B7765D"/>
    <w:rsid w:val="00B80160"/>
    <w:rsid w:val="00B82EA5"/>
    <w:rsid w:val="00B852D9"/>
    <w:rsid w:val="00B856E0"/>
    <w:rsid w:val="00B86D38"/>
    <w:rsid w:val="00B87E82"/>
    <w:rsid w:val="00B92B66"/>
    <w:rsid w:val="00B9374C"/>
    <w:rsid w:val="00B9514D"/>
    <w:rsid w:val="00B96098"/>
    <w:rsid w:val="00B96E52"/>
    <w:rsid w:val="00BA1B3E"/>
    <w:rsid w:val="00BA343A"/>
    <w:rsid w:val="00BA430A"/>
    <w:rsid w:val="00BA433B"/>
    <w:rsid w:val="00BA476A"/>
    <w:rsid w:val="00BA4820"/>
    <w:rsid w:val="00BA4F1E"/>
    <w:rsid w:val="00BA5EF1"/>
    <w:rsid w:val="00BA6D8D"/>
    <w:rsid w:val="00BB073F"/>
    <w:rsid w:val="00BB3D7E"/>
    <w:rsid w:val="00BB60F4"/>
    <w:rsid w:val="00BB6869"/>
    <w:rsid w:val="00BC04EA"/>
    <w:rsid w:val="00BC2AD4"/>
    <w:rsid w:val="00BC5B06"/>
    <w:rsid w:val="00BC675A"/>
    <w:rsid w:val="00BC757B"/>
    <w:rsid w:val="00BC7D14"/>
    <w:rsid w:val="00BD08CD"/>
    <w:rsid w:val="00BD2CAB"/>
    <w:rsid w:val="00BD70B8"/>
    <w:rsid w:val="00BD7994"/>
    <w:rsid w:val="00BE2703"/>
    <w:rsid w:val="00BE3428"/>
    <w:rsid w:val="00BE4773"/>
    <w:rsid w:val="00BE6343"/>
    <w:rsid w:val="00BE666A"/>
    <w:rsid w:val="00BE6690"/>
    <w:rsid w:val="00BF1475"/>
    <w:rsid w:val="00BF392E"/>
    <w:rsid w:val="00BF4698"/>
    <w:rsid w:val="00BF74A7"/>
    <w:rsid w:val="00BF79EA"/>
    <w:rsid w:val="00C0038C"/>
    <w:rsid w:val="00C00E6E"/>
    <w:rsid w:val="00C03D3E"/>
    <w:rsid w:val="00C07246"/>
    <w:rsid w:val="00C0729C"/>
    <w:rsid w:val="00C100E7"/>
    <w:rsid w:val="00C1276B"/>
    <w:rsid w:val="00C13823"/>
    <w:rsid w:val="00C13A20"/>
    <w:rsid w:val="00C13D14"/>
    <w:rsid w:val="00C14854"/>
    <w:rsid w:val="00C16832"/>
    <w:rsid w:val="00C1729F"/>
    <w:rsid w:val="00C2227C"/>
    <w:rsid w:val="00C233FA"/>
    <w:rsid w:val="00C23CD7"/>
    <w:rsid w:val="00C24075"/>
    <w:rsid w:val="00C241F9"/>
    <w:rsid w:val="00C24290"/>
    <w:rsid w:val="00C265B6"/>
    <w:rsid w:val="00C27390"/>
    <w:rsid w:val="00C3555D"/>
    <w:rsid w:val="00C36F1C"/>
    <w:rsid w:val="00C3762E"/>
    <w:rsid w:val="00C40B6D"/>
    <w:rsid w:val="00C468E7"/>
    <w:rsid w:val="00C51185"/>
    <w:rsid w:val="00C6057D"/>
    <w:rsid w:val="00C61D44"/>
    <w:rsid w:val="00C667E4"/>
    <w:rsid w:val="00C66D70"/>
    <w:rsid w:val="00C71D6B"/>
    <w:rsid w:val="00C71E8C"/>
    <w:rsid w:val="00C72AE2"/>
    <w:rsid w:val="00C74459"/>
    <w:rsid w:val="00C74C60"/>
    <w:rsid w:val="00C76391"/>
    <w:rsid w:val="00C765CE"/>
    <w:rsid w:val="00C76A00"/>
    <w:rsid w:val="00C76E8B"/>
    <w:rsid w:val="00C811D5"/>
    <w:rsid w:val="00C84172"/>
    <w:rsid w:val="00C87932"/>
    <w:rsid w:val="00C87DA2"/>
    <w:rsid w:val="00C91958"/>
    <w:rsid w:val="00C95E2B"/>
    <w:rsid w:val="00CA030C"/>
    <w:rsid w:val="00CA132B"/>
    <w:rsid w:val="00CA6881"/>
    <w:rsid w:val="00CB0215"/>
    <w:rsid w:val="00CB1F69"/>
    <w:rsid w:val="00CB49B7"/>
    <w:rsid w:val="00CB4FCF"/>
    <w:rsid w:val="00CB5451"/>
    <w:rsid w:val="00CB5496"/>
    <w:rsid w:val="00CB5B1A"/>
    <w:rsid w:val="00CB6784"/>
    <w:rsid w:val="00CC1485"/>
    <w:rsid w:val="00CC309F"/>
    <w:rsid w:val="00CC62E0"/>
    <w:rsid w:val="00CD7712"/>
    <w:rsid w:val="00CE2D6C"/>
    <w:rsid w:val="00CE48EE"/>
    <w:rsid w:val="00CE57B8"/>
    <w:rsid w:val="00CE6735"/>
    <w:rsid w:val="00CF4A40"/>
    <w:rsid w:val="00CF60B0"/>
    <w:rsid w:val="00D01ED3"/>
    <w:rsid w:val="00D02CAE"/>
    <w:rsid w:val="00D0358B"/>
    <w:rsid w:val="00D039A0"/>
    <w:rsid w:val="00D03D1B"/>
    <w:rsid w:val="00D10511"/>
    <w:rsid w:val="00D12376"/>
    <w:rsid w:val="00D14091"/>
    <w:rsid w:val="00D14983"/>
    <w:rsid w:val="00D15D8B"/>
    <w:rsid w:val="00D211DA"/>
    <w:rsid w:val="00D212FA"/>
    <w:rsid w:val="00D21D05"/>
    <w:rsid w:val="00D21D7F"/>
    <w:rsid w:val="00D22112"/>
    <w:rsid w:val="00D256CD"/>
    <w:rsid w:val="00D26045"/>
    <w:rsid w:val="00D26961"/>
    <w:rsid w:val="00D278C3"/>
    <w:rsid w:val="00D27FF9"/>
    <w:rsid w:val="00D338CE"/>
    <w:rsid w:val="00D33F29"/>
    <w:rsid w:val="00D358CA"/>
    <w:rsid w:val="00D41897"/>
    <w:rsid w:val="00D42BC9"/>
    <w:rsid w:val="00D43BD3"/>
    <w:rsid w:val="00D472FE"/>
    <w:rsid w:val="00D50130"/>
    <w:rsid w:val="00D5129D"/>
    <w:rsid w:val="00D51E16"/>
    <w:rsid w:val="00D527BD"/>
    <w:rsid w:val="00D54614"/>
    <w:rsid w:val="00D55213"/>
    <w:rsid w:val="00D642C0"/>
    <w:rsid w:val="00D642F4"/>
    <w:rsid w:val="00D67A73"/>
    <w:rsid w:val="00D71133"/>
    <w:rsid w:val="00D720C3"/>
    <w:rsid w:val="00D72E84"/>
    <w:rsid w:val="00D7456B"/>
    <w:rsid w:val="00D74A24"/>
    <w:rsid w:val="00D7576E"/>
    <w:rsid w:val="00D75E2A"/>
    <w:rsid w:val="00D774D3"/>
    <w:rsid w:val="00D8161D"/>
    <w:rsid w:val="00D85E82"/>
    <w:rsid w:val="00D86684"/>
    <w:rsid w:val="00D86848"/>
    <w:rsid w:val="00D8684D"/>
    <w:rsid w:val="00D878FC"/>
    <w:rsid w:val="00D91F6C"/>
    <w:rsid w:val="00D930FD"/>
    <w:rsid w:val="00D933F4"/>
    <w:rsid w:val="00D944B6"/>
    <w:rsid w:val="00D96F15"/>
    <w:rsid w:val="00D96F2F"/>
    <w:rsid w:val="00DA34D5"/>
    <w:rsid w:val="00DA5C02"/>
    <w:rsid w:val="00DA6194"/>
    <w:rsid w:val="00DA7EF1"/>
    <w:rsid w:val="00DB1AA5"/>
    <w:rsid w:val="00DC16DB"/>
    <w:rsid w:val="00DC260A"/>
    <w:rsid w:val="00DC434F"/>
    <w:rsid w:val="00DC48F1"/>
    <w:rsid w:val="00DC5A89"/>
    <w:rsid w:val="00DC69E6"/>
    <w:rsid w:val="00DC6A5A"/>
    <w:rsid w:val="00DC6C38"/>
    <w:rsid w:val="00DC6C84"/>
    <w:rsid w:val="00DC7004"/>
    <w:rsid w:val="00DD4C87"/>
    <w:rsid w:val="00DD7CEA"/>
    <w:rsid w:val="00DE1DDC"/>
    <w:rsid w:val="00DE46CF"/>
    <w:rsid w:val="00DE47A5"/>
    <w:rsid w:val="00DE4C64"/>
    <w:rsid w:val="00DE4E1A"/>
    <w:rsid w:val="00DE6807"/>
    <w:rsid w:val="00DF387F"/>
    <w:rsid w:val="00DF3AEB"/>
    <w:rsid w:val="00DF5CD4"/>
    <w:rsid w:val="00DF77C1"/>
    <w:rsid w:val="00E005CA"/>
    <w:rsid w:val="00E04276"/>
    <w:rsid w:val="00E07095"/>
    <w:rsid w:val="00E0730E"/>
    <w:rsid w:val="00E215C7"/>
    <w:rsid w:val="00E225AD"/>
    <w:rsid w:val="00E22BA4"/>
    <w:rsid w:val="00E23C9A"/>
    <w:rsid w:val="00E26EF6"/>
    <w:rsid w:val="00E304D2"/>
    <w:rsid w:val="00E31091"/>
    <w:rsid w:val="00E313ED"/>
    <w:rsid w:val="00E349E8"/>
    <w:rsid w:val="00E3735E"/>
    <w:rsid w:val="00E41AA8"/>
    <w:rsid w:val="00E50CDF"/>
    <w:rsid w:val="00E52CD2"/>
    <w:rsid w:val="00E548F9"/>
    <w:rsid w:val="00E57C53"/>
    <w:rsid w:val="00E6162E"/>
    <w:rsid w:val="00E63CA3"/>
    <w:rsid w:val="00E64A94"/>
    <w:rsid w:val="00E7056E"/>
    <w:rsid w:val="00E772C8"/>
    <w:rsid w:val="00E77F98"/>
    <w:rsid w:val="00E8016A"/>
    <w:rsid w:val="00E80320"/>
    <w:rsid w:val="00E80F2A"/>
    <w:rsid w:val="00E8368C"/>
    <w:rsid w:val="00E83A85"/>
    <w:rsid w:val="00E851FE"/>
    <w:rsid w:val="00E864F1"/>
    <w:rsid w:val="00E86EF2"/>
    <w:rsid w:val="00E914C2"/>
    <w:rsid w:val="00E93F0D"/>
    <w:rsid w:val="00E97AB1"/>
    <w:rsid w:val="00EA013E"/>
    <w:rsid w:val="00EA1657"/>
    <w:rsid w:val="00EA1E25"/>
    <w:rsid w:val="00EA43AB"/>
    <w:rsid w:val="00EA586B"/>
    <w:rsid w:val="00EA6D58"/>
    <w:rsid w:val="00EA7943"/>
    <w:rsid w:val="00EA7D27"/>
    <w:rsid w:val="00EB5680"/>
    <w:rsid w:val="00EB73A9"/>
    <w:rsid w:val="00EC0B48"/>
    <w:rsid w:val="00EC5B98"/>
    <w:rsid w:val="00ED0AA9"/>
    <w:rsid w:val="00ED162B"/>
    <w:rsid w:val="00ED1E84"/>
    <w:rsid w:val="00ED2B4A"/>
    <w:rsid w:val="00ED479D"/>
    <w:rsid w:val="00ED7FDB"/>
    <w:rsid w:val="00EE70EA"/>
    <w:rsid w:val="00EE772B"/>
    <w:rsid w:val="00EF1DB8"/>
    <w:rsid w:val="00EF3671"/>
    <w:rsid w:val="00EF548A"/>
    <w:rsid w:val="00F00F8B"/>
    <w:rsid w:val="00F01F9F"/>
    <w:rsid w:val="00F02386"/>
    <w:rsid w:val="00F045A3"/>
    <w:rsid w:val="00F04DF9"/>
    <w:rsid w:val="00F05DBA"/>
    <w:rsid w:val="00F064C9"/>
    <w:rsid w:val="00F07C92"/>
    <w:rsid w:val="00F10C40"/>
    <w:rsid w:val="00F119D3"/>
    <w:rsid w:val="00F11FE5"/>
    <w:rsid w:val="00F15349"/>
    <w:rsid w:val="00F156EC"/>
    <w:rsid w:val="00F15812"/>
    <w:rsid w:val="00F15D26"/>
    <w:rsid w:val="00F15E6B"/>
    <w:rsid w:val="00F16353"/>
    <w:rsid w:val="00F245BA"/>
    <w:rsid w:val="00F25489"/>
    <w:rsid w:val="00F30511"/>
    <w:rsid w:val="00F30802"/>
    <w:rsid w:val="00F3121C"/>
    <w:rsid w:val="00F31AB5"/>
    <w:rsid w:val="00F32209"/>
    <w:rsid w:val="00F32323"/>
    <w:rsid w:val="00F345B9"/>
    <w:rsid w:val="00F35311"/>
    <w:rsid w:val="00F35EC2"/>
    <w:rsid w:val="00F363D3"/>
    <w:rsid w:val="00F4142D"/>
    <w:rsid w:val="00F41A44"/>
    <w:rsid w:val="00F434AC"/>
    <w:rsid w:val="00F456B5"/>
    <w:rsid w:val="00F45754"/>
    <w:rsid w:val="00F47A6A"/>
    <w:rsid w:val="00F50441"/>
    <w:rsid w:val="00F53D8B"/>
    <w:rsid w:val="00F553F4"/>
    <w:rsid w:val="00F565C0"/>
    <w:rsid w:val="00F62915"/>
    <w:rsid w:val="00F656BA"/>
    <w:rsid w:val="00F6637C"/>
    <w:rsid w:val="00F71609"/>
    <w:rsid w:val="00F72E59"/>
    <w:rsid w:val="00F80ED3"/>
    <w:rsid w:val="00F8387D"/>
    <w:rsid w:val="00F83CD4"/>
    <w:rsid w:val="00F860E1"/>
    <w:rsid w:val="00F90098"/>
    <w:rsid w:val="00F91AE5"/>
    <w:rsid w:val="00F933A2"/>
    <w:rsid w:val="00F94EA2"/>
    <w:rsid w:val="00F9566E"/>
    <w:rsid w:val="00F95DE8"/>
    <w:rsid w:val="00F97292"/>
    <w:rsid w:val="00F978C6"/>
    <w:rsid w:val="00FA12DC"/>
    <w:rsid w:val="00FA1347"/>
    <w:rsid w:val="00FA17DB"/>
    <w:rsid w:val="00FA1A4B"/>
    <w:rsid w:val="00FA3DE2"/>
    <w:rsid w:val="00FA6F0C"/>
    <w:rsid w:val="00FB232B"/>
    <w:rsid w:val="00FB2F66"/>
    <w:rsid w:val="00FB36DD"/>
    <w:rsid w:val="00FB5C1B"/>
    <w:rsid w:val="00FB66A9"/>
    <w:rsid w:val="00FB6AAD"/>
    <w:rsid w:val="00FC0436"/>
    <w:rsid w:val="00FC1470"/>
    <w:rsid w:val="00FC3DB6"/>
    <w:rsid w:val="00FC451E"/>
    <w:rsid w:val="00FC5A36"/>
    <w:rsid w:val="00FC6A7B"/>
    <w:rsid w:val="00FD4B91"/>
    <w:rsid w:val="00FD78AC"/>
    <w:rsid w:val="00FE07D5"/>
    <w:rsid w:val="00FE094C"/>
    <w:rsid w:val="00FE1868"/>
    <w:rsid w:val="00FE253A"/>
    <w:rsid w:val="00FE2782"/>
    <w:rsid w:val="00FE28B6"/>
    <w:rsid w:val="00FE3858"/>
    <w:rsid w:val="00FE4DD6"/>
    <w:rsid w:val="00FE7000"/>
    <w:rsid w:val="00FE72CE"/>
    <w:rsid w:val="00FF1A49"/>
    <w:rsid w:val="00FF4755"/>
    <w:rsid w:val="00FF6BA6"/>
    <w:rsid w:val="01325FE5"/>
    <w:rsid w:val="014D0B1B"/>
    <w:rsid w:val="01896844"/>
    <w:rsid w:val="019B67D2"/>
    <w:rsid w:val="01BF37C7"/>
    <w:rsid w:val="01EB1707"/>
    <w:rsid w:val="020C62E0"/>
    <w:rsid w:val="023B0F00"/>
    <w:rsid w:val="02477318"/>
    <w:rsid w:val="0266468E"/>
    <w:rsid w:val="02692CB1"/>
    <w:rsid w:val="02796650"/>
    <w:rsid w:val="02A753BB"/>
    <w:rsid w:val="030B47EA"/>
    <w:rsid w:val="03B251CA"/>
    <w:rsid w:val="03EE0393"/>
    <w:rsid w:val="045521C0"/>
    <w:rsid w:val="04706FFA"/>
    <w:rsid w:val="04D53301"/>
    <w:rsid w:val="04D92DCE"/>
    <w:rsid w:val="05723F3C"/>
    <w:rsid w:val="05EE467B"/>
    <w:rsid w:val="05F6352F"/>
    <w:rsid w:val="061C523F"/>
    <w:rsid w:val="061F2A86"/>
    <w:rsid w:val="062C0CFF"/>
    <w:rsid w:val="062F07EF"/>
    <w:rsid w:val="06426774"/>
    <w:rsid w:val="06A25465"/>
    <w:rsid w:val="06B539A9"/>
    <w:rsid w:val="06CE70EA"/>
    <w:rsid w:val="06D61695"/>
    <w:rsid w:val="06DE46EF"/>
    <w:rsid w:val="06E23AB3"/>
    <w:rsid w:val="073132C1"/>
    <w:rsid w:val="074A123C"/>
    <w:rsid w:val="078D6869"/>
    <w:rsid w:val="07D433FC"/>
    <w:rsid w:val="08253C58"/>
    <w:rsid w:val="08285B25"/>
    <w:rsid w:val="084C38DA"/>
    <w:rsid w:val="085A56D1"/>
    <w:rsid w:val="088A605B"/>
    <w:rsid w:val="08A66401"/>
    <w:rsid w:val="08AB6853"/>
    <w:rsid w:val="08BA3F41"/>
    <w:rsid w:val="08BD0334"/>
    <w:rsid w:val="08D24DBE"/>
    <w:rsid w:val="09313374"/>
    <w:rsid w:val="096B07ED"/>
    <w:rsid w:val="097C3D4B"/>
    <w:rsid w:val="098A7A1C"/>
    <w:rsid w:val="09AA4D5C"/>
    <w:rsid w:val="09B07E99"/>
    <w:rsid w:val="09BC4A90"/>
    <w:rsid w:val="09C83435"/>
    <w:rsid w:val="0A2D5046"/>
    <w:rsid w:val="0A4A3E4A"/>
    <w:rsid w:val="0A79028B"/>
    <w:rsid w:val="0A79472F"/>
    <w:rsid w:val="0AA1025C"/>
    <w:rsid w:val="0AA35FE5"/>
    <w:rsid w:val="0AC70476"/>
    <w:rsid w:val="0AFD710E"/>
    <w:rsid w:val="0B022976"/>
    <w:rsid w:val="0B073AE9"/>
    <w:rsid w:val="0B0E4E77"/>
    <w:rsid w:val="0B4E5BBB"/>
    <w:rsid w:val="0B635EB5"/>
    <w:rsid w:val="0B640F3B"/>
    <w:rsid w:val="0B811AED"/>
    <w:rsid w:val="0BA773F8"/>
    <w:rsid w:val="0BC77592"/>
    <w:rsid w:val="0BD03086"/>
    <w:rsid w:val="0C3923C8"/>
    <w:rsid w:val="0C670CE3"/>
    <w:rsid w:val="0C747F4C"/>
    <w:rsid w:val="0C7B653C"/>
    <w:rsid w:val="0C8E2713"/>
    <w:rsid w:val="0C9E752C"/>
    <w:rsid w:val="0CB55B84"/>
    <w:rsid w:val="0CB97065"/>
    <w:rsid w:val="0CCA74C4"/>
    <w:rsid w:val="0CF14A50"/>
    <w:rsid w:val="0D0023B8"/>
    <w:rsid w:val="0D036AB0"/>
    <w:rsid w:val="0D054058"/>
    <w:rsid w:val="0D263B41"/>
    <w:rsid w:val="0D2B54E5"/>
    <w:rsid w:val="0D3B2D85"/>
    <w:rsid w:val="0D660F9A"/>
    <w:rsid w:val="0D6618DB"/>
    <w:rsid w:val="0D9A4BA7"/>
    <w:rsid w:val="0DE3413F"/>
    <w:rsid w:val="0E5862B0"/>
    <w:rsid w:val="0E71409B"/>
    <w:rsid w:val="0E745939"/>
    <w:rsid w:val="0EA33B28"/>
    <w:rsid w:val="0EDC255B"/>
    <w:rsid w:val="0EE70933"/>
    <w:rsid w:val="0F2347EB"/>
    <w:rsid w:val="0F48020F"/>
    <w:rsid w:val="0F562E06"/>
    <w:rsid w:val="0F6C5093"/>
    <w:rsid w:val="0FC41FA8"/>
    <w:rsid w:val="0FC63764"/>
    <w:rsid w:val="0FD30A9B"/>
    <w:rsid w:val="10206116"/>
    <w:rsid w:val="104F21BA"/>
    <w:rsid w:val="107B4D5D"/>
    <w:rsid w:val="10930B15"/>
    <w:rsid w:val="10A87B1C"/>
    <w:rsid w:val="10DC4638"/>
    <w:rsid w:val="10E07932"/>
    <w:rsid w:val="10E723F2"/>
    <w:rsid w:val="11196324"/>
    <w:rsid w:val="11467905"/>
    <w:rsid w:val="11561326"/>
    <w:rsid w:val="11951FE8"/>
    <w:rsid w:val="11AC720C"/>
    <w:rsid w:val="11F43349"/>
    <w:rsid w:val="120E7E53"/>
    <w:rsid w:val="12166B79"/>
    <w:rsid w:val="12394ECF"/>
    <w:rsid w:val="12942106"/>
    <w:rsid w:val="129D648B"/>
    <w:rsid w:val="12AC6C2A"/>
    <w:rsid w:val="12F20D52"/>
    <w:rsid w:val="13031039"/>
    <w:rsid w:val="130B7EEE"/>
    <w:rsid w:val="131E40C5"/>
    <w:rsid w:val="132711CC"/>
    <w:rsid w:val="13677FAB"/>
    <w:rsid w:val="136F4921"/>
    <w:rsid w:val="137E4ED3"/>
    <w:rsid w:val="13B34D85"/>
    <w:rsid w:val="13FD3D1F"/>
    <w:rsid w:val="142832E8"/>
    <w:rsid w:val="144C3120"/>
    <w:rsid w:val="14537D9F"/>
    <w:rsid w:val="14607FF8"/>
    <w:rsid w:val="146901AF"/>
    <w:rsid w:val="146F2E2A"/>
    <w:rsid w:val="14755F67"/>
    <w:rsid w:val="14C043E9"/>
    <w:rsid w:val="14E76E65"/>
    <w:rsid w:val="156972F9"/>
    <w:rsid w:val="159E329B"/>
    <w:rsid w:val="167F4E7B"/>
    <w:rsid w:val="16985F3D"/>
    <w:rsid w:val="16BF171B"/>
    <w:rsid w:val="16E02B05"/>
    <w:rsid w:val="16EF0253"/>
    <w:rsid w:val="17370068"/>
    <w:rsid w:val="173B1EAD"/>
    <w:rsid w:val="173B2541"/>
    <w:rsid w:val="176D6ECB"/>
    <w:rsid w:val="176E561B"/>
    <w:rsid w:val="17834280"/>
    <w:rsid w:val="18055854"/>
    <w:rsid w:val="18070410"/>
    <w:rsid w:val="18276BA8"/>
    <w:rsid w:val="183F7616"/>
    <w:rsid w:val="18D07C10"/>
    <w:rsid w:val="18D85138"/>
    <w:rsid w:val="18D94D16"/>
    <w:rsid w:val="18F002B2"/>
    <w:rsid w:val="1912647A"/>
    <w:rsid w:val="192561AE"/>
    <w:rsid w:val="19CC03D7"/>
    <w:rsid w:val="1A3A7A37"/>
    <w:rsid w:val="1A750A6F"/>
    <w:rsid w:val="1AD3534B"/>
    <w:rsid w:val="1AE6196C"/>
    <w:rsid w:val="1AE9320B"/>
    <w:rsid w:val="1AF37BE5"/>
    <w:rsid w:val="1B0B3181"/>
    <w:rsid w:val="1B0B4F2F"/>
    <w:rsid w:val="1B2129A5"/>
    <w:rsid w:val="1B4B17D0"/>
    <w:rsid w:val="1B5A7C65"/>
    <w:rsid w:val="1B5C7199"/>
    <w:rsid w:val="1B642891"/>
    <w:rsid w:val="1BEB01B8"/>
    <w:rsid w:val="1BEF72D2"/>
    <w:rsid w:val="1BF26875"/>
    <w:rsid w:val="1C093B64"/>
    <w:rsid w:val="1C0E2F29"/>
    <w:rsid w:val="1C297D63"/>
    <w:rsid w:val="1C3D2E4A"/>
    <w:rsid w:val="1C4521E6"/>
    <w:rsid w:val="1C56042C"/>
    <w:rsid w:val="1C5631B3"/>
    <w:rsid w:val="1C596A05"/>
    <w:rsid w:val="1C6C40F3"/>
    <w:rsid w:val="1CC763F1"/>
    <w:rsid w:val="1CE123EB"/>
    <w:rsid w:val="1CE3498F"/>
    <w:rsid w:val="1CE41EDC"/>
    <w:rsid w:val="1CE6487E"/>
    <w:rsid w:val="1CFC4C12"/>
    <w:rsid w:val="1D215A92"/>
    <w:rsid w:val="1D2343AC"/>
    <w:rsid w:val="1D2B1AED"/>
    <w:rsid w:val="1D48246B"/>
    <w:rsid w:val="1D540E0F"/>
    <w:rsid w:val="1D5A219E"/>
    <w:rsid w:val="1D5E1C8E"/>
    <w:rsid w:val="1D671A57"/>
    <w:rsid w:val="1D96368A"/>
    <w:rsid w:val="1D9B4C90"/>
    <w:rsid w:val="1DA67D38"/>
    <w:rsid w:val="1DB13ED9"/>
    <w:rsid w:val="1DCB4F8D"/>
    <w:rsid w:val="1E3E73CA"/>
    <w:rsid w:val="1E4D698D"/>
    <w:rsid w:val="1E71779F"/>
    <w:rsid w:val="1E8F7C25"/>
    <w:rsid w:val="1EAB0F03"/>
    <w:rsid w:val="1ECC70CB"/>
    <w:rsid w:val="1F093E7B"/>
    <w:rsid w:val="1F0C571A"/>
    <w:rsid w:val="1F1C3BAF"/>
    <w:rsid w:val="1F330F4D"/>
    <w:rsid w:val="1F5D7D23"/>
    <w:rsid w:val="1F662712"/>
    <w:rsid w:val="1FB42039"/>
    <w:rsid w:val="1FE67D19"/>
    <w:rsid w:val="1FE87F35"/>
    <w:rsid w:val="205E3D53"/>
    <w:rsid w:val="211B1C44"/>
    <w:rsid w:val="212C3E51"/>
    <w:rsid w:val="21BC7FCB"/>
    <w:rsid w:val="21E64000"/>
    <w:rsid w:val="21F477AE"/>
    <w:rsid w:val="221768AF"/>
    <w:rsid w:val="22196184"/>
    <w:rsid w:val="224167D4"/>
    <w:rsid w:val="22420467"/>
    <w:rsid w:val="22910990"/>
    <w:rsid w:val="22D4654E"/>
    <w:rsid w:val="22DA1DB7"/>
    <w:rsid w:val="22DD238B"/>
    <w:rsid w:val="22EE7610"/>
    <w:rsid w:val="23160915"/>
    <w:rsid w:val="23242BA1"/>
    <w:rsid w:val="233D5EA2"/>
    <w:rsid w:val="237D5E80"/>
    <w:rsid w:val="238A409C"/>
    <w:rsid w:val="23A75A11"/>
    <w:rsid w:val="24754595"/>
    <w:rsid w:val="247B3126"/>
    <w:rsid w:val="24945F95"/>
    <w:rsid w:val="24967F5F"/>
    <w:rsid w:val="24A501A2"/>
    <w:rsid w:val="24CD2E1A"/>
    <w:rsid w:val="24E72569"/>
    <w:rsid w:val="24FE08CA"/>
    <w:rsid w:val="253C6B38"/>
    <w:rsid w:val="254733FB"/>
    <w:rsid w:val="254C5A1A"/>
    <w:rsid w:val="25627E42"/>
    <w:rsid w:val="257D4C7B"/>
    <w:rsid w:val="258A1146"/>
    <w:rsid w:val="25A22934"/>
    <w:rsid w:val="25D4307B"/>
    <w:rsid w:val="26084E8D"/>
    <w:rsid w:val="261455E0"/>
    <w:rsid w:val="26151E59"/>
    <w:rsid w:val="26470CBC"/>
    <w:rsid w:val="264D0AF2"/>
    <w:rsid w:val="26796309"/>
    <w:rsid w:val="268E1D4E"/>
    <w:rsid w:val="26A5448A"/>
    <w:rsid w:val="26AF70B6"/>
    <w:rsid w:val="26DD2209"/>
    <w:rsid w:val="27263924"/>
    <w:rsid w:val="27314768"/>
    <w:rsid w:val="27481C63"/>
    <w:rsid w:val="27E8385E"/>
    <w:rsid w:val="285147AD"/>
    <w:rsid w:val="28B26A48"/>
    <w:rsid w:val="28C336CC"/>
    <w:rsid w:val="28CD68E9"/>
    <w:rsid w:val="290B0B1F"/>
    <w:rsid w:val="2916637A"/>
    <w:rsid w:val="292D69B8"/>
    <w:rsid w:val="293226B7"/>
    <w:rsid w:val="295035F2"/>
    <w:rsid w:val="29534671"/>
    <w:rsid w:val="29622B06"/>
    <w:rsid w:val="296C181E"/>
    <w:rsid w:val="299627B0"/>
    <w:rsid w:val="29EC23D0"/>
    <w:rsid w:val="2A157B78"/>
    <w:rsid w:val="2A306760"/>
    <w:rsid w:val="2A524929"/>
    <w:rsid w:val="2AC670C5"/>
    <w:rsid w:val="2ACA0963"/>
    <w:rsid w:val="2B2F07C6"/>
    <w:rsid w:val="2B746B21"/>
    <w:rsid w:val="2B8E1990"/>
    <w:rsid w:val="2B900F36"/>
    <w:rsid w:val="2C165891"/>
    <w:rsid w:val="2C1D0F66"/>
    <w:rsid w:val="2C2220D9"/>
    <w:rsid w:val="2C2916B9"/>
    <w:rsid w:val="2C673F8F"/>
    <w:rsid w:val="2CE82212"/>
    <w:rsid w:val="2D0F6B01"/>
    <w:rsid w:val="2D332A66"/>
    <w:rsid w:val="2D4C45A1"/>
    <w:rsid w:val="2D5E5EED"/>
    <w:rsid w:val="2D8868B3"/>
    <w:rsid w:val="2DA44C53"/>
    <w:rsid w:val="2DB94B12"/>
    <w:rsid w:val="2DC53C93"/>
    <w:rsid w:val="2DF857E7"/>
    <w:rsid w:val="2DFE3194"/>
    <w:rsid w:val="2E10586F"/>
    <w:rsid w:val="2E615B1A"/>
    <w:rsid w:val="2ECB3383"/>
    <w:rsid w:val="2F012479"/>
    <w:rsid w:val="2F0B1683"/>
    <w:rsid w:val="2F212CAE"/>
    <w:rsid w:val="2FC35981"/>
    <w:rsid w:val="30275F10"/>
    <w:rsid w:val="304A60A2"/>
    <w:rsid w:val="30BD5976"/>
    <w:rsid w:val="30E402A4"/>
    <w:rsid w:val="31077AEF"/>
    <w:rsid w:val="31210BB1"/>
    <w:rsid w:val="31230DCD"/>
    <w:rsid w:val="312468F3"/>
    <w:rsid w:val="312A215B"/>
    <w:rsid w:val="315947EF"/>
    <w:rsid w:val="315E1E05"/>
    <w:rsid w:val="316A69FC"/>
    <w:rsid w:val="319A7E32"/>
    <w:rsid w:val="31B41A25"/>
    <w:rsid w:val="320F5133"/>
    <w:rsid w:val="321E1AAF"/>
    <w:rsid w:val="328C0BF4"/>
    <w:rsid w:val="32DC7485"/>
    <w:rsid w:val="33042538"/>
    <w:rsid w:val="330864CC"/>
    <w:rsid w:val="331210F9"/>
    <w:rsid w:val="331309CD"/>
    <w:rsid w:val="33274478"/>
    <w:rsid w:val="33363C3A"/>
    <w:rsid w:val="334212B2"/>
    <w:rsid w:val="33B51A84"/>
    <w:rsid w:val="33D91C17"/>
    <w:rsid w:val="33E443DD"/>
    <w:rsid w:val="34093F41"/>
    <w:rsid w:val="341C32A4"/>
    <w:rsid w:val="343628FC"/>
    <w:rsid w:val="34452E08"/>
    <w:rsid w:val="34545741"/>
    <w:rsid w:val="345E036E"/>
    <w:rsid w:val="346239BA"/>
    <w:rsid w:val="34735BC7"/>
    <w:rsid w:val="348222AE"/>
    <w:rsid w:val="34873421"/>
    <w:rsid w:val="348B4E91"/>
    <w:rsid w:val="348E2A01"/>
    <w:rsid w:val="349873DC"/>
    <w:rsid w:val="349D49F2"/>
    <w:rsid w:val="34A72CA1"/>
    <w:rsid w:val="34B561E0"/>
    <w:rsid w:val="34B93023"/>
    <w:rsid w:val="34FC45E3"/>
    <w:rsid w:val="350C3926"/>
    <w:rsid w:val="351472CF"/>
    <w:rsid w:val="35355D56"/>
    <w:rsid w:val="35662665"/>
    <w:rsid w:val="357716E7"/>
    <w:rsid w:val="357C6F4D"/>
    <w:rsid w:val="35977693"/>
    <w:rsid w:val="35AF70D3"/>
    <w:rsid w:val="35B446E9"/>
    <w:rsid w:val="35B93AAE"/>
    <w:rsid w:val="35CF507F"/>
    <w:rsid w:val="35F45959"/>
    <w:rsid w:val="36671BEA"/>
    <w:rsid w:val="367F4CF7"/>
    <w:rsid w:val="36BC40E8"/>
    <w:rsid w:val="36D52B69"/>
    <w:rsid w:val="36E96615"/>
    <w:rsid w:val="37AA5024"/>
    <w:rsid w:val="37B001A6"/>
    <w:rsid w:val="37EA2644"/>
    <w:rsid w:val="37F52D97"/>
    <w:rsid w:val="37FF0000"/>
    <w:rsid w:val="380354B4"/>
    <w:rsid w:val="381C54BD"/>
    <w:rsid w:val="386A72E1"/>
    <w:rsid w:val="386D5023"/>
    <w:rsid w:val="388016B2"/>
    <w:rsid w:val="38D62BC9"/>
    <w:rsid w:val="38F27A29"/>
    <w:rsid w:val="39061109"/>
    <w:rsid w:val="390905F7"/>
    <w:rsid w:val="394538AA"/>
    <w:rsid w:val="394E275F"/>
    <w:rsid w:val="394F497E"/>
    <w:rsid w:val="396F26D5"/>
    <w:rsid w:val="397E6910"/>
    <w:rsid w:val="399F2FBB"/>
    <w:rsid w:val="39F257E0"/>
    <w:rsid w:val="39F71049"/>
    <w:rsid w:val="3A86083B"/>
    <w:rsid w:val="3AD66FF7"/>
    <w:rsid w:val="3ADB6274"/>
    <w:rsid w:val="3AF6161D"/>
    <w:rsid w:val="3B201ED9"/>
    <w:rsid w:val="3B3D6F2F"/>
    <w:rsid w:val="3B8620A7"/>
    <w:rsid w:val="3B8B1A85"/>
    <w:rsid w:val="3BB13F2C"/>
    <w:rsid w:val="3BB865B6"/>
    <w:rsid w:val="3BBA78D7"/>
    <w:rsid w:val="3BD72EE0"/>
    <w:rsid w:val="3BE76F11"/>
    <w:rsid w:val="3C0D6901"/>
    <w:rsid w:val="3C7E335B"/>
    <w:rsid w:val="3CB2120C"/>
    <w:rsid w:val="3CC13300"/>
    <w:rsid w:val="3CE34A2F"/>
    <w:rsid w:val="3CF05F8A"/>
    <w:rsid w:val="3D021B78"/>
    <w:rsid w:val="3D18555E"/>
    <w:rsid w:val="3D98669F"/>
    <w:rsid w:val="3DCD1969"/>
    <w:rsid w:val="3E4800C5"/>
    <w:rsid w:val="3E772758"/>
    <w:rsid w:val="3E895FE7"/>
    <w:rsid w:val="3E8D5AD7"/>
    <w:rsid w:val="3EB968CD"/>
    <w:rsid w:val="3F253B64"/>
    <w:rsid w:val="3F332B9B"/>
    <w:rsid w:val="3F41694D"/>
    <w:rsid w:val="3F4C14EF"/>
    <w:rsid w:val="3F5D194E"/>
    <w:rsid w:val="3F696545"/>
    <w:rsid w:val="3FAC6EB4"/>
    <w:rsid w:val="3FC72862"/>
    <w:rsid w:val="3FDB5950"/>
    <w:rsid w:val="3FDE0033"/>
    <w:rsid w:val="402B370C"/>
    <w:rsid w:val="407707ED"/>
    <w:rsid w:val="40BA1049"/>
    <w:rsid w:val="40F736DC"/>
    <w:rsid w:val="41931657"/>
    <w:rsid w:val="41B617E9"/>
    <w:rsid w:val="42032ED0"/>
    <w:rsid w:val="42075BA1"/>
    <w:rsid w:val="42206C63"/>
    <w:rsid w:val="4226071D"/>
    <w:rsid w:val="42293D69"/>
    <w:rsid w:val="422F6EA6"/>
    <w:rsid w:val="424C7A58"/>
    <w:rsid w:val="425D7EB7"/>
    <w:rsid w:val="4261761C"/>
    <w:rsid w:val="427A6373"/>
    <w:rsid w:val="427F7E2D"/>
    <w:rsid w:val="429C278D"/>
    <w:rsid w:val="42B21FB1"/>
    <w:rsid w:val="42CF2B62"/>
    <w:rsid w:val="42DB43CC"/>
    <w:rsid w:val="42E9258D"/>
    <w:rsid w:val="4320171B"/>
    <w:rsid w:val="43207D76"/>
    <w:rsid w:val="43210EE4"/>
    <w:rsid w:val="43302ED5"/>
    <w:rsid w:val="433B4453"/>
    <w:rsid w:val="439E0619"/>
    <w:rsid w:val="43C755E8"/>
    <w:rsid w:val="43CD6976"/>
    <w:rsid w:val="43EE526A"/>
    <w:rsid w:val="43F263DD"/>
    <w:rsid w:val="440305EA"/>
    <w:rsid w:val="44325A4F"/>
    <w:rsid w:val="44427E0E"/>
    <w:rsid w:val="44450C02"/>
    <w:rsid w:val="444529B0"/>
    <w:rsid w:val="4453331F"/>
    <w:rsid w:val="445B0426"/>
    <w:rsid w:val="446217B4"/>
    <w:rsid w:val="448E6105"/>
    <w:rsid w:val="44A75419"/>
    <w:rsid w:val="44DC1567"/>
    <w:rsid w:val="458539AC"/>
    <w:rsid w:val="45C1250B"/>
    <w:rsid w:val="45E9524A"/>
    <w:rsid w:val="4631143E"/>
    <w:rsid w:val="463B050F"/>
    <w:rsid w:val="463B4609"/>
    <w:rsid w:val="466A4950"/>
    <w:rsid w:val="46737CA9"/>
    <w:rsid w:val="46CC73B9"/>
    <w:rsid w:val="46E12E64"/>
    <w:rsid w:val="471419D9"/>
    <w:rsid w:val="473A2B92"/>
    <w:rsid w:val="47CB7671"/>
    <w:rsid w:val="47DE1152"/>
    <w:rsid w:val="47E56984"/>
    <w:rsid w:val="47EF7803"/>
    <w:rsid w:val="47F146E5"/>
    <w:rsid w:val="4803505C"/>
    <w:rsid w:val="48147269"/>
    <w:rsid w:val="4819662E"/>
    <w:rsid w:val="4828061F"/>
    <w:rsid w:val="48486367"/>
    <w:rsid w:val="48535A00"/>
    <w:rsid w:val="48C6323D"/>
    <w:rsid w:val="48D92FB9"/>
    <w:rsid w:val="491D3EFC"/>
    <w:rsid w:val="49224889"/>
    <w:rsid w:val="4948139B"/>
    <w:rsid w:val="4968786D"/>
    <w:rsid w:val="497371A8"/>
    <w:rsid w:val="498D72D3"/>
    <w:rsid w:val="49B15E95"/>
    <w:rsid w:val="49B4660E"/>
    <w:rsid w:val="49DB1DED"/>
    <w:rsid w:val="49E862B8"/>
    <w:rsid w:val="49FB1F8A"/>
    <w:rsid w:val="4A2E4058"/>
    <w:rsid w:val="4ABB1C1E"/>
    <w:rsid w:val="4B3A254A"/>
    <w:rsid w:val="4B7F0E9E"/>
    <w:rsid w:val="4BE56F53"/>
    <w:rsid w:val="4C097FF4"/>
    <w:rsid w:val="4C15535E"/>
    <w:rsid w:val="4C59524B"/>
    <w:rsid w:val="4C6D4D20"/>
    <w:rsid w:val="4CA7245A"/>
    <w:rsid w:val="4CAE4534"/>
    <w:rsid w:val="4CB91BB2"/>
    <w:rsid w:val="4CDF7E46"/>
    <w:rsid w:val="4CF404E7"/>
    <w:rsid w:val="4D001B6A"/>
    <w:rsid w:val="4D4952BF"/>
    <w:rsid w:val="4D587BF8"/>
    <w:rsid w:val="4D665E71"/>
    <w:rsid w:val="4D6A3D78"/>
    <w:rsid w:val="4D862070"/>
    <w:rsid w:val="4D8B301D"/>
    <w:rsid w:val="4D8B3B2A"/>
    <w:rsid w:val="4DC67DC5"/>
    <w:rsid w:val="4E01107D"/>
    <w:rsid w:val="4E3B7E46"/>
    <w:rsid w:val="4E524648"/>
    <w:rsid w:val="4F3F5B27"/>
    <w:rsid w:val="4F674123"/>
    <w:rsid w:val="4F9F566B"/>
    <w:rsid w:val="4FE17B24"/>
    <w:rsid w:val="4FF0236A"/>
    <w:rsid w:val="50112F73"/>
    <w:rsid w:val="50332FF6"/>
    <w:rsid w:val="50463D38"/>
    <w:rsid w:val="505C2F0C"/>
    <w:rsid w:val="506C0A5D"/>
    <w:rsid w:val="50B11AF9"/>
    <w:rsid w:val="50E60896"/>
    <w:rsid w:val="512027DB"/>
    <w:rsid w:val="51265639"/>
    <w:rsid w:val="517A61C1"/>
    <w:rsid w:val="51823496"/>
    <w:rsid w:val="51AD6EE9"/>
    <w:rsid w:val="51D5269D"/>
    <w:rsid w:val="51E06B6F"/>
    <w:rsid w:val="52102850"/>
    <w:rsid w:val="522D51B0"/>
    <w:rsid w:val="523F3135"/>
    <w:rsid w:val="52477E77"/>
    <w:rsid w:val="52534FC4"/>
    <w:rsid w:val="529F4354"/>
    <w:rsid w:val="52B82CFC"/>
    <w:rsid w:val="52D27B05"/>
    <w:rsid w:val="52E2243E"/>
    <w:rsid w:val="53095C1D"/>
    <w:rsid w:val="5311062D"/>
    <w:rsid w:val="531E5924"/>
    <w:rsid w:val="53217A2E"/>
    <w:rsid w:val="53346B19"/>
    <w:rsid w:val="534529CD"/>
    <w:rsid w:val="5354676C"/>
    <w:rsid w:val="53B84F4D"/>
    <w:rsid w:val="53C51418"/>
    <w:rsid w:val="53D17DBD"/>
    <w:rsid w:val="53F046E7"/>
    <w:rsid w:val="54091C4C"/>
    <w:rsid w:val="541505F1"/>
    <w:rsid w:val="5415239F"/>
    <w:rsid w:val="54204AD9"/>
    <w:rsid w:val="54444A33"/>
    <w:rsid w:val="5463135D"/>
    <w:rsid w:val="54696247"/>
    <w:rsid w:val="54947768"/>
    <w:rsid w:val="54B971CF"/>
    <w:rsid w:val="54C87412"/>
    <w:rsid w:val="55264138"/>
    <w:rsid w:val="55326F81"/>
    <w:rsid w:val="55741347"/>
    <w:rsid w:val="5590653D"/>
    <w:rsid w:val="5637484F"/>
    <w:rsid w:val="56755377"/>
    <w:rsid w:val="5689497F"/>
    <w:rsid w:val="56A65050"/>
    <w:rsid w:val="56AE2263"/>
    <w:rsid w:val="56BA722E"/>
    <w:rsid w:val="57124D78"/>
    <w:rsid w:val="57672F12"/>
    <w:rsid w:val="578A02E3"/>
    <w:rsid w:val="579637F7"/>
    <w:rsid w:val="57DE42CB"/>
    <w:rsid w:val="57F048C0"/>
    <w:rsid w:val="581F37ED"/>
    <w:rsid w:val="588161D0"/>
    <w:rsid w:val="588D619C"/>
    <w:rsid w:val="58946989"/>
    <w:rsid w:val="58BB5129"/>
    <w:rsid w:val="58C82F04"/>
    <w:rsid w:val="58CD43C9"/>
    <w:rsid w:val="58D02D39"/>
    <w:rsid w:val="59012EF2"/>
    <w:rsid w:val="59246BE1"/>
    <w:rsid w:val="598C51B9"/>
    <w:rsid w:val="598D0C2A"/>
    <w:rsid w:val="59B461B6"/>
    <w:rsid w:val="59BC5475"/>
    <w:rsid w:val="5A076DF5"/>
    <w:rsid w:val="5A61633E"/>
    <w:rsid w:val="5A6F002E"/>
    <w:rsid w:val="5A84202D"/>
    <w:rsid w:val="5AC04A28"/>
    <w:rsid w:val="5AD22D98"/>
    <w:rsid w:val="5ADC59C5"/>
    <w:rsid w:val="5AF27EB5"/>
    <w:rsid w:val="5B0564BB"/>
    <w:rsid w:val="5B0B62AA"/>
    <w:rsid w:val="5B182775"/>
    <w:rsid w:val="5B190AFD"/>
    <w:rsid w:val="5B7B51DE"/>
    <w:rsid w:val="5B7C4AB2"/>
    <w:rsid w:val="5BA858A7"/>
    <w:rsid w:val="5C45712A"/>
    <w:rsid w:val="5C4B6848"/>
    <w:rsid w:val="5C6914DA"/>
    <w:rsid w:val="5C8560DD"/>
    <w:rsid w:val="5CAD3937"/>
    <w:rsid w:val="5CFD5D9B"/>
    <w:rsid w:val="5D172CE4"/>
    <w:rsid w:val="5D1A4582"/>
    <w:rsid w:val="5D521F6E"/>
    <w:rsid w:val="5D6D320C"/>
    <w:rsid w:val="5D867239"/>
    <w:rsid w:val="5D9F2CDA"/>
    <w:rsid w:val="5DFF5737"/>
    <w:rsid w:val="5E3478C6"/>
    <w:rsid w:val="5E3E0B1F"/>
    <w:rsid w:val="5E4C2E61"/>
    <w:rsid w:val="5EDC2437"/>
    <w:rsid w:val="5F08322C"/>
    <w:rsid w:val="5F2E07B9"/>
    <w:rsid w:val="5F4B136B"/>
    <w:rsid w:val="5F5C5326"/>
    <w:rsid w:val="5F6848B5"/>
    <w:rsid w:val="5FB526C2"/>
    <w:rsid w:val="5FC86518"/>
    <w:rsid w:val="5FD0361E"/>
    <w:rsid w:val="5FF5459B"/>
    <w:rsid w:val="5FFF5CB2"/>
    <w:rsid w:val="600D6620"/>
    <w:rsid w:val="60172FFB"/>
    <w:rsid w:val="601C6864"/>
    <w:rsid w:val="602A71D2"/>
    <w:rsid w:val="602E479C"/>
    <w:rsid w:val="60411174"/>
    <w:rsid w:val="607E413E"/>
    <w:rsid w:val="608C36CF"/>
    <w:rsid w:val="60DF1D6B"/>
    <w:rsid w:val="60FD6695"/>
    <w:rsid w:val="61291238"/>
    <w:rsid w:val="61734BA9"/>
    <w:rsid w:val="61AE798F"/>
    <w:rsid w:val="61BC3E5A"/>
    <w:rsid w:val="61BD7BD2"/>
    <w:rsid w:val="61F01D56"/>
    <w:rsid w:val="62AA63A9"/>
    <w:rsid w:val="62B31701"/>
    <w:rsid w:val="62DE08DA"/>
    <w:rsid w:val="62F13FD7"/>
    <w:rsid w:val="632C3261"/>
    <w:rsid w:val="633C1939"/>
    <w:rsid w:val="63417BC0"/>
    <w:rsid w:val="635A09AF"/>
    <w:rsid w:val="63715118"/>
    <w:rsid w:val="639A01CB"/>
    <w:rsid w:val="63A83C11"/>
    <w:rsid w:val="63CF27AA"/>
    <w:rsid w:val="63DC4C88"/>
    <w:rsid w:val="63DD455C"/>
    <w:rsid w:val="63F16830"/>
    <w:rsid w:val="64265F03"/>
    <w:rsid w:val="643979E4"/>
    <w:rsid w:val="645C36D2"/>
    <w:rsid w:val="6486074F"/>
    <w:rsid w:val="648F3AA8"/>
    <w:rsid w:val="64990483"/>
    <w:rsid w:val="649E018F"/>
    <w:rsid w:val="64AC465A"/>
    <w:rsid w:val="64DA2918"/>
    <w:rsid w:val="650C0719"/>
    <w:rsid w:val="65110961"/>
    <w:rsid w:val="65121E2E"/>
    <w:rsid w:val="651B17E0"/>
    <w:rsid w:val="653463FD"/>
    <w:rsid w:val="657725B7"/>
    <w:rsid w:val="65AA74AB"/>
    <w:rsid w:val="65B1676A"/>
    <w:rsid w:val="65EC0A86"/>
    <w:rsid w:val="66212E26"/>
    <w:rsid w:val="662C5A2D"/>
    <w:rsid w:val="663A7A43"/>
    <w:rsid w:val="66777380"/>
    <w:rsid w:val="66A53189"/>
    <w:rsid w:val="66AE01F7"/>
    <w:rsid w:val="66B94E0C"/>
    <w:rsid w:val="66BF39E6"/>
    <w:rsid w:val="66E04A8F"/>
    <w:rsid w:val="671738B5"/>
    <w:rsid w:val="671E75A8"/>
    <w:rsid w:val="67236729"/>
    <w:rsid w:val="6727621A"/>
    <w:rsid w:val="674478AF"/>
    <w:rsid w:val="67584625"/>
    <w:rsid w:val="676D1F05"/>
    <w:rsid w:val="67982C74"/>
    <w:rsid w:val="67B37756"/>
    <w:rsid w:val="67CA160B"/>
    <w:rsid w:val="67CC6DC1"/>
    <w:rsid w:val="67F325A0"/>
    <w:rsid w:val="68065CA9"/>
    <w:rsid w:val="683048C4"/>
    <w:rsid w:val="689E075E"/>
    <w:rsid w:val="68A64A12"/>
    <w:rsid w:val="68BE5046"/>
    <w:rsid w:val="68C552A4"/>
    <w:rsid w:val="68D47CFA"/>
    <w:rsid w:val="69021317"/>
    <w:rsid w:val="692362F0"/>
    <w:rsid w:val="693966D8"/>
    <w:rsid w:val="6956626E"/>
    <w:rsid w:val="696F20FA"/>
    <w:rsid w:val="698545CE"/>
    <w:rsid w:val="698A6A59"/>
    <w:rsid w:val="699B6A4B"/>
    <w:rsid w:val="699F653B"/>
    <w:rsid w:val="69A83791"/>
    <w:rsid w:val="69C40A7B"/>
    <w:rsid w:val="6A1C39CC"/>
    <w:rsid w:val="6A305056"/>
    <w:rsid w:val="6A470981"/>
    <w:rsid w:val="6A786D8C"/>
    <w:rsid w:val="6A876FCF"/>
    <w:rsid w:val="6A890F99"/>
    <w:rsid w:val="6AE54422"/>
    <w:rsid w:val="6B036F9E"/>
    <w:rsid w:val="6B122D3D"/>
    <w:rsid w:val="6B680BAF"/>
    <w:rsid w:val="6B713F07"/>
    <w:rsid w:val="6BC93D43"/>
    <w:rsid w:val="6BD66460"/>
    <w:rsid w:val="6BE566A3"/>
    <w:rsid w:val="6BFC7F2A"/>
    <w:rsid w:val="6C156F89"/>
    <w:rsid w:val="6C801D16"/>
    <w:rsid w:val="6C84090E"/>
    <w:rsid w:val="6C904861"/>
    <w:rsid w:val="6C924135"/>
    <w:rsid w:val="6C9854C4"/>
    <w:rsid w:val="6C9F4AA4"/>
    <w:rsid w:val="6CB93DB8"/>
    <w:rsid w:val="6D374CDD"/>
    <w:rsid w:val="6D4C4C2C"/>
    <w:rsid w:val="6D504E7C"/>
    <w:rsid w:val="6D6104D7"/>
    <w:rsid w:val="6D8B4843"/>
    <w:rsid w:val="6D9E0315"/>
    <w:rsid w:val="6DAD31F1"/>
    <w:rsid w:val="6E396833"/>
    <w:rsid w:val="6E421B8B"/>
    <w:rsid w:val="6E643EC2"/>
    <w:rsid w:val="6E821877"/>
    <w:rsid w:val="6EA6211A"/>
    <w:rsid w:val="6EE36ECA"/>
    <w:rsid w:val="6EF93BCC"/>
    <w:rsid w:val="6EFD5DE6"/>
    <w:rsid w:val="6F2B0E77"/>
    <w:rsid w:val="6F374222"/>
    <w:rsid w:val="6F3C1412"/>
    <w:rsid w:val="6F7D7748"/>
    <w:rsid w:val="6F803C52"/>
    <w:rsid w:val="70111809"/>
    <w:rsid w:val="707B1384"/>
    <w:rsid w:val="70A34CC6"/>
    <w:rsid w:val="70CE3BAA"/>
    <w:rsid w:val="70DF026E"/>
    <w:rsid w:val="70EE7DA8"/>
    <w:rsid w:val="71094BE2"/>
    <w:rsid w:val="71374BF4"/>
    <w:rsid w:val="71496EA2"/>
    <w:rsid w:val="716B31A7"/>
    <w:rsid w:val="717C1858"/>
    <w:rsid w:val="71B53166"/>
    <w:rsid w:val="725923C3"/>
    <w:rsid w:val="7259282C"/>
    <w:rsid w:val="726227FC"/>
    <w:rsid w:val="72710C91"/>
    <w:rsid w:val="7298446F"/>
    <w:rsid w:val="72CC4119"/>
    <w:rsid w:val="72D8486C"/>
    <w:rsid w:val="72F139D2"/>
    <w:rsid w:val="72F61A57"/>
    <w:rsid w:val="73335F46"/>
    <w:rsid w:val="733A72D5"/>
    <w:rsid w:val="736425A4"/>
    <w:rsid w:val="73A86934"/>
    <w:rsid w:val="73B47087"/>
    <w:rsid w:val="73C07464"/>
    <w:rsid w:val="73DA4614"/>
    <w:rsid w:val="73DD4830"/>
    <w:rsid w:val="73E51BD5"/>
    <w:rsid w:val="73EC7679"/>
    <w:rsid w:val="745368A0"/>
    <w:rsid w:val="746A1E3C"/>
    <w:rsid w:val="746D46BF"/>
    <w:rsid w:val="74A7099A"/>
    <w:rsid w:val="74AC5FB0"/>
    <w:rsid w:val="74B404B4"/>
    <w:rsid w:val="74EB7BF8"/>
    <w:rsid w:val="74EC2851"/>
    <w:rsid w:val="75071439"/>
    <w:rsid w:val="753164B5"/>
    <w:rsid w:val="75662603"/>
    <w:rsid w:val="757C1E26"/>
    <w:rsid w:val="759A04FF"/>
    <w:rsid w:val="75BE41ED"/>
    <w:rsid w:val="75D45F09"/>
    <w:rsid w:val="760A11E0"/>
    <w:rsid w:val="76277FE4"/>
    <w:rsid w:val="763E70DC"/>
    <w:rsid w:val="766C3C49"/>
    <w:rsid w:val="766E4406"/>
    <w:rsid w:val="76733229"/>
    <w:rsid w:val="76A71125"/>
    <w:rsid w:val="76AF7FDA"/>
    <w:rsid w:val="76B07F83"/>
    <w:rsid w:val="76E063E5"/>
    <w:rsid w:val="76E5745B"/>
    <w:rsid w:val="771737AE"/>
    <w:rsid w:val="7737398B"/>
    <w:rsid w:val="773D3837"/>
    <w:rsid w:val="778C2EFE"/>
    <w:rsid w:val="77974E23"/>
    <w:rsid w:val="77F24622"/>
    <w:rsid w:val="785E1CB7"/>
    <w:rsid w:val="78B83176"/>
    <w:rsid w:val="78EA3849"/>
    <w:rsid w:val="79053EE1"/>
    <w:rsid w:val="790F17E1"/>
    <w:rsid w:val="79627585"/>
    <w:rsid w:val="796B643A"/>
    <w:rsid w:val="798E1C86"/>
    <w:rsid w:val="79960FDD"/>
    <w:rsid w:val="79975481"/>
    <w:rsid w:val="79AD6A52"/>
    <w:rsid w:val="79DC2E94"/>
    <w:rsid w:val="79E81839"/>
    <w:rsid w:val="7A715CD2"/>
    <w:rsid w:val="7A990D85"/>
    <w:rsid w:val="7AA250E0"/>
    <w:rsid w:val="7AA732DC"/>
    <w:rsid w:val="7AF1471D"/>
    <w:rsid w:val="7AFF05D4"/>
    <w:rsid w:val="7B0C77A9"/>
    <w:rsid w:val="7B25086A"/>
    <w:rsid w:val="7B317CAA"/>
    <w:rsid w:val="7B4707E1"/>
    <w:rsid w:val="7B5353D8"/>
    <w:rsid w:val="7B5829EE"/>
    <w:rsid w:val="7B841A35"/>
    <w:rsid w:val="7B8A691F"/>
    <w:rsid w:val="7B922A66"/>
    <w:rsid w:val="7B971768"/>
    <w:rsid w:val="7BC50773"/>
    <w:rsid w:val="7BCB471D"/>
    <w:rsid w:val="7C0E57A2"/>
    <w:rsid w:val="7C427715"/>
    <w:rsid w:val="7C547659"/>
    <w:rsid w:val="7C5F4481"/>
    <w:rsid w:val="7C6B49A3"/>
    <w:rsid w:val="7C772DC5"/>
    <w:rsid w:val="7C7831AD"/>
    <w:rsid w:val="7C852F74"/>
    <w:rsid w:val="7C9D4450"/>
    <w:rsid w:val="7CB80BC7"/>
    <w:rsid w:val="7CD04806"/>
    <w:rsid w:val="7CE24C65"/>
    <w:rsid w:val="7D100C84"/>
    <w:rsid w:val="7D2B192C"/>
    <w:rsid w:val="7D3C3706"/>
    <w:rsid w:val="7DC720AD"/>
    <w:rsid w:val="7DC9372F"/>
    <w:rsid w:val="7E097FCF"/>
    <w:rsid w:val="7E4A21E6"/>
    <w:rsid w:val="7E4D4360"/>
    <w:rsid w:val="7E994021"/>
    <w:rsid w:val="7EA877E8"/>
    <w:rsid w:val="7EB50157"/>
    <w:rsid w:val="7EC92027"/>
    <w:rsid w:val="7EE3502B"/>
    <w:rsid w:val="7EFB22BF"/>
    <w:rsid w:val="7EFB5132"/>
    <w:rsid w:val="7F007624"/>
    <w:rsid w:val="7F20116E"/>
    <w:rsid w:val="7F250E39"/>
    <w:rsid w:val="7F484B27"/>
    <w:rsid w:val="7F5F4120"/>
    <w:rsid w:val="7F641565"/>
    <w:rsid w:val="7F7D3A93"/>
    <w:rsid w:val="7F820039"/>
    <w:rsid w:val="7FC20D7E"/>
    <w:rsid w:val="7FCC732F"/>
    <w:rsid w:val="7FD05249"/>
    <w:rsid w:val="7FD965CA"/>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5"/>
    <w:semiHidden/>
    <w:unhideWhenUsed/>
    <w:qFormat/>
    <w:uiPriority w:val="0"/>
    <w:pPr>
      <w:keepNext/>
      <w:keepLines/>
      <w:spacing w:before="260" w:after="260" w:line="416" w:lineRule="auto"/>
      <w:outlineLvl w:val="1"/>
    </w:pPr>
    <w:rPr>
      <w:rFonts w:ascii="Cambria" w:hAnsi="Cambria"/>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Document Map"/>
    <w:basedOn w:val="1"/>
    <w:semiHidden/>
    <w:qFormat/>
    <w:uiPriority w:val="0"/>
    <w:pPr>
      <w:shd w:val="clear" w:color="auto" w:fill="000080"/>
    </w:pPr>
  </w:style>
  <w:style w:type="paragraph" w:styleId="5">
    <w:name w:val="Body Text Indent"/>
    <w:basedOn w:val="1"/>
    <w:qFormat/>
    <w:uiPriority w:val="0"/>
    <w:pPr>
      <w:ind w:firstLine="640" w:firstLineChars="200"/>
    </w:pPr>
    <w:rPr>
      <w:sz w:val="32"/>
    </w:rPr>
  </w:style>
  <w:style w:type="paragraph" w:styleId="6">
    <w:name w:val="Block Text"/>
    <w:basedOn w:val="1"/>
    <w:qFormat/>
    <w:uiPriority w:val="0"/>
    <w:pPr>
      <w:ind w:left="540" w:right="-90" w:firstLine="570"/>
    </w:pPr>
    <w:rPr>
      <w:sz w:val="28"/>
      <w:szCs w:val="20"/>
    </w:rPr>
  </w:style>
  <w:style w:type="paragraph" w:styleId="7">
    <w:name w:val="Plain Text"/>
    <w:basedOn w:val="1"/>
    <w:link w:val="26"/>
    <w:qFormat/>
    <w:uiPriority w:val="0"/>
    <w:pPr>
      <w:autoSpaceDE w:val="0"/>
      <w:autoSpaceDN w:val="0"/>
      <w:adjustRightInd w:val="0"/>
      <w:spacing w:line="312" w:lineRule="atLeast"/>
    </w:pPr>
    <w:rPr>
      <w:rFonts w:ascii="Courier New" w:hAnsi="Courier New"/>
    </w:rPr>
  </w:style>
  <w:style w:type="paragraph" w:styleId="8">
    <w:name w:val="Date"/>
    <w:basedOn w:val="1"/>
    <w:next w:val="1"/>
    <w:qFormat/>
    <w:uiPriority w:val="0"/>
    <w:pPr>
      <w:ind w:left="100" w:leftChars="2500"/>
    </w:pPr>
    <w:rPr>
      <w:sz w:val="32"/>
    </w:rPr>
  </w:style>
  <w:style w:type="paragraph" w:styleId="9">
    <w:name w:val="Body Text Indent 2"/>
    <w:basedOn w:val="1"/>
    <w:qFormat/>
    <w:uiPriority w:val="0"/>
    <w:pPr>
      <w:ind w:firstLine="560" w:firstLineChars="200"/>
    </w:pPr>
    <w:rPr>
      <w:sz w:val="2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303"/>
      </w:tabs>
    </w:pPr>
    <w:rPr>
      <w:sz w:val="28"/>
    </w:rPr>
  </w:style>
  <w:style w:type="paragraph" w:styleId="13">
    <w:name w:val="Body Text Indent 3"/>
    <w:basedOn w:val="1"/>
    <w:qFormat/>
    <w:uiPriority w:val="0"/>
    <w:pPr>
      <w:ind w:left="641"/>
      <w:outlineLvl w:val="0"/>
    </w:pPr>
    <w:rPr>
      <w:sz w:val="28"/>
    </w:rPr>
  </w:style>
  <w:style w:type="paragraph" w:styleId="14">
    <w:name w:val="toc 2"/>
    <w:basedOn w:val="1"/>
    <w:next w:val="1"/>
    <w:qFormat/>
    <w:uiPriority w:val="39"/>
    <w:pPr>
      <w:ind w:left="420" w:leftChars="200"/>
    </w:pPr>
    <w:rPr>
      <w:sz w:val="24"/>
    </w:rPr>
  </w:style>
  <w:style w:type="paragraph" w:styleId="15">
    <w:name w:val="HTML Preformatted"/>
    <w:basedOn w:val="1"/>
    <w:link w:val="2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Title"/>
    <w:basedOn w:val="1"/>
    <w:next w:val="1"/>
    <w:link w:val="23"/>
    <w:qFormat/>
    <w:uiPriority w:val="0"/>
    <w:pPr>
      <w:spacing w:before="240" w:after="60"/>
      <w:jc w:val="center"/>
      <w:outlineLvl w:val="0"/>
    </w:pPr>
    <w:rPr>
      <w:rFonts w:ascii="Cambria" w:hAnsi="Cambria"/>
      <w:b/>
      <w:bCs/>
      <w:sz w:val="32"/>
      <w:szCs w:val="32"/>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basedOn w:val="19"/>
    <w:unhideWhenUsed/>
    <w:qFormat/>
    <w:uiPriority w:val="99"/>
    <w:rPr>
      <w:color w:val="0000FF"/>
      <w:u w:val="single"/>
    </w:rPr>
  </w:style>
  <w:style w:type="paragraph" w:customStyle="1" w:styleId="22">
    <w:name w:val="默认段落字体 Para Char Char Char Char Char Char Char"/>
    <w:basedOn w:val="1"/>
    <w:qFormat/>
    <w:uiPriority w:val="0"/>
    <w:rPr>
      <w:rFonts w:ascii="Tahoma" w:hAnsi="Tahoma"/>
      <w:sz w:val="24"/>
      <w:szCs w:val="20"/>
    </w:rPr>
  </w:style>
  <w:style w:type="character" w:customStyle="1" w:styleId="23">
    <w:name w:val="标题 Char"/>
    <w:basedOn w:val="19"/>
    <w:link w:val="16"/>
    <w:qFormat/>
    <w:uiPriority w:val="0"/>
    <w:rPr>
      <w:rFonts w:ascii="Cambria" w:hAnsi="Cambria"/>
      <w:b/>
      <w:bCs/>
      <w:kern w:val="2"/>
      <w:sz w:val="32"/>
      <w:szCs w:val="32"/>
    </w:rPr>
  </w:style>
  <w:style w:type="character" w:customStyle="1" w:styleId="24">
    <w:name w:val="标题 1 Char"/>
    <w:basedOn w:val="19"/>
    <w:link w:val="2"/>
    <w:qFormat/>
    <w:uiPriority w:val="0"/>
    <w:rPr>
      <w:b/>
      <w:bCs/>
      <w:kern w:val="44"/>
      <w:sz w:val="44"/>
      <w:szCs w:val="44"/>
    </w:rPr>
  </w:style>
  <w:style w:type="character" w:customStyle="1" w:styleId="25">
    <w:name w:val="标题 2 Char"/>
    <w:basedOn w:val="19"/>
    <w:link w:val="3"/>
    <w:semiHidden/>
    <w:qFormat/>
    <w:uiPriority w:val="0"/>
    <w:rPr>
      <w:rFonts w:ascii="Cambria" w:hAnsi="Cambria" w:eastAsia="宋体" w:cs="Times New Roman"/>
      <w:b/>
      <w:bCs/>
      <w:kern w:val="2"/>
      <w:sz w:val="32"/>
      <w:szCs w:val="32"/>
    </w:rPr>
  </w:style>
  <w:style w:type="character" w:customStyle="1" w:styleId="26">
    <w:name w:val="纯文本 Char"/>
    <w:basedOn w:val="19"/>
    <w:link w:val="7"/>
    <w:qFormat/>
    <w:uiPriority w:val="0"/>
    <w:rPr>
      <w:rFonts w:ascii="Courier New" w:hAnsi="Courier New"/>
      <w:kern w:val="2"/>
      <w:sz w:val="21"/>
      <w:szCs w:val="24"/>
    </w:rPr>
  </w:style>
  <w:style w:type="character" w:customStyle="1" w:styleId="27">
    <w:name w:val="HTML 预设格式 Char"/>
    <w:basedOn w:val="19"/>
    <w:link w:val="15"/>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textRotate="1"/>
    <customShpInfo spid="_x0000_s4099"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7A074C-CF00-40EB-AB88-5039B158DB59}">
  <ds:schemaRefs/>
</ds:datastoreItem>
</file>

<file path=docProps/app.xml><?xml version="1.0" encoding="utf-8"?>
<Properties xmlns="http://schemas.openxmlformats.org/officeDocument/2006/extended-properties" xmlns:vt="http://schemas.openxmlformats.org/officeDocument/2006/docPropsVTypes">
  <Template>Normal</Template>
  <Company>xgfcz</Company>
  <Pages>21</Pages>
  <Words>7905</Words>
  <Characters>9278</Characters>
  <Lines>62</Lines>
  <Paragraphs>17</Paragraphs>
  <TotalTime>13</TotalTime>
  <ScaleCrop>false</ScaleCrop>
  <LinksUpToDate>false</LinksUpToDate>
  <CharactersWithSpaces>9477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2017-12-12T09:16:00Z</dcterms:created>
  <dc:creator>lzy</dc:creator>
  <cp:lastModifiedBy>程凤</cp:lastModifiedBy>
  <cp:lastPrinted>2021-10-10T09:36:00Z</cp:lastPrinted>
  <dcterms:modified xsi:type="dcterms:W3CDTF">2022-08-24T01:00:57Z</dcterms:modified>
  <dc:title>目      录</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D05492FCF3BC4C1093B4893F8E95CCCF</vt:lpwstr>
  </property>
</Properties>
</file>