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48" w:rsidRDefault="006A33AA">
      <w:pPr>
        <w:jc w:val="center"/>
        <w:rPr>
          <w:rFonts w:ascii="宋体" w:hAnsi="宋体"/>
          <w:b/>
          <w:bCs/>
          <w:sz w:val="72"/>
        </w:rPr>
      </w:pPr>
      <w:r>
        <w:rPr>
          <w:rFonts w:ascii="宋体" w:hAnsi="宋体" w:hint="eastAsia"/>
          <w:b/>
          <w:bCs/>
          <w:sz w:val="72"/>
        </w:rPr>
        <w:t xml:space="preserve"> </w:t>
      </w:r>
    </w:p>
    <w:p w:rsidR="00DF6B48" w:rsidRDefault="00DF6B48">
      <w:pPr>
        <w:jc w:val="center"/>
        <w:rPr>
          <w:rFonts w:ascii="宋体" w:hAnsi="宋体"/>
          <w:b/>
          <w:bCs/>
          <w:szCs w:val="21"/>
        </w:rPr>
      </w:pPr>
    </w:p>
    <w:p w:rsidR="00DF6B48" w:rsidRDefault="006A33AA">
      <w:pPr>
        <w:jc w:val="center"/>
        <w:rPr>
          <w:rFonts w:ascii="宋体" w:hAnsi="宋体"/>
          <w:b/>
          <w:bCs/>
          <w:sz w:val="52"/>
          <w:szCs w:val="52"/>
        </w:rPr>
      </w:pPr>
      <w:proofErr w:type="gramStart"/>
      <w:r>
        <w:rPr>
          <w:rFonts w:ascii="宋体" w:hAnsi="宋体" w:hint="eastAsia"/>
          <w:b/>
          <w:bCs/>
          <w:sz w:val="52"/>
          <w:szCs w:val="52"/>
        </w:rPr>
        <w:t>涉执房地产</w:t>
      </w:r>
      <w:proofErr w:type="gramEnd"/>
      <w:r>
        <w:rPr>
          <w:rFonts w:ascii="宋体" w:hAnsi="宋体" w:hint="eastAsia"/>
          <w:b/>
          <w:bCs/>
          <w:sz w:val="52"/>
          <w:szCs w:val="52"/>
        </w:rPr>
        <w:t>处置司法评估报告</w:t>
      </w:r>
    </w:p>
    <w:p w:rsidR="00DF6B48" w:rsidRDefault="006A33AA">
      <w:pPr>
        <w:jc w:val="center"/>
        <w:rPr>
          <w:rFonts w:ascii="宋体" w:hAnsi="宋体"/>
          <w:spacing w:val="-2"/>
          <w:sz w:val="36"/>
        </w:rPr>
      </w:pPr>
      <w:r>
        <w:rPr>
          <w:rFonts w:ascii="宋体" w:hAnsi="宋体" w:hint="eastAsia"/>
          <w:noProof/>
          <w:spacing w:val="-2"/>
          <w:sz w:val="36"/>
        </w:rPr>
        <w:drawing>
          <wp:inline distT="0" distB="0" distL="114300" distR="114300">
            <wp:extent cx="4364355" cy="3274695"/>
            <wp:effectExtent l="0" t="0" r="17145" b="1905"/>
            <wp:docPr id="1" name="图片 1" descr="微信图片_2022072114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721143922"/>
                    <pic:cNvPicPr>
                      <a:picLocks noChangeAspect="1"/>
                    </pic:cNvPicPr>
                  </pic:nvPicPr>
                  <pic:blipFill>
                    <a:blip r:embed="rId9"/>
                    <a:stretch>
                      <a:fillRect/>
                    </a:stretch>
                  </pic:blipFill>
                  <pic:spPr>
                    <a:xfrm>
                      <a:off x="0" y="0"/>
                      <a:ext cx="4364355" cy="3274695"/>
                    </a:xfrm>
                    <a:prstGeom prst="rect">
                      <a:avLst/>
                    </a:prstGeom>
                  </pic:spPr>
                </pic:pic>
              </a:graphicData>
            </a:graphic>
          </wp:inline>
        </w:drawing>
      </w:r>
    </w:p>
    <w:p w:rsidR="00DF6B48" w:rsidRDefault="006A33AA">
      <w:pPr>
        <w:tabs>
          <w:tab w:val="left" w:pos="2520"/>
        </w:tabs>
        <w:spacing w:line="560" w:lineRule="exact"/>
        <w:ind w:left="2646" w:hangingChars="675" w:hanging="2646"/>
        <w:rPr>
          <w:rFonts w:ascii="宋体" w:hAnsi="宋体"/>
          <w:sz w:val="28"/>
          <w:szCs w:val="28"/>
        </w:rPr>
      </w:pPr>
      <w:r>
        <w:rPr>
          <w:rFonts w:ascii="宋体" w:hAnsi="宋体" w:hint="eastAsia"/>
          <w:spacing w:val="56"/>
          <w:kern w:val="0"/>
          <w:sz w:val="28"/>
          <w:szCs w:val="28"/>
          <w:fitText w:val="2243" w:id="1396459008"/>
        </w:rPr>
        <w:t>估价报告编</w:t>
      </w:r>
      <w:r>
        <w:rPr>
          <w:rFonts w:ascii="宋体" w:hAnsi="宋体" w:hint="eastAsia"/>
          <w:spacing w:val="1"/>
          <w:kern w:val="0"/>
          <w:sz w:val="28"/>
          <w:szCs w:val="28"/>
          <w:fitText w:val="2243" w:id="1396459008"/>
        </w:rPr>
        <w:t>号</w:t>
      </w:r>
      <w:r>
        <w:rPr>
          <w:rFonts w:ascii="宋体" w:hAnsi="宋体" w:hint="eastAsia"/>
          <w:spacing w:val="40"/>
          <w:sz w:val="28"/>
        </w:rPr>
        <w:t>：</w:t>
      </w:r>
      <w:r>
        <w:rPr>
          <w:rFonts w:ascii="宋体" w:hAnsi="宋体" w:hint="eastAsia"/>
          <w:spacing w:val="40"/>
          <w:sz w:val="28"/>
        </w:rPr>
        <w:t xml:space="preserve"> </w:t>
      </w:r>
      <w:bookmarkStart w:id="0" w:name="_GoBack"/>
      <w:r>
        <w:rPr>
          <w:rFonts w:ascii="宋体" w:hAnsi="宋体" w:hint="eastAsia"/>
          <w:sz w:val="28"/>
          <w:szCs w:val="28"/>
        </w:rPr>
        <w:t>福建</w:t>
      </w:r>
      <w:proofErr w:type="gramStart"/>
      <w:r>
        <w:rPr>
          <w:rFonts w:ascii="宋体" w:hAnsi="宋体" w:hint="eastAsia"/>
          <w:sz w:val="28"/>
          <w:szCs w:val="28"/>
        </w:rPr>
        <w:t>宁朗估字</w:t>
      </w:r>
      <w:proofErr w:type="gramEnd"/>
      <w:r>
        <w:rPr>
          <w:rFonts w:ascii="宋体" w:hAnsi="宋体" w:hint="eastAsia"/>
          <w:sz w:val="28"/>
          <w:szCs w:val="28"/>
        </w:rPr>
        <w:t>[202</w:t>
      </w:r>
      <w:r>
        <w:rPr>
          <w:rFonts w:ascii="宋体" w:hAnsi="宋体"/>
          <w:sz w:val="28"/>
          <w:szCs w:val="28"/>
        </w:rPr>
        <w:t>2</w:t>
      </w:r>
      <w:r>
        <w:rPr>
          <w:rFonts w:ascii="宋体" w:hAnsi="宋体" w:hint="eastAsia"/>
          <w:sz w:val="28"/>
          <w:szCs w:val="28"/>
        </w:rPr>
        <w:t>]</w:t>
      </w:r>
      <w:r>
        <w:rPr>
          <w:rFonts w:ascii="宋体" w:hAnsi="宋体" w:hint="eastAsia"/>
          <w:sz w:val="28"/>
          <w:szCs w:val="28"/>
        </w:rPr>
        <w:t>第</w:t>
      </w:r>
      <w:r>
        <w:rPr>
          <w:rFonts w:ascii="宋体" w:hAnsi="宋体" w:hint="eastAsia"/>
          <w:sz w:val="28"/>
          <w:szCs w:val="28"/>
        </w:rPr>
        <w:t>A043</w:t>
      </w:r>
      <w:r>
        <w:rPr>
          <w:rFonts w:ascii="宋体" w:hAnsi="宋体" w:hint="eastAsia"/>
          <w:sz w:val="28"/>
          <w:szCs w:val="28"/>
        </w:rPr>
        <w:t>号</w:t>
      </w:r>
      <w:bookmarkEnd w:id="0"/>
    </w:p>
    <w:p w:rsidR="00DF6B48" w:rsidRDefault="006A33AA">
      <w:pPr>
        <w:tabs>
          <w:tab w:val="left" w:pos="3544"/>
        </w:tabs>
        <w:spacing w:line="560" w:lineRule="exact"/>
        <w:ind w:leftChars="-1" w:left="2832" w:rightChars="-138" w:right="-290" w:hangingChars="723" w:hanging="2834"/>
        <w:jc w:val="left"/>
        <w:rPr>
          <w:rFonts w:ascii="宋体" w:hAnsi="宋体"/>
          <w:b/>
          <w:sz w:val="28"/>
        </w:rPr>
      </w:pPr>
      <w:r>
        <w:rPr>
          <w:rFonts w:ascii="宋体" w:hAnsi="宋体" w:hint="eastAsia"/>
          <w:spacing w:val="56"/>
          <w:kern w:val="0"/>
          <w:sz w:val="28"/>
          <w:szCs w:val="28"/>
          <w:fitText w:val="2243" w:id="742570752"/>
        </w:rPr>
        <w:t>估价项目名</w:t>
      </w:r>
      <w:r>
        <w:rPr>
          <w:rFonts w:ascii="宋体" w:hAnsi="宋体" w:hint="eastAsia"/>
          <w:spacing w:val="1"/>
          <w:kern w:val="0"/>
          <w:sz w:val="28"/>
          <w:szCs w:val="28"/>
          <w:fitText w:val="2243" w:id="742570752"/>
        </w:rPr>
        <w:t>称</w:t>
      </w:r>
      <w:r>
        <w:rPr>
          <w:rFonts w:ascii="宋体" w:hAnsi="宋体" w:hint="eastAsia"/>
          <w:b/>
          <w:spacing w:val="40"/>
          <w:sz w:val="28"/>
          <w:szCs w:val="28"/>
        </w:rPr>
        <w:t>：</w:t>
      </w:r>
      <w:r>
        <w:rPr>
          <w:rFonts w:ascii="宋体" w:hAnsi="宋体" w:hint="eastAsia"/>
          <w:b/>
          <w:spacing w:val="40"/>
          <w:sz w:val="28"/>
          <w:szCs w:val="28"/>
        </w:rPr>
        <w:t xml:space="preserve"> </w:t>
      </w:r>
      <w:proofErr w:type="gramStart"/>
      <w:r>
        <w:rPr>
          <w:rFonts w:ascii="宋体" w:hAnsi="宋体" w:hint="eastAsia"/>
          <w:sz w:val="28"/>
          <w:szCs w:val="28"/>
        </w:rPr>
        <w:t>林成场位于</w:t>
      </w:r>
      <w:proofErr w:type="gramEnd"/>
      <w:r>
        <w:rPr>
          <w:rFonts w:ascii="宋体" w:hAnsi="宋体" w:hint="eastAsia"/>
          <w:sz w:val="28"/>
          <w:szCs w:val="28"/>
        </w:rPr>
        <w:t>晋江市迎宾路</w:t>
      </w:r>
      <w:r>
        <w:rPr>
          <w:rFonts w:ascii="宋体" w:hAnsi="宋体" w:hint="eastAsia"/>
          <w:sz w:val="28"/>
          <w:szCs w:val="28"/>
        </w:rPr>
        <w:t>532</w:t>
      </w:r>
      <w:r>
        <w:rPr>
          <w:rFonts w:ascii="宋体" w:hAnsi="宋体" w:hint="eastAsia"/>
          <w:sz w:val="28"/>
          <w:szCs w:val="28"/>
        </w:rPr>
        <w:t>号</w:t>
      </w:r>
      <w:proofErr w:type="gramStart"/>
      <w:r>
        <w:rPr>
          <w:rFonts w:ascii="宋体" w:hAnsi="宋体" w:hint="eastAsia"/>
          <w:sz w:val="28"/>
          <w:szCs w:val="28"/>
        </w:rPr>
        <w:t>浔</w:t>
      </w:r>
      <w:proofErr w:type="gramEnd"/>
      <w:r>
        <w:rPr>
          <w:rFonts w:ascii="宋体" w:hAnsi="宋体" w:hint="eastAsia"/>
          <w:sz w:val="28"/>
          <w:szCs w:val="28"/>
        </w:rPr>
        <w:t>兴·奥林春天</w:t>
      </w:r>
      <w:r>
        <w:rPr>
          <w:rFonts w:ascii="宋体" w:hAnsi="宋体" w:hint="eastAsia"/>
          <w:sz w:val="28"/>
          <w:szCs w:val="28"/>
        </w:rPr>
        <w:t>12#-1202</w:t>
      </w:r>
      <w:proofErr w:type="gramStart"/>
      <w:r>
        <w:rPr>
          <w:rFonts w:ascii="宋体" w:hAnsi="宋体" w:hint="eastAsia"/>
          <w:sz w:val="28"/>
          <w:szCs w:val="28"/>
        </w:rPr>
        <w:t>室住宅</w:t>
      </w:r>
      <w:proofErr w:type="gramEnd"/>
      <w:r>
        <w:rPr>
          <w:rFonts w:ascii="宋体" w:hAnsi="宋体" w:hint="eastAsia"/>
          <w:sz w:val="28"/>
          <w:szCs w:val="28"/>
        </w:rPr>
        <w:t>房地产市场价格评估</w:t>
      </w:r>
    </w:p>
    <w:p w:rsidR="00DF6B48" w:rsidRDefault="006A33AA" w:rsidP="008B37E5">
      <w:pPr>
        <w:tabs>
          <w:tab w:val="left" w:pos="2160"/>
          <w:tab w:val="left" w:pos="2520"/>
        </w:tabs>
        <w:spacing w:line="560" w:lineRule="exact"/>
        <w:ind w:left="3308" w:hangingChars="675" w:hanging="3308"/>
        <w:rPr>
          <w:rFonts w:ascii="宋体" w:hAnsi="宋体"/>
          <w:sz w:val="28"/>
        </w:rPr>
      </w:pPr>
      <w:r>
        <w:rPr>
          <w:rFonts w:ascii="宋体" w:hAnsi="宋体" w:hint="eastAsia"/>
          <w:spacing w:val="105"/>
          <w:kern w:val="0"/>
          <w:sz w:val="28"/>
          <w:szCs w:val="28"/>
          <w:fitText w:val="2243" w:id="742570752"/>
        </w:rPr>
        <w:t>估价委托</w:t>
      </w:r>
      <w:r>
        <w:rPr>
          <w:rFonts w:ascii="宋体" w:hAnsi="宋体" w:hint="eastAsia"/>
          <w:spacing w:val="1"/>
          <w:kern w:val="0"/>
          <w:sz w:val="28"/>
          <w:szCs w:val="28"/>
          <w:fitText w:val="2243" w:id="742570752"/>
        </w:rPr>
        <w:t>人</w:t>
      </w:r>
      <w:r>
        <w:rPr>
          <w:rFonts w:ascii="宋体" w:hAnsi="宋体" w:hint="eastAsia"/>
          <w:spacing w:val="40"/>
          <w:sz w:val="28"/>
          <w:szCs w:val="28"/>
        </w:rPr>
        <w:t>：</w:t>
      </w:r>
      <w:r>
        <w:rPr>
          <w:rFonts w:ascii="宋体" w:hAnsi="宋体" w:hint="eastAsia"/>
          <w:spacing w:val="40"/>
          <w:sz w:val="28"/>
          <w:szCs w:val="28"/>
        </w:rPr>
        <w:t xml:space="preserve"> </w:t>
      </w:r>
      <w:r>
        <w:rPr>
          <w:rFonts w:ascii="宋体" w:hAnsi="宋体" w:hint="eastAsia"/>
          <w:spacing w:val="40"/>
          <w:sz w:val="28"/>
          <w:szCs w:val="28"/>
        </w:rPr>
        <w:t>泉州市丰泽区人民法院</w:t>
      </w:r>
    </w:p>
    <w:p w:rsidR="00DF6B48" w:rsidRDefault="006A33AA">
      <w:pPr>
        <w:tabs>
          <w:tab w:val="left" w:pos="2520"/>
        </w:tabs>
        <w:spacing w:line="560" w:lineRule="exact"/>
        <w:ind w:left="2200" w:hangingChars="675" w:hanging="2200"/>
        <w:rPr>
          <w:rFonts w:ascii="宋体" w:hAnsi="宋体"/>
          <w:sz w:val="28"/>
        </w:rPr>
      </w:pPr>
      <w:r>
        <w:rPr>
          <w:rFonts w:ascii="宋体" w:hAnsi="宋体" w:hint="eastAsia"/>
          <w:spacing w:val="23"/>
          <w:kern w:val="0"/>
          <w:sz w:val="28"/>
          <w:szCs w:val="28"/>
          <w:fitText w:val="2243" w:id="742570752"/>
        </w:rPr>
        <w:t>房地产估价机</w:t>
      </w:r>
      <w:r>
        <w:rPr>
          <w:rFonts w:ascii="宋体" w:hAnsi="宋体" w:hint="eastAsia"/>
          <w:spacing w:val="3"/>
          <w:kern w:val="0"/>
          <w:sz w:val="28"/>
          <w:szCs w:val="28"/>
          <w:fitText w:val="2243" w:id="742570752"/>
        </w:rPr>
        <w:t>构</w:t>
      </w:r>
      <w:r>
        <w:rPr>
          <w:rFonts w:ascii="宋体" w:hAnsi="宋体" w:hint="eastAsia"/>
          <w:spacing w:val="40"/>
          <w:sz w:val="28"/>
          <w:szCs w:val="28"/>
        </w:rPr>
        <w:t>：</w:t>
      </w:r>
      <w:r>
        <w:rPr>
          <w:rFonts w:ascii="宋体" w:hAnsi="宋体" w:hint="eastAsia"/>
          <w:spacing w:val="40"/>
          <w:sz w:val="28"/>
          <w:szCs w:val="28"/>
        </w:rPr>
        <w:t xml:space="preserve"> </w:t>
      </w:r>
      <w:r>
        <w:rPr>
          <w:rFonts w:ascii="宋体" w:hAnsi="宋体" w:hint="eastAsia"/>
          <w:sz w:val="28"/>
        </w:rPr>
        <w:t>福建宁朗资产评估房地产估价有限公司</w:t>
      </w:r>
    </w:p>
    <w:p w:rsidR="00DF6B48" w:rsidRDefault="006A33AA">
      <w:pPr>
        <w:tabs>
          <w:tab w:val="left" w:pos="2694"/>
        </w:tabs>
        <w:spacing w:line="560" w:lineRule="exact"/>
        <w:ind w:left="1890" w:hangingChars="675" w:hanging="1890"/>
        <w:rPr>
          <w:rFonts w:ascii="宋体" w:hAnsi="宋体"/>
          <w:sz w:val="28"/>
        </w:rPr>
      </w:pPr>
      <w:r>
        <w:rPr>
          <w:rFonts w:ascii="宋体" w:hAnsi="宋体" w:hint="eastAsia"/>
          <w:kern w:val="0"/>
          <w:sz w:val="28"/>
          <w:szCs w:val="28"/>
          <w:fitText w:val="2243" w:id="742570752"/>
        </w:rPr>
        <w:t>注册房地产估价师</w:t>
      </w:r>
      <w:r>
        <w:rPr>
          <w:rFonts w:ascii="宋体" w:hAnsi="宋体" w:hint="eastAsia"/>
          <w:spacing w:val="40"/>
          <w:sz w:val="28"/>
          <w:szCs w:val="28"/>
        </w:rPr>
        <w:t>：</w:t>
      </w:r>
      <w:r>
        <w:rPr>
          <w:rFonts w:ascii="宋体" w:hAnsi="宋体" w:hint="eastAsia"/>
          <w:spacing w:val="40"/>
          <w:sz w:val="28"/>
          <w:szCs w:val="28"/>
        </w:rPr>
        <w:t xml:space="preserve"> </w:t>
      </w:r>
      <w:proofErr w:type="gramStart"/>
      <w:r>
        <w:rPr>
          <w:rFonts w:ascii="宋体" w:hAnsi="宋体" w:hint="eastAsia"/>
          <w:sz w:val="28"/>
        </w:rPr>
        <w:t>杨智伟</w:t>
      </w:r>
      <w:proofErr w:type="gramEnd"/>
      <w:r>
        <w:rPr>
          <w:rFonts w:ascii="宋体" w:hAnsi="宋体" w:hint="eastAsia"/>
          <w:sz w:val="28"/>
        </w:rPr>
        <w:t>（注册号：</w:t>
      </w:r>
      <w:r>
        <w:rPr>
          <w:rFonts w:ascii="宋体" w:hAnsi="宋体" w:hint="eastAsia"/>
          <w:sz w:val="28"/>
        </w:rPr>
        <w:t>3520120064</w:t>
      </w:r>
      <w:r>
        <w:rPr>
          <w:rFonts w:ascii="宋体" w:hAnsi="宋体" w:hint="eastAsia"/>
          <w:sz w:val="28"/>
        </w:rPr>
        <w:t>）</w:t>
      </w:r>
    </w:p>
    <w:p w:rsidR="00DF6B48" w:rsidRDefault="006A33AA" w:rsidP="008B37E5">
      <w:pPr>
        <w:tabs>
          <w:tab w:val="left" w:pos="2520"/>
        </w:tabs>
        <w:spacing w:line="560" w:lineRule="exact"/>
        <w:ind w:leftChars="900" w:left="1890" w:firstLineChars="336" w:firstLine="941"/>
        <w:rPr>
          <w:rFonts w:ascii="宋体" w:hAnsi="宋体"/>
          <w:sz w:val="28"/>
        </w:rPr>
      </w:pPr>
      <w:r>
        <w:rPr>
          <w:rFonts w:ascii="宋体" w:hAnsi="宋体" w:hint="eastAsia"/>
          <w:sz w:val="28"/>
        </w:rPr>
        <w:t>林美琼（注册号：</w:t>
      </w:r>
      <w:r>
        <w:rPr>
          <w:rFonts w:ascii="宋体" w:hAnsi="宋体" w:hint="eastAsia"/>
          <w:sz w:val="28"/>
        </w:rPr>
        <w:t>3520140080</w:t>
      </w:r>
      <w:r>
        <w:rPr>
          <w:rFonts w:ascii="宋体" w:hAnsi="宋体" w:hint="eastAsia"/>
          <w:sz w:val="28"/>
        </w:rPr>
        <w:t>）</w:t>
      </w:r>
    </w:p>
    <w:p w:rsidR="00DF6B48" w:rsidRDefault="006A33AA">
      <w:pPr>
        <w:tabs>
          <w:tab w:val="left" w:pos="2340"/>
          <w:tab w:val="left" w:pos="2520"/>
        </w:tabs>
        <w:spacing w:line="560" w:lineRule="exact"/>
        <w:ind w:left="1890" w:hangingChars="675" w:hanging="1890"/>
        <w:rPr>
          <w:rFonts w:ascii="宋体" w:hAnsi="宋体"/>
          <w:sz w:val="28"/>
          <w:szCs w:val="28"/>
        </w:rPr>
      </w:pPr>
      <w:r>
        <w:rPr>
          <w:rFonts w:ascii="宋体" w:hAnsi="宋体" w:hint="eastAsia"/>
          <w:kern w:val="0"/>
          <w:sz w:val="28"/>
          <w:szCs w:val="28"/>
          <w:fitText w:val="2243" w:id="742570752"/>
        </w:rPr>
        <w:t>估价报告出具日期</w:t>
      </w:r>
      <w:r>
        <w:rPr>
          <w:rFonts w:ascii="宋体" w:hAnsi="宋体" w:hint="eastAsia"/>
          <w:spacing w:val="40"/>
          <w:sz w:val="28"/>
          <w:szCs w:val="28"/>
        </w:rPr>
        <w:t>：</w:t>
      </w:r>
      <w:r>
        <w:rPr>
          <w:rFonts w:ascii="宋体" w:hAnsi="宋体" w:hint="eastAsia"/>
          <w:spacing w:val="40"/>
          <w:sz w:val="28"/>
          <w:szCs w:val="28"/>
        </w:rPr>
        <w:t xml:space="preserve"> 2022</w:t>
      </w:r>
      <w:r>
        <w:rPr>
          <w:rFonts w:ascii="宋体" w:hAnsi="宋体" w:hint="eastAsia"/>
          <w:spacing w:val="40"/>
          <w:sz w:val="28"/>
          <w:szCs w:val="28"/>
        </w:rPr>
        <w:t>年</w:t>
      </w:r>
      <w:r>
        <w:rPr>
          <w:rFonts w:ascii="宋体" w:hAnsi="宋体" w:hint="eastAsia"/>
          <w:spacing w:val="40"/>
          <w:sz w:val="28"/>
          <w:szCs w:val="28"/>
        </w:rPr>
        <w:t>7</w:t>
      </w:r>
      <w:r>
        <w:rPr>
          <w:rFonts w:ascii="宋体" w:hAnsi="宋体" w:hint="eastAsia"/>
          <w:spacing w:val="40"/>
          <w:sz w:val="28"/>
          <w:szCs w:val="28"/>
        </w:rPr>
        <w:t>月</w:t>
      </w:r>
      <w:r>
        <w:rPr>
          <w:rFonts w:ascii="宋体" w:hAnsi="宋体" w:hint="eastAsia"/>
          <w:spacing w:val="40"/>
          <w:sz w:val="28"/>
          <w:szCs w:val="28"/>
        </w:rPr>
        <w:t>25</w:t>
      </w:r>
      <w:r>
        <w:rPr>
          <w:rFonts w:ascii="宋体" w:hAnsi="宋体" w:hint="eastAsia"/>
          <w:spacing w:val="40"/>
          <w:sz w:val="28"/>
          <w:szCs w:val="28"/>
        </w:rPr>
        <w:t>日</w:t>
      </w:r>
    </w:p>
    <w:p w:rsidR="00DF6B48" w:rsidRDefault="006A33AA">
      <w:pPr>
        <w:rPr>
          <w:rFonts w:ascii="宋体" w:hAnsi="宋体"/>
          <w:b/>
          <w:sz w:val="36"/>
          <w:szCs w:val="36"/>
        </w:rPr>
      </w:pPr>
      <w:bookmarkStart w:id="1" w:name="_Toc396811921"/>
      <w:bookmarkStart w:id="2" w:name="_Toc400744769"/>
      <w:bookmarkStart w:id="3" w:name="_Toc436902799"/>
      <w:bookmarkStart w:id="4" w:name="_Toc397497764"/>
      <w:r>
        <w:rPr>
          <w:rFonts w:ascii="宋体" w:hAnsi="宋体"/>
          <w:b/>
          <w:sz w:val="36"/>
          <w:szCs w:val="36"/>
        </w:rPr>
        <w:br w:type="page"/>
      </w:r>
    </w:p>
    <w:p w:rsidR="00DF6B48" w:rsidRPr="008B37E5" w:rsidRDefault="00DF6B48">
      <w:pPr>
        <w:spacing w:line="360" w:lineRule="exact"/>
        <w:ind w:leftChars="-172" w:left="-361" w:rightChars="-171" w:right="-359"/>
        <w:jc w:val="center"/>
        <w:rPr>
          <w:rFonts w:ascii="宋体" w:hAnsi="宋体"/>
          <w:b/>
          <w:sz w:val="36"/>
          <w:szCs w:val="36"/>
        </w:rPr>
      </w:pPr>
    </w:p>
    <w:p w:rsidR="00DF6B48" w:rsidRDefault="006A33AA">
      <w:pPr>
        <w:spacing w:line="360" w:lineRule="exact"/>
        <w:ind w:leftChars="-172" w:left="-361" w:rightChars="-171" w:right="-359"/>
        <w:jc w:val="center"/>
        <w:rPr>
          <w:rFonts w:ascii="宋体" w:hAnsi="宋体"/>
          <w:b/>
          <w:sz w:val="36"/>
          <w:szCs w:val="36"/>
        </w:rPr>
      </w:pPr>
      <w:r>
        <w:rPr>
          <w:rFonts w:ascii="宋体" w:hAnsi="宋体" w:hint="eastAsia"/>
          <w:b/>
          <w:sz w:val="36"/>
          <w:szCs w:val="36"/>
        </w:rPr>
        <w:t xml:space="preserve"> </w:t>
      </w:r>
      <w:r>
        <w:rPr>
          <w:rFonts w:ascii="宋体" w:hAnsi="宋体" w:hint="eastAsia"/>
          <w:b/>
          <w:sz w:val="36"/>
          <w:szCs w:val="36"/>
        </w:rPr>
        <w:t>致估价委托人函</w:t>
      </w:r>
      <w:bookmarkEnd w:id="1"/>
      <w:bookmarkEnd w:id="2"/>
      <w:bookmarkEnd w:id="3"/>
      <w:bookmarkEnd w:id="4"/>
    </w:p>
    <w:p w:rsidR="00DF6B48" w:rsidRDefault="006A33AA">
      <w:pPr>
        <w:spacing w:line="360" w:lineRule="exact"/>
        <w:ind w:leftChars="-172" w:left="-361" w:rightChars="-171" w:right="-359" w:firstLineChars="2200" w:firstLine="5280"/>
        <w:rPr>
          <w:rFonts w:ascii="宋体" w:hAnsi="宋体"/>
          <w:sz w:val="24"/>
        </w:rPr>
      </w:pPr>
      <w:r>
        <w:rPr>
          <w:rFonts w:ascii="宋体" w:hAnsi="宋体" w:hint="eastAsia"/>
          <w:sz w:val="24"/>
        </w:rPr>
        <w:t>编号：福建</w:t>
      </w:r>
      <w:proofErr w:type="gramStart"/>
      <w:r>
        <w:rPr>
          <w:rFonts w:ascii="宋体" w:hAnsi="宋体" w:hint="eastAsia"/>
          <w:sz w:val="24"/>
        </w:rPr>
        <w:t>宁朗估字</w:t>
      </w:r>
      <w:proofErr w:type="gramEnd"/>
      <w:r>
        <w:rPr>
          <w:rFonts w:ascii="宋体" w:hAnsi="宋体" w:hint="eastAsia"/>
          <w:sz w:val="24"/>
        </w:rPr>
        <w:t>[202</w:t>
      </w:r>
      <w:r>
        <w:rPr>
          <w:rFonts w:ascii="宋体" w:hAnsi="宋体"/>
          <w:sz w:val="24"/>
        </w:rPr>
        <w:t>2</w:t>
      </w:r>
      <w:r>
        <w:rPr>
          <w:rFonts w:ascii="宋体" w:hAnsi="宋体" w:hint="eastAsia"/>
          <w:sz w:val="24"/>
        </w:rPr>
        <w:t>]</w:t>
      </w:r>
      <w:r>
        <w:rPr>
          <w:rFonts w:ascii="宋体" w:hAnsi="宋体" w:hint="eastAsia"/>
          <w:sz w:val="24"/>
        </w:rPr>
        <w:t>第</w:t>
      </w:r>
      <w:r>
        <w:rPr>
          <w:rFonts w:ascii="宋体" w:hAnsi="宋体" w:hint="eastAsia"/>
          <w:sz w:val="24"/>
        </w:rPr>
        <w:t>A043</w:t>
      </w:r>
      <w:r>
        <w:rPr>
          <w:rFonts w:ascii="宋体" w:hAnsi="宋体" w:hint="eastAsia"/>
          <w:sz w:val="24"/>
        </w:rPr>
        <w:t>号</w:t>
      </w:r>
    </w:p>
    <w:p w:rsidR="00DF6B48" w:rsidRDefault="006A33AA">
      <w:pPr>
        <w:spacing w:line="400" w:lineRule="exact"/>
        <w:ind w:leftChars="-172" w:left="-361" w:rightChars="-171" w:right="-359"/>
        <w:rPr>
          <w:rFonts w:ascii="宋体" w:hAnsi="宋体"/>
          <w:sz w:val="24"/>
        </w:rPr>
      </w:pPr>
      <w:r>
        <w:rPr>
          <w:rFonts w:ascii="宋体" w:hAnsi="宋体" w:hint="eastAsia"/>
          <w:sz w:val="24"/>
        </w:rPr>
        <w:t>泉州市丰泽区人民法院</w:t>
      </w:r>
      <w:r>
        <w:rPr>
          <w:rFonts w:ascii="宋体" w:hAnsi="宋体" w:hint="eastAsia"/>
          <w:sz w:val="24"/>
        </w:rPr>
        <w:t>：</w:t>
      </w:r>
    </w:p>
    <w:p w:rsidR="00DF6B48" w:rsidRDefault="006A33AA">
      <w:pPr>
        <w:snapToGrid w:val="0"/>
        <w:spacing w:line="400" w:lineRule="exact"/>
        <w:ind w:leftChars="-172" w:left="-361" w:rightChars="-171" w:right="-359" w:firstLineChars="200" w:firstLine="480"/>
        <w:rPr>
          <w:rFonts w:ascii="宋体" w:hAnsi="宋体"/>
          <w:sz w:val="24"/>
        </w:rPr>
      </w:pPr>
      <w:r>
        <w:rPr>
          <w:rFonts w:ascii="宋体" w:hAnsi="宋体" w:hint="eastAsia"/>
          <w:sz w:val="24"/>
        </w:rPr>
        <w:t>受贵方的委托，本公司对位于晋江市迎宾路</w:t>
      </w:r>
      <w:r>
        <w:rPr>
          <w:rFonts w:ascii="宋体" w:hAnsi="宋体" w:hint="eastAsia"/>
          <w:sz w:val="24"/>
        </w:rPr>
        <w:t>532</w:t>
      </w:r>
      <w:r>
        <w:rPr>
          <w:rFonts w:ascii="宋体" w:hAnsi="宋体" w:hint="eastAsia"/>
          <w:sz w:val="24"/>
        </w:rPr>
        <w:t>号</w:t>
      </w:r>
      <w:proofErr w:type="gramStart"/>
      <w:r>
        <w:rPr>
          <w:rFonts w:ascii="宋体" w:hAnsi="宋体" w:hint="eastAsia"/>
          <w:sz w:val="24"/>
        </w:rPr>
        <w:t>浔</w:t>
      </w:r>
      <w:proofErr w:type="gramEnd"/>
      <w:r>
        <w:rPr>
          <w:rFonts w:ascii="宋体" w:hAnsi="宋体" w:hint="eastAsia"/>
          <w:sz w:val="24"/>
        </w:rPr>
        <w:t>兴·奥林春天</w:t>
      </w:r>
      <w:r>
        <w:rPr>
          <w:rFonts w:ascii="宋体" w:hAnsi="宋体" w:hint="eastAsia"/>
          <w:sz w:val="24"/>
        </w:rPr>
        <w:t>12#-1202</w:t>
      </w:r>
      <w:proofErr w:type="gramStart"/>
      <w:r>
        <w:rPr>
          <w:rFonts w:ascii="宋体" w:hAnsi="宋体" w:hint="eastAsia"/>
          <w:sz w:val="24"/>
        </w:rPr>
        <w:t>室住宅</w:t>
      </w:r>
      <w:proofErr w:type="gramEnd"/>
      <w:r>
        <w:rPr>
          <w:rFonts w:ascii="宋体" w:hAnsi="宋体" w:hint="eastAsia"/>
          <w:sz w:val="24"/>
        </w:rPr>
        <w:t>房地产的市场价格进行评估。</w:t>
      </w:r>
    </w:p>
    <w:p w:rsidR="00DF6B48" w:rsidRDefault="006A33AA">
      <w:pPr>
        <w:snapToGrid w:val="0"/>
        <w:spacing w:line="400" w:lineRule="exact"/>
        <w:ind w:leftChars="-172" w:left="-361" w:rightChars="-171" w:right="-359" w:firstLineChars="200" w:firstLine="480"/>
        <w:rPr>
          <w:rFonts w:ascii="宋体" w:hAnsi="宋体"/>
          <w:sz w:val="24"/>
        </w:rPr>
      </w:pPr>
      <w:r>
        <w:rPr>
          <w:rFonts w:ascii="宋体" w:hAnsi="宋体" w:hint="eastAsia"/>
          <w:sz w:val="24"/>
        </w:rPr>
        <w:t>估价目的：为人民法院确定财产处置参考</w:t>
      </w:r>
      <w:proofErr w:type="gramStart"/>
      <w:r>
        <w:rPr>
          <w:rFonts w:ascii="宋体" w:hAnsi="宋体" w:hint="eastAsia"/>
          <w:sz w:val="24"/>
        </w:rPr>
        <w:t>价提供</w:t>
      </w:r>
      <w:proofErr w:type="gramEnd"/>
      <w:r>
        <w:rPr>
          <w:rFonts w:ascii="宋体" w:hAnsi="宋体" w:hint="eastAsia"/>
          <w:sz w:val="24"/>
        </w:rPr>
        <w:t>参考依据。</w:t>
      </w:r>
    </w:p>
    <w:p w:rsidR="00DF6B48" w:rsidRDefault="006A33AA">
      <w:pPr>
        <w:snapToGrid w:val="0"/>
        <w:spacing w:line="400" w:lineRule="exact"/>
        <w:ind w:leftChars="-172" w:left="-361" w:rightChars="-171" w:right="-359" w:firstLineChars="200" w:firstLine="480"/>
        <w:rPr>
          <w:rFonts w:ascii="宋体" w:hAnsi="宋体"/>
          <w:color w:val="FF0000"/>
          <w:sz w:val="24"/>
        </w:rPr>
      </w:pPr>
      <w:r>
        <w:rPr>
          <w:rFonts w:ascii="宋体" w:hAnsi="宋体" w:hint="eastAsia"/>
          <w:sz w:val="24"/>
        </w:rPr>
        <w:t>估价对象：估价对象为林成场所有的位于晋江市迎宾路</w:t>
      </w:r>
      <w:r>
        <w:rPr>
          <w:rFonts w:ascii="宋体" w:hAnsi="宋体" w:hint="eastAsia"/>
          <w:sz w:val="24"/>
        </w:rPr>
        <w:t>532</w:t>
      </w:r>
      <w:r>
        <w:rPr>
          <w:rFonts w:ascii="宋体" w:hAnsi="宋体" w:hint="eastAsia"/>
          <w:sz w:val="24"/>
        </w:rPr>
        <w:t>号</w:t>
      </w:r>
      <w:proofErr w:type="gramStart"/>
      <w:r>
        <w:rPr>
          <w:rFonts w:ascii="宋体" w:hAnsi="宋体" w:hint="eastAsia"/>
          <w:sz w:val="24"/>
        </w:rPr>
        <w:t>浔</w:t>
      </w:r>
      <w:proofErr w:type="gramEnd"/>
      <w:r>
        <w:rPr>
          <w:rFonts w:ascii="宋体" w:hAnsi="宋体" w:hint="eastAsia"/>
          <w:sz w:val="24"/>
        </w:rPr>
        <w:t>兴·奥林春天</w:t>
      </w:r>
      <w:r>
        <w:rPr>
          <w:rFonts w:ascii="宋体" w:hAnsi="宋体" w:hint="eastAsia"/>
          <w:sz w:val="24"/>
        </w:rPr>
        <w:t>12#-1202</w:t>
      </w:r>
      <w:proofErr w:type="gramStart"/>
      <w:r>
        <w:rPr>
          <w:rFonts w:ascii="宋体" w:hAnsi="宋体" w:hint="eastAsia"/>
          <w:sz w:val="24"/>
        </w:rPr>
        <w:t>室住宅</w:t>
      </w:r>
      <w:proofErr w:type="gramEnd"/>
      <w:r>
        <w:rPr>
          <w:rFonts w:ascii="宋体" w:hAnsi="宋体" w:hint="eastAsia"/>
          <w:sz w:val="24"/>
        </w:rPr>
        <w:t>房地产（《房屋所有权证》证号：</w:t>
      </w:r>
      <w:proofErr w:type="gramStart"/>
      <w:r>
        <w:rPr>
          <w:rFonts w:ascii="宋体" w:hAnsi="宋体" w:hint="eastAsia"/>
          <w:sz w:val="24"/>
        </w:rPr>
        <w:t>晋房权证</w:t>
      </w:r>
      <w:proofErr w:type="gramEnd"/>
      <w:r>
        <w:rPr>
          <w:rFonts w:ascii="宋体" w:hAnsi="宋体" w:hint="eastAsia"/>
          <w:sz w:val="24"/>
        </w:rPr>
        <w:t>梅岭字第</w:t>
      </w:r>
      <w:r>
        <w:rPr>
          <w:rFonts w:ascii="宋体" w:hAnsi="宋体" w:hint="eastAsia"/>
          <w:sz w:val="24"/>
        </w:rPr>
        <w:t>201417328</w:t>
      </w:r>
      <w:r>
        <w:rPr>
          <w:rFonts w:ascii="宋体" w:hAnsi="宋体" w:hint="eastAsia"/>
          <w:sz w:val="24"/>
        </w:rPr>
        <w:t>号，建筑面积为</w:t>
      </w:r>
      <w:r>
        <w:rPr>
          <w:rFonts w:ascii="宋体" w:hAnsi="宋体" w:hint="eastAsia"/>
          <w:sz w:val="24"/>
        </w:rPr>
        <w:t>647.53</w:t>
      </w:r>
      <w:r>
        <w:rPr>
          <w:rFonts w:ascii="宋体" w:hAnsi="宋体" w:hint="eastAsia"/>
          <w:sz w:val="24"/>
        </w:rPr>
        <w:t>平方米），财产范围包括建筑物价值（含室内二次装修）、土地使用权价值（含土地使用权出让金），不包含动产、债权债务、特许经营权等其他财产或权益。房</w:t>
      </w:r>
      <w:r>
        <w:rPr>
          <w:rFonts w:ascii="宋体" w:hAnsi="宋体" w:hint="eastAsia"/>
          <w:sz w:val="24"/>
        </w:rPr>
        <w:t>屋规划用途为住宅，</w:t>
      </w:r>
      <w:r>
        <w:rPr>
          <w:rFonts w:ascii="宋体" w:hAnsi="宋体" w:hint="eastAsia"/>
          <w:sz w:val="24"/>
        </w:rPr>
        <w:t>本次设定</w:t>
      </w:r>
      <w:r>
        <w:rPr>
          <w:rFonts w:ascii="宋体" w:hAnsi="宋体" w:hint="eastAsia"/>
          <w:sz w:val="24"/>
        </w:rPr>
        <w:t>估价对象所分摊的土地为以国有出让方式取得的住宅用地使用权。权利人为林成场。</w:t>
      </w:r>
    </w:p>
    <w:p w:rsidR="00DF6B48" w:rsidRDefault="006A33AA">
      <w:pPr>
        <w:snapToGrid w:val="0"/>
        <w:spacing w:line="400" w:lineRule="exact"/>
        <w:ind w:leftChars="-172" w:left="-361" w:rightChars="-171" w:right="-359" w:firstLineChars="200" w:firstLine="480"/>
        <w:rPr>
          <w:rFonts w:ascii="宋体" w:hAnsi="宋体"/>
          <w:sz w:val="24"/>
        </w:rPr>
      </w:pPr>
      <w:r>
        <w:rPr>
          <w:rFonts w:ascii="宋体" w:hAnsi="宋体" w:hint="eastAsia"/>
          <w:sz w:val="24"/>
        </w:rPr>
        <w:t>价值时点：</w:t>
      </w: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21</w:t>
      </w:r>
      <w:r>
        <w:rPr>
          <w:rFonts w:ascii="宋体" w:hAnsi="宋体" w:hint="eastAsia"/>
          <w:sz w:val="24"/>
        </w:rPr>
        <w:t>日</w:t>
      </w:r>
    </w:p>
    <w:p w:rsidR="00DF6B48" w:rsidRDefault="006A33AA">
      <w:pPr>
        <w:snapToGrid w:val="0"/>
        <w:spacing w:line="400" w:lineRule="exact"/>
        <w:ind w:leftChars="-172" w:left="-361" w:rightChars="-171" w:right="-359" w:firstLineChars="200" w:firstLine="480"/>
        <w:rPr>
          <w:rFonts w:ascii="宋体" w:hAnsi="宋体"/>
          <w:sz w:val="24"/>
        </w:rPr>
      </w:pPr>
      <w:r>
        <w:rPr>
          <w:rFonts w:ascii="宋体" w:hAnsi="宋体" w:hint="eastAsia"/>
          <w:sz w:val="24"/>
        </w:rPr>
        <w:t>价值类型：市场价格</w:t>
      </w:r>
    </w:p>
    <w:p w:rsidR="00DF6B48" w:rsidRDefault="006A33AA">
      <w:pPr>
        <w:snapToGrid w:val="0"/>
        <w:spacing w:line="400" w:lineRule="exact"/>
        <w:ind w:leftChars="-172" w:left="-361" w:rightChars="-171" w:right="-359" w:firstLineChars="200" w:firstLine="480"/>
        <w:rPr>
          <w:rFonts w:ascii="宋体" w:hAnsi="宋体"/>
          <w:sz w:val="24"/>
        </w:rPr>
      </w:pPr>
      <w:r>
        <w:rPr>
          <w:rFonts w:ascii="宋体" w:hAnsi="宋体" w:hint="eastAsia"/>
          <w:sz w:val="24"/>
        </w:rPr>
        <w:t>估价方法：</w:t>
      </w:r>
      <w:r>
        <w:rPr>
          <w:rFonts w:ascii="宋体" w:hAnsi="宋体"/>
          <w:sz w:val="24"/>
        </w:rPr>
        <w:t>比较法</w:t>
      </w:r>
      <w:r>
        <w:rPr>
          <w:rFonts w:ascii="宋体" w:hAnsi="宋体" w:hint="eastAsia"/>
          <w:sz w:val="24"/>
        </w:rPr>
        <w:t>、</w:t>
      </w:r>
      <w:r>
        <w:rPr>
          <w:rFonts w:ascii="宋体" w:hAnsi="宋体" w:hint="eastAsia"/>
          <w:sz w:val="24"/>
        </w:rPr>
        <w:t>收益法</w:t>
      </w:r>
    </w:p>
    <w:p w:rsidR="00DF6B48" w:rsidRDefault="006A33AA">
      <w:pPr>
        <w:snapToGrid w:val="0"/>
        <w:spacing w:line="400" w:lineRule="exact"/>
        <w:ind w:leftChars="-172" w:left="-361" w:rightChars="-171" w:right="-359" w:firstLineChars="200" w:firstLine="480"/>
        <w:rPr>
          <w:rFonts w:ascii="宋体" w:hAnsi="宋体"/>
          <w:sz w:val="24"/>
        </w:rPr>
      </w:pPr>
      <w:r>
        <w:rPr>
          <w:rFonts w:ascii="宋体" w:hAnsi="宋体"/>
          <w:sz w:val="24"/>
        </w:rPr>
        <w:t>估价结果</w:t>
      </w:r>
      <w:r>
        <w:rPr>
          <w:rFonts w:ascii="宋体" w:hAnsi="宋体" w:hint="eastAsia"/>
          <w:sz w:val="24"/>
        </w:rPr>
        <w:t>：估价人员根据估价目的，遵循估价原则，按照估价程序，运用科学的估价方法，在认真分析现有资料的基础上，依据</w:t>
      </w:r>
      <w:r>
        <w:rPr>
          <w:rFonts w:ascii="宋体" w:hAnsi="宋体"/>
          <w:sz w:val="24"/>
        </w:rPr>
        <w:t>有关的法律法规</w:t>
      </w:r>
      <w:r>
        <w:rPr>
          <w:rFonts w:ascii="宋体" w:hAnsi="宋体" w:hint="eastAsia"/>
          <w:sz w:val="24"/>
        </w:rPr>
        <w:t>、</w:t>
      </w:r>
      <w:r>
        <w:rPr>
          <w:rFonts w:ascii="宋体" w:hAnsi="宋体"/>
          <w:sz w:val="24"/>
        </w:rPr>
        <w:t>政策文件</w:t>
      </w:r>
      <w:r>
        <w:rPr>
          <w:rFonts w:ascii="宋体" w:hAnsi="宋体" w:hint="eastAsia"/>
          <w:sz w:val="24"/>
        </w:rPr>
        <w:t>和估价标准</w:t>
      </w:r>
      <w:r>
        <w:rPr>
          <w:rFonts w:ascii="宋体" w:hAnsi="宋体"/>
          <w:sz w:val="24"/>
        </w:rPr>
        <w:t>，</w:t>
      </w:r>
      <w:r>
        <w:rPr>
          <w:rFonts w:ascii="宋体" w:hAnsi="宋体" w:hint="eastAsia"/>
          <w:sz w:val="24"/>
        </w:rPr>
        <w:t>通过细致测算和认真分析各种影响房地产价值的因素，确定估价对象于价值时点（</w:t>
      </w: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21</w:t>
      </w:r>
      <w:r>
        <w:rPr>
          <w:rFonts w:ascii="宋体" w:hAnsi="宋体" w:hint="eastAsia"/>
          <w:sz w:val="24"/>
        </w:rPr>
        <w:t>日）满足“估价假设和限制条件”及“价值类型”条件下的估价结果如下：</w:t>
      </w:r>
      <w:r>
        <w:rPr>
          <w:rFonts w:ascii="宋体" w:hAnsi="宋体" w:hint="eastAsia"/>
          <w:b/>
          <w:sz w:val="24"/>
        </w:rPr>
        <w:t>住宅房地产市场价格为</w:t>
      </w:r>
      <w:r>
        <w:rPr>
          <w:rFonts w:ascii="宋体" w:hAnsi="宋体" w:hint="eastAsia"/>
          <w:b/>
          <w:sz w:val="24"/>
        </w:rPr>
        <w:t>8444000</w:t>
      </w:r>
      <w:r>
        <w:rPr>
          <w:rFonts w:ascii="宋体" w:hAnsi="宋体" w:hint="eastAsia"/>
          <w:b/>
          <w:sz w:val="24"/>
        </w:rPr>
        <w:t>元（大写人民币</w:t>
      </w:r>
      <w:proofErr w:type="gramStart"/>
      <w:r>
        <w:rPr>
          <w:rFonts w:ascii="宋体" w:hAnsi="宋体" w:hint="eastAsia"/>
          <w:b/>
          <w:sz w:val="24"/>
        </w:rPr>
        <w:t>捌佰肆拾肆万肆仟</w:t>
      </w:r>
      <w:proofErr w:type="gramEnd"/>
      <w:r>
        <w:rPr>
          <w:rFonts w:ascii="宋体" w:hAnsi="宋体" w:hint="eastAsia"/>
          <w:b/>
          <w:sz w:val="24"/>
        </w:rPr>
        <w:t>元整），住宅市场单价为</w:t>
      </w:r>
      <w:r>
        <w:rPr>
          <w:rFonts w:ascii="宋体" w:hAnsi="宋体" w:hint="eastAsia"/>
          <w:b/>
          <w:sz w:val="24"/>
        </w:rPr>
        <w:t>13040</w:t>
      </w:r>
      <w:r>
        <w:rPr>
          <w:rFonts w:ascii="宋体" w:hAnsi="宋体" w:hint="eastAsia"/>
          <w:b/>
          <w:sz w:val="24"/>
        </w:rPr>
        <w:t>元</w:t>
      </w:r>
      <w:r>
        <w:rPr>
          <w:rFonts w:ascii="宋体" w:hAnsi="宋体" w:hint="eastAsia"/>
          <w:b/>
          <w:sz w:val="24"/>
        </w:rPr>
        <w:t>/</w:t>
      </w:r>
      <w:r>
        <w:rPr>
          <w:rFonts w:ascii="宋体" w:hAnsi="宋体" w:hint="eastAsia"/>
          <w:b/>
          <w:sz w:val="24"/>
        </w:rPr>
        <w:t>㎡。</w:t>
      </w:r>
    </w:p>
    <w:p w:rsidR="00DF6B48" w:rsidRDefault="006A33AA">
      <w:pPr>
        <w:snapToGrid w:val="0"/>
        <w:spacing w:line="360" w:lineRule="exact"/>
        <w:ind w:leftChars="-172" w:left="-361" w:rightChars="-171" w:right="-359" w:firstLineChars="200" w:firstLine="420"/>
        <w:rPr>
          <w:rFonts w:ascii="宋体" w:hAnsi="宋体"/>
          <w:szCs w:val="21"/>
        </w:rPr>
      </w:pPr>
      <w:r>
        <w:rPr>
          <w:rFonts w:ascii="宋体" w:hAnsi="宋体" w:hint="eastAsia"/>
          <w:szCs w:val="21"/>
        </w:rPr>
        <w:t xml:space="preserve"> </w:t>
      </w:r>
      <w:r>
        <w:rPr>
          <w:rFonts w:ascii="宋体" w:hAnsi="宋体" w:hint="eastAsia"/>
          <w:szCs w:val="21"/>
        </w:rPr>
        <w:t>特别</w:t>
      </w:r>
      <w:r>
        <w:rPr>
          <w:rFonts w:ascii="宋体" w:hAnsi="宋体"/>
          <w:szCs w:val="21"/>
        </w:rPr>
        <w:t>提示：</w:t>
      </w:r>
      <w:r>
        <w:rPr>
          <w:rFonts w:ascii="宋体" w:hAnsi="宋体"/>
          <w:szCs w:val="21"/>
        </w:rPr>
        <w:fldChar w:fldCharType="begin"/>
      </w:r>
      <w:r>
        <w:rPr>
          <w:rFonts w:ascii="宋体" w:hAnsi="宋体" w:hint="eastAsia"/>
          <w:szCs w:val="21"/>
        </w:rPr>
        <w:instrText>= 1 \* GB3</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szCs w:val="21"/>
        </w:rPr>
        <w:t>应当按照法律规定和评估报告载明的用途、使用人、使用期限等使用范围使用评估报告。否则，房地产估价机构和注册房地产估价师依法不承担责任；</w:t>
      </w:r>
      <w:r>
        <w:rPr>
          <w:rFonts w:ascii="宋体" w:hAnsi="宋体"/>
          <w:szCs w:val="21"/>
        </w:rPr>
        <w:fldChar w:fldCharType="begin"/>
      </w:r>
      <w:r>
        <w:rPr>
          <w:rFonts w:ascii="宋体" w:hAnsi="宋体" w:hint="eastAsia"/>
          <w:szCs w:val="21"/>
        </w:rPr>
        <w:instrText>= 2 \* GB3</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评估结果仅为人民法院确定财产处置参考价服务，不是估价对象处置可实现的成交价格，也不应当被视为对估价对象处置成交价格的保证；</w:t>
      </w:r>
      <w:r>
        <w:rPr>
          <w:rFonts w:ascii="宋体" w:hAnsi="宋体"/>
          <w:szCs w:val="21"/>
        </w:rPr>
        <w:fldChar w:fldCharType="begin"/>
      </w:r>
      <w:r>
        <w:rPr>
          <w:rFonts w:ascii="宋体" w:hAnsi="宋体" w:hint="eastAsia"/>
          <w:szCs w:val="21"/>
        </w:rPr>
        <w:instrText>= 3 \* GB3</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hint="eastAsia"/>
          <w:szCs w:val="21"/>
        </w:rPr>
        <w:t>财产拍卖或者变卖之日与价值时点不一致，可能导致评估结果对</w:t>
      </w:r>
      <w:r>
        <w:rPr>
          <w:rFonts w:ascii="宋体" w:hAnsi="宋体" w:hint="eastAsia"/>
          <w:szCs w:val="21"/>
        </w:rPr>
        <w:t>应的评估对象状况、房地产市场状况、欠缴税</w:t>
      </w:r>
      <w:proofErr w:type="gramStart"/>
      <w:r>
        <w:rPr>
          <w:rFonts w:ascii="宋体" w:hAnsi="宋体" w:hint="eastAsia"/>
          <w:szCs w:val="21"/>
        </w:rPr>
        <w:t>费状况</w:t>
      </w:r>
      <w:proofErr w:type="gramEnd"/>
      <w:r>
        <w:rPr>
          <w:rFonts w:ascii="宋体" w:hAnsi="宋体" w:hint="eastAsia"/>
          <w:szCs w:val="21"/>
        </w:rPr>
        <w:t>等与财产拍卖或者变卖时的相应状况不一致，发生明显变化的，评估结果应当进行相应调整后才可使用；</w:t>
      </w:r>
      <w:r>
        <w:rPr>
          <w:rFonts w:ascii="宋体" w:hAnsi="宋体"/>
          <w:szCs w:val="21"/>
        </w:rPr>
        <w:fldChar w:fldCharType="begin"/>
      </w:r>
      <w:r>
        <w:rPr>
          <w:rFonts w:ascii="宋体" w:hAnsi="宋体" w:hint="eastAsia"/>
          <w:szCs w:val="21"/>
        </w:rPr>
        <w:instrText>= 4 \* GB3</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hint="eastAsia"/>
          <w:szCs w:val="21"/>
        </w:rPr>
        <w:t>在评估报告使用期限或者评估结果有效期内，评估报告或者评估结果未使用之前，如果评估对象状况或者房地产市场状况发生明显变化的，评估结果应当进行相应调整后才可使用；</w:t>
      </w:r>
      <w:r>
        <w:rPr>
          <w:rFonts w:ascii="宋体" w:hAnsi="宋体"/>
          <w:szCs w:val="21"/>
        </w:rPr>
        <w:fldChar w:fldCharType="begin"/>
      </w:r>
      <w:r>
        <w:rPr>
          <w:rFonts w:ascii="宋体" w:hAnsi="宋体" w:hint="eastAsia"/>
          <w:szCs w:val="21"/>
        </w:rPr>
        <w:instrText>= 5 \* GB3</w:instrText>
      </w:r>
      <w:r>
        <w:rPr>
          <w:rFonts w:ascii="宋体" w:hAnsi="宋体"/>
          <w:szCs w:val="21"/>
        </w:rPr>
        <w:fldChar w:fldCharType="separate"/>
      </w:r>
      <w:r>
        <w:rPr>
          <w:rFonts w:ascii="宋体" w:hAnsi="宋体" w:hint="eastAsia"/>
          <w:szCs w:val="21"/>
        </w:rPr>
        <w:t>⑤</w:t>
      </w:r>
      <w:r>
        <w:rPr>
          <w:rFonts w:ascii="宋体" w:hAnsi="宋体"/>
          <w:szCs w:val="21"/>
        </w:rPr>
        <w:fldChar w:fldCharType="end"/>
      </w:r>
      <w:r>
        <w:rPr>
          <w:rFonts w:ascii="宋体" w:hAnsi="宋体" w:hint="eastAsia"/>
          <w:szCs w:val="21"/>
        </w:rPr>
        <w:t>估价结果没有扣除拍卖过程中发生的处置费用和税金；⑥报告使用人在使用本报告之前须对报告全文，特别是“估价假设和限制条件”认真阅读，以免使用不当，造成损失！</w:t>
      </w:r>
    </w:p>
    <w:p w:rsidR="00DF6B48" w:rsidRDefault="00DF6B48">
      <w:pPr>
        <w:snapToGrid w:val="0"/>
        <w:spacing w:line="360" w:lineRule="exact"/>
        <w:ind w:leftChars="-172" w:left="-361" w:rightChars="-171" w:right="-359" w:firstLineChars="200" w:firstLine="420"/>
        <w:rPr>
          <w:rFonts w:ascii="宋体" w:hAnsi="宋体"/>
          <w:szCs w:val="21"/>
        </w:rPr>
      </w:pPr>
    </w:p>
    <w:p w:rsidR="00DF6B48" w:rsidRDefault="006A33AA">
      <w:pPr>
        <w:snapToGrid w:val="0"/>
        <w:spacing w:line="400" w:lineRule="exact"/>
        <w:ind w:left="147" w:hangingChars="49" w:hanging="147"/>
        <w:jc w:val="center"/>
        <w:rPr>
          <w:rFonts w:ascii="宋体" w:hAnsi="宋体"/>
          <w:sz w:val="24"/>
        </w:rPr>
      </w:pPr>
      <w:r>
        <w:rPr>
          <w:rFonts w:ascii="宋体" w:hAnsi="宋体" w:hint="eastAsia"/>
          <w:sz w:val="30"/>
        </w:rPr>
        <w:t xml:space="preserve">                              </w:t>
      </w:r>
      <w:r>
        <w:rPr>
          <w:rFonts w:ascii="宋体" w:hAnsi="宋体" w:hint="eastAsia"/>
          <w:sz w:val="24"/>
        </w:rPr>
        <w:t>福建宁朗资产评估房地产估价有限公司</w:t>
      </w:r>
    </w:p>
    <w:p w:rsidR="00DF6B48" w:rsidRDefault="006A33AA">
      <w:pPr>
        <w:snapToGrid w:val="0"/>
        <w:spacing w:line="360" w:lineRule="auto"/>
        <w:jc w:val="center"/>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法定代表人</w:t>
      </w:r>
      <w:r>
        <w:rPr>
          <w:rFonts w:ascii="宋体" w:hAnsi="宋体" w:hint="eastAsia"/>
          <w:sz w:val="24"/>
        </w:rPr>
        <w:t>:</w:t>
      </w:r>
    </w:p>
    <w:p w:rsidR="00DF6B48" w:rsidRDefault="006A33AA">
      <w:pPr>
        <w:snapToGrid w:val="0"/>
        <w:spacing w:line="360" w:lineRule="auto"/>
        <w:ind w:firstLineChars="2400" w:firstLine="5760"/>
        <w:rPr>
          <w:rFonts w:ascii="宋体" w:hAnsi="宋体" w:cs="FangSong_GB2312"/>
          <w:sz w:val="24"/>
        </w:rPr>
      </w:pP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25</w:t>
      </w:r>
      <w:r>
        <w:rPr>
          <w:rFonts w:ascii="宋体" w:hAnsi="宋体" w:hint="eastAsia"/>
          <w:sz w:val="24"/>
        </w:rPr>
        <w:t>日</w:t>
      </w:r>
    </w:p>
    <w:p w:rsidR="00DF6B48" w:rsidRDefault="006A33AA">
      <w:pPr>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目</w:t>
      </w:r>
      <w:r>
        <w:rPr>
          <w:rFonts w:ascii="宋体" w:hAnsi="宋体" w:hint="eastAsia"/>
          <w:b/>
          <w:sz w:val="36"/>
          <w:szCs w:val="36"/>
        </w:rPr>
        <w:t xml:space="preserve">     </w:t>
      </w:r>
      <w:r>
        <w:rPr>
          <w:rFonts w:ascii="宋体" w:hAnsi="宋体" w:hint="eastAsia"/>
          <w:b/>
          <w:sz w:val="36"/>
          <w:szCs w:val="36"/>
        </w:rPr>
        <w:t>录</w:t>
      </w:r>
    </w:p>
    <w:bookmarkStart w:id="5" w:name="_Toc247682123"/>
    <w:bookmarkStart w:id="6" w:name="_Toc247682275"/>
    <w:bookmarkStart w:id="7" w:name="_Toc247681790"/>
    <w:bookmarkStart w:id="8" w:name="_Toc247681586"/>
    <w:bookmarkStart w:id="9" w:name="_Toc247681905"/>
    <w:bookmarkStart w:id="10" w:name="_Toc247682192"/>
    <w:bookmarkStart w:id="11" w:name="_Toc247682223"/>
    <w:p w:rsidR="00DF6B48" w:rsidRDefault="006A33AA">
      <w:pPr>
        <w:pStyle w:val="10"/>
        <w:tabs>
          <w:tab w:val="right" w:leader="dot" w:pos="8640"/>
        </w:tabs>
      </w:pPr>
      <w:r>
        <w:rPr>
          <w:rFonts w:ascii="宋体" w:hAnsi="宋体"/>
          <w:b w:val="0"/>
          <w:bCs w:val="0"/>
          <w:caps w:val="0"/>
          <w:sz w:val="32"/>
        </w:rPr>
        <w:fldChar w:fldCharType="begin"/>
      </w:r>
      <w:r>
        <w:rPr>
          <w:rFonts w:ascii="宋体" w:hAnsi="宋体"/>
          <w:b w:val="0"/>
          <w:bCs w:val="0"/>
          <w:caps w:val="0"/>
          <w:sz w:val="32"/>
        </w:rPr>
        <w:instrText xml:space="preserve"> TOC \o "1-3" \h \z \u </w:instrText>
      </w:r>
      <w:r>
        <w:rPr>
          <w:rFonts w:ascii="宋体" w:hAnsi="宋体"/>
          <w:b w:val="0"/>
          <w:bCs w:val="0"/>
          <w:caps w:val="0"/>
          <w:sz w:val="32"/>
        </w:rPr>
        <w:fldChar w:fldCharType="separate"/>
      </w:r>
      <w:hyperlink w:anchor="_Toc18034" w:history="1">
        <w:r>
          <w:rPr>
            <w:rFonts w:hint="eastAsia"/>
          </w:rPr>
          <w:t>估价师声明</w:t>
        </w:r>
        <w:r>
          <w:tab/>
        </w:r>
        <w:r>
          <w:fldChar w:fldCharType="begin"/>
        </w:r>
        <w:r>
          <w:instrText xml:space="preserve"> PAGEREF _Toc18034 \h </w:instrText>
        </w:r>
        <w:r>
          <w:fldChar w:fldCharType="separate"/>
        </w:r>
        <w:r>
          <w:t>3</w:t>
        </w:r>
        <w:r>
          <w:fldChar w:fldCharType="end"/>
        </w:r>
      </w:hyperlink>
    </w:p>
    <w:p w:rsidR="00DF6B48" w:rsidRDefault="006A33AA">
      <w:pPr>
        <w:pStyle w:val="10"/>
        <w:tabs>
          <w:tab w:val="right" w:leader="dot" w:pos="8640"/>
        </w:tabs>
      </w:pPr>
      <w:hyperlink w:anchor="_Toc26601" w:history="1">
        <w:r>
          <w:rPr>
            <w:rFonts w:hint="eastAsia"/>
          </w:rPr>
          <w:t>估价假设和限制条件</w:t>
        </w:r>
        <w:r>
          <w:tab/>
        </w:r>
        <w:r>
          <w:fldChar w:fldCharType="begin"/>
        </w:r>
        <w:r>
          <w:instrText xml:space="preserve"> PAGEREF _Toc26601 \h </w:instrText>
        </w:r>
        <w:r>
          <w:fldChar w:fldCharType="separate"/>
        </w:r>
        <w:r>
          <w:t>4</w:t>
        </w:r>
        <w:r>
          <w:fldChar w:fldCharType="end"/>
        </w:r>
      </w:hyperlink>
    </w:p>
    <w:p w:rsidR="00DF6B48" w:rsidRDefault="006A33AA">
      <w:pPr>
        <w:pStyle w:val="10"/>
        <w:tabs>
          <w:tab w:val="right" w:leader="dot" w:pos="8640"/>
        </w:tabs>
      </w:pPr>
      <w:hyperlink w:anchor="_Toc24301" w:history="1">
        <w:r>
          <w:rPr>
            <w:rFonts w:hint="eastAsia"/>
          </w:rPr>
          <w:t>估价结果报告</w:t>
        </w:r>
        <w:r>
          <w:tab/>
        </w:r>
        <w:r>
          <w:fldChar w:fldCharType="begin"/>
        </w:r>
        <w:r>
          <w:instrText xml:space="preserve"> PAGEREF _Toc24301 \h </w:instrText>
        </w:r>
        <w:r>
          <w:fldChar w:fldCharType="separate"/>
        </w:r>
        <w:r>
          <w:t>7</w:t>
        </w:r>
        <w:r>
          <w:fldChar w:fldCharType="end"/>
        </w:r>
      </w:hyperlink>
    </w:p>
    <w:p w:rsidR="00DF6B48" w:rsidRDefault="006A33AA">
      <w:pPr>
        <w:pStyle w:val="21"/>
        <w:tabs>
          <w:tab w:val="clear" w:pos="8630"/>
          <w:tab w:val="right" w:leader="dot" w:pos="8640"/>
        </w:tabs>
      </w:pPr>
      <w:hyperlink w:anchor="_Toc11349" w:history="1">
        <w:r>
          <w:rPr>
            <w:rFonts w:ascii="宋体" w:hint="eastAsia"/>
          </w:rPr>
          <w:t>一、估价委托人</w:t>
        </w:r>
        <w:r>
          <w:tab/>
        </w:r>
        <w:r>
          <w:fldChar w:fldCharType="begin"/>
        </w:r>
        <w:r>
          <w:instrText xml:space="preserve"> PAGEREF _Toc11349 \h </w:instrText>
        </w:r>
        <w:r>
          <w:fldChar w:fldCharType="separate"/>
        </w:r>
        <w:r>
          <w:t>7</w:t>
        </w:r>
        <w:r>
          <w:fldChar w:fldCharType="end"/>
        </w:r>
      </w:hyperlink>
    </w:p>
    <w:p w:rsidR="00DF6B48" w:rsidRDefault="006A33AA">
      <w:pPr>
        <w:pStyle w:val="21"/>
        <w:tabs>
          <w:tab w:val="clear" w:pos="8630"/>
          <w:tab w:val="right" w:leader="dot" w:pos="8640"/>
        </w:tabs>
      </w:pPr>
      <w:hyperlink w:anchor="_Toc7860" w:history="1">
        <w:r>
          <w:rPr>
            <w:rFonts w:ascii="宋体" w:hint="eastAsia"/>
          </w:rPr>
          <w:t>二、房地产估价机构</w:t>
        </w:r>
        <w:r>
          <w:tab/>
        </w:r>
        <w:r>
          <w:fldChar w:fldCharType="begin"/>
        </w:r>
        <w:r>
          <w:instrText xml:space="preserve"> PAGEREF _Toc7860 \h </w:instrText>
        </w:r>
        <w:r>
          <w:fldChar w:fldCharType="separate"/>
        </w:r>
        <w:r>
          <w:t>7</w:t>
        </w:r>
        <w:r>
          <w:fldChar w:fldCharType="end"/>
        </w:r>
      </w:hyperlink>
    </w:p>
    <w:p w:rsidR="00DF6B48" w:rsidRDefault="006A33AA">
      <w:pPr>
        <w:pStyle w:val="21"/>
        <w:tabs>
          <w:tab w:val="clear" w:pos="8630"/>
          <w:tab w:val="right" w:leader="dot" w:pos="8640"/>
        </w:tabs>
      </w:pPr>
      <w:hyperlink w:anchor="_Toc8711" w:history="1">
        <w:r>
          <w:rPr>
            <w:rFonts w:ascii="宋体" w:hint="eastAsia"/>
          </w:rPr>
          <w:t>三、估价目的</w:t>
        </w:r>
        <w:r>
          <w:tab/>
        </w:r>
        <w:r>
          <w:fldChar w:fldCharType="begin"/>
        </w:r>
        <w:r>
          <w:instrText xml:space="preserve"> PAGEREF _Toc8711 \h </w:instrText>
        </w:r>
        <w:r>
          <w:fldChar w:fldCharType="separate"/>
        </w:r>
        <w:r>
          <w:t>7</w:t>
        </w:r>
        <w:r>
          <w:fldChar w:fldCharType="end"/>
        </w:r>
      </w:hyperlink>
    </w:p>
    <w:p w:rsidR="00DF6B48" w:rsidRDefault="006A33AA">
      <w:pPr>
        <w:pStyle w:val="21"/>
        <w:tabs>
          <w:tab w:val="clear" w:pos="8630"/>
          <w:tab w:val="right" w:leader="dot" w:pos="8640"/>
        </w:tabs>
      </w:pPr>
      <w:hyperlink w:anchor="_Toc2600" w:history="1">
        <w:r>
          <w:rPr>
            <w:rFonts w:ascii="宋体" w:hint="eastAsia"/>
          </w:rPr>
          <w:t>四、估价对象</w:t>
        </w:r>
        <w:r>
          <w:tab/>
        </w:r>
        <w:r>
          <w:fldChar w:fldCharType="begin"/>
        </w:r>
        <w:r>
          <w:instrText xml:space="preserve"> PAGEREF _Toc2600 \h </w:instrText>
        </w:r>
        <w:r>
          <w:fldChar w:fldCharType="separate"/>
        </w:r>
        <w:r>
          <w:t>7</w:t>
        </w:r>
        <w:r>
          <w:fldChar w:fldCharType="end"/>
        </w:r>
      </w:hyperlink>
    </w:p>
    <w:p w:rsidR="00DF6B48" w:rsidRDefault="006A33AA">
      <w:pPr>
        <w:pStyle w:val="21"/>
        <w:tabs>
          <w:tab w:val="clear" w:pos="8630"/>
          <w:tab w:val="right" w:leader="dot" w:pos="8640"/>
        </w:tabs>
      </w:pPr>
      <w:hyperlink w:anchor="_Toc14117" w:history="1">
        <w:r>
          <w:rPr>
            <w:rFonts w:ascii="宋体" w:hint="eastAsia"/>
          </w:rPr>
          <w:t>五、价值时点</w:t>
        </w:r>
        <w:r>
          <w:tab/>
        </w:r>
        <w:r>
          <w:fldChar w:fldCharType="begin"/>
        </w:r>
        <w:r>
          <w:instrText xml:space="preserve"> PAGEREF _Toc14117 \h </w:instrText>
        </w:r>
        <w:r>
          <w:fldChar w:fldCharType="separate"/>
        </w:r>
        <w:r>
          <w:t>8</w:t>
        </w:r>
        <w:r>
          <w:fldChar w:fldCharType="end"/>
        </w:r>
      </w:hyperlink>
    </w:p>
    <w:p w:rsidR="00DF6B48" w:rsidRDefault="006A33AA">
      <w:pPr>
        <w:pStyle w:val="21"/>
        <w:tabs>
          <w:tab w:val="clear" w:pos="8630"/>
          <w:tab w:val="right" w:leader="dot" w:pos="8640"/>
        </w:tabs>
      </w:pPr>
      <w:hyperlink w:anchor="_Toc3330" w:history="1">
        <w:r>
          <w:rPr>
            <w:rFonts w:ascii="宋体" w:hint="eastAsia"/>
          </w:rPr>
          <w:t>六、价值类型</w:t>
        </w:r>
        <w:r>
          <w:tab/>
        </w:r>
        <w:r>
          <w:fldChar w:fldCharType="begin"/>
        </w:r>
        <w:r>
          <w:instrText xml:space="preserve"> PAGEREF _Toc3330 \h </w:instrText>
        </w:r>
        <w:r>
          <w:fldChar w:fldCharType="separate"/>
        </w:r>
        <w:r>
          <w:t>9</w:t>
        </w:r>
        <w:r>
          <w:fldChar w:fldCharType="end"/>
        </w:r>
      </w:hyperlink>
    </w:p>
    <w:p w:rsidR="00DF6B48" w:rsidRDefault="006A33AA">
      <w:pPr>
        <w:pStyle w:val="21"/>
        <w:tabs>
          <w:tab w:val="clear" w:pos="8630"/>
          <w:tab w:val="right" w:leader="dot" w:pos="8640"/>
        </w:tabs>
      </w:pPr>
      <w:hyperlink w:anchor="_Toc3614" w:history="1">
        <w:r>
          <w:rPr>
            <w:rFonts w:ascii="宋体" w:hint="eastAsia"/>
          </w:rPr>
          <w:t>七、估价原则</w:t>
        </w:r>
        <w:r>
          <w:tab/>
        </w:r>
        <w:r>
          <w:fldChar w:fldCharType="begin"/>
        </w:r>
        <w:r>
          <w:instrText xml:space="preserve"> PAGEREF _Toc3614 \h </w:instrText>
        </w:r>
        <w:r>
          <w:fldChar w:fldCharType="separate"/>
        </w:r>
        <w:r>
          <w:t>9</w:t>
        </w:r>
        <w:r>
          <w:fldChar w:fldCharType="end"/>
        </w:r>
      </w:hyperlink>
    </w:p>
    <w:p w:rsidR="00DF6B48" w:rsidRDefault="006A33AA">
      <w:pPr>
        <w:pStyle w:val="21"/>
        <w:tabs>
          <w:tab w:val="clear" w:pos="8630"/>
          <w:tab w:val="right" w:leader="dot" w:pos="8640"/>
        </w:tabs>
      </w:pPr>
      <w:hyperlink w:anchor="_Toc30500" w:history="1">
        <w:r>
          <w:rPr>
            <w:rFonts w:ascii="宋体" w:hint="eastAsia"/>
          </w:rPr>
          <w:t>八、估价依据</w:t>
        </w:r>
        <w:r>
          <w:tab/>
        </w:r>
        <w:r>
          <w:fldChar w:fldCharType="begin"/>
        </w:r>
        <w:r>
          <w:instrText xml:space="preserve"> PAGEREF _Toc30500 \h </w:instrText>
        </w:r>
        <w:r>
          <w:fldChar w:fldCharType="separate"/>
        </w:r>
        <w:r>
          <w:t>9</w:t>
        </w:r>
        <w:r>
          <w:fldChar w:fldCharType="end"/>
        </w:r>
      </w:hyperlink>
    </w:p>
    <w:p w:rsidR="00DF6B48" w:rsidRDefault="006A33AA">
      <w:pPr>
        <w:pStyle w:val="21"/>
        <w:tabs>
          <w:tab w:val="clear" w:pos="8630"/>
          <w:tab w:val="right" w:leader="dot" w:pos="8640"/>
        </w:tabs>
      </w:pPr>
      <w:hyperlink w:anchor="_Toc22966" w:history="1">
        <w:r>
          <w:rPr>
            <w:rFonts w:ascii="宋体" w:hint="eastAsia"/>
          </w:rPr>
          <w:t>九、估价方法</w:t>
        </w:r>
        <w:r>
          <w:tab/>
        </w:r>
        <w:r>
          <w:fldChar w:fldCharType="begin"/>
        </w:r>
        <w:r>
          <w:instrText xml:space="preserve"> PAGEREF _Toc22966 \h </w:instrText>
        </w:r>
        <w:r>
          <w:fldChar w:fldCharType="separate"/>
        </w:r>
        <w:r>
          <w:t>11</w:t>
        </w:r>
        <w:r>
          <w:fldChar w:fldCharType="end"/>
        </w:r>
      </w:hyperlink>
    </w:p>
    <w:p w:rsidR="00DF6B48" w:rsidRDefault="006A33AA">
      <w:pPr>
        <w:pStyle w:val="21"/>
        <w:tabs>
          <w:tab w:val="clear" w:pos="8630"/>
          <w:tab w:val="right" w:leader="dot" w:pos="8640"/>
        </w:tabs>
      </w:pPr>
      <w:hyperlink w:anchor="_Toc28928" w:history="1">
        <w:r>
          <w:rPr>
            <w:rFonts w:ascii="宋体" w:hint="eastAsia"/>
          </w:rPr>
          <w:t>十、估价结果</w:t>
        </w:r>
        <w:r>
          <w:tab/>
        </w:r>
        <w:r>
          <w:fldChar w:fldCharType="begin"/>
        </w:r>
        <w:r>
          <w:instrText xml:space="preserve"> PAGEREF _Toc28928 \h </w:instrText>
        </w:r>
        <w:r>
          <w:fldChar w:fldCharType="separate"/>
        </w:r>
        <w:r>
          <w:t>12</w:t>
        </w:r>
        <w:r>
          <w:fldChar w:fldCharType="end"/>
        </w:r>
      </w:hyperlink>
    </w:p>
    <w:p w:rsidR="00DF6B48" w:rsidRDefault="006A33AA">
      <w:pPr>
        <w:pStyle w:val="21"/>
        <w:tabs>
          <w:tab w:val="clear" w:pos="8630"/>
          <w:tab w:val="right" w:leader="dot" w:pos="8640"/>
        </w:tabs>
      </w:pPr>
      <w:hyperlink w:anchor="_Toc26194" w:history="1">
        <w:r>
          <w:rPr>
            <w:rFonts w:ascii="宋体" w:hint="eastAsia"/>
          </w:rPr>
          <w:t>十一、注册房地产估价师</w:t>
        </w:r>
        <w:r>
          <w:tab/>
        </w:r>
        <w:r>
          <w:fldChar w:fldCharType="begin"/>
        </w:r>
        <w:r>
          <w:instrText xml:space="preserve"> PAGEREF _Toc26194 \h </w:instrText>
        </w:r>
        <w:r>
          <w:fldChar w:fldCharType="separate"/>
        </w:r>
        <w:r>
          <w:t>12</w:t>
        </w:r>
        <w:r>
          <w:fldChar w:fldCharType="end"/>
        </w:r>
      </w:hyperlink>
    </w:p>
    <w:p w:rsidR="00DF6B48" w:rsidRDefault="006A33AA">
      <w:pPr>
        <w:pStyle w:val="21"/>
        <w:tabs>
          <w:tab w:val="clear" w:pos="8630"/>
          <w:tab w:val="right" w:leader="dot" w:pos="8640"/>
        </w:tabs>
      </w:pPr>
      <w:hyperlink w:anchor="_Toc11324" w:history="1">
        <w:r>
          <w:rPr>
            <w:rFonts w:ascii="宋体" w:hint="eastAsia"/>
          </w:rPr>
          <w:t>十二、实地查勘期</w:t>
        </w:r>
        <w:r>
          <w:tab/>
        </w:r>
        <w:r>
          <w:fldChar w:fldCharType="begin"/>
        </w:r>
        <w:r>
          <w:instrText xml:space="preserve"> PAGEREF _Toc11324 \h </w:instrText>
        </w:r>
        <w:r>
          <w:fldChar w:fldCharType="separate"/>
        </w:r>
        <w:r>
          <w:t>12</w:t>
        </w:r>
        <w:r>
          <w:fldChar w:fldCharType="end"/>
        </w:r>
      </w:hyperlink>
    </w:p>
    <w:p w:rsidR="00DF6B48" w:rsidRDefault="006A33AA">
      <w:pPr>
        <w:pStyle w:val="21"/>
        <w:tabs>
          <w:tab w:val="clear" w:pos="8630"/>
          <w:tab w:val="right" w:leader="dot" w:pos="8640"/>
        </w:tabs>
      </w:pPr>
      <w:hyperlink w:anchor="_Toc8838" w:history="1">
        <w:r>
          <w:rPr>
            <w:rFonts w:ascii="宋体" w:hint="eastAsia"/>
          </w:rPr>
          <w:t>十三、估价作业期</w:t>
        </w:r>
        <w:r>
          <w:tab/>
        </w:r>
        <w:r>
          <w:fldChar w:fldCharType="begin"/>
        </w:r>
        <w:r>
          <w:instrText xml:space="preserve"> PAGEREF _Toc8838 \h </w:instrText>
        </w:r>
        <w:r>
          <w:fldChar w:fldCharType="separate"/>
        </w:r>
        <w:r>
          <w:t>12</w:t>
        </w:r>
        <w:r>
          <w:fldChar w:fldCharType="end"/>
        </w:r>
      </w:hyperlink>
    </w:p>
    <w:p w:rsidR="00DF6B48" w:rsidRDefault="006A33AA">
      <w:pPr>
        <w:pStyle w:val="10"/>
        <w:tabs>
          <w:tab w:val="right" w:leader="dot" w:pos="8640"/>
        </w:tabs>
      </w:pPr>
      <w:hyperlink w:anchor="_Toc31361" w:history="1">
        <w:r>
          <w:rPr>
            <w:rFonts w:hint="eastAsia"/>
          </w:rPr>
          <w:t>附</w:t>
        </w:r>
        <w:r>
          <w:rPr>
            <w:rFonts w:hint="eastAsia"/>
          </w:rPr>
          <w:t xml:space="preserve">  </w:t>
        </w:r>
        <w:r>
          <w:rPr>
            <w:rFonts w:hint="eastAsia"/>
          </w:rPr>
          <w:t>件</w:t>
        </w:r>
        <w:r>
          <w:tab/>
        </w:r>
        <w:r>
          <w:fldChar w:fldCharType="begin"/>
        </w:r>
        <w:r>
          <w:instrText xml:space="preserve"> PAGEREF _Toc31361 \h </w:instrText>
        </w:r>
        <w:r>
          <w:fldChar w:fldCharType="separate"/>
        </w:r>
        <w:r>
          <w:t>13</w:t>
        </w:r>
        <w:r>
          <w:fldChar w:fldCharType="end"/>
        </w:r>
      </w:hyperlink>
    </w:p>
    <w:p w:rsidR="00DF6B48" w:rsidRDefault="006A33AA">
      <w:pPr>
        <w:pStyle w:val="21"/>
        <w:tabs>
          <w:tab w:val="clear" w:pos="8630"/>
          <w:tab w:val="right" w:leader="dot" w:pos="8640"/>
        </w:tabs>
      </w:pPr>
      <w:hyperlink w:anchor="_Toc18745" w:history="1">
        <w:r>
          <w:rPr>
            <w:rFonts w:ascii="宋体" w:hint="eastAsia"/>
          </w:rPr>
          <w:t>一、《福建省泉州市丰泽区人民法院价格评估委托书》（（</w:t>
        </w:r>
        <w:r>
          <w:rPr>
            <w:rFonts w:ascii="宋体" w:hint="eastAsia"/>
          </w:rPr>
          <w:t>2022</w:t>
        </w:r>
        <w:r>
          <w:rPr>
            <w:rFonts w:ascii="宋体" w:hint="eastAsia"/>
          </w:rPr>
          <w:t>）闽</w:t>
        </w:r>
        <w:r>
          <w:rPr>
            <w:rFonts w:ascii="宋体" w:hint="eastAsia"/>
          </w:rPr>
          <w:t>0503</w:t>
        </w:r>
        <w:r>
          <w:rPr>
            <w:rFonts w:ascii="宋体" w:hint="eastAsia"/>
          </w:rPr>
          <w:t>执</w:t>
        </w:r>
        <w:r>
          <w:rPr>
            <w:rFonts w:ascii="宋体" w:hint="eastAsia"/>
          </w:rPr>
          <w:t>193</w:t>
        </w:r>
        <w:r>
          <w:rPr>
            <w:rFonts w:ascii="宋体" w:hint="eastAsia"/>
          </w:rPr>
          <w:t>号）、《福建省泉州市丰泽区人民法院执行裁定书》（（</w:t>
        </w:r>
        <w:r>
          <w:rPr>
            <w:rFonts w:ascii="宋体" w:hint="eastAsia"/>
          </w:rPr>
          <w:t>2022</w:t>
        </w:r>
        <w:r>
          <w:rPr>
            <w:rFonts w:ascii="宋体" w:hint="eastAsia"/>
          </w:rPr>
          <w:t>）闽</w:t>
        </w:r>
        <w:r>
          <w:rPr>
            <w:rFonts w:ascii="宋体" w:hint="eastAsia"/>
          </w:rPr>
          <w:t>0503</w:t>
        </w:r>
        <w:r>
          <w:rPr>
            <w:rFonts w:ascii="宋体" w:hint="eastAsia"/>
          </w:rPr>
          <w:t>执</w:t>
        </w:r>
        <w:r>
          <w:rPr>
            <w:rFonts w:ascii="宋体" w:hint="eastAsia"/>
          </w:rPr>
          <w:t>193</w:t>
        </w:r>
        <w:r>
          <w:rPr>
            <w:rFonts w:ascii="宋体" w:hint="eastAsia"/>
          </w:rPr>
          <w:t>号）</w:t>
        </w:r>
        <w:r>
          <w:tab/>
        </w:r>
        <w:r>
          <w:fldChar w:fldCharType="begin"/>
        </w:r>
        <w:r>
          <w:instrText xml:space="preserve"> PAGEREF _Toc18745 \h </w:instrText>
        </w:r>
        <w:r>
          <w:fldChar w:fldCharType="separate"/>
        </w:r>
        <w:r>
          <w:t>13</w:t>
        </w:r>
        <w:r>
          <w:fldChar w:fldCharType="end"/>
        </w:r>
      </w:hyperlink>
    </w:p>
    <w:p w:rsidR="00DF6B48" w:rsidRDefault="006A33AA">
      <w:pPr>
        <w:pStyle w:val="21"/>
        <w:tabs>
          <w:tab w:val="clear" w:pos="8630"/>
          <w:tab w:val="right" w:leader="dot" w:pos="8640"/>
        </w:tabs>
      </w:pPr>
      <w:hyperlink w:anchor="_Toc904" w:history="1">
        <w:r>
          <w:rPr>
            <w:rFonts w:ascii="宋体" w:hint="eastAsia"/>
          </w:rPr>
          <w:t>二、估价对象位置图</w:t>
        </w:r>
        <w:r>
          <w:tab/>
        </w:r>
        <w:r>
          <w:fldChar w:fldCharType="begin"/>
        </w:r>
        <w:r>
          <w:instrText xml:space="preserve"> PAGEREF _Toc904 \h </w:instrText>
        </w:r>
        <w:r>
          <w:fldChar w:fldCharType="separate"/>
        </w:r>
        <w:r>
          <w:t>13</w:t>
        </w:r>
        <w:r>
          <w:fldChar w:fldCharType="end"/>
        </w:r>
      </w:hyperlink>
    </w:p>
    <w:p w:rsidR="00DF6B48" w:rsidRDefault="006A33AA">
      <w:pPr>
        <w:pStyle w:val="21"/>
        <w:tabs>
          <w:tab w:val="clear" w:pos="8630"/>
          <w:tab w:val="right" w:leader="dot" w:pos="8640"/>
        </w:tabs>
      </w:pPr>
      <w:hyperlink w:anchor="_Toc8674" w:history="1">
        <w:r>
          <w:rPr>
            <w:rFonts w:ascii="宋体" w:hint="eastAsia"/>
          </w:rPr>
          <w:t>三、估价对象实地查勘情况及内部状况照片、外部状况照片、周围环境照片</w:t>
        </w:r>
        <w:r>
          <w:tab/>
        </w:r>
        <w:r>
          <w:fldChar w:fldCharType="begin"/>
        </w:r>
        <w:r>
          <w:instrText xml:space="preserve"> PAGEREF _Toc8674 \h </w:instrText>
        </w:r>
        <w:r>
          <w:fldChar w:fldCharType="separate"/>
        </w:r>
        <w:r>
          <w:t>13</w:t>
        </w:r>
        <w:r>
          <w:fldChar w:fldCharType="end"/>
        </w:r>
      </w:hyperlink>
    </w:p>
    <w:p w:rsidR="00DF6B48" w:rsidRDefault="006A33AA">
      <w:pPr>
        <w:pStyle w:val="21"/>
        <w:tabs>
          <w:tab w:val="clear" w:pos="8630"/>
          <w:tab w:val="right" w:leader="dot" w:pos="8640"/>
        </w:tabs>
      </w:pPr>
      <w:hyperlink w:anchor="_Toc23791" w:history="1">
        <w:r>
          <w:rPr>
            <w:rFonts w:ascii="宋体" w:hint="eastAsia"/>
          </w:rPr>
          <w:t>四、《房屋所有权证》（证号：晋房权证梅岭字第</w:t>
        </w:r>
        <w:r>
          <w:rPr>
            <w:rFonts w:ascii="宋体" w:hint="eastAsia"/>
          </w:rPr>
          <w:t>2</w:t>
        </w:r>
        <w:r>
          <w:rPr>
            <w:rFonts w:ascii="宋体" w:hint="eastAsia"/>
          </w:rPr>
          <w:t>01417328</w:t>
        </w:r>
        <w:r>
          <w:rPr>
            <w:rFonts w:ascii="宋体" w:hint="eastAsia"/>
          </w:rPr>
          <w:t>号）复印件</w:t>
        </w:r>
        <w:r>
          <w:tab/>
        </w:r>
        <w:r>
          <w:fldChar w:fldCharType="begin"/>
        </w:r>
        <w:r>
          <w:instrText xml:space="preserve"> PAGEREF _Toc23791 \h </w:instrText>
        </w:r>
        <w:r>
          <w:fldChar w:fldCharType="separate"/>
        </w:r>
        <w:r>
          <w:t>13</w:t>
        </w:r>
        <w:r>
          <w:fldChar w:fldCharType="end"/>
        </w:r>
      </w:hyperlink>
    </w:p>
    <w:p w:rsidR="00DF6B48" w:rsidRDefault="006A33AA">
      <w:pPr>
        <w:pStyle w:val="21"/>
        <w:tabs>
          <w:tab w:val="clear" w:pos="8630"/>
          <w:tab w:val="right" w:leader="dot" w:pos="8640"/>
        </w:tabs>
      </w:pPr>
      <w:hyperlink w:anchor="_Toc12198" w:history="1">
        <w:r>
          <w:rPr>
            <w:rFonts w:ascii="宋体" w:hint="eastAsia"/>
          </w:rPr>
          <w:t>五、房地产估价机构</w:t>
        </w:r>
        <w:r>
          <w:rPr>
            <w:rFonts w:ascii="宋体"/>
          </w:rPr>
          <w:t>营业执照</w:t>
        </w:r>
        <w:r>
          <w:rPr>
            <w:rFonts w:ascii="宋体" w:hint="eastAsia"/>
          </w:rPr>
          <w:t>复印件、房地产估价机构资质证书复印件</w:t>
        </w:r>
        <w:r>
          <w:tab/>
        </w:r>
        <w:r>
          <w:fldChar w:fldCharType="begin"/>
        </w:r>
        <w:r>
          <w:instrText xml:space="preserve"> PAGEREF _Toc12198 \h </w:instrText>
        </w:r>
        <w:r>
          <w:fldChar w:fldCharType="separate"/>
        </w:r>
        <w:r>
          <w:t>13</w:t>
        </w:r>
        <w:r>
          <w:fldChar w:fldCharType="end"/>
        </w:r>
      </w:hyperlink>
    </w:p>
    <w:p w:rsidR="00DF6B48" w:rsidRDefault="006A33AA">
      <w:pPr>
        <w:pStyle w:val="21"/>
        <w:tabs>
          <w:tab w:val="clear" w:pos="8630"/>
          <w:tab w:val="right" w:leader="dot" w:pos="8640"/>
        </w:tabs>
      </w:pPr>
      <w:hyperlink w:anchor="_Toc6492" w:history="1">
        <w:r>
          <w:rPr>
            <w:rFonts w:ascii="宋体" w:hint="eastAsia"/>
          </w:rPr>
          <w:t>六、注册房地产</w:t>
        </w:r>
        <w:r>
          <w:rPr>
            <w:rFonts w:ascii="宋体"/>
          </w:rPr>
          <w:t>估价师</w:t>
        </w:r>
        <w:r>
          <w:rPr>
            <w:rFonts w:ascii="宋体" w:hint="eastAsia"/>
          </w:rPr>
          <w:t>注册证书复印件</w:t>
        </w:r>
        <w:r>
          <w:tab/>
        </w:r>
        <w:r>
          <w:fldChar w:fldCharType="begin"/>
        </w:r>
        <w:r>
          <w:instrText xml:space="preserve"> PAGEREF _Toc6492 \h </w:instrText>
        </w:r>
        <w:r>
          <w:fldChar w:fldCharType="separate"/>
        </w:r>
        <w:r>
          <w:t>13</w:t>
        </w:r>
        <w:r>
          <w:fldChar w:fldCharType="end"/>
        </w:r>
      </w:hyperlink>
    </w:p>
    <w:p w:rsidR="00DF6B48" w:rsidRDefault="006A33AA">
      <w:pPr>
        <w:pStyle w:val="21"/>
        <w:ind w:leftChars="0" w:left="0"/>
        <w:rPr>
          <w:rFonts w:ascii="宋体"/>
          <w:b/>
          <w:bCs/>
          <w:caps/>
          <w:sz w:val="32"/>
        </w:rPr>
      </w:pPr>
      <w:r>
        <w:rPr>
          <w:rFonts w:ascii="宋体"/>
          <w:bCs/>
          <w:caps/>
        </w:rPr>
        <w:fldChar w:fldCharType="end"/>
      </w:r>
    </w:p>
    <w:p w:rsidR="00DF6B48" w:rsidRDefault="00DF6B48"/>
    <w:p w:rsidR="00DF6B48" w:rsidRDefault="00DF6B48"/>
    <w:p w:rsidR="00DF6B48" w:rsidRDefault="006A33AA">
      <w:pPr>
        <w:widowControl/>
        <w:jc w:val="left"/>
        <w:rPr>
          <w:rFonts w:ascii="宋体" w:hAnsi="宋体"/>
          <w:b/>
          <w:sz w:val="32"/>
          <w:szCs w:val="32"/>
        </w:rPr>
      </w:pPr>
      <w:bookmarkStart w:id="12" w:name="_Toc247681906"/>
      <w:bookmarkStart w:id="13" w:name="_Toc247682193"/>
      <w:bookmarkStart w:id="14" w:name="_Toc400744770"/>
      <w:bookmarkStart w:id="15" w:name="_Toc247681587"/>
      <w:bookmarkStart w:id="16" w:name="_Toc247682276"/>
      <w:bookmarkStart w:id="17" w:name="_Toc247682124"/>
      <w:bookmarkStart w:id="18" w:name="_Toc247681791"/>
      <w:bookmarkStart w:id="19" w:name="_Toc247682224"/>
      <w:bookmarkEnd w:id="5"/>
      <w:bookmarkEnd w:id="6"/>
      <w:bookmarkEnd w:id="7"/>
      <w:bookmarkEnd w:id="8"/>
      <w:bookmarkEnd w:id="9"/>
      <w:bookmarkEnd w:id="10"/>
      <w:bookmarkEnd w:id="11"/>
      <w:r>
        <w:br w:type="page"/>
      </w:r>
    </w:p>
    <w:p w:rsidR="00DF6B48" w:rsidRDefault="006A33AA">
      <w:pPr>
        <w:pStyle w:val="11"/>
      </w:pPr>
      <w:bookmarkStart w:id="20" w:name="_Toc18034"/>
      <w:r>
        <w:rPr>
          <w:rFonts w:hint="eastAsia"/>
        </w:rPr>
        <w:lastRenderedPageBreak/>
        <w:t>估价师声明</w:t>
      </w:r>
      <w:bookmarkEnd w:id="12"/>
      <w:bookmarkEnd w:id="13"/>
      <w:bookmarkEnd w:id="14"/>
      <w:bookmarkEnd w:id="15"/>
      <w:bookmarkEnd w:id="16"/>
      <w:bookmarkEnd w:id="17"/>
      <w:bookmarkEnd w:id="18"/>
      <w:bookmarkEnd w:id="19"/>
      <w:bookmarkEnd w:id="20"/>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我们根据自己的专业知识和职业道德，在此郑重声明：</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、注册房地产估价师在估价报告中对事实的说明是真实和准确的，没有虚假记载、误导性陈述和重大遗漏。</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、注册房地产估价师与估价报告中的估价对象没有现实或潜在的利益，与估价委托人及估价利害关系人没有利害关系，也对估价对象、估价委托人及估价利害关系人没有偏见。</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、注册房地产估价师是按照《房地产估价规范》（</w:t>
      </w:r>
      <w:r>
        <w:rPr>
          <w:rFonts w:ascii="宋体" w:hAnsi="宋体" w:hint="eastAsia"/>
          <w:sz w:val="24"/>
        </w:rPr>
        <w:t>GB/T 50291-2015</w:t>
      </w:r>
      <w:r>
        <w:rPr>
          <w:rFonts w:ascii="宋体" w:hAnsi="宋体" w:hint="eastAsia"/>
          <w:sz w:val="24"/>
        </w:rPr>
        <w:t>）、《房地产估价基本术语标准》（</w:t>
      </w:r>
      <w:r>
        <w:rPr>
          <w:rFonts w:ascii="宋体" w:hAnsi="宋体" w:hint="eastAsia"/>
          <w:sz w:val="24"/>
        </w:rPr>
        <w:t>GB/T 50899-2013</w:t>
      </w:r>
      <w:r>
        <w:rPr>
          <w:rFonts w:ascii="宋体" w:hAnsi="宋体" w:hint="eastAsia"/>
          <w:sz w:val="24"/>
        </w:rPr>
        <w:t>）等有关房地产估价标准的规定进行估价工作，撰写估价报告。</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5</w:t>
      </w:r>
      <w:r>
        <w:rPr>
          <w:rFonts w:ascii="宋体" w:hAnsi="宋体" w:hint="eastAsia"/>
          <w:sz w:val="24"/>
        </w:rPr>
        <w:t>、没有人对</w:t>
      </w:r>
      <w:r>
        <w:rPr>
          <w:rFonts w:ascii="宋体" w:hAnsi="宋体" w:hint="eastAsia"/>
          <w:sz w:val="24"/>
        </w:rPr>
        <w:t>本估价报告提供重要专业帮助。</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参加本次估价的注册房地产估价师（签名、盖章）：</w:t>
      </w:r>
    </w:p>
    <w:tbl>
      <w:tblPr>
        <w:tblW w:w="9329" w:type="dxa"/>
        <w:tblLook w:val="04A0" w:firstRow="1" w:lastRow="0" w:firstColumn="1" w:lastColumn="0" w:noHBand="0" w:noVBand="1"/>
      </w:tblPr>
      <w:tblGrid>
        <w:gridCol w:w="1557"/>
        <w:gridCol w:w="3616"/>
        <w:gridCol w:w="1759"/>
        <w:gridCol w:w="2397"/>
      </w:tblGrid>
      <w:tr w:rsidR="00DF6B48">
        <w:trPr>
          <w:trHeight w:val="1345"/>
        </w:trPr>
        <w:tc>
          <w:tcPr>
            <w:tcW w:w="1557" w:type="dxa"/>
            <w:shd w:val="clear" w:color="auto" w:fill="auto"/>
            <w:vAlign w:val="center"/>
          </w:tcPr>
          <w:p w:rsidR="00DF6B48" w:rsidRDefault="006A33AA">
            <w:pPr>
              <w:spacing w:line="1000" w:lineRule="exact"/>
              <w:rPr>
                <w:rFonts w:ascii="宋体" w:hAnsi="宋体"/>
                <w:sz w:val="24"/>
              </w:rPr>
            </w:pPr>
            <w:r>
              <w:rPr>
                <w:rFonts w:ascii="宋体" w:hAnsi="宋体" w:hint="eastAsia"/>
                <w:bCs/>
                <w:sz w:val="24"/>
              </w:rPr>
              <w:t>估价师姓名</w:t>
            </w:r>
          </w:p>
        </w:tc>
        <w:tc>
          <w:tcPr>
            <w:tcW w:w="3616" w:type="dxa"/>
            <w:shd w:val="clear" w:color="auto" w:fill="auto"/>
            <w:vAlign w:val="center"/>
          </w:tcPr>
          <w:p w:rsidR="00DF6B48" w:rsidRDefault="006A33AA">
            <w:pPr>
              <w:spacing w:line="1000" w:lineRule="exact"/>
              <w:jc w:val="center"/>
              <w:rPr>
                <w:rFonts w:ascii="宋体" w:hAnsi="宋体"/>
                <w:sz w:val="24"/>
              </w:rPr>
            </w:pPr>
            <w:r>
              <w:rPr>
                <w:rFonts w:ascii="宋体" w:hAnsi="宋体" w:hint="eastAsia"/>
                <w:bCs/>
                <w:sz w:val="24"/>
              </w:rPr>
              <w:t>房地产估价师注册号</w:t>
            </w:r>
          </w:p>
        </w:tc>
        <w:tc>
          <w:tcPr>
            <w:tcW w:w="1759" w:type="dxa"/>
            <w:shd w:val="clear" w:color="auto" w:fill="auto"/>
            <w:vAlign w:val="center"/>
          </w:tcPr>
          <w:p w:rsidR="00DF6B48" w:rsidRDefault="006A33AA">
            <w:pPr>
              <w:spacing w:line="1000" w:lineRule="exact"/>
              <w:jc w:val="center"/>
              <w:rPr>
                <w:rFonts w:ascii="宋体" w:hAnsi="宋体"/>
                <w:sz w:val="24"/>
              </w:rPr>
            </w:pPr>
            <w:r>
              <w:rPr>
                <w:rFonts w:ascii="宋体" w:hAnsi="宋体" w:hint="eastAsia"/>
                <w:bCs/>
                <w:sz w:val="24"/>
              </w:rPr>
              <w:t>签名</w:t>
            </w:r>
          </w:p>
        </w:tc>
        <w:tc>
          <w:tcPr>
            <w:tcW w:w="2397" w:type="dxa"/>
            <w:shd w:val="clear" w:color="auto" w:fill="auto"/>
            <w:vAlign w:val="center"/>
          </w:tcPr>
          <w:p w:rsidR="00DF6B48" w:rsidRDefault="006A33AA">
            <w:pPr>
              <w:spacing w:line="1000" w:lineRule="exact"/>
              <w:jc w:val="center"/>
              <w:rPr>
                <w:rFonts w:ascii="宋体" w:hAnsi="宋体"/>
                <w:sz w:val="24"/>
              </w:rPr>
            </w:pPr>
            <w:r>
              <w:rPr>
                <w:rFonts w:ascii="宋体" w:hAnsi="宋体" w:hint="eastAsia"/>
                <w:bCs/>
                <w:sz w:val="24"/>
              </w:rPr>
              <w:t>日期</w:t>
            </w:r>
          </w:p>
        </w:tc>
      </w:tr>
      <w:tr w:rsidR="00DF6B48">
        <w:trPr>
          <w:trHeight w:val="1345"/>
        </w:trPr>
        <w:tc>
          <w:tcPr>
            <w:tcW w:w="1557" w:type="dxa"/>
            <w:shd w:val="clear" w:color="auto" w:fill="auto"/>
            <w:vAlign w:val="center"/>
          </w:tcPr>
          <w:p w:rsidR="00DF6B48" w:rsidRDefault="006A33AA">
            <w:pPr>
              <w:spacing w:line="1000" w:lineRule="exact"/>
              <w:rPr>
                <w:rFonts w:ascii="宋体" w:hAnsi="宋体"/>
                <w:sz w:val="24"/>
              </w:rPr>
            </w:pPr>
            <w:proofErr w:type="gramStart"/>
            <w:r>
              <w:rPr>
                <w:rFonts w:ascii="宋体" w:hAnsi="宋体" w:hint="eastAsia"/>
                <w:bCs/>
                <w:sz w:val="24"/>
              </w:rPr>
              <w:t>杨智伟</w:t>
            </w:r>
            <w:proofErr w:type="gramEnd"/>
          </w:p>
        </w:tc>
        <w:tc>
          <w:tcPr>
            <w:tcW w:w="3616" w:type="dxa"/>
            <w:shd w:val="clear" w:color="auto" w:fill="auto"/>
            <w:vAlign w:val="center"/>
          </w:tcPr>
          <w:p w:rsidR="00DF6B48" w:rsidRDefault="006A33AA">
            <w:pPr>
              <w:spacing w:line="1000" w:lineRule="exact"/>
              <w:ind w:firstLineChars="400" w:firstLine="960"/>
              <w:rPr>
                <w:rFonts w:ascii="宋体" w:hAnsi="宋体"/>
                <w:sz w:val="24"/>
              </w:rPr>
            </w:pPr>
            <w:r>
              <w:rPr>
                <w:rFonts w:ascii="宋体" w:hAnsi="宋体" w:hint="eastAsia"/>
                <w:sz w:val="24"/>
              </w:rPr>
              <w:t>3520120064</w:t>
            </w:r>
            <w:r>
              <w:rPr>
                <w:rFonts w:ascii="宋体" w:hAnsi="宋体"/>
                <w:sz w:val="24"/>
              </w:rPr>
              <w:t xml:space="preserve"> </w:t>
            </w:r>
          </w:p>
        </w:tc>
        <w:tc>
          <w:tcPr>
            <w:tcW w:w="1759" w:type="dxa"/>
            <w:shd w:val="clear" w:color="auto" w:fill="auto"/>
            <w:vAlign w:val="center"/>
          </w:tcPr>
          <w:p w:rsidR="00DF6B48" w:rsidRDefault="00DF6B48">
            <w:pPr>
              <w:spacing w:line="1000" w:lineRule="exact"/>
              <w:jc w:val="center"/>
              <w:rPr>
                <w:rFonts w:ascii="宋体" w:hAnsi="宋体"/>
                <w:sz w:val="24"/>
              </w:rPr>
            </w:pPr>
          </w:p>
        </w:tc>
        <w:tc>
          <w:tcPr>
            <w:tcW w:w="2397" w:type="dxa"/>
            <w:shd w:val="clear" w:color="auto" w:fill="auto"/>
            <w:vAlign w:val="center"/>
          </w:tcPr>
          <w:p w:rsidR="00DF6B48" w:rsidRDefault="006A33AA">
            <w:pPr>
              <w:spacing w:line="1000" w:lineRule="exact"/>
              <w:jc w:val="center"/>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日</w:t>
            </w:r>
          </w:p>
        </w:tc>
      </w:tr>
      <w:tr w:rsidR="00DF6B48">
        <w:trPr>
          <w:trHeight w:val="1345"/>
        </w:trPr>
        <w:tc>
          <w:tcPr>
            <w:tcW w:w="1557" w:type="dxa"/>
            <w:shd w:val="clear" w:color="auto" w:fill="auto"/>
            <w:vAlign w:val="center"/>
          </w:tcPr>
          <w:p w:rsidR="00DF6B48" w:rsidRDefault="006A33AA">
            <w:pPr>
              <w:spacing w:line="1000" w:lineRule="exact"/>
              <w:rPr>
                <w:rFonts w:ascii="宋体" w:hAnsi="宋体"/>
                <w:sz w:val="24"/>
              </w:rPr>
            </w:pPr>
            <w:r>
              <w:rPr>
                <w:rFonts w:ascii="宋体" w:hAnsi="宋体" w:hint="eastAsia"/>
                <w:bCs/>
                <w:sz w:val="24"/>
              </w:rPr>
              <w:t>林美琼</w:t>
            </w:r>
          </w:p>
        </w:tc>
        <w:tc>
          <w:tcPr>
            <w:tcW w:w="3616" w:type="dxa"/>
            <w:shd w:val="clear" w:color="auto" w:fill="auto"/>
            <w:vAlign w:val="center"/>
          </w:tcPr>
          <w:p w:rsidR="00DF6B48" w:rsidRDefault="006A33AA">
            <w:pPr>
              <w:spacing w:line="1000" w:lineRule="exact"/>
              <w:ind w:firstLineChars="400" w:firstLine="960"/>
              <w:rPr>
                <w:rFonts w:ascii="宋体" w:hAnsi="宋体"/>
                <w:sz w:val="24"/>
              </w:rPr>
            </w:pPr>
            <w:r>
              <w:rPr>
                <w:rFonts w:ascii="宋体" w:hAnsi="宋体" w:hint="eastAsia"/>
                <w:sz w:val="24"/>
              </w:rPr>
              <w:t>3520140080</w:t>
            </w:r>
          </w:p>
        </w:tc>
        <w:tc>
          <w:tcPr>
            <w:tcW w:w="1759" w:type="dxa"/>
            <w:shd w:val="clear" w:color="auto" w:fill="auto"/>
            <w:vAlign w:val="center"/>
          </w:tcPr>
          <w:p w:rsidR="00DF6B48" w:rsidRDefault="00DF6B48">
            <w:pPr>
              <w:spacing w:line="1000" w:lineRule="exact"/>
              <w:jc w:val="center"/>
              <w:rPr>
                <w:rFonts w:ascii="宋体" w:hAnsi="宋体"/>
                <w:sz w:val="24"/>
              </w:rPr>
            </w:pPr>
          </w:p>
        </w:tc>
        <w:tc>
          <w:tcPr>
            <w:tcW w:w="2397" w:type="dxa"/>
            <w:shd w:val="clear" w:color="auto" w:fill="auto"/>
            <w:vAlign w:val="center"/>
          </w:tcPr>
          <w:p w:rsidR="00DF6B48" w:rsidRDefault="006A33AA">
            <w:pPr>
              <w:spacing w:line="1000" w:lineRule="exact"/>
              <w:jc w:val="center"/>
              <w:rPr>
                <w:rFonts w:ascii="宋体" w:hAnsi="宋体"/>
                <w:sz w:val="24"/>
              </w:rPr>
            </w:pPr>
            <w:r>
              <w:rPr>
                <w:rFonts w:ascii="宋体" w:hAnsi="宋体"/>
                <w:sz w:val="24"/>
              </w:rPr>
              <w:t xml:space="preserve"> </w:t>
            </w:r>
            <w:r>
              <w:rPr>
                <w:rFonts w:ascii="宋体" w:hAnsi="宋体"/>
                <w:sz w:val="24"/>
              </w:rPr>
              <w:t>年</w:t>
            </w:r>
            <w:r>
              <w:rPr>
                <w:rFonts w:ascii="宋体" w:hAnsi="宋体" w:hint="eastAsia"/>
                <w:sz w:val="24"/>
              </w:rPr>
              <w:t xml:space="preserve">  </w:t>
            </w:r>
            <w:r>
              <w:rPr>
                <w:rFonts w:ascii="宋体" w:hAnsi="宋体"/>
                <w:sz w:val="24"/>
              </w:rPr>
              <w:t xml:space="preserve"> </w:t>
            </w:r>
            <w:r>
              <w:rPr>
                <w:rFonts w:ascii="宋体" w:hAnsi="宋体"/>
                <w:sz w:val="24"/>
              </w:rPr>
              <w:t>月</w:t>
            </w:r>
            <w:r>
              <w:rPr>
                <w:rFonts w:ascii="宋体" w:hAnsi="宋体" w:hint="eastAsia"/>
                <w:sz w:val="24"/>
              </w:rPr>
              <w:t xml:space="preserve">  </w:t>
            </w:r>
            <w:r>
              <w:rPr>
                <w:rFonts w:ascii="宋体" w:hAnsi="宋体"/>
                <w:sz w:val="24"/>
              </w:rPr>
              <w:t xml:space="preserve"> </w:t>
            </w:r>
            <w:r>
              <w:rPr>
                <w:rFonts w:ascii="宋体" w:hAnsi="宋体"/>
                <w:sz w:val="24"/>
              </w:rPr>
              <w:t>日</w:t>
            </w:r>
          </w:p>
        </w:tc>
      </w:tr>
    </w:tbl>
    <w:p w:rsidR="00DF6B48" w:rsidRDefault="00DF6B48" w:rsidP="008B37E5">
      <w:pPr>
        <w:snapToGrid w:val="0"/>
        <w:spacing w:line="540" w:lineRule="exact"/>
        <w:ind w:leftChars="-171" w:left="-359" w:firstLineChars="192" w:firstLine="461"/>
        <w:rPr>
          <w:rFonts w:ascii="宋体" w:hAnsi="宋体"/>
          <w:sz w:val="24"/>
        </w:rPr>
      </w:pPr>
    </w:p>
    <w:p w:rsidR="00DF6B48" w:rsidRDefault="00DF6B48" w:rsidP="008B37E5">
      <w:pPr>
        <w:snapToGrid w:val="0"/>
        <w:spacing w:line="540" w:lineRule="exact"/>
        <w:ind w:leftChars="-171" w:left="-359" w:firstLineChars="192" w:firstLine="461"/>
        <w:rPr>
          <w:rFonts w:ascii="宋体" w:hAnsi="宋体"/>
          <w:sz w:val="24"/>
        </w:rPr>
      </w:pPr>
    </w:p>
    <w:p w:rsidR="00DF6B48" w:rsidRDefault="00DF6B48" w:rsidP="008B37E5">
      <w:pPr>
        <w:snapToGrid w:val="0"/>
        <w:spacing w:line="540" w:lineRule="exact"/>
        <w:ind w:leftChars="-171" w:left="-359" w:firstLineChars="192" w:firstLine="461"/>
        <w:rPr>
          <w:rFonts w:ascii="宋体" w:hAnsi="宋体"/>
          <w:sz w:val="24"/>
        </w:rPr>
      </w:pPr>
    </w:p>
    <w:p w:rsidR="00DF6B48" w:rsidRDefault="00DF6B48" w:rsidP="008B37E5">
      <w:pPr>
        <w:snapToGrid w:val="0"/>
        <w:spacing w:line="540" w:lineRule="exact"/>
        <w:ind w:leftChars="-171" w:left="-359" w:firstLineChars="192" w:firstLine="461"/>
        <w:rPr>
          <w:rFonts w:ascii="宋体" w:hAnsi="宋体"/>
          <w:sz w:val="24"/>
        </w:rPr>
      </w:pPr>
    </w:p>
    <w:p w:rsidR="00DF6B48" w:rsidRDefault="006A33AA">
      <w:pPr>
        <w:pStyle w:val="11"/>
      </w:pPr>
      <w:bookmarkStart w:id="21" w:name="_Toc26601"/>
      <w:bookmarkStart w:id="22" w:name="_Toc400744771"/>
      <w:r>
        <w:rPr>
          <w:rFonts w:hint="eastAsia"/>
        </w:rPr>
        <w:lastRenderedPageBreak/>
        <w:t>估价假设和限制条件</w:t>
      </w:r>
      <w:bookmarkEnd w:id="21"/>
      <w:bookmarkEnd w:id="22"/>
    </w:p>
    <w:p w:rsidR="00DF6B48" w:rsidRDefault="006A33AA">
      <w:pPr>
        <w:snapToGrid w:val="0"/>
        <w:spacing w:line="540" w:lineRule="exact"/>
        <w:ind w:leftChars="-170" w:left="-357" w:rightChars="-171" w:right="-359" w:firstLineChars="200" w:firstLine="482"/>
        <w:rPr>
          <w:rFonts w:ascii="宋体" w:hAnsi="宋体"/>
          <w:b/>
          <w:sz w:val="24"/>
        </w:rPr>
      </w:pPr>
      <w:r>
        <w:rPr>
          <w:rFonts w:ascii="宋体" w:hAnsi="宋体" w:hint="eastAsia"/>
          <w:b/>
          <w:sz w:val="24"/>
        </w:rPr>
        <w:t>一、本次估价的各项估价假设</w:t>
      </w:r>
    </w:p>
    <w:p w:rsidR="00DF6B48" w:rsidRDefault="006A33AA">
      <w:pPr>
        <w:snapToGrid w:val="0"/>
        <w:spacing w:line="540" w:lineRule="exact"/>
        <w:ind w:leftChars="-170" w:left="-357" w:rightChars="-171" w:right="-359" w:firstLineChars="200" w:firstLine="482"/>
        <w:rPr>
          <w:rFonts w:ascii="宋体" w:hAnsi="宋体"/>
          <w:b/>
          <w:sz w:val="24"/>
        </w:rPr>
      </w:pPr>
      <w:r>
        <w:rPr>
          <w:rFonts w:ascii="宋体" w:hAnsi="宋体" w:hint="eastAsia"/>
          <w:b/>
          <w:sz w:val="24"/>
        </w:rPr>
        <w:t>（一）一般假设</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、估价委托人提供了估价对象的《不动产登记证明》（不动产登记证明号：闽（</w:t>
      </w:r>
      <w:r>
        <w:rPr>
          <w:rFonts w:ascii="宋体" w:hAnsi="宋体" w:hint="eastAsia"/>
          <w:sz w:val="24"/>
        </w:rPr>
        <w:t>2018</w:t>
      </w:r>
      <w:r>
        <w:rPr>
          <w:rFonts w:ascii="宋体" w:hAnsi="宋体" w:hint="eastAsia"/>
          <w:sz w:val="24"/>
        </w:rPr>
        <w:t>）晋江市不动产证明第</w:t>
      </w:r>
      <w:r>
        <w:rPr>
          <w:rFonts w:ascii="宋体" w:hAnsi="宋体" w:hint="eastAsia"/>
          <w:sz w:val="24"/>
        </w:rPr>
        <w:t>0049183</w:t>
      </w:r>
      <w:r>
        <w:rPr>
          <w:rFonts w:ascii="宋体" w:hAnsi="宋体" w:hint="eastAsia"/>
          <w:sz w:val="24"/>
        </w:rPr>
        <w:t>号）；《房屋所有权证》（证号：</w:t>
      </w:r>
      <w:proofErr w:type="gramStart"/>
      <w:r>
        <w:rPr>
          <w:rFonts w:ascii="宋体" w:hAnsi="宋体" w:hint="eastAsia"/>
          <w:sz w:val="24"/>
        </w:rPr>
        <w:t>晋房权证</w:t>
      </w:r>
      <w:proofErr w:type="gramEnd"/>
      <w:r>
        <w:rPr>
          <w:rFonts w:ascii="宋体" w:hAnsi="宋体" w:hint="eastAsia"/>
          <w:sz w:val="24"/>
        </w:rPr>
        <w:t>梅岭字第</w:t>
      </w:r>
      <w:r>
        <w:rPr>
          <w:rFonts w:ascii="宋体" w:hAnsi="宋体" w:hint="eastAsia"/>
          <w:sz w:val="24"/>
        </w:rPr>
        <w:t>201417328</w:t>
      </w:r>
      <w:r>
        <w:rPr>
          <w:rFonts w:ascii="宋体" w:hAnsi="宋体" w:hint="eastAsia"/>
          <w:sz w:val="24"/>
        </w:rPr>
        <w:t>号）复印件，我们对权属证书上记载的权属、面积、用途等资料进行了审慎检查，但未予以核实，在无理由怀疑其合法性、真实性、准确性和完整性的情况下，假定估价委托人提供的资料合法、真实、准确、完整。</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、注册房地产估价师已对房屋安全、环境污染等影响估价对象价值的重大因素给予了关注，在无理由怀疑估价对象存在隐患且无相应的专业机构进行鉴定、检测的</w:t>
      </w:r>
      <w:r>
        <w:rPr>
          <w:rFonts w:ascii="宋体" w:hAnsi="宋体" w:hint="eastAsia"/>
          <w:sz w:val="24"/>
        </w:rPr>
        <w:t>情况下，假定估价对象能正常安全使用。</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、估价对象于价值时点的房地产市场为公开、平等、自愿的交易市场，即能满足以下条件：（</w:t>
      </w:r>
      <w:r>
        <w:rPr>
          <w:rFonts w:ascii="宋体" w:hAnsi="宋体" w:hint="eastAsia"/>
          <w:sz w:val="24"/>
        </w:rPr>
        <w:t>1</w:t>
      </w:r>
      <w:r>
        <w:rPr>
          <w:rFonts w:ascii="宋体" w:hAnsi="宋体" w:hint="eastAsia"/>
          <w:sz w:val="24"/>
        </w:rPr>
        <w:t>）自愿销售的卖方及自愿购买的买方；（</w:t>
      </w:r>
      <w:r>
        <w:rPr>
          <w:rFonts w:ascii="宋体" w:hAnsi="宋体" w:hint="eastAsia"/>
          <w:sz w:val="24"/>
        </w:rPr>
        <w:t>2</w:t>
      </w:r>
      <w:r>
        <w:rPr>
          <w:rFonts w:ascii="宋体" w:hAnsi="宋体" w:hint="eastAsia"/>
          <w:sz w:val="24"/>
        </w:rPr>
        <w:t>）交易双方无任何利害关系，交易的目的是追求各自利益的最大化；（</w:t>
      </w:r>
      <w:r>
        <w:rPr>
          <w:rFonts w:ascii="宋体" w:hAnsi="宋体" w:hint="eastAsia"/>
          <w:sz w:val="24"/>
        </w:rPr>
        <w:t>3</w:t>
      </w:r>
      <w:r>
        <w:rPr>
          <w:rFonts w:ascii="宋体" w:hAnsi="宋体" w:hint="eastAsia"/>
          <w:sz w:val="24"/>
        </w:rPr>
        <w:t>）交易双方精明、谨慎行事，并了解交易对象、知晓市场行情；（</w:t>
      </w:r>
      <w:r>
        <w:rPr>
          <w:rFonts w:ascii="宋体" w:hAnsi="宋体" w:hint="eastAsia"/>
          <w:sz w:val="24"/>
        </w:rPr>
        <w:t>4</w:t>
      </w:r>
      <w:r>
        <w:rPr>
          <w:rFonts w:ascii="宋体" w:hAnsi="宋体" w:hint="eastAsia"/>
          <w:sz w:val="24"/>
        </w:rPr>
        <w:t>）交易双方有较充裕的时间进行交易；（</w:t>
      </w:r>
      <w:r>
        <w:rPr>
          <w:rFonts w:ascii="宋体" w:hAnsi="宋体" w:hint="eastAsia"/>
          <w:sz w:val="24"/>
        </w:rPr>
        <w:t>5</w:t>
      </w:r>
      <w:r>
        <w:rPr>
          <w:rFonts w:ascii="宋体" w:hAnsi="宋体" w:hint="eastAsia"/>
          <w:sz w:val="24"/>
        </w:rPr>
        <w:t>）不存在特殊买者的附加出价。</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、估价对象应享有公共部位的通行权及水电等共用设施的使用权。</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5</w:t>
      </w:r>
      <w:r>
        <w:rPr>
          <w:rFonts w:ascii="宋体" w:hAnsi="宋体" w:hint="eastAsia"/>
          <w:sz w:val="24"/>
        </w:rPr>
        <w:t>、估价委托人未明确估价对象存在租赁权、用益物权及占有使用情况，注册房地产估价师经过尽职调查后也</w:t>
      </w:r>
      <w:r>
        <w:rPr>
          <w:rFonts w:ascii="宋体" w:hAnsi="宋体" w:hint="eastAsia"/>
          <w:sz w:val="24"/>
        </w:rPr>
        <w:t>未发现、掌握相关情况，根据估价目的，本次评估假定估价对象不存在租赁权、用益物权及占有使用情况。</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6</w:t>
      </w:r>
      <w:r>
        <w:rPr>
          <w:rFonts w:ascii="宋体" w:hAnsi="宋体" w:hint="eastAsia"/>
          <w:sz w:val="24"/>
        </w:rPr>
        <w:t>、根据估价委托人的要求，本次评估不考虑评估费、拍卖费、诉讼费、律师费等财产处置费用及其对评估结果的影响。</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7</w:t>
      </w:r>
      <w:r>
        <w:rPr>
          <w:rFonts w:ascii="宋体" w:hAnsi="宋体" w:hint="eastAsia"/>
          <w:sz w:val="24"/>
        </w:rPr>
        <w:t>、估价委托人未明确估价对象存在欠缴税金及相关费用的，注册房地产估价师经过尽职调查后也未发现、掌握相关情况，根据估价目的，本次评估假定估价对象不存在欠缴税金及相关费用。</w:t>
      </w:r>
    </w:p>
    <w:p w:rsidR="00DF6B48" w:rsidRDefault="006A33AA">
      <w:pPr>
        <w:snapToGrid w:val="0"/>
        <w:spacing w:line="540" w:lineRule="exact"/>
        <w:ind w:leftChars="-170" w:left="-357" w:rightChars="-171" w:right="-359" w:firstLineChars="192" w:firstLine="463"/>
        <w:rPr>
          <w:rFonts w:ascii="宋体" w:hAnsi="宋体"/>
          <w:b/>
          <w:sz w:val="24"/>
        </w:rPr>
      </w:pPr>
      <w:r>
        <w:rPr>
          <w:rFonts w:ascii="宋体" w:hAnsi="宋体" w:hint="eastAsia"/>
          <w:b/>
          <w:sz w:val="24"/>
        </w:rPr>
        <w:t>（二）未定事项假设</w:t>
      </w:r>
    </w:p>
    <w:p w:rsidR="00DF6B48" w:rsidRDefault="006A33AA" w:rsidP="008B37E5">
      <w:pPr>
        <w:snapToGrid w:val="0"/>
        <w:spacing w:line="540" w:lineRule="exact"/>
        <w:ind w:leftChars="-171" w:left="-359" w:rightChars="-3" w:right="-6" w:firstLineChars="192" w:firstLine="461"/>
        <w:rPr>
          <w:rFonts w:ascii="宋体" w:hAnsi="宋体"/>
          <w:sz w:val="24"/>
        </w:rPr>
      </w:pPr>
      <w:r>
        <w:rPr>
          <w:rFonts w:ascii="宋体" w:hAnsi="宋体"/>
          <w:sz w:val="24"/>
        </w:rPr>
        <w:lastRenderedPageBreak/>
        <w:t>无未定事项假设。</w:t>
      </w:r>
    </w:p>
    <w:p w:rsidR="00DF6B48" w:rsidRDefault="006A33AA">
      <w:pPr>
        <w:snapToGrid w:val="0"/>
        <w:spacing w:line="540" w:lineRule="exact"/>
        <w:ind w:leftChars="-170" w:left="-357" w:rightChars="-171" w:right="-359" w:firstLineChars="192" w:firstLine="463"/>
        <w:rPr>
          <w:rFonts w:ascii="宋体" w:hAnsi="宋体"/>
          <w:b/>
          <w:sz w:val="24"/>
        </w:rPr>
      </w:pPr>
      <w:r>
        <w:rPr>
          <w:rFonts w:ascii="宋体" w:hAnsi="宋体" w:hint="eastAsia"/>
          <w:b/>
          <w:sz w:val="24"/>
        </w:rPr>
        <w:t>（三）背离事实假设</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在价值时点，估价对象已被人民法院查封（或存在担保物权、其他优先受偿权），根据估价目的，本次估价结果不考虑评估对象被查封（或存在原有的担保物权、其他优先受偿权）的影响。</w:t>
      </w:r>
    </w:p>
    <w:p w:rsidR="00DF6B48" w:rsidRDefault="006A33AA">
      <w:pPr>
        <w:snapToGrid w:val="0"/>
        <w:spacing w:line="540" w:lineRule="exact"/>
        <w:ind w:leftChars="-170" w:left="-357" w:rightChars="-171" w:right="-359" w:firstLineChars="192" w:firstLine="463"/>
        <w:rPr>
          <w:rFonts w:ascii="宋体" w:hAnsi="宋体"/>
          <w:b/>
          <w:sz w:val="24"/>
        </w:rPr>
      </w:pPr>
      <w:r>
        <w:rPr>
          <w:rFonts w:ascii="宋体" w:hAnsi="宋体" w:hint="eastAsia"/>
          <w:b/>
          <w:sz w:val="24"/>
        </w:rPr>
        <w:t>（四）不相一致假设</w:t>
      </w:r>
    </w:p>
    <w:p w:rsidR="00DF6B48" w:rsidRDefault="006A33AA" w:rsidP="008B37E5">
      <w:pPr>
        <w:snapToGrid w:val="0"/>
        <w:spacing w:line="540" w:lineRule="exact"/>
        <w:ind w:leftChars="-170" w:left="-357" w:rightChars="-171" w:right="-359" w:firstLineChars="192" w:firstLine="461"/>
        <w:rPr>
          <w:rFonts w:ascii="宋体" w:hAnsi="宋体"/>
          <w:sz w:val="24"/>
        </w:rPr>
      </w:pPr>
      <w:r>
        <w:rPr>
          <w:rFonts w:ascii="宋体" w:hAnsi="宋体" w:hint="eastAsia"/>
          <w:sz w:val="24"/>
        </w:rPr>
        <w:t>无不相一致假设。</w:t>
      </w:r>
    </w:p>
    <w:p w:rsidR="00DF6B48" w:rsidRDefault="006A33AA">
      <w:pPr>
        <w:snapToGrid w:val="0"/>
        <w:spacing w:line="540" w:lineRule="exact"/>
        <w:ind w:leftChars="-170" w:left="-357" w:rightChars="-171" w:right="-359" w:firstLineChars="192" w:firstLine="463"/>
        <w:rPr>
          <w:rFonts w:ascii="宋体" w:hAnsi="宋体"/>
          <w:b/>
          <w:sz w:val="24"/>
        </w:rPr>
      </w:pPr>
      <w:r>
        <w:rPr>
          <w:rFonts w:ascii="宋体" w:hAnsi="宋体" w:hint="eastAsia"/>
          <w:b/>
          <w:sz w:val="24"/>
        </w:rPr>
        <w:t>（五）依据不足假设</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、估价对象《</w:t>
      </w:r>
      <w:r>
        <w:rPr>
          <w:rFonts w:ascii="宋体" w:hAnsi="宋体" w:hint="eastAsia"/>
          <w:sz w:val="24"/>
        </w:rPr>
        <w:t>房屋所有权证</w:t>
      </w:r>
      <w:r>
        <w:rPr>
          <w:rFonts w:ascii="宋体" w:hAnsi="宋体" w:hint="eastAsia"/>
          <w:sz w:val="24"/>
        </w:rPr>
        <w:t>》未记载建筑物的建成年份，估价委托人亦未提供相关建成年份资料，经注册房地产估价师实地调查，估价对象所在建筑物</w:t>
      </w:r>
      <w:proofErr w:type="gramStart"/>
      <w:r>
        <w:rPr>
          <w:rFonts w:ascii="宋体" w:hAnsi="宋体" w:hint="eastAsia"/>
          <w:sz w:val="24"/>
        </w:rPr>
        <w:t>约建成</w:t>
      </w:r>
      <w:proofErr w:type="gramEnd"/>
      <w:r>
        <w:rPr>
          <w:rFonts w:ascii="宋体" w:hAnsi="宋体" w:hint="eastAsia"/>
          <w:sz w:val="24"/>
        </w:rPr>
        <w:t>于</w:t>
      </w:r>
      <w:r>
        <w:rPr>
          <w:rFonts w:ascii="宋体" w:hAnsi="宋体" w:hint="eastAsia"/>
          <w:sz w:val="24"/>
        </w:rPr>
        <w:t>2011</w:t>
      </w:r>
      <w:r>
        <w:rPr>
          <w:rFonts w:ascii="宋体" w:hAnsi="宋体" w:hint="eastAsia"/>
          <w:sz w:val="24"/>
        </w:rPr>
        <w:t>年，本次估价建筑物的建成年份以实际调查为准，仅在本报告中使用，不作其他任何用途使用。</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sz w:val="24"/>
        </w:rPr>
        <w:t>2</w:t>
      </w:r>
      <w:r>
        <w:rPr>
          <w:rFonts w:ascii="宋体" w:hAnsi="宋体" w:hint="eastAsia"/>
          <w:sz w:val="24"/>
        </w:rPr>
        <w:t>、估价对象所在建筑物为钢筋</w:t>
      </w:r>
      <w:proofErr w:type="gramStart"/>
      <w:r>
        <w:rPr>
          <w:rFonts w:ascii="宋体" w:hAnsi="宋体" w:hint="eastAsia"/>
          <w:sz w:val="24"/>
        </w:rPr>
        <w:t>砼</w:t>
      </w:r>
      <w:proofErr w:type="gramEnd"/>
      <w:r>
        <w:rPr>
          <w:rFonts w:ascii="宋体" w:hAnsi="宋体" w:hint="eastAsia"/>
          <w:sz w:val="24"/>
        </w:rPr>
        <w:t>结构，根据规范，钢筋</w:t>
      </w:r>
      <w:proofErr w:type="gramStart"/>
      <w:r>
        <w:rPr>
          <w:rFonts w:ascii="宋体" w:hAnsi="宋体" w:hint="eastAsia"/>
          <w:sz w:val="24"/>
        </w:rPr>
        <w:t>砼</w:t>
      </w:r>
      <w:proofErr w:type="gramEnd"/>
      <w:r>
        <w:rPr>
          <w:rFonts w:ascii="宋体" w:hAnsi="宋体" w:hint="eastAsia"/>
          <w:sz w:val="24"/>
        </w:rPr>
        <w:t>结构非生产用房经济寿命为</w:t>
      </w:r>
      <w:r>
        <w:rPr>
          <w:rFonts w:ascii="宋体" w:hAnsi="宋体" w:hint="eastAsia"/>
          <w:sz w:val="24"/>
        </w:rPr>
        <w:t>60</w:t>
      </w:r>
      <w:r>
        <w:rPr>
          <w:rFonts w:ascii="宋体" w:hAnsi="宋体" w:hint="eastAsia"/>
          <w:sz w:val="24"/>
        </w:rPr>
        <w:t>年，据调查，估价对象所在建筑物</w:t>
      </w:r>
      <w:proofErr w:type="gramStart"/>
      <w:r>
        <w:rPr>
          <w:rFonts w:ascii="宋体" w:hAnsi="宋体" w:hint="eastAsia"/>
          <w:sz w:val="24"/>
        </w:rPr>
        <w:t>约建成</w:t>
      </w:r>
      <w:proofErr w:type="gramEnd"/>
      <w:r>
        <w:rPr>
          <w:rFonts w:ascii="宋体" w:hAnsi="宋体" w:hint="eastAsia"/>
          <w:sz w:val="24"/>
        </w:rPr>
        <w:t>于</w:t>
      </w:r>
      <w:r>
        <w:rPr>
          <w:rFonts w:ascii="宋体" w:hAnsi="宋体" w:hint="eastAsia"/>
          <w:sz w:val="24"/>
        </w:rPr>
        <w:t>2011</w:t>
      </w:r>
      <w:r>
        <w:rPr>
          <w:rFonts w:ascii="宋体" w:hAnsi="宋体" w:hint="eastAsia"/>
          <w:sz w:val="24"/>
        </w:rPr>
        <w:t>年，已使用</w:t>
      </w:r>
      <w:r>
        <w:rPr>
          <w:rFonts w:ascii="宋体" w:hAnsi="宋体" w:hint="eastAsia"/>
          <w:sz w:val="24"/>
        </w:rPr>
        <w:t>11</w:t>
      </w:r>
      <w:r>
        <w:rPr>
          <w:rFonts w:ascii="宋体" w:hAnsi="宋体" w:hint="eastAsia"/>
          <w:sz w:val="24"/>
        </w:rPr>
        <w:t>年，结合估价对象所在建筑物的施工、使用、维护等状况，确定其有效年龄亦为</w:t>
      </w:r>
      <w:r>
        <w:rPr>
          <w:rFonts w:ascii="宋体" w:hAnsi="宋体" w:hint="eastAsia"/>
          <w:sz w:val="24"/>
        </w:rPr>
        <w:t>11</w:t>
      </w:r>
      <w:r>
        <w:rPr>
          <w:rFonts w:ascii="宋体" w:hAnsi="宋体" w:hint="eastAsia"/>
          <w:sz w:val="24"/>
        </w:rPr>
        <w:t>年，故建筑物剩余经济寿命为</w:t>
      </w:r>
      <w:r>
        <w:rPr>
          <w:rFonts w:ascii="宋体" w:hAnsi="宋体" w:hint="eastAsia"/>
          <w:sz w:val="24"/>
        </w:rPr>
        <w:t>49</w:t>
      </w:r>
      <w:r>
        <w:rPr>
          <w:rFonts w:ascii="宋体" w:hAnsi="宋体" w:hint="eastAsia"/>
          <w:sz w:val="24"/>
        </w:rPr>
        <w:t>年。鉴于估价对象位于</w:t>
      </w:r>
      <w:r>
        <w:rPr>
          <w:rFonts w:ascii="宋体" w:hAnsi="宋体" w:hint="eastAsia"/>
          <w:sz w:val="24"/>
        </w:rPr>
        <w:t>晋江市</w:t>
      </w:r>
      <w:r>
        <w:rPr>
          <w:rFonts w:ascii="宋体" w:hAnsi="宋体" w:hint="eastAsia"/>
          <w:sz w:val="24"/>
        </w:rPr>
        <w:t>，且为商品房，设定估价对象所分摊的土地为以国有出让方式取得的住宅用地使用权，法定最高使用年限为</w:t>
      </w:r>
      <w:r>
        <w:rPr>
          <w:rFonts w:ascii="宋体" w:hAnsi="宋体" w:hint="eastAsia"/>
          <w:sz w:val="24"/>
        </w:rPr>
        <w:t>70</w:t>
      </w:r>
      <w:r>
        <w:rPr>
          <w:rFonts w:ascii="宋体" w:hAnsi="宋体" w:hint="eastAsia"/>
          <w:sz w:val="24"/>
        </w:rPr>
        <w:t>年，建筑物已使用</w:t>
      </w:r>
      <w:r>
        <w:rPr>
          <w:rFonts w:ascii="宋体" w:hAnsi="宋体" w:hint="eastAsia"/>
          <w:sz w:val="24"/>
        </w:rPr>
        <w:t>11</w:t>
      </w:r>
      <w:r>
        <w:rPr>
          <w:rFonts w:ascii="宋体" w:hAnsi="宋体" w:hint="eastAsia"/>
          <w:sz w:val="24"/>
        </w:rPr>
        <w:t>年，则设定土地剩余使用年限为</w:t>
      </w:r>
      <w:r>
        <w:rPr>
          <w:rFonts w:ascii="宋体" w:hAnsi="宋体" w:hint="eastAsia"/>
          <w:sz w:val="24"/>
        </w:rPr>
        <w:t>57</w:t>
      </w:r>
      <w:r>
        <w:rPr>
          <w:rFonts w:ascii="宋体" w:hAnsi="宋体" w:hint="eastAsia"/>
          <w:sz w:val="24"/>
        </w:rPr>
        <w:t>年（建设期</w:t>
      </w:r>
      <w:r>
        <w:rPr>
          <w:rFonts w:ascii="宋体" w:hAnsi="宋体" w:hint="eastAsia"/>
          <w:sz w:val="24"/>
        </w:rPr>
        <w:t>2</w:t>
      </w:r>
      <w:r>
        <w:rPr>
          <w:rFonts w:ascii="宋体" w:hAnsi="宋体" w:hint="eastAsia"/>
          <w:sz w:val="24"/>
        </w:rPr>
        <w:t>年）。</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、可比实例的规划条件、室内二次装修年份等资料，因调查难度极大，其有关描述及调整只能根据注册房地产估价师实地查勘的经验判断</w:t>
      </w:r>
      <w:r>
        <w:rPr>
          <w:rFonts w:ascii="宋体" w:hAnsi="宋体" w:hint="eastAsia"/>
          <w:sz w:val="24"/>
        </w:rPr>
        <w:t>。</w:t>
      </w:r>
    </w:p>
    <w:p w:rsidR="00DF6B48" w:rsidRDefault="006A33AA">
      <w:pPr>
        <w:snapToGrid w:val="0"/>
        <w:spacing w:line="540" w:lineRule="exact"/>
        <w:ind w:leftChars="-170" w:left="-357" w:rightChars="-171" w:right="-359" w:firstLineChars="196" w:firstLine="472"/>
        <w:rPr>
          <w:rFonts w:ascii="宋体" w:hAnsi="宋体"/>
          <w:b/>
          <w:sz w:val="24"/>
        </w:rPr>
      </w:pPr>
      <w:r>
        <w:rPr>
          <w:rFonts w:ascii="宋体" w:hAnsi="宋体" w:hint="eastAsia"/>
          <w:b/>
          <w:sz w:val="24"/>
        </w:rPr>
        <w:t>二、估价报告使用限制</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（一）本估价报告仅用于为估价委托人为人民法院确定财产处置参考</w:t>
      </w:r>
      <w:proofErr w:type="gramStart"/>
      <w:r>
        <w:rPr>
          <w:rFonts w:ascii="宋体" w:hAnsi="宋体" w:hint="eastAsia"/>
          <w:sz w:val="24"/>
        </w:rPr>
        <w:t>价提供</w:t>
      </w:r>
      <w:proofErr w:type="gramEnd"/>
      <w:r>
        <w:rPr>
          <w:rFonts w:ascii="宋体" w:hAnsi="宋体" w:hint="eastAsia"/>
          <w:sz w:val="24"/>
        </w:rPr>
        <w:t>参考依据，不得用于其他用途。</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（二）本估价</w:t>
      </w:r>
      <w:proofErr w:type="gramStart"/>
      <w:r>
        <w:rPr>
          <w:rFonts w:ascii="宋体" w:hAnsi="宋体" w:hint="eastAsia"/>
          <w:sz w:val="24"/>
        </w:rPr>
        <w:t>报告自</w:t>
      </w:r>
      <w:proofErr w:type="gramEnd"/>
      <w:r>
        <w:rPr>
          <w:rFonts w:ascii="宋体" w:hAnsi="宋体" w:hint="eastAsia"/>
          <w:sz w:val="24"/>
        </w:rPr>
        <w:t>出具之日起一年内有效。但价值时点后，在报告有效期内估价对象的质量及价格标准发生变化，并对估价对象价值产生明显影响时，不能直接使用本估价结果；超过一年，需重新进行估价。</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lastRenderedPageBreak/>
        <w:t>（三）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w:t>
      </w:r>
      <w:r>
        <w:rPr>
          <w:rFonts w:ascii="宋体" w:hAnsi="宋体" w:hint="eastAsia"/>
          <w:sz w:val="24"/>
        </w:rPr>
        <w:t>何方式公开发表。</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（四）本报告由福建宁朗资产评估房地产估价有限公司负责解释。</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（五）本报告必须经估价机构加盖公章、注册房地产估价师签字后方可使用，估价机构仅对本报告的原件承担责任，对任何形式的复制件概不认可且不承担责任。</w:t>
      </w:r>
    </w:p>
    <w:p w:rsidR="00DF6B48" w:rsidRDefault="00DF6B48">
      <w:pPr>
        <w:snapToGrid w:val="0"/>
        <w:spacing w:line="540" w:lineRule="exact"/>
        <w:ind w:leftChars="-171" w:left="-359" w:firstLineChars="200" w:firstLine="480"/>
        <w:rPr>
          <w:rFonts w:ascii="宋体" w:hAnsi="宋体"/>
          <w:sz w:val="24"/>
        </w:rPr>
      </w:pPr>
      <w:bookmarkStart w:id="23" w:name="_Toc247682226"/>
      <w:bookmarkStart w:id="24" w:name="_Toc247681589"/>
      <w:bookmarkStart w:id="25" w:name="_Toc247682195"/>
      <w:bookmarkStart w:id="26" w:name="_Toc247682278"/>
      <w:bookmarkStart w:id="27" w:name="_Toc247681793"/>
      <w:bookmarkStart w:id="28" w:name="_Toc247682126"/>
      <w:bookmarkStart w:id="29" w:name="_Toc400744772"/>
      <w:bookmarkStart w:id="30" w:name="_Toc247681908"/>
    </w:p>
    <w:p w:rsidR="00DF6B48" w:rsidRDefault="006A33AA">
      <w:pPr>
        <w:rPr>
          <w:rFonts w:ascii="宋体" w:hAnsi="宋体"/>
          <w:sz w:val="24"/>
        </w:rPr>
      </w:pPr>
      <w:r>
        <w:rPr>
          <w:rFonts w:ascii="宋体" w:hAnsi="宋体"/>
          <w:sz w:val="24"/>
        </w:rPr>
        <w:br w:type="page"/>
      </w:r>
    </w:p>
    <w:p w:rsidR="00DF6B48" w:rsidRDefault="006A33AA">
      <w:pPr>
        <w:pStyle w:val="11"/>
      </w:pPr>
      <w:bookmarkStart w:id="31" w:name="_Toc24301"/>
      <w:r>
        <w:rPr>
          <w:rFonts w:hint="eastAsia"/>
        </w:rPr>
        <w:lastRenderedPageBreak/>
        <w:t>估价结果报告</w:t>
      </w:r>
      <w:bookmarkEnd w:id="23"/>
      <w:bookmarkEnd w:id="24"/>
      <w:bookmarkEnd w:id="25"/>
      <w:bookmarkEnd w:id="26"/>
      <w:bookmarkEnd w:id="27"/>
      <w:bookmarkEnd w:id="28"/>
      <w:bookmarkEnd w:id="29"/>
      <w:bookmarkEnd w:id="30"/>
      <w:bookmarkEnd w:id="31"/>
    </w:p>
    <w:p w:rsidR="00DF6B48" w:rsidRDefault="006A33AA">
      <w:pPr>
        <w:pStyle w:val="2195"/>
        <w:spacing w:line="480" w:lineRule="exact"/>
        <w:ind w:rightChars="-200" w:right="-420"/>
        <w:rPr>
          <w:rFonts w:ascii="宋体" w:eastAsia="宋体" w:hAnsi="宋体"/>
          <w:b/>
        </w:rPr>
      </w:pPr>
      <w:bookmarkStart w:id="32" w:name="_Toc247681794"/>
      <w:bookmarkStart w:id="33" w:name="_Toc247682127"/>
      <w:bookmarkStart w:id="34" w:name="_Toc247682196"/>
      <w:bookmarkStart w:id="35" w:name="_Toc247682227"/>
      <w:bookmarkStart w:id="36" w:name="_Toc247682279"/>
      <w:bookmarkStart w:id="37" w:name="_Toc247681909"/>
      <w:bookmarkStart w:id="38" w:name="_Toc11349"/>
      <w:bookmarkStart w:id="39" w:name="_Toc400744773"/>
      <w:r>
        <w:rPr>
          <w:rFonts w:ascii="宋体" w:eastAsia="宋体" w:hAnsi="宋体" w:hint="eastAsia"/>
          <w:b/>
        </w:rPr>
        <w:t>一、估价委托</w:t>
      </w:r>
      <w:bookmarkEnd w:id="32"/>
      <w:bookmarkEnd w:id="33"/>
      <w:bookmarkEnd w:id="34"/>
      <w:bookmarkEnd w:id="35"/>
      <w:bookmarkEnd w:id="36"/>
      <w:bookmarkEnd w:id="37"/>
      <w:r>
        <w:rPr>
          <w:rFonts w:ascii="宋体" w:eastAsia="宋体" w:hAnsi="宋体" w:hint="eastAsia"/>
          <w:b/>
        </w:rPr>
        <w:t>人</w:t>
      </w:r>
      <w:bookmarkEnd w:id="38"/>
      <w:bookmarkEnd w:id="39"/>
    </w:p>
    <w:p w:rsidR="00DF6B48" w:rsidRDefault="006A33AA">
      <w:pPr>
        <w:snapToGrid w:val="0"/>
        <w:spacing w:line="530" w:lineRule="exact"/>
        <w:ind w:rightChars="-200" w:right="-420"/>
        <w:rPr>
          <w:rFonts w:ascii="宋体" w:hAnsi="宋体"/>
          <w:sz w:val="24"/>
        </w:rPr>
      </w:pPr>
      <w:r>
        <w:rPr>
          <w:rFonts w:ascii="宋体" w:hAnsi="宋体" w:hint="eastAsia"/>
          <w:sz w:val="24"/>
        </w:rPr>
        <w:t>名</w:t>
      </w:r>
      <w:r>
        <w:rPr>
          <w:rFonts w:ascii="宋体" w:hAnsi="宋体" w:hint="eastAsia"/>
          <w:sz w:val="24"/>
        </w:rPr>
        <w:t xml:space="preserve"> </w:t>
      </w:r>
      <w:r>
        <w:rPr>
          <w:rFonts w:ascii="宋体" w:hAnsi="宋体"/>
          <w:sz w:val="24"/>
        </w:rPr>
        <w:t xml:space="preserve">      </w:t>
      </w:r>
      <w:r>
        <w:rPr>
          <w:rFonts w:ascii="宋体" w:hAnsi="宋体" w:hint="eastAsia"/>
          <w:sz w:val="24"/>
        </w:rPr>
        <w:t>称：泉州市丰泽区人民法院</w:t>
      </w:r>
    </w:p>
    <w:p w:rsidR="00DF6B48" w:rsidRDefault="006A33AA">
      <w:pPr>
        <w:pStyle w:val="2195"/>
        <w:spacing w:line="530" w:lineRule="exact"/>
        <w:ind w:rightChars="-200" w:right="-420"/>
        <w:rPr>
          <w:rFonts w:ascii="宋体" w:eastAsia="宋体" w:hAnsi="宋体"/>
          <w:b/>
        </w:rPr>
      </w:pPr>
      <w:bookmarkStart w:id="40" w:name="_Toc247681795"/>
      <w:bookmarkStart w:id="41" w:name="_Toc247682197"/>
      <w:bookmarkStart w:id="42" w:name="_Toc247682228"/>
      <w:bookmarkStart w:id="43" w:name="_Toc247681910"/>
      <w:bookmarkStart w:id="44" w:name="_Toc247682128"/>
      <w:bookmarkStart w:id="45" w:name="_Toc247682280"/>
      <w:bookmarkStart w:id="46" w:name="_Toc400744774"/>
      <w:bookmarkStart w:id="47" w:name="_Toc7860"/>
      <w:r>
        <w:rPr>
          <w:rFonts w:ascii="宋体" w:eastAsia="宋体" w:hAnsi="宋体" w:hint="eastAsia"/>
          <w:b/>
        </w:rPr>
        <w:t>二、</w:t>
      </w:r>
      <w:bookmarkEnd w:id="40"/>
      <w:bookmarkEnd w:id="41"/>
      <w:bookmarkEnd w:id="42"/>
      <w:bookmarkEnd w:id="43"/>
      <w:bookmarkEnd w:id="44"/>
      <w:bookmarkEnd w:id="45"/>
      <w:r>
        <w:rPr>
          <w:rFonts w:ascii="宋体" w:eastAsia="宋体" w:hAnsi="宋体" w:hint="eastAsia"/>
          <w:b/>
        </w:rPr>
        <w:t>房地产估价机构</w:t>
      </w:r>
      <w:bookmarkEnd w:id="46"/>
      <w:bookmarkEnd w:id="47"/>
    </w:p>
    <w:p w:rsidR="00DF6B48" w:rsidRDefault="006A33AA">
      <w:pPr>
        <w:snapToGrid w:val="0"/>
        <w:spacing w:line="530" w:lineRule="exact"/>
        <w:ind w:rightChars="-200" w:right="-420"/>
        <w:rPr>
          <w:rFonts w:ascii="宋体" w:hAnsi="宋体"/>
          <w:sz w:val="24"/>
        </w:rPr>
      </w:pPr>
      <w:bookmarkStart w:id="48" w:name="_Toc400744775"/>
      <w:bookmarkStart w:id="49" w:name="_Toc247682229"/>
      <w:bookmarkStart w:id="50" w:name="_Toc247681911"/>
      <w:bookmarkStart w:id="51" w:name="_Toc247682129"/>
      <w:bookmarkStart w:id="52" w:name="_Toc247682198"/>
      <w:bookmarkStart w:id="53" w:name="_Toc247682281"/>
      <w:bookmarkStart w:id="54" w:name="_Toc247681796"/>
      <w:r>
        <w:rPr>
          <w:rFonts w:ascii="宋体" w:hAnsi="宋体" w:hint="eastAsia"/>
          <w:sz w:val="24"/>
        </w:rPr>
        <w:t>名称：福建宁朗资产评估房地产估价有限公司</w:t>
      </w:r>
    </w:p>
    <w:p w:rsidR="00DF6B48" w:rsidRDefault="006A33AA">
      <w:pPr>
        <w:snapToGrid w:val="0"/>
        <w:spacing w:line="530" w:lineRule="exact"/>
        <w:ind w:rightChars="-200" w:right="-420"/>
        <w:rPr>
          <w:rFonts w:ascii="宋体" w:hAnsi="宋体"/>
          <w:sz w:val="24"/>
        </w:rPr>
      </w:pPr>
      <w:r>
        <w:rPr>
          <w:rFonts w:ascii="宋体" w:hAnsi="宋体" w:hint="eastAsia"/>
          <w:sz w:val="24"/>
        </w:rPr>
        <w:t>住所：泉州市丰泽区</w:t>
      </w:r>
      <w:r>
        <w:rPr>
          <w:rFonts w:ascii="宋体" w:hAnsi="宋体" w:hint="eastAsia"/>
          <w:sz w:val="24"/>
        </w:rPr>
        <w:t>324</w:t>
      </w:r>
      <w:r>
        <w:rPr>
          <w:rFonts w:ascii="宋体" w:hAnsi="宋体" w:hint="eastAsia"/>
          <w:sz w:val="24"/>
        </w:rPr>
        <w:t>国道与城东交汇</w:t>
      </w:r>
      <w:proofErr w:type="gramStart"/>
      <w:r>
        <w:rPr>
          <w:rFonts w:ascii="宋体" w:hAnsi="宋体" w:hint="eastAsia"/>
          <w:sz w:val="24"/>
        </w:rPr>
        <w:t>处华大泰禾广场</w:t>
      </w:r>
      <w:proofErr w:type="gramEnd"/>
      <w:r>
        <w:rPr>
          <w:rFonts w:ascii="宋体" w:hAnsi="宋体" w:hint="eastAsia"/>
          <w:sz w:val="24"/>
        </w:rPr>
        <w:t>SOHO-2</w:t>
      </w:r>
      <w:r>
        <w:rPr>
          <w:rFonts w:ascii="宋体" w:hAnsi="宋体" w:hint="eastAsia"/>
          <w:sz w:val="24"/>
        </w:rPr>
        <w:t>座</w:t>
      </w:r>
      <w:r>
        <w:rPr>
          <w:rFonts w:ascii="宋体" w:hAnsi="宋体" w:hint="eastAsia"/>
          <w:sz w:val="24"/>
        </w:rPr>
        <w:t>2106</w:t>
      </w:r>
      <w:r>
        <w:rPr>
          <w:rFonts w:ascii="宋体" w:hAnsi="宋体" w:hint="eastAsia"/>
          <w:sz w:val="24"/>
        </w:rPr>
        <w:t>、</w:t>
      </w:r>
      <w:r>
        <w:rPr>
          <w:rFonts w:ascii="宋体" w:hAnsi="宋体" w:hint="eastAsia"/>
          <w:sz w:val="24"/>
        </w:rPr>
        <w:t>2107</w:t>
      </w:r>
      <w:r>
        <w:rPr>
          <w:rFonts w:ascii="宋体" w:hAnsi="宋体" w:hint="eastAsia"/>
          <w:sz w:val="24"/>
        </w:rPr>
        <w:t>、</w:t>
      </w:r>
      <w:r>
        <w:rPr>
          <w:rFonts w:ascii="宋体" w:hAnsi="宋体" w:hint="eastAsia"/>
          <w:sz w:val="24"/>
        </w:rPr>
        <w:t>2108</w:t>
      </w:r>
    </w:p>
    <w:p w:rsidR="00DF6B48" w:rsidRDefault="006A33AA">
      <w:pPr>
        <w:snapToGrid w:val="0"/>
        <w:spacing w:line="530" w:lineRule="exact"/>
        <w:ind w:rightChars="-200" w:right="-420"/>
        <w:rPr>
          <w:rFonts w:ascii="宋体" w:hAnsi="宋体"/>
          <w:sz w:val="24"/>
        </w:rPr>
      </w:pPr>
      <w:r>
        <w:rPr>
          <w:rFonts w:ascii="宋体" w:hAnsi="宋体" w:hint="eastAsia"/>
          <w:sz w:val="24"/>
        </w:rPr>
        <w:t>统一社会信用代码：</w:t>
      </w:r>
      <w:r>
        <w:rPr>
          <w:rFonts w:ascii="宋体" w:hAnsi="宋体"/>
          <w:sz w:val="24"/>
        </w:rPr>
        <w:t>91350503766189118K</w:t>
      </w:r>
    </w:p>
    <w:p w:rsidR="00DF6B48" w:rsidRDefault="006A33AA">
      <w:pPr>
        <w:snapToGrid w:val="0"/>
        <w:spacing w:line="530" w:lineRule="exact"/>
        <w:ind w:rightChars="-200" w:right="-420"/>
        <w:rPr>
          <w:rFonts w:ascii="宋体" w:hAnsi="宋体"/>
          <w:sz w:val="24"/>
        </w:rPr>
      </w:pPr>
      <w:r>
        <w:rPr>
          <w:rFonts w:ascii="宋体" w:hAnsi="宋体" w:hint="eastAsia"/>
          <w:sz w:val="24"/>
        </w:rPr>
        <w:t>房地产估价机构备案等级：一级</w:t>
      </w:r>
      <w:r>
        <w:rPr>
          <w:rFonts w:ascii="宋体" w:hAnsi="宋体" w:hint="eastAsia"/>
          <w:sz w:val="24"/>
        </w:rPr>
        <w:t xml:space="preserve">            </w:t>
      </w:r>
      <w:r>
        <w:rPr>
          <w:rFonts w:ascii="宋体" w:hAnsi="宋体" w:hint="eastAsia"/>
          <w:sz w:val="24"/>
        </w:rPr>
        <w:t>证书编号：</w:t>
      </w:r>
      <w:r>
        <w:rPr>
          <w:rFonts w:ascii="宋体" w:hAnsi="宋体"/>
          <w:sz w:val="24"/>
        </w:rPr>
        <w:t>352018002</w:t>
      </w:r>
    </w:p>
    <w:p w:rsidR="00DF6B48" w:rsidRDefault="006A33AA">
      <w:pPr>
        <w:snapToGrid w:val="0"/>
        <w:spacing w:line="530" w:lineRule="exact"/>
        <w:ind w:rightChars="-200" w:right="-420"/>
        <w:rPr>
          <w:rFonts w:ascii="宋体" w:hAnsi="宋体"/>
          <w:sz w:val="24"/>
        </w:rPr>
      </w:pPr>
      <w:r>
        <w:rPr>
          <w:rFonts w:ascii="宋体" w:hAnsi="宋体" w:hint="eastAsia"/>
          <w:sz w:val="24"/>
        </w:rPr>
        <w:t>备案证书有效期限：</w:t>
      </w:r>
      <w:r>
        <w:rPr>
          <w:rFonts w:ascii="宋体" w:hAnsi="宋体" w:hint="eastAsia"/>
          <w:sz w:val="24"/>
        </w:rPr>
        <w:t>2</w:t>
      </w:r>
      <w:r>
        <w:rPr>
          <w:rFonts w:ascii="宋体" w:hAnsi="宋体"/>
          <w:sz w:val="24"/>
        </w:rPr>
        <w:t>020</w:t>
      </w:r>
      <w:r>
        <w:rPr>
          <w:rFonts w:ascii="宋体" w:hAnsi="宋体"/>
          <w:sz w:val="24"/>
        </w:rPr>
        <w:t>年</w:t>
      </w:r>
      <w:r>
        <w:rPr>
          <w:rFonts w:ascii="宋体" w:hAnsi="宋体" w:hint="eastAsia"/>
          <w:sz w:val="24"/>
        </w:rPr>
        <w:t>12</w:t>
      </w:r>
      <w:r>
        <w:rPr>
          <w:rFonts w:ascii="宋体" w:hAnsi="宋体" w:hint="eastAsia"/>
          <w:sz w:val="24"/>
        </w:rPr>
        <w:t>月</w:t>
      </w:r>
      <w:r>
        <w:rPr>
          <w:rFonts w:ascii="宋体" w:hAnsi="宋体"/>
          <w:sz w:val="24"/>
        </w:rPr>
        <w:t>31</w:t>
      </w:r>
      <w:r>
        <w:rPr>
          <w:rFonts w:ascii="宋体" w:hAnsi="宋体" w:hint="eastAsia"/>
          <w:sz w:val="24"/>
        </w:rPr>
        <w:t>日至</w:t>
      </w:r>
      <w:r>
        <w:rPr>
          <w:rFonts w:ascii="宋体" w:hAnsi="宋体" w:hint="eastAsia"/>
          <w:sz w:val="24"/>
        </w:rPr>
        <w:t>20</w:t>
      </w:r>
      <w:r>
        <w:rPr>
          <w:rFonts w:ascii="宋体" w:hAnsi="宋体"/>
          <w:sz w:val="24"/>
        </w:rPr>
        <w:t>23</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sz w:val="24"/>
        </w:rPr>
        <w:t>30</w:t>
      </w:r>
      <w:r>
        <w:rPr>
          <w:rFonts w:ascii="宋体" w:hAnsi="宋体" w:hint="eastAsia"/>
          <w:sz w:val="24"/>
        </w:rPr>
        <w:t>日</w:t>
      </w:r>
    </w:p>
    <w:p w:rsidR="00DF6B48" w:rsidRDefault="006A33AA">
      <w:pPr>
        <w:snapToGrid w:val="0"/>
        <w:spacing w:line="530" w:lineRule="exact"/>
        <w:ind w:rightChars="-200" w:right="-420"/>
        <w:rPr>
          <w:rFonts w:ascii="宋体" w:hAnsi="宋体"/>
          <w:sz w:val="24"/>
        </w:rPr>
      </w:pPr>
      <w:r>
        <w:rPr>
          <w:rFonts w:ascii="宋体" w:hAnsi="宋体" w:hint="eastAsia"/>
          <w:sz w:val="24"/>
        </w:rPr>
        <w:t>土地估价机构备案号：</w:t>
      </w:r>
      <w:r>
        <w:rPr>
          <w:rFonts w:ascii="宋体" w:hAnsi="宋体" w:hint="eastAsia"/>
          <w:sz w:val="24"/>
        </w:rPr>
        <w:t>202</w:t>
      </w:r>
      <w:r>
        <w:rPr>
          <w:rFonts w:ascii="宋体" w:hAnsi="宋体"/>
          <w:sz w:val="24"/>
        </w:rPr>
        <w:t>1</w:t>
      </w:r>
      <w:r>
        <w:rPr>
          <w:rFonts w:ascii="宋体" w:hAnsi="宋体" w:hint="eastAsia"/>
          <w:sz w:val="24"/>
        </w:rPr>
        <w:t>3500</w:t>
      </w:r>
      <w:r>
        <w:rPr>
          <w:rFonts w:ascii="宋体" w:hAnsi="宋体"/>
          <w:sz w:val="24"/>
        </w:rPr>
        <w:t>35</w:t>
      </w:r>
    </w:p>
    <w:p w:rsidR="00DF6B48" w:rsidRDefault="006A33AA">
      <w:pPr>
        <w:snapToGrid w:val="0"/>
        <w:spacing w:line="530" w:lineRule="exact"/>
        <w:ind w:rightChars="-200" w:right="-420"/>
        <w:rPr>
          <w:rFonts w:ascii="宋体" w:hAnsi="宋体"/>
          <w:sz w:val="24"/>
        </w:rPr>
      </w:pPr>
      <w:r>
        <w:rPr>
          <w:rFonts w:ascii="宋体" w:hAnsi="宋体" w:hint="eastAsia"/>
          <w:sz w:val="24"/>
        </w:rPr>
        <w:t>法定代表人：陈振明</w:t>
      </w:r>
    </w:p>
    <w:p w:rsidR="00DF6B48" w:rsidRDefault="006A33AA">
      <w:pPr>
        <w:snapToGrid w:val="0"/>
        <w:spacing w:line="530" w:lineRule="exact"/>
        <w:ind w:rightChars="-200" w:right="-420"/>
        <w:rPr>
          <w:rFonts w:ascii="宋体" w:hAnsi="宋体"/>
          <w:sz w:val="24"/>
        </w:rPr>
      </w:pPr>
      <w:r>
        <w:rPr>
          <w:rFonts w:ascii="宋体" w:hAnsi="宋体" w:hint="eastAsia"/>
          <w:sz w:val="24"/>
        </w:rPr>
        <w:t>联系电话：</w:t>
      </w:r>
      <w:r>
        <w:rPr>
          <w:rFonts w:ascii="宋体" w:hAnsi="宋体" w:hint="eastAsia"/>
          <w:sz w:val="24"/>
        </w:rPr>
        <w:t>0595-22169505</w:t>
      </w:r>
      <w:r>
        <w:rPr>
          <w:rFonts w:ascii="宋体" w:hAnsi="宋体" w:hint="eastAsia"/>
          <w:sz w:val="24"/>
        </w:rPr>
        <w:t>、</w:t>
      </w:r>
      <w:r>
        <w:rPr>
          <w:rFonts w:ascii="宋体" w:hAnsi="宋体" w:hint="eastAsia"/>
          <w:sz w:val="24"/>
        </w:rPr>
        <w:t xml:space="preserve">13905987935     </w:t>
      </w:r>
      <w:r>
        <w:rPr>
          <w:rFonts w:ascii="宋体" w:hAnsi="宋体" w:hint="eastAsia"/>
          <w:sz w:val="24"/>
        </w:rPr>
        <w:t>传真：</w:t>
      </w:r>
      <w:r>
        <w:rPr>
          <w:rFonts w:ascii="宋体" w:hAnsi="宋体" w:hint="eastAsia"/>
          <w:sz w:val="24"/>
        </w:rPr>
        <w:t>0595-22179505</w:t>
      </w:r>
    </w:p>
    <w:p w:rsidR="00DF6B48" w:rsidRDefault="006A33AA">
      <w:pPr>
        <w:pStyle w:val="2195"/>
        <w:spacing w:line="530" w:lineRule="exact"/>
        <w:ind w:leftChars="-200" w:left="-420" w:rightChars="-200" w:right="-420" w:firstLineChars="200" w:firstLine="482"/>
        <w:rPr>
          <w:rFonts w:ascii="宋体" w:eastAsia="宋体" w:hAnsi="宋体"/>
          <w:b/>
        </w:rPr>
      </w:pPr>
      <w:bookmarkStart w:id="55" w:name="_Toc8711"/>
      <w:r>
        <w:rPr>
          <w:rFonts w:ascii="宋体" w:eastAsia="宋体" w:hAnsi="宋体" w:hint="eastAsia"/>
          <w:b/>
        </w:rPr>
        <w:t>三、估价目的</w:t>
      </w:r>
      <w:bookmarkEnd w:id="48"/>
      <w:bookmarkEnd w:id="55"/>
    </w:p>
    <w:bookmarkEnd w:id="49"/>
    <w:bookmarkEnd w:id="50"/>
    <w:bookmarkEnd w:id="51"/>
    <w:bookmarkEnd w:id="52"/>
    <w:bookmarkEnd w:id="53"/>
    <w:bookmarkEnd w:id="54"/>
    <w:p w:rsidR="00DF6B48" w:rsidRDefault="006A33AA">
      <w:pPr>
        <w:snapToGrid w:val="0"/>
        <w:spacing w:line="530" w:lineRule="exact"/>
        <w:ind w:leftChars="-200" w:left="-420" w:rightChars="-200" w:right="-420" w:firstLineChars="200" w:firstLine="480"/>
        <w:rPr>
          <w:rFonts w:ascii="宋体" w:hAnsi="宋体"/>
          <w:sz w:val="24"/>
        </w:rPr>
      </w:pPr>
      <w:r>
        <w:rPr>
          <w:rFonts w:ascii="宋体" w:hAnsi="宋体" w:hint="eastAsia"/>
          <w:sz w:val="24"/>
        </w:rPr>
        <w:t>为人民法院确定财产处置参考</w:t>
      </w:r>
      <w:proofErr w:type="gramStart"/>
      <w:r>
        <w:rPr>
          <w:rFonts w:ascii="宋体" w:hAnsi="宋体" w:hint="eastAsia"/>
          <w:sz w:val="24"/>
        </w:rPr>
        <w:t>价提供</w:t>
      </w:r>
      <w:proofErr w:type="gramEnd"/>
      <w:r>
        <w:rPr>
          <w:rFonts w:ascii="宋体" w:hAnsi="宋体" w:hint="eastAsia"/>
          <w:sz w:val="24"/>
        </w:rPr>
        <w:t>参考依据。</w:t>
      </w:r>
    </w:p>
    <w:p w:rsidR="00DF6B48" w:rsidRDefault="006A33AA">
      <w:pPr>
        <w:pStyle w:val="2195"/>
        <w:spacing w:line="530" w:lineRule="exact"/>
        <w:ind w:leftChars="-200" w:left="-420" w:rightChars="-200" w:right="-420" w:firstLineChars="200" w:firstLine="482"/>
        <w:rPr>
          <w:rFonts w:ascii="宋体" w:eastAsia="宋体" w:hAnsi="宋体"/>
          <w:b/>
        </w:rPr>
      </w:pPr>
      <w:bookmarkStart w:id="56" w:name="_Toc247681797"/>
      <w:bookmarkStart w:id="57" w:name="_Toc247682199"/>
      <w:bookmarkStart w:id="58" w:name="_Toc247681912"/>
      <w:bookmarkStart w:id="59" w:name="_Toc247682230"/>
      <w:bookmarkStart w:id="60" w:name="_Toc247682282"/>
      <w:bookmarkStart w:id="61" w:name="_Toc247682130"/>
      <w:bookmarkStart w:id="62" w:name="_Toc2600"/>
      <w:bookmarkStart w:id="63" w:name="_Toc400744776"/>
      <w:r>
        <w:rPr>
          <w:rFonts w:ascii="宋体" w:eastAsia="宋体" w:hAnsi="宋体" w:hint="eastAsia"/>
          <w:b/>
        </w:rPr>
        <w:t>四、</w:t>
      </w:r>
      <w:bookmarkEnd w:id="56"/>
      <w:bookmarkEnd w:id="57"/>
      <w:bookmarkEnd w:id="58"/>
      <w:bookmarkEnd w:id="59"/>
      <w:bookmarkEnd w:id="60"/>
      <w:bookmarkEnd w:id="61"/>
      <w:r>
        <w:rPr>
          <w:rFonts w:ascii="宋体" w:eastAsia="宋体" w:hAnsi="宋体" w:hint="eastAsia"/>
          <w:b/>
        </w:rPr>
        <w:t>估价对象</w:t>
      </w:r>
      <w:bookmarkEnd w:id="62"/>
      <w:bookmarkEnd w:id="63"/>
    </w:p>
    <w:p w:rsidR="00DF6B48" w:rsidRDefault="006A33AA">
      <w:pPr>
        <w:snapToGrid w:val="0"/>
        <w:spacing w:line="530" w:lineRule="exact"/>
        <w:ind w:leftChars="-200" w:left="-420" w:rightChars="-200" w:right="-420" w:firstLineChars="200" w:firstLine="482"/>
        <w:rPr>
          <w:rFonts w:ascii="宋体" w:hAnsi="宋体"/>
          <w:b/>
          <w:sz w:val="24"/>
        </w:rPr>
      </w:pPr>
      <w:r>
        <w:rPr>
          <w:rFonts w:ascii="宋体" w:hAnsi="宋体" w:hint="eastAsia"/>
          <w:b/>
          <w:sz w:val="24"/>
        </w:rPr>
        <w:t>（一）估价对象财产范围</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估价对象为</w:t>
      </w:r>
      <w:proofErr w:type="gramStart"/>
      <w:r>
        <w:rPr>
          <w:rFonts w:ascii="宋体" w:hAnsi="宋体" w:hint="eastAsia"/>
          <w:sz w:val="24"/>
        </w:rPr>
        <w:t>林成场位于</w:t>
      </w:r>
      <w:proofErr w:type="gramEnd"/>
      <w:r>
        <w:rPr>
          <w:rFonts w:ascii="宋体" w:hAnsi="宋体" w:hint="eastAsia"/>
          <w:sz w:val="24"/>
        </w:rPr>
        <w:t>晋江市迎宾路</w:t>
      </w:r>
      <w:r>
        <w:rPr>
          <w:rFonts w:ascii="宋体" w:hAnsi="宋体" w:hint="eastAsia"/>
          <w:sz w:val="24"/>
        </w:rPr>
        <w:t>532</w:t>
      </w:r>
      <w:r>
        <w:rPr>
          <w:rFonts w:ascii="宋体" w:hAnsi="宋体" w:hint="eastAsia"/>
          <w:sz w:val="24"/>
        </w:rPr>
        <w:t>号</w:t>
      </w:r>
      <w:proofErr w:type="gramStart"/>
      <w:r>
        <w:rPr>
          <w:rFonts w:ascii="宋体" w:hAnsi="宋体" w:hint="eastAsia"/>
          <w:sz w:val="24"/>
        </w:rPr>
        <w:t>浔</w:t>
      </w:r>
      <w:proofErr w:type="gramEnd"/>
      <w:r>
        <w:rPr>
          <w:rFonts w:ascii="宋体" w:hAnsi="宋体" w:hint="eastAsia"/>
          <w:sz w:val="24"/>
        </w:rPr>
        <w:t>兴·奥林春天</w:t>
      </w:r>
      <w:r>
        <w:rPr>
          <w:rFonts w:ascii="宋体" w:hAnsi="宋体" w:hint="eastAsia"/>
          <w:sz w:val="24"/>
        </w:rPr>
        <w:t>12#-1202</w:t>
      </w:r>
      <w:proofErr w:type="gramStart"/>
      <w:r>
        <w:rPr>
          <w:rFonts w:ascii="宋体" w:hAnsi="宋体" w:hint="eastAsia"/>
          <w:sz w:val="24"/>
        </w:rPr>
        <w:t>室住宅</w:t>
      </w:r>
      <w:proofErr w:type="gramEnd"/>
      <w:r>
        <w:rPr>
          <w:rFonts w:ascii="宋体" w:hAnsi="宋体" w:hint="eastAsia"/>
          <w:sz w:val="24"/>
        </w:rPr>
        <w:t>房地产（建筑面积为</w:t>
      </w:r>
      <w:r>
        <w:rPr>
          <w:rFonts w:ascii="宋体" w:hAnsi="宋体" w:hint="eastAsia"/>
          <w:sz w:val="24"/>
        </w:rPr>
        <w:t>647.53</w:t>
      </w:r>
      <w:r>
        <w:rPr>
          <w:rFonts w:ascii="宋体" w:hAnsi="宋体" w:hint="eastAsia"/>
          <w:sz w:val="24"/>
        </w:rPr>
        <w:t>平方米），包括建筑物价值（含室内二次装修）、分摊的土地使用权价值（含土地使用权出让金），不包含动产、债权债务、特许经营权等其他财产或权益。</w:t>
      </w:r>
    </w:p>
    <w:p w:rsidR="00DF6B48" w:rsidRDefault="006A33AA">
      <w:pPr>
        <w:snapToGrid w:val="0"/>
        <w:spacing w:line="530" w:lineRule="exact"/>
        <w:ind w:leftChars="-200" w:left="-420" w:rightChars="-200" w:right="-420" w:firstLineChars="200" w:firstLine="482"/>
        <w:rPr>
          <w:rFonts w:ascii="宋体" w:hAnsi="宋体"/>
          <w:b/>
          <w:sz w:val="24"/>
        </w:rPr>
      </w:pPr>
      <w:r>
        <w:rPr>
          <w:rFonts w:ascii="宋体" w:hAnsi="宋体" w:hint="eastAsia"/>
          <w:b/>
          <w:sz w:val="24"/>
        </w:rPr>
        <w:t>（二）估价对象基本状况</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、名称：晋江市迎宾路</w:t>
      </w:r>
      <w:r>
        <w:rPr>
          <w:rFonts w:ascii="宋体" w:hAnsi="宋体" w:hint="eastAsia"/>
          <w:sz w:val="24"/>
        </w:rPr>
        <w:t>532</w:t>
      </w:r>
      <w:r>
        <w:rPr>
          <w:rFonts w:ascii="宋体" w:hAnsi="宋体" w:hint="eastAsia"/>
          <w:sz w:val="24"/>
        </w:rPr>
        <w:t>号</w:t>
      </w:r>
      <w:proofErr w:type="gramStart"/>
      <w:r>
        <w:rPr>
          <w:rFonts w:ascii="宋体" w:hAnsi="宋体" w:hint="eastAsia"/>
          <w:sz w:val="24"/>
        </w:rPr>
        <w:t>浔</w:t>
      </w:r>
      <w:proofErr w:type="gramEnd"/>
      <w:r>
        <w:rPr>
          <w:rFonts w:ascii="宋体" w:hAnsi="宋体" w:hint="eastAsia"/>
          <w:sz w:val="24"/>
        </w:rPr>
        <w:t>兴·奥林春天</w:t>
      </w:r>
      <w:r>
        <w:rPr>
          <w:rFonts w:ascii="宋体" w:hAnsi="宋体" w:hint="eastAsia"/>
          <w:sz w:val="24"/>
        </w:rPr>
        <w:t>12#-1202</w:t>
      </w:r>
      <w:r>
        <w:rPr>
          <w:rFonts w:ascii="宋体" w:hAnsi="宋体" w:hint="eastAsia"/>
          <w:sz w:val="24"/>
        </w:rPr>
        <w:t>室住宅；</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、坐落：晋江市迎宾路</w:t>
      </w:r>
      <w:r>
        <w:rPr>
          <w:rFonts w:ascii="宋体" w:hAnsi="宋体" w:hint="eastAsia"/>
          <w:sz w:val="24"/>
        </w:rPr>
        <w:t>532</w:t>
      </w:r>
      <w:r>
        <w:rPr>
          <w:rFonts w:ascii="宋体" w:hAnsi="宋体" w:hint="eastAsia"/>
          <w:sz w:val="24"/>
        </w:rPr>
        <w:t>号</w:t>
      </w:r>
      <w:proofErr w:type="gramStart"/>
      <w:r>
        <w:rPr>
          <w:rFonts w:ascii="宋体" w:hAnsi="宋体" w:hint="eastAsia"/>
          <w:sz w:val="24"/>
        </w:rPr>
        <w:t>浔</w:t>
      </w:r>
      <w:proofErr w:type="gramEnd"/>
      <w:r>
        <w:rPr>
          <w:rFonts w:ascii="宋体" w:hAnsi="宋体" w:hint="eastAsia"/>
          <w:sz w:val="24"/>
        </w:rPr>
        <w:t>兴·奥林春天</w:t>
      </w:r>
      <w:r>
        <w:rPr>
          <w:rFonts w:ascii="宋体" w:hAnsi="宋体" w:hint="eastAsia"/>
          <w:sz w:val="24"/>
        </w:rPr>
        <w:t>12#-1202</w:t>
      </w:r>
      <w:r>
        <w:rPr>
          <w:rFonts w:ascii="宋体" w:hAnsi="宋体" w:hint="eastAsia"/>
          <w:sz w:val="24"/>
        </w:rPr>
        <w:t>室；</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、规模：建筑面积为</w:t>
      </w:r>
      <w:r>
        <w:rPr>
          <w:rFonts w:ascii="宋体" w:hAnsi="宋体" w:hint="eastAsia"/>
          <w:sz w:val="24"/>
        </w:rPr>
        <w:t>647.53</w:t>
      </w:r>
      <w:r>
        <w:rPr>
          <w:rFonts w:ascii="宋体" w:hAnsi="宋体" w:hint="eastAsia"/>
          <w:sz w:val="24"/>
        </w:rPr>
        <w:t>平方米；</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、用途：</w:t>
      </w:r>
      <w:r>
        <w:rPr>
          <w:rFonts w:ascii="宋体" w:hAnsi="宋体" w:hint="eastAsia"/>
          <w:sz w:val="24"/>
        </w:rPr>
        <w:t>规划用途为住宅</w:t>
      </w:r>
      <w:r>
        <w:rPr>
          <w:rFonts w:ascii="宋体" w:hAnsi="宋体" w:hint="eastAsia"/>
          <w:sz w:val="24"/>
        </w:rPr>
        <w:t>；</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5</w:t>
      </w:r>
      <w:r>
        <w:rPr>
          <w:rFonts w:ascii="宋体" w:hAnsi="宋体" w:hint="eastAsia"/>
          <w:sz w:val="24"/>
        </w:rPr>
        <w:t>、权属：本次评估设定估价对象所分摊</w:t>
      </w:r>
      <w:r>
        <w:rPr>
          <w:rFonts w:ascii="宋体" w:hAnsi="宋体" w:hint="eastAsia"/>
          <w:sz w:val="24"/>
        </w:rPr>
        <w:t>的土地为以国有出让方式取得的住宅用地</w:t>
      </w:r>
      <w:r>
        <w:rPr>
          <w:rFonts w:ascii="宋体" w:hAnsi="宋体" w:hint="eastAsia"/>
          <w:sz w:val="24"/>
        </w:rPr>
        <w:lastRenderedPageBreak/>
        <w:t>使用权，权利人为林成场。</w:t>
      </w:r>
    </w:p>
    <w:p w:rsidR="00DF6B48" w:rsidRDefault="006A33AA">
      <w:pPr>
        <w:snapToGrid w:val="0"/>
        <w:spacing w:line="530" w:lineRule="exact"/>
        <w:ind w:leftChars="-200" w:left="-420" w:rightChars="-200" w:right="-420" w:firstLineChars="200" w:firstLine="482"/>
        <w:rPr>
          <w:rFonts w:ascii="宋体" w:hAnsi="宋体"/>
          <w:b/>
          <w:sz w:val="24"/>
        </w:rPr>
      </w:pPr>
      <w:r>
        <w:rPr>
          <w:rFonts w:ascii="宋体" w:hAnsi="宋体" w:hint="eastAsia"/>
          <w:b/>
          <w:sz w:val="24"/>
        </w:rPr>
        <w:t>（三）土地基本状况</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、名称：估价对象所处宗地为晋江市</w:t>
      </w:r>
      <w:proofErr w:type="gramStart"/>
      <w:r>
        <w:rPr>
          <w:rFonts w:ascii="宋体" w:hAnsi="宋体" w:hint="eastAsia"/>
          <w:sz w:val="24"/>
        </w:rPr>
        <w:t>浔</w:t>
      </w:r>
      <w:proofErr w:type="gramEnd"/>
      <w:r>
        <w:rPr>
          <w:rFonts w:ascii="宋体" w:hAnsi="宋体" w:hint="eastAsia"/>
          <w:sz w:val="24"/>
        </w:rPr>
        <w:t>兴·奥林春天地块；</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、四至：东临梅岭路、西临区间道路、南临迎宾路、北临区间道路；</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、形状：宗地形状为较不规则多边形；</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、土地使用期限：本次评估设定估价对象所分摊的土地为以国有出让方式取得的住宅用地使用权，住宅用地最高出让年限为</w:t>
      </w:r>
      <w:r>
        <w:rPr>
          <w:rFonts w:ascii="宋体" w:hAnsi="宋体" w:hint="eastAsia"/>
          <w:sz w:val="24"/>
        </w:rPr>
        <w:t>70</w:t>
      </w:r>
      <w:r>
        <w:rPr>
          <w:rFonts w:ascii="宋体" w:hAnsi="宋体" w:hint="eastAsia"/>
          <w:sz w:val="24"/>
        </w:rPr>
        <w:t>年，据调查，估价对象所在建筑物</w:t>
      </w:r>
      <w:proofErr w:type="gramStart"/>
      <w:r>
        <w:rPr>
          <w:rFonts w:ascii="宋体" w:hAnsi="宋体" w:hint="eastAsia"/>
          <w:sz w:val="24"/>
        </w:rPr>
        <w:t>约建成</w:t>
      </w:r>
      <w:proofErr w:type="gramEnd"/>
      <w:r>
        <w:rPr>
          <w:rFonts w:ascii="宋体" w:hAnsi="宋体" w:hint="eastAsia"/>
          <w:sz w:val="24"/>
        </w:rPr>
        <w:t>于</w:t>
      </w:r>
      <w:r>
        <w:rPr>
          <w:rFonts w:ascii="宋体" w:hAnsi="宋体" w:hint="eastAsia"/>
          <w:sz w:val="24"/>
        </w:rPr>
        <w:t>2011</w:t>
      </w:r>
      <w:r>
        <w:rPr>
          <w:rFonts w:ascii="宋体" w:hAnsi="宋体" w:hint="eastAsia"/>
          <w:sz w:val="24"/>
        </w:rPr>
        <w:t>年，建筑物已使用</w:t>
      </w:r>
      <w:r>
        <w:rPr>
          <w:rFonts w:ascii="宋体" w:hAnsi="宋体" w:hint="eastAsia"/>
          <w:sz w:val="24"/>
        </w:rPr>
        <w:t>11</w:t>
      </w:r>
      <w:r>
        <w:rPr>
          <w:rFonts w:ascii="宋体" w:hAnsi="宋体" w:hint="eastAsia"/>
          <w:sz w:val="24"/>
        </w:rPr>
        <w:t>年，则设定土地剩余使用年限约为</w:t>
      </w:r>
      <w:r>
        <w:rPr>
          <w:rFonts w:ascii="宋体" w:hAnsi="宋体" w:hint="eastAsia"/>
          <w:sz w:val="24"/>
        </w:rPr>
        <w:t>57</w:t>
      </w:r>
      <w:r>
        <w:rPr>
          <w:rFonts w:ascii="宋体" w:hAnsi="宋体" w:hint="eastAsia"/>
          <w:sz w:val="24"/>
        </w:rPr>
        <w:t>年（建设期</w:t>
      </w:r>
      <w:r>
        <w:rPr>
          <w:rFonts w:ascii="宋体" w:hAnsi="宋体" w:hint="eastAsia"/>
          <w:sz w:val="24"/>
        </w:rPr>
        <w:t>2</w:t>
      </w:r>
      <w:r>
        <w:rPr>
          <w:rFonts w:ascii="宋体" w:hAnsi="宋体" w:hint="eastAsia"/>
          <w:sz w:val="24"/>
        </w:rPr>
        <w:t>年），根据房地合一、地随房走等原理，土地使用权人为林成场。</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5</w:t>
      </w:r>
      <w:r>
        <w:rPr>
          <w:rFonts w:ascii="宋体" w:hAnsi="宋体" w:hint="eastAsia"/>
          <w:sz w:val="24"/>
        </w:rPr>
        <w:t>、土地面积：共有宗地面积不详，分摊土地使用权面积不详。</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6</w:t>
      </w:r>
      <w:r>
        <w:rPr>
          <w:rFonts w:ascii="宋体" w:hAnsi="宋体" w:hint="eastAsia"/>
          <w:sz w:val="24"/>
        </w:rPr>
        <w:t>、开发程度：</w:t>
      </w:r>
      <w:proofErr w:type="gramStart"/>
      <w:r>
        <w:rPr>
          <w:rFonts w:ascii="宋体" w:hAnsi="宋体" w:hint="eastAsia"/>
          <w:sz w:val="24"/>
        </w:rPr>
        <w:t>至价值</w:t>
      </w:r>
      <w:proofErr w:type="gramEnd"/>
      <w:r>
        <w:rPr>
          <w:rFonts w:ascii="宋体" w:hAnsi="宋体" w:hint="eastAsia"/>
          <w:sz w:val="24"/>
        </w:rPr>
        <w:t>时点，土地开发程度达到宗地红线内外“五通”（即通上水、通下水、通路、通电、通讯），宗地上已建有多栋建筑物。</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7</w:t>
      </w:r>
      <w:r>
        <w:rPr>
          <w:rFonts w:ascii="宋体" w:hAnsi="宋体" w:hint="eastAsia"/>
          <w:sz w:val="24"/>
        </w:rPr>
        <w:t>、规划条件：估价委托人未能提供有关土地</w:t>
      </w:r>
      <w:r>
        <w:rPr>
          <w:rFonts w:ascii="宋体" w:hAnsi="宋体" w:hint="eastAsia"/>
          <w:sz w:val="24"/>
        </w:rPr>
        <w:t>规划方面的资料，估价人员亦无法调查到其规划条件，具体规划条件不详。</w:t>
      </w:r>
    </w:p>
    <w:p w:rsidR="00DF6B48" w:rsidRDefault="006A33AA">
      <w:pPr>
        <w:snapToGrid w:val="0"/>
        <w:spacing w:line="530" w:lineRule="exact"/>
        <w:ind w:leftChars="-200" w:left="-420" w:rightChars="-200" w:right="-420" w:firstLineChars="200" w:firstLine="482"/>
        <w:rPr>
          <w:rFonts w:ascii="宋体" w:hAnsi="宋体"/>
          <w:b/>
          <w:sz w:val="24"/>
        </w:rPr>
      </w:pPr>
      <w:r>
        <w:rPr>
          <w:rFonts w:ascii="宋体" w:hAnsi="宋体" w:hint="eastAsia"/>
          <w:b/>
          <w:sz w:val="24"/>
        </w:rPr>
        <w:t>（四）建筑物基本状况</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、建筑结构：钢筋混凝土结构；</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、设施设备：给排水：暗装；供电：暗装；通讯：电话线路、宽带；消防设施：消防栓、灭火器、消防报警器；电梯：不带电梯。</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、装饰装修：毛坯。评估对象为晋江市迎宾路</w:t>
      </w:r>
      <w:r>
        <w:rPr>
          <w:rFonts w:ascii="宋体" w:hAnsi="宋体" w:hint="eastAsia"/>
          <w:sz w:val="24"/>
        </w:rPr>
        <w:t>532</w:t>
      </w:r>
      <w:r>
        <w:rPr>
          <w:rFonts w:ascii="宋体" w:hAnsi="宋体" w:hint="eastAsia"/>
          <w:sz w:val="24"/>
        </w:rPr>
        <w:t>号</w:t>
      </w:r>
      <w:proofErr w:type="gramStart"/>
      <w:r>
        <w:rPr>
          <w:rFonts w:ascii="宋体" w:hAnsi="宋体" w:hint="eastAsia"/>
          <w:sz w:val="24"/>
        </w:rPr>
        <w:t>浔</w:t>
      </w:r>
      <w:proofErr w:type="gramEnd"/>
      <w:r>
        <w:rPr>
          <w:rFonts w:ascii="宋体" w:hAnsi="宋体" w:hint="eastAsia"/>
          <w:sz w:val="24"/>
        </w:rPr>
        <w:t>兴·奥林春天</w:t>
      </w:r>
      <w:r>
        <w:rPr>
          <w:rFonts w:ascii="宋体" w:hAnsi="宋体" w:hint="eastAsia"/>
          <w:sz w:val="24"/>
        </w:rPr>
        <w:t>12#-1202</w:t>
      </w:r>
      <w:r>
        <w:rPr>
          <w:rFonts w:ascii="宋体" w:hAnsi="宋体" w:hint="eastAsia"/>
          <w:sz w:val="24"/>
        </w:rPr>
        <w:t>室住宅，所在建筑物为总层数</w:t>
      </w:r>
      <w:r>
        <w:rPr>
          <w:rFonts w:ascii="宋体" w:hAnsi="宋体" w:hint="eastAsia"/>
          <w:sz w:val="24"/>
        </w:rPr>
        <w:t>4</w:t>
      </w:r>
      <w:r>
        <w:rPr>
          <w:rFonts w:ascii="宋体" w:hAnsi="宋体" w:hint="eastAsia"/>
          <w:sz w:val="24"/>
        </w:rPr>
        <w:t>层钢筋混凝土结构住宅，</w:t>
      </w:r>
      <w:proofErr w:type="gramStart"/>
      <w:r>
        <w:rPr>
          <w:rFonts w:ascii="宋体" w:hAnsi="宋体" w:hint="eastAsia"/>
          <w:sz w:val="24"/>
        </w:rPr>
        <w:t>至价值</w:t>
      </w:r>
      <w:proofErr w:type="gramEnd"/>
      <w:r>
        <w:rPr>
          <w:rFonts w:ascii="宋体" w:hAnsi="宋体" w:hint="eastAsia"/>
          <w:sz w:val="24"/>
        </w:rPr>
        <w:t>时点室内无装修，为联排别墅，空间分区以及各个空间的交通流线合理，布局较好。</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、维护状况：估价对象基础稳固性较好，结构完好，外观较好，设</w:t>
      </w:r>
      <w:r>
        <w:rPr>
          <w:rFonts w:ascii="宋体" w:hAnsi="宋体" w:hint="eastAsia"/>
          <w:sz w:val="24"/>
        </w:rPr>
        <w:t>施设备维修养护情况较好。</w:t>
      </w:r>
    </w:p>
    <w:p w:rsidR="00DF6B48" w:rsidRDefault="006A33AA">
      <w:pPr>
        <w:pStyle w:val="2195"/>
        <w:spacing w:line="530" w:lineRule="exact"/>
        <w:ind w:leftChars="-200" w:left="-420" w:rightChars="-200" w:right="-420" w:firstLineChars="200" w:firstLine="482"/>
        <w:rPr>
          <w:rFonts w:ascii="宋体" w:eastAsia="宋体" w:hAnsi="宋体"/>
          <w:b/>
        </w:rPr>
      </w:pPr>
      <w:bookmarkStart w:id="64" w:name="_Toc400744777"/>
      <w:bookmarkStart w:id="65" w:name="_Toc14117"/>
      <w:r>
        <w:rPr>
          <w:rFonts w:ascii="宋体" w:eastAsia="宋体" w:hAnsi="宋体" w:hint="eastAsia"/>
          <w:b/>
        </w:rPr>
        <w:t>五、价值时点</w:t>
      </w:r>
      <w:bookmarkEnd w:id="64"/>
      <w:bookmarkEnd w:id="65"/>
    </w:p>
    <w:p w:rsidR="00DF6B48" w:rsidRDefault="006A33AA">
      <w:pPr>
        <w:pStyle w:val="a8"/>
        <w:spacing w:line="530" w:lineRule="exact"/>
        <w:ind w:leftChars="-200" w:left="-420" w:rightChars="-200" w:right="-420" w:firstLineChars="200" w:firstLine="480"/>
        <w:rPr>
          <w:rFonts w:hAnsi="宋体"/>
          <w:bCs w:val="0"/>
          <w:sz w:val="24"/>
          <w:szCs w:val="24"/>
        </w:rPr>
      </w:pPr>
      <w:r>
        <w:rPr>
          <w:rFonts w:hAnsi="宋体" w:hint="eastAsia"/>
          <w:sz w:val="24"/>
        </w:rPr>
        <w:t>2022</w:t>
      </w:r>
      <w:r>
        <w:rPr>
          <w:rFonts w:hAnsi="宋体" w:hint="eastAsia"/>
          <w:sz w:val="24"/>
        </w:rPr>
        <w:t>年</w:t>
      </w:r>
      <w:r>
        <w:rPr>
          <w:rFonts w:hAnsi="宋体" w:hint="eastAsia"/>
          <w:sz w:val="24"/>
        </w:rPr>
        <w:t>7</w:t>
      </w:r>
      <w:r>
        <w:rPr>
          <w:rFonts w:hAnsi="宋体" w:hint="eastAsia"/>
          <w:sz w:val="24"/>
        </w:rPr>
        <w:t>月</w:t>
      </w:r>
      <w:r>
        <w:rPr>
          <w:rFonts w:hAnsi="宋体" w:hint="eastAsia"/>
          <w:sz w:val="24"/>
        </w:rPr>
        <w:t>21</w:t>
      </w:r>
      <w:r>
        <w:rPr>
          <w:rFonts w:hAnsi="宋体" w:hint="eastAsia"/>
          <w:sz w:val="24"/>
        </w:rPr>
        <w:t>日（即实地查勘完成之日）</w:t>
      </w:r>
    </w:p>
    <w:p w:rsidR="00DF6B48" w:rsidRDefault="006A33AA">
      <w:pPr>
        <w:pStyle w:val="2195"/>
        <w:spacing w:line="530" w:lineRule="exact"/>
        <w:ind w:leftChars="-200" w:left="-420" w:rightChars="-200" w:right="-420" w:firstLineChars="200" w:firstLine="482"/>
        <w:rPr>
          <w:rFonts w:ascii="宋体" w:eastAsia="宋体" w:hAnsi="宋体"/>
          <w:b/>
        </w:rPr>
      </w:pPr>
      <w:bookmarkStart w:id="66" w:name="_Toc247681913"/>
      <w:bookmarkStart w:id="67" w:name="_Toc247682231"/>
      <w:bookmarkStart w:id="68" w:name="_Toc247682131"/>
      <w:bookmarkStart w:id="69" w:name="_Toc247682283"/>
      <w:bookmarkStart w:id="70" w:name="_Toc247681798"/>
      <w:bookmarkStart w:id="71" w:name="_Toc3330"/>
      <w:bookmarkStart w:id="72" w:name="_Toc400744778"/>
      <w:bookmarkStart w:id="73" w:name="_Toc247682200"/>
      <w:r>
        <w:rPr>
          <w:rFonts w:ascii="宋体" w:eastAsia="宋体" w:hAnsi="宋体" w:hint="eastAsia"/>
          <w:b/>
        </w:rPr>
        <w:lastRenderedPageBreak/>
        <w:t>六、价值类型</w:t>
      </w:r>
      <w:bookmarkEnd w:id="66"/>
      <w:bookmarkEnd w:id="67"/>
      <w:bookmarkEnd w:id="68"/>
      <w:bookmarkEnd w:id="69"/>
      <w:bookmarkEnd w:id="70"/>
      <w:bookmarkEnd w:id="71"/>
      <w:bookmarkEnd w:id="72"/>
      <w:bookmarkEnd w:id="73"/>
    </w:p>
    <w:p w:rsidR="00DF6B48" w:rsidRDefault="006A33AA">
      <w:pPr>
        <w:snapToGrid w:val="0"/>
        <w:spacing w:line="530" w:lineRule="exact"/>
        <w:ind w:leftChars="-200" w:left="-420" w:rightChars="-200" w:right="-420" w:firstLineChars="200" w:firstLine="482"/>
        <w:rPr>
          <w:rFonts w:ascii="宋体" w:hAnsi="宋体"/>
          <w:b/>
          <w:sz w:val="24"/>
        </w:rPr>
      </w:pPr>
      <w:r>
        <w:rPr>
          <w:rFonts w:ascii="宋体" w:hAnsi="宋体" w:hint="eastAsia"/>
          <w:b/>
          <w:sz w:val="24"/>
        </w:rPr>
        <w:t>（一）价值类型</w:t>
      </w:r>
    </w:p>
    <w:p w:rsidR="00DF6B48" w:rsidRDefault="006A33AA">
      <w:pPr>
        <w:snapToGrid w:val="0"/>
        <w:spacing w:line="530" w:lineRule="exact"/>
        <w:ind w:leftChars="-200" w:left="-420" w:rightChars="-200" w:right="-420" w:firstLineChars="200" w:firstLine="480"/>
        <w:rPr>
          <w:rFonts w:ascii="宋体" w:hAnsi="宋体"/>
          <w:sz w:val="24"/>
        </w:rPr>
      </w:pPr>
      <w:r>
        <w:rPr>
          <w:rFonts w:ascii="宋体" w:hAnsi="宋体" w:hint="eastAsia"/>
          <w:sz w:val="24"/>
        </w:rPr>
        <w:t>本估价报告的价值类型是市场价格。</w:t>
      </w:r>
    </w:p>
    <w:p w:rsidR="00DF6B48" w:rsidRDefault="006A33AA">
      <w:pPr>
        <w:snapToGrid w:val="0"/>
        <w:spacing w:line="530" w:lineRule="exact"/>
        <w:ind w:leftChars="-200" w:left="-420" w:rightChars="-200" w:right="-420" w:firstLineChars="200" w:firstLine="482"/>
        <w:rPr>
          <w:rFonts w:ascii="宋体" w:hAnsi="宋体"/>
          <w:b/>
          <w:sz w:val="24"/>
        </w:rPr>
      </w:pPr>
      <w:r>
        <w:rPr>
          <w:rFonts w:ascii="宋体" w:hAnsi="宋体" w:hint="eastAsia"/>
          <w:b/>
          <w:sz w:val="24"/>
        </w:rPr>
        <w:t>（二）价值定义</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市场价格是以一些类似房地产的成交价格为基准，剔除偶然的和不正常的因素造成的价格偏差，并消除房地产之间的状况不同造成的价格差异后进行测算得出的平均房地产市场价格。</w:t>
      </w:r>
    </w:p>
    <w:p w:rsidR="00DF6B48" w:rsidRDefault="006A33AA">
      <w:pPr>
        <w:snapToGrid w:val="0"/>
        <w:spacing w:line="530" w:lineRule="exact"/>
        <w:ind w:leftChars="-200" w:left="-420" w:rightChars="-200" w:right="-420" w:firstLineChars="200" w:firstLine="482"/>
        <w:rPr>
          <w:rFonts w:ascii="宋体" w:hAnsi="宋体"/>
          <w:b/>
          <w:sz w:val="24"/>
        </w:rPr>
      </w:pPr>
      <w:r>
        <w:rPr>
          <w:rFonts w:ascii="宋体" w:hAnsi="宋体" w:hint="eastAsia"/>
          <w:b/>
          <w:sz w:val="24"/>
        </w:rPr>
        <w:t>（三）价值内涵</w:t>
      </w:r>
    </w:p>
    <w:p w:rsidR="00DF6B48" w:rsidRDefault="006A33AA" w:rsidP="008B37E5">
      <w:pPr>
        <w:snapToGrid w:val="0"/>
        <w:spacing w:line="524" w:lineRule="atLeast"/>
        <w:ind w:leftChars="-171" w:left="-359" w:rightChars="-3" w:right="-6" w:firstLineChars="192" w:firstLine="461"/>
        <w:rPr>
          <w:rFonts w:ascii="宋体" w:hAnsi="宋体"/>
          <w:sz w:val="24"/>
        </w:rPr>
      </w:pPr>
      <w:bookmarkStart w:id="74" w:name="_Toc400744779"/>
      <w:r>
        <w:rPr>
          <w:rFonts w:ascii="宋体" w:hAnsi="宋体" w:hint="eastAsia"/>
          <w:sz w:val="24"/>
        </w:rPr>
        <w:t>价值内涵是估价对象于价值时点，满足本次估价假设和限制条件下，包括建筑物价值（含室内二次装修）、分摊的土地使用权价值（含土地使用权出让金），不包含动产、债权债务、特许经营权等其他财产或权益；付款方式是一次性付清房价款（包括首付款及按揭贷款）；房屋面积内涵是建筑面积；开发程度为现房，具备红线内外“五通”。</w:t>
      </w:r>
    </w:p>
    <w:p w:rsidR="00DF6B48" w:rsidRDefault="006A33AA">
      <w:pPr>
        <w:pStyle w:val="2195"/>
        <w:spacing w:line="530" w:lineRule="exact"/>
        <w:ind w:leftChars="-200" w:left="-420" w:rightChars="-200" w:right="-420" w:firstLineChars="200" w:firstLine="482"/>
        <w:rPr>
          <w:rFonts w:ascii="宋体" w:eastAsia="宋体" w:hAnsi="宋体"/>
          <w:b/>
        </w:rPr>
      </w:pPr>
      <w:bookmarkStart w:id="75" w:name="_Toc3614"/>
      <w:r>
        <w:rPr>
          <w:rFonts w:ascii="宋体" w:eastAsia="宋体" w:hAnsi="宋体" w:hint="eastAsia"/>
          <w:b/>
        </w:rPr>
        <w:t>七、估价原则</w:t>
      </w:r>
      <w:bookmarkEnd w:id="74"/>
      <w:bookmarkEnd w:id="75"/>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我们在本次估价中遵循了以下估价原则：</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、独立、客观、公正原则：要求站在中立的立场上，实事求是、公平正直地评估出对各方估价利害关系人均是公平合理的价值或价格的原则。</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、合法原则：要求估价结果是</w:t>
      </w:r>
      <w:r>
        <w:rPr>
          <w:rFonts w:ascii="宋体" w:hAnsi="宋体" w:hint="eastAsia"/>
          <w:sz w:val="24"/>
        </w:rPr>
        <w:t>在依法判定的估价对象状况下的价值或价格的原则。</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、价值时点原则：要求估价结果是在根据估价目的确定的某一特定时间的价值或价格的原则。</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、替代原则：要求估价结果与估价对象的类似房地产在同等条件下的价值或价格偏差在合理范围内的原则。</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5</w:t>
      </w:r>
      <w:r>
        <w:rPr>
          <w:rFonts w:ascii="宋体" w:hAnsi="宋体" w:hint="eastAsia"/>
          <w:sz w:val="24"/>
        </w:rPr>
        <w:t>、最高</w:t>
      </w:r>
      <w:proofErr w:type="gramStart"/>
      <w:r>
        <w:rPr>
          <w:rFonts w:ascii="宋体" w:hAnsi="宋体" w:hint="eastAsia"/>
          <w:sz w:val="24"/>
        </w:rPr>
        <w:t>最佳利用</w:t>
      </w:r>
      <w:proofErr w:type="gramEnd"/>
      <w:r>
        <w:rPr>
          <w:rFonts w:ascii="宋体" w:hAnsi="宋体" w:hint="eastAsia"/>
          <w:sz w:val="24"/>
        </w:rPr>
        <w:t>原则：要求估价结果是在估价对象最高</w:t>
      </w:r>
      <w:proofErr w:type="gramStart"/>
      <w:r>
        <w:rPr>
          <w:rFonts w:ascii="宋体" w:hAnsi="宋体" w:hint="eastAsia"/>
          <w:sz w:val="24"/>
        </w:rPr>
        <w:t>最佳利用</w:t>
      </w:r>
      <w:proofErr w:type="gramEnd"/>
      <w:r>
        <w:rPr>
          <w:rFonts w:ascii="宋体" w:hAnsi="宋体" w:hint="eastAsia"/>
          <w:sz w:val="24"/>
        </w:rPr>
        <w:t>状况下的价值或价格的原则。最高</w:t>
      </w:r>
      <w:proofErr w:type="gramStart"/>
      <w:r>
        <w:rPr>
          <w:rFonts w:ascii="宋体" w:hAnsi="宋体" w:hint="eastAsia"/>
          <w:sz w:val="24"/>
        </w:rPr>
        <w:t>最佳利用即</w:t>
      </w:r>
      <w:proofErr w:type="gramEnd"/>
      <w:r>
        <w:rPr>
          <w:rFonts w:ascii="宋体" w:hAnsi="宋体" w:hint="eastAsia"/>
          <w:sz w:val="24"/>
        </w:rPr>
        <w:t>为房地产在法律上允许、技术上可能、财务上可行并使价值最大的合理、可能的利用，包括最佳的用途、规模、档次等。</w:t>
      </w:r>
    </w:p>
    <w:p w:rsidR="00DF6B48" w:rsidRDefault="006A33AA">
      <w:pPr>
        <w:pStyle w:val="2195"/>
        <w:spacing w:line="530" w:lineRule="exact"/>
        <w:ind w:leftChars="-200" w:left="-420" w:rightChars="-200" w:right="-420" w:firstLineChars="200" w:firstLine="482"/>
        <w:rPr>
          <w:rFonts w:ascii="宋体" w:eastAsia="宋体" w:hAnsi="宋体"/>
          <w:b/>
        </w:rPr>
      </w:pPr>
      <w:bookmarkStart w:id="76" w:name="_Toc247682232"/>
      <w:bookmarkStart w:id="77" w:name="_Toc400744780"/>
      <w:bookmarkStart w:id="78" w:name="_Toc247682132"/>
      <w:bookmarkStart w:id="79" w:name="_Toc247682201"/>
      <w:bookmarkStart w:id="80" w:name="_Toc247681799"/>
      <w:bookmarkStart w:id="81" w:name="_Toc247682284"/>
      <w:bookmarkStart w:id="82" w:name="_Toc30500"/>
      <w:bookmarkStart w:id="83" w:name="_Toc247681914"/>
      <w:r>
        <w:rPr>
          <w:rFonts w:ascii="宋体" w:eastAsia="宋体" w:hAnsi="宋体" w:hint="eastAsia"/>
          <w:b/>
        </w:rPr>
        <w:t>八、估价依据</w:t>
      </w:r>
      <w:bookmarkEnd w:id="76"/>
      <w:bookmarkEnd w:id="77"/>
      <w:bookmarkEnd w:id="78"/>
      <w:bookmarkEnd w:id="79"/>
      <w:bookmarkEnd w:id="80"/>
      <w:bookmarkEnd w:id="81"/>
      <w:bookmarkEnd w:id="82"/>
      <w:bookmarkEnd w:id="83"/>
    </w:p>
    <w:p w:rsidR="00DF6B48" w:rsidRDefault="006A33AA">
      <w:pPr>
        <w:pStyle w:val="a8"/>
        <w:spacing w:line="530" w:lineRule="exact"/>
        <w:ind w:leftChars="-170" w:left="-357" w:rightChars="-170" w:right="-357" w:firstLineChars="200" w:firstLine="482"/>
        <w:rPr>
          <w:rFonts w:hAnsi="宋体"/>
          <w:b/>
          <w:sz w:val="24"/>
          <w:szCs w:val="24"/>
        </w:rPr>
      </w:pPr>
      <w:r>
        <w:rPr>
          <w:rFonts w:hAnsi="宋体" w:hint="eastAsia"/>
          <w:b/>
          <w:sz w:val="24"/>
          <w:szCs w:val="24"/>
        </w:rPr>
        <w:t>（一）有关法律、法规和政策文件依据</w:t>
      </w:r>
      <w:r>
        <w:rPr>
          <w:rFonts w:hAnsi="宋体" w:hint="eastAsia"/>
          <w:b/>
          <w:sz w:val="24"/>
          <w:szCs w:val="24"/>
        </w:rPr>
        <w:t xml:space="preserve"> </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lastRenderedPageBreak/>
        <w:t>1.</w:t>
      </w:r>
      <w:r>
        <w:rPr>
          <w:rFonts w:ascii="宋体" w:hAnsi="宋体" w:hint="eastAsia"/>
          <w:sz w:val="24"/>
        </w:rPr>
        <w:t>《中华人民共和国民法典》（</w:t>
      </w:r>
      <w:r>
        <w:rPr>
          <w:rFonts w:ascii="宋体" w:hAnsi="宋体" w:hint="eastAsia"/>
          <w:sz w:val="24"/>
        </w:rPr>
        <w:t>2020</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28</w:t>
      </w:r>
      <w:r>
        <w:rPr>
          <w:rFonts w:ascii="宋体" w:hAnsi="宋体" w:hint="eastAsia"/>
          <w:sz w:val="24"/>
        </w:rPr>
        <w:t>日第十三届全国人民代表大会第三次会议通过，中华人民共和国主席令第四十五号公布，自</w:t>
      </w:r>
      <w:r>
        <w:rPr>
          <w:rFonts w:ascii="宋体" w:hAnsi="宋体" w:hint="eastAsia"/>
          <w:sz w:val="24"/>
        </w:rPr>
        <w:t>2021</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日起施行）；</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《中华人民共和国土地管理法》（根据</w:t>
      </w:r>
      <w:r>
        <w:rPr>
          <w:rFonts w:ascii="宋体" w:hAnsi="宋体" w:hint="eastAsia"/>
          <w:sz w:val="24"/>
        </w:rPr>
        <w:t>2019</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26</w:t>
      </w:r>
      <w:r>
        <w:rPr>
          <w:rFonts w:ascii="宋体" w:hAnsi="宋体" w:hint="eastAsia"/>
          <w:sz w:val="24"/>
        </w:rPr>
        <w:t>日第十三届全国人民代表大会常务委员会第十二次会议《关于修改〈中华人民共和国土地管理法〉的决定》第三次修正，自</w:t>
      </w:r>
      <w:r>
        <w:rPr>
          <w:rFonts w:ascii="宋体" w:hAnsi="宋体" w:hint="eastAsia"/>
          <w:sz w:val="24"/>
        </w:rPr>
        <w:t>2020</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日起施行）；</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《中华人民共和国城市房地产管理法》（根据</w:t>
      </w:r>
      <w:r>
        <w:rPr>
          <w:rFonts w:ascii="宋体" w:hAnsi="宋体" w:hint="eastAsia"/>
          <w:sz w:val="24"/>
        </w:rPr>
        <w:t>2019</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26</w:t>
      </w:r>
      <w:r>
        <w:rPr>
          <w:rFonts w:ascii="宋体" w:hAnsi="宋体" w:hint="eastAsia"/>
          <w:sz w:val="24"/>
        </w:rPr>
        <w:t>日第十三届全国人民代表大会常务委员会第十二次会议《关于修改〈中华人民共和国城市房地产管理法〉的决定</w:t>
      </w:r>
      <w:r>
        <w:rPr>
          <w:rFonts w:ascii="宋体" w:hAnsi="宋体" w:hint="eastAsia"/>
          <w:sz w:val="24"/>
        </w:rPr>
        <w:t>》第三次修正，自</w:t>
      </w:r>
      <w:r>
        <w:rPr>
          <w:rFonts w:ascii="宋体" w:hAnsi="宋体" w:hint="eastAsia"/>
          <w:sz w:val="24"/>
        </w:rPr>
        <w:t>2020</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日起施行）；</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《中华人民共和国资产评估法》（由中华人民共和国第十二届全国人民代表大会常务委员会第二十一次会议于</w:t>
      </w:r>
      <w:r>
        <w:rPr>
          <w:rFonts w:ascii="宋体" w:hAnsi="宋体" w:hint="eastAsia"/>
          <w:sz w:val="24"/>
        </w:rPr>
        <w:t>2016</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w:t>
      </w:r>
      <w:r>
        <w:rPr>
          <w:rFonts w:ascii="宋体" w:hAnsi="宋体" w:hint="eastAsia"/>
          <w:sz w:val="24"/>
        </w:rPr>
        <w:t>日通过，自</w:t>
      </w:r>
      <w:r>
        <w:rPr>
          <w:rFonts w:ascii="宋体" w:hAnsi="宋体" w:hint="eastAsia"/>
          <w:sz w:val="24"/>
        </w:rPr>
        <w:t>2016</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1</w:t>
      </w:r>
      <w:r>
        <w:rPr>
          <w:rFonts w:ascii="宋体" w:hAnsi="宋体" w:hint="eastAsia"/>
          <w:sz w:val="24"/>
        </w:rPr>
        <w:t>日起施行）；</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 xml:space="preserve">5. </w:t>
      </w:r>
      <w:r>
        <w:rPr>
          <w:rFonts w:ascii="宋体" w:hAnsi="宋体" w:hint="eastAsia"/>
          <w:sz w:val="24"/>
        </w:rPr>
        <w:t>《中华人民共和国土地管理法实施条例》（</w:t>
      </w:r>
      <w:r>
        <w:rPr>
          <w:rFonts w:ascii="宋体" w:hAnsi="宋体" w:hint="eastAsia"/>
          <w:sz w:val="24"/>
        </w:rPr>
        <w:t>2021</w:t>
      </w:r>
      <w:r>
        <w:rPr>
          <w:rFonts w:ascii="宋体" w:hAnsi="宋体" w:hint="eastAsia"/>
          <w:sz w:val="24"/>
        </w:rPr>
        <w:t>年</w:t>
      </w:r>
      <w:r>
        <w:rPr>
          <w:rFonts w:ascii="宋体" w:hAnsi="宋体" w:hint="eastAsia"/>
          <w:sz w:val="24"/>
        </w:rPr>
        <w:t>4</w:t>
      </w:r>
      <w:r>
        <w:rPr>
          <w:rFonts w:ascii="宋体" w:hAnsi="宋体" w:hint="eastAsia"/>
          <w:sz w:val="24"/>
        </w:rPr>
        <w:t>月</w:t>
      </w:r>
      <w:r>
        <w:rPr>
          <w:rFonts w:ascii="宋体" w:hAnsi="宋体" w:hint="eastAsia"/>
          <w:sz w:val="24"/>
        </w:rPr>
        <w:t>21</w:t>
      </w:r>
      <w:r>
        <w:rPr>
          <w:rFonts w:ascii="宋体" w:hAnsi="宋体" w:hint="eastAsia"/>
          <w:sz w:val="24"/>
        </w:rPr>
        <w:t>日国务院第</w:t>
      </w:r>
      <w:r>
        <w:rPr>
          <w:rFonts w:ascii="宋体" w:hAnsi="宋体" w:hint="eastAsia"/>
          <w:sz w:val="24"/>
        </w:rPr>
        <w:t>132</w:t>
      </w:r>
      <w:r>
        <w:rPr>
          <w:rFonts w:ascii="宋体" w:hAnsi="宋体" w:hint="eastAsia"/>
          <w:sz w:val="24"/>
        </w:rPr>
        <w:t>次常务会议修订通过，自</w:t>
      </w:r>
      <w:r>
        <w:rPr>
          <w:rFonts w:ascii="宋体" w:hAnsi="宋体" w:hint="eastAsia"/>
          <w:sz w:val="24"/>
        </w:rPr>
        <w:t>2021</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1</w:t>
      </w:r>
      <w:r>
        <w:rPr>
          <w:rFonts w:ascii="宋体" w:hAnsi="宋体" w:hint="eastAsia"/>
          <w:sz w:val="24"/>
        </w:rPr>
        <w:t>日起施行）；</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6.</w:t>
      </w:r>
      <w:r>
        <w:rPr>
          <w:rFonts w:ascii="宋体" w:hAnsi="宋体" w:hint="eastAsia"/>
          <w:sz w:val="24"/>
        </w:rPr>
        <w:t>《中华人民共和国城镇国有土地使用权出让和转让暂行条例》（</w:t>
      </w:r>
      <w:r>
        <w:rPr>
          <w:rFonts w:ascii="宋体" w:hAnsi="宋体" w:hint="eastAsia"/>
          <w:sz w:val="24"/>
        </w:rPr>
        <w:t>1990</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19</w:t>
      </w:r>
      <w:r>
        <w:rPr>
          <w:rFonts w:ascii="宋体" w:hAnsi="宋体" w:hint="eastAsia"/>
          <w:sz w:val="24"/>
        </w:rPr>
        <w:t>日中华人民共和国国务院令第</w:t>
      </w:r>
      <w:r>
        <w:rPr>
          <w:rFonts w:ascii="宋体" w:hAnsi="宋体" w:hint="eastAsia"/>
          <w:sz w:val="24"/>
        </w:rPr>
        <w:t>55</w:t>
      </w:r>
      <w:r>
        <w:rPr>
          <w:rFonts w:ascii="宋体" w:hAnsi="宋体" w:hint="eastAsia"/>
          <w:sz w:val="24"/>
        </w:rPr>
        <w:t>号发布，根据</w:t>
      </w:r>
      <w:r>
        <w:rPr>
          <w:rFonts w:ascii="宋体" w:hAnsi="宋体" w:hint="eastAsia"/>
          <w:sz w:val="24"/>
        </w:rPr>
        <w:t>2020</w:t>
      </w:r>
      <w:r>
        <w:rPr>
          <w:rFonts w:ascii="宋体" w:hAnsi="宋体" w:hint="eastAsia"/>
          <w:sz w:val="24"/>
        </w:rPr>
        <w:t>年</w:t>
      </w:r>
      <w:r>
        <w:rPr>
          <w:rFonts w:ascii="宋体" w:hAnsi="宋体" w:hint="eastAsia"/>
          <w:sz w:val="24"/>
        </w:rPr>
        <w:t>11</w:t>
      </w:r>
      <w:r>
        <w:rPr>
          <w:rFonts w:ascii="宋体" w:hAnsi="宋体" w:hint="eastAsia"/>
          <w:sz w:val="24"/>
        </w:rPr>
        <w:t>月</w:t>
      </w:r>
      <w:r>
        <w:rPr>
          <w:rFonts w:ascii="宋体" w:hAnsi="宋体" w:hint="eastAsia"/>
          <w:sz w:val="24"/>
        </w:rPr>
        <w:t>29</w:t>
      </w:r>
      <w:r>
        <w:rPr>
          <w:rFonts w:ascii="宋体" w:hAnsi="宋体" w:hint="eastAsia"/>
          <w:sz w:val="24"/>
        </w:rPr>
        <w:t>日《国务院关于修改和废止部分行政法规的</w:t>
      </w:r>
      <w:r>
        <w:rPr>
          <w:rFonts w:ascii="宋体" w:hAnsi="宋体" w:hint="eastAsia"/>
          <w:sz w:val="24"/>
        </w:rPr>
        <w:t>决定》修订）；</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7.</w:t>
      </w:r>
      <w:r>
        <w:rPr>
          <w:rFonts w:ascii="宋体" w:hAnsi="宋体" w:hint="eastAsia"/>
          <w:sz w:val="24"/>
        </w:rPr>
        <w:t>《城市房地产转让管理规定》（建设部令第</w:t>
      </w:r>
      <w:r>
        <w:rPr>
          <w:rFonts w:ascii="宋体" w:hAnsi="宋体" w:hint="eastAsia"/>
          <w:sz w:val="24"/>
        </w:rPr>
        <w:t>96</w:t>
      </w:r>
      <w:r>
        <w:rPr>
          <w:rFonts w:ascii="宋体" w:hAnsi="宋体" w:hint="eastAsia"/>
          <w:sz w:val="24"/>
        </w:rPr>
        <w:t>号，于</w:t>
      </w:r>
      <w:r>
        <w:rPr>
          <w:rFonts w:ascii="宋体" w:hAnsi="宋体" w:hint="eastAsia"/>
          <w:sz w:val="24"/>
        </w:rPr>
        <w:t>2001</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23</w:t>
      </w:r>
      <w:r>
        <w:rPr>
          <w:rFonts w:ascii="宋体" w:hAnsi="宋体" w:hint="eastAsia"/>
          <w:sz w:val="24"/>
        </w:rPr>
        <w:t>日建设部第</w:t>
      </w:r>
      <w:r>
        <w:rPr>
          <w:rFonts w:ascii="宋体" w:hAnsi="宋体" w:hint="eastAsia"/>
          <w:sz w:val="24"/>
        </w:rPr>
        <w:t>45</w:t>
      </w:r>
      <w:r>
        <w:rPr>
          <w:rFonts w:ascii="宋体" w:hAnsi="宋体" w:hint="eastAsia"/>
          <w:sz w:val="24"/>
        </w:rPr>
        <w:t>次常务会议审议通过，自</w:t>
      </w:r>
      <w:r>
        <w:rPr>
          <w:rFonts w:ascii="宋体" w:hAnsi="宋体" w:hint="eastAsia"/>
          <w:sz w:val="24"/>
        </w:rPr>
        <w:t>2001</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15</w:t>
      </w:r>
      <w:r>
        <w:rPr>
          <w:rFonts w:ascii="宋体" w:hAnsi="宋体" w:hint="eastAsia"/>
          <w:sz w:val="24"/>
        </w:rPr>
        <w:t>日起施行）；</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8</w:t>
      </w:r>
      <w:r>
        <w:rPr>
          <w:rFonts w:ascii="宋体" w:hAnsi="宋体" w:hint="eastAsia"/>
          <w:sz w:val="24"/>
        </w:rPr>
        <w:t>．《最高人民法院关于实施</w:t>
      </w:r>
      <w:r>
        <w:rPr>
          <w:rFonts w:ascii="宋体" w:hAnsi="宋体" w:hint="eastAsia"/>
          <w:sz w:val="24"/>
        </w:rPr>
        <w:t>&lt;</w:t>
      </w:r>
      <w:r>
        <w:rPr>
          <w:rFonts w:ascii="宋体" w:hAnsi="宋体" w:hint="eastAsia"/>
          <w:sz w:val="24"/>
        </w:rPr>
        <w:t>最高人民法院关于人民法院委托评估、拍卖工作的若干规定</w:t>
      </w:r>
      <w:r>
        <w:rPr>
          <w:rFonts w:ascii="宋体" w:hAnsi="宋体" w:hint="eastAsia"/>
          <w:sz w:val="24"/>
        </w:rPr>
        <w:t>&gt;</w:t>
      </w:r>
      <w:r>
        <w:rPr>
          <w:rFonts w:ascii="宋体" w:hAnsi="宋体" w:hint="eastAsia"/>
          <w:sz w:val="24"/>
        </w:rPr>
        <w:t>有关问题的通知》（法释</w:t>
      </w:r>
      <w:r>
        <w:rPr>
          <w:rFonts w:ascii="宋体" w:hAnsi="宋体" w:hint="eastAsia"/>
          <w:sz w:val="24"/>
        </w:rPr>
        <w:t>[2012]30</w:t>
      </w:r>
      <w:r>
        <w:rPr>
          <w:rFonts w:ascii="宋体" w:hAnsi="宋体" w:hint="eastAsia"/>
          <w:sz w:val="24"/>
        </w:rPr>
        <w:t>号，自</w:t>
      </w:r>
      <w:r>
        <w:rPr>
          <w:rFonts w:ascii="宋体" w:hAnsi="宋体" w:hint="eastAsia"/>
          <w:sz w:val="24"/>
        </w:rPr>
        <w:t>2012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日起实施）；</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9.</w:t>
      </w:r>
      <w:r>
        <w:rPr>
          <w:rFonts w:ascii="宋体" w:hAnsi="宋体" w:hint="eastAsia"/>
          <w:sz w:val="24"/>
        </w:rPr>
        <w:t>《最高人民法院关于人民法院确定财产处置参考价若干问题的规定》（（法释〔</w:t>
      </w:r>
      <w:r>
        <w:rPr>
          <w:rFonts w:ascii="宋体" w:hAnsi="宋体" w:hint="eastAsia"/>
          <w:sz w:val="24"/>
        </w:rPr>
        <w:t>2018</w:t>
      </w:r>
      <w:r>
        <w:rPr>
          <w:rFonts w:ascii="宋体" w:hAnsi="宋体" w:hint="eastAsia"/>
          <w:sz w:val="24"/>
        </w:rPr>
        <w:t>〕</w:t>
      </w:r>
      <w:r>
        <w:rPr>
          <w:rFonts w:ascii="宋体" w:hAnsi="宋体" w:hint="eastAsia"/>
          <w:sz w:val="24"/>
        </w:rPr>
        <w:t>15</w:t>
      </w:r>
      <w:r>
        <w:rPr>
          <w:rFonts w:ascii="宋体" w:hAnsi="宋体" w:hint="eastAsia"/>
          <w:sz w:val="24"/>
        </w:rPr>
        <w:t>号）于</w:t>
      </w:r>
      <w:r>
        <w:rPr>
          <w:rFonts w:ascii="宋体" w:hAnsi="宋体" w:hint="eastAsia"/>
          <w:sz w:val="24"/>
        </w:rPr>
        <w:t>2018</w:t>
      </w:r>
      <w:r>
        <w:rPr>
          <w:rFonts w:ascii="宋体" w:hAnsi="宋体" w:hint="eastAsia"/>
          <w:sz w:val="24"/>
        </w:rPr>
        <w:t>年</w:t>
      </w:r>
      <w:r>
        <w:rPr>
          <w:rFonts w:ascii="宋体" w:hAnsi="宋体" w:hint="eastAsia"/>
          <w:sz w:val="24"/>
        </w:rPr>
        <w:t>6</w:t>
      </w:r>
      <w:r>
        <w:rPr>
          <w:rFonts w:ascii="宋体" w:hAnsi="宋体" w:hint="eastAsia"/>
          <w:sz w:val="24"/>
        </w:rPr>
        <w:t>月</w:t>
      </w:r>
      <w:r>
        <w:rPr>
          <w:rFonts w:ascii="宋体" w:hAnsi="宋体" w:hint="eastAsia"/>
          <w:sz w:val="24"/>
        </w:rPr>
        <w:t>4</w:t>
      </w:r>
      <w:r>
        <w:rPr>
          <w:rFonts w:ascii="宋体" w:hAnsi="宋体" w:hint="eastAsia"/>
          <w:sz w:val="24"/>
        </w:rPr>
        <w:t>日由最高人民法院审判委员会第</w:t>
      </w:r>
      <w:r>
        <w:rPr>
          <w:rFonts w:ascii="宋体" w:hAnsi="宋体" w:hint="eastAsia"/>
          <w:sz w:val="24"/>
        </w:rPr>
        <w:t>1741</w:t>
      </w:r>
      <w:r>
        <w:rPr>
          <w:rFonts w:ascii="宋体" w:hAnsi="宋体" w:hint="eastAsia"/>
          <w:sz w:val="24"/>
        </w:rPr>
        <w:t>次会议通过，现予公布，自</w:t>
      </w:r>
      <w:r>
        <w:rPr>
          <w:rFonts w:ascii="宋体" w:hAnsi="宋体" w:hint="eastAsia"/>
          <w:sz w:val="24"/>
        </w:rPr>
        <w:t>2018</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1</w:t>
      </w:r>
      <w:r>
        <w:rPr>
          <w:rFonts w:ascii="宋体" w:hAnsi="宋体" w:hint="eastAsia"/>
          <w:sz w:val="24"/>
        </w:rPr>
        <w:t>日起施行）</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10</w:t>
      </w:r>
      <w:r>
        <w:rPr>
          <w:rFonts w:ascii="宋体" w:hAnsi="宋体" w:hint="eastAsia"/>
          <w:sz w:val="24"/>
        </w:rPr>
        <w:t>.</w:t>
      </w:r>
      <w:r>
        <w:rPr>
          <w:rFonts w:ascii="宋体" w:hAnsi="宋体" w:hint="eastAsia"/>
          <w:sz w:val="24"/>
        </w:rPr>
        <w:t>《最高人民法院办公厅、中国资产评估协会、中国土地估价师与土地登记代理人协会、中国房地产估价师与房地产经纪人学会、中国矿业权评估师协会、中国珠宝玉石首饰行业协会关于印发</w:t>
      </w:r>
      <w:r>
        <w:rPr>
          <w:rFonts w:ascii="宋体" w:hAnsi="宋体" w:hint="eastAsia"/>
          <w:sz w:val="24"/>
        </w:rPr>
        <w:t>&lt;</w:t>
      </w:r>
      <w:r>
        <w:rPr>
          <w:rFonts w:ascii="宋体" w:hAnsi="宋体" w:hint="eastAsia"/>
          <w:sz w:val="24"/>
        </w:rPr>
        <w:t>人民法院委托评估工作规范</w:t>
      </w:r>
      <w:r>
        <w:rPr>
          <w:rFonts w:ascii="宋体" w:hAnsi="宋体" w:hint="eastAsia"/>
          <w:sz w:val="24"/>
        </w:rPr>
        <w:t>&gt;</w:t>
      </w:r>
      <w:r>
        <w:rPr>
          <w:rFonts w:ascii="宋体" w:hAnsi="宋体" w:hint="eastAsia"/>
          <w:sz w:val="24"/>
        </w:rPr>
        <w:t>的通知》</w:t>
      </w:r>
      <w:r>
        <w:rPr>
          <w:rFonts w:ascii="宋体" w:hAnsi="宋体" w:hint="eastAsia"/>
          <w:sz w:val="24"/>
        </w:rPr>
        <w:t>{</w:t>
      </w:r>
      <w:r>
        <w:rPr>
          <w:rFonts w:ascii="宋体" w:hAnsi="宋体" w:hint="eastAsia"/>
          <w:sz w:val="24"/>
        </w:rPr>
        <w:t>法办〔</w:t>
      </w:r>
      <w:r>
        <w:rPr>
          <w:rFonts w:ascii="宋体" w:hAnsi="宋体" w:hint="eastAsia"/>
          <w:sz w:val="24"/>
        </w:rPr>
        <w:t>2018</w:t>
      </w:r>
      <w:r>
        <w:rPr>
          <w:rFonts w:ascii="宋体" w:hAnsi="宋体" w:hint="eastAsia"/>
          <w:sz w:val="24"/>
        </w:rPr>
        <w:t>〕</w:t>
      </w:r>
      <w:r>
        <w:rPr>
          <w:rFonts w:ascii="宋体" w:hAnsi="宋体" w:hint="eastAsia"/>
          <w:sz w:val="24"/>
        </w:rPr>
        <w:t>273</w:t>
      </w:r>
      <w:r>
        <w:rPr>
          <w:rFonts w:ascii="宋体" w:hAnsi="宋体" w:hint="eastAsia"/>
          <w:sz w:val="24"/>
        </w:rPr>
        <w:t>号</w:t>
      </w:r>
      <w:r>
        <w:rPr>
          <w:rFonts w:ascii="宋体" w:hAnsi="宋体" w:hint="eastAsia"/>
          <w:sz w:val="24"/>
        </w:rPr>
        <w:t>}</w:t>
      </w:r>
      <w:r>
        <w:rPr>
          <w:rFonts w:ascii="宋体" w:hAnsi="宋体" w:hint="eastAsia"/>
          <w:sz w:val="24"/>
        </w:rPr>
        <w:t>；</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11</w:t>
      </w:r>
      <w:r>
        <w:rPr>
          <w:rFonts w:ascii="宋体" w:hAnsi="宋体" w:hint="eastAsia"/>
          <w:sz w:val="24"/>
        </w:rPr>
        <w:t>．《福建省建筑工程预算定额》（</w:t>
      </w:r>
      <w:r>
        <w:rPr>
          <w:rFonts w:ascii="宋体" w:hAnsi="宋体" w:hint="eastAsia"/>
          <w:sz w:val="24"/>
        </w:rPr>
        <w:t>2017</w:t>
      </w:r>
      <w:r>
        <w:rPr>
          <w:rFonts w:ascii="宋体" w:hAnsi="宋体" w:hint="eastAsia"/>
          <w:sz w:val="24"/>
        </w:rPr>
        <w:t>版）《福建省房屋建筑与装饰工程预算定额》（</w:t>
      </w:r>
      <w:r>
        <w:rPr>
          <w:rFonts w:ascii="宋体" w:hAnsi="宋体" w:hint="eastAsia"/>
          <w:sz w:val="24"/>
        </w:rPr>
        <w:t>FJYD-101-2017</w:t>
      </w:r>
      <w:r>
        <w:rPr>
          <w:rFonts w:ascii="宋体" w:hAnsi="宋体" w:hint="eastAsia"/>
          <w:sz w:val="24"/>
        </w:rPr>
        <w:t>）《福建省通用安装工程预算定额》（</w:t>
      </w:r>
      <w:r>
        <w:rPr>
          <w:rFonts w:ascii="宋体" w:hAnsi="宋体" w:hint="eastAsia"/>
          <w:sz w:val="24"/>
        </w:rPr>
        <w:t>FJYD-301-2017</w:t>
      </w:r>
      <w:r>
        <w:rPr>
          <w:rFonts w:ascii="宋体" w:hAnsi="宋体" w:hint="eastAsia"/>
          <w:sz w:val="24"/>
        </w:rPr>
        <w:t>～</w:t>
      </w:r>
      <w:r>
        <w:rPr>
          <w:rFonts w:ascii="宋体" w:hAnsi="宋体" w:hint="eastAsia"/>
          <w:sz w:val="24"/>
        </w:rPr>
        <w:t>FJYD-311-2017</w:t>
      </w:r>
      <w:r>
        <w:rPr>
          <w:rFonts w:ascii="宋体" w:hAnsi="宋体" w:hint="eastAsia"/>
          <w:sz w:val="24"/>
        </w:rPr>
        <w:t>）及《泉州工程造价管理》（</w:t>
      </w:r>
      <w:r>
        <w:rPr>
          <w:rFonts w:ascii="宋体" w:hAnsi="宋体" w:hint="eastAsia"/>
          <w:sz w:val="24"/>
        </w:rPr>
        <w:t>2022</w:t>
      </w:r>
      <w:r>
        <w:rPr>
          <w:rFonts w:ascii="宋体" w:hAnsi="宋体" w:hint="eastAsia"/>
          <w:sz w:val="24"/>
        </w:rPr>
        <w:t>年第</w:t>
      </w:r>
      <w:r>
        <w:rPr>
          <w:rFonts w:ascii="宋体" w:hAnsi="宋体" w:hint="eastAsia"/>
          <w:sz w:val="24"/>
        </w:rPr>
        <w:t>6</w:t>
      </w:r>
      <w:r>
        <w:rPr>
          <w:rFonts w:ascii="宋体" w:hAnsi="宋体" w:hint="eastAsia"/>
          <w:sz w:val="24"/>
        </w:rPr>
        <w:t>期）；</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2</w:t>
      </w:r>
      <w:r>
        <w:rPr>
          <w:rFonts w:ascii="宋体" w:hAnsi="宋体" w:hint="eastAsia"/>
          <w:sz w:val="24"/>
        </w:rPr>
        <w:t>.</w:t>
      </w:r>
      <w:r>
        <w:rPr>
          <w:rFonts w:ascii="宋体" w:hAnsi="宋体" w:hint="eastAsia"/>
          <w:sz w:val="24"/>
        </w:rPr>
        <w:t>《晋江市人民政府关于发布</w:t>
      </w:r>
      <w:r>
        <w:rPr>
          <w:rFonts w:ascii="宋体" w:hAnsi="宋体" w:hint="eastAsia"/>
          <w:sz w:val="24"/>
        </w:rPr>
        <w:t>晋江市</w:t>
      </w:r>
      <w:r>
        <w:rPr>
          <w:rFonts w:ascii="宋体" w:hAnsi="宋体" w:hint="eastAsia"/>
          <w:sz w:val="24"/>
        </w:rPr>
        <w:t>2019</w:t>
      </w:r>
      <w:r>
        <w:rPr>
          <w:rFonts w:ascii="宋体" w:hAnsi="宋体" w:hint="eastAsia"/>
          <w:sz w:val="24"/>
        </w:rPr>
        <w:t>年基准地价的通告》（晋政文〔</w:t>
      </w:r>
      <w:r>
        <w:rPr>
          <w:rFonts w:ascii="宋体" w:hAnsi="宋体" w:hint="eastAsia"/>
          <w:sz w:val="24"/>
        </w:rPr>
        <w:t>2021</w:t>
      </w:r>
      <w:r>
        <w:rPr>
          <w:rFonts w:ascii="宋体" w:hAnsi="宋体" w:hint="eastAsia"/>
          <w:sz w:val="24"/>
        </w:rPr>
        <w:t>〕</w:t>
      </w:r>
      <w:r>
        <w:rPr>
          <w:rFonts w:ascii="宋体" w:hAnsi="宋体" w:hint="eastAsia"/>
          <w:sz w:val="24"/>
        </w:rPr>
        <w:lastRenderedPageBreak/>
        <w:t>160</w:t>
      </w:r>
      <w:r>
        <w:rPr>
          <w:rFonts w:ascii="宋体" w:hAnsi="宋体" w:hint="eastAsia"/>
          <w:sz w:val="24"/>
        </w:rPr>
        <w:t>号，自</w:t>
      </w:r>
      <w:r>
        <w:rPr>
          <w:rFonts w:ascii="宋体" w:hAnsi="宋体" w:hint="eastAsia"/>
          <w:sz w:val="24"/>
        </w:rPr>
        <w:t>2021</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日起实施）。</w:t>
      </w:r>
    </w:p>
    <w:p w:rsidR="00DF6B48" w:rsidRDefault="006A33AA">
      <w:pPr>
        <w:pStyle w:val="a8"/>
        <w:spacing w:line="530" w:lineRule="exact"/>
        <w:ind w:leftChars="-170" w:left="-357" w:rightChars="-170" w:right="-357" w:firstLineChars="200" w:firstLine="482"/>
        <w:rPr>
          <w:rFonts w:hAnsi="宋体"/>
          <w:b/>
          <w:sz w:val="24"/>
          <w:szCs w:val="24"/>
        </w:rPr>
      </w:pPr>
      <w:r>
        <w:rPr>
          <w:rFonts w:hAnsi="宋体" w:hint="eastAsia"/>
          <w:b/>
          <w:sz w:val="24"/>
          <w:szCs w:val="24"/>
        </w:rPr>
        <w:t>（二）有关估价标准依据</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中华人民共和国国家标准《房地产估价规范》（</w:t>
      </w:r>
      <w:r>
        <w:rPr>
          <w:rFonts w:ascii="宋体" w:hAnsi="宋体" w:hint="eastAsia"/>
          <w:sz w:val="24"/>
        </w:rPr>
        <w:t>GB/T 50291-2015</w:t>
      </w:r>
      <w:r>
        <w:rPr>
          <w:rFonts w:ascii="宋体" w:hAnsi="宋体" w:hint="eastAsia"/>
          <w:sz w:val="24"/>
        </w:rPr>
        <w:t>）；</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中华人民共和国国家标准《房地产估价基本术语标准》（</w:t>
      </w:r>
      <w:r>
        <w:rPr>
          <w:rFonts w:ascii="宋体" w:hAnsi="宋体" w:hint="eastAsia"/>
          <w:sz w:val="24"/>
        </w:rPr>
        <w:t>GB/T 50899-2013</w:t>
      </w:r>
      <w:r>
        <w:rPr>
          <w:rFonts w:ascii="宋体" w:hAnsi="宋体" w:hint="eastAsia"/>
          <w:sz w:val="24"/>
        </w:rPr>
        <w:t>）；</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《涉执房地产处置司法评估指导意见（试行）》（中房学〔</w:t>
      </w:r>
      <w:r>
        <w:rPr>
          <w:rFonts w:ascii="宋体" w:hAnsi="宋体" w:hint="eastAsia"/>
          <w:sz w:val="24"/>
        </w:rPr>
        <w:t>2021</w:t>
      </w:r>
      <w:r>
        <w:rPr>
          <w:rFonts w:ascii="宋体" w:hAnsi="宋体" w:hint="eastAsia"/>
          <w:sz w:val="24"/>
        </w:rPr>
        <w:t>〕</w:t>
      </w:r>
      <w:r>
        <w:rPr>
          <w:rFonts w:ascii="宋体" w:hAnsi="宋体" w:hint="eastAsia"/>
          <w:sz w:val="24"/>
        </w:rPr>
        <w:t>37</w:t>
      </w:r>
      <w:r>
        <w:rPr>
          <w:rFonts w:ascii="宋体" w:hAnsi="宋体" w:hint="eastAsia"/>
          <w:sz w:val="24"/>
        </w:rPr>
        <w:t>号）。</w:t>
      </w:r>
    </w:p>
    <w:p w:rsidR="00DF6B48" w:rsidRDefault="006A33AA">
      <w:pPr>
        <w:pStyle w:val="a8"/>
        <w:spacing w:line="530" w:lineRule="exact"/>
        <w:ind w:leftChars="-170" w:left="-357" w:rightChars="-170" w:right="-357" w:firstLineChars="200" w:firstLine="482"/>
        <w:rPr>
          <w:rFonts w:hAnsi="宋体"/>
          <w:b/>
          <w:sz w:val="24"/>
          <w:szCs w:val="24"/>
        </w:rPr>
      </w:pPr>
      <w:r>
        <w:rPr>
          <w:rFonts w:hAnsi="宋体" w:hint="eastAsia"/>
          <w:b/>
          <w:sz w:val="24"/>
          <w:szCs w:val="24"/>
        </w:rPr>
        <w:t>（三）估价委托书、估价委托合同、估价委托人提供的有关资料依据</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《福建省泉州市丰泽区人民法院价格评估委托书》（（</w:t>
      </w:r>
      <w:r>
        <w:rPr>
          <w:rFonts w:ascii="宋体" w:hAnsi="宋体" w:hint="eastAsia"/>
          <w:sz w:val="24"/>
        </w:rPr>
        <w:t>2022</w:t>
      </w:r>
      <w:r>
        <w:rPr>
          <w:rFonts w:ascii="宋体" w:hAnsi="宋体" w:hint="eastAsia"/>
          <w:sz w:val="24"/>
        </w:rPr>
        <w:t>）闽</w:t>
      </w:r>
      <w:r>
        <w:rPr>
          <w:rFonts w:ascii="宋体" w:hAnsi="宋体" w:hint="eastAsia"/>
          <w:sz w:val="24"/>
        </w:rPr>
        <w:t>0503</w:t>
      </w:r>
      <w:r>
        <w:rPr>
          <w:rFonts w:ascii="宋体" w:hAnsi="宋体" w:hint="eastAsia"/>
          <w:sz w:val="24"/>
        </w:rPr>
        <w:t>执</w:t>
      </w:r>
      <w:r>
        <w:rPr>
          <w:rFonts w:ascii="宋体" w:hAnsi="宋体" w:hint="eastAsia"/>
          <w:sz w:val="24"/>
        </w:rPr>
        <w:t>193</w:t>
      </w:r>
      <w:r>
        <w:rPr>
          <w:rFonts w:ascii="宋体" w:hAnsi="宋体" w:hint="eastAsia"/>
          <w:sz w:val="24"/>
        </w:rPr>
        <w:t>号</w:t>
      </w:r>
      <w:r>
        <w:rPr>
          <w:rFonts w:ascii="宋体" w:hAnsi="宋体" w:hint="eastAsia"/>
          <w:sz w:val="24"/>
        </w:rPr>
        <w:t>）；</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《福建省泉州市丰泽区人民法院执行裁定书》（（</w:t>
      </w:r>
      <w:r>
        <w:rPr>
          <w:rFonts w:ascii="宋体" w:hAnsi="宋体" w:hint="eastAsia"/>
          <w:sz w:val="24"/>
        </w:rPr>
        <w:t>2022</w:t>
      </w:r>
      <w:r>
        <w:rPr>
          <w:rFonts w:ascii="宋体" w:hAnsi="宋体" w:hint="eastAsia"/>
          <w:sz w:val="24"/>
        </w:rPr>
        <w:t>）闽</w:t>
      </w:r>
      <w:r>
        <w:rPr>
          <w:rFonts w:ascii="宋体" w:hAnsi="宋体" w:hint="eastAsia"/>
          <w:sz w:val="24"/>
        </w:rPr>
        <w:t>0503</w:t>
      </w:r>
      <w:r>
        <w:rPr>
          <w:rFonts w:ascii="宋体" w:hAnsi="宋体" w:hint="eastAsia"/>
          <w:sz w:val="24"/>
        </w:rPr>
        <w:t>执</w:t>
      </w:r>
      <w:r>
        <w:rPr>
          <w:rFonts w:ascii="宋体" w:hAnsi="宋体" w:hint="eastAsia"/>
          <w:sz w:val="24"/>
        </w:rPr>
        <w:t>193</w:t>
      </w:r>
      <w:r>
        <w:rPr>
          <w:rFonts w:ascii="宋体" w:hAnsi="宋体" w:hint="eastAsia"/>
          <w:sz w:val="24"/>
        </w:rPr>
        <w:t>号）；</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3.</w:t>
      </w:r>
      <w:r>
        <w:rPr>
          <w:rFonts w:ascii="宋体" w:hAnsi="宋体" w:hint="eastAsia"/>
          <w:sz w:val="24"/>
        </w:rPr>
        <w:t>《不动产登记证明》（不动产登记证明号：闽（</w:t>
      </w:r>
      <w:r>
        <w:rPr>
          <w:rFonts w:ascii="宋体" w:hAnsi="宋体" w:hint="eastAsia"/>
          <w:sz w:val="24"/>
        </w:rPr>
        <w:t>2018</w:t>
      </w:r>
      <w:r>
        <w:rPr>
          <w:rFonts w:ascii="宋体" w:hAnsi="宋体" w:hint="eastAsia"/>
          <w:sz w:val="24"/>
        </w:rPr>
        <w:t>）晋江市不动产证明第</w:t>
      </w:r>
      <w:r>
        <w:rPr>
          <w:rFonts w:ascii="宋体" w:hAnsi="宋体" w:hint="eastAsia"/>
          <w:sz w:val="24"/>
        </w:rPr>
        <w:t>0049183</w:t>
      </w:r>
      <w:r>
        <w:rPr>
          <w:rFonts w:ascii="宋体" w:hAnsi="宋体" w:hint="eastAsia"/>
          <w:sz w:val="24"/>
        </w:rPr>
        <w:t>号）复印件；</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4.</w:t>
      </w:r>
      <w:r>
        <w:rPr>
          <w:rFonts w:ascii="宋体" w:hAnsi="宋体" w:hint="eastAsia"/>
          <w:sz w:val="24"/>
        </w:rPr>
        <w:t>《房屋所有权证》（证号：</w:t>
      </w:r>
      <w:proofErr w:type="gramStart"/>
      <w:r>
        <w:rPr>
          <w:rFonts w:ascii="宋体" w:hAnsi="宋体" w:hint="eastAsia"/>
          <w:sz w:val="24"/>
        </w:rPr>
        <w:t>晋房权证</w:t>
      </w:r>
      <w:proofErr w:type="gramEnd"/>
      <w:r>
        <w:rPr>
          <w:rFonts w:ascii="宋体" w:hAnsi="宋体" w:hint="eastAsia"/>
          <w:sz w:val="24"/>
        </w:rPr>
        <w:t>梅岭字第</w:t>
      </w:r>
      <w:r>
        <w:rPr>
          <w:rFonts w:ascii="宋体" w:hAnsi="宋体" w:hint="eastAsia"/>
          <w:sz w:val="24"/>
        </w:rPr>
        <w:t>201417328</w:t>
      </w:r>
      <w:r>
        <w:rPr>
          <w:rFonts w:ascii="宋体" w:hAnsi="宋体" w:hint="eastAsia"/>
          <w:sz w:val="24"/>
        </w:rPr>
        <w:t>号）复印件。</w:t>
      </w:r>
    </w:p>
    <w:p w:rsidR="00DF6B48" w:rsidRDefault="006A33AA">
      <w:pPr>
        <w:pStyle w:val="a8"/>
        <w:spacing w:line="530" w:lineRule="exact"/>
        <w:ind w:leftChars="-170" w:left="-357" w:rightChars="-170" w:right="-357" w:firstLineChars="200" w:firstLine="482"/>
        <w:rPr>
          <w:rFonts w:hAnsi="宋体"/>
          <w:b/>
          <w:sz w:val="24"/>
          <w:szCs w:val="24"/>
        </w:rPr>
      </w:pPr>
      <w:r>
        <w:rPr>
          <w:rFonts w:hAnsi="宋体" w:hint="eastAsia"/>
          <w:b/>
          <w:sz w:val="24"/>
          <w:szCs w:val="24"/>
        </w:rPr>
        <w:t>（四）估价机构、注册房地产估价师掌握和搜集的有关材料依据</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估价对象所在区域的房地产市场状况、同类房地产市场状况等数据资料；</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注册房地产估价师实地查勘和估价机构掌握的其他相关资料。</w:t>
      </w:r>
    </w:p>
    <w:p w:rsidR="00DF6B48" w:rsidRDefault="006A33AA">
      <w:pPr>
        <w:pStyle w:val="2195"/>
        <w:spacing w:line="530" w:lineRule="exact"/>
        <w:ind w:leftChars="-200" w:left="-420" w:rightChars="-200" w:right="-420" w:firstLineChars="200" w:firstLine="482"/>
        <w:rPr>
          <w:rFonts w:ascii="宋体" w:eastAsia="宋体" w:hAnsi="宋体"/>
          <w:b/>
        </w:rPr>
      </w:pPr>
      <w:bookmarkStart w:id="84" w:name="_Toc247682286"/>
      <w:bookmarkStart w:id="85" w:name="_Toc247681916"/>
      <w:bookmarkStart w:id="86" w:name="_Toc247681801"/>
      <w:bookmarkStart w:id="87" w:name="_Toc247682203"/>
      <w:bookmarkStart w:id="88" w:name="_Toc247682234"/>
      <w:bookmarkStart w:id="89" w:name="_Toc22966"/>
      <w:bookmarkStart w:id="90" w:name="_Toc247682134"/>
      <w:bookmarkStart w:id="91" w:name="_Toc400744781"/>
      <w:r>
        <w:rPr>
          <w:rFonts w:ascii="宋体" w:eastAsia="宋体" w:hAnsi="宋体" w:hint="eastAsia"/>
          <w:b/>
        </w:rPr>
        <w:t>九、估价方法</w:t>
      </w:r>
      <w:bookmarkEnd w:id="84"/>
      <w:bookmarkEnd w:id="85"/>
      <w:bookmarkEnd w:id="86"/>
      <w:bookmarkEnd w:id="87"/>
      <w:bookmarkEnd w:id="88"/>
      <w:bookmarkEnd w:id="89"/>
      <w:bookmarkEnd w:id="90"/>
      <w:bookmarkEnd w:id="91"/>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通过估价人员实地查勘和对周边区域的调查并分析有关资料之后，根据估价对象的特点及本次估价目的，遵照国家有关法律、法规、估价技术标准，选用比较法和收益法对住宅进行估价。</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1</w:t>
      </w:r>
      <w:r>
        <w:rPr>
          <w:rFonts w:ascii="宋体" w:hAnsi="宋体" w:hint="eastAsia"/>
          <w:sz w:val="24"/>
        </w:rPr>
        <w:t>、比较法：选取一定数量的可比实例，将它们与估价对象进行比较，根据其间的差异对可比实例成交价格进行处理后得到估价对象价值或价格的方法。计算公式如下：</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估价对象的比较价值</w:t>
      </w:r>
      <w:r>
        <w:rPr>
          <w:rFonts w:ascii="宋体" w:hAnsi="宋体" w:hint="eastAsia"/>
          <w:sz w:val="24"/>
        </w:rPr>
        <w:t>=</w:t>
      </w:r>
      <w:r>
        <w:rPr>
          <w:rFonts w:ascii="宋体" w:hAnsi="宋体" w:hint="eastAsia"/>
          <w:sz w:val="24"/>
        </w:rPr>
        <w:t>可比实例建立比较基础后的价值×交易情况修正系数×市场状况调整系数×区位状况调整系数×实物状况调整系数×权益状况调整系数。</w:t>
      </w:r>
    </w:p>
    <w:p w:rsidR="00DF6B48" w:rsidRDefault="006A33AA" w:rsidP="008B37E5">
      <w:pPr>
        <w:snapToGrid w:val="0"/>
        <w:spacing w:line="480" w:lineRule="atLeast"/>
        <w:ind w:leftChars="-171" w:left="-359" w:rightChars="-3" w:right="-6" w:firstLineChars="192" w:firstLine="461"/>
        <w:rPr>
          <w:rFonts w:ascii="宋体" w:hAnsi="宋体"/>
          <w:sz w:val="24"/>
        </w:rPr>
      </w:pPr>
      <w:r>
        <w:rPr>
          <w:rFonts w:ascii="宋体" w:hAnsi="宋体" w:hint="eastAsia"/>
          <w:sz w:val="24"/>
        </w:rPr>
        <w:t>2</w:t>
      </w:r>
      <w:r>
        <w:rPr>
          <w:rFonts w:ascii="宋体" w:hAnsi="宋体" w:hint="eastAsia"/>
          <w:sz w:val="24"/>
        </w:rPr>
        <w:t>、收益法：预测估价对象的未来收益，利用报酬率或资本化</w:t>
      </w:r>
      <w:r>
        <w:rPr>
          <w:rFonts w:ascii="宋体" w:hAnsi="宋体" w:hint="eastAsia"/>
          <w:sz w:val="24"/>
        </w:rPr>
        <w:t>率、收益乘数将未来收益转换为价值得到估价对象价值或价格的方法。计算公式如下：</w:t>
      </w:r>
    </w:p>
    <w:p w:rsidR="00DF6B48" w:rsidRDefault="006A33AA" w:rsidP="008B37E5">
      <w:pPr>
        <w:snapToGrid w:val="0"/>
        <w:spacing w:line="524" w:lineRule="atLeast"/>
        <w:ind w:leftChars="-171" w:left="-359" w:rightChars="-3" w:right="-6" w:firstLineChars="192" w:firstLine="538"/>
        <w:rPr>
          <w:rFonts w:ascii="宋体" w:hAnsi="宋体"/>
          <w:sz w:val="24"/>
        </w:rPr>
      </w:pPr>
      <m:oMath>
        <m:r>
          <m:rPr>
            <m:sty m:val="p"/>
          </m:rPr>
          <w:rPr>
            <w:rFonts w:ascii="Cambria Math" w:hAnsi="Cambria Math"/>
            <w:sz w:val="28"/>
            <w:szCs w:val="28"/>
          </w:rPr>
          <m:t>V=A/Y</m:t>
        </m:r>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1-1/</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rPr>
                      <m:t>Y</m:t>
                    </m:r>
                  </m:e>
                </m:d>
              </m:e>
              <m:sup>
                <m:r>
                  <w:rPr>
                    <w:rFonts w:ascii="Cambria Math" w:hAnsi="Cambria Math"/>
                    <w:sz w:val="28"/>
                    <w:szCs w:val="28"/>
                  </w:rPr>
                  <m:t>t</m:t>
                </m:r>
              </m:sup>
            </m:sSup>
          </m:e>
        </m:d>
      </m:oMath>
      <w:r>
        <w:rPr>
          <w:rFonts w:ascii="宋体" w:hAnsi="宋体" w:cs="FangSong_GB2312" w:hint="eastAsia"/>
          <w:sz w:val="28"/>
          <w:szCs w:val="28"/>
        </w:rPr>
        <w:t>+</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t</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rPr>
                  <m:t>Y</m:t>
                </m:r>
              </m:e>
            </m:d>
          </m:e>
          <m:sup>
            <m:r>
              <w:rPr>
                <w:rFonts w:ascii="Cambria Math" w:hAnsi="Cambria Math"/>
                <w:sz w:val="28"/>
                <w:szCs w:val="28"/>
              </w:rPr>
              <m:t>t</m:t>
            </m:r>
          </m:sup>
        </m:sSup>
      </m:oMath>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式中：</w:t>
      </w:r>
      <w:r>
        <w:rPr>
          <w:rFonts w:ascii="宋体" w:hAnsi="宋体"/>
          <w:sz w:val="24"/>
        </w:rPr>
        <w:t>V——</w:t>
      </w:r>
      <w:r>
        <w:rPr>
          <w:rFonts w:ascii="宋体" w:hAnsi="宋体" w:hint="eastAsia"/>
          <w:sz w:val="24"/>
        </w:rPr>
        <w:t>收益价值；</w:t>
      </w:r>
      <w:r>
        <w:rPr>
          <w:rFonts w:ascii="宋体" w:hAnsi="宋体" w:hint="eastAsia"/>
          <w:sz w:val="24"/>
        </w:rPr>
        <w:t xml:space="preserve"> </w:t>
      </w:r>
      <w:r>
        <w:rPr>
          <w:rFonts w:ascii="宋体" w:hAnsi="宋体"/>
          <w:sz w:val="24"/>
        </w:rPr>
        <w:t xml:space="preserve">       A——</w:t>
      </w:r>
      <w:r>
        <w:rPr>
          <w:rFonts w:ascii="宋体" w:hAnsi="宋体" w:hint="eastAsia"/>
          <w:sz w:val="24"/>
        </w:rPr>
        <w:t>期间收益；</w:t>
      </w:r>
    </w:p>
    <w:p w:rsidR="00DF6B48" w:rsidRDefault="006A33AA" w:rsidP="008B37E5">
      <w:pPr>
        <w:snapToGrid w:val="0"/>
        <w:spacing w:line="524" w:lineRule="atLeast"/>
        <w:ind w:leftChars="-171" w:left="-359" w:rightChars="-3" w:right="-6" w:firstLineChars="492" w:firstLine="1181"/>
        <w:rPr>
          <w:rFonts w:ascii="宋体" w:hAnsi="宋体"/>
          <w:sz w:val="24"/>
        </w:rPr>
      </w:pPr>
      <w:r>
        <w:rPr>
          <w:rFonts w:ascii="宋体" w:hAnsi="宋体" w:hint="eastAsia"/>
          <w:sz w:val="24"/>
        </w:rPr>
        <w:t>Y</w:t>
      </w:r>
      <w:r>
        <w:rPr>
          <w:rFonts w:ascii="宋体" w:hAnsi="宋体"/>
          <w:sz w:val="24"/>
        </w:rPr>
        <w:t>——</w:t>
      </w:r>
      <w:r>
        <w:rPr>
          <w:rFonts w:ascii="宋体" w:hAnsi="宋体" w:hint="eastAsia"/>
          <w:sz w:val="24"/>
        </w:rPr>
        <w:t>年报酬率；</w:t>
      </w:r>
      <w:r>
        <w:rPr>
          <w:rFonts w:ascii="宋体" w:hAnsi="宋体" w:hint="eastAsia"/>
          <w:sz w:val="24"/>
        </w:rPr>
        <w:t xml:space="preserve">        </w:t>
      </w:r>
      <w:r>
        <w:rPr>
          <w:rFonts w:ascii="宋体" w:hAnsi="宋体"/>
          <w:sz w:val="24"/>
        </w:rPr>
        <w:t>t——</w:t>
      </w:r>
      <w:r>
        <w:rPr>
          <w:rFonts w:ascii="宋体" w:hAnsi="宋体" w:hint="eastAsia"/>
          <w:sz w:val="24"/>
        </w:rPr>
        <w:t>持有期；</w:t>
      </w:r>
    </w:p>
    <w:p w:rsidR="00DF6B48" w:rsidRDefault="006A33AA">
      <w:pPr>
        <w:snapToGrid w:val="0"/>
        <w:spacing w:line="524" w:lineRule="atLeast"/>
        <w:ind w:leftChars="21" w:left="44" w:rightChars="-3" w:right="-6" w:firstLineChars="300" w:firstLine="720"/>
        <w:rPr>
          <w:rFonts w:ascii="宋体" w:hAnsi="宋体"/>
          <w:sz w:val="24"/>
        </w:rPr>
      </w:pPr>
      <w:proofErr w:type="spellStart"/>
      <w:r>
        <w:rPr>
          <w:rFonts w:ascii="宋体" w:hAnsi="宋体"/>
          <w:sz w:val="24"/>
        </w:rPr>
        <w:t>V</w:t>
      </w:r>
      <w:r>
        <w:rPr>
          <w:rFonts w:ascii="宋体" w:hAnsi="宋体"/>
          <w:sz w:val="24"/>
          <w:vertAlign w:val="subscript"/>
        </w:rPr>
        <w:t>t</w:t>
      </w:r>
      <w:proofErr w:type="spellEnd"/>
      <w:r>
        <w:rPr>
          <w:rFonts w:ascii="宋体" w:hAnsi="宋体"/>
          <w:sz w:val="24"/>
        </w:rPr>
        <w:t>——</w:t>
      </w:r>
      <w:r>
        <w:rPr>
          <w:rFonts w:ascii="宋体" w:hAnsi="宋体" w:hint="eastAsia"/>
          <w:sz w:val="24"/>
        </w:rPr>
        <w:t>第</w:t>
      </w:r>
      <w:r>
        <w:rPr>
          <w:rFonts w:ascii="宋体" w:hAnsi="宋体"/>
          <w:sz w:val="24"/>
        </w:rPr>
        <w:t>t</w:t>
      </w:r>
      <w:r>
        <w:rPr>
          <w:rFonts w:ascii="宋体" w:hAnsi="宋体"/>
          <w:sz w:val="24"/>
        </w:rPr>
        <w:t>年期末</w:t>
      </w:r>
      <w:r>
        <w:rPr>
          <w:rFonts w:ascii="宋体" w:hAnsi="宋体" w:hint="eastAsia"/>
          <w:sz w:val="24"/>
        </w:rPr>
        <w:t>转</w:t>
      </w:r>
      <w:r>
        <w:rPr>
          <w:rFonts w:ascii="宋体" w:hAnsi="宋体"/>
          <w:sz w:val="24"/>
        </w:rPr>
        <w:t>售收益</w:t>
      </w:r>
      <w:r>
        <w:rPr>
          <w:rFonts w:ascii="宋体" w:hAnsi="宋体" w:hint="eastAsia"/>
          <w:sz w:val="24"/>
        </w:rPr>
        <w:t>。</w:t>
      </w:r>
    </w:p>
    <w:p w:rsidR="00DF6B48" w:rsidRDefault="006A33AA">
      <w:pPr>
        <w:pStyle w:val="2195"/>
        <w:spacing w:line="530" w:lineRule="exact"/>
        <w:rPr>
          <w:rFonts w:ascii="宋体" w:eastAsia="宋体" w:hAnsi="宋体"/>
          <w:b/>
        </w:rPr>
      </w:pPr>
      <w:bookmarkStart w:id="92" w:name="_Toc247682204"/>
      <w:bookmarkStart w:id="93" w:name="_Toc247681802"/>
      <w:bookmarkStart w:id="94" w:name="_Toc400744782"/>
      <w:bookmarkStart w:id="95" w:name="_Toc247681917"/>
      <w:bookmarkStart w:id="96" w:name="_Toc247682287"/>
      <w:bookmarkStart w:id="97" w:name="_Toc247682135"/>
      <w:bookmarkStart w:id="98" w:name="_Toc28928"/>
      <w:bookmarkStart w:id="99" w:name="_Toc247682235"/>
      <w:r>
        <w:rPr>
          <w:rFonts w:ascii="宋体" w:eastAsia="宋体" w:hAnsi="宋体" w:hint="eastAsia"/>
          <w:b/>
        </w:rPr>
        <w:lastRenderedPageBreak/>
        <w:t>十、估价结果</w:t>
      </w:r>
      <w:bookmarkStart w:id="100" w:name="_Toc247682136"/>
      <w:bookmarkStart w:id="101" w:name="_Toc247682236"/>
      <w:bookmarkStart w:id="102" w:name="_Toc247682288"/>
      <w:bookmarkStart w:id="103" w:name="_Toc247681803"/>
      <w:bookmarkStart w:id="104" w:name="_Toc247681918"/>
      <w:bookmarkStart w:id="105" w:name="_Toc247682205"/>
      <w:bookmarkEnd w:id="92"/>
      <w:bookmarkEnd w:id="93"/>
      <w:bookmarkEnd w:id="94"/>
      <w:bookmarkEnd w:id="95"/>
      <w:bookmarkEnd w:id="96"/>
      <w:bookmarkEnd w:id="97"/>
      <w:bookmarkEnd w:id="98"/>
      <w:bookmarkEnd w:id="99"/>
    </w:p>
    <w:p w:rsidR="00DF6B48" w:rsidRDefault="006A33AA" w:rsidP="008B37E5">
      <w:pPr>
        <w:snapToGrid w:val="0"/>
        <w:spacing w:line="480" w:lineRule="atLeast"/>
        <w:ind w:leftChars="-171" w:left="-359" w:rightChars="-3" w:right="-6" w:firstLineChars="192" w:firstLine="461"/>
        <w:rPr>
          <w:rFonts w:ascii="宋体" w:hAnsi="宋体"/>
          <w:sz w:val="24"/>
        </w:rPr>
      </w:pPr>
      <w:bookmarkStart w:id="106" w:name="_Toc400744783"/>
      <w:r>
        <w:rPr>
          <w:rFonts w:ascii="宋体" w:hAnsi="宋体" w:hint="eastAsia"/>
          <w:sz w:val="24"/>
        </w:rPr>
        <w:t>估价人员根据估价目的，遵循估价原则，按照估价程序，运用科学的估价方法，在认真分析现有资料的基础上，依据有关的法律法规、政策文件和估价标准，通过细致测算和认真分析各种影响房地产价值的因素，确定估价对象于价值时点（</w:t>
      </w: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21</w:t>
      </w:r>
      <w:r>
        <w:rPr>
          <w:rFonts w:ascii="宋体" w:hAnsi="宋体" w:hint="eastAsia"/>
          <w:sz w:val="24"/>
        </w:rPr>
        <w:t>日）满足“估价假设和限制条件”及“价值类型”条件下的估价结果如下：</w:t>
      </w:r>
    </w:p>
    <w:p w:rsidR="00DF6B48" w:rsidRDefault="006A33AA">
      <w:pPr>
        <w:snapToGrid w:val="0"/>
        <w:spacing w:line="530" w:lineRule="exact"/>
        <w:ind w:leftChars="-171" w:left="-359" w:rightChars="-3" w:right="-6" w:firstLineChars="192" w:firstLine="463"/>
        <w:rPr>
          <w:rFonts w:ascii="宋体" w:hAnsi="宋体"/>
          <w:b/>
          <w:sz w:val="24"/>
        </w:rPr>
      </w:pPr>
      <w:r>
        <w:rPr>
          <w:rFonts w:ascii="宋体" w:hAnsi="宋体" w:hint="eastAsia"/>
          <w:b/>
          <w:sz w:val="24"/>
        </w:rPr>
        <w:t>估价</w:t>
      </w:r>
      <w:r>
        <w:rPr>
          <w:rFonts w:ascii="宋体" w:hAnsi="宋体"/>
          <w:b/>
          <w:sz w:val="24"/>
        </w:rPr>
        <w:t>对象</w:t>
      </w:r>
      <w:r>
        <w:rPr>
          <w:rFonts w:ascii="宋体" w:hAnsi="宋体" w:hint="eastAsia"/>
          <w:b/>
          <w:sz w:val="24"/>
        </w:rPr>
        <w:t>住宅房地产市场价格为</w:t>
      </w:r>
      <w:r>
        <w:rPr>
          <w:rFonts w:ascii="宋体" w:hAnsi="宋体" w:hint="eastAsia"/>
          <w:b/>
          <w:sz w:val="24"/>
        </w:rPr>
        <w:t>8444000</w:t>
      </w:r>
      <w:r>
        <w:rPr>
          <w:rFonts w:ascii="宋体" w:hAnsi="宋体" w:hint="eastAsia"/>
          <w:b/>
          <w:sz w:val="24"/>
        </w:rPr>
        <w:t>元（大写人民币</w:t>
      </w:r>
      <w:proofErr w:type="gramStart"/>
      <w:r>
        <w:rPr>
          <w:rFonts w:ascii="宋体" w:hAnsi="宋体" w:hint="eastAsia"/>
          <w:b/>
          <w:sz w:val="24"/>
        </w:rPr>
        <w:t>捌佰肆拾肆万肆仟</w:t>
      </w:r>
      <w:proofErr w:type="gramEnd"/>
      <w:r>
        <w:rPr>
          <w:rFonts w:ascii="宋体" w:hAnsi="宋体" w:hint="eastAsia"/>
          <w:b/>
          <w:sz w:val="24"/>
        </w:rPr>
        <w:t>元整），住宅市场单价为</w:t>
      </w:r>
      <w:r>
        <w:rPr>
          <w:rFonts w:ascii="宋体" w:hAnsi="宋体" w:hint="eastAsia"/>
          <w:b/>
          <w:sz w:val="24"/>
        </w:rPr>
        <w:t>13040</w:t>
      </w:r>
      <w:r>
        <w:rPr>
          <w:rFonts w:ascii="宋体" w:hAnsi="宋体" w:hint="eastAsia"/>
          <w:b/>
          <w:sz w:val="24"/>
        </w:rPr>
        <w:t>元</w:t>
      </w:r>
      <w:r>
        <w:rPr>
          <w:rFonts w:ascii="宋体" w:hAnsi="宋体" w:hint="eastAsia"/>
          <w:b/>
          <w:sz w:val="24"/>
        </w:rPr>
        <w:t>/</w:t>
      </w:r>
      <w:r>
        <w:rPr>
          <w:rFonts w:ascii="宋体" w:hAnsi="宋体" w:hint="eastAsia"/>
          <w:b/>
          <w:sz w:val="24"/>
        </w:rPr>
        <w:t>㎡。</w:t>
      </w:r>
    </w:p>
    <w:p w:rsidR="00DF6B48" w:rsidRDefault="006A33AA" w:rsidP="008B37E5">
      <w:pPr>
        <w:snapToGrid w:val="0"/>
        <w:spacing w:line="524" w:lineRule="atLeast"/>
        <w:ind w:leftChars="-171" w:left="-359" w:rightChars="-3" w:right="-6" w:firstLineChars="192" w:firstLine="461"/>
        <w:rPr>
          <w:rFonts w:ascii="宋体" w:hAnsi="宋体"/>
          <w:sz w:val="24"/>
        </w:rPr>
      </w:pPr>
      <w:r>
        <w:rPr>
          <w:rFonts w:ascii="宋体" w:hAnsi="宋体" w:hint="eastAsia"/>
          <w:sz w:val="24"/>
        </w:rPr>
        <w:t>估价结果内涵为在价值时点，满足本次估价假设和限制条件下，包括建筑物价值（含室内二次装修）、分摊的土地使</w:t>
      </w:r>
      <w:r>
        <w:rPr>
          <w:rFonts w:ascii="宋体" w:hAnsi="宋体" w:hint="eastAsia"/>
          <w:sz w:val="24"/>
        </w:rPr>
        <w:t>用权价值（含土地使用权出让金），不包含动产、债权债务、特许经营权等其他财产或权益；付款方式是一次性付清房价款（包括首付款及按揭贷款）；房屋面积内涵是建筑面积；开发程度为现房，具备红线内外“五通”。</w:t>
      </w:r>
    </w:p>
    <w:p w:rsidR="00DF6B48" w:rsidRDefault="006A33AA">
      <w:pPr>
        <w:pStyle w:val="2195"/>
        <w:spacing w:line="520" w:lineRule="exact"/>
        <w:ind w:leftChars="-200" w:left="-420" w:rightChars="-200" w:right="-420" w:firstLineChars="200" w:firstLine="482"/>
        <w:rPr>
          <w:rFonts w:ascii="宋体" w:eastAsia="宋体" w:hAnsi="宋体"/>
          <w:b/>
        </w:rPr>
      </w:pPr>
      <w:bookmarkStart w:id="107" w:name="_Toc26194"/>
      <w:r>
        <w:rPr>
          <w:rFonts w:ascii="宋体" w:eastAsia="宋体" w:hAnsi="宋体" w:hint="eastAsia"/>
          <w:b/>
        </w:rPr>
        <w:t>十一、</w:t>
      </w:r>
      <w:bookmarkEnd w:id="100"/>
      <w:bookmarkEnd w:id="101"/>
      <w:bookmarkEnd w:id="102"/>
      <w:bookmarkEnd w:id="103"/>
      <w:bookmarkEnd w:id="104"/>
      <w:bookmarkEnd w:id="105"/>
      <w:r>
        <w:rPr>
          <w:rFonts w:ascii="宋体" w:eastAsia="宋体" w:hAnsi="宋体" w:hint="eastAsia"/>
          <w:b/>
        </w:rPr>
        <w:t>注册房地产估价师</w:t>
      </w:r>
      <w:bookmarkStart w:id="108" w:name="_Toc247682206"/>
      <w:bookmarkStart w:id="109" w:name="_Toc247681919"/>
      <w:bookmarkStart w:id="110" w:name="_Toc247681804"/>
      <w:bookmarkStart w:id="111" w:name="_Toc247682237"/>
      <w:bookmarkStart w:id="112" w:name="_Toc247682289"/>
      <w:bookmarkStart w:id="113" w:name="_Toc247682137"/>
      <w:bookmarkStart w:id="114" w:name="_Toc400744784"/>
      <w:bookmarkEnd w:id="106"/>
      <w:bookmarkEnd w:id="107"/>
    </w:p>
    <w:tbl>
      <w:tblPr>
        <w:tblW w:w="9464" w:type="dxa"/>
        <w:tblInd w:w="-280" w:type="dxa"/>
        <w:tblLayout w:type="fixed"/>
        <w:tblLook w:val="04A0" w:firstRow="1" w:lastRow="0" w:firstColumn="1" w:lastColumn="0" w:noHBand="0" w:noVBand="1"/>
      </w:tblPr>
      <w:tblGrid>
        <w:gridCol w:w="9464"/>
      </w:tblGrid>
      <w:tr w:rsidR="00DF6B48">
        <w:trPr>
          <w:trHeight w:val="3896"/>
        </w:trPr>
        <w:tc>
          <w:tcPr>
            <w:tcW w:w="9464" w:type="dxa"/>
            <w:shd w:val="clear" w:color="auto" w:fill="auto"/>
            <w:vAlign w:val="center"/>
          </w:tcPr>
          <w:tbl>
            <w:tblPr>
              <w:tblW w:w="9270" w:type="dxa"/>
              <w:tblLayout w:type="fixed"/>
              <w:tblLook w:val="04A0" w:firstRow="1" w:lastRow="0" w:firstColumn="1" w:lastColumn="0" w:noHBand="0" w:noVBand="1"/>
            </w:tblPr>
            <w:tblGrid>
              <w:gridCol w:w="1545"/>
              <w:gridCol w:w="3272"/>
              <w:gridCol w:w="2070"/>
              <w:gridCol w:w="2383"/>
            </w:tblGrid>
            <w:tr w:rsidR="00DF6B48">
              <w:trPr>
                <w:trHeight w:val="847"/>
              </w:trPr>
              <w:tc>
                <w:tcPr>
                  <w:tcW w:w="1545" w:type="dxa"/>
                  <w:shd w:val="clear" w:color="auto" w:fill="auto"/>
                  <w:vAlign w:val="center"/>
                </w:tcPr>
                <w:p w:rsidR="00DF6B48" w:rsidRDefault="006A33AA">
                  <w:pPr>
                    <w:spacing w:line="440" w:lineRule="exact"/>
                    <w:rPr>
                      <w:rFonts w:ascii="宋体" w:hAnsi="宋体"/>
                      <w:sz w:val="24"/>
                    </w:rPr>
                  </w:pPr>
                  <w:r>
                    <w:rPr>
                      <w:rFonts w:ascii="宋体" w:hAnsi="宋体" w:hint="eastAsia"/>
                      <w:bCs/>
                      <w:sz w:val="24"/>
                    </w:rPr>
                    <w:t>估价师姓名</w:t>
                  </w:r>
                </w:p>
              </w:tc>
              <w:tc>
                <w:tcPr>
                  <w:tcW w:w="3272" w:type="dxa"/>
                  <w:shd w:val="clear" w:color="auto" w:fill="auto"/>
                  <w:vAlign w:val="center"/>
                </w:tcPr>
                <w:p w:rsidR="00DF6B48" w:rsidRDefault="006A33AA">
                  <w:pPr>
                    <w:spacing w:line="440" w:lineRule="exact"/>
                    <w:jc w:val="center"/>
                    <w:rPr>
                      <w:rFonts w:ascii="宋体" w:hAnsi="宋体"/>
                      <w:sz w:val="24"/>
                    </w:rPr>
                  </w:pPr>
                  <w:r>
                    <w:rPr>
                      <w:rFonts w:ascii="宋体" w:hAnsi="宋体" w:hint="eastAsia"/>
                      <w:bCs/>
                      <w:sz w:val="24"/>
                    </w:rPr>
                    <w:t>房地产估价师注册号</w:t>
                  </w:r>
                </w:p>
              </w:tc>
              <w:tc>
                <w:tcPr>
                  <w:tcW w:w="2070" w:type="dxa"/>
                  <w:shd w:val="clear" w:color="auto" w:fill="auto"/>
                  <w:vAlign w:val="center"/>
                </w:tcPr>
                <w:p w:rsidR="00DF6B48" w:rsidRDefault="006A33AA">
                  <w:pPr>
                    <w:spacing w:line="440" w:lineRule="exact"/>
                    <w:jc w:val="center"/>
                    <w:rPr>
                      <w:rFonts w:ascii="宋体" w:hAnsi="宋体"/>
                      <w:sz w:val="24"/>
                    </w:rPr>
                  </w:pPr>
                  <w:r>
                    <w:rPr>
                      <w:rFonts w:ascii="宋体" w:hAnsi="宋体" w:hint="eastAsia"/>
                      <w:bCs/>
                      <w:sz w:val="24"/>
                    </w:rPr>
                    <w:t>签名</w:t>
                  </w:r>
                </w:p>
              </w:tc>
              <w:tc>
                <w:tcPr>
                  <w:tcW w:w="2383" w:type="dxa"/>
                  <w:shd w:val="clear" w:color="auto" w:fill="auto"/>
                  <w:vAlign w:val="center"/>
                </w:tcPr>
                <w:p w:rsidR="00DF6B48" w:rsidRDefault="006A33AA">
                  <w:pPr>
                    <w:spacing w:line="440" w:lineRule="exact"/>
                    <w:jc w:val="center"/>
                    <w:rPr>
                      <w:rFonts w:ascii="宋体" w:hAnsi="宋体"/>
                      <w:sz w:val="24"/>
                    </w:rPr>
                  </w:pPr>
                  <w:r>
                    <w:rPr>
                      <w:rFonts w:ascii="宋体" w:hAnsi="宋体" w:hint="eastAsia"/>
                      <w:bCs/>
                      <w:sz w:val="24"/>
                    </w:rPr>
                    <w:t>日期</w:t>
                  </w:r>
                </w:p>
              </w:tc>
            </w:tr>
            <w:tr w:rsidR="00DF6B48">
              <w:trPr>
                <w:trHeight w:val="1522"/>
              </w:trPr>
              <w:tc>
                <w:tcPr>
                  <w:tcW w:w="1545" w:type="dxa"/>
                  <w:shd w:val="clear" w:color="auto" w:fill="auto"/>
                  <w:vAlign w:val="center"/>
                </w:tcPr>
                <w:p w:rsidR="00DF6B48" w:rsidRDefault="006A33AA">
                  <w:pPr>
                    <w:spacing w:line="440" w:lineRule="exact"/>
                    <w:rPr>
                      <w:rFonts w:ascii="宋体" w:hAnsi="宋体"/>
                      <w:sz w:val="24"/>
                    </w:rPr>
                  </w:pPr>
                  <w:proofErr w:type="gramStart"/>
                  <w:r>
                    <w:rPr>
                      <w:rFonts w:ascii="宋体" w:hAnsi="宋体" w:hint="eastAsia"/>
                      <w:bCs/>
                      <w:sz w:val="24"/>
                    </w:rPr>
                    <w:t>杨智伟</w:t>
                  </w:r>
                  <w:proofErr w:type="gramEnd"/>
                </w:p>
              </w:tc>
              <w:tc>
                <w:tcPr>
                  <w:tcW w:w="3272" w:type="dxa"/>
                  <w:shd w:val="clear" w:color="auto" w:fill="auto"/>
                  <w:vAlign w:val="center"/>
                </w:tcPr>
                <w:p w:rsidR="00DF6B48" w:rsidRDefault="006A33AA">
                  <w:pPr>
                    <w:spacing w:line="440" w:lineRule="exact"/>
                    <w:jc w:val="center"/>
                    <w:rPr>
                      <w:rFonts w:ascii="宋体" w:hAnsi="宋体"/>
                      <w:sz w:val="24"/>
                    </w:rPr>
                  </w:pPr>
                  <w:r>
                    <w:rPr>
                      <w:rFonts w:ascii="宋体" w:hAnsi="宋体" w:hint="eastAsia"/>
                      <w:sz w:val="24"/>
                    </w:rPr>
                    <w:t>3520120064</w:t>
                  </w:r>
                </w:p>
              </w:tc>
              <w:tc>
                <w:tcPr>
                  <w:tcW w:w="2070" w:type="dxa"/>
                  <w:shd w:val="clear" w:color="auto" w:fill="auto"/>
                  <w:vAlign w:val="center"/>
                </w:tcPr>
                <w:p w:rsidR="00DF6B48" w:rsidRDefault="00DF6B48">
                  <w:pPr>
                    <w:spacing w:line="440" w:lineRule="exact"/>
                    <w:jc w:val="center"/>
                    <w:rPr>
                      <w:rFonts w:ascii="宋体" w:hAnsi="宋体"/>
                      <w:sz w:val="24"/>
                    </w:rPr>
                  </w:pPr>
                </w:p>
              </w:tc>
              <w:tc>
                <w:tcPr>
                  <w:tcW w:w="2383" w:type="dxa"/>
                  <w:shd w:val="clear" w:color="auto" w:fill="auto"/>
                  <w:vAlign w:val="center"/>
                </w:tcPr>
                <w:p w:rsidR="00DF6B48" w:rsidRDefault="006A33AA">
                  <w:pPr>
                    <w:spacing w:line="440" w:lineRule="exact"/>
                    <w:ind w:firstLineChars="150" w:firstLine="36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DF6B48">
              <w:trPr>
                <w:trHeight w:val="1566"/>
              </w:trPr>
              <w:tc>
                <w:tcPr>
                  <w:tcW w:w="1545" w:type="dxa"/>
                  <w:shd w:val="clear" w:color="auto" w:fill="auto"/>
                  <w:vAlign w:val="center"/>
                </w:tcPr>
                <w:p w:rsidR="00DF6B48" w:rsidRDefault="006A33AA">
                  <w:pPr>
                    <w:spacing w:line="440" w:lineRule="exact"/>
                    <w:rPr>
                      <w:rFonts w:ascii="宋体" w:hAnsi="宋体"/>
                      <w:sz w:val="24"/>
                    </w:rPr>
                  </w:pPr>
                  <w:r>
                    <w:rPr>
                      <w:rFonts w:ascii="宋体" w:hAnsi="宋体" w:hint="eastAsia"/>
                      <w:bCs/>
                      <w:sz w:val="24"/>
                    </w:rPr>
                    <w:t>林美琼</w:t>
                  </w:r>
                </w:p>
              </w:tc>
              <w:tc>
                <w:tcPr>
                  <w:tcW w:w="3272" w:type="dxa"/>
                  <w:shd w:val="clear" w:color="auto" w:fill="auto"/>
                  <w:vAlign w:val="center"/>
                </w:tcPr>
                <w:p w:rsidR="00DF6B48" w:rsidRDefault="006A33AA">
                  <w:pPr>
                    <w:spacing w:line="440" w:lineRule="exact"/>
                    <w:jc w:val="center"/>
                    <w:rPr>
                      <w:rFonts w:ascii="宋体" w:hAnsi="宋体"/>
                      <w:sz w:val="24"/>
                    </w:rPr>
                  </w:pPr>
                  <w:r>
                    <w:rPr>
                      <w:rFonts w:ascii="宋体" w:hAnsi="宋体" w:hint="eastAsia"/>
                      <w:sz w:val="24"/>
                    </w:rPr>
                    <w:t>3520140080</w:t>
                  </w:r>
                </w:p>
              </w:tc>
              <w:tc>
                <w:tcPr>
                  <w:tcW w:w="2070" w:type="dxa"/>
                  <w:shd w:val="clear" w:color="auto" w:fill="auto"/>
                  <w:vAlign w:val="center"/>
                </w:tcPr>
                <w:p w:rsidR="00DF6B48" w:rsidRDefault="00DF6B48">
                  <w:pPr>
                    <w:spacing w:line="440" w:lineRule="exact"/>
                    <w:jc w:val="center"/>
                    <w:rPr>
                      <w:rFonts w:ascii="宋体" w:hAnsi="宋体"/>
                      <w:sz w:val="24"/>
                    </w:rPr>
                  </w:pPr>
                </w:p>
              </w:tc>
              <w:tc>
                <w:tcPr>
                  <w:tcW w:w="2383" w:type="dxa"/>
                  <w:shd w:val="clear" w:color="auto" w:fill="auto"/>
                  <w:vAlign w:val="center"/>
                </w:tcPr>
                <w:p w:rsidR="00DF6B48" w:rsidRDefault="006A33AA">
                  <w:pPr>
                    <w:spacing w:line="440" w:lineRule="exact"/>
                    <w:ind w:firstLineChars="150" w:firstLine="36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DF6B48" w:rsidRDefault="00DF6B48">
            <w:pPr>
              <w:pStyle w:val="a8"/>
              <w:spacing w:line="440" w:lineRule="exact"/>
              <w:rPr>
                <w:rFonts w:hAnsi="宋体"/>
                <w:spacing w:val="-20"/>
                <w:sz w:val="24"/>
                <w:szCs w:val="24"/>
              </w:rPr>
            </w:pPr>
          </w:p>
        </w:tc>
      </w:tr>
    </w:tbl>
    <w:p w:rsidR="00DF6B48" w:rsidRDefault="006A33AA">
      <w:pPr>
        <w:pStyle w:val="2195"/>
        <w:spacing w:line="560" w:lineRule="exact"/>
        <w:rPr>
          <w:rFonts w:ascii="宋体" w:eastAsia="宋体" w:hAnsi="宋体"/>
          <w:b/>
        </w:rPr>
      </w:pPr>
      <w:bookmarkStart w:id="115" w:name="_Toc11324"/>
      <w:r>
        <w:rPr>
          <w:rFonts w:ascii="宋体" w:eastAsia="宋体" w:hAnsi="宋体" w:hint="eastAsia"/>
          <w:b/>
        </w:rPr>
        <w:t>十二、</w:t>
      </w:r>
      <w:bookmarkEnd w:id="108"/>
      <w:bookmarkEnd w:id="109"/>
      <w:bookmarkEnd w:id="110"/>
      <w:bookmarkEnd w:id="111"/>
      <w:bookmarkEnd w:id="112"/>
      <w:bookmarkEnd w:id="113"/>
      <w:r>
        <w:rPr>
          <w:rFonts w:ascii="宋体" w:eastAsia="宋体" w:hAnsi="宋体" w:hint="eastAsia"/>
          <w:b/>
        </w:rPr>
        <w:t>实地查勘期</w:t>
      </w:r>
      <w:bookmarkEnd w:id="114"/>
      <w:bookmarkEnd w:id="115"/>
    </w:p>
    <w:p w:rsidR="00DF6B48" w:rsidRDefault="006A33AA">
      <w:pPr>
        <w:snapToGrid w:val="0"/>
        <w:spacing w:line="560" w:lineRule="exact"/>
        <w:ind w:leftChars="-200" w:left="-420" w:rightChars="-200" w:right="-420" w:firstLineChars="200" w:firstLine="480"/>
        <w:rPr>
          <w:rFonts w:ascii="宋体" w:hAnsi="宋体"/>
          <w:sz w:val="24"/>
        </w:rPr>
      </w:pP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21</w:t>
      </w:r>
      <w:r>
        <w:rPr>
          <w:rFonts w:ascii="宋体" w:hAnsi="宋体" w:hint="eastAsia"/>
          <w:sz w:val="24"/>
        </w:rPr>
        <w:t>日</w:t>
      </w:r>
    </w:p>
    <w:p w:rsidR="00DF6B48" w:rsidRDefault="006A33AA">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8838"/>
      <w:r>
        <w:rPr>
          <w:rFonts w:ascii="宋体" w:eastAsia="宋体" w:hAnsi="宋体" w:hint="eastAsia"/>
          <w:b/>
        </w:rPr>
        <w:t>十三、估价作业期</w:t>
      </w:r>
      <w:bookmarkEnd w:id="116"/>
      <w:bookmarkEnd w:id="117"/>
    </w:p>
    <w:p w:rsidR="00DF6B48" w:rsidRDefault="006A33AA">
      <w:pPr>
        <w:snapToGrid w:val="0"/>
        <w:spacing w:line="560" w:lineRule="exact"/>
        <w:ind w:leftChars="-200" w:left="-420" w:rightChars="-200" w:right="-420" w:firstLineChars="200" w:firstLine="480"/>
        <w:rPr>
          <w:rFonts w:ascii="宋体" w:hAnsi="宋体"/>
          <w:sz w:val="24"/>
        </w:rPr>
      </w:pP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21</w:t>
      </w:r>
      <w:r>
        <w:rPr>
          <w:rFonts w:ascii="宋体" w:hAnsi="宋体" w:hint="eastAsia"/>
          <w:sz w:val="24"/>
        </w:rPr>
        <w:t>日至</w:t>
      </w: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25</w:t>
      </w:r>
      <w:r>
        <w:rPr>
          <w:rFonts w:ascii="宋体" w:hAnsi="宋体" w:hint="eastAsia"/>
          <w:sz w:val="24"/>
        </w:rPr>
        <w:t>日</w:t>
      </w:r>
    </w:p>
    <w:p w:rsidR="00DF6B48" w:rsidRDefault="006A33AA">
      <w:pPr>
        <w:snapToGrid w:val="0"/>
        <w:spacing w:line="560" w:lineRule="exact"/>
        <w:ind w:right="40"/>
        <w:jc w:val="right"/>
        <w:rPr>
          <w:rFonts w:ascii="宋体" w:hAnsi="宋体"/>
          <w:sz w:val="24"/>
        </w:rPr>
      </w:pPr>
      <w:r>
        <w:rPr>
          <w:rFonts w:ascii="宋体" w:hAnsi="宋体" w:hint="eastAsia"/>
          <w:sz w:val="24"/>
        </w:rPr>
        <w:t>福建宁朗资产评估房地产估价有限公司（公章）</w:t>
      </w:r>
    </w:p>
    <w:p w:rsidR="00DF6B48" w:rsidRDefault="006A33AA">
      <w:pPr>
        <w:spacing w:line="560" w:lineRule="exact"/>
        <w:ind w:firstLineChars="2050" w:firstLine="4920"/>
        <w:rPr>
          <w:rFonts w:ascii="宋体" w:hAnsi="宋体"/>
          <w:sz w:val="24"/>
        </w:rPr>
      </w:pPr>
      <w:bookmarkStart w:id="118" w:name="_Toc247682239"/>
      <w:bookmarkStart w:id="119" w:name="_Toc247682208"/>
      <w:bookmarkStart w:id="120" w:name="_Toc247681921"/>
      <w:bookmarkStart w:id="121" w:name="_Toc247682291"/>
      <w:bookmarkStart w:id="122" w:name="_Toc247682139"/>
      <w:bookmarkStart w:id="123" w:name="_Toc247681806"/>
      <w:bookmarkStart w:id="124" w:name="_Toc247681590"/>
      <w:r>
        <w:rPr>
          <w:rFonts w:ascii="宋体" w:hAnsi="宋体" w:hint="eastAsia"/>
          <w:sz w:val="24"/>
        </w:rPr>
        <w:t xml:space="preserve">  </w:t>
      </w:r>
      <w:bookmarkStart w:id="125" w:name="_Toc400744786"/>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25</w:t>
      </w:r>
      <w:r>
        <w:rPr>
          <w:rFonts w:ascii="宋体" w:hAnsi="宋体" w:hint="eastAsia"/>
          <w:sz w:val="24"/>
        </w:rPr>
        <w:t>日</w:t>
      </w:r>
    </w:p>
    <w:p w:rsidR="00DF6B48" w:rsidRDefault="006A33AA">
      <w:pPr>
        <w:snapToGrid w:val="0"/>
        <w:spacing w:line="524" w:lineRule="atLeast"/>
        <w:ind w:rightChars="-3" w:right="-6"/>
        <w:rPr>
          <w:rFonts w:ascii="宋体" w:hAnsi="宋体"/>
          <w:b/>
          <w:sz w:val="24"/>
        </w:rPr>
      </w:pPr>
      <w:bookmarkStart w:id="126" w:name="_Toc247682249"/>
      <w:bookmarkStart w:id="127" w:name="_Toc247682301"/>
      <w:bookmarkStart w:id="128" w:name="_Toc247681931"/>
      <w:bookmarkStart w:id="129" w:name="_Toc400744797"/>
      <w:bookmarkStart w:id="130" w:name="_Toc247681591"/>
      <w:bookmarkStart w:id="131" w:name="_Toc247681816"/>
      <w:bookmarkStart w:id="132" w:name="_Toc247682218"/>
      <w:bookmarkStart w:id="133" w:name="_Toc247682149"/>
      <w:bookmarkEnd w:id="118"/>
      <w:bookmarkEnd w:id="119"/>
      <w:bookmarkEnd w:id="120"/>
      <w:bookmarkEnd w:id="121"/>
      <w:bookmarkEnd w:id="122"/>
      <w:bookmarkEnd w:id="123"/>
      <w:bookmarkEnd w:id="124"/>
      <w:bookmarkEnd w:id="125"/>
      <w:r>
        <w:rPr>
          <w:rFonts w:ascii="宋体" w:hAnsi="宋体"/>
          <w:b/>
          <w:sz w:val="24"/>
        </w:rPr>
        <w:br w:type="page"/>
      </w:r>
    </w:p>
    <w:p w:rsidR="00DF6B48" w:rsidRDefault="006A33AA">
      <w:pPr>
        <w:pStyle w:val="11"/>
      </w:pPr>
      <w:bookmarkStart w:id="134" w:name="_Toc31361"/>
      <w:r>
        <w:rPr>
          <w:rFonts w:hint="eastAsia"/>
        </w:rPr>
        <w:lastRenderedPageBreak/>
        <w:t>附</w:t>
      </w:r>
      <w:r>
        <w:rPr>
          <w:rFonts w:hint="eastAsia"/>
        </w:rPr>
        <w:t xml:space="preserve">  </w:t>
      </w:r>
      <w:r>
        <w:rPr>
          <w:rFonts w:hint="eastAsia"/>
        </w:rPr>
        <w:t>件</w:t>
      </w:r>
      <w:bookmarkEnd w:id="126"/>
      <w:bookmarkEnd w:id="127"/>
      <w:bookmarkEnd w:id="128"/>
      <w:bookmarkEnd w:id="129"/>
      <w:bookmarkEnd w:id="130"/>
      <w:bookmarkEnd w:id="131"/>
      <w:bookmarkEnd w:id="132"/>
      <w:bookmarkEnd w:id="133"/>
      <w:bookmarkEnd w:id="134"/>
    </w:p>
    <w:p w:rsidR="00DF6B48" w:rsidRDefault="006A33AA" w:rsidP="008B37E5">
      <w:pPr>
        <w:snapToGrid w:val="0"/>
        <w:spacing w:line="560" w:lineRule="exact"/>
        <w:ind w:leftChars="-171" w:left="-359" w:rightChars="-3" w:right="-6" w:firstLineChars="192" w:firstLine="461"/>
        <w:outlineLvl w:val="1"/>
        <w:rPr>
          <w:rFonts w:ascii="宋体" w:hAnsi="宋体"/>
          <w:sz w:val="24"/>
        </w:rPr>
      </w:pPr>
      <w:bookmarkStart w:id="135" w:name="_Toc397497793"/>
      <w:bookmarkStart w:id="136" w:name="_Toc18745"/>
      <w:bookmarkStart w:id="137" w:name="_Toc88488363"/>
      <w:r>
        <w:rPr>
          <w:rFonts w:ascii="宋体" w:hAnsi="宋体" w:hint="eastAsia"/>
          <w:sz w:val="24"/>
        </w:rPr>
        <w:t>一、</w:t>
      </w:r>
      <w:bookmarkEnd w:id="135"/>
      <w:r>
        <w:rPr>
          <w:rFonts w:ascii="宋体" w:hAnsi="宋体" w:hint="eastAsia"/>
          <w:sz w:val="24"/>
        </w:rPr>
        <w:t>《福建省泉州市丰泽区人民法院价格评估委托书》（（</w:t>
      </w:r>
      <w:r>
        <w:rPr>
          <w:rFonts w:ascii="宋体" w:hAnsi="宋体" w:hint="eastAsia"/>
          <w:sz w:val="24"/>
        </w:rPr>
        <w:t>2022</w:t>
      </w:r>
      <w:r>
        <w:rPr>
          <w:rFonts w:ascii="宋体" w:hAnsi="宋体" w:hint="eastAsia"/>
          <w:sz w:val="24"/>
        </w:rPr>
        <w:t>）闽</w:t>
      </w:r>
      <w:r>
        <w:rPr>
          <w:rFonts w:ascii="宋体" w:hAnsi="宋体" w:hint="eastAsia"/>
          <w:sz w:val="24"/>
        </w:rPr>
        <w:t>0503</w:t>
      </w:r>
      <w:r>
        <w:rPr>
          <w:rFonts w:ascii="宋体" w:hAnsi="宋体" w:hint="eastAsia"/>
          <w:sz w:val="24"/>
        </w:rPr>
        <w:t>执</w:t>
      </w:r>
      <w:r>
        <w:rPr>
          <w:rFonts w:ascii="宋体" w:hAnsi="宋体" w:hint="eastAsia"/>
          <w:sz w:val="24"/>
        </w:rPr>
        <w:t>193</w:t>
      </w:r>
      <w:r>
        <w:rPr>
          <w:rFonts w:ascii="宋体" w:hAnsi="宋体" w:hint="eastAsia"/>
          <w:sz w:val="24"/>
        </w:rPr>
        <w:t>号）、《福建省泉州市丰泽区人民法院执行裁定书》（（</w:t>
      </w:r>
      <w:r>
        <w:rPr>
          <w:rFonts w:ascii="宋体" w:hAnsi="宋体" w:hint="eastAsia"/>
          <w:sz w:val="24"/>
        </w:rPr>
        <w:t>2022</w:t>
      </w:r>
      <w:r>
        <w:rPr>
          <w:rFonts w:ascii="宋体" w:hAnsi="宋体" w:hint="eastAsia"/>
          <w:sz w:val="24"/>
        </w:rPr>
        <w:t>）闽</w:t>
      </w:r>
      <w:r>
        <w:rPr>
          <w:rFonts w:ascii="宋体" w:hAnsi="宋体" w:hint="eastAsia"/>
          <w:sz w:val="24"/>
        </w:rPr>
        <w:t>0503</w:t>
      </w:r>
      <w:r>
        <w:rPr>
          <w:rFonts w:ascii="宋体" w:hAnsi="宋体" w:hint="eastAsia"/>
          <w:sz w:val="24"/>
        </w:rPr>
        <w:t>执</w:t>
      </w:r>
      <w:r>
        <w:rPr>
          <w:rFonts w:ascii="宋体" w:hAnsi="宋体" w:hint="eastAsia"/>
          <w:sz w:val="24"/>
        </w:rPr>
        <w:t>193</w:t>
      </w:r>
      <w:r>
        <w:rPr>
          <w:rFonts w:ascii="宋体" w:hAnsi="宋体" w:hint="eastAsia"/>
          <w:sz w:val="24"/>
        </w:rPr>
        <w:t>号）</w:t>
      </w:r>
      <w:bookmarkEnd w:id="136"/>
      <w:bookmarkEnd w:id="137"/>
    </w:p>
    <w:p w:rsidR="00DF6B48" w:rsidRDefault="006A33AA" w:rsidP="008B37E5">
      <w:pPr>
        <w:snapToGrid w:val="0"/>
        <w:spacing w:line="560" w:lineRule="exact"/>
        <w:ind w:leftChars="-171" w:left="-359" w:rightChars="-3" w:right="-6" w:firstLineChars="192" w:firstLine="461"/>
        <w:outlineLvl w:val="1"/>
        <w:rPr>
          <w:rFonts w:ascii="宋体" w:hAnsi="宋体"/>
          <w:sz w:val="24"/>
        </w:rPr>
      </w:pPr>
      <w:bookmarkStart w:id="138" w:name="_Toc397497794"/>
      <w:bookmarkStart w:id="139" w:name="_Toc904"/>
      <w:bookmarkStart w:id="140" w:name="_Toc88488364"/>
      <w:r>
        <w:rPr>
          <w:rFonts w:ascii="宋体" w:hAnsi="宋体" w:hint="eastAsia"/>
          <w:sz w:val="24"/>
        </w:rPr>
        <w:t>二、</w:t>
      </w:r>
      <w:bookmarkEnd w:id="138"/>
      <w:r>
        <w:rPr>
          <w:rFonts w:ascii="宋体" w:hAnsi="宋体" w:hint="eastAsia"/>
          <w:sz w:val="24"/>
        </w:rPr>
        <w:t>估价对象位置图</w:t>
      </w:r>
      <w:bookmarkEnd w:id="139"/>
      <w:bookmarkEnd w:id="140"/>
    </w:p>
    <w:p w:rsidR="00DF6B48" w:rsidRDefault="006A33AA" w:rsidP="008B37E5">
      <w:pPr>
        <w:snapToGrid w:val="0"/>
        <w:spacing w:line="560" w:lineRule="exact"/>
        <w:ind w:leftChars="-171" w:left="-359" w:rightChars="-3" w:right="-6" w:firstLineChars="192" w:firstLine="461"/>
        <w:outlineLvl w:val="1"/>
        <w:rPr>
          <w:rFonts w:ascii="宋体" w:hAnsi="宋体"/>
          <w:sz w:val="24"/>
        </w:rPr>
      </w:pPr>
      <w:bookmarkStart w:id="141" w:name="_Toc397497795"/>
      <w:bookmarkStart w:id="142" w:name="_Toc8674"/>
      <w:bookmarkStart w:id="143" w:name="_Toc88488365"/>
      <w:r>
        <w:rPr>
          <w:rFonts w:ascii="宋体" w:hAnsi="宋体" w:hint="eastAsia"/>
          <w:sz w:val="24"/>
        </w:rPr>
        <w:t>三、</w:t>
      </w:r>
      <w:bookmarkEnd w:id="141"/>
      <w:r>
        <w:rPr>
          <w:rFonts w:ascii="宋体" w:hAnsi="宋体" w:hint="eastAsia"/>
          <w:sz w:val="24"/>
        </w:rPr>
        <w:t>估价对象实地查勘情况及内部状况照片、外部状况照片、周围环境照片</w:t>
      </w:r>
      <w:bookmarkStart w:id="144" w:name="_Toc88488366"/>
      <w:bookmarkEnd w:id="142"/>
      <w:bookmarkEnd w:id="143"/>
    </w:p>
    <w:p w:rsidR="00DF6B48" w:rsidRDefault="006A33AA" w:rsidP="008B37E5">
      <w:pPr>
        <w:snapToGrid w:val="0"/>
        <w:spacing w:line="560" w:lineRule="exact"/>
        <w:ind w:leftChars="-171" w:left="-359" w:rightChars="-3" w:right="-6" w:firstLineChars="192" w:firstLine="461"/>
        <w:outlineLvl w:val="1"/>
        <w:rPr>
          <w:rFonts w:ascii="宋体" w:hAnsi="宋体"/>
          <w:sz w:val="24"/>
        </w:rPr>
      </w:pPr>
      <w:bookmarkStart w:id="145" w:name="_Toc23791"/>
      <w:r>
        <w:rPr>
          <w:rFonts w:ascii="宋体" w:hAnsi="宋体" w:hint="eastAsia"/>
          <w:sz w:val="24"/>
        </w:rPr>
        <w:t>四、</w:t>
      </w:r>
      <w:bookmarkEnd w:id="144"/>
      <w:r>
        <w:rPr>
          <w:rFonts w:ascii="宋体" w:hAnsi="宋体" w:hint="eastAsia"/>
          <w:sz w:val="24"/>
        </w:rPr>
        <w:t>《房屋所有权证》（证号：</w:t>
      </w:r>
      <w:proofErr w:type="gramStart"/>
      <w:r>
        <w:rPr>
          <w:rFonts w:ascii="宋体" w:hAnsi="宋体" w:hint="eastAsia"/>
          <w:sz w:val="24"/>
        </w:rPr>
        <w:t>晋房权证</w:t>
      </w:r>
      <w:proofErr w:type="gramEnd"/>
      <w:r>
        <w:rPr>
          <w:rFonts w:ascii="宋体" w:hAnsi="宋体" w:hint="eastAsia"/>
          <w:sz w:val="24"/>
        </w:rPr>
        <w:t>梅岭字第</w:t>
      </w:r>
      <w:r>
        <w:rPr>
          <w:rFonts w:ascii="宋体" w:hAnsi="宋体" w:hint="eastAsia"/>
          <w:sz w:val="24"/>
        </w:rPr>
        <w:t>201417328</w:t>
      </w:r>
      <w:r>
        <w:rPr>
          <w:rFonts w:ascii="宋体" w:hAnsi="宋体" w:hint="eastAsia"/>
          <w:sz w:val="24"/>
        </w:rPr>
        <w:t>号）复印件</w:t>
      </w:r>
      <w:bookmarkEnd w:id="145"/>
    </w:p>
    <w:p w:rsidR="00DF6B48" w:rsidRDefault="006A33AA" w:rsidP="008B37E5">
      <w:pPr>
        <w:snapToGrid w:val="0"/>
        <w:spacing w:line="560" w:lineRule="exact"/>
        <w:ind w:leftChars="-171" w:left="-359" w:rightChars="-3" w:right="-6" w:firstLineChars="192" w:firstLine="461"/>
        <w:outlineLvl w:val="1"/>
        <w:rPr>
          <w:rFonts w:ascii="宋体" w:hAnsi="宋体"/>
          <w:sz w:val="24"/>
        </w:rPr>
      </w:pPr>
      <w:bookmarkStart w:id="146" w:name="_Toc88488368"/>
      <w:bookmarkStart w:id="147" w:name="_Toc12198"/>
      <w:bookmarkStart w:id="148" w:name="_Toc397497796"/>
      <w:r>
        <w:rPr>
          <w:rFonts w:ascii="宋体" w:hAnsi="宋体" w:hint="eastAsia"/>
          <w:sz w:val="24"/>
        </w:rPr>
        <w:t>五、房地产估价机构</w:t>
      </w:r>
      <w:r>
        <w:rPr>
          <w:rFonts w:ascii="宋体" w:hAnsi="宋体"/>
          <w:sz w:val="24"/>
        </w:rPr>
        <w:t>营业执照</w:t>
      </w:r>
      <w:r>
        <w:rPr>
          <w:rFonts w:ascii="宋体" w:hAnsi="宋体" w:hint="eastAsia"/>
          <w:sz w:val="24"/>
        </w:rPr>
        <w:t>复印件、房地产估价机构资质证书复印件</w:t>
      </w:r>
      <w:bookmarkEnd w:id="146"/>
      <w:bookmarkEnd w:id="147"/>
    </w:p>
    <w:p w:rsidR="00DF6B48" w:rsidRDefault="006A33AA" w:rsidP="008B37E5">
      <w:pPr>
        <w:snapToGrid w:val="0"/>
        <w:spacing w:line="560" w:lineRule="exact"/>
        <w:ind w:leftChars="-171" w:left="-359" w:rightChars="-3" w:right="-6" w:firstLineChars="192" w:firstLine="461"/>
        <w:outlineLvl w:val="1"/>
        <w:rPr>
          <w:rFonts w:ascii="宋体" w:hAnsi="宋体"/>
          <w:sz w:val="24"/>
        </w:rPr>
      </w:pPr>
      <w:bookmarkStart w:id="149" w:name="_Toc88488369"/>
      <w:bookmarkStart w:id="150" w:name="_Toc6492"/>
      <w:bookmarkEnd w:id="148"/>
      <w:r>
        <w:rPr>
          <w:rFonts w:ascii="宋体" w:hAnsi="宋体" w:hint="eastAsia"/>
          <w:sz w:val="24"/>
        </w:rPr>
        <w:t>六、注册房地产</w:t>
      </w:r>
      <w:r>
        <w:rPr>
          <w:rFonts w:ascii="宋体" w:hAnsi="宋体"/>
          <w:sz w:val="24"/>
        </w:rPr>
        <w:t>估价师</w:t>
      </w:r>
      <w:r>
        <w:rPr>
          <w:rFonts w:ascii="宋体" w:hAnsi="宋体" w:hint="eastAsia"/>
          <w:sz w:val="24"/>
        </w:rPr>
        <w:t>注册证书复印件</w:t>
      </w:r>
      <w:bookmarkEnd w:id="149"/>
      <w:bookmarkEnd w:id="150"/>
    </w:p>
    <w:p w:rsidR="00DF6B48" w:rsidRDefault="00DF6B48">
      <w:pPr>
        <w:pStyle w:val="a8"/>
        <w:spacing w:line="540" w:lineRule="exact"/>
        <w:ind w:leftChars="-200" w:left="-420" w:rightChars="-200" w:right="-420" w:firstLineChars="200" w:firstLine="560"/>
        <w:rPr>
          <w:rFonts w:hAnsi="宋体"/>
        </w:rPr>
      </w:pPr>
    </w:p>
    <w:p w:rsidR="00DF6B48" w:rsidRDefault="00DF6B48">
      <w:pPr>
        <w:pStyle w:val="a8"/>
        <w:spacing w:line="540" w:lineRule="exact"/>
        <w:ind w:leftChars="-200" w:left="-420" w:rightChars="-200" w:right="-420" w:firstLineChars="200" w:firstLine="560"/>
        <w:rPr>
          <w:rFonts w:hAnsi="宋体"/>
        </w:rPr>
      </w:pPr>
    </w:p>
    <w:p w:rsidR="00DF6B48" w:rsidRDefault="006A33AA">
      <w:pPr>
        <w:snapToGrid w:val="0"/>
        <w:spacing w:line="520" w:lineRule="exact"/>
        <w:ind w:firstLineChars="1600" w:firstLine="3840"/>
        <w:rPr>
          <w:rFonts w:ascii="宋体" w:hAnsi="宋体"/>
          <w:sz w:val="24"/>
        </w:rPr>
      </w:pPr>
      <w:r>
        <w:rPr>
          <w:rFonts w:ascii="宋体" w:hAnsi="宋体" w:hint="eastAsia"/>
          <w:sz w:val="24"/>
        </w:rPr>
        <w:t>福建宁朗资产评估房地产估价有限公司（公章）</w:t>
      </w:r>
    </w:p>
    <w:p w:rsidR="00DF6B48" w:rsidRDefault="006A33AA">
      <w:pPr>
        <w:spacing w:line="520" w:lineRule="exact"/>
        <w:ind w:firstLineChars="2250" w:firstLine="5400"/>
        <w:rPr>
          <w:rFonts w:ascii="宋体" w:hAnsi="宋体"/>
          <w:sz w:val="24"/>
        </w:rPr>
      </w:pPr>
      <w:r>
        <w:rPr>
          <w:rFonts w:ascii="宋体" w:hAnsi="宋体" w:hint="eastAsia"/>
          <w:sz w:val="24"/>
        </w:rPr>
        <w:t>2022</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25</w:t>
      </w:r>
      <w:r>
        <w:rPr>
          <w:rFonts w:ascii="宋体" w:hAnsi="宋体" w:hint="eastAsia"/>
          <w:sz w:val="24"/>
        </w:rPr>
        <w:t>日</w:t>
      </w:r>
    </w:p>
    <w:p w:rsidR="00DF6B48" w:rsidRPr="008B37E5" w:rsidRDefault="00DF6B48" w:rsidP="008B37E5">
      <w:pPr>
        <w:rPr>
          <w:rFonts w:ascii="宋体" w:hAnsi="宋体"/>
          <w:sz w:val="24"/>
        </w:rPr>
      </w:pPr>
    </w:p>
    <w:p w:rsidR="00DF6B48" w:rsidRPr="008B37E5" w:rsidRDefault="00DF6B48" w:rsidP="008B37E5"/>
    <w:sectPr w:rsidR="00DF6B48" w:rsidRPr="008B37E5">
      <w:headerReference w:type="default" r:id="rId10"/>
      <w:footerReference w:type="even" r:id="rId11"/>
      <w:footerReference w:type="default" r:id="rId12"/>
      <w:headerReference w:type="first" r:id="rId13"/>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AA" w:rsidRDefault="006A33AA">
      <w:r>
        <w:separator/>
      </w:r>
    </w:p>
  </w:endnote>
  <w:endnote w:type="continuationSeparator" w:id="0">
    <w:p w:rsidR="006A33AA" w:rsidRDefault="006A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48" w:rsidRDefault="006A33AA">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F6B48" w:rsidRDefault="00DF6B4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48" w:rsidRDefault="006A33AA">
    <w:pPr>
      <w:pStyle w:val="ab"/>
      <w:framePr w:wrap="around" w:vAnchor="text" w:hAnchor="page" w:x="9841" w:y="54"/>
      <w:rPr>
        <w:rStyle w:val="af2"/>
      </w:rPr>
    </w:pPr>
    <w:r>
      <w:rPr>
        <w:rStyle w:val="af2"/>
      </w:rPr>
      <w:fldChar w:fldCharType="begin"/>
    </w:r>
    <w:r>
      <w:rPr>
        <w:rStyle w:val="af2"/>
      </w:rPr>
      <w:instrText xml:space="preserve">PAGE  </w:instrText>
    </w:r>
    <w:r>
      <w:rPr>
        <w:rStyle w:val="af2"/>
      </w:rPr>
      <w:fldChar w:fldCharType="separate"/>
    </w:r>
    <w:r w:rsidR="008B37E5">
      <w:rPr>
        <w:rStyle w:val="af2"/>
        <w:noProof/>
      </w:rPr>
      <w:t>1</w:t>
    </w:r>
    <w:r>
      <w:rPr>
        <w:rStyle w:val="af2"/>
      </w:rPr>
      <w:fldChar w:fldCharType="end"/>
    </w:r>
  </w:p>
  <w:p w:rsidR="00DF6B48" w:rsidRDefault="006A33AA">
    <w:pPr>
      <w:snapToGrid w:val="0"/>
      <w:spacing w:line="331" w:lineRule="auto"/>
      <w:ind w:right="357"/>
      <w:jc w:val="left"/>
      <w:rPr>
        <w:sz w:val="15"/>
        <w:szCs w:val="15"/>
      </w:rPr>
    </w:pPr>
    <w:r>
      <w:rPr>
        <w:rStyle w:val="af2"/>
        <w:rFonts w:hint="eastAsia"/>
        <w:sz w:val="15"/>
        <w:szCs w:val="15"/>
      </w:rPr>
      <w:t>公司地址：泉州市丰泽区</w:t>
    </w:r>
    <w:r>
      <w:rPr>
        <w:rStyle w:val="af2"/>
        <w:rFonts w:hint="eastAsia"/>
        <w:sz w:val="15"/>
        <w:szCs w:val="15"/>
      </w:rPr>
      <w:t>324</w:t>
    </w:r>
    <w:r>
      <w:rPr>
        <w:rStyle w:val="af2"/>
        <w:rFonts w:hint="eastAsia"/>
        <w:sz w:val="15"/>
        <w:szCs w:val="15"/>
      </w:rPr>
      <w:t>国道与城东交汇</w:t>
    </w:r>
    <w:proofErr w:type="gramStart"/>
    <w:r>
      <w:rPr>
        <w:rStyle w:val="af2"/>
        <w:rFonts w:hint="eastAsia"/>
        <w:sz w:val="15"/>
        <w:szCs w:val="15"/>
      </w:rPr>
      <w:t>处华大泰禾广场</w:t>
    </w:r>
    <w:proofErr w:type="gramEnd"/>
    <w:r>
      <w:rPr>
        <w:rStyle w:val="af2"/>
        <w:rFonts w:hint="eastAsia"/>
        <w:sz w:val="15"/>
        <w:szCs w:val="15"/>
      </w:rPr>
      <w:t>SOHO-2</w:t>
    </w:r>
    <w:r>
      <w:rPr>
        <w:rStyle w:val="af2"/>
        <w:rFonts w:hint="eastAsia"/>
        <w:sz w:val="15"/>
        <w:szCs w:val="15"/>
      </w:rPr>
      <w:t>座</w:t>
    </w:r>
    <w:r>
      <w:rPr>
        <w:rStyle w:val="af2"/>
        <w:rFonts w:hint="eastAsia"/>
        <w:sz w:val="15"/>
        <w:szCs w:val="15"/>
      </w:rPr>
      <w:t>2106</w:t>
    </w:r>
    <w:r>
      <w:rPr>
        <w:rStyle w:val="af2"/>
        <w:rFonts w:hint="eastAsia"/>
        <w:sz w:val="15"/>
        <w:szCs w:val="15"/>
      </w:rPr>
      <w:t>、</w:t>
    </w:r>
    <w:r>
      <w:rPr>
        <w:rStyle w:val="af2"/>
        <w:rFonts w:hint="eastAsia"/>
        <w:sz w:val="15"/>
        <w:szCs w:val="15"/>
      </w:rPr>
      <w:t>2107</w:t>
    </w:r>
    <w:r>
      <w:rPr>
        <w:rStyle w:val="af2"/>
        <w:rFonts w:hint="eastAsia"/>
        <w:sz w:val="15"/>
        <w:szCs w:val="15"/>
      </w:rPr>
      <w:t>、</w:t>
    </w:r>
    <w:r>
      <w:rPr>
        <w:rStyle w:val="af2"/>
        <w:rFonts w:hint="eastAsia"/>
        <w:sz w:val="15"/>
        <w:szCs w:val="15"/>
      </w:rPr>
      <w:t xml:space="preserve">2108     </w:t>
    </w:r>
    <w:r>
      <w:rPr>
        <w:rStyle w:val="af2"/>
        <w:rFonts w:hint="eastAsia"/>
        <w:sz w:val="15"/>
        <w:szCs w:val="15"/>
      </w:rPr>
      <w:t>邮编：</w:t>
    </w:r>
    <w:r>
      <w:rPr>
        <w:rStyle w:val="af2"/>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AA" w:rsidRDefault="006A33AA">
      <w:r>
        <w:separator/>
      </w:r>
    </w:p>
  </w:footnote>
  <w:footnote w:type="continuationSeparator" w:id="0">
    <w:p w:rsidR="006A33AA" w:rsidRDefault="006A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48" w:rsidRDefault="006A33AA">
    <w:pPr>
      <w:pStyle w:val="ac"/>
    </w:pPr>
    <w:r>
      <w:rPr>
        <w:rFonts w:hint="eastAsia"/>
      </w:rPr>
      <w:t>福建宁朗资产评估房地产估价有限公司</w:t>
    </w:r>
    <w:r>
      <w:rPr>
        <w:rFonts w:hint="eastAsia"/>
      </w:rPr>
      <w:t xml:space="preserve">      </w:t>
    </w:r>
    <w:r>
      <w:rPr>
        <w:rFonts w:hint="eastAsia"/>
      </w:rPr>
      <w:t>福建</w:t>
    </w:r>
    <w:proofErr w:type="gramStart"/>
    <w:r>
      <w:rPr>
        <w:rFonts w:hint="eastAsia"/>
      </w:rPr>
      <w:t>宁朗估字</w:t>
    </w:r>
    <w:proofErr w:type="gramEnd"/>
    <w:r>
      <w:rPr>
        <w:rFonts w:hint="eastAsia"/>
      </w:rPr>
      <w:t>[202</w:t>
    </w:r>
    <w:r>
      <w:t>2</w:t>
    </w:r>
    <w:r>
      <w:rPr>
        <w:rFonts w:hint="eastAsia"/>
      </w:rPr>
      <w:t>]</w:t>
    </w:r>
    <w:r>
      <w:rPr>
        <w:rFonts w:hint="eastAsia"/>
      </w:rPr>
      <w:t>第</w:t>
    </w:r>
    <w:r>
      <w:rPr>
        <w:rFonts w:hint="eastAsia"/>
      </w:rPr>
      <w:t>A043</w:t>
    </w:r>
    <w:r>
      <w:rPr>
        <w:rFonts w:hint="eastAsia"/>
      </w:rPr>
      <w:t>号</w:t>
    </w:r>
    <w:r>
      <w:rPr>
        <w:rFonts w:hint="eastAsia"/>
      </w:rPr>
      <w:t xml:space="preserve">      </w:t>
    </w:r>
    <w:r>
      <w:rPr>
        <w:rFonts w:ascii="宋体" w:hAnsi="宋体" w:hint="eastAsia"/>
      </w:rPr>
      <w:t>联系电话：</w:t>
    </w:r>
    <w:r>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48" w:rsidRDefault="00DF6B48">
    <w:pPr>
      <w:pStyle w:val="ac"/>
      <w:pBdr>
        <w:bottom w:val="none" w:sz="0" w:space="0" w:color="auto"/>
      </w:pBdr>
      <w:rPr>
        <w:color w:val="00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YTYzZDE4NTJkZmJhMGNjMzdlYzMwZjM3MTY4YzIifQ=="/>
  </w:docVars>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979"/>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57C"/>
    <w:rsid w:val="000116CC"/>
    <w:rsid w:val="0001174A"/>
    <w:rsid w:val="00011A36"/>
    <w:rsid w:val="00011AA4"/>
    <w:rsid w:val="000121B3"/>
    <w:rsid w:val="00012453"/>
    <w:rsid w:val="00012694"/>
    <w:rsid w:val="00012852"/>
    <w:rsid w:val="000129FE"/>
    <w:rsid w:val="00012F18"/>
    <w:rsid w:val="00013041"/>
    <w:rsid w:val="0001314A"/>
    <w:rsid w:val="00013162"/>
    <w:rsid w:val="00013210"/>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272"/>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D7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31"/>
    <w:rsid w:val="00024776"/>
    <w:rsid w:val="0002480E"/>
    <w:rsid w:val="0002488B"/>
    <w:rsid w:val="00024A01"/>
    <w:rsid w:val="00024D81"/>
    <w:rsid w:val="00024D94"/>
    <w:rsid w:val="00024F9A"/>
    <w:rsid w:val="000252D2"/>
    <w:rsid w:val="0002530D"/>
    <w:rsid w:val="000256BF"/>
    <w:rsid w:val="00025807"/>
    <w:rsid w:val="00025874"/>
    <w:rsid w:val="00025E68"/>
    <w:rsid w:val="00025EF3"/>
    <w:rsid w:val="0002603D"/>
    <w:rsid w:val="0002627A"/>
    <w:rsid w:val="0002627D"/>
    <w:rsid w:val="0002646E"/>
    <w:rsid w:val="000264DF"/>
    <w:rsid w:val="0002653B"/>
    <w:rsid w:val="000265E0"/>
    <w:rsid w:val="000266EF"/>
    <w:rsid w:val="00026899"/>
    <w:rsid w:val="0002691B"/>
    <w:rsid w:val="0002698A"/>
    <w:rsid w:val="00026BAB"/>
    <w:rsid w:val="00026DBC"/>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7E7"/>
    <w:rsid w:val="0003288C"/>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93A"/>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11"/>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9B"/>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850"/>
    <w:rsid w:val="0005185B"/>
    <w:rsid w:val="0005187D"/>
    <w:rsid w:val="00051903"/>
    <w:rsid w:val="00051B1B"/>
    <w:rsid w:val="00051B69"/>
    <w:rsid w:val="00051DAF"/>
    <w:rsid w:val="00051E58"/>
    <w:rsid w:val="0005201A"/>
    <w:rsid w:val="00052208"/>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DB7"/>
    <w:rsid w:val="00053E73"/>
    <w:rsid w:val="00053E9B"/>
    <w:rsid w:val="00053EE6"/>
    <w:rsid w:val="00054056"/>
    <w:rsid w:val="000540F0"/>
    <w:rsid w:val="0005426D"/>
    <w:rsid w:val="00054275"/>
    <w:rsid w:val="0005452D"/>
    <w:rsid w:val="00054B3B"/>
    <w:rsid w:val="00054E14"/>
    <w:rsid w:val="000550CF"/>
    <w:rsid w:val="0005511A"/>
    <w:rsid w:val="00055240"/>
    <w:rsid w:val="00055387"/>
    <w:rsid w:val="0005545D"/>
    <w:rsid w:val="00055525"/>
    <w:rsid w:val="00055626"/>
    <w:rsid w:val="00055778"/>
    <w:rsid w:val="00055991"/>
    <w:rsid w:val="00055F2F"/>
    <w:rsid w:val="00056000"/>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57FEF"/>
    <w:rsid w:val="00060017"/>
    <w:rsid w:val="00060086"/>
    <w:rsid w:val="000600A9"/>
    <w:rsid w:val="00060113"/>
    <w:rsid w:val="000605E1"/>
    <w:rsid w:val="0006078F"/>
    <w:rsid w:val="000607FE"/>
    <w:rsid w:val="00060848"/>
    <w:rsid w:val="000608F8"/>
    <w:rsid w:val="00060953"/>
    <w:rsid w:val="000609CB"/>
    <w:rsid w:val="00060A98"/>
    <w:rsid w:val="00060F52"/>
    <w:rsid w:val="00061097"/>
    <w:rsid w:val="00061124"/>
    <w:rsid w:val="000611F0"/>
    <w:rsid w:val="00061328"/>
    <w:rsid w:val="0006148A"/>
    <w:rsid w:val="000617B1"/>
    <w:rsid w:val="00061980"/>
    <w:rsid w:val="00061B86"/>
    <w:rsid w:val="0006206C"/>
    <w:rsid w:val="00062276"/>
    <w:rsid w:val="000626AC"/>
    <w:rsid w:val="000626F5"/>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3F28"/>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2B5"/>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697"/>
    <w:rsid w:val="00083905"/>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48"/>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2E6E"/>
    <w:rsid w:val="000931CC"/>
    <w:rsid w:val="000932C5"/>
    <w:rsid w:val="000933E4"/>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60AC"/>
    <w:rsid w:val="000961D3"/>
    <w:rsid w:val="00096425"/>
    <w:rsid w:val="000966B4"/>
    <w:rsid w:val="00096A80"/>
    <w:rsid w:val="00096B68"/>
    <w:rsid w:val="00096BDC"/>
    <w:rsid w:val="00096D34"/>
    <w:rsid w:val="00096D93"/>
    <w:rsid w:val="00096D9E"/>
    <w:rsid w:val="00096E73"/>
    <w:rsid w:val="00097095"/>
    <w:rsid w:val="000970A3"/>
    <w:rsid w:val="0009732F"/>
    <w:rsid w:val="0009757A"/>
    <w:rsid w:val="00097860"/>
    <w:rsid w:val="00097AF4"/>
    <w:rsid w:val="00097BE9"/>
    <w:rsid w:val="000A00F0"/>
    <w:rsid w:val="000A021C"/>
    <w:rsid w:val="000A027B"/>
    <w:rsid w:val="000A0344"/>
    <w:rsid w:val="000A0364"/>
    <w:rsid w:val="000A05B0"/>
    <w:rsid w:val="000A0631"/>
    <w:rsid w:val="000A0672"/>
    <w:rsid w:val="000A0674"/>
    <w:rsid w:val="000A0809"/>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4D"/>
    <w:rsid w:val="000B3E73"/>
    <w:rsid w:val="000B3FA1"/>
    <w:rsid w:val="000B424C"/>
    <w:rsid w:val="000B436B"/>
    <w:rsid w:val="000B443B"/>
    <w:rsid w:val="000B48C8"/>
    <w:rsid w:val="000B491E"/>
    <w:rsid w:val="000B49B7"/>
    <w:rsid w:val="000B4AED"/>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B1F"/>
    <w:rsid w:val="000C3B44"/>
    <w:rsid w:val="000C3F9A"/>
    <w:rsid w:val="000C42D7"/>
    <w:rsid w:val="000C432A"/>
    <w:rsid w:val="000C494D"/>
    <w:rsid w:val="000C4B71"/>
    <w:rsid w:val="000C4C92"/>
    <w:rsid w:val="000C4D66"/>
    <w:rsid w:val="000C53F1"/>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691"/>
    <w:rsid w:val="000D16CF"/>
    <w:rsid w:val="000D1720"/>
    <w:rsid w:val="000D18EA"/>
    <w:rsid w:val="000D190C"/>
    <w:rsid w:val="000D196E"/>
    <w:rsid w:val="000D19C1"/>
    <w:rsid w:val="000D1A15"/>
    <w:rsid w:val="000D1B22"/>
    <w:rsid w:val="000D1C27"/>
    <w:rsid w:val="000D1CEF"/>
    <w:rsid w:val="000D1F83"/>
    <w:rsid w:val="000D2046"/>
    <w:rsid w:val="000D20A9"/>
    <w:rsid w:val="000D223D"/>
    <w:rsid w:val="000D22F8"/>
    <w:rsid w:val="000D232A"/>
    <w:rsid w:val="000D2480"/>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990"/>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75B"/>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1E"/>
    <w:rsid w:val="000E76B4"/>
    <w:rsid w:val="000E7720"/>
    <w:rsid w:val="000E798A"/>
    <w:rsid w:val="000E7B39"/>
    <w:rsid w:val="000E7DB9"/>
    <w:rsid w:val="000E7F01"/>
    <w:rsid w:val="000F01DE"/>
    <w:rsid w:val="000F0459"/>
    <w:rsid w:val="000F04E9"/>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4104"/>
    <w:rsid w:val="000F411A"/>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94"/>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26F"/>
    <w:rsid w:val="00103418"/>
    <w:rsid w:val="0010359E"/>
    <w:rsid w:val="00103818"/>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26"/>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0E21"/>
    <w:rsid w:val="001111FB"/>
    <w:rsid w:val="00111353"/>
    <w:rsid w:val="001113B8"/>
    <w:rsid w:val="001114D4"/>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BA5"/>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A7E"/>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9DE"/>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75B"/>
    <w:rsid w:val="0013381D"/>
    <w:rsid w:val="00133974"/>
    <w:rsid w:val="00133A93"/>
    <w:rsid w:val="00133F02"/>
    <w:rsid w:val="00134354"/>
    <w:rsid w:val="00134689"/>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883"/>
    <w:rsid w:val="00140947"/>
    <w:rsid w:val="00140B7E"/>
    <w:rsid w:val="00140E2E"/>
    <w:rsid w:val="00140FEF"/>
    <w:rsid w:val="001410E0"/>
    <w:rsid w:val="00141103"/>
    <w:rsid w:val="00141299"/>
    <w:rsid w:val="00141394"/>
    <w:rsid w:val="00141711"/>
    <w:rsid w:val="0014174B"/>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ADC"/>
    <w:rsid w:val="00145DFA"/>
    <w:rsid w:val="00145ED7"/>
    <w:rsid w:val="00145FB1"/>
    <w:rsid w:val="00145FC7"/>
    <w:rsid w:val="00146015"/>
    <w:rsid w:val="0014601B"/>
    <w:rsid w:val="0014611F"/>
    <w:rsid w:val="001462C4"/>
    <w:rsid w:val="001462FF"/>
    <w:rsid w:val="00146316"/>
    <w:rsid w:val="0014634A"/>
    <w:rsid w:val="00146358"/>
    <w:rsid w:val="00146648"/>
    <w:rsid w:val="0014672D"/>
    <w:rsid w:val="00146823"/>
    <w:rsid w:val="0014693F"/>
    <w:rsid w:val="00146A41"/>
    <w:rsid w:val="00146A92"/>
    <w:rsid w:val="00146A9B"/>
    <w:rsid w:val="00146B08"/>
    <w:rsid w:val="00146CFD"/>
    <w:rsid w:val="00146D50"/>
    <w:rsid w:val="00146D8A"/>
    <w:rsid w:val="00146DD5"/>
    <w:rsid w:val="00146EA2"/>
    <w:rsid w:val="00146EC0"/>
    <w:rsid w:val="0014732B"/>
    <w:rsid w:val="001473C2"/>
    <w:rsid w:val="00147498"/>
    <w:rsid w:val="00147720"/>
    <w:rsid w:val="00147CBB"/>
    <w:rsid w:val="00147E68"/>
    <w:rsid w:val="00147F42"/>
    <w:rsid w:val="00147FB6"/>
    <w:rsid w:val="00150132"/>
    <w:rsid w:val="00150346"/>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792"/>
    <w:rsid w:val="00152982"/>
    <w:rsid w:val="00152A0F"/>
    <w:rsid w:val="00152AF9"/>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6FF"/>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471"/>
    <w:rsid w:val="0015763B"/>
    <w:rsid w:val="001576BD"/>
    <w:rsid w:val="0015786B"/>
    <w:rsid w:val="00157958"/>
    <w:rsid w:val="001579B3"/>
    <w:rsid w:val="001579FB"/>
    <w:rsid w:val="00157D8A"/>
    <w:rsid w:val="00160292"/>
    <w:rsid w:val="00160392"/>
    <w:rsid w:val="001603F0"/>
    <w:rsid w:val="00160576"/>
    <w:rsid w:val="0016065A"/>
    <w:rsid w:val="00160707"/>
    <w:rsid w:val="00160883"/>
    <w:rsid w:val="00160AD1"/>
    <w:rsid w:val="00160D51"/>
    <w:rsid w:val="00161309"/>
    <w:rsid w:val="001613CF"/>
    <w:rsid w:val="001613E0"/>
    <w:rsid w:val="00161589"/>
    <w:rsid w:val="00161847"/>
    <w:rsid w:val="00161853"/>
    <w:rsid w:val="00161962"/>
    <w:rsid w:val="00161B77"/>
    <w:rsid w:val="00161F5E"/>
    <w:rsid w:val="00162031"/>
    <w:rsid w:val="00162103"/>
    <w:rsid w:val="00162311"/>
    <w:rsid w:val="0016250E"/>
    <w:rsid w:val="0016255A"/>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4E98"/>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822"/>
    <w:rsid w:val="00171BC8"/>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5F78"/>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D36"/>
    <w:rsid w:val="00180F03"/>
    <w:rsid w:val="001812F3"/>
    <w:rsid w:val="0018157F"/>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043"/>
    <w:rsid w:val="001A415E"/>
    <w:rsid w:val="001A41FA"/>
    <w:rsid w:val="001A42FE"/>
    <w:rsid w:val="001A433A"/>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7AA"/>
    <w:rsid w:val="001A5830"/>
    <w:rsid w:val="001A58E4"/>
    <w:rsid w:val="001A5A07"/>
    <w:rsid w:val="001A5E26"/>
    <w:rsid w:val="001A60D7"/>
    <w:rsid w:val="001A647E"/>
    <w:rsid w:val="001A6627"/>
    <w:rsid w:val="001A67FF"/>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B59"/>
    <w:rsid w:val="001B5553"/>
    <w:rsid w:val="001B567A"/>
    <w:rsid w:val="001B58AA"/>
    <w:rsid w:val="001B58CE"/>
    <w:rsid w:val="001B5FA0"/>
    <w:rsid w:val="001B625D"/>
    <w:rsid w:val="001B64F5"/>
    <w:rsid w:val="001B6548"/>
    <w:rsid w:val="001B6586"/>
    <w:rsid w:val="001B6670"/>
    <w:rsid w:val="001B66A5"/>
    <w:rsid w:val="001B672B"/>
    <w:rsid w:val="001B6C49"/>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4CD"/>
    <w:rsid w:val="001C4511"/>
    <w:rsid w:val="001C4595"/>
    <w:rsid w:val="001C45A1"/>
    <w:rsid w:val="001C4AB6"/>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5D1"/>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53"/>
    <w:rsid w:val="001D6D98"/>
    <w:rsid w:val="001D6D9D"/>
    <w:rsid w:val="001D6EA8"/>
    <w:rsid w:val="001D6F64"/>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2A0"/>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73"/>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6BE"/>
    <w:rsid w:val="00223796"/>
    <w:rsid w:val="0022388E"/>
    <w:rsid w:val="00223944"/>
    <w:rsid w:val="00223A20"/>
    <w:rsid w:val="00223A31"/>
    <w:rsid w:val="00223A60"/>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54E"/>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5D93"/>
    <w:rsid w:val="002362CF"/>
    <w:rsid w:val="00236338"/>
    <w:rsid w:val="0023638F"/>
    <w:rsid w:val="0023648F"/>
    <w:rsid w:val="0023696E"/>
    <w:rsid w:val="00236E66"/>
    <w:rsid w:val="00236F94"/>
    <w:rsid w:val="002371F8"/>
    <w:rsid w:val="002373A2"/>
    <w:rsid w:val="002375F1"/>
    <w:rsid w:val="00237937"/>
    <w:rsid w:val="00237968"/>
    <w:rsid w:val="00237A4D"/>
    <w:rsid w:val="00237AED"/>
    <w:rsid w:val="00237E74"/>
    <w:rsid w:val="00240119"/>
    <w:rsid w:val="00240458"/>
    <w:rsid w:val="002404A0"/>
    <w:rsid w:val="0024071C"/>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1"/>
    <w:rsid w:val="002448ED"/>
    <w:rsid w:val="00245045"/>
    <w:rsid w:val="00245319"/>
    <w:rsid w:val="0024546A"/>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438"/>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D5D"/>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04"/>
    <w:rsid w:val="00273245"/>
    <w:rsid w:val="002732C6"/>
    <w:rsid w:val="002733CC"/>
    <w:rsid w:val="00273504"/>
    <w:rsid w:val="00273726"/>
    <w:rsid w:val="002738F0"/>
    <w:rsid w:val="00273929"/>
    <w:rsid w:val="00273C74"/>
    <w:rsid w:val="00273F0D"/>
    <w:rsid w:val="00273FDA"/>
    <w:rsid w:val="002741D6"/>
    <w:rsid w:val="002743D9"/>
    <w:rsid w:val="00274506"/>
    <w:rsid w:val="002745DF"/>
    <w:rsid w:val="0027466C"/>
    <w:rsid w:val="0027496B"/>
    <w:rsid w:val="00274A53"/>
    <w:rsid w:val="00274C91"/>
    <w:rsid w:val="00274CA2"/>
    <w:rsid w:val="00274D8B"/>
    <w:rsid w:val="00274F2E"/>
    <w:rsid w:val="00274F3A"/>
    <w:rsid w:val="0027505C"/>
    <w:rsid w:val="0027510C"/>
    <w:rsid w:val="0027511B"/>
    <w:rsid w:val="00275325"/>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604"/>
    <w:rsid w:val="002A081D"/>
    <w:rsid w:val="002A094C"/>
    <w:rsid w:val="002A099F"/>
    <w:rsid w:val="002A0BDF"/>
    <w:rsid w:val="002A0CF4"/>
    <w:rsid w:val="002A0DDE"/>
    <w:rsid w:val="002A0EC4"/>
    <w:rsid w:val="002A0F33"/>
    <w:rsid w:val="002A1052"/>
    <w:rsid w:val="002A1230"/>
    <w:rsid w:val="002A1244"/>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6F"/>
    <w:rsid w:val="002A75F5"/>
    <w:rsid w:val="002A7672"/>
    <w:rsid w:val="002A782C"/>
    <w:rsid w:val="002A79AA"/>
    <w:rsid w:val="002A79B7"/>
    <w:rsid w:val="002A7A19"/>
    <w:rsid w:val="002A7A5A"/>
    <w:rsid w:val="002A7C70"/>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1DB5"/>
    <w:rsid w:val="002B291D"/>
    <w:rsid w:val="002B29EC"/>
    <w:rsid w:val="002B29FB"/>
    <w:rsid w:val="002B2AF6"/>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6D"/>
    <w:rsid w:val="002B6EBB"/>
    <w:rsid w:val="002B6EE3"/>
    <w:rsid w:val="002B6FBB"/>
    <w:rsid w:val="002B719E"/>
    <w:rsid w:val="002B73A9"/>
    <w:rsid w:val="002B7860"/>
    <w:rsid w:val="002B7963"/>
    <w:rsid w:val="002B7BCC"/>
    <w:rsid w:val="002B7BF2"/>
    <w:rsid w:val="002B7CD1"/>
    <w:rsid w:val="002B7D4A"/>
    <w:rsid w:val="002C006B"/>
    <w:rsid w:val="002C0240"/>
    <w:rsid w:val="002C02C8"/>
    <w:rsid w:val="002C0447"/>
    <w:rsid w:val="002C0448"/>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1A7"/>
    <w:rsid w:val="002C21F6"/>
    <w:rsid w:val="002C21FD"/>
    <w:rsid w:val="002C2265"/>
    <w:rsid w:val="002C23C1"/>
    <w:rsid w:val="002C251E"/>
    <w:rsid w:val="002C255B"/>
    <w:rsid w:val="002C26FA"/>
    <w:rsid w:val="002C2755"/>
    <w:rsid w:val="002C277A"/>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6F4"/>
    <w:rsid w:val="002D0825"/>
    <w:rsid w:val="002D08F7"/>
    <w:rsid w:val="002D0BC8"/>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18"/>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FE"/>
    <w:rsid w:val="002F0CA6"/>
    <w:rsid w:val="002F1075"/>
    <w:rsid w:val="002F13B9"/>
    <w:rsid w:val="002F1805"/>
    <w:rsid w:val="002F1A5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775"/>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15"/>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29E"/>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42A"/>
    <w:rsid w:val="0031165C"/>
    <w:rsid w:val="0031178A"/>
    <w:rsid w:val="003117A0"/>
    <w:rsid w:val="003117B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B32"/>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5C"/>
    <w:rsid w:val="00322285"/>
    <w:rsid w:val="0032228A"/>
    <w:rsid w:val="00322582"/>
    <w:rsid w:val="00322587"/>
    <w:rsid w:val="00322B0B"/>
    <w:rsid w:val="003230EA"/>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886"/>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88"/>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5D0"/>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B8B"/>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412"/>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6FE"/>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EC9"/>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0BC"/>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4FB5"/>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541"/>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B6E"/>
    <w:rsid w:val="00384C37"/>
    <w:rsid w:val="00384EF7"/>
    <w:rsid w:val="00384F1D"/>
    <w:rsid w:val="00384F50"/>
    <w:rsid w:val="00384FCE"/>
    <w:rsid w:val="00385143"/>
    <w:rsid w:val="00385231"/>
    <w:rsid w:val="0038530B"/>
    <w:rsid w:val="00385615"/>
    <w:rsid w:val="003856AB"/>
    <w:rsid w:val="003856B9"/>
    <w:rsid w:val="0038599A"/>
    <w:rsid w:val="00385B17"/>
    <w:rsid w:val="00385B3A"/>
    <w:rsid w:val="00385E7D"/>
    <w:rsid w:val="00385EAE"/>
    <w:rsid w:val="00386236"/>
    <w:rsid w:val="003862AE"/>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1DE"/>
    <w:rsid w:val="00393313"/>
    <w:rsid w:val="00393314"/>
    <w:rsid w:val="0039387F"/>
    <w:rsid w:val="003938A6"/>
    <w:rsid w:val="0039392E"/>
    <w:rsid w:val="00393A63"/>
    <w:rsid w:val="00393ECE"/>
    <w:rsid w:val="00393F74"/>
    <w:rsid w:val="0039406F"/>
    <w:rsid w:val="003941C7"/>
    <w:rsid w:val="003942D8"/>
    <w:rsid w:val="00394325"/>
    <w:rsid w:val="00394450"/>
    <w:rsid w:val="003944F7"/>
    <w:rsid w:val="00394533"/>
    <w:rsid w:val="003945B4"/>
    <w:rsid w:val="003945B7"/>
    <w:rsid w:val="00394810"/>
    <w:rsid w:val="00394A90"/>
    <w:rsid w:val="00394B3A"/>
    <w:rsid w:val="00394C5B"/>
    <w:rsid w:val="00394C70"/>
    <w:rsid w:val="00394CB2"/>
    <w:rsid w:val="00394E1D"/>
    <w:rsid w:val="00394EF9"/>
    <w:rsid w:val="003950E7"/>
    <w:rsid w:val="00395630"/>
    <w:rsid w:val="003956B5"/>
    <w:rsid w:val="0039571A"/>
    <w:rsid w:val="003958EB"/>
    <w:rsid w:val="00395A57"/>
    <w:rsid w:val="00395B33"/>
    <w:rsid w:val="00395C20"/>
    <w:rsid w:val="00395C22"/>
    <w:rsid w:val="00395C65"/>
    <w:rsid w:val="00395CE6"/>
    <w:rsid w:val="00395DD5"/>
    <w:rsid w:val="00395EE9"/>
    <w:rsid w:val="00395F1E"/>
    <w:rsid w:val="0039601E"/>
    <w:rsid w:val="00396044"/>
    <w:rsid w:val="00396150"/>
    <w:rsid w:val="00396229"/>
    <w:rsid w:val="003964A9"/>
    <w:rsid w:val="00396674"/>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C8B"/>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20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376"/>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B88"/>
    <w:rsid w:val="003B7CBB"/>
    <w:rsid w:val="003B7E26"/>
    <w:rsid w:val="003C02A5"/>
    <w:rsid w:val="003C03AE"/>
    <w:rsid w:val="003C03E3"/>
    <w:rsid w:val="003C0478"/>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2C3"/>
    <w:rsid w:val="003C5331"/>
    <w:rsid w:val="003C54CD"/>
    <w:rsid w:val="003C54DA"/>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BDA"/>
    <w:rsid w:val="003D2C59"/>
    <w:rsid w:val="003D2DF9"/>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DF8"/>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3C1"/>
    <w:rsid w:val="003E0B6D"/>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A01"/>
    <w:rsid w:val="003E1B21"/>
    <w:rsid w:val="003E1BBE"/>
    <w:rsid w:val="003E1DA0"/>
    <w:rsid w:val="003E1EB2"/>
    <w:rsid w:val="003E1EC6"/>
    <w:rsid w:val="003E2285"/>
    <w:rsid w:val="003E233E"/>
    <w:rsid w:val="003E235A"/>
    <w:rsid w:val="003E2471"/>
    <w:rsid w:val="003E24E2"/>
    <w:rsid w:val="003E2555"/>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5D"/>
    <w:rsid w:val="003F60D7"/>
    <w:rsid w:val="003F627B"/>
    <w:rsid w:val="003F62E9"/>
    <w:rsid w:val="003F6332"/>
    <w:rsid w:val="003F6443"/>
    <w:rsid w:val="003F66A8"/>
    <w:rsid w:val="003F66F2"/>
    <w:rsid w:val="003F6BB1"/>
    <w:rsid w:val="003F7017"/>
    <w:rsid w:val="003F71DA"/>
    <w:rsid w:val="003F7243"/>
    <w:rsid w:val="003F7303"/>
    <w:rsid w:val="003F7454"/>
    <w:rsid w:val="003F74FE"/>
    <w:rsid w:val="003F7840"/>
    <w:rsid w:val="003F7D69"/>
    <w:rsid w:val="003F7DEF"/>
    <w:rsid w:val="003F7E1E"/>
    <w:rsid w:val="003F7ED5"/>
    <w:rsid w:val="004001F5"/>
    <w:rsid w:val="004002CF"/>
    <w:rsid w:val="0040030A"/>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3F5A"/>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6B9"/>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BFF"/>
    <w:rsid w:val="00413DF4"/>
    <w:rsid w:val="00413E11"/>
    <w:rsid w:val="00413E9D"/>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01"/>
    <w:rsid w:val="00415F59"/>
    <w:rsid w:val="00415F74"/>
    <w:rsid w:val="00416270"/>
    <w:rsid w:val="00416503"/>
    <w:rsid w:val="00416551"/>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39"/>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AF"/>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BC8"/>
    <w:rsid w:val="00441BD9"/>
    <w:rsid w:val="00441C39"/>
    <w:rsid w:val="00441CE7"/>
    <w:rsid w:val="00442013"/>
    <w:rsid w:val="004421C1"/>
    <w:rsid w:val="004421E6"/>
    <w:rsid w:val="004422A5"/>
    <w:rsid w:val="004424B9"/>
    <w:rsid w:val="00442511"/>
    <w:rsid w:val="00442525"/>
    <w:rsid w:val="00442527"/>
    <w:rsid w:val="004425AF"/>
    <w:rsid w:val="004427F6"/>
    <w:rsid w:val="004428B7"/>
    <w:rsid w:val="00442980"/>
    <w:rsid w:val="00442B14"/>
    <w:rsid w:val="00442BF2"/>
    <w:rsid w:val="00442C71"/>
    <w:rsid w:val="00442CAE"/>
    <w:rsid w:val="00442CF3"/>
    <w:rsid w:val="00442F57"/>
    <w:rsid w:val="00443045"/>
    <w:rsid w:val="0044329B"/>
    <w:rsid w:val="004432EF"/>
    <w:rsid w:val="004432F3"/>
    <w:rsid w:val="0044352D"/>
    <w:rsid w:val="00443677"/>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4B"/>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DA"/>
    <w:rsid w:val="004539F2"/>
    <w:rsid w:val="00453B78"/>
    <w:rsid w:val="00453E6F"/>
    <w:rsid w:val="00454113"/>
    <w:rsid w:val="00454177"/>
    <w:rsid w:val="004542CB"/>
    <w:rsid w:val="00454535"/>
    <w:rsid w:val="0045461F"/>
    <w:rsid w:val="00454751"/>
    <w:rsid w:val="00454826"/>
    <w:rsid w:val="0045482C"/>
    <w:rsid w:val="00454953"/>
    <w:rsid w:val="00454B53"/>
    <w:rsid w:val="00454F87"/>
    <w:rsid w:val="0045516B"/>
    <w:rsid w:val="00455176"/>
    <w:rsid w:val="00455215"/>
    <w:rsid w:val="00455608"/>
    <w:rsid w:val="00455611"/>
    <w:rsid w:val="00455827"/>
    <w:rsid w:val="00455A19"/>
    <w:rsid w:val="00455A1D"/>
    <w:rsid w:val="00455BED"/>
    <w:rsid w:val="00455C26"/>
    <w:rsid w:val="00455E00"/>
    <w:rsid w:val="00455E4D"/>
    <w:rsid w:val="00455E99"/>
    <w:rsid w:val="0045608B"/>
    <w:rsid w:val="00456095"/>
    <w:rsid w:val="004560B4"/>
    <w:rsid w:val="004564B0"/>
    <w:rsid w:val="00456537"/>
    <w:rsid w:val="004566EA"/>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0F7E"/>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0E26"/>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F5"/>
    <w:rsid w:val="00493F51"/>
    <w:rsid w:val="00493FC8"/>
    <w:rsid w:val="00494075"/>
    <w:rsid w:val="00494297"/>
    <w:rsid w:val="004942A2"/>
    <w:rsid w:val="004949A9"/>
    <w:rsid w:val="00494A24"/>
    <w:rsid w:val="00494AD4"/>
    <w:rsid w:val="00494B52"/>
    <w:rsid w:val="00494B74"/>
    <w:rsid w:val="00494C5C"/>
    <w:rsid w:val="00494D10"/>
    <w:rsid w:val="00494E95"/>
    <w:rsid w:val="00494F2B"/>
    <w:rsid w:val="00494FCD"/>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A7C"/>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3"/>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4"/>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A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7F"/>
    <w:rsid w:val="004D7D4F"/>
    <w:rsid w:val="004E00A3"/>
    <w:rsid w:val="004E00FC"/>
    <w:rsid w:val="004E01D2"/>
    <w:rsid w:val="004E028E"/>
    <w:rsid w:val="004E0343"/>
    <w:rsid w:val="004E04F2"/>
    <w:rsid w:val="004E0573"/>
    <w:rsid w:val="004E061F"/>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C78"/>
    <w:rsid w:val="004E5E7E"/>
    <w:rsid w:val="004E5FD8"/>
    <w:rsid w:val="004E60A0"/>
    <w:rsid w:val="004E6119"/>
    <w:rsid w:val="004E6149"/>
    <w:rsid w:val="004E657C"/>
    <w:rsid w:val="004E660C"/>
    <w:rsid w:val="004E66C4"/>
    <w:rsid w:val="004E670F"/>
    <w:rsid w:val="004E6767"/>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13"/>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C99"/>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513"/>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15F"/>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17"/>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4C1"/>
    <w:rsid w:val="0055068C"/>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1FF"/>
    <w:rsid w:val="00560240"/>
    <w:rsid w:val="0056027E"/>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1E1"/>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47"/>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DB1"/>
    <w:rsid w:val="00567F0D"/>
    <w:rsid w:val="005700FF"/>
    <w:rsid w:val="00570579"/>
    <w:rsid w:val="005706A9"/>
    <w:rsid w:val="00570853"/>
    <w:rsid w:val="00570983"/>
    <w:rsid w:val="00570C6B"/>
    <w:rsid w:val="00570E19"/>
    <w:rsid w:val="00570F1F"/>
    <w:rsid w:val="00570FA1"/>
    <w:rsid w:val="0057120D"/>
    <w:rsid w:val="005712A8"/>
    <w:rsid w:val="005712BC"/>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AE2"/>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BAB"/>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4FFC"/>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1FF"/>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AC"/>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A7FBC"/>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7B7"/>
    <w:rsid w:val="005C0872"/>
    <w:rsid w:val="005C0A89"/>
    <w:rsid w:val="005C0AF3"/>
    <w:rsid w:val="005C0BBB"/>
    <w:rsid w:val="005C0F2E"/>
    <w:rsid w:val="005C11A7"/>
    <w:rsid w:val="005C135B"/>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AF9"/>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17F"/>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5F75"/>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5E2"/>
    <w:rsid w:val="005E0608"/>
    <w:rsid w:val="005E06D2"/>
    <w:rsid w:val="005E06F8"/>
    <w:rsid w:val="005E076E"/>
    <w:rsid w:val="005E0864"/>
    <w:rsid w:val="005E0AB1"/>
    <w:rsid w:val="005E0C5D"/>
    <w:rsid w:val="005E0C88"/>
    <w:rsid w:val="005E0CC6"/>
    <w:rsid w:val="005E0D5B"/>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CCE"/>
    <w:rsid w:val="005E4D4A"/>
    <w:rsid w:val="005E4F50"/>
    <w:rsid w:val="005E50B4"/>
    <w:rsid w:val="005E510D"/>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E1B"/>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5F7"/>
    <w:rsid w:val="005F4720"/>
    <w:rsid w:val="005F4790"/>
    <w:rsid w:val="005F4838"/>
    <w:rsid w:val="005F499C"/>
    <w:rsid w:val="005F4BB3"/>
    <w:rsid w:val="005F4CD6"/>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A6C"/>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32E"/>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2C6"/>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D04"/>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7D4"/>
    <w:rsid w:val="00617B4A"/>
    <w:rsid w:val="00617FE0"/>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DE0"/>
    <w:rsid w:val="00621EE9"/>
    <w:rsid w:val="00621F98"/>
    <w:rsid w:val="0062230A"/>
    <w:rsid w:val="00622553"/>
    <w:rsid w:val="00622627"/>
    <w:rsid w:val="006227B3"/>
    <w:rsid w:val="0062294E"/>
    <w:rsid w:val="0062294F"/>
    <w:rsid w:val="00622D51"/>
    <w:rsid w:val="00622FF5"/>
    <w:rsid w:val="006230D5"/>
    <w:rsid w:val="00623108"/>
    <w:rsid w:val="00623223"/>
    <w:rsid w:val="00623230"/>
    <w:rsid w:val="006232C4"/>
    <w:rsid w:val="00623373"/>
    <w:rsid w:val="006233E9"/>
    <w:rsid w:val="006236CB"/>
    <w:rsid w:val="0062397D"/>
    <w:rsid w:val="00623B57"/>
    <w:rsid w:val="00623F35"/>
    <w:rsid w:val="00623F4F"/>
    <w:rsid w:val="0062400B"/>
    <w:rsid w:val="006240B6"/>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6FEA"/>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6"/>
    <w:rsid w:val="00634367"/>
    <w:rsid w:val="0063441D"/>
    <w:rsid w:val="006344FC"/>
    <w:rsid w:val="0063450C"/>
    <w:rsid w:val="00634A8F"/>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14A"/>
    <w:rsid w:val="00650201"/>
    <w:rsid w:val="006502EB"/>
    <w:rsid w:val="00650767"/>
    <w:rsid w:val="00650AEF"/>
    <w:rsid w:val="00650F0C"/>
    <w:rsid w:val="0065111F"/>
    <w:rsid w:val="00651173"/>
    <w:rsid w:val="006511AB"/>
    <w:rsid w:val="006513DF"/>
    <w:rsid w:val="006514A4"/>
    <w:rsid w:val="00651612"/>
    <w:rsid w:val="006518BF"/>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31"/>
    <w:rsid w:val="00653152"/>
    <w:rsid w:val="006532B5"/>
    <w:rsid w:val="0065333C"/>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2EE"/>
    <w:rsid w:val="006554B1"/>
    <w:rsid w:val="0065559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96B"/>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1FD"/>
    <w:rsid w:val="00671315"/>
    <w:rsid w:val="00671360"/>
    <w:rsid w:val="006715E3"/>
    <w:rsid w:val="00671681"/>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7C"/>
    <w:rsid w:val="006754D7"/>
    <w:rsid w:val="00675634"/>
    <w:rsid w:val="0067570D"/>
    <w:rsid w:val="0067576F"/>
    <w:rsid w:val="00675899"/>
    <w:rsid w:val="006758B7"/>
    <w:rsid w:val="00675A9F"/>
    <w:rsid w:val="00675C41"/>
    <w:rsid w:val="00675E28"/>
    <w:rsid w:val="00675FF4"/>
    <w:rsid w:val="00676330"/>
    <w:rsid w:val="0067668B"/>
    <w:rsid w:val="00676717"/>
    <w:rsid w:val="00676787"/>
    <w:rsid w:val="00676878"/>
    <w:rsid w:val="006768F7"/>
    <w:rsid w:val="00676A60"/>
    <w:rsid w:val="00676AB5"/>
    <w:rsid w:val="00676D4E"/>
    <w:rsid w:val="00676D61"/>
    <w:rsid w:val="00676DE8"/>
    <w:rsid w:val="00676F9A"/>
    <w:rsid w:val="00677706"/>
    <w:rsid w:val="0067795D"/>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2B"/>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05"/>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7CF"/>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3AA"/>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AD9"/>
    <w:rsid w:val="006C1CA6"/>
    <w:rsid w:val="006C1EB5"/>
    <w:rsid w:val="006C1FBE"/>
    <w:rsid w:val="006C1FF2"/>
    <w:rsid w:val="006C213F"/>
    <w:rsid w:val="006C217E"/>
    <w:rsid w:val="006C221A"/>
    <w:rsid w:val="006C226A"/>
    <w:rsid w:val="006C2514"/>
    <w:rsid w:val="006C258C"/>
    <w:rsid w:val="006C2669"/>
    <w:rsid w:val="006C27A3"/>
    <w:rsid w:val="006C28E3"/>
    <w:rsid w:val="006C2B7D"/>
    <w:rsid w:val="006C2BC8"/>
    <w:rsid w:val="006C2C15"/>
    <w:rsid w:val="006C2C7A"/>
    <w:rsid w:val="006C2D95"/>
    <w:rsid w:val="006C2F07"/>
    <w:rsid w:val="006C33BE"/>
    <w:rsid w:val="006C3438"/>
    <w:rsid w:val="006C3446"/>
    <w:rsid w:val="006C34D3"/>
    <w:rsid w:val="006C350E"/>
    <w:rsid w:val="006C3614"/>
    <w:rsid w:val="006C3831"/>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13"/>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4"/>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4A"/>
    <w:rsid w:val="006E7367"/>
    <w:rsid w:val="006E73FC"/>
    <w:rsid w:val="006E78AE"/>
    <w:rsid w:val="006E7C98"/>
    <w:rsid w:val="006E7FA8"/>
    <w:rsid w:val="006F0241"/>
    <w:rsid w:val="006F0395"/>
    <w:rsid w:val="006F0797"/>
    <w:rsid w:val="006F0832"/>
    <w:rsid w:val="006F094D"/>
    <w:rsid w:val="006F0A21"/>
    <w:rsid w:val="006F0D61"/>
    <w:rsid w:val="006F0DD3"/>
    <w:rsid w:val="006F0F92"/>
    <w:rsid w:val="006F1011"/>
    <w:rsid w:val="006F10E2"/>
    <w:rsid w:val="006F12A0"/>
    <w:rsid w:val="006F12B1"/>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C8"/>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D38"/>
    <w:rsid w:val="00706D83"/>
    <w:rsid w:val="00706DE5"/>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8AA"/>
    <w:rsid w:val="007148D7"/>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1D94"/>
    <w:rsid w:val="00721F9A"/>
    <w:rsid w:val="00722163"/>
    <w:rsid w:val="007224AA"/>
    <w:rsid w:val="0072255B"/>
    <w:rsid w:val="00722725"/>
    <w:rsid w:val="007227DF"/>
    <w:rsid w:val="007228A0"/>
    <w:rsid w:val="00722AFC"/>
    <w:rsid w:val="00722D9B"/>
    <w:rsid w:val="00722E10"/>
    <w:rsid w:val="0072315C"/>
    <w:rsid w:val="0072315F"/>
    <w:rsid w:val="007232A3"/>
    <w:rsid w:val="007236C6"/>
    <w:rsid w:val="00723832"/>
    <w:rsid w:val="00723D27"/>
    <w:rsid w:val="00723F48"/>
    <w:rsid w:val="0072404A"/>
    <w:rsid w:val="007240CE"/>
    <w:rsid w:val="007241AC"/>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CEF"/>
    <w:rsid w:val="00726D07"/>
    <w:rsid w:val="00726E8C"/>
    <w:rsid w:val="007272C1"/>
    <w:rsid w:val="00727304"/>
    <w:rsid w:val="00727341"/>
    <w:rsid w:val="00727485"/>
    <w:rsid w:val="00727590"/>
    <w:rsid w:val="0072764F"/>
    <w:rsid w:val="007277CD"/>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1DE1"/>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2A"/>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BC9"/>
    <w:rsid w:val="00752D60"/>
    <w:rsid w:val="00752E79"/>
    <w:rsid w:val="00752F0D"/>
    <w:rsid w:val="0075305E"/>
    <w:rsid w:val="00753060"/>
    <w:rsid w:val="00753191"/>
    <w:rsid w:val="00753404"/>
    <w:rsid w:val="007535C7"/>
    <w:rsid w:val="00753713"/>
    <w:rsid w:val="00753737"/>
    <w:rsid w:val="007537A7"/>
    <w:rsid w:val="0075396D"/>
    <w:rsid w:val="00753AE0"/>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1BE"/>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D2B"/>
    <w:rsid w:val="00786D2C"/>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997"/>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93F"/>
    <w:rsid w:val="007929BC"/>
    <w:rsid w:val="00792A37"/>
    <w:rsid w:val="00792B11"/>
    <w:rsid w:val="00792C7F"/>
    <w:rsid w:val="00793D08"/>
    <w:rsid w:val="00793DB1"/>
    <w:rsid w:val="00793E18"/>
    <w:rsid w:val="00793E37"/>
    <w:rsid w:val="00794088"/>
    <w:rsid w:val="007941FA"/>
    <w:rsid w:val="0079445D"/>
    <w:rsid w:val="00794681"/>
    <w:rsid w:val="007948B6"/>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458"/>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2B9"/>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0A7"/>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7BC"/>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486"/>
    <w:rsid w:val="007B45AA"/>
    <w:rsid w:val="007B45C1"/>
    <w:rsid w:val="007B4A2B"/>
    <w:rsid w:val="007B4B69"/>
    <w:rsid w:val="007B4C04"/>
    <w:rsid w:val="007B4D84"/>
    <w:rsid w:val="007B4DBB"/>
    <w:rsid w:val="007B4EEB"/>
    <w:rsid w:val="007B5090"/>
    <w:rsid w:val="007B530E"/>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CAF"/>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615"/>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48"/>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AE4"/>
    <w:rsid w:val="007D6BDF"/>
    <w:rsid w:val="007D6CB8"/>
    <w:rsid w:val="007D6E48"/>
    <w:rsid w:val="007D6EE3"/>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C4"/>
    <w:rsid w:val="007E4AF2"/>
    <w:rsid w:val="007E51ED"/>
    <w:rsid w:val="007E54E8"/>
    <w:rsid w:val="007E5694"/>
    <w:rsid w:val="007E5831"/>
    <w:rsid w:val="007E5A28"/>
    <w:rsid w:val="007E5BC7"/>
    <w:rsid w:val="007E5C8D"/>
    <w:rsid w:val="007E5F1A"/>
    <w:rsid w:val="007E6230"/>
    <w:rsid w:val="007E63DB"/>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94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5C3"/>
    <w:rsid w:val="0080664C"/>
    <w:rsid w:val="0080669F"/>
    <w:rsid w:val="0080688A"/>
    <w:rsid w:val="008068B6"/>
    <w:rsid w:val="008068C3"/>
    <w:rsid w:val="00806D32"/>
    <w:rsid w:val="00806DDC"/>
    <w:rsid w:val="00806F88"/>
    <w:rsid w:val="008071C8"/>
    <w:rsid w:val="00807327"/>
    <w:rsid w:val="008076C0"/>
    <w:rsid w:val="00807BA3"/>
    <w:rsid w:val="00807DDC"/>
    <w:rsid w:val="0081005C"/>
    <w:rsid w:val="008100D5"/>
    <w:rsid w:val="008100F8"/>
    <w:rsid w:val="00810296"/>
    <w:rsid w:val="0081033D"/>
    <w:rsid w:val="00810698"/>
    <w:rsid w:val="008106DC"/>
    <w:rsid w:val="00810766"/>
    <w:rsid w:val="008109B3"/>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1E51"/>
    <w:rsid w:val="008120E3"/>
    <w:rsid w:val="008122D7"/>
    <w:rsid w:val="0081235A"/>
    <w:rsid w:val="00812647"/>
    <w:rsid w:val="0081273C"/>
    <w:rsid w:val="008128E9"/>
    <w:rsid w:val="00812924"/>
    <w:rsid w:val="00812B31"/>
    <w:rsid w:val="00812B4B"/>
    <w:rsid w:val="00812CFF"/>
    <w:rsid w:val="00812D2A"/>
    <w:rsid w:val="00812EF1"/>
    <w:rsid w:val="00813069"/>
    <w:rsid w:val="0081314D"/>
    <w:rsid w:val="008136F0"/>
    <w:rsid w:val="00813899"/>
    <w:rsid w:val="0081391C"/>
    <w:rsid w:val="0081395D"/>
    <w:rsid w:val="00813AF9"/>
    <w:rsid w:val="00813BF5"/>
    <w:rsid w:val="00814115"/>
    <w:rsid w:val="0081416E"/>
    <w:rsid w:val="008141CE"/>
    <w:rsid w:val="00814282"/>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A81"/>
    <w:rsid w:val="00817C4C"/>
    <w:rsid w:val="0082038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81"/>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090"/>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A5A"/>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2DB"/>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82"/>
    <w:rsid w:val="008609F0"/>
    <w:rsid w:val="00860B32"/>
    <w:rsid w:val="00860C76"/>
    <w:rsid w:val="00860E23"/>
    <w:rsid w:val="00860E6F"/>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077"/>
    <w:rsid w:val="00864293"/>
    <w:rsid w:val="008642C4"/>
    <w:rsid w:val="00864552"/>
    <w:rsid w:val="0086481C"/>
    <w:rsid w:val="00864969"/>
    <w:rsid w:val="00864970"/>
    <w:rsid w:val="0086497E"/>
    <w:rsid w:val="008649CD"/>
    <w:rsid w:val="00865200"/>
    <w:rsid w:val="0086561A"/>
    <w:rsid w:val="00865CE9"/>
    <w:rsid w:val="00865EC1"/>
    <w:rsid w:val="00865EF5"/>
    <w:rsid w:val="00866083"/>
    <w:rsid w:val="0086623A"/>
    <w:rsid w:val="008665E3"/>
    <w:rsid w:val="0086665F"/>
    <w:rsid w:val="00866743"/>
    <w:rsid w:val="00866ADC"/>
    <w:rsid w:val="00866B74"/>
    <w:rsid w:val="00866BE5"/>
    <w:rsid w:val="00866D36"/>
    <w:rsid w:val="00866D4A"/>
    <w:rsid w:val="00866DDD"/>
    <w:rsid w:val="00866E47"/>
    <w:rsid w:val="00866EA1"/>
    <w:rsid w:val="0086717E"/>
    <w:rsid w:val="0086734C"/>
    <w:rsid w:val="0086740F"/>
    <w:rsid w:val="00867890"/>
    <w:rsid w:val="00867A31"/>
    <w:rsid w:val="00867C36"/>
    <w:rsid w:val="00867C60"/>
    <w:rsid w:val="00867DC1"/>
    <w:rsid w:val="00870186"/>
    <w:rsid w:val="008702DC"/>
    <w:rsid w:val="008706E2"/>
    <w:rsid w:val="00870713"/>
    <w:rsid w:val="00870A76"/>
    <w:rsid w:val="00870A99"/>
    <w:rsid w:val="00870C64"/>
    <w:rsid w:val="00871058"/>
    <w:rsid w:val="00871527"/>
    <w:rsid w:val="00871579"/>
    <w:rsid w:val="008716BE"/>
    <w:rsid w:val="00871AA4"/>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17"/>
    <w:rsid w:val="00875F3D"/>
    <w:rsid w:val="00875FB0"/>
    <w:rsid w:val="00876017"/>
    <w:rsid w:val="00876155"/>
    <w:rsid w:val="008762C0"/>
    <w:rsid w:val="00876303"/>
    <w:rsid w:val="00876345"/>
    <w:rsid w:val="00876729"/>
    <w:rsid w:val="008767E2"/>
    <w:rsid w:val="0087695E"/>
    <w:rsid w:val="00876DB8"/>
    <w:rsid w:val="00877055"/>
    <w:rsid w:val="0087710A"/>
    <w:rsid w:val="00877168"/>
    <w:rsid w:val="008771D5"/>
    <w:rsid w:val="008771E6"/>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19"/>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BC0"/>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708"/>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7E5"/>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D42"/>
    <w:rsid w:val="008B7F49"/>
    <w:rsid w:val="008C0084"/>
    <w:rsid w:val="008C01F4"/>
    <w:rsid w:val="008C0209"/>
    <w:rsid w:val="008C024C"/>
    <w:rsid w:val="008C0C7F"/>
    <w:rsid w:val="008C0CD5"/>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4D2"/>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5F2E"/>
    <w:rsid w:val="008D628A"/>
    <w:rsid w:val="008D644E"/>
    <w:rsid w:val="008D6624"/>
    <w:rsid w:val="008D67AA"/>
    <w:rsid w:val="008D6A7E"/>
    <w:rsid w:val="008D6ADA"/>
    <w:rsid w:val="008D6B4A"/>
    <w:rsid w:val="008D6B84"/>
    <w:rsid w:val="008D6C74"/>
    <w:rsid w:val="008D6CAA"/>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3E0"/>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ACC"/>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29"/>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3F5"/>
    <w:rsid w:val="0090650F"/>
    <w:rsid w:val="00906579"/>
    <w:rsid w:val="00906704"/>
    <w:rsid w:val="00906787"/>
    <w:rsid w:val="009067C3"/>
    <w:rsid w:val="009067E2"/>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BE1"/>
    <w:rsid w:val="00910C52"/>
    <w:rsid w:val="00910CC0"/>
    <w:rsid w:val="00910E2B"/>
    <w:rsid w:val="009111A1"/>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31"/>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32C7"/>
    <w:rsid w:val="009232D0"/>
    <w:rsid w:val="00923374"/>
    <w:rsid w:val="00923578"/>
    <w:rsid w:val="00923689"/>
    <w:rsid w:val="00923B7C"/>
    <w:rsid w:val="00923EB8"/>
    <w:rsid w:val="00924024"/>
    <w:rsid w:val="009240AE"/>
    <w:rsid w:val="009242EC"/>
    <w:rsid w:val="009242FD"/>
    <w:rsid w:val="0092440E"/>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B9F"/>
    <w:rsid w:val="00930D0B"/>
    <w:rsid w:val="009310EA"/>
    <w:rsid w:val="0093128B"/>
    <w:rsid w:val="0093133C"/>
    <w:rsid w:val="00931447"/>
    <w:rsid w:val="00931576"/>
    <w:rsid w:val="009315D1"/>
    <w:rsid w:val="009315DB"/>
    <w:rsid w:val="009315EE"/>
    <w:rsid w:val="00931627"/>
    <w:rsid w:val="0093174F"/>
    <w:rsid w:val="00931794"/>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12"/>
    <w:rsid w:val="00934E63"/>
    <w:rsid w:val="00934F93"/>
    <w:rsid w:val="009351D7"/>
    <w:rsid w:val="0093527F"/>
    <w:rsid w:val="009352FE"/>
    <w:rsid w:val="009354BE"/>
    <w:rsid w:val="0093556F"/>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D8F"/>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C9F"/>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EC8"/>
    <w:rsid w:val="00951F24"/>
    <w:rsid w:val="00951F6B"/>
    <w:rsid w:val="00952194"/>
    <w:rsid w:val="00952300"/>
    <w:rsid w:val="009525A8"/>
    <w:rsid w:val="00952BE3"/>
    <w:rsid w:val="00952C56"/>
    <w:rsid w:val="00952C5D"/>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4B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09"/>
    <w:rsid w:val="00970799"/>
    <w:rsid w:val="00970863"/>
    <w:rsid w:val="009708FB"/>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0B3"/>
    <w:rsid w:val="00981122"/>
    <w:rsid w:val="009812D0"/>
    <w:rsid w:val="00981329"/>
    <w:rsid w:val="0098135D"/>
    <w:rsid w:val="00981431"/>
    <w:rsid w:val="00981992"/>
    <w:rsid w:val="00981AA3"/>
    <w:rsid w:val="00981E66"/>
    <w:rsid w:val="00982012"/>
    <w:rsid w:val="0098205A"/>
    <w:rsid w:val="00982291"/>
    <w:rsid w:val="009822C8"/>
    <w:rsid w:val="00982478"/>
    <w:rsid w:val="009824B5"/>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25"/>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215"/>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D78"/>
    <w:rsid w:val="00991E05"/>
    <w:rsid w:val="00991EA8"/>
    <w:rsid w:val="00991F1A"/>
    <w:rsid w:val="00991FC5"/>
    <w:rsid w:val="00991FC7"/>
    <w:rsid w:val="00991FF8"/>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CD2"/>
    <w:rsid w:val="00996E92"/>
    <w:rsid w:val="00996F28"/>
    <w:rsid w:val="00996F57"/>
    <w:rsid w:val="00996FA9"/>
    <w:rsid w:val="0099706C"/>
    <w:rsid w:val="00997091"/>
    <w:rsid w:val="00997371"/>
    <w:rsid w:val="0099748D"/>
    <w:rsid w:val="009975DA"/>
    <w:rsid w:val="00997629"/>
    <w:rsid w:val="0099767D"/>
    <w:rsid w:val="009977A3"/>
    <w:rsid w:val="009978B8"/>
    <w:rsid w:val="00997941"/>
    <w:rsid w:val="009979CB"/>
    <w:rsid w:val="00997B36"/>
    <w:rsid w:val="00997B73"/>
    <w:rsid w:val="00997C3F"/>
    <w:rsid w:val="00997FB9"/>
    <w:rsid w:val="009A01DA"/>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626"/>
    <w:rsid w:val="009A46E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DC"/>
    <w:rsid w:val="009A6939"/>
    <w:rsid w:val="009A6974"/>
    <w:rsid w:val="009A69F4"/>
    <w:rsid w:val="009A6B93"/>
    <w:rsid w:val="009A6C6A"/>
    <w:rsid w:val="009A6C9B"/>
    <w:rsid w:val="009A6F2A"/>
    <w:rsid w:val="009A7010"/>
    <w:rsid w:val="009A726D"/>
    <w:rsid w:val="009A734F"/>
    <w:rsid w:val="009A7507"/>
    <w:rsid w:val="009B01C7"/>
    <w:rsid w:val="009B0224"/>
    <w:rsid w:val="009B0267"/>
    <w:rsid w:val="009B08F7"/>
    <w:rsid w:val="009B0953"/>
    <w:rsid w:val="009B0B0A"/>
    <w:rsid w:val="009B0C2E"/>
    <w:rsid w:val="009B0ED3"/>
    <w:rsid w:val="009B0EEE"/>
    <w:rsid w:val="009B0FAC"/>
    <w:rsid w:val="009B10C4"/>
    <w:rsid w:val="009B1121"/>
    <w:rsid w:val="009B1239"/>
    <w:rsid w:val="009B12C3"/>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6D1"/>
    <w:rsid w:val="009B76F9"/>
    <w:rsid w:val="009B7B1D"/>
    <w:rsid w:val="009B7C8B"/>
    <w:rsid w:val="009B7C98"/>
    <w:rsid w:val="009B7DAB"/>
    <w:rsid w:val="009B7DF9"/>
    <w:rsid w:val="009B7E59"/>
    <w:rsid w:val="009B7E8C"/>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9D4"/>
    <w:rsid w:val="009C2E49"/>
    <w:rsid w:val="009C3231"/>
    <w:rsid w:val="009C3DB4"/>
    <w:rsid w:val="009C401E"/>
    <w:rsid w:val="009C4086"/>
    <w:rsid w:val="009C4091"/>
    <w:rsid w:val="009C423C"/>
    <w:rsid w:val="009C42B6"/>
    <w:rsid w:val="009C42BD"/>
    <w:rsid w:val="009C4384"/>
    <w:rsid w:val="009C43E0"/>
    <w:rsid w:val="009C4720"/>
    <w:rsid w:val="009C480E"/>
    <w:rsid w:val="009C4840"/>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AFF"/>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4D89"/>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8E0"/>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0FC2"/>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426"/>
    <w:rsid w:val="009F74A5"/>
    <w:rsid w:val="009F75D4"/>
    <w:rsid w:val="009F7702"/>
    <w:rsid w:val="009F7BE7"/>
    <w:rsid w:val="009F7CE2"/>
    <w:rsid w:val="00A00178"/>
    <w:rsid w:val="00A001C0"/>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62"/>
    <w:rsid w:val="00A024F7"/>
    <w:rsid w:val="00A026EE"/>
    <w:rsid w:val="00A02727"/>
    <w:rsid w:val="00A0292D"/>
    <w:rsid w:val="00A02A10"/>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7D8"/>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90"/>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44"/>
    <w:rsid w:val="00A21FEB"/>
    <w:rsid w:val="00A22076"/>
    <w:rsid w:val="00A2208E"/>
    <w:rsid w:val="00A22108"/>
    <w:rsid w:val="00A2214B"/>
    <w:rsid w:val="00A2215C"/>
    <w:rsid w:val="00A22175"/>
    <w:rsid w:val="00A2223E"/>
    <w:rsid w:val="00A2235E"/>
    <w:rsid w:val="00A22480"/>
    <w:rsid w:val="00A2268F"/>
    <w:rsid w:val="00A22B58"/>
    <w:rsid w:val="00A22BB7"/>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1E"/>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1E70"/>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5FB6"/>
    <w:rsid w:val="00A3654F"/>
    <w:rsid w:val="00A36671"/>
    <w:rsid w:val="00A36757"/>
    <w:rsid w:val="00A36786"/>
    <w:rsid w:val="00A367E2"/>
    <w:rsid w:val="00A368C3"/>
    <w:rsid w:val="00A36A09"/>
    <w:rsid w:val="00A36ADC"/>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7B"/>
    <w:rsid w:val="00A473BA"/>
    <w:rsid w:val="00A474E7"/>
    <w:rsid w:val="00A4758E"/>
    <w:rsid w:val="00A4762E"/>
    <w:rsid w:val="00A4773D"/>
    <w:rsid w:val="00A47790"/>
    <w:rsid w:val="00A47910"/>
    <w:rsid w:val="00A47CE2"/>
    <w:rsid w:val="00A47DBE"/>
    <w:rsid w:val="00A47E55"/>
    <w:rsid w:val="00A47E5F"/>
    <w:rsid w:val="00A500C2"/>
    <w:rsid w:val="00A5013E"/>
    <w:rsid w:val="00A5015B"/>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AAA"/>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98"/>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29"/>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2E0"/>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6F"/>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41C"/>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ADF"/>
    <w:rsid w:val="00A76B8C"/>
    <w:rsid w:val="00A76D31"/>
    <w:rsid w:val="00A77192"/>
    <w:rsid w:val="00A772BC"/>
    <w:rsid w:val="00A77425"/>
    <w:rsid w:val="00A774B5"/>
    <w:rsid w:val="00A776D8"/>
    <w:rsid w:val="00A7778E"/>
    <w:rsid w:val="00A7790F"/>
    <w:rsid w:val="00A77A2F"/>
    <w:rsid w:val="00A77BC2"/>
    <w:rsid w:val="00A77BDB"/>
    <w:rsid w:val="00A77DB5"/>
    <w:rsid w:val="00A77E8F"/>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CB5"/>
    <w:rsid w:val="00A80FA9"/>
    <w:rsid w:val="00A81394"/>
    <w:rsid w:val="00A81492"/>
    <w:rsid w:val="00A8190B"/>
    <w:rsid w:val="00A81CA7"/>
    <w:rsid w:val="00A81CEC"/>
    <w:rsid w:val="00A81D13"/>
    <w:rsid w:val="00A81D8B"/>
    <w:rsid w:val="00A81F1E"/>
    <w:rsid w:val="00A81FE2"/>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3DEF"/>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2E6"/>
    <w:rsid w:val="00A8541B"/>
    <w:rsid w:val="00A85924"/>
    <w:rsid w:val="00A85B9E"/>
    <w:rsid w:val="00A85DB6"/>
    <w:rsid w:val="00A85FC3"/>
    <w:rsid w:val="00A8602C"/>
    <w:rsid w:val="00A860EC"/>
    <w:rsid w:val="00A86825"/>
    <w:rsid w:val="00A8685E"/>
    <w:rsid w:val="00A86CDD"/>
    <w:rsid w:val="00A86D06"/>
    <w:rsid w:val="00A86F28"/>
    <w:rsid w:val="00A8726C"/>
    <w:rsid w:val="00A873B7"/>
    <w:rsid w:val="00A87658"/>
    <w:rsid w:val="00A877C7"/>
    <w:rsid w:val="00A87955"/>
    <w:rsid w:val="00A8797B"/>
    <w:rsid w:val="00A87E9D"/>
    <w:rsid w:val="00A87EEF"/>
    <w:rsid w:val="00A90280"/>
    <w:rsid w:val="00A90367"/>
    <w:rsid w:val="00A908A1"/>
    <w:rsid w:val="00A90A84"/>
    <w:rsid w:val="00A912EC"/>
    <w:rsid w:val="00A9138C"/>
    <w:rsid w:val="00A913E5"/>
    <w:rsid w:val="00A913ED"/>
    <w:rsid w:val="00A91881"/>
    <w:rsid w:val="00A919FE"/>
    <w:rsid w:val="00A91AAE"/>
    <w:rsid w:val="00A91B86"/>
    <w:rsid w:val="00A91C8D"/>
    <w:rsid w:val="00A9204D"/>
    <w:rsid w:val="00A9206D"/>
    <w:rsid w:val="00A92124"/>
    <w:rsid w:val="00A92312"/>
    <w:rsid w:val="00A92434"/>
    <w:rsid w:val="00A9249C"/>
    <w:rsid w:val="00A9266C"/>
    <w:rsid w:val="00A92A4B"/>
    <w:rsid w:val="00A92A65"/>
    <w:rsid w:val="00A92B99"/>
    <w:rsid w:val="00A9305A"/>
    <w:rsid w:val="00A93617"/>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BCB"/>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B55"/>
    <w:rsid w:val="00A96C4F"/>
    <w:rsid w:val="00A96C51"/>
    <w:rsid w:val="00A96E50"/>
    <w:rsid w:val="00A96F57"/>
    <w:rsid w:val="00A97264"/>
    <w:rsid w:val="00A972F4"/>
    <w:rsid w:val="00A97618"/>
    <w:rsid w:val="00A976E3"/>
    <w:rsid w:val="00A97799"/>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42"/>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9A"/>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7B0"/>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5B"/>
    <w:rsid w:val="00AB1982"/>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AE7"/>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B31"/>
    <w:rsid w:val="00AB6D69"/>
    <w:rsid w:val="00AB6DAF"/>
    <w:rsid w:val="00AB6EAB"/>
    <w:rsid w:val="00AB7112"/>
    <w:rsid w:val="00AB7332"/>
    <w:rsid w:val="00AB7534"/>
    <w:rsid w:val="00AB757A"/>
    <w:rsid w:val="00AB762A"/>
    <w:rsid w:val="00AB79D9"/>
    <w:rsid w:val="00AB7B5D"/>
    <w:rsid w:val="00AB7B66"/>
    <w:rsid w:val="00AB7D2B"/>
    <w:rsid w:val="00AB7DDD"/>
    <w:rsid w:val="00AB7EFB"/>
    <w:rsid w:val="00AB7F6B"/>
    <w:rsid w:val="00AC0077"/>
    <w:rsid w:val="00AC0169"/>
    <w:rsid w:val="00AC0230"/>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A8"/>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C44"/>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465"/>
    <w:rsid w:val="00AE65B3"/>
    <w:rsid w:val="00AE6628"/>
    <w:rsid w:val="00AE68A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10"/>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1E"/>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2F6"/>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164"/>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D30"/>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005"/>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2B"/>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27"/>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0F61"/>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2E"/>
    <w:rsid w:val="00B33B42"/>
    <w:rsid w:val="00B33B8D"/>
    <w:rsid w:val="00B33C79"/>
    <w:rsid w:val="00B33DC5"/>
    <w:rsid w:val="00B33F34"/>
    <w:rsid w:val="00B3408A"/>
    <w:rsid w:val="00B34202"/>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6A1"/>
    <w:rsid w:val="00B3680E"/>
    <w:rsid w:val="00B36924"/>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D5"/>
    <w:rsid w:val="00B461A4"/>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8D0"/>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360"/>
    <w:rsid w:val="00B61467"/>
    <w:rsid w:val="00B61561"/>
    <w:rsid w:val="00B615AC"/>
    <w:rsid w:val="00B618C1"/>
    <w:rsid w:val="00B618C9"/>
    <w:rsid w:val="00B61AD7"/>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772"/>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968"/>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196"/>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8B9"/>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13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5E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180"/>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CA9"/>
    <w:rsid w:val="00BA0E21"/>
    <w:rsid w:val="00BA11F5"/>
    <w:rsid w:val="00BA1419"/>
    <w:rsid w:val="00BA1449"/>
    <w:rsid w:val="00BA15C1"/>
    <w:rsid w:val="00BA17B7"/>
    <w:rsid w:val="00BA1B09"/>
    <w:rsid w:val="00BA1C75"/>
    <w:rsid w:val="00BA21A8"/>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2E"/>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1CF7"/>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8F"/>
    <w:rsid w:val="00BB38B9"/>
    <w:rsid w:val="00BB38C6"/>
    <w:rsid w:val="00BB392D"/>
    <w:rsid w:val="00BB395F"/>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6C5"/>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DA8"/>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B31"/>
    <w:rsid w:val="00BC5C45"/>
    <w:rsid w:val="00BC5D10"/>
    <w:rsid w:val="00BC5DE9"/>
    <w:rsid w:val="00BC62BE"/>
    <w:rsid w:val="00BC6338"/>
    <w:rsid w:val="00BC6587"/>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274"/>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4"/>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60"/>
    <w:rsid w:val="00BE5E10"/>
    <w:rsid w:val="00BE5E6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D8E"/>
    <w:rsid w:val="00BE7F3A"/>
    <w:rsid w:val="00BE7F8A"/>
    <w:rsid w:val="00BE7FC2"/>
    <w:rsid w:val="00BF00FE"/>
    <w:rsid w:val="00BF02E6"/>
    <w:rsid w:val="00BF0460"/>
    <w:rsid w:val="00BF06DB"/>
    <w:rsid w:val="00BF07B8"/>
    <w:rsid w:val="00BF0997"/>
    <w:rsid w:val="00BF0A0C"/>
    <w:rsid w:val="00BF0C1A"/>
    <w:rsid w:val="00BF0CB6"/>
    <w:rsid w:val="00BF0D14"/>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D6C"/>
    <w:rsid w:val="00BF6DC2"/>
    <w:rsid w:val="00BF6EB2"/>
    <w:rsid w:val="00BF6F8C"/>
    <w:rsid w:val="00BF7079"/>
    <w:rsid w:val="00BF719A"/>
    <w:rsid w:val="00BF726A"/>
    <w:rsid w:val="00BF7363"/>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BAD"/>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968"/>
    <w:rsid w:val="00C05AAA"/>
    <w:rsid w:val="00C05D01"/>
    <w:rsid w:val="00C05D5A"/>
    <w:rsid w:val="00C05DDC"/>
    <w:rsid w:val="00C05E15"/>
    <w:rsid w:val="00C05F73"/>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7E0"/>
    <w:rsid w:val="00C16852"/>
    <w:rsid w:val="00C168A2"/>
    <w:rsid w:val="00C169EB"/>
    <w:rsid w:val="00C16AEC"/>
    <w:rsid w:val="00C16AFB"/>
    <w:rsid w:val="00C16B9E"/>
    <w:rsid w:val="00C16ED0"/>
    <w:rsid w:val="00C16F28"/>
    <w:rsid w:val="00C174D9"/>
    <w:rsid w:val="00C17537"/>
    <w:rsid w:val="00C17558"/>
    <w:rsid w:val="00C178EF"/>
    <w:rsid w:val="00C1793F"/>
    <w:rsid w:val="00C17BC6"/>
    <w:rsid w:val="00C17C7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1B9"/>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88D"/>
    <w:rsid w:val="00C368B1"/>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37C"/>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1E"/>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945"/>
    <w:rsid w:val="00C53A75"/>
    <w:rsid w:val="00C53D42"/>
    <w:rsid w:val="00C540E2"/>
    <w:rsid w:val="00C54124"/>
    <w:rsid w:val="00C546B6"/>
    <w:rsid w:val="00C547E7"/>
    <w:rsid w:val="00C54A75"/>
    <w:rsid w:val="00C54B7D"/>
    <w:rsid w:val="00C54BC6"/>
    <w:rsid w:val="00C550BD"/>
    <w:rsid w:val="00C552BF"/>
    <w:rsid w:val="00C5554A"/>
    <w:rsid w:val="00C55550"/>
    <w:rsid w:val="00C5559A"/>
    <w:rsid w:val="00C55601"/>
    <w:rsid w:val="00C558AC"/>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C99"/>
    <w:rsid w:val="00C56F09"/>
    <w:rsid w:val="00C56F86"/>
    <w:rsid w:val="00C570B0"/>
    <w:rsid w:val="00C570DA"/>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3AE"/>
    <w:rsid w:val="00C62712"/>
    <w:rsid w:val="00C62A59"/>
    <w:rsid w:val="00C62CE4"/>
    <w:rsid w:val="00C62E19"/>
    <w:rsid w:val="00C62EB1"/>
    <w:rsid w:val="00C62FB6"/>
    <w:rsid w:val="00C62FFC"/>
    <w:rsid w:val="00C6312D"/>
    <w:rsid w:val="00C636CA"/>
    <w:rsid w:val="00C638C0"/>
    <w:rsid w:val="00C639AF"/>
    <w:rsid w:val="00C63B37"/>
    <w:rsid w:val="00C63B46"/>
    <w:rsid w:val="00C63D2A"/>
    <w:rsid w:val="00C63DDE"/>
    <w:rsid w:val="00C63F10"/>
    <w:rsid w:val="00C63FA4"/>
    <w:rsid w:val="00C64447"/>
    <w:rsid w:val="00C64525"/>
    <w:rsid w:val="00C647EB"/>
    <w:rsid w:val="00C647FF"/>
    <w:rsid w:val="00C64C50"/>
    <w:rsid w:val="00C64D3E"/>
    <w:rsid w:val="00C64E8C"/>
    <w:rsid w:val="00C64ED4"/>
    <w:rsid w:val="00C65302"/>
    <w:rsid w:val="00C65351"/>
    <w:rsid w:val="00C65649"/>
    <w:rsid w:val="00C6569B"/>
    <w:rsid w:val="00C6593A"/>
    <w:rsid w:val="00C65ADD"/>
    <w:rsid w:val="00C65C06"/>
    <w:rsid w:val="00C65D78"/>
    <w:rsid w:val="00C65F70"/>
    <w:rsid w:val="00C65FB5"/>
    <w:rsid w:val="00C660FF"/>
    <w:rsid w:val="00C661A9"/>
    <w:rsid w:val="00C663B2"/>
    <w:rsid w:val="00C663C9"/>
    <w:rsid w:val="00C66538"/>
    <w:rsid w:val="00C665CA"/>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DF5"/>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1E7"/>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5E97"/>
    <w:rsid w:val="00C76018"/>
    <w:rsid w:val="00C76201"/>
    <w:rsid w:val="00C763F6"/>
    <w:rsid w:val="00C767FB"/>
    <w:rsid w:val="00C76933"/>
    <w:rsid w:val="00C76D5B"/>
    <w:rsid w:val="00C76E8C"/>
    <w:rsid w:val="00C76F0F"/>
    <w:rsid w:val="00C770C2"/>
    <w:rsid w:val="00C770F6"/>
    <w:rsid w:val="00C773D9"/>
    <w:rsid w:val="00C77925"/>
    <w:rsid w:val="00C7797D"/>
    <w:rsid w:val="00C7799B"/>
    <w:rsid w:val="00C779D1"/>
    <w:rsid w:val="00C77B66"/>
    <w:rsid w:val="00C77FCA"/>
    <w:rsid w:val="00C77FD2"/>
    <w:rsid w:val="00C80184"/>
    <w:rsid w:val="00C801E6"/>
    <w:rsid w:val="00C801E9"/>
    <w:rsid w:val="00C80281"/>
    <w:rsid w:val="00C8033D"/>
    <w:rsid w:val="00C803CB"/>
    <w:rsid w:val="00C805C5"/>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564"/>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01"/>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E97"/>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0F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CAE"/>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CF7"/>
    <w:rsid w:val="00CB3F39"/>
    <w:rsid w:val="00CB4155"/>
    <w:rsid w:val="00CB42D5"/>
    <w:rsid w:val="00CB4317"/>
    <w:rsid w:val="00CB4396"/>
    <w:rsid w:val="00CB43A2"/>
    <w:rsid w:val="00CB4496"/>
    <w:rsid w:val="00CB4575"/>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8B"/>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B83"/>
    <w:rsid w:val="00CD2C4C"/>
    <w:rsid w:val="00CD2CF2"/>
    <w:rsid w:val="00CD2E37"/>
    <w:rsid w:val="00CD2F26"/>
    <w:rsid w:val="00CD3151"/>
    <w:rsid w:val="00CD31D3"/>
    <w:rsid w:val="00CD3279"/>
    <w:rsid w:val="00CD339E"/>
    <w:rsid w:val="00CD34A1"/>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2C8"/>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76C"/>
    <w:rsid w:val="00CE19F6"/>
    <w:rsid w:val="00CE1C46"/>
    <w:rsid w:val="00CE1C6C"/>
    <w:rsid w:val="00CE1DD6"/>
    <w:rsid w:val="00CE1F1A"/>
    <w:rsid w:val="00CE20F1"/>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08"/>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E0C"/>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0FFC"/>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902"/>
    <w:rsid w:val="00D40A1A"/>
    <w:rsid w:val="00D40DD9"/>
    <w:rsid w:val="00D41037"/>
    <w:rsid w:val="00D410ED"/>
    <w:rsid w:val="00D41163"/>
    <w:rsid w:val="00D41235"/>
    <w:rsid w:val="00D41646"/>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9A9"/>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76"/>
    <w:rsid w:val="00D575B8"/>
    <w:rsid w:val="00D5771D"/>
    <w:rsid w:val="00D57780"/>
    <w:rsid w:val="00D57B17"/>
    <w:rsid w:val="00D57BFA"/>
    <w:rsid w:val="00D60155"/>
    <w:rsid w:val="00D60275"/>
    <w:rsid w:val="00D60293"/>
    <w:rsid w:val="00D6056D"/>
    <w:rsid w:val="00D60696"/>
    <w:rsid w:val="00D60839"/>
    <w:rsid w:val="00D60B75"/>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BCA"/>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25C"/>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5B0"/>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124"/>
    <w:rsid w:val="00D7335B"/>
    <w:rsid w:val="00D7354A"/>
    <w:rsid w:val="00D73591"/>
    <w:rsid w:val="00D736A7"/>
    <w:rsid w:val="00D737C8"/>
    <w:rsid w:val="00D73979"/>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CD0"/>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3E8"/>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D0"/>
    <w:rsid w:val="00DA07FF"/>
    <w:rsid w:val="00DA08E8"/>
    <w:rsid w:val="00DA0A28"/>
    <w:rsid w:val="00DA0A9D"/>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F58"/>
    <w:rsid w:val="00DA3FC9"/>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40"/>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8E6"/>
    <w:rsid w:val="00DB291F"/>
    <w:rsid w:val="00DB294E"/>
    <w:rsid w:val="00DB2A86"/>
    <w:rsid w:val="00DB2B71"/>
    <w:rsid w:val="00DB2D98"/>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380"/>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A08"/>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46"/>
    <w:rsid w:val="00DD08AE"/>
    <w:rsid w:val="00DD0985"/>
    <w:rsid w:val="00DD0A32"/>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84F"/>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40"/>
    <w:rsid w:val="00DE307E"/>
    <w:rsid w:val="00DE313C"/>
    <w:rsid w:val="00DE3178"/>
    <w:rsid w:val="00DE3369"/>
    <w:rsid w:val="00DE33D0"/>
    <w:rsid w:val="00DE3852"/>
    <w:rsid w:val="00DE390C"/>
    <w:rsid w:val="00DE3C05"/>
    <w:rsid w:val="00DE3C2F"/>
    <w:rsid w:val="00DE3C81"/>
    <w:rsid w:val="00DE3D5A"/>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48"/>
    <w:rsid w:val="00DF6BAB"/>
    <w:rsid w:val="00DF6BC5"/>
    <w:rsid w:val="00DF70A0"/>
    <w:rsid w:val="00DF74AC"/>
    <w:rsid w:val="00DF74C5"/>
    <w:rsid w:val="00DF76FB"/>
    <w:rsid w:val="00DF77B7"/>
    <w:rsid w:val="00DF7928"/>
    <w:rsid w:val="00DF7A28"/>
    <w:rsid w:val="00DF7A7E"/>
    <w:rsid w:val="00E00116"/>
    <w:rsid w:val="00E001F0"/>
    <w:rsid w:val="00E00255"/>
    <w:rsid w:val="00E00293"/>
    <w:rsid w:val="00E003F8"/>
    <w:rsid w:val="00E004A9"/>
    <w:rsid w:val="00E004DC"/>
    <w:rsid w:val="00E0055C"/>
    <w:rsid w:val="00E00653"/>
    <w:rsid w:val="00E0080A"/>
    <w:rsid w:val="00E0087E"/>
    <w:rsid w:val="00E00D6D"/>
    <w:rsid w:val="00E00E5A"/>
    <w:rsid w:val="00E01132"/>
    <w:rsid w:val="00E011C5"/>
    <w:rsid w:val="00E01245"/>
    <w:rsid w:val="00E012D9"/>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17FDC"/>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310"/>
    <w:rsid w:val="00E22459"/>
    <w:rsid w:val="00E225E0"/>
    <w:rsid w:val="00E226C8"/>
    <w:rsid w:val="00E2273C"/>
    <w:rsid w:val="00E22864"/>
    <w:rsid w:val="00E229FE"/>
    <w:rsid w:val="00E22CB0"/>
    <w:rsid w:val="00E22EA9"/>
    <w:rsid w:val="00E22FC4"/>
    <w:rsid w:val="00E23262"/>
    <w:rsid w:val="00E233C5"/>
    <w:rsid w:val="00E23426"/>
    <w:rsid w:val="00E235DD"/>
    <w:rsid w:val="00E2365C"/>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848"/>
    <w:rsid w:val="00E2490D"/>
    <w:rsid w:val="00E24ED7"/>
    <w:rsid w:val="00E2514C"/>
    <w:rsid w:val="00E254F4"/>
    <w:rsid w:val="00E255ED"/>
    <w:rsid w:val="00E25AF6"/>
    <w:rsid w:val="00E25C48"/>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BFA"/>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8BD"/>
    <w:rsid w:val="00E33953"/>
    <w:rsid w:val="00E339EA"/>
    <w:rsid w:val="00E33A08"/>
    <w:rsid w:val="00E33A6E"/>
    <w:rsid w:val="00E33ACE"/>
    <w:rsid w:val="00E33B98"/>
    <w:rsid w:val="00E33EAE"/>
    <w:rsid w:val="00E34008"/>
    <w:rsid w:val="00E34122"/>
    <w:rsid w:val="00E343E0"/>
    <w:rsid w:val="00E34455"/>
    <w:rsid w:val="00E347B6"/>
    <w:rsid w:val="00E348C1"/>
    <w:rsid w:val="00E3493F"/>
    <w:rsid w:val="00E349F0"/>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BFF"/>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5F1"/>
    <w:rsid w:val="00E426AE"/>
    <w:rsid w:val="00E42DB6"/>
    <w:rsid w:val="00E42F0D"/>
    <w:rsid w:val="00E43102"/>
    <w:rsid w:val="00E43144"/>
    <w:rsid w:val="00E43229"/>
    <w:rsid w:val="00E4323D"/>
    <w:rsid w:val="00E43259"/>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9BD"/>
    <w:rsid w:val="00E46A23"/>
    <w:rsid w:val="00E46C0E"/>
    <w:rsid w:val="00E46D99"/>
    <w:rsid w:val="00E47556"/>
    <w:rsid w:val="00E47709"/>
    <w:rsid w:val="00E477A7"/>
    <w:rsid w:val="00E477A9"/>
    <w:rsid w:val="00E479AE"/>
    <w:rsid w:val="00E47ADA"/>
    <w:rsid w:val="00E47BE3"/>
    <w:rsid w:val="00E47C14"/>
    <w:rsid w:val="00E47C23"/>
    <w:rsid w:val="00E47C4A"/>
    <w:rsid w:val="00E5000A"/>
    <w:rsid w:val="00E5000D"/>
    <w:rsid w:val="00E50084"/>
    <w:rsid w:val="00E502B2"/>
    <w:rsid w:val="00E5033E"/>
    <w:rsid w:val="00E50879"/>
    <w:rsid w:val="00E50A2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734"/>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A14"/>
    <w:rsid w:val="00E83D61"/>
    <w:rsid w:val="00E83EE7"/>
    <w:rsid w:val="00E843FA"/>
    <w:rsid w:val="00E845BF"/>
    <w:rsid w:val="00E847FE"/>
    <w:rsid w:val="00E84811"/>
    <w:rsid w:val="00E84895"/>
    <w:rsid w:val="00E84A2D"/>
    <w:rsid w:val="00E84D96"/>
    <w:rsid w:val="00E84EBB"/>
    <w:rsid w:val="00E84FC5"/>
    <w:rsid w:val="00E85189"/>
    <w:rsid w:val="00E85508"/>
    <w:rsid w:val="00E855FE"/>
    <w:rsid w:val="00E857EB"/>
    <w:rsid w:val="00E85D28"/>
    <w:rsid w:val="00E85F9D"/>
    <w:rsid w:val="00E85FAF"/>
    <w:rsid w:val="00E85FDD"/>
    <w:rsid w:val="00E8606D"/>
    <w:rsid w:val="00E86374"/>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28D"/>
    <w:rsid w:val="00EA04F1"/>
    <w:rsid w:val="00EA0740"/>
    <w:rsid w:val="00EA0BB5"/>
    <w:rsid w:val="00EA0DA2"/>
    <w:rsid w:val="00EA1371"/>
    <w:rsid w:val="00EA14E4"/>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564"/>
    <w:rsid w:val="00EB059A"/>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7E6"/>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79"/>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8E"/>
    <w:rsid w:val="00ED2EAB"/>
    <w:rsid w:val="00ED31CF"/>
    <w:rsid w:val="00ED31D0"/>
    <w:rsid w:val="00ED343B"/>
    <w:rsid w:val="00ED3457"/>
    <w:rsid w:val="00ED3756"/>
    <w:rsid w:val="00ED37AD"/>
    <w:rsid w:val="00ED38A3"/>
    <w:rsid w:val="00ED3A16"/>
    <w:rsid w:val="00ED3AFC"/>
    <w:rsid w:val="00ED3BE6"/>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B68"/>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650"/>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BD7"/>
    <w:rsid w:val="00EE4DF3"/>
    <w:rsid w:val="00EE4EF0"/>
    <w:rsid w:val="00EE4F58"/>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404"/>
    <w:rsid w:val="00EF0584"/>
    <w:rsid w:val="00EF08B4"/>
    <w:rsid w:val="00EF0B1B"/>
    <w:rsid w:val="00EF0CEB"/>
    <w:rsid w:val="00EF0F7C"/>
    <w:rsid w:val="00EF1025"/>
    <w:rsid w:val="00EF1096"/>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039"/>
    <w:rsid w:val="00EF512D"/>
    <w:rsid w:val="00EF530D"/>
    <w:rsid w:val="00EF539E"/>
    <w:rsid w:val="00EF5528"/>
    <w:rsid w:val="00EF5542"/>
    <w:rsid w:val="00EF55D8"/>
    <w:rsid w:val="00EF579B"/>
    <w:rsid w:val="00EF57B3"/>
    <w:rsid w:val="00EF5C80"/>
    <w:rsid w:val="00EF5D63"/>
    <w:rsid w:val="00EF5D97"/>
    <w:rsid w:val="00EF6496"/>
    <w:rsid w:val="00EF6519"/>
    <w:rsid w:val="00EF6524"/>
    <w:rsid w:val="00EF66CE"/>
    <w:rsid w:val="00EF6990"/>
    <w:rsid w:val="00EF69FD"/>
    <w:rsid w:val="00EF6C8A"/>
    <w:rsid w:val="00EF6D6E"/>
    <w:rsid w:val="00EF6ECF"/>
    <w:rsid w:val="00EF6FDA"/>
    <w:rsid w:val="00EF72C7"/>
    <w:rsid w:val="00EF734A"/>
    <w:rsid w:val="00EF74A4"/>
    <w:rsid w:val="00EF7541"/>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0D31"/>
    <w:rsid w:val="00F0129F"/>
    <w:rsid w:val="00F014B7"/>
    <w:rsid w:val="00F015AA"/>
    <w:rsid w:val="00F0177D"/>
    <w:rsid w:val="00F01898"/>
    <w:rsid w:val="00F01BB8"/>
    <w:rsid w:val="00F01F9D"/>
    <w:rsid w:val="00F01FC1"/>
    <w:rsid w:val="00F0208F"/>
    <w:rsid w:val="00F020B6"/>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02A"/>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0A"/>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0B1"/>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8E3"/>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A72"/>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82"/>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58A"/>
    <w:rsid w:val="00F3763E"/>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17D"/>
    <w:rsid w:val="00F44269"/>
    <w:rsid w:val="00F44298"/>
    <w:rsid w:val="00F44335"/>
    <w:rsid w:val="00F4454E"/>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BF8"/>
    <w:rsid w:val="00F47C89"/>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A7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605"/>
    <w:rsid w:val="00F627E3"/>
    <w:rsid w:val="00F629A6"/>
    <w:rsid w:val="00F62A9C"/>
    <w:rsid w:val="00F62B5A"/>
    <w:rsid w:val="00F62C53"/>
    <w:rsid w:val="00F62C74"/>
    <w:rsid w:val="00F62C90"/>
    <w:rsid w:val="00F62E18"/>
    <w:rsid w:val="00F62E85"/>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867"/>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DA3"/>
    <w:rsid w:val="00F73024"/>
    <w:rsid w:val="00F7344D"/>
    <w:rsid w:val="00F73455"/>
    <w:rsid w:val="00F73571"/>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5FCB"/>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7E"/>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6A1"/>
    <w:rsid w:val="00F94859"/>
    <w:rsid w:val="00F948EC"/>
    <w:rsid w:val="00F949E9"/>
    <w:rsid w:val="00F951B0"/>
    <w:rsid w:val="00F9521D"/>
    <w:rsid w:val="00F9534F"/>
    <w:rsid w:val="00F953FC"/>
    <w:rsid w:val="00F95478"/>
    <w:rsid w:val="00F954E3"/>
    <w:rsid w:val="00F95A84"/>
    <w:rsid w:val="00F95D96"/>
    <w:rsid w:val="00F95D9E"/>
    <w:rsid w:val="00F95F34"/>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2"/>
    <w:rsid w:val="00FB067F"/>
    <w:rsid w:val="00FB07D7"/>
    <w:rsid w:val="00FB0886"/>
    <w:rsid w:val="00FB0B11"/>
    <w:rsid w:val="00FB127A"/>
    <w:rsid w:val="00FB137B"/>
    <w:rsid w:val="00FB1498"/>
    <w:rsid w:val="00FB1577"/>
    <w:rsid w:val="00FB15C9"/>
    <w:rsid w:val="00FB15CA"/>
    <w:rsid w:val="00FB15F0"/>
    <w:rsid w:val="00FB168F"/>
    <w:rsid w:val="00FB1715"/>
    <w:rsid w:val="00FB176A"/>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D2A"/>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734"/>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12B"/>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B60"/>
    <w:rsid w:val="00FE3D8E"/>
    <w:rsid w:val="00FE444E"/>
    <w:rsid w:val="00FE444F"/>
    <w:rsid w:val="00FE4469"/>
    <w:rsid w:val="00FE46B6"/>
    <w:rsid w:val="00FE4904"/>
    <w:rsid w:val="00FE4B67"/>
    <w:rsid w:val="00FE4CE9"/>
    <w:rsid w:val="00FE4D41"/>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AFD"/>
    <w:rsid w:val="00FE7B6E"/>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 w:val="077C02B7"/>
    <w:rsid w:val="087D3A94"/>
    <w:rsid w:val="08B10D1D"/>
    <w:rsid w:val="0A6C3DC0"/>
    <w:rsid w:val="0AFA39DD"/>
    <w:rsid w:val="191D123D"/>
    <w:rsid w:val="19EA5934"/>
    <w:rsid w:val="228F437F"/>
    <w:rsid w:val="25B6018D"/>
    <w:rsid w:val="287F76DA"/>
    <w:rsid w:val="29163EC9"/>
    <w:rsid w:val="2D0C4D15"/>
    <w:rsid w:val="2F704D98"/>
    <w:rsid w:val="307D6630"/>
    <w:rsid w:val="34073EC0"/>
    <w:rsid w:val="4A5B01B7"/>
    <w:rsid w:val="4BC87875"/>
    <w:rsid w:val="4F894858"/>
    <w:rsid w:val="50537EBA"/>
    <w:rsid w:val="526146EB"/>
    <w:rsid w:val="55504CA0"/>
    <w:rsid w:val="55EF398B"/>
    <w:rsid w:val="56E235EF"/>
    <w:rsid w:val="57AE68D8"/>
    <w:rsid w:val="63660A72"/>
    <w:rsid w:val="6D354316"/>
    <w:rsid w:val="6DC96246"/>
    <w:rsid w:val="6F82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qFormat="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FangSong_GB2312" w:hAnsi="Arial"/>
      <w:bCs/>
      <w:sz w:val="28"/>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260"/>
      <w:jc w:val="left"/>
    </w:pPr>
    <w:rPr>
      <w:sz w:val="18"/>
      <w:szCs w:val="18"/>
    </w:rPr>
  </w:style>
  <w:style w:type="paragraph" w:styleId="a3">
    <w:name w:val="Note Heading"/>
    <w:basedOn w:val="a"/>
    <w:next w:val="a"/>
    <w:link w:val="Char"/>
    <w:qFormat/>
    <w:pPr>
      <w:jc w:val="center"/>
    </w:pPr>
    <w:rPr>
      <w:szCs w:val="20"/>
    </w:rPr>
  </w:style>
  <w:style w:type="paragraph" w:styleId="a4">
    <w:name w:val="Normal Indent"/>
    <w:basedOn w:val="a"/>
    <w:link w:val="Char0"/>
    <w:qFormat/>
    <w:pPr>
      <w:ind w:firstLineChars="200" w:firstLine="420"/>
    </w:pPr>
  </w:style>
  <w:style w:type="paragraph" w:styleId="a5">
    <w:name w:val="annotation text"/>
    <w:basedOn w:val="a"/>
    <w:link w:val="Char1"/>
    <w:semiHidden/>
    <w:qFormat/>
    <w:pPr>
      <w:jc w:val="left"/>
    </w:pPr>
  </w:style>
  <w:style w:type="paragraph" w:styleId="a6">
    <w:name w:val="Body Text"/>
    <w:basedOn w:val="a"/>
    <w:qFormat/>
    <w:pPr>
      <w:snapToGrid w:val="0"/>
      <w:spacing w:line="360" w:lineRule="auto"/>
    </w:pPr>
    <w:rPr>
      <w:rFonts w:ascii="宋体" w:hAnsi="宋体"/>
      <w:color w:val="000000"/>
      <w:sz w:val="30"/>
    </w:rPr>
  </w:style>
  <w:style w:type="paragraph" w:styleId="a7">
    <w:name w:val="Body Text Indent"/>
    <w:basedOn w:val="a"/>
    <w:qFormat/>
    <w:pPr>
      <w:snapToGrid w:val="0"/>
      <w:spacing w:line="360" w:lineRule="auto"/>
      <w:ind w:leftChars="-257" w:left="-540" w:firstLineChars="200" w:firstLine="600"/>
    </w:pPr>
    <w:rPr>
      <w:rFonts w:ascii="宋体" w:hAnsi="宋体"/>
      <w:sz w:val="30"/>
    </w:rPr>
  </w:style>
  <w:style w:type="paragraph" w:styleId="5">
    <w:name w:val="toc 5"/>
    <w:basedOn w:val="a"/>
    <w:next w:val="a"/>
    <w:semiHidden/>
    <w:qFormat/>
    <w:pPr>
      <w:ind w:left="840"/>
      <w:jc w:val="left"/>
    </w:pPr>
    <w:rPr>
      <w:sz w:val="18"/>
      <w:szCs w:val="18"/>
    </w:rPr>
  </w:style>
  <w:style w:type="paragraph" w:styleId="30">
    <w:name w:val="toc 3"/>
    <w:basedOn w:val="a"/>
    <w:next w:val="a"/>
    <w:semiHidden/>
    <w:qFormat/>
    <w:pPr>
      <w:ind w:left="420"/>
      <w:jc w:val="left"/>
    </w:pPr>
    <w:rPr>
      <w:i/>
      <w:iCs/>
      <w:sz w:val="20"/>
      <w:szCs w:val="20"/>
    </w:rPr>
  </w:style>
  <w:style w:type="paragraph" w:styleId="a8">
    <w:name w:val="Plain Text"/>
    <w:basedOn w:val="a"/>
    <w:link w:val="Char2"/>
    <w:qFormat/>
    <w:rPr>
      <w:rFonts w:ascii="宋体" w:hAnsi="Courier New"/>
      <w:bCs/>
      <w:sz w:val="28"/>
      <w:szCs w:val="20"/>
    </w:rPr>
  </w:style>
  <w:style w:type="paragraph" w:styleId="8">
    <w:name w:val="toc 8"/>
    <w:basedOn w:val="a"/>
    <w:next w:val="a"/>
    <w:semiHidden/>
    <w:qFormat/>
    <w:pPr>
      <w:ind w:left="1470"/>
      <w:jc w:val="left"/>
    </w:pPr>
    <w:rPr>
      <w:sz w:val="18"/>
      <w:szCs w:val="18"/>
    </w:rPr>
  </w:style>
  <w:style w:type="paragraph" w:styleId="a9">
    <w:name w:val="Date"/>
    <w:basedOn w:val="a"/>
    <w:next w:val="a"/>
    <w:qFormat/>
    <w:pPr>
      <w:ind w:leftChars="2500" w:left="100"/>
    </w:pPr>
  </w:style>
  <w:style w:type="paragraph" w:styleId="20">
    <w:name w:val="Body Text Indent 2"/>
    <w:basedOn w:val="a"/>
    <w:qFormat/>
    <w:pPr>
      <w:snapToGrid w:val="0"/>
      <w:spacing w:line="360" w:lineRule="auto"/>
      <w:ind w:leftChars="-342" w:left="-718" w:firstLineChars="200" w:firstLine="600"/>
    </w:pPr>
    <w:rPr>
      <w:rFonts w:ascii="宋体" w:hAnsi="宋体"/>
      <w:sz w:val="30"/>
    </w:rPr>
  </w:style>
  <w:style w:type="paragraph" w:styleId="aa">
    <w:name w:val="Balloon Text"/>
    <w:basedOn w:val="a"/>
    <w:semiHidden/>
    <w:qFormat/>
    <w:rPr>
      <w:sz w:val="18"/>
      <w:szCs w:val="18"/>
    </w:rPr>
  </w:style>
  <w:style w:type="paragraph" w:styleId="ab">
    <w:name w:val="footer"/>
    <w:basedOn w:val="a"/>
    <w:link w:val="Char3"/>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
    <w:name w:val="toc 4"/>
    <w:basedOn w:val="a"/>
    <w:next w:val="a"/>
    <w:semiHidden/>
    <w:qFormat/>
    <w:pPr>
      <w:ind w:left="630"/>
      <w:jc w:val="left"/>
    </w:pPr>
    <w:rPr>
      <w:sz w:val="18"/>
      <w:szCs w:val="18"/>
    </w:rPr>
  </w:style>
  <w:style w:type="paragraph" w:styleId="6">
    <w:name w:val="toc 6"/>
    <w:basedOn w:val="a"/>
    <w:next w:val="a"/>
    <w:semiHidden/>
    <w:qFormat/>
    <w:pPr>
      <w:ind w:left="1050"/>
      <w:jc w:val="left"/>
    </w:pPr>
    <w:rPr>
      <w:sz w:val="18"/>
      <w:szCs w:val="18"/>
    </w:rPr>
  </w:style>
  <w:style w:type="paragraph" w:styleId="31">
    <w:name w:val="Body Text Indent 3"/>
    <w:basedOn w:val="a"/>
    <w:link w:val="3Char"/>
    <w:qFormat/>
    <w:pPr>
      <w:snapToGrid w:val="0"/>
      <w:spacing w:line="360" w:lineRule="auto"/>
      <w:ind w:leftChars="-342" w:left="-718" w:firstLineChars="240" w:firstLine="720"/>
    </w:pPr>
    <w:rPr>
      <w:rFonts w:ascii="宋体" w:hAnsi="宋体"/>
      <w:sz w:val="30"/>
    </w:rPr>
  </w:style>
  <w:style w:type="paragraph" w:styleId="21">
    <w:name w:val="toc 2"/>
    <w:basedOn w:val="a"/>
    <w:next w:val="a"/>
    <w:uiPriority w:val="39"/>
    <w:qFormat/>
    <w:pPr>
      <w:tabs>
        <w:tab w:val="right" w:leader="dot" w:pos="8630"/>
      </w:tabs>
      <w:spacing w:line="320" w:lineRule="exact"/>
      <w:ind w:leftChars="100" w:left="210" w:rightChars="100" w:right="210"/>
      <w:jc w:val="left"/>
    </w:pPr>
    <w:rPr>
      <w:rFonts w:ascii="FangSong_GB2312" w:hAnsi="宋体"/>
      <w:smallCaps/>
      <w:sz w:val="20"/>
      <w:szCs w:val="20"/>
    </w:rPr>
  </w:style>
  <w:style w:type="paragraph" w:styleId="9">
    <w:name w:val="toc 9"/>
    <w:basedOn w:val="a"/>
    <w:next w:val="a"/>
    <w:semiHidden/>
    <w:qFormat/>
    <w:pPr>
      <w:ind w:left="1680"/>
      <w:jc w:val="left"/>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semiHidden/>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af1">
    <w:name w:val="Strong"/>
    <w:uiPriority w:val="22"/>
    <w:qFormat/>
    <w:rPr>
      <w:b/>
      <w:bCs/>
    </w:rPr>
  </w:style>
  <w:style w:type="character" w:styleId="af2">
    <w:name w:val="page number"/>
    <w:basedOn w:val="a0"/>
    <w:qFormat/>
  </w:style>
  <w:style w:type="character" w:styleId="af3">
    <w:name w:val="FollowedHyperlink"/>
    <w:qFormat/>
    <w:rPr>
      <w:color w:val="954F72"/>
      <w:u w:val="single"/>
    </w:rPr>
  </w:style>
  <w:style w:type="character" w:styleId="af4">
    <w:name w:val="Hyperlink"/>
    <w:uiPriority w:val="99"/>
    <w:qFormat/>
    <w:rPr>
      <w:color w:val="0000FF"/>
      <w:u w:val="single"/>
    </w:rPr>
  </w:style>
  <w:style w:type="character" w:styleId="af5">
    <w:name w:val="annotation reference"/>
    <w:semiHidden/>
    <w:qFormat/>
    <w:rPr>
      <w:sz w:val="21"/>
      <w:szCs w:val="21"/>
    </w:rPr>
  </w:style>
  <w:style w:type="character" w:customStyle="1" w:styleId="2Char">
    <w:name w:val="标题 2 Char"/>
    <w:link w:val="2"/>
    <w:qFormat/>
    <w:rPr>
      <w:rFonts w:ascii="Arial" w:eastAsia="FangSong_GB2312" w:hAnsi="Arial"/>
      <w:bCs/>
      <w:kern w:val="2"/>
      <w:sz w:val="28"/>
      <w:szCs w:val="32"/>
      <w:lang w:val="en-US" w:eastAsia="zh-CN" w:bidi="ar-SA"/>
    </w:rPr>
  </w:style>
  <w:style w:type="character" w:customStyle="1" w:styleId="Char3">
    <w:name w:val="页脚 Char"/>
    <w:link w:val="ab"/>
    <w:qFormat/>
    <w:locked/>
    <w:rPr>
      <w:rFonts w:eastAsia="宋体"/>
      <w:kern w:val="2"/>
      <w:sz w:val="18"/>
      <w:szCs w:val="18"/>
      <w:lang w:val="en-US" w:eastAsia="zh-CN" w:bidi="ar-SA"/>
    </w:rPr>
  </w:style>
  <w:style w:type="character" w:customStyle="1" w:styleId="Char2">
    <w:name w:val="纯文本 Char"/>
    <w:link w:val="a8"/>
    <w:qFormat/>
    <w:rPr>
      <w:rFonts w:ascii="宋体" w:eastAsia="宋体" w:hAnsi="Courier New"/>
      <w:bCs/>
      <w:kern w:val="2"/>
      <w:sz w:val="28"/>
      <w:lang w:val="en-US" w:eastAsia="zh-CN" w:bidi="ar-SA"/>
    </w:rPr>
  </w:style>
  <w:style w:type="paragraph" w:customStyle="1" w:styleId="11">
    <w:name w:val="样式 标题 1 + 居中"/>
    <w:basedOn w:val="1"/>
    <w:qFormat/>
    <w:pPr>
      <w:spacing w:line="400" w:lineRule="exact"/>
      <w:jc w:val="center"/>
    </w:pPr>
    <w:rPr>
      <w:rFonts w:ascii="宋体" w:hAnsi="宋体"/>
      <w:bCs w:val="0"/>
      <w:kern w:val="2"/>
      <w:sz w:val="32"/>
      <w:szCs w:val="32"/>
    </w:rPr>
  </w:style>
  <w:style w:type="paragraph" w:customStyle="1" w:styleId="2195">
    <w:name w:val="样式 标题 2 + 小四 行距: 固定值 19.5 磅"/>
    <w:basedOn w:val="2"/>
    <w:qFormat/>
    <w:pPr>
      <w:spacing w:before="0" w:after="0" w:line="240" w:lineRule="auto"/>
    </w:pPr>
    <w:rPr>
      <w:rFonts w:cs="宋体"/>
      <w:bCs w:val="0"/>
      <w:sz w:val="24"/>
      <w:szCs w:val="20"/>
    </w:rPr>
  </w:style>
  <w:style w:type="paragraph" w:customStyle="1" w:styleId="22">
    <w:name w:val="样式 标题 2 + 小四"/>
    <w:basedOn w:val="2"/>
    <w:link w:val="2Char0"/>
    <w:qFormat/>
    <w:pPr>
      <w:spacing w:before="0" w:after="0" w:line="240" w:lineRule="auto"/>
    </w:pPr>
    <w:rPr>
      <w:sz w:val="24"/>
    </w:rPr>
  </w:style>
  <w:style w:type="character" w:customStyle="1" w:styleId="2Char0">
    <w:name w:val="样式 标题 2 + 小四 Char"/>
    <w:link w:val="22"/>
    <w:qFormat/>
    <w:rPr>
      <w:rFonts w:ascii="Arial" w:eastAsia="FangSong_GB2312" w:hAnsi="Arial"/>
      <w:bCs/>
      <w:kern w:val="2"/>
      <w:sz w:val="24"/>
      <w:szCs w:val="32"/>
      <w:lang w:val="en-US" w:eastAsia="zh-CN" w:bidi="ar-SA"/>
    </w:rPr>
  </w:style>
  <w:style w:type="paragraph" w:customStyle="1" w:styleId="227">
    <w:name w:val="样式 标题 2 + 小四 行距: 固定值 27 磅"/>
    <w:basedOn w:val="2"/>
    <w:qFormat/>
    <w:pPr>
      <w:spacing w:before="0" w:after="0" w:line="240" w:lineRule="auto"/>
    </w:pPr>
    <w:rPr>
      <w:rFonts w:cs="宋体"/>
      <w:bCs w:val="0"/>
      <w:sz w:val="24"/>
      <w:szCs w:val="20"/>
    </w:rPr>
  </w:style>
  <w:style w:type="paragraph" w:customStyle="1" w:styleId="226">
    <w:name w:val="样式 标题 2 + 小四 行距: 固定值 26 磅"/>
    <w:basedOn w:val="2"/>
    <w:qFormat/>
    <w:pPr>
      <w:spacing w:before="0" w:after="0" w:line="240" w:lineRule="auto"/>
    </w:pPr>
    <w:rPr>
      <w:rFonts w:cs="宋体"/>
      <w:bCs w:val="0"/>
      <w:sz w:val="24"/>
      <w:szCs w:val="20"/>
    </w:rPr>
  </w:style>
  <w:style w:type="paragraph" w:customStyle="1" w:styleId="202">
    <w:name w:val="样式 标题 2 + 小四 左侧:  0 厘米 悬挂缩进: 2 字符"/>
    <w:basedOn w:val="2"/>
    <w:qFormat/>
    <w:pPr>
      <w:spacing w:before="0" w:after="0" w:line="240" w:lineRule="auto"/>
      <w:ind w:left="200" w:hangingChars="200" w:hanging="200"/>
    </w:pPr>
    <w:rPr>
      <w:rFonts w:cs="宋体"/>
      <w:bCs w:val="0"/>
      <w:sz w:val="24"/>
      <w:szCs w:val="20"/>
    </w:rPr>
  </w:style>
  <w:style w:type="character" w:customStyle="1" w:styleId="CharChar">
    <w:name w:val="Char Char"/>
    <w:qFormat/>
    <w:rPr>
      <w:rFonts w:ascii="宋体" w:eastAsia="宋体" w:hAnsi="Courier New"/>
      <w:kern w:val="2"/>
      <w:sz w:val="21"/>
      <w:lang w:val="en-US" w:eastAsia="zh-CN" w:bidi="ar-SA"/>
    </w:rPr>
  </w:style>
  <w:style w:type="paragraph" w:customStyle="1" w:styleId="af6">
    <w:name w:val="模板_正文"/>
    <w:basedOn w:val="a"/>
    <w:link w:val="Char4"/>
    <w:qFormat/>
    <w:pPr>
      <w:spacing w:line="560" w:lineRule="exact"/>
      <w:ind w:leftChars="-171" w:left="-359" w:rightChars="-171" w:right="-359" w:firstLineChars="149" w:firstLine="358"/>
    </w:pPr>
    <w:rPr>
      <w:rFonts w:ascii="FangSong_GB2312" w:eastAsia="FangSong_GB2312"/>
      <w:kern w:val="0"/>
      <w:sz w:val="24"/>
    </w:rPr>
  </w:style>
  <w:style w:type="character" w:customStyle="1" w:styleId="Char4">
    <w:name w:val="模板_正文 Char"/>
    <w:link w:val="af6"/>
    <w:qFormat/>
    <w:rPr>
      <w:rFonts w:ascii="FangSong_GB2312" w:eastAsia="FangSong_GB2312"/>
      <w:sz w:val="24"/>
      <w:szCs w:val="24"/>
    </w:rPr>
  </w:style>
  <w:style w:type="paragraph" w:customStyle="1" w:styleId="ParaCharCharChar1Char">
    <w:name w:val="默认段落字体 Para Char Char Char1 Char"/>
    <w:basedOn w:val="a"/>
    <w:qFormat/>
    <w:rPr>
      <w:rFonts w:ascii="Tahoma" w:hAnsi="Tahoma"/>
      <w:sz w:val="24"/>
      <w:szCs w:val="20"/>
    </w:rPr>
  </w:style>
  <w:style w:type="character" w:customStyle="1" w:styleId="Char1">
    <w:name w:val="批注文字 Char"/>
    <w:link w:val="a5"/>
    <w:semiHidden/>
    <w:qFormat/>
    <w:rPr>
      <w:rFonts w:eastAsia="宋体"/>
      <w:kern w:val="2"/>
      <w:sz w:val="21"/>
      <w:szCs w:val="24"/>
      <w:lang w:val="en-US" w:eastAsia="zh-CN" w:bidi="ar-SA"/>
    </w:rPr>
  </w:style>
  <w:style w:type="paragraph" w:customStyle="1" w:styleId="CharCharChar">
    <w:name w:val="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CharCharChar1CharCharCharChar">
    <w:name w:val="Char Char Char1 Char Char Char Char"/>
    <w:basedOn w:val="a"/>
    <w:qFormat/>
    <w:rPr>
      <w:rFonts w:ascii="宋体" w:hAnsi="宋体" w:cs="Courier New"/>
      <w:sz w:val="32"/>
      <w:szCs w:val="32"/>
    </w:rPr>
  </w:style>
  <w:style w:type="paragraph" w:customStyle="1" w:styleId="-">
    <w:name w:val="模版-正文空两格"/>
    <w:basedOn w:val="a"/>
    <w:qFormat/>
    <w:pPr>
      <w:adjustRightInd w:val="0"/>
      <w:snapToGrid w:val="0"/>
      <w:spacing w:line="540" w:lineRule="exact"/>
      <w:ind w:leftChars="-171" w:left="-359" w:firstLineChars="128" w:firstLine="307"/>
    </w:pPr>
    <w:rPr>
      <w:rFonts w:ascii="FangSong_GB2312" w:eastAsia="FangSong_GB2312" w:hAnsi="宋体"/>
      <w:kern w:val="24"/>
      <w:sz w:val="24"/>
    </w:rPr>
  </w:style>
  <w:style w:type="paragraph" w:customStyle="1" w:styleId="-0">
    <w:name w:val="模版-正文居中"/>
    <w:basedOn w:val="a"/>
    <w:qFormat/>
    <w:pPr>
      <w:widowControl/>
      <w:adjustRightInd w:val="0"/>
      <w:snapToGrid w:val="0"/>
      <w:spacing w:line="300" w:lineRule="exact"/>
      <w:jc w:val="center"/>
    </w:pPr>
    <w:rPr>
      <w:rFonts w:eastAsia="华文细黑"/>
      <w:sz w:val="18"/>
      <w:szCs w:val="22"/>
    </w:rPr>
  </w:style>
  <w:style w:type="character" w:customStyle="1" w:styleId="CharChar4">
    <w:name w:val="Char Char4"/>
    <w:qFormat/>
    <w:rPr>
      <w:rFonts w:ascii="宋体" w:eastAsia="宋体" w:hAnsi="Courier New"/>
      <w:kern w:val="2"/>
      <w:sz w:val="21"/>
      <w:lang w:val="en-US" w:eastAsia="zh-CN" w:bidi="ar-SA"/>
    </w:rPr>
  </w:style>
  <w:style w:type="paragraph" w:customStyle="1" w:styleId="CharCharCharChar">
    <w:name w:val="Char Char Char Char"/>
    <w:basedOn w:val="a"/>
    <w:qFormat/>
    <w:rPr>
      <w:rFonts w:ascii="宋体" w:hAnsi="宋体" w:cs="Courier New"/>
      <w:sz w:val="32"/>
      <w:szCs w:val="32"/>
    </w:rPr>
  </w:style>
  <w:style w:type="character" w:customStyle="1" w:styleId="Char">
    <w:name w:val="注释标题 Char"/>
    <w:link w:val="a3"/>
    <w:qFormat/>
    <w:locked/>
    <w:rPr>
      <w:rFonts w:eastAsia="宋体"/>
      <w:kern w:val="2"/>
      <w:sz w:val="21"/>
      <w:lang w:val="en-US" w:eastAsia="zh-CN" w:bidi="ar-SA"/>
    </w:rPr>
  </w:style>
  <w:style w:type="character" w:customStyle="1" w:styleId="apple-style-span">
    <w:name w:val="apple-style-span"/>
    <w:basedOn w:val="a0"/>
    <w:qFormat/>
  </w:style>
  <w:style w:type="character" w:customStyle="1" w:styleId="CharChar0">
    <w:name w:val="普通文字 Char Char"/>
    <w:qFormat/>
    <w:rPr>
      <w:rFonts w:ascii="宋体" w:hAnsi="Courier New"/>
      <w:kern w:val="2"/>
      <w:sz w:val="21"/>
    </w:rPr>
  </w:style>
  <w:style w:type="character" w:customStyle="1" w:styleId="CharChar1">
    <w:name w:val="Char Char1"/>
    <w:qFormat/>
    <w:rPr>
      <w:rFonts w:ascii="宋体" w:eastAsia="宋体" w:hAnsi="Courier New"/>
      <w:bCs/>
      <w:kern w:val="2"/>
      <w:sz w:val="28"/>
      <w:lang w:val="en-US" w:eastAsia="zh-CN" w:bidi="ar-SA"/>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qFormat/>
    <w:rPr>
      <w:rFonts w:ascii="宋体" w:eastAsia="宋体"/>
      <w:kern w:val="2"/>
      <w:sz w:val="24"/>
      <w:szCs w:val="24"/>
      <w:lang w:val="en-US" w:eastAsia="zh-CN" w:bidi="ar-SA"/>
    </w:rPr>
  </w:style>
  <w:style w:type="paragraph" w:customStyle="1" w:styleId="zw">
    <w:name w:val="(zw 正文)"/>
    <w:basedOn w:val="a"/>
    <w:link w:val="zwCharChar"/>
    <w:qFormat/>
    <w:pPr>
      <w:spacing w:after="120"/>
      <w:ind w:firstLineChars="200" w:firstLine="200"/>
    </w:pPr>
    <w:rPr>
      <w:rFonts w:ascii="宋体"/>
      <w:sz w:val="24"/>
    </w:rPr>
  </w:style>
  <w:style w:type="paragraph" w:customStyle="1" w:styleId="Char3Char">
    <w:name w:val="Char3 Char"/>
    <w:basedOn w:val="a"/>
    <w:qFormat/>
    <w:rPr>
      <w:rFonts w:ascii="Tahoma" w:hAnsi="Tahoma"/>
      <w:sz w:val="24"/>
      <w:szCs w:val="20"/>
    </w:rPr>
  </w:style>
  <w:style w:type="paragraph" w:customStyle="1" w:styleId="reader-word-layerreader-word-s1-5">
    <w:name w:val="reader-word-layer reader-word-s1-5"/>
    <w:basedOn w:val="a"/>
    <w:qFormat/>
    <w:pPr>
      <w:widowControl/>
      <w:spacing w:before="100" w:beforeAutospacing="1" w:after="100" w:afterAutospacing="1"/>
      <w:jc w:val="left"/>
    </w:pPr>
    <w:rPr>
      <w:rFonts w:ascii="宋体" w:hAnsi="宋体" w:cs="宋体"/>
      <w:kern w:val="0"/>
      <w:sz w:val="24"/>
    </w:rPr>
  </w:style>
  <w:style w:type="character" w:customStyle="1" w:styleId="3Char">
    <w:name w:val="正文文本缩进 3 Char"/>
    <w:link w:val="31"/>
    <w:qFormat/>
    <w:rPr>
      <w:rFonts w:ascii="宋体" w:hAnsi="宋体"/>
      <w:kern w:val="2"/>
      <w:sz w:val="30"/>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CharCharChar1">
    <w:name w:val="Char Char Char Char1"/>
    <w:basedOn w:val="a"/>
    <w:qFormat/>
    <w:rPr>
      <w:rFonts w:ascii="Tahoma" w:hAnsi="Tahoma"/>
      <w:sz w:val="24"/>
      <w:szCs w:val="20"/>
    </w:rPr>
  </w:style>
  <w:style w:type="paragraph" w:customStyle="1" w:styleId="34">
    <w:name w:val="正文文本缩进 34"/>
    <w:basedOn w:val="a"/>
    <w:qFormat/>
    <w:pPr>
      <w:widowControl/>
      <w:overflowPunct w:val="0"/>
      <w:autoSpaceDE w:val="0"/>
      <w:autoSpaceDN w:val="0"/>
      <w:adjustRightInd w:val="0"/>
      <w:spacing w:line="276" w:lineRule="auto"/>
      <w:ind w:firstLine="480"/>
      <w:textAlignment w:val="baseline"/>
    </w:pPr>
    <w:rPr>
      <w:rFonts w:ascii="FangSong_GB2312" w:eastAsia="FangSong_GB2312"/>
      <w:kern w:val="0"/>
      <w:sz w:val="28"/>
      <w:szCs w:val="20"/>
    </w:rPr>
  </w:style>
  <w:style w:type="character" w:customStyle="1" w:styleId="Char0">
    <w:name w:val="正文缩进 Char"/>
    <w:link w:val="a4"/>
    <w:qFormat/>
    <w:rPr>
      <w:kern w:val="2"/>
      <w:sz w:val="21"/>
      <w:szCs w:val="24"/>
    </w:rPr>
  </w:style>
  <w:style w:type="character" w:customStyle="1" w:styleId="Char10">
    <w:name w:val="纯文本 Char1"/>
    <w:qFormat/>
    <w:rPr>
      <w:rFonts w:ascii="宋体" w:eastAsia="宋体" w:hAnsi="Courier New"/>
      <w:kern w:val="2"/>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qFormat="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FangSong_GB2312" w:hAnsi="Arial"/>
      <w:bCs/>
      <w:sz w:val="28"/>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1260"/>
      <w:jc w:val="left"/>
    </w:pPr>
    <w:rPr>
      <w:sz w:val="18"/>
      <w:szCs w:val="18"/>
    </w:rPr>
  </w:style>
  <w:style w:type="paragraph" w:styleId="a3">
    <w:name w:val="Note Heading"/>
    <w:basedOn w:val="a"/>
    <w:next w:val="a"/>
    <w:link w:val="Char"/>
    <w:qFormat/>
    <w:pPr>
      <w:jc w:val="center"/>
    </w:pPr>
    <w:rPr>
      <w:szCs w:val="20"/>
    </w:rPr>
  </w:style>
  <w:style w:type="paragraph" w:styleId="a4">
    <w:name w:val="Normal Indent"/>
    <w:basedOn w:val="a"/>
    <w:link w:val="Char0"/>
    <w:qFormat/>
    <w:pPr>
      <w:ind w:firstLineChars="200" w:firstLine="420"/>
    </w:pPr>
  </w:style>
  <w:style w:type="paragraph" w:styleId="a5">
    <w:name w:val="annotation text"/>
    <w:basedOn w:val="a"/>
    <w:link w:val="Char1"/>
    <w:semiHidden/>
    <w:qFormat/>
    <w:pPr>
      <w:jc w:val="left"/>
    </w:pPr>
  </w:style>
  <w:style w:type="paragraph" w:styleId="a6">
    <w:name w:val="Body Text"/>
    <w:basedOn w:val="a"/>
    <w:qFormat/>
    <w:pPr>
      <w:snapToGrid w:val="0"/>
      <w:spacing w:line="360" w:lineRule="auto"/>
    </w:pPr>
    <w:rPr>
      <w:rFonts w:ascii="宋体" w:hAnsi="宋体"/>
      <w:color w:val="000000"/>
      <w:sz w:val="30"/>
    </w:rPr>
  </w:style>
  <w:style w:type="paragraph" w:styleId="a7">
    <w:name w:val="Body Text Indent"/>
    <w:basedOn w:val="a"/>
    <w:qFormat/>
    <w:pPr>
      <w:snapToGrid w:val="0"/>
      <w:spacing w:line="360" w:lineRule="auto"/>
      <w:ind w:leftChars="-257" w:left="-540" w:firstLineChars="200" w:firstLine="600"/>
    </w:pPr>
    <w:rPr>
      <w:rFonts w:ascii="宋体" w:hAnsi="宋体"/>
      <w:sz w:val="30"/>
    </w:rPr>
  </w:style>
  <w:style w:type="paragraph" w:styleId="5">
    <w:name w:val="toc 5"/>
    <w:basedOn w:val="a"/>
    <w:next w:val="a"/>
    <w:semiHidden/>
    <w:qFormat/>
    <w:pPr>
      <w:ind w:left="840"/>
      <w:jc w:val="left"/>
    </w:pPr>
    <w:rPr>
      <w:sz w:val="18"/>
      <w:szCs w:val="18"/>
    </w:rPr>
  </w:style>
  <w:style w:type="paragraph" w:styleId="30">
    <w:name w:val="toc 3"/>
    <w:basedOn w:val="a"/>
    <w:next w:val="a"/>
    <w:semiHidden/>
    <w:qFormat/>
    <w:pPr>
      <w:ind w:left="420"/>
      <w:jc w:val="left"/>
    </w:pPr>
    <w:rPr>
      <w:i/>
      <w:iCs/>
      <w:sz w:val="20"/>
      <w:szCs w:val="20"/>
    </w:rPr>
  </w:style>
  <w:style w:type="paragraph" w:styleId="a8">
    <w:name w:val="Plain Text"/>
    <w:basedOn w:val="a"/>
    <w:link w:val="Char2"/>
    <w:qFormat/>
    <w:rPr>
      <w:rFonts w:ascii="宋体" w:hAnsi="Courier New"/>
      <w:bCs/>
      <w:sz w:val="28"/>
      <w:szCs w:val="20"/>
    </w:rPr>
  </w:style>
  <w:style w:type="paragraph" w:styleId="8">
    <w:name w:val="toc 8"/>
    <w:basedOn w:val="a"/>
    <w:next w:val="a"/>
    <w:semiHidden/>
    <w:qFormat/>
    <w:pPr>
      <w:ind w:left="1470"/>
      <w:jc w:val="left"/>
    </w:pPr>
    <w:rPr>
      <w:sz w:val="18"/>
      <w:szCs w:val="18"/>
    </w:rPr>
  </w:style>
  <w:style w:type="paragraph" w:styleId="a9">
    <w:name w:val="Date"/>
    <w:basedOn w:val="a"/>
    <w:next w:val="a"/>
    <w:qFormat/>
    <w:pPr>
      <w:ind w:leftChars="2500" w:left="100"/>
    </w:pPr>
  </w:style>
  <w:style w:type="paragraph" w:styleId="20">
    <w:name w:val="Body Text Indent 2"/>
    <w:basedOn w:val="a"/>
    <w:qFormat/>
    <w:pPr>
      <w:snapToGrid w:val="0"/>
      <w:spacing w:line="360" w:lineRule="auto"/>
      <w:ind w:leftChars="-342" w:left="-718" w:firstLineChars="200" w:firstLine="600"/>
    </w:pPr>
    <w:rPr>
      <w:rFonts w:ascii="宋体" w:hAnsi="宋体"/>
      <w:sz w:val="30"/>
    </w:rPr>
  </w:style>
  <w:style w:type="paragraph" w:styleId="aa">
    <w:name w:val="Balloon Text"/>
    <w:basedOn w:val="a"/>
    <w:semiHidden/>
    <w:qFormat/>
    <w:rPr>
      <w:sz w:val="18"/>
      <w:szCs w:val="18"/>
    </w:rPr>
  </w:style>
  <w:style w:type="paragraph" w:styleId="ab">
    <w:name w:val="footer"/>
    <w:basedOn w:val="a"/>
    <w:link w:val="Char3"/>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
    <w:name w:val="toc 4"/>
    <w:basedOn w:val="a"/>
    <w:next w:val="a"/>
    <w:semiHidden/>
    <w:qFormat/>
    <w:pPr>
      <w:ind w:left="630"/>
      <w:jc w:val="left"/>
    </w:pPr>
    <w:rPr>
      <w:sz w:val="18"/>
      <w:szCs w:val="18"/>
    </w:rPr>
  </w:style>
  <w:style w:type="paragraph" w:styleId="6">
    <w:name w:val="toc 6"/>
    <w:basedOn w:val="a"/>
    <w:next w:val="a"/>
    <w:semiHidden/>
    <w:qFormat/>
    <w:pPr>
      <w:ind w:left="1050"/>
      <w:jc w:val="left"/>
    </w:pPr>
    <w:rPr>
      <w:sz w:val="18"/>
      <w:szCs w:val="18"/>
    </w:rPr>
  </w:style>
  <w:style w:type="paragraph" w:styleId="31">
    <w:name w:val="Body Text Indent 3"/>
    <w:basedOn w:val="a"/>
    <w:link w:val="3Char"/>
    <w:qFormat/>
    <w:pPr>
      <w:snapToGrid w:val="0"/>
      <w:spacing w:line="360" w:lineRule="auto"/>
      <w:ind w:leftChars="-342" w:left="-718" w:firstLineChars="240" w:firstLine="720"/>
    </w:pPr>
    <w:rPr>
      <w:rFonts w:ascii="宋体" w:hAnsi="宋体"/>
      <w:sz w:val="30"/>
    </w:rPr>
  </w:style>
  <w:style w:type="paragraph" w:styleId="21">
    <w:name w:val="toc 2"/>
    <w:basedOn w:val="a"/>
    <w:next w:val="a"/>
    <w:uiPriority w:val="39"/>
    <w:qFormat/>
    <w:pPr>
      <w:tabs>
        <w:tab w:val="right" w:leader="dot" w:pos="8630"/>
      </w:tabs>
      <w:spacing w:line="320" w:lineRule="exact"/>
      <w:ind w:leftChars="100" w:left="210" w:rightChars="100" w:right="210"/>
      <w:jc w:val="left"/>
    </w:pPr>
    <w:rPr>
      <w:rFonts w:ascii="FangSong_GB2312" w:hAnsi="宋体"/>
      <w:smallCaps/>
      <w:sz w:val="20"/>
      <w:szCs w:val="20"/>
    </w:rPr>
  </w:style>
  <w:style w:type="paragraph" w:styleId="9">
    <w:name w:val="toc 9"/>
    <w:basedOn w:val="a"/>
    <w:next w:val="a"/>
    <w:semiHidden/>
    <w:qFormat/>
    <w:pPr>
      <w:ind w:left="1680"/>
      <w:jc w:val="left"/>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semiHidden/>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Elegant"/>
    <w:basedOn w:val="a1"/>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af1">
    <w:name w:val="Strong"/>
    <w:uiPriority w:val="22"/>
    <w:qFormat/>
    <w:rPr>
      <w:b/>
      <w:bCs/>
    </w:rPr>
  </w:style>
  <w:style w:type="character" w:styleId="af2">
    <w:name w:val="page number"/>
    <w:basedOn w:val="a0"/>
    <w:qFormat/>
  </w:style>
  <w:style w:type="character" w:styleId="af3">
    <w:name w:val="FollowedHyperlink"/>
    <w:qFormat/>
    <w:rPr>
      <w:color w:val="954F72"/>
      <w:u w:val="single"/>
    </w:rPr>
  </w:style>
  <w:style w:type="character" w:styleId="af4">
    <w:name w:val="Hyperlink"/>
    <w:uiPriority w:val="99"/>
    <w:qFormat/>
    <w:rPr>
      <w:color w:val="0000FF"/>
      <w:u w:val="single"/>
    </w:rPr>
  </w:style>
  <w:style w:type="character" w:styleId="af5">
    <w:name w:val="annotation reference"/>
    <w:semiHidden/>
    <w:qFormat/>
    <w:rPr>
      <w:sz w:val="21"/>
      <w:szCs w:val="21"/>
    </w:rPr>
  </w:style>
  <w:style w:type="character" w:customStyle="1" w:styleId="2Char">
    <w:name w:val="标题 2 Char"/>
    <w:link w:val="2"/>
    <w:qFormat/>
    <w:rPr>
      <w:rFonts w:ascii="Arial" w:eastAsia="FangSong_GB2312" w:hAnsi="Arial"/>
      <w:bCs/>
      <w:kern w:val="2"/>
      <w:sz w:val="28"/>
      <w:szCs w:val="32"/>
      <w:lang w:val="en-US" w:eastAsia="zh-CN" w:bidi="ar-SA"/>
    </w:rPr>
  </w:style>
  <w:style w:type="character" w:customStyle="1" w:styleId="Char3">
    <w:name w:val="页脚 Char"/>
    <w:link w:val="ab"/>
    <w:qFormat/>
    <w:locked/>
    <w:rPr>
      <w:rFonts w:eastAsia="宋体"/>
      <w:kern w:val="2"/>
      <w:sz w:val="18"/>
      <w:szCs w:val="18"/>
      <w:lang w:val="en-US" w:eastAsia="zh-CN" w:bidi="ar-SA"/>
    </w:rPr>
  </w:style>
  <w:style w:type="character" w:customStyle="1" w:styleId="Char2">
    <w:name w:val="纯文本 Char"/>
    <w:link w:val="a8"/>
    <w:qFormat/>
    <w:rPr>
      <w:rFonts w:ascii="宋体" w:eastAsia="宋体" w:hAnsi="Courier New"/>
      <w:bCs/>
      <w:kern w:val="2"/>
      <w:sz w:val="28"/>
      <w:lang w:val="en-US" w:eastAsia="zh-CN" w:bidi="ar-SA"/>
    </w:rPr>
  </w:style>
  <w:style w:type="paragraph" w:customStyle="1" w:styleId="11">
    <w:name w:val="样式 标题 1 + 居中"/>
    <w:basedOn w:val="1"/>
    <w:qFormat/>
    <w:pPr>
      <w:spacing w:line="400" w:lineRule="exact"/>
      <w:jc w:val="center"/>
    </w:pPr>
    <w:rPr>
      <w:rFonts w:ascii="宋体" w:hAnsi="宋体"/>
      <w:bCs w:val="0"/>
      <w:kern w:val="2"/>
      <w:sz w:val="32"/>
      <w:szCs w:val="32"/>
    </w:rPr>
  </w:style>
  <w:style w:type="paragraph" w:customStyle="1" w:styleId="2195">
    <w:name w:val="样式 标题 2 + 小四 行距: 固定值 19.5 磅"/>
    <w:basedOn w:val="2"/>
    <w:qFormat/>
    <w:pPr>
      <w:spacing w:before="0" w:after="0" w:line="240" w:lineRule="auto"/>
    </w:pPr>
    <w:rPr>
      <w:rFonts w:cs="宋体"/>
      <w:bCs w:val="0"/>
      <w:sz w:val="24"/>
      <w:szCs w:val="20"/>
    </w:rPr>
  </w:style>
  <w:style w:type="paragraph" w:customStyle="1" w:styleId="22">
    <w:name w:val="样式 标题 2 + 小四"/>
    <w:basedOn w:val="2"/>
    <w:link w:val="2Char0"/>
    <w:qFormat/>
    <w:pPr>
      <w:spacing w:before="0" w:after="0" w:line="240" w:lineRule="auto"/>
    </w:pPr>
    <w:rPr>
      <w:sz w:val="24"/>
    </w:rPr>
  </w:style>
  <w:style w:type="character" w:customStyle="1" w:styleId="2Char0">
    <w:name w:val="样式 标题 2 + 小四 Char"/>
    <w:link w:val="22"/>
    <w:qFormat/>
    <w:rPr>
      <w:rFonts w:ascii="Arial" w:eastAsia="FangSong_GB2312" w:hAnsi="Arial"/>
      <w:bCs/>
      <w:kern w:val="2"/>
      <w:sz w:val="24"/>
      <w:szCs w:val="32"/>
      <w:lang w:val="en-US" w:eastAsia="zh-CN" w:bidi="ar-SA"/>
    </w:rPr>
  </w:style>
  <w:style w:type="paragraph" w:customStyle="1" w:styleId="227">
    <w:name w:val="样式 标题 2 + 小四 行距: 固定值 27 磅"/>
    <w:basedOn w:val="2"/>
    <w:qFormat/>
    <w:pPr>
      <w:spacing w:before="0" w:after="0" w:line="240" w:lineRule="auto"/>
    </w:pPr>
    <w:rPr>
      <w:rFonts w:cs="宋体"/>
      <w:bCs w:val="0"/>
      <w:sz w:val="24"/>
      <w:szCs w:val="20"/>
    </w:rPr>
  </w:style>
  <w:style w:type="paragraph" w:customStyle="1" w:styleId="226">
    <w:name w:val="样式 标题 2 + 小四 行距: 固定值 26 磅"/>
    <w:basedOn w:val="2"/>
    <w:qFormat/>
    <w:pPr>
      <w:spacing w:before="0" w:after="0" w:line="240" w:lineRule="auto"/>
    </w:pPr>
    <w:rPr>
      <w:rFonts w:cs="宋体"/>
      <w:bCs w:val="0"/>
      <w:sz w:val="24"/>
      <w:szCs w:val="20"/>
    </w:rPr>
  </w:style>
  <w:style w:type="paragraph" w:customStyle="1" w:styleId="202">
    <w:name w:val="样式 标题 2 + 小四 左侧:  0 厘米 悬挂缩进: 2 字符"/>
    <w:basedOn w:val="2"/>
    <w:qFormat/>
    <w:pPr>
      <w:spacing w:before="0" w:after="0" w:line="240" w:lineRule="auto"/>
      <w:ind w:left="200" w:hangingChars="200" w:hanging="200"/>
    </w:pPr>
    <w:rPr>
      <w:rFonts w:cs="宋体"/>
      <w:bCs w:val="0"/>
      <w:sz w:val="24"/>
      <w:szCs w:val="20"/>
    </w:rPr>
  </w:style>
  <w:style w:type="character" w:customStyle="1" w:styleId="CharChar">
    <w:name w:val="Char Char"/>
    <w:qFormat/>
    <w:rPr>
      <w:rFonts w:ascii="宋体" w:eastAsia="宋体" w:hAnsi="Courier New"/>
      <w:kern w:val="2"/>
      <w:sz w:val="21"/>
      <w:lang w:val="en-US" w:eastAsia="zh-CN" w:bidi="ar-SA"/>
    </w:rPr>
  </w:style>
  <w:style w:type="paragraph" w:customStyle="1" w:styleId="af6">
    <w:name w:val="模板_正文"/>
    <w:basedOn w:val="a"/>
    <w:link w:val="Char4"/>
    <w:qFormat/>
    <w:pPr>
      <w:spacing w:line="560" w:lineRule="exact"/>
      <w:ind w:leftChars="-171" w:left="-359" w:rightChars="-171" w:right="-359" w:firstLineChars="149" w:firstLine="358"/>
    </w:pPr>
    <w:rPr>
      <w:rFonts w:ascii="FangSong_GB2312" w:eastAsia="FangSong_GB2312"/>
      <w:kern w:val="0"/>
      <w:sz w:val="24"/>
    </w:rPr>
  </w:style>
  <w:style w:type="character" w:customStyle="1" w:styleId="Char4">
    <w:name w:val="模板_正文 Char"/>
    <w:link w:val="af6"/>
    <w:qFormat/>
    <w:rPr>
      <w:rFonts w:ascii="FangSong_GB2312" w:eastAsia="FangSong_GB2312"/>
      <w:sz w:val="24"/>
      <w:szCs w:val="24"/>
    </w:rPr>
  </w:style>
  <w:style w:type="paragraph" w:customStyle="1" w:styleId="ParaCharCharChar1Char">
    <w:name w:val="默认段落字体 Para Char Char Char1 Char"/>
    <w:basedOn w:val="a"/>
    <w:qFormat/>
    <w:rPr>
      <w:rFonts w:ascii="Tahoma" w:hAnsi="Tahoma"/>
      <w:sz w:val="24"/>
      <w:szCs w:val="20"/>
    </w:rPr>
  </w:style>
  <w:style w:type="character" w:customStyle="1" w:styleId="Char1">
    <w:name w:val="批注文字 Char"/>
    <w:link w:val="a5"/>
    <w:semiHidden/>
    <w:qFormat/>
    <w:rPr>
      <w:rFonts w:eastAsia="宋体"/>
      <w:kern w:val="2"/>
      <w:sz w:val="21"/>
      <w:szCs w:val="24"/>
      <w:lang w:val="en-US" w:eastAsia="zh-CN" w:bidi="ar-SA"/>
    </w:rPr>
  </w:style>
  <w:style w:type="paragraph" w:customStyle="1" w:styleId="CharCharChar">
    <w:name w:val="Char Char Char"/>
    <w:basedOn w:val="a"/>
    <w:qFormat/>
    <w:pPr>
      <w:widowControl/>
      <w:spacing w:after="160" w:line="240" w:lineRule="exact"/>
      <w:jc w:val="left"/>
    </w:pPr>
    <w:rPr>
      <w:rFonts w:ascii="Verdana" w:hAnsi="Verdana" w:cs="Verdana"/>
      <w:kern w:val="0"/>
      <w:sz w:val="20"/>
      <w:szCs w:val="20"/>
      <w:lang w:eastAsia="en-US"/>
    </w:rPr>
  </w:style>
  <w:style w:type="paragraph" w:customStyle="1" w:styleId="CharCharChar1CharCharCharChar">
    <w:name w:val="Char Char Char1 Char Char Char Char"/>
    <w:basedOn w:val="a"/>
    <w:qFormat/>
    <w:rPr>
      <w:rFonts w:ascii="宋体" w:hAnsi="宋体" w:cs="Courier New"/>
      <w:sz w:val="32"/>
      <w:szCs w:val="32"/>
    </w:rPr>
  </w:style>
  <w:style w:type="paragraph" w:customStyle="1" w:styleId="-">
    <w:name w:val="模版-正文空两格"/>
    <w:basedOn w:val="a"/>
    <w:qFormat/>
    <w:pPr>
      <w:adjustRightInd w:val="0"/>
      <w:snapToGrid w:val="0"/>
      <w:spacing w:line="540" w:lineRule="exact"/>
      <w:ind w:leftChars="-171" w:left="-359" w:firstLineChars="128" w:firstLine="307"/>
    </w:pPr>
    <w:rPr>
      <w:rFonts w:ascii="FangSong_GB2312" w:eastAsia="FangSong_GB2312" w:hAnsi="宋体"/>
      <w:kern w:val="24"/>
      <w:sz w:val="24"/>
    </w:rPr>
  </w:style>
  <w:style w:type="paragraph" w:customStyle="1" w:styleId="-0">
    <w:name w:val="模版-正文居中"/>
    <w:basedOn w:val="a"/>
    <w:qFormat/>
    <w:pPr>
      <w:widowControl/>
      <w:adjustRightInd w:val="0"/>
      <w:snapToGrid w:val="0"/>
      <w:spacing w:line="300" w:lineRule="exact"/>
      <w:jc w:val="center"/>
    </w:pPr>
    <w:rPr>
      <w:rFonts w:eastAsia="华文细黑"/>
      <w:sz w:val="18"/>
      <w:szCs w:val="22"/>
    </w:rPr>
  </w:style>
  <w:style w:type="character" w:customStyle="1" w:styleId="CharChar4">
    <w:name w:val="Char Char4"/>
    <w:qFormat/>
    <w:rPr>
      <w:rFonts w:ascii="宋体" w:eastAsia="宋体" w:hAnsi="Courier New"/>
      <w:kern w:val="2"/>
      <w:sz w:val="21"/>
      <w:lang w:val="en-US" w:eastAsia="zh-CN" w:bidi="ar-SA"/>
    </w:rPr>
  </w:style>
  <w:style w:type="paragraph" w:customStyle="1" w:styleId="CharCharCharChar">
    <w:name w:val="Char Char Char Char"/>
    <w:basedOn w:val="a"/>
    <w:qFormat/>
    <w:rPr>
      <w:rFonts w:ascii="宋体" w:hAnsi="宋体" w:cs="Courier New"/>
      <w:sz w:val="32"/>
      <w:szCs w:val="32"/>
    </w:rPr>
  </w:style>
  <w:style w:type="character" w:customStyle="1" w:styleId="Char">
    <w:name w:val="注释标题 Char"/>
    <w:link w:val="a3"/>
    <w:qFormat/>
    <w:locked/>
    <w:rPr>
      <w:rFonts w:eastAsia="宋体"/>
      <w:kern w:val="2"/>
      <w:sz w:val="21"/>
      <w:lang w:val="en-US" w:eastAsia="zh-CN" w:bidi="ar-SA"/>
    </w:rPr>
  </w:style>
  <w:style w:type="character" w:customStyle="1" w:styleId="apple-style-span">
    <w:name w:val="apple-style-span"/>
    <w:basedOn w:val="a0"/>
    <w:qFormat/>
  </w:style>
  <w:style w:type="character" w:customStyle="1" w:styleId="CharChar0">
    <w:name w:val="普通文字 Char Char"/>
    <w:qFormat/>
    <w:rPr>
      <w:rFonts w:ascii="宋体" w:hAnsi="Courier New"/>
      <w:kern w:val="2"/>
      <w:sz w:val="21"/>
    </w:rPr>
  </w:style>
  <w:style w:type="character" w:customStyle="1" w:styleId="CharChar1">
    <w:name w:val="Char Char1"/>
    <w:qFormat/>
    <w:rPr>
      <w:rFonts w:ascii="宋体" w:eastAsia="宋体" w:hAnsi="Courier New"/>
      <w:bCs/>
      <w:kern w:val="2"/>
      <w:sz w:val="28"/>
      <w:lang w:val="en-US" w:eastAsia="zh-CN" w:bidi="ar-SA"/>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qFormat/>
    <w:rPr>
      <w:rFonts w:ascii="宋体" w:eastAsia="宋体"/>
      <w:kern w:val="2"/>
      <w:sz w:val="24"/>
      <w:szCs w:val="24"/>
      <w:lang w:val="en-US" w:eastAsia="zh-CN" w:bidi="ar-SA"/>
    </w:rPr>
  </w:style>
  <w:style w:type="paragraph" w:customStyle="1" w:styleId="zw">
    <w:name w:val="(zw 正文)"/>
    <w:basedOn w:val="a"/>
    <w:link w:val="zwCharChar"/>
    <w:qFormat/>
    <w:pPr>
      <w:spacing w:after="120"/>
      <w:ind w:firstLineChars="200" w:firstLine="200"/>
    </w:pPr>
    <w:rPr>
      <w:rFonts w:ascii="宋体"/>
      <w:sz w:val="24"/>
    </w:rPr>
  </w:style>
  <w:style w:type="paragraph" w:customStyle="1" w:styleId="Char3Char">
    <w:name w:val="Char3 Char"/>
    <w:basedOn w:val="a"/>
    <w:qFormat/>
    <w:rPr>
      <w:rFonts w:ascii="Tahoma" w:hAnsi="Tahoma"/>
      <w:sz w:val="24"/>
      <w:szCs w:val="20"/>
    </w:rPr>
  </w:style>
  <w:style w:type="paragraph" w:customStyle="1" w:styleId="reader-word-layerreader-word-s1-5">
    <w:name w:val="reader-word-layer reader-word-s1-5"/>
    <w:basedOn w:val="a"/>
    <w:qFormat/>
    <w:pPr>
      <w:widowControl/>
      <w:spacing w:before="100" w:beforeAutospacing="1" w:after="100" w:afterAutospacing="1"/>
      <w:jc w:val="left"/>
    </w:pPr>
    <w:rPr>
      <w:rFonts w:ascii="宋体" w:hAnsi="宋体" w:cs="宋体"/>
      <w:kern w:val="0"/>
      <w:sz w:val="24"/>
    </w:rPr>
  </w:style>
  <w:style w:type="character" w:customStyle="1" w:styleId="3Char">
    <w:name w:val="正文文本缩进 3 Char"/>
    <w:link w:val="31"/>
    <w:qFormat/>
    <w:rPr>
      <w:rFonts w:ascii="宋体" w:hAnsi="宋体"/>
      <w:kern w:val="2"/>
      <w:sz w:val="30"/>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CharCharChar1">
    <w:name w:val="Char Char Char Char1"/>
    <w:basedOn w:val="a"/>
    <w:qFormat/>
    <w:rPr>
      <w:rFonts w:ascii="Tahoma" w:hAnsi="Tahoma"/>
      <w:sz w:val="24"/>
      <w:szCs w:val="20"/>
    </w:rPr>
  </w:style>
  <w:style w:type="paragraph" w:customStyle="1" w:styleId="34">
    <w:name w:val="正文文本缩进 34"/>
    <w:basedOn w:val="a"/>
    <w:qFormat/>
    <w:pPr>
      <w:widowControl/>
      <w:overflowPunct w:val="0"/>
      <w:autoSpaceDE w:val="0"/>
      <w:autoSpaceDN w:val="0"/>
      <w:adjustRightInd w:val="0"/>
      <w:spacing w:line="276" w:lineRule="auto"/>
      <w:ind w:firstLine="480"/>
      <w:textAlignment w:val="baseline"/>
    </w:pPr>
    <w:rPr>
      <w:rFonts w:ascii="FangSong_GB2312" w:eastAsia="FangSong_GB2312"/>
      <w:kern w:val="0"/>
      <w:sz w:val="28"/>
      <w:szCs w:val="20"/>
    </w:rPr>
  </w:style>
  <w:style w:type="character" w:customStyle="1" w:styleId="Char0">
    <w:name w:val="正文缩进 Char"/>
    <w:link w:val="a4"/>
    <w:qFormat/>
    <w:rPr>
      <w:kern w:val="2"/>
      <w:sz w:val="21"/>
      <w:szCs w:val="24"/>
    </w:rPr>
  </w:style>
  <w:style w:type="character" w:customStyle="1" w:styleId="Char10">
    <w:name w:val="纯文本 Char1"/>
    <w:qFormat/>
    <w:rPr>
      <w:rFonts w:ascii="宋体" w:eastAsia="宋体" w:hAnsi="Courier New"/>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B435D2-00E4-4B4B-86E6-B569B382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1451</Words>
  <Characters>8277</Characters>
  <Application>Microsoft Office Word</Application>
  <DocSecurity>0</DocSecurity>
  <Lines>68</Lines>
  <Paragraphs>19</Paragraphs>
  <ScaleCrop>false</ScaleCrop>
  <Company>Microsoft</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benq</dc:creator>
  <cp:lastModifiedBy>admin</cp:lastModifiedBy>
  <cp:revision>155</cp:revision>
  <cp:lastPrinted>2019-11-15T08:07:00Z</cp:lastPrinted>
  <dcterms:created xsi:type="dcterms:W3CDTF">2021-11-22T06:58:00Z</dcterms:created>
  <dcterms:modified xsi:type="dcterms:W3CDTF">2022-09-14T08:14:00Z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9BCCE8C47CC34187B84CDB389FCAFD53</vt:lpwstr>
  </property>
</Properties>
</file>