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ind w:firstLine="420" w:firstLineChars="0"/>
        <w:jc w:val="center"/>
        <w:rPr>
          <w:rFonts w:ascii="仿宋" w:hAnsi="仿宋" w:eastAsia="仿宋"/>
          <w:sz w:val="36"/>
          <w:szCs w:val="36"/>
        </w:rPr>
      </w:pPr>
      <w:r>
        <w:rPr>
          <w:rFonts w:hint="eastAsia" w:ascii="仿宋" w:hAnsi="仿宋" w:eastAsia="仿宋"/>
          <w:b/>
          <w:bCs/>
          <w:sz w:val="36"/>
          <w:szCs w:val="36"/>
        </w:rPr>
        <w:t>目    录</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一、致委托方函....................</w:t>
      </w:r>
      <w:r>
        <w:rPr>
          <w:rFonts w:hint="eastAsia" w:ascii="仿宋_GB2312" w:hAnsi="宋体" w:eastAsia="仿宋_GB2312"/>
          <w:sz w:val="28"/>
          <w:szCs w:val="28"/>
          <w:lang w:val="en-US" w:eastAsia="zh-CN"/>
        </w:rPr>
        <w:t>...................3</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二、估价师声明</w:t>
      </w:r>
      <w:r>
        <w:rPr>
          <w:rFonts w:hint="eastAsia" w:ascii="仿宋_GB2312" w:hAnsi="宋体" w:eastAsia="仿宋_GB2312"/>
          <w:sz w:val="28"/>
          <w:szCs w:val="28"/>
          <w:lang w:val="en-US" w:eastAsia="zh-CN"/>
        </w:rPr>
        <w:t xml:space="preserve"> ......................................4</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三、估价的假设和限制条件</w:t>
      </w:r>
      <w:r>
        <w:rPr>
          <w:rFonts w:hint="eastAsia" w:ascii="仿宋_GB2312" w:hAnsi="宋体" w:eastAsia="仿宋_GB2312"/>
          <w:sz w:val="28"/>
          <w:szCs w:val="28"/>
          <w:lang w:val="en-US" w:eastAsia="zh-CN"/>
        </w:rPr>
        <w:t xml:space="preserve"> ..........................5-7</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四、房地产估价结果报告</w:t>
      </w:r>
      <w:r>
        <w:rPr>
          <w:rFonts w:hint="eastAsia" w:ascii="仿宋_GB2312" w:hAnsi="宋体" w:eastAsia="仿宋_GB2312"/>
          <w:sz w:val="28"/>
          <w:szCs w:val="28"/>
          <w:lang w:val="en-US" w:eastAsia="zh-CN"/>
        </w:rPr>
        <w:t xml:space="preserve"> ...........................8-12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（一）委托方........................................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（二）估价方.........................................8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（三）估价对象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（四）估价目的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（五）估价时点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（六）价值定义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（七）估价依据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（八）估价原则 .....................................10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（九）估价方法 .....................................11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（十）估价结果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（十一）评估机构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（十二）评估人员....................................12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（十三）报告出具日期................................12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（十四）估价报告应用的有效期 .......................12</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五、房地产估价技术报告</w:t>
      </w:r>
      <w:r>
        <w:rPr>
          <w:rFonts w:hint="eastAsia" w:ascii="仿宋_GB2312" w:hAnsi="宋体" w:eastAsia="仿宋_GB2312"/>
          <w:sz w:val="28"/>
          <w:szCs w:val="28"/>
          <w:lang w:val="en-US" w:eastAsia="zh-CN"/>
        </w:rPr>
        <w:t xml:space="preserve"> .........................13-19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（一）估价对象实物分析 .............................13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（二）区域因素分析 .................................13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（三）最高最佳使用分析 .............................14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（四）估价方法的选用................................14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（五）估价测算过程...............................15</w:t>
      </w:r>
      <w:bookmarkStart w:id="0" w:name="_GoBack"/>
      <w:bookmarkEnd w:id="0"/>
      <w:r>
        <w:rPr>
          <w:rFonts w:hint="eastAsia" w:ascii="仿宋_GB2312" w:hAnsi="宋体" w:eastAsia="仿宋_GB2312"/>
          <w:sz w:val="28"/>
          <w:szCs w:val="28"/>
          <w:lang w:val="en-US" w:eastAsia="zh-CN"/>
        </w:rPr>
        <w:t>-19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（六）估价结果确定..................................19</w:t>
      </w:r>
    </w:p>
    <w:p>
      <w:pPr>
        <w:jc w:val="both"/>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六、附件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（一）孝感市孝南区人民法院司法鉴定委托书复印件；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（二）价格评估机构资质证书复印件；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（三）评估机构法人营业执照副本复印件；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（四）价格评估人员资格证书复印件；</w:t>
      </w:r>
    </w:p>
    <w:p>
      <w:pPr>
        <w:ind w:firstLine="560" w:firstLineChars="200"/>
        <w:rPr>
          <w:rFonts w:hint="eastAsia" w:ascii="仿宋" w:hAnsi="仿宋" w:eastAsia="仿宋"/>
          <w:b/>
          <w:bCs/>
          <w:sz w:val="44"/>
          <w:szCs w:val="44"/>
        </w:rPr>
      </w:pPr>
      <w:r>
        <w:rPr>
          <w:rFonts w:hint="eastAsia" w:ascii="仿宋_GB2312" w:hAnsi="宋体" w:eastAsia="仿宋_GB2312"/>
          <w:sz w:val="28"/>
          <w:szCs w:val="28"/>
          <w:lang w:val="en-US" w:eastAsia="zh-CN"/>
        </w:rPr>
        <w:t xml:space="preserve"> （五）现场勘验估价对象有关照片。</w:t>
      </w:r>
    </w:p>
    <w:p>
      <w:pPr>
        <w:jc w:val="center"/>
        <w:rPr>
          <w:rFonts w:hint="eastAsia" w:ascii="仿宋" w:hAnsi="仿宋" w:eastAsia="仿宋"/>
          <w:b/>
          <w:bCs/>
          <w:sz w:val="44"/>
          <w:szCs w:val="44"/>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rPr>
      </w:pPr>
    </w:p>
    <w:p>
      <w:pPr>
        <w:jc w:val="center"/>
        <w:rPr>
          <w:rFonts w:hint="eastAsia" w:ascii="仿宋" w:hAnsi="仿宋" w:eastAsia="仿宋"/>
          <w:b/>
          <w:bCs/>
          <w:sz w:val="44"/>
          <w:szCs w:val="44"/>
        </w:rPr>
      </w:pPr>
    </w:p>
    <w:p>
      <w:pPr>
        <w:jc w:val="center"/>
        <w:rPr>
          <w:rFonts w:hint="eastAsia" w:ascii="仿宋" w:hAnsi="仿宋" w:eastAsia="仿宋"/>
          <w:b/>
          <w:bCs/>
          <w:sz w:val="44"/>
          <w:szCs w:val="44"/>
        </w:rPr>
      </w:pP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致委托方函</w:t>
      </w:r>
    </w:p>
    <w:p>
      <w:pPr>
        <w:ind w:firstLine="560" w:firstLineChars="200"/>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sz w:val="28"/>
          <w:szCs w:val="28"/>
          <w:lang w:val="en-US" w:eastAsia="zh-CN"/>
        </w:rPr>
        <w:t>孝感市孝南区</w:t>
      </w:r>
      <w:r>
        <w:rPr>
          <w:rFonts w:hint="eastAsia" w:ascii="仿宋_GB2312" w:hAnsi="宋体" w:eastAsia="仿宋_GB2312" w:cs="Times New Roman"/>
          <w:kern w:val="2"/>
          <w:sz w:val="28"/>
          <w:szCs w:val="28"/>
          <w:lang w:val="en-US" w:eastAsia="zh-CN" w:bidi="ar-SA"/>
        </w:rPr>
        <w:t>人民法院：</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受贵方（以下简称委托方）的委托，本公司</w:t>
      </w:r>
      <w:r>
        <w:rPr>
          <w:rFonts w:hint="eastAsia" w:ascii="仿宋_GB2312" w:hAnsi="宋体" w:eastAsia="仿宋_GB2312" w:cs="Times New Roman"/>
          <w:kern w:val="2"/>
          <w:sz w:val="28"/>
          <w:szCs w:val="28"/>
          <w:highlight w:val="none"/>
          <w:lang w:val="en-US" w:eastAsia="zh-CN" w:bidi="ar-SA"/>
        </w:rPr>
        <w:t>于2022年11月01日派</w:t>
      </w:r>
      <w:r>
        <w:rPr>
          <w:rFonts w:hint="eastAsia" w:ascii="仿宋_GB2312" w:hAnsi="宋体" w:eastAsia="仿宋_GB2312" w:cs="Times New Roman"/>
          <w:kern w:val="2"/>
          <w:sz w:val="28"/>
          <w:szCs w:val="28"/>
          <w:lang w:val="en-US" w:eastAsia="zh-CN" w:bidi="ar-SA"/>
        </w:rPr>
        <w:t>员对委托方列明的唐华兵所有的、位于孝感市槐荫大道柳岸春城1幢17层1704室，建筑面积为12</w:t>
      </w:r>
      <w:r>
        <w:rPr>
          <w:rFonts w:hint="eastAsia" w:ascii="仿宋_GB2312" w:hAnsi="宋体" w:eastAsia="仿宋_GB2312" w:cs="Times New Roman"/>
          <w:kern w:val="2"/>
          <w:sz w:val="28"/>
          <w:szCs w:val="28"/>
          <w:highlight w:val="none"/>
          <w:lang w:val="en-US" w:eastAsia="zh-CN" w:bidi="ar-SA"/>
        </w:rPr>
        <w:t>9.1平方米的住宅房</w:t>
      </w:r>
      <w:r>
        <w:rPr>
          <w:rFonts w:hint="eastAsia" w:ascii="仿宋_GB2312" w:hAnsi="宋体" w:eastAsia="仿宋_GB2312" w:cs="Times New Roman"/>
          <w:kern w:val="2"/>
          <w:sz w:val="28"/>
          <w:szCs w:val="28"/>
          <w:lang w:val="en-US" w:eastAsia="zh-CN" w:bidi="ar-SA"/>
        </w:rPr>
        <w:t>屋（含相关权益）进行了现场实地查勘，并对估价对象房地产于估价时</w:t>
      </w:r>
      <w:r>
        <w:rPr>
          <w:rFonts w:hint="eastAsia" w:ascii="仿宋_GB2312" w:hAnsi="宋体" w:eastAsia="仿宋_GB2312" w:cs="Times New Roman"/>
          <w:kern w:val="2"/>
          <w:sz w:val="28"/>
          <w:szCs w:val="28"/>
          <w:highlight w:val="none"/>
          <w:lang w:val="en-US" w:eastAsia="zh-CN" w:bidi="ar-SA"/>
        </w:rPr>
        <w:t>点2022年11月01日的市</w:t>
      </w:r>
      <w:r>
        <w:rPr>
          <w:rFonts w:hint="eastAsia" w:ascii="仿宋_GB2312" w:hAnsi="宋体" w:eastAsia="仿宋_GB2312" w:cs="Times New Roman"/>
          <w:kern w:val="2"/>
          <w:sz w:val="28"/>
          <w:szCs w:val="28"/>
          <w:lang w:val="en-US" w:eastAsia="zh-CN" w:bidi="ar-SA"/>
        </w:rPr>
        <w:t>场价值进行了估价，为委托方处理案件确定房地产处置参考价提供价格咨询参考依据。</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在整个估价过程中，估价人员本着独立、客观、公正的原则，根据估价目的，收集有关资料，按照估价程序，选择市场法对估价对象进行了评估。估价人员经过实地勘察和测算，确定估价对象在估价时点可能形成的市场价值为</w:t>
      </w:r>
      <w:r>
        <w:rPr>
          <w:rFonts w:hint="eastAsia" w:ascii="仿宋_GB2312" w:hAnsi="宋体" w:eastAsia="仿宋_GB2312" w:cs="Times New Roman"/>
          <w:kern w:val="2"/>
          <w:sz w:val="28"/>
          <w:szCs w:val="28"/>
          <w:highlight w:val="none"/>
          <w:lang w:val="en-US" w:eastAsia="zh-CN" w:bidi="ar-SA"/>
        </w:rPr>
        <w:t>￥495615元(</w:t>
      </w:r>
      <w:r>
        <w:rPr>
          <w:rFonts w:hint="eastAsia" w:ascii="仿宋_GB2312" w:hAnsi="宋体" w:eastAsia="仿宋_GB2312" w:cs="Times New Roman"/>
          <w:kern w:val="2"/>
          <w:sz w:val="28"/>
          <w:szCs w:val="28"/>
          <w:lang w:val="en-US" w:eastAsia="zh-CN" w:bidi="ar-SA"/>
        </w:rPr>
        <w:t>大写人民币肆拾玖万伍仟陆佰壹拾伍元整)。</w:t>
      </w:r>
    </w:p>
    <w:p>
      <w:pPr>
        <w:rPr>
          <w:rFonts w:hint="eastAsia" w:ascii="仿宋_GB2312" w:hAnsi="宋体" w:eastAsia="仿宋_GB2312" w:cs="Times New Roman"/>
          <w:kern w:val="2"/>
          <w:sz w:val="28"/>
          <w:szCs w:val="28"/>
          <w:lang w:val="en-US" w:eastAsia="zh-CN" w:bidi="ar-SA"/>
        </w:rPr>
      </w:pPr>
    </w:p>
    <w:p>
      <w:pPr>
        <w:rPr>
          <w:rFonts w:hint="eastAsia" w:ascii="仿宋" w:hAnsi="仿宋" w:eastAsia="仿宋" w:cs="仿宋"/>
          <w:sz w:val="30"/>
          <w:szCs w:val="30"/>
          <w:lang w:val="en-US" w:eastAsia="zh-CN"/>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二0二二年十一月十六日</w:t>
      </w:r>
    </w:p>
    <w:p>
      <w:pPr>
        <w:jc w:val="both"/>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center"/>
        <w:rPr>
          <w:rFonts w:ascii="仿宋" w:hAnsi="仿宋" w:eastAsia="仿宋"/>
          <w:b/>
          <w:bCs/>
          <w:sz w:val="30"/>
          <w:szCs w:val="30"/>
        </w:rPr>
      </w:pPr>
      <w:r>
        <w:rPr>
          <w:rFonts w:hint="eastAsia" w:ascii="仿宋" w:hAnsi="仿宋" w:eastAsia="仿宋"/>
          <w:b/>
          <w:bCs/>
          <w:sz w:val="44"/>
          <w:szCs w:val="44"/>
          <w:lang w:val="en-US" w:eastAsia="zh-CN"/>
        </w:rPr>
        <w:t>估价师声明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我们根据自己的专业知识和职业道德，在此郑重声明：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1、我们所提供的估价服务是依据《房地产估价规范》进行的，估价报告中陈述事实是真实和准确的，请仔细阅读本估价报告及有关附件。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2、估价报告中的分析、意见和结论，是我们自己公正的专业分析、意见和结论，但受到估价报告中已说明的假设和限制条件的限制。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3、我们与本估价报告中的估价对象没有任何利害关系；对相关各方的当事人没有任何偏见，也没有任何个人利害关系。</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4、我们依照中华人民共和国国家标准《房地产估价规范》等有关法律法规的规定进行分析，形成意见和结论，撰写本估价报告。</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我们仅对委托方指定的估价对象范围进行了实地勘查，估价过程中，未能取得资产占有方有关书面或口头情况说明，我们仅依据所取得的产权资料估算；相关权属资料仅以委托方提供的复印件为依据，我们不对其建筑结构质量、数量等内容的准确性及相关权益负责。</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6、由于估价人员的专业限制，本次估价过程中没有其他专业人员及机构对本估价报告提供诸如结构安全、环境保护、规划控制、产权设定与登记、装修及配套设施设备的权属等方面的专业支持和帮助。</w:t>
      </w:r>
    </w:p>
    <w:p>
      <w:pPr>
        <w:rPr>
          <w:rFonts w:hint="eastAsia" w:ascii="仿宋" w:hAnsi="仿宋" w:eastAsia="仿宋"/>
          <w:b/>
          <w:bCs/>
          <w:sz w:val="44"/>
          <w:szCs w:val="44"/>
          <w:lang w:val="en-US" w:eastAsia="zh-CN"/>
        </w:rPr>
      </w:pPr>
      <w:r>
        <w:rPr>
          <w:rFonts w:hint="eastAsia" w:ascii="仿宋_GB2312" w:hAnsi="宋体" w:eastAsia="仿宋_GB2312" w:cs="Times New Roman"/>
          <w:kern w:val="2"/>
          <w:sz w:val="28"/>
          <w:szCs w:val="28"/>
          <w:lang w:val="en-US" w:eastAsia="zh-CN" w:bidi="ar-SA"/>
        </w:rPr>
        <w:t xml:space="preserve">    7、其他声明事项：出于职业责任，我们与委托方进行必要沟通，避免对本估价报告使用不当的情况发生，提示估价报告使用者合理并恰当使用估价报告，并声明不承担相关当事人决策的责任。</w:t>
      </w: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估价的假设和限制条件</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（一）本次估价假设条件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1、估价对象产权手续齐全，房屋产权明确清晰，可在公开市场上自由转让交易。</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次估价对象以估价时点的权属实物存量——包括商品房买卖合同记载范围内的建筑物为前提，本报告所称“估价结果”是指对估价对象在现有用途、状态不变的前提下，为本报告书所列明的目的和假设限制条件下的现行公开市场价值的估计值，无特殊指定情况下，计价金额以人民币元为单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3、不考虑特殊买家或关联方交易，也不考虑估价对象合并、分割等特殊交易；交易双方所获信息是平等或对称的，并谨慎对待估价对象。</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4、在本估价报告书有效期内估价对象存量及相关影响因素、评估所遵循的合法、最高最佳使用原则等不发生变化，估价时点房地产市场为公开公平的均衡市场；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估价结果的有效性依赖于本次估价的前提、假设限制以及遵循的经济原则，这些条件是由本公司估价人员根据估价对象实际情况并结合估价相关规定综合提出的，具有客观性和合理性，以上条件若不成立，本估价结果无效。</w:t>
      </w:r>
    </w:p>
    <w:p>
      <w:pPr>
        <w:rPr>
          <w:rFonts w:ascii="仿宋" w:hAnsi="仿宋" w:eastAsia="仿宋"/>
          <w:sz w:val="30"/>
          <w:szCs w:val="30"/>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（二）估价限制条件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次估价中运用的法律权属及其证明资料均由委托方提供（复印件），本公司估价人员未能见原件，也未向政府有关部门核实，委托方和相关当事方对其所提供全部资料的真实性、合法性及合理使用估价报告负责；建议有关法律权属及其证明资料的确定最终以有权机关确认为准，若与委托方向我们提供的资料存在差异，本公司保留对报告书的修正权；</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2、本估价报告书及列明结论仅对本次估价目的，其他用途的运用均属无效；</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3、本估价报告及附件须同时完整使用方为有效，本公司不对仅使用报告中部分内容或不同时使用所可能导致的任何损失承担责任。</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本次估价中所运用的资料数据均来自委托方提供的复印件，对超出估价师专业范围之外的其他专业问题未作任何结论和说明，现场工作人员对因遮盖、未暴露、预埋设施及其它人为阻碍难于触及到的部分未进行检验，有关这部分事项请向其他专业工程师、律师及相关政府主管部门询及。</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5、本估价报告书自估价报告完成之日起壹年内有效。在有效期内使用本报告时，应充分考虑房地产市场可能的变化情况及未来发展状况，并随时与本公司联系，以达到有效使用之目的。</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6、本估价报告及相关部分的解释权属湖北循其本价格鉴定评估有限公司，未经本公司书面同意，有关本估价报告的全部或部分内容不得传阅给除使用人以及估价行业管理部门以外的第三者，亦不可公布于任何公开媒体。  </w:t>
      </w:r>
    </w:p>
    <w:p>
      <w:pPr>
        <w:rPr>
          <w:rFonts w:hint="eastAsia" w:ascii="仿宋_GB2312" w:hAnsi="宋体" w:eastAsia="仿宋_GB2312" w:cs="Times New Roman"/>
          <w:kern w:val="2"/>
          <w:sz w:val="28"/>
          <w:szCs w:val="28"/>
          <w:lang w:val="en-US" w:eastAsia="zh-CN" w:bidi="ar-SA"/>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 xml:space="preserve">（三）特别事项说明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1、本报告是根据人民法院及相关当事人提供的资料和信息出具，资料和信息的真实性、完整性、合法性对评估结论构成影响，依据同一标的资产的其他资料或者信息可能得出与本报告不一致的评估结论。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2、本评估报告使用人须正确理解和使用评估结论，评估结论不等同于评估对象可实现价格，评估结论不应当被认为是对评估对象可实现价格的保证。</w:t>
      </w:r>
    </w:p>
    <w:p>
      <w:pPr>
        <w:numPr>
          <w:ilvl w:val="0"/>
          <w:numId w:val="0"/>
        </w:num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仿宋" w:eastAsia="仿宋_GB2312"/>
          <w:b w:val="0"/>
          <w:bCs/>
          <w:sz w:val="28"/>
          <w:szCs w:val="28"/>
          <w:lang w:val="en-US" w:eastAsia="zh-CN"/>
        </w:rPr>
        <w:t>3、当事人或其他利害关系人对本估价报告如有异议，可以在收到估价报告10日内以书面形式向人民法院提出。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4、估价结果是根据估价对象使用年限、现场勘查情况，结合市场实际交易实例，采用市场法进行综合估算的。</w:t>
      </w:r>
    </w:p>
    <w:p>
      <w:pPr>
        <w:ind w:firstLine="560" w:firstLineChars="200"/>
        <w:rPr>
          <w:rFonts w:hint="default" w:ascii="仿宋" w:hAnsi="仿宋" w:eastAsia="仿宋"/>
          <w:color w:val="auto"/>
          <w:sz w:val="30"/>
          <w:szCs w:val="30"/>
          <w:lang w:val="en-US" w:eastAsia="zh-CN"/>
        </w:rPr>
      </w:pPr>
      <w:r>
        <w:rPr>
          <w:rFonts w:hint="eastAsia" w:ascii="仿宋_GB2312" w:hAnsi="宋体" w:eastAsia="仿宋_GB2312" w:cs="Times New Roman"/>
          <w:kern w:val="2"/>
          <w:sz w:val="28"/>
          <w:szCs w:val="28"/>
          <w:lang w:val="en-US" w:eastAsia="zh-CN" w:bidi="ar-SA"/>
        </w:rPr>
        <w:t>5、评估过程中没有考虑估价对象房屋租赁、产权抵押、查封等因素对估价结果的影响。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二0二二年十一月十六日</w:t>
      </w:r>
    </w:p>
    <w:p>
      <w:pPr>
        <w:rPr>
          <w:rFonts w:hint="eastAsia" w:ascii="仿宋" w:hAnsi="仿宋"/>
          <w:b/>
          <w:w w:val="40"/>
          <w:sz w:val="140"/>
          <w:szCs w:val="140"/>
          <w:lang w:val="en-US" w:eastAsia="zh-CN"/>
        </w:rPr>
      </w:pPr>
    </w:p>
    <w:p>
      <w:pPr>
        <w:rPr>
          <w:rFonts w:hint="eastAsia" w:ascii="仿宋" w:hAnsi="仿宋"/>
          <w:b/>
          <w:w w:val="40"/>
          <w:sz w:val="140"/>
          <w:szCs w:val="140"/>
        </w:rPr>
      </w:pPr>
      <w:r>
        <w:rPr>
          <w:rFonts w:hint="eastAsia" w:ascii="仿宋" w:hAnsi="仿宋"/>
          <w:b/>
          <w:w w:val="40"/>
          <w:sz w:val="140"/>
          <w:szCs w:val="140"/>
          <w:lang w:val="en-US" w:eastAsia="zh-CN"/>
        </w:rPr>
        <w:t xml:space="preserve"> </w:t>
      </w:r>
      <w:r>
        <w:rPr>
          <w:rFonts w:hint="eastAsia" w:ascii="仿宋" w:hAnsi="仿宋"/>
          <w:b/>
          <w:w w:val="40"/>
          <w:sz w:val="140"/>
          <w:szCs w:val="140"/>
        </w:rPr>
        <w:t>湖北循其本价格鉴定评估有限公司</w:t>
      </w:r>
    </w:p>
    <w:p>
      <w:pPr>
        <w:ind w:left="-92" w:leftChars="-85" w:right="-147" w:rightChars="-70" w:hanging="86" w:hangingChars="31"/>
        <w:jc w:val="center"/>
        <w:rPr>
          <w:rFonts w:hint="eastAsia" w:ascii="仿宋_GB2312" w:hAnsi="仿宋" w:eastAsia="仿宋_GB2312"/>
          <w:kern w:val="13"/>
          <w:sz w:val="28"/>
          <w:szCs w:val="28"/>
          <w:highlight w:val="none"/>
        </w:rPr>
      </w:pPr>
      <w:r>
        <w:rPr>
          <w:sz w:val="28"/>
          <w:highlight w:val="none"/>
        </w:rPr>
        <mc:AlternateContent>
          <mc:Choice Requires="wps">
            <w:drawing>
              <wp:anchor distT="0" distB="0" distL="114300" distR="114300" simplePos="0" relativeHeight="251660288" behindDoc="0" locked="0" layoutInCell="1" allowOverlap="1">
                <wp:simplePos x="0" y="0"/>
                <wp:positionH relativeFrom="column">
                  <wp:posOffset>80010</wp:posOffset>
                </wp:positionH>
                <wp:positionV relativeFrom="paragraph">
                  <wp:posOffset>346075</wp:posOffset>
                </wp:positionV>
                <wp:extent cx="5511800" cy="15240"/>
                <wp:effectExtent l="0" t="4445" r="12700" b="8890"/>
                <wp:wrapNone/>
                <wp:docPr id="1" name="直接连接符 1"/>
                <wp:cNvGraphicFramePr/>
                <a:graphic xmlns:a="http://schemas.openxmlformats.org/drawingml/2006/main">
                  <a:graphicData uri="http://schemas.microsoft.com/office/word/2010/wordprocessingShape">
                    <wps:wsp>
                      <wps:cNvCnPr/>
                      <wps:spPr>
                        <a:xfrm>
                          <a:off x="0" y="0"/>
                          <a:ext cx="5511800" cy="152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3pt;margin-top:27.25pt;height:1.2pt;width:434pt;z-index:251660288;mso-width-relative:page;mso-height-relative:page;" filled="f" stroked="t" coordsize="21600,21600" o:gfxdata="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dG5bvVAAAACAEAAA8AAAAA&#10;AAAAAQAgAAAAIgAAAGRycy9kb3ducmV2LnhtbFBLAQIUABQAAAAIAIdO4kAwEdxg3gEAAJoDAAAO&#10;AAAAAAAAAAEAIAAAACQBAABkcnMvZTJvRG9jLnhtbFBLBQYAAAAABgAGAFkBAAB0BQAAAAA=&#10;">
                <v:fill on="f" focussize="0,0"/>
                <v:stroke color="#000000" joinstyle="round"/>
                <v:imagedata o:title=""/>
                <o:lock v:ext="edit" aspectratio="f"/>
              </v:line>
            </w:pict>
          </mc:Fallback>
        </mc:AlternateContent>
      </w:r>
      <w:r>
        <w:rPr>
          <w:rFonts w:hint="eastAsia" w:ascii="仿宋_GB2312" w:hAnsi="仿宋" w:eastAsia="仿宋_GB2312"/>
          <w:kern w:val="13"/>
          <w:sz w:val="28"/>
          <w:szCs w:val="28"/>
          <w:highlight w:val="none"/>
        </w:rPr>
        <w:t>鄂循价鉴[20</w:t>
      </w:r>
      <w:r>
        <w:rPr>
          <w:rFonts w:hint="eastAsia" w:ascii="仿宋_GB2312" w:hAnsi="仿宋" w:eastAsia="仿宋_GB2312"/>
          <w:kern w:val="13"/>
          <w:sz w:val="28"/>
          <w:szCs w:val="28"/>
          <w:highlight w:val="none"/>
          <w:lang w:val="en-US" w:eastAsia="zh-CN"/>
        </w:rPr>
        <w:t>22</w:t>
      </w:r>
      <w:r>
        <w:rPr>
          <w:rFonts w:hint="eastAsia" w:ascii="仿宋_GB2312" w:hAnsi="仿宋" w:eastAsia="仿宋_GB2312"/>
          <w:kern w:val="13"/>
          <w:sz w:val="28"/>
          <w:szCs w:val="28"/>
          <w:highlight w:val="none"/>
        </w:rPr>
        <w:t>]第</w:t>
      </w:r>
      <w:r>
        <w:rPr>
          <w:rFonts w:hint="eastAsia" w:ascii="仿宋_GB2312" w:hAnsi="仿宋" w:eastAsia="仿宋_GB2312"/>
          <w:kern w:val="13"/>
          <w:sz w:val="28"/>
          <w:szCs w:val="28"/>
          <w:highlight w:val="none"/>
          <w:lang w:val="en-US" w:eastAsia="zh-CN"/>
        </w:rPr>
        <w:t>71262</w:t>
      </w:r>
      <w:r>
        <w:rPr>
          <w:rFonts w:hint="eastAsia" w:ascii="仿宋_GB2312" w:hAnsi="仿宋" w:eastAsia="仿宋_GB2312"/>
          <w:kern w:val="13"/>
          <w:sz w:val="28"/>
          <w:szCs w:val="28"/>
          <w:highlight w:val="none"/>
        </w:rPr>
        <w:t>号</w:t>
      </w:r>
    </w:p>
    <w:p>
      <w:pPr>
        <w:jc w:val="center"/>
        <w:rPr>
          <w:rFonts w:hint="eastAsia" w:ascii="仿宋" w:hAnsi="仿宋" w:eastAsia="仿宋"/>
          <w:b/>
          <w:bCs/>
          <w:sz w:val="36"/>
          <w:szCs w:val="36"/>
          <w:lang w:eastAsia="zh-CN"/>
        </w:rPr>
      </w:pPr>
      <w:r>
        <w:rPr>
          <w:rFonts w:hint="eastAsia" w:ascii="仿宋" w:hAnsi="仿宋" w:eastAsia="仿宋"/>
          <w:b/>
          <w:bCs/>
          <w:sz w:val="36"/>
          <w:szCs w:val="36"/>
          <w:lang w:eastAsia="zh-CN"/>
        </w:rPr>
        <w:t>唐华兵所有的</w:t>
      </w:r>
    </w:p>
    <w:p>
      <w:pPr>
        <w:jc w:val="center"/>
        <w:rPr>
          <w:rFonts w:hint="eastAsia" w:ascii="仿宋" w:hAnsi="仿宋" w:eastAsia="仿宋"/>
          <w:b/>
          <w:bCs/>
          <w:sz w:val="36"/>
          <w:szCs w:val="36"/>
          <w:lang w:val="en-US" w:eastAsia="zh-CN"/>
        </w:rPr>
      </w:pPr>
      <w:r>
        <w:rPr>
          <w:rFonts w:hint="eastAsia" w:ascii="仿宋" w:hAnsi="仿宋" w:eastAsia="仿宋"/>
          <w:b/>
          <w:bCs/>
          <w:sz w:val="36"/>
          <w:szCs w:val="36"/>
          <w:lang w:eastAsia="zh-CN"/>
        </w:rPr>
        <w:t>位于孝感市槐荫大道柳岸春城</w:t>
      </w:r>
      <w:r>
        <w:rPr>
          <w:rFonts w:hint="eastAsia" w:ascii="仿宋" w:hAnsi="仿宋" w:eastAsia="仿宋"/>
          <w:b/>
          <w:bCs/>
          <w:sz w:val="36"/>
          <w:szCs w:val="36"/>
          <w:lang w:val="en-US" w:eastAsia="zh-CN"/>
        </w:rPr>
        <w:t>1幢17层1704室</w:t>
      </w:r>
    </w:p>
    <w:p>
      <w:pPr>
        <w:jc w:val="center"/>
        <w:rPr>
          <w:rFonts w:ascii="仿宋" w:hAnsi="仿宋" w:eastAsia="仿宋"/>
          <w:b/>
          <w:bCs/>
          <w:sz w:val="36"/>
          <w:szCs w:val="36"/>
        </w:rPr>
      </w:pPr>
      <w:r>
        <w:rPr>
          <w:rFonts w:hint="eastAsia" w:ascii="仿宋" w:hAnsi="仿宋" w:eastAsia="仿宋"/>
          <w:b/>
          <w:bCs/>
          <w:sz w:val="36"/>
          <w:szCs w:val="36"/>
        </w:rPr>
        <w:t>房地产估价结果报告</w:t>
      </w:r>
    </w:p>
    <w:p>
      <w:pPr>
        <w:jc w:val="cente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lang w:val="en-US" w:eastAsia="zh-CN"/>
        </w:rPr>
        <w:t>（一）委托方</w:t>
      </w:r>
    </w:p>
    <w:p>
      <w:pPr>
        <w:numPr>
          <w:ilvl w:val="0"/>
          <w:numId w:val="1"/>
        </w:num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委托方：</w:t>
      </w:r>
      <w:r>
        <w:rPr>
          <w:rFonts w:hint="eastAsia" w:ascii="仿宋_GB2312" w:hAnsi="宋体" w:eastAsia="仿宋_GB2312"/>
          <w:sz w:val="28"/>
          <w:szCs w:val="28"/>
          <w:lang w:val="en-US" w:eastAsia="zh-CN"/>
        </w:rPr>
        <w:t>孝感市孝南区</w:t>
      </w:r>
      <w:r>
        <w:rPr>
          <w:rFonts w:hint="eastAsia" w:ascii="仿宋_GB2312" w:hAnsi="宋体" w:eastAsia="仿宋_GB2312" w:cs="Times New Roman"/>
          <w:kern w:val="2"/>
          <w:sz w:val="28"/>
          <w:szCs w:val="28"/>
          <w:lang w:val="en-US" w:eastAsia="zh-CN" w:bidi="ar-SA"/>
        </w:rPr>
        <w:t>人民法院</w:t>
      </w:r>
    </w:p>
    <w:p>
      <w:pPr>
        <w:numPr>
          <w:ilvl w:val="0"/>
          <w:numId w:val="1"/>
        </w:numPr>
        <w:ind w:left="0" w:leftChars="0"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住所：</w:t>
      </w:r>
      <w:r>
        <w:rPr>
          <w:rFonts w:hint="eastAsia" w:ascii="仿宋_GB2312" w:hAnsi="宋体" w:eastAsia="仿宋_GB2312" w:cs="Times New Roman"/>
          <w:kern w:val="2"/>
          <w:sz w:val="28"/>
          <w:szCs w:val="28"/>
          <w:highlight w:val="none"/>
          <w:lang w:val="en-US" w:eastAsia="zh-CN" w:bidi="ar-SA"/>
        </w:rPr>
        <w:t>湖北省孝感市孝南区黄花路38号</w:t>
      </w:r>
    </w:p>
    <w:p>
      <w:pPr>
        <w:numPr>
          <w:ilvl w:val="0"/>
          <w:numId w:val="0"/>
        </w:num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（二）估价方：</w:t>
      </w:r>
      <w:r>
        <w:rPr>
          <w:rFonts w:hint="eastAsia" w:ascii="仿宋_GB2312" w:hAnsi="宋体" w:eastAsia="仿宋_GB2312" w:cs="Times New Roman"/>
          <w:kern w:val="2"/>
          <w:sz w:val="28"/>
          <w:szCs w:val="28"/>
          <w:lang w:val="en-US" w:eastAsia="zh-CN" w:bidi="ar-SA"/>
        </w:rPr>
        <w:t>湖北循其本价格鉴定评估有限公司</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cs="Times New Roman"/>
          <w:kern w:val="2"/>
          <w:sz w:val="28"/>
          <w:szCs w:val="28"/>
          <w:lang w:val="en-US" w:eastAsia="zh-CN" w:bidi="ar-SA"/>
        </w:rPr>
        <w:t>1. 法定代表人：</w:t>
      </w:r>
      <w:r>
        <w:rPr>
          <w:rFonts w:hint="eastAsia" w:ascii="仿宋_GB2312" w:hAnsi="宋体" w:eastAsia="仿宋_GB2312"/>
          <w:sz w:val="28"/>
          <w:szCs w:val="28"/>
          <w:lang w:val="en-US" w:eastAsia="zh-CN"/>
        </w:rPr>
        <w:t>魏胜凯</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 住所：</w:t>
      </w:r>
      <w:r>
        <w:rPr>
          <w:rFonts w:hint="eastAsia" w:ascii="仿宋_GB2312" w:hAnsi="宋体" w:eastAsia="仿宋_GB2312" w:cs="Times New Roman"/>
          <w:kern w:val="2"/>
          <w:sz w:val="28"/>
          <w:szCs w:val="28"/>
          <w:highlight w:val="none"/>
          <w:lang w:val="en-US" w:eastAsia="zh-CN" w:bidi="ar-SA"/>
        </w:rPr>
        <w:t>湖北省咸宁市高新贺胜路（墨香苑小区）3栋5层504</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（三）估价对象</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1、估价对象范围</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本次估价对象范围为唐华兵所有的、位于孝感市槐荫大道柳岸春城1幢17层1704室，建筑面</w:t>
      </w:r>
      <w:r>
        <w:rPr>
          <w:rFonts w:hint="eastAsia" w:ascii="仿宋_GB2312" w:hAnsi="宋体" w:eastAsia="仿宋_GB2312" w:cs="Times New Roman"/>
          <w:kern w:val="2"/>
          <w:sz w:val="28"/>
          <w:szCs w:val="28"/>
          <w:highlight w:val="none"/>
          <w:lang w:val="en-US" w:eastAsia="zh-CN" w:bidi="ar-SA"/>
        </w:rPr>
        <w:t>积为129.1平方米的住</w:t>
      </w:r>
      <w:r>
        <w:rPr>
          <w:rFonts w:hint="eastAsia" w:ascii="仿宋_GB2312" w:hAnsi="宋体" w:eastAsia="仿宋_GB2312" w:cs="Times New Roman"/>
          <w:kern w:val="2"/>
          <w:sz w:val="28"/>
          <w:szCs w:val="28"/>
          <w:lang w:val="en-US" w:eastAsia="zh-CN" w:bidi="ar-SA"/>
        </w:rPr>
        <w:t>宅房地产。</w:t>
      </w:r>
    </w:p>
    <w:p>
      <w:p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2、估价对象基本情况</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经本机构人员的实地勘查和委托方提供的委</w:t>
      </w:r>
      <w:r>
        <w:rPr>
          <w:rFonts w:hint="eastAsia" w:ascii="仿宋_GB2312" w:hAnsi="宋体" w:eastAsia="仿宋_GB2312" w:cs="Times New Roman"/>
          <w:kern w:val="2"/>
          <w:sz w:val="28"/>
          <w:szCs w:val="28"/>
          <w:highlight w:val="none"/>
          <w:lang w:val="en-US" w:eastAsia="zh-CN" w:bidi="ar-SA"/>
        </w:rPr>
        <w:t>托书及预告登记信息等</w:t>
      </w:r>
      <w:r>
        <w:rPr>
          <w:rFonts w:hint="eastAsia" w:ascii="仿宋_GB2312" w:hAnsi="宋体" w:eastAsia="仿宋_GB2312" w:cs="Times New Roman"/>
          <w:kern w:val="2"/>
          <w:sz w:val="28"/>
          <w:szCs w:val="28"/>
          <w:lang w:val="en-US" w:eastAsia="zh-CN" w:bidi="ar-SA"/>
        </w:rPr>
        <w:t>资料，可知估价对象实体状况如下：</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预告登记信息载明，估价对象坐落孝感市槐荫大道柳岸春城1幢17层1704室，权利人为唐华兵，义务人为湖北荣欣房地产开发集团有限公司，预告登记种类为预售商品房预告登记，所在层数/总层数为17层/17层，建筑面积为129.1平方米，不动产登记证明号为孝感市房预字第2015000440号，登记时间为2015年01月13日。</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经现场勘验和调查，估价对象房屋位于孝感市槐荫大道柳岸春城小区1号楼17层1704室，</w:t>
      </w:r>
      <w:r>
        <w:rPr>
          <w:rFonts w:hint="eastAsia" w:ascii="仿宋" w:hAnsi="仿宋" w:eastAsia="仿宋"/>
          <w:sz w:val="28"/>
          <w:szCs w:val="28"/>
          <w:lang w:val="en-US" w:eastAsia="zh-CN"/>
        </w:rPr>
        <w:t>所在楼栋永久性标牌显示竣工时间为2014年10月，</w:t>
      </w:r>
      <w:r>
        <w:rPr>
          <w:rFonts w:hint="eastAsia" w:ascii="仿宋" w:hAnsi="仿宋" w:eastAsia="仿宋"/>
          <w:sz w:val="28"/>
          <w:szCs w:val="28"/>
          <w:lang w:eastAsia="zh-CN"/>
        </w:rPr>
        <w:t>为高层电梯房屋，</w:t>
      </w:r>
      <w:r>
        <w:rPr>
          <w:rFonts w:hint="eastAsia" w:ascii="仿宋" w:hAnsi="仿宋" w:eastAsia="仿宋"/>
          <w:sz w:val="28"/>
          <w:szCs w:val="28"/>
        </w:rPr>
        <w:t>总层数</w:t>
      </w:r>
      <w:r>
        <w:rPr>
          <w:rFonts w:hint="eastAsia" w:ascii="仿宋" w:hAnsi="仿宋" w:eastAsia="仿宋"/>
          <w:sz w:val="28"/>
          <w:szCs w:val="28"/>
          <w:lang w:eastAsia="zh-CN"/>
        </w:rPr>
        <w:t>为</w:t>
      </w:r>
      <w:r>
        <w:rPr>
          <w:rFonts w:hint="eastAsia" w:ascii="仿宋" w:hAnsi="仿宋" w:eastAsia="仿宋"/>
          <w:sz w:val="28"/>
          <w:szCs w:val="28"/>
          <w:lang w:val="en-US" w:eastAsia="zh-CN"/>
        </w:rPr>
        <w:t>17</w:t>
      </w:r>
      <w:r>
        <w:rPr>
          <w:rFonts w:hint="eastAsia" w:ascii="仿宋" w:hAnsi="仿宋" w:eastAsia="仿宋"/>
          <w:sz w:val="28"/>
          <w:szCs w:val="28"/>
        </w:rPr>
        <w:t>层，</w:t>
      </w:r>
      <w:r>
        <w:rPr>
          <w:rFonts w:hint="eastAsia" w:ascii="仿宋" w:hAnsi="仿宋" w:eastAsia="仿宋"/>
          <w:sz w:val="28"/>
          <w:szCs w:val="28"/>
          <w:lang w:eastAsia="zh-CN"/>
        </w:rPr>
        <w:t>每层两电梯四住户，</w:t>
      </w:r>
      <w:r>
        <w:rPr>
          <w:rFonts w:hint="eastAsia" w:ascii="仿宋" w:hAnsi="仿宋" w:eastAsia="仿宋"/>
          <w:sz w:val="28"/>
          <w:szCs w:val="28"/>
        </w:rPr>
        <w:t>南北朝向</w:t>
      </w:r>
      <w:r>
        <w:rPr>
          <w:rFonts w:hint="eastAsia" w:ascii="仿宋" w:hAnsi="仿宋" w:eastAsia="仿宋"/>
          <w:sz w:val="28"/>
          <w:szCs w:val="28"/>
          <w:lang w:eastAsia="zh-CN"/>
        </w:rPr>
        <w:t>，南临槐荫大道。因多种原因未能进入室内开展实物勘验，</w:t>
      </w:r>
      <w:r>
        <w:rPr>
          <w:rFonts w:hint="eastAsia" w:ascii="仿宋" w:hAnsi="仿宋" w:eastAsia="仿宋"/>
          <w:sz w:val="28"/>
          <w:szCs w:val="28"/>
          <w:highlight w:val="none"/>
          <w:lang w:eastAsia="zh-CN"/>
        </w:rPr>
        <w:t>经调查咨询待估房屋户型为三室两厅，室内为精装修，维护保养尚可。</w:t>
      </w:r>
    </w:p>
    <w:p>
      <w:pPr>
        <w:jc w:val="both"/>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（四）估价目的</w:t>
      </w:r>
    </w:p>
    <w:p>
      <w:pPr>
        <w:ind w:firstLine="560"/>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highlight w:val="none"/>
          <w:lang w:val="en-US" w:eastAsia="zh-CN" w:bidi="ar-SA"/>
        </w:rPr>
        <w:t>为委托方处理案件提供价格咨询参考依据而评估该房产市场价格，供委托方及相关当事方咨询参考。</w:t>
      </w:r>
      <w:r>
        <w:rPr>
          <w:rFonts w:hint="eastAsia" w:ascii="仿宋_GB2312" w:hAnsi="宋体" w:eastAsia="仿宋_GB2312"/>
          <w:b/>
          <w:bCs/>
          <w:sz w:val="30"/>
          <w:szCs w:val="30"/>
          <w:highlight w:val="none"/>
          <w:lang w:val="en-US" w:eastAsia="zh-CN"/>
        </w:rPr>
        <w:t xml:space="preserve"> </w:t>
      </w:r>
      <w:r>
        <w:rPr>
          <w:rFonts w:hint="eastAsia" w:ascii="仿宋_GB2312" w:hAnsi="宋体" w:eastAsia="仿宋_GB2312"/>
          <w:b/>
          <w:bCs/>
          <w:sz w:val="30"/>
          <w:szCs w:val="30"/>
          <w:lang w:val="en-US" w:eastAsia="zh-CN"/>
        </w:rPr>
        <w:t xml:space="preserve">  </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（五）估价时点</w:t>
      </w:r>
    </w:p>
    <w:p>
      <w:p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二0二二年十一月一日。</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（六）价值定义</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本次评估价格是指对估价对象在现有用途、状态不变的前提下，采用公开市场价值标准，为本报告书所列明的目的和假设限制条件下的现行公开市场价值的估计值。</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（七）估价依据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1、法律法规依据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（1）《中华人民共和国价格法》；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w:t>
      </w:r>
      <w:r>
        <w:rPr>
          <w:rFonts w:hint="default" w:ascii="仿宋_GB2312" w:hAnsi="宋体" w:eastAsia="仿宋_GB2312" w:cs="Times New Roman"/>
          <w:kern w:val="2"/>
          <w:sz w:val="28"/>
          <w:szCs w:val="28"/>
          <w:lang w:val="en-US" w:eastAsia="zh-CN" w:bidi="ar-SA"/>
        </w:rPr>
        <w:t>《中华人民共和国</w:t>
      </w:r>
      <w:r>
        <w:rPr>
          <w:rFonts w:hint="eastAsia" w:ascii="仿宋_GB2312" w:hAnsi="宋体" w:eastAsia="仿宋_GB2312" w:cs="Times New Roman"/>
          <w:kern w:val="2"/>
          <w:sz w:val="28"/>
          <w:szCs w:val="28"/>
          <w:lang w:val="en-US" w:eastAsia="zh-CN" w:bidi="ar-SA"/>
        </w:rPr>
        <w:t>资产评估</w:t>
      </w:r>
      <w:r>
        <w:rPr>
          <w:rFonts w:hint="default" w:ascii="仿宋_GB2312" w:hAnsi="宋体" w:eastAsia="仿宋_GB2312" w:cs="Times New Roman"/>
          <w:kern w:val="2"/>
          <w:sz w:val="28"/>
          <w:szCs w:val="28"/>
          <w:lang w:val="en-US" w:eastAsia="zh-CN" w:bidi="ar-SA"/>
        </w:rPr>
        <w:t>法》</w:t>
      </w:r>
      <w:r>
        <w:rPr>
          <w:rFonts w:hint="eastAsia" w:ascii="仿宋_GB2312" w:hAnsi="宋体" w:eastAsia="仿宋_GB2312" w:cs="Times New Roman"/>
          <w:kern w:val="2"/>
          <w:sz w:val="28"/>
          <w:szCs w:val="28"/>
          <w:lang w:val="en-US" w:eastAsia="zh-CN" w:bidi="ar-SA"/>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（3）《中华人民共和国城市房地产管理法》；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（4）《中华人民共和国土地管理法》；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（5）中华人民共和国国家标准《房地产估价规范》；</w:t>
      </w:r>
    </w:p>
    <w:p>
      <w:pPr>
        <w:spacing w:beforeLines="0" w:afterLines="0"/>
        <w:ind w:firstLine="280" w:firstLineChars="100"/>
        <w:jc w:val="left"/>
        <w:rPr>
          <w:rFonts w:hint="eastAsia" w:ascii="仿宋" w:hAnsi="仿宋" w:eastAsia="仿宋"/>
          <w:sz w:val="28"/>
          <w:szCs w:val="28"/>
        </w:rPr>
      </w:pPr>
      <w:r>
        <w:rPr>
          <w:rFonts w:hint="eastAsia" w:ascii="仿宋" w:hAnsi="仿宋" w:eastAsia="仿宋"/>
          <w:sz w:val="28"/>
          <w:szCs w:val="28"/>
          <w:lang w:eastAsia="zh-CN"/>
        </w:rPr>
        <w:t>（</w:t>
      </w:r>
      <w:r>
        <w:rPr>
          <w:rFonts w:hint="eastAsia" w:ascii="仿宋" w:hAnsi="仿宋" w:eastAsia="仿宋"/>
          <w:sz w:val="28"/>
          <w:szCs w:val="28"/>
          <w:lang w:val="en-US" w:eastAsia="zh-CN"/>
        </w:rPr>
        <w:t>6</w:t>
      </w:r>
      <w:r>
        <w:rPr>
          <w:rFonts w:hint="eastAsia" w:ascii="仿宋" w:hAnsi="仿宋" w:eastAsia="仿宋"/>
          <w:sz w:val="28"/>
          <w:szCs w:val="28"/>
          <w:lang w:eastAsia="zh-CN"/>
        </w:rPr>
        <w:t>）</w:t>
      </w:r>
      <w:r>
        <w:rPr>
          <w:rFonts w:hint="eastAsia" w:ascii="仿宋" w:hAnsi="仿宋" w:eastAsia="仿宋"/>
          <w:sz w:val="28"/>
          <w:szCs w:val="28"/>
        </w:rPr>
        <w:t>《价格评估执业规范》</w:t>
      </w:r>
      <w:r>
        <w:rPr>
          <w:rFonts w:hint="eastAsia" w:ascii="仿宋" w:hAnsi="仿宋" w:eastAsia="仿宋"/>
          <w:sz w:val="28"/>
          <w:szCs w:val="28"/>
          <w:lang w:eastAsia="zh-CN"/>
        </w:rPr>
        <w:t>；</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7</w:t>
      </w:r>
      <w:r>
        <w:rPr>
          <w:rFonts w:hint="eastAsia" w:ascii="仿宋" w:hAnsi="仿宋" w:eastAsia="仿宋"/>
          <w:sz w:val="28"/>
          <w:szCs w:val="28"/>
          <w:lang w:eastAsia="zh-CN"/>
        </w:rPr>
        <w:t>）</w:t>
      </w:r>
      <w:r>
        <w:rPr>
          <w:rFonts w:hint="eastAsia" w:ascii="仿宋" w:hAnsi="仿宋" w:eastAsia="仿宋"/>
          <w:sz w:val="28"/>
          <w:szCs w:val="28"/>
        </w:rPr>
        <w:t>《价格评估人员自律守则》</w:t>
      </w:r>
      <w:r>
        <w:rPr>
          <w:rFonts w:hint="eastAsia" w:ascii="仿宋" w:hAnsi="仿宋" w:eastAsia="仿宋"/>
          <w:sz w:val="28"/>
          <w:szCs w:val="28"/>
          <w:lang w:eastAsia="zh-CN"/>
        </w:rPr>
        <w:t>；</w:t>
      </w:r>
    </w:p>
    <w:p>
      <w:pPr>
        <w:rPr>
          <w:rFonts w:hint="eastAsia" w:ascii="仿宋_GB2312" w:hAnsi="宋体" w:eastAsia="仿宋_GB2312" w:cs="Times New Roman"/>
          <w:kern w:val="2"/>
          <w:sz w:val="28"/>
          <w:szCs w:val="28"/>
          <w:lang w:val="en-US" w:eastAsia="zh-CN" w:bidi="ar-SA"/>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8</w:t>
      </w:r>
      <w:r>
        <w:rPr>
          <w:rFonts w:hint="eastAsia" w:ascii="仿宋" w:hAnsi="仿宋" w:eastAsia="仿宋"/>
          <w:sz w:val="28"/>
          <w:szCs w:val="28"/>
          <w:lang w:eastAsia="zh-CN"/>
        </w:rPr>
        <w:t>）</w:t>
      </w:r>
      <w:r>
        <w:rPr>
          <w:rFonts w:hint="eastAsia" w:ascii="仿宋" w:hAnsi="仿宋" w:eastAsia="仿宋"/>
          <w:sz w:val="28"/>
          <w:szCs w:val="28"/>
        </w:rPr>
        <w:t>《价格评估行业职业操守》</w:t>
      </w:r>
      <w:r>
        <w:rPr>
          <w:rFonts w:hint="eastAsia" w:ascii="仿宋" w:hAnsi="仿宋" w:eastAsia="仿宋"/>
          <w:sz w:val="28"/>
          <w:szCs w:val="28"/>
          <w:lang w:eastAsia="zh-CN"/>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2、委托方提供的有关资料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（1）委托方提供的价格评估鉴定委托书；</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（2）委托方提供的相关权属资料复印件及其他资料复印件。</w:t>
      </w:r>
    </w:p>
    <w:p>
      <w:pPr>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3、估价机构和估价人员现场查勘、调查所得的资料；掌握和收集的其它询价资料、参数资料和国家有关部门发布的统计资料和技术标准资料。</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（八）估价原则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我们按照《房地产估价规范》规定，遵循估价行业公认的估价工作原则，对估价对象进行独立、客观、科学的评价，并遵守国家保密规定。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本次估价中我们还特别遵循以下估价经济原则：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独立、客观、公正原则：我们进行估价的最高行为准则。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合法原则：在本次估价时其应当符合国家的法律、法规有关规定，以估价对象的合法权益为前提；本次评估以委托方提供的相关权属资料载明事项体现合法原则。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最高最佳使用原则：能给估价对象带来最高收益的使用，这种使用是法律上允许、技术上可能、财务上可行，本次估价中以其按现状使用为最高最佳使用。</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时点原则：由于房地产市场是不断变化的，在不同的估价时点，同一宗房地产往往具有不同的价格水平。估价时点原则是指求取某一时点的价格，所以在评估一宗房地产价格时，必须假定市场停止在估价时点上，同时对估价对象的房地产市场情况及自</w:t>
      </w:r>
      <w:r>
        <w:rPr>
          <w:rFonts w:hint="eastAsia" w:ascii="仿宋" w:hAnsi="仿宋" w:eastAsia="仿宋"/>
          <w:sz w:val="30"/>
          <w:szCs w:val="30"/>
          <w:lang w:val="en-US" w:eastAsia="zh-CN"/>
        </w:rPr>
        <w:t>身情况的界定，也是以在</w:t>
      </w:r>
      <w:r>
        <w:rPr>
          <w:rFonts w:hint="eastAsia" w:ascii="仿宋_GB2312" w:hAnsi="宋体" w:eastAsia="仿宋_GB2312" w:cs="Times New Roman"/>
          <w:kern w:val="2"/>
          <w:sz w:val="28"/>
          <w:szCs w:val="28"/>
          <w:lang w:val="en-US" w:eastAsia="zh-CN" w:bidi="ar-SA"/>
        </w:rPr>
        <w:t>估价时点的状况为准。</w:t>
      </w:r>
    </w:p>
    <w:p>
      <w:pPr>
        <w:numPr>
          <w:ilvl w:val="0"/>
          <w:numId w:val="0"/>
        </w:num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（九）估价方法</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根据估价规范要求和评估人员现场踏勘，以及对估价对象的使用年限、周边类似房地产交易实例和宗地所处区域因素等资料进行收集、分析和整理，结合评估目的，本次估价采用了市场法测算估价对象的公开市场价值。</w:t>
      </w:r>
    </w:p>
    <w:p>
      <w:pPr>
        <w:ind w:firstLine="560" w:firstLineChars="200"/>
        <w:rPr>
          <w:rFonts w:ascii="仿宋" w:hAnsi="仿宋" w:eastAsia="仿宋" w:cs="Arial"/>
          <w:color w:val="333333"/>
          <w:sz w:val="30"/>
          <w:szCs w:val="30"/>
          <w:shd w:val="clear" w:color="auto" w:fill="FFFFFF"/>
        </w:rPr>
      </w:pPr>
      <w:r>
        <w:rPr>
          <w:rFonts w:hint="eastAsia" w:ascii="仿宋_GB2312" w:hAnsi="宋体" w:eastAsia="仿宋_GB2312" w:cs="Times New Roman"/>
          <w:kern w:val="2"/>
          <w:sz w:val="28"/>
          <w:szCs w:val="28"/>
          <w:lang w:val="en-US" w:eastAsia="zh-CN" w:bidi="ar-SA"/>
        </w:rPr>
        <w:t>市场法也称市场价格比较法，是指通过比较被评估资产与最近售出类似资产的异同，并将类似的市场价格进行调整，从而确定被评估资产价值的一种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ind w:firstLine="560" w:firstLineChars="200"/>
        <w:rPr>
          <w:rFonts w:hint="eastAsia" w:ascii="仿宋_GB2312" w:hAnsi="仿宋" w:eastAsia="仿宋_GB2312"/>
          <w:b/>
          <w:sz w:val="28"/>
          <w:szCs w:val="28"/>
          <w:lang w:val="en-US" w:eastAsia="zh-CN"/>
        </w:rPr>
      </w:pPr>
      <w:r>
        <w:rPr>
          <w:rFonts w:hint="eastAsia" w:ascii="仿宋_GB2312" w:hAnsi="宋体" w:eastAsia="仿宋_GB2312" w:cs="Times New Roman"/>
          <w:kern w:val="2"/>
          <w:sz w:val="28"/>
          <w:szCs w:val="28"/>
          <w:lang w:val="en-US" w:eastAsia="zh-CN" w:bidi="ar-SA"/>
        </w:rPr>
        <w:t xml:space="preserve">评估值（比准价格）=可比实例价格×交易情况修正×市场状况调整×房地产状况调整 </w:t>
      </w:r>
      <w:r>
        <w:rPr>
          <w:rFonts w:hint="eastAsia" w:ascii="仿宋_GB2312" w:hAnsi="仿宋" w:eastAsia="仿宋_GB2312"/>
          <w:b/>
          <w:sz w:val="28"/>
          <w:szCs w:val="28"/>
          <w:lang w:val="en-US" w:eastAsia="zh-CN"/>
        </w:rPr>
        <w:t xml:space="preserve">  </w:t>
      </w:r>
    </w:p>
    <w:p>
      <w:pPr>
        <w:rPr>
          <w:rFonts w:hint="eastAsia" w:ascii="仿宋_GB2312" w:hAnsi="仿宋" w:eastAsia="仿宋_GB2312"/>
          <w:b/>
          <w:sz w:val="28"/>
          <w:szCs w:val="28"/>
        </w:rPr>
      </w:pPr>
      <w:r>
        <w:rPr>
          <w:rFonts w:hint="eastAsia" w:ascii="仿宋_GB2312" w:hAnsi="仿宋" w:eastAsia="仿宋_GB2312"/>
          <w:b/>
          <w:sz w:val="28"/>
          <w:szCs w:val="28"/>
          <w:lang w:val="en-US" w:eastAsia="zh-CN"/>
        </w:rPr>
        <w:t xml:space="preserve">   </w:t>
      </w:r>
      <w:r>
        <w:rPr>
          <w:rFonts w:hint="eastAsia" w:ascii="仿宋_GB2312" w:hAnsi="仿宋" w:eastAsia="仿宋_GB2312"/>
          <w:b/>
          <w:sz w:val="28"/>
          <w:szCs w:val="28"/>
        </w:rPr>
        <w:t>（十）估价结果</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估价人员经过实地勘查和测算，确定估价对象在估价时点可能形成的市场价值为</w:t>
      </w:r>
      <w:r>
        <w:rPr>
          <w:rFonts w:hint="eastAsia" w:ascii="仿宋_GB2312" w:hAnsi="宋体" w:eastAsia="仿宋_GB2312" w:cs="Times New Roman"/>
          <w:kern w:val="2"/>
          <w:sz w:val="28"/>
          <w:szCs w:val="28"/>
          <w:highlight w:val="none"/>
          <w:lang w:val="en-US" w:eastAsia="zh-CN" w:bidi="ar-SA"/>
        </w:rPr>
        <w:t>￥495615元(</w:t>
      </w:r>
      <w:r>
        <w:rPr>
          <w:rFonts w:hint="eastAsia" w:ascii="仿宋_GB2312" w:hAnsi="宋体" w:eastAsia="仿宋_GB2312" w:cs="Times New Roman"/>
          <w:kern w:val="2"/>
          <w:sz w:val="28"/>
          <w:szCs w:val="28"/>
          <w:lang w:val="en-US" w:eastAsia="zh-CN" w:bidi="ar-SA"/>
        </w:rPr>
        <w:t>大写人民币肆拾玖万伍仟陆佰壹拾伍元整)。</w:t>
      </w:r>
    </w:p>
    <w:p>
      <w:pPr>
        <w:rPr>
          <w:rFonts w:hint="eastAsia" w:ascii="仿宋_GB2312" w:hAnsi="仿宋" w:eastAsia="仿宋_GB2312" w:cs="Times New Roman"/>
          <w:b/>
          <w:kern w:val="2"/>
          <w:sz w:val="28"/>
          <w:szCs w:val="28"/>
          <w:lang w:val="zh-CN" w:eastAsia="zh-CN" w:bidi="ar-SA"/>
        </w:rPr>
      </w:pPr>
      <w:r>
        <w:rPr>
          <w:rFonts w:hint="eastAsia" w:ascii="仿宋_GB2312" w:hAnsi="仿宋" w:eastAsia="仿宋_GB2312" w:cs="Times New Roman"/>
          <w:b/>
          <w:kern w:val="2"/>
          <w:sz w:val="28"/>
          <w:szCs w:val="28"/>
          <w:lang w:val="en-US" w:eastAsia="zh-CN" w:bidi="ar-SA"/>
        </w:rPr>
        <w:t xml:space="preserve">   </w:t>
      </w:r>
      <w:r>
        <w:rPr>
          <w:rFonts w:hint="eastAsia" w:ascii="仿宋_GB2312" w:hAnsi="仿宋" w:eastAsia="仿宋_GB2312" w:cs="Times New Roman"/>
          <w:b/>
          <w:kern w:val="2"/>
          <w:sz w:val="28"/>
          <w:szCs w:val="28"/>
          <w:lang w:val="zh-CN" w:eastAsia="zh-CN" w:bidi="ar-SA"/>
        </w:rPr>
        <w:t>（十一）价格评估机构</w:t>
      </w:r>
    </w:p>
    <w:p>
      <w:pPr>
        <w:pStyle w:val="4"/>
        <w:spacing w:line="600" w:lineRule="exact"/>
        <w:ind w:firstLine="560" w:firstLineChars="200"/>
        <w:jc w:val="both"/>
        <w:rPr>
          <w:rFonts w:hint="eastAsia" w:ascii="仿宋_GB2312" w:hAnsi="仿宋" w:eastAsia="仿宋_GB2312" w:cs="Times New Roman"/>
          <w:kern w:val="2"/>
          <w:sz w:val="28"/>
          <w:szCs w:val="28"/>
          <w:lang w:val="zh-CN" w:eastAsia="zh-CN" w:bidi="ar-SA"/>
        </w:rPr>
      </w:pPr>
      <w:r>
        <w:rPr>
          <w:rFonts w:hint="eastAsia" w:ascii="仿宋_GB2312" w:hAnsi="仿宋" w:eastAsia="仿宋_GB2312" w:cs="Times New Roman"/>
          <w:kern w:val="2"/>
          <w:sz w:val="28"/>
          <w:szCs w:val="28"/>
          <w:lang w:val="zh-CN" w:eastAsia="zh-CN" w:bidi="ar-SA"/>
        </w:rPr>
        <w:t>机构名称：湖北循其本价格鉴定评估有限公司</w:t>
      </w:r>
    </w:p>
    <w:p>
      <w:pPr>
        <w:pStyle w:val="4"/>
        <w:tabs>
          <w:tab w:val="left" w:pos="900"/>
          <w:tab w:val="left" w:pos="1820"/>
          <w:tab w:val="left" w:pos="2740"/>
          <w:tab w:val="left" w:pos="3660"/>
          <w:tab w:val="left" w:pos="5480"/>
          <w:tab w:val="left" w:pos="6400"/>
          <w:tab w:val="left" w:pos="7320"/>
          <w:tab w:val="left" w:pos="8240"/>
          <w:tab w:val="left" w:pos="10060"/>
          <w:tab w:val="left" w:pos="10980"/>
          <w:tab w:val="left" w:pos="11900"/>
          <w:tab w:val="left" w:pos="12820"/>
          <w:tab w:val="left" w:pos="1464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600" w:lineRule="exact"/>
        <w:ind w:firstLine="560" w:firstLineChars="200"/>
        <w:jc w:val="both"/>
        <w:rPr>
          <w:rFonts w:hint="eastAsia" w:ascii="仿宋_GB2312" w:hAnsi="仿宋" w:eastAsia="仿宋_GB2312" w:cs="Times New Roman"/>
          <w:kern w:val="2"/>
          <w:sz w:val="28"/>
          <w:szCs w:val="28"/>
          <w:lang w:val="en-US" w:eastAsia="zh-CN" w:bidi="ar-SA"/>
        </w:rPr>
      </w:pPr>
      <w:r>
        <w:rPr>
          <w:rFonts w:hint="eastAsia" w:ascii="仿宋_GB2312" w:hAnsi="仿宋" w:eastAsia="仿宋_GB2312" w:cs="Times New Roman"/>
          <w:kern w:val="2"/>
          <w:sz w:val="28"/>
          <w:szCs w:val="28"/>
          <w:lang w:val="zh-CN" w:eastAsia="zh-CN" w:bidi="ar-SA"/>
        </w:rPr>
        <w:t>机构资质证号：中</w:t>
      </w:r>
      <w:r>
        <w:rPr>
          <w:rFonts w:hint="eastAsia" w:ascii="仿宋_GB2312" w:hAnsi="仿宋" w:eastAsia="仿宋_GB2312" w:cs="Times New Roman"/>
          <w:kern w:val="2"/>
          <w:sz w:val="28"/>
          <w:szCs w:val="28"/>
          <w:lang w:val="en-US" w:eastAsia="zh-CN" w:bidi="ar-SA"/>
        </w:rPr>
        <w:t>J</w:t>
      </w:r>
      <w:r>
        <w:rPr>
          <w:rFonts w:hint="eastAsia" w:ascii="仿宋_GB2312" w:hAnsi="仿宋" w:eastAsia="仿宋_GB2312" w:cs="Times New Roman"/>
          <w:kern w:val="2"/>
          <w:sz w:val="28"/>
          <w:szCs w:val="28"/>
          <w:lang w:val="zh-CN" w:eastAsia="zh-CN" w:bidi="ar-SA"/>
        </w:rPr>
        <w:t>1</w:t>
      </w:r>
      <w:r>
        <w:rPr>
          <w:rFonts w:hint="eastAsia" w:ascii="仿宋_GB2312" w:hAnsi="仿宋" w:eastAsia="仿宋_GB2312" w:cs="Times New Roman"/>
          <w:kern w:val="2"/>
          <w:sz w:val="28"/>
          <w:szCs w:val="28"/>
          <w:lang w:val="en-US" w:eastAsia="zh-CN" w:bidi="ar-SA"/>
        </w:rPr>
        <w:t>7</w:t>
      </w:r>
      <w:r>
        <w:rPr>
          <w:rFonts w:hint="eastAsia" w:ascii="仿宋_GB2312" w:hAnsi="仿宋" w:eastAsia="仿宋_GB2312" w:cs="Times New Roman"/>
          <w:kern w:val="2"/>
          <w:sz w:val="28"/>
          <w:szCs w:val="28"/>
          <w:lang w:val="zh-CN" w:eastAsia="zh-CN" w:bidi="ar-SA"/>
        </w:rPr>
        <w:t>000</w:t>
      </w:r>
      <w:r>
        <w:rPr>
          <w:rFonts w:hint="eastAsia" w:ascii="仿宋_GB2312" w:hAnsi="仿宋" w:eastAsia="仿宋_GB2312" w:cs="Times New Roman"/>
          <w:kern w:val="2"/>
          <w:sz w:val="28"/>
          <w:szCs w:val="28"/>
          <w:lang w:val="en-US" w:eastAsia="zh-CN" w:bidi="ar-SA"/>
        </w:rPr>
        <w:t>4</w:t>
      </w:r>
    </w:p>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b/>
          <w:bCs/>
          <w:sz w:val="30"/>
          <w:szCs w:val="30"/>
          <w:lang w:val="en-US" w:eastAsia="zh-CN"/>
        </w:rPr>
        <w:t xml:space="preserve">   </w:t>
      </w:r>
      <w:r>
        <w:rPr>
          <w:rFonts w:hint="eastAsia" w:ascii="仿宋_GB2312" w:hAnsi="宋体" w:eastAsia="仿宋_GB2312"/>
          <w:b/>
          <w:bCs/>
          <w:sz w:val="28"/>
          <w:szCs w:val="28"/>
          <w:lang w:val="en-US" w:eastAsia="zh-CN"/>
        </w:rPr>
        <w:t>（十二）估价专业人员</w:t>
      </w:r>
      <w:r>
        <w:rPr>
          <w:rFonts w:hint="eastAsia" w:ascii="仿宋_GB2312" w:hAnsi="宋体" w:eastAsia="仿宋_GB2312" w:cs="Times New Roman"/>
          <w:kern w:val="2"/>
          <w:sz w:val="28"/>
          <w:szCs w:val="28"/>
          <w:lang w:val="en-US" w:eastAsia="zh-CN" w:bidi="ar-SA"/>
        </w:rPr>
        <w:t xml:space="preserve">   </w:t>
      </w:r>
    </w:p>
    <w:tbl>
      <w:tblPr>
        <w:tblStyle w:val="8"/>
        <w:tblpPr w:leftFromText="180" w:rightFromText="180" w:vertAnchor="text" w:horzAnchor="page" w:tblpXSpec="center" w:tblpY="81"/>
        <w:tblOverlap w:val="never"/>
        <w:tblW w:w="79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1976"/>
        <w:gridCol w:w="1890"/>
        <w:gridCol w:w="2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1186"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color w:val="000000"/>
                <w:sz w:val="28"/>
                <w:szCs w:val="28"/>
                <w:lang w:val="zh-CN"/>
              </w:rPr>
              <w:t>姓　名</w:t>
            </w:r>
          </w:p>
        </w:tc>
        <w:tc>
          <w:tcPr>
            <w:tcW w:w="1976"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color w:val="000000"/>
                <w:sz w:val="28"/>
                <w:szCs w:val="28"/>
                <w:lang w:val="zh-CN"/>
              </w:rPr>
              <w:t>资格证名称</w:t>
            </w:r>
          </w:p>
        </w:tc>
        <w:tc>
          <w:tcPr>
            <w:tcW w:w="1890"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color w:val="000000"/>
                <w:sz w:val="28"/>
                <w:szCs w:val="28"/>
                <w:lang w:val="zh-CN"/>
              </w:rPr>
              <w:t>资格证号</w:t>
            </w:r>
          </w:p>
        </w:tc>
        <w:tc>
          <w:tcPr>
            <w:tcW w:w="2905"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color w:val="000000"/>
                <w:sz w:val="28"/>
                <w:szCs w:val="28"/>
                <w:lang w:val="zh-CN"/>
              </w:rPr>
              <w:t>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9" w:hRule="atLeast"/>
          <w:jc w:val="center"/>
        </w:trPr>
        <w:tc>
          <w:tcPr>
            <w:tcW w:w="1186"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color w:val="000000"/>
                <w:sz w:val="28"/>
                <w:szCs w:val="28"/>
                <w:lang w:val="zh-CN"/>
              </w:rPr>
              <w:t>孙 坚</w:t>
            </w:r>
          </w:p>
        </w:tc>
        <w:tc>
          <w:tcPr>
            <w:tcW w:w="1976"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color w:val="000000"/>
                <w:sz w:val="28"/>
                <w:szCs w:val="28"/>
                <w:lang w:val="zh-CN"/>
              </w:rPr>
              <w:t>价格鉴证师</w:t>
            </w:r>
          </w:p>
        </w:tc>
        <w:tc>
          <w:tcPr>
            <w:tcW w:w="1890"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color w:val="000000"/>
                <w:sz w:val="28"/>
                <w:szCs w:val="28"/>
                <w:lang w:val="zh-CN"/>
              </w:rPr>
              <w:t>0003035</w:t>
            </w:r>
          </w:p>
        </w:tc>
        <w:tc>
          <w:tcPr>
            <w:tcW w:w="2905"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sz w:val="28"/>
                <w:szCs w:val="28"/>
              </w:rPr>
              <w:drawing>
                <wp:anchor distT="0" distB="0" distL="114300" distR="114300" simplePos="0" relativeHeight="251659264" behindDoc="1" locked="0" layoutInCell="1" allowOverlap="1">
                  <wp:simplePos x="0" y="0"/>
                  <wp:positionH relativeFrom="column">
                    <wp:posOffset>203835</wp:posOffset>
                  </wp:positionH>
                  <wp:positionV relativeFrom="paragraph">
                    <wp:posOffset>195580</wp:posOffset>
                  </wp:positionV>
                  <wp:extent cx="1273810" cy="491490"/>
                  <wp:effectExtent l="0" t="0" r="2540" b="3810"/>
                  <wp:wrapNone/>
                  <wp:docPr id="3" name="图片 2" descr="孙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孙坚"/>
                          <pic:cNvPicPr>
                            <a:picLocks noChangeAspect="1"/>
                          </pic:cNvPicPr>
                        </pic:nvPicPr>
                        <pic:blipFill>
                          <a:blip r:embed="rId7"/>
                          <a:stretch>
                            <a:fillRect/>
                          </a:stretch>
                        </pic:blipFill>
                        <pic:spPr>
                          <a:xfrm>
                            <a:off x="0" y="0"/>
                            <a:ext cx="1273810" cy="491490"/>
                          </a:xfrm>
                          <a:prstGeom prst="rect">
                            <a:avLst/>
                          </a:prstGeom>
                          <a:noFill/>
                          <a:ln w="9525">
                            <a:noFill/>
                            <a:miter/>
                          </a:ln>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43" w:hRule="atLeast"/>
          <w:jc w:val="center"/>
        </w:trPr>
        <w:tc>
          <w:tcPr>
            <w:tcW w:w="1186" w:type="dxa"/>
            <w:vAlign w:val="center"/>
          </w:tcPr>
          <w:p>
            <w:pPr>
              <w:spacing w:line="600" w:lineRule="exact"/>
              <w:jc w:val="center"/>
              <w:rPr>
                <w:rFonts w:hint="eastAsia" w:ascii="仿宋_GB2312" w:hAnsi="仿宋_GB2312" w:eastAsia="仿宋_GB2312" w:cs="仿宋_GB2312"/>
                <w:color w:val="000000"/>
                <w:sz w:val="28"/>
                <w:szCs w:val="28"/>
                <w:highlight w:val="yellow"/>
                <w:lang w:val="zh-CN"/>
              </w:rPr>
            </w:pPr>
            <w:r>
              <w:rPr>
                <w:rStyle w:val="11"/>
                <w:rFonts w:hint="eastAsia" w:ascii="仿宋" w:hAnsi="仿宋" w:eastAsia="仿宋" w:cs="宋体"/>
                <w:color w:val="000000"/>
                <w:sz w:val="28"/>
                <w:szCs w:val="28"/>
                <w:highlight w:val="none"/>
              </w:rPr>
              <w:t>刘汉生</w:t>
            </w:r>
          </w:p>
        </w:tc>
        <w:tc>
          <w:tcPr>
            <w:tcW w:w="1976" w:type="dxa"/>
            <w:vAlign w:val="center"/>
          </w:tcPr>
          <w:p>
            <w:pPr>
              <w:spacing w:line="600" w:lineRule="exact"/>
              <w:jc w:val="center"/>
              <w:rPr>
                <w:rFonts w:hint="eastAsia" w:ascii="仿宋_GB2312" w:hAnsi="仿宋_GB2312" w:eastAsia="仿宋_GB2312" w:cs="仿宋_GB2312"/>
                <w:color w:val="000000"/>
                <w:sz w:val="28"/>
                <w:szCs w:val="28"/>
                <w:highlight w:val="yellow"/>
                <w:lang w:val="zh-CN"/>
              </w:rPr>
            </w:pPr>
            <w:r>
              <w:rPr>
                <w:rStyle w:val="11"/>
                <w:rFonts w:hint="eastAsia" w:ascii="仿宋" w:hAnsi="仿宋" w:eastAsia="仿宋" w:cs="宋体"/>
                <w:color w:val="000000"/>
                <w:sz w:val="28"/>
                <w:szCs w:val="28"/>
                <w:highlight w:val="none"/>
              </w:rPr>
              <w:t>价格鉴证师</w:t>
            </w:r>
          </w:p>
        </w:tc>
        <w:tc>
          <w:tcPr>
            <w:tcW w:w="1890" w:type="dxa"/>
            <w:vAlign w:val="center"/>
          </w:tcPr>
          <w:p>
            <w:pPr>
              <w:spacing w:line="600" w:lineRule="exact"/>
              <w:jc w:val="center"/>
              <w:rPr>
                <w:rFonts w:hint="eastAsia" w:ascii="仿宋_GB2312" w:hAnsi="仿宋_GB2312" w:eastAsia="仿宋_GB2312" w:cs="仿宋_GB2312"/>
                <w:color w:val="000000"/>
                <w:sz w:val="28"/>
                <w:szCs w:val="28"/>
                <w:highlight w:val="yellow"/>
                <w:lang w:val="zh-CN"/>
              </w:rPr>
            </w:pPr>
            <w:r>
              <w:rPr>
                <w:rStyle w:val="11"/>
                <w:rFonts w:hint="eastAsia" w:ascii="仿宋" w:hAnsi="仿宋" w:eastAsia="仿宋" w:cs="宋体"/>
                <w:color w:val="000000"/>
                <w:sz w:val="28"/>
                <w:szCs w:val="28"/>
                <w:highlight w:val="none"/>
              </w:rPr>
              <w:t>0017039</w:t>
            </w:r>
          </w:p>
        </w:tc>
        <w:tc>
          <w:tcPr>
            <w:tcW w:w="2905" w:type="dxa"/>
            <w:vAlign w:val="center"/>
          </w:tcPr>
          <w:p>
            <w:pPr>
              <w:pStyle w:val="4"/>
              <w:jc w:val="center"/>
              <w:rPr>
                <w:rFonts w:hint="eastAsia" w:ascii="仿宋" w:hAnsi="仿宋" w:eastAsia="仿宋"/>
                <w:color w:val="000000"/>
                <w:sz w:val="28"/>
                <w:szCs w:val="28"/>
                <w:highlight w:val="yellow"/>
              </w:rPr>
            </w:pPr>
            <w:r>
              <w:rPr>
                <w:sz w:val="28"/>
                <w:szCs w:val="28"/>
                <w:highlight w:val="yellow"/>
                <w:lang w:val="zh-CN" w:eastAsia="zh-CN"/>
              </w:rPr>
              <w:drawing>
                <wp:anchor distT="0" distB="0" distL="114300" distR="114300" simplePos="0" relativeHeight="251661312" behindDoc="0" locked="0" layoutInCell="1" allowOverlap="1">
                  <wp:simplePos x="0" y="0"/>
                  <wp:positionH relativeFrom="column">
                    <wp:posOffset>134620</wp:posOffset>
                  </wp:positionH>
                  <wp:positionV relativeFrom="paragraph">
                    <wp:posOffset>138430</wp:posOffset>
                  </wp:positionV>
                  <wp:extent cx="1304290" cy="902335"/>
                  <wp:effectExtent l="0" t="0" r="10795" b="0"/>
                  <wp:wrapNone/>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8"/>
                          <a:stretch>
                            <a:fillRect/>
                          </a:stretch>
                        </pic:blipFill>
                        <pic:spPr>
                          <a:xfrm>
                            <a:off x="0" y="0"/>
                            <a:ext cx="1304290" cy="902335"/>
                          </a:xfrm>
                          <a:prstGeom prst="rect">
                            <a:avLst/>
                          </a:prstGeom>
                          <a:noFill/>
                          <a:ln w="9525">
                            <a:noFill/>
                            <a:miter/>
                          </a:ln>
                          <a:effectLst/>
                        </pic:spPr>
                      </pic:pic>
                    </a:graphicData>
                  </a:graphic>
                </wp:anchor>
              </w:drawing>
            </w:r>
          </w:p>
          <w:p>
            <w:pPr>
              <w:pStyle w:val="4"/>
              <w:rPr>
                <w:rFonts w:hint="eastAsia" w:ascii="仿宋_GB2312" w:hAnsi="仿宋_GB2312" w:eastAsia="仿宋_GB2312" w:cs="仿宋_GB2312"/>
                <w:color w:val="000000"/>
                <w:sz w:val="28"/>
                <w:szCs w:val="28"/>
                <w:highlight w:val="yellow"/>
                <w:lang w:val="zh-CN"/>
              </w:rPr>
            </w:pPr>
            <w:r>
              <w:rPr>
                <w:rFonts w:hint="eastAsia" w:ascii="仿宋" w:hAnsi="仿宋" w:eastAsia="仿宋"/>
                <w:color w:val="000000"/>
                <w:sz w:val="28"/>
                <w:szCs w:val="28"/>
                <w:highlight w:val="yellow"/>
              </w:rPr>
              <w:drawing>
                <wp:anchor distT="0" distB="0" distL="114300" distR="114300" simplePos="0" relativeHeight="251662336" behindDoc="0" locked="0" layoutInCell="1" allowOverlap="1">
                  <wp:simplePos x="0" y="0"/>
                  <wp:positionH relativeFrom="column">
                    <wp:posOffset>186690</wp:posOffset>
                  </wp:positionH>
                  <wp:positionV relativeFrom="page">
                    <wp:posOffset>835025</wp:posOffset>
                  </wp:positionV>
                  <wp:extent cx="635" cy="635"/>
                  <wp:effectExtent l="0" t="0" r="0" b="0"/>
                  <wp:wrapNone/>
                  <wp:docPr id="5" name="图片 5" descr="Screenshot_20210124-14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creenshot_20210124-145428"/>
                          <pic:cNvPicPr>
                            <a:picLocks noChangeAspect="1"/>
                          </pic:cNvPicPr>
                        </pic:nvPicPr>
                        <pic:blipFill>
                          <a:blip r:embed="rId9"/>
                          <a:srcRect l="18570" t="17889" r="23581" b="11664"/>
                          <a:stretch>
                            <a:fillRect/>
                          </a:stretch>
                        </pic:blipFill>
                        <pic:spPr>
                          <a:xfrm>
                            <a:off x="0" y="0"/>
                            <a:ext cx="635" cy="635"/>
                          </a:xfrm>
                          <a:prstGeom prst="rect">
                            <a:avLst/>
                          </a:prstGeom>
                          <a:noFill/>
                          <a:ln w="9525">
                            <a:noFill/>
                            <a:miter/>
                          </a:ln>
                          <a:effectLst/>
                        </pic:spPr>
                      </pic:pic>
                    </a:graphicData>
                  </a:graphic>
                </wp:anchor>
              </w:drawing>
            </w:r>
          </w:p>
        </w:tc>
      </w:tr>
    </w:tbl>
    <w:p>
      <w:pPr>
        <w:numPr>
          <w:ilvl w:val="0"/>
          <w:numId w:val="0"/>
        </w:numPr>
        <w:rPr>
          <w:rStyle w:val="11"/>
          <w:rFonts w:hint="eastAsia" w:ascii="仿宋_GB2312" w:hAnsi="仿宋" w:eastAsia="仿宋_GB2312" w:cs="宋体"/>
          <w:b/>
          <w:sz w:val="28"/>
          <w:szCs w:val="28"/>
          <w:highlight w:val="none"/>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highlight w:val="none"/>
          <w:lang w:val="en-US" w:eastAsia="zh-CN"/>
        </w:rPr>
        <w:t>（十三）</w:t>
      </w:r>
      <w:r>
        <w:rPr>
          <w:rFonts w:hint="eastAsia" w:ascii="仿宋_GB2312" w:hAnsi="仿宋" w:eastAsia="仿宋_GB2312"/>
          <w:b/>
          <w:sz w:val="28"/>
          <w:szCs w:val="28"/>
          <w:highlight w:val="none"/>
        </w:rPr>
        <w:t>评估报告日</w:t>
      </w:r>
      <w:r>
        <w:rPr>
          <w:rStyle w:val="11"/>
          <w:rFonts w:hint="eastAsia" w:ascii="仿宋" w:hAnsi="仿宋" w:eastAsia="仿宋_GB2312" w:cs="宋体"/>
          <w:b/>
          <w:sz w:val="28"/>
          <w:szCs w:val="28"/>
          <w:highlight w:val="none"/>
        </w:rPr>
        <w:t> </w:t>
      </w:r>
    </w:p>
    <w:p>
      <w:pPr>
        <w:ind w:firstLine="560" w:firstLineChars="200"/>
        <w:rPr>
          <w:rFonts w:hint="eastAsia" w:ascii="仿宋_GB2312" w:hAnsi="宋体" w:eastAsia="仿宋_GB2312" w:cs="Times New Roman"/>
          <w:kern w:val="2"/>
          <w:sz w:val="28"/>
          <w:szCs w:val="28"/>
          <w:highlight w:val="none"/>
          <w:lang w:val="en-US" w:eastAsia="zh-CN" w:bidi="ar-SA"/>
        </w:rPr>
      </w:pPr>
      <w:r>
        <w:rPr>
          <w:rStyle w:val="11"/>
          <w:rFonts w:hint="eastAsia" w:ascii="仿宋_GB2312" w:hAnsi="仿宋" w:eastAsia="仿宋_GB2312" w:cs="宋体"/>
          <w:sz w:val="28"/>
          <w:szCs w:val="28"/>
          <w:highlight w:val="none"/>
        </w:rPr>
        <w:t>本次出具评估报告日期为20</w:t>
      </w:r>
      <w:r>
        <w:rPr>
          <w:rStyle w:val="11"/>
          <w:rFonts w:hint="eastAsia" w:ascii="仿宋_GB2312" w:hAnsi="仿宋" w:eastAsia="仿宋_GB2312" w:cs="宋体"/>
          <w:sz w:val="28"/>
          <w:szCs w:val="28"/>
          <w:highlight w:val="none"/>
          <w:lang w:val="en-US" w:eastAsia="zh-CN"/>
        </w:rPr>
        <w:t>22</w:t>
      </w:r>
      <w:r>
        <w:rPr>
          <w:rStyle w:val="11"/>
          <w:rFonts w:hint="eastAsia" w:ascii="仿宋_GB2312" w:hAnsi="仿宋" w:eastAsia="仿宋_GB2312" w:cs="宋体"/>
          <w:sz w:val="28"/>
          <w:szCs w:val="28"/>
          <w:highlight w:val="none"/>
        </w:rPr>
        <w:t>年</w:t>
      </w:r>
      <w:r>
        <w:rPr>
          <w:rStyle w:val="11"/>
          <w:rFonts w:hint="eastAsia" w:ascii="仿宋_GB2312" w:hAnsi="仿宋" w:eastAsia="仿宋_GB2312" w:cs="宋体"/>
          <w:sz w:val="28"/>
          <w:szCs w:val="28"/>
          <w:highlight w:val="none"/>
          <w:lang w:val="en-US" w:eastAsia="zh-CN"/>
        </w:rPr>
        <w:t>11</w:t>
      </w:r>
      <w:r>
        <w:rPr>
          <w:rStyle w:val="11"/>
          <w:rFonts w:hint="eastAsia" w:ascii="仿宋_GB2312" w:hAnsi="仿宋" w:eastAsia="仿宋_GB2312" w:cs="宋体"/>
          <w:sz w:val="28"/>
          <w:szCs w:val="28"/>
          <w:highlight w:val="none"/>
        </w:rPr>
        <w:t>月</w:t>
      </w:r>
      <w:r>
        <w:rPr>
          <w:rStyle w:val="11"/>
          <w:rFonts w:hint="eastAsia" w:ascii="仿宋_GB2312" w:hAnsi="仿宋" w:eastAsia="仿宋_GB2312" w:cs="宋体"/>
          <w:sz w:val="28"/>
          <w:szCs w:val="28"/>
          <w:highlight w:val="none"/>
          <w:lang w:val="en-US" w:eastAsia="zh-CN"/>
        </w:rPr>
        <w:t>16</w:t>
      </w:r>
      <w:r>
        <w:rPr>
          <w:rStyle w:val="11"/>
          <w:rFonts w:hint="eastAsia" w:ascii="仿宋_GB2312" w:hAnsi="仿宋" w:eastAsia="仿宋_GB2312" w:cs="宋体"/>
          <w:sz w:val="28"/>
          <w:szCs w:val="28"/>
          <w:highlight w:val="none"/>
        </w:rPr>
        <w:t>日</w:t>
      </w:r>
      <w:r>
        <w:rPr>
          <w:rStyle w:val="11"/>
          <w:rFonts w:hint="eastAsia" w:ascii="仿宋_GB2312" w:hAnsi="仿宋" w:eastAsia="仿宋_GB2312" w:cs="宋体"/>
          <w:sz w:val="28"/>
          <w:szCs w:val="28"/>
          <w:highlight w:val="none"/>
        </w:rPr>
        <w:t>。</w:t>
      </w:r>
      <w:r>
        <w:rPr>
          <w:rFonts w:hint="eastAsia" w:ascii="仿宋_GB2312" w:hAnsi="宋体" w:eastAsia="仿宋_GB2312" w:cs="Times New Roman"/>
          <w:kern w:val="2"/>
          <w:sz w:val="28"/>
          <w:szCs w:val="28"/>
          <w:highlight w:val="none"/>
          <w:lang w:val="en-US" w:eastAsia="zh-CN" w:bidi="ar-SA"/>
        </w:rPr>
        <w:t xml:space="preserve"> </w:t>
      </w:r>
    </w:p>
    <w:p>
      <w:pPr>
        <w:rPr>
          <w:rFonts w:hint="eastAsia" w:ascii="仿宋_GB2312" w:hAnsi="仿宋" w:eastAsia="仿宋_GB2312"/>
          <w:b/>
          <w:sz w:val="28"/>
          <w:szCs w:val="28"/>
          <w:lang w:val="en-US" w:eastAsia="zh-CN"/>
        </w:rPr>
      </w:pPr>
      <w:r>
        <w:rPr>
          <w:rFonts w:hint="eastAsia" w:ascii="仿宋_GB2312" w:hAnsi="仿宋" w:eastAsia="仿宋_GB2312"/>
          <w:b/>
          <w:sz w:val="28"/>
          <w:szCs w:val="28"/>
          <w:lang w:val="en-US" w:eastAsia="zh-CN"/>
        </w:rPr>
        <w:t xml:space="preserve">   （十四）估价报告应用的有效期</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若无特别约定，估价结论有效期为从估价报告完成之日起壹年。超过有效期后需重新估价方可使用。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rFonts w:hint="eastAsia" w:ascii="仿宋" w:hAnsi="仿宋" w:eastAsia="仿宋"/>
          <w:b/>
          <w:bCs/>
          <w:sz w:val="36"/>
          <w:szCs w:val="36"/>
          <w:highlight w:val="none"/>
          <w:lang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二0二二年十一月十六日</w:t>
      </w:r>
    </w:p>
    <w:p>
      <w:pPr>
        <w:jc w:val="center"/>
        <w:rPr>
          <w:rFonts w:hint="eastAsia" w:ascii="仿宋" w:hAnsi="仿宋" w:eastAsia="仿宋"/>
          <w:b/>
          <w:bCs/>
          <w:sz w:val="36"/>
          <w:szCs w:val="36"/>
          <w:lang w:eastAsia="zh-CN"/>
        </w:rPr>
      </w:pPr>
      <w:r>
        <w:rPr>
          <w:rFonts w:hint="eastAsia" w:ascii="仿宋" w:hAnsi="仿宋" w:eastAsia="仿宋"/>
          <w:b/>
          <w:bCs/>
          <w:sz w:val="36"/>
          <w:szCs w:val="36"/>
          <w:lang w:eastAsia="zh-CN"/>
        </w:rPr>
        <w:t>唐华兵所有的</w:t>
      </w:r>
    </w:p>
    <w:p>
      <w:pPr>
        <w:jc w:val="center"/>
        <w:rPr>
          <w:rFonts w:hint="eastAsia" w:ascii="仿宋" w:hAnsi="仿宋" w:eastAsia="仿宋"/>
          <w:b/>
          <w:bCs/>
          <w:sz w:val="36"/>
          <w:szCs w:val="36"/>
          <w:lang w:val="en-US" w:eastAsia="zh-CN"/>
        </w:rPr>
      </w:pPr>
      <w:r>
        <w:rPr>
          <w:rFonts w:hint="eastAsia" w:ascii="仿宋" w:hAnsi="仿宋" w:eastAsia="仿宋"/>
          <w:b/>
          <w:bCs/>
          <w:sz w:val="36"/>
          <w:szCs w:val="36"/>
          <w:lang w:eastAsia="zh-CN"/>
        </w:rPr>
        <w:t>位于孝感市槐荫大道柳岸春城</w:t>
      </w:r>
      <w:r>
        <w:rPr>
          <w:rFonts w:hint="eastAsia" w:ascii="仿宋" w:hAnsi="仿宋" w:eastAsia="仿宋"/>
          <w:b/>
          <w:bCs/>
          <w:sz w:val="36"/>
          <w:szCs w:val="36"/>
          <w:lang w:val="en-US" w:eastAsia="zh-CN"/>
        </w:rPr>
        <w:t>1幢17层1704室</w:t>
      </w:r>
    </w:p>
    <w:p>
      <w:pPr>
        <w:jc w:val="center"/>
        <w:rPr>
          <w:rFonts w:hint="eastAsia" w:ascii="仿宋" w:hAnsi="仿宋" w:eastAsia="仿宋"/>
          <w:b/>
          <w:bCs/>
          <w:sz w:val="36"/>
          <w:szCs w:val="36"/>
        </w:rPr>
      </w:pPr>
      <w:r>
        <w:rPr>
          <w:rFonts w:hint="eastAsia" w:ascii="仿宋" w:hAnsi="仿宋" w:eastAsia="仿宋"/>
          <w:b/>
          <w:bCs/>
          <w:sz w:val="36"/>
          <w:szCs w:val="36"/>
          <w:lang w:eastAsia="zh-CN"/>
        </w:rPr>
        <w:t>房地产</w:t>
      </w:r>
      <w:r>
        <w:rPr>
          <w:rFonts w:hint="eastAsia" w:ascii="仿宋" w:hAnsi="仿宋" w:eastAsia="仿宋"/>
          <w:b/>
          <w:bCs/>
          <w:sz w:val="36"/>
          <w:szCs w:val="36"/>
        </w:rPr>
        <w:t>估价技术报告</w:t>
      </w:r>
    </w:p>
    <w:p>
      <w:pPr>
        <w:jc w:val="center"/>
        <w:rPr>
          <w:rFonts w:hint="eastAsia" w:ascii="仿宋" w:hAnsi="仿宋" w:eastAsia="仿宋"/>
          <w:b/>
          <w:bCs/>
          <w:sz w:val="32"/>
          <w:szCs w:val="32"/>
        </w:rPr>
      </w:pPr>
    </w:p>
    <w:p>
      <w:pPr>
        <w:jc w:val="both"/>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一、估价对象实物状况描述与分析</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预告登记信息载明，估价对象坐落孝感市槐荫大道柳岸春城1幢17层1704室，权利人为唐华兵，义务人为湖北荣欣房地产开发集团有限公司，预告登记种类为预售商品房预告登记，所在层数/总层数为17层/17层，建筑面积为129.1平方米，不动产登记证明号为孝感市房预字第2015000440号，登记时间为2015年01月13日。</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经现场勘验和调查，估价对象房屋位于孝感市槐荫大道柳岸春城小区1号楼17层1704室，</w:t>
      </w:r>
      <w:r>
        <w:rPr>
          <w:rFonts w:hint="eastAsia" w:ascii="仿宋" w:hAnsi="仿宋" w:eastAsia="仿宋"/>
          <w:sz w:val="28"/>
          <w:szCs w:val="28"/>
          <w:lang w:val="en-US" w:eastAsia="zh-CN"/>
        </w:rPr>
        <w:t>所在楼栋永久性标牌显示竣工时间为2014年10月，</w:t>
      </w:r>
      <w:r>
        <w:rPr>
          <w:rFonts w:hint="eastAsia" w:ascii="仿宋" w:hAnsi="仿宋" w:eastAsia="仿宋"/>
          <w:sz w:val="28"/>
          <w:szCs w:val="28"/>
          <w:lang w:eastAsia="zh-CN"/>
        </w:rPr>
        <w:t>为高层电梯房屋，</w:t>
      </w:r>
      <w:r>
        <w:rPr>
          <w:rFonts w:hint="eastAsia" w:ascii="仿宋" w:hAnsi="仿宋" w:eastAsia="仿宋"/>
          <w:sz w:val="28"/>
          <w:szCs w:val="28"/>
        </w:rPr>
        <w:t>总层数</w:t>
      </w:r>
      <w:r>
        <w:rPr>
          <w:rFonts w:hint="eastAsia" w:ascii="仿宋" w:hAnsi="仿宋" w:eastAsia="仿宋"/>
          <w:sz w:val="28"/>
          <w:szCs w:val="28"/>
          <w:lang w:eastAsia="zh-CN"/>
        </w:rPr>
        <w:t>为</w:t>
      </w:r>
      <w:r>
        <w:rPr>
          <w:rFonts w:hint="eastAsia" w:ascii="仿宋" w:hAnsi="仿宋" w:eastAsia="仿宋"/>
          <w:sz w:val="28"/>
          <w:szCs w:val="28"/>
          <w:lang w:val="en-US" w:eastAsia="zh-CN"/>
        </w:rPr>
        <w:t>17</w:t>
      </w:r>
      <w:r>
        <w:rPr>
          <w:rFonts w:hint="eastAsia" w:ascii="仿宋" w:hAnsi="仿宋" w:eastAsia="仿宋"/>
          <w:sz w:val="28"/>
          <w:szCs w:val="28"/>
        </w:rPr>
        <w:t>层，</w:t>
      </w:r>
      <w:r>
        <w:rPr>
          <w:rFonts w:hint="eastAsia" w:ascii="仿宋" w:hAnsi="仿宋" w:eastAsia="仿宋"/>
          <w:sz w:val="28"/>
          <w:szCs w:val="28"/>
          <w:lang w:eastAsia="zh-CN"/>
        </w:rPr>
        <w:t>每层两电梯四住户，</w:t>
      </w:r>
      <w:r>
        <w:rPr>
          <w:rFonts w:hint="eastAsia" w:ascii="仿宋" w:hAnsi="仿宋" w:eastAsia="仿宋"/>
          <w:sz w:val="28"/>
          <w:szCs w:val="28"/>
        </w:rPr>
        <w:t>南北朝向</w:t>
      </w:r>
      <w:r>
        <w:rPr>
          <w:rFonts w:hint="eastAsia" w:ascii="仿宋" w:hAnsi="仿宋" w:eastAsia="仿宋"/>
          <w:sz w:val="28"/>
          <w:szCs w:val="28"/>
          <w:lang w:eastAsia="zh-CN"/>
        </w:rPr>
        <w:t>，南临槐荫大道。因多种原因未能进入室内开展实物勘验，</w:t>
      </w:r>
      <w:r>
        <w:rPr>
          <w:rFonts w:hint="eastAsia" w:ascii="仿宋" w:hAnsi="仿宋" w:eastAsia="仿宋"/>
          <w:sz w:val="28"/>
          <w:szCs w:val="28"/>
          <w:highlight w:val="none"/>
          <w:lang w:eastAsia="zh-CN"/>
        </w:rPr>
        <w:t>经调查咨询待估房屋户型为三室两厅，室内为精装修，维护保养尚可。</w:t>
      </w:r>
    </w:p>
    <w:p>
      <w:pPr>
        <w:numPr>
          <w:ilvl w:val="0"/>
          <w:numId w:val="2"/>
        </w:numPr>
        <w:ind w:left="562" w:leftChars="0" w:firstLine="0" w:firstLineChars="0"/>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估价对象区域因素分析</w:t>
      </w:r>
    </w:p>
    <w:p>
      <w:pPr>
        <w:keepNext w:val="0"/>
        <w:keepLines w:val="0"/>
        <w:widowControl/>
        <w:suppressLineNumbers w:val="0"/>
        <w:wordWrap w:val="0"/>
        <w:ind w:firstLine="560" w:firstLineChars="200"/>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highlight w:val="none"/>
          <w:lang w:val="en-US" w:eastAsia="zh-CN" w:bidi="ar-SA"/>
        </w:rPr>
        <w:t>估价对象位于</w:t>
      </w:r>
      <w:r>
        <w:rPr>
          <w:rFonts w:hint="eastAsia" w:ascii="仿宋_GB2312" w:hAnsi="宋体" w:eastAsia="仿宋_GB2312" w:cs="Times New Roman"/>
          <w:kern w:val="2"/>
          <w:sz w:val="28"/>
          <w:szCs w:val="28"/>
          <w:lang w:val="en-US" w:eastAsia="zh-CN" w:bidi="ar-SA"/>
        </w:rPr>
        <w:t>孝感市</w:t>
      </w:r>
      <w:r>
        <w:rPr>
          <w:rFonts w:hint="eastAsia" w:ascii="仿宋_GB2312" w:hAnsi="宋体" w:eastAsia="仿宋_GB2312" w:cs="Times New Roman"/>
          <w:kern w:val="2"/>
          <w:sz w:val="28"/>
          <w:szCs w:val="28"/>
          <w:highlight w:val="none"/>
          <w:lang w:val="en-US" w:eastAsia="zh-CN" w:bidi="ar-SA"/>
        </w:rPr>
        <w:t>槐荫大道柳岸春城</w:t>
      </w:r>
      <w:r>
        <w:rPr>
          <w:rFonts w:hint="eastAsia" w:ascii="仿宋" w:hAnsi="仿宋" w:eastAsia="仿宋" w:cs="仿宋"/>
          <w:kern w:val="2"/>
          <w:sz w:val="28"/>
          <w:szCs w:val="28"/>
          <w:lang w:val="en-US" w:eastAsia="zh-CN" w:bidi="ar-SA"/>
        </w:rPr>
        <w:t>小区。该小区规模较大，环境卫生绿化一般，开有东门、南门，24小时保安值守，物业管理尚可；</w:t>
      </w:r>
      <w:r>
        <w:rPr>
          <w:rFonts w:hint="eastAsia" w:ascii="仿宋_GB2312" w:hAnsi="宋体" w:eastAsia="仿宋_GB2312" w:cs="Times New Roman"/>
          <w:kern w:val="2"/>
          <w:sz w:val="28"/>
          <w:szCs w:val="28"/>
          <w:lang w:val="en-US" w:eastAsia="zh-CN" w:bidi="ar-SA"/>
        </w:rPr>
        <w:t>所在区域</w:t>
      </w:r>
      <w:r>
        <w:rPr>
          <w:rFonts w:hint="eastAsia" w:ascii="仿宋" w:hAnsi="仿宋" w:eastAsia="仿宋" w:cs="仿宋"/>
          <w:i w:val="0"/>
          <w:kern w:val="0"/>
          <w:sz w:val="28"/>
          <w:szCs w:val="28"/>
          <w:lang w:val="en-US" w:eastAsia="zh-CN" w:bidi="ar"/>
        </w:rPr>
        <w:t>生活、公共配套基本齐全，东距孝南区书院街办事处800多米，南邻老澴河公园，周边配套有工行、农商行和邮政银行，中小型超市、酒店宾馆、各类便民服务店等；还有孝感第二技工学校、书院中学、城西小学、幼儿园，孝感中医院航空路院区及孝感血防医院；交通便捷，有1路、2路、4路、16路公交车通达，城市功能基本齐全。</w:t>
      </w:r>
    </w:p>
    <w:p>
      <w:pPr>
        <w:numPr>
          <w:ilvl w:val="0"/>
          <w:numId w:val="0"/>
        </w:numPr>
        <w:rPr>
          <w:rFonts w:ascii="仿宋" w:hAnsi="仿宋" w:eastAsia="仿宋"/>
          <w:sz w:val="30"/>
          <w:szCs w:val="30"/>
        </w:rPr>
      </w:pPr>
      <w:r>
        <w:rPr>
          <w:rFonts w:hint="eastAsia" w:ascii="仿宋_GB2312" w:hAnsi="宋体" w:eastAsia="仿宋_GB2312" w:cs="Times New Roman"/>
          <w:b/>
          <w:bCs/>
          <w:kern w:val="2"/>
          <w:sz w:val="28"/>
          <w:szCs w:val="28"/>
          <w:lang w:val="en-US" w:eastAsia="zh-CN" w:bidi="ar-SA"/>
        </w:rPr>
        <w:t xml:space="preserve">    三、最高最佳使用分析</w:t>
      </w:r>
    </w:p>
    <w:p>
      <w:pPr>
        <w:ind w:firstLine="560" w:firstLineChars="200"/>
        <w:rPr>
          <w:rFonts w:ascii="仿宋" w:hAnsi="仿宋" w:eastAsia="仿宋"/>
          <w:sz w:val="30"/>
          <w:szCs w:val="30"/>
        </w:rPr>
      </w:pPr>
      <w:r>
        <w:rPr>
          <w:rFonts w:hint="eastAsia" w:ascii="仿宋_GB2312" w:hAnsi="宋体" w:eastAsia="仿宋_GB2312" w:cs="Times New Roman"/>
          <w:kern w:val="2"/>
          <w:sz w:val="28"/>
          <w:szCs w:val="28"/>
          <w:lang w:val="en-US" w:eastAsia="zh-CN" w:bidi="ar-SA"/>
        </w:rPr>
        <w:t>最高最佳使用是估价对象的一种最可能的使用，这种最可能的使用方法是法律上允许、技术上可行、经济上合理，经过充分合理的论证，并能给估价对象带来最高价值的使用，它的一种具体表现是以使估价对象获利最多的用途和形式来衡量，也就是说评估价值应当是在合法使用方式下，各种可能的使用方式中，能够获得最大收益的使用方式的估价结果。根据估价对象的个别因素和区位条件，我们认为估价对象的规划用途为其最佳用途，估价对象用途为住宅房地产，并保持其实体现状、持续使用为前提。</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四、估价方法的选用</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在认真分析所掌握的资料，并对估价对象进行实地勘查以及对周边房地产市场进行调查后，根据估价规范要求以及估价对象的特点、评估目的及宗地所处区域因素等，遵照国家法律、法规和估价技术标准，针对估价对象是住宅房屋，调查房地产中介机构有类似房地产交易案例，并对估价对象进行现场勘验，经过反复研究，我们采用了市场法综合测算估价对象的公开市场价值。</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市场法是指通过比较被评估资产与最近售出类似资产的异同，并将类似的市场价格进行调整，从而确定被评估资产价值的一种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评估值（比准价格）=可比实例价格×交易情况修正×市场状况调整×房地产状况调整</w:t>
      </w:r>
      <w:r>
        <w:rPr>
          <w:rFonts w:hint="eastAsia" w:ascii="仿宋_GB2312" w:hAnsi="宋体" w:eastAsia="仿宋_GB2312" w:cs="Times New Roman"/>
          <w:b/>
          <w:bCs/>
          <w:kern w:val="2"/>
          <w:sz w:val="28"/>
          <w:szCs w:val="28"/>
          <w:highlight w:val="none"/>
          <w:lang w:val="en-US" w:eastAsia="zh-CN" w:bidi="ar-SA"/>
        </w:rPr>
        <w:t xml:space="preserve">    </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b/>
          <w:bCs/>
          <w:kern w:val="2"/>
          <w:sz w:val="28"/>
          <w:szCs w:val="28"/>
          <w:highlight w:val="none"/>
          <w:lang w:val="en-US" w:eastAsia="zh-CN" w:bidi="ar-SA"/>
        </w:rPr>
        <w:t>五、估价过程</w:t>
      </w:r>
    </w:p>
    <w:p>
      <w:p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接受委托后，我们对估价对象进行了实地勘查，随后开展了广泛的市场调查，并采用市场法进行了估价测算，确定估价结果。</w:t>
      </w:r>
    </w:p>
    <w:p>
      <w:pPr>
        <w:numPr>
          <w:ilvl w:val="0"/>
          <w:numId w:val="0"/>
        </w:num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1、比较实例选择</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针对估价对象的功能和特点，根据替代原则，按用途相同、土地级别相同、价格类型相同等特点，对与估价对象同一区域内的类似住宅房屋价格进行了市场调查和比较分析，按照估价要求，筛选三个可比实例。</w:t>
      </w:r>
    </w:p>
    <w:p>
      <w:pPr>
        <w:numPr>
          <w:ilvl w:val="0"/>
          <w:numId w:val="0"/>
        </w:numPr>
        <w:ind w:firstLine="56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实例A：柳岸春城</w:t>
      </w:r>
      <w:r>
        <w:rPr>
          <w:rFonts w:hint="eastAsia" w:ascii="仿宋_GB2312" w:hAnsi="宋体" w:eastAsia="仿宋_GB2312" w:cs="Times New Roman"/>
          <w:kern w:val="2"/>
          <w:sz w:val="28"/>
          <w:szCs w:val="28"/>
          <w:lang w:val="en-US" w:eastAsia="zh-CN" w:bidi="ar-SA"/>
        </w:rPr>
        <w:t>小区住宅</w:t>
      </w:r>
      <w:r>
        <w:rPr>
          <w:rFonts w:hint="eastAsia" w:ascii="仿宋_GB2312" w:hAnsi="宋体" w:eastAsia="仿宋_GB2312" w:cs="Times New Roman"/>
          <w:kern w:val="2"/>
          <w:sz w:val="28"/>
          <w:szCs w:val="28"/>
          <w:highlight w:val="none"/>
          <w:lang w:val="en-US" w:eastAsia="zh-CN" w:bidi="ar-SA"/>
        </w:rPr>
        <w:t>，2014年建成，总层数19层，所在层6层，南北朝向，毛坯，建筑面积104平米，三室二厅，拟交易总价39万，折合单价约3750元/㎡，拟交易日期2022年05月份。该小区房屋2022年05月均价为4177元/㎡，2022年10月均价为3269元/㎡。</w:t>
      </w:r>
    </w:p>
    <w:p>
      <w:pPr>
        <w:numPr>
          <w:ilvl w:val="0"/>
          <w:numId w:val="0"/>
        </w:numPr>
        <w:ind w:firstLine="56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实例B：</w:t>
      </w:r>
      <w:r>
        <w:rPr>
          <w:rFonts w:hint="eastAsia" w:ascii="仿宋_GB2312" w:hAnsi="宋体" w:eastAsia="仿宋_GB2312" w:cs="Times New Roman"/>
          <w:kern w:val="2"/>
          <w:sz w:val="28"/>
          <w:szCs w:val="28"/>
          <w:lang w:val="en-US" w:eastAsia="zh-CN" w:bidi="ar-SA"/>
        </w:rPr>
        <w:t>金一华府小区住宅</w:t>
      </w:r>
      <w:r>
        <w:rPr>
          <w:rFonts w:hint="eastAsia" w:ascii="仿宋_GB2312" w:hAnsi="宋体" w:eastAsia="仿宋_GB2312" w:cs="Times New Roman"/>
          <w:kern w:val="2"/>
          <w:sz w:val="28"/>
          <w:szCs w:val="28"/>
          <w:highlight w:val="none"/>
          <w:lang w:val="en-US" w:eastAsia="zh-CN" w:bidi="ar-SA"/>
        </w:rPr>
        <w:t>，2016年建成，总层数21层，所在层7层，南北朝向，精装修，建筑面积117平米，三室二厅，拟交易总价45万，折合单价约3847元/㎡，拟交易日期2022年10月份。</w:t>
      </w:r>
    </w:p>
    <w:p>
      <w:pPr>
        <w:numPr>
          <w:ilvl w:val="0"/>
          <w:numId w:val="0"/>
        </w:numPr>
        <w:ind w:firstLine="56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实例C：金一珅港</w:t>
      </w:r>
      <w:r>
        <w:rPr>
          <w:rFonts w:hint="eastAsia" w:ascii="仿宋_GB2312" w:hAnsi="宋体" w:eastAsia="仿宋_GB2312" w:cs="Times New Roman"/>
          <w:kern w:val="2"/>
          <w:sz w:val="28"/>
          <w:szCs w:val="28"/>
          <w:lang w:val="en-US" w:eastAsia="zh-CN" w:bidi="ar-SA"/>
        </w:rPr>
        <w:t>小区住宅</w:t>
      </w:r>
      <w:r>
        <w:rPr>
          <w:rFonts w:hint="eastAsia" w:ascii="仿宋_GB2312" w:hAnsi="宋体" w:eastAsia="仿宋_GB2312" w:cs="Times New Roman"/>
          <w:kern w:val="2"/>
          <w:sz w:val="28"/>
          <w:szCs w:val="28"/>
          <w:highlight w:val="none"/>
          <w:lang w:val="en-US" w:eastAsia="zh-CN" w:bidi="ar-SA"/>
        </w:rPr>
        <w:t>，2018年建成，总层数17层，所在层6层，南北朝向，毛坯，建筑面积117平米，三室二厅，拟交易总价40万，折合单价约3419元/㎡，拟交易日期2022年03月份。该小区房屋2022年03月均价为4258元/㎡，2022年10月均价为4006元/㎡。</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2、比较因素条件说明</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估价对象和比较实例的比较因素条件说明见表1。</w:t>
      </w:r>
    </w:p>
    <w:p>
      <w:pPr>
        <w:numPr>
          <w:ilvl w:val="0"/>
          <w:numId w:val="0"/>
        </w:numPr>
        <w:jc w:val="center"/>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比较因素条件说明表1</w:t>
      </w:r>
    </w:p>
    <w:tbl>
      <w:tblPr>
        <w:tblStyle w:val="9"/>
        <w:tblW w:w="10055"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2054"/>
        <w:gridCol w:w="1694"/>
        <w:gridCol w:w="1620"/>
        <w:gridCol w:w="1665"/>
        <w:gridCol w:w="1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9" w:hRule="atLeast"/>
        </w:trPr>
        <w:tc>
          <w:tcPr>
            <w:tcW w:w="3321" w:type="dxa"/>
            <w:gridSpan w:val="2"/>
            <w:vAlign w:val="center"/>
          </w:tcPr>
          <w:p>
            <w:pPr>
              <w:snapToGrid w:val="0"/>
              <w:spacing w:line="24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因素内容/</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694" w:type="dxa"/>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w:t>
            </w:r>
          </w:p>
        </w:tc>
        <w:tc>
          <w:tcPr>
            <w:tcW w:w="1620" w:type="dxa"/>
            <w:vAlign w:val="center"/>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可比案例A</w:t>
            </w:r>
          </w:p>
        </w:tc>
        <w:tc>
          <w:tcPr>
            <w:tcW w:w="1665" w:type="dxa"/>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可比案例B</w:t>
            </w:r>
          </w:p>
        </w:tc>
        <w:tc>
          <w:tcPr>
            <w:tcW w:w="1755" w:type="dxa"/>
            <w:vAlign w:val="center"/>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6" w:hRule="atLeast"/>
        </w:trPr>
        <w:tc>
          <w:tcPr>
            <w:tcW w:w="3321" w:type="dxa"/>
            <w:gridSpan w:val="2"/>
            <w:vAlign w:val="center"/>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座 落位 置</w:t>
            </w:r>
          </w:p>
        </w:tc>
        <w:tc>
          <w:tcPr>
            <w:tcW w:w="1694" w:type="dxa"/>
            <w:vAlign w:val="center"/>
          </w:tcPr>
          <w:p>
            <w:pPr>
              <w:numPr>
                <w:ilvl w:val="0"/>
                <w:numId w:val="0"/>
              </w:numPr>
              <w:ind w:left="0" w:leftChars="0" w:firstLine="0" w:firstLineChars="0"/>
              <w:jc w:val="center"/>
              <w:rPr>
                <w:rFonts w:hint="default" w:ascii="仿宋" w:hAnsi="仿宋" w:eastAsia="仿宋" w:cs="仿宋"/>
                <w:sz w:val="24"/>
                <w:szCs w:val="24"/>
                <w:vertAlign w:val="baseline"/>
                <w:lang w:val="en-US" w:eastAsia="zh-CN"/>
              </w:rPr>
            </w:pPr>
            <w:r>
              <w:rPr>
                <w:rFonts w:hint="eastAsia" w:ascii="仿宋" w:hAnsi="仿宋" w:eastAsia="仿宋" w:cs="仿宋"/>
                <w:color w:val="auto"/>
                <w:sz w:val="24"/>
                <w:szCs w:val="24"/>
                <w:lang w:val="en-US" w:eastAsia="zh-CN"/>
              </w:rPr>
              <w:t>柳岸春城1幢17层1704室</w:t>
            </w:r>
          </w:p>
        </w:tc>
        <w:tc>
          <w:tcPr>
            <w:tcW w:w="1620" w:type="dxa"/>
            <w:vAlign w:val="center"/>
          </w:tcPr>
          <w:p>
            <w:pPr>
              <w:numPr>
                <w:ilvl w:val="0"/>
                <w:numId w:val="0"/>
              </w:numPr>
              <w:ind w:left="0" w:leftChars="0" w:firstLine="0" w:firstLineChars="0"/>
              <w:jc w:val="center"/>
              <w:rPr>
                <w:rFonts w:hint="default" w:ascii="仿宋" w:hAnsi="仿宋" w:eastAsia="仿宋" w:cs="仿宋"/>
                <w:sz w:val="24"/>
                <w:szCs w:val="24"/>
                <w:vertAlign w:val="baseline"/>
                <w:lang w:val="en-US" w:eastAsia="zh-CN"/>
              </w:rPr>
            </w:pPr>
            <w:r>
              <w:rPr>
                <w:rFonts w:hint="eastAsia" w:ascii="仿宋" w:hAnsi="仿宋" w:eastAsia="仿宋" w:cs="仿宋"/>
                <w:color w:val="auto"/>
                <w:sz w:val="28"/>
                <w:szCs w:val="28"/>
                <w:lang w:val="en-US" w:eastAsia="zh-CN"/>
              </w:rPr>
              <w:t>柳岸春城</w:t>
            </w:r>
          </w:p>
        </w:tc>
        <w:tc>
          <w:tcPr>
            <w:tcW w:w="1665" w:type="dxa"/>
            <w:vAlign w:val="center"/>
          </w:tcPr>
          <w:p>
            <w:pPr>
              <w:numPr>
                <w:ilvl w:val="0"/>
                <w:numId w:val="0"/>
              </w:numPr>
              <w:ind w:left="0" w:leftChars="0" w:firstLine="0" w:firstLineChars="0"/>
              <w:jc w:val="center"/>
              <w:rPr>
                <w:rFonts w:hint="default" w:ascii="仿宋" w:hAnsi="仿宋" w:eastAsia="仿宋" w:cs="仿宋"/>
                <w:kern w:val="2"/>
                <w:sz w:val="28"/>
                <w:szCs w:val="28"/>
                <w:vertAlign w:val="baseline"/>
                <w:lang w:val="en-US" w:eastAsia="zh-CN" w:bidi="ar-SA"/>
              </w:rPr>
            </w:pPr>
            <w:r>
              <w:rPr>
                <w:rFonts w:hint="eastAsia" w:ascii="仿宋" w:hAnsi="仿宋" w:eastAsia="仿宋" w:cs="仿宋"/>
                <w:color w:val="auto"/>
                <w:sz w:val="28"/>
                <w:szCs w:val="28"/>
                <w:lang w:val="en-US" w:eastAsia="zh-CN"/>
              </w:rPr>
              <w:t>金一华府</w:t>
            </w:r>
          </w:p>
        </w:tc>
        <w:tc>
          <w:tcPr>
            <w:tcW w:w="1755" w:type="dxa"/>
            <w:vAlign w:val="center"/>
          </w:tcPr>
          <w:p>
            <w:pPr>
              <w:numPr>
                <w:ilvl w:val="0"/>
                <w:numId w:val="0"/>
              </w:numPr>
              <w:ind w:left="0" w:leftChars="0" w:firstLine="0" w:firstLineChars="0"/>
              <w:jc w:val="center"/>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金一珅港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楼盘名称</w:t>
            </w:r>
          </w:p>
        </w:tc>
        <w:tc>
          <w:tcPr>
            <w:tcW w:w="1694" w:type="dxa"/>
            <w:vAlign w:val="top"/>
          </w:tcPr>
          <w:p>
            <w:pPr>
              <w:numPr>
                <w:ilvl w:val="0"/>
                <w:numId w:val="0"/>
              </w:numPr>
              <w:ind w:left="0" w:leftChars="0" w:firstLine="0" w:firstLineChars="0"/>
              <w:jc w:val="center"/>
              <w:rPr>
                <w:rFonts w:hint="default" w:ascii="仿宋" w:hAnsi="仿宋" w:eastAsia="仿宋" w:cs="仿宋"/>
                <w:sz w:val="24"/>
                <w:szCs w:val="24"/>
                <w:vertAlign w:val="baseline"/>
                <w:lang w:val="en-US" w:eastAsia="zh-CN"/>
              </w:rPr>
            </w:pPr>
            <w:r>
              <w:rPr>
                <w:rFonts w:hint="eastAsia" w:ascii="仿宋" w:hAnsi="仿宋" w:eastAsia="仿宋" w:cs="仿宋"/>
                <w:color w:val="auto"/>
                <w:sz w:val="28"/>
                <w:szCs w:val="28"/>
                <w:lang w:val="en-US" w:eastAsia="zh-CN"/>
              </w:rPr>
              <w:t>柳岸春城</w:t>
            </w:r>
          </w:p>
        </w:tc>
        <w:tc>
          <w:tcPr>
            <w:tcW w:w="1620" w:type="dxa"/>
            <w:vAlign w:val="top"/>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color w:val="auto"/>
                <w:sz w:val="28"/>
                <w:szCs w:val="28"/>
                <w:lang w:val="en-US" w:eastAsia="zh-CN"/>
              </w:rPr>
              <w:t>柳岸春城</w:t>
            </w:r>
          </w:p>
        </w:tc>
        <w:tc>
          <w:tcPr>
            <w:tcW w:w="1665" w:type="dxa"/>
            <w:vAlign w:val="center"/>
          </w:tcPr>
          <w:p>
            <w:pPr>
              <w:numPr>
                <w:ilvl w:val="0"/>
                <w:numId w:val="0"/>
              </w:numPr>
              <w:ind w:left="0" w:leftChars="0" w:firstLine="0" w:firstLineChars="0"/>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color w:val="auto"/>
                <w:sz w:val="28"/>
                <w:szCs w:val="28"/>
                <w:lang w:val="en-US" w:eastAsia="zh-CN"/>
              </w:rPr>
              <w:t>金一华府</w:t>
            </w:r>
          </w:p>
        </w:tc>
        <w:tc>
          <w:tcPr>
            <w:tcW w:w="1755" w:type="dxa"/>
            <w:vAlign w:val="center"/>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color w:val="auto"/>
                <w:sz w:val="28"/>
                <w:szCs w:val="28"/>
                <w:lang w:val="en-US" w:eastAsia="zh-CN"/>
              </w:rPr>
              <w:t>金一珅港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成交单价（元/</w:t>
            </w:r>
            <w:r>
              <w:rPr>
                <w:rFonts w:hint="eastAsia" w:ascii="仿宋" w:hAnsi="仿宋" w:eastAsia="仿宋" w:cs="仿宋"/>
                <w:color w:val="auto"/>
                <w:sz w:val="28"/>
                <w:szCs w:val="28"/>
                <w:lang w:val="en-US" w:eastAsia="zh-CN"/>
              </w:rPr>
              <w:t>M</w:t>
            </w:r>
            <w:r>
              <w:rPr>
                <w:rFonts w:hint="eastAsia" w:ascii="仿宋" w:hAnsi="仿宋" w:eastAsia="仿宋" w:cs="仿宋"/>
                <w:color w:val="auto"/>
                <w:sz w:val="28"/>
                <w:szCs w:val="28"/>
                <w:vertAlign w:val="superscript"/>
                <w:lang w:val="en-US" w:eastAsia="zh-CN"/>
              </w:rPr>
              <w:t>2</w:t>
            </w:r>
            <w:r>
              <w:rPr>
                <w:rFonts w:hint="eastAsia" w:ascii="仿宋" w:hAnsi="仿宋" w:eastAsia="仿宋" w:cs="仿宋"/>
                <w:sz w:val="28"/>
                <w:szCs w:val="28"/>
                <w:vertAlign w:val="baseline"/>
                <w:lang w:val="en-US" w:eastAsia="zh-CN"/>
              </w:rPr>
              <w:t>)</w:t>
            </w:r>
          </w:p>
        </w:tc>
        <w:tc>
          <w:tcPr>
            <w:tcW w:w="169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w:t>
            </w:r>
          </w:p>
        </w:tc>
        <w:tc>
          <w:tcPr>
            <w:tcW w:w="1620" w:type="dxa"/>
            <w:vAlign w:val="top"/>
          </w:tcPr>
          <w:p>
            <w:pPr>
              <w:jc w:val="center"/>
              <w:rPr>
                <w:rFonts w:hint="default"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3750</w:t>
            </w:r>
          </w:p>
        </w:tc>
        <w:tc>
          <w:tcPr>
            <w:tcW w:w="1665" w:type="dxa"/>
            <w:vAlign w:val="top"/>
          </w:tcPr>
          <w:p>
            <w:pPr>
              <w:jc w:val="center"/>
              <w:rPr>
                <w:rFonts w:hint="default"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3847</w:t>
            </w:r>
          </w:p>
        </w:tc>
        <w:tc>
          <w:tcPr>
            <w:tcW w:w="1755" w:type="dxa"/>
            <w:vAlign w:val="top"/>
          </w:tcPr>
          <w:p>
            <w:pPr>
              <w:jc w:val="center"/>
              <w:rPr>
                <w:rFonts w:hint="default"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3419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情况</w:t>
            </w: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交易情况</w:t>
            </w:r>
          </w:p>
        </w:tc>
        <w:tc>
          <w:tcPr>
            <w:tcW w:w="169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w:t>
            </w:r>
          </w:p>
        </w:tc>
        <w:tc>
          <w:tcPr>
            <w:tcW w:w="162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正常</w:t>
            </w:r>
          </w:p>
        </w:tc>
        <w:tc>
          <w:tcPr>
            <w:tcW w:w="166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正常</w:t>
            </w:r>
          </w:p>
        </w:tc>
        <w:tc>
          <w:tcPr>
            <w:tcW w:w="175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类型</w:t>
            </w:r>
          </w:p>
        </w:tc>
        <w:tc>
          <w:tcPr>
            <w:tcW w:w="169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二手房</w:t>
            </w:r>
          </w:p>
        </w:tc>
        <w:tc>
          <w:tcPr>
            <w:tcW w:w="162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二手房</w:t>
            </w:r>
          </w:p>
        </w:tc>
        <w:tc>
          <w:tcPr>
            <w:tcW w:w="166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二手房</w:t>
            </w:r>
          </w:p>
        </w:tc>
        <w:tc>
          <w:tcPr>
            <w:tcW w:w="175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二手房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市场</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状况</w:t>
            </w: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交易日期</w:t>
            </w:r>
          </w:p>
        </w:tc>
        <w:tc>
          <w:tcPr>
            <w:tcW w:w="169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2022.10</w:t>
            </w:r>
          </w:p>
        </w:tc>
        <w:tc>
          <w:tcPr>
            <w:tcW w:w="1620"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2022.05</w:t>
            </w:r>
          </w:p>
        </w:tc>
        <w:tc>
          <w:tcPr>
            <w:tcW w:w="1665"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2022.10</w:t>
            </w:r>
          </w:p>
        </w:tc>
        <w:tc>
          <w:tcPr>
            <w:tcW w:w="1755"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2022.03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4"/>
                <w:szCs w:val="24"/>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修正系数</w:t>
            </w:r>
          </w:p>
        </w:tc>
        <w:tc>
          <w:tcPr>
            <w:tcW w:w="169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20"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125</w:t>
            </w:r>
          </w:p>
        </w:tc>
        <w:tc>
          <w:tcPr>
            <w:tcW w:w="1665"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755"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both"/>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状况</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说明</w:t>
            </w:r>
          </w:p>
        </w:tc>
        <w:tc>
          <w:tcPr>
            <w:tcW w:w="20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区域繁华程度</w:t>
            </w:r>
          </w:p>
        </w:tc>
        <w:tc>
          <w:tcPr>
            <w:tcW w:w="169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620"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66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75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交通便捷程度</w:t>
            </w:r>
          </w:p>
        </w:tc>
        <w:tc>
          <w:tcPr>
            <w:tcW w:w="169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62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66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75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完备程度</w:t>
            </w:r>
          </w:p>
        </w:tc>
        <w:tc>
          <w:tcPr>
            <w:tcW w:w="169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62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66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75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区域环境景观</w:t>
            </w:r>
          </w:p>
        </w:tc>
        <w:tc>
          <w:tcPr>
            <w:tcW w:w="169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62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66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75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绿地覆盖度</w:t>
            </w:r>
          </w:p>
        </w:tc>
        <w:tc>
          <w:tcPr>
            <w:tcW w:w="169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620"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665"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755"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城市规划</w:t>
            </w:r>
          </w:p>
        </w:tc>
        <w:tc>
          <w:tcPr>
            <w:tcW w:w="169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商业区</w:t>
            </w:r>
          </w:p>
        </w:tc>
        <w:tc>
          <w:tcPr>
            <w:tcW w:w="1620"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商业区</w:t>
            </w:r>
          </w:p>
        </w:tc>
        <w:tc>
          <w:tcPr>
            <w:tcW w:w="1665"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商业区</w:t>
            </w:r>
          </w:p>
        </w:tc>
        <w:tc>
          <w:tcPr>
            <w:tcW w:w="1755"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商业区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权益状况说明</w:t>
            </w: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房产类型</w:t>
            </w:r>
          </w:p>
        </w:tc>
        <w:tc>
          <w:tcPr>
            <w:tcW w:w="169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商品房</w:t>
            </w:r>
          </w:p>
        </w:tc>
        <w:tc>
          <w:tcPr>
            <w:tcW w:w="162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商品房</w:t>
            </w:r>
          </w:p>
        </w:tc>
        <w:tc>
          <w:tcPr>
            <w:tcW w:w="166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商品房</w:t>
            </w:r>
          </w:p>
        </w:tc>
        <w:tc>
          <w:tcPr>
            <w:tcW w:w="175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商品房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权属清晰情况</w:t>
            </w:r>
          </w:p>
        </w:tc>
        <w:tc>
          <w:tcPr>
            <w:tcW w:w="169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w:t>
            </w:r>
          </w:p>
        </w:tc>
        <w:tc>
          <w:tcPr>
            <w:tcW w:w="162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w:t>
            </w:r>
          </w:p>
        </w:tc>
        <w:tc>
          <w:tcPr>
            <w:tcW w:w="166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w:t>
            </w:r>
          </w:p>
        </w:tc>
        <w:tc>
          <w:tcPr>
            <w:tcW w:w="175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建筑结构</w:t>
            </w:r>
          </w:p>
        </w:tc>
        <w:tc>
          <w:tcPr>
            <w:tcW w:w="169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混合</w:t>
            </w:r>
          </w:p>
        </w:tc>
        <w:tc>
          <w:tcPr>
            <w:tcW w:w="162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混合</w:t>
            </w:r>
          </w:p>
        </w:tc>
        <w:tc>
          <w:tcPr>
            <w:tcW w:w="166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混合</w:t>
            </w:r>
          </w:p>
        </w:tc>
        <w:tc>
          <w:tcPr>
            <w:tcW w:w="175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临街状态</w:t>
            </w:r>
          </w:p>
        </w:tc>
        <w:tc>
          <w:tcPr>
            <w:tcW w:w="169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不临街</w:t>
            </w:r>
          </w:p>
        </w:tc>
        <w:tc>
          <w:tcPr>
            <w:tcW w:w="162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不临街</w:t>
            </w:r>
          </w:p>
        </w:tc>
        <w:tc>
          <w:tcPr>
            <w:tcW w:w="166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不临街</w:t>
            </w:r>
          </w:p>
        </w:tc>
        <w:tc>
          <w:tcPr>
            <w:tcW w:w="175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不临街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所在层/总层数</w:t>
            </w:r>
          </w:p>
        </w:tc>
        <w:tc>
          <w:tcPr>
            <w:tcW w:w="169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17/17</w:t>
            </w:r>
          </w:p>
        </w:tc>
        <w:tc>
          <w:tcPr>
            <w:tcW w:w="1620"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6/19</w:t>
            </w:r>
          </w:p>
        </w:tc>
        <w:tc>
          <w:tcPr>
            <w:tcW w:w="1665"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7/21</w:t>
            </w:r>
          </w:p>
        </w:tc>
        <w:tc>
          <w:tcPr>
            <w:tcW w:w="1755"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面积大小</w:t>
            </w:r>
          </w:p>
        </w:tc>
        <w:tc>
          <w:tcPr>
            <w:tcW w:w="169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适中</w:t>
            </w:r>
          </w:p>
        </w:tc>
        <w:tc>
          <w:tcPr>
            <w:tcW w:w="162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适中</w:t>
            </w:r>
          </w:p>
        </w:tc>
        <w:tc>
          <w:tcPr>
            <w:tcW w:w="166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适中</w:t>
            </w:r>
          </w:p>
        </w:tc>
        <w:tc>
          <w:tcPr>
            <w:tcW w:w="175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适中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布局户型</w:t>
            </w:r>
          </w:p>
        </w:tc>
        <w:tc>
          <w:tcPr>
            <w:tcW w:w="169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highlight w:val="none"/>
                <w:vertAlign w:val="baseline"/>
                <w:lang w:val="en-US" w:eastAsia="zh-CN"/>
              </w:rPr>
              <w:t>三室二厅</w:t>
            </w:r>
          </w:p>
        </w:tc>
        <w:tc>
          <w:tcPr>
            <w:tcW w:w="162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三室二厅</w:t>
            </w:r>
          </w:p>
        </w:tc>
        <w:tc>
          <w:tcPr>
            <w:tcW w:w="166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三室二厅</w:t>
            </w:r>
          </w:p>
        </w:tc>
        <w:tc>
          <w:tcPr>
            <w:tcW w:w="175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三室二厅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装修情况</w:t>
            </w:r>
          </w:p>
        </w:tc>
        <w:tc>
          <w:tcPr>
            <w:tcW w:w="1694" w:type="dxa"/>
            <w:vAlign w:val="top"/>
          </w:tcPr>
          <w:p>
            <w:pPr>
              <w:jc w:val="center"/>
              <w:rPr>
                <w:rFonts w:hint="default" w:ascii="仿宋" w:hAnsi="仿宋" w:eastAsia="仿宋" w:cs="仿宋"/>
                <w:color w:val="000000" w:themeColor="text1"/>
                <w:sz w:val="28"/>
                <w:szCs w:val="28"/>
                <w:highlight w:val="none"/>
                <w:vertAlign w:val="baseline"/>
                <w:lang w:val="en-US" w:eastAsia="zh-CN"/>
                <w14:textFill>
                  <w14:solidFill>
                    <w14:schemeClr w14:val="tx1"/>
                  </w14:solidFill>
                </w14:textFill>
              </w:rPr>
            </w:pPr>
            <w:r>
              <w:rPr>
                <w:rFonts w:hint="eastAsia" w:ascii="仿宋" w:hAnsi="仿宋" w:eastAsia="仿宋" w:cs="仿宋"/>
                <w:color w:val="000000" w:themeColor="text1"/>
                <w:sz w:val="28"/>
                <w:szCs w:val="28"/>
                <w:highlight w:val="none"/>
                <w:vertAlign w:val="baseline"/>
                <w:lang w:val="en-US" w:eastAsia="zh-CN"/>
                <w14:textFill>
                  <w14:solidFill>
                    <w14:schemeClr w14:val="tx1"/>
                  </w14:solidFill>
                </w14:textFill>
              </w:rPr>
              <w:t>精装修</w:t>
            </w:r>
          </w:p>
        </w:tc>
        <w:tc>
          <w:tcPr>
            <w:tcW w:w="1620" w:type="dxa"/>
            <w:vAlign w:val="top"/>
          </w:tcPr>
          <w:p>
            <w:pPr>
              <w:jc w:val="center"/>
              <w:rPr>
                <w:rFonts w:hint="eastAsia" w:ascii="仿宋" w:hAnsi="仿宋" w:eastAsia="仿宋" w:cs="仿宋"/>
                <w:color w:val="000000" w:themeColor="text1"/>
                <w:sz w:val="28"/>
                <w:szCs w:val="28"/>
                <w:highlight w:val="none"/>
                <w:vertAlign w:val="baseline"/>
                <w:lang w:val="en-US" w:eastAsia="zh-CN"/>
                <w14:textFill>
                  <w14:solidFill>
                    <w14:schemeClr w14:val="tx1"/>
                  </w14:solidFill>
                </w14:textFill>
              </w:rPr>
            </w:pPr>
            <w:r>
              <w:rPr>
                <w:rFonts w:hint="eastAsia" w:ascii="仿宋" w:hAnsi="仿宋" w:eastAsia="仿宋" w:cs="仿宋"/>
                <w:color w:val="000000" w:themeColor="text1"/>
                <w:sz w:val="28"/>
                <w:szCs w:val="28"/>
                <w:highlight w:val="none"/>
                <w:vertAlign w:val="baseline"/>
                <w:lang w:val="en-US" w:eastAsia="zh-CN"/>
                <w14:textFill>
                  <w14:solidFill>
                    <w14:schemeClr w14:val="tx1"/>
                  </w14:solidFill>
                </w14:textFill>
              </w:rPr>
              <w:t>毛坯</w:t>
            </w:r>
          </w:p>
        </w:tc>
        <w:tc>
          <w:tcPr>
            <w:tcW w:w="1665" w:type="dxa"/>
            <w:vAlign w:val="top"/>
          </w:tcPr>
          <w:p>
            <w:pPr>
              <w:jc w:val="center"/>
              <w:rPr>
                <w:rFonts w:hint="default" w:ascii="仿宋" w:hAnsi="仿宋" w:eastAsia="仿宋" w:cs="仿宋"/>
                <w:color w:val="000000" w:themeColor="text1"/>
                <w:sz w:val="28"/>
                <w:szCs w:val="28"/>
                <w:vertAlign w:val="baseline"/>
                <w:lang w:val="en-US" w:eastAsia="zh-CN"/>
                <w14:textFill>
                  <w14:solidFill>
                    <w14:schemeClr w14:val="tx1"/>
                  </w14:solidFill>
                </w14:textFill>
              </w:rPr>
            </w:pPr>
            <w:r>
              <w:rPr>
                <w:rFonts w:hint="eastAsia" w:ascii="仿宋" w:hAnsi="仿宋" w:eastAsia="仿宋" w:cs="仿宋"/>
                <w:color w:val="000000" w:themeColor="text1"/>
                <w:sz w:val="28"/>
                <w:szCs w:val="28"/>
                <w:highlight w:val="none"/>
                <w:vertAlign w:val="baseline"/>
                <w:lang w:val="en-US" w:eastAsia="zh-CN"/>
                <w14:textFill>
                  <w14:solidFill>
                    <w14:schemeClr w14:val="tx1"/>
                  </w14:solidFill>
                </w14:textFill>
              </w:rPr>
              <w:t>精装修</w:t>
            </w:r>
          </w:p>
        </w:tc>
        <w:tc>
          <w:tcPr>
            <w:tcW w:w="1755" w:type="dxa"/>
            <w:vAlign w:val="top"/>
          </w:tcPr>
          <w:p>
            <w:pPr>
              <w:jc w:val="center"/>
              <w:rPr>
                <w:rFonts w:hint="eastAsia" w:ascii="仿宋" w:hAnsi="仿宋" w:eastAsia="仿宋" w:cs="仿宋"/>
                <w:color w:val="000000" w:themeColor="text1"/>
                <w:sz w:val="28"/>
                <w:szCs w:val="28"/>
                <w:vertAlign w:val="baseline"/>
                <w:lang w:val="en-US" w:eastAsia="zh-CN"/>
                <w14:textFill>
                  <w14:solidFill>
                    <w14:schemeClr w14:val="tx1"/>
                  </w14:solidFill>
                </w14:textFill>
              </w:rPr>
            </w:pPr>
            <w:r>
              <w:rPr>
                <w:rFonts w:hint="eastAsia" w:ascii="仿宋" w:hAnsi="仿宋" w:eastAsia="仿宋" w:cs="仿宋"/>
                <w:color w:val="000000" w:themeColor="text1"/>
                <w:sz w:val="28"/>
                <w:szCs w:val="28"/>
                <w:highlight w:val="none"/>
                <w:vertAlign w:val="baseline"/>
                <w:lang w:val="en-US" w:eastAsia="zh-CN"/>
                <w14:textFill>
                  <w14:solidFill>
                    <w14:schemeClr w14:val="tx1"/>
                  </w14:solidFill>
                </w14:textFill>
              </w:rPr>
              <w:t>毛坯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朝</w:t>
            </w:r>
            <w:r>
              <w:rPr>
                <w:rFonts w:hint="eastAsia" w:ascii="仿宋" w:hAnsi="仿宋" w:eastAsia="仿宋" w:cs="仿宋"/>
                <w:sz w:val="24"/>
                <w:szCs w:val="24"/>
                <w:vertAlign w:val="baseline"/>
                <w:lang w:val="en-US" w:eastAsia="zh-CN"/>
              </w:rPr>
              <w:t>向及采光通风</w:t>
            </w:r>
          </w:p>
        </w:tc>
        <w:tc>
          <w:tcPr>
            <w:tcW w:w="169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南北，好</w:t>
            </w:r>
          </w:p>
        </w:tc>
        <w:tc>
          <w:tcPr>
            <w:tcW w:w="162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南北，好</w:t>
            </w:r>
          </w:p>
        </w:tc>
        <w:tc>
          <w:tcPr>
            <w:tcW w:w="166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南北，好</w:t>
            </w:r>
          </w:p>
        </w:tc>
        <w:tc>
          <w:tcPr>
            <w:tcW w:w="175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南北，好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层高</w:t>
            </w:r>
          </w:p>
        </w:tc>
        <w:tc>
          <w:tcPr>
            <w:tcW w:w="169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标准层高</w:t>
            </w:r>
          </w:p>
        </w:tc>
        <w:tc>
          <w:tcPr>
            <w:tcW w:w="162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标准层高</w:t>
            </w:r>
          </w:p>
        </w:tc>
        <w:tc>
          <w:tcPr>
            <w:tcW w:w="166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标准层高</w:t>
            </w:r>
          </w:p>
        </w:tc>
        <w:tc>
          <w:tcPr>
            <w:tcW w:w="175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标准层高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新旧程度</w:t>
            </w:r>
          </w:p>
        </w:tc>
        <w:tc>
          <w:tcPr>
            <w:tcW w:w="169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84%</w:t>
            </w:r>
          </w:p>
        </w:tc>
        <w:tc>
          <w:tcPr>
            <w:tcW w:w="1620"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84%</w:t>
            </w:r>
          </w:p>
        </w:tc>
        <w:tc>
          <w:tcPr>
            <w:tcW w:w="1665"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88%</w:t>
            </w:r>
          </w:p>
        </w:tc>
        <w:tc>
          <w:tcPr>
            <w:tcW w:w="1755"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物业管理</w:t>
            </w:r>
          </w:p>
        </w:tc>
        <w:tc>
          <w:tcPr>
            <w:tcW w:w="169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较好</w:t>
            </w:r>
          </w:p>
        </w:tc>
        <w:tc>
          <w:tcPr>
            <w:tcW w:w="162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较好</w:t>
            </w:r>
          </w:p>
        </w:tc>
        <w:tc>
          <w:tcPr>
            <w:tcW w:w="166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较好</w:t>
            </w:r>
          </w:p>
        </w:tc>
        <w:tc>
          <w:tcPr>
            <w:tcW w:w="175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ind w:firstLine="280" w:firstLineChars="100"/>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噪 音</w:t>
            </w:r>
          </w:p>
        </w:tc>
        <w:tc>
          <w:tcPr>
            <w:tcW w:w="169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lang w:val="en-US" w:eastAsia="zh-CN"/>
              </w:rPr>
              <w:t>安静</w:t>
            </w:r>
          </w:p>
        </w:tc>
        <w:tc>
          <w:tcPr>
            <w:tcW w:w="1620"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lang w:val="en-US" w:eastAsia="zh-CN"/>
              </w:rPr>
              <w:t>安静</w:t>
            </w:r>
          </w:p>
        </w:tc>
        <w:tc>
          <w:tcPr>
            <w:tcW w:w="1665"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lang w:val="en-US" w:eastAsia="zh-CN"/>
              </w:rPr>
              <w:t>安静</w:t>
            </w:r>
          </w:p>
        </w:tc>
        <w:tc>
          <w:tcPr>
            <w:tcW w:w="1755"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lang w:val="en-US" w:eastAsia="zh-CN"/>
              </w:rPr>
              <w:t>安静</w:t>
            </w:r>
          </w:p>
        </w:tc>
      </w:tr>
    </w:tbl>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3、编制比较因素修正指数表</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根据估价对象与比较实例各种因素具体情况，编制比较因素修正指数表，见表2。</w:t>
      </w:r>
    </w:p>
    <w:p>
      <w:pPr>
        <w:jc w:val="center"/>
        <w:rPr>
          <w:rFonts w:hint="default" w:ascii="仿宋" w:hAnsi="仿宋" w:eastAsia="仿宋" w:cs="仿宋"/>
          <w:sz w:val="30"/>
          <w:szCs w:val="30"/>
          <w:highlight w:val="none"/>
          <w:lang w:val="en-US" w:eastAsia="zh-CN"/>
        </w:rPr>
      </w:pPr>
      <w:r>
        <w:rPr>
          <w:rFonts w:hint="eastAsia" w:ascii="仿宋" w:hAnsi="仿宋" w:eastAsia="仿宋" w:cs="仿宋"/>
          <w:sz w:val="30"/>
          <w:szCs w:val="30"/>
          <w:highlight w:val="none"/>
          <w:lang w:eastAsia="zh-CN"/>
        </w:rPr>
        <w:t>比较因素条件指数表</w:t>
      </w:r>
      <w:r>
        <w:rPr>
          <w:rFonts w:hint="eastAsia" w:ascii="仿宋" w:hAnsi="仿宋" w:eastAsia="仿宋" w:cs="仿宋"/>
          <w:sz w:val="30"/>
          <w:szCs w:val="30"/>
          <w:highlight w:val="none"/>
          <w:lang w:val="en-US" w:eastAsia="zh-CN"/>
        </w:rPr>
        <w:t>2</w:t>
      </w:r>
    </w:p>
    <w:tbl>
      <w:tblPr>
        <w:tblStyle w:val="9"/>
        <w:tblW w:w="10055"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694"/>
        <w:gridCol w:w="1605"/>
        <w:gridCol w:w="1695"/>
        <w:gridCol w:w="1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trPr>
        <w:tc>
          <w:tcPr>
            <w:tcW w:w="3321" w:type="dxa"/>
            <w:gridSpan w:val="2"/>
            <w:vAlign w:val="center"/>
          </w:tcPr>
          <w:p>
            <w:pPr>
              <w:snapToGrid w:val="0"/>
              <w:spacing w:line="24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因素内容/</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694" w:type="dxa"/>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w:t>
            </w:r>
          </w:p>
        </w:tc>
        <w:tc>
          <w:tcPr>
            <w:tcW w:w="1605" w:type="dxa"/>
            <w:vAlign w:val="center"/>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可比案例A</w:t>
            </w:r>
          </w:p>
        </w:tc>
        <w:tc>
          <w:tcPr>
            <w:tcW w:w="1695" w:type="dxa"/>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可比案例B</w:t>
            </w:r>
          </w:p>
        </w:tc>
        <w:tc>
          <w:tcPr>
            <w:tcW w:w="1740" w:type="dxa"/>
            <w:vAlign w:val="center"/>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成交单价（元/平米）</w:t>
            </w:r>
          </w:p>
        </w:tc>
        <w:tc>
          <w:tcPr>
            <w:tcW w:w="169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w:t>
            </w:r>
          </w:p>
        </w:tc>
        <w:tc>
          <w:tcPr>
            <w:tcW w:w="1605"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highlight w:val="none"/>
                <w:vertAlign w:val="baseline"/>
                <w:lang w:val="en-US" w:eastAsia="zh-CN"/>
              </w:rPr>
              <w:t>3750</w:t>
            </w:r>
          </w:p>
        </w:tc>
        <w:tc>
          <w:tcPr>
            <w:tcW w:w="169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highlight w:val="none"/>
                <w:vertAlign w:val="baseline"/>
                <w:lang w:val="en-US" w:eastAsia="zh-CN"/>
              </w:rPr>
              <w:t>3847</w:t>
            </w:r>
          </w:p>
        </w:tc>
        <w:tc>
          <w:tcPr>
            <w:tcW w:w="1740"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highlight w:val="none"/>
                <w:vertAlign w:val="baseline"/>
                <w:lang w:val="en-US" w:eastAsia="zh-CN"/>
              </w:rPr>
              <w:t>3419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情况</w:t>
            </w: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交易情况</w:t>
            </w:r>
          </w:p>
        </w:tc>
        <w:tc>
          <w:tcPr>
            <w:tcW w:w="169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0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9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74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类型</w:t>
            </w:r>
          </w:p>
        </w:tc>
        <w:tc>
          <w:tcPr>
            <w:tcW w:w="169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0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9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74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市场状况</w:t>
            </w:r>
          </w:p>
        </w:tc>
        <w:tc>
          <w:tcPr>
            <w:tcW w:w="169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0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125</w:t>
            </w:r>
          </w:p>
        </w:tc>
        <w:tc>
          <w:tcPr>
            <w:tcW w:w="169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740"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28"/>
                <w:szCs w:val="28"/>
                <w:vertAlign w:val="baseline"/>
                <w:lang w:val="en-US" w:eastAsia="zh-CN"/>
              </w:rPr>
            </w:pPr>
          </w:p>
          <w:p>
            <w:pPr>
              <w:ind w:firstLine="280" w:firstLineChars="100"/>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w:t>
            </w:r>
          </w:p>
          <w:p>
            <w:pPr>
              <w:jc w:val="center"/>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状况</w:t>
            </w:r>
          </w:p>
          <w:p>
            <w:pPr>
              <w:jc w:val="center"/>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说明</w:t>
            </w:r>
          </w:p>
        </w:tc>
        <w:tc>
          <w:tcPr>
            <w:tcW w:w="21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区域繁华程度</w:t>
            </w:r>
          </w:p>
        </w:tc>
        <w:tc>
          <w:tcPr>
            <w:tcW w:w="169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05"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95"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740"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交通便捷程度</w:t>
            </w:r>
          </w:p>
        </w:tc>
        <w:tc>
          <w:tcPr>
            <w:tcW w:w="169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05"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95"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74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4"/>
                <w:szCs w:val="24"/>
                <w:vertAlign w:val="baseline"/>
                <w:lang w:val="en-US" w:eastAsia="zh-CN"/>
              </w:rPr>
              <w:t>完备程度</w:t>
            </w:r>
          </w:p>
        </w:tc>
        <w:tc>
          <w:tcPr>
            <w:tcW w:w="169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05"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95"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74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区域环境景观</w:t>
            </w:r>
          </w:p>
        </w:tc>
        <w:tc>
          <w:tcPr>
            <w:tcW w:w="169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05"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95"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74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绿地覆盖度</w:t>
            </w:r>
          </w:p>
        </w:tc>
        <w:tc>
          <w:tcPr>
            <w:tcW w:w="169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05"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95"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74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城市规划</w:t>
            </w:r>
          </w:p>
        </w:tc>
        <w:tc>
          <w:tcPr>
            <w:tcW w:w="169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05"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95"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74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小计</w:t>
            </w:r>
          </w:p>
        </w:tc>
        <w:tc>
          <w:tcPr>
            <w:tcW w:w="169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05"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95"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740"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restart"/>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权益状况说明</w:t>
            </w: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房产类型</w:t>
            </w:r>
          </w:p>
        </w:tc>
        <w:tc>
          <w:tcPr>
            <w:tcW w:w="169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05"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95"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74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权属清晰情况</w:t>
            </w:r>
          </w:p>
        </w:tc>
        <w:tc>
          <w:tcPr>
            <w:tcW w:w="169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05"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95"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74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28"/>
                <w:szCs w:val="28"/>
                <w:vertAlign w:val="baseline"/>
                <w:lang w:val="en-US" w:eastAsia="zh-CN"/>
              </w:rPr>
            </w:pPr>
          </w:p>
          <w:p>
            <w:pPr>
              <w:jc w:val="both"/>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实物</w:t>
            </w:r>
          </w:p>
          <w:p>
            <w:pPr>
              <w:jc w:val="center"/>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状况</w:t>
            </w:r>
          </w:p>
          <w:p>
            <w:pPr>
              <w:jc w:val="center"/>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说明</w:t>
            </w:r>
          </w:p>
        </w:tc>
        <w:tc>
          <w:tcPr>
            <w:tcW w:w="215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建筑结构</w:t>
            </w:r>
          </w:p>
        </w:tc>
        <w:tc>
          <w:tcPr>
            <w:tcW w:w="169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05"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95"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74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临街状态</w:t>
            </w:r>
          </w:p>
        </w:tc>
        <w:tc>
          <w:tcPr>
            <w:tcW w:w="169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05"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95"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74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总层数/所在层</w:t>
            </w:r>
          </w:p>
        </w:tc>
        <w:tc>
          <w:tcPr>
            <w:tcW w:w="169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605"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96</w:t>
            </w:r>
          </w:p>
        </w:tc>
        <w:tc>
          <w:tcPr>
            <w:tcW w:w="1695"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97</w:t>
            </w:r>
          </w:p>
        </w:tc>
        <w:tc>
          <w:tcPr>
            <w:tcW w:w="174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面积大小</w:t>
            </w:r>
          </w:p>
        </w:tc>
        <w:tc>
          <w:tcPr>
            <w:tcW w:w="169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05"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95"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740"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布局户型</w:t>
            </w:r>
          </w:p>
        </w:tc>
        <w:tc>
          <w:tcPr>
            <w:tcW w:w="169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05"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95"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74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装修情况</w:t>
            </w:r>
          </w:p>
        </w:tc>
        <w:tc>
          <w:tcPr>
            <w:tcW w:w="169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05"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85</w:t>
            </w:r>
          </w:p>
        </w:tc>
        <w:tc>
          <w:tcPr>
            <w:tcW w:w="1695"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c>
          <w:tcPr>
            <w:tcW w:w="174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朝</w:t>
            </w:r>
            <w:r>
              <w:rPr>
                <w:rFonts w:hint="eastAsia" w:ascii="仿宋" w:hAnsi="仿宋" w:eastAsia="仿宋" w:cs="仿宋"/>
                <w:sz w:val="24"/>
                <w:szCs w:val="24"/>
                <w:vertAlign w:val="baseline"/>
                <w:lang w:val="en-US" w:eastAsia="zh-CN"/>
              </w:rPr>
              <w:t>向及采光通风</w:t>
            </w:r>
          </w:p>
        </w:tc>
        <w:tc>
          <w:tcPr>
            <w:tcW w:w="169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05"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95"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740"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层高</w:t>
            </w:r>
          </w:p>
        </w:tc>
        <w:tc>
          <w:tcPr>
            <w:tcW w:w="169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05"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95"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74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新旧程度</w:t>
            </w:r>
          </w:p>
        </w:tc>
        <w:tc>
          <w:tcPr>
            <w:tcW w:w="169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05"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95"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101</w:t>
            </w:r>
          </w:p>
        </w:tc>
        <w:tc>
          <w:tcPr>
            <w:tcW w:w="1740"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ind w:firstLine="280" w:firstLineChars="100"/>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物业管理</w:t>
            </w:r>
          </w:p>
        </w:tc>
        <w:tc>
          <w:tcPr>
            <w:tcW w:w="169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05"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95"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740"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ind w:firstLine="560" w:firstLineChars="200"/>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噪音</w:t>
            </w:r>
          </w:p>
        </w:tc>
        <w:tc>
          <w:tcPr>
            <w:tcW w:w="169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05"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95"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74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ind w:firstLine="560" w:firstLineChars="200"/>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小计</w:t>
            </w:r>
          </w:p>
        </w:tc>
        <w:tc>
          <w:tcPr>
            <w:tcW w:w="169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605"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81</w:t>
            </w:r>
          </w:p>
        </w:tc>
        <w:tc>
          <w:tcPr>
            <w:tcW w:w="1695"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98</w:t>
            </w:r>
          </w:p>
        </w:tc>
        <w:tc>
          <w:tcPr>
            <w:tcW w:w="1740"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83</w:t>
            </w:r>
          </w:p>
        </w:tc>
      </w:tr>
    </w:tbl>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4、比较因素修正系数确定</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在因素条件指数表的基础上，将估价对象的因素条件指数与可比实例的因素条件指数进行比较，得到比较因素修正系数，见表3。</w:t>
      </w:r>
    </w:p>
    <w:p>
      <w:pPr>
        <w:jc w:val="center"/>
        <w:rPr>
          <w:rFonts w:hint="default" w:ascii="仿宋" w:hAnsi="仿宋" w:eastAsia="仿宋" w:cs="仿宋"/>
          <w:sz w:val="28"/>
          <w:szCs w:val="28"/>
          <w:lang w:val="en-US" w:eastAsia="zh-CN"/>
        </w:rPr>
      </w:pPr>
      <w:r>
        <w:rPr>
          <w:rFonts w:hint="eastAsia" w:ascii="仿宋" w:hAnsi="仿宋" w:eastAsia="仿宋" w:cs="仿宋"/>
          <w:sz w:val="28"/>
          <w:szCs w:val="28"/>
          <w:lang w:eastAsia="zh-CN"/>
        </w:rPr>
        <w:t>比较因素修正系数表</w:t>
      </w:r>
      <w:r>
        <w:rPr>
          <w:rFonts w:hint="eastAsia" w:ascii="仿宋" w:hAnsi="仿宋" w:eastAsia="仿宋" w:cs="仿宋"/>
          <w:sz w:val="28"/>
          <w:szCs w:val="28"/>
          <w:lang w:val="en-US" w:eastAsia="zh-CN"/>
        </w:rPr>
        <w:t>3</w:t>
      </w:r>
    </w:p>
    <w:tbl>
      <w:tblPr>
        <w:tblStyle w:val="9"/>
        <w:tblW w:w="97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394"/>
        <w:gridCol w:w="1619"/>
        <w:gridCol w:w="1550"/>
        <w:gridCol w:w="1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6" w:hRule="atLeast"/>
        </w:trPr>
        <w:tc>
          <w:tcPr>
            <w:tcW w:w="3321" w:type="dxa"/>
            <w:gridSpan w:val="2"/>
            <w:vAlign w:val="center"/>
          </w:tcPr>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因素/内容</w:t>
            </w:r>
          </w:p>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估价对象与案例</w:t>
            </w:r>
          </w:p>
        </w:tc>
        <w:tc>
          <w:tcPr>
            <w:tcW w:w="1394" w:type="dxa"/>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估价对象</w:t>
            </w:r>
          </w:p>
        </w:tc>
        <w:tc>
          <w:tcPr>
            <w:tcW w:w="1619" w:type="dxa"/>
            <w:vAlign w:val="center"/>
          </w:tcPr>
          <w:p>
            <w:pPr>
              <w:spacing w:line="72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可比案例A</w:t>
            </w:r>
          </w:p>
        </w:tc>
        <w:tc>
          <w:tcPr>
            <w:tcW w:w="1550" w:type="dxa"/>
            <w:vAlign w:val="center"/>
          </w:tcPr>
          <w:p>
            <w:pPr>
              <w:spacing w:line="72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可比案例B</w:t>
            </w:r>
          </w:p>
        </w:tc>
        <w:tc>
          <w:tcPr>
            <w:tcW w:w="1833" w:type="dxa"/>
            <w:vAlign w:val="center"/>
          </w:tcPr>
          <w:p>
            <w:pPr>
              <w:spacing w:line="72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成交单价（元/平米）</w:t>
            </w:r>
          </w:p>
        </w:tc>
        <w:tc>
          <w:tcPr>
            <w:tcW w:w="1394" w:type="dxa"/>
            <w:vAlign w:val="top"/>
          </w:tcPr>
          <w:p>
            <w:pPr>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w:t>
            </w:r>
          </w:p>
        </w:tc>
        <w:tc>
          <w:tcPr>
            <w:tcW w:w="1619"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sz w:val="24"/>
                <w:szCs w:val="24"/>
                <w:highlight w:val="none"/>
                <w:vertAlign w:val="baseline"/>
                <w:lang w:val="en-US" w:eastAsia="zh-CN"/>
              </w:rPr>
              <w:t>3750</w:t>
            </w:r>
          </w:p>
        </w:tc>
        <w:tc>
          <w:tcPr>
            <w:tcW w:w="1550"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sz w:val="24"/>
                <w:szCs w:val="24"/>
                <w:highlight w:val="none"/>
                <w:vertAlign w:val="baseline"/>
                <w:lang w:val="en-US" w:eastAsia="zh-CN"/>
              </w:rPr>
              <w:t>3847</w:t>
            </w:r>
          </w:p>
        </w:tc>
        <w:tc>
          <w:tcPr>
            <w:tcW w:w="1833"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sz w:val="24"/>
                <w:szCs w:val="24"/>
                <w:highlight w:val="none"/>
                <w:vertAlign w:val="baseline"/>
                <w:lang w:val="en-US" w:eastAsia="zh-CN"/>
              </w:rPr>
              <w:t>3419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交易</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情况</w:t>
            </w: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交易情况</w:t>
            </w:r>
          </w:p>
        </w:tc>
        <w:tc>
          <w:tcPr>
            <w:tcW w:w="1394" w:type="dxa"/>
            <w:vAlign w:val="top"/>
          </w:tcPr>
          <w:p>
            <w:pPr>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619"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550"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33"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4"/>
                <w:szCs w:val="24"/>
                <w:vertAlign w:val="baseline"/>
                <w:lang w:val="en-US" w:eastAsia="zh-CN"/>
              </w:rPr>
            </w:pP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类型</w:t>
            </w:r>
          </w:p>
        </w:tc>
        <w:tc>
          <w:tcPr>
            <w:tcW w:w="1394"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619"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550"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33"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市场状况调整系数</w:t>
            </w:r>
          </w:p>
        </w:tc>
        <w:tc>
          <w:tcPr>
            <w:tcW w:w="1394" w:type="dxa"/>
            <w:vAlign w:val="top"/>
          </w:tcPr>
          <w:p>
            <w:pPr>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619"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sz w:val="24"/>
                <w:szCs w:val="24"/>
                <w:vertAlign w:val="baseline"/>
                <w:lang w:val="en-US" w:eastAsia="zh-CN"/>
              </w:rPr>
              <w:t>125</w:t>
            </w:r>
          </w:p>
        </w:tc>
        <w:tc>
          <w:tcPr>
            <w:tcW w:w="1550"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sz w:val="24"/>
                <w:szCs w:val="24"/>
                <w:vertAlign w:val="baseline"/>
                <w:lang w:val="en-US" w:eastAsia="zh-CN"/>
              </w:rPr>
              <w:t>100</w:t>
            </w:r>
          </w:p>
        </w:tc>
        <w:tc>
          <w:tcPr>
            <w:tcW w:w="1833" w:type="dxa"/>
            <w:vAlign w:val="top"/>
          </w:tcPr>
          <w:p>
            <w:pPr>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sz w:val="24"/>
                <w:szCs w:val="24"/>
                <w:vertAlign w:val="baseline"/>
                <w:lang w:val="en-US" w:eastAsia="zh-CN"/>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区域状况调整系数</w:t>
            </w:r>
          </w:p>
        </w:tc>
        <w:tc>
          <w:tcPr>
            <w:tcW w:w="1394"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619" w:type="dxa"/>
            <w:vAlign w:val="top"/>
          </w:tcPr>
          <w:p>
            <w:pPr>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550" w:type="dxa"/>
            <w:vAlign w:val="top"/>
          </w:tcPr>
          <w:p>
            <w:pPr>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33" w:type="dxa"/>
            <w:vAlign w:val="top"/>
          </w:tcPr>
          <w:p>
            <w:pPr>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权益状况调整系数</w:t>
            </w:r>
          </w:p>
        </w:tc>
        <w:tc>
          <w:tcPr>
            <w:tcW w:w="1394" w:type="dxa"/>
            <w:vAlign w:val="top"/>
          </w:tcPr>
          <w:p>
            <w:pPr>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100</w:t>
            </w:r>
          </w:p>
        </w:tc>
        <w:tc>
          <w:tcPr>
            <w:tcW w:w="1619" w:type="dxa"/>
            <w:vAlign w:val="top"/>
          </w:tcPr>
          <w:p>
            <w:pPr>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550" w:type="dxa"/>
            <w:vAlign w:val="top"/>
          </w:tcPr>
          <w:p>
            <w:pPr>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33" w:type="dxa"/>
            <w:vAlign w:val="top"/>
          </w:tcPr>
          <w:p>
            <w:pPr>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实物状况调整系数</w:t>
            </w:r>
          </w:p>
        </w:tc>
        <w:tc>
          <w:tcPr>
            <w:tcW w:w="1394"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619"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81</w:t>
            </w:r>
          </w:p>
        </w:tc>
        <w:tc>
          <w:tcPr>
            <w:tcW w:w="1550"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98</w:t>
            </w:r>
          </w:p>
        </w:tc>
        <w:tc>
          <w:tcPr>
            <w:tcW w:w="1833"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比准价格（元/平米）</w:t>
            </w:r>
          </w:p>
        </w:tc>
        <w:tc>
          <w:tcPr>
            <w:tcW w:w="1394"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w:t>
            </w:r>
          </w:p>
        </w:tc>
        <w:tc>
          <w:tcPr>
            <w:tcW w:w="1619"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3704</w:t>
            </w:r>
          </w:p>
        </w:tc>
        <w:tc>
          <w:tcPr>
            <w:tcW w:w="1550"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3926</w:t>
            </w:r>
          </w:p>
        </w:tc>
        <w:tc>
          <w:tcPr>
            <w:tcW w:w="1833"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3886</w:t>
            </w:r>
          </w:p>
        </w:tc>
      </w:tr>
    </w:tbl>
    <w:p>
      <w:pPr>
        <w:numPr>
          <w:ilvl w:val="0"/>
          <w:numId w:val="0"/>
        </w:numPr>
        <w:ind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5、求取估价对象价值</w:t>
      </w:r>
    </w:p>
    <w:p>
      <w:pPr>
        <w:numPr>
          <w:ilvl w:val="0"/>
          <w:numId w:val="0"/>
        </w:numPr>
        <w:ind w:firstLine="560" w:firstLineChars="200"/>
        <w:jc w:val="lef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由于可比实例A、B、C与估价对象条件因素相当类似，且比准价格相差不大，因此采取简单平均值的求取方法，估算估价对象的价格。</w:t>
      </w:r>
    </w:p>
    <w:p>
      <w:pPr>
        <w:numPr>
          <w:ilvl w:val="0"/>
          <w:numId w:val="0"/>
        </w:numPr>
        <w:ind w:left="600" w:leftChars="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评估单价=（3704+3926+3886）÷3≈3839(元/平米)</w:t>
      </w:r>
    </w:p>
    <w:p>
      <w:pPr>
        <w:numPr>
          <w:ilvl w:val="0"/>
          <w:numId w:val="0"/>
        </w:numPr>
        <w:ind w:firstLine="560" w:firstLineChars="200"/>
        <w:jc w:val="both"/>
        <w:rPr>
          <w:rFonts w:hint="eastAsia" w:ascii="仿宋" w:hAnsi="仿宋" w:eastAsia="仿宋" w:cs="仿宋"/>
          <w:sz w:val="30"/>
          <w:szCs w:val="30"/>
          <w:highlight w:val="none"/>
          <w:lang w:val="en-US" w:eastAsia="zh-CN"/>
        </w:rPr>
      </w:pPr>
      <w:r>
        <w:rPr>
          <w:rFonts w:hint="eastAsia" w:ascii="仿宋" w:hAnsi="仿宋" w:eastAsia="仿宋" w:cs="仿宋"/>
          <w:sz w:val="28"/>
          <w:szCs w:val="28"/>
          <w:highlight w:val="none"/>
          <w:lang w:val="en-US" w:eastAsia="zh-CN"/>
        </w:rPr>
        <w:t>评估总值=3839×129.1≈495615(元)</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六、估价结果确定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估价人员根据估价目的，遵循估价原则，按照规定的估价程序和方法，经过具体评估测算，确定估价对象在估价时点可能形成的市场价值</w:t>
      </w:r>
      <w:r>
        <w:rPr>
          <w:rFonts w:hint="eastAsia" w:ascii="仿宋_GB2312" w:hAnsi="宋体" w:eastAsia="仿宋_GB2312" w:cs="Times New Roman"/>
          <w:kern w:val="2"/>
          <w:sz w:val="28"/>
          <w:szCs w:val="28"/>
          <w:highlight w:val="none"/>
          <w:lang w:val="en-US" w:eastAsia="zh-CN" w:bidi="ar-SA"/>
        </w:rPr>
        <w:t>为￥495615元(</w:t>
      </w:r>
      <w:r>
        <w:rPr>
          <w:rFonts w:hint="eastAsia" w:ascii="仿宋_GB2312" w:hAnsi="宋体" w:eastAsia="仿宋_GB2312" w:cs="Times New Roman"/>
          <w:kern w:val="2"/>
          <w:sz w:val="28"/>
          <w:szCs w:val="28"/>
          <w:lang w:val="en-US" w:eastAsia="zh-CN" w:bidi="ar-SA"/>
        </w:rPr>
        <w:t>大写人民币肆拾玖万伍仟陆佰壹拾伍元整)。</w:t>
      </w:r>
    </w:p>
    <w:p>
      <w:pPr>
        <w:ind w:firstLine="3920" w:firstLineChars="1400"/>
        <w:rPr>
          <w:rFonts w:hint="eastAsia" w:ascii="仿宋_GB2312" w:hAnsi="宋体" w:eastAsia="仿宋_GB2312" w:cs="Times New Roman"/>
          <w:kern w:val="2"/>
          <w:sz w:val="28"/>
          <w:szCs w:val="28"/>
          <w:lang w:val="en-US" w:eastAsia="zh-CN" w:bidi="ar-SA"/>
        </w:rPr>
      </w:pPr>
    </w:p>
    <w:p>
      <w:pPr>
        <w:ind w:firstLine="3920" w:firstLineChars="14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highlight w:val="none"/>
        </w:rPr>
      </w:pPr>
      <w:r>
        <w:rPr>
          <w:rFonts w:hint="eastAsia" w:ascii="仿宋_GB2312" w:hAnsi="宋体" w:eastAsia="仿宋_GB2312" w:cs="Times New Roman"/>
          <w:kern w:val="2"/>
          <w:sz w:val="28"/>
          <w:szCs w:val="28"/>
          <w:highlight w:val="none"/>
          <w:lang w:val="en-US" w:eastAsia="zh-CN" w:bidi="ar-SA"/>
        </w:rPr>
        <w:t xml:space="preserve">                                 二0二二年十一月十六日</w:t>
      </w:r>
    </w:p>
    <w:p>
      <w:pPr/>
    </w:p>
    <w:sectPr>
      <w:headerReference r:id="rId3" w:type="default"/>
      <w:footerReference r:id="rId4" w:type="default"/>
      <w:footerReference r:id="rId5" w:type="even"/>
      <w:pgSz w:w="11906" w:h="16838"/>
      <w:pgMar w:top="1644" w:right="1520" w:bottom="1361" w:left="15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10002FF" w:usb1="4000ACFF" w:usb2="00000009"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仿宋">
    <w:panose1 w:val="02010609060101010101"/>
    <w:charset w:val="86"/>
    <w:family w:val="roman"/>
    <w:pitch w:val="default"/>
    <w:sig w:usb0="800002BF" w:usb1="38CF7CFA" w:usb2="00000016" w:usb3="00000000" w:csb0="00040001" w:csb1="00000000"/>
  </w:font>
  <w:font w:name="仿宋_GB2312">
    <w:altName w:val="仿宋"/>
    <w:panose1 w:val="02010609030001010101"/>
    <w:charset w:val="86"/>
    <w:family w:val="swiss"/>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仿宋">
    <w:panose1 w:val="02010609060101010101"/>
    <w:charset w:val="86"/>
    <w:family w:val="swiss"/>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rPr>
        <w:rFonts w:hint="eastAsia" w:ascii="宋体" w:hAnsi="宋体"/>
        <w:color w:val="000000"/>
        <w:sz w:val="18"/>
        <w:szCs w:val="18"/>
      </w:rPr>
    </w:pPr>
    <w:r>
      <w:rPr>
        <w:rFonts w:hint="eastAsia"/>
        <w:u w:val="single"/>
      </w:rPr>
      <w:t xml:space="preserve">                                                                                            </w:t>
    </w:r>
    <w:r>
      <w:rPr>
        <w:rFonts w:hint="eastAsia" w:ascii="宋体" w:hAnsi="宋体"/>
        <w:sz w:val="18"/>
        <w:szCs w:val="18"/>
      </w:rPr>
      <w:t>公司名称：</w:t>
    </w:r>
    <w:r>
      <w:rPr>
        <w:rFonts w:hint="eastAsia" w:ascii="宋体" w:hAnsi="宋体"/>
        <w:color w:val="000000"/>
        <w:sz w:val="18"/>
        <w:szCs w:val="18"/>
      </w:rPr>
      <w:t>湖北循其本价格鉴定评估有限公司</w:t>
    </w:r>
  </w:p>
  <w:p>
    <w:pPr/>
    <w:r>
      <w:rPr>
        <w:rFonts w:hint="eastAsia" w:ascii="宋体" w:hAnsi="宋体"/>
        <w:sz w:val="18"/>
        <w:szCs w:val="18"/>
      </w:rPr>
      <w:t>网址：</w:t>
    </w:r>
    <w:r>
      <w:rPr>
        <w:rFonts w:ascii="宋体" w:hAnsi="宋体"/>
        <w:sz w:val="18"/>
        <w:szCs w:val="18"/>
      </w:rPr>
      <w:fldChar w:fldCharType="begin"/>
    </w:r>
    <w:r>
      <w:rPr>
        <w:rFonts w:ascii="宋体" w:hAnsi="宋体"/>
        <w:sz w:val="18"/>
        <w:szCs w:val="18"/>
      </w:rPr>
      <w:instrText xml:space="preserve"> HYPERLINK "http://</w:instrText>
    </w:r>
    <w:r>
      <w:rPr>
        <w:rFonts w:hint="eastAsia" w:ascii="宋体" w:hAnsi="宋体"/>
        <w:sz w:val="18"/>
        <w:szCs w:val="18"/>
      </w:rPr>
      <w:instrText xml:space="preserve">www.xqb.cn.com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www.xqb.cn.com</w:t>
    </w:r>
    <w:r>
      <w:rPr>
        <w:rFonts w:ascii="宋体" w:hAnsi="宋体"/>
        <w:sz w:val="18"/>
        <w:szCs w:val="18"/>
      </w:rPr>
      <w:fldChar w:fldCharType="end"/>
    </w:r>
    <w:r>
      <w:rPr>
        <w:rFonts w:hint="eastAsia" w:ascii="宋体" w:hAnsi="宋体"/>
        <w:sz w:val="18"/>
        <w:szCs w:val="18"/>
      </w:rPr>
      <w:t xml:space="preserve">   邮箱：</w:t>
    </w:r>
    <w:r>
      <w:rPr>
        <w:rFonts w:ascii="宋体" w:hAnsi="宋体"/>
        <w:sz w:val="18"/>
        <w:szCs w:val="18"/>
      </w:rPr>
      <w:fldChar w:fldCharType="begin"/>
    </w:r>
    <w:r>
      <w:rPr>
        <w:rFonts w:ascii="宋体" w:hAnsi="宋体"/>
        <w:sz w:val="18"/>
        <w:szCs w:val="18"/>
      </w:rPr>
      <w:instrText xml:space="preserve"> HYPERLINK "mailto:</w:instrText>
    </w:r>
    <w:r>
      <w:rPr>
        <w:rFonts w:hint="eastAsia" w:ascii="宋体" w:hAnsi="宋体"/>
        <w:sz w:val="18"/>
        <w:szCs w:val="18"/>
      </w:rPr>
      <w:instrText xml:space="preserve">boss@xqb.cn.com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boss@xqb.cn.com</w:t>
    </w:r>
    <w:r>
      <w:rPr>
        <w:rFonts w:ascii="宋体" w:hAnsi="宋体"/>
        <w:sz w:val="18"/>
        <w:szCs w:val="18"/>
      </w:rPr>
      <w:fldChar w:fldCharType="end"/>
    </w:r>
    <w:r>
      <w:rPr>
        <w:rFonts w:hint="eastAsia" w:ascii="宋体" w:hAnsi="宋体"/>
        <w:sz w:val="18"/>
        <w:szCs w:val="18"/>
      </w:rPr>
      <w:t>　　</w:t>
    </w:r>
    <w:r>
      <w:rPr>
        <w:rFonts w:hint="eastAsia"/>
      </w:rPr>
      <w:t>　               　　　　</w:t>
    </w:r>
    <w:r>
      <w:rPr>
        <w:rFonts w:hint="eastAsia"/>
        <w:lang w:val="en-US" w:eastAsia="zh-CN"/>
      </w:rPr>
      <w:t xml:space="preserve">  </w:t>
    </w:r>
    <w:r>
      <w:rPr>
        <w:rFonts w:hint="eastAsia"/>
      </w:rPr>
      <w:t>　第</w:t>
    </w:r>
    <w:r>
      <w:rPr>
        <w:sz w:val="18"/>
        <w:szCs w:val="18"/>
      </w:rPr>
      <w:fldChar w:fldCharType="begin"/>
    </w:r>
    <w:r>
      <w:rPr>
        <w:rStyle w:val="6"/>
        <w:sz w:val="18"/>
        <w:szCs w:val="18"/>
      </w:rPr>
      <w:instrText xml:space="preserve"> PAGE </w:instrText>
    </w:r>
    <w:r>
      <w:rPr>
        <w:sz w:val="18"/>
        <w:szCs w:val="18"/>
      </w:rPr>
      <w:fldChar w:fldCharType="separate"/>
    </w:r>
    <w:r>
      <w:rPr>
        <w:rStyle w:val="6"/>
        <w:sz w:val="18"/>
        <w:szCs w:val="18"/>
      </w:rPr>
      <w:t>1</w:t>
    </w:r>
    <w:r>
      <w:rPr>
        <w:sz w:val="18"/>
        <w:szCs w:val="18"/>
      </w:rPr>
      <w:fldChar w:fldCharType="end"/>
    </w:r>
    <w:r>
      <w:rPr>
        <w:rStyle w:val="6"/>
        <w:rFonts w:hint="eastAsia"/>
        <w:sz w:val="18"/>
        <w:szCs w:val="18"/>
      </w:rPr>
      <w:t>页  共</w:t>
    </w:r>
    <w:r>
      <w:rPr>
        <w:rStyle w:val="6"/>
        <w:rFonts w:hint="eastAsia"/>
        <w:sz w:val="18"/>
        <w:szCs w:val="18"/>
        <w:lang w:val="en-US" w:eastAsia="zh-CN"/>
      </w:rPr>
      <w:t>19</w:t>
    </w:r>
    <w:r>
      <w:rPr>
        <w:rStyle w:val="6"/>
        <w:rFonts w:hint="eastAsia"/>
        <w:sz w:val="18"/>
        <w:szCs w:val="18"/>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2"/>
      <w:framePr w:wrap="around" w:vAnchor="text" w:hAnchor="margin" w:xAlign="center" w:y="1"/>
      <w:rPr>
        <w:rStyle w:val="6"/>
      </w:rPr>
    </w:pPr>
    <w:r>
      <w:fldChar w:fldCharType="begin"/>
    </w:r>
    <w:r>
      <w:rPr>
        <w:rStyle w:val="6"/>
      </w:rPr>
      <w:instrText xml:space="preserve">PAGE  </w:instrText>
    </w:r>
    <w:r>
      <w:fldChar w:fldCharType="separate"/>
    </w:r>
    <w:r>
      <w:rPr>
        <w:rStyle w:val="6"/>
      </w:rPr>
      <w:t>5</w:t>
    </w:r>
    <w:r>
      <w:fldChar w:fldCharType="end"/>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3"/>
      <w:pBdr>
        <w:bottom w:val="none" w:color="auto" w:sz="0" w:space="0"/>
      </w:pBdr>
      <w:rPr>
        <w:rFonts w:hint="eastAsia"/>
      </w:rPr>
    </w:pPr>
  </w:p>
  <w:p>
    <w:pPr>
      <w:rPr>
        <w:rFonts w:hint="eastAsia" w:ascii="宋体" w:hAnsi="宋体"/>
        <w:color w:val="000000"/>
        <w:sz w:val="18"/>
        <w:szCs w:val="18"/>
        <w:u w:val="single"/>
      </w:rPr>
    </w:pPr>
    <w:r>
      <w:rPr>
        <w:rFonts w:hint="eastAsia" w:ascii="宋体" w:hAnsi="宋体"/>
        <w:sz w:val="18"/>
        <w:szCs w:val="18"/>
        <w:u w:val="single"/>
      </w:rPr>
      <w:t>公正　 公平　 公开        　　　　　　　　　　　　　　</w:t>
    </w:r>
    <w:r>
      <w:rPr>
        <w:rFonts w:hint="eastAsia" w:ascii="宋体" w:hAnsi="宋体"/>
        <w:sz w:val="18"/>
        <w:szCs w:val="18"/>
        <w:u w:val="single"/>
        <w:lang w:val="en-US" w:eastAsia="zh-CN"/>
      </w:rPr>
      <w:t xml:space="preserve">                     房地产市场价值</w:t>
    </w:r>
    <w:r>
      <w:rPr>
        <w:rFonts w:hint="eastAsia" w:ascii="宋体" w:hAnsi="宋体"/>
        <w:sz w:val="18"/>
        <w:szCs w:val="18"/>
        <w:u w:val="single"/>
      </w:rPr>
      <w:t>评估报告</w:t>
    </w:r>
  </w:p>
  <w:p>
    <w:pPr>
      <w:widowControl/>
      <w:jc w:val="left"/>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578213565">
    <w:nsid w:val="5E11A0BD"/>
    <w:multiLevelType w:val="singleLevel"/>
    <w:tmpl w:val="5E11A0BD"/>
    <w:lvl w:ilvl="0" w:tentative="1">
      <w:start w:val="1"/>
      <w:numFmt w:val="decimal"/>
      <w:suff w:val="space"/>
      <w:lvlText w:val="%1."/>
      <w:lvlJc w:val="left"/>
    </w:lvl>
  </w:abstractNum>
  <w:abstractNum w:abstractNumId="928329504">
    <w:nsid w:val="37552F20"/>
    <w:multiLevelType w:val="singleLevel"/>
    <w:tmpl w:val="37552F20"/>
    <w:lvl w:ilvl="0" w:tentative="1">
      <w:start w:val="2"/>
      <w:numFmt w:val="chineseCounting"/>
      <w:suff w:val="nothing"/>
      <w:lvlText w:val="%1、"/>
      <w:lvlJc w:val="left"/>
      <w:pPr>
        <w:ind w:left="562" w:leftChars="0" w:firstLine="0" w:firstLineChars="0"/>
      </w:pPr>
      <w:rPr>
        <w:rFonts w:hint="eastAsia"/>
      </w:rPr>
    </w:lvl>
  </w:abstractNum>
  <w:num w:numId="1">
    <w:abstractNumId w:val="1578213565"/>
  </w:num>
  <w:num w:numId="2">
    <w:abstractNumId w:val="92832950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U4OGQwYzdjZGU5YTg4ZmU5N2E1ZmFlMTI3YTdhOGYifQ=="/>
  </w:docVars>
  <w:rsids>
    <w:rsidRoot w:val="7930384E"/>
    <w:rsid w:val="09D61CB2"/>
    <w:rsid w:val="0C334EA7"/>
    <w:rsid w:val="1C831A57"/>
    <w:rsid w:val="1FA802C7"/>
    <w:rsid w:val="2C9256AF"/>
    <w:rsid w:val="2FE0031A"/>
    <w:rsid w:val="354D6802"/>
    <w:rsid w:val="3C91106D"/>
    <w:rsid w:val="3F403E26"/>
    <w:rsid w:val="475F0927"/>
    <w:rsid w:val="48031E79"/>
    <w:rsid w:val="6D7744CC"/>
    <w:rsid w:val="713E5355"/>
    <w:rsid w:val="78DA4353"/>
    <w:rsid w:val="7930384E"/>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character" w:styleId="6">
    <w:name w:val="page number"/>
    <w:basedOn w:val="5"/>
    <w:qFormat/>
    <w:uiPriority w:val="0"/>
    <w:rPr>
      <w:rFonts w:ascii="Times New Roman" w:hAnsi="Times New Roman" w:eastAsia="宋体" w:cs="Times New Roman"/>
    </w:rPr>
  </w:style>
  <w:style w:type="character" w:styleId="7">
    <w:name w:val="Hyperlink"/>
    <w:basedOn w:val="5"/>
    <w:qFormat/>
    <w:uiPriority w:val="0"/>
    <w:rPr>
      <w:rFonts w:ascii="Times New Roman" w:hAnsi="Times New Roman" w:eastAsia="宋体" w:cs="Times New Roman"/>
      <w:color w:val="0000FF"/>
      <w:u w:val="single"/>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0">
    <w:name w:val="List Paragraph"/>
    <w:basedOn w:val="1"/>
    <w:qFormat/>
    <w:uiPriority w:val="34"/>
    <w:pPr>
      <w:ind w:firstLine="420" w:firstLineChars="200"/>
    </w:pPr>
  </w:style>
  <w:style w:type="character" w:customStyle="1" w:styleId="11">
    <w:name w:val="apple-converted-space"/>
    <w:basedOn w:val="5"/>
    <w:qFormat/>
    <w:uiPriority w:val="0"/>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7225</Words>
  <Characters>8683</Characters>
  <Lines>0</Lines>
  <Paragraphs>0</Paragraphs>
  <TotalTime>0</TotalTime>
  <ScaleCrop>false</ScaleCrop>
  <LinksUpToDate>false</LinksUpToDate>
  <CharactersWithSpaces>9231</CharactersWithSpaces>
  <Application>WPS Office_10.8.0.5391_F1E327BC-269C-435d-A152-05C5408002CA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2022-11-07T08:12:00Z</dcterms:created>
  <dc:creator>飞马</dc:creator>
  <cp:lastModifiedBy>Administrator</cp:lastModifiedBy>
  <dcterms:modified xsi:type="dcterms:W3CDTF">2022-11-16T01:44:57Z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y fmtid="{D5CDD505-2E9C-101B-9397-08002B2CF9AE}" pid="3" name="ICV">
    <vt:lpwstr>A40A7C8270F44254AB86C18E6A113F5C</vt:lpwstr>
  </property>
</Properties>
</file>