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ind w:firstLine="420" w:firstLineChars="0"/>
        <w:jc w:val="center"/>
        <w:rPr>
          <w:rFonts w:ascii="仿宋" w:hAnsi="仿宋" w:eastAsia="仿宋"/>
          <w:sz w:val="36"/>
          <w:szCs w:val="36"/>
        </w:rPr>
      </w:pPr>
      <w:r>
        <w:rPr>
          <w:rFonts w:hint="eastAsia" w:ascii="仿宋" w:hAnsi="仿宋" w:eastAsia="仿宋"/>
          <w:b/>
          <w:bCs/>
          <w:sz w:val="36"/>
          <w:szCs w:val="36"/>
        </w:rPr>
        <w:t>目    录</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一、致委托方函....................</w:t>
      </w:r>
      <w:r>
        <w:rPr>
          <w:rFonts w:hint="eastAsia" w:ascii="仿宋_GB2312" w:hAnsi="宋体" w:eastAsia="仿宋_GB2312"/>
          <w:sz w:val="28"/>
          <w:szCs w:val="28"/>
          <w:lang w:val="en-US" w:eastAsia="zh-CN"/>
        </w:rPr>
        <w:t>...................3</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二、估价师声明</w:t>
      </w:r>
      <w:r>
        <w:rPr>
          <w:rFonts w:hint="eastAsia" w:ascii="仿宋_GB2312" w:hAnsi="宋体" w:eastAsia="仿宋_GB2312"/>
          <w:sz w:val="28"/>
          <w:szCs w:val="28"/>
          <w:lang w:val="en-US" w:eastAsia="zh-CN"/>
        </w:rPr>
        <w:t xml:space="preserve"> ......................................4</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三、估价的假设和限制条件</w:t>
      </w:r>
      <w:r>
        <w:rPr>
          <w:rFonts w:hint="eastAsia" w:ascii="仿宋_GB2312" w:hAnsi="宋体" w:eastAsia="仿宋_GB2312"/>
          <w:sz w:val="28"/>
          <w:szCs w:val="28"/>
          <w:lang w:val="en-US" w:eastAsia="zh-CN"/>
        </w:rPr>
        <w:t xml:space="preserve"> ..........................5-7</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四、房地产估价结果报告</w:t>
      </w:r>
      <w:r>
        <w:rPr>
          <w:rFonts w:hint="eastAsia" w:ascii="仿宋_GB2312" w:hAnsi="宋体" w:eastAsia="仿宋_GB2312"/>
          <w:sz w:val="28"/>
          <w:szCs w:val="28"/>
          <w:lang w:val="en-US" w:eastAsia="zh-CN"/>
        </w:rPr>
        <w:t xml:space="preserve"> ...........................8-12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（一）委托方........................................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（二）估价方.........................................8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（三）估价对象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（四）估价目的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（五）估价时点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（六）价值定义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（七）估价依据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（八）估价原则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（九）估价方法 .....................................11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（十）估价结果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（十一）评估机构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（十二）评估人员....................................12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（十三）报告出具日期................................12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（十四）估价报告应用的有效期 .......................12</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五、房地产估价技术报告</w:t>
      </w:r>
      <w:r>
        <w:rPr>
          <w:rFonts w:hint="eastAsia" w:ascii="仿宋_GB2312" w:hAnsi="宋体" w:eastAsia="仿宋_GB2312"/>
          <w:sz w:val="28"/>
          <w:szCs w:val="28"/>
          <w:lang w:val="en-US" w:eastAsia="zh-CN"/>
        </w:rPr>
        <w:t xml:space="preserve"> .........................13-20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（一）估价对象实物分析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（二）区域因素分析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（三）最高最佳使用分析 .............................14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（四）估价方法的选用................................14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（五）估价测算过程...............................15</w:t>
      </w:r>
      <w:bookmarkStart w:id="0" w:name="_GoBack"/>
      <w:bookmarkEnd w:id="0"/>
      <w:r>
        <w:rPr>
          <w:rFonts w:hint="eastAsia" w:ascii="仿宋_GB2312" w:hAnsi="宋体" w:eastAsia="仿宋_GB2312"/>
          <w:sz w:val="28"/>
          <w:szCs w:val="28"/>
          <w:lang w:val="en-US" w:eastAsia="zh-CN"/>
        </w:rPr>
        <w:t>-20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（六）估价结果确定..................................20</w:t>
      </w:r>
    </w:p>
    <w:p>
      <w:pPr>
        <w:jc w:val="both"/>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六、附件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（一）孝感市孝南区人民法院司法鉴定委托书复印件；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（二）价格评估机构资质证书复印件；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（三）评估机构法人营业执照副本复印件；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（四）价格评估人员资格证书复印件；</w:t>
      </w:r>
    </w:p>
    <w:p>
      <w:pPr>
        <w:ind w:firstLine="560" w:firstLineChars="200"/>
        <w:rPr>
          <w:rFonts w:hint="eastAsia" w:ascii="仿宋" w:hAnsi="仿宋" w:eastAsia="仿宋"/>
          <w:b/>
          <w:bCs/>
          <w:sz w:val="44"/>
          <w:szCs w:val="44"/>
        </w:rPr>
      </w:pPr>
      <w:r>
        <w:rPr>
          <w:rFonts w:hint="eastAsia" w:ascii="仿宋_GB2312" w:hAnsi="宋体" w:eastAsia="仿宋_GB2312"/>
          <w:sz w:val="28"/>
          <w:szCs w:val="28"/>
          <w:lang w:val="en-US" w:eastAsia="zh-CN"/>
        </w:rPr>
        <w:t xml:space="preserve"> （五）现场勘验估价对象有关照片。</w:t>
      </w:r>
    </w:p>
    <w:p>
      <w:pPr>
        <w:jc w:val="center"/>
        <w:rPr>
          <w:rFonts w:hint="eastAsia" w:ascii="仿宋" w:hAnsi="仿宋" w:eastAsia="仿宋"/>
          <w:b/>
          <w:bCs/>
          <w:sz w:val="44"/>
          <w:szCs w:val="44"/>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rPr>
      </w:pPr>
    </w:p>
    <w:p>
      <w:pPr>
        <w:jc w:val="center"/>
        <w:rPr>
          <w:rFonts w:hint="eastAsia" w:ascii="仿宋" w:hAnsi="仿宋" w:eastAsia="仿宋"/>
          <w:b/>
          <w:bCs/>
          <w:sz w:val="44"/>
          <w:szCs w:val="44"/>
        </w:rPr>
      </w:pPr>
    </w:p>
    <w:p>
      <w:pPr>
        <w:jc w:val="center"/>
        <w:rPr>
          <w:rFonts w:hint="eastAsia" w:ascii="仿宋" w:hAnsi="仿宋" w:eastAsia="仿宋"/>
          <w:b/>
          <w:bCs/>
          <w:sz w:val="44"/>
          <w:szCs w:val="44"/>
        </w:rPr>
      </w:pP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致委托方函</w:t>
      </w:r>
    </w:p>
    <w:p>
      <w:pPr>
        <w:ind w:firstLine="560" w:firstLineChars="200"/>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孝感市孝南区人民法院：</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受贵方（以下简称委托方）的委托，本公司</w:t>
      </w:r>
      <w:r>
        <w:rPr>
          <w:rFonts w:hint="eastAsia" w:ascii="仿宋_GB2312" w:hAnsi="宋体" w:eastAsia="仿宋_GB2312" w:cs="Times New Roman"/>
          <w:kern w:val="2"/>
          <w:sz w:val="28"/>
          <w:szCs w:val="28"/>
          <w:highlight w:val="none"/>
          <w:lang w:val="en-US" w:eastAsia="zh-CN" w:bidi="ar-SA"/>
        </w:rPr>
        <w:t>于2022年09月02</w:t>
      </w:r>
      <w:r>
        <w:rPr>
          <w:rFonts w:hint="eastAsia" w:ascii="仿宋_GB2312" w:hAnsi="宋体" w:eastAsia="仿宋_GB2312" w:cs="Times New Roman"/>
          <w:kern w:val="2"/>
          <w:sz w:val="28"/>
          <w:szCs w:val="28"/>
          <w:highlight w:val="none"/>
          <w:lang w:val="en-US" w:eastAsia="zh-CN" w:bidi="ar-SA"/>
        </w:rPr>
        <w:t>日派</w:t>
      </w:r>
      <w:r>
        <w:rPr>
          <w:rFonts w:hint="eastAsia" w:ascii="仿宋_GB2312" w:hAnsi="宋体" w:eastAsia="仿宋_GB2312" w:cs="Times New Roman"/>
          <w:kern w:val="2"/>
          <w:sz w:val="28"/>
          <w:szCs w:val="28"/>
          <w:lang w:val="en-US" w:eastAsia="zh-CN" w:bidi="ar-SA"/>
        </w:rPr>
        <w:t>员对委托方列明的湖北金林置业有限公司所有的、位于孝感市万丰公寓1</w:t>
      </w:r>
      <w:r>
        <w:rPr>
          <w:rFonts w:hint="eastAsia" w:ascii="微软雅黑" w:hAnsi="微软雅黑" w:eastAsia="微软雅黑" w:cs="微软雅黑"/>
          <w:kern w:val="2"/>
          <w:sz w:val="28"/>
          <w:szCs w:val="28"/>
          <w:lang w:val="en-US" w:eastAsia="zh-CN" w:bidi="ar-SA"/>
        </w:rPr>
        <w:t>#</w:t>
      </w:r>
      <w:r>
        <w:rPr>
          <w:rFonts w:hint="eastAsia" w:ascii="仿宋_GB2312" w:hAnsi="仿宋_GB2312" w:eastAsia="仿宋_GB2312" w:cs="仿宋_GB2312"/>
          <w:kern w:val="2"/>
          <w:sz w:val="28"/>
          <w:szCs w:val="28"/>
          <w:lang w:val="en-US" w:eastAsia="zh-CN" w:bidi="ar-SA"/>
        </w:rPr>
        <w:t>楼</w:t>
      </w:r>
      <w:r>
        <w:rPr>
          <w:rFonts w:hint="eastAsia" w:ascii="仿宋_GB2312" w:hAnsi="宋体" w:eastAsia="仿宋_GB2312" w:cs="Times New Roman"/>
          <w:kern w:val="2"/>
          <w:sz w:val="28"/>
          <w:szCs w:val="28"/>
          <w:lang w:val="en-US" w:eastAsia="zh-CN" w:bidi="ar-SA"/>
        </w:rPr>
        <w:t>401室，建筑面积为</w:t>
      </w:r>
      <w:r>
        <w:rPr>
          <w:rFonts w:hint="eastAsia" w:ascii="仿宋_GB2312" w:hAnsi="宋体" w:eastAsia="仿宋_GB2312" w:cs="Times New Roman"/>
          <w:kern w:val="2"/>
          <w:sz w:val="28"/>
          <w:szCs w:val="28"/>
          <w:highlight w:val="none"/>
          <w:lang w:val="en-US" w:eastAsia="zh-CN" w:bidi="ar-SA"/>
        </w:rPr>
        <w:t>124.75㎡的</w:t>
      </w:r>
      <w:r>
        <w:rPr>
          <w:rFonts w:hint="eastAsia" w:ascii="仿宋_GB2312" w:hAnsi="宋体" w:eastAsia="仿宋_GB2312" w:cs="Times New Roman"/>
          <w:kern w:val="2"/>
          <w:sz w:val="28"/>
          <w:szCs w:val="28"/>
          <w:lang w:val="en-US" w:eastAsia="zh-CN" w:bidi="ar-SA"/>
        </w:rPr>
        <w:t>住宅房屋（含相关权益）进行了现场实地查勘，并对估价对象房地产于估价时</w:t>
      </w:r>
      <w:r>
        <w:rPr>
          <w:rFonts w:hint="eastAsia" w:ascii="仿宋_GB2312" w:hAnsi="宋体" w:eastAsia="仿宋_GB2312" w:cs="Times New Roman"/>
          <w:kern w:val="2"/>
          <w:sz w:val="28"/>
          <w:szCs w:val="28"/>
          <w:highlight w:val="none"/>
          <w:lang w:val="en-US" w:eastAsia="zh-CN" w:bidi="ar-SA"/>
        </w:rPr>
        <w:t>点2022年09月02日</w:t>
      </w:r>
      <w:r>
        <w:rPr>
          <w:rFonts w:hint="eastAsia" w:ascii="仿宋_GB2312" w:hAnsi="宋体" w:eastAsia="仿宋_GB2312" w:cs="Times New Roman"/>
          <w:kern w:val="2"/>
          <w:sz w:val="28"/>
          <w:szCs w:val="28"/>
          <w:highlight w:val="none"/>
          <w:lang w:val="en-US" w:eastAsia="zh-CN" w:bidi="ar-SA"/>
        </w:rPr>
        <w:t>的市</w:t>
      </w:r>
      <w:r>
        <w:rPr>
          <w:rFonts w:hint="eastAsia" w:ascii="仿宋_GB2312" w:hAnsi="宋体" w:eastAsia="仿宋_GB2312" w:cs="Times New Roman"/>
          <w:kern w:val="2"/>
          <w:sz w:val="28"/>
          <w:szCs w:val="28"/>
          <w:lang w:val="en-US" w:eastAsia="zh-CN" w:bidi="ar-SA"/>
        </w:rPr>
        <w:t>场价值进行了估价，为委托方确定财产处置参考价提供价格咨询参考依据。</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整个估价过程中，估价人员本着独立、客观、公正的原则，根据估价目的，收集有关资料，按照估价程序，选择市场法、成本法对估价对象进行了评估。估价人员经过实地勘察和测算，确定估价对象在估价时点可能形成的市场价值为</w:t>
      </w:r>
      <w:r>
        <w:rPr>
          <w:rFonts w:hint="eastAsia" w:ascii="仿宋_GB2312" w:hAnsi="宋体" w:eastAsia="仿宋_GB2312" w:cs="Times New Roman"/>
          <w:kern w:val="2"/>
          <w:sz w:val="28"/>
          <w:szCs w:val="28"/>
          <w:highlight w:val="none"/>
          <w:lang w:val="en-US" w:eastAsia="zh-CN" w:bidi="ar-SA"/>
        </w:rPr>
        <w:t>￥457920</w:t>
      </w:r>
      <w:r>
        <w:rPr>
          <w:rFonts w:hint="eastAsia" w:ascii="仿宋_GB2312" w:hAnsi="宋体" w:eastAsia="仿宋_GB2312" w:cs="Times New Roman"/>
          <w:kern w:val="2"/>
          <w:sz w:val="28"/>
          <w:szCs w:val="28"/>
          <w:lang w:val="en-US" w:eastAsia="zh-CN" w:bidi="ar-SA"/>
        </w:rPr>
        <w:t xml:space="preserve">元(大写人民币肆拾伍万柒仟玖佰贰拾元整)。其中：毛坯房屋评估值为366391元，室内装修费用为91529元。 </w:t>
      </w:r>
    </w:p>
    <w:p>
      <w:pPr>
        <w:rPr>
          <w:rFonts w:hint="eastAsia" w:ascii="仿宋" w:hAnsi="仿宋" w:eastAsia="仿宋"/>
          <w:sz w:val="30"/>
          <w:szCs w:val="30"/>
        </w:rPr>
      </w:pPr>
    </w:p>
    <w:p>
      <w:pPr>
        <w:rPr>
          <w:rFonts w:hint="eastAsia" w:ascii="仿宋" w:hAnsi="仿宋" w:eastAsia="仿宋" w:cs="仿宋"/>
          <w:sz w:val="30"/>
          <w:szCs w:val="30"/>
          <w:lang w:val="en-US" w:eastAsia="zh-CN"/>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二0二二年九月二十九日</w:t>
      </w: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ascii="仿宋" w:hAnsi="仿宋" w:eastAsia="仿宋"/>
          <w:b/>
          <w:bCs/>
          <w:sz w:val="30"/>
          <w:szCs w:val="30"/>
        </w:rPr>
      </w:pPr>
      <w:r>
        <w:rPr>
          <w:rFonts w:hint="eastAsia" w:ascii="仿宋" w:hAnsi="仿宋" w:eastAsia="仿宋"/>
          <w:b/>
          <w:bCs/>
          <w:sz w:val="44"/>
          <w:szCs w:val="44"/>
          <w:lang w:val="en-US" w:eastAsia="zh-CN"/>
        </w:rPr>
        <w:t>估价师声明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我们根据自己的专业知识和职业道德，在此郑重声明：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1、我们所提供的估价服务是依据《房地产估价规范》进行的，估价报告中陈述事实是真实和准确的，请仔细阅读本估价报告及有关附件。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2、估价报告中的分析、意见和结论，是我们自己公正的专业分析、意见和结论，但受到估价报告中已说明的假设和限制条件的限制。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3、我们与本估价报告中的估价对象没有任何利害关系；对相关各方的当事人没有任何偏见，也没有任何个人利害关系。</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4、我们依照中华人民共和国国家标准《房地产估价规范》等有关法律法规的规定进行分析，形成意见和结论，撰写本估价报告。</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我们仅对委托方指定的估价对象范围进行了实地勘查，估价过程中，未能取得资产占有方有关书面或口头情况说明，我们仅依据所取得的产权资料估算；相关权属资料仅以委托方提供的复印件为依据，我们不对其建筑结构质量、数量等内容的准确性及相关权益负责。</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6、由于估价人员的专业限制，本次估价过程中没有其他专业人员及机构对本估价报告提供诸如结构安全、环境保护、规划控制、产权设定与登记、装修及配套设施设备的权属等方面的专业支持和帮助。</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7、其他声明事项：出于职业责任，我们与委托方进行必要沟通，避免对本估价报告使用不当的情况发生，提示估价报告使用者合理并恰当使用估价报告，并声明不承担相关当事人决策的责任。</w:t>
      </w: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估价的假设和限制条件</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（一）本次估价假设条件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1、估价对象产权手续齐全，房屋产权明确清晰，可在公开市场上自由转让交易。</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次估价对象以估价时点的权属实物存量——包括商品房买卖合同记载范围内的建筑物为前提，本报告所称“估价结果”是指对估价对象在现有用途、状态不变的前提下，为本报告书所列明的目的和假设限制条件下的现行公开市场价值的估计值，无特殊指定情况下，计价金额以人民币元为单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3、不考虑特殊买家或关联方交易，也不考虑估价对象合并、分割等特殊交易；交易双方所获信息是平等或对称的，并谨慎对待估价对象。</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4、在本估价报告书有效期内估价对象存量及相关影响因素、评估所遵循的合法、最高最佳使用原则等不发生变化，估价时点房地产市场为公开公平的均衡市场；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估价结果的有效性依赖于本次估价的前提、假设限制以及遵循的经济原则，这些条件是由本公司估价人员根据估价对象实际情况并结合估价相关规定综合提出的，具有客观性和合理性，以上条件若不成立，本估价结果无效。</w:t>
      </w:r>
    </w:p>
    <w:p>
      <w:pPr>
        <w:rPr>
          <w:rFonts w:ascii="仿宋" w:hAnsi="仿宋" w:eastAsia="仿宋"/>
          <w:sz w:val="30"/>
          <w:szCs w:val="30"/>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（二）估价限制条件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次估价中运用的法律权属及其证明资料均由委托方提供（复印件），本公司估价人员未能见原件，也未向政府有关部门核实，委托方和相关当事方对其所提供全部资料的真实性、合法性及合理使用估价报告负责；建议有关法律权属及其证明资料的确定最终以有权机关确认为准，若与委托方向我们提供的资料存在差异，本公司保留对报告书的修正权；</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2、本估价报告书及列明结论仅对本次估价目的，其他用途的运用均属无效；</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3、本估价报告及附件须同时完整使用方为有效，本公司不对仅使用报告中部分内容或不同时使用所可能导致的任何损失承担责任。</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本次估价中所运用的资料数据均来自委托方提供的复印件，对超出估价师专业范围之外的其他专业问题未作任何结论和说明，现场工作人员对因遮盖、未暴露、预埋设施及其它人为阻碍难于触及到的部分未进行检验，有关这部分事项请向其他专业工程师、律师及相关政府主管部门询及。</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5、本估价报告书自估价报告完成之日起壹年内有效。在有效期内使用本报告时，应充分考虑房地产市场可能的变化情况及未来发展状况，并随时与本公司联系，以达到有效使用之目的。</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6、本估价报告及相关部分的解释权属湖北循其本价格鉴定评估有限公司，未经本公司书面同意，有关本估价报告的全部或部分内容不得传阅给除使用人以及估价行业管理部门以外的第三者，亦不可公布于任何公开媒体。  </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 xml:space="preserve">（三）特别事项说明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1、本报告是根据人民法院及相关当事人提供的资料和信息出具，资料和信息的真实性、完整性、合法性对评估结论构成影响，依据同一标的资产的其他资料或者信息可能得出与本报告不一致的评估结论。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2、本评估报告使用人须正确理解和使用评估结论，评估结论不等同于评估对象可实现价格，评估结论不应当被认为是对评估对象可实现价格的保证。</w:t>
      </w:r>
    </w:p>
    <w:p>
      <w:p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3、估价对象房屋建筑面积由</w:t>
      </w:r>
      <w:r>
        <w:rPr>
          <w:rFonts w:hint="eastAsia" w:ascii="仿宋_GB2312" w:hAnsi="宋体" w:eastAsia="仿宋_GB2312" w:cs="Times New Roman"/>
          <w:kern w:val="2"/>
          <w:sz w:val="28"/>
          <w:szCs w:val="28"/>
          <w:highlight w:val="none"/>
          <w:lang w:val="en-US" w:eastAsia="zh-CN" w:bidi="ar-SA"/>
        </w:rPr>
        <w:t>孝感市宏浩测绘有限公司测绘后</w:t>
      </w:r>
      <w:r>
        <w:rPr>
          <w:rFonts w:hint="eastAsia" w:ascii="仿宋_GB2312" w:hAnsi="宋体" w:eastAsia="仿宋_GB2312" w:cs="Times New Roman"/>
          <w:kern w:val="2"/>
          <w:sz w:val="28"/>
          <w:szCs w:val="28"/>
          <w:lang w:val="en-US" w:eastAsia="zh-CN" w:bidi="ar-SA"/>
        </w:rPr>
        <w:t>提供，真实性、合法性由其负责，建议最终以有权机关确认为准。</w:t>
      </w:r>
    </w:p>
    <w:p>
      <w:pPr>
        <w:numPr>
          <w:ilvl w:val="0"/>
          <w:numId w:val="0"/>
        </w:num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w:t>
      </w:r>
      <w:r>
        <w:rPr>
          <w:rFonts w:hint="eastAsia" w:ascii="仿宋_GB2312" w:hAnsi="仿宋" w:eastAsia="仿宋_GB2312"/>
          <w:b w:val="0"/>
          <w:bCs/>
          <w:sz w:val="28"/>
          <w:szCs w:val="28"/>
          <w:lang w:val="en-US" w:eastAsia="zh-CN"/>
        </w:rPr>
        <w:t>当事人或其他利害关系人对本估价报告如有异议，可以在收到估价报告10日内以书面形式向人民法院提出。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5、估价结果是根据估价对象的使用年限，以及现场实物勘查情况，结合市场实际交易实例，采用市场法进行综合估算的。</w:t>
      </w:r>
    </w:p>
    <w:p>
      <w:pPr>
        <w:ind w:firstLine="560" w:firstLineChars="200"/>
        <w:rPr>
          <w:rFonts w:hint="default" w:ascii="仿宋" w:hAnsi="仿宋" w:eastAsia="仿宋"/>
          <w:color w:val="auto"/>
          <w:sz w:val="30"/>
          <w:szCs w:val="30"/>
          <w:lang w:val="en-US" w:eastAsia="zh-CN"/>
        </w:rPr>
      </w:pPr>
      <w:r>
        <w:rPr>
          <w:rFonts w:hint="eastAsia" w:ascii="仿宋_GB2312" w:hAnsi="宋体" w:eastAsia="仿宋_GB2312" w:cs="Times New Roman"/>
          <w:kern w:val="2"/>
          <w:sz w:val="28"/>
          <w:szCs w:val="28"/>
          <w:lang w:val="en-US" w:eastAsia="zh-CN" w:bidi="ar-SA"/>
        </w:rPr>
        <w:t>6、评估过程中，没有考虑估价对象房屋租赁、产权抵押、查封等因素对估价结果的影响。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二0二二年九月二十九日</w:t>
      </w:r>
    </w:p>
    <w:p>
      <w:pP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p>
    <w:p>
      <w:pPr>
        <w:rPr>
          <w:rFonts w:hint="eastAsia" w:ascii="仿宋" w:hAnsi="仿宋"/>
          <w:b/>
          <w:w w:val="40"/>
          <w:sz w:val="140"/>
          <w:szCs w:val="140"/>
        </w:rPr>
      </w:pPr>
      <w:r>
        <w:rPr>
          <w:rFonts w:hint="eastAsia" w:ascii="仿宋" w:hAnsi="仿宋"/>
          <w:b/>
          <w:w w:val="40"/>
          <w:sz w:val="140"/>
          <w:szCs w:val="140"/>
          <w:lang w:val="en-US" w:eastAsia="zh-CN"/>
        </w:rPr>
        <w:t xml:space="preserve"> </w:t>
      </w:r>
      <w:r>
        <w:rPr>
          <w:rFonts w:hint="eastAsia" w:ascii="仿宋" w:hAnsi="仿宋"/>
          <w:b/>
          <w:w w:val="40"/>
          <w:sz w:val="140"/>
          <w:szCs w:val="140"/>
        </w:rPr>
        <w:t>湖北循其本价格鉴定评估有限公司</w:t>
      </w:r>
    </w:p>
    <w:p>
      <w:pPr>
        <w:ind w:left="-92" w:leftChars="-85" w:right="-147" w:rightChars="-70" w:hanging="86" w:hangingChars="31"/>
        <w:jc w:val="center"/>
        <w:rPr>
          <w:rFonts w:hint="eastAsia" w:ascii="仿宋_GB2312" w:hAnsi="仿宋" w:eastAsia="仿宋_GB2312"/>
          <w:kern w:val="13"/>
          <w:sz w:val="28"/>
          <w:szCs w:val="28"/>
          <w:highlight w:val="yellow"/>
        </w:rPr>
      </w:pPr>
      <w:r>
        <w:rPr>
          <w:sz w:val="28"/>
          <w:highlight w:val="none"/>
        </w:rPr>
        <mc:AlternateContent>
          <mc:Choice Requires="wps">
            <w:drawing>
              <wp:anchor distT="0" distB="0" distL="114300" distR="114300" simplePos="0" relativeHeight="251660288" behindDoc="0" locked="0" layoutInCell="1" allowOverlap="1">
                <wp:simplePos x="0" y="0"/>
                <wp:positionH relativeFrom="column">
                  <wp:posOffset>-100965</wp:posOffset>
                </wp:positionH>
                <wp:positionV relativeFrom="paragraph">
                  <wp:posOffset>346075</wp:posOffset>
                </wp:positionV>
                <wp:extent cx="5553075" cy="635"/>
                <wp:effectExtent l="0" t="0" r="0" b="0"/>
                <wp:wrapNone/>
                <wp:docPr id="1" name="直接连接符 1"/>
                <wp:cNvGraphicFramePr/>
                <a:graphic xmlns:a="http://schemas.openxmlformats.org/drawingml/2006/main">
                  <a:graphicData uri="http://schemas.microsoft.com/office/word/2010/wordprocessingShape">
                    <wps:wsp>
                      <wps:cNvCnPr/>
                      <wps:spPr>
                        <a:xfrm>
                          <a:off x="0" y="0"/>
                          <a:ext cx="55530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95pt;margin-top:27.25pt;height:0.05pt;width:437.25pt;z-index:251660288;mso-width-relative:page;mso-height-relative:page;" filled="f" stroked="t" coordsize="21600,21600" o:gfxdata="UEsDBAoAAAAAAIdO4kAAAAAAAAAAAAAAAAAEAAAAZHJzL1BLAwQUAAAACACHTuJAwwDw6NgAAAAJ&#10;AQAADwAAAGRycy9kb3ducmV2LnhtbE2PTU/DMAyG70j8h8hIXKYt6aBVKU13AHrjwmDa1WtMW9E4&#10;XZN9wK8nO8HR9qPXz1uuznYQR5p871hDslAgiBtnem41fLzX8xyED8gGB8ek4Zs8rKrrqxIL4078&#10;Rsd1aEUMYV+ghi6EsZDSNx1Z9As3Esfbp5sshjhOrTQTnmK4HeRSqUxa7Dl+6HCkp46ar/XBavD1&#10;hvb1z6yZqe1d62i5f359Qa1vbxL1CCLQOfzBcNGP6lBFp507sPFi0DBP0oeIakjvUxARyNM8A7G7&#10;LDKQVSn/N6h+AVBLAwQUAAAACACHTuJAc+mLN9oBAACYAwAADgAAAGRycy9lMm9Eb2MueG1srVNL&#10;jhMxEN0jcQfLe9JJRj0wrXRmMWHYIIgEHKBiu7st+SeXJ51cggsgsYMVS/bcZoZjUHYyGT4bhOhF&#10;ddn1/Lrec/XicmcN26qI2ruWzyZTzpQTXmrXt/zd2+snzzjDBE6C8U61fK+QXy4fP1qMoVFzP3gj&#10;VWRE4rAZQ8uHlEJTVSgGZQEnPihHxc5HC4mWsa9khJHYranm0+l5NfooQ/RCIdLu6lDky8LfdUqk&#10;112HKjHTcuotlRhL3ORYLRfQ9BHCoMWxDfiHLixoRx89Ua0gAbuJ+g8qq0X06Ls0Ed5Wvuu0UEUD&#10;qZlNf1PzZoCgihYyB8PJJvx/tOLVdh2ZlnR3nDmwdEV3H77evv/0/dtHindfPrNZNmkM2BD2yq3j&#10;cYVhHbPiXRdtfpMWtivG7k/Gql1igjbruj6bPq05E1Q7P6szY/VwNERML5S3LCctN9pl1dDA9iWm&#10;A/QekreNY2PLL+p5JgQams5AotQGkoGuL2fRGy2vtTH5BMZ+c2Ui20Ieg/IcW/gFlj+yAhwOuFLK&#10;MGgGBfK5kyztAxnkaJJ5bsEqyZlRNPg5K8gE2vwNktQbRyZkXw9O5mzj5Z6u4yZE3Q/kRLG+YOj6&#10;i2XHUc3z9fO6MD38UM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wDw6NgAAAAJAQAADwAAAAAA&#10;AAABACAAAAAiAAAAZHJzL2Rvd25yZXYueG1sUEsBAhQAFAAAAAgAh07iQHPpizfaAQAAmAMAAA4A&#10;AAAAAAAAAQAgAAAAJwEAAGRycy9lMm9Eb2MueG1sUEsFBgAAAAAGAAYAWQEAAHMFAAAAAA==&#10;">
                <v:fill on="f" focussize="0,0"/>
                <v:stroke color="#000000" joinstyle="round"/>
                <v:imagedata o:title=""/>
                <o:lock v:ext="edit" aspectratio="f"/>
              </v:line>
            </w:pict>
          </mc:Fallback>
        </mc:AlternateContent>
      </w:r>
      <w:r>
        <w:rPr>
          <w:rFonts w:hint="eastAsia" w:ascii="仿宋_GB2312" w:hAnsi="仿宋" w:eastAsia="仿宋_GB2312"/>
          <w:kern w:val="13"/>
          <w:sz w:val="28"/>
          <w:szCs w:val="28"/>
          <w:highlight w:val="none"/>
        </w:rPr>
        <w:t>鄂循价鉴[20</w:t>
      </w:r>
      <w:r>
        <w:rPr>
          <w:rFonts w:hint="eastAsia" w:ascii="仿宋_GB2312" w:hAnsi="仿宋" w:eastAsia="仿宋_GB2312"/>
          <w:kern w:val="13"/>
          <w:sz w:val="28"/>
          <w:szCs w:val="28"/>
          <w:highlight w:val="none"/>
          <w:lang w:val="en-US" w:eastAsia="zh-CN"/>
        </w:rPr>
        <w:t>22</w:t>
      </w:r>
      <w:r>
        <w:rPr>
          <w:rFonts w:hint="eastAsia" w:ascii="仿宋_GB2312" w:hAnsi="仿宋" w:eastAsia="仿宋_GB2312"/>
          <w:kern w:val="13"/>
          <w:sz w:val="28"/>
          <w:szCs w:val="28"/>
          <w:highlight w:val="none"/>
        </w:rPr>
        <w:t>]第</w:t>
      </w:r>
      <w:r>
        <w:rPr>
          <w:rFonts w:hint="eastAsia" w:ascii="仿宋_GB2312" w:hAnsi="仿宋" w:eastAsia="仿宋_GB2312"/>
          <w:kern w:val="13"/>
          <w:sz w:val="28"/>
          <w:szCs w:val="28"/>
          <w:highlight w:val="none"/>
          <w:lang w:val="en-US" w:eastAsia="zh-CN"/>
        </w:rPr>
        <w:t>71239</w:t>
      </w:r>
      <w:r>
        <w:rPr>
          <w:rFonts w:hint="eastAsia" w:ascii="仿宋_GB2312" w:hAnsi="仿宋" w:eastAsia="仿宋_GB2312"/>
          <w:kern w:val="13"/>
          <w:sz w:val="28"/>
          <w:szCs w:val="28"/>
          <w:highlight w:val="none"/>
        </w:rPr>
        <w:t>号</w:t>
      </w:r>
    </w:p>
    <w:p>
      <w:pPr>
        <w:jc w:val="center"/>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湖北金林置业有限公司所有的</w:t>
      </w:r>
    </w:p>
    <w:p>
      <w:pPr>
        <w:jc w:val="center"/>
        <w:rPr>
          <w:rFonts w:ascii="仿宋" w:hAnsi="仿宋" w:eastAsia="仿宋"/>
          <w:b/>
          <w:bCs/>
          <w:sz w:val="36"/>
          <w:szCs w:val="36"/>
        </w:rPr>
      </w:pPr>
      <w:r>
        <w:rPr>
          <w:rFonts w:hint="eastAsia" w:ascii="仿宋" w:hAnsi="仿宋" w:eastAsia="仿宋"/>
          <w:b/>
          <w:bCs/>
          <w:sz w:val="32"/>
          <w:szCs w:val="32"/>
          <w:lang w:val="en-US" w:eastAsia="zh-CN"/>
        </w:rPr>
        <w:t>位于孝感市万丰公寓1</w:t>
      </w:r>
      <w:r>
        <w:rPr>
          <w:rFonts w:hint="eastAsia" w:ascii="宋体" w:hAnsi="宋体" w:eastAsia="宋体" w:cs="宋体"/>
          <w:b/>
          <w:bCs/>
          <w:sz w:val="32"/>
          <w:szCs w:val="32"/>
          <w:lang w:val="en-US" w:eastAsia="zh-CN"/>
        </w:rPr>
        <w:t>＃</w:t>
      </w:r>
      <w:r>
        <w:rPr>
          <w:rFonts w:hint="eastAsia" w:ascii="仿宋" w:hAnsi="仿宋" w:eastAsia="仿宋"/>
          <w:b/>
          <w:bCs/>
          <w:sz w:val="32"/>
          <w:szCs w:val="32"/>
          <w:lang w:val="en-US" w:eastAsia="zh-CN"/>
        </w:rPr>
        <w:t>楼401室</w:t>
      </w:r>
      <w:r>
        <w:rPr>
          <w:rFonts w:hint="eastAsia" w:ascii="仿宋" w:hAnsi="仿宋" w:eastAsia="仿宋"/>
          <w:b/>
          <w:bCs/>
          <w:sz w:val="32"/>
          <w:szCs w:val="32"/>
        </w:rPr>
        <w:t>房地产估价结果报告</w:t>
      </w:r>
    </w:p>
    <w:p>
      <w:pP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lang w:val="en-US" w:eastAsia="zh-CN"/>
        </w:rPr>
        <w:t>（一）委托方</w:t>
      </w:r>
    </w:p>
    <w:p>
      <w:pPr>
        <w:numPr>
          <w:ilvl w:val="0"/>
          <w:numId w:val="1"/>
        </w:num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委托方：孝感市孝南区人民法院</w:t>
      </w:r>
    </w:p>
    <w:p>
      <w:pPr>
        <w:numPr>
          <w:ilvl w:val="0"/>
          <w:numId w:val="0"/>
        </w:numPr>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2. 住所：</w:t>
      </w:r>
      <w:r>
        <w:rPr>
          <w:rFonts w:hint="eastAsia" w:ascii="仿宋_GB2312" w:hAnsi="宋体" w:eastAsia="仿宋_GB2312" w:cs="Times New Roman"/>
          <w:kern w:val="2"/>
          <w:sz w:val="28"/>
          <w:szCs w:val="28"/>
          <w:highlight w:val="none"/>
          <w:lang w:val="en-US" w:eastAsia="zh-CN" w:bidi="ar-SA"/>
        </w:rPr>
        <w:t>湖北省孝感市孝南区黄花路38号</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（二）估价方：</w:t>
      </w:r>
      <w:r>
        <w:rPr>
          <w:rFonts w:hint="eastAsia" w:ascii="仿宋_GB2312" w:hAnsi="宋体" w:eastAsia="仿宋_GB2312" w:cs="Times New Roman"/>
          <w:kern w:val="2"/>
          <w:sz w:val="28"/>
          <w:szCs w:val="28"/>
          <w:lang w:val="en-US" w:eastAsia="zh-CN" w:bidi="ar-SA"/>
        </w:rPr>
        <w:t>湖北循其本价格鉴定评估有限公司</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cs="Times New Roman"/>
          <w:kern w:val="2"/>
          <w:sz w:val="28"/>
          <w:szCs w:val="28"/>
          <w:lang w:val="en-US" w:eastAsia="zh-CN" w:bidi="ar-SA"/>
        </w:rPr>
        <w:t>1. 法定代表人：</w:t>
      </w:r>
      <w:r>
        <w:rPr>
          <w:rFonts w:hint="eastAsia" w:ascii="仿宋_GB2312" w:hAnsi="宋体" w:eastAsia="仿宋_GB2312"/>
          <w:sz w:val="28"/>
          <w:szCs w:val="28"/>
          <w:lang w:val="en-US" w:eastAsia="zh-CN"/>
        </w:rPr>
        <w:t>魏胜凯</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 住所：</w:t>
      </w:r>
      <w:r>
        <w:rPr>
          <w:rFonts w:hint="eastAsia" w:ascii="仿宋_GB2312" w:hAnsi="宋体" w:eastAsia="仿宋_GB2312" w:cs="Times New Roman"/>
          <w:kern w:val="2"/>
          <w:sz w:val="28"/>
          <w:szCs w:val="28"/>
          <w:highlight w:val="none"/>
          <w:lang w:val="en-US" w:eastAsia="zh-CN" w:bidi="ar-SA"/>
        </w:rPr>
        <w:t>湖北省咸宁市高新贺胜路（墨香苑小区）3栋5层504</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（三）估价对象</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1、估价对象范围</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本次估价对象范围为湖北金林置业有限公司所有的、位于孝感市万丰公寓1</w:t>
      </w:r>
      <w:r>
        <w:rPr>
          <w:rFonts w:hint="eastAsia" w:ascii="微软雅黑" w:hAnsi="微软雅黑" w:eastAsia="微软雅黑" w:cs="微软雅黑"/>
          <w:kern w:val="2"/>
          <w:sz w:val="28"/>
          <w:szCs w:val="28"/>
          <w:lang w:val="en-US" w:eastAsia="zh-CN" w:bidi="ar-SA"/>
        </w:rPr>
        <w:t>#</w:t>
      </w:r>
      <w:r>
        <w:rPr>
          <w:rFonts w:hint="eastAsia" w:ascii="仿宋_GB2312" w:hAnsi="仿宋_GB2312" w:eastAsia="仿宋_GB2312" w:cs="仿宋_GB2312"/>
          <w:kern w:val="2"/>
          <w:sz w:val="28"/>
          <w:szCs w:val="28"/>
          <w:lang w:val="en-US" w:eastAsia="zh-CN" w:bidi="ar-SA"/>
        </w:rPr>
        <w:t>楼</w:t>
      </w:r>
      <w:r>
        <w:rPr>
          <w:rFonts w:hint="eastAsia" w:ascii="仿宋_GB2312" w:hAnsi="宋体" w:eastAsia="仿宋_GB2312" w:cs="Times New Roman"/>
          <w:kern w:val="2"/>
          <w:sz w:val="28"/>
          <w:szCs w:val="28"/>
          <w:lang w:val="en-US" w:eastAsia="zh-CN" w:bidi="ar-SA"/>
        </w:rPr>
        <w:t>401室，建筑面积为</w:t>
      </w:r>
      <w:r>
        <w:rPr>
          <w:rFonts w:hint="eastAsia" w:ascii="仿宋_GB2312" w:hAnsi="宋体" w:eastAsia="仿宋_GB2312" w:cs="Times New Roman"/>
          <w:kern w:val="2"/>
          <w:sz w:val="28"/>
          <w:szCs w:val="28"/>
          <w:highlight w:val="none"/>
          <w:lang w:val="en-US" w:eastAsia="zh-CN" w:bidi="ar-SA"/>
        </w:rPr>
        <w:t>124.75㎡的</w:t>
      </w:r>
      <w:r>
        <w:rPr>
          <w:rFonts w:hint="eastAsia" w:ascii="仿宋_GB2312" w:hAnsi="宋体" w:eastAsia="仿宋_GB2312" w:cs="Times New Roman"/>
          <w:kern w:val="2"/>
          <w:sz w:val="28"/>
          <w:szCs w:val="28"/>
          <w:lang w:val="en-US" w:eastAsia="zh-CN" w:bidi="ar-SA"/>
        </w:rPr>
        <w:t>住宅房地产。</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2、估价对象基本情况</w:t>
      </w:r>
    </w:p>
    <w:p>
      <w:pPr>
        <w:ind w:left="279" w:leftChars="133" w:firstLine="280" w:firstLineChars="100"/>
        <w:jc w:val="left"/>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经本机构人员的实地勘查和委托方提供的委托</w:t>
      </w:r>
      <w:r>
        <w:rPr>
          <w:rFonts w:hint="eastAsia" w:ascii="仿宋_GB2312" w:hAnsi="宋体" w:eastAsia="仿宋_GB2312" w:cs="Times New Roman"/>
          <w:kern w:val="2"/>
          <w:sz w:val="28"/>
          <w:szCs w:val="28"/>
          <w:highlight w:val="none"/>
          <w:lang w:val="en-US" w:eastAsia="zh-CN" w:bidi="ar-SA"/>
        </w:rPr>
        <w:t>书等有关资料，可知估价对象实体状况如下：</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估价对象座落</w:t>
      </w:r>
      <w:r>
        <w:rPr>
          <w:rFonts w:hint="eastAsia" w:ascii="仿宋_GB2312" w:hAnsi="宋体" w:eastAsia="仿宋_GB2312" w:cs="Times New Roman"/>
          <w:kern w:val="2"/>
          <w:sz w:val="28"/>
          <w:szCs w:val="28"/>
          <w:lang w:val="en-US" w:eastAsia="zh-CN" w:bidi="ar-SA"/>
        </w:rPr>
        <w:t>孝感市黄陂西路</w:t>
      </w:r>
      <w:r>
        <w:rPr>
          <w:rFonts w:hint="eastAsia" w:ascii="仿宋_GB2312" w:hAnsi="宋体" w:eastAsia="仿宋_GB2312" w:cs="Times New Roman"/>
          <w:kern w:val="2"/>
          <w:sz w:val="28"/>
          <w:szCs w:val="28"/>
          <w:highlight w:val="none"/>
          <w:lang w:val="en-US" w:eastAsia="zh-CN" w:bidi="ar-SA"/>
        </w:rPr>
        <w:t>万丰公寓1</w:t>
      </w:r>
      <w:r>
        <w:rPr>
          <w:rFonts w:hint="eastAsia" w:ascii="宋体" w:hAnsi="宋体" w:eastAsia="宋体" w:cs="宋体"/>
          <w:kern w:val="2"/>
          <w:sz w:val="28"/>
          <w:szCs w:val="28"/>
          <w:highlight w:val="none"/>
          <w:lang w:val="en-US" w:eastAsia="zh-CN" w:bidi="ar-SA"/>
        </w:rPr>
        <w:t>＃</w:t>
      </w:r>
      <w:r>
        <w:rPr>
          <w:rFonts w:hint="eastAsia" w:ascii="仿宋_GB2312" w:hAnsi="宋体" w:eastAsia="仿宋_GB2312" w:cs="Times New Roman"/>
          <w:kern w:val="2"/>
          <w:sz w:val="28"/>
          <w:szCs w:val="28"/>
          <w:highlight w:val="none"/>
          <w:lang w:val="en-US" w:eastAsia="zh-CN" w:bidi="ar-SA"/>
        </w:rPr>
        <w:t>楼401室，建于2013年，总层数为14层，第3-14层为成套住宅，第一、二层目前未完全完工，为其他用房；房屋南北朝向，为高层电梯住宅房屋，每层两梯四户，所在层/总层数为4层/14层，经测量建筑面积为124.75㎡，通风采光较好，户型为三室两厅，房屋结构完好、坚固无变形，外观较新；</w:t>
      </w:r>
      <w:r>
        <w:rPr>
          <w:rFonts w:hint="eastAsia" w:ascii="仿宋" w:hAnsi="仿宋" w:eastAsia="仿宋"/>
          <w:color w:val="auto"/>
          <w:sz w:val="28"/>
          <w:szCs w:val="28"/>
          <w:highlight w:val="none"/>
          <w:lang w:val="en-US" w:eastAsia="zh-CN"/>
        </w:rPr>
        <w:t>室内于2019年</w:t>
      </w:r>
      <w:r>
        <w:rPr>
          <w:rFonts w:hint="eastAsia" w:ascii="仿宋" w:hAnsi="仿宋" w:eastAsia="仿宋"/>
          <w:color w:val="auto"/>
          <w:sz w:val="28"/>
          <w:szCs w:val="28"/>
          <w:lang w:val="en-US" w:eastAsia="zh-CN"/>
        </w:rPr>
        <w:t>完成装修，</w:t>
      </w:r>
      <w:r>
        <w:rPr>
          <w:rFonts w:hint="eastAsia" w:ascii="仿宋_GB2312" w:hAnsi="宋体" w:eastAsia="仿宋_GB2312" w:cs="Times New Roman"/>
          <w:kern w:val="2"/>
          <w:sz w:val="28"/>
          <w:szCs w:val="28"/>
          <w:lang w:val="en-US" w:eastAsia="zh-CN" w:bidi="ar-SA"/>
        </w:rPr>
        <w:t>客厅、餐厅地面铺贴地板砖，墙面乳胶漆粉刷，天棚简易吊顶；卧室地面铺贴符合木地板，墙面铺贴部分墙纸，铁硼简易吊顶，做有到顶衣柜，全屋套装木门，</w:t>
      </w:r>
      <w:r>
        <w:rPr>
          <w:rFonts w:hint="eastAsia" w:ascii="仿宋" w:hAnsi="仿宋" w:eastAsia="仿宋"/>
          <w:color w:val="auto"/>
          <w:sz w:val="28"/>
          <w:szCs w:val="28"/>
          <w:lang w:val="en-US" w:eastAsia="zh-CN"/>
        </w:rPr>
        <w:t>为一般精</w:t>
      </w:r>
      <w:r>
        <w:rPr>
          <w:rFonts w:hint="eastAsia" w:ascii="仿宋_GB2312" w:hAnsi="宋体" w:eastAsia="仿宋_GB2312" w:cs="Times New Roman"/>
          <w:kern w:val="2"/>
          <w:sz w:val="28"/>
          <w:szCs w:val="28"/>
          <w:lang w:val="en-US" w:eastAsia="zh-CN" w:bidi="ar-SA"/>
        </w:rPr>
        <w:t>装修。据调查该房屋建房手续不全，委托方及相关当事人未能提供不动产权证书。</w:t>
      </w:r>
    </w:p>
    <w:p>
      <w:pPr>
        <w:jc w:val="both"/>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（四）估价目的</w:t>
      </w:r>
    </w:p>
    <w:p>
      <w:pPr>
        <w:ind w:firstLine="560"/>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lang w:val="en-US" w:eastAsia="zh-CN" w:bidi="ar-SA"/>
        </w:rPr>
        <w:t>为委托方处理案件提供价格咨询参考依据而评估该房产市场价格，供委托方及相关当事方咨询参考。</w:t>
      </w:r>
      <w:r>
        <w:rPr>
          <w:rFonts w:hint="eastAsia" w:ascii="仿宋_GB2312" w:hAnsi="宋体" w:eastAsia="仿宋_GB2312"/>
          <w:b/>
          <w:bCs/>
          <w:sz w:val="30"/>
          <w:szCs w:val="30"/>
          <w:highlight w:val="none"/>
          <w:lang w:val="en-US" w:eastAsia="zh-CN"/>
        </w:rPr>
        <w:t xml:space="preserve"> </w:t>
      </w:r>
      <w:r>
        <w:rPr>
          <w:rFonts w:hint="eastAsia" w:ascii="仿宋_GB2312" w:hAnsi="宋体" w:eastAsia="仿宋_GB2312"/>
          <w:b/>
          <w:bCs/>
          <w:sz w:val="30"/>
          <w:szCs w:val="30"/>
          <w:lang w:val="en-US" w:eastAsia="zh-CN"/>
        </w:rPr>
        <w:t xml:space="preserve">  </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（五）估价时点</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二0二二年九月二日</w:t>
      </w:r>
      <w:r>
        <w:rPr>
          <w:rFonts w:hint="eastAsia" w:ascii="仿宋_GB2312" w:hAnsi="宋体" w:eastAsia="仿宋_GB2312" w:cs="Times New Roman"/>
          <w:kern w:val="2"/>
          <w:sz w:val="28"/>
          <w:szCs w:val="28"/>
          <w:highlight w:val="none"/>
          <w:lang w:val="en-US" w:eastAsia="zh-CN" w:bidi="ar-SA"/>
        </w:rPr>
        <w:t>。</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（六）价值定义</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本次评估价格是指对估价对象在现有用途、状态不变的前提下，采用公开市场价值标准，为本报告书所列明的目的和假设限制条件下的现行公开市场价值的估计值。</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（七）估价依据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1、法律法规依据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（1）《中华人民共和国价格法》；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w:t>
      </w:r>
      <w:r>
        <w:rPr>
          <w:rFonts w:hint="default" w:ascii="仿宋_GB2312" w:hAnsi="宋体" w:eastAsia="仿宋_GB2312" w:cs="Times New Roman"/>
          <w:kern w:val="2"/>
          <w:sz w:val="28"/>
          <w:szCs w:val="28"/>
          <w:lang w:val="en-US" w:eastAsia="zh-CN" w:bidi="ar-SA"/>
        </w:rPr>
        <w:t>《中华人民共和国</w:t>
      </w:r>
      <w:r>
        <w:rPr>
          <w:rFonts w:hint="eastAsia" w:ascii="仿宋_GB2312" w:hAnsi="宋体" w:eastAsia="仿宋_GB2312" w:cs="Times New Roman"/>
          <w:kern w:val="2"/>
          <w:sz w:val="28"/>
          <w:szCs w:val="28"/>
          <w:lang w:val="en-US" w:eastAsia="zh-CN" w:bidi="ar-SA"/>
        </w:rPr>
        <w:t>资产评估</w:t>
      </w:r>
      <w:r>
        <w:rPr>
          <w:rFonts w:hint="default" w:ascii="仿宋_GB2312" w:hAnsi="宋体" w:eastAsia="仿宋_GB2312" w:cs="Times New Roman"/>
          <w:kern w:val="2"/>
          <w:sz w:val="28"/>
          <w:szCs w:val="28"/>
          <w:lang w:val="en-US" w:eastAsia="zh-CN" w:bidi="ar-SA"/>
        </w:rPr>
        <w:t>法》</w:t>
      </w:r>
      <w:r>
        <w:rPr>
          <w:rFonts w:hint="eastAsia" w:ascii="仿宋_GB2312" w:hAnsi="宋体" w:eastAsia="仿宋_GB2312" w:cs="Times New Roman"/>
          <w:kern w:val="2"/>
          <w:sz w:val="28"/>
          <w:szCs w:val="28"/>
          <w:lang w:val="en-US" w:eastAsia="zh-CN" w:bidi="ar-SA"/>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（3）《中华人民共和国城市房地产管理法》；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（4）《中华人民共和国土地管理法》；</w:t>
      </w:r>
    </w:p>
    <w:p>
      <w:pPr>
        <w:spacing w:beforeLines="0" w:afterLines="0"/>
        <w:jc w:val="left"/>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（5）中华人民共和国国家标准《房地产估价规范》；</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6</w:t>
      </w:r>
      <w:r>
        <w:rPr>
          <w:rFonts w:hint="eastAsia" w:ascii="仿宋" w:hAnsi="仿宋" w:eastAsia="仿宋"/>
          <w:sz w:val="28"/>
          <w:szCs w:val="28"/>
          <w:lang w:eastAsia="zh-CN"/>
        </w:rPr>
        <w:t>）</w:t>
      </w:r>
      <w:r>
        <w:rPr>
          <w:rFonts w:hint="eastAsia" w:ascii="仿宋" w:hAnsi="仿宋" w:eastAsia="仿宋"/>
          <w:sz w:val="28"/>
          <w:szCs w:val="28"/>
        </w:rPr>
        <w:t>《价格评估执业规范》</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7</w:t>
      </w:r>
      <w:r>
        <w:rPr>
          <w:rFonts w:hint="eastAsia" w:ascii="仿宋" w:hAnsi="仿宋" w:eastAsia="仿宋"/>
          <w:sz w:val="28"/>
          <w:szCs w:val="28"/>
          <w:lang w:eastAsia="zh-CN"/>
        </w:rPr>
        <w:t>）</w:t>
      </w:r>
      <w:r>
        <w:rPr>
          <w:rFonts w:hint="eastAsia" w:ascii="仿宋" w:hAnsi="仿宋" w:eastAsia="仿宋"/>
          <w:sz w:val="28"/>
          <w:szCs w:val="28"/>
        </w:rPr>
        <w:t>《价格评估人员自律守则》</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8</w:t>
      </w:r>
      <w:r>
        <w:rPr>
          <w:rFonts w:hint="eastAsia" w:ascii="仿宋" w:hAnsi="仿宋" w:eastAsia="仿宋"/>
          <w:sz w:val="28"/>
          <w:szCs w:val="28"/>
          <w:lang w:eastAsia="zh-CN"/>
        </w:rPr>
        <w:t>）</w:t>
      </w:r>
      <w:r>
        <w:rPr>
          <w:rFonts w:hint="eastAsia" w:ascii="仿宋" w:hAnsi="仿宋" w:eastAsia="仿宋"/>
          <w:sz w:val="28"/>
          <w:szCs w:val="28"/>
        </w:rPr>
        <w:t>《价格评估行业职业操守》</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2、委托方提供的有关资料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（1）委托方提供的价格评估鉴定委托书；</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（2）委托方提供的相关权属资料复印件及其他资料复印件。</w:t>
      </w:r>
    </w:p>
    <w:p>
      <w:pPr>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3、估价机构和估价人员现场查勘、调查所得的资料；掌握和收集的其它询价资料、参数资料和国家有关部门发布的统计资料和技术标准资料。</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（八）估价原则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我们按照《房地产估价规范》规定，遵循估价行业公认的估价工作原则，对估价对象进行独立、客观、科学的评价，并遵守国家保密规定。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本次估价中我们还特别遵循以下估价经济原则：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独立、客观、公正原则：我们进行估价的最高行为准则。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合法原则：在本次估价时其应当符合国家的法律、法规有关规定，以估价对象的合法权益为前提；本次评估以委托方提供的相关权属资料载明事项体现合法原则。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最高最佳使用原则：能给估价对象带来最高收益的使用，这种使用是法律上允许、技术上可能、财务上可行，本次估价中以其按现状使用为最高最佳使用。</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时点原则：由于房地产市场是不断变化的，在不同的估价时点，同一宗房地产往往具有不同的价格水平。估价时点原则是指求取某一时点的价格，所以在评估一宗房地产价格时，必须假定市场停止在估价时点上，同时对估价对象的房地产市场情况及自</w:t>
      </w:r>
      <w:r>
        <w:rPr>
          <w:rFonts w:hint="eastAsia" w:ascii="仿宋" w:hAnsi="仿宋" w:eastAsia="仿宋"/>
          <w:sz w:val="30"/>
          <w:szCs w:val="30"/>
          <w:lang w:val="en-US" w:eastAsia="zh-CN"/>
        </w:rPr>
        <w:t>身情况的界定，也是以在</w:t>
      </w:r>
      <w:r>
        <w:rPr>
          <w:rFonts w:hint="eastAsia" w:ascii="仿宋_GB2312" w:hAnsi="宋体" w:eastAsia="仿宋_GB2312" w:cs="Times New Roman"/>
          <w:kern w:val="2"/>
          <w:sz w:val="28"/>
          <w:szCs w:val="28"/>
          <w:lang w:val="en-US" w:eastAsia="zh-CN" w:bidi="ar-SA"/>
        </w:rPr>
        <w:t>估价时点的状况为准。</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（九）估价方法</w:t>
      </w:r>
    </w:p>
    <w:p>
      <w:pPr>
        <w:ind w:firstLine="560" w:firstLineChars="200"/>
        <w:rPr>
          <w:rFonts w:hint="eastAsia" w:ascii="仿宋" w:hAnsi="仿宋" w:eastAsia="仿宋" w:cs="仿宋"/>
          <w:sz w:val="28"/>
          <w:szCs w:val="28"/>
        </w:rPr>
      </w:pPr>
      <w:r>
        <w:rPr>
          <w:rFonts w:hint="eastAsia" w:ascii="仿宋_GB2312" w:hAnsi="宋体" w:eastAsia="仿宋_GB2312" w:cs="Times New Roman"/>
          <w:kern w:val="2"/>
          <w:sz w:val="28"/>
          <w:szCs w:val="28"/>
          <w:lang w:val="en-US" w:eastAsia="zh-CN" w:bidi="ar-SA"/>
        </w:rPr>
        <w:t>根据估价规范要求和评估人员现场踏勘，以及对估价对象的使用年限、周边类似房地产交易实例和宗地所处区域因素等资料进行收集、分析和整理，结合评估目的，将估价对象分为毛坯房屋和室内装修两个相对独立部分，分别</w:t>
      </w:r>
      <w:r>
        <w:rPr>
          <w:rFonts w:hint="eastAsia" w:ascii="仿宋" w:hAnsi="仿宋" w:eastAsia="仿宋" w:cs="仿宋"/>
          <w:sz w:val="28"/>
          <w:szCs w:val="28"/>
          <w:highlight w:val="none"/>
          <w:lang w:eastAsia="zh-CN"/>
        </w:rPr>
        <w:t>采用了市场法、成本法</w:t>
      </w:r>
      <w:r>
        <w:rPr>
          <w:rFonts w:hint="eastAsia" w:ascii="仿宋" w:hAnsi="仿宋" w:eastAsia="仿宋" w:cs="仿宋"/>
          <w:sz w:val="28"/>
          <w:szCs w:val="28"/>
          <w:lang w:eastAsia="zh-CN"/>
        </w:rPr>
        <w:t>综合</w:t>
      </w:r>
      <w:r>
        <w:rPr>
          <w:rFonts w:hint="eastAsia" w:ascii="仿宋" w:hAnsi="仿宋" w:eastAsia="仿宋" w:cs="仿宋"/>
          <w:sz w:val="28"/>
          <w:szCs w:val="28"/>
        </w:rPr>
        <w:t>测算</w:t>
      </w:r>
      <w:r>
        <w:rPr>
          <w:rFonts w:hint="eastAsia" w:ascii="仿宋" w:hAnsi="仿宋" w:eastAsia="仿宋" w:cs="仿宋"/>
          <w:sz w:val="28"/>
          <w:szCs w:val="28"/>
          <w:lang w:eastAsia="zh-CN"/>
        </w:rPr>
        <w:t>其</w:t>
      </w:r>
      <w:r>
        <w:rPr>
          <w:rFonts w:hint="eastAsia" w:ascii="仿宋" w:hAnsi="仿宋" w:eastAsia="仿宋" w:cs="仿宋"/>
          <w:sz w:val="28"/>
          <w:szCs w:val="28"/>
        </w:rPr>
        <w:t>公开市场价值。</w:t>
      </w:r>
    </w:p>
    <w:p>
      <w:pPr>
        <w:ind w:firstLine="560" w:firstLineChars="200"/>
        <w:rPr>
          <w:rFonts w:ascii="仿宋" w:hAnsi="仿宋" w:eastAsia="仿宋" w:cs="Arial"/>
          <w:color w:val="333333"/>
          <w:sz w:val="30"/>
          <w:szCs w:val="30"/>
          <w:shd w:val="clear" w:color="auto" w:fill="FFFFFF"/>
        </w:rPr>
      </w:pPr>
      <w:r>
        <w:rPr>
          <w:rFonts w:hint="eastAsia" w:ascii="仿宋_GB2312" w:hAnsi="宋体" w:eastAsia="仿宋_GB2312" w:cs="Times New Roman"/>
          <w:kern w:val="2"/>
          <w:sz w:val="28"/>
          <w:szCs w:val="28"/>
          <w:lang w:val="en-US" w:eastAsia="zh-CN" w:bidi="ar-SA"/>
        </w:rPr>
        <w:t>市场法也称市场价格比较法，是指通过比较被评估资产与最近售出类似资产的异同，并将类似的市场价格进行调整，从而确定被评估资产价值的一种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评估值（比准价格）=可比实例价格×交易情况修正×市场状况调整×房地产状况调整 </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成本法是首先估算重新建造全新状态的估价对象所需</w:t>
      </w:r>
      <w:r>
        <w:rPr>
          <w:rFonts w:hint="eastAsia" w:ascii="仿宋" w:hAnsi="仿宋" w:eastAsia="仿宋" w:cs="仿宋"/>
          <w:sz w:val="28"/>
          <w:szCs w:val="28"/>
          <w:lang w:eastAsia="zh-CN"/>
        </w:rPr>
        <w:t>各项费用，求取估价时点的重新建造价格，</w:t>
      </w:r>
      <w:r>
        <w:rPr>
          <w:rFonts w:hint="eastAsia" w:ascii="仿宋" w:hAnsi="仿宋" w:eastAsia="仿宋" w:cs="仿宋"/>
          <w:sz w:val="28"/>
          <w:szCs w:val="28"/>
        </w:rPr>
        <w:t>再结合成新率估算出估价对象的市场价格。</w:t>
      </w:r>
    </w:p>
    <w:p>
      <w:pPr>
        <w:ind w:firstLine="560" w:firstLineChars="200"/>
        <w:rPr>
          <w:rFonts w:hint="eastAsia" w:ascii="仿宋_GB2312" w:hAnsi="仿宋" w:eastAsia="仿宋_GB2312"/>
          <w:b/>
          <w:sz w:val="28"/>
          <w:szCs w:val="28"/>
          <w:lang w:val="en-US" w:eastAsia="zh-CN"/>
        </w:rPr>
      </w:pPr>
      <w:r>
        <w:rPr>
          <w:rFonts w:hint="eastAsia" w:ascii="仿宋" w:hAnsi="仿宋" w:eastAsia="仿宋" w:cs="仿宋"/>
          <w:sz w:val="28"/>
          <w:szCs w:val="28"/>
        </w:rPr>
        <w:t>评估值=重新建</w:t>
      </w:r>
      <w:r>
        <w:rPr>
          <w:rFonts w:hint="eastAsia" w:ascii="仿宋" w:hAnsi="仿宋" w:eastAsia="仿宋" w:cs="仿宋"/>
          <w:sz w:val="28"/>
          <w:szCs w:val="28"/>
          <w:lang w:eastAsia="zh-CN"/>
        </w:rPr>
        <w:t>造</w:t>
      </w:r>
      <w:r>
        <w:rPr>
          <w:rFonts w:hint="eastAsia" w:ascii="仿宋" w:hAnsi="仿宋" w:eastAsia="仿宋" w:cs="仿宋"/>
          <w:sz w:val="28"/>
          <w:szCs w:val="28"/>
        </w:rPr>
        <w:t>价格×成新率</w:t>
      </w:r>
      <w:r>
        <w:rPr>
          <w:rFonts w:hint="eastAsia" w:ascii="仿宋_GB2312" w:hAnsi="仿宋" w:eastAsia="仿宋_GB2312"/>
          <w:b/>
          <w:sz w:val="28"/>
          <w:szCs w:val="28"/>
          <w:lang w:val="en-US" w:eastAsia="zh-CN"/>
        </w:rPr>
        <w:t xml:space="preserve">  </w:t>
      </w:r>
    </w:p>
    <w:p>
      <w:pPr>
        <w:rPr>
          <w:rFonts w:hint="eastAsia" w:ascii="仿宋_GB2312" w:hAnsi="仿宋" w:eastAsia="仿宋_GB2312"/>
          <w:b/>
          <w:sz w:val="28"/>
          <w:szCs w:val="28"/>
        </w:rPr>
      </w:pPr>
      <w:r>
        <w:rPr>
          <w:rFonts w:hint="eastAsia" w:ascii="仿宋_GB2312" w:hAnsi="仿宋" w:eastAsia="仿宋_GB2312"/>
          <w:b/>
          <w:sz w:val="28"/>
          <w:szCs w:val="28"/>
          <w:lang w:val="en-US" w:eastAsia="zh-CN"/>
        </w:rPr>
        <w:t xml:space="preserve">   </w:t>
      </w:r>
      <w:r>
        <w:rPr>
          <w:rFonts w:hint="eastAsia" w:ascii="仿宋_GB2312" w:hAnsi="仿宋" w:eastAsia="仿宋_GB2312"/>
          <w:b/>
          <w:sz w:val="28"/>
          <w:szCs w:val="28"/>
        </w:rPr>
        <w:t>（十）估价结果</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估价人员经过实地勘查和测算，确定估价对象在估价时点可能形成的市场价值为</w:t>
      </w:r>
      <w:r>
        <w:rPr>
          <w:rFonts w:hint="eastAsia" w:ascii="仿宋_GB2312" w:hAnsi="宋体" w:eastAsia="仿宋_GB2312" w:cs="Times New Roman"/>
          <w:kern w:val="2"/>
          <w:sz w:val="28"/>
          <w:szCs w:val="28"/>
          <w:highlight w:val="none"/>
          <w:lang w:val="en-US" w:eastAsia="zh-CN" w:bidi="ar-SA"/>
        </w:rPr>
        <w:t>￥457920</w:t>
      </w:r>
      <w:r>
        <w:rPr>
          <w:rFonts w:hint="eastAsia" w:ascii="仿宋_GB2312" w:hAnsi="宋体" w:eastAsia="仿宋_GB2312" w:cs="Times New Roman"/>
          <w:kern w:val="2"/>
          <w:sz w:val="28"/>
          <w:szCs w:val="28"/>
          <w:lang w:val="en-US" w:eastAsia="zh-CN" w:bidi="ar-SA"/>
        </w:rPr>
        <w:t>元(大写人民币肆拾伍万柒仟玖佰贰拾元整)。其中：毛坯房屋评估值为366391元，室内装修费用为91529元。</w:t>
      </w:r>
    </w:p>
    <w:p>
      <w:pPr>
        <w:rPr>
          <w:rFonts w:hint="eastAsia" w:ascii="仿宋_GB2312" w:hAnsi="仿宋" w:eastAsia="仿宋_GB2312" w:cs="Times New Roman"/>
          <w:b/>
          <w:kern w:val="2"/>
          <w:sz w:val="28"/>
          <w:szCs w:val="28"/>
          <w:lang w:val="zh-CN" w:eastAsia="zh-CN" w:bidi="ar-SA"/>
        </w:rPr>
      </w:pPr>
      <w:r>
        <w:rPr>
          <w:rFonts w:hint="eastAsia" w:ascii="仿宋_GB2312" w:hAnsi="仿宋" w:eastAsia="仿宋_GB2312" w:cs="Times New Roman"/>
          <w:b/>
          <w:kern w:val="2"/>
          <w:sz w:val="28"/>
          <w:szCs w:val="28"/>
          <w:lang w:val="en-US" w:eastAsia="zh-CN" w:bidi="ar-SA"/>
        </w:rPr>
        <w:t xml:space="preserve">   </w:t>
      </w:r>
      <w:r>
        <w:rPr>
          <w:rFonts w:hint="eastAsia" w:ascii="仿宋_GB2312" w:hAnsi="仿宋" w:eastAsia="仿宋_GB2312" w:cs="Times New Roman"/>
          <w:b/>
          <w:kern w:val="2"/>
          <w:sz w:val="28"/>
          <w:szCs w:val="28"/>
          <w:lang w:val="zh-CN" w:eastAsia="zh-CN" w:bidi="ar-SA"/>
        </w:rPr>
        <w:t>（十一）价格评估机构</w:t>
      </w:r>
    </w:p>
    <w:p>
      <w:pPr>
        <w:pStyle w:val="4"/>
        <w:spacing w:line="600" w:lineRule="exact"/>
        <w:ind w:firstLine="560" w:firstLineChars="200"/>
        <w:jc w:val="both"/>
        <w:rPr>
          <w:rFonts w:hint="eastAsia" w:ascii="仿宋_GB2312" w:hAnsi="仿宋" w:eastAsia="仿宋_GB2312" w:cs="Times New Roman"/>
          <w:kern w:val="2"/>
          <w:sz w:val="28"/>
          <w:szCs w:val="28"/>
          <w:lang w:val="zh-CN" w:eastAsia="zh-CN" w:bidi="ar-SA"/>
        </w:rPr>
      </w:pPr>
      <w:r>
        <w:rPr>
          <w:rFonts w:hint="eastAsia" w:ascii="仿宋_GB2312" w:hAnsi="仿宋" w:eastAsia="仿宋_GB2312" w:cs="Times New Roman"/>
          <w:kern w:val="2"/>
          <w:sz w:val="28"/>
          <w:szCs w:val="28"/>
          <w:lang w:val="zh-CN" w:eastAsia="zh-CN" w:bidi="ar-SA"/>
        </w:rPr>
        <w:t>机构名称：湖北循其本价格鉴定评估有限公司</w:t>
      </w:r>
    </w:p>
    <w:p>
      <w:pPr>
        <w:pStyle w:val="4"/>
        <w:tabs>
          <w:tab w:val="left" w:pos="900"/>
          <w:tab w:val="left" w:pos="1820"/>
          <w:tab w:val="left" w:pos="2740"/>
          <w:tab w:val="left" w:pos="3660"/>
          <w:tab w:val="left" w:pos="5480"/>
          <w:tab w:val="left" w:pos="6400"/>
          <w:tab w:val="left" w:pos="7320"/>
          <w:tab w:val="left" w:pos="8240"/>
          <w:tab w:val="left" w:pos="10060"/>
          <w:tab w:val="left" w:pos="10980"/>
          <w:tab w:val="left" w:pos="11900"/>
          <w:tab w:val="left" w:pos="12820"/>
          <w:tab w:val="left" w:pos="1464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600" w:lineRule="exact"/>
        <w:ind w:firstLine="560" w:firstLineChars="200"/>
        <w:jc w:val="both"/>
        <w:rPr>
          <w:rFonts w:hint="eastAsia" w:ascii="仿宋_GB2312" w:hAnsi="宋体" w:eastAsia="仿宋_GB2312" w:cs="Times New Roman"/>
          <w:kern w:val="2"/>
          <w:sz w:val="28"/>
          <w:szCs w:val="28"/>
          <w:lang w:val="en-US" w:eastAsia="zh-CN" w:bidi="ar-SA"/>
        </w:rPr>
      </w:pPr>
      <w:r>
        <w:rPr>
          <w:rFonts w:hint="eastAsia" w:ascii="仿宋_GB2312" w:hAnsi="仿宋" w:eastAsia="仿宋_GB2312" w:cs="Times New Roman"/>
          <w:kern w:val="2"/>
          <w:sz w:val="28"/>
          <w:szCs w:val="28"/>
          <w:lang w:val="zh-CN" w:eastAsia="zh-CN" w:bidi="ar-SA"/>
        </w:rPr>
        <w:t>机构资质证号：中</w:t>
      </w:r>
      <w:r>
        <w:rPr>
          <w:rFonts w:hint="eastAsia" w:ascii="仿宋_GB2312" w:hAnsi="仿宋" w:eastAsia="仿宋_GB2312" w:cs="Times New Roman"/>
          <w:kern w:val="2"/>
          <w:sz w:val="28"/>
          <w:szCs w:val="28"/>
          <w:lang w:val="en-US" w:eastAsia="zh-CN" w:bidi="ar-SA"/>
        </w:rPr>
        <w:t>J</w:t>
      </w:r>
      <w:r>
        <w:rPr>
          <w:rFonts w:hint="eastAsia" w:ascii="仿宋_GB2312" w:hAnsi="仿宋" w:eastAsia="仿宋_GB2312" w:cs="Times New Roman"/>
          <w:kern w:val="2"/>
          <w:sz w:val="28"/>
          <w:szCs w:val="28"/>
          <w:lang w:val="zh-CN" w:eastAsia="zh-CN" w:bidi="ar-SA"/>
        </w:rPr>
        <w:t>1</w:t>
      </w:r>
      <w:r>
        <w:rPr>
          <w:rFonts w:hint="eastAsia" w:ascii="仿宋_GB2312" w:hAnsi="仿宋" w:eastAsia="仿宋_GB2312" w:cs="Times New Roman"/>
          <w:kern w:val="2"/>
          <w:sz w:val="28"/>
          <w:szCs w:val="28"/>
          <w:lang w:val="en-US" w:eastAsia="zh-CN" w:bidi="ar-SA"/>
        </w:rPr>
        <w:t>7</w:t>
      </w:r>
      <w:r>
        <w:rPr>
          <w:rFonts w:hint="eastAsia" w:ascii="仿宋_GB2312" w:hAnsi="仿宋" w:eastAsia="仿宋_GB2312" w:cs="Times New Roman"/>
          <w:kern w:val="2"/>
          <w:sz w:val="28"/>
          <w:szCs w:val="28"/>
          <w:lang w:val="zh-CN" w:eastAsia="zh-CN" w:bidi="ar-SA"/>
        </w:rPr>
        <w:t>000</w:t>
      </w:r>
      <w:r>
        <w:rPr>
          <w:rFonts w:hint="eastAsia" w:ascii="仿宋_GB2312" w:hAnsi="仿宋" w:eastAsia="仿宋_GB2312" w:cs="Times New Roman"/>
          <w:kern w:val="2"/>
          <w:sz w:val="28"/>
          <w:szCs w:val="28"/>
          <w:lang w:val="en-US" w:eastAsia="zh-CN" w:bidi="ar-SA"/>
        </w:rPr>
        <w:t>4</w:t>
      </w:r>
    </w:p>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b/>
          <w:bCs/>
          <w:sz w:val="30"/>
          <w:szCs w:val="30"/>
          <w:lang w:val="en-US" w:eastAsia="zh-CN"/>
        </w:rPr>
        <w:t xml:space="preserve">   </w:t>
      </w:r>
      <w:r>
        <w:rPr>
          <w:rFonts w:hint="eastAsia" w:ascii="仿宋_GB2312" w:hAnsi="宋体" w:eastAsia="仿宋_GB2312"/>
          <w:b/>
          <w:bCs/>
          <w:sz w:val="28"/>
          <w:szCs w:val="28"/>
          <w:lang w:val="en-US" w:eastAsia="zh-CN"/>
        </w:rPr>
        <w:t>（十二）估价专业人员</w:t>
      </w:r>
      <w:r>
        <w:rPr>
          <w:rFonts w:hint="eastAsia" w:ascii="仿宋_GB2312" w:hAnsi="宋体" w:eastAsia="仿宋_GB2312" w:cs="Times New Roman"/>
          <w:kern w:val="2"/>
          <w:sz w:val="28"/>
          <w:szCs w:val="28"/>
          <w:lang w:val="en-US" w:eastAsia="zh-CN" w:bidi="ar-SA"/>
        </w:rPr>
        <w:t xml:space="preserve">   </w:t>
      </w:r>
    </w:p>
    <w:tbl>
      <w:tblPr>
        <w:tblStyle w:val="8"/>
        <w:tblpPr w:leftFromText="180" w:rightFromText="180" w:vertAnchor="text" w:horzAnchor="page" w:tblpXSpec="center" w:tblpY="81"/>
        <w:tblOverlap w:val="never"/>
        <w:tblW w:w="79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1976"/>
        <w:gridCol w:w="1890"/>
        <w:gridCol w:w="2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186"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姓　名</w:t>
            </w:r>
          </w:p>
        </w:tc>
        <w:tc>
          <w:tcPr>
            <w:tcW w:w="1976"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资格证名称</w:t>
            </w:r>
          </w:p>
        </w:tc>
        <w:tc>
          <w:tcPr>
            <w:tcW w:w="1890"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资格证号</w:t>
            </w:r>
          </w:p>
        </w:tc>
        <w:tc>
          <w:tcPr>
            <w:tcW w:w="2905"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9" w:hRule="atLeast"/>
          <w:jc w:val="center"/>
        </w:trPr>
        <w:tc>
          <w:tcPr>
            <w:tcW w:w="1186"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孙 坚</w:t>
            </w:r>
          </w:p>
        </w:tc>
        <w:tc>
          <w:tcPr>
            <w:tcW w:w="1976"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价格鉴证师</w:t>
            </w:r>
          </w:p>
        </w:tc>
        <w:tc>
          <w:tcPr>
            <w:tcW w:w="1890"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0003035</w:t>
            </w:r>
          </w:p>
        </w:tc>
        <w:tc>
          <w:tcPr>
            <w:tcW w:w="2905"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sz w:val="28"/>
                <w:szCs w:val="28"/>
              </w:rPr>
              <w:drawing>
                <wp:anchor distT="0" distB="0" distL="114300" distR="114300" simplePos="0" relativeHeight="251659264" behindDoc="1" locked="0" layoutInCell="1" allowOverlap="1">
                  <wp:simplePos x="0" y="0"/>
                  <wp:positionH relativeFrom="column">
                    <wp:posOffset>232410</wp:posOffset>
                  </wp:positionH>
                  <wp:positionV relativeFrom="paragraph">
                    <wp:posOffset>174625</wp:posOffset>
                  </wp:positionV>
                  <wp:extent cx="1273810" cy="491490"/>
                  <wp:effectExtent l="0" t="0" r="2540" b="3810"/>
                  <wp:wrapNone/>
                  <wp:docPr id="3" name="图片 2" descr="孙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孙坚"/>
                          <pic:cNvPicPr>
                            <a:picLocks noChangeAspect="1"/>
                          </pic:cNvPicPr>
                        </pic:nvPicPr>
                        <pic:blipFill>
                          <a:blip r:embed="rId7"/>
                          <a:stretch>
                            <a:fillRect/>
                          </a:stretch>
                        </pic:blipFill>
                        <pic:spPr>
                          <a:xfrm>
                            <a:off x="0" y="0"/>
                            <a:ext cx="1273810" cy="491490"/>
                          </a:xfrm>
                          <a:prstGeom prst="rect">
                            <a:avLst/>
                          </a:prstGeom>
                          <a:noFill/>
                          <a:ln w="9525">
                            <a:noFill/>
                            <a:miter/>
                          </a:ln>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4" w:hRule="atLeast"/>
          <w:jc w:val="center"/>
        </w:trPr>
        <w:tc>
          <w:tcPr>
            <w:tcW w:w="1186" w:type="dxa"/>
            <w:vAlign w:val="center"/>
          </w:tcPr>
          <w:p>
            <w:pPr>
              <w:spacing w:line="600" w:lineRule="exact"/>
              <w:jc w:val="center"/>
              <w:rPr>
                <w:rFonts w:hint="eastAsia" w:ascii="仿宋_GB2312" w:hAnsi="仿宋_GB2312" w:eastAsia="仿宋_GB2312" w:cs="仿宋_GB2312"/>
                <w:color w:val="000000"/>
                <w:sz w:val="28"/>
                <w:szCs w:val="28"/>
                <w:highlight w:val="yellow"/>
                <w:lang w:val="zh-CN"/>
              </w:rPr>
            </w:pPr>
            <w:r>
              <w:rPr>
                <w:rStyle w:val="11"/>
                <w:rFonts w:hint="eastAsia" w:ascii="仿宋" w:hAnsi="仿宋" w:eastAsia="仿宋" w:cs="宋体"/>
                <w:color w:val="000000"/>
                <w:sz w:val="28"/>
                <w:szCs w:val="28"/>
                <w:highlight w:val="none"/>
              </w:rPr>
              <w:t>刘汉生</w:t>
            </w:r>
          </w:p>
        </w:tc>
        <w:tc>
          <w:tcPr>
            <w:tcW w:w="1976" w:type="dxa"/>
            <w:vAlign w:val="center"/>
          </w:tcPr>
          <w:p>
            <w:pPr>
              <w:spacing w:line="600" w:lineRule="exact"/>
              <w:jc w:val="center"/>
              <w:rPr>
                <w:rFonts w:hint="eastAsia" w:ascii="仿宋_GB2312" w:hAnsi="仿宋_GB2312" w:eastAsia="仿宋_GB2312" w:cs="仿宋_GB2312"/>
                <w:color w:val="000000"/>
                <w:sz w:val="28"/>
                <w:szCs w:val="28"/>
                <w:highlight w:val="yellow"/>
                <w:lang w:val="zh-CN"/>
              </w:rPr>
            </w:pPr>
            <w:r>
              <w:rPr>
                <w:rStyle w:val="11"/>
                <w:rFonts w:hint="eastAsia" w:ascii="仿宋" w:hAnsi="仿宋" w:eastAsia="仿宋" w:cs="宋体"/>
                <w:color w:val="000000"/>
                <w:sz w:val="28"/>
                <w:szCs w:val="28"/>
                <w:highlight w:val="none"/>
              </w:rPr>
              <w:t>价格鉴证师</w:t>
            </w:r>
          </w:p>
        </w:tc>
        <w:tc>
          <w:tcPr>
            <w:tcW w:w="1890" w:type="dxa"/>
            <w:vAlign w:val="center"/>
          </w:tcPr>
          <w:p>
            <w:pPr>
              <w:spacing w:line="600" w:lineRule="exact"/>
              <w:jc w:val="center"/>
              <w:rPr>
                <w:rFonts w:hint="eastAsia" w:ascii="仿宋_GB2312" w:hAnsi="仿宋_GB2312" w:eastAsia="仿宋_GB2312" w:cs="仿宋_GB2312"/>
                <w:color w:val="000000"/>
                <w:sz w:val="28"/>
                <w:szCs w:val="28"/>
                <w:highlight w:val="yellow"/>
                <w:lang w:val="zh-CN"/>
              </w:rPr>
            </w:pPr>
            <w:r>
              <w:rPr>
                <w:rStyle w:val="11"/>
                <w:rFonts w:hint="eastAsia" w:ascii="仿宋" w:hAnsi="仿宋" w:eastAsia="仿宋" w:cs="宋体"/>
                <w:color w:val="000000"/>
                <w:sz w:val="28"/>
                <w:szCs w:val="28"/>
                <w:highlight w:val="none"/>
              </w:rPr>
              <w:t>0017039</w:t>
            </w:r>
          </w:p>
        </w:tc>
        <w:tc>
          <w:tcPr>
            <w:tcW w:w="2905" w:type="dxa"/>
            <w:vAlign w:val="center"/>
          </w:tcPr>
          <w:p>
            <w:pPr>
              <w:pStyle w:val="4"/>
              <w:jc w:val="center"/>
              <w:rPr>
                <w:rFonts w:hint="eastAsia" w:ascii="仿宋" w:hAnsi="仿宋" w:eastAsia="仿宋"/>
                <w:color w:val="000000"/>
                <w:sz w:val="28"/>
                <w:szCs w:val="28"/>
                <w:highlight w:val="yellow"/>
              </w:rPr>
            </w:pPr>
            <w:r>
              <w:rPr>
                <w:sz w:val="28"/>
                <w:szCs w:val="28"/>
                <w:highlight w:val="yellow"/>
                <w:lang w:val="zh-CN" w:eastAsia="zh-CN"/>
              </w:rPr>
              <w:drawing>
                <wp:anchor distT="0" distB="0" distL="114300" distR="114300" simplePos="0" relativeHeight="251661312" behindDoc="0" locked="0" layoutInCell="1" allowOverlap="1">
                  <wp:simplePos x="0" y="0"/>
                  <wp:positionH relativeFrom="column">
                    <wp:posOffset>172720</wp:posOffset>
                  </wp:positionH>
                  <wp:positionV relativeFrom="paragraph">
                    <wp:posOffset>83185</wp:posOffset>
                  </wp:positionV>
                  <wp:extent cx="1304290" cy="902335"/>
                  <wp:effectExtent l="0" t="0" r="10795" b="0"/>
                  <wp:wrapNone/>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8"/>
                          <a:stretch>
                            <a:fillRect/>
                          </a:stretch>
                        </pic:blipFill>
                        <pic:spPr>
                          <a:xfrm>
                            <a:off x="0" y="0"/>
                            <a:ext cx="1304290" cy="902335"/>
                          </a:xfrm>
                          <a:prstGeom prst="rect">
                            <a:avLst/>
                          </a:prstGeom>
                          <a:noFill/>
                          <a:ln w="9525">
                            <a:noFill/>
                            <a:miter/>
                          </a:ln>
                          <a:effectLst/>
                        </pic:spPr>
                      </pic:pic>
                    </a:graphicData>
                  </a:graphic>
                </wp:anchor>
              </w:drawing>
            </w:r>
          </w:p>
          <w:p>
            <w:pPr>
              <w:pStyle w:val="4"/>
              <w:rPr>
                <w:rFonts w:hint="eastAsia" w:ascii="仿宋_GB2312" w:hAnsi="仿宋_GB2312" w:eastAsia="仿宋_GB2312" w:cs="仿宋_GB2312"/>
                <w:color w:val="000000"/>
                <w:sz w:val="28"/>
                <w:szCs w:val="28"/>
                <w:highlight w:val="yellow"/>
                <w:lang w:val="zh-CN"/>
              </w:rPr>
            </w:pPr>
            <w:r>
              <w:rPr>
                <w:rFonts w:hint="eastAsia" w:ascii="仿宋" w:hAnsi="仿宋" w:eastAsia="仿宋"/>
                <w:color w:val="000000"/>
                <w:sz w:val="28"/>
                <w:szCs w:val="28"/>
                <w:highlight w:val="yellow"/>
              </w:rPr>
              <w:drawing>
                <wp:anchor distT="0" distB="0" distL="114300" distR="114300" simplePos="0" relativeHeight="251662336" behindDoc="0" locked="0" layoutInCell="1" allowOverlap="1">
                  <wp:simplePos x="0" y="0"/>
                  <wp:positionH relativeFrom="column">
                    <wp:posOffset>186690</wp:posOffset>
                  </wp:positionH>
                  <wp:positionV relativeFrom="page">
                    <wp:posOffset>815975</wp:posOffset>
                  </wp:positionV>
                  <wp:extent cx="635" cy="635"/>
                  <wp:effectExtent l="0" t="0" r="0" b="0"/>
                  <wp:wrapNone/>
                  <wp:docPr id="7" name="图片 7" descr="Screenshot_20210124-14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creenshot_20210124-145428"/>
                          <pic:cNvPicPr>
                            <a:picLocks noChangeAspect="1"/>
                          </pic:cNvPicPr>
                        </pic:nvPicPr>
                        <pic:blipFill>
                          <a:blip r:embed="rId9"/>
                          <a:srcRect l="18570" t="17889" r="23581" b="11664"/>
                          <a:stretch>
                            <a:fillRect/>
                          </a:stretch>
                        </pic:blipFill>
                        <pic:spPr>
                          <a:xfrm>
                            <a:off x="0" y="0"/>
                            <a:ext cx="635" cy="635"/>
                          </a:xfrm>
                          <a:prstGeom prst="rect">
                            <a:avLst/>
                          </a:prstGeom>
                          <a:noFill/>
                          <a:ln w="9525">
                            <a:noFill/>
                            <a:miter/>
                          </a:ln>
                          <a:effectLst/>
                        </pic:spPr>
                      </pic:pic>
                    </a:graphicData>
                  </a:graphic>
                </wp:anchor>
              </w:drawing>
            </w:r>
          </w:p>
        </w:tc>
      </w:tr>
    </w:tbl>
    <w:p>
      <w:pPr>
        <w:numPr>
          <w:ilvl w:val="0"/>
          <w:numId w:val="0"/>
        </w:numPr>
        <w:rPr>
          <w:rStyle w:val="11"/>
          <w:rFonts w:hint="eastAsia" w:ascii="仿宋_GB2312" w:hAnsi="仿宋" w:eastAsia="仿宋_GB2312" w:cs="宋体"/>
          <w:b/>
          <w:sz w:val="28"/>
          <w:szCs w:val="28"/>
          <w:highlight w:val="none"/>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highlight w:val="none"/>
          <w:lang w:val="en-US" w:eastAsia="zh-CN"/>
        </w:rPr>
        <w:t>（十三）</w:t>
      </w:r>
      <w:r>
        <w:rPr>
          <w:rFonts w:hint="eastAsia" w:ascii="仿宋_GB2312" w:hAnsi="仿宋" w:eastAsia="仿宋_GB2312"/>
          <w:b/>
          <w:sz w:val="28"/>
          <w:szCs w:val="28"/>
          <w:highlight w:val="none"/>
        </w:rPr>
        <w:t>评估报告日</w:t>
      </w:r>
      <w:r>
        <w:rPr>
          <w:rStyle w:val="11"/>
          <w:rFonts w:hint="eastAsia" w:ascii="仿宋" w:hAnsi="仿宋" w:eastAsia="仿宋_GB2312" w:cs="宋体"/>
          <w:b/>
          <w:sz w:val="28"/>
          <w:szCs w:val="28"/>
          <w:highlight w:val="none"/>
        </w:rPr>
        <w:t> </w:t>
      </w:r>
    </w:p>
    <w:p>
      <w:pPr>
        <w:ind w:firstLine="560" w:firstLineChars="200"/>
        <w:rPr>
          <w:rFonts w:hint="eastAsia" w:ascii="仿宋_GB2312" w:hAnsi="宋体" w:eastAsia="仿宋_GB2312" w:cs="Times New Roman"/>
          <w:kern w:val="2"/>
          <w:sz w:val="28"/>
          <w:szCs w:val="28"/>
          <w:highlight w:val="none"/>
          <w:lang w:val="en-US" w:eastAsia="zh-CN" w:bidi="ar-SA"/>
        </w:rPr>
      </w:pPr>
      <w:r>
        <w:rPr>
          <w:rStyle w:val="11"/>
          <w:rFonts w:hint="eastAsia" w:ascii="仿宋_GB2312" w:hAnsi="仿宋" w:eastAsia="仿宋_GB2312" w:cs="宋体"/>
          <w:sz w:val="28"/>
          <w:szCs w:val="28"/>
          <w:highlight w:val="none"/>
        </w:rPr>
        <w:t>本次出具评估报告日期为20</w:t>
      </w:r>
      <w:r>
        <w:rPr>
          <w:rStyle w:val="11"/>
          <w:rFonts w:hint="eastAsia" w:ascii="仿宋_GB2312" w:hAnsi="仿宋" w:eastAsia="仿宋_GB2312" w:cs="宋体"/>
          <w:sz w:val="28"/>
          <w:szCs w:val="28"/>
          <w:highlight w:val="none"/>
          <w:lang w:val="en-US" w:eastAsia="zh-CN"/>
        </w:rPr>
        <w:t>22</w:t>
      </w:r>
      <w:r>
        <w:rPr>
          <w:rStyle w:val="11"/>
          <w:rFonts w:hint="eastAsia" w:ascii="仿宋_GB2312" w:hAnsi="仿宋" w:eastAsia="仿宋_GB2312" w:cs="宋体"/>
          <w:sz w:val="28"/>
          <w:szCs w:val="28"/>
          <w:highlight w:val="none"/>
        </w:rPr>
        <w:t>年</w:t>
      </w:r>
      <w:r>
        <w:rPr>
          <w:rStyle w:val="11"/>
          <w:rFonts w:hint="eastAsia" w:ascii="仿宋_GB2312" w:hAnsi="仿宋" w:eastAsia="仿宋_GB2312" w:cs="宋体"/>
          <w:sz w:val="28"/>
          <w:szCs w:val="28"/>
          <w:highlight w:val="none"/>
          <w:lang w:val="en-US" w:eastAsia="zh-CN"/>
        </w:rPr>
        <w:t>09</w:t>
      </w:r>
      <w:r>
        <w:rPr>
          <w:rStyle w:val="11"/>
          <w:rFonts w:hint="eastAsia" w:ascii="仿宋_GB2312" w:hAnsi="仿宋" w:eastAsia="仿宋_GB2312" w:cs="宋体"/>
          <w:sz w:val="28"/>
          <w:szCs w:val="28"/>
          <w:highlight w:val="none"/>
        </w:rPr>
        <w:t>月</w:t>
      </w:r>
      <w:r>
        <w:rPr>
          <w:rStyle w:val="11"/>
          <w:rFonts w:hint="eastAsia" w:ascii="仿宋_GB2312" w:hAnsi="仿宋" w:eastAsia="仿宋_GB2312" w:cs="宋体"/>
          <w:sz w:val="28"/>
          <w:szCs w:val="28"/>
          <w:highlight w:val="none"/>
          <w:lang w:val="en-US" w:eastAsia="zh-CN"/>
        </w:rPr>
        <w:t>29</w:t>
      </w:r>
      <w:r>
        <w:rPr>
          <w:rStyle w:val="11"/>
          <w:rFonts w:hint="eastAsia" w:ascii="仿宋_GB2312" w:hAnsi="仿宋" w:eastAsia="仿宋_GB2312" w:cs="宋体"/>
          <w:sz w:val="28"/>
          <w:szCs w:val="28"/>
          <w:highlight w:val="none"/>
        </w:rPr>
        <w:t>日。</w:t>
      </w:r>
      <w:r>
        <w:rPr>
          <w:rFonts w:hint="eastAsia" w:ascii="仿宋_GB2312" w:hAnsi="宋体" w:eastAsia="仿宋_GB2312" w:cs="Times New Roman"/>
          <w:kern w:val="2"/>
          <w:sz w:val="28"/>
          <w:szCs w:val="28"/>
          <w:highlight w:val="none"/>
          <w:lang w:val="en-US" w:eastAsia="zh-CN" w:bidi="ar-SA"/>
        </w:rPr>
        <w:t xml:space="preserve"> </w:t>
      </w:r>
    </w:p>
    <w:p>
      <w:pPr>
        <w:rPr>
          <w:rFonts w:hint="eastAsia" w:ascii="仿宋_GB2312" w:hAnsi="仿宋" w:eastAsia="仿宋_GB2312"/>
          <w:b/>
          <w:sz w:val="28"/>
          <w:szCs w:val="28"/>
          <w:lang w:val="en-US" w:eastAsia="zh-CN"/>
        </w:rPr>
      </w:pPr>
      <w:r>
        <w:rPr>
          <w:rFonts w:hint="eastAsia" w:ascii="仿宋_GB2312" w:hAnsi="仿宋" w:eastAsia="仿宋_GB2312"/>
          <w:b/>
          <w:sz w:val="28"/>
          <w:szCs w:val="28"/>
          <w:lang w:val="en-US" w:eastAsia="zh-CN"/>
        </w:rPr>
        <w:t xml:space="preserve">   （十四）估价报告应用的有效期</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若无特别约定，估价结论有效期为从估价报告完成之日起壹年。超过有效期后需重新估价方可使用。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rFonts w:hint="eastAsia" w:ascii="仿宋" w:hAnsi="仿宋" w:eastAsia="仿宋"/>
          <w:b/>
          <w:bCs/>
          <w:sz w:val="36"/>
          <w:szCs w:val="36"/>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二0二二年九月二十九日</w:t>
      </w:r>
    </w:p>
    <w:p>
      <w:pPr>
        <w:jc w:val="center"/>
        <w:rPr>
          <w:rFonts w:hint="eastAsia" w:ascii="仿宋" w:hAnsi="仿宋" w:eastAsia="仿宋"/>
          <w:b/>
          <w:bCs/>
          <w:sz w:val="36"/>
          <w:szCs w:val="36"/>
          <w:lang w:val="en-US" w:eastAsia="zh-CN"/>
        </w:rPr>
      </w:pPr>
      <w:r>
        <w:rPr>
          <w:rFonts w:hint="eastAsia" w:ascii="仿宋" w:hAnsi="仿宋" w:eastAsia="仿宋"/>
          <w:b/>
          <w:bCs/>
          <w:sz w:val="36"/>
          <w:szCs w:val="36"/>
          <w:lang w:val="en-US" w:eastAsia="zh-CN"/>
        </w:rPr>
        <w:t>湖北金林置业有限公司所有的</w:t>
      </w:r>
    </w:p>
    <w:p>
      <w:pPr>
        <w:jc w:val="center"/>
        <w:rPr>
          <w:rFonts w:hint="eastAsia" w:ascii="仿宋" w:hAnsi="仿宋" w:eastAsia="仿宋"/>
          <w:b/>
          <w:bCs/>
          <w:sz w:val="36"/>
          <w:szCs w:val="36"/>
        </w:rPr>
      </w:pPr>
      <w:r>
        <w:rPr>
          <w:rFonts w:hint="eastAsia" w:ascii="仿宋" w:hAnsi="仿宋" w:eastAsia="仿宋"/>
          <w:b/>
          <w:bCs/>
          <w:sz w:val="36"/>
          <w:szCs w:val="36"/>
          <w:lang w:val="en-US" w:eastAsia="zh-CN"/>
        </w:rPr>
        <w:t>位于孝感市万丰公寓1</w:t>
      </w:r>
      <w:r>
        <w:rPr>
          <w:rFonts w:hint="eastAsia" w:ascii="宋体" w:hAnsi="宋体" w:eastAsia="宋体" w:cs="宋体"/>
          <w:b/>
          <w:bCs/>
          <w:sz w:val="36"/>
          <w:szCs w:val="36"/>
          <w:lang w:val="en-US" w:eastAsia="zh-CN"/>
        </w:rPr>
        <w:t>＃</w:t>
      </w:r>
      <w:r>
        <w:rPr>
          <w:rFonts w:hint="eastAsia" w:ascii="仿宋" w:hAnsi="仿宋" w:eastAsia="仿宋"/>
          <w:b/>
          <w:bCs/>
          <w:sz w:val="36"/>
          <w:szCs w:val="36"/>
          <w:lang w:val="en-US" w:eastAsia="zh-CN"/>
        </w:rPr>
        <w:t>楼401室</w:t>
      </w:r>
      <w:r>
        <w:rPr>
          <w:rFonts w:hint="eastAsia" w:ascii="仿宋" w:hAnsi="仿宋" w:eastAsia="仿宋"/>
          <w:b/>
          <w:bCs/>
          <w:sz w:val="36"/>
          <w:szCs w:val="36"/>
        </w:rPr>
        <w:t>房地产估价技术报告</w:t>
      </w:r>
    </w:p>
    <w:p>
      <w:pPr>
        <w:jc w:val="center"/>
        <w:rPr>
          <w:rFonts w:hint="eastAsia" w:ascii="仿宋" w:hAnsi="仿宋" w:eastAsia="仿宋"/>
          <w:b/>
          <w:bCs/>
          <w:sz w:val="32"/>
          <w:szCs w:val="32"/>
        </w:rPr>
      </w:pPr>
    </w:p>
    <w:p>
      <w:pPr>
        <w:jc w:val="both"/>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一、估价对象实物状况描述与分析</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估价对象座落</w:t>
      </w:r>
      <w:r>
        <w:rPr>
          <w:rFonts w:hint="eastAsia" w:ascii="仿宋_GB2312" w:hAnsi="宋体" w:eastAsia="仿宋_GB2312" w:cs="Times New Roman"/>
          <w:kern w:val="2"/>
          <w:sz w:val="28"/>
          <w:szCs w:val="28"/>
          <w:lang w:val="en-US" w:eastAsia="zh-CN" w:bidi="ar-SA"/>
        </w:rPr>
        <w:t>孝感市黄陂西路</w:t>
      </w:r>
      <w:r>
        <w:rPr>
          <w:rFonts w:hint="eastAsia" w:ascii="仿宋_GB2312" w:hAnsi="宋体" w:eastAsia="仿宋_GB2312" w:cs="Times New Roman"/>
          <w:kern w:val="2"/>
          <w:sz w:val="28"/>
          <w:szCs w:val="28"/>
          <w:highlight w:val="none"/>
          <w:lang w:val="en-US" w:eastAsia="zh-CN" w:bidi="ar-SA"/>
        </w:rPr>
        <w:t>万丰公寓1</w:t>
      </w:r>
      <w:r>
        <w:rPr>
          <w:rFonts w:hint="eastAsia" w:ascii="宋体" w:hAnsi="宋体" w:eastAsia="宋体" w:cs="宋体"/>
          <w:kern w:val="2"/>
          <w:sz w:val="28"/>
          <w:szCs w:val="28"/>
          <w:highlight w:val="none"/>
          <w:lang w:val="en-US" w:eastAsia="zh-CN" w:bidi="ar-SA"/>
        </w:rPr>
        <w:t>＃</w:t>
      </w:r>
      <w:r>
        <w:rPr>
          <w:rFonts w:hint="eastAsia" w:ascii="仿宋_GB2312" w:hAnsi="宋体" w:eastAsia="仿宋_GB2312" w:cs="Times New Roman"/>
          <w:kern w:val="2"/>
          <w:sz w:val="28"/>
          <w:szCs w:val="28"/>
          <w:highlight w:val="none"/>
          <w:lang w:val="en-US" w:eastAsia="zh-CN" w:bidi="ar-SA"/>
        </w:rPr>
        <w:t>楼401室，建于2013年，总层数为14层，第3-14层为成套住宅，第一、二层目前未完全完工，为其他用房；房屋南北朝向，为高层电梯住宅房屋，每层两梯四户，所在层/总层数为4层/14层，经测量建筑面积为124.75㎡，通风采光较好，户型为三室两厅，房屋结构完好、坚固无变形，外观较新；</w:t>
      </w:r>
      <w:r>
        <w:rPr>
          <w:rFonts w:hint="eastAsia" w:ascii="仿宋" w:hAnsi="仿宋" w:eastAsia="仿宋"/>
          <w:color w:val="auto"/>
          <w:sz w:val="28"/>
          <w:szCs w:val="28"/>
          <w:highlight w:val="none"/>
          <w:lang w:val="en-US" w:eastAsia="zh-CN"/>
        </w:rPr>
        <w:t>室内于2019年</w:t>
      </w:r>
      <w:r>
        <w:rPr>
          <w:rFonts w:hint="eastAsia" w:ascii="仿宋" w:hAnsi="仿宋" w:eastAsia="仿宋"/>
          <w:color w:val="auto"/>
          <w:sz w:val="28"/>
          <w:szCs w:val="28"/>
          <w:lang w:val="en-US" w:eastAsia="zh-CN"/>
        </w:rPr>
        <w:t>完成装修，</w:t>
      </w:r>
      <w:r>
        <w:rPr>
          <w:rFonts w:hint="eastAsia" w:ascii="仿宋_GB2312" w:hAnsi="宋体" w:eastAsia="仿宋_GB2312" w:cs="Times New Roman"/>
          <w:kern w:val="2"/>
          <w:sz w:val="28"/>
          <w:szCs w:val="28"/>
          <w:lang w:val="en-US" w:eastAsia="zh-CN" w:bidi="ar-SA"/>
        </w:rPr>
        <w:t>客厅、餐厅地面铺贴地板砖，墙面乳胶漆粉刷，天棚简易吊顶；卧室地面铺贴符合木地板，墙面铺贴部分墙纸，铁硼简易吊顶，做有到顶衣柜，全屋套装木门，</w:t>
      </w:r>
      <w:r>
        <w:rPr>
          <w:rFonts w:hint="eastAsia" w:ascii="仿宋" w:hAnsi="仿宋" w:eastAsia="仿宋"/>
          <w:color w:val="auto"/>
          <w:sz w:val="28"/>
          <w:szCs w:val="28"/>
          <w:lang w:val="en-US" w:eastAsia="zh-CN"/>
        </w:rPr>
        <w:t>为一般精</w:t>
      </w:r>
      <w:r>
        <w:rPr>
          <w:rFonts w:hint="eastAsia" w:ascii="仿宋_GB2312" w:hAnsi="宋体" w:eastAsia="仿宋_GB2312" w:cs="Times New Roman"/>
          <w:kern w:val="2"/>
          <w:sz w:val="28"/>
          <w:szCs w:val="28"/>
          <w:lang w:val="en-US" w:eastAsia="zh-CN" w:bidi="ar-SA"/>
        </w:rPr>
        <w:t>装修。据调查该房屋建房手续不全，委托方及相关当事人未能提供不动产权证书。</w:t>
      </w:r>
    </w:p>
    <w:p>
      <w:pPr>
        <w:numPr>
          <w:ilvl w:val="0"/>
          <w:numId w:val="0"/>
        </w:numPr>
        <w:ind w:firstLine="562"/>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二、估价对象区域因素分析</w:t>
      </w:r>
    </w:p>
    <w:p>
      <w:pPr>
        <w:ind w:firstLine="560" w:firstLineChars="200"/>
      </w:pPr>
      <w:r>
        <w:rPr>
          <w:rFonts w:hint="eastAsia" w:ascii="仿宋_GB2312" w:hAnsi="宋体" w:eastAsia="仿宋_GB2312" w:cs="Times New Roman"/>
          <w:kern w:val="2"/>
          <w:sz w:val="28"/>
          <w:szCs w:val="28"/>
          <w:lang w:val="en-US" w:eastAsia="zh-CN" w:bidi="ar-SA"/>
        </w:rPr>
        <w:t>估价对象位于</w:t>
      </w:r>
      <w:r>
        <w:rPr>
          <w:rFonts w:hint="eastAsia" w:ascii="仿宋_GB2312" w:hAnsi="宋体" w:eastAsia="仿宋_GB2312" w:cs="Times New Roman"/>
          <w:kern w:val="2"/>
          <w:sz w:val="28"/>
          <w:szCs w:val="28"/>
          <w:highlight w:val="none"/>
          <w:lang w:val="en-US" w:eastAsia="zh-CN" w:bidi="ar-SA"/>
        </w:rPr>
        <w:t>孝感市黄陂大道西</w:t>
      </w:r>
      <w:r>
        <w:rPr>
          <w:rFonts w:hint="eastAsia" w:ascii="仿宋_GB2312" w:hAnsi="宋体" w:eastAsia="仿宋_GB2312" w:cs="Times New Roman"/>
          <w:kern w:val="2"/>
          <w:sz w:val="28"/>
          <w:szCs w:val="28"/>
          <w:lang w:val="en-US" w:eastAsia="zh-CN" w:bidi="ar-SA"/>
        </w:rPr>
        <w:t>万丰公寓小区，此小区目前处于停工待建</w:t>
      </w:r>
      <w:r>
        <w:rPr>
          <w:rFonts w:hint="eastAsia" w:ascii="仿宋_GB2312" w:hAnsi="宋体" w:eastAsia="仿宋_GB2312" w:cs="Times New Roman"/>
          <w:kern w:val="2"/>
          <w:sz w:val="28"/>
          <w:szCs w:val="28"/>
          <w:highlight w:val="none"/>
          <w:lang w:val="en-US" w:eastAsia="zh-CN" w:bidi="ar-SA"/>
        </w:rPr>
        <w:t>之中。所在区域属于</w:t>
      </w:r>
      <w:r>
        <w:rPr>
          <w:rFonts w:hint="eastAsia" w:ascii="仿宋" w:hAnsi="仿宋" w:eastAsia="仿宋"/>
          <w:sz w:val="30"/>
          <w:szCs w:val="30"/>
          <w:lang w:eastAsia="zh-CN"/>
        </w:rPr>
        <w:t>孝感市北城区经济核心圈，距离孝感火车站</w:t>
      </w:r>
      <w:r>
        <w:rPr>
          <w:rFonts w:hint="eastAsia" w:ascii="仿宋" w:hAnsi="仿宋" w:eastAsia="仿宋"/>
          <w:sz w:val="30"/>
          <w:szCs w:val="30"/>
          <w:lang w:val="en-US" w:eastAsia="zh-CN"/>
        </w:rPr>
        <w:t>2000米左右，</w:t>
      </w:r>
      <w:r>
        <w:rPr>
          <w:rFonts w:hint="eastAsia" w:ascii="仿宋_GB2312" w:hAnsi="宋体" w:eastAsia="仿宋_GB2312" w:cs="Times New Roman"/>
          <w:kern w:val="2"/>
          <w:sz w:val="28"/>
          <w:szCs w:val="28"/>
          <w:highlight w:val="none"/>
          <w:lang w:val="en-US" w:eastAsia="zh-CN" w:bidi="ar-SA"/>
        </w:rPr>
        <w:t>周</w:t>
      </w:r>
      <w:r>
        <w:rPr>
          <w:rFonts w:hint="eastAsia" w:ascii="仿宋_GB2312" w:hAnsi="宋体" w:eastAsia="仿宋_GB2312" w:cs="Times New Roman"/>
          <w:kern w:val="2"/>
          <w:sz w:val="28"/>
          <w:szCs w:val="28"/>
          <w:lang w:val="en-US" w:eastAsia="zh-CN" w:bidi="ar-SA"/>
        </w:rPr>
        <w:t>边生活、公共设施较为完善，配套较为齐全，</w:t>
      </w:r>
      <w:r>
        <w:rPr>
          <w:rFonts w:hint="eastAsia" w:ascii="仿宋" w:hAnsi="仿宋" w:eastAsia="仿宋"/>
          <w:sz w:val="30"/>
          <w:szCs w:val="30"/>
          <w:lang w:eastAsia="zh-CN"/>
        </w:rPr>
        <w:t>聚集着孝南区车站街道办事处党政机关，设有学校、幼儿园、超市、菜场，人口较稠密，商业较为繁华，</w:t>
      </w:r>
      <w:r>
        <w:rPr>
          <w:rFonts w:hint="eastAsia" w:ascii="仿宋_GB2312" w:hAnsi="宋体" w:eastAsia="仿宋_GB2312" w:cs="Times New Roman"/>
          <w:kern w:val="2"/>
          <w:sz w:val="28"/>
          <w:szCs w:val="28"/>
          <w:lang w:val="en-US" w:eastAsia="zh-CN" w:bidi="ar-SA"/>
        </w:rPr>
        <w:t>有各类大中小型商超、餐饮、休闲和专业银行网点遍布周围；</w:t>
      </w:r>
      <w:r>
        <w:rPr>
          <w:rFonts w:hint="eastAsia" w:ascii="仿宋" w:hAnsi="仿宋" w:eastAsia="仿宋"/>
          <w:sz w:val="30"/>
          <w:szCs w:val="30"/>
          <w:lang w:eastAsia="zh-CN"/>
        </w:rPr>
        <w:t>多路公交车由此通过，交通方便，</w:t>
      </w:r>
      <w:r>
        <w:rPr>
          <w:rFonts w:hint="eastAsia" w:ascii="仿宋" w:hAnsi="仿宋" w:eastAsia="仿宋" w:cs="仿宋"/>
          <w:color w:val="auto"/>
          <w:kern w:val="2"/>
          <w:sz w:val="28"/>
          <w:szCs w:val="28"/>
          <w:lang w:val="en-US" w:eastAsia="zh-CN" w:bidi="ar-SA"/>
        </w:rPr>
        <w:t>购物、休闲、出行、生活较为方便，</w:t>
      </w:r>
      <w:r>
        <w:rPr>
          <w:rFonts w:hint="eastAsia" w:ascii="仿宋" w:hAnsi="仿宋" w:eastAsia="仿宋" w:cs="仿宋"/>
          <w:i w:val="0"/>
          <w:caps w:val="0"/>
          <w:color w:val="333333"/>
          <w:spacing w:val="0"/>
          <w:sz w:val="28"/>
          <w:szCs w:val="28"/>
          <w:u w:val="none"/>
          <w:shd w:val="clear" w:fill="FFFFFF"/>
          <w:lang w:eastAsia="zh-CN"/>
        </w:rPr>
        <w:t>属于城市功能基本齐备的成熟商住区域</w:t>
      </w:r>
      <w:r>
        <w:rPr>
          <w:rFonts w:hint="eastAsia" w:ascii="仿宋" w:hAnsi="仿宋" w:eastAsia="仿宋"/>
          <w:sz w:val="28"/>
          <w:szCs w:val="28"/>
          <w:lang w:eastAsia="zh-CN"/>
        </w:rPr>
        <w:t>。</w:t>
      </w:r>
    </w:p>
    <w:p>
      <w:pPr>
        <w:numPr>
          <w:ilvl w:val="0"/>
          <w:numId w:val="0"/>
        </w:numPr>
        <w:ind w:firstLine="562" w:firstLineChars="200"/>
        <w:rPr>
          <w:rFonts w:ascii="仿宋" w:hAnsi="仿宋" w:eastAsia="仿宋"/>
          <w:sz w:val="30"/>
          <w:szCs w:val="30"/>
        </w:rPr>
      </w:pPr>
      <w:r>
        <w:rPr>
          <w:rFonts w:hint="eastAsia" w:ascii="仿宋_GB2312" w:hAnsi="宋体" w:eastAsia="仿宋_GB2312" w:cs="Times New Roman"/>
          <w:b/>
          <w:bCs/>
          <w:kern w:val="2"/>
          <w:sz w:val="28"/>
          <w:szCs w:val="28"/>
          <w:lang w:val="en-US" w:eastAsia="zh-CN" w:bidi="ar-SA"/>
        </w:rPr>
        <w:t>三、最高最佳使用分析</w:t>
      </w:r>
    </w:p>
    <w:p>
      <w:pPr>
        <w:ind w:firstLine="560" w:firstLineChars="200"/>
        <w:rPr>
          <w:rFonts w:ascii="仿宋" w:hAnsi="仿宋" w:eastAsia="仿宋"/>
          <w:sz w:val="30"/>
          <w:szCs w:val="30"/>
        </w:rPr>
      </w:pPr>
      <w:r>
        <w:rPr>
          <w:rFonts w:hint="eastAsia" w:ascii="仿宋_GB2312" w:hAnsi="宋体" w:eastAsia="仿宋_GB2312" w:cs="Times New Roman"/>
          <w:kern w:val="2"/>
          <w:sz w:val="28"/>
          <w:szCs w:val="28"/>
          <w:lang w:val="en-US" w:eastAsia="zh-CN" w:bidi="ar-SA"/>
        </w:rPr>
        <w:t>最高最佳使用是估价对象的一种最可能的使用，这种最可能的使用方法是法律上允许、技术上可行、经济上合理，经过充分合理的论证，并能给估价对象带来最高价值的使用，它的一种具体表现是以使估价对象获利最多的用途和形式来衡量，也就是说评估价值应当是在合法使用方式下，各种可能的使用方式中，能够获得最大收益的使用方式的估价结果。根据估价对象的个别因素和区位条件，我们认为估价对象的规划用途为其最佳用途，估价对象用途为住宅房地产，并保持其实体现状、持续使用为前提。</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四、估价方法的选用</w:t>
      </w:r>
    </w:p>
    <w:p>
      <w:pPr>
        <w:ind w:firstLine="560" w:firstLineChars="200"/>
        <w:rPr>
          <w:rFonts w:hint="eastAsia" w:ascii="仿宋" w:hAnsi="仿宋" w:eastAsia="仿宋" w:cs="仿宋"/>
          <w:sz w:val="28"/>
          <w:szCs w:val="28"/>
        </w:rPr>
      </w:pPr>
      <w:r>
        <w:rPr>
          <w:rFonts w:hint="eastAsia" w:ascii="仿宋_GB2312" w:hAnsi="宋体" w:eastAsia="仿宋_GB2312" w:cs="Times New Roman"/>
          <w:kern w:val="2"/>
          <w:sz w:val="28"/>
          <w:szCs w:val="28"/>
          <w:lang w:val="en-US" w:eastAsia="zh-CN" w:bidi="ar-SA"/>
        </w:rPr>
        <w:t>估价人员在认真分析所掌握的资料，并对估价对象进行实地勘查以及对周边房地产市场进行调查后，根据估价规范要求以及估价对象的特点、评估目的及宗地所处区域因素等，遵照国家法律、法规和估价技术标准，针对估价对象是住宅房屋，调查房地产中介机构有类似房地产交易案例，并对估价对象进行现场勘验，经过反复研究，我们将估价对象分为毛坯房屋和室内装修两个相对独立部分，分别</w:t>
      </w:r>
      <w:r>
        <w:rPr>
          <w:rFonts w:hint="eastAsia" w:ascii="仿宋" w:hAnsi="仿宋" w:eastAsia="仿宋" w:cs="仿宋"/>
          <w:sz w:val="28"/>
          <w:szCs w:val="28"/>
          <w:highlight w:val="none"/>
          <w:lang w:eastAsia="zh-CN"/>
        </w:rPr>
        <w:t>采用了市场法、成本法进行估价，最后</w:t>
      </w:r>
      <w:r>
        <w:rPr>
          <w:rFonts w:hint="eastAsia" w:ascii="仿宋" w:hAnsi="仿宋" w:eastAsia="仿宋" w:cs="仿宋"/>
          <w:sz w:val="28"/>
          <w:szCs w:val="28"/>
          <w:lang w:eastAsia="zh-CN"/>
        </w:rPr>
        <w:t>综合</w:t>
      </w:r>
      <w:r>
        <w:rPr>
          <w:rFonts w:hint="eastAsia" w:ascii="仿宋" w:hAnsi="仿宋" w:eastAsia="仿宋" w:cs="仿宋"/>
          <w:sz w:val="28"/>
          <w:szCs w:val="28"/>
        </w:rPr>
        <w:t>测算估价对象的公开市场价值。</w:t>
      </w:r>
    </w:p>
    <w:p>
      <w:pPr>
        <w:ind w:firstLine="560" w:firstLineChars="200"/>
        <w:rPr>
          <w:rFonts w:ascii="仿宋" w:hAnsi="仿宋" w:eastAsia="仿宋" w:cs="Arial"/>
          <w:color w:val="333333"/>
          <w:sz w:val="30"/>
          <w:szCs w:val="30"/>
          <w:shd w:val="clear" w:color="auto" w:fill="FFFFFF"/>
        </w:rPr>
      </w:pPr>
      <w:r>
        <w:rPr>
          <w:rFonts w:hint="eastAsia" w:ascii="仿宋_GB2312" w:hAnsi="宋体" w:eastAsia="仿宋_GB2312" w:cs="Times New Roman"/>
          <w:kern w:val="2"/>
          <w:sz w:val="28"/>
          <w:szCs w:val="28"/>
          <w:lang w:val="en-US" w:eastAsia="zh-CN" w:bidi="ar-SA"/>
        </w:rPr>
        <w:t>市场法也称市场价格比较法，是指通过比较被评估资产与最近售出类似资产的异同，并将类似的市场价格进行调整，从而确定被评估资产价值的一种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评估值（比准价格）=可比实例价格×交易情况修正×市场状况调整×房地产状况调整</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成本法是首先估算重新建造全新状态的估价对象所需</w:t>
      </w:r>
      <w:r>
        <w:rPr>
          <w:rFonts w:hint="eastAsia" w:ascii="仿宋" w:hAnsi="仿宋" w:eastAsia="仿宋" w:cs="仿宋"/>
          <w:sz w:val="28"/>
          <w:szCs w:val="28"/>
          <w:lang w:eastAsia="zh-CN"/>
        </w:rPr>
        <w:t>各项费用，求取估价时点的重新建造价格，</w:t>
      </w:r>
      <w:r>
        <w:rPr>
          <w:rFonts w:hint="eastAsia" w:ascii="仿宋" w:hAnsi="仿宋" w:eastAsia="仿宋" w:cs="仿宋"/>
          <w:sz w:val="28"/>
          <w:szCs w:val="28"/>
        </w:rPr>
        <w:t>再结合成新率估算出估价对象的市场价格。</w:t>
      </w:r>
    </w:p>
    <w:p>
      <w:pPr>
        <w:ind w:firstLine="560" w:firstLineChars="200"/>
        <w:rPr>
          <w:rFonts w:hint="eastAsia" w:ascii="仿宋_GB2312" w:hAnsi="仿宋" w:eastAsia="仿宋_GB2312"/>
          <w:b/>
          <w:sz w:val="28"/>
          <w:szCs w:val="28"/>
          <w:lang w:val="en-US" w:eastAsia="zh-CN"/>
        </w:rPr>
      </w:pPr>
      <w:r>
        <w:rPr>
          <w:rFonts w:hint="eastAsia" w:ascii="仿宋" w:hAnsi="仿宋" w:eastAsia="仿宋" w:cs="仿宋"/>
          <w:sz w:val="28"/>
          <w:szCs w:val="28"/>
        </w:rPr>
        <w:t>评估值=重新建</w:t>
      </w:r>
      <w:r>
        <w:rPr>
          <w:rFonts w:hint="eastAsia" w:ascii="仿宋" w:hAnsi="仿宋" w:eastAsia="仿宋" w:cs="仿宋"/>
          <w:sz w:val="28"/>
          <w:szCs w:val="28"/>
          <w:lang w:eastAsia="zh-CN"/>
        </w:rPr>
        <w:t>造</w:t>
      </w:r>
      <w:r>
        <w:rPr>
          <w:rFonts w:hint="eastAsia" w:ascii="仿宋" w:hAnsi="仿宋" w:eastAsia="仿宋" w:cs="仿宋"/>
          <w:sz w:val="28"/>
          <w:szCs w:val="28"/>
        </w:rPr>
        <w:t>价格×成新率</w:t>
      </w:r>
      <w:r>
        <w:rPr>
          <w:rFonts w:hint="eastAsia" w:ascii="仿宋_GB2312" w:hAnsi="仿宋" w:eastAsia="仿宋_GB2312"/>
          <w:b/>
          <w:sz w:val="28"/>
          <w:szCs w:val="28"/>
          <w:lang w:val="en-US" w:eastAsia="zh-CN"/>
        </w:rPr>
        <w:t xml:space="preserve">  </w:t>
      </w:r>
    </w:p>
    <w:p>
      <w:pPr>
        <w:ind w:firstLine="562" w:firstLineChars="20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b/>
          <w:bCs/>
          <w:kern w:val="2"/>
          <w:sz w:val="28"/>
          <w:szCs w:val="28"/>
          <w:highlight w:val="none"/>
          <w:lang w:val="en-US" w:eastAsia="zh-CN" w:bidi="ar-SA"/>
        </w:rPr>
        <w:t>五、估价过程</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接受委托后，我们会同委托人及相关当事人对估价对象进行了实地勘查，随后开展了广泛的市场调查，采用市场法、成本法进行了估价测算，左后综合确定估价结果。</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（一）毛坯房屋价格的评估</w:t>
      </w:r>
    </w:p>
    <w:p>
      <w:pPr>
        <w:numPr>
          <w:ilvl w:val="0"/>
          <w:numId w:val="0"/>
        </w:num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1、比较实例选择</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针对估价对象的功能和特点，根据替代原则，按用途相同、土地级别相同、价格类型相同等特点，对与估价对象在同一区域内的类似住宅进行了市场调查和比较分析，按照估价要求，筛选三个可比实例。</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实例A：红光银都世纪城住宅，2016年建成，总层数19层，所在层4层，3室2厅2卫，南北朝向，毛坯，建筑面积123平米，拟交易总价45万，折合单价约为3659元/平米，拟交易日期2022年06月份。</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实例B：红光银都世纪城住宅，2016年建成，总层数23层，所在层16层，3室2厅1卫，南北朝向，毛坯，建筑面积110平米，拟交易总价36万，折合单价约为3273元/平米，拟交易日期2022年09月份。</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实例C：红光银都世纪城住宅，2018年建成，总层数19层，所在层4层，2室2厅1卫，南北朝向，毛坯，建筑面积99.7平米，拟交易总价35万，折合单价约为3511元/平米，拟交易日期2022年08月份。</w:t>
      </w:r>
    </w:p>
    <w:p>
      <w:pPr>
        <w:numPr>
          <w:ilvl w:val="0"/>
          <w:numId w:val="0"/>
        </w:num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2、比较因素条件说明</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估价对象和比较实例的比较因素条件说明见表1。</w:t>
      </w:r>
    </w:p>
    <w:p>
      <w:pPr>
        <w:numPr>
          <w:ilvl w:val="0"/>
          <w:numId w:val="0"/>
        </w:numPr>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比较因素条件说明表1</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2054"/>
        <w:gridCol w:w="1424"/>
        <w:gridCol w:w="1575"/>
        <w:gridCol w:w="1564"/>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3321" w:type="dxa"/>
            <w:gridSpan w:val="2"/>
            <w:vAlign w:val="top"/>
          </w:tcPr>
          <w:p>
            <w:pPr>
              <w:snapToGrid w:val="0"/>
              <w:spacing w:line="24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424" w:type="dxa"/>
            <w:vAlign w:val="center"/>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估价对象</w:t>
            </w:r>
          </w:p>
        </w:tc>
        <w:tc>
          <w:tcPr>
            <w:tcW w:w="1575" w:type="dxa"/>
            <w:vAlign w:val="center"/>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可比案例A</w:t>
            </w:r>
          </w:p>
        </w:tc>
        <w:tc>
          <w:tcPr>
            <w:tcW w:w="1564" w:type="dxa"/>
            <w:vAlign w:val="center"/>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可比案例B</w:t>
            </w:r>
          </w:p>
        </w:tc>
        <w:tc>
          <w:tcPr>
            <w:tcW w:w="1633" w:type="dxa"/>
            <w:vAlign w:val="center"/>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3321" w:type="dxa"/>
            <w:gridSpan w:val="2"/>
            <w:vAlign w:val="center"/>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座 落位 置</w:t>
            </w:r>
          </w:p>
        </w:tc>
        <w:tc>
          <w:tcPr>
            <w:tcW w:w="1424" w:type="dxa"/>
            <w:vAlign w:val="center"/>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万丰公寓</w:t>
            </w:r>
          </w:p>
          <w:p>
            <w:pPr>
              <w:numPr>
                <w:ilvl w:val="0"/>
                <w:numId w:val="0"/>
              </w:numPr>
              <w:ind w:left="0" w:leftChars="0" w:firstLine="0" w:firstLineChars="0"/>
              <w:jc w:val="center"/>
              <w:rPr>
                <w:rFonts w:hint="default" w:ascii="仿宋" w:hAnsi="仿宋" w:eastAsia="仿宋" w:cs="仿宋"/>
                <w:sz w:val="28"/>
                <w:szCs w:val="28"/>
                <w:vertAlign w:val="baseline"/>
                <w:lang w:val="en-US" w:eastAsia="zh-CN"/>
              </w:rPr>
            </w:pPr>
            <w:r>
              <w:rPr>
                <w:rFonts w:hint="eastAsia" w:ascii="仿宋" w:hAnsi="仿宋" w:eastAsia="仿宋" w:cs="仿宋"/>
                <w:sz w:val="24"/>
                <w:szCs w:val="24"/>
                <w:vertAlign w:val="baseline"/>
                <w:lang w:val="en-US" w:eastAsia="zh-CN"/>
              </w:rPr>
              <w:t>1栋401室</w:t>
            </w:r>
          </w:p>
        </w:tc>
        <w:tc>
          <w:tcPr>
            <w:tcW w:w="1575" w:type="dxa"/>
            <w:vAlign w:val="top"/>
          </w:tcPr>
          <w:p>
            <w:pPr>
              <w:numPr>
                <w:ilvl w:val="0"/>
                <w:numId w:val="0"/>
              </w:numPr>
              <w:spacing w:line="240" w:lineRule="auto"/>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红光银都</w:t>
            </w:r>
          </w:p>
          <w:p>
            <w:pPr>
              <w:numPr>
                <w:ilvl w:val="0"/>
                <w:numId w:val="0"/>
              </w:numPr>
              <w:spacing w:line="240" w:lineRule="auto"/>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世纪城</w:t>
            </w:r>
          </w:p>
        </w:tc>
        <w:tc>
          <w:tcPr>
            <w:tcW w:w="1564" w:type="dxa"/>
            <w:vAlign w:val="top"/>
          </w:tcPr>
          <w:p>
            <w:pPr>
              <w:numPr>
                <w:ilvl w:val="0"/>
                <w:numId w:val="0"/>
              </w:numPr>
              <w:spacing w:line="240" w:lineRule="auto"/>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红光银都</w:t>
            </w:r>
          </w:p>
          <w:p>
            <w:pPr>
              <w:numPr>
                <w:ilvl w:val="0"/>
                <w:numId w:val="0"/>
              </w:numPr>
              <w:spacing w:line="240" w:lineRule="auto"/>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世纪城</w:t>
            </w:r>
          </w:p>
        </w:tc>
        <w:tc>
          <w:tcPr>
            <w:tcW w:w="1633" w:type="dxa"/>
            <w:vAlign w:val="top"/>
          </w:tcPr>
          <w:p>
            <w:pPr>
              <w:numPr>
                <w:ilvl w:val="0"/>
                <w:numId w:val="0"/>
              </w:numPr>
              <w:spacing w:line="240" w:lineRule="auto"/>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红光银都</w:t>
            </w:r>
          </w:p>
          <w:p>
            <w:pPr>
              <w:numPr>
                <w:ilvl w:val="0"/>
                <w:numId w:val="0"/>
              </w:numPr>
              <w:spacing w:line="240" w:lineRule="auto"/>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世纪城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楼盘名称</w:t>
            </w:r>
          </w:p>
        </w:tc>
        <w:tc>
          <w:tcPr>
            <w:tcW w:w="1424" w:type="dxa"/>
            <w:vAlign w:val="center"/>
          </w:tcPr>
          <w:p>
            <w:pPr>
              <w:numPr>
                <w:ilvl w:val="0"/>
                <w:numId w:val="0"/>
              </w:numPr>
              <w:ind w:left="0" w:leftChars="0" w:firstLine="0" w:firstLineChars="0"/>
              <w:jc w:val="center"/>
              <w:rPr>
                <w:rFonts w:hint="default" w:ascii="仿宋" w:hAnsi="仿宋" w:eastAsia="仿宋" w:cs="仿宋"/>
                <w:sz w:val="28"/>
                <w:szCs w:val="28"/>
                <w:vertAlign w:val="baseline"/>
                <w:lang w:val="en-US" w:eastAsia="zh-CN"/>
              </w:rPr>
            </w:pPr>
            <w:r>
              <w:rPr>
                <w:rFonts w:hint="eastAsia" w:ascii="仿宋" w:hAnsi="仿宋" w:eastAsia="仿宋" w:cs="仿宋"/>
                <w:sz w:val="24"/>
                <w:szCs w:val="24"/>
                <w:vertAlign w:val="baseline"/>
                <w:lang w:val="en-US" w:eastAsia="zh-CN"/>
              </w:rPr>
              <w:t>万丰公寓</w:t>
            </w:r>
          </w:p>
        </w:tc>
        <w:tc>
          <w:tcPr>
            <w:tcW w:w="1575" w:type="dxa"/>
            <w:vAlign w:val="top"/>
          </w:tcPr>
          <w:p>
            <w:pPr>
              <w:numPr>
                <w:ilvl w:val="0"/>
                <w:numId w:val="0"/>
              </w:numPr>
              <w:spacing w:line="240" w:lineRule="auto"/>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红光银都</w:t>
            </w:r>
          </w:p>
          <w:p>
            <w:pPr>
              <w:numPr>
                <w:ilvl w:val="0"/>
                <w:numId w:val="0"/>
              </w:numPr>
              <w:spacing w:line="240" w:lineRule="auto"/>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sz w:val="24"/>
                <w:szCs w:val="24"/>
                <w:vertAlign w:val="baseline"/>
                <w:lang w:val="en-US" w:eastAsia="zh-CN"/>
              </w:rPr>
              <w:t>世纪城</w:t>
            </w:r>
          </w:p>
        </w:tc>
        <w:tc>
          <w:tcPr>
            <w:tcW w:w="1564" w:type="dxa"/>
            <w:vAlign w:val="top"/>
          </w:tcPr>
          <w:p>
            <w:pPr>
              <w:numPr>
                <w:ilvl w:val="0"/>
                <w:numId w:val="0"/>
              </w:numPr>
              <w:spacing w:line="240" w:lineRule="auto"/>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红光银都</w:t>
            </w:r>
          </w:p>
          <w:p>
            <w:pPr>
              <w:numPr>
                <w:ilvl w:val="0"/>
                <w:numId w:val="0"/>
              </w:numPr>
              <w:spacing w:line="240" w:lineRule="auto"/>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sz w:val="24"/>
                <w:szCs w:val="24"/>
                <w:vertAlign w:val="baseline"/>
                <w:lang w:val="en-US" w:eastAsia="zh-CN"/>
              </w:rPr>
              <w:t>世纪城</w:t>
            </w:r>
          </w:p>
        </w:tc>
        <w:tc>
          <w:tcPr>
            <w:tcW w:w="1633" w:type="dxa"/>
            <w:vAlign w:val="top"/>
          </w:tcPr>
          <w:p>
            <w:pPr>
              <w:numPr>
                <w:ilvl w:val="0"/>
                <w:numId w:val="0"/>
              </w:numPr>
              <w:spacing w:line="240" w:lineRule="auto"/>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红光银都</w:t>
            </w:r>
          </w:p>
          <w:p>
            <w:pPr>
              <w:numPr>
                <w:ilvl w:val="0"/>
                <w:numId w:val="0"/>
              </w:numPr>
              <w:spacing w:line="240" w:lineRule="auto"/>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sz w:val="24"/>
                <w:szCs w:val="24"/>
                <w:vertAlign w:val="baseline"/>
                <w:lang w:val="en-US" w:eastAsia="zh-CN"/>
              </w:rPr>
              <w:t>世纪城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成交单价（元/</w:t>
            </w:r>
            <w:r>
              <w:rPr>
                <w:rFonts w:hint="eastAsia" w:ascii="仿宋" w:hAnsi="仿宋" w:eastAsia="仿宋" w:cs="仿宋"/>
                <w:color w:val="auto"/>
                <w:sz w:val="28"/>
                <w:szCs w:val="28"/>
                <w:lang w:val="en-US" w:eastAsia="zh-CN"/>
              </w:rPr>
              <w:t>M</w:t>
            </w:r>
            <w:r>
              <w:rPr>
                <w:rFonts w:hint="eastAsia" w:ascii="仿宋" w:hAnsi="仿宋" w:eastAsia="仿宋" w:cs="仿宋"/>
                <w:color w:val="auto"/>
                <w:sz w:val="28"/>
                <w:szCs w:val="28"/>
                <w:vertAlign w:val="superscript"/>
                <w:lang w:val="en-US" w:eastAsia="zh-CN"/>
              </w:rPr>
              <w:t>2</w:t>
            </w:r>
            <w:r>
              <w:rPr>
                <w:rFonts w:hint="eastAsia" w:ascii="仿宋" w:hAnsi="仿宋" w:eastAsia="仿宋" w:cs="仿宋"/>
                <w:sz w:val="28"/>
                <w:szCs w:val="28"/>
                <w:vertAlign w:val="baseline"/>
                <w:lang w:val="en-US" w:eastAsia="zh-CN"/>
              </w:rPr>
              <w:t>)</w:t>
            </w:r>
          </w:p>
        </w:tc>
        <w:tc>
          <w:tcPr>
            <w:tcW w:w="142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w:t>
            </w:r>
          </w:p>
        </w:tc>
        <w:tc>
          <w:tcPr>
            <w:tcW w:w="1575" w:type="dxa"/>
            <w:vAlign w:val="top"/>
          </w:tcPr>
          <w:p>
            <w:pPr>
              <w:jc w:val="center"/>
              <w:rPr>
                <w:rFonts w:hint="default"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3659</w:t>
            </w:r>
          </w:p>
        </w:tc>
        <w:tc>
          <w:tcPr>
            <w:tcW w:w="1564" w:type="dxa"/>
            <w:vAlign w:val="top"/>
          </w:tcPr>
          <w:p>
            <w:pPr>
              <w:jc w:val="center"/>
              <w:rPr>
                <w:rFonts w:hint="default"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3273</w:t>
            </w:r>
          </w:p>
        </w:tc>
        <w:tc>
          <w:tcPr>
            <w:tcW w:w="1633" w:type="dxa"/>
            <w:vAlign w:val="top"/>
          </w:tcPr>
          <w:p>
            <w:pPr>
              <w:jc w:val="center"/>
              <w:rPr>
                <w:rFonts w:hint="default"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3511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情况</w:t>
            </w: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交易情况</w:t>
            </w:r>
          </w:p>
        </w:tc>
        <w:tc>
          <w:tcPr>
            <w:tcW w:w="142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正常</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正常</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类型</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二手房</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二手房</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二手房</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二手房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市场</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状况</w:t>
            </w: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交易日期</w:t>
            </w:r>
          </w:p>
        </w:tc>
        <w:tc>
          <w:tcPr>
            <w:tcW w:w="142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2022.09</w:t>
            </w:r>
          </w:p>
        </w:tc>
        <w:tc>
          <w:tcPr>
            <w:tcW w:w="1575"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2022.06</w:t>
            </w:r>
          </w:p>
        </w:tc>
        <w:tc>
          <w:tcPr>
            <w:tcW w:w="156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2022.09</w:t>
            </w:r>
          </w:p>
        </w:tc>
        <w:tc>
          <w:tcPr>
            <w:tcW w:w="1633"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2022.08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4"/>
                <w:szCs w:val="24"/>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修正系数</w:t>
            </w:r>
          </w:p>
        </w:tc>
        <w:tc>
          <w:tcPr>
            <w:tcW w:w="142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75"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6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区域繁华程度</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较繁华</w:t>
            </w:r>
          </w:p>
        </w:tc>
        <w:tc>
          <w:tcPr>
            <w:tcW w:w="1575"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较繁华</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较繁华</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较繁华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交通便捷程度</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便捷</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便捷</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便捷</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便捷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完善</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完善</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完善</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区域环境景观</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绿地覆盖度</w:t>
            </w:r>
          </w:p>
        </w:tc>
        <w:tc>
          <w:tcPr>
            <w:tcW w:w="142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575"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56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633"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城市规划</w:t>
            </w:r>
          </w:p>
        </w:tc>
        <w:tc>
          <w:tcPr>
            <w:tcW w:w="142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75"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6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633"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权益状况说明</w:t>
            </w: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房产类型</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商品房</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商品房</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商品房</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商品房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权属情况</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有瑕疵</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建筑结构</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混合</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混合</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混合</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临街状态</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不临街</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不临街</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不临街</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不临街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所在层/总层数</w:t>
            </w:r>
          </w:p>
        </w:tc>
        <w:tc>
          <w:tcPr>
            <w:tcW w:w="142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4/14</w:t>
            </w:r>
          </w:p>
        </w:tc>
        <w:tc>
          <w:tcPr>
            <w:tcW w:w="1575"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4/19</w:t>
            </w:r>
          </w:p>
        </w:tc>
        <w:tc>
          <w:tcPr>
            <w:tcW w:w="156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16/23</w:t>
            </w:r>
          </w:p>
        </w:tc>
        <w:tc>
          <w:tcPr>
            <w:tcW w:w="1633"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面积大小</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适中</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适中</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适中</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适中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布局户型</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三房二厅</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三房二厅</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三房二厅</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二房二厅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装修情况</w:t>
            </w:r>
          </w:p>
        </w:tc>
        <w:tc>
          <w:tcPr>
            <w:tcW w:w="142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毛坯</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毛坯</w:t>
            </w:r>
          </w:p>
        </w:tc>
        <w:tc>
          <w:tcPr>
            <w:tcW w:w="156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毛坯</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毛坯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朝</w:t>
            </w:r>
            <w:r>
              <w:rPr>
                <w:rFonts w:hint="eastAsia" w:ascii="仿宋" w:hAnsi="仿宋" w:eastAsia="仿宋" w:cs="仿宋"/>
                <w:sz w:val="24"/>
                <w:szCs w:val="24"/>
                <w:vertAlign w:val="baseline"/>
                <w:lang w:val="en-US" w:eastAsia="zh-CN"/>
              </w:rPr>
              <w:t>向及采光通风</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vertAlign w:val="baseline"/>
                <w:lang w:val="en-US" w:eastAsia="zh-CN"/>
              </w:rPr>
              <w:t>南北，好</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vertAlign w:val="baseline"/>
                <w:lang w:val="en-US" w:eastAsia="zh-CN"/>
              </w:rPr>
              <w:t>南北，一般</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vertAlign w:val="baseline"/>
                <w:lang w:val="en-US" w:eastAsia="zh-CN"/>
              </w:rPr>
              <w:t>南北，好</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vertAlign w:val="baseline"/>
                <w:lang w:val="en-US" w:eastAsia="zh-CN"/>
              </w:rPr>
              <w:t>南北，好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层高</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标准层高</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标准层高</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标准层高</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标准层高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新旧程度</w:t>
            </w:r>
          </w:p>
        </w:tc>
        <w:tc>
          <w:tcPr>
            <w:tcW w:w="142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82%</w:t>
            </w:r>
          </w:p>
        </w:tc>
        <w:tc>
          <w:tcPr>
            <w:tcW w:w="1575"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88%</w:t>
            </w:r>
          </w:p>
        </w:tc>
        <w:tc>
          <w:tcPr>
            <w:tcW w:w="156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88%</w:t>
            </w:r>
          </w:p>
        </w:tc>
        <w:tc>
          <w:tcPr>
            <w:tcW w:w="1633"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物业管理</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无</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ind w:firstLine="280" w:firstLineChars="100"/>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噪 音</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院内，小</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院内，小</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院内，小</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院内，小</w:t>
            </w:r>
          </w:p>
        </w:tc>
      </w:tr>
    </w:tbl>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3、编制比较因素修正指数表</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根据估价对象与比较实例各种因素具体情况，编制比较因素修正指数表，见表2。</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比较因素条件指数表</w:t>
      </w:r>
      <w:r>
        <w:rPr>
          <w:rFonts w:hint="eastAsia" w:ascii="仿宋" w:hAnsi="仿宋" w:eastAsia="仿宋" w:cs="仿宋"/>
          <w:sz w:val="30"/>
          <w:szCs w:val="30"/>
          <w:lang w:val="en-US" w:eastAsia="zh-CN"/>
        </w:rPr>
        <w:t>2</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424"/>
        <w:gridCol w:w="1589"/>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2" w:hRule="atLeast"/>
        </w:trPr>
        <w:tc>
          <w:tcPr>
            <w:tcW w:w="3321" w:type="dxa"/>
            <w:gridSpan w:val="2"/>
            <w:vAlign w:val="top"/>
          </w:tcPr>
          <w:p>
            <w:pPr>
              <w:snapToGrid w:val="0"/>
              <w:spacing w:line="24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424" w:type="dxa"/>
            <w:vAlign w:val="center"/>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估价对象</w:t>
            </w:r>
          </w:p>
        </w:tc>
        <w:tc>
          <w:tcPr>
            <w:tcW w:w="1589" w:type="dxa"/>
            <w:vAlign w:val="center"/>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可比案例A</w:t>
            </w:r>
          </w:p>
        </w:tc>
        <w:tc>
          <w:tcPr>
            <w:tcW w:w="1550" w:type="dxa"/>
            <w:vAlign w:val="center"/>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可比案例B</w:t>
            </w:r>
          </w:p>
        </w:tc>
        <w:tc>
          <w:tcPr>
            <w:tcW w:w="1633" w:type="dxa"/>
            <w:vAlign w:val="center"/>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成交单价（元/平米）</w:t>
            </w:r>
          </w:p>
        </w:tc>
        <w:tc>
          <w:tcPr>
            <w:tcW w:w="142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w:t>
            </w:r>
          </w:p>
        </w:tc>
        <w:tc>
          <w:tcPr>
            <w:tcW w:w="1589"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highlight w:val="none"/>
                <w:vertAlign w:val="baseline"/>
                <w:lang w:val="en-US" w:eastAsia="zh-CN"/>
              </w:rPr>
              <w:t>3659</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highlight w:val="none"/>
                <w:vertAlign w:val="baseline"/>
                <w:lang w:val="en-US" w:eastAsia="zh-CN"/>
              </w:rPr>
              <w:t>3273</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highlight w:val="none"/>
                <w:vertAlign w:val="baseline"/>
                <w:lang w:val="en-US" w:eastAsia="zh-CN"/>
              </w:rPr>
              <w:t>3511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情况</w:t>
            </w: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交易情况</w:t>
            </w:r>
          </w:p>
        </w:tc>
        <w:tc>
          <w:tcPr>
            <w:tcW w:w="142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类型</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市场状况</w:t>
            </w:r>
          </w:p>
        </w:tc>
        <w:tc>
          <w:tcPr>
            <w:tcW w:w="142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8"/>
                <w:szCs w:val="28"/>
                <w:vertAlign w:val="baseline"/>
                <w:lang w:val="en-US" w:eastAsia="zh-CN"/>
              </w:rPr>
            </w:pPr>
          </w:p>
          <w:p>
            <w:pPr>
              <w:ind w:firstLine="280" w:firstLineChars="100"/>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w:t>
            </w:r>
          </w:p>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状况</w:t>
            </w:r>
          </w:p>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说明</w:t>
            </w:r>
          </w:p>
        </w:tc>
        <w:tc>
          <w:tcPr>
            <w:tcW w:w="21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区域繁华程度</w:t>
            </w:r>
          </w:p>
        </w:tc>
        <w:tc>
          <w:tcPr>
            <w:tcW w:w="142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8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交通便捷程度</w:t>
            </w:r>
          </w:p>
        </w:tc>
        <w:tc>
          <w:tcPr>
            <w:tcW w:w="142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424"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89"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区域环境景观</w:t>
            </w:r>
          </w:p>
        </w:tc>
        <w:tc>
          <w:tcPr>
            <w:tcW w:w="142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绿地覆盖度</w:t>
            </w:r>
          </w:p>
        </w:tc>
        <w:tc>
          <w:tcPr>
            <w:tcW w:w="142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城市规划</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小计</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restart"/>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房产类型</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权属清晰情况</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8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115</w:t>
            </w:r>
          </w:p>
        </w:tc>
        <w:tc>
          <w:tcPr>
            <w:tcW w:w="155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115</w:t>
            </w:r>
          </w:p>
        </w:tc>
        <w:tc>
          <w:tcPr>
            <w:tcW w:w="1633"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建筑结构</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临街状态</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所在楼层</w:t>
            </w:r>
          </w:p>
        </w:tc>
        <w:tc>
          <w:tcPr>
            <w:tcW w:w="1424"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c>
          <w:tcPr>
            <w:tcW w:w="1589"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105</w:t>
            </w:r>
          </w:p>
        </w:tc>
        <w:tc>
          <w:tcPr>
            <w:tcW w:w="16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面积大小</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布局户型</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装修情况</w:t>
            </w:r>
          </w:p>
        </w:tc>
        <w:tc>
          <w:tcPr>
            <w:tcW w:w="1424"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c>
          <w:tcPr>
            <w:tcW w:w="16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朝</w:t>
            </w:r>
            <w:r>
              <w:rPr>
                <w:rFonts w:hint="eastAsia" w:ascii="仿宋" w:hAnsi="仿宋" w:eastAsia="仿宋" w:cs="仿宋"/>
                <w:sz w:val="24"/>
                <w:szCs w:val="24"/>
                <w:vertAlign w:val="baseline"/>
                <w:lang w:val="en-US" w:eastAsia="zh-CN"/>
              </w:rPr>
              <w:t>向及采光通风</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633"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层高</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新旧程度</w:t>
            </w:r>
          </w:p>
        </w:tc>
        <w:tc>
          <w:tcPr>
            <w:tcW w:w="142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101</w:t>
            </w:r>
          </w:p>
        </w:tc>
        <w:tc>
          <w:tcPr>
            <w:tcW w:w="155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101</w:t>
            </w:r>
          </w:p>
        </w:tc>
        <w:tc>
          <w:tcPr>
            <w:tcW w:w="1633"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280" w:firstLineChars="100"/>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物业管理</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102</w:t>
            </w:r>
          </w:p>
        </w:tc>
        <w:tc>
          <w:tcPr>
            <w:tcW w:w="155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102</w:t>
            </w:r>
          </w:p>
        </w:tc>
        <w:tc>
          <w:tcPr>
            <w:tcW w:w="1633"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560" w:firstLineChars="200"/>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噪音</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560" w:firstLineChars="200"/>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小计</w:t>
            </w:r>
          </w:p>
        </w:tc>
        <w:tc>
          <w:tcPr>
            <w:tcW w:w="142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8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103</w:t>
            </w:r>
          </w:p>
        </w:tc>
        <w:tc>
          <w:tcPr>
            <w:tcW w:w="155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108</w:t>
            </w:r>
          </w:p>
        </w:tc>
        <w:tc>
          <w:tcPr>
            <w:tcW w:w="1633"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104</w:t>
            </w: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4、比较因素修正系数确定</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在因素条件指数表的基础上，将估价对象的因素条件指数与可比实例的因素条件指数进行比较，得到比较因素修正系数，见表3。</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比较因素修正系数表</w:t>
      </w:r>
      <w:r>
        <w:rPr>
          <w:rFonts w:hint="eastAsia" w:ascii="仿宋" w:hAnsi="仿宋" w:eastAsia="仿宋" w:cs="仿宋"/>
          <w:sz w:val="30"/>
          <w:szCs w:val="30"/>
          <w:lang w:val="en-US" w:eastAsia="zh-CN"/>
        </w:rPr>
        <w:t>3</w:t>
      </w:r>
    </w:p>
    <w:tbl>
      <w:tblPr>
        <w:tblStyle w:val="9"/>
        <w:tblW w:w="97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454"/>
        <w:gridCol w:w="1559"/>
        <w:gridCol w:w="1550"/>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7" w:hRule="atLeast"/>
        </w:trPr>
        <w:tc>
          <w:tcPr>
            <w:tcW w:w="3321" w:type="dxa"/>
            <w:gridSpan w:val="2"/>
            <w:vAlign w:val="top"/>
          </w:tcPr>
          <w:p>
            <w:pPr>
              <w:snapToGrid w:val="0"/>
              <w:spacing w:line="24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454"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w:t>
            </w:r>
          </w:p>
        </w:tc>
        <w:tc>
          <w:tcPr>
            <w:tcW w:w="1559" w:type="dxa"/>
            <w:vAlign w:val="top"/>
          </w:tcPr>
          <w:p>
            <w:pPr>
              <w:spacing w:line="72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可比案例A</w:t>
            </w:r>
          </w:p>
        </w:tc>
        <w:tc>
          <w:tcPr>
            <w:tcW w:w="1550" w:type="dxa"/>
            <w:vAlign w:val="top"/>
          </w:tcPr>
          <w:p>
            <w:pPr>
              <w:spacing w:line="72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可比案例B</w:t>
            </w:r>
          </w:p>
        </w:tc>
        <w:tc>
          <w:tcPr>
            <w:tcW w:w="1833" w:type="dxa"/>
            <w:vAlign w:val="top"/>
          </w:tcPr>
          <w:p>
            <w:pPr>
              <w:spacing w:line="72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成交单价（元/平米）</w:t>
            </w:r>
          </w:p>
        </w:tc>
        <w:tc>
          <w:tcPr>
            <w:tcW w:w="145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w:t>
            </w:r>
          </w:p>
        </w:tc>
        <w:tc>
          <w:tcPr>
            <w:tcW w:w="155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highlight w:val="none"/>
                <w:vertAlign w:val="baseline"/>
                <w:lang w:val="en-US" w:eastAsia="zh-CN"/>
              </w:rPr>
              <w:t>3659</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highlight w:val="none"/>
                <w:vertAlign w:val="baseline"/>
                <w:lang w:val="en-US" w:eastAsia="zh-CN"/>
              </w:rPr>
              <w:t>3273</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highlight w:val="none"/>
                <w:vertAlign w:val="baseline"/>
                <w:lang w:val="en-US" w:eastAsia="zh-CN"/>
              </w:rPr>
              <w:t>3511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情况</w:t>
            </w: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交易情况</w:t>
            </w:r>
          </w:p>
        </w:tc>
        <w:tc>
          <w:tcPr>
            <w:tcW w:w="1454" w:type="dxa"/>
            <w:vAlign w:val="top"/>
          </w:tcPr>
          <w:p>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59"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50"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833"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类型</w:t>
            </w:r>
          </w:p>
        </w:tc>
        <w:tc>
          <w:tcPr>
            <w:tcW w:w="1454"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59"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50"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833"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市场状况调整系数</w:t>
            </w:r>
          </w:p>
        </w:tc>
        <w:tc>
          <w:tcPr>
            <w:tcW w:w="1454" w:type="dxa"/>
            <w:vAlign w:val="top"/>
          </w:tcPr>
          <w:p>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59"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50" w:type="dxa"/>
            <w:vAlign w:val="top"/>
          </w:tcPr>
          <w:p>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833"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区域状况调整系数</w:t>
            </w:r>
          </w:p>
        </w:tc>
        <w:tc>
          <w:tcPr>
            <w:tcW w:w="1454"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59"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50"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833"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权益状况调整系数</w:t>
            </w:r>
          </w:p>
        </w:tc>
        <w:tc>
          <w:tcPr>
            <w:tcW w:w="1454" w:type="dxa"/>
            <w:vAlign w:val="top"/>
          </w:tcPr>
          <w:p>
            <w:pPr>
              <w:jc w:val="center"/>
              <w:rPr>
                <w:rFonts w:hint="eastAsia"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highlight w:val="none"/>
                <w:vertAlign w:val="baseline"/>
                <w:lang w:val="en-US" w:eastAsia="zh-CN"/>
              </w:rPr>
              <w:t>100</w:t>
            </w:r>
          </w:p>
        </w:tc>
        <w:tc>
          <w:tcPr>
            <w:tcW w:w="1559" w:type="dxa"/>
            <w:vAlign w:val="top"/>
          </w:tcPr>
          <w:p>
            <w:pPr>
              <w:jc w:val="center"/>
              <w:rPr>
                <w:rFonts w:hint="default"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highlight w:val="none"/>
                <w:vertAlign w:val="baseline"/>
                <w:lang w:val="en-US" w:eastAsia="zh-CN"/>
              </w:rPr>
              <w:t>115</w:t>
            </w:r>
          </w:p>
        </w:tc>
        <w:tc>
          <w:tcPr>
            <w:tcW w:w="1550" w:type="dxa"/>
            <w:vAlign w:val="top"/>
          </w:tcPr>
          <w:p>
            <w:pPr>
              <w:jc w:val="center"/>
              <w:rPr>
                <w:rFonts w:hint="default"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highlight w:val="none"/>
                <w:vertAlign w:val="baseline"/>
                <w:lang w:val="en-US" w:eastAsia="zh-CN"/>
              </w:rPr>
              <w:t>115</w:t>
            </w:r>
          </w:p>
        </w:tc>
        <w:tc>
          <w:tcPr>
            <w:tcW w:w="1833" w:type="dxa"/>
            <w:vAlign w:val="top"/>
          </w:tcPr>
          <w:p>
            <w:pPr>
              <w:jc w:val="center"/>
              <w:rPr>
                <w:rFonts w:hint="default"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highlight w:val="none"/>
                <w:vertAlign w:val="baseline"/>
                <w:lang w:val="en-US" w:eastAsia="zh-CN"/>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实物状况调整系数</w:t>
            </w:r>
          </w:p>
        </w:tc>
        <w:tc>
          <w:tcPr>
            <w:tcW w:w="1454"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9"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103</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108</w:t>
            </w:r>
          </w:p>
        </w:tc>
        <w:tc>
          <w:tcPr>
            <w:tcW w:w="18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比准价格（元/平米）</w:t>
            </w:r>
          </w:p>
        </w:tc>
        <w:tc>
          <w:tcPr>
            <w:tcW w:w="1454"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w:t>
            </w:r>
          </w:p>
        </w:tc>
        <w:tc>
          <w:tcPr>
            <w:tcW w:w="1559"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3089</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2635</w:t>
            </w:r>
          </w:p>
        </w:tc>
        <w:tc>
          <w:tcPr>
            <w:tcW w:w="18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2936</w:t>
            </w:r>
          </w:p>
        </w:tc>
      </w:tr>
    </w:tbl>
    <w:p>
      <w:pPr>
        <w:numPr>
          <w:ilvl w:val="0"/>
          <w:numId w:val="0"/>
        </w:numPr>
        <w:ind w:firstLine="600" w:firstLineChars="2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5、求取估价对象价值</w:t>
      </w:r>
    </w:p>
    <w:p>
      <w:p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可比实例A、B、C与估价对象条件因素相当类似，但比准价格相差很大，因此采取加权算数平均值的求取方法估算其评估价格。经分析，可比实例A、B、C的权重分别为40%、20%、40%。</w:t>
      </w:r>
    </w:p>
    <w:p>
      <w:pPr>
        <w:ind w:firstLine="560" w:firstLineChars="200"/>
        <w:rPr>
          <w:rFonts w:hint="eastAsia" w:ascii="仿宋" w:hAnsi="仿宋" w:eastAsia="仿宋" w:cs="仿宋"/>
          <w:kern w:val="2"/>
          <w:sz w:val="28"/>
          <w:szCs w:val="28"/>
          <w:lang w:val="en-US" w:eastAsia="zh-CN" w:bidi="ar-SA"/>
        </w:rPr>
      </w:pPr>
      <w:r>
        <w:rPr>
          <w:rFonts w:hint="eastAsia" w:ascii="仿宋_GB2312" w:hAnsi="宋体" w:eastAsia="仿宋_GB2312" w:cs="Times New Roman"/>
          <w:kern w:val="2"/>
          <w:sz w:val="28"/>
          <w:szCs w:val="28"/>
          <w:lang w:val="en-US" w:eastAsia="zh-CN" w:bidi="ar-SA"/>
        </w:rPr>
        <w:t>评估单价=3089</w:t>
      </w:r>
      <w:r>
        <w:rPr>
          <w:rFonts w:hint="eastAsia" w:ascii="仿宋" w:hAnsi="仿宋" w:eastAsia="仿宋" w:cs="仿宋"/>
          <w:kern w:val="2"/>
          <w:sz w:val="28"/>
          <w:szCs w:val="28"/>
          <w:lang w:val="en-US" w:eastAsia="zh-CN" w:bidi="ar-SA"/>
        </w:rPr>
        <w:t>×40%+2635×20%+2936×40%=2937(元/平米)</w:t>
      </w:r>
    </w:p>
    <w:p>
      <w:pPr>
        <w:ind w:firstLine="560" w:firstLineChars="200"/>
        <w:rPr>
          <w:rFonts w:hint="eastAsia" w:ascii="仿宋" w:hAnsi="仿宋" w:eastAsia="仿宋" w:cs="仿宋"/>
          <w:b w:val="0"/>
          <w:bCs w:val="0"/>
          <w:kern w:val="2"/>
          <w:sz w:val="28"/>
          <w:szCs w:val="28"/>
          <w:lang w:val="en-US" w:eastAsia="zh-CN" w:bidi="ar-SA"/>
        </w:rPr>
      </w:pPr>
      <w:r>
        <w:rPr>
          <w:rFonts w:hint="eastAsia" w:ascii="仿宋" w:hAnsi="仿宋" w:eastAsia="仿宋" w:cs="仿宋"/>
          <w:kern w:val="2"/>
          <w:sz w:val="28"/>
          <w:szCs w:val="28"/>
          <w:lang w:val="en-US" w:eastAsia="zh-CN" w:bidi="ar-SA"/>
        </w:rPr>
        <w:t>毛坯房屋评估值=2937×</w:t>
      </w:r>
      <w:r>
        <w:rPr>
          <w:rFonts w:hint="eastAsia" w:ascii="仿宋_GB2312" w:hAnsi="宋体" w:eastAsia="仿宋_GB2312" w:cs="Times New Roman"/>
          <w:kern w:val="2"/>
          <w:sz w:val="28"/>
          <w:szCs w:val="28"/>
          <w:highlight w:val="none"/>
          <w:lang w:val="en-US" w:eastAsia="zh-CN" w:bidi="ar-SA"/>
        </w:rPr>
        <w:t>124.75</w:t>
      </w:r>
      <w:r>
        <w:rPr>
          <w:rFonts w:hint="eastAsia" w:ascii="仿宋" w:hAnsi="仿宋" w:eastAsia="仿宋" w:cs="仿宋"/>
          <w:b w:val="0"/>
          <w:bCs w:val="0"/>
          <w:kern w:val="2"/>
          <w:sz w:val="28"/>
          <w:szCs w:val="28"/>
          <w:lang w:val="en-US" w:eastAsia="zh-CN" w:bidi="ar-SA"/>
        </w:rPr>
        <w:t>≈366391（元）</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 w:hAnsi="仿宋" w:eastAsia="仿宋" w:cs="仿宋"/>
          <w:b w:val="0"/>
          <w:bCs w:val="0"/>
          <w:kern w:val="2"/>
          <w:sz w:val="28"/>
          <w:szCs w:val="28"/>
          <w:lang w:val="en-US" w:eastAsia="zh-CN" w:bidi="ar-SA"/>
        </w:rPr>
        <w:t>（二）室内装修费用的评估</w:t>
      </w:r>
    </w:p>
    <w:p>
      <w:pPr>
        <w:numPr>
          <w:ilvl w:val="0"/>
          <w:numId w:val="0"/>
        </w:numPr>
        <w:ind w:firstLine="560" w:firstLineChars="200"/>
        <w:jc w:val="both"/>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1、重置价格的确定：经现场实物勘验，估价对象房屋室内为一般精装修。经广泛市场调查，一般住宅房屋类似精装修价格为800-1200元/㎡。因此确定估价对象房屋装修重置价格为1100元/㎡。</w:t>
      </w:r>
    </w:p>
    <w:p>
      <w:pPr>
        <w:numPr>
          <w:ilvl w:val="0"/>
          <w:numId w:val="0"/>
        </w:numPr>
        <w:ind w:firstLine="560" w:firstLineChars="200"/>
        <w:jc w:val="both"/>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2、成新率的确定：估价对象房屋于2019年完成装修，至估价时点止已经使用3年；根据相关规定，此类房屋装修经济耐用参考年限为8-10年，故确定估价对象房屋折旧年限为9年。因此计算其成新率为1-3/9×100%=66.7%。</w:t>
      </w:r>
    </w:p>
    <w:p>
      <w:pPr>
        <w:numPr>
          <w:ilvl w:val="0"/>
          <w:numId w:val="0"/>
        </w:numPr>
        <w:ind w:firstLine="560" w:firstLineChars="200"/>
        <w:jc w:val="both"/>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3、评估值的确定：</w:t>
      </w:r>
    </w:p>
    <w:p>
      <w:pPr>
        <w:numPr>
          <w:ilvl w:val="0"/>
          <w:numId w:val="0"/>
        </w:numPr>
        <w:ind w:firstLine="560" w:firstLineChars="200"/>
        <w:jc w:val="both"/>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装修费用评估值=1100×66.7%×124.75</w:t>
      </w:r>
      <w:r>
        <w:rPr>
          <w:rFonts w:hint="eastAsia" w:ascii="仿宋_GB2312" w:hAnsi="宋体" w:eastAsia="仿宋_GB2312" w:cs="Times New Roman"/>
          <w:kern w:val="2"/>
          <w:sz w:val="28"/>
          <w:szCs w:val="28"/>
          <w:highlight w:val="none"/>
          <w:lang w:val="en-US" w:eastAsia="zh-CN" w:bidi="ar-SA"/>
        </w:rPr>
        <w:t>=91529（元）</w:t>
      </w:r>
    </w:p>
    <w:p>
      <w:pPr>
        <w:numPr>
          <w:ilvl w:val="0"/>
          <w:numId w:val="0"/>
        </w:numPr>
        <w:ind w:firstLine="560" w:firstLineChars="200"/>
        <w:jc w:val="both"/>
        <w:rPr>
          <w:rFonts w:hint="eastAsia" w:ascii="仿宋_GB2312" w:hAnsi="宋体" w:eastAsia="仿宋_GB2312" w:cs="Times New Roman"/>
          <w:b/>
          <w:bCs/>
          <w:kern w:val="2"/>
          <w:sz w:val="28"/>
          <w:szCs w:val="28"/>
          <w:lang w:val="en-US" w:eastAsia="zh-CN" w:bidi="ar-SA"/>
        </w:rPr>
      </w:pPr>
      <w:r>
        <w:rPr>
          <w:rFonts w:hint="eastAsia" w:ascii="仿宋" w:hAnsi="仿宋" w:eastAsia="仿宋"/>
          <w:sz w:val="28"/>
          <w:szCs w:val="28"/>
          <w:highlight w:val="none"/>
          <w:lang w:val="en-US" w:eastAsia="zh-CN"/>
        </w:rPr>
        <w:t>综上，</w:t>
      </w:r>
      <w:r>
        <w:rPr>
          <w:rFonts w:hint="eastAsia" w:ascii="仿宋_GB2312" w:hAnsi="宋体" w:eastAsia="仿宋_GB2312" w:cs="Times New Roman"/>
          <w:kern w:val="2"/>
          <w:sz w:val="28"/>
          <w:szCs w:val="28"/>
          <w:highlight w:val="none"/>
          <w:lang w:val="en-US" w:eastAsia="zh-CN" w:bidi="ar-SA"/>
        </w:rPr>
        <w:t>估价对象</w:t>
      </w:r>
      <w:r>
        <w:rPr>
          <w:rFonts w:hint="eastAsia" w:ascii="仿宋" w:hAnsi="仿宋" w:eastAsia="仿宋"/>
          <w:sz w:val="28"/>
          <w:szCs w:val="28"/>
          <w:highlight w:val="none"/>
          <w:lang w:eastAsia="zh-CN"/>
        </w:rPr>
        <w:t>房屋评估值为</w:t>
      </w:r>
      <w:r>
        <w:rPr>
          <w:rFonts w:hint="eastAsia" w:ascii="仿宋" w:hAnsi="仿宋" w:eastAsia="仿宋" w:cs="仿宋"/>
          <w:b w:val="0"/>
          <w:bCs w:val="0"/>
          <w:kern w:val="2"/>
          <w:sz w:val="28"/>
          <w:szCs w:val="28"/>
          <w:lang w:val="en-US" w:eastAsia="zh-CN" w:bidi="ar-SA"/>
        </w:rPr>
        <w:t>366391</w:t>
      </w:r>
      <w:r>
        <w:rPr>
          <w:rFonts w:hint="eastAsia" w:ascii="仿宋_GB2312" w:hAnsi="宋体" w:eastAsia="仿宋_GB2312" w:cs="Times New Roman"/>
          <w:kern w:val="2"/>
          <w:sz w:val="28"/>
          <w:szCs w:val="28"/>
          <w:lang w:val="en-US" w:eastAsia="zh-CN" w:bidi="ar-SA"/>
        </w:rPr>
        <w:t>+</w:t>
      </w:r>
      <w:r>
        <w:rPr>
          <w:rFonts w:hint="eastAsia" w:ascii="仿宋_GB2312" w:hAnsi="宋体" w:eastAsia="仿宋_GB2312" w:cs="Times New Roman"/>
          <w:kern w:val="2"/>
          <w:sz w:val="28"/>
          <w:szCs w:val="28"/>
          <w:highlight w:val="none"/>
          <w:lang w:val="en-US" w:eastAsia="zh-CN" w:bidi="ar-SA"/>
        </w:rPr>
        <w:t>91529</w:t>
      </w:r>
      <w:r>
        <w:rPr>
          <w:rFonts w:hint="eastAsia" w:ascii="仿宋" w:hAnsi="仿宋" w:eastAsia="仿宋"/>
          <w:sz w:val="28"/>
          <w:szCs w:val="28"/>
          <w:highlight w:val="none"/>
          <w:lang w:val="en-US" w:eastAsia="zh-CN"/>
        </w:rPr>
        <w:t>=457920元。</w:t>
      </w:r>
    </w:p>
    <w:p>
      <w:pPr>
        <w:ind w:firstLine="562" w:firstLineChars="200"/>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六、估价结果确定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估价人员根据估价目的，遵循估价原则，按照规定估价程序和估价方法，经过具体测算，确定估价对象在估价时点可能形成的市场价值为</w:t>
      </w:r>
      <w:r>
        <w:rPr>
          <w:rFonts w:hint="eastAsia" w:ascii="仿宋_GB2312" w:hAnsi="宋体" w:eastAsia="仿宋_GB2312" w:cs="Times New Roman"/>
          <w:kern w:val="2"/>
          <w:sz w:val="28"/>
          <w:szCs w:val="28"/>
          <w:highlight w:val="none"/>
          <w:lang w:val="en-US" w:eastAsia="zh-CN" w:bidi="ar-SA"/>
        </w:rPr>
        <w:t>￥457920</w:t>
      </w:r>
      <w:r>
        <w:rPr>
          <w:rFonts w:hint="eastAsia" w:ascii="仿宋_GB2312" w:hAnsi="宋体" w:eastAsia="仿宋_GB2312" w:cs="Times New Roman"/>
          <w:kern w:val="2"/>
          <w:sz w:val="28"/>
          <w:szCs w:val="28"/>
          <w:lang w:val="en-US" w:eastAsia="zh-CN" w:bidi="ar-SA"/>
        </w:rPr>
        <w:t xml:space="preserve">元(大写人民币肆拾伍万柒仟玖佰贰拾元整)。其中：毛坯房屋评估值为366391元，室内装修费用为91529元。                                                   </w:t>
      </w:r>
    </w:p>
    <w:p>
      <w:pPr>
        <w:ind w:firstLine="4200" w:firstLineChars="1500"/>
        <w:rPr>
          <w:rFonts w:hint="eastAsia" w:ascii="仿宋_GB2312" w:hAnsi="宋体" w:eastAsia="仿宋_GB2312" w:cs="Times New Roman"/>
          <w:kern w:val="2"/>
          <w:sz w:val="28"/>
          <w:szCs w:val="28"/>
          <w:lang w:val="en-US" w:eastAsia="zh-CN" w:bidi="ar-SA"/>
        </w:rPr>
      </w:pPr>
    </w:p>
    <w:p>
      <w:pPr>
        <w:ind w:firstLine="4200" w:firstLineChars="1500"/>
        <w:rPr>
          <w:rFonts w:hint="eastAsia" w:ascii="仿宋_GB2312" w:hAnsi="宋体" w:eastAsia="仿宋_GB2312" w:cs="Times New Roman"/>
          <w:kern w:val="2"/>
          <w:sz w:val="28"/>
          <w:szCs w:val="28"/>
          <w:lang w:val="en-US" w:eastAsia="zh-CN" w:bidi="ar-SA"/>
        </w:rPr>
      </w:pPr>
    </w:p>
    <w:p>
      <w:pPr>
        <w:ind w:firstLine="4200" w:firstLineChars="15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highlight w:val="none"/>
        </w:rPr>
      </w:pPr>
      <w:r>
        <w:rPr>
          <w:rFonts w:hint="eastAsia" w:ascii="仿宋_GB2312" w:hAnsi="宋体" w:eastAsia="仿宋_GB2312" w:cs="Times New Roman"/>
          <w:kern w:val="2"/>
          <w:sz w:val="28"/>
          <w:szCs w:val="28"/>
          <w:highlight w:val="none"/>
          <w:lang w:val="en-US" w:eastAsia="zh-CN" w:bidi="ar-SA"/>
        </w:rPr>
        <w:t xml:space="preserve">                                  二0二二年九月二十九日</w:t>
      </w:r>
    </w:p>
    <w:p>
      <w:pPr/>
    </w:p>
    <w:sectPr>
      <w:headerReference r:id="rId3" w:type="default"/>
      <w:footerReference r:id="rId4" w:type="default"/>
      <w:footerReference r:id="rId5" w:type="even"/>
      <w:pgSz w:w="11906" w:h="16838"/>
      <w:pgMar w:top="1644" w:right="1520" w:bottom="1361" w:left="15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仿宋">
    <w:panose1 w:val="02010609060101010101"/>
    <w:charset w:val="86"/>
    <w:family w:val="swiss"/>
    <w:pitch w:val="default"/>
    <w:sig w:usb0="800002BF" w:usb1="38CF7CFA" w:usb2="00000016" w:usb3="00000000" w:csb0="00040001" w:csb1="00000000"/>
  </w:font>
  <w:font w:name="仿宋_GB2312">
    <w:altName w:val="仿宋"/>
    <w:panose1 w:val="02010609030001010101"/>
    <w:charset w:val="86"/>
    <w:family w:val="roma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roman"/>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10002FF" w:usb1="4000ACFF" w:usb2="00000009"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仿宋">
    <w:panose1 w:val="02010609060101010101"/>
    <w:charset w:val="86"/>
    <w:family w:val="decorative"/>
    <w:pitch w:val="default"/>
    <w:sig w:usb0="800002BF" w:usb1="38CF7CFA" w:usb2="00000016" w:usb3="00000000" w:csb0="00040001" w:csb1="00000000"/>
  </w:font>
  <w:font w:name="仿宋_GB2312">
    <w:altName w:val="仿宋"/>
    <w:panose1 w:val="020106090300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rPr>
        <w:rFonts w:hint="eastAsia" w:ascii="宋体" w:hAnsi="宋体"/>
        <w:color w:val="000000"/>
        <w:sz w:val="18"/>
        <w:szCs w:val="18"/>
      </w:rPr>
    </w:pPr>
    <w:r>
      <w:rPr>
        <w:rFonts w:hint="eastAsia"/>
        <w:u w:val="single"/>
      </w:rPr>
      <w:t xml:space="preserve">                                                                                            </w:t>
    </w:r>
    <w:r>
      <w:rPr>
        <w:rFonts w:hint="eastAsia" w:ascii="宋体" w:hAnsi="宋体"/>
        <w:sz w:val="18"/>
        <w:szCs w:val="18"/>
      </w:rPr>
      <w:t>公司名称：</w:t>
    </w:r>
    <w:r>
      <w:rPr>
        <w:rFonts w:hint="eastAsia" w:ascii="宋体" w:hAnsi="宋体"/>
        <w:color w:val="000000"/>
        <w:sz w:val="18"/>
        <w:szCs w:val="18"/>
      </w:rPr>
      <w:t>湖北循其本价格鉴定评估有限公司</w:t>
    </w:r>
  </w:p>
  <w:p>
    <w:pPr/>
    <w:r>
      <w:rPr>
        <w:rFonts w:hint="eastAsia" w:ascii="宋体" w:hAnsi="宋体"/>
        <w:sz w:val="18"/>
        <w:szCs w:val="18"/>
      </w:rPr>
      <w:t>网址：</w:t>
    </w:r>
    <w:r>
      <w:rPr>
        <w:rFonts w:ascii="宋体" w:hAnsi="宋体"/>
        <w:sz w:val="18"/>
        <w:szCs w:val="18"/>
      </w:rPr>
      <w:fldChar w:fldCharType="begin"/>
    </w:r>
    <w:r>
      <w:rPr>
        <w:rFonts w:ascii="宋体" w:hAnsi="宋体"/>
        <w:sz w:val="18"/>
        <w:szCs w:val="18"/>
      </w:rPr>
      <w:instrText xml:space="preserve"> HYPERLINK "http://</w:instrText>
    </w:r>
    <w:r>
      <w:rPr>
        <w:rFonts w:hint="eastAsia" w:ascii="宋体" w:hAnsi="宋体"/>
        <w:sz w:val="18"/>
        <w:szCs w:val="18"/>
      </w:rPr>
      <w:instrText xml:space="preserve">www.xqb.cn.com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www.xqb.cn.com</w:t>
    </w:r>
    <w:r>
      <w:rPr>
        <w:rFonts w:ascii="宋体" w:hAnsi="宋体"/>
        <w:sz w:val="18"/>
        <w:szCs w:val="18"/>
      </w:rPr>
      <w:fldChar w:fldCharType="end"/>
    </w:r>
    <w:r>
      <w:rPr>
        <w:rFonts w:hint="eastAsia" w:ascii="宋体" w:hAnsi="宋体"/>
        <w:sz w:val="18"/>
        <w:szCs w:val="18"/>
      </w:rPr>
      <w:t xml:space="preserve">   邮箱：</w:t>
    </w:r>
    <w:r>
      <w:rPr>
        <w:rFonts w:ascii="宋体" w:hAnsi="宋体"/>
        <w:sz w:val="18"/>
        <w:szCs w:val="18"/>
      </w:rPr>
      <w:fldChar w:fldCharType="begin"/>
    </w:r>
    <w:r>
      <w:rPr>
        <w:rFonts w:ascii="宋体" w:hAnsi="宋体"/>
        <w:sz w:val="18"/>
        <w:szCs w:val="18"/>
      </w:rPr>
      <w:instrText xml:space="preserve"> HYPERLINK "mailto:</w:instrText>
    </w:r>
    <w:r>
      <w:rPr>
        <w:rFonts w:hint="eastAsia" w:ascii="宋体" w:hAnsi="宋体"/>
        <w:sz w:val="18"/>
        <w:szCs w:val="18"/>
      </w:rPr>
      <w:instrText xml:space="preserve">boss@xqb.cn.com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boss@xqb.cn.com</w:t>
    </w:r>
    <w:r>
      <w:rPr>
        <w:rFonts w:ascii="宋体" w:hAnsi="宋体"/>
        <w:sz w:val="18"/>
        <w:szCs w:val="18"/>
      </w:rPr>
      <w:fldChar w:fldCharType="end"/>
    </w:r>
    <w:r>
      <w:rPr>
        <w:rFonts w:hint="eastAsia" w:ascii="宋体" w:hAnsi="宋体"/>
        <w:sz w:val="18"/>
        <w:szCs w:val="18"/>
      </w:rPr>
      <w:t>　　</w:t>
    </w:r>
    <w:r>
      <w:rPr>
        <w:rFonts w:hint="eastAsia"/>
      </w:rPr>
      <w:t>　               　　　　</w:t>
    </w:r>
    <w:r>
      <w:rPr>
        <w:rFonts w:hint="eastAsia"/>
        <w:lang w:val="en-US" w:eastAsia="zh-CN"/>
      </w:rPr>
      <w:t xml:space="preserve">  </w:t>
    </w:r>
    <w:r>
      <w:rPr>
        <w:rFonts w:hint="eastAsia"/>
      </w:rPr>
      <w:t>　第</w:t>
    </w:r>
    <w:r>
      <w:rPr>
        <w:sz w:val="18"/>
        <w:szCs w:val="18"/>
      </w:rPr>
      <w:fldChar w:fldCharType="begin"/>
    </w:r>
    <w:r>
      <w:rPr>
        <w:rStyle w:val="6"/>
        <w:sz w:val="18"/>
        <w:szCs w:val="18"/>
      </w:rPr>
      <w:instrText xml:space="preserve"> PAGE </w:instrText>
    </w:r>
    <w:r>
      <w:rPr>
        <w:sz w:val="18"/>
        <w:szCs w:val="18"/>
      </w:rPr>
      <w:fldChar w:fldCharType="separate"/>
    </w:r>
    <w:r>
      <w:rPr>
        <w:rStyle w:val="6"/>
        <w:sz w:val="18"/>
        <w:szCs w:val="18"/>
      </w:rPr>
      <w:t>1</w:t>
    </w:r>
    <w:r>
      <w:rPr>
        <w:sz w:val="18"/>
        <w:szCs w:val="18"/>
      </w:rPr>
      <w:fldChar w:fldCharType="end"/>
    </w:r>
    <w:r>
      <w:rPr>
        <w:rStyle w:val="6"/>
        <w:rFonts w:hint="eastAsia"/>
        <w:sz w:val="18"/>
        <w:szCs w:val="18"/>
      </w:rPr>
      <w:t>页  共</w:t>
    </w:r>
    <w:r>
      <w:rPr>
        <w:rStyle w:val="6"/>
        <w:rFonts w:hint="eastAsia"/>
        <w:sz w:val="18"/>
        <w:szCs w:val="18"/>
        <w:lang w:val="en-US" w:eastAsia="zh-CN"/>
      </w:rPr>
      <w:t>20</w:t>
    </w:r>
    <w:r>
      <w:rPr>
        <w:rStyle w:val="6"/>
        <w:rFonts w:hint="eastAsia"/>
        <w:sz w:val="18"/>
        <w:szCs w:val="18"/>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2"/>
      <w:framePr w:wrap="around" w:vAnchor="text" w:hAnchor="margin" w:xAlign="center" w:y="1"/>
      <w:rPr>
        <w:rStyle w:val="6"/>
      </w:rPr>
    </w:pPr>
    <w:r>
      <w:fldChar w:fldCharType="begin"/>
    </w:r>
    <w:r>
      <w:rPr>
        <w:rStyle w:val="6"/>
      </w:rPr>
      <w:instrText xml:space="preserve">PAGE  </w:instrText>
    </w:r>
    <w:r>
      <w:fldChar w:fldCharType="separate"/>
    </w:r>
    <w:r>
      <w:rPr>
        <w:rStyle w:val="6"/>
      </w:rPr>
      <w:t>5</w:t>
    </w:r>
    <w:r>
      <w:fldChar w:fldCharType="end"/>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pBdr>
        <w:bottom w:val="none" w:color="auto" w:sz="0" w:space="0"/>
      </w:pBdr>
      <w:rPr>
        <w:rFonts w:hint="eastAsia"/>
      </w:rPr>
    </w:pPr>
  </w:p>
  <w:p>
    <w:pPr>
      <w:rPr>
        <w:rFonts w:hint="eastAsia" w:ascii="宋体" w:hAnsi="宋体"/>
        <w:color w:val="000000"/>
        <w:sz w:val="18"/>
        <w:szCs w:val="18"/>
        <w:u w:val="single"/>
      </w:rPr>
    </w:pPr>
    <w:r>
      <w:rPr>
        <w:rFonts w:hint="eastAsia" w:ascii="宋体" w:hAnsi="宋体"/>
        <w:sz w:val="18"/>
        <w:szCs w:val="18"/>
        <w:u w:val="single"/>
      </w:rPr>
      <w:t>公正　 公平　 公开        　　　　　　　　　　　　　　</w:t>
    </w:r>
    <w:r>
      <w:rPr>
        <w:rFonts w:hint="eastAsia" w:ascii="宋体" w:hAnsi="宋体"/>
        <w:sz w:val="18"/>
        <w:szCs w:val="18"/>
        <w:u w:val="single"/>
        <w:lang w:val="en-US" w:eastAsia="zh-CN"/>
      </w:rPr>
      <w:t xml:space="preserve">                     房地产市场价值</w:t>
    </w:r>
    <w:r>
      <w:rPr>
        <w:rFonts w:hint="eastAsia" w:ascii="宋体" w:hAnsi="宋体"/>
        <w:sz w:val="18"/>
        <w:szCs w:val="18"/>
        <w:u w:val="single"/>
      </w:rPr>
      <w:t>评估报告</w:t>
    </w:r>
  </w:p>
  <w:p>
    <w:pPr>
      <w:widowControl/>
      <w:jc w:val="lef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578213565">
    <w:nsid w:val="5E11A0BD"/>
    <w:multiLevelType w:val="singleLevel"/>
    <w:tmpl w:val="5E11A0BD"/>
    <w:lvl w:ilvl="0" w:tentative="1">
      <w:start w:val="1"/>
      <w:numFmt w:val="decimal"/>
      <w:suff w:val="space"/>
      <w:lvlText w:val="%1."/>
      <w:lvlJc w:val="left"/>
    </w:lvl>
  </w:abstractNum>
  <w:num w:numId="1">
    <w:abstractNumId w:val="15782135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U4OGQwYzdjZGU5YTg4ZmU5N2E1ZmFlMTI3YTdhOGYifQ=="/>
  </w:docVars>
  <w:rsids>
    <w:rsidRoot w:val="29A32F4D"/>
    <w:rsid w:val="023128A5"/>
    <w:rsid w:val="29A32F4D"/>
    <w:rsid w:val="335A72CC"/>
    <w:rsid w:val="34E735DB"/>
    <w:rsid w:val="3961212F"/>
    <w:rsid w:val="3D38727D"/>
    <w:rsid w:val="451E2CF0"/>
    <w:rsid w:val="475A0C1C"/>
    <w:rsid w:val="5FDB64F9"/>
    <w:rsid w:val="6A505A77"/>
    <w:rsid w:val="6FEB0EE2"/>
    <w:rsid w:val="79665902"/>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character" w:styleId="6">
    <w:name w:val="page number"/>
    <w:basedOn w:val="5"/>
    <w:qFormat/>
    <w:uiPriority w:val="0"/>
    <w:rPr>
      <w:rFonts w:ascii="Times New Roman" w:hAnsi="Times New Roman" w:eastAsia="宋体" w:cs="Times New Roman"/>
    </w:rPr>
  </w:style>
  <w:style w:type="character" w:styleId="7">
    <w:name w:val="Hyperlink"/>
    <w:basedOn w:val="5"/>
    <w:qFormat/>
    <w:uiPriority w:val="0"/>
    <w:rPr>
      <w:rFonts w:ascii="Times New Roman" w:hAnsi="Times New Roman" w:eastAsia="宋体" w:cs="Times New Roman"/>
      <w:color w:val="0000FF"/>
      <w:u w:val="single"/>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0">
    <w:name w:val="List Paragraph"/>
    <w:basedOn w:val="1"/>
    <w:qFormat/>
    <w:uiPriority w:val="34"/>
    <w:pPr>
      <w:ind w:firstLine="420" w:firstLineChars="200"/>
    </w:pPr>
  </w:style>
  <w:style w:type="character" w:customStyle="1" w:styleId="11">
    <w:name w:val="apple-converted-space"/>
    <w:basedOn w:val="5"/>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7296</Words>
  <Characters>8700</Characters>
  <Lines>0</Lines>
  <Paragraphs>0</Paragraphs>
  <ScaleCrop>false</ScaleCrop>
  <LinksUpToDate>false</LinksUpToDate>
  <CharactersWithSpaces>9334</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2022-09-27T00:41:00Z</dcterms:created>
  <dc:creator>飞马</dc:creator>
  <cp:lastModifiedBy>Administrator</cp:lastModifiedBy>
  <dcterms:modified xsi:type="dcterms:W3CDTF">2022-09-29T07:39:43Z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y fmtid="{D5CDD505-2E9C-101B-9397-08002B2CF9AE}" pid="3" name="ICV">
    <vt:lpwstr>C858E099C2DC4E3FABAD1E64B624CAE5</vt:lpwstr>
  </property>
</Properties>
</file>