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w:t>
      </w:r>
      <w:r>
        <w:rPr>
          <w:rFonts w:hint="eastAsia" w:ascii="仿宋_GB2312" w:hAnsi="宋体" w:eastAsia="仿宋_GB2312" w:cs="Times New Roman"/>
          <w:kern w:val="2"/>
          <w:sz w:val="28"/>
          <w:szCs w:val="28"/>
          <w:highlight w:val="none"/>
          <w:lang w:val="en-US" w:eastAsia="zh-CN" w:bidi="ar-SA"/>
        </w:rPr>
        <w:t>于2022年08月10日派</w:t>
      </w:r>
      <w:r>
        <w:rPr>
          <w:rFonts w:hint="eastAsia" w:ascii="仿宋_GB2312" w:hAnsi="宋体" w:eastAsia="仿宋_GB2312" w:cs="Times New Roman"/>
          <w:kern w:val="2"/>
          <w:sz w:val="28"/>
          <w:szCs w:val="28"/>
          <w:lang w:val="en-US" w:eastAsia="zh-CN" w:bidi="ar-SA"/>
        </w:rPr>
        <w:t>员对委托方列明的湖北正天置业有限公司所有的、位于孝感市孝南区新铺镇黄孝路以北当代拾光里G3幢3层0306室，建筑面积为</w:t>
      </w:r>
      <w:r>
        <w:rPr>
          <w:rFonts w:hint="eastAsia" w:ascii="仿宋_GB2312" w:hAnsi="宋体" w:eastAsia="仿宋_GB2312" w:cs="Times New Roman"/>
          <w:kern w:val="2"/>
          <w:sz w:val="28"/>
          <w:szCs w:val="28"/>
          <w:highlight w:val="none"/>
          <w:lang w:val="en-US" w:eastAsia="zh-CN" w:bidi="ar-SA"/>
        </w:rPr>
        <w:t>101.91㎡的</w:t>
      </w:r>
      <w:r>
        <w:rPr>
          <w:rFonts w:hint="eastAsia" w:ascii="仿宋_GB2312" w:hAnsi="宋体" w:eastAsia="仿宋_GB2312" w:cs="Times New Roman"/>
          <w:kern w:val="2"/>
          <w:sz w:val="28"/>
          <w:szCs w:val="28"/>
          <w:lang w:val="en-US" w:eastAsia="zh-CN" w:bidi="ar-SA"/>
        </w:rPr>
        <w:t>住宅房屋（含相关权益）进行了现场实地查勘，并对估价对象房地产于估价时</w:t>
      </w:r>
      <w:r>
        <w:rPr>
          <w:rFonts w:hint="eastAsia" w:ascii="仿宋_GB2312" w:hAnsi="宋体" w:eastAsia="仿宋_GB2312" w:cs="Times New Roman"/>
          <w:kern w:val="2"/>
          <w:sz w:val="28"/>
          <w:szCs w:val="28"/>
          <w:highlight w:val="none"/>
          <w:lang w:val="en-US" w:eastAsia="zh-CN" w:bidi="ar-SA"/>
        </w:rPr>
        <w:t>点2022年08月10日的市</w:t>
      </w:r>
      <w:r>
        <w:rPr>
          <w:rFonts w:hint="eastAsia" w:ascii="仿宋_GB2312" w:hAnsi="宋体" w:eastAsia="仿宋_GB2312" w:cs="Times New Roman"/>
          <w:kern w:val="2"/>
          <w:sz w:val="28"/>
          <w:szCs w:val="28"/>
          <w:lang w:val="en-US" w:eastAsia="zh-CN" w:bidi="ar-SA"/>
        </w:rPr>
        <w:t>场价值进行了估价，为委托方确定财产处置参考价提供价格咨询参考依据。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cs="仿宋"/>
          <w:kern w:val="2"/>
          <w:sz w:val="28"/>
          <w:szCs w:val="28"/>
          <w:lang w:val="en-US" w:eastAsia="zh-CN" w:bidi="ar-SA"/>
        </w:rPr>
        <w:t>468175</w:t>
      </w:r>
      <w:r>
        <w:rPr>
          <w:rFonts w:hint="eastAsia" w:ascii="仿宋_GB2312" w:hAnsi="宋体" w:eastAsia="仿宋_GB2312" w:cs="Times New Roman"/>
          <w:kern w:val="2"/>
          <w:sz w:val="28"/>
          <w:szCs w:val="28"/>
          <w:highlight w:val="none"/>
          <w:lang w:val="en-US" w:eastAsia="zh-CN" w:bidi="ar-SA"/>
        </w:rPr>
        <w:t>元</w:t>
      </w:r>
      <w:r>
        <w:rPr>
          <w:rFonts w:hint="eastAsia" w:ascii="仿宋_GB2312" w:hAnsi="宋体" w:eastAsia="仿宋_GB2312" w:cs="Times New Roman"/>
          <w:kern w:val="2"/>
          <w:sz w:val="28"/>
          <w:szCs w:val="28"/>
          <w:lang w:val="en-US" w:eastAsia="zh-CN" w:bidi="ar-SA"/>
        </w:rPr>
        <w:t xml:space="preserve">(大写人民币肆拾陆万捌仟壹佰柒拾伍元整)。                                                  </w:t>
      </w: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湖北循其本价格鉴定评估有限公司</w:t>
      </w:r>
    </w:p>
    <w:p>
      <w:pPr>
        <w:jc w:val="both"/>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 xml:space="preserve">                                   二0二二年八月十五日</w:t>
      </w:r>
    </w:p>
    <w:p>
      <w:pPr>
        <w:jc w:val="center"/>
        <w:rPr>
          <w:rFonts w:hint="eastAsia" w:ascii="仿宋_GB2312" w:hAnsi="宋体" w:eastAsia="仿宋_GB2312" w:cs="Times New Roman"/>
          <w:kern w:val="2"/>
          <w:sz w:val="28"/>
          <w:szCs w:val="28"/>
          <w:highlight w:val="none"/>
          <w:lang w:val="en-US" w:eastAsia="zh-CN" w:bidi="ar-SA"/>
        </w:rPr>
      </w:pPr>
    </w:p>
    <w:p>
      <w:pPr>
        <w:jc w:val="both"/>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w:t>
      </w:r>
      <w:r>
        <w:rPr>
          <w:rFonts w:hint="eastAsia" w:ascii="仿宋_GB2312" w:hAnsi="宋体" w:eastAsia="仿宋_GB2312" w:cs="Times New Roman"/>
          <w:kern w:val="2"/>
          <w:sz w:val="28"/>
          <w:szCs w:val="28"/>
          <w:lang w:val="en-US" w:eastAsia="zh-CN" w:bidi="ar-SA"/>
        </w:rPr>
        <w:t>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5、评估过程中，没有考虑估价对象房屋租赁、产权抵押、查封等因素对估价结果的影响。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二0二二年八月十五日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0288;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22</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71209</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湖北正天置业有限公司所有的</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位于孝感市孝南区新铺镇黄孝路以北当代拾光里</w:t>
      </w:r>
    </w:p>
    <w:p>
      <w:pPr>
        <w:jc w:val="center"/>
        <w:rPr>
          <w:rFonts w:ascii="仿宋" w:hAnsi="仿宋" w:eastAsia="仿宋"/>
          <w:b/>
          <w:bCs/>
          <w:sz w:val="32"/>
          <w:szCs w:val="32"/>
        </w:rPr>
      </w:pPr>
      <w:r>
        <w:rPr>
          <w:rFonts w:hint="eastAsia" w:ascii="仿宋" w:hAnsi="仿宋" w:eastAsia="仿宋"/>
          <w:b/>
          <w:bCs/>
          <w:sz w:val="32"/>
          <w:szCs w:val="32"/>
          <w:lang w:val="en-US" w:eastAsia="zh-CN"/>
        </w:rPr>
        <w:t>G3幢</w:t>
      </w:r>
      <w:r>
        <w:rPr>
          <w:rFonts w:hint="eastAsia" w:ascii="仿宋_GB2312" w:hAnsi="宋体" w:eastAsia="仿宋_GB2312" w:cs="Times New Roman"/>
          <w:b/>
          <w:bCs/>
          <w:kern w:val="2"/>
          <w:sz w:val="32"/>
          <w:szCs w:val="32"/>
          <w:lang w:val="en-US" w:eastAsia="zh-CN" w:bidi="ar-SA"/>
        </w:rPr>
        <w:t>3层0306室</w:t>
      </w:r>
      <w:r>
        <w:rPr>
          <w:rFonts w:hint="eastAsia" w:ascii="仿宋" w:hAnsi="仿宋" w:eastAsia="仿宋"/>
          <w:b/>
          <w:bCs/>
          <w:sz w:val="32"/>
          <w:szCs w:val="32"/>
        </w:rPr>
        <w:t>房地产估价结果报告</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w:t>
      </w:r>
      <w:r>
        <w:rPr>
          <w:rFonts w:hint="eastAsia" w:ascii="仿宋_GB2312" w:hAnsi="宋体" w:eastAsia="仿宋_GB2312" w:cs="Times New Roman"/>
          <w:kern w:val="2"/>
          <w:sz w:val="28"/>
          <w:szCs w:val="28"/>
          <w:highlight w:val="none"/>
          <w:lang w:val="en-US" w:eastAsia="zh-CN" w:bidi="ar-SA"/>
        </w:rPr>
        <w:t>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本次估价对象范围为湖北正天置业有限公司所有的、位于孝感市孝南区新铺镇黄孝路以北当代拾光里G3幢3层0306室，建筑面积为</w:t>
      </w:r>
      <w:r>
        <w:rPr>
          <w:rFonts w:hint="eastAsia" w:ascii="仿宋_GB2312" w:hAnsi="宋体" w:eastAsia="仿宋_GB2312" w:cs="Times New Roman"/>
          <w:kern w:val="2"/>
          <w:sz w:val="28"/>
          <w:szCs w:val="28"/>
          <w:highlight w:val="none"/>
          <w:lang w:val="en-US" w:eastAsia="zh-CN" w:bidi="ar-SA"/>
        </w:rPr>
        <w:t>101.91㎡的</w:t>
      </w:r>
      <w:r>
        <w:rPr>
          <w:rFonts w:hint="eastAsia" w:ascii="仿宋_GB2312" w:hAnsi="宋体" w:eastAsia="仿宋_GB2312" w:cs="Times New Roman"/>
          <w:kern w:val="2"/>
          <w:sz w:val="28"/>
          <w:szCs w:val="28"/>
          <w:lang w:val="en-US" w:eastAsia="zh-CN" w:bidi="ar-SA"/>
        </w:rPr>
        <w:t>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jc w:val="left"/>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w:t>
      </w:r>
      <w:r>
        <w:rPr>
          <w:rFonts w:hint="eastAsia" w:ascii="仿宋_GB2312" w:hAnsi="宋体" w:eastAsia="仿宋_GB2312" w:cs="Times New Roman"/>
          <w:kern w:val="2"/>
          <w:sz w:val="28"/>
          <w:szCs w:val="28"/>
          <w:highlight w:val="none"/>
          <w:lang w:val="en-US" w:eastAsia="zh-CN" w:bidi="ar-SA"/>
        </w:rPr>
        <w:t>书及有关资料，可知估价对象实体状况如下：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估价对象坐落</w:t>
      </w:r>
      <w:r>
        <w:rPr>
          <w:rFonts w:hint="eastAsia" w:ascii="仿宋_GB2312" w:hAnsi="宋体" w:eastAsia="仿宋_GB2312" w:cs="Times New Roman"/>
          <w:kern w:val="2"/>
          <w:sz w:val="28"/>
          <w:szCs w:val="28"/>
          <w:lang w:val="en-US" w:eastAsia="zh-CN" w:bidi="ar-SA"/>
        </w:rPr>
        <w:t>孝感市孝南区新铺镇黄孝路以北当代拾光里G3幢3层0306室，建筑面积为</w:t>
      </w:r>
      <w:r>
        <w:rPr>
          <w:rFonts w:hint="eastAsia" w:ascii="仿宋_GB2312" w:hAnsi="宋体" w:eastAsia="仿宋_GB2312" w:cs="Times New Roman"/>
          <w:kern w:val="2"/>
          <w:sz w:val="28"/>
          <w:szCs w:val="28"/>
          <w:highlight w:val="none"/>
          <w:lang w:val="en-US" w:eastAsia="zh-CN" w:bidi="ar-SA"/>
        </w:rPr>
        <w:t>101.91㎡，房屋所有权人为湖北正天置业有限公司，用途为成套住宅，房屋结构为钢筋混凝土结构，所在层/总层数为3/16，竣工时间为2020年10月，</w:t>
      </w:r>
      <w:r>
        <w:rPr>
          <w:rFonts w:hint="eastAsia" w:ascii="仿宋_GB2312" w:hAnsi="宋体" w:eastAsia="仿宋_GB2312" w:cs="Times New Roman"/>
          <w:kern w:val="2"/>
          <w:sz w:val="28"/>
          <w:szCs w:val="28"/>
          <w:lang w:val="en-US" w:eastAsia="zh-CN" w:bidi="ar-SA"/>
        </w:rPr>
        <w:t>南北朝向，为高层电梯</w:t>
      </w:r>
      <w:r>
        <w:rPr>
          <w:rFonts w:hint="eastAsia" w:ascii="仿宋_GB2312" w:hAnsi="宋体" w:eastAsia="仿宋_GB2312" w:cs="Times New Roman"/>
          <w:kern w:val="2"/>
          <w:sz w:val="28"/>
          <w:szCs w:val="28"/>
          <w:highlight w:val="none"/>
          <w:lang w:val="en-US" w:eastAsia="zh-CN" w:bidi="ar-SA"/>
        </w:rPr>
        <w:t>住宅房屋，两梯四户，通</w:t>
      </w:r>
      <w:r>
        <w:rPr>
          <w:rFonts w:hint="eastAsia" w:ascii="仿宋_GB2312" w:hAnsi="宋体" w:eastAsia="仿宋_GB2312" w:cs="Times New Roman"/>
          <w:kern w:val="2"/>
          <w:sz w:val="28"/>
          <w:szCs w:val="28"/>
          <w:lang w:val="en-US" w:eastAsia="zh-CN" w:bidi="ar-SA"/>
        </w:rPr>
        <w:t>风采光一般，</w:t>
      </w:r>
      <w:r>
        <w:rPr>
          <w:rFonts w:hint="eastAsia" w:ascii="仿宋_GB2312" w:hAnsi="宋体" w:eastAsia="仿宋_GB2312" w:cs="Times New Roman"/>
          <w:kern w:val="2"/>
          <w:sz w:val="28"/>
          <w:szCs w:val="28"/>
          <w:highlight w:val="none"/>
          <w:lang w:val="en-US" w:eastAsia="zh-CN" w:bidi="ar-SA"/>
        </w:rPr>
        <w:t>户型三室两厅，</w:t>
      </w:r>
      <w:r>
        <w:rPr>
          <w:rFonts w:hint="eastAsia" w:ascii="仿宋_GB2312" w:hAnsi="宋体" w:eastAsia="仿宋_GB2312" w:cs="Times New Roman"/>
          <w:kern w:val="2"/>
          <w:sz w:val="28"/>
          <w:szCs w:val="28"/>
          <w:lang w:val="en-US" w:eastAsia="zh-CN" w:bidi="ar-SA"/>
        </w:rPr>
        <w:t>房屋结构完好、坚固无变形，外观较新，</w:t>
      </w:r>
      <w:r>
        <w:rPr>
          <w:rFonts w:hint="eastAsia" w:ascii="仿宋" w:hAnsi="仿宋" w:eastAsia="仿宋"/>
          <w:color w:val="auto"/>
          <w:sz w:val="28"/>
          <w:szCs w:val="28"/>
          <w:lang w:val="en-US" w:eastAsia="zh-CN"/>
        </w:rPr>
        <w:t>室内为毛坯未</w:t>
      </w:r>
      <w:r>
        <w:rPr>
          <w:rFonts w:hint="eastAsia" w:ascii="仿宋_GB2312" w:hAnsi="宋体" w:eastAsia="仿宋_GB2312" w:cs="Times New Roman"/>
          <w:kern w:val="2"/>
          <w:sz w:val="28"/>
          <w:szCs w:val="28"/>
          <w:lang w:val="en-US" w:eastAsia="zh-CN" w:bidi="ar-SA"/>
        </w:rPr>
        <w:t>装修。</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二0二二年八月十日。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bookmarkStart w:id="0" w:name="_GoBack"/>
      <w:r>
        <w:rPr>
          <w:rFonts w:hint="eastAsia" w:ascii="仿宋_GB2312" w:hAnsi="宋体" w:eastAsia="仿宋_GB2312" w:cs="Times New Roman"/>
          <w:kern w:val="2"/>
          <w:sz w:val="28"/>
          <w:szCs w:val="28"/>
          <w:lang w:val="en-US" w:eastAsia="zh-CN" w:bidi="ar-SA"/>
        </w:rPr>
        <w:t>（1）委托方提供的价格评估鉴定委托书；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bookmarkEnd w:id="0"/>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rPr>
          <w:rFonts w:hint="eastAsia" w:ascii="仿宋_GB2312" w:hAnsi="仿宋" w:eastAsia="仿宋_GB2312" w:cs="Times New Roman"/>
          <w:b/>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估价人员经过实地勘查和测算，确定估价对象在估价时点可能形成的市场价值为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cs="仿宋"/>
          <w:kern w:val="2"/>
          <w:sz w:val="28"/>
          <w:szCs w:val="28"/>
          <w:lang w:val="en-US" w:eastAsia="zh-CN" w:bidi="ar-SA"/>
        </w:rPr>
        <w:t>468175</w:t>
      </w:r>
      <w:r>
        <w:rPr>
          <w:rFonts w:hint="eastAsia" w:ascii="仿宋_GB2312" w:hAnsi="宋体" w:eastAsia="仿宋_GB2312" w:cs="Times New Roman"/>
          <w:kern w:val="2"/>
          <w:sz w:val="28"/>
          <w:szCs w:val="28"/>
          <w:highlight w:val="none"/>
          <w:lang w:val="en-US" w:eastAsia="zh-CN" w:bidi="ar-SA"/>
        </w:rPr>
        <w:t>元</w:t>
      </w:r>
      <w:r>
        <w:rPr>
          <w:rFonts w:hint="eastAsia" w:ascii="仿宋_GB2312" w:hAnsi="宋体" w:eastAsia="仿宋_GB2312" w:cs="Times New Roman"/>
          <w:kern w:val="2"/>
          <w:sz w:val="28"/>
          <w:szCs w:val="28"/>
          <w:lang w:val="en-US" w:eastAsia="zh-CN" w:bidi="ar-SA"/>
        </w:rPr>
        <w:t>(大写人民币肆拾陆万捌仟壹佰柒拾伍元整)。</w:t>
      </w:r>
      <w:r>
        <w:rPr>
          <w:rFonts w:hint="eastAsia" w:ascii="仿宋_GB2312" w:hAnsi="仿宋" w:eastAsia="仿宋_GB2312" w:cs="Times New Roman"/>
          <w:b/>
          <w:kern w:val="2"/>
          <w:sz w:val="28"/>
          <w:szCs w:val="28"/>
          <w:lang w:val="en-US" w:eastAsia="zh-CN" w:bidi="ar-SA"/>
        </w:rPr>
        <w:t xml:space="preserve"> </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宋体"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w:t>
      </w:r>
      <w:r>
        <w:rPr>
          <w:rFonts w:hint="eastAsia" w:ascii="仿宋_GB2312" w:hAnsi="宋体" w:eastAsia="仿宋_GB2312"/>
          <w:b/>
          <w:bCs/>
          <w:sz w:val="28"/>
          <w:szCs w:val="28"/>
          <w:lang w:val="en-US" w:eastAsia="zh-CN"/>
        </w:rPr>
        <w:t>（十二）估价专业人员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976"/>
        <w:gridCol w:w="1890"/>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姓　名</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资格证名称</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资格证号</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4"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孙 坚</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价格鉴证师</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0003035</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sz w:val="28"/>
                <w:szCs w:val="28"/>
              </w:rPr>
              <w:drawing>
                <wp:anchor distT="0" distB="0" distL="114300" distR="114300" simplePos="0" relativeHeight="251659264" behindDoc="1" locked="0" layoutInCell="1" allowOverlap="1">
                  <wp:simplePos x="0" y="0"/>
                  <wp:positionH relativeFrom="column">
                    <wp:posOffset>232410</wp:posOffset>
                  </wp:positionH>
                  <wp:positionV relativeFrom="paragraph">
                    <wp:posOffset>267970</wp:posOffset>
                  </wp:positionV>
                  <wp:extent cx="1273810" cy="491490"/>
                  <wp:effectExtent l="0" t="0" r="2540" b="3810"/>
                  <wp:wrapNone/>
                  <wp:docPr id="3" name="图片 2"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9" w:hRule="atLeast"/>
          <w:jc w:val="center"/>
        </w:trPr>
        <w:tc>
          <w:tcPr>
            <w:tcW w:w="118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刘汉生</w:t>
            </w:r>
          </w:p>
        </w:tc>
        <w:tc>
          <w:tcPr>
            <w:tcW w:w="197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价格鉴证师</w:t>
            </w:r>
          </w:p>
        </w:tc>
        <w:tc>
          <w:tcPr>
            <w:tcW w:w="1890"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0017039</w:t>
            </w:r>
          </w:p>
        </w:tc>
        <w:tc>
          <w:tcPr>
            <w:tcW w:w="2905" w:type="dxa"/>
            <w:vAlign w:val="center"/>
          </w:tcPr>
          <w:p>
            <w:pPr>
              <w:pStyle w:val="4"/>
              <w:jc w:val="center"/>
              <w:rPr>
                <w:rFonts w:hint="eastAsia" w:ascii="仿宋" w:hAnsi="仿宋" w:eastAsia="仿宋"/>
                <w:color w:val="000000"/>
                <w:sz w:val="28"/>
                <w:szCs w:val="28"/>
                <w:highlight w:val="yellow"/>
              </w:rPr>
            </w:pPr>
            <w:r>
              <w:rPr>
                <w:sz w:val="28"/>
                <w:szCs w:val="28"/>
                <w:highlight w:val="yellow"/>
                <w:lang w:val="zh-CN" w:eastAsia="zh-CN"/>
              </w:rPr>
              <w:drawing>
                <wp:anchor distT="0" distB="0" distL="114300" distR="114300" simplePos="0" relativeHeight="251661312" behindDoc="0" locked="0" layoutInCell="1" allowOverlap="1">
                  <wp:simplePos x="0" y="0"/>
                  <wp:positionH relativeFrom="column">
                    <wp:posOffset>144145</wp:posOffset>
                  </wp:positionH>
                  <wp:positionV relativeFrom="paragraph">
                    <wp:posOffset>167005</wp:posOffset>
                  </wp:positionV>
                  <wp:extent cx="1304290" cy="902335"/>
                  <wp:effectExtent l="0" t="0" r="10795" b="0"/>
                  <wp:wrapNone/>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8"/>
                          <a:stretch>
                            <a:fillRect/>
                          </a:stretch>
                        </pic:blipFill>
                        <pic:spPr>
                          <a:xfrm>
                            <a:off x="0" y="0"/>
                            <a:ext cx="1304290" cy="9023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8"/>
                <w:szCs w:val="28"/>
                <w:highlight w:val="yellow"/>
                <w:lang w:val="zh-CN"/>
              </w:rPr>
            </w:pPr>
            <w:r>
              <w:rPr>
                <w:rFonts w:hint="eastAsia" w:ascii="仿宋" w:hAnsi="仿宋" w:eastAsia="仿宋"/>
                <w:color w:val="000000"/>
                <w:sz w:val="28"/>
                <w:szCs w:val="28"/>
                <w:highlight w:val="yellow"/>
              </w:rPr>
              <w:drawing>
                <wp:anchor distT="0" distB="0" distL="114300" distR="114300" simplePos="0" relativeHeight="251662336" behindDoc="0" locked="0" layoutInCell="1" allowOverlap="1">
                  <wp:simplePos x="0" y="0"/>
                  <wp:positionH relativeFrom="column">
                    <wp:posOffset>186690</wp:posOffset>
                  </wp:positionH>
                  <wp:positionV relativeFrom="page">
                    <wp:posOffset>815975</wp:posOffset>
                  </wp:positionV>
                  <wp:extent cx="635" cy="635"/>
                  <wp:effectExtent l="0" t="0" r="0" b="0"/>
                  <wp:wrapNone/>
                  <wp:docPr id="7" name="图片 7"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tc>
      </w:tr>
    </w:tbl>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22</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08</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15</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二0二二年八月十五日</w:t>
      </w: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湖北正天置业有限公司所有的</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位于孝感市孝南区新铺镇黄孝路以北当代拾光里</w:t>
      </w:r>
    </w:p>
    <w:p>
      <w:pPr>
        <w:jc w:val="center"/>
        <w:rPr>
          <w:rFonts w:hint="eastAsia" w:ascii="仿宋" w:hAnsi="仿宋" w:eastAsia="仿宋"/>
          <w:b/>
          <w:bCs/>
          <w:sz w:val="36"/>
          <w:szCs w:val="36"/>
        </w:rPr>
      </w:pPr>
      <w:r>
        <w:rPr>
          <w:rFonts w:hint="eastAsia" w:ascii="仿宋" w:hAnsi="仿宋" w:eastAsia="仿宋"/>
          <w:b/>
          <w:bCs/>
          <w:sz w:val="36"/>
          <w:szCs w:val="36"/>
          <w:lang w:val="en-US" w:eastAsia="zh-CN"/>
        </w:rPr>
        <w:t>G3幢</w:t>
      </w:r>
      <w:r>
        <w:rPr>
          <w:rFonts w:hint="eastAsia" w:ascii="仿宋_GB2312" w:hAnsi="宋体" w:eastAsia="仿宋_GB2312" w:cs="Times New Roman"/>
          <w:b/>
          <w:bCs/>
          <w:kern w:val="2"/>
          <w:sz w:val="36"/>
          <w:szCs w:val="36"/>
          <w:lang w:val="en-US" w:eastAsia="zh-CN" w:bidi="ar-SA"/>
        </w:rPr>
        <w:t>3层0306室</w:t>
      </w: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估价对象坐落</w:t>
      </w:r>
      <w:r>
        <w:rPr>
          <w:rFonts w:hint="eastAsia" w:ascii="仿宋_GB2312" w:hAnsi="宋体" w:eastAsia="仿宋_GB2312" w:cs="Times New Roman"/>
          <w:kern w:val="2"/>
          <w:sz w:val="28"/>
          <w:szCs w:val="28"/>
          <w:lang w:val="en-US" w:eastAsia="zh-CN" w:bidi="ar-SA"/>
        </w:rPr>
        <w:t>孝感市孝南区新铺镇黄孝路以北当代拾光里G3幢3层0306室，建筑面积为</w:t>
      </w:r>
      <w:r>
        <w:rPr>
          <w:rFonts w:hint="eastAsia" w:ascii="仿宋_GB2312" w:hAnsi="宋体" w:eastAsia="仿宋_GB2312" w:cs="Times New Roman"/>
          <w:kern w:val="2"/>
          <w:sz w:val="28"/>
          <w:szCs w:val="28"/>
          <w:highlight w:val="none"/>
          <w:lang w:val="en-US" w:eastAsia="zh-CN" w:bidi="ar-SA"/>
        </w:rPr>
        <w:t>101.91㎡，房屋所有权人为湖北正天置业有限公司，用途为成套住宅，房屋结构为钢筋混凝土结构，所在层/总层数为3/16，竣工时间为2020年10月，</w:t>
      </w:r>
      <w:r>
        <w:rPr>
          <w:rFonts w:hint="eastAsia" w:ascii="仿宋_GB2312" w:hAnsi="宋体" w:eastAsia="仿宋_GB2312" w:cs="Times New Roman"/>
          <w:kern w:val="2"/>
          <w:sz w:val="28"/>
          <w:szCs w:val="28"/>
          <w:lang w:val="en-US" w:eastAsia="zh-CN" w:bidi="ar-SA"/>
        </w:rPr>
        <w:t>南北朝向，为高层电梯</w:t>
      </w:r>
      <w:r>
        <w:rPr>
          <w:rFonts w:hint="eastAsia" w:ascii="仿宋_GB2312" w:hAnsi="宋体" w:eastAsia="仿宋_GB2312" w:cs="Times New Roman"/>
          <w:kern w:val="2"/>
          <w:sz w:val="28"/>
          <w:szCs w:val="28"/>
          <w:highlight w:val="none"/>
          <w:lang w:val="en-US" w:eastAsia="zh-CN" w:bidi="ar-SA"/>
        </w:rPr>
        <w:t>住宅房屋，两梯四户，通</w:t>
      </w:r>
      <w:r>
        <w:rPr>
          <w:rFonts w:hint="eastAsia" w:ascii="仿宋_GB2312" w:hAnsi="宋体" w:eastAsia="仿宋_GB2312" w:cs="Times New Roman"/>
          <w:kern w:val="2"/>
          <w:sz w:val="28"/>
          <w:szCs w:val="28"/>
          <w:lang w:val="en-US" w:eastAsia="zh-CN" w:bidi="ar-SA"/>
        </w:rPr>
        <w:t>风采光一般，</w:t>
      </w:r>
      <w:r>
        <w:rPr>
          <w:rFonts w:hint="eastAsia" w:ascii="仿宋_GB2312" w:hAnsi="宋体" w:eastAsia="仿宋_GB2312" w:cs="Times New Roman"/>
          <w:kern w:val="2"/>
          <w:sz w:val="28"/>
          <w:szCs w:val="28"/>
          <w:highlight w:val="none"/>
          <w:lang w:val="en-US" w:eastAsia="zh-CN" w:bidi="ar-SA"/>
        </w:rPr>
        <w:t>户型三室两厅，</w:t>
      </w:r>
      <w:r>
        <w:rPr>
          <w:rFonts w:hint="eastAsia" w:ascii="仿宋_GB2312" w:hAnsi="宋体" w:eastAsia="仿宋_GB2312" w:cs="Times New Roman"/>
          <w:kern w:val="2"/>
          <w:sz w:val="28"/>
          <w:szCs w:val="28"/>
          <w:lang w:val="en-US" w:eastAsia="zh-CN" w:bidi="ar-SA"/>
        </w:rPr>
        <w:t>房屋结构完好、坚固无变形，外观较新，</w:t>
      </w:r>
      <w:r>
        <w:rPr>
          <w:rFonts w:hint="eastAsia" w:ascii="仿宋" w:hAnsi="仿宋" w:eastAsia="仿宋"/>
          <w:color w:val="auto"/>
          <w:sz w:val="28"/>
          <w:szCs w:val="28"/>
          <w:lang w:val="en-US" w:eastAsia="zh-CN"/>
        </w:rPr>
        <w:t>室内为毛坯未</w:t>
      </w:r>
      <w:r>
        <w:rPr>
          <w:rFonts w:hint="eastAsia" w:ascii="仿宋_GB2312" w:hAnsi="宋体" w:eastAsia="仿宋_GB2312" w:cs="Times New Roman"/>
          <w:kern w:val="2"/>
          <w:sz w:val="28"/>
          <w:szCs w:val="28"/>
          <w:lang w:val="en-US" w:eastAsia="zh-CN" w:bidi="ar-SA"/>
        </w:rPr>
        <w:t>装修。</w:t>
      </w:r>
    </w:p>
    <w:p>
      <w:pPr>
        <w:numPr>
          <w:ilvl w:val="0"/>
          <w:numId w:val="0"/>
        </w:numPr>
        <w:ind w:firstLine="562"/>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二、估价对象区域因素分析</w:t>
      </w:r>
    </w:p>
    <w:p>
      <w:pPr>
        <w:ind w:firstLine="560" w:firstLineChars="200"/>
      </w:pPr>
      <w:r>
        <w:rPr>
          <w:rFonts w:hint="eastAsia" w:ascii="仿宋_GB2312" w:hAnsi="宋体" w:eastAsia="仿宋_GB2312" w:cs="Times New Roman"/>
          <w:kern w:val="2"/>
          <w:sz w:val="28"/>
          <w:szCs w:val="28"/>
          <w:lang w:val="en-US" w:eastAsia="zh-CN" w:bidi="ar-SA"/>
        </w:rPr>
        <w:t>估价对象位于</w:t>
      </w:r>
      <w:r>
        <w:rPr>
          <w:rFonts w:hint="eastAsia" w:ascii="仿宋_GB2312" w:hAnsi="宋体" w:eastAsia="仿宋_GB2312" w:cs="Times New Roman"/>
          <w:kern w:val="2"/>
          <w:sz w:val="28"/>
          <w:szCs w:val="28"/>
          <w:highlight w:val="none"/>
          <w:lang w:val="en-US" w:eastAsia="zh-CN" w:bidi="ar-SA"/>
        </w:rPr>
        <w:t>孝感市孝南区新铺镇黄孝路以北，107国道与黄孝路交汇处以东800米，当代拾光里</w:t>
      </w:r>
      <w:r>
        <w:rPr>
          <w:rFonts w:hint="eastAsia" w:ascii="仿宋_GB2312" w:hAnsi="宋体" w:eastAsia="仿宋_GB2312" w:cs="Times New Roman"/>
          <w:kern w:val="2"/>
          <w:sz w:val="28"/>
          <w:szCs w:val="28"/>
          <w:lang w:val="en-US" w:eastAsia="zh-CN" w:bidi="ar-SA"/>
        </w:rPr>
        <w:t>小区。该小区环境卫生、绿化好，物业管理尚可，24小时安保人员值守；</w:t>
      </w:r>
      <w:r>
        <w:rPr>
          <w:rFonts w:hint="eastAsia" w:ascii="仿宋" w:hAnsi="仿宋" w:eastAsia="仿宋" w:cs="仿宋"/>
          <w:i w:val="0"/>
          <w:iCs w:val="0"/>
          <w:caps w:val="0"/>
          <w:color w:val="333333"/>
          <w:spacing w:val="0"/>
          <w:sz w:val="28"/>
          <w:szCs w:val="28"/>
          <w:shd w:val="clear" w:fill="FAFAFA"/>
        </w:rPr>
        <w:t>邻黄孝路，沿黄孝路向东北方向可以到武汉黄陂木兰八景；向西南方向，可以国道107，项目距离汉孝城际铁路孝感东站仅3公里距离</w:t>
      </w:r>
      <w:r>
        <w:rPr>
          <w:rFonts w:hint="eastAsia" w:ascii="仿宋" w:hAnsi="仿宋" w:eastAsia="仿宋" w:cs="仿宋"/>
          <w:i w:val="0"/>
          <w:iCs w:val="0"/>
          <w:caps w:val="0"/>
          <w:color w:val="333333"/>
          <w:spacing w:val="0"/>
          <w:sz w:val="28"/>
          <w:szCs w:val="28"/>
          <w:shd w:val="clear" w:fill="FAFAFA"/>
          <w:lang w:eastAsia="zh-CN"/>
        </w:rPr>
        <w:t>；交通</w:t>
      </w:r>
      <w:r>
        <w:rPr>
          <w:rFonts w:hint="eastAsia" w:ascii="仿宋" w:hAnsi="仿宋" w:eastAsia="仿宋" w:cs="仿宋"/>
          <w:i w:val="0"/>
          <w:iCs w:val="0"/>
          <w:caps w:val="0"/>
          <w:color w:val="333333"/>
          <w:spacing w:val="0"/>
          <w:sz w:val="28"/>
          <w:szCs w:val="28"/>
          <w:shd w:val="clear" w:fill="FAFAFA"/>
        </w:rPr>
        <w:t>公交线路</w:t>
      </w:r>
      <w:r>
        <w:rPr>
          <w:rFonts w:hint="eastAsia" w:ascii="仿宋" w:hAnsi="仿宋" w:eastAsia="仿宋" w:cs="仿宋"/>
          <w:i w:val="0"/>
          <w:iCs w:val="0"/>
          <w:caps w:val="0"/>
          <w:color w:val="333333"/>
          <w:spacing w:val="0"/>
          <w:sz w:val="28"/>
          <w:szCs w:val="28"/>
          <w:shd w:val="clear" w:fill="FAFAFA"/>
          <w:lang w:eastAsia="zh-CN"/>
        </w:rPr>
        <w:t>有</w:t>
      </w:r>
      <w:r>
        <w:rPr>
          <w:rFonts w:hint="eastAsia" w:ascii="仿宋" w:hAnsi="仿宋" w:eastAsia="仿宋" w:cs="仿宋"/>
          <w:i w:val="0"/>
          <w:iCs w:val="0"/>
          <w:caps w:val="0"/>
          <w:color w:val="333333"/>
          <w:spacing w:val="0"/>
          <w:sz w:val="28"/>
          <w:szCs w:val="28"/>
          <w:shd w:val="clear" w:fill="FAFAFA"/>
        </w:rPr>
        <w:t>22路、25路</w:t>
      </w:r>
      <w:r>
        <w:rPr>
          <w:rFonts w:hint="eastAsia" w:ascii="仿宋" w:hAnsi="仿宋" w:eastAsia="仿宋" w:cs="仿宋"/>
          <w:i w:val="0"/>
          <w:iCs w:val="0"/>
          <w:caps w:val="0"/>
          <w:color w:val="333333"/>
          <w:spacing w:val="0"/>
          <w:sz w:val="28"/>
          <w:szCs w:val="28"/>
          <w:shd w:val="clear" w:fill="FAFAFA"/>
          <w:lang w:eastAsia="zh-CN"/>
        </w:rPr>
        <w:t>通达；</w:t>
      </w:r>
      <w:r>
        <w:rPr>
          <w:rFonts w:hint="eastAsia" w:ascii="仿宋" w:hAnsi="仿宋" w:eastAsia="仿宋" w:cs="仿宋"/>
          <w:i w:val="0"/>
          <w:iCs w:val="0"/>
          <w:caps w:val="0"/>
          <w:color w:val="333333"/>
          <w:spacing w:val="0"/>
          <w:sz w:val="28"/>
          <w:szCs w:val="28"/>
          <w:shd w:val="clear" w:fill="FAFAFA"/>
        </w:rPr>
        <w:t>3公里内坐拥湾流汇商业街，3.6公里即可到达银泰城——集生活、时装、儿童、娱乐、美食于一体的现代化综合商业体等大型商场</w:t>
      </w:r>
      <w:r>
        <w:rPr>
          <w:rFonts w:hint="eastAsia" w:ascii="仿宋" w:hAnsi="仿宋" w:eastAsia="仿宋" w:cs="仿宋"/>
          <w:i w:val="0"/>
          <w:iCs w:val="0"/>
          <w:caps w:val="0"/>
          <w:color w:val="333333"/>
          <w:spacing w:val="0"/>
          <w:sz w:val="28"/>
          <w:szCs w:val="28"/>
          <w:shd w:val="clear" w:fill="FAFAFA"/>
          <w:lang w:eastAsia="zh-CN"/>
        </w:rPr>
        <w:t>；</w:t>
      </w:r>
      <w:r>
        <w:rPr>
          <w:rFonts w:hint="eastAsia" w:ascii="仿宋" w:hAnsi="仿宋" w:eastAsia="仿宋" w:cs="仿宋"/>
          <w:i w:val="0"/>
          <w:iCs w:val="0"/>
          <w:caps w:val="0"/>
          <w:color w:val="333333"/>
          <w:spacing w:val="0"/>
          <w:sz w:val="28"/>
          <w:szCs w:val="28"/>
          <w:shd w:val="clear" w:fill="FAFAFA"/>
        </w:rPr>
        <w:t>主要</w:t>
      </w:r>
      <w:r>
        <w:rPr>
          <w:rFonts w:hint="eastAsia" w:ascii="仿宋" w:hAnsi="仿宋" w:eastAsia="仿宋" w:cs="仿宋"/>
          <w:i w:val="0"/>
          <w:iCs w:val="0"/>
          <w:caps w:val="0"/>
          <w:color w:val="333333"/>
          <w:spacing w:val="0"/>
          <w:sz w:val="28"/>
          <w:szCs w:val="28"/>
          <w:shd w:val="clear" w:fill="FAFAFA"/>
          <w:lang w:eastAsia="zh-CN"/>
        </w:rPr>
        <w:t>的</w:t>
      </w:r>
      <w:r>
        <w:rPr>
          <w:rFonts w:hint="eastAsia" w:ascii="仿宋" w:hAnsi="仿宋" w:eastAsia="仿宋" w:cs="仿宋"/>
          <w:i w:val="0"/>
          <w:iCs w:val="0"/>
          <w:caps w:val="0"/>
          <w:color w:val="333333"/>
          <w:spacing w:val="0"/>
          <w:sz w:val="28"/>
          <w:szCs w:val="28"/>
          <w:shd w:val="clear" w:fill="FAFAFA"/>
        </w:rPr>
        <w:t>市政</w:t>
      </w:r>
      <w:r>
        <w:rPr>
          <w:rFonts w:hint="eastAsia" w:ascii="仿宋" w:hAnsi="仿宋" w:eastAsia="仿宋" w:cs="仿宋"/>
          <w:i w:val="0"/>
          <w:iCs w:val="0"/>
          <w:caps w:val="0"/>
          <w:color w:val="333333"/>
          <w:spacing w:val="0"/>
          <w:sz w:val="28"/>
          <w:szCs w:val="28"/>
          <w:shd w:val="clear" w:fill="FAFAFA"/>
          <w:lang w:eastAsia="zh-CN"/>
        </w:rPr>
        <w:t>、</w:t>
      </w:r>
      <w:r>
        <w:rPr>
          <w:rFonts w:hint="eastAsia" w:ascii="仿宋" w:hAnsi="仿宋" w:eastAsia="仿宋" w:cs="仿宋"/>
          <w:i w:val="0"/>
          <w:iCs w:val="0"/>
          <w:caps w:val="0"/>
          <w:color w:val="333333"/>
          <w:spacing w:val="0"/>
          <w:sz w:val="28"/>
          <w:szCs w:val="28"/>
          <w:shd w:val="clear" w:fill="FAFAFA"/>
        </w:rPr>
        <w:t>商业配套</w:t>
      </w:r>
      <w:r>
        <w:rPr>
          <w:rFonts w:hint="eastAsia" w:ascii="仿宋" w:hAnsi="仿宋" w:eastAsia="仿宋" w:cs="仿宋"/>
          <w:i w:val="0"/>
          <w:iCs w:val="0"/>
          <w:caps w:val="0"/>
          <w:color w:val="333333"/>
          <w:spacing w:val="0"/>
          <w:sz w:val="28"/>
          <w:szCs w:val="28"/>
          <w:shd w:val="clear" w:fill="FAFAFA"/>
          <w:lang w:eastAsia="zh-CN"/>
        </w:rPr>
        <w:t>有</w:t>
      </w:r>
      <w:r>
        <w:rPr>
          <w:rFonts w:hint="eastAsia" w:ascii="仿宋" w:hAnsi="仿宋" w:eastAsia="仿宋" w:cs="仿宋"/>
          <w:i w:val="0"/>
          <w:iCs w:val="0"/>
          <w:caps w:val="0"/>
          <w:color w:val="333333"/>
          <w:spacing w:val="0"/>
          <w:sz w:val="28"/>
          <w:szCs w:val="28"/>
          <w:shd w:val="clear" w:fill="FAFAFA"/>
        </w:rPr>
        <w:t>槐荫公园三期，龙成购物中心，黄陂大道的乾坤超市，武商量贩</w:t>
      </w:r>
      <w:r>
        <w:rPr>
          <w:rFonts w:hint="eastAsia" w:ascii="仿宋" w:hAnsi="仿宋" w:eastAsia="仿宋" w:cs="仿宋"/>
          <w:i w:val="0"/>
          <w:iCs w:val="0"/>
          <w:caps w:val="0"/>
          <w:color w:val="333333"/>
          <w:spacing w:val="0"/>
          <w:sz w:val="28"/>
          <w:szCs w:val="28"/>
          <w:shd w:val="clear" w:fill="FAFAFA"/>
          <w:lang w:eastAsia="zh-CN"/>
        </w:rPr>
        <w:t>、农商行等；</w:t>
      </w:r>
      <w:r>
        <w:rPr>
          <w:rFonts w:hint="eastAsia" w:ascii="仿宋" w:hAnsi="仿宋" w:eastAsia="仿宋" w:cs="仿宋"/>
          <w:i w:val="0"/>
          <w:iCs w:val="0"/>
          <w:caps w:val="0"/>
          <w:color w:val="333333"/>
          <w:spacing w:val="0"/>
          <w:sz w:val="28"/>
          <w:szCs w:val="28"/>
          <w:shd w:val="clear" w:fill="FAFAFA"/>
        </w:rPr>
        <w:t>附近</w:t>
      </w:r>
      <w:r>
        <w:rPr>
          <w:rFonts w:hint="eastAsia" w:ascii="仿宋" w:hAnsi="仿宋" w:eastAsia="仿宋" w:cs="仿宋"/>
          <w:i w:val="0"/>
          <w:iCs w:val="0"/>
          <w:caps w:val="0"/>
          <w:color w:val="333333"/>
          <w:spacing w:val="0"/>
          <w:sz w:val="28"/>
          <w:szCs w:val="28"/>
          <w:shd w:val="clear" w:fill="FAFAFA"/>
          <w:lang w:eastAsia="zh-CN"/>
        </w:rPr>
        <w:t>还有</w:t>
      </w:r>
      <w:r>
        <w:rPr>
          <w:rFonts w:hint="eastAsia" w:ascii="仿宋" w:hAnsi="仿宋" w:eastAsia="仿宋" w:cs="仿宋"/>
          <w:i w:val="0"/>
          <w:iCs w:val="0"/>
          <w:caps w:val="0"/>
          <w:color w:val="333333"/>
          <w:spacing w:val="0"/>
          <w:sz w:val="28"/>
          <w:szCs w:val="28"/>
          <w:shd w:val="clear" w:fill="FAFAFA"/>
        </w:rPr>
        <w:t>永安菜市场，远大商贸城一应俱全，</w:t>
      </w:r>
      <w:r>
        <w:rPr>
          <w:rFonts w:hint="eastAsia" w:ascii="仿宋" w:hAnsi="仿宋" w:eastAsia="仿宋" w:cs="仿宋"/>
          <w:i w:val="0"/>
          <w:iCs w:val="0"/>
          <w:caps w:val="0"/>
          <w:color w:val="333333"/>
          <w:spacing w:val="0"/>
          <w:sz w:val="28"/>
          <w:szCs w:val="28"/>
          <w:shd w:val="clear" w:fill="FAFAFA"/>
          <w:lang w:eastAsia="zh-CN"/>
        </w:rPr>
        <w:t>基本</w:t>
      </w:r>
      <w:r>
        <w:rPr>
          <w:rFonts w:hint="eastAsia" w:ascii="仿宋" w:hAnsi="仿宋" w:eastAsia="仿宋" w:cs="仿宋"/>
          <w:i w:val="0"/>
          <w:iCs w:val="0"/>
          <w:caps w:val="0"/>
          <w:color w:val="333333"/>
          <w:spacing w:val="0"/>
          <w:sz w:val="28"/>
          <w:szCs w:val="28"/>
          <w:shd w:val="clear" w:fill="FAFAFA"/>
        </w:rPr>
        <w:t>满足日常生活所需。</w:t>
      </w:r>
      <w:r>
        <w:rPr>
          <w:rFonts w:hint="eastAsia" w:ascii="仿宋_GB2312" w:hAnsi="宋体" w:eastAsia="仿宋_GB2312" w:cs="Times New Roman"/>
          <w:kern w:val="2"/>
          <w:sz w:val="28"/>
          <w:szCs w:val="28"/>
          <w:highlight w:val="none"/>
          <w:lang w:val="en-US" w:eastAsia="zh-CN" w:bidi="ar-SA"/>
        </w:rPr>
        <w:t>周</w:t>
      </w:r>
      <w:r>
        <w:rPr>
          <w:rFonts w:hint="eastAsia" w:ascii="仿宋_GB2312" w:hAnsi="宋体" w:eastAsia="仿宋_GB2312" w:cs="Times New Roman"/>
          <w:kern w:val="2"/>
          <w:sz w:val="28"/>
          <w:szCs w:val="28"/>
          <w:lang w:val="en-US" w:eastAsia="zh-CN" w:bidi="ar-SA"/>
        </w:rPr>
        <w:t>边生活、公共设施还有待完善</w:t>
      </w:r>
      <w:r>
        <w:rPr>
          <w:rFonts w:hint="eastAsia" w:ascii="仿宋" w:hAnsi="仿宋" w:eastAsia="仿宋"/>
          <w:sz w:val="28"/>
          <w:szCs w:val="28"/>
          <w:lang w:eastAsia="zh-CN"/>
        </w:rPr>
        <w:t>。</w:t>
      </w:r>
    </w:p>
    <w:p>
      <w:pPr>
        <w:numPr>
          <w:ilvl w:val="0"/>
          <w:numId w:val="0"/>
        </w:numPr>
        <w:ind w:firstLine="562" w:firstLineChars="200"/>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ind w:firstLine="560" w:firstLineChars="200"/>
        <w:rPr>
          <w:rFonts w:hint="eastAsia" w:ascii="仿宋" w:hAnsi="仿宋" w:eastAsia="仿宋" w:cs="仿宋"/>
          <w:sz w:val="28"/>
          <w:szCs w:val="28"/>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w:t>
      </w:r>
      <w:r>
        <w:rPr>
          <w:rFonts w:hint="eastAsia" w:ascii="仿宋" w:hAnsi="仿宋" w:eastAsia="仿宋" w:cs="仿宋"/>
          <w:sz w:val="28"/>
          <w:szCs w:val="28"/>
          <w:highlight w:val="none"/>
          <w:lang w:eastAsia="zh-CN"/>
        </w:rPr>
        <w:t>采用了市场法估价，</w:t>
      </w:r>
      <w:r>
        <w:rPr>
          <w:rFonts w:hint="eastAsia" w:ascii="仿宋" w:hAnsi="仿宋" w:eastAsia="仿宋" w:cs="仿宋"/>
          <w:sz w:val="28"/>
          <w:szCs w:val="28"/>
          <w:lang w:eastAsia="zh-CN"/>
        </w:rPr>
        <w:t>综合</w:t>
      </w:r>
      <w:r>
        <w:rPr>
          <w:rFonts w:hint="eastAsia" w:ascii="仿宋" w:hAnsi="仿宋" w:eastAsia="仿宋" w:cs="仿宋"/>
          <w:sz w:val="28"/>
          <w:szCs w:val="28"/>
        </w:rPr>
        <w:t>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ind w:firstLine="562" w:firstLineChars="20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接受委托后，我们会同委托人及相关当事人对估价对象进行了实地勘查，随后开展了广泛的市场调查，采用市场法进行估价测算，最后综合确定估价结果。</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实例A：当代拾光里住宅，2020年建成，总层数16层，所在层11层，3室2厅2卫，南北朝向，毛坯，建筑面积102平米，拟交易总价45万，折合单价约为4412元/平米，拟交易日期2022年02月份。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实例B：当代拾光里住宅，2020年建成，总层数16层，所在层3层，3室2厅2卫，南北朝向，毛坯，建筑面积117.3平米，拟交易总价55万，折合单价约为4689元/平米，拟交易日期2022年08月份。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实例C：当代拾光里住宅，2020年建成，总层数16层，所在层3层，3室2厅2卫，南北朝向，毛坯，建筑面积102.2平米，拟交易总价50万，折合单价约为4892元/平米，拟交易日期2022年08月份。</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24"/>
        <w:gridCol w:w="1575"/>
        <w:gridCol w:w="1564"/>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trPr>
        <w:tc>
          <w:tcPr>
            <w:tcW w:w="3321" w:type="dxa"/>
            <w:gridSpan w:val="2"/>
            <w:vAlign w:val="top"/>
          </w:tcPr>
          <w:p>
            <w:pPr>
              <w:keepNext w:val="0"/>
              <w:keepLines w:val="0"/>
              <w:pageBreakBefore w:val="0"/>
              <w:widowControl w:val="0"/>
              <w:kinsoku/>
              <w:wordWrap/>
              <w:overflowPunct/>
              <w:topLinePunct w:val="0"/>
              <w:autoSpaceDE/>
              <w:autoSpaceDN/>
              <w:bidi w:val="0"/>
              <w:adjustRightInd/>
              <w:snapToGrid w:val="0"/>
              <w:spacing w:line="0" w:lineRule="auto"/>
              <w:ind w:left="0" w:leftChars="0" w:right="0" w:rightChars="0" w:firstLine="0" w:firstLineChars="0"/>
              <w:jc w:val="center"/>
              <w:textAlignment w:val="auto"/>
              <w:outlineLvl w:val="9"/>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keepNext w:val="0"/>
              <w:keepLines w:val="0"/>
              <w:pageBreakBefore w:val="0"/>
              <w:widowControl w:val="0"/>
              <w:kinsoku/>
              <w:wordWrap/>
              <w:overflowPunct/>
              <w:topLinePunct w:val="0"/>
              <w:autoSpaceDE/>
              <w:autoSpaceDN/>
              <w:bidi w:val="0"/>
              <w:adjustRightInd/>
              <w:spacing w:line="0" w:lineRule="auto"/>
              <w:ind w:left="0" w:leftChars="0" w:right="0" w:rightChars="0" w:firstLine="0" w:firstLine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24" w:type="dxa"/>
            <w:vAlign w:val="center"/>
          </w:tcPr>
          <w:p>
            <w:pPr>
              <w:keepNext w:val="0"/>
              <w:keepLines w:val="0"/>
              <w:pageBreakBefore w:val="0"/>
              <w:widowControl w:val="0"/>
              <w:kinsoku/>
              <w:wordWrap/>
              <w:overflowPunct/>
              <w:topLinePunct w:val="0"/>
              <w:autoSpaceDE/>
              <w:autoSpaceDN/>
              <w:bidi w:val="0"/>
              <w:adjustRightInd/>
              <w:spacing w:line="0" w:lineRule="auto"/>
              <w:ind w:left="0" w:leftChars="0" w:right="0" w:rightChars="0" w:firstLine="0" w:firstLineChars="0"/>
              <w:jc w:val="center"/>
              <w:textAlignment w:val="auto"/>
              <w:outlineLvl w:val="9"/>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估价对象</w:t>
            </w:r>
          </w:p>
        </w:tc>
        <w:tc>
          <w:tcPr>
            <w:tcW w:w="1575" w:type="dxa"/>
            <w:vAlign w:val="center"/>
          </w:tcPr>
          <w:p>
            <w:pPr>
              <w:keepNext w:val="0"/>
              <w:keepLines w:val="0"/>
              <w:pageBreakBefore w:val="0"/>
              <w:widowControl w:val="0"/>
              <w:kinsoku/>
              <w:wordWrap/>
              <w:overflowPunct/>
              <w:topLinePunct w:val="0"/>
              <w:autoSpaceDE/>
              <w:autoSpaceDN/>
              <w:bidi w:val="0"/>
              <w:adjustRightInd/>
              <w:spacing w:line="0" w:lineRule="auto"/>
              <w:ind w:left="0" w:leftChars="0" w:right="0" w:rightChars="0" w:firstLine="0" w:firstLineChars="0"/>
              <w:jc w:val="center"/>
              <w:textAlignment w:val="auto"/>
              <w:outlineLvl w:val="9"/>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可比案例A</w:t>
            </w:r>
          </w:p>
        </w:tc>
        <w:tc>
          <w:tcPr>
            <w:tcW w:w="1564" w:type="dxa"/>
            <w:vAlign w:val="center"/>
          </w:tcPr>
          <w:p>
            <w:pPr>
              <w:keepNext w:val="0"/>
              <w:keepLines w:val="0"/>
              <w:pageBreakBefore w:val="0"/>
              <w:widowControl w:val="0"/>
              <w:kinsoku/>
              <w:wordWrap/>
              <w:overflowPunct/>
              <w:topLinePunct w:val="0"/>
              <w:autoSpaceDE/>
              <w:autoSpaceDN/>
              <w:bidi w:val="0"/>
              <w:adjustRightInd/>
              <w:spacing w:line="0" w:lineRule="auto"/>
              <w:ind w:left="0" w:leftChars="0" w:right="0" w:rightChars="0" w:firstLine="0" w:firstLineChars="0"/>
              <w:jc w:val="center"/>
              <w:textAlignment w:val="auto"/>
              <w:outlineLvl w:val="9"/>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keepNext w:val="0"/>
              <w:keepLines w:val="0"/>
              <w:pageBreakBefore w:val="0"/>
              <w:widowControl w:val="0"/>
              <w:kinsoku/>
              <w:wordWrap/>
              <w:overflowPunct/>
              <w:topLinePunct w:val="0"/>
              <w:autoSpaceDE/>
              <w:autoSpaceDN/>
              <w:bidi w:val="0"/>
              <w:adjustRightInd/>
              <w:spacing w:line="0" w:lineRule="auto"/>
              <w:ind w:left="0" w:leftChars="0" w:right="0" w:rightChars="0" w:firstLine="0" w:firstLineChars="0"/>
              <w:jc w:val="center"/>
              <w:textAlignment w:val="auto"/>
              <w:outlineLvl w:val="9"/>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3321" w:type="dxa"/>
            <w:gridSpan w:val="2"/>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座 落位 置</w:t>
            </w:r>
          </w:p>
        </w:tc>
        <w:tc>
          <w:tcPr>
            <w:tcW w:w="1424"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当代拾光里</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G3幢3层</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0306室</w:t>
            </w:r>
          </w:p>
        </w:tc>
        <w:tc>
          <w:tcPr>
            <w:tcW w:w="1575" w:type="dxa"/>
            <w:vAlign w:val="top"/>
          </w:tcPr>
          <w:p>
            <w:pPr>
              <w:numPr>
                <w:ilvl w:val="0"/>
                <w:numId w:val="0"/>
              </w:numPr>
              <w:spacing w:line="720" w:lineRule="auto"/>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当代拾光里</w:t>
            </w:r>
          </w:p>
        </w:tc>
        <w:tc>
          <w:tcPr>
            <w:tcW w:w="1564" w:type="dxa"/>
            <w:vAlign w:val="top"/>
          </w:tcPr>
          <w:p>
            <w:pPr>
              <w:numPr>
                <w:ilvl w:val="0"/>
                <w:numId w:val="0"/>
              </w:numPr>
              <w:spacing w:line="720" w:lineRule="auto"/>
              <w:ind w:left="0" w:leftChars="0" w:firstLine="0" w:firstLineChars="0"/>
              <w:jc w:val="center"/>
              <w:rPr>
                <w:rFonts w:hint="eastAsia" w:ascii="仿宋" w:hAnsi="仿宋" w:eastAsia="仿宋" w:cs="仿宋"/>
                <w:sz w:val="15"/>
                <w:szCs w:val="15"/>
                <w:vertAlign w:val="baseline"/>
                <w:lang w:val="en-US" w:eastAsia="zh-CN"/>
              </w:rPr>
            </w:pPr>
            <w:r>
              <w:rPr>
                <w:rFonts w:hint="eastAsia" w:ascii="仿宋" w:hAnsi="仿宋" w:eastAsia="仿宋" w:cs="仿宋"/>
                <w:sz w:val="21"/>
                <w:szCs w:val="21"/>
                <w:vertAlign w:val="baseline"/>
                <w:lang w:val="en-US" w:eastAsia="zh-CN"/>
              </w:rPr>
              <w:t>当代拾光里</w:t>
            </w:r>
          </w:p>
        </w:tc>
        <w:tc>
          <w:tcPr>
            <w:tcW w:w="1633" w:type="dxa"/>
            <w:vAlign w:val="top"/>
          </w:tcPr>
          <w:p>
            <w:pPr>
              <w:numPr>
                <w:ilvl w:val="0"/>
                <w:numId w:val="0"/>
              </w:numPr>
              <w:spacing w:line="720" w:lineRule="auto"/>
              <w:ind w:left="0" w:leftChars="0" w:firstLine="0" w:firstLineChars="0"/>
              <w:jc w:val="center"/>
              <w:rPr>
                <w:rFonts w:hint="eastAsia" w:ascii="仿宋" w:hAnsi="仿宋" w:eastAsia="仿宋" w:cs="仿宋"/>
                <w:sz w:val="15"/>
                <w:szCs w:val="15"/>
                <w:vertAlign w:val="baseline"/>
                <w:lang w:val="en-US" w:eastAsia="zh-CN"/>
              </w:rPr>
            </w:pPr>
            <w:r>
              <w:rPr>
                <w:rFonts w:hint="eastAsia" w:ascii="仿宋" w:hAnsi="仿宋" w:eastAsia="仿宋" w:cs="仿宋"/>
                <w:sz w:val="21"/>
                <w:szCs w:val="21"/>
                <w:vertAlign w:val="baseline"/>
                <w:lang w:val="en-US" w:eastAsia="zh-CN"/>
              </w:rPr>
              <w:t>当代拾光里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楼盘名称</w:t>
            </w:r>
          </w:p>
        </w:tc>
        <w:tc>
          <w:tcPr>
            <w:tcW w:w="1424" w:type="dxa"/>
            <w:vAlign w:val="center"/>
          </w:tcPr>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当代</w:t>
            </w:r>
            <w:r>
              <w:rPr>
                <w:rFonts w:hint="eastAsia" w:ascii="仿宋" w:hAnsi="仿宋" w:eastAsia="仿宋" w:cs="仿宋"/>
                <w:sz w:val="21"/>
                <w:szCs w:val="21"/>
                <w:vertAlign w:val="baseline"/>
                <w:lang w:val="en-US" w:eastAsia="zh-CN"/>
              </w:rPr>
              <w:t>拾光里</w:t>
            </w:r>
          </w:p>
        </w:tc>
        <w:tc>
          <w:tcPr>
            <w:tcW w:w="1575"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1"/>
                <w:szCs w:val="21"/>
                <w:vertAlign w:val="baseline"/>
                <w:lang w:val="en-US" w:eastAsia="zh-CN"/>
              </w:rPr>
              <w:t>当代拾光里</w:t>
            </w:r>
          </w:p>
        </w:tc>
        <w:tc>
          <w:tcPr>
            <w:tcW w:w="1564"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1"/>
                <w:szCs w:val="21"/>
                <w:vertAlign w:val="baseline"/>
                <w:lang w:val="en-US" w:eastAsia="zh-CN"/>
              </w:rPr>
              <w:t>当代拾光里</w:t>
            </w:r>
          </w:p>
        </w:tc>
        <w:tc>
          <w:tcPr>
            <w:tcW w:w="1633"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1"/>
                <w:szCs w:val="21"/>
                <w:vertAlign w:val="baseline"/>
                <w:lang w:val="en-US" w:eastAsia="zh-CN"/>
              </w:rPr>
              <w:t>当代拾光里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w:t>
            </w:r>
            <w:r>
              <w:rPr>
                <w:rFonts w:hint="eastAsia" w:ascii="仿宋" w:hAnsi="仿宋" w:eastAsia="仿宋" w:cs="仿宋"/>
                <w:color w:val="auto"/>
                <w:sz w:val="28"/>
                <w:szCs w:val="28"/>
                <w:lang w:val="en-US" w:eastAsia="zh-CN"/>
              </w:rPr>
              <w:t>M</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sz w:val="28"/>
                <w:szCs w:val="28"/>
                <w:vertAlign w:val="baseline"/>
                <w:lang w:val="en-US" w:eastAsia="zh-CN"/>
              </w:rPr>
              <w:t>)</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75"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4412</w:t>
            </w:r>
          </w:p>
        </w:tc>
        <w:tc>
          <w:tcPr>
            <w:tcW w:w="1564"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4689</w:t>
            </w:r>
          </w:p>
        </w:tc>
        <w:tc>
          <w:tcPr>
            <w:tcW w:w="1633"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4892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交易日期</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2022.08</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2022.02</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2022.08</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4"/>
                <w:szCs w:val="24"/>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修正系数</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较低</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较低</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较低</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2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75"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3/16</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11/16</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3/16</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毛坯</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毛坯</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毛坯</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朝</w:t>
            </w:r>
            <w:r>
              <w:rPr>
                <w:rFonts w:hint="eastAsia" w:ascii="仿宋" w:hAnsi="仿宋" w:eastAsia="仿宋" w:cs="仿宋"/>
                <w:sz w:val="24"/>
                <w:szCs w:val="24"/>
                <w:vertAlign w:val="baseline"/>
                <w:lang w:val="en-US" w:eastAsia="zh-CN"/>
              </w:rPr>
              <w:t>向及采光通风</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新旧程度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96%</w:t>
            </w:r>
          </w:p>
        </w:tc>
        <w:tc>
          <w:tcPr>
            <w:tcW w:w="157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96%</w:t>
            </w:r>
          </w:p>
        </w:tc>
        <w:tc>
          <w:tcPr>
            <w:tcW w:w="15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96%</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280" w:firstLineChars="10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 音</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424"/>
        <w:gridCol w:w="1589"/>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24"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估价对象</w:t>
            </w:r>
          </w:p>
        </w:tc>
        <w:tc>
          <w:tcPr>
            <w:tcW w:w="1589" w:type="dxa"/>
            <w:vAlign w:val="center"/>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4412</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4689</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4892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p>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24"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89"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所在楼层</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105</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朝</w:t>
            </w:r>
            <w:r>
              <w:rPr>
                <w:rFonts w:hint="eastAsia" w:ascii="仿宋" w:hAnsi="仿宋" w:eastAsia="仿宋" w:cs="仿宋"/>
                <w:sz w:val="24"/>
                <w:szCs w:val="24"/>
                <w:vertAlign w:val="baseline"/>
                <w:lang w:val="en-US" w:eastAsia="zh-CN"/>
              </w:rPr>
              <w:t>向及采光通风</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新旧程度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噪音</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105</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454"/>
        <w:gridCol w:w="1559"/>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3321" w:type="dxa"/>
            <w:gridSpan w:val="2"/>
            <w:vAlign w:val="top"/>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因素/内容</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454" w:type="dxa"/>
            <w:vAlign w:val="center"/>
          </w:tcPr>
          <w:p>
            <w:pPr>
              <w:keepNext w:val="0"/>
              <w:keepLines w:val="0"/>
              <w:pageBreakBefore w:val="0"/>
              <w:widowControl w:val="0"/>
              <w:kinsoku/>
              <w:wordWrap/>
              <w:overflowPunct/>
              <w:topLinePunct w:val="0"/>
              <w:autoSpaceDE/>
              <w:autoSpaceDN/>
              <w:bidi w:val="0"/>
              <w:adjustRightInd/>
              <w:spacing w:line="0" w:lineRule="atLeast"/>
              <w:ind w:left="0" w:leftChars="0" w:right="0" w:rightChars="0" w:firstLine="0" w:firstLine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w:t>
            </w:r>
          </w:p>
        </w:tc>
        <w:tc>
          <w:tcPr>
            <w:tcW w:w="1559"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454"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559"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4412</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4689</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4892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454"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9"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454"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9"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454"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9"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454"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9"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454"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100</w:t>
            </w:r>
          </w:p>
        </w:tc>
        <w:tc>
          <w:tcPr>
            <w:tcW w:w="1559"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trPr>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454"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9"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105</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454"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559"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4202</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4689</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4892</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由于可比实例A、B、C与估价对象条件因素相当类似，且比准价格相差不远，因此采取简单算数平均值的求取方法，估算其评估价格。</w:t>
      </w:r>
    </w:p>
    <w:p>
      <w:pPr>
        <w:ind w:firstLine="560" w:firstLineChars="200"/>
        <w:rPr>
          <w:rFonts w:hint="eastAsia" w:ascii="仿宋" w:hAnsi="仿宋" w:eastAsia="仿宋" w:cs="仿宋"/>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评估单价=（4202+4689+4892）</w:t>
      </w:r>
      <w:r>
        <w:rPr>
          <w:rFonts w:hint="default" w:ascii="仿宋_GB2312" w:hAnsi="宋体" w:eastAsia="仿宋_GB2312" w:cs="Times New Roman"/>
          <w:kern w:val="2"/>
          <w:sz w:val="28"/>
          <w:szCs w:val="28"/>
          <w:lang w:val="en-US" w:eastAsia="zh-CN" w:bidi="ar-SA"/>
        </w:rPr>
        <w:t>÷</w:t>
      </w:r>
      <w:r>
        <w:rPr>
          <w:rFonts w:hint="eastAsia" w:ascii="仿宋" w:hAnsi="仿宋" w:eastAsia="仿宋" w:cs="仿宋"/>
          <w:kern w:val="2"/>
          <w:sz w:val="28"/>
          <w:szCs w:val="28"/>
          <w:lang w:val="en-US" w:eastAsia="zh-CN" w:bidi="ar-SA"/>
        </w:rPr>
        <w:t>3≈4594(元/平米)</w:t>
      </w:r>
    </w:p>
    <w:p>
      <w:pPr>
        <w:ind w:firstLine="560" w:firstLineChars="200"/>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评估值=4594</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101.91</w:t>
      </w:r>
      <w:r>
        <w:rPr>
          <w:rFonts w:hint="eastAsia" w:ascii="仿宋" w:hAnsi="仿宋" w:eastAsia="仿宋" w:cs="仿宋"/>
          <w:kern w:val="2"/>
          <w:sz w:val="28"/>
          <w:szCs w:val="28"/>
          <w:lang w:val="en-US" w:eastAsia="zh-CN" w:bidi="ar-SA"/>
        </w:rPr>
        <w:t>≈468175（元）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cs="仿宋"/>
          <w:kern w:val="2"/>
          <w:sz w:val="28"/>
          <w:szCs w:val="28"/>
          <w:lang w:val="en-US" w:eastAsia="zh-CN" w:bidi="ar-SA"/>
        </w:rPr>
        <w:t>468175</w:t>
      </w:r>
      <w:r>
        <w:rPr>
          <w:rFonts w:hint="eastAsia" w:ascii="仿宋_GB2312" w:hAnsi="宋体" w:eastAsia="仿宋_GB2312" w:cs="Times New Roman"/>
          <w:kern w:val="2"/>
          <w:sz w:val="28"/>
          <w:szCs w:val="28"/>
          <w:highlight w:val="none"/>
          <w:lang w:val="en-US" w:eastAsia="zh-CN" w:bidi="ar-SA"/>
        </w:rPr>
        <w:t>元</w:t>
      </w:r>
      <w:r>
        <w:rPr>
          <w:rFonts w:hint="eastAsia" w:ascii="仿宋_GB2312" w:hAnsi="宋体" w:eastAsia="仿宋_GB2312" w:cs="Times New Roman"/>
          <w:kern w:val="2"/>
          <w:sz w:val="28"/>
          <w:szCs w:val="28"/>
          <w:lang w:val="en-US" w:eastAsia="zh-CN" w:bidi="ar-SA"/>
        </w:rPr>
        <w:t xml:space="preserve">(大写人民币肆拾陆万捌仟壹佰柒拾伍元整)。 </w:t>
      </w: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湖北循其本价格鉴定评估有限公司</w:t>
      </w:r>
    </w:p>
    <w:p>
      <w:pPr>
        <w:jc w:val="both"/>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 xml:space="preserve">                                  二0二二年八月十五日</w:t>
      </w:r>
    </w:p>
    <w:p>
      <w:pPr/>
    </w:p>
    <w:p>
      <w:pP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OGQwYzdjZGU5YTg4ZmU5N2E1ZmFlMTI3YTdhOGYifQ=="/>
  </w:docVars>
  <w:rsids>
    <w:rsidRoot w:val="28A2056D"/>
    <w:rsid w:val="03C263FA"/>
    <w:rsid w:val="09C9041E"/>
    <w:rsid w:val="0EBF0481"/>
    <w:rsid w:val="114A2AEE"/>
    <w:rsid w:val="161271C4"/>
    <w:rsid w:val="1FA11974"/>
    <w:rsid w:val="26133E87"/>
    <w:rsid w:val="28A2056D"/>
    <w:rsid w:val="2C99503A"/>
    <w:rsid w:val="35301450"/>
    <w:rsid w:val="378D6D31"/>
    <w:rsid w:val="3E307815"/>
    <w:rsid w:val="4CE57283"/>
    <w:rsid w:val="5B6D3BCE"/>
    <w:rsid w:val="5C564D8D"/>
    <w:rsid w:val="660776F2"/>
    <w:rsid w:val="745B3074"/>
    <w:rsid w:val="7DFF08C2"/>
    <w:rsid w:val="7F2102EF"/>
    <w:rsid w:val="7F53377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7479</Words>
  <Characters>9086</Characters>
  <Lines>0</Lines>
  <Paragraphs>0</Paragraphs>
  <ScaleCrop>false</ScaleCrop>
  <LinksUpToDate>false</LinksUpToDate>
  <CharactersWithSpaces>9740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2022-08-11T02:37:00Z</dcterms:created>
  <dc:creator>Administrator</dc:creator>
  <cp:lastModifiedBy>Administrator</cp:lastModifiedBy>
  <dcterms:modified xsi:type="dcterms:W3CDTF">2022-08-17T01:39:59Z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80D63C9395A54936B498D0D2F934D2E4</vt:lpwstr>
  </property>
</Properties>
</file>