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.........................13-20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bookmarkStart w:id="0" w:name="_GoBack"/>
      <w:bookmarkEnd w:id="0"/>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（六）估价结果确定..................................20</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lang w:val="en-US" w:eastAsia="zh-CN" w:bidi="ar-SA"/>
        </w:rPr>
        <w:t>受贵方（以下简称委托方）的委托，本公司于2022年07月20日派员对委托方列明的湖北诚威置业有限公司所有的、位于孝感市黄陂西路红光银都世纪城7幢7层702室，建筑面积为122.35㎡的住宅房屋（含相关权益）进行了现场实地查勘，并对估价对象房地产于估价时点2022年07月20日的市场价值进行了估价，为委托方确定财产处置参考价提供价格咨询参考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在整个估价过程中，估价人员本着独立、客观、公正的原则，根据估价目的，收集有关资料，按照估价程序，选择市场法对估价对象进行了评估。估价人员经过实地勘察和测算，确定估价对象在估价时点可能形成的市场价值为￥408404元(大写人民币肆拾万零捌仟肆佰零肆元整)</w:t>
      </w:r>
      <w:r>
        <w:rPr>
          <w:rFonts w:hint="eastAsia" w:ascii="仿宋_GB2312" w:hAnsi="宋体" w:eastAsia="仿宋_GB2312" w:cs="Times New Roman"/>
          <w:kern w:val="2"/>
          <w:sz w:val="28"/>
          <w:szCs w:val="28"/>
          <w:lang w:val="en-US" w:eastAsia="zh-CN" w:bidi="ar-SA"/>
        </w:rPr>
        <w:t>。</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 w:hAnsi="仿宋" w:eastAsia="仿宋"/>
          <w:sz w:val="30"/>
          <w:szCs w:val="30"/>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二0二二年七月二十五日</w:t>
      </w: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w:t>
      </w:r>
      <w:r>
        <w:rPr>
          <w:rFonts w:hint="eastAsia" w:ascii="仿宋_GB2312" w:hAnsi="仿宋" w:eastAsia="仿宋_GB2312"/>
          <w:b w:val="0"/>
          <w:bCs/>
          <w:sz w:val="28"/>
          <w:szCs w:val="28"/>
          <w:lang w:val="en-US" w:eastAsia="zh-CN"/>
        </w:rPr>
        <w:t>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4、估价结果是根据估价对象的使用年限，以及现场实物勘查情况，结合市场实际交易实例，采用市场法进行综合估算的。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5、评估过程中，没有考虑估价对象房屋租赁、产权抵押、查封等因素对估价结果的影响。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二0二二年七月二十五日</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346075</wp:posOffset>
                </wp:positionV>
                <wp:extent cx="555307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30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5pt;margin-top:27.25pt;height:0.05pt;width:437.25pt;z-index:251660288;mso-width-relative:page;mso-height-relative:page;" filled="f" stroked="t" coordsize="21600,21600" o:gfxdata="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wDw6NgAAAAJAQAADwAAAAAA&#10;AAABACAAAAAiAAAAZHJzL2Rvd25yZXYueG1sUEsBAhQAFAAAAAgAh07iQHPpizfaAQAAmAMAAA4A&#10;AAAAAAAAAQAgAAAAJwEAAGRycy9lMm9Eb2MueG1sUEsFBgAAAAAGAAYAWQEAAHMFA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71188</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湖北诚威置业有限公司所有的</w:t>
      </w:r>
    </w:p>
    <w:p>
      <w:pPr>
        <w:jc w:val="center"/>
        <w:rPr>
          <w:rFonts w:hint="eastAsia" w:ascii="仿宋" w:hAnsi="仿宋" w:eastAsia="仿宋"/>
          <w:b/>
          <w:bCs/>
          <w:sz w:val="32"/>
          <w:szCs w:val="32"/>
          <w:lang w:val="en-US" w:eastAsia="zh-CN"/>
        </w:rPr>
      </w:pPr>
      <w:r>
        <w:rPr>
          <w:rFonts w:hint="eastAsia" w:ascii="仿宋" w:hAnsi="仿宋" w:eastAsia="仿宋"/>
          <w:b/>
          <w:bCs/>
          <w:sz w:val="32"/>
          <w:szCs w:val="32"/>
          <w:lang w:val="en-US" w:eastAsia="zh-CN"/>
        </w:rPr>
        <w:t>位于孝感市黄陂西路红光银都世纪城7幢7层702室</w:t>
      </w:r>
    </w:p>
    <w:p>
      <w:pPr>
        <w:jc w:val="center"/>
        <w:rPr>
          <w:rFonts w:ascii="仿宋" w:hAnsi="仿宋" w:eastAsia="仿宋"/>
          <w:b/>
          <w:bCs/>
          <w:sz w:val="36"/>
          <w:szCs w:val="36"/>
        </w:rPr>
      </w:pPr>
      <w:r>
        <w:rPr>
          <w:rFonts w:hint="eastAsia" w:ascii="仿宋" w:hAnsi="仿宋" w:eastAsia="仿宋"/>
          <w:b/>
          <w:bCs/>
          <w:sz w:val="32"/>
          <w:szCs w:val="32"/>
        </w:rPr>
        <w:t>房地产估价结果报告</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委托方：孝感市孝南区人民法院</w:t>
      </w:r>
    </w:p>
    <w:p>
      <w:pPr>
        <w:numPr>
          <w:ilvl w:val="0"/>
          <w:numId w:val="0"/>
        </w:numPr>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2. 住所：</w:t>
      </w:r>
      <w:r>
        <w:rPr>
          <w:rFonts w:hint="eastAsia" w:ascii="仿宋_GB2312" w:hAnsi="宋体" w:eastAsia="仿宋_GB2312" w:cs="Times New Roman"/>
          <w:kern w:val="2"/>
          <w:sz w:val="28"/>
          <w:szCs w:val="28"/>
          <w:highlight w:val="none"/>
          <w:lang w:val="en-US" w:eastAsia="zh-CN" w:bidi="ar-SA"/>
        </w:rPr>
        <w:t>湖北省孝感市孝南区黄花路38号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highlight w:val="none"/>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本次估价对象范围为湖北诚威置业有限公司所有的、位于孝感市黄陂西路红光银都世纪城7幢7层702室，建筑面积为</w:t>
      </w:r>
      <w:r>
        <w:rPr>
          <w:rFonts w:hint="eastAsia" w:ascii="仿宋_GB2312" w:hAnsi="宋体" w:eastAsia="仿宋_GB2312" w:cs="Times New Roman"/>
          <w:kern w:val="2"/>
          <w:sz w:val="28"/>
          <w:szCs w:val="28"/>
          <w:highlight w:val="none"/>
          <w:lang w:val="en-US" w:eastAsia="zh-CN" w:bidi="ar-SA"/>
        </w:rPr>
        <w:t>122.35㎡的</w:t>
      </w:r>
      <w:r>
        <w:rPr>
          <w:rFonts w:hint="eastAsia" w:ascii="仿宋_GB2312" w:hAnsi="宋体" w:eastAsia="仿宋_GB2312" w:cs="Times New Roman"/>
          <w:kern w:val="2"/>
          <w:sz w:val="28"/>
          <w:szCs w:val="28"/>
          <w:lang w:val="en-US" w:eastAsia="zh-CN" w:bidi="ar-SA"/>
        </w:rPr>
        <w:t>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left="279" w:leftChars="133" w:firstLine="280" w:firstLineChars="100"/>
        <w:jc w:val="left"/>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w:t>
      </w:r>
      <w:r>
        <w:rPr>
          <w:rFonts w:hint="eastAsia" w:ascii="仿宋_GB2312" w:hAnsi="宋体" w:eastAsia="仿宋_GB2312" w:cs="Times New Roman"/>
          <w:kern w:val="2"/>
          <w:sz w:val="28"/>
          <w:szCs w:val="28"/>
          <w:highlight w:val="none"/>
          <w:lang w:val="en-US" w:eastAsia="zh-CN" w:bidi="ar-SA"/>
        </w:rPr>
        <w:t>书及房地产权登记信息等有关资料，可知估价对象实体状况如下：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孝感市黄陂西路红光银都世纪城7幢7层702室</w:t>
      </w:r>
      <w:r>
        <w:rPr>
          <w:rFonts w:hint="eastAsia" w:ascii="仿宋_GB2312" w:hAnsi="宋体" w:eastAsia="仿宋_GB2312" w:cs="Times New Roman"/>
          <w:kern w:val="2"/>
          <w:sz w:val="28"/>
          <w:szCs w:val="28"/>
          <w:highlight w:val="none"/>
          <w:lang w:val="en-US" w:eastAsia="zh-CN" w:bidi="ar-SA"/>
        </w:rPr>
        <w:t>，房屋所有权人为湖北诚威置业有限公司，建筑面积为122.35㎡，所在层/总层数为7/7，分摊土地面积为18.32㎡，土地使用期限至2087年02月20日止，房屋共有情况为单独所有，规划用途为成套住宅，房屋性质为市场化商品房，房屋结构为混合结构，竣工时间为2018年04月，不动产权证号为鄂（2018）孝感市不动产权第0008008号，登记日期为2018年07月27日。</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经现场勘验和调查，估价对象位于</w:t>
      </w:r>
      <w:r>
        <w:rPr>
          <w:rFonts w:hint="eastAsia" w:ascii="仿宋_GB2312" w:hAnsi="宋体" w:eastAsia="仿宋_GB2312" w:cs="Times New Roman"/>
          <w:kern w:val="2"/>
          <w:sz w:val="28"/>
          <w:szCs w:val="28"/>
          <w:lang w:val="en-US" w:eastAsia="zh-CN" w:bidi="ar-SA"/>
        </w:rPr>
        <w:t>孝感市黄陂大道135号、红光银都世纪城小区7</w:t>
      </w:r>
      <w:r>
        <w:rPr>
          <w:rFonts w:hint="eastAsia" w:ascii="仿宋_GB2312" w:hAnsi="宋体" w:eastAsia="仿宋_GB2312" w:cs="Times New Roman"/>
          <w:kern w:val="2"/>
          <w:sz w:val="28"/>
          <w:szCs w:val="28"/>
          <w:highlight w:val="none"/>
          <w:lang w:val="en-US" w:eastAsia="zh-CN" w:bidi="ar-SA"/>
        </w:rPr>
        <w:t>幢7层702室</w:t>
      </w:r>
      <w:r>
        <w:rPr>
          <w:rFonts w:hint="eastAsia" w:ascii="仿宋_GB2312" w:hAnsi="宋体" w:eastAsia="仿宋_GB2312" w:cs="Times New Roman"/>
          <w:kern w:val="2"/>
          <w:sz w:val="28"/>
          <w:szCs w:val="28"/>
          <w:lang w:val="en-US" w:eastAsia="zh-CN" w:bidi="ar-SA"/>
        </w:rPr>
        <w:t>，南北朝向，为多层步梯</w:t>
      </w:r>
      <w:r>
        <w:rPr>
          <w:rFonts w:hint="eastAsia" w:ascii="仿宋_GB2312" w:hAnsi="宋体" w:eastAsia="仿宋_GB2312" w:cs="Times New Roman"/>
          <w:kern w:val="2"/>
          <w:sz w:val="28"/>
          <w:szCs w:val="28"/>
          <w:highlight w:val="none"/>
          <w:lang w:val="en-US" w:eastAsia="zh-CN" w:bidi="ar-SA"/>
        </w:rPr>
        <w:t>住宅房屋，通</w:t>
      </w:r>
      <w:r>
        <w:rPr>
          <w:rFonts w:hint="eastAsia" w:ascii="仿宋_GB2312" w:hAnsi="宋体" w:eastAsia="仿宋_GB2312" w:cs="Times New Roman"/>
          <w:kern w:val="2"/>
          <w:sz w:val="28"/>
          <w:szCs w:val="28"/>
          <w:lang w:val="en-US" w:eastAsia="zh-CN" w:bidi="ar-SA"/>
        </w:rPr>
        <w:t>风采光较好，</w:t>
      </w:r>
      <w:r>
        <w:rPr>
          <w:rFonts w:hint="eastAsia" w:ascii="仿宋_GB2312" w:hAnsi="宋体" w:eastAsia="仿宋_GB2312" w:cs="Times New Roman"/>
          <w:kern w:val="2"/>
          <w:sz w:val="28"/>
          <w:szCs w:val="28"/>
          <w:highlight w:val="none"/>
          <w:lang w:val="en-US" w:eastAsia="zh-CN" w:bidi="ar-SA"/>
        </w:rPr>
        <w:t>户型为三室两厅，</w:t>
      </w:r>
      <w:r>
        <w:rPr>
          <w:rFonts w:hint="eastAsia" w:ascii="仿宋_GB2312" w:hAnsi="宋体" w:eastAsia="仿宋_GB2312" w:cs="Times New Roman"/>
          <w:kern w:val="2"/>
          <w:sz w:val="28"/>
          <w:szCs w:val="28"/>
          <w:lang w:val="en-US" w:eastAsia="zh-CN" w:bidi="ar-SA"/>
        </w:rPr>
        <w:t>房屋结构完好、坚固无变形，外观较新，</w:t>
      </w:r>
      <w:r>
        <w:rPr>
          <w:rFonts w:hint="eastAsia" w:ascii="仿宋" w:hAnsi="仿宋" w:eastAsia="仿宋"/>
          <w:color w:val="auto"/>
          <w:sz w:val="28"/>
          <w:szCs w:val="28"/>
          <w:lang w:val="en-US" w:eastAsia="zh-CN"/>
        </w:rPr>
        <w:t>室内为毛坯未</w:t>
      </w:r>
      <w:r>
        <w:rPr>
          <w:rFonts w:hint="eastAsia" w:ascii="仿宋_GB2312" w:hAnsi="宋体" w:eastAsia="仿宋_GB2312" w:cs="Times New Roman"/>
          <w:kern w:val="2"/>
          <w:sz w:val="28"/>
          <w:szCs w:val="28"/>
          <w:lang w:val="en-US" w:eastAsia="zh-CN" w:bidi="ar-SA"/>
        </w:rPr>
        <w:t>装修。</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二0二二年七月二十日。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spacing w:beforeLines="0" w:afterLines="0"/>
        <w:jc w:val="left"/>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cs="仿宋"/>
          <w:b w:val="0"/>
          <w:bCs w:val="0"/>
          <w:kern w:val="2"/>
          <w:sz w:val="28"/>
          <w:szCs w:val="28"/>
          <w:lang w:val="en-US" w:eastAsia="zh-CN" w:bidi="ar-SA"/>
        </w:rPr>
        <w:t>408404</w:t>
      </w:r>
      <w:r>
        <w:rPr>
          <w:rFonts w:hint="eastAsia" w:ascii="仿宋_GB2312" w:hAnsi="宋体" w:eastAsia="仿宋_GB2312" w:cs="Times New Roman"/>
          <w:kern w:val="2"/>
          <w:sz w:val="28"/>
          <w:szCs w:val="28"/>
          <w:lang w:val="en-US" w:eastAsia="zh-CN" w:bidi="ar-SA"/>
        </w:rPr>
        <w:t>元(大写人民币肆拾万零捌仟肆佰零肆元整)。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w:t>
      </w:r>
      <w:r>
        <w:rPr>
          <w:rFonts w:hint="eastAsia" w:ascii="仿宋_GB2312" w:hAnsi="宋体" w:eastAsia="仿宋_GB2312"/>
          <w:b/>
          <w:bCs/>
          <w:sz w:val="28"/>
          <w:szCs w:val="28"/>
          <w:lang w:val="en-US" w:eastAsia="zh-CN"/>
        </w:rPr>
        <w:t>（十二）估价专业人员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76"/>
        <w:gridCol w:w="1890"/>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姓　名</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资格证名称</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资格证号</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9" w:hRule="atLeast"/>
          <w:jc w:val="center"/>
        </w:trPr>
        <w:tc>
          <w:tcPr>
            <w:tcW w:w="118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孙 坚</w:t>
            </w:r>
          </w:p>
        </w:tc>
        <w:tc>
          <w:tcPr>
            <w:tcW w:w="1976"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价格鉴证师</w:t>
            </w:r>
          </w:p>
        </w:tc>
        <w:tc>
          <w:tcPr>
            <w:tcW w:w="1890"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color w:val="000000"/>
                <w:sz w:val="28"/>
                <w:szCs w:val="28"/>
                <w:lang w:val="zh-CN"/>
              </w:rPr>
              <w:t>0003035</w:t>
            </w:r>
          </w:p>
        </w:tc>
        <w:tc>
          <w:tcPr>
            <w:tcW w:w="2905" w:type="dxa"/>
            <w:vAlign w:val="center"/>
          </w:tcPr>
          <w:p>
            <w:pPr>
              <w:pStyle w:val="4"/>
              <w:keepNext w:val="0"/>
              <w:keepLines w:val="0"/>
              <w:pageBreakBefore w:val="0"/>
              <w:kinsoku/>
              <w:wordWrap/>
              <w:overflowPunct/>
              <w:topLinePunct w:val="0"/>
              <w:autoSpaceDE/>
              <w:autoSpaceDN/>
              <w:bidi w:val="0"/>
              <w:spacing w:line="520" w:lineRule="exact"/>
              <w:jc w:val="center"/>
              <w:textAlignment w:val="auto"/>
              <w:outlineLvl w:val="9"/>
              <w:rPr>
                <w:rFonts w:hint="eastAsia" w:ascii="仿宋_GB2312" w:hAnsi="仿宋_GB2312" w:eastAsia="仿宋_GB2312" w:cs="仿宋_GB2312"/>
                <w:color w:val="000000"/>
                <w:sz w:val="28"/>
                <w:szCs w:val="28"/>
                <w:lang w:val="zh-CN"/>
              </w:rPr>
            </w:pPr>
            <w:r>
              <w:rPr>
                <w:rFonts w:hint="eastAsia"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118110</wp:posOffset>
                  </wp:positionH>
                  <wp:positionV relativeFrom="paragraph">
                    <wp:posOffset>210820</wp:posOffset>
                  </wp:positionV>
                  <wp:extent cx="1273810" cy="491490"/>
                  <wp:effectExtent l="0" t="0" r="2540" b="3810"/>
                  <wp:wrapNone/>
                  <wp:docPr id="3" name="图片 2"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4" w:hRule="atLeast"/>
          <w:jc w:val="center"/>
        </w:trPr>
        <w:tc>
          <w:tcPr>
            <w:tcW w:w="118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刘汉生</w:t>
            </w:r>
          </w:p>
        </w:tc>
        <w:tc>
          <w:tcPr>
            <w:tcW w:w="1976"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价格鉴证师</w:t>
            </w:r>
          </w:p>
        </w:tc>
        <w:tc>
          <w:tcPr>
            <w:tcW w:w="1890" w:type="dxa"/>
            <w:vAlign w:val="center"/>
          </w:tcPr>
          <w:p>
            <w:pPr>
              <w:spacing w:line="600" w:lineRule="exact"/>
              <w:jc w:val="center"/>
              <w:rPr>
                <w:rFonts w:hint="eastAsia" w:ascii="仿宋_GB2312" w:hAnsi="仿宋_GB2312" w:eastAsia="仿宋_GB2312" w:cs="仿宋_GB2312"/>
                <w:color w:val="000000"/>
                <w:sz w:val="28"/>
                <w:szCs w:val="28"/>
                <w:highlight w:val="yellow"/>
                <w:lang w:val="zh-CN"/>
              </w:rPr>
            </w:pPr>
            <w:r>
              <w:rPr>
                <w:rStyle w:val="11"/>
                <w:rFonts w:hint="eastAsia" w:ascii="仿宋" w:hAnsi="仿宋" w:eastAsia="仿宋" w:cs="宋体"/>
                <w:color w:val="000000"/>
                <w:sz w:val="28"/>
                <w:szCs w:val="28"/>
                <w:highlight w:val="none"/>
              </w:rPr>
              <w:t>0017039</w:t>
            </w:r>
          </w:p>
        </w:tc>
        <w:tc>
          <w:tcPr>
            <w:tcW w:w="2905" w:type="dxa"/>
            <w:vAlign w:val="center"/>
          </w:tcPr>
          <w:p>
            <w:pPr>
              <w:pStyle w:val="4"/>
              <w:jc w:val="center"/>
              <w:rPr>
                <w:rFonts w:hint="eastAsia" w:ascii="仿宋" w:hAnsi="仿宋" w:eastAsia="仿宋"/>
                <w:color w:val="000000"/>
                <w:sz w:val="28"/>
                <w:szCs w:val="28"/>
                <w:highlight w:val="yellow"/>
              </w:rPr>
            </w:pPr>
            <w:r>
              <w:rPr>
                <w:sz w:val="28"/>
                <w:szCs w:val="28"/>
                <w:highlight w:val="yellow"/>
                <w:lang w:val="zh-CN" w:eastAsia="zh-CN"/>
              </w:rPr>
              <w:drawing>
                <wp:anchor distT="0" distB="0" distL="114300" distR="114300" simplePos="0" relativeHeight="251661312" behindDoc="0" locked="0" layoutInCell="1" allowOverlap="1">
                  <wp:simplePos x="0" y="0"/>
                  <wp:positionH relativeFrom="column">
                    <wp:posOffset>182245</wp:posOffset>
                  </wp:positionH>
                  <wp:positionV relativeFrom="paragraph">
                    <wp:posOffset>109855</wp:posOffset>
                  </wp:positionV>
                  <wp:extent cx="1304290" cy="902335"/>
                  <wp:effectExtent l="0" t="0" r="10795" b="0"/>
                  <wp:wrapNone/>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8"/>
                          <a:stretch>
                            <a:fillRect/>
                          </a:stretch>
                        </pic:blipFill>
                        <pic:spPr>
                          <a:xfrm>
                            <a:off x="0" y="0"/>
                            <a:ext cx="1304290" cy="9023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8"/>
                <w:szCs w:val="28"/>
                <w:highlight w:val="yellow"/>
                <w:lang w:val="zh-CN"/>
              </w:rPr>
            </w:pPr>
            <w:r>
              <w:rPr>
                <w:rFonts w:hint="eastAsia" w:ascii="仿宋" w:hAnsi="仿宋" w:eastAsia="仿宋"/>
                <w:color w:val="000000"/>
                <w:sz w:val="28"/>
                <w:szCs w:val="28"/>
                <w:highlight w:val="yellow"/>
              </w:rPr>
              <w:drawing>
                <wp:anchor distT="0" distB="0" distL="114300" distR="114300" simplePos="0" relativeHeight="251662336" behindDoc="0" locked="0" layoutInCell="1" allowOverlap="1">
                  <wp:simplePos x="0" y="0"/>
                  <wp:positionH relativeFrom="column">
                    <wp:posOffset>186690</wp:posOffset>
                  </wp:positionH>
                  <wp:positionV relativeFrom="page">
                    <wp:posOffset>815975</wp:posOffset>
                  </wp:positionV>
                  <wp:extent cx="635" cy="635"/>
                  <wp:effectExtent l="0" t="0" r="0" b="0"/>
                  <wp:wrapNone/>
                  <wp:docPr id="7" name="图片 7"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tc>
      </w:tr>
    </w:tbl>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22</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07</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25</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若无特别约定，估价结论有效期为从估价报告完成之日起壹年。超过有效期后需重新估价方可使用。</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6"/>
          <w:szCs w:val="36"/>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二0二二年七月二十五日</w:t>
      </w:r>
    </w:p>
    <w:p>
      <w:pPr>
        <w:jc w:val="center"/>
        <w:rPr>
          <w:rFonts w:hint="eastAsia" w:ascii="仿宋" w:hAnsi="仿宋" w:eastAsia="仿宋"/>
          <w:b/>
          <w:bCs/>
          <w:sz w:val="36"/>
          <w:szCs w:val="36"/>
          <w:lang w:val="en-US" w:eastAsia="zh-CN"/>
        </w:rPr>
      </w:pP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湖北诚威置业有限公司所有的</w:t>
      </w:r>
    </w:p>
    <w:p>
      <w:pPr>
        <w:jc w:val="center"/>
        <w:rPr>
          <w:rFonts w:hint="eastAsia" w:ascii="仿宋" w:hAnsi="仿宋" w:eastAsia="仿宋"/>
          <w:b/>
          <w:bCs/>
          <w:sz w:val="36"/>
          <w:szCs w:val="36"/>
          <w:lang w:val="en-US" w:eastAsia="zh-CN"/>
        </w:rPr>
      </w:pPr>
      <w:r>
        <w:rPr>
          <w:rFonts w:hint="eastAsia" w:ascii="仿宋" w:hAnsi="仿宋" w:eastAsia="仿宋"/>
          <w:b/>
          <w:bCs/>
          <w:sz w:val="36"/>
          <w:szCs w:val="36"/>
          <w:lang w:val="en-US" w:eastAsia="zh-CN"/>
        </w:rPr>
        <w:t>位于孝感市黄陂西路红光银都世纪城7幢7层702室</w:t>
      </w:r>
    </w:p>
    <w:p>
      <w:pPr>
        <w:jc w:val="center"/>
        <w:rPr>
          <w:rFonts w:hint="eastAsia" w:ascii="仿宋" w:hAnsi="仿宋" w:eastAsia="仿宋"/>
          <w:b/>
          <w:bCs/>
          <w:sz w:val="36"/>
          <w:szCs w:val="36"/>
        </w:rPr>
      </w:pPr>
      <w:r>
        <w:rPr>
          <w:rFonts w:hint="eastAsia" w:ascii="仿宋" w:hAnsi="仿宋" w:eastAsia="仿宋"/>
          <w:b/>
          <w:bCs/>
          <w:sz w:val="36"/>
          <w:szCs w:val="36"/>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孝感市黄陂西路红光银都世纪城7幢7层702室</w:t>
      </w:r>
      <w:r>
        <w:rPr>
          <w:rFonts w:hint="eastAsia" w:ascii="仿宋_GB2312" w:hAnsi="宋体" w:eastAsia="仿宋_GB2312" w:cs="Times New Roman"/>
          <w:kern w:val="2"/>
          <w:sz w:val="28"/>
          <w:szCs w:val="28"/>
          <w:highlight w:val="none"/>
          <w:lang w:val="en-US" w:eastAsia="zh-CN" w:bidi="ar-SA"/>
        </w:rPr>
        <w:t>，房屋所有权人为湖北诚威置业有限公司，建筑面积为122.35㎡，所在层/总层数为7/7，分摊土地面积为18.32㎡，土地使用期限至2087年02月20日止，房屋共有情况为单独所有，规划用途为成套住宅，房屋性质为市场化商品房，房屋结构为混合结构，竣工时间为2018年04月，不动产权证号为鄂（2018）孝感市不动产权第0008008号，登记日期为2018年07月27日。</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经现场勘验和调查，估价对象位于</w:t>
      </w:r>
      <w:r>
        <w:rPr>
          <w:rFonts w:hint="eastAsia" w:ascii="仿宋_GB2312" w:hAnsi="宋体" w:eastAsia="仿宋_GB2312" w:cs="Times New Roman"/>
          <w:kern w:val="2"/>
          <w:sz w:val="28"/>
          <w:szCs w:val="28"/>
          <w:lang w:val="en-US" w:eastAsia="zh-CN" w:bidi="ar-SA"/>
        </w:rPr>
        <w:t>孝感市黄陂大道135号、红光银都世纪城小区7</w:t>
      </w:r>
      <w:r>
        <w:rPr>
          <w:rFonts w:hint="eastAsia" w:ascii="仿宋_GB2312" w:hAnsi="宋体" w:eastAsia="仿宋_GB2312" w:cs="Times New Roman"/>
          <w:kern w:val="2"/>
          <w:sz w:val="28"/>
          <w:szCs w:val="28"/>
          <w:highlight w:val="none"/>
          <w:lang w:val="en-US" w:eastAsia="zh-CN" w:bidi="ar-SA"/>
        </w:rPr>
        <w:t>幢7层702室</w:t>
      </w:r>
      <w:r>
        <w:rPr>
          <w:rFonts w:hint="eastAsia" w:ascii="仿宋_GB2312" w:hAnsi="宋体" w:eastAsia="仿宋_GB2312" w:cs="Times New Roman"/>
          <w:kern w:val="2"/>
          <w:sz w:val="28"/>
          <w:szCs w:val="28"/>
          <w:lang w:val="en-US" w:eastAsia="zh-CN" w:bidi="ar-SA"/>
        </w:rPr>
        <w:t>，南北朝向，为多层步梯</w:t>
      </w:r>
      <w:r>
        <w:rPr>
          <w:rFonts w:hint="eastAsia" w:ascii="仿宋_GB2312" w:hAnsi="宋体" w:eastAsia="仿宋_GB2312" w:cs="Times New Roman"/>
          <w:kern w:val="2"/>
          <w:sz w:val="28"/>
          <w:szCs w:val="28"/>
          <w:highlight w:val="none"/>
          <w:lang w:val="en-US" w:eastAsia="zh-CN" w:bidi="ar-SA"/>
        </w:rPr>
        <w:t>住宅房屋，通</w:t>
      </w:r>
      <w:r>
        <w:rPr>
          <w:rFonts w:hint="eastAsia" w:ascii="仿宋_GB2312" w:hAnsi="宋体" w:eastAsia="仿宋_GB2312" w:cs="Times New Roman"/>
          <w:kern w:val="2"/>
          <w:sz w:val="28"/>
          <w:szCs w:val="28"/>
          <w:lang w:val="en-US" w:eastAsia="zh-CN" w:bidi="ar-SA"/>
        </w:rPr>
        <w:t>风采光较好，</w:t>
      </w:r>
      <w:r>
        <w:rPr>
          <w:rFonts w:hint="eastAsia" w:ascii="仿宋_GB2312" w:hAnsi="宋体" w:eastAsia="仿宋_GB2312" w:cs="Times New Roman"/>
          <w:kern w:val="2"/>
          <w:sz w:val="28"/>
          <w:szCs w:val="28"/>
          <w:highlight w:val="none"/>
          <w:lang w:val="en-US" w:eastAsia="zh-CN" w:bidi="ar-SA"/>
        </w:rPr>
        <w:t>户型为三室两厅，</w:t>
      </w:r>
      <w:r>
        <w:rPr>
          <w:rFonts w:hint="eastAsia" w:ascii="仿宋_GB2312" w:hAnsi="宋体" w:eastAsia="仿宋_GB2312" w:cs="Times New Roman"/>
          <w:kern w:val="2"/>
          <w:sz w:val="28"/>
          <w:szCs w:val="28"/>
          <w:lang w:val="en-US" w:eastAsia="zh-CN" w:bidi="ar-SA"/>
        </w:rPr>
        <w:t>房屋结构完好、坚固无变形，外观较新，</w:t>
      </w:r>
      <w:r>
        <w:rPr>
          <w:rFonts w:hint="eastAsia" w:ascii="仿宋" w:hAnsi="仿宋" w:eastAsia="仿宋"/>
          <w:color w:val="auto"/>
          <w:sz w:val="28"/>
          <w:szCs w:val="28"/>
          <w:lang w:val="en-US" w:eastAsia="zh-CN"/>
        </w:rPr>
        <w:t>室内为毛坯未</w:t>
      </w:r>
      <w:r>
        <w:rPr>
          <w:rFonts w:hint="eastAsia" w:ascii="仿宋_GB2312" w:hAnsi="宋体" w:eastAsia="仿宋_GB2312" w:cs="Times New Roman"/>
          <w:kern w:val="2"/>
          <w:sz w:val="28"/>
          <w:szCs w:val="28"/>
          <w:lang w:val="en-US" w:eastAsia="zh-CN" w:bidi="ar-SA"/>
        </w:rPr>
        <w:t>装修。</w:t>
      </w:r>
    </w:p>
    <w:p>
      <w:pPr>
        <w:numPr>
          <w:ilvl w:val="0"/>
          <w:numId w:val="0"/>
        </w:numPr>
        <w:ind w:firstLine="562"/>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二、估价对象区域因素分析</w:t>
      </w:r>
    </w:p>
    <w:p>
      <w:pPr>
        <w:ind w:firstLine="560" w:firstLineChars="200"/>
      </w:pPr>
      <w:r>
        <w:rPr>
          <w:rFonts w:hint="eastAsia" w:ascii="仿宋_GB2312" w:hAnsi="宋体" w:eastAsia="仿宋_GB2312" w:cs="Times New Roman"/>
          <w:kern w:val="2"/>
          <w:sz w:val="28"/>
          <w:szCs w:val="28"/>
          <w:lang w:val="en-US" w:eastAsia="zh-CN" w:bidi="ar-SA"/>
        </w:rPr>
        <w:t>估价对象位于</w:t>
      </w:r>
      <w:r>
        <w:rPr>
          <w:rFonts w:hint="eastAsia" w:ascii="仿宋_GB2312" w:hAnsi="宋体" w:eastAsia="仿宋_GB2312" w:cs="Times New Roman"/>
          <w:kern w:val="2"/>
          <w:sz w:val="28"/>
          <w:szCs w:val="28"/>
          <w:highlight w:val="none"/>
          <w:lang w:val="en-US" w:eastAsia="zh-CN" w:bidi="ar-SA"/>
        </w:rPr>
        <w:t>孝感市黄陂大道</w:t>
      </w:r>
      <w:r>
        <w:rPr>
          <w:rFonts w:hint="eastAsia" w:ascii="仿宋_GB2312" w:hAnsi="宋体" w:eastAsia="仿宋_GB2312" w:cs="Times New Roman"/>
          <w:kern w:val="2"/>
          <w:sz w:val="28"/>
          <w:szCs w:val="28"/>
          <w:lang w:val="en-US" w:eastAsia="zh-CN" w:bidi="ar-SA"/>
        </w:rPr>
        <w:t>135号红光</w:t>
      </w:r>
      <w:r>
        <w:rPr>
          <w:rFonts w:hint="eastAsia" w:ascii="仿宋_GB2312" w:hAnsi="宋体" w:eastAsia="仿宋_GB2312" w:cs="Times New Roman"/>
          <w:kern w:val="2"/>
          <w:sz w:val="28"/>
          <w:szCs w:val="28"/>
          <w:highlight w:val="none"/>
          <w:lang w:val="en-US" w:eastAsia="zh-CN" w:bidi="ar-SA"/>
        </w:rPr>
        <w:t>银都世纪城</w:t>
      </w:r>
      <w:r>
        <w:rPr>
          <w:rFonts w:hint="eastAsia" w:ascii="仿宋_GB2312" w:hAnsi="宋体" w:eastAsia="仿宋_GB2312" w:cs="Times New Roman"/>
          <w:kern w:val="2"/>
          <w:sz w:val="28"/>
          <w:szCs w:val="28"/>
          <w:lang w:val="en-US" w:eastAsia="zh-CN" w:bidi="ar-SA"/>
        </w:rPr>
        <w:t>小区。该小区环境卫生、绿化欠佳，物业管理尚可，24小时安保人员值守；该</w:t>
      </w:r>
      <w:r>
        <w:rPr>
          <w:rFonts w:hint="eastAsia" w:ascii="仿宋_GB2312" w:hAnsi="宋体" w:eastAsia="仿宋_GB2312" w:cs="Times New Roman"/>
          <w:kern w:val="2"/>
          <w:sz w:val="28"/>
          <w:szCs w:val="28"/>
          <w:highlight w:val="none"/>
          <w:lang w:val="en-US" w:eastAsia="zh-CN" w:bidi="ar-SA"/>
        </w:rPr>
        <w:t>区域属于</w:t>
      </w:r>
      <w:r>
        <w:rPr>
          <w:rFonts w:hint="eastAsia" w:ascii="仿宋" w:hAnsi="仿宋" w:eastAsia="仿宋"/>
          <w:sz w:val="30"/>
          <w:szCs w:val="30"/>
          <w:lang w:eastAsia="zh-CN"/>
        </w:rPr>
        <w:t>孝感市北城区经济核心圈，距离孝感火车站</w:t>
      </w:r>
      <w:r>
        <w:rPr>
          <w:rFonts w:hint="eastAsia" w:ascii="仿宋" w:hAnsi="仿宋" w:eastAsia="仿宋"/>
          <w:sz w:val="30"/>
          <w:szCs w:val="30"/>
          <w:lang w:val="en-US" w:eastAsia="zh-CN"/>
        </w:rPr>
        <w:t>2000米左右，</w:t>
      </w:r>
      <w:r>
        <w:rPr>
          <w:rFonts w:hint="eastAsia" w:ascii="仿宋_GB2312" w:hAnsi="宋体" w:eastAsia="仿宋_GB2312" w:cs="Times New Roman"/>
          <w:kern w:val="2"/>
          <w:sz w:val="28"/>
          <w:szCs w:val="28"/>
          <w:highlight w:val="none"/>
          <w:lang w:val="en-US" w:eastAsia="zh-CN" w:bidi="ar-SA"/>
        </w:rPr>
        <w:t>周</w:t>
      </w:r>
      <w:r>
        <w:rPr>
          <w:rFonts w:hint="eastAsia" w:ascii="仿宋_GB2312" w:hAnsi="宋体" w:eastAsia="仿宋_GB2312" w:cs="Times New Roman"/>
          <w:kern w:val="2"/>
          <w:sz w:val="28"/>
          <w:szCs w:val="28"/>
          <w:lang w:val="en-US" w:eastAsia="zh-CN" w:bidi="ar-SA"/>
        </w:rPr>
        <w:t>边生活、公共设施较为完善，配套较为齐全，</w:t>
      </w:r>
      <w:r>
        <w:rPr>
          <w:rFonts w:hint="eastAsia" w:ascii="仿宋" w:hAnsi="仿宋" w:eastAsia="仿宋"/>
          <w:sz w:val="30"/>
          <w:szCs w:val="30"/>
          <w:lang w:eastAsia="zh-CN"/>
        </w:rPr>
        <w:t>聚集着孝南区车站街道办事处党政机关，设有学校、幼儿园、超市、菜场，人口较稠密，商业较为繁华，</w:t>
      </w:r>
      <w:r>
        <w:rPr>
          <w:rFonts w:hint="eastAsia" w:ascii="仿宋_GB2312" w:hAnsi="宋体" w:eastAsia="仿宋_GB2312" w:cs="Times New Roman"/>
          <w:kern w:val="2"/>
          <w:sz w:val="28"/>
          <w:szCs w:val="28"/>
          <w:lang w:val="en-US" w:eastAsia="zh-CN" w:bidi="ar-SA"/>
        </w:rPr>
        <w:t>有各类大中小型商超、餐饮、休闲和专业银行网点遍布周围；</w:t>
      </w:r>
      <w:r>
        <w:rPr>
          <w:rFonts w:hint="eastAsia" w:ascii="仿宋" w:hAnsi="仿宋" w:eastAsia="仿宋"/>
          <w:sz w:val="30"/>
          <w:szCs w:val="30"/>
          <w:lang w:eastAsia="zh-CN"/>
        </w:rPr>
        <w:t>多路公交车由此通过，交通方便，</w:t>
      </w:r>
      <w:r>
        <w:rPr>
          <w:rFonts w:hint="eastAsia" w:ascii="仿宋" w:hAnsi="仿宋" w:eastAsia="仿宋" w:cs="仿宋"/>
          <w:color w:val="auto"/>
          <w:kern w:val="2"/>
          <w:sz w:val="28"/>
          <w:szCs w:val="28"/>
          <w:lang w:val="en-US" w:eastAsia="zh-CN" w:bidi="ar-SA"/>
        </w:rPr>
        <w:t>购物、休闲、出行、生活较为方便，</w:t>
      </w:r>
      <w:r>
        <w:rPr>
          <w:rFonts w:hint="eastAsia" w:ascii="仿宋" w:hAnsi="仿宋" w:eastAsia="仿宋" w:cs="仿宋"/>
          <w:i w:val="0"/>
          <w:caps w:val="0"/>
          <w:color w:val="333333"/>
          <w:spacing w:val="0"/>
          <w:sz w:val="28"/>
          <w:szCs w:val="28"/>
          <w:u w:val="none"/>
          <w:shd w:val="clear" w:fill="FFFFFF"/>
          <w:lang w:eastAsia="zh-CN"/>
        </w:rPr>
        <w:t>属于城市功能齐备的成熟商住区域</w:t>
      </w:r>
      <w:r>
        <w:rPr>
          <w:rFonts w:hint="eastAsia" w:ascii="仿宋" w:hAnsi="仿宋" w:eastAsia="仿宋"/>
          <w:sz w:val="28"/>
          <w:szCs w:val="28"/>
          <w:lang w:eastAsia="zh-CN"/>
        </w:rPr>
        <w:t>。</w:t>
      </w:r>
    </w:p>
    <w:p>
      <w:pPr>
        <w:numPr>
          <w:ilvl w:val="0"/>
          <w:numId w:val="0"/>
        </w:numPr>
        <w:ind w:firstLine="562" w:firstLineChars="200"/>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ind w:firstLine="560" w:firstLineChars="200"/>
        <w:rPr>
          <w:rFonts w:hint="eastAsia" w:ascii="仿宋" w:hAnsi="仿宋" w:eastAsia="仿宋" w:cs="仿宋"/>
          <w:sz w:val="28"/>
          <w:szCs w:val="28"/>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w:t>
      </w:r>
      <w:r>
        <w:rPr>
          <w:rFonts w:hint="eastAsia" w:ascii="仿宋" w:hAnsi="仿宋" w:eastAsia="仿宋" w:cs="仿宋"/>
          <w:sz w:val="28"/>
          <w:szCs w:val="28"/>
          <w:highlight w:val="none"/>
          <w:lang w:eastAsia="zh-CN"/>
        </w:rPr>
        <w:t>采用了市场法估价，</w:t>
      </w:r>
      <w:r>
        <w:rPr>
          <w:rFonts w:hint="eastAsia" w:ascii="仿宋" w:hAnsi="仿宋" w:eastAsia="仿宋" w:cs="仿宋"/>
          <w:sz w:val="28"/>
          <w:szCs w:val="28"/>
          <w:lang w:eastAsia="zh-CN"/>
        </w:rPr>
        <w:t>综合</w:t>
      </w:r>
      <w:r>
        <w:rPr>
          <w:rFonts w:hint="eastAsia" w:ascii="仿宋" w:hAnsi="仿宋" w:eastAsia="仿宋" w:cs="仿宋"/>
          <w:sz w:val="28"/>
          <w:szCs w:val="28"/>
        </w:rPr>
        <w:t>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ind w:firstLine="562" w:firstLineChars="20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接受委托后，我们会同委托人及相关当事人对估价对象进行了实地勘查，随后开展了广泛的市场调查，采用市场法进行了估价测算，确定估价结果。</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针对估价对象的功能和特点，根据替代原则，按用途相同、土地级别相同、价格类型相同等特点，对与估价对象在同一区域内的类似住宅进行了市场调查和比较分析，按照估价要求，筛选三个可比实例。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实例A：红阁家园小区住宅，2007年建成，总层数6层，所在层1层，3室2厅2卫，南北朝向，简单装修，建筑面积145.07平米，拟交易总价45万，折合单价约为3102元/平米，拟交易日期2022年03月份。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实例B：仁昌翰林苑小区住宅，2012年建成，总层数7层，所在层7层，3室2厅2卫，南北朝向，精装修，建筑面积148平米，拟交易总价52万，折合单价约为3514元/平米，拟交易日期2022年06月份。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实例C：仁昌翰林苑小区住宅，2012年建成，总层数7层，所在层2层，3室2厅2卫，南北朝向，精装修，建筑面积134平米，拟交易总价53万，折合单价约为3955元/平米，拟交易日期2022年04月份。</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24"/>
        <w:gridCol w:w="1575"/>
        <w:gridCol w:w="1564"/>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估价对象</w:t>
            </w:r>
          </w:p>
        </w:tc>
        <w:tc>
          <w:tcPr>
            <w:tcW w:w="1575"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可比案例A</w:t>
            </w:r>
          </w:p>
        </w:tc>
        <w:tc>
          <w:tcPr>
            <w:tcW w:w="1564"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座 落位 置</w:t>
            </w:r>
          </w:p>
        </w:tc>
        <w:tc>
          <w:tcPr>
            <w:tcW w:w="1424"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银都世纪城</w:t>
            </w:r>
          </w:p>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7幢7层</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702室</w:t>
            </w:r>
          </w:p>
        </w:tc>
        <w:tc>
          <w:tcPr>
            <w:tcW w:w="1575" w:type="dxa"/>
            <w:vAlign w:val="top"/>
          </w:tcPr>
          <w:p>
            <w:pPr>
              <w:numPr>
                <w:ilvl w:val="0"/>
                <w:numId w:val="0"/>
              </w:numPr>
              <w:spacing w:line="720" w:lineRule="auto"/>
              <w:ind w:left="0" w:leftChars="0" w:firstLine="0" w:firstLineChars="0"/>
              <w:jc w:val="center"/>
              <w:rPr>
                <w:rFonts w:hint="eastAsia" w:ascii="仿宋" w:hAnsi="仿宋" w:eastAsia="仿宋" w:cs="仿宋"/>
                <w:sz w:val="21"/>
                <w:szCs w:val="21"/>
                <w:vertAlign w:val="baseline"/>
                <w:lang w:val="en-US" w:eastAsia="zh-CN"/>
              </w:rPr>
            </w:pPr>
            <w:r>
              <w:rPr>
                <w:rFonts w:hint="eastAsia" w:ascii="仿宋" w:hAnsi="仿宋" w:eastAsia="仿宋" w:cs="仿宋"/>
                <w:sz w:val="24"/>
                <w:szCs w:val="24"/>
                <w:vertAlign w:val="baseline"/>
                <w:lang w:val="en-US" w:eastAsia="zh-CN"/>
              </w:rPr>
              <w:t>红阁家园</w:t>
            </w:r>
          </w:p>
        </w:tc>
        <w:tc>
          <w:tcPr>
            <w:tcW w:w="1564" w:type="dxa"/>
            <w:vAlign w:val="top"/>
          </w:tcPr>
          <w:p>
            <w:pPr>
              <w:numPr>
                <w:ilvl w:val="0"/>
                <w:numId w:val="0"/>
              </w:numPr>
              <w:spacing w:line="720" w:lineRule="auto"/>
              <w:ind w:left="0" w:leftChars="0" w:firstLine="0" w:firstLineChars="0"/>
              <w:jc w:val="center"/>
              <w:rPr>
                <w:rFonts w:hint="eastAsia" w:ascii="仿宋" w:hAnsi="仿宋" w:eastAsia="仿宋" w:cs="仿宋"/>
                <w:sz w:val="15"/>
                <w:szCs w:val="15"/>
                <w:vertAlign w:val="baseline"/>
                <w:lang w:val="en-US" w:eastAsia="zh-CN"/>
              </w:rPr>
            </w:pPr>
            <w:r>
              <w:rPr>
                <w:rFonts w:hint="eastAsia" w:ascii="仿宋" w:hAnsi="仿宋" w:eastAsia="仿宋" w:cs="仿宋"/>
                <w:sz w:val="24"/>
                <w:szCs w:val="24"/>
                <w:vertAlign w:val="baseline"/>
                <w:lang w:val="en-US" w:eastAsia="zh-CN"/>
              </w:rPr>
              <w:t>仁昌翰林苑</w:t>
            </w:r>
          </w:p>
        </w:tc>
        <w:tc>
          <w:tcPr>
            <w:tcW w:w="1633" w:type="dxa"/>
            <w:vAlign w:val="top"/>
          </w:tcPr>
          <w:p>
            <w:pPr>
              <w:numPr>
                <w:ilvl w:val="0"/>
                <w:numId w:val="0"/>
              </w:numPr>
              <w:spacing w:line="720" w:lineRule="auto"/>
              <w:ind w:left="0" w:leftChars="0" w:firstLine="0" w:firstLineChars="0"/>
              <w:jc w:val="center"/>
              <w:rPr>
                <w:rFonts w:hint="eastAsia" w:ascii="仿宋" w:hAnsi="仿宋" w:eastAsia="仿宋" w:cs="仿宋"/>
                <w:sz w:val="15"/>
                <w:szCs w:val="15"/>
                <w:vertAlign w:val="baseline"/>
                <w:lang w:val="en-US" w:eastAsia="zh-CN"/>
              </w:rPr>
            </w:pPr>
            <w:r>
              <w:rPr>
                <w:rFonts w:hint="eastAsia" w:ascii="仿宋" w:hAnsi="仿宋" w:eastAsia="仿宋" w:cs="仿宋"/>
                <w:sz w:val="24"/>
                <w:szCs w:val="24"/>
                <w:vertAlign w:val="baseline"/>
                <w:lang w:val="en-US" w:eastAsia="zh-CN"/>
              </w:rPr>
              <w:t>仁昌翰林苑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楼盘名称</w:t>
            </w:r>
          </w:p>
        </w:tc>
        <w:tc>
          <w:tcPr>
            <w:tcW w:w="1424" w:type="dxa"/>
            <w:vAlign w:val="center"/>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银都世纪城</w:t>
            </w:r>
          </w:p>
        </w:tc>
        <w:tc>
          <w:tcPr>
            <w:tcW w:w="1575"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红阁家园</w:t>
            </w:r>
          </w:p>
        </w:tc>
        <w:tc>
          <w:tcPr>
            <w:tcW w:w="1564"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仁昌翰林苑</w:t>
            </w:r>
          </w:p>
        </w:tc>
        <w:tc>
          <w:tcPr>
            <w:tcW w:w="1633"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sz w:val="24"/>
                <w:szCs w:val="24"/>
                <w:vertAlign w:val="baseline"/>
                <w:lang w:val="en-US" w:eastAsia="zh-CN"/>
              </w:rPr>
              <w:t>仁昌翰林苑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w:t>
            </w:r>
            <w:r>
              <w:rPr>
                <w:rFonts w:hint="eastAsia" w:ascii="仿宋" w:hAnsi="仿宋" w:eastAsia="仿宋" w:cs="仿宋"/>
                <w:color w:val="auto"/>
                <w:sz w:val="28"/>
                <w:szCs w:val="28"/>
                <w:lang w:val="en-US" w:eastAsia="zh-CN"/>
              </w:rPr>
              <w:t>M</w:t>
            </w:r>
            <w:r>
              <w:rPr>
                <w:rFonts w:hint="eastAsia" w:ascii="仿宋" w:hAnsi="仿宋" w:eastAsia="仿宋" w:cs="仿宋"/>
                <w:color w:val="auto"/>
                <w:sz w:val="28"/>
                <w:szCs w:val="28"/>
                <w:vertAlign w:val="superscript"/>
                <w:lang w:val="en-US" w:eastAsia="zh-CN"/>
              </w:rPr>
              <w:t>2</w:t>
            </w:r>
            <w:r>
              <w:rPr>
                <w:rFonts w:hint="eastAsia" w:ascii="仿宋" w:hAnsi="仿宋" w:eastAsia="仿宋" w:cs="仿宋"/>
                <w:sz w:val="28"/>
                <w:szCs w:val="28"/>
                <w:vertAlign w:val="baseline"/>
                <w:lang w:val="en-US" w:eastAsia="zh-CN"/>
              </w:rPr>
              <w:t>)</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75"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3102</w:t>
            </w:r>
          </w:p>
        </w:tc>
        <w:tc>
          <w:tcPr>
            <w:tcW w:w="1564"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3514</w:t>
            </w:r>
          </w:p>
        </w:tc>
        <w:tc>
          <w:tcPr>
            <w:tcW w:w="1633" w:type="dxa"/>
            <w:vAlign w:val="top"/>
          </w:tcPr>
          <w:p>
            <w:pPr>
              <w:jc w:val="center"/>
              <w:rPr>
                <w:rFonts w:hint="default"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3955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交易日期</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2022.07</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2022.03</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2022.06</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2022.04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4"/>
                <w:szCs w:val="24"/>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修正系数</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2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75"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权益状况说明</w:t>
            </w: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28"/>
                <w:szCs w:val="28"/>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7/7</w:t>
            </w:r>
          </w:p>
        </w:tc>
        <w:tc>
          <w:tcPr>
            <w:tcW w:w="1575"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1/6</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7/7</w:t>
            </w:r>
          </w:p>
        </w:tc>
        <w:tc>
          <w:tcPr>
            <w:tcW w:w="1633"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三房二厅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毛坯</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简单装修</w:t>
            </w:r>
          </w:p>
        </w:tc>
        <w:tc>
          <w:tcPr>
            <w:tcW w:w="156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精装修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南北，一般</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新旧程度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92%</w:t>
            </w:r>
          </w:p>
        </w:tc>
        <w:tc>
          <w:tcPr>
            <w:tcW w:w="1575"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70%</w:t>
            </w:r>
          </w:p>
        </w:tc>
        <w:tc>
          <w:tcPr>
            <w:tcW w:w="156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280" w:firstLineChars="100"/>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 音</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75"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56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院内，小</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24"/>
        <w:gridCol w:w="1589"/>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24"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估价对象</w:t>
            </w:r>
          </w:p>
        </w:tc>
        <w:tc>
          <w:tcPr>
            <w:tcW w:w="1589"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3102</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3514</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highlight w:val="none"/>
                <w:vertAlign w:val="baseline"/>
                <w:lang w:val="en-US" w:eastAsia="zh-CN"/>
              </w:rPr>
              <w:t>3955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2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w:t>
            </w:r>
          </w:p>
        </w:tc>
        <w:tc>
          <w:tcPr>
            <w:tcW w:w="142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p>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状况</w:t>
            </w:r>
          </w:p>
          <w:p>
            <w:pPr>
              <w:jc w:val="center"/>
              <w:rPr>
                <w:rFonts w:hint="eastAsia" w:ascii="仿宋" w:hAnsi="仿宋" w:eastAsia="仿宋" w:cs="仿宋"/>
                <w:sz w:val="28"/>
                <w:szCs w:val="28"/>
                <w:vertAlign w:val="baseline"/>
                <w:lang w:val="en-US" w:eastAsia="zh-CN"/>
              </w:rPr>
            </w:pP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说明</w:t>
            </w: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区域繁华程度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交通便捷程度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24"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89"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区域环境景观</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绿地覆盖度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城市规划</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房产类型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权属清晰情况</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建筑结构</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临街状态</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所在楼层</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面积大小</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布局户型</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装修情况</w:t>
            </w:r>
          </w:p>
        </w:tc>
        <w:tc>
          <w:tcPr>
            <w:tcW w:w="142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sz w:val="28"/>
                <w:szCs w:val="28"/>
                <w:vertAlign w:val="baseline"/>
                <w:lang w:val="en-US" w:eastAsia="zh-CN"/>
              </w:rPr>
              <w:t>105</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110</w:t>
            </w:r>
          </w:p>
        </w:tc>
        <w:tc>
          <w:tcPr>
            <w:tcW w:w="16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朝</w:t>
            </w:r>
            <w:r>
              <w:rPr>
                <w:rFonts w:hint="eastAsia" w:ascii="仿宋" w:hAnsi="仿宋" w:eastAsia="仿宋" w:cs="仿宋"/>
                <w:sz w:val="24"/>
                <w:szCs w:val="24"/>
                <w:vertAlign w:val="baseline"/>
                <w:lang w:val="en-US" w:eastAsia="zh-CN"/>
              </w:rPr>
              <w:t>向及采光通风</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98</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层高</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新旧程度</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96</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98</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280" w:firstLineChars="1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物业管理</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噪音</w:t>
            </w:r>
          </w:p>
        </w:tc>
        <w:tc>
          <w:tcPr>
            <w:tcW w:w="1424"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8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c>
          <w:tcPr>
            <w:tcW w:w="16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560" w:firstLineChars="200"/>
              <w:jc w:val="both"/>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小计</w:t>
            </w:r>
          </w:p>
        </w:tc>
        <w:tc>
          <w:tcPr>
            <w:tcW w:w="142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89"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99</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108</w:t>
            </w:r>
          </w:p>
        </w:tc>
        <w:tc>
          <w:tcPr>
            <w:tcW w:w="16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109</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454"/>
        <w:gridCol w:w="1559"/>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7"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54"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w:t>
            </w:r>
          </w:p>
        </w:tc>
        <w:tc>
          <w:tcPr>
            <w:tcW w:w="1559"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833" w:type="dxa"/>
            <w:vAlign w:val="top"/>
          </w:tcPr>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454"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559"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highlight w:val="none"/>
                <w:vertAlign w:val="baseline"/>
                <w:lang w:val="en-US" w:eastAsia="zh-CN"/>
              </w:rPr>
              <w:t>3102</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highlight w:val="none"/>
                <w:vertAlign w:val="baseline"/>
                <w:lang w:val="en-US" w:eastAsia="zh-CN"/>
              </w:rPr>
              <w:t>3514</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28"/>
                <w:szCs w:val="28"/>
                <w:highlight w:val="none"/>
                <w:vertAlign w:val="baseline"/>
                <w:lang w:val="en-US" w:eastAsia="zh-CN"/>
              </w:rPr>
              <w:t>3955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454"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454"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454" w:type="dxa"/>
            <w:vAlign w:val="top"/>
          </w:tcPr>
          <w:p>
            <w:pPr>
              <w:jc w:val="center"/>
              <w:rPr>
                <w:rFonts w:hint="default"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454"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454"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100</w:t>
            </w:r>
          </w:p>
        </w:tc>
        <w:tc>
          <w:tcPr>
            <w:tcW w:w="1559"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550"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c>
          <w:tcPr>
            <w:tcW w:w="1833" w:type="dxa"/>
            <w:vAlign w:val="top"/>
          </w:tcPr>
          <w:p>
            <w:pPr>
              <w:jc w:val="center"/>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45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99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108</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vertAlign w:val="baseline"/>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454"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559"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3133</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3254</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3628</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由于可比实例A、B、C与估价对象条件因素相当类似，且比准价格相差不远，因此采取简单算数平均值的求取方法。</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评估单价=（3133+3254+3628）</w:t>
      </w:r>
      <w:r>
        <w:rPr>
          <w:rFonts w:hint="default" w:ascii="仿宋_GB2312" w:hAnsi="宋体" w:eastAsia="仿宋_GB2312" w:cs="Times New Roman"/>
          <w:kern w:val="2"/>
          <w:sz w:val="28"/>
          <w:szCs w:val="28"/>
          <w:lang w:val="en-US" w:eastAsia="zh-CN" w:bidi="ar-SA"/>
        </w:rPr>
        <w:t>÷</w:t>
      </w:r>
      <w:r>
        <w:rPr>
          <w:rFonts w:hint="eastAsia" w:ascii="仿宋" w:hAnsi="仿宋" w:eastAsia="仿宋" w:cs="仿宋"/>
          <w:kern w:val="2"/>
          <w:sz w:val="28"/>
          <w:szCs w:val="28"/>
          <w:lang w:val="en-US" w:eastAsia="zh-CN" w:bidi="ar-SA"/>
        </w:rPr>
        <w:t>3≈3338(元/平米)</w:t>
      </w:r>
    </w:p>
    <w:p>
      <w:pPr>
        <w:ind w:firstLine="560" w:firstLineChars="200"/>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评估值=3338×122.35</w:t>
      </w:r>
      <w:r>
        <w:rPr>
          <w:rFonts w:hint="eastAsia" w:ascii="仿宋" w:hAnsi="仿宋" w:eastAsia="仿宋" w:cs="仿宋"/>
          <w:b w:val="0"/>
          <w:bCs w:val="0"/>
          <w:kern w:val="2"/>
          <w:sz w:val="28"/>
          <w:szCs w:val="28"/>
          <w:lang w:val="en-US" w:eastAsia="zh-CN" w:bidi="ar-SA"/>
        </w:rPr>
        <w:t>≈408404（元）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_GB2312" w:hAnsi="宋体" w:eastAsia="仿宋_GB2312" w:cs="Times New Roman"/>
          <w:kern w:val="2"/>
          <w:sz w:val="28"/>
          <w:szCs w:val="28"/>
          <w:highlight w:val="none"/>
          <w:lang w:val="en-US" w:eastAsia="zh-CN" w:bidi="ar-SA"/>
        </w:rPr>
        <w:t>￥</w:t>
      </w:r>
      <w:r>
        <w:rPr>
          <w:rFonts w:hint="eastAsia" w:ascii="仿宋" w:hAnsi="仿宋" w:eastAsia="仿宋" w:cs="仿宋"/>
          <w:b w:val="0"/>
          <w:bCs w:val="0"/>
          <w:kern w:val="2"/>
          <w:sz w:val="28"/>
          <w:szCs w:val="28"/>
          <w:lang w:val="en-US" w:eastAsia="zh-CN" w:bidi="ar-SA"/>
        </w:rPr>
        <w:t>408404</w:t>
      </w:r>
      <w:r>
        <w:rPr>
          <w:rFonts w:hint="eastAsia" w:ascii="仿宋_GB2312" w:hAnsi="宋体" w:eastAsia="仿宋_GB2312" w:cs="Times New Roman"/>
          <w:kern w:val="2"/>
          <w:sz w:val="28"/>
          <w:szCs w:val="28"/>
          <w:lang w:val="en-US" w:eastAsia="zh-CN" w:bidi="ar-SA"/>
        </w:rPr>
        <w:t>元(大写人民币肆拾万零捌仟肆佰零肆元整)。</w:t>
      </w:r>
    </w:p>
    <w:p>
      <w:pPr>
        <w:ind w:firstLine="560" w:firstLineChars="200"/>
        <w:rPr>
          <w:rFonts w:hint="default"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二0二二年七月二十五日</w:t>
      </w:r>
    </w:p>
    <w:p>
      <w:pPr/>
    </w:p>
    <w:p>
      <w:pPr/>
    </w:p>
    <w:p>
      <w:pPr/>
    </w:p>
    <w:p>
      <w:pPr/>
    </w:p>
    <w:p>
      <w:pPr/>
    </w:p>
    <w:p>
      <w:pP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20</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num w:numId="1">
    <w:abstractNumId w:val="15782135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OGQwYzdjZGU5YTg4ZmU5N2E1ZmFlMTI3YTdhOGYifQ=="/>
  </w:docVars>
  <w:rsids>
    <w:rsidRoot w:val="38CD2424"/>
    <w:rsid w:val="109E1350"/>
    <w:rsid w:val="173D29DD"/>
    <w:rsid w:val="21F27BBF"/>
    <w:rsid w:val="2BBE1E54"/>
    <w:rsid w:val="2BCB36E8"/>
    <w:rsid w:val="306C3781"/>
    <w:rsid w:val="31A237FE"/>
    <w:rsid w:val="34984755"/>
    <w:rsid w:val="3762046C"/>
    <w:rsid w:val="38CD2424"/>
    <w:rsid w:val="590D2D27"/>
    <w:rsid w:val="74547E66"/>
    <w:rsid w:val="758827E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2022-07-20T08:37:00Z</dcterms:created>
  <dc:creator>Administrator</dc:creator>
  <cp:lastModifiedBy>Administrator</cp:lastModifiedBy>
  <dcterms:modified xsi:type="dcterms:W3CDTF">2022-07-25T09:19:22Z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B252028BC9FF4B229A38C9E73F70DD75</vt:lpwstr>
  </property>
</Properties>
</file>