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ind w:firstLine="420"/>
        <w:rPr>
          <w:color w:val="auto"/>
        </w:rPr>
      </w:pPr>
    </w:p>
    <w:p>
      <w:pPr>
        <w:pStyle w:val="16"/>
        <w:ind w:firstLine="420"/>
        <w:rPr>
          <w:color w:val="auto"/>
        </w:rPr>
      </w:pPr>
    </w:p>
    <w:p>
      <w:pPr>
        <w:pStyle w:val="16"/>
        <w:ind w:firstLine="420"/>
        <w:rPr>
          <w:color w:val="auto"/>
        </w:rPr>
      </w:pPr>
    </w:p>
    <w:p>
      <w:pPr>
        <w:pStyle w:val="16"/>
        <w:ind w:firstLine="420"/>
        <w:rPr>
          <w:color w:val="auto"/>
        </w:rPr>
      </w:pPr>
    </w:p>
    <w:p>
      <w:pPr>
        <w:pStyle w:val="28"/>
        <w:bidi w:val="0"/>
        <w:rPr>
          <w:rFonts w:hint="eastAsia"/>
        </w:rPr>
      </w:pPr>
    </w:p>
    <w:p>
      <w:pPr>
        <w:pStyle w:val="28"/>
        <w:bidi w:val="0"/>
        <w:ind w:left="0" w:leftChars="0" w:firstLine="1121" w:firstLineChars="134"/>
        <w:rPr>
          <w:rFonts w:hint="eastAsia" w:ascii="方正粗黑宋简体" w:hAnsi="方正粗黑宋简体" w:eastAsia="方正粗黑宋简体" w:cs="方正粗黑宋简体"/>
          <w:b/>
          <w:bCs/>
          <w:color w:val="auto"/>
          <w:spacing w:val="57"/>
          <w:sz w:val="72"/>
          <w:szCs w:val="72"/>
        </w:rPr>
      </w:pPr>
      <w:r>
        <w:rPr>
          <w:rFonts w:hint="eastAsia"/>
          <w:b/>
          <w:bCs/>
          <w:spacing w:val="57"/>
          <w:sz w:val="72"/>
        </w:rPr>
        <w:t>房地产估价报告</w:t>
      </w:r>
    </w:p>
    <w:p>
      <w:pPr>
        <w:pStyle w:val="16"/>
        <w:ind w:firstLine="420"/>
        <w:rPr>
          <w:color w:val="auto"/>
        </w:rPr>
      </w:pPr>
      <w:r>
        <w:rPr>
          <w:rFonts w:hint="eastAsia"/>
          <w:color w:val="auto"/>
        </w:rPr>
        <w:tab/>
      </w:r>
    </w:p>
    <w:p>
      <w:pPr>
        <w:pStyle w:val="16"/>
        <w:ind w:firstLine="420"/>
        <w:rPr>
          <w:color w:val="auto"/>
        </w:rPr>
      </w:pPr>
    </w:p>
    <w:p>
      <w:pPr>
        <w:pStyle w:val="16"/>
        <w:ind w:firstLine="420"/>
        <w:rPr>
          <w:color w:val="auto"/>
        </w:rPr>
      </w:pPr>
    </w:p>
    <w:p>
      <w:pPr>
        <w:pStyle w:val="16"/>
        <w:ind w:firstLine="420"/>
        <w:rPr>
          <w:color w:val="auto"/>
          <w:kern w:val="0"/>
        </w:rPr>
      </w:pPr>
    </w:p>
    <w:p>
      <w:pPr>
        <w:pStyle w:val="16"/>
        <w:ind w:firstLine="420"/>
        <w:rPr>
          <w:color w:val="auto"/>
          <w:kern w:val="0"/>
        </w:rPr>
      </w:pPr>
    </w:p>
    <w:p>
      <w:pPr>
        <w:pStyle w:val="16"/>
        <w:ind w:firstLine="420"/>
        <w:rPr>
          <w:color w:val="auto"/>
          <w:kern w:val="0"/>
        </w:rPr>
      </w:pPr>
    </w:p>
    <w:p>
      <w:pPr>
        <w:pStyle w:val="16"/>
        <w:ind w:left="0" w:leftChars="0" w:firstLine="0" w:firstLineChars="0"/>
        <w:rPr>
          <w:rFonts w:hint="eastAsia" w:ascii="黑体" w:hAnsi="黑体" w:eastAsia="黑体" w:cs="黑体"/>
          <w:color w:val="auto"/>
          <w:kern w:val="0"/>
        </w:rPr>
      </w:pPr>
    </w:p>
    <w:p>
      <w:pPr>
        <w:pStyle w:val="16"/>
        <w:ind w:left="0" w:leftChars="0" w:firstLine="0" w:firstLineChars="0"/>
        <w:rPr>
          <w:color w:val="auto"/>
          <w:kern w:val="0"/>
        </w:rPr>
      </w:pPr>
    </w:p>
    <w:p>
      <w:pPr>
        <w:spacing w:line="480" w:lineRule="auto"/>
        <w:ind w:firstLine="608"/>
        <w:jc w:val="left"/>
        <w:rPr>
          <w:rFonts w:cs="宋体"/>
          <w:bCs/>
          <w:color w:val="auto"/>
          <w:spacing w:val="12"/>
          <w:sz w:val="28"/>
          <w:szCs w:val="28"/>
        </w:rPr>
      </w:pPr>
      <w:bookmarkStart w:id="0" w:name="_Toc17566"/>
    </w:p>
    <w:tbl>
      <w:tblPr>
        <w:tblStyle w:val="32"/>
        <w:tblpPr w:leftFromText="180" w:rightFromText="180" w:vertAnchor="text" w:horzAnchor="page" w:tblpX="1859" w:tblpY="319"/>
        <w:tblOverlap w:val="never"/>
        <w:tblW w:w="944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7"/>
        <w:gridCol w:w="64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3"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eastAsia="zh-CN"/>
              </w:rPr>
            </w:pPr>
            <w:r>
              <w:rPr>
                <w:rFonts w:hint="eastAsia"/>
                <w:sz w:val="32"/>
                <w:szCs w:val="32"/>
                <w:lang w:val="en-US" w:eastAsia="zh-CN"/>
              </w:rPr>
              <w:t>估价项目名称:</w:t>
            </w:r>
          </w:p>
        </w:tc>
        <w:tc>
          <w:tcPr>
            <w:tcW w:w="6483" w:type="dxa"/>
            <w:tcBorders>
              <w:tl2br w:val="nil"/>
              <w:tr2bl w:val="nil"/>
            </w:tcBorders>
            <w:vAlign w:val="center"/>
          </w:tcPr>
          <w:p>
            <w:pPr>
              <w:pStyle w:val="14"/>
              <w:bidi w:val="0"/>
              <w:ind w:left="0" w:leftChars="0" w:firstLine="0" w:firstLineChars="0"/>
              <w:jc w:val="left"/>
              <w:rPr>
                <w:rFonts w:hint="eastAsia"/>
                <w:sz w:val="32"/>
                <w:szCs w:val="32"/>
              </w:rPr>
            </w:pPr>
            <w:r>
              <w:rPr>
                <w:rFonts w:hint="eastAsia"/>
                <w:sz w:val="32"/>
                <w:szCs w:val="32"/>
                <w:lang w:eastAsia="zh-CN"/>
              </w:rPr>
              <w:t>王添鹏</w:t>
            </w:r>
            <w:r>
              <w:rPr>
                <w:rFonts w:hint="eastAsia"/>
                <w:sz w:val="32"/>
                <w:szCs w:val="32"/>
                <w:lang w:val="en-US" w:eastAsia="zh-CN"/>
              </w:rPr>
              <w:t>所有的</w:t>
            </w:r>
            <w:r>
              <w:rPr>
                <w:rFonts w:hint="eastAsia"/>
                <w:sz w:val="32"/>
                <w:szCs w:val="32"/>
              </w:rPr>
              <w:t>位于</w:t>
            </w:r>
            <w:r>
              <w:rPr>
                <w:rFonts w:hint="eastAsia"/>
                <w:sz w:val="32"/>
                <w:szCs w:val="32"/>
                <w:lang w:val="en-US" w:eastAsia="zh-CN"/>
              </w:rPr>
              <w:t>唐山市路北区祥荣里308楼8号住宅房地产市场价值评估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val="en-US" w:eastAsia="zh-CN"/>
              </w:rPr>
            </w:pPr>
            <w:r>
              <w:rPr>
                <w:rFonts w:hint="eastAsia"/>
                <w:sz w:val="32"/>
                <w:szCs w:val="32"/>
                <w:lang w:val="en-US" w:eastAsia="zh-CN"/>
              </w:rPr>
              <w:t>估价委托人：</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河北省唐山市中级人民法院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val="en-US" w:eastAsia="zh-CN"/>
              </w:rPr>
            </w:pPr>
            <w:r>
              <w:rPr>
                <w:rFonts w:hint="eastAsia"/>
                <w:sz w:val="32"/>
                <w:szCs w:val="32"/>
                <w:lang w:val="en-US" w:eastAsia="zh-CN"/>
              </w:rPr>
              <w:t>房地产估价机构：</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河北君泰达房地产资产评估咨询有限公司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eastAsia="zh-CN"/>
              </w:rPr>
            </w:pPr>
            <w:r>
              <w:rPr>
                <w:rFonts w:hint="eastAsia"/>
                <w:sz w:val="32"/>
                <w:szCs w:val="32"/>
                <w:lang w:val="en-US" w:eastAsia="zh-CN"/>
              </w:rPr>
              <w:t>注册房地产估价师：</w:t>
            </w:r>
          </w:p>
        </w:tc>
        <w:tc>
          <w:tcPr>
            <w:tcW w:w="6483" w:type="dxa"/>
            <w:tcBorders>
              <w:tl2br w:val="nil"/>
              <w:tr2bl w:val="nil"/>
            </w:tcBorders>
            <w:vAlign w:val="center"/>
          </w:tcPr>
          <w:p>
            <w:pPr>
              <w:pStyle w:val="14"/>
              <w:bidi w:val="0"/>
              <w:ind w:left="0" w:leftChars="0" w:firstLine="0" w:firstLineChars="0"/>
              <w:jc w:val="left"/>
              <w:rPr>
                <w:rFonts w:hint="eastAsia"/>
                <w:sz w:val="32"/>
                <w:szCs w:val="32"/>
              </w:rPr>
            </w:pPr>
            <w:r>
              <w:rPr>
                <w:rFonts w:hint="eastAsia"/>
                <w:sz w:val="32"/>
                <w:szCs w:val="32"/>
                <w:lang w:val="en-US" w:eastAsia="zh-CN"/>
              </w:rPr>
              <w:t>刘亚莉（注册号：1320110038）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jc w:val="right"/>
        </w:trPr>
        <w:tc>
          <w:tcPr>
            <w:tcW w:w="2957" w:type="dxa"/>
            <w:tcBorders>
              <w:tl2br w:val="nil"/>
              <w:tr2bl w:val="nil"/>
            </w:tcBorders>
            <w:vAlign w:val="center"/>
          </w:tcPr>
          <w:p>
            <w:pPr>
              <w:pStyle w:val="14"/>
              <w:bidi w:val="0"/>
              <w:jc w:val="distribute"/>
              <w:rPr>
                <w:rFonts w:hint="eastAsia"/>
                <w:sz w:val="32"/>
                <w:szCs w:val="32"/>
                <w:lang w:eastAsia="zh-CN"/>
              </w:rPr>
            </w:pPr>
          </w:p>
        </w:tc>
        <w:tc>
          <w:tcPr>
            <w:tcW w:w="6483" w:type="dxa"/>
            <w:tcBorders>
              <w:tl2br w:val="nil"/>
              <w:tr2bl w:val="nil"/>
            </w:tcBorders>
            <w:vAlign w:val="center"/>
          </w:tcPr>
          <w:p>
            <w:pPr>
              <w:pStyle w:val="14"/>
              <w:bidi w:val="0"/>
              <w:ind w:left="0" w:leftChars="0" w:firstLine="0" w:firstLineChars="0"/>
              <w:jc w:val="left"/>
              <w:rPr>
                <w:rFonts w:hint="eastAsia"/>
                <w:sz w:val="32"/>
                <w:szCs w:val="32"/>
              </w:rPr>
            </w:pPr>
            <w:r>
              <w:rPr>
                <w:rFonts w:hint="eastAsia"/>
                <w:sz w:val="32"/>
                <w:szCs w:val="32"/>
                <w:lang w:val="en-US" w:eastAsia="zh-CN"/>
              </w:rPr>
              <w:t>李敬华（注册号：1320200014）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val="en-US" w:eastAsia="zh-CN"/>
              </w:rPr>
            </w:pPr>
            <w:r>
              <w:rPr>
                <w:rFonts w:hint="eastAsia"/>
                <w:sz w:val="32"/>
                <w:szCs w:val="32"/>
                <w:lang w:val="en-US" w:eastAsia="zh-CN"/>
              </w:rPr>
              <w:t>估价报告出具日期：</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2022年9月14日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right"/>
        </w:trPr>
        <w:tc>
          <w:tcPr>
            <w:tcW w:w="2957" w:type="dxa"/>
            <w:tcBorders>
              <w:tl2br w:val="nil"/>
              <w:tr2bl w:val="nil"/>
            </w:tcBorders>
            <w:vAlign w:val="center"/>
          </w:tcPr>
          <w:p>
            <w:pPr>
              <w:pStyle w:val="14"/>
              <w:bidi w:val="0"/>
              <w:ind w:left="0" w:leftChars="0" w:firstLine="0" w:firstLineChars="0"/>
              <w:jc w:val="distribute"/>
              <w:rPr>
                <w:rFonts w:hint="eastAsia"/>
                <w:sz w:val="32"/>
                <w:szCs w:val="32"/>
                <w:lang w:eastAsia="zh-CN"/>
              </w:rPr>
            </w:pPr>
            <w:r>
              <w:rPr>
                <w:rFonts w:hint="eastAsia"/>
                <w:sz w:val="32"/>
                <w:szCs w:val="32"/>
                <w:lang w:val="en-US" w:eastAsia="zh-CN"/>
              </w:rPr>
              <w:t>估价报告编号：</w:t>
            </w:r>
          </w:p>
        </w:tc>
        <w:tc>
          <w:tcPr>
            <w:tcW w:w="6483" w:type="dxa"/>
            <w:tcBorders>
              <w:tl2br w:val="nil"/>
              <w:tr2bl w:val="nil"/>
            </w:tcBorders>
            <w:vAlign w:val="center"/>
          </w:tcPr>
          <w:p>
            <w:pPr>
              <w:pStyle w:val="14"/>
              <w:bidi w:val="0"/>
              <w:ind w:left="0" w:leftChars="0" w:firstLine="0" w:firstLineChars="0"/>
              <w:jc w:val="left"/>
              <w:rPr>
                <w:rFonts w:hint="eastAsia"/>
                <w:sz w:val="32"/>
                <w:szCs w:val="32"/>
                <w:lang w:val="en-US" w:eastAsia="zh-CN"/>
              </w:rPr>
            </w:pPr>
          </w:p>
          <w:p>
            <w:pPr>
              <w:pStyle w:val="14"/>
              <w:bidi w:val="0"/>
              <w:ind w:left="0" w:leftChars="0" w:firstLine="0" w:firstLineChars="0"/>
              <w:jc w:val="left"/>
              <w:rPr>
                <w:rFonts w:hint="eastAsia"/>
                <w:sz w:val="32"/>
                <w:szCs w:val="32"/>
                <w:lang w:val="en-US" w:eastAsia="zh-CN"/>
              </w:rPr>
            </w:pPr>
            <w:r>
              <w:rPr>
                <w:rFonts w:hint="eastAsia"/>
                <w:sz w:val="32"/>
                <w:szCs w:val="32"/>
                <w:lang w:val="en-US" w:eastAsia="zh-CN"/>
              </w:rPr>
              <w:t>河北君泰达估2022字第SZ-022号</w:t>
            </w:r>
          </w:p>
          <w:p>
            <w:pPr>
              <w:pStyle w:val="14"/>
              <w:bidi w:val="0"/>
              <w:jc w:val="left"/>
              <w:rPr>
                <w:rFonts w:hint="eastAsia"/>
                <w:sz w:val="32"/>
                <w:szCs w:val="32"/>
              </w:rPr>
            </w:pPr>
          </w:p>
        </w:tc>
      </w:tr>
    </w:tbl>
    <w:p>
      <w:pPr>
        <w:spacing w:line="480" w:lineRule="auto"/>
        <w:ind w:firstLine="198" w:firstLineChars="71"/>
        <w:jc w:val="left"/>
        <w:rPr>
          <w:rFonts w:ascii="宋体" w:hAnsi="宋体" w:cs="宋体"/>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518" w:right="1322" w:bottom="1361" w:left="1624" w:header="851" w:footer="992" w:gutter="0"/>
          <w:pgNumType w:start="0"/>
          <w:cols w:space="720" w:num="1"/>
          <w:titlePg/>
          <w:docGrid w:type="lines" w:linePitch="312" w:charSpace="0"/>
        </w:sectPr>
      </w:pPr>
    </w:p>
    <w:p>
      <w:pPr>
        <w:pStyle w:val="40"/>
        <w:bidi w:val="0"/>
        <w:jc w:val="center"/>
        <w:rPr>
          <w:rFonts w:hint="eastAsia"/>
          <w:sz w:val="36"/>
          <w:szCs w:val="36"/>
          <w:lang w:val="en-US" w:eastAsia="zh-CN"/>
        </w:rPr>
      </w:pPr>
      <w:bookmarkStart w:id="1" w:name="_Toc24802"/>
      <w:bookmarkStart w:id="2" w:name="_Toc442252866"/>
      <w:bookmarkStart w:id="3" w:name="_Toc35517980"/>
      <w:bookmarkStart w:id="4" w:name="_Toc442339764"/>
      <w:bookmarkStart w:id="5" w:name="_Toc493605517"/>
      <w:bookmarkStart w:id="6" w:name="_Toc28618"/>
      <w:bookmarkStart w:id="7" w:name="_Toc352578775"/>
      <w:bookmarkStart w:id="8" w:name="_Toc697"/>
      <w:r>
        <w:rPr>
          <w:rFonts w:hint="eastAsia"/>
          <w:sz w:val="36"/>
          <w:szCs w:val="36"/>
          <w:lang w:val="en-US" w:eastAsia="zh-CN"/>
        </w:rPr>
        <w:t>致估价委托人函</w:t>
      </w:r>
      <w:bookmarkEnd w:id="1"/>
      <w:bookmarkEnd w:id="2"/>
      <w:bookmarkEnd w:id="3"/>
      <w:bookmarkEnd w:id="4"/>
      <w:bookmarkEnd w:id="5"/>
    </w:p>
    <w:p>
      <w:pPr>
        <w:pStyle w:val="40"/>
        <w:bidi w:val="0"/>
        <w:jc w:val="center"/>
        <w:rPr>
          <w:rFonts w:hint="eastAsia"/>
          <w:sz w:val="36"/>
          <w:szCs w:val="36"/>
          <w:lang w:val="en-US" w:eastAsia="zh-CN"/>
        </w:rPr>
      </w:pPr>
    </w:p>
    <w:p>
      <w:pPr>
        <w:bidi w:val="0"/>
        <w:rPr>
          <w:rFonts w:hint="eastAsia"/>
          <w:b/>
          <w:bCs/>
          <w:lang w:val="en-US" w:eastAsia="zh-CN"/>
        </w:rPr>
      </w:pPr>
      <w:bookmarkStart w:id="9" w:name="_Toc35517981"/>
    </w:p>
    <w:p>
      <w:pPr>
        <w:bidi w:val="0"/>
        <w:rPr>
          <w:rFonts w:hint="eastAsia"/>
          <w:b/>
          <w:bCs/>
          <w:lang w:val="en-US" w:eastAsia="zh-CN"/>
        </w:rPr>
      </w:pPr>
      <w:r>
        <w:rPr>
          <w:rFonts w:hint="eastAsia"/>
          <w:b/>
          <w:bCs/>
          <w:lang w:val="en-US" w:eastAsia="zh-CN"/>
        </w:rPr>
        <w:t>河北省唐山市中级人民法院：</w:t>
      </w:r>
      <w:bookmarkEnd w:id="9"/>
    </w:p>
    <w:p>
      <w:pPr>
        <w:bidi w:val="0"/>
      </w:pPr>
      <w:bookmarkStart w:id="10" w:name="_Toc35517982"/>
      <w:r>
        <w:rPr>
          <w:rFonts w:hint="eastAsia"/>
        </w:rPr>
        <w:t>受贵方委托，我公司对</w:t>
      </w:r>
      <w:r>
        <w:rPr>
          <w:rFonts w:hint="eastAsia"/>
          <w:lang w:eastAsia="zh-CN"/>
        </w:rPr>
        <w:t>王添鹏</w:t>
      </w:r>
      <w:r>
        <w:rPr>
          <w:rFonts w:hint="eastAsia"/>
        </w:rPr>
        <w:t>所有的位于</w:t>
      </w:r>
      <w:r>
        <w:rPr>
          <w:rFonts w:hint="eastAsia"/>
          <w:lang w:val="en-US" w:eastAsia="zh-CN"/>
        </w:rPr>
        <w:t>唐山市路北区祥荣里308楼8号</w:t>
      </w:r>
      <w:r>
        <w:rPr>
          <w:rFonts w:hint="eastAsia"/>
          <w:lang w:eastAsia="zh-CN"/>
        </w:rPr>
        <w:t>，</w:t>
      </w:r>
      <w:r>
        <w:rPr>
          <w:rFonts w:hint="eastAsia"/>
          <w:lang w:val="en-US" w:eastAsia="zh-CN"/>
        </w:rPr>
        <w:t>建筑面积为198.61㎡住宅</w:t>
      </w:r>
      <w:r>
        <w:rPr>
          <w:rFonts w:hint="eastAsia"/>
        </w:rPr>
        <w:t>房地产市场价值进行了评估。</w:t>
      </w:r>
      <w:bookmarkEnd w:id="10"/>
    </w:p>
    <w:p>
      <w:pPr>
        <w:bidi w:val="0"/>
      </w:pPr>
      <w:r>
        <w:rPr>
          <w:rFonts w:hint="eastAsia"/>
        </w:rPr>
        <w:t>估价目的：为人民法院确定财产处置参考价提供参考依据</w:t>
      </w:r>
    </w:p>
    <w:p>
      <w:pPr>
        <w:bidi w:val="0"/>
        <w:rPr>
          <w:rFonts w:hint="default"/>
          <w:lang w:val="en-US" w:eastAsia="zh-CN"/>
        </w:rPr>
      </w:pPr>
      <w:r>
        <w:rPr>
          <w:rFonts w:hint="eastAsia"/>
        </w:rPr>
        <w:t>估价对象：</w:t>
      </w:r>
      <w:r>
        <w:rPr>
          <w:rFonts w:hint="eastAsia"/>
          <w:lang w:val="en-US" w:eastAsia="zh-CN"/>
        </w:rPr>
        <w:t>路北区祥荣里308楼8号住宅及配套附属设施(包含装修、地下室等，</w:t>
      </w:r>
      <w:r>
        <w:rPr>
          <w:rFonts w:hint="eastAsia"/>
        </w:rPr>
        <w:t>不包</w:t>
      </w:r>
      <w:r>
        <w:rPr>
          <w:rFonts w:hint="eastAsia"/>
          <w:lang w:val="en-US" w:eastAsia="zh-CN"/>
        </w:rPr>
        <w:t>含有收藏价值的特殊物品)。</w:t>
      </w:r>
      <w:r>
        <w:rPr>
          <w:rFonts w:hint="eastAsia"/>
          <w:lang w:val="en-US" w:eastAsia="zh-CN"/>
        </w:rPr>
        <w:tab/>
      </w:r>
    </w:p>
    <w:p>
      <w:pPr>
        <w:bidi w:val="0"/>
        <w:rPr>
          <w:rFonts w:hint="eastAsia"/>
          <w:lang w:eastAsia="zh-CN"/>
        </w:rPr>
      </w:pPr>
      <w:r>
        <w:rPr>
          <w:rFonts w:hint="eastAsia"/>
        </w:rPr>
        <w:t>价值时点：</w:t>
      </w:r>
      <w:r>
        <w:rPr>
          <w:rFonts w:hint="eastAsia"/>
          <w:lang w:eastAsia="zh-CN"/>
        </w:rPr>
        <w:t>2022年9月8日</w:t>
      </w:r>
    </w:p>
    <w:p>
      <w:pPr>
        <w:bidi w:val="0"/>
      </w:pPr>
      <w:r>
        <w:rPr>
          <w:rFonts w:hint="eastAsia"/>
        </w:rPr>
        <w:t>价值类型：市场价值</w:t>
      </w:r>
    </w:p>
    <w:p>
      <w:pPr>
        <w:bidi w:val="0"/>
      </w:pPr>
      <w:r>
        <w:rPr>
          <w:rFonts w:hint="eastAsia"/>
        </w:rPr>
        <w:t>估价方法：比较法、收益法</w:t>
      </w:r>
    </w:p>
    <w:p>
      <w:pPr>
        <w:bidi w:val="0"/>
        <w:rPr>
          <w:rFonts w:hint="eastAsia"/>
        </w:rPr>
      </w:pPr>
      <w:r>
        <w:rPr>
          <w:rFonts w:hint="eastAsia"/>
        </w:rPr>
        <w:t>估价结果：我公司注册房地产估价师于</w:t>
      </w:r>
      <w:r>
        <w:rPr>
          <w:rFonts w:hint="eastAsia"/>
          <w:lang w:eastAsia="zh-CN"/>
        </w:rPr>
        <w:t>2022年9月8日</w:t>
      </w:r>
      <w:r>
        <w:rPr>
          <w:rFonts w:hint="eastAsia"/>
        </w:rPr>
        <w:t>进行了现场勘察，在此基础上，根据《房地产估价规范》等相关政策法规和我公司掌握的房地产市场资料和长期积累的房地产估价经验，结合委托方提供的资料和本次估价目的，遵循估价原则，按照估价程序，选择科学合理的估价方法，综合分析影响房地产价格的各项因素，经过认真分析计算，最终确定估价结果如下：</w:t>
      </w:r>
    </w:p>
    <w:p>
      <w:pPr>
        <w:bidi w:val="0"/>
        <w:rPr>
          <w:rFonts w:hint="default"/>
          <w:lang w:val="en-US"/>
        </w:rPr>
      </w:pPr>
      <w:r>
        <w:rPr>
          <w:rFonts w:hint="eastAsia"/>
          <w:lang w:val="en-US" w:eastAsia="zh-CN"/>
        </w:rPr>
        <w:t>房地产评估单价：25652元/</w:t>
      </w:r>
      <w:r>
        <w:rPr>
          <w:rFonts w:hint="eastAsia" w:ascii="宋体" w:hAnsi="宋体" w:eastAsia="宋体" w:cs="宋体"/>
          <w:lang w:val="en-US" w:eastAsia="zh-CN"/>
        </w:rPr>
        <w:t>㎡</w:t>
      </w:r>
    </w:p>
    <w:p>
      <w:pPr>
        <w:bidi w:val="0"/>
        <w:rPr>
          <w:rFonts w:hint="default"/>
          <w:lang w:val="en-US" w:eastAsia="zh-CN"/>
        </w:rPr>
      </w:pPr>
      <w:r>
        <w:rPr>
          <w:rFonts w:hint="eastAsia"/>
          <w:lang w:val="en-US" w:eastAsia="zh-CN"/>
        </w:rPr>
        <w:t>房地产评估总价：509.47万元</w:t>
      </w:r>
    </w:p>
    <w:p>
      <w:pPr>
        <w:bidi w:val="0"/>
        <w:rPr>
          <w:rFonts w:hint="default"/>
          <w:lang w:val="en-US" w:eastAsia="zh-CN"/>
        </w:rPr>
      </w:pPr>
      <w:r>
        <w:rPr>
          <w:rFonts w:hint="eastAsia"/>
          <w:lang w:val="en-US" w:eastAsia="zh-CN"/>
        </w:rPr>
        <w:t>大写（人民币）：伍佰零玖万肆仟柒佰元整</w:t>
      </w:r>
    </w:p>
    <w:p>
      <w:pPr>
        <w:bidi w:val="0"/>
      </w:pPr>
      <w:r>
        <w:rPr>
          <w:rFonts w:hint="eastAsia"/>
        </w:rPr>
        <w:t>特别提示：本估价结果仅为委托人确定财产处置参考价提供参考依据目的使用，用于其他目的估价报告无效。</w:t>
      </w:r>
      <w:bookmarkStart w:id="11" w:name="_Toc442339765"/>
      <w:bookmarkStart w:id="12" w:name="_Toc493605518"/>
      <w:bookmarkStart w:id="13" w:name="_Toc442252867"/>
      <w:r>
        <w:rPr>
          <w:rFonts w:hint="eastAsia"/>
        </w:rPr>
        <w:t>本报告交付委托人一式陆份，报告复印无效。</w:t>
      </w:r>
    </w:p>
    <w:p>
      <w:pPr>
        <w:bidi w:val="0"/>
      </w:pPr>
      <w:r>
        <w:rPr>
          <w:rFonts w:hint="eastAsia"/>
        </w:rPr>
        <w:t>法定代表人：</w:t>
      </w:r>
    </w:p>
    <w:p>
      <w:pPr>
        <w:bidi w:val="0"/>
        <w:ind w:left="0" w:leftChars="0" w:firstLine="0" w:firstLineChars="0"/>
        <w:rPr>
          <w:rFonts w:hint="eastAsia"/>
          <w:lang w:eastAsia="zh-CN"/>
        </w:rPr>
      </w:pPr>
    </w:p>
    <w:p>
      <w:pPr>
        <w:bidi w:val="0"/>
        <w:rPr>
          <w:rFonts w:hint="eastAsia"/>
          <w:lang w:eastAsia="zh-CN"/>
        </w:rPr>
      </w:pPr>
    </w:p>
    <w:p>
      <w:pPr>
        <w:bidi w:val="0"/>
        <w:ind w:left="0" w:leftChars="0" w:firstLine="0" w:firstLineChars="0"/>
        <w:rPr>
          <w:rFonts w:hint="eastAsia"/>
          <w:lang w:eastAsia="zh-CN"/>
        </w:rPr>
      </w:pPr>
    </w:p>
    <w:p>
      <w:pPr>
        <w:bidi w:val="0"/>
        <w:ind w:firstLine="3360" w:firstLineChars="1200"/>
        <w:rPr>
          <w:rFonts w:hint="eastAsia"/>
          <w:lang w:eastAsia="zh-CN"/>
        </w:rPr>
      </w:pPr>
    </w:p>
    <w:p>
      <w:pPr>
        <w:bidi w:val="0"/>
        <w:ind w:firstLine="3360" w:firstLineChars="1200"/>
        <w:rPr>
          <w:rFonts w:hint="eastAsia"/>
          <w:lang w:eastAsia="zh-CN"/>
        </w:rPr>
      </w:pPr>
      <w:r>
        <w:rPr>
          <w:rFonts w:hint="eastAsia"/>
          <w:lang w:eastAsia="zh-CN"/>
        </w:rPr>
        <w:t>河北君泰达房地产资产评估咨询有限公司</w:t>
      </w:r>
    </w:p>
    <w:p>
      <w:pPr>
        <w:bidi w:val="0"/>
        <w:ind w:firstLine="5040" w:firstLineChars="1800"/>
        <w:rPr>
          <w:rFonts w:hint="eastAsia"/>
          <w:lang w:eastAsia="zh-CN"/>
        </w:rPr>
      </w:pPr>
      <w:r>
        <w:rPr>
          <w:rFonts w:hint="eastAsia"/>
          <w:lang w:eastAsia="zh-CN"/>
        </w:rPr>
        <w:t>2022年9月14日</w:t>
      </w:r>
    </w:p>
    <w:p>
      <w:pPr>
        <w:pStyle w:val="25"/>
        <w:tabs>
          <w:tab w:val="right" w:leader="dot" w:pos="9458"/>
        </w:tabs>
        <w:ind w:left="0" w:leftChars="0" w:firstLine="0" w:firstLineChars="0"/>
        <w:rPr>
          <w:color w:val="auto"/>
          <w:szCs w:val="36"/>
        </w:rPr>
      </w:pPr>
    </w:p>
    <w:p>
      <w:pPr>
        <w:ind w:left="0" w:leftChars="0" w:firstLine="0" w:firstLineChars="0"/>
      </w:pPr>
    </w:p>
    <w:p>
      <w:pPr>
        <w:ind w:left="0" w:leftChars="0" w:firstLine="0" w:firstLineChars="0"/>
      </w:pPr>
    </w:p>
    <w:p>
      <w:pPr>
        <w:ind w:left="0" w:leftChars="0" w:firstLine="0" w:firstLineChars="0"/>
      </w:pPr>
    </w:p>
    <w:p>
      <w:pPr>
        <w:ind w:left="0" w:leftChars="0" w:firstLine="0" w:firstLineChars="0"/>
      </w:pPr>
    </w:p>
    <w:bookmarkEnd w:id="0"/>
    <w:bookmarkEnd w:id="6"/>
    <w:bookmarkEnd w:id="7"/>
    <w:bookmarkEnd w:id="8"/>
    <w:bookmarkEnd w:id="11"/>
    <w:bookmarkEnd w:id="12"/>
    <w:bookmarkEnd w:id="13"/>
    <w:p>
      <w:pPr>
        <w:tabs>
          <w:tab w:val="left" w:pos="3615"/>
          <w:tab w:val="left" w:pos="5784"/>
        </w:tabs>
        <w:snapToGrid w:val="0"/>
        <w:spacing w:line="180" w:lineRule="auto"/>
        <w:ind w:firstLine="0" w:firstLineChars="0"/>
        <w:rPr>
          <w:bCs/>
          <w:color w:val="auto"/>
          <w:sz w:val="32"/>
          <w:szCs w:val="32"/>
        </w:rPr>
      </w:pPr>
    </w:p>
    <w:sdt>
      <w:sdtPr>
        <w:rPr>
          <w:rFonts w:ascii="宋体" w:hAnsi="宋体" w:eastAsia="宋体" w:cs="Times New Roman"/>
          <w:kern w:val="2"/>
          <w:sz w:val="21"/>
          <w:szCs w:val="24"/>
          <w:lang w:val="en-US" w:eastAsia="zh-CN" w:bidi="ar-SA"/>
        </w:rPr>
        <w:id w:val="147472485"/>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Style w:val="106"/>
            </w:rPr>
          </w:pPr>
          <w:r>
            <w:rPr>
              <w:rStyle w:val="106"/>
              <w:b/>
              <w:bCs/>
              <w:sz w:val="36"/>
              <w:szCs w:val="36"/>
            </w:rPr>
            <w:t>目</w:t>
          </w:r>
          <w:r>
            <w:rPr>
              <w:rStyle w:val="106"/>
              <w:rFonts w:hint="eastAsia"/>
              <w:b/>
              <w:bCs/>
              <w:sz w:val="36"/>
              <w:szCs w:val="36"/>
              <w:lang w:val="en-US" w:eastAsia="zh-CN"/>
            </w:rPr>
            <w:t xml:space="preserve"> </w:t>
          </w:r>
          <w:r>
            <w:rPr>
              <w:rStyle w:val="106"/>
              <w:b/>
              <w:bCs/>
              <w:sz w:val="36"/>
              <w:szCs w:val="36"/>
            </w:rPr>
            <w:t>录</w:t>
          </w:r>
        </w:p>
        <w:p>
          <w:pPr>
            <w:pStyle w:val="22"/>
            <w:tabs>
              <w:tab w:val="right" w:leader="dot" w:pos="9280"/>
            </w:tabs>
          </w:pPr>
          <w:r>
            <w:fldChar w:fldCharType="begin"/>
          </w:r>
          <w:r>
            <w:instrText xml:space="preserve">TOC \o "1-3" \h \u </w:instrText>
          </w:r>
          <w:r>
            <w:fldChar w:fldCharType="separate"/>
          </w:r>
          <w:r>
            <w:fldChar w:fldCharType="begin"/>
          </w:r>
          <w:r>
            <w:instrText xml:space="preserve"> HYPERLINK \l _Toc19216 </w:instrText>
          </w:r>
          <w:r>
            <w:fldChar w:fldCharType="separate"/>
          </w:r>
          <w:r>
            <w:rPr>
              <w:rFonts w:hint="eastAsia"/>
            </w:rPr>
            <w:t>估价师声明</w:t>
          </w:r>
          <w:r>
            <w:tab/>
          </w:r>
          <w:r>
            <w:fldChar w:fldCharType="begin"/>
          </w:r>
          <w:r>
            <w:instrText xml:space="preserve"> PAGEREF _Toc19216 \h </w:instrText>
          </w:r>
          <w:r>
            <w:fldChar w:fldCharType="separate"/>
          </w:r>
          <w:r>
            <w:t>3</w:t>
          </w:r>
          <w:r>
            <w:fldChar w:fldCharType="end"/>
          </w:r>
          <w:r>
            <w:fldChar w:fldCharType="end"/>
          </w:r>
        </w:p>
        <w:p>
          <w:pPr>
            <w:pStyle w:val="22"/>
            <w:tabs>
              <w:tab w:val="right" w:leader="dot" w:pos="9280"/>
            </w:tabs>
          </w:pPr>
          <w:r>
            <w:fldChar w:fldCharType="begin"/>
          </w:r>
          <w:r>
            <w:instrText xml:space="preserve"> HYPERLINK \l _Toc1671 </w:instrText>
          </w:r>
          <w:r>
            <w:fldChar w:fldCharType="separate"/>
          </w:r>
          <w:r>
            <w:rPr>
              <w:rFonts w:hint="eastAsia" w:ascii="仿宋_GB2312" w:hAnsi="仿宋_GB2312"/>
            </w:rPr>
            <w:t>估价假设和限制条件</w:t>
          </w:r>
          <w:r>
            <w:tab/>
          </w:r>
          <w:r>
            <w:fldChar w:fldCharType="begin"/>
          </w:r>
          <w:r>
            <w:instrText xml:space="preserve"> PAGEREF _Toc1671 \h </w:instrText>
          </w:r>
          <w:r>
            <w:fldChar w:fldCharType="separate"/>
          </w:r>
          <w:r>
            <w:t>4</w:t>
          </w:r>
          <w:r>
            <w:fldChar w:fldCharType="end"/>
          </w:r>
          <w:r>
            <w:fldChar w:fldCharType="end"/>
          </w:r>
        </w:p>
        <w:p>
          <w:pPr>
            <w:pStyle w:val="25"/>
            <w:tabs>
              <w:tab w:val="right" w:leader="dot" w:pos="9280"/>
            </w:tabs>
          </w:pPr>
          <w:r>
            <w:fldChar w:fldCharType="begin"/>
          </w:r>
          <w:r>
            <w:instrText xml:space="preserve"> HYPERLINK \l _Toc10577 </w:instrText>
          </w:r>
          <w:r>
            <w:fldChar w:fldCharType="separate"/>
          </w:r>
          <w:r>
            <w:rPr>
              <w:rFonts w:hint="eastAsia"/>
              <w:lang w:val="en-US" w:eastAsia="zh-CN"/>
            </w:rPr>
            <w:t>（一）</w:t>
          </w:r>
          <w:r>
            <w:rPr>
              <w:rFonts w:hint="eastAsia"/>
            </w:rPr>
            <w:t>一般假设</w:t>
          </w:r>
          <w:r>
            <w:tab/>
          </w:r>
          <w:r>
            <w:fldChar w:fldCharType="begin"/>
          </w:r>
          <w:r>
            <w:instrText xml:space="preserve"> PAGEREF _Toc10577 \h </w:instrText>
          </w:r>
          <w:r>
            <w:fldChar w:fldCharType="separate"/>
          </w:r>
          <w:r>
            <w:t>4</w:t>
          </w:r>
          <w:r>
            <w:fldChar w:fldCharType="end"/>
          </w:r>
          <w:r>
            <w:fldChar w:fldCharType="end"/>
          </w:r>
        </w:p>
        <w:p>
          <w:pPr>
            <w:pStyle w:val="25"/>
            <w:tabs>
              <w:tab w:val="right" w:leader="dot" w:pos="9280"/>
            </w:tabs>
          </w:pPr>
          <w:r>
            <w:fldChar w:fldCharType="begin"/>
          </w:r>
          <w:r>
            <w:instrText xml:space="preserve"> HYPERLINK \l _Toc22418 </w:instrText>
          </w:r>
          <w:r>
            <w:fldChar w:fldCharType="separate"/>
          </w:r>
          <w:r>
            <w:rPr>
              <w:rFonts w:hint="eastAsia" w:ascii="Arial" w:hAnsi="Arial"/>
              <w:lang w:val="en-US" w:eastAsia="zh-CN"/>
            </w:rPr>
            <w:t>（二）未定事项假设</w:t>
          </w:r>
          <w:r>
            <w:tab/>
          </w:r>
          <w:r>
            <w:fldChar w:fldCharType="begin"/>
          </w:r>
          <w:r>
            <w:instrText xml:space="preserve"> PAGEREF _Toc22418 \h </w:instrText>
          </w:r>
          <w:r>
            <w:fldChar w:fldCharType="separate"/>
          </w:r>
          <w:r>
            <w:t>4</w:t>
          </w:r>
          <w:r>
            <w:fldChar w:fldCharType="end"/>
          </w:r>
          <w:r>
            <w:fldChar w:fldCharType="end"/>
          </w:r>
        </w:p>
        <w:p>
          <w:pPr>
            <w:pStyle w:val="25"/>
            <w:tabs>
              <w:tab w:val="right" w:leader="dot" w:pos="9280"/>
            </w:tabs>
          </w:pPr>
          <w:r>
            <w:fldChar w:fldCharType="begin"/>
          </w:r>
          <w:r>
            <w:instrText xml:space="preserve"> HYPERLINK \l _Toc1630 </w:instrText>
          </w:r>
          <w:r>
            <w:fldChar w:fldCharType="separate"/>
          </w:r>
          <w:r>
            <w:rPr>
              <w:rFonts w:hint="eastAsia" w:ascii="Arial" w:hAnsi="Arial"/>
              <w:lang w:val="en-US" w:eastAsia="zh-CN"/>
            </w:rPr>
            <w:t>（三）背离事实假设</w:t>
          </w:r>
          <w:r>
            <w:tab/>
          </w:r>
          <w:r>
            <w:fldChar w:fldCharType="begin"/>
          </w:r>
          <w:r>
            <w:instrText xml:space="preserve"> PAGEREF _Toc1630 \h </w:instrText>
          </w:r>
          <w:r>
            <w:fldChar w:fldCharType="separate"/>
          </w:r>
          <w:r>
            <w:t>5</w:t>
          </w:r>
          <w:r>
            <w:fldChar w:fldCharType="end"/>
          </w:r>
          <w:r>
            <w:fldChar w:fldCharType="end"/>
          </w:r>
        </w:p>
        <w:p>
          <w:pPr>
            <w:pStyle w:val="25"/>
            <w:tabs>
              <w:tab w:val="right" w:leader="dot" w:pos="9280"/>
            </w:tabs>
          </w:pPr>
          <w:r>
            <w:fldChar w:fldCharType="begin"/>
          </w:r>
          <w:r>
            <w:instrText xml:space="preserve"> HYPERLINK \l _Toc5376 </w:instrText>
          </w:r>
          <w:r>
            <w:fldChar w:fldCharType="separate"/>
          </w:r>
          <w:r>
            <w:rPr>
              <w:rFonts w:hint="eastAsia" w:ascii="Arial" w:hAnsi="Arial"/>
              <w:lang w:val="en-US" w:eastAsia="zh-CN"/>
            </w:rPr>
            <w:t>（四）不相一致假设</w:t>
          </w:r>
          <w:r>
            <w:tab/>
          </w:r>
          <w:r>
            <w:fldChar w:fldCharType="begin"/>
          </w:r>
          <w:r>
            <w:instrText xml:space="preserve"> PAGEREF _Toc5376 \h </w:instrText>
          </w:r>
          <w:r>
            <w:fldChar w:fldCharType="separate"/>
          </w:r>
          <w:r>
            <w:t>5</w:t>
          </w:r>
          <w:r>
            <w:fldChar w:fldCharType="end"/>
          </w:r>
          <w:r>
            <w:fldChar w:fldCharType="end"/>
          </w:r>
        </w:p>
        <w:p>
          <w:pPr>
            <w:pStyle w:val="25"/>
            <w:tabs>
              <w:tab w:val="right" w:leader="dot" w:pos="9280"/>
            </w:tabs>
          </w:pPr>
          <w:r>
            <w:fldChar w:fldCharType="begin"/>
          </w:r>
          <w:r>
            <w:instrText xml:space="preserve"> HYPERLINK \l _Toc248 </w:instrText>
          </w:r>
          <w:r>
            <w:fldChar w:fldCharType="separate"/>
          </w:r>
          <w:r>
            <w:rPr>
              <w:rFonts w:hint="eastAsia" w:ascii="Arial" w:hAnsi="Arial"/>
              <w:lang w:val="en-US" w:eastAsia="zh-CN"/>
            </w:rPr>
            <w:t>（五） 依据不足假设</w:t>
          </w:r>
          <w:r>
            <w:tab/>
          </w:r>
          <w:r>
            <w:fldChar w:fldCharType="begin"/>
          </w:r>
          <w:r>
            <w:instrText xml:space="preserve"> PAGEREF _Toc248 \h </w:instrText>
          </w:r>
          <w:r>
            <w:fldChar w:fldCharType="separate"/>
          </w:r>
          <w:r>
            <w:t>5</w:t>
          </w:r>
          <w:r>
            <w:fldChar w:fldCharType="end"/>
          </w:r>
          <w:r>
            <w:fldChar w:fldCharType="end"/>
          </w:r>
        </w:p>
        <w:p>
          <w:pPr>
            <w:pStyle w:val="25"/>
            <w:tabs>
              <w:tab w:val="right" w:leader="dot" w:pos="9280"/>
            </w:tabs>
          </w:pPr>
          <w:r>
            <w:fldChar w:fldCharType="begin"/>
          </w:r>
          <w:r>
            <w:instrText xml:space="preserve"> HYPERLINK \l _Toc31393 </w:instrText>
          </w:r>
          <w:r>
            <w:fldChar w:fldCharType="separate"/>
          </w:r>
          <w:r>
            <w:rPr>
              <w:rFonts w:hint="eastAsia" w:ascii="Arial" w:hAnsi="Arial"/>
              <w:lang w:val="en-US" w:eastAsia="zh-CN"/>
            </w:rPr>
            <w:t>（六）估价报告使用限制</w:t>
          </w:r>
          <w:r>
            <w:tab/>
          </w:r>
          <w:r>
            <w:fldChar w:fldCharType="begin"/>
          </w:r>
          <w:r>
            <w:instrText xml:space="preserve"> PAGEREF _Toc31393 \h </w:instrText>
          </w:r>
          <w:r>
            <w:fldChar w:fldCharType="separate"/>
          </w:r>
          <w:r>
            <w:t>5</w:t>
          </w:r>
          <w:r>
            <w:fldChar w:fldCharType="end"/>
          </w:r>
          <w:r>
            <w:fldChar w:fldCharType="end"/>
          </w:r>
        </w:p>
        <w:p>
          <w:pPr>
            <w:pStyle w:val="22"/>
            <w:tabs>
              <w:tab w:val="right" w:leader="dot" w:pos="9280"/>
            </w:tabs>
          </w:pPr>
          <w:r>
            <w:fldChar w:fldCharType="begin"/>
          </w:r>
          <w:r>
            <w:instrText xml:space="preserve"> HYPERLINK \l _Toc1378 </w:instrText>
          </w:r>
          <w:r>
            <w:fldChar w:fldCharType="separate"/>
          </w:r>
          <w:r>
            <w:rPr>
              <w:rFonts w:hint="eastAsia" w:ascii="仿宋_GB2312" w:hAnsi="仿宋_GB2312"/>
              <w:lang w:val="en-US" w:eastAsia="zh-CN"/>
            </w:rPr>
            <w:t>估价结果报告</w:t>
          </w:r>
          <w:r>
            <w:tab/>
          </w:r>
          <w:r>
            <w:fldChar w:fldCharType="begin"/>
          </w:r>
          <w:r>
            <w:instrText xml:space="preserve"> PAGEREF _Toc1378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_Toc11420 </w:instrText>
          </w:r>
          <w:r>
            <w:fldChar w:fldCharType="separate"/>
          </w:r>
          <w:r>
            <w:rPr>
              <w:rFonts w:hint="eastAsia"/>
            </w:rPr>
            <w:t>（一）估价委托人</w:t>
          </w:r>
          <w:r>
            <w:tab/>
          </w:r>
          <w:r>
            <w:fldChar w:fldCharType="begin"/>
          </w:r>
          <w:r>
            <w:instrText xml:space="preserve"> PAGEREF _Toc11420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_Toc5226 </w:instrText>
          </w:r>
          <w:r>
            <w:fldChar w:fldCharType="separate"/>
          </w:r>
          <w:r>
            <w:rPr>
              <w:rFonts w:hint="eastAsia" w:ascii="Arial" w:hAnsi="Arial" w:eastAsia="楷体_GB2312"/>
            </w:rPr>
            <w:t>（二）房</w:t>
          </w:r>
          <w:r>
            <w:rPr>
              <w:rFonts w:hint="eastAsia"/>
            </w:rPr>
            <w:t>地产估价</w:t>
          </w:r>
          <w:r>
            <w:rPr>
              <w:rFonts w:hint="eastAsia" w:ascii="Arial" w:hAnsi="Arial" w:eastAsia="楷体_GB2312"/>
            </w:rPr>
            <w:t>机构</w:t>
          </w:r>
          <w:r>
            <w:tab/>
          </w:r>
          <w:r>
            <w:fldChar w:fldCharType="begin"/>
          </w:r>
          <w:r>
            <w:instrText xml:space="preserve"> PAGEREF _Toc5226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_Toc26814 </w:instrText>
          </w:r>
          <w:r>
            <w:fldChar w:fldCharType="separate"/>
          </w:r>
          <w:r>
            <w:rPr>
              <w:rFonts w:hint="eastAsia" w:ascii="Arial" w:hAnsi="Arial" w:eastAsia="楷体_GB2312"/>
            </w:rPr>
            <w:t>（三）估价目的</w:t>
          </w:r>
          <w:r>
            <w:tab/>
          </w:r>
          <w:r>
            <w:fldChar w:fldCharType="begin"/>
          </w:r>
          <w:r>
            <w:instrText xml:space="preserve"> PAGEREF _Toc26814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_Toc7161 </w:instrText>
          </w:r>
          <w:r>
            <w:fldChar w:fldCharType="separate"/>
          </w:r>
          <w:r>
            <w:rPr>
              <w:rFonts w:hint="eastAsia" w:ascii="Arial" w:hAnsi="Arial" w:eastAsia="楷体_GB2312"/>
            </w:rPr>
            <w:t>（四）估价对象</w:t>
          </w:r>
          <w:r>
            <w:tab/>
          </w:r>
          <w:r>
            <w:fldChar w:fldCharType="begin"/>
          </w:r>
          <w:r>
            <w:instrText xml:space="preserve"> PAGEREF _Toc7161 \h </w:instrText>
          </w:r>
          <w:r>
            <w:fldChar w:fldCharType="separate"/>
          </w:r>
          <w:r>
            <w:t>6</w:t>
          </w:r>
          <w:r>
            <w:fldChar w:fldCharType="end"/>
          </w:r>
          <w:r>
            <w:fldChar w:fldCharType="end"/>
          </w:r>
        </w:p>
        <w:p>
          <w:pPr>
            <w:pStyle w:val="25"/>
            <w:tabs>
              <w:tab w:val="right" w:leader="dot" w:pos="9280"/>
            </w:tabs>
          </w:pPr>
          <w:r>
            <w:fldChar w:fldCharType="begin"/>
          </w:r>
          <w:r>
            <w:instrText xml:space="preserve"> HYPERLINK \l _Toc14165 </w:instrText>
          </w:r>
          <w:r>
            <w:fldChar w:fldCharType="separate"/>
          </w:r>
          <w:r>
            <w:rPr>
              <w:rFonts w:hint="eastAsia" w:ascii="Arial" w:hAnsi="Arial" w:eastAsia="楷体_GB2312"/>
            </w:rPr>
            <w:t>（五）价值时点</w:t>
          </w:r>
          <w:r>
            <w:tab/>
          </w:r>
          <w:r>
            <w:fldChar w:fldCharType="begin"/>
          </w:r>
          <w:r>
            <w:instrText xml:space="preserve"> PAGEREF _Toc14165 \h </w:instrText>
          </w:r>
          <w:r>
            <w:fldChar w:fldCharType="separate"/>
          </w:r>
          <w:r>
            <w:t>7</w:t>
          </w:r>
          <w:r>
            <w:fldChar w:fldCharType="end"/>
          </w:r>
          <w:r>
            <w:fldChar w:fldCharType="end"/>
          </w:r>
        </w:p>
        <w:p>
          <w:pPr>
            <w:pStyle w:val="25"/>
            <w:tabs>
              <w:tab w:val="right" w:leader="dot" w:pos="9280"/>
            </w:tabs>
          </w:pPr>
          <w:r>
            <w:fldChar w:fldCharType="begin"/>
          </w:r>
          <w:r>
            <w:instrText xml:space="preserve"> HYPERLINK \l _Toc13572 </w:instrText>
          </w:r>
          <w:r>
            <w:fldChar w:fldCharType="separate"/>
          </w:r>
          <w:r>
            <w:rPr>
              <w:rFonts w:hint="eastAsia" w:ascii="Arial" w:hAnsi="Arial" w:eastAsia="楷体_GB2312"/>
            </w:rPr>
            <w:t>（六）价值类型</w:t>
          </w:r>
          <w:r>
            <w:tab/>
          </w:r>
          <w:r>
            <w:fldChar w:fldCharType="begin"/>
          </w:r>
          <w:r>
            <w:instrText xml:space="preserve"> PAGEREF _Toc13572 \h </w:instrText>
          </w:r>
          <w:r>
            <w:fldChar w:fldCharType="separate"/>
          </w:r>
          <w:r>
            <w:t>7</w:t>
          </w:r>
          <w:r>
            <w:fldChar w:fldCharType="end"/>
          </w:r>
          <w:r>
            <w:fldChar w:fldCharType="end"/>
          </w:r>
        </w:p>
        <w:p>
          <w:pPr>
            <w:pStyle w:val="25"/>
            <w:tabs>
              <w:tab w:val="right" w:leader="dot" w:pos="9280"/>
            </w:tabs>
          </w:pPr>
          <w:r>
            <w:fldChar w:fldCharType="begin"/>
          </w:r>
          <w:r>
            <w:instrText xml:space="preserve"> HYPERLINK \l _Toc16351 </w:instrText>
          </w:r>
          <w:r>
            <w:fldChar w:fldCharType="separate"/>
          </w:r>
          <w:r>
            <w:rPr>
              <w:rFonts w:hint="eastAsia" w:ascii="Arial" w:hAnsi="Arial" w:eastAsia="楷体_GB2312"/>
            </w:rPr>
            <w:t>（七）估价原则</w:t>
          </w:r>
          <w:r>
            <w:tab/>
          </w:r>
          <w:r>
            <w:fldChar w:fldCharType="begin"/>
          </w:r>
          <w:r>
            <w:instrText xml:space="preserve"> PAGEREF _Toc16351 \h </w:instrText>
          </w:r>
          <w:r>
            <w:fldChar w:fldCharType="separate"/>
          </w:r>
          <w:r>
            <w:t>7</w:t>
          </w:r>
          <w:r>
            <w:fldChar w:fldCharType="end"/>
          </w:r>
          <w:r>
            <w:fldChar w:fldCharType="end"/>
          </w:r>
        </w:p>
        <w:p>
          <w:pPr>
            <w:pStyle w:val="25"/>
            <w:tabs>
              <w:tab w:val="right" w:leader="dot" w:pos="9280"/>
            </w:tabs>
          </w:pPr>
          <w:r>
            <w:fldChar w:fldCharType="begin"/>
          </w:r>
          <w:r>
            <w:instrText xml:space="preserve"> HYPERLINK \l _Toc31242 </w:instrText>
          </w:r>
          <w:r>
            <w:fldChar w:fldCharType="separate"/>
          </w:r>
          <w:r>
            <w:rPr>
              <w:rFonts w:hint="eastAsia" w:ascii="Arial" w:hAnsi="Arial" w:eastAsia="楷体_GB2312"/>
            </w:rPr>
            <w:t>（八）估价依据</w:t>
          </w:r>
          <w:r>
            <w:tab/>
          </w:r>
          <w:r>
            <w:fldChar w:fldCharType="begin"/>
          </w:r>
          <w:r>
            <w:instrText xml:space="preserve"> PAGEREF _Toc31242 \h </w:instrText>
          </w:r>
          <w:r>
            <w:fldChar w:fldCharType="separate"/>
          </w:r>
          <w:r>
            <w:t>8</w:t>
          </w:r>
          <w:r>
            <w:fldChar w:fldCharType="end"/>
          </w:r>
          <w:r>
            <w:fldChar w:fldCharType="end"/>
          </w:r>
        </w:p>
        <w:p>
          <w:pPr>
            <w:pStyle w:val="25"/>
            <w:tabs>
              <w:tab w:val="right" w:leader="dot" w:pos="9280"/>
            </w:tabs>
          </w:pPr>
          <w:r>
            <w:fldChar w:fldCharType="begin"/>
          </w:r>
          <w:r>
            <w:instrText xml:space="preserve"> HYPERLINK \l _Toc18438 </w:instrText>
          </w:r>
          <w:r>
            <w:fldChar w:fldCharType="separate"/>
          </w:r>
          <w:r>
            <w:rPr>
              <w:rFonts w:hint="eastAsia" w:ascii="Arial" w:hAnsi="Arial" w:eastAsia="楷体_GB2312"/>
              <w:lang w:val="zh-CN"/>
            </w:rPr>
            <w:t>（九）估价方法</w:t>
          </w:r>
          <w:r>
            <w:tab/>
          </w:r>
          <w:r>
            <w:fldChar w:fldCharType="begin"/>
          </w:r>
          <w:r>
            <w:instrText xml:space="preserve"> PAGEREF _Toc18438 \h </w:instrText>
          </w:r>
          <w:r>
            <w:fldChar w:fldCharType="separate"/>
          </w:r>
          <w:r>
            <w:t>8</w:t>
          </w:r>
          <w:r>
            <w:fldChar w:fldCharType="end"/>
          </w:r>
          <w:r>
            <w:fldChar w:fldCharType="end"/>
          </w:r>
        </w:p>
        <w:p>
          <w:pPr>
            <w:pStyle w:val="25"/>
            <w:tabs>
              <w:tab w:val="right" w:leader="dot" w:pos="9280"/>
            </w:tabs>
          </w:pPr>
          <w:r>
            <w:fldChar w:fldCharType="begin"/>
          </w:r>
          <w:r>
            <w:instrText xml:space="preserve"> HYPERLINK \l _Toc648 </w:instrText>
          </w:r>
          <w:r>
            <w:fldChar w:fldCharType="separate"/>
          </w:r>
          <w:r>
            <w:rPr>
              <w:rFonts w:hint="eastAsia" w:ascii="Arial" w:hAnsi="Arial" w:eastAsia="楷体_GB2312"/>
              <w:lang w:val="zh-CN"/>
            </w:rPr>
            <w:t>（十）估价结果</w:t>
          </w:r>
          <w:r>
            <w:tab/>
          </w:r>
          <w:r>
            <w:fldChar w:fldCharType="begin"/>
          </w:r>
          <w:r>
            <w:instrText xml:space="preserve"> PAGEREF _Toc648 \h </w:instrText>
          </w:r>
          <w:r>
            <w:fldChar w:fldCharType="separate"/>
          </w:r>
          <w:r>
            <w:t>9</w:t>
          </w:r>
          <w:r>
            <w:fldChar w:fldCharType="end"/>
          </w:r>
          <w:r>
            <w:fldChar w:fldCharType="end"/>
          </w:r>
        </w:p>
        <w:p>
          <w:pPr>
            <w:pStyle w:val="25"/>
            <w:tabs>
              <w:tab w:val="right" w:leader="dot" w:pos="9280"/>
            </w:tabs>
          </w:pPr>
          <w:r>
            <w:fldChar w:fldCharType="begin"/>
          </w:r>
          <w:r>
            <w:instrText xml:space="preserve"> HYPERLINK \l _Toc22478 </w:instrText>
          </w:r>
          <w:r>
            <w:fldChar w:fldCharType="separate"/>
          </w:r>
          <w:r>
            <w:rPr>
              <w:rFonts w:hint="eastAsia" w:ascii="Arial" w:hAnsi="Arial" w:eastAsia="楷体_GB2312"/>
              <w:lang w:val="zh-CN"/>
            </w:rPr>
            <w:t>（十一）注册房地产估价师</w:t>
          </w:r>
          <w:r>
            <w:tab/>
          </w:r>
          <w:r>
            <w:fldChar w:fldCharType="begin"/>
          </w:r>
          <w:r>
            <w:instrText xml:space="preserve"> PAGEREF _Toc22478 \h </w:instrText>
          </w:r>
          <w:r>
            <w:fldChar w:fldCharType="separate"/>
          </w:r>
          <w:r>
            <w:t>9</w:t>
          </w:r>
          <w:r>
            <w:fldChar w:fldCharType="end"/>
          </w:r>
          <w:r>
            <w:fldChar w:fldCharType="end"/>
          </w:r>
        </w:p>
        <w:p>
          <w:pPr>
            <w:pStyle w:val="25"/>
            <w:tabs>
              <w:tab w:val="right" w:leader="dot" w:pos="9280"/>
            </w:tabs>
          </w:pPr>
          <w:r>
            <w:fldChar w:fldCharType="begin"/>
          </w:r>
          <w:r>
            <w:instrText xml:space="preserve"> HYPERLINK \l _Toc13067 </w:instrText>
          </w:r>
          <w:r>
            <w:fldChar w:fldCharType="separate"/>
          </w:r>
          <w:r>
            <w:rPr>
              <w:rFonts w:hint="eastAsia" w:ascii="Arial" w:hAnsi="Arial" w:eastAsia="楷体_GB2312"/>
              <w:lang w:val="zh-CN"/>
            </w:rPr>
            <w:t>（十二）实地查勘期</w:t>
          </w:r>
          <w:r>
            <w:tab/>
          </w:r>
          <w:r>
            <w:fldChar w:fldCharType="begin"/>
          </w:r>
          <w:r>
            <w:instrText xml:space="preserve"> PAGEREF _Toc13067 \h </w:instrText>
          </w:r>
          <w:r>
            <w:fldChar w:fldCharType="separate"/>
          </w:r>
          <w:r>
            <w:t>9</w:t>
          </w:r>
          <w:r>
            <w:fldChar w:fldCharType="end"/>
          </w:r>
          <w:r>
            <w:fldChar w:fldCharType="end"/>
          </w:r>
        </w:p>
        <w:p>
          <w:pPr>
            <w:pStyle w:val="25"/>
            <w:tabs>
              <w:tab w:val="right" w:leader="dot" w:pos="9280"/>
            </w:tabs>
          </w:pPr>
          <w:r>
            <w:fldChar w:fldCharType="begin"/>
          </w:r>
          <w:r>
            <w:instrText xml:space="preserve"> HYPERLINK \l _Toc5083 </w:instrText>
          </w:r>
          <w:r>
            <w:fldChar w:fldCharType="separate"/>
          </w:r>
          <w:r>
            <w:rPr>
              <w:rFonts w:hint="eastAsia" w:ascii="Arial" w:hAnsi="Arial" w:eastAsia="楷体_GB2312"/>
              <w:lang w:val="zh-CN"/>
            </w:rPr>
            <w:t>（十三）估价作业期</w:t>
          </w:r>
          <w:r>
            <w:tab/>
          </w:r>
          <w:r>
            <w:fldChar w:fldCharType="begin"/>
          </w:r>
          <w:r>
            <w:instrText xml:space="preserve"> PAGEREF _Toc5083 \h </w:instrText>
          </w:r>
          <w:r>
            <w:fldChar w:fldCharType="separate"/>
          </w:r>
          <w:r>
            <w:t>9</w:t>
          </w:r>
          <w:r>
            <w:fldChar w:fldCharType="end"/>
          </w:r>
          <w:r>
            <w:fldChar w:fldCharType="end"/>
          </w:r>
        </w:p>
        <w:p>
          <w:pPr>
            <w:pStyle w:val="22"/>
            <w:tabs>
              <w:tab w:val="right" w:leader="dot" w:pos="9280"/>
            </w:tabs>
          </w:pPr>
          <w:r>
            <w:fldChar w:fldCharType="begin"/>
          </w:r>
          <w:r>
            <w:instrText xml:space="preserve"> HYPERLINK \l _Toc20163 </w:instrText>
          </w:r>
          <w:r>
            <w:fldChar w:fldCharType="separate"/>
          </w:r>
          <w:r>
            <w:rPr>
              <w:rFonts w:hint="eastAsia"/>
              <w:lang w:val="en-US" w:eastAsia="zh-CN"/>
            </w:rPr>
            <w:t>附件</w:t>
          </w:r>
          <w:r>
            <w:tab/>
          </w:r>
          <w:r>
            <w:fldChar w:fldCharType="begin"/>
          </w:r>
          <w:r>
            <w:instrText xml:space="preserve"> PAGEREF _Toc20163 \h </w:instrText>
          </w:r>
          <w:r>
            <w:fldChar w:fldCharType="separate"/>
          </w:r>
          <w:r>
            <w:t>10</w:t>
          </w:r>
          <w:r>
            <w:fldChar w:fldCharType="end"/>
          </w:r>
          <w:r>
            <w:fldChar w:fldCharType="end"/>
          </w:r>
        </w:p>
        <w:p>
          <w:r>
            <w:fldChar w:fldCharType="end"/>
          </w:r>
        </w:p>
      </w:sdtContent>
    </w:sdt>
    <w:p>
      <w:pPr>
        <w:pStyle w:val="22"/>
        <w:tabs>
          <w:tab w:val="right" w:leader="dot" w:pos="9830"/>
        </w:tabs>
        <w:spacing w:line="360" w:lineRule="auto"/>
        <w:ind w:firstLine="480"/>
        <w:outlineLvl w:val="9"/>
        <w:rPr>
          <w:rFonts w:asciiTheme="minorEastAsia" w:hAnsiTheme="minorEastAsia" w:eastAsiaTheme="minorEastAsia"/>
          <w:color w:val="auto"/>
        </w:rPr>
      </w:pPr>
    </w:p>
    <w:p>
      <w:pPr>
        <w:pStyle w:val="22"/>
        <w:tabs>
          <w:tab w:val="right" w:leader="dot" w:pos="9830"/>
        </w:tabs>
        <w:spacing w:line="360" w:lineRule="auto"/>
        <w:ind w:firstLine="480"/>
        <w:outlineLvl w:val="9"/>
        <w:rPr>
          <w:rFonts w:asciiTheme="minorEastAsia" w:hAnsiTheme="minorEastAsia" w:eastAsiaTheme="minorEastAsia"/>
          <w:color w:val="auto"/>
        </w:rPr>
      </w:pPr>
    </w:p>
    <w:p>
      <w:pPr>
        <w:rPr>
          <w:rFonts w:asciiTheme="minorEastAsia" w:hAnsiTheme="minorEastAsia" w:eastAsiaTheme="minorEastAsia"/>
          <w:color w:val="auto"/>
        </w:rPr>
      </w:pPr>
    </w:p>
    <w:p>
      <w:pPr>
        <w:rPr>
          <w:rFonts w:asciiTheme="minorEastAsia" w:hAnsiTheme="minorEastAsia" w:eastAsiaTheme="minorEastAsia"/>
          <w:color w:val="auto"/>
        </w:rPr>
      </w:pPr>
    </w:p>
    <w:p>
      <w:pPr>
        <w:rPr>
          <w:rFonts w:asciiTheme="minorEastAsia" w:hAnsiTheme="minorEastAsia" w:eastAsiaTheme="minorEastAsia"/>
          <w:color w:val="auto"/>
        </w:rPr>
      </w:pPr>
    </w:p>
    <w:p>
      <w:pPr>
        <w:rPr>
          <w:rFonts w:asciiTheme="minorEastAsia" w:hAnsiTheme="minorEastAsia" w:eastAsiaTheme="minorEastAsia"/>
          <w:color w:val="auto"/>
        </w:rPr>
      </w:pPr>
    </w:p>
    <w:p>
      <w:pPr>
        <w:ind w:left="0" w:leftChars="0" w:firstLine="0" w:firstLineChars="0"/>
        <w:rPr>
          <w:rFonts w:asciiTheme="minorEastAsia" w:hAnsiTheme="minorEastAsia" w:eastAsiaTheme="minorEastAsia"/>
          <w:color w:val="auto"/>
        </w:rPr>
      </w:pPr>
    </w:p>
    <w:p>
      <w:pPr>
        <w:ind w:left="0" w:leftChars="0" w:firstLine="0" w:firstLineChars="0"/>
        <w:rPr>
          <w:color w:val="auto"/>
        </w:rPr>
      </w:pPr>
    </w:p>
    <w:p>
      <w:pPr>
        <w:pStyle w:val="2"/>
        <w:bidi w:val="0"/>
        <w:ind w:left="0" w:leftChars="0" w:firstLine="0" w:firstLineChars="0"/>
        <w:rPr>
          <w:rFonts w:hint="eastAsia"/>
        </w:rPr>
      </w:pPr>
      <w:bookmarkStart w:id="14" w:name="_Toc428262369"/>
      <w:bookmarkStart w:id="15" w:name="_Toc19216"/>
      <w:bookmarkStart w:id="16" w:name="_Toc447119031"/>
      <w:bookmarkStart w:id="17" w:name="_Toc35517983"/>
      <w:bookmarkStart w:id="18" w:name="_Toc447032843"/>
      <w:bookmarkStart w:id="19" w:name="_Toc428507754"/>
      <w:bookmarkStart w:id="20" w:name="_Toc251242171"/>
      <w:bookmarkStart w:id="21" w:name="_Toc251242029"/>
      <w:bookmarkStart w:id="22" w:name="_Toc427256786"/>
      <w:bookmarkStart w:id="23" w:name="_Toc16192"/>
      <w:bookmarkStart w:id="24" w:name="_Toc493605524"/>
      <w:r>
        <w:rPr>
          <w:rFonts w:hint="eastAsia"/>
        </w:rPr>
        <w:t>估价师声明</w:t>
      </w:r>
      <w:bookmarkEnd w:id="14"/>
      <w:bookmarkEnd w:id="15"/>
      <w:bookmarkEnd w:id="16"/>
      <w:bookmarkEnd w:id="17"/>
      <w:bookmarkEnd w:id="18"/>
      <w:bookmarkEnd w:id="19"/>
      <w:bookmarkEnd w:id="20"/>
      <w:bookmarkEnd w:id="21"/>
      <w:bookmarkEnd w:id="22"/>
    </w:p>
    <w:p/>
    <w:p>
      <w:pPr>
        <w:bidi w:val="0"/>
      </w:pPr>
      <w:r>
        <w:rPr>
          <w:rFonts w:hint="eastAsia"/>
        </w:rPr>
        <w:t>我们郑重声明：</w:t>
      </w:r>
    </w:p>
    <w:p>
      <w:pPr>
        <w:bidi w:val="0"/>
      </w:pPr>
      <w:r>
        <w:t>1</w:t>
      </w:r>
      <w:r>
        <w:rPr>
          <w:rFonts w:hint="eastAsia"/>
        </w:rPr>
        <w:t>、注册房地产估价师在估价报告中对事实的说明是真实和准确的，没有虚假记载、误导性陈述和重大遗漏；</w:t>
      </w:r>
    </w:p>
    <w:p>
      <w:pPr>
        <w:bidi w:val="0"/>
      </w:pPr>
      <w:r>
        <w:t>2</w:t>
      </w:r>
      <w:r>
        <w:rPr>
          <w:rFonts w:hint="eastAsia"/>
        </w:rPr>
        <w:t>、估价报告中的分析、意见和结论是注册房地产估价师独立、客观、公正的专业分析、意见和结论，但受到估价报告中已说明的估价假设和限制条件的限制；</w:t>
      </w:r>
    </w:p>
    <w:p>
      <w:pPr>
        <w:bidi w:val="0"/>
      </w:pPr>
      <w:r>
        <w:t>3</w:t>
      </w:r>
      <w:r>
        <w:rPr>
          <w:rFonts w:hint="eastAsia"/>
        </w:rPr>
        <w:t>、注册房地产估价师与估价报告中的估价对象没有现实或潜在的利益，与估价委托人及估价利害关系人没有利害关系，也对估价对象、估价委托人及估价利害关系人没有偏见；</w:t>
      </w:r>
    </w:p>
    <w:p>
      <w:pPr>
        <w:bidi w:val="0"/>
      </w:pPr>
      <w:r>
        <w:rPr>
          <w:rFonts w:hint="eastAsia"/>
        </w:rPr>
        <w:t>4、注册房地产估价师依照中华人民共和国国家标准《房地产估价规范》(GB/T50291-2015) 、《房地产估价基本术语标准》（</w:t>
      </w:r>
      <w:r>
        <w:t>GB/T50</w:t>
      </w:r>
      <w:r>
        <w:rPr>
          <w:rFonts w:hint="eastAsia"/>
        </w:rPr>
        <w:t>899</w:t>
      </w:r>
      <w:r>
        <w:t>-</w:t>
      </w:r>
      <w:r>
        <w:rPr>
          <w:rFonts w:hint="eastAsia"/>
        </w:rPr>
        <w:t>2013）的规定进行估价工作，撰写估价报告。</w:t>
      </w:r>
    </w:p>
    <w:p>
      <w:pPr>
        <w:bidi w:val="0"/>
      </w:pPr>
      <w:r>
        <w:rPr>
          <w:rFonts w:hint="eastAsia"/>
        </w:rPr>
        <w:t>5、本次估价项目</w:t>
      </w:r>
      <w:r>
        <w:rPr>
          <w:rFonts w:hint="eastAsia"/>
          <w:lang w:val="en-US" w:eastAsia="zh-CN"/>
        </w:rPr>
        <w:t>注册房地产估价师于</w:t>
      </w:r>
      <w:r>
        <w:rPr>
          <w:rFonts w:hint="eastAsia"/>
          <w:lang w:eastAsia="zh-CN"/>
        </w:rPr>
        <w:t>2022年9月8日</w:t>
      </w:r>
      <w:r>
        <w:rPr>
          <w:rFonts w:hint="eastAsia"/>
        </w:rPr>
        <w:t>对估价对象进行了实地勘察，并作了详细的现场勘察笔录，但现场勘查仅限于其外观和使用状况，对于隐蔽、被遮盖、未暴露及难以接触到的部分，估价师依据估价委托人提供的资料进行评估，不承担对估价对象建筑结构质量、地质情况以及其他隐患等情况进行调查的责任。</w:t>
      </w:r>
    </w:p>
    <w:p>
      <w:pPr>
        <w:bidi w:val="0"/>
        <w:rPr>
          <w:rFonts w:hint="eastAsia"/>
        </w:rPr>
      </w:pPr>
      <w:r>
        <w:rPr>
          <w:rFonts w:hint="eastAsia"/>
        </w:rPr>
        <w:t>6、本报告中所依据的有关估价对象建筑面积和权益资料由估价委托人提供，估价委托人应对资料的真实、可靠性负责，估价人员不承担相应责任。</w:t>
      </w:r>
    </w:p>
    <w:p>
      <w:pPr>
        <w:bidi w:val="0"/>
      </w:pPr>
      <w:r>
        <w:rPr>
          <w:rFonts w:hint="eastAsia"/>
        </w:rPr>
        <w:t>7、我们不作任何虚假估价，不按估价委托人或者其他个人、单位的高估或低估要求进行估价，且不按预先设定的价值或价格进行估价。</w:t>
      </w:r>
    </w:p>
    <w:p>
      <w:pPr>
        <w:bidi w:val="0"/>
      </w:pPr>
      <w:r>
        <w:rPr>
          <w:rFonts w:hint="eastAsia"/>
        </w:rPr>
        <w:t>8、我们保守执业活动中知悉的国家秘密、商业秘密，不泄露个人隐私，妥善保管委托人提供的资料，未经委托人同意，不擅自将其提供给其他个人和单位。</w:t>
      </w:r>
    </w:p>
    <w:p>
      <w:pPr>
        <w:bidi w:val="0"/>
      </w:pPr>
      <w:r>
        <w:rPr>
          <w:rFonts w:hint="eastAsia"/>
        </w:rPr>
        <w:t>9、我们自觉维护良好社会形象及行业声誉，不采取迎合委托人或利害关系人的不正当要求，而搞虚假宣传、恶性压价、支付回扣、贬低同行等不正当手段招揽估价业务，不索贿、受贿或利用估价业务谋取不正当利益。</w:t>
      </w:r>
    </w:p>
    <w:p>
      <w:pPr>
        <w:bidi w:val="0"/>
      </w:pPr>
      <w:r>
        <w:rPr>
          <w:rFonts w:hint="eastAsia"/>
        </w:rPr>
        <w:t>10、本次评估没有外部重要专业帮助。</w:t>
      </w:r>
    </w:p>
    <w:p>
      <w:pPr>
        <w:bidi w:val="0"/>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7"/>
        <w:gridCol w:w="3221"/>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3352" w:type="dxa"/>
            <w:vAlign w:val="center"/>
          </w:tcPr>
          <w:p>
            <w:pPr>
              <w:bidi w:val="0"/>
              <w:ind w:left="0" w:leftChars="0" w:firstLine="0" w:firstLineChars="0"/>
              <w:jc w:val="center"/>
            </w:pPr>
            <w:r>
              <w:rPr>
                <w:rFonts w:hint="eastAsia"/>
              </w:rPr>
              <w:t>注册房地产</w:t>
            </w:r>
            <w:r>
              <w:rPr>
                <w:rFonts w:hint="eastAsia"/>
                <w:lang w:val="en-US" w:eastAsia="zh-CN"/>
              </w:rPr>
              <w:t>估</w:t>
            </w:r>
            <w:r>
              <w:rPr>
                <w:rFonts w:hint="eastAsia"/>
              </w:rPr>
              <w:t>价师</w:t>
            </w:r>
          </w:p>
        </w:tc>
        <w:tc>
          <w:tcPr>
            <w:tcW w:w="3352" w:type="dxa"/>
            <w:vAlign w:val="center"/>
          </w:tcPr>
          <w:p>
            <w:pPr>
              <w:bidi w:val="0"/>
              <w:ind w:left="0" w:leftChars="0" w:firstLine="0" w:firstLineChars="0"/>
              <w:jc w:val="center"/>
            </w:pPr>
            <w:r>
              <w:rPr>
                <w:rFonts w:hint="eastAsia"/>
              </w:rPr>
              <w:t>注册号</w:t>
            </w:r>
          </w:p>
        </w:tc>
        <w:tc>
          <w:tcPr>
            <w:tcW w:w="3352" w:type="dxa"/>
            <w:vAlign w:val="center"/>
          </w:tcPr>
          <w:p>
            <w:pPr>
              <w:bidi w:val="0"/>
              <w:ind w:left="0" w:leftChars="0" w:firstLine="0" w:firstLineChars="0"/>
              <w:jc w:val="center"/>
            </w:pPr>
            <w:r>
              <w:rPr>
                <w:rFonts w:hint="eastAsia"/>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352" w:type="dxa"/>
            <w:vAlign w:val="center"/>
          </w:tcPr>
          <w:p>
            <w:pPr>
              <w:bidi w:val="0"/>
              <w:ind w:left="0" w:leftChars="0" w:firstLine="0" w:firstLineChars="0"/>
              <w:jc w:val="center"/>
              <w:rPr>
                <w:rFonts w:hint="default"/>
                <w:lang w:val="en-US" w:eastAsia="zh-CN"/>
              </w:rPr>
            </w:pPr>
            <w:r>
              <w:rPr>
                <w:rFonts w:hint="eastAsia"/>
                <w:lang w:val="en-US" w:eastAsia="zh-CN"/>
              </w:rPr>
              <w:t>刘亚莉</w:t>
            </w:r>
          </w:p>
        </w:tc>
        <w:tc>
          <w:tcPr>
            <w:tcW w:w="3352" w:type="dxa"/>
            <w:vAlign w:val="center"/>
          </w:tcPr>
          <w:p>
            <w:pPr>
              <w:bidi w:val="0"/>
              <w:ind w:left="0" w:leftChars="0" w:firstLine="0" w:firstLineChars="0"/>
              <w:jc w:val="center"/>
              <w:rPr>
                <w:rFonts w:hint="eastAsia"/>
                <w:lang w:eastAsia="zh-CN"/>
              </w:rPr>
            </w:pPr>
            <w:r>
              <w:rPr>
                <w:rFonts w:hint="eastAsia"/>
                <w:lang w:val="en-US" w:eastAsia="zh-CN"/>
              </w:rPr>
              <w:t>1320110038</w:t>
            </w:r>
          </w:p>
        </w:tc>
        <w:tc>
          <w:tcPr>
            <w:tcW w:w="3352" w:type="dxa"/>
            <w:vAlign w:val="center"/>
          </w:tcPr>
          <w:p>
            <w:pPr>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352" w:type="dxa"/>
            <w:vAlign w:val="center"/>
          </w:tcPr>
          <w:p>
            <w:pPr>
              <w:bidi w:val="0"/>
              <w:ind w:left="0" w:leftChars="0" w:firstLine="0" w:firstLineChars="0"/>
              <w:jc w:val="center"/>
            </w:pPr>
            <w:r>
              <w:rPr>
                <w:rFonts w:hint="eastAsia"/>
              </w:rPr>
              <w:t>李敬华</w:t>
            </w:r>
          </w:p>
        </w:tc>
        <w:tc>
          <w:tcPr>
            <w:tcW w:w="3352" w:type="dxa"/>
            <w:vAlign w:val="center"/>
          </w:tcPr>
          <w:p>
            <w:pPr>
              <w:bidi w:val="0"/>
              <w:ind w:left="0" w:leftChars="0" w:firstLine="0" w:firstLineChars="0"/>
              <w:jc w:val="center"/>
            </w:pPr>
            <w:r>
              <w:rPr>
                <w:rFonts w:hint="eastAsia"/>
              </w:rPr>
              <w:t>1320200014</w:t>
            </w:r>
          </w:p>
        </w:tc>
        <w:tc>
          <w:tcPr>
            <w:tcW w:w="3352" w:type="dxa"/>
            <w:vAlign w:val="center"/>
          </w:tcPr>
          <w:p>
            <w:pPr>
              <w:bidi w:val="0"/>
              <w:jc w:val="center"/>
            </w:pPr>
          </w:p>
        </w:tc>
      </w:tr>
    </w:tbl>
    <w:p>
      <w:pPr>
        <w:ind w:left="0" w:leftChars="0" w:firstLine="0" w:firstLineChars="0"/>
        <w:outlineLvl w:val="9"/>
        <w:rPr>
          <w:rFonts w:hint="eastAsia"/>
          <w:b/>
          <w:bCs/>
          <w:color w:val="auto"/>
          <w:sz w:val="32"/>
          <w:szCs w:val="32"/>
        </w:rPr>
      </w:pPr>
      <w:bookmarkStart w:id="25" w:name="_Toc427256787"/>
      <w:bookmarkStart w:id="26" w:name="_Toc428507755"/>
      <w:bookmarkStart w:id="27" w:name="_Toc251242030"/>
      <w:bookmarkStart w:id="28" w:name="_Toc251242172"/>
      <w:bookmarkStart w:id="29" w:name="_Toc428262370"/>
      <w:bookmarkStart w:id="30" w:name="_Toc447119032"/>
      <w:bookmarkStart w:id="31" w:name="_Toc447032844"/>
      <w:bookmarkStart w:id="32" w:name="_Toc35517984"/>
    </w:p>
    <w:p>
      <w:pPr>
        <w:ind w:firstLine="2570" w:firstLineChars="800"/>
        <w:outlineLvl w:val="9"/>
        <w:rPr>
          <w:rFonts w:hint="eastAsia"/>
          <w:b/>
          <w:bCs/>
          <w:color w:val="auto"/>
          <w:sz w:val="32"/>
          <w:szCs w:val="32"/>
        </w:rPr>
      </w:pPr>
    </w:p>
    <w:p>
      <w:pPr>
        <w:pStyle w:val="2"/>
        <w:bidi w:val="0"/>
        <w:rPr>
          <w:color w:val="auto"/>
        </w:rPr>
      </w:pPr>
      <w:bookmarkStart w:id="33" w:name="_Toc1671"/>
      <w:r>
        <w:rPr>
          <w:rFonts w:hint="eastAsia" w:ascii="仿宋_GB2312" w:hAnsi="仿宋_GB2312"/>
        </w:rPr>
        <w:t>估价假设和限制条件</w:t>
      </w:r>
      <w:bookmarkEnd w:id="25"/>
      <w:bookmarkEnd w:id="26"/>
      <w:bookmarkEnd w:id="27"/>
      <w:bookmarkEnd w:id="28"/>
      <w:bookmarkEnd w:id="29"/>
      <w:bookmarkEnd w:id="30"/>
      <w:bookmarkEnd w:id="31"/>
      <w:bookmarkEnd w:id="32"/>
      <w:bookmarkEnd w:id="33"/>
    </w:p>
    <w:p>
      <w:pPr>
        <w:pStyle w:val="3"/>
        <w:bidi w:val="0"/>
        <w:outlineLvl w:val="0"/>
      </w:pPr>
      <w:bookmarkStart w:id="34" w:name="_Toc10577"/>
      <w:r>
        <w:rPr>
          <w:rFonts w:hint="eastAsia"/>
          <w:lang w:val="en-US" w:eastAsia="zh-CN"/>
        </w:rPr>
        <w:t>（一）</w:t>
      </w:r>
      <w:r>
        <w:rPr>
          <w:rFonts w:hint="eastAsia"/>
        </w:rPr>
        <w:t>一般假设</w:t>
      </w:r>
      <w:bookmarkEnd w:id="34"/>
    </w:p>
    <w:p>
      <w:pPr>
        <w:bidi w:val="0"/>
      </w:pPr>
      <w:r>
        <w:rPr>
          <w:rFonts w:hint="eastAsia"/>
        </w:rPr>
        <w:t>1、注册房地产估价师已对房屋安全、环境污染等影响估价对象价值的重大因素给予了关注，在无理由怀疑估价对象存在隐患且无相应的专业机构进行鉴定、检测的情况下，假定估价对象能正常安全使用，无基础、结构等方面的重大质量问题，可在剩余经济耐用年限内持续使用。</w:t>
      </w:r>
    </w:p>
    <w:p>
      <w:pPr>
        <w:bidi w:val="0"/>
        <w:rPr>
          <w:rFonts w:hint="eastAsia"/>
        </w:rPr>
      </w:pPr>
      <w:r>
        <w:rPr>
          <w:rFonts w:hint="eastAsia"/>
        </w:rPr>
        <w:t>2、估价委托人提供了估价对象的权属证明材料复印件，对权属证明上记载的权属、面积、用途等资料进行了审慎检查，但未向登记机关进行查证，在无理由怀疑其合法性、真实性、准确性和完整性的情况下，假定估价委托人提供的资料合法、真实、准确、完整。</w:t>
      </w:r>
    </w:p>
    <w:p>
      <w:pPr>
        <w:bidi w:val="0"/>
        <w:rPr>
          <w:rFonts w:hint="eastAsia"/>
        </w:rPr>
      </w:pPr>
      <w:r>
        <w:rPr>
          <w:rFonts w:hint="eastAsia"/>
        </w:rPr>
        <w:t>3、本次</w:t>
      </w:r>
      <w:r>
        <w:rPr>
          <w:rFonts w:hint="eastAsia"/>
          <w:lang w:val="en-US" w:eastAsia="zh-CN"/>
        </w:rPr>
        <w:t>评估</w:t>
      </w:r>
      <w:r>
        <w:rPr>
          <w:rFonts w:hint="eastAsia"/>
        </w:rPr>
        <w:t>是以估价对象能够以规划用途持续使用为假设前提，假设估价对象产权合法清晰，不存在产权纠纷，</w:t>
      </w:r>
      <w:r>
        <w:rPr>
          <w:rFonts w:hint="eastAsia"/>
          <w:lang w:val="en-US" w:eastAsia="zh-CN"/>
        </w:rPr>
        <w:t>不存在居住权，</w:t>
      </w:r>
      <w:r>
        <w:rPr>
          <w:rFonts w:hint="eastAsia"/>
        </w:rPr>
        <w:t>产权人拥有合法处分权。</w:t>
      </w:r>
    </w:p>
    <w:p>
      <w:pPr>
        <w:bidi w:val="0"/>
        <w:rPr>
          <w:rFonts w:hint="default"/>
          <w:lang w:val="en-US" w:eastAsia="zh-CN"/>
        </w:rPr>
      </w:pPr>
      <w:r>
        <w:rPr>
          <w:rFonts w:hint="eastAsia"/>
          <w:lang w:val="en-US" w:eastAsia="zh-CN"/>
        </w:rPr>
        <w:t>4、本次评估根据委托方估价目的，假设估价对象不存在租赁权、用益物权的使用情况，且不存在欠缴税金及相关费用（包括物业费、供暖费、水电费及其滞纳金）为前提的。</w:t>
      </w:r>
    </w:p>
    <w:p>
      <w:pPr>
        <w:bidi w:val="0"/>
      </w:pPr>
      <w:r>
        <w:rPr>
          <w:rFonts w:hint="eastAsia"/>
          <w:lang w:val="en-US" w:eastAsia="zh-CN"/>
        </w:rPr>
        <w:t>5</w:t>
      </w:r>
      <w:r>
        <w:rPr>
          <w:rFonts w:hint="eastAsia"/>
        </w:rPr>
        <w:t>、</w:t>
      </w:r>
      <w:r>
        <w:t>本报告估价结果是估价</w:t>
      </w:r>
      <w:r>
        <w:rPr>
          <w:rFonts w:hint="eastAsia"/>
        </w:rPr>
        <w:t>对象在</w:t>
      </w:r>
      <w:r>
        <w:rPr>
          <w:rFonts w:hint="eastAsia"/>
          <w:lang w:eastAsia="zh-CN"/>
        </w:rPr>
        <w:t>2022年9月8日</w:t>
      </w:r>
      <w:r>
        <w:rPr>
          <w:rFonts w:hint="eastAsia"/>
        </w:rPr>
        <w:t>的公开市场价值基础上形成的，所谓公开市场价值是指估价对象在</w:t>
      </w:r>
      <w:r>
        <w:t>诸多假设条件下最可能形成的交易价格，这些假设条件主要有：</w:t>
      </w:r>
    </w:p>
    <w:p>
      <w:pPr>
        <w:bidi w:val="0"/>
      </w:pPr>
      <w:r>
        <w:fldChar w:fldCharType="begin"/>
      </w:r>
      <w:r>
        <w:instrText xml:space="preserve"> = 1 \* GB3 </w:instrText>
      </w:r>
      <w:r>
        <w:fldChar w:fldCharType="separate"/>
      </w:r>
      <w:r>
        <w:t>①</w:t>
      </w:r>
      <w:r>
        <w:fldChar w:fldCharType="end"/>
      </w:r>
      <w:r>
        <w:t>估价对象产权明晰、可在公开市场上自由转让。</w:t>
      </w:r>
    </w:p>
    <w:p>
      <w:pPr>
        <w:bidi w:val="0"/>
      </w:pPr>
      <w:r>
        <w:fldChar w:fldCharType="begin"/>
      </w:r>
      <w:r>
        <w:instrText xml:space="preserve"> = 2 \* GB3 </w:instrText>
      </w:r>
      <w:r>
        <w:fldChar w:fldCharType="separate"/>
      </w:r>
      <w:r>
        <w:t>②</w:t>
      </w:r>
      <w:r>
        <w:fldChar w:fldCharType="end"/>
      </w:r>
      <w:r>
        <w:t>市场供应关系、市场结构保持稳定、未发生重大变化或实质性改变。</w:t>
      </w:r>
    </w:p>
    <w:p>
      <w:pPr>
        <w:bidi w:val="0"/>
      </w:pPr>
      <w:r>
        <w:fldChar w:fldCharType="begin"/>
      </w:r>
      <w:r>
        <w:instrText xml:space="preserve"> = 3 \* GB3 </w:instrText>
      </w:r>
      <w:r>
        <w:fldChar w:fldCharType="separate"/>
      </w:r>
      <w:r>
        <w:t>③</w:t>
      </w:r>
      <w:r>
        <w:fldChar w:fldCharType="end"/>
      </w:r>
      <w:r>
        <w:t>交易双方无任何利害关系，其交易行为是理性的，同时双方都具有完全市场信息，对交易对象具有必要的专业知识</w:t>
      </w:r>
      <w:r>
        <w:rPr>
          <w:rFonts w:hint="eastAsia"/>
        </w:rPr>
        <w:t>，有充裕的时间进行交易</w:t>
      </w:r>
      <w:r>
        <w:t>。</w:t>
      </w:r>
    </w:p>
    <w:p>
      <w:pPr>
        <w:bidi w:val="0"/>
      </w:pPr>
      <w:r>
        <w:fldChar w:fldCharType="begin"/>
      </w:r>
      <w:r>
        <w:instrText xml:space="preserve"> = 4 \* GB3 </w:instrText>
      </w:r>
      <w:r>
        <w:fldChar w:fldCharType="separate"/>
      </w:r>
      <w:r>
        <w:t>④</w:t>
      </w:r>
      <w:r>
        <w:fldChar w:fldCharType="end"/>
      </w:r>
      <w:r>
        <w:t>不考虑特殊买家的附加出价</w:t>
      </w:r>
      <w:r>
        <w:rPr>
          <w:lang w:val="zh-CN"/>
        </w:rPr>
        <w:t>。</w:t>
      </w:r>
    </w:p>
    <w:p>
      <w:pPr>
        <w:pStyle w:val="3"/>
        <w:bidi w:val="0"/>
        <w:outlineLvl w:val="0"/>
        <w:rPr>
          <w:rFonts w:hint="eastAsia" w:ascii="Arial" w:hAnsi="Arial"/>
          <w:lang w:val="en-US" w:eastAsia="zh-CN"/>
        </w:rPr>
      </w:pPr>
      <w:bookmarkStart w:id="35" w:name="_Toc22418"/>
      <w:r>
        <w:rPr>
          <w:rFonts w:hint="eastAsia" w:ascii="Arial" w:hAnsi="Arial"/>
          <w:lang w:val="en-US" w:eastAsia="zh-CN"/>
        </w:rPr>
        <w:t>（二）未定事项假设</w:t>
      </w:r>
      <w:bookmarkEnd w:id="35"/>
    </w:p>
    <w:p>
      <w:pPr>
        <w:bidi w:val="0"/>
        <w:rPr>
          <w:rFonts w:hint="eastAsia"/>
        </w:rPr>
      </w:pPr>
      <w:r>
        <w:rPr>
          <w:rFonts w:hint="eastAsia"/>
          <w:lang w:val="en-US" w:eastAsia="zh-CN"/>
        </w:rPr>
        <w:t>4、本次评估根据委托方提供的资料和评估调查结果，假设估价对象不存在租赁权、用益物权的使用情况，且不存在欠缴税金（包括</w:t>
      </w:r>
      <w:r>
        <w:rPr>
          <w:rFonts w:hint="eastAsia"/>
        </w:rPr>
        <w:t>增值税及附加、房地产税、土地使用税、土地使用权出让金、公维基金</w:t>
      </w:r>
      <w:r>
        <w:rPr>
          <w:rFonts w:hint="eastAsia"/>
          <w:lang w:val="en-US" w:eastAsia="zh-CN"/>
        </w:rPr>
        <w:t>等）也不存在欠缴相关费用（包括物业费、供暖费、水电费及其滞纳金）为估价前提。</w:t>
      </w:r>
    </w:p>
    <w:p>
      <w:pPr>
        <w:bidi w:val="0"/>
      </w:pPr>
      <w:r>
        <w:rPr>
          <w:rFonts w:hint="eastAsia"/>
        </w:rPr>
        <w:t>若至价值时点止，产权人尚有任何关于估价对象的应缴未缴税费，如：增值税及附加、房地产税、土地使用税、土地使用权出让金、公维基金、物业费、水电费、热力费等，应按照相关规定缴纳或从估价结果中扣除。</w:t>
      </w:r>
    </w:p>
    <w:p>
      <w:pPr>
        <w:pStyle w:val="3"/>
        <w:pageBreakBefore w:val="0"/>
        <w:widowControl w:val="0"/>
        <w:kinsoku/>
        <w:overflowPunct/>
        <w:topLinePunct w:val="0"/>
        <w:autoSpaceDE/>
        <w:autoSpaceDN/>
        <w:bidi w:val="0"/>
        <w:adjustRightInd/>
        <w:snapToGrid/>
        <w:spacing w:line="320" w:lineRule="exact"/>
        <w:textAlignment w:val="auto"/>
        <w:outlineLvl w:val="0"/>
        <w:rPr>
          <w:rFonts w:hint="eastAsia" w:ascii="Arial" w:hAnsi="Arial" w:eastAsia="楷体_GB2312"/>
          <w:lang w:val="en-US" w:eastAsia="zh-CN"/>
        </w:rPr>
      </w:pPr>
      <w:bookmarkStart w:id="36" w:name="_Toc1630"/>
      <w:r>
        <w:rPr>
          <w:rFonts w:hint="eastAsia" w:ascii="Arial" w:hAnsi="Arial"/>
          <w:lang w:val="en-US" w:eastAsia="zh-CN"/>
        </w:rPr>
        <w:t>（三）背离事实假设</w:t>
      </w:r>
      <w:bookmarkEnd w:id="36"/>
    </w:p>
    <w:p>
      <w:pPr>
        <w:pageBreakBefore w:val="0"/>
        <w:widowControl w:val="0"/>
        <w:kinsoku/>
        <w:overflowPunct/>
        <w:topLinePunct w:val="0"/>
        <w:autoSpaceDE/>
        <w:autoSpaceDN/>
        <w:bidi w:val="0"/>
        <w:adjustRightInd/>
        <w:snapToGrid/>
        <w:spacing w:line="320" w:lineRule="exact"/>
        <w:textAlignment w:val="auto"/>
        <w:rPr>
          <w:rFonts w:hint="default" w:eastAsia="楷体"/>
          <w:lang w:val="en-US" w:eastAsia="zh-CN"/>
        </w:rPr>
      </w:pPr>
      <w:r>
        <w:rPr>
          <w:rFonts w:hint="eastAsia"/>
          <w:lang w:val="en-US" w:eastAsia="zh-CN"/>
        </w:rPr>
        <w:t>本次评估假设估价对象是在未查封状态且不存在担保物权和其他优先受偿权下的估价对象市场价值。</w:t>
      </w:r>
    </w:p>
    <w:p>
      <w:pPr>
        <w:pStyle w:val="3"/>
        <w:pageBreakBefore w:val="0"/>
        <w:widowControl w:val="0"/>
        <w:kinsoku/>
        <w:overflowPunct/>
        <w:topLinePunct w:val="0"/>
        <w:autoSpaceDE/>
        <w:autoSpaceDN/>
        <w:bidi w:val="0"/>
        <w:adjustRightInd/>
        <w:snapToGrid/>
        <w:spacing w:line="320" w:lineRule="exact"/>
        <w:textAlignment w:val="auto"/>
        <w:outlineLvl w:val="0"/>
        <w:rPr>
          <w:rFonts w:hint="eastAsia" w:ascii="Arial" w:hAnsi="Arial"/>
          <w:lang w:val="en-US" w:eastAsia="zh-CN"/>
        </w:rPr>
      </w:pPr>
      <w:bookmarkStart w:id="37" w:name="_Toc5376"/>
      <w:r>
        <w:rPr>
          <w:rFonts w:hint="eastAsia" w:ascii="Arial" w:hAnsi="Arial"/>
          <w:lang w:val="en-US" w:eastAsia="zh-CN"/>
        </w:rPr>
        <w:t>（四）不相一致假设</w:t>
      </w:r>
      <w:bookmarkEnd w:id="37"/>
    </w:p>
    <w:p>
      <w:pPr>
        <w:pageBreakBefore w:val="0"/>
        <w:widowControl w:val="0"/>
        <w:kinsoku/>
        <w:overflowPunct/>
        <w:topLinePunct w:val="0"/>
        <w:autoSpaceDE/>
        <w:autoSpaceDN/>
        <w:bidi w:val="0"/>
        <w:adjustRightInd/>
        <w:snapToGrid/>
        <w:spacing w:line="320" w:lineRule="exact"/>
        <w:textAlignment w:val="auto"/>
        <w:rPr>
          <w:rFonts w:hint="eastAsia" w:ascii="Arial" w:hAnsi="Arial"/>
          <w:lang w:val="en-US" w:eastAsia="zh-CN"/>
        </w:rPr>
      </w:pPr>
      <w:r>
        <w:rPr>
          <w:rFonts w:hint="eastAsia"/>
          <w:lang w:val="en-US" w:eastAsia="zh-CN"/>
        </w:rPr>
        <w:t>无。</w:t>
      </w:r>
    </w:p>
    <w:p>
      <w:pPr>
        <w:pStyle w:val="3"/>
        <w:pageBreakBefore w:val="0"/>
        <w:widowControl w:val="0"/>
        <w:numPr>
          <w:ilvl w:val="0"/>
          <w:numId w:val="1"/>
        </w:numPr>
        <w:kinsoku/>
        <w:overflowPunct/>
        <w:topLinePunct w:val="0"/>
        <w:autoSpaceDE/>
        <w:autoSpaceDN/>
        <w:bidi w:val="0"/>
        <w:adjustRightInd/>
        <w:snapToGrid/>
        <w:spacing w:line="320" w:lineRule="exact"/>
        <w:textAlignment w:val="auto"/>
        <w:outlineLvl w:val="0"/>
        <w:rPr>
          <w:rFonts w:hint="eastAsia" w:ascii="Arial" w:hAnsi="Arial"/>
          <w:lang w:val="en-US" w:eastAsia="zh-CN"/>
        </w:rPr>
      </w:pPr>
      <w:bookmarkStart w:id="38" w:name="_Toc248"/>
      <w:r>
        <w:rPr>
          <w:rFonts w:hint="eastAsia" w:ascii="Arial" w:hAnsi="Arial"/>
          <w:lang w:val="en-US" w:eastAsia="zh-CN"/>
        </w:rPr>
        <w:t>依据不足假设</w:t>
      </w:r>
      <w:bookmarkEnd w:id="38"/>
    </w:p>
    <w:p>
      <w:pPr>
        <w:pageBreakBefore w:val="0"/>
        <w:widowControl w:val="0"/>
        <w:kinsoku/>
        <w:overflowPunct/>
        <w:topLinePunct w:val="0"/>
        <w:autoSpaceDE/>
        <w:autoSpaceDN/>
        <w:bidi w:val="0"/>
        <w:adjustRightInd/>
        <w:snapToGrid/>
        <w:spacing w:line="320" w:lineRule="exact"/>
        <w:textAlignment w:val="auto"/>
        <w:rPr>
          <w:rFonts w:hint="eastAsia"/>
        </w:rPr>
      </w:pPr>
      <w:r>
        <w:rPr>
          <w:rFonts w:hint="eastAsia"/>
          <w:bCs/>
          <w:color w:val="auto"/>
          <w:spacing w:val="6"/>
          <w:lang w:val="en-US" w:eastAsia="zh-CN"/>
        </w:rPr>
        <w:t>本次评估现场查勘过程中，由于被执行人接到通知后没有配合，评估人员无法进入室内查勘，经办案法官许可，在相关当事人见证下，对住宅整体从外部进行了查勘，对室内装修状况及地下室采取走访调查和从窗户观察的方式间接进行了查勘，在掌握的相关参照信息基础上做出本次评估假设，假设室内装修程度为中式豪华装修，住宅地下有地下室。本次评估价值包含室内装修价值和地下室价值</w:t>
      </w:r>
      <w:r>
        <w:rPr>
          <w:rFonts w:hint="eastAsia"/>
        </w:rPr>
        <w:t>。</w:t>
      </w:r>
    </w:p>
    <w:p>
      <w:pPr>
        <w:pStyle w:val="3"/>
        <w:pageBreakBefore w:val="0"/>
        <w:widowControl w:val="0"/>
        <w:kinsoku/>
        <w:overflowPunct/>
        <w:topLinePunct w:val="0"/>
        <w:autoSpaceDE/>
        <w:autoSpaceDN/>
        <w:bidi w:val="0"/>
        <w:adjustRightInd/>
        <w:snapToGrid/>
        <w:spacing w:line="320" w:lineRule="exact"/>
        <w:textAlignment w:val="auto"/>
        <w:outlineLvl w:val="0"/>
        <w:rPr>
          <w:rFonts w:hint="eastAsia" w:ascii="Arial" w:hAnsi="Arial"/>
          <w:lang w:val="en-US" w:eastAsia="zh-CN"/>
        </w:rPr>
      </w:pPr>
      <w:bookmarkStart w:id="39" w:name="_Toc31393"/>
      <w:r>
        <w:rPr>
          <w:rFonts w:hint="eastAsia" w:ascii="Arial" w:hAnsi="Arial"/>
          <w:lang w:val="en-US" w:eastAsia="zh-CN"/>
        </w:rPr>
        <w:t>（六）估价报告使用限制</w:t>
      </w:r>
      <w:bookmarkEnd w:id="39"/>
    </w:p>
    <w:p>
      <w:pPr>
        <w:bidi w:val="0"/>
      </w:pPr>
      <w:r>
        <w:t>应当按照法律规定和评估报告载明的用途、使用人、使用期限等使用范围使用评估报告。否则，房地产估价机构和注册房地产估价师依法不承担责任；</w:t>
      </w:r>
    </w:p>
    <w:p>
      <w:pPr>
        <w:bidi w:val="0"/>
        <w:rPr>
          <w:rFonts w:hint="default" w:eastAsia="楷体"/>
          <w:lang w:val="en-US" w:eastAsia="zh-CN"/>
        </w:rPr>
      </w:pPr>
      <w:r>
        <w:rPr>
          <w:rFonts w:hint="eastAsia"/>
          <w:lang w:val="en-US" w:eastAsia="zh-CN"/>
        </w:rPr>
        <w:t>1、报告用途、使用人</w:t>
      </w:r>
    </w:p>
    <w:p>
      <w:pPr>
        <w:bidi w:val="0"/>
      </w:pPr>
      <w:r>
        <w:t>本估价报告</w:t>
      </w:r>
      <w:r>
        <w:rPr>
          <w:rFonts w:hint="eastAsia"/>
        </w:rPr>
        <w:t>仅为本次估价目的</w:t>
      </w:r>
      <w:r>
        <w:rPr>
          <w:rFonts w:hint="eastAsia"/>
          <w:lang w:eastAsia="zh-CN"/>
        </w:rPr>
        <w:t>（</w:t>
      </w:r>
      <w:r>
        <w:rPr>
          <w:rFonts w:hint="eastAsia"/>
        </w:rPr>
        <w:t>为人民法院确定财产处置参考价提供参考依据</w:t>
      </w:r>
      <w:r>
        <w:rPr>
          <w:rFonts w:hint="eastAsia"/>
          <w:lang w:eastAsia="zh-CN"/>
        </w:rPr>
        <w:t>）</w:t>
      </w:r>
      <w:r>
        <w:rPr>
          <w:rFonts w:hint="eastAsia"/>
        </w:rPr>
        <w:t>使用，报告</w:t>
      </w:r>
      <w:r>
        <w:t>使用权归委托方</w:t>
      </w:r>
      <w:r>
        <w:rPr>
          <w:rFonts w:hint="eastAsia"/>
          <w:lang w:eastAsia="zh-CN"/>
        </w:rPr>
        <w:t>（</w:t>
      </w:r>
      <w:r>
        <w:rPr>
          <w:rFonts w:hint="eastAsia"/>
          <w:lang w:val="en-US" w:eastAsia="zh-CN"/>
        </w:rPr>
        <w:t>河北省唐山市中级人民法院</w:t>
      </w:r>
      <w:r>
        <w:rPr>
          <w:rFonts w:hint="eastAsia"/>
          <w:lang w:eastAsia="zh-CN"/>
        </w:rPr>
        <w:t>）</w:t>
      </w:r>
      <w:r>
        <w:t>所有。</w:t>
      </w:r>
    </w:p>
    <w:p>
      <w:pPr>
        <w:bidi w:val="0"/>
        <w:rPr>
          <w:rFonts w:hint="default" w:eastAsia="楷体"/>
          <w:lang w:val="en-US" w:eastAsia="zh-CN"/>
        </w:rPr>
      </w:pPr>
      <w:r>
        <w:rPr>
          <w:rFonts w:hint="eastAsia"/>
          <w:lang w:val="en-US" w:eastAsia="zh-CN"/>
        </w:rPr>
        <w:t>2、报告使用期限</w:t>
      </w:r>
    </w:p>
    <w:p>
      <w:pPr>
        <w:bidi w:val="0"/>
        <w:rPr>
          <w:rFonts w:hint="eastAsia"/>
        </w:rPr>
      </w:pPr>
      <w:r>
        <w:rPr>
          <w:rFonts w:hint="eastAsia"/>
        </w:rPr>
        <w:t>本估价报告自出具之日起一年内有效</w:t>
      </w:r>
      <w:r>
        <w:rPr>
          <w:rFonts w:hint="eastAsia"/>
          <w:lang w:eastAsia="zh-CN"/>
        </w:rPr>
        <w:t>，</w:t>
      </w:r>
      <w:r>
        <w:rPr>
          <w:rFonts w:hint="eastAsia"/>
        </w:rPr>
        <w:t>本公司对逾期报告书不承担责任。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bidi w:val="0"/>
        <w:rPr>
          <w:rFonts w:hint="eastAsia"/>
        </w:rPr>
      </w:pPr>
      <w:r>
        <w:rPr>
          <w:rFonts w:hint="eastAsia"/>
        </w:rPr>
        <w:t>在评估报告使用期限或者评估结果有效期内，评估报告或者评估结果未使用之前，如果评估对象状况或者房地产市场状况发生明显变化的，评估结果应当进行相应调整后才可使用。</w:t>
      </w:r>
    </w:p>
    <w:p>
      <w:pPr>
        <w:bidi w:val="0"/>
        <w:rPr>
          <w:rFonts w:hint="default" w:eastAsia="楷体"/>
          <w:lang w:val="en-US" w:eastAsia="zh-CN"/>
        </w:rPr>
      </w:pPr>
      <w:r>
        <w:rPr>
          <w:rFonts w:hint="eastAsia"/>
          <w:lang w:val="en-US" w:eastAsia="zh-CN"/>
        </w:rPr>
        <w:t>3、特别提示</w:t>
      </w:r>
    </w:p>
    <w:p>
      <w:pPr>
        <w:bidi w:val="0"/>
        <w:rPr>
          <w:rFonts w:hint="eastAsia"/>
        </w:rPr>
      </w:pPr>
      <w:r>
        <w:rPr>
          <w:rFonts w:hint="eastAsia"/>
        </w:rPr>
        <w:t>评估结果仅为人民法院确定财产处置参考价服务，不是评估对象处置可实现的成交价格，也不应当被视为对评估对象处置成交价格的保证。</w:t>
      </w:r>
    </w:p>
    <w:bookmarkEnd w:id="23"/>
    <w:bookmarkEnd w:id="24"/>
    <w:p>
      <w:pPr>
        <w:bidi w:val="0"/>
        <w:rPr>
          <w:rFonts w:hint="eastAsia"/>
        </w:rPr>
      </w:pPr>
      <w:bookmarkStart w:id="40" w:name="_Toc433014512"/>
      <w:r>
        <w:rPr>
          <w:rFonts w:hint="eastAsia"/>
        </w:rPr>
        <w:t>本估价报告仅以估价委托人提供的现有证据为依据，如双方当事人对此报告有异议，请在收到报告5日内提出书面异议并通过估价委托人转交我机构进行复议。</w:t>
      </w:r>
    </w:p>
    <w:p>
      <w:pPr>
        <w:bidi w:val="0"/>
        <w:rPr>
          <w:rFonts w:ascii="Times New Roman" w:hAnsi="Times New Roman"/>
          <w:color w:val="auto"/>
          <w:sz w:val="24"/>
        </w:rPr>
      </w:pPr>
      <w:r>
        <w:t>本评估报告一式</w:t>
      </w:r>
      <w:r>
        <w:rPr>
          <w:rFonts w:hint="eastAsia"/>
        </w:rPr>
        <w:t>陆</w:t>
      </w:r>
      <w:r>
        <w:t>份，复印无效。本估价报告的最终解释权为我公司所有。</w:t>
      </w:r>
    </w:p>
    <w:p>
      <w:pPr>
        <w:pStyle w:val="16"/>
        <w:spacing w:line="400" w:lineRule="exact"/>
        <w:ind w:left="0" w:leftChars="0" w:firstLine="0" w:firstLineChars="0"/>
        <w:jc w:val="left"/>
        <w:rPr>
          <w:rFonts w:ascii="Times New Roman" w:hAnsi="Times New Roman"/>
          <w:color w:val="auto"/>
          <w:sz w:val="24"/>
        </w:rPr>
      </w:pPr>
    </w:p>
    <w:p>
      <w:pPr>
        <w:pStyle w:val="16"/>
        <w:spacing w:line="400" w:lineRule="exact"/>
        <w:ind w:left="0" w:leftChars="0" w:firstLine="0" w:firstLineChars="0"/>
        <w:jc w:val="left"/>
        <w:rPr>
          <w:rFonts w:ascii="Times New Roman" w:hAnsi="Times New Roman"/>
          <w:color w:val="auto"/>
          <w:sz w:val="24"/>
        </w:rPr>
      </w:pPr>
    </w:p>
    <w:p>
      <w:pPr>
        <w:pStyle w:val="16"/>
        <w:spacing w:line="400" w:lineRule="exact"/>
        <w:ind w:left="0" w:leftChars="0" w:firstLine="0" w:firstLineChars="0"/>
        <w:jc w:val="left"/>
        <w:rPr>
          <w:rFonts w:ascii="Times New Roman" w:hAnsi="Times New Roman"/>
          <w:color w:val="auto"/>
          <w:sz w:val="24"/>
        </w:rPr>
      </w:pPr>
      <w:bookmarkStart w:id="92" w:name="_GoBack"/>
      <w:bookmarkEnd w:id="92"/>
    </w:p>
    <w:p>
      <w:pPr>
        <w:pStyle w:val="2"/>
        <w:bidi w:val="0"/>
        <w:ind w:left="0" w:leftChars="0" w:firstLine="0" w:firstLineChars="0"/>
        <w:jc w:val="center"/>
        <w:rPr>
          <w:rFonts w:hint="eastAsia" w:ascii="仿宋_GB2312" w:hAnsi="仿宋_GB2312"/>
        </w:rPr>
      </w:pPr>
      <w:bookmarkStart w:id="41" w:name="_Toc35517985"/>
      <w:bookmarkStart w:id="42" w:name="_Toc1378"/>
      <w:r>
        <w:rPr>
          <w:rFonts w:hint="eastAsia" w:ascii="仿宋_GB2312" w:hAnsi="仿宋_GB2312"/>
          <w:lang w:val="en-US" w:eastAsia="zh-CN"/>
        </w:rPr>
        <w:t>估价结果报告</w:t>
      </w:r>
      <w:bookmarkEnd w:id="41"/>
      <w:bookmarkEnd w:id="42"/>
    </w:p>
    <w:p>
      <w:pPr>
        <w:pStyle w:val="16"/>
        <w:spacing w:line="400" w:lineRule="exact"/>
        <w:ind w:firstLine="6240" w:firstLineChars="2600"/>
        <w:jc w:val="left"/>
        <w:rPr>
          <w:rFonts w:ascii="Times New Roman" w:hAnsi="Times New Roman"/>
          <w:color w:val="auto"/>
          <w:sz w:val="24"/>
        </w:rPr>
      </w:pPr>
    </w:p>
    <w:p>
      <w:pPr>
        <w:pStyle w:val="3"/>
        <w:bidi w:val="0"/>
        <w:outlineLvl w:val="0"/>
      </w:pPr>
      <w:bookmarkStart w:id="43" w:name="_Toc251242174"/>
      <w:bookmarkStart w:id="44" w:name="_Toc35517986"/>
      <w:bookmarkStart w:id="45" w:name="_Toc11420"/>
      <w:bookmarkStart w:id="46" w:name="_Toc251242032"/>
      <w:bookmarkStart w:id="47" w:name="_Toc438805341"/>
      <w:r>
        <w:rPr>
          <w:rFonts w:hint="eastAsia"/>
        </w:rPr>
        <w:t>（一）估价委托人</w:t>
      </w:r>
      <w:bookmarkEnd w:id="43"/>
      <w:bookmarkEnd w:id="44"/>
      <w:bookmarkEnd w:id="45"/>
      <w:bookmarkEnd w:id="46"/>
      <w:bookmarkEnd w:id="47"/>
    </w:p>
    <w:p>
      <w:pPr>
        <w:bidi w:val="0"/>
      </w:pPr>
      <w:r>
        <w:rPr>
          <w:rFonts w:hint="eastAsia"/>
        </w:rPr>
        <w:t>名称：河北省唐山市中级人民法院</w:t>
      </w:r>
    </w:p>
    <w:p>
      <w:pPr>
        <w:pStyle w:val="3"/>
        <w:bidi w:val="0"/>
        <w:outlineLvl w:val="0"/>
        <w:rPr>
          <w:rFonts w:hint="eastAsia" w:ascii="Arial" w:hAnsi="Arial" w:eastAsia="楷体_GB2312"/>
        </w:rPr>
      </w:pPr>
      <w:bookmarkStart w:id="48" w:name="_Toc35517987"/>
      <w:bookmarkStart w:id="49" w:name="_Toc5226"/>
      <w:r>
        <w:rPr>
          <w:rFonts w:hint="eastAsia" w:ascii="Arial" w:hAnsi="Arial" w:eastAsia="楷体_GB2312"/>
        </w:rPr>
        <w:t>（二）房</w:t>
      </w:r>
      <w:r>
        <w:rPr>
          <w:rFonts w:hint="eastAsia"/>
        </w:rPr>
        <w:t>地产估价</w:t>
      </w:r>
      <w:r>
        <w:rPr>
          <w:rFonts w:hint="eastAsia" w:ascii="Arial" w:hAnsi="Arial" w:eastAsia="楷体_GB2312"/>
        </w:rPr>
        <w:t>机构</w:t>
      </w:r>
      <w:bookmarkEnd w:id="48"/>
      <w:bookmarkEnd w:id="49"/>
    </w:p>
    <w:p>
      <w:pPr>
        <w:bidi w:val="0"/>
        <w:rPr>
          <w:rFonts w:hint="eastAsia"/>
          <w:lang w:eastAsia="zh-CN"/>
        </w:rPr>
      </w:pPr>
      <w:bookmarkStart w:id="50" w:name="_Toc251242035"/>
      <w:bookmarkStart w:id="51" w:name="_Toc251242177"/>
      <w:bookmarkStart w:id="52" w:name="_Toc438805343"/>
      <w:bookmarkStart w:id="53" w:name="_Toc251242176"/>
      <w:bookmarkStart w:id="54" w:name="_Toc251242034"/>
      <w:r>
        <w:rPr>
          <w:rFonts w:hint="eastAsia"/>
        </w:rPr>
        <w:t>估价方：</w:t>
      </w:r>
      <w:r>
        <w:rPr>
          <w:rFonts w:hint="eastAsia"/>
          <w:lang w:eastAsia="zh-CN"/>
        </w:rPr>
        <w:t>河北君泰达房地产资产评估咨询有限公司</w:t>
      </w:r>
    </w:p>
    <w:p>
      <w:pPr>
        <w:bidi w:val="0"/>
        <w:rPr>
          <w:rFonts w:hint="eastAsia"/>
        </w:rPr>
      </w:pPr>
      <w:r>
        <w:rPr>
          <w:rFonts w:hint="eastAsia"/>
        </w:rPr>
        <w:t>法定代表人：</w:t>
      </w:r>
      <w:r>
        <w:rPr>
          <w:rFonts w:hint="eastAsia"/>
          <w:lang w:eastAsia="zh-CN"/>
        </w:rPr>
        <w:t>刘亚莉</w:t>
      </w:r>
      <w:r>
        <w:rPr>
          <w:rFonts w:hint="eastAsia"/>
        </w:rPr>
        <w:t>；</w:t>
      </w:r>
    </w:p>
    <w:p>
      <w:pPr>
        <w:bidi w:val="0"/>
        <w:rPr>
          <w:rFonts w:hint="eastAsia"/>
        </w:rPr>
      </w:pPr>
      <w:r>
        <w:rPr>
          <w:rFonts w:hint="eastAsia"/>
        </w:rPr>
        <w:t>地址：</w:t>
      </w:r>
      <w:r>
        <w:rPr>
          <w:rFonts w:hint="eastAsia"/>
          <w:lang w:eastAsia="zh-CN"/>
        </w:rPr>
        <w:t>唐山路北区茂华府友谊南路131-2-3号</w:t>
      </w:r>
      <w:r>
        <w:rPr>
          <w:rFonts w:hint="eastAsia"/>
        </w:rPr>
        <w:t>；</w:t>
      </w:r>
    </w:p>
    <w:p>
      <w:pPr>
        <w:bidi w:val="0"/>
        <w:rPr>
          <w:rFonts w:hint="eastAsia"/>
        </w:rPr>
      </w:pPr>
      <w:r>
        <w:rPr>
          <w:rFonts w:hint="eastAsia"/>
        </w:rPr>
        <w:t>资格等级：</w:t>
      </w:r>
      <w:r>
        <w:rPr>
          <w:rFonts w:hint="eastAsia"/>
          <w:lang w:val="en-US" w:eastAsia="zh-CN"/>
        </w:rPr>
        <w:t>壹</w:t>
      </w:r>
      <w:r>
        <w:rPr>
          <w:rFonts w:hint="eastAsia"/>
        </w:rPr>
        <w:t>级；</w:t>
      </w:r>
    </w:p>
    <w:p>
      <w:pPr>
        <w:bidi w:val="0"/>
        <w:rPr>
          <w:rFonts w:hint="eastAsia"/>
        </w:rPr>
      </w:pPr>
      <w:r>
        <w:rPr>
          <w:rFonts w:hint="eastAsia"/>
        </w:rPr>
        <w:t>证书编号：冀建房估（唐）51号；</w:t>
      </w:r>
    </w:p>
    <w:p>
      <w:pPr>
        <w:bidi w:val="0"/>
        <w:rPr>
          <w:rFonts w:hint="eastAsia"/>
        </w:rPr>
      </w:pPr>
      <w:r>
        <w:rPr>
          <w:rFonts w:hint="eastAsia"/>
        </w:rPr>
        <w:t>经营范围：凭资质从事房地产评估、经纪服务、房地产信息咨询服务、土地评估、资产评估、工程造价咨询（依法须经批准的项目，经相关部门批准后方可开展经营活动）***</w:t>
      </w:r>
    </w:p>
    <w:p>
      <w:pPr>
        <w:bidi w:val="0"/>
        <w:rPr>
          <w:rFonts w:hint="eastAsia"/>
        </w:rPr>
      </w:pPr>
      <w:r>
        <w:rPr>
          <w:rFonts w:hint="eastAsia"/>
        </w:rPr>
        <w:t>联系电话：0315-2226959。</w:t>
      </w:r>
    </w:p>
    <w:p>
      <w:pPr>
        <w:pStyle w:val="3"/>
        <w:bidi w:val="0"/>
        <w:outlineLvl w:val="0"/>
        <w:rPr>
          <w:rFonts w:hint="eastAsia" w:ascii="Arial" w:hAnsi="Arial" w:eastAsia="楷体_GB2312"/>
        </w:rPr>
      </w:pPr>
      <w:bookmarkStart w:id="55" w:name="_Toc26814"/>
      <w:bookmarkStart w:id="56" w:name="_Toc35517988"/>
      <w:r>
        <w:rPr>
          <w:rFonts w:hint="eastAsia" w:ascii="Arial" w:hAnsi="Arial" w:eastAsia="楷体_GB2312"/>
        </w:rPr>
        <w:t>（三）估价目的</w:t>
      </w:r>
      <w:bookmarkEnd w:id="50"/>
      <w:bookmarkEnd w:id="51"/>
      <w:bookmarkEnd w:id="52"/>
      <w:bookmarkEnd w:id="55"/>
      <w:bookmarkEnd w:id="56"/>
    </w:p>
    <w:p>
      <w:pPr>
        <w:autoSpaceDE w:val="0"/>
        <w:autoSpaceDN w:val="0"/>
        <w:adjustRightInd w:val="0"/>
        <w:snapToGrid w:val="0"/>
        <w:spacing w:line="480" w:lineRule="exact"/>
        <w:rPr>
          <w:rFonts w:hint="eastAsia"/>
          <w:color w:val="auto"/>
          <w:spacing w:val="6"/>
        </w:rPr>
      </w:pPr>
      <w:bookmarkStart w:id="57" w:name="_Toc35517990"/>
      <w:bookmarkStart w:id="58" w:name="_Toc438805344"/>
      <w:r>
        <w:rPr>
          <w:rFonts w:hint="eastAsia"/>
          <w:color w:val="auto"/>
          <w:spacing w:val="6"/>
        </w:rPr>
        <w:t>为人民法院确定财产处置参考价提供参考依据</w:t>
      </w:r>
    </w:p>
    <w:p>
      <w:pPr>
        <w:pStyle w:val="3"/>
        <w:bidi w:val="0"/>
        <w:outlineLvl w:val="0"/>
        <w:rPr>
          <w:rFonts w:hint="eastAsia" w:ascii="Arial" w:hAnsi="Arial" w:eastAsia="楷体_GB2312"/>
        </w:rPr>
      </w:pPr>
      <w:bookmarkStart w:id="59" w:name="_Toc7161"/>
      <w:r>
        <w:rPr>
          <w:rFonts w:hint="eastAsia" w:ascii="Arial" w:hAnsi="Arial" w:eastAsia="楷体_GB2312"/>
        </w:rPr>
        <w:t>（四）估价对象</w:t>
      </w:r>
      <w:bookmarkEnd w:id="53"/>
      <w:bookmarkEnd w:id="54"/>
      <w:bookmarkEnd w:id="57"/>
      <w:bookmarkEnd w:id="58"/>
      <w:bookmarkEnd w:id="59"/>
    </w:p>
    <w:p>
      <w:pPr>
        <w:bidi w:val="0"/>
        <w:rPr>
          <w:rFonts w:hint="eastAsia"/>
        </w:rPr>
      </w:pPr>
      <w:r>
        <w:rPr>
          <w:rFonts w:hint="eastAsia"/>
        </w:rPr>
        <w:t>　</w:t>
      </w:r>
      <w:bookmarkStart w:id="60" w:name="OLE_LINK3"/>
      <w:r>
        <w:rPr>
          <w:rFonts w:hint="eastAsia"/>
        </w:rPr>
        <w:t>1、估价对象范围</w:t>
      </w:r>
    </w:p>
    <w:p>
      <w:pPr>
        <w:bidi w:val="0"/>
      </w:pPr>
      <w:r>
        <w:rPr>
          <w:rFonts w:hint="eastAsia"/>
        </w:rPr>
        <w:t>据估价委托人委托，本次估价范围为</w:t>
      </w:r>
      <w:r>
        <w:rPr>
          <w:rFonts w:hint="eastAsia"/>
          <w:lang w:val="en-US" w:eastAsia="zh-CN"/>
        </w:rPr>
        <w:t>唐山市路北区祥荣里308楼8号住宅，包含室内装修、地下室及室内外配套设施。</w:t>
      </w:r>
      <w:r>
        <w:rPr>
          <w:rFonts w:hint="eastAsia"/>
        </w:rPr>
        <w:t>根据委托方提供的相关资料，本次评估不包含</w:t>
      </w:r>
      <w:r>
        <w:rPr>
          <w:rFonts w:hint="eastAsia"/>
          <w:lang w:val="en-US" w:eastAsia="zh-CN"/>
        </w:rPr>
        <w:t>可移动物品及有收藏价值的特殊物品</w:t>
      </w:r>
      <w:r>
        <w:rPr>
          <w:rFonts w:hint="eastAsia"/>
        </w:rPr>
        <w:t>、</w:t>
      </w:r>
      <w:r>
        <w:rPr>
          <w:rFonts w:hint="eastAsia"/>
          <w:lang w:val="en-US" w:eastAsia="zh-CN"/>
        </w:rPr>
        <w:t>不包含</w:t>
      </w:r>
      <w:r>
        <w:rPr>
          <w:rFonts w:hint="eastAsia"/>
        </w:rPr>
        <w:t>债权债务等其他财产或者权益。</w:t>
      </w:r>
      <w:r>
        <w:rPr>
          <w:rFonts w:hint="eastAsia"/>
          <w:lang w:val="en-US" w:eastAsia="zh-CN"/>
        </w:rPr>
        <w:t>估价对象已被法院查封。</w:t>
      </w:r>
    </w:p>
    <w:p>
      <w:pPr>
        <w:bidi w:val="0"/>
        <w:rPr>
          <w:lang w:val="zh-CN"/>
        </w:rPr>
      </w:pPr>
      <w:bookmarkStart w:id="61" w:name="OLE_LINK5"/>
      <w:bookmarkStart w:id="62" w:name="OLE_LINK4"/>
      <w:r>
        <w:rPr>
          <w:rFonts w:hint="eastAsia"/>
          <w:lang w:val="en-US" w:eastAsia="zh-CN"/>
        </w:rPr>
        <w:t>2、</w:t>
      </w:r>
      <w:r>
        <w:rPr>
          <w:rFonts w:hint="eastAsia"/>
          <w:lang w:val="zh-CN"/>
        </w:rPr>
        <w:t>估价对象权益状况描述</w:t>
      </w:r>
    </w:p>
    <w:p>
      <w:pPr>
        <w:bidi w:val="0"/>
        <w:rPr>
          <w:rFonts w:hint="default"/>
          <w:lang w:val="en-US" w:eastAsia="zh-CN"/>
        </w:rPr>
      </w:pPr>
      <w:r>
        <w:rPr>
          <w:rFonts w:hint="eastAsia"/>
          <w:lang w:val="en-US" w:eastAsia="zh-CN"/>
        </w:rPr>
        <w:t>根据委托人提供的《不动产权利及其他事项登记信息》登记：不动产单元号：130203005002GB90160F00030008；坐落：路北区祥荣里308楼8号；房屋所有权人：王添鹏；房屋共有情况：单独所有；建筑面积（</w:t>
      </w:r>
      <w:r>
        <w:rPr>
          <w:rFonts w:hint="eastAsia" w:ascii="宋体" w:hAnsi="宋体" w:eastAsia="宋体" w:cs="宋体"/>
          <w:lang w:val="en-US" w:eastAsia="zh-CN"/>
        </w:rPr>
        <w:t>㎡</w:t>
      </w:r>
      <w:r>
        <w:rPr>
          <w:rFonts w:hint="eastAsia"/>
          <w:lang w:val="en-US" w:eastAsia="zh-CN"/>
        </w:rPr>
        <w:t>）：198.61；分摊土地面积（</w:t>
      </w:r>
      <w:r>
        <w:rPr>
          <w:rFonts w:hint="eastAsia" w:ascii="宋体" w:hAnsi="宋体" w:eastAsia="宋体" w:cs="宋体"/>
          <w:lang w:val="en-US" w:eastAsia="zh-CN"/>
        </w:rPr>
        <w:t>㎡</w:t>
      </w:r>
      <w:r>
        <w:rPr>
          <w:rFonts w:hint="eastAsia"/>
          <w:lang w:val="en-US" w:eastAsia="zh-CN"/>
        </w:rPr>
        <w:t>）：105.58；土地使用期限：1998年06月17日至2067年06月03日；房屋性质：市场化商品房；房屋结构：混合结构；所在层/总层数：1/2；专有建筑面积（</w:t>
      </w:r>
      <w:r>
        <w:rPr>
          <w:rFonts w:hint="eastAsia" w:ascii="宋体" w:hAnsi="宋体" w:eastAsia="宋体" w:cs="宋体"/>
          <w:lang w:val="en-US" w:eastAsia="zh-CN"/>
        </w:rPr>
        <w:t>㎡</w:t>
      </w:r>
      <w:r>
        <w:rPr>
          <w:rFonts w:hint="eastAsia"/>
          <w:lang w:val="en-US" w:eastAsia="zh-CN"/>
        </w:rPr>
        <w:t>）：187.84；分摊建筑面积（</w:t>
      </w:r>
      <w:r>
        <w:rPr>
          <w:rFonts w:hint="eastAsia" w:ascii="宋体" w:hAnsi="宋体" w:eastAsia="宋体" w:cs="宋体"/>
          <w:lang w:val="en-US" w:eastAsia="zh-CN"/>
        </w:rPr>
        <w:t>㎡</w:t>
      </w:r>
      <w:r>
        <w:rPr>
          <w:rFonts w:hint="eastAsia"/>
          <w:lang w:val="en-US" w:eastAsia="zh-CN"/>
        </w:rPr>
        <w:t>）：10.77；竣工时间：2000年12月31日；不动产权利证书号：305114285。</w:t>
      </w:r>
    </w:p>
    <w:p>
      <w:pPr>
        <w:bidi w:val="0"/>
        <w:rPr>
          <w:lang w:val="zh-CN"/>
        </w:rPr>
      </w:pPr>
      <w:r>
        <w:rPr>
          <w:rFonts w:hint="eastAsia"/>
          <w:lang w:val="en-US" w:eastAsia="zh-CN"/>
        </w:rPr>
        <w:t>3、</w:t>
      </w:r>
      <w:r>
        <w:rPr>
          <w:rFonts w:hint="eastAsia"/>
          <w:lang w:val="zh-CN"/>
        </w:rPr>
        <w:t>建筑物基本状况</w:t>
      </w:r>
    </w:p>
    <w:p>
      <w:pPr>
        <w:bidi w:val="0"/>
        <w:rPr>
          <w:rFonts w:hint="default"/>
          <w:lang w:val="en-US" w:eastAsia="zh-CN"/>
        </w:rPr>
      </w:pPr>
      <w:r>
        <w:rPr>
          <w:rFonts w:hint="eastAsia"/>
          <w:lang w:val="en-US" w:eastAsia="zh-CN"/>
        </w:rPr>
        <w:t>根据现场查勘，估价对象与评估委托书载明的财产名称、坐落和财产范围相一致，</w:t>
      </w:r>
      <w:bookmarkStart w:id="63" w:name="_Toc447119206"/>
      <w:r>
        <w:rPr>
          <w:rFonts w:hint="eastAsia"/>
          <w:lang w:val="en-US" w:eastAsia="zh-CN"/>
        </w:rPr>
        <w:t>坐落于唐山市路南区学院路以东，卫国路以西，长宁道南侧。估价对象位于祥荣里小区308楼，总楼层2层，建筑形式为联排式独门独院别墅住宅，北侧有台阶和入户大门，断桥铝钢化玻璃门斗，上方是中式飞檐瓦顶造型，窗户为断桥铝窗，二层装不锈钢防盗罩。经走访附近房屋观察，该住宅地下有地下室。南侧小院铁艺防盗栏杆围墙，内有木制凉亭一座。室内未进入。</w:t>
      </w:r>
    </w:p>
    <w:p>
      <w:pPr>
        <w:bidi w:val="0"/>
        <w:rPr>
          <w:rFonts w:hint="eastAsia"/>
          <w:lang w:val="en-US" w:eastAsia="zh-CN"/>
        </w:rPr>
      </w:pPr>
      <w:r>
        <w:rPr>
          <w:rFonts w:hint="eastAsia"/>
          <w:lang w:val="en-US" w:eastAsia="zh-CN"/>
        </w:rPr>
        <w:t>住宅通水、电</w:t>
      </w:r>
      <w:bookmarkStart w:id="64" w:name="_Toc35517991"/>
      <w:r>
        <w:rPr>
          <w:rFonts w:hint="eastAsia"/>
          <w:lang w:val="en-US" w:eastAsia="zh-CN"/>
        </w:rPr>
        <w:t>、暖气、燃气，其房地产维护及保养状况良好，能正常使用。</w:t>
      </w:r>
      <w:bookmarkEnd w:id="64"/>
    </w:p>
    <w:bookmarkEnd w:id="63"/>
    <w:p>
      <w:pPr>
        <w:pStyle w:val="3"/>
        <w:pageBreakBefore w:val="0"/>
        <w:widowControl w:val="0"/>
        <w:kinsoku/>
        <w:overflowPunct/>
        <w:topLinePunct w:val="0"/>
        <w:bidi w:val="0"/>
        <w:spacing w:line="360" w:lineRule="exact"/>
        <w:textAlignment w:val="auto"/>
        <w:outlineLvl w:val="0"/>
        <w:rPr>
          <w:rFonts w:hint="eastAsia" w:ascii="Arial" w:hAnsi="Arial" w:eastAsia="楷体_GB2312"/>
        </w:rPr>
      </w:pPr>
      <w:bookmarkStart w:id="65" w:name="_Toc14165"/>
      <w:bookmarkStart w:id="66" w:name="_Toc35517992"/>
      <w:r>
        <w:rPr>
          <w:rFonts w:hint="eastAsia" w:ascii="Arial" w:hAnsi="Arial" w:eastAsia="楷体_GB2312"/>
        </w:rPr>
        <w:t>（五）价值时点</w:t>
      </w:r>
      <w:bookmarkEnd w:id="65"/>
      <w:bookmarkEnd w:id="66"/>
    </w:p>
    <w:p>
      <w:pPr>
        <w:pageBreakBefore w:val="0"/>
        <w:widowControl w:val="0"/>
        <w:kinsoku/>
        <w:overflowPunct/>
        <w:topLinePunct w:val="0"/>
        <w:autoSpaceDE w:val="0"/>
        <w:autoSpaceDN w:val="0"/>
        <w:bidi w:val="0"/>
        <w:adjustRightInd w:val="0"/>
        <w:snapToGrid w:val="0"/>
        <w:spacing w:line="360" w:lineRule="exact"/>
        <w:ind w:firstLine="504"/>
        <w:textAlignment w:val="auto"/>
        <w:rPr>
          <w:color w:val="auto"/>
          <w:spacing w:val="6"/>
        </w:rPr>
      </w:pPr>
      <w:r>
        <w:rPr>
          <w:rFonts w:hint="eastAsia"/>
          <w:color w:val="auto"/>
          <w:spacing w:val="6"/>
        </w:rPr>
        <w:t>价值时点为</w:t>
      </w:r>
      <w:r>
        <w:rPr>
          <w:rFonts w:hint="eastAsia"/>
          <w:color w:val="auto"/>
          <w:spacing w:val="6"/>
          <w:lang w:eastAsia="zh-CN"/>
        </w:rPr>
        <w:t>2022年9月8日</w:t>
      </w:r>
      <w:r>
        <w:rPr>
          <w:rFonts w:hint="eastAsia"/>
          <w:color w:val="auto"/>
          <w:spacing w:val="6"/>
        </w:rPr>
        <w:t>（注册房地产估价师实地查勘日）</w:t>
      </w:r>
    </w:p>
    <w:p>
      <w:pPr>
        <w:pStyle w:val="3"/>
        <w:pageBreakBefore w:val="0"/>
        <w:widowControl w:val="0"/>
        <w:kinsoku/>
        <w:overflowPunct/>
        <w:topLinePunct w:val="0"/>
        <w:bidi w:val="0"/>
        <w:spacing w:line="360" w:lineRule="exact"/>
        <w:textAlignment w:val="auto"/>
        <w:outlineLvl w:val="0"/>
        <w:rPr>
          <w:rFonts w:hint="eastAsia" w:ascii="Arial" w:hAnsi="Arial" w:eastAsia="楷体_GB2312"/>
        </w:rPr>
      </w:pPr>
      <w:bookmarkStart w:id="67" w:name="_Toc13572"/>
      <w:bookmarkStart w:id="68" w:name="_Toc35517993"/>
      <w:r>
        <w:rPr>
          <w:rFonts w:hint="eastAsia" w:ascii="Arial" w:hAnsi="Arial" w:eastAsia="楷体_GB2312"/>
        </w:rPr>
        <w:t>（六）价值类型</w:t>
      </w:r>
      <w:bookmarkEnd w:id="67"/>
      <w:bookmarkEnd w:id="68"/>
    </w:p>
    <w:p>
      <w:pPr>
        <w:numPr>
          <w:ilvl w:val="0"/>
          <w:numId w:val="0"/>
        </w:numPr>
        <w:autoSpaceDE w:val="0"/>
        <w:autoSpaceDN w:val="0"/>
        <w:adjustRightInd w:val="0"/>
        <w:snapToGrid w:val="0"/>
        <w:spacing w:line="480" w:lineRule="exact"/>
        <w:ind w:firstLine="560" w:firstLineChars="200"/>
        <w:rPr>
          <w:rFonts w:hint="eastAsia" w:cs="宋体"/>
          <w:color w:val="auto"/>
          <w:lang w:val="en-US" w:eastAsia="zh-CN"/>
        </w:rPr>
      </w:pPr>
      <w:r>
        <w:rPr>
          <w:rFonts w:hint="eastAsia" w:cs="宋体"/>
          <w:color w:val="auto"/>
          <w:lang w:val="en-US" w:eastAsia="zh-CN"/>
        </w:rPr>
        <w:t>根据《房地产估价规范》，本次评估采用市场价值标准。估价结果为估价对象在保持建筑物现状及现状土地利用条件下，于价值时点2022年9月8日的房地产市场价值。</w:t>
      </w:r>
    </w:p>
    <w:p>
      <w:pPr>
        <w:pStyle w:val="3"/>
        <w:bidi w:val="0"/>
        <w:outlineLvl w:val="0"/>
        <w:rPr>
          <w:rFonts w:hint="eastAsia" w:ascii="Arial" w:hAnsi="Arial" w:eastAsia="楷体_GB2312"/>
        </w:rPr>
      </w:pPr>
      <w:bookmarkStart w:id="69" w:name="_Toc35517994"/>
      <w:bookmarkStart w:id="70" w:name="_Toc16351"/>
      <w:r>
        <w:rPr>
          <w:rFonts w:hint="eastAsia" w:ascii="Arial" w:hAnsi="Arial" w:eastAsia="楷体_GB2312"/>
        </w:rPr>
        <w:t>（七）估价原则</w:t>
      </w:r>
      <w:bookmarkEnd w:id="69"/>
      <w:bookmarkEnd w:id="70"/>
    </w:p>
    <w:p>
      <w:pPr>
        <w:numPr>
          <w:ilvl w:val="0"/>
          <w:numId w:val="0"/>
        </w:numPr>
        <w:autoSpaceDE w:val="0"/>
        <w:autoSpaceDN w:val="0"/>
        <w:adjustRightInd w:val="0"/>
        <w:snapToGrid w:val="0"/>
        <w:spacing w:line="480" w:lineRule="exact"/>
        <w:ind w:firstLine="560" w:firstLineChars="200"/>
        <w:rPr>
          <w:rFonts w:hint="eastAsia" w:cs="宋体"/>
          <w:color w:val="auto"/>
          <w:lang w:val="zh-CN" w:eastAsia="zh-CN"/>
        </w:rPr>
      </w:pPr>
      <w:r>
        <w:rPr>
          <w:rFonts w:hint="eastAsia" w:cs="宋体"/>
          <w:color w:val="auto"/>
          <w:lang w:val="zh-CN" w:eastAsia="zh-CN"/>
        </w:rPr>
        <w:t>房地产估价必须遵守独立、客观、公正原则，合法原则，价值时点原则，替代原则，最高最佳利用原则，谨慎原则，一致性与一惯性原则。</w:t>
      </w:r>
      <w:r>
        <w:rPr>
          <w:rFonts w:hint="eastAsia" w:cs="宋体"/>
          <w:color w:val="auto"/>
          <w:lang w:val="en-US" w:eastAsia="zh-CN"/>
        </w:rPr>
        <w:t>在此前提下，本次估价我们具体依据如下</w:t>
      </w:r>
      <w:r>
        <w:rPr>
          <w:rFonts w:hint="eastAsia" w:cs="宋体"/>
          <w:color w:val="auto"/>
          <w:lang w:val="zh-CN" w:eastAsia="zh-CN"/>
        </w:rPr>
        <w:t>估价原则：</w:t>
      </w:r>
    </w:p>
    <w:p>
      <w:pPr>
        <w:bidi w:val="0"/>
        <w:rPr>
          <w:rFonts w:hint="eastAsia"/>
          <w:lang w:val="en-US" w:eastAsia="zh-CN"/>
        </w:rPr>
      </w:pPr>
      <w:r>
        <w:rPr>
          <w:rFonts w:hint="eastAsia"/>
          <w:lang w:val="en-US" w:eastAsia="zh-CN"/>
        </w:rPr>
        <w:t>1、独立、客观、公正原则</w:t>
      </w:r>
    </w:p>
    <w:p>
      <w:pPr>
        <w:bidi w:val="0"/>
        <w:rPr>
          <w:rFonts w:hint="eastAsia"/>
          <w:lang w:val="en-US" w:eastAsia="zh-CN"/>
        </w:rPr>
      </w:pPr>
      <w:r>
        <w:rPr>
          <w:rFonts w:hint="eastAsia"/>
          <w:lang w:val="en-US" w:eastAsia="zh-CN"/>
        </w:rPr>
        <w:t>要求估价机构有完全独立性，估价机构和注册房地产估价师与估价对象及相关当事人没有利害关系，不受外部干扰因素影响，从实际出发，公平合理地进行估价。</w:t>
      </w:r>
    </w:p>
    <w:p>
      <w:pPr>
        <w:bidi w:val="0"/>
        <w:rPr>
          <w:rFonts w:hint="eastAsia"/>
          <w:lang w:val="en-US" w:eastAsia="zh-CN"/>
        </w:rPr>
      </w:pPr>
      <w:r>
        <w:rPr>
          <w:rFonts w:hint="eastAsia"/>
          <w:lang w:val="en-US" w:eastAsia="zh-CN"/>
        </w:rPr>
        <w:t>2、合法原则</w:t>
      </w:r>
    </w:p>
    <w:p>
      <w:pPr>
        <w:bidi w:val="0"/>
        <w:rPr>
          <w:rFonts w:hint="eastAsia"/>
          <w:lang w:val="en-US" w:eastAsia="zh-CN"/>
        </w:rPr>
      </w:pPr>
      <w:r>
        <w:rPr>
          <w:rFonts w:hint="eastAsia"/>
          <w:lang w:val="en-US" w:eastAsia="zh-CN"/>
        </w:rPr>
        <w:t>应以估价对象的合法使用、合法处分为前提进行。所谓合法，是指符合国家的法律、法规和当地政府的有关规定，其权益才能受法律保护，并体现其权益价值。</w:t>
      </w:r>
    </w:p>
    <w:p>
      <w:pPr>
        <w:bidi w:val="0"/>
        <w:rPr>
          <w:rFonts w:hint="eastAsia"/>
          <w:lang w:val="en-US" w:eastAsia="zh-CN"/>
        </w:rPr>
      </w:pPr>
      <w:r>
        <w:rPr>
          <w:rFonts w:hint="eastAsia"/>
          <w:lang w:val="en-US" w:eastAsia="zh-CN"/>
        </w:rPr>
        <w:t>3、价值时点原则</w:t>
      </w:r>
    </w:p>
    <w:p>
      <w:pPr>
        <w:bidi w:val="0"/>
        <w:rPr>
          <w:rFonts w:hint="eastAsia"/>
          <w:lang w:val="en-US" w:eastAsia="zh-CN"/>
        </w:rPr>
      </w:pPr>
      <w:r>
        <w:rPr>
          <w:rFonts w:hint="eastAsia"/>
          <w:lang w:val="en-US" w:eastAsia="zh-CN"/>
        </w:rPr>
        <w:t>估价结果应是估价对象在价值时点的客观合理价格或价值。</w:t>
      </w:r>
    </w:p>
    <w:p>
      <w:pPr>
        <w:bidi w:val="0"/>
        <w:rPr>
          <w:rFonts w:hint="eastAsia"/>
          <w:lang w:val="en-US" w:eastAsia="zh-CN"/>
        </w:rPr>
      </w:pPr>
      <w:r>
        <w:rPr>
          <w:rFonts w:hint="eastAsia"/>
          <w:lang w:val="en-US" w:eastAsia="zh-CN"/>
        </w:rPr>
        <w:t>4、替代原则</w:t>
      </w:r>
    </w:p>
    <w:p>
      <w:pPr>
        <w:bidi w:val="0"/>
        <w:rPr>
          <w:rFonts w:hint="eastAsia"/>
          <w:lang w:val="en-US" w:eastAsia="zh-CN"/>
        </w:rPr>
      </w:pPr>
      <w:r>
        <w:rPr>
          <w:rFonts w:hint="eastAsia"/>
          <w:lang w:val="en-US" w:eastAsia="zh-CN"/>
        </w:rPr>
        <w:t>估价结果不得明显偏离类似房地产在同等条件下的正常价格。同一供求范围内，在用途、规模、档次、建筑结构等方面类似的房地产之间具有相互影响作用，其价格会相互牵掣而趋于一致。</w:t>
      </w:r>
    </w:p>
    <w:p>
      <w:pPr>
        <w:bidi w:val="0"/>
        <w:rPr>
          <w:rFonts w:hint="eastAsia"/>
          <w:lang w:val="en-US" w:eastAsia="zh-CN"/>
        </w:rPr>
      </w:pPr>
      <w:r>
        <w:rPr>
          <w:rFonts w:hint="eastAsia"/>
          <w:lang w:val="en-US" w:eastAsia="zh-CN"/>
        </w:rPr>
        <w:t>5、最高最佳利用原则</w:t>
      </w:r>
    </w:p>
    <w:p>
      <w:pPr>
        <w:bidi w:val="0"/>
        <w:rPr>
          <w:rFonts w:hint="eastAsia"/>
          <w:lang w:val="en-US" w:eastAsia="zh-CN"/>
        </w:rPr>
      </w:pPr>
      <w:r>
        <w:rPr>
          <w:rFonts w:hint="eastAsia"/>
          <w:lang w:val="en-US" w:eastAsia="zh-CN"/>
        </w:rPr>
        <w:t>应以估价对象的最高最佳利用为前提进行。估价对象的最高最佳利用状况包括：最佳的用途、规模和档次。在合法使用前提下，房地产只有在最高最佳利用状态下才能发挥最大效用。最高最佳利用应是法律上允许、技术上可能、财务上可行、价值最大化，经过充分合理的论证，能使估价对象产生最高价值的使用方式。</w:t>
      </w:r>
    </w:p>
    <w:p>
      <w:pPr>
        <w:pStyle w:val="3"/>
        <w:bidi w:val="0"/>
        <w:outlineLvl w:val="0"/>
        <w:rPr>
          <w:rFonts w:hint="eastAsia" w:ascii="Arial" w:hAnsi="Arial" w:eastAsia="楷体_GB2312"/>
        </w:rPr>
      </w:pPr>
      <w:bookmarkStart w:id="71" w:name="_Toc35517995"/>
      <w:bookmarkStart w:id="72" w:name="_Toc31242"/>
      <w:r>
        <w:rPr>
          <w:rFonts w:hint="eastAsia" w:ascii="Arial" w:hAnsi="Arial" w:eastAsia="楷体_GB2312"/>
        </w:rPr>
        <w:t>（八）估价依据</w:t>
      </w:r>
      <w:bookmarkEnd w:id="71"/>
      <w:bookmarkEnd w:id="72"/>
    </w:p>
    <w:p>
      <w:pPr>
        <w:bidi w:val="0"/>
        <w:rPr>
          <w:rFonts w:hint="eastAsia"/>
          <w:lang w:val="zh-CN" w:eastAsia="zh-CN"/>
        </w:rPr>
      </w:pPr>
      <w:r>
        <w:rPr>
          <w:rFonts w:hint="eastAsia"/>
          <w:lang w:val="zh-CN" w:eastAsia="zh-CN"/>
        </w:rPr>
        <w:t>1、法律、法规、文件依据：</w:t>
      </w:r>
    </w:p>
    <w:p>
      <w:pPr>
        <w:bidi w:val="0"/>
        <w:rPr>
          <w:rFonts w:hint="eastAsia"/>
          <w:lang w:val="zh-CN" w:eastAsia="zh-CN"/>
        </w:rPr>
      </w:pPr>
      <w:r>
        <w:rPr>
          <w:rFonts w:hint="eastAsia"/>
          <w:lang w:val="zh-CN" w:eastAsia="zh-CN"/>
        </w:rPr>
        <w:t>（1）《中华人民共和国民法典》；</w:t>
      </w:r>
    </w:p>
    <w:p>
      <w:pPr>
        <w:bidi w:val="0"/>
        <w:rPr>
          <w:rFonts w:hint="eastAsia"/>
          <w:lang w:val="zh-CN" w:eastAsia="zh-CN"/>
        </w:rPr>
      </w:pPr>
      <w:r>
        <w:rPr>
          <w:rFonts w:hint="eastAsia"/>
          <w:lang w:val="zh-CN" w:eastAsia="zh-CN"/>
        </w:rPr>
        <w:t>（</w:t>
      </w:r>
      <w:r>
        <w:rPr>
          <w:rFonts w:hint="eastAsia"/>
          <w:lang w:val="en-US" w:eastAsia="zh-CN"/>
        </w:rPr>
        <w:t>2</w:t>
      </w:r>
      <w:r>
        <w:rPr>
          <w:rFonts w:hint="eastAsia"/>
          <w:lang w:val="zh-CN" w:eastAsia="zh-CN"/>
        </w:rPr>
        <w:t>）《中华人民共和国资产评估法》；</w:t>
      </w:r>
    </w:p>
    <w:p>
      <w:pPr>
        <w:bidi w:val="0"/>
        <w:rPr>
          <w:rFonts w:hint="eastAsia"/>
          <w:lang w:val="zh-CN" w:eastAsia="zh-CN"/>
        </w:rPr>
      </w:pPr>
      <w:r>
        <w:rPr>
          <w:rFonts w:hint="eastAsia"/>
          <w:lang w:val="zh-CN" w:eastAsia="zh-CN"/>
        </w:rPr>
        <w:t>（</w:t>
      </w:r>
      <w:r>
        <w:rPr>
          <w:rFonts w:hint="eastAsia"/>
          <w:lang w:val="en-US" w:eastAsia="zh-CN"/>
        </w:rPr>
        <w:t>3</w:t>
      </w:r>
      <w:r>
        <w:rPr>
          <w:rFonts w:hint="eastAsia"/>
          <w:lang w:val="zh-CN" w:eastAsia="zh-CN"/>
        </w:rPr>
        <w:t>）《中华人民共和国城市房地产管理法》；</w:t>
      </w:r>
    </w:p>
    <w:p>
      <w:pPr>
        <w:bidi w:val="0"/>
        <w:rPr>
          <w:rFonts w:hint="eastAsia"/>
          <w:lang w:val="zh-CN" w:eastAsia="zh-CN"/>
        </w:rPr>
      </w:pPr>
      <w:r>
        <w:rPr>
          <w:rFonts w:hint="eastAsia"/>
          <w:lang w:val="zh-CN" w:eastAsia="zh-CN"/>
        </w:rPr>
        <w:t>（</w:t>
      </w:r>
      <w:r>
        <w:rPr>
          <w:rFonts w:hint="eastAsia"/>
          <w:lang w:val="en-US" w:eastAsia="zh-CN"/>
        </w:rPr>
        <w:t>4</w:t>
      </w:r>
      <w:r>
        <w:rPr>
          <w:rFonts w:hint="eastAsia"/>
          <w:lang w:val="zh-CN" w:eastAsia="zh-CN"/>
        </w:rPr>
        <w:t>）《中华人民共和国土地管理法》；</w:t>
      </w:r>
    </w:p>
    <w:p>
      <w:pPr>
        <w:bidi w:val="0"/>
        <w:rPr>
          <w:lang w:val="zh-CN"/>
        </w:rPr>
      </w:pPr>
      <w:r>
        <w:rPr>
          <w:lang w:val="zh-CN"/>
        </w:rPr>
        <w:t>2</w:t>
      </w:r>
      <w:r>
        <w:rPr>
          <w:rFonts w:hint="eastAsia"/>
          <w:lang w:val="zh-CN"/>
        </w:rPr>
        <w:t>、技术规范依据：</w:t>
      </w:r>
    </w:p>
    <w:p>
      <w:pPr>
        <w:bidi w:val="0"/>
        <w:rPr>
          <w:rFonts w:hint="eastAsia"/>
          <w:lang w:val="zh-CN" w:eastAsia="zh-CN"/>
        </w:rPr>
      </w:pPr>
      <w:r>
        <w:rPr>
          <w:rFonts w:hint="eastAsia"/>
          <w:lang w:val="zh-CN" w:eastAsia="zh-CN"/>
        </w:rPr>
        <w:t>（1）中华人民共和国国家标准GB/T50291-2015《房地产估价规范》；</w:t>
      </w:r>
    </w:p>
    <w:p>
      <w:pPr>
        <w:bidi w:val="0"/>
        <w:rPr>
          <w:rFonts w:hint="eastAsia"/>
          <w:lang w:val="zh-CN" w:eastAsia="zh-CN"/>
        </w:rPr>
      </w:pPr>
      <w:r>
        <w:rPr>
          <w:rFonts w:hint="eastAsia"/>
          <w:lang w:val="zh-CN" w:eastAsia="zh-CN"/>
        </w:rPr>
        <w:t>（2）中华人民共和国国家标准GB/T50899-2013《房地产估价基本术语标准》；</w:t>
      </w:r>
    </w:p>
    <w:p>
      <w:pPr>
        <w:bidi w:val="0"/>
      </w:pPr>
      <w:r>
        <w:rPr>
          <w:rFonts w:hint="eastAsia"/>
        </w:rPr>
        <w:t>3、估价委托人提供的资料：</w:t>
      </w:r>
    </w:p>
    <w:p>
      <w:pPr>
        <w:bidi w:val="0"/>
        <w:rPr>
          <w:rFonts w:hint="eastAsia"/>
          <w:lang w:val="zh-CN" w:eastAsia="zh-CN"/>
        </w:rPr>
      </w:pPr>
      <w:r>
        <w:rPr>
          <w:rFonts w:hint="eastAsia"/>
          <w:lang w:val="zh-CN" w:eastAsia="zh-CN"/>
        </w:rPr>
        <w:t>（1）《河北省唐山市中级人民法院司法鉴定委托书》复印件；</w:t>
      </w:r>
    </w:p>
    <w:p>
      <w:pPr>
        <w:bidi w:val="0"/>
        <w:rPr>
          <w:rFonts w:hint="eastAsia"/>
          <w:lang w:val="zh-CN" w:eastAsia="zh-CN"/>
        </w:rPr>
      </w:pPr>
      <w:r>
        <w:rPr>
          <w:rFonts w:hint="eastAsia"/>
          <w:lang w:val="zh-CN" w:eastAsia="zh-CN"/>
        </w:rPr>
        <w:t>（2）《河北省唐山市中级人民法院司法技术委托书》复印件；</w:t>
      </w:r>
    </w:p>
    <w:p>
      <w:pPr>
        <w:bidi w:val="0"/>
        <w:rPr>
          <w:rFonts w:hint="eastAsia"/>
          <w:lang w:val="zh-CN" w:eastAsia="zh-CN"/>
        </w:rPr>
      </w:pPr>
      <w:r>
        <w:rPr>
          <w:rFonts w:hint="eastAsia"/>
          <w:lang w:val="zh-CN" w:eastAsia="zh-CN"/>
        </w:rPr>
        <w:t>（3）</w:t>
      </w:r>
      <w:r>
        <w:rPr>
          <w:rFonts w:hint="eastAsia"/>
          <w:lang w:val="en-US" w:eastAsia="zh-CN"/>
        </w:rPr>
        <w:t>《不动产权利及其他事项登记信息》</w:t>
      </w:r>
      <w:r>
        <w:rPr>
          <w:rFonts w:hint="eastAsia"/>
          <w:lang w:val="zh-CN" w:eastAsia="zh-CN"/>
        </w:rPr>
        <w:t>复印件；</w:t>
      </w:r>
    </w:p>
    <w:p>
      <w:pPr>
        <w:bidi w:val="0"/>
        <w:rPr>
          <w:lang w:val="zh-CN"/>
        </w:rPr>
      </w:pPr>
      <w:r>
        <w:rPr>
          <w:rFonts w:hint="eastAsia"/>
          <w:lang w:val="zh-CN"/>
        </w:rPr>
        <w:t>4、其他依据：</w:t>
      </w:r>
    </w:p>
    <w:p>
      <w:pPr>
        <w:bidi w:val="0"/>
        <w:rPr>
          <w:rFonts w:hint="eastAsia"/>
          <w:lang w:val="zh-CN" w:eastAsia="zh-CN"/>
        </w:rPr>
      </w:pPr>
      <w:r>
        <w:rPr>
          <w:rFonts w:hint="eastAsia"/>
          <w:lang w:val="zh-CN" w:eastAsia="zh-CN"/>
        </w:rPr>
        <w:t>（1）注册房地产估价师实地查勘资料；</w:t>
      </w:r>
    </w:p>
    <w:p>
      <w:pPr>
        <w:bidi w:val="0"/>
        <w:rPr>
          <w:rFonts w:hint="eastAsia"/>
          <w:lang w:val="zh-CN" w:eastAsia="zh-CN"/>
        </w:rPr>
      </w:pPr>
      <w:r>
        <w:rPr>
          <w:rFonts w:hint="eastAsia"/>
          <w:lang w:val="zh-CN" w:eastAsia="zh-CN"/>
        </w:rPr>
        <w:t>（2）注册房地产估价师进行市场调查所搜集掌握的有关资料。</w:t>
      </w:r>
    </w:p>
    <w:p>
      <w:pPr>
        <w:bidi w:val="0"/>
        <w:rPr>
          <w:rFonts w:hint="eastAsia"/>
          <w:lang w:val="zh-CN" w:eastAsia="zh-CN"/>
        </w:rPr>
      </w:pPr>
      <w:r>
        <w:rPr>
          <w:rFonts w:hint="eastAsia"/>
          <w:lang w:val="zh-CN" w:eastAsia="zh-CN"/>
        </w:rPr>
        <w:t>（3）本估价机构掌握的唐山市房地产市场的有关资料及注册房地产估价师实地勘查、调查所获取的资料；</w:t>
      </w:r>
    </w:p>
    <w:p>
      <w:pPr>
        <w:pStyle w:val="3"/>
        <w:bidi w:val="0"/>
        <w:outlineLvl w:val="0"/>
        <w:rPr>
          <w:rFonts w:hint="eastAsia" w:ascii="Arial" w:hAnsi="Arial" w:eastAsia="楷体_GB2312"/>
          <w:lang w:val="zh-CN"/>
        </w:rPr>
      </w:pPr>
      <w:bookmarkStart w:id="73" w:name="_Toc18438"/>
      <w:bookmarkStart w:id="74" w:name="_Toc35517996"/>
      <w:r>
        <w:rPr>
          <w:rFonts w:hint="eastAsia" w:ascii="Arial" w:hAnsi="Arial" w:eastAsia="楷体_GB2312"/>
          <w:lang w:val="zh-CN"/>
        </w:rPr>
        <w:t>（九）估价方法</w:t>
      </w:r>
      <w:bookmarkEnd w:id="73"/>
      <w:bookmarkEnd w:id="74"/>
    </w:p>
    <w:p>
      <w:pPr>
        <w:bidi w:val="0"/>
        <w:rPr>
          <w:rFonts w:hint="eastAsia"/>
          <w:lang w:val="zh-CN" w:eastAsia="zh-CN"/>
        </w:rPr>
      </w:pPr>
      <w:bookmarkStart w:id="75" w:name="_Toc35517997"/>
      <w:r>
        <w:rPr>
          <w:rFonts w:hint="eastAsia"/>
          <w:lang w:val="zh-CN" w:eastAsia="zh-CN"/>
        </w:rPr>
        <w:t>（1）比较法：比较法是将估价对象在与价值时点近期有过交易的类似房地产进行比较，对这些类似房地产的已知价值作适当的修正，以此估算估价对象的客观合理价值的方法。</w:t>
      </w:r>
    </w:p>
    <w:p>
      <w:pPr>
        <w:bidi w:val="0"/>
        <w:rPr>
          <w:rFonts w:hint="eastAsia"/>
          <w:lang w:val="zh-CN" w:eastAsia="zh-CN"/>
        </w:rPr>
      </w:pPr>
      <w:r>
        <w:rPr>
          <w:rFonts w:hint="eastAsia"/>
          <w:lang w:val="zh-CN" w:eastAsia="zh-CN"/>
        </w:rPr>
        <w:t>比较法基本原理：选取一定数量的可比实例，将它们与估价对象进行比较，根据其间的差异对可比实例成交价格进行处理后得到估价对象价值或价格的方法。</w:t>
      </w:r>
    </w:p>
    <w:p>
      <w:pPr>
        <w:bidi w:val="0"/>
        <w:rPr>
          <w:rFonts w:hint="eastAsia"/>
          <w:lang w:val="zh-CN" w:eastAsia="zh-CN"/>
        </w:rPr>
      </w:pPr>
      <w:r>
        <w:rPr>
          <w:rFonts w:hint="eastAsia"/>
          <w:lang w:val="zh-CN" w:eastAsia="zh-CN"/>
        </w:rPr>
        <w:t>比较法基本公式如下：</w:t>
      </w:r>
    </w:p>
    <w:p>
      <w:pPr>
        <w:bidi w:val="0"/>
        <w:rPr>
          <w:rFonts w:hint="eastAsia"/>
          <w:lang w:val="zh-CN" w:eastAsia="zh-CN"/>
        </w:rPr>
      </w:pPr>
      <w:r>
        <w:rPr>
          <w:rFonts w:hint="eastAsia"/>
          <w:lang w:val="zh-CN" w:eastAsia="zh-CN"/>
        </w:rPr>
        <w:t>估价对象比较价值V=A×J×S×F</w:t>
      </w:r>
    </w:p>
    <w:p>
      <w:pPr>
        <w:bidi w:val="0"/>
        <w:rPr>
          <w:rFonts w:hint="eastAsia"/>
          <w:lang w:val="zh-CN" w:eastAsia="zh-CN"/>
        </w:rPr>
      </w:pPr>
      <w:r>
        <w:rPr>
          <w:rFonts w:hint="eastAsia"/>
          <w:lang w:val="zh-CN" w:eastAsia="zh-CN"/>
        </w:rPr>
        <w:t>式中：V—比较价值；     A—可比价格；     J—交易情况修正系数；</w:t>
      </w:r>
    </w:p>
    <w:p>
      <w:pPr>
        <w:bidi w:val="0"/>
        <w:rPr>
          <w:rFonts w:hint="eastAsia"/>
          <w:lang w:val="zh-CN" w:eastAsia="zh-CN"/>
        </w:rPr>
      </w:pPr>
      <w:r>
        <w:rPr>
          <w:rFonts w:hint="eastAsia"/>
          <w:lang w:val="zh-CN" w:eastAsia="zh-CN"/>
        </w:rPr>
        <w:t xml:space="preserve">S—市场状况修正系数； F—房地产状况修正系数。 </w:t>
      </w:r>
    </w:p>
    <w:p>
      <w:pPr>
        <w:bidi w:val="0"/>
        <w:rPr>
          <w:rFonts w:hint="eastAsia"/>
          <w:lang w:val="zh-CN" w:eastAsia="zh-CN"/>
        </w:rPr>
      </w:pPr>
      <w:r>
        <w:rPr>
          <w:rFonts w:hint="eastAsia"/>
          <w:lang w:val="zh-CN" w:eastAsia="zh-CN"/>
        </w:rPr>
        <w:t>（2）收益法：收益法是预测估价对象的未来收益，然后将其转换为价值来求取估价对象价值的方法，房地产的价值等于其未来各期净收益的现值之和，具体是预测估价对象未来各期的净收益，然后利用适当的报酬率将其折算到价值时点相加来求取估价对象价值的方法。</w:t>
      </w:r>
    </w:p>
    <w:p>
      <w:pPr>
        <w:bidi w:val="0"/>
        <w:rPr>
          <w:rFonts w:hint="eastAsia"/>
          <w:lang w:val="zh-CN" w:eastAsia="zh-CN"/>
        </w:rPr>
      </w:pPr>
      <w:r>
        <w:rPr>
          <w:rFonts w:hint="eastAsia"/>
          <w:lang w:val="zh-CN" w:eastAsia="zh-CN"/>
        </w:rPr>
        <w:t>收益法基本公式如下：</w:t>
      </w:r>
    </w:p>
    <w:p>
      <w:pPr>
        <w:bidi w:val="0"/>
        <w:rPr>
          <w:rFonts w:hint="eastAsia"/>
          <w:lang w:val="zh-CN" w:eastAsia="zh-CN"/>
        </w:rPr>
      </w:pPr>
      <w:r>
        <w:rPr>
          <w:rFonts w:hint="eastAsia"/>
          <w:lang w:val="zh-CN" w:eastAsia="zh-CN"/>
        </w:rPr>
        <w:t>V=A/Y·[1-1/（1+Y）t]+Vt/（1+Y）t</w:t>
      </w:r>
    </w:p>
    <w:p>
      <w:pPr>
        <w:bidi w:val="0"/>
        <w:rPr>
          <w:rFonts w:hint="eastAsia"/>
          <w:lang w:val="zh-CN" w:eastAsia="zh-CN"/>
        </w:rPr>
      </w:pPr>
      <w:r>
        <w:rPr>
          <w:rFonts w:hint="eastAsia"/>
          <w:lang w:val="zh-CN" w:eastAsia="zh-CN"/>
        </w:rPr>
        <w:t> </w:t>
      </w:r>
    </w:p>
    <w:p>
      <w:pPr>
        <w:bidi w:val="0"/>
        <w:rPr>
          <w:rFonts w:hint="eastAsia"/>
          <w:lang w:val="zh-CN" w:eastAsia="zh-CN"/>
        </w:rPr>
      </w:pPr>
      <w:r>
        <w:rPr>
          <w:rFonts w:hint="eastAsia"/>
          <w:lang w:val="zh-CN" w:eastAsia="zh-CN"/>
        </w:rPr>
        <w:t>其中：V—收益法评估价值；</w:t>
      </w:r>
    </w:p>
    <w:p>
      <w:pPr>
        <w:bidi w:val="0"/>
        <w:ind w:firstLine="1400" w:firstLineChars="500"/>
        <w:rPr>
          <w:rFonts w:hint="eastAsia"/>
          <w:lang w:val="zh-CN" w:eastAsia="zh-CN"/>
        </w:rPr>
      </w:pPr>
      <w:r>
        <w:rPr>
          <w:rFonts w:hint="eastAsia"/>
          <w:lang w:val="zh-CN" w:eastAsia="zh-CN"/>
        </w:rPr>
        <w:t>A—房地产期间收益；</w:t>
      </w:r>
    </w:p>
    <w:p>
      <w:pPr>
        <w:bidi w:val="0"/>
        <w:ind w:firstLine="1400" w:firstLineChars="500"/>
        <w:rPr>
          <w:rFonts w:hint="eastAsia"/>
          <w:lang w:val="zh-CN" w:eastAsia="zh-CN"/>
        </w:rPr>
      </w:pPr>
      <w:r>
        <w:rPr>
          <w:rFonts w:hint="eastAsia"/>
          <w:lang w:val="zh-CN" w:eastAsia="zh-CN"/>
        </w:rPr>
        <w:t>Y—房地产报酬率；</w:t>
      </w:r>
    </w:p>
    <w:p>
      <w:pPr>
        <w:bidi w:val="0"/>
        <w:ind w:firstLine="1400" w:firstLineChars="500"/>
        <w:rPr>
          <w:rFonts w:hint="eastAsia"/>
          <w:lang w:val="zh-CN" w:eastAsia="zh-CN"/>
        </w:rPr>
      </w:pPr>
      <w:r>
        <w:rPr>
          <w:rFonts w:hint="eastAsia"/>
          <w:lang w:val="zh-CN" w:eastAsia="zh-CN"/>
        </w:rPr>
        <w:t>Vt—期末转售收益；</w:t>
      </w:r>
    </w:p>
    <w:p>
      <w:pPr>
        <w:bidi w:val="0"/>
        <w:ind w:firstLine="1400" w:firstLineChars="500"/>
        <w:rPr>
          <w:rFonts w:cs="宋体"/>
          <w:b/>
          <w:bCs/>
          <w:color w:val="auto"/>
        </w:rPr>
      </w:pPr>
      <w:r>
        <w:rPr>
          <w:rFonts w:hint="eastAsia"/>
          <w:lang w:val="zh-CN" w:eastAsia="zh-CN"/>
        </w:rPr>
        <w:t>t—房地产持有期。</w:t>
      </w:r>
    </w:p>
    <w:p>
      <w:pPr>
        <w:pStyle w:val="3"/>
        <w:bidi w:val="0"/>
        <w:outlineLvl w:val="0"/>
        <w:rPr>
          <w:rFonts w:hint="eastAsia" w:ascii="Arial" w:hAnsi="Arial" w:eastAsia="楷体_GB2312"/>
          <w:lang w:val="zh-CN"/>
        </w:rPr>
      </w:pPr>
      <w:bookmarkStart w:id="76" w:name="_Toc648"/>
      <w:r>
        <w:rPr>
          <w:rFonts w:hint="eastAsia" w:ascii="Arial" w:hAnsi="Arial" w:eastAsia="楷体_GB2312"/>
          <w:lang w:val="zh-CN"/>
        </w:rPr>
        <w:t>（十）估价结果</w:t>
      </w:r>
      <w:bookmarkEnd w:id="75"/>
      <w:bookmarkEnd w:id="76"/>
    </w:p>
    <w:p>
      <w:pPr>
        <w:bidi w:val="0"/>
        <w:rPr>
          <w:rFonts w:hint="eastAsia"/>
          <w:lang w:val="en-US" w:eastAsia="zh-CN"/>
        </w:rPr>
      </w:pPr>
      <w:r>
        <w:rPr>
          <w:rFonts w:hint="eastAsia"/>
          <w:lang w:val="zh-CN" w:eastAsia="zh-CN"/>
        </w:rPr>
        <w:t>通过实地查勘和调研，根据估价目的，遵循估价原则，采用适宜、合理的估价方法，对影响房地产市场的因素进行分析、测算，综合确认估价对象</w:t>
      </w:r>
      <w:bookmarkStart w:id="77" w:name="_Toc35517999"/>
      <w:r>
        <w:rPr>
          <w:rFonts w:hint="eastAsia"/>
          <w:lang w:val="zh-CN" w:eastAsia="zh-CN"/>
        </w:rPr>
        <w:t>房地产总价为：</w:t>
      </w:r>
      <w:r>
        <w:rPr>
          <w:rFonts w:hint="eastAsia"/>
          <w:lang w:val="en-US" w:eastAsia="zh-CN"/>
        </w:rPr>
        <w:t>509.47万元，大写（人民币）：伍佰零玖万肆仟柒佰元整。</w:t>
      </w:r>
    </w:p>
    <w:p>
      <w:pPr>
        <w:pStyle w:val="3"/>
        <w:bidi w:val="0"/>
        <w:outlineLvl w:val="0"/>
        <w:rPr>
          <w:rFonts w:hint="eastAsia" w:ascii="Arial" w:hAnsi="Arial" w:eastAsia="楷体_GB2312"/>
          <w:lang w:val="zh-CN"/>
        </w:rPr>
      </w:pPr>
      <w:bookmarkStart w:id="78" w:name="_Toc22478"/>
      <w:r>
        <w:rPr>
          <w:rFonts w:hint="eastAsia" w:ascii="Arial" w:hAnsi="Arial" w:eastAsia="楷体_GB2312"/>
          <w:lang w:val="zh-CN"/>
        </w:rPr>
        <w:t>（十</w:t>
      </w:r>
      <w:r>
        <w:rPr>
          <w:rFonts w:hint="eastAsia" w:eastAsia="楷体_GB2312"/>
          <w:lang w:val="en-US" w:eastAsia="zh-CN"/>
        </w:rPr>
        <w:t>一</w:t>
      </w:r>
      <w:r>
        <w:rPr>
          <w:rFonts w:hint="eastAsia" w:ascii="Arial" w:hAnsi="Arial" w:eastAsia="楷体_GB2312"/>
          <w:lang w:val="zh-CN"/>
        </w:rPr>
        <w:t>）注册房地产估价师</w:t>
      </w:r>
      <w:bookmarkEnd w:id="77"/>
      <w:bookmarkEnd w:id="78"/>
    </w:p>
    <w:p>
      <w:pPr>
        <w:bidi w:val="0"/>
        <w:rPr>
          <w:rFonts w:hint="eastAsia"/>
          <w:lang w:val="zh-CN" w:eastAsia="zh-CN"/>
        </w:rPr>
      </w:pPr>
      <w:r>
        <w:rPr>
          <w:rFonts w:hint="eastAsia"/>
          <w:lang w:val="zh-CN" w:eastAsia="zh-CN"/>
        </w:rPr>
        <w:t>姓　名：</w:t>
      </w:r>
      <w:r>
        <w:rPr>
          <w:rFonts w:hint="eastAsia"/>
          <w:lang w:val="en-US" w:eastAsia="zh-CN"/>
        </w:rPr>
        <w:t>刘亚莉</w:t>
      </w:r>
      <w:r>
        <w:rPr>
          <w:rFonts w:hint="eastAsia"/>
          <w:lang w:val="zh-CN" w:eastAsia="zh-CN"/>
        </w:rPr>
        <w:t xml:space="preserve"> 　注　册　号　</w:t>
      </w:r>
      <w:r>
        <w:rPr>
          <w:rFonts w:hint="eastAsia"/>
          <w:lang w:val="en-US" w:eastAsia="zh-CN"/>
        </w:rPr>
        <w:t>1320110038</w:t>
      </w:r>
    </w:p>
    <w:p>
      <w:pPr>
        <w:bidi w:val="0"/>
        <w:rPr>
          <w:rFonts w:hint="eastAsia"/>
          <w:lang w:val="zh-CN" w:eastAsia="zh-CN"/>
        </w:rPr>
      </w:pPr>
      <w:r>
        <w:rPr>
          <w:rFonts w:hint="eastAsia"/>
          <w:lang w:val="zh-CN" w:eastAsia="zh-CN"/>
        </w:rPr>
        <w:t>姓　名：李敬华   注　册　号</w:t>
      </w:r>
      <w:r>
        <w:rPr>
          <w:rFonts w:hint="eastAsia"/>
          <w:lang w:val="en-US" w:eastAsia="zh-CN"/>
        </w:rPr>
        <w:t xml:space="preserve">  </w:t>
      </w:r>
      <w:r>
        <w:rPr>
          <w:rFonts w:hint="eastAsia"/>
          <w:lang w:val="zh-CN" w:eastAsia="zh-CN"/>
        </w:rPr>
        <w:t>13</w:t>
      </w:r>
      <w:bookmarkEnd w:id="60"/>
      <w:bookmarkEnd w:id="61"/>
      <w:bookmarkEnd w:id="62"/>
      <w:r>
        <w:rPr>
          <w:rFonts w:hint="eastAsia"/>
          <w:lang w:val="zh-CN" w:eastAsia="zh-CN"/>
        </w:rPr>
        <w:t>20200014</w:t>
      </w:r>
    </w:p>
    <w:bookmarkEnd w:id="40"/>
    <w:p>
      <w:pPr>
        <w:pStyle w:val="3"/>
        <w:bidi w:val="0"/>
        <w:outlineLvl w:val="0"/>
        <w:rPr>
          <w:rFonts w:hint="eastAsia" w:ascii="Arial" w:hAnsi="Arial" w:eastAsia="楷体_GB2312"/>
          <w:lang w:val="zh-CN"/>
        </w:rPr>
      </w:pPr>
      <w:bookmarkStart w:id="79" w:name="_Toc13067"/>
      <w:bookmarkStart w:id="80" w:name="_Toc35518008"/>
      <w:bookmarkStart w:id="81" w:name="_Toc25458_WPSOffice_Level1"/>
      <w:bookmarkStart w:id="82" w:name="_Toc10091"/>
      <w:bookmarkStart w:id="83" w:name="_Toc491953696"/>
      <w:r>
        <w:rPr>
          <w:rFonts w:hint="eastAsia" w:ascii="Arial" w:hAnsi="Arial" w:eastAsia="楷体_GB2312"/>
          <w:lang w:val="zh-CN"/>
        </w:rPr>
        <w:t>（十</w:t>
      </w:r>
      <w:r>
        <w:rPr>
          <w:rFonts w:hint="eastAsia" w:eastAsia="楷体_GB2312"/>
          <w:lang w:val="en-US" w:eastAsia="zh-CN"/>
        </w:rPr>
        <w:t>二</w:t>
      </w:r>
      <w:r>
        <w:rPr>
          <w:rFonts w:hint="eastAsia" w:ascii="Arial" w:hAnsi="Arial" w:eastAsia="楷体_GB2312"/>
          <w:lang w:val="zh-CN"/>
        </w:rPr>
        <w:t>）实地查勘期</w:t>
      </w:r>
      <w:bookmarkEnd w:id="79"/>
      <w:bookmarkEnd w:id="80"/>
    </w:p>
    <w:p>
      <w:pPr>
        <w:bidi w:val="0"/>
        <w:rPr>
          <w:rFonts w:hint="eastAsia"/>
          <w:lang w:val="zh-CN" w:eastAsia="zh-CN"/>
        </w:rPr>
      </w:pPr>
      <w:r>
        <w:rPr>
          <w:rFonts w:hint="eastAsia"/>
          <w:lang w:val="zh-CN" w:eastAsia="zh-CN"/>
        </w:rPr>
        <w:t>2022年9月8日</w:t>
      </w:r>
    </w:p>
    <w:p>
      <w:pPr>
        <w:pStyle w:val="3"/>
        <w:bidi w:val="0"/>
        <w:outlineLvl w:val="0"/>
        <w:rPr>
          <w:rFonts w:hint="eastAsia" w:ascii="Arial" w:hAnsi="Arial" w:eastAsia="楷体_GB2312"/>
          <w:lang w:val="zh-CN"/>
        </w:rPr>
      </w:pPr>
      <w:bookmarkStart w:id="84" w:name="_Toc5083"/>
      <w:bookmarkStart w:id="85" w:name="_Toc35518010"/>
      <w:r>
        <w:rPr>
          <w:rFonts w:hint="eastAsia" w:ascii="Arial" w:hAnsi="Arial" w:eastAsia="楷体_GB2312"/>
          <w:lang w:val="zh-CN"/>
        </w:rPr>
        <w:t>（十</w:t>
      </w:r>
      <w:r>
        <w:rPr>
          <w:rFonts w:hint="eastAsia" w:eastAsia="楷体_GB2312"/>
          <w:lang w:val="en-US" w:eastAsia="zh-CN"/>
        </w:rPr>
        <w:t>三</w:t>
      </w:r>
      <w:r>
        <w:rPr>
          <w:rFonts w:hint="eastAsia" w:ascii="Arial" w:hAnsi="Arial" w:eastAsia="楷体_GB2312"/>
          <w:lang w:val="zh-CN"/>
        </w:rPr>
        <w:t>）</w:t>
      </w:r>
      <w:bookmarkStart w:id="86" w:name="_Toc447119215"/>
      <w:r>
        <w:rPr>
          <w:rFonts w:hint="eastAsia" w:ascii="Arial" w:hAnsi="Arial" w:eastAsia="楷体_GB2312"/>
          <w:lang w:val="zh-CN"/>
        </w:rPr>
        <w:t>估价作业期</w:t>
      </w:r>
      <w:bookmarkEnd w:id="84"/>
      <w:bookmarkEnd w:id="85"/>
    </w:p>
    <w:p>
      <w:pPr>
        <w:bidi w:val="0"/>
        <w:rPr>
          <w:rFonts w:hint="eastAsia"/>
          <w:lang w:val="zh-CN" w:eastAsia="zh-CN"/>
        </w:rPr>
      </w:pPr>
      <w:r>
        <w:rPr>
          <w:rFonts w:hint="eastAsia"/>
          <w:lang w:val="zh-CN" w:eastAsia="zh-CN"/>
        </w:rPr>
        <w:t>2022年9月8日-2022年9月14日</w:t>
      </w:r>
    </w:p>
    <w:p>
      <w:pPr>
        <w:ind w:left="0" w:leftChars="0" w:firstLine="0" w:firstLineChars="0"/>
        <w:outlineLvl w:val="9"/>
        <w:rPr>
          <w:rFonts w:hint="eastAsia"/>
          <w:color w:val="auto"/>
          <w:sz w:val="32"/>
          <w:szCs w:val="32"/>
        </w:rPr>
      </w:pPr>
      <w:bookmarkStart w:id="87" w:name="_Toc447119042"/>
      <w:bookmarkStart w:id="88" w:name="_Toc447032862"/>
      <w:bookmarkStart w:id="89" w:name="_Toc35518012"/>
      <w:bookmarkStart w:id="90" w:name="_Toc447119225"/>
    </w:p>
    <w:p>
      <w:pPr>
        <w:pStyle w:val="2"/>
        <w:bidi w:val="0"/>
        <w:rPr>
          <w:rFonts w:hint="eastAsia"/>
          <w:lang w:val="en-US" w:eastAsia="zh-CN"/>
        </w:rPr>
      </w:pPr>
      <w:bookmarkStart w:id="91" w:name="_Toc20163"/>
      <w:r>
        <w:rPr>
          <w:rFonts w:hint="eastAsia"/>
          <w:lang w:val="en-US" w:eastAsia="zh-CN"/>
        </w:rPr>
        <w:t>附件</w:t>
      </w:r>
      <w:bookmarkEnd w:id="87"/>
      <w:bookmarkEnd w:id="88"/>
      <w:bookmarkEnd w:id="89"/>
      <w:bookmarkEnd w:id="90"/>
      <w:bookmarkEnd w:id="91"/>
    </w:p>
    <w:p>
      <w:pPr>
        <w:bidi w:val="0"/>
        <w:rPr>
          <w:rFonts w:hint="eastAsia"/>
          <w:lang w:val="zh-CN" w:eastAsia="zh-CN"/>
        </w:rPr>
      </w:pPr>
      <w:r>
        <w:rPr>
          <w:rFonts w:hint="eastAsia"/>
          <w:lang w:val="zh-CN" w:eastAsia="zh-CN"/>
        </w:rPr>
        <w:t>1、《河北省唐山市中级人民法院司法鉴定委托书》（复印件）</w:t>
      </w:r>
    </w:p>
    <w:p>
      <w:pPr>
        <w:bidi w:val="0"/>
        <w:rPr>
          <w:rFonts w:hint="eastAsia"/>
          <w:lang w:val="zh-CN" w:eastAsia="zh-CN"/>
        </w:rPr>
      </w:pPr>
      <w:r>
        <w:rPr>
          <w:rFonts w:hint="eastAsia"/>
          <w:lang w:val="zh-CN" w:eastAsia="zh-CN"/>
        </w:rPr>
        <w:t>2、《河北省唐山市中级人民法院司法技术委托书》（复印件）</w:t>
      </w:r>
    </w:p>
    <w:p>
      <w:pPr>
        <w:bidi w:val="0"/>
        <w:rPr>
          <w:rFonts w:hint="eastAsia"/>
          <w:lang w:val="zh-CN" w:eastAsia="zh-CN"/>
        </w:rPr>
      </w:pPr>
      <w:r>
        <w:rPr>
          <w:rFonts w:hint="eastAsia"/>
          <w:lang w:val="zh-CN" w:eastAsia="zh-CN"/>
        </w:rPr>
        <w:t>3、</w:t>
      </w:r>
      <w:r>
        <w:rPr>
          <w:rFonts w:hint="eastAsia"/>
          <w:lang w:val="en-US" w:eastAsia="zh-CN"/>
        </w:rPr>
        <w:t xml:space="preserve"> </w:t>
      </w:r>
      <w:r>
        <w:rPr>
          <w:rFonts w:hint="eastAsia"/>
          <w:lang w:val="zh-CN" w:eastAsia="zh-CN"/>
        </w:rPr>
        <w:t>估价对象实物照片</w:t>
      </w:r>
    </w:p>
    <w:p>
      <w:pPr>
        <w:bidi w:val="0"/>
        <w:rPr>
          <w:rFonts w:hint="eastAsia"/>
          <w:lang w:val="zh-CN" w:eastAsia="zh-CN"/>
        </w:rPr>
      </w:pPr>
      <w:r>
        <w:rPr>
          <w:rFonts w:hint="eastAsia"/>
          <w:lang w:val="zh-CN" w:eastAsia="zh-CN"/>
        </w:rPr>
        <w:t>4、</w:t>
      </w:r>
      <w:r>
        <w:rPr>
          <w:rFonts w:hint="eastAsia"/>
          <w:lang w:val="en-US" w:eastAsia="zh-CN"/>
        </w:rPr>
        <w:t>《不动产权利及其他事项登记信息》</w:t>
      </w:r>
      <w:r>
        <w:rPr>
          <w:rFonts w:hint="eastAsia"/>
          <w:lang w:val="zh-CN" w:eastAsia="zh-CN"/>
        </w:rPr>
        <w:t>（复印件）</w:t>
      </w:r>
    </w:p>
    <w:p>
      <w:pPr>
        <w:bidi w:val="0"/>
        <w:rPr>
          <w:rFonts w:hint="eastAsia"/>
          <w:lang w:val="zh-CN" w:eastAsia="zh-CN"/>
        </w:rPr>
      </w:pPr>
      <w:r>
        <w:rPr>
          <w:rFonts w:hint="eastAsia"/>
          <w:lang w:val="zh-CN" w:eastAsia="zh-CN"/>
        </w:rPr>
        <w:t>5、 估价机构营业执照（复印件）</w:t>
      </w:r>
    </w:p>
    <w:p>
      <w:pPr>
        <w:bidi w:val="0"/>
        <w:rPr>
          <w:rFonts w:hint="eastAsia"/>
          <w:lang w:val="zh-CN" w:eastAsia="zh-CN"/>
        </w:rPr>
      </w:pPr>
      <w:r>
        <w:rPr>
          <w:rFonts w:hint="eastAsia"/>
          <w:lang w:val="zh-CN" w:eastAsia="zh-CN"/>
        </w:rPr>
        <w:t>6、 房地产价格评估机构资格证书（复印件）</w:t>
      </w:r>
    </w:p>
    <w:p>
      <w:pPr>
        <w:bidi w:val="0"/>
        <w:rPr>
          <w:rFonts w:hint="default"/>
          <w:lang w:val="en-US" w:eastAsia="zh-CN"/>
        </w:rPr>
      </w:pPr>
      <w:r>
        <w:rPr>
          <w:rFonts w:hint="eastAsia"/>
          <w:lang w:val="zh-CN" w:eastAsia="zh-CN"/>
        </w:rPr>
        <w:t xml:space="preserve">7、 房地产估价师注册证书（复印件） </w:t>
      </w:r>
      <w:bookmarkEnd w:id="81"/>
      <w:bookmarkEnd w:id="82"/>
      <w:bookmarkEnd w:id="83"/>
      <w:bookmarkEnd w:id="86"/>
      <w:r>
        <w:rPr>
          <w:rFonts w:hint="eastAsia"/>
          <w:lang w:val="en-US" w:eastAsia="zh-CN"/>
        </w:rPr>
        <w:t xml:space="preserve"> </w:t>
      </w:r>
    </w:p>
    <w:sectPr>
      <w:footerReference r:id="rId11" w:type="default"/>
      <w:pgSz w:w="11906" w:h="16838"/>
      <w:pgMar w:top="638" w:right="1002" w:bottom="540" w:left="162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EFF3F96-E2A1-4386-96DD-CA11AEB202E3}"/>
  </w:font>
  <w:font w:name="Arial">
    <w:panose1 w:val="020B0604020202020204"/>
    <w:charset w:val="01"/>
    <w:family w:val="swiss"/>
    <w:pitch w:val="default"/>
    <w:sig w:usb0="E0002EFF" w:usb1="C000785B" w:usb2="00000009" w:usb3="00000000" w:csb0="400001FF" w:csb1="FFFF0000"/>
    <w:embedRegular r:id="rId2" w:fontKey="{77E904B4-AE95-4870-8D60-616DD3FFB25B}"/>
  </w:font>
  <w:font w:name="黑体">
    <w:panose1 w:val="02010609060101010101"/>
    <w:charset w:val="86"/>
    <w:family w:val="auto"/>
    <w:pitch w:val="default"/>
    <w:sig w:usb0="800002BF" w:usb1="38CF7CFA" w:usb2="00000016" w:usb3="00000000" w:csb0="00040001" w:csb1="00000000"/>
    <w:embedRegular r:id="rId3" w:fontKey="{1BB29904-1B5A-42FC-BE4D-3F112DF07AC8}"/>
  </w:font>
  <w:font w:name="Courier New">
    <w:panose1 w:val="02070309020205020404"/>
    <w:charset w:val="01"/>
    <w:family w:val="modern"/>
    <w:pitch w:val="default"/>
    <w:sig w:usb0="E0002EFF" w:usb1="C0007843" w:usb2="00000009" w:usb3="00000000" w:csb0="400001FF" w:csb1="FFFF0000"/>
    <w:embedRegular r:id="rId4" w:fontKey="{6DC60060-C5A7-4572-82E6-B7174120CD7F}"/>
  </w:font>
  <w:font w:name="Symbol">
    <w:panose1 w:val="05050102010706020507"/>
    <w:charset w:val="02"/>
    <w:family w:val="roman"/>
    <w:pitch w:val="default"/>
    <w:sig w:usb0="00000000" w:usb1="00000000" w:usb2="00000000" w:usb3="00000000" w:csb0="80000000" w:csb1="00000000"/>
    <w:embedRegular r:id="rId5" w:fontKey="{DB147C92-B15B-4E8E-BBFC-1A59EB6ADAF1}"/>
  </w:font>
  <w:font w:name="Calibri">
    <w:panose1 w:val="020F0502020204030204"/>
    <w:charset w:val="00"/>
    <w:family w:val="swiss"/>
    <w:pitch w:val="default"/>
    <w:sig w:usb0="E4002EFF" w:usb1="C000247B" w:usb2="00000009" w:usb3="00000000" w:csb0="200001FF" w:csb1="00000000"/>
    <w:embedRegular r:id="rId6" w:fontKey="{9977EBFE-48AD-48A1-A9AF-BC1DCC491E9C}"/>
  </w:font>
  <w:font w:name="楷体">
    <w:panose1 w:val="02010609060101010101"/>
    <w:charset w:val="86"/>
    <w:family w:val="auto"/>
    <w:pitch w:val="default"/>
    <w:sig w:usb0="800002BF" w:usb1="38CF7CFA" w:usb2="00000016" w:usb3="00000000" w:csb0="00040001" w:csb1="00000000"/>
    <w:embedRegular r:id="rId7" w:fontKey="{4128BC1C-803C-439A-8CE5-9C71B09916CC}"/>
  </w:font>
  <w:font w:name="仿宋_GB2312">
    <w:altName w:val="仿宋"/>
    <w:panose1 w:val="00000000000000000000"/>
    <w:charset w:val="86"/>
    <w:family w:val="modern"/>
    <w:pitch w:val="default"/>
    <w:sig w:usb0="00000000" w:usb1="00000000" w:usb2="00000000" w:usb3="00000000" w:csb0="00040000" w:csb1="00000000"/>
    <w:embedRegular r:id="rId8" w:fontKey="{9ECA041E-8122-4BB3-B622-01969AEEDCEF}"/>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embedRegular r:id="rId9" w:fontKey="{8677A900-5875-47C4-B6DF-AECBBA41E5C5}"/>
  </w:font>
  <w:font w:name="Cambria">
    <w:panose1 w:val="02040503050406030204"/>
    <w:charset w:val="00"/>
    <w:family w:val="roman"/>
    <w:pitch w:val="default"/>
    <w:sig w:usb0="E00006FF" w:usb1="420024FF" w:usb2="02000000" w:usb3="00000000" w:csb0="2000019F" w:csb1="00000000"/>
    <w:embedRegular r:id="rId10" w:fontKey="{B35545CD-4919-487E-96DF-2AF3C75BE73F}"/>
  </w:font>
  <w:font w:name="方正粗黑宋简体">
    <w:panose1 w:val="02000000000000000000"/>
    <w:charset w:val="86"/>
    <w:family w:val="auto"/>
    <w:pitch w:val="default"/>
    <w:sig w:usb0="A00002BF" w:usb1="184F6CFA" w:usb2="00000012" w:usb3="00000000" w:csb0="00040001" w:csb1="00000000"/>
    <w:embedRegular r:id="rId11" w:fontKey="{9ED19C7F-5578-4FF1-884D-D6DCA48C07A2}"/>
  </w:font>
  <w:font w:name="宋体-方正超大字符集">
    <w:altName w:val="黑体"/>
    <w:panose1 w:val="00000000000000000000"/>
    <w:charset w:val="86"/>
    <w:family w:val="script"/>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2" w:fontKey="{C728AA04-B9AE-4635-B2CF-08CB9E1F2234}"/>
  </w:font>
  <w:font w:name="Verdana">
    <w:panose1 w:val="020B0604030504040204"/>
    <w:charset w:val="00"/>
    <w:family w:val="swiss"/>
    <w:pitch w:val="default"/>
    <w:sig w:usb0="A00006FF" w:usb1="4000205B" w:usb2="00000010" w:usb3="00000000" w:csb0="2000019F" w:csb1="00000000"/>
    <w:embedRegular r:id="rId13" w:fontKey="{411CCF5A-4015-4083-A30F-121D2EFE3A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360" w:hanging="360" w:hangingChars="200"/>
      <w:rPr>
        <w:rFonts w:ascii="楷体_GB2312" w:eastAsia="楷体_GB2312"/>
        <w:b/>
        <w:i/>
      </w:rPr>
    </w:pPr>
    <w:r>
      <w:pict>
        <v:rect id="文本框15" o:spid="_x0000_s4098" o:spt="1"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">
          <v:path/>
          <v:fill on="f" focussize="0,0"/>
          <v:stroke on="f"/>
          <v:imagedata o:title=""/>
          <o:lock v:ext="edit"/>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9</w:t>
                </w:r>
                <w:r>
                  <w:rPr>
                    <w:rFonts w:hint="eastAsia"/>
                    <w:sz w:val="18"/>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914"/>
        <w:tab w:val="clear" w:pos="4153"/>
        <w:tab w:val="clear" w:pos="8306"/>
      </w:tabs>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8287"/>
        <w:tab w:val="clear" w:pos="4153"/>
        <w:tab w:val="clear" w:pos="8306"/>
      </w:tabs>
      <w:ind w:firstLine="360"/>
      <w:rPr>
        <w:rFonts w:hint="default" w:ascii="楷体_GB2312" w:eastAsia="楷体_GB2312"/>
        <w:lang w:val="en-US" w:eastAsia="zh-CN"/>
      </w:rPr>
    </w:pPr>
    <w:r>
      <w:pict>
        <v:rect id="文本框8" o:spid="_x0000_s4097" o:spt="1" style="position:absolute;left:0pt;margin-top:0pt;height:13.8pt;width:24.05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">
          <v:path/>
          <v:fill on="f" focussize="0,0"/>
          <v:stroke on="f"/>
          <v:imagedata o:title=""/>
          <o:lock v:ext="edit"/>
          <v:textbox inset="0mm,0mm,0mm,0mm" style="mso-fit-shape-to-text:t;">
            <w:txbxContent>
              <w:p>
                <w:pPr>
                  <w:ind w:firstLine="480"/>
                </w:pPr>
                <w:r>
                  <w:fldChar w:fldCharType="begin"/>
                </w:r>
                <w:r>
                  <w:instrText xml:space="preserve"> PAGE  \* MERGEFORMAT </w:instrText>
                </w:r>
                <w:r>
                  <w:fldChar w:fldCharType="separate"/>
                </w:r>
                <w:r>
                  <w:t>1</w:t>
                </w:r>
                <w:r>
                  <w:fldChar w:fldCharType="end"/>
                </w:r>
              </w:p>
            </w:txbxContent>
          </v:textbox>
        </v:rect>
      </w:pict>
    </w:r>
    <w:r>
      <w:rPr>
        <w:rFonts w:hint="eastAsia" w:ascii="楷体_GB2312" w:eastAsia="楷体_GB2312"/>
      </w:rPr>
      <w:t>电话：</w:t>
    </w:r>
    <w:r>
      <w:rPr>
        <w:rFonts w:hint="eastAsia" w:ascii="楷体_GB2312" w:eastAsia="楷体_GB2312"/>
        <w:lang w:val="en-US" w:eastAsia="zh-CN"/>
      </w:rPr>
      <w:t>2226959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jc w:val="left"/>
      <w:rPr>
        <w:rFonts w:hint="default" w:eastAsia="楷体"/>
        <w:sz w:val="21"/>
        <w:szCs w:val="21"/>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E5B651"/>
    <w:multiLevelType w:val="singleLevel"/>
    <w:tmpl w:val="BEE5B65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bordersDoNotSurroundHeader w:val="0"/>
  <w:bordersDoNotSurroundFooter w:val="0"/>
  <w:documentProtection w:enforcement="0"/>
  <w:defaultTabStop w:val="425"/>
  <w:drawingGridHorizontalSpacing w:val="120"/>
  <w:drawingGridVerticalSpacing w:val="166"/>
  <w:displayHorizontalDrawingGridEvery w:val="1"/>
  <w:displayVerticalDrawingGridEvery w:val="1"/>
  <w:noPunctuationKerning w:val="1"/>
  <w:characterSpacingControl w:val="compressPunctuation"/>
  <w:doNotValidateAgainstSchema/>
  <w:doNotDemarcateInvalidXml/>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NWQ0YzA0ZGI3OTJmZDA1NzY3NDdiZDQ1OTFkYzM2NzUifQ=="/>
  </w:docVars>
  <w:rsids>
    <w:rsidRoot w:val="00172A27"/>
    <w:rsid w:val="0000000B"/>
    <w:rsid w:val="000029EF"/>
    <w:rsid w:val="0000448A"/>
    <w:rsid w:val="00004D18"/>
    <w:rsid w:val="00020F50"/>
    <w:rsid w:val="00022F6F"/>
    <w:rsid w:val="00023623"/>
    <w:rsid w:val="00023717"/>
    <w:rsid w:val="0003137B"/>
    <w:rsid w:val="00033E93"/>
    <w:rsid w:val="00034063"/>
    <w:rsid w:val="00034D25"/>
    <w:rsid w:val="000355A3"/>
    <w:rsid w:val="0003651A"/>
    <w:rsid w:val="00037E3A"/>
    <w:rsid w:val="000417C0"/>
    <w:rsid w:val="00043D80"/>
    <w:rsid w:val="000507D1"/>
    <w:rsid w:val="000512B4"/>
    <w:rsid w:val="00052E0E"/>
    <w:rsid w:val="0005311E"/>
    <w:rsid w:val="000531E3"/>
    <w:rsid w:val="00053612"/>
    <w:rsid w:val="00055713"/>
    <w:rsid w:val="00057C6F"/>
    <w:rsid w:val="00060499"/>
    <w:rsid w:val="000613AE"/>
    <w:rsid w:val="0006222D"/>
    <w:rsid w:val="00063597"/>
    <w:rsid w:val="00063CA6"/>
    <w:rsid w:val="00064B17"/>
    <w:rsid w:val="0006526E"/>
    <w:rsid w:val="000660CD"/>
    <w:rsid w:val="0006745D"/>
    <w:rsid w:val="00070FFA"/>
    <w:rsid w:val="0007342B"/>
    <w:rsid w:val="00073639"/>
    <w:rsid w:val="00075813"/>
    <w:rsid w:val="00076AA5"/>
    <w:rsid w:val="0007744B"/>
    <w:rsid w:val="00082926"/>
    <w:rsid w:val="00082937"/>
    <w:rsid w:val="00084DE5"/>
    <w:rsid w:val="000857BF"/>
    <w:rsid w:val="00090CDE"/>
    <w:rsid w:val="000936C0"/>
    <w:rsid w:val="0009417F"/>
    <w:rsid w:val="000958A3"/>
    <w:rsid w:val="00096B2F"/>
    <w:rsid w:val="00097186"/>
    <w:rsid w:val="000A2F83"/>
    <w:rsid w:val="000A4D53"/>
    <w:rsid w:val="000A775F"/>
    <w:rsid w:val="000B0287"/>
    <w:rsid w:val="000B7F22"/>
    <w:rsid w:val="000C2DA4"/>
    <w:rsid w:val="000C348B"/>
    <w:rsid w:val="000C3B30"/>
    <w:rsid w:val="000C4B0E"/>
    <w:rsid w:val="000C4C9D"/>
    <w:rsid w:val="000D00C8"/>
    <w:rsid w:val="000D0689"/>
    <w:rsid w:val="000D0DD7"/>
    <w:rsid w:val="000D41BE"/>
    <w:rsid w:val="000E030E"/>
    <w:rsid w:val="000E34FE"/>
    <w:rsid w:val="000E360A"/>
    <w:rsid w:val="000F00B7"/>
    <w:rsid w:val="000F1CED"/>
    <w:rsid w:val="000F3C44"/>
    <w:rsid w:val="000F41A9"/>
    <w:rsid w:val="000F6295"/>
    <w:rsid w:val="00100C44"/>
    <w:rsid w:val="00101219"/>
    <w:rsid w:val="001018D5"/>
    <w:rsid w:val="00101ABC"/>
    <w:rsid w:val="001027C6"/>
    <w:rsid w:val="00102B52"/>
    <w:rsid w:val="00103F81"/>
    <w:rsid w:val="001106C3"/>
    <w:rsid w:val="00111E57"/>
    <w:rsid w:val="0011249E"/>
    <w:rsid w:val="001149F2"/>
    <w:rsid w:val="00116217"/>
    <w:rsid w:val="001227CB"/>
    <w:rsid w:val="00123A74"/>
    <w:rsid w:val="00127FDC"/>
    <w:rsid w:val="00130A9C"/>
    <w:rsid w:val="00133136"/>
    <w:rsid w:val="00133412"/>
    <w:rsid w:val="0013600F"/>
    <w:rsid w:val="001406D9"/>
    <w:rsid w:val="001435CA"/>
    <w:rsid w:val="00153418"/>
    <w:rsid w:val="001613AF"/>
    <w:rsid w:val="00161A44"/>
    <w:rsid w:val="00163CBB"/>
    <w:rsid w:val="00167CD7"/>
    <w:rsid w:val="00167F2B"/>
    <w:rsid w:val="00172A27"/>
    <w:rsid w:val="00177C43"/>
    <w:rsid w:val="00180C96"/>
    <w:rsid w:val="00180DB2"/>
    <w:rsid w:val="00182623"/>
    <w:rsid w:val="00185694"/>
    <w:rsid w:val="00187564"/>
    <w:rsid w:val="001877FB"/>
    <w:rsid w:val="001906DC"/>
    <w:rsid w:val="00190BDC"/>
    <w:rsid w:val="001914B7"/>
    <w:rsid w:val="00191509"/>
    <w:rsid w:val="001915B2"/>
    <w:rsid w:val="00196EF7"/>
    <w:rsid w:val="001A0BEC"/>
    <w:rsid w:val="001A4CCA"/>
    <w:rsid w:val="001A6EB2"/>
    <w:rsid w:val="001B200E"/>
    <w:rsid w:val="001B26F3"/>
    <w:rsid w:val="001B539F"/>
    <w:rsid w:val="001B5A1E"/>
    <w:rsid w:val="001B776A"/>
    <w:rsid w:val="001C1D90"/>
    <w:rsid w:val="001C3E0C"/>
    <w:rsid w:val="001C43F2"/>
    <w:rsid w:val="001C725B"/>
    <w:rsid w:val="001C72E9"/>
    <w:rsid w:val="001C775D"/>
    <w:rsid w:val="001D1FFA"/>
    <w:rsid w:val="001E1048"/>
    <w:rsid w:val="001E31C2"/>
    <w:rsid w:val="001E33AF"/>
    <w:rsid w:val="001E6680"/>
    <w:rsid w:val="001F14D9"/>
    <w:rsid w:val="001F35ED"/>
    <w:rsid w:val="001F47B1"/>
    <w:rsid w:val="001F60BF"/>
    <w:rsid w:val="00200DFF"/>
    <w:rsid w:val="00201F2C"/>
    <w:rsid w:val="002061A2"/>
    <w:rsid w:val="002061AF"/>
    <w:rsid w:val="00206B42"/>
    <w:rsid w:val="00212223"/>
    <w:rsid w:val="0021768C"/>
    <w:rsid w:val="00217768"/>
    <w:rsid w:val="00217C06"/>
    <w:rsid w:val="00222E7F"/>
    <w:rsid w:val="00223247"/>
    <w:rsid w:val="002246EB"/>
    <w:rsid w:val="0022735D"/>
    <w:rsid w:val="00231CD4"/>
    <w:rsid w:val="002322BE"/>
    <w:rsid w:val="002326EC"/>
    <w:rsid w:val="002350FF"/>
    <w:rsid w:val="00235B85"/>
    <w:rsid w:val="0023654D"/>
    <w:rsid w:val="002404D1"/>
    <w:rsid w:val="00240D32"/>
    <w:rsid w:val="00241693"/>
    <w:rsid w:val="00242F93"/>
    <w:rsid w:val="00244F25"/>
    <w:rsid w:val="00246CD6"/>
    <w:rsid w:val="00250F8E"/>
    <w:rsid w:val="0025254A"/>
    <w:rsid w:val="00252CA3"/>
    <w:rsid w:val="00256256"/>
    <w:rsid w:val="00260A4C"/>
    <w:rsid w:val="00261FF5"/>
    <w:rsid w:val="00262694"/>
    <w:rsid w:val="002669DA"/>
    <w:rsid w:val="00274667"/>
    <w:rsid w:val="002756AB"/>
    <w:rsid w:val="00280452"/>
    <w:rsid w:val="0028117B"/>
    <w:rsid w:val="002819DE"/>
    <w:rsid w:val="00282528"/>
    <w:rsid w:val="00284149"/>
    <w:rsid w:val="00285161"/>
    <w:rsid w:val="00285E2F"/>
    <w:rsid w:val="0028708D"/>
    <w:rsid w:val="00291984"/>
    <w:rsid w:val="00291FCD"/>
    <w:rsid w:val="002A2038"/>
    <w:rsid w:val="002A3A8B"/>
    <w:rsid w:val="002B0A62"/>
    <w:rsid w:val="002B22E0"/>
    <w:rsid w:val="002B231C"/>
    <w:rsid w:val="002B7493"/>
    <w:rsid w:val="002C1D53"/>
    <w:rsid w:val="002C408D"/>
    <w:rsid w:val="002C5D21"/>
    <w:rsid w:val="002C678D"/>
    <w:rsid w:val="002D7F74"/>
    <w:rsid w:val="002E003C"/>
    <w:rsid w:val="002E0E49"/>
    <w:rsid w:val="002E1F04"/>
    <w:rsid w:val="002E3104"/>
    <w:rsid w:val="002E4627"/>
    <w:rsid w:val="002E4E46"/>
    <w:rsid w:val="002E5CE3"/>
    <w:rsid w:val="002E756D"/>
    <w:rsid w:val="002F1357"/>
    <w:rsid w:val="002F79DC"/>
    <w:rsid w:val="00301345"/>
    <w:rsid w:val="00303858"/>
    <w:rsid w:val="0030691F"/>
    <w:rsid w:val="00307200"/>
    <w:rsid w:val="00315A80"/>
    <w:rsid w:val="0031662F"/>
    <w:rsid w:val="0032112A"/>
    <w:rsid w:val="00321CF3"/>
    <w:rsid w:val="0032463E"/>
    <w:rsid w:val="00327502"/>
    <w:rsid w:val="00332237"/>
    <w:rsid w:val="00337EBC"/>
    <w:rsid w:val="00340B40"/>
    <w:rsid w:val="00346A37"/>
    <w:rsid w:val="00347032"/>
    <w:rsid w:val="00353FA7"/>
    <w:rsid w:val="00354A96"/>
    <w:rsid w:val="00355552"/>
    <w:rsid w:val="00356885"/>
    <w:rsid w:val="00360948"/>
    <w:rsid w:val="003658F0"/>
    <w:rsid w:val="00365E00"/>
    <w:rsid w:val="003709AA"/>
    <w:rsid w:val="00371F2D"/>
    <w:rsid w:val="00373A64"/>
    <w:rsid w:val="00375477"/>
    <w:rsid w:val="003814B1"/>
    <w:rsid w:val="00383BD8"/>
    <w:rsid w:val="0038441C"/>
    <w:rsid w:val="00384EE1"/>
    <w:rsid w:val="003861AF"/>
    <w:rsid w:val="00391CD8"/>
    <w:rsid w:val="003933E3"/>
    <w:rsid w:val="00393938"/>
    <w:rsid w:val="00394D07"/>
    <w:rsid w:val="003A0AF6"/>
    <w:rsid w:val="003A1B37"/>
    <w:rsid w:val="003A7DDA"/>
    <w:rsid w:val="003B0A9C"/>
    <w:rsid w:val="003B16C7"/>
    <w:rsid w:val="003B45DE"/>
    <w:rsid w:val="003B572A"/>
    <w:rsid w:val="003C0478"/>
    <w:rsid w:val="003C0649"/>
    <w:rsid w:val="003C5134"/>
    <w:rsid w:val="003C6A1C"/>
    <w:rsid w:val="003C75AA"/>
    <w:rsid w:val="003D1E8E"/>
    <w:rsid w:val="003D2022"/>
    <w:rsid w:val="003D2DD5"/>
    <w:rsid w:val="003D6DA1"/>
    <w:rsid w:val="003D7768"/>
    <w:rsid w:val="003E4915"/>
    <w:rsid w:val="003E4DBB"/>
    <w:rsid w:val="003E65E5"/>
    <w:rsid w:val="003E67DC"/>
    <w:rsid w:val="003F0BF1"/>
    <w:rsid w:val="003F3453"/>
    <w:rsid w:val="003F4AEA"/>
    <w:rsid w:val="003F7122"/>
    <w:rsid w:val="004028C0"/>
    <w:rsid w:val="00402BA3"/>
    <w:rsid w:val="00402D3C"/>
    <w:rsid w:val="00402DB5"/>
    <w:rsid w:val="004037CD"/>
    <w:rsid w:val="00403FBB"/>
    <w:rsid w:val="00404CAA"/>
    <w:rsid w:val="004065EA"/>
    <w:rsid w:val="0040798C"/>
    <w:rsid w:val="00410CAA"/>
    <w:rsid w:val="00410D85"/>
    <w:rsid w:val="00410FD3"/>
    <w:rsid w:val="00421E5B"/>
    <w:rsid w:val="00423F54"/>
    <w:rsid w:val="00430665"/>
    <w:rsid w:val="00431080"/>
    <w:rsid w:val="00432C5C"/>
    <w:rsid w:val="004333C6"/>
    <w:rsid w:val="0043394C"/>
    <w:rsid w:val="00433A76"/>
    <w:rsid w:val="00442D6D"/>
    <w:rsid w:val="00442F2B"/>
    <w:rsid w:val="00442FF1"/>
    <w:rsid w:val="00444EBE"/>
    <w:rsid w:val="00445677"/>
    <w:rsid w:val="00446235"/>
    <w:rsid w:val="00446FD0"/>
    <w:rsid w:val="00450266"/>
    <w:rsid w:val="00454080"/>
    <w:rsid w:val="0045452D"/>
    <w:rsid w:val="00456050"/>
    <w:rsid w:val="004625FA"/>
    <w:rsid w:val="004718B8"/>
    <w:rsid w:val="00471E0B"/>
    <w:rsid w:val="00474821"/>
    <w:rsid w:val="004769DE"/>
    <w:rsid w:val="004801F8"/>
    <w:rsid w:val="00481580"/>
    <w:rsid w:val="004819C7"/>
    <w:rsid w:val="00481F62"/>
    <w:rsid w:val="00482EFF"/>
    <w:rsid w:val="00484CD2"/>
    <w:rsid w:val="004936A9"/>
    <w:rsid w:val="00495490"/>
    <w:rsid w:val="00497D5C"/>
    <w:rsid w:val="004A06EB"/>
    <w:rsid w:val="004A162B"/>
    <w:rsid w:val="004A1986"/>
    <w:rsid w:val="004A4E00"/>
    <w:rsid w:val="004A5DB3"/>
    <w:rsid w:val="004A62B5"/>
    <w:rsid w:val="004A65CA"/>
    <w:rsid w:val="004B4F18"/>
    <w:rsid w:val="004B6A7C"/>
    <w:rsid w:val="004C061E"/>
    <w:rsid w:val="004C15DE"/>
    <w:rsid w:val="004C21F7"/>
    <w:rsid w:val="004C3E94"/>
    <w:rsid w:val="004C4D32"/>
    <w:rsid w:val="004C7837"/>
    <w:rsid w:val="004D30BF"/>
    <w:rsid w:val="004D44B8"/>
    <w:rsid w:val="004D4A46"/>
    <w:rsid w:val="004D6721"/>
    <w:rsid w:val="004E06ED"/>
    <w:rsid w:val="004E462F"/>
    <w:rsid w:val="00501320"/>
    <w:rsid w:val="00503E77"/>
    <w:rsid w:val="00512EA8"/>
    <w:rsid w:val="00514D25"/>
    <w:rsid w:val="00515AD9"/>
    <w:rsid w:val="00516CCE"/>
    <w:rsid w:val="00517533"/>
    <w:rsid w:val="005200DB"/>
    <w:rsid w:val="00520370"/>
    <w:rsid w:val="005208C5"/>
    <w:rsid w:val="00526443"/>
    <w:rsid w:val="00526751"/>
    <w:rsid w:val="005304F5"/>
    <w:rsid w:val="00531B29"/>
    <w:rsid w:val="00534AD1"/>
    <w:rsid w:val="00535D39"/>
    <w:rsid w:val="00536459"/>
    <w:rsid w:val="00537366"/>
    <w:rsid w:val="00541A71"/>
    <w:rsid w:val="00541A7F"/>
    <w:rsid w:val="00541E87"/>
    <w:rsid w:val="00543030"/>
    <w:rsid w:val="00544114"/>
    <w:rsid w:val="005454E8"/>
    <w:rsid w:val="0054598A"/>
    <w:rsid w:val="005459A0"/>
    <w:rsid w:val="005469C0"/>
    <w:rsid w:val="0056128E"/>
    <w:rsid w:val="00562EAF"/>
    <w:rsid w:val="005674A1"/>
    <w:rsid w:val="00567579"/>
    <w:rsid w:val="005718B8"/>
    <w:rsid w:val="0057219D"/>
    <w:rsid w:val="005734B0"/>
    <w:rsid w:val="005744E2"/>
    <w:rsid w:val="00574B0A"/>
    <w:rsid w:val="0057541E"/>
    <w:rsid w:val="00575455"/>
    <w:rsid w:val="00575C4C"/>
    <w:rsid w:val="00575E7E"/>
    <w:rsid w:val="00576032"/>
    <w:rsid w:val="00580839"/>
    <w:rsid w:val="0058094B"/>
    <w:rsid w:val="005817D5"/>
    <w:rsid w:val="00583A43"/>
    <w:rsid w:val="005945A5"/>
    <w:rsid w:val="00595D44"/>
    <w:rsid w:val="005A445B"/>
    <w:rsid w:val="005A6123"/>
    <w:rsid w:val="005B4F71"/>
    <w:rsid w:val="005D3621"/>
    <w:rsid w:val="005D3B77"/>
    <w:rsid w:val="005D63B5"/>
    <w:rsid w:val="005E1FD3"/>
    <w:rsid w:val="005E313D"/>
    <w:rsid w:val="005E372F"/>
    <w:rsid w:val="005E3E46"/>
    <w:rsid w:val="005E6775"/>
    <w:rsid w:val="005E6CE2"/>
    <w:rsid w:val="005F13B9"/>
    <w:rsid w:val="005F4554"/>
    <w:rsid w:val="005F6602"/>
    <w:rsid w:val="005F7700"/>
    <w:rsid w:val="005F7C2C"/>
    <w:rsid w:val="00603998"/>
    <w:rsid w:val="00606246"/>
    <w:rsid w:val="0060645A"/>
    <w:rsid w:val="00606AD3"/>
    <w:rsid w:val="00612D18"/>
    <w:rsid w:val="00613363"/>
    <w:rsid w:val="006248E5"/>
    <w:rsid w:val="00627FAB"/>
    <w:rsid w:val="00633B98"/>
    <w:rsid w:val="0064021F"/>
    <w:rsid w:val="00640537"/>
    <w:rsid w:val="0064127C"/>
    <w:rsid w:val="006426BF"/>
    <w:rsid w:val="00645831"/>
    <w:rsid w:val="006471A3"/>
    <w:rsid w:val="00651842"/>
    <w:rsid w:val="00652CDE"/>
    <w:rsid w:val="006530BE"/>
    <w:rsid w:val="00655846"/>
    <w:rsid w:val="00655BAF"/>
    <w:rsid w:val="00662B9B"/>
    <w:rsid w:val="0066364B"/>
    <w:rsid w:val="00663C67"/>
    <w:rsid w:val="00666A7D"/>
    <w:rsid w:val="00673BD0"/>
    <w:rsid w:val="006756A1"/>
    <w:rsid w:val="00677479"/>
    <w:rsid w:val="00683072"/>
    <w:rsid w:val="006841EB"/>
    <w:rsid w:val="006856C8"/>
    <w:rsid w:val="00685F12"/>
    <w:rsid w:val="00687252"/>
    <w:rsid w:val="006A195D"/>
    <w:rsid w:val="006A2E04"/>
    <w:rsid w:val="006A4F65"/>
    <w:rsid w:val="006A64F6"/>
    <w:rsid w:val="006A688E"/>
    <w:rsid w:val="006B074B"/>
    <w:rsid w:val="006B3B99"/>
    <w:rsid w:val="006B59EE"/>
    <w:rsid w:val="006B68E7"/>
    <w:rsid w:val="006C3AF1"/>
    <w:rsid w:val="006C3F93"/>
    <w:rsid w:val="006C5D4F"/>
    <w:rsid w:val="006C6F83"/>
    <w:rsid w:val="006D1882"/>
    <w:rsid w:val="006D66E6"/>
    <w:rsid w:val="006D6D6D"/>
    <w:rsid w:val="006E159C"/>
    <w:rsid w:val="006E1F23"/>
    <w:rsid w:val="006E2B93"/>
    <w:rsid w:val="006E3F8F"/>
    <w:rsid w:val="006E5884"/>
    <w:rsid w:val="006E5904"/>
    <w:rsid w:val="006F32B7"/>
    <w:rsid w:val="006F73C1"/>
    <w:rsid w:val="006F7DFD"/>
    <w:rsid w:val="00703738"/>
    <w:rsid w:val="00704578"/>
    <w:rsid w:val="00704920"/>
    <w:rsid w:val="0071078D"/>
    <w:rsid w:val="00710BBF"/>
    <w:rsid w:val="00712586"/>
    <w:rsid w:val="00712CF3"/>
    <w:rsid w:val="00713E77"/>
    <w:rsid w:val="00715DD3"/>
    <w:rsid w:val="00720080"/>
    <w:rsid w:val="007244F9"/>
    <w:rsid w:val="00726879"/>
    <w:rsid w:val="00726A23"/>
    <w:rsid w:val="007303AD"/>
    <w:rsid w:val="00732E34"/>
    <w:rsid w:val="00735D67"/>
    <w:rsid w:val="007369A2"/>
    <w:rsid w:val="007374F6"/>
    <w:rsid w:val="007376DF"/>
    <w:rsid w:val="00741BD6"/>
    <w:rsid w:val="007450BA"/>
    <w:rsid w:val="007463E3"/>
    <w:rsid w:val="00752CF1"/>
    <w:rsid w:val="0075719E"/>
    <w:rsid w:val="007571B5"/>
    <w:rsid w:val="007633BD"/>
    <w:rsid w:val="00764F5E"/>
    <w:rsid w:val="0076559F"/>
    <w:rsid w:val="0076571F"/>
    <w:rsid w:val="0076615D"/>
    <w:rsid w:val="00767A2A"/>
    <w:rsid w:val="00770540"/>
    <w:rsid w:val="00774CC2"/>
    <w:rsid w:val="007764EA"/>
    <w:rsid w:val="00776D07"/>
    <w:rsid w:val="00783E0B"/>
    <w:rsid w:val="00784122"/>
    <w:rsid w:val="00790662"/>
    <w:rsid w:val="007912AA"/>
    <w:rsid w:val="00792655"/>
    <w:rsid w:val="007929C7"/>
    <w:rsid w:val="0079410E"/>
    <w:rsid w:val="007944AA"/>
    <w:rsid w:val="00794EF0"/>
    <w:rsid w:val="0079513A"/>
    <w:rsid w:val="00797971"/>
    <w:rsid w:val="00797F7D"/>
    <w:rsid w:val="007A1872"/>
    <w:rsid w:val="007A2173"/>
    <w:rsid w:val="007B284E"/>
    <w:rsid w:val="007B3BEE"/>
    <w:rsid w:val="007B43A9"/>
    <w:rsid w:val="007B5B00"/>
    <w:rsid w:val="007B6E9B"/>
    <w:rsid w:val="007B7D7E"/>
    <w:rsid w:val="007C04B9"/>
    <w:rsid w:val="007C28E7"/>
    <w:rsid w:val="007C710C"/>
    <w:rsid w:val="007C7482"/>
    <w:rsid w:val="007D118E"/>
    <w:rsid w:val="007D19A0"/>
    <w:rsid w:val="007D3313"/>
    <w:rsid w:val="007D4F7B"/>
    <w:rsid w:val="007D6126"/>
    <w:rsid w:val="007D6B4A"/>
    <w:rsid w:val="007E4C23"/>
    <w:rsid w:val="007E4F9D"/>
    <w:rsid w:val="007E5543"/>
    <w:rsid w:val="007F011B"/>
    <w:rsid w:val="007F09BA"/>
    <w:rsid w:val="007F2F4E"/>
    <w:rsid w:val="007F329C"/>
    <w:rsid w:val="007F7FCB"/>
    <w:rsid w:val="008006DA"/>
    <w:rsid w:val="00804CD0"/>
    <w:rsid w:val="008058AA"/>
    <w:rsid w:val="008064EB"/>
    <w:rsid w:val="008065BB"/>
    <w:rsid w:val="00810AA3"/>
    <w:rsid w:val="00813D31"/>
    <w:rsid w:val="00817489"/>
    <w:rsid w:val="008223C8"/>
    <w:rsid w:val="008228A4"/>
    <w:rsid w:val="00823170"/>
    <w:rsid w:val="00825B4E"/>
    <w:rsid w:val="00825EAE"/>
    <w:rsid w:val="00826E32"/>
    <w:rsid w:val="00837AC9"/>
    <w:rsid w:val="00841220"/>
    <w:rsid w:val="0084301C"/>
    <w:rsid w:val="00843111"/>
    <w:rsid w:val="00844D12"/>
    <w:rsid w:val="00844F1E"/>
    <w:rsid w:val="00845007"/>
    <w:rsid w:val="00847F10"/>
    <w:rsid w:val="00850951"/>
    <w:rsid w:val="00851770"/>
    <w:rsid w:val="00851CA2"/>
    <w:rsid w:val="008578DF"/>
    <w:rsid w:val="00857D56"/>
    <w:rsid w:val="00857EDD"/>
    <w:rsid w:val="00860514"/>
    <w:rsid w:val="00863371"/>
    <w:rsid w:val="00863768"/>
    <w:rsid w:val="008641F4"/>
    <w:rsid w:val="008649B4"/>
    <w:rsid w:val="0086763A"/>
    <w:rsid w:val="00870D37"/>
    <w:rsid w:val="00872309"/>
    <w:rsid w:val="0087598A"/>
    <w:rsid w:val="00882284"/>
    <w:rsid w:val="00883BB5"/>
    <w:rsid w:val="00884453"/>
    <w:rsid w:val="008856C0"/>
    <w:rsid w:val="0088647B"/>
    <w:rsid w:val="008962A5"/>
    <w:rsid w:val="00896C1F"/>
    <w:rsid w:val="00897001"/>
    <w:rsid w:val="008A2135"/>
    <w:rsid w:val="008A3884"/>
    <w:rsid w:val="008B13BA"/>
    <w:rsid w:val="008B3DBB"/>
    <w:rsid w:val="008B74C0"/>
    <w:rsid w:val="008C1829"/>
    <w:rsid w:val="008C6A37"/>
    <w:rsid w:val="008C7067"/>
    <w:rsid w:val="008D023F"/>
    <w:rsid w:val="008D2E48"/>
    <w:rsid w:val="008D6F50"/>
    <w:rsid w:val="008E2F26"/>
    <w:rsid w:val="008E66A8"/>
    <w:rsid w:val="008E7890"/>
    <w:rsid w:val="008F3957"/>
    <w:rsid w:val="008F7710"/>
    <w:rsid w:val="00903A3B"/>
    <w:rsid w:val="009054EC"/>
    <w:rsid w:val="00912FF1"/>
    <w:rsid w:val="00916859"/>
    <w:rsid w:val="00922358"/>
    <w:rsid w:val="009223CA"/>
    <w:rsid w:val="00931784"/>
    <w:rsid w:val="0093581B"/>
    <w:rsid w:val="00941598"/>
    <w:rsid w:val="009427F4"/>
    <w:rsid w:val="00943BDD"/>
    <w:rsid w:val="00946B36"/>
    <w:rsid w:val="0094704B"/>
    <w:rsid w:val="00947BB7"/>
    <w:rsid w:val="00950828"/>
    <w:rsid w:val="00952816"/>
    <w:rsid w:val="00952869"/>
    <w:rsid w:val="00952C94"/>
    <w:rsid w:val="009532D0"/>
    <w:rsid w:val="00953CF7"/>
    <w:rsid w:val="00956597"/>
    <w:rsid w:val="00957FCF"/>
    <w:rsid w:val="00960C30"/>
    <w:rsid w:val="00961093"/>
    <w:rsid w:val="0097179F"/>
    <w:rsid w:val="00972054"/>
    <w:rsid w:val="009724D5"/>
    <w:rsid w:val="0097473D"/>
    <w:rsid w:val="00976F17"/>
    <w:rsid w:val="009806A7"/>
    <w:rsid w:val="00982971"/>
    <w:rsid w:val="00983499"/>
    <w:rsid w:val="00983656"/>
    <w:rsid w:val="0098625B"/>
    <w:rsid w:val="00987E97"/>
    <w:rsid w:val="009952B4"/>
    <w:rsid w:val="009A0857"/>
    <w:rsid w:val="009A134D"/>
    <w:rsid w:val="009A1C5F"/>
    <w:rsid w:val="009A2968"/>
    <w:rsid w:val="009A2E31"/>
    <w:rsid w:val="009A439C"/>
    <w:rsid w:val="009A72F7"/>
    <w:rsid w:val="009B061A"/>
    <w:rsid w:val="009B1D03"/>
    <w:rsid w:val="009B3D33"/>
    <w:rsid w:val="009B4ED9"/>
    <w:rsid w:val="009B5448"/>
    <w:rsid w:val="009B5B61"/>
    <w:rsid w:val="009C2E2D"/>
    <w:rsid w:val="009D039F"/>
    <w:rsid w:val="009D3DF4"/>
    <w:rsid w:val="009D4867"/>
    <w:rsid w:val="009D6352"/>
    <w:rsid w:val="009E07A0"/>
    <w:rsid w:val="009E16CD"/>
    <w:rsid w:val="009E269C"/>
    <w:rsid w:val="009E2A5C"/>
    <w:rsid w:val="009E3EFC"/>
    <w:rsid w:val="009E5660"/>
    <w:rsid w:val="009E582B"/>
    <w:rsid w:val="009F07B3"/>
    <w:rsid w:val="009F22E3"/>
    <w:rsid w:val="009F24DC"/>
    <w:rsid w:val="009F3392"/>
    <w:rsid w:val="009F5013"/>
    <w:rsid w:val="009F7613"/>
    <w:rsid w:val="009F7D2D"/>
    <w:rsid w:val="009F7E70"/>
    <w:rsid w:val="00A01991"/>
    <w:rsid w:val="00A02B0E"/>
    <w:rsid w:val="00A02FFA"/>
    <w:rsid w:val="00A0406B"/>
    <w:rsid w:val="00A107A9"/>
    <w:rsid w:val="00A1251A"/>
    <w:rsid w:val="00A14701"/>
    <w:rsid w:val="00A14B53"/>
    <w:rsid w:val="00A1616B"/>
    <w:rsid w:val="00A217E5"/>
    <w:rsid w:val="00A324B3"/>
    <w:rsid w:val="00A32B54"/>
    <w:rsid w:val="00A3418B"/>
    <w:rsid w:val="00A34F97"/>
    <w:rsid w:val="00A35701"/>
    <w:rsid w:val="00A4020F"/>
    <w:rsid w:val="00A419D3"/>
    <w:rsid w:val="00A42339"/>
    <w:rsid w:val="00A437E4"/>
    <w:rsid w:val="00A45D54"/>
    <w:rsid w:val="00A4636F"/>
    <w:rsid w:val="00A509C4"/>
    <w:rsid w:val="00A52DE8"/>
    <w:rsid w:val="00A538B8"/>
    <w:rsid w:val="00A56A95"/>
    <w:rsid w:val="00A60B2A"/>
    <w:rsid w:val="00A614E2"/>
    <w:rsid w:val="00A622B5"/>
    <w:rsid w:val="00A6575B"/>
    <w:rsid w:val="00A66BE9"/>
    <w:rsid w:val="00A6794C"/>
    <w:rsid w:val="00A67C65"/>
    <w:rsid w:val="00A70050"/>
    <w:rsid w:val="00A71CC2"/>
    <w:rsid w:val="00A73717"/>
    <w:rsid w:val="00A74B8E"/>
    <w:rsid w:val="00A74D18"/>
    <w:rsid w:val="00A76C48"/>
    <w:rsid w:val="00A81C3C"/>
    <w:rsid w:val="00A82F6A"/>
    <w:rsid w:val="00A8490B"/>
    <w:rsid w:val="00A86B7C"/>
    <w:rsid w:val="00A91871"/>
    <w:rsid w:val="00A91F30"/>
    <w:rsid w:val="00A92AE7"/>
    <w:rsid w:val="00A93539"/>
    <w:rsid w:val="00A93868"/>
    <w:rsid w:val="00A93D19"/>
    <w:rsid w:val="00A96845"/>
    <w:rsid w:val="00AA2CC5"/>
    <w:rsid w:val="00AA3A11"/>
    <w:rsid w:val="00AA3C40"/>
    <w:rsid w:val="00AB08B9"/>
    <w:rsid w:val="00AB13F3"/>
    <w:rsid w:val="00AB275B"/>
    <w:rsid w:val="00AB5735"/>
    <w:rsid w:val="00AB64CC"/>
    <w:rsid w:val="00AB7A9F"/>
    <w:rsid w:val="00AC063A"/>
    <w:rsid w:val="00AC08CB"/>
    <w:rsid w:val="00AC4553"/>
    <w:rsid w:val="00AD0EF0"/>
    <w:rsid w:val="00AD1184"/>
    <w:rsid w:val="00AD2FE2"/>
    <w:rsid w:val="00AD436B"/>
    <w:rsid w:val="00AD4463"/>
    <w:rsid w:val="00AD618D"/>
    <w:rsid w:val="00AE32E2"/>
    <w:rsid w:val="00AE45E9"/>
    <w:rsid w:val="00AE46AC"/>
    <w:rsid w:val="00AE79BB"/>
    <w:rsid w:val="00AF028F"/>
    <w:rsid w:val="00AF11FF"/>
    <w:rsid w:val="00AF3F9E"/>
    <w:rsid w:val="00AF67A3"/>
    <w:rsid w:val="00AF718B"/>
    <w:rsid w:val="00AF75AA"/>
    <w:rsid w:val="00B00EF3"/>
    <w:rsid w:val="00B01ED1"/>
    <w:rsid w:val="00B02E85"/>
    <w:rsid w:val="00B0504D"/>
    <w:rsid w:val="00B05B57"/>
    <w:rsid w:val="00B07E14"/>
    <w:rsid w:val="00B12E68"/>
    <w:rsid w:val="00B15C75"/>
    <w:rsid w:val="00B16E81"/>
    <w:rsid w:val="00B20A09"/>
    <w:rsid w:val="00B21177"/>
    <w:rsid w:val="00B24BC7"/>
    <w:rsid w:val="00B24CA1"/>
    <w:rsid w:val="00B25714"/>
    <w:rsid w:val="00B278F9"/>
    <w:rsid w:val="00B30CDF"/>
    <w:rsid w:val="00B3116C"/>
    <w:rsid w:val="00B3117D"/>
    <w:rsid w:val="00B34752"/>
    <w:rsid w:val="00B3750D"/>
    <w:rsid w:val="00B3792E"/>
    <w:rsid w:val="00B42538"/>
    <w:rsid w:val="00B42FA5"/>
    <w:rsid w:val="00B43684"/>
    <w:rsid w:val="00B4386A"/>
    <w:rsid w:val="00B5665B"/>
    <w:rsid w:val="00B57B7D"/>
    <w:rsid w:val="00B607FE"/>
    <w:rsid w:val="00B632C7"/>
    <w:rsid w:val="00B655B1"/>
    <w:rsid w:val="00B72FB9"/>
    <w:rsid w:val="00B74552"/>
    <w:rsid w:val="00B75F87"/>
    <w:rsid w:val="00B776BC"/>
    <w:rsid w:val="00B81FCF"/>
    <w:rsid w:val="00B83B86"/>
    <w:rsid w:val="00B83FE5"/>
    <w:rsid w:val="00B87583"/>
    <w:rsid w:val="00B90B99"/>
    <w:rsid w:val="00B91492"/>
    <w:rsid w:val="00B97C7A"/>
    <w:rsid w:val="00BA1570"/>
    <w:rsid w:val="00BA1FDA"/>
    <w:rsid w:val="00BA369E"/>
    <w:rsid w:val="00BA603A"/>
    <w:rsid w:val="00BA7156"/>
    <w:rsid w:val="00BB3C71"/>
    <w:rsid w:val="00BB4797"/>
    <w:rsid w:val="00BB773A"/>
    <w:rsid w:val="00BB7D37"/>
    <w:rsid w:val="00BC051F"/>
    <w:rsid w:val="00BC42B4"/>
    <w:rsid w:val="00BD4B6A"/>
    <w:rsid w:val="00BD5D51"/>
    <w:rsid w:val="00BD71FD"/>
    <w:rsid w:val="00BE1B6D"/>
    <w:rsid w:val="00BE212B"/>
    <w:rsid w:val="00BE69E3"/>
    <w:rsid w:val="00BE71C1"/>
    <w:rsid w:val="00BE74C9"/>
    <w:rsid w:val="00BF1CD6"/>
    <w:rsid w:val="00BF2686"/>
    <w:rsid w:val="00BF3DF9"/>
    <w:rsid w:val="00BF549E"/>
    <w:rsid w:val="00BF6FAE"/>
    <w:rsid w:val="00C02524"/>
    <w:rsid w:val="00C037A7"/>
    <w:rsid w:val="00C10CDA"/>
    <w:rsid w:val="00C125EC"/>
    <w:rsid w:val="00C223A9"/>
    <w:rsid w:val="00C2567C"/>
    <w:rsid w:val="00C25EBF"/>
    <w:rsid w:val="00C30901"/>
    <w:rsid w:val="00C35B73"/>
    <w:rsid w:val="00C364DA"/>
    <w:rsid w:val="00C369C0"/>
    <w:rsid w:val="00C377A2"/>
    <w:rsid w:val="00C417CD"/>
    <w:rsid w:val="00C42423"/>
    <w:rsid w:val="00C4299F"/>
    <w:rsid w:val="00C44445"/>
    <w:rsid w:val="00C44990"/>
    <w:rsid w:val="00C44B94"/>
    <w:rsid w:val="00C455CF"/>
    <w:rsid w:val="00C476C7"/>
    <w:rsid w:val="00C47D7E"/>
    <w:rsid w:val="00C50D49"/>
    <w:rsid w:val="00C5521C"/>
    <w:rsid w:val="00C5787F"/>
    <w:rsid w:val="00C62D93"/>
    <w:rsid w:val="00C632B3"/>
    <w:rsid w:val="00C64239"/>
    <w:rsid w:val="00C64907"/>
    <w:rsid w:val="00C64F7C"/>
    <w:rsid w:val="00C66512"/>
    <w:rsid w:val="00C70E83"/>
    <w:rsid w:val="00C73033"/>
    <w:rsid w:val="00C80D8F"/>
    <w:rsid w:val="00C82360"/>
    <w:rsid w:val="00C82BF2"/>
    <w:rsid w:val="00C86134"/>
    <w:rsid w:val="00C8665E"/>
    <w:rsid w:val="00C9257D"/>
    <w:rsid w:val="00C93E21"/>
    <w:rsid w:val="00C972AE"/>
    <w:rsid w:val="00CA2FB9"/>
    <w:rsid w:val="00CB0948"/>
    <w:rsid w:val="00CB1C1B"/>
    <w:rsid w:val="00CB2699"/>
    <w:rsid w:val="00CB4139"/>
    <w:rsid w:val="00CC0778"/>
    <w:rsid w:val="00CC15B3"/>
    <w:rsid w:val="00CC30F2"/>
    <w:rsid w:val="00CC448E"/>
    <w:rsid w:val="00CC53DD"/>
    <w:rsid w:val="00CC6AA8"/>
    <w:rsid w:val="00CC7CD6"/>
    <w:rsid w:val="00CD3922"/>
    <w:rsid w:val="00CD617B"/>
    <w:rsid w:val="00CE399C"/>
    <w:rsid w:val="00CE5338"/>
    <w:rsid w:val="00CE64B3"/>
    <w:rsid w:val="00CF1322"/>
    <w:rsid w:val="00CF16AC"/>
    <w:rsid w:val="00CF1C0C"/>
    <w:rsid w:val="00CF2C51"/>
    <w:rsid w:val="00CF4276"/>
    <w:rsid w:val="00D00559"/>
    <w:rsid w:val="00D00A45"/>
    <w:rsid w:val="00D046F1"/>
    <w:rsid w:val="00D051B0"/>
    <w:rsid w:val="00D07197"/>
    <w:rsid w:val="00D101FD"/>
    <w:rsid w:val="00D11DC0"/>
    <w:rsid w:val="00D1649D"/>
    <w:rsid w:val="00D16F13"/>
    <w:rsid w:val="00D173E5"/>
    <w:rsid w:val="00D175F6"/>
    <w:rsid w:val="00D2110D"/>
    <w:rsid w:val="00D23B70"/>
    <w:rsid w:val="00D254A5"/>
    <w:rsid w:val="00D3193C"/>
    <w:rsid w:val="00D33EC2"/>
    <w:rsid w:val="00D35309"/>
    <w:rsid w:val="00D353AE"/>
    <w:rsid w:val="00D3560D"/>
    <w:rsid w:val="00D36202"/>
    <w:rsid w:val="00D37527"/>
    <w:rsid w:val="00D40AE3"/>
    <w:rsid w:val="00D42833"/>
    <w:rsid w:val="00D42BF7"/>
    <w:rsid w:val="00D451A6"/>
    <w:rsid w:val="00D5337C"/>
    <w:rsid w:val="00D53C58"/>
    <w:rsid w:val="00D55519"/>
    <w:rsid w:val="00D57784"/>
    <w:rsid w:val="00D61693"/>
    <w:rsid w:val="00D71C59"/>
    <w:rsid w:val="00D71F0C"/>
    <w:rsid w:val="00D74CDC"/>
    <w:rsid w:val="00D804F4"/>
    <w:rsid w:val="00D84E4F"/>
    <w:rsid w:val="00D902B3"/>
    <w:rsid w:val="00D92B88"/>
    <w:rsid w:val="00DA0D04"/>
    <w:rsid w:val="00DA2C03"/>
    <w:rsid w:val="00DB1617"/>
    <w:rsid w:val="00DB24C5"/>
    <w:rsid w:val="00DB5746"/>
    <w:rsid w:val="00DB794F"/>
    <w:rsid w:val="00DC3F82"/>
    <w:rsid w:val="00DC4819"/>
    <w:rsid w:val="00DC6143"/>
    <w:rsid w:val="00DC7664"/>
    <w:rsid w:val="00DD0C67"/>
    <w:rsid w:val="00DD27C0"/>
    <w:rsid w:val="00DD36E6"/>
    <w:rsid w:val="00DD4676"/>
    <w:rsid w:val="00DD4736"/>
    <w:rsid w:val="00DD56F3"/>
    <w:rsid w:val="00DD5B08"/>
    <w:rsid w:val="00DD60C1"/>
    <w:rsid w:val="00DD79E2"/>
    <w:rsid w:val="00DE1ED9"/>
    <w:rsid w:val="00DE399F"/>
    <w:rsid w:val="00DE56FC"/>
    <w:rsid w:val="00DF0125"/>
    <w:rsid w:val="00DF67F9"/>
    <w:rsid w:val="00E062C1"/>
    <w:rsid w:val="00E07066"/>
    <w:rsid w:val="00E0764A"/>
    <w:rsid w:val="00E132D2"/>
    <w:rsid w:val="00E20971"/>
    <w:rsid w:val="00E261A0"/>
    <w:rsid w:val="00E30A56"/>
    <w:rsid w:val="00E376A1"/>
    <w:rsid w:val="00E37A7A"/>
    <w:rsid w:val="00E41678"/>
    <w:rsid w:val="00E42CDA"/>
    <w:rsid w:val="00E45EEE"/>
    <w:rsid w:val="00E473EB"/>
    <w:rsid w:val="00E5384F"/>
    <w:rsid w:val="00E54EF3"/>
    <w:rsid w:val="00E55A0D"/>
    <w:rsid w:val="00E575FB"/>
    <w:rsid w:val="00E64555"/>
    <w:rsid w:val="00E75B09"/>
    <w:rsid w:val="00E76B0E"/>
    <w:rsid w:val="00E7763C"/>
    <w:rsid w:val="00E77B44"/>
    <w:rsid w:val="00E81053"/>
    <w:rsid w:val="00E8155D"/>
    <w:rsid w:val="00E81AEF"/>
    <w:rsid w:val="00E8434C"/>
    <w:rsid w:val="00E84B93"/>
    <w:rsid w:val="00E918D9"/>
    <w:rsid w:val="00E924C6"/>
    <w:rsid w:val="00E95A58"/>
    <w:rsid w:val="00EA0EF3"/>
    <w:rsid w:val="00EA2658"/>
    <w:rsid w:val="00EA3608"/>
    <w:rsid w:val="00EA4BA8"/>
    <w:rsid w:val="00EA5530"/>
    <w:rsid w:val="00EA6FEC"/>
    <w:rsid w:val="00EA7458"/>
    <w:rsid w:val="00EB0ADE"/>
    <w:rsid w:val="00EB14DC"/>
    <w:rsid w:val="00EB1D2E"/>
    <w:rsid w:val="00EB2838"/>
    <w:rsid w:val="00EB2B5E"/>
    <w:rsid w:val="00EB4C0C"/>
    <w:rsid w:val="00EC21AF"/>
    <w:rsid w:val="00EC5A98"/>
    <w:rsid w:val="00EC76FC"/>
    <w:rsid w:val="00ED0CAF"/>
    <w:rsid w:val="00ED3CB3"/>
    <w:rsid w:val="00EE1091"/>
    <w:rsid w:val="00EE1650"/>
    <w:rsid w:val="00EE16F3"/>
    <w:rsid w:val="00EE2E4B"/>
    <w:rsid w:val="00EE3BF7"/>
    <w:rsid w:val="00EE3C96"/>
    <w:rsid w:val="00EE4B15"/>
    <w:rsid w:val="00EF0406"/>
    <w:rsid w:val="00EF0613"/>
    <w:rsid w:val="00EF14FD"/>
    <w:rsid w:val="00EF291F"/>
    <w:rsid w:val="00EF39EC"/>
    <w:rsid w:val="00EF5520"/>
    <w:rsid w:val="00EF7C06"/>
    <w:rsid w:val="00F01181"/>
    <w:rsid w:val="00F01216"/>
    <w:rsid w:val="00F01F54"/>
    <w:rsid w:val="00F04881"/>
    <w:rsid w:val="00F05C4E"/>
    <w:rsid w:val="00F07BD8"/>
    <w:rsid w:val="00F111A7"/>
    <w:rsid w:val="00F2383A"/>
    <w:rsid w:val="00F249FB"/>
    <w:rsid w:val="00F32267"/>
    <w:rsid w:val="00F33272"/>
    <w:rsid w:val="00F33FFB"/>
    <w:rsid w:val="00F34955"/>
    <w:rsid w:val="00F36282"/>
    <w:rsid w:val="00F40FFA"/>
    <w:rsid w:val="00F41444"/>
    <w:rsid w:val="00F4672E"/>
    <w:rsid w:val="00F5397D"/>
    <w:rsid w:val="00F56A95"/>
    <w:rsid w:val="00F57E61"/>
    <w:rsid w:val="00F60072"/>
    <w:rsid w:val="00F60FF5"/>
    <w:rsid w:val="00F61DB4"/>
    <w:rsid w:val="00F622E1"/>
    <w:rsid w:val="00F647D4"/>
    <w:rsid w:val="00F70231"/>
    <w:rsid w:val="00F7149C"/>
    <w:rsid w:val="00F71FF3"/>
    <w:rsid w:val="00F752BB"/>
    <w:rsid w:val="00F75AD8"/>
    <w:rsid w:val="00F8280B"/>
    <w:rsid w:val="00F8414A"/>
    <w:rsid w:val="00F900D9"/>
    <w:rsid w:val="00F90796"/>
    <w:rsid w:val="00F908C6"/>
    <w:rsid w:val="00F95487"/>
    <w:rsid w:val="00FA113B"/>
    <w:rsid w:val="00FA3156"/>
    <w:rsid w:val="00FB079A"/>
    <w:rsid w:val="00FB0BE7"/>
    <w:rsid w:val="00FB0E2F"/>
    <w:rsid w:val="00FB70C2"/>
    <w:rsid w:val="00FC08EB"/>
    <w:rsid w:val="00FC126E"/>
    <w:rsid w:val="00FC2597"/>
    <w:rsid w:val="00FC4CA2"/>
    <w:rsid w:val="00FC63DB"/>
    <w:rsid w:val="00FC6F86"/>
    <w:rsid w:val="00FD1D07"/>
    <w:rsid w:val="00FD48EA"/>
    <w:rsid w:val="00FE1677"/>
    <w:rsid w:val="00FE1BDD"/>
    <w:rsid w:val="00FE43D4"/>
    <w:rsid w:val="00FE572D"/>
    <w:rsid w:val="00FE72EF"/>
    <w:rsid w:val="00FF74A3"/>
    <w:rsid w:val="00FF789D"/>
    <w:rsid w:val="013A276F"/>
    <w:rsid w:val="015A2E94"/>
    <w:rsid w:val="01682194"/>
    <w:rsid w:val="01A366F9"/>
    <w:rsid w:val="01C20082"/>
    <w:rsid w:val="01C8506F"/>
    <w:rsid w:val="02787105"/>
    <w:rsid w:val="02A02072"/>
    <w:rsid w:val="03284F45"/>
    <w:rsid w:val="033970B5"/>
    <w:rsid w:val="03522A52"/>
    <w:rsid w:val="0352481E"/>
    <w:rsid w:val="03A919AC"/>
    <w:rsid w:val="03EE0235"/>
    <w:rsid w:val="04016988"/>
    <w:rsid w:val="040A6F48"/>
    <w:rsid w:val="0418574E"/>
    <w:rsid w:val="042807CA"/>
    <w:rsid w:val="0455104F"/>
    <w:rsid w:val="04B8416B"/>
    <w:rsid w:val="04BC194A"/>
    <w:rsid w:val="04D5721E"/>
    <w:rsid w:val="05082E32"/>
    <w:rsid w:val="057144F7"/>
    <w:rsid w:val="05A1150E"/>
    <w:rsid w:val="05D979D9"/>
    <w:rsid w:val="061333BB"/>
    <w:rsid w:val="063F36CE"/>
    <w:rsid w:val="06452955"/>
    <w:rsid w:val="065B65DF"/>
    <w:rsid w:val="066F453D"/>
    <w:rsid w:val="069F3BC7"/>
    <w:rsid w:val="06B4406D"/>
    <w:rsid w:val="06B736B1"/>
    <w:rsid w:val="076E7FEB"/>
    <w:rsid w:val="07AD2788"/>
    <w:rsid w:val="07AE47CA"/>
    <w:rsid w:val="08096B51"/>
    <w:rsid w:val="080E78C6"/>
    <w:rsid w:val="08166F62"/>
    <w:rsid w:val="08194546"/>
    <w:rsid w:val="08194F42"/>
    <w:rsid w:val="081C718A"/>
    <w:rsid w:val="08F65A22"/>
    <w:rsid w:val="092E43BD"/>
    <w:rsid w:val="097F6995"/>
    <w:rsid w:val="09AD020B"/>
    <w:rsid w:val="09E63A87"/>
    <w:rsid w:val="0A1578B6"/>
    <w:rsid w:val="0A4D61B7"/>
    <w:rsid w:val="0AFC1F58"/>
    <w:rsid w:val="0B41074C"/>
    <w:rsid w:val="0B8102BD"/>
    <w:rsid w:val="0BB27C5D"/>
    <w:rsid w:val="0BD75BB1"/>
    <w:rsid w:val="0BE370A5"/>
    <w:rsid w:val="0BF54ADB"/>
    <w:rsid w:val="0C1722B8"/>
    <w:rsid w:val="0C4608BB"/>
    <w:rsid w:val="0C6D7E80"/>
    <w:rsid w:val="0C844F1A"/>
    <w:rsid w:val="0C983388"/>
    <w:rsid w:val="0CD50725"/>
    <w:rsid w:val="0CF71E31"/>
    <w:rsid w:val="0D474009"/>
    <w:rsid w:val="0D4854B1"/>
    <w:rsid w:val="0D7F1859"/>
    <w:rsid w:val="0D85539E"/>
    <w:rsid w:val="0DFF16D6"/>
    <w:rsid w:val="0E196227"/>
    <w:rsid w:val="0E2C762F"/>
    <w:rsid w:val="0E364DA9"/>
    <w:rsid w:val="0EAF6EB5"/>
    <w:rsid w:val="0EF3083B"/>
    <w:rsid w:val="0F5839C3"/>
    <w:rsid w:val="0F5E1978"/>
    <w:rsid w:val="0F6921AE"/>
    <w:rsid w:val="0FA85DEF"/>
    <w:rsid w:val="1001560B"/>
    <w:rsid w:val="105A7BD4"/>
    <w:rsid w:val="10B11CBA"/>
    <w:rsid w:val="10E67B95"/>
    <w:rsid w:val="10F222EF"/>
    <w:rsid w:val="110741F0"/>
    <w:rsid w:val="11884695"/>
    <w:rsid w:val="11AF42AF"/>
    <w:rsid w:val="120641D4"/>
    <w:rsid w:val="12566295"/>
    <w:rsid w:val="126F0626"/>
    <w:rsid w:val="129755EA"/>
    <w:rsid w:val="12AC41C0"/>
    <w:rsid w:val="12E270FE"/>
    <w:rsid w:val="12F0338A"/>
    <w:rsid w:val="130F29C8"/>
    <w:rsid w:val="132D0084"/>
    <w:rsid w:val="13AD02B5"/>
    <w:rsid w:val="13AF0AC9"/>
    <w:rsid w:val="13B74AF8"/>
    <w:rsid w:val="13B92C22"/>
    <w:rsid w:val="13C33EB3"/>
    <w:rsid w:val="14123586"/>
    <w:rsid w:val="14353923"/>
    <w:rsid w:val="144A40A7"/>
    <w:rsid w:val="145D452C"/>
    <w:rsid w:val="14601530"/>
    <w:rsid w:val="1461387C"/>
    <w:rsid w:val="147B5ED9"/>
    <w:rsid w:val="148A7608"/>
    <w:rsid w:val="149161AA"/>
    <w:rsid w:val="14C723F7"/>
    <w:rsid w:val="14E749BF"/>
    <w:rsid w:val="150C3CD2"/>
    <w:rsid w:val="1513177C"/>
    <w:rsid w:val="1519561B"/>
    <w:rsid w:val="1522551F"/>
    <w:rsid w:val="15B5084A"/>
    <w:rsid w:val="15C643B4"/>
    <w:rsid w:val="15D303AB"/>
    <w:rsid w:val="162768EA"/>
    <w:rsid w:val="164201CC"/>
    <w:rsid w:val="165F4291"/>
    <w:rsid w:val="1698295F"/>
    <w:rsid w:val="16CD643F"/>
    <w:rsid w:val="16CE6907"/>
    <w:rsid w:val="17420587"/>
    <w:rsid w:val="17606F95"/>
    <w:rsid w:val="17D57CA0"/>
    <w:rsid w:val="18391CBC"/>
    <w:rsid w:val="184754F5"/>
    <w:rsid w:val="18550E2B"/>
    <w:rsid w:val="190324CC"/>
    <w:rsid w:val="194006DD"/>
    <w:rsid w:val="197773DA"/>
    <w:rsid w:val="19EA47DD"/>
    <w:rsid w:val="1A002FC4"/>
    <w:rsid w:val="1A2B0B2A"/>
    <w:rsid w:val="1AC34EF0"/>
    <w:rsid w:val="1AED51C1"/>
    <w:rsid w:val="1B08003A"/>
    <w:rsid w:val="1B155796"/>
    <w:rsid w:val="1B917A82"/>
    <w:rsid w:val="1B9B720F"/>
    <w:rsid w:val="1C102054"/>
    <w:rsid w:val="1C7E59A2"/>
    <w:rsid w:val="1D455B81"/>
    <w:rsid w:val="1DBD7E84"/>
    <w:rsid w:val="1DED5FE8"/>
    <w:rsid w:val="1DF70D1C"/>
    <w:rsid w:val="1E7C684D"/>
    <w:rsid w:val="1E8B55D3"/>
    <w:rsid w:val="1E9F6780"/>
    <w:rsid w:val="1EB4726D"/>
    <w:rsid w:val="1ECE3EF1"/>
    <w:rsid w:val="1EDF1787"/>
    <w:rsid w:val="1EF03DF2"/>
    <w:rsid w:val="1F5D2F55"/>
    <w:rsid w:val="1F7E2917"/>
    <w:rsid w:val="1F822D0A"/>
    <w:rsid w:val="1F9263DC"/>
    <w:rsid w:val="1FF91997"/>
    <w:rsid w:val="202D3BB0"/>
    <w:rsid w:val="204929E9"/>
    <w:rsid w:val="20561458"/>
    <w:rsid w:val="20711EDF"/>
    <w:rsid w:val="20C02118"/>
    <w:rsid w:val="213A1B6C"/>
    <w:rsid w:val="21617612"/>
    <w:rsid w:val="21AF0071"/>
    <w:rsid w:val="21AF3DE9"/>
    <w:rsid w:val="21B85C8C"/>
    <w:rsid w:val="21D046C9"/>
    <w:rsid w:val="21D17628"/>
    <w:rsid w:val="225B2F2B"/>
    <w:rsid w:val="22777ED3"/>
    <w:rsid w:val="22A14BA6"/>
    <w:rsid w:val="22F12014"/>
    <w:rsid w:val="23106400"/>
    <w:rsid w:val="231510AE"/>
    <w:rsid w:val="233E3859"/>
    <w:rsid w:val="23AF56ED"/>
    <w:rsid w:val="23D11D68"/>
    <w:rsid w:val="23FB2553"/>
    <w:rsid w:val="24272C85"/>
    <w:rsid w:val="242E6C90"/>
    <w:rsid w:val="2439758E"/>
    <w:rsid w:val="245513A8"/>
    <w:rsid w:val="24A0711D"/>
    <w:rsid w:val="24D0280B"/>
    <w:rsid w:val="25164F23"/>
    <w:rsid w:val="25655CD2"/>
    <w:rsid w:val="25A013F2"/>
    <w:rsid w:val="25D311E6"/>
    <w:rsid w:val="25FB01EE"/>
    <w:rsid w:val="260158E6"/>
    <w:rsid w:val="26A55796"/>
    <w:rsid w:val="27967D07"/>
    <w:rsid w:val="27987618"/>
    <w:rsid w:val="27A90D00"/>
    <w:rsid w:val="27C20968"/>
    <w:rsid w:val="280D5C8F"/>
    <w:rsid w:val="2810311A"/>
    <w:rsid w:val="281830BD"/>
    <w:rsid w:val="28743912"/>
    <w:rsid w:val="28B02AE0"/>
    <w:rsid w:val="28DD2137"/>
    <w:rsid w:val="28E55EDE"/>
    <w:rsid w:val="28FB32DD"/>
    <w:rsid w:val="290A4AE9"/>
    <w:rsid w:val="29392EB8"/>
    <w:rsid w:val="29A0036B"/>
    <w:rsid w:val="29D22722"/>
    <w:rsid w:val="29F261DC"/>
    <w:rsid w:val="29FD23D3"/>
    <w:rsid w:val="2A6C5597"/>
    <w:rsid w:val="2A8301DD"/>
    <w:rsid w:val="2AD92746"/>
    <w:rsid w:val="2AFE0B4A"/>
    <w:rsid w:val="2B013844"/>
    <w:rsid w:val="2B537A79"/>
    <w:rsid w:val="2B710369"/>
    <w:rsid w:val="2B880398"/>
    <w:rsid w:val="2BD17DE7"/>
    <w:rsid w:val="2BF6473B"/>
    <w:rsid w:val="2C1B43F3"/>
    <w:rsid w:val="2C456034"/>
    <w:rsid w:val="2D1D0251"/>
    <w:rsid w:val="2D3467D1"/>
    <w:rsid w:val="2D722940"/>
    <w:rsid w:val="2D8450B6"/>
    <w:rsid w:val="2DA576EF"/>
    <w:rsid w:val="2DD14F17"/>
    <w:rsid w:val="2DE9057C"/>
    <w:rsid w:val="2DFF760E"/>
    <w:rsid w:val="2E1061AA"/>
    <w:rsid w:val="2E182FD9"/>
    <w:rsid w:val="2E241712"/>
    <w:rsid w:val="2E355C3A"/>
    <w:rsid w:val="2E7A3CE3"/>
    <w:rsid w:val="2E912E62"/>
    <w:rsid w:val="2EA41AE1"/>
    <w:rsid w:val="2F0D551E"/>
    <w:rsid w:val="2F110571"/>
    <w:rsid w:val="2F2D5A63"/>
    <w:rsid w:val="2F457E26"/>
    <w:rsid w:val="2F8D52B8"/>
    <w:rsid w:val="2F91324F"/>
    <w:rsid w:val="2FD907A1"/>
    <w:rsid w:val="2FFF2D66"/>
    <w:rsid w:val="30285DE8"/>
    <w:rsid w:val="304D68CC"/>
    <w:rsid w:val="307E42D2"/>
    <w:rsid w:val="30A33BB6"/>
    <w:rsid w:val="30B166EC"/>
    <w:rsid w:val="30BC1DF6"/>
    <w:rsid w:val="30BD3D78"/>
    <w:rsid w:val="31F55EE6"/>
    <w:rsid w:val="32003678"/>
    <w:rsid w:val="324A6BC2"/>
    <w:rsid w:val="329A7D95"/>
    <w:rsid w:val="32AF623B"/>
    <w:rsid w:val="32DA3867"/>
    <w:rsid w:val="33486D6B"/>
    <w:rsid w:val="33590CA3"/>
    <w:rsid w:val="339559DF"/>
    <w:rsid w:val="339F6850"/>
    <w:rsid w:val="33A3273E"/>
    <w:rsid w:val="33EE3895"/>
    <w:rsid w:val="33FC4963"/>
    <w:rsid w:val="342116D3"/>
    <w:rsid w:val="343B6F82"/>
    <w:rsid w:val="34483CF7"/>
    <w:rsid w:val="345726EA"/>
    <w:rsid w:val="34612541"/>
    <w:rsid w:val="34745702"/>
    <w:rsid w:val="34957FCA"/>
    <w:rsid w:val="34BD1167"/>
    <w:rsid w:val="34BD7AA7"/>
    <w:rsid w:val="34D50BBE"/>
    <w:rsid w:val="34ED7FEE"/>
    <w:rsid w:val="35407940"/>
    <w:rsid w:val="35EA0973"/>
    <w:rsid w:val="36076755"/>
    <w:rsid w:val="36A0237E"/>
    <w:rsid w:val="36A91B37"/>
    <w:rsid w:val="36F005BD"/>
    <w:rsid w:val="3711452C"/>
    <w:rsid w:val="372826AF"/>
    <w:rsid w:val="372B16F2"/>
    <w:rsid w:val="373B4513"/>
    <w:rsid w:val="37752549"/>
    <w:rsid w:val="37AA2F63"/>
    <w:rsid w:val="37EE67BD"/>
    <w:rsid w:val="3839752A"/>
    <w:rsid w:val="389A7F7E"/>
    <w:rsid w:val="38AC5715"/>
    <w:rsid w:val="39156105"/>
    <w:rsid w:val="391B573F"/>
    <w:rsid w:val="39227107"/>
    <w:rsid w:val="395146AE"/>
    <w:rsid w:val="39C90317"/>
    <w:rsid w:val="3A464628"/>
    <w:rsid w:val="3A994C57"/>
    <w:rsid w:val="3B1271C3"/>
    <w:rsid w:val="3B1E70A3"/>
    <w:rsid w:val="3B326520"/>
    <w:rsid w:val="3BA834B8"/>
    <w:rsid w:val="3BAC2409"/>
    <w:rsid w:val="3BF434EE"/>
    <w:rsid w:val="3BF67942"/>
    <w:rsid w:val="3C0B7893"/>
    <w:rsid w:val="3C257D20"/>
    <w:rsid w:val="3C516F9B"/>
    <w:rsid w:val="3C837580"/>
    <w:rsid w:val="3C8A27A6"/>
    <w:rsid w:val="3D2B42BB"/>
    <w:rsid w:val="3D4777D7"/>
    <w:rsid w:val="3D5F2FC9"/>
    <w:rsid w:val="3DEF62A7"/>
    <w:rsid w:val="3DF63D2E"/>
    <w:rsid w:val="3E0C26FF"/>
    <w:rsid w:val="3E431121"/>
    <w:rsid w:val="3E677DD1"/>
    <w:rsid w:val="3E9F1135"/>
    <w:rsid w:val="3EC07A45"/>
    <w:rsid w:val="3ED85954"/>
    <w:rsid w:val="3F087770"/>
    <w:rsid w:val="3F20768D"/>
    <w:rsid w:val="3F4F6EA2"/>
    <w:rsid w:val="3F501089"/>
    <w:rsid w:val="3F8E7303"/>
    <w:rsid w:val="3FE24B10"/>
    <w:rsid w:val="403D5CCD"/>
    <w:rsid w:val="40B810B3"/>
    <w:rsid w:val="41073F05"/>
    <w:rsid w:val="410B74CD"/>
    <w:rsid w:val="4117577A"/>
    <w:rsid w:val="41512075"/>
    <w:rsid w:val="418D24C1"/>
    <w:rsid w:val="41A05B22"/>
    <w:rsid w:val="41AE53D5"/>
    <w:rsid w:val="41C3484A"/>
    <w:rsid w:val="41CA3F5C"/>
    <w:rsid w:val="421D1BE7"/>
    <w:rsid w:val="425025B1"/>
    <w:rsid w:val="42B106FE"/>
    <w:rsid w:val="42FB6DBC"/>
    <w:rsid w:val="430621F1"/>
    <w:rsid w:val="43082B73"/>
    <w:rsid w:val="433A1387"/>
    <w:rsid w:val="436235D6"/>
    <w:rsid w:val="43830C34"/>
    <w:rsid w:val="43993D2C"/>
    <w:rsid w:val="43E25B52"/>
    <w:rsid w:val="444D077C"/>
    <w:rsid w:val="44666D88"/>
    <w:rsid w:val="44B45DA4"/>
    <w:rsid w:val="44E4228A"/>
    <w:rsid w:val="452113D0"/>
    <w:rsid w:val="45370551"/>
    <w:rsid w:val="457871DE"/>
    <w:rsid w:val="459F27BA"/>
    <w:rsid w:val="45EF21BE"/>
    <w:rsid w:val="46011B2C"/>
    <w:rsid w:val="46066C29"/>
    <w:rsid w:val="467E1C10"/>
    <w:rsid w:val="4684596F"/>
    <w:rsid w:val="46984B37"/>
    <w:rsid w:val="46A60CDF"/>
    <w:rsid w:val="46AE7E18"/>
    <w:rsid w:val="46B9138D"/>
    <w:rsid w:val="47310EE2"/>
    <w:rsid w:val="47AD4F96"/>
    <w:rsid w:val="47E03A34"/>
    <w:rsid w:val="485665CF"/>
    <w:rsid w:val="48587EE0"/>
    <w:rsid w:val="48AA1534"/>
    <w:rsid w:val="48AA58B1"/>
    <w:rsid w:val="48CE0849"/>
    <w:rsid w:val="48D34DBB"/>
    <w:rsid w:val="48D75764"/>
    <w:rsid w:val="48EA3CFE"/>
    <w:rsid w:val="494E6373"/>
    <w:rsid w:val="49B60F05"/>
    <w:rsid w:val="49C31590"/>
    <w:rsid w:val="4A441C32"/>
    <w:rsid w:val="4A8A339F"/>
    <w:rsid w:val="4B0D0004"/>
    <w:rsid w:val="4B2367F6"/>
    <w:rsid w:val="4B301CD8"/>
    <w:rsid w:val="4B4B7EA4"/>
    <w:rsid w:val="4B5D3BF3"/>
    <w:rsid w:val="4BC90B72"/>
    <w:rsid w:val="4BF74006"/>
    <w:rsid w:val="4BF87F0A"/>
    <w:rsid w:val="4C344441"/>
    <w:rsid w:val="4C47241E"/>
    <w:rsid w:val="4C9861C1"/>
    <w:rsid w:val="4D0D0085"/>
    <w:rsid w:val="4D834B95"/>
    <w:rsid w:val="4DB766CD"/>
    <w:rsid w:val="4DC401FA"/>
    <w:rsid w:val="4DD758E8"/>
    <w:rsid w:val="4E147967"/>
    <w:rsid w:val="4E5B4D52"/>
    <w:rsid w:val="4E606980"/>
    <w:rsid w:val="4E9E560E"/>
    <w:rsid w:val="4EB70559"/>
    <w:rsid w:val="4F0F41C7"/>
    <w:rsid w:val="4F19535F"/>
    <w:rsid w:val="4FAD4825"/>
    <w:rsid w:val="4FB3644D"/>
    <w:rsid w:val="4FC558C7"/>
    <w:rsid w:val="4FDE2B23"/>
    <w:rsid w:val="501F7E73"/>
    <w:rsid w:val="5038458A"/>
    <w:rsid w:val="50562C0C"/>
    <w:rsid w:val="50E21517"/>
    <w:rsid w:val="5127308C"/>
    <w:rsid w:val="512838E9"/>
    <w:rsid w:val="512B4EFC"/>
    <w:rsid w:val="51A57E7A"/>
    <w:rsid w:val="51BB4440"/>
    <w:rsid w:val="51E8796A"/>
    <w:rsid w:val="525B75DC"/>
    <w:rsid w:val="52C31346"/>
    <w:rsid w:val="53196C34"/>
    <w:rsid w:val="53525870"/>
    <w:rsid w:val="53782D85"/>
    <w:rsid w:val="539E424F"/>
    <w:rsid w:val="53BB07FE"/>
    <w:rsid w:val="541D33A8"/>
    <w:rsid w:val="54655EBF"/>
    <w:rsid w:val="54705366"/>
    <w:rsid w:val="54970F9B"/>
    <w:rsid w:val="54D3286B"/>
    <w:rsid w:val="5501606B"/>
    <w:rsid w:val="552D3719"/>
    <w:rsid w:val="55580476"/>
    <w:rsid w:val="55B90516"/>
    <w:rsid w:val="55C70141"/>
    <w:rsid w:val="55E849AD"/>
    <w:rsid w:val="5601175C"/>
    <w:rsid w:val="565C0E8C"/>
    <w:rsid w:val="568953F4"/>
    <w:rsid w:val="56B93D32"/>
    <w:rsid w:val="571C032F"/>
    <w:rsid w:val="57243ED3"/>
    <w:rsid w:val="572952D2"/>
    <w:rsid w:val="5731397C"/>
    <w:rsid w:val="574053E5"/>
    <w:rsid w:val="574D4715"/>
    <w:rsid w:val="574D7905"/>
    <w:rsid w:val="57590D98"/>
    <w:rsid w:val="57AE3B61"/>
    <w:rsid w:val="58393E8C"/>
    <w:rsid w:val="585036FE"/>
    <w:rsid w:val="5852128B"/>
    <w:rsid w:val="586F280C"/>
    <w:rsid w:val="58B10EFE"/>
    <w:rsid w:val="58B4025B"/>
    <w:rsid w:val="58C8094D"/>
    <w:rsid w:val="58D066C4"/>
    <w:rsid w:val="58FA5283"/>
    <w:rsid w:val="591205A8"/>
    <w:rsid w:val="593A438C"/>
    <w:rsid w:val="59534C82"/>
    <w:rsid w:val="59A9750B"/>
    <w:rsid w:val="59D74A10"/>
    <w:rsid w:val="59DE26E2"/>
    <w:rsid w:val="59FB7EED"/>
    <w:rsid w:val="5A3F79CD"/>
    <w:rsid w:val="5A83613A"/>
    <w:rsid w:val="5A98664A"/>
    <w:rsid w:val="5AFB2F7B"/>
    <w:rsid w:val="5B643CBA"/>
    <w:rsid w:val="5B794803"/>
    <w:rsid w:val="5BB7388F"/>
    <w:rsid w:val="5BBE7874"/>
    <w:rsid w:val="5BD97833"/>
    <w:rsid w:val="5BDC2ED4"/>
    <w:rsid w:val="5BE13073"/>
    <w:rsid w:val="5BF176B5"/>
    <w:rsid w:val="5C1559EC"/>
    <w:rsid w:val="5CDB7C02"/>
    <w:rsid w:val="5D132E7E"/>
    <w:rsid w:val="5D43311F"/>
    <w:rsid w:val="5D5B4881"/>
    <w:rsid w:val="5D826742"/>
    <w:rsid w:val="5DD1316A"/>
    <w:rsid w:val="5DE16F60"/>
    <w:rsid w:val="5DEC1755"/>
    <w:rsid w:val="5DF2230B"/>
    <w:rsid w:val="5E320601"/>
    <w:rsid w:val="5E622E0F"/>
    <w:rsid w:val="5E686D9C"/>
    <w:rsid w:val="5E9122FE"/>
    <w:rsid w:val="5E9A6BAB"/>
    <w:rsid w:val="5ECF5EC1"/>
    <w:rsid w:val="5ED775F2"/>
    <w:rsid w:val="5F40131F"/>
    <w:rsid w:val="5F622F1F"/>
    <w:rsid w:val="5FAB75B4"/>
    <w:rsid w:val="5FB22BDD"/>
    <w:rsid w:val="5FBB0BAF"/>
    <w:rsid w:val="5FBE286C"/>
    <w:rsid w:val="602F13D6"/>
    <w:rsid w:val="612000D7"/>
    <w:rsid w:val="612376E0"/>
    <w:rsid w:val="61596EEA"/>
    <w:rsid w:val="618D7079"/>
    <w:rsid w:val="6195463C"/>
    <w:rsid w:val="61A936F4"/>
    <w:rsid w:val="61E97984"/>
    <w:rsid w:val="62446738"/>
    <w:rsid w:val="627B2FCC"/>
    <w:rsid w:val="62937790"/>
    <w:rsid w:val="62C21032"/>
    <w:rsid w:val="62EA473F"/>
    <w:rsid w:val="62F6311B"/>
    <w:rsid w:val="63062691"/>
    <w:rsid w:val="632B4B13"/>
    <w:rsid w:val="632F5F03"/>
    <w:rsid w:val="636A3659"/>
    <w:rsid w:val="63DA4F24"/>
    <w:rsid w:val="63ED43D7"/>
    <w:rsid w:val="63FB4584"/>
    <w:rsid w:val="640835ED"/>
    <w:rsid w:val="641308D4"/>
    <w:rsid w:val="643E1D0A"/>
    <w:rsid w:val="64D87438"/>
    <w:rsid w:val="64EF1BBA"/>
    <w:rsid w:val="654B61A0"/>
    <w:rsid w:val="655178B9"/>
    <w:rsid w:val="655D3EEC"/>
    <w:rsid w:val="655F569C"/>
    <w:rsid w:val="656E53EB"/>
    <w:rsid w:val="65985451"/>
    <w:rsid w:val="65A20A69"/>
    <w:rsid w:val="65D46672"/>
    <w:rsid w:val="65FB4BDC"/>
    <w:rsid w:val="664B5066"/>
    <w:rsid w:val="664C6DCB"/>
    <w:rsid w:val="66543083"/>
    <w:rsid w:val="66765898"/>
    <w:rsid w:val="66802854"/>
    <w:rsid w:val="67081CF4"/>
    <w:rsid w:val="67163B43"/>
    <w:rsid w:val="67211BF1"/>
    <w:rsid w:val="678371C8"/>
    <w:rsid w:val="68172FFF"/>
    <w:rsid w:val="681F543D"/>
    <w:rsid w:val="6828049B"/>
    <w:rsid w:val="683D1100"/>
    <w:rsid w:val="68623311"/>
    <w:rsid w:val="688E16AA"/>
    <w:rsid w:val="689A3451"/>
    <w:rsid w:val="68E6785F"/>
    <w:rsid w:val="68F52AA4"/>
    <w:rsid w:val="690002FC"/>
    <w:rsid w:val="691B293F"/>
    <w:rsid w:val="6934288B"/>
    <w:rsid w:val="698B6887"/>
    <w:rsid w:val="6A3709FB"/>
    <w:rsid w:val="6A6D6639"/>
    <w:rsid w:val="6A9C3876"/>
    <w:rsid w:val="6AA51426"/>
    <w:rsid w:val="6B245EB8"/>
    <w:rsid w:val="6B302E23"/>
    <w:rsid w:val="6B5A5AB9"/>
    <w:rsid w:val="6B9163FD"/>
    <w:rsid w:val="6BAA3C11"/>
    <w:rsid w:val="6BD35ADF"/>
    <w:rsid w:val="6C1826EB"/>
    <w:rsid w:val="6C361BCE"/>
    <w:rsid w:val="6C394C46"/>
    <w:rsid w:val="6CA84178"/>
    <w:rsid w:val="6CD649A3"/>
    <w:rsid w:val="6D02684A"/>
    <w:rsid w:val="6D57461D"/>
    <w:rsid w:val="6D964AFD"/>
    <w:rsid w:val="6D9719B7"/>
    <w:rsid w:val="6DD326D7"/>
    <w:rsid w:val="6DDB7087"/>
    <w:rsid w:val="6DE137F3"/>
    <w:rsid w:val="6E1C4428"/>
    <w:rsid w:val="6E44482B"/>
    <w:rsid w:val="6E46454F"/>
    <w:rsid w:val="6E571EE3"/>
    <w:rsid w:val="6E9A46E2"/>
    <w:rsid w:val="6EA6242B"/>
    <w:rsid w:val="6EC17CD9"/>
    <w:rsid w:val="6F5F74B0"/>
    <w:rsid w:val="6F6F6DB2"/>
    <w:rsid w:val="6F7F77A0"/>
    <w:rsid w:val="6FC64282"/>
    <w:rsid w:val="700A504D"/>
    <w:rsid w:val="700D39DB"/>
    <w:rsid w:val="702E53A4"/>
    <w:rsid w:val="702F26B9"/>
    <w:rsid w:val="70434192"/>
    <w:rsid w:val="70624D83"/>
    <w:rsid w:val="70870D5D"/>
    <w:rsid w:val="708E09D3"/>
    <w:rsid w:val="70E46CAF"/>
    <w:rsid w:val="70EE5668"/>
    <w:rsid w:val="70F8011E"/>
    <w:rsid w:val="70FD3F17"/>
    <w:rsid w:val="71362AF3"/>
    <w:rsid w:val="713A1ABA"/>
    <w:rsid w:val="71464086"/>
    <w:rsid w:val="714A1AD3"/>
    <w:rsid w:val="71583A78"/>
    <w:rsid w:val="71E464A9"/>
    <w:rsid w:val="72464357"/>
    <w:rsid w:val="730552D9"/>
    <w:rsid w:val="73544EF1"/>
    <w:rsid w:val="73592778"/>
    <w:rsid w:val="737B6EAA"/>
    <w:rsid w:val="738F5824"/>
    <w:rsid w:val="73B45916"/>
    <w:rsid w:val="73CE3877"/>
    <w:rsid w:val="742E2127"/>
    <w:rsid w:val="74751741"/>
    <w:rsid w:val="74BF39FC"/>
    <w:rsid w:val="74D7219A"/>
    <w:rsid w:val="74ED3993"/>
    <w:rsid w:val="75077E5B"/>
    <w:rsid w:val="7536100A"/>
    <w:rsid w:val="754627BF"/>
    <w:rsid w:val="75591684"/>
    <w:rsid w:val="759821E3"/>
    <w:rsid w:val="75A015A1"/>
    <w:rsid w:val="75CD3CD2"/>
    <w:rsid w:val="75D609C7"/>
    <w:rsid w:val="75E94DDD"/>
    <w:rsid w:val="75F51E92"/>
    <w:rsid w:val="75F5602B"/>
    <w:rsid w:val="76810694"/>
    <w:rsid w:val="76C506AE"/>
    <w:rsid w:val="76E41B7C"/>
    <w:rsid w:val="771D4190"/>
    <w:rsid w:val="776070F5"/>
    <w:rsid w:val="77BF1936"/>
    <w:rsid w:val="77C337D7"/>
    <w:rsid w:val="77F97683"/>
    <w:rsid w:val="78135F25"/>
    <w:rsid w:val="78A74EB4"/>
    <w:rsid w:val="78DB0AA1"/>
    <w:rsid w:val="7986731A"/>
    <w:rsid w:val="7A0F6939"/>
    <w:rsid w:val="7A2F5DD2"/>
    <w:rsid w:val="7A4049D3"/>
    <w:rsid w:val="7A5E61F2"/>
    <w:rsid w:val="7A6870AA"/>
    <w:rsid w:val="7A6D084F"/>
    <w:rsid w:val="7AAC6D0A"/>
    <w:rsid w:val="7AD315F7"/>
    <w:rsid w:val="7AD540FC"/>
    <w:rsid w:val="7AE90E1E"/>
    <w:rsid w:val="7B1036C2"/>
    <w:rsid w:val="7B3804DA"/>
    <w:rsid w:val="7BA13CAF"/>
    <w:rsid w:val="7BF01343"/>
    <w:rsid w:val="7C3E3820"/>
    <w:rsid w:val="7C416849"/>
    <w:rsid w:val="7C5900C5"/>
    <w:rsid w:val="7CE865CD"/>
    <w:rsid w:val="7D1815E7"/>
    <w:rsid w:val="7D4E7847"/>
    <w:rsid w:val="7D5727C3"/>
    <w:rsid w:val="7D883473"/>
    <w:rsid w:val="7E30073C"/>
    <w:rsid w:val="7E5B2E41"/>
    <w:rsid w:val="7E915381"/>
    <w:rsid w:val="7EA20D39"/>
    <w:rsid w:val="7EE038C9"/>
    <w:rsid w:val="7EE50104"/>
    <w:rsid w:val="7F0243C7"/>
    <w:rsid w:val="7F2675D0"/>
    <w:rsid w:val="7F391C7C"/>
    <w:rsid w:val="7F4D40E6"/>
    <w:rsid w:val="7F5E1B9F"/>
    <w:rsid w:val="7F6714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ind w:firstLine="200" w:firstLineChars="200"/>
      <w:jc w:val="both"/>
    </w:pPr>
    <w:rPr>
      <w:rFonts w:ascii="Times New Roman" w:hAnsi="Times New Roman" w:eastAsia="楷体" w:cs="Times New Roman"/>
      <w:kern w:val="2"/>
      <w:sz w:val="28"/>
      <w:szCs w:val="24"/>
      <w:lang w:val="en-US" w:eastAsia="zh-CN" w:bidi="ar-SA"/>
    </w:rPr>
  </w:style>
  <w:style w:type="paragraph" w:styleId="2">
    <w:name w:val="heading 1"/>
    <w:basedOn w:val="1"/>
    <w:next w:val="1"/>
    <w:qFormat/>
    <w:uiPriority w:val="0"/>
    <w:pPr>
      <w:keepNext/>
      <w:spacing w:line="360" w:lineRule="auto"/>
      <w:jc w:val="center"/>
      <w:outlineLvl w:val="0"/>
    </w:pPr>
    <w:rPr>
      <w:rFonts w:hint="eastAsia" w:ascii="仿宋_GB2312" w:hAnsi="仿宋_GB2312"/>
      <w:b/>
      <w:bCs/>
      <w:sz w:val="36"/>
    </w:rPr>
  </w:style>
  <w:style w:type="paragraph" w:styleId="3">
    <w:name w:val="heading 2"/>
    <w:basedOn w:val="4"/>
    <w:next w:val="1"/>
    <w:link w:val="103"/>
    <w:qFormat/>
    <w:uiPriority w:val="0"/>
    <w:pPr>
      <w:keepNext/>
      <w:keepLines/>
      <w:spacing w:before="260" w:after="260" w:line="360" w:lineRule="auto"/>
      <w:jc w:val="left"/>
      <w:outlineLvl w:val="1"/>
    </w:pPr>
    <w:rPr>
      <w:rFonts w:ascii="Arial" w:hAnsi="Arial" w:eastAsia="楷体"/>
      <w:b w:val="0"/>
      <w:sz w:val="32"/>
      <w:szCs w:val="32"/>
    </w:rPr>
  </w:style>
  <w:style w:type="paragraph" w:styleId="4">
    <w:name w:val="heading 3"/>
    <w:basedOn w:val="5"/>
    <w:next w:val="1"/>
    <w:unhideWhenUsed/>
    <w:qFormat/>
    <w:uiPriority w:val="0"/>
    <w:pPr>
      <w:keepNext/>
      <w:keepLines/>
      <w:spacing w:before="260" w:beforeLines="0" w:beforeAutospacing="0" w:after="260" w:afterLines="0" w:afterAutospacing="0" w:line="360" w:lineRule="auto"/>
      <w:jc w:val="center"/>
      <w:outlineLvl w:val="2"/>
    </w:pPr>
    <w:rPr>
      <w:rFonts w:eastAsia="楷体_GB2312"/>
      <w:b/>
      <w:sz w:val="36"/>
    </w:rPr>
  </w:style>
  <w:style w:type="paragraph" w:styleId="5">
    <w:name w:val="heading 4"/>
    <w:basedOn w:val="1"/>
    <w:next w:val="1"/>
    <w:qFormat/>
    <w:uiPriority w:val="0"/>
    <w:pPr>
      <w:keepNext/>
      <w:keepLines/>
      <w:wordWrap w:val="0"/>
      <w:outlineLvl w:val="3"/>
    </w:pPr>
    <w:rPr>
      <w:rFonts w:eastAsia="楷体_GB2312"/>
      <w:bCs/>
      <w:szCs w:val="28"/>
    </w:rPr>
  </w:style>
  <w:style w:type="paragraph" w:styleId="6">
    <w:name w:val="heading 5"/>
    <w:next w:val="1"/>
    <w:qFormat/>
    <w:uiPriority w:val="0"/>
    <w:pPr>
      <w:keepLines/>
      <w:wordWrap w:val="0"/>
      <w:spacing w:line="360" w:lineRule="auto"/>
      <w:ind w:firstLine="200" w:firstLineChars="200"/>
      <w:jc w:val="both"/>
      <w:outlineLvl w:val="4"/>
    </w:pPr>
    <w:rPr>
      <w:rFonts w:ascii="Times New Roman" w:hAnsi="Times New Roman" w:eastAsia="楷体_GB2312" w:cs="Times New Roman"/>
      <w:b/>
      <w:bCs/>
      <w:color w:val="FF0000"/>
      <w:sz w:val="24"/>
      <w:szCs w:val="28"/>
      <w:lang w:val="en-US" w:eastAsia="zh-CN" w:bidi="ar-SA"/>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List 3"/>
    <w:basedOn w:val="1"/>
    <w:qFormat/>
    <w:uiPriority w:val="0"/>
    <w:pPr>
      <w:ind w:left="100" w:leftChars="400" w:hanging="200" w:hangingChars="200"/>
    </w:pPr>
  </w:style>
  <w:style w:type="paragraph" w:styleId="8">
    <w:name w:val="Normal Indent"/>
    <w:basedOn w:val="1"/>
    <w:qFormat/>
    <w:uiPriority w:val="0"/>
    <w:pPr>
      <w:ind w:firstLine="420"/>
    </w:p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qFormat/>
    <w:uiPriority w:val="0"/>
    <w:rPr>
      <w:color w:val="FF6600"/>
    </w:r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link w:val="80"/>
    <w:qFormat/>
    <w:uiPriority w:val="0"/>
    <w:pPr>
      <w:spacing w:after="120"/>
      <w:ind w:left="420" w:leftChars="200"/>
    </w:pPr>
  </w:style>
  <w:style w:type="paragraph" w:styleId="14">
    <w:name w:val="List 2"/>
    <w:basedOn w:val="1"/>
    <w:qFormat/>
    <w:uiPriority w:val="0"/>
    <w:pPr>
      <w:ind w:left="100" w:leftChars="200" w:hanging="200" w:hangingChars="200"/>
    </w:pPr>
    <w:rPr>
      <w:sz w:val="36"/>
    </w:rPr>
  </w:style>
  <w:style w:type="paragraph" w:styleId="15">
    <w:name w:val="toc 3"/>
    <w:basedOn w:val="1"/>
    <w:next w:val="1"/>
    <w:qFormat/>
    <w:uiPriority w:val="0"/>
    <w:pPr>
      <w:ind w:left="840" w:leftChars="400"/>
    </w:pPr>
  </w:style>
  <w:style w:type="paragraph" w:styleId="16">
    <w:name w:val="Plain Text"/>
    <w:basedOn w:val="1"/>
    <w:link w:val="88"/>
    <w:qFormat/>
    <w:uiPriority w:val="0"/>
    <w:rPr>
      <w:rFonts w:ascii="宋体" w:hAnsi="Courier New"/>
      <w:sz w:val="21"/>
      <w:szCs w:val="20"/>
    </w:rPr>
  </w:style>
  <w:style w:type="paragraph" w:styleId="17">
    <w:name w:val="Date"/>
    <w:basedOn w:val="1"/>
    <w:next w:val="1"/>
    <w:qFormat/>
    <w:uiPriority w:val="0"/>
    <w:rPr>
      <w:rFonts w:ascii="仿宋_GB2312" w:hAnsi="Courier New" w:eastAsia="仿宋_GB2312"/>
      <w:sz w:val="28"/>
    </w:rPr>
  </w:style>
  <w:style w:type="paragraph" w:styleId="18">
    <w:name w:val="Body Text Indent 2"/>
    <w:basedOn w:val="1"/>
    <w:qFormat/>
    <w:uiPriority w:val="0"/>
    <w:pPr>
      <w:spacing w:line="0" w:lineRule="atLeast"/>
      <w:ind w:firstLine="556"/>
    </w:pPr>
    <w:rPr>
      <w:rFonts w:ascii="仿宋_GB2312" w:eastAsia="仿宋_GB2312"/>
      <w:sz w:val="28"/>
    </w:rPr>
  </w:style>
  <w:style w:type="paragraph" w:styleId="19">
    <w:name w:val="Balloon Text"/>
    <w:basedOn w:val="1"/>
    <w:link w:val="92"/>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rPr>
  </w:style>
  <w:style w:type="paragraph" w:styleId="22">
    <w:name w:val="toc 1"/>
    <w:basedOn w:val="1"/>
    <w:next w:val="1"/>
    <w:link w:val="106"/>
    <w:qFormat/>
    <w:uiPriority w:val="39"/>
    <w:rPr>
      <w:sz w:val="32"/>
    </w:rPr>
  </w:style>
  <w:style w:type="paragraph" w:styleId="23">
    <w:name w:val="List"/>
    <w:basedOn w:val="1"/>
    <w:qFormat/>
    <w:uiPriority w:val="0"/>
    <w:pPr>
      <w:ind w:left="200" w:hanging="200" w:hangingChars="200"/>
    </w:pPr>
  </w:style>
  <w:style w:type="paragraph" w:styleId="24">
    <w:name w:val="Body Text Indent 3"/>
    <w:basedOn w:val="1"/>
    <w:qFormat/>
    <w:uiPriority w:val="0"/>
    <w:pPr>
      <w:spacing w:line="400" w:lineRule="exact"/>
      <w:ind w:firstLine="560"/>
    </w:pPr>
    <w:rPr>
      <w:rFonts w:ascii="仿宋_GB2312" w:eastAsia="仿宋_GB2312"/>
      <w:sz w:val="28"/>
    </w:rPr>
  </w:style>
  <w:style w:type="paragraph" w:styleId="25">
    <w:name w:val="toc 2"/>
    <w:basedOn w:val="1"/>
    <w:next w:val="1"/>
    <w:link w:val="107"/>
    <w:qFormat/>
    <w:uiPriority w:val="39"/>
    <w:pPr>
      <w:ind w:left="420" w:leftChars="200"/>
    </w:pPr>
  </w:style>
  <w:style w:type="paragraph" w:styleId="26">
    <w:name w:val="Normal (Web)"/>
    <w:basedOn w:val="1"/>
    <w:qFormat/>
    <w:uiPriority w:val="0"/>
    <w:pPr>
      <w:widowControl/>
      <w:spacing w:before="100" w:beforeAutospacing="1" w:after="100" w:afterAutospacing="1"/>
      <w:jc w:val="left"/>
    </w:pPr>
    <w:rPr>
      <w:rFonts w:ascii="宋体" w:hAnsi="宋体" w:cs="宋体"/>
      <w:kern w:val="0"/>
    </w:rPr>
  </w:style>
  <w:style w:type="paragraph" w:styleId="27">
    <w:name w:val="Title"/>
    <w:basedOn w:val="22"/>
    <w:next w:val="2"/>
    <w:link w:val="97"/>
    <w:qFormat/>
    <w:uiPriority w:val="0"/>
    <w:pPr>
      <w:spacing w:before="240" w:after="60"/>
      <w:jc w:val="center"/>
      <w:outlineLvl w:val="0"/>
    </w:pPr>
    <w:rPr>
      <w:rFonts w:asciiTheme="majorAscii" w:hAnsiTheme="majorAscii" w:cstheme="majorBidi"/>
      <w:b/>
      <w:bCs/>
      <w:szCs w:val="32"/>
    </w:rPr>
  </w:style>
  <w:style w:type="paragraph" w:styleId="28">
    <w:name w:val="annotation subject"/>
    <w:basedOn w:val="11"/>
    <w:next w:val="11"/>
    <w:qFormat/>
    <w:uiPriority w:val="0"/>
    <w:pPr>
      <w:spacing w:line="360" w:lineRule="auto"/>
      <w:jc w:val="center"/>
    </w:pPr>
    <w:rPr>
      <w:rFonts w:eastAsia="方正粗黑宋简体"/>
      <w:b/>
      <w:bCs/>
      <w:spacing w:val="57"/>
      <w:sz w:val="52"/>
    </w:rPr>
  </w:style>
  <w:style w:type="paragraph" w:styleId="29">
    <w:name w:val="Body Text First Indent"/>
    <w:basedOn w:val="12"/>
    <w:qFormat/>
    <w:uiPriority w:val="0"/>
    <w:pPr>
      <w:ind w:firstLine="420" w:firstLineChars="100"/>
    </w:pPr>
  </w:style>
  <w:style w:type="paragraph" w:styleId="30">
    <w:name w:val="Body Text First Indent 2"/>
    <w:basedOn w:val="13"/>
    <w:qFormat/>
    <w:uiPriority w:val="0"/>
    <w:pPr>
      <w:ind w:firstLine="420"/>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22"/>
    <w:rPr>
      <w:b/>
      <w:bCs/>
    </w:rPr>
  </w:style>
  <w:style w:type="character" w:styleId="35">
    <w:name w:val="page number"/>
    <w:basedOn w:val="33"/>
    <w:qFormat/>
    <w:uiPriority w:val="0"/>
  </w:style>
  <w:style w:type="character" w:styleId="36">
    <w:name w:val="Emphasis"/>
    <w:basedOn w:val="33"/>
    <w:qFormat/>
    <w:uiPriority w:val="0"/>
    <w:rPr>
      <w:i/>
    </w:rPr>
  </w:style>
  <w:style w:type="character" w:styleId="37">
    <w:name w:val="Hyperlink"/>
    <w:basedOn w:val="33"/>
    <w:qFormat/>
    <w:uiPriority w:val="99"/>
    <w:rPr>
      <w:color w:val="0000FF"/>
      <w:u w:val="single"/>
    </w:rPr>
  </w:style>
  <w:style w:type="character" w:styleId="38">
    <w:name w:val="annotation reference"/>
    <w:qFormat/>
    <w:uiPriority w:val="0"/>
    <w:rPr>
      <w:sz w:val="21"/>
      <w:szCs w:val="21"/>
    </w:rPr>
  </w:style>
  <w:style w:type="paragraph" w:customStyle="1" w:styleId="39">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40">
    <w:name w:val="正文1"/>
    <w:basedOn w:val="1"/>
    <w:qFormat/>
    <w:uiPriority w:val="0"/>
    <w:pPr>
      <w:adjustRightInd w:val="0"/>
      <w:spacing w:line="360" w:lineRule="auto"/>
      <w:ind w:firstLine="425" w:firstLineChars="0"/>
      <w:jc w:val="center"/>
    </w:pPr>
    <w:rPr>
      <w:b/>
      <w:sz w:val="24"/>
      <w:szCs w:val="20"/>
    </w:rPr>
  </w:style>
  <w:style w:type="paragraph" w:customStyle="1" w:styleId="41">
    <w:name w:val="图"/>
    <w:basedOn w:val="40"/>
    <w:qFormat/>
    <w:uiPriority w:val="0"/>
    <w:pPr>
      <w:spacing w:before="60" w:after="120"/>
      <w:ind w:firstLine="0"/>
      <w:jc w:val="center"/>
    </w:pPr>
  </w:style>
  <w:style w:type="paragraph" w:customStyle="1" w:styleId="42">
    <w:name w:val="公文"/>
    <w:basedOn w:val="1"/>
    <w:qFormat/>
    <w:uiPriority w:val="0"/>
    <w:pPr>
      <w:ind w:firstLine="640"/>
    </w:pPr>
    <w:rPr>
      <w:rFonts w:eastAsia="仿宋_GB2312"/>
      <w:kern w:val="0"/>
      <w:sz w:val="32"/>
    </w:rPr>
  </w:style>
  <w:style w:type="paragraph" w:customStyle="1" w:styleId="43">
    <w:name w:val="文本档内容"/>
    <w:next w:val="1"/>
    <w:qFormat/>
    <w:uiPriority w:val="0"/>
    <w:pPr>
      <w:jc w:val="both"/>
    </w:pPr>
    <w:rPr>
      <w:rFonts w:ascii="Times New Roman" w:hAnsi="Times New Roman" w:eastAsia="宋体" w:cs="Times New Roman"/>
      <w:sz w:val="21"/>
      <w:szCs w:val="24"/>
      <w:lang w:val="en-US" w:eastAsia="zh-CN" w:bidi="ar-SA"/>
    </w:rPr>
  </w:style>
  <w:style w:type="paragraph" w:customStyle="1" w:styleId="44">
    <w:name w:val="样式 样式 ⅡⅢ标题 + 段前: 0.5 行 段后: 0.5 行2 + 首行缩进:  2 字符"/>
    <w:basedOn w:val="45"/>
    <w:qFormat/>
    <w:uiPriority w:val="0"/>
    <w:pPr>
      <w:spacing w:line="360" w:lineRule="auto"/>
      <w:ind w:firstLine="0" w:firstLineChars="0"/>
    </w:pPr>
    <w:rPr>
      <w:bCs/>
      <w:sz w:val="28"/>
    </w:rPr>
  </w:style>
  <w:style w:type="paragraph" w:customStyle="1" w:styleId="45">
    <w:name w:val="样式 ⅡⅢ标题 + 段前: 0.5 行 段后: 0.5 行2"/>
    <w:basedOn w:val="3"/>
    <w:qFormat/>
    <w:uiPriority w:val="0"/>
    <w:pPr>
      <w:spacing w:before="156" w:after="156"/>
    </w:pPr>
    <w:rPr>
      <w:rFonts w:cs="宋体"/>
      <w:bCs w:val="0"/>
      <w:szCs w:val="20"/>
    </w:rPr>
  </w:style>
  <w:style w:type="paragraph" w:customStyle="1" w:styleId="46">
    <w:name w:val="样式 ⅡⅢ标题 + 段前: 0.5 行 段后: 0.5 行"/>
    <w:basedOn w:val="3"/>
    <w:qFormat/>
    <w:uiPriority w:val="0"/>
    <w:pPr>
      <w:spacing w:before="156" w:after="156"/>
    </w:pPr>
    <w:rPr>
      <w:rFonts w:cs="宋体"/>
      <w:bCs w:val="0"/>
      <w:sz w:val="36"/>
      <w:szCs w:val="20"/>
    </w:rPr>
  </w:style>
  <w:style w:type="paragraph" w:customStyle="1" w:styleId="47">
    <w:name w:val="样式 出书二三级标题 + 首行缩进:  2 字符"/>
    <w:basedOn w:val="48"/>
    <w:qFormat/>
    <w:uiPriority w:val="0"/>
    <w:pPr>
      <w:spacing w:beforeLines="0" w:afterLines="0"/>
      <w:ind w:firstLine="480"/>
    </w:pPr>
    <w:rPr>
      <w:rFonts w:cs="宋体"/>
      <w:szCs w:val="20"/>
    </w:rPr>
  </w:style>
  <w:style w:type="paragraph" w:customStyle="1" w:styleId="48">
    <w:name w:val="出书二三级标题"/>
    <w:next w:val="1"/>
    <w:qFormat/>
    <w:uiPriority w:val="0"/>
    <w:pPr>
      <w:keepLines/>
      <w:spacing w:beforeLines="50" w:afterLines="50"/>
      <w:ind w:firstLine="200" w:firstLineChars="200"/>
      <w:outlineLvl w:val="1"/>
    </w:pPr>
    <w:rPr>
      <w:rFonts w:ascii="Times New Roman" w:hAnsi="Times New Roman" w:eastAsia="黑体" w:cs="宋体-方正超大字符集"/>
      <w:kern w:val="2"/>
      <w:sz w:val="24"/>
      <w:szCs w:val="28"/>
      <w:lang w:val="en-US" w:eastAsia="zh-CN" w:bidi="ar-SA"/>
    </w:rPr>
  </w:style>
  <w:style w:type="paragraph" w:customStyle="1" w:styleId="49">
    <w:name w:val="样式 ⅡⅢ标题 + 首行缩进:  2 字符 段前: 0.5 行 段后: 0.5 行3"/>
    <w:next w:val="29"/>
    <w:qFormat/>
    <w:uiPriority w:val="0"/>
    <w:pPr>
      <w:spacing w:before="163" w:after="163"/>
      <w:ind w:firstLine="480"/>
    </w:pPr>
    <w:rPr>
      <w:rFonts w:ascii="黑体" w:hAnsi="Times New Roman" w:eastAsia="黑体" w:cs="宋体"/>
      <w:kern w:val="2"/>
      <w:sz w:val="24"/>
      <w:lang w:val="en-US" w:eastAsia="zh-CN" w:bidi="ar-SA"/>
    </w:rPr>
  </w:style>
  <w:style w:type="paragraph" w:customStyle="1" w:styleId="50">
    <w:name w:val="样式 样式 ⅡⅢ标题 + 首行缩进:  2 字符 段前: 0.5 行 段后: 0.5 行 + 首行缩进:  2 字符 段前: ..."/>
    <w:next w:val="8"/>
    <w:qFormat/>
    <w:uiPriority w:val="0"/>
    <w:pPr>
      <w:spacing w:before="163" w:after="163"/>
      <w:ind w:firstLine="480"/>
    </w:pPr>
    <w:rPr>
      <w:rFonts w:ascii="黑体" w:hAnsi="Times New Roman" w:eastAsia="黑体" w:cs="宋体"/>
      <w:kern w:val="2"/>
      <w:sz w:val="24"/>
      <w:lang w:val="en-US" w:eastAsia="zh-CN" w:bidi="ar-SA"/>
    </w:rPr>
  </w:style>
  <w:style w:type="paragraph" w:customStyle="1" w:styleId="51">
    <w:name w:val="样式 ⅡⅢ标题 + 段前: 0.5 行 段后: 0.5 行1"/>
    <w:basedOn w:val="3"/>
    <w:qFormat/>
    <w:uiPriority w:val="0"/>
    <w:pPr>
      <w:spacing w:before="156" w:after="156"/>
    </w:pPr>
    <w:rPr>
      <w:rFonts w:cs="宋体"/>
      <w:bCs w:val="0"/>
      <w:szCs w:val="20"/>
    </w:rPr>
  </w:style>
  <w:style w:type="paragraph" w:customStyle="1" w:styleId="52">
    <w:name w:val="解析"/>
    <w:basedOn w:val="1"/>
    <w:qFormat/>
    <w:uiPriority w:val="0"/>
    <w:rPr>
      <w:rFonts w:ascii="楷体_GB2312" w:eastAsia="楷体_GB2312"/>
    </w:rPr>
  </w:style>
  <w:style w:type="paragraph" w:customStyle="1" w:styleId="53">
    <w:name w:val="样式 标题 5 + 加粗 红色"/>
    <w:basedOn w:val="6"/>
    <w:qFormat/>
    <w:uiPriority w:val="0"/>
    <w:pPr>
      <w:keepNext/>
      <w:widowControl w:val="0"/>
      <w:ind w:firstLine="0" w:firstLineChars="0"/>
    </w:pPr>
  </w:style>
  <w:style w:type="paragraph" w:customStyle="1" w:styleId="54">
    <w:name w:val="样式 样式 标题 5 + 首行缩进:  2 字符 + 首行缩进:  2 字符"/>
    <w:basedOn w:val="55"/>
    <w:qFormat/>
    <w:uiPriority w:val="0"/>
    <w:pPr>
      <w:ind w:firstLine="200"/>
    </w:pPr>
    <w:rPr>
      <w:bCs/>
    </w:rPr>
  </w:style>
  <w:style w:type="paragraph" w:customStyle="1" w:styleId="55">
    <w:name w:val="样式 标题 5 + 首行缩进:  2 字符"/>
    <w:basedOn w:val="6"/>
    <w:qFormat/>
    <w:uiPriority w:val="0"/>
    <w:pPr>
      <w:ind w:firstLine="480"/>
    </w:pPr>
    <w:rPr>
      <w:rFonts w:cs="宋体"/>
      <w:bCs w:val="0"/>
      <w:color w:val="003300"/>
      <w:szCs w:val="20"/>
    </w:rPr>
  </w:style>
  <w:style w:type="paragraph" w:customStyle="1" w:styleId="56">
    <w:name w:val="表题"/>
    <w:basedOn w:val="1"/>
    <w:qFormat/>
    <w:uiPriority w:val="0"/>
    <w:pPr>
      <w:keepNext/>
      <w:keepLines/>
      <w:widowControl/>
      <w:tabs>
        <w:tab w:val="center" w:pos="2870"/>
        <w:tab w:val="right" w:pos="5840"/>
      </w:tabs>
      <w:adjustRightInd w:val="0"/>
      <w:spacing w:before="120" w:after="60"/>
      <w:jc w:val="center"/>
      <w:outlineLvl w:val="5"/>
    </w:pPr>
    <w:rPr>
      <w:rFonts w:ascii="黑体" w:eastAsia="黑体"/>
      <w:kern w:val="0"/>
      <w:sz w:val="18"/>
      <w:szCs w:val="18"/>
    </w:rPr>
  </w:style>
  <w:style w:type="paragraph" w:customStyle="1" w:styleId="57">
    <w:name w:val="出书一级标题"/>
    <w:next w:val="1"/>
    <w:qFormat/>
    <w:uiPriority w:val="0"/>
    <w:pPr>
      <w:keepLines/>
      <w:spacing w:beforeLines="100" w:afterLines="100"/>
      <w:jc w:val="center"/>
      <w:outlineLvl w:val="0"/>
    </w:pPr>
    <w:rPr>
      <w:rFonts w:ascii="Times New Roman" w:hAnsi="Times New Roman" w:eastAsia="黑体" w:cs="宋体-方正超大字符集"/>
      <w:kern w:val="2"/>
      <w:sz w:val="28"/>
      <w:szCs w:val="28"/>
      <w:lang w:val="en-US" w:eastAsia="zh-CN" w:bidi="ar-SA"/>
    </w:rPr>
  </w:style>
  <w:style w:type="paragraph" w:customStyle="1" w:styleId="58">
    <w:name w:val="样式 Ⅳ标题 + (中文) 黑体 红色"/>
    <w:basedOn w:val="59"/>
    <w:qFormat/>
    <w:uiPriority w:val="0"/>
    <w:pPr>
      <w:ind w:firstLine="0" w:firstLineChars="0"/>
    </w:pPr>
    <w:rPr>
      <w:rFonts w:eastAsia="黑体"/>
      <w:color w:val="FF0000"/>
    </w:rPr>
  </w:style>
  <w:style w:type="paragraph" w:customStyle="1" w:styleId="59">
    <w:name w:val="Ⅳ标题"/>
    <w:next w:val="1"/>
    <w:qFormat/>
    <w:uiPriority w:val="0"/>
    <w:pPr>
      <w:keepLines/>
      <w:spacing w:beforeLines="50" w:afterLines="50"/>
      <w:ind w:firstLine="200" w:firstLineChars="200"/>
      <w:jc w:val="both"/>
      <w:outlineLvl w:val="2"/>
    </w:pPr>
    <w:rPr>
      <w:rFonts w:ascii="Times New Roman" w:hAnsi="Times New Roman" w:eastAsia="宋体" w:cs="宋体-方正超大字符集"/>
      <w:kern w:val="2"/>
      <w:sz w:val="24"/>
      <w:szCs w:val="24"/>
      <w:lang w:val="en-US" w:eastAsia="zh-CN" w:bidi="ar-SA"/>
    </w:rPr>
  </w:style>
  <w:style w:type="paragraph" w:customStyle="1" w:styleId="60">
    <w:name w:val="样式 出书表格 + 宋体 9.5 磅"/>
    <w:basedOn w:val="61"/>
    <w:qFormat/>
    <w:uiPriority w:val="0"/>
    <w:rPr>
      <w:rFonts w:ascii="宋体" w:hAnsi="宋体"/>
    </w:rPr>
  </w:style>
  <w:style w:type="paragraph" w:customStyle="1" w:styleId="61">
    <w:name w:val="出书表格"/>
    <w:basedOn w:val="1"/>
    <w:next w:val="1"/>
    <w:qFormat/>
    <w:uiPriority w:val="0"/>
    <w:pPr>
      <w:ind w:firstLine="0" w:firstLineChars="0"/>
    </w:pPr>
    <w:rPr>
      <w:sz w:val="21"/>
      <w:szCs w:val="21"/>
    </w:rPr>
  </w:style>
  <w:style w:type="paragraph" w:customStyle="1" w:styleId="62">
    <w:name w:val="V楷"/>
    <w:next w:val="1"/>
    <w:qFormat/>
    <w:uiPriority w:val="0"/>
    <w:pPr>
      <w:spacing w:line="360" w:lineRule="auto"/>
      <w:ind w:firstLine="200" w:firstLineChars="200"/>
      <w:jc w:val="both"/>
    </w:pPr>
    <w:rPr>
      <w:rFonts w:ascii="Times New Roman" w:hAnsi="Times New Roman" w:eastAsia="楷体_GB2312" w:cs="宋体"/>
      <w:b/>
      <w:color w:val="FF0000"/>
      <w:sz w:val="24"/>
      <w:lang w:val="en-US" w:eastAsia="zh-CN" w:bidi="ar-SA"/>
    </w:rPr>
  </w:style>
  <w:style w:type="paragraph" w:customStyle="1" w:styleId="63">
    <w:name w:val="样式 标题 5 + 首行缩进:  2 字符1"/>
    <w:basedOn w:val="6"/>
    <w:qFormat/>
    <w:uiPriority w:val="0"/>
    <w:pPr>
      <w:keepNext/>
      <w:widowControl w:val="0"/>
      <w:ind w:firstLine="480"/>
    </w:pPr>
    <w:rPr>
      <w:rFonts w:cs="宋体"/>
      <w:bCs w:val="0"/>
      <w:szCs w:val="20"/>
    </w:rPr>
  </w:style>
  <w:style w:type="paragraph" w:customStyle="1" w:styleId="64">
    <w:name w:val="楷体"/>
    <w:basedOn w:val="1"/>
    <w:qFormat/>
    <w:uiPriority w:val="0"/>
    <w:pPr>
      <w:widowControl/>
      <w:wordWrap w:val="0"/>
    </w:pPr>
    <w:rPr>
      <w:rFonts w:eastAsia="楷体_GB2312"/>
    </w:rPr>
  </w:style>
  <w:style w:type="paragraph" w:customStyle="1" w:styleId="65">
    <w:name w:val="ⅡⅢ标题"/>
    <w:next w:val="1"/>
    <w:link w:val="89"/>
    <w:qFormat/>
    <w:uiPriority w:val="0"/>
    <w:pPr>
      <w:spacing w:beforeLines="100" w:afterLines="50" w:line="100" w:lineRule="exact"/>
      <w:ind w:firstLine="560" w:firstLineChars="200"/>
      <w:jc w:val="both"/>
      <w:outlineLvl w:val="1"/>
    </w:pPr>
    <w:rPr>
      <w:rFonts w:ascii="黑体" w:hAnsi="黑体" w:eastAsia="黑体" w:cs="Times New Roman"/>
      <w:bCs/>
      <w:kern w:val="2"/>
      <w:sz w:val="24"/>
      <w:szCs w:val="21"/>
      <w:lang w:val="en-US" w:eastAsia="zh-CN" w:bidi="ar-SA"/>
    </w:rPr>
  </w:style>
  <w:style w:type="paragraph" w:customStyle="1" w:styleId="66">
    <w:name w:val="WPSOffice手动目录 1"/>
    <w:qFormat/>
    <w:uiPriority w:val="0"/>
    <w:rPr>
      <w:rFonts w:ascii="Times New Roman" w:hAnsi="Times New Roman" w:eastAsia="宋体" w:cs="Times New Roman"/>
      <w:lang w:val="en-US" w:eastAsia="zh-CN" w:bidi="ar-SA"/>
    </w:rPr>
  </w:style>
  <w:style w:type="paragraph" w:customStyle="1" w:styleId="67">
    <w:name w:val="样式 出书表格 + 居中 首行缩进:  2 字符1"/>
    <w:basedOn w:val="61"/>
    <w:qFormat/>
    <w:uiPriority w:val="0"/>
    <w:pPr>
      <w:jc w:val="center"/>
    </w:pPr>
    <w:rPr>
      <w:rFonts w:cs="宋体"/>
      <w:szCs w:val="20"/>
    </w:rPr>
  </w:style>
  <w:style w:type="paragraph" w:customStyle="1" w:styleId="68">
    <w:name w:val="样式 ⅡⅢ标题 + 左 首行缩进:  2 字符 段前: 0.5 行 段后: 0.5 行"/>
    <w:basedOn w:val="65"/>
    <w:qFormat/>
    <w:uiPriority w:val="0"/>
    <w:pPr>
      <w:jc w:val="left"/>
    </w:pPr>
    <w:rPr>
      <w:rFonts w:cs="宋体"/>
      <w:bCs w:val="0"/>
      <w:szCs w:val="20"/>
    </w:rPr>
  </w:style>
  <w:style w:type="paragraph" w:customStyle="1" w:styleId="69">
    <w:name w:val="样式 ⅡⅢ标题 + 首行缩进:  2 字符 段前: 0.5 行 段后: 0.5 行2"/>
    <w:next w:val="1"/>
    <w:qFormat/>
    <w:uiPriority w:val="0"/>
    <w:pPr>
      <w:spacing w:before="163" w:after="163"/>
      <w:ind w:firstLine="480"/>
    </w:pPr>
    <w:rPr>
      <w:rFonts w:ascii="黑体" w:hAnsi="Times New Roman" w:eastAsia="黑体" w:cs="宋体"/>
      <w:kern w:val="2"/>
      <w:sz w:val="24"/>
      <w:lang w:val="en-US" w:eastAsia="zh-CN" w:bidi="ar-SA"/>
    </w:rPr>
  </w:style>
  <w:style w:type="paragraph" w:customStyle="1" w:styleId="70">
    <w:name w:val="出书正文"/>
    <w:qFormat/>
    <w:uiPriority w:val="0"/>
    <w:pPr>
      <w:suppressAutoHyphens/>
      <w:snapToGrid w:val="0"/>
      <w:ind w:firstLine="48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71">
    <w:name w:val="样式 出书表格 + 居中 首行缩进:  2 字符"/>
    <w:basedOn w:val="61"/>
    <w:qFormat/>
    <w:uiPriority w:val="0"/>
    <w:pPr>
      <w:jc w:val="center"/>
    </w:pPr>
    <w:rPr>
      <w:rFonts w:cs="宋体"/>
      <w:szCs w:val="20"/>
    </w:rPr>
  </w:style>
  <w:style w:type="paragraph" w:customStyle="1" w:styleId="72">
    <w:name w:val="样式 Ⅳ标题 + (中文) 黑体 加粗 红色"/>
    <w:basedOn w:val="59"/>
    <w:qFormat/>
    <w:uiPriority w:val="0"/>
    <w:pPr>
      <w:ind w:firstLine="0" w:firstLineChars="0"/>
    </w:pPr>
    <w:rPr>
      <w:rFonts w:eastAsia="黑体"/>
      <w:b/>
      <w:bCs/>
      <w:color w:val="FF0000"/>
    </w:rPr>
  </w:style>
  <w:style w:type="paragraph" w:customStyle="1" w:styleId="73">
    <w:name w:val="出书四级标题"/>
    <w:next w:val="1"/>
    <w:qFormat/>
    <w:uiPriority w:val="0"/>
    <w:pPr>
      <w:spacing w:beforeLines="50" w:afterLines="50"/>
      <w:ind w:firstLine="200" w:firstLineChars="200"/>
      <w:jc w:val="both"/>
    </w:pPr>
    <w:rPr>
      <w:rFonts w:ascii="Times New Roman" w:hAnsi="Times New Roman" w:eastAsia="宋体" w:cs="宋体-方正超大字符集"/>
      <w:sz w:val="24"/>
      <w:szCs w:val="24"/>
      <w:lang w:val="en-US" w:eastAsia="zh-CN" w:bidi="ar-SA"/>
    </w:rPr>
  </w:style>
  <w:style w:type="paragraph" w:customStyle="1" w:styleId="74">
    <w:name w:val="Ⅰ标题"/>
    <w:basedOn w:val="2"/>
    <w:next w:val="1"/>
    <w:qFormat/>
    <w:uiPriority w:val="0"/>
    <w:pPr>
      <w:spacing w:before="100" w:beforeLines="100" w:after="50" w:afterLines="50" w:line="20" w:lineRule="exact"/>
      <w:ind w:firstLine="560" w:firstLineChars="200"/>
      <w:jc w:val="center"/>
      <w:outlineLvl w:val="0"/>
    </w:pPr>
    <w:rPr>
      <w:rFonts w:ascii="Times New Roman" w:hAnsi="Times New Roman" w:eastAsia="楷体"/>
      <w:sz w:val="36"/>
    </w:rPr>
  </w:style>
  <w:style w:type="paragraph" w:customStyle="1" w:styleId="75">
    <w:name w:val="样式 出书正文 +"/>
    <w:basedOn w:val="70"/>
    <w:qFormat/>
    <w:uiPriority w:val="0"/>
    <w:rPr>
      <w:kern w:val="0"/>
    </w:rPr>
  </w:style>
  <w:style w:type="paragraph" w:customStyle="1" w:styleId="76">
    <w:name w:val="样式 样式 出书正文 + + 宋体"/>
    <w:basedOn w:val="75"/>
    <w:qFormat/>
    <w:uiPriority w:val="0"/>
    <w:rPr>
      <w:rFonts w:ascii="宋体" w:hAnsi="宋体"/>
    </w:rPr>
  </w:style>
  <w:style w:type="paragraph" w:customStyle="1" w:styleId="77">
    <w:name w:val="样式 ⅡⅢ标题 + 首行缩进:  2 字符 段前: 0.5 行 段后: 0.5 行1"/>
    <w:qFormat/>
    <w:uiPriority w:val="0"/>
    <w:pPr>
      <w:spacing w:before="163" w:after="163"/>
      <w:ind w:firstLine="200" w:firstLineChars="200"/>
    </w:pPr>
    <w:rPr>
      <w:rFonts w:ascii="黑体" w:hAnsi="Times New Roman" w:eastAsia="黑体" w:cs="宋体"/>
      <w:kern w:val="2"/>
      <w:sz w:val="24"/>
      <w:lang w:val="en-US" w:eastAsia="zh-CN" w:bidi="ar-SA"/>
    </w:rPr>
  </w:style>
  <w:style w:type="paragraph" w:customStyle="1" w:styleId="78">
    <w:name w:val="Char"/>
    <w:basedOn w:val="1"/>
    <w:qFormat/>
    <w:uiPriority w:val="0"/>
    <w:rPr>
      <w:rFonts w:ascii="Tahoma" w:hAnsi="Tahoma"/>
    </w:rPr>
  </w:style>
  <w:style w:type="paragraph" w:customStyle="1" w:styleId="79">
    <w:name w:val="Char Char Char Char"/>
    <w:basedOn w:val="1"/>
    <w:qFormat/>
    <w:uiPriority w:val="0"/>
    <w:pPr>
      <w:widowControl/>
      <w:spacing w:after="160" w:line="240" w:lineRule="exact"/>
      <w:jc w:val="left"/>
    </w:pPr>
    <w:rPr>
      <w:rFonts w:ascii="Verdana" w:hAnsi="Verdana" w:eastAsia="仿宋_GB2312"/>
      <w:kern w:val="0"/>
      <w:sz w:val="20"/>
      <w:szCs w:val="20"/>
      <w:lang w:eastAsia="en-US"/>
    </w:rPr>
  </w:style>
  <w:style w:type="character" w:customStyle="1" w:styleId="80">
    <w:name w:val="正文文本缩进 Char"/>
    <w:link w:val="13"/>
    <w:qFormat/>
    <w:uiPriority w:val="0"/>
    <w:rPr>
      <w:rFonts w:eastAsia="宋体"/>
      <w:kern w:val="2"/>
      <w:sz w:val="24"/>
      <w:szCs w:val="24"/>
      <w:lang w:val="en-US" w:eastAsia="zh-CN" w:bidi="ar-SA"/>
    </w:rPr>
  </w:style>
  <w:style w:type="character" w:customStyle="1" w:styleId="81">
    <w:name w:val="font11"/>
    <w:qFormat/>
    <w:uiPriority w:val="0"/>
    <w:rPr>
      <w:rFonts w:hint="eastAsia" w:ascii="楷体_GB2312" w:eastAsia="楷体_GB2312"/>
      <w:color w:val="000000"/>
      <w:sz w:val="20"/>
      <w:szCs w:val="20"/>
      <w:u w:val="none"/>
      <w:vertAlign w:val="superscript"/>
    </w:rPr>
  </w:style>
  <w:style w:type="character" w:customStyle="1" w:styleId="82">
    <w:name w:val="普通文字 Char Char1"/>
    <w:semiHidden/>
    <w:qFormat/>
    <w:locked/>
    <w:uiPriority w:val="0"/>
    <w:rPr>
      <w:rFonts w:ascii="宋体" w:hAnsi="Courier New" w:eastAsia="宋体"/>
      <w:kern w:val="2"/>
      <w:sz w:val="21"/>
      <w:lang w:val="en-US" w:eastAsia="zh-CN" w:bidi="ar-SA"/>
    </w:rPr>
  </w:style>
  <w:style w:type="character" w:customStyle="1" w:styleId="83">
    <w:name w:val="font51"/>
    <w:basedOn w:val="33"/>
    <w:qFormat/>
    <w:uiPriority w:val="0"/>
    <w:rPr>
      <w:rFonts w:hint="eastAsia" w:ascii="宋体" w:hAnsi="宋体" w:eastAsia="宋体" w:cs="宋体"/>
      <w:color w:val="000000"/>
      <w:sz w:val="20"/>
      <w:szCs w:val="20"/>
      <w:u w:val="none"/>
      <w:vertAlign w:val="superscript"/>
    </w:rPr>
  </w:style>
  <w:style w:type="character" w:customStyle="1" w:styleId="84">
    <w:name w:val="font21"/>
    <w:basedOn w:val="33"/>
    <w:qFormat/>
    <w:uiPriority w:val="0"/>
    <w:rPr>
      <w:rFonts w:hint="eastAsia" w:ascii="宋体" w:hAnsi="宋体" w:eastAsia="宋体" w:cs="宋体"/>
      <w:color w:val="000000"/>
      <w:sz w:val="20"/>
      <w:szCs w:val="20"/>
      <w:u w:val="none"/>
    </w:rPr>
  </w:style>
  <w:style w:type="character" w:customStyle="1" w:styleId="85">
    <w:name w:val="font01"/>
    <w:qFormat/>
    <w:uiPriority w:val="0"/>
    <w:rPr>
      <w:rFonts w:hint="eastAsia" w:ascii="楷体_GB2312" w:eastAsia="楷体_GB2312"/>
      <w:color w:val="000000"/>
      <w:sz w:val="20"/>
      <w:szCs w:val="20"/>
      <w:u w:val="none"/>
      <w:vertAlign w:val="superscript"/>
    </w:rPr>
  </w:style>
  <w:style w:type="character" w:customStyle="1" w:styleId="86">
    <w:name w:val="font41"/>
    <w:qFormat/>
    <w:uiPriority w:val="0"/>
    <w:rPr>
      <w:rFonts w:hint="eastAsia" w:ascii="楷体_GB2312" w:eastAsia="楷体_GB2312"/>
      <w:color w:val="000000"/>
      <w:sz w:val="20"/>
      <w:szCs w:val="20"/>
      <w:u w:val="none"/>
    </w:rPr>
  </w:style>
  <w:style w:type="character" w:customStyle="1" w:styleId="87">
    <w:name w:val="出书正文 Char1"/>
    <w:qFormat/>
    <w:uiPriority w:val="0"/>
    <w:rPr>
      <w:rFonts w:eastAsia="宋体"/>
      <w:sz w:val="24"/>
      <w:szCs w:val="24"/>
      <w:lang w:val="en-US" w:eastAsia="zh-CN" w:bidi="ar-SA"/>
    </w:rPr>
  </w:style>
  <w:style w:type="character" w:customStyle="1" w:styleId="88">
    <w:name w:val="纯文本 Char"/>
    <w:link w:val="16"/>
    <w:qFormat/>
    <w:uiPriority w:val="0"/>
    <w:rPr>
      <w:rFonts w:ascii="宋体" w:hAnsi="Courier New"/>
      <w:kern w:val="2"/>
      <w:sz w:val="21"/>
    </w:rPr>
  </w:style>
  <w:style w:type="character" w:customStyle="1" w:styleId="89">
    <w:name w:val="ⅡⅢ标题 Char Char"/>
    <w:link w:val="65"/>
    <w:qFormat/>
    <w:uiPriority w:val="0"/>
    <w:rPr>
      <w:rFonts w:ascii="黑体" w:hAnsi="黑体" w:eastAsia="黑体"/>
      <w:bCs/>
      <w:kern w:val="2"/>
      <w:sz w:val="24"/>
      <w:szCs w:val="21"/>
      <w:lang w:val="en-US" w:eastAsia="zh-CN" w:bidi="ar-SA"/>
    </w:rPr>
  </w:style>
  <w:style w:type="character" w:customStyle="1" w:styleId="90">
    <w:name w:val="font61"/>
    <w:qFormat/>
    <w:uiPriority w:val="0"/>
    <w:rPr>
      <w:rFonts w:hint="eastAsia" w:ascii="楷体_GB2312" w:eastAsia="楷体_GB2312"/>
      <w:color w:val="000000"/>
      <w:sz w:val="20"/>
      <w:szCs w:val="20"/>
      <w:u w:val="none"/>
      <w:vertAlign w:val="superscript"/>
    </w:rPr>
  </w:style>
  <w:style w:type="character" w:customStyle="1" w:styleId="91">
    <w:name w:val="font71"/>
    <w:basedOn w:val="33"/>
    <w:qFormat/>
    <w:uiPriority w:val="0"/>
    <w:rPr>
      <w:rFonts w:hint="eastAsia" w:ascii="宋体" w:hAnsi="宋体" w:eastAsia="宋体" w:cs="宋体"/>
      <w:color w:val="000000"/>
      <w:sz w:val="20"/>
      <w:szCs w:val="20"/>
      <w:u w:val="none"/>
    </w:rPr>
  </w:style>
  <w:style w:type="character" w:customStyle="1" w:styleId="92">
    <w:name w:val="批注框文本 Char"/>
    <w:link w:val="19"/>
    <w:qFormat/>
    <w:uiPriority w:val="0"/>
    <w:rPr>
      <w:rFonts w:eastAsia="宋体"/>
      <w:kern w:val="2"/>
      <w:sz w:val="18"/>
      <w:szCs w:val="18"/>
      <w:lang w:val="en-US" w:eastAsia="zh-CN" w:bidi="ar-SA"/>
    </w:rPr>
  </w:style>
  <w:style w:type="character" w:customStyle="1" w:styleId="93">
    <w:name w:val="font31"/>
    <w:qFormat/>
    <w:uiPriority w:val="0"/>
    <w:rPr>
      <w:rFonts w:hint="eastAsia" w:ascii="楷体_GB2312" w:eastAsia="楷体_GB2312"/>
      <w:color w:val="000000"/>
      <w:sz w:val="20"/>
      <w:szCs w:val="20"/>
      <w:u w:val="none"/>
    </w:rPr>
  </w:style>
  <w:style w:type="paragraph" w:customStyle="1" w:styleId="94">
    <w:name w:val="one-p"/>
    <w:basedOn w:val="1"/>
    <w:qFormat/>
    <w:uiPriority w:val="0"/>
    <w:pPr>
      <w:widowControl/>
      <w:spacing w:before="100" w:beforeAutospacing="1" w:after="100" w:afterAutospacing="1"/>
      <w:ind w:firstLine="0" w:firstLineChars="0"/>
      <w:jc w:val="left"/>
    </w:pPr>
    <w:rPr>
      <w:rFonts w:ascii="宋体" w:hAnsi="宋体" w:cs="宋体"/>
      <w:kern w:val="0"/>
    </w:rPr>
  </w:style>
  <w:style w:type="paragraph" w:styleId="95">
    <w:name w:val="List Paragraph"/>
    <w:basedOn w:val="1"/>
    <w:unhideWhenUsed/>
    <w:qFormat/>
    <w:uiPriority w:val="99"/>
    <w:pPr>
      <w:ind w:firstLine="420"/>
    </w:pPr>
  </w:style>
  <w:style w:type="character" w:customStyle="1" w:styleId="96">
    <w:name w:val="不明显强调1"/>
    <w:basedOn w:val="33"/>
    <w:qFormat/>
    <w:uiPriority w:val="19"/>
    <w:rPr>
      <w:i/>
      <w:iCs/>
      <w:color w:val="7F7F7F" w:themeColor="text1" w:themeTint="7F"/>
    </w:rPr>
  </w:style>
  <w:style w:type="character" w:customStyle="1" w:styleId="97">
    <w:name w:val="标题 Char"/>
    <w:basedOn w:val="33"/>
    <w:link w:val="27"/>
    <w:qFormat/>
    <w:uiPriority w:val="0"/>
    <w:rPr>
      <w:rFonts w:eastAsia="楷体" w:asciiTheme="majorAscii" w:hAnsiTheme="majorAscii" w:cstheme="majorBidi"/>
      <w:b/>
      <w:bCs/>
      <w:kern w:val="2"/>
      <w:sz w:val="32"/>
      <w:szCs w:val="32"/>
    </w:rPr>
  </w:style>
  <w:style w:type="character" w:styleId="98">
    <w:name w:val="Placeholder Text"/>
    <w:basedOn w:val="33"/>
    <w:unhideWhenUsed/>
    <w:qFormat/>
    <w:uiPriority w:val="99"/>
    <w:rPr>
      <w:color w:val="808080"/>
    </w:rPr>
  </w:style>
  <w:style w:type="paragraph" w:customStyle="1" w:styleId="99">
    <w:name w:val="题目1"/>
    <w:basedOn w:val="27"/>
    <w:qFormat/>
    <w:uiPriority w:val="0"/>
    <w:pPr>
      <w:keepNext/>
      <w:ind w:firstLine="2116" w:firstLineChars="294"/>
    </w:pPr>
    <w:rPr>
      <w:rFonts w:hint="eastAsia" w:ascii="方正粗黑宋简体" w:hAnsi="方正粗黑宋简体" w:eastAsia="方正粗黑宋简体" w:cs="方正粗黑宋简体"/>
      <w:color w:val="auto"/>
      <w:sz w:val="72"/>
      <w:szCs w:val="72"/>
    </w:rPr>
  </w:style>
  <w:style w:type="paragraph" w:customStyle="1" w:styleId="100">
    <w:name w:val="列表1"/>
    <w:basedOn w:val="23"/>
    <w:next w:val="1"/>
    <w:qFormat/>
    <w:uiPriority w:val="0"/>
    <w:pPr>
      <w:keepNext/>
      <w:keepLines/>
      <w:spacing w:before="260" w:after="260" w:line="416" w:lineRule="auto"/>
      <w:outlineLvl w:val="1"/>
    </w:pPr>
    <w:rPr>
      <w:rFonts w:hint="eastAsia" w:ascii="Arial" w:hAnsi="Arial" w:eastAsia="黑体"/>
      <w:b/>
      <w:bCs/>
      <w:szCs w:val="32"/>
    </w:rPr>
  </w:style>
  <w:style w:type="paragraph" w:customStyle="1" w:styleId="101">
    <w:name w:val="列表3"/>
    <w:basedOn w:val="7"/>
    <w:qFormat/>
    <w:uiPriority w:val="0"/>
    <w:pPr>
      <w:spacing w:line="360" w:lineRule="auto"/>
      <w:ind w:leftChars="200"/>
      <w:jc w:val="center"/>
    </w:pPr>
    <w:rPr>
      <w:rFonts w:hint="eastAsia"/>
      <w:sz w:val="30"/>
    </w:rPr>
  </w:style>
  <w:style w:type="paragraph" w:customStyle="1" w:styleId="102">
    <w:name w:val="目录"/>
    <w:basedOn w:val="22"/>
    <w:next w:val="1"/>
    <w:link w:val="108"/>
    <w:qFormat/>
    <w:uiPriority w:val="0"/>
  </w:style>
  <w:style w:type="character" w:customStyle="1" w:styleId="103">
    <w:name w:val="标题 2 Char"/>
    <w:link w:val="3"/>
    <w:qFormat/>
    <w:uiPriority w:val="0"/>
    <w:rPr>
      <w:rFonts w:ascii="Arial" w:hAnsi="Arial" w:eastAsia="楷体"/>
      <w:sz w:val="32"/>
      <w:szCs w:val="32"/>
    </w:rPr>
  </w:style>
  <w:style w:type="paragraph" w:customStyle="1" w:styleId="104">
    <w:name w:val="WPSOffice手动目录 2"/>
    <w:qFormat/>
    <w:uiPriority w:val="0"/>
    <w:pPr>
      <w:ind w:leftChars="200"/>
    </w:pPr>
    <w:rPr>
      <w:rFonts w:ascii="Times New Roman" w:hAnsi="Times New Roman" w:eastAsia="宋体" w:cs="Times New Roman"/>
      <w:sz w:val="20"/>
      <w:szCs w:val="20"/>
    </w:rPr>
  </w:style>
  <w:style w:type="paragraph" w:customStyle="1" w:styleId="105">
    <w:name w:val="WPSOffice手动目录 3"/>
    <w:qFormat/>
    <w:uiPriority w:val="0"/>
    <w:pPr>
      <w:ind w:leftChars="400"/>
    </w:pPr>
    <w:rPr>
      <w:rFonts w:ascii="Times New Roman" w:hAnsi="Times New Roman" w:eastAsia="宋体" w:cs="Times New Roman"/>
      <w:sz w:val="20"/>
      <w:szCs w:val="20"/>
    </w:rPr>
  </w:style>
  <w:style w:type="character" w:customStyle="1" w:styleId="106">
    <w:name w:val="目录 1 Char"/>
    <w:link w:val="22"/>
    <w:qFormat/>
    <w:uiPriority w:val="39"/>
    <w:rPr>
      <w:rFonts w:eastAsia="楷体"/>
      <w:sz w:val="32"/>
    </w:rPr>
  </w:style>
  <w:style w:type="character" w:customStyle="1" w:styleId="107">
    <w:name w:val="目录 2 Char"/>
    <w:link w:val="25"/>
    <w:qFormat/>
    <w:uiPriority w:val="39"/>
  </w:style>
  <w:style w:type="character" w:customStyle="1" w:styleId="108">
    <w:name w:val="目录 Char"/>
    <w:link w:val="10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EC76CE-907C-42CD-B90A-39E13C2A9DE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Pages>
  <Words>5728</Words>
  <Characters>6025</Characters>
  <Lines>14</Lines>
  <Paragraphs>14</Paragraphs>
  <TotalTime>24</TotalTime>
  <ScaleCrop>false</ScaleCrop>
  <LinksUpToDate>false</LinksUpToDate>
  <CharactersWithSpaces>6133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2017-12-19T06:45:00Z</dcterms:created>
  <dc:creator>ycq</dc:creator>
  <cp:lastModifiedBy>A评估13582882959</cp:lastModifiedBy>
  <cp:lastPrinted>2021-10-15T06:10:00Z</cp:lastPrinted>
  <dcterms:modified xsi:type="dcterms:W3CDTF">2022-09-14T07:21:54Z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CEABFE72C8784F05BB1F07C2214F381C</vt:lpwstr>
  </property>
  <property fmtid="{D5CDD505-2E9C-101B-9397-08002B2CF9AE}" pid="4" name="KSOSaveFontToCloudKey">
    <vt:lpwstr>418194100_embed</vt:lpwstr>
  </property>
</Properties>
</file>