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46D" w:rsidRDefault="0054446D">
      <w:pPr>
        <w:spacing w:line="360" w:lineRule="auto"/>
        <w:jc w:val="center"/>
        <w:rPr>
          <w:rFonts w:ascii="仿宋" w:eastAsia="仿宋" w:hAnsi="仿宋" w:cs="仿宋"/>
          <w:b/>
          <w:spacing w:val="-22"/>
          <w:sz w:val="44"/>
        </w:rPr>
      </w:pPr>
    </w:p>
    <w:p w:rsidR="0054446D" w:rsidRDefault="0054446D">
      <w:pPr>
        <w:spacing w:line="360" w:lineRule="auto"/>
        <w:jc w:val="center"/>
        <w:rPr>
          <w:rFonts w:ascii="仿宋" w:eastAsia="仿宋" w:hAnsi="仿宋" w:cs="仿宋"/>
          <w:b/>
          <w:spacing w:val="-22"/>
          <w:sz w:val="44"/>
        </w:rPr>
      </w:pPr>
    </w:p>
    <w:p w:rsidR="0054446D" w:rsidRDefault="0054446D">
      <w:pPr>
        <w:spacing w:line="360" w:lineRule="auto"/>
        <w:jc w:val="center"/>
        <w:rPr>
          <w:rFonts w:ascii="仿宋" w:eastAsia="仿宋" w:hAnsi="仿宋" w:cs="仿宋"/>
          <w:b/>
          <w:spacing w:val="-22"/>
          <w:sz w:val="44"/>
        </w:rPr>
      </w:pPr>
    </w:p>
    <w:p w:rsidR="0054446D" w:rsidRDefault="00FB459A" w:rsidP="00F513B3">
      <w:pPr>
        <w:spacing w:beforeLines="100" w:line="360" w:lineRule="auto"/>
        <w:ind w:left="210"/>
        <w:jc w:val="center"/>
        <w:rPr>
          <w:rFonts w:ascii="仿宋" w:eastAsia="仿宋" w:hAnsi="仿宋" w:cs="仿宋"/>
          <w:sz w:val="44"/>
          <w:szCs w:val="44"/>
        </w:rPr>
      </w:pPr>
      <w:r>
        <w:rPr>
          <w:rFonts w:ascii="仿宋" w:eastAsia="仿宋" w:hAnsi="仿宋" w:cs="仿宋" w:hint="eastAsia"/>
          <w:sz w:val="44"/>
          <w:szCs w:val="44"/>
        </w:rPr>
        <w:t>土地估价技术报告</w:t>
      </w:r>
    </w:p>
    <w:p w:rsidR="0054446D" w:rsidRDefault="0054446D">
      <w:pPr>
        <w:rPr>
          <w:rFonts w:ascii="仿宋" w:eastAsia="仿宋" w:hAnsi="仿宋" w:cs="仿宋"/>
          <w:sz w:val="28"/>
        </w:rPr>
      </w:pPr>
    </w:p>
    <w:p w:rsidR="0054446D" w:rsidRDefault="00FB459A">
      <w:pPr>
        <w:spacing w:line="360" w:lineRule="auto"/>
        <w:ind w:left="1600" w:hangingChars="500" w:hanging="1600"/>
        <w:rPr>
          <w:rFonts w:ascii="仿宋" w:eastAsia="仿宋" w:hAnsi="仿宋" w:cs="仿宋"/>
          <w:sz w:val="32"/>
          <w:szCs w:val="32"/>
        </w:rPr>
      </w:pPr>
      <w:r>
        <w:rPr>
          <w:rFonts w:ascii="仿宋" w:eastAsia="仿宋" w:hAnsi="仿宋" w:cs="仿宋" w:hint="eastAsia"/>
          <w:sz w:val="32"/>
          <w:szCs w:val="32"/>
        </w:rPr>
        <w:t>项目名称：湖南省湘潭市中级人民法院拟确定财产处置参考</w:t>
      </w:r>
      <w:proofErr w:type="gramStart"/>
      <w:r>
        <w:rPr>
          <w:rFonts w:ascii="仿宋" w:eastAsia="仿宋" w:hAnsi="仿宋" w:cs="仿宋" w:hint="eastAsia"/>
          <w:sz w:val="32"/>
          <w:szCs w:val="32"/>
        </w:rPr>
        <w:t>价涉及</w:t>
      </w:r>
      <w:proofErr w:type="gramEnd"/>
      <w:r>
        <w:rPr>
          <w:rFonts w:ascii="仿宋" w:eastAsia="仿宋" w:hAnsi="仿宋" w:cs="仿宋" w:hint="eastAsia"/>
          <w:sz w:val="32"/>
          <w:szCs w:val="32"/>
        </w:rPr>
        <w:t>的位于江西省新余市仰天大道以北的一宗住宅用地土地使用权市场价值评估(新余市仰天大道以北)</w:t>
      </w:r>
    </w:p>
    <w:p w:rsidR="0054446D" w:rsidRDefault="00FB459A">
      <w:pPr>
        <w:spacing w:line="360" w:lineRule="auto"/>
        <w:ind w:left="1600" w:hangingChars="500" w:hanging="1600"/>
        <w:rPr>
          <w:rFonts w:ascii="仿宋" w:eastAsia="仿宋" w:hAnsi="仿宋" w:cs="仿宋"/>
          <w:sz w:val="32"/>
          <w:szCs w:val="32"/>
        </w:rPr>
      </w:pPr>
      <w:r>
        <w:rPr>
          <w:rFonts w:ascii="仿宋" w:eastAsia="仿宋" w:hAnsi="仿宋" w:cs="仿宋" w:hint="eastAsia"/>
          <w:sz w:val="32"/>
          <w:szCs w:val="32"/>
        </w:rPr>
        <w:t>受托估价单位：湖南鹏程资产房地产评估有限公司</w:t>
      </w:r>
    </w:p>
    <w:p w:rsidR="0054446D" w:rsidRDefault="00FB459A">
      <w:pPr>
        <w:spacing w:line="360" w:lineRule="auto"/>
        <w:rPr>
          <w:rFonts w:ascii="仿宋" w:eastAsia="仿宋" w:hAnsi="仿宋" w:cs="仿宋"/>
          <w:sz w:val="32"/>
          <w:szCs w:val="32"/>
        </w:rPr>
      </w:pPr>
      <w:r>
        <w:rPr>
          <w:rFonts w:ascii="仿宋" w:eastAsia="仿宋" w:hAnsi="仿宋" w:cs="仿宋" w:hint="eastAsia"/>
          <w:sz w:val="32"/>
          <w:szCs w:val="32"/>
        </w:rPr>
        <w:t>土地估价报告编号：</w:t>
      </w:r>
      <w:r>
        <w:rPr>
          <w:rFonts w:ascii="仿宋" w:eastAsia="仿宋" w:hAnsi="仿宋" w:cs="仿宋" w:hint="eastAsia"/>
          <w:sz w:val="32"/>
          <w:szCs w:val="32"/>
          <w:highlight w:val="yellow"/>
        </w:rPr>
        <w:t>湘鹏程[2022](</w:t>
      </w:r>
      <w:proofErr w:type="gramStart"/>
      <w:r>
        <w:rPr>
          <w:rFonts w:ascii="仿宋" w:eastAsia="仿宋" w:hAnsi="仿宋" w:cs="仿宋" w:hint="eastAsia"/>
          <w:sz w:val="32"/>
          <w:szCs w:val="32"/>
          <w:highlight w:val="yellow"/>
        </w:rPr>
        <w:t>土估)</w:t>
      </w:r>
      <w:proofErr w:type="gramEnd"/>
      <w:r>
        <w:rPr>
          <w:rFonts w:ascii="仿宋" w:eastAsia="仿宋" w:hAnsi="仿宋" w:cs="仿宋" w:hint="eastAsia"/>
          <w:sz w:val="32"/>
          <w:szCs w:val="32"/>
          <w:highlight w:val="yellow"/>
        </w:rPr>
        <w:t>字第0015号</w:t>
      </w:r>
    </w:p>
    <w:p w:rsidR="0054446D" w:rsidRDefault="00FB459A">
      <w:pPr>
        <w:spacing w:line="360" w:lineRule="auto"/>
        <w:ind w:left="1600" w:hangingChars="500" w:hanging="1600"/>
        <w:rPr>
          <w:rFonts w:ascii="仿宋" w:eastAsia="仿宋" w:hAnsi="仿宋" w:cs="仿宋"/>
          <w:sz w:val="32"/>
          <w:szCs w:val="32"/>
          <w:highlight w:val="yellow"/>
        </w:rPr>
      </w:pPr>
      <w:r>
        <w:rPr>
          <w:rFonts w:ascii="仿宋" w:eastAsia="仿宋" w:hAnsi="仿宋" w:cs="仿宋" w:hint="eastAsia"/>
          <w:sz w:val="32"/>
          <w:szCs w:val="32"/>
        </w:rPr>
        <w:t>土地报告备案号：</w:t>
      </w:r>
    </w:p>
    <w:p w:rsidR="0054446D" w:rsidRDefault="00FB459A">
      <w:pPr>
        <w:spacing w:line="360" w:lineRule="auto"/>
        <w:rPr>
          <w:rFonts w:ascii="仿宋" w:eastAsia="仿宋" w:hAnsi="仿宋" w:cs="仿宋"/>
          <w:sz w:val="32"/>
          <w:szCs w:val="32"/>
        </w:rPr>
      </w:pPr>
      <w:r>
        <w:rPr>
          <w:rFonts w:ascii="仿宋" w:eastAsia="仿宋" w:hAnsi="仿宋" w:cs="仿宋" w:hint="eastAsia"/>
          <w:sz w:val="32"/>
          <w:szCs w:val="32"/>
        </w:rPr>
        <w:t>提交估价报告日期：二〇二二年六月一日</w:t>
      </w:r>
    </w:p>
    <w:p w:rsidR="0054446D" w:rsidRDefault="0054446D" w:rsidP="00F513B3">
      <w:pPr>
        <w:tabs>
          <w:tab w:val="left" w:pos="4320"/>
        </w:tabs>
        <w:spacing w:beforeLines="100" w:afterLines="100" w:line="360" w:lineRule="auto"/>
        <w:jc w:val="center"/>
        <w:rPr>
          <w:rFonts w:ascii="仿宋" w:eastAsia="仿宋" w:hAnsi="仿宋" w:cs="仿宋"/>
          <w:b/>
          <w:sz w:val="32"/>
          <w:szCs w:val="32"/>
        </w:rPr>
      </w:pPr>
    </w:p>
    <w:p w:rsidR="0054446D" w:rsidRDefault="00FB459A">
      <w:pPr>
        <w:spacing w:line="360" w:lineRule="auto"/>
        <w:ind w:left="717"/>
        <w:jc w:val="left"/>
        <w:rPr>
          <w:rFonts w:ascii="仿宋" w:eastAsia="仿宋" w:hAnsi="仿宋" w:cs="仿宋"/>
          <w:b/>
          <w:bCs/>
          <w:sz w:val="32"/>
          <w:szCs w:val="32"/>
        </w:rPr>
      </w:pPr>
      <w:r>
        <w:rPr>
          <w:rFonts w:ascii="仿宋" w:eastAsia="仿宋" w:hAnsi="仿宋" w:cs="仿宋" w:hint="eastAsia"/>
          <w:b/>
          <w:sz w:val="32"/>
        </w:rPr>
        <w:t>关键词：</w:t>
      </w:r>
      <w:r>
        <w:rPr>
          <w:rFonts w:ascii="仿宋" w:eastAsia="仿宋" w:hAnsi="仿宋" w:cs="仿宋" w:hint="eastAsia"/>
          <w:b/>
          <w:bCs/>
          <w:sz w:val="32"/>
          <w:szCs w:val="32"/>
        </w:rPr>
        <w:t>江西省新余市仰天大道以北</w:t>
      </w:r>
    </w:p>
    <w:p w:rsidR="0054446D" w:rsidRDefault="00FB459A">
      <w:pPr>
        <w:spacing w:line="360" w:lineRule="auto"/>
        <w:ind w:left="2020"/>
        <w:jc w:val="left"/>
        <w:rPr>
          <w:rFonts w:ascii="仿宋" w:eastAsia="仿宋" w:hAnsi="仿宋" w:cs="仿宋"/>
          <w:b/>
          <w:sz w:val="32"/>
        </w:rPr>
      </w:pPr>
      <w:r>
        <w:rPr>
          <w:rFonts w:ascii="仿宋" w:eastAsia="仿宋" w:hAnsi="仿宋" w:cs="仿宋" w:hint="eastAsia"/>
          <w:b/>
          <w:bCs/>
          <w:sz w:val="32"/>
          <w:szCs w:val="32"/>
        </w:rPr>
        <w:t>确定财产处置参考价</w:t>
      </w:r>
    </w:p>
    <w:p w:rsidR="0054446D" w:rsidRDefault="00FB459A">
      <w:pPr>
        <w:spacing w:line="360" w:lineRule="auto"/>
        <w:ind w:firstLineChars="637" w:firstLine="2046"/>
        <w:rPr>
          <w:rFonts w:ascii="仿宋" w:eastAsia="仿宋" w:hAnsi="仿宋" w:cs="仿宋"/>
          <w:b/>
          <w:bCs/>
          <w:sz w:val="32"/>
          <w:szCs w:val="32"/>
        </w:rPr>
      </w:pPr>
      <w:r>
        <w:rPr>
          <w:rFonts w:ascii="仿宋" w:eastAsia="仿宋" w:hAnsi="仿宋" w:cs="仿宋" w:hint="eastAsia"/>
          <w:b/>
          <w:bCs/>
          <w:sz w:val="32"/>
          <w:szCs w:val="32"/>
        </w:rPr>
        <w:t>湖南鹏程资产房地产评估有限公司</w:t>
      </w:r>
    </w:p>
    <w:p w:rsidR="0054446D" w:rsidRDefault="00FB459A">
      <w:pPr>
        <w:spacing w:line="360" w:lineRule="auto"/>
        <w:ind w:left="1989" w:right="2746" w:firstLine="31"/>
        <w:jc w:val="left"/>
        <w:rPr>
          <w:rFonts w:ascii="仿宋" w:eastAsia="仿宋" w:hAnsi="仿宋" w:cs="仿宋"/>
          <w:b/>
          <w:sz w:val="32"/>
        </w:rPr>
      </w:pPr>
      <w:r>
        <w:rPr>
          <w:rFonts w:ascii="仿宋" w:eastAsia="仿宋" w:hAnsi="仿宋" w:cs="仿宋" w:hint="eastAsia"/>
          <w:b/>
          <w:sz w:val="32"/>
        </w:rPr>
        <w:t>二Ο二二年</w:t>
      </w:r>
    </w:p>
    <w:p w:rsidR="0054446D" w:rsidRDefault="0054446D">
      <w:pPr>
        <w:spacing w:line="360" w:lineRule="auto"/>
        <w:jc w:val="left"/>
        <w:rPr>
          <w:rFonts w:ascii="仿宋" w:eastAsia="仿宋" w:hAnsi="仿宋" w:cs="仿宋"/>
          <w:sz w:val="32"/>
        </w:rPr>
        <w:sectPr w:rsidR="0054446D">
          <w:pgSz w:w="11910" w:h="16840"/>
          <w:pgMar w:top="1580" w:right="1808" w:bottom="1582" w:left="2217" w:header="720" w:footer="720" w:gutter="0"/>
          <w:cols w:space="720"/>
        </w:sectPr>
      </w:pPr>
    </w:p>
    <w:p w:rsidR="0054446D" w:rsidRDefault="00FB459A">
      <w:pPr>
        <w:tabs>
          <w:tab w:val="left" w:pos="4320"/>
        </w:tabs>
        <w:spacing w:line="360" w:lineRule="auto"/>
        <w:jc w:val="center"/>
        <w:rPr>
          <w:rFonts w:ascii="仿宋" w:eastAsia="仿宋" w:hAnsi="仿宋" w:cs="仿宋"/>
          <w:b/>
          <w:sz w:val="32"/>
          <w:szCs w:val="32"/>
        </w:rPr>
      </w:pPr>
      <w:r>
        <w:rPr>
          <w:rFonts w:ascii="仿宋" w:eastAsia="仿宋" w:hAnsi="仿宋" w:cs="仿宋" w:hint="eastAsia"/>
          <w:b/>
          <w:sz w:val="32"/>
          <w:szCs w:val="32"/>
        </w:rPr>
        <w:lastRenderedPageBreak/>
        <w:t>土地估价技术报告</w:t>
      </w:r>
    </w:p>
    <w:p w:rsidR="0054446D" w:rsidRDefault="00FB459A">
      <w:pPr>
        <w:spacing w:line="360" w:lineRule="auto"/>
        <w:jc w:val="center"/>
        <w:outlineLvl w:val="0"/>
        <w:rPr>
          <w:rFonts w:ascii="仿宋" w:eastAsia="仿宋" w:hAnsi="仿宋" w:cs="仿宋"/>
          <w:b/>
          <w:sz w:val="32"/>
          <w:szCs w:val="32"/>
        </w:rPr>
      </w:pPr>
      <w:bookmarkStart w:id="0" w:name="_Toc25514"/>
      <w:bookmarkStart w:id="1" w:name="_Toc225494977"/>
      <w:bookmarkStart w:id="2" w:name="_Toc20443"/>
      <w:r>
        <w:rPr>
          <w:rFonts w:ascii="仿宋" w:eastAsia="仿宋" w:hAnsi="仿宋" w:cs="仿宋" w:hint="eastAsia"/>
          <w:b/>
          <w:sz w:val="32"/>
          <w:szCs w:val="32"/>
        </w:rPr>
        <w:t>第一部分总述</w:t>
      </w:r>
      <w:bookmarkEnd w:id="0"/>
      <w:bookmarkEnd w:id="1"/>
      <w:bookmarkEnd w:id="2"/>
    </w:p>
    <w:p w:rsidR="0054446D" w:rsidRDefault="00FB459A" w:rsidP="00F513B3">
      <w:pPr>
        <w:spacing w:beforeLines="100" w:afterLines="100" w:line="420" w:lineRule="exact"/>
        <w:outlineLvl w:val="1"/>
        <w:rPr>
          <w:rFonts w:ascii="仿宋" w:eastAsia="仿宋" w:hAnsi="仿宋" w:cs="仿宋"/>
          <w:b/>
          <w:bCs/>
          <w:sz w:val="28"/>
        </w:rPr>
      </w:pPr>
      <w:bookmarkStart w:id="3" w:name="_Toc18612"/>
      <w:bookmarkStart w:id="4" w:name="_Toc7150"/>
      <w:bookmarkStart w:id="5" w:name="_Toc225494980"/>
      <w:bookmarkStart w:id="6" w:name="_Toc20723"/>
      <w:bookmarkStart w:id="7" w:name="_Toc1041"/>
      <w:r>
        <w:rPr>
          <w:rFonts w:ascii="仿宋" w:eastAsia="仿宋" w:hAnsi="仿宋" w:cs="仿宋" w:hint="eastAsia"/>
          <w:b/>
          <w:bCs/>
          <w:sz w:val="28"/>
        </w:rPr>
        <w:t>一、项目名称</w:t>
      </w:r>
      <w:bookmarkEnd w:id="3"/>
      <w:bookmarkEnd w:id="4"/>
    </w:p>
    <w:p w:rsidR="0054446D" w:rsidRDefault="00FB459A">
      <w:pPr>
        <w:spacing w:line="480" w:lineRule="exact"/>
        <w:ind w:firstLine="555"/>
        <w:rPr>
          <w:rFonts w:ascii="仿宋" w:eastAsia="仿宋" w:hAnsi="仿宋" w:cs="仿宋"/>
          <w:kern w:val="0"/>
          <w:sz w:val="28"/>
          <w:szCs w:val="28"/>
        </w:rPr>
      </w:pPr>
      <w:r>
        <w:rPr>
          <w:rFonts w:ascii="仿宋" w:eastAsia="仿宋" w:hAnsi="仿宋" w:cs="仿宋" w:hint="eastAsia"/>
          <w:kern w:val="0"/>
          <w:sz w:val="28"/>
          <w:szCs w:val="28"/>
        </w:rPr>
        <w:t>湖南省湘潭市中级人民法院拟确定财产处置参考</w:t>
      </w:r>
      <w:proofErr w:type="gramStart"/>
      <w:r>
        <w:rPr>
          <w:rFonts w:ascii="仿宋" w:eastAsia="仿宋" w:hAnsi="仿宋" w:cs="仿宋" w:hint="eastAsia"/>
          <w:kern w:val="0"/>
          <w:sz w:val="28"/>
          <w:szCs w:val="28"/>
        </w:rPr>
        <w:t>价涉及</w:t>
      </w:r>
      <w:proofErr w:type="gramEnd"/>
      <w:r>
        <w:rPr>
          <w:rFonts w:ascii="仿宋" w:eastAsia="仿宋" w:hAnsi="仿宋" w:cs="仿宋" w:hint="eastAsia"/>
          <w:kern w:val="0"/>
          <w:sz w:val="28"/>
          <w:szCs w:val="28"/>
        </w:rPr>
        <w:t>的位于江西省新余市仰天大道以北的一宗住宅用地土地使用权市场价值评估(新余市仰天大道以北)。</w:t>
      </w:r>
    </w:p>
    <w:p w:rsidR="0054446D" w:rsidRDefault="00FB459A" w:rsidP="00F513B3">
      <w:pPr>
        <w:numPr>
          <w:ilvl w:val="0"/>
          <w:numId w:val="2"/>
        </w:numPr>
        <w:spacing w:beforeLines="100" w:afterLines="100" w:line="420" w:lineRule="exact"/>
        <w:outlineLvl w:val="1"/>
        <w:rPr>
          <w:rFonts w:ascii="仿宋" w:eastAsia="仿宋" w:hAnsi="仿宋" w:cs="仿宋"/>
          <w:b/>
          <w:bCs/>
          <w:sz w:val="28"/>
        </w:rPr>
      </w:pPr>
      <w:bookmarkStart w:id="8" w:name="_Toc30079"/>
      <w:r>
        <w:rPr>
          <w:rFonts w:ascii="仿宋" w:eastAsia="仿宋" w:hAnsi="仿宋" w:cs="仿宋" w:hint="eastAsia"/>
          <w:b/>
          <w:bCs/>
          <w:sz w:val="28"/>
        </w:rPr>
        <w:t>委托估价人</w:t>
      </w:r>
    </w:p>
    <w:bookmarkEnd w:id="8"/>
    <w:p w:rsidR="0054446D" w:rsidRPr="00B233C2" w:rsidRDefault="00FB459A" w:rsidP="00B233C2">
      <w:pPr>
        <w:spacing w:line="480" w:lineRule="exact"/>
        <w:ind w:firstLine="555"/>
        <w:rPr>
          <w:rFonts w:ascii="仿宋" w:eastAsia="仿宋" w:hAnsi="仿宋" w:cs="仿宋"/>
          <w:kern w:val="0"/>
          <w:sz w:val="28"/>
          <w:szCs w:val="28"/>
        </w:rPr>
      </w:pPr>
      <w:r w:rsidRPr="00B233C2">
        <w:rPr>
          <w:rFonts w:ascii="仿宋" w:eastAsia="仿宋" w:hAnsi="仿宋" w:cs="仿宋" w:hint="eastAsia"/>
          <w:kern w:val="0"/>
          <w:sz w:val="28"/>
          <w:szCs w:val="28"/>
        </w:rPr>
        <w:t>名称：湖南省湘潭市中级人民法院</w:t>
      </w:r>
    </w:p>
    <w:p w:rsidR="0054446D" w:rsidRPr="00B233C2" w:rsidRDefault="00FB459A" w:rsidP="00B233C2">
      <w:pPr>
        <w:spacing w:line="480" w:lineRule="exact"/>
        <w:ind w:firstLine="555"/>
        <w:rPr>
          <w:rFonts w:ascii="仿宋" w:eastAsia="仿宋" w:hAnsi="仿宋" w:cs="仿宋"/>
          <w:kern w:val="0"/>
          <w:sz w:val="28"/>
          <w:szCs w:val="28"/>
        </w:rPr>
      </w:pPr>
      <w:r w:rsidRPr="00B233C2">
        <w:rPr>
          <w:rFonts w:ascii="仿宋" w:eastAsia="仿宋" w:hAnsi="仿宋" w:cs="仿宋" w:hint="eastAsia"/>
          <w:kern w:val="0"/>
          <w:sz w:val="28"/>
          <w:szCs w:val="28"/>
        </w:rPr>
        <w:t>地址：湘潭市岳塘区芙蓉路58号</w:t>
      </w:r>
    </w:p>
    <w:p w:rsidR="0054446D" w:rsidRPr="00B233C2" w:rsidRDefault="00FB459A" w:rsidP="00B233C2">
      <w:pPr>
        <w:spacing w:line="480" w:lineRule="exact"/>
        <w:ind w:firstLine="555"/>
        <w:rPr>
          <w:rFonts w:ascii="仿宋" w:eastAsia="仿宋" w:hAnsi="仿宋" w:cs="仿宋"/>
          <w:kern w:val="0"/>
          <w:sz w:val="28"/>
          <w:szCs w:val="28"/>
        </w:rPr>
      </w:pPr>
      <w:r w:rsidRPr="00B233C2">
        <w:rPr>
          <w:rFonts w:ascii="仿宋" w:eastAsia="仿宋" w:hAnsi="仿宋" w:cs="仿宋" w:hint="eastAsia"/>
          <w:kern w:val="0"/>
          <w:sz w:val="28"/>
          <w:szCs w:val="28"/>
        </w:rPr>
        <w:t>联 系 人：陈法官</w:t>
      </w:r>
    </w:p>
    <w:p w:rsidR="0054446D" w:rsidRDefault="00FB459A" w:rsidP="00B233C2">
      <w:pPr>
        <w:spacing w:line="480" w:lineRule="exact"/>
        <w:ind w:firstLine="555"/>
        <w:rPr>
          <w:rFonts w:ascii="仿宋" w:eastAsia="仿宋" w:hAnsi="仿宋" w:cs="仿宋"/>
          <w:sz w:val="28"/>
        </w:rPr>
      </w:pPr>
      <w:r w:rsidRPr="00B233C2">
        <w:rPr>
          <w:rFonts w:ascii="仿宋" w:eastAsia="仿宋" w:hAnsi="仿宋" w:cs="仿宋" w:hint="eastAsia"/>
          <w:kern w:val="0"/>
          <w:sz w:val="28"/>
          <w:szCs w:val="28"/>
        </w:rPr>
        <w:t>联系电话：17707327799</w:t>
      </w:r>
      <w:r>
        <w:rPr>
          <w:rFonts w:ascii="仿宋" w:eastAsia="仿宋" w:hAnsi="仿宋" w:cs="仿宋" w:hint="eastAsia"/>
          <w:kern w:val="0"/>
          <w:sz w:val="28"/>
          <w:szCs w:val="28"/>
        </w:rPr>
        <w:t>。</w:t>
      </w:r>
    </w:p>
    <w:p w:rsidR="0054446D" w:rsidRDefault="00FB459A" w:rsidP="00F513B3">
      <w:pPr>
        <w:spacing w:beforeLines="100" w:afterLines="100" w:line="420" w:lineRule="exact"/>
        <w:ind w:firstLineChars="100" w:firstLine="281"/>
        <w:outlineLvl w:val="1"/>
        <w:rPr>
          <w:rFonts w:ascii="仿宋" w:eastAsia="仿宋" w:hAnsi="仿宋" w:cs="仿宋"/>
          <w:b/>
          <w:bCs/>
          <w:sz w:val="28"/>
        </w:rPr>
      </w:pPr>
      <w:r>
        <w:rPr>
          <w:rFonts w:ascii="仿宋" w:eastAsia="仿宋" w:hAnsi="仿宋" w:cs="仿宋" w:hint="eastAsia"/>
          <w:b/>
          <w:bCs/>
          <w:sz w:val="28"/>
        </w:rPr>
        <w:t>三、受托估价</w:t>
      </w:r>
      <w:bookmarkEnd w:id="5"/>
      <w:bookmarkEnd w:id="6"/>
      <w:bookmarkEnd w:id="7"/>
      <w:r>
        <w:rPr>
          <w:rFonts w:ascii="仿宋" w:eastAsia="仿宋" w:hAnsi="仿宋" w:cs="仿宋" w:hint="eastAsia"/>
          <w:b/>
          <w:bCs/>
          <w:sz w:val="28"/>
        </w:rPr>
        <w:t>人</w:t>
      </w:r>
    </w:p>
    <w:p w:rsidR="0054446D" w:rsidRDefault="00FB459A">
      <w:pPr>
        <w:spacing w:line="420" w:lineRule="exact"/>
        <w:ind w:leftChars="263" w:left="1952" w:hangingChars="500" w:hanging="1400"/>
        <w:rPr>
          <w:rFonts w:ascii="仿宋" w:eastAsia="仿宋" w:hAnsi="仿宋" w:cs="仿宋"/>
          <w:bCs/>
          <w:sz w:val="28"/>
        </w:rPr>
      </w:pPr>
      <w:r>
        <w:rPr>
          <w:rFonts w:ascii="仿宋" w:eastAsia="仿宋" w:hAnsi="仿宋" w:cs="仿宋" w:hint="eastAsia"/>
          <w:bCs/>
          <w:sz w:val="28"/>
        </w:rPr>
        <w:t>1、企业法人营业执照</w:t>
      </w:r>
    </w:p>
    <w:p w:rsidR="0054446D" w:rsidRDefault="00FB459A">
      <w:pPr>
        <w:spacing w:line="420" w:lineRule="exact"/>
        <w:ind w:leftChars="263" w:left="1952" w:hangingChars="500" w:hanging="1400"/>
        <w:rPr>
          <w:rFonts w:ascii="仿宋" w:eastAsia="仿宋" w:hAnsi="仿宋" w:cs="仿宋"/>
          <w:sz w:val="28"/>
        </w:rPr>
      </w:pPr>
      <w:r>
        <w:rPr>
          <w:rFonts w:ascii="仿宋" w:eastAsia="仿宋" w:hAnsi="仿宋" w:cs="仿宋" w:hint="eastAsia"/>
          <w:sz w:val="28"/>
        </w:rPr>
        <w:t>名称：湖南鹏程资产房地产评估有限公司</w:t>
      </w:r>
    </w:p>
    <w:p w:rsidR="0054446D" w:rsidRDefault="00FB459A">
      <w:pPr>
        <w:spacing w:line="420" w:lineRule="exact"/>
        <w:ind w:leftChars="263" w:left="1952" w:hangingChars="500" w:hanging="1400"/>
        <w:rPr>
          <w:rFonts w:ascii="仿宋" w:eastAsia="仿宋" w:hAnsi="仿宋" w:cs="仿宋"/>
          <w:sz w:val="28"/>
        </w:rPr>
      </w:pPr>
      <w:r>
        <w:rPr>
          <w:rFonts w:ascii="仿宋" w:eastAsia="仿宋" w:hAnsi="仿宋" w:cs="仿宋" w:hint="eastAsia"/>
          <w:sz w:val="28"/>
        </w:rPr>
        <w:t>企业类型：有限责任公司</w:t>
      </w:r>
    </w:p>
    <w:p w:rsidR="0054446D" w:rsidRDefault="00FB459A">
      <w:pPr>
        <w:spacing w:line="420" w:lineRule="exact"/>
        <w:ind w:leftChars="262" w:left="1488" w:hangingChars="335" w:hanging="938"/>
        <w:rPr>
          <w:rFonts w:ascii="仿宋" w:eastAsia="仿宋" w:hAnsi="仿宋" w:cs="仿宋"/>
          <w:sz w:val="28"/>
        </w:rPr>
      </w:pPr>
      <w:r>
        <w:rPr>
          <w:rFonts w:ascii="仿宋" w:eastAsia="仿宋" w:hAnsi="仿宋" w:cs="仿宋" w:hint="eastAsia"/>
          <w:sz w:val="28"/>
        </w:rPr>
        <w:t>住所：</w:t>
      </w:r>
      <w:r>
        <w:rPr>
          <w:rFonts w:ascii="仿宋" w:eastAsia="仿宋" w:hAnsi="仿宋" w:cs="仿宋" w:hint="eastAsia"/>
          <w:spacing w:val="-6"/>
          <w:kern w:val="0"/>
          <w:sz w:val="28"/>
          <w:szCs w:val="28"/>
        </w:rPr>
        <w:t>湖南省长沙市芙蓉区火星街道紫薇路8号华泰大厦（华泰·尚都）801-808室</w:t>
      </w:r>
    </w:p>
    <w:p w:rsidR="0054446D" w:rsidRDefault="00FB459A">
      <w:pPr>
        <w:spacing w:line="420" w:lineRule="exact"/>
        <w:ind w:leftChars="263" w:left="1952" w:hangingChars="500" w:hanging="1400"/>
        <w:rPr>
          <w:rFonts w:ascii="仿宋" w:eastAsia="仿宋" w:hAnsi="仿宋" w:cs="仿宋"/>
          <w:sz w:val="28"/>
        </w:rPr>
      </w:pPr>
      <w:r>
        <w:rPr>
          <w:rFonts w:ascii="仿宋" w:eastAsia="仿宋" w:hAnsi="仿宋" w:cs="仿宋" w:hint="eastAsia"/>
          <w:sz w:val="28"/>
        </w:rPr>
        <w:t>法定代表人：</w:t>
      </w:r>
      <w:r>
        <w:rPr>
          <w:rFonts w:ascii="仿宋" w:eastAsia="仿宋" w:hAnsi="仿宋" w:cs="仿宋" w:hint="eastAsia"/>
          <w:kern w:val="0"/>
          <w:sz w:val="28"/>
          <w:szCs w:val="28"/>
        </w:rPr>
        <w:t>唐战胜</w:t>
      </w:r>
    </w:p>
    <w:p w:rsidR="0054446D" w:rsidRDefault="00FB459A">
      <w:pPr>
        <w:tabs>
          <w:tab w:val="left" w:pos="6300"/>
        </w:tabs>
        <w:spacing w:line="420" w:lineRule="exact"/>
        <w:ind w:leftChars="263" w:left="1952" w:hangingChars="500" w:hanging="1400"/>
        <w:rPr>
          <w:rFonts w:ascii="仿宋" w:eastAsia="仿宋" w:hAnsi="仿宋" w:cs="仿宋"/>
          <w:sz w:val="28"/>
        </w:rPr>
      </w:pPr>
      <w:r>
        <w:rPr>
          <w:rFonts w:ascii="仿宋" w:eastAsia="仿宋" w:hAnsi="仿宋" w:cs="仿宋" w:hint="eastAsia"/>
          <w:sz w:val="28"/>
        </w:rPr>
        <w:t>成立日期：二〇〇八年八月四日</w:t>
      </w:r>
    </w:p>
    <w:p w:rsidR="0054446D" w:rsidRDefault="00FB459A">
      <w:pPr>
        <w:tabs>
          <w:tab w:val="left" w:pos="6300"/>
        </w:tabs>
        <w:spacing w:line="420" w:lineRule="exact"/>
        <w:ind w:leftChars="263" w:left="1952" w:hangingChars="500" w:hanging="1400"/>
        <w:rPr>
          <w:rFonts w:ascii="仿宋" w:eastAsia="仿宋" w:hAnsi="仿宋" w:cs="仿宋"/>
          <w:sz w:val="28"/>
        </w:rPr>
      </w:pPr>
      <w:r>
        <w:rPr>
          <w:rFonts w:ascii="仿宋" w:eastAsia="仿宋" w:hAnsi="仿宋" w:cs="仿宋" w:hint="eastAsia"/>
          <w:sz w:val="28"/>
        </w:rPr>
        <w:t>注册号：</w:t>
      </w:r>
      <w:r>
        <w:rPr>
          <w:rFonts w:ascii="仿宋" w:eastAsia="仿宋" w:hAnsi="仿宋" w:cs="仿宋" w:hint="eastAsia"/>
          <w:kern w:val="0"/>
          <w:sz w:val="28"/>
          <w:szCs w:val="28"/>
        </w:rPr>
        <w:t>9143010567801895XO</w:t>
      </w:r>
    </w:p>
    <w:p w:rsidR="0054446D" w:rsidRDefault="00FB459A">
      <w:pPr>
        <w:spacing w:line="420" w:lineRule="exact"/>
        <w:ind w:leftChars="263" w:left="1952" w:hangingChars="500" w:hanging="1400"/>
        <w:rPr>
          <w:rFonts w:ascii="仿宋" w:eastAsia="仿宋" w:hAnsi="仿宋" w:cs="仿宋"/>
          <w:sz w:val="28"/>
        </w:rPr>
      </w:pPr>
      <w:r>
        <w:rPr>
          <w:rFonts w:ascii="仿宋" w:eastAsia="仿宋" w:hAnsi="仿宋" w:cs="仿宋" w:hint="eastAsia"/>
          <w:sz w:val="28"/>
        </w:rPr>
        <w:t>登记机关：长沙市芙蓉区行政审批服务局</w:t>
      </w:r>
    </w:p>
    <w:p w:rsidR="0054446D" w:rsidRDefault="00FB459A">
      <w:pPr>
        <w:spacing w:line="420" w:lineRule="exact"/>
        <w:ind w:leftChars="263" w:left="1952" w:hangingChars="500" w:hanging="1400"/>
        <w:rPr>
          <w:rFonts w:ascii="仿宋" w:eastAsia="仿宋" w:hAnsi="仿宋" w:cs="仿宋"/>
          <w:sz w:val="28"/>
        </w:rPr>
      </w:pPr>
      <w:r>
        <w:rPr>
          <w:rFonts w:ascii="仿宋" w:eastAsia="仿宋" w:hAnsi="仿宋" w:cs="仿宋" w:hint="eastAsia"/>
          <w:sz w:val="28"/>
        </w:rPr>
        <w:t>发证日期：二〇一九年九月三日</w:t>
      </w:r>
    </w:p>
    <w:p w:rsidR="0054446D" w:rsidRDefault="00FB459A">
      <w:pPr>
        <w:numPr>
          <w:ilvl w:val="0"/>
          <w:numId w:val="3"/>
        </w:numPr>
        <w:spacing w:line="420" w:lineRule="exact"/>
        <w:ind w:leftChars="263" w:left="1952" w:hangingChars="500" w:hanging="1400"/>
        <w:rPr>
          <w:rFonts w:ascii="仿宋" w:eastAsia="仿宋" w:hAnsi="仿宋" w:cs="仿宋"/>
          <w:sz w:val="28"/>
        </w:rPr>
      </w:pPr>
      <w:r>
        <w:rPr>
          <w:rFonts w:ascii="仿宋" w:eastAsia="仿宋" w:hAnsi="仿宋" w:cs="仿宋" w:hint="eastAsia"/>
          <w:sz w:val="28"/>
        </w:rPr>
        <w:t>土地估价机构备案证明</w:t>
      </w:r>
    </w:p>
    <w:p w:rsidR="0054446D" w:rsidRDefault="00FB459A">
      <w:pPr>
        <w:spacing w:line="420" w:lineRule="exact"/>
        <w:ind w:firstLineChars="200" w:firstLine="560"/>
        <w:rPr>
          <w:rFonts w:ascii="仿宋" w:eastAsia="仿宋" w:hAnsi="仿宋" w:cs="仿宋"/>
          <w:sz w:val="28"/>
        </w:rPr>
      </w:pPr>
      <w:r>
        <w:rPr>
          <w:rFonts w:ascii="仿宋" w:eastAsia="仿宋" w:hAnsi="仿宋" w:cs="仿宋" w:hint="eastAsia"/>
          <w:sz w:val="28"/>
        </w:rPr>
        <w:t>机构名称：湖南鹏程资产房地产评估有限公司</w:t>
      </w:r>
    </w:p>
    <w:p w:rsidR="0054446D" w:rsidRDefault="00FB459A">
      <w:pPr>
        <w:spacing w:line="420" w:lineRule="exact"/>
        <w:ind w:leftChars="263" w:left="1952" w:hangingChars="500" w:hanging="1400"/>
        <w:rPr>
          <w:rFonts w:ascii="仿宋" w:eastAsia="仿宋" w:hAnsi="仿宋" w:cs="仿宋"/>
          <w:kern w:val="0"/>
          <w:sz w:val="28"/>
          <w:szCs w:val="28"/>
        </w:rPr>
      </w:pPr>
      <w:r>
        <w:rPr>
          <w:rFonts w:ascii="仿宋" w:eastAsia="仿宋" w:hAnsi="仿宋" w:cs="仿宋" w:hint="eastAsia"/>
          <w:kern w:val="0"/>
          <w:sz w:val="28"/>
          <w:szCs w:val="28"/>
        </w:rPr>
        <w:t>备案编号：2020430122</w:t>
      </w:r>
    </w:p>
    <w:p w:rsidR="0054446D" w:rsidRDefault="00FB459A">
      <w:pPr>
        <w:spacing w:line="420" w:lineRule="exact"/>
        <w:ind w:leftChars="263" w:left="1952" w:hangingChars="500" w:hanging="1400"/>
        <w:rPr>
          <w:rFonts w:ascii="仿宋" w:eastAsia="仿宋" w:hAnsi="仿宋" w:cs="仿宋"/>
          <w:sz w:val="28"/>
        </w:rPr>
      </w:pPr>
      <w:bookmarkStart w:id="9" w:name="_Toc15475"/>
      <w:bookmarkStart w:id="10" w:name="_Toc25263"/>
      <w:bookmarkStart w:id="11" w:name="_Toc225494981"/>
      <w:r>
        <w:rPr>
          <w:rFonts w:ascii="仿宋" w:eastAsia="仿宋" w:hAnsi="仿宋" w:cs="仿宋" w:hint="eastAsia"/>
          <w:sz w:val="28"/>
        </w:rPr>
        <w:t>统一社会信用代码：</w:t>
      </w:r>
      <w:r>
        <w:rPr>
          <w:rFonts w:ascii="仿宋" w:eastAsia="仿宋" w:hAnsi="仿宋" w:cs="仿宋" w:hint="eastAsia"/>
          <w:kern w:val="0"/>
          <w:sz w:val="28"/>
          <w:szCs w:val="28"/>
        </w:rPr>
        <w:t>9143010567801895X0</w:t>
      </w:r>
    </w:p>
    <w:p w:rsidR="0054446D" w:rsidRDefault="00FB459A">
      <w:pPr>
        <w:spacing w:line="420" w:lineRule="exact"/>
        <w:ind w:leftChars="263" w:left="1952" w:hangingChars="500" w:hanging="1400"/>
        <w:rPr>
          <w:rFonts w:ascii="仿宋" w:eastAsia="仿宋" w:hAnsi="仿宋" w:cs="仿宋"/>
          <w:sz w:val="28"/>
        </w:rPr>
      </w:pPr>
      <w:r>
        <w:rPr>
          <w:rFonts w:ascii="仿宋" w:eastAsia="仿宋" w:hAnsi="仿宋" w:cs="仿宋" w:hint="eastAsia"/>
          <w:sz w:val="28"/>
        </w:rPr>
        <w:lastRenderedPageBreak/>
        <w:t>法定代表人（执行事务合伙人）：</w:t>
      </w:r>
      <w:r>
        <w:rPr>
          <w:rFonts w:ascii="仿宋" w:eastAsia="仿宋" w:hAnsi="仿宋" w:cs="仿宋" w:hint="eastAsia"/>
          <w:kern w:val="0"/>
          <w:sz w:val="28"/>
          <w:szCs w:val="28"/>
        </w:rPr>
        <w:t>唐战胜</w:t>
      </w:r>
    </w:p>
    <w:p w:rsidR="0054446D" w:rsidRDefault="00FB459A">
      <w:pPr>
        <w:spacing w:line="420" w:lineRule="exact"/>
        <w:ind w:leftChars="263" w:left="1952" w:hangingChars="500" w:hanging="1400"/>
        <w:rPr>
          <w:rFonts w:ascii="仿宋" w:eastAsia="仿宋" w:hAnsi="仿宋" w:cs="仿宋"/>
          <w:kern w:val="0"/>
          <w:sz w:val="28"/>
          <w:szCs w:val="28"/>
        </w:rPr>
      </w:pPr>
      <w:r>
        <w:rPr>
          <w:rFonts w:ascii="仿宋" w:eastAsia="仿宋" w:hAnsi="仿宋" w:cs="仿宋" w:hint="eastAsia"/>
          <w:sz w:val="28"/>
        </w:rPr>
        <w:t>备案时间：二〇二二年五月十六日</w:t>
      </w:r>
    </w:p>
    <w:p w:rsidR="0054446D" w:rsidRDefault="00FB459A" w:rsidP="00F513B3">
      <w:pPr>
        <w:spacing w:beforeLines="100" w:afterLines="100" w:line="420" w:lineRule="exact"/>
        <w:outlineLvl w:val="1"/>
        <w:rPr>
          <w:rFonts w:ascii="仿宋" w:eastAsia="仿宋" w:hAnsi="仿宋" w:cs="仿宋"/>
          <w:sz w:val="28"/>
        </w:rPr>
      </w:pPr>
      <w:r>
        <w:rPr>
          <w:rFonts w:ascii="仿宋" w:eastAsia="仿宋" w:hAnsi="仿宋" w:cs="仿宋" w:hint="eastAsia"/>
          <w:b/>
          <w:bCs/>
          <w:sz w:val="28"/>
        </w:rPr>
        <w:t>四、估价目的</w:t>
      </w:r>
      <w:bookmarkEnd w:id="9"/>
      <w:bookmarkEnd w:id="10"/>
      <w:bookmarkEnd w:id="11"/>
    </w:p>
    <w:p w:rsidR="0054446D" w:rsidRDefault="00FB459A">
      <w:pPr>
        <w:spacing w:line="420" w:lineRule="exact"/>
        <w:ind w:firstLine="555"/>
        <w:rPr>
          <w:rFonts w:ascii="仿宋" w:eastAsia="仿宋" w:hAnsi="仿宋" w:cs="仿宋"/>
          <w:bCs/>
          <w:sz w:val="28"/>
        </w:rPr>
      </w:pPr>
      <w:bookmarkStart w:id="12" w:name="_Toc225494982"/>
      <w:bookmarkStart w:id="13" w:name="_Toc770"/>
      <w:bookmarkStart w:id="14" w:name="_Toc32333"/>
      <w:r>
        <w:rPr>
          <w:rFonts w:ascii="仿宋_GB2312" w:eastAsia="仿宋_GB2312" w:hAnsi="仿宋" w:hint="eastAsia"/>
          <w:sz w:val="28"/>
        </w:rPr>
        <w:t>因</w:t>
      </w:r>
      <w:r>
        <w:rPr>
          <w:rFonts w:ascii="仿宋_GB2312" w:eastAsia="仿宋_GB2312" w:hint="eastAsia"/>
          <w:bCs/>
          <w:sz w:val="28"/>
        </w:rPr>
        <w:t>湖南省湘潭市中级人民法院</w:t>
      </w:r>
      <w:r w:rsidR="00CE560F">
        <w:rPr>
          <w:rFonts w:ascii="仿宋_GB2312" w:eastAsia="仿宋_GB2312" w:hAnsi="仿宋" w:hint="eastAsia"/>
          <w:sz w:val="28"/>
        </w:rPr>
        <w:t>执行</w:t>
      </w:r>
      <w:r>
        <w:rPr>
          <w:rFonts w:ascii="仿宋_GB2312" w:eastAsia="仿宋_GB2312" w:hAnsi="仿宋" w:hint="eastAsia"/>
          <w:sz w:val="28"/>
        </w:rPr>
        <w:t>的华融湘江银行股份有限公司湘潭分行与湘潭</w:t>
      </w:r>
      <w:proofErr w:type="gramStart"/>
      <w:r>
        <w:rPr>
          <w:rFonts w:ascii="仿宋_GB2312" w:eastAsia="仿宋_GB2312" w:hAnsi="仿宋" w:hint="eastAsia"/>
          <w:sz w:val="28"/>
        </w:rPr>
        <w:t>锌海工贸</w:t>
      </w:r>
      <w:proofErr w:type="gramEnd"/>
      <w:r>
        <w:rPr>
          <w:rFonts w:ascii="仿宋_GB2312" w:eastAsia="仿宋_GB2312" w:hAnsi="仿宋" w:hint="eastAsia"/>
          <w:sz w:val="28"/>
        </w:rPr>
        <w:t>有限公司、湘潭</w:t>
      </w:r>
      <w:proofErr w:type="gramStart"/>
      <w:r>
        <w:rPr>
          <w:rFonts w:ascii="仿宋_GB2312" w:eastAsia="仿宋_GB2312" w:hAnsi="仿宋" w:hint="eastAsia"/>
          <w:sz w:val="28"/>
        </w:rPr>
        <w:t>凯</w:t>
      </w:r>
      <w:proofErr w:type="gramEnd"/>
      <w:r>
        <w:rPr>
          <w:rFonts w:ascii="仿宋_GB2312" w:eastAsia="仿宋_GB2312" w:hAnsi="仿宋" w:hint="eastAsia"/>
          <w:sz w:val="28"/>
        </w:rPr>
        <w:t>利</w:t>
      </w:r>
      <w:proofErr w:type="gramStart"/>
      <w:r>
        <w:rPr>
          <w:rFonts w:ascii="仿宋_GB2312" w:eastAsia="仿宋_GB2312" w:hAnsi="仿宋" w:hint="eastAsia"/>
          <w:sz w:val="28"/>
        </w:rPr>
        <w:t>鑫</w:t>
      </w:r>
      <w:proofErr w:type="gramEnd"/>
      <w:r>
        <w:rPr>
          <w:rFonts w:ascii="仿宋_GB2312" w:eastAsia="仿宋_GB2312" w:hAnsi="仿宋" w:hint="eastAsia"/>
          <w:sz w:val="28"/>
        </w:rPr>
        <w:t>投资有限公司、江西骏丰置业有限公司、李海华、章淋淋、傅九根、李海莲、胡小青、林晓</w:t>
      </w:r>
      <w:proofErr w:type="gramStart"/>
      <w:r>
        <w:rPr>
          <w:rFonts w:ascii="仿宋_GB2312" w:eastAsia="仿宋_GB2312" w:hAnsi="仿宋" w:hint="eastAsia"/>
          <w:sz w:val="28"/>
        </w:rPr>
        <w:t>萍金融</w:t>
      </w:r>
      <w:proofErr w:type="gramEnd"/>
      <w:r>
        <w:rPr>
          <w:rFonts w:ascii="仿宋_GB2312" w:eastAsia="仿宋_GB2312" w:hAnsi="仿宋" w:hint="eastAsia"/>
          <w:sz w:val="28"/>
        </w:rPr>
        <w:t>借款合同纠纷一案，需了解估价对象的市场价值，故本次估价目的是为</w:t>
      </w:r>
      <w:r>
        <w:rPr>
          <w:rFonts w:ascii="仿宋_GB2312" w:eastAsia="仿宋_GB2312" w:hint="eastAsia"/>
          <w:bCs/>
          <w:sz w:val="28"/>
        </w:rPr>
        <w:t>湖南省湘潭市中级人民法院</w:t>
      </w:r>
      <w:r>
        <w:rPr>
          <w:rFonts w:ascii="仿宋_GB2312" w:eastAsia="仿宋_GB2312" w:hAnsi="仿宋" w:hint="eastAsia"/>
          <w:sz w:val="28"/>
        </w:rPr>
        <w:t>确定财产处置参考</w:t>
      </w:r>
      <w:proofErr w:type="gramStart"/>
      <w:r>
        <w:rPr>
          <w:rFonts w:ascii="仿宋_GB2312" w:eastAsia="仿宋_GB2312" w:hAnsi="仿宋" w:hint="eastAsia"/>
          <w:sz w:val="28"/>
        </w:rPr>
        <w:t>价提供</w:t>
      </w:r>
      <w:proofErr w:type="gramEnd"/>
      <w:r>
        <w:rPr>
          <w:rFonts w:ascii="仿宋_GB2312" w:eastAsia="仿宋_GB2312" w:hAnsi="仿宋" w:hint="eastAsia"/>
          <w:sz w:val="28"/>
        </w:rPr>
        <w:t>参考依据而评估土地使用权市场价值</w:t>
      </w:r>
      <w:r>
        <w:rPr>
          <w:rFonts w:ascii="仿宋" w:eastAsia="仿宋" w:hAnsi="仿宋" w:cs="仿宋" w:hint="eastAsia"/>
          <w:kern w:val="0"/>
          <w:sz w:val="28"/>
          <w:szCs w:val="28"/>
        </w:rPr>
        <w:t>。</w:t>
      </w:r>
    </w:p>
    <w:p w:rsidR="0054446D" w:rsidRDefault="00FB459A" w:rsidP="00F513B3">
      <w:pPr>
        <w:spacing w:beforeLines="84" w:afterLines="71" w:line="420" w:lineRule="exact"/>
        <w:rPr>
          <w:rFonts w:ascii="仿宋" w:eastAsia="仿宋" w:hAnsi="仿宋" w:cs="仿宋"/>
          <w:b/>
          <w:bCs/>
          <w:sz w:val="28"/>
        </w:rPr>
      </w:pPr>
      <w:r>
        <w:rPr>
          <w:rFonts w:ascii="仿宋" w:eastAsia="仿宋" w:hAnsi="仿宋" w:cs="仿宋" w:hint="eastAsia"/>
          <w:b/>
          <w:bCs/>
          <w:sz w:val="28"/>
        </w:rPr>
        <w:t>五、</w:t>
      </w:r>
      <w:bookmarkEnd w:id="12"/>
      <w:bookmarkEnd w:id="13"/>
      <w:bookmarkEnd w:id="14"/>
      <w:r>
        <w:rPr>
          <w:rFonts w:ascii="仿宋" w:eastAsia="仿宋" w:hAnsi="仿宋" w:cs="仿宋" w:hint="eastAsia"/>
          <w:b/>
          <w:bCs/>
          <w:sz w:val="28"/>
        </w:rPr>
        <w:t>估价依据</w:t>
      </w:r>
    </w:p>
    <w:p w:rsidR="0054446D" w:rsidRDefault="00FB459A">
      <w:pPr>
        <w:spacing w:line="420" w:lineRule="exact"/>
        <w:ind w:firstLineChars="200" w:firstLine="560"/>
        <w:outlineLvl w:val="2"/>
        <w:rPr>
          <w:rFonts w:ascii="仿宋_GB2312" w:eastAsia="仿宋_GB2312"/>
          <w:sz w:val="28"/>
        </w:rPr>
      </w:pPr>
      <w:bookmarkStart w:id="15" w:name="_Toc4265"/>
      <w:bookmarkStart w:id="16" w:name="_Toc28852"/>
      <w:bookmarkStart w:id="17" w:name="_Toc225494983"/>
      <w:bookmarkStart w:id="18" w:name="_Toc3038"/>
      <w:bookmarkStart w:id="19" w:name="_Toc13560"/>
      <w:r>
        <w:rPr>
          <w:rFonts w:ascii="仿宋_GB2312" w:eastAsia="仿宋_GB2312" w:hint="eastAsia"/>
          <w:sz w:val="28"/>
        </w:rPr>
        <w:t>（一）国家有关法律法规、政策文件</w:t>
      </w:r>
      <w:bookmarkEnd w:id="15"/>
      <w:bookmarkEnd w:id="16"/>
    </w:p>
    <w:p w:rsidR="0054446D" w:rsidRDefault="00FB459A">
      <w:pPr>
        <w:spacing w:line="420" w:lineRule="exact"/>
        <w:ind w:firstLineChars="200" w:firstLine="560"/>
        <w:rPr>
          <w:rFonts w:ascii="仿宋_GB2312" w:eastAsia="仿宋_GB2312"/>
          <w:sz w:val="28"/>
        </w:rPr>
      </w:pPr>
      <w:r>
        <w:rPr>
          <w:rFonts w:ascii="仿宋_GB2312" w:eastAsia="仿宋_GB2312" w:hint="eastAsia"/>
          <w:sz w:val="28"/>
        </w:rPr>
        <w:t>1、</w:t>
      </w:r>
      <w:r>
        <w:rPr>
          <w:rFonts w:ascii="仿宋_GB2312" w:eastAsia="仿宋_GB2312" w:hint="eastAsia"/>
          <w:sz w:val="28"/>
          <w:szCs w:val="22"/>
        </w:rPr>
        <w:t>《中华人民共和国土地管理法》（2019年8月26日，十三届全国人大常委会第十二次会议修订）</w:t>
      </w:r>
      <w:r>
        <w:rPr>
          <w:rFonts w:ascii="仿宋_GB2312" w:eastAsia="仿宋_GB2312" w:hint="eastAsia"/>
          <w:sz w:val="28"/>
        </w:rPr>
        <w:t>；</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rPr>
        <w:t>2、《中华人民共和国城市房地产管理法》(</w:t>
      </w:r>
      <w:r>
        <w:rPr>
          <w:rFonts w:ascii="仿宋_GB2312" w:eastAsia="仿宋_GB2312"/>
          <w:sz w:val="28"/>
        </w:rPr>
        <w:t>2019年8月26日，十三届全国人大常委会第十二次会议表决通过关于修改土地管理法、城市房地产管理法的决定。自2020年1月1日起施行</w:t>
      </w:r>
      <w:r>
        <w:rPr>
          <w:rFonts w:ascii="仿宋_GB2312" w:eastAsia="仿宋_GB2312" w:hint="eastAsia"/>
          <w:sz w:val="28"/>
        </w:rPr>
        <w:t>)；</w:t>
      </w:r>
    </w:p>
    <w:p w:rsidR="0054446D" w:rsidRDefault="00FB459A">
      <w:pPr>
        <w:spacing w:line="420" w:lineRule="exact"/>
        <w:ind w:firstLineChars="200" w:firstLine="560"/>
        <w:rPr>
          <w:rFonts w:ascii="仿宋_GB2312" w:eastAsia="仿宋_GB2312"/>
          <w:sz w:val="28"/>
        </w:rPr>
      </w:pPr>
      <w:r>
        <w:rPr>
          <w:rFonts w:ascii="仿宋_GB2312" w:eastAsia="仿宋_GB2312" w:hint="eastAsia"/>
          <w:sz w:val="28"/>
        </w:rPr>
        <w:t>3、《中华人民共和国民法典</w:t>
      </w:r>
      <w:r>
        <w:rPr>
          <w:rFonts w:ascii="仿宋_GB2312" w:eastAsia="仿宋_GB2312" w:hint="eastAsia"/>
          <w:sz w:val="28"/>
          <w:szCs w:val="22"/>
        </w:rPr>
        <w:t>》</w:t>
      </w:r>
      <w:r>
        <w:rPr>
          <w:rFonts w:ascii="仿宋_GB2312" w:eastAsia="仿宋_GB2312" w:hint="eastAsia"/>
          <w:sz w:val="28"/>
        </w:rPr>
        <w:t>（2020年5月28日第十三届全国人民代表大会第三次会议通过）；</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4、《中华人民共和国城乡规划法》（中华人民共和国主席令第七十四号，</w:t>
      </w:r>
      <w:r>
        <w:rPr>
          <w:rFonts w:ascii="仿宋_GB2312" w:eastAsia="仿宋_GB2312"/>
          <w:sz w:val="28"/>
          <w:szCs w:val="28"/>
        </w:rPr>
        <w:t>根据2019年4月23日第十三届全国人民代表大会常务委员会第十次会议《关于修改〈中华人民共和国建筑法〉等八部法律的决定》第二次修正</w:t>
      </w:r>
      <w:r>
        <w:rPr>
          <w:rFonts w:ascii="仿宋_GB2312" w:eastAsia="仿宋_GB2312" w:hint="eastAsia"/>
          <w:sz w:val="28"/>
          <w:szCs w:val="28"/>
        </w:rPr>
        <w:t>）；</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5、《中华人民共和国资产评估法》（中华人民共和国主席令第四十六号，自2016年12月1日起施行）；</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6、《中华人民共和国土地管理法实施条例》（</w:t>
      </w:r>
      <w:r>
        <w:rPr>
          <w:rFonts w:ascii="仿宋_GB2312" w:eastAsia="仿宋_GB2312"/>
          <w:sz w:val="28"/>
          <w:szCs w:val="28"/>
        </w:rPr>
        <w:t>国务院第132次会议修订通过《中华人民共和国土地管理法实施条例》，自2021年9月1日起施</w:t>
      </w:r>
      <w:r>
        <w:rPr>
          <w:rFonts w:ascii="仿宋_GB2312" w:eastAsia="仿宋_GB2312" w:hint="eastAsia"/>
          <w:sz w:val="28"/>
          <w:szCs w:val="28"/>
        </w:rPr>
        <w:t>）；</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7、《中华人民共和国城镇国有土地使用权出让和转让暂行条例》（国务院令第55号，从1990年5月19日起实施）；</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8、《国务院关于加强国有土地资产管理的通知》（国发[2001]15号，自2001年7月31日起实施）；</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9、《国务院关于深化改革严格土地管理的决定》(国发[2004]28号，自2004年10月21日起实施)；</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10、国土资源部《关于改革土地估价结果确认和土地资产处置审批办法的通知》（</w:t>
      </w:r>
      <w:proofErr w:type="gramStart"/>
      <w:r>
        <w:rPr>
          <w:rFonts w:ascii="仿宋_GB2312" w:eastAsia="仿宋_GB2312" w:hint="eastAsia"/>
          <w:sz w:val="28"/>
          <w:szCs w:val="28"/>
        </w:rPr>
        <w:t>国土资发〔2001〕</w:t>
      </w:r>
      <w:proofErr w:type="gramEnd"/>
      <w:r>
        <w:rPr>
          <w:rFonts w:ascii="仿宋_GB2312" w:eastAsia="仿宋_GB2312" w:hint="eastAsia"/>
          <w:sz w:val="28"/>
          <w:szCs w:val="28"/>
        </w:rPr>
        <w:t>44号,从2001年2月13日起实施）；</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11、《国家税务总局关于加强土地增值税征管工作的通知》（国税发[2010]53号,从2010年07月07日起实施）；</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12、《节约集约利用土地规定》（中华人民共和国国土资源部令第61号，从2014年9月1日起实施）；</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13、《关于全面推开营业税改征增值税试点的通知》(财税〔2016〕36号，自2017年12月31日起实施)；</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14、《闲置土地处置办法》（国土资源部令第53号，自2012年7月1日起施行）；</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15、最高人民法院关于印发《人民法院司法鉴定工作暂行规定》的通知（法发[2001]23号）；</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16、《最高人民法院关于人民法院委托评估、拍卖和变卖工作的若干规定》(法释［2009］16号)；</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17、《最高人民法院关于人民法院确定财产处置参考价若干问题的规定》（法释[2018]15号）；</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18、《人民法院委托评估工作规范》（法办[2018]273号）；</w:t>
      </w:r>
    </w:p>
    <w:p w:rsidR="0054446D" w:rsidRDefault="00FB459A">
      <w:pPr>
        <w:spacing w:line="420" w:lineRule="exact"/>
        <w:ind w:firstLineChars="200" w:firstLine="560"/>
        <w:outlineLvl w:val="2"/>
        <w:rPr>
          <w:rFonts w:ascii="仿宋_GB2312" w:eastAsia="仿宋_GB2312"/>
          <w:sz w:val="28"/>
          <w:szCs w:val="28"/>
        </w:rPr>
      </w:pPr>
      <w:bookmarkStart w:id="20" w:name="_Toc21914"/>
      <w:bookmarkStart w:id="21" w:name="_Toc15044"/>
      <w:r>
        <w:rPr>
          <w:rFonts w:ascii="仿宋_GB2312" w:eastAsia="仿宋_GB2312" w:hint="eastAsia"/>
          <w:sz w:val="28"/>
          <w:szCs w:val="28"/>
        </w:rPr>
        <w:t>（二）、地方有关法规及政策文件</w:t>
      </w:r>
      <w:bookmarkEnd w:id="20"/>
      <w:bookmarkEnd w:id="21"/>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（1）《江西省实施&lt;中华人民共和国土地管理法&gt;办法》（</w:t>
      </w:r>
      <w:r>
        <w:rPr>
          <w:rFonts w:ascii="仿宋_GB2312" w:eastAsia="仿宋_GB2312"/>
          <w:sz w:val="28"/>
          <w:szCs w:val="28"/>
        </w:rPr>
        <w:t>2022年3月29日江西省第十三届人民代表大会常务委员会第三十七次会议第二次修订</w:t>
      </w:r>
      <w:r>
        <w:rPr>
          <w:rFonts w:ascii="仿宋_GB2312" w:eastAsia="仿宋_GB2312" w:hint="eastAsia"/>
          <w:sz w:val="28"/>
          <w:szCs w:val="28"/>
        </w:rPr>
        <w:t>）；</w:t>
      </w:r>
    </w:p>
    <w:p w:rsidR="0054446D" w:rsidRDefault="00FB459A">
      <w:pPr>
        <w:spacing w:line="420" w:lineRule="exact"/>
        <w:ind w:firstLineChars="200" w:firstLine="560"/>
        <w:outlineLvl w:val="2"/>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江西省人民政府关于进一步加强土地市场建设的通知</w:t>
      </w:r>
      <w:r>
        <w:rPr>
          <w:rFonts w:ascii="仿宋_GB2312" w:eastAsia="仿宋_GB2312" w:hint="eastAsia"/>
          <w:sz w:val="28"/>
          <w:szCs w:val="28"/>
        </w:rPr>
        <w:t>》（</w:t>
      </w:r>
      <w:r>
        <w:rPr>
          <w:rFonts w:ascii="仿宋_GB2312" w:eastAsia="仿宋_GB2312"/>
          <w:sz w:val="28"/>
          <w:szCs w:val="28"/>
        </w:rPr>
        <w:t>赣府发〔2000〕41号</w:t>
      </w:r>
      <w:r>
        <w:rPr>
          <w:rFonts w:ascii="仿宋_GB2312" w:eastAsia="仿宋_GB2312" w:hint="eastAsia"/>
          <w:sz w:val="28"/>
          <w:szCs w:val="28"/>
        </w:rPr>
        <w:t>）；</w:t>
      </w:r>
    </w:p>
    <w:p w:rsidR="0054446D" w:rsidRDefault="00FB459A">
      <w:pPr>
        <w:spacing w:line="420" w:lineRule="exact"/>
        <w:ind w:firstLineChars="200" w:firstLine="560"/>
        <w:outlineLvl w:val="2"/>
        <w:rPr>
          <w:rFonts w:ascii="仿宋_GB2312" w:eastAsia="仿宋_GB2312"/>
          <w:sz w:val="28"/>
          <w:szCs w:val="28"/>
        </w:rPr>
      </w:pPr>
      <w:r>
        <w:rPr>
          <w:rFonts w:ascii="仿宋_GB2312" w:eastAsia="仿宋_GB2312" w:hint="eastAsia"/>
          <w:sz w:val="28"/>
          <w:szCs w:val="28"/>
        </w:rPr>
        <w:t>（3）《</w:t>
      </w:r>
      <w:r>
        <w:rPr>
          <w:rFonts w:ascii="仿宋_GB2312" w:eastAsia="仿宋_GB2312"/>
          <w:sz w:val="28"/>
          <w:szCs w:val="28"/>
        </w:rPr>
        <w:t>江西省城市国有土地使用权出让和划拨管理条例</w:t>
      </w:r>
      <w:r>
        <w:rPr>
          <w:rFonts w:ascii="仿宋_GB2312" w:eastAsia="仿宋_GB2312" w:hint="eastAsia"/>
          <w:sz w:val="28"/>
          <w:szCs w:val="28"/>
        </w:rPr>
        <w:t>》（</w:t>
      </w:r>
      <w:r>
        <w:rPr>
          <w:rFonts w:ascii="仿宋_GB2312" w:eastAsia="仿宋_GB2312"/>
          <w:sz w:val="28"/>
          <w:szCs w:val="28"/>
        </w:rPr>
        <w:t>2010年11月26日江西省第十一届人民代表大会常务委员会第二十次会议第二次修正</w:t>
      </w:r>
      <w:r>
        <w:rPr>
          <w:rFonts w:ascii="仿宋_GB2312" w:eastAsia="仿宋_GB2312" w:hint="eastAsia"/>
          <w:sz w:val="28"/>
          <w:szCs w:val="28"/>
        </w:rPr>
        <w:t>）；</w:t>
      </w:r>
    </w:p>
    <w:p w:rsidR="0054446D" w:rsidRDefault="00FB459A">
      <w:pPr>
        <w:spacing w:line="420" w:lineRule="exact"/>
        <w:ind w:firstLineChars="200" w:firstLine="560"/>
        <w:outlineLvl w:val="2"/>
        <w:rPr>
          <w:rFonts w:ascii="仿宋_GB2312" w:eastAsia="仿宋_GB2312"/>
          <w:sz w:val="28"/>
          <w:szCs w:val="28"/>
        </w:rPr>
      </w:pPr>
      <w:r>
        <w:rPr>
          <w:rFonts w:ascii="仿宋_GB2312" w:eastAsia="仿宋_GB2312" w:hint="eastAsia"/>
          <w:sz w:val="28"/>
          <w:szCs w:val="28"/>
        </w:rPr>
        <w:t>（4）《</w:t>
      </w:r>
      <w:r>
        <w:rPr>
          <w:rFonts w:ascii="仿宋_GB2312" w:eastAsia="仿宋_GB2312"/>
          <w:sz w:val="28"/>
          <w:szCs w:val="28"/>
        </w:rPr>
        <w:t>江西省地方教育附加征收管理办法</w:t>
      </w:r>
      <w:r>
        <w:rPr>
          <w:rFonts w:ascii="仿宋_GB2312" w:eastAsia="仿宋_GB2312" w:hint="eastAsia"/>
          <w:sz w:val="28"/>
          <w:szCs w:val="28"/>
        </w:rPr>
        <w:t>》（</w:t>
      </w:r>
      <w:r>
        <w:rPr>
          <w:rFonts w:ascii="仿宋_GB2312" w:eastAsia="仿宋_GB2312"/>
          <w:sz w:val="28"/>
          <w:szCs w:val="28"/>
        </w:rPr>
        <w:t>赣府厅发[2010]36号</w:t>
      </w:r>
      <w:r>
        <w:rPr>
          <w:rFonts w:ascii="仿宋_GB2312" w:eastAsia="仿宋_GB2312" w:hint="eastAsia"/>
          <w:sz w:val="28"/>
          <w:szCs w:val="28"/>
        </w:rPr>
        <w:t>，2010年6月3日）；</w:t>
      </w:r>
    </w:p>
    <w:p w:rsidR="0054446D" w:rsidRDefault="00FB459A">
      <w:pPr>
        <w:spacing w:line="420" w:lineRule="exact"/>
        <w:ind w:firstLineChars="200" w:firstLine="560"/>
        <w:outlineLvl w:val="2"/>
        <w:rPr>
          <w:rFonts w:ascii="仿宋_GB2312" w:eastAsia="仿宋_GB2312"/>
          <w:sz w:val="28"/>
          <w:szCs w:val="28"/>
        </w:rPr>
      </w:pPr>
      <w:r>
        <w:rPr>
          <w:rFonts w:ascii="仿宋_GB2312" w:eastAsia="仿宋_GB2312" w:hint="eastAsia"/>
          <w:sz w:val="28"/>
          <w:szCs w:val="28"/>
        </w:rPr>
        <w:t>（5）</w:t>
      </w:r>
      <w:r>
        <w:rPr>
          <w:rFonts w:ascii="仿宋_GB2312" w:eastAsia="仿宋_GB2312"/>
          <w:sz w:val="28"/>
          <w:szCs w:val="28"/>
        </w:rPr>
        <w:t>《江西省契税具体适用税率等有关事项的方案(草案)》</w:t>
      </w:r>
      <w:r>
        <w:rPr>
          <w:rFonts w:ascii="仿宋_GB2312" w:eastAsia="仿宋_GB2312" w:hint="eastAsia"/>
          <w:sz w:val="28"/>
          <w:szCs w:val="28"/>
        </w:rPr>
        <w:t>（</w:t>
      </w:r>
      <w:r>
        <w:rPr>
          <w:rFonts w:ascii="仿宋_GB2312" w:eastAsia="仿宋_GB2312"/>
          <w:sz w:val="28"/>
          <w:szCs w:val="28"/>
        </w:rPr>
        <w:t>经省十三届人大常委会第三十一次会议审议通过</w:t>
      </w:r>
      <w:r>
        <w:rPr>
          <w:rFonts w:ascii="仿宋_GB2312" w:eastAsia="仿宋_GB2312" w:hint="eastAsia"/>
          <w:sz w:val="28"/>
          <w:szCs w:val="28"/>
        </w:rPr>
        <w:t>，</w:t>
      </w:r>
      <w:r>
        <w:rPr>
          <w:rFonts w:ascii="仿宋_GB2312" w:eastAsia="仿宋_GB2312"/>
          <w:sz w:val="28"/>
          <w:szCs w:val="28"/>
        </w:rPr>
        <w:t>自2021年9月1日起施行</w:t>
      </w:r>
      <w:r>
        <w:rPr>
          <w:rFonts w:ascii="仿宋_GB2312" w:eastAsia="仿宋_GB2312" w:hint="eastAsia"/>
          <w:sz w:val="28"/>
          <w:szCs w:val="28"/>
        </w:rPr>
        <w:t>）；</w:t>
      </w:r>
    </w:p>
    <w:p w:rsidR="0054446D" w:rsidRDefault="00FB459A">
      <w:pPr>
        <w:spacing w:line="420" w:lineRule="exact"/>
        <w:ind w:firstLineChars="200" w:firstLine="560"/>
        <w:outlineLvl w:val="2"/>
        <w:rPr>
          <w:rFonts w:ascii="仿宋_GB2312" w:eastAsia="仿宋_GB2312"/>
          <w:sz w:val="28"/>
          <w:szCs w:val="28"/>
        </w:rPr>
      </w:pPr>
      <w:r>
        <w:rPr>
          <w:rFonts w:ascii="仿宋_GB2312" w:eastAsia="仿宋_GB2312" w:hint="eastAsia"/>
          <w:sz w:val="28"/>
          <w:szCs w:val="28"/>
        </w:rPr>
        <w:t>（6）</w:t>
      </w:r>
      <w:proofErr w:type="gramStart"/>
      <w:r>
        <w:rPr>
          <w:rFonts w:ascii="仿宋_GB2312" w:eastAsia="仿宋_GB2312" w:hint="eastAsia"/>
          <w:sz w:val="28"/>
          <w:szCs w:val="28"/>
        </w:rPr>
        <w:t>《新余市人民政府关于更新城区土地定级与基准地价的通知》</w:t>
      </w:r>
      <w:r>
        <w:rPr>
          <w:rFonts w:ascii="仿宋_GB2312" w:eastAsia="仿宋_GB2312"/>
          <w:sz w:val="28"/>
          <w:szCs w:val="28"/>
        </w:rPr>
        <w:t>余府字</w:t>
      </w:r>
      <w:proofErr w:type="gramEnd"/>
      <w:r>
        <w:rPr>
          <w:rFonts w:ascii="仿宋_GB2312" w:eastAsia="仿宋_GB2312"/>
          <w:sz w:val="28"/>
          <w:szCs w:val="28"/>
        </w:rPr>
        <w:t>〔2020〕</w:t>
      </w:r>
      <w:r>
        <w:rPr>
          <w:rFonts w:ascii="仿宋_GB2312" w:eastAsia="仿宋_GB2312" w:hint="eastAsia"/>
          <w:sz w:val="28"/>
          <w:szCs w:val="28"/>
        </w:rPr>
        <w:t>52</w:t>
      </w:r>
      <w:r>
        <w:rPr>
          <w:rFonts w:ascii="仿宋_GB2312" w:eastAsia="仿宋_GB2312"/>
          <w:sz w:val="28"/>
          <w:szCs w:val="28"/>
        </w:rPr>
        <w:t>号</w:t>
      </w:r>
      <w:r>
        <w:rPr>
          <w:rFonts w:ascii="仿宋_GB2312" w:eastAsia="仿宋_GB2312" w:hint="eastAsia"/>
          <w:sz w:val="28"/>
          <w:szCs w:val="28"/>
        </w:rPr>
        <w:t>。</w:t>
      </w:r>
    </w:p>
    <w:p w:rsidR="0054446D" w:rsidRDefault="00FB459A">
      <w:pPr>
        <w:spacing w:line="420" w:lineRule="exact"/>
        <w:ind w:firstLineChars="200" w:firstLine="560"/>
        <w:outlineLvl w:val="2"/>
        <w:rPr>
          <w:rFonts w:ascii="仿宋_GB2312" w:eastAsia="仿宋_GB2312"/>
          <w:sz w:val="28"/>
          <w:szCs w:val="28"/>
        </w:rPr>
      </w:pPr>
      <w:bookmarkStart w:id="22" w:name="_Toc26274"/>
      <w:bookmarkStart w:id="23" w:name="_Toc3030"/>
      <w:r>
        <w:rPr>
          <w:rFonts w:ascii="仿宋_GB2312" w:eastAsia="仿宋_GB2312" w:hint="eastAsia"/>
          <w:sz w:val="28"/>
          <w:szCs w:val="28"/>
        </w:rPr>
        <w:t>（三）技术规程</w:t>
      </w:r>
      <w:bookmarkEnd w:id="22"/>
      <w:bookmarkEnd w:id="23"/>
    </w:p>
    <w:p w:rsidR="0054446D" w:rsidRDefault="00FB459A">
      <w:pPr>
        <w:autoSpaceDE w:val="0"/>
        <w:autoSpaceDN w:val="0"/>
        <w:spacing w:line="420" w:lineRule="exact"/>
        <w:ind w:firstLineChars="200" w:firstLine="560"/>
        <w:jc w:val="left"/>
        <w:rPr>
          <w:rFonts w:ascii="仿宋_GB2312" w:eastAsia="仿宋_GB2312"/>
          <w:sz w:val="28"/>
          <w:szCs w:val="28"/>
        </w:rPr>
      </w:pPr>
      <w:r>
        <w:rPr>
          <w:rFonts w:ascii="仿宋_GB2312" w:eastAsia="仿宋_GB2312" w:hint="eastAsia"/>
          <w:sz w:val="28"/>
          <w:szCs w:val="28"/>
        </w:rPr>
        <w:t>1、中华人民共和国国家标准《城镇土地估价规程》</w:t>
      </w:r>
      <w:r>
        <w:rPr>
          <w:rFonts w:ascii="仿宋_GB2312" w:eastAsia="仿宋_GB2312" w:hint="eastAsia"/>
          <w:sz w:val="28"/>
        </w:rPr>
        <w:t>（GB/T18508-2014，2014年12月01日实施）</w:t>
      </w:r>
      <w:r>
        <w:rPr>
          <w:rFonts w:ascii="仿宋_GB2312" w:eastAsia="仿宋_GB2312" w:hint="eastAsia"/>
          <w:sz w:val="28"/>
          <w:szCs w:val="28"/>
        </w:rPr>
        <w:t>；</w:t>
      </w:r>
    </w:p>
    <w:p w:rsidR="0054446D" w:rsidRDefault="00FB459A">
      <w:pPr>
        <w:autoSpaceDE w:val="0"/>
        <w:autoSpaceDN w:val="0"/>
        <w:spacing w:line="420" w:lineRule="exact"/>
        <w:ind w:firstLineChars="200" w:firstLine="560"/>
        <w:jc w:val="left"/>
        <w:rPr>
          <w:rFonts w:ascii="仿宋_GB2312" w:eastAsia="仿宋_GB2312"/>
          <w:sz w:val="28"/>
          <w:szCs w:val="28"/>
        </w:rPr>
      </w:pPr>
      <w:r>
        <w:rPr>
          <w:rFonts w:ascii="仿宋_GB2312" w:eastAsia="仿宋_GB2312" w:hint="eastAsia"/>
          <w:sz w:val="28"/>
          <w:szCs w:val="28"/>
        </w:rPr>
        <w:t>2、中华人民共和国国家标准《城镇土地分等定级规程》（GB/T18507-2014）；</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3、中华人民共和国国家标准《土地利用现状分类》（GB/T21010－2007，从2007年8月10日起实施）；</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4、中华人民共和国国土资源部《城市地价动态监测技术规范》(TD/T1009-2007</w:t>
      </w:r>
      <w:r>
        <w:rPr>
          <w:rFonts w:ascii="仿宋_GB2312" w:eastAsia="仿宋_GB2312" w:hint="eastAsia"/>
          <w:sz w:val="28"/>
        </w:rPr>
        <w:t>，自2007年9月1日起实施</w:t>
      </w:r>
      <w:r>
        <w:rPr>
          <w:rFonts w:ascii="仿宋_GB2312" w:eastAsia="仿宋_GB2312" w:hint="eastAsia"/>
          <w:sz w:val="28"/>
          <w:szCs w:val="28"/>
        </w:rPr>
        <w:t>)；</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5、中华人民共和国国家标准《城市用地分类与规划建设用地标准》（GB50137-2011，从2012年1月1日起实施）。</w:t>
      </w:r>
    </w:p>
    <w:p w:rsidR="0054446D" w:rsidRDefault="00FB459A">
      <w:pPr>
        <w:spacing w:line="420" w:lineRule="exact"/>
        <w:ind w:firstLineChars="200" w:firstLine="560"/>
        <w:outlineLvl w:val="2"/>
        <w:rPr>
          <w:rFonts w:ascii="仿宋_GB2312" w:eastAsia="仿宋_GB2312"/>
          <w:sz w:val="28"/>
        </w:rPr>
      </w:pPr>
      <w:bookmarkStart w:id="24" w:name="_Toc22054"/>
      <w:bookmarkStart w:id="25" w:name="_Toc4493"/>
      <w:r>
        <w:rPr>
          <w:rFonts w:ascii="仿宋_GB2312" w:eastAsia="仿宋_GB2312" w:hint="eastAsia"/>
          <w:sz w:val="28"/>
          <w:szCs w:val="28"/>
        </w:rPr>
        <w:t>（四）</w:t>
      </w:r>
      <w:r>
        <w:rPr>
          <w:rFonts w:ascii="仿宋_GB2312" w:eastAsia="仿宋_GB2312" w:hint="eastAsia"/>
          <w:sz w:val="28"/>
        </w:rPr>
        <w:t>委托评估人提供的资料</w:t>
      </w:r>
      <w:bookmarkEnd w:id="24"/>
      <w:bookmarkEnd w:id="25"/>
    </w:p>
    <w:p w:rsidR="0054446D" w:rsidRDefault="00FB459A">
      <w:pPr>
        <w:pStyle w:val="a9"/>
        <w:adjustRightInd w:val="0"/>
        <w:snapToGrid w:val="0"/>
        <w:spacing w:line="420" w:lineRule="exact"/>
        <w:ind w:firstLineChars="200" w:firstLine="560"/>
        <w:rPr>
          <w:rFonts w:ascii="仿宋" w:eastAsia="仿宋" w:hAnsi="仿宋"/>
          <w:kern w:val="0"/>
          <w:sz w:val="28"/>
          <w:szCs w:val="28"/>
        </w:rPr>
      </w:pPr>
      <w:r>
        <w:rPr>
          <w:rFonts w:ascii="仿宋" w:eastAsia="仿宋" w:hAnsi="仿宋" w:hint="eastAsia"/>
          <w:kern w:val="0"/>
          <w:sz w:val="28"/>
          <w:szCs w:val="28"/>
        </w:rPr>
        <w:t>1、</w:t>
      </w:r>
      <w:r>
        <w:rPr>
          <w:rFonts w:ascii="仿宋_GB2312" w:eastAsia="仿宋_GB2312" w:hAnsi="宋体" w:hint="eastAsia"/>
          <w:sz w:val="28"/>
        </w:rPr>
        <w:t>《湖南省湘潭市中级人民法院委托书》[（2022）湘03执23号]</w:t>
      </w:r>
      <w:r>
        <w:rPr>
          <w:rFonts w:ascii="仿宋" w:eastAsia="仿宋" w:hAnsi="仿宋" w:hint="eastAsia"/>
          <w:kern w:val="0"/>
          <w:sz w:val="28"/>
          <w:szCs w:val="28"/>
        </w:rPr>
        <w:t>；</w:t>
      </w:r>
    </w:p>
    <w:p w:rsidR="0054446D" w:rsidRDefault="00FB459A">
      <w:pPr>
        <w:pStyle w:val="a9"/>
        <w:adjustRightInd w:val="0"/>
        <w:snapToGrid w:val="0"/>
        <w:spacing w:line="420" w:lineRule="exact"/>
        <w:ind w:firstLineChars="200" w:firstLine="560"/>
        <w:rPr>
          <w:rFonts w:ascii="仿宋" w:eastAsia="仿宋" w:hAnsi="仿宋"/>
          <w:kern w:val="0"/>
          <w:sz w:val="28"/>
          <w:szCs w:val="28"/>
        </w:rPr>
      </w:pPr>
      <w:r>
        <w:rPr>
          <w:rFonts w:ascii="仿宋" w:eastAsia="仿宋" w:hAnsi="仿宋" w:hint="eastAsia"/>
          <w:kern w:val="0"/>
          <w:sz w:val="28"/>
          <w:szCs w:val="28"/>
        </w:rPr>
        <w:t>2、</w:t>
      </w:r>
      <w:r>
        <w:rPr>
          <w:rFonts w:ascii="仿宋_GB2312" w:eastAsia="仿宋_GB2312" w:hAnsi="宋体" w:hint="eastAsia"/>
          <w:sz w:val="28"/>
        </w:rPr>
        <w:t>《不动产产权情况表》[业务号：HT201207170041]</w:t>
      </w:r>
      <w:r>
        <w:rPr>
          <w:rFonts w:ascii="仿宋" w:eastAsia="仿宋" w:hAnsi="仿宋" w:hint="eastAsia"/>
          <w:kern w:val="0"/>
          <w:sz w:val="28"/>
          <w:szCs w:val="28"/>
        </w:rPr>
        <w:t>；</w:t>
      </w:r>
    </w:p>
    <w:p w:rsidR="0054446D" w:rsidRDefault="00FB459A">
      <w:pPr>
        <w:pStyle w:val="a9"/>
        <w:adjustRightInd w:val="0"/>
        <w:snapToGrid w:val="0"/>
        <w:spacing w:line="420" w:lineRule="exact"/>
        <w:ind w:firstLineChars="200" w:firstLine="560"/>
        <w:rPr>
          <w:rFonts w:ascii="仿宋" w:eastAsia="仿宋" w:hAnsi="仿宋"/>
          <w:kern w:val="0"/>
          <w:sz w:val="28"/>
          <w:szCs w:val="28"/>
        </w:rPr>
      </w:pPr>
      <w:r>
        <w:rPr>
          <w:rFonts w:ascii="仿宋" w:eastAsia="仿宋" w:hAnsi="仿宋" w:hint="eastAsia"/>
          <w:kern w:val="0"/>
          <w:sz w:val="28"/>
          <w:szCs w:val="28"/>
        </w:rPr>
        <w:t>3、</w:t>
      </w:r>
      <w:r>
        <w:rPr>
          <w:rFonts w:ascii="仿宋_GB2312" w:eastAsia="仿宋_GB2312" w:hAnsi="宋体" w:hint="eastAsia"/>
          <w:sz w:val="28"/>
        </w:rPr>
        <w:t>《土地登记审批表》[编号：（2012）00751]</w:t>
      </w:r>
      <w:r>
        <w:rPr>
          <w:rFonts w:ascii="仿宋" w:eastAsia="仿宋" w:hAnsi="仿宋" w:hint="eastAsia"/>
          <w:kern w:val="0"/>
          <w:sz w:val="28"/>
          <w:szCs w:val="28"/>
        </w:rPr>
        <w:t>；</w:t>
      </w:r>
    </w:p>
    <w:p w:rsidR="0054446D" w:rsidRDefault="00FB459A">
      <w:pPr>
        <w:pStyle w:val="a9"/>
        <w:adjustRightInd w:val="0"/>
        <w:snapToGrid w:val="0"/>
        <w:spacing w:line="420" w:lineRule="exact"/>
        <w:ind w:firstLineChars="200" w:firstLine="560"/>
        <w:rPr>
          <w:rFonts w:ascii="仿宋" w:eastAsia="仿宋" w:hAnsi="仿宋"/>
          <w:kern w:val="0"/>
          <w:sz w:val="28"/>
          <w:szCs w:val="28"/>
        </w:rPr>
      </w:pPr>
      <w:r>
        <w:rPr>
          <w:rFonts w:ascii="仿宋" w:eastAsia="仿宋" w:hAnsi="仿宋" w:hint="eastAsia"/>
          <w:kern w:val="0"/>
          <w:sz w:val="28"/>
          <w:szCs w:val="28"/>
        </w:rPr>
        <w:t>4、</w:t>
      </w:r>
      <w:r>
        <w:rPr>
          <w:rFonts w:ascii="仿宋_GB2312" w:eastAsia="仿宋_GB2312" w:hAnsi="宋体" w:hint="eastAsia"/>
          <w:sz w:val="28"/>
        </w:rPr>
        <w:t>《国有建设用地使用权出让合同》[电子监管号：3605002011B01585]</w:t>
      </w:r>
      <w:r>
        <w:rPr>
          <w:rFonts w:ascii="仿宋" w:eastAsia="仿宋" w:hAnsi="仿宋" w:hint="eastAsia"/>
          <w:kern w:val="0"/>
          <w:sz w:val="28"/>
          <w:szCs w:val="28"/>
        </w:rPr>
        <w:t>；</w:t>
      </w:r>
    </w:p>
    <w:p w:rsidR="0054446D" w:rsidRDefault="00FB459A">
      <w:pPr>
        <w:pStyle w:val="a9"/>
        <w:adjustRightInd w:val="0"/>
        <w:snapToGrid w:val="0"/>
        <w:spacing w:line="420" w:lineRule="exact"/>
        <w:ind w:firstLineChars="200" w:firstLine="560"/>
        <w:rPr>
          <w:rFonts w:ascii="仿宋" w:eastAsia="仿宋" w:hAnsi="仿宋"/>
          <w:kern w:val="0"/>
          <w:sz w:val="28"/>
          <w:szCs w:val="28"/>
        </w:rPr>
      </w:pPr>
      <w:r>
        <w:rPr>
          <w:rFonts w:ascii="仿宋" w:eastAsia="仿宋" w:hAnsi="仿宋" w:hint="eastAsia"/>
          <w:kern w:val="0"/>
          <w:sz w:val="28"/>
          <w:szCs w:val="28"/>
        </w:rPr>
        <w:t>5、</w:t>
      </w:r>
      <w:r>
        <w:rPr>
          <w:rFonts w:ascii="仿宋_GB2312" w:eastAsia="仿宋_GB2312" w:hAnsi="宋体" w:hint="eastAsia"/>
          <w:sz w:val="28"/>
        </w:rPr>
        <w:t>《关于纬二路以北、经三路以东W-09-04号地块的规划条件》[编号：余规条2011-006]；</w:t>
      </w:r>
    </w:p>
    <w:p w:rsidR="0054446D" w:rsidRDefault="00FB459A">
      <w:pPr>
        <w:spacing w:line="420" w:lineRule="exact"/>
        <w:ind w:firstLineChars="200" w:firstLine="560"/>
        <w:rPr>
          <w:rFonts w:ascii="仿宋_GB2312" w:eastAsia="仿宋_GB2312"/>
          <w:sz w:val="28"/>
        </w:rPr>
      </w:pPr>
      <w:r>
        <w:rPr>
          <w:rFonts w:ascii="仿宋" w:eastAsia="仿宋" w:hAnsi="仿宋" w:hint="eastAsia"/>
          <w:kern w:val="0"/>
          <w:sz w:val="28"/>
          <w:szCs w:val="28"/>
        </w:rPr>
        <w:t>6、</w:t>
      </w:r>
      <w:r>
        <w:rPr>
          <w:rFonts w:ascii="仿宋_GB2312" w:eastAsia="仿宋_GB2312" w:hint="eastAsia"/>
          <w:sz w:val="28"/>
        </w:rPr>
        <w:t>委托评估人提供的其它资料。</w:t>
      </w:r>
    </w:p>
    <w:p w:rsidR="0054446D" w:rsidRDefault="00FB459A">
      <w:pPr>
        <w:spacing w:line="420" w:lineRule="exact"/>
        <w:ind w:firstLineChars="200" w:firstLine="560"/>
        <w:outlineLvl w:val="2"/>
        <w:rPr>
          <w:rFonts w:ascii="仿宋_GB2312" w:eastAsia="仿宋_GB2312"/>
          <w:sz w:val="28"/>
        </w:rPr>
      </w:pPr>
      <w:bookmarkStart w:id="26" w:name="_Toc6447"/>
      <w:bookmarkStart w:id="27" w:name="_Toc16787"/>
      <w:r>
        <w:rPr>
          <w:rFonts w:ascii="仿宋_GB2312" w:eastAsia="仿宋_GB2312" w:hint="eastAsia"/>
          <w:sz w:val="28"/>
        </w:rPr>
        <w:t>（五）估价人员平时收集和调查的资料</w:t>
      </w:r>
      <w:bookmarkEnd w:id="26"/>
      <w:bookmarkEnd w:id="27"/>
    </w:p>
    <w:p w:rsidR="0054446D" w:rsidRDefault="00FB459A">
      <w:pPr>
        <w:spacing w:line="420" w:lineRule="exact"/>
        <w:ind w:firstLineChars="200" w:firstLine="560"/>
        <w:rPr>
          <w:rFonts w:ascii="仿宋_GB2312" w:eastAsia="仿宋_GB2312"/>
          <w:sz w:val="28"/>
        </w:rPr>
      </w:pPr>
      <w:r>
        <w:rPr>
          <w:rFonts w:ascii="仿宋_GB2312" w:eastAsia="仿宋_GB2312" w:hint="eastAsia"/>
          <w:sz w:val="28"/>
        </w:rPr>
        <w:t>1、</w:t>
      </w:r>
      <w:r>
        <w:rPr>
          <w:rFonts w:ascii="仿宋_GB2312" w:eastAsia="仿宋_GB2312" w:hint="eastAsia"/>
          <w:sz w:val="28"/>
          <w:szCs w:val="28"/>
        </w:rPr>
        <w:t>估价人员现场勘查记录资料、摄影照片</w:t>
      </w:r>
      <w:r>
        <w:rPr>
          <w:rFonts w:ascii="仿宋_GB2312" w:eastAsia="仿宋_GB2312" w:hint="eastAsia"/>
          <w:sz w:val="28"/>
        </w:rPr>
        <w:t>；</w:t>
      </w:r>
    </w:p>
    <w:p w:rsidR="0054446D" w:rsidRDefault="00FB459A">
      <w:pPr>
        <w:spacing w:line="420" w:lineRule="exact"/>
        <w:ind w:firstLineChars="200" w:firstLine="560"/>
        <w:rPr>
          <w:rFonts w:ascii="仿宋_GB2312" w:eastAsia="仿宋_GB2312"/>
          <w:sz w:val="28"/>
        </w:rPr>
      </w:pPr>
      <w:r>
        <w:rPr>
          <w:rFonts w:ascii="仿宋_GB2312" w:eastAsia="仿宋_GB2312" w:hint="eastAsia"/>
          <w:sz w:val="28"/>
        </w:rPr>
        <w:t>2、估价期日新余市房地产市场情况资料；</w:t>
      </w:r>
    </w:p>
    <w:p w:rsidR="0054446D" w:rsidRDefault="00FB459A">
      <w:pPr>
        <w:snapToGrid w:val="0"/>
        <w:spacing w:line="420" w:lineRule="exact"/>
        <w:ind w:firstLineChars="200" w:firstLine="560"/>
        <w:rPr>
          <w:rFonts w:ascii="仿宋_GB2312" w:eastAsia="仿宋_GB2312"/>
          <w:sz w:val="28"/>
          <w:szCs w:val="28"/>
        </w:rPr>
      </w:pPr>
      <w:r>
        <w:rPr>
          <w:rFonts w:ascii="仿宋_GB2312" w:eastAsia="仿宋_GB2312" w:hint="eastAsia"/>
          <w:sz w:val="28"/>
          <w:szCs w:val="28"/>
        </w:rPr>
        <w:t>3、中国人民银行公布的资金存、贷款利率；</w:t>
      </w:r>
    </w:p>
    <w:p w:rsidR="0054446D" w:rsidRDefault="00FB459A">
      <w:pPr>
        <w:spacing w:line="420" w:lineRule="exact"/>
        <w:ind w:firstLineChars="200" w:firstLine="560"/>
        <w:rPr>
          <w:rFonts w:ascii="仿宋" w:eastAsia="仿宋" w:hAnsi="仿宋" w:cs="仿宋"/>
          <w:sz w:val="28"/>
          <w:szCs w:val="28"/>
        </w:rPr>
      </w:pPr>
      <w:r>
        <w:rPr>
          <w:rFonts w:ascii="仿宋_GB2312" w:eastAsia="仿宋_GB2312" w:hint="eastAsia"/>
          <w:sz w:val="28"/>
          <w:szCs w:val="28"/>
        </w:rPr>
        <w:t>4、评估人员收集的其他有关信息资料</w:t>
      </w:r>
      <w:r>
        <w:rPr>
          <w:rFonts w:ascii="仿宋" w:eastAsia="仿宋" w:hAnsi="仿宋" w:cs="仿宋" w:hint="eastAsia"/>
          <w:sz w:val="28"/>
          <w:szCs w:val="28"/>
        </w:rPr>
        <w:t>。</w:t>
      </w:r>
    </w:p>
    <w:p w:rsidR="0054446D" w:rsidRDefault="00FB459A" w:rsidP="00F513B3">
      <w:pPr>
        <w:spacing w:beforeLines="100" w:afterLines="100" w:line="420" w:lineRule="exact"/>
        <w:outlineLvl w:val="1"/>
        <w:rPr>
          <w:rFonts w:ascii="仿宋" w:eastAsia="仿宋" w:hAnsi="仿宋" w:cs="仿宋"/>
          <w:b/>
          <w:bCs/>
          <w:sz w:val="28"/>
        </w:rPr>
      </w:pPr>
      <w:r>
        <w:rPr>
          <w:rFonts w:ascii="仿宋" w:eastAsia="仿宋" w:hAnsi="仿宋" w:cs="仿宋" w:hint="eastAsia"/>
          <w:b/>
          <w:bCs/>
          <w:sz w:val="28"/>
        </w:rPr>
        <w:t>六、</w:t>
      </w:r>
      <w:bookmarkEnd w:id="17"/>
      <w:r>
        <w:rPr>
          <w:rFonts w:ascii="仿宋" w:eastAsia="仿宋" w:hAnsi="仿宋" w:cs="仿宋" w:hint="eastAsia"/>
          <w:b/>
          <w:bCs/>
          <w:sz w:val="28"/>
        </w:rPr>
        <w:t>估价期日</w:t>
      </w:r>
      <w:bookmarkEnd w:id="18"/>
      <w:bookmarkEnd w:id="19"/>
    </w:p>
    <w:p w:rsidR="0054446D" w:rsidRDefault="00FB459A">
      <w:pPr>
        <w:spacing w:line="420" w:lineRule="exact"/>
        <w:ind w:firstLine="556"/>
        <w:rPr>
          <w:rFonts w:ascii="仿宋" w:eastAsia="仿宋" w:hAnsi="仿宋" w:cs="仿宋"/>
          <w:sz w:val="28"/>
        </w:rPr>
      </w:pPr>
      <w:bookmarkStart w:id="28" w:name="_Toc2360"/>
      <w:bookmarkStart w:id="29" w:name="_Toc225494984"/>
      <w:bookmarkStart w:id="30" w:name="_Toc20472"/>
      <w:r>
        <w:rPr>
          <w:rFonts w:ascii="仿宋_GB2312" w:eastAsia="仿宋_GB2312" w:hAnsi="仿宋" w:hint="eastAsia"/>
          <w:sz w:val="28"/>
        </w:rPr>
        <w:t>我公司估价人员于</w:t>
      </w:r>
      <w:r>
        <w:rPr>
          <w:rFonts w:ascii="仿宋_GB2312" w:eastAsia="仿宋_GB2312" w:hint="eastAsia"/>
          <w:sz w:val="28"/>
        </w:rPr>
        <w:t>二</w:t>
      </w:r>
      <w:proofErr w:type="gramStart"/>
      <w:r>
        <w:rPr>
          <w:rFonts w:ascii="仿宋_GB2312" w:eastAsia="仿宋_GB2312" w:hint="eastAsia"/>
          <w:sz w:val="28"/>
        </w:rPr>
        <w:t>0二二</w:t>
      </w:r>
      <w:proofErr w:type="gramEnd"/>
      <w:r>
        <w:rPr>
          <w:rFonts w:ascii="仿宋_GB2312" w:eastAsia="仿宋_GB2312" w:hint="eastAsia"/>
          <w:sz w:val="28"/>
        </w:rPr>
        <w:t>年五月十日</w:t>
      </w:r>
      <w:proofErr w:type="gramStart"/>
      <w:r>
        <w:rPr>
          <w:rFonts w:ascii="仿宋_GB2312" w:eastAsia="仿宋_GB2312" w:hAnsi="仿宋" w:hint="eastAsia"/>
          <w:sz w:val="28"/>
        </w:rPr>
        <w:t>对委估宗地</w:t>
      </w:r>
      <w:proofErr w:type="gramEnd"/>
      <w:r>
        <w:rPr>
          <w:rFonts w:ascii="仿宋_GB2312" w:eastAsia="仿宋_GB2312" w:hAnsi="仿宋" w:hint="eastAsia"/>
          <w:sz w:val="28"/>
        </w:rPr>
        <w:t>进行了现场查勘，</w:t>
      </w:r>
      <w:r>
        <w:rPr>
          <w:rFonts w:ascii="仿宋_GB2312" w:eastAsia="仿宋_GB2312" w:hint="eastAsia"/>
          <w:sz w:val="28"/>
        </w:rPr>
        <w:t>结合《城镇土地估价规程》规定以二</w:t>
      </w:r>
      <w:proofErr w:type="gramStart"/>
      <w:r>
        <w:rPr>
          <w:rFonts w:ascii="仿宋_GB2312" w:eastAsia="仿宋_GB2312" w:hint="eastAsia"/>
          <w:sz w:val="28"/>
        </w:rPr>
        <w:t>0二二</w:t>
      </w:r>
      <w:proofErr w:type="gramEnd"/>
      <w:r>
        <w:rPr>
          <w:rFonts w:ascii="仿宋_GB2312" w:eastAsia="仿宋_GB2312" w:hint="eastAsia"/>
          <w:sz w:val="28"/>
        </w:rPr>
        <w:t>年五月十日作为本次估价期日</w:t>
      </w:r>
      <w:r>
        <w:rPr>
          <w:rFonts w:ascii="仿宋" w:eastAsia="仿宋" w:hAnsi="仿宋" w:cs="仿宋" w:hint="eastAsia"/>
          <w:sz w:val="28"/>
        </w:rPr>
        <w:t>。</w:t>
      </w:r>
    </w:p>
    <w:p w:rsidR="0054446D" w:rsidRDefault="00FB459A" w:rsidP="00F513B3">
      <w:pPr>
        <w:spacing w:beforeLines="100" w:afterLines="100" w:line="420" w:lineRule="exact"/>
        <w:outlineLvl w:val="1"/>
        <w:rPr>
          <w:rFonts w:ascii="仿宋" w:eastAsia="仿宋" w:hAnsi="仿宋" w:cs="仿宋"/>
          <w:b/>
          <w:bCs/>
          <w:sz w:val="28"/>
        </w:rPr>
      </w:pPr>
      <w:r>
        <w:rPr>
          <w:rFonts w:ascii="仿宋" w:eastAsia="仿宋" w:hAnsi="仿宋" w:cs="仿宋" w:hint="eastAsia"/>
          <w:b/>
          <w:bCs/>
          <w:sz w:val="28"/>
        </w:rPr>
        <w:t>七、估价日期</w:t>
      </w:r>
      <w:bookmarkEnd w:id="28"/>
      <w:bookmarkEnd w:id="29"/>
      <w:bookmarkEnd w:id="30"/>
    </w:p>
    <w:p w:rsidR="0054446D" w:rsidRDefault="00FB459A">
      <w:pPr>
        <w:spacing w:line="420" w:lineRule="exact"/>
        <w:ind w:firstLineChars="200" w:firstLine="560"/>
        <w:rPr>
          <w:rFonts w:ascii="仿宋" w:eastAsia="仿宋" w:hAnsi="仿宋" w:cs="仿宋"/>
          <w:sz w:val="28"/>
        </w:rPr>
      </w:pPr>
      <w:bookmarkStart w:id="31" w:name="_Toc26258"/>
      <w:bookmarkStart w:id="32" w:name="_Toc225494985"/>
      <w:bookmarkStart w:id="33" w:name="_Toc30678"/>
      <w:r>
        <w:rPr>
          <w:rFonts w:ascii="仿宋_GB2312" w:eastAsia="仿宋_GB2312" w:hint="eastAsia"/>
          <w:sz w:val="28"/>
        </w:rPr>
        <w:t>二</w:t>
      </w:r>
      <w:proofErr w:type="gramStart"/>
      <w:r>
        <w:rPr>
          <w:rFonts w:ascii="仿宋_GB2312" w:eastAsia="仿宋_GB2312" w:hint="eastAsia"/>
          <w:sz w:val="28"/>
        </w:rPr>
        <w:t>0二二</w:t>
      </w:r>
      <w:proofErr w:type="gramEnd"/>
      <w:r>
        <w:rPr>
          <w:rFonts w:ascii="仿宋_GB2312" w:eastAsia="仿宋_GB2312" w:hint="eastAsia"/>
          <w:sz w:val="28"/>
        </w:rPr>
        <w:t>年五月十日至二</w:t>
      </w:r>
      <w:proofErr w:type="gramStart"/>
      <w:r>
        <w:rPr>
          <w:rFonts w:ascii="仿宋_GB2312" w:eastAsia="仿宋_GB2312" w:hint="eastAsia"/>
          <w:sz w:val="28"/>
        </w:rPr>
        <w:t>0二二</w:t>
      </w:r>
      <w:proofErr w:type="gramEnd"/>
      <w:r>
        <w:rPr>
          <w:rFonts w:ascii="仿宋_GB2312" w:eastAsia="仿宋_GB2312" w:hint="eastAsia"/>
          <w:sz w:val="28"/>
        </w:rPr>
        <w:t>年六月一日</w:t>
      </w:r>
    </w:p>
    <w:p w:rsidR="0054446D" w:rsidRDefault="00FB459A" w:rsidP="00F513B3">
      <w:pPr>
        <w:spacing w:beforeLines="100" w:afterLines="100" w:line="420" w:lineRule="exact"/>
        <w:outlineLvl w:val="1"/>
        <w:rPr>
          <w:rFonts w:ascii="仿宋" w:eastAsia="仿宋" w:hAnsi="仿宋" w:cs="仿宋"/>
          <w:b/>
          <w:bCs/>
          <w:sz w:val="28"/>
        </w:rPr>
      </w:pPr>
      <w:r>
        <w:rPr>
          <w:rFonts w:ascii="仿宋" w:eastAsia="仿宋" w:hAnsi="仿宋" w:cs="仿宋" w:hint="eastAsia"/>
          <w:b/>
          <w:bCs/>
          <w:sz w:val="28"/>
        </w:rPr>
        <w:t>八、地价定义</w:t>
      </w:r>
      <w:bookmarkEnd w:id="31"/>
      <w:bookmarkEnd w:id="32"/>
      <w:bookmarkEnd w:id="33"/>
    </w:p>
    <w:p w:rsidR="0054446D" w:rsidRDefault="00FB459A">
      <w:pPr>
        <w:spacing w:line="420" w:lineRule="exact"/>
        <w:ind w:firstLineChars="200" w:firstLine="560"/>
        <w:rPr>
          <w:rFonts w:ascii="仿宋_GB2312" w:eastAsia="仿宋_GB2312" w:hAnsi="宋体"/>
          <w:sz w:val="28"/>
        </w:rPr>
      </w:pPr>
      <w:r>
        <w:rPr>
          <w:rFonts w:ascii="仿宋_GB2312" w:eastAsia="仿宋_GB2312" w:hAnsi="宋体" w:hint="eastAsia"/>
          <w:sz w:val="28"/>
        </w:rPr>
        <w:t>根据委托人提供的《湖南省湘潭市中级人民法院委托书》[（2022）湘03执23号]、《不动产产权情况表》[业务号：HT201207170041]、《土地登记审批表》[编号：（2012）00751]、《国有建设用地使用权出让合同》[电子监管号：3605002011B01585]、《关于纬二路以北、经三路以东W-09-04号地块的规划条件》[编号：余规条2011-006]等资料复印件，结合现场查勘，本次估价对象为</w:t>
      </w:r>
      <w:r>
        <w:rPr>
          <w:rFonts w:ascii="仿宋_GB2312" w:eastAsia="仿宋_GB2312" w:hAnsi="仿宋" w:hint="eastAsia"/>
          <w:sz w:val="28"/>
        </w:rPr>
        <w:t>江西骏丰置业有限公司</w:t>
      </w:r>
      <w:r>
        <w:rPr>
          <w:rFonts w:ascii="仿宋_GB2312" w:eastAsia="仿宋_GB2312" w:hAnsi="宋体" w:hint="eastAsia"/>
          <w:sz w:val="28"/>
        </w:rPr>
        <w:t>名下位于江西省新余市仰天大道以北一宗住宅用地，宗地面积为59897.52平方米，</w:t>
      </w:r>
      <w:r>
        <w:rPr>
          <w:rFonts w:ascii="仿宋_GB2312" w:eastAsia="仿宋_GB2312" w:hAnsi="宋体" w:cs="宋体" w:hint="eastAsia"/>
          <w:sz w:val="28"/>
        </w:rPr>
        <w:t>土地权利性质为</w:t>
      </w:r>
      <w:r>
        <w:rPr>
          <w:rFonts w:ascii="仿宋_GB2312" w:eastAsia="仿宋_GB2312" w:hint="eastAsia"/>
          <w:sz w:val="28"/>
        </w:rPr>
        <w:t>出让，土地用途为住宅用地，终止日期为2080年02月17日。</w:t>
      </w:r>
      <w:r>
        <w:rPr>
          <w:rFonts w:ascii="仿宋_GB2312" w:eastAsia="仿宋_GB2312" w:hAnsi="宋体" w:hint="eastAsia"/>
          <w:sz w:val="28"/>
        </w:rPr>
        <w:t>至估价期日，宗地</w:t>
      </w:r>
      <w:r>
        <w:rPr>
          <w:rFonts w:ascii="仿宋_GB2312" w:eastAsia="仿宋_GB2312" w:hAnsi="宋体" w:cs="宋体" w:hint="eastAsia"/>
          <w:sz w:val="28"/>
        </w:rPr>
        <w:t>使用权</w:t>
      </w:r>
      <w:r>
        <w:rPr>
          <w:rFonts w:ascii="仿宋_GB2312" w:eastAsia="仿宋_GB2312" w:hAnsi="宋体" w:hint="eastAsia"/>
          <w:sz w:val="28"/>
        </w:rPr>
        <w:t>剩余土地使用权年限为57.77年</w:t>
      </w:r>
      <w:r>
        <w:rPr>
          <w:rFonts w:ascii="仿宋_GB2312" w:eastAsia="仿宋_GB2312" w:hAnsi="宋体" w:cs="宋体" w:hint="eastAsia"/>
          <w:sz w:val="28"/>
        </w:rPr>
        <w:t>。宗地开发程度为宗地外“六通</w:t>
      </w:r>
      <w:r>
        <w:rPr>
          <w:rFonts w:ascii="仿宋_GB2312" w:eastAsia="仿宋_GB2312" w:hAnsi="宋体" w:hint="eastAsia"/>
          <w:sz w:val="28"/>
        </w:rPr>
        <w:t>”（</w:t>
      </w:r>
      <w:r>
        <w:rPr>
          <w:rFonts w:ascii="仿宋_GB2312" w:eastAsia="仿宋_GB2312" w:hAnsi="宋体"/>
          <w:sz w:val="28"/>
        </w:rPr>
        <w:t>通路、供水、排水、通电、通讯、供气</w:t>
      </w:r>
      <w:r>
        <w:rPr>
          <w:rFonts w:ascii="仿宋_GB2312" w:eastAsia="仿宋_GB2312" w:hAnsi="宋体" w:hint="eastAsia"/>
          <w:sz w:val="28"/>
        </w:rPr>
        <w:t>）、宗地</w:t>
      </w:r>
      <w:r>
        <w:rPr>
          <w:rFonts w:ascii="仿宋_GB2312" w:eastAsia="仿宋_GB2312" w:hAnsi="宋体" w:cs="宋体" w:hint="eastAsia"/>
          <w:sz w:val="28"/>
        </w:rPr>
        <w:t>内“场地未平整”</w:t>
      </w:r>
      <w:r>
        <w:rPr>
          <w:rFonts w:ascii="仿宋_GB2312" w:eastAsia="仿宋_GB2312" w:hAnsi="宋体" w:hint="eastAsia"/>
          <w:sz w:val="28"/>
        </w:rPr>
        <w:t>。</w:t>
      </w:r>
    </w:p>
    <w:p w:rsidR="0054446D" w:rsidRDefault="00FB459A">
      <w:pPr>
        <w:spacing w:line="420" w:lineRule="exact"/>
        <w:ind w:firstLineChars="200" w:firstLine="560"/>
        <w:rPr>
          <w:rFonts w:ascii="仿宋_GB2312" w:eastAsia="仿宋_GB2312" w:hAnsi="宋体"/>
          <w:sz w:val="28"/>
        </w:rPr>
      </w:pPr>
      <w:r>
        <w:rPr>
          <w:rFonts w:ascii="仿宋_GB2312" w:eastAsia="仿宋_GB2312" w:hAnsi="宋体" w:hint="eastAsia"/>
          <w:sz w:val="28"/>
        </w:rPr>
        <w:t>考虑到此次估价目的是</w:t>
      </w:r>
      <w:r>
        <w:rPr>
          <w:rFonts w:ascii="仿宋_GB2312" w:eastAsia="仿宋_GB2312" w:hAnsi="仿宋" w:hint="eastAsia"/>
          <w:sz w:val="28"/>
        </w:rPr>
        <w:t>为</w:t>
      </w:r>
      <w:r>
        <w:rPr>
          <w:rFonts w:ascii="仿宋_GB2312" w:eastAsia="仿宋_GB2312" w:hint="eastAsia"/>
          <w:bCs/>
          <w:sz w:val="28"/>
        </w:rPr>
        <w:t>湖南省湘潭市中级人民法院</w:t>
      </w:r>
      <w:r>
        <w:rPr>
          <w:rFonts w:ascii="仿宋_GB2312" w:eastAsia="仿宋_GB2312" w:hAnsi="仿宋" w:hint="eastAsia"/>
          <w:sz w:val="28"/>
        </w:rPr>
        <w:t>确定财产处置参考</w:t>
      </w:r>
      <w:proofErr w:type="gramStart"/>
      <w:r>
        <w:rPr>
          <w:rFonts w:ascii="仿宋_GB2312" w:eastAsia="仿宋_GB2312" w:hAnsi="仿宋" w:hint="eastAsia"/>
          <w:sz w:val="28"/>
        </w:rPr>
        <w:t>价提供</w:t>
      </w:r>
      <w:proofErr w:type="gramEnd"/>
      <w:r>
        <w:rPr>
          <w:rFonts w:ascii="仿宋_GB2312" w:eastAsia="仿宋_GB2312" w:hAnsi="仿宋" w:hint="eastAsia"/>
          <w:sz w:val="28"/>
        </w:rPr>
        <w:t>参考依据</w:t>
      </w:r>
      <w:r>
        <w:rPr>
          <w:rFonts w:ascii="仿宋_GB2312" w:eastAsia="仿宋_GB2312" w:hAnsi="宋体" w:hint="eastAsia"/>
          <w:sz w:val="28"/>
        </w:rPr>
        <w:t>，根据《城镇土地估价规程》（GB/T18508-2014），结合估价对象的权属资料</w:t>
      </w:r>
      <w:proofErr w:type="gramStart"/>
      <w:r>
        <w:rPr>
          <w:rFonts w:ascii="仿宋_GB2312" w:eastAsia="仿宋_GB2312" w:hAnsi="宋体" w:hint="eastAsia"/>
          <w:sz w:val="28"/>
        </w:rPr>
        <w:t>及以及</w:t>
      </w:r>
      <w:proofErr w:type="gramEnd"/>
      <w:r>
        <w:rPr>
          <w:rFonts w:ascii="仿宋_GB2312" w:eastAsia="仿宋_GB2312" w:hAnsi="宋体" w:hint="eastAsia"/>
          <w:sz w:val="28"/>
        </w:rPr>
        <w:t>估价人员现场查勘情况，对有关事项作以下设定：</w:t>
      </w:r>
    </w:p>
    <w:p w:rsidR="0054446D" w:rsidRDefault="00FB459A">
      <w:pPr>
        <w:spacing w:line="420" w:lineRule="exact"/>
        <w:ind w:firstLineChars="200" w:firstLine="560"/>
        <w:rPr>
          <w:rFonts w:ascii="仿宋_GB2312" w:eastAsia="仿宋_GB2312" w:hAnsi="宋体"/>
          <w:sz w:val="28"/>
        </w:rPr>
      </w:pPr>
      <w:r>
        <w:rPr>
          <w:rFonts w:ascii="仿宋_GB2312" w:eastAsia="仿宋_GB2312" w:hAnsi="宋体" w:hint="eastAsia"/>
          <w:sz w:val="28"/>
        </w:rPr>
        <w:t>1、关于土地用途设定：根据委托人提供的《不动产产权情况表》[业务号：HT201207170041]、《土地登记审批表》[编号：（2012）00751]、《国有建设用地使用权出让合同》[电子监管号：3605002011B01585]等资料复印件记载，</w:t>
      </w:r>
      <w:proofErr w:type="gramStart"/>
      <w:r>
        <w:rPr>
          <w:rFonts w:ascii="仿宋_GB2312" w:eastAsia="仿宋_GB2312" w:hAnsi="宋体" w:hint="eastAsia"/>
          <w:sz w:val="28"/>
        </w:rPr>
        <w:t>委估宗地</w:t>
      </w:r>
      <w:proofErr w:type="gramEnd"/>
      <w:r>
        <w:rPr>
          <w:rFonts w:ascii="仿宋_GB2312" w:eastAsia="仿宋_GB2312" w:hAnsi="宋体" w:hint="eastAsia"/>
          <w:sz w:val="28"/>
        </w:rPr>
        <w:t>登记的土地用途为住宅用地。另根据中华人民共和国国家标准《土地利用现状分类》（GB/T 21010-2017）规定，本次估价</w:t>
      </w:r>
      <w:proofErr w:type="gramStart"/>
      <w:r>
        <w:rPr>
          <w:rFonts w:ascii="仿宋_GB2312" w:eastAsia="仿宋_GB2312" w:hAnsi="宋体" w:hint="eastAsia"/>
          <w:sz w:val="28"/>
        </w:rPr>
        <w:t>设定委估宗地</w:t>
      </w:r>
      <w:proofErr w:type="gramEnd"/>
      <w:r>
        <w:rPr>
          <w:rFonts w:ascii="仿宋_GB2312" w:eastAsia="仿宋_GB2312" w:hAnsi="宋体" w:hint="eastAsia"/>
          <w:sz w:val="28"/>
        </w:rPr>
        <w:t>的用途为住宅用地。</w:t>
      </w:r>
    </w:p>
    <w:p w:rsidR="0054446D" w:rsidRDefault="00FB459A">
      <w:pPr>
        <w:spacing w:line="420" w:lineRule="exact"/>
        <w:ind w:firstLineChars="200" w:firstLine="560"/>
        <w:rPr>
          <w:rFonts w:ascii="仿宋_GB2312" w:eastAsia="仿宋_GB2312" w:hAnsi="宋体"/>
          <w:spacing w:val="-4"/>
          <w:sz w:val="28"/>
        </w:rPr>
      </w:pPr>
      <w:r>
        <w:rPr>
          <w:rFonts w:ascii="仿宋_GB2312" w:eastAsia="仿宋_GB2312" w:hAnsi="宋体" w:hint="eastAsia"/>
          <w:sz w:val="28"/>
        </w:rPr>
        <w:t>2、关于土地使用权类型设定：根据委托人提供的《不动产产权情况表》[业务号：HT201207170041]、《土地登记审批表》[编号：（2012）00751]、《国有建设用地使用权出让合同》[电子监管号：3605002011B01585]</w:t>
      </w:r>
      <w:r>
        <w:rPr>
          <w:rFonts w:ascii="仿宋_GB2312" w:eastAsia="仿宋_GB2312" w:hint="eastAsia"/>
          <w:sz w:val="28"/>
        </w:rPr>
        <w:t>记载</w:t>
      </w:r>
      <w:r>
        <w:rPr>
          <w:rFonts w:ascii="仿宋_GB2312" w:eastAsia="仿宋_GB2312" w:hAnsi="宋体" w:hint="eastAsia"/>
          <w:sz w:val="28"/>
        </w:rPr>
        <w:t>，</w:t>
      </w:r>
      <w:proofErr w:type="gramStart"/>
      <w:r>
        <w:rPr>
          <w:rFonts w:ascii="仿宋_GB2312" w:eastAsia="仿宋_GB2312" w:hint="eastAsia"/>
          <w:sz w:val="28"/>
        </w:rPr>
        <w:t>委估宗地</w:t>
      </w:r>
      <w:proofErr w:type="gramEnd"/>
      <w:r>
        <w:rPr>
          <w:rFonts w:ascii="仿宋_GB2312" w:eastAsia="仿宋_GB2312" w:hAnsi="宋体" w:hint="eastAsia"/>
          <w:sz w:val="28"/>
        </w:rPr>
        <w:t>使用权类型为出让</w:t>
      </w:r>
      <w:r>
        <w:rPr>
          <w:rFonts w:ascii="仿宋_GB2312" w:eastAsia="仿宋_GB2312" w:hint="eastAsia"/>
          <w:bCs/>
          <w:sz w:val="28"/>
        </w:rPr>
        <w:t>。</w:t>
      </w:r>
      <w:r>
        <w:rPr>
          <w:rFonts w:ascii="仿宋_GB2312" w:eastAsia="仿宋_GB2312" w:hAnsi="宋体" w:hint="eastAsia"/>
          <w:sz w:val="28"/>
        </w:rPr>
        <w:t>结</w:t>
      </w:r>
      <w:r>
        <w:rPr>
          <w:rFonts w:ascii="仿宋_GB2312" w:eastAsia="仿宋_GB2312" w:hAnsi="宋体" w:hint="eastAsia"/>
          <w:spacing w:val="-4"/>
          <w:sz w:val="28"/>
        </w:rPr>
        <w:t>合估价目的，本次估价时土地使用权类型设定为</w:t>
      </w:r>
      <w:r>
        <w:rPr>
          <w:rFonts w:ascii="仿宋_GB2312" w:eastAsia="仿宋_GB2312" w:hAnsi="宋体" w:hint="eastAsia"/>
          <w:sz w:val="28"/>
        </w:rPr>
        <w:t>出让的国有建设用地使用权</w:t>
      </w:r>
      <w:r>
        <w:rPr>
          <w:rFonts w:ascii="仿宋_GB2312" w:eastAsia="仿宋_GB2312" w:hAnsi="宋体" w:hint="eastAsia"/>
          <w:spacing w:val="-4"/>
          <w:sz w:val="28"/>
        </w:rPr>
        <w:t>。</w:t>
      </w:r>
    </w:p>
    <w:p w:rsidR="0054446D" w:rsidRDefault="00FB459A">
      <w:pPr>
        <w:spacing w:line="420" w:lineRule="exact"/>
        <w:ind w:firstLineChars="200" w:firstLine="560"/>
        <w:rPr>
          <w:rFonts w:ascii="仿宋_GB2312" w:eastAsia="仿宋_GB2312" w:hAnsi="宋体"/>
          <w:sz w:val="28"/>
        </w:rPr>
      </w:pPr>
      <w:r>
        <w:rPr>
          <w:rFonts w:ascii="仿宋_GB2312" w:eastAsia="仿宋_GB2312" w:hAnsi="宋体" w:hint="eastAsia"/>
          <w:sz w:val="28"/>
        </w:rPr>
        <w:t>3、关于土地开发程度设定：</w:t>
      </w:r>
      <w:proofErr w:type="gramStart"/>
      <w:r>
        <w:rPr>
          <w:rFonts w:ascii="仿宋_GB2312" w:eastAsia="仿宋_GB2312" w:hAnsi="宋体" w:hint="eastAsia"/>
          <w:sz w:val="28"/>
        </w:rPr>
        <w:t>委估宗地</w:t>
      </w:r>
      <w:proofErr w:type="gramEnd"/>
      <w:r>
        <w:rPr>
          <w:rFonts w:ascii="仿宋_GB2312" w:eastAsia="仿宋_GB2312" w:hAnsi="宋体" w:hint="eastAsia"/>
          <w:sz w:val="28"/>
        </w:rPr>
        <w:t>现状为待开发建设用地，实际开发程度为宗地外“六通”（</w:t>
      </w:r>
      <w:r>
        <w:rPr>
          <w:rFonts w:ascii="仿宋_GB2312" w:eastAsia="仿宋_GB2312" w:hAnsi="宋体"/>
          <w:sz w:val="28"/>
        </w:rPr>
        <w:t>通路、供水、排水、通电、通讯、供气</w:t>
      </w:r>
      <w:r>
        <w:rPr>
          <w:rFonts w:ascii="仿宋_GB2312" w:eastAsia="仿宋_GB2312" w:hAnsi="宋体" w:hint="eastAsia"/>
          <w:sz w:val="28"/>
        </w:rPr>
        <w:t>）、宗地内“场地未平整”。根据本报告估价目的,</w:t>
      </w:r>
      <w:proofErr w:type="gramStart"/>
      <w:r>
        <w:rPr>
          <w:rFonts w:ascii="仿宋_GB2312" w:eastAsia="仿宋_GB2312" w:hAnsi="宋体" w:hint="eastAsia"/>
          <w:sz w:val="28"/>
        </w:rPr>
        <w:t>设定委估宗地</w:t>
      </w:r>
      <w:proofErr w:type="gramEnd"/>
      <w:r>
        <w:rPr>
          <w:rFonts w:ascii="仿宋_GB2312" w:eastAsia="仿宋_GB2312" w:hAnsi="宋体" w:hint="eastAsia"/>
          <w:sz w:val="28"/>
        </w:rPr>
        <w:t>开发程度与现状一致，即宗地红线外“六通”（</w:t>
      </w:r>
      <w:r>
        <w:rPr>
          <w:rFonts w:ascii="仿宋_GB2312" w:eastAsia="仿宋_GB2312" w:hAnsi="宋体"/>
          <w:sz w:val="28"/>
        </w:rPr>
        <w:t>通路、供水、排水、通电、通讯、供气</w:t>
      </w:r>
      <w:r>
        <w:rPr>
          <w:rFonts w:ascii="仿宋_GB2312" w:eastAsia="仿宋_GB2312" w:hAnsi="宋体" w:hint="eastAsia"/>
          <w:sz w:val="28"/>
        </w:rPr>
        <w:t>）、宗地红线内“场地未平整”。</w:t>
      </w:r>
    </w:p>
    <w:p w:rsidR="0054446D" w:rsidRDefault="00FB459A">
      <w:pPr>
        <w:spacing w:line="420" w:lineRule="exact"/>
        <w:ind w:firstLineChars="200" w:firstLine="560"/>
        <w:rPr>
          <w:rFonts w:ascii="仿宋_GB2312" w:eastAsia="仿宋_GB2312" w:hAnsi="宋体"/>
          <w:sz w:val="28"/>
        </w:rPr>
      </w:pPr>
      <w:r>
        <w:rPr>
          <w:rFonts w:ascii="仿宋_GB2312" w:eastAsia="仿宋_GB2312" w:hAnsi="宋体" w:hint="eastAsia"/>
          <w:sz w:val="28"/>
        </w:rPr>
        <w:t>4、关于土地使用权剩余年期设定：根据委托人提供的根据委托人提供的《不动产产权情况表》[业务号：HT201207170041]记载，</w:t>
      </w:r>
      <w:proofErr w:type="gramStart"/>
      <w:r>
        <w:rPr>
          <w:rFonts w:ascii="仿宋_GB2312" w:eastAsia="仿宋_GB2312" w:hAnsi="宋体" w:hint="eastAsia"/>
          <w:sz w:val="28"/>
        </w:rPr>
        <w:t>委估宗地</w:t>
      </w:r>
      <w:proofErr w:type="gramEnd"/>
      <w:r>
        <w:rPr>
          <w:rFonts w:ascii="仿宋_GB2312" w:eastAsia="仿宋_GB2312" w:hAnsi="宋体" w:hint="eastAsia"/>
          <w:sz w:val="28"/>
        </w:rPr>
        <w:t>土地用途为住宅用地，</w:t>
      </w:r>
      <w:r>
        <w:rPr>
          <w:rFonts w:ascii="仿宋_GB2312" w:eastAsia="仿宋_GB2312" w:hint="eastAsia"/>
          <w:sz w:val="28"/>
        </w:rPr>
        <w:t>终止日期为2080年02月17日。</w:t>
      </w:r>
      <w:r>
        <w:rPr>
          <w:rFonts w:ascii="仿宋_GB2312" w:eastAsia="仿宋_GB2312" w:hAnsi="宋体" w:hint="eastAsia"/>
          <w:sz w:val="28"/>
        </w:rPr>
        <w:t>至估价期日，宗地</w:t>
      </w:r>
      <w:r>
        <w:rPr>
          <w:rFonts w:ascii="仿宋_GB2312" w:eastAsia="仿宋_GB2312" w:hAnsi="宋体" w:cs="宋体" w:hint="eastAsia"/>
          <w:sz w:val="28"/>
        </w:rPr>
        <w:t>使用权</w:t>
      </w:r>
      <w:r>
        <w:rPr>
          <w:rFonts w:ascii="仿宋_GB2312" w:eastAsia="仿宋_GB2312" w:hAnsi="宋体" w:hint="eastAsia"/>
          <w:sz w:val="28"/>
        </w:rPr>
        <w:t>剩余土地使用权年限为57.77年。故本次估价设定宗地剩余土地使用权年限为57.77年。</w:t>
      </w:r>
    </w:p>
    <w:p w:rsidR="0054446D" w:rsidRDefault="00FB459A">
      <w:pPr>
        <w:spacing w:line="420" w:lineRule="exact"/>
        <w:ind w:firstLineChars="200" w:firstLine="560"/>
        <w:rPr>
          <w:rFonts w:ascii="仿宋_GB2312" w:eastAsia="仿宋_GB2312" w:hAnsi="宋体"/>
          <w:sz w:val="28"/>
        </w:rPr>
      </w:pPr>
      <w:r>
        <w:rPr>
          <w:rFonts w:ascii="仿宋_GB2312" w:eastAsia="仿宋_GB2312" w:hAnsi="宋体" w:hint="eastAsia"/>
          <w:sz w:val="28"/>
        </w:rPr>
        <w:t>5、关于土地利用和规划条件的设定：根据委托人提供的《国有建设用地使用权出让合同》[电子监管号：3605002011B01585]、《关于纬二路以北、经三路以东W-09-04号地块的规划条件》[编号：余规条2011-006]记载，估价对象容积率为1≤FAR≤2。主体建筑物性质为住宅楼，建筑总面积119795平方米，建筑限高45米，建筑密度不高于24%，绿地率不低于45%。其余土地利用要求按《余规条2011-006》执行。一是宗地内需布置一所6班幼托；二是按建筑总面积的1.5‰比例配置社区用房、5‰配置物业管理用房；三是住宅按不少于0.5</w:t>
      </w:r>
      <w:proofErr w:type="gramStart"/>
      <w:r>
        <w:rPr>
          <w:rFonts w:ascii="仿宋_GB2312" w:eastAsia="仿宋_GB2312" w:hAnsi="宋体" w:hint="eastAsia"/>
          <w:sz w:val="28"/>
        </w:rPr>
        <w:t>各</w:t>
      </w:r>
      <w:proofErr w:type="gramEnd"/>
      <w:r>
        <w:rPr>
          <w:rFonts w:ascii="仿宋_GB2312" w:eastAsia="仿宋_GB2312" w:hAnsi="宋体" w:hint="eastAsia"/>
          <w:sz w:val="28"/>
        </w:rPr>
        <w:t>车位/户配置停车位。根据合法原则及最有效利用原则，本次评估设定宗地的容积率为2，建筑密度为24%，绿地率为45%。</w:t>
      </w:r>
    </w:p>
    <w:p w:rsidR="0054446D" w:rsidRDefault="00FB459A">
      <w:pPr>
        <w:spacing w:line="420" w:lineRule="exact"/>
        <w:ind w:firstLineChars="200" w:firstLine="560"/>
        <w:rPr>
          <w:rFonts w:ascii="仿宋_GB2312" w:eastAsia="仿宋_GB2312" w:hAnsi="宋体"/>
          <w:sz w:val="28"/>
        </w:rPr>
      </w:pPr>
      <w:r>
        <w:rPr>
          <w:rFonts w:ascii="仿宋_GB2312" w:eastAsia="仿宋_GB2312" w:hAnsi="宋体" w:hint="eastAsia"/>
          <w:sz w:val="28"/>
        </w:rPr>
        <w:t>6、关于他项权利设定:根据委托人提供的《不动产产权情况表》[业务号：HT201207170041]，估价对象在估价期日已设置抵押</w:t>
      </w:r>
      <w:proofErr w:type="gramStart"/>
      <w:r>
        <w:rPr>
          <w:rFonts w:ascii="仿宋_GB2312" w:eastAsia="仿宋_GB2312" w:hAnsi="宋体" w:hint="eastAsia"/>
          <w:sz w:val="28"/>
        </w:rPr>
        <w:t>权且已</w:t>
      </w:r>
      <w:proofErr w:type="gramEnd"/>
      <w:r>
        <w:rPr>
          <w:rFonts w:ascii="仿宋_GB2312" w:eastAsia="仿宋_GB2312" w:hAnsi="宋体" w:hint="eastAsia"/>
          <w:sz w:val="28"/>
        </w:rPr>
        <w:t>查封。</w:t>
      </w:r>
      <w:proofErr w:type="gramStart"/>
      <w:r>
        <w:rPr>
          <w:rFonts w:ascii="仿宋_GB2312" w:eastAsia="仿宋_GB2312" w:hAnsi="宋体" w:hint="eastAsia"/>
          <w:sz w:val="28"/>
        </w:rPr>
        <w:t>委估宗地</w:t>
      </w:r>
      <w:proofErr w:type="gramEnd"/>
      <w:r>
        <w:rPr>
          <w:rFonts w:ascii="仿宋_GB2312" w:eastAsia="仿宋_GB2312" w:hAnsi="宋体" w:hint="eastAsia"/>
          <w:sz w:val="28"/>
        </w:rPr>
        <w:t>抵押期限为2015年01月24日至2018年01月24日，抵押金额为75000000元，抵押方为华融湘江银行股份有限公司湘潭分行。</w:t>
      </w:r>
      <w:proofErr w:type="gramStart"/>
      <w:r>
        <w:rPr>
          <w:rFonts w:ascii="仿宋_GB2312" w:eastAsia="仿宋_GB2312" w:hAnsi="宋体" w:hint="eastAsia"/>
          <w:sz w:val="28"/>
        </w:rPr>
        <w:t>委估宗地</w:t>
      </w:r>
      <w:proofErr w:type="gramEnd"/>
      <w:r>
        <w:rPr>
          <w:rFonts w:ascii="仿宋_GB2312" w:eastAsia="仿宋_GB2312" w:hAnsi="宋体" w:hint="eastAsia"/>
          <w:sz w:val="28"/>
        </w:rPr>
        <w:t>查封登记日期为2022年01月12日，查封期限2022年01月11日起至2025年01月10止，查封冻结文号为（2022）湘03</w:t>
      </w:r>
      <w:proofErr w:type="gramStart"/>
      <w:r>
        <w:rPr>
          <w:rFonts w:ascii="仿宋_GB2312" w:eastAsia="仿宋_GB2312" w:hAnsi="宋体" w:hint="eastAsia"/>
          <w:sz w:val="28"/>
        </w:rPr>
        <w:t>执保1号</w:t>
      </w:r>
      <w:proofErr w:type="gramEnd"/>
      <w:r>
        <w:rPr>
          <w:rFonts w:ascii="仿宋_GB2312" w:eastAsia="仿宋_GB2312" w:hAnsi="宋体" w:hint="eastAsia"/>
          <w:sz w:val="28"/>
        </w:rPr>
        <w:t>之二，查封单位为湖南省湘潭市中级人民法院。另被湖南省湘潭市中级人民法院轮候查封。故本次估价目的是为湖南省湘潭市中级人民法院确定财产处置参考</w:t>
      </w:r>
      <w:proofErr w:type="gramStart"/>
      <w:r>
        <w:rPr>
          <w:rFonts w:ascii="仿宋_GB2312" w:eastAsia="仿宋_GB2312" w:hAnsi="宋体" w:hint="eastAsia"/>
          <w:sz w:val="28"/>
        </w:rPr>
        <w:t>价提供</w:t>
      </w:r>
      <w:proofErr w:type="gramEnd"/>
      <w:r>
        <w:rPr>
          <w:rFonts w:ascii="仿宋_GB2312" w:eastAsia="仿宋_GB2312" w:hAnsi="宋体" w:hint="eastAsia"/>
          <w:sz w:val="28"/>
        </w:rPr>
        <w:t>参考依据，因为原有的担保物权及其他优先受偿权因拍卖而消灭，</w:t>
      </w:r>
      <w:proofErr w:type="gramStart"/>
      <w:r>
        <w:rPr>
          <w:rFonts w:ascii="仿宋_GB2312" w:eastAsia="仿宋_GB2312" w:hAnsi="宋体" w:hint="eastAsia"/>
          <w:sz w:val="28"/>
        </w:rPr>
        <w:t>查封因</w:t>
      </w:r>
      <w:proofErr w:type="gramEnd"/>
      <w:r>
        <w:rPr>
          <w:rFonts w:ascii="仿宋_GB2312" w:eastAsia="仿宋_GB2312" w:hAnsi="宋体" w:hint="eastAsia"/>
          <w:sz w:val="28"/>
        </w:rPr>
        <w:t>拍卖而解除。故评估时不考虑估价对象原有的担保物权、其他优先受偿权及查封因素的影响。</w:t>
      </w:r>
    </w:p>
    <w:p w:rsidR="0054446D" w:rsidRDefault="00FB459A">
      <w:pPr>
        <w:pStyle w:val="a7"/>
        <w:spacing w:line="420" w:lineRule="exact"/>
        <w:ind w:left="0" w:firstLineChars="200" w:firstLine="560"/>
      </w:pPr>
      <w:r>
        <w:rPr>
          <w:rFonts w:ascii="仿宋_GB2312" w:eastAsia="仿宋_GB2312" w:hAnsi="宋体" w:hint="eastAsia"/>
        </w:rPr>
        <w:t>综上所述，结合《城镇土地估价规程》的技术要求和本项目的用地性质、估价目的及有关条件，根据合法性原则及最有效利用原则，本次评估价值定义为：估价对象在公开市场条件下于估价期日</w:t>
      </w:r>
      <w:r>
        <w:rPr>
          <w:rFonts w:ascii="仿宋_GB2312" w:eastAsia="仿宋_GB2312" w:hint="eastAsia"/>
        </w:rPr>
        <w:t>二</w:t>
      </w:r>
      <w:proofErr w:type="gramStart"/>
      <w:r>
        <w:rPr>
          <w:rFonts w:ascii="仿宋_GB2312" w:eastAsia="仿宋_GB2312" w:hint="eastAsia"/>
        </w:rPr>
        <w:t>0二二</w:t>
      </w:r>
      <w:proofErr w:type="gramEnd"/>
      <w:r>
        <w:rPr>
          <w:rFonts w:ascii="仿宋_GB2312" w:eastAsia="仿宋_GB2312" w:hint="eastAsia"/>
        </w:rPr>
        <w:t>年五月十日</w:t>
      </w:r>
      <w:r>
        <w:rPr>
          <w:rFonts w:ascii="仿宋_GB2312" w:eastAsia="仿宋_GB2312" w:hAnsi="宋体" w:hint="eastAsia"/>
        </w:rPr>
        <w:t>达到</w:t>
      </w:r>
      <w:r>
        <w:rPr>
          <w:rFonts w:ascii="仿宋_GB2312" w:eastAsia="仿宋_GB2312" w:hAnsi="宋体" w:cs="宋体" w:hint="eastAsia"/>
        </w:rPr>
        <w:t>宗地红线外“六通</w:t>
      </w:r>
      <w:r>
        <w:rPr>
          <w:rFonts w:ascii="仿宋_GB2312" w:eastAsia="仿宋_GB2312" w:hAnsi="宋体" w:hint="eastAsia"/>
        </w:rPr>
        <w:t>”（</w:t>
      </w:r>
      <w:r>
        <w:rPr>
          <w:rFonts w:ascii="仿宋_GB2312" w:eastAsia="仿宋_GB2312" w:hAnsi="宋体"/>
        </w:rPr>
        <w:t>通路、供水、排水、通电、通讯、供气</w:t>
      </w:r>
      <w:r>
        <w:rPr>
          <w:rFonts w:ascii="仿宋_GB2312" w:eastAsia="仿宋_GB2312" w:hAnsi="宋体" w:hint="eastAsia"/>
        </w:rPr>
        <w:t>）、宗地红线</w:t>
      </w:r>
      <w:r>
        <w:rPr>
          <w:rFonts w:ascii="仿宋_GB2312" w:eastAsia="仿宋_GB2312" w:hAnsi="宋体" w:cs="宋体" w:hint="eastAsia"/>
        </w:rPr>
        <w:t>内“场地未平整”</w:t>
      </w:r>
      <w:r>
        <w:rPr>
          <w:rFonts w:ascii="仿宋_GB2312" w:eastAsia="仿宋_GB2312" w:hAnsi="宋体" w:hint="eastAsia"/>
        </w:rPr>
        <w:t>，宗地剩余土地使用权年限为57.77年，容积率为2，在</w:t>
      </w:r>
      <w:r>
        <w:rPr>
          <w:rFonts w:hint="eastAsia"/>
        </w:rPr>
        <w:t>上述设定用途、开发程度、规划条件、土地使用年期、权利和性质等条件下</w:t>
      </w:r>
      <w:r>
        <w:rPr>
          <w:rFonts w:ascii="仿宋_GB2312" w:eastAsia="仿宋_GB2312" w:hAnsi="宋体" w:hint="eastAsia"/>
        </w:rPr>
        <w:t>的市场价值</w:t>
      </w:r>
      <w:r>
        <w:rPr>
          <w:rFonts w:hint="eastAsia"/>
          <w:lang w:val="en-US"/>
        </w:rPr>
        <w:t>。</w:t>
      </w:r>
    </w:p>
    <w:p w:rsidR="0054446D" w:rsidRDefault="00FB459A" w:rsidP="00F513B3">
      <w:pPr>
        <w:numPr>
          <w:ilvl w:val="0"/>
          <w:numId w:val="4"/>
        </w:numPr>
        <w:spacing w:beforeLines="100" w:line="420" w:lineRule="exact"/>
        <w:ind w:firstLineChars="300" w:firstLine="843"/>
        <w:outlineLvl w:val="1"/>
        <w:rPr>
          <w:rFonts w:ascii="仿宋" w:eastAsia="仿宋" w:hAnsi="仿宋" w:cs="仿宋"/>
          <w:b/>
          <w:bCs/>
          <w:sz w:val="28"/>
        </w:rPr>
      </w:pPr>
      <w:r>
        <w:rPr>
          <w:rFonts w:ascii="仿宋" w:eastAsia="仿宋" w:hAnsi="仿宋" w:cs="仿宋" w:hint="eastAsia"/>
          <w:b/>
          <w:bCs/>
          <w:sz w:val="28"/>
        </w:rPr>
        <w:t>估价结果</w:t>
      </w:r>
    </w:p>
    <w:p w:rsidR="0054446D" w:rsidRDefault="00FB459A">
      <w:pPr>
        <w:spacing w:line="420" w:lineRule="exact"/>
        <w:ind w:firstLineChars="200" w:firstLine="560"/>
        <w:jc w:val="left"/>
        <w:rPr>
          <w:rFonts w:ascii="仿宋_GB2312" w:eastAsia="仿宋_GB2312"/>
          <w:sz w:val="28"/>
        </w:rPr>
      </w:pPr>
      <w:r>
        <w:rPr>
          <w:rFonts w:ascii="仿宋" w:eastAsia="仿宋" w:hAnsi="仿宋" w:hint="eastAsia"/>
          <w:sz w:val="28"/>
        </w:rPr>
        <w:t>根据《城镇土地估价规程》，估价人员依据土地估价的基本原则、理论和方法，在充分</w:t>
      </w:r>
      <w:proofErr w:type="gramStart"/>
      <w:r>
        <w:rPr>
          <w:rFonts w:ascii="仿宋" w:eastAsia="仿宋" w:hAnsi="仿宋" w:hint="eastAsia"/>
          <w:sz w:val="28"/>
        </w:rPr>
        <w:t>分析委估宗地</w:t>
      </w:r>
      <w:proofErr w:type="gramEnd"/>
      <w:r>
        <w:rPr>
          <w:rFonts w:ascii="仿宋" w:eastAsia="仿宋" w:hAnsi="仿宋" w:hint="eastAsia"/>
          <w:sz w:val="28"/>
        </w:rPr>
        <w:t>所在区域的地价影响因素和掌握的土地市场交易资料的基础上，按照土地估价程序，采用剩余法和基准地价系数修正法</w:t>
      </w:r>
      <w:proofErr w:type="gramStart"/>
      <w:r>
        <w:rPr>
          <w:rFonts w:ascii="仿宋" w:eastAsia="仿宋" w:hAnsi="仿宋" w:hint="eastAsia"/>
          <w:sz w:val="28"/>
        </w:rPr>
        <w:t>对委估宗地</w:t>
      </w:r>
      <w:proofErr w:type="gramEnd"/>
      <w:r>
        <w:rPr>
          <w:rFonts w:ascii="仿宋" w:eastAsia="仿宋" w:hAnsi="仿宋" w:hint="eastAsia"/>
          <w:sz w:val="28"/>
        </w:rPr>
        <w:t>的市场价值进行评估测算，最终</w:t>
      </w:r>
      <w:proofErr w:type="gramStart"/>
      <w:r>
        <w:rPr>
          <w:rFonts w:ascii="仿宋" w:eastAsia="仿宋" w:hAnsi="仿宋" w:hint="eastAsia"/>
          <w:sz w:val="28"/>
        </w:rPr>
        <w:t>确定委估宗地</w:t>
      </w:r>
      <w:proofErr w:type="gramEnd"/>
      <w:r>
        <w:rPr>
          <w:rFonts w:ascii="仿宋" w:eastAsia="仿宋" w:hAnsi="仿宋" w:hint="eastAsia"/>
          <w:sz w:val="28"/>
        </w:rPr>
        <w:t>（</w:t>
      </w:r>
      <w:r>
        <w:rPr>
          <w:rFonts w:ascii="仿宋_GB2312" w:eastAsia="仿宋_GB2312" w:hAnsi="仿宋" w:hint="eastAsia"/>
          <w:sz w:val="28"/>
        </w:rPr>
        <w:t>江西骏丰置业有限公司</w:t>
      </w:r>
      <w:r>
        <w:rPr>
          <w:rFonts w:ascii="仿宋_GB2312" w:eastAsia="仿宋_GB2312" w:hAnsi="宋体" w:hint="eastAsia"/>
          <w:sz w:val="28"/>
        </w:rPr>
        <w:t>名下位于江西省新余市仰天大道以北一宗住宅用地</w:t>
      </w:r>
      <w:r>
        <w:rPr>
          <w:rFonts w:ascii="仿宋_GB2312" w:eastAsia="仿宋_GB2312" w:hint="eastAsia"/>
          <w:bCs/>
          <w:sz w:val="28"/>
        </w:rPr>
        <w:t>的土地使用权</w:t>
      </w:r>
      <w:r>
        <w:rPr>
          <w:rFonts w:ascii="仿宋" w:eastAsia="仿宋" w:hAnsi="仿宋" w:hint="eastAsia"/>
          <w:sz w:val="28"/>
        </w:rPr>
        <w:t>）在估价期日并满足地价定义条件下的土地使用权市场价值</w:t>
      </w:r>
      <w:r>
        <w:rPr>
          <w:rFonts w:ascii="仿宋_GB2312" w:eastAsia="仿宋_GB2312" w:hint="eastAsia"/>
          <w:sz w:val="28"/>
        </w:rPr>
        <w:t>：</w:t>
      </w:r>
    </w:p>
    <w:p w:rsidR="0054446D" w:rsidRDefault="00FB459A">
      <w:pPr>
        <w:spacing w:line="420" w:lineRule="exact"/>
        <w:ind w:firstLineChars="200" w:firstLine="560"/>
        <w:jc w:val="left"/>
        <w:rPr>
          <w:rFonts w:ascii="仿宋" w:eastAsia="仿宋" w:hAnsi="仿宋"/>
          <w:sz w:val="28"/>
        </w:rPr>
      </w:pPr>
      <w:r>
        <w:rPr>
          <w:rFonts w:ascii="仿宋" w:eastAsia="仿宋" w:hAnsi="仿宋" w:hint="eastAsia"/>
          <w:sz w:val="28"/>
        </w:rPr>
        <w:t>币种：人民币</w:t>
      </w:r>
    </w:p>
    <w:p w:rsidR="0054446D" w:rsidRDefault="00FB459A">
      <w:pPr>
        <w:spacing w:line="420" w:lineRule="exact"/>
        <w:ind w:firstLineChars="200" w:firstLine="560"/>
        <w:jc w:val="left"/>
        <w:rPr>
          <w:rFonts w:ascii="仿宋" w:eastAsia="仿宋" w:hAnsi="仿宋"/>
          <w:sz w:val="28"/>
        </w:rPr>
      </w:pPr>
      <w:r>
        <w:rPr>
          <w:rFonts w:ascii="仿宋" w:eastAsia="仿宋" w:hAnsi="仿宋" w:hint="eastAsia"/>
          <w:sz w:val="28"/>
        </w:rPr>
        <w:t>土地面积：59,897.52平方米；</w:t>
      </w:r>
    </w:p>
    <w:p w:rsidR="0054446D" w:rsidRDefault="00FB459A">
      <w:pPr>
        <w:spacing w:line="420" w:lineRule="exact"/>
        <w:ind w:firstLineChars="200" w:firstLine="560"/>
        <w:jc w:val="left"/>
        <w:rPr>
          <w:rFonts w:ascii="仿宋" w:eastAsia="仿宋" w:hAnsi="仿宋"/>
          <w:sz w:val="28"/>
        </w:rPr>
      </w:pPr>
      <w:r>
        <w:rPr>
          <w:rFonts w:ascii="仿宋" w:eastAsia="仿宋" w:hAnsi="仿宋" w:hint="eastAsia"/>
          <w:sz w:val="28"/>
        </w:rPr>
        <w:t>单位地价：4,684元/平方米；</w:t>
      </w:r>
    </w:p>
    <w:p w:rsidR="0054446D" w:rsidRDefault="00FB459A">
      <w:pPr>
        <w:spacing w:line="420" w:lineRule="exact"/>
        <w:ind w:firstLineChars="200" w:firstLine="560"/>
        <w:jc w:val="left"/>
        <w:rPr>
          <w:rFonts w:ascii="仿宋" w:eastAsia="仿宋" w:hAnsi="仿宋"/>
          <w:sz w:val="28"/>
        </w:rPr>
      </w:pPr>
      <w:r>
        <w:rPr>
          <w:rFonts w:ascii="仿宋" w:eastAsia="仿宋" w:hAnsi="仿宋" w:hint="eastAsia"/>
          <w:sz w:val="28"/>
        </w:rPr>
        <w:t>楼面地价：2,344元/平方米</w:t>
      </w:r>
    </w:p>
    <w:p w:rsidR="0054446D" w:rsidRDefault="00FB459A">
      <w:pPr>
        <w:spacing w:line="420" w:lineRule="exact"/>
        <w:ind w:firstLineChars="200" w:firstLine="560"/>
        <w:jc w:val="left"/>
        <w:rPr>
          <w:rFonts w:ascii="仿宋" w:eastAsia="仿宋" w:hAnsi="仿宋"/>
          <w:sz w:val="28"/>
        </w:rPr>
      </w:pPr>
      <w:r>
        <w:rPr>
          <w:rFonts w:ascii="仿宋" w:eastAsia="仿宋" w:hAnsi="仿宋" w:hint="eastAsia"/>
          <w:sz w:val="28"/>
        </w:rPr>
        <w:t>总地价：280,559,984元；</w:t>
      </w:r>
    </w:p>
    <w:p w:rsidR="0054446D" w:rsidRDefault="00FB459A">
      <w:pPr>
        <w:spacing w:line="420" w:lineRule="exact"/>
        <w:ind w:firstLineChars="200" w:firstLine="560"/>
        <w:jc w:val="left"/>
        <w:rPr>
          <w:rFonts w:ascii="仿宋" w:eastAsia="仿宋" w:hAnsi="仿宋"/>
          <w:sz w:val="28"/>
        </w:rPr>
      </w:pPr>
      <w:r>
        <w:rPr>
          <w:rFonts w:ascii="仿宋" w:eastAsia="仿宋" w:hAnsi="仿宋" w:hint="eastAsia"/>
          <w:sz w:val="28"/>
        </w:rPr>
        <w:t>总地价大写人民币</w:t>
      </w:r>
      <w:r w:rsidR="00F513B3">
        <w:rPr>
          <w:rFonts w:ascii="仿宋" w:eastAsia="仿宋" w:hAnsi="仿宋"/>
          <w:sz w:val="28"/>
        </w:rPr>
        <w:fldChar w:fldCharType="begin"/>
      </w:r>
      <w:r>
        <w:rPr>
          <w:rFonts w:ascii="仿宋" w:eastAsia="仿宋" w:hAnsi="仿宋" w:hint="eastAsia"/>
          <w:sz w:val="28"/>
        </w:rPr>
        <w:instrText>= 280559984 \* CHINESENUM2</w:instrText>
      </w:r>
      <w:r w:rsidR="00F513B3">
        <w:rPr>
          <w:rFonts w:ascii="仿宋" w:eastAsia="仿宋" w:hAnsi="仿宋"/>
          <w:sz w:val="28"/>
        </w:rPr>
        <w:fldChar w:fldCharType="separate"/>
      </w:r>
      <w:proofErr w:type="gramStart"/>
      <w:r>
        <w:rPr>
          <w:rFonts w:ascii="仿宋" w:eastAsia="仿宋" w:hAnsi="仿宋" w:hint="eastAsia"/>
          <w:sz w:val="28"/>
        </w:rPr>
        <w:t>贰亿捌仟零伍拾伍万玖仟玖佰捌拾肆</w:t>
      </w:r>
      <w:proofErr w:type="gramEnd"/>
      <w:r w:rsidR="00F513B3">
        <w:rPr>
          <w:rFonts w:ascii="仿宋" w:eastAsia="仿宋" w:hAnsi="仿宋"/>
          <w:sz w:val="28"/>
        </w:rPr>
        <w:fldChar w:fldCharType="end"/>
      </w:r>
      <w:r>
        <w:rPr>
          <w:rFonts w:ascii="仿宋" w:eastAsia="仿宋" w:hAnsi="仿宋" w:hint="eastAsia"/>
          <w:sz w:val="28"/>
        </w:rPr>
        <w:t>元整；</w:t>
      </w:r>
    </w:p>
    <w:p w:rsidR="0054446D" w:rsidRDefault="00FB459A">
      <w:pPr>
        <w:spacing w:line="420" w:lineRule="exact"/>
        <w:ind w:firstLineChars="200" w:firstLine="560"/>
        <w:jc w:val="left"/>
        <w:rPr>
          <w:rFonts w:ascii="仿宋" w:eastAsia="仿宋" w:hAnsi="仿宋"/>
          <w:sz w:val="28"/>
        </w:rPr>
      </w:pPr>
      <w:r>
        <w:rPr>
          <w:rFonts w:ascii="仿宋" w:eastAsia="仿宋" w:hAnsi="仿宋" w:hint="eastAsia"/>
          <w:sz w:val="28"/>
        </w:rPr>
        <w:t>注：总地价=地面地价×土地面积，地面地价=楼面地价×容积率，总价</w:t>
      </w:r>
      <w:proofErr w:type="gramStart"/>
      <w:r>
        <w:rPr>
          <w:rFonts w:ascii="仿宋" w:eastAsia="仿宋" w:hAnsi="仿宋" w:hint="eastAsia"/>
          <w:sz w:val="28"/>
        </w:rPr>
        <w:t>取整至个位</w:t>
      </w:r>
      <w:proofErr w:type="gramEnd"/>
    </w:p>
    <w:p w:rsidR="0054446D" w:rsidRDefault="0054446D">
      <w:pPr>
        <w:spacing w:line="420" w:lineRule="exact"/>
        <w:ind w:firstLineChars="200" w:firstLine="560"/>
        <w:jc w:val="left"/>
        <w:rPr>
          <w:rFonts w:ascii="仿宋" w:eastAsia="仿宋" w:hAnsi="仿宋"/>
          <w:sz w:val="28"/>
        </w:rPr>
      </w:pPr>
    </w:p>
    <w:p w:rsidR="0054446D" w:rsidRDefault="00FB459A">
      <w:pPr>
        <w:spacing w:line="440" w:lineRule="exact"/>
        <w:ind w:firstLineChars="200" w:firstLine="560"/>
        <w:jc w:val="left"/>
        <w:rPr>
          <w:rFonts w:ascii="仿宋" w:eastAsia="仿宋" w:hAnsi="仿宋" w:cs="仿宋"/>
          <w:sz w:val="28"/>
          <w:highlight w:val="yellow"/>
        </w:rPr>
        <w:sectPr w:rsidR="0054446D">
          <w:headerReference w:type="default" r:id="rId9"/>
          <w:footerReference w:type="default" r:id="rId10"/>
          <w:pgSz w:w="11907" w:h="16840"/>
          <w:pgMar w:top="1701" w:right="1418" w:bottom="1587" w:left="1701" w:header="680" w:footer="720" w:gutter="0"/>
          <w:pgNumType w:fmt="numberInDash"/>
          <w:cols w:space="720"/>
          <w:docGrid w:linePitch="285"/>
        </w:sectPr>
      </w:pPr>
      <w:proofErr w:type="gramStart"/>
      <w:r>
        <w:rPr>
          <w:rFonts w:ascii="仿宋" w:eastAsia="仿宋" w:hAnsi="仿宋" w:hint="eastAsia"/>
          <w:sz w:val="28"/>
        </w:rPr>
        <w:t>委估宗地</w:t>
      </w:r>
      <w:proofErr w:type="gramEnd"/>
      <w:r>
        <w:rPr>
          <w:rFonts w:ascii="仿宋" w:eastAsia="仿宋" w:hAnsi="仿宋" w:hint="eastAsia"/>
          <w:sz w:val="28"/>
        </w:rPr>
        <w:t>估价结果详见附表《土地估价结果一览表》</w:t>
      </w:r>
      <w:r>
        <w:rPr>
          <w:rFonts w:ascii="仿宋" w:eastAsia="仿宋" w:hAnsi="仿宋" w:cs="仿宋" w:hint="eastAsia"/>
          <w:sz w:val="28"/>
        </w:rPr>
        <w:t>。</w:t>
      </w:r>
    </w:p>
    <w:p w:rsidR="0054446D" w:rsidRDefault="0054446D">
      <w:pPr>
        <w:pStyle w:val="ab"/>
      </w:pPr>
    </w:p>
    <w:tbl>
      <w:tblPr>
        <w:tblpPr w:leftFromText="180" w:rightFromText="180" w:vertAnchor="text" w:tblpXSpec="center" w:tblpY="1"/>
        <w:tblOverlap w:val="never"/>
        <w:tblW w:w="14872" w:type="dxa"/>
        <w:jc w:val="center"/>
        <w:tblLayout w:type="fixed"/>
        <w:tblCellMar>
          <w:top w:w="15" w:type="dxa"/>
          <w:left w:w="15" w:type="dxa"/>
          <w:bottom w:w="15" w:type="dxa"/>
          <w:right w:w="15" w:type="dxa"/>
        </w:tblCellMar>
        <w:tblLook w:val="04A0"/>
      </w:tblPr>
      <w:tblGrid>
        <w:gridCol w:w="960"/>
        <w:gridCol w:w="720"/>
        <w:gridCol w:w="1076"/>
        <w:gridCol w:w="493"/>
        <w:gridCol w:w="493"/>
        <w:gridCol w:w="493"/>
        <w:gridCol w:w="1000"/>
        <w:gridCol w:w="712"/>
        <w:gridCol w:w="765"/>
        <w:gridCol w:w="1485"/>
        <w:gridCol w:w="1174"/>
        <w:gridCol w:w="1200"/>
        <w:gridCol w:w="1095"/>
        <w:gridCol w:w="1065"/>
        <w:gridCol w:w="1140"/>
        <w:gridCol w:w="1001"/>
      </w:tblGrid>
      <w:tr w:rsidR="0054446D">
        <w:trPr>
          <w:trHeight w:val="443"/>
          <w:jc w:val="center"/>
        </w:trPr>
        <w:tc>
          <w:tcPr>
            <w:tcW w:w="14872" w:type="dxa"/>
            <w:gridSpan w:val="16"/>
            <w:vAlign w:val="center"/>
          </w:tcPr>
          <w:p w:rsidR="0054446D" w:rsidRDefault="00FB459A">
            <w:pPr>
              <w:widowControl/>
              <w:spacing w:line="240" w:lineRule="atLeast"/>
              <w:ind w:left="210"/>
              <w:jc w:val="center"/>
              <w:textAlignment w:val="center"/>
              <w:rPr>
                <w:rFonts w:ascii="仿宋" w:eastAsia="仿宋" w:hAnsi="仿宋" w:cs="仿宋"/>
                <w:kern w:val="0"/>
                <w:sz w:val="40"/>
                <w:szCs w:val="40"/>
              </w:rPr>
            </w:pPr>
            <w:bookmarkStart w:id="34" w:name="_Toc2326"/>
            <w:bookmarkStart w:id="35" w:name="_Toc6094"/>
            <w:bookmarkStart w:id="36" w:name="_Toc225494987"/>
            <w:r>
              <w:rPr>
                <w:rFonts w:ascii="仿宋" w:eastAsia="仿宋" w:hAnsi="仿宋" w:cs="仿宋" w:hint="eastAsia"/>
                <w:sz w:val="28"/>
              </w:rPr>
              <w:t>表1-1：</w:t>
            </w:r>
            <w:r>
              <w:rPr>
                <w:rFonts w:ascii="仿宋" w:eastAsia="仿宋" w:hAnsi="仿宋" w:cs="仿宋" w:hint="eastAsia"/>
                <w:kern w:val="0"/>
                <w:sz w:val="40"/>
                <w:szCs w:val="40"/>
              </w:rPr>
              <w:t>土地估价结果一览表</w:t>
            </w:r>
          </w:p>
        </w:tc>
      </w:tr>
      <w:tr w:rsidR="0054446D">
        <w:trPr>
          <w:trHeight w:val="90"/>
          <w:jc w:val="center"/>
        </w:trPr>
        <w:tc>
          <w:tcPr>
            <w:tcW w:w="14872" w:type="dxa"/>
            <w:gridSpan w:val="16"/>
            <w:vAlign w:val="bottom"/>
          </w:tcPr>
          <w:p w:rsidR="0054446D" w:rsidRDefault="00FB459A">
            <w:pPr>
              <w:widowControl/>
              <w:spacing w:line="240" w:lineRule="atLeast"/>
              <w:ind w:left="210"/>
              <w:jc w:val="center"/>
              <w:textAlignment w:val="bottom"/>
              <w:rPr>
                <w:rFonts w:ascii="仿宋" w:eastAsia="仿宋" w:hAnsi="仿宋" w:cs="仿宋"/>
                <w:kern w:val="0"/>
                <w:sz w:val="18"/>
                <w:szCs w:val="18"/>
              </w:rPr>
            </w:pPr>
            <w:r>
              <w:rPr>
                <w:rFonts w:ascii="仿宋" w:eastAsia="仿宋" w:hAnsi="仿宋" w:cs="仿宋" w:hint="eastAsia"/>
                <w:kern w:val="0"/>
                <w:sz w:val="18"/>
                <w:szCs w:val="18"/>
              </w:rPr>
              <w:t>报告编号：</w:t>
            </w:r>
            <w:r>
              <w:rPr>
                <w:rFonts w:ascii="仿宋" w:eastAsia="仿宋" w:hAnsi="仿宋" w:cs="仿宋" w:hint="eastAsia"/>
                <w:sz w:val="18"/>
                <w:szCs w:val="18"/>
              </w:rPr>
              <w:t>湘鹏程[2022](</w:t>
            </w:r>
            <w:proofErr w:type="gramStart"/>
            <w:r>
              <w:rPr>
                <w:rFonts w:ascii="仿宋" w:eastAsia="仿宋" w:hAnsi="仿宋" w:cs="仿宋" w:hint="eastAsia"/>
                <w:sz w:val="18"/>
                <w:szCs w:val="18"/>
              </w:rPr>
              <w:t>土估)</w:t>
            </w:r>
            <w:proofErr w:type="gramEnd"/>
            <w:r>
              <w:rPr>
                <w:rFonts w:ascii="仿宋" w:eastAsia="仿宋" w:hAnsi="仿宋" w:cs="仿宋" w:hint="eastAsia"/>
                <w:sz w:val="18"/>
                <w:szCs w:val="18"/>
              </w:rPr>
              <w:t>字</w:t>
            </w:r>
            <w:r>
              <w:rPr>
                <w:rFonts w:ascii="仿宋" w:eastAsia="仿宋" w:hAnsi="仿宋" w:cs="仿宋" w:hint="eastAsia"/>
                <w:kern w:val="0"/>
                <w:sz w:val="18"/>
                <w:szCs w:val="18"/>
              </w:rPr>
              <w:t>第0015号</w:t>
            </w:r>
          </w:p>
        </w:tc>
      </w:tr>
      <w:tr w:rsidR="0054446D">
        <w:trPr>
          <w:trHeight w:val="405"/>
          <w:jc w:val="center"/>
        </w:trPr>
        <w:tc>
          <w:tcPr>
            <w:tcW w:w="14872" w:type="dxa"/>
            <w:gridSpan w:val="16"/>
            <w:vAlign w:val="bottom"/>
          </w:tcPr>
          <w:p w:rsidR="0054446D" w:rsidRDefault="00FB459A">
            <w:pPr>
              <w:spacing w:line="420" w:lineRule="exact"/>
              <w:ind w:firstLineChars="100" w:firstLine="180"/>
              <w:rPr>
                <w:rFonts w:ascii="仿宋" w:eastAsia="仿宋" w:hAnsi="仿宋" w:cs="仿宋"/>
                <w:kern w:val="0"/>
                <w:sz w:val="18"/>
                <w:szCs w:val="18"/>
              </w:rPr>
            </w:pPr>
            <w:r>
              <w:rPr>
                <w:rFonts w:ascii="仿宋" w:eastAsia="仿宋" w:hAnsi="仿宋" w:cs="仿宋" w:hint="eastAsia"/>
                <w:kern w:val="0"/>
                <w:sz w:val="18"/>
                <w:szCs w:val="18"/>
              </w:rPr>
              <w:t>评估目的：为湖南省湘潭市中级人民法院确定财产处置参考</w:t>
            </w:r>
            <w:proofErr w:type="gramStart"/>
            <w:r>
              <w:rPr>
                <w:rFonts w:ascii="仿宋" w:eastAsia="仿宋" w:hAnsi="仿宋" w:cs="仿宋" w:hint="eastAsia"/>
                <w:kern w:val="0"/>
                <w:sz w:val="18"/>
                <w:szCs w:val="18"/>
              </w:rPr>
              <w:t>价提供</w:t>
            </w:r>
            <w:proofErr w:type="gramEnd"/>
            <w:r>
              <w:rPr>
                <w:rFonts w:ascii="仿宋" w:eastAsia="仿宋" w:hAnsi="仿宋" w:cs="仿宋" w:hint="eastAsia"/>
                <w:kern w:val="0"/>
                <w:sz w:val="18"/>
                <w:szCs w:val="18"/>
              </w:rPr>
              <w:t>参考依据。</w:t>
            </w:r>
          </w:p>
        </w:tc>
      </w:tr>
      <w:tr w:rsidR="0054446D">
        <w:trPr>
          <w:trHeight w:val="208"/>
          <w:jc w:val="center"/>
        </w:trPr>
        <w:tc>
          <w:tcPr>
            <w:tcW w:w="14872" w:type="dxa"/>
            <w:gridSpan w:val="16"/>
            <w:tcBorders>
              <w:bottom w:val="single" w:sz="4" w:space="0" w:color="000000"/>
            </w:tcBorders>
            <w:vAlign w:val="bottom"/>
          </w:tcPr>
          <w:p w:rsidR="0054446D" w:rsidRDefault="00FB459A">
            <w:pPr>
              <w:widowControl/>
              <w:spacing w:line="240" w:lineRule="atLeast"/>
              <w:ind w:left="210"/>
              <w:jc w:val="left"/>
              <w:textAlignment w:val="bottom"/>
              <w:rPr>
                <w:rFonts w:ascii="仿宋" w:eastAsia="仿宋" w:hAnsi="仿宋" w:cs="仿宋"/>
                <w:kern w:val="0"/>
                <w:sz w:val="18"/>
                <w:szCs w:val="18"/>
              </w:rPr>
            </w:pPr>
            <w:r>
              <w:rPr>
                <w:rFonts w:ascii="仿宋" w:eastAsia="仿宋" w:hAnsi="仿宋" w:cs="仿宋" w:hint="eastAsia"/>
                <w:kern w:val="0"/>
                <w:sz w:val="18"/>
                <w:szCs w:val="18"/>
              </w:rPr>
              <w:t>评估机构：湖南鹏程资产房地产评估有限公司                            估价期日：2022年05月10日                           估价期日的土地使用权性质：出让的国有建设用地</w:t>
            </w:r>
          </w:p>
        </w:tc>
      </w:tr>
      <w:tr w:rsidR="0054446D">
        <w:trPr>
          <w:trHeight w:val="190"/>
          <w:jc w:val="center"/>
        </w:trPr>
        <w:tc>
          <w:tcPr>
            <w:tcW w:w="960" w:type="dxa"/>
            <w:vMerge w:val="restart"/>
            <w:tcBorders>
              <w:top w:val="single" w:sz="4" w:space="0" w:color="000000"/>
              <w:left w:val="single" w:sz="4" w:space="0" w:color="000000"/>
              <w:bottom w:val="single" w:sz="4" w:space="0" w:color="000000"/>
              <w:right w:val="single" w:sz="4" w:space="0" w:color="000000"/>
            </w:tcBorders>
            <w:vAlign w:val="center"/>
          </w:tcPr>
          <w:p w:rsidR="0054446D" w:rsidRDefault="00FB459A">
            <w:pPr>
              <w:spacing w:line="200" w:lineRule="exact"/>
              <w:jc w:val="center"/>
              <w:rPr>
                <w:rFonts w:ascii="仿宋" w:eastAsia="仿宋" w:hAnsi="仿宋" w:cs="仿宋"/>
                <w:sz w:val="15"/>
                <w:szCs w:val="15"/>
              </w:rPr>
            </w:pPr>
            <w:r>
              <w:rPr>
                <w:rFonts w:ascii="仿宋" w:eastAsia="仿宋" w:hAnsi="仿宋" w:hint="eastAsia"/>
                <w:sz w:val="18"/>
                <w:szCs w:val="18"/>
              </w:rPr>
              <w:t>估价期日的土地使用者</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54446D" w:rsidRDefault="00FB459A">
            <w:pPr>
              <w:spacing w:line="200" w:lineRule="exact"/>
              <w:jc w:val="center"/>
              <w:rPr>
                <w:rFonts w:ascii="仿宋" w:eastAsia="仿宋" w:hAnsi="仿宋" w:cs="仿宋"/>
                <w:sz w:val="15"/>
                <w:szCs w:val="15"/>
              </w:rPr>
            </w:pPr>
            <w:r>
              <w:rPr>
                <w:rFonts w:ascii="仿宋" w:eastAsia="仿宋" w:hAnsi="仿宋" w:hint="eastAsia"/>
                <w:sz w:val="18"/>
                <w:szCs w:val="18"/>
              </w:rPr>
              <w:t>宗地编号</w:t>
            </w:r>
          </w:p>
        </w:tc>
        <w:tc>
          <w:tcPr>
            <w:tcW w:w="1076" w:type="dxa"/>
            <w:vMerge w:val="restart"/>
            <w:tcBorders>
              <w:top w:val="single" w:sz="4" w:space="0" w:color="000000"/>
              <w:left w:val="single" w:sz="4" w:space="0" w:color="000000"/>
              <w:bottom w:val="single" w:sz="4" w:space="0" w:color="000000"/>
              <w:right w:val="single" w:sz="4" w:space="0" w:color="000000"/>
            </w:tcBorders>
            <w:vAlign w:val="center"/>
          </w:tcPr>
          <w:p w:rsidR="0054446D" w:rsidRDefault="00FB459A">
            <w:pPr>
              <w:widowControl/>
              <w:spacing w:line="240" w:lineRule="atLeast"/>
              <w:jc w:val="center"/>
              <w:textAlignment w:val="center"/>
              <w:rPr>
                <w:rFonts w:ascii="仿宋" w:eastAsia="仿宋" w:hAnsi="仿宋" w:cs="仿宋"/>
                <w:kern w:val="0"/>
                <w:sz w:val="15"/>
                <w:szCs w:val="15"/>
              </w:rPr>
            </w:pPr>
            <w:r>
              <w:rPr>
                <w:rFonts w:ascii="仿宋" w:eastAsia="仿宋" w:hAnsi="仿宋" w:cs="仿宋" w:hint="eastAsia"/>
                <w:kern w:val="0"/>
                <w:sz w:val="15"/>
                <w:szCs w:val="15"/>
              </w:rPr>
              <w:t>不动产权证书号</w:t>
            </w:r>
          </w:p>
        </w:tc>
        <w:tc>
          <w:tcPr>
            <w:tcW w:w="1479" w:type="dxa"/>
            <w:gridSpan w:val="3"/>
            <w:tcBorders>
              <w:top w:val="single" w:sz="4" w:space="0" w:color="000000"/>
              <w:left w:val="single" w:sz="4" w:space="0" w:color="000000"/>
              <w:bottom w:val="single" w:sz="4" w:space="0" w:color="000000"/>
              <w:right w:val="single" w:sz="4" w:space="0" w:color="000000"/>
            </w:tcBorders>
            <w:vAlign w:val="center"/>
          </w:tcPr>
          <w:p w:rsidR="0054446D" w:rsidRDefault="00FB459A">
            <w:pPr>
              <w:spacing w:line="200" w:lineRule="exact"/>
              <w:jc w:val="center"/>
              <w:rPr>
                <w:rFonts w:ascii="仿宋" w:eastAsia="仿宋" w:hAnsi="仿宋" w:cs="仿宋"/>
                <w:sz w:val="15"/>
                <w:szCs w:val="15"/>
              </w:rPr>
            </w:pPr>
            <w:r>
              <w:rPr>
                <w:rFonts w:ascii="仿宋" w:eastAsia="仿宋" w:hAnsi="仿宋" w:hint="eastAsia"/>
                <w:sz w:val="18"/>
                <w:szCs w:val="18"/>
              </w:rPr>
              <w:t>估价期日的用途</w:t>
            </w:r>
          </w:p>
        </w:tc>
        <w:tc>
          <w:tcPr>
            <w:tcW w:w="2477" w:type="dxa"/>
            <w:gridSpan w:val="3"/>
            <w:tcBorders>
              <w:top w:val="single" w:sz="4" w:space="0" w:color="000000"/>
              <w:left w:val="single" w:sz="4" w:space="0" w:color="000000"/>
              <w:bottom w:val="single" w:sz="4" w:space="0" w:color="000000"/>
              <w:right w:val="single" w:sz="4" w:space="0" w:color="000000"/>
            </w:tcBorders>
            <w:vAlign w:val="center"/>
          </w:tcPr>
          <w:p w:rsidR="0054446D" w:rsidRDefault="00FB459A">
            <w:pPr>
              <w:spacing w:line="200" w:lineRule="exact"/>
              <w:jc w:val="center"/>
              <w:rPr>
                <w:rFonts w:ascii="仿宋" w:eastAsia="仿宋" w:hAnsi="仿宋" w:cs="仿宋"/>
                <w:kern w:val="0"/>
                <w:sz w:val="15"/>
                <w:szCs w:val="15"/>
              </w:rPr>
            </w:pPr>
            <w:r>
              <w:rPr>
                <w:rFonts w:ascii="仿宋" w:eastAsia="仿宋" w:hAnsi="仿宋" w:hint="eastAsia"/>
                <w:sz w:val="18"/>
                <w:szCs w:val="18"/>
              </w:rPr>
              <w:t>容积率</w:t>
            </w:r>
          </w:p>
        </w:tc>
        <w:tc>
          <w:tcPr>
            <w:tcW w:w="1485" w:type="dxa"/>
            <w:vMerge w:val="restart"/>
            <w:tcBorders>
              <w:top w:val="single" w:sz="4" w:space="0" w:color="000000"/>
              <w:left w:val="single" w:sz="4" w:space="0" w:color="000000"/>
              <w:right w:val="single" w:sz="4" w:space="0" w:color="000000"/>
            </w:tcBorders>
            <w:vAlign w:val="center"/>
          </w:tcPr>
          <w:p w:rsidR="0054446D" w:rsidRDefault="00FB459A">
            <w:pPr>
              <w:spacing w:line="200" w:lineRule="exact"/>
              <w:jc w:val="center"/>
              <w:rPr>
                <w:rFonts w:ascii="仿宋" w:eastAsia="仿宋" w:hAnsi="仿宋" w:cs="仿宋"/>
                <w:kern w:val="0"/>
                <w:sz w:val="15"/>
                <w:szCs w:val="15"/>
              </w:rPr>
            </w:pPr>
            <w:r>
              <w:rPr>
                <w:rFonts w:ascii="仿宋" w:eastAsia="仿宋" w:hAnsi="仿宋" w:hint="eastAsia"/>
                <w:sz w:val="18"/>
                <w:szCs w:val="18"/>
              </w:rPr>
              <w:t>估价期日实际土地开发程度</w:t>
            </w:r>
          </w:p>
        </w:tc>
        <w:tc>
          <w:tcPr>
            <w:tcW w:w="1174" w:type="dxa"/>
            <w:vMerge w:val="restart"/>
            <w:tcBorders>
              <w:top w:val="single" w:sz="4" w:space="0" w:color="000000"/>
              <w:left w:val="single" w:sz="4" w:space="0" w:color="000000"/>
              <w:right w:val="single" w:sz="4" w:space="0" w:color="000000"/>
            </w:tcBorders>
            <w:vAlign w:val="center"/>
          </w:tcPr>
          <w:p w:rsidR="0054446D" w:rsidRDefault="00FB459A">
            <w:pPr>
              <w:spacing w:line="200" w:lineRule="exact"/>
              <w:jc w:val="center"/>
              <w:rPr>
                <w:rFonts w:ascii="仿宋" w:eastAsia="仿宋" w:hAnsi="仿宋" w:cs="仿宋"/>
                <w:kern w:val="0"/>
                <w:sz w:val="15"/>
                <w:szCs w:val="15"/>
              </w:rPr>
            </w:pPr>
            <w:r>
              <w:rPr>
                <w:rFonts w:ascii="仿宋" w:eastAsia="仿宋" w:hAnsi="仿宋" w:hint="eastAsia"/>
                <w:sz w:val="18"/>
                <w:szCs w:val="18"/>
              </w:rPr>
              <w:t>估价设定土地开发程度</w:t>
            </w:r>
          </w:p>
        </w:tc>
        <w:tc>
          <w:tcPr>
            <w:tcW w:w="1200" w:type="dxa"/>
            <w:vMerge w:val="restart"/>
            <w:tcBorders>
              <w:top w:val="single" w:sz="4" w:space="0" w:color="000000"/>
              <w:left w:val="single" w:sz="4" w:space="0" w:color="000000"/>
              <w:right w:val="single" w:sz="4" w:space="0" w:color="000000"/>
            </w:tcBorders>
            <w:vAlign w:val="center"/>
          </w:tcPr>
          <w:p w:rsidR="0054446D" w:rsidRDefault="00FB459A">
            <w:pPr>
              <w:spacing w:line="200" w:lineRule="exact"/>
              <w:jc w:val="center"/>
              <w:rPr>
                <w:rFonts w:ascii="仿宋" w:eastAsia="仿宋" w:hAnsi="仿宋" w:cs="仿宋"/>
                <w:kern w:val="0"/>
                <w:sz w:val="15"/>
                <w:szCs w:val="15"/>
              </w:rPr>
            </w:pPr>
            <w:r>
              <w:rPr>
                <w:rFonts w:ascii="仿宋" w:eastAsia="仿宋" w:hAnsi="仿宋" w:hint="eastAsia"/>
                <w:sz w:val="18"/>
                <w:szCs w:val="18"/>
              </w:rPr>
              <w:t>剩余土地使用权年限/年</w:t>
            </w:r>
          </w:p>
        </w:tc>
        <w:tc>
          <w:tcPr>
            <w:tcW w:w="1095" w:type="dxa"/>
            <w:vMerge w:val="restart"/>
            <w:tcBorders>
              <w:top w:val="single" w:sz="4" w:space="0" w:color="000000"/>
              <w:left w:val="single" w:sz="4" w:space="0" w:color="000000"/>
              <w:right w:val="single" w:sz="4" w:space="0" w:color="000000"/>
            </w:tcBorders>
            <w:vAlign w:val="center"/>
          </w:tcPr>
          <w:p w:rsidR="0054446D" w:rsidRDefault="00FB459A">
            <w:pPr>
              <w:spacing w:line="200" w:lineRule="exact"/>
              <w:jc w:val="center"/>
              <w:rPr>
                <w:rFonts w:ascii="仿宋" w:eastAsia="仿宋" w:hAnsi="仿宋" w:cs="仿宋"/>
                <w:kern w:val="0"/>
                <w:sz w:val="15"/>
                <w:szCs w:val="15"/>
              </w:rPr>
            </w:pPr>
            <w:r>
              <w:rPr>
                <w:rFonts w:ascii="仿宋" w:eastAsia="仿宋" w:hAnsi="仿宋" w:hint="eastAsia"/>
                <w:sz w:val="18"/>
                <w:szCs w:val="18"/>
              </w:rPr>
              <w:t>面积/㎡</w:t>
            </w:r>
          </w:p>
        </w:tc>
        <w:tc>
          <w:tcPr>
            <w:tcW w:w="1065" w:type="dxa"/>
            <w:vMerge w:val="restart"/>
            <w:tcBorders>
              <w:top w:val="single" w:sz="4" w:space="0" w:color="000000"/>
              <w:left w:val="single" w:sz="4" w:space="0" w:color="000000"/>
              <w:right w:val="single" w:sz="4" w:space="0" w:color="000000"/>
            </w:tcBorders>
            <w:vAlign w:val="center"/>
          </w:tcPr>
          <w:p w:rsidR="0054446D" w:rsidRDefault="00FB459A">
            <w:pPr>
              <w:spacing w:line="200" w:lineRule="exact"/>
              <w:jc w:val="center"/>
              <w:rPr>
                <w:rFonts w:ascii="仿宋" w:eastAsia="仿宋" w:hAnsi="仿宋" w:cs="仿宋"/>
                <w:kern w:val="0"/>
                <w:sz w:val="15"/>
                <w:szCs w:val="15"/>
              </w:rPr>
            </w:pPr>
            <w:r>
              <w:rPr>
                <w:rFonts w:ascii="仿宋" w:eastAsia="仿宋" w:hAnsi="仿宋" w:hint="eastAsia"/>
                <w:sz w:val="18"/>
                <w:szCs w:val="18"/>
              </w:rPr>
              <w:t>单位面积</w:t>
            </w:r>
            <w:proofErr w:type="gramStart"/>
            <w:r>
              <w:rPr>
                <w:rFonts w:ascii="仿宋" w:eastAsia="仿宋" w:hAnsi="仿宋" w:hint="eastAsia"/>
                <w:sz w:val="18"/>
                <w:szCs w:val="18"/>
              </w:rPr>
              <w:t>地价元</w:t>
            </w:r>
            <w:proofErr w:type="gramEnd"/>
            <w:r>
              <w:rPr>
                <w:rFonts w:ascii="仿宋" w:eastAsia="仿宋" w:hAnsi="仿宋" w:hint="eastAsia"/>
                <w:sz w:val="18"/>
                <w:szCs w:val="18"/>
              </w:rPr>
              <w:t>/㎡</w:t>
            </w:r>
          </w:p>
        </w:tc>
        <w:tc>
          <w:tcPr>
            <w:tcW w:w="1140" w:type="dxa"/>
            <w:vMerge w:val="restart"/>
            <w:tcBorders>
              <w:top w:val="single" w:sz="4" w:space="0" w:color="000000"/>
              <w:left w:val="single" w:sz="4" w:space="0" w:color="000000"/>
              <w:right w:val="single" w:sz="4" w:space="0" w:color="000000"/>
            </w:tcBorders>
            <w:vAlign w:val="center"/>
          </w:tcPr>
          <w:p w:rsidR="0054446D" w:rsidRDefault="00FB459A">
            <w:pPr>
              <w:widowControl/>
              <w:spacing w:line="240" w:lineRule="atLeast"/>
              <w:jc w:val="center"/>
              <w:textAlignment w:val="center"/>
              <w:rPr>
                <w:rFonts w:ascii="仿宋" w:eastAsia="仿宋" w:hAnsi="仿宋" w:cs="仿宋"/>
                <w:kern w:val="0"/>
                <w:sz w:val="15"/>
                <w:szCs w:val="15"/>
              </w:rPr>
            </w:pPr>
            <w:r>
              <w:rPr>
                <w:rFonts w:ascii="仿宋" w:eastAsia="仿宋" w:hAnsi="仿宋" w:cs="仿宋" w:hint="eastAsia"/>
                <w:kern w:val="0"/>
                <w:sz w:val="15"/>
                <w:szCs w:val="15"/>
              </w:rPr>
              <w:t>楼面地价（元/㎡）</w:t>
            </w:r>
          </w:p>
        </w:tc>
        <w:tc>
          <w:tcPr>
            <w:tcW w:w="1001" w:type="dxa"/>
            <w:vMerge w:val="restart"/>
            <w:tcBorders>
              <w:top w:val="single" w:sz="4" w:space="0" w:color="000000"/>
              <w:left w:val="single" w:sz="4" w:space="0" w:color="000000"/>
              <w:right w:val="single" w:sz="4" w:space="0" w:color="000000"/>
            </w:tcBorders>
            <w:vAlign w:val="center"/>
          </w:tcPr>
          <w:p w:rsidR="0054446D" w:rsidRDefault="00FB459A">
            <w:pPr>
              <w:widowControl/>
              <w:spacing w:line="240" w:lineRule="atLeast"/>
              <w:jc w:val="center"/>
              <w:textAlignment w:val="center"/>
              <w:rPr>
                <w:rFonts w:ascii="仿宋" w:eastAsia="仿宋" w:hAnsi="仿宋" w:cs="仿宋"/>
                <w:kern w:val="0"/>
                <w:sz w:val="15"/>
                <w:szCs w:val="15"/>
              </w:rPr>
            </w:pPr>
            <w:r>
              <w:rPr>
                <w:rFonts w:ascii="仿宋" w:eastAsia="仿宋" w:hAnsi="仿宋" w:cs="仿宋" w:hint="eastAsia"/>
                <w:kern w:val="0"/>
                <w:sz w:val="15"/>
                <w:szCs w:val="15"/>
              </w:rPr>
              <w:t>总地价（元）</w:t>
            </w:r>
          </w:p>
        </w:tc>
      </w:tr>
      <w:tr w:rsidR="0054446D">
        <w:trPr>
          <w:trHeight w:val="301"/>
          <w:jc w:val="center"/>
        </w:trPr>
        <w:tc>
          <w:tcPr>
            <w:tcW w:w="960" w:type="dxa"/>
            <w:vMerge/>
            <w:tcBorders>
              <w:top w:val="single" w:sz="4" w:space="0" w:color="000000"/>
              <w:left w:val="single" w:sz="4" w:space="0" w:color="000000"/>
              <w:bottom w:val="single" w:sz="4" w:space="0" w:color="000000"/>
              <w:right w:val="single" w:sz="4" w:space="0" w:color="000000"/>
            </w:tcBorders>
            <w:vAlign w:val="center"/>
          </w:tcPr>
          <w:p w:rsidR="0054446D" w:rsidRDefault="0054446D">
            <w:pPr>
              <w:spacing w:line="200" w:lineRule="exact"/>
              <w:jc w:val="center"/>
              <w:rPr>
                <w:rFonts w:ascii="仿宋" w:eastAsia="仿宋" w:hAnsi="仿宋" w:cs="仿宋"/>
                <w:sz w:val="15"/>
                <w:szCs w:val="15"/>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rsidR="0054446D" w:rsidRDefault="0054446D">
            <w:pPr>
              <w:spacing w:line="200" w:lineRule="exact"/>
              <w:jc w:val="center"/>
              <w:rPr>
                <w:rFonts w:ascii="仿宋" w:eastAsia="仿宋" w:hAnsi="仿宋" w:cs="仿宋"/>
                <w:sz w:val="15"/>
                <w:szCs w:val="15"/>
              </w:rPr>
            </w:pPr>
          </w:p>
        </w:tc>
        <w:tc>
          <w:tcPr>
            <w:tcW w:w="1076" w:type="dxa"/>
            <w:vMerge/>
            <w:tcBorders>
              <w:top w:val="single" w:sz="4" w:space="0" w:color="000000"/>
              <w:left w:val="single" w:sz="4" w:space="0" w:color="000000"/>
              <w:bottom w:val="single" w:sz="4" w:space="0" w:color="000000"/>
              <w:right w:val="single" w:sz="4" w:space="0" w:color="000000"/>
            </w:tcBorders>
            <w:vAlign w:val="center"/>
          </w:tcPr>
          <w:p w:rsidR="0054446D" w:rsidRDefault="0054446D">
            <w:pPr>
              <w:spacing w:line="200" w:lineRule="exact"/>
              <w:jc w:val="center"/>
              <w:rPr>
                <w:rFonts w:ascii="仿宋" w:eastAsia="仿宋" w:hAnsi="仿宋" w:cs="仿宋"/>
                <w:sz w:val="15"/>
                <w:szCs w:val="15"/>
              </w:rPr>
            </w:pPr>
          </w:p>
        </w:tc>
        <w:tc>
          <w:tcPr>
            <w:tcW w:w="493" w:type="dxa"/>
            <w:tcBorders>
              <w:top w:val="single" w:sz="4" w:space="0" w:color="000000"/>
              <w:left w:val="single" w:sz="4" w:space="0" w:color="000000"/>
              <w:bottom w:val="single" w:sz="4" w:space="0" w:color="000000"/>
              <w:right w:val="single" w:sz="4" w:space="0" w:color="000000"/>
            </w:tcBorders>
            <w:vAlign w:val="center"/>
          </w:tcPr>
          <w:p w:rsidR="0054446D" w:rsidRDefault="00FB459A">
            <w:pPr>
              <w:spacing w:line="200" w:lineRule="exact"/>
              <w:jc w:val="center"/>
              <w:rPr>
                <w:rFonts w:ascii="仿宋" w:eastAsia="仿宋" w:hAnsi="仿宋" w:cs="仿宋"/>
                <w:sz w:val="15"/>
                <w:szCs w:val="15"/>
              </w:rPr>
            </w:pPr>
            <w:proofErr w:type="gramStart"/>
            <w:r>
              <w:rPr>
                <w:rFonts w:ascii="仿宋" w:eastAsia="仿宋" w:hAnsi="仿宋" w:hint="eastAsia"/>
                <w:sz w:val="18"/>
                <w:szCs w:val="18"/>
              </w:rPr>
              <w:t>证载</w:t>
            </w:r>
            <w:proofErr w:type="gramEnd"/>
          </w:p>
        </w:tc>
        <w:tc>
          <w:tcPr>
            <w:tcW w:w="493" w:type="dxa"/>
            <w:tcBorders>
              <w:top w:val="single" w:sz="4" w:space="0" w:color="000000"/>
              <w:left w:val="single" w:sz="4" w:space="0" w:color="000000"/>
              <w:bottom w:val="single" w:sz="4" w:space="0" w:color="000000"/>
              <w:right w:val="single" w:sz="4" w:space="0" w:color="000000"/>
            </w:tcBorders>
            <w:vAlign w:val="center"/>
          </w:tcPr>
          <w:p w:rsidR="0054446D" w:rsidRDefault="00FB459A">
            <w:pPr>
              <w:spacing w:line="200" w:lineRule="exact"/>
              <w:jc w:val="center"/>
            </w:pPr>
            <w:r>
              <w:rPr>
                <w:rFonts w:ascii="仿宋" w:eastAsia="仿宋" w:hAnsi="仿宋" w:hint="eastAsia"/>
                <w:sz w:val="18"/>
                <w:szCs w:val="18"/>
              </w:rPr>
              <w:t>实际</w:t>
            </w:r>
          </w:p>
        </w:tc>
        <w:tc>
          <w:tcPr>
            <w:tcW w:w="493" w:type="dxa"/>
            <w:tcBorders>
              <w:top w:val="single" w:sz="4" w:space="0" w:color="000000"/>
              <w:left w:val="single" w:sz="4" w:space="0" w:color="000000"/>
              <w:bottom w:val="single" w:sz="4" w:space="0" w:color="000000"/>
              <w:right w:val="single" w:sz="4" w:space="0" w:color="000000"/>
            </w:tcBorders>
            <w:vAlign w:val="center"/>
          </w:tcPr>
          <w:p w:rsidR="0054446D" w:rsidRDefault="00FB459A">
            <w:pPr>
              <w:spacing w:line="200" w:lineRule="exact"/>
              <w:jc w:val="center"/>
            </w:pPr>
            <w:r>
              <w:rPr>
                <w:rFonts w:ascii="仿宋" w:eastAsia="仿宋" w:hAnsi="仿宋" w:hint="eastAsia"/>
                <w:sz w:val="18"/>
                <w:szCs w:val="18"/>
              </w:rPr>
              <w:t>设定</w:t>
            </w:r>
          </w:p>
        </w:tc>
        <w:tc>
          <w:tcPr>
            <w:tcW w:w="1000" w:type="dxa"/>
            <w:tcBorders>
              <w:top w:val="single" w:sz="4" w:space="0" w:color="000000"/>
              <w:left w:val="single" w:sz="4" w:space="0" w:color="000000"/>
              <w:bottom w:val="single" w:sz="4" w:space="0" w:color="000000"/>
              <w:right w:val="single" w:sz="4" w:space="0" w:color="000000"/>
            </w:tcBorders>
            <w:vAlign w:val="center"/>
          </w:tcPr>
          <w:p w:rsidR="0054446D" w:rsidRDefault="00FB459A">
            <w:pPr>
              <w:spacing w:line="200" w:lineRule="exact"/>
              <w:jc w:val="center"/>
              <w:rPr>
                <w:rFonts w:ascii="仿宋" w:eastAsia="仿宋" w:hAnsi="仿宋" w:cs="仿宋"/>
                <w:sz w:val="15"/>
                <w:szCs w:val="15"/>
              </w:rPr>
            </w:pPr>
            <w:r>
              <w:rPr>
                <w:rFonts w:ascii="仿宋" w:eastAsia="仿宋" w:hAnsi="仿宋" w:hint="eastAsia"/>
                <w:sz w:val="18"/>
                <w:szCs w:val="18"/>
              </w:rPr>
              <w:t>规划</w:t>
            </w:r>
          </w:p>
        </w:tc>
        <w:tc>
          <w:tcPr>
            <w:tcW w:w="712" w:type="dxa"/>
            <w:tcBorders>
              <w:top w:val="single" w:sz="4" w:space="0" w:color="000000"/>
              <w:left w:val="single" w:sz="4" w:space="0" w:color="000000"/>
              <w:bottom w:val="single" w:sz="4" w:space="0" w:color="000000"/>
              <w:right w:val="single" w:sz="4" w:space="0" w:color="000000"/>
            </w:tcBorders>
            <w:vAlign w:val="center"/>
          </w:tcPr>
          <w:p w:rsidR="0054446D" w:rsidRDefault="00FB459A">
            <w:pPr>
              <w:spacing w:line="200" w:lineRule="exact"/>
              <w:jc w:val="center"/>
            </w:pPr>
            <w:r>
              <w:rPr>
                <w:rFonts w:ascii="仿宋" w:eastAsia="仿宋" w:hAnsi="仿宋" w:hint="eastAsia"/>
                <w:sz w:val="18"/>
                <w:szCs w:val="18"/>
              </w:rPr>
              <w:t>实际</w:t>
            </w:r>
          </w:p>
        </w:tc>
        <w:tc>
          <w:tcPr>
            <w:tcW w:w="765" w:type="dxa"/>
            <w:tcBorders>
              <w:top w:val="single" w:sz="4" w:space="0" w:color="000000"/>
              <w:left w:val="single" w:sz="4" w:space="0" w:color="000000"/>
              <w:bottom w:val="single" w:sz="4" w:space="0" w:color="000000"/>
              <w:right w:val="single" w:sz="4" w:space="0" w:color="000000"/>
            </w:tcBorders>
            <w:vAlign w:val="center"/>
          </w:tcPr>
          <w:p w:rsidR="0054446D" w:rsidRDefault="00FB459A">
            <w:pPr>
              <w:spacing w:line="200" w:lineRule="exact"/>
              <w:jc w:val="center"/>
            </w:pPr>
            <w:r>
              <w:rPr>
                <w:rFonts w:ascii="仿宋" w:eastAsia="仿宋" w:hAnsi="仿宋" w:hint="eastAsia"/>
                <w:sz w:val="18"/>
                <w:szCs w:val="18"/>
              </w:rPr>
              <w:t>设定</w:t>
            </w:r>
          </w:p>
        </w:tc>
        <w:tc>
          <w:tcPr>
            <w:tcW w:w="1485" w:type="dxa"/>
            <w:vMerge/>
            <w:tcBorders>
              <w:left w:val="single" w:sz="4" w:space="0" w:color="000000"/>
              <w:right w:val="single" w:sz="4" w:space="0" w:color="000000"/>
            </w:tcBorders>
            <w:vAlign w:val="center"/>
          </w:tcPr>
          <w:p w:rsidR="0054446D" w:rsidRDefault="0054446D">
            <w:pPr>
              <w:spacing w:line="200" w:lineRule="exact"/>
              <w:jc w:val="center"/>
              <w:rPr>
                <w:rFonts w:ascii="仿宋" w:eastAsia="仿宋" w:hAnsi="仿宋" w:cs="仿宋"/>
                <w:sz w:val="15"/>
                <w:szCs w:val="15"/>
              </w:rPr>
            </w:pPr>
          </w:p>
        </w:tc>
        <w:tc>
          <w:tcPr>
            <w:tcW w:w="1174" w:type="dxa"/>
            <w:vMerge/>
            <w:tcBorders>
              <w:left w:val="single" w:sz="4" w:space="0" w:color="000000"/>
              <w:right w:val="single" w:sz="4" w:space="0" w:color="000000"/>
            </w:tcBorders>
            <w:vAlign w:val="center"/>
          </w:tcPr>
          <w:p w:rsidR="0054446D" w:rsidRDefault="0054446D">
            <w:pPr>
              <w:spacing w:line="200" w:lineRule="exact"/>
              <w:jc w:val="center"/>
              <w:rPr>
                <w:rFonts w:ascii="仿宋" w:eastAsia="仿宋" w:hAnsi="仿宋" w:cs="仿宋"/>
                <w:sz w:val="15"/>
                <w:szCs w:val="15"/>
              </w:rPr>
            </w:pPr>
          </w:p>
        </w:tc>
        <w:tc>
          <w:tcPr>
            <w:tcW w:w="1200" w:type="dxa"/>
            <w:vMerge/>
            <w:tcBorders>
              <w:left w:val="single" w:sz="4" w:space="0" w:color="000000"/>
              <w:right w:val="single" w:sz="4" w:space="0" w:color="000000"/>
            </w:tcBorders>
            <w:vAlign w:val="center"/>
          </w:tcPr>
          <w:p w:rsidR="0054446D" w:rsidRDefault="0054446D">
            <w:pPr>
              <w:spacing w:line="200" w:lineRule="exact"/>
              <w:jc w:val="center"/>
              <w:rPr>
                <w:rFonts w:ascii="仿宋" w:eastAsia="仿宋" w:hAnsi="仿宋" w:cs="仿宋"/>
                <w:sz w:val="15"/>
                <w:szCs w:val="15"/>
              </w:rPr>
            </w:pPr>
          </w:p>
        </w:tc>
        <w:tc>
          <w:tcPr>
            <w:tcW w:w="1095" w:type="dxa"/>
            <w:vMerge/>
            <w:tcBorders>
              <w:left w:val="single" w:sz="4" w:space="0" w:color="000000"/>
              <w:right w:val="single" w:sz="4" w:space="0" w:color="000000"/>
            </w:tcBorders>
            <w:vAlign w:val="center"/>
          </w:tcPr>
          <w:p w:rsidR="0054446D" w:rsidRDefault="0054446D">
            <w:pPr>
              <w:spacing w:line="200" w:lineRule="exact"/>
              <w:jc w:val="center"/>
              <w:rPr>
                <w:rFonts w:ascii="仿宋" w:eastAsia="仿宋" w:hAnsi="仿宋" w:cs="仿宋"/>
                <w:sz w:val="15"/>
                <w:szCs w:val="15"/>
              </w:rPr>
            </w:pPr>
          </w:p>
        </w:tc>
        <w:tc>
          <w:tcPr>
            <w:tcW w:w="1065" w:type="dxa"/>
            <w:vMerge/>
            <w:tcBorders>
              <w:left w:val="single" w:sz="4" w:space="0" w:color="000000"/>
              <w:right w:val="single" w:sz="4" w:space="0" w:color="000000"/>
            </w:tcBorders>
            <w:vAlign w:val="center"/>
          </w:tcPr>
          <w:p w:rsidR="0054446D" w:rsidRDefault="0054446D">
            <w:pPr>
              <w:spacing w:line="200" w:lineRule="exact"/>
              <w:jc w:val="center"/>
              <w:rPr>
                <w:rFonts w:ascii="仿宋" w:eastAsia="仿宋" w:hAnsi="仿宋" w:cs="仿宋"/>
                <w:sz w:val="15"/>
                <w:szCs w:val="15"/>
              </w:rPr>
            </w:pPr>
          </w:p>
        </w:tc>
        <w:tc>
          <w:tcPr>
            <w:tcW w:w="1140" w:type="dxa"/>
            <w:vMerge/>
            <w:tcBorders>
              <w:left w:val="single" w:sz="4" w:space="0" w:color="000000"/>
              <w:right w:val="single" w:sz="4" w:space="0" w:color="000000"/>
            </w:tcBorders>
            <w:vAlign w:val="center"/>
          </w:tcPr>
          <w:p w:rsidR="0054446D" w:rsidRDefault="0054446D">
            <w:pPr>
              <w:spacing w:line="200" w:lineRule="exact"/>
              <w:rPr>
                <w:rFonts w:ascii="仿宋" w:eastAsia="仿宋" w:hAnsi="仿宋" w:cs="仿宋"/>
                <w:sz w:val="15"/>
                <w:szCs w:val="15"/>
              </w:rPr>
            </w:pPr>
          </w:p>
        </w:tc>
        <w:tc>
          <w:tcPr>
            <w:tcW w:w="1001" w:type="dxa"/>
            <w:vMerge/>
            <w:tcBorders>
              <w:left w:val="single" w:sz="4" w:space="0" w:color="000000"/>
              <w:right w:val="single" w:sz="4" w:space="0" w:color="000000"/>
            </w:tcBorders>
            <w:vAlign w:val="center"/>
          </w:tcPr>
          <w:p w:rsidR="0054446D" w:rsidRDefault="0054446D">
            <w:pPr>
              <w:spacing w:line="200" w:lineRule="exact"/>
              <w:jc w:val="center"/>
              <w:rPr>
                <w:rFonts w:ascii="仿宋" w:eastAsia="仿宋" w:hAnsi="仿宋" w:cs="仿宋"/>
                <w:sz w:val="15"/>
                <w:szCs w:val="15"/>
              </w:rPr>
            </w:pPr>
          </w:p>
        </w:tc>
      </w:tr>
      <w:tr w:rsidR="0054446D">
        <w:trPr>
          <w:trHeight w:val="1108"/>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46D" w:rsidRDefault="00FB459A">
            <w:pPr>
              <w:spacing w:line="200" w:lineRule="exact"/>
              <w:jc w:val="center"/>
              <w:rPr>
                <w:rFonts w:ascii="仿宋" w:eastAsia="仿宋" w:hAnsi="仿宋"/>
                <w:sz w:val="18"/>
                <w:szCs w:val="18"/>
              </w:rPr>
            </w:pPr>
            <w:r>
              <w:rPr>
                <w:rFonts w:ascii="仿宋" w:eastAsia="仿宋" w:hAnsi="仿宋" w:hint="eastAsia"/>
                <w:sz w:val="18"/>
                <w:szCs w:val="18"/>
              </w:rPr>
              <w:t>江西骏丰置业有限公司</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46D" w:rsidRDefault="00FB459A">
            <w:pPr>
              <w:ind w:right="-3"/>
              <w:jc w:val="center"/>
              <w:rPr>
                <w:rFonts w:ascii="仿宋" w:eastAsia="仿宋" w:hAnsi="仿宋"/>
                <w:sz w:val="18"/>
                <w:szCs w:val="18"/>
              </w:rPr>
            </w:pPr>
            <w:r>
              <w:rPr>
                <w:rFonts w:ascii="仿宋" w:eastAsia="仿宋" w:hAnsi="仿宋" w:hint="eastAsia"/>
                <w:sz w:val="18"/>
                <w:szCs w:val="18"/>
              </w:rPr>
              <w:t>—</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46D" w:rsidRDefault="00FB459A">
            <w:pPr>
              <w:widowControl/>
              <w:spacing w:line="240" w:lineRule="atLeast"/>
              <w:jc w:val="center"/>
              <w:textAlignment w:val="center"/>
              <w:rPr>
                <w:rFonts w:ascii="仿宋" w:eastAsia="仿宋" w:hAnsi="仿宋"/>
                <w:sz w:val="18"/>
                <w:szCs w:val="18"/>
              </w:rPr>
            </w:pPr>
            <w:r>
              <w:rPr>
                <w:rFonts w:ascii="仿宋" w:eastAsia="仿宋" w:hAnsi="仿宋" w:hint="eastAsia"/>
                <w:sz w:val="18"/>
                <w:szCs w:val="18"/>
              </w:rPr>
              <w:t>余国用（2012）第00751号</w:t>
            </w: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46D" w:rsidRDefault="00FB459A">
            <w:pPr>
              <w:widowControl/>
              <w:spacing w:line="240" w:lineRule="atLeast"/>
              <w:jc w:val="center"/>
              <w:textAlignment w:val="center"/>
              <w:rPr>
                <w:rFonts w:ascii="仿宋" w:eastAsia="仿宋" w:hAnsi="仿宋"/>
                <w:sz w:val="18"/>
                <w:szCs w:val="18"/>
              </w:rPr>
            </w:pPr>
            <w:r>
              <w:rPr>
                <w:rFonts w:ascii="仿宋" w:eastAsia="仿宋" w:hAnsi="仿宋" w:hint="eastAsia"/>
                <w:sz w:val="18"/>
                <w:szCs w:val="18"/>
              </w:rPr>
              <w:t>住宅用地</w:t>
            </w: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46D" w:rsidRDefault="00FB459A">
            <w:pPr>
              <w:widowControl/>
              <w:spacing w:line="240" w:lineRule="atLeast"/>
              <w:jc w:val="center"/>
              <w:textAlignment w:val="center"/>
              <w:rPr>
                <w:rFonts w:ascii="仿宋" w:eastAsia="仿宋" w:hAnsi="仿宋"/>
                <w:sz w:val="18"/>
                <w:szCs w:val="18"/>
              </w:rPr>
            </w:pPr>
            <w:r>
              <w:rPr>
                <w:rFonts w:ascii="仿宋" w:eastAsia="仿宋" w:hAnsi="仿宋" w:hint="eastAsia"/>
                <w:sz w:val="18"/>
                <w:szCs w:val="18"/>
              </w:rPr>
              <w:t>住宅用地</w:t>
            </w: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46D" w:rsidRDefault="00FB459A">
            <w:pPr>
              <w:widowControl/>
              <w:spacing w:line="240" w:lineRule="atLeast"/>
              <w:jc w:val="center"/>
              <w:textAlignment w:val="center"/>
              <w:rPr>
                <w:rFonts w:ascii="仿宋" w:eastAsia="仿宋" w:hAnsi="仿宋"/>
                <w:sz w:val="18"/>
                <w:szCs w:val="18"/>
              </w:rPr>
            </w:pPr>
            <w:r>
              <w:rPr>
                <w:rFonts w:ascii="仿宋" w:eastAsia="仿宋" w:hAnsi="仿宋" w:hint="eastAsia"/>
                <w:sz w:val="18"/>
                <w:szCs w:val="18"/>
              </w:rPr>
              <w:t>住宅用地</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46D" w:rsidRDefault="00FB459A">
            <w:pPr>
              <w:widowControl/>
              <w:spacing w:line="240" w:lineRule="atLeast"/>
              <w:jc w:val="center"/>
              <w:textAlignment w:val="center"/>
              <w:rPr>
                <w:rFonts w:ascii="仿宋" w:eastAsia="仿宋" w:hAnsi="仿宋"/>
                <w:sz w:val="18"/>
                <w:szCs w:val="18"/>
              </w:rPr>
            </w:pPr>
            <w:r>
              <w:rPr>
                <w:rFonts w:ascii="仿宋" w:eastAsia="仿宋" w:hAnsi="仿宋" w:hint="eastAsia"/>
                <w:sz w:val="18"/>
                <w:szCs w:val="18"/>
              </w:rPr>
              <w:t>FAR≤2</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46D" w:rsidRDefault="00FB459A">
            <w:pPr>
              <w:widowControl/>
              <w:spacing w:line="240" w:lineRule="atLeast"/>
              <w:jc w:val="center"/>
              <w:textAlignment w:val="center"/>
              <w:rPr>
                <w:rFonts w:ascii="仿宋" w:eastAsia="仿宋" w:hAnsi="仿宋"/>
                <w:sz w:val="18"/>
                <w:szCs w:val="18"/>
              </w:rPr>
            </w:pPr>
            <w:r>
              <w:rPr>
                <w:rFonts w:ascii="仿宋" w:eastAsia="仿宋" w:hAnsi="仿宋" w:hint="eastAsia"/>
                <w:sz w:val="18"/>
                <w:szCs w:val="18"/>
              </w:rPr>
              <w:t>/</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46D" w:rsidRDefault="00FB459A">
            <w:pPr>
              <w:widowControl/>
              <w:spacing w:line="240" w:lineRule="atLeast"/>
              <w:jc w:val="center"/>
              <w:textAlignment w:val="center"/>
              <w:rPr>
                <w:rFonts w:ascii="仿宋" w:eastAsia="仿宋" w:hAnsi="仿宋"/>
                <w:sz w:val="18"/>
                <w:szCs w:val="18"/>
              </w:rPr>
            </w:pPr>
            <w:r>
              <w:rPr>
                <w:rFonts w:ascii="仿宋" w:eastAsia="仿宋" w:hAnsi="仿宋" w:hint="eastAsia"/>
                <w:sz w:val="18"/>
                <w:szCs w:val="18"/>
              </w:rPr>
              <w:t>2</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46D" w:rsidRDefault="00FB459A">
            <w:pPr>
              <w:widowControl/>
              <w:spacing w:line="240" w:lineRule="atLeast"/>
              <w:jc w:val="center"/>
              <w:textAlignment w:val="center"/>
              <w:rPr>
                <w:rFonts w:ascii="仿宋" w:eastAsia="仿宋" w:hAnsi="仿宋"/>
                <w:sz w:val="18"/>
                <w:szCs w:val="18"/>
              </w:rPr>
            </w:pPr>
            <w:r>
              <w:rPr>
                <w:rFonts w:ascii="仿宋" w:eastAsia="仿宋" w:hAnsi="仿宋" w:hint="eastAsia"/>
                <w:sz w:val="18"/>
                <w:szCs w:val="18"/>
              </w:rPr>
              <w:t>红线外六通及红线内场地未平整</w:t>
            </w: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46D" w:rsidRDefault="00FB459A">
            <w:pPr>
              <w:widowControl/>
              <w:spacing w:line="240" w:lineRule="atLeast"/>
              <w:jc w:val="center"/>
              <w:textAlignment w:val="center"/>
              <w:rPr>
                <w:rFonts w:ascii="仿宋" w:eastAsia="仿宋" w:hAnsi="仿宋"/>
                <w:sz w:val="18"/>
                <w:szCs w:val="18"/>
              </w:rPr>
            </w:pPr>
            <w:r>
              <w:rPr>
                <w:rFonts w:ascii="仿宋" w:eastAsia="仿宋" w:hAnsi="仿宋" w:hint="eastAsia"/>
                <w:sz w:val="18"/>
                <w:szCs w:val="18"/>
              </w:rPr>
              <w:t>红线外六通及红线内场地未平整</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46D" w:rsidRDefault="00FB459A">
            <w:pPr>
              <w:pStyle w:val="ae"/>
              <w:pBdr>
                <w:bottom w:val="none" w:sz="0" w:space="0" w:color="auto"/>
              </w:pBdr>
              <w:tabs>
                <w:tab w:val="clear" w:pos="4153"/>
                <w:tab w:val="clear" w:pos="8306"/>
              </w:tabs>
              <w:spacing w:line="200" w:lineRule="exact"/>
              <w:rPr>
                <w:rFonts w:ascii="仿宋" w:eastAsia="仿宋" w:hAnsi="仿宋"/>
                <w:szCs w:val="18"/>
              </w:rPr>
            </w:pPr>
            <w:r>
              <w:rPr>
                <w:rFonts w:ascii="仿宋" w:eastAsia="仿宋" w:hAnsi="仿宋" w:hint="eastAsia"/>
                <w:szCs w:val="18"/>
              </w:rPr>
              <w:t>57.77</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46D" w:rsidRDefault="00FB459A">
            <w:pPr>
              <w:widowControl/>
              <w:spacing w:line="240" w:lineRule="atLeast"/>
              <w:jc w:val="center"/>
              <w:textAlignment w:val="center"/>
              <w:rPr>
                <w:rFonts w:ascii="仿宋" w:eastAsia="仿宋" w:hAnsi="仿宋"/>
                <w:sz w:val="18"/>
                <w:szCs w:val="18"/>
              </w:rPr>
            </w:pPr>
            <w:r>
              <w:rPr>
                <w:rFonts w:ascii="仿宋" w:eastAsia="仿宋" w:hAnsi="仿宋" w:hint="eastAsia"/>
                <w:sz w:val="18"/>
                <w:szCs w:val="18"/>
              </w:rPr>
              <w:t>59,897.52</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46D" w:rsidRDefault="00FB459A">
            <w:pPr>
              <w:widowControl/>
              <w:spacing w:line="240" w:lineRule="atLeast"/>
              <w:jc w:val="center"/>
              <w:textAlignment w:val="center"/>
              <w:rPr>
                <w:rFonts w:ascii="仿宋" w:eastAsia="仿宋" w:hAnsi="仿宋"/>
                <w:sz w:val="18"/>
                <w:szCs w:val="18"/>
              </w:rPr>
            </w:pPr>
            <w:r>
              <w:rPr>
                <w:rFonts w:ascii="仿宋" w:eastAsia="仿宋" w:hAnsi="仿宋" w:hint="eastAsia"/>
                <w:sz w:val="18"/>
                <w:szCs w:val="18"/>
              </w:rPr>
              <w:t>4,684</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46D" w:rsidRDefault="00FB459A">
            <w:pPr>
              <w:widowControl/>
              <w:spacing w:line="240" w:lineRule="atLeast"/>
              <w:jc w:val="center"/>
              <w:textAlignment w:val="center"/>
              <w:rPr>
                <w:rFonts w:ascii="仿宋" w:eastAsia="仿宋" w:hAnsi="仿宋"/>
                <w:sz w:val="18"/>
                <w:szCs w:val="18"/>
              </w:rPr>
            </w:pPr>
            <w:r>
              <w:rPr>
                <w:rFonts w:ascii="仿宋" w:eastAsia="仿宋" w:hAnsi="仿宋" w:hint="eastAsia"/>
                <w:sz w:val="18"/>
                <w:szCs w:val="18"/>
              </w:rPr>
              <w:t>2,342</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46D" w:rsidRDefault="00FB459A">
            <w:pPr>
              <w:widowControl/>
              <w:spacing w:line="240" w:lineRule="atLeast"/>
              <w:jc w:val="center"/>
              <w:textAlignment w:val="center"/>
              <w:rPr>
                <w:rFonts w:ascii="仿宋" w:eastAsia="仿宋" w:hAnsi="仿宋"/>
                <w:sz w:val="18"/>
                <w:szCs w:val="18"/>
              </w:rPr>
            </w:pPr>
            <w:r>
              <w:rPr>
                <w:rFonts w:ascii="仿宋" w:eastAsia="仿宋" w:hAnsi="仿宋" w:hint="eastAsia"/>
                <w:sz w:val="18"/>
                <w:szCs w:val="18"/>
              </w:rPr>
              <w:t>280,559,984</w:t>
            </w:r>
          </w:p>
        </w:tc>
      </w:tr>
      <w:tr w:rsidR="0054446D">
        <w:trPr>
          <w:trHeight w:val="466"/>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46D" w:rsidRDefault="00FB459A">
            <w:pPr>
              <w:spacing w:line="200" w:lineRule="exact"/>
              <w:jc w:val="center"/>
              <w:rPr>
                <w:rFonts w:ascii="仿宋" w:eastAsia="仿宋" w:hAnsi="仿宋" w:cs="仿宋"/>
                <w:kern w:val="0"/>
                <w:sz w:val="15"/>
                <w:szCs w:val="15"/>
              </w:rPr>
            </w:pPr>
            <w:r>
              <w:rPr>
                <w:rFonts w:ascii="仿宋" w:eastAsia="仿宋" w:hAnsi="仿宋" w:hint="eastAsia"/>
                <w:sz w:val="18"/>
                <w:szCs w:val="18"/>
              </w:rPr>
              <w:t>合计</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46D" w:rsidRDefault="00FB459A">
            <w:pPr>
              <w:spacing w:line="200" w:lineRule="exact"/>
              <w:jc w:val="center"/>
              <w:rPr>
                <w:rFonts w:ascii="仿宋" w:eastAsia="仿宋" w:hAnsi="仿宋" w:cs="仿宋"/>
                <w:sz w:val="15"/>
                <w:szCs w:val="15"/>
              </w:rPr>
            </w:pPr>
            <w:r>
              <w:rPr>
                <w:rFonts w:ascii="仿宋" w:eastAsia="仿宋" w:hAnsi="仿宋" w:hint="eastAsia"/>
                <w:sz w:val="18"/>
                <w:szCs w:val="18"/>
              </w:rPr>
              <w:t>——</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46D" w:rsidRDefault="00FB459A">
            <w:pPr>
              <w:ind w:right="-3"/>
              <w:jc w:val="center"/>
              <w:rPr>
                <w:rFonts w:ascii="仿宋" w:eastAsia="仿宋" w:hAnsi="仿宋" w:cs="仿宋"/>
                <w:sz w:val="15"/>
                <w:szCs w:val="15"/>
              </w:rPr>
            </w:pPr>
            <w:r>
              <w:rPr>
                <w:rFonts w:ascii="仿宋" w:eastAsia="仿宋" w:hAnsi="仿宋" w:hint="eastAsia"/>
                <w:sz w:val="20"/>
              </w:rPr>
              <w:t>——</w:t>
            </w: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46D" w:rsidRDefault="00FB459A">
            <w:pPr>
              <w:spacing w:line="200" w:lineRule="exact"/>
              <w:ind w:leftChars="-51" w:left="-107" w:firstLineChars="60" w:firstLine="108"/>
              <w:jc w:val="center"/>
              <w:rPr>
                <w:rFonts w:ascii="仿宋" w:eastAsia="仿宋" w:hAnsi="仿宋" w:cs="仿宋"/>
                <w:kern w:val="0"/>
                <w:sz w:val="15"/>
                <w:szCs w:val="15"/>
              </w:rPr>
            </w:pPr>
            <w:r>
              <w:rPr>
                <w:rFonts w:ascii="仿宋" w:eastAsia="仿宋" w:hAnsi="仿宋" w:hint="eastAsia"/>
                <w:sz w:val="18"/>
                <w:szCs w:val="18"/>
              </w:rPr>
              <w:t>—</w:t>
            </w: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46D" w:rsidRDefault="00FB459A">
            <w:pPr>
              <w:spacing w:line="200" w:lineRule="exact"/>
              <w:ind w:leftChars="-51" w:left="-107" w:firstLineChars="60" w:firstLine="108"/>
              <w:jc w:val="center"/>
            </w:pPr>
            <w:r>
              <w:rPr>
                <w:rFonts w:ascii="仿宋" w:eastAsia="仿宋" w:hAnsi="仿宋" w:hint="eastAsia"/>
                <w:sz w:val="18"/>
                <w:szCs w:val="18"/>
              </w:rPr>
              <w:t>—</w:t>
            </w: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46D" w:rsidRDefault="00FB459A">
            <w:pPr>
              <w:spacing w:line="200" w:lineRule="exact"/>
              <w:ind w:leftChars="-51" w:left="-107" w:firstLineChars="60" w:firstLine="108"/>
              <w:jc w:val="center"/>
            </w:pPr>
            <w:r>
              <w:rPr>
                <w:rFonts w:ascii="仿宋" w:eastAsia="仿宋" w:hAnsi="仿宋" w:hint="eastAsia"/>
                <w:sz w:val="18"/>
                <w:szCs w:val="18"/>
              </w:rPr>
              <w:t>—</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46D" w:rsidRDefault="00FB459A">
            <w:pPr>
              <w:spacing w:line="200" w:lineRule="exact"/>
              <w:ind w:leftChars="-51" w:left="-107" w:firstLineChars="60" w:firstLine="108"/>
              <w:jc w:val="center"/>
              <w:rPr>
                <w:rFonts w:ascii="仿宋" w:eastAsia="仿宋" w:hAnsi="仿宋" w:cs="仿宋"/>
                <w:kern w:val="0"/>
                <w:sz w:val="15"/>
                <w:szCs w:val="15"/>
              </w:rPr>
            </w:pPr>
            <w:r>
              <w:rPr>
                <w:rFonts w:ascii="仿宋" w:eastAsia="仿宋" w:hAnsi="仿宋" w:hint="eastAsia"/>
                <w:sz w:val="18"/>
                <w:szCs w:val="18"/>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46D" w:rsidRDefault="00FB459A">
            <w:pPr>
              <w:spacing w:line="200" w:lineRule="exact"/>
              <w:ind w:leftChars="-51" w:left="-107" w:firstLineChars="60" w:firstLine="108"/>
              <w:jc w:val="center"/>
            </w:pPr>
            <w:r>
              <w:rPr>
                <w:rFonts w:ascii="仿宋" w:eastAsia="仿宋" w:hAnsi="仿宋" w:hint="eastAsia"/>
                <w:sz w:val="18"/>
                <w:szCs w:val="18"/>
              </w:rPr>
              <w:t>—</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46D" w:rsidRDefault="00FB459A">
            <w:pPr>
              <w:spacing w:line="200" w:lineRule="exact"/>
              <w:ind w:leftChars="-51" w:left="-107" w:firstLineChars="60" w:firstLine="108"/>
              <w:jc w:val="center"/>
            </w:pPr>
            <w:r>
              <w:rPr>
                <w:rFonts w:ascii="仿宋" w:eastAsia="仿宋" w:hAnsi="仿宋" w:hint="eastAsia"/>
                <w:sz w:val="18"/>
                <w:szCs w:val="18"/>
              </w:rPr>
              <w:t>—</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46D" w:rsidRDefault="00FB459A">
            <w:pPr>
              <w:spacing w:line="200" w:lineRule="exact"/>
              <w:ind w:leftChars="-51" w:left="-107" w:firstLineChars="60" w:firstLine="108"/>
              <w:jc w:val="center"/>
              <w:rPr>
                <w:rFonts w:ascii="仿宋" w:eastAsia="仿宋" w:hAnsi="仿宋" w:cs="仿宋"/>
                <w:kern w:val="0"/>
                <w:sz w:val="15"/>
                <w:szCs w:val="15"/>
              </w:rPr>
            </w:pPr>
            <w:r>
              <w:rPr>
                <w:rFonts w:ascii="仿宋" w:eastAsia="仿宋" w:hAnsi="仿宋" w:hint="eastAsia"/>
                <w:sz w:val="18"/>
                <w:szCs w:val="18"/>
              </w:rPr>
              <w:t>——</w:t>
            </w: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46D" w:rsidRDefault="00FB459A">
            <w:pPr>
              <w:spacing w:line="200" w:lineRule="exact"/>
              <w:jc w:val="center"/>
              <w:rPr>
                <w:rFonts w:ascii="仿宋" w:eastAsia="仿宋" w:hAnsi="仿宋" w:cs="仿宋"/>
                <w:kern w:val="0"/>
                <w:sz w:val="15"/>
                <w:szCs w:val="15"/>
              </w:rPr>
            </w:pPr>
            <w:r>
              <w:rPr>
                <w:rFonts w:ascii="仿宋" w:eastAsia="仿宋" w:hAnsi="仿宋" w:hint="eastAsia"/>
                <w:sz w:val="18"/>
                <w:szCs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46D" w:rsidRDefault="00FB459A">
            <w:pPr>
              <w:pStyle w:val="ae"/>
              <w:pBdr>
                <w:bottom w:val="none" w:sz="0" w:space="0" w:color="auto"/>
              </w:pBdr>
              <w:tabs>
                <w:tab w:val="clear" w:pos="4153"/>
                <w:tab w:val="clear" w:pos="8306"/>
              </w:tabs>
              <w:spacing w:line="200" w:lineRule="exact"/>
              <w:rPr>
                <w:rFonts w:ascii="仿宋" w:eastAsia="仿宋" w:hAnsi="仿宋" w:cs="仿宋"/>
                <w:kern w:val="0"/>
                <w:sz w:val="15"/>
                <w:szCs w:val="15"/>
              </w:rPr>
            </w:pPr>
            <w:r>
              <w:rPr>
                <w:rFonts w:ascii="仿宋" w:eastAsia="仿宋" w:hAnsi="仿宋" w:cs="宋体" w:hint="eastAsia"/>
                <w:szCs w:val="18"/>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46D" w:rsidRDefault="00F513B3">
            <w:pPr>
              <w:pStyle w:val="ae"/>
              <w:pBdr>
                <w:bottom w:val="none" w:sz="0" w:space="0" w:color="auto"/>
              </w:pBdr>
              <w:tabs>
                <w:tab w:val="clear" w:pos="4153"/>
                <w:tab w:val="clear" w:pos="8306"/>
              </w:tabs>
              <w:spacing w:line="200" w:lineRule="exact"/>
              <w:rPr>
                <w:rFonts w:ascii="仿宋" w:eastAsia="仿宋" w:hAnsi="仿宋" w:cs="仿宋"/>
                <w:kern w:val="0"/>
                <w:sz w:val="15"/>
                <w:szCs w:val="15"/>
              </w:rPr>
            </w:pPr>
            <w:r>
              <w:rPr>
                <w:rFonts w:ascii="仿宋" w:eastAsia="仿宋" w:hAnsi="仿宋" w:cs="仿宋"/>
                <w:kern w:val="0"/>
                <w:sz w:val="15"/>
                <w:szCs w:val="15"/>
              </w:rPr>
              <w:fldChar w:fldCharType="begin"/>
            </w:r>
            <w:r w:rsidR="00FB459A">
              <w:rPr>
                <w:rFonts w:ascii="仿宋" w:eastAsia="仿宋" w:hAnsi="仿宋" w:cs="仿宋"/>
                <w:kern w:val="0"/>
                <w:sz w:val="15"/>
                <w:szCs w:val="15"/>
              </w:rPr>
              <w:instrText xml:space="preserve"> =SUM(ABOVE) </w:instrText>
            </w:r>
            <w:r>
              <w:rPr>
                <w:rFonts w:ascii="仿宋" w:eastAsia="仿宋" w:hAnsi="仿宋" w:cs="仿宋"/>
                <w:kern w:val="0"/>
                <w:sz w:val="15"/>
                <w:szCs w:val="15"/>
              </w:rPr>
              <w:fldChar w:fldCharType="separate"/>
            </w:r>
            <w:r w:rsidR="00FB459A">
              <w:rPr>
                <w:rFonts w:ascii="仿宋" w:eastAsia="仿宋" w:hAnsi="仿宋" w:cs="仿宋"/>
                <w:kern w:val="0"/>
                <w:sz w:val="15"/>
                <w:szCs w:val="15"/>
              </w:rPr>
              <w:t>59,897.52</w:t>
            </w:r>
            <w:r>
              <w:rPr>
                <w:rFonts w:ascii="仿宋" w:eastAsia="仿宋" w:hAnsi="仿宋" w:cs="仿宋"/>
                <w:kern w:val="0"/>
                <w:sz w:val="15"/>
                <w:szCs w:val="15"/>
              </w:rPr>
              <w:fldChar w:fldCharType="end"/>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46D" w:rsidRDefault="00FB459A">
            <w:pPr>
              <w:spacing w:line="200" w:lineRule="exact"/>
              <w:jc w:val="center"/>
              <w:rPr>
                <w:rFonts w:ascii="仿宋" w:eastAsia="仿宋" w:hAnsi="仿宋" w:cs="宋体"/>
                <w:sz w:val="18"/>
                <w:szCs w:val="18"/>
              </w:rPr>
            </w:pPr>
            <w:r>
              <w:rPr>
                <w:rFonts w:ascii="仿宋" w:eastAsia="仿宋" w:hAnsi="仿宋" w:cs="宋体" w:hint="eastAsia"/>
                <w:szCs w:val="18"/>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46D" w:rsidRDefault="00FB459A">
            <w:pPr>
              <w:spacing w:line="200" w:lineRule="exact"/>
              <w:jc w:val="center"/>
              <w:rPr>
                <w:rFonts w:ascii="仿宋" w:eastAsia="仿宋" w:hAnsi="仿宋" w:cs="宋体"/>
                <w:sz w:val="18"/>
                <w:szCs w:val="18"/>
              </w:rPr>
            </w:pPr>
            <w:r>
              <w:rPr>
                <w:rFonts w:ascii="仿宋" w:eastAsia="仿宋" w:hAnsi="仿宋" w:cs="宋体" w:hint="eastAsia"/>
                <w:szCs w:val="18"/>
              </w:rPr>
              <w:t>——</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46D" w:rsidRDefault="00F513B3">
            <w:pPr>
              <w:pStyle w:val="ae"/>
              <w:pBdr>
                <w:bottom w:val="none" w:sz="0" w:space="0" w:color="auto"/>
              </w:pBdr>
              <w:tabs>
                <w:tab w:val="clear" w:pos="4153"/>
                <w:tab w:val="clear" w:pos="8306"/>
              </w:tabs>
              <w:spacing w:line="200" w:lineRule="exact"/>
              <w:rPr>
                <w:rFonts w:ascii="仿宋" w:eastAsia="仿宋" w:hAnsi="仿宋" w:cs="宋体"/>
                <w:szCs w:val="18"/>
              </w:rPr>
            </w:pPr>
            <w:r>
              <w:rPr>
                <w:rFonts w:ascii="仿宋" w:eastAsia="仿宋" w:hAnsi="仿宋" w:cs="宋体"/>
                <w:szCs w:val="18"/>
              </w:rPr>
              <w:fldChar w:fldCharType="begin"/>
            </w:r>
            <w:r w:rsidR="00FB459A">
              <w:rPr>
                <w:rFonts w:ascii="仿宋" w:eastAsia="仿宋" w:hAnsi="仿宋" w:cs="宋体"/>
                <w:szCs w:val="18"/>
              </w:rPr>
              <w:instrText xml:space="preserve"> =SUM(ABOVE) </w:instrText>
            </w:r>
            <w:r>
              <w:rPr>
                <w:rFonts w:ascii="仿宋" w:eastAsia="仿宋" w:hAnsi="仿宋" w:cs="宋体"/>
                <w:szCs w:val="18"/>
              </w:rPr>
              <w:fldChar w:fldCharType="separate"/>
            </w:r>
            <w:r w:rsidR="00FB459A">
              <w:rPr>
                <w:rFonts w:ascii="仿宋" w:eastAsia="仿宋" w:hAnsi="仿宋" w:cs="宋体"/>
                <w:szCs w:val="18"/>
              </w:rPr>
              <w:t>280</w:t>
            </w:r>
            <w:r w:rsidR="00FB459A">
              <w:rPr>
                <w:rFonts w:ascii="仿宋" w:eastAsia="仿宋" w:hAnsi="仿宋" w:cs="宋体" w:hint="eastAsia"/>
                <w:szCs w:val="18"/>
              </w:rPr>
              <w:t>,</w:t>
            </w:r>
            <w:r w:rsidR="00FB459A">
              <w:rPr>
                <w:rFonts w:ascii="仿宋" w:eastAsia="仿宋" w:hAnsi="仿宋" w:cs="宋体"/>
                <w:szCs w:val="18"/>
              </w:rPr>
              <w:t>559</w:t>
            </w:r>
            <w:r w:rsidR="00FB459A">
              <w:rPr>
                <w:rFonts w:ascii="仿宋" w:eastAsia="仿宋" w:hAnsi="仿宋" w:cs="宋体" w:hint="eastAsia"/>
                <w:szCs w:val="18"/>
              </w:rPr>
              <w:t>,</w:t>
            </w:r>
            <w:r w:rsidR="00FB459A">
              <w:rPr>
                <w:rFonts w:ascii="仿宋" w:eastAsia="仿宋" w:hAnsi="仿宋" w:cs="宋体"/>
                <w:szCs w:val="18"/>
              </w:rPr>
              <w:t>984</w:t>
            </w:r>
            <w:r>
              <w:rPr>
                <w:rFonts w:ascii="仿宋" w:eastAsia="仿宋" w:hAnsi="仿宋" w:cs="宋体"/>
                <w:szCs w:val="18"/>
              </w:rPr>
              <w:fldChar w:fldCharType="end"/>
            </w:r>
          </w:p>
        </w:tc>
      </w:tr>
    </w:tbl>
    <w:p w:rsidR="0054446D" w:rsidRDefault="00FB459A">
      <w:pPr>
        <w:adjustRightInd w:val="0"/>
        <w:snapToGrid w:val="0"/>
        <w:spacing w:line="300" w:lineRule="auto"/>
        <w:rPr>
          <w:rFonts w:ascii="仿宋" w:eastAsia="仿宋" w:hAnsi="仿宋"/>
        </w:rPr>
      </w:pPr>
      <w:r>
        <w:rPr>
          <w:rFonts w:ascii="仿宋" w:eastAsia="仿宋" w:hAnsi="仿宋" w:hint="eastAsia"/>
        </w:rPr>
        <w:t>一、上述土地估价结果的限制条件：</w:t>
      </w:r>
    </w:p>
    <w:p w:rsidR="0054446D" w:rsidRDefault="00FB459A">
      <w:pPr>
        <w:adjustRightInd w:val="0"/>
        <w:snapToGrid w:val="0"/>
        <w:spacing w:line="300" w:lineRule="auto"/>
        <w:ind w:firstLineChars="200" w:firstLine="420"/>
        <w:rPr>
          <w:rFonts w:ascii="仿宋" w:eastAsia="仿宋" w:hAnsi="仿宋"/>
        </w:rPr>
      </w:pPr>
      <w:r>
        <w:rPr>
          <w:rFonts w:ascii="仿宋" w:eastAsia="仿宋" w:hAnsi="仿宋" w:hint="eastAsia"/>
        </w:rPr>
        <w:t>1、土地权利限制: 无</w:t>
      </w:r>
    </w:p>
    <w:p w:rsidR="0054446D" w:rsidRDefault="00FB459A">
      <w:pPr>
        <w:adjustRightInd w:val="0"/>
        <w:snapToGrid w:val="0"/>
        <w:ind w:firstLineChars="200" w:firstLine="420"/>
        <w:rPr>
          <w:rFonts w:ascii="仿宋" w:eastAsia="仿宋" w:hAnsi="仿宋"/>
        </w:rPr>
      </w:pPr>
      <w:r>
        <w:rPr>
          <w:rFonts w:ascii="仿宋" w:eastAsia="仿宋" w:hAnsi="仿宋" w:hint="eastAsia"/>
        </w:rPr>
        <w:t>2、基础设施条件：</w:t>
      </w:r>
    </w:p>
    <w:tbl>
      <w:tblPr>
        <w:tblpPr w:leftFromText="180" w:rightFromText="180" w:vertAnchor="text" w:horzAnchor="page" w:tblpX="1491" w:tblpY="127"/>
        <w:tblW w:w="1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5"/>
        <w:gridCol w:w="1920"/>
        <w:gridCol w:w="2340"/>
        <w:gridCol w:w="2055"/>
        <w:gridCol w:w="1875"/>
        <w:gridCol w:w="1575"/>
        <w:gridCol w:w="1980"/>
      </w:tblGrid>
      <w:tr w:rsidR="0054446D">
        <w:trPr>
          <w:trHeight w:val="551"/>
        </w:trPr>
        <w:tc>
          <w:tcPr>
            <w:tcW w:w="2035" w:type="dxa"/>
            <w:vAlign w:val="center"/>
          </w:tcPr>
          <w:p w:rsidR="0054446D" w:rsidRDefault="00FB459A">
            <w:pPr>
              <w:spacing w:line="200" w:lineRule="exact"/>
              <w:jc w:val="center"/>
              <w:rPr>
                <w:rFonts w:ascii="仿宋" w:eastAsia="仿宋" w:hAnsi="仿宋"/>
                <w:sz w:val="18"/>
                <w:szCs w:val="18"/>
              </w:rPr>
            </w:pPr>
            <w:r>
              <w:rPr>
                <w:rFonts w:ascii="仿宋" w:eastAsia="仿宋" w:hAnsi="仿宋" w:hint="eastAsia"/>
                <w:sz w:val="18"/>
                <w:szCs w:val="18"/>
              </w:rPr>
              <w:t>宗地名称</w:t>
            </w:r>
          </w:p>
        </w:tc>
        <w:tc>
          <w:tcPr>
            <w:tcW w:w="1920" w:type="dxa"/>
            <w:vAlign w:val="center"/>
          </w:tcPr>
          <w:p w:rsidR="0054446D" w:rsidRDefault="00FB459A">
            <w:pPr>
              <w:spacing w:line="200" w:lineRule="exact"/>
              <w:jc w:val="center"/>
              <w:rPr>
                <w:rFonts w:ascii="仿宋" w:eastAsia="仿宋" w:hAnsi="仿宋"/>
                <w:sz w:val="18"/>
                <w:szCs w:val="18"/>
              </w:rPr>
            </w:pPr>
            <w:r>
              <w:rPr>
                <w:rFonts w:ascii="仿宋" w:eastAsia="仿宋" w:hAnsi="仿宋" w:hint="eastAsia"/>
                <w:sz w:val="18"/>
                <w:szCs w:val="18"/>
              </w:rPr>
              <w:t>场地平整状况</w:t>
            </w:r>
          </w:p>
        </w:tc>
        <w:tc>
          <w:tcPr>
            <w:tcW w:w="2340" w:type="dxa"/>
            <w:vAlign w:val="center"/>
          </w:tcPr>
          <w:p w:rsidR="0054446D" w:rsidRDefault="00FB459A">
            <w:pPr>
              <w:spacing w:line="200" w:lineRule="exact"/>
              <w:jc w:val="center"/>
              <w:rPr>
                <w:rFonts w:ascii="仿宋" w:eastAsia="仿宋" w:hAnsi="仿宋"/>
                <w:sz w:val="18"/>
                <w:szCs w:val="18"/>
              </w:rPr>
            </w:pPr>
            <w:r>
              <w:rPr>
                <w:rFonts w:ascii="仿宋" w:eastAsia="仿宋" w:hAnsi="仿宋" w:hint="eastAsia"/>
                <w:sz w:val="18"/>
                <w:szCs w:val="18"/>
              </w:rPr>
              <w:t>通路状况</w:t>
            </w:r>
          </w:p>
        </w:tc>
        <w:tc>
          <w:tcPr>
            <w:tcW w:w="2055" w:type="dxa"/>
            <w:vAlign w:val="center"/>
          </w:tcPr>
          <w:p w:rsidR="0054446D" w:rsidRDefault="00FB459A">
            <w:pPr>
              <w:spacing w:line="200" w:lineRule="exact"/>
              <w:jc w:val="center"/>
              <w:rPr>
                <w:rFonts w:ascii="仿宋" w:eastAsia="仿宋" w:hAnsi="仿宋"/>
                <w:sz w:val="18"/>
                <w:szCs w:val="18"/>
              </w:rPr>
            </w:pPr>
            <w:r>
              <w:rPr>
                <w:rFonts w:ascii="仿宋" w:eastAsia="仿宋" w:hAnsi="仿宋" w:hint="eastAsia"/>
                <w:sz w:val="18"/>
                <w:szCs w:val="18"/>
              </w:rPr>
              <w:t>供电设施</w:t>
            </w:r>
          </w:p>
        </w:tc>
        <w:tc>
          <w:tcPr>
            <w:tcW w:w="1875" w:type="dxa"/>
            <w:vAlign w:val="center"/>
          </w:tcPr>
          <w:p w:rsidR="0054446D" w:rsidRDefault="00FB459A">
            <w:pPr>
              <w:spacing w:line="200" w:lineRule="exact"/>
              <w:jc w:val="center"/>
              <w:rPr>
                <w:rFonts w:ascii="仿宋" w:eastAsia="仿宋" w:hAnsi="仿宋"/>
                <w:sz w:val="18"/>
                <w:szCs w:val="18"/>
              </w:rPr>
            </w:pPr>
            <w:r>
              <w:rPr>
                <w:rFonts w:ascii="仿宋" w:eastAsia="仿宋" w:hAnsi="仿宋" w:hint="eastAsia"/>
                <w:sz w:val="18"/>
                <w:szCs w:val="18"/>
              </w:rPr>
              <w:t>供水设施</w:t>
            </w:r>
          </w:p>
        </w:tc>
        <w:tc>
          <w:tcPr>
            <w:tcW w:w="1575" w:type="dxa"/>
            <w:vAlign w:val="center"/>
          </w:tcPr>
          <w:p w:rsidR="0054446D" w:rsidRDefault="00FB459A">
            <w:pPr>
              <w:spacing w:line="200" w:lineRule="exact"/>
              <w:jc w:val="center"/>
              <w:rPr>
                <w:rFonts w:ascii="仿宋" w:eastAsia="仿宋" w:hAnsi="仿宋"/>
                <w:sz w:val="18"/>
                <w:szCs w:val="18"/>
              </w:rPr>
            </w:pPr>
            <w:r>
              <w:rPr>
                <w:rFonts w:ascii="仿宋" w:eastAsia="仿宋" w:hAnsi="仿宋" w:hint="eastAsia"/>
                <w:sz w:val="18"/>
                <w:szCs w:val="18"/>
              </w:rPr>
              <w:t>排水设施</w:t>
            </w:r>
          </w:p>
        </w:tc>
        <w:tc>
          <w:tcPr>
            <w:tcW w:w="1980" w:type="dxa"/>
            <w:vAlign w:val="center"/>
          </w:tcPr>
          <w:p w:rsidR="0054446D" w:rsidRDefault="00FB459A">
            <w:pPr>
              <w:spacing w:line="200" w:lineRule="exact"/>
              <w:jc w:val="center"/>
              <w:rPr>
                <w:rFonts w:ascii="仿宋" w:eastAsia="仿宋" w:hAnsi="仿宋"/>
                <w:sz w:val="18"/>
                <w:szCs w:val="18"/>
              </w:rPr>
            </w:pPr>
            <w:r>
              <w:rPr>
                <w:rFonts w:ascii="仿宋" w:eastAsia="仿宋" w:hAnsi="仿宋" w:hint="eastAsia"/>
                <w:sz w:val="18"/>
                <w:szCs w:val="18"/>
              </w:rPr>
              <w:t>通讯设施</w:t>
            </w:r>
          </w:p>
        </w:tc>
      </w:tr>
      <w:tr w:rsidR="0054446D">
        <w:trPr>
          <w:trHeight w:val="649"/>
        </w:trPr>
        <w:tc>
          <w:tcPr>
            <w:tcW w:w="2035" w:type="dxa"/>
            <w:vAlign w:val="center"/>
          </w:tcPr>
          <w:p w:rsidR="0054446D" w:rsidRDefault="00FB459A">
            <w:pPr>
              <w:ind w:right="-3"/>
              <w:jc w:val="center"/>
              <w:rPr>
                <w:rFonts w:ascii="仿宋" w:eastAsia="仿宋" w:hAnsi="仿宋"/>
                <w:sz w:val="18"/>
                <w:szCs w:val="18"/>
              </w:rPr>
            </w:pPr>
            <w:r>
              <w:rPr>
                <w:rFonts w:ascii="仿宋" w:eastAsia="仿宋" w:hAnsi="仿宋" w:hint="eastAsia"/>
                <w:sz w:val="18"/>
                <w:szCs w:val="18"/>
              </w:rPr>
              <w:t>余国用（2012）第00751号</w:t>
            </w:r>
            <w:r w:rsidR="00F513B3">
              <w:rPr>
                <w:rFonts w:ascii="仿宋" w:eastAsia="仿宋" w:hAnsi="仿宋" w:hint="eastAsia"/>
                <w:sz w:val="18"/>
                <w:szCs w:val="18"/>
              </w:rPr>
              <w:fldChar w:fldCharType="begin"/>
            </w:r>
            <w:r>
              <w:rPr>
                <w:rFonts w:ascii="仿宋" w:eastAsia="仿宋" w:hAnsi="仿宋" w:hint="eastAsia"/>
                <w:sz w:val="18"/>
                <w:szCs w:val="18"/>
              </w:rPr>
              <w:instrText xml:space="preserve"> MERGEFIELD  土地使用权人  \* MERGEFORMAT </w:instrText>
            </w:r>
            <w:r w:rsidR="00F513B3">
              <w:rPr>
                <w:rFonts w:ascii="仿宋" w:eastAsia="仿宋" w:hAnsi="仿宋" w:hint="eastAsia"/>
                <w:sz w:val="18"/>
                <w:szCs w:val="18"/>
              </w:rPr>
              <w:fldChar w:fldCharType="end"/>
            </w:r>
          </w:p>
        </w:tc>
        <w:tc>
          <w:tcPr>
            <w:tcW w:w="1920" w:type="dxa"/>
            <w:vAlign w:val="center"/>
          </w:tcPr>
          <w:p w:rsidR="0054446D" w:rsidRDefault="00FB459A">
            <w:pPr>
              <w:ind w:right="-3"/>
              <w:jc w:val="center"/>
              <w:rPr>
                <w:rFonts w:ascii="仿宋" w:eastAsia="仿宋" w:hAnsi="仿宋"/>
                <w:sz w:val="18"/>
                <w:szCs w:val="18"/>
              </w:rPr>
            </w:pPr>
            <w:r>
              <w:rPr>
                <w:rFonts w:ascii="仿宋" w:eastAsia="仿宋" w:hAnsi="仿宋" w:hint="eastAsia"/>
                <w:sz w:val="18"/>
                <w:szCs w:val="18"/>
              </w:rPr>
              <w:t>场地未平整</w:t>
            </w:r>
          </w:p>
        </w:tc>
        <w:tc>
          <w:tcPr>
            <w:tcW w:w="2340" w:type="dxa"/>
            <w:vAlign w:val="center"/>
          </w:tcPr>
          <w:p w:rsidR="0054446D" w:rsidRDefault="00FB459A">
            <w:pPr>
              <w:ind w:right="-3"/>
              <w:jc w:val="center"/>
              <w:rPr>
                <w:rFonts w:ascii="仿宋" w:eastAsia="仿宋" w:hAnsi="仿宋"/>
                <w:sz w:val="18"/>
                <w:szCs w:val="18"/>
              </w:rPr>
            </w:pPr>
            <w:r>
              <w:rPr>
                <w:rFonts w:ascii="仿宋" w:eastAsia="仿宋" w:hAnsi="仿宋" w:hint="eastAsia"/>
                <w:sz w:val="18"/>
                <w:szCs w:val="18"/>
              </w:rPr>
              <w:t>四至均为规划路</w:t>
            </w:r>
          </w:p>
        </w:tc>
        <w:tc>
          <w:tcPr>
            <w:tcW w:w="2055" w:type="dxa"/>
            <w:vAlign w:val="center"/>
          </w:tcPr>
          <w:p w:rsidR="0054446D" w:rsidRDefault="00FB459A">
            <w:pPr>
              <w:ind w:right="-3"/>
              <w:jc w:val="center"/>
              <w:rPr>
                <w:rFonts w:ascii="仿宋" w:eastAsia="仿宋" w:hAnsi="仿宋"/>
                <w:sz w:val="18"/>
                <w:szCs w:val="18"/>
              </w:rPr>
            </w:pPr>
            <w:r>
              <w:rPr>
                <w:rFonts w:ascii="仿宋" w:eastAsia="仿宋" w:hAnsi="仿宋" w:hint="eastAsia"/>
                <w:sz w:val="18"/>
                <w:szCs w:val="18"/>
              </w:rPr>
              <w:t>与市政供电网相连，供电保证率≥98%</w:t>
            </w:r>
          </w:p>
        </w:tc>
        <w:tc>
          <w:tcPr>
            <w:tcW w:w="1875" w:type="dxa"/>
            <w:vAlign w:val="center"/>
          </w:tcPr>
          <w:p w:rsidR="0054446D" w:rsidRDefault="00FB459A">
            <w:pPr>
              <w:ind w:right="-3"/>
              <w:jc w:val="center"/>
              <w:rPr>
                <w:rFonts w:ascii="仿宋" w:eastAsia="仿宋" w:hAnsi="仿宋"/>
                <w:sz w:val="18"/>
                <w:szCs w:val="18"/>
              </w:rPr>
            </w:pPr>
            <w:r>
              <w:rPr>
                <w:rFonts w:ascii="仿宋" w:eastAsia="仿宋" w:hAnsi="仿宋" w:hint="eastAsia"/>
                <w:sz w:val="18"/>
                <w:szCs w:val="18"/>
              </w:rPr>
              <w:t>市政供水，供水保证率≥93%</w:t>
            </w:r>
          </w:p>
        </w:tc>
        <w:tc>
          <w:tcPr>
            <w:tcW w:w="1575" w:type="dxa"/>
            <w:vAlign w:val="center"/>
          </w:tcPr>
          <w:p w:rsidR="0054446D" w:rsidRDefault="00FB459A">
            <w:pPr>
              <w:ind w:right="-3"/>
              <w:jc w:val="center"/>
              <w:rPr>
                <w:rFonts w:ascii="仿宋" w:eastAsia="仿宋" w:hAnsi="仿宋"/>
                <w:sz w:val="18"/>
                <w:szCs w:val="18"/>
              </w:rPr>
            </w:pPr>
            <w:r>
              <w:rPr>
                <w:rFonts w:ascii="仿宋" w:eastAsia="仿宋" w:hAnsi="仿宋" w:hint="eastAsia"/>
                <w:sz w:val="18"/>
                <w:szCs w:val="18"/>
              </w:rPr>
              <w:t>市政管网排水，排水畅通</w:t>
            </w:r>
          </w:p>
        </w:tc>
        <w:tc>
          <w:tcPr>
            <w:tcW w:w="1980" w:type="dxa"/>
            <w:vAlign w:val="center"/>
          </w:tcPr>
          <w:p w:rsidR="0054446D" w:rsidRDefault="00FB459A">
            <w:pPr>
              <w:ind w:right="-3"/>
              <w:jc w:val="center"/>
              <w:rPr>
                <w:rFonts w:ascii="仿宋" w:eastAsia="仿宋" w:hAnsi="仿宋"/>
                <w:sz w:val="18"/>
                <w:szCs w:val="18"/>
              </w:rPr>
            </w:pPr>
            <w:r>
              <w:rPr>
                <w:rFonts w:ascii="仿宋" w:eastAsia="仿宋" w:hAnsi="仿宋" w:hint="eastAsia"/>
                <w:sz w:val="18"/>
                <w:szCs w:val="18"/>
              </w:rPr>
              <w:t>市政通讯网相连，通讯畅通</w:t>
            </w:r>
          </w:p>
        </w:tc>
      </w:tr>
    </w:tbl>
    <w:p w:rsidR="0054446D" w:rsidRDefault="0054446D">
      <w:pPr>
        <w:adjustRightInd w:val="0"/>
        <w:snapToGrid w:val="0"/>
        <w:rPr>
          <w:rFonts w:ascii="仿宋" w:eastAsia="仿宋" w:hAnsi="仿宋"/>
        </w:rPr>
      </w:pPr>
    </w:p>
    <w:p w:rsidR="0054446D" w:rsidRDefault="00FB459A">
      <w:pPr>
        <w:adjustRightInd w:val="0"/>
        <w:snapToGrid w:val="0"/>
        <w:ind w:firstLineChars="200" w:firstLine="420"/>
        <w:rPr>
          <w:rFonts w:ascii="仿宋" w:eastAsia="仿宋" w:hAnsi="仿宋"/>
        </w:rPr>
      </w:pPr>
      <w:r>
        <w:rPr>
          <w:rFonts w:ascii="仿宋" w:eastAsia="仿宋" w:hAnsi="仿宋" w:hint="eastAsia"/>
        </w:rPr>
        <w:t>3、规划限制条件：根据委托人提供的《国有建设用地使用权出让合同》[电子监管号：3605002011B01585]、《关于纬二路以北、经三路以东W-09-04号地块的规划条件》[编号：余规条2011-006]记载，估价对象容积率为1≤FAR≤2。主体建筑物性质为住宅楼，建筑总面积119795平方米，建筑限高45米，建筑密度不高于24%，绿地率不低于45%。其余土地利用要求按《余规条2011-006》执行。一是宗地内需布置一所6班幼托；二是按建筑总面积的1.5‰比例配置社区用房、5‰配置物业管理用房；三是住宅按不少于0.5</w:t>
      </w:r>
      <w:proofErr w:type="gramStart"/>
      <w:r>
        <w:rPr>
          <w:rFonts w:ascii="仿宋" w:eastAsia="仿宋" w:hAnsi="仿宋" w:hint="eastAsia"/>
        </w:rPr>
        <w:t>各</w:t>
      </w:r>
      <w:proofErr w:type="gramEnd"/>
      <w:r>
        <w:rPr>
          <w:rFonts w:ascii="仿宋" w:eastAsia="仿宋" w:hAnsi="仿宋" w:hint="eastAsia"/>
        </w:rPr>
        <w:t>车位/户配置停车位。根据合法原则及最有效利用原则，本次评估设定宗地的容积率为2，建筑密度为24%，绿地率为45%。</w:t>
      </w:r>
    </w:p>
    <w:p w:rsidR="0054446D" w:rsidRDefault="00FB459A">
      <w:pPr>
        <w:adjustRightInd w:val="0"/>
        <w:snapToGrid w:val="0"/>
        <w:ind w:firstLineChars="200" w:firstLine="420"/>
        <w:rPr>
          <w:rFonts w:ascii="仿宋" w:eastAsia="仿宋" w:hAnsi="仿宋"/>
        </w:rPr>
      </w:pPr>
      <w:r>
        <w:rPr>
          <w:rFonts w:ascii="仿宋" w:eastAsia="仿宋" w:hAnsi="仿宋" w:hint="eastAsia"/>
        </w:rPr>
        <w:t>4、影响土地价格的其他限定条件：无</w:t>
      </w:r>
    </w:p>
    <w:p w:rsidR="0054446D" w:rsidRDefault="0054446D">
      <w:pPr>
        <w:adjustRightInd w:val="0"/>
        <w:snapToGrid w:val="0"/>
        <w:ind w:firstLineChars="200" w:firstLine="420"/>
        <w:rPr>
          <w:rFonts w:ascii="仿宋" w:eastAsia="仿宋" w:hAnsi="仿宋"/>
        </w:rPr>
      </w:pPr>
    </w:p>
    <w:p w:rsidR="0054446D" w:rsidRDefault="00FB459A">
      <w:pPr>
        <w:widowControl/>
        <w:spacing w:line="240" w:lineRule="atLeast"/>
        <w:jc w:val="left"/>
        <w:textAlignment w:val="center"/>
        <w:rPr>
          <w:rFonts w:ascii="仿宋" w:eastAsia="仿宋" w:hAnsi="仿宋"/>
        </w:rPr>
      </w:pPr>
      <w:r>
        <w:rPr>
          <w:rFonts w:ascii="仿宋" w:eastAsia="仿宋" w:hAnsi="仿宋" w:hint="eastAsia"/>
        </w:rPr>
        <w:t>二、其他需要说明的事项：</w:t>
      </w:r>
    </w:p>
    <w:p w:rsidR="0054446D" w:rsidRDefault="00FB459A">
      <w:pPr>
        <w:framePr w:hSpace="180" w:wrap="around" w:vAnchor="text" w:hAnchor="text" w:xAlign="center" w:y="1"/>
        <w:widowControl/>
        <w:spacing w:line="240" w:lineRule="atLeast"/>
        <w:ind w:firstLineChars="202" w:firstLine="424"/>
        <w:suppressOverlap/>
        <w:jc w:val="left"/>
        <w:textAlignment w:val="center"/>
        <w:rPr>
          <w:rFonts w:ascii="仿宋" w:eastAsia="仿宋" w:hAnsi="仿宋"/>
        </w:rPr>
      </w:pPr>
      <w:r>
        <w:rPr>
          <w:rFonts w:ascii="仿宋" w:eastAsia="仿宋" w:hAnsi="仿宋" w:hint="eastAsia"/>
        </w:rPr>
        <w:t>1.报告中有关法律性文件及证明材料由委托人提供，委托人应对所提供资料得真实性、完整性、合法性负责，本公司不负责因材料不真实而造成的一切法律责任；</w:t>
      </w:r>
    </w:p>
    <w:p w:rsidR="0054446D" w:rsidRDefault="00FB459A">
      <w:pPr>
        <w:framePr w:hSpace="180" w:wrap="around" w:vAnchor="text" w:hAnchor="text" w:xAlign="center" w:y="1"/>
        <w:widowControl/>
        <w:spacing w:line="240" w:lineRule="atLeast"/>
        <w:ind w:firstLineChars="202" w:firstLine="424"/>
        <w:suppressOverlap/>
        <w:jc w:val="left"/>
        <w:textAlignment w:val="center"/>
        <w:rPr>
          <w:rFonts w:ascii="仿宋" w:eastAsia="仿宋" w:hAnsi="仿宋"/>
        </w:rPr>
      </w:pPr>
      <w:r>
        <w:rPr>
          <w:rFonts w:ascii="仿宋" w:eastAsia="仿宋" w:hAnsi="仿宋" w:hint="eastAsia"/>
        </w:rPr>
        <w:t>2.对于特殊估价中可能存在影响估价结果的其他瑕疵事项，委托人在委托估价时未作特别说明得，在估价人员根据专业经验一般不能获悉的情况下，本公司估价人员不承担相关责任；</w:t>
      </w:r>
      <w:r>
        <w:rPr>
          <w:rFonts w:ascii="仿宋" w:eastAsia="仿宋" w:hAnsi="仿宋" w:hint="eastAsia"/>
        </w:rPr>
        <w:br/>
        <w:t>3.土地的开发程度及其周边环境由委托人带领，我方估价人员加以现场确认；</w:t>
      </w:r>
    </w:p>
    <w:p w:rsidR="0054446D" w:rsidRDefault="00FB459A">
      <w:pPr>
        <w:framePr w:hSpace="180" w:wrap="around" w:vAnchor="text" w:hAnchor="text" w:xAlign="center" w:y="1"/>
        <w:widowControl/>
        <w:spacing w:line="240" w:lineRule="atLeast"/>
        <w:ind w:firstLineChars="202" w:firstLine="424"/>
        <w:suppressOverlap/>
        <w:jc w:val="left"/>
        <w:textAlignment w:val="center"/>
        <w:rPr>
          <w:rFonts w:ascii="仿宋" w:eastAsia="仿宋" w:hAnsi="仿宋"/>
        </w:rPr>
      </w:pPr>
      <w:r>
        <w:rPr>
          <w:rFonts w:ascii="仿宋" w:eastAsia="仿宋" w:hAnsi="仿宋" w:hint="eastAsia"/>
        </w:rPr>
        <w:t>4.本次估价</w:t>
      </w:r>
      <w:proofErr w:type="gramStart"/>
      <w:r>
        <w:rPr>
          <w:rFonts w:ascii="仿宋" w:eastAsia="仿宋" w:hAnsi="仿宋" w:hint="eastAsia"/>
        </w:rPr>
        <w:t>中委估宗地</w:t>
      </w:r>
      <w:proofErr w:type="gramEnd"/>
      <w:r>
        <w:rPr>
          <w:rFonts w:ascii="仿宋" w:eastAsia="仿宋" w:hAnsi="仿宋" w:hint="eastAsia"/>
        </w:rPr>
        <w:t>的具体位置由委托方指定的相关人员领</w:t>
      </w:r>
      <w:proofErr w:type="gramStart"/>
      <w:r>
        <w:rPr>
          <w:rFonts w:ascii="仿宋" w:eastAsia="仿宋" w:hAnsi="仿宋" w:hint="eastAsia"/>
        </w:rPr>
        <w:t>勘</w:t>
      </w:r>
      <w:proofErr w:type="gramEnd"/>
      <w:r>
        <w:rPr>
          <w:rFonts w:ascii="仿宋" w:eastAsia="仿宋" w:hAnsi="仿宋" w:hint="eastAsia"/>
        </w:rPr>
        <w:t>、确认，若与事实不符，应重新估价；</w:t>
      </w:r>
    </w:p>
    <w:p w:rsidR="0054446D" w:rsidRDefault="00FB459A">
      <w:pPr>
        <w:framePr w:hSpace="180" w:wrap="around" w:vAnchor="text" w:hAnchor="text" w:xAlign="center" w:y="1"/>
        <w:widowControl/>
        <w:spacing w:line="240" w:lineRule="atLeast"/>
        <w:ind w:firstLineChars="202" w:firstLine="424"/>
        <w:suppressOverlap/>
        <w:jc w:val="left"/>
        <w:textAlignment w:val="center"/>
        <w:rPr>
          <w:rFonts w:ascii="仿宋" w:eastAsia="仿宋" w:hAnsi="仿宋"/>
        </w:rPr>
      </w:pPr>
      <w:r>
        <w:rPr>
          <w:rFonts w:ascii="仿宋" w:eastAsia="仿宋" w:hAnsi="仿宋" w:hint="eastAsia"/>
        </w:rPr>
        <w:t>5.本报告结果仅作为湖南省湘潭市中级人民法院确定财产处置参考</w:t>
      </w:r>
      <w:proofErr w:type="gramStart"/>
      <w:r>
        <w:rPr>
          <w:rFonts w:ascii="仿宋" w:eastAsia="仿宋" w:hAnsi="仿宋" w:hint="eastAsia"/>
        </w:rPr>
        <w:t>价提供</w:t>
      </w:r>
      <w:proofErr w:type="gramEnd"/>
      <w:r>
        <w:rPr>
          <w:rFonts w:ascii="仿宋" w:eastAsia="仿宋" w:hAnsi="仿宋" w:hint="eastAsia"/>
        </w:rPr>
        <w:t>参考依据；</w:t>
      </w:r>
    </w:p>
    <w:p w:rsidR="0054446D" w:rsidRDefault="00FB459A">
      <w:pPr>
        <w:framePr w:hSpace="180" w:wrap="around" w:vAnchor="text" w:hAnchor="text" w:xAlign="center" w:y="1"/>
        <w:widowControl/>
        <w:spacing w:line="240" w:lineRule="atLeast"/>
        <w:ind w:firstLineChars="202" w:firstLine="424"/>
        <w:suppressOverlap/>
        <w:jc w:val="left"/>
        <w:textAlignment w:val="center"/>
        <w:rPr>
          <w:rFonts w:ascii="仿宋" w:eastAsia="仿宋" w:hAnsi="仿宋"/>
        </w:rPr>
      </w:pPr>
      <w:r>
        <w:rPr>
          <w:rFonts w:ascii="仿宋" w:eastAsia="仿宋" w:hAnsi="仿宋" w:hint="eastAsia"/>
        </w:rPr>
        <w:t>6.本报告假定土地使用权价值在地价定义的条件下生效，如上述条件发生变化，则估价结果应进行调整或重新估价；本报告估价结果未考虑抵押权、担保权、地役权、租赁权等他项权利、负债、转让成交时需承担的各种开支和税费对估价结果的影响，也未考虑国家宏观经济政策发生变化以及遇有自然力和其他不可抗力因素对待</w:t>
      </w:r>
      <w:proofErr w:type="gramStart"/>
      <w:r>
        <w:rPr>
          <w:rFonts w:ascii="仿宋" w:eastAsia="仿宋" w:hAnsi="仿宋" w:hint="eastAsia"/>
        </w:rPr>
        <w:t>估</w:t>
      </w:r>
      <w:proofErr w:type="gramEnd"/>
      <w:r>
        <w:rPr>
          <w:rFonts w:ascii="仿宋" w:eastAsia="仿宋" w:hAnsi="仿宋" w:hint="eastAsia"/>
        </w:rPr>
        <w:t>宗地评估价值的影响；</w:t>
      </w:r>
      <w:r>
        <w:rPr>
          <w:rFonts w:ascii="仿宋" w:eastAsia="仿宋" w:hAnsi="仿宋" w:hint="eastAsia"/>
        </w:rPr>
        <w:br/>
        <w:t>7.本报告在市场无较大波动情况下的应用有效期为</w:t>
      </w:r>
      <w:proofErr w:type="gramStart"/>
      <w:r>
        <w:rPr>
          <w:rFonts w:ascii="仿宋" w:eastAsia="仿宋" w:hAnsi="仿宋" w:hint="eastAsia"/>
        </w:rPr>
        <w:t>自报告</w:t>
      </w:r>
      <w:proofErr w:type="gramEnd"/>
      <w:r>
        <w:rPr>
          <w:rFonts w:ascii="仿宋" w:eastAsia="仿宋" w:hAnsi="仿宋" w:hint="eastAsia"/>
        </w:rPr>
        <w:t>提交之日起一年，即自2022年06月01日至2023年05月31日止；</w:t>
      </w:r>
    </w:p>
    <w:p w:rsidR="0054446D" w:rsidRDefault="00FB459A">
      <w:pPr>
        <w:framePr w:hSpace="180" w:wrap="around" w:vAnchor="text" w:hAnchor="text" w:xAlign="center" w:y="1"/>
        <w:widowControl/>
        <w:spacing w:line="240" w:lineRule="atLeast"/>
        <w:ind w:firstLineChars="202" w:firstLine="424"/>
        <w:suppressOverlap/>
        <w:jc w:val="left"/>
        <w:textAlignment w:val="center"/>
        <w:rPr>
          <w:rFonts w:ascii="仿宋" w:eastAsia="仿宋" w:hAnsi="仿宋"/>
        </w:rPr>
      </w:pPr>
      <w:r>
        <w:rPr>
          <w:rFonts w:ascii="仿宋" w:eastAsia="仿宋" w:hAnsi="仿宋" w:hint="eastAsia"/>
        </w:rPr>
        <w:t>8.本次估价在采用基准地价系数修正法对估价对象地价进行评估时，对期日修正采用了地价增长率修正，该修正根据中国城市地价动态监测网及新余市相关部门公布的新余市地价增长率为依据。</w:t>
      </w:r>
    </w:p>
    <w:p w:rsidR="0054446D" w:rsidRDefault="00FB459A">
      <w:pPr>
        <w:framePr w:hSpace="180" w:wrap="around" w:vAnchor="text" w:hAnchor="text" w:xAlign="center" w:y="1"/>
        <w:widowControl/>
        <w:spacing w:line="240" w:lineRule="atLeast"/>
        <w:ind w:firstLineChars="202" w:firstLine="424"/>
        <w:suppressOverlap/>
        <w:jc w:val="left"/>
        <w:textAlignment w:val="center"/>
        <w:rPr>
          <w:rFonts w:ascii="仿宋" w:eastAsia="仿宋" w:hAnsi="仿宋"/>
        </w:rPr>
      </w:pPr>
      <w:r>
        <w:rPr>
          <w:rFonts w:ascii="仿宋" w:eastAsia="仿宋" w:hAnsi="仿宋" w:hint="eastAsia"/>
        </w:rPr>
        <w:t>9.关于还原利率的确定:分别按新余市基准地价体系中的住宅用地土地还原率6.0%并保持不变。</w:t>
      </w:r>
    </w:p>
    <w:p w:rsidR="0054446D" w:rsidRDefault="00FB459A">
      <w:pPr>
        <w:framePr w:hSpace="180" w:wrap="around" w:vAnchor="text" w:hAnchor="text" w:xAlign="center" w:y="1"/>
        <w:widowControl/>
        <w:spacing w:line="240" w:lineRule="atLeast"/>
        <w:ind w:firstLineChars="202" w:firstLine="424"/>
        <w:suppressOverlap/>
        <w:jc w:val="left"/>
        <w:textAlignment w:val="center"/>
        <w:rPr>
          <w:rFonts w:ascii="仿宋" w:eastAsia="仿宋" w:hAnsi="仿宋"/>
        </w:rPr>
      </w:pPr>
      <w:r>
        <w:rPr>
          <w:rFonts w:ascii="仿宋" w:eastAsia="仿宋" w:hAnsi="仿宋" w:hint="eastAsia"/>
        </w:rPr>
        <w:t>10.报告评估结果为满足上述所有假设与限制条件下的结果，若上述条件发生变化，评估结果要做相应调整或重新委托评估。</w:t>
      </w:r>
    </w:p>
    <w:p w:rsidR="0054446D" w:rsidRDefault="00FB459A">
      <w:pPr>
        <w:widowControl/>
        <w:spacing w:line="240" w:lineRule="atLeast"/>
        <w:ind w:firstLineChars="202" w:firstLine="424"/>
        <w:jc w:val="left"/>
        <w:textAlignment w:val="center"/>
        <w:rPr>
          <w:rFonts w:ascii="仿宋_GB2312" w:eastAsia="仿宋_GB2312" w:hAnsi="宋体" w:cs="宋体"/>
          <w:kern w:val="0"/>
          <w:szCs w:val="21"/>
        </w:rPr>
      </w:pPr>
      <w:r>
        <w:rPr>
          <w:rFonts w:ascii="仿宋" w:eastAsia="仿宋" w:hAnsi="仿宋" w:hint="eastAsia"/>
        </w:rPr>
        <w:t>11.本估价结果已包含了估价对象作为相应用途国有土地使用权出让金。本次估价是以估价对象的土地前期拆迁费用等已付清为前提，不考虑地上建筑物、构筑物、需补缴未缴地价款对估价结果的影响</w:t>
      </w:r>
      <w:r>
        <w:rPr>
          <w:rFonts w:ascii="仿宋_GB2312" w:eastAsia="仿宋_GB2312" w:hAnsi="宋体" w:cs="宋体" w:hint="eastAsia"/>
          <w:kern w:val="0"/>
          <w:szCs w:val="21"/>
        </w:rPr>
        <w:t>。</w:t>
      </w:r>
    </w:p>
    <w:p w:rsidR="0054446D" w:rsidRDefault="0054446D">
      <w:pPr>
        <w:adjustRightInd w:val="0"/>
        <w:snapToGrid w:val="0"/>
        <w:spacing w:line="264" w:lineRule="auto"/>
        <w:rPr>
          <w:rFonts w:ascii="仿宋" w:eastAsia="仿宋" w:hAnsi="仿宋"/>
          <w:szCs w:val="21"/>
        </w:rPr>
      </w:pPr>
    </w:p>
    <w:p w:rsidR="0054446D" w:rsidRDefault="00FB459A">
      <w:pPr>
        <w:adjustRightInd w:val="0"/>
        <w:snapToGrid w:val="0"/>
        <w:spacing w:line="264" w:lineRule="auto"/>
        <w:rPr>
          <w:rFonts w:ascii="仿宋" w:eastAsia="仿宋" w:hAnsi="仿宋"/>
        </w:rPr>
      </w:pPr>
      <w:r>
        <w:rPr>
          <w:rFonts w:ascii="仿宋" w:eastAsia="仿宋" w:hAnsi="仿宋" w:hint="eastAsia"/>
        </w:rPr>
        <w:br/>
      </w:r>
    </w:p>
    <w:p w:rsidR="0054446D" w:rsidRDefault="0054446D">
      <w:pPr>
        <w:adjustRightInd w:val="0"/>
        <w:snapToGrid w:val="0"/>
        <w:spacing w:line="264" w:lineRule="auto"/>
        <w:jc w:val="center"/>
        <w:rPr>
          <w:rFonts w:ascii="仿宋" w:eastAsia="仿宋" w:hAnsi="仿宋"/>
        </w:rPr>
      </w:pPr>
    </w:p>
    <w:p w:rsidR="0054446D" w:rsidRDefault="00FB459A">
      <w:pPr>
        <w:jc w:val="right"/>
        <w:rPr>
          <w:rFonts w:ascii="仿宋" w:eastAsia="仿宋" w:hAnsi="仿宋"/>
        </w:rPr>
      </w:pPr>
      <w:r>
        <w:rPr>
          <w:rFonts w:ascii="仿宋" w:eastAsia="仿宋" w:hAnsi="仿宋" w:hint="eastAsia"/>
        </w:rPr>
        <w:t>评估机构：(盖章)湖南鹏程资产房地产评估有限公司</w:t>
      </w:r>
    </w:p>
    <w:p w:rsidR="0054446D" w:rsidRDefault="00FB459A">
      <w:pPr>
        <w:pStyle w:val="a9"/>
        <w:ind w:rightChars="997" w:right="2094" w:firstLine="567"/>
        <w:jc w:val="right"/>
        <w:rPr>
          <w:rFonts w:eastAsia="仿宋_GB2312"/>
        </w:rPr>
      </w:pPr>
      <w:r>
        <w:rPr>
          <w:rFonts w:ascii="仿宋" w:eastAsia="仿宋" w:hAnsi="仿宋" w:hint="eastAsia"/>
        </w:rPr>
        <w:t>2022年06月01日</w:t>
      </w:r>
    </w:p>
    <w:p w:rsidR="0054446D" w:rsidRDefault="0054446D" w:rsidP="00F513B3">
      <w:pPr>
        <w:spacing w:beforeLines="100" w:afterLines="100" w:line="420" w:lineRule="atLeast"/>
        <w:outlineLvl w:val="1"/>
        <w:rPr>
          <w:rFonts w:ascii="仿宋" w:eastAsia="仿宋" w:hAnsi="仿宋" w:cs="仿宋"/>
          <w:b/>
          <w:bCs/>
          <w:sz w:val="28"/>
        </w:rPr>
      </w:pPr>
    </w:p>
    <w:p w:rsidR="0054446D" w:rsidRDefault="0054446D" w:rsidP="00F513B3">
      <w:pPr>
        <w:spacing w:beforeLines="100" w:afterLines="100" w:line="420" w:lineRule="atLeast"/>
        <w:outlineLvl w:val="1"/>
        <w:rPr>
          <w:rFonts w:ascii="仿宋" w:eastAsia="仿宋" w:hAnsi="仿宋" w:cs="仿宋"/>
          <w:b/>
          <w:bCs/>
          <w:sz w:val="28"/>
        </w:rPr>
        <w:sectPr w:rsidR="0054446D">
          <w:headerReference w:type="default" r:id="rId11"/>
          <w:footerReference w:type="default" r:id="rId12"/>
          <w:pgSz w:w="16840" w:h="11907" w:orient="landscape"/>
          <w:pgMar w:top="1701" w:right="1701" w:bottom="1417" w:left="1587" w:header="680" w:footer="737" w:gutter="0"/>
          <w:pgNumType w:fmt="numberInDash"/>
          <w:cols w:space="0"/>
          <w:docGrid w:linePitch="285"/>
        </w:sectPr>
      </w:pPr>
    </w:p>
    <w:p w:rsidR="0054446D" w:rsidRDefault="00FB459A" w:rsidP="00F513B3">
      <w:pPr>
        <w:spacing w:beforeLines="100" w:afterLines="100" w:line="420" w:lineRule="atLeast"/>
        <w:outlineLvl w:val="1"/>
        <w:rPr>
          <w:rFonts w:ascii="仿宋" w:eastAsia="仿宋" w:hAnsi="仿宋" w:cs="仿宋"/>
          <w:b/>
          <w:bCs/>
          <w:sz w:val="28"/>
        </w:rPr>
      </w:pPr>
      <w:r>
        <w:rPr>
          <w:rFonts w:ascii="仿宋" w:eastAsia="仿宋" w:hAnsi="仿宋" w:cs="仿宋" w:hint="eastAsia"/>
          <w:b/>
          <w:bCs/>
          <w:sz w:val="28"/>
        </w:rPr>
        <w:t>十、需要特殊说明的事项</w:t>
      </w:r>
      <w:bookmarkEnd w:id="34"/>
      <w:bookmarkEnd w:id="35"/>
      <w:bookmarkEnd w:id="36"/>
    </w:p>
    <w:p w:rsidR="0054446D" w:rsidRDefault="00FB459A">
      <w:pPr>
        <w:spacing w:line="420" w:lineRule="exact"/>
        <w:ind w:left="210" w:firstLineChars="200" w:firstLine="560"/>
        <w:outlineLvl w:val="2"/>
        <w:rPr>
          <w:rFonts w:ascii="仿宋_GB2312" w:eastAsia="仿宋_GB2312"/>
          <w:sz w:val="28"/>
          <w:szCs w:val="22"/>
        </w:rPr>
      </w:pPr>
      <w:bookmarkStart w:id="37" w:name="_Toc15553"/>
      <w:bookmarkStart w:id="38" w:name="_Toc3105"/>
      <w:bookmarkStart w:id="39" w:name="_Toc225494988"/>
      <w:r>
        <w:rPr>
          <w:rFonts w:ascii="仿宋_GB2312" w:eastAsia="仿宋_GB2312" w:hint="eastAsia"/>
          <w:sz w:val="28"/>
          <w:szCs w:val="22"/>
        </w:rPr>
        <w:t>(</w:t>
      </w:r>
      <w:proofErr w:type="gramStart"/>
      <w:r>
        <w:rPr>
          <w:rFonts w:ascii="仿宋_GB2312" w:eastAsia="仿宋_GB2312" w:hint="eastAsia"/>
          <w:sz w:val="28"/>
          <w:szCs w:val="22"/>
        </w:rPr>
        <w:t>一</w:t>
      </w:r>
      <w:proofErr w:type="gramEnd"/>
      <w:r>
        <w:rPr>
          <w:rFonts w:ascii="仿宋_GB2312" w:eastAsia="仿宋_GB2312" w:hint="eastAsia"/>
          <w:sz w:val="28"/>
          <w:szCs w:val="22"/>
        </w:rPr>
        <w:t>)前提条件和假设条件</w:t>
      </w:r>
      <w:bookmarkEnd w:id="37"/>
      <w:bookmarkEnd w:id="38"/>
    </w:p>
    <w:p w:rsidR="0054446D" w:rsidRDefault="00FB459A">
      <w:pPr>
        <w:spacing w:line="420" w:lineRule="exact"/>
        <w:ind w:left="210" w:firstLineChars="200" w:firstLine="560"/>
        <w:outlineLvl w:val="2"/>
        <w:rPr>
          <w:rFonts w:ascii="仿宋_GB2312" w:eastAsia="仿宋_GB2312"/>
          <w:sz w:val="28"/>
          <w:szCs w:val="22"/>
        </w:rPr>
      </w:pPr>
      <w:r>
        <w:rPr>
          <w:rFonts w:ascii="仿宋_GB2312" w:eastAsia="仿宋_GB2312" w:hint="eastAsia"/>
          <w:sz w:val="28"/>
          <w:szCs w:val="22"/>
        </w:rPr>
        <w:t>1、委托方合法有偿取得土地使用权，并支付有关税费。</w:t>
      </w:r>
    </w:p>
    <w:p w:rsidR="0054446D" w:rsidRDefault="00FB459A">
      <w:pPr>
        <w:spacing w:line="420" w:lineRule="exact"/>
        <w:ind w:left="210" w:firstLineChars="200" w:firstLine="560"/>
        <w:outlineLvl w:val="2"/>
        <w:rPr>
          <w:rFonts w:ascii="仿宋_GB2312" w:eastAsia="仿宋_GB2312"/>
          <w:sz w:val="28"/>
          <w:szCs w:val="22"/>
        </w:rPr>
      </w:pPr>
      <w:r>
        <w:rPr>
          <w:rFonts w:ascii="仿宋_GB2312" w:eastAsia="仿宋_GB2312" w:hint="eastAsia"/>
          <w:sz w:val="28"/>
          <w:szCs w:val="22"/>
        </w:rPr>
        <w:t>2、</w:t>
      </w:r>
      <w:proofErr w:type="gramStart"/>
      <w:r>
        <w:rPr>
          <w:rFonts w:ascii="仿宋_GB2312" w:eastAsia="仿宋_GB2312" w:hint="eastAsia"/>
          <w:sz w:val="28"/>
          <w:szCs w:val="22"/>
        </w:rPr>
        <w:t>委估宗地</w:t>
      </w:r>
      <w:proofErr w:type="gramEnd"/>
      <w:r>
        <w:rPr>
          <w:rFonts w:ascii="仿宋_GB2312" w:eastAsia="仿宋_GB2312" w:hint="eastAsia"/>
          <w:sz w:val="28"/>
          <w:szCs w:val="22"/>
        </w:rPr>
        <w:t>在设定用途下得到最有效利用，并会产生相应的土地收益。</w:t>
      </w:r>
    </w:p>
    <w:p w:rsidR="0054446D" w:rsidRDefault="00FB459A">
      <w:pPr>
        <w:spacing w:line="420" w:lineRule="exact"/>
        <w:ind w:left="210" w:firstLineChars="200" w:firstLine="560"/>
        <w:outlineLvl w:val="2"/>
        <w:rPr>
          <w:rFonts w:ascii="仿宋_GB2312" w:eastAsia="仿宋_GB2312"/>
          <w:sz w:val="28"/>
          <w:szCs w:val="22"/>
        </w:rPr>
      </w:pPr>
      <w:r>
        <w:rPr>
          <w:rFonts w:ascii="仿宋_GB2312" w:eastAsia="仿宋_GB2312" w:hint="eastAsia"/>
          <w:sz w:val="28"/>
          <w:szCs w:val="22"/>
        </w:rPr>
        <w:t>3、在估价期日地产市场为公正、公开、公平的均衡市场。</w:t>
      </w:r>
    </w:p>
    <w:p w:rsidR="0054446D" w:rsidRDefault="00FB459A">
      <w:pPr>
        <w:spacing w:line="420" w:lineRule="exact"/>
        <w:ind w:left="210" w:firstLineChars="200" w:firstLine="560"/>
        <w:outlineLvl w:val="2"/>
        <w:rPr>
          <w:rFonts w:ascii="仿宋_GB2312" w:eastAsia="仿宋_GB2312"/>
          <w:sz w:val="28"/>
          <w:szCs w:val="22"/>
        </w:rPr>
      </w:pPr>
      <w:r>
        <w:rPr>
          <w:rFonts w:ascii="仿宋_GB2312" w:eastAsia="仿宋_GB2312" w:hint="eastAsia"/>
          <w:sz w:val="28"/>
          <w:szCs w:val="22"/>
        </w:rPr>
        <w:t>4、任何</w:t>
      </w:r>
      <w:proofErr w:type="gramStart"/>
      <w:r>
        <w:rPr>
          <w:rFonts w:ascii="仿宋_GB2312" w:eastAsia="仿宋_GB2312" w:hint="eastAsia"/>
          <w:sz w:val="28"/>
          <w:szCs w:val="22"/>
        </w:rPr>
        <w:t>有关委估宗地</w:t>
      </w:r>
      <w:proofErr w:type="gramEnd"/>
      <w:r>
        <w:rPr>
          <w:rFonts w:ascii="仿宋_GB2312" w:eastAsia="仿宋_GB2312" w:hint="eastAsia"/>
          <w:sz w:val="28"/>
          <w:szCs w:val="22"/>
        </w:rPr>
        <w:t>的运作方式、程序符合国家、地方的有关法律、法规。</w:t>
      </w:r>
    </w:p>
    <w:p w:rsidR="0054446D" w:rsidRDefault="00FB459A">
      <w:pPr>
        <w:spacing w:line="420" w:lineRule="exact"/>
        <w:ind w:left="210" w:firstLineChars="200" w:firstLine="560"/>
        <w:outlineLvl w:val="2"/>
        <w:rPr>
          <w:rFonts w:ascii="仿宋_GB2312" w:eastAsia="仿宋_GB2312"/>
          <w:sz w:val="28"/>
          <w:szCs w:val="22"/>
        </w:rPr>
      </w:pPr>
      <w:r>
        <w:rPr>
          <w:rFonts w:ascii="仿宋_GB2312" w:eastAsia="仿宋_GB2312" w:hint="eastAsia"/>
          <w:sz w:val="28"/>
          <w:szCs w:val="22"/>
        </w:rPr>
        <w:t>5、在估价期</w:t>
      </w:r>
      <w:proofErr w:type="gramStart"/>
      <w:r>
        <w:rPr>
          <w:rFonts w:ascii="仿宋_GB2312" w:eastAsia="仿宋_GB2312" w:hint="eastAsia"/>
          <w:sz w:val="28"/>
          <w:szCs w:val="22"/>
        </w:rPr>
        <w:t>日委估</w:t>
      </w:r>
      <w:proofErr w:type="gramEnd"/>
      <w:r>
        <w:rPr>
          <w:rFonts w:ascii="仿宋_GB2312" w:eastAsia="仿宋_GB2312" w:hint="eastAsia"/>
          <w:sz w:val="28"/>
          <w:szCs w:val="22"/>
        </w:rPr>
        <w:t>宗地不受到可能影响其价格的债权限制和负有法律义务性质的开支所约束。</w:t>
      </w:r>
    </w:p>
    <w:p w:rsidR="0054446D" w:rsidRDefault="00FB459A">
      <w:pPr>
        <w:spacing w:line="420" w:lineRule="exact"/>
        <w:ind w:left="210" w:firstLineChars="200" w:firstLine="560"/>
        <w:outlineLvl w:val="2"/>
        <w:rPr>
          <w:rFonts w:ascii="仿宋_GB2312" w:eastAsia="仿宋_GB2312"/>
          <w:sz w:val="28"/>
          <w:szCs w:val="22"/>
        </w:rPr>
      </w:pPr>
      <w:r>
        <w:rPr>
          <w:rFonts w:ascii="仿宋_GB2312" w:eastAsia="仿宋_GB2312" w:hint="eastAsia"/>
          <w:sz w:val="28"/>
          <w:szCs w:val="22"/>
        </w:rPr>
        <w:t>6、委托方提供资料属实。如委托方提供的资料数据缺乏合法性、真实性和完整性或委托方和当事人</w:t>
      </w:r>
      <w:proofErr w:type="gramStart"/>
      <w:r>
        <w:rPr>
          <w:rFonts w:ascii="仿宋_GB2312" w:eastAsia="仿宋_GB2312" w:hint="eastAsia"/>
          <w:sz w:val="28"/>
          <w:szCs w:val="22"/>
        </w:rPr>
        <w:t>对委估宗地</w:t>
      </w:r>
      <w:proofErr w:type="gramEnd"/>
      <w:r>
        <w:rPr>
          <w:rFonts w:ascii="仿宋_GB2312" w:eastAsia="仿宋_GB2312" w:hint="eastAsia"/>
          <w:sz w:val="28"/>
          <w:szCs w:val="22"/>
        </w:rPr>
        <w:t>有隐瞒重大问题和事实，我公司不承担由此带来的任何评估风险和责任。</w:t>
      </w:r>
    </w:p>
    <w:p w:rsidR="0054446D" w:rsidRDefault="00FB459A">
      <w:pPr>
        <w:spacing w:line="420" w:lineRule="exact"/>
        <w:ind w:left="210" w:firstLineChars="200" w:firstLine="560"/>
        <w:outlineLvl w:val="2"/>
        <w:rPr>
          <w:rFonts w:ascii="仿宋_GB2312" w:eastAsia="仿宋_GB2312"/>
          <w:sz w:val="28"/>
          <w:szCs w:val="22"/>
        </w:rPr>
      </w:pPr>
      <w:r>
        <w:rPr>
          <w:rFonts w:ascii="仿宋_GB2312" w:eastAsia="仿宋_GB2312" w:hint="eastAsia"/>
          <w:sz w:val="28"/>
          <w:szCs w:val="22"/>
        </w:rPr>
        <w:t>7、本次评估的土地使用权价值是在地价定义中所设定的用途、开发程度、规划条件、土地使用年期、权利和性质等条件下于估价期日（2022年05月10日）的公开市场价值。</w:t>
      </w:r>
    </w:p>
    <w:p w:rsidR="0054446D" w:rsidRDefault="00FB459A">
      <w:pPr>
        <w:spacing w:line="420" w:lineRule="exact"/>
        <w:ind w:left="210" w:firstLineChars="200" w:firstLine="560"/>
        <w:outlineLvl w:val="2"/>
        <w:rPr>
          <w:rFonts w:ascii="仿宋_GB2312" w:eastAsia="仿宋_GB2312"/>
          <w:sz w:val="28"/>
          <w:szCs w:val="22"/>
        </w:rPr>
      </w:pPr>
      <w:bookmarkStart w:id="40" w:name="_Toc29017"/>
      <w:bookmarkStart w:id="41" w:name="_Toc21461"/>
      <w:r>
        <w:rPr>
          <w:rFonts w:ascii="仿宋_GB2312" w:eastAsia="仿宋_GB2312" w:hint="eastAsia"/>
          <w:sz w:val="28"/>
          <w:szCs w:val="22"/>
        </w:rPr>
        <w:t>（二）估价结果和估价报告的使用</w:t>
      </w:r>
      <w:bookmarkEnd w:id="40"/>
      <w:bookmarkEnd w:id="41"/>
    </w:p>
    <w:p w:rsidR="0054446D" w:rsidRDefault="00FB459A">
      <w:pPr>
        <w:spacing w:line="420" w:lineRule="exact"/>
        <w:ind w:left="210" w:firstLineChars="200" w:firstLine="560"/>
        <w:outlineLvl w:val="2"/>
        <w:rPr>
          <w:rFonts w:ascii="仿宋_GB2312" w:eastAsia="仿宋_GB2312"/>
          <w:sz w:val="28"/>
          <w:szCs w:val="22"/>
        </w:rPr>
      </w:pPr>
      <w:r>
        <w:rPr>
          <w:rFonts w:ascii="仿宋_GB2312" w:eastAsia="仿宋_GB2312" w:hint="eastAsia"/>
          <w:sz w:val="28"/>
          <w:szCs w:val="22"/>
        </w:rPr>
        <w:t>1、本报告和估价结果是依据本报告中“估价依据”所列示的法律、法规以及技术规程完成的。在上述法律、法规下应用本报告和估价结果方具有法律效力。</w:t>
      </w:r>
    </w:p>
    <w:p w:rsidR="0054446D" w:rsidRDefault="00FB459A">
      <w:pPr>
        <w:spacing w:line="420" w:lineRule="exact"/>
        <w:ind w:left="210" w:firstLineChars="200" w:firstLine="560"/>
        <w:outlineLvl w:val="2"/>
        <w:rPr>
          <w:rFonts w:ascii="仿宋_GB2312" w:eastAsia="仿宋_GB2312"/>
          <w:sz w:val="28"/>
          <w:szCs w:val="22"/>
        </w:rPr>
      </w:pPr>
      <w:r>
        <w:rPr>
          <w:rFonts w:ascii="仿宋_GB2312" w:eastAsia="仿宋_GB2312" w:hint="eastAsia"/>
          <w:sz w:val="28"/>
          <w:szCs w:val="22"/>
        </w:rPr>
        <w:t>2、本报告及估价结果仅为本报告设定的评估目的服务，</w:t>
      </w:r>
      <w:proofErr w:type="gramStart"/>
      <w:r>
        <w:rPr>
          <w:rFonts w:ascii="仿宋_GB2312" w:eastAsia="仿宋_GB2312" w:hint="eastAsia"/>
          <w:sz w:val="28"/>
          <w:szCs w:val="22"/>
        </w:rPr>
        <w:t>当用于</w:t>
      </w:r>
      <w:proofErr w:type="gramEnd"/>
      <w:r>
        <w:rPr>
          <w:rFonts w:ascii="仿宋_GB2312" w:eastAsia="仿宋_GB2312" w:hint="eastAsia"/>
          <w:sz w:val="28"/>
          <w:szCs w:val="22"/>
        </w:rPr>
        <w:t>其它目的，本报告评估结果无效。</w:t>
      </w:r>
    </w:p>
    <w:p w:rsidR="0054446D" w:rsidRDefault="00FB459A">
      <w:pPr>
        <w:spacing w:line="420" w:lineRule="exact"/>
        <w:ind w:left="210" w:firstLineChars="200" w:firstLine="560"/>
        <w:outlineLvl w:val="2"/>
        <w:rPr>
          <w:rFonts w:ascii="仿宋_GB2312" w:eastAsia="仿宋_GB2312"/>
          <w:sz w:val="28"/>
          <w:szCs w:val="22"/>
        </w:rPr>
      </w:pPr>
      <w:r>
        <w:rPr>
          <w:rFonts w:ascii="仿宋_GB2312" w:eastAsia="仿宋_GB2312" w:hint="eastAsia"/>
          <w:sz w:val="28"/>
          <w:szCs w:val="22"/>
        </w:rPr>
        <w:t>3、本报告估价结果是在满足地价定义所设定条件下的土地使用权市场价值，</w:t>
      </w:r>
      <w:proofErr w:type="gramStart"/>
      <w:r>
        <w:rPr>
          <w:rFonts w:ascii="仿宋_GB2312" w:eastAsia="仿宋_GB2312" w:hint="eastAsia"/>
          <w:sz w:val="28"/>
          <w:szCs w:val="22"/>
        </w:rPr>
        <w:t>若委估宗地</w:t>
      </w:r>
      <w:proofErr w:type="gramEnd"/>
      <w:r>
        <w:rPr>
          <w:rFonts w:ascii="仿宋_GB2312" w:eastAsia="仿宋_GB2312" w:hint="eastAsia"/>
          <w:sz w:val="28"/>
          <w:szCs w:val="22"/>
        </w:rPr>
        <w:t>的土地利用方式、估价期日、土地开发状况、土地使用年限、土地面积等影响地价的因素发生变化，该评估结果应作相应调整。</w:t>
      </w:r>
    </w:p>
    <w:p w:rsidR="0054446D" w:rsidRDefault="00FB459A">
      <w:pPr>
        <w:spacing w:line="420" w:lineRule="exact"/>
        <w:ind w:left="210" w:firstLineChars="200" w:firstLine="560"/>
        <w:outlineLvl w:val="2"/>
        <w:rPr>
          <w:rFonts w:ascii="仿宋_GB2312" w:eastAsia="仿宋_GB2312"/>
          <w:sz w:val="28"/>
          <w:szCs w:val="22"/>
        </w:rPr>
      </w:pPr>
      <w:r>
        <w:rPr>
          <w:rFonts w:ascii="仿宋_GB2312" w:eastAsia="仿宋_GB2312" w:hint="eastAsia"/>
          <w:sz w:val="28"/>
          <w:szCs w:val="22"/>
        </w:rPr>
        <w:t>4、报告中</w:t>
      </w:r>
      <w:proofErr w:type="gramStart"/>
      <w:r>
        <w:rPr>
          <w:rFonts w:ascii="仿宋_GB2312" w:eastAsia="仿宋_GB2312" w:hint="eastAsia"/>
          <w:sz w:val="28"/>
          <w:szCs w:val="22"/>
        </w:rPr>
        <w:t>有关委估宗地</w:t>
      </w:r>
      <w:proofErr w:type="gramEnd"/>
      <w:r>
        <w:rPr>
          <w:rFonts w:ascii="仿宋_GB2312" w:eastAsia="仿宋_GB2312" w:hint="eastAsia"/>
          <w:sz w:val="28"/>
          <w:szCs w:val="22"/>
        </w:rPr>
        <w:t>的土地权属状况、土地面积等以</w:t>
      </w:r>
      <w:r>
        <w:rPr>
          <w:rFonts w:ascii="仿宋_GB2312" w:eastAsia="仿宋_GB2312" w:hAnsi="宋体" w:hint="eastAsia"/>
          <w:sz w:val="28"/>
        </w:rPr>
        <w:t>《湖南省湘潭市中级人民法院委托书》[（2022）湘03执23号]、《不动产产权情况表》[业务号：HT201207170041]、《土地登记审批表》[编号：（2012）00751]、《国有建设用地使用权出让合同》[电子监管号：3605002011B01585]</w:t>
      </w:r>
      <w:r>
        <w:rPr>
          <w:rFonts w:ascii="仿宋_GB2312" w:eastAsia="仿宋_GB2312" w:hint="eastAsia"/>
          <w:sz w:val="28"/>
          <w:szCs w:val="22"/>
        </w:rPr>
        <w:t>为准。</w:t>
      </w:r>
    </w:p>
    <w:p w:rsidR="0054446D" w:rsidRDefault="00FB459A">
      <w:pPr>
        <w:spacing w:line="420" w:lineRule="exact"/>
        <w:ind w:left="210" w:firstLineChars="200" w:firstLine="560"/>
        <w:outlineLvl w:val="2"/>
        <w:rPr>
          <w:rFonts w:ascii="仿宋_GB2312" w:eastAsia="仿宋_GB2312"/>
          <w:sz w:val="28"/>
          <w:szCs w:val="22"/>
        </w:rPr>
      </w:pPr>
      <w:r>
        <w:rPr>
          <w:rFonts w:ascii="仿宋_GB2312" w:eastAsia="仿宋_GB2312" w:hint="eastAsia"/>
          <w:sz w:val="28"/>
          <w:szCs w:val="22"/>
        </w:rPr>
        <w:t>5、本报告必须完整使用，对仅使用报告中的部分内容所导致的有关损失，受托估价机构不承担责任。</w:t>
      </w:r>
    </w:p>
    <w:p w:rsidR="0054446D" w:rsidRDefault="00FB459A">
      <w:pPr>
        <w:spacing w:line="420" w:lineRule="exact"/>
        <w:ind w:left="210" w:firstLineChars="200" w:firstLine="560"/>
        <w:outlineLvl w:val="2"/>
        <w:rPr>
          <w:rFonts w:ascii="仿宋_GB2312" w:eastAsia="仿宋_GB2312"/>
          <w:sz w:val="28"/>
          <w:szCs w:val="22"/>
        </w:rPr>
      </w:pPr>
      <w:r>
        <w:rPr>
          <w:rFonts w:ascii="仿宋_GB2312" w:eastAsia="仿宋_GB2312" w:hint="eastAsia"/>
          <w:sz w:val="28"/>
          <w:szCs w:val="22"/>
        </w:rPr>
        <w:t>6、本报告须经湖南鹏程资产房地产评估有限公司盖章、法定代表人签章以及在该公司注册的两名土地估价师签字后方能生效。</w:t>
      </w:r>
    </w:p>
    <w:p w:rsidR="0054446D" w:rsidRDefault="00FB459A">
      <w:pPr>
        <w:spacing w:line="420" w:lineRule="exact"/>
        <w:ind w:left="210" w:firstLineChars="200" w:firstLine="560"/>
        <w:outlineLvl w:val="2"/>
        <w:rPr>
          <w:rFonts w:ascii="仿宋_GB2312" w:eastAsia="仿宋_GB2312"/>
          <w:sz w:val="28"/>
          <w:szCs w:val="22"/>
        </w:rPr>
      </w:pPr>
      <w:r>
        <w:rPr>
          <w:rFonts w:ascii="仿宋_GB2312" w:eastAsia="仿宋_GB2312" w:hint="eastAsia"/>
          <w:sz w:val="28"/>
          <w:szCs w:val="22"/>
        </w:rPr>
        <w:t>7、本报告和估价结果的使用权归委托方所有，估价机构对估价报告和估价结果拥有解释权。</w:t>
      </w:r>
    </w:p>
    <w:p w:rsidR="0054446D" w:rsidRDefault="00FB459A">
      <w:pPr>
        <w:spacing w:line="420" w:lineRule="exact"/>
        <w:ind w:left="210" w:firstLineChars="200" w:firstLine="560"/>
        <w:outlineLvl w:val="2"/>
        <w:rPr>
          <w:rFonts w:ascii="仿宋_GB2312" w:eastAsia="仿宋_GB2312"/>
          <w:sz w:val="28"/>
          <w:szCs w:val="22"/>
        </w:rPr>
      </w:pPr>
      <w:r>
        <w:rPr>
          <w:rFonts w:ascii="仿宋_GB2312" w:eastAsia="仿宋_GB2312" w:hint="eastAsia"/>
          <w:sz w:val="28"/>
          <w:szCs w:val="22"/>
        </w:rPr>
        <w:t>8、任何单位和个人未经估价机构书面同意，不得以任何形式发表、肢解本报告。</w:t>
      </w:r>
    </w:p>
    <w:p w:rsidR="0054446D" w:rsidRDefault="00FB459A">
      <w:pPr>
        <w:spacing w:line="420" w:lineRule="exact"/>
        <w:ind w:left="210" w:firstLineChars="200" w:firstLine="560"/>
        <w:outlineLvl w:val="2"/>
        <w:rPr>
          <w:rFonts w:ascii="仿宋_GB2312" w:eastAsia="仿宋_GB2312"/>
          <w:sz w:val="28"/>
          <w:szCs w:val="22"/>
        </w:rPr>
      </w:pPr>
      <w:r>
        <w:rPr>
          <w:rFonts w:ascii="仿宋_GB2312" w:eastAsia="仿宋_GB2312" w:hint="eastAsia"/>
          <w:sz w:val="28"/>
          <w:szCs w:val="22"/>
        </w:rPr>
        <w:t>9、土地估价报告和结果的使用有效期</w:t>
      </w:r>
      <w:proofErr w:type="gramStart"/>
      <w:r>
        <w:rPr>
          <w:rFonts w:ascii="仿宋_GB2312" w:eastAsia="仿宋_GB2312" w:hint="eastAsia"/>
          <w:sz w:val="28"/>
          <w:szCs w:val="22"/>
        </w:rPr>
        <w:t>自报告</w:t>
      </w:r>
      <w:proofErr w:type="gramEnd"/>
      <w:r>
        <w:rPr>
          <w:rFonts w:ascii="仿宋_GB2312" w:eastAsia="仿宋_GB2312" w:hint="eastAsia"/>
          <w:sz w:val="28"/>
          <w:szCs w:val="22"/>
        </w:rPr>
        <w:t>提交日（二○二二年六月一日）起一年内有效。</w:t>
      </w:r>
    </w:p>
    <w:p w:rsidR="0054446D" w:rsidRDefault="00FB459A">
      <w:pPr>
        <w:spacing w:line="420" w:lineRule="exact"/>
        <w:ind w:left="210" w:firstLineChars="200" w:firstLine="560"/>
        <w:outlineLvl w:val="2"/>
        <w:rPr>
          <w:rFonts w:ascii="仿宋_GB2312" w:eastAsia="仿宋_GB2312"/>
          <w:sz w:val="28"/>
          <w:szCs w:val="22"/>
        </w:rPr>
      </w:pPr>
      <w:r>
        <w:rPr>
          <w:rFonts w:ascii="仿宋_GB2312" w:eastAsia="仿宋_GB2312" w:hint="eastAsia"/>
          <w:sz w:val="28"/>
          <w:szCs w:val="22"/>
        </w:rPr>
        <w:t>（三）资料来源说明</w:t>
      </w:r>
    </w:p>
    <w:p w:rsidR="0054446D" w:rsidRDefault="00FB459A">
      <w:pPr>
        <w:spacing w:line="420" w:lineRule="exact"/>
        <w:ind w:left="210" w:firstLineChars="200" w:firstLine="560"/>
        <w:outlineLvl w:val="2"/>
        <w:rPr>
          <w:rFonts w:ascii="仿宋_GB2312" w:eastAsia="仿宋_GB2312"/>
          <w:sz w:val="28"/>
          <w:szCs w:val="22"/>
        </w:rPr>
      </w:pPr>
      <w:r>
        <w:rPr>
          <w:rFonts w:ascii="仿宋_GB2312" w:eastAsia="仿宋_GB2312" w:hint="eastAsia"/>
          <w:sz w:val="28"/>
          <w:szCs w:val="22"/>
        </w:rPr>
        <w:t>1、土地利用状况、权属资料由委托方提供。</w:t>
      </w:r>
    </w:p>
    <w:p w:rsidR="0054446D" w:rsidRDefault="00FB459A">
      <w:pPr>
        <w:spacing w:line="420" w:lineRule="exact"/>
        <w:ind w:left="210" w:firstLineChars="200" w:firstLine="560"/>
        <w:outlineLvl w:val="2"/>
        <w:rPr>
          <w:rFonts w:ascii="仿宋_GB2312" w:eastAsia="仿宋_GB2312"/>
          <w:sz w:val="28"/>
          <w:szCs w:val="22"/>
        </w:rPr>
      </w:pPr>
      <w:r>
        <w:rPr>
          <w:rFonts w:ascii="仿宋_GB2312" w:eastAsia="仿宋_GB2312" w:hint="eastAsia"/>
          <w:sz w:val="28"/>
          <w:szCs w:val="22"/>
        </w:rPr>
        <w:t>2、土地区位条件、地产市场交易资料等评估相关资料由土地估价师现场查勘和调查整理得到。</w:t>
      </w:r>
    </w:p>
    <w:p w:rsidR="0054446D" w:rsidRDefault="00FB459A">
      <w:pPr>
        <w:spacing w:line="420" w:lineRule="exact"/>
        <w:ind w:left="210" w:firstLineChars="200" w:firstLine="560"/>
        <w:outlineLvl w:val="2"/>
        <w:rPr>
          <w:rFonts w:ascii="仿宋_GB2312" w:eastAsia="仿宋_GB2312"/>
          <w:sz w:val="28"/>
          <w:szCs w:val="22"/>
        </w:rPr>
      </w:pPr>
      <w:r>
        <w:rPr>
          <w:rFonts w:ascii="仿宋_GB2312" w:eastAsia="仿宋_GB2312" w:hint="eastAsia"/>
          <w:sz w:val="28"/>
          <w:szCs w:val="22"/>
        </w:rPr>
        <w:t>3、估价人员根据国家有关法律、法规、估价规程及地方有关地价评估技术标准，</w:t>
      </w:r>
      <w:proofErr w:type="gramStart"/>
      <w:r>
        <w:rPr>
          <w:rFonts w:ascii="仿宋_GB2312" w:eastAsia="仿宋_GB2312" w:hint="eastAsia"/>
          <w:sz w:val="28"/>
          <w:szCs w:val="22"/>
        </w:rPr>
        <w:t>结合委估宗地</w:t>
      </w:r>
      <w:proofErr w:type="gramEnd"/>
      <w:r>
        <w:rPr>
          <w:rFonts w:ascii="仿宋_GB2312" w:eastAsia="仿宋_GB2312" w:hint="eastAsia"/>
          <w:sz w:val="28"/>
          <w:szCs w:val="22"/>
        </w:rPr>
        <w:t>具体状况，确定估价原则、方法及参数的选取。</w:t>
      </w:r>
    </w:p>
    <w:p w:rsidR="0054446D" w:rsidRDefault="00FB459A">
      <w:pPr>
        <w:spacing w:line="420" w:lineRule="exact"/>
        <w:ind w:left="210" w:firstLineChars="200" w:firstLine="560"/>
        <w:outlineLvl w:val="2"/>
        <w:rPr>
          <w:rFonts w:ascii="仿宋_GB2312" w:eastAsia="仿宋_GB2312"/>
          <w:sz w:val="28"/>
          <w:szCs w:val="22"/>
        </w:rPr>
      </w:pPr>
      <w:r>
        <w:rPr>
          <w:rFonts w:ascii="仿宋_GB2312" w:eastAsia="仿宋_GB2312" w:hint="eastAsia"/>
          <w:sz w:val="28"/>
          <w:szCs w:val="22"/>
        </w:rPr>
        <w:t>（四）估价中的特殊处理</w:t>
      </w:r>
    </w:p>
    <w:p w:rsidR="0054446D" w:rsidRDefault="00FB459A">
      <w:pPr>
        <w:spacing w:line="420" w:lineRule="exact"/>
        <w:ind w:left="210" w:firstLineChars="200" w:firstLine="560"/>
        <w:outlineLvl w:val="2"/>
        <w:rPr>
          <w:rFonts w:ascii="仿宋_GB2312" w:eastAsia="仿宋_GB2312"/>
          <w:sz w:val="28"/>
          <w:szCs w:val="22"/>
        </w:rPr>
      </w:pPr>
      <w:r>
        <w:rPr>
          <w:rFonts w:ascii="仿宋_GB2312" w:eastAsia="仿宋_GB2312" w:hint="eastAsia"/>
          <w:sz w:val="28"/>
          <w:szCs w:val="22"/>
        </w:rPr>
        <w:t>1、评估土地的合法性，以</w:t>
      </w:r>
      <w:r>
        <w:rPr>
          <w:rFonts w:ascii="仿宋_GB2312" w:eastAsia="仿宋_GB2312" w:hAnsi="宋体" w:hint="eastAsia"/>
          <w:sz w:val="28"/>
        </w:rPr>
        <w:t>《湖南省湘潭市中级人民法院委托书》[（2022）湘03执23号]、《不动产产权情况表》[业务号：HT201207170041]、《土地登记审批表》[编号：（2012）00751]、《国有建设用地使用权出让合同》[电子监管号：3605002011B01585]</w:t>
      </w:r>
      <w:r>
        <w:rPr>
          <w:rFonts w:ascii="仿宋_GB2312" w:eastAsia="仿宋_GB2312" w:hint="eastAsia"/>
          <w:sz w:val="28"/>
          <w:szCs w:val="22"/>
        </w:rPr>
        <w:t>为准，并以此确认该土地“权属合法，界址清楚，面积准确”。</w:t>
      </w:r>
    </w:p>
    <w:p w:rsidR="0054446D" w:rsidRDefault="00FB459A">
      <w:pPr>
        <w:spacing w:line="420" w:lineRule="exact"/>
        <w:ind w:left="210" w:firstLineChars="200" w:firstLine="560"/>
        <w:outlineLvl w:val="2"/>
        <w:rPr>
          <w:rFonts w:ascii="仿宋_GB2312" w:eastAsia="仿宋_GB2312"/>
          <w:sz w:val="28"/>
          <w:szCs w:val="22"/>
        </w:rPr>
      </w:pPr>
      <w:r>
        <w:rPr>
          <w:rFonts w:ascii="仿宋_GB2312" w:eastAsia="仿宋_GB2312" w:hint="eastAsia"/>
          <w:sz w:val="28"/>
          <w:szCs w:val="22"/>
        </w:rPr>
        <w:t>2、土地利用和规划条件设定：</w:t>
      </w:r>
      <w:r>
        <w:rPr>
          <w:rFonts w:ascii="仿宋_GB2312" w:eastAsia="仿宋_GB2312" w:hAnsi="宋体" w:hint="eastAsia"/>
          <w:sz w:val="28"/>
        </w:rPr>
        <w:t>根据委托人提供的《国有建设用地使用权出让合同》[电子监管号：3605002011B01585]、《关于纬二路以北、经三路以东W-09-04号地块的规划条件》[编号：余规条2011-006]记载，估价对象容积率为1≤FAR≤2。主体建筑物性质为住宅楼，建筑总面积119795平方米，建筑限高45米，建筑密度不高于24%，绿地率不低于45%。其余土地利用要求按《余规条2011-006》执行。一是宗地内需布置一所6班幼托；二是按建筑总面积的1.5‰比例配置社区用房、5‰配置物业管理用房；三是住宅按不少于0.5</w:t>
      </w:r>
      <w:proofErr w:type="gramStart"/>
      <w:r>
        <w:rPr>
          <w:rFonts w:ascii="仿宋_GB2312" w:eastAsia="仿宋_GB2312" w:hAnsi="宋体" w:hint="eastAsia"/>
          <w:sz w:val="28"/>
        </w:rPr>
        <w:t>各</w:t>
      </w:r>
      <w:proofErr w:type="gramEnd"/>
      <w:r>
        <w:rPr>
          <w:rFonts w:ascii="仿宋_GB2312" w:eastAsia="仿宋_GB2312" w:hAnsi="宋体" w:hint="eastAsia"/>
          <w:sz w:val="28"/>
        </w:rPr>
        <w:t>车位/户配置停车位。根据合法原则及最有效利用原则，本次评估设定宗地的容积率为2，建筑密度为24%，绿地率为45%</w:t>
      </w:r>
      <w:r>
        <w:rPr>
          <w:rFonts w:ascii="仿宋_GB2312" w:eastAsia="仿宋_GB2312" w:hint="eastAsia"/>
          <w:sz w:val="28"/>
          <w:szCs w:val="22"/>
        </w:rPr>
        <w:t>。本次评估按此相关规划指标进行开发为前提，不同的规划指标可能引起地价的变化，若上述估价设定的规划指标发生变化时，则应据实调整相应估价结果或重新进行评估。</w:t>
      </w:r>
    </w:p>
    <w:p w:rsidR="0054446D" w:rsidRDefault="00FB459A">
      <w:pPr>
        <w:spacing w:line="420" w:lineRule="exact"/>
        <w:ind w:left="210" w:firstLineChars="200" w:firstLine="560"/>
        <w:outlineLvl w:val="2"/>
        <w:rPr>
          <w:rFonts w:ascii="仿宋_GB2312" w:eastAsia="仿宋_GB2312"/>
          <w:sz w:val="28"/>
          <w:szCs w:val="22"/>
        </w:rPr>
      </w:pPr>
      <w:r>
        <w:rPr>
          <w:rFonts w:ascii="仿宋_GB2312" w:eastAsia="仿宋_GB2312" w:hint="eastAsia"/>
          <w:sz w:val="28"/>
          <w:szCs w:val="22"/>
        </w:rPr>
        <w:t>4、用途设定：</w:t>
      </w:r>
      <w:proofErr w:type="gramStart"/>
      <w:r>
        <w:rPr>
          <w:rFonts w:ascii="仿宋_GB2312" w:eastAsia="仿宋_GB2312" w:hint="eastAsia"/>
          <w:sz w:val="28"/>
          <w:szCs w:val="22"/>
        </w:rPr>
        <w:t>委估宗地</w:t>
      </w:r>
      <w:proofErr w:type="gramEnd"/>
      <w:r>
        <w:rPr>
          <w:rFonts w:ascii="仿宋_GB2312" w:eastAsia="仿宋_GB2312" w:hint="eastAsia"/>
          <w:sz w:val="28"/>
          <w:szCs w:val="22"/>
        </w:rPr>
        <w:t>登记的土地用途为住宅用地。根据中华人民共和国国家标准《土地利用现状分类》（GB/T 21010-2017）规定及根据委托方提供的</w:t>
      </w:r>
      <w:r>
        <w:rPr>
          <w:rFonts w:ascii="仿宋_GB2312" w:eastAsia="仿宋_GB2312" w:hAnsi="宋体" w:hint="eastAsia"/>
          <w:sz w:val="28"/>
        </w:rPr>
        <w:t>《不动产产权情况表》[业务号：HT201207170041]</w:t>
      </w:r>
      <w:r>
        <w:rPr>
          <w:rFonts w:ascii="仿宋_GB2312" w:eastAsia="仿宋_GB2312" w:hint="eastAsia"/>
          <w:sz w:val="28"/>
          <w:szCs w:val="22"/>
        </w:rPr>
        <w:t>记载，本次估价</w:t>
      </w:r>
      <w:proofErr w:type="gramStart"/>
      <w:r>
        <w:rPr>
          <w:rFonts w:ascii="仿宋_GB2312" w:eastAsia="仿宋_GB2312" w:hint="eastAsia"/>
          <w:sz w:val="28"/>
          <w:szCs w:val="22"/>
        </w:rPr>
        <w:t>设定委估宗地</w:t>
      </w:r>
      <w:proofErr w:type="gramEnd"/>
      <w:r>
        <w:rPr>
          <w:rFonts w:ascii="仿宋_GB2312" w:eastAsia="仿宋_GB2312" w:hint="eastAsia"/>
          <w:sz w:val="28"/>
          <w:szCs w:val="22"/>
        </w:rPr>
        <w:t>的用途为住宅用地。</w:t>
      </w:r>
    </w:p>
    <w:p w:rsidR="0054446D" w:rsidRDefault="00FB459A">
      <w:pPr>
        <w:spacing w:line="420" w:lineRule="exact"/>
        <w:ind w:left="210" w:firstLineChars="200" w:firstLine="560"/>
        <w:outlineLvl w:val="2"/>
        <w:rPr>
          <w:rFonts w:ascii="仿宋_GB2312" w:eastAsia="仿宋_GB2312"/>
          <w:sz w:val="28"/>
          <w:szCs w:val="22"/>
        </w:rPr>
      </w:pPr>
      <w:r>
        <w:rPr>
          <w:rFonts w:ascii="仿宋_GB2312" w:eastAsia="仿宋_GB2312" w:hint="eastAsia"/>
          <w:sz w:val="28"/>
          <w:szCs w:val="22"/>
        </w:rPr>
        <w:t>5、开发程度设定：</w:t>
      </w:r>
      <w:proofErr w:type="gramStart"/>
      <w:r>
        <w:rPr>
          <w:rFonts w:ascii="仿宋_GB2312" w:eastAsia="仿宋_GB2312" w:hAnsi="宋体" w:hint="eastAsia"/>
          <w:sz w:val="28"/>
        </w:rPr>
        <w:t>委估宗地</w:t>
      </w:r>
      <w:proofErr w:type="gramEnd"/>
      <w:r>
        <w:rPr>
          <w:rFonts w:ascii="仿宋_GB2312" w:eastAsia="仿宋_GB2312" w:hAnsi="宋体" w:hint="eastAsia"/>
          <w:sz w:val="28"/>
        </w:rPr>
        <w:t>现状为待开发建设用地，实际开发程度为宗地外“六通”（</w:t>
      </w:r>
      <w:r>
        <w:rPr>
          <w:rFonts w:ascii="仿宋_GB2312" w:eastAsia="仿宋_GB2312" w:hAnsi="宋体"/>
          <w:sz w:val="28"/>
        </w:rPr>
        <w:t>通路、供水、排水、通电、通讯、供气</w:t>
      </w:r>
      <w:r>
        <w:rPr>
          <w:rFonts w:ascii="仿宋_GB2312" w:eastAsia="仿宋_GB2312" w:hAnsi="宋体" w:hint="eastAsia"/>
          <w:sz w:val="28"/>
        </w:rPr>
        <w:t>）、宗地内“场地未平整”。根据本报告估价目的,</w:t>
      </w:r>
      <w:proofErr w:type="gramStart"/>
      <w:r>
        <w:rPr>
          <w:rFonts w:ascii="仿宋_GB2312" w:eastAsia="仿宋_GB2312" w:hAnsi="宋体" w:hint="eastAsia"/>
          <w:sz w:val="28"/>
        </w:rPr>
        <w:t>设定委估宗地</w:t>
      </w:r>
      <w:proofErr w:type="gramEnd"/>
      <w:r>
        <w:rPr>
          <w:rFonts w:ascii="仿宋_GB2312" w:eastAsia="仿宋_GB2312" w:hAnsi="宋体" w:hint="eastAsia"/>
          <w:sz w:val="28"/>
        </w:rPr>
        <w:t>开发程度与现状一致，即宗地红线外</w:t>
      </w:r>
      <w:proofErr w:type="gramStart"/>
      <w:r>
        <w:rPr>
          <w:rFonts w:ascii="仿宋_GB2312" w:eastAsia="仿宋_GB2312" w:hAnsi="宋体" w:hint="eastAsia"/>
          <w:sz w:val="28"/>
        </w:rPr>
        <w:t>外</w:t>
      </w:r>
      <w:proofErr w:type="gramEnd"/>
      <w:r>
        <w:rPr>
          <w:rFonts w:ascii="仿宋_GB2312" w:eastAsia="仿宋_GB2312" w:hAnsi="宋体" w:hint="eastAsia"/>
          <w:sz w:val="28"/>
        </w:rPr>
        <w:t>“六通”（</w:t>
      </w:r>
      <w:r>
        <w:rPr>
          <w:rFonts w:ascii="仿宋_GB2312" w:eastAsia="仿宋_GB2312" w:hAnsi="宋体"/>
          <w:sz w:val="28"/>
        </w:rPr>
        <w:t>通路、供水、排水、通电、通讯、供气</w:t>
      </w:r>
      <w:r>
        <w:rPr>
          <w:rFonts w:ascii="仿宋_GB2312" w:eastAsia="仿宋_GB2312" w:hAnsi="宋体" w:hint="eastAsia"/>
          <w:sz w:val="28"/>
        </w:rPr>
        <w:t>）、宗地红线内“场地未平整”</w:t>
      </w:r>
      <w:r>
        <w:rPr>
          <w:rFonts w:ascii="仿宋_GB2312" w:eastAsia="仿宋_GB2312" w:hint="eastAsia"/>
          <w:sz w:val="28"/>
          <w:szCs w:val="22"/>
        </w:rPr>
        <w:t>。</w:t>
      </w:r>
    </w:p>
    <w:p w:rsidR="0054446D" w:rsidRDefault="00FB459A">
      <w:pPr>
        <w:spacing w:line="420" w:lineRule="exact"/>
        <w:ind w:left="210" w:firstLineChars="200" w:firstLine="560"/>
        <w:outlineLvl w:val="2"/>
        <w:rPr>
          <w:rFonts w:ascii="仿宋_GB2312" w:eastAsia="仿宋_GB2312"/>
          <w:sz w:val="28"/>
          <w:szCs w:val="22"/>
        </w:rPr>
      </w:pPr>
      <w:r>
        <w:rPr>
          <w:rFonts w:ascii="仿宋_GB2312" w:eastAsia="仿宋_GB2312" w:hint="eastAsia"/>
          <w:sz w:val="28"/>
          <w:szCs w:val="22"/>
        </w:rPr>
        <w:t>6、土地使用权年期设定：</w:t>
      </w:r>
      <w:r>
        <w:rPr>
          <w:rFonts w:ascii="仿宋_GB2312" w:eastAsia="仿宋_GB2312" w:hAnsi="宋体" w:hint="eastAsia"/>
          <w:sz w:val="28"/>
        </w:rPr>
        <w:t>根据委托人提供的根据委托人提供的《不动产产权情况表》[业务号：HT201207170041]记载，</w:t>
      </w:r>
      <w:proofErr w:type="gramStart"/>
      <w:r>
        <w:rPr>
          <w:rFonts w:ascii="仿宋_GB2312" w:eastAsia="仿宋_GB2312" w:hAnsi="宋体" w:hint="eastAsia"/>
          <w:sz w:val="28"/>
        </w:rPr>
        <w:t>委估宗地</w:t>
      </w:r>
      <w:proofErr w:type="gramEnd"/>
      <w:r>
        <w:rPr>
          <w:rFonts w:ascii="仿宋_GB2312" w:eastAsia="仿宋_GB2312" w:hAnsi="宋体" w:hint="eastAsia"/>
          <w:sz w:val="28"/>
        </w:rPr>
        <w:t>土地用途为住宅用地，</w:t>
      </w:r>
      <w:r>
        <w:rPr>
          <w:rFonts w:ascii="仿宋_GB2312" w:eastAsia="仿宋_GB2312" w:hint="eastAsia"/>
          <w:sz w:val="28"/>
        </w:rPr>
        <w:t>终止日期为2080年02月17日。</w:t>
      </w:r>
      <w:r>
        <w:rPr>
          <w:rFonts w:ascii="仿宋_GB2312" w:eastAsia="仿宋_GB2312" w:hAnsi="宋体" w:hint="eastAsia"/>
          <w:sz w:val="28"/>
        </w:rPr>
        <w:t>至估价期日，宗地</w:t>
      </w:r>
      <w:r>
        <w:rPr>
          <w:rFonts w:ascii="仿宋_GB2312" w:eastAsia="仿宋_GB2312" w:hAnsi="宋体" w:cs="宋体" w:hint="eastAsia"/>
          <w:sz w:val="28"/>
        </w:rPr>
        <w:t>使用权</w:t>
      </w:r>
      <w:r>
        <w:rPr>
          <w:rFonts w:ascii="仿宋_GB2312" w:eastAsia="仿宋_GB2312" w:hAnsi="宋体" w:hint="eastAsia"/>
          <w:sz w:val="28"/>
        </w:rPr>
        <w:t>剩余土地使用权年限为57.77年。故本次估价设定宗地剩余土地使用权年限为57.77年</w:t>
      </w:r>
      <w:r>
        <w:rPr>
          <w:rFonts w:ascii="仿宋_GB2312" w:eastAsia="仿宋_GB2312" w:hint="eastAsia"/>
          <w:sz w:val="28"/>
          <w:szCs w:val="22"/>
        </w:rPr>
        <w:t>。</w:t>
      </w:r>
    </w:p>
    <w:p w:rsidR="0054446D" w:rsidRDefault="00FB459A">
      <w:pPr>
        <w:spacing w:line="420" w:lineRule="exact"/>
        <w:ind w:left="210" w:firstLineChars="200" w:firstLine="560"/>
        <w:outlineLvl w:val="2"/>
        <w:rPr>
          <w:rFonts w:ascii="仿宋_GB2312" w:eastAsia="仿宋_GB2312"/>
          <w:sz w:val="28"/>
          <w:szCs w:val="22"/>
        </w:rPr>
      </w:pPr>
      <w:r>
        <w:rPr>
          <w:rFonts w:ascii="仿宋_GB2312" w:eastAsia="仿宋_GB2312" w:hint="eastAsia"/>
          <w:sz w:val="28"/>
          <w:szCs w:val="22"/>
        </w:rPr>
        <w:t>7、当地对土地闲置情况的认定及处理情况遵循《闲置土地处置办法》（中华人民共和国国土资源部令第53号，自2012年7月1日起实施）有关法规执行，</w:t>
      </w:r>
      <w:proofErr w:type="gramStart"/>
      <w:r>
        <w:rPr>
          <w:rFonts w:ascii="仿宋_GB2312" w:eastAsia="仿宋_GB2312" w:hint="eastAsia"/>
          <w:sz w:val="28"/>
          <w:szCs w:val="22"/>
        </w:rPr>
        <w:t>委估宗地</w:t>
      </w:r>
      <w:proofErr w:type="gramEnd"/>
      <w:r>
        <w:rPr>
          <w:rFonts w:ascii="仿宋_GB2312" w:eastAsia="仿宋_GB2312" w:hint="eastAsia"/>
          <w:sz w:val="28"/>
          <w:szCs w:val="22"/>
        </w:rPr>
        <w:t>现状为待开发建设用地。故本次估价不考虑土地闲置限制因素的影响。</w:t>
      </w:r>
    </w:p>
    <w:p w:rsidR="0054446D" w:rsidRDefault="00FB459A">
      <w:pPr>
        <w:spacing w:line="420" w:lineRule="exact"/>
        <w:ind w:left="210" w:firstLineChars="200" w:firstLine="560"/>
        <w:outlineLvl w:val="2"/>
        <w:rPr>
          <w:rFonts w:ascii="仿宋_GB2312" w:eastAsia="仿宋_GB2312"/>
          <w:sz w:val="28"/>
          <w:szCs w:val="22"/>
        </w:rPr>
      </w:pPr>
      <w:r>
        <w:rPr>
          <w:rFonts w:ascii="仿宋_GB2312" w:eastAsia="仿宋_GB2312" w:hint="eastAsia"/>
          <w:sz w:val="28"/>
          <w:szCs w:val="22"/>
        </w:rPr>
        <w:t>8、本估价结果已包含了估价对象作为相应用途国有土地使用权出让金。本次估价是以估价对象的土地前期拆迁费用等已付清为前提，不考虑地上建筑物、构筑物对估价结果的影响。</w:t>
      </w:r>
    </w:p>
    <w:p w:rsidR="0054446D" w:rsidRDefault="00FB459A">
      <w:pPr>
        <w:spacing w:line="420" w:lineRule="exact"/>
        <w:ind w:left="210" w:firstLineChars="200" w:firstLine="560"/>
        <w:outlineLvl w:val="2"/>
        <w:rPr>
          <w:rFonts w:ascii="仿宋_GB2312" w:eastAsia="仿宋_GB2312"/>
          <w:sz w:val="28"/>
          <w:szCs w:val="22"/>
        </w:rPr>
      </w:pPr>
      <w:r>
        <w:rPr>
          <w:rFonts w:ascii="仿宋_GB2312" w:eastAsia="仿宋_GB2312" w:hint="eastAsia"/>
          <w:sz w:val="28"/>
          <w:szCs w:val="22"/>
        </w:rPr>
        <w:t>9、本次估价</w:t>
      </w:r>
      <w:proofErr w:type="gramStart"/>
      <w:r>
        <w:rPr>
          <w:rFonts w:ascii="仿宋_GB2312" w:eastAsia="仿宋_GB2312" w:hint="eastAsia"/>
          <w:sz w:val="28"/>
          <w:szCs w:val="22"/>
        </w:rPr>
        <w:t>中委估宗地</w:t>
      </w:r>
      <w:proofErr w:type="gramEnd"/>
      <w:r>
        <w:rPr>
          <w:rFonts w:ascii="仿宋_GB2312" w:eastAsia="仿宋_GB2312" w:hint="eastAsia"/>
          <w:sz w:val="28"/>
          <w:szCs w:val="22"/>
        </w:rPr>
        <w:t>的具体位置由委托方指定的相关人员领</w:t>
      </w:r>
      <w:proofErr w:type="gramStart"/>
      <w:r>
        <w:rPr>
          <w:rFonts w:ascii="仿宋_GB2312" w:eastAsia="仿宋_GB2312" w:hint="eastAsia"/>
          <w:sz w:val="28"/>
          <w:szCs w:val="22"/>
        </w:rPr>
        <w:t>勘</w:t>
      </w:r>
      <w:proofErr w:type="gramEnd"/>
      <w:r>
        <w:rPr>
          <w:rFonts w:ascii="仿宋_GB2312" w:eastAsia="仿宋_GB2312" w:hint="eastAsia"/>
          <w:sz w:val="28"/>
          <w:szCs w:val="22"/>
        </w:rPr>
        <w:t>、确认，若与事实不符，应重新估价。</w:t>
      </w:r>
    </w:p>
    <w:p w:rsidR="0054446D" w:rsidRDefault="00FB459A">
      <w:pPr>
        <w:spacing w:line="420" w:lineRule="exact"/>
        <w:ind w:left="210" w:firstLineChars="200" w:firstLine="560"/>
        <w:outlineLvl w:val="2"/>
        <w:rPr>
          <w:rFonts w:ascii="仿宋_GB2312" w:eastAsia="仿宋_GB2312"/>
          <w:sz w:val="28"/>
          <w:szCs w:val="22"/>
        </w:rPr>
      </w:pPr>
      <w:r>
        <w:rPr>
          <w:rFonts w:ascii="仿宋_GB2312" w:eastAsia="仿宋_GB2312" w:hint="eastAsia"/>
          <w:sz w:val="28"/>
          <w:szCs w:val="22"/>
        </w:rPr>
        <w:t>10、在基准地价系数修正法中，住宅用地的地价水平是来自中国地价动态监测网及新余市相关部门颁布的相关数据。</w:t>
      </w:r>
    </w:p>
    <w:p w:rsidR="0054446D" w:rsidRDefault="00FB459A">
      <w:pPr>
        <w:spacing w:line="420" w:lineRule="exact"/>
        <w:ind w:left="210" w:firstLineChars="200" w:firstLine="560"/>
        <w:outlineLvl w:val="2"/>
        <w:rPr>
          <w:rFonts w:ascii="仿宋_GB2312" w:eastAsia="仿宋_GB2312"/>
          <w:sz w:val="28"/>
          <w:szCs w:val="22"/>
        </w:rPr>
      </w:pPr>
      <w:r>
        <w:rPr>
          <w:rFonts w:ascii="仿宋_GB2312" w:eastAsia="仿宋_GB2312" w:hint="eastAsia"/>
          <w:sz w:val="28"/>
          <w:szCs w:val="22"/>
        </w:rPr>
        <w:t>11、在剩余法中，因新余市地下车位用房基本以成本价出售，在计算时不考虑地下车位的销售收入及成本费用。</w:t>
      </w:r>
    </w:p>
    <w:p w:rsidR="0054446D" w:rsidRDefault="00FB459A">
      <w:pPr>
        <w:spacing w:line="420" w:lineRule="exact"/>
        <w:ind w:left="210" w:firstLineChars="200" w:firstLine="560"/>
        <w:outlineLvl w:val="2"/>
        <w:rPr>
          <w:rFonts w:ascii="仿宋_GB2312" w:eastAsia="仿宋_GB2312"/>
          <w:sz w:val="28"/>
          <w:szCs w:val="22"/>
        </w:rPr>
      </w:pPr>
      <w:r>
        <w:rPr>
          <w:rFonts w:ascii="仿宋_GB2312" w:eastAsia="仿宋_GB2312" w:hint="eastAsia"/>
          <w:sz w:val="28"/>
          <w:szCs w:val="22"/>
        </w:rPr>
        <w:t>12、在剩余法中，</w:t>
      </w:r>
      <w:r w:rsidR="00F440D6" w:rsidRPr="00D10C39">
        <w:rPr>
          <w:rFonts w:ascii="仿宋_GB2312" w:eastAsia="仿宋_GB2312" w:hint="eastAsia"/>
          <w:sz w:val="28"/>
          <w:szCs w:val="22"/>
        </w:rPr>
        <w:t>根据【新余市人民政府办公室关于印发新余市物业管理办法的通知】余府办发〔2019〕27号（以下为“通知”）的相关规定，第三十一条建设单位应当按照物业总建筑面积千分之二的标准,在物业管理区域内配置物业管理用房,最低不少于一百二十平方米;其中,业主委员会办公用房最低不少于二十平方米。与《关于纬二路以北、经三路以东W-09-04号地块的规划条件》[编号：余规条2011-006]中5‰配置物业管理用房有差异，但考虑到规划出具时间为2011年，“通知”发布时间为2019年，本次估价关于物业管理用房面积的规定以“通知”上规定的为准。根据最有效利用原则，本次评估将公共配套设施用房面积为419.28平方米这部分在规划的住宅建筑面积中予以扣除，则可销售的商品用房建筑总面积为119375.76</w:t>
      </w:r>
      <w:r w:rsidR="00F440D6" w:rsidRPr="00D10C39">
        <w:rPr>
          <w:rFonts w:ascii="宋体" w:hAnsi="宋体" w:cs="宋体" w:hint="eastAsia"/>
          <w:sz w:val="28"/>
          <w:szCs w:val="22"/>
        </w:rPr>
        <w:t>㎡</w:t>
      </w:r>
      <w:r w:rsidR="00F440D6" w:rsidRPr="00D10C39">
        <w:rPr>
          <w:rFonts w:ascii="仿宋_GB2312" w:eastAsia="仿宋_GB2312" w:hint="eastAsia"/>
          <w:sz w:val="28"/>
          <w:szCs w:val="22"/>
        </w:rPr>
        <w:t>。</w:t>
      </w:r>
      <w:r w:rsidR="00F440D6">
        <w:rPr>
          <w:rFonts w:ascii="仿宋_GB2312" w:eastAsia="仿宋_GB2312" w:hint="eastAsia"/>
          <w:sz w:val="28"/>
          <w:szCs w:val="22"/>
        </w:rPr>
        <w:t>幼儿园建设规模以渝水区中心幼儿园（14个学班）建筑面积4568平方米为标准,则六班按建筑面积2000平方米进行修建，此项需计算成本费用</w:t>
      </w:r>
      <w:r>
        <w:rPr>
          <w:rFonts w:ascii="仿宋_GB2312" w:eastAsia="仿宋_GB2312" w:hint="eastAsia"/>
          <w:sz w:val="28"/>
          <w:szCs w:val="22"/>
        </w:rPr>
        <w:t>。</w:t>
      </w:r>
    </w:p>
    <w:p w:rsidR="0054446D" w:rsidRDefault="00FB459A">
      <w:pPr>
        <w:spacing w:line="420" w:lineRule="exact"/>
        <w:ind w:left="210" w:firstLineChars="200" w:firstLine="560"/>
        <w:outlineLvl w:val="2"/>
        <w:rPr>
          <w:rFonts w:ascii="仿宋_GB2312" w:eastAsia="仿宋_GB2312"/>
          <w:sz w:val="28"/>
          <w:szCs w:val="22"/>
        </w:rPr>
      </w:pPr>
      <w:r>
        <w:rPr>
          <w:rFonts w:ascii="仿宋_GB2312" w:eastAsia="仿宋_GB2312" w:hint="eastAsia"/>
          <w:sz w:val="28"/>
          <w:szCs w:val="22"/>
        </w:rPr>
        <w:t>13、我们根据估价方法适宜性、可信度、可操作性，并参考本次评估的目的</w:t>
      </w:r>
      <w:proofErr w:type="gramStart"/>
      <w:r>
        <w:rPr>
          <w:rFonts w:ascii="仿宋_GB2312" w:eastAsia="仿宋_GB2312" w:hint="eastAsia"/>
          <w:sz w:val="28"/>
          <w:szCs w:val="22"/>
        </w:rPr>
        <w:t>以及委估</w:t>
      </w:r>
      <w:proofErr w:type="gramEnd"/>
      <w:r>
        <w:rPr>
          <w:rFonts w:ascii="仿宋_GB2312" w:eastAsia="仿宋_GB2312" w:hint="eastAsia"/>
          <w:sz w:val="28"/>
          <w:szCs w:val="22"/>
        </w:rPr>
        <w:t>宗地所在区域的地价水平，结合土地估价师的经验等综合确定估价结果。</w:t>
      </w:r>
    </w:p>
    <w:p w:rsidR="0054446D" w:rsidRDefault="00FB459A">
      <w:pPr>
        <w:spacing w:line="420" w:lineRule="exact"/>
        <w:ind w:left="210" w:firstLineChars="200" w:firstLine="560"/>
        <w:outlineLvl w:val="2"/>
        <w:rPr>
          <w:rFonts w:ascii="仿宋_GB2312" w:eastAsia="仿宋_GB2312"/>
          <w:sz w:val="28"/>
          <w:szCs w:val="22"/>
        </w:rPr>
      </w:pPr>
      <w:r>
        <w:rPr>
          <w:rFonts w:ascii="仿宋_GB2312" w:eastAsia="仿宋_GB2312" w:hint="eastAsia"/>
          <w:sz w:val="28"/>
          <w:szCs w:val="22"/>
        </w:rPr>
        <w:t>（五）其它说明</w:t>
      </w:r>
    </w:p>
    <w:p w:rsidR="0054446D" w:rsidRDefault="00FB459A">
      <w:pPr>
        <w:spacing w:line="420" w:lineRule="exact"/>
        <w:ind w:left="210" w:firstLineChars="200" w:firstLine="560"/>
        <w:outlineLvl w:val="2"/>
        <w:rPr>
          <w:rFonts w:ascii="仿宋_GB2312" w:eastAsia="仿宋_GB2312"/>
          <w:sz w:val="28"/>
          <w:szCs w:val="22"/>
        </w:rPr>
      </w:pPr>
      <w:r>
        <w:rPr>
          <w:rFonts w:ascii="仿宋_GB2312" w:eastAsia="仿宋_GB2312" w:hint="eastAsia"/>
          <w:sz w:val="28"/>
          <w:szCs w:val="22"/>
        </w:rPr>
        <w:t>1、本报告估价机构以及估价机构的估价人员与委托方除委托估价关系外，无其他任何足以影响估价结果的关系。</w:t>
      </w:r>
    </w:p>
    <w:p w:rsidR="0054446D" w:rsidRDefault="00FB459A">
      <w:pPr>
        <w:spacing w:line="420" w:lineRule="exact"/>
        <w:ind w:left="210" w:firstLineChars="200" w:firstLine="560"/>
        <w:outlineLvl w:val="2"/>
        <w:rPr>
          <w:rFonts w:ascii="仿宋_GB2312" w:eastAsia="仿宋_GB2312"/>
          <w:sz w:val="28"/>
          <w:szCs w:val="22"/>
        </w:rPr>
      </w:pPr>
      <w:r>
        <w:rPr>
          <w:rFonts w:ascii="仿宋_GB2312" w:eastAsia="仿宋_GB2312" w:hint="eastAsia"/>
          <w:sz w:val="28"/>
          <w:szCs w:val="22"/>
        </w:rPr>
        <w:t>2、本报告中所使用货币为人民币。</w:t>
      </w:r>
    </w:p>
    <w:p w:rsidR="0054446D" w:rsidRDefault="00FB459A">
      <w:pPr>
        <w:spacing w:line="420" w:lineRule="exact"/>
        <w:ind w:left="210" w:firstLineChars="200" w:firstLine="560"/>
        <w:outlineLvl w:val="2"/>
        <w:rPr>
          <w:rFonts w:ascii="仿宋_GB2312" w:eastAsia="仿宋_GB2312"/>
          <w:sz w:val="28"/>
          <w:szCs w:val="22"/>
        </w:rPr>
      </w:pPr>
      <w:r>
        <w:rPr>
          <w:rFonts w:ascii="仿宋_GB2312" w:eastAsia="仿宋_GB2312" w:hint="eastAsia"/>
          <w:sz w:val="28"/>
          <w:szCs w:val="22"/>
        </w:rPr>
        <w:t>3、本报告符合以下四点内容：</w:t>
      </w:r>
    </w:p>
    <w:p w:rsidR="0054446D" w:rsidRDefault="00FB459A">
      <w:pPr>
        <w:spacing w:line="420" w:lineRule="exact"/>
        <w:ind w:left="210" w:firstLineChars="200" w:firstLine="560"/>
        <w:outlineLvl w:val="2"/>
        <w:rPr>
          <w:rFonts w:ascii="仿宋_GB2312" w:eastAsia="仿宋_GB2312"/>
          <w:sz w:val="28"/>
          <w:szCs w:val="22"/>
        </w:rPr>
      </w:pPr>
      <w:r>
        <w:rPr>
          <w:rFonts w:ascii="仿宋_GB2312" w:eastAsia="仿宋_GB2312" w:hint="eastAsia"/>
          <w:sz w:val="28"/>
          <w:szCs w:val="22"/>
        </w:rPr>
        <w:t>（1）符合国家规定的专业规范；</w:t>
      </w:r>
    </w:p>
    <w:p w:rsidR="0054446D" w:rsidRDefault="00FB459A">
      <w:pPr>
        <w:spacing w:line="420" w:lineRule="exact"/>
        <w:ind w:left="210" w:firstLineChars="200" w:firstLine="560"/>
        <w:outlineLvl w:val="2"/>
        <w:rPr>
          <w:rFonts w:ascii="仿宋_GB2312" w:eastAsia="仿宋_GB2312"/>
          <w:sz w:val="28"/>
          <w:szCs w:val="22"/>
        </w:rPr>
      </w:pPr>
      <w:r>
        <w:rPr>
          <w:rFonts w:ascii="仿宋_GB2312" w:eastAsia="仿宋_GB2312" w:hint="eastAsia"/>
          <w:sz w:val="28"/>
          <w:szCs w:val="22"/>
        </w:rPr>
        <w:t>（2）描述准确真实；</w:t>
      </w:r>
    </w:p>
    <w:p w:rsidR="0054446D" w:rsidRDefault="00FB459A">
      <w:pPr>
        <w:spacing w:line="420" w:lineRule="exact"/>
        <w:ind w:left="210" w:firstLineChars="200" w:firstLine="560"/>
        <w:outlineLvl w:val="2"/>
        <w:rPr>
          <w:rFonts w:ascii="仿宋_GB2312" w:eastAsia="仿宋_GB2312"/>
          <w:sz w:val="28"/>
          <w:szCs w:val="22"/>
        </w:rPr>
      </w:pPr>
      <w:r>
        <w:rPr>
          <w:rFonts w:ascii="仿宋_GB2312" w:eastAsia="仿宋_GB2312" w:hint="eastAsia"/>
          <w:sz w:val="28"/>
          <w:szCs w:val="22"/>
        </w:rPr>
        <w:t>（3）评估内容无漏、无重复；</w:t>
      </w:r>
    </w:p>
    <w:p w:rsidR="0054446D" w:rsidRDefault="00FB459A">
      <w:pPr>
        <w:spacing w:line="420" w:lineRule="exact"/>
        <w:ind w:left="210" w:firstLineChars="200" w:firstLine="560"/>
        <w:outlineLvl w:val="2"/>
        <w:rPr>
          <w:rFonts w:ascii="仿宋_GB2312" w:eastAsia="仿宋_GB2312"/>
          <w:sz w:val="28"/>
          <w:szCs w:val="22"/>
        </w:rPr>
      </w:pPr>
      <w:r>
        <w:rPr>
          <w:rFonts w:ascii="仿宋_GB2312" w:eastAsia="仿宋_GB2312" w:hint="eastAsia"/>
          <w:sz w:val="28"/>
          <w:szCs w:val="22"/>
        </w:rPr>
        <w:t>（4）机构资质人员的证书与登记相符。</w:t>
      </w:r>
    </w:p>
    <w:p w:rsidR="0054446D" w:rsidRDefault="00FB459A">
      <w:pPr>
        <w:spacing w:line="420" w:lineRule="exact"/>
        <w:ind w:left="210" w:firstLineChars="200" w:firstLine="560"/>
        <w:rPr>
          <w:rFonts w:ascii="仿宋" w:eastAsia="仿宋" w:hAnsi="仿宋" w:cs="仿宋"/>
          <w:sz w:val="28"/>
        </w:rPr>
      </w:pPr>
      <w:r>
        <w:rPr>
          <w:rFonts w:ascii="仿宋_GB2312" w:eastAsia="仿宋_GB2312" w:hint="eastAsia"/>
          <w:sz w:val="28"/>
          <w:szCs w:val="22"/>
        </w:rPr>
        <w:t>4、相关当事人如对估价报告书有异议，应于接到本报告书次日起五日内向湖南省湘潭市中级人民法院以书面形式提出异议书，并提交相应依据资料及补充材料，我公司在收到委托方转交的异议书后，于五日内书面答复。如相关当事人在约定日期内未对本报告提出异议及申请复议，则视为认可本报告内容</w:t>
      </w:r>
      <w:r>
        <w:rPr>
          <w:rFonts w:ascii="仿宋" w:eastAsia="仿宋" w:hAnsi="仿宋" w:cs="仿宋" w:hint="eastAsia"/>
          <w:sz w:val="28"/>
        </w:rPr>
        <w:t>。</w:t>
      </w:r>
    </w:p>
    <w:p w:rsidR="0054446D" w:rsidRDefault="0054446D">
      <w:pPr>
        <w:pStyle w:val="ab"/>
        <w:rPr>
          <w:rFonts w:ascii="仿宋" w:eastAsia="仿宋" w:hAnsi="仿宋" w:cs="仿宋"/>
          <w:sz w:val="28"/>
          <w:szCs w:val="28"/>
        </w:rPr>
      </w:pPr>
    </w:p>
    <w:p w:rsidR="0054446D" w:rsidRDefault="0054446D" w:rsidP="00B233C2">
      <w:pPr>
        <w:spacing w:line="420" w:lineRule="atLeast"/>
        <w:ind w:firstLineChars="271" w:firstLine="759"/>
        <w:rPr>
          <w:rFonts w:ascii="仿宋" w:eastAsia="仿宋" w:hAnsi="仿宋" w:cs="仿宋"/>
          <w:sz w:val="28"/>
          <w:szCs w:val="28"/>
        </w:rPr>
      </w:pPr>
    </w:p>
    <w:p w:rsidR="0054446D" w:rsidRDefault="0054446D">
      <w:pPr>
        <w:pStyle w:val="ab"/>
        <w:rPr>
          <w:rFonts w:ascii="仿宋" w:eastAsia="仿宋" w:hAnsi="仿宋" w:cs="仿宋"/>
          <w:sz w:val="28"/>
          <w:szCs w:val="28"/>
        </w:rPr>
      </w:pPr>
    </w:p>
    <w:p w:rsidR="0054446D" w:rsidRDefault="0054446D">
      <w:pPr>
        <w:pStyle w:val="ab"/>
        <w:rPr>
          <w:rFonts w:ascii="仿宋" w:eastAsia="仿宋" w:hAnsi="仿宋" w:cs="仿宋"/>
          <w:sz w:val="28"/>
          <w:szCs w:val="28"/>
        </w:rPr>
      </w:pPr>
    </w:p>
    <w:p w:rsidR="0054446D" w:rsidRDefault="0054446D">
      <w:pPr>
        <w:pStyle w:val="ab"/>
        <w:rPr>
          <w:rFonts w:ascii="仿宋" w:eastAsia="仿宋" w:hAnsi="仿宋" w:cs="仿宋"/>
          <w:sz w:val="28"/>
          <w:szCs w:val="28"/>
        </w:rPr>
      </w:pPr>
    </w:p>
    <w:p w:rsidR="0054446D" w:rsidRDefault="0054446D">
      <w:pPr>
        <w:pStyle w:val="ab"/>
        <w:rPr>
          <w:rFonts w:ascii="仿宋" w:eastAsia="仿宋" w:hAnsi="仿宋" w:cs="仿宋"/>
          <w:sz w:val="28"/>
          <w:szCs w:val="28"/>
        </w:rPr>
      </w:pPr>
    </w:p>
    <w:p w:rsidR="0054446D" w:rsidRDefault="0054446D">
      <w:pPr>
        <w:pStyle w:val="ab"/>
        <w:rPr>
          <w:rFonts w:ascii="仿宋" w:eastAsia="仿宋" w:hAnsi="仿宋" w:cs="仿宋"/>
          <w:sz w:val="28"/>
          <w:szCs w:val="28"/>
        </w:rPr>
      </w:pPr>
    </w:p>
    <w:p w:rsidR="0054446D" w:rsidRDefault="0054446D">
      <w:pPr>
        <w:pStyle w:val="ab"/>
        <w:rPr>
          <w:rFonts w:ascii="仿宋" w:eastAsia="仿宋" w:hAnsi="仿宋" w:cs="仿宋"/>
          <w:sz w:val="28"/>
          <w:szCs w:val="28"/>
        </w:rPr>
      </w:pPr>
    </w:p>
    <w:p w:rsidR="0054446D" w:rsidRDefault="0054446D">
      <w:pPr>
        <w:pStyle w:val="ab"/>
        <w:rPr>
          <w:rFonts w:ascii="仿宋" w:eastAsia="仿宋" w:hAnsi="仿宋" w:cs="仿宋"/>
          <w:sz w:val="28"/>
          <w:szCs w:val="28"/>
        </w:rPr>
      </w:pPr>
    </w:p>
    <w:p w:rsidR="0054446D" w:rsidRDefault="0054446D">
      <w:pPr>
        <w:pStyle w:val="ab"/>
        <w:rPr>
          <w:rFonts w:ascii="仿宋" w:eastAsia="仿宋" w:hAnsi="仿宋" w:cs="仿宋"/>
          <w:sz w:val="28"/>
          <w:szCs w:val="28"/>
        </w:rPr>
      </w:pPr>
    </w:p>
    <w:p w:rsidR="0054446D" w:rsidRDefault="0054446D">
      <w:pPr>
        <w:pStyle w:val="ab"/>
        <w:rPr>
          <w:rFonts w:ascii="仿宋" w:eastAsia="仿宋" w:hAnsi="仿宋" w:cs="仿宋"/>
          <w:sz w:val="28"/>
          <w:szCs w:val="28"/>
        </w:rPr>
      </w:pPr>
    </w:p>
    <w:p w:rsidR="0054446D" w:rsidRDefault="0054446D" w:rsidP="00B233C2">
      <w:pPr>
        <w:spacing w:line="420" w:lineRule="exact"/>
        <w:ind w:firstLineChars="271" w:firstLine="759"/>
        <w:jc w:val="left"/>
        <w:rPr>
          <w:rFonts w:ascii="仿宋" w:eastAsia="仿宋" w:hAnsi="仿宋" w:cs="仿宋"/>
          <w:sz w:val="28"/>
          <w:szCs w:val="28"/>
        </w:rPr>
      </w:pPr>
    </w:p>
    <w:p w:rsidR="0054446D" w:rsidRDefault="00FB459A">
      <w:pPr>
        <w:spacing w:line="360" w:lineRule="auto"/>
        <w:jc w:val="left"/>
        <w:rPr>
          <w:rFonts w:ascii="仿宋" w:eastAsia="仿宋" w:hAnsi="仿宋" w:cs="仿宋"/>
          <w:sz w:val="28"/>
        </w:rPr>
      </w:pPr>
      <w:r>
        <w:rPr>
          <w:rFonts w:ascii="仿宋" w:eastAsia="仿宋" w:hAnsi="仿宋" w:cs="仿宋" w:hint="eastAsia"/>
          <w:b/>
          <w:sz w:val="28"/>
        </w:rPr>
        <w:t>十一、土地估价师签字</w:t>
      </w:r>
      <w:bookmarkEnd w:id="39"/>
    </w:p>
    <w:p w:rsidR="0054446D" w:rsidRDefault="0054446D">
      <w:pPr>
        <w:spacing w:line="360" w:lineRule="auto"/>
        <w:rPr>
          <w:rFonts w:ascii="仿宋" w:eastAsia="仿宋" w:hAnsi="仿宋" w:cs="仿宋"/>
          <w:sz w:val="28"/>
        </w:rPr>
      </w:pPr>
    </w:p>
    <w:tbl>
      <w:tblPr>
        <w:tblW w:w="0" w:type="auto"/>
        <w:jc w:val="center"/>
        <w:tblLayout w:type="fixed"/>
        <w:tblLook w:val="04A0"/>
      </w:tblPr>
      <w:tblGrid>
        <w:gridCol w:w="2776"/>
        <w:gridCol w:w="3114"/>
        <w:gridCol w:w="3114"/>
      </w:tblGrid>
      <w:tr w:rsidR="0054446D">
        <w:trPr>
          <w:trHeight w:val="883"/>
          <w:jc w:val="center"/>
        </w:trPr>
        <w:tc>
          <w:tcPr>
            <w:tcW w:w="2776" w:type="dxa"/>
            <w:tcBorders>
              <w:top w:val="double" w:sz="6" w:space="0" w:color="auto"/>
              <w:left w:val="double" w:sz="6" w:space="0" w:color="auto"/>
              <w:bottom w:val="single" w:sz="8" w:space="0" w:color="auto"/>
              <w:right w:val="single" w:sz="8" w:space="0" w:color="auto"/>
            </w:tcBorders>
            <w:vAlign w:val="center"/>
          </w:tcPr>
          <w:p w:rsidR="0054446D" w:rsidRDefault="00FB459A">
            <w:pPr>
              <w:widowControl/>
              <w:jc w:val="center"/>
              <w:rPr>
                <w:rFonts w:ascii="仿宋" w:eastAsia="仿宋" w:hAnsi="仿宋" w:cs="仿宋"/>
                <w:kern w:val="0"/>
                <w:sz w:val="28"/>
                <w:szCs w:val="28"/>
              </w:rPr>
            </w:pPr>
            <w:r>
              <w:rPr>
                <w:rFonts w:ascii="仿宋" w:eastAsia="仿宋" w:hAnsi="仿宋" w:cs="仿宋" w:hint="eastAsia"/>
                <w:kern w:val="0"/>
                <w:sz w:val="28"/>
                <w:szCs w:val="28"/>
              </w:rPr>
              <w:t>土地估价师姓名</w:t>
            </w:r>
          </w:p>
        </w:tc>
        <w:tc>
          <w:tcPr>
            <w:tcW w:w="3114" w:type="dxa"/>
            <w:tcBorders>
              <w:top w:val="double" w:sz="6" w:space="0" w:color="auto"/>
              <w:left w:val="nil"/>
              <w:bottom w:val="single" w:sz="8" w:space="0" w:color="auto"/>
              <w:right w:val="single" w:sz="8" w:space="0" w:color="auto"/>
            </w:tcBorders>
            <w:vAlign w:val="center"/>
          </w:tcPr>
          <w:p w:rsidR="0054446D" w:rsidRDefault="00FB459A">
            <w:pPr>
              <w:widowControl/>
              <w:jc w:val="center"/>
              <w:rPr>
                <w:rFonts w:ascii="仿宋" w:eastAsia="仿宋" w:hAnsi="仿宋" w:cs="仿宋"/>
                <w:kern w:val="0"/>
                <w:sz w:val="28"/>
                <w:szCs w:val="28"/>
              </w:rPr>
            </w:pPr>
            <w:r>
              <w:rPr>
                <w:rFonts w:ascii="仿宋" w:eastAsia="仿宋" w:hAnsi="仿宋" w:cs="仿宋" w:hint="eastAsia"/>
                <w:kern w:val="0"/>
                <w:sz w:val="28"/>
                <w:szCs w:val="28"/>
              </w:rPr>
              <w:t>土地估价师资格证书号</w:t>
            </w:r>
          </w:p>
        </w:tc>
        <w:tc>
          <w:tcPr>
            <w:tcW w:w="3114" w:type="dxa"/>
            <w:tcBorders>
              <w:top w:val="double" w:sz="6" w:space="0" w:color="auto"/>
              <w:left w:val="nil"/>
              <w:bottom w:val="single" w:sz="8" w:space="0" w:color="auto"/>
              <w:right w:val="double" w:sz="6" w:space="0" w:color="auto"/>
            </w:tcBorders>
            <w:vAlign w:val="center"/>
          </w:tcPr>
          <w:p w:rsidR="0054446D" w:rsidRDefault="00FB459A">
            <w:pPr>
              <w:widowControl/>
              <w:jc w:val="center"/>
              <w:rPr>
                <w:rFonts w:ascii="仿宋" w:eastAsia="仿宋" w:hAnsi="仿宋" w:cs="仿宋"/>
                <w:kern w:val="0"/>
                <w:sz w:val="28"/>
                <w:szCs w:val="28"/>
              </w:rPr>
            </w:pPr>
            <w:r>
              <w:rPr>
                <w:rFonts w:ascii="仿宋" w:eastAsia="仿宋" w:hAnsi="仿宋" w:cs="仿宋" w:hint="eastAsia"/>
                <w:kern w:val="0"/>
                <w:sz w:val="28"/>
                <w:szCs w:val="28"/>
              </w:rPr>
              <w:t>签字</w:t>
            </w:r>
          </w:p>
        </w:tc>
      </w:tr>
      <w:tr w:rsidR="0054446D">
        <w:trPr>
          <w:trHeight w:hRule="exact" w:val="1701"/>
          <w:jc w:val="center"/>
        </w:trPr>
        <w:tc>
          <w:tcPr>
            <w:tcW w:w="2776" w:type="dxa"/>
            <w:tcBorders>
              <w:top w:val="nil"/>
              <w:left w:val="double" w:sz="6" w:space="0" w:color="auto"/>
              <w:bottom w:val="single" w:sz="8" w:space="0" w:color="auto"/>
              <w:right w:val="single" w:sz="8" w:space="0" w:color="auto"/>
            </w:tcBorders>
            <w:vAlign w:val="center"/>
          </w:tcPr>
          <w:p w:rsidR="0054446D" w:rsidRDefault="00FB459A">
            <w:pPr>
              <w:widowControl/>
              <w:spacing w:line="360" w:lineRule="auto"/>
              <w:ind w:left="210"/>
              <w:jc w:val="center"/>
              <w:rPr>
                <w:rFonts w:ascii="仿宋" w:eastAsia="仿宋" w:hAnsi="仿宋" w:cs="仿宋"/>
                <w:kern w:val="0"/>
                <w:sz w:val="28"/>
                <w:szCs w:val="28"/>
                <w:highlight w:val="yellow"/>
              </w:rPr>
            </w:pPr>
            <w:r>
              <w:rPr>
                <w:rFonts w:ascii="仿宋" w:eastAsia="仿宋" w:hAnsi="仿宋" w:cs="仿宋" w:hint="eastAsia"/>
                <w:kern w:val="0"/>
                <w:sz w:val="28"/>
                <w:szCs w:val="28"/>
              </w:rPr>
              <w:t>李敏</w:t>
            </w:r>
          </w:p>
        </w:tc>
        <w:tc>
          <w:tcPr>
            <w:tcW w:w="3114" w:type="dxa"/>
            <w:tcBorders>
              <w:top w:val="nil"/>
              <w:left w:val="nil"/>
              <w:bottom w:val="single" w:sz="8" w:space="0" w:color="auto"/>
              <w:right w:val="single" w:sz="8" w:space="0" w:color="auto"/>
            </w:tcBorders>
            <w:vAlign w:val="center"/>
          </w:tcPr>
          <w:p w:rsidR="0054446D" w:rsidRDefault="00FB459A">
            <w:pPr>
              <w:widowControl/>
              <w:spacing w:line="360" w:lineRule="auto"/>
              <w:ind w:left="210"/>
              <w:jc w:val="center"/>
              <w:rPr>
                <w:rFonts w:ascii="仿宋" w:eastAsia="仿宋" w:hAnsi="仿宋" w:cs="仿宋"/>
                <w:kern w:val="0"/>
                <w:sz w:val="28"/>
                <w:szCs w:val="28"/>
                <w:highlight w:val="yellow"/>
              </w:rPr>
            </w:pPr>
            <w:r>
              <w:rPr>
                <w:rFonts w:ascii="仿宋" w:eastAsia="仿宋" w:hAnsi="仿宋" w:cs="仿宋" w:hint="eastAsia"/>
                <w:sz w:val="28"/>
                <w:szCs w:val="28"/>
              </w:rPr>
              <w:t>2002430016</w:t>
            </w:r>
          </w:p>
        </w:tc>
        <w:tc>
          <w:tcPr>
            <w:tcW w:w="3114" w:type="dxa"/>
            <w:tcBorders>
              <w:top w:val="nil"/>
              <w:left w:val="nil"/>
              <w:bottom w:val="single" w:sz="8" w:space="0" w:color="auto"/>
              <w:right w:val="double" w:sz="6" w:space="0" w:color="auto"/>
            </w:tcBorders>
            <w:vAlign w:val="center"/>
          </w:tcPr>
          <w:p w:rsidR="0054446D" w:rsidRDefault="00FB459A">
            <w:pPr>
              <w:widowControl/>
              <w:jc w:val="center"/>
              <w:rPr>
                <w:rFonts w:ascii="仿宋" w:eastAsia="仿宋" w:hAnsi="仿宋" w:cs="仿宋"/>
                <w:kern w:val="0"/>
                <w:sz w:val="28"/>
                <w:szCs w:val="28"/>
              </w:rPr>
            </w:pPr>
            <w:r>
              <w:rPr>
                <w:rFonts w:ascii="仿宋" w:eastAsia="仿宋" w:hAnsi="仿宋" w:cs="仿宋" w:hint="eastAsia"/>
                <w:kern w:val="0"/>
                <w:sz w:val="28"/>
                <w:szCs w:val="28"/>
              </w:rPr>
              <w:t xml:space="preserve">　</w:t>
            </w:r>
          </w:p>
        </w:tc>
      </w:tr>
      <w:tr w:rsidR="0054446D">
        <w:trPr>
          <w:trHeight w:hRule="exact" w:val="1701"/>
          <w:jc w:val="center"/>
        </w:trPr>
        <w:tc>
          <w:tcPr>
            <w:tcW w:w="2776" w:type="dxa"/>
            <w:tcBorders>
              <w:top w:val="nil"/>
              <w:left w:val="double" w:sz="6" w:space="0" w:color="auto"/>
              <w:bottom w:val="double" w:sz="6" w:space="0" w:color="auto"/>
              <w:right w:val="single" w:sz="8" w:space="0" w:color="auto"/>
            </w:tcBorders>
            <w:vAlign w:val="center"/>
          </w:tcPr>
          <w:p w:rsidR="0054446D" w:rsidRDefault="00FB459A">
            <w:pPr>
              <w:widowControl/>
              <w:spacing w:line="360" w:lineRule="auto"/>
              <w:ind w:left="210"/>
              <w:jc w:val="center"/>
              <w:rPr>
                <w:rFonts w:ascii="仿宋" w:eastAsia="仿宋" w:hAnsi="仿宋" w:cs="仿宋"/>
                <w:kern w:val="0"/>
                <w:sz w:val="28"/>
                <w:szCs w:val="28"/>
              </w:rPr>
            </w:pPr>
            <w:r>
              <w:rPr>
                <w:rFonts w:ascii="仿宋" w:eastAsia="仿宋" w:hAnsi="仿宋" w:hint="eastAsia"/>
                <w:sz w:val="28"/>
                <w:szCs w:val="28"/>
              </w:rPr>
              <w:t>屈志强</w:t>
            </w:r>
          </w:p>
        </w:tc>
        <w:tc>
          <w:tcPr>
            <w:tcW w:w="3114" w:type="dxa"/>
            <w:tcBorders>
              <w:top w:val="nil"/>
              <w:left w:val="nil"/>
              <w:bottom w:val="double" w:sz="6" w:space="0" w:color="auto"/>
              <w:right w:val="single" w:sz="8" w:space="0" w:color="auto"/>
            </w:tcBorders>
            <w:vAlign w:val="center"/>
          </w:tcPr>
          <w:p w:rsidR="0054446D" w:rsidRDefault="00FB459A">
            <w:pPr>
              <w:widowControl/>
              <w:spacing w:line="360" w:lineRule="auto"/>
              <w:ind w:left="210"/>
              <w:jc w:val="center"/>
              <w:rPr>
                <w:rFonts w:ascii="仿宋" w:eastAsia="仿宋" w:hAnsi="仿宋" w:cs="仿宋"/>
                <w:kern w:val="0"/>
                <w:sz w:val="28"/>
                <w:szCs w:val="28"/>
              </w:rPr>
            </w:pPr>
            <w:r>
              <w:rPr>
                <w:rFonts w:ascii="仿宋" w:eastAsia="仿宋" w:hAnsi="仿宋" w:cs="仿宋" w:hint="eastAsia"/>
                <w:sz w:val="28"/>
                <w:szCs w:val="28"/>
              </w:rPr>
              <w:t>2007430021</w:t>
            </w:r>
          </w:p>
        </w:tc>
        <w:tc>
          <w:tcPr>
            <w:tcW w:w="3114" w:type="dxa"/>
            <w:tcBorders>
              <w:top w:val="nil"/>
              <w:left w:val="nil"/>
              <w:bottom w:val="double" w:sz="6" w:space="0" w:color="auto"/>
              <w:right w:val="double" w:sz="6" w:space="0" w:color="auto"/>
            </w:tcBorders>
            <w:vAlign w:val="center"/>
          </w:tcPr>
          <w:p w:rsidR="0054446D" w:rsidRDefault="00FB459A">
            <w:pPr>
              <w:widowControl/>
              <w:jc w:val="center"/>
              <w:rPr>
                <w:rFonts w:ascii="仿宋" w:eastAsia="仿宋" w:hAnsi="仿宋" w:cs="仿宋"/>
                <w:kern w:val="0"/>
                <w:sz w:val="28"/>
                <w:szCs w:val="28"/>
              </w:rPr>
            </w:pPr>
            <w:r>
              <w:rPr>
                <w:rFonts w:ascii="仿宋" w:eastAsia="仿宋" w:hAnsi="仿宋" w:cs="仿宋" w:hint="eastAsia"/>
                <w:kern w:val="0"/>
                <w:sz w:val="28"/>
                <w:szCs w:val="28"/>
              </w:rPr>
              <w:t xml:space="preserve">　</w:t>
            </w:r>
          </w:p>
        </w:tc>
      </w:tr>
    </w:tbl>
    <w:p w:rsidR="0054446D" w:rsidRDefault="00FB459A">
      <w:pPr>
        <w:spacing w:before="120" w:after="120" w:line="360" w:lineRule="auto"/>
        <w:outlineLvl w:val="1"/>
        <w:rPr>
          <w:rFonts w:ascii="仿宋" w:eastAsia="仿宋" w:hAnsi="仿宋" w:cs="仿宋"/>
          <w:b/>
          <w:sz w:val="28"/>
        </w:rPr>
      </w:pPr>
      <w:bookmarkStart w:id="42" w:name="_Toc6354"/>
      <w:bookmarkStart w:id="43" w:name="_Toc225494989"/>
      <w:bookmarkStart w:id="44" w:name="_Toc23951"/>
      <w:r>
        <w:rPr>
          <w:rFonts w:ascii="仿宋" w:eastAsia="仿宋" w:hAnsi="仿宋" w:cs="仿宋" w:hint="eastAsia"/>
          <w:b/>
          <w:sz w:val="28"/>
        </w:rPr>
        <w:t>十二</w:t>
      </w:r>
      <w:r>
        <w:rPr>
          <w:rFonts w:ascii="仿宋" w:eastAsia="仿宋" w:hAnsi="仿宋" w:cs="仿宋" w:hint="eastAsia"/>
          <w:b/>
          <w:sz w:val="30"/>
        </w:rPr>
        <w:t>、</w:t>
      </w:r>
      <w:r>
        <w:rPr>
          <w:rFonts w:ascii="仿宋" w:eastAsia="仿宋" w:hAnsi="仿宋" w:cs="仿宋" w:hint="eastAsia"/>
          <w:b/>
          <w:sz w:val="28"/>
        </w:rPr>
        <w:t>土地估价机构</w:t>
      </w:r>
      <w:bookmarkEnd w:id="42"/>
      <w:bookmarkEnd w:id="43"/>
      <w:bookmarkEnd w:id="44"/>
    </w:p>
    <w:p w:rsidR="0054446D" w:rsidRDefault="0054446D">
      <w:pPr>
        <w:spacing w:before="120" w:after="120" w:line="360" w:lineRule="auto"/>
        <w:outlineLvl w:val="1"/>
        <w:rPr>
          <w:rFonts w:ascii="仿宋" w:eastAsia="仿宋" w:hAnsi="仿宋" w:cs="仿宋"/>
          <w:b/>
          <w:sz w:val="28"/>
        </w:rPr>
      </w:pPr>
      <w:bookmarkStart w:id="45" w:name="_Toc10069"/>
      <w:bookmarkStart w:id="46" w:name="_Toc225494990"/>
      <w:bookmarkStart w:id="47" w:name="_Toc19108"/>
    </w:p>
    <w:p w:rsidR="0054446D" w:rsidRDefault="00FB459A" w:rsidP="00B233C2">
      <w:pPr>
        <w:pStyle w:val="11"/>
        <w:spacing w:line="400" w:lineRule="exact"/>
        <w:ind w:firstLineChars="131" w:firstLine="367"/>
        <w:rPr>
          <w:rFonts w:ascii="仿宋" w:eastAsia="仿宋" w:hAnsi="仿宋" w:cs="仿宋"/>
          <w:sz w:val="28"/>
          <w:szCs w:val="28"/>
        </w:rPr>
      </w:pPr>
      <w:r>
        <w:rPr>
          <w:rFonts w:ascii="仿宋" w:eastAsia="仿宋" w:hAnsi="仿宋" w:cs="仿宋" w:hint="eastAsia"/>
          <w:sz w:val="28"/>
          <w:szCs w:val="28"/>
        </w:rPr>
        <w:t>估价机构法定代表人签字：</w:t>
      </w:r>
    </w:p>
    <w:p w:rsidR="0054446D" w:rsidRDefault="0054446D" w:rsidP="00B233C2">
      <w:pPr>
        <w:pStyle w:val="11"/>
        <w:spacing w:line="400" w:lineRule="exact"/>
        <w:ind w:firstLineChars="131" w:firstLine="367"/>
        <w:rPr>
          <w:rFonts w:ascii="仿宋" w:eastAsia="仿宋" w:hAnsi="仿宋" w:cs="仿宋"/>
          <w:sz w:val="28"/>
          <w:szCs w:val="28"/>
        </w:rPr>
      </w:pPr>
    </w:p>
    <w:p w:rsidR="0054446D" w:rsidRDefault="0054446D" w:rsidP="00B233C2">
      <w:pPr>
        <w:pStyle w:val="11"/>
        <w:spacing w:line="400" w:lineRule="exact"/>
        <w:ind w:firstLineChars="131" w:firstLine="367"/>
        <w:rPr>
          <w:rFonts w:ascii="仿宋" w:eastAsia="仿宋" w:hAnsi="仿宋" w:cs="仿宋"/>
          <w:sz w:val="28"/>
          <w:szCs w:val="28"/>
        </w:rPr>
      </w:pPr>
    </w:p>
    <w:p w:rsidR="0054446D" w:rsidRDefault="0054446D" w:rsidP="00B233C2">
      <w:pPr>
        <w:pStyle w:val="11"/>
        <w:spacing w:line="400" w:lineRule="exact"/>
        <w:ind w:firstLineChars="131" w:firstLine="367"/>
        <w:rPr>
          <w:rFonts w:ascii="仿宋" w:eastAsia="仿宋" w:hAnsi="仿宋" w:cs="仿宋"/>
          <w:sz w:val="28"/>
          <w:szCs w:val="28"/>
        </w:rPr>
      </w:pPr>
    </w:p>
    <w:p w:rsidR="0054446D" w:rsidRDefault="00FB459A">
      <w:pPr>
        <w:pStyle w:val="11"/>
        <w:spacing w:line="400" w:lineRule="exact"/>
        <w:ind w:firstLineChars="2000" w:firstLine="5600"/>
        <w:jc w:val="left"/>
        <w:rPr>
          <w:rFonts w:ascii="仿宋" w:eastAsia="仿宋" w:hAnsi="仿宋" w:cs="仿宋"/>
          <w:sz w:val="28"/>
          <w:szCs w:val="28"/>
        </w:rPr>
      </w:pPr>
      <w:r>
        <w:rPr>
          <w:rFonts w:ascii="仿宋" w:eastAsia="仿宋" w:hAnsi="仿宋" w:cs="仿宋" w:hint="eastAsia"/>
          <w:sz w:val="28"/>
          <w:szCs w:val="28"/>
        </w:rPr>
        <w:t>（机构公章）</w:t>
      </w:r>
    </w:p>
    <w:p w:rsidR="0054446D" w:rsidRDefault="00FB459A" w:rsidP="00B233C2">
      <w:pPr>
        <w:pStyle w:val="11"/>
        <w:spacing w:line="400" w:lineRule="exact"/>
        <w:ind w:firstLineChars="1627" w:firstLine="4556"/>
        <w:rPr>
          <w:rFonts w:ascii="仿宋" w:eastAsia="仿宋" w:hAnsi="仿宋" w:cs="仿宋"/>
          <w:sz w:val="28"/>
          <w:szCs w:val="28"/>
        </w:rPr>
      </w:pPr>
      <w:r>
        <w:rPr>
          <w:rFonts w:ascii="仿宋" w:eastAsia="仿宋" w:hAnsi="仿宋" w:cs="仿宋" w:hint="eastAsia"/>
          <w:sz w:val="28"/>
          <w:szCs w:val="28"/>
        </w:rPr>
        <w:t>湖南鹏程资产房地产评估有限公司</w:t>
      </w:r>
    </w:p>
    <w:p w:rsidR="0054446D" w:rsidRDefault="0054446D">
      <w:pPr>
        <w:pStyle w:val="11"/>
        <w:spacing w:line="400" w:lineRule="exact"/>
        <w:ind w:firstLineChars="1627" w:firstLine="4573"/>
        <w:rPr>
          <w:rFonts w:ascii="仿宋" w:eastAsia="仿宋" w:hAnsi="仿宋" w:cs="仿宋"/>
          <w:b/>
          <w:bCs/>
          <w:sz w:val="28"/>
          <w:szCs w:val="28"/>
        </w:rPr>
      </w:pPr>
    </w:p>
    <w:p w:rsidR="0054446D" w:rsidRDefault="00FB459A">
      <w:pPr>
        <w:tabs>
          <w:tab w:val="left" w:pos="7770"/>
        </w:tabs>
        <w:spacing w:line="360" w:lineRule="auto"/>
        <w:ind w:right="389"/>
        <w:jc w:val="center"/>
        <w:rPr>
          <w:rFonts w:ascii="仿宋" w:eastAsia="仿宋" w:hAnsi="仿宋" w:cs="仿宋"/>
          <w:sz w:val="28"/>
        </w:rPr>
      </w:pPr>
      <w:r>
        <w:rPr>
          <w:rFonts w:ascii="仿宋" w:eastAsia="仿宋" w:hAnsi="仿宋" w:cs="仿宋" w:hint="eastAsia"/>
          <w:sz w:val="28"/>
        </w:rPr>
        <w:t xml:space="preserve">                                      二〇二二年六月一日</w:t>
      </w:r>
    </w:p>
    <w:p w:rsidR="0054446D" w:rsidRDefault="0054446D">
      <w:pPr>
        <w:spacing w:line="360" w:lineRule="auto"/>
        <w:jc w:val="right"/>
        <w:rPr>
          <w:rFonts w:ascii="仿宋" w:eastAsia="仿宋" w:hAnsi="仿宋" w:cs="仿宋"/>
          <w:b/>
          <w:sz w:val="32"/>
          <w:szCs w:val="32"/>
        </w:rPr>
        <w:sectPr w:rsidR="0054446D">
          <w:pgSz w:w="11907" w:h="16840"/>
          <w:pgMar w:top="1701" w:right="1417" w:bottom="1587" w:left="1701" w:header="680" w:footer="737" w:gutter="0"/>
          <w:pgNumType w:fmt="numberInDash"/>
          <w:cols w:space="0"/>
          <w:docGrid w:linePitch="285"/>
        </w:sectPr>
      </w:pPr>
    </w:p>
    <w:p w:rsidR="0054446D" w:rsidRDefault="00FB459A">
      <w:pPr>
        <w:spacing w:line="360" w:lineRule="auto"/>
        <w:jc w:val="center"/>
        <w:outlineLvl w:val="0"/>
        <w:rPr>
          <w:rFonts w:ascii="仿宋" w:eastAsia="仿宋" w:hAnsi="仿宋" w:cs="仿宋"/>
          <w:b/>
          <w:sz w:val="32"/>
          <w:szCs w:val="32"/>
        </w:rPr>
      </w:pPr>
      <w:r>
        <w:rPr>
          <w:rFonts w:ascii="仿宋" w:eastAsia="仿宋" w:hAnsi="仿宋" w:cs="仿宋" w:hint="eastAsia"/>
          <w:b/>
          <w:sz w:val="32"/>
          <w:szCs w:val="32"/>
        </w:rPr>
        <w:t>第二部分估价对象描述及地价影响因素分析</w:t>
      </w:r>
      <w:bookmarkEnd w:id="45"/>
      <w:bookmarkEnd w:id="46"/>
      <w:bookmarkEnd w:id="47"/>
    </w:p>
    <w:p w:rsidR="0054446D" w:rsidRDefault="00FB459A" w:rsidP="00F513B3">
      <w:pPr>
        <w:spacing w:beforeLines="100" w:afterLines="100" w:line="420" w:lineRule="exact"/>
        <w:outlineLvl w:val="1"/>
        <w:rPr>
          <w:rFonts w:ascii="仿宋" w:eastAsia="仿宋" w:hAnsi="仿宋" w:cs="仿宋"/>
          <w:b/>
          <w:bCs/>
          <w:sz w:val="28"/>
        </w:rPr>
      </w:pPr>
      <w:bookmarkStart w:id="48" w:name="_Toc225494991"/>
      <w:bookmarkStart w:id="49" w:name="_Toc9675"/>
      <w:bookmarkStart w:id="50" w:name="_Toc28890"/>
      <w:r>
        <w:rPr>
          <w:rFonts w:ascii="仿宋" w:eastAsia="仿宋" w:hAnsi="仿宋" w:cs="仿宋" w:hint="eastAsia"/>
          <w:b/>
          <w:bCs/>
          <w:sz w:val="28"/>
        </w:rPr>
        <w:t>一、估价对象</w:t>
      </w:r>
      <w:bookmarkEnd w:id="48"/>
      <w:bookmarkEnd w:id="49"/>
      <w:bookmarkEnd w:id="50"/>
      <w:r>
        <w:rPr>
          <w:rFonts w:ascii="仿宋" w:eastAsia="仿宋" w:hAnsi="仿宋" w:cs="仿宋" w:hint="eastAsia"/>
          <w:b/>
          <w:bCs/>
          <w:sz w:val="28"/>
        </w:rPr>
        <w:t>概况</w:t>
      </w:r>
    </w:p>
    <w:p w:rsidR="0054446D" w:rsidRDefault="00FB459A" w:rsidP="00B233C2">
      <w:pPr>
        <w:spacing w:line="420" w:lineRule="exact"/>
        <w:ind w:firstLineChars="202" w:firstLine="566"/>
        <w:outlineLvl w:val="2"/>
        <w:rPr>
          <w:rFonts w:ascii="仿宋_GB2312" w:eastAsia="仿宋_GB2312" w:hAnsi="宋体"/>
          <w:sz w:val="28"/>
        </w:rPr>
      </w:pPr>
      <w:bookmarkStart w:id="51" w:name="_Toc155775234"/>
      <w:bookmarkStart w:id="52" w:name="_Toc22189"/>
      <w:bookmarkStart w:id="53" w:name="_Toc426"/>
      <w:bookmarkStart w:id="54" w:name="_Toc12007"/>
      <w:bookmarkStart w:id="55" w:name="_Toc5462"/>
      <w:bookmarkStart w:id="56" w:name="_Toc225494993"/>
      <w:r>
        <w:rPr>
          <w:rFonts w:ascii="仿宋_GB2312" w:eastAsia="仿宋_GB2312" w:hint="eastAsia"/>
          <w:sz w:val="28"/>
        </w:rPr>
        <w:t>（一）土地登记状况</w:t>
      </w:r>
    </w:p>
    <w:p w:rsidR="0054446D" w:rsidRDefault="00FB459A">
      <w:pPr>
        <w:spacing w:line="420" w:lineRule="exact"/>
        <w:ind w:firstLineChars="200" w:firstLine="560"/>
        <w:rPr>
          <w:rFonts w:ascii="仿宋_GB2312" w:eastAsia="仿宋_GB2312"/>
          <w:bCs/>
          <w:color w:val="0070C0"/>
          <w:sz w:val="28"/>
        </w:rPr>
      </w:pPr>
      <w:r>
        <w:rPr>
          <w:rFonts w:ascii="仿宋_GB2312" w:eastAsia="仿宋_GB2312" w:hint="eastAsia"/>
          <w:sz w:val="28"/>
        </w:rPr>
        <w:t>1、土地使用权来源：江西骏丰置业有限公司于2011年09月08日与新余市国土资源局签订《国有土地使使用权出让合同》</w:t>
      </w:r>
      <w:r>
        <w:rPr>
          <w:rFonts w:ascii="仿宋_GB2312" w:eastAsia="仿宋_GB2312" w:hAnsi="宋体" w:hint="eastAsia"/>
          <w:sz w:val="28"/>
        </w:rPr>
        <w:t>电子监管号：3605002011B01585</w:t>
      </w:r>
      <w:r>
        <w:rPr>
          <w:rFonts w:ascii="仿宋_GB2312" w:eastAsia="仿宋_GB2312" w:hint="eastAsia"/>
          <w:sz w:val="28"/>
        </w:rPr>
        <w:t>，以1840万元价款取得面积为59897.52</w:t>
      </w:r>
      <w:r>
        <w:rPr>
          <w:rFonts w:ascii="宋体" w:hAnsi="宋体" w:cs="宋体" w:hint="eastAsia"/>
          <w:sz w:val="28"/>
        </w:rPr>
        <w:t>㎡</w:t>
      </w:r>
      <w:r>
        <w:rPr>
          <w:rFonts w:ascii="仿宋_GB2312" w:eastAsia="仿宋_GB2312" w:hAnsi="仿宋_GB2312" w:cs="仿宋_GB2312" w:hint="eastAsia"/>
          <w:sz w:val="28"/>
        </w:rPr>
        <w:t>的土地使用权</w:t>
      </w:r>
      <w:r>
        <w:rPr>
          <w:rFonts w:ascii="仿宋_GB2312" w:eastAsia="仿宋_GB2312" w:hint="eastAsia"/>
          <w:sz w:val="28"/>
        </w:rPr>
        <w:t>。本次估价面积以</w:t>
      </w:r>
      <w:r>
        <w:rPr>
          <w:rFonts w:ascii="仿宋_GB2312" w:eastAsia="仿宋_GB2312" w:hAnsi="宋体" w:hint="eastAsia"/>
          <w:sz w:val="28"/>
        </w:rPr>
        <w:t>《不动产产权情况表》[业务号：HT201207170041]、《土地登记审批表》[编号：（2012）00751]、《国有建设用地使用权出让合同》[电子监管号：3605002011B01585]上记载的</w:t>
      </w:r>
      <w:r>
        <w:rPr>
          <w:rFonts w:ascii="仿宋_GB2312" w:eastAsia="仿宋_GB2312" w:hint="eastAsia"/>
          <w:sz w:val="28"/>
        </w:rPr>
        <w:t>59897.52</w:t>
      </w:r>
      <w:r>
        <w:rPr>
          <w:rFonts w:ascii="仿宋_GB2312" w:eastAsia="仿宋_GB2312" w:hint="eastAsia"/>
          <w:sz w:val="28"/>
          <w:szCs w:val="22"/>
        </w:rPr>
        <w:t>平方米为准。</w:t>
      </w:r>
    </w:p>
    <w:p w:rsidR="0054446D" w:rsidRDefault="00FB459A">
      <w:pPr>
        <w:spacing w:line="420" w:lineRule="exact"/>
        <w:ind w:firstLineChars="200" w:firstLine="560"/>
        <w:rPr>
          <w:rFonts w:ascii="仿宋_GB2312" w:eastAsia="仿宋_GB2312" w:hAnsi="宋体"/>
          <w:sz w:val="28"/>
        </w:rPr>
      </w:pPr>
      <w:r>
        <w:rPr>
          <w:rFonts w:ascii="仿宋_GB2312" w:eastAsia="仿宋_GB2312" w:hAnsi="宋体" w:hint="eastAsia"/>
          <w:sz w:val="28"/>
        </w:rPr>
        <w:t>2、土地登记证书号：余国用（2012）第00751号；</w:t>
      </w:r>
    </w:p>
    <w:p w:rsidR="0054446D" w:rsidRDefault="00FB459A">
      <w:pPr>
        <w:spacing w:line="420" w:lineRule="exact"/>
        <w:ind w:firstLineChars="200" w:firstLine="560"/>
        <w:rPr>
          <w:rFonts w:ascii="仿宋_GB2312" w:eastAsia="仿宋_GB2312" w:hAnsi="宋体"/>
          <w:sz w:val="28"/>
        </w:rPr>
      </w:pPr>
      <w:r>
        <w:rPr>
          <w:rFonts w:ascii="仿宋_GB2312" w:eastAsia="仿宋_GB2312" w:hAnsi="宋体" w:hint="eastAsia"/>
          <w:sz w:val="28"/>
        </w:rPr>
        <w:t>3、登记时间：2012年07月19日；</w:t>
      </w:r>
    </w:p>
    <w:p w:rsidR="0054446D" w:rsidRDefault="00FB459A">
      <w:pPr>
        <w:spacing w:line="420" w:lineRule="exact"/>
        <w:ind w:firstLineChars="200" w:firstLine="560"/>
        <w:rPr>
          <w:rFonts w:ascii="仿宋_GB2312" w:eastAsia="仿宋_GB2312"/>
          <w:sz w:val="28"/>
          <w:szCs w:val="22"/>
        </w:rPr>
      </w:pPr>
      <w:r>
        <w:rPr>
          <w:rFonts w:ascii="仿宋_GB2312" w:eastAsia="仿宋_GB2312" w:hint="eastAsia"/>
          <w:sz w:val="28"/>
          <w:szCs w:val="22"/>
        </w:rPr>
        <w:t>4、土地使用权人：</w:t>
      </w:r>
      <w:r>
        <w:rPr>
          <w:rFonts w:ascii="仿宋_GB2312" w:eastAsia="仿宋_GB2312" w:hint="eastAsia"/>
          <w:sz w:val="28"/>
        </w:rPr>
        <w:t>江西骏丰置业有限公司</w:t>
      </w:r>
      <w:r>
        <w:rPr>
          <w:rFonts w:ascii="仿宋_GB2312" w:eastAsia="仿宋_GB2312" w:hint="eastAsia"/>
          <w:sz w:val="28"/>
          <w:szCs w:val="22"/>
        </w:rPr>
        <w:t>；</w:t>
      </w:r>
    </w:p>
    <w:p w:rsidR="0054446D" w:rsidRDefault="00FB459A">
      <w:pPr>
        <w:spacing w:line="420" w:lineRule="exact"/>
        <w:ind w:firstLineChars="200" w:firstLine="560"/>
        <w:rPr>
          <w:rFonts w:ascii="仿宋_GB2312" w:eastAsia="仿宋_GB2312"/>
          <w:sz w:val="28"/>
          <w:szCs w:val="22"/>
        </w:rPr>
      </w:pPr>
      <w:r>
        <w:rPr>
          <w:rFonts w:ascii="仿宋_GB2312" w:eastAsia="仿宋_GB2312" w:hint="eastAsia"/>
          <w:sz w:val="28"/>
          <w:szCs w:val="22"/>
        </w:rPr>
        <w:t>5、土地位置：位于</w:t>
      </w:r>
      <w:r>
        <w:rPr>
          <w:rFonts w:ascii="仿宋_GB2312" w:eastAsia="仿宋_GB2312" w:hint="eastAsia"/>
          <w:bCs/>
          <w:sz w:val="28"/>
        </w:rPr>
        <w:t>仰天大道以北</w:t>
      </w:r>
      <w:r>
        <w:rPr>
          <w:rFonts w:ascii="仿宋_GB2312" w:eastAsia="仿宋_GB2312" w:hint="eastAsia"/>
          <w:sz w:val="28"/>
          <w:szCs w:val="22"/>
        </w:rPr>
        <w:t>；</w:t>
      </w:r>
    </w:p>
    <w:p w:rsidR="0054446D" w:rsidRDefault="00FB459A">
      <w:pPr>
        <w:spacing w:line="420" w:lineRule="exact"/>
        <w:ind w:firstLineChars="200" w:firstLine="560"/>
        <w:rPr>
          <w:rFonts w:ascii="仿宋_GB2312" w:eastAsia="仿宋_GB2312"/>
          <w:sz w:val="28"/>
          <w:szCs w:val="22"/>
        </w:rPr>
      </w:pPr>
      <w:r>
        <w:rPr>
          <w:rFonts w:ascii="仿宋_GB2312" w:eastAsia="仿宋_GB2312" w:hint="eastAsia"/>
          <w:sz w:val="28"/>
          <w:szCs w:val="22"/>
        </w:rPr>
        <w:t>6、宗地号：/</w:t>
      </w:r>
    </w:p>
    <w:p w:rsidR="0054446D" w:rsidRDefault="00FB459A">
      <w:pPr>
        <w:spacing w:line="420" w:lineRule="exact"/>
        <w:ind w:firstLineChars="200" w:firstLine="560"/>
        <w:rPr>
          <w:rFonts w:ascii="仿宋_GB2312" w:eastAsia="仿宋_GB2312"/>
          <w:sz w:val="28"/>
          <w:szCs w:val="22"/>
        </w:rPr>
      </w:pPr>
      <w:r>
        <w:rPr>
          <w:rFonts w:ascii="仿宋_GB2312" w:eastAsia="仿宋_GB2312" w:hint="eastAsia"/>
          <w:sz w:val="28"/>
          <w:szCs w:val="22"/>
        </w:rPr>
        <w:t>7、地籍图号：/</w:t>
      </w:r>
    </w:p>
    <w:p w:rsidR="0054446D" w:rsidRDefault="00FB459A">
      <w:pPr>
        <w:spacing w:line="420" w:lineRule="exact"/>
        <w:ind w:firstLineChars="200" w:firstLine="560"/>
        <w:rPr>
          <w:rFonts w:ascii="仿宋_GB2312" w:eastAsia="仿宋_GB2312"/>
          <w:sz w:val="28"/>
          <w:szCs w:val="22"/>
        </w:rPr>
      </w:pPr>
      <w:r>
        <w:rPr>
          <w:rFonts w:ascii="仿宋_GB2312" w:eastAsia="仿宋_GB2312" w:hint="eastAsia"/>
          <w:sz w:val="28"/>
          <w:szCs w:val="22"/>
        </w:rPr>
        <w:t>8、土地使用权类型：为出让的国用建设用地使用权；</w:t>
      </w:r>
    </w:p>
    <w:p w:rsidR="0054446D" w:rsidRDefault="00FB459A">
      <w:pPr>
        <w:spacing w:line="420" w:lineRule="exact"/>
        <w:ind w:firstLineChars="200" w:firstLine="560"/>
        <w:rPr>
          <w:rFonts w:ascii="仿宋_GB2312" w:eastAsia="仿宋_GB2312"/>
          <w:sz w:val="28"/>
          <w:szCs w:val="22"/>
        </w:rPr>
      </w:pPr>
      <w:r>
        <w:rPr>
          <w:rFonts w:ascii="仿宋_GB2312" w:eastAsia="仿宋_GB2312" w:hint="eastAsia"/>
          <w:sz w:val="28"/>
          <w:szCs w:val="22"/>
        </w:rPr>
        <w:t>9、土地用途：住宅用地；</w:t>
      </w:r>
    </w:p>
    <w:p w:rsidR="0054446D" w:rsidRDefault="00FB459A">
      <w:pPr>
        <w:spacing w:line="420" w:lineRule="exact"/>
        <w:ind w:firstLineChars="200" w:firstLine="560"/>
        <w:rPr>
          <w:rFonts w:ascii="仿宋_GB2312" w:eastAsia="仿宋_GB2312"/>
          <w:sz w:val="28"/>
          <w:szCs w:val="22"/>
        </w:rPr>
      </w:pPr>
      <w:r>
        <w:rPr>
          <w:rFonts w:ascii="仿宋_GB2312" w:eastAsia="仿宋_GB2312" w:hint="eastAsia"/>
          <w:sz w:val="28"/>
          <w:szCs w:val="22"/>
        </w:rPr>
        <w:t>10、土地使用权面积：</w:t>
      </w:r>
      <w:r>
        <w:rPr>
          <w:rFonts w:ascii="仿宋_GB2312" w:eastAsia="仿宋_GB2312" w:hint="eastAsia"/>
          <w:sz w:val="28"/>
        </w:rPr>
        <w:t>59897.52</w:t>
      </w:r>
      <w:r>
        <w:rPr>
          <w:rFonts w:ascii="仿宋_GB2312" w:eastAsia="仿宋_GB2312" w:hint="eastAsia"/>
          <w:sz w:val="28"/>
          <w:szCs w:val="22"/>
        </w:rPr>
        <w:t>平方米。</w:t>
      </w:r>
    </w:p>
    <w:p w:rsidR="0054446D" w:rsidRDefault="00FB459A">
      <w:pPr>
        <w:spacing w:line="420" w:lineRule="exact"/>
        <w:ind w:firstLineChars="200" w:firstLine="560"/>
        <w:rPr>
          <w:rFonts w:ascii="仿宋_GB2312" w:eastAsia="仿宋_GB2312"/>
          <w:sz w:val="28"/>
          <w:szCs w:val="22"/>
        </w:rPr>
      </w:pPr>
      <w:r>
        <w:rPr>
          <w:rFonts w:ascii="仿宋_GB2312" w:eastAsia="仿宋_GB2312" w:hint="eastAsia"/>
          <w:sz w:val="28"/>
          <w:szCs w:val="22"/>
        </w:rPr>
        <w:t>11、土地使用权终止日期：土地用途为住宅用地，</w:t>
      </w:r>
      <w:r>
        <w:rPr>
          <w:rFonts w:ascii="仿宋_GB2312" w:eastAsia="仿宋_GB2312" w:hint="eastAsia"/>
          <w:sz w:val="28"/>
        </w:rPr>
        <w:t>终止日期为2080年02月17日</w:t>
      </w:r>
      <w:r>
        <w:rPr>
          <w:rFonts w:ascii="仿宋_GB2312" w:eastAsia="仿宋_GB2312" w:hint="eastAsia"/>
          <w:sz w:val="28"/>
          <w:szCs w:val="22"/>
        </w:rPr>
        <w:t>；</w:t>
      </w:r>
    </w:p>
    <w:p w:rsidR="0054446D" w:rsidRDefault="00FB459A">
      <w:pPr>
        <w:spacing w:line="420" w:lineRule="exact"/>
        <w:ind w:firstLineChars="200" w:firstLine="560"/>
        <w:rPr>
          <w:rFonts w:ascii="仿宋_GB2312" w:eastAsia="仿宋_GB2312"/>
          <w:sz w:val="28"/>
          <w:szCs w:val="22"/>
        </w:rPr>
      </w:pPr>
      <w:r>
        <w:rPr>
          <w:rFonts w:ascii="仿宋_GB2312" w:eastAsia="仿宋_GB2312" w:hint="eastAsia"/>
          <w:sz w:val="28"/>
          <w:szCs w:val="22"/>
        </w:rPr>
        <w:t>12、四至：东至规划路；南至支路及北京师范大学新余附属学校；西</w:t>
      </w:r>
      <w:proofErr w:type="gramStart"/>
      <w:r>
        <w:rPr>
          <w:rFonts w:ascii="仿宋_GB2312" w:eastAsia="仿宋_GB2312" w:hint="eastAsia"/>
          <w:sz w:val="28"/>
          <w:szCs w:val="22"/>
        </w:rPr>
        <w:t>至规划</w:t>
      </w:r>
      <w:proofErr w:type="gramEnd"/>
      <w:r>
        <w:rPr>
          <w:rFonts w:ascii="仿宋_GB2312" w:eastAsia="仿宋_GB2312" w:hint="eastAsia"/>
          <w:sz w:val="28"/>
          <w:szCs w:val="22"/>
        </w:rPr>
        <w:t>路；北至规划路。</w:t>
      </w:r>
    </w:p>
    <w:p w:rsidR="0054446D" w:rsidRDefault="00FB459A">
      <w:pPr>
        <w:spacing w:line="420" w:lineRule="exact"/>
        <w:ind w:firstLineChars="200" w:firstLine="560"/>
        <w:outlineLvl w:val="2"/>
        <w:rPr>
          <w:rFonts w:ascii="仿宋_GB2312" w:eastAsia="仿宋_GB2312"/>
          <w:sz w:val="28"/>
        </w:rPr>
      </w:pPr>
      <w:r>
        <w:rPr>
          <w:rFonts w:ascii="仿宋_GB2312" w:eastAsia="仿宋_GB2312" w:hint="eastAsia"/>
          <w:sz w:val="28"/>
          <w:szCs w:val="22"/>
        </w:rPr>
        <w:t>13、土地级别：</w:t>
      </w:r>
      <w:r>
        <w:rPr>
          <w:rFonts w:ascii="仿宋_GB2312" w:eastAsia="仿宋_GB2312" w:hint="eastAsia"/>
          <w:sz w:val="28"/>
        </w:rPr>
        <w:t>根据新余市人民政府发布的《新余市人民政府关于更新城区土地定级与基准地价的通知》（</w:t>
      </w:r>
      <w:proofErr w:type="gramStart"/>
      <w:r>
        <w:rPr>
          <w:rFonts w:ascii="仿宋_GB2312" w:eastAsia="仿宋_GB2312"/>
          <w:sz w:val="28"/>
        </w:rPr>
        <w:t>余府字</w:t>
      </w:r>
      <w:proofErr w:type="gramEnd"/>
      <w:r>
        <w:rPr>
          <w:rFonts w:ascii="仿宋_GB2312" w:eastAsia="仿宋_GB2312"/>
          <w:sz w:val="28"/>
        </w:rPr>
        <w:t>〔2020〕</w:t>
      </w:r>
      <w:r>
        <w:rPr>
          <w:rFonts w:ascii="仿宋_GB2312" w:eastAsia="仿宋_GB2312" w:hint="eastAsia"/>
          <w:sz w:val="28"/>
        </w:rPr>
        <w:t>52</w:t>
      </w:r>
      <w:r>
        <w:rPr>
          <w:rFonts w:ascii="仿宋_GB2312" w:eastAsia="仿宋_GB2312"/>
          <w:sz w:val="28"/>
        </w:rPr>
        <w:t>号</w:t>
      </w:r>
      <w:r>
        <w:rPr>
          <w:rFonts w:ascii="仿宋_GB2312" w:eastAsia="仿宋_GB2312" w:hint="eastAsia"/>
          <w:sz w:val="28"/>
        </w:rPr>
        <w:t>），</w:t>
      </w:r>
      <w:proofErr w:type="gramStart"/>
      <w:r>
        <w:rPr>
          <w:rFonts w:ascii="仿宋_GB2312" w:eastAsia="仿宋_GB2312" w:hint="eastAsia"/>
          <w:sz w:val="28"/>
        </w:rPr>
        <w:t>委估地块</w:t>
      </w:r>
      <w:proofErr w:type="gramEnd"/>
      <w:r>
        <w:rPr>
          <w:rFonts w:ascii="仿宋_GB2312" w:eastAsia="仿宋_GB2312" w:hint="eastAsia"/>
          <w:sz w:val="28"/>
        </w:rPr>
        <w:t>所在仰天大道</w:t>
      </w:r>
      <w:proofErr w:type="gramStart"/>
      <w:r>
        <w:rPr>
          <w:rFonts w:ascii="仿宋_GB2312" w:eastAsia="仿宋_GB2312" w:hint="eastAsia"/>
          <w:sz w:val="28"/>
        </w:rPr>
        <w:t>北属于</w:t>
      </w:r>
      <w:proofErr w:type="gramEnd"/>
      <w:r>
        <w:rPr>
          <w:rFonts w:ascii="仿宋_GB2312" w:eastAsia="仿宋_GB2312" w:hint="eastAsia"/>
          <w:sz w:val="28"/>
        </w:rPr>
        <w:t>三级住宅用地。</w:t>
      </w:r>
    </w:p>
    <w:p w:rsidR="0054446D" w:rsidRDefault="00FB459A">
      <w:pPr>
        <w:spacing w:line="420" w:lineRule="exact"/>
        <w:ind w:firstLineChars="200" w:firstLine="560"/>
        <w:outlineLvl w:val="2"/>
        <w:rPr>
          <w:rFonts w:ascii="仿宋_GB2312" w:eastAsia="仿宋_GB2312"/>
          <w:sz w:val="28"/>
        </w:rPr>
      </w:pPr>
      <w:bookmarkStart w:id="57" w:name="_Toc29994"/>
      <w:bookmarkStart w:id="58" w:name="_Toc25470"/>
      <w:r>
        <w:rPr>
          <w:rFonts w:ascii="仿宋_GB2312" w:eastAsia="仿宋_GB2312" w:hint="eastAsia"/>
          <w:sz w:val="28"/>
        </w:rPr>
        <w:t>（二）土地权利状况</w:t>
      </w:r>
      <w:bookmarkEnd w:id="57"/>
      <w:bookmarkEnd w:id="58"/>
    </w:p>
    <w:p w:rsidR="0054446D" w:rsidRDefault="00FB459A">
      <w:pPr>
        <w:spacing w:line="420" w:lineRule="exact"/>
        <w:ind w:firstLineChars="200" w:firstLine="560"/>
        <w:rPr>
          <w:rFonts w:ascii="仿宋_GB2312" w:eastAsia="仿宋_GB2312"/>
          <w:sz w:val="28"/>
        </w:rPr>
      </w:pPr>
      <w:r>
        <w:rPr>
          <w:rFonts w:ascii="仿宋_GB2312" w:eastAsia="仿宋_GB2312" w:hAnsi="宋体" w:hint="eastAsia"/>
          <w:sz w:val="28"/>
        </w:rPr>
        <w:t>根据委托人提供的《不动产产权情况表》[业务号：HT201207170041]、《国有建设用地使用权出让合同》[电子监管号：3605002011B01585]</w:t>
      </w:r>
      <w:r>
        <w:rPr>
          <w:rFonts w:ascii="仿宋_GB2312" w:eastAsia="仿宋_GB2312" w:hint="eastAsia"/>
          <w:sz w:val="28"/>
        </w:rPr>
        <w:t>记载如下：</w:t>
      </w:r>
    </w:p>
    <w:p w:rsidR="0054446D" w:rsidRDefault="00FB459A">
      <w:pPr>
        <w:spacing w:line="420" w:lineRule="exact"/>
        <w:ind w:firstLineChars="200" w:firstLine="560"/>
        <w:rPr>
          <w:rFonts w:ascii="仿宋_GB2312" w:eastAsia="仿宋_GB2312"/>
          <w:sz w:val="28"/>
        </w:rPr>
      </w:pPr>
      <w:r>
        <w:rPr>
          <w:rFonts w:ascii="仿宋_GB2312" w:eastAsia="仿宋_GB2312" w:hint="eastAsia"/>
          <w:sz w:val="28"/>
        </w:rPr>
        <w:t>1、估价对象的土地所有权状况:在估价期日，估价对象为国有建设用地，其土地所有权属国家所有。</w:t>
      </w:r>
    </w:p>
    <w:p w:rsidR="0054446D" w:rsidRDefault="00FB459A">
      <w:pPr>
        <w:spacing w:line="420" w:lineRule="exact"/>
        <w:ind w:firstLineChars="200" w:firstLine="560"/>
        <w:rPr>
          <w:rFonts w:ascii="仿宋_GB2312" w:eastAsia="仿宋_GB2312"/>
          <w:sz w:val="28"/>
        </w:rPr>
      </w:pPr>
      <w:r>
        <w:rPr>
          <w:rFonts w:ascii="仿宋_GB2312" w:eastAsia="仿宋_GB2312" w:hint="eastAsia"/>
          <w:sz w:val="28"/>
        </w:rPr>
        <w:t>2、</w:t>
      </w:r>
      <w:proofErr w:type="gramStart"/>
      <w:r>
        <w:rPr>
          <w:rFonts w:ascii="仿宋_GB2312" w:eastAsia="仿宋_GB2312" w:hint="eastAsia"/>
          <w:sz w:val="28"/>
        </w:rPr>
        <w:t>委估宗地</w:t>
      </w:r>
      <w:proofErr w:type="gramEnd"/>
      <w:r>
        <w:rPr>
          <w:rFonts w:ascii="仿宋_GB2312" w:eastAsia="仿宋_GB2312" w:hint="eastAsia"/>
          <w:sz w:val="28"/>
        </w:rPr>
        <w:t>的土地使用权状况：土地使用权人为江西骏丰置业有限公司；使用权类型为出让，本次评估设定使用权类型为出让。</w:t>
      </w:r>
    </w:p>
    <w:p w:rsidR="0054446D" w:rsidRDefault="00FB459A">
      <w:pPr>
        <w:spacing w:line="420" w:lineRule="exact"/>
        <w:ind w:firstLineChars="200" w:firstLine="560"/>
        <w:rPr>
          <w:rFonts w:ascii="仿宋_GB2312" w:eastAsia="仿宋_GB2312"/>
          <w:sz w:val="28"/>
        </w:rPr>
      </w:pPr>
      <w:r>
        <w:rPr>
          <w:rFonts w:ascii="仿宋_GB2312" w:eastAsia="仿宋_GB2312" w:hint="eastAsia"/>
          <w:sz w:val="28"/>
        </w:rPr>
        <w:t>3、他项权利:</w:t>
      </w:r>
      <w:r>
        <w:rPr>
          <w:rFonts w:ascii="仿宋_GB2312" w:eastAsia="仿宋_GB2312" w:hAnsi="宋体" w:hint="eastAsia"/>
          <w:sz w:val="28"/>
        </w:rPr>
        <w:t xml:space="preserve"> 根据委托人提供的《不动产产权情况表》[业务号：HT201207170041]，估价对象在估价期日已设置抵押</w:t>
      </w:r>
      <w:proofErr w:type="gramStart"/>
      <w:r>
        <w:rPr>
          <w:rFonts w:ascii="仿宋_GB2312" w:eastAsia="仿宋_GB2312" w:hAnsi="宋体" w:hint="eastAsia"/>
          <w:sz w:val="28"/>
        </w:rPr>
        <w:t>权且已</w:t>
      </w:r>
      <w:proofErr w:type="gramEnd"/>
      <w:r>
        <w:rPr>
          <w:rFonts w:ascii="仿宋_GB2312" w:eastAsia="仿宋_GB2312" w:hAnsi="宋体" w:hint="eastAsia"/>
          <w:sz w:val="28"/>
        </w:rPr>
        <w:t>查封。</w:t>
      </w:r>
      <w:proofErr w:type="gramStart"/>
      <w:r>
        <w:rPr>
          <w:rFonts w:ascii="仿宋_GB2312" w:eastAsia="仿宋_GB2312" w:hAnsi="宋体" w:hint="eastAsia"/>
          <w:sz w:val="28"/>
        </w:rPr>
        <w:t>委估宗地</w:t>
      </w:r>
      <w:proofErr w:type="gramEnd"/>
      <w:r>
        <w:rPr>
          <w:rFonts w:ascii="仿宋_GB2312" w:eastAsia="仿宋_GB2312" w:hAnsi="宋体" w:hint="eastAsia"/>
          <w:sz w:val="28"/>
        </w:rPr>
        <w:t>抵押期限为2015年01月24日至2018年01月24日，抵押金额为75000000元，抵押方为华融湘江银行股份有限公司湘潭分行。</w:t>
      </w:r>
      <w:proofErr w:type="gramStart"/>
      <w:r>
        <w:rPr>
          <w:rFonts w:ascii="仿宋_GB2312" w:eastAsia="仿宋_GB2312" w:hAnsi="宋体" w:hint="eastAsia"/>
          <w:sz w:val="28"/>
        </w:rPr>
        <w:t>委估宗地</w:t>
      </w:r>
      <w:proofErr w:type="gramEnd"/>
      <w:r>
        <w:rPr>
          <w:rFonts w:ascii="仿宋_GB2312" w:eastAsia="仿宋_GB2312" w:hAnsi="宋体" w:hint="eastAsia"/>
          <w:sz w:val="28"/>
        </w:rPr>
        <w:t>查封登记日期为2022年01月12日，查封期限2022年01月11日起至2025年01月10止，查封冻结文号为（2022）湘03</w:t>
      </w:r>
      <w:proofErr w:type="gramStart"/>
      <w:r>
        <w:rPr>
          <w:rFonts w:ascii="仿宋_GB2312" w:eastAsia="仿宋_GB2312" w:hAnsi="宋体" w:hint="eastAsia"/>
          <w:sz w:val="28"/>
        </w:rPr>
        <w:t>执保1号</w:t>
      </w:r>
      <w:proofErr w:type="gramEnd"/>
      <w:r>
        <w:rPr>
          <w:rFonts w:ascii="仿宋_GB2312" w:eastAsia="仿宋_GB2312" w:hAnsi="宋体" w:hint="eastAsia"/>
          <w:sz w:val="28"/>
        </w:rPr>
        <w:t>之二，查封单位为湖南省湘潭市中级人民法院。另被湖南省湘潭市中级人民法院轮候查封。本次估价目的是为湖南省湘潭市中级人民法院确定财产处置参考</w:t>
      </w:r>
      <w:proofErr w:type="gramStart"/>
      <w:r>
        <w:rPr>
          <w:rFonts w:ascii="仿宋_GB2312" w:eastAsia="仿宋_GB2312" w:hAnsi="宋体" w:hint="eastAsia"/>
          <w:sz w:val="28"/>
        </w:rPr>
        <w:t>价提供</w:t>
      </w:r>
      <w:proofErr w:type="gramEnd"/>
      <w:r>
        <w:rPr>
          <w:rFonts w:ascii="仿宋_GB2312" w:eastAsia="仿宋_GB2312" w:hAnsi="宋体" w:hint="eastAsia"/>
          <w:sz w:val="28"/>
        </w:rPr>
        <w:t>参考依据，因为原有的担保物权及其他优先受偿权因拍卖而消灭，</w:t>
      </w:r>
      <w:proofErr w:type="gramStart"/>
      <w:r>
        <w:rPr>
          <w:rFonts w:ascii="仿宋_GB2312" w:eastAsia="仿宋_GB2312" w:hAnsi="宋体" w:hint="eastAsia"/>
          <w:sz w:val="28"/>
        </w:rPr>
        <w:t>查封因</w:t>
      </w:r>
      <w:proofErr w:type="gramEnd"/>
      <w:r>
        <w:rPr>
          <w:rFonts w:ascii="仿宋_GB2312" w:eastAsia="仿宋_GB2312" w:hAnsi="宋体" w:hint="eastAsia"/>
          <w:sz w:val="28"/>
        </w:rPr>
        <w:t>拍卖而解除。故评估时不考虑估价对象原有的担保物权、其他优先受偿权及查封因素的影响</w:t>
      </w:r>
      <w:r>
        <w:rPr>
          <w:rFonts w:ascii="仿宋_GB2312" w:eastAsia="仿宋_GB2312" w:hint="eastAsia"/>
          <w:sz w:val="28"/>
        </w:rPr>
        <w:t>。</w:t>
      </w:r>
    </w:p>
    <w:p w:rsidR="0054446D" w:rsidRDefault="00FB459A">
      <w:pPr>
        <w:spacing w:line="420" w:lineRule="exact"/>
        <w:ind w:firstLineChars="200" w:firstLine="560"/>
        <w:rPr>
          <w:rFonts w:ascii="仿宋_GB2312" w:eastAsia="仿宋_GB2312"/>
          <w:sz w:val="28"/>
        </w:rPr>
      </w:pPr>
      <w:r>
        <w:rPr>
          <w:rFonts w:ascii="仿宋_GB2312" w:eastAsia="仿宋_GB2312" w:hint="eastAsia"/>
          <w:sz w:val="28"/>
        </w:rPr>
        <w:t>4、土地使用权来源：江西骏丰置业有限公司于2011年09月08日与新余市国土资源局签订《国有土地使使用权出让合同》</w:t>
      </w:r>
      <w:r>
        <w:rPr>
          <w:rFonts w:ascii="仿宋_GB2312" w:eastAsia="仿宋_GB2312" w:hAnsi="宋体" w:hint="eastAsia"/>
          <w:sz w:val="28"/>
        </w:rPr>
        <w:t>电子监管号：3605002011B01585</w:t>
      </w:r>
      <w:r>
        <w:rPr>
          <w:rFonts w:ascii="仿宋_GB2312" w:eastAsia="仿宋_GB2312" w:hint="eastAsia"/>
          <w:sz w:val="28"/>
        </w:rPr>
        <w:t>，以1840万元价款取得面积为59897.52</w:t>
      </w:r>
      <w:r>
        <w:rPr>
          <w:rFonts w:ascii="宋体" w:hAnsi="宋体" w:cs="宋体" w:hint="eastAsia"/>
          <w:sz w:val="28"/>
        </w:rPr>
        <w:t>㎡</w:t>
      </w:r>
      <w:r>
        <w:rPr>
          <w:rFonts w:ascii="仿宋_GB2312" w:eastAsia="仿宋_GB2312" w:hAnsi="仿宋_GB2312" w:cs="仿宋_GB2312" w:hint="eastAsia"/>
          <w:sz w:val="28"/>
        </w:rPr>
        <w:t>的土地使用权</w:t>
      </w:r>
      <w:r>
        <w:rPr>
          <w:rFonts w:ascii="仿宋_GB2312" w:eastAsia="仿宋_GB2312" w:hint="eastAsia"/>
          <w:sz w:val="28"/>
        </w:rPr>
        <w:t>。本次估价面积以</w:t>
      </w:r>
      <w:r>
        <w:rPr>
          <w:rFonts w:ascii="仿宋_GB2312" w:eastAsia="仿宋_GB2312" w:hAnsi="宋体" w:hint="eastAsia"/>
          <w:sz w:val="28"/>
        </w:rPr>
        <w:t>《不动产产权情况表》[业务号：HT201207170041]、《土地登记审批表》[编号：（2012）00751]、《国有建设用地使用权出让合同》[电子监管号：3605002011B01585]上记载的</w:t>
      </w:r>
      <w:r>
        <w:rPr>
          <w:rFonts w:ascii="仿宋_GB2312" w:eastAsia="仿宋_GB2312" w:hint="eastAsia"/>
          <w:sz w:val="28"/>
        </w:rPr>
        <w:t>59897.52</w:t>
      </w:r>
      <w:r>
        <w:rPr>
          <w:rFonts w:ascii="仿宋_GB2312" w:eastAsia="仿宋_GB2312" w:hint="eastAsia"/>
          <w:sz w:val="28"/>
          <w:szCs w:val="22"/>
        </w:rPr>
        <w:t>平方米为准。</w:t>
      </w:r>
    </w:p>
    <w:p w:rsidR="0054446D" w:rsidRDefault="00FB459A">
      <w:pPr>
        <w:spacing w:line="420" w:lineRule="exact"/>
        <w:ind w:firstLineChars="200" w:firstLine="560"/>
        <w:rPr>
          <w:rFonts w:ascii="仿宋_GB2312" w:eastAsia="仿宋_GB2312"/>
          <w:sz w:val="28"/>
        </w:rPr>
      </w:pPr>
      <w:r>
        <w:rPr>
          <w:rFonts w:ascii="仿宋_GB2312" w:eastAsia="仿宋_GB2312" w:hint="eastAsia"/>
          <w:sz w:val="28"/>
        </w:rPr>
        <w:t>5、土地使用权终止日期：</w:t>
      </w:r>
      <w:r>
        <w:rPr>
          <w:rFonts w:ascii="仿宋_GB2312" w:eastAsia="仿宋_GB2312" w:hAnsi="宋体" w:cs="宋体" w:hint="eastAsia"/>
          <w:sz w:val="28"/>
        </w:rPr>
        <w:t>土地用途为住宅用地，</w:t>
      </w:r>
      <w:r>
        <w:rPr>
          <w:rFonts w:ascii="仿宋_GB2312" w:eastAsia="仿宋_GB2312" w:hint="eastAsia"/>
          <w:sz w:val="28"/>
        </w:rPr>
        <w:t>终止日期为2080年02月17日；</w:t>
      </w:r>
    </w:p>
    <w:p w:rsidR="0054446D" w:rsidRDefault="00FB459A">
      <w:pPr>
        <w:spacing w:line="420" w:lineRule="exact"/>
        <w:ind w:firstLineChars="200" w:firstLine="560"/>
        <w:rPr>
          <w:rFonts w:ascii="仿宋_GB2312" w:eastAsia="仿宋_GB2312"/>
          <w:sz w:val="28"/>
        </w:rPr>
      </w:pPr>
      <w:r>
        <w:rPr>
          <w:rFonts w:ascii="仿宋_GB2312" w:eastAsia="仿宋_GB2312" w:hint="eastAsia"/>
          <w:sz w:val="28"/>
        </w:rPr>
        <w:t>6、土地剩余使用年期：57.77年；</w:t>
      </w:r>
    </w:p>
    <w:p w:rsidR="0054446D" w:rsidRDefault="00FB459A">
      <w:pPr>
        <w:spacing w:line="420" w:lineRule="exact"/>
        <w:ind w:firstLineChars="200" w:firstLine="560"/>
        <w:rPr>
          <w:rFonts w:ascii="仿宋_GB2312" w:eastAsia="仿宋_GB2312"/>
          <w:sz w:val="28"/>
        </w:rPr>
      </w:pPr>
      <w:r>
        <w:rPr>
          <w:rFonts w:ascii="仿宋_GB2312" w:eastAsia="仿宋_GB2312" w:hint="eastAsia"/>
          <w:sz w:val="28"/>
        </w:rPr>
        <w:t>7、土地实际使用</w:t>
      </w:r>
      <w:proofErr w:type="gramStart"/>
      <w:r>
        <w:rPr>
          <w:rFonts w:ascii="仿宋_GB2312" w:eastAsia="仿宋_GB2312" w:hint="eastAsia"/>
          <w:sz w:val="28"/>
        </w:rPr>
        <w:t>和证载状况</w:t>
      </w:r>
      <w:proofErr w:type="gramEnd"/>
      <w:r>
        <w:rPr>
          <w:rFonts w:ascii="仿宋_GB2312" w:eastAsia="仿宋_GB2312" w:hint="eastAsia"/>
          <w:sz w:val="28"/>
        </w:rPr>
        <w:t>：</w:t>
      </w:r>
      <w:proofErr w:type="gramStart"/>
      <w:r>
        <w:rPr>
          <w:rFonts w:ascii="仿宋_GB2312" w:eastAsia="仿宋_GB2312" w:hint="eastAsia"/>
          <w:sz w:val="28"/>
        </w:rPr>
        <w:t>委估宗地</w:t>
      </w:r>
      <w:proofErr w:type="gramEnd"/>
      <w:r>
        <w:rPr>
          <w:rFonts w:ascii="仿宋_GB2312" w:eastAsia="仿宋_GB2312" w:hint="eastAsia"/>
          <w:sz w:val="28"/>
        </w:rPr>
        <w:t>现状为待开发建设用地</w:t>
      </w:r>
      <w:r>
        <w:rPr>
          <w:rFonts w:ascii="仿宋" w:eastAsia="仿宋" w:hAnsi="仿宋" w:hint="eastAsia"/>
          <w:kern w:val="0"/>
          <w:sz w:val="28"/>
          <w:szCs w:val="28"/>
        </w:rPr>
        <w:t>，</w:t>
      </w:r>
      <w:r>
        <w:rPr>
          <w:rFonts w:ascii="仿宋_GB2312" w:eastAsia="仿宋_GB2312" w:hint="eastAsia"/>
          <w:sz w:val="28"/>
        </w:rPr>
        <w:t>根据估价目的和委托人目前对土地的实际利用情况，本次评估估价对象以</w:t>
      </w:r>
      <w:r>
        <w:rPr>
          <w:rFonts w:ascii="仿宋_GB2312" w:eastAsia="仿宋_GB2312" w:hAnsi="宋体" w:hint="eastAsia"/>
          <w:sz w:val="28"/>
        </w:rPr>
        <w:t>《土地登记审批表》[编号：（2012）00751]</w:t>
      </w:r>
      <w:r>
        <w:rPr>
          <w:rFonts w:ascii="仿宋_GB2312" w:eastAsia="仿宋_GB2312" w:hint="eastAsia"/>
          <w:sz w:val="28"/>
        </w:rPr>
        <w:t>记载的土地为整体进行评估，用途为住宅用地</w:t>
      </w:r>
      <w:r>
        <w:rPr>
          <w:rFonts w:ascii="仿宋_GB2312" w:eastAsia="仿宋_GB2312" w:hAnsi="宋体" w:cs="宋体" w:hint="eastAsia"/>
          <w:sz w:val="28"/>
          <w:szCs w:val="28"/>
        </w:rPr>
        <w:t>，</w:t>
      </w:r>
      <w:proofErr w:type="gramStart"/>
      <w:r>
        <w:rPr>
          <w:rFonts w:ascii="仿宋_GB2312" w:eastAsia="仿宋_GB2312" w:hAnsi="宋体" w:cs="宋体" w:hint="eastAsia"/>
          <w:sz w:val="28"/>
          <w:szCs w:val="28"/>
        </w:rPr>
        <w:t>与证</w:t>
      </w:r>
      <w:r>
        <w:rPr>
          <w:rFonts w:ascii="仿宋_GB2312" w:eastAsia="仿宋_GB2312" w:hint="eastAsia"/>
          <w:sz w:val="28"/>
        </w:rPr>
        <w:t>载用途</w:t>
      </w:r>
      <w:proofErr w:type="gramEnd"/>
      <w:r>
        <w:rPr>
          <w:rFonts w:ascii="仿宋_GB2312" w:eastAsia="仿宋_GB2312" w:hint="eastAsia"/>
          <w:sz w:val="28"/>
        </w:rPr>
        <w:t>一致。</w:t>
      </w:r>
    </w:p>
    <w:p w:rsidR="0054446D" w:rsidRDefault="00FB459A">
      <w:pPr>
        <w:spacing w:line="420" w:lineRule="exact"/>
        <w:ind w:firstLineChars="200" w:firstLine="560"/>
        <w:rPr>
          <w:rFonts w:ascii="仿宋_GB2312" w:eastAsia="仿宋_GB2312"/>
          <w:sz w:val="28"/>
        </w:rPr>
      </w:pPr>
      <w:r>
        <w:rPr>
          <w:rFonts w:ascii="仿宋_GB2312" w:eastAsia="仿宋_GB2312" w:hint="eastAsia"/>
          <w:sz w:val="28"/>
        </w:rPr>
        <w:t>8、相邻关系权利：无。</w:t>
      </w:r>
    </w:p>
    <w:p w:rsidR="0054446D" w:rsidRDefault="00FB459A">
      <w:pPr>
        <w:spacing w:line="420" w:lineRule="exact"/>
        <w:ind w:firstLineChars="200" w:firstLine="560"/>
        <w:outlineLvl w:val="2"/>
        <w:rPr>
          <w:rFonts w:ascii="仿宋_GB2312" w:eastAsia="仿宋_GB2312"/>
          <w:sz w:val="28"/>
        </w:rPr>
      </w:pPr>
      <w:bookmarkStart w:id="59" w:name="_Toc21550"/>
      <w:bookmarkStart w:id="60" w:name="_Toc15160"/>
      <w:r>
        <w:rPr>
          <w:rFonts w:ascii="仿宋_GB2312" w:eastAsia="仿宋_GB2312" w:hint="eastAsia"/>
          <w:sz w:val="28"/>
        </w:rPr>
        <w:t>（三）土地利用状况</w:t>
      </w:r>
      <w:bookmarkEnd w:id="59"/>
      <w:bookmarkEnd w:id="60"/>
    </w:p>
    <w:p w:rsidR="0054446D" w:rsidRDefault="00FB459A">
      <w:pPr>
        <w:spacing w:line="420" w:lineRule="exact"/>
        <w:ind w:firstLineChars="200" w:firstLine="560"/>
        <w:rPr>
          <w:rFonts w:ascii="仿宋_GB2312" w:eastAsia="仿宋_GB2312"/>
          <w:sz w:val="28"/>
        </w:rPr>
      </w:pPr>
      <w:r>
        <w:rPr>
          <w:rFonts w:ascii="仿宋_GB2312" w:eastAsia="仿宋_GB2312" w:hint="eastAsia"/>
          <w:sz w:val="28"/>
        </w:rPr>
        <w:t>1、土地利用现状</w:t>
      </w:r>
    </w:p>
    <w:p w:rsidR="0054446D" w:rsidRDefault="00FB459A">
      <w:pPr>
        <w:spacing w:line="420" w:lineRule="exact"/>
        <w:ind w:firstLine="540"/>
        <w:rPr>
          <w:rFonts w:ascii="仿宋_GB2312" w:eastAsia="仿宋_GB2312"/>
          <w:sz w:val="28"/>
        </w:rPr>
      </w:pPr>
      <w:proofErr w:type="gramStart"/>
      <w:r>
        <w:rPr>
          <w:rFonts w:ascii="仿宋_GB2312" w:eastAsia="仿宋_GB2312" w:hint="eastAsia"/>
          <w:sz w:val="28"/>
        </w:rPr>
        <w:t>委估宗地</w:t>
      </w:r>
      <w:proofErr w:type="gramEnd"/>
      <w:r>
        <w:rPr>
          <w:rFonts w:ascii="仿宋_GB2312" w:eastAsia="仿宋_GB2312" w:hint="eastAsia"/>
          <w:sz w:val="28"/>
        </w:rPr>
        <w:t>位于新余市仰天大道北，该宗地东至规划路；南至支路及北京师范大学新余附属学校；西</w:t>
      </w:r>
      <w:proofErr w:type="gramStart"/>
      <w:r>
        <w:rPr>
          <w:rFonts w:ascii="仿宋_GB2312" w:eastAsia="仿宋_GB2312" w:hint="eastAsia"/>
          <w:sz w:val="28"/>
        </w:rPr>
        <w:t>至规划</w:t>
      </w:r>
      <w:proofErr w:type="gramEnd"/>
      <w:r>
        <w:rPr>
          <w:rFonts w:ascii="仿宋_GB2312" w:eastAsia="仿宋_GB2312" w:hint="eastAsia"/>
          <w:sz w:val="28"/>
        </w:rPr>
        <w:t>路；北至规划路。临北京师范大学新余附属学校，对外联系较便捷。</w:t>
      </w:r>
      <w:proofErr w:type="gramStart"/>
      <w:r>
        <w:rPr>
          <w:rFonts w:ascii="仿宋_GB2312" w:eastAsia="仿宋_GB2312" w:hint="eastAsia"/>
          <w:sz w:val="28"/>
        </w:rPr>
        <w:t>委估宗地</w:t>
      </w:r>
      <w:proofErr w:type="gramEnd"/>
      <w:r>
        <w:rPr>
          <w:rFonts w:ascii="仿宋_GB2312" w:eastAsia="仿宋_GB2312" w:hint="eastAsia"/>
          <w:sz w:val="28"/>
        </w:rPr>
        <w:t>现状为待开发建设用地</w:t>
      </w:r>
      <w:r>
        <w:rPr>
          <w:rFonts w:ascii="仿宋" w:eastAsia="仿宋" w:hAnsi="仿宋" w:hint="eastAsia"/>
          <w:kern w:val="0"/>
          <w:sz w:val="28"/>
          <w:szCs w:val="28"/>
        </w:rPr>
        <w:t>，</w:t>
      </w:r>
      <w:r>
        <w:rPr>
          <w:rFonts w:ascii="仿宋_GB2312" w:eastAsia="仿宋_GB2312" w:hint="eastAsia"/>
          <w:sz w:val="28"/>
        </w:rPr>
        <w:t>至估价期日，</w:t>
      </w:r>
      <w:proofErr w:type="gramStart"/>
      <w:r>
        <w:rPr>
          <w:rFonts w:ascii="仿宋_GB2312" w:eastAsia="仿宋_GB2312" w:hint="eastAsia"/>
          <w:sz w:val="28"/>
        </w:rPr>
        <w:t>委估宗地</w:t>
      </w:r>
      <w:proofErr w:type="gramEnd"/>
      <w:r>
        <w:rPr>
          <w:rFonts w:ascii="仿宋_GB2312" w:eastAsia="仿宋_GB2312" w:hint="eastAsia"/>
          <w:sz w:val="28"/>
        </w:rPr>
        <w:t>土地开发程度为宗地外“六通”（通路、通电、通讯、供水、排水、通气）及红线内场地未平整。</w:t>
      </w:r>
    </w:p>
    <w:p w:rsidR="0054446D" w:rsidRDefault="00FB459A">
      <w:pPr>
        <w:pStyle w:val="a8"/>
        <w:spacing w:before="0" w:line="420" w:lineRule="exact"/>
        <w:ind w:firstLineChars="200" w:firstLine="560"/>
      </w:pPr>
      <w:r>
        <w:rPr>
          <w:rFonts w:hint="eastAsia"/>
        </w:rPr>
        <w:t>2、土地规划利用条件</w:t>
      </w:r>
    </w:p>
    <w:p w:rsidR="0054446D" w:rsidRDefault="00FB459A">
      <w:pPr>
        <w:spacing w:line="420" w:lineRule="exact"/>
        <w:ind w:firstLineChars="200" w:firstLine="560"/>
        <w:rPr>
          <w:rFonts w:ascii="仿宋_GB2312" w:eastAsia="仿宋_GB2312"/>
          <w:sz w:val="28"/>
          <w:szCs w:val="28"/>
        </w:rPr>
      </w:pPr>
      <w:r>
        <w:rPr>
          <w:rFonts w:ascii="仿宋_GB2312" w:eastAsia="仿宋_GB2312" w:hAnsi="宋体" w:hint="eastAsia"/>
          <w:sz w:val="28"/>
        </w:rPr>
        <w:t>根据委托人提供的《国有建设用地使用权出让合同》[电子监管号：3605002011B01585]、《关于纬二路以北、经三路以东W-09-04号地块的规划条件》[编号：余规条2011-006]记载，估价对象容积率为1≤FAR≤2。主体建筑物性质为住宅楼，建筑总面积119795平方米，建筑限高45米，建筑密度不高于24%，绿地率不低于45%。其余土地利用要求按《余规条2011-006》执行。一是宗地内需布置一所6班幼托；二是按建筑总面积的1.5‰比例配置社区用房、5‰配置物业管理用房；三是住宅按不少于0.5</w:t>
      </w:r>
      <w:proofErr w:type="gramStart"/>
      <w:r>
        <w:rPr>
          <w:rFonts w:ascii="仿宋_GB2312" w:eastAsia="仿宋_GB2312" w:hAnsi="宋体" w:hint="eastAsia"/>
          <w:sz w:val="28"/>
        </w:rPr>
        <w:t>各</w:t>
      </w:r>
      <w:proofErr w:type="gramEnd"/>
      <w:r>
        <w:rPr>
          <w:rFonts w:ascii="仿宋_GB2312" w:eastAsia="仿宋_GB2312" w:hAnsi="宋体" w:hint="eastAsia"/>
          <w:sz w:val="28"/>
        </w:rPr>
        <w:t>车位/户配置停车位。根据合法原则及最有效利用原则，本次评估设定宗地的容积率为2，建筑密度为24%，绿地率为45%</w:t>
      </w:r>
      <w:r>
        <w:rPr>
          <w:rFonts w:ascii="仿宋_GB2312" w:eastAsia="仿宋_GB2312" w:hint="eastAsia"/>
          <w:sz w:val="28"/>
          <w:szCs w:val="28"/>
        </w:rPr>
        <w:t>。</w:t>
      </w:r>
    </w:p>
    <w:p w:rsidR="0054446D" w:rsidRDefault="00FB459A">
      <w:pPr>
        <w:spacing w:line="420" w:lineRule="exact"/>
        <w:ind w:firstLineChars="200" w:firstLine="560"/>
        <w:rPr>
          <w:rFonts w:ascii="仿宋_GB2312" w:eastAsia="仿宋_GB2312" w:hAnsi="宋体"/>
          <w:sz w:val="28"/>
        </w:rPr>
      </w:pPr>
      <w:r>
        <w:rPr>
          <w:rFonts w:ascii="仿宋_GB2312" w:eastAsia="仿宋_GB2312" w:hAnsi="宋体" w:hint="eastAsia"/>
          <w:sz w:val="28"/>
        </w:rPr>
        <w:t>（四）土地</w:t>
      </w:r>
      <w:r>
        <w:rPr>
          <w:rFonts w:ascii="仿宋_GB2312" w:eastAsia="仿宋_GB2312" w:hAnsi="宋体"/>
          <w:sz w:val="28"/>
        </w:rPr>
        <w:t>闲置</w:t>
      </w:r>
      <w:r>
        <w:rPr>
          <w:rFonts w:ascii="仿宋_GB2312" w:eastAsia="仿宋_GB2312" w:hAnsi="宋体" w:hint="eastAsia"/>
          <w:sz w:val="28"/>
        </w:rPr>
        <w:t>情况说明</w:t>
      </w:r>
    </w:p>
    <w:p w:rsidR="0054446D" w:rsidRDefault="00FB459A">
      <w:pPr>
        <w:spacing w:line="420" w:lineRule="exact"/>
        <w:ind w:firstLineChars="200" w:firstLine="560"/>
        <w:rPr>
          <w:rFonts w:ascii="仿宋_GB2312" w:eastAsia="仿宋_GB2312" w:hAnsi="宋体"/>
          <w:sz w:val="28"/>
        </w:rPr>
      </w:pPr>
      <w:r>
        <w:rPr>
          <w:rFonts w:ascii="仿宋_GB2312" w:eastAsia="仿宋_GB2312" w:hAnsi="宋体"/>
          <w:sz w:val="28"/>
        </w:rPr>
        <w:t>《闲置土地处置办法》</w:t>
      </w:r>
      <w:r>
        <w:rPr>
          <w:rFonts w:ascii="仿宋_GB2312" w:eastAsia="仿宋_GB2312" w:hAnsi="宋体" w:hint="eastAsia"/>
          <w:sz w:val="28"/>
        </w:rPr>
        <w:t>记载</w:t>
      </w:r>
      <w:r>
        <w:rPr>
          <w:rFonts w:ascii="仿宋_GB2312" w:eastAsia="仿宋_GB2312" w:hAnsi="宋体"/>
          <w:sz w:val="28"/>
        </w:rPr>
        <w:t>除本办法第八条规定情形外，闲置土地按照下列方式处理：</w:t>
      </w:r>
    </w:p>
    <w:p w:rsidR="0054446D" w:rsidRDefault="00FB459A">
      <w:pPr>
        <w:spacing w:line="420" w:lineRule="exact"/>
        <w:ind w:firstLineChars="200" w:firstLine="560"/>
        <w:rPr>
          <w:rFonts w:ascii="仿宋_GB2312" w:eastAsia="仿宋_GB2312" w:hAnsi="宋体"/>
          <w:sz w:val="28"/>
        </w:rPr>
      </w:pPr>
      <w:r>
        <w:rPr>
          <w:rFonts w:ascii="仿宋_GB2312" w:eastAsia="仿宋_GB2312" w:hAnsi="宋体" w:hint="eastAsia"/>
          <w:sz w:val="28"/>
        </w:rPr>
        <w:t>1、</w:t>
      </w:r>
      <w:r>
        <w:rPr>
          <w:rFonts w:ascii="仿宋_GB2312" w:eastAsia="仿宋_GB2312" w:hAnsi="宋体"/>
          <w:sz w:val="28"/>
        </w:rPr>
        <w:t>未动工开发满一年的，由市、县国土资源主管部门报经本级人民政府批准后，向国有建设用地使用权人下达《征缴土地闲置费决定书》，按照土地出让或者划拨价款的百分之二十征缴土地闲置费。土地闲置费不得列入生产成本；</w:t>
      </w:r>
    </w:p>
    <w:p w:rsidR="0054446D" w:rsidRDefault="00FB459A">
      <w:pPr>
        <w:spacing w:line="420" w:lineRule="exact"/>
        <w:ind w:firstLineChars="200" w:firstLine="560"/>
        <w:rPr>
          <w:rFonts w:ascii="仿宋_GB2312" w:eastAsia="仿宋_GB2312" w:hAnsi="宋体"/>
          <w:sz w:val="28"/>
        </w:rPr>
      </w:pPr>
      <w:r>
        <w:rPr>
          <w:rFonts w:ascii="仿宋_GB2312" w:eastAsia="仿宋_GB2312" w:hAnsi="宋体" w:hint="eastAsia"/>
          <w:sz w:val="28"/>
        </w:rPr>
        <w:t>2、</w:t>
      </w:r>
      <w:r>
        <w:rPr>
          <w:rFonts w:ascii="仿宋_GB2312" w:eastAsia="仿宋_GB2312" w:hAnsi="宋体"/>
          <w:sz w:val="28"/>
        </w:rPr>
        <w:t>未动工开发满两年的，由市、县国土资源主管部门按照《中华人民共和国土地管理法》第三十七条和《中华人民共和国城市房地产管理法》第二十六条的规定，报经有批准权的人民政府批准后，向国有建设用地使用权人下达《收回国有建设用地使用权决定书》，无偿收回国有建设用地使用权。闲置土地设有抵押权的，同时抄送相关土地抵押权人。</w:t>
      </w:r>
    </w:p>
    <w:p w:rsidR="0054446D" w:rsidRDefault="00FB459A">
      <w:pPr>
        <w:spacing w:line="420" w:lineRule="exact"/>
        <w:ind w:firstLineChars="200" w:firstLine="560"/>
        <w:rPr>
          <w:rFonts w:ascii="仿宋" w:eastAsia="仿宋" w:hAnsi="仿宋" w:cs="仿宋"/>
          <w:sz w:val="28"/>
          <w:szCs w:val="28"/>
          <w:lang w:val="zh-CN" w:bidi="zh-CN"/>
        </w:rPr>
      </w:pPr>
      <w:proofErr w:type="gramStart"/>
      <w:r>
        <w:rPr>
          <w:rFonts w:ascii="仿宋_GB2312" w:eastAsia="仿宋_GB2312" w:hAnsi="宋体" w:hint="eastAsia"/>
          <w:sz w:val="28"/>
        </w:rPr>
        <w:t>委估宗地</w:t>
      </w:r>
      <w:proofErr w:type="gramEnd"/>
      <w:r>
        <w:rPr>
          <w:rFonts w:ascii="仿宋_GB2312" w:eastAsia="仿宋_GB2312" w:hAnsi="宋体" w:hint="eastAsia"/>
          <w:sz w:val="28"/>
        </w:rPr>
        <w:t>现状为待开发建设用地，是否为闲置用地以相关政府部门认定为准。故本次估价不考虑土地闲置限制因素的影响</w:t>
      </w:r>
      <w:r>
        <w:rPr>
          <w:rFonts w:ascii="仿宋" w:eastAsia="仿宋" w:hAnsi="仿宋" w:cs="仿宋" w:hint="eastAsia"/>
          <w:sz w:val="28"/>
          <w:szCs w:val="28"/>
          <w:lang w:val="zh-CN" w:bidi="zh-CN"/>
        </w:rPr>
        <w:t>。</w:t>
      </w:r>
    </w:p>
    <w:p w:rsidR="0054446D" w:rsidRDefault="00FB459A" w:rsidP="00F513B3">
      <w:pPr>
        <w:spacing w:beforeLines="100" w:afterLines="100" w:line="420" w:lineRule="exact"/>
        <w:ind w:firstLineChars="100" w:firstLine="281"/>
        <w:outlineLvl w:val="1"/>
        <w:rPr>
          <w:rFonts w:ascii="仿宋" w:eastAsia="仿宋" w:hAnsi="仿宋" w:cs="仿宋"/>
          <w:b/>
          <w:bCs/>
          <w:sz w:val="28"/>
        </w:rPr>
      </w:pPr>
      <w:r>
        <w:rPr>
          <w:rFonts w:ascii="仿宋" w:eastAsia="仿宋" w:hAnsi="仿宋" w:cs="仿宋" w:hint="eastAsia"/>
          <w:b/>
          <w:bCs/>
          <w:sz w:val="28"/>
        </w:rPr>
        <w:t>二、影响地价的因素说明</w:t>
      </w:r>
      <w:bookmarkEnd w:id="51"/>
      <w:bookmarkEnd w:id="52"/>
      <w:bookmarkEnd w:id="53"/>
    </w:p>
    <w:p w:rsidR="0054446D" w:rsidRDefault="00FB459A">
      <w:pPr>
        <w:spacing w:line="420" w:lineRule="exact"/>
        <w:ind w:firstLineChars="200" w:firstLine="560"/>
        <w:outlineLvl w:val="2"/>
        <w:rPr>
          <w:rFonts w:ascii="仿宋_GB2312" w:eastAsia="仿宋_GB2312"/>
          <w:sz w:val="28"/>
        </w:rPr>
      </w:pPr>
      <w:bookmarkStart w:id="61" w:name="_Toc22971"/>
      <w:r>
        <w:rPr>
          <w:rFonts w:ascii="仿宋_GB2312" w:eastAsia="仿宋_GB2312" w:hint="eastAsia"/>
          <w:sz w:val="28"/>
        </w:rPr>
        <w:t>（一）</w:t>
      </w:r>
      <w:bookmarkEnd w:id="61"/>
      <w:r>
        <w:rPr>
          <w:rFonts w:ascii="仿宋_GB2312" w:eastAsia="仿宋_GB2312" w:hint="eastAsia"/>
          <w:sz w:val="28"/>
        </w:rPr>
        <w:t>一般因素分析</w:t>
      </w:r>
    </w:p>
    <w:p w:rsidR="0054446D" w:rsidRDefault="00FB459A">
      <w:pPr>
        <w:spacing w:line="420" w:lineRule="exact"/>
        <w:ind w:firstLineChars="200" w:firstLine="560"/>
        <w:rPr>
          <w:rFonts w:ascii="仿宋_GB2312" w:eastAsia="仿宋_GB2312"/>
          <w:sz w:val="28"/>
        </w:rPr>
      </w:pPr>
      <w:r>
        <w:rPr>
          <w:rFonts w:ascii="仿宋_GB2312" w:eastAsia="仿宋_GB2312" w:hint="eastAsia"/>
          <w:sz w:val="28"/>
        </w:rPr>
        <w:t>一般因素是指影响城镇地价总体水平的自然、社会、经济和行政因素等，主要包括地理位置、自然条件、人口、行政区划、城镇性质、城镇发展过程、社会经济状况、土地及住房制度与政策、土地利用及计划、国民和社会经济发展规划等。</w:t>
      </w:r>
    </w:p>
    <w:p w:rsidR="0054446D" w:rsidRDefault="00FB459A">
      <w:pPr>
        <w:spacing w:line="420" w:lineRule="exact"/>
        <w:ind w:firstLineChars="200" w:firstLine="560"/>
        <w:rPr>
          <w:rFonts w:ascii="仿宋_GB2312" w:eastAsia="仿宋_GB2312"/>
          <w:sz w:val="28"/>
        </w:rPr>
      </w:pPr>
      <w:r>
        <w:rPr>
          <w:rFonts w:ascii="仿宋_GB2312" w:eastAsia="仿宋_GB2312" w:hint="eastAsia"/>
          <w:sz w:val="28"/>
        </w:rPr>
        <w:t>1、城市资源状况</w:t>
      </w:r>
    </w:p>
    <w:p w:rsidR="0054446D" w:rsidRDefault="00FB459A">
      <w:pPr>
        <w:spacing w:line="420" w:lineRule="exact"/>
        <w:ind w:firstLineChars="200" w:firstLine="560"/>
        <w:rPr>
          <w:rFonts w:ascii="仿宋_GB2312" w:eastAsia="仿宋_GB2312"/>
          <w:sz w:val="28"/>
        </w:rPr>
      </w:pPr>
      <w:r>
        <w:rPr>
          <w:rFonts w:ascii="仿宋_GB2312" w:eastAsia="仿宋_GB2312" w:hint="eastAsia"/>
          <w:sz w:val="28"/>
        </w:rPr>
        <w:t>新余市位于江西省中部偏西,浙赣铁路西段,地处北纬27°33′~28°05′,东经114°29′~115°24′。全境东西</w:t>
      </w:r>
      <w:proofErr w:type="gramStart"/>
      <w:r>
        <w:rPr>
          <w:rFonts w:ascii="仿宋_GB2312" w:eastAsia="仿宋_GB2312" w:hint="eastAsia"/>
          <w:sz w:val="28"/>
        </w:rPr>
        <w:t>最</w:t>
      </w:r>
      <w:proofErr w:type="gramEnd"/>
      <w:r>
        <w:rPr>
          <w:rFonts w:ascii="仿宋_GB2312" w:eastAsia="仿宋_GB2312" w:hint="eastAsia"/>
          <w:sz w:val="28"/>
        </w:rPr>
        <w:t>长处101.9公里,南北最宽处65公里,东距省会南昌市150公里,东临樟树市、新干县,西接宜春市袁州区,南连吉安县、安福县、峡江县,北</w:t>
      </w:r>
      <w:proofErr w:type="gramStart"/>
      <w:r>
        <w:rPr>
          <w:rFonts w:ascii="仿宋_GB2312" w:eastAsia="仿宋_GB2312" w:hint="eastAsia"/>
          <w:sz w:val="28"/>
        </w:rPr>
        <w:t>毗</w:t>
      </w:r>
      <w:proofErr w:type="gramEnd"/>
      <w:r>
        <w:rPr>
          <w:rFonts w:ascii="仿宋_GB2312" w:eastAsia="仿宋_GB2312" w:hint="eastAsia"/>
          <w:sz w:val="28"/>
        </w:rPr>
        <w:t>上高县、高安市。全市总面积3178平方公里(占全省总面积的1.9%),其中渝水区面积1785.92平方公里,分宜县面积1391.76平方公里。根据第七次全国人口普查结果，新余市常住人口总数为1202499人。</w:t>
      </w:r>
      <w:r>
        <w:rPr>
          <w:rFonts w:ascii="仿宋_GB2312" w:eastAsia="仿宋_GB2312"/>
          <w:sz w:val="28"/>
        </w:rPr>
        <w:t>新余市</w:t>
      </w:r>
      <w:r>
        <w:rPr>
          <w:rFonts w:ascii="仿宋_GB2312" w:eastAsia="仿宋_GB2312" w:hint="eastAsia"/>
          <w:sz w:val="28"/>
        </w:rPr>
        <w:t>市情特点可概括为“工小美”。“工”是工业强市。新余</w:t>
      </w:r>
      <w:proofErr w:type="gramStart"/>
      <w:r>
        <w:rPr>
          <w:rFonts w:ascii="仿宋_GB2312" w:eastAsia="仿宋_GB2312" w:hint="eastAsia"/>
          <w:sz w:val="28"/>
        </w:rPr>
        <w:t>因钢设</w:t>
      </w:r>
      <w:proofErr w:type="gramEnd"/>
      <w:r>
        <w:rPr>
          <w:rFonts w:ascii="仿宋_GB2312" w:eastAsia="仿宋_GB2312" w:hint="eastAsia"/>
          <w:sz w:val="28"/>
        </w:rPr>
        <w:t>市，</w:t>
      </w:r>
      <w:proofErr w:type="gramStart"/>
      <w:r>
        <w:rPr>
          <w:rFonts w:ascii="仿宋_GB2312" w:eastAsia="仿宋_GB2312" w:hint="eastAsia"/>
          <w:sz w:val="28"/>
        </w:rPr>
        <w:t>因工强市</w:t>
      </w:r>
      <w:proofErr w:type="gramEnd"/>
      <w:r>
        <w:rPr>
          <w:rFonts w:ascii="仿宋_GB2312" w:eastAsia="仿宋_GB2312" w:hint="eastAsia"/>
          <w:sz w:val="28"/>
        </w:rPr>
        <w:t>，工业化率达38.9%。现有规模以上工业企业447家、上市企业4家。全市粗钢、钢材产量分别占全省总量的37.6%和36.4%，碳酸锂等锂盐年产能占全国的20%以上，</w:t>
      </w:r>
      <w:proofErr w:type="gramStart"/>
      <w:r>
        <w:rPr>
          <w:rFonts w:ascii="仿宋_GB2312" w:eastAsia="仿宋_GB2312" w:hint="eastAsia"/>
          <w:sz w:val="28"/>
        </w:rPr>
        <w:t>金属锂占全国</w:t>
      </w:r>
      <w:proofErr w:type="gramEnd"/>
      <w:r>
        <w:rPr>
          <w:rFonts w:ascii="仿宋_GB2312" w:eastAsia="仿宋_GB2312" w:hint="eastAsia"/>
          <w:sz w:val="28"/>
        </w:rPr>
        <w:t>的50%以上。“小”是区域小市。</w:t>
      </w:r>
      <w:proofErr w:type="gramStart"/>
      <w:r>
        <w:rPr>
          <w:rFonts w:ascii="仿宋_GB2312" w:eastAsia="仿宋_GB2312" w:hint="eastAsia"/>
          <w:sz w:val="28"/>
        </w:rPr>
        <w:t>辖</w:t>
      </w:r>
      <w:proofErr w:type="gramEnd"/>
      <w:r>
        <w:rPr>
          <w:rFonts w:ascii="仿宋_GB2312" w:eastAsia="仿宋_GB2312" w:hint="eastAsia"/>
          <w:sz w:val="28"/>
        </w:rPr>
        <w:t>分宜县、渝水区和新余国家高新技术产业开发区、</w:t>
      </w:r>
      <w:proofErr w:type="gramStart"/>
      <w:r>
        <w:rPr>
          <w:rFonts w:ascii="仿宋_GB2312" w:eastAsia="仿宋_GB2312" w:hint="eastAsia"/>
          <w:sz w:val="28"/>
        </w:rPr>
        <w:t>仙女湖</w:t>
      </w:r>
      <w:proofErr w:type="gramEnd"/>
      <w:r>
        <w:rPr>
          <w:rFonts w:ascii="仿宋_GB2312" w:eastAsia="仿宋_GB2312" w:hint="eastAsia"/>
          <w:sz w:val="28"/>
        </w:rPr>
        <w:t>风景名胜区、</w:t>
      </w:r>
      <w:proofErr w:type="gramStart"/>
      <w:r>
        <w:rPr>
          <w:rFonts w:ascii="仿宋_GB2312" w:eastAsia="仿宋_GB2312" w:hint="eastAsia"/>
          <w:sz w:val="28"/>
        </w:rPr>
        <w:t>新宜吉</w:t>
      </w:r>
      <w:proofErr w:type="gramEnd"/>
      <w:r>
        <w:rPr>
          <w:rFonts w:ascii="仿宋_GB2312" w:eastAsia="仿宋_GB2312" w:hint="eastAsia"/>
          <w:sz w:val="28"/>
        </w:rPr>
        <w:t>合作示范区，面积3178平方公里，人口120万，是全省面积最小的设区市。城镇化率达70.08%，列全省第二。“美”是山水美市。境内有九天瑶池仙女湖、千姿百态中国洞都等风景名胜区，国家森林公园仰天岗与</w:t>
      </w:r>
      <w:proofErr w:type="gramStart"/>
      <w:r>
        <w:rPr>
          <w:rFonts w:ascii="仿宋_GB2312" w:eastAsia="仿宋_GB2312" w:hint="eastAsia"/>
          <w:sz w:val="28"/>
        </w:rPr>
        <w:t>孔目江国家</w:t>
      </w:r>
      <w:proofErr w:type="gramEnd"/>
      <w:r>
        <w:rPr>
          <w:rFonts w:ascii="仿宋_GB2312" w:eastAsia="仿宋_GB2312" w:hint="eastAsia"/>
          <w:sz w:val="28"/>
        </w:rPr>
        <w:t>湿地公园相映成趣，先后荣获国家森林城市、国家园林城市、全国绿化模范城市。</w:t>
      </w:r>
    </w:p>
    <w:p w:rsidR="0054446D" w:rsidRDefault="00FB459A">
      <w:pPr>
        <w:spacing w:line="420" w:lineRule="exact"/>
        <w:ind w:firstLineChars="200" w:firstLine="560"/>
        <w:rPr>
          <w:rFonts w:ascii="仿宋_GB2312" w:eastAsia="仿宋_GB2312"/>
          <w:sz w:val="28"/>
        </w:rPr>
      </w:pPr>
      <w:r>
        <w:rPr>
          <w:rFonts w:ascii="仿宋_GB2312" w:eastAsia="仿宋_GB2312" w:hint="eastAsia"/>
          <w:sz w:val="28"/>
        </w:rPr>
        <w:t>（1）城市人口</w:t>
      </w:r>
    </w:p>
    <w:p w:rsidR="0054446D" w:rsidRDefault="00FB459A">
      <w:pPr>
        <w:spacing w:line="420" w:lineRule="exact"/>
        <w:ind w:firstLineChars="200" w:firstLine="560"/>
        <w:rPr>
          <w:rFonts w:ascii="仿宋_GB2312" w:eastAsia="仿宋_GB2312"/>
          <w:sz w:val="28"/>
        </w:rPr>
      </w:pPr>
      <w:r>
        <w:rPr>
          <w:rFonts w:ascii="仿宋_GB2312" w:eastAsia="仿宋_GB2312" w:hint="eastAsia"/>
          <w:sz w:val="28"/>
        </w:rPr>
        <w:t>根据第七次全国人口普查结果，新余市常住人口总数为1202499人。</w:t>
      </w:r>
    </w:p>
    <w:p w:rsidR="0054446D" w:rsidRDefault="00FB459A">
      <w:pPr>
        <w:spacing w:line="420" w:lineRule="exact"/>
        <w:ind w:firstLineChars="200" w:firstLine="560"/>
        <w:rPr>
          <w:rFonts w:ascii="仿宋_GB2312" w:eastAsia="仿宋_GB2312"/>
          <w:sz w:val="28"/>
        </w:rPr>
      </w:pPr>
      <w:r>
        <w:rPr>
          <w:rFonts w:ascii="仿宋_GB2312" w:eastAsia="仿宋_GB2312" w:hint="eastAsia"/>
          <w:sz w:val="28"/>
        </w:rPr>
        <w:t>（2）城市面积</w:t>
      </w:r>
    </w:p>
    <w:p w:rsidR="0054446D" w:rsidRDefault="00FB459A">
      <w:pPr>
        <w:spacing w:line="420" w:lineRule="exact"/>
        <w:ind w:firstLineChars="200" w:firstLine="560"/>
        <w:rPr>
          <w:rFonts w:ascii="仿宋_GB2312" w:eastAsia="仿宋_GB2312"/>
          <w:sz w:val="28"/>
        </w:rPr>
      </w:pPr>
      <w:r>
        <w:rPr>
          <w:rFonts w:ascii="仿宋_GB2312" w:eastAsia="仿宋_GB2312"/>
          <w:sz w:val="28"/>
        </w:rPr>
        <w:t>截至2020年底，新余市辖</w:t>
      </w:r>
      <w:proofErr w:type="gramStart"/>
      <w:r>
        <w:rPr>
          <w:rFonts w:ascii="仿宋_GB2312" w:eastAsia="仿宋_GB2312"/>
          <w:sz w:val="28"/>
        </w:rPr>
        <w:t>辖</w:t>
      </w:r>
      <w:proofErr w:type="gramEnd"/>
      <w:r w:rsidR="00F513B3">
        <w:fldChar w:fldCharType="begin"/>
      </w:r>
      <w:r w:rsidR="00F513B3">
        <w:instrText>HYPERLINK "https://baike.baidu.com/item/%E5%88%86%E5%AE%9C%E5%8E%BF/1931909" \t "_blank"</w:instrText>
      </w:r>
      <w:r w:rsidR="00F513B3">
        <w:fldChar w:fldCharType="separate"/>
      </w:r>
      <w:r>
        <w:rPr>
          <w:rFonts w:ascii="仿宋_GB2312" w:eastAsia="仿宋_GB2312"/>
          <w:sz w:val="28"/>
        </w:rPr>
        <w:t>分宜县</w:t>
      </w:r>
      <w:r w:rsidR="00F513B3">
        <w:fldChar w:fldCharType="end"/>
      </w:r>
      <w:r>
        <w:rPr>
          <w:rFonts w:ascii="仿宋_GB2312" w:eastAsia="仿宋_GB2312"/>
          <w:sz w:val="28"/>
        </w:rPr>
        <w:t>、</w:t>
      </w:r>
      <w:hyperlink r:id="rId13" w:tgtFrame="_blank" w:history="1">
        <w:r>
          <w:rPr>
            <w:rFonts w:ascii="仿宋_GB2312" w:eastAsia="仿宋_GB2312"/>
            <w:sz w:val="28"/>
          </w:rPr>
          <w:t>渝水区</w:t>
        </w:r>
      </w:hyperlink>
      <w:r>
        <w:rPr>
          <w:rFonts w:ascii="仿宋_GB2312" w:eastAsia="仿宋_GB2312"/>
          <w:sz w:val="28"/>
        </w:rPr>
        <w:t>、</w:t>
      </w:r>
      <w:hyperlink r:id="rId14" w:tgtFrame="_blank" w:history="1">
        <w:proofErr w:type="gramStart"/>
        <w:r>
          <w:rPr>
            <w:rFonts w:ascii="仿宋_GB2312" w:eastAsia="仿宋_GB2312"/>
            <w:sz w:val="28"/>
          </w:rPr>
          <w:t>仙女湖</w:t>
        </w:r>
        <w:proofErr w:type="gramEnd"/>
        <w:r>
          <w:rPr>
            <w:rFonts w:ascii="仿宋_GB2312" w:eastAsia="仿宋_GB2312"/>
            <w:sz w:val="28"/>
          </w:rPr>
          <w:t>风景名胜区</w:t>
        </w:r>
      </w:hyperlink>
      <w:r>
        <w:rPr>
          <w:rFonts w:ascii="仿宋_GB2312" w:eastAsia="仿宋_GB2312"/>
          <w:sz w:val="28"/>
        </w:rPr>
        <w:t>、</w:t>
      </w:r>
      <w:hyperlink r:id="rId15" w:tgtFrame="_blank" w:history="1">
        <w:r>
          <w:rPr>
            <w:rFonts w:ascii="仿宋_GB2312" w:eastAsia="仿宋_GB2312"/>
            <w:sz w:val="28"/>
          </w:rPr>
          <w:t>新余高新技术产业开发区</w:t>
        </w:r>
      </w:hyperlink>
      <w:r>
        <w:rPr>
          <w:rFonts w:ascii="仿宋_GB2312" w:eastAsia="仿宋_GB2312"/>
          <w:sz w:val="28"/>
        </w:rPr>
        <w:t>1个区，1个县，1风景区，1开发区；设10个乡、16个镇、10个办事处，有392个村民委员会、3739个村民小组</w:t>
      </w:r>
      <w:r>
        <w:rPr>
          <w:rFonts w:ascii="仿宋_GB2312" w:eastAsia="仿宋_GB2312" w:hint="eastAsia"/>
          <w:sz w:val="28"/>
        </w:rPr>
        <w:t>。全市总面积3178平方公里(占全省总面积的1.9%),其中渝水区面积1785.92平方公里,分宜县面积1391.76平方公里。</w:t>
      </w:r>
    </w:p>
    <w:p w:rsidR="0054446D" w:rsidRDefault="00FB459A">
      <w:pPr>
        <w:spacing w:line="420" w:lineRule="exact"/>
        <w:ind w:firstLineChars="200" w:firstLine="560"/>
        <w:rPr>
          <w:rFonts w:ascii="仿宋_GB2312" w:eastAsia="仿宋_GB2312"/>
          <w:sz w:val="28"/>
        </w:rPr>
      </w:pPr>
      <w:r>
        <w:rPr>
          <w:rFonts w:ascii="仿宋_GB2312" w:eastAsia="仿宋_GB2312" w:hint="eastAsia"/>
          <w:sz w:val="28"/>
        </w:rPr>
        <w:t>新余是一座历史悠久的城市。新余在三国吴宝鼎二年（公元267年）建县，至今已有1750多年的建城史。新余人文荟萃、名人辈出，文有江西第一个状元卢肇，其在唐代会昌三年（公元843年）中得状元、年仅25岁，一生仕进之余笔耕不辍，</w:t>
      </w:r>
      <w:proofErr w:type="gramStart"/>
      <w:r>
        <w:rPr>
          <w:rFonts w:ascii="仿宋_GB2312" w:eastAsia="仿宋_GB2312" w:hint="eastAsia"/>
          <w:sz w:val="28"/>
        </w:rPr>
        <w:t>官誉文声</w:t>
      </w:r>
      <w:proofErr w:type="gramEnd"/>
      <w:r>
        <w:rPr>
          <w:rFonts w:ascii="仿宋_GB2312" w:eastAsia="仿宋_GB2312" w:hint="eastAsia"/>
          <w:sz w:val="28"/>
        </w:rPr>
        <w:t>俱佳。武有晚清爱国名将张春发，在中法战争等抵御外来侵略和维护国家统一的战斗中，屡立战功，历任广东陆路提督、湖北提督、云南提督等职，受封为建威将军、荣禄大夫，</w:t>
      </w:r>
      <w:proofErr w:type="gramStart"/>
      <w:r>
        <w:rPr>
          <w:rFonts w:ascii="仿宋_GB2312" w:eastAsia="仿宋_GB2312" w:hint="eastAsia"/>
          <w:sz w:val="28"/>
        </w:rPr>
        <w:t>赏袭云骑</w:t>
      </w:r>
      <w:proofErr w:type="gramEnd"/>
      <w:r>
        <w:rPr>
          <w:rFonts w:ascii="仿宋_GB2312" w:eastAsia="仿宋_GB2312" w:hint="eastAsia"/>
          <w:sz w:val="28"/>
        </w:rPr>
        <w:t>尉世职。政有明朝权臣严嵩，63岁入阁拜相，居次辅6年、首辅15年。艺有一代国画宗师傅抱石，其与关山月合作的《江山如此多娇》现收藏于人民大会堂。</w:t>
      </w:r>
      <w:proofErr w:type="gramStart"/>
      <w:r>
        <w:rPr>
          <w:rFonts w:ascii="仿宋_GB2312" w:eastAsia="仿宋_GB2312" w:hint="eastAsia"/>
          <w:sz w:val="28"/>
        </w:rPr>
        <w:t>医</w:t>
      </w:r>
      <w:proofErr w:type="gramEnd"/>
      <w:r>
        <w:rPr>
          <w:rFonts w:ascii="仿宋_GB2312" w:eastAsia="仿宋_GB2312" w:hint="eastAsia"/>
          <w:sz w:val="28"/>
        </w:rPr>
        <w:t>有发明了艾滋病鸡尾酒疗法的医学博士何大</w:t>
      </w:r>
      <w:proofErr w:type="gramStart"/>
      <w:r>
        <w:rPr>
          <w:rFonts w:ascii="仿宋_GB2312" w:eastAsia="仿宋_GB2312" w:hint="eastAsia"/>
          <w:sz w:val="28"/>
        </w:rPr>
        <w:t>一</w:t>
      </w:r>
      <w:proofErr w:type="gramEnd"/>
      <w:r>
        <w:rPr>
          <w:rFonts w:ascii="仿宋_GB2312" w:eastAsia="仿宋_GB2312" w:hint="eastAsia"/>
          <w:sz w:val="28"/>
        </w:rPr>
        <w:t>，其集美国国家医学院院士、美国艺术与科学院院士、中国工程院外籍院士三重院士头衔于一身。</w:t>
      </w:r>
      <w:proofErr w:type="gramStart"/>
      <w:r>
        <w:rPr>
          <w:rFonts w:ascii="仿宋_GB2312" w:eastAsia="仿宋_GB2312" w:hint="eastAsia"/>
          <w:sz w:val="28"/>
        </w:rPr>
        <w:t>仙有七</w:t>
      </w:r>
      <w:proofErr w:type="gramEnd"/>
      <w:r>
        <w:rPr>
          <w:rFonts w:ascii="仿宋_GB2312" w:eastAsia="仿宋_GB2312" w:hint="eastAsia"/>
          <w:sz w:val="28"/>
        </w:rPr>
        <w:t>仙女下凡传说，最早见于东晋文学家干宝所著《搜神记》，情山爱水</w:t>
      </w:r>
      <w:proofErr w:type="gramStart"/>
      <w:r>
        <w:rPr>
          <w:rFonts w:ascii="仿宋_GB2312" w:eastAsia="仿宋_GB2312" w:hint="eastAsia"/>
          <w:sz w:val="28"/>
        </w:rPr>
        <w:t>仙女湖因此</w:t>
      </w:r>
      <w:proofErr w:type="gramEnd"/>
      <w:r>
        <w:rPr>
          <w:rFonts w:ascii="仿宋_GB2312" w:eastAsia="仿宋_GB2312" w:hint="eastAsia"/>
          <w:sz w:val="28"/>
        </w:rPr>
        <w:t>得名，获</w:t>
      </w:r>
      <w:proofErr w:type="gramStart"/>
      <w:r>
        <w:rPr>
          <w:rFonts w:ascii="仿宋_GB2312" w:eastAsia="仿宋_GB2312" w:hint="eastAsia"/>
          <w:sz w:val="28"/>
        </w:rPr>
        <w:t>批中国</w:t>
      </w:r>
      <w:proofErr w:type="gramEnd"/>
      <w:r>
        <w:rPr>
          <w:rFonts w:ascii="仿宋_GB2312" w:eastAsia="仿宋_GB2312" w:hint="eastAsia"/>
          <w:sz w:val="28"/>
        </w:rPr>
        <w:t>七仙女传说之乡。书有世界科学名篇《天工开物》，为明代科学家宋应星在分宜县任教</w:t>
      </w:r>
      <w:proofErr w:type="gramStart"/>
      <w:r>
        <w:rPr>
          <w:rFonts w:ascii="仿宋_GB2312" w:eastAsia="仿宋_GB2312" w:hint="eastAsia"/>
          <w:sz w:val="28"/>
        </w:rPr>
        <w:t>谕</w:t>
      </w:r>
      <w:proofErr w:type="gramEnd"/>
      <w:r>
        <w:rPr>
          <w:rFonts w:ascii="仿宋_GB2312" w:eastAsia="仿宋_GB2312" w:hint="eastAsia"/>
          <w:sz w:val="28"/>
        </w:rPr>
        <w:t>期间所著，是世界上第一部关于农业和手工业生产的综合性著作；还有光辉巨著《兴国调查》，1930年毛泽东同志在渝水区罗坊镇召集8个兴国籍农民召开会议，写下了这篇震烁古今的报告。</w:t>
      </w:r>
    </w:p>
    <w:p w:rsidR="0054446D" w:rsidRDefault="00FB459A">
      <w:pPr>
        <w:spacing w:line="420" w:lineRule="exact"/>
        <w:ind w:firstLineChars="200" w:firstLine="560"/>
        <w:rPr>
          <w:rFonts w:ascii="仿宋_GB2312" w:eastAsia="仿宋_GB2312"/>
          <w:sz w:val="28"/>
        </w:rPr>
      </w:pPr>
      <w:r>
        <w:rPr>
          <w:rFonts w:ascii="仿宋_GB2312" w:eastAsia="仿宋_GB2312" w:hint="eastAsia"/>
          <w:sz w:val="28"/>
        </w:rPr>
        <w:t>新余是一座工业发达的城市。新余是钢城，钢铁产业是新余工业的铁骨脊梁，新余设市、撤市和</w:t>
      </w:r>
      <w:proofErr w:type="gramStart"/>
      <w:r>
        <w:rPr>
          <w:rFonts w:ascii="仿宋_GB2312" w:eastAsia="仿宋_GB2312" w:hint="eastAsia"/>
          <w:sz w:val="28"/>
        </w:rPr>
        <w:t>复市</w:t>
      </w:r>
      <w:proofErr w:type="gramEnd"/>
      <w:r>
        <w:rPr>
          <w:rFonts w:ascii="仿宋_GB2312" w:eastAsia="仿宋_GB2312" w:hint="eastAsia"/>
          <w:sz w:val="28"/>
        </w:rPr>
        <w:t>均与钢铁产业的发展直接相关，目前钢铁产业集群列全省重点调度产业集群第二位，龙头企业新钢公司经济效益进入全国大中型钢铁企业前10名。新余也是全国唯一的国家新能源科技示范城，在国内率先形成了从硅料到应用的完整光</w:t>
      </w:r>
      <w:proofErr w:type="gramStart"/>
      <w:r>
        <w:rPr>
          <w:rFonts w:ascii="仿宋_GB2312" w:eastAsia="仿宋_GB2312" w:hint="eastAsia"/>
          <w:sz w:val="28"/>
        </w:rPr>
        <w:t>伏产业</w:t>
      </w:r>
      <w:proofErr w:type="gramEnd"/>
      <w:r>
        <w:rPr>
          <w:rFonts w:ascii="仿宋_GB2312" w:eastAsia="仿宋_GB2312" w:hint="eastAsia"/>
          <w:sz w:val="28"/>
        </w:rPr>
        <w:t>链。新余还是一座新兴产业城，锂电产业发展势成燎原，电子信息产业成为全省打造万亿级电子信息产业集群的重要拼图。</w:t>
      </w:r>
    </w:p>
    <w:p w:rsidR="0054446D" w:rsidRDefault="00FB459A">
      <w:pPr>
        <w:spacing w:line="420" w:lineRule="exact"/>
        <w:ind w:firstLineChars="200" w:firstLine="560"/>
        <w:rPr>
          <w:rFonts w:ascii="仿宋_GB2312" w:eastAsia="仿宋_GB2312"/>
          <w:sz w:val="28"/>
        </w:rPr>
      </w:pPr>
      <w:r>
        <w:rPr>
          <w:rFonts w:ascii="仿宋_GB2312" w:eastAsia="仿宋_GB2312" w:hint="eastAsia"/>
          <w:sz w:val="28"/>
        </w:rPr>
        <w:t>新余是一座改革创新的城市。改革是新余立市之魂，新余敢闯敢试、敢为人先，全力打造“四最”营商环境，大力推动“五型”政府建设，连续两年获</w:t>
      </w:r>
      <w:proofErr w:type="gramStart"/>
      <w:r>
        <w:rPr>
          <w:rFonts w:ascii="仿宋_GB2312" w:eastAsia="仿宋_GB2312" w:hint="eastAsia"/>
          <w:sz w:val="28"/>
        </w:rPr>
        <w:t>评全省</w:t>
      </w:r>
      <w:proofErr w:type="gramEnd"/>
      <w:r>
        <w:rPr>
          <w:rFonts w:ascii="仿宋_GB2312" w:eastAsia="仿宋_GB2312" w:hint="eastAsia"/>
          <w:sz w:val="28"/>
        </w:rPr>
        <w:t>全面深化改革工作先进市，连续两年荣获全省高质量发展先进市。城市公立医院综合改革获国务院通报表扬，被确定为首批国家级示范城市，在全国首创引入商业保险机构参与家庭医生签约服务新模式；国家文化消费试点城市创建工作获国家文化和旅游部通报奖励，荣获国家公共文化服务体系示范区称号；农村“颐养之家”建设经验走进了“中南海”，获国务院领导同志当面表扬。</w:t>
      </w:r>
    </w:p>
    <w:p w:rsidR="0054446D" w:rsidRDefault="00FB459A">
      <w:pPr>
        <w:spacing w:line="420" w:lineRule="exact"/>
        <w:ind w:firstLineChars="200" w:firstLine="560"/>
        <w:rPr>
          <w:rFonts w:ascii="仿宋_GB2312" w:eastAsia="仿宋_GB2312"/>
          <w:sz w:val="28"/>
        </w:rPr>
      </w:pPr>
      <w:r>
        <w:rPr>
          <w:rFonts w:ascii="仿宋_GB2312" w:eastAsia="仿宋_GB2312" w:hint="eastAsia"/>
          <w:sz w:val="28"/>
        </w:rPr>
        <w:t>新余是一座宜</w:t>
      </w:r>
      <w:proofErr w:type="gramStart"/>
      <w:r>
        <w:rPr>
          <w:rFonts w:ascii="仿宋_GB2312" w:eastAsia="仿宋_GB2312" w:hint="eastAsia"/>
          <w:sz w:val="28"/>
        </w:rPr>
        <w:t>居宜业</w:t>
      </w:r>
      <w:proofErr w:type="gramEnd"/>
      <w:r>
        <w:rPr>
          <w:rFonts w:ascii="仿宋_GB2312" w:eastAsia="仿宋_GB2312" w:hint="eastAsia"/>
          <w:sz w:val="28"/>
        </w:rPr>
        <w:t>的城市。学在新余放心，新余耕读之风自古盛行，历年高考录取率均高于全省平均水平。居在新余舒心，签发了全国电子社保</w:t>
      </w:r>
      <w:proofErr w:type="gramStart"/>
      <w:r>
        <w:rPr>
          <w:rFonts w:ascii="仿宋_GB2312" w:eastAsia="仿宋_GB2312" w:hint="eastAsia"/>
          <w:sz w:val="28"/>
        </w:rPr>
        <w:t>卡试点</w:t>
      </w:r>
      <w:proofErr w:type="gramEnd"/>
      <w:r>
        <w:rPr>
          <w:rFonts w:ascii="仿宋_GB2312" w:eastAsia="仿宋_GB2312" w:hint="eastAsia"/>
          <w:sz w:val="28"/>
        </w:rPr>
        <w:t>地区首卡，是全省房价“洼地”；城乡供水一体化走在全国前列，1200多个50户以上的自然村村民全部喝上自来水，彻底解决了农村饮水安全问题；农村“颐养之家”实现符合条件有需求的老人全覆盖，晓康诊所覆盖所有行政村，乡镇红绿灯实现全覆盖；4个区域性养老服务中心和20个城市“颐养之家”建成投用，入选第三批中央财政支持开展居家和社区养老服务改革试点城市。吃在新余安心，“柔、滑、弹、鲜”的水北米粉通过台湾中视《大陆寻奇》节目走向海内外，新余蜜桔远销东南亚、欧洲等地，惊艳了众多食客的味蕾；全力创建国家食品安全示范城市；赣西军粮综合保障配送基地、市三粮库退城进</w:t>
      </w:r>
      <w:proofErr w:type="gramStart"/>
      <w:r>
        <w:rPr>
          <w:rFonts w:ascii="仿宋_GB2312" w:eastAsia="仿宋_GB2312" w:hint="eastAsia"/>
          <w:sz w:val="28"/>
        </w:rPr>
        <w:t>郊和粮食物流园</w:t>
      </w:r>
      <w:proofErr w:type="gramEnd"/>
      <w:r>
        <w:rPr>
          <w:rFonts w:ascii="仿宋_GB2312" w:eastAsia="仿宋_GB2312" w:hint="eastAsia"/>
          <w:sz w:val="28"/>
        </w:rPr>
        <w:t>项目正加速推进，现代粮食产业园一期主体工程年内将完工，赣</w:t>
      </w:r>
      <w:proofErr w:type="gramStart"/>
      <w:r>
        <w:rPr>
          <w:rFonts w:ascii="仿宋_GB2312" w:eastAsia="仿宋_GB2312" w:hint="eastAsia"/>
          <w:sz w:val="28"/>
        </w:rPr>
        <w:t>西粮食</w:t>
      </w:r>
      <w:proofErr w:type="gramEnd"/>
      <w:r>
        <w:rPr>
          <w:rFonts w:ascii="仿宋_GB2312" w:eastAsia="仿宋_GB2312" w:hint="eastAsia"/>
          <w:sz w:val="28"/>
        </w:rPr>
        <w:t>加工中心建设已卓有成效。行在新余顺心，新余处南昌、长沙、武汉三个省会城市三角中心，浙赣（沪昆）铁路横贯东西，</w:t>
      </w:r>
      <w:proofErr w:type="gramStart"/>
      <w:r>
        <w:rPr>
          <w:rFonts w:ascii="仿宋_GB2312" w:eastAsia="仿宋_GB2312" w:hint="eastAsia"/>
          <w:sz w:val="28"/>
        </w:rPr>
        <w:t>浩</w:t>
      </w:r>
      <w:proofErr w:type="gramEnd"/>
      <w:r>
        <w:rPr>
          <w:rFonts w:ascii="仿宋_GB2312" w:eastAsia="仿宋_GB2312" w:hint="eastAsia"/>
          <w:sz w:val="28"/>
        </w:rPr>
        <w:t>吉铁路贯通南北，</w:t>
      </w:r>
      <w:proofErr w:type="gramStart"/>
      <w:r>
        <w:rPr>
          <w:rFonts w:ascii="仿宋_GB2312" w:eastAsia="仿宋_GB2312" w:hint="eastAsia"/>
          <w:sz w:val="28"/>
        </w:rPr>
        <w:t>京九铁路傍市而</w:t>
      </w:r>
      <w:proofErr w:type="gramEnd"/>
      <w:r>
        <w:rPr>
          <w:rFonts w:ascii="仿宋_GB2312" w:eastAsia="仿宋_GB2312" w:hint="eastAsia"/>
          <w:sz w:val="28"/>
        </w:rPr>
        <w:t>过，沪昆、大广、赣粤三条高速公路途经新余，</w:t>
      </w:r>
      <w:proofErr w:type="gramStart"/>
      <w:r>
        <w:rPr>
          <w:rFonts w:ascii="仿宋_GB2312" w:eastAsia="仿宋_GB2312" w:hint="eastAsia"/>
          <w:sz w:val="28"/>
        </w:rPr>
        <w:t>沪昆高</w:t>
      </w:r>
      <w:proofErr w:type="gramEnd"/>
      <w:r>
        <w:rPr>
          <w:rFonts w:ascii="仿宋_GB2312" w:eastAsia="仿宋_GB2312" w:hint="eastAsia"/>
          <w:sz w:val="28"/>
        </w:rPr>
        <w:t>铁在新余设站，乘高铁到南昌半小时、长沙1小时、武汉3小时；投资38.3亿元的环城路通车在即，抓住江西内陆开放型经济试验区建设的重大机遇，正全力谋划布局袁河三级航道开发、港口建设和新余南部高速公路项目，全市“铁公水空”立体交通网的宏大构想正在逐梦前行。游在新余开心，仙女湖水光潋滟、帆影重重，春夏秋冬四时姿态各异，是天下有情人的朝圣之地；仰天岗层峦耸翠，登上峰顶，俯瞰车水马龙，远眺河溪如练，可知造化巧夺天工；湿地公园、洞都、蒙山、百丈峰等景点星罗棋布、数不胜数，全市绿化覆盖率达51.37%。</w:t>
      </w:r>
    </w:p>
    <w:p w:rsidR="0054446D" w:rsidRDefault="00FB459A">
      <w:pPr>
        <w:spacing w:line="420" w:lineRule="exact"/>
        <w:ind w:firstLineChars="200" w:firstLine="560"/>
        <w:rPr>
          <w:rFonts w:ascii="仿宋_GB2312" w:eastAsia="仿宋_GB2312"/>
          <w:sz w:val="28"/>
        </w:rPr>
      </w:pPr>
      <w:r>
        <w:rPr>
          <w:rFonts w:ascii="仿宋_GB2312" w:eastAsia="仿宋_GB2312" w:hint="eastAsia"/>
          <w:sz w:val="28"/>
        </w:rPr>
        <w:t>（3）城市自然条件</w:t>
      </w:r>
    </w:p>
    <w:p w:rsidR="0054446D" w:rsidRDefault="00FB459A">
      <w:pPr>
        <w:spacing w:line="420" w:lineRule="exact"/>
        <w:ind w:firstLineChars="200" w:firstLine="560"/>
        <w:rPr>
          <w:rFonts w:ascii="仿宋" w:eastAsia="仿宋" w:hAnsi="仿宋"/>
          <w:snapToGrid w:val="0"/>
          <w:sz w:val="28"/>
          <w:szCs w:val="28"/>
        </w:rPr>
      </w:pPr>
      <w:r>
        <w:rPr>
          <w:rFonts w:ascii="仿宋" w:eastAsia="仿宋" w:hAnsi="仿宋"/>
          <w:snapToGrid w:val="0"/>
          <w:sz w:val="28"/>
          <w:szCs w:val="28"/>
        </w:rPr>
        <w:t>新余市属亚热带湿润性气候，具有四季分明，气候温和，日照充足，雨量充沛，无霜期长，严冬较短的特征。新余市气候温和，年平均气温17.7</w:t>
      </w:r>
      <w:r>
        <w:rPr>
          <w:rFonts w:ascii="仿宋" w:eastAsia="仿宋" w:hAnsi="仿宋" w:hint="eastAsia"/>
          <w:snapToGrid w:val="0"/>
          <w:sz w:val="28"/>
          <w:szCs w:val="28"/>
        </w:rPr>
        <w:t>℃</w:t>
      </w:r>
      <w:r>
        <w:rPr>
          <w:rFonts w:ascii="仿宋" w:eastAsia="仿宋" w:hAnsi="仿宋"/>
          <w:snapToGrid w:val="0"/>
          <w:sz w:val="28"/>
          <w:szCs w:val="28"/>
        </w:rPr>
        <w:t>，7月份是全年最热时期，月平均气温为29.4</w:t>
      </w:r>
      <w:r>
        <w:rPr>
          <w:rFonts w:ascii="仿宋" w:eastAsia="仿宋" w:hAnsi="仿宋" w:hint="eastAsia"/>
          <w:snapToGrid w:val="0"/>
          <w:sz w:val="28"/>
          <w:szCs w:val="28"/>
        </w:rPr>
        <w:t>℃</w:t>
      </w:r>
      <w:r>
        <w:rPr>
          <w:rFonts w:ascii="仿宋" w:eastAsia="仿宋" w:hAnsi="仿宋"/>
          <w:snapToGrid w:val="0"/>
          <w:sz w:val="28"/>
          <w:szCs w:val="28"/>
        </w:rPr>
        <w:t>，极端最高气温40.0</w:t>
      </w:r>
      <w:r>
        <w:rPr>
          <w:rFonts w:ascii="仿宋" w:eastAsia="仿宋" w:hAnsi="仿宋" w:hint="eastAsia"/>
          <w:snapToGrid w:val="0"/>
          <w:sz w:val="28"/>
          <w:szCs w:val="28"/>
        </w:rPr>
        <w:t>℃</w:t>
      </w:r>
      <w:r>
        <w:rPr>
          <w:rFonts w:ascii="仿宋" w:eastAsia="仿宋" w:hAnsi="仿宋"/>
          <w:snapToGrid w:val="0"/>
          <w:sz w:val="28"/>
          <w:szCs w:val="28"/>
        </w:rPr>
        <w:t>。1月份是全年最冷时期，月平均气温5.4</w:t>
      </w:r>
      <w:r>
        <w:rPr>
          <w:rFonts w:ascii="仿宋" w:eastAsia="仿宋" w:hAnsi="仿宋" w:hint="eastAsia"/>
          <w:snapToGrid w:val="0"/>
          <w:sz w:val="28"/>
          <w:szCs w:val="28"/>
        </w:rPr>
        <w:t>℃</w:t>
      </w:r>
      <w:r>
        <w:rPr>
          <w:rFonts w:ascii="仿宋" w:eastAsia="仿宋" w:hAnsi="仿宋"/>
          <w:snapToGrid w:val="0"/>
          <w:sz w:val="28"/>
          <w:szCs w:val="28"/>
        </w:rPr>
        <w:t>，极端最低气温零下7.2</w:t>
      </w:r>
      <w:r>
        <w:rPr>
          <w:rFonts w:ascii="仿宋" w:eastAsia="仿宋" w:hAnsi="仿宋" w:hint="eastAsia"/>
          <w:snapToGrid w:val="0"/>
          <w:sz w:val="28"/>
          <w:szCs w:val="28"/>
        </w:rPr>
        <w:t>℃</w:t>
      </w:r>
      <w:r>
        <w:rPr>
          <w:rFonts w:ascii="仿宋" w:eastAsia="仿宋" w:hAnsi="仿宋"/>
          <w:snapToGrid w:val="0"/>
          <w:sz w:val="28"/>
          <w:szCs w:val="28"/>
        </w:rPr>
        <w:t>。年平均相对湿度80%，3月份高达84%外，7月份仅74%外</w:t>
      </w:r>
      <w:r>
        <w:rPr>
          <w:rFonts w:ascii="仿宋" w:eastAsia="仿宋" w:hAnsi="仿宋" w:hint="eastAsia"/>
          <w:snapToGrid w:val="0"/>
          <w:sz w:val="28"/>
          <w:szCs w:val="28"/>
        </w:rPr>
        <w:t>。</w:t>
      </w:r>
    </w:p>
    <w:p w:rsidR="0054446D" w:rsidRDefault="00FB459A">
      <w:pPr>
        <w:spacing w:line="420" w:lineRule="exact"/>
        <w:ind w:firstLineChars="200" w:firstLine="560"/>
        <w:rPr>
          <w:rFonts w:ascii="仿宋" w:eastAsia="仿宋" w:hAnsi="仿宋"/>
          <w:snapToGrid w:val="0"/>
          <w:sz w:val="28"/>
          <w:szCs w:val="28"/>
        </w:rPr>
      </w:pPr>
      <w:r>
        <w:rPr>
          <w:rFonts w:ascii="仿宋" w:eastAsia="仿宋" w:hAnsi="仿宋" w:hint="eastAsia"/>
          <w:snapToGrid w:val="0"/>
          <w:sz w:val="28"/>
          <w:szCs w:val="28"/>
        </w:rPr>
        <w:t>新余市地貌,根据江西省地貌图划分,隶属于赣西中低山与丘陵区(大区)之“萍乡-高安侵蚀剥蚀丘陵盆地(亚区)和</w:t>
      </w:r>
      <w:proofErr w:type="gramStart"/>
      <w:r>
        <w:rPr>
          <w:rFonts w:ascii="仿宋" w:eastAsia="仿宋" w:hAnsi="仿宋" w:hint="eastAsia"/>
          <w:snapToGrid w:val="0"/>
          <w:sz w:val="28"/>
          <w:szCs w:val="28"/>
        </w:rPr>
        <w:t>赣抚</w:t>
      </w:r>
      <w:proofErr w:type="gramEnd"/>
      <w:r>
        <w:rPr>
          <w:rFonts w:ascii="仿宋" w:eastAsia="仿宋" w:hAnsi="仿宋" w:hint="eastAsia"/>
          <w:snapToGrid w:val="0"/>
          <w:sz w:val="28"/>
          <w:szCs w:val="28"/>
        </w:rPr>
        <w:t>中游河谷阶地与丘陵区”(大区)中段,南北高,中间低平,袁河横贯其间,东部敞开。地貌基本形态有低山、高丘陵、低丘陵、岗地、阶地、平原6种类型。地貌成因类型有侵蚀构造地形、侵蚀剥蚀地形、溶蚀侵蚀地形和堆积地形。境内山地,大部分布在境界边缘,南部为武功山和九龙山,北部为蒙山,西南部为大岗山。海拔高度为500~1000米,成为与邻县的边界线或分水岭。山脉走向,以由北到西南为主。由于地质结构关系,一般表现为山峰耸立、山势险峻、沟谷深壑。地</w:t>
      </w:r>
      <w:proofErr w:type="gramStart"/>
      <w:r>
        <w:rPr>
          <w:rFonts w:ascii="仿宋" w:eastAsia="仿宋" w:hAnsi="仿宋" w:hint="eastAsia"/>
          <w:snapToGrid w:val="0"/>
          <w:sz w:val="28"/>
          <w:szCs w:val="28"/>
        </w:rPr>
        <w:t>处分宜县西南部</w:t>
      </w:r>
      <w:proofErr w:type="gramEnd"/>
      <w:r>
        <w:rPr>
          <w:rFonts w:ascii="仿宋" w:eastAsia="仿宋" w:hAnsi="仿宋" w:hint="eastAsia"/>
          <w:snapToGrid w:val="0"/>
          <w:sz w:val="28"/>
          <w:szCs w:val="28"/>
        </w:rPr>
        <w:t>的大岗山主峰海拔1091.8米,为境内第一高峰;蒙山主峰海拔1004.5米。市区的西北边界山地沿北向西南发展,即人和、欧里、</w:t>
      </w:r>
      <w:proofErr w:type="gramStart"/>
      <w:r>
        <w:rPr>
          <w:rFonts w:ascii="仿宋" w:eastAsia="仿宋" w:hAnsi="仿宋" w:hint="eastAsia"/>
          <w:snapToGrid w:val="0"/>
          <w:sz w:val="28"/>
          <w:szCs w:val="28"/>
        </w:rPr>
        <w:t>界水一线</w:t>
      </w:r>
      <w:proofErr w:type="gramEnd"/>
      <w:r>
        <w:rPr>
          <w:rFonts w:ascii="仿宋" w:eastAsia="仿宋" w:hAnsi="仿宋" w:hint="eastAsia"/>
          <w:snapToGrid w:val="0"/>
          <w:sz w:val="28"/>
          <w:szCs w:val="28"/>
        </w:rPr>
        <w:t>;南面山地相对高度为120~200米。山脉由西向东延伸至百丈峰,形成与峡江、吉安、新干等县的山地边界。袁河是流经新余市的主要河流,属赣江水系,横贯东西,境内河段长116.9公里。</w:t>
      </w:r>
    </w:p>
    <w:p w:rsidR="0054446D" w:rsidRDefault="00FB459A">
      <w:pPr>
        <w:spacing w:line="420" w:lineRule="exact"/>
        <w:ind w:firstLineChars="200" w:firstLine="560"/>
        <w:rPr>
          <w:rFonts w:ascii="仿宋" w:eastAsia="仿宋" w:hAnsi="仿宋"/>
          <w:snapToGrid w:val="0"/>
          <w:sz w:val="28"/>
          <w:szCs w:val="28"/>
        </w:rPr>
      </w:pPr>
      <w:r>
        <w:rPr>
          <w:rFonts w:ascii="仿宋" w:eastAsia="仿宋" w:hAnsi="仿宋"/>
          <w:snapToGrid w:val="0"/>
          <w:sz w:val="28"/>
          <w:szCs w:val="28"/>
        </w:rPr>
        <w:t>新余市水资源总量达59.5395亿立方米，其中区域外流入25.4368亿立方米。地表水的来源主要是河川径流量，</w:t>
      </w:r>
      <w:proofErr w:type="gramStart"/>
      <w:r>
        <w:rPr>
          <w:rFonts w:ascii="仿宋" w:eastAsia="仿宋" w:hAnsi="仿宋"/>
          <w:snapToGrid w:val="0"/>
          <w:sz w:val="28"/>
          <w:szCs w:val="28"/>
        </w:rPr>
        <w:t>少许是</w:t>
      </w:r>
      <w:proofErr w:type="gramEnd"/>
      <w:r>
        <w:rPr>
          <w:rFonts w:ascii="仿宋" w:eastAsia="仿宋" w:hAnsi="仿宋"/>
          <w:snapToGrid w:val="0"/>
          <w:sz w:val="28"/>
          <w:szCs w:val="28"/>
        </w:rPr>
        <w:t>山泉水，全市大部分地区径流量均在750～900毫米之间，总的趋势是西北部大于东南部，山区大于袁河下游平原地区，以杨桥河水系为最高，普遍大于850毫米。以南安口水系为最低，在780毫米左右。其他地区在800毫米左右。全市平均为800毫米，径流的地区分布不均，而且径流的年份内分配也不均，因流川径流主要靠降水补给，多年平均降水量为1600毫米，季节性变化较大。全市地下水平均储量达8.79亿立方米，其中可供开发利用的有3.44亿立方米，主要分布于</w:t>
      </w:r>
      <w:proofErr w:type="gramStart"/>
      <w:r>
        <w:rPr>
          <w:rFonts w:ascii="仿宋" w:eastAsia="仿宋" w:hAnsi="仿宋"/>
          <w:snapToGrid w:val="0"/>
          <w:sz w:val="28"/>
          <w:szCs w:val="28"/>
        </w:rPr>
        <w:t>松散岩类地下水</w:t>
      </w:r>
      <w:proofErr w:type="gramEnd"/>
      <w:r>
        <w:rPr>
          <w:rFonts w:ascii="仿宋" w:eastAsia="仿宋" w:hAnsi="仿宋"/>
          <w:snapToGrid w:val="0"/>
          <w:sz w:val="28"/>
          <w:szCs w:val="28"/>
        </w:rPr>
        <w:t>和岩溶型地下水</w:t>
      </w:r>
      <w:r>
        <w:rPr>
          <w:rFonts w:ascii="仿宋" w:eastAsia="仿宋" w:hAnsi="仿宋" w:hint="eastAsia"/>
          <w:snapToGrid w:val="0"/>
          <w:sz w:val="28"/>
          <w:szCs w:val="28"/>
        </w:rPr>
        <w:t>。</w:t>
      </w:r>
    </w:p>
    <w:p w:rsidR="0054446D" w:rsidRDefault="00FB459A">
      <w:pPr>
        <w:pStyle w:val="20"/>
        <w:rPr>
          <w:rFonts w:ascii="仿宋" w:eastAsia="仿宋" w:hAnsi="仿宋" w:cs="Times New Roman"/>
          <w:snapToGrid w:val="0"/>
          <w:sz w:val="28"/>
          <w:szCs w:val="28"/>
        </w:rPr>
      </w:pPr>
      <w:r>
        <w:rPr>
          <w:rFonts w:ascii="仿宋" w:eastAsia="仿宋" w:hAnsi="仿宋" w:cs="Times New Roman"/>
          <w:snapToGrid w:val="0"/>
          <w:sz w:val="28"/>
          <w:szCs w:val="28"/>
        </w:rPr>
        <w:t>新余市林地面积共177.89万亩（其中分宜85.10万亩），森林活立木总蓄积量为311.55万立方米，其中以杉木为优势的树种蓄积146.64万立方米，占总蓄积量的56.81%，肠，以马尾松为主的松木为80.46万立方米，占31.18%外；以阔叶树为优势的为30.99万立方米，占12.01%。树种除杉松外，还有储、</w:t>
      </w:r>
      <w:proofErr w:type="gramStart"/>
      <w:r>
        <w:rPr>
          <w:rFonts w:ascii="仿宋" w:eastAsia="仿宋" w:hAnsi="仿宋" w:cs="Times New Roman"/>
          <w:snapToGrid w:val="0"/>
          <w:sz w:val="28"/>
          <w:szCs w:val="28"/>
        </w:rPr>
        <w:t>樟</w:t>
      </w:r>
      <w:proofErr w:type="gramEnd"/>
      <w:r>
        <w:rPr>
          <w:rFonts w:ascii="仿宋" w:eastAsia="仿宋" w:hAnsi="仿宋" w:cs="Times New Roman"/>
          <w:snapToGrid w:val="0"/>
          <w:sz w:val="28"/>
          <w:szCs w:val="28"/>
        </w:rPr>
        <w:t>、榆、</w:t>
      </w:r>
      <w:proofErr w:type="gramStart"/>
      <w:r>
        <w:rPr>
          <w:rFonts w:ascii="仿宋" w:eastAsia="仿宋" w:hAnsi="仿宋" w:cs="Times New Roman"/>
          <w:snapToGrid w:val="0"/>
          <w:sz w:val="28"/>
          <w:szCs w:val="28"/>
        </w:rPr>
        <w:t>榉</w:t>
      </w:r>
      <w:proofErr w:type="gramEnd"/>
      <w:r>
        <w:rPr>
          <w:rFonts w:ascii="仿宋" w:eastAsia="仿宋" w:hAnsi="仿宋" w:cs="Times New Roman"/>
          <w:snapToGrid w:val="0"/>
          <w:sz w:val="28"/>
          <w:szCs w:val="28"/>
        </w:rPr>
        <w:t>、柏、</w:t>
      </w:r>
      <w:proofErr w:type="gramStart"/>
      <w:r>
        <w:rPr>
          <w:rFonts w:ascii="仿宋" w:eastAsia="仿宋" w:hAnsi="仿宋" w:cs="Times New Roman"/>
          <w:snapToGrid w:val="0"/>
          <w:sz w:val="28"/>
          <w:szCs w:val="28"/>
        </w:rPr>
        <w:t>梓</w:t>
      </w:r>
      <w:proofErr w:type="gramEnd"/>
      <w:r>
        <w:rPr>
          <w:rFonts w:ascii="仿宋" w:eastAsia="仿宋" w:hAnsi="仿宋" w:cs="Times New Roman"/>
          <w:snapToGrid w:val="0"/>
          <w:sz w:val="28"/>
          <w:szCs w:val="28"/>
        </w:rPr>
        <w:t>、杨、槐、</w:t>
      </w:r>
      <w:proofErr w:type="gramStart"/>
      <w:r>
        <w:rPr>
          <w:rFonts w:ascii="仿宋" w:eastAsia="仿宋" w:hAnsi="仿宋" w:cs="Times New Roman"/>
          <w:snapToGrid w:val="0"/>
          <w:sz w:val="28"/>
          <w:szCs w:val="28"/>
        </w:rPr>
        <w:t>柞</w:t>
      </w:r>
      <w:proofErr w:type="gramEnd"/>
      <w:r>
        <w:rPr>
          <w:rFonts w:ascii="仿宋" w:eastAsia="仿宋" w:hAnsi="仿宋" w:cs="Times New Roman"/>
          <w:snapToGrid w:val="0"/>
          <w:sz w:val="28"/>
          <w:szCs w:val="28"/>
        </w:rPr>
        <w:t>、桐、柳、枫、桑、乌柏、油桐、楠、椅等。树种组成可概括为“六杉三马一阔”</w:t>
      </w:r>
      <w:r>
        <w:rPr>
          <w:rFonts w:ascii="仿宋" w:eastAsia="仿宋" w:hAnsi="仿宋" w:cs="Times New Roman" w:hint="eastAsia"/>
          <w:snapToGrid w:val="0"/>
          <w:sz w:val="28"/>
          <w:szCs w:val="28"/>
        </w:rPr>
        <w:t>。</w:t>
      </w:r>
    </w:p>
    <w:p w:rsidR="0054446D" w:rsidRDefault="00FB459A">
      <w:pPr>
        <w:spacing w:line="420" w:lineRule="exact"/>
        <w:ind w:firstLineChars="200" w:firstLine="560"/>
        <w:rPr>
          <w:rFonts w:ascii="仿宋" w:eastAsia="仿宋" w:hAnsi="仿宋"/>
          <w:snapToGrid w:val="0"/>
          <w:sz w:val="28"/>
          <w:szCs w:val="28"/>
        </w:rPr>
      </w:pPr>
      <w:r>
        <w:rPr>
          <w:rFonts w:ascii="仿宋" w:eastAsia="仿宋" w:hAnsi="仿宋"/>
          <w:snapToGrid w:val="0"/>
          <w:sz w:val="28"/>
          <w:szCs w:val="28"/>
        </w:rPr>
        <w:t>新余市矿产资源较为丰富，尤以铁、煤为最。全市已发现的矿产资源种类有32个矿种，占全省已发现矿种的23.5%，可划分为黑色金属矿产、有色金属矿产、贵金属矿产、非金属矿产和燃料矿产盆大类。其中：黑色金属矿产主要有铁矿；有色金属矿产主要有钨、铋、</w:t>
      </w:r>
      <w:proofErr w:type="gramStart"/>
      <w:r>
        <w:rPr>
          <w:rFonts w:ascii="仿宋" w:eastAsia="仿宋" w:hAnsi="仿宋"/>
          <w:snapToGrid w:val="0"/>
          <w:sz w:val="28"/>
          <w:szCs w:val="28"/>
        </w:rPr>
        <w:t>钼</w:t>
      </w:r>
      <w:proofErr w:type="gramEnd"/>
      <w:r>
        <w:rPr>
          <w:rFonts w:ascii="仿宋" w:eastAsia="仿宋" w:hAnsi="仿宋"/>
          <w:snapToGrid w:val="0"/>
          <w:sz w:val="28"/>
          <w:szCs w:val="28"/>
        </w:rPr>
        <w:t>、铍、铜、铅锌、锑、汞等；贵金属矿产主要有金、银；非金属矿</w:t>
      </w:r>
      <w:proofErr w:type="gramStart"/>
      <w:r>
        <w:rPr>
          <w:rFonts w:ascii="仿宋" w:eastAsia="仿宋" w:hAnsi="仿宋"/>
          <w:snapToGrid w:val="0"/>
          <w:sz w:val="28"/>
          <w:szCs w:val="28"/>
        </w:rPr>
        <w:t>产主要</w:t>
      </w:r>
      <w:proofErr w:type="gramEnd"/>
      <w:r>
        <w:rPr>
          <w:rFonts w:ascii="仿宋" w:eastAsia="仿宋" w:hAnsi="仿宋"/>
          <w:snapToGrid w:val="0"/>
          <w:sz w:val="28"/>
          <w:szCs w:val="28"/>
        </w:rPr>
        <w:t>有硅灰石、透辉石、硫铁矿、粉石英、高岭土、熔剂灰岩、水泥灰岩、大理岩、白云岩、镁质粘土、水晶、萤石、冰洲石、磷、石棉、海泡石等；燃料矿产有煤、泥炭</w:t>
      </w:r>
      <w:r>
        <w:rPr>
          <w:rFonts w:ascii="仿宋" w:eastAsia="仿宋" w:hAnsi="仿宋" w:hint="eastAsia"/>
          <w:snapToGrid w:val="0"/>
          <w:sz w:val="28"/>
          <w:szCs w:val="28"/>
        </w:rPr>
        <w:t>。</w:t>
      </w:r>
    </w:p>
    <w:p w:rsidR="0054446D" w:rsidRDefault="00FB459A">
      <w:pPr>
        <w:spacing w:line="420" w:lineRule="exact"/>
        <w:ind w:firstLineChars="200" w:firstLine="560"/>
        <w:rPr>
          <w:rFonts w:ascii="仿宋" w:eastAsia="仿宋" w:hAnsi="仿宋"/>
          <w:snapToGrid w:val="0"/>
          <w:sz w:val="28"/>
          <w:szCs w:val="28"/>
        </w:rPr>
      </w:pPr>
      <w:r>
        <w:rPr>
          <w:rFonts w:ascii="仿宋" w:eastAsia="仿宋" w:hAnsi="仿宋" w:hint="eastAsia"/>
          <w:snapToGrid w:val="0"/>
          <w:sz w:val="28"/>
          <w:szCs w:val="28"/>
        </w:rPr>
        <w:t>2、社会经济发展状况</w:t>
      </w:r>
    </w:p>
    <w:p w:rsidR="0054446D" w:rsidRDefault="00FB459A">
      <w:pPr>
        <w:spacing w:line="420" w:lineRule="exact"/>
        <w:ind w:firstLineChars="200" w:firstLine="560"/>
        <w:rPr>
          <w:rFonts w:ascii="仿宋" w:eastAsia="仿宋" w:hAnsi="仿宋"/>
          <w:snapToGrid w:val="0"/>
          <w:sz w:val="28"/>
          <w:szCs w:val="28"/>
        </w:rPr>
      </w:pPr>
      <w:r>
        <w:rPr>
          <w:rFonts w:ascii="仿宋" w:eastAsia="仿宋" w:hAnsi="仿宋" w:hint="eastAsia"/>
          <w:snapToGrid w:val="0"/>
          <w:sz w:val="28"/>
          <w:szCs w:val="28"/>
        </w:rPr>
        <w:t>（1）2021年全国经济发展状况</w:t>
      </w:r>
    </w:p>
    <w:p w:rsidR="0054446D" w:rsidRDefault="00FB459A">
      <w:pPr>
        <w:spacing w:line="420" w:lineRule="exact"/>
        <w:ind w:firstLineChars="200" w:firstLine="560"/>
        <w:rPr>
          <w:rFonts w:ascii="仿宋" w:eastAsia="仿宋" w:hAnsi="仿宋"/>
          <w:snapToGrid w:val="0"/>
          <w:sz w:val="28"/>
          <w:szCs w:val="28"/>
        </w:rPr>
      </w:pPr>
      <w:r>
        <w:rPr>
          <w:rFonts w:ascii="仿宋" w:eastAsia="仿宋" w:hAnsi="仿宋"/>
          <w:snapToGrid w:val="0"/>
          <w:sz w:val="28"/>
          <w:szCs w:val="28"/>
        </w:rPr>
        <w:t>2021年是党和国家历史上具有里程碑意义的一年。在以习近平同志为核心的党中央坚强领导下，各地区各部门坚持以习近平新时代中国特色社会主义思想为指导，全面贯彻党的十九大和十九届历次全会精神，弘扬伟大建党精神，按照党中央、国务院决策部署，坚持稳中求进工作总基调，完整、准确、全面贯彻新发展理念，加快构建新发展格局，全面深化改革开放，坚持创新驱动发展，推动高质量发展。我们隆重庆祝中国共产党成立一百周年，实现第一个百年奋斗目标，开启向第二个百年奋斗目标进军新征程，沉着应对百年变局和世纪疫情，构建新发展格局迈出新步伐，高质量发展取得新成效，实现了“十四五”良好开局。我国经济发展和疫情防控保持全球领先地位，国家战略科技力量加快壮大，产业链韧性得到提升，改革开放向纵深推进，民生保障有力有效，生态文明建设持续推进。这些成绩的取得，是以习近平同志为核心的党中央坚强领导的结果，是全党全国各族人民</w:t>
      </w:r>
      <w:proofErr w:type="gramStart"/>
      <w:r>
        <w:rPr>
          <w:rFonts w:ascii="仿宋" w:eastAsia="仿宋" w:hAnsi="仿宋"/>
          <w:snapToGrid w:val="0"/>
          <w:sz w:val="28"/>
          <w:szCs w:val="28"/>
        </w:rPr>
        <w:t>勠</w:t>
      </w:r>
      <w:proofErr w:type="gramEnd"/>
      <w:r>
        <w:rPr>
          <w:rFonts w:ascii="仿宋" w:eastAsia="仿宋" w:hAnsi="仿宋"/>
          <w:snapToGrid w:val="0"/>
          <w:sz w:val="28"/>
          <w:szCs w:val="28"/>
        </w:rPr>
        <w:t>力同心、艰苦奋斗的结果</w:t>
      </w:r>
      <w:r>
        <w:rPr>
          <w:rFonts w:ascii="仿宋" w:eastAsia="仿宋" w:hAnsi="仿宋" w:hint="eastAsia"/>
          <w:snapToGrid w:val="0"/>
          <w:sz w:val="28"/>
          <w:szCs w:val="28"/>
        </w:rPr>
        <w:t>。</w:t>
      </w:r>
    </w:p>
    <w:p w:rsidR="0054446D" w:rsidRDefault="00FB459A">
      <w:pPr>
        <w:spacing w:line="420" w:lineRule="exact"/>
        <w:ind w:firstLineChars="200" w:firstLine="560"/>
        <w:rPr>
          <w:rFonts w:ascii="仿宋" w:eastAsia="仿宋" w:hAnsi="仿宋"/>
          <w:snapToGrid w:val="0"/>
          <w:sz w:val="28"/>
          <w:szCs w:val="28"/>
        </w:rPr>
      </w:pPr>
      <w:r>
        <w:rPr>
          <w:rFonts w:ascii="仿宋" w:eastAsia="仿宋" w:hAnsi="仿宋"/>
          <w:snapToGrid w:val="0"/>
          <w:sz w:val="28"/>
          <w:szCs w:val="28"/>
        </w:rPr>
        <w:t>初步核算，全年国内生产总值[2]1143670亿元，比上年增长8.1%，两年平均增长[3]5.1%。其中，第一产业增加值83086亿元，比上年增长7.1%；第二产业增加值450904亿元，增长8.2%；第三产业增加值609680亿元，增长8.2%。第一产业增加值占国内生产总值比重为7.3%，第二产业增加值比重为39.4%，第三产业增加值比重为53.3%。全年最终消费支出拉动国内生产总值增长5.3个百分点，资本形成总额拉动国内生产总值增长1.1个百分点，货物和服务净出口拉动国内生产总值增长1.7个百分点。全年人均国内生产总值80976元，比上年增长8.0%。国民总收入[4]1133518亿元，比上年增长7.9%。全员劳动生产率[5]为146380元/人，比上年提高8.7%</w:t>
      </w:r>
      <w:r>
        <w:rPr>
          <w:rFonts w:ascii="仿宋" w:eastAsia="仿宋" w:hAnsi="仿宋" w:hint="eastAsia"/>
          <w:snapToGrid w:val="0"/>
          <w:sz w:val="28"/>
          <w:szCs w:val="28"/>
        </w:rPr>
        <w:t>。</w:t>
      </w:r>
    </w:p>
    <w:p w:rsidR="0054446D" w:rsidRDefault="00FB459A">
      <w:pPr>
        <w:spacing w:line="420" w:lineRule="exact"/>
        <w:ind w:firstLineChars="200" w:firstLine="560"/>
        <w:rPr>
          <w:rFonts w:ascii="仿宋_GB2312" w:eastAsia="仿宋_GB2312"/>
          <w:sz w:val="28"/>
        </w:rPr>
      </w:pPr>
      <w:r>
        <w:rPr>
          <w:rFonts w:ascii="仿宋_GB2312" w:eastAsia="仿宋_GB2312" w:hint="eastAsia"/>
          <w:sz w:val="28"/>
        </w:rPr>
        <w:t>（2）2021年新余市经济发展状况</w:t>
      </w:r>
    </w:p>
    <w:p w:rsidR="0054446D" w:rsidRDefault="00FB459A">
      <w:pPr>
        <w:spacing w:line="420" w:lineRule="exact"/>
        <w:ind w:firstLineChars="200" w:firstLine="560"/>
        <w:rPr>
          <w:rFonts w:ascii="仿宋" w:eastAsia="仿宋" w:hAnsi="仿宋"/>
          <w:snapToGrid w:val="0"/>
          <w:sz w:val="28"/>
          <w:szCs w:val="28"/>
        </w:rPr>
      </w:pPr>
      <w:r>
        <w:rPr>
          <w:rFonts w:ascii="仿宋" w:eastAsia="仿宋" w:hAnsi="仿宋" w:hint="eastAsia"/>
          <w:snapToGrid w:val="0"/>
          <w:sz w:val="28"/>
          <w:szCs w:val="28"/>
        </w:rPr>
        <w:t>2021年是中国共产党成立100周年,是“十四五”开局之年,也是新余“工小美”决胜新辉煌、开启更辉煌承前启后之年。全市上下坚持以习近平新时代中国特色社会主义思想为指导,全面贯彻党的十九大和十九届历次全会精神,深入学习贯彻习近平总书记视察江西重要讲话精神,聚焦“作示范、勇争先”的目标定位,坚定“工小美”战略,锚定“四地”目标、落实“七提”要求,扎实做好“六稳”工作,全面落实“六保”任务,持续巩固拓展疫情防控和经济社会发展成果,全市经济保持平稳恢复,经济实力持续增强,发展质效明显提升,新旧动能加快转换,城乡发展更加融合,民生福祉持续改善,高质量跨越式发展取得新成效,顺利实现了“十四五”良好开局。</w:t>
      </w:r>
    </w:p>
    <w:p w:rsidR="0054446D" w:rsidRDefault="00FB459A">
      <w:pPr>
        <w:spacing w:line="420" w:lineRule="exact"/>
        <w:ind w:firstLineChars="200" w:firstLine="560"/>
        <w:rPr>
          <w:rFonts w:ascii="仿宋" w:eastAsia="仿宋" w:hAnsi="仿宋"/>
          <w:snapToGrid w:val="0"/>
          <w:sz w:val="28"/>
          <w:szCs w:val="28"/>
        </w:rPr>
      </w:pPr>
      <w:r>
        <w:rPr>
          <w:rFonts w:ascii="仿宋" w:eastAsia="仿宋" w:hAnsi="仿宋" w:hint="eastAsia"/>
          <w:snapToGrid w:val="0"/>
          <w:sz w:val="28"/>
          <w:szCs w:val="28"/>
        </w:rPr>
        <w:t>经江西省统计局统一核算,2021年新余市生产总值1154.6亿元,比上年增长8.6%。其中,第一产业增加值70.62亿元,增长8.0%;第二产业增加值537.21亿元,增长8.0%;第三产业增加值546.77亿元,增长9.3%。三次产业结构为6.1:46.5:47.4,三次产业对GDP增长的贡献率分别为6.4%、42.0%和51.6%。人均国内生产总值96025元,增长8.3%,按年平均汇率计算,折合14884美元。非公有制经济增加值700.24亿元,增长10.1%,占GDP的比重为60.6%,对GDP的贡献率为70.0%</w:t>
      </w:r>
      <w:r>
        <w:rPr>
          <w:rFonts w:ascii="仿宋" w:eastAsia="仿宋" w:hAnsi="仿宋"/>
          <w:snapToGrid w:val="0"/>
          <w:sz w:val="28"/>
          <w:szCs w:val="28"/>
        </w:rPr>
        <w:t>。</w:t>
      </w:r>
    </w:p>
    <w:p w:rsidR="0054446D" w:rsidRDefault="00FB459A">
      <w:pPr>
        <w:spacing w:line="420" w:lineRule="exact"/>
        <w:ind w:firstLineChars="200" w:firstLine="560"/>
        <w:rPr>
          <w:rFonts w:ascii="仿宋" w:eastAsia="仿宋" w:hAnsi="仿宋"/>
          <w:snapToGrid w:val="0"/>
          <w:sz w:val="28"/>
          <w:szCs w:val="28"/>
        </w:rPr>
      </w:pPr>
      <w:r>
        <w:rPr>
          <w:rFonts w:ascii="仿宋" w:eastAsia="仿宋" w:hAnsi="仿宋" w:hint="eastAsia"/>
          <w:snapToGrid w:val="0"/>
          <w:sz w:val="28"/>
          <w:szCs w:val="28"/>
        </w:rPr>
        <w:t>2021年末新余市常住人口120.21万人。其中,城镇人口89.12万人,占总人口的比重为74.14%,比上年末提高0.55个百分点。全年出生人口0.82万人,出生率6.79‰;死亡人口0.73万人,死亡率6.10‰;自然增长率0.69‰。</w:t>
      </w:r>
    </w:p>
    <w:p w:rsidR="0054446D" w:rsidRDefault="00FB459A">
      <w:pPr>
        <w:spacing w:line="420" w:lineRule="exact"/>
        <w:ind w:firstLineChars="200" w:firstLine="560"/>
        <w:rPr>
          <w:rFonts w:ascii="仿宋" w:eastAsia="仿宋" w:hAnsi="仿宋"/>
          <w:snapToGrid w:val="0"/>
          <w:sz w:val="28"/>
          <w:szCs w:val="28"/>
        </w:rPr>
      </w:pPr>
      <w:r>
        <w:rPr>
          <w:rFonts w:ascii="仿宋" w:eastAsia="仿宋" w:hAnsi="仿宋" w:hint="eastAsia"/>
          <w:snapToGrid w:val="0"/>
          <w:sz w:val="28"/>
          <w:szCs w:val="28"/>
        </w:rPr>
        <w:t>2021全年新增城镇就业1.76万人,新增转移农村劳动力1.49万人,年末城镇登记失业率2.9%。就业困难人员就业0.15万人。共发放创业担保贷款5.6亿元,扶持个人创业0.22万人次,带动就业0.93万人次.</w:t>
      </w:r>
    </w:p>
    <w:p w:rsidR="0054446D" w:rsidRDefault="00FB459A">
      <w:pPr>
        <w:spacing w:line="420" w:lineRule="exact"/>
        <w:ind w:firstLineChars="200" w:firstLine="560"/>
        <w:rPr>
          <w:rFonts w:ascii="仿宋" w:eastAsia="仿宋" w:hAnsi="仿宋"/>
          <w:snapToGrid w:val="0"/>
          <w:sz w:val="28"/>
          <w:szCs w:val="28"/>
        </w:rPr>
      </w:pPr>
      <w:r>
        <w:rPr>
          <w:rFonts w:ascii="仿宋" w:eastAsia="仿宋" w:hAnsi="仿宋" w:hint="eastAsia"/>
          <w:snapToGrid w:val="0"/>
          <w:sz w:val="28"/>
          <w:szCs w:val="28"/>
        </w:rPr>
        <w:t>居民消费价格温和上涨。全年全市居民消费价格(CPI)比上年上涨0.7%,涨幅比上年回落1.8个百分点。其中,服务价格上涨0.6%,消费品价格上涨0.9%,非食品价格上涨1.4%,扣除鲜菜鲜果价格上涨0.6%。构成CPI的八大类商品服务价格“四涨三降一平”。交通和通信上涨5.0%,生活用品及服务上涨1.6%,居住上涨1.2%,教育文化和娱乐上涨1.0%,医疗保健与上年持平,食品烟酒下降0.7%,衣着下降1.5%,其他用品和服务下降2.3%。商品零售价格总指数上涨1.7%。</w:t>
      </w:r>
    </w:p>
    <w:p w:rsidR="0054446D" w:rsidRDefault="00FB459A">
      <w:pPr>
        <w:spacing w:line="420" w:lineRule="exact"/>
        <w:ind w:firstLineChars="200" w:firstLine="560"/>
        <w:rPr>
          <w:rFonts w:ascii="仿宋" w:eastAsia="仿宋" w:hAnsi="仿宋"/>
          <w:snapToGrid w:val="0"/>
          <w:sz w:val="28"/>
          <w:szCs w:val="28"/>
        </w:rPr>
      </w:pPr>
      <w:r>
        <w:rPr>
          <w:rFonts w:ascii="仿宋" w:eastAsia="仿宋" w:hAnsi="仿宋" w:hint="eastAsia"/>
          <w:snapToGrid w:val="0"/>
          <w:sz w:val="28"/>
          <w:szCs w:val="28"/>
        </w:rPr>
        <w:t>①农业生产总体平稳增长</w:t>
      </w:r>
    </w:p>
    <w:p w:rsidR="0054446D" w:rsidRDefault="00FB459A">
      <w:pPr>
        <w:spacing w:line="420" w:lineRule="exact"/>
        <w:ind w:firstLineChars="200" w:firstLine="560"/>
        <w:rPr>
          <w:rFonts w:ascii="仿宋" w:eastAsia="仿宋" w:hAnsi="仿宋"/>
          <w:snapToGrid w:val="0"/>
          <w:sz w:val="28"/>
          <w:szCs w:val="28"/>
        </w:rPr>
      </w:pPr>
      <w:r>
        <w:rPr>
          <w:rFonts w:ascii="仿宋" w:eastAsia="仿宋" w:hAnsi="仿宋" w:hint="eastAsia"/>
          <w:snapToGrid w:val="0"/>
          <w:sz w:val="28"/>
          <w:szCs w:val="28"/>
        </w:rPr>
        <w:t>全年全市农林牧渔业总产值124.84亿元,比上年增长9.8%。粮食种植面积102219公顷,增长1.1%。其中,谷物种植面积94018公顷,增长1.1%;豆类种植面积4215公顷,增长7.5%;薯类种植面积3987公顷,下降6.1%。油料种植面积12282公顷,增长9.6%。蔬菜种植面积13076公顷,增长2.9%。棉花种植面积396公顷,下降75.8%。生麻种植面积1525公顷,增长1.5%。</w:t>
      </w:r>
    </w:p>
    <w:p w:rsidR="0054446D" w:rsidRDefault="00FB459A">
      <w:pPr>
        <w:spacing w:line="420" w:lineRule="exact"/>
        <w:ind w:firstLineChars="200" w:firstLine="560"/>
        <w:rPr>
          <w:rFonts w:ascii="仿宋" w:eastAsia="仿宋" w:hAnsi="仿宋"/>
          <w:snapToGrid w:val="0"/>
          <w:sz w:val="28"/>
          <w:szCs w:val="28"/>
        </w:rPr>
      </w:pPr>
      <w:r>
        <w:rPr>
          <w:rFonts w:ascii="仿宋" w:eastAsia="仿宋" w:hAnsi="仿宋" w:hint="eastAsia"/>
          <w:snapToGrid w:val="0"/>
          <w:sz w:val="28"/>
          <w:szCs w:val="28"/>
        </w:rPr>
        <w:t>全年全市粮食总产量56.4万吨,比上年增长1.5%。其中,早稻19.1万吨,下降15.4%;中稻及一季晚稻12.4万吨,增长157.2%;二季晚稻23.5万吨,下降7.4%。油料产量25203吨,增长9.1%。其中,花生12646吨,增长3.3%;油菜籽12031吨,增长21.6%。棉花产量691吨,下降73.4%。茶叶产量314吨,增长1.6%。水果产量14.58万吨,下降2.5%。其中,柑桔产量11.97万吨,下降1.0%。蔬菜产量26.17万吨,增长6.4%</w:t>
      </w:r>
      <w:r>
        <w:rPr>
          <w:rFonts w:ascii="仿宋" w:eastAsia="仿宋" w:hAnsi="仿宋"/>
          <w:snapToGrid w:val="0"/>
          <w:sz w:val="28"/>
          <w:szCs w:val="28"/>
        </w:rPr>
        <w:t>。</w:t>
      </w:r>
    </w:p>
    <w:p w:rsidR="0054446D" w:rsidRDefault="00FB459A">
      <w:pPr>
        <w:spacing w:line="420" w:lineRule="exact"/>
        <w:ind w:firstLineChars="200" w:firstLine="560"/>
        <w:rPr>
          <w:rFonts w:ascii="仿宋" w:eastAsia="仿宋" w:hAnsi="仿宋"/>
          <w:snapToGrid w:val="0"/>
          <w:sz w:val="28"/>
          <w:szCs w:val="28"/>
        </w:rPr>
      </w:pPr>
      <w:r>
        <w:rPr>
          <w:rFonts w:ascii="仿宋" w:eastAsia="仿宋" w:hAnsi="仿宋" w:hint="eastAsia"/>
          <w:snapToGrid w:val="0"/>
          <w:sz w:val="28"/>
          <w:szCs w:val="28"/>
        </w:rPr>
        <w:t>②工业、建筑业生产稳定增长</w:t>
      </w:r>
    </w:p>
    <w:p w:rsidR="0054446D" w:rsidRDefault="00FB459A">
      <w:pPr>
        <w:spacing w:line="420" w:lineRule="exact"/>
        <w:ind w:firstLineChars="200" w:firstLine="560"/>
        <w:rPr>
          <w:rFonts w:ascii="仿宋" w:eastAsia="仿宋" w:hAnsi="仿宋"/>
          <w:snapToGrid w:val="0"/>
          <w:sz w:val="28"/>
          <w:szCs w:val="28"/>
        </w:rPr>
      </w:pPr>
      <w:r>
        <w:rPr>
          <w:rFonts w:ascii="仿宋" w:eastAsia="仿宋" w:hAnsi="仿宋" w:hint="eastAsia"/>
          <w:snapToGrid w:val="0"/>
          <w:sz w:val="28"/>
          <w:szCs w:val="28"/>
        </w:rPr>
        <w:t>全年全市工业增加值447.34亿元,比上年增长8.6%;规模以上工业增加值比上年增长11.1%。分轻重工业看,轻工业增长11.7%;重工业增长11.0%。分经济类型看,集体企业增长10.8%;股份制企业增长12.1%;私营企业增长11.1%;外商及港澳台商投资企业下降40.1%。分门类看,采掘业增长12.0%,制造业增长10.4%,电力、热力、燃气及水生产和供应业增长34.2%</w:t>
      </w:r>
      <w:r>
        <w:rPr>
          <w:rFonts w:ascii="仿宋" w:eastAsia="仿宋" w:hAnsi="仿宋"/>
          <w:snapToGrid w:val="0"/>
          <w:sz w:val="28"/>
          <w:szCs w:val="28"/>
        </w:rPr>
        <w:t>。</w:t>
      </w:r>
    </w:p>
    <w:p w:rsidR="0054446D" w:rsidRDefault="00FB459A">
      <w:pPr>
        <w:spacing w:line="420" w:lineRule="exact"/>
        <w:ind w:firstLineChars="200" w:firstLine="560"/>
        <w:rPr>
          <w:rFonts w:ascii="仿宋" w:eastAsia="仿宋" w:hAnsi="仿宋"/>
          <w:snapToGrid w:val="0"/>
          <w:sz w:val="28"/>
          <w:szCs w:val="28"/>
        </w:rPr>
      </w:pPr>
      <w:r>
        <w:rPr>
          <w:rFonts w:ascii="仿宋" w:eastAsia="仿宋" w:hAnsi="仿宋" w:hint="eastAsia"/>
          <w:snapToGrid w:val="0"/>
          <w:sz w:val="28"/>
          <w:szCs w:val="28"/>
        </w:rPr>
        <w:t>主导产业转型步伐加快。“2+4”产业增加值比上年增长7.6%。其中钢铁产业增长8.5%,锂电产业增长16.8%,电子信息增长11.2%,装备制造产业增长7.5%,苎麻纺织产业增长12.8%。</w:t>
      </w:r>
    </w:p>
    <w:p w:rsidR="0054446D" w:rsidRDefault="00FB459A">
      <w:pPr>
        <w:spacing w:line="420" w:lineRule="exact"/>
        <w:ind w:firstLineChars="200" w:firstLine="560"/>
        <w:rPr>
          <w:rFonts w:ascii="仿宋" w:eastAsia="仿宋" w:hAnsi="仿宋"/>
          <w:snapToGrid w:val="0"/>
          <w:sz w:val="28"/>
          <w:szCs w:val="28"/>
        </w:rPr>
      </w:pPr>
      <w:r>
        <w:rPr>
          <w:rFonts w:ascii="仿宋" w:eastAsia="仿宋" w:hAnsi="仿宋" w:hint="eastAsia"/>
          <w:snapToGrid w:val="0"/>
          <w:sz w:val="28"/>
          <w:szCs w:val="28"/>
        </w:rPr>
        <w:t>多数行业保持增长。全市35个工业行业大类中,25个行业增加</w:t>
      </w:r>
      <w:proofErr w:type="gramStart"/>
      <w:r>
        <w:rPr>
          <w:rFonts w:ascii="仿宋" w:eastAsia="仿宋" w:hAnsi="仿宋" w:hint="eastAsia"/>
          <w:snapToGrid w:val="0"/>
          <w:sz w:val="28"/>
          <w:szCs w:val="28"/>
        </w:rPr>
        <w:t>值实现</w:t>
      </w:r>
      <w:proofErr w:type="gramEnd"/>
      <w:r>
        <w:rPr>
          <w:rFonts w:ascii="仿宋" w:eastAsia="仿宋" w:hAnsi="仿宋" w:hint="eastAsia"/>
          <w:snapToGrid w:val="0"/>
          <w:sz w:val="28"/>
          <w:szCs w:val="28"/>
        </w:rPr>
        <w:t>增长,增长面为71.4%</w:t>
      </w:r>
      <w:r>
        <w:rPr>
          <w:rFonts w:ascii="仿宋" w:eastAsia="仿宋" w:hAnsi="仿宋"/>
          <w:snapToGrid w:val="0"/>
          <w:sz w:val="28"/>
          <w:szCs w:val="28"/>
        </w:rPr>
        <w:t>。</w:t>
      </w:r>
    </w:p>
    <w:p w:rsidR="0054446D" w:rsidRDefault="00FB459A">
      <w:pPr>
        <w:spacing w:line="420" w:lineRule="exact"/>
        <w:ind w:firstLineChars="200" w:firstLine="560"/>
        <w:rPr>
          <w:rFonts w:ascii="仿宋" w:eastAsia="仿宋" w:hAnsi="仿宋"/>
          <w:snapToGrid w:val="0"/>
          <w:sz w:val="28"/>
          <w:szCs w:val="28"/>
        </w:rPr>
      </w:pPr>
      <w:r>
        <w:rPr>
          <w:rFonts w:ascii="仿宋" w:eastAsia="仿宋" w:hAnsi="仿宋" w:hint="eastAsia"/>
          <w:snapToGrid w:val="0"/>
          <w:sz w:val="28"/>
          <w:szCs w:val="28"/>
        </w:rPr>
        <w:t>全年全市规模以上工业企业实现营业收入1949.71亿元,比上年增长26.2%;实现利润总额103.32亿元,增长59.8%;每百元营业收入中的成本为89.91元,比上年下降2.2元。年末规模以上工业资产负债率为51.0%,比上年末下降3.1个百分点。年末全市园区投产工业企业564家,比上年末增加77家;安置从业人数7.38万人,增长3.3%。全年全市园区工业增加值增长13.4%,</w:t>
      </w:r>
      <w:proofErr w:type="gramStart"/>
      <w:r>
        <w:rPr>
          <w:rFonts w:ascii="仿宋" w:eastAsia="仿宋" w:hAnsi="仿宋" w:hint="eastAsia"/>
          <w:snapToGrid w:val="0"/>
          <w:sz w:val="28"/>
          <w:szCs w:val="28"/>
        </w:rPr>
        <w:t>较规模</w:t>
      </w:r>
      <w:proofErr w:type="gramEnd"/>
      <w:r>
        <w:rPr>
          <w:rFonts w:ascii="仿宋" w:eastAsia="仿宋" w:hAnsi="仿宋" w:hint="eastAsia"/>
          <w:snapToGrid w:val="0"/>
          <w:sz w:val="28"/>
          <w:szCs w:val="28"/>
        </w:rPr>
        <w:t>以上工业高2.3个百分点;实现营业收入1800.63亿元,增长33.8%;实现利润105.32亿元,增长81.8%。全年全市建筑业增加值90.21亿元,比上年增长5.0%,占生产总值比重为7.8%。全市建筑业企业实现总产值263.79亿元,增长10.9%。其中,建筑工程产值229.7亿元,增长14.1%,占建筑业总产值的87.1%;安装工程产值19.3亿元,增长3.8%,占建筑业总产值的7.3%。</w:t>
      </w:r>
    </w:p>
    <w:p w:rsidR="0054446D" w:rsidRDefault="00FB459A">
      <w:pPr>
        <w:widowControl/>
        <w:spacing w:line="420" w:lineRule="exact"/>
        <w:ind w:firstLineChars="200" w:firstLine="560"/>
        <w:jc w:val="left"/>
        <w:rPr>
          <w:rFonts w:ascii="仿宋_GB2312" w:eastAsia="仿宋_GB2312"/>
          <w:sz w:val="28"/>
          <w:szCs w:val="28"/>
        </w:rPr>
      </w:pPr>
      <w:r>
        <w:rPr>
          <w:rFonts w:ascii="仿宋_GB2312" w:eastAsia="仿宋_GB2312" w:hint="eastAsia"/>
          <w:sz w:val="28"/>
          <w:szCs w:val="28"/>
        </w:rPr>
        <w:t>③固定资产投资增速平稳</w:t>
      </w:r>
    </w:p>
    <w:p w:rsidR="0054446D" w:rsidRDefault="00FB459A">
      <w:pPr>
        <w:spacing w:line="420" w:lineRule="exact"/>
        <w:ind w:firstLineChars="200" w:firstLine="560"/>
        <w:rPr>
          <w:rFonts w:ascii="仿宋" w:eastAsia="仿宋" w:hAnsi="仿宋"/>
          <w:snapToGrid w:val="0"/>
          <w:sz w:val="28"/>
          <w:szCs w:val="28"/>
        </w:rPr>
      </w:pPr>
      <w:r>
        <w:rPr>
          <w:rFonts w:ascii="仿宋" w:eastAsia="仿宋" w:hAnsi="仿宋" w:hint="eastAsia"/>
          <w:snapToGrid w:val="0"/>
          <w:sz w:val="28"/>
          <w:szCs w:val="28"/>
        </w:rPr>
        <w:t>全年全市固定资产投资(不含农户)比上年增长9.3%。分产业看,第一产业投资增长0.7%;第二产业投资增长12.1%;第三产业投资增长5.1%。分经济类型看,国有经济投资下降13.2%;非国有经济投资增长20.3%,其中民间投资增长17.5%。从投资主要构成看,基础设施投资增长26.0%,工业投资增长12.1%,其中,工业技改投资增长30.2%,高技术产业投资增长40.0%。</w:t>
      </w:r>
      <w:proofErr w:type="gramStart"/>
      <w:r>
        <w:rPr>
          <w:rFonts w:ascii="仿宋" w:eastAsia="仿宋" w:hAnsi="仿宋" w:hint="eastAsia"/>
          <w:snapToGrid w:val="0"/>
          <w:sz w:val="28"/>
          <w:szCs w:val="28"/>
        </w:rPr>
        <w:t>赣锋锂电高容量锂</w:t>
      </w:r>
      <w:proofErr w:type="gramEnd"/>
      <w:r>
        <w:rPr>
          <w:rFonts w:ascii="仿宋" w:eastAsia="仿宋" w:hAnsi="仿宋" w:hint="eastAsia"/>
          <w:snapToGrid w:val="0"/>
          <w:sz w:val="28"/>
          <w:szCs w:val="28"/>
        </w:rPr>
        <w:t>离子动力电池、</w:t>
      </w:r>
      <w:proofErr w:type="gramStart"/>
      <w:r>
        <w:rPr>
          <w:rFonts w:ascii="仿宋" w:eastAsia="仿宋" w:hAnsi="仿宋" w:hint="eastAsia"/>
          <w:snapToGrid w:val="0"/>
          <w:sz w:val="28"/>
          <w:szCs w:val="28"/>
        </w:rPr>
        <w:t>赛维光伏</w:t>
      </w:r>
      <w:proofErr w:type="gramEnd"/>
      <w:r>
        <w:rPr>
          <w:rFonts w:ascii="仿宋" w:eastAsia="仿宋" w:hAnsi="仿宋" w:hint="eastAsia"/>
          <w:snapToGrid w:val="0"/>
          <w:sz w:val="28"/>
          <w:szCs w:val="28"/>
        </w:rPr>
        <w:t>电池组件、</w:t>
      </w:r>
      <w:proofErr w:type="gramStart"/>
      <w:r>
        <w:rPr>
          <w:rFonts w:ascii="仿宋" w:eastAsia="仿宋" w:hAnsi="仿宋" w:hint="eastAsia"/>
          <w:snapToGrid w:val="0"/>
          <w:sz w:val="28"/>
          <w:szCs w:val="28"/>
        </w:rPr>
        <w:t>日菱车业轻</w:t>
      </w:r>
      <w:proofErr w:type="gramEnd"/>
      <w:r>
        <w:rPr>
          <w:rFonts w:ascii="仿宋" w:eastAsia="仿宋" w:hAnsi="仿宋" w:hint="eastAsia"/>
          <w:snapToGrid w:val="0"/>
          <w:sz w:val="28"/>
          <w:szCs w:val="28"/>
        </w:rPr>
        <w:t>量化汽车一期等重点产业项目建成投产</w:t>
      </w:r>
      <w:r>
        <w:rPr>
          <w:rFonts w:ascii="仿宋" w:eastAsia="仿宋" w:hAnsi="仿宋"/>
          <w:snapToGrid w:val="0"/>
          <w:sz w:val="28"/>
          <w:szCs w:val="28"/>
        </w:rPr>
        <w:t>。</w:t>
      </w:r>
    </w:p>
    <w:p w:rsidR="0054446D" w:rsidRDefault="00FB459A">
      <w:pPr>
        <w:spacing w:line="420" w:lineRule="exact"/>
        <w:ind w:firstLineChars="200" w:firstLine="560"/>
        <w:rPr>
          <w:rFonts w:ascii="仿宋" w:eastAsia="仿宋" w:hAnsi="仿宋"/>
          <w:snapToGrid w:val="0"/>
          <w:sz w:val="28"/>
          <w:szCs w:val="28"/>
        </w:rPr>
      </w:pPr>
      <w:r>
        <w:rPr>
          <w:rFonts w:ascii="仿宋" w:eastAsia="仿宋" w:hAnsi="仿宋" w:hint="eastAsia"/>
          <w:snapToGrid w:val="0"/>
          <w:sz w:val="28"/>
          <w:szCs w:val="28"/>
        </w:rPr>
        <w:t>④商品房销售增长</w:t>
      </w:r>
    </w:p>
    <w:p w:rsidR="0054446D" w:rsidRDefault="00FB459A">
      <w:pPr>
        <w:spacing w:line="420" w:lineRule="exact"/>
        <w:ind w:firstLineChars="200" w:firstLine="560"/>
        <w:rPr>
          <w:rFonts w:ascii="仿宋" w:eastAsia="仿宋" w:hAnsi="仿宋"/>
          <w:snapToGrid w:val="0"/>
          <w:sz w:val="28"/>
          <w:szCs w:val="28"/>
        </w:rPr>
      </w:pPr>
      <w:r>
        <w:rPr>
          <w:rFonts w:ascii="仿宋" w:eastAsia="仿宋" w:hAnsi="仿宋" w:hint="eastAsia"/>
          <w:snapToGrid w:val="0"/>
          <w:sz w:val="28"/>
          <w:szCs w:val="28"/>
        </w:rPr>
        <w:t>全年全市房地产开发投资25.39亿元,比上年增长0.6%。其中,住宅投资20.47亿元,下降7.8%;商业营业用房投资2.86亿元,增长46.0%。商品房竣工面积157.03万平方米,增长26.0%,其中住宅112.18万平方米,增长16.7%;商品房销售面积138.46万平方米,增长11.6%,其中住宅125.49万平方米,增长11.6%;商品房待售面积37.1万平方米,下降11.5%,其中住宅13.5万平方米,增长4.5%;商品房销售额93.26亿元,增长19.8%,其中住宅85.68亿元,增长23.1%。5904户棚户区和15299户老旧小区改造相继开工</w:t>
      </w:r>
      <w:r>
        <w:rPr>
          <w:rFonts w:ascii="仿宋" w:eastAsia="仿宋" w:hAnsi="仿宋"/>
          <w:snapToGrid w:val="0"/>
          <w:sz w:val="28"/>
          <w:szCs w:val="28"/>
        </w:rPr>
        <w:t>。</w:t>
      </w:r>
    </w:p>
    <w:p w:rsidR="0054446D" w:rsidRDefault="00FB459A">
      <w:pPr>
        <w:spacing w:line="420" w:lineRule="exact"/>
        <w:ind w:firstLineChars="200" w:firstLine="560"/>
        <w:rPr>
          <w:rFonts w:ascii="仿宋" w:eastAsia="仿宋" w:hAnsi="仿宋"/>
          <w:snapToGrid w:val="0"/>
          <w:sz w:val="28"/>
          <w:szCs w:val="28"/>
        </w:rPr>
      </w:pPr>
      <w:r>
        <w:rPr>
          <w:rFonts w:ascii="仿宋" w:eastAsia="仿宋" w:hAnsi="仿宋" w:hint="eastAsia"/>
          <w:snapToGrid w:val="0"/>
          <w:sz w:val="28"/>
          <w:szCs w:val="28"/>
        </w:rPr>
        <w:t>⑤市场消费整体增加</w:t>
      </w:r>
    </w:p>
    <w:p w:rsidR="0054446D" w:rsidRDefault="00FB459A">
      <w:pPr>
        <w:spacing w:line="420" w:lineRule="exact"/>
        <w:ind w:firstLineChars="200" w:firstLine="560"/>
        <w:rPr>
          <w:rFonts w:ascii="仿宋" w:eastAsia="仿宋" w:hAnsi="仿宋"/>
          <w:snapToGrid w:val="0"/>
          <w:sz w:val="28"/>
          <w:szCs w:val="28"/>
        </w:rPr>
      </w:pPr>
      <w:r>
        <w:rPr>
          <w:rFonts w:ascii="仿宋" w:eastAsia="仿宋" w:hAnsi="仿宋" w:hint="eastAsia"/>
          <w:snapToGrid w:val="0"/>
          <w:sz w:val="28"/>
          <w:szCs w:val="28"/>
        </w:rPr>
        <w:t>全年全市社会消费品零售总额402.13亿元,比上年增长17.6%。按城乡分,城镇消费品零售额352.21亿元,增长17.5%;乡村消费品零售额49.92亿元,增长18.6%。按消费类型分,餐饮收入34.68亿元,增长34.6%;商品零售367.45亿元,增长16.2%。</w:t>
      </w:r>
    </w:p>
    <w:p w:rsidR="0054446D" w:rsidRDefault="00FB459A">
      <w:pPr>
        <w:spacing w:line="420" w:lineRule="exact"/>
        <w:ind w:firstLineChars="200" w:firstLine="560"/>
        <w:rPr>
          <w:rFonts w:ascii="仿宋" w:eastAsia="仿宋" w:hAnsi="仿宋"/>
          <w:snapToGrid w:val="0"/>
          <w:sz w:val="28"/>
          <w:szCs w:val="28"/>
        </w:rPr>
      </w:pPr>
      <w:r>
        <w:rPr>
          <w:rFonts w:ascii="仿宋" w:eastAsia="仿宋" w:hAnsi="仿宋" w:hint="eastAsia"/>
          <w:snapToGrid w:val="0"/>
          <w:sz w:val="28"/>
          <w:szCs w:val="28"/>
        </w:rPr>
        <w:t>⑥外贸进出口增长较快</w:t>
      </w:r>
    </w:p>
    <w:p w:rsidR="0054446D" w:rsidRDefault="00FB459A">
      <w:pPr>
        <w:spacing w:line="420" w:lineRule="exact"/>
        <w:ind w:firstLineChars="200" w:firstLine="560"/>
        <w:rPr>
          <w:rFonts w:ascii="仿宋" w:eastAsia="仿宋" w:hAnsi="仿宋"/>
          <w:snapToGrid w:val="0"/>
          <w:sz w:val="28"/>
          <w:szCs w:val="28"/>
        </w:rPr>
      </w:pPr>
      <w:r>
        <w:rPr>
          <w:rFonts w:ascii="仿宋" w:eastAsia="仿宋" w:hAnsi="仿宋" w:hint="eastAsia"/>
          <w:snapToGrid w:val="0"/>
          <w:sz w:val="28"/>
          <w:szCs w:val="28"/>
        </w:rPr>
        <w:t>全年全市外贸进出口总额217.25亿元,比上年增长29.9%。其中,出口91.85亿元,增长16.3%;进口125.41亿元,增长42.0%。</w:t>
      </w:r>
    </w:p>
    <w:p w:rsidR="0054446D" w:rsidRDefault="00FB459A">
      <w:pPr>
        <w:widowControl/>
        <w:spacing w:line="420" w:lineRule="exact"/>
        <w:ind w:firstLineChars="200" w:firstLine="560"/>
        <w:jc w:val="left"/>
        <w:rPr>
          <w:rFonts w:ascii="仿宋_GB2312" w:eastAsia="仿宋_GB2312"/>
          <w:sz w:val="28"/>
          <w:szCs w:val="28"/>
        </w:rPr>
      </w:pPr>
      <w:r>
        <w:rPr>
          <w:rFonts w:ascii="仿宋_GB2312" w:eastAsia="仿宋_GB2312" w:hint="eastAsia"/>
          <w:sz w:val="28"/>
          <w:szCs w:val="28"/>
        </w:rPr>
        <w:t>⑦财税收入增势平稳</w:t>
      </w:r>
    </w:p>
    <w:p w:rsidR="0054446D" w:rsidRDefault="00FB459A">
      <w:pPr>
        <w:spacing w:line="420" w:lineRule="exact"/>
        <w:ind w:firstLineChars="200" w:firstLine="560"/>
        <w:rPr>
          <w:rFonts w:ascii="仿宋" w:eastAsia="仿宋" w:hAnsi="仿宋"/>
          <w:snapToGrid w:val="0"/>
          <w:sz w:val="28"/>
          <w:szCs w:val="28"/>
        </w:rPr>
      </w:pPr>
      <w:r>
        <w:rPr>
          <w:rFonts w:ascii="仿宋" w:eastAsia="仿宋" w:hAnsi="仿宋" w:hint="eastAsia"/>
          <w:snapToGrid w:val="0"/>
          <w:sz w:val="28"/>
          <w:szCs w:val="28"/>
        </w:rPr>
        <w:t>全年财政总收入177.29亿元,比上年增长13.9%。其中,一般公共预算收入81.58亿元,增长1.5%。税收总收入159.08亿元,增长14.3%,占财政总收入的比重为89.7%,比上年提高0.3个百分点。其中,增值税101.53亿元,增长29.7%。全年一般公共预算支出157.72亿元,下降3.7%。其中,一般公共服务支出14.39亿元,增长8.0%;资源勘探信息等事务支出28.67亿元,增长30.1%;住房保障支出9.12亿元,增长24.4%</w:t>
      </w:r>
      <w:r>
        <w:rPr>
          <w:rFonts w:ascii="仿宋" w:eastAsia="仿宋" w:hAnsi="仿宋"/>
          <w:snapToGrid w:val="0"/>
          <w:sz w:val="28"/>
          <w:szCs w:val="28"/>
        </w:rPr>
        <w:t>。</w:t>
      </w:r>
    </w:p>
    <w:p w:rsidR="0054446D" w:rsidRDefault="00FB459A">
      <w:pPr>
        <w:spacing w:line="420" w:lineRule="exact"/>
        <w:ind w:firstLineChars="200" w:firstLine="560"/>
        <w:rPr>
          <w:rFonts w:ascii="仿宋" w:eastAsia="仿宋" w:hAnsi="仿宋"/>
          <w:snapToGrid w:val="0"/>
          <w:sz w:val="28"/>
          <w:szCs w:val="28"/>
        </w:rPr>
      </w:pPr>
      <w:r>
        <w:rPr>
          <w:rFonts w:ascii="仿宋" w:eastAsia="仿宋" w:hAnsi="仿宋" w:hint="eastAsia"/>
          <w:snapToGrid w:val="0"/>
          <w:sz w:val="28"/>
          <w:szCs w:val="28"/>
        </w:rPr>
        <w:t>3、不动产制度与不动产市场状况</w:t>
      </w:r>
    </w:p>
    <w:p w:rsidR="0054446D" w:rsidRDefault="00FB459A" w:rsidP="00B233C2">
      <w:pPr>
        <w:spacing w:line="420" w:lineRule="exact"/>
        <w:ind w:firstLineChars="192" w:firstLine="538"/>
        <w:rPr>
          <w:rFonts w:ascii="仿宋_GB2312" w:eastAsia="仿宋_GB2312"/>
          <w:sz w:val="28"/>
          <w:szCs w:val="28"/>
        </w:rPr>
      </w:pPr>
      <w:r>
        <w:rPr>
          <w:rFonts w:ascii="仿宋_GB2312" w:eastAsia="仿宋_GB2312" w:hint="eastAsia"/>
          <w:sz w:val="28"/>
          <w:szCs w:val="28"/>
        </w:rPr>
        <w:t>2016年2月2日，</w:t>
      </w:r>
      <w:proofErr w:type="gramStart"/>
      <w:r>
        <w:rPr>
          <w:rFonts w:ascii="仿宋_GB2312" w:eastAsia="仿宋_GB2312" w:hint="eastAsia"/>
          <w:sz w:val="28"/>
          <w:szCs w:val="28"/>
        </w:rPr>
        <w:t>央行银</w:t>
      </w:r>
      <w:proofErr w:type="gramEnd"/>
      <w:r>
        <w:rPr>
          <w:rFonts w:ascii="仿宋_GB2312" w:eastAsia="仿宋_GB2312" w:hint="eastAsia"/>
          <w:sz w:val="28"/>
          <w:szCs w:val="28"/>
        </w:rPr>
        <w:t>监会发布通知，对房地产贷款政策</w:t>
      </w:r>
      <w:proofErr w:type="gramStart"/>
      <w:r>
        <w:rPr>
          <w:rFonts w:ascii="仿宋_GB2312" w:eastAsia="仿宋_GB2312" w:hint="eastAsia"/>
          <w:sz w:val="28"/>
          <w:szCs w:val="28"/>
        </w:rPr>
        <w:t>作出</w:t>
      </w:r>
      <w:proofErr w:type="gramEnd"/>
      <w:r>
        <w:rPr>
          <w:rFonts w:ascii="仿宋_GB2312" w:eastAsia="仿宋_GB2312" w:hint="eastAsia"/>
          <w:sz w:val="28"/>
          <w:szCs w:val="28"/>
        </w:rPr>
        <w:t>调整：在不实施“限购”措施的城市，居民家庭首次购买普通住房的商业性个人住房贷款，原则上最低首付款比例为25%，各地可向下浮动5个百分点，对拥有1套住房且相应购房贷款未结清的居民家庭，为改善居住条件再次申请商业性个人住房贷款购买普通住房，最低首付款比例调整为不低于30%。</w:t>
      </w:r>
    </w:p>
    <w:p w:rsidR="0054446D" w:rsidRDefault="00FB459A" w:rsidP="00B233C2">
      <w:pPr>
        <w:spacing w:line="420" w:lineRule="exact"/>
        <w:ind w:firstLineChars="192" w:firstLine="538"/>
        <w:rPr>
          <w:rFonts w:ascii="仿宋_GB2312" w:eastAsia="仿宋_GB2312"/>
          <w:sz w:val="28"/>
          <w:szCs w:val="28"/>
        </w:rPr>
      </w:pPr>
      <w:r>
        <w:rPr>
          <w:rFonts w:ascii="仿宋_GB2312" w:eastAsia="仿宋_GB2312" w:hint="eastAsia"/>
          <w:sz w:val="28"/>
          <w:szCs w:val="28"/>
        </w:rPr>
        <w:t>经国务院同意，中国人民银行、住房城乡建设部、财政部印发《关于完善职工住房公积金账户存款利率形成机制的通知》，决定自2月21日起，将职工住房公积金账户存款利率，由现行按照归集时间执行活期和三个月存款基准利率，调整为统一按一年期定期存款基准利率执行目前为1.50%。</w:t>
      </w:r>
    </w:p>
    <w:p w:rsidR="0054446D" w:rsidRDefault="00FB459A" w:rsidP="00B233C2">
      <w:pPr>
        <w:spacing w:line="420" w:lineRule="exact"/>
        <w:ind w:firstLineChars="192" w:firstLine="538"/>
        <w:rPr>
          <w:rFonts w:ascii="仿宋_GB2312" w:eastAsia="仿宋_GB2312"/>
          <w:sz w:val="28"/>
          <w:szCs w:val="28"/>
        </w:rPr>
      </w:pPr>
      <w:r>
        <w:rPr>
          <w:rFonts w:ascii="仿宋_GB2312" w:eastAsia="仿宋_GB2312" w:hint="eastAsia"/>
          <w:sz w:val="28"/>
          <w:szCs w:val="28"/>
        </w:rPr>
        <w:t>2016年2月19日，财政部等三部门发文调整房地产交易环节契税、营业税。对个人购买家庭唯一住房，面积为90平方米及以下的，减按1%的税率征收契税，面积为90平方米以上的，减按1.5%的税率征收契税。对个人购买家庭第二套改善性住房，面积为90平方米及以下的，减按1%的税率征收契税，面积为90平方米以上的，减按2%的税率征收契税。</w:t>
      </w:r>
    </w:p>
    <w:p w:rsidR="0054446D" w:rsidRDefault="00FB459A" w:rsidP="00B233C2">
      <w:pPr>
        <w:spacing w:line="420" w:lineRule="exact"/>
        <w:ind w:firstLineChars="192" w:firstLine="538"/>
        <w:rPr>
          <w:rFonts w:ascii="仿宋_GB2312" w:eastAsia="仿宋_GB2312"/>
          <w:sz w:val="28"/>
          <w:szCs w:val="28"/>
        </w:rPr>
      </w:pPr>
      <w:r>
        <w:rPr>
          <w:rFonts w:ascii="仿宋_GB2312" w:eastAsia="仿宋_GB2312" w:hint="eastAsia"/>
          <w:sz w:val="28"/>
          <w:szCs w:val="28"/>
        </w:rPr>
        <w:t>2016年2月22日，财政部等三部门发文调整房地产交易环节契税、营业税。个人将购买不足2年的住房对外销售的，全额征收营业税，个人将购买2年以上（含2年）的住房对外销售的，免征营业税。</w:t>
      </w:r>
    </w:p>
    <w:p w:rsidR="0054446D" w:rsidRDefault="00FB459A" w:rsidP="00B233C2">
      <w:pPr>
        <w:spacing w:line="420" w:lineRule="exact"/>
        <w:ind w:firstLineChars="192" w:firstLine="538"/>
        <w:rPr>
          <w:rFonts w:ascii="仿宋_GB2312" w:eastAsia="仿宋_GB2312"/>
          <w:sz w:val="28"/>
          <w:szCs w:val="28"/>
        </w:rPr>
      </w:pPr>
      <w:r>
        <w:rPr>
          <w:rFonts w:ascii="仿宋_GB2312" w:eastAsia="仿宋_GB2312" w:hint="eastAsia"/>
          <w:sz w:val="28"/>
          <w:szCs w:val="28"/>
        </w:rPr>
        <w:t>2016年3月24日，财政部公布</w:t>
      </w:r>
      <w:proofErr w:type="gramStart"/>
      <w:r>
        <w:rPr>
          <w:rFonts w:ascii="仿宋_GB2312" w:eastAsia="仿宋_GB2312" w:hint="eastAsia"/>
          <w:sz w:val="28"/>
          <w:szCs w:val="28"/>
        </w:rPr>
        <w:t>营改增</w:t>
      </w:r>
      <w:proofErr w:type="gramEnd"/>
      <w:r>
        <w:rPr>
          <w:rFonts w:ascii="仿宋_GB2312" w:eastAsia="仿宋_GB2312" w:hint="eastAsia"/>
          <w:sz w:val="28"/>
          <w:szCs w:val="28"/>
        </w:rPr>
        <w:t>细则，明确自2017年12月31日起，在全国范围内全面推开“营改增”，建筑业、房地产业、金融业、生活服务业等全部营业税纳税人，由缴纳营业税改为缴纳增值税。个人将购买不足2年的住房对外销售的，按照5%的征收率全额缴纳增值税，个人将购买2年以上（含2年）的住房对外销售的，免征增值税。上述政策适用于北京市、上海市、广州市和深圳市之外的地区。</w:t>
      </w:r>
    </w:p>
    <w:p w:rsidR="0054446D" w:rsidRDefault="00FB459A" w:rsidP="00B233C2">
      <w:pPr>
        <w:spacing w:line="420" w:lineRule="exact"/>
        <w:ind w:firstLineChars="192" w:firstLine="538"/>
        <w:rPr>
          <w:rFonts w:ascii="仿宋_GB2312" w:eastAsia="仿宋_GB2312"/>
          <w:sz w:val="28"/>
          <w:szCs w:val="28"/>
        </w:rPr>
      </w:pPr>
      <w:r>
        <w:rPr>
          <w:rFonts w:ascii="仿宋_GB2312" w:eastAsia="仿宋_GB2312" w:hint="eastAsia"/>
          <w:sz w:val="28"/>
          <w:szCs w:val="28"/>
        </w:rPr>
        <w:t>2016年6月3日，国务院办公厅通过“中国政府网”发布了《关于加快培育和发展住房租赁市场的若干意见》。《意见》指出，实行购租并举，培育和发展住房租赁市场，是深化住房制度改革的重要内容，是实现城镇居民住有所居目标的重要途径。要以建立购租并举的住房制度为主要方向，健全以市场配置为主、政府提供基本保障的住房租赁体系，支持住房租赁消费，促进住房租赁市场健康发展。</w:t>
      </w:r>
    </w:p>
    <w:p w:rsidR="0054446D" w:rsidRDefault="00FB459A" w:rsidP="00B233C2">
      <w:pPr>
        <w:spacing w:line="420" w:lineRule="exact"/>
        <w:ind w:firstLineChars="192" w:firstLine="538"/>
        <w:rPr>
          <w:rFonts w:ascii="仿宋_GB2312" w:eastAsia="仿宋_GB2312"/>
          <w:sz w:val="28"/>
          <w:szCs w:val="28"/>
        </w:rPr>
      </w:pPr>
      <w:r>
        <w:rPr>
          <w:rFonts w:ascii="仿宋_GB2312" w:eastAsia="仿宋_GB2312" w:hint="eastAsia"/>
          <w:sz w:val="28"/>
          <w:szCs w:val="28"/>
        </w:rPr>
        <w:t>《中共中央国务院关于进一步加强城市规划建设管理工作的若干意见》提出，我国新建住宅要推广街区制，原则上不再建设封闭住宅小区。已建成的住宅小区和单位大院要逐步打开，实现内部道路公共化，解决交通路网布局问题，促进土地节约利用。国家工商总局发布《房地产广告发布规定》，从2016年2月1日开始，房地产广告必须真实、合法、科学、准确，不得欺骗、误导消费者。规定中明确，房地产广告中不得含有广告</w:t>
      </w:r>
      <w:proofErr w:type="gramStart"/>
      <w:r>
        <w:rPr>
          <w:rFonts w:ascii="仿宋_GB2312" w:eastAsia="仿宋_GB2312" w:hint="eastAsia"/>
          <w:sz w:val="28"/>
          <w:szCs w:val="28"/>
        </w:rPr>
        <w:t>主能够</w:t>
      </w:r>
      <w:proofErr w:type="gramEnd"/>
      <w:r>
        <w:rPr>
          <w:rFonts w:ascii="仿宋_GB2312" w:eastAsia="仿宋_GB2312" w:hint="eastAsia"/>
          <w:sz w:val="28"/>
          <w:szCs w:val="28"/>
        </w:rPr>
        <w:t>为入住者办理户口、就业、升学等事项的承诺。凡违反《房地产广告发布规定》发布广告的，处以违法所得三倍</w:t>
      </w:r>
      <w:proofErr w:type="gramStart"/>
      <w:r>
        <w:rPr>
          <w:rFonts w:ascii="仿宋_GB2312" w:eastAsia="仿宋_GB2312" w:hint="eastAsia"/>
          <w:sz w:val="28"/>
          <w:szCs w:val="28"/>
        </w:rPr>
        <w:t>以下但</w:t>
      </w:r>
      <w:proofErr w:type="gramEnd"/>
      <w:r>
        <w:rPr>
          <w:rFonts w:ascii="仿宋_GB2312" w:eastAsia="仿宋_GB2312" w:hint="eastAsia"/>
          <w:sz w:val="28"/>
          <w:szCs w:val="28"/>
        </w:rPr>
        <w:t>不超过3万元的罚款；没有违法所得的，处以1万元以下的罚款。</w:t>
      </w:r>
    </w:p>
    <w:p w:rsidR="0054446D" w:rsidRDefault="00FB459A" w:rsidP="00B233C2">
      <w:pPr>
        <w:spacing w:line="420" w:lineRule="exact"/>
        <w:ind w:firstLineChars="192" w:firstLine="538"/>
        <w:rPr>
          <w:rFonts w:ascii="仿宋_GB2312" w:eastAsia="仿宋_GB2312"/>
          <w:sz w:val="28"/>
          <w:szCs w:val="28"/>
        </w:rPr>
      </w:pPr>
      <w:r>
        <w:rPr>
          <w:rFonts w:ascii="仿宋_GB2312" w:eastAsia="仿宋_GB2312" w:hint="eastAsia"/>
          <w:sz w:val="28"/>
          <w:szCs w:val="28"/>
        </w:rPr>
        <w:t>2017年政府高层频繁释放“抑制房地产泡”、“住房租赁”、“长效机制”等信号及中央经济工作会议提出要坚持“房子是用来住的、不是用来炒的”的定位，房地产行业调控将继续深化，投资与投机需求将会得到一定程度抑制。</w:t>
      </w:r>
      <w:proofErr w:type="gramStart"/>
      <w:r>
        <w:rPr>
          <w:rFonts w:ascii="仿宋_GB2312" w:eastAsia="仿宋_GB2312" w:hint="eastAsia"/>
          <w:sz w:val="28"/>
          <w:szCs w:val="28"/>
        </w:rPr>
        <w:t>一</w:t>
      </w:r>
      <w:proofErr w:type="gramEnd"/>
      <w:r>
        <w:rPr>
          <w:rFonts w:ascii="仿宋_GB2312" w:eastAsia="仿宋_GB2312" w:hint="eastAsia"/>
          <w:sz w:val="28"/>
          <w:szCs w:val="28"/>
        </w:rPr>
        <w:t>二线部分热点城市限购与限贷加码升级、房贷首付与利率上调、个人住房转让营业税免征年限由2年变成5年、契税优惠取消等调控政策全面实施或部分实施，将会使购房需求缩减，销售面积及销售金额增幅将持续回落，</w:t>
      </w:r>
      <w:proofErr w:type="gramStart"/>
      <w:r>
        <w:rPr>
          <w:rFonts w:ascii="仿宋_GB2312" w:eastAsia="仿宋_GB2312" w:hint="eastAsia"/>
          <w:sz w:val="28"/>
          <w:szCs w:val="28"/>
        </w:rPr>
        <w:t>房企融资</w:t>
      </w:r>
      <w:proofErr w:type="gramEnd"/>
      <w:r>
        <w:rPr>
          <w:rFonts w:ascii="仿宋_GB2312" w:eastAsia="仿宋_GB2312" w:hint="eastAsia"/>
          <w:sz w:val="28"/>
          <w:szCs w:val="28"/>
        </w:rPr>
        <w:t>渠道收紧，部分城市将出现“钱荒”状况。2016年</w:t>
      </w:r>
      <w:proofErr w:type="gramStart"/>
      <w:r>
        <w:rPr>
          <w:rFonts w:ascii="仿宋_GB2312" w:eastAsia="仿宋_GB2312" w:hint="eastAsia"/>
          <w:sz w:val="28"/>
          <w:szCs w:val="28"/>
        </w:rPr>
        <w:t>前11月</w:t>
      </w:r>
      <w:proofErr w:type="gramEnd"/>
      <w:r>
        <w:rPr>
          <w:rFonts w:ascii="仿宋_GB2312" w:eastAsia="仿宋_GB2312" w:hint="eastAsia"/>
          <w:sz w:val="28"/>
          <w:szCs w:val="28"/>
        </w:rPr>
        <w:t>全国销量与房价增幅同时见顶，后续成回落态势，三四线城市库存高企，短期内去库存困难，房地产</w:t>
      </w:r>
      <w:proofErr w:type="gramStart"/>
      <w:r>
        <w:rPr>
          <w:rFonts w:ascii="仿宋_GB2312" w:eastAsia="仿宋_GB2312" w:hint="eastAsia"/>
          <w:sz w:val="28"/>
          <w:szCs w:val="28"/>
        </w:rPr>
        <w:t>税立法</w:t>
      </w:r>
      <w:proofErr w:type="gramEnd"/>
      <w:r>
        <w:rPr>
          <w:rFonts w:ascii="仿宋_GB2312" w:eastAsia="仿宋_GB2312" w:hint="eastAsia"/>
          <w:sz w:val="28"/>
          <w:szCs w:val="28"/>
        </w:rPr>
        <w:t>与开征推进，对购房心理有一定影响，最严广告法修改及督促执行，对行业影响将越来越大，租赁市场、基础性制度和长效机制逐步建立健全，或多或少都会影响到全国房地产量价、土地、房企、购房者。</w:t>
      </w:r>
    </w:p>
    <w:p w:rsidR="0054446D" w:rsidRDefault="00FB459A" w:rsidP="00B233C2">
      <w:pPr>
        <w:spacing w:line="420" w:lineRule="exact"/>
        <w:ind w:firstLineChars="192" w:firstLine="538"/>
        <w:rPr>
          <w:rFonts w:ascii="仿宋_GB2312" w:eastAsia="仿宋_GB2312"/>
          <w:sz w:val="28"/>
          <w:szCs w:val="28"/>
        </w:rPr>
      </w:pPr>
      <w:r>
        <w:rPr>
          <w:rFonts w:ascii="仿宋_GB2312" w:eastAsia="仿宋_GB2312" w:hint="eastAsia"/>
          <w:sz w:val="28"/>
          <w:szCs w:val="28"/>
        </w:rPr>
        <w:t>2018年，国家针对房地产行业的发展情况提出了以“维稳”为</w:t>
      </w:r>
      <w:proofErr w:type="gramStart"/>
      <w:r>
        <w:rPr>
          <w:rFonts w:ascii="仿宋_GB2312" w:eastAsia="仿宋_GB2312" w:hint="eastAsia"/>
          <w:sz w:val="28"/>
          <w:szCs w:val="28"/>
        </w:rPr>
        <w:t>关健</w:t>
      </w:r>
      <w:proofErr w:type="gramEnd"/>
      <w:r>
        <w:rPr>
          <w:rFonts w:ascii="仿宋_GB2312" w:eastAsia="仿宋_GB2312" w:hint="eastAsia"/>
          <w:sz w:val="28"/>
          <w:szCs w:val="28"/>
        </w:rPr>
        <w:t>词的政策措施，坚持房住不炒的定位，落实地方主体责任，继续实行差别化调控，建立健全长效机制，稳妥推进房地产税产法，促进房地产市场平稳健康发展；</w:t>
      </w:r>
    </w:p>
    <w:p w:rsidR="0054446D" w:rsidRDefault="00FB459A" w:rsidP="00B233C2">
      <w:pPr>
        <w:spacing w:line="420" w:lineRule="exact"/>
        <w:ind w:firstLineChars="192" w:firstLine="538"/>
        <w:rPr>
          <w:rFonts w:ascii="仿宋_GB2312" w:eastAsia="仿宋_GB2312"/>
          <w:sz w:val="28"/>
          <w:szCs w:val="28"/>
        </w:rPr>
      </w:pPr>
      <w:r>
        <w:rPr>
          <w:rFonts w:ascii="仿宋_GB2312" w:eastAsia="仿宋_GB2312" w:hint="eastAsia"/>
          <w:sz w:val="28"/>
          <w:szCs w:val="28"/>
        </w:rPr>
        <w:t>2019年政府工作报告中提及继续落实城市主体责任，改革完善住房市场体系和保障体系，促进房地市场平稳健康发展，</w:t>
      </w:r>
      <w:proofErr w:type="gramStart"/>
      <w:r>
        <w:rPr>
          <w:rFonts w:ascii="仿宋_GB2312" w:eastAsia="仿宋_GB2312" w:hint="eastAsia"/>
          <w:sz w:val="28"/>
          <w:szCs w:val="28"/>
        </w:rPr>
        <w:t>一</w:t>
      </w:r>
      <w:proofErr w:type="gramEnd"/>
      <w:r>
        <w:rPr>
          <w:rFonts w:ascii="仿宋_GB2312" w:eastAsia="仿宋_GB2312" w:hint="eastAsia"/>
          <w:sz w:val="28"/>
          <w:szCs w:val="28"/>
        </w:rPr>
        <w:t>城</w:t>
      </w:r>
      <w:proofErr w:type="gramStart"/>
      <w:r>
        <w:rPr>
          <w:rFonts w:ascii="仿宋_GB2312" w:eastAsia="仿宋_GB2312" w:hint="eastAsia"/>
          <w:sz w:val="28"/>
          <w:szCs w:val="28"/>
        </w:rPr>
        <w:t>一</w:t>
      </w:r>
      <w:proofErr w:type="gramEnd"/>
      <w:r>
        <w:rPr>
          <w:rFonts w:ascii="仿宋_GB2312" w:eastAsia="仿宋_GB2312" w:hint="eastAsia"/>
          <w:sz w:val="28"/>
          <w:szCs w:val="28"/>
        </w:rPr>
        <w:t>策，多主体供应、多渠道保障等住房体系改革有望成为基重点。</w:t>
      </w:r>
    </w:p>
    <w:p w:rsidR="0054446D" w:rsidRDefault="00FB459A" w:rsidP="00B233C2">
      <w:pPr>
        <w:spacing w:line="420" w:lineRule="exact"/>
        <w:ind w:firstLineChars="192" w:firstLine="538"/>
        <w:rPr>
          <w:rFonts w:ascii="仿宋_GB2312" w:eastAsia="仿宋_GB2312"/>
          <w:sz w:val="28"/>
          <w:szCs w:val="28"/>
        </w:rPr>
      </w:pPr>
      <w:r>
        <w:rPr>
          <w:rFonts w:ascii="仿宋_GB2312" w:eastAsia="仿宋_GB2312" w:hint="eastAsia"/>
          <w:sz w:val="28"/>
          <w:szCs w:val="28"/>
        </w:rPr>
        <w:t>2020年同，房地产政策层面前松后紧，中央继续坚持“房住不炒、因城施策”的政策主基调，强化落实城市主体责任，实现稳地价、稳房价、稳预期的长期调控目标，促进房地产市场平稳健康发展。</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4、金融政策</w:t>
      </w:r>
    </w:p>
    <w:p w:rsidR="0054446D" w:rsidRDefault="00FB459A">
      <w:pPr>
        <w:spacing w:line="42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①自2015年3月1日起下调金融机构人民币贷款和存款基准利率。金融机构一年</w:t>
      </w:r>
      <w:proofErr w:type="gramStart"/>
      <w:r>
        <w:rPr>
          <w:rFonts w:ascii="仿宋_GB2312" w:eastAsia="仿宋_GB2312" w:hAnsi="仿宋_GB2312" w:cs="仿宋_GB2312" w:hint="eastAsia"/>
          <w:bCs/>
          <w:kern w:val="0"/>
          <w:sz w:val="28"/>
          <w:szCs w:val="28"/>
        </w:rPr>
        <w:t>期贷</w:t>
      </w:r>
      <w:proofErr w:type="gramEnd"/>
      <w:r>
        <w:rPr>
          <w:rFonts w:ascii="仿宋_GB2312" w:eastAsia="仿宋_GB2312" w:hAnsi="仿宋_GB2312" w:cs="仿宋_GB2312" w:hint="eastAsia"/>
          <w:bCs/>
          <w:kern w:val="0"/>
          <w:sz w:val="28"/>
          <w:szCs w:val="28"/>
        </w:rPr>
        <w:t>款基准利率下调0.25个百分点至5.35%，一年期存款基准利率下调0.25个百分点至2.5%，同时结合推进利率市场化改革，将金融机构存款利率浮动区间的上限由存款基准利率的1.2倍调整为1.3倍，其他各档次存贷款基准利率及个人住房公积金存贷款利率相应调整。</w:t>
      </w:r>
    </w:p>
    <w:p w:rsidR="0054446D" w:rsidRDefault="00FB459A">
      <w:pPr>
        <w:widowControl/>
        <w:snapToGrid w:val="0"/>
        <w:spacing w:line="42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②2015年4月19日晚，中国人民银行宣布，自2015年4月20日起下调各类存款类金融机构人民币存款准备金率1个百分点，并对农村金融机构、中国农业发展银行以及符合审慎经营要求且“三农”或小</w:t>
      </w:r>
      <w:proofErr w:type="gramStart"/>
      <w:r>
        <w:rPr>
          <w:rFonts w:ascii="仿宋_GB2312" w:eastAsia="仿宋_GB2312" w:hAnsi="仿宋_GB2312" w:cs="仿宋_GB2312" w:hint="eastAsia"/>
          <w:bCs/>
          <w:kern w:val="0"/>
          <w:sz w:val="28"/>
          <w:szCs w:val="28"/>
        </w:rPr>
        <w:t>微企业</w:t>
      </w:r>
      <w:proofErr w:type="gramEnd"/>
      <w:r>
        <w:rPr>
          <w:rFonts w:ascii="仿宋_GB2312" w:eastAsia="仿宋_GB2312" w:hAnsi="仿宋_GB2312" w:cs="仿宋_GB2312" w:hint="eastAsia"/>
          <w:bCs/>
          <w:kern w:val="0"/>
          <w:sz w:val="28"/>
          <w:szCs w:val="28"/>
        </w:rPr>
        <w:t>贷款达到一定比例的国有银行和股份制商业银行</w:t>
      </w:r>
      <w:proofErr w:type="gramStart"/>
      <w:r>
        <w:rPr>
          <w:rFonts w:ascii="仿宋_GB2312" w:eastAsia="仿宋_GB2312" w:hAnsi="仿宋_GB2312" w:cs="仿宋_GB2312" w:hint="eastAsia"/>
          <w:bCs/>
          <w:kern w:val="0"/>
          <w:sz w:val="28"/>
          <w:szCs w:val="28"/>
        </w:rPr>
        <w:t>额外降准1个</w:t>
      </w:r>
      <w:proofErr w:type="gramEnd"/>
      <w:r>
        <w:rPr>
          <w:rFonts w:ascii="仿宋_GB2312" w:eastAsia="仿宋_GB2312" w:hAnsi="仿宋_GB2312" w:cs="仿宋_GB2312" w:hint="eastAsia"/>
          <w:bCs/>
          <w:kern w:val="0"/>
          <w:sz w:val="28"/>
          <w:szCs w:val="28"/>
        </w:rPr>
        <w:t>百分点。</w:t>
      </w:r>
    </w:p>
    <w:p w:rsidR="0054446D" w:rsidRDefault="00FB459A">
      <w:pPr>
        <w:widowControl/>
        <w:snapToGrid w:val="0"/>
        <w:spacing w:line="42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③自2015年5月11日起金融机构人民币一年</w:t>
      </w:r>
      <w:proofErr w:type="gramStart"/>
      <w:r>
        <w:rPr>
          <w:rFonts w:ascii="仿宋_GB2312" w:eastAsia="仿宋_GB2312" w:hAnsi="仿宋_GB2312" w:cs="仿宋_GB2312" w:hint="eastAsia"/>
          <w:bCs/>
          <w:kern w:val="0"/>
          <w:sz w:val="28"/>
          <w:szCs w:val="28"/>
        </w:rPr>
        <w:t>期贷</w:t>
      </w:r>
      <w:proofErr w:type="gramEnd"/>
      <w:r>
        <w:rPr>
          <w:rFonts w:ascii="仿宋_GB2312" w:eastAsia="仿宋_GB2312" w:hAnsi="仿宋_GB2312" w:cs="仿宋_GB2312" w:hint="eastAsia"/>
          <w:bCs/>
          <w:kern w:val="0"/>
          <w:sz w:val="28"/>
          <w:szCs w:val="28"/>
        </w:rPr>
        <w:t>款基准利率下调0.25个百分点至5.1%，一年期存款基准利率下调0.25个百分点至2.25%。同时将金融机构存款利率浮动区间的上限由存款基准利率的1.3倍调整为1.5倍。其他各档次贷款及存款基准利率、个人住房公积金存贷款利率相应调整。</w:t>
      </w:r>
    </w:p>
    <w:p w:rsidR="0054446D" w:rsidRDefault="00FB459A">
      <w:pPr>
        <w:widowControl/>
        <w:snapToGrid w:val="0"/>
        <w:spacing w:line="42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④中国人民银行决定，自2015年6月28日起有针对性地对金融机构实施定向降准，以进一步支持实体经济发展，促进结构调整。a.对“三农”贷款占比达到定向</w:t>
      </w:r>
      <w:proofErr w:type="gramStart"/>
      <w:r>
        <w:rPr>
          <w:rFonts w:ascii="仿宋_GB2312" w:eastAsia="仿宋_GB2312" w:hAnsi="仿宋_GB2312" w:cs="仿宋_GB2312" w:hint="eastAsia"/>
          <w:bCs/>
          <w:kern w:val="0"/>
          <w:sz w:val="28"/>
          <w:szCs w:val="28"/>
        </w:rPr>
        <w:t>降准标准</w:t>
      </w:r>
      <w:proofErr w:type="gramEnd"/>
      <w:r>
        <w:rPr>
          <w:rFonts w:ascii="仿宋_GB2312" w:eastAsia="仿宋_GB2312" w:hAnsi="仿宋_GB2312" w:cs="仿宋_GB2312" w:hint="eastAsia"/>
          <w:bCs/>
          <w:kern w:val="0"/>
          <w:sz w:val="28"/>
          <w:szCs w:val="28"/>
        </w:rPr>
        <w:t>的城市商业银行、非县域农村商业银行降低存款准备金率0.5个百分点。b.对“三农”或小</w:t>
      </w:r>
      <w:proofErr w:type="gramStart"/>
      <w:r>
        <w:rPr>
          <w:rFonts w:ascii="仿宋_GB2312" w:eastAsia="仿宋_GB2312" w:hAnsi="仿宋_GB2312" w:cs="仿宋_GB2312" w:hint="eastAsia"/>
          <w:bCs/>
          <w:kern w:val="0"/>
          <w:sz w:val="28"/>
          <w:szCs w:val="28"/>
        </w:rPr>
        <w:t>微企业</w:t>
      </w:r>
      <w:proofErr w:type="gramEnd"/>
      <w:r>
        <w:rPr>
          <w:rFonts w:ascii="仿宋_GB2312" w:eastAsia="仿宋_GB2312" w:hAnsi="仿宋_GB2312" w:cs="仿宋_GB2312" w:hint="eastAsia"/>
          <w:bCs/>
          <w:kern w:val="0"/>
          <w:sz w:val="28"/>
          <w:szCs w:val="28"/>
        </w:rPr>
        <w:t>贷款达到定向</w:t>
      </w:r>
      <w:proofErr w:type="gramStart"/>
      <w:r>
        <w:rPr>
          <w:rFonts w:ascii="仿宋_GB2312" w:eastAsia="仿宋_GB2312" w:hAnsi="仿宋_GB2312" w:cs="仿宋_GB2312" w:hint="eastAsia"/>
          <w:bCs/>
          <w:kern w:val="0"/>
          <w:sz w:val="28"/>
          <w:szCs w:val="28"/>
        </w:rPr>
        <w:t>降准标准</w:t>
      </w:r>
      <w:proofErr w:type="gramEnd"/>
      <w:r>
        <w:rPr>
          <w:rFonts w:ascii="仿宋_GB2312" w:eastAsia="仿宋_GB2312" w:hAnsi="仿宋_GB2312" w:cs="仿宋_GB2312" w:hint="eastAsia"/>
          <w:bCs/>
          <w:kern w:val="0"/>
          <w:sz w:val="28"/>
          <w:szCs w:val="28"/>
        </w:rPr>
        <w:t>的国有大型商业银行、股份制商业银行、外资银行降低存款准备金率0.5个百分点。c.降低财务公司存款准备金率3个百分点，进一步鼓励其发挥好提高企业资金运用效率的作用。</w:t>
      </w:r>
    </w:p>
    <w:p w:rsidR="0054446D" w:rsidRDefault="00FB459A">
      <w:pPr>
        <w:widowControl/>
        <w:snapToGrid w:val="0"/>
        <w:spacing w:line="42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同时，自2015年6月28日起下调金融机构人民币贷款和存款基准利率，以进一步降低企业融资成本。其中，金融机构一年</w:t>
      </w:r>
      <w:proofErr w:type="gramStart"/>
      <w:r>
        <w:rPr>
          <w:rFonts w:ascii="仿宋_GB2312" w:eastAsia="仿宋_GB2312" w:hAnsi="仿宋_GB2312" w:cs="仿宋_GB2312" w:hint="eastAsia"/>
          <w:bCs/>
          <w:kern w:val="0"/>
          <w:sz w:val="28"/>
          <w:szCs w:val="28"/>
        </w:rPr>
        <w:t>期贷</w:t>
      </w:r>
      <w:proofErr w:type="gramEnd"/>
      <w:r>
        <w:rPr>
          <w:rFonts w:ascii="仿宋_GB2312" w:eastAsia="仿宋_GB2312" w:hAnsi="仿宋_GB2312" w:cs="仿宋_GB2312" w:hint="eastAsia"/>
          <w:bCs/>
          <w:kern w:val="0"/>
          <w:sz w:val="28"/>
          <w:szCs w:val="28"/>
        </w:rPr>
        <w:t>款基准利率下调0.25个百分点至4.85%，一年期存款基准利率下调0.25个百分点至2%，其他各档次贷款及存款基准利率、个人住房公积金存贷款利率相应调整。</w:t>
      </w:r>
    </w:p>
    <w:p w:rsidR="0054446D" w:rsidRDefault="00FB459A">
      <w:pPr>
        <w:widowControl/>
        <w:snapToGrid w:val="0"/>
        <w:spacing w:line="42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⑤中国人民银行决定，自2015年8月26日起，下调金融机构人民币贷款和存款基准利率，以进一步降低企业融资成本。其中，金融机构一年</w:t>
      </w:r>
      <w:proofErr w:type="gramStart"/>
      <w:r>
        <w:rPr>
          <w:rFonts w:ascii="仿宋_GB2312" w:eastAsia="仿宋_GB2312" w:hAnsi="仿宋_GB2312" w:cs="仿宋_GB2312" w:hint="eastAsia"/>
          <w:bCs/>
          <w:kern w:val="0"/>
          <w:sz w:val="28"/>
          <w:szCs w:val="28"/>
        </w:rPr>
        <w:t>期贷</w:t>
      </w:r>
      <w:proofErr w:type="gramEnd"/>
      <w:r>
        <w:rPr>
          <w:rFonts w:ascii="仿宋_GB2312" w:eastAsia="仿宋_GB2312" w:hAnsi="仿宋_GB2312" w:cs="仿宋_GB2312" w:hint="eastAsia"/>
          <w:bCs/>
          <w:kern w:val="0"/>
          <w:sz w:val="28"/>
          <w:szCs w:val="28"/>
        </w:rPr>
        <w:t>款基准利率下调0.25个百分点至4.6%，一年期存款基准利率下调0.25个百分点至1.75%，其他各档次贷款及存款基准利率、个人住房公积金存贷款利率相应调整。同时，放开一年期以上（不含一年期）定期存款的利率浮动上限，活期存款以及一年期以下定期存款的利率浮动上限不变。</w:t>
      </w:r>
    </w:p>
    <w:p w:rsidR="0054446D" w:rsidRDefault="00FB459A">
      <w:pPr>
        <w:widowControl/>
        <w:snapToGrid w:val="0"/>
        <w:spacing w:line="42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⑥央行同时宣布自2015年9月6日起，下调金融机构人民币存款准备金率0.5个百分点，以保持银行体系流动性合理充裕，引导货币信贷平稳适度增长。同时，为进一步增强金融机构支持“三农”和小</w:t>
      </w:r>
      <w:proofErr w:type="gramStart"/>
      <w:r>
        <w:rPr>
          <w:rFonts w:ascii="仿宋_GB2312" w:eastAsia="仿宋_GB2312" w:hAnsi="仿宋_GB2312" w:cs="仿宋_GB2312" w:hint="eastAsia"/>
          <w:bCs/>
          <w:kern w:val="0"/>
          <w:sz w:val="28"/>
          <w:szCs w:val="28"/>
        </w:rPr>
        <w:t>微企业</w:t>
      </w:r>
      <w:proofErr w:type="gramEnd"/>
      <w:r>
        <w:rPr>
          <w:rFonts w:ascii="仿宋_GB2312" w:eastAsia="仿宋_GB2312" w:hAnsi="仿宋_GB2312" w:cs="仿宋_GB2312" w:hint="eastAsia"/>
          <w:bCs/>
          <w:kern w:val="0"/>
          <w:sz w:val="28"/>
          <w:szCs w:val="28"/>
        </w:rPr>
        <w:t>的能力，额外降低县域农村商业银行、农村合作银行、农村信用社和村镇银行等农村金融机构准备金率0.5个百分点。额外下调金融租赁公司和汽车金融公司准备金率3个百分点，鼓励其发挥好扩大消费的作用。</w:t>
      </w:r>
    </w:p>
    <w:p w:rsidR="0054446D" w:rsidRDefault="00FB459A">
      <w:pPr>
        <w:widowControl/>
        <w:snapToGrid w:val="0"/>
        <w:spacing w:line="42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⑦中国人民银行23日决定，自2015年10月24日起，金融机构一年</w:t>
      </w:r>
      <w:proofErr w:type="gramStart"/>
      <w:r>
        <w:rPr>
          <w:rFonts w:ascii="仿宋_GB2312" w:eastAsia="仿宋_GB2312" w:hAnsi="仿宋_GB2312" w:cs="仿宋_GB2312" w:hint="eastAsia"/>
          <w:bCs/>
          <w:kern w:val="0"/>
          <w:sz w:val="28"/>
          <w:szCs w:val="28"/>
        </w:rPr>
        <w:t>期贷</w:t>
      </w:r>
      <w:proofErr w:type="gramEnd"/>
      <w:r>
        <w:rPr>
          <w:rFonts w:ascii="仿宋_GB2312" w:eastAsia="仿宋_GB2312" w:hAnsi="仿宋_GB2312" w:cs="仿宋_GB2312" w:hint="eastAsia"/>
          <w:bCs/>
          <w:kern w:val="0"/>
          <w:sz w:val="28"/>
          <w:szCs w:val="28"/>
        </w:rPr>
        <w:t>款基准利率下调0.25个百分点至4.35%，一年期存款基准利率下调0.25个百分点至1.5%，其他各档次贷款及存款基准利率、人民银行对金融机构贷款利率相应调整，个人住房公积金贷款利率保持不变。同时央行表示，对商业银行和农村合作金融机构等不再设置存款利率浮动上限，并抓紧完善利率的市场化形成和调控机制，加强央行对利率体系的调控和监督指导，提高货币政策传导效率。央行还自同日起，下调金融机构人民币存款准备金率0.5个百分点，以保持银行体系流动性合理充裕。同时，为加大金融支持“三农”和小</w:t>
      </w:r>
      <w:proofErr w:type="gramStart"/>
      <w:r>
        <w:rPr>
          <w:rFonts w:ascii="仿宋_GB2312" w:eastAsia="仿宋_GB2312" w:hAnsi="仿宋_GB2312" w:cs="仿宋_GB2312" w:hint="eastAsia"/>
          <w:bCs/>
          <w:kern w:val="0"/>
          <w:sz w:val="28"/>
          <w:szCs w:val="28"/>
        </w:rPr>
        <w:t>微企业</w:t>
      </w:r>
      <w:proofErr w:type="gramEnd"/>
      <w:r>
        <w:rPr>
          <w:rFonts w:ascii="仿宋_GB2312" w:eastAsia="仿宋_GB2312" w:hAnsi="仿宋_GB2312" w:cs="仿宋_GB2312" w:hint="eastAsia"/>
          <w:bCs/>
          <w:kern w:val="0"/>
          <w:sz w:val="28"/>
          <w:szCs w:val="28"/>
        </w:rPr>
        <w:t>的正向激励，对符合标准的金融机构额外降低存款准备金率0.5个百分点。</w:t>
      </w:r>
    </w:p>
    <w:p w:rsidR="0054446D" w:rsidRDefault="00FB459A">
      <w:pPr>
        <w:widowControl/>
        <w:snapToGrid w:val="0"/>
        <w:spacing w:line="42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2019年，金融政策整体总量宽松，但居民房贷、企业融资前松后紧，5月份以来房企融资环境持续收紧，重点涉及信托、外债、开发贷等多领域。央行调整房贷利率定价机制，定价方式调整为“LPR加基点”，尽管LPR利率中枢下移，但房贷利率依旧易涨难跌。棚改开工量显著缩水，“计划减量、实际超量”也在预期之中，货币化安置比例降低，多数调研城市拆迁进度显著放缓。中央定调三阶段变化，3月份两会表态“防止房市大起大落”，7月底政治局会议首提“不将房地产作为短期刺激经济的手段”，12月份新华社重申“坚持房住不炒的定位，全面落实因城施策、稳地价、稳房价、稳预期的长效机制”。地方调控历经三阶段变化：1-4月份，</w:t>
      </w:r>
      <w:proofErr w:type="gramStart"/>
      <w:r>
        <w:rPr>
          <w:rFonts w:ascii="仿宋_GB2312" w:eastAsia="仿宋_GB2312" w:hAnsi="仿宋_GB2312" w:cs="仿宋_GB2312" w:hint="eastAsia"/>
          <w:bCs/>
          <w:kern w:val="0"/>
          <w:sz w:val="28"/>
          <w:szCs w:val="28"/>
        </w:rPr>
        <w:t>多城调降</w:t>
      </w:r>
      <w:proofErr w:type="gramEnd"/>
      <w:r>
        <w:rPr>
          <w:rFonts w:ascii="仿宋_GB2312" w:eastAsia="仿宋_GB2312" w:hAnsi="仿宋_GB2312" w:cs="仿宋_GB2312" w:hint="eastAsia"/>
          <w:bCs/>
          <w:kern w:val="0"/>
          <w:sz w:val="28"/>
          <w:szCs w:val="28"/>
        </w:rPr>
        <w:t>人才落户门槛，呼和浩特、宁波等市</w:t>
      </w:r>
      <w:proofErr w:type="gramStart"/>
      <w:r>
        <w:rPr>
          <w:rFonts w:ascii="仿宋_GB2312" w:eastAsia="仿宋_GB2312" w:hAnsi="仿宋_GB2312" w:cs="仿宋_GB2312" w:hint="eastAsia"/>
          <w:bCs/>
          <w:kern w:val="0"/>
          <w:sz w:val="28"/>
          <w:szCs w:val="28"/>
        </w:rPr>
        <w:t>更是出台</w:t>
      </w:r>
      <w:proofErr w:type="gramEnd"/>
      <w:r>
        <w:rPr>
          <w:rFonts w:ascii="仿宋_GB2312" w:eastAsia="仿宋_GB2312" w:hAnsi="仿宋_GB2312" w:cs="仿宋_GB2312" w:hint="eastAsia"/>
          <w:bCs/>
          <w:kern w:val="0"/>
          <w:sz w:val="28"/>
          <w:szCs w:val="28"/>
        </w:rPr>
        <w:t>人才购房补贴这类刺激性政策；5-7月份，地方调控关注房价红 线，苏州、西安等市相继升级调控；8月份以来，人才新政不断发力， “四限”调控局部放松。</w:t>
      </w:r>
    </w:p>
    <w:p w:rsidR="0054446D" w:rsidRDefault="00FB459A">
      <w:pPr>
        <w:widowControl/>
        <w:snapToGrid w:val="0"/>
        <w:spacing w:line="42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bCs/>
          <w:kern w:val="0"/>
          <w:sz w:val="28"/>
          <w:szCs w:val="28"/>
        </w:rPr>
        <w:t>2019年5月17日，银保监</w:t>
      </w:r>
      <w:proofErr w:type="gramStart"/>
      <w:r>
        <w:rPr>
          <w:rFonts w:ascii="仿宋_GB2312" w:eastAsia="仿宋_GB2312" w:hAnsi="仿宋_GB2312" w:cs="仿宋_GB2312"/>
          <w:bCs/>
          <w:kern w:val="0"/>
          <w:sz w:val="28"/>
          <w:szCs w:val="28"/>
        </w:rPr>
        <w:t>会官网</w:t>
      </w:r>
      <w:proofErr w:type="gramEnd"/>
      <w:r>
        <w:rPr>
          <w:rFonts w:ascii="仿宋_GB2312" w:eastAsia="仿宋_GB2312" w:hAnsi="仿宋_GB2312" w:cs="仿宋_GB2312"/>
          <w:bCs/>
          <w:kern w:val="0"/>
          <w:sz w:val="28"/>
          <w:szCs w:val="28"/>
        </w:rPr>
        <w:t>发布了银保监发〔2019〕23号文《关于开展“巩固治乱象成果促进合规建设”工作的通知》，针对房地产融资做了专门的规定，详细列举了银行、信托等机构需要重点清理整顿的违规点</w:t>
      </w:r>
      <w:r>
        <w:rPr>
          <w:rFonts w:ascii="仿宋_GB2312" w:eastAsia="仿宋_GB2312" w:hAnsi="仿宋_GB2312" w:cs="仿宋_GB2312" w:hint="eastAsia"/>
          <w:bCs/>
          <w:kern w:val="0"/>
          <w:sz w:val="28"/>
          <w:szCs w:val="28"/>
        </w:rPr>
        <w:t>。</w:t>
      </w:r>
      <w:r>
        <w:rPr>
          <w:rFonts w:ascii="仿宋_GB2312" w:eastAsia="仿宋_GB2312" w:hAnsi="仿宋_GB2312" w:cs="仿宋_GB2312"/>
          <w:bCs/>
          <w:kern w:val="0"/>
          <w:sz w:val="28"/>
          <w:szCs w:val="28"/>
        </w:rPr>
        <w:t>坚持“房子是用来住的，不是用来炒的”的定位，进一步推进银行机构贯彻落实房地产调控政策和监管规定，严厉查处</w:t>
      </w:r>
      <w:proofErr w:type="gramStart"/>
      <w:r>
        <w:rPr>
          <w:rFonts w:ascii="仿宋_GB2312" w:eastAsia="仿宋_GB2312" w:hAnsi="仿宋_GB2312" w:cs="仿宋_GB2312"/>
          <w:bCs/>
          <w:kern w:val="0"/>
          <w:sz w:val="28"/>
          <w:szCs w:val="28"/>
        </w:rPr>
        <w:t>各种将</w:t>
      </w:r>
      <w:proofErr w:type="gramEnd"/>
      <w:r>
        <w:rPr>
          <w:rFonts w:ascii="仿宋_GB2312" w:eastAsia="仿宋_GB2312" w:hAnsi="仿宋_GB2312" w:cs="仿宋_GB2312"/>
          <w:bCs/>
          <w:kern w:val="0"/>
          <w:sz w:val="28"/>
          <w:szCs w:val="28"/>
        </w:rPr>
        <w:t>资金通过挪用、转道等方式流入房地产行业的违法违规行为，高度警惕房地产泡沫化、金融化，着力推动落实房地产长效管理机制，不断促进房地产市场健康有序发展</w:t>
      </w:r>
      <w:r>
        <w:rPr>
          <w:rFonts w:ascii="仿宋_GB2312" w:eastAsia="仿宋_GB2312" w:hAnsi="仿宋_GB2312" w:cs="仿宋_GB2312" w:hint="eastAsia"/>
          <w:bCs/>
          <w:kern w:val="0"/>
          <w:sz w:val="28"/>
          <w:szCs w:val="28"/>
        </w:rPr>
        <w:t>，2019年8月</w:t>
      </w:r>
      <w:r>
        <w:rPr>
          <w:rFonts w:ascii="仿宋_GB2312" w:eastAsia="仿宋_GB2312" w:hAnsi="仿宋_GB2312" w:cs="仿宋_GB2312"/>
          <w:bCs/>
          <w:kern w:val="0"/>
          <w:sz w:val="28"/>
          <w:szCs w:val="28"/>
        </w:rPr>
        <w:t>《中国银保监会办公厅关于开展2019年银行机构房地产业务专项检查的通知》（银保监办便函〔2019〕1157号）</w:t>
      </w:r>
      <w:r>
        <w:rPr>
          <w:rFonts w:ascii="仿宋_GB2312" w:eastAsia="仿宋_GB2312" w:hAnsi="仿宋_GB2312" w:cs="仿宋_GB2312" w:hint="eastAsia"/>
          <w:bCs/>
          <w:kern w:val="0"/>
          <w:sz w:val="28"/>
          <w:szCs w:val="28"/>
        </w:rPr>
        <w:t>，</w:t>
      </w:r>
      <w:r>
        <w:rPr>
          <w:rFonts w:ascii="仿宋_GB2312" w:eastAsia="仿宋_GB2312" w:hAnsi="仿宋_GB2312" w:cs="仿宋_GB2312"/>
          <w:bCs/>
          <w:kern w:val="0"/>
          <w:sz w:val="28"/>
          <w:szCs w:val="28"/>
        </w:rPr>
        <w:t>决定在32个城市开展银行房地产业</w:t>
      </w:r>
      <w:proofErr w:type="gramStart"/>
      <w:r>
        <w:rPr>
          <w:rFonts w:ascii="仿宋_GB2312" w:eastAsia="仿宋_GB2312" w:hAnsi="仿宋_GB2312" w:cs="仿宋_GB2312"/>
          <w:bCs/>
          <w:kern w:val="0"/>
          <w:sz w:val="28"/>
          <w:szCs w:val="28"/>
        </w:rPr>
        <w:t>务</w:t>
      </w:r>
      <w:proofErr w:type="gramEnd"/>
      <w:r>
        <w:rPr>
          <w:rFonts w:ascii="仿宋_GB2312" w:eastAsia="仿宋_GB2312" w:hAnsi="仿宋_GB2312" w:cs="仿宋_GB2312"/>
          <w:bCs/>
          <w:kern w:val="0"/>
          <w:sz w:val="28"/>
          <w:szCs w:val="28"/>
        </w:rPr>
        <w:t>专项检查工作，“严厉查处各种将资金通过挪用、转道等方式流入房地产行业的违法违规行为”。</w:t>
      </w:r>
      <w:r>
        <w:rPr>
          <w:rFonts w:ascii="仿宋_GB2312" w:eastAsia="仿宋_GB2312" w:hAnsi="仿宋_GB2312" w:cs="仿宋_GB2312" w:hint="eastAsia"/>
          <w:bCs/>
          <w:kern w:val="0"/>
          <w:sz w:val="28"/>
          <w:szCs w:val="28"/>
        </w:rPr>
        <w:t>2019年8月25日，</w:t>
      </w:r>
      <w:r>
        <w:rPr>
          <w:rFonts w:ascii="仿宋_GB2312" w:eastAsia="仿宋_GB2312" w:hAnsi="仿宋_GB2312" w:cs="仿宋_GB2312"/>
          <w:bCs/>
          <w:kern w:val="0"/>
          <w:sz w:val="28"/>
          <w:szCs w:val="28"/>
        </w:rPr>
        <w:t>央行发布了商业性个人住房贷款利率最新政策。同年10月，个人住房贷款利率开始调整：新发放商业性个人住房贷款利率以最近一个月相应期限的贷款市场报价利率（LPR）为定价基准加点形成。12月28日，央行又宣布了一个重磅消息，为了深化利率市场化改革，央行宣告房贷利率新方式：存量浮动利率贷款定价基准转换为LPR，要求存量浮动利率贷款定价基准转换原则上要在2020年8月31日前完成。</w:t>
      </w:r>
    </w:p>
    <w:p w:rsidR="0054446D" w:rsidRDefault="00FB459A">
      <w:pPr>
        <w:widowControl/>
        <w:snapToGrid w:val="0"/>
        <w:spacing w:line="42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2020年1月27日，中国银保监会印发《关于加强银行业保险金融服务，配合做好新型冠状毒感染的肺炎疫情防控工作的通知》，《通知》指出，对受疫情影响暂时失去收入来源的人群，要在信贷政策上予以适当倾斜，灵活调整住房按揭、信用卡等个人信贷还款安排，合理延后还款期限。</w:t>
      </w:r>
    </w:p>
    <w:p w:rsidR="0054446D" w:rsidRDefault="00FB459A">
      <w:pPr>
        <w:widowControl/>
        <w:snapToGrid w:val="0"/>
        <w:spacing w:line="42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2020年12月31日，为了</w:t>
      </w:r>
      <w:r>
        <w:rPr>
          <w:rFonts w:ascii="仿宋_GB2312" w:eastAsia="仿宋_GB2312" w:hAnsi="仿宋_GB2312" w:cs="仿宋_GB2312"/>
          <w:bCs/>
          <w:kern w:val="0"/>
          <w:sz w:val="28"/>
          <w:szCs w:val="28"/>
        </w:rPr>
        <w:t>建立房地产贷款集中</w:t>
      </w:r>
      <w:proofErr w:type="gramStart"/>
      <w:r>
        <w:rPr>
          <w:rFonts w:ascii="仿宋_GB2312" w:eastAsia="仿宋_GB2312" w:hAnsi="仿宋_GB2312" w:cs="仿宋_GB2312"/>
          <w:bCs/>
          <w:kern w:val="0"/>
          <w:sz w:val="28"/>
          <w:szCs w:val="28"/>
        </w:rPr>
        <w:t>度管理</w:t>
      </w:r>
      <w:proofErr w:type="gramEnd"/>
      <w:r>
        <w:rPr>
          <w:rFonts w:ascii="仿宋_GB2312" w:eastAsia="仿宋_GB2312" w:hAnsi="仿宋_GB2312" w:cs="仿宋_GB2312"/>
          <w:bCs/>
          <w:kern w:val="0"/>
          <w:sz w:val="28"/>
          <w:szCs w:val="28"/>
        </w:rPr>
        <w:t>制度，有利于市场主体形成稳定的政策预期，有利于房地产市场平稳健康可持续发展，人民银行、银保监会发布了《关于建立银行业金融机构房地产贷款集中度管理制度的通知》（以下简称“新规”），建立了银行业金融机构房地产贷款集中</w:t>
      </w:r>
      <w:proofErr w:type="gramStart"/>
      <w:r>
        <w:rPr>
          <w:rFonts w:ascii="仿宋_GB2312" w:eastAsia="仿宋_GB2312" w:hAnsi="仿宋_GB2312" w:cs="仿宋_GB2312"/>
          <w:bCs/>
          <w:kern w:val="0"/>
          <w:sz w:val="28"/>
          <w:szCs w:val="28"/>
        </w:rPr>
        <w:t>度管理</w:t>
      </w:r>
      <w:proofErr w:type="gramEnd"/>
      <w:r>
        <w:rPr>
          <w:rFonts w:ascii="仿宋_GB2312" w:eastAsia="仿宋_GB2312" w:hAnsi="仿宋_GB2312" w:cs="仿宋_GB2312"/>
          <w:bCs/>
          <w:kern w:val="0"/>
          <w:sz w:val="28"/>
          <w:szCs w:val="28"/>
        </w:rPr>
        <w:t>制度，明确了房地产贷款集中</w:t>
      </w:r>
      <w:proofErr w:type="gramStart"/>
      <w:r>
        <w:rPr>
          <w:rFonts w:ascii="仿宋_GB2312" w:eastAsia="仿宋_GB2312" w:hAnsi="仿宋_GB2312" w:cs="仿宋_GB2312"/>
          <w:bCs/>
          <w:kern w:val="0"/>
          <w:sz w:val="28"/>
          <w:szCs w:val="28"/>
        </w:rPr>
        <w:t>度管理</w:t>
      </w:r>
      <w:proofErr w:type="gramEnd"/>
      <w:r>
        <w:rPr>
          <w:rFonts w:ascii="仿宋_GB2312" w:eastAsia="仿宋_GB2312" w:hAnsi="仿宋_GB2312" w:cs="仿宋_GB2312"/>
          <w:bCs/>
          <w:kern w:val="0"/>
          <w:sz w:val="28"/>
          <w:szCs w:val="28"/>
        </w:rPr>
        <w:t>制度的机构覆盖范围、管理要求及调整机制。新</w:t>
      </w:r>
      <w:proofErr w:type="gramStart"/>
      <w:r>
        <w:rPr>
          <w:rFonts w:ascii="仿宋_GB2312" w:eastAsia="仿宋_GB2312" w:hAnsi="仿宋_GB2312" w:cs="仿宋_GB2312"/>
          <w:bCs/>
          <w:kern w:val="0"/>
          <w:sz w:val="28"/>
          <w:szCs w:val="28"/>
        </w:rPr>
        <w:t>规</w:t>
      </w:r>
      <w:proofErr w:type="gramEnd"/>
      <w:r>
        <w:rPr>
          <w:rFonts w:ascii="仿宋_GB2312" w:eastAsia="仿宋_GB2312" w:hAnsi="仿宋_GB2312" w:cs="仿宋_GB2312"/>
          <w:bCs/>
          <w:kern w:val="0"/>
          <w:sz w:val="28"/>
          <w:szCs w:val="28"/>
        </w:rPr>
        <w:t>的出台，</w:t>
      </w:r>
      <w:r>
        <w:rPr>
          <w:rFonts w:ascii="仿宋_GB2312" w:eastAsia="仿宋_GB2312" w:hAnsi="仿宋_GB2312" w:cs="仿宋_GB2312" w:hint="eastAsia"/>
          <w:bCs/>
          <w:kern w:val="0"/>
          <w:sz w:val="28"/>
          <w:szCs w:val="28"/>
        </w:rPr>
        <w:t xml:space="preserve"> 对房地产市场的生态与竞争格局将产生较大的影响：通过金融向房地产行业的传导，新</w:t>
      </w:r>
      <w:proofErr w:type="gramStart"/>
      <w:r>
        <w:rPr>
          <w:rFonts w:ascii="仿宋_GB2312" w:eastAsia="仿宋_GB2312" w:hAnsi="仿宋_GB2312" w:cs="仿宋_GB2312" w:hint="eastAsia"/>
          <w:bCs/>
          <w:kern w:val="0"/>
          <w:sz w:val="28"/>
          <w:szCs w:val="28"/>
        </w:rPr>
        <w:t>规</w:t>
      </w:r>
      <w:proofErr w:type="gramEnd"/>
      <w:r>
        <w:rPr>
          <w:rFonts w:ascii="仿宋_GB2312" w:eastAsia="仿宋_GB2312" w:hAnsi="仿宋_GB2312" w:cs="仿宋_GB2312" w:hint="eastAsia"/>
          <w:bCs/>
          <w:kern w:val="0"/>
          <w:sz w:val="28"/>
          <w:szCs w:val="28"/>
        </w:rPr>
        <w:t>将进一步</w:t>
      </w:r>
      <w:proofErr w:type="gramStart"/>
      <w:r>
        <w:rPr>
          <w:rFonts w:ascii="仿宋_GB2312" w:eastAsia="仿宋_GB2312" w:hAnsi="仿宋_GB2312" w:cs="仿宋_GB2312" w:hint="eastAsia"/>
          <w:bCs/>
          <w:kern w:val="0"/>
          <w:sz w:val="28"/>
          <w:szCs w:val="28"/>
        </w:rPr>
        <w:t>保促进</w:t>
      </w:r>
      <w:proofErr w:type="gramEnd"/>
      <w:r>
        <w:rPr>
          <w:rFonts w:ascii="仿宋_GB2312" w:eastAsia="仿宋_GB2312" w:hAnsi="仿宋_GB2312" w:cs="仿宋_GB2312" w:hint="eastAsia"/>
          <w:bCs/>
          <w:kern w:val="0"/>
          <w:sz w:val="28"/>
          <w:szCs w:val="28"/>
        </w:rPr>
        <w:t>楼市稳定发展；将从融资端进一步推动贷款向房地产头部企业集中；新</w:t>
      </w:r>
      <w:proofErr w:type="gramStart"/>
      <w:r>
        <w:rPr>
          <w:rFonts w:ascii="仿宋_GB2312" w:eastAsia="仿宋_GB2312" w:hAnsi="仿宋_GB2312" w:cs="仿宋_GB2312" w:hint="eastAsia"/>
          <w:bCs/>
          <w:kern w:val="0"/>
          <w:sz w:val="28"/>
          <w:szCs w:val="28"/>
        </w:rPr>
        <w:t>规</w:t>
      </w:r>
      <w:proofErr w:type="gramEnd"/>
      <w:r>
        <w:rPr>
          <w:rFonts w:ascii="仿宋_GB2312" w:eastAsia="仿宋_GB2312" w:hAnsi="仿宋_GB2312" w:cs="仿宋_GB2312" w:hint="eastAsia"/>
          <w:bCs/>
          <w:kern w:val="0"/>
          <w:sz w:val="28"/>
          <w:szCs w:val="28"/>
        </w:rPr>
        <w:t>以购房者而言，影响不大。</w:t>
      </w:r>
    </w:p>
    <w:p w:rsidR="0054446D" w:rsidRDefault="00FB459A">
      <w:pPr>
        <w:widowControl/>
        <w:snapToGrid w:val="0"/>
        <w:spacing w:line="42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展望未来，中央</w:t>
      </w:r>
      <w:proofErr w:type="gramStart"/>
      <w:r>
        <w:rPr>
          <w:rFonts w:ascii="仿宋_GB2312" w:eastAsia="仿宋_GB2312" w:hAnsi="仿宋_GB2312" w:cs="仿宋_GB2312" w:hint="eastAsia"/>
          <w:bCs/>
          <w:kern w:val="0"/>
          <w:sz w:val="28"/>
          <w:szCs w:val="28"/>
        </w:rPr>
        <w:t>控金融防</w:t>
      </w:r>
      <w:proofErr w:type="gramEnd"/>
      <w:r>
        <w:rPr>
          <w:rFonts w:ascii="仿宋_GB2312" w:eastAsia="仿宋_GB2312" w:hAnsi="仿宋_GB2312" w:cs="仿宋_GB2312" w:hint="eastAsia"/>
          <w:bCs/>
          <w:kern w:val="0"/>
          <w:sz w:val="28"/>
          <w:szCs w:val="28"/>
        </w:rPr>
        <w:t>风险，确保不发生系统性金融风险，房地产行业也是去杠杆最重要的领域。房地产融资有望边际改善，但房企整体融资环境偏紧，而在LPR利率中枢下移的作用下，房贷利率将稳中有降。地方调控</w:t>
      </w:r>
      <w:proofErr w:type="gramStart"/>
      <w:r>
        <w:rPr>
          <w:rFonts w:ascii="仿宋_GB2312" w:eastAsia="仿宋_GB2312" w:hAnsi="仿宋_GB2312" w:cs="仿宋_GB2312" w:hint="eastAsia"/>
          <w:bCs/>
          <w:kern w:val="0"/>
          <w:sz w:val="28"/>
          <w:szCs w:val="28"/>
        </w:rPr>
        <w:t>“</w:t>
      </w:r>
      <w:proofErr w:type="gramEnd"/>
      <w:r>
        <w:rPr>
          <w:rFonts w:ascii="仿宋_GB2312" w:eastAsia="仿宋_GB2312" w:hAnsi="仿宋_GB2312" w:cs="仿宋_GB2312" w:hint="eastAsia"/>
          <w:bCs/>
          <w:kern w:val="0"/>
          <w:sz w:val="28"/>
          <w:szCs w:val="28"/>
        </w:rPr>
        <w:t>外松内紧",稳定仍是下一阶段房地产调控政策主基调，人才新政将继续发力，“四限”调控局部放松，但整体政策环境将持续偏紧。</w:t>
      </w:r>
    </w:p>
    <w:p w:rsidR="0054446D" w:rsidRDefault="00FB459A">
      <w:pPr>
        <w:widowControl/>
        <w:snapToGrid w:val="0"/>
        <w:spacing w:line="420" w:lineRule="exact"/>
        <w:ind w:firstLineChars="200" w:firstLine="560"/>
        <w:jc w:val="lef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5、营改增政策</w:t>
      </w:r>
    </w:p>
    <w:p w:rsidR="0054446D" w:rsidRDefault="00FB459A">
      <w:pPr>
        <w:widowControl/>
        <w:snapToGrid w:val="0"/>
        <w:spacing w:line="42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2016年3月23日，财政部、国家税务总局发布《关于全面推开营业税改征增值税试点的通知》(财税〔2016〕36号)，自2017年12月31日起，在全国范围内全面推开营业税改征增值税（以下称营改增）试点,建筑业、房地产业、金融业、生活服务业等全部营业税纳税人,纳入试点范围，由缴纳营业税改为缴纳增值税，2016年3月31日国家税务总局发布了《房地产开发企业销售自行开发的房地产项目增值税征收管理暂行办法》（国家税务总局公告2016年第18号），明确了房地产开发企业的增值税征收管理、纳税申报及其他事项。建筑业和房地产业适用11%税率，二手房税率仍按5%征收，实际税负负担减少。</w:t>
      </w:r>
    </w:p>
    <w:p w:rsidR="0054446D" w:rsidRDefault="00FB459A">
      <w:pPr>
        <w:widowControl/>
        <w:snapToGrid w:val="0"/>
        <w:spacing w:line="42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2019年由财政部、税务总局、海关总署联合发布的公告《关于深化增值税改革有关政策的公告》（2019年第39号）规定增值税一般纳税人发生增值税应税销售行为或者进口货物，原适用16%税率的，税率调整为13%；原适用10%税率的，税率调整为9%。</w:t>
      </w:r>
    </w:p>
    <w:p w:rsidR="0054446D" w:rsidRDefault="00FB459A">
      <w:pPr>
        <w:widowControl/>
        <w:snapToGrid w:val="0"/>
        <w:spacing w:line="420" w:lineRule="exact"/>
        <w:ind w:firstLineChars="200" w:firstLine="560"/>
        <w:rPr>
          <w:rFonts w:ascii="仿宋_GB2312" w:eastAsia="仿宋_GB2312"/>
          <w:sz w:val="28"/>
        </w:rPr>
      </w:pPr>
      <w:r>
        <w:rPr>
          <w:rFonts w:ascii="仿宋_GB2312" w:eastAsia="仿宋_GB2312" w:hint="eastAsia"/>
          <w:sz w:val="28"/>
        </w:rPr>
        <w:t>本次评估估价期日为2022年05月10日，于估价期日新余市已推行营业税改增值税。</w:t>
      </w:r>
    </w:p>
    <w:p w:rsidR="0054446D" w:rsidRDefault="00FB459A">
      <w:pPr>
        <w:widowControl/>
        <w:numPr>
          <w:ilvl w:val="0"/>
          <w:numId w:val="5"/>
        </w:numPr>
        <w:snapToGrid w:val="0"/>
        <w:spacing w:line="42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新余市</w:t>
      </w:r>
      <w:r>
        <w:rPr>
          <w:rFonts w:ascii="仿宋" w:eastAsia="仿宋" w:hAnsi="仿宋" w:cs="Calibri" w:hint="eastAsia"/>
          <w:bCs/>
          <w:kern w:val="0"/>
          <w:sz w:val="28"/>
          <w:szCs w:val="28"/>
        </w:rPr>
        <w:t>2022年1-4月</w:t>
      </w:r>
      <w:r>
        <w:rPr>
          <w:rFonts w:ascii="仿宋_GB2312" w:eastAsia="仿宋_GB2312" w:hAnsi="仿宋_GB2312" w:cs="仿宋_GB2312" w:hint="eastAsia"/>
          <w:bCs/>
          <w:kern w:val="0"/>
          <w:sz w:val="28"/>
          <w:szCs w:val="28"/>
        </w:rPr>
        <w:t>房地产市场状况</w:t>
      </w:r>
    </w:p>
    <w:p w:rsidR="0054446D" w:rsidRDefault="00FB459A">
      <w:pPr>
        <w:widowControl/>
        <w:snapToGrid w:val="0"/>
        <w:spacing w:line="42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（1）</w:t>
      </w:r>
      <w:r>
        <w:rPr>
          <w:rFonts w:ascii="仿宋_GB2312" w:eastAsia="仿宋_GB2312" w:hAnsi="仿宋_GB2312" w:cs="仿宋_GB2312"/>
          <w:bCs/>
          <w:kern w:val="0"/>
          <w:sz w:val="28"/>
          <w:szCs w:val="28"/>
        </w:rPr>
        <w:t>新建商品房预售许可申请审核情况</w:t>
      </w:r>
    </w:p>
    <w:p w:rsidR="0054446D" w:rsidRDefault="00FB459A">
      <w:pPr>
        <w:widowControl/>
        <w:snapToGrid w:val="0"/>
        <w:spacing w:line="42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bCs/>
          <w:kern w:val="0"/>
          <w:sz w:val="28"/>
          <w:szCs w:val="28"/>
        </w:rPr>
        <w:t>2022 年 1-4 月，</w:t>
      </w:r>
      <w:r>
        <w:rPr>
          <w:rFonts w:ascii="仿宋_GB2312" w:eastAsia="仿宋_GB2312" w:hAnsi="仿宋_GB2312" w:cs="仿宋_GB2312" w:hint="eastAsia"/>
          <w:bCs/>
          <w:kern w:val="0"/>
          <w:sz w:val="28"/>
          <w:szCs w:val="28"/>
        </w:rPr>
        <w:t>新余市</w:t>
      </w:r>
      <w:r>
        <w:rPr>
          <w:rFonts w:ascii="仿宋_GB2312" w:eastAsia="仿宋_GB2312" w:hAnsi="仿宋_GB2312" w:cs="仿宋_GB2312"/>
          <w:bCs/>
          <w:kern w:val="0"/>
          <w:sz w:val="28"/>
          <w:szCs w:val="28"/>
        </w:rPr>
        <w:t>核发新建商品房预售许可面积为 29.34 万㎡， 同比下降 27.07%。其中商品住宅面积为 26.03 万㎡，同比下降 26.03% ； 非住宅面积为 3.31 万㎡，同比下降 50.23%。 中心城区核发面积为 24.41 万㎡，同比下降 18.61%。其中商品住宅 面积为 21.1 万㎡（1714 套），同比下降 12.3% ；非住宅面积为 3.31 万 ㎡，同比下降 44.18%。 分宜县核发面积为 4.93 万㎡，同比下降 48.21%。其中商品住宅面 积为 4.93 万㎡，同比下降 51.86%。</w:t>
      </w:r>
    </w:p>
    <w:p w:rsidR="0054446D" w:rsidRDefault="00FB459A">
      <w:pPr>
        <w:widowControl/>
        <w:snapToGrid w:val="0"/>
        <w:spacing w:line="42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（2）</w:t>
      </w:r>
      <w:r>
        <w:rPr>
          <w:rFonts w:ascii="仿宋_GB2312" w:eastAsia="仿宋_GB2312" w:hAnsi="仿宋_GB2312" w:cs="仿宋_GB2312"/>
          <w:bCs/>
          <w:kern w:val="0"/>
          <w:sz w:val="28"/>
          <w:szCs w:val="28"/>
        </w:rPr>
        <w:t>新建商品房销售情况</w:t>
      </w:r>
    </w:p>
    <w:p w:rsidR="0054446D" w:rsidRDefault="00FB459A">
      <w:pPr>
        <w:widowControl/>
        <w:snapToGrid w:val="0"/>
        <w:spacing w:line="42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bCs/>
          <w:kern w:val="0"/>
          <w:sz w:val="28"/>
          <w:szCs w:val="28"/>
        </w:rPr>
        <w:t xml:space="preserve">①销售面积 </w:t>
      </w:r>
    </w:p>
    <w:p w:rsidR="0054446D" w:rsidRDefault="00FB459A">
      <w:pPr>
        <w:widowControl/>
        <w:snapToGrid w:val="0"/>
        <w:spacing w:line="42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bCs/>
          <w:kern w:val="0"/>
          <w:sz w:val="28"/>
          <w:szCs w:val="28"/>
        </w:rPr>
        <w:t>2022年1-4月，全市新建商品房销售面积31.65 万㎡，同比下降40%。 其中：商品住宅销售面积 25.83 万㎡（1950 套），同比下降 44.54%；非 住宅销售面积 5.82 万㎡，同比下降 5.83%。 中心城区新建商品房销售面积 25.54 万㎡，同比下降 40.37%。其中： 商品住宅销售面积 21 万㎡（1509 套），同比下降 43.71%；非住宅销售面 积 4.54 万㎡，同比下降 17.75%。 分宜县新建商品房销售面积 6.11 万㎡，同比下降 38.41%。其中： 商品住宅销售面积 4.83 万㎡（441 套），同比下降 47.84%；非住宅销售 面积 1.28 万㎡，同比增长 93.94%。</w:t>
      </w:r>
    </w:p>
    <w:p w:rsidR="0054446D" w:rsidRDefault="00FB459A">
      <w:pPr>
        <w:widowControl/>
        <w:snapToGrid w:val="0"/>
        <w:spacing w:line="42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bCs/>
          <w:kern w:val="0"/>
          <w:sz w:val="28"/>
          <w:szCs w:val="28"/>
        </w:rPr>
        <w:t>②销售金额</w:t>
      </w:r>
    </w:p>
    <w:p w:rsidR="0054446D" w:rsidRDefault="00FB459A">
      <w:pPr>
        <w:widowControl/>
        <w:snapToGrid w:val="0"/>
        <w:spacing w:line="42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bCs/>
          <w:kern w:val="0"/>
          <w:sz w:val="28"/>
          <w:szCs w:val="28"/>
        </w:rPr>
        <w:t xml:space="preserve">2022 年 1-4 月，全市新建商品房销售金额 20.57 亿元，同比下降 41.99%。其中住宅销售金额 17.38 亿元，同比下降 46.02%；非住宅销售 金额 3.19 亿元，同比下降 55.82%。 中心城区新建商品房销售金额 16.91 亿元，同比下降 40.12%。其中住宅销售金额 14.23 亿元，同比下降 42.32%；非住宅销售金额 2.68 亿 元，同比下降 24.93%。 分宜县新建商品房销售金额 3.66 亿元，同比下降 49.31%。其中住 </w:t>
      </w:r>
      <w:proofErr w:type="gramStart"/>
      <w:r>
        <w:rPr>
          <w:rFonts w:ascii="仿宋_GB2312" w:eastAsia="仿宋_GB2312" w:hAnsi="仿宋_GB2312" w:cs="仿宋_GB2312"/>
          <w:bCs/>
          <w:kern w:val="0"/>
          <w:sz w:val="28"/>
          <w:szCs w:val="28"/>
        </w:rPr>
        <w:t>宅销售</w:t>
      </w:r>
      <w:proofErr w:type="gramEnd"/>
      <w:r>
        <w:rPr>
          <w:rFonts w:ascii="仿宋_GB2312" w:eastAsia="仿宋_GB2312" w:hAnsi="仿宋_GB2312" w:cs="仿宋_GB2312"/>
          <w:bCs/>
          <w:kern w:val="0"/>
          <w:sz w:val="28"/>
          <w:szCs w:val="28"/>
        </w:rPr>
        <w:t>金额 3.15 亿元，同比下降 53.06%；非住宅销售金额 0.51 亿元， 同比增长 0%。</w:t>
      </w:r>
    </w:p>
    <w:p w:rsidR="0054446D" w:rsidRDefault="00FB459A">
      <w:pPr>
        <w:widowControl/>
        <w:snapToGrid w:val="0"/>
        <w:spacing w:line="42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bCs/>
          <w:kern w:val="0"/>
          <w:sz w:val="28"/>
          <w:szCs w:val="28"/>
        </w:rPr>
        <w:t>③销售均价。 5 2022 年 1-4 月，全市新建商品住宅销售均价 6729 元/㎡，同比下降 0.14%。中心城区新建商品住宅销售均价 6776 元/㎡,同比增长 2.48%。 分宜县新建商品住宅销售均价 6522 元/㎡,同比下降 10%。</w:t>
      </w:r>
    </w:p>
    <w:p w:rsidR="0054446D" w:rsidRDefault="00FB459A">
      <w:pPr>
        <w:widowControl/>
        <w:snapToGrid w:val="0"/>
        <w:spacing w:line="42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（3）</w:t>
      </w:r>
      <w:r>
        <w:rPr>
          <w:rFonts w:ascii="仿宋_GB2312" w:eastAsia="仿宋_GB2312" w:hAnsi="仿宋_GB2312" w:cs="仿宋_GB2312"/>
          <w:bCs/>
          <w:kern w:val="0"/>
          <w:sz w:val="28"/>
          <w:szCs w:val="28"/>
        </w:rPr>
        <w:t>库存情况</w:t>
      </w:r>
    </w:p>
    <w:p w:rsidR="0054446D" w:rsidRDefault="00FB459A">
      <w:pPr>
        <w:widowControl/>
        <w:snapToGrid w:val="0"/>
        <w:spacing w:line="42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bCs/>
          <w:kern w:val="0"/>
          <w:sz w:val="28"/>
          <w:szCs w:val="28"/>
        </w:rPr>
        <w:t>2022 年 4 月末，全市可售新建商品房总量为 344.07 万㎡，</w:t>
      </w:r>
      <w:proofErr w:type="gramStart"/>
      <w:r>
        <w:rPr>
          <w:rFonts w:ascii="仿宋_GB2312" w:eastAsia="仿宋_GB2312" w:hAnsi="仿宋_GB2312" w:cs="仿宋_GB2312"/>
          <w:bCs/>
          <w:kern w:val="0"/>
          <w:sz w:val="28"/>
          <w:szCs w:val="28"/>
        </w:rPr>
        <w:t>去化周</w:t>
      </w:r>
      <w:proofErr w:type="gramEnd"/>
      <w:r>
        <w:rPr>
          <w:rFonts w:ascii="仿宋_GB2312" w:eastAsia="仿宋_GB2312" w:hAnsi="仿宋_GB2312" w:cs="仿宋_GB2312"/>
          <w:bCs/>
          <w:kern w:val="0"/>
          <w:sz w:val="28"/>
          <w:szCs w:val="28"/>
        </w:rPr>
        <w:t xml:space="preserve"> 期35.7个月；其中住宅145.46万㎡，去化周期18.68个月；非住宅198.61 万㎡，去化周期 107.31 </w:t>
      </w:r>
      <w:proofErr w:type="gramStart"/>
      <w:r>
        <w:rPr>
          <w:rFonts w:ascii="仿宋_GB2312" w:eastAsia="仿宋_GB2312" w:hAnsi="仿宋_GB2312" w:cs="仿宋_GB2312"/>
          <w:bCs/>
          <w:kern w:val="0"/>
          <w:sz w:val="28"/>
          <w:szCs w:val="28"/>
        </w:rPr>
        <w:t>个</w:t>
      </w:r>
      <w:proofErr w:type="gramEnd"/>
      <w:r>
        <w:rPr>
          <w:rFonts w:ascii="仿宋_GB2312" w:eastAsia="仿宋_GB2312" w:hAnsi="仿宋_GB2312" w:cs="仿宋_GB2312"/>
          <w:bCs/>
          <w:kern w:val="0"/>
          <w:sz w:val="28"/>
          <w:szCs w:val="28"/>
        </w:rPr>
        <w:t xml:space="preserve">月。 中心城区可售总量为 296.49 万㎡，去化周期 38.88 </w:t>
      </w:r>
      <w:proofErr w:type="gramStart"/>
      <w:r>
        <w:rPr>
          <w:rFonts w:ascii="仿宋_GB2312" w:eastAsia="仿宋_GB2312" w:hAnsi="仿宋_GB2312" w:cs="仿宋_GB2312"/>
          <w:bCs/>
          <w:kern w:val="0"/>
          <w:sz w:val="28"/>
          <w:szCs w:val="28"/>
        </w:rPr>
        <w:t>个</w:t>
      </w:r>
      <w:proofErr w:type="gramEnd"/>
      <w:r>
        <w:rPr>
          <w:rFonts w:ascii="仿宋_GB2312" w:eastAsia="仿宋_GB2312" w:hAnsi="仿宋_GB2312" w:cs="仿宋_GB2312"/>
          <w:bCs/>
          <w:kern w:val="0"/>
          <w:sz w:val="28"/>
          <w:szCs w:val="28"/>
        </w:rPr>
        <w:t xml:space="preserve">月。其中：住 宅 120.39 万㎡（9989 套），去化周期 19.9 </w:t>
      </w:r>
      <w:proofErr w:type="gramStart"/>
      <w:r>
        <w:rPr>
          <w:rFonts w:ascii="仿宋_GB2312" w:eastAsia="仿宋_GB2312" w:hAnsi="仿宋_GB2312" w:cs="仿宋_GB2312"/>
          <w:bCs/>
          <w:kern w:val="0"/>
          <w:sz w:val="28"/>
          <w:szCs w:val="28"/>
        </w:rPr>
        <w:t>个</w:t>
      </w:r>
      <w:proofErr w:type="gramEnd"/>
      <w:r>
        <w:rPr>
          <w:rFonts w:ascii="仿宋_GB2312" w:eastAsia="仿宋_GB2312" w:hAnsi="仿宋_GB2312" w:cs="仿宋_GB2312"/>
          <w:bCs/>
          <w:kern w:val="0"/>
          <w:sz w:val="28"/>
          <w:szCs w:val="28"/>
        </w:rPr>
        <w:t xml:space="preserve">月；非住宅 176.1 万㎡， 去化周期 111.75 </w:t>
      </w:r>
      <w:proofErr w:type="gramStart"/>
      <w:r>
        <w:rPr>
          <w:rFonts w:ascii="仿宋_GB2312" w:eastAsia="仿宋_GB2312" w:hAnsi="仿宋_GB2312" w:cs="仿宋_GB2312"/>
          <w:bCs/>
          <w:kern w:val="0"/>
          <w:sz w:val="28"/>
          <w:szCs w:val="28"/>
        </w:rPr>
        <w:t>个</w:t>
      </w:r>
      <w:proofErr w:type="gramEnd"/>
      <w:r>
        <w:rPr>
          <w:rFonts w:ascii="仿宋_GB2312" w:eastAsia="仿宋_GB2312" w:hAnsi="仿宋_GB2312" w:cs="仿宋_GB2312"/>
          <w:bCs/>
          <w:kern w:val="0"/>
          <w:sz w:val="28"/>
          <w:szCs w:val="28"/>
        </w:rPr>
        <w:t xml:space="preserve">月。 分宜县可售总量为 47.58 万㎡，去化周期 23.66 </w:t>
      </w:r>
      <w:proofErr w:type="gramStart"/>
      <w:r>
        <w:rPr>
          <w:rFonts w:ascii="仿宋_GB2312" w:eastAsia="仿宋_GB2312" w:hAnsi="仿宋_GB2312" w:cs="仿宋_GB2312"/>
          <w:bCs/>
          <w:kern w:val="0"/>
          <w:sz w:val="28"/>
          <w:szCs w:val="28"/>
        </w:rPr>
        <w:t>个</w:t>
      </w:r>
      <w:proofErr w:type="gramEnd"/>
      <w:r>
        <w:rPr>
          <w:rFonts w:ascii="仿宋_GB2312" w:eastAsia="仿宋_GB2312" w:hAnsi="仿宋_GB2312" w:cs="仿宋_GB2312"/>
          <w:bCs/>
          <w:kern w:val="0"/>
          <w:sz w:val="28"/>
          <w:szCs w:val="28"/>
        </w:rPr>
        <w:t xml:space="preserve">月。其中：住宅 25.07 万㎡（2976 套），去化周期 14.44 </w:t>
      </w:r>
      <w:proofErr w:type="gramStart"/>
      <w:r>
        <w:rPr>
          <w:rFonts w:ascii="仿宋_GB2312" w:eastAsia="仿宋_GB2312" w:hAnsi="仿宋_GB2312" w:cs="仿宋_GB2312"/>
          <w:bCs/>
          <w:kern w:val="0"/>
          <w:sz w:val="28"/>
          <w:szCs w:val="28"/>
        </w:rPr>
        <w:t>个</w:t>
      </w:r>
      <w:proofErr w:type="gramEnd"/>
      <w:r>
        <w:rPr>
          <w:rFonts w:ascii="仿宋_GB2312" w:eastAsia="仿宋_GB2312" w:hAnsi="仿宋_GB2312" w:cs="仿宋_GB2312"/>
          <w:bCs/>
          <w:kern w:val="0"/>
          <w:sz w:val="28"/>
          <w:szCs w:val="28"/>
        </w:rPr>
        <w:t xml:space="preserve">月；非住宅 22.51 万㎡，去化 周期 81.85 </w:t>
      </w:r>
      <w:proofErr w:type="gramStart"/>
      <w:r>
        <w:rPr>
          <w:rFonts w:ascii="仿宋_GB2312" w:eastAsia="仿宋_GB2312" w:hAnsi="仿宋_GB2312" w:cs="仿宋_GB2312"/>
          <w:bCs/>
          <w:kern w:val="0"/>
          <w:sz w:val="28"/>
          <w:szCs w:val="28"/>
        </w:rPr>
        <w:t>个</w:t>
      </w:r>
      <w:proofErr w:type="gramEnd"/>
      <w:r>
        <w:rPr>
          <w:rFonts w:ascii="仿宋_GB2312" w:eastAsia="仿宋_GB2312" w:hAnsi="仿宋_GB2312" w:cs="仿宋_GB2312"/>
          <w:bCs/>
          <w:kern w:val="0"/>
          <w:sz w:val="28"/>
          <w:szCs w:val="28"/>
        </w:rPr>
        <w:t>月</w:t>
      </w:r>
      <w:r>
        <w:rPr>
          <w:rFonts w:ascii="仿宋_GB2312" w:eastAsia="仿宋_GB2312" w:hAnsi="仿宋_GB2312" w:cs="仿宋_GB2312" w:hint="eastAsia"/>
          <w:bCs/>
          <w:kern w:val="0"/>
          <w:sz w:val="28"/>
          <w:szCs w:val="28"/>
        </w:rPr>
        <w:t>。</w:t>
      </w:r>
    </w:p>
    <w:p w:rsidR="0054446D" w:rsidRDefault="00FB459A">
      <w:pPr>
        <w:widowControl/>
        <w:snapToGrid w:val="0"/>
        <w:spacing w:line="42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（4）</w:t>
      </w:r>
      <w:r>
        <w:rPr>
          <w:rFonts w:ascii="仿宋_GB2312" w:eastAsia="仿宋_GB2312" w:hAnsi="仿宋_GB2312" w:cs="仿宋_GB2312"/>
          <w:bCs/>
          <w:kern w:val="0"/>
          <w:sz w:val="28"/>
          <w:szCs w:val="28"/>
        </w:rPr>
        <w:t>存量房交易情况</w:t>
      </w:r>
    </w:p>
    <w:p w:rsidR="0054446D" w:rsidRDefault="00FB459A">
      <w:pPr>
        <w:widowControl/>
        <w:snapToGrid w:val="0"/>
        <w:spacing w:line="42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bCs/>
          <w:kern w:val="0"/>
          <w:sz w:val="28"/>
          <w:szCs w:val="28"/>
        </w:rPr>
        <w:t>2022 年 1-4 月，全市存量房买卖成交面积 15.533 万㎡，同比下降 60.02%。中心城区成交面积 13.56 万㎡，同比下降 62.02%。其中:住宅 成交面积 12.94 万㎡（1228 套），同比下降 58.1%；非住宅成交面积 0.62 万㎡，同比下降 87.14%。分宜</w:t>
      </w:r>
      <w:proofErr w:type="gramStart"/>
      <w:r>
        <w:rPr>
          <w:rFonts w:ascii="仿宋_GB2312" w:eastAsia="仿宋_GB2312" w:hAnsi="仿宋_GB2312" w:cs="仿宋_GB2312"/>
          <w:bCs/>
          <w:kern w:val="0"/>
          <w:sz w:val="28"/>
          <w:szCs w:val="28"/>
        </w:rPr>
        <w:t>县成交</w:t>
      </w:r>
      <w:proofErr w:type="gramEnd"/>
      <w:r>
        <w:rPr>
          <w:rFonts w:ascii="仿宋_GB2312" w:eastAsia="仿宋_GB2312" w:hAnsi="仿宋_GB2312" w:cs="仿宋_GB2312"/>
          <w:bCs/>
          <w:kern w:val="0"/>
          <w:sz w:val="28"/>
          <w:szCs w:val="28"/>
        </w:rPr>
        <w:t>面积 1.973 万㎡，同比下降 37.37%。 其中:住宅成交面积 1.923 万㎡（180 套），同比下降 37.16%；非住宅成交面积 0.05 万㎡，同比下降 44.44%</w:t>
      </w:r>
      <w:r>
        <w:rPr>
          <w:rFonts w:ascii="仿宋_GB2312" w:eastAsia="仿宋_GB2312" w:hAnsi="仿宋_GB2312" w:cs="仿宋_GB2312" w:hint="eastAsia"/>
          <w:bCs/>
          <w:kern w:val="0"/>
          <w:sz w:val="28"/>
          <w:szCs w:val="28"/>
        </w:rPr>
        <w:t>。</w:t>
      </w:r>
    </w:p>
    <w:p w:rsidR="0054446D" w:rsidRDefault="00FB459A">
      <w:pPr>
        <w:widowControl/>
        <w:snapToGrid w:val="0"/>
        <w:spacing w:line="420" w:lineRule="exact"/>
        <w:ind w:firstLineChars="200" w:firstLine="560"/>
        <w:rPr>
          <w:rFonts w:ascii="仿宋_GB2312" w:eastAsia="仿宋_GB2312" w:hAnsi="宋体"/>
          <w:kern w:val="0"/>
          <w:sz w:val="28"/>
          <w:szCs w:val="24"/>
        </w:rPr>
      </w:pPr>
      <w:r>
        <w:rPr>
          <w:rFonts w:ascii="仿宋_GB2312" w:eastAsia="仿宋_GB2312" w:hAnsi="宋体" w:hint="eastAsia"/>
          <w:kern w:val="0"/>
          <w:sz w:val="28"/>
          <w:szCs w:val="24"/>
        </w:rPr>
        <w:t>7、土地市场状况</w:t>
      </w:r>
    </w:p>
    <w:p w:rsidR="0054446D" w:rsidRDefault="00FB459A">
      <w:pPr>
        <w:widowControl/>
        <w:snapToGrid w:val="0"/>
        <w:spacing w:line="420" w:lineRule="exact"/>
        <w:ind w:firstLineChars="200" w:firstLine="560"/>
        <w:rPr>
          <w:rFonts w:ascii="Calibri" w:eastAsia="仿宋" w:hAnsi="Calibri" w:cs="Calibri"/>
          <w:bCs/>
          <w:kern w:val="0"/>
          <w:sz w:val="28"/>
          <w:szCs w:val="28"/>
        </w:rPr>
      </w:pPr>
      <w:r>
        <w:rPr>
          <w:rFonts w:ascii="Calibri" w:eastAsia="仿宋" w:hAnsi="Calibri" w:cs="Calibri" w:hint="eastAsia"/>
          <w:bCs/>
          <w:kern w:val="0"/>
          <w:sz w:val="28"/>
          <w:szCs w:val="28"/>
        </w:rPr>
        <w:t>（</w:t>
      </w:r>
      <w:r>
        <w:rPr>
          <w:rFonts w:ascii="Calibri" w:eastAsia="仿宋" w:hAnsi="Calibri" w:cs="Calibri" w:hint="eastAsia"/>
          <w:bCs/>
          <w:kern w:val="0"/>
          <w:sz w:val="28"/>
          <w:szCs w:val="28"/>
        </w:rPr>
        <w:t>1</w:t>
      </w:r>
      <w:r>
        <w:rPr>
          <w:rFonts w:ascii="Calibri" w:eastAsia="仿宋" w:hAnsi="Calibri" w:cs="Calibri" w:hint="eastAsia"/>
          <w:bCs/>
          <w:kern w:val="0"/>
          <w:sz w:val="28"/>
          <w:szCs w:val="28"/>
        </w:rPr>
        <w:t>）出让情况</w:t>
      </w:r>
    </w:p>
    <w:p w:rsidR="0054446D" w:rsidRDefault="00FB459A">
      <w:pPr>
        <w:widowControl/>
        <w:snapToGrid w:val="0"/>
        <w:spacing w:line="420" w:lineRule="exact"/>
        <w:ind w:firstLineChars="200" w:firstLine="560"/>
        <w:rPr>
          <w:rFonts w:ascii="仿宋" w:eastAsia="仿宋" w:hAnsi="仿宋" w:cs="Calibri"/>
          <w:bCs/>
          <w:kern w:val="0"/>
          <w:sz w:val="28"/>
          <w:szCs w:val="28"/>
        </w:rPr>
      </w:pPr>
      <w:r>
        <w:rPr>
          <w:rFonts w:ascii="仿宋" w:eastAsia="仿宋" w:hAnsi="仿宋" w:cs="Calibri" w:hint="eastAsia"/>
          <w:bCs/>
          <w:kern w:val="0"/>
          <w:sz w:val="28"/>
          <w:szCs w:val="28"/>
        </w:rPr>
        <w:t>2021年新余市土地出让共有97宗，土地出让面积为330.36万，同比降低31.67%。其中，住宅用地出让33宗，面积为129.33万，同比降低24.92%；商服办公用地出让了14宗，面积为47.24万，同比增长191.05%；工业仓储用地出让了47宗，面积为147.96万，同比降低48.59%。2021年土地出让地面均价为1891元/㎡。</w:t>
      </w:r>
    </w:p>
    <w:p w:rsidR="0054446D" w:rsidRDefault="00FB459A">
      <w:pPr>
        <w:widowControl/>
        <w:snapToGrid w:val="0"/>
        <w:spacing w:line="420" w:lineRule="exact"/>
        <w:ind w:firstLineChars="200" w:firstLine="560"/>
        <w:rPr>
          <w:rFonts w:ascii="仿宋" w:eastAsia="仿宋" w:hAnsi="仿宋" w:cs="Calibri"/>
          <w:bCs/>
          <w:kern w:val="0"/>
          <w:sz w:val="28"/>
          <w:szCs w:val="28"/>
        </w:rPr>
      </w:pPr>
      <w:r>
        <w:rPr>
          <w:rFonts w:ascii="仿宋" w:eastAsia="仿宋" w:hAnsi="仿宋" w:cs="Calibri" w:hint="eastAsia"/>
          <w:bCs/>
          <w:kern w:val="0"/>
          <w:sz w:val="28"/>
          <w:szCs w:val="28"/>
        </w:rPr>
        <w:t>（2）成交情况</w:t>
      </w:r>
    </w:p>
    <w:p w:rsidR="0054446D" w:rsidRDefault="00FB459A">
      <w:pPr>
        <w:widowControl/>
        <w:snapToGrid w:val="0"/>
        <w:spacing w:line="420" w:lineRule="exact"/>
        <w:ind w:firstLineChars="200" w:firstLine="560"/>
        <w:rPr>
          <w:rFonts w:ascii="仿宋" w:eastAsia="仿宋" w:hAnsi="仿宋" w:cs="Calibri"/>
          <w:bCs/>
          <w:kern w:val="0"/>
          <w:sz w:val="28"/>
          <w:szCs w:val="28"/>
        </w:rPr>
      </w:pPr>
      <w:r>
        <w:rPr>
          <w:rFonts w:ascii="仿宋" w:eastAsia="仿宋" w:hAnsi="仿宋" w:cs="Calibri" w:hint="eastAsia"/>
          <w:bCs/>
          <w:kern w:val="0"/>
          <w:sz w:val="28"/>
          <w:szCs w:val="28"/>
        </w:rPr>
        <w:t>2021年新余市土地出让成交数量为93宗，成交面积为322.81万，同比降低6.31%。成交价款为63.88亿元。其中，住宅用地的成交价款为46.49亿元；商服办公用地的成交价款为14.75亿元；工业仓储用地的成交价款为2.53亿元。2021年新余市土地出让的成交地面均价为1979元/㎡。2021年新余市未成交的土地出让有7宗，面积为23.58万。</w:t>
      </w:r>
    </w:p>
    <w:p w:rsidR="0054446D" w:rsidRDefault="00FB459A">
      <w:pPr>
        <w:widowControl/>
        <w:snapToGrid w:val="0"/>
        <w:spacing w:line="420" w:lineRule="exact"/>
        <w:ind w:firstLineChars="200" w:firstLine="560"/>
        <w:rPr>
          <w:rFonts w:ascii="仿宋" w:eastAsia="仿宋" w:hAnsi="仿宋" w:cs="Calibri"/>
          <w:bCs/>
          <w:kern w:val="0"/>
          <w:sz w:val="28"/>
          <w:szCs w:val="28"/>
        </w:rPr>
      </w:pPr>
      <w:r>
        <w:rPr>
          <w:rFonts w:ascii="仿宋" w:eastAsia="仿宋" w:hAnsi="仿宋" w:cs="Calibri" w:hint="eastAsia"/>
          <w:bCs/>
          <w:kern w:val="0"/>
          <w:sz w:val="28"/>
          <w:szCs w:val="28"/>
        </w:rPr>
        <w:t>8、产业政策</w:t>
      </w:r>
    </w:p>
    <w:p w:rsidR="0054446D" w:rsidRDefault="00FB459A">
      <w:pPr>
        <w:widowControl/>
        <w:snapToGrid w:val="0"/>
        <w:spacing w:line="420" w:lineRule="exact"/>
        <w:ind w:firstLineChars="200" w:firstLine="560"/>
        <w:rPr>
          <w:rFonts w:ascii="仿宋" w:eastAsia="仿宋" w:hAnsi="仿宋" w:cs="Calibri"/>
          <w:bCs/>
          <w:kern w:val="0"/>
          <w:sz w:val="28"/>
          <w:szCs w:val="28"/>
        </w:rPr>
      </w:pPr>
      <w:r>
        <w:rPr>
          <w:rFonts w:ascii="仿宋" w:eastAsia="仿宋" w:hAnsi="仿宋" w:cs="Calibri" w:hint="eastAsia"/>
          <w:bCs/>
          <w:kern w:val="0"/>
          <w:sz w:val="28"/>
          <w:szCs w:val="28"/>
        </w:rPr>
        <w:t>（1）产业规划</w:t>
      </w:r>
    </w:p>
    <w:p w:rsidR="0054446D" w:rsidRDefault="00FB459A">
      <w:pPr>
        <w:widowControl/>
        <w:snapToGrid w:val="0"/>
        <w:spacing w:line="420" w:lineRule="exact"/>
        <w:ind w:firstLineChars="200" w:firstLine="560"/>
        <w:rPr>
          <w:rFonts w:ascii="仿宋" w:eastAsia="仿宋" w:hAnsi="仿宋" w:cs="Calibri"/>
          <w:bCs/>
          <w:kern w:val="0"/>
          <w:sz w:val="28"/>
          <w:szCs w:val="28"/>
        </w:rPr>
      </w:pPr>
      <w:r>
        <w:rPr>
          <w:rFonts w:ascii="仿宋" w:eastAsia="仿宋" w:hAnsi="仿宋" w:cs="Calibri"/>
          <w:bCs/>
          <w:kern w:val="0"/>
          <w:sz w:val="28"/>
          <w:szCs w:val="28"/>
        </w:rPr>
        <w:t>根据</w:t>
      </w:r>
      <w:r>
        <w:rPr>
          <w:rFonts w:ascii="仿宋" w:eastAsia="仿宋" w:hAnsi="仿宋" w:cs="Calibri" w:hint="eastAsia"/>
          <w:bCs/>
          <w:kern w:val="0"/>
          <w:sz w:val="28"/>
          <w:szCs w:val="28"/>
        </w:rPr>
        <w:t>《新余市十四五规划》，</w:t>
      </w:r>
      <w:r>
        <w:rPr>
          <w:rFonts w:ascii="仿宋" w:eastAsia="仿宋" w:hAnsi="仿宋" w:cs="Calibri"/>
          <w:bCs/>
          <w:kern w:val="0"/>
          <w:sz w:val="28"/>
          <w:szCs w:val="28"/>
        </w:rPr>
        <w:t>新余市将围绕“全域一体、融合发展”的总体思路，积极构建“两核引领、三区协同”的城市发展格局。加快推进产业基础高级化、产业</w:t>
      </w:r>
      <w:proofErr w:type="gramStart"/>
      <w:r>
        <w:rPr>
          <w:rFonts w:ascii="仿宋" w:eastAsia="仿宋" w:hAnsi="仿宋" w:cs="Calibri"/>
          <w:bCs/>
          <w:kern w:val="0"/>
          <w:sz w:val="28"/>
          <w:szCs w:val="28"/>
        </w:rPr>
        <w:t>链供应</w:t>
      </w:r>
      <w:proofErr w:type="gramEnd"/>
      <w:r>
        <w:rPr>
          <w:rFonts w:ascii="仿宋" w:eastAsia="仿宋" w:hAnsi="仿宋" w:cs="Calibri"/>
          <w:bCs/>
          <w:kern w:val="0"/>
          <w:sz w:val="28"/>
          <w:szCs w:val="28"/>
        </w:rPr>
        <w:t>链现代化，促进产业联动发展与深度融合，努力构建“9+‘2+4+N’+6”现代产业新体系。加快开发区建设、管理、运营市场化改革，加快推进高新区、袁河经开区和分宜工业园等园区一体化协同发展步伐</w:t>
      </w:r>
      <w:r>
        <w:rPr>
          <w:rFonts w:ascii="仿宋" w:eastAsia="仿宋" w:hAnsi="仿宋" w:cs="Calibri" w:hint="eastAsia"/>
          <w:bCs/>
          <w:kern w:val="0"/>
          <w:sz w:val="28"/>
          <w:szCs w:val="28"/>
        </w:rPr>
        <w:t>。</w:t>
      </w:r>
    </w:p>
    <w:p w:rsidR="0054446D" w:rsidRDefault="00FB459A">
      <w:pPr>
        <w:widowControl/>
        <w:snapToGrid w:val="0"/>
        <w:spacing w:line="420" w:lineRule="exact"/>
        <w:ind w:firstLineChars="200" w:firstLine="560"/>
        <w:rPr>
          <w:rFonts w:ascii="仿宋" w:eastAsia="仿宋" w:hAnsi="仿宋" w:cs="Calibri"/>
          <w:bCs/>
          <w:kern w:val="0"/>
          <w:sz w:val="28"/>
          <w:szCs w:val="28"/>
        </w:rPr>
      </w:pPr>
      <w:r>
        <w:rPr>
          <w:rFonts w:ascii="仿宋" w:eastAsia="仿宋" w:hAnsi="仿宋" w:cs="Calibri" w:hint="eastAsia"/>
          <w:bCs/>
          <w:kern w:val="0"/>
          <w:sz w:val="28"/>
          <w:szCs w:val="28"/>
        </w:rPr>
        <w:t>A</w:t>
      </w:r>
      <w:r>
        <w:rPr>
          <w:rFonts w:ascii="仿宋" w:eastAsia="仿宋" w:hAnsi="仿宋" w:cs="Calibri"/>
          <w:bCs/>
          <w:kern w:val="0"/>
          <w:sz w:val="28"/>
          <w:szCs w:val="28"/>
        </w:rPr>
        <w:t>区域分布情况</w:t>
      </w:r>
    </w:p>
    <w:p w:rsidR="0054446D" w:rsidRDefault="00FB459A">
      <w:pPr>
        <w:widowControl/>
        <w:snapToGrid w:val="0"/>
        <w:spacing w:line="420" w:lineRule="exact"/>
        <w:ind w:firstLineChars="200" w:firstLine="560"/>
        <w:rPr>
          <w:rFonts w:ascii="仿宋" w:eastAsia="仿宋" w:hAnsi="仿宋" w:cs="Calibri"/>
          <w:bCs/>
          <w:kern w:val="0"/>
          <w:sz w:val="28"/>
          <w:szCs w:val="28"/>
        </w:rPr>
      </w:pPr>
      <w:r>
        <w:rPr>
          <w:rFonts w:ascii="仿宋" w:eastAsia="仿宋" w:hAnsi="仿宋" w:cs="Calibri"/>
          <w:bCs/>
          <w:kern w:val="0"/>
          <w:sz w:val="28"/>
          <w:szCs w:val="28"/>
        </w:rPr>
        <w:t>新余市，江西省</w:t>
      </w:r>
      <w:proofErr w:type="gramStart"/>
      <w:r>
        <w:rPr>
          <w:rFonts w:ascii="仿宋" w:eastAsia="仿宋" w:hAnsi="仿宋" w:cs="Calibri"/>
          <w:bCs/>
          <w:kern w:val="0"/>
          <w:sz w:val="28"/>
          <w:szCs w:val="28"/>
        </w:rPr>
        <w:t>辖</w:t>
      </w:r>
      <w:proofErr w:type="gramEnd"/>
      <w:r>
        <w:rPr>
          <w:rFonts w:ascii="仿宋" w:eastAsia="仿宋" w:hAnsi="仿宋" w:cs="Calibri"/>
          <w:bCs/>
          <w:kern w:val="0"/>
          <w:sz w:val="28"/>
          <w:szCs w:val="28"/>
        </w:rPr>
        <w:t>地级市，位于江西省中部偏西。全市总面积3178平方公里，下辖分宜县、渝水区1县1区</w:t>
      </w:r>
    </w:p>
    <w:p w:rsidR="0054446D" w:rsidRDefault="00FB459A">
      <w:pPr>
        <w:widowControl/>
        <w:snapToGrid w:val="0"/>
        <w:spacing w:line="420" w:lineRule="exact"/>
        <w:ind w:firstLineChars="200" w:firstLine="560"/>
        <w:rPr>
          <w:rFonts w:ascii="仿宋" w:eastAsia="仿宋" w:hAnsi="仿宋" w:cs="Calibri"/>
          <w:bCs/>
          <w:kern w:val="0"/>
          <w:sz w:val="28"/>
          <w:szCs w:val="28"/>
        </w:rPr>
      </w:pPr>
      <w:r>
        <w:rPr>
          <w:rFonts w:ascii="仿宋" w:eastAsia="仿宋" w:hAnsi="仿宋" w:cs="Calibri" w:hint="eastAsia"/>
          <w:bCs/>
          <w:kern w:val="0"/>
          <w:sz w:val="28"/>
          <w:szCs w:val="28"/>
        </w:rPr>
        <w:t>B</w:t>
      </w:r>
      <w:r>
        <w:rPr>
          <w:rFonts w:ascii="仿宋" w:eastAsia="仿宋" w:hAnsi="仿宋" w:cs="Calibri"/>
          <w:bCs/>
          <w:kern w:val="0"/>
          <w:sz w:val="28"/>
          <w:szCs w:val="28"/>
        </w:rPr>
        <w:t>城市发展空间布局：“两核引领、三区协同”</w:t>
      </w:r>
    </w:p>
    <w:p w:rsidR="0054446D" w:rsidRDefault="00FB459A">
      <w:pPr>
        <w:widowControl/>
        <w:snapToGrid w:val="0"/>
        <w:spacing w:line="420" w:lineRule="exact"/>
        <w:ind w:firstLineChars="200" w:firstLine="560"/>
        <w:rPr>
          <w:rFonts w:ascii="仿宋" w:eastAsia="仿宋" w:hAnsi="仿宋" w:cs="Calibri"/>
          <w:bCs/>
          <w:kern w:val="0"/>
          <w:sz w:val="28"/>
          <w:szCs w:val="28"/>
        </w:rPr>
      </w:pPr>
      <w:r>
        <w:rPr>
          <w:rFonts w:ascii="仿宋" w:eastAsia="仿宋" w:hAnsi="仿宋" w:cs="Calibri"/>
          <w:bCs/>
          <w:kern w:val="0"/>
          <w:sz w:val="28"/>
          <w:szCs w:val="28"/>
        </w:rPr>
        <w:t>新余市按照围绕“全域一体、融合发展”的总体思路，积极构建“两核引领、三区协同”的城市发展格局，加快推进城区、园区、景区“三区”融合，优化城市发展空间布局。</w:t>
      </w:r>
    </w:p>
    <w:p w:rsidR="0054446D" w:rsidRDefault="00FB459A">
      <w:pPr>
        <w:widowControl/>
        <w:snapToGrid w:val="0"/>
        <w:spacing w:line="420" w:lineRule="exact"/>
        <w:ind w:firstLineChars="200" w:firstLine="560"/>
        <w:rPr>
          <w:rFonts w:ascii="仿宋" w:eastAsia="仿宋" w:hAnsi="仿宋" w:cs="Calibri"/>
          <w:bCs/>
          <w:kern w:val="0"/>
          <w:sz w:val="28"/>
          <w:szCs w:val="28"/>
        </w:rPr>
      </w:pPr>
      <w:r>
        <w:rPr>
          <w:rFonts w:ascii="仿宋" w:eastAsia="仿宋" w:hAnsi="仿宋" w:cs="Calibri"/>
          <w:bCs/>
          <w:kern w:val="0"/>
          <w:sz w:val="28"/>
          <w:szCs w:val="28"/>
        </w:rPr>
        <w:t>“两核引领”：渝水区主城，以壮大中心城区为发展方向，努力打造成为全市现代服务业引领中心、优质公共服务供给中心、高品质宜居生活中心；</w:t>
      </w:r>
      <w:proofErr w:type="gramStart"/>
      <w:r>
        <w:rPr>
          <w:rFonts w:ascii="仿宋" w:eastAsia="仿宋" w:hAnsi="仿宋" w:cs="Calibri"/>
          <w:bCs/>
          <w:kern w:val="0"/>
          <w:sz w:val="28"/>
          <w:szCs w:val="28"/>
        </w:rPr>
        <w:t>新宜吉</w:t>
      </w:r>
      <w:proofErr w:type="gramEnd"/>
      <w:r>
        <w:rPr>
          <w:rFonts w:ascii="仿宋" w:eastAsia="仿宋" w:hAnsi="仿宋" w:cs="Calibri"/>
          <w:bCs/>
          <w:kern w:val="0"/>
          <w:sz w:val="28"/>
          <w:szCs w:val="28"/>
        </w:rPr>
        <w:t>合作示范区（高铁新区），以建设现代化新城为发展导向，充分发挥高铁集聚效应，打造现代服务业集聚区、“工小美”城市典范样板区，成为城市副中心。</w:t>
      </w:r>
    </w:p>
    <w:p w:rsidR="0054446D" w:rsidRDefault="00FB459A">
      <w:pPr>
        <w:widowControl/>
        <w:snapToGrid w:val="0"/>
        <w:spacing w:line="420" w:lineRule="exact"/>
        <w:ind w:firstLineChars="200" w:firstLine="560"/>
        <w:rPr>
          <w:rFonts w:ascii="仿宋" w:eastAsia="仿宋" w:hAnsi="仿宋" w:cs="Calibri"/>
          <w:bCs/>
          <w:kern w:val="0"/>
          <w:sz w:val="28"/>
          <w:szCs w:val="28"/>
        </w:rPr>
      </w:pPr>
      <w:r>
        <w:rPr>
          <w:rFonts w:ascii="仿宋" w:eastAsia="仿宋" w:hAnsi="仿宋" w:cs="Calibri"/>
          <w:bCs/>
          <w:kern w:val="0"/>
          <w:sz w:val="28"/>
          <w:szCs w:val="28"/>
        </w:rPr>
        <w:t>“三区协同”：统筹提升高新区、分宜主城区、</w:t>
      </w:r>
      <w:proofErr w:type="gramStart"/>
      <w:r>
        <w:rPr>
          <w:rFonts w:ascii="仿宋" w:eastAsia="仿宋" w:hAnsi="仿宋" w:cs="Calibri"/>
          <w:bCs/>
          <w:kern w:val="0"/>
          <w:sz w:val="28"/>
          <w:szCs w:val="28"/>
        </w:rPr>
        <w:t>仙女湖</w:t>
      </w:r>
      <w:proofErr w:type="gramEnd"/>
      <w:r>
        <w:rPr>
          <w:rFonts w:ascii="仿宋" w:eastAsia="仿宋" w:hAnsi="仿宋" w:cs="Calibri"/>
          <w:bCs/>
          <w:kern w:val="0"/>
          <w:sz w:val="28"/>
          <w:szCs w:val="28"/>
        </w:rPr>
        <w:t>旅游区为主体的三大组团协调发展能力</w:t>
      </w:r>
    </w:p>
    <w:p w:rsidR="0054446D" w:rsidRDefault="00FB459A">
      <w:pPr>
        <w:widowControl/>
        <w:snapToGrid w:val="0"/>
        <w:spacing w:line="420" w:lineRule="exact"/>
        <w:ind w:firstLineChars="200" w:firstLine="560"/>
        <w:rPr>
          <w:rFonts w:ascii="仿宋" w:eastAsia="仿宋" w:hAnsi="仿宋" w:cs="Calibri"/>
          <w:bCs/>
          <w:kern w:val="0"/>
          <w:sz w:val="28"/>
          <w:szCs w:val="28"/>
        </w:rPr>
      </w:pPr>
      <w:r>
        <w:rPr>
          <w:rFonts w:ascii="仿宋" w:eastAsia="仿宋" w:hAnsi="仿宋" w:cs="Calibri" w:hint="eastAsia"/>
          <w:bCs/>
          <w:kern w:val="0"/>
          <w:sz w:val="28"/>
          <w:szCs w:val="28"/>
        </w:rPr>
        <w:t>C</w:t>
      </w:r>
      <w:r>
        <w:rPr>
          <w:rFonts w:ascii="仿宋" w:eastAsia="仿宋" w:hAnsi="仿宋" w:cs="Calibri"/>
          <w:bCs/>
          <w:kern w:val="0"/>
          <w:sz w:val="28"/>
          <w:szCs w:val="28"/>
        </w:rPr>
        <w:t>产业布局体系：“9+‘2+4+N’+6”现代产业新体系</w:t>
      </w:r>
    </w:p>
    <w:p w:rsidR="0054446D" w:rsidRDefault="00FB459A">
      <w:pPr>
        <w:widowControl/>
        <w:snapToGrid w:val="0"/>
        <w:spacing w:line="420" w:lineRule="exact"/>
        <w:ind w:firstLineChars="200" w:firstLine="560"/>
        <w:rPr>
          <w:rFonts w:ascii="仿宋" w:eastAsia="仿宋" w:hAnsi="仿宋" w:cs="Calibri"/>
          <w:bCs/>
          <w:kern w:val="0"/>
          <w:sz w:val="28"/>
          <w:szCs w:val="28"/>
        </w:rPr>
      </w:pPr>
      <w:r>
        <w:rPr>
          <w:rFonts w:ascii="仿宋" w:eastAsia="仿宋" w:hAnsi="仿宋" w:cs="Calibri"/>
          <w:bCs/>
          <w:kern w:val="0"/>
          <w:sz w:val="28"/>
          <w:szCs w:val="28"/>
        </w:rPr>
        <w:t>根据《新余市国民经济和社会发展第十四个五年规划和二〇三五年远景目标纲要》显示，新余市优化农业经济结构，培育壮大9个优势特色农业产业集群。打造中部新型工业强市，夯实“2+4+N”新型产业体系。着力推进现代物流、现代金融、研发设计等服务业向制造环节拓展，提高制造业核心竞争力和高附加值，构建现代产业新体系。</w:t>
      </w:r>
    </w:p>
    <w:p w:rsidR="0054446D" w:rsidRDefault="00FB459A">
      <w:pPr>
        <w:widowControl/>
        <w:snapToGrid w:val="0"/>
        <w:spacing w:line="420" w:lineRule="exact"/>
        <w:ind w:firstLineChars="200" w:firstLine="560"/>
        <w:rPr>
          <w:rFonts w:ascii="仿宋" w:eastAsia="仿宋" w:hAnsi="仿宋" w:cs="Calibri"/>
          <w:bCs/>
          <w:kern w:val="0"/>
          <w:sz w:val="28"/>
          <w:szCs w:val="28"/>
        </w:rPr>
      </w:pPr>
      <w:r>
        <w:rPr>
          <w:rFonts w:ascii="仿宋" w:eastAsia="仿宋" w:hAnsi="仿宋" w:cs="Calibri" w:hint="eastAsia"/>
          <w:bCs/>
          <w:kern w:val="0"/>
          <w:sz w:val="28"/>
          <w:szCs w:val="28"/>
        </w:rPr>
        <w:t>D</w:t>
      </w:r>
      <w:r>
        <w:rPr>
          <w:rFonts w:ascii="仿宋" w:eastAsia="仿宋" w:hAnsi="仿宋" w:cs="Calibri"/>
          <w:bCs/>
          <w:kern w:val="0"/>
          <w:sz w:val="28"/>
          <w:szCs w:val="28"/>
        </w:rPr>
        <w:t>开发区重点产业布局</w:t>
      </w:r>
    </w:p>
    <w:p w:rsidR="0054446D" w:rsidRDefault="00FB459A">
      <w:pPr>
        <w:widowControl/>
        <w:snapToGrid w:val="0"/>
        <w:spacing w:line="420" w:lineRule="exact"/>
        <w:ind w:firstLineChars="200" w:firstLine="560"/>
        <w:rPr>
          <w:rFonts w:ascii="仿宋" w:eastAsia="仿宋" w:hAnsi="仿宋" w:cs="Calibri"/>
          <w:bCs/>
          <w:kern w:val="0"/>
          <w:sz w:val="28"/>
          <w:szCs w:val="28"/>
        </w:rPr>
      </w:pPr>
      <w:r>
        <w:rPr>
          <w:rFonts w:ascii="仿宋" w:eastAsia="仿宋" w:hAnsi="仿宋" w:cs="Calibri"/>
          <w:bCs/>
          <w:kern w:val="0"/>
          <w:sz w:val="28"/>
          <w:szCs w:val="28"/>
        </w:rPr>
        <w:t>新余市加快开发区建设、管理、运营市场化改革，加快推进高新区、袁河经开区和分宜工业园等园区一体化协同发展步伐，支持开发区与先进地区、优质企业通过园中园、飞地经济等模式合作共建，打造智能制造、装配式建筑等一批特色产业园，构建形成“一区多园”联合发展格局</w:t>
      </w:r>
      <w:r>
        <w:rPr>
          <w:rFonts w:ascii="仿宋" w:eastAsia="仿宋" w:hAnsi="仿宋" w:cs="Calibri" w:hint="eastAsia"/>
          <w:bCs/>
          <w:kern w:val="0"/>
          <w:sz w:val="28"/>
          <w:szCs w:val="28"/>
        </w:rPr>
        <w:t>。</w:t>
      </w:r>
    </w:p>
    <w:p w:rsidR="0054446D" w:rsidRDefault="00FB459A">
      <w:pPr>
        <w:widowControl/>
        <w:snapToGrid w:val="0"/>
        <w:spacing w:line="420" w:lineRule="exact"/>
        <w:ind w:firstLineChars="200" w:firstLine="560"/>
        <w:rPr>
          <w:rFonts w:ascii="仿宋" w:eastAsia="仿宋" w:hAnsi="仿宋" w:cs="Calibri"/>
          <w:bCs/>
          <w:kern w:val="0"/>
          <w:sz w:val="28"/>
          <w:szCs w:val="28"/>
        </w:rPr>
      </w:pPr>
      <w:r>
        <w:rPr>
          <w:rFonts w:ascii="仿宋" w:eastAsia="仿宋" w:hAnsi="仿宋" w:cs="Calibri" w:hint="eastAsia"/>
          <w:bCs/>
          <w:kern w:val="0"/>
          <w:sz w:val="28"/>
          <w:szCs w:val="28"/>
        </w:rPr>
        <w:t>（2）税收政策</w:t>
      </w:r>
    </w:p>
    <w:p w:rsidR="0054446D" w:rsidRDefault="00FB459A">
      <w:pPr>
        <w:widowControl/>
        <w:snapToGrid w:val="0"/>
        <w:spacing w:line="420" w:lineRule="exact"/>
        <w:ind w:firstLineChars="200" w:firstLine="560"/>
        <w:rPr>
          <w:rFonts w:ascii="仿宋" w:eastAsia="仿宋" w:hAnsi="仿宋" w:cs="Calibri"/>
          <w:bCs/>
          <w:kern w:val="0"/>
          <w:sz w:val="28"/>
          <w:szCs w:val="28"/>
        </w:rPr>
      </w:pPr>
      <w:r>
        <w:rPr>
          <w:rFonts w:ascii="仿宋" w:eastAsia="仿宋" w:hAnsi="仿宋" w:cs="Calibri" w:hint="eastAsia"/>
          <w:bCs/>
          <w:kern w:val="0"/>
          <w:sz w:val="28"/>
          <w:szCs w:val="28"/>
        </w:rPr>
        <w:t>土地相关税收制度方面，在土地交易和使用过程中涉及的税种主要是土地增值税城镇土地使用税、契税等。</w:t>
      </w:r>
    </w:p>
    <w:p w:rsidR="0054446D" w:rsidRDefault="00FB459A">
      <w:pPr>
        <w:widowControl/>
        <w:snapToGrid w:val="0"/>
        <w:spacing w:line="420" w:lineRule="exact"/>
        <w:ind w:firstLineChars="200" w:firstLine="560"/>
        <w:jc w:val="center"/>
        <w:rPr>
          <w:rFonts w:ascii="仿宋" w:eastAsia="仿宋" w:hAnsi="仿宋" w:cs="Calibri"/>
          <w:bCs/>
          <w:kern w:val="0"/>
          <w:sz w:val="28"/>
          <w:szCs w:val="28"/>
        </w:rPr>
      </w:pPr>
      <w:r>
        <w:rPr>
          <w:rFonts w:ascii="仿宋" w:eastAsia="仿宋" w:hAnsi="仿宋" w:cs="Calibri" w:hint="eastAsia"/>
          <w:bCs/>
          <w:kern w:val="0"/>
          <w:sz w:val="28"/>
          <w:szCs w:val="28"/>
        </w:rPr>
        <w:t>土地增值税</w:t>
      </w:r>
    </w:p>
    <w:tbl>
      <w:tblPr>
        <w:tblW w:w="90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634"/>
        <w:gridCol w:w="1591"/>
        <w:gridCol w:w="1721"/>
        <w:gridCol w:w="2135"/>
      </w:tblGrid>
      <w:tr w:rsidR="0054446D">
        <w:trPr>
          <w:trHeight w:val="397"/>
        </w:trPr>
        <w:tc>
          <w:tcPr>
            <w:tcW w:w="3634" w:type="dxa"/>
            <w:shd w:val="clear" w:color="auto" w:fill="FFFFFF" w:themeFill="background1"/>
            <w:vAlign w:val="center"/>
          </w:tcPr>
          <w:p w:rsidR="0054446D" w:rsidRDefault="00FB459A">
            <w:pPr>
              <w:widowControl/>
              <w:snapToGrid w:val="0"/>
              <w:spacing w:line="420" w:lineRule="exact"/>
              <w:ind w:firstLineChars="200" w:firstLine="560"/>
              <w:rPr>
                <w:rFonts w:ascii="仿宋" w:eastAsia="仿宋" w:hAnsi="仿宋" w:cs="Calibri"/>
                <w:bCs/>
                <w:kern w:val="0"/>
                <w:sz w:val="28"/>
                <w:szCs w:val="28"/>
              </w:rPr>
            </w:pPr>
            <w:r>
              <w:rPr>
                <w:rFonts w:ascii="仿宋" w:eastAsia="仿宋" w:hAnsi="仿宋" w:cs="Calibri" w:hint="eastAsia"/>
                <w:bCs/>
                <w:kern w:val="0"/>
                <w:sz w:val="28"/>
                <w:szCs w:val="28"/>
              </w:rPr>
              <w:t>征收范围</w:t>
            </w:r>
          </w:p>
        </w:tc>
        <w:tc>
          <w:tcPr>
            <w:tcW w:w="1591" w:type="dxa"/>
            <w:shd w:val="clear" w:color="auto" w:fill="FFFFFF" w:themeFill="background1"/>
            <w:vAlign w:val="center"/>
          </w:tcPr>
          <w:p w:rsidR="0054446D" w:rsidRDefault="00FB459A">
            <w:pPr>
              <w:widowControl/>
              <w:snapToGrid w:val="0"/>
              <w:spacing w:line="420" w:lineRule="exact"/>
              <w:rPr>
                <w:rFonts w:ascii="仿宋" w:eastAsia="仿宋" w:hAnsi="仿宋" w:cs="Calibri"/>
                <w:bCs/>
                <w:kern w:val="0"/>
                <w:sz w:val="28"/>
                <w:szCs w:val="28"/>
              </w:rPr>
            </w:pPr>
            <w:r>
              <w:rPr>
                <w:rFonts w:ascii="仿宋" w:eastAsia="仿宋" w:hAnsi="仿宋" w:cs="Calibri" w:hint="eastAsia"/>
                <w:bCs/>
                <w:kern w:val="0"/>
                <w:sz w:val="28"/>
                <w:szCs w:val="28"/>
              </w:rPr>
              <w:t>计征时间</w:t>
            </w:r>
          </w:p>
        </w:tc>
        <w:tc>
          <w:tcPr>
            <w:tcW w:w="1721" w:type="dxa"/>
            <w:shd w:val="clear" w:color="auto" w:fill="FFFFFF" w:themeFill="background1"/>
            <w:vAlign w:val="center"/>
          </w:tcPr>
          <w:p w:rsidR="0054446D" w:rsidRDefault="00FB459A">
            <w:pPr>
              <w:widowControl/>
              <w:snapToGrid w:val="0"/>
              <w:spacing w:line="420" w:lineRule="exact"/>
              <w:rPr>
                <w:rFonts w:ascii="仿宋" w:eastAsia="仿宋" w:hAnsi="仿宋" w:cs="Calibri"/>
                <w:bCs/>
                <w:kern w:val="0"/>
                <w:sz w:val="28"/>
                <w:szCs w:val="28"/>
              </w:rPr>
            </w:pPr>
            <w:r>
              <w:rPr>
                <w:rFonts w:ascii="仿宋" w:eastAsia="仿宋" w:hAnsi="仿宋" w:cs="Calibri" w:hint="eastAsia"/>
                <w:bCs/>
                <w:kern w:val="0"/>
                <w:sz w:val="28"/>
                <w:szCs w:val="28"/>
              </w:rPr>
              <w:t>税率</w:t>
            </w:r>
          </w:p>
        </w:tc>
        <w:tc>
          <w:tcPr>
            <w:tcW w:w="2135" w:type="dxa"/>
            <w:shd w:val="clear" w:color="auto" w:fill="FFFFFF" w:themeFill="background1"/>
            <w:vAlign w:val="center"/>
          </w:tcPr>
          <w:p w:rsidR="0054446D" w:rsidRDefault="00FB459A">
            <w:pPr>
              <w:widowControl/>
              <w:snapToGrid w:val="0"/>
              <w:spacing w:line="420" w:lineRule="exact"/>
              <w:rPr>
                <w:rFonts w:ascii="仿宋" w:eastAsia="仿宋" w:hAnsi="仿宋" w:cs="Calibri"/>
                <w:bCs/>
                <w:kern w:val="0"/>
                <w:sz w:val="28"/>
                <w:szCs w:val="28"/>
              </w:rPr>
            </w:pPr>
            <w:r>
              <w:rPr>
                <w:rFonts w:ascii="仿宋" w:eastAsia="仿宋" w:hAnsi="仿宋" w:cs="Calibri" w:hint="eastAsia"/>
                <w:bCs/>
                <w:kern w:val="0"/>
                <w:sz w:val="28"/>
                <w:szCs w:val="28"/>
              </w:rPr>
              <w:t>计征公式</w:t>
            </w:r>
          </w:p>
        </w:tc>
      </w:tr>
      <w:tr w:rsidR="0054446D">
        <w:trPr>
          <w:trHeight w:val="397"/>
        </w:trPr>
        <w:tc>
          <w:tcPr>
            <w:tcW w:w="3634" w:type="dxa"/>
            <w:shd w:val="clear" w:color="auto" w:fill="FFFFFF" w:themeFill="background1"/>
            <w:vAlign w:val="center"/>
          </w:tcPr>
          <w:p w:rsidR="0054446D" w:rsidRDefault="00FB459A">
            <w:pPr>
              <w:widowControl/>
              <w:snapToGrid w:val="0"/>
              <w:spacing w:line="420" w:lineRule="exact"/>
              <w:rPr>
                <w:rFonts w:ascii="仿宋" w:eastAsia="仿宋" w:hAnsi="仿宋" w:cs="Calibri"/>
                <w:bCs/>
                <w:kern w:val="0"/>
                <w:sz w:val="28"/>
                <w:szCs w:val="28"/>
              </w:rPr>
            </w:pPr>
            <w:r>
              <w:rPr>
                <w:rFonts w:ascii="仿宋" w:eastAsia="仿宋" w:hAnsi="仿宋" w:cs="Calibri" w:hint="eastAsia"/>
                <w:bCs/>
                <w:kern w:val="0"/>
                <w:sz w:val="28"/>
                <w:szCs w:val="28"/>
              </w:rPr>
              <w:t>转让国有土地使用权、地上建筑物及其附着物并取得收入的单位和个人增值额未超过扣除项目金额50%</w:t>
            </w:r>
          </w:p>
        </w:tc>
        <w:tc>
          <w:tcPr>
            <w:tcW w:w="1591" w:type="dxa"/>
            <w:shd w:val="clear" w:color="auto" w:fill="FFFFFF" w:themeFill="background1"/>
            <w:vAlign w:val="center"/>
          </w:tcPr>
          <w:p w:rsidR="0054446D" w:rsidRDefault="00FB459A">
            <w:pPr>
              <w:widowControl/>
              <w:snapToGrid w:val="0"/>
              <w:spacing w:line="420" w:lineRule="exact"/>
              <w:rPr>
                <w:rFonts w:ascii="仿宋" w:eastAsia="仿宋" w:hAnsi="仿宋" w:cs="Calibri"/>
                <w:bCs/>
                <w:kern w:val="0"/>
                <w:sz w:val="28"/>
                <w:szCs w:val="28"/>
              </w:rPr>
            </w:pPr>
            <w:r>
              <w:rPr>
                <w:rFonts w:ascii="仿宋" w:eastAsia="仿宋" w:hAnsi="仿宋" w:cs="Calibri" w:hint="eastAsia"/>
                <w:bCs/>
                <w:kern w:val="0"/>
                <w:sz w:val="28"/>
                <w:szCs w:val="28"/>
              </w:rPr>
              <w:t>房地产转让合同签订后7日内</w:t>
            </w:r>
          </w:p>
        </w:tc>
        <w:tc>
          <w:tcPr>
            <w:tcW w:w="1721" w:type="dxa"/>
            <w:shd w:val="clear" w:color="auto" w:fill="FFFFFF" w:themeFill="background1"/>
            <w:vAlign w:val="center"/>
          </w:tcPr>
          <w:p w:rsidR="0054446D" w:rsidRDefault="00FB459A">
            <w:pPr>
              <w:widowControl/>
              <w:snapToGrid w:val="0"/>
              <w:spacing w:line="420" w:lineRule="exact"/>
              <w:rPr>
                <w:rFonts w:ascii="仿宋" w:eastAsia="仿宋" w:hAnsi="仿宋" w:cs="Calibri"/>
                <w:bCs/>
                <w:kern w:val="0"/>
                <w:sz w:val="28"/>
                <w:szCs w:val="28"/>
              </w:rPr>
            </w:pPr>
            <w:r>
              <w:rPr>
                <w:rFonts w:ascii="仿宋" w:eastAsia="仿宋" w:hAnsi="仿宋" w:cs="Calibri" w:hint="eastAsia"/>
                <w:bCs/>
                <w:kern w:val="0"/>
                <w:sz w:val="28"/>
                <w:szCs w:val="28"/>
              </w:rPr>
              <w:t>30%</w:t>
            </w:r>
          </w:p>
        </w:tc>
        <w:tc>
          <w:tcPr>
            <w:tcW w:w="2135" w:type="dxa"/>
            <w:shd w:val="clear" w:color="auto" w:fill="FFFFFF" w:themeFill="background1"/>
            <w:vAlign w:val="center"/>
          </w:tcPr>
          <w:p w:rsidR="0054446D" w:rsidRDefault="00FB459A">
            <w:pPr>
              <w:widowControl/>
              <w:snapToGrid w:val="0"/>
              <w:spacing w:line="420" w:lineRule="exact"/>
              <w:rPr>
                <w:rFonts w:ascii="仿宋" w:eastAsia="仿宋" w:hAnsi="仿宋" w:cs="Calibri"/>
                <w:bCs/>
                <w:kern w:val="0"/>
                <w:sz w:val="28"/>
                <w:szCs w:val="28"/>
              </w:rPr>
            </w:pPr>
            <w:r>
              <w:rPr>
                <w:rFonts w:ascii="仿宋" w:eastAsia="仿宋" w:hAnsi="仿宋" w:cs="Calibri" w:hint="eastAsia"/>
                <w:bCs/>
                <w:kern w:val="0"/>
                <w:sz w:val="28"/>
                <w:szCs w:val="28"/>
              </w:rPr>
              <w:t>增值额×30%</w:t>
            </w:r>
          </w:p>
        </w:tc>
      </w:tr>
      <w:tr w:rsidR="0054446D">
        <w:trPr>
          <w:trHeight w:val="397"/>
        </w:trPr>
        <w:tc>
          <w:tcPr>
            <w:tcW w:w="3634" w:type="dxa"/>
            <w:shd w:val="clear" w:color="auto" w:fill="FFFFFF" w:themeFill="background1"/>
            <w:vAlign w:val="center"/>
          </w:tcPr>
          <w:p w:rsidR="0054446D" w:rsidRDefault="00FB459A">
            <w:pPr>
              <w:widowControl/>
              <w:snapToGrid w:val="0"/>
              <w:spacing w:line="420" w:lineRule="exact"/>
              <w:rPr>
                <w:rFonts w:ascii="仿宋" w:eastAsia="仿宋" w:hAnsi="仿宋" w:cs="Calibri"/>
                <w:bCs/>
                <w:kern w:val="0"/>
                <w:sz w:val="28"/>
                <w:szCs w:val="28"/>
              </w:rPr>
            </w:pPr>
            <w:r>
              <w:rPr>
                <w:rFonts w:ascii="仿宋" w:eastAsia="仿宋" w:hAnsi="仿宋" w:cs="Calibri" w:hint="eastAsia"/>
                <w:bCs/>
                <w:kern w:val="0"/>
                <w:sz w:val="28"/>
                <w:szCs w:val="28"/>
              </w:rPr>
              <w:t>增值额超过扣除项目金额50%，未超过100%</w:t>
            </w:r>
          </w:p>
        </w:tc>
        <w:tc>
          <w:tcPr>
            <w:tcW w:w="1591" w:type="dxa"/>
            <w:shd w:val="clear" w:color="auto" w:fill="FFFFFF" w:themeFill="background1"/>
            <w:vAlign w:val="center"/>
          </w:tcPr>
          <w:p w:rsidR="0054446D" w:rsidRDefault="0054446D">
            <w:pPr>
              <w:widowControl/>
              <w:snapToGrid w:val="0"/>
              <w:spacing w:line="420" w:lineRule="exact"/>
              <w:ind w:firstLineChars="200" w:firstLine="560"/>
              <w:rPr>
                <w:rFonts w:ascii="仿宋" w:eastAsia="仿宋" w:hAnsi="仿宋" w:cs="Calibri"/>
                <w:bCs/>
                <w:kern w:val="0"/>
                <w:sz w:val="28"/>
                <w:szCs w:val="28"/>
              </w:rPr>
            </w:pPr>
          </w:p>
        </w:tc>
        <w:tc>
          <w:tcPr>
            <w:tcW w:w="1721" w:type="dxa"/>
            <w:shd w:val="clear" w:color="auto" w:fill="FFFFFF" w:themeFill="background1"/>
            <w:vAlign w:val="center"/>
          </w:tcPr>
          <w:p w:rsidR="0054446D" w:rsidRDefault="00FB459A">
            <w:pPr>
              <w:widowControl/>
              <w:snapToGrid w:val="0"/>
              <w:spacing w:line="420" w:lineRule="exact"/>
              <w:rPr>
                <w:rFonts w:ascii="仿宋" w:eastAsia="仿宋" w:hAnsi="仿宋" w:cs="Calibri"/>
                <w:bCs/>
                <w:kern w:val="0"/>
                <w:sz w:val="28"/>
                <w:szCs w:val="28"/>
              </w:rPr>
            </w:pPr>
            <w:r>
              <w:rPr>
                <w:rFonts w:ascii="仿宋" w:eastAsia="仿宋" w:hAnsi="仿宋" w:cs="Calibri" w:hint="eastAsia"/>
                <w:bCs/>
                <w:kern w:val="0"/>
                <w:sz w:val="28"/>
                <w:szCs w:val="28"/>
              </w:rPr>
              <w:t>40%</w:t>
            </w:r>
          </w:p>
        </w:tc>
        <w:tc>
          <w:tcPr>
            <w:tcW w:w="2135" w:type="dxa"/>
            <w:shd w:val="clear" w:color="auto" w:fill="FFFFFF" w:themeFill="background1"/>
            <w:vAlign w:val="center"/>
          </w:tcPr>
          <w:p w:rsidR="0054446D" w:rsidRDefault="00FB459A">
            <w:pPr>
              <w:widowControl/>
              <w:snapToGrid w:val="0"/>
              <w:spacing w:line="420" w:lineRule="exact"/>
              <w:rPr>
                <w:rFonts w:ascii="仿宋" w:eastAsia="仿宋" w:hAnsi="仿宋" w:cs="Calibri"/>
                <w:bCs/>
                <w:kern w:val="0"/>
                <w:sz w:val="28"/>
                <w:szCs w:val="28"/>
              </w:rPr>
            </w:pPr>
            <w:r>
              <w:rPr>
                <w:rFonts w:ascii="仿宋" w:eastAsia="仿宋" w:hAnsi="仿宋" w:cs="Calibri" w:hint="eastAsia"/>
                <w:bCs/>
                <w:kern w:val="0"/>
                <w:sz w:val="28"/>
                <w:szCs w:val="28"/>
              </w:rPr>
              <w:t>增值额×40%-扣除项目金额×5%</w:t>
            </w:r>
          </w:p>
        </w:tc>
      </w:tr>
      <w:tr w:rsidR="0054446D">
        <w:trPr>
          <w:trHeight w:val="397"/>
        </w:trPr>
        <w:tc>
          <w:tcPr>
            <w:tcW w:w="3634" w:type="dxa"/>
            <w:shd w:val="clear" w:color="auto" w:fill="FFFFFF" w:themeFill="background1"/>
            <w:vAlign w:val="center"/>
          </w:tcPr>
          <w:p w:rsidR="0054446D" w:rsidRDefault="00FB459A">
            <w:pPr>
              <w:widowControl/>
              <w:snapToGrid w:val="0"/>
              <w:spacing w:line="420" w:lineRule="exact"/>
              <w:rPr>
                <w:rFonts w:ascii="仿宋" w:eastAsia="仿宋" w:hAnsi="仿宋" w:cs="Calibri"/>
                <w:bCs/>
                <w:kern w:val="0"/>
                <w:sz w:val="28"/>
                <w:szCs w:val="28"/>
              </w:rPr>
            </w:pPr>
            <w:r>
              <w:rPr>
                <w:rFonts w:ascii="仿宋" w:eastAsia="仿宋" w:hAnsi="仿宋" w:cs="Calibri" w:hint="eastAsia"/>
                <w:bCs/>
                <w:kern w:val="0"/>
                <w:sz w:val="28"/>
                <w:szCs w:val="28"/>
              </w:rPr>
              <w:t>增值额超过扣除项目金额100%，未超过200%</w:t>
            </w:r>
          </w:p>
        </w:tc>
        <w:tc>
          <w:tcPr>
            <w:tcW w:w="1591" w:type="dxa"/>
            <w:shd w:val="clear" w:color="auto" w:fill="FFFFFF" w:themeFill="background1"/>
            <w:vAlign w:val="center"/>
          </w:tcPr>
          <w:p w:rsidR="0054446D" w:rsidRDefault="0054446D">
            <w:pPr>
              <w:widowControl/>
              <w:snapToGrid w:val="0"/>
              <w:spacing w:line="420" w:lineRule="exact"/>
              <w:ind w:firstLineChars="200" w:firstLine="560"/>
              <w:rPr>
                <w:rFonts w:ascii="仿宋" w:eastAsia="仿宋" w:hAnsi="仿宋" w:cs="Calibri"/>
                <w:bCs/>
                <w:kern w:val="0"/>
                <w:sz w:val="28"/>
                <w:szCs w:val="28"/>
              </w:rPr>
            </w:pPr>
          </w:p>
        </w:tc>
        <w:tc>
          <w:tcPr>
            <w:tcW w:w="1721" w:type="dxa"/>
            <w:shd w:val="clear" w:color="auto" w:fill="FFFFFF" w:themeFill="background1"/>
            <w:vAlign w:val="center"/>
          </w:tcPr>
          <w:p w:rsidR="0054446D" w:rsidRDefault="00FB459A">
            <w:pPr>
              <w:widowControl/>
              <w:snapToGrid w:val="0"/>
              <w:spacing w:line="420" w:lineRule="exact"/>
              <w:rPr>
                <w:rFonts w:ascii="仿宋" w:eastAsia="仿宋" w:hAnsi="仿宋" w:cs="Calibri"/>
                <w:bCs/>
                <w:kern w:val="0"/>
                <w:sz w:val="28"/>
                <w:szCs w:val="28"/>
              </w:rPr>
            </w:pPr>
            <w:r>
              <w:rPr>
                <w:rFonts w:ascii="仿宋" w:eastAsia="仿宋" w:hAnsi="仿宋" w:cs="Calibri" w:hint="eastAsia"/>
                <w:bCs/>
                <w:kern w:val="0"/>
                <w:sz w:val="28"/>
                <w:szCs w:val="28"/>
              </w:rPr>
              <w:t>50%</w:t>
            </w:r>
          </w:p>
        </w:tc>
        <w:tc>
          <w:tcPr>
            <w:tcW w:w="2135" w:type="dxa"/>
            <w:shd w:val="clear" w:color="auto" w:fill="FFFFFF" w:themeFill="background1"/>
            <w:vAlign w:val="center"/>
          </w:tcPr>
          <w:p w:rsidR="0054446D" w:rsidRDefault="00FB459A">
            <w:pPr>
              <w:widowControl/>
              <w:snapToGrid w:val="0"/>
              <w:spacing w:line="420" w:lineRule="exact"/>
              <w:rPr>
                <w:rFonts w:ascii="仿宋" w:eastAsia="仿宋" w:hAnsi="仿宋" w:cs="Calibri"/>
                <w:bCs/>
                <w:kern w:val="0"/>
                <w:sz w:val="28"/>
                <w:szCs w:val="28"/>
              </w:rPr>
            </w:pPr>
            <w:r>
              <w:rPr>
                <w:rFonts w:ascii="仿宋" w:eastAsia="仿宋" w:hAnsi="仿宋" w:cs="Calibri" w:hint="eastAsia"/>
                <w:bCs/>
                <w:kern w:val="0"/>
                <w:sz w:val="28"/>
                <w:szCs w:val="28"/>
              </w:rPr>
              <w:t>增值额×50%-扣除项目金额×15%</w:t>
            </w:r>
          </w:p>
        </w:tc>
      </w:tr>
      <w:tr w:rsidR="0054446D">
        <w:trPr>
          <w:trHeight w:val="397"/>
        </w:trPr>
        <w:tc>
          <w:tcPr>
            <w:tcW w:w="3634" w:type="dxa"/>
            <w:shd w:val="clear" w:color="auto" w:fill="FFFFFF" w:themeFill="background1"/>
            <w:vAlign w:val="center"/>
          </w:tcPr>
          <w:p w:rsidR="0054446D" w:rsidRDefault="00FB459A">
            <w:pPr>
              <w:widowControl/>
              <w:snapToGrid w:val="0"/>
              <w:spacing w:line="420" w:lineRule="exact"/>
              <w:rPr>
                <w:rFonts w:ascii="仿宋" w:eastAsia="仿宋" w:hAnsi="仿宋" w:cs="Calibri"/>
                <w:bCs/>
                <w:kern w:val="0"/>
                <w:sz w:val="28"/>
                <w:szCs w:val="28"/>
              </w:rPr>
            </w:pPr>
            <w:r>
              <w:rPr>
                <w:rFonts w:ascii="仿宋" w:eastAsia="仿宋" w:hAnsi="仿宋" w:cs="Calibri" w:hint="eastAsia"/>
                <w:bCs/>
                <w:kern w:val="0"/>
                <w:sz w:val="28"/>
                <w:szCs w:val="28"/>
              </w:rPr>
              <w:t>增值额超过扣除项目金额200%</w:t>
            </w:r>
          </w:p>
        </w:tc>
        <w:tc>
          <w:tcPr>
            <w:tcW w:w="1591" w:type="dxa"/>
            <w:shd w:val="clear" w:color="auto" w:fill="FFFFFF" w:themeFill="background1"/>
            <w:vAlign w:val="center"/>
          </w:tcPr>
          <w:p w:rsidR="0054446D" w:rsidRDefault="0054446D">
            <w:pPr>
              <w:widowControl/>
              <w:snapToGrid w:val="0"/>
              <w:spacing w:line="420" w:lineRule="exact"/>
              <w:ind w:firstLineChars="200" w:firstLine="560"/>
              <w:rPr>
                <w:rFonts w:ascii="仿宋" w:eastAsia="仿宋" w:hAnsi="仿宋" w:cs="Calibri"/>
                <w:bCs/>
                <w:kern w:val="0"/>
                <w:sz w:val="28"/>
                <w:szCs w:val="28"/>
              </w:rPr>
            </w:pPr>
          </w:p>
        </w:tc>
        <w:tc>
          <w:tcPr>
            <w:tcW w:w="1721" w:type="dxa"/>
            <w:shd w:val="clear" w:color="auto" w:fill="FFFFFF" w:themeFill="background1"/>
            <w:vAlign w:val="center"/>
          </w:tcPr>
          <w:p w:rsidR="0054446D" w:rsidRDefault="00FB459A">
            <w:pPr>
              <w:widowControl/>
              <w:snapToGrid w:val="0"/>
              <w:spacing w:line="420" w:lineRule="exact"/>
              <w:rPr>
                <w:rFonts w:ascii="仿宋" w:eastAsia="仿宋" w:hAnsi="仿宋" w:cs="Calibri"/>
                <w:bCs/>
                <w:kern w:val="0"/>
                <w:sz w:val="28"/>
                <w:szCs w:val="28"/>
              </w:rPr>
            </w:pPr>
            <w:r>
              <w:rPr>
                <w:rFonts w:ascii="仿宋" w:eastAsia="仿宋" w:hAnsi="仿宋" w:cs="Calibri" w:hint="eastAsia"/>
                <w:bCs/>
                <w:kern w:val="0"/>
                <w:sz w:val="28"/>
                <w:szCs w:val="28"/>
              </w:rPr>
              <w:t>60%</w:t>
            </w:r>
          </w:p>
        </w:tc>
        <w:tc>
          <w:tcPr>
            <w:tcW w:w="2135" w:type="dxa"/>
            <w:shd w:val="clear" w:color="auto" w:fill="FFFFFF" w:themeFill="background1"/>
            <w:vAlign w:val="center"/>
          </w:tcPr>
          <w:p w:rsidR="0054446D" w:rsidRDefault="00FB459A">
            <w:pPr>
              <w:widowControl/>
              <w:snapToGrid w:val="0"/>
              <w:spacing w:line="420" w:lineRule="exact"/>
              <w:rPr>
                <w:rFonts w:ascii="仿宋" w:eastAsia="仿宋" w:hAnsi="仿宋" w:cs="Calibri"/>
                <w:bCs/>
                <w:kern w:val="0"/>
                <w:sz w:val="28"/>
                <w:szCs w:val="28"/>
              </w:rPr>
            </w:pPr>
            <w:r>
              <w:rPr>
                <w:rFonts w:ascii="仿宋" w:eastAsia="仿宋" w:hAnsi="仿宋" w:cs="Calibri" w:hint="eastAsia"/>
                <w:bCs/>
                <w:kern w:val="0"/>
                <w:sz w:val="28"/>
                <w:szCs w:val="28"/>
              </w:rPr>
              <w:t>增值额×60%-扣除项目金额×35%</w:t>
            </w:r>
          </w:p>
        </w:tc>
      </w:tr>
      <w:tr w:rsidR="0054446D">
        <w:trPr>
          <w:trHeight w:val="397"/>
        </w:trPr>
        <w:tc>
          <w:tcPr>
            <w:tcW w:w="3634" w:type="dxa"/>
            <w:shd w:val="clear" w:color="auto" w:fill="FFFFFF" w:themeFill="background1"/>
            <w:vAlign w:val="center"/>
          </w:tcPr>
          <w:p w:rsidR="0054446D" w:rsidRDefault="00FB459A">
            <w:pPr>
              <w:widowControl/>
              <w:snapToGrid w:val="0"/>
              <w:spacing w:line="420" w:lineRule="exact"/>
              <w:rPr>
                <w:rFonts w:ascii="仿宋" w:eastAsia="仿宋" w:hAnsi="仿宋" w:cs="Calibri"/>
                <w:bCs/>
                <w:kern w:val="0"/>
                <w:sz w:val="28"/>
                <w:szCs w:val="28"/>
              </w:rPr>
            </w:pPr>
            <w:r>
              <w:rPr>
                <w:rFonts w:ascii="仿宋" w:eastAsia="仿宋" w:hAnsi="仿宋" w:cs="Calibri" w:hint="eastAsia"/>
                <w:bCs/>
                <w:kern w:val="0"/>
                <w:sz w:val="28"/>
                <w:szCs w:val="28"/>
              </w:rPr>
              <w:t>建造普通住宅</w:t>
            </w:r>
            <w:proofErr w:type="gramStart"/>
            <w:r>
              <w:rPr>
                <w:rFonts w:ascii="仿宋" w:eastAsia="仿宋" w:hAnsi="仿宋" w:cs="Calibri" w:hint="eastAsia"/>
                <w:bCs/>
                <w:kern w:val="0"/>
                <w:sz w:val="28"/>
                <w:szCs w:val="28"/>
              </w:rPr>
              <w:t>出售增值</w:t>
            </w:r>
            <w:proofErr w:type="gramEnd"/>
            <w:r>
              <w:rPr>
                <w:rFonts w:ascii="仿宋" w:eastAsia="仿宋" w:hAnsi="仿宋" w:cs="Calibri" w:hint="eastAsia"/>
                <w:bCs/>
                <w:kern w:val="0"/>
                <w:sz w:val="28"/>
                <w:szCs w:val="28"/>
              </w:rPr>
              <w:t>额未超过扣除项目金额20%</w:t>
            </w:r>
          </w:p>
        </w:tc>
        <w:tc>
          <w:tcPr>
            <w:tcW w:w="1591" w:type="dxa"/>
            <w:shd w:val="clear" w:color="auto" w:fill="FFFFFF" w:themeFill="background1"/>
            <w:vAlign w:val="center"/>
          </w:tcPr>
          <w:p w:rsidR="0054446D" w:rsidRDefault="0054446D">
            <w:pPr>
              <w:widowControl/>
              <w:snapToGrid w:val="0"/>
              <w:spacing w:line="420" w:lineRule="exact"/>
              <w:ind w:firstLineChars="200" w:firstLine="560"/>
              <w:rPr>
                <w:rFonts w:ascii="仿宋" w:eastAsia="仿宋" w:hAnsi="仿宋" w:cs="Calibri"/>
                <w:bCs/>
                <w:kern w:val="0"/>
                <w:sz w:val="28"/>
                <w:szCs w:val="28"/>
              </w:rPr>
            </w:pPr>
          </w:p>
        </w:tc>
        <w:tc>
          <w:tcPr>
            <w:tcW w:w="1721" w:type="dxa"/>
            <w:shd w:val="clear" w:color="auto" w:fill="FFFFFF" w:themeFill="background1"/>
            <w:vAlign w:val="center"/>
          </w:tcPr>
          <w:p w:rsidR="0054446D" w:rsidRDefault="00FB459A">
            <w:pPr>
              <w:widowControl/>
              <w:snapToGrid w:val="0"/>
              <w:spacing w:line="420" w:lineRule="exact"/>
              <w:rPr>
                <w:rFonts w:ascii="仿宋" w:eastAsia="仿宋" w:hAnsi="仿宋" w:cs="Calibri"/>
                <w:bCs/>
                <w:kern w:val="0"/>
                <w:sz w:val="28"/>
                <w:szCs w:val="28"/>
              </w:rPr>
            </w:pPr>
            <w:r>
              <w:rPr>
                <w:rFonts w:ascii="仿宋" w:eastAsia="仿宋" w:hAnsi="仿宋" w:cs="Calibri" w:hint="eastAsia"/>
                <w:bCs/>
                <w:kern w:val="0"/>
                <w:sz w:val="28"/>
                <w:szCs w:val="28"/>
              </w:rPr>
              <w:t>免征</w:t>
            </w:r>
          </w:p>
        </w:tc>
        <w:tc>
          <w:tcPr>
            <w:tcW w:w="2135" w:type="dxa"/>
            <w:shd w:val="clear" w:color="auto" w:fill="FFFFFF" w:themeFill="background1"/>
            <w:vAlign w:val="center"/>
          </w:tcPr>
          <w:p w:rsidR="0054446D" w:rsidRDefault="0054446D">
            <w:pPr>
              <w:widowControl/>
              <w:snapToGrid w:val="0"/>
              <w:spacing w:line="420" w:lineRule="exact"/>
              <w:ind w:firstLineChars="200" w:firstLine="560"/>
              <w:rPr>
                <w:rFonts w:ascii="仿宋" w:eastAsia="仿宋" w:hAnsi="仿宋" w:cs="Calibri"/>
                <w:bCs/>
                <w:kern w:val="0"/>
                <w:sz w:val="28"/>
                <w:szCs w:val="28"/>
              </w:rPr>
            </w:pPr>
          </w:p>
        </w:tc>
      </w:tr>
    </w:tbl>
    <w:p w:rsidR="0054446D" w:rsidRDefault="00FB459A">
      <w:pPr>
        <w:widowControl/>
        <w:snapToGrid w:val="0"/>
        <w:spacing w:line="420" w:lineRule="exact"/>
        <w:ind w:firstLineChars="200" w:firstLine="560"/>
        <w:jc w:val="center"/>
        <w:rPr>
          <w:rFonts w:ascii="仿宋" w:eastAsia="仿宋" w:hAnsi="仿宋" w:cs="Calibri"/>
          <w:bCs/>
          <w:kern w:val="0"/>
          <w:sz w:val="28"/>
          <w:szCs w:val="28"/>
        </w:rPr>
      </w:pPr>
      <w:r>
        <w:rPr>
          <w:rFonts w:ascii="仿宋" w:eastAsia="仿宋" w:hAnsi="仿宋" w:cs="Calibri" w:hint="eastAsia"/>
          <w:bCs/>
          <w:kern w:val="0"/>
          <w:sz w:val="28"/>
          <w:szCs w:val="28"/>
        </w:rPr>
        <w:t>城镇土地使用税</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441"/>
        <w:gridCol w:w="1552"/>
        <w:gridCol w:w="1266"/>
        <w:gridCol w:w="2530"/>
      </w:tblGrid>
      <w:tr w:rsidR="0054446D">
        <w:trPr>
          <w:trHeight w:val="397"/>
        </w:trPr>
        <w:tc>
          <w:tcPr>
            <w:tcW w:w="3441" w:type="dxa"/>
            <w:shd w:val="clear" w:color="auto" w:fill="FFFFFF" w:themeFill="background1"/>
            <w:vAlign w:val="center"/>
          </w:tcPr>
          <w:p w:rsidR="0054446D" w:rsidRDefault="00FB459A">
            <w:pPr>
              <w:pStyle w:val="31"/>
              <w:spacing w:line="320" w:lineRule="exact"/>
              <w:jc w:val="center"/>
              <w:rPr>
                <w:rFonts w:ascii="仿宋" w:eastAsia="仿宋" w:hAnsi="仿宋"/>
                <w:sz w:val="21"/>
                <w:szCs w:val="21"/>
              </w:rPr>
            </w:pPr>
            <w:r>
              <w:rPr>
                <w:rFonts w:ascii="仿宋" w:eastAsia="仿宋" w:hAnsi="仿宋" w:hint="eastAsia"/>
                <w:sz w:val="21"/>
                <w:szCs w:val="21"/>
              </w:rPr>
              <w:t>征收范围</w:t>
            </w:r>
          </w:p>
        </w:tc>
        <w:tc>
          <w:tcPr>
            <w:tcW w:w="1552" w:type="dxa"/>
            <w:shd w:val="clear" w:color="auto" w:fill="FFFFFF" w:themeFill="background1"/>
            <w:vAlign w:val="center"/>
          </w:tcPr>
          <w:p w:rsidR="0054446D" w:rsidRDefault="00FB459A">
            <w:pPr>
              <w:pStyle w:val="31"/>
              <w:spacing w:line="320" w:lineRule="exact"/>
              <w:jc w:val="center"/>
              <w:rPr>
                <w:rFonts w:ascii="仿宋" w:eastAsia="仿宋" w:hAnsi="仿宋"/>
                <w:sz w:val="21"/>
                <w:szCs w:val="21"/>
              </w:rPr>
            </w:pPr>
            <w:r>
              <w:rPr>
                <w:rFonts w:ascii="仿宋" w:eastAsia="仿宋" w:hAnsi="仿宋" w:hint="eastAsia"/>
                <w:sz w:val="21"/>
                <w:szCs w:val="21"/>
              </w:rPr>
              <w:t>计征时间</w:t>
            </w:r>
          </w:p>
        </w:tc>
        <w:tc>
          <w:tcPr>
            <w:tcW w:w="1266" w:type="dxa"/>
            <w:shd w:val="clear" w:color="auto" w:fill="FFFFFF" w:themeFill="background1"/>
            <w:vAlign w:val="center"/>
          </w:tcPr>
          <w:p w:rsidR="0054446D" w:rsidRDefault="00FB459A">
            <w:pPr>
              <w:pStyle w:val="31"/>
              <w:spacing w:line="320" w:lineRule="exact"/>
              <w:jc w:val="center"/>
              <w:rPr>
                <w:rFonts w:ascii="仿宋" w:eastAsia="仿宋" w:hAnsi="仿宋"/>
                <w:sz w:val="21"/>
                <w:szCs w:val="21"/>
              </w:rPr>
            </w:pPr>
            <w:r>
              <w:rPr>
                <w:rFonts w:ascii="仿宋" w:eastAsia="仿宋" w:hAnsi="仿宋" w:hint="eastAsia"/>
                <w:sz w:val="21"/>
                <w:szCs w:val="21"/>
              </w:rPr>
              <w:t>税率</w:t>
            </w:r>
          </w:p>
        </w:tc>
        <w:tc>
          <w:tcPr>
            <w:tcW w:w="2530" w:type="dxa"/>
            <w:shd w:val="clear" w:color="auto" w:fill="FFFFFF" w:themeFill="background1"/>
            <w:vAlign w:val="center"/>
          </w:tcPr>
          <w:p w:rsidR="0054446D" w:rsidRDefault="00FB459A">
            <w:pPr>
              <w:pStyle w:val="31"/>
              <w:spacing w:line="320" w:lineRule="exact"/>
              <w:jc w:val="center"/>
              <w:rPr>
                <w:rFonts w:ascii="仿宋" w:eastAsia="仿宋" w:hAnsi="仿宋"/>
                <w:sz w:val="21"/>
                <w:szCs w:val="21"/>
              </w:rPr>
            </w:pPr>
            <w:r>
              <w:rPr>
                <w:rFonts w:ascii="仿宋" w:eastAsia="仿宋" w:hAnsi="仿宋" w:hint="eastAsia"/>
                <w:sz w:val="21"/>
                <w:szCs w:val="21"/>
              </w:rPr>
              <w:t>计征公式</w:t>
            </w:r>
          </w:p>
        </w:tc>
      </w:tr>
      <w:tr w:rsidR="0054446D">
        <w:trPr>
          <w:trHeight w:val="397"/>
        </w:trPr>
        <w:tc>
          <w:tcPr>
            <w:tcW w:w="3441" w:type="dxa"/>
            <w:shd w:val="clear" w:color="auto" w:fill="FFFFFF" w:themeFill="background1"/>
            <w:vAlign w:val="center"/>
          </w:tcPr>
          <w:p w:rsidR="0054446D" w:rsidRDefault="00FB459A">
            <w:pPr>
              <w:pStyle w:val="31"/>
              <w:spacing w:line="320" w:lineRule="exact"/>
              <w:jc w:val="center"/>
              <w:rPr>
                <w:rFonts w:ascii="仿宋" w:eastAsia="仿宋" w:hAnsi="仿宋"/>
                <w:sz w:val="21"/>
                <w:szCs w:val="21"/>
              </w:rPr>
            </w:pPr>
            <w:r>
              <w:rPr>
                <w:rFonts w:ascii="仿宋" w:eastAsia="仿宋" w:hAnsi="仿宋" w:hint="eastAsia"/>
                <w:sz w:val="21"/>
                <w:szCs w:val="21"/>
              </w:rPr>
              <w:t>在城市、县城、建制镇、工矿区拥有土地使用权的单位和个人大城市</w:t>
            </w:r>
          </w:p>
        </w:tc>
        <w:tc>
          <w:tcPr>
            <w:tcW w:w="1552" w:type="dxa"/>
            <w:shd w:val="clear" w:color="auto" w:fill="FFFFFF" w:themeFill="background1"/>
            <w:vAlign w:val="center"/>
          </w:tcPr>
          <w:p w:rsidR="0054446D" w:rsidRDefault="00FB459A">
            <w:pPr>
              <w:pStyle w:val="31"/>
              <w:spacing w:line="320" w:lineRule="exact"/>
              <w:jc w:val="center"/>
              <w:rPr>
                <w:rFonts w:ascii="仿宋" w:eastAsia="仿宋" w:hAnsi="仿宋"/>
                <w:sz w:val="21"/>
                <w:szCs w:val="21"/>
              </w:rPr>
            </w:pPr>
            <w:r>
              <w:rPr>
                <w:rFonts w:ascii="仿宋" w:eastAsia="仿宋" w:hAnsi="仿宋" w:hint="eastAsia"/>
                <w:sz w:val="21"/>
                <w:szCs w:val="21"/>
              </w:rPr>
              <w:t>按年计算，分期缴纳</w:t>
            </w:r>
          </w:p>
        </w:tc>
        <w:tc>
          <w:tcPr>
            <w:tcW w:w="1266" w:type="dxa"/>
            <w:shd w:val="clear" w:color="auto" w:fill="FFFFFF" w:themeFill="background1"/>
            <w:vAlign w:val="center"/>
          </w:tcPr>
          <w:p w:rsidR="0054446D" w:rsidRDefault="00FB459A">
            <w:pPr>
              <w:pStyle w:val="31"/>
              <w:spacing w:line="320" w:lineRule="exact"/>
              <w:jc w:val="center"/>
              <w:rPr>
                <w:rFonts w:ascii="仿宋" w:eastAsia="仿宋" w:hAnsi="仿宋"/>
                <w:sz w:val="21"/>
                <w:szCs w:val="21"/>
              </w:rPr>
            </w:pPr>
            <w:r>
              <w:rPr>
                <w:rFonts w:ascii="仿宋" w:eastAsia="仿宋" w:hAnsi="仿宋" w:hint="eastAsia"/>
                <w:sz w:val="21"/>
                <w:szCs w:val="21"/>
              </w:rPr>
              <w:t>1.5-30元</w:t>
            </w:r>
          </w:p>
        </w:tc>
        <w:tc>
          <w:tcPr>
            <w:tcW w:w="2530" w:type="dxa"/>
            <w:shd w:val="clear" w:color="auto" w:fill="FFFFFF" w:themeFill="background1"/>
            <w:vAlign w:val="center"/>
          </w:tcPr>
          <w:p w:rsidR="0054446D" w:rsidRDefault="00FB459A">
            <w:pPr>
              <w:pStyle w:val="31"/>
              <w:spacing w:line="320" w:lineRule="exact"/>
              <w:jc w:val="center"/>
              <w:rPr>
                <w:rFonts w:ascii="仿宋" w:eastAsia="仿宋" w:hAnsi="仿宋"/>
                <w:sz w:val="21"/>
                <w:szCs w:val="21"/>
              </w:rPr>
            </w:pPr>
            <w:r>
              <w:rPr>
                <w:rFonts w:ascii="仿宋" w:eastAsia="仿宋" w:hAnsi="仿宋" w:hint="eastAsia"/>
                <w:sz w:val="21"/>
                <w:szCs w:val="21"/>
              </w:rPr>
              <w:t>应税土地面积×适用税率</w:t>
            </w:r>
          </w:p>
        </w:tc>
      </w:tr>
      <w:tr w:rsidR="0054446D">
        <w:trPr>
          <w:trHeight w:val="397"/>
        </w:trPr>
        <w:tc>
          <w:tcPr>
            <w:tcW w:w="3441" w:type="dxa"/>
            <w:shd w:val="clear" w:color="auto" w:fill="FFFFFF" w:themeFill="background1"/>
            <w:vAlign w:val="center"/>
          </w:tcPr>
          <w:p w:rsidR="0054446D" w:rsidRDefault="00FB459A">
            <w:pPr>
              <w:pStyle w:val="31"/>
              <w:spacing w:line="320" w:lineRule="exact"/>
              <w:jc w:val="center"/>
              <w:rPr>
                <w:rFonts w:ascii="仿宋" w:eastAsia="仿宋" w:hAnsi="仿宋"/>
                <w:sz w:val="21"/>
                <w:szCs w:val="21"/>
              </w:rPr>
            </w:pPr>
            <w:r>
              <w:rPr>
                <w:rFonts w:ascii="仿宋" w:eastAsia="仿宋" w:hAnsi="仿宋" w:hint="eastAsia"/>
                <w:sz w:val="21"/>
                <w:szCs w:val="21"/>
              </w:rPr>
              <w:t>中等城市</w:t>
            </w:r>
          </w:p>
        </w:tc>
        <w:tc>
          <w:tcPr>
            <w:tcW w:w="1552" w:type="dxa"/>
            <w:shd w:val="clear" w:color="auto" w:fill="FFFFFF" w:themeFill="background1"/>
            <w:vAlign w:val="center"/>
          </w:tcPr>
          <w:p w:rsidR="0054446D" w:rsidRDefault="0054446D">
            <w:pPr>
              <w:pStyle w:val="31"/>
              <w:spacing w:line="320" w:lineRule="exact"/>
              <w:jc w:val="center"/>
              <w:rPr>
                <w:rFonts w:ascii="仿宋" w:eastAsia="仿宋" w:hAnsi="仿宋"/>
                <w:sz w:val="21"/>
                <w:szCs w:val="21"/>
              </w:rPr>
            </w:pPr>
          </w:p>
        </w:tc>
        <w:tc>
          <w:tcPr>
            <w:tcW w:w="1266" w:type="dxa"/>
            <w:shd w:val="clear" w:color="auto" w:fill="FFFFFF" w:themeFill="background1"/>
            <w:vAlign w:val="center"/>
          </w:tcPr>
          <w:p w:rsidR="0054446D" w:rsidRDefault="00FB459A">
            <w:pPr>
              <w:pStyle w:val="31"/>
              <w:spacing w:line="320" w:lineRule="exact"/>
              <w:jc w:val="center"/>
              <w:rPr>
                <w:rFonts w:ascii="仿宋" w:eastAsia="仿宋" w:hAnsi="仿宋"/>
                <w:sz w:val="21"/>
                <w:szCs w:val="21"/>
              </w:rPr>
            </w:pPr>
            <w:r>
              <w:rPr>
                <w:rFonts w:ascii="仿宋" w:eastAsia="仿宋" w:hAnsi="仿宋" w:hint="eastAsia"/>
                <w:sz w:val="21"/>
                <w:szCs w:val="21"/>
              </w:rPr>
              <w:t>1.2-24元</w:t>
            </w:r>
          </w:p>
        </w:tc>
        <w:tc>
          <w:tcPr>
            <w:tcW w:w="2530" w:type="dxa"/>
            <w:shd w:val="clear" w:color="auto" w:fill="FFFFFF" w:themeFill="background1"/>
            <w:vAlign w:val="center"/>
          </w:tcPr>
          <w:p w:rsidR="0054446D" w:rsidRDefault="00FB459A">
            <w:pPr>
              <w:pStyle w:val="31"/>
              <w:spacing w:line="320" w:lineRule="exact"/>
              <w:jc w:val="center"/>
              <w:rPr>
                <w:rFonts w:ascii="仿宋" w:eastAsia="仿宋" w:hAnsi="仿宋"/>
                <w:sz w:val="21"/>
                <w:szCs w:val="21"/>
              </w:rPr>
            </w:pPr>
            <w:r>
              <w:rPr>
                <w:rFonts w:ascii="仿宋" w:eastAsia="仿宋" w:hAnsi="仿宋" w:hint="eastAsia"/>
                <w:sz w:val="21"/>
                <w:szCs w:val="21"/>
              </w:rPr>
              <w:t>增值额×40%-扣除项目金额×5%</w:t>
            </w:r>
          </w:p>
        </w:tc>
      </w:tr>
      <w:tr w:rsidR="0054446D">
        <w:trPr>
          <w:trHeight w:val="397"/>
        </w:trPr>
        <w:tc>
          <w:tcPr>
            <w:tcW w:w="3441" w:type="dxa"/>
            <w:shd w:val="clear" w:color="auto" w:fill="FFFFFF" w:themeFill="background1"/>
            <w:vAlign w:val="center"/>
          </w:tcPr>
          <w:p w:rsidR="0054446D" w:rsidRDefault="00FB459A">
            <w:pPr>
              <w:pStyle w:val="31"/>
              <w:spacing w:line="320" w:lineRule="exact"/>
              <w:jc w:val="center"/>
              <w:rPr>
                <w:rFonts w:ascii="仿宋" w:eastAsia="仿宋" w:hAnsi="仿宋"/>
                <w:sz w:val="21"/>
                <w:szCs w:val="21"/>
              </w:rPr>
            </w:pPr>
            <w:r>
              <w:rPr>
                <w:rFonts w:ascii="仿宋" w:eastAsia="仿宋" w:hAnsi="仿宋" w:hint="eastAsia"/>
                <w:sz w:val="21"/>
                <w:szCs w:val="21"/>
              </w:rPr>
              <w:t>小城市</w:t>
            </w:r>
          </w:p>
        </w:tc>
        <w:tc>
          <w:tcPr>
            <w:tcW w:w="1552" w:type="dxa"/>
            <w:shd w:val="clear" w:color="auto" w:fill="FFFFFF" w:themeFill="background1"/>
            <w:vAlign w:val="center"/>
          </w:tcPr>
          <w:p w:rsidR="0054446D" w:rsidRDefault="0054446D">
            <w:pPr>
              <w:pStyle w:val="31"/>
              <w:spacing w:line="320" w:lineRule="exact"/>
              <w:jc w:val="center"/>
              <w:rPr>
                <w:rFonts w:ascii="仿宋" w:eastAsia="仿宋" w:hAnsi="仿宋"/>
                <w:sz w:val="21"/>
                <w:szCs w:val="21"/>
              </w:rPr>
            </w:pPr>
          </w:p>
        </w:tc>
        <w:tc>
          <w:tcPr>
            <w:tcW w:w="1266" w:type="dxa"/>
            <w:shd w:val="clear" w:color="auto" w:fill="FFFFFF" w:themeFill="background1"/>
            <w:vAlign w:val="center"/>
          </w:tcPr>
          <w:p w:rsidR="0054446D" w:rsidRDefault="00FB459A">
            <w:pPr>
              <w:pStyle w:val="31"/>
              <w:spacing w:line="320" w:lineRule="exact"/>
              <w:jc w:val="center"/>
              <w:rPr>
                <w:rFonts w:ascii="仿宋" w:eastAsia="仿宋" w:hAnsi="仿宋"/>
                <w:sz w:val="21"/>
                <w:szCs w:val="21"/>
              </w:rPr>
            </w:pPr>
            <w:r>
              <w:rPr>
                <w:rFonts w:ascii="仿宋" w:eastAsia="仿宋" w:hAnsi="仿宋" w:hint="eastAsia"/>
                <w:sz w:val="21"/>
                <w:szCs w:val="21"/>
              </w:rPr>
              <w:t>0.9-18元</w:t>
            </w:r>
          </w:p>
        </w:tc>
        <w:tc>
          <w:tcPr>
            <w:tcW w:w="2530" w:type="dxa"/>
            <w:shd w:val="clear" w:color="auto" w:fill="FFFFFF" w:themeFill="background1"/>
            <w:vAlign w:val="center"/>
          </w:tcPr>
          <w:p w:rsidR="0054446D" w:rsidRDefault="00FB459A">
            <w:pPr>
              <w:pStyle w:val="31"/>
              <w:spacing w:line="320" w:lineRule="exact"/>
              <w:jc w:val="center"/>
              <w:rPr>
                <w:rFonts w:ascii="仿宋" w:eastAsia="仿宋" w:hAnsi="仿宋"/>
                <w:sz w:val="21"/>
                <w:szCs w:val="21"/>
              </w:rPr>
            </w:pPr>
            <w:r>
              <w:rPr>
                <w:rFonts w:ascii="仿宋" w:eastAsia="仿宋" w:hAnsi="仿宋" w:hint="eastAsia"/>
                <w:sz w:val="21"/>
                <w:szCs w:val="21"/>
              </w:rPr>
              <w:t>增值额×50%-扣除项目金额×15%</w:t>
            </w:r>
          </w:p>
        </w:tc>
      </w:tr>
      <w:tr w:rsidR="0054446D">
        <w:trPr>
          <w:trHeight w:val="397"/>
        </w:trPr>
        <w:tc>
          <w:tcPr>
            <w:tcW w:w="3441" w:type="dxa"/>
            <w:shd w:val="clear" w:color="auto" w:fill="FFFFFF" w:themeFill="background1"/>
            <w:vAlign w:val="center"/>
          </w:tcPr>
          <w:p w:rsidR="0054446D" w:rsidRDefault="00FB459A">
            <w:pPr>
              <w:pStyle w:val="31"/>
              <w:spacing w:line="320" w:lineRule="exact"/>
              <w:jc w:val="center"/>
              <w:rPr>
                <w:rFonts w:ascii="仿宋" w:eastAsia="仿宋" w:hAnsi="仿宋"/>
                <w:sz w:val="21"/>
                <w:szCs w:val="21"/>
              </w:rPr>
            </w:pPr>
            <w:r>
              <w:rPr>
                <w:rFonts w:ascii="仿宋" w:eastAsia="仿宋" w:hAnsi="仿宋" w:hint="eastAsia"/>
                <w:sz w:val="21"/>
                <w:szCs w:val="21"/>
              </w:rPr>
              <w:t>县城、建制镇、工矿区</w:t>
            </w:r>
          </w:p>
        </w:tc>
        <w:tc>
          <w:tcPr>
            <w:tcW w:w="1552" w:type="dxa"/>
            <w:shd w:val="clear" w:color="auto" w:fill="FFFFFF" w:themeFill="background1"/>
            <w:vAlign w:val="center"/>
          </w:tcPr>
          <w:p w:rsidR="0054446D" w:rsidRDefault="0054446D">
            <w:pPr>
              <w:pStyle w:val="31"/>
              <w:spacing w:line="320" w:lineRule="exact"/>
              <w:jc w:val="center"/>
              <w:rPr>
                <w:rFonts w:ascii="仿宋" w:eastAsia="仿宋" w:hAnsi="仿宋"/>
                <w:sz w:val="21"/>
                <w:szCs w:val="21"/>
              </w:rPr>
            </w:pPr>
          </w:p>
        </w:tc>
        <w:tc>
          <w:tcPr>
            <w:tcW w:w="1266" w:type="dxa"/>
            <w:shd w:val="clear" w:color="auto" w:fill="FFFFFF" w:themeFill="background1"/>
            <w:vAlign w:val="center"/>
          </w:tcPr>
          <w:p w:rsidR="0054446D" w:rsidRDefault="00FB459A">
            <w:pPr>
              <w:pStyle w:val="31"/>
              <w:spacing w:line="320" w:lineRule="exact"/>
              <w:jc w:val="center"/>
              <w:rPr>
                <w:rFonts w:ascii="仿宋" w:eastAsia="仿宋" w:hAnsi="仿宋"/>
                <w:sz w:val="21"/>
                <w:szCs w:val="21"/>
              </w:rPr>
            </w:pPr>
            <w:r>
              <w:rPr>
                <w:rFonts w:ascii="仿宋" w:eastAsia="仿宋" w:hAnsi="仿宋" w:hint="eastAsia"/>
                <w:sz w:val="21"/>
                <w:szCs w:val="21"/>
              </w:rPr>
              <w:t>0.6-12元</w:t>
            </w:r>
          </w:p>
        </w:tc>
        <w:tc>
          <w:tcPr>
            <w:tcW w:w="2530" w:type="dxa"/>
            <w:shd w:val="clear" w:color="auto" w:fill="FFFFFF" w:themeFill="background1"/>
            <w:vAlign w:val="center"/>
          </w:tcPr>
          <w:p w:rsidR="0054446D" w:rsidRDefault="00FB459A">
            <w:pPr>
              <w:pStyle w:val="31"/>
              <w:spacing w:line="320" w:lineRule="exact"/>
              <w:jc w:val="center"/>
              <w:rPr>
                <w:rFonts w:ascii="仿宋" w:eastAsia="仿宋" w:hAnsi="仿宋"/>
                <w:sz w:val="21"/>
                <w:szCs w:val="21"/>
              </w:rPr>
            </w:pPr>
            <w:r>
              <w:rPr>
                <w:rFonts w:ascii="仿宋" w:eastAsia="仿宋" w:hAnsi="仿宋" w:hint="eastAsia"/>
                <w:sz w:val="21"/>
                <w:szCs w:val="21"/>
              </w:rPr>
              <w:t>增值额×60%-扣除项目金额×35%</w:t>
            </w:r>
          </w:p>
        </w:tc>
      </w:tr>
    </w:tbl>
    <w:p w:rsidR="0054446D" w:rsidRDefault="00FB459A">
      <w:pPr>
        <w:pStyle w:val="31"/>
        <w:spacing w:line="360" w:lineRule="auto"/>
        <w:ind w:leftChars="600" w:left="1260" w:firstLineChars="5" w:firstLine="14"/>
        <w:jc w:val="center"/>
        <w:rPr>
          <w:rFonts w:ascii="仿宋" w:eastAsia="仿宋" w:hAnsi="仿宋"/>
          <w:sz w:val="28"/>
        </w:rPr>
      </w:pPr>
      <w:r>
        <w:rPr>
          <w:rFonts w:ascii="仿宋" w:eastAsia="仿宋" w:hAnsi="仿宋" w:hint="eastAsia"/>
          <w:sz w:val="28"/>
        </w:rPr>
        <w:t>契税</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644"/>
        <w:gridCol w:w="1594"/>
        <w:gridCol w:w="936"/>
        <w:gridCol w:w="2615"/>
      </w:tblGrid>
      <w:tr w:rsidR="0054446D">
        <w:trPr>
          <w:trHeight w:val="397"/>
        </w:trPr>
        <w:tc>
          <w:tcPr>
            <w:tcW w:w="3644" w:type="dxa"/>
            <w:shd w:val="clear" w:color="auto" w:fill="FFFFFF" w:themeFill="background1"/>
            <w:vAlign w:val="center"/>
          </w:tcPr>
          <w:p w:rsidR="0054446D" w:rsidRDefault="00FB459A">
            <w:pPr>
              <w:pStyle w:val="31"/>
              <w:spacing w:line="320" w:lineRule="exact"/>
              <w:jc w:val="center"/>
              <w:rPr>
                <w:rFonts w:ascii="仿宋" w:eastAsia="仿宋" w:hAnsi="仿宋"/>
                <w:sz w:val="21"/>
                <w:szCs w:val="21"/>
              </w:rPr>
            </w:pPr>
            <w:r>
              <w:rPr>
                <w:rFonts w:ascii="仿宋" w:eastAsia="仿宋" w:hAnsi="仿宋" w:hint="eastAsia"/>
                <w:sz w:val="21"/>
                <w:szCs w:val="21"/>
              </w:rPr>
              <w:t>征收范围</w:t>
            </w:r>
          </w:p>
        </w:tc>
        <w:tc>
          <w:tcPr>
            <w:tcW w:w="1594" w:type="dxa"/>
            <w:shd w:val="clear" w:color="auto" w:fill="FFFFFF" w:themeFill="background1"/>
            <w:vAlign w:val="center"/>
          </w:tcPr>
          <w:p w:rsidR="0054446D" w:rsidRDefault="00FB459A">
            <w:pPr>
              <w:pStyle w:val="31"/>
              <w:spacing w:line="320" w:lineRule="exact"/>
              <w:jc w:val="center"/>
              <w:rPr>
                <w:rFonts w:ascii="仿宋" w:eastAsia="仿宋" w:hAnsi="仿宋"/>
                <w:sz w:val="21"/>
                <w:szCs w:val="21"/>
              </w:rPr>
            </w:pPr>
            <w:r>
              <w:rPr>
                <w:rFonts w:ascii="仿宋" w:eastAsia="仿宋" w:hAnsi="仿宋" w:hint="eastAsia"/>
                <w:sz w:val="21"/>
                <w:szCs w:val="21"/>
              </w:rPr>
              <w:t>计征时间</w:t>
            </w:r>
          </w:p>
        </w:tc>
        <w:tc>
          <w:tcPr>
            <w:tcW w:w="936" w:type="dxa"/>
            <w:shd w:val="clear" w:color="auto" w:fill="FFFFFF" w:themeFill="background1"/>
            <w:vAlign w:val="center"/>
          </w:tcPr>
          <w:p w:rsidR="0054446D" w:rsidRDefault="00FB459A">
            <w:pPr>
              <w:pStyle w:val="31"/>
              <w:spacing w:line="320" w:lineRule="exact"/>
              <w:jc w:val="center"/>
              <w:rPr>
                <w:rFonts w:ascii="仿宋" w:eastAsia="仿宋" w:hAnsi="仿宋"/>
                <w:sz w:val="21"/>
                <w:szCs w:val="21"/>
              </w:rPr>
            </w:pPr>
            <w:r>
              <w:rPr>
                <w:rFonts w:ascii="仿宋" w:eastAsia="仿宋" w:hAnsi="仿宋" w:hint="eastAsia"/>
                <w:sz w:val="21"/>
                <w:szCs w:val="21"/>
              </w:rPr>
              <w:t>税率</w:t>
            </w:r>
          </w:p>
        </w:tc>
        <w:tc>
          <w:tcPr>
            <w:tcW w:w="2615" w:type="dxa"/>
            <w:shd w:val="clear" w:color="auto" w:fill="FFFFFF" w:themeFill="background1"/>
            <w:vAlign w:val="center"/>
          </w:tcPr>
          <w:p w:rsidR="0054446D" w:rsidRDefault="00FB459A">
            <w:pPr>
              <w:pStyle w:val="31"/>
              <w:spacing w:line="320" w:lineRule="exact"/>
              <w:jc w:val="center"/>
              <w:rPr>
                <w:rFonts w:ascii="仿宋" w:eastAsia="仿宋" w:hAnsi="仿宋"/>
                <w:sz w:val="21"/>
                <w:szCs w:val="21"/>
              </w:rPr>
            </w:pPr>
            <w:r>
              <w:rPr>
                <w:rFonts w:ascii="仿宋" w:eastAsia="仿宋" w:hAnsi="仿宋" w:hint="eastAsia"/>
                <w:sz w:val="21"/>
                <w:szCs w:val="21"/>
              </w:rPr>
              <w:t>计征公式</w:t>
            </w:r>
          </w:p>
        </w:tc>
      </w:tr>
      <w:tr w:rsidR="0054446D">
        <w:trPr>
          <w:trHeight w:val="397"/>
        </w:trPr>
        <w:tc>
          <w:tcPr>
            <w:tcW w:w="3644" w:type="dxa"/>
            <w:shd w:val="clear" w:color="auto" w:fill="FFFFFF" w:themeFill="background1"/>
            <w:vAlign w:val="center"/>
          </w:tcPr>
          <w:p w:rsidR="0054446D" w:rsidRDefault="00FB459A">
            <w:pPr>
              <w:pStyle w:val="31"/>
              <w:spacing w:line="320" w:lineRule="exact"/>
              <w:jc w:val="center"/>
              <w:rPr>
                <w:rFonts w:ascii="仿宋" w:eastAsia="仿宋" w:hAnsi="仿宋"/>
                <w:sz w:val="21"/>
                <w:szCs w:val="21"/>
              </w:rPr>
            </w:pPr>
            <w:r>
              <w:rPr>
                <w:rFonts w:ascii="仿宋" w:eastAsia="仿宋" w:hAnsi="仿宋" w:hint="eastAsia"/>
                <w:sz w:val="21"/>
                <w:szCs w:val="21"/>
              </w:rPr>
              <w:t>转让国有土地使用权、房屋权属，承受的单位和个人</w:t>
            </w:r>
          </w:p>
        </w:tc>
        <w:tc>
          <w:tcPr>
            <w:tcW w:w="1594" w:type="dxa"/>
            <w:shd w:val="clear" w:color="auto" w:fill="FFFFFF" w:themeFill="background1"/>
            <w:vAlign w:val="center"/>
          </w:tcPr>
          <w:p w:rsidR="0054446D" w:rsidRDefault="00FB459A">
            <w:pPr>
              <w:pStyle w:val="31"/>
              <w:spacing w:line="320" w:lineRule="exact"/>
              <w:jc w:val="center"/>
              <w:rPr>
                <w:rFonts w:ascii="仿宋" w:eastAsia="仿宋" w:hAnsi="仿宋"/>
                <w:sz w:val="21"/>
                <w:szCs w:val="21"/>
              </w:rPr>
            </w:pPr>
            <w:r>
              <w:rPr>
                <w:rFonts w:ascii="仿宋" w:eastAsia="仿宋" w:hAnsi="仿宋" w:hint="eastAsia"/>
                <w:sz w:val="21"/>
                <w:szCs w:val="21"/>
              </w:rPr>
              <w:t>房地产转让合同签订后10日内</w:t>
            </w:r>
          </w:p>
        </w:tc>
        <w:tc>
          <w:tcPr>
            <w:tcW w:w="936" w:type="dxa"/>
            <w:shd w:val="clear" w:color="auto" w:fill="FFFFFF" w:themeFill="background1"/>
            <w:vAlign w:val="center"/>
          </w:tcPr>
          <w:p w:rsidR="0054446D" w:rsidRDefault="00FB459A">
            <w:pPr>
              <w:pStyle w:val="31"/>
              <w:spacing w:line="320" w:lineRule="exact"/>
              <w:jc w:val="center"/>
              <w:rPr>
                <w:rFonts w:ascii="仿宋" w:eastAsia="仿宋" w:hAnsi="仿宋"/>
                <w:sz w:val="21"/>
                <w:szCs w:val="21"/>
              </w:rPr>
            </w:pPr>
            <w:r>
              <w:rPr>
                <w:rFonts w:ascii="仿宋" w:eastAsia="仿宋" w:hAnsi="仿宋" w:hint="eastAsia"/>
                <w:sz w:val="21"/>
                <w:szCs w:val="21"/>
              </w:rPr>
              <w:t>3%</w:t>
            </w:r>
          </w:p>
        </w:tc>
        <w:tc>
          <w:tcPr>
            <w:tcW w:w="2615" w:type="dxa"/>
            <w:shd w:val="clear" w:color="auto" w:fill="FFFFFF" w:themeFill="background1"/>
            <w:vAlign w:val="center"/>
          </w:tcPr>
          <w:p w:rsidR="0054446D" w:rsidRDefault="00FB459A">
            <w:pPr>
              <w:pStyle w:val="31"/>
              <w:spacing w:line="320" w:lineRule="exact"/>
              <w:jc w:val="center"/>
              <w:rPr>
                <w:rFonts w:ascii="仿宋" w:eastAsia="仿宋" w:hAnsi="仿宋"/>
                <w:sz w:val="21"/>
                <w:szCs w:val="21"/>
              </w:rPr>
            </w:pPr>
            <w:r>
              <w:rPr>
                <w:rFonts w:ascii="仿宋" w:eastAsia="仿宋" w:hAnsi="仿宋" w:hint="eastAsia"/>
                <w:sz w:val="21"/>
                <w:szCs w:val="21"/>
              </w:rPr>
              <w:t>契约价格或估价值×适用税率</w:t>
            </w:r>
          </w:p>
        </w:tc>
      </w:tr>
    </w:tbl>
    <w:p w:rsidR="0054446D" w:rsidRDefault="00FB459A">
      <w:pPr>
        <w:spacing w:line="420" w:lineRule="atLeast"/>
        <w:ind w:firstLineChars="200" w:firstLine="560"/>
        <w:outlineLvl w:val="2"/>
        <w:rPr>
          <w:rFonts w:ascii="仿宋_GB2312" w:eastAsia="仿宋_GB2312"/>
          <w:sz w:val="28"/>
        </w:rPr>
      </w:pPr>
      <w:r>
        <w:rPr>
          <w:rFonts w:ascii="仿宋_GB2312" w:eastAsia="仿宋_GB2312" w:hint="eastAsia"/>
          <w:sz w:val="28"/>
        </w:rPr>
        <w:t>2016年2月17日《关于调整房地产交易环节契税 营业税优惠政策的通知》(财税[2016]23号)：</w:t>
      </w:r>
    </w:p>
    <w:p w:rsidR="0054446D" w:rsidRDefault="00FB459A">
      <w:pPr>
        <w:spacing w:line="420" w:lineRule="atLeast"/>
        <w:ind w:firstLineChars="200" w:firstLine="560"/>
        <w:outlineLvl w:val="2"/>
        <w:rPr>
          <w:rFonts w:ascii="仿宋_GB2312" w:eastAsia="仿宋_GB2312"/>
          <w:sz w:val="28"/>
        </w:rPr>
      </w:pPr>
      <w:r>
        <w:rPr>
          <w:rFonts w:ascii="仿宋_GB2312" w:eastAsia="仿宋_GB2312" w:hint="eastAsia"/>
          <w:sz w:val="28"/>
        </w:rPr>
        <w:t>a、对个人购买家庭唯一住房(家庭成员范围包括购房人、配偶以及未成年子女，下同)，面积为90平方米及以下的，减按1%的税率征收契税；面积为90平方米以上的，减按1.5%的税率征收契税。</w:t>
      </w:r>
    </w:p>
    <w:p w:rsidR="0054446D" w:rsidRDefault="00FB459A">
      <w:pPr>
        <w:spacing w:line="420" w:lineRule="atLeast"/>
        <w:ind w:firstLineChars="200" w:firstLine="560"/>
        <w:outlineLvl w:val="2"/>
        <w:rPr>
          <w:rFonts w:ascii="仿宋_GB2312" w:eastAsia="仿宋_GB2312"/>
          <w:sz w:val="28"/>
        </w:rPr>
      </w:pPr>
      <w:r>
        <w:rPr>
          <w:rFonts w:ascii="仿宋_GB2312" w:eastAsia="仿宋_GB2312" w:hint="eastAsia"/>
          <w:sz w:val="28"/>
        </w:rPr>
        <w:t>b、对个人购买家庭第二套改善性住房，面积为90平方米及以下的，减按1%的税率征收契税；面积为90平方米以上的，减按2%的税率征收契税。</w:t>
      </w:r>
    </w:p>
    <w:p w:rsidR="0054446D" w:rsidRDefault="00FB459A">
      <w:pPr>
        <w:spacing w:line="420" w:lineRule="atLeast"/>
        <w:ind w:firstLineChars="200" w:firstLine="560"/>
        <w:outlineLvl w:val="2"/>
        <w:rPr>
          <w:rFonts w:ascii="仿宋_GB2312" w:eastAsia="仿宋_GB2312"/>
          <w:sz w:val="28"/>
        </w:rPr>
      </w:pPr>
      <w:r>
        <w:rPr>
          <w:rFonts w:ascii="仿宋_GB2312" w:eastAsia="仿宋_GB2312" w:hint="eastAsia"/>
          <w:sz w:val="28"/>
        </w:rPr>
        <w:t>9、城市规划与发展目标</w:t>
      </w:r>
    </w:p>
    <w:p w:rsidR="0054446D" w:rsidRDefault="00FB459A">
      <w:pPr>
        <w:spacing w:line="420" w:lineRule="atLeast"/>
        <w:ind w:firstLineChars="200" w:firstLine="560"/>
        <w:outlineLvl w:val="2"/>
        <w:rPr>
          <w:rFonts w:ascii="仿宋_GB2312" w:eastAsia="仿宋_GB2312"/>
          <w:sz w:val="28"/>
        </w:rPr>
      </w:pPr>
      <w:r>
        <w:rPr>
          <w:rFonts w:ascii="仿宋_GB2312" w:eastAsia="仿宋_GB2312" w:hint="eastAsia"/>
          <w:sz w:val="28"/>
        </w:rPr>
        <w:t>根据《新余市城市总体规划（2008-2030年）》，新余市的城市定位——立足潘阳湖生态经济区，打造能源城、钢铁城、旅游城、服务城、健康城，建设赣</w:t>
      </w:r>
      <w:proofErr w:type="gramStart"/>
      <w:r>
        <w:rPr>
          <w:rFonts w:ascii="仿宋_GB2312" w:eastAsia="仿宋_GB2312" w:hint="eastAsia"/>
          <w:sz w:val="28"/>
        </w:rPr>
        <w:t>西区域</w:t>
      </w:r>
      <w:proofErr w:type="gramEnd"/>
      <w:r>
        <w:rPr>
          <w:rFonts w:ascii="仿宋_GB2312" w:eastAsia="仿宋_GB2312" w:hint="eastAsia"/>
          <w:sz w:val="28"/>
        </w:rPr>
        <w:t>中心城市。</w:t>
      </w:r>
    </w:p>
    <w:p w:rsidR="0054446D" w:rsidRDefault="00FB459A">
      <w:pPr>
        <w:spacing w:line="420" w:lineRule="atLeast"/>
        <w:ind w:firstLineChars="200" w:firstLine="560"/>
        <w:outlineLvl w:val="2"/>
        <w:rPr>
          <w:rFonts w:ascii="仿宋_GB2312" w:eastAsia="仿宋_GB2312"/>
          <w:sz w:val="28"/>
        </w:rPr>
      </w:pPr>
      <w:r>
        <w:rPr>
          <w:rFonts w:ascii="仿宋_GB2312" w:eastAsia="仿宋_GB2312" w:hint="eastAsia"/>
          <w:sz w:val="28"/>
        </w:rPr>
        <w:t>（1）城市发展总目标</w:t>
      </w:r>
    </w:p>
    <w:p w:rsidR="0054446D" w:rsidRDefault="00FB459A">
      <w:pPr>
        <w:spacing w:line="420" w:lineRule="atLeast"/>
        <w:ind w:firstLineChars="200" w:firstLine="560"/>
        <w:outlineLvl w:val="2"/>
        <w:rPr>
          <w:rFonts w:ascii="仿宋_GB2312" w:eastAsia="仿宋_GB2312"/>
          <w:sz w:val="28"/>
        </w:rPr>
      </w:pPr>
      <w:r>
        <w:rPr>
          <w:rFonts w:ascii="仿宋_GB2312" w:eastAsia="仿宋_GB2312" w:hint="eastAsia"/>
          <w:sz w:val="28"/>
        </w:rPr>
        <w:t>全市经济社会发展的具体目标要坚持“工小美”不动摇,深入贯彻五大新发展理念,打响新余经济发展“小而强”、改革开放“小而特”、生态文明“小而美”、民生福祉“小而富”、社会治理“小而优”的“特优强富美”系列城市品牌,共绘新时代江西改革发展新画卷“工小美”篇章。到2025年,主要经济指标增幅高于全省预期水平,人均指标继续保持全省前列,地区生产总值达到1500亿元,规模以上工业增加值增速保持在7%以上,每万人口高价值发明专利拥有量达到3件,数字经济核心产业增加值占GDP比重达到6%,进出口总额达到200亿元,城乡居民人均可支配收入比降至2.1。常住人口城镇化率达到71%。</w:t>
      </w:r>
    </w:p>
    <w:p w:rsidR="0054446D" w:rsidRDefault="00FB459A">
      <w:pPr>
        <w:spacing w:line="420" w:lineRule="atLeast"/>
        <w:ind w:firstLineChars="200" w:firstLine="560"/>
        <w:outlineLvl w:val="2"/>
        <w:rPr>
          <w:rFonts w:ascii="仿宋_GB2312" w:eastAsia="仿宋_GB2312"/>
          <w:sz w:val="28"/>
        </w:rPr>
      </w:pPr>
      <w:r>
        <w:rPr>
          <w:rFonts w:ascii="仿宋_GB2312" w:eastAsia="仿宋_GB2312" w:hint="eastAsia"/>
          <w:sz w:val="28"/>
        </w:rPr>
        <w:t>（2）城市空间结构</w:t>
      </w:r>
    </w:p>
    <w:p w:rsidR="0054446D" w:rsidRDefault="00FB459A">
      <w:pPr>
        <w:spacing w:line="420" w:lineRule="atLeast"/>
        <w:ind w:firstLineChars="200" w:firstLine="560"/>
        <w:outlineLvl w:val="2"/>
        <w:rPr>
          <w:rFonts w:ascii="仿宋_GB2312" w:eastAsia="仿宋_GB2312"/>
          <w:sz w:val="28"/>
        </w:rPr>
      </w:pPr>
      <w:r>
        <w:rPr>
          <w:rFonts w:ascii="仿宋_GB2312" w:eastAsia="仿宋_GB2312" w:hint="eastAsia"/>
          <w:sz w:val="28"/>
        </w:rPr>
        <w:t>规划中心城区形成“一主</w:t>
      </w:r>
      <w:proofErr w:type="gramStart"/>
      <w:r>
        <w:rPr>
          <w:rFonts w:ascii="仿宋_GB2312" w:eastAsia="仿宋_GB2312" w:hint="eastAsia"/>
          <w:sz w:val="28"/>
        </w:rPr>
        <w:t>一</w:t>
      </w:r>
      <w:proofErr w:type="gramEnd"/>
      <w:r>
        <w:rPr>
          <w:rFonts w:ascii="仿宋_GB2312" w:eastAsia="仿宋_GB2312" w:hint="eastAsia"/>
          <w:sz w:val="28"/>
        </w:rPr>
        <w:t>辅、中轴聚核、山水入城”的城市空间结构。</w:t>
      </w:r>
    </w:p>
    <w:p w:rsidR="0054446D" w:rsidRDefault="00FB459A">
      <w:pPr>
        <w:spacing w:line="420" w:lineRule="atLeast"/>
        <w:ind w:firstLineChars="200" w:firstLine="560"/>
        <w:outlineLvl w:val="2"/>
        <w:rPr>
          <w:rFonts w:ascii="仿宋_GB2312" w:eastAsia="仿宋_GB2312"/>
          <w:sz w:val="28"/>
        </w:rPr>
      </w:pPr>
      <w:r>
        <w:rPr>
          <w:rFonts w:ascii="仿宋_GB2312" w:eastAsia="仿宋_GB2312" w:hint="eastAsia"/>
          <w:sz w:val="28"/>
        </w:rPr>
        <w:t>一主指主城区，包括老城区片、北湖片区、</w:t>
      </w:r>
      <w:proofErr w:type="gramStart"/>
      <w:r>
        <w:rPr>
          <w:rFonts w:ascii="仿宋_GB2312" w:eastAsia="仿宋_GB2312" w:hint="eastAsia"/>
          <w:sz w:val="28"/>
        </w:rPr>
        <w:t>仙来片区</w:t>
      </w:r>
      <w:proofErr w:type="gramEnd"/>
      <w:r>
        <w:rPr>
          <w:rFonts w:ascii="仿宋_GB2312" w:eastAsia="仿宋_GB2312" w:hint="eastAsia"/>
          <w:sz w:val="28"/>
        </w:rPr>
        <w:t>、高新片区和水西片区五大片区；</w:t>
      </w:r>
      <w:proofErr w:type="gramStart"/>
      <w:r>
        <w:rPr>
          <w:rFonts w:ascii="仿宋_GB2312" w:eastAsia="仿宋_GB2312" w:hint="eastAsia"/>
          <w:sz w:val="28"/>
        </w:rPr>
        <w:t>一辅指</w:t>
      </w:r>
      <w:proofErr w:type="gramEnd"/>
      <w:r>
        <w:rPr>
          <w:rFonts w:ascii="仿宋_GB2312" w:eastAsia="仿宋_GB2312" w:hint="eastAsia"/>
          <w:sz w:val="28"/>
        </w:rPr>
        <w:t>高铁新城。</w:t>
      </w:r>
    </w:p>
    <w:p w:rsidR="0054446D" w:rsidRDefault="00FB459A">
      <w:pPr>
        <w:spacing w:line="420" w:lineRule="atLeast"/>
        <w:ind w:firstLineChars="200" w:firstLine="560"/>
        <w:outlineLvl w:val="2"/>
        <w:rPr>
          <w:rFonts w:ascii="仿宋_GB2312" w:eastAsia="仿宋_GB2312"/>
          <w:sz w:val="28"/>
        </w:rPr>
      </w:pPr>
      <w:r>
        <w:rPr>
          <w:rFonts w:ascii="仿宋_GB2312" w:eastAsia="仿宋_GB2312" w:hint="eastAsia"/>
          <w:sz w:val="28"/>
        </w:rPr>
        <w:t>中轴聚核：在</w:t>
      </w:r>
      <w:proofErr w:type="gramStart"/>
      <w:r>
        <w:rPr>
          <w:rFonts w:ascii="仿宋_GB2312" w:eastAsia="仿宋_GB2312" w:hint="eastAsia"/>
          <w:sz w:val="28"/>
        </w:rPr>
        <w:t>孔目江以东</w:t>
      </w:r>
      <w:proofErr w:type="gramEnd"/>
      <w:r>
        <w:rPr>
          <w:rFonts w:ascii="仿宋_GB2312" w:eastAsia="仿宋_GB2312" w:hint="eastAsia"/>
          <w:sz w:val="28"/>
        </w:rPr>
        <w:t>，充分利用区位、景观和交通资源，沿新欣大道-创业大道形成中央具有复合功能的公共服务主轴，聚集文化、金融、娱乐、商贸等主要市级公共核心。</w:t>
      </w:r>
    </w:p>
    <w:p w:rsidR="0054446D" w:rsidRDefault="00FB459A">
      <w:pPr>
        <w:pStyle w:val="20"/>
        <w:rPr>
          <w:rFonts w:ascii="仿宋_GB2312" w:eastAsia="仿宋_GB2312" w:hAnsi="Times New Roman" w:cs="Times New Roman"/>
          <w:sz w:val="28"/>
        </w:rPr>
      </w:pPr>
      <w:r>
        <w:rPr>
          <w:rFonts w:ascii="仿宋_GB2312" w:eastAsia="仿宋_GB2312" w:hAnsi="Times New Roman" w:cs="Times New Roman" w:hint="eastAsia"/>
          <w:sz w:val="28"/>
        </w:rPr>
        <w:t>山水入城：城市建设与孔目江、仰天岗、袁河等山水资源紧密结合。</w:t>
      </w:r>
    </w:p>
    <w:p w:rsidR="0054446D" w:rsidRDefault="00FB459A">
      <w:pPr>
        <w:spacing w:line="420" w:lineRule="atLeast"/>
        <w:ind w:firstLineChars="200" w:firstLine="560"/>
        <w:outlineLvl w:val="2"/>
        <w:rPr>
          <w:rFonts w:ascii="仿宋_GB2312" w:eastAsia="仿宋_GB2312"/>
          <w:sz w:val="28"/>
        </w:rPr>
      </w:pPr>
      <w:r>
        <w:rPr>
          <w:rFonts w:ascii="仿宋_GB2312" w:eastAsia="仿宋_GB2312" w:hint="eastAsia"/>
          <w:sz w:val="28"/>
        </w:rPr>
        <w:t>10、</w:t>
      </w:r>
      <w:r>
        <w:rPr>
          <w:rFonts w:ascii="仿宋_GB2312" w:eastAsia="仿宋_GB2312"/>
          <w:sz w:val="28"/>
        </w:rPr>
        <w:t>一般因素影响分析</w:t>
      </w:r>
    </w:p>
    <w:p w:rsidR="0054446D" w:rsidRDefault="00FB459A">
      <w:pPr>
        <w:spacing w:line="420" w:lineRule="atLeast"/>
        <w:ind w:firstLineChars="200" w:firstLine="560"/>
        <w:outlineLvl w:val="2"/>
        <w:rPr>
          <w:rFonts w:ascii="仿宋_GB2312" w:eastAsia="仿宋_GB2312"/>
          <w:sz w:val="28"/>
        </w:rPr>
      </w:pPr>
      <w:r>
        <w:rPr>
          <w:rFonts w:ascii="仿宋_GB2312" w:eastAsia="仿宋_GB2312" w:hint="eastAsia"/>
          <w:sz w:val="28"/>
        </w:rPr>
        <w:t>综上所述，依托于估价对象所在区域的产业规划背景及估价对象所在的区域良好的经济形势，估价对象作为住宅用地，可以很好的实现其在该区域的价值。同时，伴随着经济的发展，估价对象地价会有一定的提升。</w:t>
      </w:r>
    </w:p>
    <w:p w:rsidR="0054446D" w:rsidRDefault="00FB459A">
      <w:pPr>
        <w:spacing w:line="420" w:lineRule="atLeast"/>
        <w:ind w:firstLineChars="200" w:firstLine="560"/>
        <w:outlineLvl w:val="2"/>
        <w:rPr>
          <w:rFonts w:ascii="仿宋_GB2312" w:eastAsia="仿宋_GB2312"/>
          <w:sz w:val="28"/>
        </w:rPr>
      </w:pPr>
      <w:bookmarkStart w:id="62" w:name="_Toc13298"/>
      <w:bookmarkStart w:id="63" w:name="_Toc27848"/>
      <w:r>
        <w:rPr>
          <w:rFonts w:ascii="仿宋_GB2312" w:eastAsia="仿宋_GB2312" w:hint="eastAsia"/>
          <w:sz w:val="28"/>
        </w:rPr>
        <w:t>（二）区域因素</w:t>
      </w:r>
      <w:bookmarkEnd w:id="62"/>
      <w:bookmarkEnd w:id="63"/>
    </w:p>
    <w:p w:rsidR="0054446D" w:rsidRDefault="00FB459A">
      <w:pPr>
        <w:spacing w:line="420" w:lineRule="atLeast"/>
        <w:ind w:firstLineChars="200" w:firstLine="560"/>
        <w:rPr>
          <w:rFonts w:ascii="仿宋_GB2312" w:eastAsia="仿宋_GB2312"/>
          <w:sz w:val="28"/>
        </w:rPr>
      </w:pPr>
      <w:r>
        <w:rPr>
          <w:rFonts w:ascii="仿宋_GB2312" w:eastAsia="仿宋_GB2312" w:hint="eastAsia"/>
          <w:sz w:val="28"/>
        </w:rPr>
        <w:t>区域因素是指影响城镇内部区域之间地价水平的因素，主要包括繁华程度或集聚程度及区域在城镇中的位置、交通条件、公用设施及基础设施水平、区域环境条件、规划及土地开发利用限制和自然条件等。</w:t>
      </w:r>
    </w:p>
    <w:p w:rsidR="0054446D" w:rsidRDefault="00FB459A">
      <w:pPr>
        <w:adjustRightInd w:val="0"/>
        <w:snapToGrid w:val="0"/>
        <w:spacing w:line="420" w:lineRule="atLeast"/>
        <w:ind w:firstLineChars="200" w:firstLine="560"/>
        <w:rPr>
          <w:rFonts w:ascii="仿宋_GB2312" w:eastAsia="仿宋_GB2312"/>
          <w:sz w:val="28"/>
        </w:rPr>
      </w:pPr>
      <w:r>
        <w:rPr>
          <w:rFonts w:ascii="仿宋_GB2312" w:eastAsia="仿宋_GB2312" w:hint="eastAsia"/>
          <w:sz w:val="28"/>
        </w:rPr>
        <w:t>1、区域概况</w:t>
      </w:r>
    </w:p>
    <w:p w:rsidR="0054446D" w:rsidRDefault="00FB459A">
      <w:pPr>
        <w:spacing w:line="420" w:lineRule="atLeast"/>
        <w:ind w:firstLineChars="200" w:firstLine="560"/>
        <w:rPr>
          <w:rFonts w:ascii="仿宋_GB2312" w:eastAsia="仿宋_GB2312"/>
          <w:sz w:val="28"/>
        </w:rPr>
      </w:pPr>
      <w:r>
        <w:rPr>
          <w:rFonts w:ascii="仿宋_GB2312" w:eastAsia="仿宋_GB2312" w:hint="eastAsia"/>
          <w:sz w:val="28"/>
        </w:rPr>
        <w:t>渝水区位于江西省中部偏西，新余市东部，袁河中下游，新余城区所在地。东界樟树、新干，南连峡江、吉安，西接分宜，北邻上高、高安，距省会南昌160公里。地跨北纬</w:t>
      </w:r>
      <w:r>
        <w:rPr>
          <w:rFonts w:ascii="仿宋_GB2312" w:eastAsia="仿宋_GB2312" w:hint="eastAsia"/>
          <w:sz w:val="28"/>
        </w:rPr>
        <w:t> </w:t>
      </w:r>
      <w:r>
        <w:rPr>
          <w:rFonts w:ascii="仿宋_GB2312" w:eastAsia="仿宋_GB2312" w:hint="eastAsia"/>
          <w:sz w:val="28"/>
        </w:rPr>
        <w:t>27°50'，东经114°58'。</w:t>
      </w:r>
      <w:proofErr w:type="gramStart"/>
      <w:r>
        <w:rPr>
          <w:rFonts w:ascii="仿宋_GB2312" w:eastAsia="仿宋_GB2312" w:hint="eastAsia"/>
          <w:sz w:val="28"/>
        </w:rPr>
        <w:t>辖</w:t>
      </w:r>
      <w:proofErr w:type="gramEnd"/>
      <w:r>
        <w:rPr>
          <w:rFonts w:ascii="仿宋_GB2312" w:eastAsia="仿宋_GB2312" w:hint="eastAsia"/>
          <w:sz w:val="28"/>
        </w:rPr>
        <w:t>10镇6乡6个街道办事处：城北办、城南办、袁河办、仙来办、通州办、新钢办、良山镇、珠</w:t>
      </w:r>
      <w:proofErr w:type="gramStart"/>
      <w:r>
        <w:rPr>
          <w:rFonts w:ascii="仿宋_GB2312" w:eastAsia="仿宋_GB2312" w:hint="eastAsia"/>
          <w:sz w:val="28"/>
        </w:rPr>
        <w:t>珊</w:t>
      </w:r>
      <w:proofErr w:type="gramEnd"/>
      <w:r>
        <w:rPr>
          <w:rFonts w:ascii="仿宋_GB2312" w:eastAsia="仿宋_GB2312" w:hint="eastAsia"/>
          <w:sz w:val="28"/>
        </w:rPr>
        <w:t>镇、水北镇、</w:t>
      </w:r>
      <w:proofErr w:type="gramStart"/>
      <w:r>
        <w:rPr>
          <w:rFonts w:ascii="仿宋_GB2312" w:eastAsia="仿宋_GB2312" w:hint="eastAsia"/>
          <w:sz w:val="28"/>
        </w:rPr>
        <w:t>姚</w:t>
      </w:r>
      <w:proofErr w:type="gramEnd"/>
      <w:r>
        <w:rPr>
          <w:rFonts w:ascii="仿宋_GB2312" w:eastAsia="仿宋_GB2312" w:hint="eastAsia"/>
          <w:sz w:val="28"/>
        </w:rPr>
        <w:t>圩镇、罗坊镇、下村镇、</w:t>
      </w:r>
      <w:proofErr w:type="gramStart"/>
      <w:r>
        <w:rPr>
          <w:rFonts w:ascii="仿宋_GB2312" w:eastAsia="仿宋_GB2312" w:hint="eastAsia"/>
          <w:sz w:val="28"/>
        </w:rPr>
        <w:t>观巢镇</w:t>
      </w:r>
      <w:proofErr w:type="gramEnd"/>
      <w:r>
        <w:rPr>
          <w:rFonts w:ascii="仿宋_GB2312" w:eastAsia="仿宋_GB2312" w:hint="eastAsia"/>
          <w:sz w:val="28"/>
        </w:rPr>
        <w:t>、欧里镇、河下镇、水西镇、鹄山乡、人和乡、界水乡、南安乡、新溪乡、九龙山乡。</w:t>
      </w:r>
      <w:proofErr w:type="gramStart"/>
      <w:r>
        <w:rPr>
          <w:rFonts w:ascii="仿宋_GB2312" w:eastAsia="仿宋_GB2312" w:hint="eastAsia"/>
          <w:sz w:val="28"/>
        </w:rPr>
        <w:t>其中观巢镇</w:t>
      </w:r>
      <w:proofErr w:type="gramEnd"/>
      <w:r>
        <w:rPr>
          <w:rFonts w:ascii="仿宋_GB2312" w:eastAsia="仿宋_GB2312" w:hint="eastAsia"/>
          <w:sz w:val="28"/>
        </w:rPr>
        <w:t>、欧里镇、河下镇、九龙山乡由</w:t>
      </w:r>
      <w:proofErr w:type="gramStart"/>
      <w:r>
        <w:rPr>
          <w:rFonts w:ascii="仿宋_GB2312" w:eastAsia="仿宋_GB2312" w:hint="eastAsia"/>
          <w:sz w:val="28"/>
        </w:rPr>
        <w:t>仙女湖</w:t>
      </w:r>
      <w:proofErr w:type="gramEnd"/>
      <w:r>
        <w:rPr>
          <w:rFonts w:ascii="仿宋_GB2312" w:eastAsia="仿宋_GB2312" w:hint="eastAsia"/>
          <w:sz w:val="28"/>
        </w:rPr>
        <w:t>风景名胜区托管；水西镇由高新技术产业开发区托管。辖区总面积1775平方公里，户籍人口85.2万。</w:t>
      </w:r>
    </w:p>
    <w:p w:rsidR="0054446D" w:rsidRDefault="00FB459A">
      <w:pPr>
        <w:spacing w:line="420" w:lineRule="atLeast"/>
        <w:ind w:firstLineChars="200" w:firstLine="560"/>
        <w:rPr>
          <w:rFonts w:ascii="仿宋_GB2312" w:eastAsia="仿宋_GB2312"/>
          <w:sz w:val="28"/>
        </w:rPr>
      </w:pPr>
      <w:r>
        <w:rPr>
          <w:rFonts w:ascii="仿宋_GB2312" w:eastAsia="仿宋_GB2312" w:hint="eastAsia"/>
          <w:sz w:val="28"/>
        </w:rPr>
        <w:t>历史悠久，人杰地灵。渝水区前身为新余县。1983年新余复市后由原新余县改为渝水区。自三国宝鼎二年（公元267年）建县，距今已有1700余年的历史，人才辈出，群星璀璨。东晋史学家习凿齿，宋朝宰相王钦若，明代理学家梁寅，</w:t>
      </w:r>
      <w:proofErr w:type="gramStart"/>
      <w:r>
        <w:rPr>
          <w:rFonts w:ascii="仿宋_GB2312" w:eastAsia="仿宋_GB2312" w:hint="eastAsia"/>
          <w:sz w:val="28"/>
        </w:rPr>
        <w:t>清建威</w:t>
      </w:r>
      <w:proofErr w:type="gramEnd"/>
      <w:r>
        <w:rPr>
          <w:rFonts w:ascii="仿宋_GB2312" w:eastAsia="仿宋_GB2312" w:hint="eastAsia"/>
          <w:sz w:val="28"/>
        </w:rPr>
        <w:t>将军张春发，现代著名国画家、美术教育家傅抱石，皆文</w:t>
      </w:r>
      <w:proofErr w:type="gramStart"/>
      <w:r>
        <w:rPr>
          <w:rFonts w:ascii="仿宋_GB2312" w:eastAsia="仿宋_GB2312" w:hint="eastAsia"/>
          <w:sz w:val="28"/>
        </w:rPr>
        <w:t>韬</w:t>
      </w:r>
      <w:proofErr w:type="gramEnd"/>
      <w:r>
        <w:rPr>
          <w:rFonts w:ascii="仿宋_GB2312" w:eastAsia="仿宋_GB2312" w:hint="eastAsia"/>
          <w:sz w:val="28"/>
        </w:rPr>
        <w:t>武略，翰墨丹青，为后人所景仰。世界风云人物、著名艾滋病防治专家、美籍华人何大一为当今全球瞩目。崇文好学的渝水，基础教育长期位居全省前列，恢复高考以来哺育输送近万名英才。勤劳、勇敢、智慧的渝水人民，具有光荣的革命传统。1930年，毛泽东、朱德等老一辈革命家率红一方面军到罗坊，召开了著名的“罗坊会议”，为渝水在中国革命史册上添上了浓墨重彩。</w:t>
      </w:r>
    </w:p>
    <w:p w:rsidR="0054446D" w:rsidRDefault="00FB459A">
      <w:pPr>
        <w:spacing w:line="420" w:lineRule="atLeast"/>
        <w:ind w:firstLineChars="200" w:firstLine="560"/>
        <w:rPr>
          <w:rFonts w:ascii="仿宋_GB2312" w:eastAsia="仿宋_GB2312"/>
          <w:sz w:val="28"/>
        </w:rPr>
      </w:pPr>
      <w:r>
        <w:rPr>
          <w:rFonts w:ascii="仿宋_GB2312" w:eastAsia="仿宋_GB2312" w:hint="eastAsia"/>
          <w:sz w:val="28"/>
        </w:rPr>
        <w:t xml:space="preserve"> 设施完善，交通便捷。渝水在发展经济的过程中，注重加强基础设施建设。交通、邮电、供电、供水、供气等基础和生活服务设施日臻完善。境内电力充足，乡乡通油路，村村通水泥路，程控电话、光缆传输网覆盖城乡各地。浙赣铁路横贯东西，上新、清萍、吉新三条省级公路纵横贯穿，东邻京九铁路，南与 </w:t>
      </w:r>
      <w:r>
        <w:rPr>
          <w:rFonts w:ascii="仿宋_GB2312" w:eastAsia="仿宋_GB2312" w:hint="eastAsia"/>
          <w:sz w:val="28"/>
        </w:rPr>
        <w:t> </w:t>
      </w:r>
      <w:r>
        <w:rPr>
          <w:rFonts w:ascii="仿宋_GB2312" w:eastAsia="仿宋_GB2312" w:hint="eastAsia"/>
          <w:sz w:val="28"/>
        </w:rPr>
        <w:t>105、北与</w:t>
      </w:r>
      <w:r>
        <w:rPr>
          <w:rFonts w:ascii="仿宋_GB2312" w:eastAsia="仿宋_GB2312" w:hint="eastAsia"/>
          <w:sz w:val="28"/>
        </w:rPr>
        <w:t> </w:t>
      </w:r>
      <w:r>
        <w:rPr>
          <w:rFonts w:ascii="仿宋_GB2312" w:eastAsia="仿宋_GB2312" w:hint="eastAsia"/>
          <w:sz w:val="28"/>
        </w:rPr>
        <w:t>320国道相接，沪瑞、赣粤两条高速公路穿境而过，交通、通讯十分便捷，为渝水进一步大开放、大发展提供了有力保障。</w:t>
      </w:r>
    </w:p>
    <w:p w:rsidR="0054446D" w:rsidRDefault="00FB459A">
      <w:pPr>
        <w:spacing w:line="420" w:lineRule="atLeast"/>
        <w:ind w:firstLineChars="200" w:firstLine="560"/>
        <w:rPr>
          <w:rFonts w:ascii="仿宋_GB2312" w:eastAsia="仿宋_GB2312"/>
          <w:sz w:val="28"/>
        </w:rPr>
      </w:pPr>
      <w:r>
        <w:rPr>
          <w:rFonts w:ascii="仿宋_GB2312" w:eastAsia="仿宋_GB2312" w:hint="eastAsia"/>
          <w:sz w:val="28"/>
        </w:rPr>
        <w:t xml:space="preserve"> 山川秀美，游览胜境。渝水境内自然风光与人文景观交相辉映，依山而建构造别致的抱石公园，山水交融、千姿</w:t>
      </w:r>
      <w:proofErr w:type="gramStart"/>
      <w:r>
        <w:rPr>
          <w:rFonts w:ascii="仿宋_GB2312" w:eastAsia="仿宋_GB2312" w:hint="eastAsia"/>
          <w:sz w:val="28"/>
        </w:rPr>
        <w:t>隽</w:t>
      </w:r>
      <w:proofErr w:type="gramEnd"/>
      <w:r>
        <w:rPr>
          <w:rFonts w:ascii="仿宋_GB2312" w:eastAsia="仿宋_GB2312" w:hint="eastAsia"/>
          <w:sz w:val="28"/>
        </w:rPr>
        <w:t>异的</w:t>
      </w:r>
      <w:proofErr w:type="gramStart"/>
      <w:r>
        <w:rPr>
          <w:rFonts w:ascii="仿宋_GB2312" w:eastAsia="仿宋_GB2312" w:hint="eastAsia"/>
          <w:sz w:val="28"/>
        </w:rPr>
        <w:t>仙女湖</w:t>
      </w:r>
      <w:proofErr w:type="gramEnd"/>
      <w:r>
        <w:rPr>
          <w:rFonts w:ascii="仿宋_GB2312" w:eastAsia="仿宋_GB2312" w:hint="eastAsia"/>
          <w:sz w:val="28"/>
        </w:rPr>
        <w:t>风景名胜区。城北郊的仰天岗森林公园环境优雅，众多名胜古迹、历史遗迹、神话传说、寺院庙宇等吸引八方游客。革命传统教育基地罗</w:t>
      </w:r>
      <w:proofErr w:type="gramStart"/>
      <w:r>
        <w:rPr>
          <w:rFonts w:ascii="仿宋_GB2312" w:eastAsia="仿宋_GB2312" w:hint="eastAsia"/>
          <w:sz w:val="28"/>
        </w:rPr>
        <w:t>坊会议</w:t>
      </w:r>
      <w:proofErr w:type="gramEnd"/>
      <w:r>
        <w:rPr>
          <w:rFonts w:ascii="仿宋_GB2312" w:eastAsia="仿宋_GB2312" w:hint="eastAsia"/>
          <w:sz w:val="28"/>
        </w:rPr>
        <w:t>纪念馆，蒙山、百丈峰等一批生态型、休闲型观光度假基地，令人美不胜收，流连忘返。</w:t>
      </w:r>
    </w:p>
    <w:p w:rsidR="0054446D" w:rsidRDefault="00FB459A">
      <w:pPr>
        <w:spacing w:line="420" w:lineRule="exact"/>
        <w:ind w:firstLineChars="200" w:firstLine="560"/>
        <w:rPr>
          <w:rFonts w:ascii="仿宋_GB2312" w:eastAsia="仿宋_GB2312"/>
          <w:sz w:val="28"/>
        </w:rPr>
      </w:pPr>
      <w:r>
        <w:rPr>
          <w:rFonts w:ascii="仿宋_GB2312" w:eastAsia="仿宋_GB2312" w:hint="eastAsia"/>
          <w:sz w:val="28"/>
        </w:rPr>
        <w:t>2、交通条件</w:t>
      </w:r>
    </w:p>
    <w:p w:rsidR="0054446D" w:rsidRDefault="00FB459A">
      <w:pPr>
        <w:spacing w:line="420" w:lineRule="exact"/>
        <w:ind w:firstLineChars="200" w:firstLine="560"/>
        <w:rPr>
          <w:rFonts w:ascii="仿宋" w:eastAsia="仿宋" w:hAnsi="仿宋"/>
          <w:sz w:val="28"/>
        </w:rPr>
      </w:pPr>
      <w:r>
        <w:rPr>
          <w:rFonts w:ascii="仿宋_GB2312" w:eastAsia="仿宋_GB2312" w:hint="eastAsia"/>
          <w:sz w:val="28"/>
        </w:rPr>
        <w:t>（1）</w:t>
      </w:r>
      <w:r>
        <w:rPr>
          <w:rFonts w:ascii="仿宋" w:eastAsia="仿宋" w:hAnsi="仿宋" w:hint="eastAsia"/>
          <w:sz w:val="28"/>
        </w:rPr>
        <w:t>公共交通状况</w:t>
      </w:r>
    </w:p>
    <w:p w:rsidR="0054446D" w:rsidRDefault="00FB459A">
      <w:pPr>
        <w:spacing w:line="420" w:lineRule="exact"/>
        <w:ind w:firstLineChars="200" w:firstLine="560"/>
        <w:rPr>
          <w:rFonts w:ascii="仿宋_GB2312" w:eastAsia="仿宋_GB2312"/>
          <w:sz w:val="28"/>
        </w:rPr>
      </w:pPr>
      <w:r>
        <w:rPr>
          <w:rFonts w:ascii="仿宋_GB2312" w:eastAsia="仿宋_GB2312"/>
          <w:sz w:val="28"/>
        </w:rPr>
        <w:t>截至2022年5月15日，新余公交有运营常规线路39条，定制线路6条，运营车辆326.4标台，万人6.89标台，车辆纯电动率大于90%。线网覆盖北至</w:t>
      </w:r>
      <w:proofErr w:type="gramStart"/>
      <w:r>
        <w:rPr>
          <w:rFonts w:ascii="仿宋_GB2312" w:eastAsia="仿宋_GB2312"/>
          <w:sz w:val="28"/>
        </w:rPr>
        <w:t>沪昆高</w:t>
      </w:r>
      <w:proofErr w:type="gramEnd"/>
      <w:r>
        <w:rPr>
          <w:rFonts w:ascii="仿宋_GB2312" w:eastAsia="仿宋_GB2312"/>
          <w:sz w:val="28"/>
        </w:rPr>
        <w:t>铁新余北站，南至二化电厂，东至水西镇，西至</w:t>
      </w:r>
      <w:proofErr w:type="gramStart"/>
      <w:r>
        <w:rPr>
          <w:rFonts w:ascii="仿宋_GB2312" w:eastAsia="仿宋_GB2312"/>
          <w:sz w:val="28"/>
        </w:rPr>
        <w:t>仙女湖</w:t>
      </w:r>
      <w:proofErr w:type="gramEnd"/>
      <w:r>
        <w:rPr>
          <w:rFonts w:ascii="仿宋_GB2312" w:eastAsia="仿宋_GB2312"/>
          <w:sz w:val="28"/>
        </w:rPr>
        <w:t>风景区，线网长度468.66千米，公交站点设置595个，候车亭345个，公交分担率为26.9%。</w:t>
      </w:r>
    </w:p>
    <w:p w:rsidR="0054446D" w:rsidRDefault="00FB459A">
      <w:pPr>
        <w:spacing w:line="420" w:lineRule="exact"/>
        <w:ind w:firstLineChars="200" w:firstLine="560"/>
        <w:rPr>
          <w:rFonts w:ascii="仿宋_GB2312" w:eastAsia="仿宋_GB2312"/>
          <w:sz w:val="28"/>
        </w:rPr>
      </w:pPr>
      <w:r>
        <w:rPr>
          <w:rFonts w:ascii="仿宋_GB2312" w:eastAsia="仿宋_GB2312" w:hint="eastAsia"/>
          <w:sz w:val="28"/>
        </w:rPr>
        <w:t>（2）对外交通条件</w:t>
      </w:r>
    </w:p>
    <w:p w:rsidR="0054446D" w:rsidRDefault="00FB459A">
      <w:pPr>
        <w:spacing w:line="420" w:lineRule="exact"/>
        <w:ind w:firstLineChars="200" w:firstLine="560"/>
        <w:rPr>
          <w:rFonts w:ascii="仿宋_GB2312" w:eastAsia="仿宋_GB2312"/>
          <w:sz w:val="28"/>
        </w:rPr>
      </w:pPr>
      <w:r>
        <w:rPr>
          <w:rFonts w:ascii="仿宋_GB2312" w:eastAsia="仿宋_GB2312" w:hint="eastAsia"/>
          <w:sz w:val="28"/>
        </w:rPr>
        <w:t>新余市有赣粤高速公路、</w:t>
      </w:r>
      <w:proofErr w:type="gramStart"/>
      <w:r>
        <w:rPr>
          <w:rFonts w:ascii="仿宋_GB2312" w:eastAsia="仿宋_GB2312" w:hint="eastAsia"/>
          <w:sz w:val="28"/>
        </w:rPr>
        <w:t>沪瑞高速公路</w:t>
      </w:r>
      <w:proofErr w:type="gramEnd"/>
      <w:r>
        <w:rPr>
          <w:rFonts w:ascii="仿宋_GB2312" w:eastAsia="仿宋_GB2312" w:hint="eastAsia"/>
          <w:sz w:val="28"/>
        </w:rPr>
        <w:t>分别自北向南、自东向西</w:t>
      </w:r>
      <w:proofErr w:type="gramStart"/>
      <w:r>
        <w:rPr>
          <w:rFonts w:ascii="仿宋_GB2312" w:eastAsia="仿宋_GB2312" w:hint="eastAsia"/>
          <w:sz w:val="28"/>
        </w:rPr>
        <w:t>穿越市</w:t>
      </w:r>
      <w:proofErr w:type="gramEnd"/>
      <w:r>
        <w:rPr>
          <w:rFonts w:ascii="仿宋_GB2312" w:eastAsia="仿宋_GB2312" w:hint="eastAsia"/>
          <w:sz w:val="28"/>
        </w:rPr>
        <w:t>境。交通便利。</w:t>
      </w:r>
    </w:p>
    <w:p w:rsidR="0054446D" w:rsidRDefault="00FB459A">
      <w:pPr>
        <w:spacing w:line="420" w:lineRule="exact"/>
        <w:ind w:firstLineChars="200" w:firstLine="560"/>
        <w:rPr>
          <w:rFonts w:ascii="仿宋_GB2312" w:eastAsia="仿宋_GB2312"/>
          <w:sz w:val="28"/>
        </w:rPr>
      </w:pPr>
      <w:r>
        <w:rPr>
          <w:rFonts w:ascii="宋体" w:hAnsi="宋体" w:hint="eastAsia"/>
          <w:sz w:val="28"/>
        </w:rPr>
        <w:t>①</w:t>
      </w:r>
      <w:r>
        <w:rPr>
          <w:rFonts w:ascii="仿宋_GB2312" w:eastAsia="仿宋_GB2312"/>
          <w:sz w:val="28"/>
        </w:rPr>
        <w:t>铁路</w:t>
      </w:r>
    </w:p>
    <w:p w:rsidR="0054446D" w:rsidRDefault="00FB459A">
      <w:pPr>
        <w:spacing w:line="420" w:lineRule="exact"/>
        <w:ind w:firstLineChars="200" w:firstLine="560"/>
        <w:rPr>
          <w:rFonts w:ascii="仿宋_GB2312" w:eastAsia="仿宋_GB2312"/>
          <w:sz w:val="28"/>
        </w:rPr>
      </w:pPr>
      <w:r>
        <w:rPr>
          <w:rFonts w:ascii="仿宋_GB2312" w:eastAsia="仿宋_GB2312"/>
          <w:sz w:val="28"/>
        </w:rPr>
        <w:t>浙赣铁路横贯新余市东西，</w:t>
      </w:r>
      <w:proofErr w:type="gramStart"/>
      <w:r>
        <w:rPr>
          <w:rFonts w:ascii="仿宋_GB2312" w:eastAsia="仿宋_GB2312"/>
          <w:sz w:val="28"/>
        </w:rPr>
        <w:t>京九铁路傍市而</w:t>
      </w:r>
      <w:proofErr w:type="gramEnd"/>
      <w:r>
        <w:rPr>
          <w:rFonts w:ascii="仿宋_GB2312" w:eastAsia="仿宋_GB2312"/>
          <w:sz w:val="28"/>
        </w:rPr>
        <w:t>过。2014年9月16日，</w:t>
      </w:r>
      <w:proofErr w:type="gramStart"/>
      <w:r>
        <w:rPr>
          <w:rFonts w:ascii="仿宋_GB2312" w:eastAsia="仿宋_GB2312"/>
          <w:sz w:val="28"/>
        </w:rPr>
        <w:t>沪昆高</w:t>
      </w:r>
      <w:proofErr w:type="gramEnd"/>
      <w:r>
        <w:rPr>
          <w:rFonts w:ascii="仿宋_GB2312" w:eastAsia="仿宋_GB2312"/>
          <w:sz w:val="28"/>
        </w:rPr>
        <w:t>铁开通运营，设新余北站</w:t>
      </w:r>
      <w:r>
        <w:rPr>
          <w:rFonts w:ascii="仿宋_GB2312" w:eastAsia="仿宋_GB2312" w:hint="eastAsia"/>
          <w:sz w:val="28"/>
        </w:rPr>
        <w:t>。</w:t>
      </w:r>
    </w:p>
    <w:p w:rsidR="0054446D" w:rsidRDefault="00FB459A">
      <w:pPr>
        <w:spacing w:line="420" w:lineRule="exact"/>
        <w:ind w:firstLineChars="200" w:firstLine="560"/>
        <w:rPr>
          <w:rFonts w:ascii="仿宋_GB2312" w:eastAsia="仿宋_GB2312"/>
          <w:sz w:val="28"/>
        </w:rPr>
      </w:pPr>
      <w:r>
        <w:rPr>
          <w:rFonts w:ascii="宋体" w:hAnsi="宋体" w:hint="eastAsia"/>
          <w:sz w:val="28"/>
        </w:rPr>
        <w:t>②</w:t>
      </w:r>
      <w:r>
        <w:rPr>
          <w:rFonts w:ascii="仿宋_GB2312" w:eastAsia="仿宋_GB2312"/>
          <w:sz w:val="28"/>
        </w:rPr>
        <w:t>公路</w:t>
      </w:r>
    </w:p>
    <w:p w:rsidR="0054446D" w:rsidRDefault="00FB459A">
      <w:pPr>
        <w:spacing w:line="420" w:lineRule="exact"/>
        <w:ind w:firstLineChars="200" w:firstLine="560"/>
        <w:rPr>
          <w:rFonts w:ascii="仿宋_GB2312" w:eastAsia="仿宋_GB2312"/>
          <w:sz w:val="28"/>
        </w:rPr>
      </w:pPr>
      <w:r>
        <w:rPr>
          <w:rFonts w:ascii="仿宋_GB2312" w:eastAsia="仿宋_GB2312"/>
          <w:sz w:val="28"/>
        </w:rPr>
        <w:t>赣粤、沪瑞、武吉三条高速公路和四条省道在新余交汇，成为全国680多个城市中少有的高密度高速公路通过的城市</w:t>
      </w:r>
      <w:r>
        <w:rPr>
          <w:rFonts w:ascii="仿宋_GB2312" w:eastAsia="仿宋_GB2312" w:hint="eastAsia"/>
          <w:sz w:val="28"/>
        </w:rPr>
        <w:t>。</w:t>
      </w:r>
    </w:p>
    <w:p w:rsidR="0054446D" w:rsidRDefault="00FB459A">
      <w:pPr>
        <w:spacing w:line="420" w:lineRule="atLeast"/>
        <w:ind w:firstLineChars="200" w:firstLine="560"/>
        <w:rPr>
          <w:rFonts w:ascii="仿宋_GB2312" w:eastAsia="仿宋_GB2312"/>
          <w:sz w:val="28"/>
        </w:rPr>
      </w:pPr>
      <w:r>
        <w:rPr>
          <w:rFonts w:ascii="宋体" w:hAnsi="宋体" w:hint="eastAsia"/>
          <w:sz w:val="28"/>
        </w:rPr>
        <w:t>③</w:t>
      </w:r>
      <w:r>
        <w:rPr>
          <w:rFonts w:ascii="仿宋_GB2312" w:eastAsia="仿宋_GB2312"/>
          <w:sz w:val="28"/>
        </w:rPr>
        <w:t>航空</w:t>
      </w:r>
    </w:p>
    <w:p w:rsidR="0054446D" w:rsidRDefault="00FB459A">
      <w:pPr>
        <w:spacing w:line="420" w:lineRule="atLeast"/>
        <w:ind w:firstLineChars="200" w:firstLine="560"/>
        <w:rPr>
          <w:rFonts w:ascii="仿宋_GB2312" w:eastAsia="仿宋_GB2312"/>
          <w:sz w:val="28"/>
        </w:rPr>
      </w:pPr>
      <w:r>
        <w:rPr>
          <w:rFonts w:ascii="仿宋_GB2312" w:eastAsia="仿宋_GB2312"/>
          <w:sz w:val="28"/>
        </w:rPr>
        <w:t>宜春明月山机场位于江西省宜春市袁州区湖田镇，占地1921亩，跑道长2400米，宽45米，垂直联络道长210米、宽18，站坪机位3个，停机坪2.3万平方米，航站楼建筑面积7160平方米，跑道主</w:t>
      </w:r>
      <w:proofErr w:type="gramStart"/>
      <w:r>
        <w:rPr>
          <w:rFonts w:ascii="仿宋_GB2312" w:eastAsia="仿宋_GB2312"/>
          <w:sz w:val="28"/>
        </w:rPr>
        <w:t>降方向</w:t>
      </w:r>
      <w:proofErr w:type="gramEnd"/>
      <w:r>
        <w:rPr>
          <w:rFonts w:ascii="仿宋_GB2312" w:eastAsia="仿宋_GB2312"/>
          <w:sz w:val="28"/>
        </w:rPr>
        <w:t>设长900米I类精密进近灯光系统，次</w:t>
      </w:r>
      <w:proofErr w:type="gramStart"/>
      <w:r>
        <w:rPr>
          <w:rFonts w:ascii="仿宋_GB2312" w:eastAsia="仿宋_GB2312"/>
          <w:sz w:val="28"/>
        </w:rPr>
        <w:t>降方向</w:t>
      </w:r>
      <w:proofErr w:type="gramEnd"/>
      <w:r>
        <w:rPr>
          <w:rFonts w:ascii="仿宋_GB2312" w:eastAsia="仿宋_GB2312"/>
          <w:sz w:val="28"/>
        </w:rPr>
        <w:t>设长420米的B类简易进近灯光系统，配套建设空管、供电、供水、供热、供冷、供油、消防救援以及机场辅助生产设施，宜春明月山机场前期按4C标准设</w:t>
      </w:r>
      <w:r>
        <w:rPr>
          <w:rFonts w:ascii="仿宋_GB2312" w:eastAsia="仿宋_GB2312" w:hint="eastAsia"/>
          <w:sz w:val="28"/>
        </w:rPr>
        <w:t>。</w:t>
      </w:r>
    </w:p>
    <w:p w:rsidR="0054446D" w:rsidRDefault="00FB459A">
      <w:pPr>
        <w:pStyle w:val="22"/>
        <w:spacing w:line="420" w:lineRule="exact"/>
      </w:pPr>
      <w:r>
        <w:rPr>
          <w:rFonts w:hint="eastAsia"/>
        </w:rPr>
        <w:t>渝水区东与樟树市、新干县交界，西与分宜县毗邻，南与吉安、峡江县相连，北与上高县、高安市接壤；浙赣铁路横贯东西，东面与京九铁路毗邻，上（高）新（余）铁路、新（余）周（宇）铁路南北伸展；境内公路纵横交错，交通十分便捷。</w:t>
      </w:r>
    </w:p>
    <w:p w:rsidR="0054446D" w:rsidRDefault="00FB459A">
      <w:pPr>
        <w:pStyle w:val="22"/>
        <w:spacing w:line="420" w:lineRule="exact"/>
      </w:pPr>
      <w:r>
        <w:rPr>
          <w:rFonts w:hint="eastAsia"/>
        </w:rPr>
        <w:t>综上，渝水</w:t>
      </w:r>
      <w:r>
        <w:t>区</w:t>
      </w:r>
      <w:r>
        <w:rPr>
          <w:rFonts w:hint="eastAsia"/>
        </w:rPr>
        <w:t>交通便捷度优。</w:t>
      </w:r>
    </w:p>
    <w:p w:rsidR="0054446D" w:rsidRDefault="00FB459A">
      <w:pPr>
        <w:pStyle w:val="22"/>
        <w:spacing w:line="420" w:lineRule="exact"/>
      </w:pPr>
      <w:r>
        <w:rPr>
          <w:rFonts w:hint="eastAsia"/>
        </w:rPr>
        <w:t>3、</w:t>
      </w:r>
      <w:r>
        <w:t>基础设施和公用设施条件</w:t>
      </w:r>
    </w:p>
    <w:p w:rsidR="0054446D" w:rsidRDefault="00FB459A">
      <w:pPr>
        <w:pStyle w:val="22"/>
        <w:spacing w:line="420" w:lineRule="exact"/>
      </w:pPr>
      <w:r>
        <w:rPr>
          <w:rFonts w:ascii="仿宋" w:eastAsia="仿宋" w:hAnsi="仿宋"/>
        </w:rPr>
        <w:t>给水工程：</w:t>
      </w:r>
      <w:r>
        <w:t>渝水区城乡供水一体化项目于2017年2月启动、6月28日正式开工建设。截至目前,已覆盖50户以上自然村573个。覆盖渝水区50户以下自然村(符合</w:t>
      </w:r>
      <w:r>
        <w:t>“</w:t>
      </w:r>
      <w:r>
        <w:t>安装自来水规划、50户以下、距离主管500米以内、自愿申请接通管网通水</w:t>
      </w:r>
      <w:r>
        <w:t>”</w:t>
      </w:r>
      <w:r>
        <w:t>条件)172个。截至2020年底,渝水区集中供水率为92.46%,自来水普及率为91.49%,农村供水保证率为96.02%。</w:t>
      </w:r>
      <w:r>
        <w:rPr>
          <w:rFonts w:hint="eastAsia"/>
        </w:rPr>
        <w:t>完全可以保障市民用水需求，供水保证率约93%。</w:t>
      </w:r>
    </w:p>
    <w:p w:rsidR="0054446D" w:rsidRDefault="00FB459A">
      <w:pPr>
        <w:pStyle w:val="a9"/>
        <w:adjustRightInd w:val="0"/>
        <w:snapToGrid w:val="0"/>
        <w:spacing w:line="420" w:lineRule="exact"/>
        <w:ind w:firstLineChars="200" w:firstLine="560"/>
        <w:rPr>
          <w:rFonts w:ascii="仿宋" w:eastAsia="仿宋" w:hAnsi="仿宋"/>
          <w:kern w:val="0"/>
          <w:sz w:val="28"/>
          <w:szCs w:val="28"/>
        </w:rPr>
      </w:pPr>
      <w:bookmarkStart w:id="64" w:name="bookmark90"/>
      <w:bookmarkEnd w:id="64"/>
      <w:r>
        <w:rPr>
          <w:rFonts w:ascii="仿宋" w:eastAsia="仿宋" w:hAnsi="仿宋"/>
          <w:sz w:val="28"/>
        </w:rPr>
        <w:t>雨水及防洪工程：</w:t>
      </w:r>
      <w:r>
        <w:rPr>
          <w:rFonts w:ascii="仿宋" w:eastAsia="仿宋" w:hAnsi="仿宋" w:hint="eastAsia"/>
          <w:kern w:val="0"/>
          <w:sz w:val="28"/>
          <w:szCs w:val="28"/>
        </w:rPr>
        <w:t>区域采用雨、污分流排水体制。</w:t>
      </w:r>
      <w:r>
        <w:rPr>
          <w:rFonts w:ascii="仿宋_GB2312" w:eastAsia="仿宋_GB2312" w:hAnsi="Times New Roman" w:hint="eastAsia"/>
          <w:sz w:val="28"/>
        </w:rPr>
        <w:t>新余市城东污水处理厂位于新余市经济开发区袁河北岸江口村</w:t>
      </w:r>
      <w:proofErr w:type="gramStart"/>
      <w:r>
        <w:rPr>
          <w:rFonts w:ascii="仿宋_GB2312" w:eastAsia="仿宋_GB2312" w:hAnsi="Times New Roman" w:hint="eastAsia"/>
          <w:sz w:val="28"/>
        </w:rPr>
        <w:t>东侧,</w:t>
      </w:r>
      <w:proofErr w:type="gramEnd"/>
      <w:r>
        <w:rPr>
          <w:rFonts w:ascii="仿宋_GB2312" w:eastAsia="仿宋_GB2312" w:hAnsi="Times New Roman" w:hint="eastAsia"/>
          <w:sz w:val="28"/>
        </w:rPr>
        <w:t>一期工程于2004年3月开工,2007年4月完工并投入运营,日处理污水能力8万吨;二期工程于2009年12月开工,日处理污水能力4万吨,2011年4月底正式投入运行。目前处理规模已达12万吨/日。新余市城东污水处理厂提</w:t>
      </w:r>
      <w:proofErr w:type="gramStart"/>
      <w:r>
        <w:rPr>
          <w:rFonts w:ascii="仿宋_GB2312" w:eastAsia="仿宋_GB2312" w:hAnsi="Times New Roman" w:hint="eastAsia"/>
          <w:sz w:val="28"/>
        </w:rPr>
        <w:t>标改造</w:t>
      </w:r>
      <w:proofErr w:type="gramEnd"/>
      <w:r>
        <w:rPr>
          <w:rFonts w:ascii="仿宋_GB2312" w:eastAsia="仿宋_GB2312" w:hAnsi="Times New Roman" w:hint="eastAsia"/>
          <w:sz w:val="28"/>
        </w:rPr>
        <w:t>工程于2019年11月7日立项,2020年12月31日建成投产,投产后将原《城镇污水处理厂污染特排放标准》一级B标准提升为一级A标准,总投资11316.56万元。主要增加了二级提升泵房+磁粉凝沉淀池+</w:t>
      </w:r>
      <w:proofErr w:type="gramStart"/>
      <w:r>
        <w:rPr>
          <w:rFonts w:ascii="仿宋_GB2312" w:eastAsia="仿宋_GB2312" w:hAnsi="Times New Roman" w:hint="eastAsia"/>
          <w:sz w:val="28"/>
        </w:rPr>
        <w:t>深床反硝化</w:t>
      </w:r>
      <w:proofErr w:type="gramEnd"/>
      <w:r>
        <w:rPr>
          <w:rFonts w:ascii="仿宋_GB2312" w:eastAsia="仿宋_GB2312" w:hAnsi="Times New Roman" w:hint="eastAsia"/>
          <w:sz w:val="28"/>
        </w:rPr>
        <w:t>滤池三个工艺段,同时增加了加药间,将液氯消毒改造成次氯酸钠消毒。</w:t>
      </w:r>
    </w:p>
    <w:p w:rsidR="0054446D" w:rsidRDefault="00FB459A">
      <w:pPr>
        <w:pStyle w:val="a9"/>
        <w:adjustRightInd w:val="0"/>
        <w:snapToGrid w:val="0"/>
        <w:spacing w:line="420" w:lineRule="exact"/>
        <w:ind w:firstLineChars="200" w:firstLine="560"/>
        <w:rPr>
          <w:rFonts w:ascii="仿宋" w:eastAsia="仿宋" w:hAnsi="仿宋"/>
          <w:kern w:val="0"/>
          <w:sz w:val="28"/>
          <w:szCs w:val="28"/>
        </w:rPr>
      </w:pPr>
      <w:r>
        <w:rPr>
          <w:rFonts w:ascii="仿宋" w:eastAsia="仿宋" w:hAnsi="仿宋"/>
          <w:sz w:val="28"/>
        </w:rPr>
        <w:t>电力电信工程：</w:t>
      </w:r>
      <w:proofErr w:type="gramStart"/>
      <w:r>
        <w:rPr>
          <w:rFonts w:ascii="仿宋" w:eastAsia="仿宋" w:hAnsi="仿宋" w:hint="eastAsia"/>
          <w:kern w:val="0"/>
          <w:sz w:val="28"/>
          <w:szCs w:val="28"/>
        </w:rPr>
        <w:t>国网新余</w:t>
      </w:r>
      <w:proofErr w:type="gramEnd"/>
      <w:r>
        <w:rPr>
          <w:rFonts w:ascii="仿宋" w:eastAsia="仿宋" w:hAnsi="仿宋" w:hint="eastAsia"/>
          <w:kern w:val="0"/>
          <w:sz w:val="28"/>
          <w:szCs w:val="28"/>
        </w:rPr>
        <w:t>供电公司</w:t>
      </w:r>
      <w:proofErr w:type="gramStart"/>
      <w:r>
        <w:rPr>
          <w:rFonts w:ascii="仿宋" w:eastAsia="仿宋" w:hAnsi="仿宋" w:hint="eastAsia"/>
          <w:kern w:val="0"/>
          <w:sz w:val="28"/>
          <w:szCs w:val="28"/>
        </w:rPr>
        <w:t>是国网江西省</w:t>
      </w:r>
      <w:proofErr w:type="gramEnd"/>
      <w:r>
        <w:rPr>
          <w:rFonts w:ascii="仿宋" w:eastAsia="仿宋" w:hAnsi="仿宋" w:hint="eastAsia"/>
          <w:kern w:val="0"/>
          <w:sz w:val="28"/>
          <w:szCs w:val="28"/>
        </w:rPr>
        <w:t>电力有限公司的分公司，前身为赣西供电局。</w:t>
      </w:r>
      <w:proofErr w:type="gramStart"/>
      <w:r>
        <w:rPr>
          <w:rFonts w:ascii="仿宋" w:eastAsia="仿宋" w:hAnsi="仿宋" w:hint="eastAsia"/>
          <w:kern w:val="0"/>
          <w:sz w:val="28"/>
          <w:szCs w:val="28"/>
        </w:rPr>
        <w:t>现承担</w:t>
      </w:r>
      <w:proofErr w:type="gramEnd"/>
      <w:r>
        <w:rPr>
          <w:rFonts w:ascii="仿宋" w:eastAsia="仿宋" w:hAnsi="仿宋" w:hint="eastAsia"/>
          <w:kern w:val="0"/>
          <w:sz w:val="28"/>
          <w:szCs w:val="28"/>
        </w:rPr>
        <w:t>新余市所辖一县一区（渝水区、分宜县）的供电任务，服务人口约120万，拥有35千伏及以上变电站46座；负责运维的35千伏及以上输电线路112条，共计1420公里；10千伏配电线路292条，共计5482公里，10千伏配电台区5897个，配变总容量215.3万千伏安。2019年，全年完成固定资产投资4.72亿元，110千伏及以上输电线路开工206.64公里，投产89.78公里；变电工程开工容量51万千伏安，投产30万千伏安。完成售电量62.02亿千瓦时，售电均价673.38元/千千瓦时，综合线损率3.13%。完成概念收益12.75亿元，同比增长2.66%，较售电增速高出6.77个百分点。供电保证率约98%。</w:t>
      </w:r>
    </w:p>
    <w:p w:rsidR="0054446D" w:rsidRDefault="00FB459A">
      <w:pPr>
        <w:pStyle w:val="a9"/>
        <w:adjustRightInd w:val="0"/>
        <w:snapToGrid w:val="0"/>
        <w:spacing w:line="420" w:lineRule="exact"/>
        <w:ind w:firstLineChars="200" w:firstLine="560"/>
        <w:rPr>
          <w:rFonts w:ascii="仿宋" w:eastAsia="仿宋" w:hAnsi="仿宋"/>
          <w:kern w:val="0"/>
          <w:sz w:val="28"/>
          <w:szCs w:val="28"/>
        </w:rPr>
      </w:pPr>
      <w:r>
        <w:rPr>
          <w:rFonts w:ascii="仿宋" w:eastAsia="仿宋" w:hAnsi="仿宋" w:hint="eastAsia"/>
          <w:kern w:val="0"/>
          <w:sz w:val="28"/>
          <w:szCs w:val="28"/>
        </w:rPr>
        <w:t>新余市已建成移动通讯电话以及综合通讯数字网，通讯情况良好。</w:t>
      </w:r>
    </w:p>
    <w:p w:rsidR="0054446D" w:rsidRDefault="00FB459A">
      <w:pPr>
        <w:pStyle w:val="a9"/>
        <w:adjustRightInd w:val="0"/>
        <w:snapToGrid w:val="0"/>
        <w:spacing w:line="420" w:lineRule="exact"/>
        <w:ind w:firstLineChars="200" w:firstLine="560"/>
        <w:rPr>
          <w:rFonts w:ascii="仿宋" w:eastAsia="仿宋" w:hAnsi="仿宋"/>
          <w:kern w:val="0"/>
          <w:sz w:val="28"/>
          <w:szCs w:val="28"/>
        </w:rPr>
      </w:pPr>
      <w:r>
        <w:rPr>
          <w:rFonts w:ascii="仿宋" w:eastAsia="仿宋" w:hAnsi="仿宋"/>
          <w:sz w:val="28"/>
        </w:rPr>
        <w:t>燃气工程：</w:t>
      </w:r>
      <w:r>
        <w:rPr>
          <w:rFonts w:ascii="仿宋" w:eastAsia="仿宋" w:hAnsi="仿宋" w:hint="eastAsia"/>
          <w:kern w:val="0"/>
          <w:sz w:val="28"/>
          <w:szCs w:val="28"/>
        </w:rPr>
        <w:t>新余市目前已建成全市范围的燃气管网，能保证市民燃气供给。</w:t>
      </w:r>
    </w:p>
    <w:p w:rsidR="0054446D" w:rsidRDefault="00FB459A">
      <w:pPr>
        <w:pStyle w:val="a9"/>
        <w:adjustRightInd w:val="0"/>
        <w:snapToGrid w:val="0"/>
        <w:spacing w:line="420" w:lineRule="exact"/>
        <w:ind w:firstLineChars="200" w:firstLine="560"/>
        <w:rPr>
          <w:rFonts w:ascii="仿宋" w:eastAsia="仿宋" w:hAnsi="仿宋"/>
          <w:sz w:val="28"/>
        </w:rPr>
      </w:pPr>
      <w:r>
        <w:rPr>
          <w:rFonts w:ascii="仿宋" w:eastAsia="仿宋" w:hAnsi="仿宋" w:hint="eastAsia"/>
          <w:sz w:val="28"/>
        </w:rPr>
        <w:t>目前，</w:t>
      </w:r>
      <w:proofErr w:type="gramStart"/>
      <w:r>
        <w:rPr>
          <w:rFonts w:ascii="仿宋" w:eastAsia="仿宋" w:hAnsi="仿宋" w:hint="eastAsia"/>
          <w:sz w:val="28"/>
        </w:rPr>
        <w:t>待估宗地</w:t>
      </w:r>
      <w:proofErr w:type="gramEnd"/>
      <w:r>
        <w:rPr>
          <w:rFonts w:ascii="仿宋" w:eastAsia="仿宋" w:hAnsi="仿宋" w:hint="eastAsia"/>
          <w:sz w:val="28"/>
        </w:rPr>
        <w:t>所处区域道路、给水、排水、供电、通讯等市政设施完善，保证率高；区域内道路、供水、排水、电力、通讯等均接入市政网络。</w:t>
      </w:r>
    </w:p>
    <w:p w:rsidR="0054446D" w:rsidRDefault="00FB459A">
      <w:pPr>
        <w:pStyle w:val="a9"/>
        <w:adjustRightInd w:val="0"/>
        <w:snapToGrid w:val="0"/>
        <w:spacing w:line="420" w:lineRule="exact"/>
        <w:ind w:firstLineChars="200" w:firstLine="560"/>
        <w:rPr>
          <w:rFonts w:ascii="仿宋" w:eastAsia="仿宋" w:hAnsi="仿宋"/>
          <w:kern w:val="0"/>
          <w:sz w:val="28"/>
          <w:szCs w:val="28"/>
        </w:rPr>
      </w:pPr>
      <w:proofErr w:type="gramStart"/>
      <w:r>
        <w:rPr>
          <w:rFonts w:ascii="仿宋" w:eastAsia="仿宋" w:hAnsi="仿宋" w:hint="eastAsia"/>
          <w:kern w:val="0"/>
          <w:sz w:val="28"/>
          <w:szCs w:val="28"/>
        </w:rPr>
        <w:t>待估宗地</w:t>
      </w:r>
      <w:proofErr w:type="gramEnd"/>
      <w:r>
        <w:rPr>
          <w:rFonts w:ascii="仿宋" w:eastAsia="仿宋" w:hAnsi="仿宋" w:hint="eastAsia"/>
          <w:kern w:val="0"/>
          <w:sz w:val="28"/>
          <w:szCs w:val="28"/>
        </w:rPr>
        <w:t>所处区域</w:t>
      </w:r>
      <w:r>
        <w:rPr>
          <w:rFonts w:ascii="仿宋" w:eastAsia="仿宋" w:hAnsi="仿宋"/>
          <w:kern w:val="0"/>
          <w:sz w:val="28"/>
          <w:szCs w:val="28"/>
        </w:rPr>
        <w:t>周边</w:t>
      </w:r>
      <w:r>
        <w:rPr>
          <w:rFonts w:ascii="仿宋" w:eastAsia="仿宋" w:hAnsi="仿宋" w:hint="eastAsia"/>
          <w:kern w:val="0"/>
          <w:sz w:val="28"/>
          <w:szCs w:val="28"/>
        </w:rPr>
        <w:t>幼儿园有应星幼儿园、普林斯顿感统幼儿园三部、钢丝厂幼儿园、幸福尚城幼儿园；小学有新余市西湖小学、</w:t>
      </w:r>
      <w:proofErr w:type="gramStart"/>
      <w:r>
        <w:rPr>
          <w:rFonts w:ascii="仿宋" w:eastAsia="仿宋" w:hAnsi="仿宋" w:hint="eastAsia"/>
          <w:kern w:val="0"/>
          <w:sz w:val="28"/>
          <w:szCs w:val="28"/>
        </w:rPr>
        <w:t>凯</w:t>
      </w:r>
      <w:proofErr w:type="gramEnd"/>
      <w:r>
        <w:rPr>
          <w:rFonts w:ascii="仿宋" w:eastAsia="仿宋" w:hAnsi="仿宋" w:hint="eastAsia"/>
          <w:kern w:val="0"/>
          <w:sz w:val="28"/>
          <w:szCs w:val="28"/>
        </w:rPr>
        <w:t>光小学、</w:t>
      </w:r>
      <w:proofErr w:type="gramStart"/>
      <w:r>
        <w:rPr>
          <w:rFonts w:ascii="仿宋" w:eastAsia="仿宋" w:hAnsi="仿宋" w:hint="eastAsia"/>
          <w:kern w:val="0"/>
          <w:sz w:val="28"/>
          <w:szCs w:val="28"/>
        </w:rPr>
        <w:t>河下逸夫</w:t>
      </w:r>
      <w:proofErr w:type="gramEnd"/>
      <w:r>
        <w:rPr>
          <w:rFonts w:ascii="仿宋" w:eastAsia="仿宋" w:hAnsi="仿宋" w:hint="eastAsia"/>
          <w:kern w:val="0"/>
          <w:sz w:val="28"/>
          <w:szCs w:val="28"/>
        </w:rPr>
        <w:t>小学、新余市仙女湖区河下镇中心小学等；中学有北京师范大学新余附属学校、新余市第十三中学、新余市第五中学、新余市实验中学等；商业</w:t>
      </w:r>
      <w:proofErr w:type="gramStart"/>
      <w:r>
        <w:rPr>
          <w:rFonts w:ascii="仿宋" w:eastAsia="仿宋" w:hAnsi="仿宋" w:hint="eastAsia"/>
          <w:kern w:val="0"/>
          <w:sz w:val="28"/>
          <w:szCs w:val="28"/>
        </w:rPr>
        <w:t>有敏虹</w:t>
      </w:r>
      <w:proofErr w:type="gramEnd"/>
      <w:r>
        <w:rPr>
          <w:rFonts w:ascii="仿宋" w:eastAsia="仿宋" w:hAnsi="仿宋" w:hint="eastAsia"/>
          <w:kern w:val="0"/>
          <w:sz w:val="28"/>
          <w:szCs w:val="28"/>
        </w:rPr>
        <w:t>超市、汇佳超市及路边商业零售；医院有长林医院、新余北湖医院；银行有新余农商银行(袁河支行)、中国工商银行、成功村镇银行</w:t>
      </w:r>
      <w:proofErr w:type="gramStart"/>
      <w:r>
        <w:rPr>
          <w:rFonts w:ascii="仿宋" w:eastAsia="仿宋" w:hAnsi="仿宋" w:hint="eastAsia"/>
          <w:kern w:val="0"/>
          <w:sz w:val="28"/>
          <w:szCs w:val="28"/>
        </w:rPr>
        <w:t>仙女湖</w:t>
      </w:r>
      <w:proofErr w:type="gramEnd"/>
      <w:r>
        <w:rPr>
          <w:rFonts w:ascii="仿宋" w:eastAsia="仿宋" w:hAnsi="仿宋" w:hint="eastAsia"/>
          <w:kern w:val="0"/>
          <w:sz w:val="28"/>
          <w:szCs w:val="28"/>
        </w:rPr>
        <w:t>支行等；公园有仰天</w:t>
      </w:r>
      <w:proofErr w:type="gramStart"/>
      <w:r>
        <w:rPr>
          <w:rFonts w:ascii="仿宋" w:eastAsia="仿宋" w:hAnsi="仿宋" w:hint="eastAsia"/>
          <w:kern w:val="0"/>
          <w:sz w:val="28"/>
          <w:szCs w:val="28"/>
        </w:rPr>
        <w:t>岗国家</w:t>
      </w:r>
      <w:proofErr w:type="gramEnd"/>
      <w:r>
        <w:rPr>
          <w:rFonts w:ascii="仿宋" w:eastAsia="仿宋" w:hAnsi="仿宋" w:hint="eastAsia"/>
          <w:kern w:val="0"/>
          <w:sz w:val="28"/>
          <w:szCs w:val="28"/>
        </w:rPr>
        <w:t>森林公园、</w:t>
      </w:r>
      <w:proofErr w:type="gramStart"/>
      <w:r>
        <w:rPr>
          <w:rFonts w:ascii="仿宋" w:eastAsia="仿宋" w:hAnsi="仿宋" w:hint="eastAsia"/>
          <w:kern w:val="0"/>
          <w:sz w:val="28"/>
          <w:szCs w:val="28"/>
        </w:rPr>
        <w:t>凯</w:t>
      </w:r>
      <w:proofErr w:type="gramEnd"/>
      <w:r>
        <w:rPr>
          <w:rFonts w:ascii="仿宋" w:eastAsia="仿宋" w:hAnsi="仿宋" w:hint="eastAsia"/>
          <w:kern w:val="0"/>
          <w:sz w:val="28"/>
          <w:szCs w:val="28"/>
        </w:rPr>
        <w:t>光欢乐谷水公园；游乐场有新余欢乐大世界；酒店有智</w:t>
      </w:r>
      <w:proofErr w:type="gramStart"/>
      <w:r>
        <w:rPr>
          <w:rFonts w:ascii="仿宋" w:eastAsia="仿宋" w:hAnsi="仿宋" w:hint="eastAsia"/>
          <w:kern w:val="0"/>
          <w:sz w:val="28"/>
          <w:szCs w:val="28"/>
        </w:rPr>
        <w:t>汇威斯汀</w:t>
      </w:r>
      <w:proofErr w:type="gramEnd"/>
      <w:r>
        <w:rPr>
          <w:rFonts w:ascii="仿宋" w:eastAsia="仿宋" w:hAnsi="仿宋" w:hint="eastAsia"/>
          <w:kern w:val="0"/>
          <w:sz w:val="28"/>
          <w:szCs w:val="28"/>
        </w:rPr>
        <w:t>国际酒店(新余店)、今口福酒店、新余彩色村度假酒店等；餐饮有一口鲜家乡菜、</w:t>
      </w:r>
      <w:proofErr w:type="gramStart"/>
      <w:r>
        <w:rPr>
          <w:rFonts w:ascii="仿宋" w:eastAsia="仿宋" w:hAnsi="仿宋" w:hint="eastAsia"/>
          <w:kern w:val="0"/>
          <w:sz w:val="28"/>
          <w:szCs w:val="28"/>
        </w:rPr>
        <w:t>好食尚餐厅</w:t>
      </w:r>
      <w:proofErr w:type="gramEnd"/>
      <w:r>
        <w:rPr>
          <w:rFonts w:ascii="仿宋" w:eastAsia="仿宋" w:hAnsi="仿宋" w:hint="eastAsia"/>
          <w:kern w:val="0"/>
          <w:sz w:val="28"/>
          <w:szCs w:val="28"/>
        </w:rPr>
        <w:t>(后街店)、赣南客家餐馆等；公共配套设施较齐全。</w:t>
      </w:r>
    </w:p>
    <w:p w:rsidR="0054446D" w:rsidRDefault="00FB459A">
      <w:pPr>
        <w:pStyle w:val="a9"/>
        <w:adjustRightInd w:val="0"/>
        <w:snapToGrid w:val="0"/>
        <w:spacing w:line="420" w:lineRule="exact"/>
        <w:ind w:firstLineChars="200" w:firstLine="560"/>
        <w:rPr>
          <w:rFonts w:ascii="仿宋" w:eastAsia="仿宋" w:hAnsi="仿宋"/>
          <w:kern w:val="0"/>
          <w:sz w:val="28"/>
          <w:szCs w:val="28"/>
        </w:rPr>
      </w:pPr>
      <w:r>
        <w:rPr>
          <w:rFonts w:ascii="仿宋" w:eastAsia="仿宋" w:hAnsi="仿宋" w:hint="eastAsia"/>
          <w:kern w:val="0"/>
          <w:sz w:val="28"/>
          <w:szCs w:val="28"/>
        </w:rPr>
        <w:t>4、环境条件</w:t>
      </w:r>
    </w:p>
    <w:p w:rsidR="0054446D" w:rsidRDefault="00FB459A">
      <w:pPr>
        <w:pStyle w:val="22"/>
        <w:spacing w:line="420" w:lineRule="exact"/>
      </w:pPr>
      <w:r>
        <w:rPr>
          <w:rFonts w:hint="eastAsia"/>
        </w:rPr>
        <w:t>（1）人文环境</w:t>
      </w:r>
    </w:p>
    <w:p w:rsidR="0054446D" w:rsidRDefault="00FB459A">
      <w:pPr>
        <w:pStyle w:val="a9"/>
        <w:adjustRightInd w:val="0"/>
        <w:snapToGrid w:val="0"/>
        <w:spacing w:line="420" w:lineRule="exact"/>
        <w:ind w:firstLineChars="200" w:firstLine="560"/>
        <w:rPr>
          <w:rFonts w:ascii="仿宋" w:eastAsia="仿宋" w:hAnsi="仿宋"/>
          <w:kern w:val="0"/>
          <w:sz w:val="28"/>
          <w:szCs w:val="28"/>
        </w:rPr>
      </w:pPr>
      <w:r>
        <w:rPr>
          <w:rFonts w:ascii="仿宋" w:eastAsia="仿宋" w:hAnsi="仿宋" w:hint="eastAsia"/>
          <w:kern w:val="0"/>
          <w:sz w:val="28"/>
          <w:szCs w:val="28"/>
        </w:rPr>
        <w:t>渝水境内自然风光与人文景观交相辉映，依山而建构造别致的抱石公园，山水交融、千姿</w:t>
      </w:r>
      <w:proofErr w:type="gramStart"/>
      <w:r>
        <w:rPr>
          <w:rFonts w:ascii="仿宋" w:eastAsia="仿宋" w:hAnsi="仿宋" w:hint="eastAsia"/>
          <w:kern w:val="0"/>
          <w:sz w:val="28"/>
          <w:szCs w:val="28"/>
        </w:rPr>
        <w:t>隽</w:t>
      </w:r>
      <w:proofErr w:type="gramEnd"/>
      <w:r>
        <w:rPr>
          <w:rFonts w:ascii="仿宋" w:eastAsia="仿宋" w:hAnsi="仿宋" w:hint="eastAsia"/>
          <w:kern w:val="0"/>
          <w:sz w:val="28"/>
          <w:szCs w:val="28"/>
        </w:rPr>
        <w:t>异的</w:t>
      </w:r>
      <w:proofErr w:type="gramStart"/>
      <w:r>
        <w:rPr>
          <w:rFonts w:ascii="仿宋" w:eastAsia="仿宋" w:hAnsi="仿宋" w:hint="eastAsia"/>
          <w:kern w:val="0"/>
          <w:sz w:val="28"/>
          <w:szCs w:val="28"/>
        </w:rPr>
        <w:t>仙女湖</w:t>
      </w:r>
      <w:proofErr w:type="gramEnd"/>
      <w:r>
        <w:rPr>
          <w:rFonts w:ascii="仿宋" w:eastAsia="仿宋" w:hAnsi="仿宋" w:hint="eastAsia"/>
          <w:kern w:val="0"/>
          <w:sz w:val="28"/>
          <w:szCs w:val="28"/>
        </w:rPr>
        <w:t>风景名胜区。城北郊的仰天岗森林公园环境优雅，众多名胜古迹、历史遗迹、神话传说、寺院庙宇等吸引八方游客。革命传统教育基地罗</w:t>
      </w:r>
      <w:proofErr w:type="gramStart"/>
      <w:r>
        <w:rPr>
          <w:rFonts w:ascii="仿宋" w:eastAsia="仿宋" w:hAnsi="仿宋" w:hint="eastAsia"/>
          <w:kern w:val="0"/>
          <w:sz w:val="28"/>
          <w:szCs w:val="28"/>
        </w:rPr>
        <w:t>坊会议</w:t>
      </w:r>
      <w:proofErr w:type="gramEnd"/>
      <w:r>
        <w:rPr>
          <w:rFonts w:ascii="仿宋" w:eastAsia="仿宋" w:hAnsi="仿宋" w:hint="eastAsia"/>
          <w:kern w:val="0"/>
          <w:sz w:val="28"/>
          <w:szCs w:val="28"/>
        </w:rPr>
        <w:t>纪念馆，蒙山、百丈峰等一批生态型、休闲型观光度假基地，令人美不胜收，流连忘返。人文环境优。</w:t>
      </w:r>
    </w:p>
    <w:p w:rsidR="0054446D" w:rsidRDefault="00FB459A">
      <w:pPr>
        <w:pStyle w:val="a9"/>
        <w:adjustRightInd w:val="0"/>
        <w:snapToGrid w:val="0"/>
        <w:spacing w:line="420" w:lineRule="exact"/>
        <w:ind w:firstLineChars="200" w:firstLine="560"/>
        <w:rPr>
          <w:rFonts w:ascii="仿宋" w:eastAsia="仿宋" w:hAnsi="仿宋"/>
          <w:kern w:val="0"/>
          <w:sz w:val="28"/>
          <w:szCs w:val="28"/>
        </w:rPr>
      </w:pPr>
      <w:r>
        <w:rPr>
          <w:rFonts w:ascii="仿宋" w:eastAsia="仿宋" w:hAnsi="仿宋" w:hint="eastAsia"/>
          <w:kern w:val="0"/>
          <w:sz w:val="28"/>
          <w:szCs w:val="28"/>
        </w:rPr>
        <w:t>（2）自然环境</w:t>
      </w:r>
    </w:p>
    <w:p w:rsidR="0054446D" w:rsidRDefault="00FB459A">
      <w:pPr>
        <w:pStyle w:val="a9"/>
        <w:adjustRightInd w:val="0"/>
        <w:snapToGrid w:val="0"/>
        <w:spacing w:line="420" w:lineRule="exact"/>
        <w:ind w:firstLineChars="200" w:firstLine="560"/>
        <w:rPr>
          <w:rFonts w:ascii="仿宋" w:eastAsia="仿宋" w:hAnsi="仿宋"/>
          <w:kern w:val="0"/>
          <w:sz w:val="28"/>
          <w:szCs w:val="28"/>
        </w:rPr>
      </w:pPr>
      <w:r>
        <w:rPr>
          <w:rFonts w:ascii="仿宋" w:eastAsia="仿宋" w:hAnsi="仿宋"/>
          <w:kern w:val="0"/>
          <w:sz w:val="28"/>
          <w:szCs w:val="28"/>
        </w:rPr>
        <w:t>渝水区气候四季分明，气候温和，阳光充足，雨量充沛，山川秀丽，土地肥沃，森林覆盖率近50%，无霜期长，寒冬较短，年均匀温17.8</w:t>
      </w:r>
      <w:r>
        <w:rPr>
          <w:rFonts w:ascii="仿宋" w:eastAsia="仿宋" w:hAnsi="仿宋" w:hint="eastAsia"/>
          <w:kern w:val="0"/>
          <w:sz w:val="28"/>
          <w:szCs w:val="28"/>
        </w:rPr>
        <w:t>℃</w:t>
      </w:r>
      <w:r>
        <w:rPr>
          <w:rFonts w:ascii="仿宋" w:eastAsia="仿宋" w:hAnsi="仿宋"/>
          <w:kern w:val="0"/>
          <w:sz w:val="28"/>
          <w:szCs w:val="28"/>
        </w:rPr>
        <w:t>，年降水量1550毫米</w:t>
      </w:r>
      <w:r>
        <w:rPr>
          <w:rFonts w:ascii="仿宋" w:eastAsia="仿宋" w:hAnsi="仿宋" w:hint="eastAsia"/>
          <w:kern w:val="0"/>
          <w:sz w:val="28"/>
          <w:szCs w:val="28"/>
        </w:rPr>
        <w:t>。10月31日,全区细颗粒物PM2.5浓度为30.6微克/立方米,同比上升5.52%,低于国家二级标准值;优良天数比例为97.04%,同比上升1个点。截至9月底,浮桥、</w:t>
      </w:r>
      <w:proofErr w:type="gramStart"/>
      <w:r>
        <w:rPr>
          <w:rFonts w:ascii="仿宋" w:eastAsia="仿宋" w:hAnsi="仿宋" w:hint="eastAsia"/>
          <w:kern w:val="0"/>
          <w:sz w:val="28"/>
          <w:szCs w:val="28"/>
        </w:rPr>
        <w:t>孔目江江口</w:t>
      </w:r>
      <w:proofErr w:type="gramEnd"/>
      <w:r>
        <w:rPr>
          <w:rFonts w:ascii="仿宋" w:eastAsia="仿宋" w:hAnsi="仿宋" w:hint="eastAsia"/>
          <w:kern w:val="0"/>
          <w:sz w:val="28"/>
          <w:szCs w:val="28"/>
        </w:rPr>
        <w:t>、罗坊</w:t>
      </w:r>
      <w:proofErr w:type="gramStart"/>
      <w:r>
        <w:rPr>
          <w:rFonts w:ascii="仿宋" w:eastAsia="仿宋" w:hAnsi="仿宋" w:hint="eastAsia"/>
          <w:kern w:val="0"/>
          <w:sz w:val="28"/>
          <w:szCs w:val="28"/>
        </w:rPr>
        <w:t>3个国考断面</w:t>
      </w:r>
      <w:proofErr w:type="gramEnd"/>
      <w:r>
        <w:rPr>
          <w:rFonts w:ascii="仿宋" w:eastAsia="仿宋" w:hAnsi="仿宋" w:hint="eastAsia"/>
          <w:kern w:val="0"/>
          <w:sz w:val="28"/>
          <w:szCs w:val="28"/>
        </w:rPr>
        <w:t>水质均值达到Ⅲ类标准,其中浮桥、</w:t>
      </w:r>
      <w:proofErr w:type="gramStart"/>
      <w:r>
        <w:rPr>
          <w:rFonts w:ascii="仿宋" w:eastAsia="仿宋" w:hAnsi="仿宋" w:hint="eastAsia"/>
          <w:kern w:val="0"/>
          <w:sz w:val="28"/>
          <w:szCs w:val="28"/>
        </w:rPr>
        <w:t>孔目江江口</w:t>
      </w:r>
      <w:proofErr w:type="gramEnd"/>
      <w:r>
        <w:rPr>
          <w:rFonts w:ascii="仿宋" w:eastAsia="仿宋" w:hAnsi="仿宋" w:hint="eastAsia"/>
          <w:kern w:val="0"/>
          <w:sz w:val="28"/>
          <w:szCs w:val="28"/>
        </w:rPr>
        <w:t>断面水质均值达到Ⅱ类标准;下蒋家、樟树肖家村2个省控断面水质均值达到Ⅱ类标准,水质优良率达100%。自然环境优。</w:t>
      </w:r>
    </w:p>
    <w:p w:rsidR="0054446D" w:rsidRDefault="00FB459A">
      <w:pPr>
        <w:pStyle w:val="22"/>
        <w:spacing w:line="420" w:lineRule="exact"/>
      </w:pPr>
      <w:r>
        <w:rPr>
          <w:rFonts w:hint="eastAsia"/>
        </w:rPr>
        <w:t>5、</w:t>
      </w:r>
      <w:r>
        <w:rPr>
          <w:rFonts w:hint="eastAsia"/>
          <w:szCs w:val="28"/>
        </w:rPr>
        <w:t>商服繁华度</w:t>
      </w:r>
    </w:p>
    <w:p w:rsidR="0054446D" w:rsidRDefault="00FB459A">
      <w:pPr>
        <w:pStyle w:val="22"/>
        <w:spacing w:line="420" w:lineRule="exact"/>
        <w:ind w:firstLineChars="0" w:firstLine="570"/>
      </w:pPr>
      <w:proofErr w:type="gramStart"/>
      <w:r>
        <w:rPr>
          <w:rFonts w:hint="eastAsia"/>
        </w:rPr>
        <w:t>委估宗地</w:t>
      </w:r>
      <w:proofErr w:type="gramEnd"/>
      <w:r>
        <w:rPr>
          <w:rFonts w:hint="eastAsia"/>
        </w:rPr>
        <w:t>周边多为未开发宗地，商服</w:t>
      </w:r>
      <w:r>
        <w:rPr>
          <w:rFonts w:hint="eastAsia"/>
          <w:szCs w:val="28"/>
        </w:rPr>
        <w:t>繁华度较劣</w:t>
      </w:r>
      <w:r>
        <w:rPr>
          <w:rFonts w:hint="eastAsia"/>
        </w:rPr>
        <w:t>。</w:t>
      </w:r>
    </w:p>
    <w:p w:rsidR="0054446D" w:rsidRDefault="00FB459A">
      <w:pPr>
        <w:pStyle w:val="22"/>
        <w:spacing w:line="420" w:lineRule="exact"/>
        <w:ind w:firstLineChars="0" w:firstLine="570"/>
      </w:pPr>
      <w:r>
        <w:rPr>
          <w:rFonts w:hint="eastAsia"/>
        </w:rPr>
        <w:t>6、规划条件</w:t>
      </w:r>
    </w:p>
    <w:p w:rsidR="0054446D" w:rsidRDefault="00FB459A">
      <w:pPr>
        <w:pStyle w:val="a9"/>
        <w:adjustRightInd w:val="0"/>
        <w:snapToGrid w:val="0"/>
        <w:spacing w:line="42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城市规划对宗地所在区域无特殊规划限制条件。</w:t>
      </w:r>
    </w:p>
    <w:p w:rsidR="0054446D" w:rsidRDefault="00FB459A">
      <w:pPr>
        <w:pStyle w:val="22"/>
        <w:spacing w:line="420" w:lineRule="exact"/>
        <w:rPr>
          <w:rFonts w:ascii="仿宋" w:eastAsia="仿宋" w:hAnsi="仿宋" w:cs="宋体-18030"/>
          <w:bCs/>
          <w:szCs w:val="28"/>
        </w:rPr>
      </w:pPr>
      <w:r>
        <w:rPr>
          <w:rFonts w:hint="eastAsia"/>
        </w:rPr>
        <w:t>7、</w:t>
      </w:r>
      <w:r>
        <w:rPr>
          <w:rFonts w:ascii="仿宋" w:eastAsia="仿宋" w:hAnsi="仿宋" w:cs="宋体-18030" w:hint="eastAsia"/>
          <w:bCs/>
          <w:szCs w:val="28"/>
        </w:rPr>
        <w:t>产业聚集度</w:t>
      </w:r>
    </w:p>
    <w:p w:rsidR="0054446D" w:rsidRDefault="00FB459A">
      <w:pPr>
        <w:pStyle w:val="22"/>
        <w:spacing w:line="420" w:lineRule="exact"/>
      </w:pPr>
      <w:proofErr w:type="gramStart"/>
      <w:r>
        <w:rPr>
          <w:rFonts w:hint="eastAsia"/>
        </w:rPr>
        <w:t>委估宗地</w:t>
      </w:r>
      <w:proofErr w:type="gramEnd"/>
      <w:r>
        <w:rPr>
          <w:rFonts w:hint="eastAsia"/>
        </w:rPr>
        <w:t>周边多为未开发宗地，</w:t>
      </w:r>
      <w:r>
        <w:rPr>
          <w:rFonts w:ascii="仿宋" w:eastAsia="仿宋" w:hAnsi="仿宋" w:cs="宋体-18030" w:hint="eastAsia"/>
          <w:bCs/>
          <w:szCs w:val="28"/>
        </w:rPr>
        <w:t>产业聚集度</w:t>
      </w:r>
      <w:r>
        <w:rPr>
          <w:rFonts w:hint="eastAsia"/>
          <w:szCs w:val="28"/>
        </w:rPr>
        <w:t>较劣。</w:t>
      </w:r>
    </w:p>
    <w:p w:rsidR="0054446D" w:rsidRDefault="00FB459A">
      <w:pPr>
        <w:pStyle w:val="22"/>
        <w:spacing w:line="420" w:lineRule="exact"/>
      </w:pPr>
      <w:r>
        <w:rPr>
          <w:rFonts w:hint="eastAsia"/>
        </w:rPr>
        <w:t>8、区域土地利用状况</w:t>
      </w:r>
    </w:p>
    <w:p w:rsidR="0054446D" w:rsidRDefault="00FB459A">
      <w:pPr>
        <w:pStyle w:val="22"/>
        <w:spacing w:line="420" w:lineRule="exact"/>
        <w:ind w:firstLineChars="0" w:firstLine="570"/>
      </w:pPr>
      <w:proofErr w:type="gramStart"/>
      <w:r>
        <w:rPr>
          <w:rFonts w:ascii="仿宋" w:eastAsia="仿宋" w:hAnsi="仿宋" w:hint="eastAsia"/>
        </w:rPr>
        <w:t>待估宗地</w:t>
      </w:r>
      <w:proofErr w:type="gramEnd"/>
      <w:r>
        <w:rPr>
          <w:rFonts w:ascii="仿宋" w:eastAsia="仿宋" w:hAnsi="仿宋" w:hint="eastAsia"/>
        </w:rPr>
        <w:t>用途与周边土地用途、利用状况较协调</w:t>
      </w:r>
      <w:r>
        <w:rPr>
          <w:rFonts w:hint="eastAsia"/>
        </w:rPr>
        <w:t>。</w:t>
      </w:r>
    </w:p>
    <w:p w:rsidR="0054446D" w:rsidRDefault="00FB459A">
      <w:pPr>
        <w:pStyle w:val="22"/>
        <w:spacing w:line="420" w:lineRule="exact"/>
      </w:pPr>
      <w:r>
        <w:rPr>
          <w:rFonts w:hint="eastAsia"/>
        </w:rPr>
        <w:t>9、微观区位说明</w:t>
      </w:r>
    </w:p>
    <w:p w:rsidR="0054446D" w:rsidRDefault="00FB459A">
      <w:pPr>
        <w:pStyle w:val="22"/>
        <w:spacing w:line="420" w:lineRule="exact"/>
      </w:pPr>
      <w:proofErr w:type="gramStart"/>
      <w:r>
        <w:rPr>
          <w:rFonts w:hint="eastAsia"/>
        </w:rPr>
        <w:t>委估宗地</w:t>
      </w:r>
      <w:proofErr w:type="gramEnd"/>
      <w:r>
        <w:rPr>
          <w:rFonts w:hint="eastAsia"/>
        </w:rPr>
        <w:t>位于新余市仰天大道北，随着所在区域相关项目的建成，其区域配套的日益完善，周边地价上涨速度较快。周边及邻近的在建及将要预售的商</w:t>
      </w:r>
      <w:proofErr w:type="gramStart"/>
      <w:r>
        <w:rPr>
          <w:rFonts w:hint="eastAsia"/>
        </w:rPr>
        <w:t>住居住</w:t>
      </w:r>
      <w:proofErr w:type="gramEnd"/>
      <w:r>
        <w:rPr>
          <w:rFonts w:hint="eastAsia"/>
        </w:rPr>
        <w:t>项目较多，将进一步拉高周边项目的价值。</w:t>
      </w:r>
    </w:p>
    <w:p w:rsidR="0054446D" w:rsidRDefault="00FB459A">
      <w:pPr>
        <w:pStyle w:val="22"/>
        <w:spacing w:line="420" w:lineRule="exact"/>
      </w:pPr>
      <w:r>
        <w:rPr>
          <w:rFonts w:hint="eastAsia"/>
        </w:rPr>
        <w:t>综上所述，</w:t>
      </w:r>
      <w:proofErr w:type="gramStart"/>
      <w:r>
        <w:rPr>
          <w:rFonts w:hint="eastAsia"/>
        </w:rPr>
        <w:t>委估宗地</w:t>
      </w:r>
      <w:proofErr w:type="gramEnd"/>
      <w:r>
        <w:rPr>
          <w:rFonts w:hint="eastAsia"/>
        </w:rPr>
        <w:t>位于新余市仰天大道北，地理位置优越，靠近生态公园，适宜开发居住项目，总体来说项目区域因素较优，区域规划较好，区域因素整体对地价的影响是有利的。</w:t>
      </w:r>
    </w:p>
    <w:p w:rsidR="0054446D" w:rsidRDefault="00FB459A">
      <w:pPr>
        <w:spacing w:line="420" w:lineRule="exact"/>
        <w:ind w:firstLineChars="200" w:firstLine="560"/>
        <w:outlineLvl w:val="2"/>
        <w:rPr>
          <w:rFonts w:ascii="仿宋_GB2312" w:eastAsia="仿宋_GB2312"/>
          <w:sz w:val="28"/>
        </w:rPr>
      </w:pPr>
      <w:bookmarkStart w:id="65" w:name="_Toc8280"/>
      <w:bookmarkStart w:id="66" w:name="_Toc6353"/>
      <w:r>
        <w:rPr>
          <w:rFonts w:ascii="仿宋_GB2312" w:eastAsia="仿宋_GB2312" w:hint="eastAsia"/>
          <w:sz w:val="28"/>
        </w:rPr>
        <w:t>（三）个别因素分析</w:t>
      </w:r>
      <w:bookmarkEnd w:id="65"/>
      <w:bookmarkEnd w:id="66"/>
    </w:p>
    <w:p w:rsidR="0054446D" w:rsidRDefault="00FB459A">
      <w:pPr>
        <w:spacing w:line="420" w:lineRule="exact"/>
        <w:ind w:firstLineChars="200" w:firstLine="560"/>
        <w:rPr>
          <w:rFonts w:ascii="仿宋_GB2312" w:eastAsia="仿宋_GB2312"/>
          <w:sz w:val="28"/>
        </w:rPr>
      </w:pPr>
      <w:r>
        <w:rPr>
          <w:rFonts w:ascii="仿宋_GB2312" w:eastAsia="仿宋_GB2312" w:hint="eastAsia"/>
          <w:sz w:val="28"/>
        </w:rPr>
        <w:t>个别因素是指宗地自身的地价影响因素，包括宗地自身的自然条件、开发程度、形状、长度、宽度、面积、规划及土地开发利用限制和宗地临街条件等。</w:t>
      </w:r>
    </w:p>
    <w:p w:rsidR="0054446D" w:rsidRDefault="00FB459A">
      <w:pPr>
        <w:pStyle w:val="20"/>
        <w:rPr>
          <w:rFonts w:ascii="仿宋_GB2312" w:eastAsia="仿宋_GB2312" w:hAnsi="Times New Roman"/>
          <w:sz w:val="28"/>
        </w:rPr>
      </w:pPr>
      <w:proofErr w:type="gramStart"/>
      <w:r>
        <w:rPr>
          <w:rFonts w:ascii="仿宋_GB2312" w:eastAsia="仿宋_GB2312" w:hAnsi="Times New Roman" w:hint="eastAsia"/>
          <w:sz w:val="28"/>
        </w:rPr>
        <w:t>委估宗地</w:t>
      </w:r>
      <w:proofErr w:type="gramEnd"/>
      <w:r>
        <w:rPr>
          <w:rFonts w:ascii="仿宋_GB2312" w:eastAsia="仿宋_GB2312" w:hAnsi="Times New Roman" w:hint="eastAsia"/>
          <w:sz w:val="28"/>
        </w:rPr>
        <w:t>位于新余市仰天大道北，所处区域有北师大公交站，有</w:t>
      </w:r>
      <w:proofErr w:type="gramStart"/>
      <w:r>
        <w:rPr>
          <w:rFonts w:ascii="仿宋_GB2312" w:eastAsia="仿宋_GB2312" w:hAnsi="Times New Roman" w:hint="eastAsia"/>
          <w:sz w:val="28"/>
        </w:rPr>
        <w:t>仙女湖</w:t>
      </w:r>
      <w:proofErr w:type="gramEnd"/>
      <w:r>
        <w:rPr>
          <w:rFonts w:ascii="仿宋_GB2312" w:eastAsia="仿宋_GB2312" w:hAnsi="Times New Roman" w:hint="eastAsia"/>
          <w:sz w:val="28"/>
        </w:rPr>
        <w:t>高铁</w:t>
      </w:r>
      <w:proofErr w:type="gramStart"/>
      <w:r>
        <w:rPr>
          <w:rFonts w:ascii="仿宋_GB2312" w:eastAsia="仿宋_GB2312" w:hAnsi="Times New Roman" w:hint="eastAsia"/>
          <w:sz w:val="28"/>
        </w:rPr>
        <w:t>站旅游</w:t>
      </w:r>
      <w:proofErr w:type="gramEnd"/>
      <w:r>
        <w:rPr>
          <w:rFonts w:ascii="仿宋_GB2312" w:eastAsia="仿宋_GB2312" w:hAnsi="Times New Roman" w:hint="eastAsia"/>
          <w:sz w:val="28"/>
        </w:rPr>
        <w:t>专线停靠；</w:t>
      </w:r>
      <w:r>
        <w:rPr>
          <w:rFonts w:ascii="仿宋_GB2312" w:eastAsia="仿宋_GB2312" w:hAnsi="Times New Roman"/>
          <w:sz w:val="28"/>
        </w:rPr>
        <w:t>周边</w:t>
      </w:r>
      <w:r>
        <w:rPr>
          <w:rFonts w:ascii="仿宋_GB2312" w:eastAsia="仿宋_GB2312" w:hAnsi="Times New Roman" w:hint="eastAsia"/>
          <w:sz w:val="28"/>
        </w:rPr>
        <w:t>幼儿园有应星幼儿园、普林斯顿感统幼儿园三部、钢丝厂幼儿园、幸福尚城幼儿园；小学有新余市西湖小学、</w:t>
      </w:r>
      <w:proofErr w:type="gramStart"/>
      <w:r>
        <w:rPr>
          <w:rFonts w:ascii="仿宋_GB2312" w:eastAsia="仿宋_GB2312" w:hAnsi="Times New Roman" w:hint="eastAsia"/>
          <w:sz w:val="28"/>
        </w:rPr>
        <w:t>凯</w:t>
      </w:r>
      <w:proofErr w:type="gramEnd"/>
      <w:r>
        <w:rPr>
          <w:rFonts w:ascii="仿宋_GB2312" w:eastAsia="仿宋_GB2312" w:hAnsi="Times New Roman" w:hint="eastAsia"/>
          <w:sz w:val="28"/>
        </w:rPr>
        <w:t>光小学、</w:t>
      </w:r>
      <w:proofErr w:type="gramStart"/>
      <w:r>
        <w:rPr>
          <w:rFonts w:ascii="仿宋_GB2312" w:eastAsia="仿宋_GB2312" w:hAnsi="Times New Roman" w:hint="eastAsia"/>
          <w:sz w:val="28"/>
        </w:rPr>
        <w:t>河下逸夫</w:t>
      </w:r>
      <w:proofErr w:type="gramEnd"/>
      <w:r>
        <w:rPr>
          <w:rFonts w:ascii="仿宋_GB2312" w:eastAsia="仿宋_GB2312" w:hAnsi="Times New Roman" w:hint="eastAsia"/>
          <w:sz w:val="28"/>
        </w:rPr>
        <w:t>小学、新余市仙女湖区河下镇中心小学等；中学有北京师范大学新余附属学校、新余市第十三中学、新余市第五中学、新余市实验中学等；商业</w:t>
      </w:r>
      <w:proofErr w:type="gramStart"/>
      <w:r>
        <w:rPr>
          <w:rFonts w:ascii="仿宋_GB2312" w:eastAsia="仿宋_GB2312" w:hAnsi="Times New Roman" w:hint="eastAsia"/>
          <w:sz w:val="28"/>
        </w:rPr>
        <w:t>有敏虹</w:t>
      </w:r>
      <w:proofErr w:type="gramEnd"/>
      <w:r>
        <w:rPr>
          <w:rFonts w:ascii="仿宋_GB2312" w:eastAsia="仿宋_GB2312" w:hAnsi="Times New Roman" w:hint="eastAsia"/>
          <w:sz w:val="28"/>
        </w:rPr>
        <w:t>超市、汇佳超市及路边商业零售；医院有长林医院、新余北湖医院；银行有新余农商银行(袁河支行)、中国工商银行、成功村镇银行</w:t>
      </w:r>
      <w:proofErr w:type="gramStart"/>
      <w:r>
        <w:rPr>
          <w:rFonts w:ascii="仿宋_GB2312" w:eastAsia="仿宋_GB2312" w:hAnsi="Times New Roman" w:hint="eastAsia"/>
          <w:sz w:val="28"/>
        </w:rPr>
        <w:t>仙女湖</w:t>
      </w:r>
      <w:proofErr w:type="gramEnd"/>
      <w:r>
        <w:rPr>
          <w:rFonts w:ascii="仿宋_GB2312" w:eastAsia="仿宋_GB2312" w:hAnsi="Times New Roman" w:hint="eastAsia"/>
          <w:sz w:val="28"/>
        </w:rPr>
        <w:t>支行等；公园有仰天</w:t>
      </w:r>
      <w:proofErr w:type="gramStart"/>
      <w:r>
        <w:rPr>
          <w:rFonts w:ascii="仿宋_GB2312" w:eastAsia="仿宋_GB2312" w:hAnsi="Times New Roman" w:hint="eastAsia"/>
          <w:sz w:val="28"/>
        </w:rPr>
        <w:t>岗国家</w:t>
      </w:r>
      <w:proofErr w:type="gramEnd"/>
      <w:r>
        <w:rPr>
          <w:rFonts w:ascii="仿宋_GB2312" w:eastAsia="仿宋_GB2312" w:hAnsi="Times New Roman" w:hint="eastAsia"/>
          <w:sz w:val="28"/>
        </w:rPr>
        <w:t>森林公园、</w:t>
      </w:r>
      <w:proofErr w:type="gramStart"/>
      <w:r>
        <w:rPr>
          <w:rFonts w:ascii="仿宋_GB2312" w:eastAsia="仿宋_GB2312" w:hAnsi="Times New Roman" w:hint="eastAsia"/>
          <w:sz w:val="28"/>
        </w:rPr>
        <w:t>凯</w:t>
      </w:r>
      <w:proofErr w:type="gramEnd"/>
      <w:r>
        <w:rPr>
          <w:rFonts w:ascii="仿宋_GB2312" w:eastAsia="仿宋_GB2312" w:hAnsi="Times New Roman" w:hint="eastAsia"/>
          <w:sz w:val="28"/>
        </w:rPr>
        <w:t>光欢乐谷水公园；游乐场有新余欢乐大世界；酒店有智</w:t>
      </w:r>
      <w:proofErr w:type="gramStart"/>
      <w:r>
        <w:rPr>
          <w:rFonts w:ascii="仿宋_GB2312" w:eastAsia="仿宋_GB2312" w:hAnsi="Times New Roman" w:hint="eastAsia"/>
          <w:sz w:val="28"/>
        </w:rPr>
        <w:t>汇威斯汀</w:t>
      </w:r>
      <w:proofErr w:type="gramEnd"/>
      <w:r>
        <w:rPr>
          <w:rFonts w:ascii="仿宋_GB2312" w:eastAsia="仿宋_GB2312" w:hAnsi="Times New Roman" w:hint="eastAsia"/>
          <w:sz w:val="28"/>
        </w:rPr>
        <w:t>国际酒店(新余店)、今口福酒店、新余彩色村度假酒店等；餐饮有一口鲜家乡菜、</w:t>
      </w:r>
      <w:proofErr w:type="gramStart"/>
      <w:r>
        <w:rPr>
          <w:rFonts w:ascii="仿宋_GB2312" w:eastAsia="仿宋_GB2312" w:hAnsi="Times New Roman" w:hint="eastAsia"/>
          <w:sz w:val="28"/>
        </w:rPr>
        <w:t>好食尚餐厅</w:t>
      </w:r>
      <w:proofErr w:type="gramEnd"/>
      <w:r>
        <w:rPr>
          <w:rFonts w:ascii="仿宋_GB2312" w:eastAsia="仿宋_GB2312" w:hAnsi="Times New Roman" w:hint="eastAsia"/>
          <w:sz w:val="28"/>
        </w:rPr>
        <w:t>(后街店)、赣南客家餐馆等。</w:t>
      </w:r>
      <w:proofErr w:type="gramStart"/>
      <w:r>
        <w:rPr>
          <w:rFonts w:ascii="仿宋_GB2312" w:eastAsia="仿宋_GB2312" w:hAnsi="Times New Roman" w:hint="eastAsia"/>
          <w:sz w:val="28"/>
        </w:rPr>
        <w:t>委估宗地</w:t>
      </w:r>
      <w:proofErr w:type="gramEnd"/>
      <w:r>
        <w:rPr>
          <w:rFonts w:ascii="仿宋_GB2312" w:eastAsia="仿宋_GB2312" w:hAnsi="Times New Roman" w:hint="eastAsia"/>
          <w:sz w:val="28"/>
        </w:rPr>
        <w:t>周边配套较完善，该区域生活配套设施较齐全，商住氛围一般，交通便利度一般。</w:t>
      </w:r>
    </w:p>
    <w:p w:rsidR="0054446D" w:rsidRDefault="00FB459A">
      <w:pPr>
        <w:spacing w:line="420" w:lineRule="exact"/>
        <w:ind w:firstLineChars="200" w:firstLine="560"/>
        <w:rPr>
          <w:rFonts w:ascii="仿宋_GB2312" w:eastAsia="仿宋_GB2312"/>
          <w:sz w:val="28"/>
        </w:rPr>
      </w:pPr>
      <w:r>
        <w:rPr>
          <w:rFonts w:ascii="仿宋_GB2312" w:eastAsia="仿宋_GB2312" w:hint="eastAsia"/>
          <w:sz w:val="28"/>
        </w:rPr>
        <w:t>1、面积、形状：估价对象用地面积为共计59897.52平方米</w:t>
      </w:r>
      <w:r>
        <w:rPr>
          <w:rFonts w:ascii="仿宋_GB2312" w:eastAsia="仿宋_GB2312" w:hAnsi="宋体" w:cs="宋体" w:hint="eastAsia"/>
          <w:bCs/>
          <w:sz w:val="28"/>
        </w:rPr>
        <w:t>，</w:t>
      </w:r>
      <w:r>
        <w:rPr>
          <w:rFonts w:ascii="仿宋_GB2312" w:eastAsia="仿宋_GB2312" w:hint="eastAsia"/>
          <w:sz w:val="28"/>
        </w:rPr>
        <w:t>面积较利于利用，宗地形状呈规则四边形；</w:t>
      </w:r>
    </w:p>
    <w:p w:rsidR="0054446D" w:rsidRDefault="00FB459A">
      <w:pPr>
        <w:spacing w:line="420" w:lineRule="exact"/>
        <w:ind w:firstLine="540"/>
        <w:rPr>
          <w:rFonts w:ascii="仿宋_GB2312" w:eastAsia="仿宋_GB2312"/>
          <w:sz w:val="28"/>
        </w:rPr>
      </w:pPr>
      <w:r>
        <w:rPr>
          <w:rFonts w:ascii="仿宋_GB2312" w:eastAsia="仿宋_GB2312" w:hint="eastAsia"/>
          <w:sz w:val="28"/>
        </w:rPr>
        <w:t>2、位置及临路状况：</w:t>
      </w:r>
      <w:proofErr w:type="gramStart"/>
      <w:r>
        <w:rPr>
          <w:rFonts w:ascii="仿宋_GB2312" w:eastAsia="仿宋_GB2312" w:hint="eastAsia"/>
          <w:sz w:val="28"/>
        </w:rPr>
        <w:t>委估宗地</w:t>
      </w:r>
      <w:proofErr w:type="gramEnd"/>
      <w:r>
        <w:rPr>
          <w:rFonts w:ascii="仿宋_GB2312" w:eastAsia="仿宋_GB2312" w:hint="eastAsia"/>
          <w:sz w:val="28"/>
        </w:rPr>
        <w:t>位于</w:t>
      </w:r>
      <w:r>
        <w:rPr>
          <w:rFonts w:ascii="仿宋_GB2312" w:eastAsia="仿宋_GB2312" w:hint="eastAsia"/>
          <w:bCs/>
          <w:sz w:val="28"/>
        </w:rPr>
        <w:t>江西省新余市仰天大道以北</w:t>
      </w:r>
      <w:r>
        <w:rPr>
          <w:rFonts w:ascii="仿宋_GB2312" w:eastAsia="仿宋_GB2312" w:hint="eastAsia"/>
          <w:sz w:val="28"/>
        </w:rPr>
        <w:t>，宗地</w:t>
      </w:r>
      <w:r>
        <w:rPr>
          <w:rFonts w:ascii="仿宋_GB2312" w:eastAsia="仿宋_GB2312" w:hint="eastAsia"/>
          <w:sz w:val="28"/>
          <w:szCs w:val="22"/>
        </w:rPr>
        <w:t>东至规划路；南至支路及北京师范大学新余附属学校；西</w:t>
      </w:r>
      <w:proofErr w:type="gramStart"/>
      <w:r>
        <w:rPr>
          <w:rFonts w:ascii="仿宋_GB2312" w:eastAsia="仿宋_GB2312" w:hint="eastAsia"/>
          <w:sz w:val="28"/>
          <w:szCs w:val="22"/>
        </w:rPr>
        <w:t>至规划</w:t>
      </w:r>
      <w:proofErr w:type="gramEnd"/>
      <w:r>
        <w:rPr>
          <w:rFonts w:ascii="仿宋_GB2312" w:eastAsia="仿宋_GB2312" w:hint="eastAsia"/>
          <w:sz w:val="28"/>
          <w:szCs w:val="22"/>
        </w:rPr>
        <w:t>路；北至规划路</w:t>
      </w:r>
      <w:r>
        <w:rPr>
          <w:rFonts w:ascii="仿宋_GB2312" w:eastAsia="仿宋_GB2312" w:hint="eastAsia"/>
          <w:sz w:val="28"/>
        </w:rPr>
        <w:t>。</w:t>
      </w:r>
    </w:p>
    <w:p w:rsidR="0054446D" w:rsidRDefault="00FB459A">
      <w:pPr>
        <w:spacing w:line="420" w:lineRule="exact"/>
        <w:ind w:firstLine="540"/>
        <w:rPr>
          <w:rFonts w:ascii="仿宋_GB2312" w:eastAsia="仿宋_GB2312"/>
          <w:sz w:val="28"/>
        </w:rPr>
      </w:pPr>
      <w:r>
        <w:rPr>
          <w:rFonts w:ascii="仿宋_GB2312" w:eastAsia="仿宋_GB2312" w:hint="eastAsia"/>
          <w:sz w:val="28"/>
        </w:rPr>
        <w:t>3、最合理和最有效利用用途：估价对象规划用途为</w:t>
      </w:r>
      <w:r>
        <w:rPr>
          <w:rFonts w:ascii="仿宋_GB2312" w:eastAsia="仿宋_GB2312" w:hAnsi="宋体" w:cs="宋体" w:hint="eastAsia"/>
          <w:sz w:val="28"/>
        </w:rPr>
        <w:t>住宅用地</w:t>
      </w:r>
      <w:r>
        <w:rPr>
          <w:rFonts w:ascii="仿宋_GB2312" w:eastAsia="仿宋_GB2312" w:hint="eastAsia"/>
          <w:sz w:val="28"/>
        </w:rPr>
        <w:t>，结合宗地所在区位和本身条件来考虑，根据评估合法性原则和最有效利用原则，确定</w:t>
      </w:r>
      <w:r>
        <w:rPr>
          <w:rFonts w:ascii="仿宋_GB2312" w:eastAsia="仿宋_GB2312" w:hAnsi="宋体" w:cs="宋体" w:hint="eastAsia"/>
          <w:sz w:val="28"/>
        </w:rPr>
        <w:t>住宅用地</w:t>
      </w:r>
      <w:r>
        <w:rPr>
          <w:rFonts w:ascii="仿宋_GB2312" w:eastAsia="仿宋_GB2312" w:hint="eastAsia"/>
          <w:sz w:val="28"/>
        </w:rPr>
        <w:t>为该宗地的最有效利用方式；</w:t>
      </w:r>
    </w:p>
    <w:p w:rsidR="0054446D" w:rsidRDefault="00FB459A">
      <w:pPr>
        <w:spacing w:line="420" w:lineRule="exact"/>
        <w:ind w:firstLineChars="200" w:firstLine="560"/>
        <w:rPr>
          <w:rFonts w:ascii="仿宋_GB2312" w:eastAsia="仿宋_GB2312" w:hAnsi="宋体" w:cs="宋体"/>
          <w:sz w:val="28"/>
          <w:szCs w:val="28"/>
        </w:rPr>
      </w:pPr>
      <w:r>
        <w:rPr>
          <w:rFonts w:ascii="仿宋_GB2312" w:eastAsia="仿宋_GB2312" w:hint="eastAsia"/>
          <w:sz w:val="28"/>
        </w:rPr>
        <w:t>4、土地开发程度及利用现状：</w:t>
      </w:r>
      <w:proofErr w:type="gramStart"/>
      <w:r>
        <w:rPr>
          <w:rFonts w:ascii="仿宋_GB2312" w:eastAsia="仿宋_GB2312" w:hint="eastAsia"/>
          <w:sz w:val="28"/>
        </w:rPr>
        <w:t>委估宗地</w:t>
      </w:r>
      <w:proofErr w:type="gramEnd"/>
      <w:r>
        <w:rPr>
          <w:rFonts w:ascii="仿宋_GB2312" w:eastAsia="仿宋_GB2312" w:hint="eastAsia"/>
          <w:sz w:val="28"/>
        </w:rPr>
        <w:t>现状为待开发建设用地</w:t>
      </w:r>
      <w:r>
        <w:rPr>
          <w:rFonts w:ascii="仿宋" w:eastAsia="仿宋" w:hAnsi="仿宋" w:hint="eastAsia"/>
          <w:kern w:val="0"/>
          <w:sz w:val="28"/>
          <w:szCs w:val="28"/>
        </w:rPr>
        <w:t>，</w:t>
      </w:r>
      <w:r>
        <w:rPr>
          <w:rFonts w:ascii="仿宋_GB2312" w:eastAsia="仿宋_GB2312" w:hint="eastAsia"/>
          <w:sz w:val="28"/>
        </w:rPr>
        <w:t>至估价期日，</w:t>
      </w:r>
      <w:proofErr w:type="gramStart"/>
      <w:r>
        <w:rPr>
          <w:rFonts w:ascii="仿宋_GB2312" w:eastAsia="仿宋_GB2312" w:hint="eastAsia"/>
          <w:sz w:val="28"/>
        </w:rPr>
        <w:t>委估宗地</w:t>
      </w:r>
      <w:proofErr w:type="gramEnd"/>
      <w:r>
        <w:rPr>
          <w:rFonts w:ascii="仿宋_GB2312" w:eastAsia="仿宋_GB2312" w:hint="eastAsia"/>
          <w:sz w:val="28"/>
        </w:rPr>
        <w:t>土地开发程度为宗地外“六通”（通路、通电、通讯、供水、排水、通气）及红线内场地未平整</w:t>
      </w:r>
      <w:r>
        <w:rPr>
          <w:rFonts w:ascii="仿宋_GB2312" w:eastAsia="仿宋_GB2312" w:hAnsi="宋体" w:cs="宋体" w:hint="eastAsia"/>
          <w:sz w:val="28"/>
          <w:szCs w:val="28"/>
        </w:rPr>
        <w:t>。</w:t>
      </w:r>
    </w:p>
    <w:p w:rsidR="0054446D" w:rsidRDefault="00FB459A">
      <w:pPr>
        <w:spacing w:line="420" w:lineRule="exact"/>
        <w:ind w:firstLine="540"/>
        <w:rPr>
          <w:rFonts w:ascii="仿宋_GB2312" w:eastAsia="仿宋_GB2312"/>
          <w:sz w:val="28"/>
        </w:rPr>
      </w:pPr>
      <w:r>
        <w:rPr>
          <w:rFonts w:ascii="仿宋_GB2312" w:eastAsia="仿宋_GB2312" w:hint="eastAsia"/>
          <w:sz w:val="28"/>
        </w:rPr>
        <w:t>5、使用年限：</w:t>
      </w:r>
      <w:r>
        <w:rPr>
          <w:rFonts w:ascii="仿宋_GB2312" w:eastAsia="仿宋_GB2312" w:hAnsi="宋体" w:hint="eastAsia"/>
          <w:sz w:val="28"/>
        </w:rPr>
        <w:t>根据委托人提供的根据委托人提供的《不动产产权情况表》[业务号：HT201207170041]记载，</w:t>
      </w:r>
      <w:proofErr w:type="gramStart"/>
      <w:r>
        <w:rPr>
          <w:rFonts w:ascii="仿宋_GB2312" w:eastAsia="仿宋_GB2312" w:hAnsi="宋体" w:hint="eastAsia"/>
          <w:sz w:val="28"/>
        </w:rPr>
        <w:t>委估宗地</w:t>
      </w:r>
      <w:proofErr w:type="gramEnd"/>
      <w:r>
        <w:rPr>
          <w:rFonts w:ascii="仿宋_GB2312" w:eastAsia="仿宋_GB2312" w:hAnsi="宋体" w:hint="eastAsia"/>
          <w:sz w:val="28"/>
        </w:rPr>
        <w:t>土地用途为住宅用地，</w:t>
      </w:r>
      <w:r>
        <w:rPr>
          <w:rFonts w:ascii="仿宋_GB2312" w:eastAsia="仿宋_GB2312" w:hint="eastAsia"/>
          <w:sz w:val="28"/>
        </w:rPr>
        <w:t>终止日期为2080年02月17日。</w:t>
      </w:r>
      <w:r>
        <w:rPr>
          <w:rFonts w:ascii="仿宋_GB2312" w:eastAsia="仿宋_GB2312" w:hAnsi="宋体" w:hint="eastAsia"/>
          <w:sz w:val="28"/>
        </w:rPr>
        <w:t>至估价期日，宗地</w:t>
      </w:r>
      <w:r>
        <w:rPr>
          <w:rFonts w:ascii="仿宋_GB2312" w:eastAsia="仿宋_GB2312" w:hAnsi="宋体" w:cs="宋体" w:hint="eastAsia"/>
          <w:sz w:val="28"/>
        </w:rPr>
        <w:t>使用权</w:t>
      </w:r>
      <w:r>
        <w:rPr>
          <w:rFonts w:ascii="仿宋_GB2312" w:eastAsia="仿宋_GB2312" w:hAnsi="宋体" w:hint="eastAsia"/>
          <w:sz w:val="28"/>
        </w:rPr>
        <w:t>剩余土地使用权年限为57.77年。故本次估价设定宗地剩余土地使用权年限为57.77年；</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6、地质、地形及地势：估价对象</w:t>
      </w:r>
      <w:r>
        <w:rPr>
          <w:rFonts w:ascii="仿宋_GB2312" w:eastAsia="仿宋_GB2312" w:hAnsi="宋体" w:cs="宋体" w:hint="eastAsia"/>
          <w:sz w:val="28"/>
        </w:rPr>
        <w:t>地势较平坦，</w:t>
      </w:r>
      <w:r>
        <w:rPr>
          <w:rFonts w:ascii="仿宋_GB2312" w:eastAsia="仿宋_GB2312" w:hint="eastAsia"/>
          <w:sz w:val="28"/>
          <w:szCs w:val="28"/>
        </w:rPr>
        <w:t>与周边土地基本一致，</w:t>
      </w:r>
      <w:r>
        <w:rPr>
          <w:rFonts w:ascii="仿宋_GB2312" w:eastAsia="仿宋_GB2312" w:hAnsi="宋体" w:cs="宋体" w:hint="eastAsia"/>
          <w:sz w:val="28"/>
        </w:rPr>
        <w:t>坡度小于3%，地质条件较好；</w:t>
      </w:r>
    </w:p>
    <w:p w:rsidR="0054446D" w:rsidRDefault="00FB459A">
      <w:pPr>
        <w:spacing w:line="420" w:lineRule="exact"/>
        <w:ind w:firstLine="539"/>
        <w:rPr>
          <w:rFonts w:ascii="仿宋_GB2312" w:eastAsia="仿宋_GB2312"/>
          <w:sz w:val="28"/>
        </w:rPr>
      </w:pPr>
      <w:r>
        <w:rPr>
          <w:rFonts w:ascii="仿宋_GB2312" w:eastAsia="仿宋_GB2312" w:hint="eastAsia"/>
          <w:sz w:val="28"/>
          <w:szCs w:val="28"/>
        </w:rPr>
        <w:t>7、水文地质条件：经现场勘查和调查，</w:t>
      </w:r>
      <w:r>
        <w:rPr>
          <w:rFonts w:ascii="仿宋_GB2312" w:eastAsia="仿宋_GB2312" w:hAnsi="宋体" w:cs="宋体" w:hint="eastAsia"/>
          <w:sz w:val="28"/>
        </w:rPr>
        <w:t>未发现有不良地质条件</w:t>
      </w:r>
      <w:r>
        <w:rPr>
          <w:rFonts w:ascii="仿宋_GB2312" w:eastAsia="仿宋_GB2312" w:hint="eastAsia"/>
          <w:sz w:val="28"/>
          <w:szCs w:val="28"/>
        </w:rPr>
        <w:t>，近年来也未发生水浸水</w:t>
      </w:r>
      <w:proofErr w:type="gramStart"/>
      <w:r>
        <w:rPr>
          <w:rFonts w:ascii="仿宋_GB2312" w:eastAsia="仿宋_GB2312" w:hint="eastAsia"/>
          <w:sz w:val="28"/>
          <w:szCs w:val="28"/>
        </w:rPr>
        <w:t>淹</w:t>
      </w:r>
      <w:proofErr w:type="gramEnd"/>
      <w:r>
        <w:rPr>
          <w:rFonts w:ascii="仿宋_GB2312" w:eastAsia="仿宋_GB2312" w:hint="eastAsia"/>
          <w:sz w:val="28"/>
          <w:szCs w:val="28"/>
        </w:rPr>
        <w:t>情况</w:t>
      </w:r>
      <w:r>
        <w:rPr>
          <w:rFonts w:ascii="仿宋_GB2312" w:eastAsia="仿宋_GB2312" w:hint="eastAsia"/>
          <w:sz w:val="28"/>
        </w:rPr>
        <w:t>；</w:t>
      </w:r>
    </w:p>
    <w:p w:rsidR="0054446D" w:rsidRDefault="00FB459A">
      <w:pPr>
        <w:spacing w:line="420" w:lineRule="exact"/>
        <w:ind w:firstLineChars="200" w:firstLine="560"/>
        <w:rPr>
          <w:rFonts w:ascii="仿宋_GB2312" w:eastAsia="仿宋_GB2312"/>
          <w:sz w:val="28"/>
        </w:rPr>
      </w:pPr>
      <w:r>
        <w:rPr>
          <w:rFonts w:ascii="仿宋_GB2312" w:eastAsia="仿宋_GB2312" w:hint="eastAsia"/>
          <w:sz w:val="28"/>
          <w:szCs w:val="28"/>
        </w:rPr>
        <w:t>8、规划条件：</w:t>
      </w:r>
      <w:r>
        <w:rPr>
          <w:rFonts w:ascii="仿宋_GB2312" w:eastAsia="仿宋_GB2312" w:hAnsi="宋体" w:hint="eastAsia"/>
          <w:sz w:val="28"/>
        </w:rPr>
        <w:t>根据委托人提供的《国有建设用地使用权出让合同》[电子监管号：3605002011B01585]、《关于纬二路以北、经三路以东W-09-04号地块的规划条件》[编号：余规条2011-006]记载，估价对象容积率为1≤FAR≤2。主体建筑物性质为住宅楼，建筑总面积119795平方米，建筑限高45米，建筑密度不高于24%，绿地率不低于45%。其余土地利用要求按《余规条2011-006》执行。一是宗地内需布置一所6班幼托；二是按建筑总面积的1.5‰比例配置社区用房、5‰配置物业管理用房；三是住宅按不少于0.5</w:t>
      </w:r>
      <w:proofErr w:type="gramStart"/>
      <w:r>
        <w:rPr>
          <w:rFonts w:ascii="仿宋_GB2312" w:eastAsia="仿宋_GB2312" w:hAnsi="宋体" w:hint="eastAsia"/>
          <w:sz w:val="28"/>
        </w:rPr>
        <w:t>各</w:t>
      </w:r>
      <w:proofErr w:type="gramEnd"/>
      <w:r>
        <w:rPr>
          <w:rFonts w:ascii="仿宋_GB2312" w:eastAsia="仿宋_GB2312" w:hAnsi="宋体" w:hint="eastAsia"/>
          <w:sz w:val="28"/>
        </w:rPr>
        <w:t>车位/户配置停车位。根据合法原则及最有效利用原则，本次评估设定宗地的容积率为2，建筑密度为24%，绿地率为45%</w:t>
      </w:r>
      <w:r>
        <w:rPr>
          <w:rFonts w:ascii="仿宋_GB2312" w:eastAsia="仿宋_GB2312" w:hint="eastAsia"/>
          <w:sz w:val="28"/>
          <w:szCs w:val="28"/>
        </w:rPr>
        <w:t>。</w:t>
      </w:r>
    </w:p>
    <w:p w:rsidR="0054446D" w:rsidRDefault="00FB459A">
      <w:pPr>
        <w:spacing w:line="420" w:lineRule="exact"/>
        <w:ind w:firstLineChars="200" w:firstLine="560"/>
        <w:outlineLvl w:val="2"/>
        <w:rPr>
          <w:rFonts w:ascii="仿宋" w:eastAsia="仿宋" w:hAnsi="仿宋" w:cs="仿宋"/>
          <w:sz w:val="28"/>
        </w:rPr>
      </w:pPr>
      <w:r>
        <w:rPr>
          <w:rFonts w:ascii="仿宋_GB2312" w:eastAsia="仿宋_GB2312" w:hint="eastAsia"/>
          <w:sz w:val="28"/>
        </w:rPr>
        <w:t>个别因素分析结论：</w:t>
      </w:r>
      <w:proofErr w:type="gramStart"/>
      <w:r>
        <w:rPr>
          <w:rFonts w:ascii="仿宋_GB2312" w:eastAsia="仿宋_GB2312" w:hint="eastAsia"/>
          <w:sz w:val="28"/>
        </w:rPr>
        <w:t>委估宗地</w:t>
      </w:r>
      <w:proofErr w:type="gramEnd"/>
      <w:r>
        <w:rPr>
          <w:rFonts w:ascii="仿宋_GB2312" w:eastAsia="仿宋_GB2312" w:hint="eastAsia"/>
          <w:sz w:val="28"/>
        </w:rPr>
        <w:t>地质、地形、地势情况良好。</w:t>
      </w:r>
      <w:proofErr w:type="gramStart"/>
      <w:r>
        <w:rPr>
          <w:rFonts w:ascii="仿宋_GB2312" w:eastAsia="仿宋_GB2312" w:hint="eastAsia"/>
          <w:sz w:val="28"/>
        </w:rPr>
        <w:t>宗地待估形状</w:t>
      </w:r>
      <w:proofErr w:type="gramEnd"/>
      <w:r>
        <w:rPr>
          <w:rFonts w:ascii="仿宋_GB2312" w:eastAsia="仿宋_GB2312" w:hint="eastAsia"/>
          <w:sz w:val="28"/>
        </w:rPr>
        <w:t>为较规则四边形，容积率设定为2，适合开发</w:t>
      </w:r>
      <w:r>
        <w:rPr>
          <w:rFonts w:ascii="仿宋" w:eastAsia="仿宋" w:hAnsi="仿宋" w:cs="仿宋" w:hint="eastAsia"/>
          <w:sz w:val="28"/>
        </w:rPr>
        <w:t>。</w:t>
      </w:r>
    </w:p>
    <w:p w:rsidR="0054446D" w:rsidRDefault="0054446D">
      <w:pPr>
        <w:spacing w:line="420" w:lineRule="exact"/>
        <w:ind w:firstLineChars="200" w:firstLine="560"/>
        <w:rPr>
          <w:rFonts w:ascii="仿宋" w:eastAsia="仿宋" w:hAnsi="仿宋" w:cs="仿宋"/>
          <w:sz w:val="28"/>
        </w:rPr>
      </w:pPr>
    </w:p>
    <w:p w:rsidR="0054446D" w:rsidRDefault="0054446D">
      <w:pPr>
        <w:pStyle w:val="ab"/>
        <w:rPr>
          <w:rFonts w:ascii="仿宋" w:eastAsia="仿宋" w:hAnsi="仿宋" w:cs="仿宋"/>
          <w:sz w:val="28"/>
        </w:rPr>
      </w:pPr>
    </w:p>
    <w:p w:rsidR="0054446D" w:rsidRDefault="00FB459A">
      <w:pPr>
        <w:widowControl/>
        <w:jc w:val="left"/>
        <w:rPr>
          <w:rFonts w:ascii="仿宋" w:eastAsia="仿宋" w:hAnsi="仿宋" w:cs="仿宋"/>
          <w:sz w:val="28"/>
        </w:rPr>
      </w:pPr>
      <w:r>
        <w:rPr>
          <w:rFonts w:ascii="仿宋" w:eastAsia="仿宋" w:hAnsi="仿宋" w:cs="仿宋"/>
          <w:sz w:val="28"/>
        </w:rPr>
        <w:br w:type="page"/>
      </w:r>
    </w:p>
    <w:p w:rsidR="0054446D" w:rsidRDefault="0054446D">
      <w:pPr>
        <w:spacing w:line="420" w:lineRule="exact"/>
        <w:jc w:val="center"/>
        <w:rPr>
          <w:rFonts w:ascii="仿宋" w:eastAsia="仿宋" w:hAnsi="仿宋" w:cs="仿宋"/>
          <w:b/>
          <w:sz w:val="32"/>
          <w:szCs w:val="32"/>
        </w:rPr>
      </w:pPr>
    </w:p>
    <w:p w:rsidR="0054446D" w:rsidRDefault="00FB459A">
      <w:pPr>
        <w:spacing w:line="420" w:lineRule="exact"/>
        <w:jc w:val="center"/>
        <w:rPr>
          <w:rFonts w:ascii="仿宋" w:eastAsia="仿宋" w:hAnsi="仿宋" w:cs="仿宋"/>
          <w:b/>
          <w:sz w:val="32"/>
          <w:szCs w:val="32"/>
        </w:rPr>
      </w:pPr>
      <w:r>
        <w:rPr>
          <w:rFonts w:ascii="仿宋" w:eastAsia="仿宋" w:hAnsi="仿宋" w:cs="仿宋" w:hint="eastAsia"/>
          <w:b/>
          <w:sz w:val="32"/>
          <w:szCs w:val="32"/>
        </w:rPr>
        <w:t>第三部分土地估价</w:t>
      </w:r>
      <w:bookmarkEnd w:id="54"/>
      <w:bookmarkEnd w:id="55"/>
      <w:bookmarkEnd w:id="56"/>
    </w:p>
    <w:p w:rsidR="0054446D" w:rsidRDefault="00FB459A">
      <w:pPr>
        <w:spacing w:line="360" w:lineRule="auto"/>
        <w:outlineLvl w:val="1"/>
        <w:rPr>
          <w:rFonts w:ascii="仿宋" w:eastAsia="仿宋" w:hAnsi="仿宋" w:cs="仿宋"/>
          <w:b/>
          <w:bCs/>
          <w:sz w:val="28"/>
          <w:szCs w:val="28"/>
        </w:rPr>
      </w:pPr>
      <w:bookmarkStart w:id="67" w:name="_Toc13267"/>
      <w:bookmarkStart w:id="68" w:name="_Toc8867"/>
      <w:bookmarkStart w:id="69" w:name="_Toc225494994"/>
      <w:r>
        <w:rPr>
          <w:rFonts w:ascii="仿宋" w:eastAsia="仿宋" w:hAnsi="仿宋" w:cs="仿宋" w:hint="eastAsia"/>
          <w:b/>
          <w:bCs/>
          <w:sz w:val="28"/>
          <w:szCs w:val="28"/>
        </w:rPr>
        <w:t>一、估价原则</w:t>
      </w:r>
      <w:bookmarkEnd w:id="67"/>
      <w:bookmarkEnd w:id="68"/>
      <w:bookmarkEnd w:id="69"/>
    </w:p>
    <w:p w:rsidR="0054446D" w:rsidRDefault="00FB459A">
      <w:pPr>
        <w:spacing w:line="420" w:lineRule="exact"/>
        <w:ind w:firstLineChars="150" w:firstLine="420"/>
        <w:rPr>
          <w:rFonts w:ascii="仿宋" w:eastAsia="仿宋" w:hAnsi="仿宋" w:cs="仿宋"/>
          <w:sz w:val="28"/>
        </w:rPr>
      </w:pPr>
      <w:bookmarkStart w:id="70" w:name="_Toc26637"/>
      <w:bookmarkStart w:id="71" w:name="_Toc18309"/>
      <w:r>
        <w:rPr>
          <w:rFonts w:ascii="仿宋" w:eastAsia="仿宋" w:hAnsi="仿宋" w:cs="仿宋" w:hint="eastAsia"/>
          <w:sz w:val="28"/>
        </w:rPr>
        <w:t>针对</w:t>
      </w:r>
      <w:proofErr w:type="gramStart"/>
      <w:r>
        <w:rPr>
          <w:rFonts w:ascii="仿宋" w:eastAsia="仿宋" w:hAnsi="仿宋" w:cs="仿宋" w:hint="eastAsia"/>
          <w:sz w:val="28"/>
        </w:rPr>
        <w:t>委估项目</w:t>
      </w:r>
      <w:proofErr w:type="gramEnd"/>
      <w:r>
        <w:rPr>
          <w:rFonts w:ascii="仿宋" w:eastAsia="仿宋" w:hAnsi="仿宋" w:cs="仿宋" w:hint="eastAsia"/>
          <w:sz w:val="28"/>
        </w:rPr>
        <w:t>的具体情况，本次土地估价主要遵循以下原则：</w:t>
      </w:r>
    </w:p>
    <w:p w:rsidR="0054446D" w:rsidRDefault="00FB459A">
      <w:pPr>
        <w:spacing w:line="420" w:lineRule="exact"/>
        <w:ind w:firstLine="540"/>
        <w:outlineLvl w:val="2"/>
        <w:rPr>
          <w:rFonts w:ascii="仿宋_GB2312" w:eastAsia="仿宋_GB2312"/>
          <w:sz w:val="28"/>
        </w:rPr>
      </w:pPr>
      <w:bookmarkStart w:id="72" w:name="_Toc28110"/>
      <w:bookmarkStart w:id="73" w:name="_Toc31150"/>
      <w:r>
        <w:rPr>
          <w:rFonts w:ascii="仿宋_GB2312" w:eastAsia="仿宋_GB2312" w:hint="eastAsia"/>
          <w:sz w:val="28"/>
        </w:rPr>
        <w:t>（一）估价原则</w:t>
      </w:r>
      <w:bookmarkEnd w:id="72"/>
      <w:bookmarkEnd w:id="73"/>
    </w:p>
    <w:p w:rsidR="0054446D" w:rsidRDefault="00FB459A">
      <w:pPr>
        <w:spacing w:line="420" w:lineRule="exact"/>
        <w:ind w:firstLine="540"/>
        <w:outlineLvl w:val="2"/>
        <w:rPr>
          <w:rFonts w:ascii="仿宋_GB2312" w:eastAsia="仿宋_GB2312"/>
          <w:sz w:val="28"/>
        </w:rPr>
      </w:pPr>
      <w:r>
        <w:rPr>
          <w:rFonts w:ascii="仿宋_GB2312" w:eastAsia="仿宋_GB2312" w:hint="eastAsia"/>
          <w:sz w:val="28"/>
        </w:rPr>
        <w:t>针对</w:t>
      </w:r>
      <w:proofErr w:type="gramStart"/>
      <w:r>
        <w:rPr>
          <w:rFonts w:ascii="仿宋_GB2312" w:eastAsia="仿宋_GB2312" w:hint="eastAsia"/>
          <w:sz w:val="28"/>
        </w:rPr>
        <w:t>委估项目</w:t>
      </w:r>
      <w:proofErr w:type="gramEnd"/>
      <w:r>
        <w:rPr>
          <w:rFonts w:ascii="仿宋_GB2312" w:eastAsia="仿宋_GB2312" w:hint="eastAsia"/>
          <w:sz w:val="28"/>
        </w:rPr>
        <w:t>的具体情况，本次土地估价主要遵循以下原则：</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1、合法原则</w:t>
      </w:r>
    </w:p>
    <w:p w:rsidR="0054446D" w:rsidRDefault="00FB459A">
      <w:pPr>
        <w:spacing w:line="420" w:lineRule="exact"/>
        <w:ind w:firstLine="540"/>
        <w:rPr>
          <w:rFonts w:ascii="仿宋_GB2312" w:eastAsia="仿宋_GB2312"/>
          <w:sz w:val="28"/>
          <w:szCs w:val="28"/>
        </w:rPr>
      </w:pPr>
      <w:r>
        <w:rPr>
          <w:rFonts w:ascii="仿宋_GB2312" w:eastAsia="仿宋_GB2312" w:hint="eastAsia"/>
          <w:sz w:val="28"/>
          <w:szCs w:val="28"/>
        </w:rPr>
        <w:t>合法原则是指估价人员和估价机构在土地评估中，应遵循相关法律、法规和规定，所评估的对象应以合法使用和合法处分为前提。估价对象办理了《国有土地使用证》[余国用（2012）第00751号]，宗地位于新余市仰天大道北</w:t>
      </w:r>
      <w:r>
        <w:rPr>
          <w:rFonts w:ascii="仿宋_GB2312" w:eastAsia="仿宋_GB2312" w:hint="eastAsia"/>
          <w:sz w:val="28"/>
        </w:rPr>
        <w:t>，</w:t>
      </w:r>
      <w:proofErr w:type="gramStart"/>
      <w:r>
        <w:rPr>
          <w:rFonts w:ascii="仿宋_GB2312" w:eastAsia="仿宋_GB2312" w:hint="eastAsia"/>
          <w:sz w:val="28"/>
          <w:szCs w:val="28"/>
        </w:rPr>
        <w:t>证载用途</w:t>
      </w:r>
      <w:proofErr w:type="gramEnd"/>
      <w:r>
        <w:rPr>
          <w:rFonts w:ascii="仿宋_GB2312" w:eastAsia="仿宋_GB2312" w:hint="eastAsia"/>
          <w:sz w:val="28"/>
        </w:rPr>
        <w:t>为住宅用地。</w:t>
      </w:r>
    </w:p>
    <w:p w:rsidR="0054446D" w:rsidRDefault="00FB459A">
      <w:pPr>
        <w:spacing w:line="420" w:lineRule="exact"/>
        <w:ind w:firstLine="540"/>
        <w:rPr>
          <w:rFonts w:ascii="仿宋_GB2312" w:eastAsia="仿宋_GB2312"/>
          <w:sz w:val="28"/>
          <w:szCs w:val="28"/>
        </w:rPr>
      </w:pPr>
      <w:r>
        <w:rPr>
          <w:rFonts w:ascii="仿宋_GB2312" w:eastAsia="仿宋_GB2312" w:hint="eastAsia"/>
          <w:sz w:val="28"/>
          <w:szCs w:val="28"/>
        </w:rPr>
        <w:t>2、最有效利用原则</w:t>
      </w:r>
    </w:p>
    <w:p w:rsidR="0054446D" w:rsidRDefault="00FB459A">
      <w:pPr>
        <w:spacing w:line="420" w:lineRule="exact"/>
        <w:ind w:firstLine="540"/>
        <w:rPr>
          <w:rFonts w:ascii="仿宋_GB2312" w:eastAsia="仿宋_GB2312"/>
          <w:sz w:val="28"/>
          <w:szCs w:val="28"/>
        </w:rPr>
      </w:pPr>
      <w:r>
        <w:rPr>
          <w:rFonts w:ascii="仿宋_GB2312" w:eastAsia="仿宋_GB2312" w:hint="eastAsia"/>
          <w:sz w:val="28"/>
          <w:szCs w:val="28"/>
        </w:rPr>
        <w:t>由于土地具有用途的多样性，不同的利用方式能为权利人带来不同的收益量，且土地权利人都期望从其所占有的土地上获取更多的收益，并以能满足这一目的为确定土地利用方式的依据。所以，土地价格是以该地块的效用作最有效发挥为前提的。报酬递增、递减原则经济学中的边际效益递减原则，是指增加各生产要素的单位投入量时，纯收益随之增加;但达到某一数值后，如继续追加投资，其纯收益不再会</w:t>
      </w:r>
      <w:proofErr w:type="gramStart"/>
      <w:r>
        <w:rPr>
          <w:rFonts w:ascii="仿宋_GB2312" w:eastAsia="仿宋_GB2312" w:hint="eastAsia"/>
          <w:sz w:val="28"/>
          <w:szCs w:val="28"/>
        </w:rPr>
        <w:t>与迫加的</w:t>
      </w:r>
      <w:proofErr w:type="gramEnd"/>
      <w:r>
        <w:rPr>
          <w:rFonts w:ascii="仿宋_GB2312" w:eastAsia="仿宋_GB2312" w:hint="eastAsia"/>
          <w:sz w:val="28"/>
          <w:szCs w:val="28"/>
        </w:rPr>
        <w:t>投资成比例增加。土地投资同样遵循这一原则。利用这一原则，就可找出土地的边际使用点，即最高最佳使用点。由于城市土地一般已有规划限制条件，故最有效利用原则要遵循合法原则。</w:t>
      </w:r>
    </w:p>
    <w:p w:rsidR="0054446D" w:rsidRDefault="00FB459A">
      <w:pPr>
        <w:spacing w:line="420" w:lineRule="exact"/>
        <w:ind w:firstLine="540"/>
        <w:rPr>
          <w:rFonts w:ascii="仿宋_GB2312" w:eastAsia="仿宋_GB2312"/>
          <w:sz w:val="28"/>
          <w:szCs w:val="28"/>
          <w:highlight w:val="yellow"/>
        </w:rPr>
      </w:pPr>
      <w:r>
        <w:rPr>
          <w:rFonts w:ascii="仿宋_GB2312" w:eastAsia="仿宋_GB2312" w:hAnsi="宋体" w:cs="宋体" w:hint="eastAsia"/>
          <w:sz w:val="28"/>
        </w:rPr>
        <w:t>本次评估估价对象用途为住宅用地，</w:t>
      </w:r>
      <w:r>
        <w:rPr>
          <w:rFonts w:ascii="仿宋_GB2312" w:eastAsia="仿宋_GB2312" w:hint="eastAsia"/>
          <w:sz w:val="28"/>
          <w:szCs w:val="28"/>
        </w:rPr>
        <w:t>估价对象按照住宅用地拟建住宅楼的规划利用情况与周边土地实现统一的协调发展关系，在其用途的合法用途下实现了最有效利用。</w:t>
      </w:r>
    </w:p>
    <w:p w:rsidR="0054446D" w:rsidRDefault="00FB459A">
      <w:pPr>
        <w:numPr>
          <w:ilvl w:val="0"/>
          <w:numId w:val="6"/>
        </w:numPr>
        <w:spacing w:line="420" w:lineRule="exact"/>
        <w:ind w:firstLine="540"/>
        <w:rPr>
          <w:rFonts w:ascii="仿宋_GB2312" w:eastAsia="仿宋_GB2312"/>
          <w:sz w:val="28"/>
          <w:szCs w:val="28"/>
        </w:rPr>
      </w:pPr>
      <w:r>
        <w:rPr>
          <w:rFonts w:ascii="仿宋_GB2312" w:eastAsia="仿宋_GB2312" w:hint="eastAsia"/>
          <w:sz w:val="28"/>
          <w:szCs w:val="28"/>
        </w:rPr>
        <w:t>供需原则</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在完全的市场竞争中，一般商品的价格都取决于供求的均衡点。供小于求，价格就会提高，否则，价格就会降低。由于土地与一般商品相比，具有独特的人文和自然特性，因此在进行土地估价时既要考虑到所假设的公平市场，又要考虑土地供应的垄断性特征。</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本次评估中估价师对市场进行了调查，价格是在考虑土地供需的特殊性和土地市场的地域性的情况下最后确定的。</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4、替代原则</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根据市场运行规律，在同一商品市场中，商品或提供服务的效用相同或大致相似时，价格低者吸引需求，即有两个以上互有替代性的商品或服务同时存在时，商品或服务的价格是经过相互影响与比较之后来决定的。</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土地价格也同样遵循替代规律，某块土地的价格，受其它具有相同使用价值的地块，即同类型具有替代可能的地块价格所牵制。换言之，具有相同使用价值、替代可能的地块之间，会相互影响和竞争，使价格相互牵制而趋于一致。</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此次评估中，基准地价系数修正法测算土地市场价值中运用了替代原则。</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5、预期收益原则</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对于价格的评估，重要的并非是过去，而是未来。过去的收益的重要意义，在于为推测未来的收益变化动向的提供依据。因此，商品的价格是由反映该商品将来的总收益所决定的。土地也是如此，它的价格也是受预期收益形成因素的变动所左右。所以，土地投资者是在预测该土地将来所能带来的收益或效用后进行投资的。这就要求估价者必须了解过去的收益状况，并对土地市场现状、发展趋势、政治经济形势及政策规定对土地市场的影响进行细致分析和预测，准确预测该土地现在以至未能</w:t>
      </w:r>
      <w:proofErr w:type="gramStart"/>
      <w:r>
        <w:rPr>
          <w:rFonts w:ascii="仿宋_GB2312" w:eastAsia="仿宋_GB2312" w:hint="eastAsia"/>
          <w:sz w:val="28"/>
          <w:szCs w:val="28"/>
        </w:rPr>
        <w:t>给权利</w:t>
      </w:r>
      <w:proofErr w:type="gramEnd"/>
      <w:r>
        <w:rPr>
          <w:rFonts w:ascii="仿宋_GB2312" w:eastAsia="仿宋_GB2312" w:hint="eastAsia"/>
          <w:sz w:val="28"/>
          <w:szCs w:val="28"/>
        </w:rPr>
        <w:t>人带来的利润总和，即预期收益。</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本次评估土地的价格是由土地及其他生产要素共同作用下产生的结果。</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6、贡献原则</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按经济学边际收益原则，衡量各生产要素的价值大小，可依据其对总收益的贡献大小来决定。对于土地估价，这一原则是指不动产的总收益是由土地及建筑物等构成因素共同作用的结果，其某-部分带来的收益，对总收益而言是部分与整体之间的关系。估价时，可以根据收益现值分别估算土地、建筑物价格，进而评估整个不动产价格，也可根据整个不动产价格及其他构成部分的价格，扣除建筑物价格来估算土地价格。</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估价师已了解过去的收益状况，结合历史收益状况分析土地市场的现状和发展趋势，分析政治经济形势和政策对市场的影响，排除脱离现实的利用或因投机及违法使用所获收益，实现对将来的变动趋势客观，合理的预测。</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7.变动原则</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一般商品的价格，是伴随着构成价格的因素的变化而发生变动的。土地价格也有同样情形，它是各种地价形成因素相互作用的结果，而这些价格形成因素经常处于变动之中，所以土地价格是在这些因素相互作用及其组合的变动过程中形成的。因此，在土地估价时，必须分析该土地的效用、稀缺性、个别性及有效需求以及使这些因素发生变动的一般因素，区</w:t>
      </w:r>
      <w:proofErr w:type="gramStart"/>
      <w:r>
        <w:rPr>
          <w:rFonts w:ascii="仿宋_GB2312" w:eastAsia="仿宋_GB2312" w:hint="eastAsia"/>
          <w:sz w:val="28"/>
          <w:szCs w:val="28"/>
        </w:rPr>
        <w:t>城因素</w:t>
      </w:r>
      <w:proofErr w:type="gramEnd"/>
      <w:r>
        <w:rPr>
          <w:rFonts w:ascii="仿宋_GB2312" w:eastAsia="仿宋_GB2312" w:hint="eastAsia"/>
          <w:sz w:val="28"/>
          <w:szCs w:val="28"/>
        </w:rPr>
        <w:t>及个别因素。由于这些因素都在变动之中，因此应把握各因素之间的因果关系及其变动规律，以便根据目前的地价水平预测未来的土地价格。</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此次评估中，在评估过程中充分分析了影响土地价格发生变动的一般因素、区域因素及个别因素。</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8.协调原则</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土地总是处于一定的自然与社会环境之中，必须与周围环境相协调。因为土地能适应周围环境，则该土地的收益或效用能最大限度地发挥，所以要分析土地是否与所处环境协调。因此，在土地估价时，一定要认真分析土地与周围环境的关系，判断其是否协调，这直接关系到该地块的收益量和价格。</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在本次土地估价时，估价师已认真分析土地与周围环境的关系，</w:t>
      </w:r>
      <w:proofErr w:type="gramStart"/>
      <w:r>
        <w:rPr>
          <w:rFonts w:ascii="仿宋_GB2312" w:eastAsia="仿宋_GB2312" w:hint="eastAsia"/>
          <w:sz w:val="28"/>
          <w:szCs w:val="28"/>
        </w:rPr>
        <w:t>待估宗地</w:t>
      </w:r>
      <w:proofErr w:type="gramEnd"/>
      <w:r>
        <w:rPr>
          <w:rFonts w:ascii="仿宋_GB2312" w:eastAsia="仿宋_GB2312" w:hint="eastAsia"/>
          <w:sz w:val="28"/>
          <w:szCs w:val="28"/>
        </w:rPr>
        <w:t>土地用途与其所处环境协调。</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9、多种方法相结合的原则</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随着我国土地估价业的发展，目前比较实用的宗地估价方法有市场比较法、收益还原法、成本逼近法、假设开发法，基准地价系数修正法等方法。由于不适宜的估价方法可能使评估结果产生较大的偏差，因此进行地价评估时，就要</w:t>
      </w:r>
      <w:proofErr w:type="gramStart"/>
      <w:r>
        <w:rPr>
          <w:rFonts w:ascii="仿宋_GB2312" w:eastAsia="仿宋_GB2312" w:hint="eastAsia"/>
          <w:sz w:val="28"/>
          <w:szCs w:val="28"/>
        </w:rPr>
        <w:t>根据待估宗地</w:t>
      </w:r>
      <w:proofErr w:type="gramEnd"/>
      <w:r>
        <w:rPr>
          <w:rFonts w:ascii="仿宋_GB2312" w:eastAsia="仿宋_GB2312" w:hint="eastAsia"/>
          <w:sz w:val="28"/>
          <w:szCs w:val="28"/>
        </w:rPr>
        <w:t>的实际情况，充分考虑用地类型及所掌握的资料，选择最适宜的方法进行评估，同时为了使评估结果更为客观，更接近于准确，评估中选择两种较为适宜的方法进行评估，以便互相验证，减小误差，确定出合理的价格。</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按照《城镇土地估价规程》要求，本次评估已采用两种适宜的方法进行评估，以便互相验证，减小误差，确定出合理的价格。</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10、报酬递增递减原则</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报酬递增递减原则是指土地估价要考虑在技术等条件-定的前提下，土地纯收益会随着土地投资的增加而出现由递增到递减的特点。</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本次评估，评估</w:t>
      </w:r>
      <w:proofErr w:type="gramStart"/>
      <w:r>
        <w:rPr>
          <w:rFonts w:ascii="仿宋_GB2312" w:eastAsia="仿宋_GB2312" w:hint="eastAsia"/>
          <w:sz w:val="28"/>
          <w:szCs w:val="28"/>
        </w:rPr>
        <w:t>师充分</w:t>
      </w:r>
      <w:proofErr w:type="gramEnd"/>
      <w:r>
        <w:rPr>
          <w:rFonts w:ascii="仿宋_GB2312" w:eastAsia="仿宋_GB2312" w:hint="eastAsia"/>
          <w:sz w:val="28"/>
          <w:szCs w:val="28"/>
        </w:rPr>
        <w:t>考虑了土地纯收益递增递减原则这一特点，</w:t>
      </w:r>
      <w:proofErr w:type="gramStart"/>
      <w:r>
        <w:rPr>
          <w:rFonts w:ascii="仿宋_GB2312" w:eastAsia="仿宋_GB2312" w:hint="eastAsia"/>
          <w:sz w:val="28"/>
          <w:szCs w:val="28"/>
        </w:rPr>
        <w:t>确定待估宗地</w:t>
      </w:r>
      <w:proofErr w:type="gramEnd"/>
      <w:r>
        <w:rPr>
          <w:rFonts w:ascii="仿宋_GB2312" w:eastAsia="仿宋_GB2312" w:hint="eastAsia"/>
          <w:sz w:val="28"/>
          <w:szCs w:val="28"/>
        </w:rPr>
        <w:t>最佳集约度和最佳规模，力求土地纯收益客观合理并最大化。</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11.价值主导原则</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土地综合质量优劣是对土地价格产生影响的主要因素。</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此次评估中，在评估过程中充分分析和考虑了土地综合质量优劣对土地价格的影响.</w:t>
      </w:r>
    </w:p>
    <w:p w:rsidR="0054446D" w:rsidRDefault="00FB459A">
      <w:pPr>
        <w:spacing w:line="420" w:lineRule="exact"/>
        <w:ind w:firstLineChars="200" w:firstLine="560"/>
        <w:rPr>
          <w:rFonts w:ascii="仿宋_GB2312" w:eastAsia="仿宋_GB2312"/>
          <w:sz w:val="28"/>
          <w:szCs w:val="28"/>
        </w:rPr>
      </w:pPr>
      <w:r>
        <w:rPr>
          <w:rFonts w:ascii="仿宋_GB2312" w:eastAsia="仿宋_GB2312" w:hint="eastAsia"/>
          <w:sz w:val="28"/>
          <w:szCs w:val="28"/>
        </w:rPr>
        <w:t>12.公开市场原则</w:t>
      </w:r>
    </w:p>
    <w:p w:rsidR="0054446D" w:rsidRDefault="00FB459A">
      <w:pPr>
        <w:spacing w:line="420" w:lineRule="exact"/>
        <w:ind w:firstLineChars="200" w:firstLine="560"/>
        <w:rPr>
          <w:rFonts w:ascii="仿宋" w:eastAsia="仿宋" w:hAnsi="仿宋" w:cs="仿宋"/>
          <w:sz w:val="28"/>
          <w:szCs w:val="28"/>
        </w:rPr>
      </w:pPr>
      <w:r>
        <w:rPr>
          <w:rFonts w:ascii="仿宋_GB2312" w:eastAsia="仿宋_GB2312" w:hint="eastAsia"/>
          <w:sz w:val="28"/>
          <w:szCs w:val="28"/>
        </w:rPr>
        <w:t>评估结果在公平、公正、公开的土地市场上可实现。本次评估中估价师对市场进行了调查，价格是在考虑公开市场情况下最后确定的</w:t>
      </w:r>
      <w:r>
        <w:rPr>
          <w:rFonts w:ascii="仿宋" w:eastAsia="仿宋" w:hAnsi="仿宋" w:cs="仿宋" w:hint="eastAsia"/>
          <w:sz w:val="28"/>
          <w:szCs w:val="28"/>
        </w:rPr>
        <w:t>。</w:t>
      </w:r>
    </w:p>
    <w:p w:rsidR="0054446D" w:rsidRDefault="00FB459A" w:rsidP="00F513B3">
      <w:pPr>
        <w:spacing w:beforeLines="100" w:afterLines="100" w:line="420" w:lineRule="exact"/>
        <w:outlineLvl w:val="1"/>
        <w:rPr>
          <w:rFonts w:ascii="仿宋" w:eastAsia="仿宋" w:hAnsi="仿宋" w:cs="仿宋"/>
          <w:b/>
          <w:bCs/>
          <w:sz w:val="28"/>
          <w:szCs w:val="28"/>
        </w:rPr>
      </w:pPr>
      <w:r>
        <w:rPr>
          <w:rFonts w:ascii="仿宋" w:eastAsia="仿宋" w:hAnsi="仿宋" w:cs="仿宋" w:hint="eastAsia"/>
          <w:b/>
          <w:bCs/>
          <w:sz w:val="28"/>
          <w:szCs w:val="28"/>
        </w:rPr>
        <w:t>二、估价方法</w:t>
      </w:r>
      <w:bookmarkEnd w:id="70"/>
      <w:bookmarkEnd w:id="71"/>
    </w:p>
    <w:p w:rsidR="0054446D" w:rsidRDefault="00FB459A">
      <w:pPr>
        <w:spacing w:line="420" w:lineRule="exact"/>
        <w:ind w:firstLineChars="200" w:firstLine="560"/>
        <w:rPr>
          <w:rFonts w:ascii="仿宋_GB2312" w:eastAsia="仿宋_GB2312" w:hAnsi="仿宋" w:cs="仿宋"/>
          <w:sz w:val="28"/>
        </w:rPr>
      </w:pPr>
      <w:r>
        <w:rPr>
          <w:rFonts w:ascii="仿宋_GB2312" w:eastAsia="仿宋_GB2312" w:hAnsi="仿宋" w:cs="仿宋" w:hint="eastAsia"/>
          <w:sz w:val="28"/>
          <w:szCs w:val="28"/>
        </w:rPr>
        <w:t>根据《城镇土地估价规程》（GB/T 18508-2014）（以下简称《规程》），</w:t>
      </w:r>
      <w:r>
        <w:rPr>
          <w:rFonts w:ascii="仿宋_GB2312" w:eastAsia="仿宋_GB2312" w:hAnsi="仿宋" w:cs="仿宋" w:hint="eastAsia"/>
          <w:sz w:val="28"/>
        </w:rPr>
        <w:t>结合估价对象实际，土地使用权通行的估价方法有市场比较法、收益还原法、剩余法、成本逼近法、基准地价系数修正法等。估价方法应按照地价评估技术《规程》规定选择两种方法，根据当地地产市场发育情况，结合估价目的以及委托人要求等，选择适当的估价方法。</w:t>
      </w:r>
    </w:p>
    <w:p w:rsidR="0054446D" w:rsidRDefault="00FB459A">
      <w:pPr>
        <w:pStyle w:val="Bodytext1"/>
        <w:tabs>
          <w:tab w:val="left" w:pos="982"/>
        </w:tabs>
        <w:spacing w:line="499" w:lineRule="exact"/>
        <w:ind w:firstLine="580"/>
        <w:rPr>
          <w:rFonts w:ascii="仿宋_GB2312" w:eastAsia="仿宋_GB2312" w:hAnsi="仿宋" w:cs="仿宋"/>
          <w:sz w:val="28"/>
          <w:szCs w:val="20"/>
          <w:lang w:val="en-US" w:eastAsia="zh-CN" w:bidi="ar-SA"/>
        </w:rPr>
      </w:pPr>
      <w:bookmarkStart w:id="74" w:name="bookmark705"/>
      <w:r>
        <w:rPr>
          <w:rFonts w:ascii="仿宋_GB2312" w:eastAsia="仿宋_GB2312" w:hAnsi="仿宋" w:cs="仿宋" w:hint="eastAsia"/>
          <w:sz w:val="28"/>
          <w:szCs w:val="20"/>
          <w:lang w:val="en-US" w:eastAsia="zh-CN" w:bidi="ar-SA"/>
        </w:rPr>
        <w:t>1</w:t>
      </w:r>
      <w:bookmarkEnd w:id="74"/>
      <w:r>
        <w:rPr>
          <w:rFonts w:ascii="仿宋_GB2312" w:eastAsia="仿宋_GB2312" w:hAnsi="仿宋" w:cs="仿宋" w:hint="eastAsia"/>
          <w:sz w:val="28"/>
          <w:szCs w:val="20"/>
          <w:lang w:val="en-US" w:eastAsia="zh-CN" w:bidi="ar-SA"/>
        </w:rPr>
        <w:t xml:space="preserve">、采用的方法 </w:t>
      </w:r>
    </w:p>
    <w:p w:rsidR="0054446D" w:rsidRDefault="00FB459A">
      <w:pPr>
        <w:spacing w:line="420" w:lineRule="exact"/>
        <w:ind w:firstLineChars="200" w:firstLine="560"/>
        <w:rPr>
          <w:rFonts w:ascii="仿宋_GB2312" w:eastAsia="仿宋_GB2312" w:hAnsi="仿宋" w:cs="仿宋"/>
          <w:sz w:val="28"/>
        </w:rPr>
      </w:pPr>
      <w:r>
        <w:rPr>
          <w:rFonts w:ascii="仿宋_GB2312" w:eastAsia="仿宋_GB2312" w:hAnsi="仿宋" w:hint="eastAsia"/>
          <w:kern w:val="0"/>
          <w:sz w:val="28"/>
          <w:szCs w:val="28"/>
        </w:rPr>
        <w:t>估价对象位于新余市仰天大道北，在新余市基准地价覆盖范围内，</w:t>
      </w:r>
      <w:r>
        <w:rPr>
          <w:rFonts w:ascii="仿宋_GB2312" w:eastAsia="仿宋_GB2312" w:hint="eastAsia"/>
          <w:sz w:val="28"/>
        </w:rPr>
        <w:t>根据</w:t>
      </w:r>
      <w:proofErr w:type="gramStart"/>
      <w:r>
        <w:rPr>
          <w:rFonts w:ascii="仿宋_GB2312" w:eastAsia="仿宋_GB2312" w:hint="eastAsia"/>
          <w:sz w:val="28"/>
          <w:szCs w:val="28"/>
        </w:rPr>
        <w:t>《新余市人民政府关于更新城区土地定级与基准地价的通知》余府字</w:t>
      </w:r>
      <w:proofErr w:type="gramEnd"/>
      <w:r>
        <w:rPr>
          <w:rFonts w:ascii="仿宋_GB2312" w:eastAsia="仿宋_GB2312" w:hint="eastAsia"/>
          <w:sz w:val="28"/>
          <w:szCs w:val="28"/>
        </w:rPr>
        <w:t>〔2020〕52号</w:t>
      </w:r>
      <w:r>
        <w:rPr>
          <w:rFonts w:ascii="仿宋_GB2312" w:eastAsia="仿宋_GB2312" w:hAnsi="仿宋" w:hint="eastAsia"/>
          <w:kern w:val="0"/>
          <w:sz w:val="28"/>
          <w:szCs w:val="28"/>
        </w:rPr>
        <w:t>，基准地价基准日为2020年07月1日，故可采用基准地价系数修正法进行评估</w:t>
      </w:r>
      <w:r>
        <w:rPr>
          <w:rFonts w:ascii="仿宋_GB2312" w:eastAsia="仿宋_GB2312" w:hAnsi="仿宋" w:cs="仿宋" w:hint="eastAsia"/>
          <w:sz w:val="28"/>
        </w:rPr>
        <w:t>。</w:t>
      </w:r>
    </w:p>
    <w:p w:rsidR="0054446D" w:rsidRDefault="00FB459A">
      <w:pPr>
        <w:spacing w:line="420" w:lineRule="exact"/>
        <w:ind w:firstLineChars="200" w:firstLine="560"/>
        <w:rPr>
          <w:rFonts w:ascii="仿宋_GB2312" w:eastAsia="仿宋_GB2312" w:hAnsi="仿宋" w:cs="仿宋"/>
          <w:sz w:val="28"/>
        </w:rPr>
      </w:pPr>
      <w:r>
        <w:rPr>
          <w:rFonts w:ascii="仿宋_GB2312" w:eastAsia="仿宋_GB2312" w:hAnsi="仿宋" w:cs="仿宋" w:hint="eastAsia"/>
          <w:sz w:val="28"/>
        </w:rPr>
        <w:t>评估宗地有相关规划资料，且所处区域可以选择到</w:t>
      </w:r>
      <w:proofErr w:type="gramStart"/>
      <w:r>
        <w:rPr>
          <w:rFonts w:ascii="仿宋_GB2312" w:eastAsia="仿宋_GB2312" w:hAnsi="仿宋" w:cs="仿宋" w:hint="eastAsia"/>
          <w:sz w:val="28"/>
        </w:rPr>
        <w:t>与待估宗地</w:t>
      </w:r>
      <w:proofErr w:type="gramEnd"/>
      <w:r>
        <w:rPr>
          <w:rFonts w:ascii="仿宋_GB2312" w:eastAsia="仿宋_GB2312" w:hAnsi="仿宋" w:cs="仿宋" w:hint="eastAsia"/>
          <w:sz w:val="28"/>
        </w:rPr>
        <w:t>地上 建筑物相类似的销售市场交易实例，能够通过市场比较法合理确定房地产总价，扣除建筑物建造费用和与建筑物建造、买卖有关的专业费、利息、利润、税收等费用后，最终求取单位地价，故适宜</w:t>
      </w:r>
      <w:r>
        <w:rPr>
          <w:rFonts w:ascii="仿宋_GB2312" w:eastAsia="仿宋" w:hAnsi="仿宋" w:cs="仿宋" w:hint="eastAsia"/>
          <w:sz w:val="28"/>
        </w:rPr>
        <w:t>釆</w:t>
      </w:r>
      <w:r>
        <w:rPr>
          <w:rFonts w:ascii="仿宋_GB2312" w:eastAsia="仿宋_GB2312" w:hAnsi="仿宋" w:cs="仿宋" w:hint="eastAsia"/>
          <w:sz w:val="28"/>
        </w:rPr>
        <w:t>用剩余法（待开发模式） 进行评估。</w:t>
      </w:r>
    </w:p>
    <w:p w:rsidR="0054446D" w:rsidRDefault="00FB459A">
      <w:pPr>
        <w:spacing w:line="420" w:lineRule="exact"/>
        <w:ind w:firstLineChars="200" w:firstLine="560"/>
        <w:jc w:val="left"/>
        <w:rPr>
          <w:rFonts w:ascii="仿宋_GB2312" w:eastAsia="仿宋_GB2312" w:hAnsi="仿宋" w:cs="仿宋"/>
          <w:sz w:val="28"/>
        </w:rPr>
      </w:pPr>
      <w:bookmarkStart w:id="75" w:name="bookmark708"/>
      <w:r>
        <w:rPr>
          <w:rFonts w:ascii="仿宋_GB2312" w:eastAsia="仿宋_GB2312" w:hAnsi="仿宋" w:cs="仿宋" w:hint="eastAsia"/>
          <w:sz w:val="28"/>
        </w:rPr>
        <w:t>2</w:t>
      </w:r>
      <w:bookmarkEnd w:id="75"/>
      <w:r>
        <w:rPr>
          <w:rFonts w:ascii="仿宋_GB2312" w:eastAsia="仿宋_GB2312" w:hAnsi="仿宋" w:cs="仿宋" w:hint="eastAsia"/>
          <w:sz w:val="28"/>
        </w:rPr>
        <w:t>、不</w:t>
      </w:r>
      <w:r>
        <w:rPr>
          <w:rFonts w:ascii="仿宋_GB2312" w:eastAsia="仿宋" w:hAnsi="仿宋" w:cs="仿宋" w:hint="eastAsia"/>
          <w:sz w:val="28"/>
        </w:rPr>
        <w:t>釆</w:t>
      </w:r>
      <w:r>
        <w:rPr>
          <w:rFonts w:ascii="仿宋_GB2312" w:eastAsia="仿宋_GB2312" w:hAnsi="仿宋" w:cs="仿宋" w:hint="eastAsia"/>
          <w:sz w:val="28"/>
        </w:rPr>
        <w:t>用的方法</w:t>
      </w:r>
    </w:p>
    <w:p w:rsidR="0054446D" w:rsidRDefault="00FB459A">
      <w:pPr>
        <w:spacing w:line="420" w:lineRule="exact"/>
        <w:ind w:firstLineChars="200" w:firstLine="560"/>
        <w:jc w:val="left"/>
        <w:rPr>
          <w:rFonts w:ascii="仿宋_GB2312" w:eastAsia="仿宋_GB2312" w:hAnsi="仿宋" w:cs="仿宋"/>
          <w:sz w:val="28"/>
        </w:rPr>
      </w:pPr>
      <w:bookmarkStart w:id="76" w:name="bookmark709"/>
      <w:bookmarkEnd w:id="76"/>
      <w:r>
        <w:rPr>
          <w:rFonts w:ascii="仿宋_GB2312" w:eastAsia="仿宋_GB2312" w:hAnsi="仿宋" w:cs="仿宋" w:hint="eastAsia"/>
          <w:sz w:val="28"/>
        </w:rPr>
        <w:t>收益还原法适用于有现实收益或潜在收益的土地或不动产估价，由 于估价对象为待开发利用土地，无现实收益且预期收益难以测算与剥离，并且区域内建成后的相似物业经营模式大多为出售，不能够通过所在区域房地产的租金水平合理确定估价对象的房地产总收益，故不适宜</w:t>
      </w:r>
      <w:r>
        <w:rPr>
          <w:rFonts w:ascii="仿宋_GB2312" w:eastAsia="仿宋" w:hAnsi="仿宋" w:cs="仿宋" w:hint="eastAsia"/>
          <w:sz w:val="28"/>
        </w:rPr>
        <w:t>釆</w:t>
      </w:r>
      <w:r>
        <w:rPr>
          <w:rFonts w:ascii="仿宋_GB2312" w:eastAsia="仿宋_GB2312" w:hAnsi="仿宋" w:cs="仿宋" w:hint="eastAsia"/>
          <w:sz w:val="28"/>
        </w:rPr>
        <w:t>用收益还原法评估；</w:t>
      </w:r>
    </w:p>
    <w:p w:rsidR="0054446D" w:rsidRDefault="00FB459A">
      <w:pPr>
        <w:spacing w:line="420" w:lineRule="exact"/>
        <w:ind w:firstLineChars="200" w:firstLine="560"/>
        <w:jc w:val="left"/>
        <w:rPr>
          <w:rFonts w:ascii="仿宋_GB2312" w:eastAsia="仿宋_GB2312" w:hAnsi="仿宋" w:cs="仿宋"/>
          <w:sz w:val="28"/>
        </w:rPr>
      </w:pPr>
      <w:bookmarkStart w:id="77" w:name="bookmark710"/>
      <w:bookmarkEnd w:id="77"/>
      <w:r>
        <w:rPr>
          <w:rFonts w:ascii="仿宋_GB2312" w:eastAsia="仿宋_GB2312" w:hAnsi="仿宋" w:cs="仿宋" w:hint="eastAsia"/>
          <w:sz w:val="28"/>
        </w:rPr>
        <w:t>由于评估宗地所在区域难以选择到</w:t>
      </w:r>
      <w:proofErr w:type="gramStart"/>
      <w:r>
        <w:rPr>
          <w:rFonts w:ascii="仿宋_GB2312" w:eastAsia="仿宋_GB2312" w:hAnsi="仿宋" w:cs="仿宋" w:hint="eastAsia"/>
          <w:sz w:val="28"/>
        </w:rPr>
        <w:t>与待估宗地</w:t>
      </w:r>
      <w:proofErr w:type="gramEnd"/>
      <w:r>
        <w:rPr>
          <w:rFonts w:ascii="仿宋_GB2312" w:eastAsia="仿宋_GB2312" w:hAnsi="仿宋" w:cs="仿宋" w:hint="eastAsia"/>
          <w:sz w:val="28"/>
        </w:rPr>
        <w:t xml:space="preserve">相类似的近期已经发 </w:t>
      </w:r>
      <w:proofErr w:type="gramStart"/>
      <w:r>
        <w:rPr>
          <w:rFonts w:ascii="仿宋_GB2312" w:eastAsia="仿宋_GB2312" w:hAnsi="仿宋" w:cs="仿宋" w:hint="eastAsia"/>
          <w:sz w:val="28"/>
        </w:rPr>
        <w:t>生交易的纯土地</w:t>
      </w:r>
      <w:proofErr w:type="gramEnd"/>
      <w:r>
        <w:rPr>
          <w:rFonts w:ascii="仿宋_GB2312" w:eastAsia="仿宋_GB2312" w:hAnsi="仿宋" w:cs="仿宋" w:hint="eastAsia"/>
          <w:sz w:val="28"/>
        </w:rPr>
        <w:t>市场交易实例，故不适宜采用市场比较法进行评估</w:t>
      </w:r>
      <w:bookmarkStart w:id="78" w:name="bookmark711"/>
      <w:bookmarkEnd w:id="78"/>
      <w:r>
        <w:rPr>
          <w:rFonts w:ascii="仿宋_GB2312" w:eastAsia="仿宋_GB2312" w:hAnsi="仿宋" w:cs="仿宋" w:hint="eastAsia"/>
          <w:sz w:val="28"/>
        </w:rPr>
        <w:t>。</w:t>
      </w:r>
    </w:p>
    <w:p w:rsidR="0054446D" w:rsidRDefault="00FB459A">
      <w:pPr>
        <w:spacing w:line="420" w:lineRule="exact"/>
        <w:ind w:firstLineChars="200" w:firstLine="560"/>
        <w:jc w:val="left"/>
        <w:rPr>
          <w:rFonts w:ascii="仿宋_GB2312" w:eastAsia="仿宋_GB2312" w:hAnsi="仿宋" w:cs="仿宋"/>
          <w:sz w:val="28"/>
        </w:rPr>
      </w:pPr>
      <w:r>
        <w:rPr>
          <w:rFonts w:ascii="仿宋_GB2312" w:eastAsia="仿宋_GB2312" w:hAnsi="仿宋" w:cs="仿宋" w:hint="eastAsia"/>
          <w:sz w:val="28"/>
        </w:rPr>
        <w:t>成本逼近法一般适应于新开发建设的郊区或土地成交实例少的地区, 且多用于工业用地评估，而本次估价的评估对象为住宅用地，故不选择此方法。</w:t>
      </w:r>
    </w:p>
    <w:p w:rsidR="0054446D" w:rsidRDefault="00FB459A">
      <w:pPr>
        <w:spacing w:line="420" w:lineRule="exact"/>
        <w:ind w:firstLineChars="200" w:firstLine="560"/>
        <w:jc w:val="left"/>
        <w:rPr>
          <w:rFonts w:ascii="仿宋_GB2312" w:eastAsia="仿宋_GB2312" w:hAnsi="仿宋" w:cs="仿宋"/>
          <w:sz w:val="28"/>
        </w:rPr>
      </w:pPr>
      <w:r>
        <w:rPr>
          <w:rFonts w:ascii="仿宋_GB2312" w:eastAsia="仿宋_GB2312" w:hAnsi="仿宋" w:cs="仿宋" w:hint="eastAsia"/>
          <w:sz w:val="28"/>
        </w:rPr>
        <w:t>综上所述，本次估价分别采用公示地价系数修正法和剩余法（待开发模式）两种方法进行评估。</w:t>
      </w:r>
    </w:p>
    <w:p w:rsidR="0054446D" w:rsidRDefault="0054446D">
      <w:pPr>
        <w:pStyle w:val="ab"/>
        <w:rPr>
          <w:rFonts w:ascii="仿宋_GB2312" w:eastAsia="仿宋_GB2312"/>
        </w:rPr>
      </w:pPr>
    </w:p>
    <w:p w:rsidR="0054446D" w:rsidRDefault="00FB459A">
      <w:pPr>
        <w:numPr>
          <w:ilvl w:val="0"/>
          <w:numId w:val="7"/>
        </w:numPr>
        <w:spacing w:line="420" w:lineRule="exact"/>
        <w:rPr>
          <w:rFonts w:ascii="仿宋_GB2312" w:eastAsia="仿宋_GB2312" w:hAnsi="仿宋" w:cs="仿宋"/>
          <w:sz w:val="28"/>
          <w:szCs w:val="28"/>
        </w:rPr>
      </w:pPr>
      <w:r>
        <w:rPr>
          <w:rFonts w:ascii="仿宋_GB2312" w:eastAsia="仿宋_GB2312" w:hAnsi="仿宋" w:cs="仿宋" w:hint="eastAsia"/>
          <w:b/>
          <w:sz w:val="28"/>
        </w:rPr>
        <w:t>估价过程</w:t>
      </w:r>
    </w:p>
    <w:p w:rsidR="0054446D" w:rsidRDefault="00FB459A" w:rsidP="00F513B3">
      <w:pPr>
        <w:spacing w:beforeLines="50" w:afterLines="50"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1、采用剩余法评估</w:t>
      </w:r>
    </w:p>
    <w:p w:rsidR="0054446D" w:rsidRDefault="00FB459A">
      <w:pPr>
        <w:spacing w:line="360" w:lineRule="auto"/>
        <w:ind w:firstLineChars="200" w:firstLine="560"/>
        <w:rPr>
          <w:rFonts w:ascii="仿宋_GB2312" w:eastAsia="仿宋_GB2312" w:hAnsi="仿宋"/>
          <w:color w:val="000000"/>
          <w:sz w:val="28"/>
        </w:rPr>
      </w:pPr>
      <w:r>
        <w:rPr>
          <w:rFonts w:ascii="仿宋_GB2312" w:eastAsia="仿宋_GB2312" w:hAnsi="仿宋" w:hint="eastAsia"/>
          <w:color w:val="000000"/>
          <w:sz w:val="28"/>
        </w:rPr>
        <w:t>（1）基本原理及计算公式</w:t>
      </w:r>
    </w:p>
    <w:p w:rsidR="0054446D" w:rsidRDefault="00FB459A">
      <w:pPr>
        <w:spacing w:line="360" w:lineRule="auto"/>
        <w:ind w:firstLineChars="200" w:firstLine="560"/>
        <w:rPr>
          <w:rFonts w:ascii="仿宋_GB2312" w:eastAsia="仿宋_GB2312" w:hAnsi="仿宋"/>
          <w:color w:val="000000"/>
          <w:sz w:val="28"/>
        </w:rPr>
      </w:pPr>
      <w:r>
        <w:rPr>
          <w:rFonts w:ascii="仿宋_GB2312" w:eastAsia="仿宋_GB2312" w:hAnsi="仿宋" w:hint="eastAsia"/>
          <w:color w:val="000000"/>
          <w:sz w:val="28"/>
        </w:rPr>
        <w:t>剩余法是在预计开发完成后不动产正常交易价格的基础上，扣除预计的正常开发成本及有关专业费用、利息、利润和税收等，以价格余额来估算</w:t>
      </w:r>
      <w:proofErr w:type="gramStart"/>
      <w:r>
        <w:rPr>
          <w:rFonts w:ascii="仿宋_GB2312" w:eastAsia="仿宋_GB2312" w:hAnsi="仿宋" w:hint="eastAsia"/>
          <w:color w:val="000000"/>
          <w:sz w:val="28"/>
        </w:rPr>
        <w:t>待估土地</w:t>
      </w:r>
      <w:proofErr w:type="gramEnd"/>
      <w:r>
        <w:rPr>
          <w:rFonts w:ascii="仿宋_GB2312" w:eastAsia="仿宋_GB2312" w:hAnsi="仿宋" w:hint="eastAsia"/>
          <w:color w:val="000000"/>
          <w:sz w:val="28"/>
        </w:rPr>
        <w:t>价格的方法。公式如下：</w:t>
      </w:r>
    </w:p>
    <w:p w:rsidR="0054446D" w:rsidRDefault="00FB459A">
      <w:pPr>
        <w:spacing w:line="360" w:lineRule="auto"/>
        <w:ind w:firstLineChars="200" w:firstLine="560"/>
        <w:rPr>
          <w:rFonts w:ascii="仿宋_GB2312" w:eastAsia="仿宋_GB2312" w:hAnsi="仿宋"/>
          <w:color w:val="000000"/>
          <w:sz w:val="28"/>
        </w:rPr>
      </w:pPr>
      <w:r>
        <w:rPr>
          <w:rFonts w:ascii="仿宋_GB2312" w:eastAsia="仿宋_GB2312" w:hAnsi="仿宋" w:hint="eastAsia"/>
          <w:color w:val="000000"/>
          <w:sz w:val="28"/>
        </w:rPr>
        <w:t>V＝A－B－C</w:t>
      </w:r>
    </w:p>
    <w:p w:rsidR="0054446D" w:rsidRDefault="00FB459A">
      <w:pPr>
        <w:spacing w:line="360" w:lineRule="auto"/>
        <w:ind w:firstLineChars="200" w:firstLine="560"/>
        <w:rPr>
          <w:rFonts w:ascii="仿宋_GB2312" w:eastAsia="仿宋_GB2312" w:hAnsi="仿宋"/>
          <w:color w:val="000000"/>
          <w:sz w:val="28"/>
        </w:rPr>
      </w:pPr>
      <w:r>
        <w:rPr>
          <w:rFonts w:ascii="仿宋_GB2312" w:eastAsia="仿宋_GB2312" w:hAnsi="仿宋" w:hint="eastAsia"/>
          <w:color w:val="000000"/>
          <w:sz w:val="28"/>
        </w:rPr>
        <w:t>式中:</w:t>
      </w:r>
    </w:p>
    <w:p w:rsidR="0054446D" w:rsidRDefault="00FB459A">
      <w:pPr>
        <w:spacing w:line="360" w:lineRule="auto"/>
        <w:ind w:firstLineChars="200" w:firstLine="560"/>
        <w:rPr>
          <w:rFonts w:ascii="仿宋_GB2312" w:eastAsia="仿宋_GB2312" w:hAnsi="仿宋"/>
          <w:color w:val="000000"/>
          <w:sz w:val="28"/>
        </w:rPr>
      </w:pPr>
      <w:r>
        <w:rPr>
          <w:rFonts w:ascii="仿宋_GB2312" w:eastAsia="仿宋_GB2312" w:hAnsi="仿宋" w:hint="eastAsia"/>
          <w:color w:val="000000"/>
          <w:sz w:val="28"/>
        </w:rPr>
        <w:t>V——</w:t>
      </w:r>
      <w:proofErr w:type="gramStart"/>
      <w:r>
        <w:rPr>
          <w:rFonts w:ascii="仿宋_GB2312" w:eastAsia="仿宋_GB2312" w:hAnsi="仿宋" w:hint="eastAsia"/>
          <w:color w:val="000000"/>
          <w:sz w:val="28"/>
        </w:rPr>
        <w:t>待估土地</w:t>
      </w:r>
      <w:proofErr w:type="gramEnd"/>
      <w:r>
        <w:rPr>
          <w:rFonts w:ascii="仿宋_GB2312" w:eastAsia="仿宋_GB2312" w:hAnsi="仿宋" w:hint="eastAsia"/>
          <w:color w:val="000000"/>
          <w:sz w:val="28"/>
        </w:rPr>
        <w:t>价格</w:t>
      </w:r>
    </w:p>
    <w:p w:rsidR="0054446D" w:rsidRDefault="00FB459A">
      <w:pPr>
        <w:spacing w:line="360" w:lineRule="auto"/>
        <w:ind w:firstLineChars="200" w:firstLine="560"/>
        <w:rPr>
          <w:rFonts w:ascii="仿宋_GB2312" w:eastAsia="仿宋_GB2312" w:hAnsi="仿宋"/>
          <w:color w:val="000000"/>
          <w:sz w:val="28"/>
        </w:rPr>
      </w:pPr>
      <w:r>
        <w:rPr>
          <w:rFonts w:ascii="仿宋_GB2312" w:eastAsia="仿宋_GB2312" w:hAnsi="仿宋" w:hint="eastAsia"/>
          <w:color w:val="000000"/>
          <w:sz w:val="28"/>
        </w:rPr>
        <w:t>A——开发完成后的房地产总价值</w:t>
      </w:r>
    </w:p>
    <w:p w:rsidR="0054446D" w:rsidRDefault="00FB459A">
      <w:pPr>
        <w:spacing w:line="360" w:lineRule="auto"/>
        <w:ind w:firstLineChars="200" w:firstLine="560"/>
        <w:rPr>
          <w:rFonts w:ascii="仿宋_GB2312" w:eastAsia="仿宋_GB2312" w:hAnsi="仿宋"/>
          <w:color w:val="000000"/>
          <w:sz w:val="28"/>
        </w:rPr>
      </w:pPr>
      <w:r>
        <w:rPr>
          <w:rFonts w:ascii="仿宋_GB2312" w:eastAsia="仿宋_GB2312" w:hAnsi="仿宋" w:hint="eastAsia"/>
          <w:color w:val="000000"/>
          <w:sz w:val="28"/>
        </w:rPr>
        <w:t>B——整个开发项目的开发成本</w:t>
      </w:r>
    </w:p>
    <w:p w:rsidR="0054446D" w:rsidRDefault="00FB459A">
      <w:pPr>
        <w:spacing w:line="360" w:lineRule="auto"/>
        <w:ind w:firstLineChars="200" w:firstLine="560"/>
        <w:rPr>
          <w:rFonts w:ascii="仿宋_GB2312" w:eastAsia="仿宋_GB2312" w:hAnsi="仿宋"/>
          <w:color w:val="000000"/>
          <w:sz w:val="28"/>
        </w:rPr>
      </w:pPr>
      <w:r>
        <w:rPr>
          <w:rFonts w:ascii="仿宋_GB2312" w:eastAsia="仿宋_GB2312" w:hAnsi="仿宋" w:hint="eastAsia"/>
          <w:color w:val="000000"/>
          <w:sz w:val="28"/>
        </w:rPr>
        <w:t>C——开发商合理利润</w:t>
      </w:r>
    </w:p>
    <w:p w:rsidR="0054446D" w:rsidRDefault="00FB459A">
      <w:pPr>
        <w:spacing w:line="360" w:lineRule="auto"/>
        <w:ind w:firstLineChars="200" w:firstLine="560"/>
        <w:rPr>
          <w:rFonts w:ascii="仿宋_GB2312" w:eastAsia="仿宋_GB2312" w:hAnsi="仿宋"/>
          <w:color w:val="000000"/>
          <w:sz w:val="28"/>
        </w:rPr>
      </w:pPr>
      <w:r>
        <w:rPr>
          <w:rFonts w:ascii="仿宋_GB2312" w:eastAsia="仿宋_GB2312" w:hAnsi="仿宋" w:hint="eastAsia"/>
          <w:color w:val="000000"/>
          <w:sz w:val="28"/>
        </w:rPr>
        <w:t>（2）基本假设和相关说明</w:t>
      </w:r>
    </w:p>
    <w:p w:rsidR="0054446D" w:rsidRDefault="00FB459A">
      <w:pPr>
        <w:spacing w:line="360" w:lineRule="auto"/>
        <w:ind w:firstLineChars="200" w:firstLine="560"/>
        <w:rPr>
          <w:rFonts w:ascii="仿宋_GB2312" w:eastAsia="仿宋_GB2312" w:hAnsi="仿宋"/>
          <w:color w:val="000000"/>
          <w:sz w:val="28"/>
        </w:rPr>
      </w:pPr>
      <w:r>
        <w:rPr>
          <w:rFonts w:ascii="仿宋_GB2312" w:eastAsia="仿宋_GB2312" w:hAnsi="仿宋" w:hint="eastAsia"/>
          <w:color w:val="000000"/>
          <w:sz w:val="28"/>
        </w:rPr>
        <w:t>①假设项目开发期为从估价期日起至销售完成时，包括准备期、工程建设期和销售期三个阶段。一般情况下，项目在工程建设的中后期会开始进行预售。为了便于计算，本次估价将销售时点统一在工程竣工验收时，并假定在工程竣工验收时全部销售完毕。项目开发建设周期为从估价期日起至工程竣工验收止，工程投资在建设期内均匀投入。</w:t>
      </w:r>
    </w:p>
    <w:p w:rsidR="0054446D" w:rsidRDefault="00FB459A">
      <w:pPr>
        <w:spacing w:line="360" w:lineRule="auto"/>
        <w:ind w:firstLineChars="200" w:firstLine="560"/>
        <w:rPr>
          <w:rFonts w:ascii="仿宋_GB2312" w:eastAsia="仿宋_GB2312" w:hAnsi="仿宋"/>
          <w:color w:val="000000"/>
          <w:sz w:val="28"/>
        </w:rPr>
      </w:pPr>
      <w:r>
        <w:rPr>
          <w:rFonts w:ascii="仿宋_GB2312" w:eastAsia="仿宋_GB2312" w:hAnsi="仿宋" w:hint="eastAsia"/>
          <w:color w:val="000000"/>
          <w:sz w:val="28"/>
        </w:rPr>
        <w:t>②假设开发成本和销售价格在开发周期内保持平稳，则开发成本和销售价格以同区域、同类型以及同等规模的建筑物的平均开发成本和销售价格作为参考标准。</w:t>
      </w:r>
    </w:p>
    <w:p w:rsidR="0054446D" w:rsidRDefault="00FB459A">
      <w:pPr>
        <w:spacing w:line="360" w:lineRule="auto"/>
        <w:ind w:firstLineChars="200" w:firstLine="560"/>
        <w:rPr>
          <w:rFonts w:ascii="仿宋_GB2312" w:eastAsia="仿宋_GB2312" w:hAnsi="仿宋"/>
          <w:color w:val="000000"/>
          <w:sz w:val="28"/>
        </w:rPr>
      </w:pPr>
      <w:r>
        <w:rPr>
          <w:rFonts w:ascii="仿宋_GB2312" w:eastAsia="仿宋_GB2312" w:hAnsi="仿宋" w:hint="eastAsia"/>
          <w:sz w:val="28"/>
        </w:rPr>
        <w:t>③假设商业、住宅物业收益水平在出让年期内保持稳定。另根据新余市类似项目的开发周期，本次设定项目开发周期为2.5年。</w:t>
      </w:r>
    </w:p>
    <w:p w:rsidR="0054446D" w:rsidRDefault="00FB459A">
      <w:pPr>
        <w:spacing w:line="360" w:lineRule="auto"/>
        <w:ind w:firstLineChars="200" w:firstLine="560"/>
        <w:rPr>
          <w:rFonts w:ascii="仿宋_GB2312" w:eastAsia="仿宋_GB2312" w:hAnsi="仿宋"/>
          <w:color w:val="000000"/>
          <w:sz w:val="28"/>
        </w:rPr>
      </w:pPr>
      <w:r>
        <w:rPr>
          <w:rFonts w:ascii="仿宋_GB2312" w:eastAsia="仿宋_GB2312" w:hAnsi="仿宋" w:hint="eastAsia"/>
          <w:color w:val="000000"/>
          <w:sz w:val="28"/>
        </w:rPr>
        <w:t>（3）确定最佳开发利用方式</w:t>
      </w:r>
    </w:p>
    <w:p w:rsidR="0054446D" w:rsidRDefault="00FB459A">
      <w:pPr>
        <w:spacing w:line="360" w:lineRule="auto"/>
        <w:ind w:firstLineChars="200" w:firstLine="560"/>
        <w:rPr>
          <w:rFonts w:ascii="仿宋_GB2312" w:eastAsia="仿宋_GB2312" w:hAnsi="仿宋"/>
          <w:sz w:val="28"/>
        </w:rPr>
      </w:pPr>
      <w:proofErr w:type="gramStart"/>
      <w:r>
        <w:rPr>
          <w:rFonts w:ascii="仿宋_GB2312" w:eastAsia="仿宋_GB2312" w:hAnsi="仿宋" w:hint="eastAsia"/>
          <w:sz w:val="28"/>
        </w:rPr>
        <w:t>委估宗地</w:t>
      </w:r>
      <w:proofErr w:type="gramEnd"/>
      <w:r>
        <w:rPr>
          <w:rFonts w:ascii="仿宋_GB2312" w:eastAsia="仿宋_GB2312" w:hAnsi="仿宋" w:hint="eastAsia"/>
          <w:sz w:val="28"/>
        </w:rPr>
        <w:t>位于</w:t>
      </w:r>
      <w:r>
        <w:rPr>
          <w:rFonts w:ascii="仿宋_GB2312" w:eastAsia="仿宋_GB2312" w:hAnsi="仿宋" w:hint="eastAsia"/>
          <w:kern w:val="0"/>
          <w:sz w:val="28"/>
          <w:szCs w:val="28"/>
        </w:rPr>
        <w:t>新余市仰天大道北</w:t>
      </w:r>
      <w:r>
        <w:rPr>
          <w:rFonts w:ascii="仿宋_GB2312" w:eastAsia="仿宋_GB2312" w:hAnsi="仿宋" w:hint="eastAsia"/>
          <w:sz w:val="28"/>
        </w:rPr>
        <w:t>，根据委托人提供的《国有建设用地使用权出让合同》[电子监管号：3605002011B01585]、《关于纬二路以北、经三路以东W-09-04号地块的规划条件》[编号：余规条2011-006]记载，估价对象容积率为1≤FAR≤2。主体建筑物性质为住宅楼，建筑总面积119795平方米，建筑限高45米，建筑密度不高于24%，绿地率不低于45%。其余土地利用要求按《余规条2011-006》执行。一是宗地内需布置一所6班幼托；二是按建筑总面积的1.5‰比例配置社区用房、5‰配置物业管理用房；三是住宅按不少于0.5</w:t>
      </w:r>
      <w:proofErr w:type="gramStart"/>
      <w:r>
        <w:rPr>
          <w:rFonts w:ascii="仿宋_GB2312" w:eastAsia="仿宋_GB2312" w:hAnsi="仿宋" w:hint="eastAsia"/>
          <w:sz w:val="28"/>
        </w:rPr>
        <w:t>各</w:t>
      </w:r>
      <w:proofErr w:type="gramEnd"/>
      <w:r>
        <w:rPr>
          <w:rFonts w:ascii="仿宋_GB2312" w:eastAsia="仿宋_GB2312" w:hAnsi="仿宋" w:hint="eastAsia"/>
          <w:sz w:val="28"/>
        </w:rPr>
        <w:t>车位/户配置停车位。根据合法原则及最有效利用原则，本次评估设定宗地的容积率为2，建筑密度为24%，绿地率为45%。</w:t>
      </w:r>
    </w:p>
    <w:p w:rsidR="0054446D" w:rsidRDefault="00FB459A">
      <w:pPr>
        <w:spacing w:line="360" w:lineRule="auto"/>
        <w:ind w:firstLineChars="200" w:firstLine="560"/>
        <w:rPr>
          <w:rFonts w:ascii="仿宋_GB2312" w:eastAsia="仿宋_GB2312" w:hAnsi="仿宋"/>
          <w:color w:val="000000"/>
          <w:sz w:val="28"/>
        </w:rPr>
      </w:pPr>
      <w:r>
        <w:rPr>
          <w:rFonts w:ascii="仿宋_GB2312" w:eastAsia="仿宋_GB2312" w:hAnsi="仿宋" w:hint="eastAsia"/>
          <w:color w:val="000000"/>
          <w:sz w:val="28"/>
        </w:rPr>
        <w:t>本次评估确定项目建设方案如下：</w:t>
      </w:r>
    </w:p>
    <w:p w:rsidR="0054446D" w:rsidRDefault="00FB459A">
      <w:pPr>
        <w:tabs>
          <w:tab w:val="left" w:pos="4111"/>
        </w:tabs>
        <w:spacing w:line="360" w:lineRule="auto"/>
        <w:ind w:firstLineChars="200" w:firstLine="560"/>
        <w:rPr>
          <w:rFonts w:ascii="仿宋_GB2312" w:eastAsia="仿宋_GB2312" w:hAnsi="仿宋"/>
          <w:color w:val="000000"/>
          <w:sz w:val="28"/>
        </w:rPr>
      </w:pPr>
      <w:r>
        <w:rPr>
          <w:rFonts w:ascii="仿宋_GB2312" w:eastAsia="仿宋_GB2312" w:hAnsi="仿宋" w:hint="eastAsia"/>
          <w:color w:val="000000"/>
          <w:sz w:val="28"/>
        </w:rPr>
        <w:t>拟建11层住宅楼，地下停车场，外墙面砖及室内普通装修。总建筑面积为119795.04</w:t>
      </w:r>
      <w:r>
        <w:rPr>
          <w:rFonts w:ascii="仿宋_GB2312" w:eastAsia="仿宋" w:hAnsi="仿宋" w:hint="eastAsia"/>
          <w:color w:val="000000"/>
          <w:sz w:val="28"/>
        </w:rPr>
        <w:t>㎡</w:t>
      </w:r>
      <w:r>
        <w:rPr>
          <w:rFonts w:ascii="仿宋_GB2312" w:eastAsia="仿宋_GB2312" w:hAnsi="仿宋" w:hint="eastAsia"/>
          <w:color w:val="000000"/>
          <w:sz w:val="28"/>
        </w:rPr>
        <w:t>，住宅面积为119375.76</w:t>
      </w:r>
      <w:r>
        <w:rPr>
          <w:rFonts w:ascii="仿宋_GB2312" w:eastAsia="仿宋" w:hAnsi="仿宋" w:hint="eastAsia"/>
          <w:color w:val="000000"/>
          <w:sz w:val="28"/>
        </w:rPr>
        <w:t>㎡</w:t>
      </w:r>
      <w:r>
        <w:rPr>
          <w:rFonts w:ascii="仿宋_GB2312" w:eastAsia="仿宋_GB2312" w:hAnsi="仿宋" w:hint="eastAsia"/>
          <w:color w:val="000000"/>
          <w:sz w:val="28"/>
        </w:rPr>
        <w:t>，物业配套用房、社区用房等面积419.28</w:t>
      </w:r>
      <w:r>
        <w:rPr>
          <w:rFonts w:ascii="仿宋_GB2312" w:eastAsia="仿宋" w:hAnsi="仿宋" w:hint="eastAsia"/>
          <w:color w:val="000000"/>
          <w:sz w:val="28"/>
        </w:rPr>
        <w:t>㎡</w:t>
      </w:r>
      <w:r>
        <w:rPr>
          <w:rFonts w:ascii="仿宋_GB2312" w:eastAsia="仿宋_GB2312" w:hAnsi="仿宋" w:hint="eastAsia"/>
          <w:color w:val="000000"/>
          <w:sz w:val="28"/>
        </w:rPr>
        <w:t>。</w:t>
      </w:r>
      <w:r>
        <w:rPr>
          <w:rFonts w:ascii="仿宋_GB2312" w:eastAsia="仿宋_GB2312" w:hAnsi="仿宋" w:hint="eastAsia"/>
          <w:sz w:val="28"/>
        </w:rPr>
        <w:t>因新余市地下室车位售价基本为成本价或略高于成本价，与开发成本相抵扣，故本次估价不考虑地下室的成本及销售</w:t>
      </w:r>
      <w:r>
        <w:rPr>
          <w:rFonts w:ascii="仿宋_GB2312" w:eastAsia="仿宋_GB2312" w:hAnsi="仿宋" w:hint="eastAsia"/>
          <w:color w:val="000000"/>
          <w:sz w:val="28"/>
        </w:rPr>
        <w:t>。</w:t>
      </w:r>
    </w:p>
    <w:p w:rsidR="0054446D" w:rsidRDefault="00FB459A">
      <w:pPr>
        <w:spacing w:line="360" w:lineRule="auto"/>
        <w:ind w:firstLineChars="200" w:firstLine="560"/>
        <w:rPr>
          <w:rFonts w:ascii="仿宋_GB2312" w:eastAsia="仿宋_GB2312" w:hAnsi="仿宋"/>
          <w:color w:val="000000"/>
          <w:sz w:val="28"/>
        </w:rPr>
      </w:pPr>
      <w:r>
        <w:rPr>
          <w:rFonts w:ascii="仿宋_GB2312" w:eastAsia="仿宋_GB2312" w:hAnsi="仿宋" w:hint="eastAsia"/>
          <w:sz w:val="28"/>
        </w:rPr>
        <w:t>根据</w:t>
      </w:r>
      <w:proofErr w:type="gramStart"/>
      <w:r>
        <w:rPr>
          <w:rFonts w:ascii="仿宋_GB2312" w:eastAsia="仿宋_GB2312" w:hAnsi="仿宋" w:hint="eastAsia"/>
          <w:sz w:val="28"/>
        </w:rPr>
        <w:t>【新余市人民政府办公室关于印发新余市物业管理办法的通知】余府办</w:t>
      </w:r>
      <w:proofErr w:type="gramEnd"/>
      <w:r>
        <w:rPr>
          <w:rFonts w:ascii="仿宋_GB2312" w:eastAsia="仿宋_GB2312" w:hAnsi="仿宋" w:hint="eastAsia"/>
          <w:sz w:val="28"/>
        </w:rPr>
        <w:t>发〔2019〕27号（以下为“通知”）的相关规定，第三十一条建设单位应当按照物业总建筑面积千分之二的标准,在物业管理区域内配置物业管理用房,最低不少于一百二十平方米;其中,业主委员会办公用房最低不少于二十平方米。与《关于纬二路以北、经三路以东W-09-04号地块的规划条件》[编号：余规条2011-006]中5‰配置物业管理用房有差异，但考虑到规划出具时间为2011年，“通知”发布时间为2019年，本次估价关于物业管理用房面积的规定以“通知”上规定的为准。根据最有效利用原则，本次评估将公共配套设施用房面积为419.28平方米这部分在规划的住宅建筑面积中予以扣除，则可销售的商品用房建筑总面积为</w:t>
      </w:r>
      <w:r>
        <w:rPr>
          <w:rFonts w:ascii="仿宋_GB2312" w:eastAsia="仿宋_GB2312" w:hAnsi="仿宋" w:hint="eastAsia"/>
          <w:color w:val="000000"/>
          <w:sz w:val="28"/>
        </w:rPr>
        <w:t>119375.76</w:t>
      </w:r>
      <w:r>
        <w:rPr>
          <w:rFonts w:ascii="仿宋_GB2312" w:eastAsia="仿宋" w:hAnsi="仿宋" w:hint="eastAsia"/>
          <w:sz w:val="28"/>
        </w:rPr>
        <w:t>㎡</w:t>
      </w:r>
      <w:r>
        <w:rPr>
          <w:rFonts w:ascii="仿宋_GB2312" w:eastAsia="仿宋_GB2312" w:hAnsi="仿宋" w:hint="eastAsia"/>
          <w:color w:val="000000"/>
          <w:sz w:val="28"/>
        </w:rPr>
        <w:t>。</w:t>
      </w:r>
    </w:p>
    <w:p w:rsidR="0054446D" w:rsidRDefault="00FB459A">
      <w:pPr>
        <w:spacing w:line="360" w:lineRule="auto"/>
        <w:ind w:firstLineChars="200" w:firstLine="560"/>
        <w:rPr>
          <w:rFonts w:ascii="仿宋_GB2312" w:eastAsia="仿宋_GB2312"/>
        </w:rPr>
      </w:pPr>
      <w:r>
        <w:rPr>
          <w:rFonts w:ascii="仿宋_GB2312" w:eastAsia="仿宋_GB2312" w:hint="eastAsia"/>
          <w:sz w:val="28"/>
          <w:szCs w:val="22"/>
        </w:rPr>
        <w:t>幼儿园建设规模以渝水区中心幼儿园（14个学班）建筑面积4568平方米为标准,则六班按建筑面积2000平方米进行修建，此项需计算成本费用。</w:t>
      </w:r>
    </w:p>
    <w:p w:rsidR="0054446D" w:rsidRDefault="00FB459A">
      <w:pPr>
        <w:spacing w:line="360" w:lineRule="auto"/>
        <w:ind w:firstLineChars="200" w:firstLine="560"/>
        <w:rPr>
          <w:rFonts w:ascii="仿宋_GB2312" w:eastAsia="仿宋_GB2312" w:hAnsi="仿宋"/>
          <w:color w:val="000000"/>
          <w:sz w:val="28"/>
        </w:rPr>
      </w:pPr>
      <w:r>
        <w:rPr>
          <w:rFonts w:ascii="仿宋_GB2312" w:eastAsia="仿宋_GB2312" w:hAnsi="仿宋" w:hint="eastAsia"/>
          <w:color w:val="000000"/>
          <w:sz w:val="28"/>
        </w:rPr>
        <w:t>（4）估价过程</w:t>
      </w:r>
    </w:p>
    <w:p w:rsidR="0054446D" w:rsidRDefault="00FB459A">
      <w:pPr>
        <w:spacing w:line="360" w:lineRule="auto"/>
        <w:ind w:firstLineChars="200" w:firstLine="560"/>
        <w:rPr>
          <w:rFonts w:ascii="仿宋_GB2312" w:eastAsia="仿宋_GB2312" w:hAnsi="仿宋"/>
          <w:sz w:val="28"/>
        </w:rPr>
      </w:pPr>
      <w:r>
        <w:rPr>
          <w:rFonts w:ascii="仿宋_GB2312" w:eastAsia="仿宋_GB2312" w:hAnsi="仿宋" w:hint="eastAsia"/>
          <w:sz w:val="28"/>
        </w:rPr>
        <w:t>①预期开发价值的测算</w:t>
      </w:r>
    </w:p>
    <w:p w:rsidR="0054446D" w:rsidRDefault="00FB459A">
      <w:pPr>
        <w:spacing w:line="360" w:lineRule="auto"/>
        <w:ind w:firstLineChars="200" w:firstLine="560"/>
        <w:rPr>
          <w:rFonts w:ascii="仿宋_GB2312" w:eastAsia="仿宋_GB2312" w:hAnsi="仿宋"/>
          <w:sz w:val="28"/>
        </w:rPr>
      </w:pPr>
      <w:proofErr w:type="gramStart"/>
      <w:r>
        <w:rPr>
          <w:rFonts w:ascii="仿宋_GB2312" w:eastAsia="仿宋_GB2312" w:hAnsi="仿宋" w:hint="eastAsia"/>
          <w:sz w:val="28"/>
        </w:rPr>
        <w:t>委估宗地</w:t>
      </w:r>
      <w:proofErr w:type="gramEnd"/>
      <w:r>
        <w:rPr>
          <w:rFonts w:ascii="仿宋_GB2312" w:eastAsia="仿宋_GB2312" w:hAnsi="仿宋" w:hint="eastAsia"/>
          <w:sz w:val="28"/>
        </w:rPr>
        <w:t>所在区域有较多的类似房地产，同一区域内同类项目的市场价格因项目的位置、规模、景观、装修和经营状况等因素的影响而存在一定的差异。通过实地调查，收集一定的同类住宅物业的市场交易价格及商业出租的租金，采用市场比较法</w:t>
      </w:r>
      <w:proofErr w:type="gramStart"/>
      <w:r>
        <w:rPr>
          <w:rFonts w:ascii="仿宋_GB2312" w:eastAsia="仿宋_GB2312" w:hAnsi="仿宋" w:hint="eastAsia"/>
          <w:sz w:val="28"/>
        </w:rPr>
        <w:t>估算委估宗地</w:t>
      </w:r>
      <w:proofErr w:type="gramEnd"/>
      <w:r>
        <w:rPr>
          <w:rFonts w:ascii="仿宋_GB2312" w:eastAsia="仿宋_GB2312" w:hAnsi="仿宋" w:hint="eastAsia"/>
          <w:sz w:val="28"/>
        </w:rPr>
        <w:t>开发建成后的住宅用房的销售均价。</w:t>
      </w:r>
    </w:p>
    <w:p w:rsidR="0054446D" w:rsidRDefault="00FB459A">
      <w:pPr>
        <w:spacing w:line="360" w:lineRule="auto"/>
        <w:ind w:firstLineChars="200" w:firstLine="560"/>
        <w:rPr>
          <w:rFonts w:ascii="仿宋_GB2312" w:eastAsia="仿宋_GB2312" w:hAnsi="仿宋"/>
          <w:color w:val="000000"/>
          <w:sz w:val="28"/>
        </w:rPr>
      </w:pPr>
      <w:r>
        <w:rPr>
          <w:rFonts w:ascii="仿宋_GB2312" w:eastAsia="仿宋_GB2312" w:hAnsi="仿宋" w:hint="eastAsia"/>
          <w:sz w:val="28"/>
        </w:rPr>
        <w:t>住宅物业市场价格测算</w:t>
      </w:r>
      <w:r>
        <w:rPr>
          <w:rFonts w:ascii="仿宋_GB2312" w:eastAsia="仿宋_GB2312" w:hAnsi="仿宋" w:hint="eastAsia"/>
          <w:color w:val="000000"/>
          <w:sz w:val="28"/>
        </w:rPr>
        <w:t>。</w:t>
      </w:r>
    </w:p>
    <w:p w:rsidR="0054446D" w:rsidRDefault="00FB459A">
      <w:pPr>
        <w:spacing w:line="360" w:lineRule="auto"/>
        <w:ind w:firstLineChars="200" w:firstLine="560"/>
        <w:rPr>
          <w:rFonts w:ascii="仿宋_GB2312" w:eastAsia="仿宋_GB2312" w:hAnsi="仿宋"/>
          <w:color w:val="000000"/>
          <w:sz w:val="28"/>
        </w:rPr>
      </w:pPr>
      <w:proofErr w:type="gramStart"/>
      <w:r>
        <w:rPr>
          <w:rFonts w:ascii="仿宋_GB2312" w:eastAsia="仿宋_GB2312" w:hAnsi="仿宋" w:hint="eastAsia"/>
          <w:color w:val="000000"/>
          <w:sz w:val="28"/>
        </w:rPr>
        <w:t>待估宗地</w:t>
      </w:r>
      <w:proofErr w:type="gramEnd"/>
      <w:r>
        <w:rPr>
          <w:rFonts w:ascii="仿宋_GB2312" w:eastAsia="仿宋_GB2312" w:hAnsi="仿宋" w:hint="eastAsia"/>
          <w:color w:val="000000"/>
          <w:sz w:val="28"/>
        </w:rPr>
        <w:t>住宅开发方案：住宅外墙面砖及室内普通装修，</w:t>
      </w:r>
      <w:proofErr w:type="gramStart"/>
      <w:r>
        <w:rPr>
          <w:rFonts w:ascii="仿宋_GB2312" w:eastAsia="仿宋_GB2312" w:hAnsi="仿宋" w:hint="eastAsia"/>
          <w:color w:val="000000"/>
          <w:sz w:val="28"/>
        </w:rPr>
        <w:t>委估宗地</w:t>
      </w:r>
      <w:proofErr w:type="gramEnd"/>
      <w:r>
        <w:rPr>
          <w:rFonts w:ascii="仿宋_GB2312" w:eastAsia="仿宋_GB2312" w:hAnsi="仿宋" w:hint="eastAsia"/>
          <w:color w:val="000000"/>
          <w:sz w:val="28"/>
        </w:rPr>
        <w:t>开发建成后的住宅物业与可比案例基本情况，详见表4-1：</w:t>
      </w:r>
    </w:p>
    <w:p w:rsidR="0054446D" w:rsidRDefault="0054446D">
      <w:pPr>
        <w:spacing w:line="360" w:lineRule="auto"/>
        <w:ind w:firstLineChars="200" w:firstLine="560"/>
        <w:jc w:val="center"/>
        <w:rPr>
          <w:rFonts w:ascii="仿宋_GB2312" w:eastAsia="仿宋_GB2312" w:hAnsi="仿宋"/>
          <w:color w:val="000000"/>
          <w:sz w:val="28"/>
        </w:rPr>
      </w:pPr>
    </w:p>
    <w:p w:rsidR="0054446D" w:rsidRDefault="0054446D">
      <w:pPr>
        <w:spacing w:line="360" w:lineRule="auto"/>
        <w:ind w:firstLineChars="200" w:firstLine="560"/>
        <w:jc w:val="center"/>
        <w:rPr>
          <w:rFonts w:ascii="仿宋_GB2312" w:eastAsia="仿宋_GB2312" w:hAnsi="仿宋"/>
          <w:color w:val="000000"/>
          <w:sz w:val="28"/>
        </w:rPr>
      </w:pPr>
    </w:p>
    <w:p w:rsidR="0054446D" w:rsidRDefault="0054446D">
      <w:pPr>
        <w:spacing w:line="360" w:lineRule="auto"/>
        <w:ind w:firstLineChars="200" w:firstLine="560"/>
        <w:jc w:val="center"/>
        <w:rPr>
          <w:rFonts w:ascii="仿宋_GB2312" w:eastAsia="仿宋_GB2312" w:hAnsi="仿宋"/>
          <w:color w:val="000000"/>
          <w:sz w:val="28"/>
        </w:rPr>
      </w:pPr>
    </w:p>
    <w:p w:rsidR="0054446D" w:rsidRDefault="00FB459A">
      <w:pPr>
        <w:spacing w:line="360" w:lineRule="auto"/>
        <w:ind w:firstLineChars="200" w:firstLine="560"/>
        <w:jc w:val="center"/>
        <w:rPr>
          <w:rFonts w:ascii="仿宋_GB2312" w:eastAsia="仿宋_GB2312" w:hAnsi="仿宋"/>
          <w:color w:val="000000"/>
          <w:sz w:val="28"/>
        </w:rPr>
      </w:pPr>
      <w:r>
        <w:rPr>
          <w:rFonts w:ascii="仿宋_GB2312" w:eastAsia="仿宋_GB2312" w:hAnsi="仿宋" w:hint="eastAsia"/>
          <w:color w:val="000000"/>
          <w:sz w:val="28"/>
        </w:rPr>
        <w:t>表4-1</w:t>
      </w:r>
      <w:r>
        <w:rPr>
          <w:rFonts w:ascii="仿宋_GB2312" w:eastAsia="仿宋_GB2312" w:hAnsi="仿宋" w:hint="eastAsia"/>
          <w:color w:val="000000"/>
          <w:sz w:val="28"/>
        </w:rPr>
        <w:tab/>
        <w:t>各住宅物业基本情况表</w:t>
      </w:r>
    </w:p>
    <w:tbl>
      <w:tblPr>
        <w:tblW w:w="8799" w:type="dxa"/>
        <w:tblBorders>
          <w:top w:val="double" w:sz="4" w:space="0" w:color="999999"/>
          <w:left w:val="double" w:sz="4" w:space="0" w:color="999999"/>
          <w:bottom w:val="double" w:sz="4" w:space="0" w:color="999999"/>
          <w:right w:val="double" w:sz="4" w:space="0" w:color="999999"/>
          <w:insideH w:val="single" w:sz="6" w:space="0" w:color="999999"/>
          <w:insideV w:val="single" w:sz="6" w:space="0" w:color="999999"/>
        </w:tblBorders>
        <w:shd w:val="clear" w:color="auto" w:fill="FFFFFF" w:themeFill="background1"/>
        <w:tblLayout w:type="fixed"/>
        <w:tblLook w:val="04A0"/>
      </w:tblPr>
      <w:tblGrid>
        <w:gridCol w:w="1809"/>
        <w:gridCol w:w="1461"/>
        <w:gridCol w:w="1843"/>
        <w:gridCol w:w="1843"/>
        <w:gridCol w:w="1843"/>
      </w:tblGrid>
      <w:tr w:rsidR="0054446D">
        <w:trPr>
          <w:trHeight w:val="340"/>
          <w:tblHeader/>
        </w:trPr>
        <w:tc>
          <w:tcPr>
            <w:tcW w:w="1809"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noWrap/>
            <w:vAlign w:val="center"/>
          </w:tcPr>
          <w:p w:rsidR="0054446D" w:rsidRDefault="00FB459A">
            <w:pPr>
              <w:adjustRightInd w:val="0"/>
              <w:snapToGrid w:val="0"/>
              <w:jc w:val="right"/>
              <w:rPr>
                <w:rFonts w:ascii="仿宋" w:eastAsia="仿宋" w:hAnsi="仿宋" w:cs="宋体"/>
                <w:color w:val="000000"/>
                <w:sz w:val="18"/>
                <w:szCs w:val="18"/>
              </w:rPr>
            </w:pPr>
            <w:r>
              <w:rPr>
                <w:rFonts w:ascii="仿宋" w:eastAsia="仿宋" w:hAnsi="仿宋" w:cs="宋体" w:hint="eastAsia"/>
                <w:color w:val="000000"/>
                <w:sz w:val="18"/>
                <w:szCs w:val="18"/>
              </w:rPr>
              <w:t>实例</w:t>
            </w:r>
          </w:p>
          <w:p w:rsidR="0054446D" w:rsidRDefault="00FB459A">
            <w:pPr>
              <w:adjustRightInd w:val="0"/>
              <w:snapToGrid w:val="0"/>
              <w:jc w:val="left"/>
              <w:rPr>
                <w:rFonts w:ascii="仿宋" w:eastAsia="仿宋" w:hAnsi="仿宋" w:cs="宋体"/>
                <w:color w:val="000000"/>
                <w:sz w:val="18"/>
                <w:szCs w:val="18"/>
              </w:rPr>
            </w:pPr>
            <w:r>
              <w:rPr>
                <w:rFonts w:ascii="仿宋" w:eastAsia="仿宋" w:hAnsi="仿宋" w:cs="宋体" w:hint="eastAsia"/>
                <w:color w:val="000000"/>
                <w:sz w:val="18"/>
                <w:szCs w:val="18"/>
              </w:rPr>
              <w:t>因素</w:t>
            </w:r>
          </w:p>
        </w:tc>
        <w:tc>
          <w:tcPr>
            <w:tcW w:w="14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adjustRightInd w:val="0"/>
              <w:snapToGrid w:val="0"/>
              <w:jc w:val="center"/>
              <w:rPr>
                <w:rFonts w:ascii="仿宋" w:eastAsia="仿宋" w:hAnsi="仿宋" w:cs="宋体"/>
                <w:color w:val="000000"/>
                <w:sz w:val="18"/>
                <w:szCs w:val="18"/>
              </w:rPr>
            </w:pPr>
            <w:proofErr w:type="gramStart"/>
            <w:r>
              <w:rPr>
                <w:rFonts w:ascii="仿宋" w:eastAsia="仿宋" w:hAnsi="仿宋" w:cs="宋体" w:hint="eastAsia"/>
                <w:color w:val="000000"/>
                <w:sz w:val="18"/>
                <w:szCs w:val="18"/>
              </w:rPr>
              <w:t>委估宗地</w:t>
            </w:r>
            <w:proofErr w:type="gramEnd"/>
            <w:r>
              <w:rPr>
                <w:rFonts w:ascii="仿宋" w:eastAsia="仿宋" w:hAnsi="仿宋" w:cs="宋体" w:hint="eastAsia"/>
                <w:color w:val="000000"/>
                <w:sz w:val="18"/>
                <w:szCs w:val="18"/>
              </w:rPr>
              <w:t>建成后房地产</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天</w:t>
            </w:r>
            <w:proofErr w:type="gramStart"/>
            <w:r>
              <w:rPr>
                <w:rFonts w:ascii="仿宋" w:eastAsia="仿宋" w:hAnsi="仿宋" w:cs="Tahoma" w:hint="eastAsia"/>
                <w:color w:val="000000"/>
                <w:sz w:val="18"/>
                <w:szCs w:val="18"/>
              </w:rPr>
              <w:t>麓</w:t>
            </w:r>
            <w:proofErr w:type="gramEnd"/>
            <w:r>
              <w:rPr>
                <w:rFonts w:ascii="仿宋" w:eastAsia="仿宋" w:hAnsi="仿宋" w:cs="Tahoma" w:hint="eastAsia"/>
                <w:color w:val="000000"/>
                <w:sz w:val="18"/>
                <w:szCs w:val="18"/>
              </w:rPr>
              <w:t>.玖号府</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proofErr w:type="gramStart"/>
            <w:r>
              <w:rPr>
                <w:rFonts w:ascii="仿宋" w:eastAsia="仿宋" w:hAnsi="仿宋" w:cs="Tahoma" w:hint="eastAsia"/>
                <w:color w:val="000000"/>
                <w:sz w:val="18"/>
                <w:szCs w:val="18"/>
              </w:rPr>
              <w:t>文庭轩</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天</w:t>
            </w:r>
            <w:proofErr w:type="gramStart"/>
            <w:r>
              <w:rPr>
                <w:rFonts w:ascii="仿宋" w:eastAsia="仿宋" w:hAnsi="仿宋" w:cs="Tahoma" w:hint="eastAsia"/>
                <w:color w:val="000000"/>
                <w:sz w:val="18"/>
                <w:szCs w:val="18"/>
              </w:rPr>
              <w:t>麓</w:t>
            </w:r>
            <w:proofErr w:type="gramEnd"/>
            <w:r>
              <w:rPr>
                <w:rFonts w:ascii="仿宋" w:eastAsia="仿宋" w:hAnsi="仿宋" w:cs="Tahoma" w:hint="eastAsia"/>
                <w:color w:val="000000"/>
                <w:sz w:val="18"/>
                <w:szCs w:val="18"/>
              </w:rPr>
              <w:t>·紫薇院</w:t>
            </w:r>
          </w:p>
        </w:tc>
      </w:tr>
      <w:tr w:rsidR="0054446D">
        <w:trPr>
          <w:trHeight w:val="340"/>
          <w:tblHeader/>
        </w:trPr>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adjustRightInd w:val="0"/>
              <w:snapToGrid w:val="0"/>
              <w:jc w:val="center"/>
              <w:rPr>
                <w:rFonts w:ascii="仿宋" w:eastAsia="仿宋" w:hAnsi="仿宋" w:cs="宋体"/>
                <w:color w:val="000000"/>
                <w:sz w:val="18"/>
                <w:szCs w:val="18"/>
              </w:rPr>
            </w:pPr>
            <w:r>
              <w:rPr>
                <w:rFonts w:ascii="仿宋" w:eastAsia="仿宋" w:hAnsi="仿宋" w:cs="宋体" w:hint="eastAsia"/>
                <w:color w:val="000000"/>
                <w:sz w:val="18"/>
                <w:szCs w:val="18"/>
              </w:rPr>
              <w:t>位置</w:t>
            </w:r>
          </w:p>
        </w:tc>
        <w:tc>
          <w:tcPr>
            <w:tcW w:w="14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新余市仰天大道北</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仰天岗西大道</w:t>
            </w:r>
            <w:proofErr w:type="gramStart"/>
            <w:r>
              <w:rPr>
                <w:rFonts w:ascii="仿宋" w:eastAsia="仿宋" w:hAnsi="仿宋" w:cs="Tahoma" w:hint="eastAsia"/>
                <w:color w:val="000000"/>
                <w:sz w:val="18"/>
                <w:szCs w:val="18"/>
              </w:rPr>
              <w:t>与仙来大道</w:t>
            </w:r>
            <w:proofErr w:type="gramEnd"/>
            <w:r>
              <w:rPr>
                <w:rFonts w:ascii="仿宋" w:eastAsia="仿宋" w:hAnsi="仿宋" w:cs="Tahoma" w:hint="eastAsia"/>
                <w:color w:val="000000"/>
                <w:sz w:val="18"/>
                <w:szCs w:val="18"/>
              </w:rPr>
              <w:t>交汇处</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赣西大道以南，城市绿洲小区以西</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仰天岗西大道与北湖西路交汇处</w:t>
            </w:r>
          </w:p>
        </w:tc>
      </w:tr>
      <w:tr w:rsidR="0054446D">
        <w:trPr>
          <w:trHeight w:val="340"/>
          <w:tblHeader/>
        </w:trPr>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adjustRightInd w:val="0"/>
              <w:snapToGrid w:val="0"/>
              <w:jc w:val="center"/>
              <w:rPr>
                <w:rFonts w:ascii="仿宋" w:eastAsia="仿宋" w:hAnsi="仿宋" w:cs="宋体"/>
                <w:color w:val="000000"/>
                <w:sz w:val="18"/>
                <w:szCs w:val="18"/>
              </w:rPr>
            </w:pPr>
            <w:r>
              <w:rPr>
                <w:rFonts w:ascii="仿宋" w:eastAsia="仿宋" w:hAnsi="仿宋" w:cs="宋体" w:hint="eastAsia"/>
                <w:color w:val="000000"/>
                <w:sz w:val="18"/>
                <w:szCs w:val="18"/>
              </w:rPr>
              <w:t>项目照片</w:t>
            </w:r>
          </w:p>
        </w:tc>
        <w:tc>
          <w:tcPr>
            <w:tcW w:w="14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54446D">
            <w:pPr>
              <w:jc w:val="center"/>
              <w:rPr>
                <w:rFonts w:ascii="仿宋" w:eastAsia="仿宋" w:hAnsi="仿宋" w:cs="Tahoma"/>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noProof/>
                <w:color w:val="000000"/>
                <w:sz w:val="18"/>
                <w:szCs w:val="18"/>
              </w:rPr>
              <w:drawing>
                <wp:inline distT="0" distB="0" distL="0" distR="0">
                  <wp:extent cx="1028700" cy="781050"/>
                  <wp:effectExtent l="19050" t="0" r="0"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pic:cNvPicPr>
                            <a:picLocks noChangeAspect="1" noChangeArrowheads="1"/>
                          </pic:cNvPicPr>
                        </pic:nvPicPr>
                        <pic:blipFill>
                          <a:blip r:embed="rId16" cstate="print"/>
                          <a:srcRect/>
                          <a:stretch>
                            <a:fillRect/>
                          </a:stretch>
                        </pic:blipFill>
                        <pic:spPr>
                          <a:xfrm>
                            <a:off x="0" y="0"/>
                            <a:ext cx="1028700" cy="781050"/>
                          </a:xfrm>
                          <a:prstGeom prst="rect">
                            <a:avLst/>
                          </a:prstGeom>
                          <a:noFill/>
                          <a:ln w="9525">
                            <a:noFill/>
                            <a:miter lim="800000"/>
                            <a:headEnd/>
                            <a:tailEnd/>
                          </a:ln>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noProof/>
                <w:color w:val="000000"/>
                <w:sz w:val="18"/>
                <w:szCs w:val="18"/>
              </w:rPr>
              <w:drawing>
                <wp:inline distT="0" distB="0" distL="0" distR="0">
                  <wp:extent cx="1028700" cy="828675"/>
                  <wp:effectExtent l="19050" t="0" r="0" b="0"/>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pic:cNvPicPr>
                            <a:picLocks noChangeAspect="1" noChangeArrowheads="1"/>
                          </pic:cNvPicPr>
                        </pic:nvPicPr>
                        <pic:blipFill>
                          <a:blip r:embed="rId17" cstate="print"/>
                          <a:srcRect/>
                          <a:stretch>
                            <a:fillRect/>
                          </a:stretch>
                        </pic:blipFill>
                        <pic:spPr>
                          <a:xfrm>
                            <a:off x="0" y="0"/>
                            <a:ext cx="1028700" cy="828675"/>
                          </a:xfrm>
                          <a:prstGeom prst="rect">
                            <a:avLst/>
                          </a:prstGeom>
                          <a:noFill/>
                          <a:ln w="9525">
                            <a:noFill/>
                            <a:miter lim="800000"/>
                            <a:headEnd/>
                            <a:tailEnd/>
                          </a:ln>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noProof/>
                <w:color w:val="000000"/>
                <w:sz w:val="18"/>
                <w:szCs w:val="18"/>
              </w:rPr>
              <w:drawing>
                <wp:inline distT="0" distB="0" distL="0" distR="0">
                  <wp:extent cx="1028700" cy="800100"/>
                  <wp:effectExtent l="19050" t="0" r="0" b="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pic:cNvPicPr>
                            <a:picLocks noChangeAspect="1" noChangeArrowheads="1"/>
                          </pic:cNvPicPr>
                        </pic:nvPicPr>
                        <pic:blipFill>
                          <a:blip r:embed="rId18" cstate="print"/>
                          <a:srcRect/>
                          <a:stretch>
                            <a:fillRect/>
                          </a:stretch>
                        </pic:blipFill>
                        <pic:spPr>
                          <a:xfrm>
                            <a:off x="0" y="0"/>
                            <a:ext cx="1028700" cy="800100"/>
                          </a:xfrm>
                          <a:prstGeom prst="rect">
                            <a:avLst/>
                          </a:prstGeom>
                          <a:noFill/>
                          <a:ln w="9525">
                            <a:noFill/>
                            <a:miter lim="800000"/>
                            <a:headEnd/>
                            <a:tailEnd/>
                          </a:ln>
                        </pic:spPr>
                      </pic:pic>
                    </a:graphicData>
                  </a:graphic>
                </wp:inline>
              </w:drawing>
            </w:r>
          </w:p>
        </w:tc>
      </w:tr>
      <w:tr w:rsidR="0054446D">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pStyle w:val="ae"/>
              <w:pBdr>
                <w:bottom w:val="none" w:sz="0" w:space="0" w:color="auto"/>
              </w:pBdr>
              <w:tabs>
                <w:tab w:val="clear" w:pos="4153"/>
                <w:tab w:val="clear" w:pos="8306"/>
              </w:tabs>
              <w:adjustRightInd w:val="0"/>
              <w:rPr>
                <w:rFonts w:ascii="仿宋" w:eastAsia="仿宋" w:hAnsi="仿宋" w:cs="宋体"/>
                <w:color w:val="000000"/>
                <w:szCs w:val="18"/>
              </w:rPr>
            </w:pPr>
            <w:r>
              <w:rPr>
                <w:rFonts w:ascii="仿宋" w:eastAsia="仿宋" w:hAnsi="仿宋" w:cs="宋体" w:hint="eastAsia"/>
                <w:color w:val="000000"/>
                <w:szCs w:val="18"/>
              </w:rPr>
              <w:t>项目面积</w:t>
            </w:r>
          </w:p>
        </w:tc>
        <w:tc>
          <w:tcPr>
            <w:tcW w:w="14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约120000</w:t>
            </w:r>
            <w:r>
              <w:rPr>
                <w:rFonts w:ascii="仿宋" w:eastAsia="仿宋" w:hAnsi="仿宋" w:cs="宋体" w:hint="eastAsia"/>
                <w:color w:val="000000"/>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422160</w:t>
            </w:r>
            <w:r>
              <w:rPr>
                <w:rFonts w:ascii="仿宋" w:eastAsia="仿宋" w:hAnsi="仿宋" w:cs="宋体" w:hint="eastAsia"/>
                <w:color w:val="000000"/>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10986.08</w:t>
            </w:r>
            <w:r>
              <w:rPr>
                <w:rFonts w:ascii="仿宋" w:eastAsia="仿宋" w:hAnsi="仿宋" w:cs="宋体" w:hint="eastAsia"/>
                <w:color w:val="000000"/>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163223</w:t>
            </w:r>
            <w:r>
              <w:rPr>
                <w:rFonts w:ascii="仿宋" w:eastAsia="仿宋" w:hAnsi="仿宋" w:cs="宋体" w:hint="eastAsia"/>
                <w:color w:val="000000"/>
                <w:sz w:val="18"/>
                <w:szCs w:val="18"/>
              </w:rPr>
              <w:t>㎡</w:t>
            </w:r>
          </w:p>
        </w:tc>
      </w:tr>
      <w:tr w:rsidR="0054446D">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pStyle w:val="ae"/>
              <w:pBdr>
                <w:bottom w:val="none" w:sz="0" w:space="0" w:color="auto"/>
              </w:pBdr>
              <w:tabs>
                <w:tab w:val="clear" w:pos="4153"/>
                <w:tab w:val="clear" w:pos="8306"/>
              </w:tabs>
              <w:adjustRightInd w:val="0"/>
              <w:rPr>
                <w:rFonts w:ascii="仿宋" w:eastAsia="仿宋" w:hAnsi="仿宋" w:cs="宋体"/>
                <w:color w:val="000000"/>
                <w:szCs w:val="18"/>
              </w:rPr>
            </w:pPr>
            <w:r>
              <w:rPr>
                <w:rFonts w:ascii="仿宋" w:eastAsia="仿宋" w:hAnsi="仿宋" w:cs="宋体" w:hint="eastAsia"/>
                <w:color w:val="000000"/>
                <w:szCs w:val="18"/>
              </w:rPr>
              <w:t>土地用途</w:t>
            </w:r>
          </w:p>
        </w:tc>
        <w:tc>
          <w:tcPr>
            <w:tcW w:w="14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住宅</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住宅</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普通住宅</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住宅</w:t>
            </w:r>
          </w:p>
        </w:tc>
      </w:tr>
      <w:tr w:rsidR="0054446D">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adjustRightInd w:val="0"/>
              <w:snapToGrid w:val="0"/>
              <w:jc w:val="center"/>
              <w:rPr>
                <w:rFonts w:ascii="仿宋" w:eastAsia="仿宋" w:hAnsi="仿宋" w:cs="宋体"/>
                <w:color w:val="000000"/>
                <w:sz w:val="18"/>
                <w:szCs w:val="18"/>
              </w:rPr>
            </w:pPr>
            <w:r>
              <w:rPr>
                <w:rFonts w:ascii="仿宋" w:eastAsia="仿宋" w:hAnsi="仿宋" w:cs="宋体" w:hint="eastAsia"/>
                <w:color w:val="000000"/>
                <w:sz w:val="18"/>
                <w:szCs w:val="18"/>
              </w:rPr>
              <w:t>容积率</w:t>
            </w:r>
          </w:p>
        </w:tc>
        <w:tc>
          <w:tcPr>
            <w:tcW w:w="14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2.3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2.5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2.18</w:t>
            </w:r>
          </w:p>
        </w:tc>
      </w:tr>
      <w:tr w:rsidR="0054446D">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adjustRightInd w:val="0"/>
              <w:snapToGrid w:val="0"/>
              <w:jc w:val="center"/>
              <w:rPr>
                <w:rFonts w:ascii="仿宋" w:eastAsia="仿宋" w:hAnsi="仿宋" w:cs="宋体"/>
                <w:color w:val="000000"/>
                <w:sz w:val="18"/>
                <w:szCs w:val="18"/>
              </w:rPr>
            </w:pPr>
            <w:r>
              <w:rPr>
                <w:rFonts w:ascii="仿宋" w:eastAsia="仿宋" w:hAnsi="仿宋" w:cs="宋体" w:hint="eastAsia"/>
                <w:color w:val="000000"/>
                <w:sz w:val="18"/>
                <w:szCs w:val="18"/>
              </w:rPr>
              <w:t>建筑类别</w:t>
            </w:r>
          </w:p>
        </w:tc>
        <w:tc>
          <w:tcPr>
            <w:tcW w:w="14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小高层</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高层 小高层</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小高层</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高层 小高层</w:t>
            </w:r>
          </w:p>
        </w:tc>
      </w:tr>
      <w:tr w:rsidR="0054446D">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adjustRightInd w:val="0"/>
              <w:snapToGrid w:val="0"/>
              <w:jc w:val="center"/>
              <w:rPr>
                <w:rFonts w:ascii="仿宋" w:eastAsia="仿宋" w:hAnsi="仿宋" w:cs="宋体"/>
                <w:color w:val="000000"/>
                <w:sz w:val="18"/>
                <w:szCs w:val="18"/>
              </w:rPr>
            </w:pPr>
            <w:r>
              <w:rPr>
                <w:rFonts w:ascii="仿宋" w:eastAsia="仿宋" w:hAnsi="仿宋" w:cs="宋体" w:hint="eastAsia"/>
                <w:color w:val="000000"/>
                <w:sz w:val="18"/>
                <w:szCs w:val="18"/>
              </w:rPr>
              <w:t>销售均价</w:t>
            </w:r>
          </w:p>
          <w:p w:rsidR="0054446D" w:rsidRDefault="00FB459A">
            <w:pPr>
              <w:adjustRightInd w:val="0"/>
              <w:snapToGrid w:val="0"/>
              <w:jc w:val="center"/>
              <w:rPr>
                <w:rFonts w:ascii="仿宋" w:eastAsia="仿宋" w:hAnsi="仿宋" w:cs="宋体"/>
                <w:color w:val="000000"/>
                <w:sz w:val="18"/>
                <w:szCs w:val="18"/>
              </w:rPr>
            </w:pPr>
            <w:r>
              <w:rPr>
                <w:rFonts w:ascii="仿宋" w:eastAsia="仿宋" w:hAnsi="仿宋" w:cs="宋体" w:hint="eastAsia"/>
                <w:color w:val="000000"/>
                <w:sz w:val="18"/>
                <w:szCs w:val="18"/>
              </w:rPr>
              <w:t>（元/㎡）</w:t>
            </w:r>
          </w:p>
        </w:tc>
        <w:tc>
          <w:tcPr>
            <w:tcW w:w="14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proofErr w:type="gramStart"/>
            <w:r>
              <w:rPr>
                <w:rFonts w:ascii="仿宋" w:eastAsia="仿宋" w:hAnsi="仿宋" w:cs="Tahoma" w:hint="eastAsia"/>
                <w:color w:val="000000"/>
                <w:sz w:val="18"/>
                <w:szCs w:val="18"/>
              </w:rPr>
              <w:t>待估</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6,800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7,000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rsidP="00C207D2">
            <w:pPr>
              <w:jc w:val="center"/>
              <w:rPr>
                <w:rFonts w:ascii="仿宋" w:eastAsia="仿宋" w:hAnsi="仿宋" w:cs="Tahoma"/>
                <w:color w:val="000000"/>
                <w:sz w:val="18"/>
                <w:szCs w:val="18"/>
              </w:rPr>
            </w:pPr>
            <w:r>
              <w:rPr>
                <w:rFonts w:ascii="仿宋" w:eastAsia="仿宋" w:hAnsi="仿宋" w:cs="Tahoma" w:hint="eastAsia"/>
                <w:color w:val="000000"/>
                <w:sz w:val="18"/>
                <w:szCs w:val="18"/>
              </w:rPr>
              <w:t>6,5</w:t>
            </w:r>
            <w:r w:rsidR="00C207D2">
              <w:rPr>
                <w:rFonts w:ascii="仿宋" w:eastAsia="仿宋" w:hAnsi="仿宋" w:cs="Tahoma" w:hint="eastAsia"/>
                <w:color w:val="000000"/>
                <w:sz w:val="18"/>
                <w:szCs w:val="18"/>
              </w:rPr>
              <w:t>1</w:t>
            </w:r>
            <w:r>
              <w:rPr>
                <w:rFonts w:ascii="仿宋" w:eastAsia="仿宋" w:hAnsi="仿宋" w:cs="Tahoma" w:hint="eastAsia"/>
                <w:color w:val="000000"/>
                <w:sz w:val="18"/>
                <w:szCs w:val="18"/>
              </w:rPr>
              <w:t>0</w:t>
            </w:r>
          </w:p>
        </w:tc>
      </w:tr>
      <w:tr w:rsidR="0054446D">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adjustRightInd w:val="0"/>
              <w:snapToGrid w:val="0"/>
              <w:jc w:val="center"/>
              <w:rPr>
                <w:rFonts w:ascii="仿宋" w:eastAsia="仿宋" w:hAnsi="仿宋" w:cs="宋体"/>
                <w:color w:val="000000"/>
                <w:sz w:val="18"/>
                <w:szCs w:val="18"/>
              </w:rPr>
            </w:pPr>
            <w:r>
              <w:rPr>
                <w:rFonts w:ascii="仿宋" w:eastAsia="仿宋" w:hAnsi="仿宋" w:cs="宋体" w:hint="eastAsia"/>
                <w:color w:val="000000"/>
                <w:sz w:val="18"/>
                <w:szCs w:val="18"/>
              </w:rPr>
              <w:t>交易时间</w:t>
            </w:r>
          </w:p>
        </w:tc>
        <w:tc>
          <w:tcPr>
            <w:tcW w:w="14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估价基准日</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2022年6月</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2022年1月</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2022年2月</w:t>
            </w:r>
          </w:p>
        </w:tc>
      </w:tr>
      <w:tr w:rsidR="0054446D">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adjustRightInd w:val="0"/>
              <w:snapToGrid w:val="0"/>
              <w:jc w:val="center"/>
              <w:rPr>
                <w:rFonts w:ascii="仿宋" w:eastAsia="仿宋" w:hAnsi="仿宋" w:cs="宋体"/>
                <w:color w:val="000000"/>
                <w:sz w:val="18"/>
                <w:szCs w:val="18"/>
              </w:rPr>
            </w:pPr>
            <w:r>
              <w:rPr>
                <w:rFonts w:ascii="仿宋" w:eastAsia="仿宋" w:hAnsi="仿宋" w:cs="宋体" w:hint="eastAsia"/>
                <w:color w:val="000000"/>
                <w:sz w:val="18"/>
                <w:szCs w:val="18"/>
              </w:rPr>
              <w:t>竣工时间</w:t>
            </w:r>
          </w:p>
        </w:tc>
        <w:tc>
          <w:tcPr>
            <w:tcW w:w="14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2023年6月</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2020年1月</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2024年6月</w:t>
            </w:r>
          </w:p>
        </w:tc>
      </w:tr>
      <w:tr w:rsidR="0054446D">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adjustRightInd w:val="0"/>
              <w:snapToGrid w:val="0"/>
              <w:jc w:val="center"/>
              <w:rPr>
                <w:rFonts w:ascii="仿宋" w:eastAsia="仿宋" w:hAnsi="仿宋" w:cs="宋体"/>
                <w:color w:val="000000"/>
                <w:sz w:val="18"/>
                <w:szCs w:val="18"/>
              </w:rPr>
            </w:pPr>
            <w:r>
              <w:rPr>
                <w:rFonts w:ascii="仿宋" w:eastAsia="仿宋" w:hAnsi="仿宋" w:cs="宋体" w:hint="eastAsia"/>
                <w:color w:val="000000"/>
                <w:sz w:val="18"/>
                <w:szCs w:val="18"/>
              </w:rPr>
              <w:t>交易情况</w:t>
            </w:r>
          </w:p>
        </w:tc>
        <w:tc>
          <w:tcPr>
            <w:tcW w:w="14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正常</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正常</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正常</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正常</w:t>
            </w:r>
          </w:p>
        </w:tc>
      </w:tr>
      <w:tr w:rsidR="0054446D">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adjustRightInd w:val="0"/>
              <w:snapToGrid w:val="0"/>
              <w:jc w:val="center"/>
              <w:rPr>
                <w:rFonts w:ascii="仿宋" w:eastAsia="仿宋" w:hAnsi="仿宋" w:cs="宋体"/>
                <w:color w:val="000000"/>
                <w:sz w:val="18"/>
                <w:szCs w:val="18"/>
              </w:rPr>
            </w:pPr>
            <w:r>
              <w:rPr>
                <w:rFonts w:ascii="仿宋" w:eastAsia="仿宋" w:hAnsi="仿宋" w:cs="宋体" w:hint="eastAsia"/>
                <w:color w:val="000000"/>
                <w:sz w:val="18"/>
                <w:szCs w:val="18"/>
              </w:rPr>
              <w:t>交易时点剩余使用年期</w:t>
            </w:r>
          </w:p>
        </w:tc>
        <w:tc>
          <w:tcPr>
            <w:tcW w:w="14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55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62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63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62</w:t>
            </w:r>
          </w:p>
        </w:tc>
      </w:tr>
      <w:tr w:rsidR="0054446D">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adjustRightInd w:val="0"/>
              <w:snapToGrid w:val="0"/>
              <w:jc w:val="center"/>
              <w:rPr>
                <w:rFonts w:ascii="仿宋" w:eastAsia="仿宋" w:hAnsi="仿宋" w:cs="宋体"/>
                <w:color w:val="000000"/>
                <w:sz w:val="18"/>
                <w:szCs w:val="18"/>
              </w:rPr>
            </w:pPr>
            <w:r>
              <w:rPr>
                <w:rFonts w:ascii="仿宋" w:eastAsia="仿宋" w:hAnsi="仿宋" w:cs="宋体" w:hint="eastAsia"/>
                <w:color w:val="000000"/>
                <w:sz w:val="18"/>
                <w:szCs w:val="18"/>
              </w:rPr>
              <w:t>装修状况</w:t>
            </w:r>
          </w:p>
        </w:tc>
        <w:tc>
          <w:tcPr>
            <w:tcW w:w="14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毛坯</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毛坯</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毛坯</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毛坯</w:t>
            </w:r>
          </w:p>
        </w:tc>
      </w:tr>
      <w:tr w:rsidR="0054446D">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adjustRightInd w:val="0"/>
              <w:snapToGrid w:val="0"/>
              <w:jc w:val="center"/>
              <w:rPr>
                <w:rFonts w:ascii="仿宋" w:eastAsia="仿宋" w:hAnsi="仿宋" w:cs="宋体"/>
                <w:color w:val="000000"/>
                <w:sz w:val="18"/>
                <w:szCs w:val="18"/>
              </w:rPr>
            </w:pPr>
            <w:r>
              <w:rPr>
                <w:rFonts w:ascii="仿宋" w:eastAsia="仿宋" w:hAnsi="仿宋" w:cs="宋体" w:hint="eastAsia"/>
                <w:color w:val="000000"/>
                <w:sz w:val="18"/>
                <w:szCs w:val="18"/>
              </w:rPr>
              <w:t>开发商</w:t>
            </w:r>
          </w:p>
        </w:tc>
        <w:tc>
          <w:tcPr>
            <w:tcW w:w="14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无</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新余蓝天碧水开发建设有限责任公司</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新余市相思林置业有限公司</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新余蓝天碧水开发建设有限责任公司</w:t>
            </w:r>
          </w:p>
        </w:tc>
      </w:tr>
    </w:tbl>
    <w:p w:rsidR="0054446D" w:rsidRDefault="00FB459A">
      <w:pPr>
        <w:spacing w:line="360" w:lineRule="auto"/>
        <w:ind w:firstLineChars="200" w:firstLine="560"/>
        <w:rPr>
          <w:rFonts w:ascii="仿宋" w:eastAsia="仿宋" w:hAnsi="仿宋"/>
          <w:color w:val="000000"/>
          <w:sz w:val="28"/>
        </w:rPr>
      </w:pPr>
      <w:r>
        <w:rPr>
          <w:rFonts w:ascii="仿宋" w:eastAsia="仿宋" w:hAnsi="仿宋" w:hint="eastAsia"/>
          <w:color w:val="000000"/>
          <w:sz w:val="28"/>
        </w:rPr>
        <w:t>经过估价人员综合比较和分析上述可比案例</w:t>
      </w:r>
      <w:proofErr w:type="gramStart"/>
      <w:r>
        <w:rPr>
          <w:rFonts w:ascii="仿宋" w:eastAsia="仿宋" w:hAnsi="仿宋" w:hint="eastAsia"/>
          <w:color w:val="000000"/>
          <w:sz w:val="28"/>
        </w:rPr>
        <w:t>与委估宗地</w:t>
      </w:r>
      <w:proofErr w:type="gramEnd"/>
      <w:r>
        <w:rPr>
          <w:rFonts w:ascii="仿宋" w:eastAsia="仿宋" w:hAnsi="仿宋" w:hint="eastAsia"/>
          <w:color w:val="000000"/>
          <w:sz w:val="28"/>
        </w:rPr>
        <w:t>存在的差异并进行修正，详见表4-2和表4-3：</w:t>
      </w:r>
    </w:p>
    <w:p w:rsidR="0054446D" w:rsidRDefault="00FB459A">
      <w:pPr>
        <w:spacing w:line="360" w:lineRule="auto"/>
        <w:ind w:firstLineChars="200" w:firstLine="560"/>
        <w:jc w:val="center"/>
        <w:rPr>
          <w:rFonts w:ascii="仿宋" w:eastAsia="仿宋" w:hAnsi="仿宋"/>
          <w:color w:val="000000"/>
          <w:sz w:val="28"/>
        </w:rPr>
      </w:pPr>
      <w:r>
        <w:rPr>
          <w:rFonts w:ascii="仿宋" w:eastAsia="仿宋" w:hAnsi="仿宋" w:hint="eastAsia"/>
          <w:color w:val="000000"/>
          <w:sz w:val="28"/>
        </w:rPr>
        <w:t>表4-2  各住宅物业的因素对比表</w:t>
      </w:r>
    </w:p>
    <w:tbl>
      <w:tblPr>
        <w:tblW w:w="8755" w:type="dxa"/>
        <w:tblBorders>
          <w:top w:val="double" w:sz="4" w:space="0" w:color="999999"/>
          <w:left w:val="double" w:sz="4" w:space="0" w:color="999999"/>
          <w:bottom w:val="double" w:sz="4" w:space="0" w:color="999999"/>
          <w:right w:val="double" w:sz="4" w:space="0" w:color="999999"/>
          <w:insideH w:val="single" w:sz="6" w:space="0" w:color="999999"/>
          <w:insideV w:val="single" w:sz="6" w:space="0" w:color="999999"/>
        </w:tblBorders>
        <w:shd w:val="clear" w:color="auto" w:fill="FFFFFF" w:themeFill="background1"/>
        <w:tblLayout w:type="fixed"/>
        <w:tblLook w:val="04A0"/>
      </w:tblPr>
      <w:tblGrid>
        <w:gridCol w:w="540"/>
        <w:gridCol w:w="1980"/>
        <w:gridCol w:w="1485"/>
        <w:gridCol w:w="1485"/>
        <w:gridCol w:w="1485"/>
        <w:gridCol w:w="1780"/>
      </w:tblGrid>
      <w:tr w:rsidR="0054446D">
        <w:trPr>
          <w:trHeight w:val="552"/>
          <w:tblHeader/>
        </w:trPr>
        <w:tc>
          <w:tcPr>
            <w:tcW w:w="2520"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noWrap/>
            <w:vAlign w:val="center"/>
          </w:tcPr>
          <w:p w:rsidR="0054446D" w:rsidRDefault="00FB459A">
            <w:pPr>
              <w:jc w:val="right"/>
              <w:rPr>
                <w:rFonts w:ascii="仿宋" w:eastAsia="仿宋" w:hAnsi="仿宋" w:cs="Tahoma"/>
                <w:color w:val="000000"/>
                <w:sz w:val="18"/>
                <w:szCs w:val="18"/>
              </w:rPr>
            </w:pPr>
            <w:r>
              <w:rPr>
                <w:rFonts w:ascii="仿宋" w:eastAsia="仿宋" w:hAnsi="仿宋" w:cs="Tahoma" w:hint="eastAsia"/>
                <w:color w:val="000000"/>
                <w:sz w:val="18"/>
                <w:szCs w:val="18"/>
              </w:rPr>
              <w:t>实  例</w:t>
            </w:r>
          </w:p>
          <w:p w:rsidR="0054446D" w:rsidRDefault="00FB459A">
            <w:pPr>
              <w:jc w:val="left"/>
              <w:rPr>
                <w:rFonts w:ascii="仿宋" w:eastAsia="仿宋" w:hAnsi="仿宋" w:cs="Tahoma"/>
                <w:color w:val="000000"/>
                <w:sz w:val="18"/>
                <w:szCs w:val="18"/>
              </w:rPr>
            </w:pPr>
            <w:r>
              <w:rPr>
                <w:rFonts w:ascii="仿宋" w:eastAsia="仿宋" w:hAnsi="仿宋" w:cs="Tahoma" w:hint="eastAsia"/>
                <w:color w:val="000000"/>
                <w:sz w:val="18"/>
                <w:szCs w:val="18"/>
              </w:rPr>
              <w:t>因  素</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proofErr w:type="gramStart"/>
            <w:r>
              <w:rPr>
                <w:rFonts w:ascii="仿宋" w:eastAsia="仿宋" w:hAnsi="仿宋" w:cs="Tahoma" w:hint="eastAsia"/>
                <w:color w:val="000000"/>
                <w:sz w:val="18"/>
                <w:szCs w:val="18"/>
              </w:rPr>
              <w:t>委估宗地</w:t>
            </w:r>
            <w:proofErr w:type="gramEnd"/>
            <w:r>
              <w:rPr>
                <w:rFonts w:ascii="仿宋" w:eastAsia="仿宋" w:hAnsi="仿宋" w:cs="Tahoma" w:hint="eastAsia"/>
                <w:color w:val="000000"/>
                <w:sz w:val="18"/>
                <w:szCs w:val="18"/>
              </w:rPr>
              <w:t>建成后房地产</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天</w:t>
            </w:r>
            <w:proofErr w:type="gramStart"/>
            <w:r>
              <w:rPr>
                <w:rFonts w:ascii="仿宋" w:eastAsia="仿宋" w:hAnsi="仿宋" w:cs="Tahoma" w:hint="eastAsia"/>
                <w:color w:val="000000"/>
                <w:sz w:val="18"/>
                <w:szCs w:val="18"/>
              </w:rPr>
              <w:t>麓</w:t>
            </w:r>
            <w:proofErr w:type="gramEnd"/>
            <w:r>
              <w:rPr>
                <w:rFonts w:ascii="仿宋" w:eastAsia="仿宋" w:hAnsi="仿宋" w:cs="Tahoma" w:hint="eastAsia"/>
                <w:color w:val="000000"/>
                <w:sz w:val="18"/>
                <w:szCs w:val="18"/>
              </w:rPr>
              <w:t>.玖号府</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proofErr w:type="gramStart"/>
            <w:r>
              <w:rPr>
                <w:rFonts w:ascii="仿宋" w:eastAsia="仿宋" w:hAnsi="仿宋" w:cs="Tahoma" w:hint="eastAsia"/>
                <w:color w:val="000000"/>
                <w:sz w:val="18"/>
                <w:szCs w:val="18"/>
              </w:rPr>
              <w:t>文庭轩</w:t>
            </w:r>
            <w:proofErr w:type="gramEnd"/>
          </w:p>
        </w:tc>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天</w:t>
            </w:r>
            <w:proofErr w:type="gramStart"/>
            <w:r>
              <w:rPr>
                <w:rFonts w:ascii="仿宋" w:eastAsia="仿宋" w:hAnsi="仿宋" w:cs="Tahoma" w:hint="eastAsia"/>
                <w:color w:val="000000"/>
                <w:sz w:val="18"/>
                <w:szCs w:val="18"/>
              </w:rPr>
              <w:t>麓</w:t>
            </w:r>
            <w:proofErr w:type="gramEnd"/>
            <w:r>
              <w:rPr>
                <w:rFonts w:ascii="仿宋" w:eastAsia="仿宋" w:hAnsi="仿宋" w:cs="Tahoma" w:hint="eastAsia"/>
                <w:color w:val="000000"/>
                <w:sz w:val="18"/>
                <w:szCs w:val="18"/>
              </w:rPr>
              <w:t>·紫薇院</w:t>
            </w:r>
          </w:p>
        </w:tc>
      </w:tr>
      <w:tr w:rsidR="0054446D">
        <w:trPr>
          <w:trHeight w:val="553"/>
        </w:trPr>
        <w:tc>
          <w:tcPr>
            <w:tcW w:w="252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销售价格（元/㎡）</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proofErr w:type="gramStart"/>
            <w:r>
              <w:rPr>
                <w:rFonts w:ascii="仿宋" w:eastAsia="仿宋" w:hAnsi="仿宋" w:cs="Tahoma" w:hint="eastAsia"/>
                <w:color w:val="000000"/>
                <w:sz w:val="18"/>
                <w:szCs w:val="18"/>
              </w:rPr>
              <w:t>待估</w:t>
            </w:r>
            <w:proofErr w:type="gramEnd"/>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6,800</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7,000</w:t>
            </w:r>
          </w:p>
        </w:tc>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rsidP="00C207D2">
            <w:pPr>
              <w:jc w:val="center"/>
              <w:rPr>
                <w:rFonts w:ascii="仿宋" w:eastAsia="仿宋" w:hAnsi="仿宋" w:cs="Tahoma"/>
                <w:color w:val="000000"/>
                <w:sz w:val="18"/>
                <w:szCs w:val="18"/>
              </w:rPr>
            </w:pPr>
            <w:r>
              <w:rPr>
                <w:rFonts w:ascii="仿宋" w:eastAsia="仿宋" w:hAnsi="仿宋" w:cs="Tahoma" w:hint="eastAsia"/>
                <w:color w:val="000000"/>
                <w:sz w:val="18"/>
                <w:szCs w:val="18"/>
              </w:rPr>
              <w:t>6,5</w:t>
            </w:r>
            <w:r w:rsidR="00C207D2">
              <w:rPr>
                <w:rFonts w:ascii="仿宋" w:eastAsia="仿宋" w:hAnsi="仿宋" w:cs="Tahoma" w:hint="eastAsia"/>
                <w:color w:val="000000"/>
                <w:sz w:val="18"/>
                <w:szCs w:val="18"/>
              </w:rPr>
              <w:t>1</w:t>
            </w:r>
            <w:r>
              <w:rPr>
                <w:rFonts w:ascii="仿宋" w:eastAsia="仿宋" w:hAnsi="仿宋" w:cs="Tahoma" w:hint="eastAsia"/>
                <w:color w:val="000000"/>
                <w:sz w:val="18"/>
                <w:szCs w:val="18"/>
              </w:rPr>
              <w:t>0</w:t>
            </w:r>
          </w:p>
        </w:tc>
      </w:tr>
      <w:tr w:rsidR="0054446D">
        <w:trPr>
          <w:trHeight w:val="552"/>
        </w:trPr>
        <w:tc>
          <w:tcPr>
            <w:tcW w:w="252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交易时间</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估价基准日</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2022年6月</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2022年1月</w:t>
            </w:r>
          </w:p>
        </w:tc>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2022年2月</w:t>
            </w:r>
          </w:p>
        </w:tc>
      </w:tr>
      <w:tr w:rsidR="0054446D">
        <w:trPr>
          <w:trHeight w:val="553"/>
        </w:trPr>
        <w:tc>
          <w:tcPr>
            <w:tcW w:w="252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交易情况</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正常</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正常</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正常</w:t>
            </w:r>
          </w:p>
        </w:tc>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正常</w:t>
            </w:r>
          </w:p>
        </w:tc>
      </w:tr>
      <w:tr w:rsidR="0054446D">
        <w:trPr>
          <w:trHeight w:val="552"/>
        </w:trPr>
        <w:tc>
          <w:tcPr>
            <w:tcW w:w="5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区域因素</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所在片区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渝水区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渝水区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渝水区</w:t>
            </w:r>
          </w:p>
        </w:tc>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渝水区</w:t>
            </w:r>
          </w:p>
        </w:tc>
      </w:tr>
      <w:tr w:rsidR="0054446D">
        <w:trPr>
          <w:trHeight w:val="553"/>
        </w:trPr>
        <w:tc>
          <w:tcPr>
            <w:tcW w:w="540"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54446D">
            <w:pPr>
              <w:jc w:val="center"/>
              <w:rPr>
                <w:rFonts w:ascii="仿宋" w:eastAsia="仿宋" w:hAnsi="仿宋" w:cs="Tahoma"/>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公共交通</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一般</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一般</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一般</w:t>
            </w:r>
          </w:p>
        </w:tc>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一般</w:t>
            </w:r>
          </w:p>
        </w:tc>
      </w:tr>
      <w:tr w:rsidR="0054446D">
        <w:trPr>
          <w:trHeight w:val="552"/>
        </w:trPr>
        <w:tc>
          <w:tcPr>
            <w:tcW w:w="540"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54446D">
            <w:pPr>
              <w:jc w:val="center"/>
              <w:rPr>
                <w:rFonts w:ascii="仿宋" w:eastAsia="仿宋" w:hAnsi="仿宋" w:cs="Tahoma"/>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道路设施</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路网密度一般</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路网密度一般</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路网密度一般</w:t>
            </w:r>
          </w:p>
        </w:tc>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路网密度一般</w:t>
            </w:r>
          </w:p>
        </w:tc>
      </w:tr>
      <w:tr w:rsidR="0054446D">
        <w:trPr>
          <w:trHeight w:val="553"/>
        </w:trPr>
        <w:tc>
          <w:tcPr>
            <w:tcW w:w="540"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54446D">
            <w:pPr>
              <w:jc w:val="center"/>
              <w:rPr>
                <w:rFonts w:ascii="仿宋" w:eastAsia="仿宋" w:hAnsi="仿宋" w:cs="Tahoma"/>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生活配套设施</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较齐全</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较齐全</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较齐全</w:t>
            </w:r>
          </w:p>
        </w:tc>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较齐全</w:t>
            </w:r>
          </w:p>
        </w:tc>
      </w:tr>
      <w:tr w:rsidR="0054446D">
        <w:trPr>
          <w:trHeight w:val="552"/>
        </w:trPr>
        <w:tc>
          <w:tcPr>
            <w:tcW w:w="540"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54446D">
            <w:pPr>
              <w:jc w:val="center"/>
              <w:rPr>
                <w:rFonts w:ascii="仿宋" w:eastAsia="仿宋" w:hAnsi="仿宋" w:cs="Tahoma"/>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周边物业类型</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住宅为主</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住宅为主</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住宅为主</w:t>
            </w:r>
          </w:p>
        </w:tc>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住宅为主</w:t>
            </w:r>
          </w:p>
        </w:tc>
      </w:tr>
      <w:tr w:rsidR="0054446D">
        <w:trPr>
          <w:trHeight w:val="553"/>
        </w:trPr>
        <w:tc>
          <w:tcPr>
            <w:tcW w:w="540"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54446D">
            <w:pPr>
              <w:jc w:val="center"/>
              <w:rPr>
                <w:rFonts w:ascii="仿宋" w:eastAsia="仿宋" w:hAnsi="仿宋" w:cs="Tahoma"/>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人口密度</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较优</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较优</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较优</w:t>
            </w:r>
          </w:p>
        </w:tc>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较优</w:t>
            </w:r>
          </w:p>
        </w:tc>
      </w:tr>
      <w:tr w:rsidR="0054446D">
        <w:trPr>
          <w:trHeight w:val="553"/>
        </w:trPr>
        <w:tc>
          <w:tcPr>
            <w:tcW w:w="540"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54446D">
            <w:pPr>
              <w:jc w:val="center"/>
              <w:rPr>
                <w:rFonts w:ascii="仿宋" w:eastAsia="仿宋" w:hAnsi="仿宋" w:cs="Tahoma"/>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环境景观</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环境好</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环境较好</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环境一般</w:t>
            </w:r>
          </w:p>
        </w:tc>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环境较好</w:t>
            </w:r>
          </w:p>
        </w:tc>
      </w:tr>
      <w:tr w:rsidR="0054446D">
        <w:trPr>
          <w:trHeight w:val="418"/>
        </w:trPr>
        <w:tc>
          <w:tcPr>
            <w:tcW w:w="5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个别因素</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项目规模</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120000</w:t>
            </w:r>
            <w:r>
              <w:rPr>
                <w:rFonts w:ascii="仿宋" w:eastAsia="仿宋" w:hAnsi="仿宋" w:cs="宋体" w:hint="eastAsia"/>
                <w:color w:val="000000"/>
                <w:sz w:val="18"/>
                <w:szCs w:val="18"/>
              </w:rPr>
              <w:t>㎡</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422160</w:t>
            </w:r>
            <w:r>
              <w:rPr>
                <w:rFonts w:ascii="仿宋" w:eastAsia="仿宋" w:hAnsi="仿宋" w:cs="宋体" w:hint="eastAsia"/>
                <w:color w:val="000000"/>
                <w:sz w:val="18"/>
                <w:szCs w:val="18"/>
              </w:rPr>
              <w:t>㎡</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10986.08</w:t>
            </w:r>
            <w:r>
              <w:rPr>
                <w:rFonts w:ascii="仿宋" w:eastAsia="仿宋" w:hAnsi="仿宋" w:cs="宋体" w:hint="eastAsia"/>
                <w:color w:val="000000"/>
                <w:sz w:val="18"/>
                <w:szCs w:val="18"/>
              </w:rPr>
              <w:t>㎡</w:t>
            </w:r>
          </w:p>
        </w:tc>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163223</w:t>
            </w:r>
            <w:r>
              <w:rPr>
                <w:rFonts w:ascii="仿宋" w:eastAsia="仿宋" w:hAnsi="仿宋" w:cs="宋体" w:hint="eastAsia"/>
                <w:color w:val="000000"/>
                <w:sz w:val="18"/>
                <w:szCs w:val="18"/>
              </w:rPr>
              <w:t>㎡</w:t>
            </w:r>
          </w:p>
        </w:tc>
      </w:tr>
      <w:tr w:rsidR="0054446D">
        <w:trPr>
          <w:trHeight w:val="419"/>
        </w:trPr>
        <w:tc>
          <w:tcPr>
            <w:tcW w:w="540"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54446D">
            <w:pPr>
              <w:jc w:val="center"/>
              <w:rPr>
                <w:rFonts w:ascii="仿宋" w:eastAsia="仿宋" w:hAnsi="仿宋" w:cs="Tahoma"/>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容积率</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2</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2.3</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2.5</w:t>
            </w:r>
          </w:p>
        </w:tc>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2.18</w:t>
            </w:r>
          </w:p>
        </w:tc>
      </w:tr>
      <w:tr w:rsidR="0054446D">
        <w:trPr>
          <w:trHeight w:val="418"/>
        </w:trPr>
        <w:tc>
          <w:tcPr>
            <w:tcW w:w="540"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54446D">
            <w:pPr>
              <w:jc w:val="center"/>
              <w:rPr>
                <w:rFonts w:ascii="仿宋" w:eastAsia="仿宋" w:hAnsi="仿宋" w:cs="Tahoma"/>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房屋类型</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住宅</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住宅</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住宅</w:t>
            </w:r>
          </w:p>
        </w:tc>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住宅</w:t>
            </w:r>
          </w:p>
        </w:tc>
      </w:tr>
      <w:tr w:rsidR="0054446D">
        <w:trPr>
          <w:trHeight w:val="419"/>
        </w:trPr>
        <w:tc>
          <w:tcPr>
            <w:tcW w:w="540"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54446D">
            <w:pPr>
              <w:jc w:val="center"/>
              <w:rPr>
                <w:rFonts w:ascii="仿宋" w:eastAsia="仿宋" w:hAnsi="仿宋" w:cs="Tahoma"/>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建筑类别</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小高层</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高层 小高层</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小高层</w:t>
            </w:r>
          </w:p>
        </w:tc>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高层 小高层</w:t>
            </w:r>
          </w:p>
        </w:tc>
      </w:tr>
      <w:tr w:rsidR="0054446D">
        <w:trPr>
          <w:trHeight w:val="418"/>
        </w:trPr>
        <w:tc>
          <w:tcPr>
            <w:tcW w:w="540"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54446D">
            <w:pPr>
              <w:jc w:val="center"/>
              <w:rPr>
                <w:rFonts w:ascii="仿宋" w:eastAsia="仿宋" w:hAnsi="仿宋" w:cs="Tahoma"/>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临路状况</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临支路</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临仰天岗大道</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proofErr w:type="gramStart"/>
            <w:r>
              <w:rPr>
                <w:rFonts w:ascii="仿宋" w:eastAsia="仿宋" w:hAnsi="仿宋" w:cs="Tahoma" w:hint="eastAsia"/>
                <w:color w:val="000000"/>
                <w:sz w:val="18"/>
                <w:szCs w:val="18"/>
              </w:rPr>
              <w:t>临赣西</w:t>
            </w:r>
            <w:proofErr w:type="gramEnd"/>
            <w:r>
              <w:rPr>
                <w:rFonts w:ascii="仿宋" w:eastAsia="仿宋" w:hAnsi="仿宋" w:cs="Tahoma" w:hint="eastAsia"/>
                <w:color w:val="000000"/>
                <w:sz w:val="18"/>
                <w:szCs w:val="18"/>
              </w:rPr>
              <w:t>大道</w:t>
            </w:r>
          </w:p>
        </w:tc>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临仰天岗大道</w:t>
            </w:r>
          </w:p>
        </w:tc>
      </w:tr>
      <w:tr w:rsidR="0054446D">
        <w:trPr>
          <w:trHeight w:val="419"/>
        </w:trPr>
        <w:tc>
          <w:tcPr>
            <w:tcW w:w="540"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54446D">
            <w:pPr>
              <w:jc w:val="center"/>
              <w:rPr>
                <w:rFonts w:ascii="仿宋" w:eastAsia="仿宋" w:hAnsi="仿宋" w:cs="Tahoma"/>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剩余使用年期</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55</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62</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63</w:t>
            </w:r>
          </w:p>
        </w:tc>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62</w:t>
            </w:r>
          </w:p>
        </w:tc>
      </w:tr>
      <w:tr w:rsidR="0054446D">
        <w:trPr>
          <w:trHeight w:val="418"/>
        </w:trPr>
        <w:tc>
          <w:tcPr>
            <w:tcW w:w="540"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54446D">
            <w:pPr>
              <w:jc w:val="center"/>
              <w:rPr>
                <w:rFonts w:ascii="仿宋" w:eastAsia="仿宋" w:hAnsi="仿宋" w:cs="Tahoma"/>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装修状况</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毛坯</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毛坯</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毛坯</w:t>
            </w:r>
          </w:p>
        </w:tc>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毛坯</w:t>
            </w:r>
          </w:p>
        </w:tc>
      </w:tr>
      <w:tr w:rsidR="0054446D">
        <w:trPr>
          <w:trHeight w:val="419"/>
        </w:trPr>
        <w:tc>
          <w:tcPr>
            <w:tcW w:w="540"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54446D">
            <w:pPr>
              <w:jc w:val="center"/>
              <w:rPr>
                <w:rFonts w:ascii="仿宋" w:eastAsia="仿宋" w:hAnsi="仿宋" w:cs="Tahoma"/>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新旧程度</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十成新</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十成新</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十成新</w:t>
            </w:r>
          </w:p>
        </w:tc>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十成新</w:t>
            </w:r>
          </w:p>
        </w:tc>
      </w:tr>
      <w:tr w:rsidR="0054446D">
        <w:trPr>
          <w:trHeight w:val="419"/>
        </w:trPr>
        <w:tc>
          <w:tcPr>
            <w:tcW w:w="540"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54446D">
            <w:pPr>
              <w:jc w:val="center"/>
              <w:rPr>
                <w:rFonts w:ascii="仿宋" w:eastAsia="仿宋" w:hAnsi="仿宋" w:cs="Tahoma"/>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发展商知名度</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好</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好</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好</w:t>
            </w:r>
          </w:p>
        </w:tc>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好</w:t>
            </w:r>
          </w:p>
        </w:tc>
      </w:tr>
    </w:tbl>
    <w:p w:rsidR="0054446D" w:rsidRDefault="00FB459A">
      <w:pPr>
        <w:spacing w:line="360" w:lineRule="auto"/>
        <w:ind w:firstLineChars="294" w:firstLine="708"/>
        <w:jc w:val="center"/>
        <w:rPr>
          <w:rFonts w:ascii="仿宋" w:eastAsia="仿宋" w:hAnsi="仿宋"/>
          <w:color w:val="000000"/>
          <w:sz w:val="28"/>
        </w:rPr>
      </w:pPr>
      <w:r>
        <w:rPr>
          <w:rFonts w:ascii="仿宋" w:eastAsia="仿宋" w:hAnsi="仿宋" w:hint="eastAsia"/>
          <w:b/>
          <w:color w:val="000000"/>
          <w:sz w:val="24"/>
          <w:highlight w:val="yellow"/>
        </w:rPr>
        <w:br w:type="page"/>
      </w:r>
      <w:r>
        <w:rPr>
          <w:rFonts w:ascii="仿宋" w:eastAsia="仿宋" w:hAnsi="仿宋" w:hint="eastAsia"/>
          <w:color w:val="000000"/>
          <w:sz w:val="28"/>
        </w:rPr>
        <w:t>表4-3   各住宅物业的价格修正表</w:t>
      </w:r>
    </w:p>
    <w:tbl>
      <w:tblPr>
        <w:tblW w:w="8460" w:type="dxa"/>
        <w:tblInd w:w="108" w:type="dxa"/>
        <w:tblBorders>
          <w:top w:val="double" w:sz="4" w:space="0" w:color="999999"/>
          <w:left w:val="double" w:sz="4" w:space="0" w:color="999999"/>
          <w:bottom w:val="double" w:sz="4" w:space="0" w:color="999999"/>
          <w:right w:val="double" w:sz="4" w:space="0" w:color="999999"/>
          <w:insideH w:val="single" w:sz="6" w:space="0" w:color="999999"/>
          <w:insideV w:val="single" w:sz="6" w:space="0" w:color="999999"/>
        </w:tblBorders>
        <w:shd w:val="clear" w:color="auto" w:fill="FFFFFF" w:themeFill="background1"/>
        <w:tblLayout w:type="fixed"/>
        <w:tblLook w:val="04A0"/>
      </w:tblPr>
      <w:tblGrid>
        <w:gridCol w:w="540"/>
        <w:gridCol w:w="1980"/>
        <w:gridCol w:w="1440"/>
        <w:gridCol w:w="1500"/>
        <w:gridCol w:w="1500"/>
        <w:gridCol w:w="1500"/>
      </w:tblGrid>
      <w:tr w:rsidR="0054446D">
        <w:trPr>
          <w:trHeight w:val="454"/>
          <w:tblHeader/>
        </w:trPr>
        <w:tc>
          <w:tcPr>
            <w:tcW w:w="2520"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noWrap/>
            <w:vAlign w:val="center"/>
          </w:tcPr>
          <w:p w:rsidR="0054446D" w:rsidRDefault="00FB459A">
            <w:pPr>
              <w:jc w:val="right"/>
              <w:rPr>
                <w:rFonts w:ascii="仿宋" w:eastAsia="仿宋" w:hAnsi="仿宋" w:cs="Tahoma"/>
                <w:color w:val="000000"/>
                <w:sz w:val="18"/>
                <w:szCs w:val="18"/>
              </w:rPr>
            </w:pPr>
            <w:r>
              <w:rPr>
                <w:rFonts w:ascii="仿宋" w:eastAsia="仿宋" w:hAnsi="仿宋" w:cs="Tahoma" w:hint="eastAsia"/>
                <w:color w:val="000000"/>
                <w:sz w:val="18"/>
                <w:szCs w:val="18"/>
              </w:rPr>
              <w:t>实  例</w:t>
            </w:r>
          </w:p>
          <w:p w:rsidR="0054446D" w:rsidRDefault="00FB459A">
            <w:pPr>
              <w:jc w:val="left"/>
              <w:rPr>
                <w:rFonts w:ascii="仿宋" w:eastAsia="仿宋" w:hAnsi="仿宋" w:cs="Tahoma"/>
                <w:color w:val="000000"/>
                <w:sz w:val="18"/>
                <w:szCs w:val="18"/>
              </w:rPr>
            </w:pPr>
            <w:r>
              <w:rPr>
                <w:rFonts w:ascii="仿宋" w:eastAsia="仿宋" w:hAnsi="仿宋" w:cs="Tahoma" w:hint="eastAsia"/>
                <w:color w:val="000000"/>
                <w:sz w:val="18"/>
                <w:szCs w:val="18"/>
              </w:rPr>
              <w:t>因  素</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proofErr w:type="gramStart"/>
            <w:r>
              <w:rPr>
                <w:rFonts w:ascii="仿宋" w:eastAsia="仿宋" w:hAnsi="仿宋" w:cs="Tahoma" w:hint="eastAsia"/>
                <w:color w:val="000000"/>
                <w:sz w:val="18"/>
                <w:szCs w:val="18"/>
              </w:rPr>
              <w:t>委估宗地</w:t>
            </w:r>
            <w:proofErr w:type="gramEnd"/>
            <w:r>
              <w:rPr>
                <w:rFonts w:ascii="仿宋" w:eastAsia="仿宋" w:hAnsi="仿宋" w:cs="Tahoma" w:hint="eastAsia"/>
                <w:color w:val="000000"/>
                <w:sz w:val="18"/>
                <w:szCs w:val="18"/>
              </w:rPr>
              <w:t>建成后房地产</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天</w:t>
            </w:r>
            <w:proofErr w:type="gramStart"/>
            <w:r>
              <w:rPr>
                <w:rFonts w:ascii="仿宋" w:eastAsia="仿宋" w:hAnsi="仿宋" w:cs="Tahoma" w:hint="eastAsia"/>
                <w:color w:val="000000"/>
                <w:sz w:val="18"/>
                <w:szCs w:val="18"/>
              </w:rPr>
              <w:t>麓</w:t>
            </w:r>
            <w:proofErr w:type="gramEnd"/>
            <w:r>
              <w:rPr>
                <w:rFonts w:ascii="仿宋" w:eastAsia="仿宋" w:hAnsi="仿宋" w:cs="Tahoma" w:hint="eastAsia"/>
                <w:color w:val="000000"/>
                <w:sz w:val="18"/>
                <w:szCs w:val="18"/>
              </w:rPr>
              <w:t>.玖号府</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proofErr w:type="gramStart"/>
            <w:r>
              <w:rPr>
                <w:rFonts w:ascii="仿宋" w:eastAsia="仿宋" w:hAnsi="仿宋" w:cs="Tahoma" w:hint="eastAsia"/>
                <w:color w:val="000000"/>
                <w:sz w:val="18"/>
                <w:szCs w:val="18"/>
              </w:rPr>
              <w:t>文庭轩</w:t>
            </w:r>
            <w:proofErr w:type="gramEnd"/>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天</w:t>
            </w:r>
            <w:proofErr w:type="gramStart"/>
            <w:r>
              <w:rPr>
                <w:rFonts w:ascii="仿宋" w:eastAsia="仿宋" w:hAnsi="仿宋" w:cs="Tahoma" w:hint="eastAsia"/>
                <w:color w:val="000000"/>
                <w:sz w:val="18"/>
                <w:szCs w:val="18"/>
              </w:rPr>
              <w:t>麓</w:t>
            </w:r>
            <w:proofErr w:type="gramEnd"/>
            <w:r>
              <w:rPr>
                <w:rFonts w:ascii="仿宋" w:eastAsia="仿宋" w:hAnsi="仿宋" w:cs="Tahoma" w:hint="eastAsia"/>
                <w:color w:val="000000"/>
                <w:sz w:val="18"/>
                <w:szCs w:val="18"/>
              </w:rPr>
              <w:t>·紫薇院</w:t>
            </w:r>
          </w:p>
        </w:tc>
      </w:tr>
      <w:tr w:rsidR="0054446D">
        <w:trPr>
          <w:trHeight w:val="454"/>
        </w:trPr>
        <w:tc>
          <w:tcPr>
            <w:tcW w:w="252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销售价格（元/㎡）</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proofErr w:type="gramStart"/>
            <w:r>
              <w:rPr>
                <w:rFonts w:ascii="仿宋" w:eastAsia="仿宋" w:hAnsi="仿宋" w:cs="Tahoma" w:hint="eastAsia"/>
                <w:color w:val="000000"/>
                <w:sz w:val="18"/>
                <w:szCs w:val="18"/>
              </w:rPr>
              <w:t>待估</w:t>
            </w:r>
            <w:proofErr w:type="gramEnd"/>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6,800</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7,000</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C207D2">
            <w:pPr>
              <w:jc w:val="center"/>
              <w:rPr>
                <w:rFonts w:ascii="仿宋" w:eastAsia="仿宋" w:hAnsi="仿宋" w:cs="Tahoma"/>
                <w:sz w:val="18"/>
                <w:szCs w:val="18"/>
              </w:rPr>
            </w:pPr>
            <w:r>
              <w:rPr>
                <w:rFonts w:ascii="仿宋" w:eastAsia="仿宋" w:hAnsi="仿宋" w:cs="Tahoma" w:hint="eastAsia"/>
                <w:sz w:val="18"/>
                <w:szCs w:val="18"/>
              </w:rPr>
              <w:t>6,510</w:t>
            </w:r>
          </w:p>
        </w:tc>
      </w:tr>
      <w:tr w:rsidR="0054446D">
        <w:trPr>
          <w:trHeight w:val="454"/>
        </w:trPr>
        <w:tc>
          <w:tcPr>
            <w:tcW w:w="252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交易时间</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100</w:t>
            </w:r>
          </w:p>
        </w:tc>
      </w:tr>
      <w:tr w:rsidR="0054446D">
        <w:trPr>
          <w:trHeight w:val="454"/>
        </w:trPr>
        <w:tc>
          <w:tcPr>
            <w:tcW w:w="252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交易情况</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100</w:t>
            </w:r>
          </w:p>
        </w:tc>
      </w:tr>
      <w:tr w:rsidR="0054446D">
        <w:trPr>
          <w:trHeight w:val="454"/>
        </w:trPr>
        <w:tc>
          <w:tcPr>
            <w:tcW w:w="5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区域因素</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所在片区</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100</w:t>
            </w:r>
          </w:p>
        </w:tc>
      </w:tr>
      <w:tr w:rsidR="0054446D">
        <w:trPr>
          <w:trHeight w:val="454"/>
        </w:trPr>
        <w:tc>
          <w:tcPr>
            <w:tcW w:w="540"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54446D">
            <w:pPr>
              <w:jc w:val="center"/>
              <w:rPr>
                <w:rFonts w:ascii="仿宋" w:eastAsia="仿宋" w:hAnsi="仿宋" w:cs="Tahoma"/>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公共交通</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100</w:t>
            </w:r>
          </w:p>
        </w:tc>
      </w:tr>
      <w:tr w:rsidR="0054446D">
        <w:trPr>
          <w:trHeight w:val="454"/>
        </w:trPr>
        <w:tc>
          <w:tcPr>
            <w:tcW w:w="540"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54446D">
            <w:pPr>
              <w:jc w:val="center"/>
              <w:rPr>
                <w:rFonts w:ascii="仿宋" w:eastAsia="仿宋" w:hAnsi="仿宋" w:cs="Tahoma"/>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道路设施</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100</w:t>
            </w:r>
          </w:p>
        </w:tc>
      </w:tr>
      <w:tr w:rsidR="0054446D">
        <w:trPr>
          <w:trHeight w:val="454"/>
        </w:trPr>
        <w:tc>
          <w:tcPr>
            <w:tcW w:w="540"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54446D">
            <w:pPr>
              <w:jc w:val="center"/>
              <w:rPr>
                <w:rFonts w:ascii="仿宋" w:eastAsia="仿宋" w:hAnsi="仿宋" w:cs="Tahoma"/>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生活配套设施</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100</w:t>
            </w:r>
          </w:p>
        </w:tc>
      </w:tr>
      <w:tr w:rsidR="0054446D">
        <w:trPr>
          <w:trHeight w:val="454"/>
        </w:trPr>
        <w:tc>
          <w:tcPr>
            <w:tcW w:w="540"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54446D">
            <w:pPr>
              <w:jc w:val="center"/>
              <w:rPr>
                <w:rFonts w:ascii="仿宋" w:eastAsia="仿宋" w:hAnsi="仿宋" w:cs="Tahoma"/>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周边物业类型</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100</w:t>
            </w:r>
          </w:p>
        </w:tc>
      </w:tr>
      <w:tr w:rsidR="0054446D">
        <w:trPr>
          <w:trHeight w:val="454"/>
        </w:trPr>
        <w:tc>
          <w:tcPr>
            <w:tcW w:w="540"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54446D">
            <w:pPr>
              <w:jc w:val="center"/>
              <w:rPr>
                <w:rFonts w:ascii="仿宋" w:eastAsia="仿宋" w:hAnsi="仿宋" w:cs="Tahoma"/>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人口密度</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100</w:t>
            </w:r>
          </w:p>
        </w:tc>
      </w:tr>
      <w:tr w:rsidR="0054446D">
        <w:trPr>
          <w:trHeight w:val="454"/>
        </w:trPr>
        <w:tc>
          <w:tcPr>
            <w:tcW w:w="540"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54446D">
            <w:pPr>
              <w:jc w:val="center"/>
              <w:rPr>
                <w:rFonts w:ascii="仿宋" w:eastAsia="仿宋" w:hAnsi="仿宋" w:cs="Tahoma"/>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环境景观</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99</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98</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99</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99</w:t>
            </w:r>
          </w:p>
        </w:tc>
      </w:tr>
      <w:tr w:rsidR="0054446D">
        <w:trPr>
          <w:trHeight w:val="454"/>
        </w:trPr>
        <w:tc>
          <w:tcPr>
            <w:tcW w:w="5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个别因素</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项目规模</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98</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100</w:t>
            </w:r>
          </w:p>
        </w:tc>
      </w:tr>
      <w:tr w:rsidR="0054446D">
        <w:trPr>
          <w:trHeight w:val="454"/>
        </w:trPr>
        <w:tc>
          <w:tcPr>
            <w:tcW w:w="540"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54446D">
            <w:pPr>
              <w:jc w:val="center"/>
              <w:rPr>
                <w:rFonts w:ascii="仿宋" w:eastAsia="仿宋" w:hAnsi="仿宋" w:cs="Tahoma"/>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容积率</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98</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96</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98</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98</w:t>
            </w:r>
          </w:p>
        </w:tc>
      </w:tr>
      <w:tr w:rsidR="0054446D">
        <w:trPr>
          <w:trHeight w:val="454"/>
        </w:trPr>
        <w:tc>
          <w:tcPr>
            <w:tcW w:w="540"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54446D">
            <w:pPr>
              <w:jc w:val="center"/>
              <w:rPr>
                <w:rFonts w:ascii="仿宋" w:eastAsia="仿宋" w:hAnsi="仿宋" w:cs="Tahoma"/>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房屋类型</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100</w:t>
            </w:r>
          </w:p>
        </w:tc>
      </w:tr>
      <w:tr w:rsidR="0054446D">
        <w:trPr>
          <w:trHeight w:val="454"/>
        </w:trPr>
        <w:tc>
          <w:tcPr>
            <w:tcW w:w="540"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54446D">
            <w:pPr>
              <w:jc w:val="center"/>
              <w:rPr>
                <w:rFonts w:ascii="仿宋" w:eastAsia="仿宋" w:hAnsi="仿宋" w:cs="Tahoma"/>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建筑类别</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100</w:t>
            </w:r>
          </w:p>
        </w:tc>
      </w:tr>
      <w:tr w:rsidR="0054446D">
        <w:trPr>
          <w:trHeight w:val="454"/>
        </w:trPr>
        <w:tc>
          <w:tcPr>
            <w:tcW w:w="540"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54446D">
            <w:pPr>
              <w:jc w:val="center"/>
              <w:rPr>
                <w:rFonts w:ascii="仿宋" w:eastAsia="仿宋" w:hAnsi="仿宋" w:cs="Tahoma"/>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临路状况</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101</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101</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101</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101</w:t>
            </w:r>
          </w:p>
        </w:tc>
      </w:tr>
      <w:tr w:rsidR="0054446D">
        <w:trPr>
          <w:trHeight w:val="454"/>
        </w:trPr>
        <w:tc>
          <w:tcPr>
            <w:tcW w:w="540"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54446D">
            <w:pPr>
              <w:jc w:val="center"/>
              <w:rPr>
                <w:rFonts w:ascii="仿宋" w:eastAsia="仿宋" w:hAnsi="仿宋" w:cs="Tahoma"/>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剩余使用年期</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101</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101</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101</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101</w:t>
            </w:r>
          </w:p>
        </w:tc>
      </w:tr>
      <w:tr w:rsidR="0054446D">
        <w:trPr>
          <w:trHeight w:val="454"/>
        </w:trPr>
        <w:tc>
          <w:tcPr>
            <w:tcW w:w="540"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54446D">
            <w:pPr>
              <w:jc w:val="center"/>
              <w:rPr>
                <w:rFonts w:ascii="仿宋" w:eastAsia="仿宋" w:hAnsi="仿宋" w:cs="Tahoma"/>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装修状况</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100</w:t>
            </w:r>
          </w:p>
        </w:tc>
      </w:tr>
      <w:tr w:rsidR="0054446D">
        <w:trPr>
          <w:trHeight w:val="454"/>
        </w:trPr>
        <w:tc>
          <w:tcPr>
            <w:tcW w:w="540"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54446D">
            <w:pPr>
              <w:jc w:val="center"/>
              <w:rPr>
                <w:rFonts w:ascii="仿宋" w:eastAsia="仿宋" w:hAnsi="仿宋" w:cs="Tahoma"/>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新旧程度</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100</w:t>
            </w:r>
          </w:p>
        </w:tc>
      </w:tr>
      <w:tr w:rsidR="0054446D">
        <w:trPr>
          <w:trHeight w:val="454"/>
        </w:trPr>
        <w:tc>
          <w:tcPr>
            <w:tcW w:w="540"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54446D">
            <w:pPr>
              <w:jc w:val="center"/>
              <w:rPr>
                <w:rFonts w:ascii="仿宋" w:eastAsia="仿宋" w:hAnsi="仿宋" w:cs="Tahoma"/>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发展商知名度</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100</w:t>
            </w:r>
          </w:p>
        </w:tc>
      </w:tr>
      <w:tr w:rsidR="0054446D">
        <w:trPr>
          <w:trHeight w:val="454"/>
        </w:trPr>
        <w:tc>
          <w:tcPr>
            <w:tcW w:w="396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比准价格（元/㎡）</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_GB2312" w:eastAsia="仿宋_GB2312" w:hAnsi="Tahoma" w:cs="Tahoma"/>
                <w:b/>
                <w:bCs/>
                <w:sz w:val="18"/>
                <w:szCs w:val="18"/>
              </w:rPr>
            </w:pPr>
            <w:r>
              <w:rPr>
                <w:rFonts w:ascii="仿宋_GB2312" w:eastAsia="仿宋_GB2312" w:hAnsi="Tahoma" w:cs="Tahoma" w:hint="eastAsia"/>
                <w:b/>
                <w:bCs/>
                <w:sz w:val="18"/>
                <w:szCs w:val="18"/>
              </w:rPr>
              <w:t>6,871</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_GB2312" w:eastAsia="仿宋_GB2312" w:hAnsi="Tahoma" w:cs="Tahoma"/>
                <w:b/>
                <w:bCs/>
                <w:sz w:val="18"/>
                <w:szCs w:val="18"/>
              </w:rPr>
            </w:pPr>
            <w:r>
              <w:rPr>
                <w:rFonts w:ascii="仿宋_GB2312" w:eastAsia="仿宋_GB2312" w:hAnsi="Tahoma" w:cs="Tahoma" w:hint="eastAsia"/>
                <w:b/>
                <w:bCs/>
                <w:sz w:val="18"/>
                <w:szCs w:val="18"/>
              </w:rPr>
              <w:t>7,443</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rsidP="00C207D2">
            <w:pPr>
              <w:jc w:val="center"/>
              <w:rPr>
                <w:rFonts w:ascii="仿宋_GB2312" w:eastAsia="仿宋_GB2312" w:hAnsi="Tahoma" w:cs="Tahoma"/>
                <w:b/>
                <w:bCs/>
                <w:sz w:val="18"/>
                <w:szCs w:val="18"/>
              </w:rPr>
            </w:pPr>
            <w:r>
              <w:rPr>
                <w:rFonts w:ascii="仿宋_GB2312" w:eastAsia="仿宋_GB2312" w:hAnsi="Tahoma" w:cs="Tahoma" w:hint="eastAsia"/>
                <w:b/>
                <w:bCs/>
                <w:sz w:val="18"/>
                <w:szCs w:val="18"/>
              </w:rPr>
              <w:t>6,</w:t>
            </w:r>
            <w:r w:rsidR="00C207D2">
              <w:rPr>
                <w:rFonts w:ascii="仿宋_GB2312" w:eastAsia="仿宋_GB2312" w:hAnsi="Tahoma" w:cs="Tahoma" w:hint="eastAsia"/>
                <w:b/>
                <w:bCs/>
                <w:sz w:val="18"/>
                <w:szCs w:val="18"/>
              </w:rPr>
              <w:t>578</w:t>
            </w:r>
          </w:p>
        </w:tc>
      </w:tr>
      <w:tr w:rsidR="0054446D">
        <w:trPr>
          <w:trHeight w:val="454"/>
        </w:trPr>
        <w:tc>
          <w:tcPr>
            <w:tcW w:w="396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r>
              <w:rPr>
                <w:rFonts w:ascii="仿宋" w:eastAsia="仿宋" w:hAnsi="仿宋" w:cs="Tahoma" w:hint="eastAsia"/>
                <w:color w:val="000000"/>
                <w:sz w:val="18"/>
                <w:szCs w:val="18"/>
              </w:rPr>
              <w:t>权重</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1/3</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1/3</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sz w:val="18"/>
                <w:szCs w:val="18"/>
              </w:rPr>
            </w:pPr>
            <w:r>
              <w:rPr>
                <w:rFonts w:ascii="仿宋" w:eastAsia="仿宋" w:hAnsi="仿宋" w:cs="Tahoma" w:hint="eastAsia"/>
                <w:sz w:val="18"/>
                <w:szCs w:val="18"/>
              </w:rPr>
              <w:t>1/3</w:t>
            </w:r>
          </w:p>
        </w:tc>
      </w:tr>
      <w:tr w:rsidR="0054446D">
        <w:trPr>
          <w:trHeight w:val="454"/>
        </w:trPr>
        <w:tc>
          <w:tcPr>
            <w:tcW w:w="396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pPr>
              <w:jc w:val="center"/>
              <w:rPr>
                <w:rFonts w:ascii="仿宋" w:eastAsia="仿宋" w:hAnsi="仿宋" w:cs="Tahoma"/>
                <w:color w:val="000000"/>
                <w:sz w:val="18"/>
                <w:szCs w:val="18"/>
              </w:rPr>
            </w:pPr>
            <w:proofErr w:type="gramStart"/>
            <w:r>
              <w:rPr>
                <w:rFonts w:ascii="仿宋" w:eastAsia="仿宋" w:hAnsi="仿宋" w:cs="Tahoma" w:hint="eastAsia"/>
                <w:color w:val="000000"/>
                <w:sz w:val="18"/>
                <w:szCs w:val="18"/>
              </w:rPr>
              <w:t>委估宗地</w:t>
            </w:r>
            <w:proofErr w:type="gramEnd"/>
            <w:r>
              <w:rPr>
                <w:rFonts w:ascii="仿宋" w:eastAsia="仿宋" w:hAnsi="仿宋" w:cs="Tahoma" w:hint="eastAsia"/>
                <w:color w:val="000000"/>
                <w:sz w:val="18"/>
                <w:szCs w:val="18"/>
              </w:rPr>
              <w:t>建成后住宅销售均价（元/㎡）</w:t>
            </w:r>
          </w:p>
        </w:tc>
        <w:tc>
          <w:tcPr>
            <w:tcW w:w="450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446D" w:rsidRDefault="00FB459A" w:rsidP="008C5525">
            <w:pPr>
              <w:jc w:val="center"/>
              <w:rPr>
                <w:rFonts w:ascii="仿宋" w:eastAsia="仿宋" w:hAnsi="仿宋" w:cs="Tahoma"/>
                <w:color w:val="000000"/>
                <w:sz w:val="18"/>
                <w:szCs w:val="18"/>
              </w:rPr>
            </w:pPr>
            <w:r>
              <w:rPr>
                <w:rFonts w:ascii="仿宋" w:eastAsia="仿宋" w:hAnsi="仿宋" w:cs="Tahoma" w:hint="eastAsia"/>
                <w:color w:val="000000"/>
                <w:sz w:val="18"/>
                <w:szCs w:val="18"/>
              </w:rPr>
              <w:t>69</w:t>
            </w:r>
            <w:r w:rsidR="00C207D2">
              <w:rPr>
                <w:rFonts w:ascii="仿宋" w:eastAsia="仿宋" w:hAnsi="仿宋" w:cs="Tahoma" w:hint="eastAsia"/>
                <w:color w:val="000000"/>
                <w:sz w:val="18"/>
                <w:szCs w:val="18"/>
              </w:rPr>
              <w:t>6</w:t>
            </w:r>
            <w:r w:rsidR="008C5525">
              <w:rPr>
                <w:rFonts w:ascii="仿宋" w:eastAsia="仿宋" w:hAnsi="仿宋" w:cs="Tahoma" w:hint="eastAsia"/>
                <w:color w:val="000000"/>
                <w:sz w:val="18"/>
                <w:szCs w:val="18"/>
              </w:rPr>
              <w:t>0</w:t>
            </w:r>
            <w:r>
              <w:rPr>
                <w:rFonts w:ascii="仿宋" w:eastAsia="仿宋" w:hAnsi="仿宋" w:cs="Tahoma" w:hint="eastAsia"/>
                <w:color w:val="000000"/>
                <w:sz w:val="18"/>
                <w:szCs w:val="18"/>
              </w:rPr>
              <w:t>（</w:t>
            </w:r>
            <w:proofErr w:type="gramStart"/>
            <w:r>
              <w:rPr>
                <w:rFonts w:ascii="仿宋" w:eastAsia="仿宋" w:hAnsi="仿宋" w:cs="Tahoma" w:hint="eastAsia"/>
                <w:color w:val="000000"/>
                <w:sz w:val="18"/>
                <w:szCs w:val="18"/>
              </w:rPr>
              <w:t>取整至</w:t>
            </w:r>
            <w:r w:rsidR="008C5525">
              <w:rPr>
                <w:rFonts w:ascii="仿宋" w:eastAsia="仿宋" w:hAnsi="仿宋" w:cs="Tahoma" w:hint="eastAsia"/>
                <w:color w:val="000000"/>
                <w:sz w:val="18"/>
                <w:szCs w:val="18"/>
              </w:rPr>
              <w:t>十</w:t>
            </w:r>
            <w:r>
              <w:rPr>
                <w:rFonts w:ascii="仿宋" w:eastAsia="仿宋" w:hAnsi="仿宋" w:cs="Tahoma" w:hint="eastAsia"/>
                <w:color w:val="000000"/>
                <w:sz w:val="18"/>
                <w:szCs w:val="18"/>
              </w:rPr>
              <w:t>位</w:t>
            </w:r>
            <w:proofErr w:type="gramEnd"/>
            <w:r>
              <w:rPr>
                <w:rFonts w:ascii="仿宋" w:eastAsia="仿宋" w:hAnsi="仿宋" w:cs="Tahoma" w:hint="eastAsia"/>
                <w:color w:val="000000"/>
                <w:sz w:val="18"/>
                <w:szCs w:val="18"/>
              </w:rPr>
              <w:t>）</w:t>
            </w:r>
          </w:p>
        </w:tc>
      </w:tr>
    </w:tbl>
    <w:p w:rsidR="0054446D" w:rsidRDefault="00FB459A">
      <w:pPr>
        <w:spacing w:line="360" w:lineRule="auto"/>
        <w:ind w:firstLineChars="253" w:firstLine="708"/>
        <w:rPr>
          <w:rFonts w:ascii="仿宋" w:eastAsia="仿宋" w:hAnsi="仿宋"/>
          <w:color w:val="000000"/>
          <w:sz w:val="28"/>
        </w:rPr>
      </w:pPr>
      <w:r>
        <w:rPr>
          <w:rFonts w:ascii="仿宋" w:eastAsia="仿宋" w:hAnsi="仿宋" w:hint="eastAsia"/>
          <w:color w:val="000000"/>
          <w:sz w:val="28"/>
        </w:rPr>
        <w:t>则：开发完成后房地产总价值＝住宅销售均价×住宅建筑面积</w:t>
      </w:r>
    </w:p>
    <w:p w:rsidR="0054446D" w:rsidRDefault="00FB459A">
      <w:pPr>
        <w:spacing w:line="360" w:lineRule="auto"/>
        <w:ind w:firstLineChars="253" w:firstLine="708"/>
        <w:rPr>
          <w:rFonts w:ascii="仿宋" w:eastAsia="仿宋" w:hAnsi="仿宋"/>
          <w:color w:val="000000"/>
          <w:sz w:val="28"/>
        </w:rPr>
      </w:pPr>
      <w:r>
        <w:rPr>
          <w:rFonts w:ascii="仿宋" w:eastAsia="仿宋" w:hAnsi="仿宋" w:hint="eastAsia"/>
          <w:color w:val="000000"/>
          <w:sz w:val="28"/>
        </w:rPr>
        <w:t>＝119375.76×69</w:t>
      </w:r>
      <w:r w:rsidR="00C207D2">
        <w:rPr>
          <w:rFonts w:ascii="仿宋" w:eastAsia="仿宋" w:hAnsi="仿宋" w:hint="eastAsia"/>
          <w:color w:val="000000"/>
          <w:sz w:val="28"/>
        </w:rPr>
        <w:t>6</w:t>
      </w:r>
      <w:r w:rsidR="008C5525">
        <w:rPr>
          <w:rFonts w:ascii="仿宋" w:eastAsia="仿宋" w:hAnsi="仿宋" w:hint="eastAsia"/>
          <w:color w:val="000000"/>
          <w:sz w:val="28"/>
        </w:rPr>
        <w:t>0</w:t>
      </w:r>
    </w:p>
    <w:p w:rsidR="0054446D" w:rsidRDefault="00FB459A">
      <w:pPr>
        <w:spacing w:line="360" w:lineRule="auto"/>
        <w:ind w:firstLineChars="253" w:firstLine="708"/>
        <w:rPr>
          <w:rFonts w:ascii="仿宋" w:eastAsia="仿宋" w:hAnsi="仿宋"/>
          <w:color w:val="000000"/>
          <w:sz w:val="28"/>
        </w:rPr>
      </w:pPr>
      <w:r>
        <w:rPr>
          <w:rFonts w:ascii="仿宋" w:eastAsia="仿宋" w:hAnsi="仿宋" w:hint="eastAsia"/>
          <w:color w:val="000000"/>
          <w:sz w:val="28"/>
        </w:rPr>
        <w:t>＝</w:t>
      </w:r>
      <w:r w:rsidR="008C5525">
        <w:rPr>
          <w:rFonts w:ascii="仿宋" w:eastAsia="仿宋" w:hAnsi="仿宋" w:hint="eastAsia"/>
          <w:color w:val="000000"/>
          <w:sz w:val="28"/>
        </w:rPr>
        <w:t>83085.53</w:t>
      </w:r>
      <w:r>
        <w:rPr>
          <w:rFonts w:ascii="仿宋" w:eastAsia="仿宋" w:hAnsi="仿宋" w:hint="eastAsia"/>
          <w:color w:val="000000"/>
          <w:sz w:val="28"/>
        </w:rPr>
        <w:t>（万元）</w:t>
      </w:r>
    </w:p>
    <w:p w:rsidR="0054446D" w:rsidRDefault="00FB459A" w:rsidP="00F513B3">
      <w:pPr>
        <w:spacing w:beforeLines="50" w:line="360" w:lineRule="auto"/>
        <w:ind w:firstLineChars="253" w:firstLine="708"/>
        <w:rPr>
          <w:rFonts w:ascii="仿宋" w:eastAsia="仿宋" w:hAnsi="仿宋"/>
          <w:color w:val="000000"/>
          <w:sz w:val="28"/>
        </w:rPr>
      </w:pPr>
      <w:r>
        <w:rPr>
          <w:rFonts w:ascii="仿宋" w:eastAsia="仿宋" w:hAnsi="仿宋" w:hint="eastAsia"/>
          <w:color w:val="000000"/>
          <w:sz w:val="28"/>
        </w:rPr>
        <w:t>②购地税费</w:t>
      </w:r>
    </w:p>
    <w:p w:rsidR="0054446D" w:rsidRDefault="00FB459A">
      <w:pPr>
        <w:spacing w:line="360" w:lineRule="auto"/>
        <w:ind w:firstLineChars="253" w:firstLine="708"/>
        <w:rPr>
          <w:rFonts w:ascii="仿宋" w:eastAsia="仿宋" w:hAnsi="仿宋"/>
          <w:color w:val="000000"/>
          <w:sz w:val="28"/>
        </w:rPr>
      </w:pPr>
      <w:r>
        <w:rPr>
          <w:rFonts w:ascii="仿宋" w:eastAsia="仿宋" w:hAnsi="仿宋" w:hint="eastAsia"/>
          <w:color w:val="000000"/>
          <w:sz w:val="28"/>
        </w:rPr>
        <w:t>土地取得税费主要有契税，税率为4.0%，印花税0.05%，即为取得地价款的4.05% (设地价为</w:t>
      </w:r>
      <w:r>
        <w:rPr>
          <w:rFonts w:ascii="仿宋" w:eastAsia="仿宋" w:hAnsi="仿宋" w:hint="eastAsia"/>
          <w:b/>
          <w:color w:val="000000"/>
          <w:sz w:val="28"/>
        </w:rPr>
        <w:t>P</w:t>
      </w:r>
      <w:r>
        <w:rPr>
          <w:rFonts w:ascii="仿宋" w:eastAsia="仿宋" w:hAnsi="仿宋" w:hint="eastAsia"/>
          <w:color w:val="000000"/>
          <w:sz w:val="28"/>
        </w:rPr>
        <w:t>万元)。</w:t>
      </w:r>
    </w:p>
    <w:p w:rsidR="0054446D" w:rsidRDefault="00FB459A">
      <w:pPr>
        <w:spacing w:line="360" w:lineRule="auto"/>
        <w:ind w:firstLineChars="253" w:firstLine="708"/>
        <w:rPr>
          <w:rFonts w:ascii="仿宋" w:eastAsia="仿宋" w:hAnsi="仿宋"/>
          <w:color w:val="000000"/>
          <w:sz w:val="28"/>
        </w:rPr>
      </w:pPr>
      <w:r>
        <w:rPr>
          <w:rFonts w:ascii="仿宋" w:eastAsia="仿宋" w:hAnsi="仿宋" w:hint="eastAsia"/>
          <w:color w:val="000000"/>
          <w:sz w:val="28"/>
        </w:rPr>
        <w:t>即：购地税费＝0.0405</w:t>
      </w:r>
      <w:r>
        <w:rPr>
          <w:rFonts w:ascii="仿宋" w:eastAsia="仿宋" w:hAnsi="仿宋" w:hint="eastAsia"/>
          <w:b/>
          <w:color w:val="000000"/>
          <w:sz w:val="28"/>
        </w:rPr>
        <w:t>P</w:t>
      </w:r>
    </w:p>
    <w:p w:rsidR="0054446D" w:rsidRDefault="00FB459A" w:rsidP="00F513B3">
      <w:pPr>
        <w:spacing w:beforeLines="50" w:line="360" w:lineRule="auto"/>
        <w:ind w:firstLineChars="253" w:firstLine="708"/>
        <w:rPr>
          <w:rFonts w:ascii="仿宋" w:eastAsia="仿宋" w:hAnsi="仿宋"/>
          <w:color w:val="000000"/>
          <w:sz w:val="28"/>
        </w:rPr>
      </w:pPr>
      <w:r>
        <w:rPr>
          <w:rFonts w:ascii="仿宋" w:eastAsia="仿宋" w:hAnsi="仿宋" w:hint="eastAsia"/>
          <w:color w:val="000000"/>
          <w:sz w:val="28"/>
        </w:rPr>
        <w:t>③开发成本</w:t>
      </w:r>
    </w:p>
    <w:p w:rsidR="0054446D" w:rsidRDefault="00FB459A">
      <w:pPr>
        <w:spacing w:line="360" w:lineRule="auto"/>
        <w:ind w:firstLineChars="253" w:firstLine="708"/>
        <w:rPr>
          <w:rFonts w:ascii="仿宋" w:eastAsia="仿宋" w:hAnsi="仿宋"/>
          <w:color w:val="000000"/>
          <w:sz w:val="28"/>
        </w:rPr>
      </w:pPr>
      <w:r>
        <w:rPr>
          <w:rFonts w:ascii="仿宋" w:eastAsia="仿宋" w:hAnsi="仿宋" w:hint="eastAsia"/>
          <w:color w:val="000000"/>
          <w:sz w:val="28"/>
        </w:rPr>
        <w:t>开发成本是指在取得房地产开发用地上进行基础设施建设、房屋建设所必需的直接费用、税金等，主要包括下列几项：</w:t>
      </w:r>
    </w:p>
    <w:p w:rsidR="0054446D" w:rsidRDefault="00FB459A">
      <w:pPr>
        <w:spacing w:line="360" w:lineRule="auto"/>
        <w:ind w:firstLineChars="253" w:firstLine="708"/>
        <w:rPr>
          <w:rFonts w:ascii="仿宋" w:eastAsia="仿宋" w:hAnsi="仿宋"/>
          <w:color w:val="000000"/>
          <w:sz w:val="28"/>
        </w:rPr>
      </w:pPr>
      <w:r>
        <w:rPr>
          <w:rFonts w:ascii="仿宋" w:eastAsia="仿宋" w:hAnsi="仿宋" w:hint="eastAsia"/>
          <w:color w:val="000000"/>
          <w:sz w:val="28"/>
        </w:rPr>
        <w:t>A建筑安装工程费</w:t>
      </w:r>
    </w:p>
    <w:p w:rsidR="0054446D" w:rsidRDefault="00FB459A">
      <w:pPr>
        <w:spacing w:line="360" w:lineRule="auto"/>
        <w:ind w:firstLineChars="253" w:firstLine="708"/>
        <w:rPr>
          <w:rFonts w:ascii="仿宋" w:eastAsia="仿宋" w:hAnsi="仿宋"/>
          <w:color w:val="000000"/>
          <w:sz w:val="28"/>
        </w:rPr>
      </w:pPr>
      <w:r>
        <w:rPr>
          <w:rFonts w:ascii="仿宋" w:eastAsia="仿宋" w:hAnsi="仿宋" w:hint="eastAsia"/>
          <w:color w:val="000000"/>
          <w:sz w:val="28"/>
        </w:rPr>
        <w:t>建筑安装工程费包括建造商品房及附属工程所发生的土建工程费、安装工程费、装饰工程费等，其中附属工程包括房屋周围的围墙、水池、建筑小品等。根据建设工程造价信息网发布的《2021年下半年小高层住宅建安造价指标图》及估价对象周边项目实际安装工程费可知，新余市小高层住宅建筑安装工程费为1561元/平方米。</w:t>
      </w:r>
    </w:p>
    <w:p w:rsidR="0054446D" w:rsidRDefault="00FB459A">
      <w:pPr>
        <w:spacing w:line="360" w:lineRule="auto"/>
        <w:ind w:firstLineChars="253" w:firstLine="708"/>
        <w:rPr>
          <w:rFonts w:ascii="仿宋" w:eastAsia="仿宋" w:hAnsi="仿宋"/>
          <w:color w:val="000000"/>
          <w:sz w:val="28"/>
        </w:rPr>
      </w:pPr>
      <w:r>
        <w:rPr>
          <w:rFonts w:ascii="仿宋" w:eastAsia="仿宋" w:hAnsi="仿宋" w:hint="eastAsia"/>
          <w:color w:val="000000"/>
          <w:sz w:val="28"/>
        </w:rPr>
        <w:t>B勘察设计、前期工程费用</w:t>
      </w:r>
    </w:p>
    <w:p w:rsidR="0054446D" w:rsidRDefault="00FB459A">
      <w:pPr>
        <w:spacing w:line="360" w:lineRule="auto"/>
        <w:ind w:firstLineChars="253" w:firstLine="708"/>
        <w:rPr>
          <w:rFonts w:ascii="仿宋" w:eastAsia="仿宋" w:hAnsi="仿宋"/>
          <w:color w:val="000000"/>
          <w:sz w:val="28"/>
        </w:rPr>
      </w:pPr>
      <w:r>
        <w:rPr>
          <w:rFonts w:ascii="仿宋" w:eastAsia="仿宋" w:hAnsi="仿宋" w:hint="eastAsia"/>
          <w:color w:val="000000"/>
          <w:sz w:val="28"/>
        </w:rPr>
        <w:t>勘察设计和前期工程费包括市场调查、可行性研究、工程勘察、环境影响评价、规划及建筑设计、建设工程招投标、施工的通水、通电、通路、平整场地、临时用房等开发项目前期工作所发生的费用，估价对象的勘察设计和前期工程费按建筑安装工程费的10%确定。</w:t>
      </w:r>
    </w:p>
    <w:p w:rsidR="0054446D" w:rsidRDefault="00FB459A">
      <w:pPr>
        <w:spacing w:line="360" w:lineRule="auto"/>
        <w:ind w:firstLineChars="253" w:firstLine="708"/>
        <w:rPr>
          <w:rFonts w:ascii="仿宋" w:eastAsia="仿宋" w:hAnsi="仿宋"/>
          <w:color w:val="000000"/>
          <w:sz w:val="28"/>
        </w:rPr>
      </w:pPr>
      <w:r>
        <w:rPr>
          <w:rFonts w:ascii="仿宋" w:eastAsia="仿宋" w:hAnsi="仿宋" w:hint="eastAsia"/>
          <w:color w:val="000000"/>
          <w:sz w:val="28"/>
        </w:rPr>
        <w:t>勘察设计和前期工程费＝总建筑安装成本×10%</w:t>
      </w:r>
    </w:p>
    <w:p w:rsidR="0054446D" w:rsidRDefault="00FB459A">
      <w:pPr>
        <w:spacing w:line="360" w:lineRule="auto"/>
        <w:ind w:firstLineChars="253" w:firstLine="708"/>
        <w:rPr>
          <w:rFonts w:ascii="仿宋" w:eastAsia="仿宋" w:hAnsi="仿宋"/>
          <w:color w:val="000000"/>
          <w:sz w:val="28"/>
        </w:rPr>
      </w:pPr>
      <w:r>
        <w:rPr>
          <w:rFonts w:ascii="仿宋" w:eastAsia="仿宋" w:hAnsi="仿宋" w:hint="eastAsia"/>
          <w:color w:val="000000"/>
          <w:sz w:val="28"/>
        </w:rPr>
        <w:t>＝1561×10%＝156.1（元/平方米）</w:t>
      </w:r>
    </w:p>
    <w:p w:rsidR="0054446D" w:rsidRDefault="00FB459A">
      <w:pPr>
        <w:spacing w:line="360" w:lineRule="auto"/>
        <w:ind w:firstLineChars="253" w:firstLine="708"/>
        <w:rPr>
          <w:rFonts w:ascii="仿宋" w:eastAsia="仿宋" w:hAnsi="仿宋"/>
          <w:color w:val="000000"/>
          <w:sz w:val="28"/>
        </w:rPr>
      </w:pPr>
      <w:r>
        <w:rPr>
          <w:rFonts w:ascii="仿宋" w:eastAsia="仿宋" w:hAnsi="仿宋" w:hint="eastAsia"/>
          <w:color w:val="000000"/>
          <w:sz w:val="28"/>
        </w:rPr>
        <w:t>C配套设施费和报建费</w:t>
      </w:r>
    </w:p>
    <w:p w:rsidR="0054446D" w:rsidRDefault="00FB459A">
      <w:pPr>
        <w:spacing w:line="360" w:lineRule="auto"/>
        <w:ind w:firstLineChars="253" w:firstLine="708"/>
        <w:rPr>
          <w:rFonts w:ascii="仿宋" w:eastAsia="仿宋" w:hAnsi="仿宋"/>
          <w:color w:val="000000"/>
          <w:sz w:val="28"/>
        </w:rPr>
      </w:pPr>
      <w:r>
        <w:rPr>
          <w:rFonts w:ascii="仿宋" w:eastAsia="仿宋" w:hAnsi="仿宋" w:hint="eastAsia"/>
          <w:color w:val="000000"/>
          <w:sz w:val="28"/>
        </w:rPr>
        <w:t>包括公共配套设施费和基础设施费。其中公共设施费包括城市规划要求配套的教育、医疗、文化体育、社区服务（如居委会）、市政公用（如公共厕所），基础设施包括开发区内道路、供水、供电、供气、排污、排洪；附属工程包括照明、环卫、绿化、围墙、水池、建筑小品等工程发生的费用。根据新余市房地开发项目配套设施、附属工程费用及报建费一般为400元/平方米，本次取400元/平方米。</w:t>
      </w:r>
    </w:p>
    <w:p w:rsidR="0054446D" w:rsidRDefault="00FB459A">
      <w:pPr>
        <w:spacing w:line="360" w:lineRule="auto"/>
        <w:ind w:firstLineChars="253" w:firstLine="708"/>
        <w:rPr>
          <w:rFonts w:ascii="仿宋" w:eastAsia="仿宋" w:hAnsi="仿宋"/>
          <w:color w:val="000000"/>
          <w:sz w:val="28"/>
        </w:rPr>
      </w:pPr>
      <w:r>
        <w:rPr>
          <w:rFonts w:ascii="仿宋" w:eastAsia="仿宋" w:hAnsi="仿宋" w:hint="eastAsia"/>
          <w:color w:val="000000"/>
          <w:sz w:val="28"/>
        </w:rPr>
        <w:t>D其它工程费</w:t>
      </w:r>
    </w:p>
    <w:p w:rsidR="0054446D" w:rsidRDefault="00FB459A">
      <w:pPr>
        <w:spacing w:line="360" w:lineRule="auto"/>
        <w:ind w:firstLineChars="253" w:firstLine="708"/>
        <w:rPr>
          <w:rFonts w:ascii="仿宋" w:eastAsia="仿宋" w:hAnsi="仿宋"/>
          <w:color w:val="000000"/>
          <w:sz w:val="28"/>
        </w:rPr>
      </w:pPr>
      <w:r>
        <w:rPr>
          <w:rFonts w:ascii="仿宋" w:eastAsia="仿宋" w:hAnsi="仿宋" w:hint="eastAsia"/>
          <w:color w:val="000000"/>
          <w:sz w:val="28"/>
        </w:rPr>
        <w:t>其它工程费包括工程监理费、验收费等，按建筑安装工程费的10%确定。</w:t>
      </w:r>
    </w:p>
    <w:p w:rsidR="0054446D" w:rsidRDefault="00FB459A">
      <w:pPr>
        <w:spacing w:line="360" w:lineRule="auto"/>
        <w:ind w:firstLineChars="253" w:firstLine="708"/>
        <w:rPr>
          <w:rFonts w:ascii="仿宋" w:eastAsia="仿宋" w:hAnsi="仿宋"/>
          <w:color w:val="000000"/>
          <w:sz w:val="28"/>
        </w:rPr>
      </w:pPr>
      <w:r>
        <w:rPr>
          <w:rFonts w:ascii="仿宋" w:eastAsia="仿宋" w:hAnsi="仿宋" w:hint="eastAsia"/>
          <w:color w:val="000000"/>
          <w:sz w:val="28"/>
        </w:rPr>
        <w:t>其它工程费＝总建筑安装成本×10 %</w:t>
      </w:r>
    </w:p>
    <w:p w:rsidR="0054446D" w:rsidRDefault="00FB459A">
      <w:pPr>
        <w:spacing w:line="360" w:lineRule="auto"/>
        <w:ind w:firstLineChars="253" w:firstLine="708"/>
        <w:rPr>
          <w:rFonts w:ascii="仿宋" w:eastAsia="仿宋" w:hAnsi="仿宋"/>
          <w:color w:val="000000"/>
          <w:sz w:val="28"/>
        </w:rPr>
      </w:pPr>
      <w:r>
        <w:rPr>
          <w:rFonts w:ascii="仿宋" w:eastAsia="仿宋" w:hAnsi="仿宋" w:hint="eastAsia"/>
          <w:color w:val="000000"/>
          <w:sz w:val="28"/>
        </w:rPr>
        <w:t>＝1561×10%＝156.1元/平方米）</w:t>
      </w:r>
    </w:p>
    <w:p w:rsidR="0054446D" w:rsidRDefault="00FB459A">
      <w:pPr>
        <w:spacing w:line="360" w:lineRule="auto"/>
        <w:ind w:firstLineChars="253" w:firstLine="708"/>
        <w:rPr>
          <w:rFonts w:ascii="仿宋" w:eastAsia="仿宋" w:hAnsi="仿宋"/>
          <w:color w:val="000000"/>
          <w:sz w:val="28"/>
        </w:rPr>
      </w:pPr>
      <w:r>
        <w:rPr>
          <w:rFonts w:ascii="仿宋" w:eastAsia="仿宋" w:hAnsi="仿宋" w:hint="eastAsia"/>
          <w:color w:val="000000"/>
          <w:sz w:val="28"/>
        </w:rPr>
        <w:t>E开发成本</w:t>
      </w:r>
    </w:p>
    <w:p w:rsidR="0054446D" w:rsidRDefault="00FB459A">
      <w:pPr>
        <w:spacing w:line="360" w:lineRule="auto"/>
        <w:ind w:firstLineChars="253" w:firstLine="708"/>
        <w:rPr>
          <w:rFonts w:ascii="仿宋" w:eastAsia="仿宋" w:hAnsi="仿宋"/>
          <w:color w:val="000000"/>
          <w:sz w:val="28"/>
        </w:rPr>
      </w:pPr>
      <w:r>
        <w:rPr>
          <w:rFonts w:ascii="仿宋" w:eastAsia="仿宋" w:hAnsi="仿宋" w:hint="eastAsia"/>
          <w:color w:val="000000"/>
          <w:sz w:val="28"/>
        </w:rPr>
        <w:t>开发成本为上述A至D项的和，根</w:t>
      </w:r>
      <w:proofErr w:type="gramStart"/>
      <w:r>
        <w:rPr>
          <w:rFonts w:ascii="仿宋" w:eastAsia="仿宋" w:hAnsi="仿宋" w:hint="eastAsia"/>
          <w:color w:val="000000"/>
          <w:sz w:val="28"/>
        </w:rPr>
        <w:t>椐</w:t>
      </w:r>
      <w:proofErr w:type="gramEnd"/>
      <w:r>
        <w:rPr>
          <w:rFonts w:ascii="仿宋" w:eastAsia="仿宋" w:hAnsi="仿宋" w:hint="eastAsia"/>
          <w:color w:val="000000"/>
          <w:sz w:val="28"/>
        </w:rPr>
        <w:t>上述计算，则：</w:t>
      </w:r>
    </w:p>
    <w:p w:rsidR="0054446D" w:rsidRDefault="00FB459A">
      <w:pPr>
        <w:spacing w:line="360" w:lineRule="auto"/>
        <w:ind w:firstLineChars="253" w:firstLine="708"/>
        <w:rPr>
          <w:rFonts w:ascii="仿宋" w:eastAsia="仿宋" w:hAnsi="仿宋"/>
          <w:color w:val="000000"/>
          <w:sz w:val="28"/>
        </w:rPr>
      </w:pPr>
      <w:r>
        <w:rPr>
          <w:rFonts w:ascii="仿宋" w:eastAsia="仿宋" w:hAnsi="仿宋" w:hint="eastAsia"/>
          <w:color w:val="000000"/>
          <w:sz w:val="28"/>
        </w:rPr>
        <w:t>单位开发成本＝建筑安装工程费＋勘察设计和前期工程费用＋配套费用和报建费＋其它工程费</w:t>
      </w:r>
    </w:p>
    <w:p w:rsidR="0054446D" w:rsidRDefault="00FB459A">
      <w:pPr>
        <w:spacing w:line="360" w:lineRule="auto"/>
        <w:ind w:firstLineChars="253" w:firstLine="708"/>
        <w:rPr>
          <w:rFonts w:ascii="仿宋" w:eastAsia="仿宋" w:hAnsi="仿宋"/>
          <w:color w:val="000000"/>
          <w:sz w:val="28"/>
        </w:rPr>
      </w:pPr>
      <w:r>
        <w:rPr>
          <w:rFonts w:ascii="仿宋" w:eastAsia="仿宋" w:hAnsi="仿宋" w:hint="eastAsia"/>
          <w:color w:val="000000"/>
          <w:sz w:val="28"/>
        </w:rPr>
        <w:t>单位开发成本＝1561＋156.1＋400＋156.1＝2273（元/平方米）（取整）</w:t>
      </w:r>
    </w:p>
    <w:p w:rsidR="0054446D" w:rsidRDefault="00FB459A">
      <w:pPr>
        <w:spacing w:line="360" w:lineRule="auto"/>
        <w:ind w:firstLineChars="253" w:firstLine="708"/>
        <w:rPr>
          <w:rFonts w:ascii="仿宋" w:eastAsia="仿宋" w:hAnsi="仿宋"/>
          <w:color w:val="000000"/>
          <w:sz w:val="28"/>
        </w:rPr>
      </w:pPr>
      <w:r>
        <w:rPr>
          <w:rFonts w:ascii="仿宋" w:eastAsia="仿宋" w:hAnsi="仿宋" w:hint="eastAsia"/>
          <w:color w:val="000000"/>
          <w:sz w:val="28"/>
        </w:rPr>
        <w:t>则有总开发成本＝单位开发成本×项目面积（</w:t>
      </w:r>
      <w:proofErr w:type="gramStart"/>
      <w:r>
        <w:rPr>
          <w:rFonts w:ascii="仿宋" w:eastAsia="仿宋" w:hAnsi="仿宋" w:hint="eastAsia"/>
          <w:color w:val="000000"/>
          <w:sz w:val="28"/>
        </w:rPr>
        <w:t>计容价值</w:t>
      </w:r>
      <w:proofErr w:type="gramEnd"/>
      <w:r>
        <w:rPr>
          <w:rFonts w:ascii="仿宋" w:eastAsia="仿宋" w:hAnsi="仿宋" w:hint="eastAsia"/>
          <w:color w:val="000000"/>
          <w:sz w:val="28"/>
        </w:rPr>
        <w:t>面积、</w:t>
      </w:r>
      <w:r>
        <w:rPr>
          <w:rFonts w:ascii="仿宋" w:eastAsia="仿宋" w:hAnsi="仿宋" w:hint="eastAsia"/>
          <w:sz w:val="28"/>
        </w:rPr>
        <w:t>社区用房面积、幼儿</w:t>
      </w:r>
      <w:proofErr w:type="gramStart"/>
      <w:r>
        <w:rPr>
          <w:rFonts w:ascii="仿宋" w:eastAsia="仿宋" w:hAnsi="仿宋" w:hint="eastAsia"/>
          <w:sz w:val="28"/>
        </w:rPr>
        <w:t>园面积</w:t>
      </w:r>
      <w:proofErr w:type="gramEnd"/>
      <w:r>
        <w:rPr>
          <w:rFonts w:ascii="仿宋" w:eastAsia="仿宋" w:hAnsi="仿宋" w:hint="eastAsia"/>
          <w:color w:val="000000"/>
          <w:sz w:val="28"/>
        </w:rPr>
        <w:t>）</w:t>
      </w:r>
    </w:p>
    <w:p w:rsidR="0054446D" w:rsidRDefault="00FB459A">
      <w:pPr>
        <w:spacing w:line="360" w:lineRule="auto"/>
        <w:ind w:firstLineChars="253" w:firstLine="708"/>
        <w:rPr>
          <w:rFonts w:ascii="仿宋" w:eastAsia="仿宋" w:hAnsi="仿宋"/>
          <w:color w:val="000000"/>
          <w:sz w:val="28"/>
        </w:rPr>
      </w:pPr>
      <w:r>
        <w:rPr>
          <w:rFonts w:ascii="仿宋" w:eastAsia="仿宋" w:hAnsi="仿宋" w:hint="eastAsia"/>
          <w:color w:val="000000"/>
          <w:sz w:val="28"/>
        </w:rPr>
        <w:t>总开发成本＝2273×121795.01/10000＝27684.01（万元）</w:t>
      </w:r>
    </w:p>
    <w:p w:rsidR="0054446D" w:rsidRDefault="00FB459A">
      <w:pPr>
        <w:spacing w:line="360" w:lineRule="auto"/>
        <w:ind w:firstLineChars="253" w:firstLine="708"/>
        <w:rPr>
          <w:rFonts w:ascii="仿宋" w:eastAsia="仿宋" w:hAnsi="仿宋"/>
          <w:color w:val="000000"/>
          <w:sz w:val="28"/>
        </w:rPr>
      </w:pPr>
      <w:r>
        <w:rPr>
          <w:rFonts w:ascii="仿宋" w:eastAsia="仿宋" w:hAnsi="仿宋" w:hint="eastAsia"/>
          <w:color w:val="000000"/>
          <w:sz w:val="28"/>
        </w:rPr>
        <w:t>④建设单位管理费用</w:t>
      </w:r>
    </w:p>
    <w:p w:rsidR="0054446D" w:rsidRDefault="00FB459A">
      <w:pPr>
        <w:spacing w:line="360" w:lineRule="auto"/>
        <w:ind w:firstLineChars="253" w:firstLine="708"/>
        <w:rPr>
          <w:rFonts w:ascii="仿宋" w:eastAsia="仿宋" w:hAnsi="仿宋"/>
          <w:color w:val="000000"/>
          <w:sz w:val="28"/>
        </w:rPr>
      </w:pPr>
      <w:r>
        <w:rPr>
          <w:rFonts w:ascii="仿宋" w:eastAsia="仿宋" w:hAnsi="仿宋" w:hint="eastAsia"/>
          <w:color w:val="000000"/>
          <w:sz w:val="28"/>
        </w:rPr>
        <w:t>管理费用指开发商为组织和管理房地产开发经济活动以及房地产开发提供各种服务而发生的费用，主要包括管理人员工资及附加费、办公费用、差旅费、固定资产使用费、业务招待费等。根据调查统计，管理费为建安工程费与土地取得费用之和的3%～5%之间，根据项目分析管理费取3%，即:</w:t>
      </w:r>
    </w:p>
    <w:p w:rsidR="0054446D" w:rsidRDefault="00FB459A">
      <w:pPr>
        <w:spacing w:line="360" w:lineRule="auto"/>
        <w:ind w:firstLineChars="253" w:firstLine="708"/>
        <w:rPr>
          <w:rFonts w:ascii="仿宋" w:eastAsia="仿宋" w:hAnsi="仿宋"/>
          <w:color w:val="000000"/>
          <w:sz w:val="28"/>
        </w:rPr>
      </w:pPr>
      <w:r>
        <w:rPr>
          <w:rFonts w:ascii="仿宋" w:eastAsia="仿宋" w:hAnsi="仿宋" w:hint="eastAsia"/>
          <w:color w:val="000000"/>
          <w:sz w:val="28"/>
        </w:rPr>
        <w:t>管理费用＝（建安工程费＋土地取得费用）×3.0%</w:t>
      </w:r>
    </w:p>
    <w:p w:rsidR="0054446D" w:rsidRDefault="00FB459A">
      <w:pPr>
        <w:spacing w:line="360" w:lineRule="auto"/>
        <w:ind w:firstLineChars="253" w:firstLine="708"/>
        <w:rPr>
          <w:rFonts w:ascii="仿宋" w:eastAsia="仿宋" w:hAnsi="仿宋"/>
          <w:color w:val="000000"/>
          <w:sz w:val="28"/>
        </w:rPr>
      </w:pPr>
      <w:r>
        <w:rPr>
          <w:rFonts w:ascii="仿宋" w:eastAsia="仿宋" w:hAnsi="仿宋" w:hint="eastAsia"/>
          <w:color w:val="000000"/>
          <w:sz w:val="28"/>
        </w:rPr>
        <w:t>＝（27684.01＋1.0405</w:t>
      </w:r>
      <w:r>
        <w:rPr>
          <w:rFonts w:ascii="仿宋" w:eastAsia="仿宋" w:hAnsi="仿宋" w:hint="eastAsia"/>
          <w:b/>
          <w:color w:val="000000"/>
          <w:sz w:val="28"/>
        </w:rPr>
        <w:t>P</w:t>
      </w:r>
      <w:r>
        <w:rPr>
          <w:rFonts w:ascii="仿宋" w:eastAsia="仿宋" w:hAnsi="仿宋" w:hint="eastAsia"/>
          <w:color w:val="000000"/>
          <w:sz w:val="28"/>
        </w:rPr>
        <w:t>）×3.0%</w:t>
      </w:r>
    </w:p>
    <w:p w:rsidR="0054446D" w:rsidRDefault="00FB459A">
      <w:pPr>
        <w:spacing w:line="360" w:lineRule="auto"/>
        <w:ind w:firstLineChars="253" w:firstLine="708"/>
        <w:rPr>
          <w:rFonts w:ascii="仿宋" w:eastAsia="仿宋" w:hAnsi="仿宋"/>
          <w:color w:val="000000"/>
          <w:sz w:val="28"/>
        </w:rPr>
      </w:pPr>
      <w:r>
        <w:rPr>
          <w:rFonts w:ascii="仿宋" w:eastAsia="仿宋" w:hAnsi="仿宋" w:hint="eastAsia"/>
          <w:color w:val="000000"/>
          <w:sz w:val="28"/>
        </w:rPr>
        <w:t>＝830.52＋0.0312</w:t>
      </w:r>
      <w:r>
        <w:rPr>
          <w:rFonts w:ascii="仿宋" w:eastAsia="仿宋" w:hAnsi="仿宋" w:hint="eastAsia"/>
          <w:b/>
          <w:color w:val="000000"/>
          <w:sz w:val="28"/>
        </w:rPr>
        <w:t>P</w:t>
      </w:r>
      <w:r>
        <w:rPr>
          <w:rFonts w:ascii="仿宋" w:eastAsia="仿宋" w:hAnsi="仿宋" w:hint="eastAsia"/>
          <w:color w:val="000000"/>
          <w:sz w:val="28"/>
        </w:rPr>
        <w:t>（万元）</w:t>
      </w:r>
    </w:p>
    <w:p w:rsidR="0054446D" w:rsidRDefault="00FB459A">
      <w:pPr>
        <w:spacing w:line="360" w:lineRule="auto"/>
        <w:ind w:firstLineChars="253" w:firstLine="708"/>
        <w:rPr>
          <w:rFonts w:ascii="仿宋" w:eastAsia="仿宋" w:hAnsi="仿宋"/>
          <w:color w:val="000000"/>
          <w:sz w:val="28"/>
        </w:rPr>
      </w:pPr>
      <w:r>
        <w:rPr>
          <w:rFonts w:ascii="仿宋" w:eastAsia="仿宋" w:hAnsi="仿宋" w:hint="eastAsia"/>
          <w:color w:val="000000"/>
          <w:sz w:val="28"/>
        </w:rPr>
        <w:t>⑤利息</w:t>
      </w:r>
    </w:p>
    <w:p w:rsidR="0054446D" w:rsidRDefault="00FB459A">
      <w:pPr>
        <w:spacing w:line="360" w:lineRule="auto"/>
        <w:ind w:firstLineChars="253" w:firstLine="708"/>
        <w:rPr>
          <w:rFonts w:ascii="仿宋" w:eastAsia="仿宋" w:hAnsi="仿宋"/>
          <w:color w:val="000000"/>
          <w:sz w:val="28"/>
        </w:rPr>
      </w:pPr>
      <w:r>
        <w:rPr>
          <w:rFonts w:ascii="仿宋" w:eastAsia="仿宋" w:hAnsi="仿宋" w:hint="eastAsia"/>
          <w:color w:val="000000"/>
          <w:sz w:val="28"/>
        </w:rPr>
        <w:t>根据新余市建设工程施工工期标准，结合类似开发项目的正常开发期，</w:t>
      </w:r>
      <w:proofErr w:type="gramStart"/>
      <w:r>
        <w:rPr>
          <w:rFonts w:ascii="仿宋" w:eastAsia="仿宋" w:hAnsi="仿宋" w:hint="eastAsia"/>
          <w:color w:val="000000"/>
          <w:sz w:val="28"/>
        </w:rPr>
        <w:t>确定委估宗地</w:t>
      </w:r>
      <w:proofErr w:type="gramEnd"/>
      <w:r>
        <w:rPr>
          <w:rFonts w:ascii="仿宋" w:eastAsia="仿宋" w:hAnsi="仿宋" w:hint="eastAsia"/>
          <w:color w:val="000000"/>
          <w:sz w:val="28"/>
        </w:rPr>
        <w:t>的开发周期为2.5年。利率取估价期日中国人民银行（2015年10月24日）公布的一至五年</w:t>
      </w:r>
      <w:proofErr w:type="gramStart"/>
      <w:r>
        <w:rPr>
          <w:rFonts w:ascii="仿宋" w:eastAsia="仿宋" w:hAnsi="仿宋" w:hint="eastAsia"/>
          <w:color w:val="000000"/>
          <w:sz w:val="28"/>
        </w:rPr>
        <w:t>期贷</w:t>
      </w:r>
      <w:proofErr w:type="gramEnd"/>
      <w:r>
        <w:rPr>
          <w:rFonts w:ascii="仿宋" w:eastAsia="仿宋" w:hAnsi="仿宋" w:hint="eastAsia"/>
          <w:color w:val="000000"/>
          <w:sz w:val="28"/>
        </w:rPr>
        <w:t>款利率4.75%。假设项目建设时的资金在整个开发期内均匀投入，计息期为项目开发期的1/2。以上述房屋总开发成本、建设单位管理费及地价之和为计息基数，具体计算如下：</w:t>
      </w:r>
    </w:p>
    <w:p w:rsidR="0054446D" w:rsidRDefault="00FB459A">
      <w:pPr>
        <w:spacing w:line="360" w:lineRule="auto"/>
        <w:ind w:firstLineChars="253" w:firstLine="708"/>
        <w:rPr>
          <w:rFonts w:ascii="仿宋" w:eastAsia="仿宋" w:hAnsi="仿宋"/>
          <w:color w:val="000000"/>
          <w:sz w:val="28"/>
        </w:rPr>
      </w:pPr>
      <w:r>
        <w:rPr>
          <w:rFonts w:ascii="仿宋" w:eastAsia="仿宋" w:hAnsi="仿宋" w:hint="eastAsia"/>
          <w:color w:val="000000"/>
          <w:sz w:val="28"/>
        </w:rPr>
        <w:t>利息＝（总开发成本＋管理费）×[（1＋利率）</w:t>
      </w:r>
      <w:r>
        <w:rPr>
          <w:rFonts w:ascii="仿宋" w:eastAsia="仿宋" w:hAnsi="仿宋" w:hint="eastAsia"/>
          <w:color w:val="000000"/>
          <w:sz w:val="28"/>
          <w:vertAlign w:val="superscript"/>
        </w:rPr>
        <w:t>开发期/2</w:t>
      </w:r>
      <w:r>
        <w:rPr>
          <w:rFonts w:ascii="仿宋" w:eastAsia="仿宋" w:hAnsi="仿宋" w:hint="eastAsia"/>
          <w:color w:val="000000"/>
          <w:sz w:val="28"/>
        </w:rPr>
        <w:t>-1]＋（地价＋购地税费）×[(1＋利率)</w:t>
      </w:r>
      <w:r>
        <w:rPr>
          <w:rFonts w:ascii="仿宋" w:eastAsia="仿宋" w:hAnsi="仿宋" w:hint="eastAsia"/>
          <w:color w:val="000000"/>
          <w:sz w:val="28"/>
          <w:vertAlign w:val="superscript"/>
        </w:rPr>
        <w:t xml:space="preserve"> 开发期</w:t>
      </w:r>
      <w:r>
        <w:rPr>
          <w:rFonts w:ascii="仿宋" w:eastAsia="仿宋" w:hAnsi="仿宋" w:hint="eastAsia"/>
          <w:color w:val="000000"/>
          <w:sz w:val="28"/>
        </w:rPr>
        <w:t>-1]</w:t>
      </w:r>
    </w:p>
    <w:p w:rsidR="0054446D" w:rsidRDefault="00FB459A">
      <w:pPr>
        <w:spacing w:line="360" w:lineRule="auto"/>
        <w:ind w:firstLineChars="253" w:firstLine="708"/>
        <w:rPr>
          <w:rFonts w:ascii="仿宋" w:eastAsia="仿宋" w:hAnsi="仿宋"/>
          <w:color w:val="000000"/>
          <w:sz w:val="28"/>
        </w:rPr>
      </w:pPr>
      <w:r>
        <w:rPr>
          <w:rFonts w:ascii="仿宋" w:eastAsia="仿宋" w:hAnsi="仿宋" w:hint="eastAsia"/>
          <w:color w:val="000000"/>
          <w:sz w:val="28"/>
        </w:rPr>
        <w:t>利息＝（27684.01＋830.52＋0.0312</w:t>
      </w:r>
      <w:r>
        <w:rPr>
          <w:rFonts w:ascii="仿宋" w:eastAsia="仿宋" w:hAnsi="仿宋" w:hint="eastAsia"/>
          <w:b/>
          <w:color w:val="000000"/>
          <w:sz w:val="28"/>
        </w:rPr>
        <w:t>P</w:t>
      </w:r>
      <w:r>
        <w:rPr>
          <w:rFonts w:ascii="仿宋" w:eastAsia="仿宋" w:hAnsi="仿宋" w:hint="eastAsia"/>
          <w:color w:val="000000"/>
          <w:sz w:val="28"/>
        </w:rPr>
        <w:t>）×[(1＋4.75%)</w:t>
      </w:r>
      <w:r>
        <w:rPr>
          <w:rFonts w:ascii="仿宋" w:eastAsia="仿宋" w:hAnsi="仿宋" w:hint="eastAsia"/>
          <w:color w:val="000000"/>
          <w:sz w:val="28"/>
          <w:vertAlign w:val="superscript"/>
        </w:rPr>
        <w:t>2.5/2</w:t>
      </w:r>
      <w:r>
        <w:rPr>
          <w:rFonts w:ascii="仿宋" w:eastAsia="仿宋" w:hAnsi="仿宋" w:hint="eastAsia"/>
          <w:color w:val="000000"/>
          <w:sz w:val="28"/>
        </w:rPr>
        <w:t>-1]＋（</w:t>
      </w:r>
      <w:r>
        <w:rPr>
          <w:rFonts w:ascii="仿宋" w:eastAsia="仿宋" w:hAnsi="仿宋" w:hint="eastAsia"/>
          <w:b/>
          <w:color w:val="000000"/>
          <w:sz w:val="28"/>
        </w:rPr>
        <w:t>P</w:t>
      </w:r>
      <w:r>
        <w:rPr>
          <w:rFonts w:ascii="仿宋" w:eastAsia="仿宋" w:hAnsi="仿宋" w:hint="eastAsia"/>
          <w:color w:val="000000"/>
          <w:sz w:val="28"/>
        </w:rPr>
        <w:t>＋0.0405</w:t>
      </w:r>
      <w:r>
        <w:rPr>
          <w:rFonts w:ascii="仿宋" w:eastAsia="仿宋" w:hAnsi="仿宋" w:hint="eastAsia"/>
          <w:b/>
          <w:color w:val="000000"/>
          <w:sz w:val="28"/>
        </w:rPr>
        <w:t>P</w:t>
      </w:r>
      <w:r>
        <w:rPr>
          <w:rFonts w:ascii="仿宋" w:eastAsia="仿宋" w:hAnsi="仿宋" w:hint="eastAsia"/>
          <w:color w:val="000000"/>
          <w:sz w:val="28"/>
        </w:rPr>
        <w:t>）×[(1＋4.75%)</w:t>
      </w:r>
      <w:r>
        <w:rPr>
          <w:rFonts w:ascii="仿宋" w:eastAsia="仿宋" w:hAnsi="仿宋" w:hint="eastAsia"/>
          <w:color w:val="000000"/>
          <w:sz w:val="28"/>
          <w:vertAlign w:val="superscript"/>
        </w:rPr>
        <w:t>2.5</w:t>
      </w:r>
      <w:r>
        <w:rPr>
          <w:rFonts w:ascii="仿宋" w:eastAsia="仿宋" w:hAnsi="仿宋" w:hint="eastAsia"/>
          <w:color w:val="000000"/>
          <w:sz w:val="28"/>
        </w:rPr>
        <w:t>-1]＝1702.99＋0.1299</w:t>
      </w:r>
      <w:r>
        <w:rPr>
          <w:rFonts w:ascii="仿宋" w:eastAsia="仿宋" w:hAnsi="仿宋" w:hint="eastAsia"/>
          <w:b/>
          <w:color w:val="000000"/>
          <w:sz w:val="28"/>
        </w:rPr>
        <w:t>P</w:t>
      </w:r>
      <w:r>
        <w:rPr>
          <w:rFonts w:ascii="仿宋" w:eastAsia="仿宋" w:hAnsi="仿宋" w:hint="eastAsia"/>
          <w:color w:val="000000"/>
          <w:sz w:val="28"/>
        </w:rPr>
        <w:t>（万元）</w:t>
      </w:r>
    </w:p>
    <w:p w:rsidR="0054446D" w:rsidRDefault="00FB459A">
      <w:pPr>
        <w:spacing w:line="360" w:lineRule="auto"/>
        <w:ind w:firstLineChars="253" w:firstLine="708"/>
        <w:rPr>
          <w:rFonts w:ascii="仿宋" w:eastAsia="仿宋" w:hAnsi="仿宋"/>
          <w:color w:val="000000"/>
          <w:sz w:val="28"/>
        </w:rPr>
      </w:pPr>
      <w:r>
        <w:rPr>
          <w:rFonts w:ascii="仿宋" w:eastAsia="仿宋" w:hAnsi="仿宋" w:hint="eastAsia"/>
          <w:color w:val="000000"/>
          <w:sz w:val="28"/>
        </w:rPr>
        <w:t>⑥销售费用</w:t>
      </w:r>
    </w:p>
    <w:p w:rsidR="0054446D" w:rsidRDefault="00FB459A">
      <w:pPr>
        <w:spacing w:line="360" w:lineRule="auto"/>
        <w:ind w:firstLineChars="253" w:firstLine="708"/>
        <w:rPr>
          <w:rFonts w:ascii="仿宋" w:eastAsia="仿宋" w:hAnsi="仿宋"/>
          <w:color w:val="000000"/>
          <w:sz w:val="28"/>
        </w:rPr>
      </w:pPr>
      <w:r>
        <w:rPr>
          <w:rFonts w:ascii="仿宋" w:eastAsia="仿宋" w:hAnsi="仿宋" w:hint="eastAsia"/>
          <w:color w:val="000000"/>
          <w:sz w:val="28"/>
        </w:rPr>
        <w:t>销售费用是指预售未来开发完成的房地产或者销售已经开发完成的房地产所必要的费用，包括广告费、销售资料制作费、样板房或样板间建设费、售楼处建设费、销售人员费用或者销售代理费等。考虑到开发商品牌、项目定位及项目区域状况，确定销售费用为总销售收入的2.0％计。</w:t>
      </w:r>
    </w:p>
    <w:p w:rsidR="0054446D" w:rsidRDefault="00FB459A">
      <w:pPr>
        <w:spacing w:line="360" w:lineRule="auto"/>
        <w:ind w:firstLineChars="253" w:firstLine="708"/>
        <w:rPr>
          <w:rFonts w:ascii="仿宋" w:eastAsia="仿宋" w:hAnsi="仿宋"/>
          <w:color w:val="000000"/>
          <w:sz w:val="28"/>
        </w:rPr>
      </w:pPr>
      <w:r>
        <w:rPr>
          <w:rFonts w:ascii="仿宋" w:eastAsia="仿宋" w:hAnsi="仿宋" w:hint="eastAsia"/>
          <w:color w:val="000000"/>
          <w:sz w:val="28"/>
        </w:rPr>
        <w:t>销售费用＝开发完成后房地产总价值×2.0%</w:t>
      </w:r>
    </w:p>
    <w:p w:rsidR="0054446D" w:rsidRDefault="00FB459A">
      <w:pPr>
        <w:spacing w:line="360" w:lineRule="auto"/>
        <w:ind w:firstLineChars="253" w:firstLine="708"/>
        <w:rPr>
          <w:rFonts w:ascii="仿宋" w:eastAsia="仿宋" w:hAnsi="仿宋"/>
          <w:color w:val="000000"/>
          <w:sz w:val="28"/>
        </w:rPr>
      </w:pPr>
      <w:r>
        <w:rPr>
          <w:rFonts w:ascii="仿宋" w:eastAsia="仿宋" w:hAnsi="仿宋" w:hint="eastAsia"/>
          <w:color w:val="000000"/>
          <w:sz w:val="28"/>
        </w:rPr>
        <w:t>销售费用＝</w:t>
      </w:r>
      <w:r w:rsidR="008C5525">
        <w:rPr>
          <w:rFonts w:ascii="仿宋" w:eastAsia="仿宋" w:hAnsi="仿宋" w:hint="eastAsia"/>
          <w:color w:val="000000"/>
          <w:sz w:val="28"/>
        </w:rPr>
        <w:t>83085.53</w:t>
      </w:r>
      <w:r>
        <w:rPr>
          <w:rFonts w:ascii="仿宋" w:eastAsia="仿宋" w:hAnsi="仿宋" w:hint="eastAsia"/>
          <w:color w:val="000000"/>
          <w:sz w:val="28"/>
        </w:rPr>
        <w:t>×2.0%＝</w:t>
      </w:r>
      <w:r w:rsidR="008C5525">
        <w:rPr>
          <w:rFonts w:ascii="仿宋" w:eastAsia="仿宋" w:hAnsi="仿宋" w:hint="eastAsia"/>
          <w:color w:val="000000"/>
          <w:sz w:val="28"/>
        </w:rPr>
        <w:t>1661.71</w:t>
      </w:r>
      <w:r>
        <w:rPr>
          <w:rFonts w:ascii="仿宋" w:eastAsia="仿宋" w:hAnsi="仿宋" w:hint="eastAsia"/>
          <w:color w:val="000000"/>
          <w:sz w:val="28"/>
        </w:rPr>
        <w:t>（万元）</w:t>
      </w:r>
    </w:p>
    <w:p w:rsidR="0054446D" w:rsidRDefault="00FB459A">
      <w:pPr>
        <w:spacing w:line="360" w:lineRule="auto"/>
        <w:ind w:firstLineChars="253" w:firstLine="708"/>
        <w:rPr>
          <w:rFonts w:ascii="仿宋" w:eastAsia="仿宋" w:hAnsi="仿宋"/>
          <w:color w:val="000000"/>
          <w:sz w:val="28"/>
        </w:rPr>
      </w:pPr>
      <w:r>
        <w:rPr>
          <w:rFonts w:ascii="仿宋" w:eastAsia="仿宋" w:hAnsi="仿宋" w:hint="eastAsia"/>
          <w:color w:val="000000"/>
          <w:sz w:val="28"/>
        </w:rPr>
        <w:t>⑦销售税费</w:t>
      </w:r>
    </w:p>
    <w:p w:rsidR="00A73DD2" w:rsidRPr="00A73DD2" w:rsidRDefault="00A73DD2" w:rsidP="00260733">
      <w:pPr>
        <w:spacing w:line="360" w:lineRule="auto"/>
        <w:ind w:firstLineChars="253" w:firstLine="708"/>
        <w:rPr>
          <w:rFonts w:ascii="仿宋" w:eastAsia="仿宋" w:hAnsi="仿宋"/>
          <w:color w:val="000000"/>
          <w:sz w:val="28"/>
        </w:rPr>
      </w:pPr>
      <w:r w:rsidRPr="00A73DD2">
        <w:rPr>
          <w:rFonts w:ascii="仿宋" w:eastAsia="仿宋" w:hAnsi="仿宋" w:hint="eastAsia"/>
          <w:color w:val="000000"/>
          <w:sz w:val="28"/>
        </w:rPr>
        <w:t>销售税金包含增值税、城市维护建设税、教育费附加、地方教育费附加等。</w:t>
      </w:r>
    </w:p>
    <w:p w:rsidR="00A73DD2" w:rsidRPr="00A73DD2" w:rsidRDefault="00FE2227" w:rsidP="00260733">
      <w:pPr>
        <w:spacing w:line="360" w:lineRule="auto"/>
        <w:ind w:firstLineChars="253" w:firstLine="708"/>
        <w:rPr>
          <w:rFonts w:ascii="仿宋" w:eastAsia="仿宋" w:hAnsi="仿宋"/>
          <w:color w:val="000000"/>
          <w:sz w:val="28"/>
        </w:rPr>
      </w:pPr>
      <w:r>
        <w:rPr>
          <w:rFonts w:ascii="仿宋" w:eastAsia="仿宋" w:hAnsi="仿宋" w:hint="eastAsia"/>
          <w:color w:val="000000"/>
          <w:sz w:val="28"/>
        </w:rPr>
        <w:t>A</w:t>
      </w:r>
      <w:r w:rsidR="00A73DD2" w:rsidRPr="00A73DD2">
        <w:rPr>
          <w:rFonts w:ascii="仿宋" w:eastAsia="仿宋" w:hAnsi="仿宋" w:hint="eastAsia"/>
          <w:color w:val="000000"/>
          <w:sz w:val="28"/>
        </w:rPr>
        <w:t>增值税</w:t>
      </w:r>
    </w:p>
    <w:p w:rsidR="00A73DD2" w:rsidRPr="00A73DD2" w:rsidRDefault="00A73DD2" w:rsidP="00A73DD2">
      <w:pPr>
        <w:spacing w:line="360" w:lineRule="auto"/>
        <w:ind w:firstLineChars="202" w:firstLine="566"/>
        <w:rPr>
          <w:rFonts w:ascii="仿宋" w:eastAsia="仿宋" w:hAnsi="仿宋"/>
          <w:color w:val="000000"/>
          <w:sz w:val="28"/>
        </w:rPr>
      </w:pPr>
      <w:r w:rsidRPr="00A73DD2">
        <w:rPr>
          <w:rFonts w:ascii="仿宋" w:eastAsia="仿宋" w:hAnsi="仿宋" w:hint="eastAsia"/>
          <w:color w:val="000000"/>
          <w:sz w:val="28"/>
        </w:rPr>
        <w:t>根据《关于全面推开营业税改征增值税试点的通知》（财税〔2016〕36号）和国家税务总局《关于发布〈房地产开发企业销售自行开发的房地产项目增值税征收管理暂行办法</w:t>
      </w:r>
      <w:proofErr w:type="gramStart"/>
      <w:r w:rsidRPr="00A73DD2">
        <w:rPr>
          <w:rFonts w:ascii="仿宋" w:eastAsia="仿宋" w:hAnsi="仿宋" w:hint="eastAsia"/>
          <w:color w:val="000000"/>
          <w:sz w:val="28"/>
        </w:rPr>
        <w:t>〉</w:t>
      </w:r>
      <w:proofErr w:type="gramEnd"/>
      <w:r w:rsidRPr="00A73DD2">
        <w:rPr>
          <w:rFonts w:ascii="仿宋" w:eastAsia="仿宋" w:hAnsi="仿宋" w:hint="eastAsia"/>
          <w:color w:val="000000"/>
          <w:sz w:val="28"/>
        </w:rPr>
        <w:t>的公告</w:t>
      </w:r>
      <w:proofErr w:type="gramStart"/>
      <w:r w:rsidRPr="00A73DD2">
        <w:rPr>
          <w:rFonts w:ascii="仿宋" w:eastAsia="仿宋" w:hAnsi="仿宋" w:hint="eastAsia"/>
          <w:color w:val="000000"/>
          <w:sz w:val="28"/>
        </w:rPr>
        <w:t>》</w:t>
      </w:r>
      <w:proofErr w:type="gramEnd"/>
      <w:r w:rsidRPr="00A73DD2">
        <w:rPr>
          <w:rFonts w:ascii="仿宋" w:eastAsia="仿宋" w:hAnsi="仿宋" w:hint="eastAsia"/>
          <w:color w:val="000000"/>
          <w:sz w:val="28"/>
        </w:rPr>
        <w:t>（国家税务总局公告2016年第18号）及根据《关于调整增值税税率的通知》（财税[2018]32号）的规定，原适用17%和11%税率的销售行为，自2018年5月1日起适用税率分别调整为16%、10%，原适用税率6%销售行为的维持不变。根据《财政部税务总局海关总署公告》（2019年第39号），增值税一般纳税人发生增值税应税销售行为或者进口货物，原适用16%税率的，税率调整为13%，原适用10%税率的，税率调整为9%。房地产开发企业一般均为一般纳税人，适用一般计税方法计税，即适用税率9%，计算公式如下：</w:t>
      </w:r>
    </w:p>
    <w:p w:rsidR="00A73DD2" w:rsidRPr="00A73DD2" w:rsidRDefault="00A73DD2" w:rsidP="00A73DD2">
      <w:pPr>
        <w:spacing w:line="360" w:lineRule="auto"/>
        <w:ind w:firstLineChars="202" w:firstLine="566"/>
        <w:rPr>
          <w:rFonts w:ascii="仿宋" w:eastAsia="仿宋" w:hAnsi="仿宋"/>
          <w:color w:val="000000"/>
          <w:sz w:val="28"/>
        </w:rPr>
      </w:pPr>
      <w:r w:rsidRPr="00A73DD2">
        <w:rPr>
          <w:rFonts w:ascii="仿宋" w:eastAsia="仿宋" w:hAnsi="仿宋" w:hint="eastAsia"/>
          <w:color w:val="000000"/>
          <w:sz w:val="28"/>
        </w:rPr>
        <w:t>应纳税额=销项税额-进项税额</w:t>
      </w:r>
    </w:p>
    <w:p w:rsidR="00A73DD2" w:rsidRPr="00A73DD2" w:rsidRDefault="00FE2227" w:rsidP="00A73DD2">
      <w:pPr>
        <w:spacing w:line="360" w:lineRule="auto"/>
        <w:ind w:firstLineChars="202" w:firstLine="566"/>
        <w:rPr>
          <w:rFonts w:ascii="仿宋" w:eastAsia="仿宋" w:hAnsi="仿宋"/>
          <w:color w:val="000000"/>
          <w:sz w:val="28"/>
        </w:rPr>
      </w:pPr>
      <w:r>
        <w:rPr>
          <w:rFonts w:ascii="仿宋" w:eastAsia="仿宋" w:hAnsi="仿宋" w:hint="eastAsia"/>
          <w:color w:val="000000"/>
          <w:sz w:val="28"/>
        </w:rPr>
        <w:t>a</w:t>
      </w:r>
      <w:r w:rsidR="00A73DD2" w:rsidRPr="00A73DD2">
        <w:rPr>
          <w:rFonts w:ascii="仿宋" w:eastAsia="仿宋" w:hAnsi="仿宋" w:hint="eastAsia"/>
          <w:color w:val="000000"/>
          <w:sz w:val="28"/>
        </w:rPr>
        <w:t>销项税额</w:t>
      </w:r>
    </w:p>
    <w:p w:rsidR="00A73DD2" w:rsidRPr="00A73DD2" w:rsidRDefault="00A73DD2" w:rsidP="00A73DD2">
      <w:pPr>
        <w:spacing w:line="360" w:lineRule="auto"/>
        <w:ind w:firstLineChars="202" w:firstLine="566"/>
        <w:rPr>
          <w:rFonts w:ascii="仿宋" w:eastAsia="仿宋" w:hAnsi="仿宋"/>
          <w:color w:val="000000"/>
          <w:sz w:val="28"/>
        </w:rPr>
      </w:pPr>
      <w:r w:rsidRPr="00A73DD2">
        <w:rPr>
          <w:rFonts w:ascii="仿宋" w:eastAsia="仿宋" w:hAnsi="仿宋" w:hint="eastAsia"/>
          <w:color w:val="000000"/>
          <w:sz w:val="28"/>
        </w:rPr>
        <w:t>根据国家税务总局《关于发布〈房地产开发企业销售自行开发的房地产项目增值税征收管理暂行办法〉的公告》（国家税务总局公告2016年第18号），房地产开发企业中采用一般计税方法计税的，销售额是按照取得的全部价款和价外费用，扣除当期销售房地产项目对应的土地价款后余额计算，计算公式如下：</w:t>
      </w:r>
    </w:p>
    <w:p w:rsidR="00A73DD2" w:rsidRPr="00A73DD2" w:rsidRDefault="00A73DD2" w:rsidP="00A73DD2">
      <w:pPr>
        <w:spacing w:line="360" w:lineRule="auto"/>
        <w:ind w:firstLineChars="202" w:firstLine="566"/>
        <w:rPr>
          <w:rFonts w:ascii="仿宋" w:eastAsia="仿宋" w:hAnsi="仿宋"/>
          <w:color w:val="000000"/>
          <w:sz w:val="28"/>
        </w:rPr>
      </w:pPr>
      <w:r w:rsidRPr="00A73DD2">
        <w:rPr>
          <w:rFonts w:ascii="仿宋" w:eastAsia="仿宋" w:hAnsi="仿宋" w:hint="eastAsia"/>
          <w:color w:val="000000"/>
          <w:sz w:val="28"/>
        </w:rPr>
        <w:t>销项税额＝(不动产销售总价-当期允许扣除的土地价款)÷（1+增值税税率）×增值税税率</w:t>
      </w:r>
    </w:p>
    <w:p w:rsidR="00A73DD2" w:rsidRPr="00A73DD2" w:rsidRDefault="00A73DD2" w:rsidP="00A73DD2">
      <w:pPr>
        <w:spacing w:line="360" w:lineRule="auto"/>
        <w:ind w:firstLineChars="202" w:firstLine="566"/>
        <w:rPr>
          <w:rFonts w:ascii="仿宋" w:eastAsia="仿宋" w:hAnsi="仿宋"/>
          <w:color w:val="000000"/>
          <w:sz w:val="28"/>
        </w:rPr>
      </w:pPr>
      <w:r w:rsidRPr="00A73DD2">
        <w:rPr>
          <w:rFonts w:ascii="仿宋" w:eastAsia="仿宋" w:hAnsi="仿宋" w:hint="eastAsia"/>
          <w:color w:val="000000"/>
          <w:sz w:val="28"/>
        </w:rPr>
        <w:t>=(</w:t>
      </w:r>
      <w:r w:rsidRPr="00A73DD2">
        <w:t xml:space="preserve"> </w:t>
      </w:r>
      <w:r w:rsidR="008C5525">
        <w:rPr>
          <w:rFonts w:ascii="仿宋" w:eastAsia="仿宋" w:hAnsi="仿宋"/>
          <w:color w:val="000000"/>
          <w:sz w:val="28"/>
        </w:rPr>
        <w:t>83085.53</w:t>
      </w:r>
      <w:r w:rsidRPr="00A73DD2">
        <w:rPr>
          <w:rFonts w:ascii="仿宋" w:eastAsia="仿宋" w:hAnsi="仿宋" w:hint="eastAsia"/>
          <w:color w:val="000000"/>
          <w:sz w:val="28"/>
        </w:rPr>
        <w:t>-</w:t>
      </w:r>
      <w:r w:rsidRPr="00A73DD2">
        <w:rPr>
          <w:rFonts w:ascii="仿宋" w:eastAsia="仿宋" w:hAnsi="仿宋" w:hint="eastAsia"/>
          <w:b/>
          <w:color w:val="000000"/>
          <w:sz w:val="28"/>
        </w:rPr>
        <w:t xml:space="preserve"> </w:t>
      </w:r>
      <w:r>
        <w:rPr>
          <w:rFonts w:ascii="仿宋" w:eastAsia="仿宋" w:hAnsi="仿宋" w:hint="eastAsia"/>
          <w:b/>
          <w:color w:val="000000"/>
          <w:sz w:val="28"/>
        </w:rPr>
        <w:t>P</w:t>
      </w:r>
      <w:r w:rsidRPr="00A73DD2">
        <w:rPr>
          <w:rFonts w:ascii="仿宋" w:eastAsia="仿宋" w:hAnsi="仿宋" w:hint="eastAsia"/>
          <w:color w:val="000000"/>
          <w:sz w:val="28"/>
        </w:rPr>
        <w:t>)×0.09÷(1+0.09)</w:t>
      </w:r>
    </w:p>
    <w:p w:rsidR="00A73DD2" w:rsidRPr="00A73DD2" w:rsidRDefault="00A73DD2" w:rsidP="00A73DD2">
      <w:pPr>
        <w:spacing w:line="360" w:lineRule="auto"/>
        <w:ind w:firstLineChars="202" w:firstLine="566"/>
        <w:rPr>
          <w:rFonts w:ascii="仿宋" w:eastAsia="仿宋" w:hAnsi="仿宋"/>
          <w:color w:val="000000"/>
          <w:sz w:val="28"/>
        </w:rPr>
      </w:pPr>
      <w:r w:rsidRPr="00A73DD2">
        <w:rPr>
          <w:rFonts w:ascii="仿宋" w:eastAsia="仿宋" w:hAnsi="仿宋" w:hint="eastAsia"/>
          <w:color w:val="000000"/>
          <w:sz w:val="28"/>
        </w:rPr>
        <w:t>=</w:t>
      </w:r>
      <w:r>
        <w:rPr>
          <w:rFonts w:ascii="仿宋" w:eastAsia="仿宋" w:hAnsi="仿宋" w:hint="eastAsia"/>
          <w:color w:val="000000"/>
          <w:sz w:val="28"/>
        </w:rPr>
        <w:t>68</w:t>
      </w:r>
      <w:r w:rsidR="008C5525">
        <w:rPr>
          <w:rFonts w:ascii="仿宋" w:eastAsia="仿宋" w:hAnsi="仿宋" w:hint="eastAsia"/>
          <w:color w:val="000000"/>
          <w:sz w:val="28"/>
        </w:rPr>
        <w:t>60.27</w:t>
      </w:r>
      <w:r w:rsidRPr="00A73DD2">
        <w:rPr>
          <w:rFonts w:ascii="仿宋" w:eastAsia="仿宋" w:hAnsi="仿宋" w:hint="eastAsia"/>
          <w:color w:val="000000"/>
          <w:sz w:val="28"/>
        </w:rPr>
        <w:t>-8.26%</w:t>
      </w:r>
      <w:r w:rsidRPr="00A73DD2">
        <w:rPr>
          <w:rFonts w:ascii="仿宋" w:eastAsia="仿宋" w:hAnsi="仿宋" w:hint="eastAsia"/>
          <w:b/>
          <w:color w:val="000000"/>
          <w:sz w:val="28"/>
        </w:rPr>
        <w:t xml:space="preserve"> </w:t>
      </w:r>
      <w:r>
        <w:rPr>
          <w:rFonts w:ascii="仿宋" w:eastAsia="仿宋" w:hAnsi="仿宋" w:hint="eastAsia"/>
          <w:b/>
          <w:color w:val="000000"/>
          <w:sz w:val="28"/>
        </w:rPr>
        <w:t>P</w:t>
      </w:r>
    </w:p>
    <w:p w:rsidR="00A73DD2" w:rsidRPr="00A73DD2" w:rsidRDefault="00FE2227" w:rsidP="00A73DD2">
      <w:pPr>
        <w:spacing w:line="360" w:lineRule="auto"/>
        <w:ind w:firstLineChars="202" w:firstLine="566"/>
        <w:rPr>
          <w:rFonts w:ascii="仿宋" w:eastAsia="仿宋" w:hAnsi="仿宋"/>
          <w:color w:val="000000"/>
          <w:sz w:val="28"/>
        </w:rPr>
      </w:pPr>
      <w:r>
        <w:rPr>
          <w:rFonts w:ascii="仿宋" w:eastAsia="仿宋" w:hAnsi="仿宋" w:hint="eastAsia"/>
          <w:color w:val="000000"/>
          <w:sz w:val="28"/>
        </w:rPr>
        <w:t>b</w:t>
      </w:r>
      <w:r w:rsidR="00A73DD2" w:rsidRPr="00A73DD2">
        <w:rPr>
          <w:rFonts w:ascii="仿宋" w:eastAsia="仿宋" w:hAnsi="仿宋" w:hint="eastAsia"/>
          <w:color w:val="000000"/>
          <w:sz w:val="28"/>
        </w:rPr>
        <w:t>进项税额</w:t>
      </w:r>
    </w:p>
    <w:p w:rsidR="00A73DD2" w:rsidRPr="00A73DD2" w:rsidRDefault="00A73DD2" w:rsidP="00A73DD2">
      <w:pPr>
        <w:spacing w:line="360" w:lineRule="auto"/>
        <w:ind w:firstLineChars="202" w:firstLine="566"/>
        <w:rPr>
          <w:rFonts w:ascii="仿宋" w:eastAsia="仿宋" w:hAnsi="仿宋"/>
          <w:color w:val="000000"/>
          <w:sz w:val="28"/>
        </w:rPr>
      </w:pPr>
      <w:r w:rsidRPr="00A73DD2">
        <w:rPr>
          <w:rFonts w:ascii="仿宋" w:eastAsia="仿宋" w:hAnsi="仿宋" w:hint="eastAsia"/>
          <w:color w:val="000000"/>
          <w:sz w:val="28"/>
        </w:rPr>
        <w:t>根据《关于深化增值税改革有关政策的公告》（财政部、税务总局、海关总署公告2019年第39号，2019年3月20日）、财政部、国家税务总局《关于调整增值税税率的通知》（财税[2018]32号，2018年4月4日）、《关于全面推开营业税改征增值税试点的通知》(财税〔2016〕36号)规定，建筑行业建造房地产的增值税率由10%调整为</w:t>
      </w:r>
      <w:bookmarkStart w:id="79" w:name="进项税率1"/>
      <w:r w:rsidRPr="00A73DD2">
        <w:rPr>
          <w:rFonts w:ascii="仿宋" w:eastAsia="仿宋" w:hAnsi="仿宋" w:hint="eastAsia"/>
          <w:color w:val="000000"/>
          <w:sz w:val="28"/>
        </w:rPr>
        <w:t>9%</w:t>
      </w:r>
      <w:bookmarkEnd w:id="79"/>
      <w:r w:rsidRPr="00A73DD2">
        <w:rPr>
          <w:rFonts w:ascii="仿宋" w:eastAsia="仿宋" w:hAnsi="仿宋" w:hint="eastAsia"/>
          <w:color w:val="000000"/>
          <w:sz w:val="28"/>
        </w:rPr>
        <w:t>，前期费用、专业费用涉及的勘察设计公司的增值税率为</w:t>
      </w:r>
      <w:bookmarkStart w:id="80" w:name="进项税率2"/>
      <w:r w:rsidRPr="00A73DD2">
        <w:rPr>
          <w:rFonts w:ascii="仿宋" w:eastAsia="仿宋" w:hAnsi="仿宋" w:hint="eastAsia"/>
          <w:color w:val="000000"/>
          <w:sz w:val="28"/>
        </w:rPr>
        <w:t>6%</w:t>
      </w:r>
      <w:bookmarkEnd w:id="80"/>
      <w:r w:rsidRPr="00A73DD2">
        <w:rPr>
          <w:rFonts w:ascii="仿宋" w:eastAsia="仿宋" w:hAnsi="仿宋" w:hint="eastAsia"/>
          <w:color w:val="000000"/>
          <w:sz w:val="28"/>
        </w:rPr>
        <w:t>，房地产销售代理公司的销售费用的增值税率为6%。在市场存在一般纳税人和小规模纳税人时，房地产开发企业优先选用一般纳税人，此次评估设定上述公司均为一般纳税人。可抵扣的进项主要有以下几项：</w:t>
      </w:r>
    </w:p>
    <w:p w:rsidR="00A73DD2" w:rsidRDefault="00A73DD2" w:rsidP="00A73DD2">
      <w:pPr>
        <w:spacing w:line="360" w:lineRule="auto"/>
        <w:ind w:firstLineChars="202" w:firstLine="566"/>
        <w:rPr>
          <w:rFonts w:ascii="仿宋" w:eastAsia="仿宋" w:hAnsi="仿宋"/>
          <w:color w:val="000000"/>
          <w:sz w:val="28"/>
        </w:rPr>
      </w:pPr>
      <w:r w:rsidRPr="00A73DD2">
        <w:rPr>
          <w:rFonts w:ascii="仿宋" w:eastAsia="仿宋" w:hAnsi="仿宋" w:hint="eastAsia"/>
          <w:color w:val="000000"/>
          <w:sz w:val="28"/>
        </w:rPr>
        <w:t>进项税额=（建筑安装工程费+红线内基础设施建设费+小区公共配套设施建设费）÷（1+</w:t>
      </w:r>
      <w:fldSimple w:instr=" REF 进项税率1 \h  \* MERGEFORMAT ">
        <w:r w:rsidRPr="00A73DD2">
          <w:rPr>
            <w:rFonts w:ascii="仿宋" w:eastAsia="仿宋" w:hAnsi="仿宋" w:hint="eastAsia"/>
            <w:color w:val="000000"/>
            <w:sz w:val="28"/>
          </w:rPr>
          <w:t>9%</w:t>
        </w:r>
      </w:fldSimple>
      <w:r w:rsidRPr="00A73DD2">
        <w:rPr>
          <w:rFonts w:ascii="仿宋" w:eastAsia="仿宋" w:hAnsi="仿宋" w:hint="eastAsia"/>
          <w:color w:val="000000"/>
          <w:sz w:val="28"/>
        </w:rPr>
        <w:t>）×</w:t>
      </w:r>
      <w:fldSimple w:instr=" REF 进项税率1 \h  \* MERGEFORMAT ">
        <w:r w:rsidRPr="00A73DD2">
          <w:rPr>
            <w:rFonts w:ascii="仿宋" w:eastAsia="仿宋" w:hAnsi="仿宋" w:hint="eastAsia"/>
            <w:color w:val="000000"/>
            <w:sz w:val="28"/>
          </w:rPr>
          <w:t>9%</w:t>
        </w:r>
      </w:fldSimple>
      <w:r w:rsidRPr="00A73DD2">
        <w:rPr>
          <w:rFonts w:ascii="仿宋" w:eastAsia="仿宋" w:hAnsi="仿宋" w:hint="eastAsia"/>
          <w:color w:val="000000"/>
          <w:sz w:val="28"/>
        </w:rPr>
        <w:t>+前期费用÷（1＋</w:t>
      </w:r>
      <w:fldSimple w:instr=" REF 进项税率2 \h  \* MERGEFORMAT ">
        <w:r w:rsidRPr="00A73DD2">
          <w:rPr>
            <w:rFonts w:ascii="仿宋" w:eastAsia="仿宋" w:hAnsi="仿宋" w:hint="eastAsia"/>
            <w:color w:val="000000"/>
            <w:sz w:val="28"/>
          </w:rPr>
          <w:t>6%</w:t>
        </w:r>
      </w:fldSimple>
      <w:r w:rsidRPr="00A73DD2">
        <w:rPr>
          <w:rFonts w:ascii="仿宋" w:eastAsia="仿宋" w:hAnsi="仿宋" w:hint="eastAsia"/>
          <w:color w:val="000000"/>
          <w:sz w:val="28"/>
        </w:rPr>
        <w:t>）×</w:t>
      </w:r>
      <w:fldSimple w:instr=" REF 进项税率2 \h  \* MERGEFORMAT ">
        <w:r w:rsidRPr="00A73DD2">
          <w:rPr>
            <w:rFonts w:ascii="仿宋" w:eastAsia="仿宋" w:hAnsi="仿宋" w:hint="eastAsia"/>
            <w:color w:val="000000"/>
            <w:sz w:val="28"/>
          </w:rPr>
          <w:t>6%</w:t>
        </w:r>
      </w:fldSimple>
      <w:r w:rsidRPr="00A73DD2">
        <w:rPr>
          <w:rFonts w:ascii="仿宋" w:eastAsia="仿宋" w:hAnsi="仿宋" w:hint="eastAsia"/>
          <w:color w:val="000000"/>
          <w:sz w:val="28"/>
        </w:rPr>
        <w:t>+销售费用÷（1＋</w:t>
      </w:r>
      <w:fldSimple w:instr=" REF 进项税率2 \h  \* MERGEFORMAT ">
        <w:r w:rsidRPr="00A73DD2">
          <w:rPr>
            <w:rFonts w:ascii="仿宋" w:eastAsia="仿宋" w:hAnsi="仿宋" w:hint="eastAsia"/>
            <w:color w:val="000000"/>
            <w:sz w:val="28"/>
          </w:rPr>
          <w:t>6%</w:t>
        </w:r>
      </w:fldSimple>
      <w:r w:rsidRPr="00A73DD2">
        <w:rPr>
          <w:rFonts w:ascii="仿宋" w:eastAsia="仿宋" w:hAnsi="仿宋" w:hint="eastAsia"/>
          <w:color w:val="000000"/>
          <w:sz w:val="28"/>
        </w:rPr>
        <w:t>）×</w:t>
      </w:r>
      <w:fldSimple w:instr=" REF 进项税率2 \h  \* MERGEFORMAT ">
        <w:r w:rsidRPr="00A73DD2">
          <w:rPr>
            <w:rFonts w:ascii="仿宋" w:eastAsia="仿宋" w:hAnsi="仿宋" w:hint="eastAsia"/>
            <w:color w:val="000000"/>
            <w:sz w:val="28"/>
          </w:rPr>
          <w:t>6%</w:t>
        </w:r>
      </w:fldSimple>
    </w:p>
    <w:p w:rsidR="00A73DD2" w:rsidRPr="00A73DD2" w:rsidRDefault="00A73DD2" w:rsidP="00A73DD2">
      <w:pPr>
        <w:spacing w:line="360" w:lineRule="auto"/>
        <w:ind w:firstLineChars="202" w:firstLine="566"/>
        <w:rPr>
          <w:rFonts w:ascii="仿宋" w:eastAsia="仿宋" w:hAnsi="仿宋"/>
          <w:color w:val="000000"/>
          <w:sz w:val="28"/>
        </w:rPr>
      </w:pPr>
      <w:r w:rsidRPr="00A73DD2">
        <w:rPr>
          <w:rFonts w:ascii="仿宋" w:eastAsia="仿宋" w:hAnsi="仿宋" w:hint="eastAsia"/>
          <w:color w:val="000000"/>
          <w:sz w:val="28"/>
        </w:rPr>
        <w:t xml:space="preserve"> =</w:t>
      </w:r>
      <w:r w:rsidR="0048550B">
        <w:rPr>
          <w:rFonts w:ascii="仿宋" w:eastAsia="仿宋" w:hAnsi="仿宋" w:hint="eastAsia"/>
          <w:color w:val="000000"/>
          <w:sz w:val="28"/>
        </w:rPr>
        <w:t>(1561+300)</w:t>
      </w:r>
      <w:r w:rsidR="00FE2227">
        <w:rPr>
          <w:rFonts w:ascii="仿宋" w:eastAsia="仿宋" w:hAnsi="仿宋" w:hint="eastAsia"/>
          <w:color w:val="000000"/>
          <w:sz w:val="28"/>
        </w:rPr>
        <w:t>*(119795.04+2000)</w:t>
      </w:r>
      <w:r w:rsidRPr="00A73DD2">
        <w:rPr>
          <w:rFonts w:ascii="仿宋" w:eastAsia="仿宋" w:hAnsi="仿宋" w:hint="eastAsia"/>
          <w:color w:val="000000"/>
          <w:sz w:val="28"/>
        </w:rPr>
        <w:t>×0.0826+</w:t>
      </w:r>
      <w:r w:rsidR="00FE2227">
        <w:rPr>
          <w:rFonts w:ascii="仿宋" w:eastAsia="仿宋" w:hAnsi="仿宋" w:hint="eastAsia"/>
          <w:color w:val="000000"/>
          <w:sz w:val="28"/>
        </w:rPr>
        <w:t>[156.1*(119795.04+2000)</w:t>
      </w:r>
      <w:r w:rsidR="008C5525">
        <w:rPr>
          <w:rFonts w:ascii="仿宋" w:eastAsia="仿宋" w:hAnsi="仿宋" w:hint="eastAsia"/>
          <w:color w:val="000000"/>
          <w:sz w:val="28"/>
        </w:rPr>
        <w:t>+</w:t>
      </w:r>
      <w:r w:rsidR="008C5525" w:rsidRPr="008C5525">
        <w:rPr>
          <w:rFonts w:ascii="仿宋" w:eastAsia="仿宋" w:hAnsi="仿宋" w:hint="eastAsia"/>
          <w:color w:val="000000"/>
          <w:sz w:val="28"/>
        </w:rPr>
        <w:t xml:space="preserve"> </w:t>
      </w:r>
      <w:r w:rsidR="008C5525">
        <w:rPr>
          <w:rFonts w:ascii="仿宋" w:eastAsia="仿宋" w:hAnsi="仿宋" w:hint="eastAsia"/>
          <w:color w:val="000000"/>
          <w:sz w:val="28"/>
        </w:rPr>
        <w:t>1661.71</w:t>
      </w:r>
      <w:r w:rsidR="00FE2227">
        <w:rPr>
          <w:rFonts w:ascii="仿宋" w:eastAsia="仿宋" w:hAnsi="仿宋" w:hint="eastAsia"/>
          <w:color w:val="000000"/>
          <w:sz w:val="28"/>
        </w:rPr>
        <w:t>]</w:t>
      </w:r>
      <w:r w:rsidRPr="00A73DD2">
        <w:rPr>
          <w:rFonts w:ascii="仿宋" w:eastAsia="仿宋" w:hAnsi="仿宋" w:hint="eastAsia"/>
          <w:color w:val="000000"/>
          <w:sz w:val="28"/>
        </w:rPr>
        <w:t>×0.0566</w:t>
      </w:r>
    </w:p>
    <w:p w:rsidR="00A73DD2" w:rsidRPr="00A73DD2" w:rsidRDefault="00A73DD2" w:rsidP="00A73DD2">
      <w:pPr>
        <w:spacing w:line="360" w:lineRule="auto"/>
        <w:ind w:firstLineChars="202" w:firstLine="566"/>
        <w:rPr>
          <w:rFonts w:ascii="仿宋" w:eastAsia="仿宋" w:hAnsi="仿宋"/>
          <w:color w:val="000000"/>
          <w:sz w:val="28"/>
        </w:rPr>
      </w:pPr>
      <w:r w:rsidRPr="00A73DD2">
        <w:rPr>
          <w:rFonts w:ascii="仿宋" w:eastAsia="仿宋" w:hAnsi="仿宋" w:hint="eastAsia"/>
          <w:color w:val="000000"/>
          <w:sz w:val="28"/>
        </w:rPr>
        <w:t>=</w:t>
      </w:r>
      <w:r w:rsidR="00FE2227">
        <w:rPr>
          <w:rFonts w:ascii="仿宋" w:eastAsia="仿宋" w:hAnsi="仿宋" w:hint="eastAsia"/>
          <w:color w:val="000000"/>
          <w:sz w:val="28"/>
        </w:rPr>
        <w:t>218</w:t>
      </w:r>
      <w:r w:rsidR="008C5525">
        <w:rPr>
          <w:rFonts w:ascii="仿宋" w:eastAsia="仿宋" w:hAnsi="仿宋" w:hint="eastAsia"/>
          <w:color w:val="000000"/>
          <w:sz w:val="28"/>
        </w:rPr>
        <w:t>0.78</w:t>
      </w:r>
      <w:r w:rsidRPr="00A73DD2">
        <w:rPr>
          <w:rFonts w:ascii="仿宋" w:eastAsia="仿宋" w:hAnsi="仿宋" w:hint="eastAsia"/>
          <w:color w:val="000000"/>
          <w:sz w:val="28"/>
        </w:rPr>
        <w:t>（</w:t>
      </w:r>
      <w:r w:rsidR="00FE2227">
        <w:rPr>
          <w:rFonts w:ascii="仿宋" w:eastAsia="仿宋" w:hAnsi="仿宋" w:hint="eastAsia"/>
          <w:color w:val="000000"/>
          <w:sz w:val="28"/>
        </w:rPr>
        <w:t>万</w:t>
      </w:r>
      <w:r w:rsidRPr="00A73DD2">
        <w:rPr>
          <w:rFonts w:ascii="仿宋" w:eastAsia="仿宋" w:hAnsi="仿宋" w:hint="eastAsia"/>
          <w:color w:val="000000"/>
          <w:sz w:val="28"/>
        </w:rPr>
        <w:t>元）</w:t>
      </w:r>
    </w:p>
    <w:p w:rsidR="00A73DD2" w:rsidRPr="00A73DD2" w:rsidRDefault="00FE2227" w:rsidP="00A73DD2">
      <w:pPr>
        <w:spacing w:line="360" w:lineRule="auto"/>
        <w:ind w:firstLineChars="202" w:firstLine="566"/>
        <w:rPr>
          <w:rFonts w:ascii="仿宋" w:eastAsia="仿宋" w:hAnsi="仿宋"/>
          <w:color w:val="000000"/>
          <w:sz w:val="28"/>
        </w:rPr>
      </w:pPr>
      <w:r>
        <w:rPr>
          <w:rFonts w:ascii="仿宋" w:eastAsia="仿宋" w:hAnsi="仿宋" w:hint="eastAsia"/>
          <w:color w:val="000000"/>
          <w:sz w:val="28"/>
        </w:rPr>
        <w:t>c</w:t>
      </w:r>
      <w:r w:rsidR="00A73DD2" w:rsidRPr="00A73DD2">
        <w:rPr>
          <w:rFonts w:ascii="仿宋" w:eastAsia="仿宋" w:hAnsi="仿宋" w:hint="eastAsia"/>
          <w:color w:val="000000"/>
          <w:sz w:val="28"/>
        </w:rPr>
        <w:t>增值税的确定</w:t>
      </w:r>
    </w:p>
    <w:p w:rsidR="00A73DD2" w:rsidRPr="00A73DD2" w:rsidRDefault="00A73DD2" w:rsidP="00A73DD2">
      <w:pPr>
        <w:spacing w:line="360" w:lineRule="auto"/>
        <w:ind w:firstLineChars="202" w:firstLine="566"/>
        <w:rPr>
          <w:rFonts w:ascii="仿宋" w:eastAsia="仿宋" w:hAnsi="仿宋"/>
          <w:color w:val="000000"/>
          <w:sz w:val="28"/>
        </w:rPr>
      </w:pPr>
      <w:r w:rsidRPr="00A73DD2">
        <w:rPr>
          <w:rFonts w:ascii="仿宋" w:eastAsia="仿宋" w:hAnsi="仿宋" w:hint="eastAsia"/>
          <w:color w:val="000000"/>
          <w:sz w:val="28"/>
        </w:rPr>
        <w:t>应纳税额=销项税额-进项税额</w:t>
      </w:r>
    </w:p>
    <w:p w:rsidR="00A73DD2" w:rsidRPr="00A73DD2" w:rsidRDefault="00A73DD2" w:rsidP="00A73DD2">
      <w:pPr>
        <w:spacing w:line="360" w:lineRule="auto"/>
        <w:ind w:firstLineChars="202" w:firstLine="566"/>
        <w:rPr>
          <w:rFonts w:ascii="仿宋" w:eastAsia="仿宋" w:hAnsi="仿宋"/>
          <w:color w:val="000000"/>
          <w:sz w:val="28"/>
        </w:rPr>
      </w:pPr>
      <w:r w:rsidRPr="00A73DD2">
        <w:rPr>
          <w:rFonts w:ascii="仿宋" w:eastAsia="仿宋" w:hAnsi="仿宋" w:hint="eastAsia"/>
          <w:color w:val="000000"/>
          <w:sz w:val="28"/>
        </w:rPr>
        <w:t>=</w:t>
      </w:r>
      <w:r w:rsidR="008C5525">
        <w:rPr>
          <w:rFonts w:ascii="仿宋" w:eastAsia="仿宋" w:hAnsi="仿宋" w:hint="eastAsia"/>
          <w:color w:val="000000"/>
          <w:sz w:val="28"/>
        </w:rPr>
        <w:t>6860.27</w:t>
      </w:r>
      <w:r w:rsidR="008C5525" w:rsidRPr="00A73DD2">
        <w:rPr>
          <w:rFonts w:ascii="仿宋" w:eastAsia="仿宋" w:hAnsi="仿宋" w:hint="eastAsia"/>
          <w:color w:val="000000"/>
          <w:sz w:val="28"/>
        </w:rPr>
        <w:t>-8.26%</w:t>
      </w:r>
      <w:r w:rsidR="008C5525" w:rsidRPr="00A73DD2">
        <w:rPr>
          <w:rFonts w:ascii="仿宋" w:eastAsia="仿宋" w:hAnsi="仿宋" w:hint="eastAsia"/>
          <w:b/>
          <w:color w:val="000000"/>
          <w:sz w:val="28"/>
        </w:rPr>
        <w:t xml:space="preserve"> </w:t>
      </w:r>
      <w:r w:rsidR="008C5525">
        <w:rPr>
          <w:rFonts w:ascii="仿宋" w:eastAsia="仿宋" w:hAnsi="仿宋" w:hint="eastAsia"/>
          <w:b/>
          <w:color w:val="000000"/>
          <w:sz w:val="28"/>
        </w:rPr>
        <w:t>P</w:t>
      </w:r>
      <w:r w:rsidR="008C5525" w:rsidRPr="00A73DD2">
        <w:rPr>
          <w:rFonts w:ascii="仿宋" w:eastAsia="仿宋" w:hAnsi="仿宋" w:hint="eastAsia"/>
          <w:color w:val="000000"/>
          <w:sz w:val="28"/>
        </w:rPr>
        <w:t xml:space="preserve"> </w:t>
      </w:r>
      <w:r w:rsidR="00FE2227" w:rsidRPr="00A73DD2">
        <w:rPr>
          <w:rFonts w:ascii="仿宋" w:eastAsia="仿宋" w:hAnsi="仿宋" w:hint="eastAsia"/>
          <w:color w:val="000000"/>
          <w:sz w:val="28"/>
        </w:rPr>
        <w:t>-</w:t>
      </w:r>
      <w:r w:rsidR="008C5525">
        <w:rPr>
          <w:rFonts w:ascii="仿宋" w:eastAsia="仿宋" w:hAnsi="仿宋" w:hint="eastAsia"/>
          <w:color w:val="000000"/>
          <w:sz w:val="28"/>
        </w:rPr>
        <w:t>2180.78</w:t>
      </w:r>
    </w:p>
    <w:p w:rsidR="00A73DD2" w:rsidRPr="00A73DD2" w:rsidRDefault="00A73DD2" w:rsidP="00A73DD2">
      <w:pPr>
        <w:spacing w:line="360" w:lineRule="auto"/>
        <w:ind w:firstLineChars="202" w:firstLine="566"/>
        <w:rPr>
          <w:rFonts w:ascii="仿宋" w:eastAsia="仿宋" w:hAnsi="仿宋"/>
          <w:color w:val="000000"/>
          <w:sz w:val="28"/>
        </w:rPr>
      </w:pPr>
      <w:r w:rsidRPr="00A73DD2">
        <w:rPr>
          <w:rFonts w:ascii="仿宋" w:eastAsia="仿宋" w:hAnsi="仿宋" w:hint="eastAsia"/>
          <w:color w:val="000000"/>
          <w:sz w:val="28"/>
        </w:rPr>
        <w:t>=</w:t>
      </w:r>
      <w:r w:rsidR="008C5525">
        <w:rPr>
          <w:rFonts w:ascii="仿宋" w:eastAsia="仿宋" w:hAnsi="仿宋" w:hint="eastAsia"/>
          <w:color w:val="000000"/>
          <w:sz w:val="28"/>
        </w:rPr>
        <w:t>4679.49</w:t>
      </w:r>
      <w:r w:rsidRPr="00A73DD2">
        <w:rPr>
          <w:rFonts w:ascii="仿宋" w:eastAsia="仿宋" w:hAnsi="仿宋" w:hint="eastAsia"/>
          <w:color w:val="000000"/>
          <w:sz w:val="28"/>
        </w:rPr>
        <w:t>-0.0826</w:t>
      </w:r>
      <w:r w:rsidR="00FE2227" w:rsidRPr="00FE2227">
        <w:rPr>
          <w:rFonts w:ascii="仿宋" w:eastAsia="仿宋" w:hAnsi="仿宋" w:hint="eastAsia"/>
          <w:b/>
          <w:color w:val="000000"/>
          <w:sz w:val="28"/>
        </w:rPr>
        <w:t xml:space="preserve"> </w:t>
      </w:r>
      <w:r w:rsidR="00FE2227">
        <w:rPr>
          <w:rFonts w:ascii="仿宋" w:eastAsia="仿宋" w:hAnsi="仿宋" w:hint="eastAsia"/>
          <w:b/>
          <w:color w:val="000000"/>
          <w:sz w:val="28"/>
        </w:rPr>
        <w:t>P</w:t>
      </w:r>
    </w:p>
    <w:p w:rsidR="00A73DD2" w:rsidRPr="00A73DD2" w:rsidRDefault="00B3242D" w:rsidP="00A73DD2">
      <w:pPr>
        <w:spacing w:line="360" w:lineRule="auto"/>
        <w:ind w:firstLineChars="202" w:firstLine="566"/>
        <w:rPr>
          <w:rFonts w:ascii="仿宋" w:eastAsia="仿宋" w:hAnsi="仿宋"/>
          <w:color w:val="000000"/>
          <w:sz w:val="28"/>
        </w:rPr>
      </w:pPr>
      <w:r>
        <w:rPr>
          <w:rFonts w:ascii="仿宋" w:eastAsia="仿宋" w:hAnsi="仿宋" w:hint="eastAsia"/>
          <w:color w:val="000000"/>
          <w:sz w:val="28"/>
        </w:rPr>
        <w:t>B</w:t>
      </w:r>
      <w:r w:rsidR="00A73DD2" w:rsidRPr="00A73DD2">
        <w:rPr>
          <w:rFonts w:ascii="仿宋" w:eastAsia="仿宋" w:hAnsi="仿宋" w:hint="eastAsia"/>
          <w:color w:val="000000"/>
          <w:sz w:val="28"/>
        </w:rPr>
        <w:t>城市维护建设税、教育费附加及地方教育费附加</w:t>
      </w:r>
    </w:p>
    <w:p w:rsidR="00A73DD2" w:rsidRPr="00A73DD2" w:rsidRDefault="00A73DD2" w:rsidP="00A73DD2">
      <w:pPr>
        <w:spacing w:line="360" w:lineRule="auto"/>
        <w:ind w:firstLineChars="202" w:firstLine="566"/>
        <w:rPr>
          <w:rFonts w:ascii="仿宋" w:eastAsia="仿宋" w:hAnsi="仿宋"/>
          <w:color w:val="000000"/>
          <w:sz w:val="28"/>
        </w:rPr>
      </w:pPr>
      <w:r w:rsidRPr="00A73DD2">
        <w:rPr>
          <w:rFonts w:ascii="仿宋" w:eastAsia="仿宋" w:hAnsi="仿宋" w:hint="eastAsia"/>
          <w:color w:val="000000"/>
          <w:sz w:val="28"/>
        </w:rPr>
        <w:t>根据《中华人民共和国城市维护建设税暂行条例》（国发〔1985〕19号），纳税人所在地在市区的，税率为百分之七；纳税人所在地在县城、镇的，税率为百分之五；纳税人所在地不在市区、县城或镇的，税率为百分之一。估价对象位于</w:t>
      </w:r>
      <w:r w:rsidR="00FE2227">
        <w:rPr>
          <w:rFonts w:ascii="仿宋" w:eastAsia="仿宋" w:hAnsi="仿宋" w:hint="eastAsia"/>
          <w:color w:val="000000"/>
          <w:sz w:val="28"/>
        </w:rPr>
        <w:t>新余市</w:t>
      </w:r>
      <w:r w:rsidRPr="00A73DD2">
        <w:rPr>
          <w:rFonts w:ascii="仿宋" w:eastAsia="仿宋" w:hAnsi="仿宋" w:hint="eastAsia"/>
          <w:color w:val="000000"/>
          <w:sz w:val="28"/>
        </w:rPr>
        <w:t>，城市维护建设税按增值税的</w:t>
      </w:r>
      <w:r w:rsidR="00FE2227">
        <w:rPr>
          <w:rFonts w:ascii="仿宋" w:eastAsia="仿宋" w:hAnsi="仿宋" w:hint="eastAsia"/>
          <w:color w:val="000000"/>
          <w:sz w:val="28"/>
        </w:rPr>
        <w:t>7</w:t>
      </w:r>
      <w:r w:rsidRPr="00A73DD2">
        <w:rPr>
          <w:rFonts w:ascii="仿宋" w:eastAsia="仿宋" w:hAnsi="仿宋" w:hint="eastAsia"/>
          <w:color w:val="000000"/>
          <w:sz w:val="28"/>
        </w:rPr>
        <w:t>%缴纳；根据</w:t>
      </w:r>
      <w:proofErr w:type="gramStart"/>
      <w:r w:rsidR="00FE2227" w:rsidRPr="00FE2227">
        <w:rPr>
          <w:rFonts w:ascii="仿宋" w:eastAsia="仿宋" w:hAnsi="仿宋" w:hint="eastAsia"/>
          <w:color w:val="000000"/>
          <w:sz w:val="28"/>
        </w:rPr>
        <w:t>《</w:t>
      </w:r>
      <w:proofErr w:type="gramEnd"/>
      <w:r w:rsidR="00FE2227" w:rsidRPr="00FE2227">
        <w:rPr>
          <w:rFonts w:ascii="仿宋" w:eastAsia="仿宋" w:hAnsi="仿宋" w:hint="eastAsia"/>
          <w:color w:val="000000"/>
          <w:sz w:val="28"/>
        </w:rPr>
        <w:t>江西省人民政府关于印发</w:t>
      </w:r>
      <w:proofErr w:type="gramStart"/>
      <w:r w:rsidR="00FE2227" w:rsidRPr="00FE2227">
        <w:rPr>
          <w:rFonts w:ascii="仿宋" w:eastAsia="仿宋" w:hAnsi="仿宋" w:hint="eastAsia"/>
          <w:color w:val="000000"/>
          <w:sz w:val="28"/>
        </w:rPr>
        <w:t>《</w:t>
      </w:r>
      <w:proofErr w:type="gramEnd"/>
      <w:r w:rsidR="00FE2227" w:rsidRPr="00FE2227">
        <w:rPr>
          <w:rFonts w:ascii="仿宋" w:eastAsia="仿宋" w:hAnsi="仿宋" w:hint="eastAsia"/>
          <w:color w:val="000000"/>
          <w:sz w:val="28"/>
        </w:rPr>
        <w:t>江西省教育费附加征收管理使用若干规定</w:t>
      </w:r>
      <w:proofErr w:type="gramStart"/>
      <w:r w:rsidR="00FE2227" w:rsidRPr="00FE2227">
        <w:rPr>
          <w:rFonts w:ascii="仿宋" w:eastAsia="仿宋" w:hAnsi="仿宋" w:hint="eastAsia"/>
          <w:color w:val="000000"/>
          <w:sz w:val="28"/>
        </w:rPr>
        <w:t>》</w:t>
      </w:r>
      <w:proofErr w:type="gramEnd"/>
      <w:r w:rsidR="00FE2227" w:rsidRPr="00FE2227">
        <w:rPr>
          <w:rFonts w:ascii="仿宋" w:eastAsia="仿宋" w:hAnsi="仿宋" w:hint="eastAsia"/>
          <w:color w:val="000000"/>
          <w:sz w:val="28"/>
        </w:rPr>
        <w:t>的通知</w:t>
      </w:r>
      <w:proofErr w:type="gramStart"/>
      <w:r w:rsidR="00FE2227" w:rsidRPr="00FE2227">
        <w:rPr>
          <w:rFonts w:ascii="仿宋" w:eastAsia="仿宋" w:hAnsi="仿宋"/>
          <w:color w:val="000000"/>
          <w:sz w:val="28"/>
        </w:rPr>
        <w:t>》</w:t>
      </w:r>
      <w:proofErr w:type="gramEnd"/>
      <w:r w:rsidR="00FE2227" w:rsidRPr="00FE2227">
        <w:rPr>
          <w:rFonts w:ascii="仿宋" w:eastAsia="仿宋" w:hAnsi="仿宋" w:hint="eastAsia"/>
          <w:color w:val="000000"/>
          <w:sz w:val="28"/>
        </w:rPr>
        <w:t>（赣府发[1995]19号）</w:t>
      </w:r>
      <w:r w:rsidRPr="00A73DD2">
        <w:rPr>
          <w:rFonts w:ascii="仿宋" w:eastAsia="仿宋" w:hAnsi="仿宋" w:hint="eastAsia"/>
          <w:color w:val="000000"/>
          <w:sz w:val="28"/>
        </w:rPr>
        <w:t>，教育费附加按增值税的3%缴纳；根据</w:t>
      </w:r>
      <w:r w:rsidR="00FE2227" w:rsidRPr="00FE2227">
        <w:rPr>
          <w:rFonts w:ascii="仿宋" w:eastAsia="仿宋" w:hAnsi="仿宋"/>
          <w:color w:val="000000"/>
          <w:sz w:val="28"/>
        </w:rPr>
        <w:t>《江西省人民政府办公厅转发江西省财政厅等部门关于江西省地方教育附加征收管理办法的通知》</w:t>
      </w:r>
      <w:r w:rsidR="00FE2227" w:rsidRPr="00FE2227">
        <w:rPr>
          <w:rFonts w:ascii="仿宋" w:eastAsia="仿宋" w:hAnsi="仿宋" w:hint="eastAsia"/>
          <w:color w:val="000000"/>
          <w:sz w:val="28"/>
        </w:rPr>
        <w:t>（</w:t>
      </w:r>
      <w:r w:rsidR="00FE2227" w:rsidRPr="00FE2227">
        <w:rPr>
          <w:rFonts w:ascii="仿宋" w:eastAsia="仿宋" w:hAnsi="仿宋"/>
          <w:color w:val="000000"/>
          <w:sz w:val="28"/>
        </w:rPr>
        <w:t>赣府厅发[2010]36号</w:t>
      </w:r>
      <w:r w:rsidR="00FE2227" w:rsidRPr="00FE2227">
        <w:rPr>
          <w:rFonts w:ascii="仿宋" w:eastAsia="仿宋" w:hAnsi="仿宋" w:hint="eastAsia"/>
          <w:color w:val="000000"/>
          <w:sz w:val="28"/>
        </w:rPr>
        <w:t>）</w:t>
      </w:r>
      <w:r w:rsidRPr="00A73DD2">
        <w:rPr>
          <w:rFonts w:ascii="仿宋" w:eastAsia="仿宋" w:hAnsi="仿宋" w:hint="eastAsia"/>
          <w:color w:val="000000"/>
          <w:sz w:val="28"/>
        </w:rPr>
        <w:t>，地方教育费附加按增值税的2%缴纳，则三项合计为增值税的1</w:t>
      </w:r>
      <w:r w:rsidR="00FE2227">
        <w:rPr>
          <w:rFonts w:ascii="仿宋" w:eastAsia="仿宋" w:hAnsi="仿宋" w:hint="eastAsia"/>
          <w:color w:val="000000"/>
          <w:sz w:val="28"/>
        </w:rPr>
        <w:t>2</w:t>
      </w:r>
      <w:r w:rsidRPr="00A73DD2">
        <w:rPr>
          <w:rFonts w:ascii="仿宋" w:eastAsia="仿宋" w:hAnsi="仿宋" w:hint="eastAsia"/>
          <w:color w:val="000000"/>
          <w:sz w:val="28"/>
        </w:rPr>
        <w:t>%，则：</w:t>
      </w:r>
    </w:p>
    <w:p w:rsidR="00A73DD2" w:rsidRPr="00A73DD2" w:rsidRDefault="00A73DD2" w:rsidP="00A73DD2">
      <w:pPr>
        <w:spacing w:line="360" w:lineRule="auto"/>
        <w:ind w:firstLineChars="202" w:firstLine="566"/>
        <w:rPr>
          <w:rFonts w:ascii="仿宋" w:eastAsia="仿宋" w:hAnsi="仿宋"/>
          <w:color w:val="000000"/>
          <w:sz w:val="28"/>
        </w:rPr>
      </w:pPr>
      <w:r w:rsidRPr="00A73DD2">
        <w:rPr>
          <w:rFonts w:ascii="仿宋" w:eastAsia="仿宋" w:hAnsi="仿宋" w:hint="eastAsia"/>
          <w:color w:val="000000"/>
          <w:sz w:val="28"/>
        </w:rPr>
        <w:t>城市维护建设税、教育费附加及地方教育费附加=增值税×1</w:t>
      </w:r>
      <w:r w:rsidR="00FE2227">
        <w:rPr>
          <w:rFonts w:ascii="仿宋" w:eastAsia="仿宋" w:hAnsi="仿宋" w:hint="eastAsia"/>
          <w:color w:val="000000"/>
          <w:sz w:val="28"/>
        </w:rPr>
        <w:t>2</w:t>
      </w:r>
      <w:r w:rsidRPr="00A73DD2">
        <w:rPr>
          <w:rFonts w:ascii="仿宋" w:eastAsia="仿宋" w:hAnsi="仿宋" w:hint="eastAsia"/>
          <w:color w:val="000000"/>
          <w:sz w:val="28"/>
        </w:rPr>
        <w:t>%</w:t>
      </w:r>
    </w:p>
    <w:p w:rsidR="00A73DD2" w:rsidRPr="00A73DD2" w:rsidRDefault="00A73DD2" w:rsidP="00A73DD2">
      <w:pPr>
        <w:spacing w:line="360" w:lineRule="auto"/>
        <w:ind w:firstLineChars="202" w:firstLine="566"/>
        <w:rPr>
          <w:rFonts w:ascii="仿宋" w:eastAsia="仿宋" w:hAnsi="仿宋"/>
          <w:color w:val="000000"/>
          <w:sz w:val="28"/>
        </w:rPr>
      </w:pPr>
      <w:r w:rsidRPr="00A73DD2">
        <w:rPr>
          <w:rFonts w:ascii="仿宋" w:eastAsia="仿宋" w:hAnsi="仿宋" w:hint="eastAsia"/>
          <w:color w:val="000000"/>
          <w:sz w:val="28"/>
        </w:rPr>
        <w:t>=</w:t>
      </w:r>
      <w:r w:rsidR="008C5525">
        <w:rPr>
          <w:rFonts w:ascii="仿宋" w:eastAsia="仿宋" w:hAnsi="仿宋" w:hint="eastAsia"/>
          <w:color w:val="000000"/>
          <w:sz w:val="28"/>
        </w:rPr>
        <w:t>4679.49</w:t>
      </w:r>
      <w:r w:rsidRPr="00A73DD2">
        <w:rPr>
          <w:rFonts w:ascii="仿宋" w:eastAsia="仿宋" w:hAnsi="仿宋" w:hint="eastAsia"/>
          <w:color w:val="000000"/>
          <w:sz w:val="28"/>
        </w:rPr>
        <w:t>×0.1</w:t>
      </w:r>
      <w:r w:rsidR="00FE2227">
        <w:rPr>
          <w:rFonts w:ascii="仿宋" w:eastAsia="仿宋" w:hAnsi="仿宋" w:hint="eastAsia"/>
          <w:color w:val="000000"/>
          <w:sz w:val="28"/>
        </w:rPr>
        <w:t>2</w:t>
      </w:r>
      <w:r w:rsidRPr="00A73DD2">
        <w:rPr>
          <w:rFonts w:ascii="仿宋" w:eastAsia="仿宋" w:hAnsi="仿宋" w:hint="eastAsia"/>
          <w:color w:val="000000"/>
          <w:sz w:val="28"/>
        </w:rPr>
        <w:t>-</w:t>
      </w:r>
      <w:r w:rsidR="00FE2227" w:rsidRPr="00A73DD2">
        <w:rPr>
          <w:rFonts w:ascii="仿宋" w:eastAsia="仿宋" w:hAnsi="仿宋" w:hint="eastAsia"/>
          <w:color w:val="000000"/>
          <w:sz w:val="28"/>
        </w:rPr>
        <w:t>0.0826</w:t>
      </w:r>
      <w:r w:rsidR="00FE2227" w:rsidRPr="00FE2227">
        <w:rPr>
          <w:rFonts w:ascii="仿宋" w:eastAsia="仿宋" w:hAnsi="仿宋" w:hint="eastAsia"/>
          <w:b/>
          <w:color w:val="000000"/>
          <w:sz w:val="28"/>
        </w:rPr>
        <w:t xml:space="preserve"> </w:t>
      </w:r>
      <w:r w:rsidR="00FE2227">
        <w:rPr>
          <w:rFonts w:ascii="仿宋" w:eastAsia="仿宋" w:hAnsi="仿宋" w:hint="eastAsia"/>
          <w:b/>
          <w:color w:val="000000"/>
          <w:sz w:val="28"/>
        </w:rPr>
        <w:t>P</w:t>
      </w:r>
      <w:r w:rsidRPr="00A73DD2">
        <w:rPr>
          <w:rFonts w:ascii="仿宋" w:eastAsia="仿宋" w:hAnsi="仿宋" w:hint="eastAsia"/>
          <w:color w:val="000000"/>
          <w:sz w:val="28"/>
        </w:rPr>
        <w:t>×0.1</w:t>
      </w:r>
      <w:r w:rsidR="00FE2227">
        <w:rPr>
          <w:rFonts w:ascii="仿宋" w:eastAsia="仿宋" w:hAnsi="仿宋" w:hint="eastAsia"/>
          <w:color w:val="000000"/>
          <w:sz w:val="28"/>
        </w:rPr>
        <w:t>2</w:t>
      </w:r>
    </w:p>
    <w:p w:rsidR="00A73DD2" w:rsidRPr="00A73DD2" w:rsidRDefault="00A73DD2" w:rsidP="00A73DD2">
      <w:pPr>
        <w:spacing w:line="360" w:lineRule="auto"/>
        <w:ind w:firstLineChars="202" w:firstLine="566"/>
        <w:rPr>
          <w:rFonts w:ascii="仿宋" w:eastAsia="仿宋" w:hAnsi="仿宋"/>
          <w:color w:val="000000"/>
          <w:sz w:val="28"/>
        </w:rPr>
      </w:pPr>
      <w:r w:rsidRPr="00A73DD2">
        <w:rPr>
          <w:rFonts w:ascii="仿宋" w:eastAsia="仿宋" w:hAnsi="仿宋" w:hint="eastAsia"/>
          <w:color w:val="000000"/>
          <w:sz w:val="28"/>
        </w:rPr>
        <w:t>=</w:t>
      </w:r>
      <w:r w:rsidR="008C5525">
        <w:rPr>
          <w:rFonts w:ascii="仿宋" w:eastAsia="仿宋" w:hAnsi="仿宋" w:hint="eastAsia"/>
          <w:color w:val="000000"/>
          <w:sz w:val="28"/>
        </w:rPr>
        <w:t>561.54</w:t>
      </w:r>
      <w:r w:rsidRPr="00A73DD2">
        <w:rPr>
          <w:rFonts w:ascii="仿宋" w:eastAsia="仿宋" w:hAnsi="仿宋" w:hint="eastAsia"/>
          <w:color w:val="000000"/>
          <w:sz w:val="28"/>
        </w:rPr>
        <w:t>-0.00</w:t>
      </w:r>
      <w:r w:rsidR="00FE2227">
        <w:rPr>
          <w:rFonts w:ascii="仿宋" w:eastAsia="仿宋" w:hAnsi="仿宋" w:hint="eastAsia"/>
          <w:color w:val="000000"/>
          <w:sz w:val="28"/>
        </w:rPr>
        <w:t>991</w:t>
      </w:r>
      <w:r w:rsidR="00FE2227" w:rsidRPr="00A73DD2">
        <w:rPr>
          <w:rFonts w:ascii="仿宋" w:eastAsia="仿宋" w:hAnsi="仿宋" w:hint="eastAsia"/>
          <w:b/>
          <w:color w:val="000000"/>
          <w:sz w:val="28"/>
        </w:rPr>
        <w:t xml:space="preserve"> </w:t>
      </w:r>
      <w:r w:rsidR="00FE2227">
        <w:rPr>
          <w:rFonts w:ascii="仿宋" w:eastAsia="仿宋" w:hAnsi="仿宋" w:hint="eastAsia"/>
          <w:b/>
          <w:color w:val="000000"/>
          <w:sz w:val="28"/>
        </w:rPr>
        <w:t>P</w:t>
      </w:r>
    </w:p>
    <w:p w:rsidR="00FE2227" w:rsidRPr="00FE2227" w:rsidRDefault="00B3242D" w:rsidP="00FE2227">
      <w:pPr>
        <w:spacing w:line="360" w:lineRule="auto"/>
        <w:ind w:firstLineChars="202" w:firstLine="566"/>
        <w:rPr>
          <w:rFonts w:ascii="仿宋" w:eastAsia="仿宋" w:hAnsi="仿宋"/>
          <w:color w:val="000000"/>
          <w:sz w:val="28"/>
        </w:rPr>
      </w:pPr>
      <w:r>
        <w:rPr>
          <w:rFonts w:ascii="仿宋" w:eastAsia="仿宋" w:hAnsi="仿宋" w:hint="eastAsia"/>
          <w:color w:val="000000"/>
          <w:sz w:val="28"/>
        </w:rPr>
        <w:t>C</w:t>
      </w:r>
      <w:r w:rsidR="00FE2227" w:rsidRPr="00FE2227">
        <w:rPr>
          <w:rFonts w:ascii="仿宋" w:eastAsia="仿宋" w:hAnsi="仿宋" w:hint="eastAsia"/>
          <w:color w:val="000000"/>
          <w:sz w:val="28"/>
        </w:rPr>
        <w:t>计算印花税</w:t>
      </w:r>
    </w:p>
    <w:p w:rsidR="00FE2227" w:rsidRPr="00FE2227" w:rsidRDefault="00FE2227" w:rsidP="00FE2227">
      <w:pPr>
        <w:spacing w:line="360" w:lineRule="auto"/>
        <w:ind w:firstLineChars="202" w:firstLine="566"/>
        <w:rPr>
          <w:rFonts w:ascii="仿宋" w:eastAsia="仿宋" w:hAnsi="仿宋"/>
          <w:color w:val="000000"/>
          <w:sz w:val="28"/>
        </w:rPr>
      </w:pPr>
      <w:r w:rsidRPr="00FE2227">
        <w:rPr>
          <w:rFonts w:ascii="仿宋" w:eastAsia="仿宋" w:hAnsi="仿宋" w:hint="eastAsia"/>
          <w:color w:val="000000"/>
          <w:sz w:val="28"/>
        </w:rPr>
        <w:t>印花税是根据《中华人民共和国印花税暂行条例》（1988年8月6日中华人民共和国国务院令第11号发布，根据2011年1月8日《国务院关于废止和修改部分行政法规的决定》修订），产权转移书据是按所载金额立据人</w:t>
      </w:r>
      <w:bookmarkStart w:id="81" w:name="印花税率"/>
      <w:r w:rsidRPr="00FE2227">
        <w:rPr>
          <w:rFonts w:ascii="仿宋" w:eastAsia="仿宋" w:hAnsi="仿宋" w:hint="eastAsia"/>
          <w:color w:val="000000"/>
          <w:sz w:val="28"/>
        </w:rPr>
        <w:t>0.05%</w:t>
      </w:r>
      <w:bookmarkEnd w:id="81"/>
      <w:r w:rsidRPr="00FE2227">
        <w:rPr>
          <w:rFonts w:ascii="仿宋" w:eastAsia="仿宋" w:hAnsi="仿宋" w:hint="eastAsia"/>
          <w:color w:val="000000"/>
          <w:sz w:val="28"/>
        </w:rPr>
        <w:t>贴花。根据</w:t>
      </w:r>
      <w:r w:rsidRPr="00C02948">
        <w:rPr>
          <w:rFonts w:ascii="仿宋" w:eastAsia="仿宋" w:hAnsi="仿宋" w:hint="eastAsia"/>
          <w:color w:val="000000"/>
          <w:sz w:val="28"/>
        </w:rPr>
        <w:t>江西省地方税务局关于发布 《印花税管理规程(试行)实施办法》的公告2017年第2号</w:t>
      </w:r>
      <w:r w:rsidR="00C02948" w:rsidRPr="00C02948">
        <w:rPr>
          <w:rFonts w:ascii="仿宋" w:eastAsia="仿宋" w:hAnsi="仿宋" w:hint="eastAsia"/>
          <w:color w:val="000000"/>
          <w:sz w:val="28"/>
        </w:rPr>
        <w:t>及《江西省地方税务局关于印发印花税核定征收管理暂行办法的通知》（赣地税发﹝2004﹞77号）</w:t>
      </w:r>
      <w:r w:rsidRPr="00FE2227">
        <w:rPr>
          <w:rFonts w:ascii="仿宋" w:eastAsia="仿宋" w:hAnsi="仿宋" w:hint="eastAsia"/>
          <w:color w:val="000000"/>
          <w:sz w:val="28"/>
        </w:rPr>
        <w:t>，产权转移书据：按转让金额100%比例核定。</w:t>
      </w:r>
    </w:p>
    <w:p w:rsidR="00FE2227" w:rsidRDefault="00FE2227" w:rsidP="00FE2227">
      <w:pPr>
        <w:spacing w:line="360" w:lineRule="auto"/>
        <w:ind w:firstLineChars="202" w:firstLine="566"/>
        <w:rPr>
          <w:rFonts w:ascii="仿宋" w:eastAsia="仿宋" w:hAnsi="仿宋"/>
          <w:color w:val="000000"/>
          <w:sz w:val="28"/>
        </w:rPr>
      </w:pPr>
      <w:r w:rsidRPr="00FE2227">
        <w:rPr>
          <w:rFonts w:ascii="仿宋" w:eastAsia="仿宋" w:hAnsi="仿宋" w:hint="eastAsia"/>
          <w:color w:val="000000"/>
          <w:sz w:val="28"/>
        </w:rPr>
        <w:t>印花税＝完成开发后的不动产总价×</w:t>
      </w:r>
      <w:r w:rsidR="00C02948">
        <w:rPr>
          <w:rFonts w:ascii="仿宋" w:eastAsia="仿宋" w:hAnsi="仿宋" w:hint="eastAsia"/>
          <w:color w:val="000000"/>
          <w:sz w:val="28"/>
        </w:rPr>
        <w:t>0.05%</w:t>
      </w:r>
    </w:p>
    <w:p w:rsidR="00FE2227" w:rsidRDefault="00C02948" w:rsidP="00C02948">
      <w:pPr>
        <w:spacing w:line="360" w:lineRule="auto"/>
        <w:ind w:firstLineChars="202" w:firstLine="566"/>
        <w:rPr>
          <w:rFonts w:ascii="仿宋" w:eastAsia="仿宋" w:hAnsi="仿宋"/>
          <w:color w:val="000000"/>
          <w:sz w:val="28"/>
        </w:rPr>
      </w:pPr>
      <w:r w:rsidRPr="00FE2227">
        <w:rPr>
          <w:rFonts w:ascii="仿宋" w:eastAsia="仿宋" w:hAnsi="仿宋" w:hint="eastAsia"/>
          <w:color w:val="000000"/>
          <w:sz w:val="28"/>
        </w:rPr>
        <w:t>＝</w:t>
      </w:r>
      <w:r w:rsidR="008C5525">
        <w:rPr>
          <w:rFonts w:ascii="仿宋" w:eastAsia="仿宋" w:hAnsi="仿宋"/>
          <w:color w:val="000000"/>
          <w:sz w:val="28"/>
        </w:rPr>
        <w:t>83085.53</w:t>
      </w:r>
      <w:r w:rsidRPr="00FE2227">
        <w:rPr>
          <w:rFonts w:ascii="仿宋" w:eastAsia="仿宋" w:hAnsi="仿宋" w:hint="eastAsia"/>
          <w:color w:val="000000"/>
          <w:sz w:val="28"/>
        </w:rPr>
        <w:t>×</w:t>
      </w:r>
      <w:r>
        <w:rPr>
          <w:rFonts w:ascii="仿宋" w:eastAsia="仿宋" w:hAnsi="仿宋" w:hint="eastAsia"/>
          <w:color w:val="000000"/>
          <w:sz w:val="28"/>
        </w:rPr>
        <w:t>0.05%</w:t>
      </w:r>
    </w:p>
    <w:p w:rsidR="00FE2227" w:rsidRDefault="00C02948" w:rsidP="00A73DD2">
      <w:pPr>
        <w:spacing w:line="360" w:lineRule="auto"/>
        <w:ind w:firstLineChars="202" w:firstLine="566"/>
        <w:rPr>
          <w:rFonts w:ascii="仿宋" w:eastAsia="仿宋" w:hAnsi="仿宋"/>
          <w:color w:val="000000"/>
          <w:sz w:val="28"/>
        </w:rPr>
      </w:pPr>
      <w:r w:rsidRPr="00FE2227">
        <w:rPr>
          <w:rFonts w:ascii="仿宋" w:eastAsia="仿宋" w:hAnsi="仿宋" w:hint="eastAsia"/>
          <w:color w:val="000000"/>
          <w:sz w:val="28"/>
        </w:rPr>
        <w:t>＝</w:t>
      </w:r>
      <w:r w:rsidR="00D16A5A">
        <w:rPr>
          <w:rFonts w:ascii="仿宋" w:eastAsia="仿宋" w:hAnsi="仿宋" w:hint="eastAsia"/>
          <w:color w:val="000000"/>
          <w:sz w:val="28"/>
        </w:rPr>
        <w:t>415.43</w:t>
      </w:r>
      <w:r>
        <w:rPr>
          <w:rFonts w:ascii="仿宋" w:eastAsia="仿宋" w:hAnsi="仿宋" w:hint="eastAsia"/>
          <w:color w:val="000000"/>
          <w:sz w:val="28"/>
        </w:rPr>
        <w:t>（万元）</w:t>
      </w:r>
    </w:p>
    <w:p w:rsidR="00A73DD2" w:rsidRPr="00A73DD2" w:rsidRDefault="00B3242D" w:rsidP="00A73DD2">
      <w:pPr>
        <w:spacing w:line="360" w:lineRule="auto"/>
        <w:ind w:firstLineChars="202" w:firstLine="566"/>
        <w:rPr>
          <w:rFonts w:ascii="仿宋" w:eastAsia="仿宋" w:hAnsi="仿宋"/>
          <w:color w:val="000000"/>
          <w:sz w:val="28"/>
        </w:rPr>
      </w:pPr>
      <w:r>
        <w:rPr>
          <w:rFonts w:ascii="仿宋" w:eastAsia="仿宋" w:hAnsi="仿宋" w:hint="eastAsia"/>
          <w:color w:val="000000"/>
          <w:sz w:val="28"/>
        </w:rPr>
        <w:t>D</w:t>
      </w:r>
      <w:r w:rsidR="00A73DD2" w:rsidRPr="00A73DD2">
        <w:rPr>
          <w:rFonts w:ascii="仿宋" w:eastAsia="仿宋" w:hAnsi="仿宋" w:hint="eastAsia"/>
          <w:color w:val="000000"/>
          <w:sz w:val="28"/>
        </w:rPr>
        <w:t>销售税金及附加的确定</w:t>
      </w:r>
    </w:p>
    <w:p w:rsidR="00A73DD2" w:rsidRPr="00A73DD2" w:rsidRDefault="00A73DD2" w:rsidP="00A73DD2">
      <w:pPr>
        <w:spacing w:line="360" w:lineRule="auto"/>
        <w:ind w:firstLineChars="202" w:firstLine="566"/>
        <w:rPr>
          <w:rFonts w:ascii="仿宋" w:eastAsia="仿宋" w:hAnsi="仿宋"/>
          <w:color w:val="000000"/>
          <w:sz w:val="28"/>
        </w:rPr>
      </w:pPr>
      <w:r w:rsidRPr="00A73DD2">
        <w:rPr>
          <w:rFonts w:ascii="仿宋" w:eastAsia="仿宋" w:hAnsi="仿宋" w:hint="eastAsia"/>
          <w:color w:val="000000"/>
          <w:sz w:val="28"/>
        </w:rPr>
        <w:t>销售税金及附加=增值税+城市维护建设税、教育费附加及地方教育费附加</w:t>
      </w:r>
      <w:r w:rsidR="00C02948" w:rsidRPr="00A73DD2">
        <w:rPr>
          <w:rFonts w:ascii="仿宋" w:eastAsia="仿宋" w:hAnsi="仿宋" w:hint="eastAsia"/>
          <w:color w:val="000000"/>
          <w:sz w:val="28"/>
        </w:rPr>
        <w:t>+</w:t>
      </w:r>
      <w:r w:rsidR="00C02948" w:rsidRPr="00FE2227">
        <w:rPr>
          <w:rFonts w:ascii="仿宋" w:eastAsia="仿宋" w:hAnsi="仿宋" w:hint="eastAsia"/>
          <w:color w:val="000000"/>
          <w:sz w:val="28"/>
        </w:rPr>
        <w:t>印花税</w:t>
      </w:r>
    </w:p>
    <w:p w:rsidR="00A73DD2" w:rsidRPr="00A73DD2" w:rsidRDefault="00A73DD2" w:rsidP="00A73DD2">
      <w:pPr>
        <w:spacing w:line="360" w:lineRule="auto"/>
        <w:ind w:firstLineChars="202" w:firstLine="566"/>
        <w:rPr>
          <w:rFonts w:ascii="仿宋" w:eastAsia="仿宋" w:hAnsi="仿宋"/>
          <w:color w:val="000000"/>
          <w:sz w:val="28"/>
        </w:rPr>
      </w:pPr>
      <w:r w:rsidRPr="00A73DD2">
        <w:rPr>
          <w:rFonts w:ascii="仿宋" w:eastAsia="仿宋" w:hAnsi="仿宋" w:hint="eastAsia"/>
          <w:color w:val="000000"/>
          <w:sz w:val="28"/>
        </w:rPr>
        <w:t>=</w:t>
      </w:r>
      <w:r w:rsidR="00D16A5A">
        <w:rPr>
          <w:rFonts w:ascii="仿宋" w:eastAsia="仿宋" w:hAnsi="仿宋" w:hint="eastAsia"/>
          <w:color w:val="000000"/>
          <w:sz w:val="28"/>
        </w:rPr>
        <w:t>4679.49</w:t>
      </w:r>
      <w:r w:rsidR="00D16A5A" w:rsidRPr="00A73DD2">
        <w:rPr>
          <w:rFonts w:ascii="仿宋" w:eastAsia="仿宋" w:hAnsi="仿宋" w:hint="eastAsia"/>
          <w:color w:val="000000"/>
          <w:sz w:val="28"/>
        </w:rPr>
        <w:t>-0.0826</w:t>
      </w:r>
      <w:r w:rsidR="00D16A5A" w:rsidRPr="00FE2227">
        <w:rPr>
          <w:rFonts w:ascii="仿宋" w:eastAsia="仿宋" w:hAnsi="仿宋" w:hint="eastAsia"/>
          <w:b/>
          <w:color w:val="000000"/>
          <w:sz w:val="28"/>
        </w:rPr>
        <w:t xml:space="preserve"> </w:t>
      </w:r>
      <w:r w:rsidR="00D16A5A">
        <w:rPr>
          <w:rFonts w:ascii="仿宋" w:eastAsia="仿宋" w:hAnsi="仿宋" w:hint="eastAsia"/>
          <w:b/>
          <w:color w:val="000000"/>
          <w:sz w:val="28"/>
        </w:rPr>
        <w:t>P</w:t>
      </w:r>
      <w:r w:rsidR="00C02948" w:rsidRPr="00A73DD2">
        <w:rPr>
          <w:rFonts w:ascii="仿宋" w:eastAsia="仿宋" w:hAnsi="仿宋" w:hint="eastAsia"/>
          <w:color w:val="000000"/>
          <w:sz w:val="28"/>
        </w:rPr>
        <w:t xml:space="preserve"> </w:t>
      </w:r>
      <w:r w:rsidR="00C02948">
        <w:rPr>
          <w:rFonts w:ascii="仿宋" w:eastAsia="仿宋" w:hAnsi="仿宋" w:hint="eastAsia"/>
          <w:color w:val="000000"/>
          <w:sz w:val="28"/>
        </w:rPr>
        <w:t>+（</w:t>
      </w:r>
      <w:r w:rsidR="00D16A5A">
        <w:rPr>
          <w:rFonts w:ascii="仿宋" w:eastAsia="仿宋" w:hAnsi="仿宋" w:hint="eastAsia"/>
          <w:color w:val="000000"/>
          <w:sz w:val="28"/>
        </w:rPr>
        <w:t>561.54</w:t>
      </w:r>
      <w:r w:rsidR="00D16A5A" w:rsidRPr="00A73DD2">
        <w:rPr>
          <w:rFonts w:ascii="仿宋" w:eastAsia="仿宋" w:hAnsi="仿宋" w:hint="eastAsia"/>
          <w:color w:val="000000"/>
          <w:sz w:val="28"/>
        </w:rPr>
        <w:t>-0.00</w:t>
      </w:r>
      <w:r w:rsidR="00D16A5A">
        <w:rPr>
          <w:rFonts w:ascii="仿宋" w:eastAsia="仿宋" w:hAnsi="仿宋" w:hint="eastAsia"/>
          <w:color w:val="000000"/>
          <w:sz w:val="28"/>
        </w:rPr>
        <w:t>991</w:t>
      </w:r>
      <w:r w:rsidR="00D16A5A" w:rsidRPr="00A73DD2">
        <w:rPr>
          <w:rFonts w:ascii="仿宋" w:eastAsia="仿宋" w:hAnsi="仿宋" w:hint="eastAsia"/>
          <w:b/>
          <w:color w:val="000000"/>
          <w:sz w:val="28"/>
        </w:rPr>
        <w:t xml:space="preserve"> </w:t>
      </w:r>
      <w:r w:rsidR="00D16A5A">
        <w:rPr>
          <w:rFonts w:ascii="仿宋" w:eastAsia="仿宋" w:hAnsi="仿宋" w:hint="eastAsia"/>
          <w:b/>
          <w:color w:val="000000"/>
          <w:sz w:val="28"/>
        </w:rPr>
        <w:t>P</w:t>
      </w:r>
      <w:r w:rsidR="00C02948">
        <w:rPr>
          <w:rFonts w:ascii="仿宋" w:eastAsia="仿宋" w:hAnsi="仿宋" w:hint="eastAsia"/>
          <w:color w:val="000000"/>
          <w:sz w:val="28"/>
        </w:rPr>
        <w:t>）</w:t>
      </w:r>
      <w:r w:rsidRPr="00A73DD2">
        <w:rPr>
          <w:rFonts w:ascii="仿宋" w:eastAsia="仿宋" w:hAnsi="仿宋" w:hint="eastAsia"/>
          <w:color w:val="000000"/>
          <w:sz w:val="28"/>
        </w:rPr>
        <w:t>+</w:t>
      </w:r>
      <w:r w:rsidR="00D16A5A">
        <w:rPr>
          <w:rFonts w:ascii="仿宋" w:eastAsia="仿宋" w:hAnsi="仿宋" w:hint="eastAsia"/>
          <w:color w:val="000000"/>
          <w:sz w:val="28"/>
        </w:rPr>
        <w:t>415.43</w:t>
      </w:r>
    </w:p>
    <w:p w:rsidR="00A73DD2" w:rsidRPr="00A73DD2" w:rsidRDefault="00A73DD2" w:rsidP="00A73DD2">
      <w:pPr>
        <w:spacing w:line="360" w:lineRule="auto"/>
        <w:ind w:firstLineChars="202" w:firstLine="566"/>
        <w:rPr>
          <w:rFonts w:ascii="仿宋" w:eastAsia="仿宋" w:hAnsi="仿宋"/>
          <w:color w:val="000000"/>
          <w:sz w:val="28"/>
        </w:rPr>
      </w:pPr>
      <w:r w:rsidRPr="00A73DD2">
        <w:rPr>
          <w:rFonts w:ascii="仿宋" w:eastAsia="仿宋" w:hAnsi="仿宋" w:hint="eastAsia"/>
          <w:color w:val="000000"/>
          <w:sz w:val="28"/>
        </w:rPr>
        <w:t>=</w:t>
      </w:r>
      <w:r w:rsidR="00D16A5A">
        <w:rPr>
          <w:rFonts w:ascii="仿宋" w:eastAsia="仿宋" w:hAnsi="仿宋" w:hint="eastAsia"/>
          <w:color w:val="000000"/>
          <w:sz w:val="28"/>
        </w:rPr>
        <w:t>5656.46</w:t>
      </w:r>
      <w:r w:rsidRPr="00A73DD2">
        <w:rPr>
          <w:rFonts w:ascii="仿宋" w:eastAsia="仿宋" w:hAnsi="仿宋" w:hint="eastAsia"/>
          <w:color w:val="000000"/>
          <w:sz w:val="28"/>
        </w:rPr>
        <w:t>-0.09</w:t>
      </w:r>
      <w:r w:rsidR="00C02948">
        <w:rPr>
          <w:rFonts w:ascii="仿宋" w:eastAsia="仿宋" w:hAnsi="仿宋" w:hint="eastAsia"/>
          <w:color w:val="000000"/>
          <w:sz w:val="28"/>
        </w:rPr>
        <w:t>248</w:t>
      </w:r>
      <w:r w:rsidR="00C02948" w:rsidRPr="00C02948">
        <w:rPr>
          <w:rFonts w:ascii="仿宋" w:eastAsia="仿宋" w:hAnsi="仿宋" w:hint="eastAsia"/>
          <w:b/>
          <w:color w:val="000000"/>
          <w:sz w:val="28"/>
        </w:rPr>
        <w:t xml:space="preserve"> </w:t>
      </w:r>
      <w:r w:rsidR="00C02948">
        <w:rPr>
          <w:rFonts w:ascii="仿宋" w:eastAsia="仿宋" w:hAnsi="仿宋" w:hint="eastAsia"/>
          <w:b/>
          <w:color w:val="000000"/>
          <w:sz w:val="28"/>
        </w:rPr>
        <w:t>P</w:t>
      </w:r>
    </w:p>
    <w:p w:rsidR="00260733" w:rsidRPr="00260733" w:rsidRDefault="00260733" w:rsidP="00260733">
      <w:pPr>
        <w:spacing w:line="360" w:lineRule="auto"/>
        <w:ind w:firstLineChars="202" w:firstLine="566"/>
        <w:rPr>
          <w:rFonts w:ascii="仿宋" w:eastAsia="仿宋" w:hAnsi="仿宋"/>
          <w:color w:val="000000"/>
          <w:sz w:val="28"/>
        </w:rPr>
      </w:pPr>
      <w:r w:rsidRPr="00260733">
        <w:rPr>
          <w:rFonts w:ascii="仿宋" w:eastAsia="仿宋" w:hAnsi="仿宋" w:hint="eastAsia"/>
          <w:color w:val="000000"/>
          <w:sz w:val="28"/>
        </w:rPr>
        <w:t>⑧开发商合理利润</w:t>
      </w:r>
    </w:p>
    <w:p w:rsidR="00260733" w:rsidRPr="00260733" w:rsidRDefault="00260733" w:rsidP="00260733">
      <w:pPr>
        <w:spacing w:line="360" w:lineRule="auto"/>
        <w:ind w:firstLineChars="202" w:firstLine="566"/>
        <w:rPr>
          <w:rFonts w:ascii="仿宋" w:eastAsia="仿宋" w:hAnsi="仿宋"/>
          <w:sz w:val="28"/>
        </w:rPr>
      </w:pPr>
      <w:r w:rsidRPr="00260733">
        <w:rPr>
          <w:rFonts w:ascii="仿宋" w:eastAsia="仿宋" w:hAnsi="仿宋" w:hint="eastAsia"/>
          <w:sz w:val="28"/>
        </w:rPr>
        <w:t>开发利润是房地产开发项目在正常条件下房地产开发商所能获得的平均利润。不同区域、或同一区域不同开发项目类型，利润率不同。开发利润通常按照一定基数乘以相应的利润率来估算，为税前的利润率，本次评估以销售利润计，并根据同类商品房开发项目的平均利润水平，并结合项目所在区位确定销售利润率取15%。</w:t>
      </w:r>
    </w:p>
    <w:p w:rsidR="00A73DD2" w:rsidRPr="00260733" w:rsidRDefault="00260733" w:rsidP="00260733">
      <w:pPr>
        <w:spacing w:line="360" w:lineRule="auto"/>
        <w:ind w:firstLineChars="202" w:firstLine="566"/>
        <w:rPr>
          <w:rFonts w:ascii="仿宋" w:eastAsia="仿宋" w:hAnsi="仿宋"/>
          <w:color w:val="000000"/>
          <w:sz w:val="28"/>
        </w:rPr>
      </w:pPr>
      <w:r w:rsidRPr="00260733">
        <w:rPr>
          <w:rFonts w:ascii="仿宋" w:eastAsia="仿宋" w:hAnsi="仿宋" w:hint="eastAsia"/>
          <w:sz w:val="28"/>
        </w:rPr>
        <w:t>开发商合理利润＝</w:t>
      </w:r>
      <w:r w:rsidRPr="00260733">
        <w:rPr>
          <w:rFonts w:ascii="仿宋" w:eastAsia="仿宋" w:hAnsi="仿宋" w:hint="eastAsia"/>
          <w:color w:val="000000"/>
          <w:sz w:val="28"/>
        </w:rPr>
        <w:t>开发完成后房地产总价值</w:t>
      </w:r>
      <w:r w:rsidRPr="00260733">
        <w:rPr>
          <w:rFonts w:ascii="仿宋" w:eastAsia="仿宋" w:hAnsi="仿宋" w:hint="eastAsia"/>
          <w:sz w:val="28"/>
        </w:rPr>
        <w:t>×销售利润率＝</w:t>
      </w:r>
      <w:r w:rsidR="008C5525">
        <w:rPr>
          <w:rFonts w:ascii="仿宋" w:eastAsia="仿宋" w:hAnsi="仿宋" w:hint="eastAsia"/>
          <w:color w:val="000000"/>
          <w:sz w:val="28"/>
        </w:rPr>
        <w:t>83085.53</w:t>
      </w:r>
      <w:r w:rsidRPr="00260733">
        <w:rPr>
          <w:rFonts w:ascii="仿宋" w:eastAsia="仿宋" w:hAnsi="仿宋" w:hint="eastAsia"/>
          <w:sz w:val="28"/>
        </w:rPr>
        <w:t>×15%＝</w:t>
      </w:r>
      <w:r w:rsidR="00D16A5A">
        <w:rPr>
          <w:rFonts w:ascii="仿宋" w:eastAsia="仿宋" w:hAnsi="仿宋" w:hint="eastAsia"/>
          <w:sz w:val="28"/>
        </w:rPr>
        <w:t>12462.93</w:t>
      </w:r>
      <w:r w:rsidRPr="00260733">
        <w:rPr>
          <w:rFonts w:ascii="仿宋" w:eastAsia="仿宋" w:hAnsi="仿宋" w:hint="eastAsia"/>
          <w:sz w:val="28"/>
        </w:rPr>
        <w:t>（万元）</w:t>
      </w:r>
    </w:p>
    <w:p w:rsidR="00C02948" w:rsidRPr="00260733" w:rsidRDefault="00C02948" w:rsidP="00C02948">
      <w:pPr>
        <w:spacing w:line="360" w:lineRule="auto"/>
        <w:ind w:firstLineChars="202" w:firstLine="566"/>
        <w:rPr>
          <w:rFonts w:ascii="仿宋" w:eastAsia="仿宋" w:hAnsi="仿宋"/>
          <w:color w:val="000000"/>
          <w:sz w:val="28"/>
        </w:rPr>
      </w:pPr>
      <w:r w:rsidRPr="00260733">
        <w:rPr>
          <w:rFonts w:ascii="仿宋" w:eastAsia="仿宋" w:hAnsi="仿宋" w:hint="eastAsia"/>
          <w:color w:val="000000"/>
          <w:sz w:val="28"/>
        </w:rPr>
        <w:t>⑨总地价＝房地产总价值－购地税费－总开发成本－建设单位管理费－利息－销售费用－销售税费－开发商合理利润</w:t>
      </w:r>
    </w:p>
    <w:p w:rsidR="00C02948" w:rsidRPr="00260733" w:rsidRDefault="00C02948" w:rsidP="00C02948">
      <w:pPr>
        <w:spacing w:line="360" w:lineRule="auto"/>
        <w:ind w:firstLineChars="202" w:firstLine="566"/>
        <w:rPr>
          <w:rFonts w:ascii="仿宋" w:eastAsia="仿宋" w:hAnsi="仿宋"/>
          <w:color w:val="000000"/>
          <w:sz w:val="28"/>
        </w:rPr>
      </w:pPr>
      <w:r w:rsidRPr="00260733">
        <w:rPr>
          <w:rFonts w:ascii="仿宋" w:eastAsia="仿宋" w:hAnsi="仿宋" w:hint="eastAsia"/>
          <w:color w:val="000000"/>
          <w:sz w:val="28"/>
        </w:rPr>
        <w:t>总地价＝</w:t>
      </w:r>
      <w:r w:rsidR="008C5525">
        <w:rPr>
          <w:rFonts w:ascii="仿宋" w:eastAsia="仿宋" w:hAnsi="仿宋" w:hint="eastAsia"/>
          <w:color w:val="000000"/>
          <w:sz w:val="28"/>
        </w:rPr>
        <w:t>83085.53</w:t>
      </w:r>
      <w:r w:rsidRPr="00260733">
        <w:rPr>
          <w:rFonts w:ascii="仿宋" w:eastAsia="仿宋" w:hAnsi="仿宋" w:hint="eastAsia"/>
          <w:color w:val="000000"/>
          <w:sz w:val="28"/>
        </w:rPr>
        <w:t>－0.0405</w:t>
      </w:r>
      <w:r w:rsidRPr="00260733">
        <w:rPr>
          <w:rFonts w:ascii="仿宋" w:eastAsia="仿宋" w:hAnsi="仿宋" w:hint="eastAsia"/>
          <w:b/>
          <w:color w:val="000000"/>
          <w:sz w:val="28"/>
        </w:rPr>
        <w:t>P</w:t>
      </w:r>
      <w:r w:rsidRPr="00260733">
        <w:rPr>
          <w:rFonts w:ascii="仿宋" w:eastAsia="仿宋" w:hAnsi="仿宋" w:hint="eastAsia"/>
          <w:color w:val="000000"/>
          <w:sz w:val="28"/>
        </w:rPr>
        <w:t>－27684.01－（830.52＋0.0312</w:t>
      </w:r>
      <w:r w:rsidRPr="00260733">
        <w:rPr>
          <w:rFonts w:ascii="仿宋" w:eastAsia="仿宋" w:hAnsi="仿宋" w:hint="eastAsia"/>
          <w:b/>
          <w:color w:val="000000"/>
          <w:sz w:val="28"/>
        </w:rPr>
        <w:t>P</w:t>
      </w:r>
      <w:r w:rsidRPr="00260733">
        <w:rPr>
          <w:rFonts w:ascii="仿宋" w:eastAsia="仿宋" w:hAnsi="仿宋" w:hint="eastAsia"/>
          <w:color w:val="000000"/>
          <w:sz w:val="28"/>
        </w:rPr>
        <w:t>）－（1702.99＋0.1299</w:t>
      </w:r>
      <w:r w:rsidRPr="00260733">
        <w:rPr>
          <w:rFonts w:ascii="仿宋" w:eastAsia="仿宋" w:hAnsi="仿宋" w:hint="eastAsia"/>
          <w:b/>
          <w:color w:val="000000"/>
          <w:sz w:val="28"/>
        </w:rPr>
        <w:t>P</w:t>
      </w:r>
      <w:r w:rsidRPr="00260733">
        <w:rPr>
          <w:rFonts w:ascii="仿宋" w:eastAsia="仿宋" w:hAnsi="仿宋" w:hint="eastAsia"/>
          <w:color w:val="000000"/>
          <w:sz w:val="28"/>
        </w:rPr>
        <w:t>）－</w:t>
      </w:r>
      <w:r w:rsidR="008C5525">
        <w:rPr>
          <w:rFonts w:ascii="仿宋" w:eastAsia="仿宋" w:hAnsi="仿宋" w:hint="eastAsia"/>
          <w:color w:val="000000"/>
          <w:sz w:val="28"/>
        </w:rPr>
        <w:t>1661.71</w:t>
      </w:r>
      <w:r w:rsidRPr="00260733">
        <w:rPr>
          <w:rFonts w:ascii="仿宋" w:eastAsia="仿宋" w:hAnsi="仿宋" w:hint="eastAsia"/>
          <w:color w:val="000000"/>
          <w:sz w:val="28"/>
        </w:rPr>
        <w:t>－</w:t>
      </w:r>
      <w:r w:rsidRPr="00260733">
        <w:rPr>
          <w:rFonts w:ascii="仿宋" w:eastAsia="仿宋" w:hAnsi="仿宋" w:hint="eastAsia"/>
          <w:sz w:val="28"/>
        </w:rPr>
        <w:t>（</w:t>
      </w:r>
      <w:r w:rsidR="00D16A5A">
        <w:rPr>
          <w:rFonts w:ascii="仿宋" w:eastAsia="仿宋" w:hAnsi="仿宋" w:hint="eastAsia"/>
          <w:color w:val="000000"/>
          <w:sz w:val="28"/>
        </w:rPr>
        <w:t>5656.46</w:t>
      </w:r>
      <w:r w:rsidR="00D16A5A" w:rsidRPr="00A73DD2">
        <w:rPr>
          <w:rFonts w:ascii="仿宋" w:eastAsia="仿宋" w:hAnsi="仿宋" w:hint="eastAsia"/>
          <w:color w:val="000000"/>
          <w:sz w:val="28"/>
        </w:rPr>
        <w:t>-0.09</w:t>
      </w:r>
      <w:r w:rsidR="00D16A5A">
        <w:rPr>
          <w:rFonts w:ascii="仿宋" w:eastAsia="仿宋" w:hAnsi="仿宋" w:hint="eastAsia"/>
          <w:color w:val="000000"/>
          <w:sz w:val="28"/>
        </w:rPr>
        <w:t>248</w:t>
      </w:r>
      <w:r w:rsidR="00D16A5A" w:rsidRPr="00C02948">
        <w:rPr>
          <w:rFonts w:ascii="仿宋" w:eastAsia="仿宋" w:hAnsi="仿宋" w:hint="eastAsia"/>
          <w:b/>
          <w:color w:val="000000"/>
          <w:sz w:val="28"/>
        </w:rPr>
        <w:t xml:space="preserve"> </w:t>
      </w:r>
      <w:r w:rsidR="00D16A5A">
        <w:rPr>
          <w:rFonts w:ascii="仿宋" w:eastAsia="仿宋" w:hAnsi="仿宋" w:hint="eastAsia"/>
          <w:b/>
          <w:color w:val="000000"/>
          <w:sz w:val="28"/>
        </w:rPr>
        <w:t>P</w:t>
      </w:r>
      <w:r w:rsidRPr="00260733">
        <w:rPr>
          <w:rFonts w:ascii="仿宋" w:eastAsia="仿宋" w:hAnsi="仿宋" w:hint="eastAsia"/>
          <w:sz w:val="28"/>
        </w:rPr>
        <w:t>）</w:t>
      </w:r>
      <w:r w:rsidRPr="00260733">
        <w:rPr>
          <w:rFonts w:ascii="仿宋" w:eastAsia="仿宋" w:hAnsi="仿宋" w:hint="eastAsia"/>
          <w:color w:val="000000"/>
          <w:sz w:val="28"/>
        </w:rPr>
        <w:t>－</w:t>
      </w:r>
      <w:r w:rsidR="00D16A5A">
        <w:rPr>
          <w:rFonts w:ascii="仿宋" w:eastAsia="仿宋" w:hAnsi="仿宋" w:hint="eastAsia"/>
          <w:sz w:val="28"/>
        </w:rPr>
        <w:t>12462.93</w:t>
      </w:r>
    </w:p>
    <w:p w:rsidR="00C02948" w:rsidRPr="00260733" w:rsidRDefault="00C02948" w:rsidP="00C02948">
      <w:pPr>
        <w:spacing w:line="360" w:lineRule="auto"/>
        <w:ind w:firstLineChars="202" w:firstLine="566"/>
        <w:rPr>
          <w:rFonts w:ascii="仿宋" w:eastAsia="仿宋" w:hAnsi="仿宋"/>
          <w:color w:val="000000"/>
          <w:sz w:val="28"/>
        </w:rPr>
      </w:pPr>
      <w:r w:rsidRPr="00260733">
        <w:rPr>
          <w:rFonts w:ascii="仿宋" w:eastAsia="仿宋" w:hAnsi="仿宋" w:hint="eastAsia"/>
          <w:color w:val="000000"/>
          <w:sz w:val="28"/>
        </w:rPr>
        <w:t>＝</w:t>
      </w:r>
      <w:r w:rsidR="00D16A5A">
        <w:rPr>
          <w:rFonts w:ascii="仿宋" w:eastAsia="仿宋" w:hAnsi="仿宋" w:hint="eastAsia"/>
          <w:color w:val="000000"/>
          <w:sz w:val="28"/>
        </w:rPr>
        <w:t>29832.36</w:t>
      </w:r>
      <w:r w:rsidRPr="00260733">
        <w:rPr>
          <w:rFonts w:ascii="仿宋" w:eastAsia="仿宋" w:hAnsi="仿宋" w:hint="eastAsia"/>
          <w:color w:val="000000"/>
          <w:sz w:val="28"/>
        </w:rPr>
        <w:t>（万元）</w:t>
      </w:r>
    </w:p>
    <w:p w:rsidR="00C02948" w:rsidRPr="00260733" w:rsidRDefault="00C02948" w:rsidP="00C02948">
      <w:pPr>
        <w:spacing w:line="360" w:lineRule="auto"/>
        <w:ind w:firstLineChars="202" w:firstLine="566"/>
        <w:rPr>
          <w:rFonts w:ascii="仿宋" w:eastAsia="仿宋" w:hAnsi="仿宋"/>
          <w:color w:val="000000"/>
          <w:sz w:val="28"/>
        </w:rPr>
      </w:pPr>
      <w:r w:rsidRPr="00260733">
        <w:rPr>
          <w:rFonts w:ascii="仿宋" w:eastAsia="仿宋" w:hAnsi="仿宋" w:hint="eastAsia"/>
          <w:color w:val="000000"/>
          <w:sz w:val="28"/>
        </w:rPr>
        <w:t>⑩单位地价</w:t>
      </w:r>
    </w:p>
    <w:p w:rsidR="00A73DD2" w:rsidRPr="00C02948" w:rsidRDefault="00C02948" w:rsidP="00C02948">
      <w:pPr>
        <w:spacing w:line="360" w:lineRule="auto"/>
        <w:ind w:firstLineChars="202" w:firstLine="566"/>
        <w:rPr>
          <w:rFonts w:ascii="仿宋" w:eastAsia="仿宋" w:hAnsi="仿宋"/>
          <w:color w:val="000000"/>
          <w:sz w:val="28"/>
        </w:rPr>
      </w:pPr>
      <w:proofErr w:type="gramStart"/>
      <w:r w:rsidRPr="00260733">
        <w:rPr>
          <w:rFonts w:ascii="仿宋" w:eastAsia="仿宋" w:hAnsi="仿宋" w:hint="eastAsia"/>
          <w:color w:val="000000"/>
          <w:sz w:val="28"/>
        </w:rPr>
        <w:t>则单位</w:t>
      </w:r>
      <w:proofErr w:type="gramEnd"/>
      <w:r w:rsidRPr="00260733">
        <w:rPr>
          <w:rFonts w:ascii="仿宋" w:eastAsia="仿宋" w:hAnsi="仿宋" w:hint="eastAsia"/>
          <w:color w:val="000000"/>
          <w:sz w:val="28"/>
        </w:rPr>
        <w:t>地价＝总地价÷宗地面积＝</w:t>
      </w:r>
      <w:r w:rsidR="00D16A5A">
        <w:rPr>
          <w:rFonts w:ascii="仿宋" w:eastAsia="仿宋" w:hAnsi="仿宋" w:hint="eastAsia"/>
          <w:color w:val="000000"/>
          <w:sz w:val="28"/>
        </w:rPr>
        <w:t>29832.36</w:t>
      </w:r>
      <w:r w:rsidRPr="00260733">
        <w:rPr>
          <w:rFonts w:ascii="仿宋" w:eastAsia="仿宋" w:hAnsi="仿宋" w:hint="eastAsia"/>
          <w:color w:val="000000"/>
          <w:sz w:val="28"/>
        </w:rPr>
        <w:t>×10000÷</w:t>
      </w:r>
      <w:r w:rsidRPr="00260733">
        <w:rPr>
          <w:rFonts w:ascii="仿宋" w:eastAsia="仿宋" w:hAnsi="仿宋"/>
          <w:color w:val="000000"/>
          <w:sz w:val="28"/>
        </w:rPr>
        <w:t>59897.52</w:t>
      </w:r>
      <w:r w:rsidRPr="00260733">
        <w:rPr>
          <w:rFonts w:ascii="仿宋" w:eastAsia="仿宋" w:hAnsi="仿宋" w:hint="eastAsia"/>
          <w:color w:val="000000"/>
          <w:sz w:val="28"/>
        </w:rPr>
        <w:t>＝</w:t>
      </w:r>
      <w:r w:rsidR="00D16A5A" w:rsidRPr="00D16A5A">
        <w:rPr>
          <w:rFonts w:ascii="仿宋" w:eastAsia="仿宋" w:hAnsi="仿宋" w:hint="eastAsia"/>
          <w:color w:val="000000"/>
          <w:sz w:val="28"/>
        </w:rPr>
        <w:t>4980</w:t>
      </w:r>
      <w:r w:rsidRPr="00260733">
        <w:rPr>
          <w:rFonts w:ascii="仿宋" w:eastAsia="仿宋" w:hAnsi="仿宋" w:hint="eastAsia"/>
          <w:color w:val="000000"/>
          <w:sz w:val="28"/>
        </w:rPr>
        <w:t>（元/平方米）（</w:t>
      </w:r>
      <w:proofErr w:type="gramStart"/>
      <w:r w:rsidRPr="00260733">
        <w:rPr>
          <w:rFonts w:ascii="仿宋" w:eastAsia="仿宋" w:hAnsi="仿宋" w:hint="eastAsia"/>
          <w:color w:val="000000"/>
          <w:sz w:val="28"/>
        </w:rPr>
        <w:t>取整至</w:t>
      </w:r>
      <w:r w:rsidR="00D16A5A">
        <w:rPr>
          <w:rFonts w:ascii="仿宋" w:eastAsia="仿宋" w:hAnsi="仿宋" w:hint="eastAsia"/>
          <w:color w:val="000000"/>
          <w:sz w:val="28"/>
        </w:rPr>
        <w:t>十</w:t>
      </w:r>
      <w:r w:rsidRPr="00260733">
        <w:rPr>
          <w:rFonts w:ascii="仿宋" w:eastAsia="仿宋" w:hAnsi="仿宋" w:hint="eastAsia"/>
          <w:color w:val="000000"/>
          <w:sz w:val="28"/>
        </w:rPr>
        <w:t>位</w:t>
      </w:r>
      <w:proofErr w:type="gramEnd"/>
      <w:r w:rsidRPr="00260733">
        <w:rPr>
          <w:rFonts w:ascii="仿宋" w:eastAsia="仿宋" w:hAnsi="仿宋" w:hint="eastAsia"/>
          <w:color w:val="000000"/>
          <w:sz w:val="28"/>
        </w:rPr>
        <w:t>）</w:t>
      </w:r>
    </w:p>
    <w:p w:rsidR="0054446D" w:rsidRDefault="00FB459A" w:rsidP="00F513B3">
      <w:pPr>
        <w:numPr>
          <w:ilvl w:val="0"/>
          <w:numId w:val="8"/>
        </w:numPr>
        <w:spacing w:beforeLines="25" w:afterLines="25" w:line="420" w:lineRule="exact"/>
        <w:ind w:firstLineChars="200" w:firstLine="560"/>
        <w:rPr>
          <w:rFonts w:ascii="仿宋" w:eastAsia="仿宋" w:hAnsi="仿宋" w:cs="仿宋"/>
          <w:bCs/>
          <w:sz w:val="28"/>
          <w:szCs w:val="28"/>
        </w:rPr>
      </w:pPr>
      <w:r>
        <w:rPr>
          <w:rFonts w:ascii="仿宋" w:eastAsia="仿宋" w:hAnsi="仿宋" w:cs="仿宋" w:hint="eastAsia"/>
          <w:kern w:val="0"/>
          <w:sz w:val="28"/>
          <w:szCs w:val="28"/>
        </w:rPr>
        <w:t>基准地价系数修正法</w:t>
      </w:r>
    </w:p>
    <w:p w:rsidR="0054446D" w:rsidRDefault="00FB459A">
      <w:pPr>
        <w:spacing w:line="420" w:lineRule="exact"/>
        <w:ind w:firstLineChars="200" w:firstLine="560"/>
        <w:outlineLvl w:val="1"/>
        <w:rPr>
          <w:rFonts w:ascii="仿宋" w:eastAsia="仿宋" w:hAnsi="仿宋" w:cs="仿宋"/>
          <w:sz w:val="28"/>
          <w:szCs w:val="28"/>
        </w:rPr>
      </w:pPr>
      <w:r>
        <w:rPr>
          <w:rFonts w:ascii="仿宋" w:eastAsia="仿宋" w:hAnsi="仿宋" w:cs="仿宋" w:hint="eastAsia"/>
          <w:sz w:val="28"/>
          <w:szCs w:val="28"/>
        </w:rPr>
        <w:t>基准地价系数修正法：</w:t>
      </w:r>
      <w:r>
        <w:rPr>
          <w:rFonts w:ascii="仿宋" w:eastAsia="仿宋" w:hAnsi="仿宋" w:cs="仿宋" w:hint="eastAsia"/>
          <w:sz w:val="28"/>
          <w:szCs w:val="28"/>
          <w:shd w:val="clear" w:color="auto" w:fill="FFFFFF"/>
        </w:rPr>
        <w:t>是利用基准地价评估或更新成果，在将估价对象宗地的区域条件及个别条件与其所在区域的平均条件进行比较的基础上，确定相应的修正系数，用此修正系数对基准地价进行修正，从而求取估价对象宗地于估价时点价格的方法。</w:t>
      </w:r>
    </w:p>
    <w:p w:rsidR="0054446D" w:rsidRDefault="00FB459A">
      <w:pPr>
        <w:ind w:firstLineChars="200" w:firstLine="560"/>
        <w:outlineLvl w:val="1"/>
        <w:rPr>
          <w:rFonts w:ascii="仿宋" w:eastAsia="仿宋" w:hAnsi="仿宋" w:cs="仿宋"/>
          <w:sz w:val="28"/>
          <w:szCs w:val="28"/>
        </w:rPr>
      </w:pPr>
      <w:r>
        <w:rPr>
          <w:rFonts w:ascii="仿宋" w:eastAsia="仿宋" w:hAnsi="仿宋" w:cs="仿宋" w:hint="eastAsia"/>
          <w:sz w:val="28"/>
          <w:szCs w:val="28"/>
        </w:rPr>
        <w:t>其基本计算公式为：</w:t>
      </w:r>
    </w:p>
    <w:p w:rsidR="0054446D" w:rsidRDefault="0054446D">
      <w:pPr>
        <w:ind w:firstLineChars="200" w:firstLine="480"/>
        <w:outlineLvl w:val="1"/>
        <w:rPr>
          <w:rFonts w:ascii="仿宋" w:eastAsia="仿宋" w:hAnsi="仿宋" w:cs="仿宋"/>
          <w:sz w:val="28"/>
          <w:szCs w:val="28"/>
          <w:shd w:val="clear" w:color="auto" w:fill="FFFFFF"/>
        </w:rPr>
      </w:pPr>
      <w:r w:rsidRPr="0054446D">
        <w:rPr>
          <w:rFonts w:ascii="仿宋" w:eastAsia="仿宋" w:hAnsi="仿宋"/>
          <w:position w:val="-32"/>
          <w:sz w:val="24"/>
        </w:rPr>
        <w:object w:dxaOrig="26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25pt;height:48pt" o:ole="" fillcolor="#aca899">
            <v:imagedata r:id="rId19" o:title=""/>
          </v:shape>
          <o:OLEObject Type="Embed" ProgID="Equation.3" ShapeID="_x0000_i1025" DrawAspect="Content" ObjectID="_1716969230" r:id="rId20"/>
        </w:object>
      </w:r>
    </w:p>
    <w:p w:rsidR="0054446D" w:rsidRDefault="00FB459A">
      <w:pPr>
        <w:spacing w:line="360" w:lineRule="auto"/>
        <w:ind w:firstLineChars="200" w:firstLine="560"/>
        <w:rPr>
          <w:rFonts w:ascii="仿宋" w:eastAsia="仿宋" w:hAnsi="仿宋"/>
          <w:sz w:val="28"/>
          <w:szCs w:val="28"/>
        </w:rPr>
      </w:pPr>
      <w:r>
        <w:rPr>
          <w:rFonts w:ascii="仿宋" w:eastAsia="仿宋" w:hAnsi="仿宋"/>
          <w:sz w:val="28"/>
          <w:szCs w:val="28"/>
        </w:rPr>
        <w:t>式中：P——宗地价格；</w:t>
      </w:r>
    </w:p>
    <w:p w:rsidR="0054446D" w:rsidRDefault="00FB459A">
      <w:pPr>
        <w:spacing w:line="360" w:lineRule="auto"/>
        <w:ind w:firstLineChars="200" w:firstLine="560"/>
        <w:rPr>
          <w:rFonts w:ascii="仿宋" w:eastAsia="仿宋" w:hAnsi="仿宋"/>
          <w:sz w:val="28"/>
          <w:szCs w:val="28"/>
        </w:rPr>
      </w:pPr>
      <w:r>
        <w:rPr>
          <w:rFonts w:ascii="仿宋" w:eastAsia="仿宋" w:hAnsi="仿宋"/>
          <w:sz w:val="28"/>
          <w:szCs w:val="28"/>
        </w:rPr>
        <w:t xml:space="preserve">      P1b——某一用途、某级别（均质区域）的基准地价；</w:t>
      </w:r>
    </w:p>
    <w:p w:rsidR="0054446D" w:rsidRDefault="0054446D">
      <w:pPr>
        <w:spacing w:line="360" w:lineRule="auto"/>
        <w:ind w:firstLineChars="200" w:firstLine="560"/>
        <w:rPr>
          <w:rFonts w:ascii="仿宋" w:eastAsia="仿宋" w:hAnsi="仿宋"/>
          <w:sz w:val="28"/>
          <w:szCs w:val="28"/>
        </w:rPr>
      </w:pPr>
      <w:r w:rsidRPr="0054446D">
        <w:rPr>
          <w:rFonts w:ascii="仿宋" w:eastAsia="仿宋" w:hAnsi="仿宋"/>
          <w:sz w:val="28"/>
          <w:szCs w:val="28"/>
        </w:rPr>
        <w:object w:dxaOrig="620" w:dyaOrig="740">
          <v:shape id="_x0000_i1026" type="#_x0000_t75" style="width:30.75pt;height:36.75pt" o:ole="">
            <v:imagedata r:id="rId21" o:title=""/>
          </v:shape>
          <o:OLEObject Type="Embed" ProgID="Equation.3" ShapeID="_x0000_i1026" DrawAspect="Content" ObjectID="_1716969231" r:id="rId22"/>
        </w:object>
      </w:r>
      <w:r w:rsidR="00FB459A">
        <w:rPr>
          <w:rFonts w:ascii="仿宋" w:eastAsia="仿宋" w:hAnsi="仿宋"/>
          <w:sz w:val="28"/>
          <w:szCs w:val="28"/>
        </w:rPr>
        <w:t>——宗地地价修正系数；</w:t>
      </w:r>
    </w:p>
    <w:p w:rsidR="0054446D" w:rsidRDefault="00FB459A">
      <w:pPr>
        <w:spacing w:line="360" w:lineRule="auto"/>
        <w:ind w:firstLineChars="200" w:firstLine="560"/>
        <w:rPr>
          <w:rFonts w:ascii="仿宋" w:eastAsia="仿宋" w:hAnsi="仿宋"/>
          <w:sz w:val="28"/>
          <w:szCs w:val="28"/>
        </w:rPr>
      </w:pPr>
      <w:r>
        <w:rPr>
          <w:rFonts w:ascii="仿宋" w:eastAsia="仿宋" w:hAnsi="仿宋"/>
          <w:sz w:val="28"/>
          <w:szCs w:val="28"/>
        </w:rPr>
        <w:t xml:space="preserve">      Kj——估价期日、容积率、土地使用年期等其他修正系数；</w:t>
      </w:r>
    </w:p>
    <w:p w:rsidR="0054446D" w:rsidRDefault="00FB459A">
      <w:pPr>
        <w:spacing w:line="360" w:lineRule="auto"/>
        <w:ind w:firstLineChars="200" w:firstLine="560"/>
        <w:rPr>
          <w:rFonts w:ascii="仿宋" w:eastAsia="仿宋" w:hAnsi="仿宋" w:cs="仿宋"/>
          <w:sz w:val="28"/>
          <w:szCs w:val="28"/>
          <w:shd w:val="clear" w:color="auto" w:fill="FFFFFF"/>
        </w:rPr>
      </w:pPr>
      <w:r>
        <w:rPr>
          <w:rFonts w:ascii="仿宋" w:eastAsia="仿宋" w:hAnsi="仿宋"/>
          <w:sz w:val="28"/>
          <w:szCs w:val="28"/>
        </w:rPr>
        <w:t>D——土地开发程度修正值。</w:t>
      </w:r>
    </w:p>
    <w:p w:rsidR="0054446D" w:rsidRDefault="00FB459A">
      <w:pPr>
        <w:spacing w:line="480" w:lineRule="exact"/>
        <w:ind w:firstLineChars="200" w:firstLine="560"/>
        <w:outlineLvl w:val="1"/>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1、</w:t>
      </w:r>
      <w:proofErr w:type="gramStart"/>
      <w:r>
        <w:rPr>
          <w:rFonts w:ascii="仿宋" w:eastAsia="仿宋" w:hAnsi="仿宋" w:cs="仿宋" w:hint="eastAsia"/>
          <w:sz w:val="28"/>
          <w:szCs w:val="28"/>
          <w:shd w:val="clear" w:color="auto" w:fill="FFFFFF"/>
        </w:rPr>
        <w:t>委估宗地</w:t>
      </w:r>
      <w:proofErr w:type="gramEnd"/>
      <w:r>
        <w:rPr>
          <w:rFonts w:ascii="仿宋" w:eastAsia="仿宋" w:hAnsi="仿宋" w:cs="仿宋" w:hint="eastAsia"/>
          <w:sz w:val="28"/>
          <w:szCs w:val="28"/>
          <w:shd w:val="clear" w:color="auto" w:fill="FFFFFF"/>
        </w:rPr>
        <w:t>的基本情况</w:t>
      </w:r>
    </w:p>
    <w:p w:rsidR="0054446D" w:rsidRDefault="00FB459A">
      <w:pPr>
        <w:spacing w:line="42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估价对象位于江西省新余市仰天大道以北，在新余市基准地价覆盖范围内，根据新余市人民政府2020年12月30日公布并于2021年1月1日实施的余府字〔</w:t>
      </w:r>
      <w:r>
        <w:rPr>
          <w:rFonts w:ascii="仿宋" w:eastAsia="仿宋" w:hAnsi="仿宋" w:cs="仿宋"/>
          <w:kern w:val="0"/>
          <w:sz w:val="28"/>
          <w:szCs w:val="28"/>
        </w:rPr>
        <w:t>2020</w:t>
      </w:r>
      <w:r>
        <w:rPr>
          <w:rFonts w:ascii="仿宋" w:eastAsia="仿宋" w:hAnsi="仿宋" w:cs="仿宋" w:hint="eastAsia"/>
          <w:kern w:val="0"/>
          <w:sz w:val="28"/>
          <w:szCs w:val="28"/>
        </w:rPr>
        <w:t>〕</w:t>
      </w:r>
      <w:r>
        <w:rPr>
          <w:rFonts w:ascii="仿宋" w:eastAsia="仿宋" w:hAnsi="仿宋" w:cs="仿宋"/>
          <w:kern w:val="0"/>
          <w:sz w:val="28"/>
          <w:szCs w:val="28"/>
        </w:rPr>
        <w:t>52</w:t>
      </w:r>
      <w:r>
        <w:rPr>
          <w:rFonts w:ascii="仿宋" w:eastAsia="仿宋" w:hAnsi="仿宋" w:cs="仿宋" w:hint="eastAsia"/>
          <w:kern w:val="0"/>
          <w:sz w:val="28"/>
          <w:szCs w:val="28"/>
        </w:rPr>
        <w:t>号《新余市人民政府关于更新城区土地定级与基准地价的通知》和《新余市基准地价修正体系》，基准地价基准日为</w:t>
      </w:r>
      <w:r>
        <w:rPr>
          <w:rFonts w:ascii="仿宋" w:eastAsia="仿宋" w:hAnsi="仿宋" w:cs="仿宋"/>
          <w:kern w:val="0"/>
          <w:sz w:val="28"/>
          <w:szCs w:val="28"/>
        </w:rPr>
        <w:t>2020年7月1日</w:t>
      </w:r>
      <w:r>
        <w:rPr>
          <w:rFonts w:ascii="仿宋" w:eastAsia="仿宋" w:hAnsi="仿宋" w:cs="仿宋" w:hint="eastAsia"/>
          <w:kern w:val="0"/>
          <w:sz w:val="28"/>
          <w:szCs w:val="28"/>
        </w:rPr>
        <w:t>。</w:t>
      </w:r>
    </w:p>
    <w:p w:rsidR="0054446D" w:rsidRDefault="00FB459A">
      <w:pPr>
        <w:pStyle w:val="ab"/>
        <w:jc w:val="center"/>
        <w:rPr>
          <w:rFonts w:ascii="仿宋" w:eastAsia="仿宋" w:hAnsi="仿宋" w:cs="仿宋"/>
          <w:kern w:val="0"/>
          <w:sz w:val="28"/>
          <w:szCs w:val="28"/>
        </w:rPr>
      </w:pPr>
      <w:r>
        <w:rPr>
          <w:rFonts w:ascii="仿宋" w:eastAsia="仿宋" w:hAnsi="仿宋" w:cs="仿宋"/>
          <w:kern w:val="0"/>
          <w:sz w:val="28"/>
          <w:szCs w:val="28"/>
        </w:rPr>
        <w:t>新余市城区基准地价表</w:t>
      </w:r>
    </w:p>
    <w:p w:rsidR="0054446D" w:rsidRDefault="0054446D">
      <w:pPr>
        <w:pStyle w:val="ab"/>
      </w:pPr>
    </w:p>
    <w:tbl>
      <w:tblPr>
        <w:tblW w:w="4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5"/>
        <w:gridCol w:w="1694"/>
        <w:gridCol w:w="1092"/>
        <w:gridCol w:w="928"/>
        <w:gridCol w:w="928"/>
        <w:gridCol w:w="928"/>
        <w:gridCol w:w="932"/>
      </w:tblGrid>
      <w:tr w:rsidR="0054446D">
        <w:trPr>
          <w:trHeight w:val="579"/>
          <w:jc w:val="center"/>
        </w:trPr>
        <w:tc>
          <w:tcPr>
            <w:tcW w:w="2239" w:type="pct"/>
            <w:gridSpan w:val="2"/>
            <w:vMerge w:val="restart"/>
            <w:vAlign w:val="center"/>
          </w:tcPr>
          <w:p w:rsidR="0054446D" w:rsidRDefault="00F513B3">
            <w:pPr>
              <w:widowControl/>
              <w:adjustRightInd w:val="0"/>
              <w:snapToGrid w:val="0"/>
              <w:jc w:val="center"/>
              <w:rPr>
                <w:rFonts w:ascii="黑体" w:eastAsia="黑体" w:hAnsi="黑体"/>
                <w:color w:val="000000"/>
                <w:kern w:val="0"/>
              </w:rPr>
            </w:pPr>
            <w:r>
              <w:rPr>
                <w:rFonts w:ascii="黑体" w:eastAsia="黑体" w:hAnsi="黑体"/>
                <w:color w:val="000000"/>
                <w:kern w:val="0"/>
              </w:rPr>
              <w:pict>
                <v:line id="直线 4" o:spid="_x0000_s5123" style="position:absolute;left:0;text-align:left;z-index:251659264" from="-5.8pt,.35pt" to="105.55pt,76.85pt" o:gfxdata="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XhYxL&#10;1gAAAAgBAAAPAAAAAAAAAAEAIAAAACIAAABkcnMvZG93bnJldi54bWxQSwECFAAUAAAACACHTuJA&#10;GbgEPOoBAADgAwAADgAAAAAAAAABACAAAAAlAQAAZHJzL2Uyb0RvYy54bWxQSwUGAAAAAAYABgBZ&#10;AQAAgQUAAAAA&#10;"/>
              </w:pict>
            </w:r>
            <w:r>
              <w:rPr>
                <w:rFonts w:ascii="黑体" w:eastAsia="黑体" w:hAnsi="黑体"/>
                <w:color w:val="000000"/>
                <w:kern w:val="0"/>
              </w:rPr>
              <w:pict>
                <v:line id="直线 5" o:spid="_x0000_s5122" style="position:absolute;left:0;text-align:left;z-index:251660288" from="-5.7pt,-.3pt" to="189.55pt,26.35pt" o:gfxdata="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IShBc2AAAAAgBAAAPAAAAAAAAAAEAIAAAACIAAABkcnMvZG93bnJldi54bWxQSwECFAAUAAAA&#10;CACHTuJAQ7CMaO4BAADgAwAADgAAAAAAAAABACAAAAAnAQAAZHJzL2Uyb0RvYy54bWxQSwUGAAAA&#10;AAYABgBZAQAAhwUAAAAA&#10;"/>
              </w:pict>
            </w:r>
            <w:r w:rsidR="00FB459A">
              <w:rPr>
                <w:rFonts w:ascii="黑体" w:eastAsia="黑体" w:hAnsi="黑体"/>
                <w:color w:val="000000"/>
                <w:kern w:val="0"/>
              </w:rPr>
              <w:t xml:space="preserve">                    级别</w:t>
            </w:r>
          </w:p>
          <w:p w:rsidR="0054446D" w:rsidRDefault="0054446D">
            <w:pPr>
              <w:widowControl/>
              <w:adjustRightInd w:val="0"/>
              <w:snapToGrid w:val="0"/>
              <w:jc w:val="center"/>
              <w:rPr>
                <w:rFonts w:ascii="黑体" w:eastAsia="黑体" w:hAnsi="黑体"/>
                <w:color w:val="000000"/>
                <w:kern w:val="0"/>
              </w:rPr>
            </w:pPr>
          </w:p>
          <w:p w:rsidR="0054446D" w:rsidRDefault="00FB459A">
            <w:pPr>
              <w:widowControl/>
              <w:adjustRightInd w:val="0"/>
              <w:snapToGrid w:val="0"/>
              <w:jc w:val="center"/>
              <w:rPr>
                <w:rFonts w:ascii="黑体" w:eastAsia="黑体" w:hAnsi="黑体"/>
                <w:color w:val="000000"/>
                <w:kern w:val="0"/>
              </w:rPr>
            </w:pPr>
            <w:r>
              <w:rPr>
                <w:rFonts w:ascii="黑体" w:eastAsia="黑体" w:hAnsi="黑体"/>
                <w:color w:val="000000"/>
                <w:kern w:val="0"/>
              </w:rPr>
              <w:t>价格</w:t>
            </w:r>
          </w:p>
          <w:p w:rsidR="0054446D" w:rsidRDefault="00FB459A">
            <w:pPr>
              <w:widowControl/>
              <w:adjustRightInd w:val="0"/>
              <w:snapToGrid w:val="0"/>
              <w:rPr>
                <w:rFonts w:ascii="黑体" w:eastAsia="黑体" w:hAnsi="黑体"/>
                <w:color w:val="000000"/>
                <w:kern w:val="0"/>
              </w:rPr>
            </w:pPr>
            <w:r>
              <w:rPr>
                <w:rFonts w:ascii="黑体" w:eastAsia="黑体" w:hAnsi="黑体"/>
                <w:color w:val="000000"/>
                <w:kern w:val="0"/>
              </w:rPr>
              <w:t>土地用途</w:t>
            </w:r>
          </w:p>
        </w:tc>
        <w:tc>
          <w:tcPr>
            <w:tcW w:w="627" w:type="pct"/>
            <w:vMerge w:val="restart"/>
            <w:vAlign w:val="center"/>
          </w:tcPr>
          <w:p w:rsidR="0054446D" w:rsidRDefault="00FB459A">
            <w:pPr>
              <w:widowControl/>
              <w:adjustRightInd w:val="0"/>
              <w:snapToGrid w:val="0"/>
              <w:jc w:val="center"/>
              <w:rPr>
                <w:rFonts w:ascii="黑体" w:eastAsia="黑体" w:hAnsi="黑体"/>
                <w:color w:val="000000"/>
                <w:kern w:val="0"/>
              </w:rPr>
            </w:pPr>
            <w:r>
              <w:rPr>
                <w:rFonts w:ascii="黑体" w:eastAsia="黑体" w:hAnsi="黑体"/>
                <w:color w:val="000000"/>
                <w:kern w:val="0"/>
              </w:rPr>
              <w:t>Ⅰ</w:t>
            </w:r>
          </w:p>
        </w:tc>
        <w:tc>
          <w:tcPr>
            <w:tcW w:w="533" w:type="pct"/>
            <w:vMerge w:val="restart"/>
            <w:vAlign w:val="center"/>
          </w:tcPr>
          <w:p w:rsidR="0054446D" w:rsidRDefault="00FB459A">
            <w:pPr>
              <w:widowControl/>
              <w:adjustRightInd w:val="0"/>
              <w:snapToGrid w:val="0"/>
              <w:jc w:val="center"/>
              <w:rPr>
                <w:rFonts w:ascii="黑体" w:eastAsia="黑体" w:hAnsi="黑体"/>
                <w:color w:val="000000"/>
                <w:kern w:val="0"/>
              </w:rPr>
            </w:pPr>
            <w:r>
              <w:rPr>
                <w:rFonts w:ascii="黑体" w:eastAsia="黑体" w:hAnsi="黑体"/>
                <w:color w:val="000000"/>
                <w:kern w:val="0"/>
              </w:rPr>
              <w:t>Ⅱ</w:t>
            </w:r>
          </w:p>
        </w:tc>
        <w:tc>
          <w:tcPr>
            <w:tcW w:w="533" w:type="pct"/>
            <w:vMerge w:val="restart"/>
            <w:vAlign w:val="center"/>
          </w:tcPr>
          <w:p w:rsidR="0054446D" w:rsidRDefault="00FB459A">
            <w:pPr>
              <w:widowControl/>
              <w:adjustRightInd w:val="0"/>
              <w:snapToGrid w:val="0"/>
              <w:jc w:val="center"/>
              <w:rPr>
                <w:rFonts w:ascii="黑体" w:eastAsia="黑体" w:hAnsi="黑体"/>
                <w:color w:val="000000"/>
                <w:kern w:val="0"/>
              </w:rPr>
            </w:pPr>
            <w:r>
              <w:rPr>
                <w:rFonts w:ascii="黑体" w:eastAsia="黑体" w:hAnsi="黑体"/>
                <w:color w:val="000000"/>
                <w:kern w:val="0"/>
              </w:rPr>
              <w:t>Ⅲ</w:t>
            </w:r>
          </w:p>
        </w:tc>
        <w:tc>
          <w:tcPr>
            <w:tcW w:w="533" w:type="pct"/>
            <w:vMerge w:val="restart"/>
            <w:vAlign w:val="center"/>
          </w:tcPr>
          <w:p w:rsidR="0054446D" w:rsidRDefault="00FB459A">
            <w:pPr>
              <w:widowControl/>
              <w:adjustRightInd w:val="0"/>
              <w:snapToGrid w:val="0"/>
              <w:jc w:val="center"/>
              <w:rPr>
                <w:rFonts w:ascii="黑体" w:eastAsia="黑体" w:hAnsi="黑体"/>
                <w:color w:val="000000"/>
                <w:kern w:val="0"/>
              </w:rPr>
            </w:pPr>
            <w:r>
              <w:rPr>
                <w:rFonts w:ascii="黑体" w:eastAsia="黑体" w:hAnsi="黑体"/>
                <w:color w:val="000000"/>
                <w:kern w:val="0"/>
              </w:rPr>
              <w:t>Ⅳ</w:t>
            </w:r>
          </w:p>
        </w:tc>
        <w:tc>
          <w:tcPr>
            <w:tcW w:w="535" w:type="pct"/>
            <w:vMerge w:val="restart"/>
            <w:vAlign w:val="center"/>
          </w:tcPr>
          <w:p w:rsidR="0054446D" w:rsidRDefault="00FB459A">
            <w:pPr>
              <w:widowControl/>
              <w:adjustRightInd w:val="0"/>
              <w:snapToGrid w:val="0"/>
              <w:jc w:val="center"/>
              <w:rPr>
                <w:rFonts w:ascii="黑体" w:eastAsia="黑体" w:hAnsi="黑体"/>
                <w:color w:val="000000"/>
                <w:kern w:val="0"/>
              </w:rPr>
            </w:pPr>
            <w:r>
              <w:rPr>
                <w:rFonts w:ascii="黑体" w:eastAsia="黑体" w:hAnsi="黑体"/>
                <w:color w:val="000000"/>
                <w:kern w:val="0"/>
              </w:rPr>
              <w:t>Ⅴ</w:t>
            </w:r>
          </w:p>
        </w:tc>
      </w:tr>
      <w:tr w:rsidR="0054446D">
        <w:trPr>
          <w:trHeight w:val="579"/>
          <w:jc w:val="center"/>
        </w:trPr>
        <w:tc>
          <w:tcPr>
            <w:tcW w:w="2238" w:type="pct"/>
            <w:gridSpan w:val="2"/>
            <w:vMerge/>
            <w:vAlign w:val="center"/>
          </w:tcPr>
          <w:p w:rsidR="0054446D" w:rsidRDefault="0054446D">
            <w:pPr>
              <w:widowControl/>
              <w:adjustRightInd w:val="0"/>
              <w:snapToGrid w:val="0"/>
              <w:jc w:val="left"/>
              <w:rPr>
                <w:color w:val="000000"/>
                <w:kern w:val="0"/>
              </w:rPr>
            </w:pPr>
          </w:p>
        </w:tc>
        <w:tc>
          <w:tcPr>
            <w:tcW w:w="0" w:type="auto"/>
            <w:vMerge/>
            <w:vAlign w:val="center"/>
          </w:tcPr>
          <w:p w:rsidR="0054446D" w:rsidRDefault="0054446D">
            <w:pPr>
              <w:widowControl/>
              <w:adjustRightInd w:val="0"/>
              <w:snapToGrid w:val="0"/>
              <w:jc w:val="left"/>
              <w:rPr>
                <w:color w:val="000000"/>
                <w:kern w:val="0"/>
              </w:rPr>
            </w:pPr>
          </w:p>
        </w:tc>
        <w:tc>
          <w:tcPr>
            <w:tcW w:w="0" w:type="auto"/>
            <w:vMerge/>
            <w:vAlign w:val="center"/>
          </w:tcPr>
          <w:p w:rsidR="0054446D" w:rsidRDefault="0054446D">
            <w:pPr>
              <w:widowControl/>
              <w:adjustRightInd w:val="0"/>
              <w:snapToGrid w:val="0"/>
              <w:jc w:val="left"/>
              <w:rPr>
                <w:color w:val="000000"/>
                <w:kern w:val="0"/>
              </w:rPr>
            </w:pPr>
          </w:p>
        </w:tc>
        <w:tc>
          <w:tcPr>
            <w:tcW w:w="0" w:type="auto"/>
            <w:vMerge/>
            <w:vAlign w:val="center"/>
          </w:tcPr>
          <w:p w:rsidR="0054446D" w:rsidRDefault="0054446D">
            <w:pPr>
              <w:widowControl/>
              <w:adjustRightInd w:val="0"/>
              <w:snapToGrid w:val="0"/>
              <w:jc w:val="left"/>
              <w:rPr>
                <w:color w:val="000000"/>
                <w:kern w:val="0"/>
              </w:rPr>
            </w:pPr>
          </w:p>
        </w:tc>
        <w:tc>
          <w:tcPr>
            <w:tcW w:w="0" w:type="auto"/>
            <w:vMerge/>
            <w:vAlign w:val="center"/>
          </w:tcPr>
          <w:p w:rsidR="0054446D" w:rsidRDefault="0054446D">
            <w:pPr>
              <w:widowControl/>
              <w:adjustRightInd w:val="0"/>
              <w:snapToGrid w:val="0"/>
              <w:jc w:val="left"/>
              <w:rPr>
                <w:color w:val="000000"/>
                <w:kern w:val="0"/>
              </w:rPr>
            </w:pPr>
          </w:p>
        </w:tc>
        <w:tc>
          <w:tcPr>
            <w:tcW w:w="0" w:type="auto"/>
            <w:vMerge/>
            <w:vAlign w:val="center"/>
          </w:tcPr>
          <w:p w:rsidR="0054446D" w:rsidRDefault="0054446D">
            <w:pPr>
              <w:widowControl/>
              <w:adjustRightInd w:val="0"/>
              <w:snapToGrid w:val="0"/>
              <w:jc w:val="left"/>
              <w:rPr>
                <w:color w:val="000000"/>
                <w:kern w:val="0"/>
              </w:rPr>
            </w:pPr>
          </w:p>
        </w:tc>
      </w:tr>
      <w:tr w:rsidR="0054446D">
        <w:trPr>
          <w:trHeight w:val="368"/>
          <w:jc w:val="center"/>
        </w:trPr>
        <w:tc>
          <w:tcPr>
            <w:tcW w:w="2238" w:type="pct"/>
            <w:gridSpan w:val="2"/>
            <w:vMerge/>
            <w:vAlign w:val="center"/>
          </w:tcPr>
          <w:p w:rsidR="0054446D" w:rsidRDefault="0054446D">
            <w:pPr>
              <w:widowControl/>
              <w:adjustRightInd w:val="0"/>
              <w:snapToGrid w:val="0"/>
              <w:jc w:val="left"/>
              <w:rPr>
                <w:color w:val="000000"/>
                <w:kern w:val="0"/>
              </w:rPr>
            </w:pPr>
          </w:p>
        </w:tc>
        <w:tc>
          <w:tcPr>
            <w:tcW w:w="0" w:type="auto"/>
            <w:vMerge/>
            <w:vAlign w:val="center"/>
          </w:tcPr>
          <w:p w:rsidR="0054446D" w:rsidRDefault="0054446D">
            <w:pPr>
              <w:widowControl/>
              <w:adjustRightInd w:val="0"/>
              <w:snapToGrid w:val="0"/>
              <w:jc w:val="left"/>
              <w:rPr>
                <w:color w:val="000000"/>
                <w:kern w:val="0"/>
              </w:rPr>
            </w:pPr>
          </w:p>
        </w:tc>
        <w:tc>
          <w:tcPr>
            <w:tcW w:w="0" w:type="auto"/>
            <w:vMerge/>
            <w:vAlign w:val="center"/>
          </w:tcPr>
          <w:p w:rsidR="0054446D" w:rsidRDefault="0054446D">
            <w:pPr>
              <w:widowControl/>
              <w:adjustRightInd w:val="0"/>
              <w:snapToGrid w:val="0"/>
              <w:jc w:val="left"/>
              <w:rPr>
                <w:color w:val="000000"/>
                <w:kern w:val="0"/>
              </w:rPr>
            </w:pPr>
          </w:p>
        </w:tc>
        <w:tc>
          <w:tcPr>
            <w:tcW w:w="0" w:type="auto"/>
            <w:vMerge/>
            <w:vAlign w:val="center"/>
          </w:tcPr>
          <w:p w:rsidR="0054446D" w:rsidRDefault="0054446D">
            <w:pPr>
              <w:widowControl/>
              <w:adjustRightInd w:val="0"/>
              <w:snapToGrid w:val="0"/>
              <w:jc w:val="left"/>
              <w:rPr>
                <w:color w:val="000000"/>
                <w:kern w:val="0"/>
              </w:rPr>
            </w:pPr>
          </w:p>
        </w:tc>
        <w:tc>
          <w:tcPr>
            <w:tcW w:w="0" w:type="auto"/>
            <w:vMerge/>
            <w:vAlign w:val="center"/>
          </w:tcPr>
          <w:p w:rsidR="0054446D" w:rsidRDefault="0054446D">
            <w:pPr>
              <w:widowControl/>
              <w:adjustRightInd w:val="0"/>
              <w:snapToGrid w:val="0"/>
              <w:jc w:val="left"/>
              <w:rPr>
                <w:color w:val="000000"/>
                <w:kern w:val="0"/>
              </w:rPr>
            </w:pPr>
          </w:p>
        </w:tc>
        <w:tc>
          <w:tcPr>
            <w:tcW w:w="0" w:type="auto"/>
            <w:vMerge/>
            <w:vAlign w:val="center"/>
          </w:tcPr>
          <w:p w:rsidR="0054446D" w:rsidRDefault="0054446D">
            <w:pPr>
              <w:widowControl/>
              <w:adjustRightInd w:val="0"/>
              <w:snapToGrid w:val="0"/>
              <w:jc w:val="left"/>
              <w:rPr>
                <w:color w:val="000000"/>
                <w:kern w:val="0"/>
              </w:rPr>
            </w:pPr>
          </w:p>
        </w:tc>
      </w:tr>
      <w:tr w:rsidR="0054446D">
        <w:trPr>
          <w:trHeight w:val="765"/>
          <w:jc w:val="center"/>
        </w:trPr>
        <w:tc>
          <w:tcPr>
            <w:tcW w:w="1266" w:type="pct"/>
            <w:vMerge w:val="restart"/>
            <w:vAlign w:val="center"/>
          </w:tcPr>
          <w:p w:rsidR="0054446D" w:rsidRDefault="00FB459A">
            <w:pPr>
              <w:widowControl/>
              <w:adjustRightInd w:val="0"/>
              <w:snapToGrid w:val="0"/>
              <w:jc w:val="center"/>
              <w:rPr>
                <w:color w:val="000000"/>
                <w:kern w:val="0"/>
              </w:rPr>
            </w:pPr>
            <w:r>
              <w:rPr>
                <w:color w:val="000000"/>
                <w:kern w:val="0"/>
              </w:rPr>
              <w:t>商服用地</w:t>
            </w:r>
          </w:p>
        </w:tc>
        <w:tc>
          <w:tcPr>
            <w:tcW w:w="973" w:type="pct"/>
            <w:vAlign w:val="center"/>
          </w:tcPr>
          <w:p w:rsidR="0054446D" w:rsidRDefault="00FB459A">
            <w:pPr>
              <w:widowControl/>
              <w:adjustRightInd w:val="0"/>
              <w:snapToGrid w:val="0"/>
              <w:jc w:val="center"/>
              <w:rPr>
                <w:color w:val="000000"/>
                <w:kern w:val="0"/>
              </w:rPr>
            </w:pPr>
            <w:r>
              <w:rPr>
                <w:color w:val="000000"/>
                <w:kern w:val="0"/>
              </w:rPr>
              <w:t>元</w:t>
            </w:r>
            <w:r>
              <w:rPr>
                <w:color w:val="000000"/>
                <w:kern w:val="0"/>
              </w:rPr>
              <w:t>/</w:t>
            </w:r>
            <w:r>
              <w:rPr>
                <w:color w:val="000000"/>
                <w:kern w:val="0"/>
              </w:rPr>
              <w:t>平方米</w:t>
            </w:r>
          </w:p>
        </w:tc>
        <w:tc>
          <w:tcPr>
            <w:tcW w:w="627" w:type="pct"/>
            <w:vAlign w:val="center"/>
          </w:tcPr>
          <w:p w:rsidR="0054446D" w:rsidRDefault="00FB459A">
            <w:pPr>
              <w:widowControl/>
              <w:adjustRightInd w:val="0"/>
              <w:snapToGrid w:val="0"/>
              <w:jc w:val="center"/>
              <w:rPr>
                <w:color w:val="000000"/>
                <w:kern w:val="0"/>
              </w:rPr>
            </w:pPr>
            <w:r>
              <w:rPr>
                <w:color w:val="000000"/>
                <w:kern w:val="0"/>
              </w:rPr>
              <w:t>3597</w:t>
            </w:r>
          </w:p>
        </w:tc>
        <w:tc>
          <w:tcPr>
            <w:tcW w:w="533" w:type="pct"/>
            <w:vAlign w:val="center"/>
          </w:tcPr>
          <w:p w:rsidR="0054446D" w:rsidRDefault="00FB459A">
            <w:pPr>
              <w:widowControl/>
              <w:adjustRightInd w:val="0"/>
              <w:snapToGrid w:val="0"/>
              <w:jc w:val="center"/>
              <w:rPr>
                <w:color w:val="000000"/>
                <w:kern w:val="0"/>
              </w:rPr>
            </w:pPr>
            <w:r>
              <w:rPr>
                <w:color w:val="000000"/>
                <w:kern w:val="0"/>
              </w:rPr>
              <w:t>2475</w:t>
            </w:r>
          </w:p>
        </w:tc>
        <w:tc>
          <w:tcPr>
            <w:tcW w:w="533" w:type="pct"/>
            <w:vAlign w:val="center"/>
          </w:tcPr>
          <w:p w:rsidR="0054446D" w:rsidRDefault="00FB459A">
            <w:pPr>
              <w:widowControl/>
              <w:adjustRightInd w:val="0"/>
              <w:snapToGrid w:val="0"/>
              <w:jc w:val="center"/>
              <w:rPr>
                <w:color w:val="000000"/>
                <w:kern w:val="0"/>
              </w:rPr>
            </w:pPr>
            <w:r>
              <w:rPr>
                <w:color w:val="000000"/>
                <w:kern w:val="0"/>
              </w:rPr>
              <w:t>1869</w:t>
            </w:r>
          </w:p>
        </w:tc>
        <w:tc>
          <w:tcPr>
            <w:tcW w:w="533" w:type="pct"/>
            <w:vAlign w:val="center"/>
          </w:tcPr>
          <w:p w:rsidR="0054446D" w:rsidRDefault="00FB459A">
            <w:pPr>
              <w:widowControl/>
              <w:adjustRightInd w:val="0"/>
              <w:snapToGrid w:val="0"/>
              <w:jc w:val="center"/>
              <w:rPr>
                <w:color w:val="000000"/>
                <w:kern w:val="0"/>
              </w:rPr>
            </w:pPr>
            <w:r>
              <w:rPr>
                <w:color w:val="000000"/>
                <w:kern w:val="0"/>
              </w:rPr>
              <w:t>1410</w:t>
            </w:r>
          </w:p>
        </w:tc>
        <w:tc>
          <w:tcPr>
            <w:tcW w:w="536" w:type="pct"/>
            <w:vAlign w:val="center"/>
          </w:tcPr>
          <w:p w:rsidR="0054446D" w:rsidRDefault="00FB459A">
            <w:pPr>
              <w:widowControl/>
              <w:adjustRightInd w:val="0"/>
              <w:snapToGrid w:val="0"/>
              <w:jc w:val="center"/>
              <w:rPr>
                <w:color w:val="000000"/>
                <w:kern w:val="0"/>
              </w:rPr>
            </w:pPr>
            <w:r>
              <w:rPr>
                <w:color w:val="000000"/>
                <w:kern w:val="0"/>
              </w:rPr>
              <w:t>965</w:t>
            </w:r>
          </w:p>
        </w:tc>
      </w:tr>
      <w:tr w:rsidR="0054446D">
        <w:trPr>
          <w:trHeight w:val="765"/>
          <w:jc w:val="center"/>
        </w:trPr>
        <w:tc>
          <w:tcPr>
            <w:tcW w:w="1266" w:type="pct"/>
            <w:vMerge/>
            <w:vAlign w:val="center"/>
          </w:tcPr>
          <w:p w:rsidR="0054446D" w:rsidRDefault="0054446D">
            <w:pPr>
              <w:widowControl/>
              <w:adjustRightInd w:val="0"/>
              <w:snapToGrid w:val="0"/>
              <w:jc w:val="left"/>
              <w:rPr>
                <w:color w:val="000000"/>
                <w:kern w:val="0"/>
              </w:rPr>
            </w:pPr>
          </w:p>
        </w:tc>
        <w:tc>
          <w:tcPr>
            <w:tcW w:w="973" w:type="pct"/>
            <w:vAlign w:val="center"/>
          </w:tcPr>
          <w:p w:rsidR="0054446D" w:rsidRDefault="00FB459A">
            <w:pPr>
              <w:widowControl/>
              <w:adjustRightInd w:val="0"/>
              <w:snapToGrid w:val="0"/>
              <w:jc w:val="center"/>
              <w:rPr>
                <w:color w:val="000000"/>
                <w:kern w:val="0"/>
              </w:rPr>
            </w:pPr>
            <w:r>
              <w:rPr>
                <w:color w:val="000000"/>
                <w:kern w:val="0"/>
              </w:rPr>
              <w:t>万元</w:t>
            </w:r>
            <w:r>
              <w:rPr>
                <w:color w:val="000000"/>
                <w:kern w:val="0"/>
              </w:rPr>
              <w:t>/</w:t>
            </w:r>
            <w:r>
              <w:rPr>
                <w:color w:val="000000"/>
                <w:kern w:val="0"/>
              </w:rPr>
              <w:t>亩</w:t>
            </w:r>
          </w:p>
        </w:tc>
        <w:tc>
          <w:tcPr>
            <w:tcW w:w="627" w:type="pct"/>
            <w:vAlign w:val="center"/>
          </w:tcPr>
          <w:p w:rsidR="0054446D" w:rsidRDefault="00FB459A">
            <w:pPr>
              <w:widowControl/>
              <w:adjustRightInd w:val="0"/>
              <w:snapToGrid w:val="0"/>
              <w:jc w:val="center"/>
              <w:rPr>
                <w:color w:val="000000"/>
                <w:kern w:val="0"/>
              </w:rPr>
            </w:pPr>
            <w:r>
              <w:rPr>
                <w:color w:val="000000"/>
                <w:kern w:val="0"/>
              </w:rPr>
              <w:t>239.8</w:t>
            </w:r>
          </w:p>
        </w:tc>
        <w:tc>
          <w:tcPr>
            <w:tcW w:w="533" w:type="pct"/>
            <w:vAlign w:val="center"/>
          </w:tcPr>
          <w:p w:rsidR="0054446D" w:rsidRDefault="00FB459A">
            <w:pPr>
              <w:widowControl/>
              <w:adjustRightInd w:val="0"/>
              <w:snapToGrid w:val="0"/>
              <w:jc w:val="center"/>
              <w:rPr>
                <w:color w:val="000000"/>
                <w:kern w:val="0"/>
              </w:rPr>
            </w:pPr>
            <w:r>
              <w:rPr>
                <w:color w:val="000000"/>
                <w:kern w:val="0"/>
              </w:rPr>
              <w:t>165</w:t>
            </w:r>
          </w:p>
        </w:tc>
        <w:tc>
          <w:tcPr>
            <w:tcW w:w="533" w:type="pct"/>
            <w:vAlign w:val="center"/>
          </w:tcPr>
          <w:p w:rsidR="0054446D" w:rsidRDefault="00FB459A">
            <w:pPr>
              <w:widowControl/>
              <w:adjustRightInd w:val="0"/>
              <w:snapToGrid w:val="0"/>
              <w:jc w:val="center"/>
              <w:rPr>
                <w:color w:val="000000"/>
                <w:kern w:val="0"/>
              </w:rPr>
            </w:pPr>
            <w:r>
              <w:rPr>
                <w:color w:val="000000"/>
                <w:kern w:val="0"/>
              </w:rPr>
              <w:t>124.6</w:t>
            </w:r>
          </w:p>
        </w:tc>
        <w:tc>
          <w:tcPr>
            <w:tcW w:w="533" w:type="pct"/>
            <w:vAlign w:val="center"/>
          </w:tcPr>
          <w:p w:rsidR="0054446D" w:rsidRDefault="00FB459A">
            <w:pPr>
              <w:widowControl/>
              <w:adjustRightInd w:val="0"/>
              <w:snapToGrid w:val="0"/>
              <w:jc w:val="center"/>
              <w:rPr>
                <w:color w:val="000000"/>
                <w:kern w:val="0"/>
              </w:rPr>
            </w:pPr>
            <w:r>
              <w:rPr>
                <w:color w:val="000000"/>
                <w:kern w:val="0"/>
              </w:rPr>
              <w:t>94</w:t>
            </w:r>
          </w:p>
        </w:tc>
        <w:tc>
          <w:tcPr>
            <w:tcW w:w="536" w:type="pct"/>
            <w:vAlign w:val="center"/>
          </w:tcPr>
          <w:p w:rsidR="0054446D" w:rsidRDefault="00FB459A">
            <w:pPr>
              <w:widowControl/>
              <w:adjustRightInd w:val="0"/>
              <w:snapToGrid w:val="0"/>
              <w:jc w:val="center"/>
              <w:rPr>
                <w:color w:val="000000"/>
                <w:kern w:val="0"/>
              </w:rPr>
            </w:pPr>
            <w:r>
              <w:rPr>
                <w:color w:val="000000"/>
                <w:kern w:val="0"/>
              </w:rPr>
              <w:t>64.33</w:t>
            </w:r>
          </w:p>
        </w:tc>
      </w:tr>
      <w:tr w:rsidR="0054446D">
        <w:trPr>
          <w:trHeight w:val="765"/>
          <w:jc w:val="center"/>
        </w:trPr>
        <w:tc>
          <w:tcPr>
            <w:tcW w:w="1266" w:type="pct"/>
            <w:vMerge w:val="restart"/>
            <w:vAlign w:val="center"/>
          </w:tcPr>
          <w:p w:rsidR="0054446D" w:rsidRDefault="00FB459A">
            <w:pPr>
              <w:widowControl/>
              <w:adjustRightInd w:val="0"/>
              <w:snapToGrid w:val="0"/>
              <w:jc w:val="center"/>
              <w:rPr>
                <w:color w:val="000000"/>
                <w:kern w:val="0"/>
              </w:rPr>
            </w:pPr>
            <w:r>
              <w:rPr>
                <w:color w:val="000000"/>
                <w:kern w:val="0"/>
              </w:rPr>
              <w:t>住宅用地</w:t>
            </w:r>
          </w:p>
        </w:tc>
        <w:tc>
          <w:tcPr>
            <w:tcW w:w="973" w:type="pct"/>
            <w:vAlign w:val="center"/>
          </w:tcPr>
          <w:p w:rsidR="0054446D" w:rsidRDefault="00FB459A">
            <w:pPr>
              <w:widowControl/>
              <w:adjustRightInd w:val="0"/>
              <w:snapToGrid w:val="0"/>
              <w:jc w:val="center"/>
              <w:rPr>
                <w:color w:val="000000"/>
                <w:kern w:val="0"/>
              </w:rPr>
            </w:pPr>
            <w:r>
              <w:rPr>
                <w:color w:val="000000"/>
                <w:kern w:val="0"/>
              </w:rPr>
              <w:t>元</w:t>
            </w:r>
            <w:r>
              <w:rPr>
                <w:color w:val="000000"/>
                <w:kern w:val="0"/>
              </w:rPr>
              <w:t>/</w:t>
            </w:r>
            <w:r>
              <w:rPr>
                <w:color w:val="000000"/>
                <w:kern w:val="0"/>
              </w:rPr>
              <w:t>平方米</w:t>
            </w:r>
          </w:p>
        </w:tc>
        <w:tc>
          <w:tcPr>
            <w:tcW w:w="627" w:type="pct"/>
            <w:vAlign w:val="center"/>
          </w:tcPr>
          <w:p w:rsidR="0054446D" w:rsidRDefault="00FB459A">
            <w:pPr>
              <w:widowControl/>
              <w:adjustRightInd w:val="0"/>
              <w:snapToGrid w:val="0"/>
              <w:jc w:val="center"/>
              <w:rPr>
                <w:color w:val="000000"/>
                <w:kern w:val="0"/>
              </w:rPr>
            </w:pPr>
            <w:r>
              <w:rPr>
                <w:color w:val="000000"/>
                <w:kern w:val="0"/>
              </w:rPr>
              <w:t>3310</w:t>
            </w:r>
          </w:p>
        </w:tc>
        <w:tc>
          <w:tcPr>
            <w:tcW w:w="533" w:type="pct"/>
            <w:vAlign w:val="center"/>
          </w:tcPr>
          <w:p w:rsidR="0054446D" w:rsidRDefault="00FB459A">
            <w:pPr>
              <w:widowControl/>
              <w:adjustRightInd w:val="0"/>
              <w:snapToGrid w:val="0"/>
              <w:jc w:val="center"/>
              <w:rPr>
                <w:color w:val="000000"/>
                <w:kern w:val="0"/>
              </w:rPr>
            </w:pPr>
            <w:r>
              <w:rPr>
                <w:color w:val="000000"/>
                <w:kern w:val="0"/>
              </w:rPr>
              <w:t>2400</w:t>
            </w:r>
          </w:p>
        </w:tc>
        <w:tc>
          <w:tcPr>
            <w:tcW w:w="533" w:type="pct"/>
            <w:vAlign w:val="center"/>
          </w:tcPr>
          <w:p w:rsidR="0054446D" w:rsidRDefault="00FB459A">
            <w:pPr>
              <w:widowControl/>
              <w:adjustRightInd w:val="0"/>
              <w:snapToGrid w:val="0"/>
              <w:jc w:val="center"/>
              <w:rPr>
                <w:color w:val="000000"/>
                <w:kern w:val="0"/>
              </w:rPr>
            </w:pPr>
            <w:r>
              <w:rPr>
                <w:color w:val="000000"/>
                <w:kern w:val="0"/>
              </w:rPr>
              <w:t>1800</w:t>
            </w:r>
          </w:p>
        </w:tc>
        <w:tc>
          <w:tcPr>
            <w:tcW w:w="533" w:type="pct"/>
            <w:vAlign w:val="center"/>
          </w:tcPr>
          <w:p w:rsidR="0054446D" w:rsidRDefault="00FB459A">
            <w:pPr>
              <w:widowControl/>
              <w:adjustRightInd w:val="0"/>
              <w:snapToGrid w:val="0"/>
              <w:jc w:val="center"/>
              <w:rPr>
                <w:color w:val="000000"/>
                <w:kern w:val="0"/>
              </w:rPr>
            </w:pPr>
            <w:r>
              <w:rPr>
                <w:color w:val="000000"/>
                <w:kern w:val="0"/>
              </w:rPr>
              <w:t>1347</w:t>
            </w:r>
          </w:p>
        </w:tc>
        <w:tc>
          <w:tcPr>
            <w:tcW w:w="536" w:type="pct"/>
            <w:vAlign w:val="center"/>
          </w:tcPr>
          <w:p w:rsidR="0054446D" w:rsidRDefault="00FB459A">
            <w:pPr>
              <w:widowControl/>
              <w:adjustRightInd w:val="0"/>
              <w:snapToGrid w:val="0"/>
              <w:jc w:val="center"/>
              <w:rPr>
                <w:color w:val="000000"/>
                <w:kern w:val="0"/>
              </w:rPr>
            </w:pPr>
            <w:r>
              <w:rPr>
                <w:color w:val="000000"/>
                <w:kern w:val="0"/>
              </w:rPr>
              <w:t>900</w:t>
            </w:r>
          </w:p>
        </w:tc>
      </w:tr>
      <w:tr w:rsidR="0054446D">
        <w:trPr>
          <w:trHeight w:val="765"/>
          <w:jc w:val="center"/>
        </w:trPr>
        <w:tc>
          <w:tcPr>
            <w:tcW w:w="1266" w:type="pct"/>
            <w:vMerge/>
            <w:vAlign w:val="center"/>
          </w:tcPr>
          <w:p w:rsidR="0054446D" w:rsidRDefault="0054446D">
            <w:pPr>
              <w:widowControl/>
              <w:adjustRightInd w:val="0"/>
              <w:snapToGrid w:val="0"/>
              <w:jc w:val="left"/>
              <w:rPr>
                <w:color w:val="000000"/>
                <w:kern w:val="0"/>
              </w:rPr>
            </w:pPr>
          </w:p>
        </w:tc>
        <w:tc>
          <w:tcPr>
            <w:tcW w:w="973" w:type="pct"/>
            <w:vAlign w:val="center"/>
          </w:tcPr>
          <w:p w:rsidR="0054446D" w:rsidRDefault="00FB459A">
            <w:pPr>
              <w:widowControl/>
              <w:adjustRightInd w:val="0"/>
              <w:snapToGrid w:val="0"/>
              <w:jc w:val="center"/>
              <w:rPr>
                <w:color w:val="000000"/>
                <w:kern w:val="0"/>
              </w:rPr>
            </w:pPr>
            <w:r>
              <w:rPr>
                <w:color w:val="000000"/>
                <w:kern w:val="0"/>
              </w:rPr>
              <w:t>万元</w:t>
            </w:r>
            <w:r>
              <w:rPr>
                <w:color w:val="000000"/>
                <w:kern w:val="0"/>
              </w:rPr>
              <w:t>/</w:t>
            </w:r>
            <w:r>
              <w:rPr>
                <w:color w:val="000000"/>
                <w:kern w:val="0"/>
              </w:rPr>
              <w:t>亩</w:t>
            </w:r>
          </w:p>
        </w:tc>
        <w:tc>
          <w:tcPr>
            <w:tcW w:w="627" w:type="pct"/>
            <w:vAlign w:val="center"/>
          </w:tcPr>
          <w:p w:rsidR="0054446D" w:rsidRDefault="00FB459A">
            <w:pPr>
              <w:widowControl/>
              <w:adjustRightInd w:val="0"/>
              <w:snapToGrid w:val="0"/>
              <w:jc w:val="center"/>
              <w:rPr>
                <w:color w:val="000000"/>
                <w:kern w:val="0"/>
              </w:rPr>
            </w:pPr>
            <w:r>
              <w:rPr>
                <w:color w:val="000000"/>
                <w:kern w:val="0"/>
              </w:rPr>
              <w:t>220.67</w:t>
            </w:r>
          </w:p>
        </w:tc>
        <w:tc>
          <w:tcPr>
            <w:tcW w:w="533" w:type="pct"/>
            <w:vAlign w:val="center"/>
          </w:tcPr>
          <w:p w:rsidR="0054446D" w:rsidRDefault="00FB459A">
            <w:pPr>
              <w:widowControl/>
              <w:adjustRightInd w:val="0"/>
              <w:snapToGrid w:val="0"/>
              <w:jc w:val="center"/>
              <w:rPr>
                <w:color w:val="000000"/>
                <w:kern w:val="0"/>
              </w:rPr>
            </w:pPr>
            <w:r>
              <w:rPr>
                <w:color w:val="000000"/>
                <w:kern w:val="0"/>
              </w:rPr>
              <w:t>160</w:t>
            </w:r>
          </w:p>
        </w:tc>
        <w:tc>
          <w:tcPr>
            <w:tcW w:w="533" w:type="pct"/>
            <w:vAlign w:val="center"/>
          </w:tcPr>
          <w:p w:rsidR="0054446D" w:rsidRDefault="00FB459A">
            <w:pPr>
              <w:widowControl/>
              <w:adjustRightInd w:val="0"/>
              <w:snapToGrid w:val="0"/>
              <w:jc w:val="center"/>
              <w:rPr>
                <w:color w:val="000000"/>
                <w:kern w:val="0"/>
              </w:rPr>
            </w:pPr>
            <w:r>
              <w:rPr>
                <w:color w:val="000000"/>
                <w:kern w:val="0"/>
              </w:rPr>
              <w:t>120</w:t>
            </w:r>
          </w:p>
        </w:tc>
        <w:tc>
          <w:tcPr>
            <w:tcW w:w="533" w:type="pct"/>
            <w:vAlign w:val="center"/>
          </w:tcPr>
          <w:p w:rsidR="0054446D" w:rsidRDefault="00FB459A">
            <w:pPr>
              <w:widowControl/>
              <w:adjustRightInd w:val="0"/>
              <w:snapToGrid w:val="0"/>
              <w:jc w:val="center"/>
              <w:rPr>
                <w:color w:val="000000"/>
                <w:kern w:val="0"/>
              </w:rPr>
            </w:pPr>
            <w:r>
              <w:rPr>
                <w:color w:val="000000"/>
                <w:kern w:val="0"/>
              </w:rPr>
              <w:t>89.8</w:t>
            </w:r>
          </w:p>
        </w:tc>
        <w:tc>
          <w:tcPr>
            <w:tcW w:w="536" w:type="pct"/>
            <w:vAlign w:val="center"/>
          </w:tcPr>
          <w:p w:rsidR="0054446D" w:rsidRDefault="00FB459A">
            <w:pPr>
              <w:widowControl/>
              <w:adjustRightInd w:val="0"/>
              <w:snapToGrid w:val="0"/>
              <w:jc w:val="center"/>
              <w:rPr>
                <w:color w:val="000000"/>
                <w:kern w:val="0"/>
              </w:rPr>
            </w:pPr>
            <w:r>
              <w:rPr>
                <w:color w:val="000000"/>
                <w:kern w:val="0"/>
              </w:rPr>
              <w:t>60</w:t>
            </w:r>
          </w:p>
        </w:tc>
      </w:tr>
      <w:tr w:rsidR="0054446D">
        <w:trPr>
          <w:trHeight w:val="765"/>
          <w:jc w:val="center"/>
        </w:trPr>
        <w:tc>
          <w:tcPr>
            <w:tcW w:w="1266" w:type="pct"/>
            <w:vMerge w:val="restart"/>
            <w:vAlign w:val="center"/>
          </w:tcPr>
          <w:p w:rsidR="0054446D" w:rsidRDefault="00FB459A">
            <w:pPr>
              <w:widowControl/>
              <w:adjustRightInd w:val="0"/>
              <w:snapToGrid w:val="0"/>
              <w:jc w:val="center"/>
              <w:rPr>
                <w:color w:val="000000"/>
                <w:kern w:val="0"/>
              </w:rPr>
            </w:pPr>
            <w:r>
              <w:rPr>
                <w:color w:val="000000"/>
                <w:kern w:val="0"/>
              </w:rPr>
              <w:t>工业用地</w:t>
            </w:r>
          </w:p>
        </w:tc>
        <w:tc>
          <w:tcPr>
            <w:tcW w:w="973" w:type="pct"/>
            <w:vAlign w:val="center"/>
          </w:tcPr>
          <w:p w:rsidR="0054446D" w:rsidRDefault="00FB459A">
            <w:pPr>
              <w:widowControl/>
              <w:adjustRightInd w:val="0"/>
              <w:snapToGrid w:val="0"/>
              <w:jc w:val="center"/>
              <w:rPr>
                <w:color w:val="000000"/>
                <w:kern w:val="0"/>
              </w:rPr>
            </w:pPr>
            <w:r>
              <w:rPr>
                <w:color w:val="000000"/>
                <w:kern w:val="0"/>
              </w:rPr>
              <w:t>元</w:t>
            </w:r>
            <w:r>
              <w:rPr>
                <w:color w:val="000000"/>
                <w:kern w:val="0"/>
              </w:rPr>
              <w:t>/</w:t>
            </w:r>
            <w:r>
              <w:rPr>
                <w:color w:val="000000"/>
                <w:kern w:val="0"/>
              </w:rPr>
              <w:t>平方米</w:t>
            </w:r>
          </w:p>
        </w:tc>
        <w:tc>
          <w:tcPr>
            <w:tcW w:w="627" w:type="pct"/>
            <w:vAlign w:val="center"/>
          </w:tcPr>
          <w:p w:rsidR="0054446D" w:rsidRDefault="00FB459A">
            <w:pPr>
              <w:widowControl/>
              <w:adjustRightInd w:val="0"/>
              <w:snapToGrid w:val="0"/>
              <w:jc w:val="center"/>
              <w:rPr>
                <w:color w:val="000000"/>
                <w:kern w:val="0"/>
              </w:rPr>
            </w:pPr>
            <w:r>
              <w:rPr>
                <w:color w:val="000000"/>
                <w:kern w:val="0"/>
              </w:rPr>
              <w:t>482</w:t>
            </w:r>
          </w:p>
        </w:tc>
        <w:tc>
          <w:tcPr>
            <w:tcW w:w="533" w:type="pct"/>
            <w:vAlign w:val="center"/>
          </w:tcPr>
          <w:p w:rsidR="0054446D" w:rsidRDefault="00FB459A">
            <w:pPr>
              <w:widowControl/>
              <w:adjustRightInd w:val="0"/>
              <w:snapToGrid w:val="0"/>
              <w:jc w:val="center"/>
              <w:rPr>
                <w:color w:val="000000"/>
                <w:kern w:val="0"/>
              </w:rPr>
            </w:pPr>
            <w:r>
              <w:rPr>
                <w:color w:val="000000"/>
                <w:kern w:val="0"/>
              </w:rPr>
              <w:t>380</w:t>
            </w:r>
          </w:p>
        </w:tc>
        <w:tc>
          <w:tcPr>
            <w:tcW w:w="533" w:type="pct"/>
            <w:vAlign w:val="center"/>
          </w:tcPr>
          <w:p w:rsidR="0054446D" w:rsidRDefault="00FB459A">
            <w:pPr>
              <w:widowControl/>
              <w:adjustRightInd w:val="0"/>
              <w:snapToGrid w:val="0"/>
              <w:jc w:val="center"/>
              <w:rPr>
                <w:color w:val="000000"/>
                <w:kern w:val="0"/>
              </w:rPr>
            </w:pPr>
            <w:r>
              <w:rPr>
                <w:color w:val="000000"/>
                <w:kern w:val="0"/>
              </w:rPr>
              <w:t>300</w:t>
            </w:r>
          </w:p>
        </w:tc>
        <w:tc>
          <w:tcPr>
            <w:tcW w:w="533" w:type="pct"/>
            <w:vAlign w:val="center"/>
          </w:tcPr>
          <w:p w:rsidR="0054446D" w:rsidRDefault="00FB459A">
            <w:pPr>
              <w:widowControl/>
              <w:adjustRightInd w:val="0"/>
              <w:snapToGrid w:val="0"/>
              <w:jc w:val="center"/>
              <w:rPr>
                <w:color w:val="000000"/>
                <w:kern w:val="0"/>
              </w:rPr>
            </w:pPr>
            <w:r>
              <w:rPr>
                <w:color w:val="000000"/>
                <w:kern w:val="0"/>
              </w:rPr>
              <w:t>208</w:t>
            </w:r>
          </w:p>
        </w:tc>
        <w:tc>
          <w:tcPr>
            <w:tcW w:w="536" w:type="pct"/>
            <w:vAlign w:val="center"/>
          </w:tcPr>
          <w:p w:rsidR="0054446D" w:rsidRDefault="00FB459A">
            <w:pPr>
              <w:widowControl/>
              <w:adjustRightInd w:val="0"/>
              <w:snapToGrid w:val="0"/>
              <w:jc w:val="center"/>
              <w:rPr>
                <w:color w:val="000000"/>
                <w:kern w:val="0"/>
              </w:rPr>
            </w:pPr>
            <w:r>
              <w:rPr>
                <w:color w:val="000000"/>
                <w:kern w:val="0"/>
              </w:rPr>
              <w:t>162</w:t>
            </w:r>
          </w:p>
        </w:tc>
      </w:tr>
      <w:tr w:rsidR="0054446D">
        <w:trPr>
          <w:trHeight w:val="765"/>
          <w:jc w:val="center"/>
        </w:trPr>
        <w:tc>
          <w:tcPr>
            <w:tcW w:w="1266" w:type="pct"/>
            <w:vMerge/>
            <w:vAlign w:val="center"/>
          </w:tcPr>
          <w:p w:rsidR="0054446D" w:rsidRDefault="0054446D">
            <w:pPr>
              <w:widowControl/>
              <w:adjustRightInd w:val="0"/>
              <w:snapToGrid w:val="0"/>
              <w:jc w:val="left"/>
              <w:rPr>
                <w:color w:val="000000"/>
                <w:kern w:val="0"/>
              </w:rPr>
            </w:pPr>
          </w:p>
        </w:tc>
        <w:tc>
          <w:tcPr>
            <w:tcW w:w="973" w:type="pct"/>
            <w:vAlign w:val="center"/>
          </w:tcPr>
          <w:p w:rsidR="0054446D" w:rsidRDefault="00FB459A">
            <w:pPr>
              <w:widowControl/>
              <w:adjustRightInd w:val="0"/>
              <w:snapToGrid w:val="0"/>
              <w:jc w:val="center"/>
              <w:rPr>
                <w:color w:val="000000"/>
                <w:kern w:val="0"/>
              </w:rPr>
            </w:pPr>
            <w:r>
              <w:rPr>
                <w:color w:val="000000"/>
                <w:kern w:val="0"/>
              </w:rPr>
              <w:t>万元</w:t>
            </w:r>
            <w:r>
              <w:rPr>
                <w:color w:val="000000"/>
                <w:kern w:val="0"/>
              </w:rPr>
              <w:t>/</w:t>
            </w:r>
            <w:r>
              <w:rPr>
                <w:color w:val="000000"/>
                <w:kern w:val="0"/>
              </w:rPr>
              <w:t>亩</w:t>
            </w:r>
          </w:p>
        </w:tc>
        <w:tc>
          <w:tcPr>
            <w:tcW w:w="627" w:type="pct"/>
            <w:vAlign w:val="center"/>
          </w:tcPr>
          <w:p w:rsidR="0054446D" w:rsidRDefault="00FB459A">
            <w:pPr>
              <w:widowControl/>
              <w:adjustRightInd w:val="0"/>
              <w:snapToGrid w:val="0"/>
              <w:jc w:val="center"/>
              <w:rPr>
                <w:color w:val="000000"/>
                <w:kern w:val="0"/>
              </w:rPr>
            </w:pPr>
            <w:r>
              <w:rPr>
                <w:color w:val="000000"/>
                <w:kern w:val="0"/>
              </w:rPr>
              <w:t>32.13</w:t>
            </w:r>
          </w:p>
        </w:tc>
        <w:tc>
          <w:tcPr>
            <w:tcW w:w="533" w:type="pct"/>
            <w:vAlign w:val="center"/>
          </w:tcPr>
          <w:p w:rsidR="0054446D" w:rsidRDefault="00FB459A">
            <w:pPr>
              <w:widowControl/>
              <w:adjustRightInd w:val="0"/>
              <w:snapToGrid w:val="0"/>
              <w:jc w:val="center"/>
              <w:rPr>
                <w:color w:val="000000"/>
                <w:kern w:val="0"/>
              </w:rPr>
            </w:pPr>
            <w:r>
              <w:rPr>
                <w:color w:val="000000"/>
                <w:kern w:val="0"/>
              </w:rPr>
              <w:t>25.33</w:t>
            </w:r>
          </w:p>
        </w:tc>
        <w:tc>
          <w:tcPr>
            <w:tcW w:w="533" w:type="pct"/>
            <w:vAlign w:val="center"/>
          </w:tcPr>
          <w:p w:rsidR="0054446D" w:rsidRDefault="00FB459A">
            <w:pPr>
              <w:widowControl/>
              <w:adjustRightInd w:val="0"/>
              <w:snapToGrid w:val="0"/>
              <w:jc w:val="center"/>
              <w:rPr>
                <w:color w:val="000000"/>
                <w:kern w:val="0"/>
              </w:rPr>
            </w:pPr>
            <w:r>
              <w:rPr>
                <w:color w:val="000000"/>
                <w:kern w:val="0"/>
              </w:rPr>
              <w:t>20</w:t>
            </w:r>
          </w:p>
        </w:tc>
        <w:tc>
          <w:tcPr>
            <w:tcW w:w="533" w:type="pct"/>
            <w:vAlign w:val="center"/>
          </w:tcPr>
          <w:p w:rsidR="0054446D" w:rsidRDefault="00FB459A">
            <w:pPr>
              <w:widowControl/>
              <w:adjustRightInd w:val="0"/>
              <w:snapToGrid w:val="0"/>
              <w:jc w:val="center"/>
              <w:rPr>
                <w:color w:val="000000"/>
                <w:kern w:val="0"/>
              </w:rPr>
            </w:pPr>
            <w:r>
              <w:rPr>
                <w:color w:val="000000"/>
                <w:kern w:val="0"/>
              </w:rPr>
              <w:t>13.87</w:t>
            </w:r>
          </w:p>
        </w:tc>
        <w:tc>
          <w:tcPr>
            <w:tcW w:w="536" w:type="pct"/>
            <w:vAlign w:val="center"/>
          </w:tcPr>
          <w:p w:rsidR="0054446D" w:rsidRDefault="00FB459A">
            <w:pPr>
              <w:widowControl/>
              <w:adjustRightInd w:val="0"/>
              <w:snapToGrid w:val="0"/>
              <w:jc w:val="center"/>
              <w:rPr>
                <w:color w:val="000000"/>
                <w:kern w:val="0"/>
              </w:rPr>
            </w:pPr>
            <w:r>
              <w:rPr>
                <w:color w:val="000000"/>
                <w:kern w:val="0"/>
              </w:rPr>
              <w:t>10.8</w:t>
            </w:r>
          </w:p>
        </w:tc>
      </w:tr>
      <w:tr w:rsidR="0054446D">
        <w:trPr>
          <w:trHeight w:val="765"/>
          <w:jc w:val="center"/>
        </w:trPr>
        <w:tc>
          <w:tcPr>
            <w:tcW w:w="1" w:type="pct"/>
            <w:gridSpan w:val="7"/>
            <w:vAlign w:val="center"/>
          </w:tcPr>
          <w:p w:rsidR="0054446D" w:rsidRDefault="00FB459A">
            <w:pPr>
              <w:widowControl/>
              <w:adjustRightInd w:val="0"/>
              <w:snapToGrid w:val="0"/>
              <w:jc w:val="left"/>
              <w:rPr>
                <w:color w:val="000000"/>
                <w:kern w:val="0"/>
              </w:rPr>
            </w:pPr>
            <w:r>
              <w:rPr>
                <w:kern w:val="0"/>
              </w:rPr>
              <w:t>土地权利类型：国有建设用地使用权；</w:t>
            </w:r>
            <w:r>
              <w:rPr>
                <w:kern w:val="0"/>
              </w:rPr>
              <w:br/>
            </w:r>
            <w:r>
              <w:rPr>
                <w:kern w:val="0"/>
              </w:rPr>
              <w:t>估价期日：</w:t>
            </w:r>
            <w:r>
              <w:rPr>
                <w:kern w:val="0"/>
              </w:rPr>
              <w:t>2020</w:t>
            </w:r>
            <w:r>
              <w:rPr>
                <w:kern w:val="0"/>
              </w:rPr>
              <w:t>年</w:t>
            </w:r>
            <w:r>
              <w:rPr>
                <w:kern w:val="0"/>
              </w:rPr>
              <w:t>7</w:t>
            </w:r>
            <w:r>
              <w:rPr>
                <w:kern w:val="0"/>
              </w:rPr>
              <w:t>月</w:t>
            </w:r>
            <w:r>
              <w:rPr>
                <w:kern w:val="0"/>
              </w:rPr>
              <w:t>1</w:t>
            </w:r>
            <w:r>
              <w:rPr>
                <w:kern w:val="0"/>
              </w:rPr>
              <w:t>日；</w:t>
            </w:r>
            <w:r>
              <w:rPr>
                <w:kern w:val="0"/>
              </w:rPr>
              <w:br/>
            </w:r>
            <w:r>
              <w:rPr>
                <w:kern w:val="0"/>
              </w:rPr>
              <w:t>开发利用程度：商服、住宅、公共服务、工业用地宗地红线外</w:t>
            </w:r>
            <w:r>
              <w:rPr>
                <w:kern w:val="0"/>
              </w:rPr>
              <w:t>“</w:t>
            </w:r>
            <w:r>
              <w:rPr>
                <w:kern w:val="0"/>
              </w:rPr>
              <w:t>六通</w:t>
            </w:r>
            <w:r>
              <w:rPr>
                <w:kern w:val="0"/>
              </w:rPr>
              <w:t>”</w:t>
            </w:r>
            <w:r>
              <w:rPr>
                <w:kern w:val="0"/>
              </w:rPr>
              <w:t>红线内</w:t>
            </w:r>
            <w:r>
              <w:rPr>
                <w:kern w:val="0"/>
              </w:rPr>
              <w:t>“</w:t>
            </w:r>
            <w:r>
              <w:rPr>
                <w:kern w:val="0"/>
              </w:rPr>
              <w:t>场地平整</w:t>
            </w:r>
            <w:r>
              <w:rPr>
                <w:kern w:val="0"/>
              </w:rPr>
              <w:t>”(“</w:t>
            </w:r>
            <w:r>
              <w:rPr>
                <w:kern w:val="0"/>
              </w:rPr>
              <w:t>六通</w:t>
            </w:r>
            <w:r>
              <w:rPr>
                <w:kern w:val="0"/>
              </w:rPr>
              <w:t>”</w:t>
            </w:r>
            <w:r>
              <w:rPr>
                <w:kern w:val="0"/>
              </w:rPr>
              <w:t>指通路、供水、排水、通电、通讯、供气</w:t>
            </w:r>
            <w:r>
              <w:rPr>
                <w:kern w:val="0"/>
              </w:rPr>
              <w:t>)</w:t>
            </w:r>
            <w:r>
              <w:rPr>
                <w:kern w:val="0"/>
              </w:rPr>
              <w:t>；</w:t>
            </w:r>
            <w:r>
              <w:rPr>
                <w:kern w:val="0"/>
              </w:rPr>
              <w:br/>
            </w:r>
            <w:r>
              <w:rPr>
                <w:kern w:val="0"/>
              </w:rPr>
              <w:t>容积率：商服用地容积率为</w:t>
            </w:r>
            <w:r>
              <w:rPr>
                <w:kern w:val="0"/>
              </w:rPr>
              <w:t>1.6</w:t>
            </w:r>
            <w:r>
              <w:rPr>
                <w:kern w:val="0"/>
              </w:rPr>
              <w:t>、住宅用地容积率为</w:t>
            </w:r>
            <w:r>
              <w:rPr>
                <w:kern w:val="0"/>
              </w:rPr>
              <w:t>2.0</w:t>
            </w:r>
            <w:r>
              <w:rPr>
                <w:kern w:val="0"/>
              </w:rPr>
              <w:t>、公共服务用地一类（新闻出版、医疗卫生、社会福利）容积率为</w:t>
            </w:r>
            <w:r>
              <w:rPr>
                <w:kern w:val="0"/>
              </w:rPr>
              <w:t>1.6</w:t>
            </w:r>
            <w:r>
              <w:rPr>
                <w:kern w:val="0"/>
              </w:rPr>
              <w:t>、公共服务用地二类（机关团体、教育、科研、文化设施、体育用地）容积率为</w:t>
            </w:r>
            <w:r>
              <w:rPr>
                <w:kern w:val="0"/>
              </w:rPr>
              <w:t>1.6</w:t>
            </w:r>
            <w:r>
              <w:rPr>
                <w:kern w:val="0"/>
              </w:rPr>
              <w:t>，公共服务用地三类（公用设施用地）容积率为</w:t>
            </w:r>
            <w:r>
              <w:rPr>
                <w:kern w:val="0"/>
              </w:rPr>
              <w:t>1.0</w:t>
            </w:r>
            <w:r>
              <w:rPr>
                <w:kern w:val="0"/>
              </w:rPr>
              <w:t>、工业用地容积率为</w:t>
            </w:r>
            <w:r>
              <w:rPr>
                <w:kern w:val="0"/>
              </w:rPr>
              <w:t>1.0</w:t>
            </w:r>
            <w:r>
              <w:rPr>
                <w:kern w:val="0"/>
              </w:rPr>
              <w:t>；</w:t>
            </w:r>
            <w:r>
              <w:rPr>
                <w:kern w:val="0"/>
              </w:rPr>
              <w:br/>
            </w:r>
            <w:r>
              <w:rPr>
                <w:kern w:val="0"/>
              </w:rPr>
              <w:t>土地使用年期：商服用地</w:t>
            </w:r>
            <w:r>
              <w:rPr>
                <w:kern w:val="0"/>
              </w:rPr>
              <w:t>40</w:t>
            </w:r>
            <w:r>
              <w:rPr>
                <w:kern w:val="0"/>
              </w:rPr>
              <w:t>年、住宅用地</w:t>
            </w:r>
            <w:r>
              <w:rPr>
                <w:kern w:val="0"/>
              </w:rPr>
              <w:t>70</w:t>
            </w:r>
            <w:r>
              <w:rPr>
                <w:kern w:val="0"/>
              </w:rPr>
              <w:t>年、公共服务用地</w:t>
            </w:r>
            <w:r>
              <w:rPr>
                <w:kern w:val="0"/>
              </w:rPr>
              <w:t>50</w:t>
            </w:r>
            <w:r>
              <w:rPr>
                <w:kern w:val="0"/>
              </w:rPr>
              <w:t>年、工业用地</w:t>
            </w:r>
            <w:r>
              <w:rPr>
                <w:kern w:val="0"/>
              </w:rPr>
              <w:t>50</w:t>
            </w:r>
            <w:r>
              <w:rPr>
                <w:kern w:val="0"/>
              </w:rPr>
              <w:t>年。</w:t>
            </w:r>
          </w:p>
        </w:tc>
      </w:tr>
    </w:tbl>
    <w:p w:rsidR="0054446D" w:rsidRDefault="00FB459A">
      <w:pPr>
        <w:pStyle w:val="a9"/>
        <w:rPr>
          <w:rFonts w:ascii="仿宋" w:eastAsia="仿宋" w:hAnsi="仿宋" w:cs="仿宋"/>
          <w:sz w:val="28"/>
          <w:szCs w:val="28"/>
        </w:rPr>
      </w:pPr>
      <w:r>
        <w:rPr>
          <w:rFonts w:ascii="仿宋" w:eastAsia="仿宋" w:hAnsi="仿宋" w:cs="仿宋" w:hint="eastAsia"/>
          <w:noProof/>
          <w:sz w:val="28"/>
          <w:szCs w:val="28"/>
        </w:rPr>
        <w:drawing>
          <wp:inline distT="0" distB="0" distL="0" distR="0">
            <wp:extent cx="5580380" cy="4047490"/>
            <wp:effectExtent l="19050" t="0" r="1270" b="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pic:cNvPicPr>
                      <a:picLocks noChangeAspect="1" noChangeArrowheads="1"/>
                    </pic:cNvPicPr>
                  </pic:nvPicPr>
                  <pic:blipFill>
                    <a:blip r:embed="rId23"/>
                    <a:srcRect/>
                    <a:stretch>
                      <a:fillRect/>
                    </a:stretch>
                  </pic:blipFill>
                  <pic:spPr>
                    <a:xfrm>
                      <a:off x="0" y="0"/>
                      <a:ext cx="5580380" cy="4047600"/>
                    </a:xfrm>
                    <a:prstGeom prst="rect">
                      <a:avLst/>
                    </a:prstGeom>
                    <a:noFill/>
                    <a:ln w="9525">
                      <a:noFill/>
                      <a:miter lim="800000"/>
                      <a:headEnd/>
                      <a:tailEnd/>
                    </a:ln>
                  </pic:spPr>
                </pic:pic>
              </a:graphicData>
            </a:graphic>
          </wp:inline>
        </w:drawing>
      </w:r>
    </w:p>
    <w:p w:rsidR="0054446D" w:rsidRDefault="00FB459A">
      <w:pPr>
        <w:pStyle w:val="a9"/>
        <w:spacing w:line="420" w:lineRule="exact"/>
        <w:ind w:firstLineChars="200" w:firstLine="560"/>
        <w:rPr>
          <w:rFonts w:ascii="仿宋" w:eastAsia="仿宋" w:hAnsi="仿宋" w:cs="仿宋"/>
          <w:sz w:val="28"/>
          <w:szCs w:val="28"/>
        </w:rPr>
      </w:pPr>
      <w:r>
        <w:rPr>
          <w:rFonts w:ascii="仿宋" w:eastAsia="仿宋" w:hAnsi="仿宋" w:cs="仿宋" w:hint="eastAsia"/>
          <w:sz w:val="28"/>
          <w:szCs w:val="28"/>
        </w:rPr>
        <w:t>宗地位于</w:t>
      </w:r>
      <w:r>
        <w:rPr>
          <w:rFonts w:ascii="仿宋" w:eastAsia="仿宋" w:hAnsi="仿宋" w:cs="仿宋" w:hint="eastAsia"/>
          <w:kern w:val="0"/>
          <w:sz w:val="28"/>
          <w:szCs w:val="28"/>
        </w:rPr>
        <w:t>江西省新余市仰天大道以北</w:t>
      </w:r>
      <w:r>
        <w:rPr>
          <w:rFonts w:ascii="仿宋" w:eastAsia="仿宋" w:hAnsi="仿宋" w:cs="仿宋" w:hint="eastAsia"/>
          <w:sz w:val="28"/>
          <w:szCs w:val="28"/>
        </w:rPr>
        <w:t>，属于三级住宅用地范围内，此次参考三级住宅用地，该片住宅用地基准地价为1800元/平方米，故P</w:t>
      </w:r>
      <w:r>
        <w:rPr>
          <w:rFonts w:ascii="仿宋" w:eastAsia="仿宋" w:hAnsi="仿宋" w:cs="仿宋" w:hint="eastAsia"/>
          <w:sz w:val="28"/>
          <w:szCs w:val="28"/>
          <w:vertAlign w:val="subscript"/>
        </w:rPr>
        <w:t>1b</w:t>
      </w:r>
      <w:r>
        <w:rPr>
          <w:rFonts w:ascii="仿宋" w:eastAsia="仿宋" w:hAnsi="仿宋" w:cs="仿宋" w:hint="eastAsia"/>
          <w:sz w:val="28"/>
          <w:szCs w:val="28"/>
        </w:rPr>
        <w:t>为1800元/平方米。</w:t>
      </w:r>
    </w:p>
    <w:p w:rsidR="0054446D" w:rsidRDefault="00FB459A">
      <w:pPr>
        <w:pStyle w:val="a9"/>
        <w:spacing w:line="420" w:lineRule="exact"/>
        <w:ind w:firstLineChars="200" w:firstLine="560"/>
        <w:rPr>
          <w:rFonts w:ascii="仿宋" w:eastAsia="仿宋" w:hAnsi="仿宋" w:cs="仿宋"/>
          <w:sz w:val="28"/>
          <w:szCs w:val="28"/>
        </w:rPr>
      </w:pPr>
      <w:bookmarkStart w:id="82" w:name="_Toc14593"/>
      <w:bookmarkStart w:id="83" w:name="_Toc22155"/>
      <w:r>
        <w:rPr>
          <w:rFonts w:ascii="仿宋" w:eastAsia="仿宋" w:hAnsi="仿宋" w:cs="仿宋" w:hint="eastAsia"/>
          <w:sz w:val="28"/>
          <w:szCs w:val="28"/>
        </w:rPr>
        <w:t>2、土地开发程度修正系数的确定</w:t>
      </w:r>
    </w:p>
    <w:p w:rsidR="0054446D" w:rsidRDefault="00FB459A">
      <w:pPr>
        <w:pStyle w:val="a9"/>
        <w:spacing w:line="420" w:lineRule="exact"/>
        <w:ind w:firstLineChars="200" w:firstLine="560"/>
        <w:rPr>
          <w:rFonts w:ascii="仿宋" w:eastAsia="仿宋" w:hAnsi="仿宋" w:cs="仿宋"/>
          <w:sz w:val="28"/>
          <w:szCs w:val="28"/>
        </w:rPr>
      </w:pPr>
      <w:r>
        <w:rPr>
          <w:rFonts w:ascii="仿宋" w:eastAsia="仿宋" w:hAnsi="仿宋" w:cs="仿宋" w:hint="eastAsia"/>
          <w:sz w:val="28"/>
          <w:szCs w:val="28"/>
        </w:rPr>
        <w:t>所评估的土地开发状况为宗地外“六通”（即：通路、通电、通讯、供水、排水、通气）、红线内场地未平整与基准地价内涵设定的“六通一平”（供水、排水、通电、通路、通讯、通气及宗地红线内场地平整）不一致。</w:t>
      </w:r>
    </w:p>
    <w:p w:rsidR="0054446D" w:rsidRDefault="00FB459A">
      <w:pPr>
        <w:pStyle w:val="Bodytext1"/>
        <w:spacing w:line="501" w:lineRule="exact"/>
        <w:ind w:firstLine="640"/>
        <w:rPr>
          <w:rFonts w:ascii="仿宋" w:eastAsia="仿宋" w:hAnsi="仿宋" w:cs="仿宋"/>
          <w:sz w:val="28"/>
          <w:szCs w:val="28"/>
        </w:rPr>
      </w:pPr>
      <w:proofErr w:type="gramStart"/>
      <w:r>
        <w:rPr>
          <w:rFonts w:ascii="仿宋" w:eastAsia="仿宋" w:hAnsi="仿宋" w:cs="仿宋" w:hint="eastAsia"/>
          <w:color w:val="000000"/>
          <w:sz w:val="28"/>
          <w:szCs w:val="28"/>
          <w:lang w:eastAsia="zh-CN"/>
        </w:rPr>
        <w:t>根据待估宗地</w:t>
      </w:r>
      <w:proofErr w:type="gramEnd"/>
      <w:r>
        <w:rPr>
          <w:rFonts w:ascii="仿宋" w:eastAsia="仿宋" w:hAnsi="仿宋" w:cs="仿宋" w:hint="eastAsia"/>
          <w:color w:val="000000"/>
          <w:sz w:val="28"/>
          <w:szCs w:val="28"/>
          <w:lang w:eastAsia="zh-CN"/>
        </w:rPr>
        <w:t>实际情况，确定土地平整费用为</w:t>
      </w:r>
      <w:r>
        <w:rPr>
          <w:rFonts w:ascii="仿宋" w:eastAsia="仿宋" w:hAnsi="仿宋" w:cs="仿宋" w:hint="eastAsia"/>
          <w:color w:val="000000"/>
          <w:sz w:val="28"/>
          <w:szCs w:val="28"/>
          <w:lang w:val="en-US" w:eastAsia="zh-CN"/>
        </w:rPr>
        <w:t>20</w:t>
      </w:r>
      <w:r>
        <w:rPr>
          <w:rFonts w:ascii="仿宋" w:eastAsia="仿宋" w:hAnsi="仿宋" w:cs="仿宋" w:hint="eastAsia"/>
          <w:color w:val="000000"/>
          <w:sz w:val="28"/>
          <w:szCs w:val="28"/>
        </w:rPr>
        <w:t>元/平方米，故:</w:t>
      </w:r>
      <w:r>
        <w:rPr>
          <w:rFonts w:ascii="仿宋" w:eastAsia="仿宋" w:hAnsi="仿宋" w:cs="仿宋" w:hint="eastAsia"/>
          <w:sz w:val="28"/>
          <w:szCs w:val="28"/>
          <w:lang w:eastAsia="zh-CN"/>
        </w:rPr>
        <w:t>D</w:t>
      </w:r>
      <w:r>
        <w:rPr>
          <w:rFonts w:ascii="仿宋" w:eastAsia="仿宋" w:hAnsi="仿宋" w:cs="仿宋" w:hint="eastAsia"/>
          <w:sz w:val="28"/>
          <w:szCs w:val="28"/>
        </w:rPr>
        <w:t>=</w:t>
      </w:r>
      <w:r>
        <w:rPr>
          <w:rFonts w:ascii="仿宋" w:eastAsia="仿宋" w:hAnsi="仿宋" w:cs="仿宋" w:hint="eastAsia"/>
          <w:sz w:val="28"/>
          <w:szCs w:val="28"/>
          <w:lang w:val="en-US" w:eastAsia="zh-CN"/>
        </w:rPr>
        <w:t>-20</w:t>
      </w:r>
      <w:r>
        <w:rPr>
          <w:rFonts w:ascii="仿宋" w:eastAsia="仿宋" w:hAnsi="仿宋" w:cs="仿宋" w:hint="eastAsia"/>
          <w:color w:val="000000"/>
          <w:sz w:val="28"/>
          <w:szCs w:val="28"/>
        </w:rPr>
        <w:t>元/平方米</w:t>
      </w:r>
      <w:r>
        <w:rPr>
          <w:rFonts w:ascii="仿宋" w:eastAsia="仿宋" w:hAnsi="仿宋" w:cs="仿宋" w:hint="eastAsia"/>
          <w:sz w:val="28"/>
          <w:szCs w:val="28"/>
        </w:rPr>
        <w:t>。</w:t>
      </w:r>
    </w:p>
    <w:p w:rsidR="0054446D" w:rsidRDefault="00FB459A">
      <w:pPr>
        <w:pStyle w:val="a9"/>
        <w:spacing w:line="420" w:lineRule="exact"/>
        <w:ind w:firstLineChars="200" w:firstLine="560"/>
        <w:rPr>
          <w:rFonts w:ascii="仿宋" w:eastAsia="仿宋" w:hAnsi="仿宋" w:cs="仿宋"/>
          <w:sz w:val="28"/>
          <w:szCs w:val="28"/>
        </w:rPr>
      </w:pPr>
      <w:r>
        <w:rPr>
          <w:rFonts w:ascii="仿宋" w:eastAsia="仿宋" w:hAnsi="仿宋" w:cs="仿宋" w:hint="eastAsia"/>
          <w:sz w:val="28"/>
          <w:szCs w:val="28"/>
        </w:rPr>
        <w:t>3、基准日修正系数的确定</w:t>
      </w:r>
    </w:p>
    <w:p w:rsidR="0054446D" w:rsidRDefault="00FB459A">
      <w:pPr>
        <w:pStyle w:val="a9"/>
        <w:spacing w:line="420" w:lineRule="exact"/>
        <w:ind w:firstLineChars="200" w:firstLine="560"/>
        <w:rPr>
          <w:rFonts w:ascii="仿宋" w:eastAsia="仿宋" w:hAnsi="仿宋" w:cs="仿宋"/>
          <w:sz w:val="28"/>
          <w:szCs w:val="28"/>
        </w:rPr>
      </w:pPr>
      <w:r>
        <w:rPr>
          <w:rFonts w:ascii="仿宋" w:eastAsia="仿宋" w:hAnsi="仿宋" w:cs="仿宋" w:hint="eastAsia"/>
          <w:sz w:val="28"/>
          <w:szCs w:val="28"/>
        </w:rPr>
        <w:t>新余市基准地价基准日为2020年7月1日，而本次评估的估价基准日是2022年5月10日,根据国土资源部地价动态监测网站及新余市相关部门公布的住宅用地地价增长值约为6%，则</w:t>
      </w:r>
      <w:r>
        <w:rPr>
          <w:rFonts w:ascii="仿宋" w:eastAsia="仿宋" w:hAnsi="仿宋"/>
          <w:sz w:val="28"/>
          <w:szCs w:val="28"/>
        </w:rPr>
        <w:t>估价期日</w:t>
      </w:r>
      <w:r>
        <w:rPr>
          <w:rFonts w:ascii="仿宋" w:eastAsia="仿宋" w:hAnsi="仿宋" w:hint="eastAsia"/>
          <w:sz w:val="28"/>
          <w:szCs w:val="28"/>
        </w:rPr>
        <w:t>修正系数为1.06。</w:t>
      </w:r>
    </w:p>
    <w:p w:rsidR="0054446D" w:rsidRDefault="00FB459A">
      <w:pPr>
        <w:pStyle w:val="a9"/>
        <w:spacing w:line="420" w:lineRule="exact"/>
        <w:ind w:firstLineChars="200" w:firstLine="560"/>
        <w:rPr>
          <w:rFonts w:ascii="仿宋" w:eastAsia="仿宋" w:hAnsi="仿宋" w:cs="仿宋"/>
          <w:sz w:val="28"/>
          <w:szCs w:val="28"/>
        </w:rPr>
      </w:pPr>
      <w:r>
        <w:rPr>
          <w:rFonts w:ascii="仿宋" w:eastAsia="仿宋" w:hAnsi="仿宋" w:cs="仿宋" w:hint="eastAsia"/>
          <w:sz w:val="28"/>
          <w:szCs w:val="28"/>
        </w:rPr>
        <w:t>4、年期修正系数确定</w:t>
      </w:r>
    </w:p>
    <w:p w:rsidR="0054446D" w:rsidRDefault="00FB459A">
      <w:pPr>
        <w:pStyle w:val="a9"/>
        <w:spacing w:line="420" w:lineRule="exact"/>
        <w:ind w:firstLineChars="200" w:firstLine="560"/>
        <w:rPr>
          <w:rFonts w:ascii="仿宋" w:eastAsia="仿宋" w:hAnsi="仿宋" w:cs="仿宋"/>
          <w:sz w:val="28"/>
          <w:szCs w:val="28"/>
        </w:rPr>
      </w:pPr>
      <w:r>
        <w:rPr>
          <w:rFonts w:ascii="仿宋" w:eastAsia="仿宋" w:hAnsi="仿宋" w:cs="仿宋" w:hint="eastAsia"/>
          <w:sz w:val="28"/>
          <w:szCs w:val="28"/>
        </w:rPr>
        <w:t>（1）土地还原利率的确定：土地还原利率实质上是土地投资成本的收益率。我们</w:t>
      </w:r>
      <w:r>
        <w:rPr>
          <w:rFonts w:ascii="仿宋" w:eastAsia="仿宋" w:hAnsi="仿宋" w:cs="仿宋" w:hint="eastAsia"/>
          <w:sz w:val="28"/>
        </w:rPr>
        <w:t>根据</w:t>
      </w:r>
      <w:r>
        <w:rPr>
          <w:rFonts w:ascii="仿宋" w:eastAsia="仿宋" w:hAnsi="仿宋" w:cs="仿宋" w:hint="eastAsia"/>
          <w:kern w:val="0"/>
          <w:sz w:val="28"/>
          <w:szCs w:val="28"/>
        </w:rPr>
        <w:t>《新余市基准地价修正体系》</w:t>
      </w:r>
      <w:r>
        <w:rPr>
          <w:rFonts w:ascii="仿宋" w:eastAsia="仿宋" w:hAnsi="仿宋" w:cs="仿宋" w:hint="eastAsia"/>
          <w:sz w:val="28"/>
          <w:szCs w:val="28"/>
        </w:rPr>
        <w:t>，确定住宅用地还原率为6.0%。</w:t>
      </w:r>
    </w:p>
    <w:p w:rsidR="0054446D" w:rsidRDefault="00FB459A">
      <w:pPr>
        <w:pStyle w:val="a9"/>
        <w:spacing w:line="420" w:lineRule="exact"/>
        <w:ind w:firstLineChars="200" w:firstLine="560"/>
        <w:rPr>
          <w:rFonts w:ascii="仿宋" w:eastAsia="仿宋" w:hAnsi="仿宋" w:cs="仿宋"/>
          <w:sz w:val="28"/>
          <w:szCs w:val="28"/>
        </w:rPr>
      </w:pPr>
      <w:r>
        <w:rPr>
          <w:rFonts w:ascii="仿宋" w:eastAsia="仿宋" w:hAnsi="仿宋" w:cs="仿宋" w:hint="eastAsia"/>
          <w:sz w:val="28"/>
          <w:szCs w:val="28"/>
        </w:rPr>
        <w:t>（2）基准地价设定土地年限为住宅用地法定最高使用年限70年，而土地证</w:t>
      </w:r>
      <w:proofErr w:type="gramStart"/>
      <w:r>
        <w:rPr>
          <w:rFonts w:ascii="仿宋" w:eastAsia="仿宋" w:hAnsi="仿宋" w:cs="仿宋" w:hint="eastAsia"/>
          <w:sz w:val="28"/>
          <w:szCs w:val="28"/>
        </w:rPr>
        <w:t>载使用</w:t>
      </w:r>
      <w:proofErr w:type="gramEnd"/>
      <w:r>
        <w:rPr>
          <w:rFonts w:ascii="仿宋" w:eastAsia="仿宋" w:hAnsi="仿宋" w:cs="仿宋" w:hint="eastAsia"/>
          <w:sz w:val="28"/>
          <w:szCs w:val="28"/>
        </w:rPr>
        <w:t>日期截至</w:t>
      </w:r>
      <w:r>
        <w:rPr>
          <w:rFonts w:ascii="仿宋" w:eastAsia="仿宋" w:hAnsi="仿宋" w:cs="仿宋" w:hint="eastAsia"/>
          <w:kern w:val="0"/>
          <w:sz w:val="28"/>
          <w:szCs w:val="28"/>
        </w:rPr>
        <w:t>2080年2月17日，</w:t>
      </w:r>
      <w:r>
        <w:rPr>
          <w:rFonts w:ascii="仿宋" w:eastAsia="仿宋" w:hAnsi="仿宋" w:cs="仿宋" w:hint="eastAsia"/>
          <w:sz w:val="28"/>
          <w:szCs w:val="28"/>
        </w:rPr>
        <w:t>评估宗地设定土地使用年限为剩余使用年限57.77年。故修正系数为0.9821。</w:t>
      </w:r>
    </w:p>
    <w:p w:rsidR="0054446D" w:rsidRDefault="00FB459A">
      <w:pPr>
        <w:pStyle w:val="a9"/>
        <w:spacing w:line="420" w:lineRule="exact"/>
        <w:ind w:firstLineChars="200" w:firstLine="560"/>
        <w:rPr>
          <w:rFonts w:ascii="仿宋" w:eastAsia="仿宋" w:hAnsi="仿宋" w:cs="仿宋"/>
          <w:sz w:val="28"/>
          <w:szCs w:val="28"/>
        </w:rPr>
      </w:pPr>
      <w:r>
        <w:rPr>
          <w:rFonts w:ascii="仿宋" w:eastAsia="仿宋" w:hAnsi="仿宋" w:cs="仿宋" w:hint="eastAsia"/>
          <w:sz w:val="28"/>
          <w:szCs w:val="28"/>
        </w:rPr>
        <w:t>5、容积率修正系数的确定</w:t>
      </w:r>
    </w:p>
    <w:p w:rsidR="0054446D" w:rsidRDefault="00FB459A">
      <w:pPr>
        <w:pStyle w:val="a9"/>
        <w:spacing w:line="420" w:lineRule="exact"/>
        <w:ind w:firstLineChars="200" w:firstLine="560"/>
        <w:rPr>
          <w:rFonts w:ascii="仿宋" w:eastAsia="仿宋" w:hAnsi="仿宋" w:cs="仿宋"/>
          <w:sz w:val="28"/>
          <w:szCs w:val="28"/>
        </w:rPr>
      </w:pPr>
      <w:r>
        <w:rPr>
          <w:rFonts w:ascii="仿宋" w:eastAsia="仿宋" w:hAnsi="仿宋" w:cs="仿宋" w:hint="eastAsia"/>
          <w:sz w:val="28"/>
          <w:szCs w:val="28"/>
        </w:rPr>
        <w:t>估价对象目前暂未开发，容积率设定为2.0，基准地价内涵中住宅用地容积率为2.0,故容积率修正系数为1.0。</w:t>
      </w:r>
    </w:p>
    <w:p w:rsidR="0054446D" w:rsidRDefault="00FB459A">
      <w:pPr>
        <w:spacing w:line="360" w:lineRule="auto"/>
        <w:jc w:val="center"/>
        <w:rPr>
          <w:rFonts w:eastAsia="仿宋_GB2312"/>
          <w:b/>
          <w:sz w:val="24"/>
        </w:rPr>
      </w:pPr>
      <w:r>
        <w:rPr>
          <w:rFonts w:eastAsia="仿宋_GB2312"/>
          <w:b/>
          <w:sz w:val="24"/>
        </w:rPr>
        <w:t>住宅用地容积率修正系数表</w:t>
      </w:r>
    </w:p>
    <w:tbl>
      <w:tblPr>
        <w:tblW w:w="5000" w:type="pct"/>
        <w:tblLook w:val="04A0"/>
      </w:tblPr>
      <w:tblGrid>
        <w:gridCol w:w="1056"/>
        <w:gridCol w:w="1226"/>
        <w:gridCol w:w="1120"/>
        <w:gridCol w:w="1120"/>
        <w:gridCol w:w="1121"/>
        <w:gridCol w:w="1121"/>
        <w:gridCol w:w="1121"/>
        <w:gridCol w:w="1119"/>
      </w:tblGrid>
      <w:tr w:rsidR="0054446D">
        <w:trPr>
          <w:trHeight w:val="285"/>
        </w:trPr>
        <w:tc>
          <w:tcPr>
            <w:tcW w:w="483" w:type="pct"/>
            <w:tcBorders>
              <w:top w:val="single" w:sz="4" w:space="0" w:color="auto"/>
              <w:left w:val="single" w:sz="4" w:space="0" w:color="auto"/>
              <w:bottom w:val="single" w:sz="4" w:space="0" w:color="auto"/>
              <w:right w:val="single" w:sz="4" w:space="0" w:color="auto"/>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容积率</w:t>
            </w:r>
          </w:p>
        </w:tc>
        <w:tc>
          <w:tcPr>
            <w:tcW w:w="696" w:type="pct"/>
            <w:tcBorders>
              <w:top w:val="single" w:sz="4" w:space="0" w:color="auto"/>
              <w:left w:val="nil"/>
              <w:bottom w:val="single" w:sz="4" w:space="0" w:color="auto"/>
              <w:right w:val="single" w:sz="4" w:space="0" w:color="auto"/>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w:t>
            </w:r>
          </w:p>
        </w:tc>
        <w:tc>
          <w:tcPr>
            <w:tcW w:w="637" w:type="pct"/>
            <w:tcBorders>
              <w:top w:val="single" w:sz="4" w:space="0" w:color="auto"/>
              <w:left w:val="nil"/>
              <w:bottom w:val="single" w:sz="4" w:space="0" w:color="auto"/>
              <w:right w:val="single" w:sz="4" w:space="0" w:color="auto"/>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1.2</w:t>
            </w:r>
          </w:p>
        </w:tc>
        <w:tc>
          <w:tcPr>
            <w:tcW w:w="637" w:type="pct"/>
            <w:tcBorders>
              <w:top w:val="single" w:sz="4" w:space="0" w:color="auto"/>
              <w:left w:val="nil"/>
              <w:bottom w:val="single" w:sz="4" w:space="0" w:color="auto"/>
              <w:right w:val="single" w:sz="4" w:space="0" w:color="auto"/>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1.4</w:t>
            </w:r>
          </w:p>
        </w:tc>
        <w:tc>
          <w:tcPr>
            <w:tcW w:w="637" w:type="pct"/>
            <w:tcBorders>
              <w:top w:val="single" w:sz="4" w:space="0" w:color="auto"/>
              <w:left w:val="nil"/>
              <w:bottom w:val="single" w:sz="4" w:space="0" w:color="auto"/>
              <w:right w:val="single" w:sz="4" w:space="0" w:color="auto"/>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1.6</w:t>
            </w:r>
          </w:p>
        </w:tc>
        <w:tc>
          <w:tcPr>
            <w:tcW w:w="637" w:type="pct"/>
            <w:tcBorders>
              <w:top w:val="single" w:sz="4" w:space="0" w:color="auto"/>
              <w:left w:val="nil"/>
              <w:bottom w:val="single" w:sz="4" w:space="0" w:color="auto"/>
              <w:right w:val="single" w:sz="4" w:space="0" w:color="auto"/>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1.8</w:t>
            </w:r>
          </w:p>
        </w:tc>
        <w:tc>
          <w:tcPr>
            <w:tcW w:w="637" w:type="pct"/>
            <w:tcBorders>
              <w:top w:val="single" w:sz="4" w:space="0" w:color="auto"/>
              <w:left w:val="nil"/>
              <w:bottom w:val="single" w:sz="4" w:space="0" w:color="auto"/>
              <w:right w:val="single" w:sz="4" w:space="0" w:color="auto"/>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p>
        </w:tc>
        <w:tc>
          <w:tcPr>
            <w:tcW w:w="637" w:type="pct"/>
            <w:tcBorders>
              <w:top w:val="single" w:sz="4" w:space="0" w:color="auto"/>
              <w:left w:val="nil"/>
              <w:bottom w:val="single" w:sz="4" w:space="0" w:color="auto"/>
              <w:right w:val="single" w:sz="4" w:space="0" w:color="auto"/>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2.2</w:t>
            </w:r>
          </w:p>
        </w:tc>
      </w:tr>
      <w:tr w:rsidR="0054446D">
        <w:trPr>
          <w:trHeight w:val="285"/>
        </w:trPr>
        <w:tc>
          <w:tcPr>
            <w:tcW w:w="483" w:type="pct"/>
            <w:tcBorders>
              <w:top w:val="nil"/>
              <w:left w:val="single" w:sz="4" w:space="0" w:color="auto"/>
              <w:bottom w:val="single" w:sz="4" w:space="0" w:color="auto"/>
              <w:right w:val="single" w:sz="4" w:space="0" w:color="auto"/>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修正系数</w:t>
            </w:r>
          </w:p>
        </w:tc>
        <w:tc>
          <w:tcPr>
            <w:tcW w:w="696" w:type="pct"/>
            <w:tcBorders>
              <w:top w:val="nil"/>
              <w:left w:val="nil"/>
              <w:bottom w:val="single" w:sz="4" w:space="0" w:color="auto"/>
              <w:right w:val="single" w:sz="4" w:space="0" w:color="auto"/>
            </w:tcBorders>
            <w:noWrap/>
            <w:vAlign w:val="center"/>
          </w:tcPr>
          <w:p w:rsidR="0054446D" w:rsidRDefault="00FB459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0.6787 </w:t>
            </w:r>
          </w:p>
        </w:tc>
        <w:tc>
          <w:tcPr>
            <w:tcW w:w="637" w:type="pct"/>
            <w:tcBorders>
              <w:top w:val="nil"/>
              <w:left w:val="nil"/>
              <w:bottom w:val="single" w:sz="4" w:space="0" w:color="auto"/>
              <w:right w:val="single" w:sz="4" w:space="0" w:color="auto"/>
            </w:tcBorders>
            <w:noWrap/>
            <w:vAlign w:val="center"/>
          </w:tcPr>
          <w:p w:rsidR="0054446D" w:rsidRDefault="00FB459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0.7215 </w:t>
            </w:r>
          </w:p>
        </w:tc>
        <w:tc>
          <w:tcPr>
            <w:tcW w:w="637" w:type="pct"/>
            <w:tcBorders>
              <w:top w:val="nil"/>
              <w:left w:val="nil"/>
              <w:bottom w:val="single" w:sz="4" w:space="0" w:color="auto"/>
              <w:right w:val="single" w:sz="4" w:space="0" w:color="auto"/>
            </w:tcBorders>
            <w:noWrap/>
            <w:vAlign w:val="center"/>
          </w:tcPr>
          <w:p w:rsidR="0054446D" w:rsidRDefault="00FB459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0.7699 </w:t>
            </w:r>
          </w:p>
        </w:tc>
        <w:tc>
          <w:tcPr>
            <w:tcW w:w="637" w:type="pct"/>
            <w:tcBorders>
              <w:top w:val="nil"/>
              <w:left w:val="nil"/>
              <w:bottom w:val="single" w:sz="4" w:space="0" w:color="auto"/>
              <w:right w:val="single" w:sz="4" w:space="0" w:color="auto"/>
            </w:tcBorders>
            <w:noWrap/>
            <w:vAlign w:val="center"/>
          </w:tcPr>
          <w:p w:rsidR="0054446D" w:rsidRDefault="00FB459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0.8251 </w:t>
            </w:r>
          </w:p>
        </w:tc>
        <w:tc>
          <w:tcPr>
            <w:tcW w:w="637" w:type="pct"/>
            <w:tcBorders>
              <w:top w:val="nil"/>
              <w:left w:val="nil"/>
              <w:bottom w:val="single" w:sz="4" w:space="0" w:color="auto"/>
              <w:right w:val="single" w:sz="4" w:space="0" w:color="auto"/>
            </w:tcBorders>
            <w:noWrap/>
            <w:vAlign w:val="center"/>
          </w:tcPr>
          <w:p w:rsidR="0054446D" w:rsidRDefault="00FB459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0.8887 </w:t>
            </w:r>
          </w:p>
        </w:tc>
        <w:tc>
          <w:tcPr>
            <w:tcW w:w="637" w:type="pct"/>
            <w:tcBorders>
              <w:top w:val="nil"/>
              <w:left w:val="nil"/>
              <w:bottom w:val="single" w:sz="4" w:space="0" w:color="auto"/>
              <w:right w:val="single" w:sz="4" w:space="0" w:color="auto"/>
            </w:tcBorders>
            <w:noWrap/>
            <w:vAlign w:val="center"/>
          </w:tcPr>
          <w:p w:rsidR="0054446D" w:rsidRDefault="00FB459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1.0000 </w:t>
            </w:r>
          </w:p>
        </w:tc>
        <w:tc>
          <w:tcPr>
            <w:tcW w:w="637" w:type="pct"/>
            <w:tcBorders>
              <w:top w:val="nil"/>
              <w:left w:val="nil"/>
              <w:bottom w:val="single" w:sz="4" w:space="0" w:color="auto"/>
              <w:right w:val="single" w:sz="4" w:space="0" w:color="auto"/>
            </w:tcBorders>
            <w:noWrap/>
            <w:vAlign w:val="center"/>
          </w:tcPr>
          <w:p w:rsidR="0054446D" w:rsidRDefault="00FB459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1.0498 </w:t>
            </w:r>
          </w:p>
        </w:tc>
      </w:tr>
      <w:tr w:rsidR="0054446D">
        <w:trPr>
          <w:trHeight w:val="285"/>
        </w:trPr>
        <w:tc>
          <w:tcPr>
            <w:tcW w:w="483" w:type="pct"/>
            <w:tcBorders>
              <w:top w:val="nil"/>
              <w:left w:val="single" w:sz="4" w:space="0" w:color="auto"/>
              <w:bottom w:val="single" w:sz="4" w:space="0" w:color="auto"/>
              <w:right w:val="single" w:sz="4" w:space="0" w:color="auto"/>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容积率</w:t>
            </w:r>
          </w:p>
        </w:tc>
        <w:tc>
          <w:tcPr>
            <w:tcW w:w="696" w:type="pct"/>
            <w:tcBorders>
              <w:top w:val="nil"/>
              <w:left w:val="nil"/>
              <w:bottom w:val="single" w:sz="4" w:space="0" w:color="auto"/>
              <w:right w:val="single" w:sz="4" w:space="0" w:color="auto"/>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2.4</w:t>
            </w:r>
          </w:p>
        </w:tc>
        <w:tc>
          <w:tcPr>
            <w:tcW w:w="637" w:type="pct"/>
            <w:tcBorders>
              <w:top w:val="nil"/>
              <w:left w:val="nil"/>
              <w:bottom w:val="single" w:sz="4" w:space="0" w:color="auto"/>
              <w:right w:val="single" w:sz="4" w:space="0" w:color="auto"/>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2.6</w:t>
            </w:r>
          </w:p>
        </w:tc>
        <w:tc>
          <w:tcPr>
            <w:tcW w:w="637" w:type="pct"/>
            <w:tcBorders>
              <w:top w:val="nil"/>
              <w:left w:val="nil"/>
              <w:bottom w:val="single" w:sz="4" w:space="0" w:color="auto"/>
              <w:right w:val="single" w:sz="4" w:space="0" w:color="auto"/>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2.8</w:t>
            </w:r>
          </w:p>
        </w:tc>
        <w:tc>
          <w:tcPr>
            <w:tcW w:w="637" w:type="pct"/>
            <w:tcBorders>
              <w:top w:val="nil"/>
              <w:left w:val="nil"/>
              <w:bottom w:val="single" w:sz="4" w:space="0" w:color="auto"/>
              <w:right w:val="single" w:sz="4" w:space="0" w:color="auto"/>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w:t>
            </w:r>
          </w:p>
        </w:tc>
        <w:tc>
          <w:tcPr>
            <w:tcW w:w="637" w:type="pct"/>
            <w:tcBorders>
              <w:top w:val="nil"/>
              <w:left w:val="nil"/>
              <w:bottom w:val="single" w:sz="4" w:space="0" w:color="auto"/>
              <w:right w:val="single" w:sz="4" w:space="0" w:color="auto"/>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3.2</w:t>
            </w:r>
          </w:p>
        </w:tc>
        <w:tc>
          <w:tcPr>
            <w:tcW w:w="637" w:type="pct"/>
            <w:tcBorders>
              <w:top w:val="nil"/>
              <w:left w:val="nil"/>
              <w:bottom w:val="single" w:sz="4" w:space="0" w:color="auto"/>
              <w:right w:val="single" w:sz="4" w:space="0" w:color="auto"/>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3.4</w:t>
            </w:r>
          </w:p>
        </w:tc>
        <w:tc>
          <w:tcPr>
            <w:tcW w:w="637" w:type="pct"/>
            <w:tcBorders>
              <w:top w:val="nil"/>
              <w:left w:val="nil"/>
              <w:bottom w:val="single" w:sz="4" w:space="0" w:color="auto"/>
              <w:right w:val="single" w:sz="4" w:space="0" w:color="auto"/>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≥3.6</w:t>
            </w:r>
          </w:p>
        </w:tc>
      </w:tr>
      <w:tr w:rsidR="0054446D">
        <w:trPr>
          <w:trHeight w:val="285"/>
        </w:trPr>
        <w:tc>
          <w:tcPr>
            <w:tcW w:w="483" w:type="pct"/>
            <w:tcBorders>
              <w:top w:val="nil"/>
              <w:left w:val="single" w:sz="4" w:space="0" w:color="auto"/>
              <w:bottom w:val="single" w:sz="4" w:space="0" w:color="auto"/>
              <w:right w:val="single" w:sz="4" w:space="0" w:color="auto"/>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修正系数</w:t>
            </w:r>
          </w:p>
        </w:tc>
        <w:tc>
          <w:tcPr>
            <w:tcW w:w="696" w:type="pct"/>
            <w:tcBorders>
              <w:top w:val="nil"/>
              <w:left w:val="nil"/>
              <w:bottom w:val="single" w:sz="4" w:space="0" w:color="auto"/>
              <w:right w:val="single" w:sz="4" w:space="0" w:color="auto"/>
            </w:tcBorders>
            <w:noWrap/>
            <w:vAlign w:val="center"/>
          </w:tcPr>
          <w:p w:rsidR="0054446D" w:rsidRDefault="00FB459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1.1540 </w:t>
            </w:r>
          </w:p>
        </w:tc>
        <w:tc>
          <w:tcPr>
            <w:tcW w:w="637" w:type="pct"/>
            <w:tcBorders>
              <w:top w:val="nil"/>
              <w:left w:val="nil"/>
              <w:bottom w:val="single" w:sz="4" w:space="0" w:color="auto"/>
              <w:right w:val="single" w:sz="4" w:space="0" w:color="auto"/>
            </w:tcBorders>
            <w:noWrap/>
            <w:vAlign w:val="center"/>
          </w:tcPr>
          <w:p w:rsidR="0054446D" w:rsidRDefault="00FB459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1.2807 </w:t>
            </w:r>
          </w:p>
        </w:tc>
        <w:tc>
          <w:tcPr>
            <w:tcW w:w="637" w:type="pct"/>
            <w:tcBorders>
              <w:top w:val="nil"/>
              <w:left w:val="nil"/>
              <w:bottom w:val="single" w:sz="4" w:space="0" w:color="auto"/>
              <w:right w:val="single" w:sz="4" w:space="0" w:color="auto"/>
            </w:tcBorders>
            <w:noWrap/>
            <w:vAlign w:val="center"/>
          </w:tcPr>
          <w:p w:rsidR="0054446D" w:rsidRDefault="00FB459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1.4382 </w:t>
            </w:r>
          </w:p>
        </w:tc>
        <w:tc>
          <w:tcPr>
            <w:tcW w:w="637" w:type="pct"/>
            <w:tcBorders>
              <w:top w:val="nil"/>
              <w:left w:val="nil"/>
              <w:bottom w:val="single" w:sz="4" w:space="0" w:color="auto"/>
              <w:right w:val="single" w:sz="4" w:space="0" w:color="auto"/>
            </w:tcBorders>
            <w:noWrap/>
            <w:vAlign w:val="center"/>
          </w:tcPr>
          <w:p w:rsidR="0054446D" w:rsidRDefault="00FB459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1.6393 </w:t>
            </w:r>
          </w:p>
        </w:tc>
        <w:tc>
          <w:tcPr>
            <w:tcW w:w="637" w:type="pct"/>
            <w:tcBorders>
              <w:top w:val="nil"/>
              <w:left w:val="nil"/>
              <w:bottom w:val="single" w:sz="4" w:space="0" w:color="auto"/>
              <w:right w:val="single" w:sz="4" w:space="0" w:color="auto"/>
            </w:tcBorders>
            <w:noWrap/>
            <w:vAlign w:val="center"/>
          </w:tcPr>
          <w:p w:rsidR="0054446D" w:rsidRDefault="00FB459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1.9050 </w:t>
            </w:r>
          </w:p>
        </w:tc>
        <w:tc>
          <w:tcPr>
            <w:tcW w:w="637" w:type="pct"/>
            <w:tcBorders>
              <w:top w:val="nil"/>
              <w:left w:val="nil"/>
              <w:bottom w:val="single" w:sz="4" w:space="0" w:color="auto"/>
              <w:right w:val="single" w:sz="4" w:space="0" w:color="auto"/>
            </w:tcBorders>
            <w:noWrap/>
            <w:vAlign w:val="center"/>
          </w:tcPr>
          <w:p w:rsidR="0054446D" w:rsidRDefault="00FB459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2.2722 </w:t>
            </w:r>
          </w:p>
        </w:tc>
        <w:tc>
          <w:tcPr>
            <w:tcW w:w="637" w:type="pct"/>
            <w:tcBorders>
              <w:top w:val="nil"/>
              <w:left w:val="nil"/>
              <w:bottom w:val="single" w:sz="4" w:space="0" w:color="auto"/>
              <w:right w:val="single" w:sz="4" w:space="0" w:color="auto"/>
            </w:tcBorders>
            <w:noWrap/>
            <w:vAlign w:val="center"/>
          </w:tcPr>
          <w:p w:rsidR="0054446D" w:rsidRDefault="00FB459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2.8129 </w:t>
            </w:r>
          </w:p>
        </w:tc>
      </w:tr>
    </w:tbl>
    <w:p w:rsidR="0054446D" w:rsidRDefault="00FB459A">
      <w:pPr>
        <w:pStyle w:val="a9"/>
        <w:spacing w:line="420" w:lineRule="exact"/>
        <w:ind w:firstLineChars="200" w:firstLine="560"/>
        <w:rPr>
          <w:rFonts w:ascii="仿宋" w:eastAsia="仿宋" w:hAnsi="仿宋" w:cs="仿宋"/>
          <w:sz w:val="28"/>
          <w:szCs w:val="28"/>
        </w:rPr>
      </w:pPr>
      <w:r>
        <w:rPr>
          <w:rFonts w:ascii="仿宋" w:eastAsia="仿宋" w:hAnsi="仿宋" w:cs="仿宋" w:hint="eastAsia"/>
          <w:sz w:val="28"/>
          <w:szCs w:val="28"/>
        </w:rPr>
        <w:t>6、区域因素修正系数的确定</w:t>
      </w:r>
    </w:p>
    <w:p w:rsidR="0054446D" w:rsidRPr="00CE560F" w:rsidRDefault="00FB459A">
      <w:pPr>
        <w:pStyle w:val="af"/>
        <w:spacing w:before="0" w:after="0"/>
        <w:ind w:left="0" w:firstLineChars="100" w:firstLine="280"/>
        <w:jc w:val="both"/>
        <w:rPr>
          <w:rFonts w:ascii="仿宋" w:eastAsia="仿宋" w:hAnsi="仿宋" w:cs="仿宋"/>
          <w:sz w:val="28"/>
          <w:szCs w:val="28"/>
        </w:rPr>
      </w:pPr>
      <w:r w:rsidRPr="00CE560F">
        <w:rPr>
          <w:rFonts w:ascii="仿宋" w:eastAsia="仿宋" w:hAnsi="仿宋" w:cs="仿宋" w:hint="eastAsia"/>
          <w:sz w:val="28"/>
          <w:szCs w:val="28"/>
        </w:rPr>
        <w:t>根据Ⅲ</w:t>
      </w:r>
      <w:proofErr w:type="gramStart"/>
      <w:r w:rsidRPr="00CE560F">
        <w:rPr>
          <w:rFonts w:ascii="仿宋" w:eastAsia="仿宋" w:hAnsi="仿宋" w:cs="仿宋"/>
          <w:sz w:val="28"/>
          <w:szCs w:val="28"/>
        </w:rPr>
        <w:t>级住宅</w:t>
      </w:r>
      <w:proofErr w:type="gramEnd"/>
      <w:r w:rsidRPr="00CE560F">
        <w:rPr>
          <w:rFonts w:ascii="仿宋" w:eastAsia="仿宋" w:hAnsi="仿宋" w:cs="仿宋"/>
          <w:sz w:val="28"/>
          <w:szCs w:val="28"/>
        </w:rPr>
        <w:t>用地宗地地价影响因素修正系数表</w:t>
      </w:r>
      <w:r w:rsidRPr="00CE560F">
        <w:rPr>
          <w:rFonts w:ascii="仿宋" w:eastAsia="仿宋" w:hAnsi="仿宋" w:cs="仿宋" w:hint="eastAsia"/>
          <w:sz w:val="28"/>
          <w:szCs w:val="28"/>
        </w:rPr>
        <w:t>和Ⅲ</w:t>
      </w:r>
      <w:proofErr w:type="gramStart"/>
      <w:r w:rsidRPr="00CE560F">
        <w:rPr>
          <w:rFonts w:ascii="仿宋" w:eastAsia="仿宋" w:hAnsi="仿宋" w:cs="仿宋"/>
          <w:sz w:val="28"/>
          <w:szCs w:val="28"/>
        </w:rPr>
        <w:t>级住宅</w:t>
      </w:r>
      <w:proofErr w:type="gramEnd"/>
      <w:r w:rsidRPr="00CE560F">
        <w:rPr>
          <w:rFonts w:ascii="仿宋" w:eastAsia="仿宋" w:hAnsi="仿宋" w:cs="仿宋"/>
          <w:sz w:val="28"/>
          <w:szCs w:val="28"/>
        </w:rPr>
        <w:t>用地宗地地价影响因素修正系数指标说明表</w:t>
      </w:r>
      <w:r w:rsidRPr="00CE560F">
        <w:rPr>
          <w:rFonts w:ascii="仿宋" w:eastAsia="仿宋" w:hAnsi="仿宋" w:cs="仿宋" w:hint="eastAsia"/>
          <w:sz w:val="28"/>
          <w:szCs w:val="28"/>
        </w:rPr>
        <w:t>得评估宗地地价区域因素修正系数,故Ki=1.</w:t>
      </w:r>
      <w:r w:rsidR="000D26D2" w:rsidRPr="00CE560F">
        <w:rPr>
          <w:rFonts w:ascii="仿宋" w:eastAsia="仿宋" w:hAnsi="仿宋" w:cs="仿宋" w:hint="eastAsia"/>
          <w:sz w:val="28"/>
          <w:szCs w:val="28"/>
        </w:rPr>
        <w:t>0908</w:t>
      </w:r>
      <w:r w:rsidRPr="00CE560F">
        <w:rPr>
          <w:rFonts w:ascii="仿宋" w:eastAsia="仿宋" w:hAnsi="仿宋" w:cs="仿宋" w:hint="eastAsia"/>
          <w:sz w:val="28"/>
          <w:szCs w:val="28"/>
        </w:rPr>
        <w:t>。</w:t>
      </w:r>
    </w:p>
    <w:p w:rsidR="0054446D" w:rsidRDefault="00FB459A">
      <w:pPr>
        <w:jc w:val="center"/>
      </w:pPr>
      <w:r>
        <w:rPr>
          <w:rFonts w:ascii="仿宋" w:eastAsia="仿宋" w:hAnsi="仿宋" w:cs="仿宋" w:hint="eastAsia"/>
          <w:sz w:val="28"/>
          <w:szCs w:val="28"/>
        </w:rPr>
        <w:t>Ⅲ</w:t>
      </w:r>
      <w:proofErr w:type="gramStart"/>
      <w:r>
        <w:rPr>
          <w:rFonts w:ascii="仿宋" w:eastAsia="仿宋" w:hAnsi="仿宋" w:cs="仿宋"/>
          <w:sz w:val="28"/>
          <w:szCs w:val="28"/>
        </w:rPr>
        <w:t>级住宅</w:t>
      </w:r>
      <w:proofErr w:type="gramEnd"/>
      <w:r>
        <w:rPr>
          <w:rFonts w:ascii="仿宋" w:eastAsia="仿宋" w:hAnsi="仿宋" w:cs="仿宋"/>
          <w:sz w:val="28"/>
          <w:szCs w:val="28"/>
        </w:rPr>
        <w:t>用地宗地地价影响因素修正系数指标说明表</w:t>
      </w:r>
    </w:p>
    <w:tbl>
      <w:tblPr>
        <w:tblW w:w="5000" w:type="pct"/>
        <w:tblLook w:val="04A0"/>
      </w:tblPr>
      <w:tblGrid>
        <w:gridCol w:w="458"/>
        <w:gridCol w:w="458"/>
        <w:gridCol w:w="638"/>
        <w:gridCol w:w="819"/>
        <w:gridCol w:w="1242"/>
        <w:gridCol w:w="1302"/>
        <w:gridCol w:w="1302"/>
        <w:gridCol w:w="1362"/>
        <w:gridCol w:w="1423"/>
      </w:tblGrid>
      <w:tr w:rsidR="0054446D">
        <w:trPr>
          <w:trHeight w:val="285"/>
        </w:trPr>
        <w:tc>
          <w:tcPr>
            <w:tcW w:w="509" w:type="pct"/>
            <w:gridSpan w:val="2"/>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因素</w:t>
            </w:r>
          </w:p>
        </w:tc>
        <w:tc>
          <w:tcPr>
            <w:tcW w:w="809" w:type="pct"/>
            <w:gridSpan w:val="2"/>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因子</w:t>
            </w:r>
          </w:p>
        </w:tc>
        <w:tc>
          <w:tcPr>
            <w:tcW w:w="6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优</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较优</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一般</w:t>
            </w:r>
          </w:p>
        </w:tc>
        <w:tc>
          <w:tcPr>
            <w:tcW w:w="7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较劣</w:t>
            </w:r>
          </w:p>
        </w:tc>
        <w:tc>
          <w:tcPr>
            <w:tcW w:w="7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劣</w:t>
            </w:r>
          </w:p>
        </w:tc>
      </w:tr>
      <w:tr w:rsidR="0054446D">
        <w:trPr>
          <w:trHeight w:val="285"/>
        </w:trPr>
        <w:tc>
          <w:tcPr>
            <w:tcW w:w="254" w:type="pct"/>
            <w:vMerge w:val="restar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区域因素</w:t>
            </w:r>
          </w:p>
        </w:tc>
        <w:tc>
          <w:tcPr>
            <w:tcW w:w="254" w:type="pct"/>
            <w:vMerge w:val="restar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基本设施</w:t>
            </w:r>
          </w:p>
        </w:tc>
        <w:tc>
          <w:tcPr>
            <w:tcW w:w="809" w:type="pct"/>
            <w:gridSpan w:val="2"/>
            <w:vMerge w:val="restar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基础设施完善度</w:t>
            </w:r>
          </w:p>
        </w:tc>
        <w:tc>
          <w:tcPr>
            <w:tcW w:w="690" w:type="pct"/>
            <w:vMerge w:val="restar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水、电等基础设施配套完善，保证率高</w:t>
            </w:r>
          </w:p>
        </w:tc>
        <w:tc>
          <w:tcPr>
            <w:tcW w:w="723" w:type="pct"/>
            <w:vMerge w:val="restar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水、电等基础设施配套完善，保证率较高</w:t>
            </w:r>
          </w:p>
        </w:tc>
        <w:tc>
          <w:tcPr>
            <w:tcW w:w="723" w:type="pct"/>
            <w:vMerge w:val="restar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水、电等基础设施配套较完善，保证率高</w:t>
            </w:r>
          </w:p>
        </w:tc>
        <w:tc>
          <w:tcPr>
            <w:tcW w:w="756" w:type="pct"/>
            <w:vMerge w:val="restar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水、电等基础设施配套较完善，保证率较高</w:t>
            </w:r>
          </w:p>
        </w:tc>
        <w:tc>
          <w:tcPr>
            <w:tcW w:w="790" w:type="pct"/>
            <w:vMerge w:val="restar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水、电等基础设施配套较完善，保证率一般</w:t>
            </w:r>
          </w:p>
        </w:tc>
      </w:tr>
      <w:tr w:rsidR="0054446D">
        <w:trPr>
          <w:trHeight w:val="285"/>
        </w:trPr>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809" w:type="pct"/>
            <w:gridSpan w:val="2"/>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690"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723"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723"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756"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790"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r>
      <w:tr w:rsidR="0054446D">
        <w:trPr>
          <w:trHeight w:val="450"/>
        </w:trPr>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354" w:type="pct"/>
            <w:vMerge w:val="restar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公用设施完备度</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大中专（米）</w:t>
            </w:r>
          </w:p>
        </w:tc>
        <w:tc>
          <w:tcPr>
            <w:tcW w:w="6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&lt;1600</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1600-3200</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3200-4800</w:t>
            </w:r>
          </w:p>
        </w:tc>
        <w:tc>
          <w:tcPr>
            <w:tcW w:w="7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4800-6400</w:t>
            </w:r>
          </w:p>
        </w:tc>
        <w:tc>
          <w:tcPr>
            <w:tcW w:w="7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&gt;6400</w:t>
            </w:r>
          </w:p>
        </w:tc>
      </w:tr>
      <w:tr w:rsidR="0054446D">
        <w:trPr>
          <w:trHeight w:val="285"/>
        </w:trPr>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3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中学（米）</w:t>
            </w:r>
          </w:p>
        </w:tc>
        <w:tc>
          <w:tcPr>
            <w:tcW w:w="6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&lt;2320</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2320-3240</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3240-4160</w:t>
            </w:r>
          </w:p>
        </w:tc>
        <w:tc>
          <w:tcPr>
            <w:tcW w:w="7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4160-5080</w:t>
            </w:r>
          </w:p>
        </w:tc>
        <w:tc>
          <w:tcPr>
            <w:tcW w:w="7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&gt;5080</w:t>
            </w:r>
          </w:p>
        </w:tc>
      </w:tr>
      <w:tr w:rsidR="0054446D">
        <w:trPr>
          <w:trHeight w:val="285"/>
        </w:trPr>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3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小学（米）</w:t>
            </w:r>
          </w:p>
        </w:tc>
        <w:tc>
          <w:tcPr>
            <w:tcW w:w="6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&lt;1960</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1960-2720</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2720-3480</w:t>
            </w:r>
          </w:p>
        </w:tc>
        <w:tc>
          <w:tcPr>
            <w:tcW w:w="7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3480-4240</w:t>
            </w:r>
          </w:p>
        </w:tc>
        <w:tc>
          <w:tcPr>
            <w:tcW w:w="7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&gt;4240</w:t>
            </w:r>
          </w:p>
        </w:tc>
      </w:tr>
      <w:tr w:rsidR="0054446D">
        <w:trPr>
          <w:trHeight w:val="450"/>
        </w:trPr>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3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幼儿园（米）</w:t>
            </w:r>
          </w:p>
        </w:tc>
        <w:tc>
          <w:tcPr>
            <w:tcW w:w="6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&lt;1600</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1600-2200</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2200-2800</w:t>
            </w:r>
          </w:p>
        </w:tc>
        <w:tc>
          <w:tcPr>
            <w:tcW w:w="7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2800-3400</w:t>
            </w:r>
          </w:p>
        </w:tc>
        <w:tc>
          <w:tcPr>
            <w:tcW w:w="7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&gt;3400</w:t>
            </w:r>
          </w:p>
        </w:tc>
      </w:tr>
      <w:tr w:rsidR="0054446D">
        <w:trPr>
          <w:trHeight w:val="285"/>
        </w:trPr>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3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医院（米）</w:t>
            </w:r>
          </w:p>
        </w:tc>
        <w:tc>
          <w:tcPr>
            <w:tcW w:w="6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&lt;2720</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2720-3540</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3540-4360</w:t>
            </w:r>
          </w:p>
        </w:tc>
        <w:tc>
          <w:tcPr>
            <w:tcW w:w="7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4360-5180</w:t>
            </w:r>
          </w:p>
        </w:tc>
        <w:tc>
          <w:tcPr>
            <w:tcW w:w="7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&gt;5180</w:t>
            </w:r>
          </w:p>
        </w:tc>
      </w:tr>
      <w:tr w:rsidR="0054446D">
        <w:trPr>
          <w:trHeight w:val="450"/>
        </w:trPr>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3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农贸市场（米）</w:t>
            </w:r>
          </w:p>
        </w:tc>
        <w:tc>
          <w:tcPr>
            <w:tcW w:w="6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&lt;2320</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2320-3240</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3240-4160</w:t>
            </w:r>
          </w:p>
        </w:tc>
        <w:tc>
          <w:tcPr>
            <w:tcW w:w="7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4160-5080</w:t>
            </w:r>
          </w:p>
        </w:tc>
        <w:tc>
          <w:tcPr>
            <w:tcW w:w="7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&gt;5080</w:t>
            </w:r>
          </w:p>
        </w:tc>
      </w:tr>
      <w:tr w:rsidR="0054446D">
        <w:trPr>
          <w:trHeight w:val="450"/>
        </w:trPr>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3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体育场（米）</w:t>
            </w:r>
          </w:p>
        </w:tc>
        <w:tc>
          <w:tcPr>
            <w:tcW w:w="6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&lt;1720</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1720-3040</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3040-4360</w:t>
            </w:r>
          </w:p>
        </w:tc>
        <w:tc>
          <w:tcPr>
            <w:tcW w:w="7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4360-5680</w:t>
            </w:r>
          </w:p>
        </w:tc>
        <w:tc>
          <w:tcPr>
            <w:tcW w:w="7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&gt;5680</w:t>
            </w:r>
          </w:p>
        </w:tc>
      </w:tr>
      <w:tr w:rsidR="0054446D">
        <w:trPr>
          <w:trHeight w:val="450"/>
        </w:trPr>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3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影剧院（米）</w:t>
            </w:r>
          </w:p>
        </w:tc>
        <w:tc>
          <w:tcPr>
            <w:tcW w:w="6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&lt;2660</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2660-3620</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3620-4580</w:t>
            </w:r>
          </w:p>
        </w:tc>
        <w:tc>
          <w:tcPr>
            <w:tcW w:w="7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4580-5540</w:t>
            </w:r>
          </w:p>
        </w:tc>
        <w:tc>
          <w:tcPr>
            <w:tcW w:w="7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&gt;5540</w:t>
            </w:r>
          </w:p>
        </w:tc>
      </w:tr>
      <w:tr w:rsidR="0054446D">
        <w:trPr>
          <w:trHeight w:val="450"/>
        </w:trPr>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3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文化馆（米）</w:t>
            </w:r>
          </w:p>
        </w:tc>
        <w:tc>
          <w:tcPr>
            <w:tcW w:w="6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&lt;1840</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1840-2680</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2680-3520</w:t>
            </w:r>
          </w:p>
        </w:tc>
        <w:tc>
          <w:tcPr>
            <w:tcW w:w="7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3520-4360</w:t>
            </w:r>
          </w:p>
        </w:tc>
        <w:tc>
          <w:tcPr>
            <w:tcW w:w="7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&gt;4360</w:t>
            </w:r>
          </w:p>
        </w:tc>
      </w:tr>
      <w:tr w:rsidR="0054446D">
        <w:trPr>
          <w:trHeight w:val="450"/>
        </w:trPr>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3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公园广场（米）</w:t>
            </w:r>
          </w:p>
        </w:tc>
        <w:tc>
          <w:tcPr>
            <w:tcW w:w="6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&lt;2800</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2800-3700</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3700-4600</w:t>
            </w:r>
          </w:p>
        </w:tc>
        <w:tc>
          <w:tcPr>
            <w:tcW w:w="7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4600-5500</w:t>
            </w:r>
          </w:p>
        </w:tc>
        <w:tc>
          <w:tcPr>
            <w:tcW w:w="7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&gt;5500</w:t>
            </w:r>
          </w:p>
        </w:tc>
      </w:tr>
      <w:tr w:rsidR="0054446D">
        <w:trPr>
          <w:trHeight w:val="570"/>
        </w:trPr>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3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物流速递（米）</w:t>
            </w:r>
          </w:p>
        </w:tc>
        <w:tc>
          <w:tcPr>
            <w:tcW w:w="6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&lt;2720</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2720-3540</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3540-4360</w:t>
            </w:r>
          </w:p>
        </w:tc>
        <w:tc>
          <w:tcPr>
            <w:tcW w:w="7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4360-5180</w:t>
            </w:r>
          </w:p>
        </w:tc>
        <w:tc>
          <w:tcPr>
            <w:tcW w:w="7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&gt;5180</w:t>
            </w:r>
          </w:p>
        </w:tc>
      </w:tr>
      <w:tr w:rsidR="0054446D">
        <w:trPr>
          <w:trHeight w:val="450"/>
        </w:trPr>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254" w:type="pct"/>
            <w:vMerge w:val="restar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交通条件</w:t>
            </w:r>
          </w:p>
        </w:tc>
        <w:tc>
          <w:tcPr>
            <w:tcW w:w="809" w:type="pct"/>
            <w:gridSpan w:val="2"/>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道路类型</w:t>
            </w:r>
          </w:p>
        </w:tc>
        <w:tc>
          <w:tcPr>
            <w:tcW w:w="6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生活型主干道</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混合型主干道</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交通型主干道或生活型次干道</w:t>
            </w:r>
          </w:p>
        </w:tc>
        <w:tc>
          <w:tcPr>
            <w:tcW w:w="7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交通型次干道</w:t>
            </w:r>
          </w:p>
        </w:tc>
        <w:tc>
          <w:tcPr>
            <w:tcW w:w="7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支路</w:t>
            </w:r>
          </w:p>
        </w:tc>
      </w:tr>
      <w:tr w:rsidR="0054446D">
        <w:trPr>
          <w:trHeight w:val="285"/>
        </w:trPr>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809" w:type="pct"/>
            <w:gridSpan w:val="2"/>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距离公交车距离（米）</w:t>
            </w:r>
          </w:p>
        </w:tc>
        <w:tc>
          <w:tcPr>
            <w:tcW w:w="6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&lt;100</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100-200</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200-300</w:t>
            </w:r>
          </w:p>
        </w:tc>
        <w:tc>
          <w:tcPr>
            <w:tcW w:w="7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300-400</w:t>
            </w:r>
          </w:p>
        </w:tc>
        <w:tc>
          <w:tcPr>
            <w:tcW w:w="7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&gt;400</w:t>
            </w:r>
          </w:p>
        </w:tc>
      </w:tr>
      <w:tr w:rsidR="0054446D">
        <w:trPr>
          <w:trHeight w:val="450"/>
        </w:trPr>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354" w:type="pct"/>
            <w:vMerge w:val="restar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对外交通便利度</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距汽车站距离（米）</w:t>
            </w:r>
          </w:p>
        </w:tc>
        <w:tc>
          <w:tcPr>
            <w:tcW w:w="6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&lt;1400</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1400-2800</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2800-4200</w:t>
            </w:r>
          </w:p>
        </w:tc>
        <w:tc>
          <w:tcPr>
            <w:tcW w:w="7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4200-5600</w:t>
            </w:r>
          </w:p>
        </w:tc>
        <w:tc>
          <w:tcPr>
            <w:tcW w:w="7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&gt;5600</w:t>
            </w:r>
          </w:p>
        </w:tc>
      </w:tr>
      <w:tr w:rsidR="0054446D">
        <w:trPr>
          <w:trHeight w:val="450"/>
        </w:trPr>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3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距火车站距离（米）</w:t>
            </w:r>
          </w:p>
        </w:tc>
        <w:tc>
          <w:tcPr>
            <w:tcW w:w="6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&lt;3000</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3000-6000</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6000-9000</w:t>
            </w:r>
          </w:p>
        </w:tc>
        <w:tc>
          <w:tcPr>
            <w:tcW w:w="7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9000-12000</w:t>
            </w:r>
          </w:p>
        </w:tc>
        <w:tc>
          <w:tcPr>
            <w:tcW w:w="7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&gt;12000</w:t>
            </w:r>
          </w:p>
        </w:tc>
      </w:tr>
      <w:tr w:rsidR="0054446D">
        <w:trPr>
          <w:trHeight w:val="450"/>
        </w:trPr>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3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距高速路口距离（米）</w:t>
            </w:r>
          </w:p>
        </w:tc>
        <w:tc>
          <w:tcPr>
            <w:tcW w:w="6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&lt;2060</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2060-3620</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3620-5180</w:t>
            </w:r>
          </w:p>
        </w:tc>
        <w:tc>
          <w:tcPr>
            <w:tcW w:w="7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5180-6740</w:t>
            </w:r>
          </w:p>
        </w:tc>
        <w:tc>
          <w:tcPr>
            <w:tcW w:w="7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&gt;6740</w:t>
            </w:r>
          </w:p>
        </w:tc>
      </w:tr>
      <w:tr w:rsidR="0054446D">
        <w:trPr>
          <w:trHeight w:val="450"/>
        </w:trPr>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254" w:type="pct"/>
            <w:vMerge w:val="restar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环境状况</w:t>
            </w:r>
          </w:p>
        </w:tc>
        <w:tc>
          <w:tcPr>
            <w:tcW w:w="809" w:type="pct"/>
            <w:gridSpan w:val="2"/>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环境质量优劣度</w:t>
            </w:r>
          </w:p>
        </w:tc>
        <w:tc>
          <w:tcPr>
            <w:tcW w:w="6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好</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一般</w:t>
            </w:r>
          </w:p>
        </w:tc>
        <w:tc>
          <w:tcPr>
            <w:tcW w:w="7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7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劣</w:t>
            </w:r>
          </w:p>
        </w:tc>
      </w:tr>
      <w:tr w:rsidR="0054446D">
        <w:trPr>
          <w:trHeight w:val="285"/>
        </w:trPr>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809" w:type="pct"/>
            <w:gridSpan w:val="2"/>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绿地覆盖度</w:t>
            </w:r>
          </w:p>
        </w:tc>
        <w:tc>
          <w:tcPr>
            <w:tcW w:w="6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好</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一般</w:t>
            </w:r>
          </w:p>
        </w:tc>
        <w:tc>
          <w:tcPr>
            <w:tcW w:w="7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7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劣</w:t>
            </w:r>
          </w:p>
        </w:tc>
      </w:tr>
      <w:tr w:rsidR="0054446D">
        <w:trPr>
          <w:trHeight w:val="285"/>
        </w:trPr>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809" w:type="pct"/>
            <w:gridSpan w:val="2"/>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工程地质条件</w:t>
            </w:r>
          </w:p>
        </w:tc>
        <w:tc>
          <w:tcPr>
            <w:tcW w:w="6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稳定</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较稳定</w:t>
            </w:r>
          </w:p>
        </w:tc>
        <w:tc>
          <w:tcPr>
            <w:tcW w:w="7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7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一般</w:t>
            </w:r>
          </w:p>
        </w:tc>
      </w:tr>
      <w:tr w:rsidR="0054446D">
        <w:trPr>
          <w:trHeight w:val="285"/>
        </w:trPr>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254" w:type="pct"/>
            <w:vMerge w:val="restar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人口状况</w:t>
            </w:r>
          </w:p>
        </w:tc>
        <w:tc>
          <w:tcPr>
            <w:tcW w:w="809" w:type="pct"/>
            <w:gridSpan w:val="2"/>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常住人口密度</w:t>
            </w:r>
          </w:p>
        </w:tc>
        <w:tc>
          <w:tcPr>
            <w:tcW w:w="6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高</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较高</w:t>
            </w:r>
          </w:p>
        </w:tc>
        <w:tc>
          <w:tcPr>
            <w:tcW w:w="7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7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一般</w:t>
            </w:r>
          </w:p>
        </w:tc>
      </w:tr>
      <w:tr w:rsidR="0054446D">
        <w:trPr>
          <w:trHeight w:val="285"/>
        </w:trPr>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809" w:type="pct"/>
            <w:gridSpan w:val="2"/>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流动人口密度</w:t>
            </w:r>
          </w:p>
        </w:tc>
        <w:tc>
          <w:tcPr>
            <w:tcW w:w="6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高</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较高</w:t>
            </w:r>
          </w:p>
        </w:tc>
        <w:tc>
          <w:tcPr>
            <w:tcW w:w="7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7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一般</w:t>
            </w:r>
          </w:p>
        </w:tc>
      </w:tr>
      <w:tr w:rsidR="0054446D">
        <w:trPr>
          <w:trHeight w:val="285"/>
        </w:trPr>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254" w:type="pct"/>
            <w:vMerge w:val="restar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繁华程度</w:t>
            </w:r>
          </w:p>
        </w:tc>
        <w:tc>
          <w:tcPr>
            <w:tcW w:w="809" w:type="pct"/>
            <w:gridSpan w:val="2"/>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距一级商</w:t>
            </w:r>
            <w:proofErr w:type="gramStart"/>
            <w:r>
              <w:rPr>
                <w:rFonts w:ascii="仿宋_GB2312" w:eastAsia="仿宋_GB2312" w:hAnsi="宋体" w:cs="宋体" w:hint="eastAsia"/>
                <w:color w:val="000000"/>
                <w:kern w:val="0"/>
                <w:szCs w:val="21"/>
              </w:rPr>
              <w:t>服中心</w:t>
            </w:r>
            <w:proofErr w:type="gramEnd"/>
            <w:r>
              <w:rPr>
                <w:rFonts w:ascii="仿宋_GB2312" w:eastAsia="仿宋_GB2312" w:hAnsi="宋体" w:cs="宋体" w:hint="eastAsia"/>
                <w:color w:val="000000"/>
                <w:kern w:val="0"/>
                <w:szCs w:val="21"/>
              </w:rPr>
              <w:t>距离（米）</w:t>
            </w:r>
          </w:p>
        </w:tc>
        <w:tc>
          <w:tcPr>
            <w:tcW w:w="6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&lt;2240</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2240-3180</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3180-4120</w:t>
            </w:r>
          </w:p>
        </w:tc>
        <w:tc>
          <w:tcPr>
            <w:tcW w:w="7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4120-5060</w:t>
            </w:r>
          </w:p>
        </w:tc>
        <w:tc>
          <w:tcPr>
            <w:tcW w:w="7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&gt;5060</w:t>
            </w:r>
          </w:p>
        </w:tc>
      </w:tr>
      <w:tr w:rsidR="0054446D">
        <w:trPr>
          <w:trHeight w:val="285"/>
        </w:trPr>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809" w:type="pct"/>
            <w:gridSpan w:val="2"/>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距二级商</w:t>
            </w:r>
            <w:proofErr w:type="gramStart"/>
            <w:r>
              <w:rPr>
                <w:rFonts w:ascii="仿宋_GB2312" w:eastAsia="仿宋_GB2312" w:hAnsi="宋体" w:cs="宋体" w:hint="eastAsia"/>
                <w:color w:val="000000"/>
                <w:kern w:val="0"/>
                <w:szCs w:val="21"/>
              </w:rPr>
              <w:t>服中心</w:t>
            </w:r>
            <w:proofErr w:type="gramEnd"/>
            <w:r>
              <w:rPr>
                <w:rFonts w:ascii="仿宋_GB2312" w:eastAsia="仿宋_GB2312" w:hAnsi="宋体" w:cs="宋体" w:hint="eastAsia"/>
                <w:color w:val="000000"/>
                <w:kern w:val="0"/>
                <w:szCs w:val="21"/>
              </w:rPr>
              <w:t>距离（米）</w:t>
            </w:r>
          </w:p>
        </w:tc>
        <w:tc>
          <w:tcPr>
            <w:tcW w:w="6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&lt;1960</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1960-2720</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2720-3480</w:t>
            </w:r>
          </w:p>
        </w:tc>
        <w:tc>
          <w:tcPr>
            <w:tcW w:w="7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3480-4240</w:t>
            </w:r>
          </w:p>
        </w:tc>
        <w:tc>
          <w:tcPr>
            <w:tcW w:w="7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&gt;4240</w:t>
            </w:r>
          </w:p>
        </w:tc>
      </w:tr>
      <w:tr w:rsidR="0054446D">
        <w:trPr>
          <w:trHeight w:val="285"/>
        </w:trPr>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809" w:type="pct"/>
            <w:gridSpan w:val="2"/>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距三级商</w:t>
            </w:r>
            <w:proofErr w:type="gramStart"/>
            <w:r>
              <w:rPr>
                <w:rFonts w:ascii="仿宋_GB2312" w:eastAsia="仿宋_GB2312" w:hAnsi="宋体" w:cs="宋体" w:hint="eastAsia"/>
                <w:color w:val="000000"/>
                <w:kern w:val="0"/>
                <w:szCs w:val="21"/>
              </w:rPr>
              <w:t>服中心</w:t>
            </w:r>
            <w:proofErr w:type="gramEnd"/>
            <w:r>
              <w:rPr>
                <w:rFonts w:ascii="仿宋_GB2312" w:eastAsia="仿宋_GB2312" w:hAnsi="宋体" w:cs="宋体" w:hint="eastAsia"/>
                <w:color w:val="000000"/>
                <w:kern w:val="0"/>
                <w:szCs w:val="21"/>
              </w:rPr>
              <w:t>距离（米）</w:t>
            </w:r>
          </w:p>
        </w:tc>
        <w:tc>
          <w:tcPr>
            <w:tcW w:w="6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&lt;1600</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1600-2200</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2200-2800</w:t>
            </w:r>
          </w:p>
        </w:tc>
        <w:tc>
          <w:tcPr>
            <w:tcW w:w="7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2800-3400</w:t>
            </w:r>
          </w:p>
        </w:tc>
        <w:tc>
          <w:tcPr>
            <w:tcW w:w="7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&gt;3400</w:t>
            </w:r>
          </w:p>
        </w:tc>
      </w:tr>
      <w:tr w:rsidR="0054446D">
        <w:trPr>
          <w:trHeight w:val="450"/>
        </w:trPr>
        <w:tc>
          <w:tcPr>
            <w:tcW w:w="254" w:type="pct"/>
            <w:vMerge w:val="restar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个别因素</w:t>
            </w:r>
          </w:p>
        </w:tc>
        <w:tc>
          <w:tcPr>
            <w:tcW w:w="1063" w:type="pct"/>
            <w:gridSpan w:val="3"/>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宗地面积</w:t>
            </w:r>
          </w:p>
        </w:tc>
        <w:tc>
          <w:tcPr>
            <w:tcW w:w="6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面积适中，对土地利用极为有利</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面积对土地利用较为有利</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面积对土地利用无不良影响</w:t>
            </w:r>
          </w:p>
        </w:tc>
        <w:tc>
          <w:tcPr>
            <w:tcW w:w="7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面积较小或较大，对土地利用有一定影响</w:t>
            </w:r>
          </w:p>
        </w:tc>
        <w:tc>
          <w:tcPr>
            <w:tcW w:w="7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面积过小或过大，对土地利用产生严重的影响</w:t>
            </w:r>
          </w:p>
        </w:tc>
      </w:tr>
      <w:tr w:rsidR="0054446D">
        <w:trPr>
          <w:trHeight w:val="450"/>
        </w:trPr>
        <w:tc>
          <w:tcPr>
            <w:tcW w:w="25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1063" w:type="pct"/>
            <w:gridSpan w:val="3"/>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宗地形状</w:t>
            </w:r>
          </w:p>
        </w:tc>
        <w:tc>
          <w:tcPr>
            <w:tcW w:w="6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形状规则，对土地利用极为有利</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形状较规则，对土地利用较为有利</w:t>
            </w:r>
          </w:p>
        </w:tc>
        <w:tc>
          <w:tcPr>
            <w:tcW w:w="723"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形状对土地利用无不良影响</w:t>
            </w:r>
          </w:p>
        </w:tc>
        <w:tc>
          <w:tcPr>
            <w:tcW w:w="7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形状不规则，对土地利用有一定影响</w:t>
            </w:r>
          </w:p>
        </w:tc>
        <w:tc>
          <w:tcPr>
            <w:tcW w:w="790"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形状较差，对土地利用产生严重的影响</w:t>
            </w:r>
          </w:p>
        </w:tc>
      </w:tr>
    </w:tbl>
    <w:p w:rsidR="0054446D" w:rsidRDefault="00FB459A">
      <w:pPr>
        <w:jc w:val="center"/>
        <w:rPr>
          <w:rFonts w:ascii="仿宋" w:eastAsia="仿宋" w:hAnsi="仿宋" w:cs="仿宋"/>
          <w:sz w:val="28"/>
          <w:szCs w:val="28"/>
        </w:rPr>
      </w:pPr>
      <w:r>
        <w:rPr>
          <w:rFonts w:ascii="宋体" w:hAnsi="宋体" w:cs="宋体" w:hint="eastAsia"/>
          <w:b/>
          <w:sz w:val="24"/>
        </w:rPr>
        <w:t>Ⅲ</w:t>
      </w:r>
      <w:proofErr w:type="gramStart"/>
      <w:r>
        <w:rPr>
          <w:rFonts w:eastAsia="仿宋_GB2312"/>
          <w:b/>
          <w:sz w:val="24"/>
        </w:rPr>
        <w:t>级住宅</w:t>
      </w:r>
      <w:proofErr w:type="gramEnd"/>
      <w:r>
        <w:rPr>
          <w:rFonts w:eastAsia="仿宋_GB2312"/>
          <w:b/>
          <w:sz w:val="24"/>
        </w:rPr>
        <w:t>用地宗地地价影响因素修正系数表</w:t>
      </w:r>
    </w:p>
    <w:tbl>
      <w:tblPr>
        <w:tblW w:w="5000" w:type="pct"/>
        <w:tblLayout w:type="fixed"/>
        <w:tblLook w:val="04A0"/>
      </w:tblPr>
      <w:tblGrid>
        <w:gridCol w:w="539"/>
        <w:gridCol w:w="855"/>
        <w:gridCol w:w="1126"/>
        <w:gridCol w:w="9"/>
        <w:gridCol w:w="1559"/>
        <w:gridCol w:w="819"/>
        <w:gridCol w:w="819"/>
        <w:gridCol w:w="821"/>
        <w:gridCol w:w="819"/>
        <w:gridCol w:w="819"/>
        <w:gridCol w:w="819"/>
      </w:tblGrid>
      <w:tr w:rsidR="0054446D" w:rsidTr="00260733">
        <w:trPr>
          <w:trHeight w:val="285"/>
        </w:trPr>
        <w:tc>
          <w:tcPr>
            <w:tcW w:w="773" w:type="pct"/>
            <w:gridSpan w:val="2"/>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因素</w:t>
            </w:r>
          </w:p>
        </w:tc>
        <w:tc>
          <w:tcPr>
            <w:tcW w:w="1496" w:type="pct"/>
            <w:gridSpan w:val="3"/>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因子</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权重</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优</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较优</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一般</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较劣</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劣</w:t>
            </w:r>
          </w:p>
        </w:tc>
      </w:tr>
      <w:tr w:rsidR="00260733" w:rsidTr="00260733">
        <w:trPr>
          <w:trHeight w:val="285"/>
        </w:trPr>
        <w:tc>
          <w:tcPr>
            <w:tcW w:w="299" w:type="pct"/>
            <w:vMerge w:val="restar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区域因素</w:t>
            </w:r>
          </w:p>
        </w:tc>
        <w:tc>
          <w:tcPr>
            <w:tcW w:w="474" w:type="pct"/>
            <w:vMerge w:val="restar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基础设施</w:t>
            </w:r>
          </w:p>
        </w:tc>
        <w:tc>
          <w:tcPr>
            <w:tcW w:w="1496" w:type="pct"/>
            <w:gridSpan w:val="3"/>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基础设施完善度</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0.07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1.88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0.94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-0.89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-1.78 </w:t>
            </w:r>
          </w:p>
        </w:tc>
      </w:tr>
      <w:tr w:rsidR="00260733" w:rsidTr="00260733">
        <w:trPr>
          <w:trHeight w:val="285"/>
        </w:trPr>
        <w:tc>
          <w:tcPr>
            <w:tcW w:w="299"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47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630" w:type="pct"/>
            <w:gridSpan w:val="2"/>
            <w:vMerge w:val="restar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公用设施完备度</w:t>
            </w:r>
          </w:p>
        </w:tc>
        <w:tc>
          <w:tcPr>
            <w:tcW w:w="86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大中专</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0.03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0.81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0.40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-0.38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-0.76 </w:t>
            </w:r>
          </w:p>
        </w:tc>
      </w:tr>
      <w:tr w:rsidR="00260733" w:rsidTr="00260733">
        <w:trPr>
          <w:trHeight w:val="285"/>
        </w:trPr>
        <w:tc>
          <w:tcPr>
            <w:tcW w:w="299"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47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630" w:type="pct"/>
            <w:gridSpan w:val="2"/>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86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中学</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0.05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1.34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0.67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-0.63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-1.27 </w:t>
            </w:r>
          </w:p>
        </w:tc>
      </w:tr>
      <w:tr w:rsidR="00260733" w:rsidTr="00260733">
        <w:trPr>
          <w:trHeight w:val="285"/>
        </w:trPr>
        <w:tc>
          <w:tcPr>
            <w:tcW w:w="299"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47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630" w:type="pct"/>
            <w:gridSpan w:val="2"/>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86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小学</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0.04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1.08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0.54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-0.51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-1.01 </w:t>
            </w:r>
          </w:p>
        </w:tc>
      </w:tr>
      <w:tr w:rsidR="00260733" w:rsidTr="00260733">
        <w:trPr>
          <w:trHeight w:val="285"/>
        </w:trPr>
        <w:tc>
          <w:tcPr>
            <w:tcW w:w="299"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47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630" w:type="pct"/>
            <w:gridSpan w:val="2"/>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86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幼儿园</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0.03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0.81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0.40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-0.38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-0.76 </w:t>
            </w:r>
          </w:p>
        </w:tc>
      </w:tr>
      <w:tr w:rsidR="00260733" w:rsidTr="00260733">
        <w:trPr>
          <w:trHeight w:val="285"/>
        </w:trPr>
        <w:tc>
          <w:tcPr>
            <w:tcW w:w="299"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47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630" w:type="pct"/>
            <w:gridSpan w:val="2"/>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86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医院</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0.03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0.81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0.40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-0.38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-0.76 </w:t>
            </w:r>
          </w:p>
        </w:tc>
      </w:tr>
      <w:tr w:rsidR="00260733" w:rsidTr="00260733">
        <w:trPr>
          <w:trHeight w:val="285"/>
        </w:trPr>
        <w:tc>
          <w:tcPr>
            <w:tcW w:w="299"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47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630" w:type="pct"/>
            <w:gridSpan w:val="2"/>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86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农贸市场</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0.05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1.34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0.67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-0.63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-1.27 </w:t>
            </w:r>
          </w:p>
        </w:tc>
      </w:tr>
      <w:tr w:rsidR="00260733" w:rsidTr="00260733">
        <w:trPr>
          <w:trHeight w:val="285"/>
        </w:trPr>
        <w:tc>
          <w:tcPr>
            <w:tcW w:w="299"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47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630" w:type="pct"/>
            <w:gridSpan w:val="2"/>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86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影剧院</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0.01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0.27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0.13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-0.13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-0.25 </w:t>
            </w:r>
          </w:p>
        </w:tc>
      </w:tr>
      <w:tr w:rsidR="00260733" w:rsidTr="00260733">
        <w:trPr>
          <w:trHeight w:val="285"/>
        </w:trPr>
        <w:tc>
          <w:tcPr>
            <w:tcW w:w="299"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47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630" w:type="pct"/>
            <w:gridSpan w:val="2"/>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86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文化馆</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0.02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0.54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0.27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-0.25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-0.51 </w:t>
            </w:r>
          </w:p>
        </w:tc>
      </w:tr>
      <w:tr w:rsidR="00260733" w:rsidTr="00260733">
        <w:trPr>
          <w:trHeight w:val="285"/>
        </w:trPr>
        <w:tc>
          <w:tcPr>
            <w:tcW w:w="299"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47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630" w:type="pct"/>
            <w:gridSpan w:val="2"/>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86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体育馆</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0.02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0.54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0.27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-0.25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-0.51 </w:t>
            </w:r>
          </w:p>
        </w:tc>
      </w:tr>
      <w:tr w:rsidR="00260733" w:rsidTr="00260733">
        <w:trPr>
          <w:trHeight w:val="285"/>
        </w:trPr>
        <w:tc>
          <w:tcPr>
            <w:tcW w:w="299"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47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630" w:type="pct"/>
            <w:gridSpan w:val="2"/>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86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公园广场</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0.02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0.54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0.27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-0.25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-0.51 </w:t>
            </w:r>
          </w:p>
        </w:tc>
      </w:tr>
      <w:tr w:rsidR="00260733" w:rsidTr="00260733">
        <w:trPr>
          <w:trHeight w:val="285"/>
        </w:trPr>
        <w:tc>
          <w:tcPr>
            <w:tcW w:w="299"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47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630" w:type="pct"/>
            <w:gridSpan w:val="2"/>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86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物流速递</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0.03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0.81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0.40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-0.38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-0.76 </w:t>
            </w:r>
          </w:p>
        </w:tc>
      </w:tr>
      <w:tr w:rsidR="00260733" w:rsidTr="00260733">
        <w:trPr>
          <w:trHeight w:val="285"/>
        </w:trPr>
        <w:tc>
          <w:tcPr>
            <w:tcW w:w="299"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474" w:type="pct"/>
            <w:vMerge w:val="restar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交通条件</w:t>
            </w:r>
          </w:p>
        </w:tc>
        <w:tc>
          <w:tcPr>
            <w:tcW w:w="1496" w:type="pct"/>
            <w:gridSpan w:val="3"/>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临路状况</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0.07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1.88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0.94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-0.89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-1.78 </w:t>
            </w:r>
          </w:p>
        </w:tc>
      </w:tr>
      <w:tr w:rsidR="00260733" w:rsidTr="00260733">
        <w:trPr>
          <w:trHeight w:val="510"/>
        </w:trPr>
        <w:tc>
          <w:tcPr>
            <w:tcW w:w="299"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47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630" w:type="pct"/>
            <w:gridSpan w:val="2"/>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公交便捷度</w:t>
            </w:r>
          </w:p>
        </w:tc>
        <w:tc>
          <w:tcPr>
            <w:tcW w:w="86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距公交站点距离</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0.05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1.34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0.67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-0.63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-1.27 </w:t>
            </w:r>
          </w:p>
        </w:tc>
      </w:tr>
      <w:tr w:rsidR="00260733" w:rsidTr="00260733">
        <w:trPr>
          <w:trHeight w:val="510"/>
        </w:trPr>
        <w:tc>
          <w:tcPr>
            <w:tcW w:w="299"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47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630" w:type="pct"/>
            <w:gridSpan w:val="2"/>
            <w:vMerge w:val="restar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对外交通便利度</w:t>
            </w:r>
          </w:p>
        </w:tc>
        <w:tc>
          <w:tcPr>
            <w:tcW w:w="86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距汽车站距离</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0.04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1.08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0.54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-0.51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-1.01 </w:t>
            </w:r>
          </w:p>
        </w:tc>
      </w:tr>
      <w:tr w:rsidR="00260733" w:rsidTr="00260733">
        <w:trPr>
          <w:trHeight w:val="510"/>
        </w:trPr>
        <w:tc>
          <w:tcPr>
            <w:tcW w:w="299"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47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630" w:type="pct"/>
            <w:gridSpan w:val="2"/>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86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距火车站距离</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0.02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0.54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0.27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-0.25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-0.51 </w:t>
            </w:r>
          </w:p>
        </w:tc>
      </w:tr>
      <w:tr w:rsidR="00260733" w:rsidTr="00260733">
        <w:trPr>
          <w:trHeight w:val="510"/>
        </w:trPr>
        <w:tc>
          <w:tcPr>
            <w:tcW w:w="299"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47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630" w:type="pct"/>
            <w:gridSpan w:val="2"/>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86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距高速路口距离</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0.03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0.81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0.40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-0.38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-0.76 </w:t>
            </w:r>
          </w:p>
        </w:tc>
      </w:tr>
      <w:tr w:rsidR="00260733" w:rsidTr="00260733">
        <w:trPr>
          <w:trHeight w:val="285"/>
        </w:trPr>
        <w:tc>
          <w:tcPr>
            <w:tcW w:w="299"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474" w:type="pct"/>
            <w:vMerge w:val="restar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环境条件</w:t>
            </w:r>
          </w:p>
        </w:tc>
        <w:tc>
          <w:tcPr>
            <w:tcW w:w="1496" w:type="pct"/>
            <w:gridSpan w:val="3"/>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环境质量优劣度</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0.05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1.34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-1.27 </w:t>
            </w:r>
          </w:p>
        </w:tc>
      </w:tr>
      <w:tr w:rsidR="00260733" w:rsidTr="00260733">
        <w:trPr>
          <w:trHeight w:val="285"/>
        </w:trPr>
        <w:tc>
          <w:tcPr>
            <w:tcW w:w="299"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47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1496" w:type="pct"/>
            <w:gridSpan w:val="3"/>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绿地覆盖度</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0.04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1.08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-1.01 </w:t>
            </w:r>
          </w:p>
        </w:tc>
      </w:tr>
      <w:tr w:rsidR="00260733" w:rsidTr="00260733">
        <w:trPr>
          <w:trHeight w:val="285"/>
        </w:trPr>
        <w:tc>
          <w:tcPr>
            <w:tcW w:w="299"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47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1496" w:type="pct"/>
            <w:gridSpan w:val="3"/>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工程地质条件</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0.02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0.54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-0.51 </w:t>
            </w:r>
          </w:p>
        </w:tc>
      </w:tr>
      <w:tr w:rsidR="00260733" w:rsidTr="00260733">
        <w:trPr>
          <w:trHeight w:val="765"/>
        </w:trPr>
        <w:tc>
          <w:tcPr>
            <w:tcW w:w="299"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474" w:type="pct"/>
            <w:vMerge w:val="restar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繁华程度</w:t>
            </w:r>
          </w:p>
        </w:tc>
        <w:tc>
          <w:tcPr>
            <w:tcW w:w="625" w:type="pct"/>
            <w:vMerge w:val="restar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proofErr w:type="gramStart"/>
            <w:r>
              <w:rPr>
                <w:rFonts w:ascii="仿宋_GB2312" w:eastAsia="仿宋_GB2312" w:hAnsi="宋体" w:cs="宋体" w:hint="eastAsia"/>
                <w:color w:val="000000"/>
                <w:kern w:val="0"/>
                <w:szCs w:val="21"/>
              </w:rPr>
              <w:t>距商服中心</w:t>
            </w:r>
            <w:proofErr w:type="gramEnd"/>
            <w:r>
              <w:rPr>
                <w:rFonts w:ascii="仿宋_GB2312" w:eastAsia="仿宋_GB2312" w:hAnsi="宋体" w:cs="宋体" w:hint="eastAsia"/>
                <w:color w:val="000000"/>
                <w:kern w:val="0"/>
                <w:szCs w:val="21"/>
              </w:rPr>
              <w:t>距离</w:t>
            </w:r>
          </w:p>
        </w:tc>
        <w:tc>
          <w:tcPr>
            <w:tcW w:w="871" w:type="pct"/>
            <w:gridSpan w:val="2"/>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距一级商</w:t>
            </w:r>
            <w:proofErr w:type="gramStart"/>
            <w:r>
              <w:rPr>
                <w:rFonts w:ascii="仿宋_GB2312" w:eastAsia="仿宋_GB2312" w:hAnsi="宋体" w:cs="宋体" w:hint="eastAsia"/>
                <w:color w:val="000000"/>
                <w:kern w:val="0"/>
                <w:szCs w:val="21"/>
              </w:rPr>
              <w:t>服中心</w:t>
            </w:r>
            <w:proofErr w:type="gramEnd"/>
            <w:r>
              <w:rPr>
                <w:rFonts w:ascii="仿宋_GB2312" w:eastAsia="仿宋_GB2312" w:hAnsi="宋体" w:cs="宋体" w:hint="eastAsia"/>
                <w:color w:val="000000"/>
                <w:kern w:val="0"/>
                <w:szCs w:val="21"/>
              </w:rPr>
              <w:t>距离</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0.06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1.61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0.81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-0.76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-1.52 </w:t>
            </w:r>
          </w:p>
        </w:tc>
      </w:tr>
      <w:tr w:rsidR="00260733" w:rsidTr="00260733">
        <w:trPr>
          <w:trHeight w:val="765"/>
        </w:trPr>
        <w:tc>
          <w:tcPr>
            <w:tcW w:w="299"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47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625"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871" w:type="pct"/>
            <w:gridSpan w:val="2"/>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距二级商</w:t>
            </w:r>
            <w:proofErr w:type="gramStart"/>
            <w:r>
              <w:rPr>
                <w:rFonts w:ascii="仿宋_GB2312" w:eastAsia="仿宋_GB2312" w:hAnsi="宋体" w:cs="宋体" w:hint="eastAsia"/>
                <w:color w:val="000000"/>
                <w:kern w:val="0"/>
                <w:szCs w:val="21"/>
              </w:rPr>
              <w:t>服中心</w:t>
            </w:r>
            <w:proofErr w:type="gramEnd"/>
            <w:r>
              <w:rPr>
                <w:rFonts w:ascii="仿宋_GB2312" w:eastAsia="仿宋_GB2312" w:hAnsi="宋体" w:cs="宋体" w:hint="eastAsia"/>
                <w:color w:val="000000"/>
                <w:kern w:val="0"/>
                <w:szCs w:val="21"/>
              </w:rPr>
              <w:t>距离</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0.05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1.34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0.67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-0.63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-1.27 </w:t>
            </w:r>
          </w:p>
        </w:tc>
      </w:tr>
      <w:tr w:rsidR="00260733" w:rsidTr="00260733">
        <w:trPr>
          <w:trHeight w:val="765"/>
        </w:trPr>
        <w:tc>
          <w:tcPr>
            <w:tcW w:w="299"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47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625"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871" w:type="pct"/>
            <w:gridSpan w:val="2"/>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距三级商</w:t>
            </w:r>
            <w:proofErr w:type="gramStart"/>
            <w:r>
              <w:rPr>
                <w:rFonts w:ascii="仿宋_GB2312" w:eastAsia="仿宋_GB2312" w:hAnsi="宋体" w:cs="宋体" w:hint="eastAsia"/>
                <w:color w:val="000000"/>
                <w:kern w:val="0"/>
                <w:szCs w:val="21"/>
              </w:rPr>
              <w:t>服中心</w:t>
            </w:r>
            <w:proofErr w:type="gramEnd"/>
            <w:r>
              <w:rPr>
                <w:rFonts w:ascii="仿宋_GB2312" w:eastAsia="仿宋_GB2312" w:hAnsi="宋体" w:cs="宋体" w:hint="eastAsia"/>
                <w:color w:val="000000"/>
                <w:kern w:val="0"/>
                <w:szCs w:val="21"/>
              </w:rPr>
              <w:t>距离</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0.04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1.08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0.54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-0.51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-1.01 </w:t>
            </w:r>
          </w:p>
        </w:tc>
      </w:tr>
      <w:tr w:rsidR="00260733" w:rsidTr="00260733">
        <w:trPr>
          <w:trHeight w:val="285"/>
        </w:trPr>
        <w:tc>
          <w:tcPr>
            <w:tcW w:w="299"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474" w:type="pct"/>
            <w:vMerge w:val="restar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人口状况</w:t>
            </w:r>
          </w:p>
        </w:tc>
        <w:tc>
          <w:tcPr>
            <w:tcW w:w="1496" w:type="pct"/>
            <w:gridSpan w:val="3"/>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常住人口密度</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0.04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1.08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-1.01 </w:t>
            </w:r>
          </w:p>
        </w:tc>
      </w:tr>
      <w:tr w:rsidR="00260733" w:rsidTr="00260733">
        <w:trPr>
          <w:trHeight w:val="285"/>
        </w:trPr>
        <w:tc>
          <w:tcPr>
            <w:tcW w:w="299"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474"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1496" w:type="pct"/>
            <w:gridSpan w:val="3"/>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流动人口密度</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0.02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0.54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-0.51 </w:t>
            </w:r>
          </w:p>
        </w:tc>
      </w:tr>
      <w:tr w:rsidR="0054446D" w:rsidTr="00260733">
        <w:trPr>
          <w:trHeight w:val="285"/>
        </w:trPr>
        <w:tc>
          <w:tcPr>
            <w:tcW w:w="299" w:type="pct"/>
            <w:vMerge w:val="restar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个别因素</w:t>
            </w:r>
          </w:p>
        </w:tc>
        <w:tc>
          <w:tcPr>
            <w:tcW w:w="1970" w:type="pct"/>
            <w:gridSpan w:val="4"/>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宗地面积</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0.04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1.08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0.54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-0.51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-1.01 </w:t>
            </w:r>
          </w:p>
        </w:tc>
      </w:tr>
      <w:tr w:rsidR="0054446D" w:rsidTr="00260733">
        <w:trPr>
          <w:trHeight w:val="285"/>
        </w:trPr>
        <w:tc>
          <w:tcPr>
            <w:tcW w:w="299" w:type="pct"/>
            <w:vMerge/>
            <w:tcBorders>
              <w:top w:val="single" w:sz="4" w:space="0" w:color="000000"/>
              <w:left w:val="single" w:sz="4" w:space="0" w:color="000000"/>
              <w:bottom w:val="single" w:sz="4" w:space="0" w:color="000000"/>
              <w:right w:val="single" w:sz="4" w:space="0" w:color="000000"/>
            </w:tcBorders>
            <w:noWrap/>
            <w:vAlign w:val="center"/>
          </w:tcPr>
          <w:p w:rsidR="0054446D" w:rsidRDefault="0054446D">
            <w:pPr>
              <w:widowControl/>
              <w:jc w:val="left"/>
              <w:rPr>
                <w:rFonts w:ascii="仿宋_GB2312" w:eastAsia="仿宋_GB2312" w:hAnsi="宋体" w:cs="宋体"/>
                <w:color w:val="000000"/>
                <w:kern w:val="0"/>
                <w:szCs w:val="21"/>
              </w:rPr>
            </w:pPr>
          </w:p>
        </w:tc>
        <w:tc>
          <w:tcPr>
            <w:tcW w:w="1970" w:type="pct"/>
            <w:gridSpan w:val="4"/>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宗地形状</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0.03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0.81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0.40 </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0</w:t>
            </w:r>
          </w:p>
        </w:tc>
        <w:tc>
          <w:tcPr>
            <w:tcW w:w="455"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-0.38 </w:t>
            </w:r>
          </w:p>
        </w:tc>
        <w:tc>
          <w:tcPr>
            <w:tcW w:w="456" w:type="pct"/>
            <w:tcBorders>
              <w:top w:val="single" w:sz="4" w:space="0" w:color="000000"/>
              <w:left w:val="single" w:sz="4" w:space="0" w:color="000000"/>
              <w:bottom w:val="single" w:sz="4" w:space="0" w:color="000000"/>
              <w:right w:val="single" w:sz="4" w:space="0" w:color="000000"/>
            </w:tcBorders>
            <w:noWrap/>
            <w:vAlign w:val="center"/>
          </w:tcPr>
          <w:p w:rsidR="0054446D" w:rsidRDefault="00FB459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-0.76 </w:t>
            </w:r>
          </w:p>
        </w:tc>
      </w:tr>
    </w:tbl>
    <w:p w:rsidR="0054446D" w:rsidRDefault="00FB459A" w:rsidP="00F513B3">
      <w:pPr>
        <w:spacing w:beforeLines="100" w:line="360" w:lineRule="auto"/>
        <w:jc w:val="center"/>
        <w:rPr>
          <w:rFonts w:ascii="仿宋" w:eastAsia="仿宋" w:hAnsi="仿宋" w:cs="仿宋"/>
          <w:b/>
          <w:bCs/>
          <w:sz w:val="24"/>
          <w:szCs w:val="24"/>
        </w:rPr>
      </w:pPr>
      <w:r>
        <w:rPr>
          <w:rFonts w:ascii="仿宋" w:eastAsia="仿宋" w:hAnsi="仿宋" w:cs="仿宋" w:hint="eastAsia"/>
          <w:b/>
          <w:bCs/>
          <w:sz w:val="24"/>
          <w:szCs w:val="24"/>
        </w:rPr>
        <w:t>评估宗地区域因素修正值测算表</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80"/>
        <w:gridCol w:w="780"/>
        <w:gridCol w:w="780"/>
        <w:gridCol w:w="1080"/>
        <w:gridCol w:w="1840"/>
        <w:gridCol w:w="1701"/>
        <w:gridCol w:w="1985"/>
      </w:tblGrid>
      <w:tr w:rsidR="000D26D2" w:rsidTr="000D26D2">
        <w:trPr>
          <w:trHeight w:val="465"/>
        </w:trPr>
        <w:tc>
          <w:tcPr>
            <w:tcW w:w="1560" w:type="dxa"/>
            <w:gridSpan w:val="2"/>
            <w:shd w:val="clear" w:color="auto" w:fill="auto"/>
            <w:tcMar>
              <w:top w:w="15" w:type="dxa"/>
              <w:left w:w="15" w:type="dxa"/>
              <w:bottom w:w="0" w:type="dxa"/>
              <w:right w:w="15" w:type="dxa"/>
            </w:tcMar>
            <w:vAlign w:val="center"/>
            <w:hideMark/>
          </w:tcPr>
          <w:p w:rsidR="000D26D2" w:rsidRDefault="000D26D2">
            <w:pPr>
              <w:jc w:val="center"/>
              <w:rPr>
                <w:rFonts w:ascii="仿宋_GB2312" w:eastAsia="仿宋_GB2312" w:hAnsi="Tahoma" w:cs="Tahoma"/>
                <w:color w:val="000000"/>
                <w:szCs w:val="21"/>
              </w:rPr>
            </w:pPr>
            <w:r>
              <w:rPr>
                <w:rFonts w:ascii="仿宋_GB2312" w:eastAsia="仿宋_GB2312" w:hAnsi="Tahoma" w:cs="Tahoma" w:hint="eastAsia"/>
                <w:color w:val="000000"/>
                <w:szCs w:val="21"/>
              </w:rPr>
              <w:t>因素</w:t>
            </w:r>
          </w:p>
        </w:tc>
        <w:tc>
          <w:tcPr>
            <w:tcW w:w="1860" w:type="dxa"/>
            <w:gridSpan w:val="2"/>
            <w:shd w:val="clear" w:color="auto" w:fill="auto"/>
            <w:tcMar>
              <w:top w:w="15" w:type="dxa"/>
              <w:left w:w="15" w:type="dxa"/>
              <w:bottom w:w="0" w:type="dxa"/>
              <w:right w:w="15" w:type="dxa"/>
            </w:tcMar>
            <w:vAlign w:val="center"/>
            <w:hideMark/>
          </w:tcPr>
          <w:p w:rsidR="000D26D2" w:rsidRDefault="000D26D2">
            <w:pPr>
              <w:jc w:val="center"/>
              <w:rPr>
                <w:rFonts w:ascii="仿宋_GB2312" w:eastAsia="仿宋_GB2312" w:hAnsi="Tahoma" w:cs="Tahoma"/>
                <w:color w:val="000000"/>
                <w:szCs w:val="21"/>
              </w:rPr>
            </w:pPr>
            <w:r>
              <w:rPr>
                <w:rFonts w:ascii="仿宋_GB2312" w:eastAsia="仿宋_GB2312" w:hAnsi="Tahoma" w:cs="Tahoma" w:hint="eastAsia"/>
                <w:color w:val="000000"/>
                <w:szCs w:val="21"/>
              </w:rPr>
              <w:t>因子</w:t>
            </w:r>
          </w:p>
        </w:tc>
        <w:tc>
          <w:tcPr>
            <w:tcW w:w="1840" w:type="dxa"/>
            <w:shd w:val="clear" w:color="auto" w:fill="auto"/>
            <w:tcMar>
              <w:top w:w="15" w:type="dxa"/>
              <w:left w:w="15" w:type="dxa"/>
              <w:bottom w:w="0" w:type="dxa"/>
              <w:right w:w="15" w:type="dxa"/>
            </w:tcMar>
            <w:vAlign w:val="center"/>
            <w:hideMark/>
          </w:tcPr>
          <w:p w:rsidR="000D26D2" w:rsidRDefault="000D26D2">
            <w:pPr>
              <w:jc w:val="center"/>
              <w:rPr>
                <w:rFonts w:ascii="仿宋" w:eastAsia="仿宋" w:hAnsi="仿宋" w:cs="Tahoma"/>
                <w:color w:val="000000"/>
                <w:sz w:val="20"/>
              </w:rPr>
            </w:pPr>
            <w:r>
              <w:rPr>
                <w:rFonts w:ascii="仿宋" w:eastAsia="仿宋" w:hAnsi="仿宋" w:cs="Tahoma" w:hint="eastAsia"/>
                <w:color w:val="000000"/>
                <w:sz w:val="20"/>
              </w:rPr>
              <w:t>取值标准</w:t>
            </w:r>
          </w:p>
        </w:tc>
        <w:tc>
          <w:tcPr>
            <w:tcW w:w="1701" w:type="dxa"/>
            <w:shd w:val="clear" w:color="auto" w:fill="auto"/>
            <w:tcMar>
              <w:top w:w="15" w:type="dxa"/>
              <w:left w:w="15" w:type="dxa"/>
              <w:bottom w:w="0" w:type="dxa"/>
              <w:right w:w="15" w:type="dxa"/>
            </w:tcMar>
            <w:vAlign w:val="center"/>
            <w:hideMark/>
          </w:tcPr>
          <w:p w:rsidR="000D26D2" w:rsidRDefault="000D26D2">
            <w:pPr>
              <w:jc w:val="center"/>
              <w:rPr>
                <w:rFonts w:ascii="仿宋" w:eastAsia="仿宋" w:hAnsi="仿宋" w:cs="Tahoma"/>
                <w:color w:val="000000"/>
                <w:sz w:val="20"/>
              </w:rPr>
            </w:pPr>
            <w:r>
              <w:rPr>
                <w:rFonts w:ascii="仿宋" w:eastAsia="仿宋" w:hAnsi="仿宋" w:cs="Tahoma" w:hint="eastAsia"/>
                <w:color w:val="000000"/>
                <w:sz w:val="20"/>
              </w:rPr>
              <w:t>优劣度</w:t>
            </w:r>
          </w:p>
        </w:tc>
        <w:tc>
          <w:tcPr>
            <w:tcW w:w="1985" w:type="dxa"/>
            <w:shd w:val="clear" w:color="auto" w:fill="auto"/>
            <w:tcMar>
              <w:top w:w="15" w:type="dxa"/>
              <w:left w:w="15" w:type="dxa"/>
              <w:bottom w:w="0" w:type="dxa"/>
              <w:right w:w="15" w:type="dxa"/>
            </w:tcMar>
            <w:vAlign w:val="center"/>
            <w:hideMark/>
          </w:tcPr>
          <w:p w:rsidR="000D26D2" w:rsidRDefault="000D26D2">
            <w:pPr>
              <w:jc w:val="center"/>
              <w:rPr>
                <w:rFonts w:ascii="仿宋" w:eastAsia="仿宋" w:hAnsi="仿宋" w:cs="Tahoma"/>
                <w:color w:val="000000"/>
                <w:sz w:val="20"/>
              </w:rPr>
            </w:pPr>
            <w:r>
              <w:rPr>
                <w:rFonts w:ascii="仿宋" w:eastAsia="仿宋" w:hAnsi="仿宋" w:cs="Tahoma" w:hint="eastAsia"/>
                <w:color w:val="000000"/>
                <w:sz w:val="20"/>
              </w:rPr>
              <w:t>修正结果</w:t>
            </w:r>
          </w:p>
        </w:tc>
      </w:tr>
      <w:tr w:rsidR="000D26D2" w:rsidTr="000D26D2">
        <w:trPr>
          <w:trHeight w:val="465"/>
        </w:trPr>
        <w:tc>
          <w:tcPr>
            <w:tcW w:w="780" w:type="dxa"/>
            <w:vMerge w:val="restart"/>
            <w:shd w:val="clear" w:color="auto" w:fill="auto"/>
            <w:tcMar>
              <w:top w:w="15" w:type="dxa"/>
              <w:left w:w="15" w:type="dxa"/>
              <w:bottom w:w="0" w:type="dxa"/>
              <w:right w:w="15" w:type="dxa"/>
            </w:tcMar>
            <w:vAlign w:val="center"/>
            <w:hideMark/>
          </w:tcPr>
          <w:p w:rsidR="000D26D2" w:rsidRDefault="000D26D2">
            <w:pPr>
              <w:jc w:val="center"/>
              <w:rPr>
                <w:rFonts w:ascii="仿宋_GB2312" w:eastAsia="仿宋_GB2312" w:hAnsi="Tahoma" w:cs="Tahoma"/>
                <w:color w:val="000000"/>
                <w:szCs w:val="21"/>
              </w:rPr>
            </w:pPr>
            <w:r>
              <w:rPr>
                <w:rFonts w:ascii="仿宋_GB2312" w:eastAsia="仿宋_GB2312" w:hAnsi="Tahoma" w:cs="Tahoma" w:hint="eastAsia"/>
                <w:color w:val="000000"/>
                <w:szCs w:val="21"/>
              </w:rPr>
              <w:t>区域因素</w:t>
            </w:r>
          </w:p>
        </w:tc>
        <w:tc>
          <w:tcPr>
            <w:tcW w:w="780" w:type="dxa"/>
            <w:vMerge w:val="restart"/>
            <w:shd w:val="clear" w:color="auto" w:fill="auto"/>
            <w:tcMar>
              <w:top w:w="15" w:type="dxa"/>
              <w:left w:w="15" w:type="dxa"/>
              <w:bottom w:w="0" w:type="dxa"/>
              <w:right w:w="15" w:type="dxa"/>
            </w:tcMar>
            <w:vAlign w:val="center"/>
            <w:hideMark/>
          </w:tcPr>
          <w:p w:rsidR="000D26D2" w:rsidRDefault="000D26D2">
            <w:pPr>
              <w:jc w:val="center"/>
              <w:rPr>
                <w:rFonts w:ascii="仿宋_GB2312" w:eastAsia="仿宋_GB2312" w:hAnsi="Tahoma" w:cs="Tahoma"/>
                <w:color w:val="000000"/>
                <w:szCs w:val="21"/>
              </w:rPr>
            </w:pPr>
            <w:r>
              <w:rPr>
                <w:rFonts w:ascii="仿宋_GB2312" w:eastAsia="仿宋_GB2312" w:hAnsi="Tahoma" w:cs="Tahoma" w:hint="eastAsia"/>
                <w:color w:val="000000"/>
                <w:szCs w:val="21"/>
              </w:rPr>
              <w:t>基础设施</w:t>
            </w:r>
          </w:p>
        </w:tc>
        <w:tc>
          <w:tcPr>
            <w:tcW w:w="1860" w:type="dxa"/>
            <w:gridSpan w:val="2"/>
            <w:shd w:val="clear" w:color="auto" w:fill="auto"/>
            <w:tcMar>
              <w:top w:w="15" w:type="dxa"/>
              <w:left w:w="15" w:type="dxa"/>
              <w:bottom w:w="0" w:type="dxa"/>
              <w:right w:w="15" w:type="dxa"/>
            </w:tcMar>
            <w:vAlign w:val="center"/>
            <w:hideMark/>
          </w:tcPr>
          <w:p w:rsidR="000D26D2" w:rsidRDefault="000D26D2">
            <w:pPr>
              <w:jc w:val="center"/>
              <w:rPr>
                <w:rFonts w:ascii="仿宋_GB2312" w:eastAsia="仿宋_GB2312" w:hAnsi="Tahoma" w:cs="Tahoma"/>
                <w:color w:val="000000"/>
                <w:szCs w:val="21"/>
              </w:rPr>
            </w:pPr>
            <w:r>
              <w:rPr>
                <w:rFonts w:ascii="仿宋_GB2312" w:eastAsia="仿宋_GB2312" w:hAnsi="Tahoma" w:cs="Tahoma" w:hint="eastAsia"/>
                <w:color w:val="000000"/>
                <w:szCs w:val="21"/>
              </w:rPr>
              <w:t>基础设施完善度</w:t>
            </w:r>
          </w:p>
        </w:tc>
        <w:tc>
          <w:tcPr>
            <w:tcW w:w="1840" w:type="dxa"/>
            <w:shd w:val="clear" w:color="auto" w:fill="auto"/>
            <w:tcMar>
              <w:top w:w="15" w:type="dxa"/>
              <w:left w:w="15" w:type="dxa"/>
              <w:bottom w:w="0" w:type="dxa"/>
              <w:right w:w="15" w:type="dxa"/>
            </w:tcMar>
            <w:vAlign w:val="center"/>
            <w:hideMark/>
          </w:tcPr>
          <w:p w:rsidR="000D26D2" w:rsidRDefault="000D26D2">
            <w:pPr>
              <w:jc w:val="center"/>
              <w:rPr>
                <w:rFonts w:ascii="宋体" w:hAnsi="宋体" w:cs="Tahoma"/>
                <w:color w:val="000000"/>
                <w:sz w:val="20"/>
              </w:rPr>
            </w:pPr>
            <w:r>
              <w:rPr>
                <w:rFonts w:cs="Tahoma" w:hint="eastAsia"/>
                <w:color w:val="000000"/>
                <w:sz w:val="20"/>
              </w:rPr>
              <w:t>水、电等基础设施配套完善，保证率高</w:t>
            </w:r>
          </w:p>
        </w:tc>
        <w:tc>
          <w:tcPr>
            <w:tcW w:w="1701" w:type="dxa"/>
            <w:shd w:val="clear" w:color="auto" w:fill="auto"/>
            <w:tcMar>
              <w:top w:w="15" w:type="dxa"/>
              <w:left w:w="15" w:type="dxa"/>
              <w:bottom w:w="0" w:type="dxa"/>
              <w:right w:w="15" w:type="dxa"/>
            </w:tcMar>
            <w:vAlign w:val="center"/>
            <w:hideMark/>
          </w:tcPr>
          <w:p w:rsidR="000D26D2" w:rsidRDefault="000D26D2">
            <w:pPr>
              <w:jc w:val="center"/>
              <w:rPr>
                <w:rFonts w:ascii="宋体" w:hAnsi="宋体" w:cs="Tahoma"/>
                <w:color w:val="000000"/>
                <w:sz w:val="20"/>
              </w:rPr>
            </w:pPr>
            <w:r>
              <w:rPr>
                <w:rFonts w:cs="Tahoma" w:hint="eastAsia"/>
                <w:color w:val="000000"/>
                <w:sz w:val="20"/>
              </w:rPr>
              <w:t>优</w:t>
            </w:r>
          </w:p>
        </w:tc>
        <w:tc>
          <w:tcPr>
            <w:tcW w:w="1985" w:type="dxa"/>
            <w:shd w:val="clear" w:color="auto" w:fill="auto"/>
            <w:tcMar>
              <w:top w:w="15" w:type="dxa"/>
              <w:left w:w="15" w:type="dxa"/>
              <w:bottom w:w="0" w:type="dxa"/>
              <w:right w:w="15" w:type="dxa"/>
            </w:tcMar>
            <w:vAlign w:val="center"/>
            <w:hideMark/>
          </w:tcPr>
          <w:p w:rsidR="000D26D2" w:rsidRDefault="000D26D2">
            <w:pPr>
              <w:jc w:val="center"/>
              <w:rPr>
                <w:rFonts w:ascii="Tahoma" w:hAnsi="Tahoma" w:cs="Tahoma"/>
                <w:color w:val="000000"/>
                <w:sz w:val="20"/>
              </w:rPr>
            </w:pPr>
            <w:r>
              <w:rPr>
                <w:rFonts w:ascii="Tahoma" w:hAnsi="Tahoma" w:cs="Tahoma"/>
                <w:color w:val="000000"/>
                <w:sz w:val="20"/>
              </w:rPr>
              <w:t>1.88</w:t>
            </w:r>
          </w:p>
        </w:tc>
      </w:tr>
      <w:tr w:rsidR="000D26D2" w:rsidTr="000D26D2">
        <w:trPr>
          <w:trHeight w:val="465"/>
        </w:trPr>
        <w:tc>
          <w:tcPr>
            <w:tcW w:w="0" w:type="auto"/>
            <w:vMerge/>
            <w:vAlign w:val="center"/>
            <w:hideMark/>
          </w:tcPr>
          <w:p w:rsidR="000D26D2" w:rsidRDefault="000D26D2">
            <w:pPr>
              <w:rPr>
                <w:rFonts w:ascii="仿宋_GB2312" w:eastAsia="仿宋_GB2312" w:hAnsi="Tahoma" w:cs="Tahoma"/>
                <w:color w:val="000000"/>
                <w:szCs w:val="21"/>
              </w:rPr>
            </w:pPr>
          </w:p>
        </w:tc>
        <w:tc>
          <w:tcPr>
            <w:tcW w:w="0" w:type="auto"/>
            <w:vMerge/>
            <w:vAlign w:val="center"/>
            <w:hideMark/>
          </w:tcPr>
          <w:p w:rsidR="000D26D2" w:rsidRDefault="000D26D2">
            <w:pPr>
              <w:rPr>
                <w:rFonts w:ascii="仿宋_GB2312" w:eastAsia="仿宋_GB2312" w:hAnsi="Tahoma" w:cs="Tahoma"/>
                <w:color w:val="000000"/>
                <w:szCs w:val="21"/>
              </w:rPr>
            </w:pPr>
          </w:p>
        </w:tc>
        <w:tc>
          <w:tcPr>
            <w:tcW w:w="780" w:type="dxa"/>
            <w:vMerge w:val="restart"/>
            <w:shd w:val="clear" w:color="auto" w:fill="auto"/>
            <w:tcMar>
              <w:top w:w="15" w:type="dxa"/>
              <w:left w:w="15" w:type="dxa"/>
              <w:bottom w:w="0" w:type="dxa"/>
              <w:right w:w="15" w:type="dxa"/>
            </w:tcMar>
            <w:vAlign w:val="center"/>
            <w:hideMark/>
          </w:tcPr>
          <w:p w:rsidR="000D26D2" w:rsidRDefault="000D26D2">
            <w:pPr>
              <w:jc w:val="center"/>
              <w:rPr>
                <w:rFonts w:ascii="仿宋_GB2312" w:eastAsia="仿宋_GB2312" w:hAnsi="Tahoma" w:cs="Tahoma"/>
                <w:color w:val="000000"/>
                <w:szCs w:val="21"/>
              </w:rPr>
            </w:pPr>
            <w:r>
              <w:rPr>
                <w:rFonts w:ascii="仿宋_GB2312" w:eastAsia="仿宋_GB2312" w:hAnsi="Tahoma" w:cs="Tahoma" w:hint="eastAsia"/>
                <w:color w:val="000000"/>
                <w:szCs w:val="21"/>
              </w:rPr>
              <w:t>公用设施完备度</w:t>
            </w:r>
          </w:p>
        </w:tc>
        <w:tc>
          <w:tcPr>
            <w:tcW w:w="1080" w:type="dxa"/>
            <w:shd w:val="clear" w:color="auto" w:fill="auto"/>
            <w:tcMar>
              <w:top w:w="15" w:type="dxa"/>
              <w:left w:w="15" w:type="dxa"/>
              <w:bottom w:w="0" w:type="dxa"/>
              <w:right w:w="15" w:type="dxa"/>
            </w:tcMar>
            <w:vAlign w:val="center"/>
            <w:hideMark/>
          </w:tcPr>
          <w:p w:rsidR="000D26D2" w:rsidRDefault="000D26D2">
            <w:pPr>
              <w:jc w:val="center"/>
              <w:rPr>
                <w:rFonts w:ascii="仿宋_GB2312" w:eastAsia="仿宋_GB2312" w:hAnsi="Tahoma" w:cs="Tahoma"/>
                <w:color w:val="000000"/>
                <w:szCs w:val="21"/>
              </w:rPr>
            </w:pPr>
            <w:r>
              <w:rPr>
                <w:rFonts w:ascii="仿宋_GB2312" w:eastAsia="仿宋_GB2312" w:hAnsi="Tahoma" w:cs="Tahoma" w:hint="eastAsia"/>
                <w:color w:val="000000"/>
                <w:szCs w:val="21"/>
              </w:rPr>
              <w:t>大中专</w:t>
            </w:r>
          </w:p>
        </w:tc>
        <w:tc>
          <w:tcPr>
            <w:tcW w:w="1840" w:type="dxa"/>
            <w:shd w:val="clear" w:color="auto" w:fill="auto"/>
            <w:tcMar>
              <w:top w:w="15" w:type="dxa"/>
              <w:left w:w="15" w:type="dxa"/>
              <w:bottom w:w="0" w:type="dxa"/>
              <w:right w:w="15" w:type="dxa"/>
            </w:tcMar>
            <w:vAlign w:val="center"/>
            <w:hideMark/>
          </w:tcPr>
          <w:p w:rsidR="000D26D2" w:rsidRDefault="000D26D2">
            <w:pPr>
              <w:jc w:val="center"/>
              <w:rPr>
                <w:rFonts w:ascii="Tahoma" w:hAnsi="Tahoma" w:cs="Tahoma"/>
                <w:color w:val="000000"/>
                <w:sz w:val="20"/>
              </w:rPr>
            </w:pPr>
            <w:r>
              <w:rPr>
                <w:rFonts w:ascii="Tahoma" w:hAnsi="Tahoma" w:cs="Tahoma"/>
                <w:color w:val="000000"/>
                <w:sz w:val="20"/>
              </w:rPr>
              <w:t>100</w:t>
            </w:r>
            <w:r>
              <w:rPr>
                <w:rFonts w:cs="Tahoma" w:hint="eastAsia"/>
                <w:color w:val="000000"/>
                <w:sz w:val="20"/>
              </w:rPr>
              <w:t>米</w:t>
            </w:r>
          </w:p>
        </w:tc>
        <w:tc>
          <w:tcPr>
            <w:tcW w:w="1701" w:type="dxa"/>
            <w:shd w:val="clear" w:color="auto" w:fill="auto"/>
            <w:tcMar>
              <w:top w:w="15" w:type="dxa"/>
              <w:left w:w="15" w:type="dxa"/>
              <w:bottom w:w="0" w:type="dxa"/>
              <w:right w:w="15" w:type="dxa"/>
            </w:tcMar>
            <w:vAlign w:val="center"/>
            <w:hideMark/>
          </w:tcPr>
          <w:p w:rsidR="000D26D2" w:rsidRDefault="000D26D2">
            <w:pPr>
              <w:jc w:val="center"/>
              <w:rPr>
                <w:rFonts w:ascii="宋体" w:hAnsi="宋体" w:cs="Tahoma"/>
                <w:color w:val="000000"/>
                <w:sz w:val="20"/>
              </w:rPr>
            </w:pPr>
            <w:r>
              <w:rPr>
                <w:rFonts w:cs="Tahoma" w:hint="eastAsia"/>
                <w:color w:val="000000"/>
                <w:sz w:val="20"/>
              </w:rPr>
              <w:t>优</w:t>
            </w:r>
          </w:p>
        </w:tc>
        <w:tc>
          <w:tcPr>
            <w:tcW w:w="1985" w:type="dxa"/>
            <w:shd w:val="clear" w:color="auto" w:fill="auto"/>
            <w:tcMar>
              <w:top w:w="15" w:type="dxa"/>
              <w:left w:w="15" w:type="dxa"/>
              <w:bottom w:w="0" w:type="dxa"/>
              <w:right w:w="15" w:type="dxa"/>
            </w:tcMar>
            <w:vAlign w:val="center"/>
            <w:hideMark/>
          </w:tcPr>
          <w:p w:rsidR="000D26D2" w:rsidRDefault="000D26D2">
            <w:pPr>
              <w:jc w:val="center"/>
              <w:rPr>
                <w:rFonts w:ascii="Tahoma" w:hAnsi="Tahoma" w:cs="Tahoma"/>
                <w:color w:val="000000"/>
                <w:sz w:val="20"/>
              </w:rPr>
            </w:pPr>
            <w:r>
              <w:rPr>
                <w:rFonts w:ascii="Tahoma" w:hAnsi="Tahoma" w:cs="Tahoma"/>
                <w:color w:val="000000"/>
                <w:sz w:val="20"/>
              </w:rPr>
              <w:t>0.81</w:t>
            </w:r>
          </w:p>
        </w:tc>
      </w:tr>
      <w:tr w:rsidR="000D26D2" w:rsidTr="000D26D2">
        <w:trPr>
          <w:trHeight w:val="465"/>
        </w:trPr>
        <w:tc>
          <w:tcPr>
            <w:tcW w:w="0" w:type="auto"/>
            <w:vMerge/>
            <w:vAlign w:val="center"/>
            <w:hideMark/>
          </w:tcPr>
          <w:p w:rsidR="000D26D2" w:rsidRDefault="000D26D2">
            <w:pPr>
              <w:rPr>
                <w:rFonts w:ascii="仿宋_GB2312" w:eastAsia="仿宋_GB2312" w:hAnsi="Tahoma" w:cs="Tahoma"/>
                <w:color w:val="000000"/>
                <w:szCs w:val="21"/>
              </w:rPr>
            </w:pPr>
          </w:p>
        </w:tc>
        <w:tc>
          <w:tcPr>
            <w:tcW w:w="0" w:type="auto"/>
            <w:vMerge/>
            <w:vAlign w:val="center"/>
            <w:hideMark/>
          </w:tcPr>
          <w:p w:rsidR="000D26D2" w:rsidRDefault="000D26D2">
            <w:pPr>
              <w:rPr>
                <w:rFonts w:ascii="仿宋_GB2312" w:eastAsia="仿宋_GB2312" w:hAnsi="Tahoma" w:cs="Tahoma"/>
                <w:color w:val="000000"/>
                <w:szCs w:val="21"/>
              </w:rPr>
            </w:pPr>
          </w:p>
        </w:tc>
        <w:tc>
          <w:tcPr>
            <w:tcW w:w="0" w:type="auto"/>
            <w:vMerge/>
            <w:vAlign w:val="center"/>
            <w:hideMark/>
          </w:tcPr>
          <w:p w:rsidR="000D26D2" w:rsidRDefault="000D26D2">
            <w:pPr>
              <w:rPr>
                <w:rFonts w:ascii="仿宋_GB2312" w:eastAsia="仿宋_GB2312" w:hAnsi="Tahoma" w:cs="Tahoma"/>
                <w:color w:val="000000"/>
                <w:szCs w:val="21"/>
              </w:rPr>
            </w:pPr>
          </w:p>
        </w:tc>
        <w:tc>
          <w:tcPr>
            <w:tcW w:w="1080" w:type="dxa"/>
            <w:shd w:val="clear" w:color="auto" w:fill="auto"/>
            <w:tcMar>
              <w:top w:w="15" w:type="dxa"/>
              <w:left w:w="15" w:type="dxa"/>
              <w:bottom w:w="0" w:type="dxa"/>
              <w:right w:w="15" w:type="dxa"/>
            </w:tcMar>
            <w:vAlign w:val="center"/>
            <w:hideMark/>
          </w:tcPr>
          <w:p w:rsidR="000D26D2" w:rsidRDefault="000D26D2">
            <w:pPr>
              <w:jc w:val="center"/>
              <w:rPr>
                <w:rFonts w:ascii="仿宋_GB2312" w:eastAsia="仿宋_GB2312" w:hAnsi="Tahoma" w:cs="Tahoma"/>
                <w:color w:val="000000"/>
                <w:szCs w:val="21"/>
              </w:rPr>
            </w:pPr>
            <w:r>
              <w:rPr>
                <w:rFonts w:ascii="仿宋_GB2312" w:eastAsia="仿宋_GB2312" w:hAnsi="Tahoma" w:cs="Tahoma" w:hint="eastAsia"/>
                <w:color w:val="000000"/>
                <w:szCs w:val="21"/>
              </w:rPr>
              <w:t>中学</w:t>
            </w:r>
          </w:p>
        </w:tc>
        <w:tc>
          <w:tcPr>
            <w:tcW w:w="1840" w:type="dxa"/>
            <w:shd w:val="clear" w:color="auto" w:fill="auto"/>
            <w:tcMar>
              <w:top w:w="15" w:type="dxa"/>
              <w:left w:w="15" w:type="dxa"/>
              <w:bottom w:w="0" w:type="dxa"/>
              <w:right w:w="15" w:type="dxa"/>
            </w:tcMar>
            <w:vAlign w:val="center"/>
            <w:hideMark/>
          </w:tcPr>
          <w:p w:rsidR="000D26D2" w:rsidRDefault="000D26D2">
            <w:pPr>
              <w:jc w:val="center"/>
              <w:rPr>
                <w:rFonts w:ascii="Tahoma" w:hAnsi="Tahoma" w:cs="Tahoma"/>
                <w:color w:val="000000"/>
                <w:sz w:val="20"/>
              </w:rPr>
            </w:pPr>
            <w:r>
              <w:rPr>
                <w:rFonts w:ascii="Tahoma" w:hAnsi="Tahoma" w:cs="Tahoma"/>
                <w:color w:val="000000"/>
                <w:sz w:val="20"/>
              </w:rPr>
              <w:t>2000</w:t>
            </w:r>
            <w:r>
              <w:rPr>
                <w:rFonts w:cs="Tahoma" w:hint="eastAsia"/>
                <w:color w:val="000000"/>
                <w:sz w:val="20"/>
              </w:rPr>
              <w:t>米</w:t>
            </w:r>
          </w:p>
        </w:tc>
        <w:tc>
          <w:tcPr>
            <w:tcW w:w="1701" w:type="dxa"/>
            <w:shd w:val="clear" w:color="auto" w:fill="auto"/>
            <w:tcMar>
              <w:top w:w="15" w:type="dxa"/>
              <w:left w:w="15" w:type="dxa"/>
              <w:bottom w:w="0" w:type="dxa"/>
              <w:right w:w="15" w:type="dxa"/>
            </w:tcMar>
            <w:vAlign w:val="center"/>
            <w:hideMark/>
          </w:tcPr>
          <w:p w:rsidR="000D26D2" w:rsidRDefault="000D26D2">
            <w:pPr>
              <w:jc w:val="center"/>
              <w:rPr>
                <w:rFonts w:ascii="宋体" w:hAnsi="宋体" w:cs="Tahoma"/>
                <w:color w:val="000000"/>
                <w:sz w:val="20"/>
              </w:rPr>
            </w:pPr>
            <w:r>
              <w:rPr>
                <w:rFonts w:cs="Tahoma" w:hint="eastAsia"/>
                <w:color w:val="000000"/>
                <w:sz w:val="20"/>
              </w:rPr>
              <w:t>优</w:t>
            </w:r>
          </w:p>
        </w:tc>
        <w:tc>
          <w:tcPr>
            <w:tcW w:w="1985" w:type="dxa"/>
            <w:shd w:val="clear" w:color="auto" w:fill="auto"/>
            <w:tcMar>
              <w:top w:w="15" w:type="dxa"/>
              <w:left w:w="15" w:type="dxa"/>
              <w:bottom w:w="0" w:type="dxa"/>
              <w:right w:w="15" w:type="dxa"/>
            </w:tcMar>
            <w:vAlign w:val="center"/>
            <w:hideMark/>
          </w:tcPr>
          <w:p w:rsidR="000D26D2" w:rsidRDefault="000D26D2">
            <w:pPr>
              <w:jc w:val="center"/>
              <w:rPr>
                <w:rFonts w:ascii="Tahoma" w:hAnsi="Tahoma" w:cs="Tahoma"/>
                <w:color w:val="000000"/>
                <w:sz w:val="20"/>
              </w:rPr>
            </w:pPr>
            <w:r>
              <w:rPr>
                <w:rFonts w:ascii="Tahoma" w:hAnsi="Tahoma" w:cs="Tahoma"/>
                <w:color w:val="000000"/>
                <w:sz w:val="20"/>
              </w:rPr>
              <w:t>1.34</w:t>
            </w:r>
          </w:p>
        </w:tc>
      </w:tr>
      <w:tr w:rsidR="000D26D2" w:rsidTr="000D26D2">
        <w:trPr>
          <w:trHeight w:val="465"/>
        </w:trPr>
        <w:tc>
          <w:tcPr>
            <w:tcW w:w="0" w:type="auto"/>
            <w:vMerge/>
            <w:vAlign w:val="center"/>
            <w:hideMark/>
          </w:tcPr>
          <w:p w:rsidR="000D26D2" w:rsidRDefault="000D26D2">
            <w:pPr>
              <w:rPr>
                <w:rFonts w:ascii="仿宋_GB2312" w:eastAsia="仿宋_GB2312" w:hAnsi="Tahoma" w:cs="Tahoma"/>
                <w:color w:val="000000"/>
                <w:szCs w:val="21"/>
              </w:rPr>
            </w:pPr>
          </w:p>
        </w:tc>
        <w:tc>
          <w:tcPr>
            <w:tcW w:w="0" w:type="auto"/>
            <w:vMerge/>
            <w:vAlign w:val="center"/>
            <w:hideMark/>
          </w:tcPr>
          <w:p w:rsidR="000D26D2" w:rsidRDefault="000D26D2">
            <w:pPr>
              <w:rPr>
                <w:rFonts w:ascii="仿宋_GB2312" w:eastAsia="仿宋_GB2312" w:hAnsi="Tahoma" w:cs="Tahoma"/>
                <w:color w:val="000000"/>
                <w:szCs w:val="21"/>
              </w:rPr>
            </w:pPr>
          </w:p>
        </w:tc>
        <w:tc>
          <w:tcPr>
            <w:tcW w:w="0" w:type="auto"/>
            <w:vMerge/>
            <w:vAlign w:val="center"/>
            <w:hideMark/>
          </w:tcPr>
          <w:p w:rsidR="000D26D2" w:rsidRDefault="000D26D2">
            <w:pPr>
              <w:rPr>
                <w:rFonts w:ascii="仿宋_GB2312" w:eastAsia="仿宋_GB2312" w:hAnsi="Tahoma" w:cs="Tahoma"/>
                <w:color w:val="000000"/>
                <w:szCs w:val="21"/>
              </w:rPr>
            </w:pPr>
          </w:p>
        </w:tc>
        <w:tc>
          <w:tcPr>
            <w:tcW w:w="1080" w:type="dxa"/>
            <w:shd w:val="clear" w:color="auto" w:fill="auto"/>
            <w:tcMar>
              <w:top w:w="15" w:type="dxa"/>
              <w:left w:w="15" w:type="dxa"/>
              <w:bottom w:w="0" w:type="dxa"/>
              <w:right w:w="15" w:type="dxa"/>
            </w:tcMar>
            <w:vAlign w:val="center"/>
            <w:hideMark/>
          </w:tcPr>
          <w:p w:rsidR="000D26D2" w:rsidRDefault="000D26D2">
            <w:pPr>
              <w:jc w:val="center"/>
              <w:rPr>
                <w:rFonts w:ascii="仿宋_GB2312" w:eastAsia="仿宋_GB2312" w:hAnsi="Tahoma" w:cs="Tahoma"/>
                <w:color w:val="000000"/>
                <w:szCs w:val="21"/>
              </w:rPr>
            </w:pPr>
            <w:r>
              <w:rPr>
                <w:rFonts w:ascii="仿宋_GB2312" w:eastAsia="仿宋_GB2312" w:hAnsi="Tahoma" w:cs="Tahoma" w:hint="eastAsia"/>
                <w:color w:val="000000"/>
                <w:szCs w:val="21"/>
              </w:rPr>
              <w:t>小学</w:t>
            </w:r>
          </w:p>
        </w:tc>
        <w:tc>
          <w:tcPr>
            <w:tcW w:w="1840" w:type="dxa"/>
            <w:shd w:val="clear" w:color="auto" w:fill="auto"/>
            <w:tcMar>
              <w:top w:w="15" w:type="dxa"/>
              <w:left w:w="15" w:type="dxa"/>
              <w:bottom w:w="0" w:type="dxa"/>
              <w:right w:w="15" w:type="dxa"/>
            </w:tcMar>
            <w:vAlign w:val="center"/>
            <w:hideMark/>
          </w:tcPr>
          <w:p w:rsidR="000D26D2" w:rsidRDefault="000D26D2">
            <w:pPr>
              <w:jc w:val="center"/>
              <w:rPr>
                <w:rFonts w:ascii="Tahoma" w:hAnsi="Tahoma" w:cs="Tahoma"/>
                <w:color w:val="000000"/>
                <w:sz w:val="20"/>
              </w:rPr>
            </w:pPr>
            <w:r>
              <w:rPr>
                <w:rFonts w:ascii="Tahoma" w:hAnsi="Tahoma" w:cs="Tahoma"/>
                <w:color w:val="000000"/>
                <w:sz w:val="20"/>
              </w:rPr>
              <w:t>2400</w:t>
            </w:r>
            <w:r>
              <w:rPr>
                <w:rFonts w:cs="Tahoma" w:hint="eastAsia"/>
                <w:color w:val="000000"/>
                <w:sz w:val="20"/>
              </w:rPr>
              <w:t>米</w:t>
            </w:r>
          </w:p>
        </w:tc>
        <w:tc>
          <w:tcPr>
            <w:tcW w:w="1701" w:type="dxa"/>
            <w:shd w:val="clear" w:color="auto" w:fill="auto"/>
            <w:tcMar>
              <w:top w:w="15" w:type="dxa"/>
              <w:left w:w="15" w:type="dxa"/>
              <w:bottom w:w="0" w:type="dxa"/>
              <w:right w:w="15" w:type="dxa"/>
            </w:tcMar>
            <w:vAlign w:val="center"/>
            <w:hideMark/>
          </w:tcPr>
          <w:p w:rsidR="000D26D2" w:rsidRDefault="000D26D2">
            <w:pPr>
              <w:jc w:val="center"/>
              <w:rPr>
                <w:rFonts w:ascii="宋体" w:hAnsi="宋体" w:cs="Tahoma"/>
                <w:color w:val="000000"/>
                <w:sz w:val="20"/>
              </w:rPr>
            </w:pPr>
            <w:r>
              <w:rPr>
                <w:rFonts w:cs="Tahoma" w:hint="eastAsia"/>
                <w:color w:val="000000"/>
                <w:sz w:val="20"/>
              </w:rPr>
              <w:t>较优</w:t>
            </w:r>
          </w:p>
        </w:tc>
        <w:tc>
          <w:tcPr>
            <w:tcW w:w="1985" w:type="dxa"/>
            <w:shd w:val="clear" w:color="auto" w:fill="auto"/>
            <w:tcMar>
              <w:top w:w="15" w:type="dxa"/>
              <w:left w:w="15" w:type="dxa"/>
              <w:bottom w:w="0" w:type="dxa"/>
              <w:right w:w="15" w:type="dxa"/>
            </w:tcMar>
            <w:vAlign w:val="center"/>
            <w:hideMark/>
          </w:tcPr>
          <w:p w:rsidR="000D26D2" w:rsidRDefault="000D26D2">
            <w:pPr>
              <w:jc w:val="center"/>
              <w:rPr>
                <w:rFonts w:ascii="Tahoma" w:hAnsi="Tahoma" w:cs="Tahoma"/>
                <w:color w:val="000000"/>
                <w:sz w:val="20"/>
              </w:rPr>
            </w:pPr>
            <w:r>
              <w:rPr>
                <w:rFonts w:ascii="Tahoma" w:hAnsi="Tahoma" w:cs="Tahoma"/>
                <w:color w:val="000000"/>
                <w:sz w:val="20"/>
              </w:rPr>
              <w:t>0.54</w:t>
            </w:r>
          </w:p>
        </w:tc>
      </w:tr>
      <w:tr w:rsidR="000D26D2" w:rsidTr="000D26D2">
        <w:trPr>
          <w:trHeight w:val="465"/>
        </w:trPr>
        <w:tc>
          <w:tcPr>
            <w:tcW w:w="0" w:type="auto"/>
            <w:vMerge/>
            <w:vAlign w:val="center"/>
            <w:hideMark/>
          </w:tcPr>
          <w:p w:rsidR="000D26D2" w:rsidRDefault="000D26D2">
            <w:pPr>
              <w:rPr>
                <w:rFonts w:ascii="仿宋_GB2312" w:eastAsia="仿宋_GB2312" w:hAnsi="Tahoma" w:cs="Tahoma"/>
                <w:color w:val="000000"/>
                <w:szCs w:val="21"/>
              </w:rPr>
            </w:pPr>
          </w:p>
        </w:tc>
        <w:tc>
          <w:tcPr>
            <w:tcW w:w="0" w:type="auto"/>
            <w:vMerge/>
            <w:vAlign w:val="center"/>
            <w:hideMark/>
          </w:tcPr>
          <w:p w:rsidR="000D26D2" w:rsidRDefault="000D26D2">
            <w:pPr>
              <w:rPr>
                <w:rFonts w:ascii="仿宋_GB2312" w:eastAsia="仿宋_GB2312" w:hAnsi="Tahoma" w:cs="Tahoma"/>
                <w:color w:val="000000"/>
                <w:szCs w:val="21"/>
              </w:rPr>
            </w:pPr>
          </w:p>
        </w:tc>
        <w:tc>
          <w:tcPr>
            <w:tcW w:w="0" w:type="auto"/>
            <w:vMerge/>
            <w:vAlign w:val="center"/>
            <w:hideMark/>
          </w:tcPr>
          <w:p w:rsidR="000D26D2" w:rsidRDefault="000D26D2">
            <w:pPr>
              <w:rPr>
                <w:rFonts w:ascii="仿宋_GB2312" w:eastAsia="仿宋_GB2312" w:hAnsi="Tahoma" w:cs="Tahoma"/>
                <w:color w:val="000000"/>
                <w:szCs w:val="21"/>
              </w:rPr>
            </w:pPr>
          </w:p>
        </w:tc>
        <w:tc>
          <w:tcPr>
            <w:tcW w:w="1080" w:type="dxa"/>
            <w:shd w:val="clear" w:color="auto" w:fill="auto"/>
            <w:tcMar>
              <w:top w:w="15" w:type="dxa"/>
              <w:left w:w="15" w:type="dxa"/>
              <w:bottom w:w="0" w:type="dxa"/>
              <w:right w:w="15" w:type="dxa"/>
            </w:tcMar>
            <w:vAlign w:val="center"/>
            <w:hideMark/>
          </w:tcPr>
          <w:p w:rsidR="000D26D2" w:rsidRDefault="000D26D2">
            <w:pPr>
              <w:jc w:val="center"/>
              <w:rPr>
                <w:rFonts w:ascii="仿宋_GB2312" w:eastAsia="仿宋_GB2312" w:hAnsi="Tahoma" w:cs="Tahoma"/>
                <w:color w:val="000000"/>
                <w:szCs w:val="21"/>
              </w:rPr>
            </w:pPr>
            <w:r>
              <w:rPr>
                <w:rFonts w:ascii="仿宋_GB2312" w:eastAsia="仿宋_GB2312" w:hAnsi="Tahoma" w:cs="Tahoma" w:hint="eastAsia"/>
                <w:color w:val="000000"/>
                <w:szCs w:val="21"/>
              </w:rPr>
              <w:t>幼儿园</w:t>
            </w:r>
          </w:p>
        </w:tc>
        <w:tc>
          <w:tcPr>
            <w:tcW w:w="1840" w:type="dxa"/>
            <w:shd w:val="clear" w:color="auto" w:fill="auto"/>
            <w:tcMar>
              <w:top w:w="15" w:type="dxa"/>
              <w:left w:w="15" w:type="dxa"/>
              <w:bottom w:w="0" w:type="dxa"/>
              <w:right w:w="15" w:type="dxa"/>
            </w:tcMar>
            <w:vAlign w:val="center"/>
            <w:hideMark/>
          </w:tcPr>
          <w:p w:rsidR="000D26D2" w:rsidRDefault="000D26D2">
            <w:pPr>
              <w:jc w:val="center"/>
              <w:rPr>
                <w:rFonts w:ascii="Tahoma" w:hAnsi="Tahoma" w:cs="Tahoma"/>
                <w:color w:val="000000"/>
                <w:sz w:val="20"/>
              </w:rPr>
            </w:pPr>
            <w:r>
              <w:rPr>
                <w:rFonts w:ascii="Tahoma" w:hAnsi="Tahoma" w:cs="Tahoma"/>
                <w:color w:val="000000"/>
                <w:sz w:val="20"/>
              </w:rPr>
              <w:t>888</w:t>
            </w:r>
            <w:r>
              <w:rPr>
                <w:rFonts w:cs="Tahoma" w:hint="eastAsia"/>
                <w:color w:val="000000"/>
                <w:sz w:val="20"/>
              </w:rPr>
              <w:t>米</w:t>
            </w:r>
          </w:p>
        </w:tc>
        <w:tc>
          <w:tcPr>
            <w:tcW w:w="1701" w:type="dxa"/>
            <w:shd w:val="clear" w:color="auto" w:fill="auto"/>
            <w:tcMar>
              <w:top w:w="15" w:type="dxa"/>
              <w:left w:w="15" w:type="dxa"/>
              <w:bottom w:w="0" w:type="dxa"/>
              <w:right w:w="15" w:type="dxa"/>
            </w:tcMar>
            <w:vAlign w:val="center"/>
            <w:hideMark/>
          </w:tcPr>
          <w:p w:rsidR="000D26D2" w:rsidRDefault="000D26D2">
            <w:pPr>
              <w:jc w:val="center"/>
              <w:rPr>
                <w:rFonts w:ascii="宋体" w:hAnsi="宋体" w:cs="Tahoma"/>
                <w:color w:val="000000"/>
                <w:sz w:val="20"/>
              </w:rPr>
            </w:pPr>
            <w:r>
              <w:rPr>
                <w:rFonts w:cs="Tahoma" w:hint="eastAsia"/>
                <w:color w:val="000000"/>
                <w:sz w:val="20"/>
              </w:rPr>
              <w:t>优</w:t>
            </w:r>
          </w:p>
        </w:tc>
        <w:tc>
          <w:tcPr>
            <w:tcW w:w="1985" w:type="dxa"/>
            <w:shd w:val="clear" w:color="auto" w:fill="auto"/>
            <w:tcMar>
              <w:top w:w="15" w:type="dxa"/>
              <w:left w:w="15" w:type="dxa"/>
              <w:bottom w:w="0" w:type="dxa"/>
              <w:right w:w="15" w:type="dxa"/>
            </w:tcMar>
            <w:vAlign w:val="center"/>
            <w:hideMark/>
          </w:tcPr>
          <w:p w:rsidR="000D26D2" w:rsidRDefault="000D26D2">
            <w:pPr>
              <w:jc w:val="center"/>
              <w:rPr>
                <w:rFonts w:ascii="Tahoma" w:hAnsi="Tahoma" w:cs="Tahoma"/>
                <w:color w:val="000000"/>
                <w:sz w:val="20"/>
              </w:rPr>
            </w:pPr>
            <w:r>
              <w:rPr>
                <w:rFonts w:ascii="Tahoma" w:hAnsi="Tahoma" w:cs="Tahoma"/>
                <w:color w:val="000000"/>
                <w:sz w:val="20"/>
              </w:rPr>
              <w:t>0.81</w:t>
            </w:r>
          </w:p>
        </w:tc>
      </w:tr>
      <w:tr w:rsidR="000D26D2" w:rsidTr="000D26D2">
        <w:trPr>
          <w:trHeight w:val="465"/>
        </w:trPr>
        <w:tc>
          <w:tcPr>
            <w:tcW w:w="0" w:type="auto"/>
            <w:vMerge/>
            <w:vAlign w:val="center"/>
            <w:hideMark/>
          </w:tcPr>
          <w:p w:rsidR="000D26D2" w:rsidRDefault="000D26D2">
            <w:pPr>
              <w:rPr>
                <w:rFonts w:ascii="仿宋_GB2312" w:eastAsia="仿宋_GB2312" w:hAnsi="Tahoma" w:cs="Tahoma"/>
                <w:color w:val="000000"/>
                <w:szCs w:val="21"/>
              </w:rPr>
            </w:pPr>
          </w:p>
        </w:tc>
        <w:tc>
          <w:tcPr>
            <w:tcW w:w="0" w:type="auto"/>
            <w:vMerge/>
            <w:vAlign w:val="center"/>
            <w:hideMark/>
          </w:tcPr>
          <w:p w:rsidR="000D26D2" w:rsidRDefault="000D26D2">
            <w:pPr>
              <w:rPr>
                <w:rFonts w:ascii="仿宋_GB2312" w:eastAsia="仿宋_GB2312" w:hAnsi="Tahoma" w:cs="Tahoma"/>
                <w:color w:val="000000"/>
                <w:szCs w:val="21"/>
              </w:rPr>
            </w:pPr>
          </w:p>
        </w:tc>
        <w:tc>
          <w:tcPr>
            <w:tcW w:w="0" w:type="auto"/>
            <w:vMerge/>
            <w:vAlign w:val="center"/>
            <w:hideMark/>
          </w:tcPr>
          <w:p w:rsidR="000D26D2" w:rsidRDefault="000D26D2">
            <w:pPr>
              <w:rPr>
                <w:rFonts w:ascii="仿宋_GB2312" w:eastAsia="仿宋_GB2312" w:hAnsi="Tahoma" w:cs="Tahoma"/>
                <w:color w:val="000000"/>
                <w:szCs w:val="21"/>
              </w:rPr>
            </w:pPr>
          </w:p>
        </w:tc>
        <w:tc>
          <w:tcPr>
            <w:tcW w:w="1080" w:type="dxa"/>
            <w:shd w:val="clear" w:color="auto" w:fill="auto"/>
            <w:tcMar>
              <w:top w:w="15" w:type="dxa"/>
              <w:left w:w="15" w:type="dxa"/>
              <w:bottom w:w="0" w:type="dxa"/>
              <w:right w:w="15" w:type="dxa"/>
            </w:tcMar>
            <w:vAlign w:val="center"/>
            <w:hideMark/>
          </w:tcPr>
          <w:p w:rsidR="000D26D2" w:rsidRDefault="000D26D2">
            <w:pPr>
              <w:jc w:val="center"/>
              <w:rPr>
                <w:rFonts w:ascii="仿宋_GB2312" w:eastAsia="仿宋_GB2312" w:hAnsi="Tahoma" w:cs="Tahoma"/>
                <w:color w:val="000000"/>
                <w:szCs w:val="21"/>
              </w:rPr>
            </w:pPr>
            <w:r>
              <w:rPr>
                <w:rFonts w:ascii="仿宋_GB2312" w:eastAsia="仿宋_GB2312" w:hAnsi="Tahoma" w:cs="Tahoma" w:hint="eastAsia"/>
                <w:color w:val="000000"/>
                <w:szCs w:val="21"/>
              </w:rPr>
              <w:t>医院</w:t>
            </w:r>
          </w:p>
        </w:tc>
        <w:tc>
          <w:tcPr>
            <w:tcW w:w="1840" w:type="dxa"/>
            <w:shd w:val="clear" w:color="auto" w:fill="auto"/>
            <w:tcMar>
              <w:top w:w="15" w:type="dxa"/>
              <w:left w:w="15" w:type="dxa"/>
              <w:bottom w:w="0" w:type="dxa"/>
              <w:right w:w="15" w:type="dxa"/>
            </w:tcMar>
            <w:vAlign w:val="center"/>
            <w:hideMark/>
          </w:tcPr>
          <w:p w:rsidR="000D26D2" w:rsidRDefault="000D26D2">
            <w:pPr>
              <w:jc w:val="center"/>
              <w:rPr>
                <w:rFonts w:ascii="Tahoma" w:hAnsi="Tahoma" w:cs="Tahoma"/>
                <w:color w:val="000000"/>
                <w:sz w:val="20"/>
              </w:rPr>
            </w:pPr>
            <w:r>
              <w:rPr>
                <w:rFonts w:ascii="Tahoma" w:hAnsi="Tahoma" w:cs="Tahoma"/>
                <w:color w:val="000000"/>
                <w:sz w:val="20"/>
              </w:rPr>
              <w:t>2900</w:t>
            </w:r>
            <w:r>
              <w:rPr>
                <w:rFonts w:cs="Tahoma" w:hint="eastAsia"/>
                <w:color w:val="000000"/>
                <w:sz w:val="20"/>
              </w:rPr>
              <w:t>米</w:t>
            </w:r>
          </w:p>
        </w:tc>
        <w:tc>
          <w:tcPr>
            <w:tcW w:w="1701" w:type="dxa"/>
            <w:shd w:val="clear" w:color="auto" w:fill="auto"/>
            <w:tcMar>
              <w:top w:w="15" w:type="dxa"/>
              <w:left w:w="15" w:type="dxa"/>
              <w:bottom w:w="0" w:type="dxa"/>
              <w:right w:w="15" w:type="dxa"/>
            </w:tcMar>
            <w:vAlign w:val="center"/>
            <w:hideMark/>
          </w:tcPr>
          <w:p w:rsidR="000D26D2" w:rsidRDefault="000D26D2">
            <w:pPr>
              <w:jc w:val="center"/>
              <w:rPr>
                <w:rFonts w:ascii="宋体" w:hAnsi="宋体" w:cs="Tahoma"/>
                <w:color w:val="000000"/>
                <w:sz w:val="20"/>
              </w:rPr>
            </w:pPr>
            <w:r>
              <w:rPr>
                <w:rFonts w:cs="Tahoma" w:hint="eastAsia"/>
                <w:color w:val="000000"/>
                <w:sz w:val="20"/>
              </w:rPr>
              <w:t>较优</w:t>
            </w:r>
          </w:p>
        </w:tc>
        <w:tc>
          <w:tcPr>
            <w:tcW w:w="1985" w:type="dxa"/>
            <w:shd w:val="clear" w:color="auto" w:fill="auto"/>
            <w:tcMar>
              <w:top w:w="15" w:type="dxa"/>
              <w:left w:w="15" w:type="dxa"/>
              <w:bottom w:w="0" w:type="dxa"/>
              <w:right w:w="15" w:type="dxa"/>
            </w:tcMar>
            <w:vAlign w:val="center"/>
            <w:hideMark/>
          </w:tcPr>
          <w:p w:rsidR="000D26D2" w:rsidRDefault="000D26D2">
            <w:pPr>
              <w:jc w:val="center"/>
              <w:rPr>
                <w:rFonts w:ascii="Tahoma" w:hAnsi="Tahoma" w:cs="Tahoma"/>
                <w:color w:val="000000"/>
                <w:sz w:val="20"/>
              </w:rPr>
            </w:pPr>
            <w:r>
              <w:rPr>
                <w:rFonts w:ascii="Tahoma" w:hAnsi="Tahoma" w:cs="Tahoma"/>
                <w:color w:val="000000"/>
                <w:sz w:val="20"/>
              </w:rPr>
              <w:t>0.4</w:t>
            </w:r>
          </w:p>
        </w:tc>
      </w:tr>
      <w:tr w:rsidR="000D26D2" w:rsidTr="000D26D2">
        <w:trPr>
          <w:trHeight w:val="465"/>
        </w:trPr>
        <w:tc>
          <w:tcPr>
            <w:tcW w:w="0" w:type="auto"/>
            <w:vMerge/>
            <w:vAlign w:val="center"/>
            <w:hideMark/>
          </w:tcPr>
          <w:p w:rsidR="000D26D2" w:rsidRDefault="000D26D2">
            <w:pPr>
              <w:rPr>
                <w:rFonts w:ascii="仿宋_GB2312" w:eastAsia="仿宋_GB2312" w:hAnsi="Tahoma" w:cs="Tahoma"/>
                <w:color w:val="000000"/>
                <w:szCs w:val="21"/>
              </w:rPr>
            </w:pPr>
          </w:p>
        </w:tc>
        <w:tc>
          <w:tcPr>
            <w:tcW w:w="0" w:type="auto"/>
            <w:vMerge/>
            <w:vAlign w:val="center"/>
            <w:hideMark/>
          </w:tcPr>
          <w:p w:rsidR="000D26D2" w:rsidRDefault="000D26D2">
            <w:pPr>
              <w:rPr>
                <w:rFonts w:ascii="仿宋_GB2312" w:eastAsia="仿宋_GB2312" w:hAnsi="Tahoma" w:cs="Tahoma"/>
                <w:color w:val="000000"/>
                <w:szCs w:val="21"/>
              </w:rPr>
            </w:pPr>
          </w:p>
        </w:tc>
        <w:tc>
          <w:tcPr>
            <w:tcW w:w="0" w:type="auto"/>
            <w:vMerge/>
            <w:vAlign w:val="center"/>
            <w:hideMark/>
          </w:tcPr>
          <w:p w:rsidR="000D26D2" w:rsidRDefault="000D26D2">
            <w:pPr>
              <w:rPr>
                <w:rFonts w:ascii="仿宋_GB2312" w:eastAsia="仿宋_GB2312" w:hAnsi="Tahoma" w:cs="Tahoma"/>
                <w:color w:val="000000"/>
                <w:szCs w:val="21"/>
              </w:rPr>
            </w:pPr>
          </w:p>
        </w:tc>
        <w:tc>
          <w:tcPr>
            <w:tcW w:w="1080" w:type="dxa"/>
            <w:shd w:val="clear" w:color="auto" w:fill="auto"/>
            <w:tcMar>
              <w:top w:w="15" w:type="dxa"/>
              <w:left w:w="15" w:type="dxa"/>
              <w:bottom w:w="0" w:type="dxa"/>
              <w:right w:w="15" w:type="dxa"/>
            </w:tcMar>
            <w:vAlign w:val="center"/>
            <w:hideMark/>
          </w:tcPr>
          <w:p w:rsidR="000D26D2" w:rsidRDefault="000D26D2">
            <w:pPr>
              <w:jc w:val="center"/>
              <w:rPr>
                <w:rFonts w:ascii="仿宋_GB2312" w:eastAsia="仿宋_GB2312" w:hAnsi="Tahoma" w:cs="Tahoma"/>
                <w:color w:val="000000"/>
                <w:szCs w:val="21"/>
              </w:rPr>
            </w:pPr>
            <w:r>
              <w:rPr>
                <w:rFonts w:ascii="仿宋_GB2312" w:eastAsia="仿宋_GB2312" w:hAnsi="Tahoma" w:cs="Tahoma" w:hint="eastAsia"/>
                <w:color w:val="000000"/>
                <w:szCs w:val="21"/>
              </w:rPr>
              <w:t>农贸市场</w:t>
            </w:r>
          </w:p>
        </w:tc>
        <w:tc>
          <w:tcPr>
            <w:tcW w:w="1840" w:type="dxa"/>
            <w:shd w:val="clear" w:color="auto" w:fill="auto"/>
            <w:tcMar>
              <w:top w:w="15" w:type="dxa"/>
              <w:left w:w="15" w:type="dxa"/>
              <w:bottom w:w="0" w:type="dxa"/>
              <w:right w:w="15" w:type="dxa"/>
            </w:tcMar>
            <w:vAlign w:val="center"/>
            <w:hideMark/>
          </w:tcPr>
          <w:p w:rsidR="000D26D2" w:rsidRDefault="000D26D2">
            <w:pPr>
              <w:jc w:val="center"/>
              <w:rPr>
                <w:rFonts w:ascii="Tahoma" w:hAnsi="Tahoma" w:cs="Tahoma"/>
                <w:color w:val="000000"/>
                <w:sz w:val="20"/>
              </w:rPr>
            </w:pPr>
            <w:r>
              <w:rPr>
                <w:rFonts w:ascii="Tahoma" w:hAnsi="Tahoma" w:cs="Tahoma"/>
                <w:color w:val="000000"/>
                <w:sz w:val="20"/>
              </w:rPr>
              <w:t>2100</w:t>
            </w:r>
            <w:r>
              <w:rPr>
                <w:rFonts w:cs="Tahoma" w:hint="eastAsia"/>
                <w:color w:val="000000"/>
                <w:sz w:val="20"/>
              </w:rPr>
              <w:t>米</w:t>
            </w:r>
          </w:p>
        </w:tc>
        <w:tc>
          <w:tcPr>
            <w:tcW w:w="1701" w:type="dxa"/>
            <w:shd w:val="clear" w:color="auto" w:fill="auto"/>
            <w:tcMar>
              <w:top w:w="15" w:type="dxa"/>
              <w:left w:w="15" w:type="dxa"/>
              <w:bottom w:w="0" w:type="dxa"/>
              <w:right w:w="15" w:type="dxa"/>
            </w:tcMar>
            <w:vAlign w:val="center"/>
            <w:hideMark/>
          </w:tcPr>
          <w:p w:rsidR="000D26D2" w:rsidRDefault="000D26D2">
            <w:pPr>
              <w:jc w:val="center"/>
              <w:rPr>
                <w:rFonts w:ascii="宋体" w:hAnsi="宋体" w:cs="Tahoma"/>
                <w:color w:val="000000"/>
                <w:sz w:val="20"/>
              </w:rPr>
            </w:pPr>
            <w:r>
              <w:rPr>
                <w:rFonts w:cs="Tahoma" w:hint="eastAsia"/>
                <w:color w:val="000000"/>
                <w:sz w:val="20"/>
              </w:rPr>
              <w:t>优</w:t>
            </w:r>
          </w:p>
        </w:tc>
        <w:tc>
          <w:tcPr>
            <w:tcW w:w="1985" w:type="dxa"/>
            <w:shd w:val="clear" w:color="auto" w:fill="auto"/>
            <w:tcMar>
              <w:top w:w="15" w:type="dxa"/>
              <w:left w:w="15" w:type="dxa"/>
              <w:bottom w:w="0" w:type="dxa"/>
              <w:right w:w="15" w:type="dxa"/>
            </w:tcMar>
            <w:vAlign w:val="center"/>
            <w:hideMark/>
          </w:tcPr>
          <w:p w:rsidR="000D26D2" w:rsidRDefault="000D26D2">
            <w:pPr>
              <w:jc w:val="center"/>
              <w:rPr>
                <w:rFonts w:ascii="Tahoma" w:hAnsi="Tahoma" w:cs="Tahoma"/>
                <w:color w:val="000000"/>
                <w:sz w:val="20"/>
              </w:rPr>
            </w:pPr>
            <w:r>
              <w:rPr>
                <w:rFonts w:ascii="Tahoma" w:hAnsi="Tahoma" w:cs="Tahoma"/>
                <w:color w:val="000000"/>
                <w:sz w:val="20"/>
              </w:rPr>
              <w:t>1.34</w:t>
            </w:r>
          </w:p>
        </w:tc>
      </w:tr>
      <w:tr w:rsidR="000D26D2" w:rsidTr="000D26D2">
        <w:trPr>
          <w:trHeight w:val="465"/>
        </w:trPr>
        <w:tc>
          <w:tcPr>
            <w:tcW w:w="0" w:type="auto"/>
            <w:vMerge/>
            <w:vAlign w:val="center"/>
            <w:hideMark/>
          </w:tcPr>
          <w:p w:rsidR="000D26D2" w:rsidRDefault="000D26D2">
            <w:pPr>
              <w:rPr>
                <w:rFonts w:ascii="仿宋_GB2312" w:eastAsia="仿宋_GB2312" w:hAnsi="Tahoma" w:cs="Tahoma"/>
                <w:color w:val="000000"/>
                <w:szCs w:val="21"/>
              </w:rPr>
            </w:pPr>
          </w:p>
        </w:tc>
        <w:tc>
          <w:tcPr>
            <w:tcW w:w="0" w:type="auto"/>
            <w:vMerge/>
            <w:vAlign w:val="center"/>
            <w:hideMark/>
          </w:tcPr>
          <w:p w:rsidR="000D26D2" w:rsidRDefault="000D26D2">
            <w:pPr>
              <w:rPr>
                <w:rFonts w:ascii="仿宋_GB2312" w:eastAsia="仿宋_GB2312" w:hAnsi="Tahoma" w:cs="Tahoma"/>
                <w:color w:val="000000"/>
                <w:szCs w:val="21"/>
              </w:rPr>
            </w:pPr>
          </w:p>
        </w:tc>
        <w:tc>
          <w:tcPr>
            <w:tcW w:w="0" w:type="auto"/>
            <w:vMerge/>
            <w:vAlign w:val="center"/>
            <w:hideMark/>
          </w:tcPr>
          <w:p w:rsidR="000D26D2" w:rsidRDefault="000D26D2">
            <w:pPr>
              <w:rPr>
                <w:rFonts w:ascii="仿宋_GB2312" w:eastAsia="仿宋_GB2312" w:hAnsi="Tahoma" w:cs="Tahoma"/>
                <w:color w:val="000000"/>
                <w:szCs w:val="21"/>
              </w:rPr>
            </w:pPr>
          </w:p>
        </w:tc>
        <w:tc>
          <w:tcPr>
            <w:tcW w:w="1080" w:type="dxa"/>
            <w:shd w:val="clear" w:color="auto" w:fill="auto"/>
            <w:tcMar>
              <w:top w:w="15" w:type="dxa"/>
              <w:left w:w="15" w:type="dxa"/>
              <w:bottom w:w="0" w:type="dxa"/>
              <w:right w:w="15" w:type="dxa"/>
            </w:tcMar>
            <w:vAlign w:val="center"/>
            <w:hideMark/>
          </w:tcPr>
          <w:p w:rsidR="000D26D2" w:rsidRDefault="000D26D2">
            <w:pPr>
              <w:jc w:val="center"/>
              <w:rPr>
                <w:rFonts w:ascii="仿宋_GB2312" w:eastAsia="仿宋_GB2312" w:hAnsi="Tahoma" w:cs="Tahoma"/>
                <w:color w:val="000000"/>
                <w:szCs w:val="21"/>
              </w:rPr>
            </w:pPr>
            <w:r>
              <w:rPr>
                <w:rFonts w:ascii="仿宋_GB2312" w:eastAsia="仿宋_GB2312" w:hAnsi="Tahoma" w:cs="Tahoma" w:hint="eastAsia"/>
                <w:color w:val="000000"/>
                <w:szCs w:val="21"/>
              </w:rPr>
              <w:t>影剧院</w:t>
            </w:r>
          </w:p>
        </w:tc>
        <w:tc>
          <w:tcPr>
            <w:tcW w:w="1840" w:type="dxa"/>
            <w:shd w:val="clear" w:color="auto" w:fill="auto"/>
            <w:tcMar>
              <w:top w:w="15" w:type="dxa"/>
              <w:left w:w="15" w:type="dxa"/>
              <w:bottom w:w="0" w:type="dxa"/>
              <w:right w:w="15" w:type="dxa"/>
            </w:tcMar>
            <w:vAlign w:val="center"/>
            <w:hideMark/>
          </w:tcPr>
          <w:p w:rsidR="000D26D2" w:rsidRDefault="000D26D2">
            <w:pPr>
              <w:jc w:val="center"/>
              <w:rPr>
                <w:rFonts w:ascii="Tahoma" w:hAnsi="Tahoma" w:cs="Tahoma"/>
                <w:color w:val="000000"/>
                <w:sz w:val="20"/>
              </w:rPr>
            </w:pPr>
            <w:r>
              <w:rPr>
                <w:rFonts w:ascii="Tahoma" w:hAnsi="Tahoma" w:cs="Tahoma"/>
                <w:color w:val="000000"/>
                <w:sz w:val="20"/>
              </w:rPr>
              <w:t>3900</w:t>
            </w:r>
            <w:r>
              <w:rPr>
                <w:rFonts w:cs="Tahoma" w:hint="eastAsia"/>
                <w:color w:val="000000"/>
                <w:sz w:val="20"/>
              </w:rPr>
              <w:t>米</w:t>
            </w:r>
          </w:p>
        </w:tc>
        <w:tc>
          <w:tcPr>
            <w:tcW w:w="1701" w:type="dxa"/>
            <w:shd w:val="clear" w:color="auto" w:fill="auto"/>
            <w:tcMar>
              <w:top w:w="15" w:type="dxa"/>
              <w:left w:w="15" w:type="dxa"/>
              <w:bottom w:w="0" w:type="dxa"/>
              <w:right w:w="15" w:type="dxa"/>
            </w:tcMar>
            <w:vAlign w:val="center"/>
            <w:hideMark/>
          </w:tcPr>
          <w:p w:rsidR="000D26D2" w:rsidRDefault="000D26D2">
            <w:pPr>
              <w:jc w:val="center"/>
              <w:rPr>
                <w:rFonts w:ascii="宋体" w:hAnsi="宋体" w:cs="Tahoma"/>
                <w:color w:val="000000"/>
                <w:sz w:val="20"/>
              </w:rPr>
            </w:pPr>
            <w:r>
              <w:rPr>
                <w:rFonts w:cs="Tahoma" w:hint="eastAsia"/>
                <w:color w:val="000000"/>
                <w:sz w:val="20"/>
              </w:rPr>
              <w:t>一般</w:t>
            </w:r>
          </w:p>
        </w:tc>
        <w:tc>
          <w:tcPr>
            <w:tcW w:w="1985" w:type="dxa"/>
            <w:shd w:val="clear" w:color="auto" w:fill="auto"/>
            <w:tcMar>
              <w:top w:w="15" w:type="dxa"/>
              <w:left w:w="15" w:type="dxa"/>
              <w:bottom w:w="0" w:type="dxa"/>
              <w:right w:w="15" w:type="dxa"/>
            </w:tcMar>
            <w:vAlign w:val="center"/>
            <w:hideMark/>
          </w:tcPr>
          <w:p w:rsidR="000D26D2" w:rsidRDefault="000D26D2">
            <w:pPr>
              <w:jc w:val="center"/>
              <w:rPr>
                <w:rFonts w:ascii="Tahoma" w:hAnsi="Tahoma" w:cs="Tahoma"/>
                <w:color w:val="000000"/>
                <w:sz w:val="20"/>
              </w:rPr>
            </w:pPr>
            <w:r>
              <w:rPr>
                <w:rFonts w:ascii="Tahoma" w:hAnsi="Tahoma" w:cs="Tahoma"/>
                <w:color w:val="000000"/>
                <w:sz w:val="20"/>
              </w:rPr>
              <w:t>0</w:t>
            </w:r>
          </w:p>
        </w:tc>
      </w:tr>
      <w:tr w:rsidR="000D26D2" w:rsidTr="000D26D2">
        <w:trPr>
          <w:trHeight w:val="465"/>
        </w:trPr>
        <w:tc>
          <w:tcPr>
            <w:tcW w:w="0" w:type="auto"/>
            <w:vMerge/>
            <w:vAlign w:val="center"/>
            <w:hideMark/>
          </w:tcPr>
          <w:p w:rsidR="000D26D2" w:rsidRDefault="000D26D2">
            <w:pPr>
              <w:rPr>
                <w:rFonts w:ascii="仿宋_GB2312" w:eastAsia="仿宋_GB2312" w:hAnsi="Tahoma" w:cs="Tahoma"/>
                <w:color w:val="000000"/>
                <w:szCs w:val="21"/>
              </w:rPr>
            </w:pPr>
          </w:p>
        </w:tc>
        <w:tc>
          <w:tcPr>
            <w:tcW w:w="0" w:type="auto"/>
            <w:vMerge/>
            <w:vAlign w:val="center"/>
            <w:hideMark/>
          </w:tcPr>
          <w:p w:rsidR="000D26D2" w:rsidRDefault="000D26D2">
            <w:pPr>
              <w:rPr>
                <w:rFonts w:ascii="仿宋_GB2312" w:eastAsia="仿宋_GB2312" w:hAnsi="Tahoma" w:cs="Tahoma"/>
                <w:color w:val="000000"/>
                <w:szCs w:val="21"/>
              </w:rPr>
            </w:pPr>
          </w:p>
        </w:tc>
        <w:tc>
          <w:tcPr>
            <w:tcW w:w="0" w:type="auto"/>
            <w:vMerge/>
            <w:vAlign w:val="center"/>
            <w:hideMark/>
          </w:tcPr>
          <w:p w:rsidR="000D26D2" w:rsidRDefault="000D26D2">
            <w:pPr>
              <w:rPr>
                <w:rFonts w:ascii="仿宋_GB2312" w:eastAsia="仿宋_GB2312" w:hAnsi="Tahoma" w:cs="Tahoma"/>
                <w:color w:val="000000"/>
                <w:szCs w:val="21"/>
              </w:rPr>
            </w:pPr>
          </w:p>
        </w:tc>
        <w:tc>
          <w:tcPr>
            <w:tcW w:w="1080" w:type="dxa"/>
            <w:shd w:val="clear" w:color="auto" w:fill="auto"/>
            <w:tcMar>
              <w:top w:w="15" w:type="dxa"/>
              <w:left w:w="15" w:type="dxa"/>
              <w:bottom w:w="0" w:type="dxa"/>
              <w:right w:w="15" w:type="dxa"/>
            </w:tcMar>
            <w:vAlign w:val="center"/>
            <w:hideMark/>
          </w:tcPr>
          <w:p w:rsidR="000D26D2" w:rsidRDefault="000D26D2">
            <w:pPr>
              <w:jc w:val="center"/>
              <w:rPr>
                <w:rFonts w:ascii="仿宋_GB2312" w:eastAsia="仿宋_GB2312" w:hAnsi="Tahoma" w:cs="Tahoma"/>
                <w:color w:val="000000"/>
                <w:szCs w:val="21"/>
              </w:rPr>
            </w:pPr>
            <w:r>
              <w:rPr>
                <w:rFonts w:ascii="仿宋_GB2312" w:eastAsia="仿宋_GB2312" w:hAnsi="Tahoma" w:cs="Tahoma" w:hint="eastAsia"/>
                <w:color w:val="000000"/>
                <w:szCs w:val="21"/>
              </w:rPr>
              <w:t>文化馆</w:t>
            </w:r>
          </w:p>
        </w:tc>
        <w:tc>
          <w:tcPr>
            <w:tcW w:w="1840" w:type="dxa"/>
            <w:shd w:val="clear" w:color="auto" w:fill="auto"/>
            <w:tcMar>
              <w:top w:w="15" w:type="dxa"/>
              <w:left w:w="15" w:type="dxa"/>
              <w:bottom w:w="0" w:type="dxa"/>
              <w:right w:w="15" w:type="dxa"/>
            </w:tcMar>
            <w:vAlign w:val="center"/>
            <w:hideMark/>
          </w:tcPr>
          <w:p w:rsidR="000D26D2" w:rsidRDefault="000D26D2">
            <w:pPr>
              <w:jc w:val="center"/>
              <w:rPr>
                <w:rFonts w:ascii="Tahoma" w:hAnsi="Tahoma" w:cs="Tahoma"/>
                <w:color w:val="000000"/>
                <w:sz w:val="20"/>
              </w:rPr>
            </w:pPr>
            <w:r>
              <w:rPr>
                <w:rFonts w:ascii="Tahoma" w:hAnsi="Tahoma" w:cs="Tahoma"/>
                <w:color w:val="000000"/>
                <w:sz w:val="20"/>
              </w:rPr>
              <w:t>7400</w:t>
            </w:r>
            <w:r>
              <w:rPr>
                <w:rFonts w:cs="Tahoma" w:hint="eastAsia"/>
                <w:color w:val="000000"/>
                <w:sz w:val="20"/>
              </w:rPr>
              <w:t>米</w:t>
            </w:r>
          </w:p>
        </w:tc>
        <w:tc>
          <w:tcPr>
            <w:tcW w:w="1701" w:type="dxa"/>
            <w:shd w:val="clear" w:color="auto" w:fill="auto"/>
            <w:tcMar>
              <w:top w:w="15" w:type="dxa"/>
              <w:left w:w="15" w:type="dxa"/>
              <w:bottom w:w="0" w:type="dxa"/>
              <w:right w:w="15" w:type="dxa"/>
            </w:tcMar>
            <w:vAlign w:val="center"/>
            <w:hideMark/>
          </w:tcPr>
          <w:p w:rsidR="000D26D2" w:rsidRDefault="000D26D2">
            <w:pPr>
              <w:jc w:val="center"/>
              <w:rPr>
                <w:rFonts w:ascii="宋体" w:hAnsi="宋体" w:cs="Tahoma"/>
                <w:color w:val="000000"/>
                <w:sz w:val="20"/>
              </w:rPr>
            </w:pPr>
            <w:r>
              <w:rPr>
                <w:rFonts w:cs="Tahoma" w:hint="eastAsia"/>
                <w:color w:val="000000"/>
                <w:sz w:val="20"/>
              </w:rPr>
              <w:t>劣</w:t>
            </w:r>
          </w:p>
        </w:tc>
        <w:tc>
          <w:tcPr>
            <w:tcW w:w="1985" w:type="dxa"/>
            <w:shd w:val="clear" w:color="auto" w:fill="auto"/>
            <w:tcMar>
              <w:top w:w="15" w:type="dxa"/>
              <w:left w:w="15" w:type="dxa"/>
              <w:bottom w:w="0" w:type="dxa"/>
              <w:right w:w="15" w:type="dxa"/>
            </w:tcMar>
            <w:vAlign w:val="center"/>
            <w:hideMark/>
          </w:tcPr>
          <w:p w:rsidR="000D26D2" w:rsidRDefault="000D26D2">
            <w:pPr>
              <w:jc w:val="center"/>
              <w:rPr>
                <w:rFonts w:ascii="Tahoma" w:hAnsi="Tahoma" w:cs="Tahoma"/>
                <w:color w:val="000000"/>
                <w:sz w:val="20"/>
              </w:rPr>
            </w:pPr>
            <w:r>
              <w:rPr>
                <w:rFonts w:ascii="Tahoma" w:hAnsi="Tahoma" w:cs="Tahoma"/>
                <w:color w:val="000000"/>
                <w:sz w:val="20"/>
              </w:rPr>
              <w:t>-0.51</w:t>
            </w:r>
          </w:p>
        </w:tc>
      </w:tr>
      <w:tr w:rsidR="000D26D2" w:rsidTr="000D26D2">
        <w:trPr>
          <w:trHeight w:val="465"/>
        </w:trPr>
        <w:tc>
          <w:tcPr>
            <w:tcW w:w="0" w:type="auto"/>
            <w:vMerge/>
            <w:vAlign w:val="center"/>
            <w:hideMark/>
          </w:tcPr>
          <w:p w:rsidR="000D26D2" w:rsidRDefault="000D26D2">
            <w:pPr>
              <w:rPr>
                <w:rFonts w:ascii="仿宋_GB2312" w:eastAsia="仿宋_GB2312" w:hAnsi="Tahoma" w:cs="Tahoma"/>
                <w:color w:val="000000"/>
                <w:szCs w:val="21"/>
              </w:rPr>
            </w:pPr>
          </w:p>
        </w:tc>
        <w:tc>
          <w:tcPr>
            <w:tcW w:w="0" w:type="auto"/>
            <w:vMerge/>
            <w:vAlign w:val="center"/>
            <w:hideMark/>
          </w:tcPr>
          <w:p w:rsidR="000D26D2" w:rsidRDefault="000D26D2">
            <w:pPr>
              <w:rPr>
                <w:rFonts w:ascii="仿宋_GB2312" w:eastAsia="仿宋_GB2312" w:hAnsi="Tahoma" w:cs="Tahoma"/>
                <w:color w:val="000000"/>
                <w:szCs w:val="21"/>
              </w:rPr>
            </w:pPr>
          </w:p>
        </w:tc>
        <w:tc>
          <w:tcPr>
            <w:tcW w:w="0" w:type="auto"/>
            <w:vMerge/>
            <w:vAlign w:val="center"/>
            <w:hideMark/>
          </w:tcPr>
          <w:p w:rsidR="000D26D2" w:rsidRDefault="000D26D2">
            <w:pPr>
              <w:rPr>
                <w:rFonts w:ascii="仿宋_GB2312" w:eastAsia="仿宋_GB2312" w:hAnsi="Tahoma" w:cs="Tahoma"/>
                <w:color w:val="000000"/>
                <w:szCs w:val="21"/>
              </w:rPr>
            </w:pPr>
          </w:p>
        </w:tc>
        <w:tc>
          <w:tcPr>
            <w:tcW w:w="1080" w:type="dxa"/>
            <w:shd w:val="clear" w:color="auto" w:fill="auto"/>
            <w:tcMar>
              <w:top w:w="15" w:type="dxa"/>
              <w:left w:w="15" w:type="dxa"/>
              <w:bottom w:w="0" w:type="dxa"/>
              <w:right w:w="15" w:type="dxa"/>
            </w:tcMar>
            <w:vAlign w:val="center"/>
            <w:hideMark/>
          </w:tcPr>
          <w:p w:rsidR="000D26D2" w:rsidRDefault="000D26D2">
            <w:pPr>
              <w:jc w:val="center"/>
              <w:rPr>
                <w:rFonts w:ascii="仿宋_GB2312" w:eastAsia="仿宋_GB2312" w:hAnsi="Tahoma" w:cs="Tahoma"/>
                <w:color w:val="000000"/>
                <w:szCs w:val="21"/>
              </w:rPr>
            </w:pPr>
            <w:r>
              <w:rPr>
                <w:rFonts w:ascii="仿宋_GB2312" w:eastAsia="仿宋_GB2312" w:hAnsi="Tahoma" w:cs="Tahoma" w:hint="eastAsia"/>
                <w:color w:val="000000"/>
                <w:szCs w:val="21"/>
              </w:rPr>
              <w:t>体育馆</w:t>
            </w:r>
          </w:p>
        </w:tc>
        <w:tc>
          <w:tcPr>
            <w:tcW w:w="1840" w:type="dxa"/>
            <w:shd w:val="clear" w:color="auto" w:fill="auto"/>
            <w:tcMar>
              <w:top w:w="15" w:type="dxa"/>
              <w:left w:w="15" w:type="dxa"/>
              <w:bottom w:w="0" w:type="dxa"/>
              <w:right w:w="15" w:type="dxa"/>
            </w:tcMar>
            <w:vAlign w:val="center"/>
            <w:hideMark/>
          </w:tcPr>
          <w:p w:rsidR="000D26D2" w:rsidRDefault="000D26D2">
            <w:pPr>
              <w:jc w:val="center"/>
              <w:rPr>
                <w:rFonts w:ascii="Tahoma" w:hAnsi="Tahoma" w:cs="Tahoma"/>
                <w:color w:val="000000"/>
                <w:sz w:val="20"/>
              </w:rPr>
            </w:pPr>
            <w:r>
              <w:rPr>
                <w:rFonts w:ascii="Tahoma" w:hAnsi="Tahoma" w:cs="Tahoma"/>
                <w:color w:val="000000"/>
                <w:sz w:val="20"/>
              </w:rPr>
              <w:t>100</w:t>
            </w:r>
            <w:r>
              <w:rPr>
                <w:rFonts w:cs="Tahoma" w:hint="eastAsia"/>
                <w:color w:val="000000"/>
                <w:sz w:val="20"/>
              </w:rPr>
              <w:t>米</w:t>
            </w:r>
          </w:p>
        </w:tc>
        <w:tc>
          <w:tcPr>
            <w:tcW w:w="1701" w:type="dxa"/>
            <w:shd w:val="clear" w:color="auto" w:fill="auto"/>
            <w:tcMar>
              <w:top w:w="15" w:type="dxa"/>
              <w:left w:w="15" w:type="dxa"/>
              <w:bottom w:w="0" w:type="dxa"/>
              <w:right w:w="15" w:type="dxa"/>
            </w:tcMar>
            <w:vAlign w:val="center"/>
            <w:hideMark/>
          </w:tcPr>
          <w:p w:rsidR="000D26D2" w:rsidRDefault="000D26D2">
            <w:pPr>
              <w:jc w:val="center"/>
              <w:rPr>
                <w:rFonts w:ascii="宋体" w:hAnsi="宋体" w:cs="Tahoma"/>
                <w:color w:val="000000"/>
                <w:sz w:val="20"/>
              </w:rPr>
            </w:pPr>
            <w:r>
              <w:rPr>
                <w:rFonts w:cs="Tahoma" w:hint="eastAsia"/>
                <w:color w:val="000000"/>
                <w:sz w:val="20"/>
              </w:rPr>
              <w:t>优</w:t>
            </w:r>
          </w:p>
        </w:tc>
        <w:tc>
          <w:tcPr>
            <w:tcW w:w="1985" w:type="dxa"/>
            <w:shd w:val="clear" w:color="auto" w:fill="auto"/>
            <w:tcMar>
              <w:top w:w="15" w:type="dxa"/>
              <w:left w:w="15" w:type="dxa"/>
              <w:bottom w:w="0" w:type="dxa"/>
              <w:right w:w="15" w:type="dxa"/>
            </w:tcMar>
            <w:vAlign w:val="center"/>
            <w:hideMark/>
          </w:tcPr>
          <w:p w:rsidR="000D26D2" w:rsidRDefault="000D26D2">
            <w:pPr>
              <w:jc w:val="center"/>
              <w:rPr>
                <w:rFonts w:ascii="Tahoma" w:hAnsi="Tahoma" w:cs="Tahoma"/>
                <w:color w:val="000000"/>
                <w:sz w:val="20"/>
              </w:rPr>
            </w:pPr>
            <w:r>
              <w:rPr>
                <w:rFonts w:ascii="Tahoma" w:hAnsi="Tahoma" w:cs="Tahoma"/>
                <w:color w:val="000000"/>
                <w:sz w:val="20"/>
              </w:rPr>
              <w:t>0.54</w:t>
            </w:r>
          </w:p>
        </w:tc>
      </w:tr>
      <w:tr w:rsidR="000D26D2" w:rsidTr="000D26D2">
        <w:trPr>
          <w:trHeight w:val="465"/>
        </w:trPr>
        <w:tc>
          <w:tcPr>
            <w:tcW w:w="0" w:type="auto"/>
            <w:vMerge/>
            <w:vAlign w:val="center"/>
            <w:hideMark/>
          </w:tcPr>
          <w:p w:rsidR="000D26D2" w:rsidRDefault="000D26D2">
            <w:pPr>
              <w:rPr>
                <w:rFonts w:ascii="仿宋_GB2312" w:eastAsia="仿宋_GB2312" w:hAnsi="Tahoma" w:cs="Tahoma"/>
                <w:color w:val="000000"/>
                <w:szCs w:val="21"/>
              </w:rPr>
            </w:pPr>
          </w:p>
        </w:tc>
        <w:tc>
          <w:tcPr>
            <w:tcW w:w="0" w:type="auto"/>
            <w:vMerge/>
            <w:vAlign w:val="center"/>
            <w:hideMark/>
          </w:tcPr>
          <w:p w:rsidR="000D26D2" w:rsidRDefault="000D26D2">
            <w:pPr>
              <w:rPr>
                <w:rFonts w:ascii="仿宋_GB2312" w:eastAsia="仿宋_GB2312" w:hAnsi="Tahoma" w:cs="Tahoma"/>
                <w:color w:val="000000"/>
                <w:szCs w:val="21"/>
              </w:rPr>
            </w:pPr>
          </w:p>
        </w:tc>
        <w:tc>
          <w:tcPr>
            <w:tcW w:w="0" w:type="auto"/>
            <w:vMerge/>
            <w:vAlign w:val="center"/>
            <w:hideMark/>
          </w:tcPr>
          <w:p w:rsidR="000D26D2" w:rsidRDefault="000D26D2">
            <w:pPr>
              <w:rPr>
                <w:rFonts w:ascii="仿宋_GB2312" w:eastAsia="仿宋_GB2312" w:hAnsi="Tahoma" w:cs="Tahoma"/>
                <w:color w:val="000000"/>
                <w:szCs w:val="21"/>
              </w:rPr>
            </w:pPr>
          </w:p>
        </w:tc>
        <w:tc>
          <w:tcPr>
            <w:tcW w:w="1080" w:type="dxa"/>
            <w:shd w:val="clear" w:color="auto" w:fill="auto"/>
            <w:tcMar>
              <w:top w:w="15" w:type="dxa"/>
              <w:left w:w="15" w:type="dxa"/>
              <w:bottom w:w="0" w:type="dxa"/>
              <w:right w:w="15" w:type="dxa"/>
            </w:tcMar>
            <w:vAlign w:val="center"/>
            <w:hideMark/>
          </w:tcPr>
          <w:p w:rsidR="000D26D2" w:rsidRDefault="000D26D2">
            <w:pPr>
              <w:jc w:val="center"/>
              <w:rPr>
                <w:rFonts w:ascii="仿宋_GB2312" w:eastAsia="仿宋_GB2312" w:hAnsi="Tahoma" w:cs="Tahoma"/>
                <w:color w:val="000000"/>
                <w:szCs w:val="21"/>
              </w:rPr>
            </w:pPr>
            <w:r>
              <w:rPr>
                <w:rFonts w:ascii="仿宋_GB2312" w:eastAsia="仿宋_GB2312" w:hAnsi="Tahoma" w:cs="Tahoma" w:hint="eastAsia"/>
                <w:color w:val="000000"/>
                <w:szCs w:val="21"/>
              </w:rPr>
              <w:t>公园广场</w:t>
            </w:r>
          </w:p>
        </w:tc>
        <w:tc>
          <w:tcPr>
            <w:tcW w:w="1840" w:type="dxa"/>
            <w:shd w:val="clear" w:color="auto" w:fill="auto"/>
            <w:tcMar>
              <w:top w:w="15" w:type="dxa"/>
              <w:left w:w="15" w:type="dxa"/>
              <w:bottom w:w="0" w:type="dxa"/>
              <w:right w:w="15" w:type="dxa"/>
            </w:tcMar>
            <w:vAlign w:val="center"/>
            <w:hideMark/>
          </w:tcPr>
          <w:p w:rsidR="000D26D2" w:rsidRDefault="000D26D2">
            <w:pPr>
              <w:jc w:val="center"/>
              <w:rPr>
                <w:rFonts w:ascii="Tahoma" w:hAnsi="Tahoma" w:cs="Tahoma"/>
                <w:color w:val="000000"/>
                <w:sz w:val="20"/>
              </w:rPr>
            </w:pPr>
            <w:r>
              <w:rPr>
                <w:rFonts w:ascii="Tahoma" w:hAnsi="Tahoma" w:cs="Tahoma"/>
                <w:color w:val="000000"/>
                <w:sz w:val="20"/>
              </w:rPr>
              <w:t>1900</w:t>
            </w:r>
            <w:r>
              <w:rPr>
                <w:rFonts w:cs="Tahoma" w:hint="eastAsia"/>
                <w:color w:val="000000"/>
                <w:sz w:val="20"/>
              </w:rPr>
              <w:t>米</w:t>
            </w:r>
          </w:p>
        </w:tc>
        <w:tc>
          <w:tcPr>
            <w:tcW w:w="1701" w:type="dxa"/>
            <w:shd w:val="clear" w:color="auto" w:fill="auto"/>
            <w:tcMar>
              <w:top w:w="15" w:type="dxa"/>
              <w:left w:w="15" w:type="dxa"/>
              <w:bottom w:w="0" w:type="dxa"/>
              <w:right w:w="15" w:type="dxa"/>
            </w:tcMar>
            <w:vAlign w:val="center"/>
            <w:hideMark/>
          </w:tcPr>
          <w:p w:rsidR="000D26D2" w:rsidRDefault="000D26D2">
            <w:pPr>
              <w:jc w:val="center"/>
              <w:rPr>
                <w:rFonts w:ascii="宋体" w:hAnsi="宋体" w:cs="Tahoma"/>
                <w:color w:val="000000"/>
                <w:sz w:val="20"/>
              </w:rPr>
            </w:pPr>
            <w:r>
              <w:rPr>
                <w:rFonts w:cs="Tahoma" w:hint="eastAsia"/>
                <w:color w:val="000000"/>
                <w:sz w:val="20"/>
              </w:rPr>
              <w:t>优</w:t>
            </w:r>
          </w:p>
        </w:tc>
        <w:tc>
          <w:tcPr>
            <w:tcW w:w="1985" w:type="dxa"/>
            <w:shd w:val="clear" w:color="auto" w:fill="auto"/>
            <w:tcMar>
              <w:top w:w="15" w:type="dxa"/>
              <w:left w:w="15" w:type="dxa"/>
              <w:bottom w:w="0" w:type="dxa"/>
              <w:right w:w="15" w:type="dxa"/>
            </w:tcMar>
            <w:vAlign w:val="center"/>
            <w:hideMark/>
          </w:tcPr>
          <w:p w:rsidR="000D26D2" w:rsidRDefault="000D26D2">
            <w:pPr>
              <w:jc w:val="center"/>
              <w:rPr>
                <w:rFonts w:ascii="Tahoma" w:hAnsi="Tahoma" w:cs="Tahoma"/>
                <w:color w:val="000000"/>
                <w:sz w:val="20"/>
              </w:rPr>
            </w:pPr>
            <w:r>
              <w:rPr>
                <w:rFonts w:ascii="Tahoma" w:hAnsi="Tahoma" w:cs="Tahoma"/>
                <w:color w:val="000000"/>
                <w:sz w:val="20"/>
              </w:rPr>
              <w:t>0.54</w:t>
            </w:r>
          </w:p>
        </w:tc>
      </w:tr>
      <w:tr w:rsidR="000D26D2" w:rsidTr="000D26D2">
        <w:trPr>
          <w:trHeight w:val="465"/>
        </w:trPr>
        <w:tc>
          <w:tcPr>
            <w:tcW w:w="0" w:type="auto"/>
            <w:vMerge/>
            <w:vAlign w:val="center"/>
            <w:hideMark/>
          </w:tcPr>
          <w:p w:rsidR="000D26D2" w:rsidRDefault="000D26D2">
            <w:pPr>
              <w:rPr>
                <w:rFonts w:ascii="仿宋_GB2312" w:eastAsia="仿宋_GB2312" w:hAnsi="Tahoma" w:cs="Tahoma"/>
                <w:color w:val="000000"/>
                <w:szCs w:val="21"/>
              </w:rPr>
            </w:pPr>
          </w:p>
        </w:tc>
        <w:tc>
          <w:tcPr>
            <w:tcW w:w="0" w:type="auto"/>
            <w:vMerge/>
            <w:vAlign w:val="center"/>
            <w:hideMark/>
          </w:tcPr>
          <w:p w:rsidR="000D26D2" w:rsidRDefault="000D26D2">
            <w:pPr>
              <w:rPr>
                <w:rFonts w:ascii="仿宋_GB2312" w:eastAsia="仿宋_GB2312" w:hAnsi="Tahoma" w:cs="Tahoma"/>
                <w:color w:val="000000"/>
                <w:szCs w:val="21"/>
              </w:rPr>
            </w:pPr>
          </w:p>
        </w:tc>
        <w:tc>
          <w:tcPr>
            <w:tcW w:w="0" w:type="auto"/>
            <w:vMerge/>
            <w:vAlign w:val="center"/>
            <w:hideMark/>
          </w:tcPr>
          <w:p w:rsidR="000D26D2" w:rsidRDefault="000D26D2">
            <w:pPr>
              <w:rPr>
                <w:rFonts w:ascii="仿宋_GB2312" w:eastAsia="仿宋_GB2312" w:hAnsi="Tahoma" w:cs="Tahoma"/>
                <w:color w:val="000000"/>
                <w:szCs w:val="21"/>
              </w:rPr>
            </w:pPr>
          </w:p>
        </w:tc>
        <w:tc>
          <w:tcPr>
            <w:tcW w:w="1080" w:type="dxa"/>
            <w:shd w:val="clear" w:color="auto" w:fill="auto"/>
            <w:tcMar>
              <w:top w:w="15" w:type="dxa"/>
              <w:left w:w="15" w:type="dxa"/>
              <w:bottom w:w="0" w:type="dxa"/>
              <w:right w:w="15" w:type="dxa"/>
            </w:tcMar>
            <w:vAlign w:val="center"/>
            <w:hideMark/>
          </w:tcPr>
          <w:p w:rsidR="000D26D2" w:rsidRDefault="000D26D2">
            <w:pPr>
              <w:jc w:val="center"/>
              <w:rPr>
                <w:rFonts w:ascii="仿宋_GB2312" w:eastAsia="仿宋_GB2312" w:hAnsi="Tahoma" w:cs="Tahoma"/>
                <w:color w:val="000000"/>
                <w:szCs w:val="21"/>
              </w:rPr>
            </w:pPr>
            <w:r>
              <w:rPr>
                <w:rFonts w:ascii="仿宋_GB2312" w:eastAsia="仿宋_GB2312" w:hAnsi="Tahoma" w:cs="Tahoma" w:hint="eastAsia"/>
                <w:color w:val="000000"/>
                <w:szCs w:val="21"/>
              </w:rPr>
              <w:t>物流速递</w:t>
            </w:r>
          </w:p>
        </w:tc>
        <w:tc>
          <w:tcPr>
            <w:tcW w:w="1840" w:type="dxa"/>
            <w:shd w:val="clear" w:color="auto" w:fill="auto"/>
            <w:tcMar>
              <w:top w:w="15" w:type="dxa"/>
              <w:left w:w="15" w:type="dxa"/>
              <w:bottom w:w="0" w:type="dxa"/>
              <w:right w:w="15" w:type="dxa"/>
            </w:tcMar>
            <w:vAlign w:val="center"/>
            <w:hideMark/>
          </w:tcPr>
          <w:p w:rsidR="000D26D2" w:rsidRDefault="000D26D2">
            <w:pPr>
              <w:jc w:val="center"/>
              <w:rPr>
                <w:rFonts w:ascii="Tahoma" w:hAnsi="Tahoma" w:cs="Tahoma"/>
                <w:color w:val="000000"/>
                <w:sz w:val="20"/>
              </w:rPr>
            </w:pPr>
            <w:r>
              <w:rPr>
                <w:rFonts w:ascii="Tahoma" w:hAnsi="Tahoma" w:cs="Tahoma"/>
                <w:color w:val="000000"/>
                <w:sz w:val="20"/>
              </w:rPr>
              <w:t>1600</w:t>
            </w:r>
            <w:r>
              <w:rPr>
                <w:rFonts w:cs="Tahoma" w:hint="eastAsia"/>
                <w:color w:val="000000"/>
                <w:sz w:val="20"/>
              </w:rPr>
              <w:t>米</w:t>
            </w:r>
          </w:p>
        </w:tc>
        <w:tc>
          <w:tcPr>
            <w:tcW w:w="1701" w:type="dxa"/>
            <w:shd w:val="clear" w:color="auto" w:fill="auto"/>
            <w:tcMar>
              <w:top w:w="15" w:type="dxa"/>
              <w:left w:w="15" w:type="dxa"/>
              <w:bottom w:w="0" w:type="dxa"/>
              <w:right w:w="15" w:type="dxa"/>
            </w:tcMar>
            <w:vAlign w:val="center"/>
            <w:hideMark/>
          </w:tcPr>
          <w:p w:rsidR="000D26D2" w:rsidRDefault="000D26D2">
            <w:pPr>
              <w:jc w:val="center"/>
              <w:rPr>
                <w:rFonts w:ascii="宋体" w:hAnsi="宋体" w:cs="Tahoma"/>
                <w:color w:val="000000"/>
                <w:sz w:val="20"/>
              </w:rPr>
            </w:pPr>
            <w:r>
              <w:rPr>
                <w:rFonts w:cs="Tahoma" w:hint="eastAsia"/>
                <w:color w:val="000000"/>
                <w:sz w:val="20"/>
              </w:rPr>
              <w:t>优</w:t>
            </w:r>
          </w:p>
        </w:tc>
        <w:tc>
          <w:tcPr>
            <w:tcW w:w="1985" w:type="dxa"/>
            <w:shd w:val="clear" w:color="auto" w:fill="auto"/>
            <w:tcMar>
              <w:top w:w="15" w:type="dxa"/>
              <w:left w:w="15" w:type="dxa"/>
              <w:bottom w:w="0" w:type="dxa"/>
              <w:right w:w="15" w:type="dxa"/>
            </w:tcMar>
            <w:vAlign w:val="center"/>
            <w:hideMark/>
          </w:tcPr>
          <w:p w:rsidR="000D26D2" w:rsidRDefault="000D26D2">
            <w:pPr>
              <w:jc w:val="center"/>
              <w:rPr>
                <w:rFonts w:ascii="Tahoma" w:hAnsi="Tahoma" w:cs="Tahoma"/>
                <w:color w:val="000000"/>
                <w:sz w:val="20"/>
              </w:rPr>
            </w:pPr>
            <w:r>
              <w:rPr>
                <w:rFonts w:ascii="Tahoma" w:hAnsi="Tahoma" w:cs="Tahoma"/>
                <w:color w:val="000000"/>
                <w:sz w:val="20"/>
              </w:rPr>
              <w:t>0.81</w:t>
            </w:r>
          </w:p>
        </w:tc>
      </w:tr>
      <w:tr w:rsidR="000D26D2" w:rsidTr="000D26D2">
        <w:trPr>
          <w:trHeight w:val="465"/>
        </w:trPr>
        <w:tc>
          <w:tcPr>
            <w:tcW w:w="0" w:type="auto"/>
            <w:vMerge/>
            <w:vAlign w:val="center"/>
            <w:hideMark/>
          </w:tcPr>
          <w:p w:rsidR="000D26D2" w:rsidRDefault="000D26D2">
            <w:pPr>
              <w:rPr>
                <w:rFonts w:ascii="仿宋_GB2312" w:eastAsia="仿宋_GB2312" w:hAnsi="Tahoma" w:cs="Tahoma"/>
                <w:color w:val="000000"/>
                <w:szCs w:val="21"/>
              </w:rPr>
            </w:pPr>
          </w:p>
        </w:tc>
        <w:tc>
          <w:tcPr>
            <w:tcW w:w="780" w:type="dxa"/>
            <w:vMerge w:val="restart"/>
            <w:shd w:val="clear" w:color="auto" w:fill="auto"/>
            <w:tcMar>
              <w:top w:w="15" w:type="dxa"/>
              <w:left w:w="15" w:type="dxa"/>
              <w:bottom w:w="0" w:type="dxa"/>
              <w:right w:w="15" w:type="dxa"/>
            </w:tcMar>
            <w:vAlign w:val="center"/>
            <w:hideMark/>
          </w:tcPr>
          <w:p w:rsidR="000D26D2" w:rsidRDefault="000D26D2">
            <w:pPr>
              <w:jc w:val="center"/>
              <w:rPr>
                <w:rFonts w:ascii="仿宋_GB2312" w:eastAsia="仿宋_GB2312" w:hAnsi="Tahoma" w:cs="Tahoma"/>
                <w:color w:val="000000"/>
                <w:szCs w:val="21"/>
              </w:rPr>
            </w:pPr>
            <w:r>
              <w:rPr>
                <w:rFonts w:ascii="仿宋_GB2312" w:eastAsia="仿宋_GB2312" w:hAnsi="Tahoma" w:cs="Tahoma" w:hint="eastAsia"/>
                <w:color w:val="000000"/>
                <w:szCs w:val="21"/>
              </w:rPr>
              <w:t>交通条件</w:t>
            </w:r>
          </w:p>
        </w:tc>
        <w:tc>
          <w:tcPr>
            <w:tcW w:w="1860" w:type="dxa"/>
            <w:gridSpan w:val="2"/>
            <w:shd w:val="clear" w:color="auto" w:fill="auto"/>
            <w:tcMar>
              <w:top w:w="15" w:type="dxa"/>
              <w:left w:w="15" w:type="dxa"/>
              <w:bottom w:w="0" w:type="dxa"/>
              <w:right w:w="15" w:type="dxa"/>
            </w:tcMar>
            <w:vAlign w:val="center"/>
            <w:hideMark/>
          </w:tcPr>
          <w:p w:rsidR="000D26D2" w:rsidRDefault="000D26D2">
            <w:pPr>
              <w:jc w:val="center"/>
              <w:rPr>
                <w:rFonts w:ascii="仿宋_GB2312" w:eastAsia="仿宋_GB2312" w:hAnsi="Tahoma" w:cs="Tahoma"/>
                <w:color w:val="000000"/>
                <w:szCs w:val="21"/>
              </w:rPr>
            </w:pPr>
            <w:r>
              <w:rPr>
                <w:rFonts w:ascii="仿宋_GB2312" w:eastAsia="仿宋_GB2312" w:hAnsi="Tahoma" w:cs="Tahoma" w:hint="eastAsia"/>
                <w:color w:val="000000"/>
                <w:szCs w:val="21"/>
              </w:rPr>
              <w:t>临路状况</w:t>
            </w:r>
          </w:p>
        </w:tc>
        <w:tc>
          <w:tcPr>
            <w:tcW w:w="1840" w:type="dxa"/>
            <w:shd w:val="clear" w:color="auto" w:fill="auto"/>
            <w:tcMar>
              <w:top w:w="15" w:type="dxa"/>
              <w:left w:w="15" w:type="dxa"/>
              <w:bottom w:w="0" w:type="dxa"/>
              <w:right w:w="15" w:type="dxa"/>
            </w:tcMar>
            <w:vAlign w:val="center"/>
            <w:hideMark/>
          </w:tcPr>
          <w:p w:rsidR="000D26D2" w:rsidRDefault="000D26D2">
            <w:pPr>
              <w:jc w:val="center"/>
              <w:rPr>
                <w:rFonts w:ascii="宋体" w:hAnsi="宋体" w:cs="Tahoma"/>
                <w:color w:val="000000"/>
                <w:sz w:val="20"/>
              </w:rPr>
            </w:pPr>
            <w:r>
              <w:rPr>
                <w:rFonts w:cs="Tahoma" w:hint="eastAsia"/>
                <w:color w:val="000000"/>
                <w:sz w:val="20"/>
              </w:rPr>
              <w:t>交通型次干道</w:t>
            </w:r>
          </w:p>
        </w:tc>
        <w:tc>
          <w:tcPr>
            <w:tcW w:w="1701" w:type="dxa"/>
            <w:shd w:val="clear" w:color="auto" w:fill="auto"/>
            <w:tcMar>
              <w:top w:w="15" w:type="dxa"/>
              <w:left w:w="15" w:type="dxa"/>
              <w:bottom w:w="0" w:type="dxa"/>
              <w:right w:w="15" w:type="dxa"/>
            </w:tcMar>
            <w:vAlign w:val="center"/>
            <w:hideMark/>
          </w:tcPr>
          <w:p w:rsidR="000D26D2" w:rsidRDefault="000D26D2">
            <w:pPr>
              <w:jc w:val="center"/>
              <w:rPr>
                <w:rFonts w:ascii="宋体" w:hAnsi="宋体" w:cs="Tahoma"/>
                <w:color w:val="000000"/>
                <w:sz w:val="20"/>
              </w:rPr>
            </w:pPr>
            <w:r>
              <w:rPr>
                <w:rFonts w:cs="Tahoma" w:hint="eastAsia"/>
                <w:color w:val="000000"/>
                <w:sz w:val="20"/>
              </w:rPr>
              <w:t>较劣</w:t>
            </w:r>
          </w:p>
        </w:tc>
        <w:tc>
          <w:tcPr>
            <w:tcW w:w="1985" w:type="dxa"/>
            <w:shd w:val="clear" w:color="auto" w:fill="auto"/>
            <w:tcMar>
              <w:top w:w="15" w:type="dxa"/>
              <w:left w:w="15" w:type="dxa"/>
              <w:bottom w:w="0" w:type="dxa"/>
              <w:right w:w="15" w:type="dxa"/>
            </w:tcMar>
            <w:vAlign w:val="center"/>
            <w:hideMark/>
          </w:tcPr>
          <w:p w:rsidR="000D26D2" w:rsidRDefault="000D26D2">
            <w:pPr>
              <w:jc w:val="center"/>
              <w:rPr>
                <w:rFonts w:ascii="Tahoma" w:hAnsi="Tahoma" w:cs="Tahoma"/>
                <w:color w:val="000000"/>
                <w:sz w:val="20"/>
              </w:rPr>
            </w:pPr>
            <w:r>
              <w:rPr>
                <w:rFonts w:ascii="Tahoma" w:hAnsi="Tahoma" w:cs="Tahoma"/>
                <w:color w:val="000000"/>
                <w:sz w:val="20"/>
              </w:rPr>
              <w:t>-0.89</w:t>
            </w:r>
          </w:p>
        </w:tc>
      </w:tr>
      <w:tr w:rsidR="000D26D2" w:rsidTr="000D26D2">
        <w:trPr>
          <w:trHeight w:val="465"/>
        </w:trPr>
        <w:tc>
          <w:tcPr>
            <w:tcW w:w="0" w:type="auto"/>
            <w:vMerge/>
            <w:vAlign w:val="center"/>
            <w:hideMark/>
          </w:tcPr>
          <w:p w:rsidR="000D26D2" w:rsidRDefault="000D26D2">
            <w:pPr>
              <w:rPr>
                <w:rFonts w:ascii="仿宋_GB2312" w:eastAsia="仿宋_GB2312" w:hAnsi="Tahoma" w:cs="Tahoma"/>
                <w:color w:val="000000"/>
                <w:szCs w:val="21"/>
              </w:rPr>
            </w:pPr>
          </w:p>
        </w:tc>
        <w:tc>
          <w:tcPr>
            <w:tcW w:w="0" w:type="auto"/>
            <w:vMerge/>
            <w:vAlign w:val="center"/>
            <w:hideMark/>
          </w:tcPr>
          <w:p w:rsidR="000D26D2" w:rsidRDefault="000D26D2">
            <w:pPr>
              <w:rPr>
                <w:rFonts w:ascii="仿宋_GB2312" w:eastAsia="仿宋_GB2312" w:hAnsi="Tahoma" w:cs="Tahoma"/>
                <w:color w:val="000000"/>
                <w:szCs w:val="21"/>
              </w:rPr>
            </w:pPr>
          </w:p>
        </w:tc>
        <w:tc>
          <w:tcPr>
            <w:tcW w:w="780" w:type="dxa"/>
            <w:shd w:val="clear" w:color="auto" w:fill="auto"/>
            <w:tcMar>
              <w:top w:w="15" w:type="dxa"/>
              <w:left w:w="15" w:type="dxa"/>
              <w:bottom w:w="0" w:type="dxa"/>
              <w:right w:w="15" w:type="dxa"/>
            </w:tcMar>
            <w:vAlign w:val="center"/>
            <w:hideMark/>
          </w:tcPr>
          <w:p w:rsidR="000D26D2" w:rsidRDefault="000D26D2">
            <w:pPr>
              <w:jc w:val="center"/>
              <w:rPr>
                <w:rFonts w:ascii="仿宋_GB2312" w:eastAsia="仿宋_GB2312" w:hAnsi="Tahoma" w:cs="Tahoma"/>
                <w:color w:val="000000"/>
                <w:szCs w:val="21"/>
              </w:rPr>
            </w:pPr>
            <w:r>
              <w:rPr>
                <w:rFonts w:ascii="仿宋_GB2312" w:eastAsia="仿宋_GB2312" w:hAnsi="Tahoma" w:cs="Tahoma" w:hint="eastAsia"/>
                <w:color w:val="000000"/>
                <w:szCs w:val="21"/>
              </w:rPr>
              <w:t>公交便捷度</w:t>
            </w:r>
          </w:p>
        </w:tc>
        <w:tc>
          <w:tcPr>
            <w:tcW w:w="1080" w:type="dxa"/>
            <w:shd w:val="clear" w:color="auto" w:fill="auto"/>
            <w:tcMar>
              <w:top w:w="15" w:type="dxa"/>
              <w:left w:w="15" w:type="dxa"/>
              <w:bottom w:w="0" w:type="dxa"/>
              <w:right w:w="15" w:type="dxa"/>
            </w:tcMar>
            <w:vAlign w:val="center"/>
            <w:hideMark/>
          </w:tcPr>
          <w:p w:rsidR="000D26D2" w:rsidRDefault="000D26D2">
            <w:pPr>
              <w:jc w:val="center"/>
              <w:rPr>
                <w:rFonts w:ascii="仿宋_GB2312" w:eastAsia="仿宋_GB2312" w:hAnsi="Tahoma" w:cs="Tahoma"/>
                <w:color w:val="000000"/>
                <w:szCs w:val="21"/>
              </w:rPr>
            </w:pPr>
            <w:r>
              <w:rPr>
                <w:rFonts w:ascii="仿宋_GB2312" w:eastAsia="仿宋_GB2312" w:hAnsi="Tahoma" w:cs="Tahoma" w:hint="eastAsia"/>
                <w:color w:val="000000"/>
                <w:szCs w:val="21"/>
              </w:rPr>
              <w:t>距公交站点距离</w:t>
            </w:r>
          </w:p>
        </w:tc>
        <w:tc>
          <w:tcPr>
            <w:tcW w:w="1840" w:type="dxa"/>
            <w:shd w:val="clear" w:color="auto" w:fill="auto"/>
            <w:tcMar>
              <w:top w:w="15" w:type="dxa"/>
              <w:left w:w="15" w:type="dxa"/>
              <w:bottom w:w="0" w:type="dxa"/>
              <w:right w:w="15" w:type="dxa"/>
            </w:tcMar>
            <w:vAlign w:val="center"/>
            <w:hideMark/>
          </w:tcPr>
          <w:p w:rsidR="000D26D2" w:rsidRDefault="000D26D2">
            <w:pPr>
              <w:jc w:val="center"/>
              <w:rPr>
                <w:rFonts w:ascii="Tahoma" w:hAnsi="Tahoma" w:cs="Tahoma"/>
                <w:color w:val="000000"/>
                <w:sz w:val="20"/>
              </w:rPr>
            </w:pPr>
            <w:r>
              <w:rPr>
                <w:rFonts w:ascii="Tahoma" w:hAnsi="Tahoma" w:cs="Tahoma"/>
                <w:color w:val="000000"/>
                <w:sz w:val="20"/>
              </w:rPr>
              <w:t>372</w:t>
            </w:r>
            <w:r>
              <w:rPr>
                <w:rFonts w:cs="Tahoma" w:hint="eastAsia"/>
                <w:color w:val="000000"/>
                <w:sz w:val="20"/>
              </w:rPr>
              <w:t>米</w:t>
            </w:r>
          </w:p>
        </w:tc>
        <w:tc>
          <w:tcPr>
            <w:tcW w:w="1701" w:type="dxa"/>
            <w:shd w:val="clear" w:color="auto" w:fill="auto"/>
            <w:tcMar>
              <w:top w:w="15" w:type="dxa"/>
              <w:left w:w="15" w:type="dxa"/>
              <w:bottom w:w="0" w:type="dxa"/>
              <w:right w:w="15" w:type="dxa"/>
            </w:tcMar>
            <w:vAlign w:val="center"/>
            <w:hideMark/>
          </w:tcPr>
          <w:p w:rsidR="000D26D2" w:rsidRDefault="000D26D2">
            <w:pPr>
              <w:jc w:val="center"/>
              <w:rPr>
                <w:rFonts w:ascii="宋体" w:hAnsi="宋体" w:cs="Tahoma"/>
                <w:color w:val="000000"/>
                <w:sz w:val="20"/>
              </w:rPr>
            </w:pPr>
            <w:r>
              <w:rPr>
                <w:rFonts w:cs="Tahoma" w:hint="eastAsia"/>
                <w:color w:val="000000"/>
                <w:sz w:val="20"/>
              </w:rPr>
              <w:t>较劣</w:t>
            </w:r>
          </w:p>
        </w:tc>
        <w:tc>
          <w:tcPr>
            <w:tcW w:w="1985" w:type="dxa"/>
            <w:shd w:val="clear" w:color="auto" w:fill="auto"/>
            <w:tcMar>
              <w:top w:w="15" w:type="dxa"/>
              <w:left w:w="15" w:type="dxa"/>
              <w:bottom w:w="0" w:type="dxa"/>
              <w:right w:w="15" w:type="dxa"/>
            </w:tcMar>
            <w:vAlign w:val="center"/>
            <w:hideMark/>
          </w:tcPr>
          <w:p w:rsidR="000D26D2" w:rsidRDefault="000D26D2">
            <w:pPr>
              <w:jc w:val="center"/>
              <w:rPr>
                <w:rFonts w:ascii="Tahoma" w:hAnsi="Tahoma" w:cs="Tahoma"/>
                <w:color w:val="000000"/>
                <w:sz w:val="20"/>
              </w:rPr>
            </w:pPr>
            <w:r>
              <w:rPr>
                <w:rFonts w:ascii="Tahoma" w:hAnsi="Tahoma" w:cs="Tahoma"/>
                <w:color w:val="000000"/>
                <w:sz w:val="20"/>
              </w:rPr>
              <w:t>-0.63</w:t>
            </w:r>
          </w:p>
        </w:tc>
      </w:tr>
      <w:tr w:rsidR="000D26D2" w:rsidTr="000D26D2">
        <w:trPr>
          <w:trHeight w:val="465"/>
        </w:trPr>
        <w:tc>
          <w:tcPr>
            <w:tcW w:w="0" w:type="auto"/>
            <w:vMerge/>
            <w:vAlign w:val="center"/>
            <w:hideMark/>
          </w:tcPr>
          <w:p w:rsidR="000D26D2" w:rsidRDefault="000D26D2">
            <w:pPr>
              <w:rPr>
                <w:rFonts w:ascii="仿宋_GB2312" w:eastAsia="仿宋_GB2312" w:hAnsi="Tahoma" w:cs="Tahoma"/>
                <w:color w:val="000000"/>
                <w:szCs w:val="21"/>
              </w:rPr>
            </w:pPr>
          </w:p>
        </w:tc>
        <w:tc>
          <w:tcPr>
            <w:tcW w:w="0" w:type="auto"/>
            <w:vMerge/>
            <w:vAlign w:val="center"/>
            <w:hideMark/>
          </w:tcPr>
          <w:p w:rsidR="000D26D2" w:rsidRDefault="000D26D2">
            <w:pPr>
              <w:rPr>
                <w:rFonts w:ascii="仿宋_GB2312" w:eastAsia="仿宋_GB2312" w:hAnsi="Tahoma" w:cs="Tahoma"/>
                <w:color w:val="000000"/>
                <w:szCs w:val="21"/>
              </w:rPr>
            </w:pPr>
          </w:p>
        </w:tc>
        <w:tc>
          <w:tcPr>
            <w:tcW w:w="780" w:type="dxa"/>
            <w:vMerge w:val="restart"/>
            <w:shd w:val="clear" w:color="auto" w:fill="auto"/>
            <w:tcMar>
              <w:top w:w="15" w:type="dxa"/>
              <w:left w:w="15" w:type="dxa"/>
              <w:bottom w:w="0" w:type="dxa"/>
              <w:right w:w="15" w:type="dxa"/>
            </w:tcMar>
            <w:vAlign w:val="center"/>
            <w:hideMark/>
          </w:tcPr>
          <w:p w:rsidR="000D26D2" w:rsidRDefault="000D26D2">
            <w:pPr>
              <w:jc w:val="center"/>
              <w:rPr>
                <w:rFonts w:ascii="仿宋_GB2312" w:eastAsia="仿宋_GB2312" w:hAnsi="Tahoma" w:cs="Tahoma"/>
                <w:color w:val="000000"/>
                <w:szCs w:val="21"/>
              </w:rPr>
            </w:pPr>
            <w:r>
              <w:rPr>
                <w:rFonts w:ascii="仿宋_GB2312" w:eastAsia="仿宋_GB2312" w:hAnsi="Tahoma" w:cs="Tahoma" w:hint="eastAsia"/>
                <w:color w:val="000000"/>
                <w:szCs w:val="21"/>
              </w:rPr>
              <w:t>对外交通便利度</w:t>
            </w:r>
          </w:p>
        </w:tc>
        <w:tc>
          <w:tcPr>
            <w:tcW w:w="1080" w:type="dxa"/>
            <w:shd w:val="clear" w:color="auto" w:fill="auto"/>
            <w:tcMar>
              <w:top w:w="15" w:type="dxa"/>
              <w:left w:w="15" w:type="dxa"/>
              <w:bottom w:w="0" w:type="dxa"/>
              <w:right w:w="15" w:type="dxa"/>
            </w:tcMar>
            <w:vAlign w:val="center"/>
            <w:hideMark/>
          </w:tcPr>
          <w:p w:rsidR="000D26D2" w:rsidRDefault="000D26D2">
            <w:pPr>
              <w:jc w:val="center"/>
              <w:rPr>
                <w:rFonts w:ascii="仿宋_GB2312" w:eastAsia="仿宋_GB2312" w:hAnsi="Tahoma" w:cs="Tahoma"/>
                <w:color w:val="000000"/>
                <w:szCs w:val="21"/>
              </w:rPr>
            </w:pPr>
            <w:r>
              <w:rPr>
                <w:rFonts w:ascii="仿宋_GB2312" w:eastAsia="仿宋_GB2312" w:hAnsi="Tahoma" w:cs="Tahoma" w:hint="eastAsia"/>
                <w:color w:val="000000"/>
                <w:szCs w:val="21"/>
              </w:rPr>
              <w:t>距汽车站距离</w:t>
            </w:r>
          </w:p>
        </w:tc>
        <w:tc>
          <w:tcPr>
            <w:tcW w:w="1840" w:type="dxa"/>
            <w:shd w:val="clear" w:color="auto" w:fill="auto"/>
            <w:tcMar>
              <w:top w:w="15" w:type="dxa"/>
              <w:left w:w="15" w:type="dxa"/>
              <w:bottom w:w="0" w:type="dxa"/>
              <w:right w:w="15" w:type="dxa"/>
            </w:tcMar>
            <w:vAlign w:val="center"/>
            <w:hideMark/>
          </w:tcPr>
          <w:p w:rsidR="000D26D2" w:rsidRDefault="000D26D2">
            <w:pPr>
              <w:jc w:val="center"/>
              <w:rPr>
                <w:rFonts w:ascii="Tahoma" w:hAnsi="Tahoma" w:cs="Tahoma"/>
                <w:color w:val="000000"/>
                <w:sz w:val="20"/>
              </w:rPr>
            </w:pPr>
            <w:r>
              <w:rPr>
                <w:rFonts w:ascii="Tahoma" w:hAnsi="Tahoma" w:cs="Tahoma"/>
                <w:color w:val="000000"/>
                <w:sz w:val="20"/>
              </w:rPr>
              <w:t>7500</w:t>
            </w:r>
            <w:r>
              <w:rPr>
                <w:rFonts w:cs="Tahoma" w:hint="eastAsia"/>
                <w:color w:val="000000"/>
                <w:sz w:val="20"/>
              </w:rPr>
              <w:t>米</w:t>
            </w:r>
          </w:p>
        </w:tc>
        <w:tc>
          <w:tcPr>
            <w:tcW w:w="1701" w:type="dxa"/>
            <w:shd w:val="clear" w:color="auto" w:fill="auto"/>
            <w:tcMar>
              <w:top w:w="15" w:type="dxa"/>
              <w:left w:w="15" w:type="dxa"/>
              <w:bottom w:w="0" w:type="dxa"/>
              <w:right w:w="15" w:type="dxa"/>
            </w:tcMar>
            <w:vAlign w:val="center"/>
            <w:hideMark/>
          </w:tcPr>
          <w:p w:rsidR="000D26D2" w:rsidRDefault="000D26D2">
            <w:pPr>
              <w:jc w:val="center"/>
              <w:rPr>
                <w:rFonts w:ascii="宋体" w:hAnsi="宋体" w:cs="Tahoma"/>
                <w:color w:val="000000"/>
                <w:sz w:val="20"/>
              </w:rPr>
            </w:pPr>
            <w:r>
              <w:rPr>
                <w:rFonts w:cs="Tahoma" w:hint="eastAsia"/>
                <w:color w:val="000000"/>
                <w:sz w:val="20"/>
              </w:rPr>
              <w:t>劣</w:t>
            </w:r>
          </w:p>
        </w:tc>
        <w:tc>
          <w:tcPr>
            <w:tcW w:w="1985" w:type="dxa"/>
            <w:shd w:val="clear" w:color="auto" w:fill="auto"/>
            <w:tcMar>
              <w:top w:w="15" w:type="dxa"/>
              <w:left w:w="15" w:type="dxa"/>
              <w:bottom w:w="0" w:type="dxa"/>
              <w:right w:w="15" w:type="dxa"/>
            </w:tcMar>
            <w:vAlign w:val="center"/>
            <w:hideMark/>
          </w:tcPr>
          <w:p w:rsidR="000D26D2" w:rsidRDefault="000D26D2">
            <w:pPr>
              <w:jc w:val="center"/>
              <w:rPr>
                <w:rFonts w:ascii="Tahoma" w:hAnsi="Tahoma" w:cs="Tahoma"/>
                <w:color w:val="000000"/>
                <w:sz w:val="20"/>
              </w:rPr>
            </w:pPr>
            <w:r>
              <w:rPr>
                <w:rFonts w:ascii="Tahoma" w:hAnsi="Tahoma" w:cs="Tahoma"/>
                <w:color w:val="000000"/>
                <w:sz w:val="20"/>
              </w:rPr>
              <w:t>-1.01</w:t>
            </w:r>
          </w:p>
        </w:tc>
      </w:tr>
      <w:tr w:rsidR="000D26D2" w:rsidTr="000D26D2">
        <w:trPr>
          <w:trHeight w:val="465"/>
        </w:trPr>
        <w:tc>
          <w:tcPr>
            <w:tcW w:w="0" w:type="auto"/>
            <w:vMerge/>
            <w:vAlign w:val="center"/>
            <w:hideMark/>
          </w:tcPr>
          <w:p w:rsidR="000D26D2" w:rsidRDefault="000D26D2">
            <w:pPr>
              <w:rPr>
                <w:rFonts w:ascii="仿宋_GB2312" w:eastAsia="仿宋_GB2312" w:hAnsi="Tahoma" w:cs="Tahoma"/>
                <w:color w:val="000000"/>
                <w:szCs w:val="21"/>
              </w:rPr>
            </w:pPr>
          </w:p>
        </w:tc>
        <w:tc>
          <w:tcPr>
            <w:tcW w:w="0" w:type="auto"/>
            <w:vMerge/>
            <w:vAlign w:val="center"/>
            <w:hideMark/>
          </w:tcPr>
          <w:p w:rsidR="000D26D2" w:rsidRDefault="000D26D2">
            <w:pPr>
              <w:rPr>
                <w:rFonts w:ascii="仿宋_GB2312" w:eastAsia="仿宋_GB2312" w:hAnsi="Tahoma" w:cs="Tahoma"/>
                <w:color w:val="000000"/>
                <w:szCs w:val="21"/>
              </w:rPr>
            </w:pPr>
          </w:p>
        </w:tc>
        <w:tc>
          <w:tcPr>
            <w:tcW w:w="0" w:type="auto"/>
            <w:vMerge/>
            <w:vAlign w:val="center"/>
            <w:hideMark/>
          </w:tcPr>
          <w:p w:rsidR="000D26D2" w:rsidRDefault="000D26D2">
            <w:pPr>
              <w:rPr>
                <w:rFonts w:ascii="仿宋_GB2312" w:eastAsia="仿宋_GB2312" w:hAnsi="Tahoma" w:cs="Tahoma"/>
                <w:color w:val="000000"/>
                <w:szCs w:val="21"/>
              </w:rPr>
            </w:pPr>
          </w:p>
        </w:tc>
        <w:tc>
          <w:tcPr>
            <w:tcW w:w="1080" w:type="dxa"/>
            <w:shd w:val="clear" w:color="auto" w:fill="auto"/>
            <w:tcMar>
              <w:top w:w="15" w:type="dxa"/>
              <w:left w:w="15" w:type="dxa"/>
              <w:bottom w:w="0" w:type="dxa"/>
              <w:right w:w="15" w:type="dxa"/>
            </w:tcMar>
            <w:vAlign w:val="center"/>
            <w:hideMark/>
          </w:tcPr>
          <w:p w:rsidR="000D26D2" w:rsidRDefault="000D26D2">
            <w:pPr>
              <w:jc w:val="center"/>
              <w:rPr>
                <w:rFonts w:ascii="仿宋_GB2312" w:eastAsia="仿宋_GB2312" w:hAnsi="Tahoma" w:cs="Tahoma"/>
                <w:color w:val="000000"/>
                <w:szCs w:val="21"/>
              </w:rPr>
            </w:pPr>
            <w:r>
              <w:rPr>
                <w:rFonts w:ascii="仿宋_GB2312" w:eastAsia="仿宋_GB2312" w:hAnsi="Tahoma" w:cs="Tahoma" w:hint="eastAsia"/>
                <w:color w:val="000000"/>
                <w:szCs w:val="21"/>
              </w:rPr>
              <w:t>距火车站距离</w:t>
            </w:r>
          </w:p>
        </w:tc>
        <w:tc>
          <w:tcPr>
            <w:tcW w:w="1840" w:type="dxa"/>
            <w:shd w:val="clear" w:color="auto" w:fill="auto"/>
            <w:tcMar>
              <w:top w:w="15" w:type="dxa"/>
              <w:left w:w="15" w:type="dxa"/>
              <w:bottom w:w="0" w:type="dxa"/>
              <w:right w:w="15" w:type="dxa"/>
            </w:tcMar>
            <w:vAlign w:val="center"/>
            <w:hideMark/>
          </w:tcPr>
          <w:p w:rsidR="000D26D2" w:rsidRDefault="000D26D2">
            <w:pPr>
              <w:jc w:val="center"/>
              <w:rPr>
                <w:rFonts w:ascii="Tahoma" w:hAnsi="Tahoma" w:cs="Tahoma"/>
                <w:color w:val="000000"/>
                <w:sz w:val="20"/>
              </w:rPr>
            </w:pPr>
            <w:r>
              <w:rPr>
                <w:rFonts w:ascii="Tahoma" w:hAnsi="Tahoma" w:cs="Tahoma"/>
                <w:color w:val="000000"/>
                <w:sz w:val="20"/>
              </w:rPr>
              <w:t>6500</w:t>
            </w:r>
            <w:r>
              <w:rPr>
                <w:rFonts w:cs="Tahoma" w:hint="eastAsia"/>
                <w:color w:val="000000"/>
                <w:sz w:val="20"/>
              </w:rPr>
              <w:t>米</w:t>
            </w:r>
          </w:p>
        </w:tc>
        <w:tc>
          <w:tcPr>
            <w:tcW w:w="1701" w:type="dxa"/>
            <w:shd w:val="clear" w:color="auto" w:fill="auto"/>
            <w:tcMar>
              <w:top w:w="15" w:type="dxa"/>
              <w:left w:w="15" w:type="dxa"/>
              <w:bottom w:w="0" w:type="dxa"/>
              <w:right w:w="15" w:type="dxa"/>
            </w:tcMar>
            <w:vAlign w:val="center"/>
            <w:hideMark/>
          </w:tcPr>
          <w:p w:rsidR="000D26D2" w:rsidRDefault="000D26D2">
            <w:pPr>
              <w:jc w:val="center"/>
              <w:rPr>
                <w:rFonts w:ascii="宋体" w:hAnsi="宋体" w:cs="Tahoma"/>
                <w:color w:val="000000"/>
                <w:sz w:val="20"/>
              </w:rPr>
            </w:pPr>
            <w:r>
              <w:rPr>
                <w:rFonts w:cs="Tahoma" w:hint="eastAsia"/>
                <w:color w:val="000000"/>
                <w:sz w:val="20"/>
              </w:rPr>
              <w:t>一般</w:t>
            </w:r>
          </w:p>
        </w:tc>
        <w:tc>
          <w:tcPr>
            <w:tcW w:w="1985" w:type="dxa"/>
            <w:shd w:val="clear" w:color="auto" w:fill="auto"/>
            <w:tcMar>
              <w:top w:w="15" w:type="dxa"/>
              <w:left w:w="15" w:type="dxa"/>
              <w:bottom w:w="0" w:type="dxa"/>
              <w:right w:w="15" w:type="dxa"/>
            </w:tcMar>
            <w:vAlign w:val="center"/>
            <w:hideMark/>
          </w:tcPr>
          <w:p w:rsidR="000D26D2" w:rsidRDefault="000D26D2">
            <w:pPr>
              <w:jc w:val="center"/>
              <w:rPr>
                <w:rFonts w:ascii="Tahoma" w:hAnsi="Tahoma" w:cs="Tahoma"/>
                <w:color w:val="000000"/>
                <w:sz w:val="20"/>
              </w:rPr>
            </w:pPr>
            <w:r>
              <w:rPr>
                <w:rFonts w:ascii="Tahoma" w:hAnsi="Tahoma" w:cs="Tahoma"/>
                <w:color w:val="000000"/>
                <w:sz w:val="20"/>
              </w:rPr>
              <w:t>0</w:t>
            </w:r>
          </w:p>
        </w:tc>
      </w:tr>
      <w:tr w:rsidR="000D26D2" w:rsidTr="000D26D2">
        <w:trPr>
          <w:trHeight w:val="465"/>
        </w:trPr>
        <w:tc>
          <w:tcPr>
            <w:tcW w:w="0" w:type="auto"/>
            <w:vMerge/>
            <w:vAlign w:val="center"/>
            <w:hideMark/>
          </w:tcPr>
          <w:p w:rsidR="000D26D2" w:rsidRDefault="000D26D2">
            <w:pPr>
              <w:rPr>
                <w:rFonts w:ascii="仿宋_GB2312" w:eastAsia="仿宋_GB2312" w:hAnsi="Tahoma" w:cs="Tahoma"/>
                <w:color w:val="000000"/>
                <w:szCs w:val="21"/>
              </w:rPr>
            </w:pPr>
          </w:p>
        </w:tc>
        <w:tc>
          <w:tcPr>
            <w:tcW w:w="0" w:type="auto"/>
            <w:vMerge/>
            <w:vAlign w:val="center"/>
            <w:hideMark/>
          </w:tcPr>
          <w:p w:rsidR="000D26D2" w:rsidRDefault="000D26D2">
            <w:pPr>
              <w:rPr>
                <w:rFonts w:ascii="仿宋_GB2312" w:eastAsia="仿宋_GB2312" w:hAnsi="Tahoma" w:cs="Tahoma"/>
                <w:color w:val="000000"/>
                <w:szCs w:val="21"/>
              </w:rPr>
            </w:pPr>
          </w:p>
        </w:tc>
        <w:tc>
          <w:tcPr>
            <w:tcW w:w="0" w:type="auto"/>
            <w:vMerge/>
            <w:vAlign w:val="center"/>
            <w:hideMark/>
          </w:tcPr>
          <w:p w:rsidR="000D26D2" w:rsidRDefault="000D26D2">
            <w:pPr>
              <w:rPr>
                <w:rFonts w:ascii="仿宋_GB2312" w:eastAsia="仿宋_GB2312" w:hAnsi="Tahoma" w:cs="Tahoma"/>
                <w:color w:val="000000"/>
                <w:szCs w:val="21"/>
              </w:rPr>
            </w:pPr>
          </w:p>
        </w:tc>
        <w:tc>
          <w:tcPr>
            <w:tcW w:w="1080" w:type="dxa"/>
            <w:shd w:val="clear" w:color="auto" w:fill="auto"/>
            <w:tcMar>
              <w:top w:w="15" w:type="dxa"/>
              <w:left w:w="15" w:type="dxa"/>
              <w:bottom w:w="0" w:type="dxa"/>
              <w:right w:w="15" w:type="dxa"/>
            </w:tcMar>
            <w:vAlign w:val="center"/>
            <w:hideMark/>
          </w:tcPr>
          <w:p w:rsidR="000D26D2" w:rsidRDefault="000D26D2">
            <w:pPr>
              <w:jc w:val="center"/>
              <w:rPr>
                <w:rFonts w:ascii="仿宋_GB2312" w:eastAsia="仿宋_GB2312" w:hAnsi="Tahoma" w:cs="Tahoma"/>
                <w:color w:val="000000"/>
                <w:szCs w:val="21"/>
              </w:rPr>
            </w:pPr>
            <w:r>
              <w:rPr>
                <w:rFonts w:ascii="仿宋_GB2312" w:eastAsia="仿宋_GB2312" w:hAnsi="Tahoma" w:cs="Tahoma" w:hint="eastAsia"/>
                <w:color w:val="000000"/>
                <w:szCs w:val="21"/>
              </w:rPr>
              <w:t>距高速路口距离</w:t>
            </w:r>
          </w:p>
        </w:tc>
        <w:tc>
          <w:tcPr>
            <w:tcW w:w="1840" w:type="dxa"/>
            <w:shd w:val="clear" w:color="auto" w:fill="auto"/>
            <w:tcMar>
              <w:top w:w="15" w:type="dxa"/>
              <w:left w:w="15" w:type="dxa"/>
              <w:bottom w:w="0" w:type="dxa"/>
              <w:right w:w="15" w:type="dxa"/>
            </w:tcMar>
            <w:vAlign w:val="center"/>
            <w:hideMark/>
          </w:tcPr>
          <w:p w:rsidR="000D26D2" w:rsidRDefault="000D26D2">
            <w:pPr>
              <w:jc w:val="center"/>
              <w:rPr>
                <w:rFonts w:ascii="Tahoma" w:hAnsi="Tahoma" w:cs="Tahoma"/>
                <w:color w:val="000000"/>
                <w:sz w:val="20"/>
              </w:rPr>
            </w:pPr>
            <w:r>
              <w:rPr>
                <w:rFonts w:ascii="Tahoma" w:hAnsi="Tahoma" w:cs="Tahoma"/>
                <w:color w:val="000000"/>
                <w:sz w:val="20"/>
              </w:rPr>
              <w:t>6900</w:t>
            </w:r>
            <w:r>
              <w:rPr>
                <w:rFonts w:cs="Tahoma" w:hint="eastAsia"/>
                <w:color w:val="000000"/>
                <w:sz w:val="20"/>
              </w:rPr>
              <w:t>米</w:t>
            </w:r>
          </w:p>
        </w:tc>
        <w:tc>
          <w:tcPr>
            <w:tcW w:w="1701" w:type="dxa"/>
            <w:shd w:val="clear" w:color="auto" w:fill="auto"/>
            <w:tcMar>
              <w:top w:w="15" w:type="dxa"/>
              <w:left w:w="15" w:type="dxa"/>
              <w:bottom w:w="0" w:type="dxa"/>
              <w:right w:w="15" w:type="dxa"/>
            </w:tcMar>
            <w:vAlign w:val="center"/>
            <w:hideMark/>
          </w:tcPr>
          <w:p w:rsidR="000D26D2" w:rsidRDefault="000D26D2">
            <w:pPr>
              <w:jc w:val="center"/>
              <w:rPr>
                <w:rFonts w:ascii="宋体" w:hAnsi="宋体" w:cs="Tahoma"/>
                <w:color w:val="000000"/>
                <w:sz w:val="20"/>
              </w:rPr>
            </w:pPr>
            <w:r>
              <w:rPr>
                <w:rFonts w:cs="Tahoma" w:hint="eastAsia"/>
                <w:color w:val="000000"/>
                <w:sz w:val="20"/>
              </w:rPr>
              <w:t>劣</w:t>
            </w:r>
          </w:p>
        </w:tc>
        <w:tc>
          <w:tcPr>
            <w:tcW w:w="1985" w:type="dxa"/>
            <w:shd w:val="clear" w:color="auto" w:fill="auto"/>
            <w:tcMar>
              <w:top w:w="15" w:type="dxa"/>
              <w:left w:w="15" w:type="dxa"/>
              <w:bottom w:w="0" w:type="dxa"/>
              <w:right w:w="15" w:type="dxa"/>
            </w:tcMar>
            <w:vAlign w:val="center"/>
            <w:hideMark/>
          </w:tcPr>
          <w:p w:rsidR="000D26D2" w:rsidRDefault="000D26D2">
            <w:pPr>
              <w:jc w:val="center"/>
              <w:rPr>
                <w:rFonts w:ascii="Tahoma" w:hAnsi="Tahoma" w:cs="Tahoma"/>
                <w:color w:val="000000"/>
                <w:sz w:val="20"/>
              </w:rPr>
            </w:pPr>
            <w:r>
              <w:rPr>
                <w:rFonts w:ascii="Tahoma" w:hAnsi="Tahoma" w:cs="Tahoma"/>
                <w:color w:val="000000"/>
                <w:sz w:val="20"/>
              </w:rPr>
              <w:t>-0.76</w:t>
            </w:r>
          </w:p>
        </w:tc>
      </w:tr>
      <w:tr w:rsidR="000D26D2" w:rsidTr="000D26D2">
        <w:trPr>
          <w:trHeight w:val="465"/>
        </w:trPr>
        <w:tc>
          <w:tcPr>
            <w:tcW w:w="0" w:type="auto"/>
            <w:vMerge/>
            <w:vAlign w:val="center"/>
            <w:hideMark/>
          </w:tcPr>
          <w:p w:rsidR="000D26D2" w:rsidRDefault="000D26D2">
            <w:pPr>
              <w:rPr>
                <w:rFonts w:ascii="仿宋_GB2312" w:eastAsia="仿宋_GB2312" w:hAnsi="Tahoma" w:cs="Tahoma"/>
                <w:color w:val="000000"/>
                <w:szCs w:val="21"/>
              </w:rPr>
            </w:pPr>
          </w:p>
        </w:tc>
        <w:tc>
          <w:tcPr>
            <w:tcW w:w="780" w:type="dxa"/>
            <w:vMerge w:val="restart"/>
            <w:shd w:val="clear" w:color="auto" w:fill="auto"/>
            <w:tcMar>
              <w:top w:w="15" w:type="dxa"/>
              <w:left w:w="15" w:type="dxa"/>
              <w:bottom w:w="0" w:type="dxa"/>
              <w:right w:w="15" w:type="dxa"/>
            </w:tcMar>
            <w:vAlign w:val="center"/>
            <w:hideMark/>
          </w:tcPr>
          <w:p w:rsidR="000D26D2" w:rsidRDefault="000D26D2">
            <w:pPr>
              <w:jc w:val="center"/>
              <w:rPr>
                <w:rFonts w:ascii="仿宋_GB2312" w:eastAsia="仿宋_GB2312" w:hAnsi="Tahoma" w:cs="Tahoma"/>
                <w:color w:val="000000"/>
                <w:szCs w:val="21"/>
              </w:rPr>
            </w:pPr>
            <w:r>
              <w:rPr>
                <w:rFonts w:ascii="仿宋_GB2312" w:eastAsia="仿宋_GB2312" w:hAnsi="Tahoma" w:cs="Tahoma" w:hint="eastAsia"/>
                <w:color w:val="000000"/>
                <w:szCs w:val="21"/>
              </w:rPr>
              <w:t>环境条件</w:t>
            </w:r>
          </w:p>
        </w:tc>
        <w:tc>
          <w:tcPr>
            <w:tcW w:w="1860" w:type="dxa"/>
            <w:gridSpan w:val="2"/>
            <w:shd w:val="clear" w:color="auto" w:fill="auto"/>
            <w:tcMar>
              <w:top w:w="15" w:type="dxa"/>
              <w:left w:w="15" w:type="dxa"/>
              <w:bottom w:w="0" w:type="dxa"/>
              <w:right w:w="15" w:type="dxa"/>
            </w:tcMar>
            <w:vAlign w:val="center"/>
            <w:hideMark/>
          </w:tcPr>
          <w:p w:rsidR="000D26D2" w:rsidRDefault="000D26D2">
            <w:pPr>
              <w:jc w:val="center"/>
              <w:rPr>
                <w:rFonts w:ascii="仿宋_GB2312" w:eastAsia="仿宋_GB2312" w:hAnsi="Tahoma" w:cs="Tahoma"/>
                <w:color w:val="000000"/>
                <w:szCs w:val="21"/>
              </w:rPr>
            </w:pPr>
            <w:r>
              <w:rPr>
                <w:rFonts w:ascii="仿宋_GB2312" w:eastAsia="仿宋_GB2312" w:hAnsi="Tahoma" w:cs="Tahoma" w:hint="eastAsia"/>
                <w:color w:val="000000"/>
                <w:szCs w:val="21"/>
              </w:rPr>
              <w:t>环境质量优劣度</w:t>
            </w:r>
          </w:p>
        </w:tc>
        <w:tc>
          <w:tcPr>
            <w:tcW w:w="1840" w:type="dxa"/>
            <w:shd w:val="clear" w:color="auto" w:fill="auto"/>
            <w:tcMar>
              <w:top w:w="15" w:type="dxa"/>
              <w:left w:w="15" w:type="dxa"/>
              <w:bottom w:w="0" w:type="dxa"/>
              <w:right w:w="15" w:type="dxa"/>
            </w:tcMar>
            <w:vAlign w:val="center"/>
            <w:hideMark/>
          </w:tcPr>
          <w:p w:rsidR="000D26D2" w:rsidRDefault="000D26D2">
            <w:pPr>
              <w:jc w:val="center"/>
              <w:rPr>
                <w:rFonts w:ascii="宋体" w:hAnsi="宋体" w:cs="Tahoma"/>
                <w:color w:val="000000"/>
                <w:sz w:val="20"/>
              </w:rPr>
            </w:pPr>
            <w:r>
              <w:rPr>
                <w:rFonts w:cs="Tahoma" w:hint="eastAsia"/>
                <w:color w:val="000000"/>
                <w:sz w:val="20"/>
              </w:rPr>
              <w:t>好</w:t>
            </w:r>
          </w:p>
        </w:tc>
        <w:tc>
          <w:tcPr>
            <w:tcW w:w="1701" w:type="dxa"/>
            <w:shd w:val="clear" w:color="auto" w:fill="auto"/>
            <w:tcMar>
              <w:top w:w="15" w:type="dxa"/>
              <w:left w:w="15" w:type="dxa"/>
              <w:bottom w:w="0" w:type="dxa"/>
              <w:right w:w="15" w:type="dxa"/>
            </w:tcMar>
            <w:vAlign w:val="center"/>
            <w:hideMark/>
          </w:tcPr>
          <w:p w:rsidR="000D26D2" w:rsidRDefault="000D26D2">
            <w:pPr>
              <w:jc w:val="center"/>
              <w:rPr>
                <w:rFonts w:ascii="宋体" w:hAnsi="宋体" w:cs="Tahoma"/>
                <w:color w:val="000000"/>
                <w:sz w:val="20"/>
              </w:rPr>
            </w:pPr>
            <w:r>
              <w:rPr>
                <w:rFonts w:cs="Tahoma" w:hint="eastAsia"/>
                <w:color w:val="000000"/>
                <w:sz w:val="20"/>
              </w:rPr>
              <w:t>优</w:t>
            </w:r>
          </w:p>
        </w:tc>
        <w:tc>
          <w:tcPr>
            <w:tcW w:w="1985" w:type="dxa"/>
            <w:shd w:val="clear" w:color="auto" w:fill="auto"/>
            <w:tcMar>
              <w:top w:w="15" w:type="dxa"/>
              <w:left w:w="15" w:type="dxa"/>
              <w:bottom w:w="0" w:type="dxa"/>
              <w:right w:w="15" w:type="dxa"/>
            </w:tcMar>
            <w:vAlign w:val="center"/>
            <w:hideMark/>
          </w:tcPr>
          <w:p w:rsidR="000D26D2" w:rsidRDefault="000D26D2">
            <w:pPr>
              <w:jc w:val="center"/>
              <w:rPr>
                <w:rFonts w:ascii="Tahoma" w:hAnsi="Tahoma" w:cs="Tahoma"/>
                <w:color w:val="000000"/>
                <w:sz w:val="20"/>
              </w:rPr>
            </w:pPr>
            <w:r>
              <w:rPr>
                <w:rFonts w:ascii="Tahoma" w:hAnsi="Tahoma" w:cs="Tahoma"/>
                <w:color w:val="000000"/>
                <w:sz w:val="20"/>
              </w:rPr>
              <w:t>1.34</w:t>
            </w:r>
          </w:p>
        </w:tc>
      </w:tr>
      <w:tr w:rsidR="000D26D2" w:rsidTr="000D26D2">
        <w:trPr>
          <w:trHeight w:val="465"/>
        </w:trPr>
        <w:tc>
          <w:tcPr>
            <w:tcW w:w="0" w:type="auto"/>
            <w:vMerge/>
            <w:vAlign w:val="center"/>
            <w:hideMark/>
          </w:tcPr>
          <w:p w:rsidR="000D26D2" w:rsidRDefault="000D26D2">
            <w:pPr>
              <w:rPr>
                <w:rFonts w:ascii="仿宋_GB2312" w:eastAsia="仿宋_GB2312" w:hAnsi="Tahoma" w:cs="Tahoma"/>
                <w:color w:val="000000"/>
                <w:szCs w:val="21"/>
              </w:rPr>
            </w:pPr>
          </w:p>
        </w:tc>
        <w:tc>
          <w:tcPr>
            <w:tcW w:w="0" w:type="auto"/>
            <w:vMerge/>
            <w:vAlign w:val="center"/>
            <w:hideMark/>
          </w:tcPr>
          <w:p w:rsidR="000D26D2" w:rsidRDefault="000D26D2">
            <w:pPr>
              <w:rPr>
                <w:rFonts w:ascii="仿宋_GB2312" w:eastAsia="仿宋_GB2312" w:hAnsi="Tahoma" w:cs="Tahoma"/>
                <w:color w:val="000000"/>
                <w:szCs w:val="21"/>
              </w:rPr>
            </w:pPr>
          </w:p>
        </w:tc>
        <w:tc>
          <w:tcPr>
            <w:tcW w:w="1860" w:type="dxa"/>
            <w:gridSpan w:val="2"/>
            <w:shd w:val="clear" w:color="auto" w:fill="auto"/>
            <w:tcMar>
              <w:top w:w="15" w:type="dxa"/>
              <w:left w:w="15" w:type="dxa"/>
              <w:bottom w:w="0" w:type="dxa"/>
              <w:right w:w="15" w:type="dxa"/>
            </w:tcMar>
            <w:vAlign w:val="center"/>
            <w:hideMark/>
          </w:tcPr>
          <w:p w:rsidR="000D26D2" w:rsidRDefault="000D26D2">
            <w:pPr>
              <w:jc w:val="center"/>
              <w:rPr>
                <w:rFonts w:ascii="仿宋_GB2312" w:eastAsia="仿宋_GB2312" w:hAnsi="Tahoma" w:cs="Tahoma"/>
                <w:color w:val="000000"/>
                <w:szCs w:val="21"/>
              </w:rPr>
            </w:pPr>
            <w:r>
              <w:rPr>
                <w:rFonts w:ascii="仿宋_GB2312" w:eastAsia="仿宋_GB2312" w:hAnsi="Tahoma" w:cs="Tahoma" w:hint="eastAsia"/>
                <w:color w:val="000000"/>
                <w:szCs w:val="21"/>
              </w:rPr>
              <w:t>绿地覆盖度</w:t>
            </w:r>
          </w:p>
        </w:tc>
        <w:tc>
          <w:tcPr>
            <w:tcW w:w="1840" w:type="dxa"/>
            <w:shd w:val="clear" w:color="auto" w:fill="auto"/>
            <w:tcMar>
              <w:top w:w="15" w:type="dxa"/>
              <w:left w:w="15" w:type="dxa"/>
              <w:bottom w:w="0" w:type="dxa"/>
              <w:right w:w="15" w:type="dxa"/>
            </w:tcMar>
            <w:vAlign w:val="center"/>
            <w:hideMark/>
          </w:tcPr>
          <w:p w:rsidR="000D26D2" w:rsidRDefault="000D26D2">
            <w:pPr>
              <w:jc w:val="center"/>
              <w:rPr>
                <w:rFonts w:ascii="宋体" w:hAnsi="宋体" w:cs="Tahoma"/>
                <w:color w:val="000000"/>
                <w:sz w:val="20"/>
              </w:rPr>
            </w:pPr>
            <w:r>
              <w:rPr>
                <w:rFonts w:cs="Tahoma" w:hint="eastAsia"/>
                <w:color w:val="000000"/>
                <w:sz w:val="20"/>
              </w:rPr>
              <w:t>好</w:t>
            </w:r>
          </w:p>
        </w:tc>
        <w:tc>
          <w:tcPr>
            <w:tcW w:w="1701" w:type="dxa"/>
            <w:shd w:val="clear" w:color="auto" w:fill="auto"/>
            <w:tcMar>
              <w:top w:w="15" w:type="dxa"/>
              <w:left w:w="15" w:type="dxa"/>
              <w:bottom w:w="0" w:type="dxa"/>
              <w:right w:w="15" w:type="dxa"/>
            </w:tcMar>
            <w:vAlign w:val="center"/>
            <w:hideMark/>
          </w:tcPr>
          <w:p w:rsidR="000D26D2" w:rsidRDefault="000D26D2">
            <w:pPr>
              <w:jc w:val="center"/>
              <w:rPr>
                <w:rFonts w:ascii="宋体" w:hAnsi="宋体" w:cs="Tahoma"/>
                <w:color w:val="000000"/>
                <w:sz w:val="20"/>
              </w:rPr>
            </w:pPr>
            <w:r>
              <w:rPr>
                <w:rFonts w:cs="Tahoma" w:hint="eastAsia"/>
                <w:color w:val="000000"/>
                <w:sz w:val="20"/>
              </w:rPr>
              <w:t>优</w:t>
            </w:r>
          </w:p>
        </w:tc>
        <w:tc>
          <w:tcPr>
            <w:tcW w:w="1985" w:type="dxa"/>
            <w:shd w:val="clear" w:color="auto" w:fill="auto"/>
            <w:tcMar>
              <w:top w:w="15" w:type="dxa"/>
              <w:left w:w="15" w:type="dxa"/>
              <w:bottom w:w="0" w:type="dxa"/>
              <w:right w:w="15" w:type="dxa"/>
            </w:tcMar>
            <w:vAlign w:val="center"/>
            <w:hideMark/>
          </w:tcPr>
          <w:p w:rsidR="000D26D2" w:rsidRDefault="000D26D2">
            <w:pPr>
              <w:jc w:val="center"/>
              <w:rPr>
                <w:rFonts w:ascii="Tahoma" w:hAnsi="Tahoma" w:cs="Tahoma"/>
                <w:color w:val="000000"/>
                <w:sz w:val="20"/>
              </w:rPr>
            </w:pPr>
            <w:r>
              <w:rPr>
                <w:rFonts w:ascii="Tahoma" w:hAnsi="Tahoma" w:cs="Tahoma"/>
                <w:color w:val="000000"/>
                <w:sz w:val="20"/>
              </w:rPr>
              <w:t>1.08</w:t>
            </w:r>
          </w:p>
        </w:tc>
      </w:tr>
      <w:tr w:rsidR="000D26D2" w:rsidTr="000D26D2">
        <w:trPr>
          <w:trHeight w:val="465"/>
        </w:trPr>
        <w:tc>
          <w:tcPr>
            <w:tcW w:w="0" w:type="auto"/>
            <w:vMerge/>
            <w:vAlign w:val="center"/>
            <w:hideMark/>
          </w:tcPr>
          <w:p w:rsidR="000D26D2" w:rsidRDefault="000D26D2">
            <w:pPr>
              <w:rPr>
                <w:rFonts w:ascii="仿宋_GB2312" w:eastAsia="仿宋_GB2312" w:hAnsi="Tahoma" w:cs="Tahoma"/>
                <w:color w:val="000000"/>
                <w:szCs w:val="21"/>
              </w:rPr>
            </w:pPr>
          </w:p>
        </w:tc>
        <w:tc>
          <w:tcPr>
            <w:tcW w:w="0" w:type="auto"/>
            <w:vMerge/>
            <w:vAlign w:val="center"/>
            <w:hideMark/>
          </w:tcPr>
          <w:p w:rsidR="000D26D2" w:rsidRDefault="000D26D2">
            <w:pPr>
              <w:rPr>
                <w:rFonts w:ascii="仿宋_GB2312" w:eastAsia="仿宋_GB2312" w:hAnsi="Tahoma" w:cs="Tahoma"/>
                <w:color w:val="000000"/>
                <w:szCs w:val="21"/>
              </w:rPr>
            </w:pPr>
          </w:p>
        </w:tc>
        <w:tc>
          <w:tcPr>
            <w:tcW w:w="1860" w:type="dxa"/>
            <w:gridSpan w:val="2"/>
            <w:shd w:val="clear" w:color="auto" w:fill="auto"/>
            <w:tcMar>
              <w:top w:w="15" w:type="dxa"/>
              <w:left w:w="15" w:type="dxa"/>
              <w:bottom w:w="0" w:type="dxa"/>
              <w:right w:w="15" w:type="dxa"/>
            </w:tcMar>
            <w:vAlign w:val="center"/>
            <w:hideMark/>
          </w:tcPr>
          <w:p w:rsidR="000D26D2" w:rsidRDefault="000D26D2">
            <w:pPr>
              <w:jc w:val="center"/>
              <w:rPr>
                <w:rFonts w:ascii="仿宋_GB2312" w:eastAsia="仿宋_GB2312" w:hAnsi="Tahoma" w:cs="Tahoma"/>
                <w:color w:val="000000"/>
                <w:szCs w:val="21"/>
              </w:rPr>
            </w:pPr>
            <w:r>
              <w:rPr>
                <w:rFonts w:ascii="仿宋_GB2312" w:eastAsia="仿宋_GB2312" w:hAnsi="Tahoma" w:cs="Tahoma" w:hint="eastAsia"/>
                <w:color w:val="000000"/>
                <w:szCs w:val="21"/>
              </w:rPr>
              <w:t>工程地质条件</w:t>
            </w:r>
          </w:p>
        </w:tc>
        <w:tc>
          <w:tcPr>
            <w:tcW w:w="1840" w:type="dxa"/>
            <w:shd w:val="clear" w:color="auto" w:fill="auto"/>
            <w:tcMar>
              <w:top w:w="15" w:type="dxa"/>
              <w:left w:w="15" w:type="dxa"/>
              <w:bottom w:w="0" w:type="dxa"/>
              <w:right w:w="15" w:type="dxa"/>
            </w:tcMar>
            <w:vAlign w:val="center"/>
            <w:hideMark/>
          </w:tcPr>
          <w:p w:rsidR="000D26D2" w:rsidRDefault="000D26D2">
            <w:pPr>
              <w:jc w:val="center"/>
              <w:rPr>
                <w:rFonts w:ascii="宋体" w:hAnsi="宋体" w:cs="Tahoma"/>
                <w:color w:val="000000"/>
                <w:sz w:val="20"/>
              </w:rPr>
            </w:pPr>
            <w:r>
              <w:rPr>
                <w:rFonts w:cs="Tahoma" w:hint="eastAsia"/>
                <w:color w:val="000000"/>
                <w:sz w:val="20"/>
              </w:rPr>
              <w:t>稳定</w:t>
            </w:r>
          </w:p>
        </w:tc>
        <w:tc>
          <w:tcPr>
            <w:tcW w:w="1701" w:type="dxa"/>
            <w:shd w:val="clear" w:color="auto" w:fill="auto"/>
            <w:tcMar>
              <w:top w:w="15" w:type="dxa"/>
              <w:left w:w="15" w:type="dxa"/>
              <w:bottom w:w="0" w:type="dxa"/>
              <w:right w:w="15" w:type="dxa"/>
            </w:tcMar>
            <w:vAlign w:val="center"/>
            <w:hideMark/>
          </w:tcPr>
          <w:p w:rsidR="000D26D2" w:rsidRDefault="000D26D2">
            <w:pPr>
              <w:jc w:val="center"/>
              <w:rPr>
                <w:rFonts w:ascii="宋体" w:hAnsi="宋体" w:cs="Tahoma"/>
                <w:color w:val="000000"/>
                <w:sz w:val="20"/>
              </w:rPr>
            </w:pPr>
            <w:r>
              <w:rPr>
                <w:rFonts w:cs="Tahoma" w:hint="eastAsia"/>
                <w:color w:val="000000"/>
                <w:sz w:val="20"/>
              </w:rPr>
              <w:t>优</w:t>
            </w:r>
          </w:p>
        </w:tc>
        <w:tc>
          <w:tcPr>
            <w:tcW w:w="1985" w:type="dxa"/>
            <w:shd w:val="clear" w:color="auto" w:fill="auto"/>
            <w:tcMar>
              <w:top w:w="15" w:type="dxa"/>
              <w:left w:w="15" w:type="dxa"/>
              <w:bottom w:w="0" w:type="dxa"/>
              <w:right w:w="15" w:type="dxa"/>
            </w:tcMar>
            <w:vAlign w:val="center"/>
            <w:hideMark/>
          </w:tcPr>
          <w:p w:rsidR="000D26D2" w:rsidRDefault="000D26D2">
            <w:pPr>
              <w:jc w:val="center"/>
              <w:rPr>
                <w:rFonts w:ascii="Tahoma" w:hAnsi="Tahoma" w:cs="Tahoma"/>
                <w:color w:val="000000"/>
                <w:sz w:val="20"/>
              </w:rPr>
            </w:pPr>
            <w:r>
              <w:rPr>
                <w:rFonts w:ascii="Tahoma" w:hAnsi="Tahoma" w:cs="Tahoma"/>
                <w:color w:val="000000"/>
                <w:sz w:val="20"/>
              </w:rPr>
              <w:t>0.54</w:t>
            </w:r>
          </w:p>
        </w:tc>
      </w:tr>
      <w:tr w:rsidR="000D26D2" w:rsidTr="000D26D2">
        <w:trPr>
          <w:trHeight w:val="465"/>
        </w:trPr>
        <w:tc>
          <w:tcPr>
            <w:tcW w:w="0" w:type="auto"/>
            <w:vMerge/>
            <w:vAlign w:val="center"/>
            <w:hideMark/>
          </w:tcPr>
          <w:p w:rsidR="000D26D2" w:rsidRDefault="000D26D2">
            <w:pPr>
              <w:rPr>
                <w:rFonts w:ascii="仿宋_GB2312" w:eastAsia="仿宋_GB2312" w:hAnsi="Tahoma" w:cs="Tahoma"/>
                <w:color w:val="000000"/>
                <w:szCs w:val="21"/>
              </w:rPr>
            </w:pPr>
          </w:p>
        </w:tc>
        <w:tc>
          <w:tcPr>
            <w:tcW w:w="780" w:type="dxa"/>
            <w:vMerge w:val="restart"/>
            <w:shd w:val="clear" w:color="auto" w:fill="auto"/>
            <w:tcMar>
              <w:top w:w="15" w:type="dxa"/>
              <w:left w:w="15" w:type="dxa"/>
              <w:bottom w:w="0" w:type="dxa"/>
              <w:right w:w="15" w:type="dxa"/>
            </w:tcMar>
            <w:vAlign w:val="center"/>
            <w:hideMark/>
          </w:tcPr>
          <w:p w:rsidR="000D26D2" w:rsidRDefault="000D26D2">
            <w:pPr>
              <w:jc w:val="center"/>
              <w:rPr>
                <w:rFonts w:ascii="仿宋_GB2312" w:eastAsia="仿宋_GB2312" w:hAnsi="Tahoma" w:cs="Tahoma"/>
                <w:color w:val="000000"/>
                <w:szCs w:val="21"/>
              </w:rPr>
            </w:pPr>
            <w:r>
              <w:rPr>
                <w:rFonts w:ascii="仿宋_GB2312" w:eastAsia="仿宋_GB2312" w:hAnsi="Tahoma" w:cs="Tahoma" w:hint="eastAsia"/>
                <w:color w:val="000000"/>
                <w:szCs w:val="21"/>
              </w:rPr>
              <w:t>繁华程度</w:t>
            </w:r>
          </w:p>
        </w:tc>
        <w:tc>
          <w:tcPr>
            <w:tcW w:w="780" w:type="dxa"/>
            <w:vMerge w:val="restart"/>
            <w:shd w:val="clear" w:color="auto" w:fill="auto"/>
            <w:tcMar>
              <w:top w:w="15" w:type="dxa"/>
              <w:left w:w="15" w:type="dxa"/>
              <w:bottom w:w="0" w:type="dxa"/>
              <w:right w:w="15" w:type="dxa"/>
            </w:tcMar>
            <w:vAlign w:val="center"/>
            <w:hideMark/>
          </w:tcPr>
          <w:p w:rsidR="000D26D2" w:rsidRDefault="000D26D2">
            <w:pPr>
              <w:jc w:val="center"/>
              <w:rPr>
                <w:rFonts w:ascii="仿宋_GB2312" w:eastAsia="仿宋_GB2312" w:hAnsi="Tahoma" w:cs="Tahoma"/>
                <w:color w:val="000000"/>
                <w:szCs w:val="21"/>
              </w:rPr>
            </w:pPr>
            <w:proofErr w:type="gramStart"/>
            <w:r>
              <w:rPr>
                <w:rFonts w:ascii="仿宋_GB2312" w:eastAsia="仿宋_GB2312" w:hAnsi="Tahoma" w:cs="Tahoma" w:hint="eastAsia"/>
                <w:color w:val="000000"/>
                <w:szCs w:val="21"/>
              </w:rPr>
              <w:t>距商服中心</w:t>
            </w:r>
            <w:proofErr w:type="gramEnd"/>
            <w:r>
              <w:rPr>
                <w:rFonts w:ascii="仿宋_GB2312" w:eastAsia="仿宋_GB2312" w:hAnsi="Tahoma" w:cs="Tahoma" w:hint="eastAsia"/>
                <w:color w:val="000000"/>
                <w:szCs w:val="21"/>
              </w:rPr>
              <w:t>距离</w:t>
            </w:r>
          </w:p>
        </w:tc>
        <w:tc>
          <w:tcPr>
            <w:tcW w:w="1080" w:type="dxa"/>
            <w:shd w:val="clear" w:color="auto" w:fill="auto"/>
            <w:tcMar>
              <w:top w:w="15" w:type="dxa"/>
              <w:left w:w="15" w:type="dxa"/>
              <w:bottom w:w="0" w:type="dxa"/>
              <w:right w:w="15" w:type="dxa"/>
            </w:tcMar>
            <w:vAlign w:val="center"/>
            <w:hideMark/>
          </w:tcPr>
          <w:p w:rsidR="000D26D2" w:rsidRDefault="000D26D2">
            <w:pPr>
              <w:jc w:val="center"/>
              <w:rPr>
                <w:rFonts w:ascii="仿宋_GB2312" w:eastAsia="仿宋_GB2312" w:hAnsi="Tahoma" w:cs="Tahoma"/>
                <w:color w:val="000000"/>
                <w:szCs w:val="21"/>
              </w:rPr>
            </w:pPr>
            <w:r>
              <w:rPr>
                <w:rFonts w:ascii="仿宋_GB2312" w:eastAsia="仿宋_GB2312" w:hAnsi="Tahoma" w:cs="Tahoma" w:hint="eastAsia"/>
                <w:color w:val="000000"/>
                <w:szCs w:val="21"/>
              </w:rPr>
              <w:t>距一级商</w:t>
            </w:r>
            <w:proofErr w:type="gramStart"/>
            <w:r>
              <w:rPr>
                <w:rFonts w:ascii="仿宋_GB2312" w:eastAsia="仿宋_GB2312" w:hAnsi="Tahoma" w:cs="Tahoma" w:hint="eastAsia"/>
                <w:color w:val="000000"/>
                <w:szCs w:val="21"/>
              </w:rPr>
              <w:t>服中心</w:t>
            </w:r>
            <w:proofErr w:type="gramEnd"/>
            <w:r>
              <w:rPr>
                <w:rFonts w:ascii="仿宋_GB2312" w:eastAsia="仿宋_GB2312" w:hAnsi="Tahoma" w:cs="Tahoma" w:hint="eastAsia"/>
                <w:color w:val="000000"/>
                <w:szCs w:val="21"/>
              </w:rPr>
              <w:t>距离</w:t>
            </w:r>
          </w:p>
        </w:tc>
        <w:tc>
          <w:tcPr>
            <w:tcW w:w="1840" w:type="dxa"/>
            <w:shd w:val="clear" w:color="auto" w:fill="auto"/>
            <w:tcMar>
              <w:top w:w="15" w:type="dxa"/>
              <w:left w:w="15" w:type="dxa"/>
              <w:bottom w:w="0" w:type="dxa"/>
              <w:right w:w="15" w:type="dxa"/>
            </w:tcMar>
            <w:vAlign w:val="center"/>
            <w:hideMark/>
          </w:tcPr>
          <w:p w:rsidR="000D26D2" w:rsidRDefault="000D26D2">
            <w:pPr>
              <w:jc w:val="center"/>
              <w:rPr>
                <w:rFonts w:ascii="Tahoma" w:hAnsi="Tahoma" w:cs="Tahoma"/>
                <w:color w:val="000000"/>
                <w:sz w:val="20"/>
              </w:rPr>
            </w:pPr>
            <w:r>
              <w:rPr>
                <w:rFonts w:ascii="Tahoma" w:hAnsi="Tahoma" w:cs="Tahoma"/>
                <w:color w:val="000000"/>
                <w:sz w:val="20"/>
              </w:rPr>
              <w:t>6600</w:t>
            </w:r>
            <w:r>
              <w:rPr>
                <w:rFonts w:cs="Tahoma" w:hint="eastAsia"/>
                <w:color w:val="000000"/>
                <w:sz w:val="20"/>
              </w:rPr>
              <w:t>米</w:t>
            </w:r>
          </w:p>
        </w:tc>
        <w:tc>
          <w:tcPr>
            <w:tcW w:w="1701" w:type="dxa"/>
            <w:shd w:val="clear" w:color="auto" w:fill="auto"/>
            <w:tcMar>
              <w:top w:w="15" w:type="dxa"/>
              <w:left w:w="15" w:type="dxa"/>
              <w:bottom w:w="0" w:type="dxa"/>
              <w:right w:w="15" w:type="dxa"/>
            </w:tcMar>
            <w:vAlign w:val="center"/>
            <w:hideMark/>
          </w:tcPr>
          <w:p w:rsidR="000D26D2" w:rsidRDefault="000D26D2">
            <w:pPr>
              <w:jc w:val="center"/>
              <w:rPr>
                <w:rFonts w:ascii="宋体" w:hAnsi="宋体" w:cs="Tahoma"/>
                <w:color w:val="000000"/>
                <w:sz w:val="20"/>
              </w:rPr>
            </w:pPr>
            <w:r>
              <w:rPr>
                <w:rFonts w:cs="Tahoma" w:hint="eastAsia"/>
                <w:color w:val="000000"/>
                <w:sz w:val="20"/>
              </w:rPr>
              <w:t>劣</w:t>
            </w:r>
          </w:p>
        </w:tc>
        <w:tc>
          <w:tcPr>
            <w:tcW w:w="1985" w:type="dxa"/>
            <w:shd w:val="clear" w:color="auto" w:fill="auto"/>
            <w:tcMar>
              <w:top w:w="15" w:type="dxa"/>
              <w:left w:w="15" w:type="dxa"/>
              <w:bottom w:w="0" w:type="dxa"/>
              <w:right w:w="15" w:type="dxa"/>
            </w:tcMar>
            <w:vAlign w:val="center"/>
            <w:hideMark/>
          </w:tcPr>
          <w:p w:rsidR="000D26D2" w:rsidRDefault="000D26D2">
            <w:pPr>
              <w:jc w:val="center"/>
              <w:rPr>
                <w:rFonts w:ascii="Tahoma" w:hAnsi="Tahoma" w:cs="Tahoma"/>
                <w:color w:val="000000"/>
                <w:sz w:val="20"/>
              </w:rPr>
            </w:pPr>
            <w:r>
              <w:rPr>
                <w:rFonts w:ascii="Tahoma" w:hAnsi="Tahoma" w:cs="Tahoma"/>
                <w:color w:val="000000"/>
                <w:sz w:val="20"/>
              </w:rPr>
              <w:t>-1.52</w:t>
            </w:r>
          </w:p>
        </w:tc>
      </w:tr>
      <w:tr w:rsidR="000D26D2" w:rsidTr="000D26D2">
        <w:trPr>
          <w:trHeight w:val="465"/>
        </w:trPr>
        <w:tc>
          <w:tcPr>
            <w:tcW w:w="0" w:type="auto"/>
            <w:vMerge/>
            <w:vAlign w:val="center"/>
            <w:hideMark/>
          </w:tcPr>
          <w:p w:rsidR="000D26D2" w:rsidRDefault="000D26D2">
            <w:pPr>
              <w:rPr>
                <w:rFonts w:ascii="仿宋_GB2312" w:eastAsia="仿宋_GB2312" w:hAnsi="Tahoma" w:cs="Tahoma"/>
                <w:color w:val="000000"/>
                <w:szCs w:val="21"/>
              </w:rPr>
            </w:pPr>
          </w:p>
        </w:tc>
        <w:tc>
          <w:tcPr>
            <w:tcW w:w="0" w:type="auto"/>
            <w:vMerge/>
            <w:vAlign w:val="center"/>
            <w:hideMark/>
          </w:tcPr>
          <w:p w:rsidR="000D26D2" w:rsidRDefault="000D26D2">
            <w:pPr>
              <w:rPr>
                <w:rFonts w:ascii="仿宋_GB2312" w:eastAsia="仿宋_GB2312" w:hAnsi="Tahoma" w:cs="Tahoma"/>
                <w:color w:val="000000"/>
                <w:szCs w:val="21"/>
              </w:rPr>
            </w:pPr>
          </w:p>
        </w:tc>
        <w:tc>
          <w:tcPr>
            <w:tcW w:w="0" w:type="auto"/>
            <w:vMerge/>
            <w:vAlign w:val="center"/>
            <w:hideMark/>
          </w:tcPr>
          <w:p w:rsidR="000D26D2" w:rsidRDefault="000D26D2">
            <w:pPr>
              <w:rPr>
                <w:rFonts w:ascii="仿宋_GB2312" w:eastAsia="仿宋_GB2312" w:hAnsi="Tahoma" w:cs="Tahoma"/>
                <w:color w:val="000000"/>
                <w:szCs w:val="21"/>
              </w:rPr>
            </w:pPr>
          </w:p>
        </w:tc>
        <w:tc>
          <w:tcPr>
            <w:tcW w:w="1080" w:type="dxa"/>
            <w:shd w:val="clear" w:color="auto" w:fill="auto"/>
            <w:tcMar>
              <w:top w:w="15" w:type="dxa"/>
              <w:left w:w="15" w:type="dxa"/>
              <w:bottom w:w="0" w:type="dxa"/>
              <w:right w:w="15" w:type="dxa"/>
            </w:tcMar>
            <w:vAlign w:val="center"/>
            <w:hideMark/>
          </w:tcPr>
          <w:p w:rsidR="000D26D2" w:rsidRDefault="000D26D2">
            <w:pPr>
              <w:jc w:val="center"/>
              <w:rPr>
                <w:rFonts w:ascii="仿宋_GB2312" w:eastAsia="仿宋_GB2312" w:hAnsi="Tahoma" w:cs="Tahoma"/>
                <w:color w:val="000000"/>
                <w:szCs w:val="21"/>
              </w:rPr>
            </w:pPr>
            <w:r>
              <w:rPr>
                <w:rFonts w:ascii="仿宋_GB2312" w:eastAsia="仿宋_GB2312" w:hAnsi="Tahoma" w:cs="Tahoma" w:hint="eastAsia"/>
                <w:color w:val="000000"/>
                <w:szCs w:val="21"/>
              </w:rPr>
              <w:t>距二级商</w:t>
            </w:r>
            <w:proofErr w:type="gramStart"/>
            <w:r>
              <w:rPr>
                <w:rFonts w:ascii="仿宋_GB2312" w:eastAsia="仿宋_GB2312" w:hAnsi="Tahoma" w:cs="Tahoma" w:hint="eastAsia"/>
                <w:color w:val="000000"/>
                <w:szCs w:val="21"/>
              </w:rPr>
              <w:t>服中心</w:t>
            </w:r>
            <w:proofErr w:type="gramEnd"/>
            <w:r>
              <w:rPr>
                <w:rFonts w:ascii="仿宋_GB2312" w:eastAsia="仿宋_GB2312" w:hAnsi="Tahoma" w:cs="Tahoma" w:hint="eastAsia"/>
                <w:color w:val="000000"/>
                <w:szCs w:val="21"/>
              </w:rPr>
              <w:t>距离</w:t>
            </w:r>
          </w:p>
        </w:tc>
        <w:tc>
          <w:tcPr>
            <w:tcW w:w="1840" w:type="dxa"/>
            <w:shd w:val="clear" w:color="auto" w:fill="auto"/>
            <w:tcMar>
              <w:top w:w="15" w:type="dxa"/>
              <w:left w:w="15" w:type="dxa"/>
              <w:bottom w:w="0" w:type="dxa"/>
              <w:right w:w="15" w:type="dxa"/>
            </w:tcMar>
            <w:vAlign w:val="center"/>
            <w:hideMark/>
          </w:tcPr>
          <w:p w:rsidR="000D26D2" w:rsidRDefault="000D26D2">
            <w:pPr>
              <w:jc w:val="center"/>
              <w:rPr>
                <w:rFonts w:ascii="Tahoma" w:hAnsi="Tahoma" w:cs="Tahoma"/>
                <w:color w:val="000000"/>
                <w:sz w:val="20"/>
              </w:rPr>
            </w:pPr>
            <w:r>
              <w:rPr>
                <w:rFonts w:ascii="Tahoma" w:hAnsi="Tahoma" w:cs="Tahoma"/>
                <w:color w:val="000000"/>
                <w:sz w:val="20"/>
              </w:rPr>
              <w:t>3100</w:t>
            </w:r>
            <w:r>
              <w:rPr>
                <w:rFonts w:cs="Tahoma" w:hint="eastAsia"/>
                <w:color w:val="000000"/>
                <w:sz w:val="20"/>
              </w:rPr>
              <w:t>米</w:t>
            </w:r>
          </w:p>
        </w:tc>
        <w:tc>
          <w:tcPr>
            <w:tcW w:w="1701" w:type="dxa"/>
            <w:shd w:val="clear" w:color="auto" w:fill="auto"/>
            <w:tcMar>
              <w:top w:w="15" w:type="dxa"/>
              <w:left w:w="15" w:type="dxa"/>
              <w:bottom w:w="0" w:type="dxa"/>
              <w:right w:w="15" w:type="dxa"/>
            </w:tcMar>
            <w:vAlign w:val="center"/>
            <w:hideMark/>
          </w:tcPr>
          <w:p w:rsidR="000D26D2" w:rsidRDefault="000D26D2">
            <w:pPr>
              <w:jc w:val="center"/>
              <w:rPr>
                <w:rFonts w:ascii="宋体" w:hAnsi="宋体" w:cs="Tahoma"/>
                <w:color w:val="000000"/>
                <w:sz w:val="20"/>
              </w:rPr>
            </w:pPr>
            <w:r>
              <w:rPr>
                <w:rFonts w:cs="Tahoma" w:hint="eastAsia"/>
                <w:color w:val="000000"/>
                <w:sz w:val="20"/>
              </w:rPr>
              <w:t>一般</w:t>
            </w:r>
          </w:p>
        </w:tc>
        <w:tc>
          <w:tcPr>
            <w:tcW w:w="1985" w:type="dxa"/>
            <w:shd w:val="clear" w:color="auto" w:fill="auto"/>
            <w:tcMar>
              <w:top w:w="15" w:type="dxa"/>
              <w:left w:w="15" w:type="dxa"/>
              <w:bottom w:w="0" w:type="dxa"/>
              <w:right w:w="15" w:type="dxa"/>
            </w:tcMar>
            <w:vAlign w:val="center"/>
            <w:hideMark/>
          </w:tcPr>
          <w:p w:rsidR="000D26D2" w:rsidRDefault="000D26D2">
            <w:pPr>
              <w:jc w:val="center"/>
              <w:rPr>
                <w:rFonts w:ascii="Tahoma" w:hAnsi="Tahoma" w:cs="Tahoma"/>
                <w:color w:val="000000"/>
                <w:sz w:val="20"/>
              </w:rPr>
            </w:pPr>
            <w:r>
              <w:rPr>
                <w:rFonts w:ascii="Tahoma" w:hAnsi="Tahoma" w:cs="Tahoma"/>
                <w:color w:val="000000"/>
                <w:sz w:val="20"/>
              </w:rPr>
              <w:t>0</w:t>
            </w:r>
          </w:p>
        </w:tc>
      </w:tr>
      <w:tr w:rsidR="000D26D2" w:rsidTr="000D26D2">
        <w:trPr>
          <w:trHeight w:val="465"/>
        </w:trPr>
        <w:tc>
          <w:tcPr>
            <w:tcW w:w="0" w:type="auto"/>
            <w:vMerge/>
            <w:vAlign w:val="center"/>
            <w:hideMark/>
          </w:tcPr>
          <w:p w:rsidR="000D26D2" w:rsidRDefault="000D26D2">
            <w:pPr>
              <w:rPr>
                <w:rFonts w:ascii="仿宋_GB2312" w:eastAsia="仿宋_GB2312" w:hAnsi="Tahoma" w:cs="Tahoma"/>
                <w:color w:val="000000"/>
                <w:szCs w:val="21"/>
              </w:rPr>
            </w:pPr>
          </w:p>
        </w:tc>
        <w:tc>
          <w:tcPr>
            <w:tcW w:w="0" w:type="auto"/>
            <w:vMerge/>
            <w:vAlign w:val="center"/>
            <w:hideMark/>
          </w:tcPr>
          <w:p w:rsidR="000D26D2" w:rsidRDefault="000D26D2">
            <w:pPr>
              <w:rPr>
                <w:rFonts w:ascii="仿宋_GB2312" w:eastAsia="仿宋_GB2312" w:hAnsi="Tahoma" w:cs="Tahoma"/>
                <w:color w:val="000000"/>
                <w:szCs w:val="21"/>
              </w:rPr>
            </w:pPr>
          </w:p>
        </w:tc>
        <w:tc>
          <w:tcPr>
            <w:tcW w:w="0" w:type="auto"/>
            <w:vMerge/>
            <w:vAlign w:val="center"/>
            <w:hideMark/>
          </w:tcPr>
          <w:p w:rsidR="000D26D2" w:rsidRDefault="000D26D2">
            <w:pPr>
              <w:rPr>
                <w:rFonts w:ascii="仿宋_GB2312" w:eastAsia="仿宋_GB2312" w:hAnsi="Tahoma" w:cs="Tahoma"/>
                <w:color w:val="000000"/>
                <w:szCs w:val="21"/>
              </w:rPr>
            </w:pPr>
          </w:p>
        </w:tc>
        <w:tc>
          <w:tcPr>
            <w:tcW w:w="1080" w:type="dxa"/>
            <w:shd w:val="clear" w:color="auto" w:fill="auto"/>
            <w:tcMar>
              <w:top w:w="15" w:type="dxa"/>
              <w:left w:w="15" w:type="dxa"/>
              <w:bottom w:w="0" w:type="dxa"/>
              <w:right w:w="15" w:type="dxa"/>
            </w:tcMar>
            <w:vAlign w:val="center"/>
            <w:hideMark/>
          </w:tcPr>
          <w:p w:rsidR="000D26D2" w:rsidRDefault="000D26D2">
            <w:pPr>
              <w:jc w:val="center"/>
              <w:rPr>
                <w:rFonts w:ascii="仿宋_GB2312" w:eastAsia="仿宋_GB2312" w:hAnsi="Tahoma" w:cs="Tahoma"/>
                <w:color w:val="000000"/>
                <w:szCs w:val="21"/>
              </w:rPr>
            </w:pPr>
            <w:r>
              <w:rPr>
                <w:rFonts w:ascii="仿宋_GB2312" w:eastAsia="仿宋_GB2312" w:hAnsi="Tahoma" w:cs="Tahoma" w:hint="eastAsia"/>
                <w:color w:val="000000"/>
                <w:szCs w:val="21"/>
              </w:rPr>
              <w:t>距三级商</w:t>
            </w:r>
            <w:proofErr w:type="gramStart"/>
            <w:r>
              <w:rPr>
                <w:rFonts w:ascii="仿宋_GB2312" w:eastAsia="仿宋_GB2312" w:hAnsi="Tahoma" w:cs="Tahoma" w:hint="eastAsia"/>
                <w:color w:val="000000"/>
                <w:szCs w:val="21"/>
              </w:rPr>
              <w:t>服中心</w:t>
            </w:r>
            <w:proofErr w:type="gramEnd"/>
            <w:r>
              <w:rPr>
                <w:rFonts w:ascii="仿宋_GB2312" w:eastAsia="仿宋_GB2312" w:hAnsi="Tahoma" w:cs="Tahoma" w:hint="eastAsia"/>
                <w:color w:val="000000"/>
                <w:szCs w:val="21"/>
              </w:rPr>
              <w:t>距离</w:t>
            </w:r>
          </w:p>
        </w:tc>
        <w:tc>
          <w:tcPr>
            <w:tcW w:w="1840" w:type="dxa"/>
            <w:shd w:val="clear" w:color="auto" w:fill="auto"/>
            <w:tcMar>
              <w:top w:w="15" w:type="dxa"/>
              <w:left w:w="15" w:type="dxa"/>
              <w:bottom w:w="0" w:type="dxa"/>
              <w:right w:w="15" w:type="dxa"/>
            </w:tcMar>
            <w:vAlign w:val="center"/>
            <w:hideMark/>
          </w:tcPr>
          <w:p w:rsidR="000D26D2" w:rsidRDefault="000D26D2">
            <w:pPr>
              <w:jc w:val="center"/>
              <w:rPr>
                <w:rFonts w:ascii="Tahoma" w:hAnsi="Tahoma" w:cs="Tahoma"/>
                <w:color w:val="000000"/>
                <w:sz w:val="20"/>
              </w:rPr>
            </w:pPr>
            <w:r>
              <w:rPr>
                <w:rFonts w:ascii="Tahoma" w:hAnsi="Tahoma" w:cs="Tahoma"/>
                <w:color w:val="000000"/>
                <w:sz w:val="20"/>
              </w:rPr>
              <w:t>2100</w:t>
            </w:r>
            <w:r>
              <w:rPr>
                <w:rFonts w:cs="Tahoma" w:hint="eastAsia"/>
                <w:color w:val="000000"/>
                <w:sz w:val="20"/>
              </w:rPr>
              <w:t>米</w:t>
            </w:r>
          </w:p>
        </w:tc>
        <w:tc>
          <w:tcPr>
            <w:tcW w:w="1701" w:type="dxa"/>
            <w:shd w:val="clear" w:color="auto" w:fill="auto"/>
            <w:tcMar>
              <w:top w:w="15" w:type="dxa"/>
              <w:left w:w="15" w:type="dxa"/>
              <w:bottom w:w="0" w:type="dxa"/>
              <w:right w:w="15" w:type="dxa"/>
            </w:tcMar>
            <w:vAlign w:val="center"/>
            <w:hideMark/>
          </w:tcPr>
          <w:p w:rsidR="000D26D2" w:rsidRDefault="000D26D2">
            <w:pPr>
              <w:jc w:val="center"/>
              <w:rPr>
                <w:rFonts w:ascii="宋体" w:hAnsi="宋体" w:cs="Tahoma"/>
                <w:color w:val="000000"/>
                <w:sz w:val="20"/>
              </w:rPr>
            </w:pPr>
            <w:r>
              <w:rPr>
                <w:rFonts w:cs="Tahoma" w:hint="eastAsia"/>
                <w:color w:val="000000"/>
                <w:sz w:val="20"/>
              </w:rPr>
              <w:t>较优</w:t>
            </w:r>
          </w:p>
        </w:tc>
        <w:tc>
          <w:tcPr>
            <w:tcW w:w="1985" w:type="dxa"/>
            <w:shd w:val="clear" w:color="auto" w:fill="auto"/>
            <w:tcMar>
              <w:top w:w="15" w:type="dxa"/>
              <w:left w:w="15" w:type="dxa"/>
              <w:bottom w:w="0" w:type="dxa"/>
              <w:right w:w="15" w:type="dxa"/>
            </w:tcMar>
            <w:vAlign w:val="center"/>
            <w:hideMark/>
          </w:tcPr>
          <w:p w:rsidR="000D26D2" w:rsidRDefault="000D26D2">
            <w:pPr>
              <w:jc w:val="center"/>
              <w:rPr>
                <w:rFonts w:ascii="Tahoma" w:hAnsi="Tahoma" w:cs="Tahoma"/>
                <w:color w:val="000000"/>
                <w:sz w:val="20"/>
              </w:rPr>
            </w:pPr>
            <w:r>
              <w:rPr>
                <w:rFonts w:ascii="Tahoma" w:hAnsi="Tahoma" w:cs="Tahoma"/>
                <w:color w:val="000000"/>
                <w:sz w:val="20"/>
              </w:rPr>
              <w:t>0.54</w:t>
            </w:r>
          </w:p>
        </w:tc>
      </w:tr>
      <w:tr w:rsidR="000D26D2" w:rsidTr="000D26D2">
        <w:trPr>
          <w:trHeight w:val="465"/>
        </w:trPr>
        <w:tc>
          <w:tcPr>
            <w:tcW w:w="0" w:type="auto"/>
            <w:vMerge/>
            <w:vAlign w:val="center"/>
            <w:hideMark/>
          </w:tcPr>
          <w:p w:rsidR="000D26D2" w:rsidRDefault="000D26D2">
            <w:pPr>
              <w:rPr>
                <w:rFonts w:ascii="仿宋_GB2312" w:eastAsia="仿宋_GB2312" w:hAnsi="Tahoma" w:cs="Tahoma"/>
                <w:color w:val="000000"/>
                <w:szCs w:val="21"/>
              </w:rPr>
            </w:pPr>
          </w:p>
        </w:tc>
        <w:tc>
          <w:tcPr>
            <w:tcW w:w="780" w:type="dxa"/>
            <w:vMerge w:val="restart"/>
            <w:shd w:val="clear" w:color="auto" w:fill="auto"/>
            <w:tcMar>
              <w:top w:w="15" w:type="dxa"/>
              <w:left w:w="15" w:type="dxa"/>
              <w:bottom w:w="0" w:type="dxa"/>
              <w:right w:w="15" w:type="dxa"/>
            </w:tcMar>
            <w:vAlign w:val="center"/>
            <w:hideMark/>
          </w:tcPr>
          <w:p w:rsidR="000D26D2" w:rsidRDefault="000D26D2">
            <w:pPr>
              <w:jc w:val="center"/>
              <w:rPr>
                <w:rFonts w:ascii="仿宋_GB2312" w:eastAsia="仿宋_GB2312" w:hAnsi="Tahoma" w:cs="Tahoma"/>
                <w:color w:val="000000"/>
                <w:szCs w:val="21"/>
              </w:rPr>
            </w:pPr>
            <w:r>
              <w:rPr>
                <w:rFonts w:ascii="仿宋_GB2312" w:eastAsia="仿宋_GB2312" w:hAnsi="Tahoma" w:cs="Tahoma" w:hint="eastAsia"/>
                <w:color w:val="000000"/>
                <w:szCs w:val="21"/>
              </w:rPr>
              <w:t>人口状况</w:t>
            </w:r>
          </w:p>
        </w:tc>
        <w:tc>
          <w:tcPr>
            <w:tcW w:w="1860" w:type="dxa"/>
            <w:gridSpan w:val="2"/>
            <w:shd w:val="clear" w:color="auto" w:fill="auto"/>
            <w:tcMar>
              <w:top w:w="15" w:type="dxa"/>
              <w:left w:w="15" w:type="dxa"/>
              <w:bottom w:w="0" w:type="dxa"/>
              <w:right w:w="15" w:type="dxa"/>
            </w:tcMar>
            <w:vAlign w:val="center"/>
            <w:hideMark/>
          </w:tcPr>
          <w:p w:rsidR="000D26D2" w:rsidRDefault="000D26D2">
            <w:pPr>
              <w:jc w:val="center"/>
              <w:rPr>
                <w:rFonts w:ascii="仿宋_GB2312" w:eastAsia="仿宋_GB2312" w:hAnsi="Tahoma" w:cs="Tahoma"/>
                <w:color w:val="000000"/>
                <w:szCs w:val="21"/>
              </w:rPr>
            </w:pPr>
            <w:r>
              <w:rPr>
                <w:rFonts w:ascii="仿宋_GB2312" w:eastAsia="仿宋_GB2312" w:hAnsi="Tahoma" w:cs="Tahoma" w:hint="eastAsia"/>
                <w:color w:val="000000"/>
                <w:szCs w:val="21"/>
              </w:rPr>
              <w:t>常住人口密度</w:t>
            </w:r>
          </w:p>
        </w:tc>
        <w:tc>
          <w:tcPr>
            <w:tcW w:w="1840" w:type="dxa"/>
            <w:shd w:val="clear" w:color="auto" w:fill="auto"/>
            <w:tcMar>
              <w:top w:w="15" w:type="dxa"/>
              <w:left w:w="15" w:type="dxa"/>
              <w:bottom w:w="0" w:type="dxa"/>
              <w:right w:w="15" w:type="dxa"/>
            </w:tcMar>
            <w:vAlign w:val="center"/>
            <w:hideMark/>
          </w:tcPr>
          <w:p w:rsidR="000D26D2" w:rsidRDefault="000D26D2">
            <w:pPr>
              <w:jc w:val="center"/>
              <w:rPr>
                <w:rFonts w:ascii="仿宋_GB2312" w:eastAsia="仿宋_GB2312" w:hAnsi="Tahoma" w:cs="Tahoma"/>
                <w:color w:val="000000"/>
                <w:sz w:val="20"/>
              </w:rPr>
            </w:pPr>
            <w:r>
              <w:rPr>
                <w:rFonts w:ascii="仿宋_GB2312" w:eastAsia="仿宋_GB2312" w:hAnsi="Tahoma" w:cs="Tahoma" w:hint="eastAsia"/>
                <w:color w:val="000000"/>
                <w:sz w:val="20"/>
              </w:rPr>
              <w:t>较高</w:t>
            </w:r>
          </w:p>
        </w:tc>
        <w:tc>
          <w:tcPr>
            <w:tcW w:w="1701" w:type="dxa"/>
            <w:shd w:val="clear" w:color="auto" w:fill="auto"/>
            <w:tcMar>
              <w:top w:w="15" w:type="dxa"/>
              <w:left w:w="15" w:type="dxa"/>
              <w:bottom w:w="0" w:type="dxa"/>
              <w:right w:w="15" w:type="dxa"/>
            </w:tcMar>
            <w:vAlign w:val="center"/>
            <w:hideMark/>
          </w:tcPr>
          <w:p w:rsidR="000D26D2" w:rsidRDefault="000D26D2">
            <w:pPr>
              <w:jc w:val="center"/>
              <w:rPr>
                <w:rFonts w:ascii="宋体" w:hAnsi="宋体" w:cs="Tahoma"/>
                <w:color w:val="000000"/>
                <w:sz w:val="20"/>
              </w:rPr>
            </w:pPr>
            <w:r>
              <w:rPr>
                <w:rFonts w:cs="Tahoma" w:hint="eastAsia"/>
                <w:color w:val="000000"/>
                <w:sz w:val="20"/>
              </w:rPr>
              <w:t>一般</w:t>
            </w:r>
          </w:p>
        </w:tc>
        <w:tc>
          <w:tcPr>
            <w:tcW w:w="1985" w:type="dxa"/>
            <w:shd w:val="clear" w:color="auto" w:fill="auto"/>
            <w:tcMar>
              <w:top w:w="15" w:type="dxa"/>
              <w:left w:w="15" w:type="dxa"/>
              <w:bottom w:w="0" w:type="dxa"/>
              <w:right w:w="15" w:type="dxa"/>
            </w:tcMar>
            <w:vAlign w:val="center"/>
            <w:hideMark/>
          </w:tcPr>
          <w:p w:rsidR="000D26D2" w:rsidRDefault="000D26D2">
            <w:pPr>
              <w:jc w:val="center"/>
              <w:rPr>
                <w:rFonts w:ascii="Tahoma" w:hAnsi="Tahoma" w:cs="Tahoma"/>
                <w:color w:val="000000"/>
                <w:sz w:val="20"/>
              </w:rPr>
            </w:pPr>
            <w:r>
              <w:rPr>
                <w:rFonts w:ascii="Tahoma" w:hAnsi="Tahoma" w:cs="Tahoma"/>
                <w:color w:val="000000"/>
                <w:sz w:val="20"/>
              </w:rPr>
              <w:t>0</w:t>
            </w:r>
          </w:p>
        </w:tc>
      </w:tr>
      <w:tr w:rsidR="000D26D2" w:rsidTr="000D26D2">
        <w:trPr>
          <w:trHeight w:val="465"/>
        </w:trPr>
        <w:tc>
          <w:tcPr>
            <w:tcW w:w="0" w:type="auto"/>
            <w:vMerge/>
            <w:vAlign w:val="center"/>
            <w:hideMark/>
          </w:tcPr>
          <w:p w:rsidR="000D26D2" w:rsidRDefault="000D26D2">
            <w:pPr>
              <w:rPr>
                <w:rFonts w:ascii="仿宋_GB2312" w:eastAsia="仿宋_GB2312" w:hAnsi="Tahoma" w:cs="Tahoma"/>
                <w:color w:val="000000"/>
                <w:szCs w:val="21"/>
              </w:rPr>
            </w:pPr>
          </w:p>
        </w:tc>
        <w:tc>
          <w:tcPr>
            <w:tcW w:w="0" w:type="auto"/>
            <w:vMerge/>
            <w:vAlign w:val="center"/>
            <w:hideMark/>
          </w:tcPr>
          <w:p w:rsidR="000D26D2" w:rsidRDefault="000D26D2">
            <w:pPr>
              <w:rPr>
                <w:rFonts w:ascii="仿宋_GB2312" w:eastAsia="仿宋_GB2312" w:hAnsi="Tahoma" w:cs="Tahoma"/>
                <w:color w:val="000000"/>
                <w:szCs w:val="21"/>
              </w:rPr>
            </w:pPr>
          </w:p>
        </w:tc>
        <w:tc>
          <w:tcPr>
            <w:tcW w:w="1860" w:type="dxa"/>
            <w:gridSpan w:val="2"/>
            <w:shd w:val="clear" w:color="auto" w:fill="auto"/>
            <w:tcMar>
              <w:top w:w="15" w:type="dxa"/>
              <w:left w:w="15" w:type="dxa"/>
              <w:bottom w:w="0" w:type="dxa"/>
              <w:right w:w="15" w:type="dxa"/>
            </w:tcMar>
            <w:vAlign w:val="center"/>
            <w:hideMark/>
          </w:tcPr>
          <w:p w:rsidR="000D26D2" w:rsidRDefault="000D26D2">
            <w:pPr>
              <w:jc w:val="center"/>
              <w:rPr>
                <w:rFonts w:ascii="仿宋_GB2312" w:eastAsia="仿宋_GB2312" w:hAnsi="Tahoma" w:cs="Tahoma"/>
                <w:color w:val="000000"/>
                <w:szCs w:val="21"/>
              </w:rPr>
            </w:pPr>
            <w:r>
              <w:rPr>
                <w:rFonts w:ascii="仿宋_GB2312" w:eastAsia="仿宋_GB2312" w:hAnsi="Tahoma" w:cs="Tahoma" w:hint="eastAsia"/>
                <w:color w:val="000000"/>
                <w:szCs w:val="21"/>
              </w:rPr>
              <w:t>流动人口密度</w:t>
            </w:r>
          </w:p>
        </w:tc>
        <w:tc>
          <w:tcPr>
            <w:tcW w:w="1840" w:type="dxa"/>
            <w:shd w:val="clear" w:color="auto" w:fill="auto"/>
            <w:tcMar>
              <w:top w:w="15" w:type="dxa"/>
              <w:left w:w="15" w:type="dxa"/>
              <w:bottom w:w="0" w:type="dxa"/>
              <w:right w:w="15" w:type="dxa"/>
            </w:tcMar>
            <w:vAlign w:val="center"/>
            <w:hideMark/>
          </w:tcPr>
          <w:p w:rsidR="000D26D2" w:rsidRDefault="000D26D2">
            <w:pPr>
              <w:jc w:val="center"/>
              <w:rPr>
                <w:rFonts w:ascii="仿宋_GB2312" w:eastAsia="仿宋_GB2312" w:hAnsi="Tahoma" w:cs="Tahoma"/>
                <w:color w:val="000000"/>
                <w:sz w:val="20"/>
              </w:rPr>
            </w:pPr>
            <w:r>
              <w:rPr>
                <w:rFonts w:ascii="仿宋_GB2312" w:eastAsia="仿宋_GB2312" w:hAnsi="Tahoma" w:cs="Tahoma" w:hint="eastAsia"/>
                <w:color w:val="000000"/>
                <w:sz w:val="20"/>
              </w:rPr>
              <w:t>较高</w:t>
            </w:r>
          </w:p>
        </w:tc>
        <w:tc>
          <w:tcPr>
            <w:tcW w:w="1701" w:type="dxa"/>
            <w:shd w:val="clear" w:color="auto" w:fill="auto"/>
            <w:tcMar>
              <w:top w:w="15" w:type="dxa"/>
              <w:left w:w="15" w:type="dxa"/>
              <w:bottom w:w="0" w:type="dxa"/>
              <w:right w:w="15" w:type="dxa"/>
            </w:tcMar>
            <w:vAlign w:val="center"/>
            <w:hideMark/>
          </w:tcPr>
          <w:p w:rsidR="000D26D2" w:rsidRDefault="000D26D2">
            <w:pPr>
              <w:jc w:val="center"/>
              <w:rPr>
                <w:rFonts w:ascii="宋体" w:hAnsi="宋体" w:cs="Tahoma"/>
                <w:color w:val="000000"/>
                <w:sz w:val="20"/>
              </w:rPr>
            </w:pPr>
            <w:r>
              <w:rPr>
                <w:rFonts w:cs="Tahoma" w:hint="eastAsia"/>
                <w:color w:val="000000"/>
                <w:sz w:val="20"/>
              </w:rPr>
              <w:t>一般</w:t>
            </w:r>
          </w:p>
        </w:tc>
        <w:tc>
          <w:tcPr>
            <w:tcW w:w="1985" w:type="dxa"/>
            <w:shd w:val="clear" w:color="auto" w:fill="auto"/>
            <w:tcMar>
              <w:top w:w="15" w:type="dxa"/>
              <w:left w:w="15" w:type="dxa"/>
              <w:bottom w:w="0" w:type="dxa"/>
              <w:right w:w="15" w:type="dxa"/>
            </w:tcMar>
            <w:vAlign w:val="center"/>
            <w:hideMark/>
          </w:tcPr>
          <w:p w:rsidR="000D26D2" w:rsidRDefault="000D26D2">
            <w:pPr>
              <w:jc w:val="center"/>
              <w:rPr>
                <w:rFonts w:ascii="Tahoma" w:hAnsi="Tahoma" w:cs="Tahoma"/>
                <w:color w:val="000000"/>
                <w:sz w:val="20"/>
              </w:rPr>
            </w:pPr>
            <w:r>
              <w:rPr>
                <w:rFonts w:ascii="Tahoma" w:hAnsi="Tahoma" w:cs="Tahoma"/>
                <w:color w:val="000000"/>
                <w:sz w:val="20"/>
              </w:rPr>
              <w:t>0</w:t>
            </w:r>
          </w:p>
        </w:tc>
      </w:tr>
      <w:tr w:rsidR="000D26D2" w:rsidTr="000D26D2">
        <w:trPr>
          <w:trHeight w:val="465"/>
        </w:trPr>
        <w:tc>
          <w:tcPr>
            <w:tcW w:w="780" w:type="dxa"/>
            <w:vMerge w:val="restart"/>
            <w:shd w:val="clear" w:color="auto" w:fill="auto"/>
            <w:tcMar>
              <w:top w:w="15" w:type="dxa"/>
              <w:left w:w="15" w:type="dxa"/>
              <w:bottom w:w="0" w:type="dxa"/>
              <w:right w:w="15" w:type="dxa"/>
            </w:tcMar>
            <w:vAlign w:val="center"/>
            <w:hideMark/>
          </w:tcPr>
          <w:p w:rsidR="000D26D2" w:rsidRDefault="000D26D2">
            <w:pPr>
              <w:jc w:val="center"/>
              <w:rPr>
                <w:rFonts w:ascii="仿宋_GB2312" w:eastAsia="仿宋_GB2312" w:hAnsi="Tahoma" w:cs="Tahoma"/>
                <w:color w:val="000000"/>
                <w:szCs w:val="21"/>
              </w:rPr>
            </w:pPr>
            <w:r>
              <w:rPr>
                <w:rFonts w:ascii="仿宋_GB2312" w:eastAsia="仿宋_GB2312" w:hAnsi="Tahoma" w:cs="Tahoma" w:hint="eastAsia"/>
                <w:color w:val="000000"/>
                <w:szCs w:val="21"/>
              </w:rPr>
              <w:t>个别因素</w:t>
            </w:r>
          </w:p>
        </w:tc>
        <w:tc>
          <w:tcPr>
            <w:tcW w:w="2640" w:type="dxa"/>
            <w:gridSpan w:val="3"/>
            <w:shd w:val="clear" w:color="auto" w:fill="auto"/>
            <w:tcMar>
              <w:top w:w="15" w:type="dxa"/>
              <w:left w:w="15" w:type="dxa"/>
              <w:bottom w:w="0" w:type="dxa"/>
              <w:right w:w="15" w:type="dxa"/>
            </w:tcMar>
            <w:vAlign w:val="center"/>
            <w:hideMark/>
          </w:tcPr>
          <w:p w:rsidR="000D26D2" w:rsidRDefault="000D26D2">
            <w:pPr>
              <w:jc w:val="center"/>
              <w:rPr>
                <w:rFonts w:ascii="仿宋_GB2312" w:eastAsia="仿宋_GB2312" w:hAnsi="Tahoma" w:cs="Tahoma"/>
                <w:color w:val="000000"/>
                <w:szCs w:val="21"/>
              </w:rPr>
            </w:pPr>
            <w:r>
              <w:rPr>
                <w:rFonts w:ascii="仿宋_GB2312" w:eastAsia="仿宋_GB2312" w:hAnsi="Tahoma" w:cs="Tahoma" w:hint="eastAsia"/>
                <w:color w:val="000000"/>
                <w:szCs w:val="21"/>
              </w:rPr>
              <w:t>宗地面积</w:t>
            </w:r>
          </w:p>
        </w:tc>
        <w:tc>
          <w:tcPr>
            <w:tcW w:w="1840" w:type="dxa"/>
            <w:shd w:val="clear" w:color="auto" w:fill="auto"/>
            <w:tcMar>
              <w:top w:w="15" w:type="dxa"/>
              <w:left w:w="15" w:type="dxa"/>
              <w:bottom w:w="0" w:type="dxa"/>
              <w:right w:w="15" w:type="dxa"/>
            </w:tcMar>
            <w:vAlign w:val="center"/>
            <w:hideMark/>
          </w:tcPr>
          <w:p w:rsidR="000D26D2" w:rsidRDefault="000D26D2">
            <w:pPr>
              <w:jc w:val="center"/>
              <w:rPr>
                <w:rFonts w:ascii="宋体" w:hAnsi="宋体" w:cs="Tahoma"/>
                <w:color w:val="000000"/>
                <w:sz w:val="20"/>
              </w:rPr>
            </w:pPr>
            <w:r>
              <w:rPr>
                <w:rFonts w:cs="Tahoma" w:hint="eastAsia"/>
                <w:color w:val="000000"/>
                <w:sz w:val="20"/>
              </w:rPr>
              <w:t>面积适中，对土地利用极为有利</w:t>
            </w:r>
          </w:p>
        </w:tc>
        <w:tc>
          <w:tcPr>
            <w:tcW w:w="1701" w:type="dxa"/>
            <w:shd w:val="clear" w:color="auto" w:fill="auto"/>
            <w:tcMar>
              <w:top w:w="15" w:type="dxa"/>
              <w:left w:w="15" w:type="dxa"/>
              <w:bottom w:w="0" w:type="dxa"/>
              <w:right w:w="15" w:type="dxa"/>
            </w:tcMar>
            <w:vAlign w:val="center"/>
            <w:hideMark/>
          </w:tcPr>
          <w:p w:rsidR="000D26D2" w:rsidRDefault="000D26D2">
            <w:pPr>
              <w:jc w:val="center"/>
              <w:rPr>
                <w:rFonts w:ascii="宋体" w:hAnsi="宋体" w:cs="Tahoma"/>
                <w:color w:val="000000"/>
                <w:sz w:val="20"/>
              </w:rPr>
            </w:pPr>
            <w:r>
              <w:rPr>
                <w:rFonts w:cs="Tahoma" w:hint="eastAsia"/>
                <w:color w:val="000000"/>
                <w:sz w:val="20"/>
              </w:rPr>
              <w:t>优</w:t>
            </w:r>
          </w:p>
        </w:tc>
        <w:tc>
          <w:tcPr>
            <w:tcW w:w="1985" w:type="dxa"/>
            <w:shd w:val="clear" w:color="auto" w:fill="auto"/>
            <w:tcMar>
              <w:top w:w="15" w:type="dxa"/>
              <w:left w:w="15" w:type="dxa"/>
              <w:bottom w:w="0" w:type="dxa"/>
              <w:right w:w="15" w:type="dxa"/>
            </w:tcMar>
            <w:vAlign w:val="center"/>
            <w:hideMark/>
          </w:tcPr>
          <w:p w:rsidR="000D26D2" w:rsidRDefault="000D26D2">
            <w:pPr>
              <w:jc w:val="center"/>
              <w:rPr>
                <w:rFonts w:ascii="Tahoma" w:hAnsi="Tahoma" w:cs="Tahoma"/>
                <w:color w:val="000000"/>
                <w:sz w:val="20"/>
              </w:rPr>
            </w:pPr>
            <w:r>
              <w:rPr>
                <w:rFonts w:ascii="Tahoma" w:hAnsi="Tahoma" w:cs="Tahoma"/>
                <w:color w:val="000000"/>
                <w:sz w:val="20"/>
              </w:rPr>
              <w:t>1.08</w:t>
            </w:r>
          </w:p>
        </w:tc>
      </w:tr>
      <w:tr w:rsidR="000D26D2" w:rsidTr="000D26D2">
        <w:trPr>
          <w:trHeight w:val="465"/>
        </w:trPr>
        <w:tc>
          <w:tcPr>
            <w:tcW w:w="0" w:type="auto"/>
            <w:vMerge/>
            <w:vAlign w:val="center"/>
            <w:hideMark/>
          </w:tcPr>
          <w:p w:rsidR="000D26D2" w:rsidRDefault="000D26D2">
            <w:pPr>
              <w:rPr>
                <w:rFonts w:ascii="仿宋_GB2312" w:eastAsia="仿宋_GB2312" w:hAnsi="Tahoma" w:cs="Tahoma"/>
                <w:color w:val="000000"/>
                <w:szCs w:val="21"/>
              </w:rPr>
            </w:pPr>
          </w:p>
        </w:tc>
        <w:tc>
          <w:tcPr>
            <w:tcW w:w="2640" w:type="dxa"/>
            <w:gridSpan w:val="3"/>
            <w:shd w:val="clear" w:color="auto" w:fill="auto"/>
            <w:tcMar>
              <w:top w:w="15" w:type="dxa"/>
              <w:left w:w="15" w:type="dxa"/>
              <w:bottom w:w="0" w:type="dxa"/>
              <w:right w:w="15" w:type="dxa"/>
            </w:tcMar>
            <w:vAlign w:val="center"/>
            <w:hideMark/>
          </w:tcPr>
          <w:p w:rsidR="000D26D2" w:rsidRDefault="000D26D2">
            <w:pPr>
              <w:jc w:val="center"/>
              <w:rPr>
                <w:rFonts w:ascii="仿宋_GB2312" w:eastAsia="仿宋_GB2312" w:hAnsi="Tahoma" w:cs="Tahoma"/>
                <w:color w:val="000000"/>
                <w:szCs w:val="21"/>
              </w:rPr>
            </w:pPr>
            <w:r>
              <w:rPr>
                <w:rFonts w:ascii="仿宋_GB2312" w:eastAsia="仿宋_GB2312" w:hAnsi="Tahoma" w:cs="Tahoma" w:hint="eastAsia"/>
                <w:color w:val="000000"/>
                <w:szCs w:val="21"/>
              </w:rPr>
              <w:t>宗地形状</w:t>
            </w:r>
          </w:p>
        </w:tc>
        <w:tc>
          <w:tcPr>
            <w:tcW w:w="1840" w:type="dxa"/>
            <w:shd w:val="clear" w:color="auto" w:fill="auto"/>
            <w:tcMar>
              <w:top w:w="15" w:type="dxa"/>
              <w:left w:w="15" w:type="dxa"/>
              <w:bottom w:w="0" w:type="dxa"/>
              <w:right w:w="15" w:type="dxa"/>
            </w:tcMar>
            <w:vAlign w:val="center"/>
            <w:hideMark/>
          </w:tcPr>
          <w:p w:rsidR="000D26D2" w:rsidRDefault="000D26D2">
            <w:pPr>
              <w:jc w:val="center"/>
              <w:rPr>
                <w:rFonts w:ascii="宋体" w:hAnsi="宋体" w:cs="Tahoma"/>
                <w:color w:val="000000"/>
                <w:sz w:val="20"/>
              </w:rPr>
            </w:pPr>
            <w:r>
              <w:rPr>
                <w:rFonts w:cs="Tahoma" w:hint="eastAsia"/>
                <w:color w:val="000000"/>
                <w:sz w:val="20"/>
              </w:rPr>
              <w:t>形状规则，对土地利用极为有利</w:t>
            </w:r>
          </w:p>
        </w:tc>
        <w:tc>
          <w:tcPr>
            <w:tcW w:w="1701" w:type="dxa"/>
            <w:shd w:val="clear" w:color="auto" w:fill="auto"/>
            <w:tcMar>
              <w:top w:w="15" w:type="dxa"/>
              <w:left w:w="15" w:type="dxa"/>
              <w:bottom w:w="0" w:type="dxa"/>
              <w:right w:w="15" w:type="dxa"/>
            </w:tcMar>
            <w:vAlign w:val="center"/>
            <w:hideMark/>
          </w:tcPr>
          <w:p w:rsidR="000D26D2" w:rsidRDefault="000D26D2">
            <w:pPr>
              <w:jc w:val="center"/>
              <w:rPr>
                <w:rFonts w:ascii="宋体" w:hAnsi="宋体" w:cs="Tahoma"/>
                <w:color w:val="000000"/>
                <w:sz w:val="20"/>
              </w:rPr>
            </w:pPr>
            <w:r>
              <w:rPr>
                <w:rFonts w:cs="Tahoma" w:hint="eastAsia"/>
                <w:color w:val="000000"/>
                <w:sz w:val="20"/>
              </w:rPr>
              <w:t>优</w:t>
            </w:r>
          </w:p>
        </w:tc>
        <w:tc>
          <w:tcPr>
            <w:tcW w:w="1985" w:type="dxa"/>
            <w:shd w:val="clear" w:color="auto" w:fill="auto"/>
            <w:tcMar>
              <w:top w:w="15" w:type="dxa"/>
              <w:left w:w="15" w:type="dxa"/>
              <w:bottom w:w="0" w:type="dxa"/>
              <w:right w:w="15" w:type="dxa"/>
            </w:tcMar>
            <w:vAlign w:val="center"/>
            <w:hideMark/>
          </w:tcPr>
          <w:p w:rsidR="000D26D2" w:rsidRDefault="000D26D2">
            <w:pPr>
              <w:jc w:val="center"/>
              <w:rPr>
                <w:rFonts w:ascii="Tahoma" w:hAnsi="Tahoma" w:cs="Tahoma"/>
                <w:color w:val="000000"/>
                <w:sz w:val="20"/>
              </w:rPr>
            </w:pPr>
            <w:r>
              <w:rPr>
                <w:rFonts w:ascii="Tahoma" w:hAnsi="Tahoma" w:cs="Tahoma"/>
                <w:color w:val="000000"/>
                <w:sz w:val="20"/>
              </w:rPr>
              <w:t>0.81</w:t>
            </w:r>
          </w:p>
        </w:tc>
      </w:tr>
      <w:tr w:rsidR="000D26D2" w:rsidTr="000D26D2">
        <w:trPr>
          <w:trHeight w:val="465"/>
        </w:trPr>
        <w:tc>
          <w:tcPr>
            <w:tcW w:w="0" w:type="auto"/>
            <w:vAlign w:val="center"/>
            <w:hideMark/>
          </w:tcPr>
          <w:p w:rsidR="000D26D2" w:rsidRDefault="000D26D2" w:rsidP="000D26D2">
            <w:pPr>
              <w:jc w:val="center"/>
              <w:rPr>
                <w:rFonts w:ascii="仿宋_GB2312" w:eastAsia="仿宋_GB2312" w:hAnsi="Tahoma" w:cs="Tahoma"/>
                <w:color w:val="000000"/>
                <w:szCs w:val="21"/>
              </w:rPr>
            </w:pPr>
            <w:r>
              <w:rPr>
                <w:rFonts w:ascii="仿宋_GB2312" w:eastAsia="仿宋_GB2312" w:hAnsi="Tahoma" w:cs="Tahoma"/>
                <w:color w:val="000000"/>
                <w:szCs w:val="21"/>
              </w:rPr>
              <w:t>合计</w:t>
            </w:r>
          </w:p>
        </w:tc>
        <w:tc>
          <w:tcPr>
            <w:tcW w:w="2640" w:type="dxa"/>
            <w:gridSpan w:val="3"/>
            <w:shd w:val="clear" w:color="auto" w:fill="auto"/>
            <w:tcMar>
              <w:top w:w="15" w:type="dxa"/>
              <w:left w:w="15" w:type="dxa"/>
              <w:bottom w:w="0" w:type="dxa"/>
              <w:right w:w="15" w:type="dxa"/>
            </w:tcMar>
            <w:vAlign w:val="center"/>
            <w:hideMark/>
          </w:tcPr>
          <w:p w:rsidR="000D26D2" w:rsidRDefault="000D26D2">
            <w:pPr>
              <w:jc w:val="center"/>
              <w:rPr>
                <w:rFonts w:ascii="仿宋_GB2312" w:eastAsia="仿宋_GB2312" w:hAnsi="Tahoma" w:cs="Tahoma"/>
                <w:color w:val="000000"/>
                <w:szCs w:val="21"/>
              </w:rPr>
            </w:pPr>
            <w:r>
              <w:rPr>
                <w:rFonts w:ascii="仿宋_GB2312" w:eastAsia="仿宋_GB2312" w:hAnsi="Tahoma" w:cs="Tahoma" w:hint="eastAsia"/>
                <w:color w:val="000000"/>
                <w:szCs w:val="21"/>
              </w:rPr>
              <w:t>—</w:t>
            </w:r>
          </w:p>
        </w:tc>
        <w:tc>
          <w:tcPr>
            <w:tcW w:w="1840" w:type="dxa"/>
            <w:shd w:val="clear" w:color="auto" w:fill="auto"/>
            <w:tcMar>
              <w:top w:w="15" w:type="dxa"/>
              <w:left w:w="15" w:type="dxa"/>
              <w:bottom w:w="0" w:type="dxa"/>
              <w:right w:w="15" w:type="dxa"/>
            </w:tcMar>
            <w:vAlign w:val="center"/>
            <w:hideMark/>
          </w:tcPr>
          <w:p w:rsidR="000D26D2" w:rsidRDefault="000D26D2">
            <w:pPr>
              <w:jc w:val="center"/>
              <w:rPr>
                <w:rFonts w:cs="Tahoma"/>
                <w:color w:val="000000"/>
                <w:sz w:val="20"/>
              </w:rPr>
            </w:pPr>
            <w:r>
              <w:rPr>
                <w:rFonts w:ascii="仿宋_GB2312" w:eastAsia="仿宋_GB2312" w:hAnsi="Tahoma" w:cs="Tahoma" w:hint="eastAsia"/>
                <w:color w:val="000000"/>
                <w:szCs w:val="21"/>
              </w:rPr>
              <w:t>—</w:t>
            </w:r>
          </w:p>
        </w:tc>
        <w:tc>
          <w:tcPr>
            <w:tcW w:w="1701" w:type="dxa"/>
            <w:shd w:val="clear" w:color="auto" w:fill="auto"/>
            <w:tcMar>
              <w:top w:w="15" w:type="dxa"/>
              <w:left w:w="15" w:type="dxa"/>
              <w:bottom w:w="0" w:type="dxa"/>
              <w:right w:w="15" w:type="dxa"/>
            </w:tcMar>
            <w:vAlign w:val="center"/>
            <w:hideMark/>
          </w:tcPr>
          <w:p w:rsidR="000D26D2" w:rsidRDefault="000D26D2">
            <w:pPr>
              <w:jc w:val="center"/>
              <w:rPr>
                <w:rFonts w:cs="Tahoma"/>
                <w:color w:val="000000"/>
                <w:sz w:val="20"/>
              </w:rPr>
            </w:pPr>
            <w:r>
              <w:rPr>
                <w:rFonts w:ascii="仿宋_GB2312" w:eastAsia="仿宋_GB2312" w:hAnsi="Tahoma" w:cs="Tahoma" w:hint="eastAsia"/>
                <w:color w:val="000000"/>
                <w:szCs w:val="21"/>
              </w:rPr>
              <w:t>—</w:t>
            </w:r>
          </w:p>
        </w:tc>
        <w:tc>
          <w:tcPr>
            <w:tcW w:w="1985" w:type="dxa"/>
            <w:shd w:val="clear" w:color="auto" w:fill="auto"/>
            <w:tcMar>
              <w:top w:w="15" w:type="dxa"/>
              <w:left w:w="15" w:type="dxa"/>
              <w:bottom w:w="0" w:type="dxa"/>
              <w:right w:w="15" w:type="dxa"/>
            </w:tcMar>
            <w:vAlign w:val="center"/>
            <w:hideMark/>
          </w:tcPr>
          <w:p w:rsidR="000D26D2" w:rsidRDefault="00F513B3">
            <w:pPr>
              <w:jc w:val="center"/>
              <w:rPr>
                <w:rFonts w:ascii="Tahoma" w:hAnsi="Tahoma" w:cs="Tahoma"/>
                <w:color w:val="000000"/>
                <w:sz w:val="20"/>
              </w:rPr>
            </w:pPr>
            <w:r>
              <w:rPr>
                <w:rFonts w:ascii="Tahoma" w:hAnsi="Tahoma" w:cs="Tahoma"/>
                <w:color w:val="000000"/>
                <w:sz w:val="20"/>
              </w:rPr>
              <w:fldChar w:fldCharType="begin"/>
            </w:r>
            <w:r w:rsidR="000D26D2">
              <w:rPr>
                <w:rFonts w:ascii="Tahoma" w:hAnsi="Tahoma" w:cs="Tahoma"/>
                <w:color w:val="000000"/>
                <w:sz w:val="20"/>
              </w:rPr>
              <w:instrText xml:space="preserve"> =SUM(ABOVE) </w:instrText>
            </w:r>
            <w:r>
              <w:rPr>
                <w:rFonts w:ascii="Tahoma" w:hAnsi="Tahoma" w:cs="Tahoma"/>
                <w:color w:val="000000"/>
                <w:sz w:val="20"/>
              </w:rPr>
              <w:fldChar w:fldCharType="separate"/>
            </w:r>
            <w:r w:rsidR="000D26D2">
              <w:rPr>
                <w:rFonts w:ascii="Tahoma" w:hAnsi="Tahoma" w:cs="Tahoma"/>
                <w:noProof/>
                <w:color w:val="000000"/>
                <w:sz w:val="20"/>
              </w:rPr>
              <w:t>9.08</w:t>
            </w:r>
            <w:r>
              <w:rPr>
                <w:rFonts w:ascii="Tahoma" w:hAnsi="Tahoma" w:cs="Tahoma"/>
                <w:color w:val="000000"/>
                <w:sz w:val="20"/>
              </w:rPr>
              <w:fldChar w:fldCharType="end"/>
            </w:r>
          </w:p>
        </w:tc>
      </w:tr>
    </w:tbl>
    <w:p w:rsidR="0054446D" w:rsidRDefault="000D26D2">
      <w:pPr>
        <w:spacing w:line="42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w:t>
      </w:r>
      <w:r w:rsidR="00FB459A">
        <w:rPr>
          <w:rFonts w:ascii="仿宋" w:eastAsia="仿宋" w:hAnsi="仿宋" w:cs="仿宋" w:hint="eastAsia"/>
          <w:sz w:val="28"/>
          <w:szCs w:val="28"/>
        </w:rPr>
        <w:t>7、土地价值的计算</w:t>
      </w:r>
    </w:p>
    <w:p w:rsidR="0054446D" w:rsidRDefault="00FB459A">
      <w:pPr>
        <w:spacing w:line="420" w:lineRule="exact"/>
        <w:ind w:firstLineChars="200" w:firstLine="560"/>
        <w:rPr>
          <w:rFonts w:ascii="仿宋" w:eastAsia="仿宋" w:hAnsi="仿宋" w:cs="仿宋"/>
          <w:szCs w:val="21"/>
        </w:rPr>
      </w:pPr>
      <w:r>
        <w:rPr>
          <w:rFonts w:ascii="仿宋" w:eastAsia="仿宋" w:hAnsi="仿宋" w:cs="仿宋" w:hint="eastAsia"/>
          <w:sz w:val="28"/>
          <w:szCs w:val="28"/>
        </w:rPr>
        <w:t>具体如下表：</w:t>
      </w:r>
    </w:p>
    <w:tbl>
      <w:tblPr>
        <w:tblW w:w="638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0" w:type="dxa"/>
          <w:right w:w="0" w:type="dxa"/>
        </w:tblCellMar>
        <w:tblLook w:val="04A0"/>
      </w:tblPr>
      <w:tblGrid>
        <w:gridCol w:w="4030"/>
        <w:gridCol w:w="2350"/>
      </w:tblGrid>
      <w:tr w:rsidR="0054446D">
        <w:trPr>
          <w:trHeight w:val="400"/>
          <w:jc w:val="center"/>
        </w:trPr>
        <w:tc>
          <w:tcPr>
            <w:tcW w:w="4030" w:type="dxa"/>
            <w:tcBorders>
              <w:tl2br w:val="nil"/>
              <w:tr2bl w:val="nil"/>
            </w:tcBorders>
            <w:shd w:val="clear" w:color="auto" w:fill="auto"/>
            <w:tcMar>
              <w:top w:w="15" w:type="dxa"/>
              <w:left w:w="15" w:type="dxa"/>
              <w:right w:w="15" w:type="dxa"/>
            </w:tcMar>
            <w:vAlign w:val="bottom"/>
          </w:tcPr>
          <w:p w:rsidR="0054446D" w:rsidRDefault="00FB459A">
            <w:pPr>
              <w:spacing w:line="400" w:lineRule="exact"/>
              <w:jc w:val="center"/>
              <w:rPr>
                <w:rFonts w:ascii="仿宋" w:eastAsia="仿宋" w:hAnsi="仿宋" w:cs="仿宋"/>
                <w:sz w:val="24"/>
                <w:szCs w:val="24"/>
              </w:rPr>
            </w:pPr>
            <w:r>
              <w:rPr>
                <w:rFonts w:ascii="仿宋" w:eastAsia="仿宋" w:hAnsi="仿宋" w:cs="仿宋" w:hint="eastAsia"/>
                <w:sz w:val="24"/>
                <w:szCs w:val="24"/>
              </w:rPr>
              <w:t>项目</w:t>
            </w:r>
          </w:p>
        </w:tc>
        <w:tc>
          <w:tcPr>
            <w:tcW w:w="2350" w:type="dxa"/>
            <w:tcBorders>
              <w:tl2br w:val="nil"/>
              <w:tr2bl w:val="nil"/>
            </w:tcBorders>
            <w:shd w:val="clear" w:color="auto" w:fill="auto"/>
            <w:tcMar>
              <w:top w:w="15" w:type="dxa"/>
              <w:left w:w="15" w:type="dxa"/>
              <w:right w:w="15" w:type="dxa"/>
            </w:tcMar>
            <w:vAlign w:val="bottom"/>
          </w:tcPr>
          <w:p w:rsidR="0054446D" w:rsidRDefault="00FB459A">
            <w:pPr>
              <w:spacing w:line="400" w:lineRule="exact"/>
              <w:jc w:val="center"/>
              <w:rPr>
                <w:rFonts w:ascii="仿宋" w:eastAsia="仿宋" w:hAnsi="仿宋" w:cs="仿宋"/>
                <w:sz w:val="24"/>
                <w:szCs w:val="24"/>
              </w:rPr>
            </w:pPr>
            <w:r>
              <w:rPr>
                <w:rFonts w:ascii="仿宋" w:eastAsia="仿宋" w:hAnsi="仿宋" w:cs="仿宋" w:hint="eastAsia"/>
                <w:sz w:val="24"/>
                <w:szCs w:val="24"/>
              </w:rPr>
              <w:t>价值</w:t>
            </w:r>
          </w:p>
        </w:tc>
      </w:tr>
      <w:tr w:rsidR="0054446D">
        <w:trPr>
          <w:trHeight w:val="400"/>
          <w:jc w:val="center"/>
        </w:trPr>
        <w:tc>
          <w:tcPr>
            <w:tcW w:w="4030" w:type="dxa"/>
            <w:tcBorders>
              <w:tl2br w:val="nil"/>
              <w:tr2bl w:val="nil"/>
            </w:tcBorders>
            <w:shd w:val="clear" w:color="auto" w:fill="auto"/>
            <w:tcMar>
              <w:top w:w="15" w:type="dxa"/>
              <w:left w:w="15" w:type="dxa"/>
              <w:right w:w="15" w:type="dxa"/>
            </w:tcMar>
            <w:vAlign w:val="bottom"/>
          </w:tcPr>
          <w:p w:rsidR="0054446D" w:rsidRDefault="00FB459A">
            <w:pPr>
              <w:spacing w:line="400" w:lineRule="exact"/>
              <w:jc w:val="center"/>
              <w:rPr>
                <w:rFonts w:ascii="仿宋" w:eastAsia="仿宋" w:hAnsi="仿宋" w:cs="仿宋"/>
                <w:sz w:val="24"/>
                <w:szCs w:val="24"/>
              </w:rPr>
            </w:pPr>
            <w:r>
              <w:rPr>
                <w:rFonts w:ascii="仿宋" w:eastAsia="仿宋" w:hAnsi="仿宋" w:cs="仿宋" w:hint="eastAsia"/>
                <w:sz w:val="24"/>
                <w:szCs w:val="24"/>
              </w:rPr>
              <w:t>基准地价</w:t>
            </w:r>
          </w:p>
        </w:tc>
        <w:tc>
          <w:tcPr>
            <w:tcW w:w="2350" w:type="dxa"/>
            <w:tcBorders>
              <w:tl2br w:val="nil"/>
              <w:tr2bl w:val="nil"/>
            </w:tcBorders>
            <w:shd w:val="clear" w:color="auto" w:fill="auto"/>
            <w:tcMar>
              <w:top w:w="15" w:type="dxa"/>
              <w:left w:w="15" w:type="dxa"/>
              <w:right w:w="15" w:type="dxa"/>
            </w:tcMar>
            <w:vAlign w:val="bottom"/>
          </w:tcPr>
          <w:p w:rsidR="0054446D" w:rsidRDefault="00FB459A">
            <w:pPr>
              <w:spacing w:line="400" w:lineRule="exact"/>
              <w:jc w:val="center"/>
              <w:rPr>
                <w:rFonts w:ascii="仿宋" w:eastAsia="仿宋" w:hAnsi="仿宋" w:cs="仿宋"/>
                <w:sz w:val="24"/>
                <w:szCs w:val="24"/>
              </w:rPr>
            </w:pPr>
            <w:r>
              <w:rPr>
                <w:rFonts w:ascii="仿宋" w:eastAsia="仿宋" w:hAnsi="仿宋" w:cs="仿宋" w:hint="eastAsia"/>
                <w:sz w:val="24"/>
                <w:szCs w:val="24"/>
              </w:rPr>
              <w:t>1800</w:t>
            </w:r>
          </w:p>
        </w:tc>
      </w:tr>
      <w:tr w:rsidR="0054446D">
        <w:trPr>
          <w:trHeight w:val="400"/>
          <w:jc w:val="center"/>
        </w:trPr>
        <w:tc>
          <w:tcPr>
            <w:tcW w:w="4030" w:type="dxa"/>
            <w:tcBorders>
              <w:tl2br w:val="nil"/>
              <w:tr2bl w:val="nil"/>
            </w:tcBorders>
            <w:shd w:val="clear" w:color="auto" w:fill="auto"/>
            <w:tcMar>
              <w:top w:w="15" w:type="dxa"/>
              <w:left w:w="15" w:type="dxa"/>
              <w:right w:w="15" w:type="dxa"/>
            </w:tcMar>
            <w:vAlign w:val="bottom"/>
          </w:tcPr>
          <w:p w:rsidR="0054446D" w:rsidRPr="00F204CC" w:rsidRDefault="00FB459A">
            <w:pPr>
              <w:spacing w:line="400" w:lineRule="exact"/>
              <w:jc w:val="center"/>
              <w:rPr>
                <w:rFonts w:ascii="仿宋" w:eastAsia="仿宋" w:hAnsi="仿宋" w:cs="仿宋"/>
                <w:sz w:val="24"/>
                <w:szCs w:val="24"/>
              </w:rPr>
            </w:pPr>
            <w:r w:rsidRPr="00F204CC">
              <w:rPr>
                <w:rFonts w:ascii="仿宋" w:eastAsia="仿宋" w:hAnsi="仿宋" w:cs="仿宋" w:hint="eastAsia"/>
                <w:sz w:val="24"/>
                <w:szCs w:val="24"/>
              </w:rPr>
              <w:t>区域因素修正系数</w:t>
            </w:r>
          </w:p>
        </w:tc>
        <w:tc>
          <w:tcPr>
            <w:tcW w:w="2350" w:type="dxa"/>
            <w:tcBorders>
              <w:tl2br w:val="nil"/>
              <w:tr2bl w:val="nil"/>
            </w:tcBorders>
            <w:shd w:val="clear" w:color="auto" w:fill="auto"/>
            <w:tcMar>
              <w:top w:w="15" w:type="dxa"/>
              <w:left w:w="15" w:type="dxa"/>
              <w:right w:w="15" w:type="dxa"/>
            </w:tcMar>
            <w:vAlign w:val="bottom"/>
          </w:tcPr>
          <w:p w:rsidR="0054446D" w:rsidRPr="00F204CC" w:rsidRDefault="00FB459A">
            <w:pPr>
              <w:spacing w:line="400" w:lineRule="exact"/>
              <w:jc w:val="center"/>
              <w:rPr>
                <w:rFonts w:ascii="仿宋" w:eastAsia="仿宋" w:hAnsi="仿宋" w:cs="仿宋"/>
                <w:sz w:val="24"/>
                <w:szCs w:val="24"/>
              </w:rPr>
            </w:pPr>
            <w:r w:rsidRPr="00F204CC">
              <w:rPr>
                <w:rFonts w:ascii="仿宋" w:eastAsia="仿宋" w:hAnsi="仿宋" w:cs="仿宋" w:hint="eastAsia"/>
                <w:sz w:val="24"/>
                <w:szCs w:val="24"/>
              </w:rPr>
              <w:t>1.0908</w:t>
            </w:r>
          </w:p>
        </w:tc>
      </w:tr>
      <w:tr w:rsidR="0054446D">
        <w:trPr>
          <w:trHeight w:val="400"/>
          <w:jc w:val="center"/>
        </w:trPr>
        <w:tc>
          <w:tcPr>
            <w:tcW w:w="4030" w:type="dxa"/>
            <w:tcBorders>
              <w:tl2br w:val="nil"/>
              <w:tr2bl w:val="nil"/>
            </w:tcBorders>
            <w:shd w:val="clear" w:color="auto" w:fill="auto"/>
            <w:tcMar>
              <w:top w:w="15" w:type="dxa"/>
              <w:left w:w="15" w:type="dxa"/>
              <w:right w:w="15" w:type="dxa"/>
            </w:tcMar>
            <w:vAlign w:val="bottom"/>
          </w:tcPr>
          <w:p w:rsidR="0054446D" w:rsidRDefault="00FB459A">
            <w:pPr>
              <w:spacing w:line="400" w:lineRule="exact"/>
              <w:jc w:val="center"/>
              <w:rPr>
                <w:rFonts w:ascii="仿宋" w:eastAsia="仿宋" w:hAnsi="仿宋" w:cs="仿宋"/>
                <w:sz w:val="24"/>
                <w:szCs w:val="24"/>
              </w:rPr>
            </w:pPr>
            <w:r>
              <w:rPr>
                <w:rFonts w:ascii="仿宋" w:eastAsia="仿宋" w:hAnsi="仿宋" w:cs="仿宋" w:hint="eastAsia"/>
                <w:sz w:val="24"/>
                <w:szCs w:val="24"/>
              </w:rPr>
              <w:t>土地使用年期修正</w:t>
            </w:r>
          </w:p>
        </w:tc>
        <w:tc>
          <w:tcPr>
            <w:tcW w:w="2350" w:type="dxa"/>
            <w:tcBorders>
              <w:tl2br w:val="nil"/>
              <w:tr2bl w:val="nil"/>
            </w:tcBorders>
            <w:shd w:val="clear" w:color="auto" w:fill="auto"/>
            <w:tcMar>
              <w:top w:w="15" w:type="dxa"/>
              <w:left w:w="15" w:type="dxa"/>
              <w:right w:w="15" w:type="dxa"/>
            </w:tcMar>
            <w:vAlign w:val="bottom"/>
          </w:tcPr>
          <w:p w:rsidR="0054446D" w:rsidRDefault="00FB459A">
            <w:pPr>
              <w:spacing w:line="400" w:lineRule="exact"/>
              <w:jc w:val="center"/>
              <w:rPr>
                <w:rFonts w:ascii="仿宋" w:eastAsia="仿宋" w:hAnsi="仿宋" w:cs="仿宋"/>
                <w:sz w:val="24"/>
                <w:szCs w:val="24"/>
              </w:rPr>
            </w:pPr>
            <w:r>
              <w:rPr>
                <w:rFonts w:ascii="仿宋" w:eastAsia="仿宋" w:hAnsi="仿宋" w:cs="仿宋" w:hint="eastAsia"/>
                <w:sz w:val="24"/>
                <w:szCs w:val="24"/>
              </w:rPr>
              <w:t>0.9821</w:t>
            </w:r>
          </w:p>
        </w:tc>
      </w:tr>
      <w:tr w:rsidR="0054446D">
        <w:trPr>
          <w:trHeight w:val="400"/>
          <w:jc w:val="center"/>
        </w:trPr>
        <w:tc>
          <w:tcPr>
            <w:tcW w:w="4030" w:type="dxa"/>
            <w:tcBorders>
              <w:tl2br w:val="nil"/>
              <w:tr2bl w:val="nil"/>
            </w:tcBorders>
            <w:shd w:val="clear" w:color="auto" w:fill="auto"/>
            <w:tcMar>
              <w:top w:w="15" w:type="dxa"/>
              <w:left w:w="15" w:type="dxa"/>
              <w:right w:w="15" w:type="dxa"/>
            </w:tcMar>
            <w:vAlign w:val="bottom"/>
          </w:tcPr>
          <w:p w:rsidR="0054446D" w:rsidRDefault="00FB459A">
            <w:pPr>
              <w:spacing w:line="400" w:lineRule="exact"/>
              <w:jc w:val="center"/>
              <w:rPr>
                <w:rFonts w:ascii="仿宋" w:eastAsia="仿宋" w:hAnsi="仿宋" w:cs="仿宋"/>
                <w:sz w:val="24"/>
                <w:szCs w:val="24"/>
              </w:rPr>
            </w:pPr>
            <w:r>
              <w:rPr>
                <w:rFonts w:ascii="仿宋" w:eastAsia="仿宋" w:hAnsi="仿宋" w:cs="仿宋" w:hint="eastAsia"/>
                <w:sz w:val="24"/>
                <w:szCs w:val="24"/>
              </w:rPr>
              <w:t>容积率修正系数</w:t>
            </w:r>
          </w:p>
        </w:tc>
        <w:tc>
          <w:tcPr>
            <w:tcW w:w="2350" w:type="dxa"/>
            <w:tcBorders>
              <w:tl2br w:val="nil"/>
              <w:tr2bl w:val="nil"/>
            </w:tcBorders>
            <w:shd w:val="clear" w:color="auto" w:fill="auto"/>
            <w:tcMar>
              <w:top w:w="15" w:type="dxa"/>
              <w:left w:w="15" w:type="dxa"/>
              <w:right w:w="15" w:type="dxa"/>
            </w:tcMar>
            <w:vAlign w:val="bottom"/>
          </w:tcPr>
          <w:p w:rsidR="0054446D" w:rsidRDefault="00FB459A">
            <w:pPr>
              <w:spacing w:line="400" w:lineRule="exact"/>
              <w:jc w:val="center"/>
              <w:rPr>
                <w:rFonts w:ascii="仿宋" w:eastAsia="仿宋" w:hAnsi="仿宋" w:cs="仿宋"/>
                <w:sz w:val="24"/>
                <w:szCs w:val="24"/>
              </w:rPr>
            </w:pPr>
            <w:r>
              <w:rPr>
                <w:rFonts w:ascii="仿宋" w:eastAsia="仿宋" w:hAnsi="仿宋" w:cs="仿宋" w:hint="eastAsia"/>
                <w:sz w:val="24"/>
                <w:szCs w:val="24"/>
              </w:rPr>
              <w:t>1.000</w:t>
            </w:r>
          </w:p>
        </w:tc>
      </w:tr>
      <w:tr w:rsidR="0054446D">
        <w:trPr>
          <w:trHeight w:val="400"/>
          <w:jc w:val="center"/>
        </w:trPr>
        <w:tc>
          <w:tcPr>
            <w:tcW w:w="4030" w:type="dxa"/>
            <w:tcBorders>
              <w:tl2br w:val="nil"/>
              <w:tr2bl w:val="nil"/>
            </w:tcBorders>
            <w:shd w:val="clear" w:color="auto" w:fill="auto"/>
            <w:tcMar>
              <w:top w:w="15" w:type="dxa"/>
              <w:left w:w="15" w:type="dxa"/>
              <w:right w:w="15" w:type="dxa"/>
            </w:tcMar>
            <w:vAlign w:val="bottom"/>
          </w:tcPr>
          <w:p w:rsidR="0054446D" w:rsidRDefault="00FB459A">
            <w:pPr>
              <w:spacing w:line="400" w:lineRule="exact"/>
              <w:jc w:val="center"/>
              <w:rPr>
                <w:rFonts w:ascii="仿宋" w:eastAsia="仿宋" w:hAnsi="仿宋" w:cs="仿宋"/>
                <w:sz w:val="24"/>
                <w:szCs w:val="24"/>
              </w:rPr>
            </w:pPr>
            <w:r>
              <w:rPr>
                <w:rFonts w:ascii="仿宋" w:eastAsia="仿宋" w:hAnsi="仿宋" w:cs="仿宋" w:hint="eastAsia"/>
                <w:sz w:val="24"/>
                <w:szCs w:val="24"/>
              </w:rPr>
              <w:t>估价期日修正系数</w:t>
            </w:r>
          </w:p>
        </w:tc>
        <w:tc>
          <w:tcPr>
            <w:tcW w:w="2350" w:type="dxa"/>
            <w:tcBorders>
              <w:tl2br w:val="nil"/>
              <w:tr2bl w:val="nil"/>
            </w:tcBorders>
            <w:shd w:val="clear" w:color="auto" w:fill="auto"/>
            <w:tcMar>
              <w:top w:w="15" w:type="dxa"/>
              <w:left w:w="15" w:type="dxa"/>
              <w:right w:w="15" w:type="dxa"/>
            </w:tcMar>
            <w:vAlign w:val="bottom"/>
          </w:tcPr>
          <w:p w:rsidR="0054446D" w:rsidRDefault="00FB459A">
            <w:pPr>
              <w:spacing w:line="400" w:lineRule="exact"/>
              <w:jc w:val="center"/>
              <w:rPr>
                <w:rFonts w:ascii="仿宋" w:eastAsia="仿宋" w:hAnsi="仿宋" w:cs="仿宋"/>
                <w:sz w:val="24"/>
                <w:szCs w:val="24"/>
              </w:rPr>
            </w:pPr>
            <w:r>
              <w:rPr>
                <w:rFonts w:ascii="仿宋" w:eastAsia="仿宋" w:hAnsi="仿宋" w:cs="仿宋" w:hint="eastAsia"/>
                <w:sz w:val="24"/>
                <w:szCs w:val="24"/>
              </w:rPr>
              <w:t>1.06</w:t>
            </w:r>
          </w:p>
        </w:tc>
      </w:tr>
      <w:tr w:rsidR="0054446D">
        <w:trPr>
          <w:trHeight w:val="400"/>
          <w:jc w:val="center"/>
        </w:trPr>
        <w:tc>
          <w:tcPr>
            <w:tcW w:w="4030" w:type="dxa"/>
            <w:tcBorders>
              <w:tl2br w:val="nil"/>
              <w:tr2bl w:val="nil"/>
            </w:tcBorders>
            <w:shd w:val="clear" w:color="auto" w:fill="auto"/>
            <w:tcMar>
              <w:top w:w="15" w:type="dxa"/>
              <w:left w:w="15" w:type="dxa"/>
              <w:right w:w="15" w:type="dxa"/>
            </w:tcMar>
            <w:vAlign w:val="bottom"/>
          </w:tcPr>
          <w:p w:rsidR="0054446D" w:rsidRDefault="00FB459A">
            <w:pPr>
              <w:spacing w:line="400" w:lineRule="exact"/>
              <w:jc w:val="center"/>
              <w:rPr>
                <w:rFonts w:ascii="仿宋" w:eastAsia="仿宋" w:hAnsi="仿宋" w:cs="仿宋"/>
                <w:sz w:val="24"/>
                <w:szCs w:val="24"/>
              </w:rPr>
            </w:pPr>
            <w:r>
              <w:rPr>
                <w:rFonts w:ascii="仿宋" w:eastAsia="仿宋" w:hAnsi="仿宋" w:cs="仿宋" w:hint="eastAsia"/>
                <w:sz w:val="24"/>
                <w:szCs w:val="24"/>
              </w:rPr>
              <w:t>开发程度修正值</w:t>
            </w:r>
          </w:p>
        </w:tc>
        <w:tc>
          <w:tcPr>
            <w:tcW w:w="2350" w:type="dxa"/>
            <w:tcBorders>
              <w:tl2br w:val="nil"/>
              <w:tr2bl w:val="nil"/>
            </w:tcBorders>
            <w:shd w:val="clear" w:color="auto" w:fill="auto"/>
            <w:tcMar>
              <w:top w:w="15" w:type="dxa"/>
              <w:left w:w="15" w:type="dxa"/>
              <w:right w:w="15" w:type="dxa"/>
            </w:tcMar>
            <w:vAlign w:val="bottom"/>
          </w:tcPr>
          <w:p w:rsidR="0054446D" w:rsidRDefault="00FB459A">
            <w:pPr>
              <w:spacing w:line="400" w:lineRule="exact"/>
              <w:jc w:val="center"/>
              <w:rPr>
                <w:rFonts w:ascii="仿宋" w:eastAsia="仿宋" w:hAnsi="仿宋" w:cs="仿宋"/>
                <w:sz w:val="24"/>
                <w:szCs w:val="24"/>
              </w:rPr>
            </w:pPr>
            <w:r>
              <w:rPr>
                <w:rFonts w:ascii="仿宋" w:eastAsia="仿宋" w:hAnsi="仿宋" w:cs="仿宋" w:hint="eastAsia"/>
                <w:sz w:val="24"/>
                <w:szCs w:val="24"/>
              </w:rPr>
              <w:t>-20</w:t>
            </w:r>
          </w:p>
        </w:tc>
      </w:tr>
      <w:tr w:rsidR="0054446D">
        <w:trPr>
          <w:trHeight w:val="400"/>
          <w:jc w:val="center"/>
        </w:trPr>
        <w:tc>
          <w:tcPr>
            <w:tcW w:w="4030" w:type="dxa"/>
            <w:tcBorders>
              <w:tl2br w:val="nil"/>
              <w:tr2bl w:val="nil"/>
            </w:tcBorders>
            <w:shd w:val="clear" w:color="auto" w:fill="auto"/>
            <w:tcMar>
              <w:top w:w="15" w:type="dxa"/>
              <w:left w:w="15" w:type="dxa"/>
              <w:right w:w="15" w:type="dxa"/>
            </w:tcMar>
            <w:vAlign w:val="bottom"/>
          </w:tcPr>
          <w:p w:rsidR="0054446D" w:rsidRDefault="00FB459A">
            <w:pPr>
              <w:spacing w:line="400" w:lineRule="exact"/>
              <w:jc w:val="center"/>
              <w:rPr>
                <w:rFonts w:ascii="仿宋" w:eastAsia="仿宋" w:hAnsi="仿宋" w:cs="仿宋"/>
                <w:sz w:val="24"/>
                <w:szCs w:val="24"/>
              </w:rPr>
            </w:pPr>
            <w:r>
              <w:rPr>
                <w:rFonts w:ascii="仿宋" w:eastAsia="仿宋" w:hAnsi="仿宋" w:cs="仿宋" w:hint="eastAsia"/>
                <w:sz w:val="24"/>
                <w:szCs w:val="24"/>
              </w:rPr>
              <w:t>单位地价（元/㎡）</w:t>
            </w:r>
          </w:p>
        </w:tc>
        <w:tc>
          <w:tcPr>
            <w:tcW w:w="2350" w:type="dxa"/>
            <w:tcBorders>
              <w:tl2br w:val="nil"/>
              <w:tr2bl w:val="nil"/>
            </w:tcBorders>
            <w:shd w:val="clear" w:color="auto" w:fill="auto"/>
            <w:tcMar>
              <w:top w:w="15" w:type="dxa"/>
              <w:left w:w="15" w:type="dxa"/>
              <w:right w:w="15" w:type="dxa"/>
            </w:tcMar>
            <w:vAlign w:val="bottom"/>
          </w:tcPr>
          <w:p w:rsidR="0054446D" w:rsidRDefault="00FB459A">
            <w:pPr>
              <w:spacing w:line="400" w:lineRule="exact"/>
              <w:jc w:val="center"/>
              <w:rPr>
                <w:rFonts w:ascii="仿宋" w:eastAsia="仿宋" w:hAnsi="仿宋" w:cs="仿宋"/>
                <w:sz w:val="24"/>
                <w:szCs w:val="24"/>
              </w:rPr>
            </w:pPr>
            <w:r>
              <w:rPr>
                <w:rFonts w:ascii="仿宋" w:eastAsia="仿宋" w:hAnsi="仿宋" w:cs="仿宋" w:hint="eastAsia"/>
                <w:kern w:val="0"/>
                <w:sz w:val="24"/>
                <w:szCs w:val="24"/>
              </w:rPr>
              <w:t>2024</w:t>
            </w:r>
          </w:p>
        </w:tc>
      </w:tr>
    </w:tbl>
    <w:p w:rsidR="0054446D" w:rsidRDefault="0054446D">
      <w:pPr>
        <w:pStyle w:val="ab"/>
        <w:rPr>
          <w:rFonts w:ascii="仿宋" w:eastAsia="仿宋" w:hAnsi="仿宋" w:cs="仿宋"/>
        </w:rPr>
      </w:pPr>
    </w:p>
    <w:p w:rsidR="0054446D" w:rsidRDefault="00FB459A">
      <w:pPr>
        <w:spacing w:line="420" w:lineRule="exact"/>
        <w:ind w:firstLineChars="200" w:firstLine="560"/>
        <w:rPr>
          <w:rFonts w:ascii="仿宋" w:eastAsia="仿宋" w:hAnsi="仿宋" w:cs="仿宋"/>
          <w:sz w:val="28"/>
        </w:rPr>
      </w:pPr>
      <w:r>
        <w:rPr>
          <w:rFonts w:ascii="仿宋" w:eastAsia="仿宋" w:hAnsi="仿宋" w:cs="仿宋" w:hint="eastAsia"/>
          <w:sz w:val="28"/>
        </w:rPr>
        <w:t>（三）地价确定方法</w:t>
      </w:r>
    </w:p>
    <w:p w:rsidR="0054446D" w:rsidRDefault="00FB459A">
      <w:pPr>
        <w:spacing w:line="420" w:lineRule="exact"/>
        <w:ind w:firstLineChars="200" w:firstLine="560"/>
        <w:rPr>
          <w:rFonts w:ascii="仿宋" w:eastAsia="仿宋" w:hAnsi="仿宋"/>
          <w:kern w:val="0"/>
          <w:sz w:val="28"/>
          <w:szCs w:val="28"/>
        </w:rPr>
      </w:pPr>
      <w:r>
        <w:rPr>
          <w:rFonts w:ascii="仿宋_GB2312" w:eastAsia="仿宋_GB2312" w:hint="eastAsia"/>
          <w:sz w:val="28"/>
        </w:rPr>
        <w:t>通过上述应用分析，</w:t>
      </w:r>
      <w:r>
        <w:rPr>
          <w:rFonts w:ascii="仿宋" w:eastAsia="仿宋" w:hAnsi="仿宋" w:hint="eastAsia"/>
          <w:kern w:val="0"/>
          <w:sz w:val="28"/>
          <w:szCs w:val="28"/>
        </w:rPr>
        <w:t>基准地价系数修正法</w:t>
      </w:r>
      <w:r>
        <w:rPr>
          <w:rFonts w:ascii="仿宋_GB2312" w:eastAsia="仿宋_GB2312" w:hint="eastAsia"/>
          <w:sz w:val="28"/>
        </w:rPr>
        <w:t>和剩余法就估价对象而言有一定的适宜性，通过估价人员对市场的分析和了解，估价对象</w:t>
      </w:r>
      <w:r>
        <w:rPr>
          <w:rFonts w:ascii="仿宋" w:eastAsia="仿宋" w:hAnsi="仿宋" w:hint="eastAsia"/>
          <w:kern w:val="0"/>
          <w:sz w:val="28"/>
          <w:szCs w:val="28"/>
        </w:rPr>
        <w:t>在新余基准地价覆盖范围内，基准地价估价期日距本次估价期日未超过2年，具备应用基准地价系数修正法的条件；</w:t>
      </w:r>
      <w:proofErr w:type="gramStart"/>
      <w:r>
        <w:rPr>
          <w:rFonts w:ascii="仿宋" w:eastAsia="仿宋" w:hAnsi="仿宋" w:hint="eastAsia"/>
          <w:spacing w:val="2"/>
          <w:sz w:val="28"/>
        </w:rPr>
        <w:t>由于委估宗地</w:t>
      </w:r>
      <w:proofErr w:type="gramEnd"/>
      <w:r>
        <w:rPr>
          <w:rFonts w:ascii="仿宋" w:eastAsia="仿宋" w:hAnsi="仿宋" w:hint="eastAsia"/>
          <w:spacing w:val="2"/>
          <w:sz w:val="28"/>
        </w:rPr>
        <w:t>属于商品房开发建设用地，具有开发价值，所处区域类似物业的市场价格易于调查和收集，因此根据剩余法评估的适宜范围以及评估中必备的要件资料，可采用剩余法进行评估</w:t>
      </w:r>
      <w:r>
        <w:rPr>
          <w:rFonts w:ascii="仿宋" w:eastAsia="仿宋" w:hAnsi="仿宋" w:hint="eastAsia"/>
          <w:kern w:val="0"/>
          <w:sz w:val="28"/>
          <w:szCs w:val="28"/>
        </w:rPr>
        <w:t>。</w:t>
      </w:r>
    </w:p>
    <w:p w:rsidR="0054446D" w:rsidRDefault="00FB459A">
      <w:pPr>
        <w:spacing w:line="420" w:lineRule="exact"/>
        <w:ind w:firstLineChars="200" w:firstLine="560"/>
        <w:rPr>
          <w:rFonts w:ascii="仿宋_GB2312" w:eastAsia="仿宋_GB2312"/>
          <w:sz w:val="28"/>
        </w:rPr>
      </w:pPr>
      <w:r>
        <w:rPr>
          <w:rFonts w:ascii="仿宋_GB2312" w:eastAsia="仿宋_GB2312" w:hint="eastAsia"/>
          <w:sz w:val="28"/>
        </w:rPr>
        <w:t>根据估价对象的特点和本次估价的目的，两种方法的测算结果有一定差距，运用剩余法时，</w:t>
      </w:r>
      <w:r>
        <w:rPr>
          <w:rFonts w:ascii="仿宋" w:eastAsia="仿宋" w:hAnsi="仿宋" w:hint="eastAsia"/>
          <w:spacing w:val="2"/>
          <w:sz w:val="28"/>
        </w:rPr>
        <w:t>是</w:t>
      </w:r>
      <w:r>
        <w:rPr>
          <w:rFonts w:ascii="仿宋" w:eastAsia="仿宋" w:hAnsi="仿宋" w:hint="eastAsia"/>
          <w:sz w:val="28"/>
        </w:rPr>
        <w:t>从开发商的角度,根据</w:t>
      </w:r>
      <w:r>
        <w:rPr>
          <w:rFonts w:ascii="仿宋" w:eastAsia="仿宋" w:hAnsi="仿宋" w:hint="eastAsia"/>
          <w:spacing w:val="2"/>
          <w:sz w:val="28"/>
        </w:rPr>
        <w:t>项目建成后房地产市场状况和建造时的投资成本反映估价对象的地价水平，该地价能准确、客观地反映现实房地产市场状况下的市场土地价格水平</w:t>
      </w:r>
      <w:r>
        <w:rPr>
          <w:rFonts w:ascii="仿宋_GB2312" w:eastAsia="仿宋_GB2312" w:hint="eastAsia"/>
          <w:sz w:val="28"/>
        </w:rPr>
        <w:t>。基准地</w:t>
      </w:r>
      <w:r>
        <w:rPr>
          <w:rFonts w:ascii="仿宋" w:eastAsia="仿宋" w:hAnsi="仿宋" w:hint="eastAsia"/>
          <w:kern w:val="0"/>
          <w:sz w:val="28"/>
          <w:szCs w:val="28"/>
        </w:rPr>
        <w:t>价系数修正法是在基准地价的基础上进行价格修正，基准地价文件基准日距估价期日</w:t>
      </w:r>
      <w:r w:rsidR="00F204CC">
        <w:rPr>
          <w:rFonts w:ascii="仿宋" w:eastAsia="仿宋" w:hAnsi="仿宋" w:hint="eastAsia"/>
          <w:kern w:val="0"/>
          <w:sz w:val="28"/>
          <w:szCs w:val="28"/>
        </w:rPr>
        <w:t>相差约1.8年，</w:t>
      </w:r>
      <w:r>
        <w:rPr>
          <w:rFonts w:ascii="仿宋" w:eastAsia="仿宋" w:hAnsi="仿宋" w:hint="eastAsia"/>
          <w:kern w:val="0"/>
          <w:sz w:val="28"/>
          <w:szCs w:val="28"/>
        </w:rPr>
        <w:t>与现时市场价存在一定差异，</w:t>
      </w:r>
      <w:r>
        <w:rPr>
          <w:rFonts w:ascii="仿宋_GB2312" w:eastAsia="仿宋_GB2312" w:hint="eastAsia"/>
          <w:sz w:val="28"/>
        </w:rPr>
        <w:t>评估人员对两种评估方法经过综合</w:t>
      </w:r>
      <w:proofErr w:type="gramStart"/>
      <w:r>
        <w:rPr>
          <w:rFonts w:ascii="仿宋_GB2312" w:eastAsia="仿宋_GB2312" w:hint="eastAsia"/>
          <w:sz w:val="28"/>
        </w:rPr>
        <w:t>考量</w:t>
      </w:r>
      <w:proofErr w:type="gramEnd"/>
      <w:r>
        <w:rPr>
          <w:rFonts w:ascii="仿宋_GB2312" w:eastAsia="仿宋_GB2312" w:hint="eastAsia"/>
          <w:sz w:val="28"/>
        </w:rPr>
        <w:t>后，决定以剩余法评估结果的90%,</w:t>
      </w:r>
      <w:r>
        <w:rPr>
          <w:rFonts w:ascii="仿宋" w:eastAsia="仿宋" w:hAnsi="仿宋" w:hint="eastAsia"/>
          <w:kern w:val="0"/>
          <w:sz w:val="28"/>
          <w:szCs w:val="28"/>
        </w:rPr>
        <w:t>基准地价系数修正法</w:t>
      </w:r>
      <w:r>
        <w:rPr>
          <w:rFonts w:ascii="仿宋_GB2312" w:eastAsia="仿宋_GB2312" w:hint="eastAsia"/>
          <w:sz w:val="28"/>
        </w:rPr>
        <w:t>评估结果的10%的加权平均值作为估价对象的最终估价结果。详见下表：</w:t>
      </w:r>
    </w:p>
    <w:p w:rsidR="0054446D" w:rsidRDefault="00FB459A" w:rsidP="000D26D2">
      <w:pPr>
        <w:spacing w:line="360" w:lineRule="auto"/>
        <w:jc w:val="center"/>
      </w:pPr>
      <w:bookmarkStart w:id="84" w:name="_Toc2787"/>
      <w:r w:rsidRPr="000D26D2">
        <w:rPr>
          <w:rFonts w:ascii="仿宋_GB2312" w:eastAsia="仿宋_GB2312" w:hint="eastAsia"/>
          <w:sz w:val="28"/>
        </w:rPr>
        <w:t>结果测算表</w:t>
      </w:r>
      <w:bookmarkEnd w:id="84"/>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120"/>
        <w:gridCol w:w="1809"/>
        <w:gridCol w:w="2253"/>
        <w:gridCol w:w="1822"/>
      </w:tblGrid>
      <w:tr w:rsidR="0054446D">
        <w:trPr>
          <w:trHeight w:val="114"/>
          <w:jc w:val="center"/>
        </w:trPr>
        <w:tc>
          <w:tcPr>
            <w:tcW w:w="3120" w:type="dxa"/>
            <w:vAlign w:val="center"/>
          </w:tcPr>
          <w:p w:rsidR="0054446D" w:rsidRDefault="00FB459A">
            <w:pPr>
              <w:widowControl/>
              <w:spacing w:line="240" w:lineRule="atLeast"/>
              <w:jc w:val="center"/>
              <w:rPr>
                <w:rFonts w:ascii="仿宋_GB2312" w:eastAsia="仿宋_GB2312" w:hAnsi="华文细黑" w:cs="宋体"/>
                <w:bCs/>
                <w:kern w:val="0"/>
                <w:sz w:val="22"/>
                <w:szCs w:val="22"/>
              </w:rPr>
            </w:pPr>
            <w:r>
              <w:rPr>
                <w:rFonts w:ascii="仿宋_GB2312" w:eastAsia="仿宋_GB2312" w:hAnsi="华文细黑" w:cs="宋体" w:hint="eastAsia"/>
                <w:bCs/>
                <w:kern w:val="0"/>
                <w:sz w:val="22"/>
                <w:szCs w:val="22"/>
              </w:rPr>
              <w:t>项目名称</w:t>
            </w:r>
          </w:p>
        </w:tc>
        <w:tc>
          <w:tcPr>
            <w:tcW w:w="1809" w:type="dxa"/>
            <w:vAlign w:val="center"/>
          </w:tcPr>
          <w:p w:rsidR="0054446D" w:rsidRDefault="00FB459A">
            <w:pPr>
              <w:widowControl/>
              <w:spacing w:line="240" w:lineRule="atLeast"/>
              <w:jc w:val="center"/>
              <w:rPr>
                <w:rFonts w:ascii="仿宋_GB2312" w:eastAsia="仿宋_GB2312" w:hAnsi="华文细黑" w:cs="宋体"/>
                <w:bCs/>
                <w:kern w:val="0"/>
                <w:sz w:val="22"/>
                <w:szCs w:val="22"/>
              </w:rPr>
            </w:pPr>
            <w:r>
              <w:rPr>
                <w:rFonts w:ascii="仿宋_GB2312" w:eastAsia="仿宋_GB2312" w:hAnsi="华文细黑" w:cs="宋体" w:hint="eastAsia"/>
                <w:bCs/>
                <w:kern w:val="0"/>
                <w:sz w:val="22"/>
                <w:szCs w:val="22"/>
              </w:rPr>
              <w:t>评估方法</w:t>
            </w:r>
          </w:p>
        </w:tc>
        <w:tc>
          <w:tcPr>
            <w:tcW w:w="2253" w:type="dxa"/>
            <w:vAlign w:val="center"/>
          </w:tcPr>
          <w:p w:rsidR="0054446D" w:rsidRDefault="00FB459A">
            <w:pPr>
              <w:widowControl/>
              <w:spacing w:line="240" w:lineRule="atLeast"/>
              <w:jc w:val="center"/>
              <w:rPr>
                <w:rFonts w:ascii="仿宋_GB2312" w:eastAsia="仿宋_GB2312" w:hAnsi="华文细黑" w:cs="宋体"/>
                <w:bCs/>
                <w:kern w:val="0"/>
                <w:sz w:val="22"/>
                <w:szCs w:val="22"/>
              </w:rPr>
            </w:pPr>
            <w:r>
              <w:rPr>
                <w:rFonts w:ascii="仿宋_GB2312" w:eastAsia="仿宋_GB2312" w:hAnsi="华文细黑" w:cs="宋体" w:hint="eastAsia"/>
                <w:bCs/>
                <w:kern w:val="0"/>
                <w:sz w:val="22"/>
                <w:szCs w:val="22"/>
              </w:rPr>
              <w:t>地面单价（元/</w:t>
            </w:r>
            <w:r>
              <w:rPr>
                <w:rFonts w:ascii="仿宋_GB2312" w:eastAsia="华文细黑" w:hAnsi="华文细黑" w:cs="宋体" w:hint="eastAsia"/>
                <w:bCs/>
                <w:kern w:val="0"/>
                <w:sz w:val="22"/>
                <w:szCs w:val="22"/>
              </w:rPr>
              <w:t>㎡</w:t>
            </w:r>
            <w:r>
              <w:rPr>
                <w:rFonts w:ascii="仿宋_GB2312" w:eastAsia="仿宋_GB2312" w:hAnsi="华文细黑" w:cs="宋体" w:hint="eastAsia"/>
                <w:bCs/>
                <w:kern w:val="0"/>
                <w:sz w:val="22"/>
                <w:szCs w:val="22"/>
              </w:rPr>
              <w:t>）</w:t>
            </w:r>
          </w:p>
        </w:tc>
        <w:tc>
          <w:tcPr>
            <w:tcW w:w="1822" w:type="dxa"/>
            <w:vAlign w:val="center"/>
          </w:tcPr>
          <w:p w:rsidR="0054446D" w:rsidRDefault="00FB459A">
            <w:pPr>
              <w:widowControl/>
              <w:spacing w:line="240" w:lineRule="atLeast"/>
              <w:jc w:val="center"/>
              <w:rPr>
                <w:rFonts w:ascii="仿宋_GB2312" w:eastAsia="仿宋_GB2312" w:hAnsi="华文细黑" w:cs="宋体"/>
                <w:bCs/>
                <w:kern w:val="0"/>
                <w:sz w:val="22"/>
                <w:szCs w:val="22"/>
              </w:rPr>
            </w:pPr>
            <w:r>
              <w:rPr>
                <w:rFonts w:ascii="仿宋_GB2312" w:eastAsia="仿宋_GB2312" w:hAnsi="华文细黑" w:cs="宋体" w:hint="eastAsia"/>
                <w:bCs/>
                <w:kern w:val="0"/>
                <w:sz w:val="22"/>
                <w:szCs w:val="22"/>
              </w:rPr>
              <w:t>权重</w:t>
            </w:r>
          </w:p>
        </w:tc>
      </w:tr>
      <w:tr w:rsidR="0054446D">
        <w:trPr>
          <w:trHeight w:val="90"/>
          <w:jc w:val="center"/>
        </w:trPr>
        <w:tc>
          <w:tcPr>
            <w:tcW w:w="3120" w:type="dxa"/>
            <w:vMerge w:val="restart"/>
            <w:vAlign w:val="center"/>
          </w:tcPr>
          <w:p w:rsidR="0054446D" w:rsidRDefault="00FB459A">
            <w:pPr>
              <w:widowControl/>
              <w:spacing w:line="240" w:lineRule="atLeast"/>
              <w:jc w:val="center"/>
              <w:rPr>
                <w:rFonts w:ascii="仿宋_GB2312" w:eastAsia="仿宋_GB2312" w:hAnsi="华文细黑" w:cs="宋体"/>
                <w:bCs/>
                <w:kern w:val="0"/>
                <w:sz w:val="22"/>
                <w:szCs w:val="22"/>
              </w:rPr>
            </w:pPr>
            <w:r>
              <w:rPr>
                <w:rFonts w:ascii="仿宋_GB2312" w:eastAsia="仿宋_GB2312" w:hAnsi="华文细黑" w:cs="宋体" w:hint="eastAsia"/>
                <w:bCs/>
                <w:kern w:val="0"/>
                <w:sz w:val="22"/>
                <w:szCs w:val="22"/>
              </w:rPr>
              <w:t>湖南省湘潭市中级人民法院拟确定财产处置参考</w:t>
            </w:r>
            <w:proofErr w:type="gramStart"/>
            <w:r>
              <w:rPr>
                <w:rFonts w:ascii="仿宋_GB2312" w:eastAsia="仿宋_GB2312" w:hAnsi="华文细黑" w:cs="宋体" w:hint="eastAsia"/>
                <w:bCs/>
                <w:kern w:val="0"/>
                <w:sz w:val="22"/>
                <w:szCs w:val="22"/>
              </w:rPr>
              <w:t>价涉及</w:t>
            </w:r>
            <w:proofErr w:type="gramEnd"/>
            <w:r>
              <w:rPr>
                <w:rFonts w:ascii="仿宋_GB2312" w:eastAsia="仿宋_GB2312" w:hAnsi="华文细黑" w:cs="宋体" w:hint="eastAsia"/>
                <w:bCs/>
                <w:kern w:val="0"/>
                <w:sz w:val="22"/>
                <w:szCs w:val="22"/>
              </w:rPr>
              <w:t>的位于江西省新余市仰天大道以北的一宗住宅用地土地使用权市场价值评估</w:t>
            </w:r>
          </w:p>
        </w:tc>
        <w:tc>
          <w:tcPr>
            <w:tcW w:w="1809" w:type="dxa"/>
            <w:vAlign w:val="center"/>
          </w:tcPr>
          <w:p w:rsidR="0054446D" w:rsidRDefault="00FB459A">
            <w:pPr>
              <w:widowControl/>
              <w:spacing w:line="240" w:lineRule="atLeast"/>
              <w:jc w:val="center"/>
              <w:rPr>
                <w:rFonts w:ascii="仿宋_GB2312" w:eastAsia="仿宋_GB2312" w:hAnsi="华文细黑" w:cs="宋体"/>
                <w:bCs/>
                <w:kern w:val="0"/>
                <w:sz w:val="22"/>
                <w:szCs w:val="22"/>
              </w:rPr>
            </w:pPr>
            <w:r>
              <w:rPr>
                <w:rFonts w:ascii="仿宋_GB2312" w:eastAsia="仿宋_GB2312" w:hAnsi="华文细黑" w:cs="宋体" w:hint="eastAsia"/>
                <w:bCs/>
                <w:kern w:val="0"/>
                <w:sz w:val="22"/>
                <w:szCs w:val="22"/>
              </w:rPr>
              <w:t>剩余法</w:t>
            </w:r>
          </w:p>
        </w:tc>
        <w:tc>
          <w:tcPr>
            <w:tcW w:w="2253" w:type="dxa"/>
            <w:vAlign w:val="center"/>
          </w:tcPr>
          <w:p w:rsidR="0054446D" w:rsidRDefault="00FB459A">
            <w:pPr>
              <w:widowControl/>
              <w:spacing w:line="240" w:lineRule="atLeast"/>
              <w:jc w:val="center"/>
              <w:rPr>
                <w:rFonts w:ascii="仿宋_GB2312" w:eastAsia="仿宋_GB2312" w:hAnsi="华文细黑" w:cs="宋体"/>
                <w:kern w:val="0"/>
                <w:sz w:val="22"/>
                <w:szCs w:val="22"/>
              </w:rPr>
            </w:pPr>
            <w:r>
              <w:rPr>
                <w:rFonts w:ascii="仿宋_GB2312" w:eastAsia="仿宋_GB2312" w:hAnsi="华文细黑" w:cs="宋体" w:hint="eastAsia"/>
                <w:kern w:val="0"/>
                <w:sz w:val="22"/>
                <w:szCs w:val="22"/>
              </w:rPr>
              <w:t>4980</w:t>
            </w:r>
          </w:p>
        </w:tc>
        <w:tc>
          <w:tcPr>
            <w:tcW w:w="1822" w:type="dxa"/>
            <w:tcBorders>
              <w:bottom w:val="single" w:sz="4" w:space="0" w:color="auto"/>
            </w:tcBorders>
            <w:vAlign w:val="center"/>
          </w:tcPr>
          <w:p w:rsidR="0054446D" w:rsidRDefault="00FB459A">
            <w:pPr>
              <w:widowControl/>
              <w:spacing w:line="240" w:lineRule="atLeast"/>
              <w:jc w:val="center"/>
              <w:rPr>
                <w:rFonts w:ascii="仿宋_GB2312" w:eastAsia="仿宋_GB2312" w:hAnsi="华文细黑" w:cs="宋体"/>
                <w:kern w:val="0"/>
                <w:sz w:val="22"/>
                <w:szCs w:val="22"/>
              </w:rPr>
            </w:pPr>
            <w:r>
              <w:rPr>
                <w:rFonts w:ascii="仿宋_GB2312" w:eastAsia="仿宋_GB2312" w:hAnsi="华文细黑" w:cs="宋体" w:hint="eastAsia"/>
                <w:kern w:val="0"/>
                <w:sz w:val="22"/>
                <w:szCs w:val="22"/>
              </w:rPr>
              <w:t>90%</w:t>
            </w:r>
          </w:p>
        </w:tc>
      </w:tr>
      <w:tr w:rsidR="0054446D">
        <w:trPr>
          <w:trHeight w:val="305"/>
          <w:jc w:val="center"/>
        </w:trPr>
        <w:tc>
          <w:tcPr>
            <w:tcW w:w="3120" w:type="dxa"/>
            <w:vMerge/>
            <w:vAlign w:val="center"/>
          </w:tcPr>
          <w:p w:rsidR="0054446D" w:rsidRDefault="0054446D">
            <w:pPr>
              <w:widowControl/>
              <w:spacing w:line="240" w:lineRule="atLeast"/>
              <w:jc w:val="center"/>
              <w:rPr>
                <w:rFonts w:ascii="仿宋_GB2312" w:eastAsia="仿宋_GB2312" w:hAnsi="华文细黑" w:cs="宋体"/>
                <w:bCs/>
                <w:kern w:val="0"/>
                <w:sz w:val="22"/>
                <w:szCs w:val="22"/>
              </w:rPr>
            </w:pPr>
          </w:p>
        </w:tc>
        <w:tc>
          <w:tcPr>
            <w:tcW w:w="1809" w:type="dxa"/>
            <w:vAlign w:val="center"/>
          </w:tcPr>
          <w:p w:rsidR="0054446D" w:rsidRDefault="00FB459A">
            <w:pPr>
              <w:widowControl/>
              <w:spacing w:line="240" w:lineRule="atLeast"/>
              <w:jc w:val="center"/>
              <w:rPr>
                <w:rFonts w:ascii="仿宋_GB2312" w:eastAsia="仿宋_GB2312" w:hAnsi="华文细黑" w:cs="宋体"/>
                <w:bCs/>
                <w:kern w:val="0"/>
                <w:sz w:val="22"/>
                <w:szCs w:val="22"/>
              </w:rPr>
            </w:pPr>
            <w:r>
              <w:rPr>
                <w:rFonts w:ascii="仿宋_GB2312" w:eastAsia="仿宋_GB2312" w:hAnsi="华文细黑" w:cs="宋体" w:hint="eastAsia"/>
                <w:bCs/>
                <w:kern w:val="0"/>
                <w:sz w:val="22"/>
                <w:szCs w:val="22"/>
              </w:rPr>
              <w:t>基准地价系数修正法</w:t>
            </w:r>
          </w:p>
        </w:tc>
        <w:tc>
          <w:tcPr>
            <w:tcW w:w="2253" w:type="dxa"/>
            <w:vAlign w:val="center"/>
          </w:tcPr>
          <w:p w:rsidR="0054446D" w:rsidRDefault="00FB459A">
            <w:pPr>
              <w:widowControl/>
              <w:spacing w:line="240" w:lineRule="atLeast"/>
              <w:jc w:val="center"/>
              <w:rPr>
                <w:rFonts w:ascii="仿宋_GB2312" w:eastAsia="仿宋_GB2312" w:hAnsi="华文细黑" w:cs="宋体"/>
                <w:kern w:val="0"/>
                <w:sz w:val="22"/>
                <w:szCs w:val="22"/>
              </w:rPr>
            </w:pPr>
            <w:r>
              <w:rPr>
                <w:rFonts w:ascii="仿宋_GB2312" w:eastAsia="仿宋_GB2312" w:hAnsi="华文细黑" w:cs="宋体" w:hint="eastAsia"/>
                <w:kern w:val="0"/>
                <w:sz w:val="22"/>
                <w:szCs w:val="22"/>
              </w:rPr>
              <w:t>2024</w:t>
            </w:r>
          </w:p>
        </w:tc>
        <w:tc>
          <w:tcPr>
            <w:tcW w:w="1822" w:type="dxa"/>
            <w:tcBorders>
              <w:top w:val="single" w:sz="4" w:space="0" w:color="auto"/>
              <w:bottom w:val="single" w:sz="4" w:space="0" w:color="auto"/>
            </w:tcBorders>
            <w:vAlign w:val="center"/>
          </w:tcPr>
          <w:p w:rsidR="0054446D" w:rsidRDefault="00FB459A">
            <w:pPr>
              <w:widowControl/>
              <w:spacing w:line="240" w:lineRule="atLeast"/>
              <w:jc w:val="center"/>
              <w:rPr>
                <w:rFonts w:ascii="仿宋_GB2312" w:eastAsia="仿宋_GB2312" w:hAnsi="华文细黑" w:cs="宋体"/>
                <w:kern w:val="0"/>
                <w:sz w:val="22"/>
                <w:szCs w:val="22"/>
              </w:rPr>
            </w:pPr>
            <w:r>
              <w:rPr>
                <w:rFonts w:ascii="仿宋_GB2312" w:eastAsia="仿宋_GB2312" w:hAnsi="华文细黑" w:cs="宋体" w:hint="eastAsia"/>
                <w:kern w:val="0"/>
                <w:sz w:val="22"/>
                <w:szCs w:val="22"/>
              </w:rPr>
              <w:t>10%</w:t>
            </w:r>
          </w:p>
        </w:tc>
      </w:tr>
      <w:tr w:rsidR="0054446D">
        <w:trPr>
          <w:trHeight w:val="369"/>
          <w:jc w:val="center"/>
        </w:trPr>
        <w:tc>
          <w:tcPr>
            <w:tcW w:w="4929" w:type="dxa"/>
            <w:gridSpan w:val="2"/>
            <w:vAlign w:val="center"/>
          </w:tcPr>
          <w:p w:rsidR="0054446D" w:rsidRDefault="00FB459A">
            <w:pPr>
              <w:widowControl/>
              <w:spacing w:line="240" w:lineRule="atLeast"/>
              <w:jc w:val="center"/>
              <w:rPr>
                <w:rFonts w:ascii="仿宋_GB2312" w:eastAsia="仿宋_GB2312" w:hAnsi="华文细黑" w:cs="宋体"/>
                <w:kern w:val="0"/>
                <w:sz w:val="22"/>
                <w:szCs w:val="22"/>
              </w:rPr>
            </w:pPr>
            <w:r>
              <w:rPr>
                <w:rFonts w:ascii="仿宋_GB2312" w:eastAsia="仿宋_GB2312" w:hAnsi="华文细黑" w:cs="宋体" w:hint="eastAsia"/>
                <w:bCs/>
                <w:kern w:val="0"/>
                <w:sz w:val="22"/>
                <w:szCs w:val="22"/>
              </w:rPr>
              <w:t>加权单价</w:t>
            </w:r>
          </w:p>
        </w:tc>
        <w:tc>
          <w:tcPr>
            <w:tcW w:w="2253" w:type="dxa"/>
            <w:vAlign w:val="center"/>
          </w:tcPr>
          <w:p w:rsidR="0054446D" w:rsidRDefault="00FB459A">
            <w:pPr>
              <w:widowControl/>
              <w:spacing w:line="240" w:lineRule="atLeast"/>
              <w:jc w:val="center"/>
              <w:rPr>
                <w:rFonts w:ascii="仿宋_GB2312" w:eastAsia="仿宋_GB2312" w:hAnsi="华文细黑" w:cs="宋体"/>
                <w:kern w:val="0"/>
                <w:sz w:val="22"/>
                <w:szCs w:val="22"/>
              </w:rPr>
            </w:pPr>
            <w:r>
              <w:rPr>
                <w:rFonts w:ascii="仿宋_GB2312" w:eastAsia="仿宋_GB2312" w:hAnsi="华文细黑" w:cs="宋体" w:hint="eastAsia"/>
                <w:kern w:val="0"/>
                <w:sz w:val="22"/>
                <w:szCs w:val="22"/>
              </w:rPr>
              <w:t>4684</w:t>
            </w:r>
          </w:p>
        </w:tc>
        <w:tc>
          <w:tcPr>
            <w:tcW w:w="1822" w:type="dxa"/>
            <w:tcBorders>
              <w:top w:val="single" w:sz="4" w:space="0" w:color="auto"/>
              <w:bottom w:val="single" w:sz="4" w:space="0" w:color="auto"/>
            </w:tcBorders>
            <w:vAlign w:val="center"/>
          </w:tcPr>
          <w:p w:rsidR="0054446D" w:rsidRDefault="00FB459A">
            <w:pPr>
              <w:widowControl/>
              <w:spacing w:line="240" w:lineRule="atLeast"/>
              <w:jc w:val="center"/>
              <w:rPr>
                <w:rFonts w:ascii="仿宋_GB2312" w:eastAsia="仿宋_GB2312" w:hAnsi="华文细黑" w:cs="宋体"/>
                <w:kern w:val="0"/>
                <w:sz w:val="22"/>
                <w:szCs w:val="22"/>
              </w:rPr>
            </w:pPr>
            <w:r>
              <w:rPr>
                <w:rFonts w:ascii="仿宋_GB2312" w:eastAsia="仿宋_GB2312" w:hAnsi="华文细黑" w:cs="宋体" w:hint="eastAsia"/>
                <w:kern w:val="0"/>
                <w:sz w:val="22"/>
                <w:szCs w:val="22"/>
              </w:rPr>
              <w:t>-</w:t>
            </w:r>
          </w:p>
        </w:tc>
      </w:tr>
      <w:tr w:rsidR="0054446D">
        <w:trPr>
          <w:trHeight w:val="204"/>
          <w:jc w:val="center"/>
        </w:trPr>
        <w:tc>
          <w:tcPr>
            <w:tcW w:w="9004" w:type="dxa"/>
            <w:gridSpan w:val="4"/>
            <w:vAlign w:val="center"/>
          </w:tcPr>
          <w:p w:rsidR="0054446D" w:rsidRDefault="00FB459A">
            <w:pPr>
              <w:widowControl/>
              <w:spacing w:line="240" w:lineRule="atLeast"/>
              <w:jc w:val="center"/>
              <w:rPr>
                <w:rFonts w:ascii="仿宋_GB2312" w:eastAsia="仿宋_GB2312" w:hAnsi="华文细黑" w:cs="仿宋_GB2312"/>
                <w:kern w:val="0"/>
                <w:sz w:val="22"/>
                <w:szCs w:val="22"/>
                <w:highlight w:val="lightGray"/>
              </w:rPr>
            </w:pPr>
            <w:r>
              <w:rPr>
                <w:rFonts w:ascii="仿宋_GB2312" w:eastAsia="仿宋_GB2312" w:hAnsi="华文细黑" w:cs="仿宋_GB2312" w:hint="eastAsia"/>
                <w:kern w:val="0"/>
                <w:sz w:val="22"/>
                <w:szCs w:val="22"/>
              </w:rPr>
              <w:t>则：</w:t>
            </w:r>
          </w:p>
        </w:tc>
      </w:tr>
      <w:tr w:rsidR="0054446D">
        <w:trPr>
          <w:trHeight w:val="151"/>
          <w:jc w:val="center"/>
        </w:trPr>
        <w:tc>
          <w:tcPr>
            <w:tcW w:w="9004" w:type="dxa"/>
            <w:gridSpan w:val="4"/>
            <w:vAlign w:val="center"/>
          </w:tcPr>
          <w:p w:rsidR="0054446D" w:rsidRDefault="00FB459A">
            <w:pPr>
              <w:widowControl/>
              <w:spacing w:line="240" w:lineRule="atLeast"/>
              <w:jc w:val="center"/>
              <w:rPr>
                <w:rFonts w:ascii="仿宋_GB2312" w:eastAsia="仿宋_GB2312" w:hAnsi="华文细黑" w:cs="仿宋_GB2312"/>
                <w:kern w:val="0"/>
                <w:sz w:val="22"/>
                <w:szCs w:val="22"/>
              </w:rPr>
            </w:pPr>
            <w:r>
              <w:rPr>
                <w:rFonts w:ascii="仿宋_GB2312" w:eastAsia="仿宋_GB2312" w:hAnsi="华文细黑" w:cs="仿宋_GB2312" w:hint="eastAsia"/>
                <w:kern w:val="0"/>
                <w:sz w:val="22"/>
                <w:szCs w:val="22"/>
              </w:rPr>
              <w:t>总地价=4684元/</w:t>
            </w:r>
            <w:r>
              <w:rPr>
                <w:rFonts w:ascii="仿宋_GB2312" w:eastAsia="华文细黑" w:hAnsi="华文细黑" w:cs="仿宋_GB2312" w:hint="eastAsia"/>
                <w:kern w:val="0"/>
                <w:sz w:val="22"/>
                <w:szCs w:val="22"/>
              </w:rPr>
              <w:t>㎡</w:t>
            </w:r>
            <w:r>
              <w:rPr>
                <w:rFonts w:ascii="仿宋_GB2312" w:eastAsia="仿宋_GB2312" w:hAnsi="华文细黑" w:cs="仿宋_GB2312" w:hint="eastAsia"/>
                <w:kern w:val="0"/>
                <w:sz w:val="22"/>
                <w:szCs w:val="22"/>
              </w:rPr>
              <w:t>×</w:t>
            </w:r>
            <w:r>
              <w:rPr>
                <w:rFonts w:ascii="仿宋_GB2312" w:eastAsia="仿宋_GB2312" w:hAnsi="华文细黑" w:cs="仿宋_GB2312"/>
                <w:kern w:val="0"/>
                <w:sz w:val="22"/>
                <w:szCs w:val="22"/>
              </w:rPr>
              <w:t>59897.52</w:t>
            </w:r>
            <w:r>
              <w:rPr>
                <w:rFonts w:ascii="仿宋_GB2312" w:eastAsia="华文细黑" w:hAnsi="华文细黑" w:cs="仿宋_GB2312" w:hint="eastAsia"/>
                <w:kern w:val="0"/>
                <w:sz w:val="22"/>
                <w:szCs w:val="22"/>
              </w:rPr>
              <w:t>㎡</w:t>
            </w:r>
            <w:r>
              <w:rPr>
                <w:rFonts w:ascii="仿宋_GB2312" w:eastAsia="仿宋_GB2312" w:hAnsi="华文细黑" w:cs="仿宋_GB2312" w:hint="eastAsia"/>
                <w:kern w:val="0"/>
                <w:sz w:val="22"/>
                <w:szCs w:val="22"/>
              </w:rPr>
              <w:t>=280559984元</w:t>
            </w:r>
          </w:p>
        </w:tc>
      </w:tr>
    </w:tbl>
    <w:p w:rsidR="0054446D" w:rsidRDefault="00FB459A" w:rsidP="00F513B3">
      <w:pPr>
        <w:numPr>
          <w:ilvl w:val="0"/>
          <w:numId w:val="9"/>
        </w:numPr>
        <w:spacing w:beforeLines="100" w:afterLines="100" w:line="420" w:lineRule="exact"/>
        <w:outlineLvl w:val="1"/>
        <w:rPr>
          <w:rFonts w:ascii="仿宋" w:eastAsia="仿宋" w:hAnsi="仿宋" w:cs="仿宋"/>
          <w:b/>
          <w:sz w:val="28"/>
        </w:rPr>
      </w:pPr>
      <w:r>
        <w:rPr>
          <w:rFonts w:ascii="仿宋" w:eastAsia="仿宋" w:hAnsi="仿宋" w:cs="仿宋" w:hint="eastAsia"/>
          <w:b/>
          <w:sz w:val="28"/>
        </w:rPr>
        <w:t>地价的确定</w:t>
      </w:r>
      <w:bookmarkEnd w:id="82"/>
      <w:bookmarkEnd w:id="83"/>
    </w:p>
    <w:p w:rsidR="0054446D" w:rsidRDefault="00FB459A">
      <w:pPr>
        <w:spacing w:line="420" w:lineRule="exact"/>
        <w:ind w:firstLineChars="200" w:firstLine="560"/>
        <w:jc w:val="left"/>
        <w:rPr>
          <w:rFonts w:ascii="仿宋_GB2312" w:eastAsia="仿宋_GB2312"/>
          <w:sz w:val="28"/>
        </w:rPr>
      </w:pPr>
      <w:r>
        <w:rPr>
          <w:rFonts w:ascii="仿宋" w:eastAsia="仿宋" w:hAnsi="仿宋" w:hint="eastAsia"/>
          <w:sz w:val="28"/>
        </w:rPr>
        <w:t>根据《城镇土地估价规程》，估价人员依据土地估价的基本原则、理论和方法，在充分</w:t>
      </w:r>
      <w:proofErr w:type="gramStart"/>
      <w:r>
        <w:rPr>
          <w:rFonts w:ascii="仿宋" w:eastAsia="仿宋" w:hAnsi="仿宋" w:hint="eastAsia"/>
          <w:sz w:val="28"/>
        </w:rPr>
        <w:t>分析委估宗地</w:t>
      </w:r>
      <w:proofErr w:type="gramEnd"/>
      <w:r>
        <w:rPr>
          <w:rFonts w:ascii="仿宋" w:eastAsia="仿宋" w:hAnsi="仿宋" w:hint="eastAsia"/>
          <w:sz w:val="28"/>
        </w:rPr>
        <w:t>所在区域的地价影响因素和掌握的土地市场交易资料的基础上，按照土地估价程序，采用剩余法和基准地价系数修正法</w:t>
      </w:r>
      <w:proofErr w:type="gramStart"/>
      <w:r>
        <w:rPr>
          <w:rFonts w:ascii="仿宋" w:eastAsia="仿宋" w:hAnsi="仿宋" w:hint="eastAsia"/>
          <w:sz w:val="28"/>
        </w:rPr>
        <w:t>对委估宗地</w:t>
      </w:r>
      <w:proofErr w:type="gramEnd"/>
      <w:r>
        <w:rPr>
          <w:rFonts w:ascii="仿宋" w:eastAsia="仿宋" w:hAnsi="仿宋" w:hint="eastAsia"/>
          <w:sz w:val="28"/>
        </w:rPr>
        <w:t>的市场价值进行评估测算，最终</w:t>
      </w:r>
      <w:proofErr w:type="gramStart"/>
      <w:r>
        <w:rPr>
          <w:rFonts w:ascii="仿宋" w:eastAsia="仿宋" w:hAnsi="仿宋" w:hint="eastAsia"/>
          <w:sz w:val="28"/>
        </w:rPr>
        <w:t>确定委估宗地</w:t>
      </w:r>
      <w:proofErr w:type="gramEnd"/>
      <w:r>
        <w:rPr>
          <w:rFonts w:ascii="仿宋" w:eastAsia="仿宋" w:hAnsi="仿宋" w:hint="eastAsia"/>
          <w:sz w:val="28"/>
        </w:rPr>
        <w:t>（</w:t>
      </w:r>
      <w:r>
        <w:rPr>
          <w:rFonts w:ascii="仿宋_GB2312" w:eastAsia="仿宋_GB2312" w:hAnsi="仿宋" w:hint="eastAsia"/>
          <w:sz w:val="28"/>
        </w:rPr>
        <w:t>江西骏丰置业有限公司</w:t>
      </w:r>
      <w:r>
        <w:rPr>
          <w:rFonts w:ascii="仿宋_GB2312" w:eastAsia="仿宋_GB2312" w:hAnsi="宋体" w:hint="eastAsia"/>
          <w:sz w:val="28"/>
        </w:rPr>
        <w:t>名下位于江西省新余市仰天大道以北一宗住宅用地</w:t>
      </w:r>
      <w:r>
        <w:rPr>
          <w:rFonts w:ascii="仿宋_GB2312" w:eastAsia="仿宋_GB2312" w:hint="eastAsia"/>
          <w:bCs/>
          <w:sz w:val="28"/>
        </w:rPr>
        <w:t>的土地使用权</w:t>
      </w:r>
      <w:r>
        <w:rPr>
          <w:rFonts w:ascii="仿宋" w:eastAsia="仿宋" w:hAnsi="仿宋" w:hint="eastAsia"/>
          <w:sz w:val="28"/>
        </w:rPr>
        <w:t>）在估价期日并满足地价定义条件下的土地使用权市场价值</w:t>
      </w:r>
      <w:r>
        <w:rPr>
          <w:rFonts w:ascii="仿宋_GB2312" w:eastAsia="仿宋_GB2312" w:hint="eastAsia"/>
          <w:sz w:val="28"/>
        </w:rPr>
        <w:t>：</w:t>
      </w:r>
    </w:p>
    <w:p w:rsidR="0054446D" w:rsidRDefault="00FB459A">
      <w:pPr>
        <w:spacing w:line="420" w:lineRule="exact"/>
        <w:ind w:firstLineChars="200" w:firstLine="560"/>
        <w:jc w:val="left"/>
        <w:rPr>
          <w:rFonts w:ascii="仿宋" w:eastAsia="仿宋" w:hAnsi="仿宋"/>
          <w:sz w:val="28"/>
        </w:rPr>
      </w:pPr>
      <w:r>
        <w:rPr>
          <w:rFonts w:ascii="仿宋" w:eastAsia="仿宋" w:hAnsi="仿宋" w:hint="eastAsia"/>
          <w:sz w:val="28"/>
        </w:rPr>
        <w:t>币种：人民币</w:t>
      </w:r>
    </w:p>
    <w:p w:rsidR="0054446D" w:rsidRDefault="00FB459A">
      <w:pPr>
        <w:spacing w:line="420" w:lineRule="exact"/>
        <w:ind w:firstLineChars="200" w:firstLine="560"/>
        <w:jc w:val="left"/>
        <w:rPr>
          <w:rFonts w:ascii="仿宋" w:eastAsia="仿宋" w:hAnsi="仿宋"/>
          <w:sz w:val="28"/>
        </w:rPr>
      </w:pPr>
      <w:r>
        <w:rPr>
          <w:rFonts w:ascii="仿宋" w:eastAsia="仿宋" w:hAnsi="仿宋" w:hint="eastAsia"/>
          <w:sz w:val="28"/>
        </w:rPr>
        <w:t>土地面积：59,897.52平方米；</w:t>
      </w:r>
    </w:p>
    <w:p w:rsidR="0054446D" w:rsidRDefault="00FB459A">
      <w:pPr>
        <w:spacing w:line="420" w:lineRule="exact"/>
        <w:ind w:firstLineChars="200" w:firstLine="560"/>
        <w:jc w:val="left"/>
        <w:rPr>
          <w:rFonts w:ascii="仿宋" w:eastAsia="仿宋" w:hAnsi="仿宋"/>
          <w:sz w:val="28"/>
        </w:rPr>
      </w:pPr>
      <w:r>
        <w:rPr>
          <w:rFonts w:ascii="仿宋" w:eastAsia="仿宋" w:hAnsi="仿宋" w:hint="eastAsia"/>
          <w:sz w:val="28"/>
        </w:rPr>
        <w:t>单位地价：4,684元/平方米；</w:t>
      </w:r>
    </w:p>
    <w:p w:rsidR="0054446D" w:rsidRDefault="00FB459A">
      <w:pPr>
        <w:spacing w:line="420" w:lineRule="exact"/>
        <w:ind w:firstLineChars="200" w:firstLine="560"/>
        <w:jc w:val="left"/>
        <w:rPr>
          <w:rFonts w:ascii="仿宋" w:eastAsia="仿宋" w:hAnsi="仿宋"/>
          <w:sz w:val="28"/>
        </w:rPr>
      </w:pPr>
      <w:r>
        <w:rPr>
          <w:rFonts w:ascii="仿宋" w:eastAsia="仿宋" w:hAnsi="仿宋" w:hint="eastAsia"/>
          <w:sz w:val="28"/>
        </w:rPr>
        <w:t>楼面地价：2,344元/平方米</w:t>
      </w:r>
    </w:p>
    <w:p w:rsidR="0054446D" w:rsidRDefault="00FB459A">
      <w:pPr>
        <w:spacing w:line="420" w:lineRule="exact"/>
        <w:ind w:firstLineChars="200" w:firstLine="560"/>
        <w:jc w:val="left"/>
        <w:rPr>
          <w:rFonts w:ascii="仿宋" w:eastAsia="仿宋" w:hAnsi="仿宋"/>
          <w:sz w:val="28"/>
        </w:rPr>
      </w:pPr>
      <w:r>
        <w:rPr>
          <w:rFonts w:ascii="仿宋" w:eastAsia="仿宋" w:hAnsi="仿宋" w:hint="eastAsia"/>
          <w:sz w:val="28"/>
        </w:rPr>
        <w:t>总地价：280,559,984元；</w:t>
      </w:r>
    </w:p>
    <w:p w:rsidR="0054446D" w:rsidRDefault="00FB459A">
      <w:pPr>
        <w:spacing w:line="420" w:lineRule="exact"/>
        <w:ind w:firstLineChars="200" w:firstLine="560"/>
        <w:jc w:val="left"/>
        <w:rPr>
          <w:rFonts w:ascii="仿宋" w:eastAsia="仿宋" w:hAnsi="仿宋"/>
          <w:sz w:val="28"/>
        </w:rPr>
      </w:pPr>
      <w:r>
        <w:rPr>
          <w:rFonts w:ascii="仿宋" w:eastAsia="仿宋" w:hAnsi="仿宋" w:hint="eastAsia"/>
          <w:sz w:val="28"/>
        </w:rPr>
        <w:t>总地价大写人民币</w:t>
      </w:r>
      <w:r w:rsidR="00F513B3">
        <w:rPr>
          <w:rFonts w:ascii="仿宋" w:eastAsia="仿宋" w:hAnsi="仿宋"/>
          <w:sz w:val="28"/>
        </w:rPr>
        <w:fldChar w:fldCharType="begin"/>
      </w:r>
      <w:r>
        <w:rPr>
          <w:rFonts w:ascii="仿宋" w:eastAsia="仿宋" w:hAnsi="仿宋" w:hint="eastAsia"/>
          <w:sz w:val="28"/>
        </w:rPr>
        <w:instrText>= 280559984 \* CHINESENUM2</w:instrText>
      </w:r>
      <w:r w:rsidR="00F513B3">
        <w:rPr>
          <w:rFonts w:ascii="仿宋" w:eastAsia="仿宋" w:hAnsi="仿宋"/>
          <w:sz w:val="28"/>
        </w:rPr>
        <w:fldChar w:fldCharType="separate"/>
      </w:r>
      <w:proofErr w:type="gramStart"/>
      <w:r>
        <w:rPr>
          <w:rFonts w:ascii="仿宋" w:eastAsia="仿宋" w:hAnsi="仿宋" w:hint="eastAsia"/>
          <w:sz w:val="28"/>
        </w:rPr>
        <w:t>贰亿捌仟零伍拾伍万玖仟玖佰捌拾肆</w:t>
      </w:r>
      <w:proofErr w:type="gramEnd"/>
      <w:r w:rsidR="00F513B3">
        <w:rPr>
          <w:rFonts w:ascii="仿宋" w:eastAsia="仿宋" w:hAnsi="仿宋"/>
          <w:sz w:val="28"/>
        </w:rPr>
        <w:fldChar w:fldCharType="end"/>
      </w:r>
      <w:r>
        <w:rPr>
          <w:rFonts w:ascii="仿宋" w:eastAsia="仿宋" w:hAnsi="仿宋" w:hint="eastAsia"/>
          <w:sz w:val="28"/>
        </w:rPr>
        <w:t>元整；</w:t>
      </w:r>
    </w:p>
    <w:p w:rsidR="0054446D" w:rsidRDefault="00FB459A">
      <w:pPr>
        <w:pStyle w:val="a7"/>
        <w:spacing w:before="40" w:line="268" w:lineRule="auto"/>
        <w:ind w:left="0" w:right="-32" w:firstLineChars="200" w:firstLine="560"/>
        <w:rPr>
          <w:highlight w:val="yellow"/>
        </w:rPr>
        <w:sectPr w:rsidR="0054446D">
          <w:headerReference w:type="default" r:id="rId24"/>
          <w:footerReference w:type="default" r:id="rId25"/>
          <w:pgSz w:w="11907" w:h="16840"/>
          <w:pgMar w:top="1701" w:right="1418" w:bottom="1587" w:left="1701" w:header="680" w:footer="720" w:gutter="0"/>
          <w:pgNumType w:fmt="numberInDash"/>
          <w:cols w:space="720"/>
          <w:docGrid w:linePitch="285"/>
        </w:sectPr>
      </w:pPr>
      <w:r>
        <w:rPr>
          <w:rFonts w:hint="eastAsia"/>
        </w:rPr>
        <w:t>注：总地价=地面地价×土地面积，地面地价=楼面地价×容积率，总价</w:t>
      </w:r>
      <w:proofErr w:type="gramStart"/>
      <w:r>
        <w:rPr>
          <w:rFonts w:hint="eastAsia"/>
        </w:rPr>
        <w:t>取整至个位</w:t>
      </w:r>
      <w:proofErr w:type="gramEnd"/>
      <w:r>
        <w:rPr>
          <w:rFonts w:hint="eastAsia"/>
        </w:rPr>
        <w:t>。</w:t>
      </w:r>
    </w:p>
    <w:p w:rsidR="0054446D" w:rsidRDefault="0054446D" w:rsidP="00F513B3">
      <w:pPr>
        <w:spacing w:afterLines="100"/>
        <w:jc w:val="center"/>
        <w:outlineLvl w:val="0"/>
        <w:rPr>
          <w:rFonts w:ascii="仿宋" w:eastAsia="仿宋" w:hAnsi="仿宋" w:cs="仿宋"/>
          <w:b/>
          <w:sz w:val="32"/>
          <w:szCs w:val="32"/>
        </w:rPr>
      </w:pPr>
      <w:bookmarkStart w:id="85" w:name="_Toc17752"/>
      <w:bookmarkStart w:id="86" w:name="_Toc4321"/>
    </w:p>
    <w:p w:rsidR="0054446D" w:rsidRDefault="00FB459A" w:rsidP="00F513B3">
      <w:pPr>
        <w:numPr>
          <w:ilvl w:val="0"/>
          <w:numId w:val="10"/>
        </w:numPr>
        <w:spacing w:afterLines="100"/>
        <w:ind w:firstLine="642"/>
        <w:jc w:val="center"/>
        <w:outlineLvl w:val="0"/>
        <w:rPr>
          <w:rFonts w:ascii="仿宋" w:eastAsia="仿宋" w:hAnsi="仿宋" w:cs="仿宋"/>
          <w:b/>
          <w:sz w:val="32"/>
          <w:szCs w:val="32"/>
        </w:rPr>
      </w:pPr>
      <w:r>
        <w:rPr>
          <w:rFonts w:ascii="仿宋" w:eastAsia="仿宋" w:hAnsi="仿宋" w:cs="仿宋" w:hint="eastAsia"/>
          <w:b/>
          <w:sz w:val="32"/>
          <w:szCs w:val="32"/>
        </w:rPr>
        <w:t>附   件</w:t>
      </w:r>
      <w:bookmarkEnd w:id="85"/>
      <w:bookmarkEnd w:id="86"/>
    </w:p>
    <w:p w:rsidR="0054446D" w:rsidRDefault="0054446D">
      <w:pPr>
        <w:pStyle w:val="ab"/>
        <w:rPr>
          <w:rFonts w:ascii="仿宋" w:eastAsia="仿宋" w:hAnsi="仿宋" w:cs="仿宋"/>
        </w:rPr>
      </w:pPr>
    </w:p>
    <w:p w:rsidR="0054446D" w:rsidRDefault="00FB459A">
      <w:pPr>
        <w:spacing w:line="360" w:lineRule="auto"/>
        <w:ind w:left="210" w:firstLineChars="200" w:firstLine="560"/>
        <w:rPr>
          <w:rFonts w:ascii="仿宋_GB2312" w:eastAsia="仿宋_GB2312"/>
          <w:sz w:val="28"/>
        </w:rPr>
      </w:pPr>
      <w:r>
        <w:rPr>
          <w:rFonts w:ascii="仿宋_GB2312" w:eastAsia="仿宋_GB2312" w:hint="eastAsia"/>
          <w:sz w:val="28"/>
        </w:rPr>
        <w:t>一、</w:t>
      </w:r>
      <w:r>
        <w:rPr>
          <w:rFonts w:ascii="仿宋_GB2312" w:eastAsia="仿宋_GB2312" w:hAnsi="宋体" w:hint="eastAsia"/>
          <w:sz w:val="28"/>
        </w:rPr>
        <w:t>《湖南省湘潭市中级人民法院委托书》[（2022）湘03执23号]</w:t>
      </w:r>
      <w:r>
        <w:rPr>
          <w:rFonts w:ascii="仿宋_GB2312" w:eastAsia="仿宋_GB2312" w:hint="eastAsia"/>
          <w:sz w:val="28"/>
        </w:rPr>
        <w:t>复印件</w:t>
      </w:r>
    </w:p>
    <w:p w:rsidR="0054446D" w:rsidRDefault="00FB459A">
      <w:pPr>
        <w:spacing w:line="360" w:lineRule="auto"/>
        <w:ind w:left="210" w:firstLineChars="200" w:firstLine="560"/>
        <w:rPr>
          <w:rFonts w:ascii="仿宋_GB2312" w:eastAsia="仿宋_GB2312"/>
          <w:sz w:val="28"/>
        </w:rPr>
      </w:pPr>
      <w:r>
        <w:rPr>
          <w:rFonts w:ascii="仿宋_GB2312" w:eastAsia="仿宋_GB2312" w:hint="eastAsia"/>
          <w:sz w:val="28"/>
        </w:rPr>
        <w:t>二、估价对象区域位置示意图</w:t>
      </w:r>
    </w:p>
    <w:p w:rsidR="0054446D" w:rsidRDefault="00FB459A">
      <w:pPr>
        <w:spacing w:line="360" w:lineRule="auto"/>
        <w:ind w:left="210" w:firstLineChars="200" w:firstLine="560"/>
        <w:rPr>
          <w:rFonts w:ascii="仿宋_GB2312" w:eastAsia="仿宋_GB2312"/>
          <w:sz w:val="28"/>
        </w:rPr>
      </w:pPr>
      <w:r>
        <w:rPr>
          <w:rFonts w:ascii="仿宋_GB2312" w:eastAsia="仿宋_GB2312" w:hint="eastAsia"/>
          <w:sz w:val="28"/>
        </w:rPr>
        <w:t>三、估价对象照片及</w:t>
      </w:r>
      <w:r>
        <w:rPr>
          <w:rFonts w:ascii="仿宋" w:eastAsia="仿宋" w:hAnsi="仿宋" w:hint="eastAsia"/>
          <w:sz w:val="28"/>
        </w:rPr>
        <w:t>现场查勘记录表</w:t>
      </w:r>
    </w:p>
    <w:p w:rsidR="0054446D" w:rsidRDefault="00FB459A">
      <w:pPr>
        <w:spacing w:line="360" w:lineRule="auto"/>
        <w:ind w:left="210" w:firstLineChars="200" w:firstLine="560"/>
        <w:rPr>
          <w:rFonts w:ascii="仿宋_GB2312" w:eastAsia="仿宋_GB2312"/>
          <w:sz w:val="28"/>
        </w:rPr>
      </w:pPr>
      <w:r>
        <w:rPr>
          <w:rFonts w:ascii="仿宋_GB2312" w:eastAsia="仿宋_GB2312" w:hint="eastAsia"/>
          <w:sz w:val="28"/>
        </w:rPr>
        <w:t>四、</w:t>
      </w:r>
      <w:r>
        <w:rPr>
          <w:rFonts w:ascii="仿宋_GB2312" w:eastAsia="仿宋_GB2312" w:hAnsi="宋体" w:hint="eastAsia"/>
          <w:sz w:val="28"/>
        </w:rPr>
        <w:t>《不动产产权情况表》[业务号：HT201207170041]</w:t>
      </w:r>
      <w:r>
        <w:rPr>
          <w:rFonts w:ascii="仿宋_GB2312" w:eastAsia="仿宋_GB2312" w:hint="eastAsia"/>
          <w:sz w:val="28"/>
        </w:rPr>
        <w:t xml:space="preserve">复印件 </w:t>
      </w:r>
    </w:p>
    <w:p w:rsidR="0054446D" w:rsidRDefault="00FB459A">
      <w:pPr>
        <w:spacing w:line="360" w:lineRule="auto"/>
        <w:ind w:left="210" w:firstLineChars="200" w:firstLine="560"/>
        <w:rPr>
          <w:rFonts w:ascii="仿宋_GB2312" w:eastAsia="仿宋_GB2312"/>
          <w:sz w:val="28"/>
        </w:rPr>
      </w:pPr>
      <w:r>
        <w:rPr>
          <w:rFonts w:ascii="仿宋_GB2312" w:eastAsia="仿宋_GB2312" w:hint="eastAsia"/>
          <w:sz w:val="28"/>
        </w:rPr>
        <w:t>五</w:t>
      </w:r>
      <w:r>
        <w:rPr>
          <w:rFonts w:ascii="仿宋_GB2312" w:eastAsia="仿宋_GB2312" w:hAnsi="宋体" w:hint="eastAsia"/>
          <w:sz w:val="28"/>
        </w:rPr>
        <w:t>、《土地登记审批表》[编号：（2012）00751]</w:t>
      </w:r>
      <w:r>
        <w:rPr>
          <w:rFonts w:ascii="仿宋_GB2312" w:eastAsia="仿宋_GB2312" w:hint="eastAsia"/>
          <w:sz w:val="28"/>
        </w:rPr>
        <w:t xml:space="preserve"> 复印件</w:t>
      </w:r>
    </w:p>
    <w:p w:rsidR="0054446D" w:rsidRDefault="00FB459A">
      <w:pPr>
        <w:spacing w:line="360" w:lineRule="auto"/>
        <w:ind w:left="210" w:firstLineChars="200" w:firstLine="560"/>
        <w:rPr>
          <w:rFonts w:ascii="仿宋_GB2312" w:eastAsia="仿宋_GB2312"/>
          <w:sz w:val="28"/>
        </w:rPr>
      </w:pPr>
      <w:r>
        <w:rPr>
          <w:rFonts w:ascii="仿宋_GB2312" w:eastAsia="仿宋_GB2312" w:hint="eastAsia"/>
          <w:sz w:val="28"/>
        </w:rPr>
        <w:t>六、</w:t>
      </w:r>
      <w:r>
        <w:rPr>
          <w:rFonts w:ascii="仿宋_GB2312" w:eastAsia="仿宋_GB2312" w:hAnsi="宋体" w:hint="eastAsia"/>
          <w:sz w:val="28"/>
        </w:rPr>
        <w:t>《国有建设用地使用权出让合同》[电子监管号：3605002011B01585]</w:t>
      </w:r>
      <w:r>
        <w:rPr>
          <w:rFonts w:ascii="仿宋_GB2312" w:eastAsia="仿宋_GB2312" w:hint="eastAsia"/>
          <w:sz w:val="28"/>
        </w:rPr>
        <w:t>复印件</w:t>
      </w:r>
    </w:p>
    <w:p w:rsidR="0054446D" w:rsidRDefault="00FB459A">
      <w:pPr>
        <w:spacing w:line="360" w:lineRule="auto"/>
        <w:ind w:left="210" w:firstLineChars="200" w:firstLine="560"/>
        <w:rPr>
          <w:rFonts w:ascii="仿宋_GB2312" w:eastAsia="仿宋_GB2312"/>
          <w:sz w:val="28"/>
        </w:rPr>
      </w:pPr>
      <w:r>
        <w:rPr>
          <w:rFonts w:ascii="仿宋_GB2312" w:eastAsia="仿宋_GB2312" w:hint="eastAsia"/>
          <w:sz w:val="28"/>
        </w:rPr>
        <w:t>七、</w:t>
      </w:r>
      <w:r>
        <w:rPr>
          <w:rFonts w:ascii="仿宋_GB2312" w:eastAsia="仿宋_GB2312" w:hAnsi="宋体" w:hint="eastAsia"/>
          <w:sz w:val="28"/>
        </w:rPr>
        <w:t>《关于纬二路以北、经三路以东W-09-04号地块的规划条件》[编号：余规条2011-006]</w:t>
      </w:r>
      <w:r>
        <w:rPr>
          <w:rFonts w:ascii="仿宋_GB2312" w:eastAsia="仿宋_GB2312" w:hint="eastAsia"/>
          <w:sz w:val="28"/>
        </w:rPr>
        <w:t xml:space="preserve"> 复印件</w:t>
      </w:r>
    </w:p>
    <w:p w:rsidR="0054446D" w:rsidRDefault="00FB459A">
      <w:pPr>
        <w:spacing w:line="360" w:lineRule="auto"/>
        <w:ind w:left="210" w:firstLineChars="200" w:firstLine="560"/>
        <w:rPr>
          <w:rFonts w:ascii="仿宋_GB2312" w:eastAsia="仿宋_GB2312"/>
          <w:sz w:val="28"/>
        </w:rPr>
      </w:pPr>
      <w:r>
        <w:rPr>
          <w:rFonts w:ascii="仿宋_GB2312" w:eastAsia="仿宋_GB2312" w:hint="eastAsia"/>
          <w:sz w:val="28"/>
        </w:rPr>
        <w:t>八、估价方《企业法人营业执照》复印件</w:t>
      </w:r>
    </w:p>
    <w:p w:rsidR="0054446D" w:rsidRDefault="00FB459A">
      <w:pPr>
        <w:spacing w:line="360" w:lineRule="auto"/>
        <w:ind w:left="210" w:firstLineChars="200" w:firstLine="560"/>
        <w:rPr>
          <w:rFonts w:ascii="仿宋_GB2312" w:eastAsia="仿宋_GB2312"/>
          <w:sz w:val="28"/>
        </w:rPr>
      </w:pPr>
      <w:r>
        <w:rPr>
          <w:rFonts w:ascii="仿宋_GB2312" w:eastAsia="仿宋_GB2312" w:hint="eastAsia"/>
          <w:sz w:val="28"/>
        </w:rPr>
        <w:t>九、《土地估价机构备案证明》复印件</w:t>
      </w:r>
    </w:p>
    <w:p w:rsidR="0054446D" w:rsidRDefault="00FB459A">
      <w:pPr>
        <w:spacing w:line="360" w:lineRule="auto"/>
        <w:ind w:left="210" w:firstLineChars="200" w:firstLine="560"/>
        <w:rPr>
          <w:rFonts w:ascii="仿宋" w:eastAsia="仿宋" w:hAnsi="仿宋" w:cs="仿宋"/>
          <w:kern w:val="0"/>
          <w:sz w:val="28"/>
          <w:szCs w:val="28"/>
        </w:rPr>
      </w:pPr>
      <w:r>
        <w:rPr>
          <w:rFonts w:ascii="仿宋_GB2312" w:eastAsia="仿宋_GB2312" w:hint="eastAsia"/>
          <w:sz w:val="28"/>
        </w:rPr>
        <w:t>十、《中国土地估价师资格证书》复印件</w:t>
      </w:r>
    </w:p>
    <w:p w:rsidR="0054446D" w:rsidRDefault="0054446D">
      <w:pPr>
        <w:rPr>
          <w:rFonts w:ascii="仿宋" w:eastAsia="仿宋" w:hAnsi="仿宋" w:cs="仿宋"/>
          <w:kern w:val="0"/>
          <w:sz w:val="28"/>
          <w:szCs w:val="28"/>
        </w:rPr>
      </w:pPr>
    </w:p>
    <w:p w:rsidR="0054446D" w:rsidRDefault="0054446D">
      <w:pPr>
        <w:ind w:firstLineChars="200" w:firstLine="560"/>
        <w:rPr>
          <w:rFonts w:ascii="仿宋" w:eastAsia="仿宋" w:hAnsi="仿宋" w:cs="仿宋"/>
          <w:sz w:val="28"/>
        </w:rPr>
      </w:pPr>
    </w:p>
    <w:p w:rsidR="0054446D" w:rsidRDefault="0054446D">
      <w:pPr>
        <w:spacing w:line="360" w:lineRule="auto"/>
        <w:ind w:firstLineChars="200" w:firstLine="560"/>
        <w:rPr>
          <w:rFonts w:ascii="仿宋" w:eastAsia="仿宋" w:hAnsi="仿宋" w:cs="仿宋"/>
          <w:sz w:val="28"/>
        </w:rPr>
      </w:pPr>
    </w:p>
    <w:p w:rsidR="0054446D" w:rsidRDefault="0054446D">
      <w:pPr>
        <w:spacing w:line="360" w:lineRule="auto"/>
        <w:rPr>
          <w:rFonts w:ascii="仿宋" w:eastAsia="仿宋" w:hAnsi="仿宋" w:cs="仿宋"/>
          <w:sz w:val="28"/>
        </w:rPr>
      </w:pPr>
    </w:p>
    <w:p w:rsidR="0054446D" w:rsidRDefault="0054446D">
      <w:pPr>
        <w:spacing w:line="360" w:lineRule="auto"/>
        <w:ind w:firstLineChars="200" w:firstLine="560"/>
        <w:rPr>
          <w:rFonts w:ascii="仿宋" w:eastAsia="仿宋" w:hAnsi="仿宋" w:cs="仿宋"/>
          <w:sz w:val="28"/>
        </w:rPr>
      </w:pPr>
    </w:p>
    <w:p w:rsidR="0054446D" w:rsidRDefault="0054446D">
      <w:pPr>
        <w:spacing w:line="360" w:lineRule="auto"/>
        <w:ind w:firstLineChars="200" w:firstLine="560"/>
        <w:rPr>
          <w:rFonts w:ascii="仿宋" w:eastAsia="仿宋" w:hAnsi="仿宋" w:cs="仿宋"/>
          <w:sz w:val="28"/>
        </w:rPr>
      </w:pPr>
    </w:p>
    <w:sectPr w:rsidR="0054446D" w:rsidSect="0054446D">
      <w:footerReference w:type="default" r:id="rId26"/>
      <w:pgSz w:w="11907" w:h="16840"/>
      <w:pgMar w:top="1701" w:right="1417" w:bottom="1587" w:left="1701" w:header="680" w:footer="737" w:gutter="0"/>
      <w:pgNumType w:fmt="numberInDash"/>
      <w:cols w:space="0"/>
      <w:docGrid w:linePitch="28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F6444A5" w15:done="0"/>
  <w15:commentEx w15:paraId="0E9E6DA4" w15:done="0"/>
  <w15:commentEx w15:paraId="60FC52ED" w15:done="0"/>
  <w15:commentEx w15:paraId="5A8573CF" w15:done="0"/>
  <w15:commentEx w15:paraId="6B230641" w15:done="0"/>
  <w15:commentEx w15:paraId="5A342D2C" w15:done="0"/>
  <w15:commentEx w15:paraId="63DC6A26" w15:done="0"/>
  <w15:commentEx w15:paraId="4DD76E06" w15:done="0"/>
  <w15:commentEx w15:paraId="17D246E9" w15:done="0"/>
  <w15:commentEx w15:paraId="4B961FAB" w15:done="0"/>
  <w15:commentEx w15:paraId="538E23E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7D2" w:rsidRPr="00373A2D" w:rsidRDefault="00C207D2" w:rsidP="0054446D">
      <w:pPr>
        <w:rPr>
          <w:rFonts w:ascii="Tahoma" w:hAnsi="Tahoma"/>
          <w:sz w:val="24"/>
        </w:rPr>
      </w:pPr>
      <w:r>
        <w:separator/>
      </w:r>
    </w:p>
  </w:endnote>
  <w:endnote w:type="continuationSeparator" w:id="1">
    <w:p w:rsidR="00C207D2" w:rsidRPr="00373A2D" w:rsidRDefault="00C207D2" w:rsidP="0054446D">
      <w:pPr>
        <w:rPr>
          <w:rFonts w:ascii="Tahoma" w:hAnsi="Tahoma"/>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体">
    <w:altName w:val="宋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文鼎中隶简">
    <w:altName w:val="宋体"/>
    <w:charset w:val="86"/>
    <w:family w:val="moder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ntigoni Light">
    <w:altName w:val="Segoe Print"/>
    <w:charset w:val="00"/>
    <w:family w:val="swiss"/>
    <w:pitch w:val="default"/>
    <w:sig w:usb0="00000000" w:usb1="00000000" w:usb2="00000000" w:usb3="00000000" w:csb0="0000009B" w:csb1="00000000"/>
  </w:font>
  <w:font w:name="微软雅黑">
    <w:panose1 w:val="020B0503020204020204"/>
    <w:charset w:val="86"/>
    <w:family w:val="swiss"/>
    <w:pitch w:val="variable"/>
    <w:sig w:usb0="80000287" w:usb1="2ACF3C50" w:usb2="00000016" w:usb3="00000000" w:csb0="0004001F" w:csb1="00000000"/>
  </w:font>
  <w:font w:name="宋体-18030">
    <w:altName w:val="宋体"/>
    <w:charset w:val="86"/>
    <w:family w:val="modern"/>
    <w:pitch w:val="default"/>
    <w:sig w:usb0="00000000" w:usb1="00000000" w:usb2="0000005E" w:usb3="00000000" w:csb0="00040001"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7D2" w:rsidRDefault="00C207D2">
    <w:pPr>
      <w:pStyle w:val="1"/>
      <w:pBdr>
        <w:top w:val="single" w:sz="4" w:space="1" w:color="auto"/>
      </w:pBdr>
      <w:spacing w:before="0" w:after="0" w:line="240" w:lineRule="atLeast"/>
      <w:ind w:left="718" w:rightChars="171" w:right="359" w:hangingChars="342" w:hanging="718"/>
      <w:rPr>
        <w:rFonts w:ascii="楷体_GB2312" w:eastAsia="楷体_GB2312"/>
        <w:b w:val="0"/>
        <w:bCs w:val="0"/>
        <w:sz w:val="21"/>
      </w:rPr>
    </w:pPr>
    <w:r>
      <w:rPr>
        <w:rFonts w:ascii="楷体_GB2312" w:eastAsia="楷体_GB2312" w:hint="eastAsia"/>
        <w:b w:val="0"/>
        <w:bCs w:val="0"/>
        <w:sz w:val="21"/>
      </w:rPr>
      <w:t>地址</w:t>
    </w:r>
    <w:r>
      <w:rPr>
        <w:rFonts w:ascii="楷体_GB2312" w:eastAsia="楷体_GB2312"/>
        <w:b w:val="0"/>
        <w:bCs w:val="0"/>
        <w:sz w:val="21"/>
      </w:rPr>
      <w:t>:</w:t>
    </w:r>
    <w:r>
      <w:rPr>
        <w:rFonts w:ascii="楷体_GB2312" w:eastAsia="楷体_GB2312" w:hint="eastAsia"/>
        <w:b w:val="0"/>
        <w:bCs w:val="0"/>
        <w:sz w:val="21"/>
      </w:rPr>
      <w:t>湖南省长沙市芙蓉区火星街道紫薇路8号华泰大厦（华泰·尚都）801-808室.</w:t>
    </w:r>
  </w:p>
  <w:p w:rsidR="00C207D2" w:rsidRDefault="00C207D2">
    <w:pPr>
      <w:pStyle w:val="1"/>
      <w:pBdr>
        <w:top w:val="single" w:sz="4" w:space="1" w:color="auto"/>
      </w:pBdr>
      <w:spacing w:before="0" w:after="0" w:line="240" w:lineRule="atLeast"/>
      <w:ind w:left="718" w:rightChars="171" w:right="359" w:hangingChars="342" w:hanging="718"/>
      <w:rPr>
        <w:sz w:val="21"/>
      </w:rPr>
    </w:pPr>
    <w:r>
      <w:rPr>
        <w:rFonts w:ascii="楷体_GB2312" w:eastAsia="楷体_GB2312" w:hint="eastAsia"/>
        <w:b w:val="0"/>
        <w:bCs w:val="0"/>
        <w:sz w:val="21"/>
      </w:rPr>
      <w:t>湖南.中国</w:t>
    </w:r>
    <w:r>
      <w:rPr>
        <w:sz w:val="21"/>
      </w:rPr>
      <w:pict>
        <v:shapetype id="_x0000_t202" coordsize="21600,21600" o:spt="202" path="m,l,21600r21600,l21600,xe">
          <v:stroke joinstyle="miter"/>
          <v:path gradientshapeok="t" o:connecttype="rect"/>
        </v:shapetype>
        <v:shape id="_x0000_s1026" type="#_x0000_t202" style="position:absolute;left:0;text-align:left;margin-left:397.75pt;margin-top:12.75pt;width:18.15pt;height:12pt;z-index:251667456;mso-position-horizontal-relative:margin;mso-position-vertical-relative:text" o:gfxdata="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cvLj52QAAAAkBAAAPAAAAAAAAAAEAIAAAACIAAABkcnMvZG93bnJldi54&#10;bWxQSwECFAAUAAAACACHTuJAIXKkpcABAAB/AwAADgAAAAAAAAABACAAAAAoAQAAZHJzL2Uyb0Rv&#10;Yy54bWxQSwUGAAAAAAYABgBZAQAAWgUAAAAA&#10;" filled="f" stroked="f" strokeweight="1.25pt">
          <v:textbox inset="0,0,0,0">
            <w:txbxContent>
              <w:p w:rsidR="00C207D2" w:rsidRDefault="00C207D2">
                <w:pPr>
                  <w:pStyle w:val="ad"/>
                </w:pPr>
              </w:p>
            </w:txbxContent>
          </v:textbox>
          <w10:wrap anchorx="margin"/>
        </v:shape>
      </w:pict>
    </w:r>
    <w:r>
      <w:rPr>
        <w:rFonts w:ascii="楷体_GB2312" w:eastAsia="楷体_GB2312" w:hint="eastAsia"/>
        <w:sz w:val="21"/>
      </w:rPr>
      <w:t>邮编</w:t>
    </w:r>
    <w:r>
      <w:rPr>
        <w:rFonts w:ascii="Antigoni Light" w:hAnsi="Antigoni Light"/>
        <w:sz w:val="21"/>
      </w:rPr>
      <w:t>(PC)4100</w:t>
    </w:r>
    <w:r>
      <w:rPr>
        <w:rFonts w:ascii="Antigoni Light" w:hAnsi="Antigoni Light" w:hint="eastAsia"/>
        <w:sz w:val="21"/>
      </w:rPr>
      <w:t>00</w:t>
    </w:r>
    <w:r>
      <w:rPr>
        <w:rFonts w:ascii="楷体_GB2312" w:eastAsia="楷体_GB2312" w:hint="eastAsia"/>
        <w:sz w:val="21"/>
      </w:rPr>
      <w:t>传真</w:t>
    </w:r>
    <w:r>
      <w:rPr>
        <w:rFonts w:ascii="Antigoni Light" w:hAnsi="Antigoni Light"/>
        <w:sz w:val="21"/>
      </w:rPr>
      <w:t>(FAX)</w:t>
    </w:r>
    <w:r>
      <w:rPr>
        <w:sz w:val="21"/>
      </w:rPr>
      <w:t>0731-</w:t>
    </w:r>
    <w:r>
      <w:rPr>
        <w:rFonts w:hint="eastAsia"/>
        <w:sz w:val="21"/>
      </w:rPr>
      <w:t>84390127</w:t>
    </w:r>
    <w:r>
      <w:rPr>
        <w:rFonts w:ascii="Antigoni Light" w:hAnsi="Antigoni Light" w:hint="eastAsia"/>
        <w:sz w:val="21"/>
      </w:rPr>
      <w:t>电话</w:t>
    </w:r>
    <w:r>
      <w:rPr>
        <w:rFonts w:ascii="Antigoni Light" w:hAnsi="Antigoni Light"/>
        <w:sz w:val="21"/>
      </w:rPr>
      <w:t>(TEL)</w:t>
    </w:r>
    <w:r>
      <w:rPr>
        <w:sz w:val="21"/>
      </w:rPr>
      <w:t>0731-</w:t>
    </w:r>
    <w:r>
      <w:rPr>
        <w:rFonts w:hint="eastAsia"/>
        <w:sz w:val="21"/>
      </w:rPr>
      <w:t>8</w:t>
    </w:r>
    <w:r>
      <w:rPr>
        <w:sz w:val="21"/>
      </w:rPr>
      <w:t>4</w:t>
    </w:r>
    <w:r>
      <w:rPr>
        <w:rFonts w:hint="eastAsia"/>
        <w:sz w:val="21"/>
      </w:rPr>
      <w:t>390127</w:t>
    </w:r>
  </w:p>
  <w:p w:rsidR="00C207D2" w:rsidRDefault="00C207D2">
    <w:pPr>
      <w:pStyle w:val="ad"/>
      <w:jc w:val="both"/>
    </w:pPr>
    <w:r>
      <w:pict>
        <v:shape id="_x0000_s3079" type="#_x0000_t202" style="position:absolute;left:0;text-align:left;margin-left:624pt;margin-top:0;width:2in;height:2in;z-index:251664384;mso-wrap-style:none;mso-position-horizontal:right;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FEwRLDQAQAApwMAAA4AAAAAAAAAAQAgAAAAIgEA&#10;AGRycy9lMm9Eb2MueG1sUEsFBgAAAAAGAAYAWQEAAGQFAAAAAA==&#10;" filled="f" stroked="f" strokeweight="1.25pt">
          <v:textbox style="mso-fit-shape-to-text:t" inset="0,0,0,0">
            <w:txbxContent>
              <w:p w:rsidR="00C207D2" w:rsidRDefault="00C207D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440D6">
                  <w:rPr>
                    <w:noProof/>
                    <w:sz w:val="18"/>
                  </w:rPr>
                  <w:t>- 8 -</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7D2" w:rsidRDefault="00C207D2" w:rsidP="00B233C2">
    <w:pPr>
      <w:pStyle w:val="1"/>
      <w:pBdr>
        <w:top w:val="single" w:sz="4" w:space="1" w:color="auto"/>
      </w:pBdr>
      <w:spacing w:before="0" w:after="0" w:line="240" w:lineRule="atLeast"/>
      <w:ind w:left="602" w:rightChars="171" w:right="359" w:hangingChars="342" w:hanging="602"/>
      <w:rPr>
        <w:rFonts w:ascii="楷体_GB2312" w:eastAsia="楷体_GB2312"/>
        <w:b w:val="0"/>
        <w:bCs w:val="0"/>
        <w:sz w:val="21"/>
      </w:rPr>
    </w:pPr>
    <w:r>
      <w:rPr>
        <w:rFonts w:ascii="楷体_GB2312" w:eastAsia="楷体_GB2312" w:hint="eastAsia"/>
        <w:b w:val="0"/>
        <w:bCs w:val="0"/>
        <w:spacing w:val="-17"/>
        <w:sz w:val="21"/>
      </w:rPr>
      <w:t>地址</w:t>
    </w:r>
    <w:r>
      <w:rPr>
        <w:rFonts w:ascii="楷体_GB2312" w:eastAsia="楷体_GB2312"/>
        <w:b w:val="0"/>
        <w:bCs w:val="0"/>
        <w:spacing w:val="-17"/>
        <w:sz w:val="21"/>
      </w:rPr>
      <w:t>:</w:t>
    </w:r>
    <w:r>
      <w:rPr>
        <w:rFonts w:ascii="楷体_GB2312" w:eastAsia="楷体_GB2312" w:hint="eastAsia"/>
        <w:b w:val="0"/>
        <w:bCs w:val="0"/>
        <w:spacing w:val="-17"/>
        <w:sz w:val="21"/>
      </w:rPr>
      <w:t>湖南省长沙市芙蓉区火星街道紫薇路8号华泰大厦（华泰·尚都）801-808室</w:t>
    </w:r>
    <w:r>
      <w:rPr>
        <w:rFonts w:ascii="楷体_GB2312" w:eastAsia="楷体_GB2312"/>
        <w:b w:val="0"/>
        <w:bCs w:val="0"/>
        <w:spacing w:val="-17"/>
        <w:sz w:val="21"/>
      </w:rPr>
      <w:t>.</w:t>
    </w:r>
    <w:r>
      <w:rPr>
        <w:rFonts w:ascii="楷体_GB2312" w:eastAsia="楷体_GB2312" w:hint="eastAsia"/>
        <w:b w:val="0"/>
        <w:bCs w:val="0"/>
        <w:spacing w:val="-17"/>
        <w:sz w:val="21"/>
      </w:rPr>
      <w:t>湖南</w:t>
    </w:r>
    <w:r>
      <w:rPr>
        <w:rFonts w:ascii="楷体_GB2312" w:eastAsia="楷体_GB2312"/>
        <w:b w:val="0"/>
        <w:bCs w:val="0"/>
        <w:spacing w:val="-17"/>
        <w:sz w:val="21"/>
      </w:rPr>
      <w:t>.</w:t>
    </w:r>
    <w:r>
      <w:rPr>
        <w:rFonts w:ascii="楷体_GB2312" w:eastAsia="楷体_GB2312" w:hint="eastAsia"/>
        <w:b w:val="0"/>
        <w:bCs w:val="0"/>
        <w:spacing w:val="-17"/>
        <w:sz w:val="21"/>
      </w:rPr>
      <w:t>中国</w:t>
    </w:r>
  </w:p>
  <w:p w:rsidR="00C207D2" w:rsidRDefault="00C207D2">
    <w:pPr>
      <w:pStyle w:val="ad"/>
      <w:ind w:left="1680" w:hanging="1680"/>
      <w:rPr>
        <w:sz w:val="21"/>
      </w:rPr>
    </w:pPr>
    <w:r>
      <w:rPr>
        <w:sz w:val="21"/>
      </w:rPr>
      <w:pict>
        <v:shapetype id="_x0000_t202" coordsize="21600,21600" o:spt="202" path="m,l,21600r21600,l21600,xe">
          <v:stroke joinstyle="miter"/>
          <v:path gradientshapeok="t" o:connecttype="rect"/>
        </v:shapetype>
        <v:shape id="文本框 59" o:spid="_x0000_s3078" type="#_x0000_t202" style="position:absolute;left:0;text-align:left;margin-left:397.75pt;margin-top:12.75pt;width:18.15pt;height:12pt;z-index:251662336;mso-position-horizontal-relative:margin" o:gfxdata="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ubvmnZAAAACQEAAA8AAAAA&#10;AAAAAQAgAAAAIgAAAGRycy9kb3ducmV2LnhtbFBLAQIUABQAAAAIAIdO4kBP36D8EwIAABQEAAAO&#10;AAAAAAAAAAEAIAAAACgBAABkcnMvZTJvRG9jLnhtbFBLBQYAAAAABgAGAFkBAACtBQAAAAA=&#10;" filled="f" stroked="f">
          <v:textbox inset="0,0,0,0">
            <w:txbxContent>
              <w:p w:rsidR="00C207D2" w:rsidRDefault="00C207D2">
                <w:pPr>
                  <w:pStyle w:val="ad"/>
                </w:pPr>
              </w:p>
            </w:txbxContent>
          </v:textbox>
          <w10:wrap anchorx="margin"/>
        </v:shape>
      </w:pict>
    </w:r>
    <w:r>
      <w:rPr>
        <w:rFonts w:ascii="楷体_GB2312" w:eastAsia="楷体_GB2312" w:hint="eastAsia"/>
        <w:sz w:val="21"/>
      </w:rPr>
      <w:t>邮编</w:t>
    </w:r>
    <w:r>
      <w:rPr>
        <w:rFonts w:ascii="Antigoni Light" w:hAnsi="Antigoni Light"/>
        <w:sz w:val="21"/>
      </w:rPr>
      <w:t>(PC)4100</w:t>
    </w:r>
    <w:r>
      <w:rPr>
        <w:rFonts w:ascii="Antigoni Light" w:hAnsi="Antigoni Light" w:hint="eastAsia"/>
        <w:sz w:val="21"/>
      </w:rPr>
      <w:t>00</w:t>
    </w:r>
    <w:r>
      <w:rPr>
        <w:rFonts w:ascii="楷体_GB2312" w:eastAsia="楷体_GB2312" w:hint="eastAsia"/>
        <w:sz w:val="21"/>
      </w:rPr>
      <w:t>传真</w:t>
    </w:r>
    <w:r>
      <w:rPr>
        <w:rFonts w:ascii="Antigoni Light" w:hAnsi="Antigoni Light"/>
        <w:sz w:val="21"/>
      </w:rPr>
      <w:t>(FAX)</w:t>
    </w:r>
    <w:r>
      <w:rPr>
        <w:sz w:val="21"/>
      </w:rPr>
      <w:t>0731-</w:t>
    </w:r>
    <w:r>
      <w:rPr>
        <w:rFonts w:hint="eastAsia"/>
        <w:sz w:val="21"/>
      </w:rPr>
      <w:t>84390127</w:t>
    </w:r>
    <w:r>
      <w:rPr>
        <w:rFonts w:ascii="Antigoni Light" w:hAnsi="Antigoni Light" w:hint="eastAsia"/>
        <w:sz w:val="21"/>
      </w:rPr>
      <w:t>电话</w:t>
    </w:r>
    <w:r>
      <w:rPr>
        <w:rFonts w:ascii="Antigoni Light" w:hAnsi="Antigoni Light"/>
        <w:sz w:val="21"/>
      </w:rPr>
      <w:t>(TEL)</w:t>
    </w:r>
    <w:r>
      <w:rPr>
        <w:sz w:val="21"/>
      </w:rPr>
      <w:t>0731-</w:t>
    </w:r>
    <w:r>
      <w:rPr>
        <w:rFonts w:hint="eastAsia"/>
        <w:sz w:val="21"/>
      </w:rPr>
      <w:t>8</w:t>
    </w:r>
    <w:r>
      <w:rPr>
        <w:sz w:val="21"/>
      </w:rPr>
      <w:t>4</w:t>
    </w:r>
    <w:r>
      <w:rPr>
        <w:rFonts w:hint="eastAsia"/>
        <w:sz w:val="21"/>
      </w:rPr>
      <w:t>390127</w:t>
    </w:r>
  </w:p>
  <w:p w:rsidR="00C207D2" w:rsidRDefault="00C207D2">
    <w:pPr>
      <w:pStyle w:val="ad"/>
      <w:ind w:right="360"/>
    </w:pPr>
    <w:r>
      <w:pict>
        <v:shape id="文本框 16" o:spid="_x0000_s3077" type="#_x0000_t202" style="position:absolute;margin-left:-123pt;margin-top:0;width:19.5pt;height:12pt;z-index:251661312;mso-wrap-style:none;mso-position-horizontal:right;mso-position-horizontal-relative:margin" o:gfxdata="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XRm+TQAAAAAwEAAA8AAAAAAAAAAQAgAAAAIgAA&#10;AGRycy9kb3ducmV2LnhtbFBLAQIUABQAAAAIAIdO4kAEmsmeEAIAABIEAAAOAAAAAAAAAAEAIAAA&#10;AB8BAABkcnMvZTJvRG9jLnhtbFBLBQYAAAAABgAGAFkBAAChBQAAAAA=&#10;" filled="f" stroked="f">
          <v:textbox style="mso-fit-shape-to-text:t" inset="0,0,0,0">
            <w:txbxContent>
              <w:p w:rsidR="00C207D2" w:rsidRDefault="00C207D2">
                <w:pPr>
                  <w:pStyle w:val="ad"/>
                  <w:jc w:val="center"/>
                  <w:rPr>
                    <w:rStyle w:val="af5"/>
                  </w:rPr>
                </w:pPr>
                <w:r>
                  <w:fldChar w:fldCharType="begin"/>
                </w:r>
                <w:r>
                  <w:rPr>
                    <w:rStyle w:val="af5"/>
                  </w:rPr>
                  <w:instrText xml:space="preserve">PAGE  </w:instrText>
                </w:r>
                <w:r>
                  <w:fldChar w:fldCharType="separate"/>
                </w:r>
                <w:r w:rsidR="00F440D6">
                  <w:rPr>
                    <w:rStyle w:val="af5"/>
                    <w:noProof/>
                  </w:rPr>
                  <w:t>- 14 -</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7D2" w:rsidRDefault="00C207D2">
    <w:pPr>
      <w:pStyle w:val="1"/>
      <w:pBdr>
        <w:top w:val="single" w:sz="4" w:space="1" w:color="auto"/>
      </w:pBdr>
      <w:spacing w:before="0" w:after="0" w:line="240" w:lineRule="atLeast"/>
      <w:ind w:left="718" w:rightChars="171" w:right="359" w:hangingChars="342" w:hanging="718"/>
      <w:rPr>
        <w:rFonts w:ascii="楷体_GB2312" w:eastAsia="楷体_GB2312"/>
        <w:b w:val="0"/>
        <w:bCs w:val="0"/>
        <w:sz w:val="21"/>
      </w:rPr>
    </w:pPr>
    <w:r>
      <w:rPr>
        <w:rFonts w:ascii="楷体_GB2312" w:eastAsia="楷体_GB2312" w:hint="eastAsia"/>
        <w:b w:val="0"/>
        <w:bCs w:val="0"/>
        <w:sz w:val="21"/>
      </w:rPr>
      <w:t>地址</w:t>
    </w:r>
    <w:r>
      <w:rPr>
        <w:rFonts w:ascii="楷体_GB2312" w:eastAsia="楷体_GB2312"/>
        <w:b w:val="0"/>
        <w:bCs w:val="0"/>
        <w:sz w:val="21"/>
      </w:rPr>
      <w:t>:</w:t>
    </w:r>
    <w:r>
      <w:rPr>
        <w:rFonts w:ascii="楷体_GB2312" w:eastAsia="楷体_GB2312" w:hint="eastAsia"/>
        <w:b w:val="0"/>
        <w:bCs w:val="0"/>
        <w:sz w:val="21"/>
      </w:rPr>
      <w:t>湖南省长沙市芙蓉区火星街道紫薇路8号华泰大厦（华泰·尚都）801-808室.</w:t>
    </w:r>
  </w:p>
  <w:p w:rsidR="00C207D2" w:rsidRDefault="00C207D2">
    <w:pPr>
      <w:pStyle w:val="1"/>
      <w:pBdr>
        <w:top w:val="single" w:sz="4" w:space="1" w:color="auto"/>
      </w:pBdr>
      <w:spacing w:before="0" w:after="0" w:line="240" w:lineRule="atLeast"/>
      <w:ind w:left="718" w:rightChars="171" w:right="359" w:hangingChars="342" w:hanging="718"/>
      <w:rPr>
        <w:sz w:val="21"/>
      </w:rPr>
    </w:pPr>
    <w:r>
      <w:rPr>
        <w:rFonts w:ascii="楷体_GB2312" w:eastAsia="楷体_GB2312" w:hint="eastAsia"/>
        <w:b w:val="0"/>
        <w:bCs w:val="0"/>
        <w:sz w:val="21"/>
      </w:rPr>
      <w:t>湖南.中国</w:t>
    </w:r>
    <w:r>
      <w:rPr>
        <w:sz w:val="21"/>
      </w:rPr>
      <w:pict>
        <v:shapetype id="_x0000_t202" coordsize="21600,21600" o:spt="202" path="m,l,21600r21600,l21600,xe">
          <v:stroke joinstyle="miter"/>
          <v:path gradientshapeok="t" o:connecttype="rect"/>
        </v:shapetype>
        <v:shape id="文本框 15" o:spid="_x0000_s3076" type="#_x0000_t202" style="position:absolute;left:0;text-align:left;margin-left:397.75pt;margin-top:12.75pt;width:18.15pt;height:12pt;z-index:251668480;mso-position-horizontal-relative:margin;mso-position-vertical-relative:text" o:gfxdata="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Fy8uPnZAAAACQEAAA8AAAAAAAAAAQAgAAAAIgAAAGRycy9kb3ducmV2&#10;LnhtbFBLAQIUABQAAAAIAIdO4kAXYM5twgEAAH4DAAAOAAAAAAAAAAEAIAAAACgBAABkcnMvZTJv&#10;RG9jLnhtbFBLBQYAAAAABgAGAFkBAABcBQAAAAA=&#10;" filled="f" stroked="f" strokeweight="1.25pt">
          <v:textbox inset="0,0,0,0">
            <w:txbxContent>
              <w:p w:rsidR="00C207D2" w:rsidRDefault="00C207D2">
                <w:pPr>
                  <w:pStyle w:val="ad"/>
                </w:pPr>
              </w:p>
            </w:txbxContent>
          </v:textbox>
          <w10:wrap anchorx="margin"/>
        </v:shape>
      </w:pict>
    </w:r>
    <w:r>
      <w:rPr>
        <w:rFonts w:ascii="楷体_GB2312" w:eastAsia="楷体_GB2312" w:hint="eastAsia"/>
        <w:sz w:val="21"/>
      </w:rPr>
      <w:t>邮编</w:t>
    </w:r>
    <w:r>
      <w:rPr>
        <w:rFonts w:ascii="Antigoni Light" w:hAnsi="Antigoni Light"/>
        <w:sz w:val="21"/>
      </w:rPr>
      <w:t>(PC)4100</w:t>
    </w:r>
    <w:r>
      <w:rPr>
        <w:rFonts w:ascii="Antigoni Light" w:hAnsi="Antigoni Light" w:hint="eastAsia"/>
        <w:sz w:val="21"/>
      </w:rPr>
      <w:t>00</w:t>
    </w:r>
    <w:r>
      <w:rPr>
        <w:rFonts w:ascii="楷体_GB2312" w:eastAsia="楷体_GB2312" w:hint="eastAsia"/>
        <w:sz w:val="21"/>
      </w:rPr>
      <w:t>传真</w:t>
    </w:r>
    <w:r>
      <w:rPr>
        <w:rFonts w:ascii="Antigoni Light" w:hAnsi="Antigoni Light"/>
        <w:sz w:val="21"/>
      </w:rPr>
      <w:t>(FAX)</w:t>
    </w:r>
    <w:r>
      <w:rPr>
        <w:sz w:val="21"/>
      </w:rPr>
      <w:t>0731-</w:t>
    </w:r>
    <w:r>
      <w:rPr>
        <w:rFonts w:hint="eastAsia"/>
        <w:sz w:val="21"/>
      </w:rPr>
      <w:t>84390127</w:t>
    </w:r>
    <w:r>
      <w:rPr>
        <w:rFonts w:ascii="Antigoni Light" w:hAnsi="Antigoni Light" w:hint="eastAsia"/>
        <w:sz w:val="21"/>
      </w:rPr>
      <w:t>电话</w:t>
    </w:r>
    <w:r>
      <w:rPr>
        <w:rFonts w:ascii="Antigoni Light" w:hAnsi="Antigoni Light"/>
        <w:sz w:val="21"/>
      </w:rPr>
      <w:t>(TEL)</w:t>
    </w:r>
    <w:r>
      <w:rPr>
        <w:sz w:val="21"/>
      </w:rPr>
      <w:t>0731-</w:t>
    </w:r>
    <w:r>
      <w:rPr>
        <w:rFonts w:hint="eastAsia"/>
        <w:sz w:val="21"/>
      </w:rPr>
      <w:t>8</w:t>
    </w:r>
    <w:r>
      <w:rPr>
        <w:sz w:val="21"/>
      </w:rPr>
      <w:t>4</w:t>
    </w:r>
    <w:r>
      <w:rPr>
        <w:rFonts w:hint="eastAsia"/>
        <w:sz w:val="21"/>
      </w:rPr>
      <w:t>390127</w:t>
    </w:r>
  </w:p>
  <w:p w:rsidR="00C207D2" w:rsidRDefault="00C207D2">
    <w:pPr>
      <w:pStyle w:val="ad"/>
      <w:jc w:val="both"/>
    </w:pPr>
    <w:r>
      <w:pict>
        <v:shape id="_x0000_s3075" type="#_x0000_t202" style="position:absolute;left:0;text-align:left;margin-left:624pt;margin-top:0;width:2in;height:2in;z-index:251665408;mso-wrap-style:none;mso-position-horizontal:right;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&#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zRRxqtIBAACmAwAADgAAAAAAAAABACAAAAAi&#10;AQAAZHJzL2Uyb0RvYy54bWxQSwUGAAAAAAYABgBZAQAAZgUAAAAA&#10;" filled="f" stroked="f" strokeweight="1.25pt">
          <v:textbox style="mso-fit-shape-to-text:t" inset="0,0,0,0">
            <w:txbxContent>
              <w:p w:rsidR="00C207D2" w:rsidRDefault="00C207D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440D6">
                  <w:rPr>
                    <w:noProof/>
                    <w:sz w:val="18"/>
                  </w:rPr>
                  <w:t>- 18 -</w:t>
                </w:r>
                <w:r>
                  <w:rPr>
                    <w:rFonts w:hint="eastAsia"/>
                    <w:sz w:val="1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7D2" w:rsidRDefault="00C207D2">
    <w:pPr>
      <w:pStyle w:val="1"/>
      <w:pBdr>
        <w:top w:val="single" w:sz="4" w:space="1" w:color="auto"/>
      </w:pBdr>
      <w:spacing w:before="0" w:after="0" w:line="240" w:lineRule="atLeast"/>
      <w:ind w:left="677" w:rightChars="171" w:right="359" w:hangingChars="342" w:hanging="677"/>
      <w:rPr>
        <w:rFonts w:ascii="楷体_GB2312" w:eastAsia="楷体_GB2312"/>
        <w:b w:val="0"/>
        <w:bCs w:val="0"/>
        <w:spacing w:val="-6"/>
        <w:sz w:val="21"/>
      </w:rPr>
    </w:pPr>
    <w:r>
      <w:rPr>
        <w:rFonts w:ascii="楷体_GB2312" w:eastAsia="楷体_GB2312" w:hint="eastAsia"/>
        <w:b w:val="0"/>
        <w:bCs w:val="0"/>
        <w:spacing w:val="-6"/>
        <w:sz w:val="21"/>
      </w:rPr>
      <w:t>地址</w:t>
    </w:r>
    <w:r>
      <w:rPr>
        <w:rFonts w:ascii="楷体_GB2312" w:eastAsia="楷体_GB2312"/>
        <w:b w:val="0"/>
        <w:bCs w:val="0"/>
        <w:spacing w:val="-6"/>
        <w:sz w:val="21"/>
      </w:rPr>
      <w:t>:</w:t>
    </w:r>
    <w:r>
      <w:rPr>
        <w:rFonts w:ascii="楷体_GB2312" w:eastAsia="楷体_GB2312" w:hint="eastAsia"/>
        <w:b w:val="0"/>
        <w:bCs w:val="0"/>
        <w:spacing w:val="-6"/>
        <w:sz w:val="21"/>
      </w:rPr>
      <w:t>湖南省长沙市芙蓉区火星街道紫薇路8号华泰大厦（华泰·尚都）801-808室</w:t>
    </w:r>
    <w:r>
      <w:rPr>
        <w:rFonts w:ascii="楷体_GB2312" w:eastAsia="楷体_GB2312"/>
        <w:b w:val="0"/>
        <w:bCs w:val="0"/>
        <w:spacing w:val="-6"/>
        <w:sz w:val="21"/>
      </w:rPr>
      <w:t>.</w:t>
    </w:r>
    <w:r>
      <w:rPr>
        <w:rFonts w:ascii="楷体_GB2312" w:eastAsia="楷体_GB2312" w:hint="eastAsia"/>
        <w:b w:val="0"/>
        <w:bCs w:val="0"/>
        <w:spacing w:val="-6"/>
        <w:sz w:val="21"/>
      </w:rPr>
      <w:t>湖南</w:t>
    </w:r>
    <w:r>
      <w:rPr>
        <w:rFonts w:ascii="楷体_GB2312" w:eastAsia="楷体_GB2312"/>
        <w:b w:val="0"/>
        <w:bCs w:val="0"/>
        <w:spacing w:val="-6"/>
        <w:sz w:val="21"/>
      </w:rPr>
      <w:t>.</w:t>
    </w:r>
    <w:r>
      <w:rPr>
        <w:rFonts w:ascii="楷体_GB2312" w:eastAsia="楷体_GB2312" w:hint="eastAsia"/>
        <w:b w:val="0"/>
        <w:bCs w:val="0"/>
        <w:spacing w:val="-6"/>
        <w:sz w:val="21"/>
      </w:rPr>
      <w:t>中国</w:t>
    </w:r>
  </w:p>
  <w:p w:rsidR="00C207D2" w:rsidRDefault="00C207D2">
    <w:pPr>
      <w:pStyle w:val="ad"/>
      <w:ind w:left="1680" w:hanging="1680"/>
      <w:rPr>
        <w:sz w:val="21"/>
      </w:rPr>
    </w:pPr>
    <w:r>
      <w:rPr>
        <w:sz w:val="21"/>
      </w:rPr>
      <w:pict>
        <v:shapetype id="_x0000_t202" coordsize="21600,21600" o:spt="202" path="m,l,21600r21600,l21600,xe">
          <v:stroke joinstyle="miter"/>
          <v:path gradientshapeok="t" o:connecttype="rect"/>
        </v:shapetype>
        <v:shape id="_x0000_s3074" type="#_x0000_t202" style="position:absolute;left:0;text-align:left;margin-left:397.75pt;margin-top:12.75pt;width:18.15pt;height:12pt;z-index:251666432;mso-position-horizontal-relative:margin" o:gfxdata="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XLy4+dkAAAAJAQAADwAAAAAAAAABACAAAAAiAAAAZHJzL2Rvd25yZXYu&#10;eG1sUEsBAhQAFAAAAAgAh07iQL9yUE/BAQAAfwMAAA4AAAAAAAAAAQAgAAAAKAEAAGRycy9lMm9E&#10;b2MueG1sUEsFBgAAAAAGAAYAWQEAAFsFAAAAAA==&#10;" filled="f" stroked="f" strokeweight="1.25pt">
          <v:textbox inset="0,0,0,0">
            <w:txbxContent>
              <w:p w:rsidR="00C207D2" w:rsidRDefault="00C207D2">
                <w:pPr>
                  <w:pStyle w:val="ad"/>
                </w:pPr>
              </w:p>
            </w:txbxContent>
          </v:textbox>
          <w10:wrap anchorx="margin"/>
        </v:shape>
      </w:pict>
    </w:r>
    <w:r>
      <w:rPr>
        <w:rFonts w:ascii="楷体_GB2312" w:eastAsia="楷体_GB2312" w:hint="eastAsia"/>
        <w:sz w:val="21"/>
      </w:rPr>
      <w:t>邮编</w:t>
    </w:r>
    <w:r>
      <w:rPr>
        <w:rFonts w:ascii="Antigoni Light" w:hAnsi="Antigoni Light"/>
        <w:sz w:val="21"/>
      </w:rPr>
      <w:t>(PC)4100</w:t>
    </w:r>
    <w:r>
      <w:rPr>
        <w:rFonts w:ascii="Antigoni Light" w:hAnsi="Antigoni Light" w:hint="eastAsia"/>
        <w:sz w:val="21"/>
      </w:rPr>
      <w:t>00</w:t>
    </w:r>
    <w:r>
      <w:rPr>
        <w:rFonts w:ascii="楷体_GB2312" w:eastAsia="楷体_GB2312" w:hint="eastAsia"/>
        <w:sz w:val="21"/>
      </w:rPr>
      <w:t>传真</w:t>
    </w:r>
    <w:r>
      <w:rPr>
        <w:rFonts w:ascii="Antigoni Light" w:hAnsi="Antigoni Light"/>
        <w:sz w:val="21"/>
      </w:rPr>
      <w:t>(FAX)</w:t>
    </w:r>
    <w:r>
      <w:rPr>
        <w:sz w:val="21"/>
      </w:rPr>
      <w:t>0731-</w:t>
    </w:r>
    <w:r>
      <w:rPr>
        <w:rFonts w:hint="eastAsia"/>
        <w:sz w:val="21"/>
      </w:rPr>
      <w:t>84390127</w:t>
    </w:r>
    <w:r>
      <w:rPr>
        <w:rFonts w:ascii="Antigoni Light" w:hAnsi="Antigoni Light" w:hint="eastAsia"/>
        <w:sz w:val="21"/>
      </w:rPr>
      <w:t>电话</w:t>
    </w:r>
    <w:r>
      <w:rPr>
        <w:rFonts w:ascii="Antigoni Light" w:hAnsi="Antigoni Light"/>
        <w:sz w:val="21"/>
      </w:rPr>
      <w:t>(TEL)</w:t>
    </w:r>
    <w:r>
      <w:rPr>
        <w:sz w:val="21"/>
      </w:rPr>
      <w:t>0731-</w:t>
    </w:r>
    <w:r>
      <w:rPr>
        <w:rFonts w:hint="eastAsia"/>
        <w:sz w:val="21"/>
      </w:rPr>
      <w:t>8</w:t>
    </w:r>
    <w:r>
      <w:rPr>
        <w:sz w:val="21"/>
      </w:rPr>
      <w:t>4</w:t>
    </w:r>
    <w:r>
      <w:rPr>
        <w:rFonts w:hint="eastAsia"/>
        <w:sz w:val="21"/>
      </w:rPr>
      <w:t>390127</w:t>
    </w:r>
  </w:p>
  <w:p w:rsidR="00C207D2" w:rsidRDefault="00C207D2">
    <w:pPr>
      <w:pStyle w:val="ad"/>
      <w:jc w:val="center"/>
    </w:pPr>
    <w:r>
      <w:pict>
        <v:shape id="_x0000_s3073" type="#_x0000_t202" style="position:absolute;left:0;text-align:left;margin-left:624pt;margin-top:0;width:2in;height:2in;z-index:251663360;mso-wrap-style:none;mso-position-horizontal:right;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&#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D1kVmL0QEAAKcDAAAOAAAAAAAAAAEAIAAAACIB&#10;AABkcnMvZTJvRG9jLnhtbFBLBQYAAAAABgAGAFkBAABlBQAAAAA=&#10;" filled="f" stroked="f" strokeweight="1.25pt">
          <v:textbox style="mso-fit-shape-to-text:t" inset="0,0,0,0">
            <w:txbxContent>
              <w:p w:rsidR="00C207D2" w:rsidRDefault="00C207D2">
                <w:pPr>
                  <w:pStyle w:val="ad"/>
                </w:pPr>
                <w:fldSimple w:instr=" PAGE  \* MERGEFORMAT ">
                  <w:r w:rsidR="008C5525">
                    <w:rPr>
                      <w:noProof/>
                    </w:rPr>
                    <w:t>- 69 -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7D2" w:rsidRPr="00373A2D" w:rsidRDefault="00C207D2" w:rsidP="0054446D">
      <w:pPr>
        <w:rPr>
          <w:rFonts w:ascii="Tahoma" w:hAnsi="Tahoma"/>
          <w:sz w:val="24"/>
        </w:rPr>
      </w:pPr>
      <w:r>
        <w:separator/>
      </w:r>
    </w:p>
  </w:footnote>
  <w:footnote w:type="continuationSeparator" w:id="1">
    <w:p w:rsidR="00C207D2" w:rsidRPr="00373A2D" w:rsidRDefault="00C207D2" w:rsidP="0054446D">
      <w:pPr>
        <w:rPr>
          <w:rFonts w:ascii="Tahoma" w:hAnsi="Tahoma"/>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7D2" w:rsidRDefault="00C207D2">
    <w:pPr>
      <w:pStyle w:val="ae"/>
      <w:tabs>
        <w:tab w:val="left" w:pos="5409"/>
        <w:tab w:val="right" w:pos="8421"/>
      </w:tabs>
      <w:jc w:val="right"/>
    </w:pPr>
    <w:r>
      <w:rPr>
        <w:rFonts w:hint="eastAsia"/>
      </w:rPr>
      <w:t>湖南鹏程资产房地产评估有限公司</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7D2" w:rsidRDefault="00C207D2">
    <w:pPr>
      <w:pStyle w:val="ae"/>
      <w:tabs>
        <w:tab w:val="left" w:pos="5409"/>
        <w:tab w:val="right" w:pos="8421"/>
      </w:tabs>
      <w:jc w:val="right"/>
      <w:rPr>
        <w:rFonts w:ascii="微软雅黑" w:eastAsia="微软雅黑" w:hAnsi="微软雅黑" w:cs="微软雅黑"/>
        <w:sz w:val="21"/>
        <w:szCs w:val="21"/>
      </w:rPr>
    </w:pPr>
    <w:r>
      <w:rPr>
        <w:rFonts w:hint="eastAsia"/>
      </w:rPr>
      <w:t>湖南鹏程资产房地产评估有限公司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7D2" w:rsidRDefault="00C207D2">
    <w:pPr>
      <w:pStyle w:val="ae"/>
      <w:tabs>
        <w:tab w:val="left" w:pos="5409"/>
        <w:tab w:val="right" w:pos="8421"/>
      </w:tabs>
      <w:jc w:val="right"/>
    </w:pPr>
    <w:r>
      <w:rPr>
        <w:rFonts w:hint="eastAsia"/>
      </w:rPr>
      <w:t>湖南鹏程资产房地产评估有限公司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4"/>
      <w:numFmt w:val="chineseCounting"/>
      <w:suff w:val="nothing"/>
      <w:lvlText w:val="%1、"/>
      <w:lvlJc w:val="left"/>
    </w:lvl>
  </w:abstractNum>
  <w:abstractNum w:abstractNumId="1">
    <w:nsid w:val="1E84C3DD"/>
    <w:multiLevelType w:val="singleLevel"/>
    <w:tmpl w:val="1E84C3DD"/>
    <w:lvl w:ilvl="0">
      <w:start w:val="2"/>
      <w:numFmt w:val="chineseCounting"/>
      <w:suff w:val="nothing"/>
      <w:lvlText w:val="%1、"/>
      <w:lvlJc w:val="left"/>
      <w:rPr>
        <w:rFonts w:hint="eastAsia"/>
      </w:rPr>
    </w:lvl>
  </w:abstractNum>
  <w:abstractNum w:abstractNumId="2">
    <w:nsid w:val="2E5EEF81"/>
    <w:multiLevelType w:val="singleLevel"/>
    <w:tmpl w:val="2E5EEF81"/>
    <w:lvl w:ilvl="0">
      <w:start w:val="9"/>
      <w:numFmt w:val="chineseCounting"/>
      <w:suff w:val="nothing"/>
      <w:lvlText w:val="%1、"/>
      <w:lvlJc w:val="left"/>
      <w:rPr>
        <w:rFonts w:hint="eastAsia"/>
      </w:rPr>
    </w:lvl>
  </w:abstractNum>
  <w:abstractNum w:abstractNumId="3">
    <w:nsid w:val="35400AA1"/>
    <w:multiLevelType w:val="multilevel"/>
    <w:tmpl w:val="35400AA1"/>
    <w:lvl w:ilvl="0">
      <w:start w:val="1"/>
      <w:numFmt w:val="japaneseCounting"/>
      <w:pStyle w:val="2"/>
      <w:lvlText w:val="（%1）"/>
      <w:lvlJc w:val="left"/>
      <w:pPr>
        <w:tabs>
          <w:tab w:val="left" w:pos="855"/>
        </w:tabs>
        <w:ind w:left="855" w:hanging="855"/>
      </w:pPr>
      <w:rPr>
        <w:rFonts w:hint="eastAsia"/>
        <w:lang w:val="en-US"/>
      </w:rPr>
    </w:lvl>
    <w:lvl w:ilvl="1">
      <w:start w:val="1"/>
      <w:numFmt w:val="decimal"/>
      <w:lvlText w:val="%2."/>
      <w:lvlJc w:val="left"/>
      <w:pPr>
        <w:tabs>
          <w:tab w:val="left" w:pos="1620"/>
        </w:tabs>
        <w:ind w:left="1620" w:hanging="360"/>
      </w:pPr>
      <w:rPr>
        <w:rFonts w:hint="eastAsia"/>
      </w:rPr>
    </w:lvl>
    <w:lvl w:ilvl="2">
      <w:start w:val="1"/>
      <w:numFmt w:val="decimal"/>
      <w:lvlText w:val="%3、"/>
      <w:lvlJc w:val="left"/>
      <w:pPr>
        <w:tabs>
          <w:tab w:val="left" w:pos="1560"/>
        </w:tabs>
        <w:ind w:left="156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369B0E0D"/>
    <w:multiLevelType w:val="singleLevel"/>
    <w:tmpl w:val="369B0E0D"/>
    <w:lvl w:ilvl="0">
      <w:start w:val="2"/>
      <w:numFmt w:val="decimal"/>
      <w:suff w:val="nothing"/>
      <w:lvlText w:val="%1、"/>
      <w:lvlJc w:val="left"/>
    </w:lvl>
  </w:abstractNum>
  <w:abstractNum w:abstractNumId="5">
    <w:nsid w:val="55C9C602"/>
    <w:multiLevelType w:val="singleLevel"/>
    <w:tmpl w:val="55C9C602"/>
    <w:lvl w:ilvl="0">
      <w:start w:val="4"/>
      <w:numFmt w:val="chineseCounting"/>
      <w:suff w:val="space"/>
      <w:lvlText w:val="第%1部分"/>
      <w:lvlJc w:val="left"/>
      <w:rPr>
        <w:rFonts w:hint="eastAsia"/>
      </w:rPr>
    </w:lvl>
  </w:abstractNum>
  <w:abstractNum w:abstractNumId="6">
    <w:nsid w:val="59C489C1"/>
    <w:multiLevelType w:val="singleLevel"/>
    <w:tmpl w:val="59C489C1"/>
    <w:lvl w:ilvl="0">
      <w:start w:val="3"/>
      <w:numFmt w:val="chineseCounting"/>
      <w:suff w:val="nothing"/>
      <w:lvlText w:val="%1、"/>
      <w:lvlJc w:val="left"/>
    </w:lvl>
  </w:abstractNum>
  <w:abstractNum w:abstractNumId="7">
    <w:nsid w:val="59C48E92"/>
    <w:multiLevelType w:val="singleLevel"/>
    <w:tmpl w:val="59C48E92"/>
    <w:lvl w:ilvl="0">
      <w:start w:val="2"/>
      <w:numFmt w:val="chineseCounting"/>
      <w:suff w:val="nothing"/>
      <w:lvlText w:val="（%1）"/>
      <w:lvlJc w:val="left"/>
    </w:lvl>
  </w:abstractNum>
  <w:abstractNum w:abstractNumId="8">
    <w:nsid w:val="59E4585B"/>
    <w:multiLevelType w:val="singleLevel"/>
    <w:tmpl w:val="59E4585B"/>
    <w:lvl w:ilvl="0">
      <w:start w:val="3"/>
      <w:numFmt w:val="decimal"/>
      <w:suff w:val="nothing"/>
      <w:lvlText w:val="%1、"/>
      <w:lvlJc w:val="left"/>
    </w:lvl>
  </w:abstractNum>
  <w:abstractNum w:abstractNumId="9">
    <w:nsid w:val="6E63D701"/>
    <w:multiLevelType w:val="singleLevel"/>
    <w:tmpl w:val="6E63D701"/>
    <w:lvl w:ilvl="0">
      <w:start w:val="6"/>
      <w:numFmt w:val="decimal"/>
      <w:suff w:val="nothing"/>
      <w:lvlText w:val="%1、"/>
      <w:lvlJc w:val="left"/>
    </w:lvl>
  </w:abstractNum>
  <w:num w:numId="1">
    <w:abstractNumId w:val="3"/>
  </w:num>
  <w:num w:numId="2">
    <w:abstractNumId w:val="1"/>
  </w:num>
  <w:num w:numId="3">
    <w:abstractNumId w:val="4"/>
  </w:num>
  <w:num w:numId="4">
    <w:abstractNumId w:val="2"/>
  </w:num>
  <w:num w:numId="5">
    <w:abstractNumId w:val="9"/>
  </w:num>
  <w:num w:numId="6">
    <w:abstractNumId w:val="8"/>
  </w:num>
  <w:num w:numId="7">
    <w:abstractNumId w:val="6"/>
  </w:num>
  <w:num w:numId="8">
    <w:abstractNumId w:val="7"/>
  </w:num>
  <w:num w:numId="9">
    <w:abstractNumId w:val="0"/>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心虽">
    <w15:presenceInfo w15:providerId="WPS Office" w15:userId="134889121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revisionView w:markup="0"/>
  <w:defaultTabStop w:val="420"/>
  <w:drawingGridVerticalSpacing w:val="156"/>
  <w:noPunctuationKerning/>
  <w:characterSpacingControl w:val="compressPunctuation"/>
  <w:savePreviewPicture/>
  <w:hdrShapeDefaults>
    <o:shapedefaults v:ext="edit" spidmax="5126" fillcolor="white">
      <v:fill color="white"/>
    </o:shapedefaults>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TczYmYyYmY2M2Q0NmUyNjE1NWQ5MjU1M2VmZWE0OGQifQ=="/>
  </w:docVars>
  <w:rsids>
    <w:rsidRoot w:val="2FEB3FD3"/>
    <w:rsid w:val="000062D8"/>
    <w:rsid w:val="000071AB"/>
    <w:rsid w:val="00065539"/>
    <w:rsid w:val="00095FA9"/>
    <w:rsid w:val="000D1ED5"/>
    <w:rsid w:val="000D26D2"/>
    <w:rsid w:val="0014351D"/>
    <w:rsid w:val="00167C6C"/>
    <w:rsid w:val="00181E54"/>
    <w:rsid w:val="001B4043"/>
    <w:rsid w:val="00224B52"/>
    <w:rsid w:val="00260733"/>
    <w:rsid w:val="0027407A"/>
    <w:rsid w:val="002B2A2D"/>
    <w:rsid w:val="00335CAD"/>
    <w:rsid w:val="00360805"/>
    <w:rsid w:val="003B455D"/>
    <w:rsid w:val="003E47B0"/>
    <w:rsid w:val="003E7872"/>
    <w:rsid w:val="004025D5"/>
    <w:rsid w:val="00420383"/>
    <w:rsid w:val="004742E3"/>
    <w:rsid w:val="00475577"/>
    <w:rsid w:val="0048550B"/>
    <w:rsid w:val="0048605A"/>
    <w:rsid w:val="0049047C"/>
    <w:rsid w:val="004C0A28"/>
    <w:rsid w:val="004D1E9C"/>
    <w:rsid w:val="005255C0"/>
    <w:rsid w:val="0054446D"/>
    <w:rsid w:val="005447D8"/>
    <w:rsid w:val="0056450A"/>
    <w:rsid w:val="005D2931"/>
    <w:rsid w:val="005D7BA8"/>
    <w:rsid w:val="005F2062"/>
    <w:rsid w:val="00614484"/>
    <w:rsid w:val="00627641"/>
    <w:rsid w:val="006670FB"/>
    <w:rsid w:val="006F7E98"/>
    <w:rsid w:val="007A6312"/>
    <w:rsid w:val="007D59F9"/>
    <w:rsid w:val="007E13D0"/>
    <w:rsid w:val="008135E9"/>
    <w:rsid w:val="008C5525"/>
    <w:rsid w:val="008D3811"/>
    <w:rsid w:val="0094332C"/>
    <w:rsid w:val="00943F74"/>
    <w:rsid w:val="00960E17"/>
    <w:rsid w:val="0096387E"/>
    <w:rsid w:val="009A2729"/>
    <w:rsid w:val="009A2C30"/>
    <w:rsid w:val="00A24AF5"/>
    <w:rsid w:val="00A554AF"/>
    <w:rsid w:val="00A62162"/>
    <w:rsid w:val="00A73DD2"/>
    <w:rsid w:val="00A94841"/>
    <w:rsid w:val="00AA6C7F"/>
    <w:rsid w:val="00AF4D28"/>
    <w:rsid w:val="00B02060"/>
    <w:rsid w:val="00B070A0"/>
    <w:rsid w:val="00B233C2"/>
    <w:rsid w:val="00B3242D"/>
    <w:rsid w:val="00B76709"/>
    <w:rsid w:val="00BB417D"/>
    <w:rsid w:val="00C02948"/>
    <w:rsid w:val="00C02A48"/>
    <w:rsid w:val="00C051DC"/>
    <w:rsid w:val="00C207D2"/>
    <w:rsid w:val="00C6396F"/>
    <w:rsid w:val="00C8488C"/>
    <w:rsid w:val="00CA30C2"/>
    <w:rsid w:val="00CE37B7"/>
    <w:rsid w:val="00CE560F"/>
    <w:rsid w:val="00CF7ECE"/>
    <w:rsid w:val="00D00882"/>
    <w:rsid w:val="00D161E8"/>
    <w:rsid w:val="00D16A5A"/>
    <w:rsid w:val="00D2068C"/>
    <w:rsid w:val="00D25EE4"/>
    <w:rsid w:val="00DB3CE1"/>
    <w:rsid w:val="00DB71DF"/>
    <w:rsid w:val="00DD2F89"/>
    <w:rsid w:val="00DE0ED2"/>
    <w:rsid w:val="00E06B07"/>
    <w:rsid w:val="00E8018D"/>
    <w:rsid w:val="00EE0059"/>
    <w:rsid w:val="00EE324D"/>
    <w:rsid w:val="00EE3940"/>
    <w:rsid w:val="00EF2F55"/>
    <w:rsid w:val="00F12E66"/>
    <w:rsid w:val="00F204CC"/>
    <w:rsid w:val="00F440D6"/>
    <w:rsid w:val="00F513B3"/>
    <w:rsid w:val="00F6624E"/>
    <w:rsid w:val="00F95D0F"/>
    <w:rsid w:val="00FA2A13"/>
    <w:rsid w:val="00FB459A"/>
    <w:rsid w:val="00FB570D"/>
    <w:rsid w:val="00FB6C46"/>
    <w:rsid w:val="00FE2227"/>
    <w:rsid w:val="01853912"/>
    <w:rsid w:val="02355AD3"/>
    <w:rsid w:val="026A4434"/>
    <w:rsid w:val="02737A70"/>
    <w:rsid w:val="02911A38"/>
    <w:rsid w:val="02FE4262"/>
    <w:rsid w:val="030F4C7B"/>
    <w:rsid w:val="03135EDF"/>
    <w:rsid w:val="03374135"/>
    <w:rsid w:val="036C64A6"/>
    <w:rsid w:val="03CA4B6D"/>
    <w:rsid w:val="03E06970"/>
    <w:rsid w:val="040B70FB"/>
    <w:rsid w:val="0470344C"/>
    <w:rsid w:val="04925647"/>
    <w:rsid w:val="051D1979"/>
    <w:rsid w:val="05321E90"/>
    <w:rsid w:val="053766CB"/>
    <w:rsid w:val="057F1BA1"/>
    <w:rsid w:val="065E5A58"/>
    <w:rsid w:val="06694870"/>
    <w:rsid w:val="073D3B5C"/>
    <w:rsid w:val="07996566"/>
    <w:rsid w:val="07D91EB7"/>
    <w:rsid w:val="082C359A"/>
    <w:rsid w:val="08607C0E"/>
    <w:rsid w:val="0963712E"/>
    <w:rsid w:val="099F6BC0"/>
    <w:rsid w:val="09D6501D"/>
    <w:rsid w:val="0B6F537F"/>
    <w:rsid w:val="0CD55449"/>
    <w:rsid w:val="0D944317"/>
    <w:rsid w:val="0DFF2FF9"/>
    <w:rsid w:val="0E312B15"/>
    <w:rsid w:val="0E6D73F0"/>
    <w:rsid w:val="0E9B3E36"/>
    <w:rsid w:val="0E9E6813"/>
    <w:rsid w:val="0EBD6ACC"/>
    <w:rsid w:val="0EC54A68"/>
    <w:rsid w:val="0ED76E34"/>
    <w:rsid w:val="0F5C1890"/>
    <w:rsid w:val="0FDB4FEB"/>
    <w:rsid w:val="0FE4089C"/>
    <w:rsid w:val="102F63F5"/>
    <w:rsid w:val="109371EA"/>
    <w:rsid w:val="10CC23CD"/>
    <w:rsid w:val="1194721F"/>
    <w:rsid w:val="119F4A7B"/>
    <w:rsid w:val="11AC22A1"/>
    <w:rsid w:val="11CF02C5"/>
    <w:rsid w:val="11E80817"/>
    <w:rsid w:val="11F44716"/>
    <w:rsid w:val="123C043C"/>
    <w:rsid w:val="12D3104E"/>
    <w:rsid w:val="12E70326"/>
    <w:rsid w:val="12F03B5E"/>
    <w:rsid w:val="13024423"/>
    <w:rsid w:val="13054ADD"/>
    <w:rsid w:val="13143A40"/>
    <w:rsid w:val="13767F5E"/>
    <w:rsid w:val="13906344"/>
    <w:rsid w:val="1397023E"/>
    <w:rsid w:val="13C918F7"/>
    <w:rsid w:val="1457756D"/>
    <w:rsid w:val="14AB762B"/>
    <w:rsid w:val="15063C22"/>
    <w:rsid w:val="150E7984"/>
    <w:rsid w:val="173E4D36"/>
    <w:rsid w:val="173E75CA"/>
    <w:rsid w:val="1774709D"/>
    <w:rsid w:val="179B0965"/>
    <w:rsid w:val="17EF433C"/>
    <w:rsid w:val="18517011"/>
    <w:rsid w:val="18C00B04"/>
    <w:rsid w:val="18CC52F8"/>
    <w:rsid w:val="19167B56"/>
    <w:rsid w:val="19663A24"/>
    <w:rsid w:val="199D1F06"/>
    <w:rsid w:val="1A7920D2"/>
    <w:rsid w:val="1AA4138F"/>
    <w:rsid w:val="1AA9696A"/>
    <w:rsid w:val="1AF815C4"/>
    <w:rsid w:val="1C3F3DC4"/>
    <w:rsid w:val="1C483470"/>
    <w:rsid w:val="1C4C50EA"/>
    <w:rsid w:val="1C6D4438"/>
    <w:rsid w:val="1D3F7940"/>
    <w:rsid w:val="1DD67A76"/>
    <w:rsid w:val="1E26744C"/>
    <w:rsid w:val="1E312B8F"/>
    <w:rsid w:val="1E544E3F"/>
    <w:rsid w:val="1E6B7B7F"/>
    <w:rsid w:val="1E6E0F3E"/>
    <w:rsid w:val="1E803632"/>
    <w:rsid w:val="1EB61656"/>
    <w:rsid w:val="1EF81766"/>
    <w:rsid w:val="1F5C3FAB"/>
    <w:rsid w:val="1F9F2F5E"/>
    <w:rsid w:val="1FBA6047"/>
    <w:rsid w:val="1FF02DB5"/>
    <w:rsid w:val="200C1416"/>
    <w:rsid w:val="202563C5"/>
    <w:rsid w:val="20715AA1"/>
    <w:rsid w:val="23170931"/>
    <w:rsid w:val="232127DA"/>
    <w:rsid w:val="23276162"/>
    <w:rsid w:val="23403337"/>
    <w:rsid w:val="23A11F5F"/>
    <w:rsid w:val="2434784A"/>
    <w:rsid w:val="24A215D3"/>
    <w:rsid w:val="24EB0F17"/>
    <w:rsid w:val="2599685B"/>
    <w:rsid w:val="25DC3F89"/>
    <w:rsid w:val="25F50BC3"/>
    <w:rsid w:val="260110D9"/>
    <w:rsid w:val="2626558A"/>
    <w:rsid w:val="26DD3AE1"/>
    <w:rsid w:val="27D3066C"/>
    <w:rsid w:val="27E22CAD"/>
    <w:rsid w:val="28036286"/>
    <w:rsid w:val="280B4FF2"/>
    <w:rsid w:val="28840763"/>
    <w:rsid w:val="288A3F4A"/>
    <w:rsid w:val="2897153F"/>
    <w:rsid w:val="289E2386"/>
    <w:rsid w:val="28B4361A"/>
    <w:rsid w:val="28D92B11"/>
    <w:rsid w:val="29080124"/>
    <w:rsid w:val="290C1F94"/>
    <w:rsid w:val="29375B23"/>
    <w:rsid w:val="294A5FBE"/>
    <w:rsid w:val="2998273F"/>
    <w:rsid w:val="29B65ADD"/>
    <w:rsid w:val="2AEE1A56"/>
    <w:rsid w:val="2B6C47D8"/>
    <w:rsid w:val="2B8E7F86"/>
    <w:rsid w:val="2CC73D71"/>
    <w:rsid w:val="2CCD693C"/>
    <w:rsid w:val="2CCD77A0"/>
    <w:rsid w:val="2CF81BC0"/>
    <w:rsid w:val="2D0F2411"/>
    <w:rsid w:val="2D0F799D"/>
    <w:rsid w:val="2DA97658"/>
    <w:rsid w:val="2DF85C7E"/>
    <w:rsid w:val="2E0770AD"/>
    <w:rsid w:val="2E316ED8"/>
    <w:rsid w:val="2E440E3D"/>
    <w:rsid w:val="2E4A7717"/>
    <w:rsid w:val="2E9F2EF9"/>
    <w:rsid w:val="2F106B60"/>
    <w:rsid w:val="2F2766F0"/>
    <w:rsid w:val="2F3C6F3B"/>
    <w:rsid w:val="2FA656A1"/>
    <w:rsid w:val="2FC82F97"/>
    <w:rsid w:val="2FEB3FD3"/>
    <w:rsid w:val="303D3985"/>
    <w:rsid w:val="31794949"/>
    <w:rsid w:val="31E124B7"/>
    <w:rsid w:val="328B73C1"/>
    <w:rsid w:val="33557238"/>
    <w:rsid w:val="33A573DE"/>
    <w:rsid w:val="33FD77B8"/>
    <w:rsid w:val="347B0C04"/>
    <w:rsid w:val="347B0EC9"/>
    <w:rsid w:val="34905873"/>
    <w:rsid w:val="34E6519F"/>
    <w:rsid w:val="35353444"/>
    <w:rsid w:val="360F7FE0"/>
    <w:rsid w:val="370477BA"/>
    <w:rsid w:val="373D5FBA"/>
    <w:rsid w:val="37622053"/>
    <w:rsid w:val="3844518B"/>
    <w:rsid w:val="38F5622C"/>
    <w:rsid w:val="394144E6"/>
    <w:rsid w:val="39C51AC6"/>
    <w:rsid w:val="3A5B451C"/>
    <w:rsid w:val="3A701914"/>
    <w:rsid w:val="3AA6569B"/>
    <w:rsid w:val="3AB71AD4"/>
    <w:rsid w:val="3B471B5C"/>
    <w:rsid w:val="3B8663BC"/>
    <w:rsid w:val="3B8D4CB6"/>
    <w:rsid w:val="3BCD5317"/>
    <w:rsid w:val="3BFF7690"/>
    <w:rsid w:val="3C2B7CA3"/>
    <w:rsid w:val="3C5A150D"/>
    <w:rsid w:val="3C651794"/>
    <w:rsid w:val="3D5603F0"/>
    <w:rsid w:val="3DD973DC"/>
    <w:rsid w:val="3EA021BB"/>
    <w:rsid w:val="3F22499B"/>
    <w:rsid w:val="3F352E2E"/>
    <w:rsid w:val="3F59236E"/>
    <w:rsid w:val="3F741F26"/>
    <w:rsid w:val="3F7D2F53"/>
    <w:rsid w:val="3F8878CB"/>
    <w:rsid w:val="402D03EA"/>
    <w:rsid w:val="4032057C"/>
    <w:rsid w:val="40DB4FAE"/>
    <w:rsid w:val="41754693"/>
    <w:rsid w:val="417E1BB7"/>
    <w:rsid w:val="422419E2"/>
    <w:rsid w:val="434F0684"/>
    <w:rsid w:val="43B11F93"/>
    <w:rsid w:val="444D3EE2"/>
    <w:rsid w:val="449C7563"/>
    <w:rsid w:val="449F444C"/>
    <w:rsid w:val="459711D5"/>
    <w:rsid w:val="459C43A5"/>
    <w:rsid w:val="45A37CE4"/>
    <w:rsid w:val="45AC38CD"/>
    <w:rsid w:val="45AF345C"/>
    <w:rsid w:val="460E431D"/>
    <w:rsid w:val="46A15666"/>
    <w:rsid w:val="46C57645"/>
    <w:rsid w:val="46EA3AC1"/>
    <w:rsid w:val="47212543"/>
    <w:rsid w:val="476F560D"/>
    <w:rsid w:val="477E0A07"/>
    <w:rsid w:val="47855E3C"/>
    <w:rsid w:val="47DD3546"/>
    <w:rsid w:val="48961F9D"/>
    <w:rsid w:val="497B11A1"/>
    <w:rsid w:val="498E48F6"/>
    <w:rsid w:val="49AB07C7"/>
    <w:rsid w:val="49D42E47"/>
    <w:rsid w:val="49E00F66"/>
    <w:rsid w:val="4A855866"/>
    <w:rsid w:val="4B754F67"/>
    <w:rsid w:val="4B7E7642"/>
    <w:rsid w:val="4BA74060"/>
    <w:rsid w:val="4BF53F1A"/>
    <w:rsid w:val="4C845004"/>
    <w:rsid w:val="4D0967CF"/>
    <w:rsid w:val="4D160C7E"/>
    <w:rsid w:val="4D5167BE"/>
    <w:rsid w:val="4D5B0833"/>
    <w:rsid w:val="4E47647C"/>
    <w:rsid w:val="4EC76587"/>
    <w:rsid w:val="4EE04A38"/>
    <w:rsid w:val="4F132029"/>
    <w:rsid w:val="50273A39"/>
    <w:rsid w:val="508F42D3"/>
    <w:rsid w:val="50CA0B3B"/>
    <w:rsid w:val="51312FC0"/>
    <w:rsid w:val="51927DDB"/>
    <w:rsid w:val="51C70A21"/>
    <w:rsid w:val="51DF7564"/>
    <w:rsid w:val="526D6DD5"/>
    <w:rsid w:val="528B6C93"/>
    <w:rsid w:val="52A84C78"/>
    <w:rsid w:val="52BA5E56"/>
    <w:rsid w:val="53DF67AC"/>
    <w:rsid w:val="54397948"/>
    <w:rsid w:val="54705917"/>
    <w:rsid w:val="54937648"/>
    <w:rsid w:val="54A13910"/>
    <w:rsid w:val="54F40AA8"/>
    <w:rsid w:val="556727A7"/>
    <w:rsid w:val="55EB1935"/>
    <w:rsid w:val="56367E66"/>
    <w:rsid w:val="566208C3"/>
    <w:rsid w:val="572E14C3"/>
    <w:rsid w:val="575D77DD"/>
    <w:rsid w:val="579E445A"/>
    <w:rsid w:val="57EA5FB9"/>
    <w:rsid w:val="57FB3E56"/>
    <w:rsid w:val="57FE39B4"/>
    <w:rsid w:val="58592575"/>
    <w:rsid w:val="58656877"/>
    <w:rsid w:val="587141ED"/>
    <w:rsid w:val="58C633DF"/>
    <w:rsid w:val="58F07753"/>
    <w:rsid w:val="591A1DCE"/>
    <w:rsid w:val="596979FD"/>
    <w:rsid w:val="59BE11F2"/>
    <w:rsid w:val="5A1657B4"/>
    <w:rsid w:val="5A2D70B0"/>
    <w:rsid w:val="5AAF5D14"/>
    <w:rsid w:val="5AE623A0"/>
    <w:rsid w:val="5B041CCA"/>
    <w:rsid w:val="5B1F7E35"/>
    <w:rsid w:val="5B4519E6"/>
    <w:rsid w:val="5C82434A"/>
    <w:rsid w:val="5CCE484C"/>
    <w:rsid w:val="5CD539B7"/>
    <w:rsid w:val="5CDD027A"/>
    <w:rsid w:val="5CF5392A"/>
    <w:rsid w:val="5D44023E"/>
    <w:rsid w:val="5E2645D2"/>
    <w:rsid w:val="5EEE1434"/>
    <w:rsid w:val="5F131BD1"/>
    <w:rsid w:val="5F39297F"/>
    <w:rsid w:val="5F602431"/>
    <w:rsid w:val="60237520"/>
    <w:rsid w:val="6154546A"/>
    <w:rsid w:val="61EC0BB9"/>
    <w:rsid w:val="6254671A"/>
    <w:rsid w:val="626C4988"/>
    <w:rsid w:val="632E095D"/>
    <w:rsid w:val="63B55005"/>
    <w:rsid w:val="643178E2"/>
    <w:rsid w:val="64E65951"/>
    <w:rsid w:val="64F85F99"/>
    <w:rsid w:val="65111389"/>
    <w:rsid w:val="651133BF"/>
    <w:rsid w:val="651B53EF"/>
    <w:rsid w:val="656C0CA8"/>
    <w:rsid w:val="657A6EF0"/>
    <w:rsid w:val="65CA29B9"/>
    <w:rsid w:val="65D8147F"/>
    <w:rsid w:val="66790820"/>
    <w:rsid w:val="669730E8"/>
    <w:rsid w:val="66C4251B"/>
    <w:rsid w:val="66FE239F"/>
    <w:rsid w:val="69074D4F"/>
    <w:rsid w:val="699807BE"/>
    <w:rsid w:val="69B4313E"/>
    <w:rsid w:val="6A304BDF"/>
    <w:rsid w:val="6A750A1F"/>
    <w:rsid w:val="6AA236B6"/>
    <w:rsid w:val="6BF3507F"/>
    <w:rsid w:val="6BF719E8"/>
    <w:rsid w:val="6C0C66AB"/>
    <w:rsid w:val="6C243EC8"/>
    <w:rsid w:val="6C3D4E41"/>
    <w:rsid w:val="6C671B2D"/>
    <w:rsid w:val="6C6F3845"/>
    <w:rsid w:val="6CE77373"/>
    <w:rsid w:val="6D525433"/>
    <w:rsid w:val="6DA444D5"/>
    <w:rsid w:val="6DBF7F6B"/>
    <w:rsid w:val="6DCF24D4"/>
    <w:rsid w:val="6E796D01"/>
    <w:rsid w:val="6E8A5988"/>
    <w:rsid w:val="6EF47795"/>
    <w:rsid w:val="6F082D70"/>
    <w:rsid w:val="6F092D22"/>
    <w:rsid w:val="6F6D294A"/>
    <w:rsid w:val="6FAE58B6"/>
    <w:rsid w:val="7018252A"/>
    <w:rsid w:val="701A0FF8"/>
    <w:rsid w:val="71243806"/>
    <w:rsid w:val="71AB5789"/>
    <w:rsid w:val="72744752"/>
    <w:rsid w:val="728348E6"/>
    <w:rsid w:val="72AF74DF"/>
    <w:rsid w:val="72CD6775"/>
    <w:rsid w:val="72FD0776"/>
    <w:rsid w:val="7329331A"/>
    <w:rsid w:val="733C3C54"/>
    <w:rsid w:val="737D67B1"/>
    <w:rsid w:val="73AD5C05"/>
    <w:rsid w:val="73C15BBE"/>
    <w:rsid w:val="74145D78"/>
    <w:rsid w:val="74381289"/>
    <w:rsid w:val="744A34D4"/>
    <w:rsid w:val="748427F2"/>
    <w:rsid w:val="750C3134"/>
    <w:rsid w:val="75516BBF"/>
    <w:rsid w:val="759D69C9"/>
    <w:rsid w:val="76795FEB"/>
    <w:rsid w:val="76F5392C"/>
    <w:rsid w:val="77044D56"/>
    <w:rsid w:val="77747F17"/>
    <w:rsid w:val="777A3AF4"/>
    <w:rsid w:val="77D04FD8"/>
    <w:rsid w:val="77E93727"/>
    <w:rsid w:val="77FC17CC"/>
    <w:rsid w:val="78426DDB"/>
    <w:rsid w:val="784B4E9D"/>
    <w:rsid w:val="786D4B02"/>
    <w:rsid w:val="78CE264F"/>
    <w:rsid w:val="796925AC"/>
    <w:rsid w:val="79BF5DFA"/>
    <w:rsid w:val="79C917E2"/>
    <w:rsid w:val="7A1461A6"/>
    <w:rsid w:val="7A8552D9"/>
    <w:rsid w:val="7A913DEC"/>
    <w:rsid w:val="7BAB3518"/>
    <w:rsid w:val="7C423363"/>
    <w:rsid w:val="7C8B5594"/>
    <w:rsid w:val="7CD150C9"/>
    <w:rsid w:val="7DE80E01"/>
    <w:rsid w:val="7E144DAB"/>
    <w:rsid w:val="7EBC2F5A"/>
    <w:rsid w:val="7FA62E6E"/>
    <w:rsid w:val="7FAE329F"/>
    <w:rsid w:val="7FBA4599"/>
    <w:rsid w:val="7FFA7E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6" fillcolor="white">
      <v:fill color="white"/>
    </o:shapedefaults>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nhideWhenUsed="1"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uiPriority="99" w:qFormat="1"/>
    <w:lsdException w:name="toc 8" w:qFormat="1"/>
    <w:lsdException w:name="toc 9" w:qFormat="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macro" w:semiHidden="1" w:unhideWhenUsed="1"/>
    <w:lsdException w:name="toa heading"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unhideWhenUsed="1" w:qFormat="1"/>
    <w:lsdException w:name="Block Text" w:semiHidden="1" w:unhideWhenUsed="1"/>
    <w:lsdException w:name="Hyperlink" w:uiPriority="99" w:unhideWhenUsed="1"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0"/>
    <w:qFormat/>
    <w:rsid w:val="0054446D"/>
    <w:pPr>
      <w:widowControl w:val="0"/>
      <w:jc w:val="both"/>
    </w:pPr>
    <w:rPr>
      <w:kern w:val="2"/>
      <w:sz w:val="21"/>
    </w:rPr>
  </w:style>
  <w:style w:type="paragraph" w:styleId="1">
    <w:name w:val="heading 1"/>
    <w:basedOn w:val="a"/>
    <w:next w:val="a"/>
    <w:link w:val="1Char"/>
    <w:qFormat/>
    <w:rsid w:val="0054446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4446D"/>
    <w:pPr>
      <w:keepNext/>
      <w:keepLines/>
      <w:numPr>
        <w:numId w:val="1"/>
      </w:numPr>
      <w:spacing w:before="260" w:after="260" w:line="360" w:lineRule="auto"/>
      <w:outlineLvl w:val="1"/>
    </w:pPr>
    <w:rPr>
      <w:rFonts w:ascii="黑体" w:eastAsia="黑体" w:hAnsi="Arial"/>
      <w:b/>
      <w:sz w:val="28"/>
    </w:rPr>
  </w:style>
  <w:style w:type="paragraph" w:styleId="3">
    <w:name w:val="heading 3"/>
    <w:basedOn w:val="a"/>
    <w:next w:val="a"/>
    <w:link w:val="3Char"/>
    <w:qFormat/>
    <w:rsid w:val="0054446D"/>
    <w:pPr>
      <w:ind w:left="1276"/>
      <w:outlineLvl w:val="2"/>
    </w:pPr>
    <w:rPr>
      <w:rFonts w:ascii="仿宋" w:eastAsia="仿宋" w:hAnsi="仿宋" w:cs="仿宋"/>
      <w:b/>
      <w:bCs/>
      <w:sz w:val="28"/>
      <w:szCs w:val="28"/>
      <w:lang w:val="zh-CN" w:bidi="zh-CN"/>
    </w:rPr>
  </w:style>
  <w:style w:type="paragraph" w:styleId="4">
    <w:name w:val="heading 4"/>
    <w:basedOn w:val="a"/>
    <w:next w:val="a"/>
    <w:link w:val="4Char"/>
    <w:unhideWhenUsed/>
    <w:qFormat/>
    <w:rsid w:val="0054446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qFormat/>
    <w:rsid w:val="0054446D"/>
    <w:pPr>
      <w:keepNext/>
      <w:keepLines/>
      <w:spacing w:before="280" w:after="290" w:line="376" w:lineRule="auto"/>
      <w:outlineLvl w:val="4"/>
    </w:pPr>
    <w:rPr>
      <w:b/>
      <w:bCs/>
      <w:sz w:val="28"/>
      <w:szCs w:val="28"/>
    </w:rPr>
  </w:style>
  <w:style w:type="paragraph" w:styleId="6">
    <w:name w:val="heading 6"/>
    <w:basedOn w:val="a"/>
    <w:next w:val="a"/>
    <w:link w:val="6Char"/>
    <w:qFormat/>
    <w:rsid w:val="0054446D"/>
    <w:pPr>
      <w:keepNext/>
      <w:keepLines/>
      <w:widowControl/>
      <w:overflowPunct w:val="0"/>
      <w:autoSpaceDE w:val="0"/>
      <w:autoSpaceDN w:val="0"/>
      <w:adjustRightInd w:val="0"/>
      <w:spacing w:before="240" w:after="64" w:line="320" w:lineRule="atLeast"/>
      <w:ind w:left="2550" w:hanging="425"/>
      <w:jc w:val="left"/>
      <w:textAlignment w:val="baseline"/>
      <w:outlineLvl w:val="5"/>
    </w:pPr>
    <w:rPr>
      <w:rFonts w:ascii="仿宋体" w:eastAsia="仿宋体" w:hAnsi="Arial"/>
      <w:b/>
      <w:kern w:val="0"/>
      <w:sz w:val="24"/>
    </w:rPr>
  </w:style>
  <w:style w:type="paragraph" w:styleId="7">
    <w:name w:val="heading 7"/>
    <w:basedOn w:val="a"/>
    <w:next w:val="a"/>
    <w:link w:val="7Char"/>
    <w:qFormat/>
    <w:rsid w:val="0054446D"/>
    <w:pPr>
      <w:keepNext/>
      <w:keepLines/>
      <w:widowControl/>
      <w:overflowPunct w:val="0"/>
      <w:autoSpaceDE w:val="0"/>
      <w:autoSpaceDN w:val="0"/>
      <w:adjustRightInd w:val="0"/>
      <w:spacing w:before="240" w:after="64" w:line="320" w:lineRule="auto"/>
      <w:ind w:left="2975" w:hanging="425"/>
      <w:jc w:val="left"/>
      <w:textAlignment w:val="baseline"/>
      <w:outlineLvl w:val="6"/>
    </w:pPr>
    <w:rPr>
      <w:rFonts w:ascii="仿宋_GB2312" w:eastAsia="仿宋_GB2312" w:hAnsi="宋体"/>
      <w:b/>
      <w:kern w:val="0"/>
      <w:sz w:val="24"/>
    </w:rPr>
  </w:style>
  <w:style w:type="paragraph" w:styleId="8">
    <w:name w:val="heading 8"/>
    <w:basedOn w:val="a"/>
    <w:next w:val="a"/>
    <w:link w:val="8Char"/>
    <w:qFormat/>
    <w:rsid w:val="0054446D"/>
    <w:pPr>
      <w:keepNext/>
      <w:keepLines/>
      <w:widowControl/>
      <w:overflowPunct w:val="0"/>
      <w:autoSpaceDE w:val="0"/>
      <w:autoSpaceDN w:val="0"/>
      <w:adjustRightInd w:val="0"/>
      <w:spacing w:before="240" w:after="64" w:line="320" w:lineRule="auto"/>
      <w:ind w:left="3400" w:hanging="425"/>
      <w:jc w:val="left"/>
      <w:textAlignment w:val="baseline"/>
      <w:outlineLvl w:val="7"/>
    </w:pPr>
    <w:rPr>
      <w:rFonts w:ascii="Arial" w:eastAsia="黑体" w:hAnsi="Arial"/>
      <w:kern w:val="0"/>
      <w:sz w:val="24"/>
    </w:rPr>
  </w:style>
  <w:style w:type="paragraph" w:styleId="9">
    <w:name w:val="heading 9"/>
    <w:basedOn w:val="a"/>
    <w:next w:val="a"/>
    <w:link w:val="9Char"/>
    <w:qFormat/>
    <w:rsid w:val="0054446D"/>
    <w:pPr>
      <w:keepNext/>
      <w:keepLines/>
      <w:widowControl/>
      <w:overflowPunct w:val="0"/>
      <w:autoSpaceDE w:val="0"/>
      <w:autoSpaceDN w:val="0"/>
      <w:adjustRightInd w:val="0"/>
      <w:spacing w:before="240" w:after="64" w:line="320" w:lineRule="auto"/>
      <w:ind w:left="3400" w:hanging="425"/>
      <w:jc w:val="left"/>
      <w:textAlignment w:val="baseline"/>
      <w:outlineLvl w:val="8"/>
    </w:pPr>
    <w:rPr>
      <w:rFonts w:ascii="Arial" w:eastAsia="黑体" w:hAnsi="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样式 首行缩进:  2 字符"/>
    <w:basedOn w:val="a"/>
    <w:qFormat/>
    <w:rsid w:val="0054446D"/>
    <w:pPr>
      <w:ind w:firstLine="480"/>
    </w:pPr>
    <w:rPr>
      <w:rFonts w:ascii="Calibri" w:hAnsi="Calibri" w:cs="宋体"/>
    </w:rPr>
  </w:style>
  <w:style w:type="paragraph" w:styleId="70">
    <w:name w:val="toc 7"/>
    <w:basedOn w:val="a"/>
    <w:next w:val="a"/>
    <w:rsid w:val="0054446D"/>
    <w:pPr>
      <w:widowControl/>
      <w:ind w:leftChars="1200" w:left="2520"/>
      <w:jc w:val="left"/>
    </w:pPr>
    <w:rPr>
      <w:rFonts w:ascii="宋体" w:hAnsi="宋体" w:cs="宋体"/>
      <w:kern w:val="0"/>
      <w:sz w:val="24"/>
      <w:szCs w:val="24"/>
    </w:rPr>
  </w:style>
  <w:style w:type="paragraph" w:styleId="a3">
    <w:name w:val="Normal Indent"/>
    <w:basedOn w:val="a"/>
    <w:link w:val="Char"/>
    <w:qFormat/>
    <w:rsid w:val="0054446D"/>
    <w:pPr>
      <w:ind w:firstLine="420"/>
    </w:pPr>
  </w:style>
  <w:style w:type="paragraph" w:styleId="a4">
    <w:name w:val="caption"/>
    <w:basedOn w:val="a"/>
    <w:next w:val="a"/>
    <w:unhideWhenUsed/>
    <w:qFormat/>
    <w:rsid w:val="0054446D"/>
    <w:rPr>
      <w:rFonts w:ascii="Cambria" w:eastAsia="黑体" w:hAnsi="Cambria"/>
      <w:sz w:val="20"/>
    </w:rPr>
  </w:style>
  <w:style w:type="paragraph" w:styleId="a5">
    <w:name w:val="Document Map"/>
    <w:basedOn w:val="a"/>
    <w:link w:val="Char1"/>
    <w:qFormat/>
    <w:rsid w:val="0054446D"/>
    <w:pPr>
      <w:shd w:val="clear" w:color="auto" w:fill="000080"/>
    </w:pPr>
    <w:rPr>
      <w:szCs w:val="24"/>
    </w:rPr>
  </w:style>
  <w:style w:type="paragraph" w:styleId="a6">
    <w:name w:val="annotation text"/>
    <w:basedOn w:val="a"/>
    <w:link w:val="Char0"/>
    <w:qFormat/>
    <w:rsid w:val="0054446D"/>
    <w:pPr>
      <w:jc w:val="left"/>
    </w:pPr>
  </w:style>
  <w:style w:type="paragraph" w:styleId="a7">
    <w:name w:val="Body Text"/>
    <w:basedOn w:val="a"/>
    <w:link w:val="Char2"/>
    <w:qFormat/>
    <w:rsid w:val="0054446D"/>
    <w:pPr>
      <w:ind w:left="717"/>
    </w:pPr>
    <w:rPr>
      <w:rFonts w:ascii="仿宋" w:eastAsia="仿宋" w:hAnsi="仿宋" w:cs="仿宋"/>
      <w:sz w:val="28"/>
      <w:szCs w:val="28"/>
      <w:lang w:val="zh-CN" w:bidi="zh-CN"/>
    </w:rPr>
  </w:style>
  <w:style w:type="paragraph" w:styleId="a8">
    <w:name w:val="Body Text Indent"/>
    <w:basedOn w:val="a"/>
    <w:link w:val="Char3"/>
    <w:qFormat/>
    <w:rsid w:val="0054446D"/>
    <w:pPr>
      <w:adjustRightInd w:val="0"/>
      <w:spacing w:before="120" w:line="460" w:lineRule="atLeast"/>
      <w:ind w:firstLine="540"/>
      <w:textAlignment w:val="baseline"/>
    </w:pPr>
    <w:rPr>
      <w:rFonts w:ascii="仿宋_GB2312" w:eastAsia="仿宋_GB2312"/>
      <w:kern w:val="0"/>
      <w:sz w:val="28"/>
    </w:rPr>
  </w:style>
  <w:style w:type="paragraph" w:styleId="21">
    <w:name w:val="List 2"/>
    <w:basedOn w:val="a"/>
    <w:qFormat/>
    <w:rsid w:val="0054446D"/>
    <w:pPr>
      <w:adjustRightInd w:val="0"/>
      <w:spacing w:line="312" w:lineRule="atLeast"/>
      <w:ind w:left="840" w:hanging="420"/>
      <w:textAlignment w:val="baseline"/>
    </w:pPr>
    <w:rPr>
      <w:kern w:val="0"/>
    </w:rPr>
  </w:style>
  <w:style w:type="paragraph" w:styleId="50">
    <w:name w:val="toc 5"/>
    <w:basedOn w:val="a"/>
    <w:next w:val="a"/>
    <w:qFormat/>
    <w:rsid w:val="0054446D"/>
    <w:pPr>
      <w:widowControl/>
      <w:ind w:leftChars="800" w:left="1680"/>
      <w:jc w:val="left"/>
    </w:pPr>
    <w:rPr>
      <w:rFonts w:ascii="宋体" w:hAnsi="宋体" w:cs="宋体"/>
      <w:kern w:val="0"/>
      <w:sz w:val="24"/>
      <w:szCs w:val="24"/>
    </w:rPr>
  </w:style>
  <w:style w:type="paragraph" w:styleId="30">
    <w:name w:val="toc 3"/>
    <w:basedOn w:val="a"/>
    <w:next w:val="a"/>
    <w:qFormat/>
    <w:rsid w:val="0054446D"/>
    <w:pPr>
      <w:spacing w:line="440" w:lineRule="exact"/>
      <w:ind w:left="1134" w:rightChars="335" w:right="703" w:firstLine="441"/>
      <w:jc w:val="left"/>
    </w:pPr>
    <w:rPr>
      <w:rFonts w:ascii="黑体" w:eastAsia="黑体" w:hAnsi="Arial"/>
      <w:sz w:val="24"/>
      <w:u w:val="single"/>
    </w:rPr>
  </w:style>
  <w:style w:type="paragraph" w:styleId="a9">
    <w:name w:val="Plain Text"/>
    <w:basedOn w:val="a"/>
    <w:link w:val="Char4"/>
    <w:qFormat/>
    <w:rsid w:val="0054446D"/>
    <w:rPr>
      <w:rFonts w:ascii="宋体" w:hAnsi="Courier New"/>
    </w:rPr>
  </w:style>
  <w:style w:type="paragraph" w:styleId="80">
    <w:name w:val="toc 8"/>
    <w:basedOn w:val="a"/>
    <w:next w:val="a"/>
    <w:qFormat/>
    <w:rsid w:val="0054446D"/>
    <w:pPr>
      <w:widowControl/>
      <w:ind w:leftChars="1400" w:left="2940"/>
      <w:jc w:val="left"/>
    </w:pPr>
    <w:rPr>
      <w:rFonts w:ascii="宋体" w:hAnsi="宋体" w:cs="宋体"/>
      <w:kern w:val="0"/>
      <w:sz w:val="24"/>
      <w:szCs w:val="24"/>
    </w:rPr>
  </w:style>
  <w:style w:type="paragraph" w:styleId="aa">
    <w:name w:val="Date"/>
    <w:basedOn w:val="a"/>
    <w:next w:val="a"/>
    <w:link w:val="Char5"/>
    <w:qFormat/>
    <w:rsid w:val="0054446D"/>
  </w:style>
  <w:style w:type="paragraph" w:styleId="22">
    <w:name w:val="Body Text Indent 2"/>
    <w:basedOn w:val="a"/>
    <w:link w:val="2Char0"/>
    <w:qFormat/>
    <w:rsid w:val="0054446D"/>
    <w:pPr>
      <w:spacing w:line="460" w:lineRule="atLeast"/>
      <w:ind w:firstLineChars="200" w:firstLine="560"/>
    </w:pPr>
    <w:rPr>
      <w:rFonts w:ascii="仿宋_GB2312" w:eastAsia="仿宋_GB2312"/>
      <w:sz w:val="28"/>
    </w:rPr>
  </w:style>
  <w:style w:type="paragraph" w:styleId="ab">
    <w:name w:val="endnote text"/>
    <w:basedOn w:val="a"/>
    <w:qFormat/>
    <w:rsid w:val="0054446D"/>
    <w:pPr>
      <w:snapToGrid w:val="0"/>
      <w:jc w:val="left"/>
    </w:pPr>
  </w:style>
  <w:style w:type="paragraph" w:styleId="ac">
    <w:name w:val="Balloon Text"/>
    <w:basedOn w:val="a"/>
    <w:link w:val="Char6"/>
    <w:qFormat/>
    <w:rsid w:val="0054446D"/>
    <w:rPr>
      <w:sz w:val="18"/>
      <w:szCs w:val="18"/>
    </w:rPr>
  </w:style>
  <w:style w:type="paragraph" w:styleId="ad">
    <w:name w:val="footer"/>
    <w:basedOn w:val="a"/>
    <w:link w:val="Char7"/>
    <w:qFormat/>
    <w:rsid w:val="0054446D"/>
    <w:pPr>
      <w:tabs>
        <w:tab w:val="center" w:pos="4153"/>
        <w:tab w:val="right" w:pos="8306"/>
      </w:tabs>
      <w:adjustRightInd w:val="0"/>
      <w:spacing w:line="240" w:lineRule="atLeast"/>
      <w:jc w:val="left"/>
      <w:textAlignment w:val="baseline"/>
    </w:pPr>
    <w:rPr>
      <w:kern w:val="0"/>
      <w:sz w:val="18"/>
    </w:rPr>
  </w:style>
  <w:style w:type="paragraph" w:styleId="ae">
    <w:name w:val="header"/>
    <w:basedOn w:val="a"/>
    <w:link w:val="Char8"/>
    <w:qFormat/>
    <w:rsid w:val="0054446D"/>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54446D"/>
    <w:pPr>
      <w:spacing w:before="120" w:after="120"/>
      <w:jc w:val="left"/>
    </w:pPr>
    <w:rPr>
      <w:b/>
      <w:bCs/>
      <w:caps/>
      <w:sz w:val="20"/>
    </w:rPr>
  </w:style>
  <w:style w:type="paragraph" w:styleId="40">
    <w:name w:val="toc 4"/>
    <w:basedOn w:val="a"/>
    <w:next w:val="a"/>
    <w:qFormat/>
    <w:rsid w:val="0054446D"/>
    <w:pPr>
      <w:widowControl/>
      <w:ind w:leftChars="600" w:left="1260"/>
      <w:jc w:val="left"/>
    </w:pPr>
    <w:rPr>
      <w:rFonts w:ascii="宋体" w:hAnsi="宋体" w:cs="宋体"/>
      <w:kern w:val="0"/>
      <w:sz w:val="24"/>
      <w:szCs w:val="24"/>
    </w:rPr>
  </w:style>
  <w:style w:type="paragraph" w:styleId="60">
    <w:name w:val="toc 6"/>
    <w:basedOn w:val="a"/>
    <w:next w:val="a"/>
    <w:uiPriority w:val="99"/>
    <w:qFormat/>
    <w:rsid w:val="0054446D"/>
    <w:pPr>
      <w:ind w:left="1050"/>
      <w:jc w:val="left"/>
    </w:pPr>
    <w:rPr>
      <w:sz w:val="18"/>
      <w:szCs w:val="18"/>
    </w:rPr>
  </w:style>
  <w:style w:type="paragraph" w:styleId="31">
    <w:name w:val="Body Text Indent 3"/>
    <w:basedOn w:val="a"/>
    <w:link w:val="3Char0"/>
    <w:unhideWhenUsed/>
    <w:qFormat/>
    <w:rsid w:val="0054446D"/>
    <w:pPr>
      <w:spacing w:after="120"/>
      <w:ind w:leftChars="200" w:left="420"/>
    </w:pPr>
    <w:rPr>
      <w:sz w:val="16"/>
      <w:szCs w:val="16"/>
    </w:rPr>
  </w:style>
  <w:style w:type="paragraph" w:styleId="af">
    <w:name w:val="table of figures"/>
    <w:basedOn w:val="a"/>
    <w:next w:val="a"/>
    <w:qFormat/>
    <w:rsid w:val="0054446D"/>
    <w:pPr>
      <w:spacing w:before="120" w:after="120"/>
      <w:ind w:left="840" w:hanging="420"/>
      <w:jc w:val="center"/>
    </w:pPr>
    <w:rPr>
      <w:rFonts w:eastAsia="黑体"/>
    </w:rPr>
  </w:style>
  <w:style w:type="paragraph" w:styleId="23">
    <w:name w:val="toc 2"/>
    <w:basedOn w:val="a"/>
    <w:next w:val="a"/>
    <w:qFormat/>
    <w:rsid w:val="0054446D"/>
    <w:pPr>
      <w:ind w:left="210"/>
      <w:jc w:val="left"/>
    </w:pPr>
    <w:rPr>
      <w:smallCaps/>
      <w:sz w:val="20"/>
    </w:rPr>
  </w:style>
  <w:style w:type="paragraph" w:styleId="90">
    <w:name w:val="toc 9"/>
    <w:basedOn w:val="a"/>
    <w:next w:val="a"/>
    <w:qFormat/>
    <w:rsid w:val="0054446D"/>
    <w:pPr>
      <w:widowControl/>
      <w:ind w:leftChars="1600" w:left="3360"/>
      <w:jc w:val="left"/>
    </w:pPr>
    <w:rPr>
      <w:rFonts w:ascii="宋体" w:hAnsi="宋体" w:cs="宋体"/>
      <w:kern w:val="0"/>
      <w:sz w:val="24"/>
      <w:szCs w:val="24"/>
    </w:rPr>
  </w:style>
  <w:style w:type="paragraph" w:styleId="HTML">
    <w:name w:val="HTML Preformatted"/>
    <w:basedOn w:val="a"/>
    <w:link w:val="HTMLChar2"/>
    <w:qFormat/>
    <w:rsid w:val="005444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0">
    <w:name w:val="Normal (Web)"/>
    <w:basedOn w:val="a"/>
    <w:uiPriority w:val="99"/>
    <w:qFormat/>
    <w:rsid w:val="0054446D"/>
    <w:pPr>
      <w:widowControl/>
      <w:spacing w:before="100" w:beforeAutospacing="1" w:after="100" w:afterAutospacing="1"/>
      <w:jc w:val="left"/>
    </w:pPr>
    <w:rPr>
      <w:rFonts w:ascii="宋体" w:hAnsi="宋体"/>
      <w:color w:val="000000"/>
      <w:kern w:val="0"/>
      <w:sz w:val="24"/>
      <w:szCs w:val="24"/>
    </w:rPr>
  </w:style>
  <w:style w:type="paragraph" w:styleId="af1">
    <w:name w:val="Title"/>
    <w:basedOn w:val="a"/>
    <w:next w:val="a"/>
    <w:link w:val="Char20"/>
    <w:qFormat/>
    <w:rsid w:val="0054446D"/>
    <w:pPr>
      <w:widowControl/>
      <w:spacing w:before="240" w:after="60"/>
      <w:jc w:val="center"/>
      <w:outlineLvl w:val="0"/>
    </w:pPr>
    <w:rPr>
      <w:rFonts w:ascii="Cambria" w:hAnsi="Cambria"/>
      <w:b/>
      <w:bCs/>
      <w:sz w:val="32"/>
      <w:szCs w:val="32"/>
    </w:rPr>
  </w:style>
  <w:style w:type="paragraph" w:styleId="af2">
    <w:name w:val="annotation subject"/>
    <w:basedOn w:val="a6"/>
    <w:next w:val="a6"/>
    <w:link w:val="Char9"/>
    <w:qFormat/>
    <w:rsid w:val="0054446D"/>
    <w:rPr>
      <w:b/>
      <w:bCs/>
    </w:rPr>
  </w:style>
  <w:style w:type="table" w:styleId="af3">
    <w:name w:val="Table Grid"/>
    <w:basedOn w:val="a1"/>
    <w:qFormat/>
    <w:rsid w:val="00544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sid w:val="0054446D"/>
    <w:rPr>
      <w:b/>
    </w:rPr>
  </w:style>
  <w:style w:type="character" w:styleId="af5">
    <w:name w:val="page number"/>
    <w:basedOn w:val="a0"/>
    <w:qFormat/>
    <w:rsid w:val="0054446D"/>
  </w:style>
  <w:style w:type="character" w:styleId="af6">
    <w:name w:val="FollowedHyperlink"/>
    <w:basedOn w:val="a0"/>
    <w:unhideWhenUsed/>
    <w:qFormat/>
    <w:rsid w:val="0054446D"/>
    <w:rPr>
      <w:color w:val="333333"/>
      <w:u w:val="none"/>
    </w:rPr>
  </w:style>
  <w:style w:type="character" w:styleId="af7">
    <w:name w:val="Emphasis"/>
    <w:uiPriority w:val="20"/>
    <w:qFormat/>
    <w:rsid w:val="0054446D"/>
    <w:rPr>
      <w:i/>
      <w:iCs/>
    </w:rPr>
  </w:style>
  <w:style w:type="character" w:styleId="af8">
    <w:name w:val="Hyperlink"/>
    <w:basedOn w:val="a0"/>
    <w:uiPriority w:val="99"/>
    <w:unhideWhenUsed/>
    <w:qFormat/>
    <w:rsid w:val="0054446D"/>
    <w:rPr>
      <w:color w:val="0563C1" w:themeColor="hyperlink"/>
      <w:u w:val="single"/>
    </w:rPr>
  </w:style>
  <w:style w:type="character" w:styleId="af9">
    <w:name w:val="annotation reference"/>
    <w:basedOn w:val="a0"/>
    <w:qFormat/>
    <w:rsid w:val="0054446D"/>
    <w:rPr>
      <w:sz w:val="21"/>
      <w:szCs w:val="21"/>
    </w:rPr>
  </w:style>
  <w:style w:type="character" w:customStyle="1" w:styleId="1Char">
    <w:name w:val="标题 1 Char"/>
    <w:link w:val="1"/>
    <w:qFormat/>
    <w:rsid w:val="0054446D"/>
    <w:rPr>
      <w:b/>
      <w:bCs/>
      <w:kern w:val="44"/>
      <w:sz w:val="44"/>
      <w:szCs w:val="44"/>
    </w:rPr>
  </w:style>
  <w:style w:type="character" w:customStyle="1" w:styleId="2Char">
    <w:name w:val="标题 2 Char"/>
    <w:basedOn w:val="a0"/>
    <w:link w:val="2"/>
    <w:qFormat/>
    <w:rsid w:val="0054446D"/>
    <w:rPr>
      <w:rFonts w:ascii="黑体" w:eastAsia="黑体" w:hAnsi="Arial"/>
      <w:b/>
      <w:kern w:val="2"/>
      <w:sz w:val="28"/>
    </w:rPr>
  </w:style>
  <w:style w:type="character" w:customStyle="1" w:styleId="3Char">
    <w:name w:val="标题 3 Char"/>
    <w:link w:val="3"/>
    <w:qFormat/>
    <w:rsid w:val="0054446D"/>
    <w:rPr>
      <w:rFonts w:ascii="仿宋" w:eastAsia="仿宋" w:hAnsi="仿宋" w:cs="仿宋"/>
      <w:b/>
      <w:bCs/>
      <w:kern w:val="2"/>
      <w:sz w:val="28"/>
      <w:szCs w:val="28"/>
      <w:lang w:val="zh-CN" w:bidi="zh-CN"/>
    </w:rPr>
  </w:style>
  <w:style w:type="character" w:customStyle="1" w:styleId="4Char">
    <w:name w:val="标题 4 Char"/>
    <w:basedOn w:val="a0"/>
    <w:link w:val="4"/>
    <w:qFormat/>
    <w:rsid w:val="0054446D"/>
    <w:rPr>
      <w:rFonts w:asciiTheme="majorHAnsi" w:eastAsiaTheme="majorEastAsia" w:hAnsiTheme="majorHAnsi" w:cstheme="majorBidi"/>
      <w:b/>
      <w:bCs/>
      <w:kern w:val="2"/>
      <w:sz w:val="28"/>
      <w:szCs w:val="28"/>
    </w:rPr>
  </w:style>
  <w:style w:type="character" w:customStyle="1" w:styleId="5Char">
    <w:name w:val="标题 5 Char"/>
    <w:basedOn w:val="a0"/>
    <w:link w:val="5"/>
    <w:qFormat/>
    <w:rsid w:val="0054446D"/>
    <w:rPr>
      <w:b/>
      <w:bCs/>
      <w:kern w:val="2"/>
      <w:sz w:val="28"/>
      <w:szCs w:val="28"/>
    </w:rPr>
  </w:style>
  <w:style w:type="character" w:customStyle="1" w:styleId="6Char">
    <w:name w:val="标题 6 Char"/>
    <w:basedOn w:val="a0"/>
    <w:link w:val="6"/>
    <w:qFormat/>
    <w:rsid w:val="0054446D"/>
    <w:rPr>
      <w:rFonts w:ascii="仿宋体" w:eastAsia="仿宋体" w:hAnsi="Arial"/>
      <w:b/>
      <w:sz w:val="24"/>
    </w:rPr>
  </w:style>
  <w:style w:type="character" w:customStyle="1" w:styleId="7Char">
    <w:name w:val="标题 7 Char"/>
    <w:basedOn w:val="a0"/>
    <w:link w:val="7"/>
    <w:qFormat/>
    <w:rsid w:val="0054446D"/>
    <w:rPr>
      <w:rFonts w:ascii="仿宋_GB2312" w:eastAsia="仿宋_GB2312" w:hAnsi="宋体"/>
      <w:b/>
      <w:sz w:val="24"/>
    </w:rPr>
  </w:style>
  <w:style w:type="character" w:customStyle="1" w:styleId="8Char">
    <w:name w:val="标题 8 Char"/>
    <w:basedOn w:val="a0"/>
    <w:link w:val="8"/>
    <w:qFormat/>
    <w:rsid w:val="0054446D"/>
    <w:rPr>
      <w:rFonts w:ascii="Arial" w:eastAsia="黑体" w:hAnsi="Arial"/>
      <w:sz w:val="24"/>
    </w:rPr>
  </w:style>
  <w:style w:type="character" w:customStyle="1" w:styleId="9Char">
    <w:name w:val="标题 9 Char"/>
    <w:basedOn w:val="a0"/>
    <w:link w:val="9"/>
    <w:qFormat/>
    <w:rsid w:val="0054446D"/>
    <w:rPr>
      <w:rFonts w:ascii="Arial" w:eastAsia="黑体" w:hAnsi="Arial"/>
      <w:sz w:val="24"/>
    </w:rPr>
  </w:style>
  <w:style w:type="character" w:customStyle="1" w:styleId="Char0">
    <w:name w:val="批注文字 Char"/>
    <w:basedOn w:val="a0"/>
    <w:link w:val="a6"/>
    <w:qFormat/>
    <w:rsid w:val="0054446D"/>
    <w:rPr>
      <w:kern w:val="2"/>
      <w:sz w:val="21"/>
    </w:rPr>
  </w:style>
  <w:style w:type="character" w:customStyle="1" w:styleId="Char2">
    <w:name w:val="正文文本 Char"/>
    <w:link w:val="a7"/>
    <w:qFormat/>
    <w:rsid w:val="0054446D"/>
    <w:rPr>
      <w:rFonts w:ascii="仿宋" w:eastAsia="仿宋" w:hAnsi="仿宋" w:cs="仿宋"/>
      <w:kern w:val="2"/>
      <w:sz w:val="28"/>
      <w:szCs w:val="28"/>
      <w:lang w:val="zh-CN" w:bidi="zh-CN"/>
    </w:rPr>
  </w:style>
  <w:style w:type="character" w:customStyle="1" w:styleId="Char3">
    <w:name w:val="正文文本缩进 Char"/>
    <w:link w:val="a8"/>
    <w:qFormat/>
    <w:rsid w:val="0054446D"/>
    <w:rPr>
      <w:rFonts w:ascii="仿宋_GB2312" w:eastAsia="仿宋_GB2312"/>
      <w:sz w:val="28"/>
    </w:rPr>
  </w:style>
  <w:style w:type="character" w:customStyle="1" w:styleId="Char4">
    <w:name w:val="纯文本 Char"/>
    <w:link w:val="a9"/>
    <w:uiPriority w:val="99"/>
    <w:qFormat/>
    <w:rsid w:val="0054446D"/>
    <w:rPr>
      <w:rFonts w:ascii="宋体" w:hAnsi="Courier New"/>
      <w:kern w:val="2"/>
      <w:sz w:val="21"/>
    </w:rPr>
  </w:style>
  <w:style w:type="character" w:customStyle="1" w:styleId="2Char0">
    <w:name w:val="正文文本缩进 2 Char"/>
    <w:link w:val="22"/>
    <w:qFormat/>
    <w:rsid w:val="0054446D"/>
    <w:rPr>
      <w:rFonts w:ascii="仿宋_GB2312" w:eastAsia="仿宋_GB2312"/>
      <w:kern w:val="2"/>
      <w:sz w:val="28"/>
    </w:rPr>
  </w:style>
  <w:style w:type="character" w:customStyle="1" w:styleId="Char6">
    <w:name w:val="批注框文本 Char"/>
    <w:basedOn w:val="a0"/>
    <w:link w:val="ac"/>
    <w:qFormat/>
    <w:rsid w:val="0054446D"/>
    <w:rPr>
      <w:kern w:val="2"/>
      <w:sz w:val="18"/>
      <w:szCs w:val="18"/>
    </w:rPr>
  </w:style>
  <w:style w:type="character" w:customStyle="1" w:styleId="Char7">
    <w:name w:val="页脚 Char"/>
    <w:link w:val="ad"/>
    <w:qFormat/>
    <w:rsid w:val="0054446D"/>
    <w:rPr>
      <w:sz w:val="18"/>
    </w:rPr>
  </w:style>
  <w:style w:type="character" w:customStyle="1" w:styleId="Char8">
    <w:name w:val="页眉 Char"/>
    <w:link w:val="ae"/>
    <w:qFormat/>
    <w:rsid w:val="0054446D"/>
    <w:rPr>
      <w:kern w:val="2"/>
      <w:sz w:val="18"/>
    </w:rPr>
  </w:style>
  <w:style w:type="character" w:customStyle="1" w:styleId="Char9">
    <w:name w:val="批注主题 Char"/>
    <w:basedOn w:val="Char0"/>
    <w:link w:val="af2"/>
    <w:qFormat/>
    <w:rsid w:val="0054446D"/>
    <w:rPr>
      <w:b/>
      <w:bCs/>
      <w:kern w:val="2"/>
      <w:sz w:val="21"/>
    </w:rPr>
  </w:style>
  <w:style w:type="character" w:customStyle="1" w:styleId="font51">
    <w:name w:val="font51"/>
    <w:qFormat/>
    <w:rsid w:val="0054446D"/>
    <w:rPr>
      <w:rFonts w:ascii="宋体" w:eastAsia="宋体" w:hAnsi="宋体" w:cs="宋体" w:hint="eastAsia"/>
      <w:b/>
      <w:color w:val="000000"/>
      <w:sz w:val="21"/>
      <w:szCs w:val="21"/>
      <w:u w:val="none"/>
    </w:rPr>
  </w:style>
  <w:style w:type="paragraph" w:customStyle="1" w:styleId="11">
    <w:name w:val="列出段落1"/>
    <w:basedOn w:val="a"/>
    <w:qFormat/>
    <w:rsid w:val="0054446D"/>
    <w:pPr>
      <w:ind w:firstLineChars="200" w:firstLine="420"/>
    </w:pPr>
  </w:style>
  <w:style w:type="character" w:customStyle="1" w:styleId="font01">
    <w:name w:val="font01"/>
    <w:basedOn w:val="a0"/>
    <w:qFormat/>
    <w:rsid w:val="0054446D"/>
    <w:rPr>
      <w:rFonts w:ascii="宋体" w:eastAsia="宋体" w:hAnsi="宋体" w:cs="宋体" w:hint="eastAsia"/>
      <w:b/>
      <w:color w:val="000000"/>
      <w:sz w:val="21"/>
      <w:szCs w:val="21"/>
      <w:u w:val="none"/>
    </w:rPr>
  </w:style>
  <w:style w:type="character" w:customStyle="1" w:styleId="font21">
    <w:name w:val="font21"/>
    <w:basedOn w:val="a0"/>
    <w:qFormat/>
    <w:rsid w:val="0054446D"/>
    <w:rPr>
      <w:rFonts w:ascii="宋体" w:eastAsia="宋体" w:hAnsi="宋体" w:cs="宋体" w:hint="eastAsia"/>
      <w:color w:val="000000"/>
      <w:sz w:val="24"/>
      <w:szCs w:val="24"/>
      <w:u w:val="none"/>
    </w:rPr>
  </w:style>
  <w:style w:type="character" w:customStyle="1" w:styleId="font61">
    <w:name w:val="font61"/>
    <w:basedOn w:val="a0"/>
    <w:qFormat/>
    <w:rsid w:val="0054446D"/>
    <w:rPr>
      <w:rFonts w:ascii="仿宋_GB2312" w:eastAsia="仿宋_GB2312" w:cs="仿宋_GB2312" w:hint="default"/>
      <w:b/>
      <w:color w:val="000000"/>
      <w:sz w:val="21"/>
      <w:szCs w:val="21"/>
      <w:u w:val="none"/>
    </w:rPr>
  </w:style>
  <w:style w:type="character" w:customStyle="1" w:styleId="font31">
    <w:name w:val="font31"/>
    <w:basedOn w:val="a0"/>
    <w:qFormat/>
    <w:rsid w:val="0054446D"/>
    <w:rPr>
      <w:rFonts w:ascii="宋体" w:eastAsia="宋体" w:hAnsi="宋体" w:cs="宋体" w:hint="eastAsia"/>
      <w:b/>
      <w:color w:val="000000"/>
      <w:sz w:val="21"/>
      <w:szCs w:val="21"/>
      <w:u w:val="none"/>
    </w:rPr>
  </w:style>
  <w:style w:type="character" w:customStyle="1" w:styleId="font41">
    <w:name w:val="font41"/>
    <w:basedOn w:val="a0"/>
    <w:qFormat/>
    <w:rsid w:val="0054446D"/>
    <w:rPr>
      <w:rFonts w:ascii="Microsoft YaHei UI" w:eastAsia="Microsoft YaHei UI" w:hAnsi="Microsoft YaHei UI" w:cs="Microsoft YaHei UI"/>
      <w:color w:val="FF0000"/>
      <w:sz w:val="21"/>
      <w:szCs w:val="21"/>
      <w:u w:val="none"/>
    </w:rPr>
  </w:style>
  <w:style w:type="character" w:customStyle="1" w:styleId="font11">
    <w:name w:val="font11"/>
    <w:basedOn w:val="a0"/>
    <w:qFormat/>
    <w:rsid w:val="0054446D"/>
    <w:rPr>
      <w:rFonts w:ascii="仿宋_GB2312" w:eastAsia="仿宋_GB2312" w:cs="仿宋_GB2312" w:hint="default"/>
      <w:color w:val="000000"/>
      <w:sz w:val="21"/>
      <w:szCs w:val="21"/>
      <w:u w:val="none"/>
    </w:rPr>
  </w:style>
  <w:style w:type="paragraph" w:customStyle="1" w:styleId="New">
    <w:name w:val="正文 New"/>
    <w:qFormat/>
    <w:rsid w:val="0054446D"/>
    <w:pPr>
      <w:widowControl w:val="0"/>
      <w:jc w:val="both"/>
    </w:pPr>
    <w:rPr>
      <w:rFonts w:cstheme="minorBidi"/>
      <w:kern w:val="2"/>
      <w:sz w:val="21"/>
      <w:szCs w:val="24"/>
    </w:rPr>
  </w:style>
  <w:style w:type="paragraph" w:customStyle="1" w:styleId="TableParagraph">
    <w:name w:val="Table Paragraph"/>
    <w:basedOn w:val="a"/>
    <w:uiPriority w:val="1"/>
    <w:qFormat/>
    <w:rsid w:val="0054446D"/>
    <w:pPr>
      <w:jc w:val="center"/>
    </w:pPr>
    <w:rPr>
      <w:rFonts w:ascii="仿宋" w:eastAsia="仿宋" w:hAnsi="仿宋" w:cs="仿宋"/>
      <w:lang w:val="zh-CN" w:bidi="zh-CN"/>
    </w:rPr>
  </w:style>
  <w:style w:type="paragraph" w:customStyle="1" w:styleId="Bodytext1">
    <w:name w:val="Body text|1"/>
    <w:basedOn w:val="a"/>
    <w:qFormat/>
    <w:rsid w:val="0054446D"/>
    <w:pPr>
      <w:spacing w:line="408" w:lineRule="auto"/>
      <w:ind w:firstLine="400"/>
    </w:pPr>
    <w:rPr>
      <w:rFonts w:ascii="宋体" w:hAnsi="宋体" w:cs="宋体"/>
      <w:sz w:val="26"/>
      <w:szCs w:val="26"/>
      <w:lang w:val="zh-TW" w:eastAsia="zh-TW" w:bidi="zh-TW"/>
    </w:rPr>
  </w:style>
  <w:style w:type="table" w:customStyle="1" w:styleId="TableNormal">
    <w:name w:val="Table Normal"/>
    <w:semiHidden/>
    <w:unhideWhenUsed/>
    <w:qFormat/>
    <w:rsid w:val="0054446D"/>
    <w:tblPr>
      <w:tblCellMar>
        <w:top w:w="0" w:type="dxa"/>
        <w:left w:w="0" w:type="dxa"/>
        <w:bottom w:w="0" w:type="dxa"/>
        <w:right w:w="0" w:type="dxa"/>
      </w:tblCellMar>
    </w:tblPr>
  </w:style>
  <w:style w:type="paragraph" w:customStyle="1" w:styleId="Picturecaption1">
    <w:name w:val="Picture caption|1"/>
    <w:basedOn w:val="a"/>
    <w:qFormat/>
    <w:rsid w:val="0054446D"/>
    <w:rPr>
      <w:rFonts w:ascii="宋体" w:hAnsi="宋体" w:cs="宋体"/>
      <w:sz w:val="26"/>
      <w:szCs w:val="26"/>
      <w:lang w:val="zh-TW" w:eastAsia="zh-TW" w:bidi="zh-TW"/>
    </w:rPr>
  </w:style>
  <w:style w:type="character" w:customStyle="1" w:styleId="hao1">
    <w:name w:val="hao1"/>
    <w:basedOn w:val="a0"/>
    <w:qFormat/>
    <w:rsid w:val="0054446D"/>
    <w:rPr>
      <w:b/>
      <w:bCs/>
    </w:rPr>
  </w:style>
  <w:style w:type="character" w:customStyle="1" w:styleId="wz">
    <w:name w:val="wz"/>
    <w:basedOn w:val="a0"/>
    <w:qFormat/>
    <w:rsid w:val="0054446D"/>
    <w:rPr>
      <w:vanish/>
      <w:color w:val="808080"/>
    </w:rPr>
  </w:style>
  <w:style w:type="character" w:customStyle="1" w:styleId="hao12">
    <w:name w:val="hao12"/>
    <w:basedOn w:val="a0"/>
    <w:qFormat/>
    <w:rsid w:val="0054446D"/>
    <w:rPr>
      <w:b/>
      <w:bCs/>
    </w:rPr>
  </w:style>
  <w:style w:type="paragraph" w:customStyle="1" w:styleId="Headerorfooter1">
    <w:name w:val="Header or footer|1"/>
    <w:basedOn w:val="a"/>
    <w:qFormat/>
    <w:rsid w:val="0054446D"/>
    <w:rPr>
      <w:rFonts w:ascii="宋体" w:hAnsi="宋体" w:cs="宋体"/>
      <w:sz w:val="22"/>
      <w:szCs w:val="22"/>
      <w:lang w:val="zh-TW" w:eastAsia="zh-TW" w:bidi="zh-TW"/>
    </w:rPr>
  </w:style>
  <w:style w:type="paragraph" w:customStyle="1" w:styleId="12">
    <w:name w:val="正文1"/>
    <w:basedOn w:val="a"/>
    <w:qFormat/>
    <w:rsid w:val="0054446D"/>
    <w:pPr>
      <w:ind w:firstLineChars="200" w:firstLine="480"/>
    </w:pPr>
    <w:rPr>
      <w:sz w:val="24"/>
    </w:rPr>
  </w:style>
  <w:style w:type="paragraph" w:customStyle="1" w:styleId="Other1">
    <w:name w:val="Other|1"/>
    <w:basedOn w:val="a"/>
    <w:qFormat/>
    <w:rsid w:val="0054446D"/>
    <w:pPr>
      <w:spacing w:line="415" w:lineRule="auto"/>
      <w:ind w:firstLine="400"/>
    </w:pPr>
    <w:rPr>
      <w:rFonts w:ascii="宋体" w:hAnsi="宋体" w:cs="宋体"/>
      <w:lang w:val="zh-TW" w:eastAsia="zh-TW" w:bidi="zh-TW"/>
    </w:rPr>
  </w:style>
  <w:style w:type="paragraph" w:customStyle="1" w:styleId="Bodytext2">
    <w:name w:val="Body text|2"/>
    <w:basedOn w:val="a"/>
    <w:qFormat/>
    <w:rsid w:val="0054446D"/>
    <w:pPr>
      <w:spacing w:after="470" w:line="470" w:lineRule="exact"/>
      <w:ind w:firstLine="540"/>
    </w:pPr>
    <w:rPr>
      <w:sz w:val="28"/>
      <w:szCs w:val="28"/>
    </w:rPr>
  </w:style>
  <w:style w:type="paragraph" w:customStyle="1" w:styleId="Bodytext5">
    <w:name w:val="Body text|5"/>
    <w:basedOn w:val="a"/>
    <w:qFormat/>
    <w:rsid w:val="0054446D"/>
    <w:pPr>
      <w:jc w:val="center"/>
    </w:pPr>
    <w:rPr>
      <w:sz w:val="17"/>
      <w:szCs w:val="17"/>
      <w:lang w:val="zh-TW" w:eastAsia="zh-TW" w:bidi="zh-TW"/>
    </w:rPr>
  </w:style>
  <w:style w:type="paragraph" w:customStyle="1" w:styleId="Tablecaption1">
    <w:name w:val="Table caption|1"/>
    <w:basedOn w:val="a"/>
    <w:qFormat/>
    <w:rsid w:val="0054446D"/>
    <w:pPr>
      <w:spacing w:after="50"/>
    </w:pPr>
    <w:rPr>
      <w:rFonts w:ascii="宋体" w:hAnsi="宋体" w:cs="宋体"/>
      <w:sz w:val="18"/>
      <w:szCs w:val="18"/>
      <w:lang w:val="zh-TW" w:eastAsia="zh-TW" w:bidi="zh-TW"/>
    </w:rPr>
  </w:style>
  <w:style w:type="paragraph" w:customStyle="1" w:styleId="Headerorfooter2">
    <w:name w:val="Header or footer|2"/>
    <w:basedOn w:val="a"/>
    <w:qFormat/>
    <w:rsid w:val="0054446D"/>
    <w:rPr>
      <w:sz w:val="20"/>
      <w:lang w:val="zh-TW" w:eastAsia="zh-TW" w:bidi="zh-TW"/>
    </w:rPr>
  </w:style>
  <w:style w:type="paragraph" w:customStyle="1" w:styleId="Bodytext3">
    <w:name w:val="Body text|3"/>
    <w:basedOn w:val="a"/>
    <w:qFormat/>
    <w:rsid w:val="0054446D"/>
    <w:pPr>
      <w:spacing w:line="334" w:lineRule="exact"/>
      <w:ind w:firstLine="480"/>
    </w:pPr>
    <w:rPr>
      <w:rFonts w:ascii="宋体" w:hAnsi="宋体" w:cs="宋体"/>
      <w:sz w:val="18"/>
      <w:szCs w:val="18"/>
      <w:lang w:val="zh-TW" w:eastAsia="zh-TW" w:bidi="zh-TW"/>
    </w:rPr>
  </w:style>
  <w:style w:type="paragraph" w:styleId="afa">
    <w:name w:val="List Paragraph"/>
    <w:basedOn w:val="a"/>
    <w:unhideWhenUsed/>
    <w:qFormat/>
    <w:rsid w:val="0054446D"/>
    <w:pPr>
      <w:ind w:firstLineChars="200" w:firstLine="420"/>
    </w:pPr>
  </w:style>
  <w:style w:type="character" w:customStyle="1" w:styleId="Char">
    <w:name w:val="正文缩进 Char"/>
    <w:link w:val="a3"/>
    <w:rsid w:val="0054446D"/>
    <w:rPr>
      <w:kern w:val="2"/>
      <w:sz w:val="21"/>
    </w:rPr>
  </w:style>
  <w:style w:type="character" w:customStyle="1" w:styleId="3Char0">
    <w:name w:val="正文文本缩进 3 Char"/>
    <w:basedOn w:val="a0"/>
    <w:link w:val="31"/>
    <w:qFormat/>
    <w:rsid w:val="0054446D"/>
    <w:rPr>
      <w:kern w:val="2"/>
      <w:sz w:val="16"/>
      <w:szCs w:val="16"/>
    </w:rPr>
  </w:style>
  <w:style w:type="paragraph" w:customStyle="1" w:styleId="Char10">
    <w:name w:val="Char1"/>
    <w:basedOn w:val="a"/>
    <w:rsid w:val="0054446D"/>
    <w:pPr>
      <w:widowControl/>
      <w:spacing w:after="160" w:line="240" w:lineRule="exact"/>
      <w:jc w:val="left"/>
    </w:pPr>
    <w:rPr>
      <w:rFonts w:ascii="Verdana" w:eastAsia="仿宋_GB2312" w:hAnsi="Verdana"/>
      <w:kern w:val="0"/>
      <w:sz w:val="24"/>
      <w:lang w:eastAsia="en-US"/>
    </w:rPr>
  </w:style>
  <w:style w:type="paragraph" w:customStyle="1" w:styleId="32">
    <w:name w:val="样式3"/>
    <w:basedOn w:val="a"/>
    <w:rsid w:val="0054446D"/>
    <w:pPr>
      <w:spacing w:line="360" w:lineRule="auto"/>
      <w:jc w:val="center"/>
    </w:pPr>
    <w:rPr>
      <w:rFonts w:ascii="宋体"/>
      <w:spacing w:val="6"/>
    </w:rPr>
  </w:style>
  <w:style w:type="paragraph" w:customStyle="1" w:styleId="24">
    <w:name w:val="样式2"/>
    <w:basedOn w:val="a"/>
    <w:rsid w:val="0054446D"/>
    <w:pPr>
      <w:spacing w:line="360" w:lineRule="auto"/>
      <w:jc w:val="center"/>
    </w:pPr>
    <w:rPr>
      <w:rFonts w:ascii="宋体" w:hAnsi="Arial"/>
      <w:sz w:val="24"/>
    </w:rPr>
  </w:style>
  <w:style w:type="character" w:customStyle="1" w:styleId="Char5">
    <w:name w:val="日期 Char"/>
    <w:basedOn w:val="a0"/>
    <w:link w:val="aa"/>
    <w:rsid w:val="0054446D"/>
    <w:rPr>
      <w:kern w:val="2"/>
      <w:sz w:val="21"/>
    </w:rPr>
  </w:style>
  <w:style w:type="paragraph" w:customStyle="1" w:styleId="afb">
    <w:name w:val="表格"/>
    <w:basedOn w:val="a"/>
    <w:rsid w:val="0054446D"/>
    <w:pPr>
      <w:widowControl/>
      <w:spacing w:line="300" w:lineRule="auto"/>
      <w:jc w:val="left"/>
    </w:pPr>
    <w:rPr>
      <w:rFonts w:ascii="宋体"/>
      <w:color w:val="000000"/>
      <w:kern w:val="28"/>
    </w:rPr>
  </w:style>
  <w:style w:type="paragraph" w:customStyle="1" w:styleId="CharCharCharChar">
    <w:name w:val="Char Char Char Char"/>
    <w:basedOn w:val="a"/>
    <w:rsid w:val="0054446D"/>
    <w:pPr>
      <w:widowControl/>
      <w:spacing w:after="160" w:line="240" w:lineRule="exact"/>
      <w:jc w:val="left"/>
    </w:pPr>
    <w:rPr>
      <w:rFonts w:ascii="Verdana" w:eastAsia="仿宋_GB2312" w:hAnsi="Verdana"/>
      <w:kern w:val="0"/>
      <w:sz w:val="24"/>
      <w:lang w:eastAsia="en-US"/>
    </w:rPr>
  </w:style>
  <w:style w:type="paragraph" w:customStyle="1" w:styleId="ll0">
    <w:name w:val="ll0"/>
    <w:basedOn w:val="a"/>
    <w:rsid w:val="0054446D"/>
    <w:pPr>
      <w:spacing w:line="460" w:lineRule="exact"/>
      <w:ind w:firstLine="420"/>
    </w:pPr>
    <w:rPr>
      <w:rFonts w:ascii="宋体"/>
      <w:spacing w:val="12"/>
      <w:sz w:val="24"/>
    </w:rPr>
  </w:style>
  <w:style w:type="paragraph" w:customStyle="1" w:styleId="font5">
    <w:name w:val="font5"/>
    <w:basedOn w:val="a"/>
    <w:rsid w:val="0054446D"/>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
    <w:qFormat/>
    <w:rsid w:val="0054446D"/>
    <w:pPr>
      <w:widowControl/>
      <w:spacing w:before="100" w:beforeAutospacing="1" w:after="100" w:afterAutospacing="1"/>
      <w:jc w:val="left"/>
    </w:pPr>
    <w:rPr>
      <w:rFonts w:ascii="宋体" w:hAnsi="宋体" w:hint="eastAsia"/>
      <w:kern w:val="0"/>
      <w:sz w:val="20"/>
    </w:rPr>
  </w:style>
  <w:style w:type="paragraph" w:customStyle="1" w:styleId="font7">
    <w:name w:val="font7"/>
    <w:basedOn w:val="a"/>
    <w:qFormat/>
    <w:rsid w:val="0054446D"/>
    <w:pPr>
      <w:widowControl/>
      <w:spacing w:before="100" w:beforeAutospacing="1" w:after="100" w:afterAutospacing="1"/>
      <w:jc w:val="left"/>
    </w:pPr>
    <w:rPr>
      <w:rFonts w:ascii="宋体" w:hAnsi="宋体" w:hint="eastAsia"/>
      <w:color w:val="000000"/>
      <w:kern w:val="0"/>
      <w:sz w:val="20"/>
    </w:rPr>
  </w:style>
  <w:style w:type="paragraph" w:customStyle="1" w:styleId="font8">
    <w:name w:val="font8"/>
    <w:basedOn w:val="a"/>
    <w:rsid w:val="0054446D"/>
    <w:pPr>
      <w:widowControl/>
      <w:spacing w:before="100" w:beforeAutospacing="1" w:after="100" w:afterAutospacing="1"/>
      <w:jc w:val="left"/>
    </w:pPr>
    <w:rPr>
      <w:kern w:val="0"/>
      <w:sz w:val="20"/>
    </w:rPr>
  </w:style>
  <w:style w:type="paragraph" w:customStyle="1" w:styleId="xl24">
    <w:name w:val="xl24"/>
    <w:basedOn w:val="a"/>
    <w:qFormat/>
    <w:rsid w:val="005444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rPr>
  </w:style>
  <w:style w:type="paragraph" w:customStyle="1" w:styleId="xl25">
    <w:name w:val="xl25"/>
    <w:basedOn w:val="a"/>
    <w:qFormat/>
    <w:rsid w:val="005444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xl26">
    <w:name w:val="xl26"/>
    <w:basedOn w:val="a"/>
    <w:rsid w:val="005444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rPr>
  </w:style>
  <w:style w:type="paragraph" w:customStyle="1" w:styleId="xl27">
    <w:name w:val="xl27"/>
    <w:basedOn w:val="a"/>
    <w:rsid w:val="005444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rPr>
  </w:style>
  <w:style w:type="paragraph" w:customStyle="1" w:styleId="xl28">
    <w:name w:val="xl28"/>
    <w:basedOn w:val="a"/>
    <w:qFormat/>
    <w:rsid w:val="005444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rPr>
  </w:style>
  <w:style w:type="paragraph" w:customStyle="1" w:styleId="xl29">
    <w:name w:val="xl29"/>
    <w:basedOn w:val="a"/>
    <w:qFormat/>
    <w:rsid w:val="005444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rPr>
  </w:style>
  <w:style w:type="paragraph" w:customStyle="1" w:styleId="xl30">
    <w:name w:val="xl30"/>
    <w:basedOn w:val="a"/>
    <w:qFormat/>
    <w:rsid w:val="005444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kern w:val="0"/>
      <w:sz w:val="20"/>
    </w:rPr>
  </w:style>
  <w:style w:type="paragraph" w:customStyle="1" w:styleId="xl31">
    <w:name w:val="xl31"/>
    <w:basedOn w:val="a"/>
    <w:qFormat/>
    <w:rsid w:val="005444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kern w:val="0"/>
      <w:sz w:val="20"/>
    </w:rPr>
  </w:style>
  <w:style w:type="paragraph" w:customStyle="1" w:styleId="xl32">
    <w:name w:val="xl32"/>
    <w:basedOn w:val="a"/>
    <w:rsid w:val="005444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kern w:val="0"/>
      <w:sz w:val="20"/>
    </w:rPr>
  </w:style>
  <w:style w:type="paragraph" w:customStyle="1" w:styleId="xl33">
    <w:name w:val="xl33"/>
    <w:basedOn w:val="a"/>
    <w:rsid w:val="005444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xl34">
    <w:name w:val="xl34"/>
    <w:basedOn w:val="a"/>
    <w:qFormat/>
    <w:rsid w:val="005444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rPr>
  </w:style>
  <w:style w:type="paragraph" w:customStyle="1" w:styleId="xl35">
    <w:name w:val="xl35"/>
    <w:basedOn w:val="a"/>
    <w:rsid w:val="0054446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rPr>
  </w:style>
  <w:style w:type="paragraph" w:customStyle="1" w:styleId="xl36">
    <w:name w:val="xl36"/>
    <w:basedOn w:val="a"/>
    <w:qFormat/>
    <w:rsid w:val="0054446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kern w:val="0"/>
      <w:sz w:val="20"/>
    </w:rPr>
  </w:style>
  <w:style w:type="paragraph" w:customStyle="1" w:styleId="xl37">
    <w:name w:val="xl37"/>
    <w:basedOn w:val="a"/>
    <w:qFormat/>
    <w:rsid w:val="005444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20"/>
    </w:rPr>
  </w:style>
  <w:style w:type="paragraph" w:customStyle="1" w:styleId="xl38">
    <w:name w:val="xl38"/>
    <w:basedOn w:val="a"/>
    <w:qFormat/>
    <w:rsid w:val="005444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rPr>
  </w:style>
  <w:style w:type="paragraph" w:customStyle="1" w:styleId="xl39">
    <w:name w:val="xl39"/>
    <w:basedOn w:val="a"/>
    <w:qFormat/>
    <w:rsid w:val="005444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40">
    <w:name w:val="xl40"/>
    <w:basedOn w:val="a"/>
    <w:qFormat/>
    <w:rsid w:val="0054446D"/>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0"/>
    </w:rPr>
  </w:style>
  <w:style w:type="paragraph" w:customStyle="1" w:styleId="xl41">
    <w:name w:val="xl41"/>
    <w:basedOn w:val="a"/>
    <w:qFormat/>
    <w:rsid w:val="0054446D"/>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xl42">
    <w:name w:val="xl42"/>
    <w:basedOn w:val="a"/>
    <w:rsid w:val="0054446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0"/>
    </w:rPr>
  </w:style>
  <w:style w:type="paragraph" w:customStyle="1" w:styleId="xl43">
    <w:name w:val="xl43"/>
    <w:basedOn w:val="a"/>
    <w:rsid w:val="0054446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rPr>
  </w:style>
  <w:style w:type="paragraph" w:customStyle="1" w:styleId="xl44">
    <w:name w:val="xl44"/>
    <w:basedOn w:val="a"/>
    <w:qFormat/>
    <w:rsid w:val="0054446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0"/>
    </w:rPr>
  </w:style>
  <w:style w:type="paragraph" w:customStyle="1" w:styleId="xl45">
    <w:name w:val="xl45"/>
    <w:basedOn w:val="a"/>
    <w:qFormat/>
    <w:rsid w:val="0054446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rPr>
  </w:style>
  <w:style w:type="paragraph" w:customStyle="1" w:styleId="xl46">
    <w:name w:val="xl46"/>
    <w:basedOn w:val="a"/>
    <w:qFormat/>
    <w:rsid w:val="0054446D"/>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xl47">
    <w:name w:val="xl47"/>
    <w:basedOn w:val="a"/>
    <w:qFormat/>
    <w:rsid w:val="0054446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xl48">
    <w:name w:val="xl48"/>
    <w:basedOn w:val="a"/>
    <w:qFormat/>
    <w:rsid w:val="0054446D"/>
    <w:pPr>
      <w:widowControl/>
      <w:pBdr>
        <w:left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xl49">
    <w:name w:val="xl49"/>
    <w:basedOn w:val="a"/>
    <w:rsid w:val="0054446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50">
    <w:name w:val="xl50"/>
    <w:basedOn w:val="a"/>
    <w:qFormat/>
    <w:rsid w:val="0054446D"/>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xl51">
    <w:name w:val="xl51"/>
    <w:basedOn w:val="a"/>
    <w:qFormat/>
    <w:rsid w:val="0054446D"/>
    <w:pPr>
      <w:widowControl/>
      <w:pBdr>
        <w:top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xl52">
    <w:name w:val="xl52"/>
    <w:basedOn w:val="a"/>
    <w:rsid w:val="0054446D"/>
    <w:pPr>
      <w:widowControl/>
      <w:pBdr>
        <w:top w:val="single" w:sz="8"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xl53">
    <w:name w:val="xl53"/>
    <w:basedOn w:val="a"/>
    <w:qFormat/>
    <w:rsid w:val="0054446D"/>
    <w:pPr>
      <w:widowControl/>
      <w:pBdr>
        <w:top w:val="single" w:sz="8"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xl54">
    <w:name w:val="xl54"/>
    <w:basedOn w:val="a"/>
    <w:qFormat/>
    <w:rsid w:val="0054446D"/>
    <w:pPr>
      <w:widowControl/>
      <w:pBdr>
        <w:top w:val="single" w:sz="8"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xl55">
    <w:name w:val="xl55"/>
    <w:basedOn w:val="a"/>
    <w:qFormat/>
    <w:rsid w:val="0054446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xl56">
    <w:name w:val="xl56"/>
    <w:basedOn w:val="a"/>
    <w:qFormat/>
    <w:rsid w:val="0054446D"/>
    <w:pPr>
      <w:widowControl/>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57">
    <w:name w:val="xl57"/>
    <w:basedOn w:val="a"/>
    <w:qFormat/>
    <w:rsid w:val="0054446D"/>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58">
    <w:name w:val="xl58"/>
    <w:basedOn w:val="a"/>
    <w:qFormat/>
    <w:rsid w:val="0054446D"/>
    <w:pPr>
      <w:widowControl/>
      <w:pBdr>
        <w:top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59">
    <w:name w:val="xl59"/>
    <w:basedOn w:val="a"/>
    <w:qFormat/>
    <w:rsid w:val="0054446D"/>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xl60">
    <w:name w:val="xl60"/>
    <w:basedOn w:val="a"/>
    <w:qFormat/>
    <w:rsid w:val="0054446D"/>
    <w:pPr>
      <w:widowControl/>
      <w:pBdr>
        <w:top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xl61">
    <w:name w:val="xl61"/>
    <w:basedOn w:val="a"/>
    <w:qFormat/>
    <w:rsid w:val="0054446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62">
    <w:name w:val="xl62"/>
    <w:basedOn w:val="a"/>
    <w:qFormat/>
    <w:rsid w:val="0054446D"/>
    <w:pPr>
      <w:widowControl/>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63">
    <w:name w:val="xl63"/>
    <w:basedOn w:val="a"/>
    <w:qFormat/>
    <w:rsid w:val="0054446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64">
    <w:name w:val="xl64"/>
    <w:basedOn w:val="a"/>
    <w:qFormat/>
    <w:rsid w:val="0054446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13">
    <w:name w:val="样式1"/>
    <w:basedOn w:val="a"/>
    <w:qFormat/>
    <w:rsid w:val="0054446D"/>
    <w:pPr>
      <w:spacing w:line="460" w:lineRule="exact"/>
    </w:pPr>
    <w:rPr>
      <w:rFonts w:eastAsia="文鼎中隶简"/>
      <w:b/>
      <w:sz w:val="24"/>
    </w:rPr>
  </w:style>
  <w:style w:type="paragraph" w:customStyle="1" w:styleId="p16">
    <w:name w:val="p16"/>
    <w:basedOn w:val="a"/>
    <w:qFormat/>
    <w:rsid w:val="0054446D"/>
    <w:pPr>
      <w:widowControl/>
      <w:spacing w:line="360" w:lineRule="auto"/>
      <w:ind w:firstLine="540"/>
    </w:pPr>
    <w:rPr>
      <w:rFonts w:ascii="宋体" w:hAnsi="宋体" w:cs="宋体"/>
      <w:kern w:val="0"/>
      <w:sz w:val="24"/>
      <w:szCs w:val="24"/>
    </w:rPr>
  </w:style>
  <w:style w:type="paragraph" w:customStyle="1" w:styleId="25">
    <w:name w:val="列出段落2"/>
    <w:basedOn w:val="a"/>
    <w:uiPriority w:val="34"/>
    <w:qFormat/>
    <w:rsid w:val="0054446D"/>
    <w:pPr>
      <w:ind w:firstLineChars="200" w:firstLine="420"/>
    </w:pPr>
    <w:rPr>
      <w:rFonts w:ascii="Calibri" w:hAnsi="Calibri"/>
      <w:szCs w:val="22"/>
    </w:rPr>
  </w:style>
  <w:style w:type="character" w:customStyle="1" w:styleId="apple-converted-space">
    <w:name w:val="apple-converted-space"/>
    <w:basedOn w:val="a0"/>
    <w:qFormat/>
    <w:rsid w:val="0054446D"/>
  </w:style>
  <w:style w:type="paragraph" w:customStyle="1" w:styleId="afc">
    <w:name w:val="报告正文"/>
    <w:basedOn w:val="a"/>
    <w:qFormat/>
    <w:rsid w:val="0054446D"/>
    <w:pPr>
      <w:widowControl/>
      <w:spacing w:line="500" w:lineRule="atLeast"/>
      <w:ind w:firstLine="567"/>
      <w:jc w:val="left"/>
    </w:pPr>
    <w:rPr>
      <w:rFonts w:ascii="仿宋_GB2312" w:eastAsia="仿宋_GB2312" w:hAnsi="Courier New" w:cs="宋体"/>
      <w:kern w:val="0"/>
      <w:sz w:val="28"/>
    </w:rPr>
  </w:style>
  <w:style w:type="character" w:customStyle="1" w:styleId="bjh-p">
    <w:name w:val="bjh-p"/>
    <w:basedOn w:val="a0"/>
    <w:qFormat/>
    <w:rsid w:val="0054446D"/>
  </w:style>
  <w:style w:type="paragraph" w:customStyle="1" w:styleId="ztext-empty-paragraph">
    <w:name w:val="ztext-empty-paragraph"/>
    <w:basedOn w:val="a"/>
    <w:qFormat/>
    <w:rsid w:val="0054446D"/>
    <w:pPr>
      <w:widowControl/>
      <w:spacing w:before="100" w:beforeAutospacing="1" w:after="100" w:afterAutospacing="1"/>
      <w:jc w:val="left"/>
    </w:pPr>
    <w:rPr>
      <w:rFonts w:ascii="宋体" w:hAnsi="宋体" w:cs="宋体"/>
      <w:kern w:val="0"/>
      <w:sz w:val="24"/>
      <w:szCs w:val="24"/>
    </w:rPr>
  </w:style>
  <w:style w:type="character" w:customStyle="1" w:styleId="p171">
    <w:name w:val="p171"/>
    <w:qFormat/>
    <w:rsid w:val="0054446D"/>
    <w:rPr>
      <w:sz w:val="27"/>
      <w:szCs w:val="27"/>
    </w:rPr>
  </w:style>
  <w:style w:type="character" w:customStyle="1" w:styleId="CharChar">
    <w:name w:val="Char Char"/>
    <w:qFormat/>
    <w:rsid w:val="0054446D"/>
    <w:rPr>
      <w:rFonts w:ascii="宋体" w:eastAsia="宋体" w:hAnsi="Courier New" w:hint="eastAsia"/>
      <w:kern w:val="2"/>
      <w:sz w:val="21"/>
      <w:lang w:val="en-US" w:eastAsia="zh-CN" w:bidi="ar-SA"/>
    </w:rPr>
  </w:style>
  <w:style w:type="character" w:customStyle="1" w:styleId="price1">
    <w:name w:val="price1"/>
    <w:qFormat/>
    <w:rsid w:val="0054446D"/>
    <w:rPr>
      <w:rFonts w:ascii="ˎ̥" w:hAnsi="ˎ̥" w:hint="default"/>
      <w:b/>
      <w:bCs/>
      <w:color w:val="FF7800"/>
      <w:sz w:val="24"/>
      <w:szCs w:val="24"/>
    </w:rPr>
  </w:style>
  <w:style w:type="character" w:customStyle="1" w:styleId="zib1">
    <w:name w:val="zib1"/>
    <w:qFormat/>
    <w:rsid w:val="0054446D"/>
    <w:rPr>
      <w:color w:val="333333"/>
      <w:u w:val="single"/>
    </w:rPr>
  </w:style>
  <w:style w:type="character" w:customStyle="1" w:styleId="CharChar1">
    <w:name w:val="Char Char1"/>
    <w:qFormat/>
    <w:rsid w:val="0054446D"/>
    <w:rPr>
      <w:rFonts w:ascii="宋体" w:eastAsia="宋体" w:hAnsi="Courier New"/>
      <w:kern w:val="2"/>
      <w:sz w:val="21"/>
      <w:lang w:val="en-US" w:eastAsia="zh-CN" w:bidi="ar-SA"/>
    </w:rPr>
  </w:style>
  <w:style w:type="character" w:customStyle="1" w:styleId="14">
    <w:name w:val="标题 1 字符"/>
    <w:uiPriority w:val="9"/>
    <w:qFormat/>
    <w:rsid w:val="0054446D"/>
    <w:rPr>
      <w:rFonts w:ascii="宋体" w:eastAsia="宋体" w:hAnsi="宋体" w:cs="宋体"/>
      <w:b/>
      <w:bCs/>
      <w:kern w:val="44"/>
      <w:sz w:val="44"/>
      <w:szCs w:val="44"/>
    </w:rPr>
  </w:style>
  <w:style w:type="character" w:customStyle="1" w:styleId="BodyTextIndentChar">
    <w:name w:val="Body Text Indent Char"/>
    <w:qFormat/>
    <w:rsid w:val="0054446D"/>
    <w:rPr>
      <w:rFonts w:ascii="Times New Roman" w:eastAsia="宋体" w:hAnsi="Times New Roman" w:cs="Times New Roman"/>
      <w:sz w:val="24"/>
      <w:szCs w:val="24"/>
    </w:rPr>
  </w:style>
  <w:style w:type="character" w:customStyle="1" w:styleId="3char1">
    <w:name w:val="3char"/>
    <w:qFormat/>
    <w:rsid w:val="0054446D"/>
  </w:style>
  <w:style w:type="character" w:customStyle="1" w:styleId="font91">
    <w:name w:val="font91"/>
    <w:qFormat/>
    <w:rsid w:val="0054446D"/>
    <w:rPr>
      <w:rFonts w:ascii="宋体" w:eastAsia="宋体" w:hAnsi="宋体" w:hint="eastAsia"/>
      <w:sz w:val="18"/>
      <w:szCs w:val="18"/>
    </w:rPr>
  </w:style>
  <w:style w:type="character" w:customStyle="1" w:styleId="afd">
    <w:name w:val="标题 字符"/>
    <w:uiPriority w:val="10"/>
    <w:qFormat/>
    <w:rsid w:val="0054446D"/>
    <w:rPr>
      <w:rFonts w:ascii="Cambria" w:eastAsia="宋体" w:hAnsi="Cambria" w:cs="Times New Roman"/>
      <w:b/>
      <w:bCs/>
      <w:kern w:val="0"/>
      <w:sz w:val="32"/>
      <w:szCs w:val="32"/>
    </w:rPr>
  </w:style>
  <w:style w:type="character" w:customStyle="1" w:styleId="CharChar0">
    <w:name w:val="页脚 Char Char"/>
    <w:qFormat/>
    <w:rsid w:val="0054446D"/>
    <w:rPr>
      <w:rFonts w:eastAsia="宋体"/>
      <w:kern w:val="2"/>
      <w:sz w:val="18"/>
      <w:szCs w:val="18"/>
      <w:lang w:val="en-US" w:eastAsia="zh-CN" w:bidi="ar-SA"/>
    </w:rPr>
  </w:style>
  <w:style w:type="character" w:customStyle="1" w:styleId="currentprice1">
    <w:name w:val="currentprice1"/>
    <w:qFormat/>
    <w:rsid w:val="0054446D"/>
    <w:rPr>
      <w:sz w:val="24"/>
      <w:szCs w:val="24"/>
    </w:rPr>
  </w:style>
  <w:style w:type="character" w:customStyle="1" w:styleId="CharChar2">
    <w:name w:val="Char Char2"/>
    <w:qFormat/>
    <w:rsid w:val="0054446D"/>
    <w:rPr>
      <w:rFonts w:eastAsia="宋体"/>
      <w:kern w:val="2"/>
      <w:sz w:val="21"/>
      <w:lang w:val="en-US" w:eastAsia="zh-CN" w:bidi="ar-SA"/>
    </w:rPr>
  </w:style>
  <w:style w:type="character" w:customStyle="1" w:styleId="15">
    <w:name w:val="要点1"/>
    <w:qFormat/>
    <w:rsid w:val="0054446D"/>
    <w:rPr>
      <w:b/>
    </w:rPr>
  </w:style>
  <w:style w:type="character" w:customStyle="1" w:styleId="110">
    <w:name w:val="要点11"/>
    <w:qFormat/>
    <w:rsid w:val="0054446D"/>
    <w:rPr>
      <w:b/>
    </w:rPr>
  </w:style>
  <w:style w:type="character" w:customStyle="1" w:styleId="Char11">
    <w:name w:val="正文文本缩进 Char1"/>
    <w:qFormat/>
    <w:rsid w:val="0054446D"/>
    <w:rPr>
      <w:rFonts w:ascii="楷体_GB2312" w:eastAsia="楷体_GB2312" w:hAnsi="宋体" w:cs="宋体"/>
      <w:kern w:val="0"/>
      <w:sz w:val="32"/>
      <w:szCs w:val="20"/>
    </w:rPr>
  </w:style>
  <w:style w:type="character" w:customStyle="1" w:styleId="zi999">
    <w:name w:val="zi999"/>
    <w:qFormat/>
    <w:rsid w:val="0054446D"/>
  </w:style>
  <w:style w:type="character" w:customStyle="1" w:styleId="CharChar5">
    <w:name w:val="Char Char5"/>
    <w:qFormat/>
    <w:rsid w:val="0054446D"/>
    <w:rPr>
      <w:rFonts w:ascii="宋体" w:eastAsia="宋体" w:hAnsi="Courier New" w:cs="宋体" w:hint="eastAsia"/>
      <w:kern w:val="2"/>
      <w:sz w:val="21"/>
      <w:szCs w:val="21"/>
    </w:rPr>
  </w:style>
  <w:style w:type="character" w:customStyle="1" w:styleId="Chara">
    <w:name w:val="文档结构图 Char"/>
    <w:link w:val="a5"/>
    <w:qFormat/>
    <w:rsid w:val="0054446D"/>
    <w:rPr>
      <w:kern w:val="2"/>
      <w:sz w:val="21"/>
      <w:szCs w:val="24"/>
      <w:shd w:val="clear" w:color="auto" w:fill="000080"/>
    </w:rPr>
  </w:style>
  <w:style w:type="character" w:customStyle="1" w:styleId="required">
    <w:name w:val="required"/>
    <w:qFormat/>
    <w:rsid w:val="0054446D"/>
  </w:style>
  <w:style w:type="character" w:customStyle="1" w:styleId="Charb">
    <w:name w:val="标题 Char"/>
    <w:link w:val="af1"/>
    <w:qFormat/>
    <w:rsid w:val="0054446D"/>
    <w:rPr>
      <w:rFonts w:ascii="Cambria" w:hAnsi="Cambria"/>
      <w:b/>
      <w:bCs/>
      <w:kern w:val="2"/>
      <w:sz w:val="32"/>
      <w:szCs w:val="32"/>
    </w:rPr>
  </w:style>
  <w:style w:type="character" w:customStyle="1" w:styleId="CharChar51">
    <w:name w:val="Char Char51"/>
    <w:qFormat/>
    <w:rsid w:val="0054446D"/>
    <w:rPr>
      <w:rFonts w:ascii="宋体" w:eastAsia="宋体" w:hAnsi="Courier New" w:cs="宋体"/>
      <w:kern w:val="2"/>
      <w:sz w:val="21"/>
      <w:szCs w:val="21"/>
    </w:rPr>
  </w:style>
  <w:style w:type="character" w:customStyle="1" w:styleId="26">
    <w:name w:val="要点2"/>
    <w:qFormat/>
    <w:rsid w:val="0054446D"/>
    <w:rPr>
      <w:b/>
    </w:rPr>
  </w:style>
  <w:style w:type="character" w:customStyle="1" w:styleId="Char12">
    <w:name w:val="纯文本 Char1"/>
    <w:qFormat/>
    <w:rsid w:val="0054446D"/>
    <w:rPr>
      <w:rFonts w:ascii="宋体" w:eastAsia="宋体" w:hAnsi="Courier New" w:cs="Courier New"/>
      <w:kern w:val="0"/>
      <w:szCs w:val="21"/>
    </w:rPr>
  </w:style>
  <w:style w:type="character" w:customStyle="1" w:styleId="CharChar3">
    <w:name w:val="纯文本 Char Char"/>
    <w:qFormat/>
    <w:rsid w:val="0054446D"/>
    <w:rPr>
      <w:rFonts w:ascii="宋体" w:eastAsia="宋体" w:hAnsi="Courier New"/>
      <w:kern w:val="2"/>
      <w:sz w:val="21"/>
      <w:lang w:val="en-US" w:eastAsia="zh-CN" w:bidi="ar-SA"/>
    </w:rPr>
  </w:style>
  <w:style w:type="character" w:customStyle="1" w:styleId="DateChar">
    <w:name w:val="Date Char"/>
    <w:qFormat/>
    <w:rsid w:val="0054446D"/>
    <w:rPr>
      <w:rFonts w:eastAsia="宋体"/>
      <w:kern w:val="2"/>
      <w:sz w:val="21"/>
      <w:lang w:val="en-US" w:eastAsia="zh-CN" w:bidi="ar-SA"/>
    </w:rPr>
  </w:style>
  <w:style w:type="character" w:customStyle="1" w:styleId="Char21">
    <w:name w:val="纯文本 Char2"/>
    <w:qFormat/>
    <w:rsid w:val="0054446D"/>
    <w:rPr>
      <w:rFonts w:ascii="宋体" w:hAnsi="Courier New" w:cs="Courier New"/>
      <w:kern w:val="2"/>
      <w:sz w:val="21"/>
      <w:szCs w:val="21"/>
    </w:rPr>
  </w:style>
  <w:style w:type="character" w:customStyle="1" w:styleId="HTMLChar">
    <w:name w:val="HTML 预设格式 Char"/>
    <w:link w:val="HTML"/>
    <w:qFormat/>
    <w:rsid w:val="0054446D"/>
    <w:rPr>
      <w:rFonts w:ascii="宋体" w:hAnsi="宋体" w:cs="宋体"/>
      <w:sz w:val="24"/>
      <w:szCs w:val="24"/>
    </w:rPr>
  </w:style>
  <w:style w:type="character" w:customStyle="1" w:styleId="CharChar21">
    <w:name w:val="Char Char21"/>
    <w:qFormat/>
    <w:rsid w:val="0054446D"/>
    <w:rPr>
      <w:rFonts w:eastAsia="宋体"/>
      <w:kern w:val="2"/>
      <w:sz w:val="21"/>
      <w:lang w:val="en-US" w:eastAsia="zh-CN" w:bidi="ar-SA"/>
    </w:rPr>
  </w:style>
  <w:style w:type="character" w:customStyle="1" w:styleId="BodyTextIndent3Char">
    <w:name w:val="Body Text Indent 3 Char"/>
    <w:qFormat/>
    <w:locked/>
    <w:rsid w:val="0054446D"/>
    <w:rPr>
      <w:rFonts w:ascii="Arial" w:eastAsia="宋体" w:hAnsi="Arial"/>
      <w:kern w:val="2"/>
      <w:sz w:val="24"/>
      <w:lang w:val="en-US" w:eastAsia="zh-CN" w:bidi="ar-SA"/>
    </w:rPr>
  </w:style>
  <w:style w:type="character" w:customStyle="1" w:styleId="HTMLChar1">
    <w:name w:val="HTML 预设格式 Char1"/>
    <w:qFormat/>
    <w:rsid w:val="0054446D"/>
    <w:rPr>
      <w:rFonts w:ascii="Courier New" w:hAnsi="Courier New" w:cs="Courier New"/>
      <w:kern w:val="2"/>
    </w:rPr>
  </w:style>
  <w:style w:type="character" w:styleId="afe">
    <w:name w:val="Placeholder Text"/>
    <w:qFormat/>
    <w:rsid w:val="0054446D"/>
    <w:rPr>
      <w:color w:val="808080"/>
    </w:rPr>
  </w:style>
  <w:style w:type="character" w:customStyle="1" w:styleId="required1">
    <w:name w:val="required1"/>
    <w:qFormat/>
    <w:rsid w:val="0054446D"/>
    <w:rPr>
      <w:color w:val="FF0000"/>
    </w:rPr>
  </w:style>
  <w:style w:type="character" w:customStyle="1" w:styleId="Char13">
    <w:name w:val="标题 Char1"/>
    <w:qFormat/>
    <w:rsid w:val="0054446D"/>
    <w:rPr>
      <w:rFonts w:ascii="Cambria" w:hAnsi="Cambria" w:cs="Times New Roman"/>
      <w:b/>
      <w:bCs/>
      <w:kern w:val="2"/>
      <w:sz w:val="32"/>
      <w:szCs w:val="32"/>
    </w:rPr>
  </w:style>
  <w:style w:type="character" w:customStyle="1" w:styleId="CharChar4">
    <w:name w:val="页眉 Char Char"/>
    <w:qFormat/>
    <w:rsid w:val="0054446D"/>
    <w:rPr>
      <w:rFonts w:ascii="Arial" w:eastAsia="仿宋_GB2312" w:hAnsi="Arial"/>
      <w:kern w:val="2"/>
      <w:sz w:val="18"/>
      <w:szCs w:val="18"/>
      <w:lang w:val="en-US" w:eastAsia="zh-CN" w:bidi="ar-SA"/>
    </w:rPr>
  </w:style>
  <w:style w:type="character" w:customStyle="1" w:styleId="HTMLChar2">
    <w:name w:val="HTML 预设格式 Char2"/>
    <w:basedOn w:val="a0"/>
    <w:link w:val="HTML"/>
    <w:qFormat/>
    <w:rsid w:val="0054446D"/>
    <w:rPr>
      <w:rFonts w:ascii="Courier New" w:hAnsi="Courier New" w:cs="Courier New"/>
      <w:kern w:val="2"/>
    </w:rPr>
  </w:style>
  <w:style w:type="character" w:customStyle="1" w:styleId="Char20">
    <w:name w:val="标题 Char2"/>
    <w:basedOn w:val="a0"/>
    <w:link w:val="af1"/>
    <w:qFormat/>
    <w:rsid w:val="0054446D"/>
    <w:rPr>
      <w:rFonts w:asciiTheme="majorHAnsi" w:hAnsiTheme="majorHAnsi" w:cstheme="majorBidi"/>
      <w:b/>
      <w:bCs/>
      <w:kern w:val="2"/>
      <w:sz w:val="32"/>
      <w:szCs w:val="32"/>
    </w:rPr>
  </w:style>
  <w:style w:type="character" w:customStyle="1" w:styleId="Char1">
    <w:name w:val="文档结构图 Char1"/>
    <w:basedOn w:val="a0"/>
    <w:link w:val="a5"/>
    <w:qFormat/>
    <w:rsid w:val="0054446D"/>
    <w:rPr>
      <w:rFonts w:ascii="宋体"/>
      <w:kern w:val="2"/>
      <w:sz w:val="18"/>
      <w:szCs w:val="18"/>
    </w:rPr>
  </w:style>
  <w:style w:type="paragraph" w:customStyle="1" w:styleId="0">
    <w:name w:val="0"/>
    <w:basedOn w:val="a"/>
    <w:qFormat/>
    <w:rsid w:val="0054446D"/>
    <w:pPr>
      <w:widowControl/>
      <w:spacing w:before="100" w:beforeAutospacing="1" w:after="100" w:afterAutospacing="1"/>
      <w:jc w:val="left"/>
    </w:pPr>
    <w:rPr>
      <w:rFonts w:ascii="宋体" w:hAnsi="宋体" w:cs="宋体"/>
      <w:kern w:val="0"/>
      <w:sz w:val="24"/>
      <w:szCs w:val="24"/>
    </w:rPr>
  </w:style>
  <w:style w:type="paragraph" w:customStyle="1" w:styleId="Charc">
    <w:name w:val="Char"/>
    <w:basedOn w:val="a"/>
    <w:qFormat/>
    <w:rsid w:val="0054446D"/>
    <w:pPr>
      <w:widowControl/>
      <w:jc w:val="left"/>
    </w:pPr>
    <w:rPr>
      <w:rFonts w:ascii="Tahoma" w:hAnsi="Tahoma" w:cs="宋体"/>
      <w:kern w:val="0"/>
      <w:sz w:val="24"/>
    </w:rPr>
  </w:style>
  <w:style w:type="paragraph" w:customStyle="1" w:styleId="newnewnewnewnewnewnewnewnewnewnewnewnewnewnewnewnewnewnewnew">
    <w:name w:val="newnewnewnewnewnewnewnewnewnewnewnewnewnewnewnewnewnewnewnew"/>
    <w:basedOn w:val="a"/>
    <w:qFormat/>
    <w:rsid w:val="0054446D"/>
    <w:pPr>
      <w:widowControl/>
      <w:spacing w:before="100" w:beforeAutospacing="1" w:after="100" w:afterAutospacing="1"/>
      <w:jc w:val="left"/>
    </w:pPr>
    <w:rPr>
      <w:rFonts w:ascii="宋体" w:hAnsi="宋体" w:cs="宋体"/>
      <w:kern w:val="0"/>
      <w:sz w:val="24"/>
      <w:szCs w:val="24"/>
    </w:rPr>
  </w:style>
  <w:style w:type="paragraph" w:customStyle="1" w:styleId="newnewnewnewnewnewnewnew">
    <w:name w:val="newnewnewnewnewnewnewnew"/>
    <w:basedOn w:val="a"/>
    <w:qFormat/>
    <w:rsid w:val="0054446D"/>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qFormat/>
    <w:rsid w:val="0054446D"/>
    <w:pPr>
      <w:widowControl/>
      <w:jc w:val="left"/>
    </w:pPr>
    <w:rPr>
      <w:rFonts w:ascii="宋体" w:hAnsi="宋体" w:cs="宋体"/>
      <w:kern w:val="0"/>
      <w:sz w:val="24"/>
      <w:szCs w:val="21"/>
    </w:rPr>
  </w:style>
  <w:style w:type="paragraph" w:customStyle="1" w:styleId="51">
    <w:name w:val="5节"/>
    <w:basedOn w:val="a"/>
    <w:qFormat/>
    <w:rsid w:val="0054446D"/>
    <w:pPr>
      <w:widowControl/>
      <w:spacing w:line="500" w:lineRule="atLeast"/>
      <w:ind w:firstLine="567"/>
      <w:jc w:val="left"/>
      <w:outlineLvl w:val="2"/>
    </w:pPr>
    <w:rPr>
      <w:rFonts w:ascii="仿宋_GB2312" w:eastAsia="仿宋_GB2312" w:hAnsi="Courier New" w:cs="宋体"/>
      <w:kern w:val="0"/>
      <w:sz w:val="28"/>
    </w:rPr>
  </w:style>
  <w:style w:type="paragraph" w:customStyle="1" w:styleId="CharChar11">
    <w:name w:val="Char Char11"/>
    <w:basedOn w:val="a"/>
    <w:qFormat/>
    <w:rsid w:val="0054446D"/>
    <w:pPr>
      <w:widowControl/>
      <w:jc w:val="left"/>
    </w:pPr>
    <w:rPr>
      <w:rFonts w:ascii="宋体" w:hAnsi="宋体" w:cs="宋体"/>
      <w:kern w:val="0"/>
      <w:sz w:val="24"/>
    </w:rPr>
  </w:style>
  <w:style w:type="paragraph" w:customStyle="1" w:styleId="Style30">
    <w:name w:val="_Style 30"/>
    <w:next w:val="a"/>
    <w:qFormat/>
    <w:rsid w:val="0054446D"/>
    <w:rPr>
      <w:rFonts w:ascii="宋体" w:hAnsi="宋体" w:cs="宋体"/>
      <w:sz w:val="24"/>
      <w:szCs w:val="24"/>
    </w:rPr>
  </w:style>
  <w:style w:type="paragraph" w:customStyle="1" w:styleId="27">
    <w:name w:val="2封面文字"/>
    <w:basedOn w:val="a"/>
    <w:qFormat/>
    <w:rsid w:val="0054446D"/>
    <w:pPr>
      <w:widowControl/>
      <w:spacing w:line="500" w:lineRule="exact"/>
      <w:ind w:left="641"/>
      <w:jc w:val="left"/>
    </w:pPr>
    <w:rPr>
      <w:rFonts w:ascii="楷体_GB2312" w:eastAsia="楷体_GB2312" w:hAnsi="Courier New" w:cs="宋体"/>
      <w:kern w:val="0"/>
      <w:sz w:val="32"/>
    </w:rPr>
  </w:style>
  <w:style w:type="paragraph" w:customStyle="1" w:styleId="text1">
    <w:name w:val="text1"/>
    <w:basedOn w:val="a"/>
    <w:qFormat/>
    <w:rsid w:val="0054446D"/>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22">
    <w:name w:val="Char2"/>
    <w:basedOn w:val="a"/>
    <w:qFormat/>
    <w:rsid w:val="0054446D"/>
    <w:pPr>
      <w:widowControl/>
      <w:jc w:val="left"/>
    </w:pPr>
    <w:rPr>
      <w:rFonts w:ascii="Tahoma" w:hAnsi="Tahoma" w:cs="宋体"/>
      <w:kern w:val="0"/>
      <w:sz w:val="24"/>
    </w:rPr>
  </w:style>
  <w:style w:type="paragraph" w:customStyle="1" w:styleId="71">
    <w:name w:val="7子目"/>
    <w:basedOn w:val="a"/>
    <w:rsid w:val="0054446D"/>
    <w:pPr>
      <w:widowControl/>
      <w:spacing w:line="500" w:lineRule="exact"/>
      <w:ind w:firstLine="567"/>
      <w:jc w:val="left"/>
      <w:outlineLvl w:val="4"/>
    </w:pPr>
    <w:rPr>
      <w:rFonts w:ascii="仿宋_GB2312" w:eastAsia="仿宋_GB2312" w:hAnsi="Courier New" w:cs="宋体"/>
      <w:kern w:val="0"/>
      <w:sz w:val="28"/>
    </w:rPr>
  </w:style>
  <w:style w:type="paragraph" w:customStyle="1" w:styleId="new0">
    <w:name w:val="new"/>
    <w:basedOn w:val="a"/>
    <w:qFormat/>
    <w:rsid w:val="0054446D"/>
    <w:pPr>
      <w:widowControl/>
      <w:spacing w:before="100" w:beforeAutospacing="1" w:after="100" w:afterAutospacing="1"/>
      <w:jc w:val="left"/>
    </w:pPr>
    <w:rPr>
      <w:rFonts w:ascii="宋体" w:hAnsi="宋体" w:cs="宋体"/>
      <w:kern w:val="0"/>
      <w:sz w:val="24"/>
      <w:szCs w:val="24"/>
    </w:rPr>
  </w:style>
  <w:style w:type="paragraph" w:customStyle="1" w:styleId="aff">
    <w:name w:val="标准"/>
    <w:basedOn w:val="a"/>
    <w:qFormat/>
    <w:rsid w:val="0054446D"/>
    <w:pPr>
      <w:widowControl/>
      <w:overflowPunct w:val="0"/>
      <w:autoSpaceDE w:val="0"/>
      <w:autoSpaceDN w:val="0"/>
      <w:adjustRightInd w:val="0"/>
      <w:spacing w:before="120" w:after="120"/>
      <w:ind w:firstLine="454"/>
      <w:jc w:val="left"/>
      <w:textAlignment w:val="baseline"/>
    </w:pPr>
    <w:rPr>
      <w:rFonts w:ascii="仿宋_GB2312" w:eastAsia="仿宋_GB2312" w:hAnsi="宋体" w:cs="宋体"/>
      <w:kern w:val="0"/>
      <w:sz w:val="24"/>
    </w:rPr>
  </w:style>
  <w:style w:type="paragraph" w:customStyle="1" w:styleId="16">
    <w:name w:val="1"/>
    <w:next w:val="a"/>
    <w:qFormat/>
    <w:rsid w:val="0054446D"/>
    <w:rPr>
      <w:rFonts w:ascii="宋体" w:hAnsi="宋体" w:cs="宋体"/>
      <w:sz w:val="24"/>
      <w:szCs w:val="24"/>
    </w:rPr>
  </w:style>
  <w:style w:type="paragraph" w:customStyle="1" w:styleId="28">
    <w:name w:val="纯文本2"/>
    <w:basedOn w:val="a"/>
    <w:qFormat/>
    <w:rsid w:val="0054446D"/>
    <w:pPr>
      <w:widowControl/>
      <w:adjustRightInd w:val="0"/>
      <w:jc w:val="left"/>
      <w:textAlignment w:val="baseline"/>
    </w:pPr>
    <w:rPr>
      <w:rFonts w:ascii="宋体" w:hAnsi="Courier New" w:cs="宋体"/>
      <w:kern w:val="0"/>
      <w:sz w:val="24"/>
    </w:rPr>
  </w:style>
  <w:style w:type="paragraph" w:customStyle="1" w:styleId="CharCharCharChar1">
    <w:name w:val="Char Char Char Char1"/>
    <w:basedOn w:val="a"/>
    <w:qFormat/>
    <w:rsid w:val="0054446D"/>
    <w:pPr>
      <w:widowControl/>
      <w:spacing w:after="160" w:line="240" w:lineRule="exact"/>
      <w:jc w:val="left"/>
    </w:pPr>
    <w:rPr>
      <w:rFonts w:ascii="Verdana" w:eastAsia="仿宋_GB2312" w:hAnsi="Verdana"/>
      <w:kern w:val="0"/>
      <w:sz w:val="24"/>
      <w:lang w:eastAsia="en-US"/>
    </w:rPr>
  </w:style>
  <w:style w:type="paragraph" w:customStyle="1" w:styleId="newnewnewnewnewnew">
    <w:name w:val="newnewnewnewnewnew"/>
    <w:basedOn w:val="a"/>
    <w:qFormat/>
    <w:rsid w:val="0054446D"/>
    <w:pPr>
      <w:widowControl/>
      <w:spacing w:before="100" w:beforeAutospacing="1" w:after="100" w:afterAutospacing="1"/>
      <w:jc w:val="left"/>
    </w:pPr>
    <w:rPr>
      <w:rFonts w:ascii="宋体" w:hAnsi="宋体" w:cs="宋体"/>
      <w:kern w:val="0"/>
      <w:sz w:val="24"/>
      <w:szCs w:val="24"/>
    </w:rPr>
  </w:style>
  <w:style w:type="paragraph" w:customStyle="1" w:styleId="aff0">
    <w:name w:val="表文"/>
    <w:basedOn w:val="a"/>
    <w:qFormat/>
    <w:rsid w:val="0054446D"/>
    <w:pPr>
      <w:widowControl/>
      <w:autoSpaceDE w:val="0"/>
      <w:autoSpaceDN w:val="0"/>
      <w:adjustRightInd w:val="0"/>
      <w:snapToGrid w:val="0"/>
      <w:spacing w:line="300" w:lineRule="exact"/>
      <w:ind w:leftChars="46" w:left="97" w:firstLine="11"/>
      <w:jc w:val="center"/>
      <w:textAlignment w:val="bottom"/>
    </w:pPr>
    <w:rPr>
      <w:rFonts w:ascii="宋体" w:eastAsia="黑体" w:hAnsi="宋体" w:cs="宋体"/>
      <w:bCs/>
      <w:snapToGrid w:val="0"/>
      <w:kern w:val="0"/>
      <w:sz w:val="24"/>
      <w:szCs w:val="21"/>
    </w:rPr>
  </w:style>
  <w:style w:type="paragraph" w:customStyle="1" w:styleId="ParaCharCharCharCharCharCharChar">
    <w:name w:val="默认段落字体 Para Char Char Char Char Char Char Char"/>
    <w:basedOn w:val="a"/>
    <w:qFormat/>
    <w:rsid w:val="0054446D"/>
    <w:pPr>
      <w:widowControl/>
      <w:jc w:val="left"/>
    </w:pPr>
    <w:rPr>
      <w:rFonts w:ascii="宋体" w:hAnsi="宋体" w:cs="宋体"/>
      <w:kern w:val="0"/>
      <w:sz w:val="24"/>
    </w:rPr>
  </w:style>
  <w:style w:type="paragraph" w:customStyle="1" w:styleId="xl22">
    <w:name w:val="xl22"/>
    <w:basedOn w:val="a"/>
    <w:qFormat/>
    <w:rsid w:val="0054446D"/>
    <w:pPr>
      <w:widowControl/>
      <w:spacing w:before="100" w:beforeAutospacing="1" w:after="100" w:afterAutospacing="1"/>
      <w:jc w:val="center"/>
    </w:pPr>
    <w:rPr>
      <w:rFonts w:ascii="宋体" w:hAnsi="宋体" w:cs="宋体"/>
      <w:kern w:val="0"/>
      <w:sz w:val="24"/>
      <w:szCs w:val="24"/>
    </w:rPr>
  </w:style>
  <w:style w:type="paragraph" w:customStyle="1" w:styleId="17">
    <w:name w:val="纯文本1"/>
    <w:basedOn w:val="a"/>
    <w:qFormat/>
    <w:rsid w:val="0054446D"/>
    <w:pPr>
      <w:widowControl/>
      <w:adjustRightInd w:val="0"/>
      <w:jc w:val="left"/>
      <w:textAlignment w:val="baseline"/>
    </w:pPr>
    <w:rPr>
      <w:rFonts w:ascii="宋体" w:hAnsi="Courier New" w:cs="宋体"/>
      <w:kern w:val="0"/>
      <w:sz w:val="24"/>
    </w:rPr>
  </w:style>
  <w:style w:type="paragraph" w:customStyle="1" w:styleId="Default">
    <w:name w:val="Default"/>
    <w:qFormat/>
    <w:rsid w:val="0054446D"/>
    <w:pPr>
      <w:widowControl w:val="0"/>
      <w:autoSpaceDE w:val="0"/>
      <w:autoSpaceDN w:val="0"/>
      <w:adjustRightInd w:val="0"/>
    </w:pPr>
    <w:rPr>
      <w:rFonts w:ascii="宋体" w:hAnsi="宋体" w:cs="宋体"/>
      <w:color w:val="000000"/>
      <w:sz w:val="24"/>
      <w:szCs w:val="24"/>
    </w:rPr>
  </w:style>
  <w:style w:type="paragraph" w:customStyle="1" w:styleId="72">
    <w:name w:val="样式7"/>
    <w:basedOn w:val="a"/>
    <w:qFormat/>
    <w:rsid w:val="0054446D"/>
    <w:pPr>
      <w:widowControl/>
      <w:spacing w:line="360" w:lineRule="auto"/>
      <w:ind w:firstLine="567"/>
      <w:jc w:val="left"/>
    </w:pPr>
    <w:rPr>
      <w:rFonts w:ascii="仿宋_GB2312" w:eastAsia="仿宋_GB2312" w:hAnsi="宋体" w:cs="宋体"/>
      <w:kern w:val="0"/>
      <w:sz w:val="28"/>
    </w:rPr>
  </w:style>
  <w:style w:type="paragraph" w:customStyle="1" w:styleId="CharChar12">
    <w:name w:val="Char Char12"/>
    <w:basedOn w:val="a"/>
    <w:qFormat/>
    <w:rsid w:val="0054446D"/>
    <w:pPr>
      <w:widowControl/>
      <w:jc w:val="left"/>
    </w:pPr>
    <w:rPr>
      <w:rFonts w:ascii="宋体" w:hAnsi="宋体" w:cs="宋体"/>
      <w:kern w:val="0"/>
      <w:sz w:val="24"/>
    </w:rPr>
  </w:style>
  <w:style w:type="paragraph" w:customStyle="1" w:styleId="33">
    <w:name w:val="纯文本3"/>
    <w:basedOn w:val="a"/>
    <w:qFormat/>
    <w:rsid w:val="0054446D"/>
    <w:pPr>
      <w:widowControl/>
      <w:adjustRightInd w:val="0"/>
      <w:jc w:val="left"/>
      <w:textAlignment w:val="baseline"/>
    </w:pPr>
    <w:rPr>
      <w:rFonts w:ascii="宋体" w:hAnsi="Courier New" w:cs="宋体"/>
      <w:kern w:val="0"/>
      <w:sz w:val="24"/>
    </w:rPr>
  </w:style>
  <w:style w:type="paragraph" w:customStyle="1" w:styleId="Char110">
    <w:name w:val="Char11"/>
    <w:basedOn w:val="a"/>
    <w:qFormat/>
    <w:rsid w:val="0054446D"/>
    <w:pPr>
      <w:widowControl/>
      <w:spacing w:after="160" w:line="240" w:lineRule="exact"/>
      <w:jc w:val="left"/>
    </w:pPr>
    <w:rPr>
      <w:rFonts w:ascii="Verdana" w:eastAsia="仿宋_GB2312" w:hAnsi="Verdana"/>
      <w:kern w:val="0"/>
      <w:sz w:val="24"/>
      <w:lang w:eastAsia="en-US"/>
    </w:rPr>
  </w:style>
  <w:style w:type="character" w:customStyle="1" w:styleId="generalinfo-address-text">
    <w:name w:val="generalinfo-address-text"/>
    <w:basedOn w:val="a0"/>
    <w:qFormat/>
    <w:rsid w:val="0054446D"/>
  </w:style>
</w:styles>
</file>

<file path=word/webSettings.xml><?xml version="1.0" encoding="utf-8"?>
<w:webSettings xmlns:r="http://schemas.openxmlformats.org/officeDocument/2006/relationships" xmlns:w="http://schemas.openxmlformats.org/wordprocessingml/2006/main">
  <w:divs>
    <w:div w:id="1269655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6%B8%9D%E6%B0%B4%E5%8C%BA/480078" TargetMode="External"/><Relationship Id="rId18" Type="http://schemas.openxmlformats.org/officeDocument/2006/relationships/image" Target="media/image3.jpeg"/><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3.xm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baike.baidu.com/item/%E6%96%B0%E4%BD%99%E9%AB%98%E6%96%B0%E6%8A%80%E6%9C%AF%E4%BA%A7%E4%B8%9A%E5%BC%80%E5%8F%91%E5%8C%BA/10774539"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wmf"/><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baike.baidu.com/item/%E4%BB%99%E5%A5%B3%E6%B9%96%E9%A3%8E%E6%99%AF%E5%90%8D%E8%83%9C%E5%8C%BA/8796695" TargetMode="External"/><Relationship Id="rId22" Type="http://schemas.openxmlformats.org/officeDocument/2006/relationships/oleObject" Target="embeddings/oleObject2.bin"/><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1EEFE2B8-0870-4F6E-A052-79BB2CDE19D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69</Pages>
  <Words>43492</Words>
  <Characters>10351</Characters>
  <Application>Microsoft Office Word</Application>
  <DocSecurity>0</DocSecurity>
  <Lines>86</Lines>
  <Paragraphs>107</Paragraphs>
  <ScaleCrop>false</ScaleCrop>
  <Company>微软中国</Company>
  <LinksUpToDate>false</LinksUpToDate>
  <CharactersWithSpaces>53736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周鑫</dc:creator>
  <cp:lastModifiedBy>ly</cp:lastModifiedBy>
  <cp:revision>32</cp:revision>
  <cp:lastPrinted>2022-06-07T00:35:00Z</cp:lastPrinted>
  <dcterms:created xsi:type="dcterms:W3CDTF">2020-07-06T01:39:00Z</dcterms:created>
  <dcterms:modified xsi:type="dcterms:W3CDTF">2022-06-17T03:07:00Z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BDEE32956D75425AB498D466777080CF</vt:lpwstr>
  </property>
</Properties>
</file>