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ind w:firstLine="420" w:firstLineChars="0"/>
        <w:jc w:val="center"/>
        <w:rPr>
          <w:rFonts w:ascii="仿宋" w:hAnsi="仿宋" w:eastAsia="仿宋"/>
          <w:sz w:val="36"/>
          <w:szCs w:val="36"/>
        </w:rPr>
      </w:pPr>
      <w:r>
        <w:rPr>
          <w:rFonts w:hint="eastAsia" w:ascii="仿宋" w:hAnsi="仿宋" w:eastAsia="仿宋"/>
          <w:b/>
          <w:bCs/>
          <w:sz w:val="36"/>
          <w:szCs w:val="36"/>
        </w:rPr>
        <w:t>目    录</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一、致委托方函....................</w:t>
      </w:r>
      <w:r>
        <w:rPr>
          <w:rFonts w:hint="eastAsia" w:ascii="仿宋_GB2312" w:hAnsi="宋体" w:eastAsia="仿宋_GB2312"/>
          <w:sz w:val="28"/>
          <w:szCs w:val="28"/>
          <w:lang w:val="en-US" w:eastAsia="zh-CN"/>
        </w:rPr>
        <w:t>.................3-4</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二、估价师声明</w:t>
      </w:r>
      <w:r>
        <w:rPr>
          <w:rFonts w:hint="eastAsia" w:ascii="仿宋_GB2312" w:hAnsi="宋体" w:eastAsia="仿宋_GB2312"/>
          <w:sz w:val="28"/>
          <w:szCs w:val="28"/>
          <w:lang w:val="en-US" w:eastAsia="zh-CN"/>
        </w:rPr>
        <w:t xml:space="preserve"> ......................................5</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三、估价的假设和限制条件</w:t>
      </w:r>
      <w:r>
        <w:rPr>
          <w:rFonts w:hint="eastAsia" w:ascii="仿宋_GB2312" w:hAnsi="宋体" w:eastAsia="仿宋_GB2312"/>
          <w:sz w:val="28"/>
          <w:szCs w:val="28"/>
          <w:lang w:val="en-US" w:eastAsia="zh-CN"/>
        </w:rPr>
        <w:t xml:space="preserve"> ..........................6-8</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四、房地产估价结果报告</w:t>
      </w:r>
      <w:r>
        <w:rPr>
          <w:rFonts w:hint="eastAsia" w:ascii="仿宋_GB2312" w:hAnsi="宋体" w:eastAsia="仿宋_GB2312"/>
          <w:sz w:val="28"/>
          <w:szCs w:val="28"/>
          <w:lang w:val="en-US" w:eastAsia="zh-CN"/>
        </w:rPr>
        <w:t xml:space="preserve"> ...........................9-14</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（一）委托方........................................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（二）估价方.........................................9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（三）估价对象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（四）估价目的 .....................................11</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（五）估价时点 .....................................11</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（六）价值定义 .....................................11</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（七）估价依据 .....................................11</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（八）估价原则 .....................................12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（九）估价方法 .....................................13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（十）估价结果 .....................................13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（十一）评估机构 ...................................14</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（十二）评估人员....................................14</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（十三）报告出具日期................................14</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（十四）估价报告应用的有效期 .......................14</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五、房地产估价技术报告</w:t>
      </w:r>
      <w:r>
        <w:rPr>
          <w:rFonts w:hint="eastAsia" w:ascii="仿宋_GB2312" w:hAnsi="宋体" w:eastAsia="仿宋_GB2312"/>
          <w:sz w:val="28"/>
          <w:szCs w:val="28"/>
          <w:lang w:val="en-US" w:eastAsia="zh-CN"/>
        </w:rPr>
        <w:t xml:space="preserve"> .........................15-23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（一）估价对象实物分析 .............................15</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（二）区域因素分析 .................................16</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（三）最高最佳使用分析 .............................16</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（四）估价方法的选用................................17</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（五）估价测算过程...............................17-23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（六）估价结果确定..................................23</w:t>
      </w:r>
    </w:p>
    <w:p>
      <w:pPr>
        <w:jc w:val="both"/>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六、附件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（一）孝感市孝南区人民法院司法鉴定委托书复印件；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（二）价格评估机构资质证书复印件；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（三）评估机构法人营业执照副本复印件；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（四）价格评估人员资格证书复印件；</w:t>
      </w:r>
    </w:p>
    <w:p>
      <w:pPr>
        <w:ind w:firstLine="560" w:firstLineChars="200"/>
        <w:rPr>
          <w:rFonts w:hint="eastAsia" w:ascii="仿宋" w:hAnsi="仿宋" w:eastAsia="仿宋"/>
          <w:b/>
          <w:bCs/>
          <w:sz w:val="44"/>
          <w:szCs w:val="44"/>
        </w:rPr>
      </w:pPr>
      <w:r>
        <w:rPr>
          <w:rFonts w:hint="eastAsia" w:ascii="仿宋_GB2312" w:hAnsi="宋体" w:eastAsia="仿宋_GB2312"/>
          <w:sz w:val="28"/>
          <w:szCs w:val="28"/>
          <w:lang w:val="en-US" w:eastAsia="zh-CN"/>
        </w:rPr>
        <w:t xml:space="preserve"> （五）现场勘验估价对象有关照片。</w:t>
      </w:r>
    </w:p>
    <w:p>
      <w:pPr>
        <w:jc w:val="center"/>
        <w:rPr>
          <w:rFonts w:hint="eastAsia" w:ascii="仿宋" w:hAnsi="仿宋" w:eastAsia="仿宋"/>
          <w:b/>
          <w:bCs/>
          <w:sz w:val="44"/>
          <w:szCs w:val="44"/>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rPr>
      </w:pPr>
    </w:p>
    <w:p>
      <w:pPr>
        <w:jc w:val="center"/>
        <w:rPr>
          <w:rFonts w:hint="eastAsia" w:ascii="仿宋" w:hAnsi="仿宋" w:eastAsia="仿宋"/>
          <w:b/>
          <w:bCs/>
          <w:sz w:val="44"/>
          <w:szCs w:val="44"/>
        </w:rPr>
      </w:pPr>
    </w:p>
    <w:p>
      <w:pPr>
        <w:jc w:val="center"/>
        <w:rPr>
          <w:rFonts w:hint="eastAsia" w:ascii="仿宋" w:hAnsi="仿宋" w:eastAsia="仿宋"/>
          <w:b/>
          <w:bCs/>
          <w:sz w:val="44"/>
          <w:szCs w:val="44"/>
        </w:rPr>
      </w:pP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center"/>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致委托方函</w:t>
      </w:r>
    </w:p>
    <w:p>
      <w:pPr>
        <w:ind w:firstLine="560" w:firstLineChars="200"/>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孝感市孝南区人民法院：</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受贵方（以下简称委托方）的委托，本公司</w:t>
      </w:r>
      <w:r>
        <w:rPr>
          <w:rFonts w:hint="eastAsia" w:ascii="仿宋_GB2312" w:hAnsi="宋体" w:eastAsia="仿宋_GB2312" w:cs="Times New Roman"/>
          <w:kern w:val="2"/>
          <w:sz w:val="28"/>
          <w:szCs w:val="28"/>
          <w:highlight w:val="none"/>
          <w:lang w:val="en-US" w:eastAsia="zh-CN" w:bidi="ar-SA"/>
        </w:rPr>
        <w:t>于2022年08月16日派</w:t>
      </w:r>
      <w:r>
        <w:rPr>
          <w:rFonts w:hint="eastAsia" w:ascii="仿宋_GB2312" w:hAnsi="宋体" w:eastAsia="仿宋_GB2312" w:cs="Times New Roman"/>
          <w:kern w:val="2"/>
          <w:sz w:val="28"/>
          <w:szCs w:val="28"/>
          <w:lang w:val="en-US" w:eastAsia="zh-CN" w:bidi="ar-SA"/>
        </w:rPr>
        <w:t>员对委托方列明的</w:t>
      </w:r>
      <w:r>
        <w:rPr>
          <w:rFonts w:hint="eastAsia" w:ascii="仿宋_GB2312" w:hAnsi="宋体" w:eastAsia="仿宋_GB2312" w:cs="Times New Roman"/>
          <w:kern w:val="2"/>
          <w:sz w:val="28"/>
          <w:szCs w:val="28"/>
          <w:highlight w:val="none"/>
          <w:lang w:val="en-US" w:eastAsia="zh-CN" w:bidi="ar-SA"/>
        </w:rPr>
        <w:t>万芬所有的、</w:t>
      </w:r>
      <w:r>
        <w:rPr>
          <w:rFonts w:hint="eastAsia" w:ascii="仿宋_GB2312" w:hAnsi="宋体" w:eastAsia="仿宋_GB2312" w:cs="Times New Roman"/>
          <w:kern w:val="2"/>
          <w:sz w:val="28"/>
          <w:szCs w:val="28"/>
          <w:lang w:val="en-US" w:eastAsia="zh-CN" w:bidi="ar-SA"/>
        </w:rPr>
        <w:t>位于孝感市孝南区槐荫大道星河天街C1号幢8层0819室、8层0820室、8层0821室、8层0822室、8层0823室，建筑面积分别为</w:t>
      </w:r>
      <w:r>
        <w:rPr>
          <w:rFonts w:hint="eastAsia" w:ascii="仿宋_GB2312" w:hAnsi="宋体" w:eastAsia="仿宋_GB2312" w:cs="Times New Roman"/>
          <w:kern w:val="2"/>
          <w:sz w:val="28"/>
          <w:szCs w:val="28"/>
          <w:highlight w:val="none"/>
          <w:lang w:val="en-US" w:eastAsia="zh-CN" w:bidi="ar-SA"/>
        </w:rPr>
        <w:t>55.3㎡、72.86㎡、52.13㎡、72.86㎡、55.3㎡的5套</w:t>
      </w:r>
      <w:r>
        <w:rPr>
          <w:rFonts w:hint="eastAsia" w:ascii="仿宋_GB2312" w:hAnsi="宋体" w:eastAsia="仿宋_GB2312" w:cs="Times New Roman"/>
          <w:kern w:val="2"/>
          <w:sz w:val="28"/>
          <w:szCs w:val="28"/>
          <w:lang w:val="en-US" w:eastAsia="zh-CN" w:bidi="ar-SA"/>
        </w:rPr>
        <w:t>住宅房屋（含相关权益）进行了现场实地查勘，并对估价对象房地产于估价时</w:t>
      </w:r>
      <w:r>
        <w:rPr>
          <w:rFonts w:hint="eastAsia" w:ascii="仿宋_GB2312" w:hAnsi="宋体" w:eastAsia="仿宋_GB2312" w:cs="Times New Roman"/>
          <w:kern w:val="2"/>
          <w:sz w:val="28"/>
          <w:szCs w:val="28"/>
          <w:highlight w:val="none"/>
          <w:lang w:val="en-US" w:eastAsia="zh-CN" w:bidi="ar-SA"/>
        </w:rPr>
        <w:t>点2022年08月16日的市</w:t>
      </w:r>
      <w:r>
        <w:rPr>
          <w:rFonts w:hint="eastAsia" w:ascii="仿宋_GB2312" w:hAnsi="宋体" w:eastAsia="仿宋_GB2312" w:cs="Times New Roman"/>
          <w:kern w:val="2"/>
          <w:sz w:val="28"/>
          <w:szCs w:val="28"/>
          <w:lang w:val="en-US" w:eastAsia="zh-CN" w:bidi="ar-SA"/>
        </w:rPr>
        <w:t>场价值进行了估价，为委托方确定财产处置参考价提供价格咨询参考依据。</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在整个估价过程中，估价人员本着独立、客观、公正的原则，根据估价目的，收集有关资料，按照估价程序，选择市场法对估价对象进行了评估。估价人员经过实地勘察和测算，确定估价对象在估价时点可能形成的市场价值为</w:t>
      </w:r>
      <w:r>
        <w:rPr>
          <w:rFonts w:hint="eastAsia" w:ascii="仿宋_GB2312" w:hAnsi="宋体" w:eastAsia="仿宋_GB2312" w:cs="Times New Roman"/>
          <w:kern w:val="2"/>
          <w:sz w:val="28"/>
          <w:szCs w:val="28"/>
          <w:highlight w:val="none"/>
          <w:lang w:val="en-US" w:eastAsia="zh-CN" w:bidi="ar-SA"/>
        </w:rPr>
        <w:t>￥</w:t>
      </w:r>
      <w:r>
        <w:rPr>
          <w:rFonts w:hint="eastAsia" w:ascii="仿宋_GB2312" w:hAnsi="宋体" w:eastAsia="仿宋_GB2312" w:cs="Times New Roman"/>
          <w:kern w:val="2"/>
          <w:sz w:val="28"/>
          <w:szCs w:val="28"/>
          <w:lang w:val="en-US" w:eastAsia="zh-CN" w:bidi="ar-SA"/>
        </w:rPr>
        <w:t>2892376</w:t>
      </w:r>
      <w:r>
        <w:rPr>
          <w:rFonts w:hint="eastAsia" w:ascii="仿宋_GB2312" w:hAnsi="宋体" w:eastAsia="仿宋_GB2312" w:cs="Times New Roman"/>
          <w:kern w:val="2"/>
          <w:sz w:val="28"/>
          <w:szCs w:val="28"/>
          <w:highlight w:val="none"/>
          <w:lang w:val="en-US" w:eastAsia="zh-CN" w:bidi="ar-SA"/>
        </w:rPr>
        <w:t>元(大</w:t>
      </w:r>
      <w:r>
        <w:rPr>
          <w:rFonts w:hint="eastAsia" w:ascii="仿宋_GB2312" w:hAnsi="宋体" w:eastAsia="仿宋_GB2312" w:cs="Times New Roman"/>
          <w:kern w:val="2"/>
          <w:sz w:val="28"/>
          <w:szCs w:val="28"/>
          <w:lang w:val="en-US" w:eastAsia="zh-CN" w:bidi="ar-SA"/>
        </w:rPr>
        <w:t>写人民币贰佰捌拾玖万贰仟叁佰柒拾陆元整</w:t>
      </w:r>
      <w:r>
        <w:rPr>
          <w:rFonts w:hint="eastAsia" w:ascii="仿宋_GB2312" w:hAnsi="宋体" w:eastAsia="仿宋_GB2312" w:cs="Times New Roman"/>
          <w:kern w:val="2"/>
          <w:sz w:val="28"/>
          <w:szCs w:val="28"/>
          <w:highlight w:val="none"/>
          <w:lang w:val="en-US" w:eastAsia="zh-CN" w:bidi="ar-SA"/>
        </w:rPr>
        <w:t>)</w:t>
      </w:r>
      <w:r>
        <w:rPr>
          <w:rFonts w:hint="eastAsia" w:ascii="仿宋_GB2312" w:hAnsi="宋体" w:eastAsia="仿宋_GB2312" w:cs="Times New Roman"/>
          <w:kern w:val="2"/>
          <w:sz w:val="28"/>
          <w:szCs w:val="28"/>
          <w:highlight w:val="none"/>
          <w:lang w:val="en-US" w:eastAsia="zh-CN" w:bidi="ar-SA"/>
        </w:rPr>
        <w:t xml:space="preserve">。详见房地产估价结果明细表。     </w:t>
      </w:r>
      <w:r>
        <w:rPr>
          <w:rFonts w:hint="eastAsia" w:ascii="仿宋_GB2312" w:hAnsi="宋体" w:eastAsia="仿宋_GB2312" w:cs="Times New Roman"/>
          <w:kern w:val="2"/>
          <w:sz w:val="28"/>
          <w:szCs w:val="28"/>
          <w:lang w:val="en-US" w:eastAsia="zh-CN" w:bidi="ar-SA"/>
        </w:rPr>
        <w:t xml:space="preserve">                                             </w:t>
      </w:r>
    </w:p>
    <w:p>
      <w:pPr>
        <w:ind w:firstLine="4200" w:firstLineChars="1500"/>
        <w:rPr>
          <w:rFonts w:hint="eastAsia" w:ascii="仿宋_GB2312" w:hAnsi="宋体" w:eastAsia="仿宋_GB2312" w:cs="Times New Roman"/>
          <w:kern w:val="2"/>
          <w:sz w:val="28"/>
          <w:szCs w:val="28"/>
          <w:lang w:val="en-US" w:eastAsia="zh-CN" w:bidi="ar-SA"/>
        </w:rPr>
      </w:pPr>
    </w:p>
    <w:p>
      <w:pPr>
        <w:ind w:firstLine="4200" w:firstLineChars="1500"/>
        <w:rPr>
          <w:rFonts w:hint="eastAsia" w:ascii="仿宋_GB2312" w:hAnsi="宋体" w:eastAsia="仿宋_GB2312" w:cs="Times New Roman"/>
          <w:kern w:val="2"/>
          <w:sz w:val="28"/>
          <w:szCs w:val="28"/>
          <w:lang w:val="en-US" w:eastAsia="zh-CN" w:bidi="ar-SA"/>
        </w:rPr>
      </w:pPr>
    </w:p>
    <w:p>
      <w:pPr>
        <w:ind w:firstLine="4200" w:firstLineChars="15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jc w:val="both"/>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 xml:space="preserve">                                   二0二二年八月二十二日</w:t>
      </w:r>
    </w:p>
    <w:p>
      <w:pPr>
        <w:jc w:val="center"/>
        <w:rPr>
          <w:rFonts w:hint="eastAsia" w:ascii="仿宋_GB2312" w:hAnsi="宋体" w:eastAsia="仿宋_GB2312" w:cs="Times New Roman"/>
          <w:kern w:val="2"/>
          <w:sz w:val="28"/>
          <w:szCs w:val="28"/>
          <w:highlight w:val="none"/>
          <w:lang w:val="en-US" w:eastAsia="zh-CN" w:bidi="ar-SA"/>
        </w:rPr>
      </w:pPr>
    </w:p>
    <w:p>
      <w:pPr>
        <w:jc w:val="center"/>
        <w:rPr>
          <w:rFonts w:hint="eastAsia" w:ascii="仿宋_GB2312" w:hAnsi="宋体" w:eastAsia="仿宋_GB2312" w:cs="Times New Roman"/>
          <w:kern w:val="2"/>
          <w:sz w:val="28"/>
          <w:szCs w:val="28"/>
          <w:highlight w:val="none"/>
          <w:lang w:val="en-US" w:eastAsia="zh-CN" w:bidi="ar-SA"/>
        </w:rPr>
      </w:pPr>
    </w:p>
    <w:p>
      <w:pPr>
        <w:jc w:val="center"/>
        <w:rPr>
          <w:rFonts w:hint="eastAsia" w:ascii="仿宋_GB2312" w:hAnsi="宋体" w:eastAsia="仿宋_GB2312" w:cs="Times New Roman"/>
          <w:kern w:val="2"/>
          <w:sz w:val="28"/>
          <w:szCs w:val="28"/>
          <w:highlight w:val="none"/>
          <w:lang w:val="en-US" w:eastAsia="zh-CN" w:bidi="ar-SA"/>
        </w:rPr>
      </w:pPr>
    </w:p>
    <w:p>
      <w:pPr>
        <w:jc w:val="center"/>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房地产估价结果明细表</w:t>
      </w:r>
    </w:p>
    <w:p>
      <w:pPr/>
    </w:p>
    <w:tbl>
      <w:tblPr>
        <w:tblStyle w:val="8"/>
        <w:tblW w:w="883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71"/>
        <w:gridCol w:w="1565"/>
        <w:gridCol w:w="2050"/>
        <w:gridCol w:w="2475"/>
        <w:gridCol w:w="18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5" w:hRule="atLeast"/>
        </w:trPr>
        <w:tc>
          <w:tcPr>
            <w:tcW w:w="871"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序号</w:t>
            </w:r>
          </w:p>
        </w:tc>
        <w:tc>
          <w:tcPr>
            <w:tcW w:w="1565"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楼层/房号</w:t>
            </w:r>
          </w:p>
        </w:tc>
        <w:tc>
          <w:tcPr>
            <w:tcW w:w="2050"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建筑面积（㎡）</w:t>
            </w:r>
          </w:p>
        </w:tc>
        <w:tc>
          <w:tcPr>
            <w:tcW w:w="2475"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lang w:val="en-US" w:eastAsia="zh-CN"/>
              </w:rPr>
            </w:pPr>
            <w:r>
              <w:rPr>
                <w:rFonts w:hint="eastAsia" w:ascii="仿宋" w:hAnsi="仿宋" w:eastAsia="仿宋" w:cs="仿宋"/>
                <w:i w:val="0"/>
                <w:iCs w:val="0"/>
                <w:color w:val="000000"/>
                <w:kern w:val="0"/>
                <w:sz w:val="28"/>
                <w:szCs w:val="28"/>
                <w:u w:val="none"/>
                <w:lang w:val="en-US" w:eastAsia="zh-CN" w:bidi="ar"/>
              </w:rPr>
              <w:t>评估单价（元/㎡）</w:t>
            </w:r>
          </w:p>
        </w:tc>
        <w:tc>
          <w:tcPr>
            <w:tcW w:w="1875"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评估值（元）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5" w:hRule="atLeast"/>
        </w:trPr>
        <w:tc>
          <w:tcPr>
            <w:tcW w:w="871"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w:t>
            </w:r>
          </w:p>
        </w:tc>
        <w:tc>
          <w:tcPr>
            <w:tcW w:w="1565"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8-0819</w:t>
            </w:r>
          </w:p>
        </w:tc>
        <w:tc>
          <w:tcPr>
            <w:tcW w:w="2050"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55.3</w:t>
            </w:r>
          </w:p>
        </w:tc>
        <w:tc>
          <w:tcPr>
            <w:tcW w:w="2475"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9499</w:t>
            </w:r>
          </w:p>
        </w:tc>
        <w:tc>
          <w:tcPr>
            <w:tcW w:w="1875" w:type="dxa"/>
            <w:tcBorders>
              <w:top w:val="single" w:color="auto" w:sz="4" w:space="0"/>
              <w:left w:val="single" w:color="auto" w:sz="4" w:space="0"/>
              <w:bottom w:val="single" w:color="auto" w:sz="4" w:space="0"/>
              <w:right w:val="single" w:color="auto" w:sz="4" w:space="0"/>
            </w:tcBorders>
            <w:shd w:val="clear" w:color="auto" w:fill="auto"/>
            <w:textDirection w:val="lrTb"/>
            <w:vAlign w:val="bottom"/>
          </w:tcPr>
          <w:p>
            <w:pPr>
              <w:keepNext w:val="0"/>
              <w:keepLines w:val="0"/>
              <w:widowControl/>
              <w:suppressLineNumbers w:val="0"/>
              <w:jc w:val="center"/>
              <w:textAlignment w:val="bottom"/>
              <w:rPr>
                <w:rFonts w:hint="default" w:ascii="仿宋" w:hAnsi="仿宋" w:eastAsia="仿宋" w:cs="仿宋"/>
                <w:i w:val="0"/>
                <w:iCs w:val="0"/>
                <w:color w:val="000000"/>
                <w:sz w:val="28"/>
                <w:szCs w:val="28"/>
                <w:u w:val="none"/>
                <w:lang w:val="en-US"/>
              </w:rPr>
            </w:pPr>
            <w:r>
              <w:rPr>
                <w:rFonts w:hint="eastAsia" w:ascii="仿宋" w:hAnsi="仿宋" w:eastAsia="仿宋" w:cs="仿宋"/>
                <w:i w:val="0"/>
                <w:iCs w:val="0"/>
                <w:color w:val="000000"/>
                <w:kern w:val="0"/>
                <w:sz w:val="28"/>
                <w:szCs w:val="28"/>
                <w:u w:val="none"/>
                <w:lang w:val="en-US" w:eastAsia="zh-CN" w:bidi="ar"/>
              </w:rPr>
              <w:t>525295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5" w:hRule="atLeast"/>
        </w:trPr>
        <w:tc>
          <w:tcPr>
            <w:tcW w:w="871"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2</w:t>
            </w:r>
          </w:p>
        </w:tc>
        <w:tc>
          <w:tcPr>
            <w:tcW w:w="1565"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8-0820</w:t>
            </w:r>
          </w:p>
        </w:tc>
        <w:tc>
          <w:tcPr>
            <w:tcW w:w="2050"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72.86</w:t>
            </w:r>
          </w:p>
        </w:tc>
        <w:tc>
          <w:tcPr>
            <w:tcW w:w="2475"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9309</w:t>
            </w:r>
          </w:p>
        </w:tc>
        <w:tc>
          <w:tcPr>
            <w:tcW w:w="1875" w:type="dxa"/>
            <w:tcBorders>
              <w:top w:val="single" w:color="auto" w:sz="4" w:space="0"/>
              <w:left w:val="single" w:color="auto" w:sz="4" w:space="0"/>
              <w:bottom w:val="single" w:color="auto" w:sz="4" w:space="0"/>
              <w:right w:val="single" w:color="auto" w:sz="4" w:space="0"/>
            </w:tcBorders>
            <w:shd w:val="clear" w:color="auto" w:fill="auto"/>
            <w:textDirection w:val="lrTb"/>
            <w:vAlign w:val="bottom"/>
          </w:tcPr>
          <w:p>
            <w:pPr>
              <w:keepNext w:val="0"/>
              <w:keepLines w:val="0"/>
              <w:widowControl/>
              <w:suppressLineNumbers w:val="0"/>
              <w:jc w:val="center"/>
              <w:textAlignment w:val="bottom"/>
              <w:rPr>
                <w:rFonts w:hint="default" w:ascii="仿宋" w:hAnsi="仿宋" w:eastAsia="仿宋" w:cs="仿宋"/>
                <w:i w:val="0"/>
                <w:iCs w:val="0"/>
                <w:color w:val="000000"/>
                <w:sz w:val="28"/>
                <w:szCs w:val="28"/>
                <w:u w:val="none"/>
                <w:lang w:val="en-US"/>
              </w:rPr>
            </w:pPr>
            <w:r>
              <w:rPr>
                <w:rFonts w:hint="eastAsia" w:ascii="仿宋" w:hAnsi="仿宋" w:eastAsia="仿宋" w:cs="仿宋"/>
                <w:i w:val="0"/>
                <w:iCs w:val="0"/>
                <w:color w:val="000000"/>
                <w:kern w:val="0"/>
                <w:sz w:val="28"/>
                <w:szCs w:val="28"/>
                <w:u w:val="none"/>
                <w:lang w:val="en-US" w:eastAsia="zh-CN" w:bidi="ar"/>
              </w:rPr>
              <w:t>678254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5" w:hRule="atLeast"/>
        </w:trPr>
        <w:tc>
          <w:tcPr>
            <w:tcW w:w="871"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3</w:t>
            </w:r>
          </w:p>
        </w:tc>
        <w:tc>
          <w:tcPr>
            <w:tcW w:w="1565"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8-0821</w:t>
            </w:r>
          </w:p>
        </w:tc>
        <w:tc>
          <w:tcPr>
            <w:tcW w:w="2050"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52.13</w:t>
            </w:r>
          </w:p>
        </w:tc>
        <w:tc>
          <w:tcPr>
            <w:tcW w:w="2475"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9309</w:t>
            </w:r>
          </w:p>
        </w:tc>
        <w:tc>
          <w:tcPr>
            <w:tcW w:w="1875" w:type="dxa"/>
            <w:tcBorders>
              <w:top w:val="single" w:color="auto" w:sz="4" w:space="0"/>
              <w:left w:val="single" w:color="auto" w:sz="4" w:space="0"/>
              <w:bottom w:val="single" w:color="auto" w:sz="4" w:space="0"/>
              <w:right w:val="single" w:color="auto" w:sz="4" w:space="0"/>
            </w:tcBorders>
            <w:shd w:val="clear" w:color="auto" w:fill="auto"/>
            <w:textDirection w:val="lrTb"/>
            <w:vAlign w:val="bottom"/>
          </w:tcPr>
          <w:p>
            <w:pPr>
              <w:keepNext w:val="0"/>
              <w:keepLines w:val="0"/>
              <w:widowControl/>
              <w:suppressLineNumbers w:val="0"/>
              <w:jc w:val="center"/>
              <w:textAlignment w:val="bottom"/>
              <w:rPr>
                <w:rFonts w:hint="default" w:ascii="仿宋" w:hAnsi="仿宋" w:eastAsia="仿宋" w:cs="仿宋"/>
                <w:i w:val="0"/>
                <w:iCs w:val="0"/>
                <w:color w:val="000000"/>
                <w:sz w:val="28"/>
                <w:szCs w:val="28"/>
                <w:u w:val="none"/>
                <w:lang w:val="en-US"/>
              </w:rPr>
            </w:pPr>
            <w:r>
              <w:rPr>
                <w:rFonts w:hint="eastAsia" w:ascii="仿宋" w:hAnsi="仿宋" w:eastAsia="仿宋" w:cs="仿宋"/>
                <w:i w:val="0"/>
                <w:iCs w:val="0"/>
                <w:color w:val="000000"/>
                <w:kern w:val="0"/>
                <w:sz w:val="28"/>
                <w:szCs w:val="28"/>
                <w:u w:val="none"/>
                <w:lang w:val="en-US" w:eastAsia="zh-CN" w:bidi="ar"/>
              </w:rPr>
              <w:t>485278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5" w:hRule="atLeast"/>
        </w:trPr>
        <w:tc>
          <w:tcPr>
            <w:tcW w:w="871"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4</w:t>
            </w:r>
          </w:p>
        </w:tc>
        <w:tc>
          <w:tcPr>
            <w:tcW w:w="1565"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8-0822</w:t>
            </w:r>
          </w:p>
        </w:tc>
        <w:tc>
          <w:tcPr>
            <w:tcW w:w="2050"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72.86</w:t>
            </w:r>
          </w:p>
        </w:tc>
        <w:tc>
          <w:tcPr>
            <w:tcW w:w="2475"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9309</w:t>
            </w:r>
          </w:p>
        </w:tc>
        <w:tc>
          <w:tcPr>
            <w:tcW w:w="1875" w:type="dxa"/>
            <w:tcBorders>
              <w:top w:val="single" w:color="auto" w:sz="4" w:space="0"/>
              <w:left w:val="single" w:color="auto" w:sz="4" w:space="0"/>
              <w:bottom w:val="single" w:color="auto" w:sz="4" w:space="0"/>
              <w:right w:val="single" w:color="auto" w:sz="4" w:space="0"/>
            </w:tcBorders>
            <w:shd w:val="clear" w:color="auto" w:fill="auto"/>
            <w:textDirection w:val="lrTb"/>
            <w:vAlign w:val="bottom"/>
          </w:tcPr>
          <w:p>
            <w:pPr>
              <w:keepNext w:val="0"/>
              <w:keepLines w:val="0"/>
              <w:widowControl/>
              <w:suppressLineNumbers w:val="0"/>
              <w:jc w:val="center"/>
              <w:textAlignment w:val="bottom"/>
              <w:rPr>
                <w:rFonts w:hint="default" w:ascii="仿宋" w:hAnsi="仿宋" w:eastAsia="仿宋" w:cs="仿宋"/>
                <w:i w:val="0"/>
                <w:iCs w:val="0"/>
                <w:color w:val="000000"/>
                <w:sz w:val="28"/>
                <w:szCs w:val="28"/>
                <w:u w:val="none"/>
                <w:lang w:val="en-US"/>
              </w:rPr>
            </w:pPr>
            <w:r>
              <w:rPr>
                <w:rFonts w:hint="eastAsia" w:ascii="仿宋" w:hAnsi="仿宋" w:eastAsia="仿宋" w:cs="仿宋"/>
                <w:i w:val="0"/>
                <w:iCs w:val="0"/>
                <w:color w:val="000000"/>
                <w:kern w:val="0"/>
                <w:sz w:val="28"/>
                <w:szCs w:val="28"/>
                <w:highlight w:val="none"/>
                <w:u w:val="none"/>
                <w:lang w:val="en-US" w:eastAsia="zh-CN" w:bidi="ar"/>
              </w:rPr>
              <w:t>678254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5" w:hRule="atLeast"/>
        </w:trPr>
        <w:tc>
          <w:tcPr>
            <w:tcW w:w="871"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5</w:t>
            </w:r>
          </w:p>
        </w:tc>
        <w:tc>
          <w:tcPr>
            <w:tcW w:w="1565"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8-0823</w:t>
            </w:r>
          </w:p>
        </w:tc>
        <w:tc>
          <w:tcPr>
            <w:tcW w:w="2050"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55.3</w:t>
            </w:r>
          </w:p>
        </w:tc>
        <w:tc>
          <w:tcPr>
            <w:tcW w:w="2475"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9499</w:t>
            </w:r>
          </w:p>
        </w:tc>
        <w:tc>
          <w:tcPr>
            <w:tcW w:w="1875" w:type="dxa"/>
            <w:tcBorders>
              <w:top w:val="single" w:color="auto" w:sz="4" w:space="0"/>
              <w:left w:val="single" w:color="auto" w:sz="4" w:space="0"/>
              <w:bottom w:val="single" w:color="auto" w:sz="4" w:space="0"/>
              <w:right w:val="single" w:color="auto" w:sz="4" w:space="0"/>
            </w:tcBorders>
            <w:shd w:val="clear" w:color="auto" w:fill="auto"/>
            <w:textDirection w:val="lrTb"/>
            <w:vAlign w:val="bottom"/>
          </w:tcPr>
          <w:p>
            <w:pPr>
              <w:keepNext w:val="0"/>
              <w:keepLines w:val="0"/>
              <w:widowControl/>
              <w:suppressLineNumbers w:val="0"/>
              <w:jc w:val="center"/>
              <w:textAlignment w:val="bottom"/>
              <w:rPr>
                <w:rFonts w:hint="default" w:ascii="仿宋" w:hAnsi="仿宋" w:eastAsia="仿宋" w:cs="仿宋"/>
                <w:i w:val="0"/>
                <w:iCs w:val="0"/>
                <w:color w:val="000000"/>
                <w:sz w:val="28"/>
                <w:szCs w:val="28"/>
                <w:u w:val="none"/>
                <w:lang w:val="en-US"/>
              </w:rPr>
            </w:pPr>
            <w:r>
              <w:rPr>
                <w:rFonts w:hint="eastAsia" w:ascii="仿宋" w:hAnsi="仿宋" w:eastAsia="仿宋" w:cs="仿宋"/>
                <w:i w:val="0"/>
                <w:iCs w:val="0"/>
                <w:color w:val="000000"/>
                <w:kern w:val="0"/>
                <w:sz w:val="28"/>
                <w:szCs w:val="28"/>
                <w:u w:val="none"/>
                <w:lang w:val="en-US" w:eastAsia="zh-CN" w:bidi="ar"/>
              </w:rPr>
              <w:t>525295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5" w:hRule="atLeast"/>
        </w:trPr>
        <w:tc>
          <w:tcPr>
            <w:tcW w:w="871"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6</w:t>
            </w:r>
          </w:p>
        </w:tc>
        <w:tc>
          <w:tcPr>
            <w:tcW w:w="1565"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合计</w:t>
            </w:r>
          </w:p>
        </w:tc>
        <w:tc>
          <w:tcPr>
            <w:tcW w:w="2050"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hint="eastAsia" w:ascii="仿宋" w:hAnsi="仿宋" w:eastAsia="仿宋" w:cs="仿宋"/>
                <w:i w:val="0"/>
                <w:iCs w:val="0"/>
                <w:color w:val="000000"/>
                <w:sz w:val="28"/>
                <w:szCs w:val="28"/>
                <w:u w:val="none"/>
              </w:rPr>
            </w:pPr>
          </w:p>
        </w:tc>
        <w:tc>
          <w:tcPr>
            <w:tcW w:w="2475"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hint="eastAsia" w:ascii="仿宋" w:hAnsi="仿宋" w:eastAsia="仿宋" w:cs="仿宋"/>
                <w:i w:val="0"/>
                <w:iCs w:val="0"/>
                <w:color w:val="000000"/>
                <w:sz w:val="28"/>
                <w:szCs w:val="28"/>
                <w:u w:val="none"/>
              </w:rPr>
            </w:pPr>
          </w:p>
        </w:tc>
        <w:tc>
          <w:tcPr>
            <w:tcW w:w="1875" w:type="dxa"/>
            <w:tcBorders>
              <w:top w:val="single" w:color="auto" w:sz="4" w:space="0"/>
              <w:left w:val="single" w:color="auto" w:sz="4" w:space="0"/>
              <w:bottom w:val="single" w:color="auto" w:sz="4" w:space="0"/>
              <w:right w:val="single" w:color="auto" w:sz="4" w:space="0"/>
            </w:tcBorders>
            <w:shd w:val="clear" w:color="auto" w:fill="auto"/>
            <w:textDirection w:val="lrTb"/>
            <w:vAlign w:val="bottom"/>
          </w:tcPr>
          <w:p>
            <w:pPr>
              <w:keepNext w:val="0"/>
              <w:keepLines w:val="0"/>
              <w:widowControl/>
              <w:suppressLineNumbers w:val="0"/>
              <w:jc w:val="center"/>
              <w:textAlignment w:val="bottom"/>
              <w:rPr>
                <w:rFonts w:hint="default" w:ascii="仿宋" w:hAnsi="仿宋" w:eastAsia="仿宋" w:cs="仿宋"/>
                <w:i w:val="0"/>
                <w:iCs w:val="0"/>
                <w:color w:val="000000"/>
                <w:sz w:val="28"/>
                <w:szCs w:val="28"/>
                <w:u w:val="none"/>
                <w:lang w:val="en-US"/>
              </w:rPr>
            </w:pPr>
            <w:r>
              <w:rPr>
                <w:rFonts w:hint="eastAsia" w:ascii="仿宋" w:hAnsi="仿宋" w:eastAsia="仿宋" w:cs="仿宋"/>
                <w:i w:val="0"/>
                <w:iCs w:val="0"/>
                <w:color w:val="000000"/>
                <w:kern w:val="0"/>
                <w:sz w:val="28"/>
                <w:szCs w:val="28"/>
                <w:u w:val="none"/>
                <w:lang w:val="en-US" w:eastAsia="zh-CN" w:bidi="ar"/>
              </w:rPr>
              <w:t>2892376</w:t>
            </w:r>
          </w:p>
        </w:tc>
      </w:tr>
    </w:tbl>
    <w:p>
      <w:pPr/>
    </w:p>
    <w:p>
      <w:pPr/>
    </w:p>
    <w:p>
      <w:pPr/>
    </w:p>
    <w:p>
      <w:pPr>
        <w:jc w:val="both"/>
        <w:rPr>
          <w:rFonts w:hint="eastAsia" w:ascii="仿宋" w:hAnsi="仿宋" w:eastAsia="仿宋"/>
          <w:b/>
          <w:bCs/>
          <w:sz w:val="44"/>
          <w:szCs w:val="44"/>
          <w:lang w:val="en-US" w:eastAsia="zh-CN"/>
        </w:rPr>
      </w:pPr>
    </w:p>
    <w:p>
      <w:pPr>
        <w:jc w:val="both"/>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center"/>
        <w:rPr>
          <w:rFonts w:ascii="仿宋" w:hAnsi="仿宋" w:eastAsia="仿宋"/>
          <w:b/>
          <w:bCs/>
          <w:sz w:val="30"/>
          <w:szCs w:val="30"/>
        </w:rPr>
      </w:pPr>
      <w:r>
        <w:rPr>
          <w:rFonts w:hint="eastAsia" w:ascii="仿宋" w:hAnsi="仿宋" w:eastAsia="仿宋"/>
          <w:b/>
          <w:bCs/>
          <w:sz w:val="44"/>
          <w:szCs w:val="44"/>
          <w:lang w:val="en-US" w:eastAsia="zh-CN"/>
        </w:rPr>
        <w:t>估价师声明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我们根据自己的专业知识和职业道德，在此郑重声明：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1、我们所提供的估价服务是依据《房地产估价规范》进行的，估价报告中陈述事实是真实和准确的，请仔细阅读本估价报告及有关附件。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2、估价报告中的分析、意见和结论，是我们自己公正的专业分析、意见和结论，但受到估价报告中已说明的假设和限制条件的限制。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3、我们与本估价报告中的估价对象没有任何利害关系；对相关各方的当事人没有任何偏见，也没有任何个人利害关系。</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4、我们依照中华人民共和国国家标准《房地产估价规范》等有关法律法规的规定进行分析，形成意见和结论，撰写本估价报告。</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我们仅对委托方指定的估价对象范围进行了实地勘查，估价过程中，未能取得资产占有方有关书面或口头情况说明，我们仅依据所取得的产权资料估算；相关权属资料仅以委托方提供的复印件为依据，我们不对其建筑结构质量、数量等内容的准确性及相关权益负责。</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6、由于估价人员的专业限制，本次估价过程中没有其他专业人员及机构对本估价报告提供诸如结构安全、环境保护、规划控制、产权设定与登记、装修及配套设施设备的权属等方面的专业支持和帮助。</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7、其他声明事项：出于职业责任，我们与委托方进行必要沟通，避免对本估价报告使用不当的情况发生，提示估价报告使用者合理并恰当使用估价报告，并声明不承担相关当事人决策的责任。</w:t>
      </w: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估价的假设和限制条件</w:t>
      </w:r>
    </w:p>
    <w:p>
      <w:pPr>
        <w:pStyle w:val="10"/>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pStyle w:val="10"/>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（一）本次估价假设条件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1、估价对象产权手续齐全，房屋产权明确清晰，可在公开市场上自由转让交易。</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次估价对象以估价时点的权属实物存量——包括商品房买卖合同记载范围内的建筑物为前提，本报告所称“估价结果”是指对估价对象在现有用途、状态不变的前提下，为本报告书所列明的目的和假设限制条件下的现行公开市场价值的估计值，无特殊指定情况下，计价金额以人民币元为单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3、不考虑特殊买家或关联方交易，也不考虑估价对象合并、分割等特殊交易；交易双方所获信息是平等或对称的，并谨慎对待估价对象。</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4、在本估价报告书有效期内估价对象存量及相关影响因素、评估所遵循的合法、最高最佳使用原则等不发生变化，估价时点房地产市场为公开公平的均衡市场；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估价结果的有效性依赖于本次估价的前提、假设限制以及遵循的经济原则，这些条件是由本公司估价人员根据估价对象实际情况并结合估价相关规定综合提出的，具有客观性和合理性，以上条件若不成立，本估价结果无效。</w:t>
      </w:r>
    </w:p>
    <w:p>
      <w:pPr>
        <w:rPr>
          <w:rFonts w:ascii="仿宋" w:hAnsi="仿宋" w:eastAsia="仿宋"/>
          <w:sz w:val="30"/>
          <w:szCs w:val="30"/>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（二）估价限制条件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次估价中运用的法律权属及其证明资料均由委托方提供（复印件），本公司估价人员未能见原件，也未向政府有关部门核实，委托方和相关当事方对其所提供全部资料的真实性、合法性及合理使用估价报告负责；建议有关法律权属及其证明资料的确定最终以有权机关确认为准，若与委托方向我们提供的资料存在差异，本公司保留对报告书的修正权；</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2、本估价报告书及列明结论仅对本次估价目的，其他用途的运用均属无效；</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3、本估价报告及附件须同时完整使用方为有效，本公司不对仅使用报告中部分内容或不同时使用所可能导致的任何损失承担责任。</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本次估价中所运用的资料数据均来自委托方提供的复印件，对超出估价师专业范围之外的其他专业问题未作任何结论和说明，现场工作人员对因遮盖、未暴露、预埋设施及其它人为阻碍难于触及到的部分未进行检验，有关这部分事项请向其他专业工程师、律师及相关政府主管部门询及。</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5、本估价报告书自估价报告完成之日起壹年内有效。在有效期内使用本报告时，应充分考虑房地产市场可能的变化情况及未来发展状况，并随时与本公司联系，以达到有效使用之目的。</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6、本估价报告及相关部分的解释权属湖北循其本价格鉴定评估有限公司，未经本公司书面同意，有关本估价报告的全部或部分内容不得传阅给除使用人以及估价行业管理部门以外的第三者，亦不可公布于任何公开媒体。  </w:t>
      </w:r>
    </w:p>
    <w:p>
      <w:pPr>
        <w:rPr>
          <w:rFonts w:hint="eastAsia" w:ascii="仿宋_GB2312" w:hAnsi="宋体" w:eastAsia="仿宋_GB2312" w:cs="Times New Roman"/>
          <w:kern w:val="2"/>
          <w:sz w:val="28"/>
          <w:szCs w:val="28"/>
          <w:lang w:val="en-US" w:eastAsia="zh-CN" w:bidi="ar-SA"/>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 xml:space="preserve">（三）特别事项说明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1、本报告是根据人民法院及相关当事人提供的资料和信息出具，资料和信息的真实性、完整性、合法性对评估结论构成影响，依据同一标的资产的其他资料或者信息可能得出与本报告不一致的评估结论。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2、本评估报告使用人须正确理解和使用评估结论，评估结论不等同于评估对象可实现价格，评估结论不应当被认为是对评估对象可实现价格的保证。</w:t>
      </w:r>
    </w:p>
    <w:p>
      <w:pPr>
        <w:numPr>
          <w:ilvl w:val="0"/>
          <w:numId w:val="0"/>
        </w:numPr>
        <w:ind w:firstLine="560" w:firstLineChars="20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w:t>
      </w:r>
      <w:r>
        <w:rPr>
          <w:rFonts w:hint="eastAsia" w:ascii="仿宋_GB2312" w:hAnsi="仿宋" w:eastAsia="仿宋_GB2312"/>
          <w:b w:val="0"/>
          <w:bCs/>
          <w:sz w:val="28"/>
          <w:szCs w:val="28"/>
          <w:lang w:val="en-US" w:eastAsia="zh-CN"/>
        </w:rPr>
        <w:t>当事人或其他利害关系人对本估价报告如有异议，可以在收到估价报告10日内以书面形式向人民法院提出。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4、估价结果是根据估价对象的使用年限，以及现场实物勘查情况，结合市场实际交易实例，采用市场法进行综合估算的。</w:t>
      </w:r>
    </w:p>
    <w:p>
      <w:pPr>
        <w:ind w:firstLine="560" w:firstLineChars="200"/>
        <w:rPr>
          <w:rFonts w:hint="default" w:ascii="仿宋" w:hAnsi="仿宋" w:eastAsia="仿宋"/>
          <w:color w:val="auto"/>
          <w:sz w:val="30"/>
          <w:szCs w:val="30"/>
          <w:lang w:val="en-US" w:eastAsia="zh-CN"/>
        </w:rPr>
      </w:pPr>
      <w:r>
        <w:rPr>
          <w:rFonts w:hint="eastAsia" w:ascii="仿宋_GB2312" w:hAnsi="宋体" w:eastAsia="仿宋_GB2312" w:cs="Times New Roman"/>
          <w:kern w:val="2"/>
          <w:sz w:val="28"/>
          <w:szCs w:val="28"/>
          <w:lang w:val="en-US" w:eastAsia="zh-CN" w:bidi="ar-SA"/>
        </w:rPr>
        <w:t>5、评估过程中，没有考虑估价对象房屋租赁、产权抵押、查封等因素对估价结果的影响。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p>
    <w:p>
      <w:pPr>
        <w:ind w:firstLine="560" w:firstLineChars="200"/>
        <w:rPr>
          <w:rFonts w:hint="eastAsia" w:ascii="仿宋_GB2312" w:hAnsi="宋体" w:eastAsia="仿宋_GB2312" w:cs="Times New Roman"/>
          <w:kern w:val="2"/>
          <w:sz w:val="28"/>
          <w:szCs w:val="28"/>
          <w:lang w:val="en-US" w:eastAsia="zh-CN" w:bidi="ar-SA"/>
        </w:rPr>
      </w:pP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二0二二年八月二十二日</w:t>
      </w:r>
    </w:p>
    <w:p>
      <w:pPr>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p>
    <w:p>
      <w:pPr>
        <w:rPr>
          <w:rFonts w:hint="eastAsia" w:ascii="仿宋" w:hAnsi="仿宋"/>
          <w:b/>
          <w:w w:val="40"/>
          <w:sz w:val="140"/>
          <w:szCs w:val="140"/>
        </w:rPr>
      </w:pPr>
      <w:r>
        <w:rPr>
          <w:rFonts w:hint="eastAsia" w:ascii="仿宋" w:hAnsi="仿宋"/>
          <w:b/>
          <w:w w:val="40"/>
          <w:sz w:val="140"/>
          <w:szCs w:val="140"/>
          <w:lang w:val="en-US" w:eastAsia="zh-CN"/>
        </w:rPr>
        <w:t xml:space="preserve"> </w:t>
      </w:r>
      <w:r>
        <w:rPr>
          <w:rFonts w:hint="eastAsia" w:ascii="仿宋" w:hAnsi="仿宋"/>
          <w:b/>
          <w:w w:val="40"/>
          <w:sz w:val="140"/>
          <w:szCs w:val="140"/>
        </w:rPr>
        <w:t>湖北循其本价格鉴定评估有限公司</w:t>
      </w:r>
    </w:p>
    <w:p>
      <w:pPr>
        <w:ind w:left="-92" w:leftChars="-85" w:right="-147" w:rightChars="-70" w:hanging="86" w:hangingChars="31"/>
        <w:jc w:val="center"/>
        <w:rPr>
          <w:rFonts w:hint="eastAsia" w:ascii="仿宋_GB2312" w:hAnsi="仿宋" w:eastAsia="仿宋_GB2312"/>
          <w:kern w:val="13"/>
          <w:sz w:val="28"/>
          <w:szCs w:val="28"/>
          <w:highlight w:val="none"/>
        </w:rPr>
      </w:pPr>
      <w:r>
        <w:rPr>
          <w:sz w:val="28"/>
          <w:highlight w:val="none"/>
        </w:rPr>
        <mc:AlternateContent>
          <mc:Choice Requires="wps">
            <w:drawing>
              <wp:anchor distT="0" distB="0" distL="114300" distR="114300" simplePos="0" relativeHeight="251660288" behindDoc="0" locked="0" layoutInCell="1" allowOverlap="1">
                <wp:simplePos x="0" y="0"/>
                <wp:positionH relativeFrom="column">
                  <wp:posOffset>-100965</wp:posOffset>
                </wp:positionH>
                <wp:positionV relativeFrom="paragraph">
                  <wp:posOffset>346075</wp:posOffset>
                </wp:positionV>
                <wp:extent cx="5553075" cy="635"/>
                <wp:effectExtent l="0" t="0" r="0" b="0"/>
                <wp:wrapNone/>
                <wp:docPr id="1" name="直接连接符 1"/>
                <wp:cNvGraphicFramePr/>
                <a:graphic xmlns:a="http://schemas.openxmlformats.org/drawingml/2006/main">
                  <a:graphicData uri="http://schemas.microsoft.com/office/word/2010/wordprocessingShape">
                    <wps:wsp>
                      <wps:cNvCnPr/>
                      <wps:spPr>
                        <a:xfrm>
                          <a:off x="0" y="0"/>
                          <a:ext cx="55530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95pt;margin-top:27.25pt;height:0.05pt;width:437.25pt;z-index:251660288;mso-width-relative:page;mso-height-relative:page;" filled="f" stroked="t" coordsize="21600,21600" o:gfxdata="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wDw6NgAAAAJAQAADwAAAAAA&#10;AAABACAAAAAiAAAAZHJzL2Rvd25yZXYueG1sUEsBAhQAFAAAAAgAh07iQHPpizfaAQAAmAMAAA4A&#10;AAAAAAAAAQAgAAAAJwEAAGRycy9lMm9Eb2MueG1sUEsFBgAAAAAGAAYAWQEAAHMFAAAAAA==&#10;">
                <v:fill on="f" focussize="0,0"/>
                <v:stroke color="#000000" joinstyle="round"/>
                <v:imagedata o:title=""/>
                <o:lock v:ext="edit" aspectratio="f"/>
              </v:line>
            </w:pict>
          </mc:Fallback>
        </mc:AlternateContent>
      </w:r>
      <w:r>
        <w:rPr>
          <w:rFonts w:hint="eastAsia" w:ascii="仿宋_GB2312" w:hAnsi="仿宋" w:eastAsia="仿宋_GB2312"/>
          <w:kern w:val="13"/>
          <w:sz w:val="28"/>
          <w:szCs w:val="28"/>
          <w:highlight w:val="none"/>
        </w:rPr>
        <w:t>鄂循价鉴[20</w:t>
      </w:r>
      <w:r>
        <w:rPr>
          <w:rFonts w:hint="eastAsia" w:ascii="仿宋_GB2312" w:hAnsi="仿宋" w:eastAsia="仿宋_GB2312"/>
          <w:kern w:val="13"/>
          <w:sz w:val="28"/>
          <w:szCs w:val="28"/>
          <w:highlight w:val="none"/>
          <w:lang w:val="en-US" w:eastAsia="zh-CN"/>
        </w:rPr>
        <w:t>22</w:t>
      </w:r>
      <w:r>
        <w:rPr>
          <w:rFonts w:hint="eastAsia" w:ascii="仿宋_GB2312" w:hAnsi="仿宋" w:eastAsia="仿宋_GB2312"/>
          <w:kern w:val="13"/>
          <w:sz w:val="28"/>
          <w:szCs w:val="28"/>
          <w:highlight w:val="none"/>
        </w:rPr>
        <w:t>]第</w:t>
      </w:r>
      <w:r>
        <w:rPr>
          <w:rFonts w:hint="eastAsia" w:ascii="仿宋_GB2312" w:hAnsi="仿宋" w:eastAsia="仿宋_GB2312"/>
          <w:kern w:val="13"/>
          <w:sz w:val="28"/>
          <w:szCs w:val="28"/>
          <w:highlight w:val="none"/>
          <w:lang w:val="en-US" w:eastAsia="zh-CN"/>
        </w:rPr>
        <w:t>71213</w:t>
      </w:r>
      <w:r>
        <w:rPr>
          <w:rFonts w:hint="eastAsia" w:ascii="仿宋_GB2312" w:hAnsi="仿宋" w:eastAsia="仿宋_GB2312"/>
          <w:kern w:val="13"/>
          <w:sz w:val="28"/>
          <w:szCs w:val="28"/>
          <w:highlight w:val="none"/>
        </w:rPr>
        <w:t>号</w:t>
      </w:r>
    </w:p>
    <w:p>
      <w:pPr>
        <w:jc w:val="center"/>
        <w:rPr>
          <w:rFonts w:hint="eastAsia" w:ascii="仿宋" w:hAnsi="仿宋" w:eastAsia="仿宋"/>
          <w:b/>
          <w:bCs/>
          <w:sz w:val="32"/>
          <w:szCs w:val="32"/>
          <w:lang w:val="en-US" w:eastAsia="zh-CN"/>
        </w:rPr>
      </w:pPr>
      <w:r>
        <w:rPr>
          <w:rFonts w:hint="eastAsia" w:ascii="仿宋" w:hAnsi="仿宋" w:eastAsia="仿宋"/>
          <w:b/>
          <w:bCs/>
          <w:sz w:val="32"/>
          <w:szCs w:val="32"/>
          <w:lang w:val="en-US" w:eastAsia="zh-CN"/>
        </w:rPr>
        <w:t>孝感市槐荫大道星河天街C1号幢</w:t>
      </w:r>
    </w:p>
    <w:p>
      <w:pPr>
        <w:jc w:val="center"/>
        <w:rPr>
          <w:rFonts w:hint="eastAsia" w:ascii="仿宋" w:hAnsi="仿宋" w:eastAsia="仿宋"/>
          <w:b/>
          <w:bCs/>
          <w:sz w:val="32"/>
          <w:szCs w:val="32"/>
          <w:lang w:val="en-US" w:eastAsia="zh-CN"/>
        </w:rPr>
      </w:pPr>
      <w:r>
        <w:rPr>
          <w:rFonts w:hint="eastAsia" w:ascii="仿宋_GB2312" w:hAnsi="宋体" w:eastAsia="仿宋_GB2312" w:cs="Times New Roman"/>
          <w:b/>
          <w:bCs/>
          <w:kern w:val="2"/>
          <w:sz w:val="32"/>
          <w:szCs w:val="32"/>
          <w:lang w:val="en-US" w:eastAsia="zh-CN" w:bidi="ar-SA"/>
        </w:rPr>
        <w:t>8层0819室、0820室、0821室、0822室、0823室</w:t>
      </w:r>
    </w:p>
    <w:p>
      <w:pPr>
        <w:jc w:val="center"/>
        <w:rPr>
          <w:rFonts w:ascii="仿宋" w:hAnsi="仿宋" w:eastAsia="仿宋"/>
          <w:b/>
          <w:bCs/>
          <w:sz w:val="32"/>
          <w:szCs w:val="32"/>
        </w:rPr>
      </w:pPr>
      <w:r>
        <w:rPr>
          <w:rFonts w:hint="eastAsia" w:ascii="仿宋" w:hAnsi="仿宋" w:eastAsia="仿宋"/>
          <w:b/>
          <w:bCs/>
          <w:sz w:val="32"/>
          <w:szCs w:val="32"/>
        </w:rPr>
        <w:t>房地产估价结果报告</w:t>
      </w:r>
    </w:p>
    <w:p>
      <w:pPr>
        <w:rPr>
          <w:rFonts w:hint="eastAsia" w:ascii="仿宋_GB2312" w:hAnsi="宋体" w:eastAsia="仿宋_GB2312" w:cs="Times New Roman"/>
          <w:kern w:val="2"/>
          <w:sz w:val="28"/>
          <w:szCs w:val="28"/>
          <w:lang w:val="en-US" w:eastAsia="zh-CN" w:bidi="ar-SA"/>
        </w:rPr>
      </w:pPr>
      <w:bookmarkStart w:id="0" w:name="_GoBack"/>
      <w:bookmarkEnd w:id="0"/>
    </w:p>
    <w:p>
      <w:pPr>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b/>
          <w:bCs/>
          <w:sz w:val="30"/>
          <w:szCs w:val="30"/>
          <w:lang w:val="en-US" w:eastAsia="zh-CN"/>
        </w:rPr>
        <w:t>（一）委托方</w:t>
      </w:r>
    </w:p>
    <w:p>
      <w:pPr>
        <w:numPr>
          <w:ilvl w:val="0"/>
          <w:numId w:val="1"/>
        </w:num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委托方：孝感市孝南区人民法院</w:t>
      </w:r>
    </w:p>
    <w:p>
      <w:pPr>
        <w:numPr>
          <w:ilvl w:val="0"/>
          <w:numId w:val="0"/>
        </w:numPr>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2. 住所：</w:t>
      </w:r>
      <w:r>
        <w:rPr>
          <w:rFonts w:hint="eastAsia" w:ascii="仿宋_GB2312" w:hAnsi="宋体" w:eastAsia="仿宋_GB2312" w:cs="Times New Roman"/>
          <w:kern w:val="2"/>
          <w:sz w:val="28"/>
          <w:szCs w:val="28"/>
          <w:highlight w:val="none"/>
          <w:lang w:val="en-US" w:eastAsia="zh-CN" w:bidi="ar-SA"/>
        </w:rPr>
        <w:t>湖北省孝感市孝南区黄花路38号</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（二）估价方：</w:t>
      </w:r>
      <w:r>
        <w:rPr>
          <w:rFonts w:hint="eastAsia" w:ascii="仿宋_GB2312" w:hAnsi="宋体" w:eastAsia="仿宋_GB2312" w:cs="Times New Roman"/>
          <w:kern w:val="2"/>
          <w:sz w:val="28"/>
          <w:szCs w:val="28"/>
          <w:lang w:val="en-US" w:eastAsia="zh-CN" w:bidi="ar-SA"/>
        </w:rPr>
        <w:t>湖北循其本价格鉴定评估有限公司</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cs="Times New Roman"/>
          <w:kern w:val="2"/>
          <w:sz w:val="28"/>
          <w:szCs w:val="28"/>
          <w:lang w:val="en-US" w:eastAsia="zh-CN" w:bidi="ar-SA"/>
        </w:rPr>
        <w:t>1. 法定代表人：</w:t>
      </w:r>
      <w:r>
        <w:rPr>
          <w:rFonts w:hint="eastAsia" w:ascii="仿宋_GB2312" w:hAnsi="宋体" w:eastAsia="仿宋_GB2312"/>
          <w:sz w:val="28"/>
          <w:szCs w:val="28"/>
          <w:lang w:val="en-US" w:eastAsia="zh-CN"/>
        </w:rPr>
        <w:t>魏胜凯</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 住所：</w:t>
      </w:r>
      <w:r>
        <w:rPr>
          <w:rFonts w:hint="eastAsia" w:ascii="仿宋_GB2312" w:hAnsi="宋体" w:eastAsia="仿宋_GB2312" w:cs="Times New Roman"/>
          <w:kern w:val="2"/>
          <w:sz w:val="28"/>
          <w:szCs w:val="28"/>
          <w:highlight w:val="none"/>
          <w:lang w:val="en-US" w:eastAsia="zh-CN" w:bidi="ar-SA"/>
        </w:rPr>
        <w:t>湖北省咸宁市高新贺胜路（墨香苑小区）3栋5层504</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（三）估价对象</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1、估价对象范围</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highlight w:val="none"/>
          <w:lang w:val="en-US" w:eastAsia="zh-CN" w:bidi="ar-SA"/>
        </w:rPr>
        <w:t>本次估价对象范围为位于万芬所有的、位于孝感市孝南区槐荫大道星河天街C1号幢8层0819室、8层0820室、8层0821室、8层0822室、8层0823室，建筑面积分别为55.3㎡、72.86㎡、52.13㎡、72.86㎡、55.3㎡的5套住宅房地产</w:t>
      </w:r>
      <w:r>
        <w:rPr>
          <w:rFonts w:hint="eastAsia" w:ascii="仿宋_GB2312" w:hAnsi="宋体" w:eastAsia="仿宋_GB2312" w:cs="Times New Roman"/>
          <w:kern w:val="2"/>
          <w:sz w:val="28"/>
          <w:szCs w:val="28"/>
          <w:lang w:val="en-US" w:eastAsia="zh-CN" w:bidi="ar-SA"/>
        </w:rPr>
        <w:t>。</w:t>
      </w:r>
    </w:p>
    <w:p>
      <w:p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2、估价对象基本情况</w:t>
      </w:r>
    </w:p>
    <w:p>
      <w:pPr>
        <w:ind w:firstLine="560" w:firstLineChars="200"/>
        <w:jc w:val="left"/>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经本机构人员的实地勘查和委托方提供的委托书及房地产权登记信息等有关资料，可知估价对象实体状况如下：</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房地产权登记信息载明，估价对象坐落孝感市孝南区槐荫大道星河天街C1号幢8层0819室、8层0820室、8层0821室、8层0822室、8层0823室，建筑面积分别为55.3㎡、72.86㎡、52.13㎡、72.86㎡、55.3㎡，分摊土地面积分别为4.53㎡、5.97㎡、4.37㎡、5.97㎡、4.53㎡，不动产权证号分别为鄂（2016）孝南区不动产权第0000639号、鄂（2016）孝南区不动产权第0000649号、鄂（2016）孝南区不动产权第0000647号、鄂（2016）孝南区不动产权第0000648号、鄂（2016）孝南区不动产权第0000646号，土地使用期限为2010年10月22日至2080年02月20日止，规划用途为住宅，房屋性质为市场化商品房，房屋结构为钢筋混凝土结构，所在层/总层数分别为8层/19层，竣工时间为2015年06月，房屋所有权人为万芬，房屋共有情况为单独所有，登记日期为2018年07月27日。</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经现场勘验和调查，估价对象位于孝感市孝南区槐荫大道与孝武大道交汇处、孝武大道特号星河天街小区C1公寓楼二单元8层0819室、8层0820室、8层0821室、8层0822室、8层0823室，开工时间为2013年2月，竣工时间为2015年5月，为高层电梯房屋，框架结构，总层数为19层，一、二层为商业用房，其他楼层为公寓住宅，每层两电梯，十四住户。估价对象中819室为北户，823室为南户，820室、821室、822室为西户，通风采光较好，房屋结构完好、坚固无变形，外观一般；目前5套待估房屋已拆除分户隔断墙体，经改造合并为一，现状用途为租赁办公，室内为精装修。</w:t>
      </w:r>
    </w:p>
    <w:p>
      <w:pPr>
        <w:jc w:val="both"/>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（四）估价目的</w:t>
      </w:r>
    </w:p>
    <w:p>
      <w:pPr>
        <w:ind w:firstLine="560"/>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highlight w:val="none"/>
          <w:lang w:val="en-US" w:eastAsia="zh-CN" w:bidi="ar-SA"/>
        </w:rPr>
        <w:t>为委托方处理案件提供价格咨询参考依据而评估该房产市场价格，供委托方及相关当事方咨询参考。</w:t>
      </w:r>
      <w:r>
        <w:rPr>
          <w:rFonts w:hint="eastAsia" w:ascii="仿宋_GB2312" w:hAnsi="宋体" w:eastAsia="仿宋_GB2312"/>
          <w:b/>
          <w:bCs/>
          <w:sz w:val="30"/>
          <w:szCs w:val="30"/>
          <w:highlight w:val="none"/>
          <w:lang w:val="en-US" w:eastAsia="zh-CN"/>
        </w:rPr>
        <w:t xml:space="preserve"> </w:t>
      </w:r>
      <w:r>
        <w:rPr>
          <w:rFonts w:hint="eastAsia" w:ascii="仿宋_GB2312" w:hAnsi="宋体" w:eastAsia="仿宋_GB2312"/>
          <w:b/>
          <w:bCs/>
          <w:sz w:val="30"/>
          <w:szCs w:val="30"/>
          <w:lang w:val="en-US" w:eastAsia="zh-CN"/>
        </w:rPr>
        <w:t xml:space="preserve">  </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（五）估价时点</w:t>
      </w:r>
    </w:p>
    <w:p>
      <w:p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二0二二年八月十六日。</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（六）价值定义</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本次评估价格是指对估价对象在现有用途、状态不变的前提下，采用公开市场价值标准，为本报告书所列明的目的和假设限制条件下的现行公开市场价值的估计值。</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（七）估价依据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1、法律法规依据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（1）《中华人民共和国价格法》；</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w:t>
      </w:r>
      <w:r>
        <w:rPr>
          <w:rFonts w:hint="default" w:ascii="仿宋_GB2312" w:hAnsi="宋体" w:eastAsia="仿宋_GB2312" w:cs="Times New Roman"/>
          <w:kern w:val="2"/>
          <w:sz w:val="28"/>
          <w:szCs w:val="28"/>
          <w:lang w:val="en-US" w:eastAsia="zh-CN" w:bidi="ar-SA"/>
        </w:rPr>
        <w:t>《中华人民共和国</w:t>
      </w:r>
      <w:r>
        <w:rPr>
          <w:rFonts w:hint="eastAsia" w:ascii="仿宋_GB2312" w:hAnsi="宋体" w:eastAsia="仿宋_GB2312" w:cs="Times New Roman"/>
          <w:kern w:val="2"/>
          <w:sz w:val="28"/>
          <w:szCs w:val="28"/>
          <w:lang w:val="en-US" w:eastAsia="zh-CN" w:bidi="ar-SA"/>
        </w:rPr>
        <w:t>资产评估</w:t>
      </w:r>
      <w:r>
        <w:rPr>
          <w:rFonts w:hint="default" w:ascii="仿宋_GB2312" w:hAnsi="宋体" w:eastAsia="仿宋_GB2312" w:cs="Times New Roman"/>
          <w:kern w:val="2"/>
          <w:sz w:val="28"/>
          <w:szCs w:val="28"/>
          <w:lang w:val="en-US" w:eastAsia="zh-CN" w:bidi="ar-SA"/>
        </w:rPr>
        <w:t>法》</w:t>
      </w:r>
      <w:r>
        <w:rPr>
          <w:rFonts w:hint="eastAsia" w:ascii="仿宋_GB2312" w:hAnsi="宋体" w:eastAsia="仿宋_GB2312" w:cs="Times New Roman"/>
          <w:kern w:val="2"/>
          <w:sz w:val="28"/>
          <w:szCs w:val="28"/>
          <w:lang w:val="en-US" w:eastAsia="zh-CN" w:bidi="ar-SA"/>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（3）《中华人民共和国城市房地产管理法》；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（4）《中华人民共和国土地管理法》；</w:t>
      </w:r>
    </w:p>
    <w:p>
      <w:pPr>
        <w:spacing w:beforeLines="0" w:afterLines="0"/>
        <w:jc w:val="left"/>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（5）中华人民共和国国家标准《房地产估价规范》；</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6</w:t>
      </w:r>
      <w:r>
        <w:rPr>
          <w:rFonts w:hint="eastAsia" w:ascii="仿宋" w:hAnsi="仿宋" w:eastAsia="仿宋"/>
          <w:sz w:val="28"/>
          <w:szCs w:val="28"/>
          <w:lang w:eastAsia="zh-CN"/>
        </w:rPr>
        <w:t>）</w:t>
      </w:r>
      <w:r>
        <w:rPr>
          <w:rFonts w:hint="eastAsia" w:ascii="仿宋" w:hAnsi="仿宋" w:eastAsia="仿宋"/>
          <w:sz w:val="28"/>
          <w:szCs w:val="28"/>
        </w:rPr>
        <w:t>《价格评估执业规范》</w:t>
      </w:r>
      <w:r>
        <w:rPr>
          <w:rFonts w:hint="eastAsia" w:ascii="仿宋" w:hAnsi="仿宋" w:eastAsia="仿宋"/>
          <w:sz w:val="28"/>
          <w:szCs w:val="28"/>
          <w:lang w:eastAsia="zh-CN"/>
        </w:rPr>
        <w:t>；</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7</w:t>
      </w:r>
      <w:r>
        <w:rPr>
          <w:rFonts w:hint="eastAsia" w:ascii="仿宋" w:hAnsi="仿宋" w:eastAsia="仿宋"/>
          <w:sz w:val="28"/>
          <w:szCs w:val="28"/>
          <w:lang w:eastAsia="zh-CN"/>
        </w:rPr>
        <w:t>）</w:t>
      </w:r>
      <w:r>
        <w:rPr>
          <w:rFonts w:hint="eastAsia" w:ascii="仿宋" w:hAnsi="仿宋" w:eastAsia="仿宋"/>
          <w:sz w:val="28"/>
          <w:szCs w:val="28"/>
        </w:rPr>
        <w:t>《价格评估人员自律守则》</w:t>
      </w:r>
      <w:r>
        <w:rPr>
          <w:rFonts w:hint="eastAsia" w:ascii="仿宋" w:hAnsi="仿宋" w:eastAsia="仿宋"/>
          <w:sz w:val="28"/>
          <w:szCs w:val="28"/>
          <w:lang w:eastAsia="zh-CN"/>
        </w:rPr>
        <w:t>；</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8</w:t>
      </w:r>
      <w:r>
        <w:rPr>
          <w:rFonts w:hint="eastAsia" w:ascii="仿宋" w:hAnsi="仿宋" w:eastAsia="仿宋"/>
          <w:sz w:val="28"/>
          <w:szCs w:val="28"/>
          <w:lang w:eastAsia="zh-CN"/>
        </w:rPr>
        <w:t>）</w:t>
      </w:r>
      <w:r>
        <w:rPr>
          <w:rFonts w:hint="eastAsia" w:ascii="仿宋" w:hAnsi="仿宋" w:eastAsia="仿宋"/>
          <w:sz w:val="28"/>
          <w:szCs w:val="28"/>
        </w:rPr>
        <w:t>《价格评估行业职业操守》</w:t>
      </w:r>
      <w:r>
        <w:rPr>
          <w:rFonts w:hint="eastAsia" w:ascii="仿宋" w:hAnsi="仿宋" w:eastAsia="仿宋"/>
          <w:sz w:val="28"/>
          <w:szCs w:val="28"/>
          <w:lang w:eastAsia="zh-CN"/>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2、委托方提供的有关资料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（1）委托方提供的价格评估鉴定委托书；</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（2）委托方提供的相关权属资料复印件及其他资料复印件。</w:t>
      </w:r>
    </w:p>
    <w:p>
      <w:pPr>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3、估价机构和估价人员现场查勘、调查所得的资料；掌握和收集的其它询价资料、参数资料和国家有关部门发布的统计资料和技术标准资料。</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（八）估价原则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我们按照《房地产估价规范》规定，遵循估价行业公认的估价工作原则，对估价对象进行独立、客观、科学的评价，并遵守国家保密规定。</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本次估价中我们还特别遵循以下估价经济原则：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独立、客观、公正原则：我们进行估价的最高行为准则。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合法原则：在本次估价时其应当符合国家的法律、法规有关规定，以估价对象的合法权益为前提；本次评估以委托方提供的相关权属资料载明事项体现合法原则。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最高最佳使用原则：能给估价对象带来最高收益的使用，这种使用是法律上允许、技术上可能、财务上可行，本次估价中以其按现状使用为最高最佳使用。</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时点原则：由于房地产市场是不断变化的，在不同的估价时点，同一宗房地产往往具有不同的价格水平。估价时点原则是指求取某一时点的价格，所以在评估一宗房地产价格时，必须假定市场停止在估价时点上，同时对估价对象的房地产市场情况及自</w:t>
      </w:r>
      <w:r>
        <w:rPr>
          <w:rFonts w:hint="eastAsia" w:ascii="仿宋" w:hAnsi="仿宋" w:eastAsia="仿宋"/>
          <w:sz w:val="30"/>
          <w:szCs w:val="30"/>
          <w:lang w:val="en-US" w:eastAsia="zh-CN"/>
        </w:rPr>
        <w:t>身情况的界定，也是以在</w:t>
      </w:r>
      <w:r>
        <w:rPr>
          <w:rFonts w:hint="eastAsia" w:ascii="仿宋_GB2312" w:hAnsi="宋体" w:eastAsia="仿宋_GB2312" w:cs="Times New Roman"/>
          <w:kern w:val="2"/>
          <w:sz w:val="28"/>
          <w:szCs w:val="28"/>
          <w:lang w:val="en-US" w:eastAsia="zh-CN" w:bidi="ar-SA"/>
        </w:rPr>
        <w:t>估价时点的状况为准。</w:t>
      </w:r>
    </w:p>
    <w:p>
      <w:pPr>
        <w:numPr>
          <w:ilvl w:val="0"/>
          <w:numId w:val="0"/>
        </w:num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（九）估价方法</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根据估价规范要求和评估人员现场踏勘，以及对估价对象的使用年限、周边类似房地产交易实例和宗地所处区域因素等资料进行收集、分析和整理，结合评估目的，本次估价采用了市场法测算估价对象的公开市场价值。</w:t>
      </w:r>
    </w:p>
    <w:p>
      <w:pPr>
        <w:ind w:firstLine="560" w:firstLineChars="200"/>
        <w:rPr>
          <w:rFonts w:ascii="仿宋" w:hAnsi="仿宋" w:eastAsia="仿宋" w:cs="Arial"/>
          <w:color w:val="333333"/>
          <w:sz w:val="30"/>
          <w:szCs w:val="30"/>
          <w:shd w:val="clear" w:color="auto" w:fill="FFFFFF"/>
        </w:rPr>
      </w:pPr>
      <w:r>
        <w:rPr>
          <w:rFonts w:hint="eastAsia" w:ascii="仿宋_GB2312" w:hAnsi="宋体" w:eastAsia="仿宋_GB2312" w:cs="Times New Roman"/>
          <w:kern w:val="2"/>
          <w:sz w:val="28"/>
          <w:szCs w:val="28"/>
          <w:lang w:val="en-US" w:eastAsia="zh-CN" w:bidi="ar-SA"/>
        </w:rPr>
        <w:t>市场法也称市场价格比较法，是指通过比较被评估资产与最近售出类似资产的异同，并将类似的市场价格进行调整，从而确定被评估资产价值的一种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ind w:firstLine="560" w:firstLineChars="200"/>
        <w:rPr>
          <w:rFonts w:hint="eastAsia" w:ascii="仿宋_GB2312" w:hAnsi="仿宋" w:eastAsia="仿宋_GB2312"/>
          <w:b/>
          <w:sz w:val="28"/>
          <w:szCs w:val="28"/>
          <w:lang w:val="en-US" w:eastAsia="zh-CN"/>
        </w:rPr>
      </w:pPr>
      <w:r>
        <w:rPr>
          <w:rFonts w:hint="eastAsia" w:ascii="仿宋_GB2312" w:hAnsi="宋体" w:eastAsia="仿宋_GB2312" w:cs="Times New Roman"/>
          <w:kern w:val="2"/>
          <w:sz w:val="28"/>
          <w:szCs w:val="28"/>
          <w:lang w:val="en-US" w:eastAsia="zh-CN" w:bidi="ar-SA"/>
        </w:rPr>
        <w:t xml:space="preserve">评估值（比准价格）=可比实例价格×交易情况修正×市场状况调整×房地产状况调整 </w:t>
      </w:r>
      <w:r>
        <w:rPr>
          <w:rFonts w:hint="eastAsia" w:ascii="仿宋_GB2312" w:hAnsi="仿宋" w:eastAsia="仿宋_GB2312"/>
          <w:b/>
          <w:sz w:val="28"/>
          <w:szCs w:val="28"/>
          <w:lang w:val="en-US" w:eastAsia="zh-CN"/>
        </w:rPr>
        <w:t xml:space="preserve">  </w:t>
      </w:r>
    </w:p>
    <w:p>
      <w:pPr>
        <w:rPr>
          <w:rFonts w:hint="eastAsia" w:ascii="仿宋_GB2312" w:hAnsi="仿宋" w:eastAsia="仿宋_GB2312"/>
          <w:b/>
          <w:sz w:val="28"/>
          <w:szCs w:val="28"/>
        </w:rPr>
      </w:pPr>
      <w:r>
        <w:rPr>
          <w:rFonts w:hint="eastAsia" w:ascii="仿宋_GB2312" w:hAnsi="仿宋" w:eastAsia="仿宋_GB2312"/>
          <w:b/>
          <w:sz w:val="28"/>
          <w:szCs w:val="28"/>
          <w:lang w:val="en-US" w:eastAsia="zh-CN"/>
        </w:rPr>
        <w:t xml:space="preserve">   </w:t>
      </w:r>
      <w:r>
        <w:rPr>
          <w:rFonts w:hint="eastAsia" w:ascii="仿宋_GB2312" w:hAnsi="仿宋" w:eastAsia="仿宋_GB2312"/>
          <w:b/>
          <w:sz w:val="28"/>
          <w:szCs w:val="28"/>
        </w:rPr>
        <w:t>（十）估价结果</w:t>
      </w:r>
    </w:p>
    <w:p>
      <w:pPr>
        <w:ind w:firstLine="560" w:firstLineChars="200"/>
      </w:pPr>
      <w:r>
        <w:rPr>
          <w:rFonts w:hint="eastAsia" w:ascii="仿宋_GB2312" w:hAnsi="宋体" w:eastAsia="仿宋_GB2312" w:cs="Times New Roman"/>
          <w:kern w:val="2"/>
          <w:sz w:val="28"/>
          <w:szCs w:val="28"/>
          <w:lang w:val="en-US" w:eastAsia="zh-CN" w:bidi="ar-SA"/>
        </w:rPr>
        <w:t>估价人员经过实地勘查和测算，确定估价对象在估价时点可能形成的市场价值为</w:t>
      </w:r>
      <w:r>
        <w:rPr>
          <w:rFonts w:hint="eastAsia" w:ascii="仿宋_GB2312" w:hAnsi="宋体" w:eastAsia="仿宋_GB2312" w:cs="Times New Roman"/>
          <w:kern w:val="2"/>
          <w:sz w:val="28"/>
          <w:szCs w:val="28"/>
          <w:highlight w:val="none"/>
          <w:lang w:val="en-US" w:eastAsia="zh-CN" w:bidi="ar-SA"/>
        </w:rPr>
        <w:t>￥</w:t>
      </w:r>
      <w:r>
        <w:rPr>
          <w:rFonts w:hint="eastAsia" w:ascii="仿宋_GB2312" w:hAnsi="宋体" w:eastAsia="仿宋_GB2312" w:cs="Times New Roman"/>
          <w:kern w:val="2"/>
          <w:sz w:val="28"/>
          <w:szCs w:val="28"/>
          <w:lang w:val="en-US" w:eastAsia="zh-CN" w:bidi="ar-SA"/>
        </w:rPr>
        <w:t>2892376</w:t>
      </w:r>
      <w:r>
        <w:rPr>
          <w:rFonts w:hint="eastAsia" w:ascii="仿宋_GB2312" w:hAnsi="宋体" w:eastAsia="仿宋_GB2312" w:cs="Times New Roman"/>
          <w:kern w:val="2"/>
          <w:sz w:val="28"/>
          <w:szCs w:val="28"/>
          <w:highlight w:val="none"/>
          <w:lang w:val="en-US" w:eastAsia="zh-CN" w:bidi="ar-SA"/>
        </w:rPr>
        <w:t>元(大</w:t>
      </w:r>
      <w:r>
        <w:rPr>
          <w:rFonts w:hint="eastAsia" w:ascii="仿宋_GB2312" w:hAnsi="宋体" w:eastAsia="仿宋_GB2312" w:cs="Times New Roman"/>
          <w:kern w:val="2"/>
          <w:sz w:val="28"/>
          <w:szCs w:val="28"/>
          <w:lang w:val="en-US" w:eastAsia="zh-CN" w:bidi="ar-SA"/>
        </w:rPr>
        <w:t>写人民币贰佰捌拾玖万贰仟叁佰柒拾陆元整</w:t>
      </w:r>
      <w:r>
        <w:rPr>
          <w:rFonts w:hint="eastAsia" w:ascii="仿宋_GB2312" w:hAnsi="宋体" w:eastAsia="仿宋_GB2312" w:cs="Times New Roman"/>
          <w:kern w:val="2"/>
          <w:sz w:val="28"/>
          <w:szCs w:val="28"/>
          <w:highlight w:val="none"/>
          <w:lang w:val="en-US" w:eastAsia="zh-CN" w:bidi="ar-SA"/>
        </w:rPr>
        <w:t>)</w:t>
      </w:r>
      <w:r>
        <w:rPr>
          <w:rFonts w:hint="eastAsia" w:ascii="仿宋_GB2312" w:hAnsi="宋体" w:eastAsia="仿宋_GB2312" w:cs="Times New Roman"/>
          <w:kern w:val="2"/>
          <w:sz w:val="28"/>
          <w:szCs w:val="28"/>
          <w:lang w:val="en-US" w:eastAsia="zh-CN" w:bidi="ar-SA"/>
        </w:rPr>
        <w:t xml:space="preserve">。详见房地产估价结果明细表。                                                  </w:t>
      </w:r>
    </w:p>
    <w:tbl>
      <w:tblPr>
        <w:tblStyle w:val="8"/>
        <w:tblW w:w="883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71"/>
        <w:gridCol w:w="1565"/>
        <w:gridCol w:w="2050"/>
        <w:gridCol w:w="2475"/>
        <w:gridCol w:w="18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5" w:hRule="atLeast"/>
        </w:trPr>
        <w:tc>
          <w:tcPr>
            <w:tcW w:w="871"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序号</w:t>
            </w:r>
          </w:p>
        </w:tc>
        <w:tc>
          <w:tcPr>
            <w:tcW w:w="1565"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楼层/房号</w:t>
            </w:r>
          </w:p>
        </w:tc>
        <w:tc>
          <w:tcPr>
            <w:tcW w:w="2050"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建筑面积（㎡）</w:t>
            </w:r>
          </w:p>
        </w:tc>
        <w:tc>
          <w:tcPr>
            <w:tcW w:w="2475"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lang w:val="en-US" w:eastAsia="zh-CN"/>
              </w:rPr>
            </w:pPr>
            <w:r>
              <w:rPr>
                <w:rFonts w:hint="eastAsia" w:ascii="仿宋" w:hAnsi="仿宋" w:eastAsia="仿宋" w:cs="仿宋"/>
                <w:i w:val="0"/>
                <w:iCs w:val="0"/>
                <w:color w:val="000000"/>
                <w:kern w:val="0"/>
                <w:sz w:val="28"/>
                <w:szCs w:val="28"/>
                <w:u w:val="none"/>
                <w:lang w:val="en-US" w:eastAsia="zh-CN" w:bidi="ar"/>
              </w:rPr>
              <w:t>评估单价（元/㎡）</w:t>
            </w:r>
          </w:p>
        </w:tc>
        <w:tc>
          <w:tcPr>
            <w:tcW w:w="1875"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评估值（元）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5" w:hRule="atLeast"/>
        </w:trPr>
        <w:tc>
          <w:tcPr>
            <w:tcW w:w="871"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w:t>
            </w:r>
          </w:p>
        </w:tc>
        <w:tc>
          <w:tcPr>
            <w:tcW w:w="1565"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8-0819</w:t>
            </w:r>
          </w:p>
        </w:tc>
        <w:tc>
          <w:tcPr>
            <w:tcW w:w="2050"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55.3</w:t>
            </w:r>
          </w:p>
        </w:tc>
        <w:tc>
          <w:tcPr>
            <w:tcW w:w="2475"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9499</w:t>
            </w:r>
          </w:p>
        </w:tc>
        <w:tc>
          <w:tcPr>
            <w:tcW w:w="1875" w:type="dxa"/>
            <w:tcBorders>
              <w:top w:val="single" w:color="auto" w:sz="4" w:space="0"/>
              <w:left w:val="single" w:color="auto" w:sz="4" w:space="0"/>
              <w:bottom w:val="single" w:color="auto" w:sz="4" w:space="0"/>
              <w:right w:val="single" w:color="auto" w:sz="4" w:space="0"/>
            </w:tcBorders>
            <w:shd w:val="clear" w:color="auto" w:fill="auto"/>
            <w:textDirection w:val="lrTb"/>
            <w:vAlign w:val="bottom"/>
          </w:tcPr>
          <w:p>
            <w:pPr>
              <w:keepNext w:val="0"/>
              <w:keepLines w:val="0"/>
              <w:widowControl/>
              <w:suppressLineNumbers w:val="0"/>
              <w:jc w:val="center"/>
              <w:textAlignment w:val="bottom"/>
              <w:rPr>
                <w:rFonts w:hint="default" w:ascii="仿宋" w:hAnsi="仿宋" w:eastAsia="仿宋" w:cs="仿宋"/>
                <w:i w:val="0"/>
                <w:iCs w:val="0"/>
                <w:color w:val="000000"/>
                <w:sz w:val="28"/>
                <w:szCs w:val="28"/>
                <w:u w:val="none"/>
                <w:lang w:val="en-US"/>
              </w:rPr>
            </w:pPr>
            <w:r>
              <w:rPr>
                <w:rFonts w:hint="eastAsia" w:ascii="仿宋" w:hAnsi="仿宋" w:eastAsia="仿宋" w:cs="仿宋"/>
                <w:i w:val="0"/>
                <w:iCs w:val="0"/>
                <w:color w:val="000000"/>
                <w:kern w:val="0"/>
                <w:sz w:val="28"/>
                <w:szCs w:val="28"/>
                <w:u w:val="none"/>
                <w:lang w:val="en-US" w:eastAsia="zh-CN" w:bidi="ar"/>
              </w:rPr>
              <w:t>525295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5" w:hRule="atLeast"/>
        </w:trPr>
        <w:tc>
          <w:tcPr>
            <w:tcW w:w="871"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2</w:t>
            </w:r>
          </w:p>
        </w:tc>
        <w:tc>
          <w:tcPr>
            <w:tcW w:w="1565"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8-0820</w:t>
            </w:r>
          </w:p>
        </w:tc>
        <w:tc>
          <w:tcPr>
            <w:tcW w:w="2050"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72.86</w:t>
            </w:r>
          </w:p>
        </w:tc>
        <w:tc>
          <w:tcPr>
            <w:tcW w:w="2475"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9309</w:t>
            </w:r>
          </w:p>
        </w:tc>
        <w:tc>
          <w:tcPr>
            <w:tcW w:w="1875" w:type="dxa"/>
            <w:tcBorders>
              <w:top w:val="single" w:color="auto" w:sz="4" w:space="0"/>
              <w:left w:val="single" w:color="auto" w:sz="4" w:space="0"/>
              <w:bottom w:val="single" w:color="auto" w:sz="4" w:space="0"/>
              <w:right w:val="single" w:color="auto" w:sz="4" w:space="0"/>
            </w:tcBorders>
            <w:shd w:val="clear" w:color="auto" w:fill="auto"/>
            <w:textDirection w:val="lrTb"/>
            <w:vAlign w:val="bottom"/>
          </w:tcPr>
          <w:p>
            <w:pPr>
              <w:keepNext w:val="0"/>
              <w:keepLines w:val="0"/>
              <w:widowControl/>
              <w:suppressLineNumbers w:val="0"/>
              <w:jc w:val="center"/>
              <w:textAlignment w:val="bottom"/>
              <w:rPr>
                <w:rFonts w:hint="default" w:ascii="仿宋" w:hAnsi="仿宋" w:eastAsia="仿宋" w:cs="仿宋"/>
                <w:i w:val="0"/>
                <w:iCs w:val="0"/>
                <w:color w:val="000000"/>
                <w:sz w:val="28"/>
                <w:szCs w:val="28"/>
                <w:u w:val="none"/>
                <w:lang w:val="en-US"/>
              </w:rPr>
            </w:pPr>
            <w:r>
              <w:rPr>
                <w:rFonts w:hint="eastAsia" w:ascii="仿宋" w:hAnsi="仿宋" w:eastAsia="仿宋" w:cs="仿宋"/>
                <w:i w:val="0"/>
                <w:iCs w:val="0"/>
                <w:color w:val="000000"/>
                <w:kern w:val="0"/>
                <w:sz w:val="28"/>
                <w:szCs w:val="28"/>
                <w:u w:val="none"/>
                <w:lang w:val="en-US" w:eastAsia="zh-CN" w:bidi="ar"/>
              </w:rPr>
              <w:t>678254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5" w:hRule="atLeast"/>
        </w:trPr>
        <w:tc>
          <w:tcPr>
            <w:tcW w:w="871"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3</w:t>
            </w:r>
          </w:p>
        </w:tc>
        <w:tc>
          <w:tcPr>
            <w:tcW w:w="1565"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8-0821</w:t>
            </w:r>
          </w:p>
        </w:tc>
        <w:tc>
          <w:tcPr>
            <w:tcW w:w="2050"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52.13</w:t>
            </w:r>
          </w:p>
        </w:tc>
        <w:tc>
          <w:tcPr>
            <w:tcW w:w="2475"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9309</w:t>
            </w:r>
          </w:p>
        </w:tc>
        <w:tc>
          <w:tcPr>
            <w:tcW w:w="1875" w:type="dxa"/>
            <w:tcBorders>
              <w:top w:val="single" w:color="auto" w:sz="4" w:space="0"/>
              <w:left w:val="single" w:color="auto" w:sz="4" w:space="0"/>
              <w:bottom w:val="single" w:color="auto" w:sz="4" w:space="0"/>
              <w:right w:val="single" w:color="auto" w:sz="4" w:space="0"/>
            </w:tcBorders>
            <w:shd w:val="clear" w:color="auto" w:fill="auto"/>
            <w:textDirection w:val="lrTb"/>
            <w:vAlign w:val="bottom"/>
          </w:tcPr>
          <w:p>
            <w:pPr>
              <w:keepNext w:val="0"/>
              <w:keepLines w:val="0"/>
              <w:widowControl/>
              <w:suppressLineNumbers w:val="0"/>
              <w:jc w:val="center"/>
              <w:textAlignment w:val="bottom"/>
              <w:rPr>
                <w:rFonts w:hint="default" w:ascii="仿宋" w:hAnsi="仿宋" w:eastAsia="仿宋" w:cs="仿宋"/>
                <w:i w:val="0"/>
                <w:iCs w:val="0"/>
                <w:color w:val="000000"/>
                <w:sz w:val="28"/>
                <w:szCs w:val="28"/>
                <w:u w:val="none"/>
                <w:lang w:val="en-US"/>
              </w:rPr>
            </w:pPr>
            <w:r>
              <w:rPr>
                <w:rFonts w:hint="eastAsia" w:ascii="仿宋" w:hAnsi="仿宋" w:eastAsia="仿宋" w:cs="仿宋"/>
                <w:i w:val="0"/>
                <w:iCs w:val="0"/>
                <w:color w:val="000000"/>
                <w:kern w:val="0"/>
                <w:sz w:val="28"/>
                <w:szCs w:val="28"/>
                <w:u w:val="none"/>
                <w:lang w:val="en-US" w:eastAsia="zh-CN" w:bidi="ar"/>
              </w:rPr>
              <w:t>485278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5" w:hRule="atLeast"/>
        </w:trPr>
        <w:tc>
          <w:tcPr>
            <w:tcW w:w="871"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4</w:t>
            </w:r>
          </w:p>
        </w:tc>
        <w:tc>
          <w:tcPr>
            <w:tcW w:w="1565"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8-0822</w:t>
            </w:r>
          </w:p>
        </w:tc>
        <w:tc>
          <w:tcPr>
            <w:tcW w:w="2050"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72.86</w:t>
            </w:r>
          </w:p>
        </w:tc>
        <w:tc>
          <w:tcPr>
            <w:tcW w:w="2475"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9309</w:t>
            </w:r>
          </w:p>
        </w:tc>
        <w:tc>
          <w:tcPr>
            <w:tcW w:w="1875" w:type="dxa"/>
            <w:tcBorders>
              <w:top w:val="single" w:color="auto" w:sz="4" w:space="0"/>
              <w:left w:val="single" w:color="auto" w:sz="4" w:space="0"/>
              <w:bottom w:val="single" w:color="auto" w:sz="4" w:space="0"/>
              <w:right w:val="single" w:color="auto" w:sz="4" w:space="0"/>
            </w:tcBorders>
            <w:shd w:val="clear" w:color="auto" w:fill="auto"/>
            <w:textDirection w:val="lrTb"/>
            <w:vAlign w:val="bottom"/>
          </w:tcPr>
          <w:p>
            <w:pPr>
              <w:keepNext w:val="0"/>
              <w:keepLines w:val="0"/>
              <w:widowControl/>
              <w:suppressLineNumbers w:val="0"/>
              <w:jc w:val="center"/>
              <w:textAlignment w:val="bottom"/>
              <w:rPr>
                <w:rFonts w:hint="default" w:ascii="仿宋" w:hAnsi="仿宋" w:eastAsia="仿宋" w:cs="仿宋"/>
                <w:i w:val="0"/>
                <w:iCs w:val="0"/>
                <w:color w:val="000000"/>
                <w:sz w:val="28"/>
                <w:szCs w:val="28"/>
                <w:u w:val="none"/>
                <w:lang w:val="en-US"/>
              </w:rPr>
            </w:pPr>
            <w:r>
              <w:rPr>
                <w:rFonts w:hint="eastAsia" w:ascii="仿宋" w:hAnsi="仿宋" w:eastAsia="仿宋" w:cs="仿宋"/>
                <w:i w:val="0"/>
                <w:iCs w:val="0"/>
                <w:color w:val="000000"/>
                <w:kern w:val="0"/>
                <w:sz w:val="28"/>
                <w:szCs w:val="28"/>
                <w:highlight w:val="none"/>
                <w:u w:val="none"/>
                <w:lang w:val="en-US" w:eastAsia="zh-CN" w:bidi="ar"/>
              </w:rPr>
              <w:t>678254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5" w:hRule="atLeast"/>
        </w:trPr>
        <w:tc>
          <w:tcPr>
            <w:tcW w:w="871"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5</w:t>
            </w:r>
          </w:p>
        </w:tc>
        <w:tc>
          <w:tcPr>
            <w:tcW w:w="1565"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8-0823</w:t>
            </w:r>
          </w:p>
        </w:tc>
        <w:tc>
          <w:tcPr>
            <w:tcW w:w="2050"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55.3</w:t>
            </w:r>
          </w:p>
        </w:tc>
        <w:tc>
          <w:tcPr>
            <w:tcW w:w="2475"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9499</w:t>
            </w:r>
          </w:p>
        </w:tc>
        <w:tc>
          <w:tcPr>
            <w:tcW w:w="1875" w:type="dxa"/>
            <w:tcBorders>
              <w:top w:val="single" w:color="auto" w:sz="4" w:space="0"/>
              <w:left w:val="single" w:color="auto" w:sz="4" w:space="0"/>
              <w:bottom w:val="single" w:color="auto" w:sz="4" w:space="0"/>
              <w:right w:val="single" w:color="auto" w:sz="4" w:space="0"/>
            </w:tcBorders>
            <w:shd w:val="clear" w:color="auto" w:fill="auto"/>
            <w:textDirection w:val="lrTb"/>
            <w:vAlign w:val="bottom"/>
          </w:tcPr>
          <w:p>
            <w:pPr>
              <w:keepNext w:val="0"/>
              <w:keepLines w:val="0"/>
              <w:widowControl/>
              <w:suppressLineNumbers w:val="0"/>
              <w:jc w:val="center"/>
              <w:textAlignment w:val="bottom"/>
              <w:rPr>
                <w:rFonts w:hint="default" w:ascii="仿宋" w:hAnsi="仿宋" w:eastAsia="仿宋" w:cs="仿宋"/>
                <w:i w:val="0"/>
                <w:iCs w:val="0"/>
                <w:color w:val="000000"/>
                <w:sz w:val="28"/>
                <w:szCs w:val="28"/>
                <w:u w:val="none"/>
                <w:lang w:val="en-US"/>
              </w:rPr>
            </w:pPr>
            <w:r>
              <w:rPr>
                <w:rFonts w:hint="eastAsia" w:ascii="仿宋" w:hAnsi="仿宋" w:eastAsia="仿宋" w:cs="仿宋"/>
                <w:i w:val="0"/>
                <w:iCs w:val="0"/>
                <w:color w:val="000000"/>
                <w:kern w:val="0"/>
                <w:sz w:val="28"/>
                <w:szCs w:val="28"/>
                <w:u w:val="none"/>
                <w:lang w:val="en-US" w:eastAsia="zh-CN" w:bidi="ar"/>
              </w:rPr>
              <w:t>525295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5" w:hRule="atLeast"/>
        </w:trPr>
        <w:tc>
          <w:tcPr>
            <w:tcW w:w="871"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6</w:t>
            </w:r>
          </w:p>
        </w:tc>
        <w:tc>
          <w:tcPr>
            <w:tcW w:w="1565"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合计</w:t>
            </w:r>
          </w:p>
        </w:tc>
        <w:tc>
          <w:tcPr>
            <w:tcW w:w="2050"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hint="eastAsia" w:ascii="仿宋" w:hAnsi="仿宋" w:eastAsia="仿宋" w:cs="仿宋"/>
                <w:i w:val="0"/>
                <w:iCs w:val="0"/>
                <w:color w:val="000000"/>
                <w:sz w:val="28"/>
                <w:szCs w:val="28"/>
                <w:u w:val="none"/>
              </w:rPr>
            </w:pPr>
          </w:p>
        </w:tc>
        <w:tc>
          <w:tcPr>
            <w:tcW w:w="2475"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hint="eastAsia" w:ascii="仿宋" w:hAnsi="仿宋" w:eastAsia="仿宋" w:cs="仿宋"/>
                <w:i w:val="0"/>
                <w:iCs w:val="0"/>
                <w:color w:val="000000"/>
                <w:sz w:val="28"/>
                <w:szCs w:val="28"/>
                <w:u w:val="none"/>
              </w:rPr>
            </w:pPr>
          </w:p>
        </w:tc>
        <w:tc>
          <w:tcPr>
            <w:tcW w:w="1875" w:type="dxa"/>
            <w:tcBorders>
              <w:top w:val="single" w:color="auto" w:sz="4" w:space="0"/>
              <w:left w:val="single" w:color="auto" w:sz="4" w:space="0"/>
              <w:bottom w:val="single" w:color="auto" w:sz="4" w:space="0"/>
              <w:right w:val="single" w:color="auto" w:sz="4" w:space="0"/>
            </w:tcBorders>
            <w:shd w:val="clear" w:color="auto" w:fill="auto"/>
            <w:textDirection w:val="lrTb"/>
            <w:vAlign w:val="bottom"/>
          </w:tcPr>
          <w:p>
            <w:pPr>
              <w:keepNext w:val="0"/>
              <w:keepLines w:val="0"/>
              <w:widowControl/>
              <w:suppressLineNumbers w:val="0"/>
              <w:jc w:val="center"/>
              <w:textAlignment w:val="bottom"/>
              <w:rPr>
                <w:rFonts w:hint="default" w:ascii="仿宋" w:hAnsi="仿宋" w:eastAsia="仿宋" w:cs="仿宋"/>
                <w:i w:val="0"/>
                <w:iCs w:val="0"/>
                <w:color w:val="000000"/>
                <w:sz w:val="28"/>
                <w:szCs w:val="28"/>
                <w:u w:val="none"/>
                <w:lang w:val="en-US"/>
              </w:rPr>
            </w:pPr>
            <w:r>
              <w:rPr>
                <w:rFonts w:hint="eastAsia" w:ascii="仿宋" w:hAnsi="仿宋" w:eastAsia="仿宋" w:cs="仿宋"/>
                <w:i w:val="0"/>
                <w:iCs w:val="0"/>
                <w:color w:val="000000"/>
                <w:kern w:val="0"/>
                <w:sz w:val="28"/>
                <w:szCs w:val="28"/>
                <w:u w:val="none"/>
                <w:lang w:val="en-US" w:eastAsia="zh-CN" w:bidi="ar"/>
              </w:rPr>
              <w:t>2892376</w:t>
            </w:r>
          </w:p>
        </w:tc>
      </w:tr>
    </w:tbl>
    <w:p>
      <w:pPr>
        <w:rPr>
          <w:rFonts w:hint="eastAsia" w:ascii="仿宋_GB2312" w:hAnsi="仿宋" w:eastAsia="仿宋_GB2312" w:cs="Times New Roman"/>
          <w:b/>
          <w:kern w:val="2"/>
          <w:sz w:val="28"/>
          <w:szCs w:val="28"/>
          <w:lang w:val="zh-CN" w:eastAsia="zh-CN" w:bidi="ar-SA"/>
        </w:rPr>
      </w:pPr>
      <w:r>
        <w:rPr>
          <w:rFonts w:hint="eastAsia" w:ascii="仿宋_GB2312" w:hAnsi="仿宋" w:eastAsia="仿宋_GB2312" w:cs="Times New Roman"/>
          <w:b/>
          <w:kern w:val="2"/>
          <w:sz w:val="28"/>
          <w:szCs w:val="28"/>
          <w:lang w:val="en-US" w:eastAsia="zh-CN" w:bidi="ar-SA"/>
        </w:rPr>
        <w:t xml:space="preserve">   </w:t>
      </w:r>
      <w:r>
        <w:rPr>
          <w:rFonts w:hint="eastAsia" w:ascii="仿宋_GB2312" w:hAnsi="仿宋" w:eastAsia="仿宋_GB2312" w:cs="Times New Roman"/>
          <w:b/>
          <w:kern w:val="2"/>
          <w:sz w:val="28"/>
          <w:szCs w:val="28"/>
          <w:lang w:val="zh-CN" w:eastAsia="zh-CN" w:bidi="ar-SA"/>
        </w:rPr>
        <w:t>（十一）价格评估机构</w:t>
      </w:r>
    </w:p>
    <w:p>
      <w:pPr>
        <w:pStyle w:val="4"/>
        <w:spacing w:line="600" w:lineRule="exact"/>
        <w:ind w:firstLine="560" w:firstLineChars="200"/>
        <w:jc w:val="both"/>
        <w:rPr>
          <w:rFonts w:hint="eastAsia" w:ascii="仿宋_GB2312" w:hAnsi="仿宋" w:eastAsia="仿宋_GB2312" w:cs="Times New Roman"/>
          <w:kern w:val="2"/>
          <w:sz w:val="28"/>
          <w:szCs w:val="28"/>
          <w:lang w:val="zh-CN" w:eastAsia="zh-CN" w:bidi="ar-SA"/>
        </w:rPr>
      </w:pPr>
      <w:r>
        <w:rPr>
          <w:rFonts w:hint="eastAsia" w:ascii="仿宋_GB2312" w:hAnsi="仿宋" w:eastAsia="仿宋_GB2312" w:cs="Times New Roman"/>
          <w:kern w:val="2"/>
          <w:sz w:val="28"/>
          <w:szCs w:val="28"/>
          <w:lang w:val="zh-CN" w:eastAsia="zh-CN" w:bidi="ar-SA"/>
        </w:rPr>
        <w:t>机构名称：湖北循其本价格鉴定评估有限公司</w:t>
      </w:r>
    </w:p>
    <w:p>
      <w:pPr>
        <w:pStyle w:val="4"/>
        <w:tabs>
          <w:tab w:val="left" w:pos="900"/>
          <w:tab w:val="left" w:pos="1820"/>
          <w:tab w:val="left" w:pos="2740"/>
          <w:tab w:val="left" w:pos="3660"/>
          <w:tab w:val="left" w:pos="5480"/>
          <w:tab w:val="left" w:pos="6400"/>
          <w:tab w:val="left" w:pos="7320"/>
          <w:tab w:val="left" w:pos="8240"/>
          <w:tab w:val="left" w:pos="10060"/>
          <w:tab w:val="left" w:pos="10980"/>
          <w:tab w:val="left" w:pos="11900"/>
          <w:tab w:val="left" w:pos="12820"/>
          <w:tab w:val="left" w:pos="1464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600" w:lineRule="exact"/>
        <w:ind w:firstLine="560" w:firstLineChars="200"/>
        <w:jc w:val="both"/>
        <w:rPr>
          <w:rFonts w:hint="eastAsia" w:ascii="仿宋_GB2312" w:hAnsi="仿宋" w:eastAsia="仿宋_GB2312" w:cs="Times New Roman"/>
          <w:kern w:val="2"/>
          <w:sz w:val="28"/>
          <w:szCs w:val="28"/>
          <w:lang w:val="en-US" w:eastAsia="zh-CN" w:bidi="ar-SA"/>
        </w:rPr>
      </w:pPr>
      <w:r>
        <w:rPr>
          <w:rFonts w:hint="eastAsia" w:ascii="仿宋_GB2312" w:hAnsi="仿宋" w:eastAsia="仿宋_GB2312" w:cs="Times New Roman"/>
          <w:kern w:val="2"/>
          <w:sz w:val="28"/>
          <w:szCs w:val="28"/>
          <w:lang w:val="zh-CN" w:eastAsia="zh-CN" w:bidi="ar-SA"/>
        </w:rPr>
        <w:t>机构资质证号：中</w:t>
      </w:r>
      <w:r>
        <w:rPr>
          <w:rFonts w:hint="eastAsia" w:ascii="仿宋_GB2312" w:hAnsi="仿宋" w:eastAsia="仿宋_GB2312" w:cs="Times New Roman"/>
          <w:kern w:val="2"/>
          <w:sz w:val="28"/>
          <w:szCs w:val="28"/>
          <w:lang w:val="en-US" w:eastAsia="zh-CN" w:bidi="ar-SA"/>
        </w:rPr>
        <w:t>J</w:t>
      </w:r>
      <w:r>
        <w:rPr>
          <w:rFonts w:hint="eastAsia" w:ascii="仿宋_GB2312" w:hAnsi="仿宋" w:eastAsia="仿宋_GB2312" w:cs="Times New Roman"/>
          <w:kern w:val="2"/>
          <w:sz w:val="28"/>
          <w:szCs w:val="28"/>
          <w:lang w:val="zh-CN" w:eastAsia="zh-CN" w:bidi="ar-SA"/>
        </w:rPr>
        <w:t>1</w:t>
      </w:r>
      <w:r>
        <w:rPr>
          <w:rFonts w:hint="eastAsia" w:ascii="仿宋_GB2312" w:hAnsi="仿宋" w:eastAsia="仿宋_GB2312" w:cs="Times New Roman"/>
          <w:kern w:val="2"/>
          <w:sz w:val="28"/>
          <w:szCs w:val="28"/>
          <w:lang w:val="en-US" w:eastAsia="zh-CN" w:bidi="ar-SA"/>
        </w:rPr>
        <w:t>7</w:t>
      </w:r>
      <w:r>
        <w:rPr>
          <w:rFonts w:hint="eastAsia" w:ascii="仿宋_GB2312" w:hAnsi="仿宋" w:eastAsia="仿宋_GB2312" w:cs="Times New Roman"/>
          <w:kern w:val="2"/>
          <w:sz w:val="28"/>
          <w:szCs w:val="28"/>
          <w:lang w:val="zh-CN" w:eastAsia="zh-CN" w:bidi="ar-SA"/>
        </w:rPr>
        <w:t>000</w:t>
      </w:r>
      <w:r>
        <w:rPr>
          <w:rFonts w:hint="eastAsia" w:ascii="仿宋_GB2312" w:hAnsi="仿宋" w:eastAsia="仿宋_GB2312" w:cs="Times New Roman"/>
          <w:kern w:val="2"/>
          <w:sz w:val="28"/>
          <w:szCs w:val="28"/>
          <w:lang w:val="en-US" w:eastAsia="zh-CN" w:bidi="ar-SA"/>
        </w:rPr>
        <w:t>4</w:t>
      </w:r>
    </w:p>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b/>
          <w:bCs/>
          <w:sz w:val="30"/>
          <w:szCs w:val="30"/>
          <w:lang w:val="en-US" w:eastAsia="zh-CN"/>
        </w:rPr>
        <w:t xml:space="preserve">   </w:t>
      </w:r>
      <w:r>
        <w:rPr>
          <w:rFonts w:hint="eastAsia" w:ascii="仿宋_GB2312" w:hAnsi="宋体" w:eastAsia="仿宋_GB2312"/>
          <w:b/>
          <w:bCs/>
          <w:sz w:val="28"/>
          <w:szCs w:val="28"/>
          <w:lang w:val="en-US" w:eastAsia="zh-CN"/>
        </w:rPr>
        <w:t>（十二）估价专业人员</w:t>
      </w:r>
      <w:r>
        <w:rPr>
          <w:rFonts w:hint="eastAsia" w:ascii="仿宋_GB2312" w:hAnsi="宋体" w:eastAsia="仿宋_GB2312" w:cs="Times New Roman"/>
          <w:kern w:val="2"/>
          <w:sz w:val="28"/>
          <w:szCs w:val="28"/>
          <w:lang w:val="en-US" w:eastAsia="zh-CN" w:bidi="ar-SA"/>
        </w:rPr>
        <w:t xml:space="preserve">   </w:t>
      </w:r>
    </w:p>
    <w:tbl>
      <w:tblPr>
        <w:tblStyle w:val="8"/>
        <w:tblpPr w:leftFromText="180" w:rightFromText="180" w:vertAnchor="text" w:horzAnchor="page" w:tblpXSpec="center" w:tblpY="81"/>
        <w:tblOverlap w:val="never"/>
        <w:tblW w:w="79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1976"/>
        <w:gridCol w:w="1890"/>
        <w:gridCol w:w="2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jc w:val="center"/>
        </w:trPr>
        <w:tc>
          <w:tcPr>
            <w:tcW w:w="1186"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color w:val="000000"/>
                <w:sz w:val="28"/>
                <w:szCs w:val="28"/>
                <w:lang w:val="zh-CN"/>
              </w:rPr>
              <w:t>姓　名</w:t>
            </w:r>
          </w:p>
        </w:tc>
        <w:tc>
          <w:tcPr>
            <w:tcW w:w="1976"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color w:val="000000"/>
                <w:sz w:val="28"/>
                <w:szCs w:val="28"/>
                <w:lang w:val="zh-CN"/>
              </w:rPr>
              <w:t>资格证名称</w:t>
            </w:r>
          </w:p>
        </w:tc>
        <w:tc>
          <w:tcPr>
            <w:tcW w:w="1890"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color w:val="000000"/>
                <w:sz w:val="28"/>
                <w:szCs w:val="28"/>
                <w:lang w:val="zh-CN"/>
              </w:rPr>
              <w:t>资格证号</w:t>
            </w:r>
          </w:p>
        </w:tc>
        <w:tc>
          <w:tcPr>
            <w:tcW w:w="2905"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color w:val="000000"/>
                <w:sz w:val="28"/>
                <w:szCs w:val="28"/>
                <w:lang w:val="zh-CN"/>
              </w:rPr>
              <w:t>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34" w:hRule="atLeast"/>
          <w:jc w:val="center"/>
        </w:trPr>
        <w:tc>
          <w:tcPr>
            <w:tcW w:w="1186"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color w:val="000000"/>
                <w:sz w:val="28"/>
                <w:szCs w:val="28"/>
                <w:lang w:val="zh-CN"/>
              </w:rPr>
              <w:t>孙 坚</w:t>
            </w:r>
          </w:p>
        </w:tc>
        <w:tc>
          <w:tcPr>
            <w:tcW w:w="1976"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color w:val="000000"/>
                <w:sz w:val="28"/>
                <w:szCs w:val="28"/>
                <w:lang w:val="zh-CN"/>
              </w:rPr>
              <w:t>价格鉴证师</w:t>
            </w:r>
          </w:p>
        </w:tc>
        <w:tc>
          <w:tcPr>
            <w:tcW w:w="1890"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color w:val="000000"/>
                <w:sz w:val="28"/>
                <w:szCs w:val="28"/>
                <w:lang w:val="zh-CN"/>
              </w:rPr>
              <w:t>0003035</w:t>
            </w:r>
          </w:p>
        </w:tc>
        <w:tc>
          <w:tcPr>
            <w:tcW w:w="2905"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sz w:val="28"/>
                <w:szCs w:val="28"/>
              </w:rPr>
              <w:drawing>
                <wp:anchor distT="0" distB="0" distL="114300" distR="114300" simplePos="0" relativeHeight="251659264" behindDoc="1" locked="0" layoutInCell="1" allowOverlap="1">
                  <wp:simplePos x="0" y="0"/>
                  <wp:positionH relativeFrom="column">
                    <wp:posOffset>175260</wp:posOffset>
                  </wp:positionH>
                  <wp:positionV relativeFrom="paragraph">
                    <wp:posOffset>226060</wp:posOffset>
                  </wp:positionV>
                  <wp:extent cx="1273810" cy="491490"/>
                  <wp:effectExtent l="0" t="0" r="2540" b="3810"/>
                  <wp:wrapNone/>
                  <wp:docPr id="3" name="图片 2" descr="孙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孙坚"/>
                          <pic:cNvPicPr>
                            <a:picLocks noChangeAspect="1"/>
                          </pic:cNvPicPr>
                        </pic:nvPicPr>
                        <pic:blipFill>
                          <a:blip r:embed="rId7"/>
                          <a:stretch>
                            <a:fillRect/>
                          </a:stretch>
                        </pic:blipFill>
                        <pic:spPr>
                          <a:xfrm>
                            <a:off x="0" y="0"/>
                            <a:ext cx="1273810" cy="491490"/>
                          </a:xfrm>
                          <a:prstGeom prst="rect">
                            <a:avLst/>
                          </a:prstGeom>
                          <a:noFill/>
                          <a:ln w="9525">
                            <a:noFill/>
                            <a:miter/>
                          </a:ln>
                          <a:effectLst/>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4" w:hRule="atLeast"/>
          <w:jc w:val="center"/>
        </w:trPr>
        <w:tc>
          <w:tcPr>
            <w:tcW w:w="1186" w:type="dxa"/>
            <w:vAlign w:val="center"/>
          </w:tcPr>
          <w:p>
            <w:pPr>
              <w:spacing w:line="600" w:lineRule="exact"/>
              <w:jc w:val="center"/>
              <w:rPr>
                <w:rFonts w:hint="eastAsia" w:ascii="仿宋_GB2312" w:hAnsi="仿宋_GB2312" w:eastAsia="仿宋_GB2312" w:cs="仿宋_GB2312"/>
                <w:color w:val="000000"/>
                <w:sz w:val="28"/>
                <w:szCs w:val="28"/>
                <w:highlight w:val="yellow"/>
                <w:lang w:val="zh-CN"/>
              </w:rPr>
            </w:pPr>
            <w:r>
              <w:rPr>
                <w:rStyle w:val="11"/>
                <w:rFonts w:hint="eastAsia" w:ascii="仿宋" w:hAnsi="仿宋" w:eastAsia="仿宋" w:cs="宋体"/>
                <w:color w:val="000000"/>
                <w:sz w:val="28"/>
                <w:szCs w:val="28"/>
                <w:highlight w:val="none"/>
              </w:rPr>
              <w:t>刘汉生</w:t>
            </w:r>
          </w:p>
        </w:tc>
        <w:tc>
          <w:tcPr>
            <w:tcW w:w="1976" w:type="dxa"/>
            <w:vAlign w:val="center"/>
          </w:tcPr>
          <w:p>
            <w:pPr>
              <w:spacing w:line="600" w:lineRule="exact"/>
              <w:jc w:val="center"/>
              <w:rPr>
                <w:rFonts w:hint="eastAsia" w:ascii="仿宋_GB2312" w:hAnsi="仿宋_GB2312" w:eastAsia="仿宋_GB2312" w:cs="仿宋_GB2312"/>
                <w:color w:val="000000"/>
                <w:sz w:val="28"/>
                <w:szCs w:val="28"/>
                <w:highlight w:val="yellow"/>
                <w:lang w:val="zh-CN"/>
              </w:rPr>
            </w:pPr>
            <w:r>
              <w:rPr>
                <w:rStyle w:val="11"/>
                <w:rFonts w:hint="eastAsia" w:ascii="仿宋" w:hAnsi="仿宋" w:eastAsia="仿宋" w:cs="宋体"/>
                <w:color w:val="000000"/>
                <w:sz w:val="28"/>
                <w:szCs w:val="28"/>
                <w:highlight w:val="none"/>
              </w:rPr>
              <w:t>价格鉴证师</w:t>
            </w:r>
          </w:p>
        </w:tc>
        <w:tc>
          <w:tcPr>
            <w:tcW w:w="1890" w:type="dxa"/>
            <w:vAlign w:val="center"/>
          </w:tcPr>
          <w:p>
            <w:pPr>
              <w:spacing w:line="600" w:lineRule="exact"/>
              <w:jc w:val="center"/>
              <w:rPr>
                <w:rFonts w:hint="eastAsia" w:ascii="仿宋_GB2312" w:hAnsi="仿宋_GB2312" w:eastAsia="仿宋_GB2312" w:cs="仿宋_GB2312"/>
                <w:color w:val="000000"/>
                <w:sz w:val="28"/>
                <w:szCs w:val="28"/>
                <w:highlight w:val="yellow"/>
                <w:lang w:val="zh-CN"/>
              </w:rPr>
            </w:pPr>
            <w:r>
              <w:rPr>
                <w:rStyle w:val="11"/>
                <w:rFonts w:hint="eastAsia" w:ascii="仿宋" w:hAnsi="仿宋" w:eastAsia="仿宋" w:cs="宋体"/>
                <w:color w:val="000000"/>
                <w:sz w:val="28"/>
                <w:szCs w:val="28"/>
                <w:highlight w:val="none"/>
              </w:rPr>
              <w:t>0017039</w:t>
            </w:r>
          </w:p>
        </w:tc>
        <w:tc>
          <w:tcPr>
            <w:tcW w:w="2905" w:type="dxa"/>
            <w:vAlign w:val="center"/>
          </w:tcPr>
          <w:p>
            <w:pPr>
              <w:pStyle w:val="4"/>
              <w:jc w:val="center"/>
              <w:rPr>
                <w:rFonts w:hint="eastAsia" w:ascii="仿宋" w:hAnsi="仿宋" w:eastAsia="仿宋"/>
                <w:color w:val="000000"/>
                <w:sz w:val="28"/>
                <w:szCs w:val="28"/>
                <w:highlight w:val="yellow"/>
              </w:rPr>
            </w:pPr>
            <w:r>
              <w:rPr>
                <w:sz w:val="28"/>
                <w:szCs w:val="28"/>
                <w:highlight w:val="yellow"/>
                <w:lang w:val="zh-CN" w:eastAsia="zh-CN"/>
              </w:rPr>
              <w:drawing>
                <wp:anchor distT="0" distB="0" distL="114300" distR="114300" simplePos="0" relativeHeight="251661312" behindDoc="0" locked="0" layoutInCell="1" allowOverlap="1">
                  <wp:simplePos x="0" y="0"/>
                  <wp:positionH relativeFrom="column">
                    <wp:posOffset>144145</wp:posOffset>
                  </wp:positionH>
                  <wp:positionV relativeFrom="paragraph">
                    <wp:posOffset>175895</wp:posOffset>
                  </wp:positionV>
                  <wp:extent cx="1304290" cy="902335"/>
                  <wp:effectExtent l="0" t="0" r="10795" b="0"/>
                  <wp:wrapNone/>
                  <wp:docPr id="6"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
                          <pic:cNvPicPr>
                            <a:picLocks noChangeAspect="1"/>
                          </pic:cNvPicPr>
                        </pic:nvPicPr>
                        <pic:blipFill>
                          <a:blip r:embed="rId8"/>
                          <a:stretch>
                            <a:fillRect/>
                          </a:stretch>
                        </pic:blipFill>
                        <pic:spPr>
                          <a:xfrm>
                            <a:off x="0" y="0"/>
                            <a:ext cx="1304290" cy="902335"/>
                          </a:xfrm>
                          <a:prstGeom prst="rect">
                            <a:avLst/>
                          </a:prstGeom>
                          <a:noFill/>
                          <a:ln w="9525">
                            <a:noFill/>
                            <a:miter/>
                          </a:ln>
                          <a:effectLst/>
                        </pic:spPr>
                      </pic:pic>
                    </a:graphicData>
                  </a:graphic>
                </wp:anchor>
              </w:drawing>
            </w:r>
          </w:p>
          <w:p>
            <w:pPr>
              <w:pStyle w:val="4"/>
              <w:rPr>
                <w:rFonts w:hint="eastAsia" w:ascii="仿宋_GB2312" w:hAnsi="仿宋_GB2312" w:eastAsia="仿宋_GB2312" w:cs="仿宋_GB2312"/>
                <w:color w:val="000000"/>
                <w:sz w:val="28"/>
                <w:szCs w:val="28"/>
                <w:highlight w:val="yellow"/>
                <w:lang w:val="zh-CN"/>
              </w:rPr>
            </w:pPr>
            <w:r>
              <w:rPr>
                <w:rFonts w:hint="eastAsia" w:ascii="仿宋" w:hAnsi="仿宋" w:eastAsia="仿宋"/>
                <w:color w:val="000000"/>
                <w:sz w:val="28"/>
                <w:szCs w:val="28"/>
                <w:highlight w:val="yellow"/>
              </w:rPr>
              <w:drawing>
                <wp:anchor distT="0" distB="0" distL="114300" distR="114300" simplePos="0" relativeHeight="251662336" behindDoc="0" locked="0" layoutInCell="1" allowOverlap="1">
                  <wp:simplePos x="0" y="0"/>
                  <wp:positionH relativeFrom="column">
                    <wp:posOffset>186690</wp:posOffset>
                  </wp:positionH>
                  <wp:positionV relativeFrom="page">
                    <wp:posOffset>815975</wp:posOffset>
                  </wp:positionV>
                  <wp:extent cx="635" cy="635"/>
                  <wp:effectExtent l="0" t="0" r="0" b="0"/>
                  <wp:wrapNone/>
                  <wp:docPr id="7" name="图片 7" descr="Screenshot_20210124-14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Screenshot_20210124-145428"/>
                          <pic:cNvPicPr>
                            <a:picLocks noChangeAspect="1"/>
                          </pic:cNvPicPr>
                        </pic:nvPicPr>
                        <pic:blipFill>
                          <a:blip r:embed="rId9"/>
                          <a:srcRect l="18570" t="17889" r="23581" b="11664"/>
                          <a:stretch>
                            <a:fillRect/>
                          </a:stretch>
                        </pic:blipFill>
                        <pic:spPr>
                          <a:xfrm>
                            <a:off x="0" y="0"/>
                            <a:ext cx="635" cy="635"/>
                          </a:xfrm>
                          <a:prstGeom prst="rect">
                            <a:avLst/>
                          </a:prstGeom>
                          <a:noFill/>
                          <a:ln w="9525">
                            <a:noFill/>
                            <a:miter/>
                          </a:ln>
                          <a:effectLst/>
                        </pic:spPr>
                      </pic:pic>
                    </a:graphicData>
                  </a:graphic>
                </wp:anchor>
              </w:drawing>
            </w:r>
          </w:p>
        </w:tc>
      </w:tr>
    </w:tbl>
    <w:p>
      <w:pPr>
        <w:numPr>
          <w:ilvl w:val="0"/>
          <w:numId w:val="0"/>
        </w:numPr>
        <w:rPr>
          <w:rStyle w:val="11"/>
          <w:rFonts w:hint="eastAsia" w:ascii="仿宋_GB2312" w:hAnsi="仿宋" w:eastAsia="仿宋_GB2312" w:cs="宋体"/>
          <w:b/>
          <w:sz w:val="28"/>
          <w:szCs w:val="28"/>
          <w:highlight w:val="none"/>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b/>
          <w:bCs/>
          <w:sz w:val="30"/>
          <w:szCs w:val="30"/>
          <w:highlight w:val="none"/>
          <w:lang w:val="en-US" w:eastAsia="zh-CN"/>
        </w:rPr>
        <w:t>（十三）</w:t>
      </w:r>
      <w:r>
        <w:rPr>
          <w:rFonts w:hint="eastAsia" w:ascii="仿宋_GB2312" w:hAnsi="仿宋" w:eastAsia="仿宋_GB2312"/>
          <w:b/>
          <w:sz w:val="28"/>
          <w:szCs w:val="28"/>
          <w:highlight w:val="none"/>
        </w:rPr>
        <w:t>评估报告日</w:t>
      </w:r>
      <w:r>
        <w:rPr>
          <w:rStyle w:val="11"/>
          <w:rFonts w:hint="eastAsia" w:ascii="仿宋" w:hAnsi="仿宋" w:eastAsia="仿宋_GB2312" w:cs="宋体"/>
          <w:b/>
          <w:sz w:val="28"/>
          <w:szCs w:val="28"/>
          <w:highlight w:val="none"/>
        </w:rPr>
        <w:t> </w:t>
      </w:r>
    </w:p>
    <w:p>
      <w:pPr>
        <w:ind w:firstLine="560" w:firstLineChars="200"/>
        <w:rPr>
          <w:rFonts w:hint="eastAsia" w:ascii="仿宋_GB2312" w:hAnsi="宋体" w:eastAsia="仿宋_GB2312" w:cs="Times New Roman"/>
          <w:kern w:val="2"/>
          <w:sz w:val="28"/>
          <w:szCs w:val="28"/>
          <w:highlight w:val="none"/>
          <w:lang w:val="en-US" w:eastAsia="zh-CN" w:bidi="ar-SA"/>
        </w:rPr>
      </w:pPr>
      <w:r>
        <w:rPr>
          <w:rStyle w:val="11"/>
          <w:rFonts w:hint="eastAsia" w:ascii="仿宋_GB2312" w:hAnsi="仿宋" w:eastAsia="仿宋_GB2312" w:cs="宋体"/>
          <w:sz w:val="28"/>
          <w:szCs w:val="28"/>
          <w:highlight w:val="none"/>
        </w:rPr>
        <w:t>本次出具评估报告日期为20</w:t>
      </w:r>
      <w:r>
        <w:rPr>
          <w:rStyle w:val="11"/>
          <w:rFonts w:hint="eastAsia" w:ascii="仿宋_GB2312" w:hAnsi="仿宋" w:eastAsia="仿宋_GB2312" w:cs="宋体"/>
          <w:sz w:val="28"/>
          <w:szCs w:val="28"/>
          <w:highlight w:val="none"/>
          <w:lang w:val="en-US" w:eastAsia="zh-CN"/>
        </w:rPr>
        <w:t>22</w:t>
      </w:r>
      <w:r>
        <w:rPr>
          <w:rStyle w:val="11"/>
          <w:rFonts w:hint="eastAsia" w:ascii="仿宋_GB2312" w:hAnsi="仿宋" w:eastAsia="仿宋_GB2312" w:cs="宋体"/>
          <w:sz w:val="28"/>
          <w:szCs w:val="28"/>
          <w:highlight w:val="none"/>
        </w:rPr>
        <w:t>年</w:t>
      </w:r>
      <w:r>
        <w:rPr>
          <w:rStyle w:val="11"/>
          <w:rFonts w:hint="eastAsia" w:ascii="仿宋_GB2312" w:hAnsi="仿宋" w:eastAsia="仿宋_GB2312" w:cs="宋体"/>
          <w:sz w:val="28"/>
          <w:szCs w:val="28"/>
          <w:highlight w:val="none"/>
          <w:lang w:val="en-US" w:eastAsia="zh-CN"/>
        </w:rPr>
        <w:t>08</w:t>
      </w:r>
      <w:r>
        <w:rPr>
          <w:rStyle w:val="11"/>
          <w:rFonts w:hint="eastAsia" w:ascii="仿宋_GB2312" w:hAnsi="仿宋" w:eastAsia="仿宋_GB2312" w:cs="宋体"/>
          <w:sz w:val="28"/>
          <w:szCs w:val="28"/>
          <w:highlight w:val="none"/>
        </w:rPr>
        <w:t>月</w:t>
      </w:r>
      <w:r>
        <w:rPr>
          <w:rStyle w:val="11"/>
          <w:rFonts w:hint="eastAsia" w:ascii="仿宋_GB2312" w:hAnsi="仿宋" w:eastAsia="仿宋_GB2312" w:cs="宋体"/>
          <w:sz w:val="28"/>
          <w:szCs w:val="28"/>
          <w:highlight w:val="none"/>
          <w:lang w:val="en-US" w:eastAsia="zh-CN"/>
        </w:rPr>
        <w:t>22</w:t>
      </w:r>
      <w:r>
        <w:rPr>
          <w:rStyle w:val="11"/>
          <w:rFonts w:hint="eastAsia" w:ascii="仿宋_GB2312" w:hAnsi="仿宋" w:eastAsia="仿宋_GB2312" w:cs="宋体"/>
          <w:sz w:val="28"/>
          <w:szCs w:val="28"/>
          <w:highlight w:val="none"/>
        </w:rPr>
        <w:t>日。</w:t>
      </w:r>
      <w:r>
        <w:rPr>
          <w:rFonts w:hint="eastAsia" w:ascii="仿宋_GB2312" w:hAnsi="宋体" w:eastAsia="仿宋_GB2312" w:cs="Times New Roman"/>
          <w:kern w:val="2"/>
          <w:sz w:val="28"/>
          <w:szCs w:val="28"/>
          <w:highlight w:val="none"/>
          <w:lang w:val="en-US" w:eastAsia="zh-CN" w:bidi="ar-SA"/>
        </w:rPr>
        <w:t xml:space="preserve"> </w:t>
      </w:r>
    </w:p>
    <w:p>
      <w:pPr>
        <w:rPr>
          <w:rFonts w:hint="eastAsia" w:ascii="仿宋_GB2312" w:hAnsi="仿宋" w:eastAsia="仿宋_GB2312"/>
          <w:b/>
          <w:sz w:val="28"/>
          <w:szCs w:val="28"/>
          <w:lang w:val="en-US" w:eastAsia="zh-CN"/>
        </w:rPr>
      </w:pPr>
      <w:r>
        <w:rPr>
          <w:rFonts w:hint="eastAsia" w:ascii="仿宋_GB2312" w:hAnsi="仿宋" w:eastAsia="仿宋_GB2312"/>
          <w:b/>
          <w:sz w:val="28"/>
          <w:szCs w:val="28"/>
          <w:lang w:val="en-US" w:eastAsia="zh-CN"/>
        </w:rPr>
        <w:t xml:space="preserve">   （十四）估价报告应用的有效期</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若无特别约定，估价结论有效期为从估价报告完成之日起壹年。超过有效期后需重新估价方可使用。</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jc w:val="both"/>
        <w:rPr>
          <w:rFonts w:hint="eastAsia" w:ascii="仿宋" w:hAnsi="仿宋" w:eastAsia="仿宋"/>
          <w:b/>
          <w:bCs/>
          <w:sz w:val="36"/>
          <w:szCs w:val="36"/>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二0二二年八月二十二日</w:t>
      </w:r>
    </w:p>
    <w:p>
      <w:pPr>
        <w:jc w:val="center"/>
        <w:rPr>
          <w:rFonts w:hint="eastAsia" w:ascii="仿宋" w:hAnsi="仿宋" w:eastAsia="仿宋"/>
          <w:b/>
          <w:bCs/>
          <w:sz w:val="36"/>
          <w:szCs w:val="36"/>
          <w:lang w:val="en-US" w:eastAsia="zh-CN"/>
        </w:rPr>
      </w:pPr>
      <w:r>
        <w:rPr>
          <w:rFonts w:hint="eastAsia" w:ascii="仿宋" w:hAnsi="仿宋" w:eastAsia="仿宋"/>
          <w:b/>
          <w:bCs/>
          <w:sz w:val="36"/>
          <w:szCs w:val="36"/>
          <w:lang w:val="en-US" w:eastAsia="zh-CN"/>
        </w:rPr>
        <w:t>孝感市槐荫大道星河天街C1号幢</w:t>
      </w:r>
    </w:p>
    <w:p>
      <w:pPr>
        <w:jc w:val="center"/>
        <w:rPr>
          <w:rFonts w:hint="eastAsia" w:ascii="仿宋" w:hAnsi="仿宋" w:eastAsia="仿宋"/>
          <w:b/>
          <w:bCs/>
          <w:sz w:val="36"/>
          <w:szCs w:val="36"/>
          <w:lang w:val="en-US" w:eastAsia="zh-CN"/>
        </w:rPr>
      </w:pPr>
      <w:r>
        <w:rPr>
          <w:rFonts w:hint="eastAsia" w:ascii="仿宋_GB2312" w:hAnsi="宋体" w:eastAsia="仿宋_GB2312" w:cs="Times New Roman"/>
          <w:b/>
          <w:bCs/>
          <w:kern w:val="2"/>
          <w:sz w:val="36"/>
          <w:szCs w:val="36"/>
          <w:lang w:val="en-US" w:eastAsia="zh-CN" w:bidi="ar-SA"/>
        </w:rPr>
        <w:t>8层0819室、0820室、0821室、0822室、0823室</w:t>
      </w:r>
    </w:p>
    <w:p>
      <w:pPr>
        <w:jc w:val="center"/>
        <w:rPr>
          <w:rFonts w:hint="eastAsia" w:ascii="仿宋" w:hAnsi="仿宋" w:eastAsia="仿宋"/>
          <w:b/>
          <w:bCs/>
          <w:sz w:val="36"/>
          <w:szCs w:val="36"/>
        </w:rPr>
      </w:pPr>
      <w:r>
        <w:rPr>
          <w:rFonts w:hint="eastAsia" w:ascii="仿宋" w:hAnsi="仿宋" w:eastAsia="仿宋"/>
          <w:b/>
          <w:bCs/>
          <w:sz w:val="36"/>
          <w:szCs w:val="36"/>
        </w:rPr>
        <w:t>房地产估价技术报告</w:t>
      </w:r>
    </w:p>
    <w:p>
      <w:pPr>
        <w:jc w:val="center"/>
        <w:rPr>
          <w:rFonts w:hint="eastAsia" w:ascii="仿宋" w:hAnsi="仿宋" w:eastAsia="仿宋"/>
          <w:b/>
          <w:bCs/>
          <w:sz w:val="32"/>
          <w:szCs w:val="32"/>
        </w:rPr>
      </w:pPr>
    </w:p>
    <w:p>
      <w:pPr>
        <w:jc w:val="both"/>
        <w:rPr>
          <w:rFonts w:hint="eastAsia" w:ascii="仿宋_GB2312" w:hAnsi="宋体" w:eastAsia="仿宋_GB2312" w:cs="Times New Roman"/>
          <w:b/>
          <w:bCs/>
          <w:kern w:val="2"/>
          <w:sz w:val="28"/>
          <w:szCs w:val="28"/>
          <w:highlight w:val="none"/>
          <w:lang w:val="en-US" w:eastAsia="zh-CN" w:bidi="ar-SA"/>
        </w:rPr>
      </w:pPr>
      <w:r>
        <w:rPr>
          <w:rFonts w:hint="eastAsia" w:ascii="仿宋_GB2312" w:hAnsi="宋体" w:eastAsia="仿宋_GB2312" w:cs="Times New Roman"/>
          <w:b/>
          <w:bCs/>
          <w:kern w:val="2"/>
          <w:sz w:val="28"/>
          <w:szCs w:val="28"/>
          <w:highlight w:val="none"/>
          <w:lang w:val="en-US" w:eastAsia="zh-CN" w:bidi="ar-SA"/>
        </w:rPr>
        <w:t xml:space="preserve">    一、估价对象实物状况描述与分析</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房地产权登记信息载明，估价对象坐落孝感市孝南区槐荫大道星河天街C1号幢8层0819室、8层0820室、8层0821室、8层0822室、8层0823室，建筑面积分别为55.3㎡、72.86㎡、52.13㎡、72.86㎡、55.3㎡，分摊土地面积分别为4.53㎡、5.97㎡、4.37㎡、5.97㎡、4.53㎡，不动产权证号分别为鄂（2016）孝南区不动产权第0000639号、鄂（2016）孝南区不动产权第0000649号、鄂（2016）孝南区不动产权第0000647号、鄂（2016）孝南区不动产权第0000648号、鄂（2016）孝南区不动产权第0000646号，土地使用期限为2010年10月22日至2080年02月20日止，规划用途为住宅，房屋性质为市场化商品房，房屋结构为钢筋混凝土结构，所在层/总层数分别为8层/19层，竣工时间为2015年06月，房屋所有权人为万芬，房屋共有情况为单独所有，登记日期为2018年07月27日</w:t>
      </w:r>
      <w:r>
        <w:rPr>
          <w:rFonts w:hint="eastAsia" w:ascii="仿宋_GB2312" w:hAnsi="宋体" w:eastAsia="仿宋_GB2312" w:cs="Times New Roman"/>
          <w:kern w:val="2"/>
          <w:sz w:val="28"/>
          <w:szCs w:val="28"/>
          <w:highlight w:val="none"/>
          <w:lang w:val="en-US" w:eastAsia="zh-CN" w:bidi="ar-SA"/>
        </w:rPr>
        <w:t>。</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经现场勘验和调查，估价对象位于孝感市孝南区槐荫大道与孝武大道交汇处、孝武大道特号星河天街小区C1公寓楼二单元8层0819室、8层0820室、8层0821室、8层0822室、8层0823室，开工时间为2013年2月，竣工时间为2015年5月，为高层电梯房屋，框架结构，总层数为19层，一、二层为商业用房，其他楼层为公寓住宅，每层两电梯，十四住户。估价对象中819室为北户，823室为南户，820室、821室、822室为西户，通风采光较好，房屋结构完好、坚固无变形，外观一般；目前5套待估房屋已拆除分户隔断墙体，经改造合并为一，现状用途为租赁办公，室内为精装修。</w:t>
      </w:r>
    </w:p>
    <w:p>
      <w:pPr>
        <w:numPr>
          <w:ilvl w:val="0"/>
          <w:numId w:val="0"/>
        </w:numPr>
        <w:ind w:firstLine="562"/>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二、估价对象区域因素分析</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对象位于孝感市孝南区孝武大道特1号星河天街C1公寓楼，比邻万达广场，北临孝武大道主干道，物业管理佳，24小时保安值守；地处繁华核心地段，东城商业旺区，属城市经济发展区域，居住人口密集，周边配套设施完善，距澴河公园和槐荫公园仅百米之遥，离孝感市委、政府和市民之家、市文化中心不足3千米，各大专业银行齐聚，各类品牌商家及大中小型超市、休闲购物、餐饮娱乐等商业场所云集，并有孝感市一中、黄香小学、实验二小等重点中小学环伺；交通便利，有多路公交相通，生活、就学、购物、出行都十分便捷。</w:t>
      </w:r>
    </w:p>
    <w:p>
      <w:pPr>
        <w:numPr>
          <w:ilvl w:val="0"/>
          <w:numId w:val="0"/>
        </w:numPr>
        <w:ind w:firstLine="562" w:firstLineChars="200"/>
        <w:rPr>
          <w:rFonts w:ascii="仿宋" w:hAnsi="仿宋" w:eastAsia="仿宋"/>
          <w:sz w:val="30"/>
          <w:szCs w:val="30"/>
        </w:rPr>
      </w:pPr>
      <w:r>
        <w:rPr>
          <w:rFonts w:hint="eastAsia" w:ascii="仿宋_GB2312" w:hAnsi="宋体" w:eastAsia="仿宋_GB2312" w:cs="Times New Roman"/>
          <w:b/>
          <w:bCs/>
          <w:kern w:val="2"/>
          <w:sz w:val="28"/>
          <w:szCs w:val="28"/>
          <w:lang w:val="en-US" w:eastAsia="zh-CN" w:bidi="ar-SA"/>
        </w:rPr>
        <w:t>三、最高最佳使用分析</w:t>
      </w:r>
    </w:p>
    <w:p>
      <w:pPr>
        <w:ind w:firstLine="560" w:firstLineChars="200"/>
        <w:rPr>
          <w:rFonts w:ascii="仿宋" w:hAnsi="仿宋" w:eastAsia="仿宋"/>
          <w:sz w:val="30"/>
          <w:szCs w:val="30"/>
        </w:rPr>
      </w:pPr>
      <w:r>
        <w:rPr>
          <w:rFonts w:hint="eastAsia" w:ascii="仿宋_GB2312" w:hAnsi="宋体" w:eastAsia="仿宋_GB2312" w:cs="Times New Roman"/>
          <w:kern w:val="2"/>
          <w:sz w:val="28"/>
          <w:szCs w:val="28"/>
          <w:lang w:val="en-US" w:eastAsia="zh-CN" w:bidi="ar-SA"/>
        </w:rPr>
        <w:t>最高最佳使用是估价对象的一种最可能的使用，这种最可能的使用方法是法律上允许、技术上可行、经济上合理，经过充分合理的论证，并能给估价对象带来最高价值的使用，它的一种具体表现是以使估价对象获利最多的用途和形式来衡量，也就是说评估价值应当是在合法使用方式下，各种可能的使用方式中，能够获得最大收益的使用方式的估价结果。根据估价对象的个别因素和区位条件，我们认为估价对象的规划用途为其最佳用途，估价对象用途为住宅房地产，并保持其实体现状、持续使用为前提。</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四、估价方法的选用</w:t>
      </w:r>
    </w:p>
    <w:p>
      <w:pPr>
        <w:ind w:firstLine="560" w:firstLineChars="200"/>
        <w:rPr>
          <w:rFonts w:hint="eastAsia" w:ascii="仿宋" w:hAnsi="仿宋" w:eastAsia="仿宋" w:cs="仿宋"/>
          <w:sz w:val="28"/>
          <w:szCs w:val="28"/>
        </w:rPr>
      </w:pPr>
      <w:r>
        <w:rPr>
          <w:rFonts w:hint="eastAsia" w:ascii="仿宋_GB2312" w:hAnsi="宋体" w:eastAsia="仿宋_GB2312" w:cs="Times New Roman"/>
          <w:kern w:val="2"/>
          <w:sz w:val="28"/>
          <w:szCs w:val="28"/>
          <w:lang w:val="en-US" w:eastAsia="zh-CN" w:bidi="ar-SA"/>
        </w:rPr>
        <w:t>估价人员在认真分析所掌握的资料，并对估价对象进行实地勘查以及对周边房地产市场进行调查后，根据估价规范要求以及估价对象的特点、评估目的及宗地所处区域因素等，遵照国家法律、法规和估价技术标准，针对估价对象是住宅房屋，调查房地产中介机构有类似房地产交易案例，并对估价对象进行现场勘验，经过反复研究，我们</w:t>
      </w:r>
      <w:r>
        <w:rPr>
          <w:rFonts w:hint="eastAsia" w:ascii="仿宋" w:hAnsi="仿宋" w:eastAsia="仿宋" w:cs="仿宋"/>
          <w:sz w:val="28"/>
          <w:szCs w:val="28"/>
          <w:highlight w:val="none"/>
          <w:lang w:eastAsia="zh-CN"/>
        </w:rPr>
        <w:t>采用了市场法估价，</w:t>
      </w:r>
      <w:r>
        <w:rPr>
          <w:rFonts w:hint="eastAsia" w:ascii="仿宋" w:hAnsi="仿宋" w:eastAsia="仿宋" w:cs="仿宋"/>
          <w:sz w:val="28"/>
          <w:szCs w:val="28"/>
          <w:lang w:eastAsia="zh-CN"/>
        </w:rPr>
        <w:t>综合</w:t>
      </w:r>
      <w:r>
        <w:rPr>
          <w:rFonts w:hint="eastAsia" w:ascii="仿宋" w:hAnsi="仿宋" w:eastAsia="仿宋" w:cs="仿宋"/>
          <w:sz w:val="28"/>
          <w:szCs w:val="28"/>
        </w:rPr>
        <w:t>测算估价对象的公开市场价值。</w:t>
      </w:r>
    </w:p>
    <w:p>
      <w:pPr>
        <w:ind w:firstLine="560" w:firstLineChars="200"/>
        <w:rPr>
          <w:rFonts w:ascii="仿宋" w:hAnsi="仿宋" w:eastAsia="仿宋" w:cs="Arial"/>
          <w:color w:val="333333"/>
          <w:sz w:val="30"/>
          <w:szCs w:val="30"/>
          <w:shd w:val="clear" w:color="auto" w:fill="FFFFFF"/>
        </w:rPr>
      </w:pPr>
      <w:r>
        <w:rPr>
          <w:rFonts w:hint="eastAsia" w:ascii="仿宋_GB2312" w:hAnsi="宋体" w:eastAsia="仿宋_GB2312" w:cs="Times New Roman"/>
          <w:kern w:val="2"/>
          <w:sz w:val="28"/>
          <w:szCs w:val="28"/>
          <w:lang w:val="en-US" w:eastAsia="zh-CN" w:bidi="ar-SA"/>
        </w:rPr>
        <w:t>市场法也称市场价格比较法，是指通过比较被评估资产与最近售出类似资产的异同，并将类似的市场价格进行调整，从而确定被评估资产价值的一种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ind w:firstLine="560" w:firstLineChars="200"/>
        <w:rPr>
          <w:rFonts w:hint="eastAsia" w:ascii="仿宋_GB2312" w:hAnsi="仿宋" w:eastAsia="仿宋_GB2312"/>
          <w:b/>
          <w:sz w:val="28"/>
          <w:szCs w:val="28"/>
          <w:lang w:val="en-US" w:eastAsia="zh-CN"/>
        </w:rPr>
      </w:pPr>
      <w:r>
        <w:rPr>
          <w:rFonts w:hint="eastAsia" w:ascii="仿宋_GB2312" w:hAnsi="宋体" w:eastAsia="仿宋_GB2312" w:cs="Times New Roman"/>
          <w:kern w:val="2"/>
          <w:sz w:val="28"/>
          <w:szCs w:val="28"/>
          <w:lang w:val="en-US" w:eastAsia="zh-CN" w:bidi="ar-SA"/>
        </w:rPr>
        <w:t xml:space="preserve">评估值（比准价格）=可比实例价格×交易情况修正×市场状况调整×房地产状况调整 </w:t>
      </w:r>
      <w:r>
        <w:rPr>
          <w:rFonts w:hint="eastAsia" w:ascii="仿宋_GB2312" w:hAnsi="仿宋" w:eastAsia="仿宋_GB2312"/>
          <w:b/>
          <w:sz w:val="28"/>
          <w:szCs w:val="28"/>
          <w:lang w:val="en-US" w:eastAsia="zh-CN"/>
        </w:rPr>
        <w:t xml:space="preserve">  </w:t>
      </w:r>
    </w:p>
    <w:p>
      <w:pPr>
        <w:ind w:firstLine="562" w:firstLineChars="200"/>
        <w:rPr>
          <w:rFonts w:hint="eastAsia" w:ascii="仿宋_GB2312" w:hAnsi="宋体" w:eastAsia="仿宋_GB2312" w:cs="Times New Roman"/>
          <w:b/>
          <w:bCs/>
          <w:kern w:val="2"/>
          <w:sz w:val="28"/>
          <w:szCs w:val="28"/>
          <w:highlight w:val="none"/>
          <w:lang w:val="en-US" w:eastAsia="zh-CN" w:bidi="ar-SA"/>
        </w:rPr>
      </w:pPr>
      <w:r>
        <w:rPr>
          <w:rFonts w:hint="eastAsia" w:ascii="仿宋_GB2312" w:hAnsi="宋体" w:eastAsia="仿宋_GB2312" w:cs="Times New Roman"/>
          <w:b/>
          <w:bCs/>
          <w:kern w:val="2"/>
          <w:sz w:val="28"/>
          <w:szCs w:val="28"/>
          <w:highlight w:val="none"/>
          <w:lang w:val="en-US" w:eastAsia="zh-CN" w:bidi="ar-SA"/>
        </w:rPr>
        <w:t>五、估价过程</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接受委托后，我们会同委托人及相关当事人对估价对象进行了实地勘查，随后开展了广泛的市场调查。估价人员确定采用市场法先评估测算出估价对象中0819室房屋价格，然后根据朝向修正系数估算其他房屋价格，最后综合确定估价结果。</w:t>
      </w:r>
    </w:p>
    <w:p>
      <w:pPr>
        <w:numPr>
          <w:ilvl w:val="0"/>
          <w:numId w:val="0"/>
        </w:num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1、比较实例选择</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针对估价对象的功能和特点，根据替代原则，按用途相同、土地级别相同、价格类型相同等特点，对与估价对象在同一区域内的类似住宅进行了市场调查和比较分析，按照估价要求，筛选三个可比实例。</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实例A：星河天街住宅，2015年建成，总层数19层，所在层6层，3室2厅，南北朝向，精装修，建筑面积52.13平米，拟交易总价50万，折合单价约为9591元/平米，拟交易日期2022年07月份。</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实例B：星河天街住宅，2015年建成，总层数19层，所在层15层，3室2厅，南北朝向，精装修，建筑面积55平米，拟交易总价60万，折合单价约为10909元/平米，拟交易日期2022年08月份。</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实例C：星河天街住宅，2015年建成，总层数19层，所在层16层，3室2厅，南北朝向，精装修，建筑面积55平米，拟交易总价53万，折合单价约为9636元/平米，拟交易日期2022年07月份。</w:t>
      </w:r>
    </w:p>
    <w:p>
      <w:pPr>
        <w:numPr>
          <w:ilvl w:val="0"/>
          <w:numId w:val="0"/>
        </w:num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2、比较因素条件说明</w:t>
      </w:r>
    </w:p>
    <w:p>
      <w:pPr>
        <w:numPr>
          <w:ilvl w:val="0"/>
          <w:numId w:val="0"/>
        </w:numPr>
        <w:ind w:firstLine="560"/>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估价对象和比较实例的比较因素条件说明见表1。</w:t>
      </w:r>
    </w:p>
    <w:p>
      <w:pPr>
        <w:numPr>
          <w:ilvl w:val="0"/>
          <w:numId w:val="0"/>
        </w:numPr>
        <w:jc w:val="center"/>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比较因素条件说明表1</w:t>
      </w:r>
    </w:p>
    <w:tbl>
      <w:tblPr>
        <w:tblStyle w:val="9"/>
        <w:tblW w:w="95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2054"/>
        <w:gridCol w:w="1424"/>
        <w:gridCol w:w="1575"/>
        <w:gridCol w:w="1564"/>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3321" w:type="dxa"/>
            <w:gridSpan w:val="2"/>
            <w:vAlign w:val="top"/>
          </w:tcPr>
          <w:p>
            <w:pPr>
              <w:snapToGrid w:val="0"/>
              <w:spacing w:line="240" w:lineRule="auto"/>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因素/内容</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8"/>
                <w:szCs w:val="28"/>
                <w:vertAlign w:val="baseline"/>
                <w:lang w:val="en-US" w:eastAsia="zh-CN"/>
              </w:rPr>
              <w:t>估价对象与案例</w:t>
            </w:r>
          </w:p>
        </w:tc>
        <w:tc>
          <w:tcPr>
            <w:tcW w:w="1424" w:type="dxa"/>
            <w:vAlign w:val="center"/>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估价对象</w:t>
            </w:r>
          </w:p>
        </w:tc>
        <w:tc>
          <w:tcPr>
            <w:tcW w:w="1575" w:type="dxa"/>
            <w:vAlign w:val="center"/>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可比案例A</w:t>
            </w:r>
          </w:p>
        </w:tc>
        <w:tc>
          <w:tcPr>
            <w:tcW w:w="1564" w:type="dxa"/>
            <w:vAlign w:val="center"/>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可比案例B</w:t>
            </w:r>
          </w:p>
        </w:tc>
        <w:tc>
          <w:tcPr>
            <w:tcW w:w="1633" w:type="dxa"/>
            <w:vAlign w:val="center"/>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可比案例C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6" w:hRule="atLeast"/>
        </w:trPr>
        <w:tc>
          <w:tcPr>
            <w:tcW w:w="3321" w:type="dxa"/>
            <w:gridSpan w:val="2"/>
            <w:vAlign w:val="center"/>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座 落位 置</w:t>
            </w:r>
          </w:p>
        </w:tc>
        <w:tc>
          <w:tcPr>
            <w:tcW w:w="1424" w:type="dxa"/>
            <w:vAlign w:val="top"/>
          </w:tcPr>
          <w:p>
            <w:pPr>
              <w:numPr>
                <w:ilvl w:val="0"/>
                <w:numId w:val="0"/>
              </w:numPr>
              <w:ind w:left="0" w:leftChars="0" w:firstLine="0" w:firstLineChars="0"/>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星河天街C1幢8层</w:t>
            </w:r>
          </w:p>
          <w:p>
            <w:pPr>
              <w:numPr>
                <w:ilvl w:val="0"/>
                <w:numId w:val="0"/>
              </w:numPr>
              <w:ind w:left="0" w:leftChars="0" w:firstLine="0" w:firstLineChars="0"/>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0819室</w:t>
            </w:r>
          </w:p>
        </w:tc>
        <w:tc>
          <w:tcPr>
            <w:tcW w:w="1575" w:type="dxa"/>
            <w:vAlign w:val="top"/>
          </w:tcPr>
          <w:p>
            <w:pPr>
              <w:numPr>
                <w:ilvl w:val="0"/>
                <w:numId w:val="0"/>
              </w:numPr>
              <w:spacing w:line="720" w:lineRule="auto"/>
              <w:ind w:left="0" w:leftChars="0" w:firstLine="0" w:firstLineChars="0"/>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星河天街</w:t>
            </w:r>
          </w:p>
        </w:tc>
        <w:tc>
          <w:tcPr>
            <w:tcW w:w="1564" w:type="dxa"/>
            <w:vAlign w:val="top"/>
          </w:tcPr>
          <w:p>
            <w:pPr>
              <w:numPr>
                <w:ilvl w:val="0"/>
                <w:numId w:val="0"/>
              </w:numPr>
              <w:spacing w:line="720" w:lineRule="auto"/>
              <w:ind w:left="0" w:leftChars="0" w:firstLine="0" w:firstLineChars="0"/>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星河天街</w:t>
            </w:r>
          </w:p>
        </w:tc>
        <w:tc>
          <w:tcPr>
            <w:tcW w:w="1633" w:type="dxa"/>
            <w:vAlign w:val="top"/>
          </w:tcPr>
          <w:p>
            <w:pPr>
              <w:numPr>
                <w:ilvl w:val="0"/>
                <w:numId w:val="0"/>
              </w:numPr>
              <w:spacing w:line="720" w:lineRule="auto"/>
              <w:ind w:left="0" w:leftChars="0" w:firstLine="0" w:firstLineChars="0"/>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星河天街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楼盘名称</w:t>
            </w:r>
          </w:p>
        </w:tc>
        <w:tc>
          <w:tcPr>
            <w:tcW w:w="1424" w:type="dxa"/>
            <w:vAlign w:val="center"/>
          </w:tcPr>
          <w:p>
            <w:pPr>
              <w:numPr>
                <w:ilvl w:val="0"/>
                <w:numId w:val="0"/>
              </w:numPr>
              <w:ind w:left="0" w:leftChars="0" w:firstLine="0" w:firstLineChars="0"/>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星河天街</w:t>
            </w:r>
          </w:p>
        </w:tc>
        <w:tc>
          <w:tcPr>
            <w:tcW w:w="1575" w:type="dxa"/>
            <w:vAlign w:val="center"/>
          </w:tcPr>
          <w:p>
            <w:pPr>
              <w:numPr>
                <w:ilvl w:val="0"/>
                <w:numId w:val="0"/>
              </w:numPr>
              <w:ind w:left="0" w:leftChars="0" w:firstLine="0" w:firstLineChars="0"/>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星河天街</w:t>
            </w:r>
          </w:p>
        </w:tc>
        <w:tc>
          <w:tcPr>
            <w:tcW w:w="1564" w:type="dxa"/>
            <w:vAlign w:val="center"/>
          </w:tcPr>
          <w:p>
            <w:pPr>
              <w:numPr>
                <w:ilvl w:val="0"/>
                <w:numId w:val="0"/>
              </w:numPr>
              <w:ind w:left="0" w:leftChars="0" w:firstLine="0" w:firstLineChars="0"/>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星河天街</w:t>
            </w:r>
          </w:p>
        </w:tc>
        <w:tc>
          <w:tcPr>
            <w:tcW w:w="1633" w:type="dxa"/>
            <w:vAlign w:val="center"/>
          </w:tcPr>
          <w:p>
            <w:pPr>
              <w:numPr>
                <w:ilvl w:val="0"/>
                <w:numId w:val="0"/>
              </w:numPr>
              <w:ind w:left="0" w:leftChars="0" w:firstLine="0" w:firstLineChars="0"/>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星河天街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成交单价（元/</w:t>
            </w:r>
            <w:r>
              <w:rPr>
                <w:rFonts w:hint="eastAsia" w:ascii="仿宋" w:hAnsi="仿宋" w:eastAsia="仿宋" w:cs="仿宋"/>
                <w:color w:val="auto"/>
                <w:sz w:val="28"/>
                <w:szCs w:val="28"/>
                <w:lang w:val="en-US" w:eastAsia="zh-CN"/>
              </w:rPr>
              <w:t>M</w:t>
            </w:r>
            <w:r>
              <w:rPr>
                <w:rFonts w:hint="eastAsia" w:ascii="仿宋" w:hAnsi="仿宋" w:eastAsia="仿宋" w:cs="仿宋"/>
                <w:color w:val="auto"/>
                <w:sz w:val="28"/>
                <w:szCs w:val="28"/>
                <w:vertAlign w:val="superscript"/>
                <w:lang w:val="en-US" w:eastAsia="zh-CN"/>
              </w:rPr>
              <w:t>2</w:t>
            </w:r>
            <w:r>
              <w:rPr>
                <w:rFonts w:hint="eastAsia" w:ascii="仿宋" w:hAnsi="仿宋" w:eastAsia="仿宋" w:cs="仿宋"/>
                <w:sz w:val="28"/>
                <w:szCs w:val="28"/>
                <w:vertAlign w:val="baseline"/>
                <w:lang w:val="en-US" w:eastAsia="zh-CN"/>
              </w:rPr>
              <w:t>)</w:t>
            </w:r>
          </w:p>
        </w:tc>
        <w:tc>
          <w:tcPr>
            <w:tcW w:w="142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w:t>
            </w:r>
          </w:p>
        </w:tc>
        <w:tc>
          <w:tcPr>
            <w:tcW w:w="1575" w:type="dxa"/>
            <w:vAlign w:val="top"/>
          </w:tcPr>
          <w:p>
            <w:pPr>
              <w:jc w:val="center"/>
              <w:rPr>
                <w:rFonts w:hint="default"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9591</w:t>
            </w:r>
          </w:p>
        </w:tc>
        <w:tc>
          <w:tcPr>
            <w:tcW w:w="1564" w:type="dxa"/>
            <w:vAlign w:val="top"/>
          </w:tcPr>
          <w:p>
            <w:pPr>
              <w:jc w:val="center"/>
              <w:rPr>
                <w:rFonts w:hint="default"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10909</w:t>
            </w:r>
          </w:p>
        </w:tc>
        <w:tc>
          <w:tcPr>
            <w:tcW w:w="1633" w:type="dxa"/>
            <w:vAlign w:val="top"/>
          </w:tcPr>
          <w:p>
            <w:pPr>
              <w:jc w:val="center"/>
              <w:rPr>
                <w:rFonts w:hint="default"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9636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情况</w:t>
            </w: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交易情况</w:t>
            </w:r>
          </w:p>
        </w:tc>
        <w:tc>
          <w:tcPr>
            <w:tcW w:w="142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w:t>
            </w:r>
          </w:p>
        </w:tc>
        <w:tc>
          <w:tcPr>
            <w:tcW w:w="157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正常</w:t>
            </w:r>
          </w:p>
        </w:tc>
        <w:tc>
          <w:tcPr>
            <w:tcW w:w="156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正常</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类型</w:t>
            </w:r>
          </w:p>
        </w:tc>
        <w:tc>
          <w:tcPr>
            <w:tcW w:w="142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二手房</w:t>
            </w:r>
          </w:p>
        </w:tc>
        <w:tc>
          <w:tcPr>
            <w:tcW w:w="157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二手房</w:t>
            </w:r>
          </w:p>
        </w:tc>
        <w:tc>
          <w:tcPr>
            <w:tcW w:w="156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二手房</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二手房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市场</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状况</w:t>
            </w: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交易日期</w:t>
            </w:r>
          </w:p>
        </w:tc>
        <w:tc>
          <w:tcPr>
            <w:tcW w:w="142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2022.08</w:t>
            </w:r>
          </w:p>
        </w:tc>
        <w:tc>
          <w:tcPr>
            <w:tcW w:w="1575"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2022.07</w:t>
            </w:r>
          </w:p>
        </w:tc>
        <w:tc>
          <w:tcPr>
            <w:tcW w:w="156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2022.08</w:t>
            </w:r>
          </w:p>
        </w:tc>
        <w:tc>
          <w:tcPr>
            <w:tcW w:w="1633"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2022.07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4"/>
                <w:szCs w:val="24"/>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修正系数</w:t>
            </w:r>
          </w:p>
        </w:tc>
        <w:tc>
          <w:tcPr>
            <w:tcW w:w="142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75"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104</w:t>
            </w:r>
          </w:p>
        </w:tc>
        <w:tc>
          <w:tcPr>
            <w:tcW w:w="156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both"/>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0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区域繁华程度</w:t>
            </w:r>
          </w:p>
        </w:tc>
        <w:tc>
          <w:tcPr>
            <w:tcW w:w="142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繁华</w:t>
            </w:r>
          </w:p>
        </w:tc>
        <w:tc>
          <w:tcPr>
            <w:tcW w:w="1575"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繁华</w:t>
            </w:r>
          </w:p>
        </w:tc>
        <w:tc>
          <w:tcPr>
            <w:tcW w:w="156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繁华</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繁华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交通便捷程度</w:t>
            </w:r>
          </w:p>
        </w:tc>
        <w:tc>
          <w:tcPr>
            <w:tcW w:w="142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便捷</w:t>
            </w:r>
          </w:p>
        </w:tc>
        <w:tc>
          <w:tcPr>
            <w:tcW w:w="157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便捷</w:t>
            </w:r>
          </w:p>
        </w:tc>
        <w:tc>
          <w:tcPr>
            <w:tcW w:w="156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便捷</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便捷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公共设施配套</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完备程度</w:t>
            </w:r>
          </w:p>
        </w:tc>
        <w:tc>
          <w:tcPr>
            <w:tcW w:w="142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完善</w:t>
            </w:r>
          </w:p>
        </w:tc>
        <w:tc>
          <w:tcPr>
            <w:tcW w:w="157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完善</w:t>
            </w:r>
          </w:p>
        </w:tc>
        <w:tc>
          <w:tcPr>
            <w:tcW w:w="156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完善</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区域环境景观</w:t>
            </w:r>
          </w:p>
        </w:tc>
        <w:tc>
          <w:tcPr>
            <w:tcW w:w="142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57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56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绿地覆盖度</w:t>
            </w:r>
          </w:p>
        </w:tc>
        <w:tc>
          <w:tcPr>
            <w:tcW w:w="142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575"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56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633"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城市规划</w:t>
            </w:r>
          </w:p>
        </w:tc>
        <w:tc>
          <w:tcPr>
            <w:tcW w:w="142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575"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56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633"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权益状况说明</w:t>
            </w: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房产类型</w:t>
            </w:r>
          </w:p>
        </w:tc>
        <w:tc>
          <w:tcPr>
            <w:tcW w:w="142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商品房</w:t>
            </w:r>
          </w:p>
        </w:tc>
        <w:tc>
          <w:tcPr>
            <w:tcW w:w="157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商品房</w:t>
            </w:r>
          </w:p>
        </w:tc>
        <w:tc>
          <w:tcPr>
            <w:tcW w:w="156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商品房</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商品房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权属清晰情况</w:t>
            </w:r>
          </w:p>
        </w:tc>
        <w:tc>
          <w:tcPr>
            <w:tcW w:w="142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权属清晰</w:t>
            </w:r>
          </w:p>
        </w:tc>
        <w:tc>
          <w:tcPr>
            <w:tcW w:w="157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权属清晰</w:t>
            </w:r>
          </w:p>
        </w:tc>
        <w:tc>
          <w:tcPr>
            <w:tcW w:w="156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权属清晰</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权属清晰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实物</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05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建筑结构</w:t>
            </w:r>
          </w:p>
        </w:tc>
        <w:tc>
          <w:tcPr>
            <w:tcW w:w="142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混合</w:t>
            </w:r>
          </w:p>
        </w:tc>
        <w:tc>
          <w:tcPr>
            <w:tcW w:w="157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混合</w:t>
            </w:r>
          </w:p>
        </w:tc>
        <w:tc>
          <w:tcPr>
            <w:tcW w:w="156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混合</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混合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临街状态</w:t>
            </w:r>
          </w:p>
        </w:tc>
        <w:tc>
          <w:tcPr>
            <w:tcW w:w="142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不临街</w:t>
            </w:r>
          </w:p>
        </w:tc>
        <w:tc>
          <w:tcPr>
            <w:tcW w:w="157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不临街</w:t>
            </w:r>
          </w:p>
        </w:tc>
        <w:tc>
          <w:tcPr>
            <w:tcW w:w="156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不临街</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不临街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所在层/总层数</w:t>
            </w:r>
          </w:p>
        </w:tc>
        <w:tc>
          <w:tcPr>
            <w:tcW w:w="142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8/19</w:t>
            </w:r>
          </w:p>
        </w:tc>
        <w:tc>
          <w:tcPr>
            <w:tcW w:w="1575"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6/19</w:t>
            </w:r>
          </w:p>
        </w:tc>
        <w:tc>
          <w:tcPr>
            <w:tcW w:w="156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15/19</w:t>
            </w:r>
          </w:p>
        </w:tc>
        <w:tc>
          <w:tcPr>
            <w:tcW w:w="1633"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16/19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面积大小</w:t>
            </w:r>
          </w:p>
        </w:tc>
        <w:tc>
          <w:tcPr>
            <w:tcW w:w="142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适中</w:t>
            </w:r>
          </w:p>
        </w:tc>
        <w:tc>
          <w:tcPr>
            <w:tcW w:w="157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适中</w:t>
            </w:r>
          </w:p>
        </w:tc>
        <w:tc>
          <w:tcPr>
            <w:tcW w:w="156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适中</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适中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布局户型</w:t>
            </w:r>
          </w:p>
        </w:tc>
        <w:tc>
          <w:tcPr>
            <w:tcW w:w="142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自由设计</w:t>
            </w:r>
          </w:p>
        </w:tc>
        <w:tc>
          <w:tcPr>
            <w:tcW w:w="157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三室二厅</w:t>
            </w:r>
          </w:p>
        </w:tc>
        <w:tc>
          <w:tcPr>
            <w:tcW w:w="156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三室二厅</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三室二厅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装修情况</w:t>
            </w:r>
          </w:p>
        </w:tc>
        <w:tc>
          <w:tcPr>
            <w:tcW w:w="142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精装修</w:t>
            </w:r>
          </w:p>
        </w:tc>
        <w:tc>
          <w:tcPr>
            <w:tcW w:w="157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精装修</w:t>
            </w:r>
          </w:p>
        </w:tc>
        <w:tc>
          <w:tcPr>
            <w:tcW w:w="156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精装修</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精装修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朝</w:t>
            </w:r>
            <w:r>
              <w:rPr>
                <w:rFonts w:hint="eastAsia" w:ascii="仿宋" w:hAnsi="仿宋" w:eastAsia="仿宋" w:cs="仿宋"/>
                <w:sz w:val="24"/>
                <w:szCs w:val="24"/>
                <w:vertAlign w:val="baseline"/>
                <w:lang w:val="en-US" w:eastAsia="zh-CN"/>
              </w:rPr>
              <w:t>向及采光通风</w:t>
            </w:r>
          </w:p>
        </w:tc>
        <w:tc>
          <w:tcPr>
            <w:tcW w:w="142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color w:val="auto"/>
                <w:sz w:val="28"/>
                <w:szCs w:val="28"/>
                <w:vertAlign w:val="baseline"/>
                <w:lang w:val="en-US" w:eastAsia="zh-CN"/>
              </w:rPr>
              <w:t>南北，好</w:t>
            </w:r>
          </w:p>
        </w:tc>
        <w:tc>
          <w:tcPr>
            <w:tcW w:w="157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color w:val="auto"/>
                <w:sz w:val="28"/>
                <w:szCs w:val="28"/>
                <w:vertAlign w:val="baseline"/>
                <w:lang w:val="en-US" w:eastAsia="zh-CN"/>
              </w:rPr>
              <w:t>南北，一般</w:t>
            </w:r>
          </w:p>
        </w:tc>
        <w:tc>
          <w:tcPr>
            <w:tcW w:w="156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color w:val="auto"/>
                <w:sz w:val="28"/>
                <w:szCs w:val="28"/>
                <w:vertAlign w:val="baseline"/>
                <w:lang w:val="en-US" w:eastAsia="zh-CN"/>
              </w:rPr>
              <w:t>南北，好</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color w:val="auto"/>
                <w:sz w:val="28"/>
                <w:szCs w:val="28"/>
                <w:vertAlign w:val="baseline"/>
                <w:lang w:val="en-US" w:eastAsia="zh-CN"/>
              </w:rPr>
              <w:t>南北，好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层高</w:t>
            </w:r>
          </w:p>
        </w:tc>
        <w:tc>
          <w:tcPr>
            <w:tcW w:w="142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标准层高</w:t>
            </w:r>
          </w:p>
        </w:tc>
        <w:tc>
          <w:tcPr>
            <w:tcW w:w="157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标准层高</w:t>
            </w:r>
          </w:p>
        </w:tc>
        <w:tc>
          <w:tcPr>
            <w:tcW w:w="156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标准层高</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标准层高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新旧程度</w:t>
            </w:r>
          </w:p>
        </w:tc>
        <w:tc>
          <w:tcPr>
            <w:tcW w:w="142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86%</w:t>
            </w:r>
          </w:p>
        </w:tc>
        <w:tc>
          <w:tcPr>
            <w:tcW w:w="1575"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86%</w:t>
            </w:r>
          </w:p>
        </w:tc>
        <w:tc>
          <w:tcPr>
            <w:tcW w:w="156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86%</w:t>
            </w:r>
          </w:p>
        </w:tc>
        <w:tc>
          <w:tcPr>
            <w:tcW w:w="1633"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物业管理</w:t>
            </w:r>
          </w:p>
        </w:tc>
        <w:tc>
          <w:tcPr>
            <w:tcW w:w="142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较好</w:t>
            </w:r>
          </w:p>
        </w:tc>
        <w:tc>
          <w:tcPr>
            <w:tcW w:w="157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较好</w:t>
            </w:r>
          </w:p>
        </w:tc>
        <w:tc>
          <w:tcPr>
            <w:tcW w:w="156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较好</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ind w:firstLine="280" w:firstLineChars="100"/>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噪 音</w:t>
            </w:r>
          </w:p>
        </w:tc>
        <w:tc>
          <w:tcPr>
            <w:tcW w:w="142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院内，小</w:t>
            </w:r>
          </w:p>
        </w:tc>
        <w:tc>
          <w:tcPr>
            <w:tcW w:w="157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院内，小</w:t>
            </w:r>
          </w:p>
        </w:tc>
        <w:tc>
          <w:tcPr>
            <w:tcW w:w="156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院内，小</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院内，小</w:t>
            </w:r>
          </w:p>
        </w:tc>
      </w:tr>
    </w:tbl>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3、编制比较因素修正指数表</w:t>
      </w:r>
    </w:p>
    <w:p>
      <w:pPr>
        <w:numPr>
          <w:ilvl w:val="0"/>
          <w:numId w:val="0"/>
        </w:numPr>
        <w:ind w:firstLine="560"/>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根据估价对象与比较实例各种因素具体情况，编制比较因素修正指数表，见表2。</w:t>
      </w:r>
    </w:p>
    <w:p>
      <w:pPr>
        <w:jc w:val="center"/>
        <w:rPr>
          <w:rFonts w:hint="default" w:ascii="仿宋" w:hAnsi="仿宋" w:eastAsia="仿宋" w:cs="仿宋"/>
          <w:sz w:val="30"/>
          <w:szCs w:val="30"/>
          <w:lang w:val="en-US" w:eastAsia="zh-CN"/>
        </w:rPr>
      </w:pPr>
      <w:r>
        <w:rPr>
          <w:rFonts w:hint="eastAsia" w:ascii="仿宋" w:hAnsi="仿宋" w:eastAsia="仿宋" w:cs="仿宋"/>
          <w:sz w:val="30"/>
          <w:szCs w:val="30"/>
          <w:lang w:eastAsia="zh-CN"/>
        </w:rPr>
        <w:t>比较因素条件指数表</w:t>
      </w:r>
      <w:r>
        <w:rPr>
          <w:rFonts w:hint="eastAsia" w:ascii="仿宋" w:hAnsi="仿宋" w:eastAsia="仿宋" w:cs="仿宋"/>
          <w:sz w:val="30"/>
          <w:szCs w:val="30"/>
          <w:lang w:val="en-US" w:eastAsia="zh-CN"/>
        </w:rPr>
        <w:t>2</w:t>
      </w:r>
    </w:p>
    <w:tbl>
      <w:tblPr>
        <w:tblStyle w:val="9"/>
        <w:tblW w:w="95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154"/>
        <w:gridCol w:w="1424"/>
        <w:gridCol w:w="1589"/>
        <w:gridCol w:w="1550"/>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2" w:hRule="atLeast"/>
        </w:trPr>
        <w:tc>
          <w:tcPr>
            <w:tcW w:w="3321" w:type="dxa"/>
            <w:gridSpan w:val="2"/>
            <w:vAlign w:val="top"/>
          </w:tcPr>
          <w:p>
            <w:pPr>
              <w:snapToGrid w:val="0"/>
              <w:spacing w:line="240" w:lineRule="auto"/>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因素/内容</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8"/>
                <w:szCs w:val="28"/>
                <w:vertAlign w:val="baseline"/>
                <w:lang w:val="en-US" w:eastAsia="zh-CN"/>
              </w:rPr>
              <w:t>估价对象与案例</w:t>
            </w:r>
          </w:p>
        </w:tc>
        <w:tc>
          <w:tcPr>
            <w:tcW w:w="1424" w:type="dxa"/>
            <w:vAlign w:val="center"/>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估价对象</w:t>
            </w:r>
          </w:p>
        </w:tc>
        <w:tc>
          <w:tcPr>
            <w:tcW w:w="1589" w:type="dxa"/>
            <w:vAlign w:val="center"/>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可比案例A</w:t>
            </w:r>
          </w:p>
        </w:tc>
        <w:tc>
          <w:tcPr>
            <w:tcW w:w="1550" w:type="dxa"/>
            <w:vAlign w:val="center"/>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可比案例B</w:t>
            </w:r>
          </w:p>
        </w:tc>
        <w:tc>
          <w:tcPr>
            <w:tcW w:w="1633" w:type="dxa"/>
            <w:vAlign w:val="center"/>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可比案例C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成交单价（元/平米）</w:t>
            </w:r>
          </w:p>
        </w:tc>
        <w:tc>
          <w:tcPr>
            <w:tcW w:w="142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w:t>
            </w:r>
          </w:p>
        </w:tc>
        <w:tc>
          <w:tcPr>
            <w:tcW w:w="1589"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highlight w:val="none"/>
                <w:vertAlign w:val="baseline"/>
                <w:lang w:val="en-US" w:eastAsia="zh-CN"/>
              </w:rPr>
              <w:t>9591</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highlight w:val="none"/>
                <w:vertAlign w:val="baseline"/>
                <w:lang w:val="en-US" w:eastAsia="zh-CN"/>
              </w:rPr>
              <w:t>10909</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highlight w:val="none"/>
                <w:vertAlign w:val="baseline"/>
                <w:lang w:val="en-US" w:eastAsia="zh-CN"/>
              </w:rPr>
              <w:t>9636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情况</w:t>
            </w: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交易情况</w:t>
            </w:r>
          </w:p>
        </w:tc>
        <w:tc>
          <w:tcPr>
            <w:tcW w:w="142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类型</w:t>
            </w:r>
          </w:p>
        </w:tc>
        <w:tc>
          <w:tcPr>
            <w:tcW w:w="142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市场状况</w:t>
            </w:r>
          </w:p>
        </w:tc>
        <w:tc>
          <w:tcPr>
            <w:tcW w:w="142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104</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28"/>
                <w:szCs w:val="28"/>
                <w:vertAlign w:val="baseline"/>
                <w:lang w:val="en-US" w:eastAsia="zh-CN"/>
              </w:rPr>
            </w:pPr>
          </w:p>
          <w:p>
            <w:pPr>
              <w:ind w:firstLine="280" w:firstLineChars="100"/>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w:t>
            </w:r>
          </w:p>
          <w:p>
            <w:pPr>
              <w:jc w:val="center"/>
              <w:rPr>
                <w:rFonts w:hint="eastAsia" w:ascii="仿宋" w:hAnsi="仿宋" w:eastAsia="仿宋" w:cs="仿宋"/>
                <w:sz w:val="28"/>
                <w:szCs w:val="28"/>
                <w:vertAlign w:val="baseline"/>
                <w:lang w:val="en-US" w:eastAsia="zh-CN"/>
              </w:rPr>
            </w:pP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状况</w:t>
            </w:r>
          </w:p>
          <w:p>
            <w:pPr>
              <w:jc w:val="center"/>
              <w:rPr>
                <w:rFonts w:hint="eastAsia" w:ascii="仿宋" w:hAnsi="仿宋" w:eastAsia="仿宋" w:cs="仿宋"/>
                <w:sz w:val="28"/>
                <w:szCs w:val="28"/>
                <w:vertAlign w:val="baseline"/>
                <w:lang w:val="en-US" w:eastAsia="zh-CN"/>
              </w:rPr>
            </w:pP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说明</w:t>
            </w:r>
          </w:p>
        </w:tc>
        <w:tc>
          <w:tcPr>
            <w:tcW w:w="21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区域繁华程度</w:t>
            </w:r>
          </w:p>
        </w:tc>
        <w:tc>
          <w:tcPr>
            <w:tcW w:w="142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89"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交通便捷程度</w:t>
            </w:r>
          </w:p>
        </w:tc>
        <w:tc>
          <w:tcPr>
            <w:tcW w:w="142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公共设施配套</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完备程度</w:t>
            </w:r>
          </w:p>
        </w:tc>
        <w:tc>
          <w:tcPr>
            <w:tcW w:w="1424"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89"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区域环境景观</w:t>
            </w:r>
          </w:p>
        </w:tc>
        <w:tc>
          <w:tcPr>
            <w:tcW w:w="142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绿地覆盖度</w:t>
            </w:r>
          </w:p>
        </w:tc>
        <w:tc>
          <w:tcPr>
            <w:tcW w:w="142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城市规划</w:t>
            </w:r>
          </w:p>
        </w:tc>
        <w:tc>
          <w:tcPr>
            <w:tcW w:w="142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小计</w:t>
            </w:r>
          </w:p>
        </w:tc>
        <w:tc>
          <w:tcPr>
            <w:tcW w:w="142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restart"/>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权益状况说明</w:t>
            </w: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房产类型</w:t>
            </w:r>
          </w:p>
        </w:tc>
        <w:tc>
          <w:tcPr>
            <w:tcW w:w="142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权属清晰情况</w:t>
            </w:r>
          </w:p>
        </w:tc>
        <w:tc>
          <w:tcPr>
            <w:tcW w:w="142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p>
          <w:p>
            <w:pPr>
              <w:jc w:val="both"/>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实物</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15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建筑结构</w:t>
            </w:r>
          </w:p>
        </w:tc>
        <w:tc>
          <w:tcPr>
            <w:tcW w:w="142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临街状态</w:t>
            </w:r>
          </w:p>
        </w:tc>
        <w:tc>
          <w:tcPr>
            <w:tcW w:w="142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所在楼层</w:t>
            </w:r>
          </w:p>
        </w:tc>
        <w:tc>
          <w:tcPr>
            <w:tcW w:w="1424"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100</w:t>
            </w:r>
          </w:p>
        </w:tc>
        <w:tc>
          <w:tcPr>
            <w:tcW w:w="1589"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99</w:t>
            </w:r>
          </w:p>
        </w:tc>
        <w:tc>
          <w:tcPr>
            <w:tcW w:w="1550"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102</w:t>
            </w:r>
          </w:p>
        </w:tc>
        <w:tc>
          <w:tcPr>
            <w:tcW w:w="1633"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面积大小</w:t>
            </w:r>
          </w:p>
        </w:tc>
        <w:tc>
          <w:tcPr>
            <w:tcW w:w="142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布局户型</w:t>
            </w:r>
          </w:p>
        </w:tc>
        <w:tc>
          <w:tcPr>
            <w:tcW w:w="142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装修情况</w:t>
            </w:r>
          </w:p>
        </w:tc>
        <w:tc>
          <w:tcPr>
            <w:tcW w:w="1424"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100</w:t>
            </w:r>
          </w:p>
        </w:tc>
        <w:tc>
          <w:tcPr>
            <w:tcW w:w="1550"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100</w:t>
            </w:r>
          </w:p>
        </w:tc>
        <w:tc>
          <w:tcPr>
            <w:tcW w:w="1633"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朝</w:t>
            </w:r>
            <w:r>
              <w:rPr>
                <w:rFonts w:hint="eastAsia" w:ascii="仿宋" w:hAnsi="仿宋" w:eastAsia="仿宋" w:cs="仿宋"/>
                <w:sz w:val="24"/>
                <w:szCs w:val="24"/>
                <w:vertAlign w:val="baseline"/>
                <w:lang w:val="en-US" w:eastAsia="zh-CN"/>
              </w:rPr>
              <w:t>向及采光通风</w:t>
            </w:r>
          </w:p>
        </w:tc>
        <w:tc>
          <w:tcPr>
            <w:tcW w:w="142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50"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633"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层高</w:t>
            </w:r>
          </w:p>
        </w:tc>
        <w:tc>
          <w:tcPr>
            <w:tcW w:w="142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新旧程度</w:t>
            </w:r>
          </w:p>
        </w:tc>
        <w:tc>
          <w:tcPr>
            <w:tcW w:w="142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50"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633"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280" w:firstLineChars="100"/>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物业管理</w:t>
            </w:r>
          </w:p>
        </w:tc>
        <w:tc>
          <w:tcPr>
            <w:tcW w:w="142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560" w:firstLineChars="200"/>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噪音</w:t>
            </w:r>
          </w:p>
        </w:tc>
        <w:tc>
          <w:tcPr>
            <w:tcW w:w="142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560" w:firstLineChars="200"/>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小计</w:t>
            </w:r>
          </w:p>
        </w:tc>
        <w:tc>
          <w:tcPr>
            <w:tcW w:w="142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89"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99</w:t>
            </w:r>
          </w:p>
        </w:tc>
        <w:tc>
          <w:tcPr>
            <w:tcW w:w="1550"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102</w:t>
            </w:r>
          </w:p>
        </w:tc>
        <w:tc>
          <w:tcPr>
            <w:tcW w:w="1633"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102</w:t>
            </w:r>
          </w:p>
        </w:tc>
      </w:tr>
    </w:tbl>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4、比较因素修正系数确定</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在因素条件指数表的基础上，将估价对象的因素条件指数与可比实例的因素条件指数进行比较，得到比较因素修正系数，见表3。</w:t>
      </w:r>
    </w:p>
    <w:p>
      <w:pPr>
        <w:jc w:val="center"/>
        <w:rPr>
          <w:rFonts w:hint="default" w:ascii="仿宋" w:hAnsi="仿宋" w:eastAsia="仿宋" w:cs="仿宋"/>
          <w:sz w:val="30"/>
          <w:szCs w:val="30"/>
          <w:lang w:val="en-US" w:eastAsia="zh-CN"/>
        </w:rPr>
      </w:pPr>
      <w:r>
        <w:rPr>
          <w:rFonts w:hint="eastAsia" w:ascii="仿宋" w:hAnsi="仿宋" w:eastAsia="仿宋" w:cs="仿宋"/>
          <w:sz w:val="30"/>
          <w:szCs w:val="30"/>
          <w:lang w:eastAsia="zh-CN"/>
        </w:rPr>
        <w:t>比较因素修正系数表</w:t>
      </w:r>
      <w:r>
        <w:rPr>
          <w:rFonts w:hint="eastAsia" w:ascii="仿宋" w:hAnsi="仿宋" w:eastAsia="仿宋" w:cs="仿宋"/>
          <w:sz w:val="30"/>
          <w:szCs w:val="30"/>
          <w:lang w:val="en-US" w:eastAsia="zh-CN"/>
        </w:rPr>
        <w:t>3</w:t>
      </w:r>
    </w:p>
    <w:tbl>
      <w:tblPr>
        <w:tblStyle w:val="9"/>
        <w:tblW w:w="97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154"/>
        <w:gridCol w:w="1454"/>
        <w:gridCol w:w="1559"/>
        <w:gridCol w:w="1550"/>
        <w:gridCol w:w="1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7" w:hRule="atLeast"/>
        </w:trPr>
        <w:tc>
          <w:tcPr>
            <w:tcW w:w="3321" w:type="dxa"/>
            <w:gridSpan w:val="2"/>
            <w:vAlign w:val="top"/>
          </w:tcPr>
          <w:p>
            <w:pPr>
              <w:snapToGrid w:val="0"/>
              <w:spacing w:line="240" w:lineRule="auto"/>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因素/内容</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估价对象与案例</w:t>
            </w:r>
          </w:p>
        </w:tc>
        <w:tc>
          <w:tcPr>
            <w:tcW w:w="1454" w:type="dxa"/>
            <w:vAlign w:val="center"/>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估价对象</w:t>
            </w:r>
          </w:p>
        </w:tc>
        <w:tc>
          <w:tcPr>
            <w:tcW w:w="1559" w:type="dxa"/>
            <w:vAlign w:val="top"/>
          </w:tcPr>
          <w:p>
            <w:pPr>
              <w:spacing w:line="720" w:lineRule="auto"/>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可比案例A</w:t>
            </w:r>
          </w:p>
        </w:tc>
        <w:tc>
          <w:tcPr>
            <w:tcW w:w="1550" w:type="dxa"/>
            <w:vAlign w:val="top"/>
          </w:tcPr>
          <w:p>
            <w:pPr>
              <w:spacing w:line="720" w:lineRule="auto"/>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可比案例B</w:t>
            </w:r>
          </w:p>
        </w:tc>
        <w:tc>
          <w:tcPr>
            <w:tcW w:w="1833" w:type="dxa"/>
            <w:vAlign w:val="top"/>
          </w:tcPr>
          <w:p>
            <w:pPr>
              <w:spacing w:line="720" w:lineRule="auto"/>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成交单价（元/平米）</w:t>
            </w:r>
          </w:p>
        </w:tc>
        <w:tc>
          <w:tcPr>
            <w:tcW w:w="145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w:t>
            </w:r>
          </w:p>
        </w:tc>
        <w:tc>
          <w:tcPr>
            <w:tcW w:w="155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highlight w:val="none"/>
                <w:vertAlign w:val="baseline"/>
                <w:lang w:val="en-US" w:eastAsia="zh-CN"/>
              </w:rPr>
              <w:t>9591</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highlight w:val="none"/>
                <w:vertAlign w:val="baseline"/>
                <w:lang w:val="en-US" w:eastAsia="zh-CN"/>
              </w:rPr>
              <w:t>10909</w:t>
            </w:r>
          </w:p>
        </w:tc>
        <w:tc>
          <w:tcPr>
            <w:tcW w:w="18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highlight w:val="none"/>
                <w:vertAlign w:val="baseline"/>
                <w:lang w:val="en-US" w:eastAsia="zh-CN"/>
              </w:rPr>
              <w:t>9636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情况</w:t>
            </w: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交易情况</w:t>
            </w:r>
          </w:p>
        </w:tc>
        <w:tc>
          <w:tcPr>
            <w:tcW w:w="1454" w:type="dxa"/>
            <w:vAlign w:val="top"/>
          </w:tcPr>
          <w:p>
            <w:pPr>
              <w:jc w:val="center"/>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559"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550"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833"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类型</w:t>
            </w:r>
          </w:p>
        </w:tc>
        <w:tc>
          <w:tcPr>
            <w:tcW w:w="1454"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559"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550"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833"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市场状况调整系数</w:t>
            </w:r>
          </w:p>
        </w:tc>
        <w:tc>
          <w:tcPr>
            <w:tcW w:w="1454" w:type="dxa"/>
            <w:vAlign w:val="top"/>
          </w:tcPr>
          <w:p>
            <w:pPr>
              <w:jc w:val="center"/>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559" w:type="dxa"/>
            <w:vAlign w:val="top"/>
          </w:tcPr>
          <w:p>
            <w:pPr>
              <w:jc w:val="center"/>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104</w:t>
            </w:r>
          </w:p>
        </w:tc>
        <w:tc>
          <w:tcPr>
            <w:tcW w:w="1550"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833" w:type="dxa"/>
            <w:vAlign w:val="top"/>
          </w:tcPr>
          <w:p>
            <w:pPr>
              <w:jc w:val="center"/>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区域状况调整系数</w:t>
            </w:r>
          </w:p>
        </w:tc>
        <w:tc>
          <w:tcPr>
            <w:tcW w:w="1454"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559"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550"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833"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权益状况调整系数</w:t>
            </w:r>
          </w:p>
        </w:tc>
        <w:tc>
          <w:tcPr>
            <w:tcW w:w="1454" w:type="dxa"/>
            <w:vAlign w:val="top"/>
          </w:tcPr>
          <w:p>
            <w:pPr>
              <w:jc w:val="center"/>
              <w:rPr>
                <w:rFonts w:hint="eastAsia" w:ascii="仿宋" w:hAnsi="仿宋" w:eastAsia="仿宋" w:cs="仿宋"/>
                <w:b w:val="0"/>
                <w:bCs w:val="0"/>
                <w:color w:val="auto"/>
                <w:sz w:val="28"/>
                <w:szCs w:val="28"/>
                <w:highlight w:val="none"/>
                <w:vertAlign w:val="baseline"/>
                <w:lang w:val="en-US" w:eastAsia="zh-CN"/>
              </w:rPr>
            </w:pPr>
            <w:r>
              <w:rPr>
                <w:rFonts w:hint="eastAsia" w:ascii="仿宋" w:hAnsi="仿宋" w:eastAsia="仿宋" w:cs="仿宋"/>
                <w:b w:val="0"/>
                <w:bCs w:val="0"/>
                <w:color w:val="auto"/>
                <w:sz w:val="28"/>
                <w:szCs w:val="28"/>
                <w:highlight w:val="none"/>
                <w:vertAlign w:val="baseline"/>
                <w:lang w:val="en-US" w:eastAsia="zh-CN"/>
              </w:rPr>
              <w:t>100</w:t>
            </w:r>
          </w:p>
        </w:tc>
        <w:tc>
          <w:tcPr>
            <w:tcW w:w="1559" w:type="dxa"/>
            <w:vAlign w:val="top"/>
          </w:tcPr>
          <w:p>
            <w:pPr>
              <w:jc w:val="center"/>
              <w:rPr>
                <w:rFonts w:hint="eastAsia" w:ascii="仿宋" w:hAnsi="仿宋" w:eastAsia="仿宋" w:cs="仿宋"/>
                <w:b w:val="0"/>
                <w:bCs w:val="0"/>
                <w:color w:val="auto"/>
                <w:sz w:val="28"/>
                <w:szCs w:val="28"/>
                <w:highlight w:val="none"/>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550" w:type="dxa"/>
            <w:vAlign w:val="top"/>
          </w:tcPr>
          <w:p>
            <w:pPr>
              <w:jc w:val="center"/>
              <w:rPr>
                <w:rFonts w:hint="eastAsia" w:ascii="仿宋" w:hAnsi="仿宋" w:eastAsia="仿宋" w:cs="仿宋"/>
                <w:b w:val="0"/>
                <w:bCs w:val="0"/>
                <w:color w:val="auto"/>
                <w:sz w:val="28"/>
                <w:szCs w:val="28"/>
                <w:highlight w:val="none"/>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833" w:type="dxa"/>
            <w:vAlign w:val="top"/>
          </w:tcPr>
          <w:p>
            <w:pPr>
              <w:jc w:val="center"/>
              <w:rPr>
                <w:rFonts w:hint="eastAsia" w:ascii="仿宋" w:hAnsi="仿宋" w:eastAsia="仿宋" w:cs="仿宋"/>
                <w:b w:val="0"/>
                <w:bCs w:val="0"/>
                <w:color w:val="auto"/>
                <w:sz w:val="28"/>
                <w:szCs w:val="28"/>
                <w:highlight w:val="none"/>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实物状况调整系数</w:t>
            </w:r>
          </w:p>
        </w:tc>
        <w:tc>
          <w:tcPr>
            <w:tcW w:w="1454"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9"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99</w:t>
            </w:r>
          </w:p>
        </w:tc>
        <w:tc>
          <w:tcPr>
            <w:tcW w:w="1550"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102</w:t>
            </w:r>
          </w:p>
        </w:tc>
        <w:tc>
          <w:tcPr>
            <w:tcW w:w="1833"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比准价格（元/平米）</w:t>
            </w:r>
          </w:p>
        </w:tc>
        <w:tc>
          <w:tcPr>
            <w:tcW w:w="1454"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w:t>
            </w:r>
          </w:p>
        </w:tc>
        <w:tc>
          <w:tcPr>
            <w:tcW w:w="1559"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9315</w:t>
            </w:r>
          </w:p>
        </w:tc>
        <w:tc>
          <w:tcPr>
            <w:tcW w:w="1550"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10695</w:t>
            </w:r>
          </w:p>
        </w:tc>
        <w:tc>
          <w:tcPr>
            <w:tcW w:w="1833"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9084</w:t>
            </w:r>
          </w:p>
        </w:tc>
      </w:tr>
    </w:tbl>
    <w:p>
      <w:pPr>
        <w:numPr>
          <w:ilvl w:val="0"/>
          <w:numId w:val="0"/>
        </w:numPr>
        <w:ind w:firstLine="600" w:firstLineChars="200"/>
        <w:jc w:val="left"/>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5、求取估价对象价值</w:t>
      </w:r>
    </w:p>
    <w:p>
      <w:pPr>
        <w:ind w:firstLine="560" w:firstLineChars="20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可比实例A、B、C与估价对象条件因素相当类似，但比准价格相差很大，因此采取加权算数平均值的求取方法，估算0819室房屋的评估价格。经分析，可比实例A、B、C的权重分别为40%、20%、40%。</w:t>
      </w:r>
    </w:p>
    <w:p>
      <w:pPr>
        <w:ind w:firstLine="560" w:firstLineChars="200"/>
        <w:rPr>
          <w:rFonts w:hint="eastAsia" w:ascii="仿宋" w:hAnsi="仿宋" w:eastAsia="仿宋" w:cs="仿宋"/>
          <w:kern w:val="2"/>
          <w:sz w:val="28"/>
          <w:szCs w:val="28"/>
          <w:lang w:val="en-US" w:eastAsia="zh-CN" w:bidi="ar-SA"/>
        </w:rPr>
      </w:pPr>
      <w:r>
        <w:rPr>
          <w:rFonts w:hint="eastAsia" w:ascii="仿宋_GB2312" w:hAnsi="宋体" w:eastAsia="仿宋_GB2312" w:cs="Times New Roman"/>
          <w:kern w:val="2"/>
          <w:sz w:val="28"/>
          <w:szCs w:val="28"/>
          <w:lang w:val="en-US" w:eastAsia="zh-CN" w:bidi="ar-SA"/>
        </w:rPr>
        <w:t>0819室评估单价=9315×40%+10695×20%+9084×40%</w:t>
      </w:r>
      <w:r>
        <w:rPr>
          <w:rFonts w:hint="eastAsia" w:ascii="仿宋" w:hAnsi="仿宋" w:eastAsia="仿宋" w:cs="仿宋"/>
          <w:kern w:val="2"/>
          <w:sz w:val="28"/>
          <w:szCs w:val="28"/>
          <w:lang w:val="en-US" w:eastAsia="zh-CN" w:bidi="ar-SA"/>
        </w:rPr>
        <w:t>≈9499(元/㎡)</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kern w:val="2"/>
          <w:sz w:val="28"/>
          <w:szCs w:val="28"/>
          <w:highlight w:val="none"/>
          <w:lang w:val="en-US" w:eastAsia="zh-CN" w:bidi="ar-SA"/>
        </w:rPr>
        <w:t>估价人员在估算出估价对象中</w:t>
      </w:r>
      <w:r>
        <w:rPr>
          <w:rFonts w:hint="eastAsia" w:ascii="仿宋_GB2312" w:hAnsi="宋体" w:eastAsia="仿宋_GB2312" w:cs="Times New Roman"/>
          <w:kern w:val="2"/>
          <w:sz w:val="28"/>
          <w:szCs w:val="28"/>
          <w:lang w:val="en-US" w:eastAsia="zh-CN" w:bidi="ar-SA"/>
        </w:rPr>
        <w:t>0819室</w:t>
      </w:r>
      <w:r>
        <w:rPr>
          <w:rFonts w:hint="eastAsia" w:ascii="仿宋" w:hAnsi="仿宋" w:eastAsia="仿宋" w:cs="仿宋"/>
          <w:kern w:val="2"/>
          <w:sz w:val="28"/>
          <w:szCs w:val="28"/>
          <w:highlight w:val="none"/>
          <w:lang w:val="en-US" w:eastAsia="zh-CN" w:bidi="ar-SA"/>
        </w:rPr>
        <w:t>房屋的评估价格后，</w:t>
      </w:r>
      <w:r>
        <w:rPr>
          <w:rFonts w:hint="eastAsia" w:ascii="仿宋" w:hAnsi="仿宋" w:eastAsia="仿宋" w:cs="仿宋"/>
          <w:sz w:val="28"/>
          <w:szCs w:val="28"/>
          <w:highlight w:val="none"/>
          <w:lang w:val="en-US" w:eastAsia="zh-CN"/>
        </w:rPr>
        <w:t>经过对同一</w:t>
      </w:r>
      <w:r>
        <w:rPr>
          <w:rFonts w:hint="eastAsia" w:ascii="仿宋" w:hAnsi="仿宋" w:eastAsia="仿宋" w:cs="仿宋"/>
          <w:sz w:val="28"/>
          <w:szCs w:val="28"/>
          <w:lang w:val="en-US" w:eastAsia="zh-CN"/>
        </w:rPr>
        <w:t>小区房屋楼层各种因素进行调整，其它房屋评估价格按照朝向修正系数</w:t>
      </w:r>
      <w:r>
        <w:rPr>
          <w:rFonts w:hint="eastAsia" w:ascii="仿宋" w:hAnsi="仿宋" w:eastAsia="仿宋"/>
          <w:sz w:val="28"/>
          <w:szCs w:val="28"/>
          <w:lang w:val="en-US" w:eastAsia="zh-CN"/>
        </w:rPr>
        <w:t>进行调整</w:t>
      </w:r>
      <w:r>
        <w:rPr>
          <w:rFonts w:hint="eastAsia" w:ascii="仿宋" w:hAnsi="仿宋" w:eastAsia="仿宋" w:cs="仿宋"/>
          <w:sz w:val="28"/>
          <w:szCs w:val="28"/>
          <w:lang w:val="en-US" w:eastAsia="zh-CN"/>
        </w:rPr>
        <w:t>测算。经查，住宅房屋南北朝向与东西朝向修正系数一般为2%</w:t>
      </w:r>
      <w:r>
        <w:rPr>
          <w:rFonts w:hint="eastAsia" w:ascii="仿宋" w:hAnsi="仿宋" w:eastAsia="仿宋" w:cs="仿宋"/>
          <w:kern w:val="2"/>
          <w:sz w:val="28"/>
          <w:szCs w:val="28"/>
          <w:highlight w:val="none"/>
          <w:lang w:val="en-US" w:eastAsia="zh-CN" w:bidi="ar-SA"/>
        </w:rPr>
        <w:t>，因此</w:t>
      </w:r>
      <w:r>
        <w:rPr>
          <w:rFonts w:hint="eastAsia" w:ascii="仿宋" w:hAnsi="仿宋" w:eastAsia="仿宋" w:cs="仿宋"/>
          <w:sz w:val="28"/>
          <w:szCs w:val="28"/>
          <w:lang w:val="en-US" w:eastAsia="zh-CN"/>
        </w:rPr>
        <w:t>其他住宅房屋的评估价格分别为：</w:t>
      </w:r>
    </w:p>
    <w:p>
      <w:pPr>
        <w:ind w:firstLine="560" w:firstLineChars="200"/>
        <w:rPr>
          <w:rFonts w:hint="eastAsia" w:ascii="仿宋" w:hAnsi="仿宋" w:eastAsia="仿宋" w:cs="仿宋"/>
          <w:kern w:val="2"/>
          <w:sz w:val="28"/>
          <w:szCs w:val="28"/>
          <w:lang w:val="en-US" w:eastAsia="zh-CN" w:bidi="ar-SA"/>
        </w:rPr>
      </w:pPr>
      <w:r>
        <w:rPr>
          <w:rFonts w:hint="eastAsia" w:ascii="仿宋_GB2312" w:hAnsi="宋体" w:eastAsia="仿宋_GB2312" w:cs="Times New Roman"/>
          <w:kern w:val="2"/>
          <w:sz w:val="28"/>
          <w:szCs w:val="28"/>
          <w:lang w:val="en-US" w:eastAsia="zh-CN" w:bidi="ar-SA"/>
        </w:rPr>
        <w:t>0820室评估单价=9499×（1-2%）</w:t>
      </w:r>
      <w:r>
        <w:rPr>
          <w:rFonts w:hint="eastAsia" w:ascii="仿宋" w:hAnsi="仿宋" w:eastAsia="仿宋" w:cs="仿宋"/>
          <w:kern w:val="2"/>
          <w:sz w:val="28"/>
          <w:szCs w:val="28"/>
          <w:lang w:val="en-US" w:eastAsia="zh-CN" w:bidi="ar-SA"/>
        </w:rPr>
        <w:t>≈9309(元/平米)</w:t>
      </w:r>
    </w:p>
    <w:p>
      <w:pPr>
        <w:ind w:firstLine="560" w:firstLineChars="200"/>
        <w:rPr>
          <w:rFonts w:hint="eastAsia" w:ascii="仿宋" w:hAnsi="仿宋" w:eastAsia="仿宋" w:cs="仿宋"/>
          <w:kern w:val="2"/>
          <w:sz w:val="28"/>
          <w:szCs w:val="28"/>
          <w:lang w:val="en-US" w:eastAsia="zh-CN" w:bidi="ar-SA"/>
        </w:rPr>
      </w:pPr>
      <w:r>
        <w:rPr>
          <w:rFonts w:hint="eastAsia" w:ascii="仿宋_GB2312" w:hAnsi="宋体" w:eastAsia="仿宋_GB2312" w:cs="Times New Roman"/>
          <w:kern w:val="2"/>
          <w:sz w:val="28"/>
          <w:szCs w:val="28"/>
          <w:lang w:val="en-US" w:eastAsia="zh-CN" w:bidi="ar-SA"/>
        </w:rPr>
        <w:t>0821室评估单价=9499×（1-2%）</w:t>
      </w:r>
      <w:r>
        <w:rPr>
          <w:rFonts w:hint="eastAsia" w:ascii="仿宋" w:hAnsi="仿宋" w:eastAsia="仿宋" w:cs="仿宋"/>
          <w:kern w:val="2"/>
          <w:sz w:val="28"/>
          <w:szCs w:val="28"/>
          <w:lang w:val="en-US" w:eastAsia="zh-CN" w:bidi="ar-SA"/>
        </w:rPr>
        <w:t>≈9309(元/平米)</w:t>
      </w:r>
    </w:p>
    <w:p>
      <w:pPr>
        <w:ind w:firstLine="560" w:firstLineChars="200"/>
        <w:rPr>
          <w:rFonts w:hint="eastAsia" w:ascii="仿宋" w:hAnsi="仿宋" w:eastAsia="仿宋" w:cs="仿宋"/>
          <w:kern w:val="2"/>
          <w:sz w:val="28"/>
          <w:szCs w:val="28"/>
          <w:lang w:val="en-US" w:eastAsia="zh-CN" w:bidi="ar-SA"/>
        </w:rPr>
      </w:pPr>
      <w:r>
        <w:rPr>
          <w:rFonts w:hint="eastAsia" w:ascii="仿宋_GB2312" w:hAnsi="宋体" w:eastAsia="仿宋_GB2312" w:cs="Times New Roman"/>
          <w:kern w:val="2"/>
          <w:sz w:val="28"/>
          <w:szCs w:val="28"/>
          <w:lang w:val="en-US" w:eastAsia="zh-CN" w:bidi="ar-SA"/>
        </w:rPr>
        <w:t>0822室评估单价=9499×（1-2%）</w:t>
      </w:r>
      <w:r>
        <w:rPr>
          <w:rFonts w:hint="eastAsia" w:ascii="仿宋" w:hAnsi="仿宋" w:eastAsia="仿宋" w:cs="仿宋"/>
          <w:kern w:val="2"/>
          <w:sz w:val="28"/>
          <w:szCs w:val="28"/>
          <w:lang w:val="en-US" w:eastAsia="zh-CN" w:bidi="ar-SA"/>
        </w:rPr>
        <w:t>≈9309(元/平米)</w:t>
      </w:r>
    </w:p>
    <w:p>
      <w:pPr>
        <w:ind w:firstLine="560" w:firstLineChars="200"/>
        <w:rPr>
          <w:rFonts w:hint="eastAsia" w:ascii="仿宋" w:hAnsi="仿宋" w:eastAsia="仿宋" w:cs="仿宋"/>
          <w:kern w:val="2"/>
          <w:sz w:val="28"/>
          <w:szCs w:val="28"/>
          <w:lang w:val="en-US" w:eastAsia="zh-CN" w:bidi="ar-SA"/>
        </w:rPr>
      </w:pPr>
      <w:r>
        <w:rPr>
          <w:rFonts w:hint="eastAsia" w:ascii="仿宋_GB2312" w:hAnsi="宋体" w:eastAsia="仿宋_GB2312" w:cs="Times New Roman"/>
          <w:kern w:val="2"/>
          <w:sz w:val="28"/>
          <w:szCs w:val="28"/>
          <w:lang w:val="en-US" w:eastAsia="zh-CN" w:bidi="ar-SA"/>
        </w:rPr>
        <w:t>0823室评估单价=0819室评估单价=9499</w:t>
      </w:r>
      <w:r>
        <w:rPr>
          <w:rFonts w:hint="eastAsia" w:ascii="仿宋" w:hAnsi="仿宋" w:eastAsia="仿宋" w:cs="仿宋"/>
          <w:kern w:val="2"/>
          <w:sz w:val="28"/>
          <w:szCs w:val="28"/>
          <w:lang w:val="en-US" w:eastAsia="zh-CN" w:bidi="ar-SA"/>
        </w:rPr>
        <w:t>(元/平米)</w:t>
      </w:r>
    </w:p>
    <w:p>
      <w:pPr>
        <w:jc w:val="center"/>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房地产估价结果明细表</w:t>
      </w:r>
    </w:p>
    <w:p>
      <w:pPr/>
    </w:p>
    <w:tbl>
      <w:tblPr>
        <w:tblStyle w:val="8"/>
        <w:tblW w:w="883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71"/>
        <w:gridCol w:w="1565"/>
        <w:gridCol w:w="2050"/>
        <w:gridCol w:w="2475"/>
        <w:gridCol w:w="18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5" w:hRule="atLeast"/>
        </w:trPr>
        <w:tc>
          <w:tcPr>
            <w:tcW w:w="871"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序号</w:t>
            </w:r>
          </w:p>
        </w:tc>
        <w:tc>
          <w:tcPr>
            <w:tcW w:w="1565"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楼层/房号</w:t>
            </w:r>
          </w:p>
        </w:tc>
        <w:tc>
          <w:tcPr>
            <w:tcW w:w="2050"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建筑面积（㎡）</w:t>
            </w:r>
          </w:p>
        </w:tc>
        <w:tc>
          <w:tcPr>
            <w:tcW w:w="2475"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lang w:val="en-US" w:eastAsia="zh-CN"/>
              </w:rPr>
            </w:pPr>
            <w:r>
              <w:rPr>
                <w:rFonts w:hint="eastAsia" w:ascii="仿宋" w:hAnsi="仿宋" w:eastAsia="仿宋" w:cs="仿宋"/>
                <w:i w:val="0"/>
                <w:iCs w:val="0"/>
                <w:color w:val="000000"/>
                <w:kern w:val="0"/>
                <w:sz w:val="28"/>
                <w:szCs w:val="28"/>
                <w:u w:val="none"/>
                <w:lang w:val="en-US" w:eastAsia="zh-CN" w:bidi="ar"/>
              </w:rPr>
              <w:t>评估单价（元/㎡）</w:t>
            </w:r>
          </w:p>
        </w:tc>
        <w:tc>
          <w:tcPr>
            <w:tcW w:w="1875"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评估值（元）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5" w:hRule="atLeast"/>
        </w:trPr>
        <w:tc>
          <w:tcPr>
            <w:tcW w:w="871"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w:t>
            </w:r>
          </w:p>
        </w:tc>
        <w:tc>
          <w:tcPr>
            <w:tcW w:w="1565"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8-0819</w:t>
            </w:r>
          </w:p>
        </w:tc>
        <w:tc>
          <w:tcPr>
            <w:tcW w:w="2050"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55.3</w:t>
            </w:r>
          </w:p>
        </w:tc>
        <w:tc>
          <w:tcPr>
            <w:tcW w:w="2475"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9499</w:t>
            </w:r>
          </w:p>
        </w:tc>
        <w:tc>
          <w:tcPr>
            <w:tcW w:w="1875"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default" w:ascii="仿宋" w:hAnsi="仿宋" w:eastAsia="仿宋" w:cs="仿宋"/>
                <w:i w:val="0"/>
                <w:iCs w:val="0"/>
                <w:color w:val="000000"/>
                <w:sz w:val="28"/>
                <w:szCs w:val="28"/>
                <w:u w:val="none"/>
                <w:lang w:val="en-US"/>
              </w:rPr>
            </w:pPr>
            <w:r>
              <w:rPr>
                <w:rFonts w:hint="eastAsia" w:ascii="仿宋" w:hAnsi="仿宋" w:eastAsia="仿宋" w:cs="仿宋"/>
                <w:i w:val="0"/>
                <w:iCs w:val="0"/>
                <w:color w:val="000000"/>
                <w:kern w:val="0"/>
                <w:sz w:val="28"/>
                <w:szCs w:val="28"/>
                <w:u w:val="none"/>
                <w:lang w:val="en-US" w:eastAsia="zh-CN" w:bidi="ar"/>
              </w:rPr>
              <w:t>525295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5" w:hRule="atLeast"/>
        </w:trPr>
        <w:tc>
          <w:tcPr>
            <w:tcW w:w="871"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2</w:t>
            </w:r>
          </w:p>
        </w:tc>
        <w:tc>
          <w:tcPr>
            <w:tcW w:w="1565"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8-0820</w:t>
            </w:r>
          </w:p>
        </w:tc>
        <w:tc>
          <w:tcPr>
            <w:tcW w:w="2050"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72.86</w:t>
            </w:r>
          </w:p>
        </w:tc>
        <w:tc>
          <w:tcPr>
            <w:tcW w:w="2475"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9309</w:t>
            </w:r>
          </w:p>
        </w:tc>
        <w:tc>
          <w:tcPr>
            <w:tcW w:w="1875"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default" w:ascii="仿宋" w:hAnsi="仿宋" w:eastAsia="仿宋" w:cs="仿宋"/>
                <w:i w:val="0"/>
                <w:iCs w:val="0"/>
                <w:color w:val="000000"/>
                <w:sz w:val="28"/>
                <w:szCs w:val="28"/>
                <w:u w:val="none"/>
                <w:lang w:val="en-US"/>
              </w:rPr>
            </w:pPr>
            <w:r>
              <w:rPr>
                <w:rFonts w:hint="eastAsia" w:ascii="仿宋" w:hAnsi="仿宋" w:eastAsia="仿宋" w:cs="仿宋"/>
                <w:i w:val="0"/>
                <w:iCs w:val="0"/>
                <w:color w:val="000000"/>
                <w:kern w:val="0"/>
                <w:sz w:val="28"/>
                <w:szCs w:val="28"/>
                <w:u w:val="none"/>
                <w:lang w:val="en-US" w:eastAsia="zh-CN" w:bidi="ar"/>
              </w:rPr>
              <w:t>678254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5" w:hRule="atLeast"/>
        </w:trPr>
        <w:tc>
          <w:tcPr>
            <w:tcW w:w="871"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3</w:t>
            </w:r>
          </w:p>
        </w:tc>
        <w:tc>
          <w:tcPr>
            <w:tcW w:w="1565"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8-0821</w:t>
            </w:r>
          </w:p>
        </w:tc>
        <w:tc>
          <w:tcPr>
            <w:tcW w:w="2050"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52.13</w:t>
            </w:r>
          </w:p>
        </w:tc>
        <w:tc>
          <w:tcPr>
            <w:tcW w:w="2475"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9309</w:t>
            </w:r>
          </w:p>
        </w:tc>
        <w:tc>
          <w:tcPr>
            <w:tcW w:w="1875"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default" w:ascii="仿宋" w:hAnsi="仿宋" w:eastAsia="仿宋" w:cs="仿宋"/>
                <w:i w:val="0"/>
                <w:iCs w:val="0"/>
                <w:color w:val="000000"/>
                <w:sz w:val="28"/>
                <w:szCs w:val="28"/>
                <w:u w:val="none"/>
                <w:lang w:val="en-US"/>
              </w:rPr>
            </w:pPr>
            <w:r>
              <w:rPr>
                <w:rFonts w:hint="eastAsia" w:ascii="仿宋" w:hAnsi="仿宋" w:eastAsia="仿宋" w:cs="仿宋"/>
                <w:i w:val="0"/>
                <w:iCs w:val="0"/>
                <w:color w:val="000000"/>
                <w:kern w:val="0"/>
                <w:sz w:val="28"/>
                <w:szCs w:val="28"/>
                <w:u w:val="none"/>
                <w:lang w:val="en-US" w:eastAsia="zh-CN" w:bidi="ar"/>
              </w:rPr>
              <w:t>485278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5" w:hRule="atLeast"/>
        </w:trPr>
        <w:tc>
          <w:tcPr>
            <w:tcW w:w="871"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4</w:t>
            </w:r>
          </w:p>
        </w:tc>
        <w:tc>
          <w:tcPr>
            <w:tcW w:w="1565"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8-0822</w:t>
            </w:r>
          </w:p>
        </w:tc>
        <w:tc>
          <w:tcPr>
            <w:tcW w:w="2050"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72.86</w:t>
            </w:r>
          </w:p>
        </w:tc>
        <w:tc>
          <w:tcPr>
            <w:tcW w:w="2475"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9309</w:t>
            </w:r>
          </w:p>
        </w:tc>
        <w:tc>
          <w:tcPr>
            <w:tcW w:w="1875"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default" w:ascii="仿宋" w:hAnsi="仿宋" w:eastAsia="仿宋" w:cs="仿宋"/>
                <w:i w:val="0"/>
                <w:iCs w:val="0"/>
                <w:color w:val="000000"/>
                <w:sz w:val="28"/>
                <w:szCs w:val="28"/>
                <w:u w:val="none"/>
                <w:lang w:val="en-US"/>
              </w:rPr>
            </w:pPr>
            <w:r>
              <w:rPr>
                <w:rFonts w:hint="eastAsia" w:ascii="仿宋" w:hAnsi="仿宋" w:eastAsia="仿宋" w:cs="仿宋"/>
                <w:i w:val="0"/>
                <w:iCs w:val="0"/>
                <w:color w:val="000000"/>
                <w:kern w:val="0"/>
                <w:sz w:val="28"/>
                <w:szCs w:val="28"/>
                <w:highlight w:val="none"/>
                <w:u w:val="none"/>
                <w:lang w:val="en-US" w:eastAsia="zh-CN" w:bidi="ar"/>
              </w:rPr>
              <w:t>678254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5" w:hRule="atLeast"/>
        </w:trPr>
        <w:tc>
          <w:tcPr>
            <w:tcW w:w="871"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5</w:t>
            </w:r>
          </w:p>
        </w:tc>
        <w:tc>
          <w:tcPr>
            <w:tcW w:w="1565"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8-0823</w:t>
            </w:r>
          </w:p>
        </w:tc>
        <w:tc>
          <w:tcPr>
            <w:tcW w:w="2050"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55.3</w:t>
            </w:r>
          </w:p>
        </w:tc>
        <w:tc>
          <w:tcPr>
            <w:tcW w:w="2475"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9499</w:t>
            </w:r>
          </w:p>
        </w:tc>
        <w:tc>
          <w:tcPr>
            <w:tcW w:w="1875"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default" w:ascii="仿宋" w:hAnsi="仿宋" w:eastAsia="仿宋" w:cs="仿宋"/>
                <w:i w:val="0"/>
                <w:iCs w:val="0"/>
                <w:color w:val="000000"/>
                <w:sz w:val="28"/>
                <w:szCs w:val="28"/>
                <w:u w:val="none"/>
                <w:lang w:val="en-US"/>
              </w:rPr>
            </w:pPr>
            <w:r>
              <w:rPr>
                <w:rFonts w:hint="eastAsia" w:ascii="仿宋" w:hAnsi="仿宋" w:eastAsia="仿宋" w:cs="仿宋"/>
                <w:i w:val="0"/>
                <w:iCs w:val="0"/>
                <w:color w:val="000000"/>
                <w:kern w:val="0"/>
                <w:sz w:val="28"/>
                <w:szCs w:val="28"/>
                <w:u w:val="none"/>
                <w:lang w:val="en-US" w:eastAsia="zh-CN" w:bidi="ar"/>
              </w:rPr>
              <w:t>525295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5" w:hRule="atLeast"/>
        </w:trPr>
        <w:tc>
          <w:tcPr>
            <w:tcW w:w="871"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6</w:t>
            </w:r>
          </w:p>
        </w:tc>
        <w:tc>
          <w:tcPr>
            <w:tcW w:w="1565"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合计</w:t>
            </w:r>
          </w:p>
        </w:tc>
        <w:tc>
          <w:tcPr>
            <w:tcW w:w="2050"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hint="eastAsia" w:ascii="仿宋" w:hAnsi="仿宋" w:eastAsia="仿宋" w:cs="仿宋"/>
                <w:i w:val="0"/>
                <w:iCs w:val="0"/>
                <w:color w:val="000000"/>
                <w:sz w:val="28"/>
                <w:szCs w:val="28"/>
                <w:u w:val="none"/>
              </w:rPr>
            </w:pPr>
          </w:p>
        </w:tc>
        <w:tc>
          <w:tcPr>
            <w:tcW w:w="2475"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hint="eastAsia" w:ascii="仿宋" w:hAnsi="仿宋" w:eastAsia="仿宋" w:cs="仿宋"/>
                <w:i w:val="0"/>
                <w:iCs w:val="0"/>
                <w:color w:val="000000"/>
                <w:sz w:val="28"/>
                <w:szCs w:val="28"/>
                <w:u w:val="none"/>
              </w:rPr>
            </w:pPr>
          </w:p>
        </w:tc>
        <w:tc>
          <w:tcPr>
            <w:tcW w:w="1875"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default" w:ascii="仿宋" w:hAnsi="仿宋" w:eastAsia="仿宋" w:cs="仿宋"/>
                <w:i w:val="0"/>
                <w:iCs w:val="0"/>
                <w:color w:val="000000"/>
                <w:sz w:val="28"/>
                <w:szCs w:val="28"/>
                <w:u w:val="none"/>
                <w:lang w:val="en-US"/>
              </w:rPr>
            </w:pPr>
            <w:r>
              <w:rPr>
                <w:rFonts w:hint="eastAsia" w:ascii="仿宋" w:hAnsi="仿宋" w:eastAsia="仿宋" w:cs="仿宋"/>
                <w:i w:val="0"/>
                <w:iCs w:val="0"/>
                <w:color w:val="000000"/>
                <w:kern w:val="0"/>
                <w:sz w:val="28"/>
                <w:szCs w:val="28"/>
                <w:u w:val="none"/>
                <w:lang w:val="en-US" w:eastAsia="zh-CN" w:bidi="ar"/>
              </w:rPr>
              <w:t>2892376</w:t>
            </w:r>
          </w:p>
        </w:tc>
      </w:tr>
    </w:tbl>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六、估价结果确定</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估价人员根据估价目的，遵循估价原则，按照规定估价程序和估价方法，经过具体测算，确定估价对象在估价时点可能形成的市场价值为</w:t>
      </w:r>
      <w:r>
        <w:rPr>
          <w:rFonts w:hint="eastAsia" w:ascii="仿宋_GB2312" w:hAnsi="宋体" w:eastAsia="仿宋_GB2312" w:cs="Times New Roman"/>
          <w:kern w:val="2"/>
          <w:sz w:val="28"/>
          <w:szCs w:val="28"/>
          <w:highlight w:val="none"/>
          <w:lang w:val="en-US" w:eastAsia="zh-CN" w:bidi="ar-SA"/>
        </w:rPr>
        <w:t>￥</w:t>
      </w:r>
      <w:r>
        <w:rPr>
          <w:rFonts w:hint="eastAsia" w:ascii="仿宋_GB2312" w:hAnsi="宋体" w:eastAsia="仿宋_GB2312" w:cs="Times New Roman"/>
          <w:kern w:val="2"/>
          <w:sz w:val="28"/>
          <w:szCs w:val="28"/>
          <w:lang w:val="en-US" w:eastAsia="zh-CN" w:bidi="ar-SA"/>
        </w:rPr>
        <w:t>2892376</w:t>
      </w:r>
      <w:r>
        <w:rPr>
          <w:rFonts w:hint="eastAsia" w:ascii="仿宋_GB2312" w:hAnsi="宋体" w:eastAsia="仿宋_GB2312" w:cs="Times New Roman"/>
          <w:kern w:val="2"/>
          <w:sz w:val="28"/>
          <w:szCs w:val="28"/>
          <w:highlight w:val="none"/>
          <w:lang w:val="en-US" w:eastAsia="zh-CN" w:bidi="ar-SA"/>
        </w:rPr>
        <w:t>元(大</w:t>
      </w:r>
      <w:r>
        <w:rPr>
          <w:rFonts w:hint="eastAsia" w:ascii="仿宋_GB2312" w:hAnsi="宋体" w:eastAsia="仿宋_GB2312" w:cs="Times New Roman"/>
          <w:kern w:val="2"/>
          <w:sz w:val="28"/>
          <w:szCs w:val="28"/>
          <w:lang w:val="en-US" w:eastAsia="zh-CN" w:bidi="ar-SA"/>
        </w:rPr>
        <w:t xml:space="preserve">写人民币贰佰捌拾玖万贰仟叁佰柒拾陆元整)。                                                  </w:t>
      </w:r>
    </w:p>
    <w:p>
      <w:pPr>
        <w:ind w:firstLine="4200" w:firstLineChars="15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4200" w:firstLineChars="1500"/>
        <w:rPr>
          <w:rFonts w:hint="eastAsia" w:ascii="仿宋_GB2312" w:hAnsi="宋体" w:eastAsia="仿宋_GB2312" w:cs="Times New Roman"/>
          <w:kern w:val="2"/>
          <w:sz w:val="28"/>
          <w:szCs w:val="28"/>
          <w:lang w:val="en-US" w:eastAsia="zh-CN" w:bidi="ar-SA"/>
        </w:rPr>
      </w:pPr>
    </w:p>
    <w:p>
      <w:pPr>
        <w:ind w:firstLine="4200" w:firstLineChars="15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jc w:val="both"/>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 xml:space="preserve">                                   二0二二年八月二十二日</w:t>
      </w:r>
    </w:p>
    <w:p>
      <w:pPr>
        <w:jc w:val="center"/>
        <w:rPr>
          <w:rFonts w:hint="eastAsia" w:ascii="仿宋_GB2312" w:hAnsi="宋体" w:eastAsia="仿宋_GB2312" w:cs="Times New Roman"/>
          <w:kern w:val="2"/>
          <w:sz w:val="28"/>
          <w:szCs w:val="28"/>
          <w:highlight w:val="none"/>
          <w:lang w:val="en-US" w:eastAsia="zh-CN" w:bidi="ar-SA"/>
        </w:rPr>
      </w:pPr>
    </w:p>
    <w:p>
      <w:pPr>
        <w:jc w:val="center"/>
        <w:rPr>
          <w:rFonts w:hint="eastAsia" w:ascii="仿宋_GB2312" w:hAnsi="宋体" w:eastAsia="仿宋_GB2312" w:cs="Times New Roman"/>
          <w:kern w:val="2"/>
          <w:sz w:val="28"/>
          <w:szCs w:val="28"/>
          <w:highlight w:val="none"/>
          <w:lang w:val="en-US" w:eastAsia="zh-CN" w:bidi="ar-SA"/>
        </w:rPr>
      </w:pPr>
    </w:p>
    <w:p>
      <w:pPr>
        <w:jc w:val="center"/>
        <w:rPr>
          <w:rFonts w:hint="eastAsia" w:ascii="仿宋_GB2312" w:hAnsi="宋体" w:eastAsia="仿宋_GB2312" w:cs="Times New Roman"/>
          <w:kern w:val="2"/>
          <w:sz w:val="28"/>
          <w:szCs w:val="28"/>
          <w:highlight w:val="none"/>
          <w:lang w:val="en-US" w:eastAsia="zh-CN" w:bidi="ar-SA"/>
        </w:rPr>
      </w:pPr>
    </w:p>
    <w:p>
      <w:pPr>
        <w:jc w:val="center"/>
        <w:rPr>
          <w:rFonts w:hint="eastAsia" w:ascii="仿宋_GB2312" w:hAnsi="宋体" w:eastAsia="仿宋_GB2312" w:cs="Times New Roman"/>
          <w:kern w:val="2"/>
          <w:sz w:val="28"/>
          <w:szCs w:val="28"/>
          <w:highlight w:val="none"/>
          <w:lang w:val="en-US" w:eastAsia="zh-CN" w:bidi="ar-SA"/>
        </w:rPr>
      </w:pPr>
    </w:p>
    <w:p>
      <w:pPr/>
    </w:p>
    <w:p>
      <w:pPr/>
    </w:p>
    <w:p>
      <w:pPr/>
    </w:p>
    <w:p>
      <w:pPr/>
    </w:p>
    <w:p>
      <w:pPr/>
    </w:p>
    <w:sectPr>
      <w:headerReference r:id="rId3" w:type="default"/>
      <w:footerReference r:id="rId4" w:type="default"/>
      <w:footerReference r:id="rId5" w:type="even"/>
      <w:pgSz w:w="11906" w:h="16838"/>
      <w:pgMar w:top="1644" w:right="1520" w:bottom="1361" w:left="15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10002FF" w:usb1="4000ACFF" w:usb2="00000009"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10002FF" w:usb1="4000ACFF" w:usb2="00000009" w:usb3="00000000" w:csb0="2000019F" w:csb1="00000000"/>
  </w:font>
  <w:font w:name="Arial">
    <w:panose1 w:val="020B0604020202020204"/>
    <w:charset w:val="01"/>
    <w:family w:val="roman"/>
    <w:pitch w:val="default"/>
    <w:sig w:usb0="E0002AFF" w:usb1="C0007843" w:usb2="00000009" w:usb3="00000000" w:csb0="400001FF" w:csb1="FFFF0000"/>
  </w:font>
  <w:font w:name="Courier New">
    <w:panose1 w:val="02070309020205020404"/>
    <w:charset w:val="01"/>
    <w:family w:val="decorative"/>
    <w:pitch w:val="default"/>
    <w:sig w:usb0="E0002A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10002FF" w:usb1="4000ACFF" w:usb2="00000009" w:usb3="00000000" w:csb0="2000019F" w:csb1="00000000"/>
  </w:font>
  <w:font w:name="Arial">
    <w:panose1 w:val="020B0604020202020204"/>
    <w:charset w:val="01"/>
    <w:family w:val="modern"/>
    <w:pitch w:val="default"/>
    <w:sig w:usb0="E0002AFF" w:usb1="C0007843" w:usb2="00000009" w:usb3="00000000" w:csb0="400001FF" w:csb1="FFFF0000"/>
  </w:font>
  <w:font w:name="Courier New">
    <w:panose1 w:val="02070309020205020404"/>
    <w:charset w:val="01"/>
    <w:family w:val="roman"/>
    <w:pitch w:val="default"/>
    <w:sig w:usb0="E0002AFF" w:usb1="C0007843" w:usb2="00000009" w:usb3="00000000" w:csb0="400001FF" w:csb1="FFFF0000"/>
  </w:font>
  <w:font w:name="Symbol">
    <w:panose1 w:val="05050102010706020507"/>
    <w:charset w:val="02"/>
    <w:family w:val="decorative"/>
    <w:pitch w:val="default"/>
    <w:sig w:usb0="00000000" w:usb1="00000000" w:usb2="00000000" w:usb3="00000000" w:csb0="80000000" w:csb1="00000000"/>
  </w:font>
  <w:font w:name="仿宋">
    <w:panose1 w:val="02010609060101010101"/>
    <w:charset w:val="86"/>
    <w:family w:val="roman"/>
    <w:pitch w:val="default"/>
    <w:sig w:usb0="800002BF" w:usb1="38CF7CFA" w:usb2="00000016" w:usb3="00000000" w:csb0="00040001" w:csb1="00000000"/>
  </w:font>
  <w:font w:name="仿宋_GB2312">
    <w:altName w:val="仿宋"/>
    <w:panose1 w:val="02010609030001010101"/>
    <w:charset w:val="86"/>
    <w:family w:val="swiss"/>
    <w:pitch w:val="default"/>
    <w:sig w:usb0="00000000" w:usb1="00000000" w:usb2="00000010" w:usb3="00000000" w:csb0="00040000"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swiss"/>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001010101"/>
    <w:charset w:val="86"/>
    <w:family w:val="decorative"/>
    <w:pitch w:val="default"/>
    <w:sig w:usb0="00000000" w:usb1="00000000" w:usb2="00000010" w:usb3="00000000" w:csb0="00040000" w:csb1="00000000"/>
  </w:font>
  <w:font w:name="仿宋">
    <w:panose1 w:val="02010609060101010101"/>
    <w:charset w:val="86"/>
    <w:family w:val="decorative"/>
    <w:pitch w:val="default"/>
    <w:sig w:usb0="800002BF" w:usb1="38CF7CFA" w:usb2="00000016" w:usb3="00000000" w:csb0="00040001" w:csb1="00000000"/>
  </w:font>
  <w:font w:name="仿宋_GB2312">
    <w:altName w:val="仿宋"/>
    <w:panose1 w:val="02010609030001010101"/>
    <w:charset w:val="86"/>
    <w:family w:val="roman"/>
    <w:pitch w:val="default"/>
    <w:sig w:usb0="00000000" w:usb1="00000000" w:usb2="00000010" w:usb3="00000000" w:csb0="00040000" w:csb1="00000000"/>
  </w:font>
  <w:font w:name="仿宋_GB2312">
    <w:altName w:val="仿宋"/>
    <w:panose1 w:val="020106090300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仿宋">
    <w:panose1 w:val="02010609060101010101"/>
    <w:charset w:val="86"/>
    <w:family w:val="swiss"/>
    <w:pitch w:val="default"/>
    <w:sig w:usb0="800002BF" w:usb1="38CF7CFA" w:usb2="00000016" w:usb3="00000000" w:csb0="00040001" w:csb1="00000000"/>
  </w:font>
  <w:font w:name="仿宋">
    <w:panose1 w:val="02010609060101010101"/>
    <w:charset w:val="86"/>
    <w:family w:val="decorative"/>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rPr>
        <w:rFonts w:hint="eastAsia" w:ascii="宋体" w:hAnsi="宋体"/>
        <w:color w:val="000000"/>
        <w:sz w:val="18"/>
        <w:szCs w:val="18"/>
      </w:rPr>
    </w:pPr>
    <w:r>
      <w:rPr>
        <w:rFonts w:hint="eastAsia"/>
        <w:u w:val="single"/>
      </w:rPr>
      <w:t xml:space="preserve">                                                                                            </w:t>
    </w:r>
    <w:r>
      <w:rPr>
        <w:rFonts w:hint="eastAsia" w:ascii="宋体" w:hAnsi="宋体"/>
        <w:sz w:val="18"/>
        <w:szCs w:val="18"/>
      </w:rPr>
      <w:t>公司名称：</w:t>
    </w:r>
    <w:r>
      <w:rPr>
        <w:rFonts w:hint="eastAsia" w:ascii="宋体" w:hAnsi="宋体"/>
        <w:color w:val="000000"/>
        <w:sz w:val="18"/>
        <w:szCs w:val="18"/>
      </w:rPr>
      <w:t>湖北循其本价格鉴定评估有限公司</w:t>
    </w:r>
  </w:p>
  <w:p>
    <w:pPr/>
    <w:r>
      <w:rPr>
        <w:rFonts w:hint="eastAsia" w:ascii="宋体" w:hAnsi="宋体"/>
        <w:sz w:val="18"/>
        <w:szCs w:val="18"/>
      </w:rPr>
      <w:t>网址：</w:t>
    </w:r>
    <w:r>
      <w:rPr>
        <w:rFonts w:ascii="宋体" w:hAnsi="宋体"/>
        <w:sz w:val="18"/>
        <w:szCs w:val="18"/>
      </w:rPr>
      <w:fldChar w:fldCharType="begin"/>
    </w:r>
    <w:r>
      <w:rPr>
        <w:rFonts w:ascii="宋体" w:hAnsi="宋体"/>
        <w:sz w:val="18"/>
        <w:szCs w:val="18"/>
      </w:rPr>
      <w:instrText xml:space="preserve"> HYPERLINK "http://</w:instrText>
    </w:r>
    <w:r>
      <w:rPr>
        <w:rFonts w:hint="eastAsia" w:ascii="宋体" w:hAnsi="宋体"/>
        <w:sz w:val="18"/>
        <w:szCs w:val="18"/>
      </w:rPr>
      <w:instrText xml:space="preserve">www.xqb.cn.com</w:instrText>
    </w:r>
    <w:r>
      <w:rPr>
        <w:rFonts w:ascii="宋体" w:hAnsi="宋体"/>
        <w:sz w:val="18"/>
        <w:szCs w:val="18"/>
      </w:rPr>
      <w:instrText xml:space="preserve">" </w:instrText>
    </w:r>
    <w:r>
      <w:rPr>
        <w:rFonts w:ascii="宋体" w:hAnsi="宋体"/>
        <w:sz w:val="18"/>
        <w:szCs w:val="18"/>
      </w:rPr>
      <w:fldChar w:fldCharType="separate"/>
    </w:r>
    <w:r>
      <w:rPr>
        <w:rStyle w:val="7"/>
        <w:rFonts w:hint="eastAsia" w:ascii="宋体" w:hAnsi="宋体"/>
        <w:sz w:val="18"/>
        <w:szCs w:val="18"/>
      </w:rPr>
      <w:t>www.xqb.cn.com</w:t>
    </w:r>
    <w:r>
      <w:rPr>
        <w:rFonts w:ascii="宋体" w:hAnsi="宋体"/>
        <w:sz w:val="18"/>
        <w:szCs w:val="18"/>
      </w:rPr>
      <w:fldChar w:fldCharType="end"/>
    </w:r>
    <w:r>
      <w:rPr>
        <w:rFonts w:hint="eastAsia" w:ascii="宋体" w:hAnsi="宋体"/>
        <w:sz w:val="18"/>
        <w:szCs w:val="18"/>
      </w:rPr>
      <w:t xml:space="preserve">   邮箱：</w:t>
    </w:r>
    <w:r>
      <w:rPr>
        <w:rFonts w:ascii="宋体" w:hAnsi="宋体"/>
        <w:sz w:val="18"/>
        <w:szCs w:val="18"/>
      </w:rPr>
      <w:fldChar w:fldCharType="begin"/>
    </w:r>
    <w:r>
      <w:rPr>
        <w:rFonts w:ascii="宋体" w:hAnsi="宋体"/>
        <w:sz w:val="18"/>
        <w:szCs w:val="18"/>
      </w:rPr>
      <w:instrText xml:space="preserve"> HYPERLINK "mailto:</w:instrText>
    </w:r>
    <w:r>
      <w:rPr>
        <w:rFonts w:hint="eastAsia" w:ascii="宋体" w:hAnsi="宋体"/>
        <w:sz w:val="18"/>
        <w:szCs w:val="18"/>
      </w:rPr>
      <w:instrText xml:space="preserve">boss@xqb.cn.com</w:instrText>
    </w:r>
    <w:r>
      <w:rPr>
        <w:rFonts w:ascii="宋体" w:hAnsi="宋体"/>
        <w:sz w:val="18"/>
        <w:szCs w:val="18"/>
      </w:rPr>
      <w:instrText xml:space="preserve">" </w:instrText>
    </w:r>
    <w:r>
      <w:rPr>
        <w:rFonts w:ascii="宋体" w:hAnsi="宋体"/>
        <w:sz w:val="18"/>
        <w:szCs w:val="18"/>
      </w:rPr>
      <w:fldChar w:fldCharType="separate"/>
    </w:r>
    <w:r>
      <w:rPr>
        <w:rStyle w:val="7"/>
        <w:rFonts w:hint="eastAsia" w:ascii="宋体" w:hAnsi="宋体"/>
        <w:sz w:val="18"/>
        <w:szCs w:val="18"/>
      </w:rPr>
      <w:t>boss@xqb.cn.com</w:t>
    </w:r>
    <w:r>
      <w:rPr>
        <w:rFonts w:ascii="宋体" w:hAnsi="宋体"/>
        <w:sz w:val="18"/>
        <w:szCs w:val="18"/>
      </w:rPr>
      <w:fldChar w:fldCharType="end"/>
    </w:r>
    <w:r>
      <w:rPr>
        <w:rFonts w:hint="eastAsia" w:ascii="宋体" w:hAnsi="宋体"/>
        <w:sz w:val="18"/>
        <w:szCs w:val="18"/>
      </w:rPr>
      <w:t>　　</w:t>
    </w:r>
    <w:r>
      <w:rPr>
        <w:rFonts w:hint="eastAsia"/>
      </w:rPr>
      <w:t>　               　　　　</w:t>
    </w:r>
    <w:r>
      <w:rPr>
        <w:rFonts w:hint="eastAsia"/>
        <w:lang w:val="en-US" w:eastAsia="zh-CN"/>
      </w:rPr>
      <w:t xml:space="preserve">  </w:t>
    </w:r>
    <w:r>
      <w:rPr>
        <w:rFonts w:hint="eastAsia"/>
      </w:rPr>
      <w:t>　第</w:t>
    </w:r>
    <w:r>
      <w:rPr>
        <w:sz w:val="18"/>
        <w:szCs w:val="18"/>
      </w:rPr>
      <w:fldChar w:fldCharType="begin"/>
    </w:r>
    <w:r>
      <w:rPr>
        <w:rStyle w:val="6"/>
        <w:sz w:val="18"/>
        <w:szCs w:val="18"/>
      </w:rPr>
      <w:instrText xml:space="preserve"> PAGE </w:instrText>
    </w:r>
    <w:r>
      <w:rPr>
        <w:sz w:val="18"/>
        <w:szCs w:val="18"/>
      </w:rPr>
      <w:fldChar w:fldCharType="separate"/>
    </w:r>
    <w:r>
      <w:rPr>
        <w:rStyle w:val="6"/>
        <w:sz w:val="18"/>
        <w:szCs w:val="18"/>
      </w:rPr>
      <w:t>1</w:t>
    </w:r>
    <w:r>
      <w:rPr>
        <w:sz w:val="18"/>
        <w:szCs w:val="18"/>
      </w:rPr>
      <w:fldChar w:fldCharType="end"/>
    </w:r>
    <w:r>
      <w:rPr>
        <w:rStyle w:val="6"/>
        <w:rFonts w:hint="eastAsia"/>
        <w:sz w:val="18"/>
        <w:szCs w:val="18"/>
      </w:rPr>
      <w:t>页  共</w:t>
    </w:r>
    <w:r>
      <w:rPr>
        <w:rStyle w:val="6"/>
        <w:rFonts w:hint="eastAsia"/>
        <w:sz w:val="18"/>
        <w:szCs w:val="18"/>
        <w:lang w:val="en-US" w:eastAsia="zh-CN"/>
      </w:rPr>
      <w:t>23</w:t>
    </w:r>
    <w:r>
      <w:rPr>
        <w:rStyle w:val="6"/>
        <w:rFonts w:hint="eastAsia"/>
        <w:sz w:val="18"/>
        <w:szCs w:val="18"/>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2"/>
      <w:framePr w:wrap="around" w:vAnchor="text" w:hAnchor="margin" w:xAlign="center" w:y="1"/>
      <w:rPr>
        <w:rStyle w:val="6"/>
      </w:rPr>
    </w:pPr>
    <w:r>
      <w:fldChar w:fldCharType="begin"/>
    </w:r>
    <w:r>
      <w:rPr>
        <w:rStyle w:val="6"/>
      </w:rPr>
      <w:instrText xml:space="preserve">PAGE  </w:instrText>
    </w:r>
    <w:r>
      <w:fldChar w:fldCharType="separate"/>
    </w:r>
    <w:r>
      <w:rPr>
        <w:rStyle w:val="6"/>
      </w:rPr>
      <w:t>5</w:t>
    </w:r>
    <w:r>
      <w:fldChar w:fldCharType="end"/>
    </w:r>
  </w:p>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3"/>
      <w:pBdr>
        <w:bottom w:val="none" w:color="auto" w:sz="0" w:space="0"/>
      </w:pBdr>
      <w:rPr>
        <w:rFonts w:hint="eastAsia"/>
      </w:rPr>
    </w:pPr>
  </w:p>
  <w:p>
    <w:pPr>
      <w:rPr>
        <w:rFonts w:hint="eastAsia" w:ascii="宋体" w:hAnsi="宋体"/>
        <w:color w:val="000000"/>
        <w:sz w:val="18"/>
        <w:szCs w:val="18"/>
        <w:u w:val="single"/>
      </w:rPr>
    </w:pPr>
    <w:r>
      <w:rPr>
        <w:rFonts w:hint="eastAsia" w:ascii="宋体" w:hAnsi="宋体"/>
        <w:sz w:val="18"/>
        <w:szCs w:val="18"/>
        <w:u w:val="single"/>
      </w:rPr>
      <w:t>公正　 公平　 公开        　　　　　　　　　　　　　　</w:t>
    </w:r>
    <w:r>
      <w:rPr>
        <w:rFonts w:hint="eastAsia" w:ascii="宋体" w:hAnsi="宋体"/>
        <w:sz w:val="18"/>
        <w:szCs w:val="18"/>
        <w:u w:val="single"/>
        <w:lang w:val="en-US" w:eastAsia="zh-CN"/>
      </w:rPr>
      <w:t xml:space="preserve">                     房地产市场价值</w:t>
    </w:r>
    <w:r>
      <w:rPr>
        <w:rFonts w:hint="eastAsia" w:ascii="宋体" w:hAnsi="宋体"/>
        <w:sz w:val="18"/>
        <w:szCs w:val="18"/>
        <w:u w:val="single"/>
      </w:rPr>
      <w:t>评估报告</w:t>
    </w:r>
  </w:p>
  <w:p>
    <w:pPr>
      <w:widowControl/>
      <w:jc w:val="left"/>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578213565">
    <w:nsid w:val="5E11A0BD"/>
    <w:multiLevelType w:val="singleLevel"/>
    <w:tmpl w:val="5E11A0BD"/>
    <w:lvl w:ilvl="0" w:tentative="1">
      <w:start w:val="1"/>
      <w:numFmt w:val="decimal"/>
      <w:suff w:val="space"/>
      <w:lvlText w:val="%1."/>
      <w:lvlJc w:val="left"/>
    </w:lvl>
  </w:abstractNum>
  <w:num w:numId="1">
    <w:abstractNumId w:val="15782135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U4OGQwYzdjZGU5YTg4ZmU5N2E1ZmFlMTI3YTdhOGYifQ=="/>
  </w:docVars>
  <w:rsids>
    <w:rsidRoot w:val="45D40CBB"/>
    <w:rsid w:val="003056DE"/>
    <w:rsid w:val="00440AFC"/>
    <w:rsid w:val="004C178B"/>
    <w:rsid w:val="01133753"/>
    <w:rsid w:val="02EE1D5F"/>
    <w:rsid w:val="098D7733"/>
    <w:rsid w:val="0B1C1FC9"/>
    <w:rsid w:val="13D61E18"/>
    <w:rsid w:val="19812363"/>
    <w:rsid w:val="2A783D3B"/>
    <w:rsid w:val="2AB925A6"/>
    <w:rsid w:val="2B827A70"/>
    <w:rsid w:val="2C921E2C"/>
    <w:rsid w:val="2E4B2482"/>
    <w:rsid w:val="31BB6926"/>
    <w:rsid w:val="37321E9B"/>
    <w:rsid w:val="40826D65"/>
    <w:rsid w:val="41F56C46"/>
    <w:rsid w:val="452F2C10"/>
    <w:rsid w:val="45D40CBB"/>
    <w:rsid w:val="46EE3AEB"/>
    <w:rsid w:val="4BB949C8"/>
    <w:rsid w:val="4C2B469B"/>
    <w:rsid w:val="530733C6"/>
    <w:rsid w:val="55E4044D"/>
    <w:rsid w:val="59D4711B"/>
    <w:rsid w:val="5ABF5F70"/>
    <w:rsid w:val="5BA23FE5"/>
    <w:rsid w:val="5CE842FC"/>
    <w:rsid w:val="60A4759A"/>
    <w:rsid w:val="640721AA"/>
    <w:rsid w:val="664C6BD5"/>
    <w:rsid w:val="66965CDC"/>
    <w:rsid w:val="6D7F11A6"/>
    <w:rsid w:val="7B756C9A"/>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character" w:styleId="6">
    <w:name w:val="page number"/>
    <w:basedOn w:val="5"/>
    <w:qFormat/>
    <w:uiPriority w:val="0"/>
    <w:rPr>
      <w:rFonts w:ascii="Times New Roman" w:hAnsi="Times New Roman" w:eastAsia="宋体" w:cs="Times New Roman"/>
    </w:rPr>
  </w:style>
  <w:style w:type="character" w:styleId="7">
    <w:name w:val="Hyperlink"/>
    <w:basedOn w:val="5"/>
    <w:qFormat/>
    <w:uiPriority w:val="0"/>
    <w:rPr>
      <w:rFonts w:ascii="Times New Roman" w:hAnsi="Times New Roman" w:eastAsia="宋体" w:cs="Times New Roman"/>
      <w:color w:val="0000FF"/>
      <w:u w:val="single"/>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0">
    <w:name w:val="List Paragraph"/>
    <w:basedOn w:val="1"/>
    <w:qFormat/>
    <w:uiPriority w:val="34"/>
    <w:pPr>
      <w:ind w:firstLine="420" w:firstLineChars="200"/>
    </w:pPr>
  </w:style>
  <w:style w:type="character" w:customStyle="1" w:styleId="11">
    <w:name w:val="apple-converted-space"/>
    <w:basedOn w:val="5"/>
    <w:qFormat/>
    <w:uiPriority w:val="0"/>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1.tiff"/><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8487</Words>
  <Characters>10642</Characters>
  <Lines>0</Lines>
  <Paragraphs>0</Paragraphs>
  <ScaleCrop>false</ScaleCrop>
  <LinksUpToDate>false</LinksUpToDate>
  <CharactersWithSpaces>11316</CharactersWithSpaces>
  <Application>WPS Office_10.8.0.5391_F1E327BC-269C-435d-A152-05C5408002CA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2022-08-16T07:14:00Z</dcterms:created>
  <dc:creator>Administrator</dc:creator>
  <cp:lastModifiedBy>Administrator</cp:lastModifiedBy>
  <dcterms:modified xsi:type="dcterms:W3CDTF">2022-08-23T08:30:59Z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2052-10.8.0.5391</vt:lpwstr>
  </property>
  <property fmtid="{D5CDD505-2E9C-101B-9397-08002B2CF9AE}" pid="3" name="ICV">
    <vt:lpwstr>3B3AAEE131064CDEBAE31D5A43930646</vt:lpwstr>
  </property>
</Properties>
</file>