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隶书" w:eastAsia="隶书"/>
          <w:b/>
          <w:color w:val="000080"/>
        </w:rPr>
      </w:pPr>
    </w:p>
    <w:p>
      <w:pPr>
        <w:spacing w:line="0" w:lineRule="atLeast"/>
        <w:rPr>
          <w:rFonts w:ascii="隶书" w:eastAsia="隶书"/>
          <w:b/>
          <w:color w:val="000080"/>
        </w:rPr>
      </w:pPr>
    </w:p>
    <w:p>
      <w:pPr>
        <w:jc w:val="center"/>
        <w:rPr>
          <w:rFonts w:ascii="隶书" w:eastAsia="隶书"/>
          <w:b/>
          <w:sz w:val="52"/>
        </w:rPr>
      </w:pPr>
      <w:r>
        <w:rPr>
          <w:rFonts w:hint="eastAsia" w:ascii="隶书" w:eastAsia="隶书"/>
          <w:b/>
          <w:sz w:val="52"/>
        </w:rPr>
        <w:t>资</w:t>
      </w:r>
      <w:r>
        <w:rPr>
          <w:rFonts w:ascii="隶书" w:eastAsia="隶书"/>
          <w:b/>
          <w:sz w:val="52"/>
        </w:rPr>
        <w:t xml:space="preserve"> </w:t>
      </w:r>
      <w:r>
        <w:rPr>
          <w:rFonts w:hint="eastAsia" w:ascii="隶书" w:eastAsia="隶书"/>
          <w:b/>
          <w:sz w:val="52"/>
        </w:rPr>
        <w:t>产</w:t>
      </w:r>
      <w:r>
        <w:rPr>
          <w:rFonts w:ascii="隶书" w:eastAsia="隶书"/>
          <w:b/>
          <w:sz w:val="52"/>
        </w:rPr>
        <w:t xml:space="preserve"> </w:t>
      </w:r>
      <w:r>
        <w:rPr>
          <w:rFonts w:hint="eastAsia" w:ascii="隶书" w:eastAsia="隶书"/>
          <w:b/>
          <w:sz w:val="52"/>
        </w:rPr>
        <w:t>评</w:t>
      </w:r>
      <w:r>
        <w:rPr>
          <w:rFonts w:ascii="隶书" w:eastAsia="隶书"/>
          <w:b/>
          <w:sz w:val="52"/>
        </w:rPr>
        <w:t xml:space="preserve"> </w:t>
      </w:r>
      <w:r>
        <w:rPr>
          <w:rFonts w:hint="eastAsia" w:ascii="隶书" w:eastAsia="隶书"/>
          <w:b/>
          <w:sz w:val="52"/>
        </w:rPr>
        <w:t>估</w:t>
      </w:r>
      <w:r>
        <w:rPr>
          <w:rFonts w:ascii="隶书" w:eastAsia="隶书"/>
          <w:b/>
          <w:sz w:val="52"/>
        </w:rPr>
        <w:t xml:space="preserve"> </w:t>
      </w:r>
      <w:r>
        <w:rPr>
          <w:rFonts w:hint="eastAsia" w:ascii="隶书" w:eastAsia="隶书"/>
          <w:b/>
          <w:sz w:val="52"/>
        </w:rPr>
        <w:t>报</w:t>
      </w:r>
      <w:r>
        <w:rPr>
          <w:rFonts w:ascii="隶书" w:eastAsia="隶书"/>
          <w:b/>
          <w:sz w:val="52"/>
        </w:rPr>
        <w:t xml:space="preserve"> </w:t>
      </w:r>
      <w:r>
        <w:rPr>
          <w:rFonts w:hint="eastAsia" w:ascii="隶书" w:eastAsia="隶书"/>
          <w:b/>
          <w:sz w:val="52"/>
        </w:rPr>
        <w:t>告</w:t>
      </w:r>
      <w:r>
        <w:rPr>
          <w:rFonts w:ascii="隶书" w:eastAsia="隶书"/>
          <w:b/>
          <w:sz w:val="52"/>
        </w:rPr>
        <w:t xml:space="preserve"> </w:t>
      </w:r>
      <w:r>
        <w:rPr>
          <w:rFonts w:hint="eastAsia" w:ascii="隶书" w:eastAsia="隶书"/>
          <w:b/>
          <w:sz w:val="52"/>
        </w:rPr>
        <w:t>书</w:t>
      </w:r>
    </w:p>
    <w:p>
      <w:pPr>
        <w:pStyle w:val="19"/>
        <w:jc w:val="center"/>
        <w:rPr>
          <w:rFonts w:ascii="Times New Roman" w:hAnsi="Times New Roman"/>
          <w:b/>
          <w:color w:val="333399"/>
        </w:rPr>
      </w:pPr>
      <w:bookmarkStart w:id="0" w:name="_Toc488637980"/>
      <w:bookmarkStart w:id="1" w:name="_Toc488804777"/>
      <w:r>
        <w:rPr>
          <w:rFonts w:ascii="Times New Roman" w:hAnsi="Times New Roman"/>
          <w:b/>
          <w:sz w:val="28"/>
        </w:rPr>
        <w:pict>
          <v:line id="_x0000_s2050" o:spid="_x0000_s2050" o:spt="20" style="position:absolute;left:0pt;margin-left:20.95pt;margin-top:43.55pt;height:0pt;width:367.5pt;mso-wrap-distance-bottom:0pt;mso-wrap-distance-top:0pt;z-index:251659264;mso-width-relative:page;mso-height-relative:page;" coordsize="21600,21600">
            <v:path arrowok="t"/>
            <v:fill focussize="0,0"/>
            <v:stroke weight="4.5pt" linestyle="thinThick"/>
            <v:imagedata o:title=""/>
            <o:lock v:ext="edit"/>
            <w10:wrap type="topAndBottom"/>
          </v:line>
        </w:pict>
      </w:r>
      <w:r>
        <w:rPr>
          <w:rFonts w:ascii="Times New Roman" w:hAnsi="Times New Roman"/>
          <w:b/>
          <w:sz w:val="28"/>
        </w:rPr>
        <w:t xml:space="preserve">Assets  Appraisal  </w:t>
      </w:r>
      <w:bookmarkEnd w:id="0"/>
      <w:r>
        <w:rPr>
          <w:rFonts w:ascii="Times New Roman" w:hAnsi="Times New Roman"/>
          <w:b/>
          <w:sz w:val="28"/>
        </w:rPr>
        <w:t>Report</w:t>
      </w:r>
      <w:bookmarkEnd w:id="1"/>
    </w:p>
    <w:p>
      <w:pPr>
        <w:jc w:val="center"/>
        <w:rPr>
          <w:rFonts w:ascii="黑体" w:eastAsia="黑体"/>
          <w:b/>
          <w:sz w:val="18"/>
        </w:rPr>
      </w:pPr>
    </w:p>
    <w:p>
      <w:pPr>
        <w:spacing w:line="360" w:lineRule="auto"/>
        <w:jc w:val="center"/>
        <w:rPr>
          <w:rFonts w:ascii="黑体" w:eastAsia="黑体"/>
          <w:b/>
          <w:sz w:val="40"/>
          <w:szCs w:val="22"/>
        </w:rPr>
      </w:pPr>
      <w:r>
        <w:rPr>
          <w:rFonts w:hint="eastAsia" w:ascii="黑体" w:eastAsia="黑体"/>
          <w:b/>
          <w:sz w:val="40"/>
          <w:szCs w:val="22"/>
        </w:rPr>
        <w:t>湖北省应城市人民法院</w:t>
      </w:r>
    </w:p>
    <w:p>
      <w:pPr>
        <w:spacing w:line="360" w:lineRule="auto"/>
        <w:jc w:val="center"/>
        <w:rPr>
          <w:rFonts w:ascii="黑体" w:eastAsia="黑体"/>
          <w:b/>
          <w:sz w:val="40"/>
          <w:szCs w:val="22"/>
        </w:rPr>
      </w:pPr>
      <w:r>
        <w:rPr>
          <w:rFonts w:hint="eastAsia" w:ascii="黑体" w:eastAsia="黑体"/>
          <w:b/>
          <w:sz w:val="40"/>
          <w:szCs w:val="22"/>
        </w:rPr>
        <w:t>拟执行资产处置所涉及的</w:t>
      </w:r>
    </w:p>
    <w:p>
      <w:pPr>
        <w:spacing w:line="360" w:lineRule="auto"/>
        <w:jc w:val="center"/>
        <w:rPr>
          <w:rFonts w:ascii="黑体" w:eastAsia="黑体"/>
          <w:b/>
          <w:sz w:val="40"/>
          <w:szCs w:val="22"/>
        </w:rPr>
      </w:pPr>
      <w:r>
        <w:rPr>
          <w:rFonts w:hint="eastAsia" w:ascii="黑体" w:eastAsia="黑体"/>
          <w:b/>
          <w:sz w:val="40"/>
          <w:szCs w:val="22"/>
        </w:rPr>
        <w:t>湖北妙焱置业有限公司所属的</w:t>
      </w:r>
    </w:p>
    <w:p>
      <w:pPr>
        <w:spacing w:line="360" w:lineRule="auto"/>
        <w:jc w:val="center"/>
        <w:rPr>
          <w:rFonts w:ascii="黑体" w:eastAsia="黑体"/>
          <w:b/>
          <w:sz w:val="40"/>
          <w:szCs w:val="22"/>
        </w:rPr>
      </w:pPr>
      <w:r>
        <w:rPr>
          <w:rFonts w:hint="eastAsia" w:ascii="黑体" w:eastAsia="黑体"/>
          <w:b/>
          <w:sz w:val="40"/>
          <w:szCs w:val="22"/>
        </w:rPr>
        <w:t>湖北省应城市文昌路新缘城1#楼A区1-13轴交A-E轴由西往东1号至5号房地产</w:t>
      </w:r>
    </w:p>
    <w:p>
      <w:pPr>
        <w:spacing w:line="360" w:lineRule="auto"/>
        <w:jc w:val="center"/>
        <w:rPr>
          <w:rFonts w:ascii="黑体" w:eastAsia="黑体"/>
          <w:b/>
          <w:sz w:val="40"/>
          <w:szCs w:val="22"/>
        </w:rPr>
      </w:pPr>
      <w:r>
        <w:rPr>
          <w:rFonts w:hint="eastAsia" w:ascii="黑体" w:eastAsia="黑体"/>
          <w:b/>
          <w:sz w:val="40"/>
          <w:szCs w:val="22"/>
        </w:rPr>
        <w:t>资产评估报告</w:t>
      </w:r>
    </w:p>
    <w:p>
      <w:pPr>
        <w:spacing w:line="360" w:lineRule="auto"/>
        <w:jc w:val="center"/>
        <w:rPr>
          <w:rFonts w:ascii="隶书" w:hAnsi="Arial Black" w:eastAsia="隶书"/>
          <w:b/>
          <w:sz w:val="24"/>
        </w:rPr>
      </w:pPr>
      <w:r>
        <w:rPr>
          <w:rFonts w:hint="eastAsia" w:ascii="隶书" w:hAnsi="Arial Black" w:eastAsia="隶书"/>
          <w:b/>
          <w:sz w:val="24"/>
        </w:rPr>
        <w:t>通达旺价估（202</w:t>
      </w:r>
      <w:r>
        <w:rPr>
          <w:rFonts w:ascii="隶书" w:hAnsi="Arial Black" w:eastAsia="隶书"/>
          <w:b/>
          <w:sz w:val="24"/>
        </w:rPr>
        <w:t>2</w:t>
      </w:r>
      <w:r>
        <w:rPr>
          <w:rFonts w:hint="eastAsia" w:ascii="隶书" w:hAnsi="Arial Black" w:eastAsia="隶书"/>
          <w:b/>
          <w:sz w:val="24"/>
        </w:rPr>
        <w:t>）</w:t>
      </w:r>
      <w:r>
        <w:rPr>
          <w:rFonts w:hint="eastAsia" w:ascii="隶书" w:hAnsi="Arial Black" w:eastAsia="隶书"/>
          <w:b/>
          <w:sz w:val="24"/>
          <w:highlight w:val="none"/>
        </w:rPr>
        <w:t>70</w:t>
      </w:r>
      <w:r>
        <w:rPr>
          <w:rFonts w:hint="eastAsia" w:ascii="隶书" w:hAnsi="Arial Black" w:eastAsia="隶书"/>
          <w:b/>
          <w:sz w:val="24"/>
          <w:highlight w:val="none"/>
          <w:lang w:val="en-US" w:eastAsia="zh-CN"/>
        </w:rPr>
        <w:t>66</w:t>
      </w:r>
      <w:r>
        <w:rPr>
          <w:rFonts w:hint="eastAsia" w:ascii="隶书" w:hAnsi="Arial Black" w:eastAsia="隶书"/>
          <w:b/>
          <w:sz w:val="24"/>
        </w:rPr>
        <w:t>号</w:t>
      </w:r>
    </w:p>
    <w:p>
      <w:pPr>
        <w:spacing w:line="360" w:lineRule="auto"/>
        <w:jc w:val="center"/>
        <w:rPr>
          <w:rFonts w:ascii="Arial Black" w:hAnsi="Arial Black"/>
          <w:sz w:val="24"/>
        </w:rPr>
      </w:pPr>
      <w:r>
        <w:rPr>
          <w:rFonts w:hint="eastAsia" w:ascii="隶书" w:hAnsi="Arial Black" w:eastAsia="隶书"/>
          <w:b/>
          <w:sz w:val="24"/>
        </w:rPr>
        <w:t>资产评估报告日:  二〇二二年六月一日</w:t>
      </w:r>
    </w:p>
    <w:p>
      <w:pPr>
        <w:spacing w:before="240"/>
        <w:jc w:val="center"/>
        <w:rPr>
          <w:rFonts w:ascii="隶书" w:hAnsi="Arial Black" w:eastAsia="隶书"/>
          <w:b/>
          <w:sz w:val="24"/>
        </w:rPr>
      </w:pPr>
      <w:r>
        <w:rPr>
          <w:rFonts w:hint="eastAsia" w:ascii="隶书" w:hAnsi="Arial Black" w:eastAsia="隶书"/>
          <w:b/>
          <w:sz w:val="24"/>
        </w:rPr>
        <w:t>（共1册，第1册）</w:t>
      </w:r>
    </w:p>
    <w:p>
      <w:pPr>
        <w:spacing w:line="360" w:lineRule="auto"/>
        <w:jc w:val="center"/>
        <w:rPr>
          <w:rFonts w:eastAsia="方正中楷繁体"/>
          <w:b/>
          <w:sz w:val="24"/>
        </w:rPr>
      </w:pPr>
    </w:p>
    <w:p>
      <w:pPr>
        <w:spacing w:line="360" w:lineRule="auto"/>
        <w:jc w:val="center"/>
        <w:rPr>
          <w:rFonts w:ascii="Arial Black" w:hAnsi="Arial Black"/>
        </w:rPr>
      </w:pPr>
    </w:p>
    <w:p>
      <w:pPr>
        <w:jc w:val="center"/>
        <w:rPr>
          <w:rFonts w:ascii="Arial Black" w:hAnsi="Arial Black"/>
        </w:rPr>
      </w:pPr>
    </w:p>
    <w:p>
      <w:pPr>
        <w:jc w:val="center"/>
        <w:rPr>
          <w:rFonts w:ascii="Arial Black" w:hAnsi="Arial Black"/>
        </w:rPr>
      </w:pPr>
    </w:p>
    <w:p>
      <w:pPr>
        <w:jc w:val="center"/>
        <w:rPr>
          <w:rFonts w:ascii="Arial Black" w:hAnsi="Arial Black"/>
        </w:rPr>
      </w:pPr>
    </w:p>
    <w:p>
      <w:pPr>
        <w:spacing w:after="312" w:line="0" w:lineRule="atLeast"/>
        <w:jc w:val="both"/>
        <w:rPr>
          <w:rFonts w:ascii="仿宋_GB2312" w:hAnsi="Arial Black"/>
          <w:b/>
          <w:color w:val="000080"/>
        </w:rPr>
      </w:pPr>
    </w:p>
    <w:p>
      <w:pPr>
        <w:tabs>
          <w:tab w:val="left" w:pos="720"/>
          <w:tab w:val="left" w:pos="3240"/>
          <w:tab w:val="left" w:pos="4500"/>
        </w:tabs>
        <w:spacing w:line="360" w:lineRule="auto"/>
        <w:ind w:left="1"/>
        <w:jc w:val="center"/>
        <w:rPr>
          <w:rFonts w:ascii="楷体_GB2312" w:hAnsi="宋体" w:eastAsia="楷体_GB2312"/>
          <w:b/>
          <w:bCs/>
          <w:sz w:val="28"/>
        </w:rPr>
      </w:pPr>
      <w:r>
        <w:rPr>
          <w:rFonts w:hint="eastAsia" w:ascii="楷体_GB2312" w:hAnsi="宋体" w:eastAsia="楷体_GB2312"/>
          <w:b/>
          <w:bCs/>
          <w:sz w:val="28"/>
        </w:rPr>
        <w:t xml:space="preserve">  湖北通达旺房地产资产评估有限公司</w:t>
      </w:r>
    </w:p>
    <w:p>
      <w:pPr>
        <w:pStyle w:val="34"/>
        <w:jc w:val="center"/>
        <w:rPr>
          <w:rFonts w:ascii="隶书" w:eastAsia="隶书"/>
          <w:sz w:val="21"/>
          <w:szCs w:val="21"/>
        </w:rPr>
      </w:pPr>
      <w:r>
        <w:rPr>
          <w:rFonts w:hint="eastAsia" w:ascii="隶书" w:eastAsia="隶书"/>
          <w:sz w:val="21"/>
          <w:szCs w:val="21"/>
        </w:rPr>
        <w:t>HUBEI TONGDAWANG PRICE APPRAISAL CO,.LDT</w:t>
      </w:r>
    </w:p>
    <w:p>
      <w:pPr>
        <w:pStyle w:val="34"/>
        <w:spacing w:before="240"/>
        <w:jc w:val="center"/>
        <w:rPr>
          <w:rFonts w:ascii="隶书" w:eastAsia="隶书"/>
          <w:sz w:val="21"/>
          <w:szCs w:val="21"/>
        </w:rPr>
      </w:pPr>
      <w:r>
        <w:rPr>
          <w:rFonts w:hint="eastAsia" w:ascii="隶书" w:eastAsia="隶书"/>
          <w:sz w:val="21"/>
          <w:szCs w:val="21"/>
        </w:rPr>
        <w:t>TEL：18672956955               E-MAIL:739042010@qq.com</w:t>
      </w:r>
    </w:p>
    <w:p>
      <w:pPr>
        <w:jc w:val="center"/>
        <w:rPr>
          <w:rFonts w:ascii="楷体_GB2312" w:hAnsi="宋体" w:eastAsia="楷体_GB2312"/>
          <w:b/>
          <w:bCs/>
          <w:sz w:val="24"/>
        </w:rPr>
      </w:pPr>
    </w:p>
    <w:p>
      <w:pPr>
        <w:jc w:val="center"/>
        <w:rPr>
          <w:rFonts w:ascii="楷体_GB2312" w:hAnsi="宋体" w:eastAsia="楷体_GB2312"/>
          <w:bCs/>
          <w:sz w:val="24"/>
        </w:rPr>
      </w:pPr>
      <w:r>
        <w:rPr>
          <w:rFonts w:hint="eastAsia" w:ascii="楷体_GB2312" w:hAnsi="宋体" w:eastAsia="楷体_GB2312"/>
          <w:bCs/>
          <w:sz w:val="24"/>
        </w:rPr>
        <w:t>ADD：孝感市长征路体苑小区2-301室</w:t>
      </w:r>
    </w:p>
    <w:p>
      <w:pPr>
        <w:spacing w:line="360" w:lineRule="auto"/>
        <w:jc w:val="center"/>
        <w:rPr>
          <w:rFonts w:eastAsia="方正美黑简体"/>
          <w:b/>
          <w:bCs/>
          <w:sz w:val="32"/>
        </w:rPr>
      </w:pPr>
    </w:p>
    <w:p>
      <w:pPr>
        <w:spacing w:line="360" w:lineRule="auto"/>
        <w:jc w:val="center"/>
        <w:rPr>
          <w:rFonts w:eastAsia="方正美黑简体"/>
          <w:b/>
          <w:bCs/>
          <w:sz w:val="32"/>
        </w:rPr>
      </w:pPr>
    </w:p>
    <w:p>
      <w:pPr>
        <w:spacing w:line="360" w:lineRule="auto"/>
        <w:jc w:val="center"/>
        <w:rPr>
          <w:rFonts w:eastAsia="方正美黑简体"/>
          <w:b/>
          <w:sz w:val="44"/>
        </w:rPr>
      </w:pPr>
      <w:r>
        <w:rPr>
          <w:rFonts w:hint="eastAsia" w:eastAsia="方正美黑简体"/>
          <w:b/>
          <w:sz w:val="44"/>
        </w:rPr>
        <w:t>目     录</w:t>
      </w:r>
    </w:p>
    <w:p>
      <w:pPr>
        <w:spacing w:line="360" w:lineRule="auto"/>
        <w:jc w:val="center"/>
        <w:rPr>
          <w:rFonts w:eastAsia="方正美黑简体"/>
          <w:b/>
          <w:sz w:val="44"/>
        </w:rPr>
      </w:pPr>
    </w:p>
    <w:p>
      <w:pPr>
        <w:pStyle w:val="18"/>
        <w:rPr>
          <w:rFonts w:asciiTheme="minorHAnsi" w:hAnsiTheme="minorHAnsi" w:eastAsiaTheme="minorEastAsia" w:cstheme="minorBidi"/>
          <w:b w:val="0"/>
          <w:bCs/>
          <w:kern w:val="2"/>
          <w:sz w:val="21"/>
          <w:szCs w:val="22"/>
        </w:rPr>
      </w:pPr>
      <w:r>
        <w:rPr>
          <w:b w:val="0"/>
          <w:bCs/>
        </w:rPr>
        <w:fldChar w:fldCharType="begin"/>
      </w:r>
      <w:r>
        <w:rPr>
          <w:b w:val="0"/>
          <w:bCs/>
        </w:rPr>
        <w:instrText xml:space="preserve"> TOC \o "1-3" \h \z \u </w:instrText>
      </w:r>
      <w:r>
        <w:rPr>
          <w:b w:val="0"/>
          <w:bCs/>
        </w:rPr>
        <w:fldChar w:fldCharType="separate"/>
      </w:r>
      <w:r>
        <w:fldChar w:fldCharType="begin"/>
      </w:r>
      <w:r>
        <w:instrText xml:space="preserve"> HYPERLINK \l "_Toc104836916" </w:instrText>
      </w:r>
      <w:r>
        <w:fldChar w:fldCharType="separate"/>
      </w:r>
      <w:r>
        <w:rPr>
          <w:rStyle w:val="29"/>
          <w:b w:val="0"/>
          <w:bCs/>
        </w:rPr>
        <w:t>声   明</w:t>
      </w:r>
      <w:r>
        <w:rPr>
          <w:b w:val="0"/>
          <w:bCs/>
        </w:rPr>
        <w:tab/>
      </w:r>
      <w:r>
        <w:rPr>
          <w:b w:val="0"/>
          <w:bCs/>
        </w:rPr>
        <w:fldChar w:fldCharType="begin"/>
      </w:r>
      <w:r>
        <w:rPr>
          <w:b w:val="0"/>
          <w:bCs/>
        </w:rPr>
        <w:instrText xml:space="preserve"> PAGEREF _Toc104836916 \h </w:instrText>
      </w:r>
      <w:r>
        <w:rPr>
          <w:b w:val="0"/>
          <w:bCs/>
        </w:rPr>
        <w:fldChar w:fldCharType="separate"/>
      </w:r>
      <w:r>
        <w:rPr>
          <w:b w:val="0"/>
          <w:bCs/>
        </w:rPr>
        <w:t>2</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"_Toc104836917" </w:instrText>
      </w:r>
      <w:r>
        <w:fldChar w:fldCharType="separate"/>
      </w:r>
      <w:r>
        <w:rPr>
          <w:rStyle w:val="29"/>
          <w:b w:val="0"/>
          <w:bCs/>
        </w:rPr>
        <w:t>摘    要</w:t>
      </w:r>
      <w:r>
        <w:rPr>
          <w:b w:val="0"/>
          <w:bCs/>
        </w:rPr>
        <w:tab/>
      </w:r>
      <w:r>
        <w:rPr>
          <w:b w:val="0"/>
          <w:bCs/>
        </w:rPr>
        <w:fldChar w:fldCharType="begin"/>
      </w:r>
      <w:r>
        <w:rPr>
          <w:b w:val="0"/>
          <w:bCs/>
        </w:rPr>
        <w:instrText xml:space="preserve"> PAGEREF _Toc104836917 \h </w:instrText>
      </w:r>
      <w:r>
        <w:rPr>
          <w:b w:val="0"/>
          <w:bCs/>
        </w:rPr>
        <w:fldChar w:fldCharType="separate"/>
      </w:r>
      <w:r>
        <w:rPr>
          <w:b w:val="0"/>
          <w:bCs/>
        </w:rPr>
        <w:t>3</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"_Toc104836918" </w:instrText>
      </w:r>
      <w:r>
        <w:fldChar w:fldCharType="separate"/>
      </w:r>
      <w:r>
        <w:rPr>
          <w:rStyle w:val="29"/>
          <w:b w:val="0"/>
          <w:bCs/>
        </w:rPr>
        <w:t>正  文</w:t>
      </w:r>
      <w:r>
        <w:rPr>
          <w:b w:val="0"/>
          <w:bCs/>
        </w:rPr>
        <w:tab/>
      </w:r>
      <w:r>
        <w:rPr>
          <w:b w:val="0"/>
          <w:bCs/>
        </w:rPr>
        <w:fldChar w:fldCharType="begin"/>
      </w:r>
      <w:r>
        <w:rPr>
          <w:b w:val="0"/>
          <w:bCs/>
        </w:rPr>
        <w:instrText xml:space="preserve"> PAGEREF _Toc104836918 \h </w:instrText>
      </w:r>
      <w:r>
        <w:rPr>
          <w:b w:val="0"/>
          <w:bCs/>
        </w:rPr>
        <w:fldChar w:fldCharType="separate"/>
      </w:r>
      <w:r>
        <w:rPr>
          <w:b w:val="0"/>
          <w:bCs/>
        </w:rPr>
        <w:t>6</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"_Toc104836919" </w:instrText>
      </w:r>
      <w:r>
        <w:fldChar w:fldCharType="separate"/>
      </w:r>
      <w:r>
        <w:rPr>
          <w:rStyle w:val="29"/>
          <w:b w:val="0"/>
          <w:bCs/>
        </w:rPr>
        <w:t>一、委托人及其他资产评估报告使用人</w:t>
      </w:r>
      <w:r>
        <w:rPr>
          <w:b w:val="0"/>
          <w:bCs/>
        </w:rPr>
        <w:tab/>
      </w:r>
      <w:r>
        <w:rPr>
          <w:b w:val="0"/>
          <w:bCs/>
        </w:rPr>
        <w:fldChar w:fldCharType="begin"/>
      </w:r>
      <w:r>
        <w:rPr>
          <w:b w:val="0"/>
          <w:bCs/>
        </w:rPr>
        <w:instrText xml:space="preserve"> PAGEREF _Toc104836919 \h </w:instrText>
      </w:r>
      <w:r>
        <w:rPr>
          <w:b w:val="0"/>
          <w:bCs/>
        </w:rPr>
        <w:fldChar w:fldCharType="separate"/>
      </w:r>
      <w:r>
        <w:rPr>
          <w:b w:val="0"/>
          <w:bCs/>
        </w:rPr>
        <w:t>6</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"_Toc104836920" </w:instrText>
      </w:r>
      <w:r>
        <w:fldChar w:fldCharType="separate"/>
      </w:r>
      <w:r>
        <w:rPr>
          <w:rStyle w:val="29"/>
          <w:b w:val="0"/>
          <w:bCs/>
        </w:rPr>
        <w:t>二、评估目的</w:t>
      </w:r>
      <w:r>
        <w:rPr>
          <w:b w:val="0"/>
          <w:bCs/>
        </w:rPr>
        <w:tab/>
      </w:r>
      <w:r>
        <w:rPr>
          <w:b w:val="0"/>
          <w:bCs/>
        </w:rPr>
        <w:fldChar w:fldCharType="begin"/>
      </w:r>
      <w:r>
        <w:rPr>
          <w:b w:val="0"/>
          <w:bCs/>
        </w:rPr>
        <w:instrText xml:space="preserve"> PAGEREF _Toc104836920 \h </w:instrText>
      </w:r>
      <w:r>
        <w:rPr>
          <w:b w:val="0"/>
          <w:bCs/>
        </w:rPr>
        <w:fldChar w:fldCharType="separate"/>
      </w:r>
      <w:r>
        <w:rPr>
          <w:b w:val="0"/>
          <w:bCs/>
        </w:rPr>
        <w:t>7</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"_Toc104836921" </w:instrText>
      </w:r>
      <w:r>
        <w:fldChar w:fldCharType="separate"/>
      </w:r>
      <w:r>
        <w:rPr>
          <w:rStyle w:val="29"/>
          <w:b w:val="0"/>
          <w:bCs/>
        </w:rPr>
        <w:t>三、评估范围和对象</w:t>
      </w:r>
      <w:r>
        <w:rPr>
          <w:b w:val="0"/>
          <w:bCs/>
        </w:rPr>
        <w:tab/>
      </w:r>
      <w:r>
        <w:rPr>
          <w:b w:val="0"/>
          <w:bCs/>
        </w:rPr>
        <w:fldChar w:fldCharType="begin"/>
      </w:r>
      <w:r>
        <w:rPr>
          <w:b w:val="0"/>
          <w:bCs/>
        </w:rPr>
        <w:instrText xml:space="preserve"> PAGEREF _Toc104836921 \h </w:instrText>
      </w:r>
      <w:r>
        <w:rPr>
          <w:b w:val="0"/>
          <w:bCs/>
        </w:rPr>
        <w:fldChar w:fldCharType="separate"/>
      </w:r>
      <w:r>
        <w:rPr>
          <w:b w:val="0"/>
          <w:bCs/>
        </w:rPr>
        <w:t>7</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"_Toc104836922" </w:instrText>
      </w:r>
      <w:r>
        <w:fldChar w:fldCharType="separate"/>
      </w:r>
      <w:r>
        <w:rPr>
          <w:rStyle w:val="29"/>
          <w:b w:val="0"/>
          <w:bCs/>
        </w:rPr>
        <w:t>四、价值类型及其定义</w:t>
      </w:r>
      <w:r>
        <w:rPr>
          <w:b w:val="0"/>
          <w:bCs/>
        </w:rPr>
        <w:tab/>
      </w:r>
      <w:r>
        <w:rPr>
          <w:b w:val="0"/>
          <w:bCs/>
        </w:rPr>
        <w:fldChar w:fldCharType="begin"/>
      </w:r>
      <w:r>
        <w:rPr>
          <w:b w:val="0"/>
          <w:bCs/>
        </w:rPr>
        <w:instrText xml:space="preserve"> PAGEREF _Toc104836922 \h </w:instrText>
      </w:r>
      <w:r>
        <w:rPr>
          <w:b w:val="0"/>
          <w:bCs/>
        </w:rPr>
        <w:fldChar w:fldCharType="separate"/>
      </w:r>
      <w:r>
        <w:rPr>
          <w:b w:val="0"/>
          <w:bCs/>
        </w:rPr>
        <w:t>9</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"_Toc104836923" </w:instrText>
      </w:r>
      <w:r>
        <w:fldChar w:fldCharType="separate"/>
      </w:r>
      <w:r>
        <w:rPr>
          <w:rStyle w:val="29"/>
          <w:b w:val="0"/>
          <w:bCs/>
        </w:rPr>
        <w:t>五、评估基准日</w:t>
      </w:r>
      <w:r>
        <w:rPr>
          <w:b w:val="0"/>
          <w:bCs/>
        </w:rPr>
        <w:tab/>
      </w:r>
      <w:r>
        <w:rPr>
          <w:b w:val="0"/>
          <w:bCs/>
        </w:rPr>
        <w:fldChar w:fldCharType="begin"/>
      </w:r>
      <w:r>
        <w:rPr>
          <w:b w:val="0"/>
          <w:bCs/>
        </w:rPr>
        <w:instrText xml:space="preserve"> PAGEREF _Toc104836923 \h </w:instrText>
      </w:r>
      <w:r>
        <w:rPr>
          <w:b w:val="0"/>
          <w:bCs/>
        </w:rPr>
        <w:fldChar w:fldCharType="separate"/>
      </w:r>
      <w:r>
        <w:rPr>
          <w:b w:val="0"/>
          <w:bCs/>
        </w:rPr>
        <w:t>9</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"_Toc104836924" </w:instrText>
      </w:r>
      <w:r>
        <w:fldChar w:fldCharType="separate"/>
      </w:r>
      <w:r>
        <w:rPr>
          <w:rStyle w:val="29"/>
          <w:b w:val="0"/>
          <w:bCs/>
        </w:rPr>
        <w:t>六、评估依据</w:t>
      </w:r>
      <w:r>
        <w:rPr>
          <w:b w:val="0"/>
          <w:bCs/>
        </w:rPr>
        <w:tab/>
      </w:r>
      <w:r>
        <w:rPr>
          <w:b w:val="0"/>
          <w:bCs/>
        </w:rPr>
        <w:fldChar w:fldCharType="begin"/>
      </w:r>
      <w:r>
        <w:rPr>
          <w:b w:val="0"/>
          <w:bCs/>
        </w:rPr>
        <w:instrText xml:space="preserve"> PAGEREF _Toc104836924 \h </w:instrText>
      </w:r>
      <w:r>
        <w:rPr>
          <w:b w:val="0"/>
          <w:bCs/>
        </w:rPr>
        <w:fldChar w:fldCharType="separate"/>
      </w:r>
      <w:r>
        <w:rPr>
          <w:b w:val="0"/>
          <w:bCs/>
        </w:rPr>
        <w:t>10</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"_Toc104836925" </w:instrText>
      </w:r>
      <w:r>
        <w:fldChar w:fldCharType="separate"/>
      </w:r>
      <w:r>
        <w:rPr>
          <w:rStyle w:val="29"/>
          <w:b w:val="0"/>
          <w:bCs/>
        </w:rPr>
        <w:t>七、评估方法</w:t>
      </w:r>
      <w:r>
        <w:rPr>
          <w:b w:val="0"/>
          <w:bCs/>
        </w:rPr>
        <w:tab/>
      </w:r>
      <w:r>
        <w:rPr>
          <w:b w:val="0"/>
          <w:bCs/>
        </w:rPr>
        <w:fldChar w:fldCharType="begin"/>
      </w:r>
      <w:r>
        <w:rPr>
          <w:b w:val="0"/>
          <w:bCs/>
        </w:rPr>
        <w:instrText xml:space="preserve"> PAGEREF _Toc104836925 \h </w:instrText>
      </w:r>
      <w:r>
        <w:rPr>
          <w:b w:val="0"/>
          <w:bCs/>
        </w:rPr>
        <w:fldChar w:fldCharType="separate"/>
      </w:r>
      <w:r>
        <w:rPr>
          <w:b w:val="0"/>
          <w:bCs/>
        </w:rPr>
        <w:t>11</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"_Toc104836926" </w:instrText>
      </w:r>
      <w:r>
        <w:fldChar w:fldCharType="separate"/>
      </w:r>
      <w:r>
        <w:rPr>
          <w:rStyle w:val="29"/>
          <w:b w:val="0"/>
          <w:bCs/>
        </w:rPr>
        <w:t>八、评估程序实施过程和情况</w:t>
      </w:r>
      <w:r>
        <w:rPr>
          <w:b w:val="0"/>
          <w:bCs/>
        </w:rPr>
        <w:tab/>
      </w:r>
      <w:r>
        <w:rPr>
          <w:b w:val="0"/>
          <w:bCs/>
        </w:rPr>
        <w:fldChar w:fldCharType="begin"/>
      </w:r>
      <w:r>
        <w:rPr>
          <w:b w:val="0"/>
          <w:bCs/>
        </w:rPr>
        <w:instrText xml:space="preserve"> PAGEREF _Toc104836926 \h </w:instrText>
      </w:r>
      <w:r>
        <w:rPr>
          <w:b w:val="0"/>
          <w:bCs/>
        </w:rPr>
        <w:fldChar w:fldCharType="separate"/>
      </w:r>
      <w:r>
        <w:rPr>
          <w:b w:val="0"/>
          <w:bCs/>
        </w:rPr>
        <w:t>14</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"_Toc104836927" </w:instrText>
      </w:r>
      <w:r>
        <w:fldChar w:fldCharType="separate"/>
      </w:r>
      <w:r>
        <w:rPr>
          <w:rStyle w:val="29"/>
          <w:b w:val="0"/>
          <w:bCs/>
        </w:rPr>
        <w:t>九、评估假设</w:t>
      </w:r>
      <w:r>
        <w:rPr>
          <w:b w:val="0"/>
          <w:bCs/>
        </w:rPr>
        <w:tab/>
      </w:r>
      <w:r>
        <w:rPr>
          <w:b w:val="0"/>
          <w:bCs/>
        </w:rPr>
        <w:fldChar w:fldCharType="begin"/>
      </w:r>
      <w:r>
        <w:rPr>
          <w:b w:val="0"/>
          <w:bCs/>
        </w:rPr>
        <w:instrText xml:space="preserve"> PAGEREF _Toc104836927 \h </w:instrText>
      </w:r>
      <w:r>
        <w:rPr>
          <w:b w:val="0"/>
          <w:bCs/>
        </w:rPr>
        <w:fldChar w:fldCharType="separate"/>
      </w:r>
      <w:r>
        <w:rPr>
          <w:b w:val="0"/>
          <w:bCs/>
        </w:rPr>
        <w:t>16</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"_Toc104836928" </w:instrText>
      </w:r>
      <w:r>
        <w:fldChar w:fldCharType="separate"/>
      </w:r>
      <w:r>
        <w:rPr>
          <w:rStyle w:val="29"/>
          <w:b w:val="0"/>
          <w:bCs/>
        </w:rPr>
        <w:t>十、评估结论</w:t>
      </w:r>
      <w:r>
        <w:rPr>
          <w:b w:val="0"/>
          <w:bCs/>
        </w:rPr>
        <w:tab/>
      </w:r>
      <w:r>
        <w:rPr>
          <w:b w:val="0"/>
          <w:bCs/>
        </w:rPr>
        <w:fldChar w:fldCharType="begin"/>
      </w:r>
      <w:r>
        <w:rPr>
          <w:b w:val="0"/>
          <w:bCs/>
        </w:rPr>
        <w:instrText xml:space="preserve"> PAGEREF _Toc104836928 \h </w:instrText>
      </w:r>
      <w:r>
        <w:rPr>
          <w:b w:val="0"/>
          <w:bCs/>
        </w:rPr>
        <w:fldChar w:fldCharType="separate"/>
      </w:r>
      <w:r>
        <w:rPr>
          <w:b w:val="0"/>
          <w:bCs/>
        </w:rPr>
        <w:t>17</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"_Toc104836929" </w:instrText>
      </w:r>
      <w:r>
        <w:fldChar w:fldCharType="separate"/>
      </w:r>
      <w:r>
        <w:rPr>
          <w:rStyle w:val="29"/>
          <w:b w:val="0"/>
          <w:bCs/>
        </w:rPr>
        <w:t>十一、特别事项说明</w:t>
      </w:r>
      <w:r>
        <w:rPr>
          <w:b w:val="0"/>
          <w:bCs/>
        </w:rPr>
        <w:tab/>
      </w:r>
      <w:r>
        <w:rPr>
          <w:b w:val="0"/>
          <w:bCs/>
        </w:rPr>
        <w:fldChar w:fldCharType="begin"/>
      </w:r>
      <w:r>
        <w:rPr>
          <w:b w:val="0"/>
          <w:bCs/>
        </w:rPr>
        <w:instrText xml:space="preserve"> PAGEREF _Toc104836929 \h </w:instrText>
      </w:r>
      <w:r>
        <w:rPr>
          <w:b w:val="0"/>
          <w:bCs/>
        </w:rPr>
        <w:fldChar w:fldCharType="separate"/>
      </w:r>
      <w:r>
        <w:rPr>
          <w:b w:val="0"/>
          <w:bCs/>
        </w:rPr>
        <w:t>17</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"_Toc104836930" </w:instrText>
      </w:r>
      <w:r>
        <w:fldChar w:fldCharType="separate"/>
      </w:r>
      <w:r>
        <w:rPr>
          <w:rStyle w:val="29"/>
          <w:b w:val="0"/>
          <w:bCs/>
        </w:rPr>
        <w:t>十二、资产评估报告使用限制说明</w:t>
      </w:r>
      <w:r>
        <w:rPr>
          <w:b w:val="0"/>
          <w:bCs/>
        </w:rPr>
        <w:tab/>
      </w:r>
      <w:r>
        <w:rPr>
          <w:b w:val="0"/>
          <w:bCs/>
        </w:rPr>
        <w:fldChar w:fldCharType="begin"/>
      </w:r>
      <w:r>
        <w:rPr>
          <w:b w:val="0"/>
          <w:bCs/>
        </w:rPr>
        <w:instrText xml:space="preserve"> PAGEREF _Toc104836930 \h </w:instrText>
      </w:r>
      <w:r>
        <w:rPr>
          <w:b w:val="0"/>
          <w:bCs/>
        </w:rPr>
        <w:fldChar w:fldCharType="separate"/>
      </w:r>
      <w:r>
        <w:rPr>
          <w:b w:val="0"/>
          <w:bCs/>
        </w:rPr>
        <w:t>18</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"_Toc104836931" </w:instrText>
      </w:r>
      <w:r>
        <w:fldChar w:fldCharType="separate"/>
      </w:r>
      <w:r>
        <w:rPr>
          <w:rStyle w:val="29"/>
          <w:b w:val="0"/>
          <w:bCs/>
        </w:rPr>
        <w:t>十三、资产评估报告日</w:t>
      </w:r>
      <w:r>
        <w:rPr>
          <w:b w:val="0"/>
          <w:bCs/>
        </w:rPr>
        <w:tab/>
      </w:r>
      <w:r>
        <w:rPr>
          <w:b w:val="0"/>
          <w:bCs/>
        </w:rPr>
        <w:fldChar w:fldCharType="begin"/>
      </w:r>
      <w:r>
        <w:rPr>
          <w:b w:val="0"/>
          <w:bCs/>
        </w:rPr>
        <w:instrText xml:space="preserve"> PAGEREF _Toc104836931 \h </w:instrText>
      </w:r>
      <w:r>
        <w:rPr>
          <w:b w:val="0"/>
          <w:bCs/>
        </w:rPr>
        <w:fldChar w:fldCharType="separate"/>
      </w:r>
      <w:r>
        <w:rPr>
          <w:b w:val="0"/>
          <w:bCs/>
        </w:rPr>
        <w:t>19</w:t>
      </w:r>
      <w:r>
        <w:rPr>
          <w:b w:val="0"/>
          <w:bCs/>
        </w:rPr>
        <w:fldChar w:fldCharType="end"/>
      </w:r>
      <w:r>
        <w:rPr>
          <w:b w:val="0"/>
          <w:bCs/>
        </w:rPr>
        <w:fldChar w:fldCharType="end"/>
      </w:r>
    </w:p>
    <w:p>
      <w:pPr>
        <w:pStyle w:val="18"/>
        <w:rPr>
          <w:rFonts w:asciiTheme="minorHAnsi" w:hAnsiTheme="minorHAnsi" w:eastAsiaTheme="minorEastAsia" w:cstheme="minorBidi"/>
          <w:b w:val="0"/>
          <w:bCs/>
          <w:kern w:val="2"/>
          <w:sz w:val="21"/>
          <w:szCs w:val="22"/>
        </w:rPr>
      </w:pPr>
      <w:r>
        <w:fldChar w:fldCharType="begin"/>
      </w:r>
      <w:r>
        <w:instrText xml:space="preserve"> HYPERLINK \l "_Toc104836932" </w:instrText>
      </w:r>
      <w:r>
        <w:fldChar w:fldCharType="separate"/>
      </w:r>
      <w:r>
        <w:rPr>
          <w:rStyle w:val="29"/>
          <w:b w:val="0"/>
          <w:bCs/>
        </w:rPr>
        <w:t>附件</w:t>
      </w:r>
      <w:r>
        <w:rPr>
          <w:b w:val="0"/>
          <w:bCs/>
        </w:rPr>
        <w:tab/>
      </w:r>
      <w:r>
        <w:rPr>
          <w:b w:val="0"/>
          <w:bCs/>
        </w:rPr>
        <w:fldChar w:fldCharType="begin"/>
      </w:r>
      <w:r>
        <w:rPr>
          <w:b w:val="0"/>
          <w:bCs/>
        </w:rPr>
        <w:instrText xml:space="preserve"> PAGEREF _Toc104836932 \h </w:instrText>
      </w:r>
      <w:r>
        <w:rPr>
          <w:b w:val="0"/>
          <w:bCs/>
        </w:rPr>
        <w:fldChar w:fldCharType="separate"/>
      </w:r>
      <w:r>
        <w:rPr>
          <w:b w:val="0"/>
          <w:bCs/>
        </w:rPr>
        <w:t>20</w:t>
      </w:r>
      <w:r>
        <w:rPr>
          <w:b w:val="0"/>
          <w:bCs/>
        </w:rPr>
        <w:fldChar w:fldCharType="end"/>
      </w:r>
      <w:r>
        <w:rPr>
          <w:b w:val="0"/>
          <w:bCs/>
        </w:rPr>
        <w:fldChar w:fldCharType="end"/>
      </w:r>
    </w:p>
    <w:p>
      <w:pPr>
        <w:jc w:val="center"/>
        <w:rPr>
          <w:rFonts w:ascii="楷体_GB2312" w:eastAsia="楷体_GB2312"/>
          <w:sz w:val="28"/>
        </w:rPr>
      </w:pPr>
      <w:r>
        <w:rPr>
          <w:rFonts w:ascii="楷体_GB2312" w:eastAsia="楷体_GB2312"/>
          <w:bCs/>
          <w:kern w:val="0"/>
          <w:sz w:val="28"/>
          <w:szCs w:val="20"/>
        </w:rPr>
        <w:fldChar w:fldCharType="end"/>
      </w:r>
    </w:p>
    <w:p>
      <w:pPr>
        <w:pStyle w:val="21"/>
      </w:pPr>
      <w:bookmarkStart w:id="2" w:name="_Toc104836916"/>
      <w:r>
        <w:rPr>
          <w:rFonts w:hint="eastAsia"/>
        </w:rPr>
        <w:t>声   明</w:t>
      </w:r>
      <w:bookmarkEnd w:id="2"/>
    </w:p>
    <w:p>
      <w:pPr>
        <w:spacing w:line="560" w:lineRule="exact"/>
        <w:ind w:firstLine="560" w:firstLineChars="200"/>
        <w:rPr>
          <w:rFonts w:ascii="黑体" w:hAnsi="黑体" w:eastAsia="黑体" w:cs="Arial"/>
          <w:sz w:val="28"/>
          <w:szCs w:val="28"/>
        </w:rPr>
      </w:pPr>
      <w:r>
        <w:rPr>
          <w:rFonts w:hint="eastAsia" w:ascii="黑体" w:hAnsi="黑体" w:eastAsia="黑体" w:cs="Arial"/>
          <w:sz w:val="28"/>
          <w:szCs w:val="28"/>
        </w:rPr>
        <w:t>一、本资产评估报告依据财政部发布的资产评估基本准则和中国资产评估协会发布的资产评估执业准则和职业道德准则编制。</w:t>
      </w:r>
    </w:p>
    <w:p>
      <w:pPr>
        <w:spacing w:line="560" w:lineRule="exact"/>
        <w:ind w:firstLine="560" w:firstLineChars="200"/>
        <w:rPr>
          <w:rFonts w:ascii="黑体" w:hAnsi="黑体" w:eastAsia="黑体" w:cs="Arial"/>
          <w:sz w:val="28"/>
          <w:szCs w:val="28"/>
        </w:rPr>
      </w:pPr>
      <w:r>
        <w:rPr>
          <w:rFonts w:hint="eastAsia" w:ascii="黑体" w:hAnsi="黑体" w:eastAsia="黑体" w:cs="Arial"/>
          <w:sz w:val="28"/>
          <w:szCs w:val="28"/>
        </w:rPr>
        <w:t>二、委托人或者其他资产评估报告使用人应当按照法律、行政法规规定及本资产评估报告载明的使用范围使用资产评估报告。委托人或者其他资产评估报告使用人违反前述规定使用资产评估报告的，本资产评估机构及资产评估师不承担责任。</w:t>
      </w:r>
    </w:p>
    <w:p>
      <w:pPr>
        <w:spacing w:line="560" w:lineRule="exact"/>
        <w:ind w:firstLine="560" w:firstLineChars="200"/>
        <w:rPr>
          <w:rFonts w:ascii="黑体" w:hAnsi="黑体" w:eastAsia="黑体" w:cs="Arial"/>
          <w:sz w:val="28"/>
          <w:szCs w:val="28"/>
        </w:rPr>
      </w:pPr>
      <w:r>
        <w:rPr>
          <w:rFonts w:hint="eastAsia" w:ascii="黑体" w:hAnsi="黑体" w:eastAsia="黑体" w:cs="Arial"/>
          <w:sz w:val="28"/>
          <w:szCs w:val="28"/>
        </w:rPr>
        <w:t>三、本资产评估报告仅供委托人、资产评估委托合同中约定的其他资产评估报告使用人和法律、行政法规规定的资产评估报告使用人使用，除此之外，其他任何机构和个人不能成为资产评估报告的使用人。</w:t>
      </w:r>
    </w:p>
    <w:p>
      <w:pPr>
        <w:spacing w:line="560" w:lineRule="exact"/>
        <w:ind w:firstLine="560" w:firstLineChars="200"/>
        <w:rPr>
          <w:rFonts w:ascii="黑体" w:hAnsi="黑体" w:eastAsia="黑体" w:cs="Arial"/>
          <w:sz w:val="28"/>
          <w:szCs w:val="28"/>
        </w:rPr>
      </w:pPr>
      <w:r>
        <w:rPr>
          <w:rFonts w:hint="eastAsia" w:ascii="黑体" w:hAnsi="黑体" w:eastAsia="黑体" w:cs="Arial"/>
          <w:sz w:val="28"/>
          <w:szCs w:val="28"/>
        </w:rPr>
        <w:t>四、本资产评估机构及资产评估师提示资产评估报告使用人应当正确理解评估结论，评估结论不等同于评估对象可实现价格，评估结论不应当被认为是对评估对象可实现价格的保证。</w:t>
      </w:r>
    </w:p>
    <w:p>
      <w:pPr>
        <w:spacing w:line="560" w:lineRule="exact"/>
        <w:ind w:firstLine="560" w:firstLineChars="200"/>
        <w:rPr>
          <w:rFonts w:ascii="黑体" w:hAnsi="黑体" w:eastAsia="黑体" w:cs="Arial"/>
          <w:sz w:val="28"/>
          <w:szCs w:val="28"/>
        </w:rPr>
      </w:pPr>
      <w:r>
        <w:rPr>
          <w:rFonts w:hint="eastAsia" w:ascii="黑体" w:hAnsi="黑体" w:eastAsia="黑体" w:cs="Arial"/>
          <w:sz w:val="28"/>
          <w:szCs w:val="28"/>
        </w:rPr>
        <w:t>五、资产评估报告使用人应当关注评估结论成立的假设前提、资产评估报告特别事项说明和使用限制。</w:t>
      </w:r>
    </w:p>
    <w:p>
      <w:pPr>
        <w:spacing w:line="560" w:lineRule="exact"/>
        <w:ind w:firstLine="560" w:firstLineChars="200"/>
        <w:rPr>
          <w:rFonts w:ascii="黑体" w:hAnsi="黑体" w:eastAsia="黑体" w:cs="Arial"/>
          <w:sz w:val="28"/>
          <w:szCs w:val="28"/>
        </w:rPr>
      </w:pPr>
      <w:r>
        <w:rPr>
          <w:rFonts w:hint="eastAsia" w:ascii="黑体" w:hAnsi="黑体" w:eastAsia="黑体" w:cs="Arial"/>
          <w:sz w:val="28"/>
          <w:szCs w:val="28"/>
        </w:rPr>
        <w:t>六、资产评估机构及其资产评估专业人员遵守法律、行政法规和资产评估准则，坚持独立、客观、公正的原则，并对所出具的资产评估报告依法承担责任。</w:t>
      </w:r>
    </w:p>
    <w:p>
      <w:pPr>
        <w:spacing w:line="560" w:lineRule="exact"/>
        <w:ind w:firstLine="560" w:firstLineChars="200"/>
        <w:rPr>
          <w:rFonts w:ascii="黑体" w:hAnsi="黑体" w:eastAsia="黑体" w:cs="Arial"/>
          <w:sz w:val="28"/>
          <w:szCs w:val="28"/>
        </w:rPr>
      </w:pPr>
      <w:r>
        <w:rPr>
          <w:rFonts w:hint="eastAsia" w:ascii="黑体" w:hAnsi="黑体" w:eastAsia="黑体" w:cs="Arial"/>
          <w:sz w:val="28"/>
          <w:szCs w:val="28"/>
        </w:rPr>
        <w:t>七、评估对象涉及的资产清单由委托人、产权持有人申报并经其采用签名、盖章或法律允许的其他方式确认。委托人和其他相关当事人依法对其提供资料的真实性、完整性、合法性负责。</w:t>
      </w:r>
    </w:p>
    <w:p>
      <w:pPr>
        <w:spacing w:line="520" w:lineRule="exact"/>
        <w:ind w:firstLine="560" w:firstLineChars="200"/>
        <w:rPr>
          <w:rFonts w:ascii="黑体" w:hAnsi="黑体" w:eastAsia="黑体"/>
          <w:b/>
          <w:sz w:val="24"/>
        </w:rPr>
      </w:pPr>
      <w:r>
        <w:rPr>
          <w:rFonts w:hint="eastAsia" w:ascii="黑体" w:hAnsi="黑体" w:eastAsia="黑体" w:cs="Arial"/>
          <w:sz w:val="28"/>
          <w:szCs w:val="28"/>
        </w:rPr>
        <w:t>八、本资产评估机构及资产评估师与资产评估报告中的评估对象没有现存或者预期的利益关系，与相关当事人没有现存或者预期的利益关系，对相关当事人不存在偏见。</w:t>
      </w:r>
    </w:p>
    <w:p>
      <w:pPr>
        <w:spacing w:line="360" w:lineRule="auto"/>
        <w:jc w:val="center"/>
        <w:rPr>
          <w:rFonts w:ascii="仿宋_GB2312" w:eastAsia="仿宋_GB2312"/>
          <w:b/>
          <w:sz w:val="40"/>
          <w:szCs w:val="22"/>
        </w:rPr>
      </w:pPr>
      <w:r>
        <w:rPr>
          <w:rFonts w:hint="eastAsia" w:ascii="仿宋_GB2312" w:eastAsia="仿宋_GB2312"/>
          <w:b/>
          <w:sz w:val="40"/>
          <w:szCs w:val="22"/>
        </w:rPr>
        <w:t>湖北妙焱置业有限公司所属的</w:t>
      </w:r>
    </w:p>
    <w:p>
      <w:pPr>
        <w:spacing w:line="360" w:lineRule="auto"/>
        <w:jc w:val="center"/>
        <w:rPr>
          <w:rFonts w:ascii="仿宋_GB2312" w:eastAsia="仿宋_GB2312"/>
          <w:b/>
          <w:sz w:val="40"/>
          <w:szCs w:val="22"/>
        </w:rPr>
      </w:pPr>
      <w:r>
        <w:rPr>
          <w:rFonts w:hint="eastAsia" w:ascii="仿宋_GB2312" w:eastAsia="仿宋_GB2312"/>
          <w:b/>
          <w:sz w:val="40"/>
          <w:szCs w:val="22"/>
        </w:rPr>
        <w:t>湖北省应城市文昌路新缘城1#楼A区1-13轴交A-E轴由西往东1号至5号房地产</w:t>
      </w:r>
    </w:p>
    <w:p>
      <w:pPr>
        <w:spacing w:line="360" w:lineRule="auto"/>
        <w:jc w:val="center"/>
        <w:rPr>
          <w:rFonts w:ascii="仿宋_GB2312" w:eastAsia="仿宋_GB2312"/>
          <w:b/>
          <w:sz w:val="40"/>
          <w:szCs w:val="22"/>
        </w:rPr>
      </w:pPr>
      <w:r>
        <w:rPr>
          <w:rFonts w:hint="eastAsia" w:ascii="仿宋_GB2312" w:eastAsia="仿宋_GB2312"/>
          <w:b/>
          <w:sz w:val="40"/>
          <w:szCs w:val="22"/>
        </w:rPr>
        <w:t>资产评估报告</w:t>
      </w:r>
    </w:p>
    <w:p>
      <w:pPr>
        <w:pStyle w:val="21"/>
        <w:rPr>
          <w:sz w:val="40"/>
          <w:szCs w:val="28"/>
        </w:rPr>
      </w:pPr>
      <w:bookmarkStart w:id="3" w:name="_Toc104836917"/>
      <w:r>
        <w:rPr>
          <w:rFonts w:hint="eastAsia"/>
          <w:sz w:val="40"/>
          <w:szCs w:val="28"/>
        </w:rPr>
        <w:t>摘    要</w:t>
      </w:r>
      <w:bookmarkEnd w:id="3"/>
    </w:p>
    <w:p>
      <w:pPr>
        <w:adjustRightInd w:val="0"/>
        <w:snapToGrid w:val="0"/>
        <w:spacing w:after="240" w:line="700" w:lineRule="exact"/>
        <w:jc w:val="center"/>
        <w:rPr>
          <w:rFonts w:ascii="仿宋_GB2312" w:hAnsi="仿宋_GB2312" w:eastAsia="仿宋_GB2312"/>
          <w:b/>
          <w:kern w:val="0"/>
          <w:sz w:val="24"/>
          <w:highlight w:val="none"/>
        </w:rPr>
      </w:pPr>
      <w:r>
        <w:rPr>
          <w:rFonts w:hint="eastAsia" w:ascii="仿宋_GB2312" w:hAnsi="Arial Black" w:eastAsia="仿宋_GB2312"/>
          <w:b/>
          <w:sz w:val="22"/>
          <w:szCs w:val="22"/>
          <w:highlight w:val="none"/>
        </w:rPr>
        <w:t>通达旺价估（202</w:t>
      </w:r>
      <w:r>
        <w:rPr>
          <w:rFonts w:ascii="仿宋_GB2312" w:hAnsi="Arial Black" w:eastAsia="仿宋_GB2312"/>
          <w:b/>
          <w:sz w:val="22"/>
          <w:szCs w:val="22"/>
          <w:highlight w:val="none"/>
        </w:rPr>
        <w:t>2</w:t>
      </w:r>
      <w:r>
        <w:rPr>
          <w:rFonts w:hint="eastAsia" w:ascii="仿宋_GB2312" w:hAnsi="Arial Black" w:eastAsia="仿宋_GB2312"/>
          <w:b/>
          <w:sz w:val="22"/>
          <w:szCs w:val="22"/>
          <w:highlight w:val="none"/>
        </w:rPr>
        <w:t>）70</w:t>
      </w:r>
      <w:r>
        <w:rPr>
          <w:rFonts w:hint="eastAsia" w:ascii="仿宋_GB2312" w:hAnsi="Arial Black" w:eastAsia="仿宋_GB2312"/>
          <w:b/>
          <w:sz w:val="22"/>
          <w:szCs w:val="22"/>
          <w:highlight w:val="none"/>
          <w:lang w:val="en-US" w:eastAsia="zh-CN"/>
        </w:rPr>
        <w:t>66</w:t>
      </w:r>
      <w:r>
        <w:rPr>
          <w:rFonts w:hint="eastAsia" w:ascii="仿宋_GB2312" w:hAnsi="Arial Black" w:eastAsia="仿宋_GB2312"/>
          <w:b/>
          <w:sz w:val="22"/>
          <w:szCs w:val="22"/>
          <w:highlight w:val="none"/>
        </w:rPr>
        <w:t>号</w:t>
      </w:r>
    </w:p>
    <w:p>
      <w:pPr>
        <w:spacing w:before="240" w:after="240" w:line="480" w:lineRule="exact"/>
        <w:rPr>
          <w:rFonts w:ascii="仿宋_GB2312" w:hAnsi="仿宋_GB2312" w:eastAsia="仿宋_GB2312"/>
          <w:b/>
          <w:sz w:val="28"/>
        </w:rPr>
      </w:pPr>
      <w:r>
        <w:rPr>
          <w:rFonts w:hint="eastAsia" w:ascii="仿宋_GB2312" w:hAnsi="仿宋_GB2312" w:eastAsia="仿宋_GB2312"/>
          <w:b/>
          <w:sz w:val="28"/>
        </w:rPr>
        <w:t>湖北省应城市人民法院：</w:t>
      </w:r>
    </w:p>
    <w:p>
      <w:pPr>
        <w:spacing w:line="480" w:lineRule="exact"/>
        <w:ind w:firstLine="560" w:firstLineChars="200"/>
        <w:rPr>
          <w:rFonts w:ascii="仿宋_GB2312" w:hAnsi="仿宋_GB2312" w:eastAsia="仿宋_GB2312"/>
          <w:sz w:val="28"/>
        </w:rPr>
      </w:pPr>
      <w:r>
        <w:rPr>
          <w:rFonts w:hint="eastAsia" w:ascii="仿宋_GB2312" w:hAnsi="仿宋_GB2312" w:eastAsia="仿宋_GB2312"/>
          <w:sz w:val="28"/>
        </w:rPr>
        <w:t>湖北通达旺房地产资产评估有限公司（以下简称“通达旺价格评估公司”）接受湖北省应城市人民法院的委托，对湖北省应城市人民法院拟进行资产处置所涉及的湖北妙焱置业有限公司所属的湖北省应城市文昌路新缘城1#楼A区1-13轴交A-E轴由西往东1号至5号房地产的市场价值进行了评估工作，评估基准日为2022年4月25日。</w:t>
      </w:r>
    </w:p>
    <w:p>
      <w:pPr>
        <w:spacing w:line="480" w:lineRule="exact"/>
        <w:ind w:firstLine="560" w:firstLineChars="200"/>
        <w:rPr>
          <w:rFonts w:ascii="仿宋_GB2312" w:hAnsi="仿宋_GB2312" w:eastAsia="仿宋_GB2312"/>
          <w:sz w:val="28"/>
        </w:rPr>
      </w:pPr>
      <w:r>
        <w:rPr>
          <w:rFonts w:hint="eastAsia" w:ascii="仿宋_GB2312" w:hAnsi="仿宋_GB2312" w:eastAsia="仿宋_GB2312"/>
          <w:sz w:val="28"/>
        </w:rPr>
        <w:t>一、</w:t>
      </w:r>
      <w:r>
        <w:rPr>
          <w:rFonts w:hint="eastAsia" w:ascii="仿宋_GB2312" w:hAnsi="仿宋_GB2312" w:eastAsia="仿宋_GB2312"/>
          <w:b/>
          <w:bCs/>
          <w:sz w:val="28"/>
        </w:rPr>
        <w:t>评估目的：</w:t>
      </w:r>
      <w:r>
        <w:rPr>
          <w:rFonts w:hint="eastAsia" w:ascii="仿宋_GB2312" w:hAnsi="仿宋_GB2312" w:eastAsia="仿宋_GB2312"/>
          <w:sz w:val="28"/>
        </w:rPr>
        <w:t>为湖北省应城市人民法院进行财产处置提供市场价格参考。</w:t>
      </w:r>
    </w:p>
    <w:p>
      <w:pPr>
        <w:spacing w:line="480" w:lineRule="exact"/>
        <w:ind w:firstLine="562" w:firstLineChars="200"/>
        <w:rPr>
          <w:rFonts w:hint="eastAsia" w:ascii="仿宋_GB2312" w:hAnsi="仿宋_GB2312" w:eastAsia="仿宋_GB2312"/>
          <w:sz w:val="28"/>
        </w:rPr>
      </w:pPr>
      <w:r>
        <w:rPr>
          <w:rFonts w:hint="eastAsia" w:ascii="仿宋_GB2312" w:hAnsi="仿宋_GB2312" w:eastAsia="仿宋_GB2312"/>
          <w:b/>
          <w:bCs/>
          <w:sz w:val="28"/>
        </w:rPr>
        <w:t>二、评估对象和评估范围：</w:t>
      </w:r>
      <w:r>
        <w:rPr>
          <w:rFonts w:hint="eastAsia" w:ascii="仿宋_GB2312" w:hAnsi="仿宋_GB2312" w:eastAsia="仿宋_GB2312"/>
          <w:sz w:val="28"/>
        </w:rPr>
        <w:t>湖北省应城市人民法院拟进行资产处置所涉及的湖北妙焱置业有限公司所属的湖北省应城市文昌路新缘城1#楼A区1-13轴交A-E轴由西往东1号至5号房地产，</w:t>
      </w:r>
      <w:r>
        <w:rPr>
          <w:rFonts w:ascii="仿宋_GB2312" w:hAnsi="仿宋_GB2312" w:eastAsia="仿宋_GB2312"/>
          <w:sz w:val="28"/>
        </w:rPr>
        <w:t>具体明细如下：</w:t>
      </w:r>
    </w:p>
    <w:tbl>
      <w:tblPr>
        <w:tblStyle w:val="23"/>
        <w:tblW w:w="5383" w:type="pct"/>
        <w:jc w:val="center"/>
        <w:tblLayout w:type="autofit"/>
        <w:tblCellMar>
          <w:top w:w="0" w:type="dxa"/>
          <w:left w:w="0" w:type="dxa"/>
          <w:bottom w:w="0" w:type="dxa"/>
          <w:right w:w="0" w:type="dxa"/>
        </w:tblCellMar>
      </w:tblPr>
      <w:tblGrid>
        <w:gridCol w:w="430"/>
        <w:gridCol w:w="830"/>
        <w:gridCol w:w="6025"/>
        <w:gridCol w:w="1030"/>
        <w:gridCol w:w="630"/>
        <w:gridCol w:w="14"/>
        <w:gridCol w:w="22"/>
      </w:tblGrid>
      <w:tr>
        <w:tblPrEx>
          <w:tblCellMar>
            <w:top w:w="0" w:type="dxa"/>
            <w:left w:w="0" w:type="dxa"/>
            <w:bottom w:w="0" w:type="dxa"/>
            <w:right w:w="0" w:type="dxa"/>
          </w:tblCellMar>
        </w:tblPrEx>
        <w:trPr>
          <w:gridAfter w:val="2"/>
          <w:wAfter w:w="20" w:type="pct"/>
          <w:trHeight w:val="312" w:hRule="atLeast"/>
          <w:jc w:val="center"/>
        </w:trPr>
        <w:tc>
          <w:tcPr>
            <w:tcW w:w="239"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center"/>
              <w:rPr>
                <w:rFonts w:hint="eastAsia" w:ascii="仿宋_GB2312" w:eastAsia="仿宋_GB2312"/>
                <w:kern w:val="0"/>
                <w:sz w:val="20"/>
                <w:szCs w:val="20"/>
              </w:rPr>
            </w:pPr>
            <w:r>
              <w:rPr>
                <w:rFonts w:hint="eastAsia" w:ascii="仿宋_GB2312" w:eastAsia="仿宋_GB2312"/>
                <w:sz w:val="20"/>
                <w:szCs w:val="20"/>
              </w:rPr>
              <w:t>序号</w:t>
            </w:r>
          </w:p>
        </w:tc>
        <w:tc>
          <w:tcPr>
            <w:tcW w:w="462"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sz w:val="20"/>
                <w:szCs w:val="20"/>
              </w:rPr>
            </w:pPr>
            <w:r>
              <w:rPr>
                <w:rFonts w:hint="eastAsia" w:ascii="仿宋_GB2312" w:eastAsia="仿宋_GB2312"/>
                <w:sz w:val="20"/>
                <w:szCs w:val="20"/>
              </w:rPr>
              <w:t>权证编号</w:t>
            </w:r>
          </w:p>
        </w:tc>
        <w:tc>
          <w:tcPr>
            <w:tcW w:w="3354" w:type="pct"/>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sz w:val="20"/>
                <w:szCs w:val="20"/>
              </w:rPr>
            </w:pPr>
            <w:r>
              <w:rPr>
                <w:rFonts w:hint="eastAsia" w:ascii="仿宋_GB2312" w:eastAsia="仿宋_GB2312"/>
                <w:sz w:val="20"/>
                <w:szCs w:val="20"/>
              </w:rPr>
              <w:t>坐落</w:t>
            </w:r>
          </w:p>
        </w:tc>
        <w:tc>
          <w:tcPr>
            <w:tcW w:w="573" w:type="pct"/>
            <w:vMerge w:val="restart"/>
            <w:tcBorders>
              <w:top w:val="single" w:color="auto" w:sz="4" w:space="0"/>
              <w:left w:val="single" w:color="auto" w:sz="4" w:space="0"/>
              <w:bottom w:val="single" w:color="000000"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eastAsia="仿宋_GB2312"/>
                <w:sz w:val="20"/>
                <w:szCs w:val="20"/>
              </w:rPr>
            </w:pPr>
            <w:r>
              <w:rPr>
                <w:rFonts w:hint="eastAsia" w:ascii="仿宋_GB2312" w:eastAsia="仿宋_GB2312"/>
                <w:sz w:val="20"/>
                <w:szCs w:val="20"/>
              </w:rPr>
              <w:t>房屋用途</w:t>
            </w:r>
          </w:p>
        </w:tc>
        <w:tc>
          <w:tcPr>
            <w:tcW w:w="351" w:type="pct"/>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hint="eastAsia" w:ascii="仿宋_GB2312" w:eastAsia="仿宋_GB2312"/>
                <w:sz w:val="20"/>
                <w:szCs w:val="20"/>
              </w:rPr>
            </w:pPr>
            <w:r>
              <w:rPr>
                <w:rFonts w:hint="eastAsia" w:ascii="仿宋_GB2312" w:eastAsia="仿宋_GB2312"/>
                <w:sz w:val="20"/>
                <w:szCs w:val="20"/>
              </w:rPr>
              <w:t>面积（</w:t>
            </w:r>
            <w:r>
              <w:rPr>
                <w:rFonts w:hint="eastAsia" w:ascii="Segoe UI Symbol" w:hAnsi="Segoe UI Symbol" w:eastAsia="Segoe UI Symbol" w:cs="Segoe UI Symbol"/>
                <w:sz w:val="20"/>
                <w:szCs w:val="20"/>
              </w:rPr>
              <w:t>㎡</w:t>
            </w:r>
            <w:r>
              <w:rPr>
                <w:rFonts w:hint="eastAsia" w:ascii="仿宋_GB2312" w:eastAsia="仿宋_GB2312"/>
                <w:sz w:val="20"/>
                <w:szCs w:val="20"/>
              </w:rPr>
              <w:t>）</w:t>
            </w:r>
          </w:p>
        </w:tc>
      </w:tr>
      <w:tr>
        <w:tblPrEx>
          <w:tblCellMar>
            <w:top w:w="0" w:type="dxa"/>
            <w:left w:w="0" w:type="dxa"/>
            <w:bottom w:w="0" w:type="dxa"/>
            <w:right w:w="0" w:type="dxa"/>
          </w:tblCellMar>
        </w:tblPrEx>
        <w:trPr>
          <w:trHeight w:val="255" w:hRule="atLeast"/>
          <w:jc w:val="center"/>
        </w:trPr>
        <w:tc>
          <w:tcPr>
            <w:tcW w:w="239"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eastAsia="仿宋_GB2312"/>
                <w:sz w:val="20"/>
                <w:szCs w:val="20"/>
              </w:rPr>
            </w:pPr>
          </w:p>
        </w:tc>
        <w:tc>
          <w:tcPr>
            <w:tcW w:w="462"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eastAsia="仿宋_GB2312"/>
                <w:sz w:val="20"/>
                <w:szCs w:val="20"/>
              </w:rPr>
            </w:pPr>
          </w:p>
        </w:tc>
        <w:tc>
          <w:tcPr>
            <w:tcW w:w="3354"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eastAsia="仿宋_GB2312"/>
                <w:sz w:val="20"/>
                <w:szCs w:val="20"/>
              </w:rPr>
            </w:pPr>
          </w:p>
        </w:tc>
        <w:tc>
          <w:tcPr>
            <w:tcW w:w="573" w:type="pct"/>
            <w:vMerge w:val="continue"/>
            <w:tcBorders>
              <w:top w:val="single" w:color="auto" w:sz="4" w:space="0"/>
              <w:left w:val="single" w:color="auto" w:sz="4" w:space="0"/>
              <w:bottom w:val="single" w:color="000000" w:sz="4" w:space="0"/>
              <w:right w:val="single" w:color="auto" w:sz="4" w:space="0"/>
            </w:tcBorders>
            <w:tcMar>
              <w:top w:w="15" w:type="dxa"/>
              <w:left w:w="15" w:type="dxa"/>
              <w:bottom w:w="0" w:type="dxa"/>
              <w:right w:w="15" w:type="dxa"/>
            </w:tcMar>
            <w:vAlign w:val="center"/>
          </w:tcPr>
          <w:p>
            <w:pPr>
              <w:jc w:val="center"/>
              <w:rPr>
                <w:rFonts w:hint="eastAsia" w:ascii="仿宋_GB2312" w:eastAsia="仿宋_GB2312"/>
                <w:sz w:val="20"/>
                <w:szCs w:val="20"/>
              </w:rPr>
            </w:pPr>
          </w:p>
        </w:tc>
        <w:tc>
          <w:tcPr>
            <w:tcW w:w="351" w:type="pct"/>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_GB2312" w:eastAsia="仿宋_GB2312"/>
                <w:sz w:val="20"/>
                <w:szCs w:val="20"/>
              </w:rPr>
            </w:pPr>
          </w:p>
        </w:tc>
        <w:tc>
          <w:tcPr>
            <w:tcW w:w="20" w:type="pct"/>
            <w:gridSpan w:val="2"/>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hint="eastAsia" w:ascii="仿宋_GB2312" w:eastAsia="仿宋_GB2312"/>
                <w:sz w:val="20"/>
                <w:szCs w:val="20"/>
              </w:rPr>
            </w:pPr>
          </w:p>
        </w:tc>
      </w:tr>
      <w:tr>
        <w:tblPrEx>
          <w:tblCellMar>
            <w:top w:w="0" w:type="dxa"/>
            <w:left w:w="0" w:type="dxa"/>
            <w:bottom w:w="0" w:type="dxa"/>
            <w:right w:w="0" w:type="dxa"/>
          </w:tblCellMar>
        </w:tblPrEx>
        <w:trPr>
          <w:gridAfter w:val="1"/>
          <w:wAfter w:w="12" w:type="pct"/>
          <w:trHeight w:val="255" w:hRule="atLeast"/>
          <w:jc w:val="center"/>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sz w:val="20"/>
                <w:szCs w:val="20"/>
              </w:rPr>
            </w:pPr>
            <w:r>
              <w:rPr>
                <w:rFonts w:hint="eastAsia" w:ascii="仿宋_GB2312" w:eastAsia="仿宋_GB2312"/>
                <w:sz w:val="20"/>
                <w:szCs w:val="20"/>
              </w:rPr>
              <w:t>1</w:t>
            </w:r>
          </w:p>
        </w:tc>
        <w:tc>
          <w:tcPr>
            <w:tcW w:w="46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尚未办理</w:t>
            </w:r>
          </w:p>
        </w:tc>
        <w:tc>
          <w:tcPr>
            <w:tcW w:w="335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湖北省应城市文昌路新缘城1#楼A区1-13轴交A-E轴由西往东1号</w:t>
            </w:r>
          </w:p>
        </w:tc>
        <w:tc>
          <w:tcPr>
            <w:tcW w:w="573" w:type="pct"/>
            <w:tcBorders>
              <w:top w:val="single" w:color="auto" w:sz="4" w:space="0"/>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设定为商业</w:t>
            </w:r>
          </w:p>
        </w:tc>
        <w:tc>
          <w:tcPr>
            <w:tcW w:w="35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64.80</w:t>
            </w:r>
          </w:p>
        </w:tc>
        <w:tc>
          <w:tcPr>
            <w:tcW w:w="8" w:type="pct"/>
            <w:vAlign w:val="center"/>
          </w:tcPr>
          <w:p>
            <w:pPr>
              <w:jc w:val="center"/>
              <w:rPr>
                <w:rFonts w:hint="eastAsia" w:ascii="仿宋_GB2312" w:eastAsia="仿宋_GB2312"/>
                <w:sz w:val="20"/>
                <w:szCs w:val="20"/>
              </w:rPr>
            </w:pPr>
          </w:p>
        </w:tc>
      </w:tr>
      <w:tr>
        <w:tblPrEx>
          <w:tblCellMar>
            <w:top w:w="0" w:type="dxa"/>
            <w:left w:w="0" w:type="dxa"/>
            <w:bottom w:w="0" w:type="dxa"/>
            <w:right w:w="0" w:type="dxa"/>
          </w:tblCellMar>
        </w:tblPrEx>
        <w:trPr>
          <w:gridAfter w:val="1"/>
          <w:wAfter w:w="12" w:type="pct"/>
          <w:trHeight w:val="255" w:hRule="atLeast"/>
          <w:jc w:val="center"/>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sz w:val="20"/>
                <w:szCs w:val="20"/>
              </w:rPr>
            </w:pPr>
            <w:r>
              <w:rPr>
                <w:rFonts w:hint="eastAsia" w:ascii="仿宋_GB2312" w:eastAsia="仿宋_GB2312"/>
                <w:sz w:val="20"/>
                <w:szCs w:val="20"/>
              </w:rPr>
              <w:t>2</w:t>
            </w:r>
          </w:p>
        </w:tc>
        <w:tc>
          <w:tcPr>
            <w:tcW w:w="46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尚未办理</w:t>
            </w:r>
          </w:p>
        </w:tc>
        <w:tc>
          <w:tcPr>
            <w:tcW w:w="335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湖北省应城市文昌路新缘城1#楼A区1-13轴交A-E轴由西往东2号</w:t>
            </w:r>
          </w:p>
        </w:tc>
        <w:tc>
          <w:tcPr>
            <w:tcW w:w="5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设定为商业</w:t>
            </w:r>
          </w:p>
        </w:tc>
        <w:tc>
          <w:tcPr>
            <w:tcW w:w="35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66.39</w:t>
            </w:r>
          </w:p>
        </w:tc>
        <w:tc>
          <w:tcPr>
            <w:tcW w:w="8" w:type="pct"/>
            <w:vAlign w:val="center"/>
          </w:tcPr>
          <w:p>
            <w:pPr>
              <w:jc w:val="center"/>
              <w:rPr>
                <w:rFonts w:hint="eastAsia" w:ascii="仿宋_GB2312" w:eastAsia="仿宋_GB2312"/>
                <w:sz w:val="20"/>
                <w:szCs w:val="20"/>
              </w:rPr>
            </w:pPr>
          </w:p>
        </w:tc>
      </w:tr>
      <w:tr>
        <w:tblPrEx>
          <w:tblCellMar>
            <w:top w:w="0" w:type="dxa"/>
            <w:left w:w="0" w:type="dxa"/>
            <w:bottom w:w="0" w:type="dxa"/>
            <w:right w:w="0" w:type="dxa"/>
          </w:tblCellMar>
        </w:tblPrEx>
        <w:trPr>
          <w:gridAfter w:val="1"/>
          <w:wAfter w:w="12" w:type="pct"/>
          <w:trHeight w:val="255" w:hRule="atLeast"/>
          <w:jc w:val="center"/>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sz w:val="20"/>
                <w:szCs w:val="20"/>
              </w:rPr>
            </w:pPr>
            <w:r>
              <w:rPr>
                <w:rFonts w:hint="eastAsia" w:ascii="仿宋_GB2312" w:eastAsia="仿宋_GB2312"/>
                <w:sz w:val="20"/>
                <w:szCs w:val="20"/>
              </w:rPr>
              <w:t>3</w:t>
            </w:r>
          </w:p>
        </w:tc>
        <w:tc>
          <w:tcPr>
            <w:tcW w:w="46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尚未办理</w:t>
            </w:r>
          </w:p>
        </w:tc>
        <w:tc>
          <w:tcPr>
            <w:tcW w:w="335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湖北省应城市文昌路新缘城1#楼A区1-13轴交A-E轴由西往东3号</w:t>
            </w:r>
          </w:p>
        </w:tc>
        <w:tc>
          <w:tcPr>
            <w:tcW w:w="5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设定为商业</w:t>
            </w:r>
          </w:p>
        </w:tc>
        <w:tc>
          <w:tcPr>
            <w:tcW w:w="35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66.39</w:t>
            </w:r>
          </w:p>
        </w:tc>
        <w:tc>
          <w:tcPr>
            <w:tcW w:w="8" w:type="pct"/>
            <w:vAlign w:val="center"/>
          </w:tcPr>
          <w:p>
            <w:pPr>
              <w:jc w:val="center"/>
              <w:rPr>
                <w:rFonts w:hint="eastAsia" w:ascii="仿宋_GB2312" w:eastAsia="仿宋_GB2312"/>
                <w:sz w:val="20"/>
                <w:szCs w:val="20"/>
              </w:rPr>
            </w:pPr>
          </w:p>
        </w:tc>
      </w:tr>
      <w:tr>
        <w:tblPrEx>
          <w:tblCellMar>
            <w:top w:w="0" w:type="dxa"/>
            <w:left w:w="0" w:type="dxa"/>
            <w:bottom w:w="0" w:type="dxa"/>
            <w:right w:w="0" w:type="dxa"/>
          </w:tblCellMar>
        </w:tblPrEx>
        <w:trPr>
          <w:gridAfter w:val="1"/>
          <w:wAfter w:w="12" w:type="pct"/>
          <w:trHeight w:val="255" w:hRule="atLeast"/>
          <w:jc w:val="center"/>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sz w:val="20"/>
                <w:szCs w:val="20"/>
              </w:rPr>
            </w:pPr>
            <w:r>
              <w:rPr>
                <w:rFonts w:hint="eastAsia" w:ascii="仿宋_GB2312" w:eastAsia="仿宋_GB2312"/>
                <w:sz w:val="20"/>
                <w:szCs w:val="20"/>
              </w:rPr>
              <w:t>4</w:t>
            </w:r>
          </w:p>
        </w:tc>
        <w:tc>
          <w:tcPr>
            <w:tcW w:w="46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尚未办理</w:t>
            </w:r>
          </w:p>
        </w:tc>
        <w:tc>
          <w:tcPr>
            <w:tcW w:w="335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湖北省应城市文昌路新缘城1#楼A区1-13轴交A-E轴由西往东4号</w:t>
            </w:r>
          </w:p>
        </w:tc>
        <w:tc>
          <w:tcPr>
            <w:tcW w:w="5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设定为商业</w:t>
            </w:r>
          </w:p>
        </w:tc>
        <w:tc>
          <w:tcPr>
            <w:tcW w:w="35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64.80</w:t>
            </w:r>
          </w:p>
        </w:tc>
        <w:tc>
          <w:tcPr>
            <w:tcW w:w="8" w:type="pct"/>
            <w:vAlign w:val="center"/>
          </w:tcPr>
          <w:p>
            <w:pPr>
              <w:jc w:val="center"/>
              <w:rPr>
                <w:rFonts w:hint="eastAsia" w:ascii="仿宋_GB2312" w:eastAsia="仿宋_GB2312"/>
                <w:sz w:val="20"/>
                <w:szCs w:val="20"/>
              </w:rPr>
            </w:pPr>
          </w:p>
        </w:tc>
      </w:tr>
      <w:tr>
        <w:tblPrEx>
          <w:tblCellMar>
            <w:top w:w="0" w:type="dxa"/>
            <w:left w:w="0" w:type="dxa"/>
            <w:bottom w:w="0" w:type="dxa"/>
            <w:right w:w="0" w:type="dxa"/>
          </w:tblCellMar>
        </w:tblPrEx>
        <w:trPr>
          <w:gridAfter w:val="1"/>
          <w:wAfter w:w="12" w:type="pct"/>
          <w:trHeight w:val="255" w:hRule="atLeast"/>
          <w:jc w:val="center"/>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sz w:val="20"/>
                <w:szCs w:val="20"/>
              </w:rPr>
            </w:pPr>
            <w:r>
              <w:rPr>
                <w:rFonts w:hint="eastAsia" w:ascii="仿宋_GB2312" w:eastAsia="仿宋_GB2312"/>
                <w:sz w:val="20"/>
                <w:szCs w:val="20"/>
              </w:rPr>
              <w:t>5</w:t>
            </w:r>
          </w:p>
        </w:tc>
        <w:tc>
          <w:tcPr>
            <w:tcW w:w="462"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尚未办理</w:t>
            </w:r>
          </w:p>
        </w:tc>
        <w:tc>
          <w:tcPr>
            <w:tcW w:w="335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湖北省应城市文昌路新缘城1#楼A区1-13轴交A-E轴由西往东5号</w:t>
            </w:r>
          </w:p>
        </w:tc>
        <w:tc>
          <w:tcPr>
            <w:tcW w:w="5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设定为商业</w:t>
            </w:r>
          </w:p>
        </w:tc>
        <w:tc>
          <w:tcPr>
            <w:tcW w:w="35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64.80</w:t>
            </w:r>
          </w:p>
        </w:tc>
        <w:tc>
          <w:tcPr>
            <w:tcW w:w="8" w:type="pct"/>
            <w:vAlign w:val="center"/>
          </w:tcPr>
          <w:p>
            <w:pPr>
              <w:jc w:val="center"/>
              <w:rPr>
                <w:rFonts w:hint="eastAsia" w:ascii="仿宋_GB2312" w:eastAsia="仿宋_GB2312"/>
                <w:sz w:val="20"/>
                <w:szCs w:val="20"/>
              </w:rPr>
            </w:pPr>
          </w:p>
        </w:tc>
      </w:tr>
      <w:tr>
        <w:tblPrEx>
          <w:tblCellMar>
            <w:top w:w="0" w:type="dxa"/>
            <w:left w:w="0" w:type="dxa"/>
            <w:bottom w:w="0" w:type="dxa"/>
            <w:right w:w="0" w:type="dxa"/>
          </w:tblCellMar>
        </w:tblPrEx>
        <w:trPr>
          <w:gridAfter w:val="1"/>
          <w:wAfter w:w="12" w:type="pct"/>
          <w:trHeight w:val="255" w:hRule="atLeast"/>
          <w:jc w:val="center"/>
        </w:trPr>
        <w:tc>
          <w:tcPr>
            <w:tcW w:w="701" w:type="pct"/>
            <w:gridSpan w:val="2"/>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合计</w:t>
            </w:r>
          </w:p>
        </w:tc>
        <w:tc>
          <w:tcPr>
            <w:tcW w:w="3354"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p>
        </w:tc>
        <w:tc>
          <w:tcPr>
            <w:tcW w:w="5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p>
        </w:tc>
        <w:tc>
          <w:tcPr>
            <w:tcW w:w="351"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center"/>
              <w:rPr>
                <w:rFonts w:hint="eastAsia" w:ascii="仿宋_GB2312" w:eastAsia="仿宋_GB2312"/>
                <w:color w:val="000000"/>
                <w:sz w:val="20"/>
                <w:szCs w:val="20"/>
              </w:rPr>
            </w:pPr>
            <w:r>
              <w:rPr>
                <w:rFonts w:hint="eastAsia" w:ascii="仿宋_GB2312" w:eastAsia="仿宋_GB2312"/>
                <w:color w:val="000000"/>
                <w:sz w:val="20"/>
                <w:szCs w:val="20"/>
              </w:rPr>
              <w:t>327.18</w:t>
            </w:r>
          </w:p>
        </w:tc>
        <w:tc>
          <w:tcPr>
            <w:tcW w:w="8" w:type="pct"/>
            <w:vAlign w:val="center"/>
          </w:tcPr>
          <w:p>
            <w:pPr>
              <w:jc w:val="center"/>
              <w:rPr>
                <w:rFonts w:hint="eastAsia" w:ascii="仿宋_GB2312" w:eastAsia="仿宋_GB2312"/>
                <w:sz w:val="20"/>
                <w:szCs w:val="20"/>
              </w:rPr>
            </w:pPr>
          </w:p>
        </w:tc>
      </w:tr>
    </w:tbl>
    <w:p>
      <w:pPr>
        <w:spacing w:line="480" w:lineRule="exact"/>
        <w:ind w:firstLine="562" w:firstLineChars="200"/>
        <w:rPr>
          <w:rFonts w:ascii="仿宋_GB2312" w:hAnsi="仿宋_GB2312" w:eastAsia="仿宋_GB2312"/>
          <w:sz w:val="28"/>
        </w:rPr>
      </w:pPr>
      <w:r>
        <w:rPr>
          <w:rFonts w:hint="eastAsia" w:ascii="仿宋_GB2312" w:hAnsi="仿宋_GB2312" w:eastAsia="仿宋_GB2312"/>
          <w:b/>
          <w:bCs/>
          <w:sz w:val="28"/>
        </w:rPr>
        <w:t>三、评估基准日：</w:t>
      </w:r>
      <w:r>
        <w:rPr>
          <w:rFonts w:hint="eastAsia" w:ascii="仿宋_GB2312" w:hAnsi="仿宋" w:eastAsia="仿宋_GB2312"/>
          <w:sz w:val="28"/>
          <w:szCs w:val="28"/>
        </w:rPr>
        <w:t>2022年4月25日。</w:t>
      </w:r>
    </w:p>
    <w:p>
      <w:pPr>
        <w:spacing w:line="480" w:lineRule="exact"/>
        <w:ind w:firstLine="562" w:firstLineChars="200"/>
        <w:rPr>
          <w:rFonts w:ascii="仿宋_GB2312" w:hAnsi="仿宋_GB2312" w:eastAsia="仿宋_GB2312"/>
          <w:sz w:val="28"/>
        </w:rPr>
      </w:pPr>
      <w:r>
        <w:rPr>
          <w:rFonts w:hint="eastAsia" w:ascii="仿宋_GB2312" w:hAnsi="仿宋_GB2312" w:eastAsia="仿宋_GB2312"/>
          <w:b/>
          <w:bCs/>
          <w:sz w:val="28"/>
        </w:rPr>
        <w:t>四、价值类型：</w:t>
      </w:r>
      <w:r>
        <w:rPr>
          <w:rFonts w:hint="eastAsia" w:ascii="仿宋_GB2312" w:hAnsi="仿宋_GB2312" w:eastAsia="仿宋_GB2312"/>
          <w:sz w:val="28"/>
        </w:rPr>
        <w:t>采用的价值类型为市场价值。</w:t>
      </w:r>
    </w:p>
    <w:p>
      <w:pPr>
        <w:spacing w:line="480" w:lineRule="exact"/>
        <w:ind w:firstLine="562" w:firstLineChars="200"/>
        <w:rPr>
          <w:rFonts w:hint="eastAsia" w:ascii="仿宋_GB2312" w:hAnsi="仿宋_GB2312" w:eastAsia="仿宋_GB2312"/>
          <w:sz w:val="28"/>
        </w:rPr>
      </w:pPr>
      <w:r>
        <w:rPr>
          <w:rFonts w:hint="eastAsia" w:ascii="仿宋_GB2312" w:hAnsi="仿宋_GB2312" w:eastAsia="仿宋_GB2312"/>
          <w:b/>
          <w:bCs/>
          <w:sz w:val="28"/>
        </w:rPr>
        <w:t>五、评估方法：</w:t>
      </w:r>
      <w:r>
        <w:rPr>
          <w:rFonts w:hint="eastAsia" w:hAnsi="Arial" w:eastAsia="仿宋_GB2312" w:cs="Arial"/>
          <w:sz w:val="28"/>
          <w:szCs w:val="28"/>
        </w:rPr>
        <w:t>本次评估以持续使用和公开市场为前提，结合委估对象的实际情况，综合考虑各种影响因素，</w:t>
      </w:r>
      <w:r>
        <w:rPr>
          <w:rFonts w:hint="eastAsia" w:ascii="仿宋_GB2312" w:hAnsi="仿宋_GB2312" w:eastAsia="仿宋_GB2312"/>
          <w:sz w:val="28"/>
        </w:rPr>
        <w:t>本次评估对象采用市场法和收益法。</w:t>
      </w:r>
    </w:p>
    <w:p>
      <w:pPr>
        <w:spacing w:line="480" w:lineRule="exact"/>
        <w:ind w:firstLine="638" w:firstLineChars="227"/>
        <w:rPr>
          <w:rFonts w:ascii="华文中宋" w:hAnsi="华文中宋" w:eastAsia="华文中宋"/>
          <w:spacing w:val="20"/>
          <w:sz w:val="24"/>
        </w:rPr>
      </w:pPr>
      <w:r>
        <w:rPr>
          <w:rFonts w:hint="eastAsia" w:ascii="仿宋_GB2312" w:hAnsi="仿宋_GB2312" w:eastAsia="仿宋_GB2312"/>
          <w:b/>
          <w:bCs/>
          <w:sz w:val="28"/>
        </w:rPr>
        <w:t>六、评估结论：</w:t>
      </w:r>
      <w:r>
        <w:rPr>
          <w:rFonts w:hint="eastAsia" w:ascii="仿宋_GB2312" w:hAnsi="仿宋_GB2312" w:eastAsia="仿宋_GB2312"/>
          <w:sz w:val="28"/>
        </w:rPr>
        <w:t>在评估过程中，湖北通达旺房地产资产评估有限公司对评估范围内的资产进行了详细的清查，对委托方及资产占有方提供的法律性文件及相关资料进行了验证审核，进行了必要的市场调查以及其他我们认为必要的资产评估程序。</w:t>
      </w:r>
    </w:p>
    <w:p>
      <w:pPr>
        <w:spacing w:line="480" w:lineRule="exact"/>
        <w:ind w:firstLine="635" w:firstLineChars="227"/>
        <w:rPr>
          <w:rFonts w:ascii="仿宋_GB2312" w:hAnsi="仿宋" w:eastAsia="仿宋_GB2312"/>
          <w:sz w:val="28"/>
          <w:szCs w:val="28"/>
        </w:rPr>
      </w:pPr>
      <w:r>
        <w:rPr>
          <w:rFonts w:hint="eastAsia" w:ascii="仿宋_GB2312" w:hAnsi="仿宋_GB2312" w:eastAsia="仿宋_GB2312"/>
          <w:sz w:val="28"/>
        </w:rPr>
        <w:t>在实施了上述资产评估程序和方法后，</w:t>
      </w:r>
      <w:r>
        <w:rPr>
          <w:rFonts w:hint="eastAsia" w:ascii="仿宋_GB2312" w:hAnsi="仿宋" w:eastAsia="仿宋_GB2312"/>
          <w:sz w:val="28"/>
          <w:szCs w:val="28"/>
        </w:rPr>
        <w:t>应用于本次评估目的下的资产，于2022年4月25日的市场价值为：</w:t>
      </w:r>
    </w:p>
    <w:p>
      <w:pPr>
        <w:tabs>
          <w:tab w:val="left" w:pos="0"/>
          <w:tab w:val="left" w:pos="6840"/>
        </w:tabs>
        <w:spacing w:line="480" w:lineRule="exact"/>
        <w:ind w:firstLine="1046" w:firstLineChars="372"/>
        <w:jc w:val="left"/>
        <w:rPr>
          <w:rFonts w:ascii="仿宋_GB2312" w:hAnsi="仿宋_GB2312" w:eastAsia="仿宋_GB2312"/>
          <w:b/>
          <w:i/>
          <w:sz w:val="28"/>
        </w:rPr>
      </w:pPr>
      <w:r>
        <w:rPr>
          <w:rFonts w:hint="eastAsia" w:ascii="仿宋_GB2312" w:hAnsi="仿宋_GB2312" w:eastAsia="仿宋_GB2312"/>
          <w:b/>
          <w:i/>
          <w:sz w:val="28"/>
        </w:rPr>
        <w:t>评估总价：</w:t>
      </w:r>
      <w:r>
        <w:rPr>
          <w:rFonts w:ascii="仿宋_GB2312" w:hAnsi="仿宋_GB2312" w:eastAsia="仿宋_GB2312"/>
          <w:b/>
          <w:i/>
          <w:sz w:val="28"/>
        </w:rPr>
        <w:t>296.44万元</w:t>
      </w:r>
      <w:r>
        <w:rPr>
          <w:rFonts w:hint="eastAsia" w:ascii="仿宋_GB2312" w:hAnsi="仿宋_GB2312" w:eastAsia="仿宋_GB2312"/>
          <w:b/>
          <w:i/>
          <w:sz w:val="28"/>
        </w:rPr>
        <w:t>。</w:t>
      </w:r>
    </w:p>
    <w:p>
      <w:pPr>
        <w:tabs>
          <w:tab w:val="left" w:pos="0"/>
          <w:tab w:val="left" w:pos="6840"/>
        </w:tabs>
        <w:spacing w:line="480" w:lineRule="exact"/>
        <w:ind w:firstLine="1046" w:firstLineChars="372"/>
        <w:jc w:val="left"/>
        <w:rPr>
          <w:rFonts w:ascii="仿宋_GB2312" w:hAnsi="仿宋_GB2312" w:eastAsia="仿宋_GB2312"/>
          <w:sz w:val="28"/>
        </w:rPr>
      </w:pPr>
      <w:r>
        <w:rPr>
          <w:rFonts w:hint="eastAsia" w:ascii="仿宋_GB2312" w:hAnsi="仿宋_GB2312" w:eastAsia="仿宋_GB2312"/>
          <w:b/>
          <w:i/>
          <w:sz w:val="28"/>
        </w:rPr>
        <w:t>大    写：人民币贰佰玖拾陆万肆仟肆佰元整</w:t>
      </w:r>
      <w:r>
        <w:rPr>
          <w:rFonts w:hint="eastAsia" w:ascii="仿宋_GB2312" w:hAnsi="仿宋_GB2312" w:eastAsia="仿宋_GB2312"/>
          <w:sz w:val="28"/>
        </w:rPr>
        <w:t xml:space="preserve"> </w:t>
      </w:r>
      <w:r>
        <w:rPr>
          <w:rFonts w:ascii="仿宋_GB2312" w:hAnsi="仿宋_GB2312" w:eastAsia="仿宋_GB2312"/>
          <w:sz w:val="28"/>
        </w:rPr>
        <w:t xml:space="preserve"> </w:t>
      </w:r>
    </w:p>
    <w:p>
      <w:pPr>
        <w:widowControl/>
        <w:adjustRightInd w:val="0"/>
        <w:snapToGrid w:val="0"/>
        <w:spacing w:line="480" w:lineRule="exact"/>
        <w:ind w:firstLine="560" w:firstLineChars="200"/>
        <w:jc w:val="left"/>
        <w:rPr>
          <w:rFonts w:ascii="仿宋_GB2312" w:hAnsi="仿宋_GB2312" w:eastAsia="仿宋_GB2312"/>
          <w:sz w:val="28"/>
        </w:rPr>
      </w:pPr>
      <w:r>
        <w:rPr>
          <w:rFonts w:hint="eastAsia" w:ascii="仿宋_GB2312" w:hAnsi="仿宋_GB2312" w:eastAsia="仿宋_GB2312"/>
          <w:sz w:val="28"/>
        </w:rPr>
        <w:t>（详见资产评估明细表。）</w:t>
      </w:r>
    </w:p>
    <w:p>
      <w:pPr>
        <w:widowControl/>
        <w:adjustRightInd w:val="0"/>
        <w:snapToGrid w:val="0"/>
        <w:spacing w:line="480" w:lineRule="exact"/>
        <w:ind w:firstLine="560" w:firstLineChars="200"/>
        <w:jc w:val="left"/>
        <w:rPr>
          <w:rFonts w:ascii="仿宋_GB2312" w:hAnsi="仿宋_GB2312" w:eastAsia="仿宋_GB2312"/>
          <w:sz w:val="28"/>
        </w:rPr>
      </w:pPr>
      <w:r>
        <w:rPr>
          <w:rFonts w:hint="eastAsia" w:ascii="仿宋_GB2312" w:hAnsi="仿宋_GB2312" w:eastAsia="仿宋_GB2312"/>
          <w:sz w:val="28"/>
        </w:rPr>
        <w:t>在使用本评估结论时，</w:t>
      </w:r>
      <w:r>
        <w:rPr>
          <w:rFonts w:ascii="仿宋_GB2312" w:hAnsi="仿宋_GB2312" w:eastAsia="仿宋_GB2312"/>
          <w:sz w:val="28"/>
        </w:rPr>
        <w:t>特别提请报告使用人使用本报告时</w:t>
      </w:r>
      <w:r>
        <w:rPr>
          <w:rFonts w:hint="eastAsia" w:ascii="仿宋_GB2312" w:hAnsi="仿宋_GB2312" w:eastAsia="仿宋_GB2312"/>
          <w:sz w:val="28"/>
        </w:rPr>
        <w:t>关</w:t>
      </w:r>
      <w:r>
        <w:rPr>
          <w:rFonts w:ascii="仿宋_GB2312" w:hAnsi="仿宋_GB2312" w:eastAsia="仿宋_GB2312"/>
          <w:sz w:val="28"/>
        </w:rPr>
        <w:t>注报告中所载明的特殊事项</w:t>
      </w:r>
      <w:r>
        <w:rPr>
          <w:rFonts w:hint="eastAsia" w:ascii="仿宋_GB2312" w:hAnsi="仿宋_GB2312" w:eastAsia="仿宋_GB2312"/>
          <w:sz w:val="28"/>
        </w:rPr>
        <w:t>、</w:t>
      </w:r>
      <w:r>
        <w:rPr>
          <w:rFonts w:ascii="仿宋_GB2312" w:hAnsi="仿宋_GB2312" w:eastAsia="仿宋_GB2312"/>
          <w:sz w:val="28"/>
        </w:rPr>
        <w:t>重大期后事项</w:t>
      </w:r>
      <w:r>
        <w:rPr>
          <w:rFonts w:hint="eastAsia" w:ascii="仿宋_GB2312" w:hAnsi="仿宋_GB2312" w:eastAsia="仿宋_GB2312"/>
          <w:sz w:val="28"/>
        </w:rPr>
        <w:t>等。</w:t>
      </w:r>
    </w:p>
    <w:p>
      <w:pPr>
        <w:widowControl/>
        <w:adjustRightInd w:val="0"/>
        <w:snapToGrid w:val="0"/>
        <w:spacing w:line="480" w:lineRule="exact"/>
        <w:ind w:firstLine="560" w:firstLineChars="200"/>
        <w:jc w:val="left"/>
        <w:rPr>
          <w:rFonts w:ascii="仿宋_GB2312" w:hAnsi="仿宋_GB2312" w:eastAsia="仿宋_GB2312"/>
          <w:sz w:val="28"/>
        </w:rPr>
      </w:pPr>
      <w:r>
        <w:rPr>
          <w:rFonts w:hint="eastAsia" w:ascii="仿宋_GB2312" w:hAnsi="仿宋_GB2312" w:eastAsia="仿宋_GB2312"/>
          <w:sz w:val="28"/>
        </w:rPr>
        <w:t>本报告评估结果自基准日起一年内有效，即自2022年4月25日至2023年4月24日。</w:t>
      </w:r>
    </w:p>
    <w:p>
      <w:pPr>
        <w:pStyle w:val="10"/>
        <w:framePr w:h="1066" w:wrap="around" w:y="7"/>
        <w:widowControl/>
        <w:pBdr>
          <w:top w:val="none" w:color="auto" w:sz="0" w:space="0"/>
          <w:left w:val="none" w:color="auto" w:sz="0" w:space="0"/>
          <w:bottom w:val="none" w:color="auto" w:sz="0" w:space="0"/>
          <w:right w:val="none" w:color="auto" w:sz="0" w:space="0"/>
        </w:pBdr>
        <w:spacing w:line="480" w:lineRule="exact"/>
        <w:jc w:val="left"/>
        <w:rPr>
          <w:rFonts w:ascii="仿宋_GB2312" w:hAnsi="仿宋_GB2312" w:eastAsia="仿宋_GB2312"/>
          <w:b w:val="0"/>
          <w:bCs w:val="0"/>
          <w:i/>
          <w:spacing w:val="0"/>
          <w:sz w:val="28"/>
        </w:rPr>
      </w:pPr>
      <w:r>
        <w:rPr>
          <w:rFonts w:hint="eastAsia" w:ascii="仿宋_GB2312" w:hAnsi="仿宋_GB2312" w:eastAsia="仿宋_GB2312"/>
          <w:b w:val="0"/>
          <w:bCs w:val="0"/>
          <w:i/>
          <w:spacing w:val="0"/>
          <w:sz w:val="28"/>
        </w:rPr>
        <w:t>以上内容摘自资产评估报告书，欲了解本评估项目的全面情况，应认真阅读资产评估报告书全文。</w:t>
      </w:r>
    </w:p>
    <w:p>
      <w:pPr>
        <w:pStyle w:val="12"/>
        <w:spacing w:line="480" w:lineRule="exact"/>
        <w:rPr>
          <w:rFonts w:ascii="华文中宋" w:hAnsi="华文中宋" w:eastAsia="华文中宋"/>
          <w:sz w:val="28"/>
        </w:rPr>
      </w:pPr>
    </w:p>
    <w:p>
      <w:pPr>
        <w:spacing w:line="480" w:lineRule="exact"/>
        <w:jc w:val="right"/>
        <w:rPr>
          <w:rFonts w:ascii="宋体" w:hAnsi="宋体"/>
        </w:rPr>
      </w:pPr>
      <w:r>
        <w:rPr>
          <w:rFonts w:hint="eastAsia" w:ascii="宋体" w:hAnsi="宋体"/>
        </w:rPr>
        <w:t xml:space="preserve"> </w:t>
      </w:r>
    </w:p>
    <w:p>
      <w:pPr>
        <w:spacing w:line="480" w:lineRule="exact"/>
        <w:jc w:val="right"/>
        <w:rPr>
          <w:rFonts w:ascii="宋体" w:hAnsi="宋体"/>
          <w:b/>
          <w:spacing w:val="20"/>
          <w:sz w:val="28"/>
        </w:rPr>
      </w:pPr>
      <w:r>
        <w:rPr>
          <w:rFonts w:hint="eastAsia" w:ascii="宋体" w:hAnsi="宋体"/>
          <w:b/>
          <w:spacing w:val="20"/>
          <w:sz w:val="28"/>
        </w:rPr>
        <w:t>湖北通达旺房地产资产评估有限公司</w:t>
      </w:r>
    </w:p>
    <w:p>
      <w:pPr>
        <w:pStyle w:val="12"/>
        <w:spacing w:line="480" w:lineRule="exact"/>
        <w:ind w:firstLine="3975"/>
        <w:rPr>
          <w:rFonts w:hAnsi="宋体"/>
        </w:rPr>
      </w:pPr>
      <w:r>
        <w:rPr>
          <w:rFonts w:hint="eastAsia" w:hAnsi="宋体"/>
          <w:b/>
          <w:spacing w:val="20"/>
          <w:sz w:val="28"/>
        </w:rPr>
        <w:t xml:space="preserve"> 二〇二二年六月一日</w:t>
      </w:r>
      <w:bookmarkStart w:id="4" w:name="_Toc465139003"/>
      <w:bookmarkStart w:id="5" w:name="_Toc455233247"/>
      <w:bookmarkStart w:id="6" w:name="_Toc453992229"/>
    </w:p>
    <w:bookmarkEnd w:id="4"/>
    <w:bookmarkEnd w:id="5"/>
    <w:bookmarkEnd w:id="6"/>
    <w:p>
      <w:pPr>
        <w:adjustRightInd w:val="0"/>
        <w:snapToGrid w:val="0"/>
        <w:spacing w:line="480" w:lineRule="exact"/>
        <w:jc w:val="center"/>
        <w:rPr>
          <w:rFonts w:ascii="仿宋_GB2312" w:hAnsi="仿宋_GB2312" w:eastAsia="仿宋_GB2312"/>
          <w:b/>
          <w:bCs/>
          <w:sz w:val="44"/>
          <w:szCs w:val="44"/>
        </w:rPr>
      </w:pPr>
    </w:p>
    <w:p>
      <w:pPr>
        <w:adjustRightInd w:val="0"/>
        <w:snapToGrid w:val="0"/>
        <w:spacing w:line="480" w:lineRule="exact"/>
        <w:jc w:val="center"/>
        <w:rPr>
          <w:rFonts w:ascii="仿宋_GB2312" w:hAnsi="仿宋_GB2312" w:eastAsia="仿宋_GB2312"/>
          <w:b/>
          <w:bCs/>
          <w:sz w:val="44"/>
          <w:szCs w:val="44"/>
        </w:rPr>
      </w:pPr>
    </w:p>
    <w:p>
      <w:pPr>
        <w:adjustRightInd w:val="0"/>
        <w:snapToGrid w:val="0"/>
        <w:spacing w:line="480" w:lineRule="exact"/>
        <w:jc w:val="center"/>
        <w:rPr>
          <w:rFonts w:ascii="仿宋_GB2312" w:hAnsi="仿宋_GB2312" w:eastAsia="仿宋_GB2312"/>
          <w:b/>
          <w:bCs/>
          <w:sz w:val="44"/>
          <w:szCs w:val="44"/>
        </w:rPr>
      </w:pPr>
    </w:p>
    <w:p>
      <w:pPr>
        <w:adjustRightInd w:val="0"/>
        <w:snapToGrid w:val="0"/>
        <w:spacing w:line="480" w:lineRule="exact"/>
        <w:jc w:val="center"/>
        <w:rPr>
          <w:rFonts w:ascii="仿宋_GB2312" w:hAnsi="仿宋_GB2312" w:eastAsia="仿宋_GB2312"/>
          <w:b/>
          <w:bCs/>
          <w:sz w:val="44"/>
          <w:szCs w:val="44"/>
        </w:rPr>
      </w:pPr>
    </w:p>
    <w:p>
      <w:pPr>
        <w:adjustRightInd w:val="0"/>
        <w:snapToGrid w:val="0"/>
        <w:spacing w:line="480" w:lineRule="exact"/>
        <w:jc w:val="center"/>
        <w:rPr>
          <w:rFonts w:ascii="仿宋_GB2312" w:hAnsi="仿宋_GB2312" w:eastAsia="仿宋_GB2312"/>
          <w:b/>
          <w:bCs/>
          <w:sz w:val="44"/>
          <w:szCs w:val="44"/>
        </w:rPr>
      </w:pPr>
    </w:p>
    <w:p>
      <w:pPr>
        <w:adjustRightInd w:val="0"/>
        <w:snapToGrid w:val="0"/>
        <w:spacing w:line="480" w:lineRule="exact"/>
        <w:jc w:val="center"/>
        <w:rPr>
          <w:rFonts w:hint="eastAsia" w:ascii="仿宋_GB2312" w:hAnsi="仿宋_GB2312" w:eastAsia="仿宋_GB2312"/>
          <w:b/>
          <w:bCs/>
          <w:sz w:val="44"/>
          <w:szCs w:val="44"/>
        </w:rPr>
      </w:pPr>
    </w:p>
    <w:p>
      <w:pPr>
        <w:adjustRightInd w:val="0"/>
        <w:snapToGrid w:val="0"/>
        <w:spacing w:line="480" w:lineRule="exact"/>
        <w:jc w:val="center"/>
        <w:rPr>
          <w:rFonts w:ascii="仿宋_GB2312" w:hAnsi="仿宋_GB2312" w:eastAsia="仿宋_GB2312"/>
          <w:b/>
          <w:bCs/>
          <w:sz w:val="44"/>
          <w:szCs w:val="44"/>
        </w:rPr>
      </w:pPr>
    </w:p>
    <w:p>
      <w:pPr>
        <w:spacing w:line="360" w:lineRule="auto"/>
        <w:jc w:val="center"/>
        <w:rPr>
          <w:rFonts w:ascii="仿宋_GB2312" w:eastAsia="仿宋_GB2312"/>
          <w:b/>
          <w:sz w:val="40"/>
          <w:szCs w:val="22"/>
        </w:rPr>
      </w:pPr>
      <w:r>
        <w:rPr>
          <w:rFonts w:hint="eastAsia" w:ascii="仿宋_GB2312" w:eastAsia="仿宋_GB2312"/>
          <w:b/>
          <w:sz w:val="40"/>
          <w:szCs w:val="22"/>
        </w:rPr>
        <w:t>湖北妙焱置业有限公司所属的</w:t>
      </w:r>
    </w:p>
    <w:p>
      <w:pPr>
        <w:spacing w:line="360" w:lineRule="auto"/>
        <w:jc w:val="center"/>
        <w:rPr>
          <w:rFonts w:ascii="仿宋_GB2312" w:eastAsia="仿宋_GB2312"/>
          <w:b/>
          <w:sz w:val="40"/>
          <w:szCs w:val="22"/>
        </w:rPr>
      </w:pPr>
      <w:r>
        <w:rPr>
          <w:rFonts w:hint="eastAsia" w:ascii="仿宋_GB2312" w:eastAsia="仿宋_GB2312"/>
          <w:b/>
          <w:sz w:val="40"/>
          <w:szCs w:val="22"/>
        </w:rPr>
        <w:t>湖北省应城市文昌路新缘城1#楼A区1-13轴交A-E轴由西往东1号至5号房地产</w:t>
      </w:r>
    </w:p>
    <w:p>
      <w:pPr>
        <w:spacing w:line="360" w:lineRule="auto"/>
        <w:jc w:val="center"/>
        <w:rPr>
          <w:rFonts w:ascii="仿宋_GB2312" w:eastAsia="仿宋_GB2312"/>
          <w:b/>
          <w:sz w:val="40"/>
          <w:szCs w:val="22"/>
        </w:rPr>
      </w:pPr>
      <w:r>
        <w:rPr>
          <w:rFonts w:hint="eastAsia" w:ascii="仿宋_GB2312" w:eastAsia="仿宋_GB2312"/>
          <w:b/>
          <w:sz w:val="40"/>
          <w:szCs w:val="22"/>
        </w:rPr>
        <w:t>资产评估报告</w:t>
      </w:r>
    </w:p>
    <w:p>
      <w:pPr>
        <w:pStyle w:val="21"/>
        <w:rPr>
          <w:sz w:val="40"/>
          <w:szCs w:val="28"/>
        </w:rPr>
      </w:pPr>
      <w:bookmarkStart w:id="7" w:name="_Toc104836918"/>
      <w:r>
        <w:rPr>
          <w:rFonts w:hint="eastAsia"/>
          <w:sz w:val="40"/>
          <w:szCs w:val="28"/>
        </w:rPr>
        <w:t>正  文</w:t>
      </w:r>
      <w:bookmarkEnd w:id="7"/>
    </w:p>
    <w:p>
      <w:pPr>
        <w:adjustRightInd w:val="0"/>
        <w:snapToGrid w:val="0"/>
        <w:spacing w:line="700" w:lineRule="exact"/>
        <w:jc w:val="center"/>
        <w:rPr>
          <w:rFonts w:ascii="仿宋_GB2312" w:hAnsi="仿宋_GB2312" w:eastAsia="仿宋_GB2312"/>
          <w:bCs/>
          <w:kern w:val="0"/>
          <w:sz w:val="28"/>
          <w:szCs w:val="28"/>
          <w:highlight w:val="none"/>
        </w:rPr>
      </w:pPr>
      <w:r>
        <w:rPr>
          <w:rFonts w:hint="eastAsia" w:ascii="仿宋_GB2312" w:hAnsi="Arial Black" w:eastAsia="仿宋_GB2312"/>
          <w:b/>
          <w:sz w:val="22"/>
          <w:szCs w:val="22"/>
          <w:highlight w:val="none"/>
        </w:rPr>
        <w:t>通达旺价估（202</w:t>
      </w:r>
      <w:r>
        <w:rPr>
          <w:rFonts w:ascii="仿宋_GB2312" w:hAnsi="Arial Black" w:eastAsia="仿宋_GB2312"/>
          <w:b/>
          <w:sz w:val="22"/>
          <w:szCs w:val="22"/>
          <w:highlight w:val="none"/>
        </w:rPr>
        <w:t>2</w:t>
      </w:r>
      <w:r>
        <w:rPr>
          <w:rFonts w:hint="eastAsia" w:ascii="仿宋_GB2312" w:hAnsi="Arial Black" w:eastAsia="仿宋_GB2312"/>
          <w:b/>
          <w:sz w:val="22"/>
          <w:szCs w:val="22"/>
          <w:highlight w:val="none"/>
        </w:rPr>
        <w:t>）70</w:t>
      </w:r>
      <w:r>
        <w:rPr>
          <w:rFonts w:hint="eastAsia" w:ascii="仿宋_GB2312" w:hAnsi="Arial Black" w:eastAsia="仿宋_GB2312"/>
          <w:b/>
          <w:sz w:val="22"/>
          <w:szCs w:val="22"/>
          <w:highlight w:val="none"/>
          <w:lang w:val="en-US" w:eastAsia="zh-CN"/>
        </w:rPr>
        <w:t>66</w:t>
      </w:r>
      <w:r>
        <w:rPr>
          <w:rFonts w:hint="eastAsia" w:ascii="仿宋_GB2312" w:hAnsi="Arial Black" w:eastAsia="仿宋_GB2312"/>
          <w:b/>
          <w:sz w:val="22"/>
          <w:szCs w:val="22"/>
          <w:highlight w:val="none"/>
        </w:rPr>
        <w:t>号</w:t>
      </w:r>
    </w:p>
    <w:p>
      <w:pPr>
        <w:spacing w:before="240" w:line="480" w:lineRule="exact"/>
        <w:rPr>
          <w:rFonts w:ascii="仿宋_GB2312" w:hAnsi="仿宋_GB2312" w:eastAsia="仿宋_GB2312"/>
          <w:b/>
          <w:sz w:val="28"/>
        </w:rPr>
      </w:pPr>
      <w:r>
        <w:rPr>
          <w:rFonts w:hint="eastAsia" w:ascii="仿宋_GB2312" w:hAnsi="仿宋_GB2312" w:eastAsia="仿宋_GB2312"/>
          <w:b/>
          <w:sz w:val="28"/>
        </w:rPr>
        <w:t>湖北省应城市人民法院：</w:t>
      </w:r>
    </w:p>
    <w:p>
      <w:pPr>
        <w:pStyle w:val="12"/>
        <w:spacing w:before="240" w:line="480" w:lineRule="exact"/>
        <w:ind w:firstLine="584"/>
        <w:rPr>
          <w:rFonts w:ascii="仿宋_GB2312" w:hAnsi="仿宋_GB2312" w:eastAsia="仿宋_GB2312" w:cs="Times New Roman"/>
          <w:sz w:val="28"/>
          <w:szCs w:val="24"/>
        </w:rPr>
      </w:pPr>
      <w:r>
        <w:rPr>
          <w:rFonts w:hint="eastAsia" w:ascii="仿宋_GB2312" w:hAnsi="仿宋_GB2312" w:eastAsia="仿宋_GB2312" w:cs="Times New Roman"/>
          <w:sz w:val="28"/>
          <w:szCs w:val="24"/>
        </w:rPr>
        <w:t>湖北通达旺房地产资产评估有限公司接受您的委托，根据国家有关资产评估的规定，本着独立、客观、公正、科学的原则，按照公认的评估方法及操作规范，</w:t>
      </w:r>
      <w:r>
        <w:rPr>
          <w:rFonts w:hint="eastAsia" w:ascii="仿宋_GB2312" w:hAnsi="仿宋_GB2312" w:eastAsia="仿宋_GB2312"/>
          <w:sz w:val="28"/>
        </w:rPr>
        <w:t>对湖北省应城市人民法院拟进行资产处置所涉及的湖北妙焱置业有限公司所属的湖北省应城市文昌路新缘城1#楼A区1-13轴交A-E轴由西往东1号至5号房地产的市场价值进行了评估工作</w:t>
      </w:r>
      <w:r>
        <w:rPr>
          <w:rFonts w:hint="eastAsia" w:ascii="仿宋_GB2312" w:hAnsi="仿宋_GB2312" w:eastAsia="仿宋_GB2312" w:cs="Times New Roman"/>
          <w:sz w:val="28"/>
          <w:szCs w:val="24"/>
        </w:rPr>
        <w:t>。本所评估人员按照必要的评估程序对委托评估的资产实施了实地查勘、市场调查等评估工作，对委估资产于评估基准日二</w:t>
      </w:r>
      <w:r>
        <w:rPr>
          <w:rFonts w:hint="eastAsia" w:ascii="微软雅黑" w:hAnsi="微软雅黑" w:eastAsia="微软雅黑" w:cs="微软雅黑"/>
          <w:sz w:val="28"/>
          <w:szCs w:val="24"/>
        </w:rPr>
        <w:t>〇</w:t>
      </w:r>
      <w:r>
        <w:rPr>
          <w:rFonts w:hint="eastAsia" w:ascii="仿宋_GB2312" w:hAnsi="仿宋_GB2312" w:eastAsia="仿宋_GB2312" w:cs="仿宋_GB2312"/>
          <w:sz w:val="28"/>
          <w:szCs w:val="24"/>
        </w:rPr>
        <w:t>二二年四月二十五日</w:t>
      </w:r>
      <w:r>
        <w:rPr>
          <w:rFonts w:hint="eastAsia" w:ascii="仿宋_GB2312" w:hAnsi="仿宋_GB2312" w:eastAsia="仿宋_GB2312" w:cs="Times New Roman"/>
          <w:sz w:val="28"/>
          <w:szCs w:val="24"/>
        </w:rPr>
        <w:t>所表现的市场价值作了公允反映。现将资产评估情况及评估结果报告如下：</w:t>
      </w:r>
    </w:p>
    <w:p>
      <w:pPr>
        <w:pStyle w:val="12"/>
        <w:spacing w:line="480" w:lineRule="exact"/>
        <w:ind w:firstLine="584"/>
        <w:rPr>
          <w:rFonts w:ascii="华文中宋" w:hAnsi="华文中宋" w:eastAsia="华文中宋" w:cs="Times New Roman"/>
          <w:sz w:val="24"/>
          <w:szCs w:val="24"/>
        </w:rPr>
      </w:pPr>
    </w:p>
    <w:p>
      <w:pPr>
        <w:pStyle w:val="2"/>
      </w:pPr>
      <w:bookmarkStart w:id="8" w:name="_Toc104836919"/>
      <w:r>
        <w:rPr>
          <w:rFonts w:hint="eastAsia"/>
        </w:rPr>
        <w:t>一、委托人及其他资产评估报告使用人</w:t>
      </w:r>
      <w:bookmarkEnd w:id="8"/>
    </w:p>
    <w:p>
      <w:pPr>
        <w:spacing w:line="500" w:lineRule="exact"/>
        <w:rPr>
          <w:rFonts w:ascii="仿宋_GB2312" w:hAnsi="仿宋_GB2312" w:eastAsia="仿宋_GB2312"/>
          <w:sz w:val="28"/>
        </w:rPr>
      </w:pPr>
      <w:r>
        <w:rPr>
          <w:rFonts w:hint="eastAsia" w:ascii="仿宋_GB2312" w:hAnsi="仿宋_GB2312" w:eastAsia="仿宋_GB2312"/>
          <w:b/>
          <w:sz w:val="28"/>
        </w:rPr>
        <w:t>1、委托人：</w:t>
      </w:r>
      <w:r>
        <w:rPr>
          <w:rFonts w:hint="eastAsia" w:ascii="仿宋_GB2312" w:hAnsi="仿宋_GB2312" w:eastAsia="仿宋_GB2312"/>
          <w:sz w:val="28"/>
        </w:rPr>
        <w:t>湖北省应城市人民法院。</w:t>
      </w:r>
    </w:p>
    <w:p>
      <w:pPr>
        <w:pStyle w:val="35"/>
        <w:spacing w:line="500" w:lineRule="exact"/>
        <w:ind w:firstLine="422" w:firstLineChars="151"/>
        <w:rPr>
          <w:rFonts w:ascii="仿宋_GB2312" w:hAnsi="仿宋_GB2312" w:eastAsia="仿宋_GB2312"/>
          <w:kern w:val="2"/>
          <w:sz w:val="28"/>
        </w:rPr>
      </w:pPr>
      <w:r>
        <w:rPr>
          <w:rFonts w:ascii="仿宋_GB2312" w:hAnsi="仿宋_GB2312" w:eastAsia="仿宋_GB2312"/>
          <w:kern w:val="2"/>
          <w:sz w:val="28"/>
        </w:rPr>
        <w:t>地</w:t>
      </w:r>
      <w:r>
        <w:rPr>
          <w:rFonts w:hint="eastAsia" w:ascii="仿宋_GB2312" w:hAnsi="仿宋_GB2312" w:eastAsia="仿宋_GB2312"/>
          <w:kern w:val="2"/>
          <w:sz w:val="28"/>
        </w:rPr>
        <w:t xml:space="preserve"> </w:t>
      </w:r>
      <w:r>
        <w:rPr>
          <w:rFonts w:ascii="仿宋_GB2312" w:hAnsi="仿宋_GB2312" w:eastAsia="仿宋_GB2312"/>
          <w:kern w:val="2"/>
          <w:sz w:val="28"/>
        </w:rPr>
        <w:t xml:space="preserve"> 址</w:t>
      </w:r>
      <w:r>
        <w:rPr>
          <w:rFonts w:hint="eastAsia" w:ascii="仿宋_GB2312" w:hAnsi="仿宋_GB2312" w:eastAsia="仿宋_GB2312"/>
          <w:kern w:val="2"/>
          <w:sz w:val="28"/>
        </w:rPr>
        <w:t>：</w:t>
      </w:r>
      <w:r>
        <w:rPr>
          <w:rFonts w:ascii="仿宋_GB2312" w:hAnsi="仿宋_GB2312" w:eastAsia="仿宋_GB2312"/>
          <w:kern w:val="2"/>
          <w:sz w:val="28"/>
        </w:rPr>
        <w:t>应城市蒲阳大道37号</w:t>
      </w:r>
      <w:r>
        <w:rPr>
          <w:rFonts w:hint="eastAsia" w:ascii="仿宋_GB2312" w:hAnsi="仿宋_GB2312" w:eastAsia="仿宋_GB2312"/>
          <w:kern w:val="2"/>
          <w:sz w:val="28"/>
        </w:rPr>
        <w:t>。</w:t>
      </w:r>
    </w:p>
    <w:p>
      <w:pPr>
        <w:spacing w:line="500" w:lineRule="exact"/>
        <w:rPr>
          <w:rFonts w:ascii="仿宋_GB2312" w:hAnsi="仿宋_GB2312" w:eastAsia="仿宋_GB2312"/>
          <w:sz w:val="28"/>
        </w:rPr>
      </w:pPr>
      <w:r>
        <w:rPr>
          <w:rFonts w:hint="eastAsia" w:ascii="仿宋_GB2312" w:hAnsi="仿宋_GB2312" w:eastAsia="仿宋_GB2312"/>
          <w:b/>
          <w:sz w:val="28"/>
        </w:rPr>
        <w:t>2、产权持有人：</w:t>
      </w:r>
      <w:r>
        <w:rPr>
          <w:rFonts w:hint="eastAsia" w:ascii="仿宋_GB2312" w:hAnsi="仿宋_GB2312" w:eastAsia="仿宋_GB2312"/>
          <w:sz w:val="28"/>
        </w:rPr>
        <w:t>湖北妙焱置业有限公司。</w:t>
      </w:r>
    </w:p>
    <w:p>
      <w:pPr>
        <w:spacing w:line="500" w:lineRule="exact"/>
        <w:rPr>
          <w:rFonts w:eastAsia="仿宋_GB2312"/>
          <w:sz w:val="28"/>
        </w:rPr>
      </w:pPr>
      <w:r>
        <w:rPr>
          <w:rFonts w:hint="eastAsia" w:ascii="仿宋_GB2312" w:hAnsi="仿宋_GB2312" w:eastAsia="仿宋_GB2312"/>
          <w:b/>
          <w:sz w:val="28"/>
        </w:rPr>
        <w:t>3、</w:t>
      </w:r>
      <w:r>
        <w:rPr>
          <w:rFonts w:hint="eastAsia" w:eastAsia="仿宋_GB2312"/>
          <w:b/>
          <w:sz w:val="28"/>
        </w:rPr>
        <w:t>委托人、评估委托合同约定的其他评估报告使用人</w:t>
      </w:r>
      <w:r>
        <w:rPr>
          <w:rFonts w:hint="eastAsia" w:ascii="仿宋_GB2312" w:hAnsi="仿宋_GB2312" w:eastAsia="仿宋_GB2312"/>
          <w:b/>
          <w:sz w:val="28"/>
        </w:rPr>
        <w:t>：</w:t>
      </w:r>
      <w:r>
        <w:rPr>
          <w:rFonts w:hint="eastAsia" w:eastAsia="仿宋_GB2312"/>
          <w:sz w:val="28"/>
        </w:rPr>
        <w:t>本评估报告的使用者为委托人、产权持有人、经济行为相关的当事方以及按照法律法规规定的相关监管机构。</w:t>
      </w:r>
    </w:p>
    <w:p>
      <w:pPr>
        <w:pStyle w:val="5"/>
        <w:spacing w:line="500" w:lineRule="exact"/>
        <w:ind w:firstLine="560"/>
        <w:rPr>
          <w:rFonts w:eastAsia="仿宋_GB2312"/>
          <w:sz w:val="28"/>
        </w:rPr>
      </w:pPr>
      <w:r>
        <w:rPr>
          <w:rFonts w:hint="eastAsia" w:eastAsia="仿宋_GB2312"/>
          <w:sz w:val="28"/>
        </w:rPr>
        <w:t>除国家法律法规另有规定外，任何未经评估机构和委托人确认的机构或个人不能由于得到评估报告而成为评估报告使用人。</w:t>
      </w:r>
    </w:p>
    <w:p>
      <w:pPr>
        <w:pStyle w:val="5"/>
        <w:spacing w:line="500" w:lineRule="exact"/>
        <w:ind w:firstLine="560"/>
        <w:rPr>
          <w:rFonts w:hint="eastAsia" w:ascii="仿宋_GB2312" w:hAnsi="仿宋_GB2312" w:eastAsia="仿宋_GB2312"/>
          <w:sz w:val="28"/>
        </w:rPr>
      </w:pPr>
    </w:p>
    <w:p>
      <w:pPr>
        <w:pStyle w:val="2"/>
      </w:pPr>
      <w:bookmarkStart w:id="9" w:name="_Toc104836920"/>
      <w:r>
        <w:rPr>
          <w:rFonts w:hint="eastAsia"/>
        </w:rPr>
        <w:t>二、评估目的</w:t>
      </w:r>
      <w:bookmarkEnd w:id="9"/>
    </w:p>
    <w:p>
      <w:pPr>
        <w:spacing w:line="480" w:lineRule="exact"/>
        <w:ind w:firstLine="560" w:firstLineChars="200"/>
        <w:rPr>
          <w:rFonts w:ascii="仿宋_GB2312" w:hAnsi="仿宋_GB2312" w:eastAsia="仿宋_GB2312"/>
          <w:sz w:val="28"/>
        </w:rPr>
      </w:pPr>
      <w:r>
        <w:rPr>
          <w:rFonts w:hint="eastAsia" w:ascii="仿宋_GB2312" w:hAnsi="仿宋_GB2312" w:eastAsia="仿宋_GB2312"/>
          <w:sz w:val="28"/>
        </w:rPr>
        <w:t>本次评估目的是为湖北省应城市人民法院进行财产处置提供市场价格参考。</w:t>
      </w:r>
    </w:p>
    <w:p>
      <w:pPr>
        <w:spacing w:line="480" w:lineRule="exact"/>
        <w:ind w:firstLine="560" w:firstLineChars="200"/>
        <w:rPr>
          <w:rFonts w:ascii="仿宋_GB2312" w:hAnsi="仿宋_GB2312" w:eastAsia="仿宋_GB2312"/>
          <w:sz w:val="28"/>
        </w:rPr>
      </w:pPr>
    </w:p>
    <w:p>
      <w:pPr>
        <w:pStyle w:val="2"/>
      </w:pPr>
      <w:bookmarkStart w:id="10" w:name="_Toc104836921"/>
      <w:r>
        <w:rPr>
          <w:rFonts w:hint="eastAsia"/>
        </w:rPr>
        <w:t>三、评估范围和对象</w:t>
      </w:r>
      <w:bookmarkEnd w:id="10"/>
    </w:p>
    <w:p>
      <w:pPr>
        <w:spacing w:line="480" w:lineRule="exact"/>
        <w:ind w:firstLine="560" w:firstLineChars="200"/>
        <w:rPr>
          <w:rFonts w:ascii="仿宋_GB2312" w:hAnsi="仿宋_GB2312" w:eastAsia="仿宋_GB2312"/>
          <w:sz w:val="28"/>
        </w:rPr>
      </w:pPr>
      <w:r>
        <w:rPr>
          <w:rFonts w:hint="eastAsia" w:ascii="仿宋_GB2312" w:hAnsi="仿宋_GB2312" w:eastAsia="仿宋_GB2312"/>
          <w:color w:val="000000"/>
          <w:sz w:val="28"/>
        </w:rPr>
        <w:t>本次评估对象和范围为</w:t>
      </w:r>
      <w:r>
        <w:rPr>
          <w:rFonts w:hint="eastAsia" w:ascii="仿宋_GB2312" w:hAnsi="仿宋_GB2312" w:eastAsia="仿宋_GB2312"/>
          <w:sz w:val="28"/>
        </w:rPr>
        <w:t>湖北妙焱置业有限公司所属的湖北省应城市文昌路新缘城1#楼A区1-13轴交A-E轴由西往东1号至5号房地产，评估范围和对象与委托方要求完全一致。资产</w:t>
      </w:r>
      <w:r>
        <w:rPr>
          <w:rFonts w:ascii="仿宋_GB2312" w:hAnsi="仿宋_GB2312" w:eastAsia="仿宋_GB2312"/>
          <w:sz w:val="28"/>
        </w:rPr>
        <w:t>详情如下：</w:t>
      </w:r>
    </w:p>
    <w:p>
      <w:pPr>
        <w:tabs>
          <w:tab w:val="left" w:pos="720"/>
        </w:tabs>
        <w:spacing w:line="480" w:lineRule="exact"/>
        <w:ind w:firstLine="560" w:firstLineChars="200"/>
        <w:jc w:val="left"/>
        <w:rPr>
          <w:rFonts w:hint="eastAsia" w:ascii="仿宋_GB2312" w:hAnsi="仿宋_GB2312" w:eastAsia="仿宋_GB2312"/>
          <w:color w:val="000000"/>
          <w:sz w:val="28"/>
        </w:rPr>
      </w:pPr>
      <w:r>
        <w:rPr>
          <w:rFonts w:hint="eastAsia" w:ascii="仿宋_GB2312" w:hAnsi="仿宋_GB2312" w:eastAsia="仿宋_GB2312"/>
          <w:color w:val="000000"/>
          <w:sz w:val="28"/>
        </w:rPr>
        <w:t>（一）评估对象界定</w:t>
      </w:r>
    </w:p>
    <w:p>
      <w:pPr>
        <w:tabs>
          <w:tab w:val="left" w:pos="720"/>
        </w:tabs>
        <w:spacing w:line="480" w:lineRule="exact"/>
        <w:ind w:firstLine="560" w:firstLineChars="200"/>
        <w:jc w:val="left"/>
        <w:rPr>
          <w:rFonts w:hint="eastAsia" w:ascii="仿宋_GB2312" w:hAnsi="仿宋_GB2312" w:eastAsia="仿宋_GB2312"/>
          <w:color w:val="000000"/>
          <w:sz w:val="28"/>
        </w:rPr>
      </w:pPr>
      <w:r>
        <w:rPr>
          <w:rFonts w:hint="eastAsia" w:ascii="仿宋_GB2312" w:hAnsi="仿宋_GB2312" w:eastAsia="仿宋_GB2312"/>
          <w:color w:val="000000"/>
          <w:sz w:val="28"/>
        </w:rPr>
        <w:t>本次评估对象为</w:t>
      </w:r>
      <w:r>
        <w:rPr>
          <w:rFonts w:ascii="仿宋_GB2312" w:hAnsi="仿宋_GB2312" w:eastAsia="仿宋_GB2312"/>
          <w:color w:val="000000"/>
          <w:sz w:val="28"/>
        </w:rPr>
        <w:t>湖北妙焱置业有限公司所属的位于</w:t>
      </w:r>
      <w:r>
        <w:rPr>
          <w:rFonts w:hint="eastAsia" w:ascii="仿宋_GB2312" w:hAnsi="仿宋_GB2312" w:eastAsia="仿宋_GB2312"/>
          <w:color w:val="000000"/>
          <w:sz w:val="28"/>
        </w:rPr>
        <w:t>湖北省应城市文昌路新缘城1#楼A区1-13轴交A-E轴由西往东1号至5号，建筑面积为327.18平方米的房屋，包含建筑物、</w:t>
      </w:r>
      <w:r>
        <w:rPr>
          <w:rFonts w:ascii="仿宋_GB2312" w:hAnsi="仿宋_GB2312" w:eastAsia="仿宋_GB2312"/>
          <w:color w:val="000000"/>
          <w:sz w:val="28"/>
        </w:rPr>
        <w:t>不可分离设施设备及装修价值</w:t>
      </w:r>
      <w:r>
        <w:rPr>
          <w:rFonts w:hint="eastAsia" w:ascii="仿宋_GB2312" w:hAnsi="仿宋_GB2312" w:eastAsia="仿宋_GB2312"/>
          <w:color w:val="000000"/>
          <w:sz w:val="28"/>
        </w:rPr>
        <w:t>、</w:t>
      </w:r>
      <w:r>
        <w:rPr>
          <w:rFonts w:ascii="仿宋_GB2312" w:hAnsi="仿宋_GB2312" w:eastAsia="仿宋_GB2312"/>
          <w:color w:val="000000"/>
          <w:sz w:val="28"/>
        </w:rPr>
        <w:t>相应分摊的土地使用权价值。</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（二）区位状况</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1.位置状况：评估对象小区临文昌路，位于应城广场附近，区位条件较好。</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2.交通条件：评估对象</w:t>
      </w:r>
      <w:r>
        <w:rPr>
          <w:rFonts w:ascii="仿宋_GB2312" w:hAnsi="仿宋_GB2312" w:eastAsia="仿宋_GB2312"/>
          <w:color w:val="000000"/>
          <w:sz w:val="28"/>
        </w:rPr>
        <w:t>电力公司</w:t>
      </w:r>
      <w:r>
        <w:rPr>
          <w:rFonts w:hint="eastAsia" w:ascii="仿宋_GB2312" w:hAnsi="仿宋_GB2312" w:eastAsia="仿宋_GB2312"/>
          <w:color w:val="000000"/>
          <w:sz w:val="28"/>
        </w:rPr>
        <w:t>公交车站约</w:t>
      </w:r>
      <w:r>
        <w:rPr>
          <w:rFonts w:ascii="仿宋_GB2312" w:hAnsi="仿宋_GB2312" w:eastAsia="仿宋_GB2312"/>
          <w:color w:val="000000"/>
          <w:sz w:val="28"/>
        </w:rPr>
        <w:t>200</w:t>
      </w:r>
      <w:r>
        <w:rPr>
          <w:rFonts w:hint="eastAsia" w:ascii="仿宋_GB2312" w:hAnsi="仿宋_GB2312" w:eastAsia="仿宋_GB2312"/>
          <w:color w:val="000000"/>
          <w:sz w:val="28"/>
        </w:rPr>
        <w:t>米，有应城</w:t>
      </w:r>
      <w:r>
        <w:rPr>
          <w:rFonts w:ascii="仿宋_GB2312" w:hAnsi="仿宋_GB2312" w:eastAsia="仿宋_GB2312"/>
          <w:color w:val="000000"/>
          <w:sz w:val="28"/>
        </w:rPr>
        <w:t>2路</w:t>
      </w:r>
      <w:r>
        <w:rPr>
          <w:rFonts w:hint="eastAsia" w:ascii="仿宋_GB2312" w:hAnsi="仿宋_GB2312" w:eastAsia="仿宋_GB2312"/>
          <w:color w:val="000000"/>
          <w:sz w:val="28"/>
        </w:rPr>
        <w:t>等公交线路途经，通向应城市各地区，对内对外交通较为便捷。</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3.公共设施：评估对象所在区域内，基础设施电、气、通讯的完善度、保证度、保有度较高，并拥有完善的给排水系统，能够保障生活及生产经营需要。公共配套设施分布较集中，学校、医院、生活配套设施较齐全，文体、教育、娱乐设施完备，能满足消费者文化、娱乐、休闲需要。</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4.居住成熟度：评估对象区域内有</w:t>
      </w:r>
      <w:r>
        <w:rPr>
          <w:rFonts w:ascii="仿宋_GB2312" w:hAnsi="仿宋_GB2312" w:eastAsia="仿宋_GB2312"/>
          <w:color w:val="000000"/>
          <w:sz w:val="28"/>
        </w:rPr>
        <w:t>789生活超市</w:t>
      </w:r>
      <w:r>
        <w:rPr>
          <w:rFonts w:hint="eastAsia" w:ascii="仿宋_GB2312" w:hAnsi="仿宋_GB2312" w:eastAsia="仿宋_GB2312"/>
          <w:color w:val="000000"/>
          <w:sz w:val="28"/>
        </w:rPr>
        <w:t>、</w:t>
      </w:r>
      <w:r>
        <w:rPr>
          <w:rFonts w:ascii="仿宋_GB2312" w:hAnsi="仿宋_GB2312" w:eastAsia="仿宋_GB2312"/>
          <w:color w:val="000000"/>
          <w:sz w:val="28"/>
        </w:rPr>
        <w:t>杰欣超市</w:t>
      </w:r>
      <w:r>
        <w:rPr>
          <w:rFonts w:hint="eastAsia" w:ascii="仿宋_GB2312" w:hAnsi="仿宋_GB2312" w:eastAsia="仿宋_GB2312"/>
          <w:color w:val="000000"/>
          <w:sz w:val="28"/>
        </w:rPr>
        <w:t>等生活服务设施；有</w:t>
      </w:r>
      <w:r>
        <w:rPr>
          <w:rFonts w:ascii="仿宋_GB2312" w:hAnsi="仿宋_GB2312" w:eastAsia="仿宋_GB2312"/>
          <w:color w:val="000000"/>
          <w:sz w:val="28"/>
        </w:rPr>
        <w:t>湖北应城农村商业银行</w:t>
      </w:r>
      <w:r>
        <w:rPr>
          <w:rFonts w:hint="eastAsia" w:ascii="仿宋_GB2312" w:hAnsi="仿宋_GB2312" w:eastAsia="仿宋_GB2312"/>
          <w:color w:val="000000"/>
          <w:sz w:val="28"/>
        </w:rPr>
        <w:t>、工商</w:t>
      </w:r>
      <w:r>
        <w:rPr>
          <w:rFonts w:ascii="仿宋_GB2312" w:hAnsi="仿宋_GB2312" w:eastAsia="仿宋_GB2312"/>
          <w:color w:val="000000"/>
          <w:sz w:val="28"/>
        </w:rPr>
        <w:t>银行</w:t>
      </w:r>
      <w:r>
        <w:rPr>
          <w:rFonts w:hint="eastAsia" w:ascii="仿宋_GB2312" w:hAnsi="仿宋_GB2312" w:eastAsia="仿宋_GB2312"/>
          <w:color w:val="000000"/>
          <w:sz w:val="28"/>
        </w:rPr>
        <w:t>等金融机构；附近有</w:t>
      </w:r>
      <w:r>
        <w:rPr>
          <w:rFonts w:ascii="仿宋_GB2312" w:hAnsi="仿宋_GB2312" w:eastAsia="仿宋_GB2312"/>
          <w:color w:val="000000"/>
          <w:sz w:val="28"/>
        </w:rPr>
        <w:t>应城市开发区学校</w:t>
      </w:r>
      <w:r>
        <w:rPr>
          <w:rFonts w:hint="eastAsia" w:ascii="仿宋_GB2312" w:hAnsi="仿宋_GB2312" w:eastAsia="仿宋_GB2312"/>
          <w:color w:val="000000"/>
          <w:sz w:val="28"/>
        </w:rPr>
        <w:t>、</w:t>
      </w:r>
      <w:r>
        <w:rPr>
          <w:rFonts w:ascii="仿宋_GB2312" w:hAnsi="仿宋_GB2312" w:eastAsia="仿宋_GB2312"/>
          <w:color w:val="000000"/>
          <w:sz w:val="28"/>
        </w:rPr>
        <w:t>应城市实验小学</w:t>
      </w:r>
      <w:r>
        <w:rPr>
          <w:rFonts w:hint="eastAsia" w:ascii="仿宋_GB2312" w:hAnsi="仿宋_GB2312" w:eastAsia="仿宋_GB2312"/>
          <w:color w:val="000000"/>
          <w:sz w:val="28"/>
        </w:rPr>
        <w:t>等教育机构；有</w:t>
      </w:r>
      <w:r>
        <w:rPr>
          <w:rFonts w:ascii="仿宋_GB2312" w:hAnsi="仿宋_GB2312" w:eastAsia="仿宋_GB2312"/>
          <w:color w:val="000000"/>
          <w:sz w:val="28"/>
        </w:rPr>
        <w:t>月圆小区</w:t>
      </w:r>
      <w:r>
        <w:rPr>
          <w:rFonts w:hint="eastAsia" w:ascii="仿宋_GB2312" w:hAnsi="仿宋_GB2312" w:eastAsia="仿宋_GB2312"/>
          <w:color w:val="000000"/>
          <w:sz w:val="28"/>
        </w:rPr>
        <w:t>、</w:t>
      </w:r>
      <w:r>
        <w:rPr>
          <w:rFonts w:ascii="仿宋_GB2312" w:hAnsi="仿宋_GB2312" w:eastAsia="仿宋_GB2312"/>
          <w:color w:val="000000"/>
          <w:sz w:val="28"/>
        </w:rPr>
        <w:t>广场公寓</w:t>
      </w:r>
      <w:r>
        <w:rPr>
          <w:rFonts w:hint="eastAsia" w:ascii="仿宋_GB2312" w:hAnsi="仿宋_GB2312" w:eastAsia="仿宋_GB2312"/>
          <w:color w:val="000000"/>
          <w:sz w:val="28"/>
        </w:rPr>
        <w:t>等居住小区，居住成熟度较好，商业成熟度一般，商业聚集度一般，商业氛围一般。</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5.宜居条件：绿化环境良好，无噪音、空气、卫生污染。</w:t>
      </w:r>
    </w:p>
    <w:p>
      <w:pPr>
        <w:pStyle w:val="22"/>
        <w:framePr w:w="0" w:hRule="auto" w:hSpace="0" w:wrap="auto" w:vAnchor="margin" w:hAnchor="text" w:xAlign="left" w:yAlign="inline"/>
        <w:tabs>
          <w:tab w:val="left" w:pos="851"/>
        </w:tabs>
        <w:spacing w:after="0" w:line="480" w:lineRule="exact"/>
        <w:ind w:left="0" w:leftChars="0" w:firstLine="565" w:firstLineChars="202"/>
        <w:rPr>
          <w:rFonts w:ascii="仿宋_GB2312" w:hAnsi="仿宋_GB2312" w:eastAsia="仿宋_GB2312"/>
          <w:color w:val="000000"/>
          <w:sz w:val="28"/>
        </w:rPr>
      </w:pPr>
      <w:r>
        <w:rPr>
          <w:rFonts w:hint="eastAsia" w:ascii="仿宋_GB2312" w:hAnsi="仿宋_GB2312" w:eastAsia="仿宋_GB2312"/>
          <w:color w:val="000000"/>
          <w:sz w:val="28"/>
        </w:rPr>
        <w:t xml:space="preserve">（三）实物状况 </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ascii="仿宋_GB2312" w:hAnsi="仿宋_GB2312" w:eastAsia="仿宋_GB2312"/>
          <w:color w:val="000000"/>
          <w:sz w:val="28"/>
        </w:rPr>
        <w:t>1</w:t>
      </w:r>
      <w:r>
        <w:rPr>
          <w:rFonts w:hint="eastAsia" w:ascii="仿宋_GB2312" w:hAnsi="仿宋_GB2312" w:eastAsia="仿宋_GB2312"/>
          <w:color w:val="000000"/>
          <w:sz w:val="28"/>
        </w:rPr>
        <w:t>、建筑物状况</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①、物业名称、类型：文昌新缘城，多层商住楼，楼梯房。</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②、房屋坐落：湖北省应城市文昌路新缘城1#楼A区1-13轴交A-E轴由西往东1号至5号，登记坐落与实际查勘为同一地址。</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③、房屋用途：规划用途不详，设计用途为商业，评估设定用途与设计用途一致。</w:t>
      </w:r>
    </w:p>
    <w:p>
      <w:pPr>
        <w:pStyle w:val="22"/>
        <w:framePr w:w="0" w:hRule="auto" w:hSpace="0" w:wrap="auto" w:vAnchor="margin" w:hAnchor="text" w:xAlign="left" w:yAlign="inline"/>
        <w:tabs>
          <w:tab w:val="left" w:pos="851"/>
        </w:tabs>
        <w:spacing w:after="0" w:line="480" w:lineRule="exact"/>
        <w:ind w:left="0" w:leftChars="0" w:firstLine="565" w:firstLineChars="202"/>
        <w:rPr>
          <w:rFonts w:ascii="仿宋_GB2312" w:hAnsi="仿宋_GB2312" w:eastAsia="仿宋_GB2312"/>
          <w:color w:val="000000"/>
          <w:sz w:val="28"/>
        </w:rPr>
      </w:pPr>
      <w:r>
        <w:rPr>
          <w:rFonts w:hint="eastAsia" w:ascii="仿宋_GB2312" w:hAnsi="仿宋_GB2312" w:eastAsia="仿宋_GB2312"/>
          <w:color w:val="000000"/>
          <w:sz w:val="28"/>
        </w:rPr>
        <w:t>④、建筑结构、层数、层高、面积：</w:t>
      </w:r>
    </w:p>
    <w:tbl>
      <w:tblPr>
        <w:tblStyle w:val="23"/>
        <w:tblW w:w="90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4038"/>
        <w:gridCol w:w="1042"/>
        <w:gridCol w:w="1202"/>
        <w:gridCol w:w="1040"/>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shd w:val="clear" w:color="auto" w:fill="auto"/>
            <w:noWrap/>
            <w:vAlign w:val="center"/>
          </w:tcPr>
          <w:p>
            <w:pPr>
              <w:widowControl/>
              <w:spacing w:line="480" w:lineRule="exact"/>
              <w:jc w:val="center"/>
              <w:rPr>
                <w:rFonts w:ascii="仿宋_GB2312" w:hAnsi="仿宋_GB2312" w:eastAsia="仿宋_GB2312"/>
                <w:color w:val="000000"/>
                <w:sz w:val="24"/>
                <w:szCs w:val="22"/>
              </w:rPr>
            </w:pPr>
            <w:r>
              <w:rPr>
                <w:rFonts w:hint="eastAsia" w:ascii="仿宋_GB2312" w:hAnsi="仿宋_GB2312" w:eastAsia="仿宋_GB2312"/>
                <w:color w:val="000000"/>
                <w:sz w:val="24"/>
                <w:szCs w:val="22"/>
              </w:rPr>
              <w:t>序号</w:t>
            </w:r>
          </w:p>
        </w:tc>
        <w:tc>
          <w:tcPr>
            <w:tcW w:w="4038"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坐落</w:t>
            </w:r>
          </w:p>
        </w:tc>
        <w:tc>
          <w:tcPr>
            <w:tcW w:w="104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楼层</w:t>
            </w:r>
          </w:p>
        </w:tc>
        <w:tc>
          <w:tcPr>
            <w:tcW w:w="120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建筑面积（</w:t>
            </w:r>
            <w:r>
              <w:rPr>
                <w:rFonts w:hint="eastAsia" w:ascii="Segoe UI Symbol" w:hAnsi="Segoe UI Symbol" w:eastAsia="Segoe UI Symbol" w:cs="Segoe UI Symbol"/>
                <w:color w:val="000000"/>
                <w:sz w:val="24"/>
                <w:szCs w:val="22"/>
              </w:rPr>
              <w:t>㎡</w:t>
            </w:r>
            <w:r>
              <w:rPr>
                <w:rFonts w:hint="eastAsia" w:ascii="仿宋_GB2312" w:hAnsi="仿宋_GB2312" w:eastAsia="仿宋_GB2312"/>
                <w:color w:val="000000"/>
                <w:sz w:val="24"/>
                <w:szCs w:val="22"/>
              </w:rPr>
              <w:t>）</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结构</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层高（m）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1</w:t>
            </w:r>
          </w:p>
        </w:tc>
        <w:tc>
          <w:tcPr>
            <w:tcW w:w="4038" w:type="dxa"/>
            <w:shd w:val="clear" w:color="auto" w:fill="auto"/>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湖北省应城市文昌路新缘城1#楼A区1-13轴交A-E轴由西往东1号</w:t>
            </w:r>
          </w:p>
        </w:tc>
        <w:tc>
          <w:tcPr>
            <w:tcW w:w="104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第1层/总6层</w:t>
            </w:r>
          </w:p>
        </w:tc>
        <w:tc>
          <w:tcPr>
            <w:tcW w:w="120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64.80</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框架</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约3.75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2</w:t>
            </w:r>
          </w:p>
        </w:tc>
        <w:tc>
          <w:tcPr>
            <w:tcW w:w="4038" w:type="dxa"/>
            <w:shd w:val="clear" w:color="auto" w:fill="auto"/>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湖北省应城市文昌路新缘城1#楼A区1-13轴交A-E轴由西往东2号</w:t>
            </w:r>
          </w:p>
        </w:tc>
        <w:tc>
          <w:tcPr>
            <w:tcW w:w="104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第1层/总6层</w:t>
            </w:r>
          </w:p>
        </w:tc>
        <w:tc>
          <w:tcPr>
            <w:tcW w:w="120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66.39</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框架</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约3.75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3</w:t>
            </w:r>
          </w:p>
        </w:tc>
        <w:tc>
          <w:tcPr>
            <w:tcW w:w="4038" w:type="dxa"/>
            <w:shd w:val="clear" w:color="auto" w:fill="auto"/>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湖北省应城市文昌路新缘城1#楼A区1-13轴交A-E轴由西往东3号</w:t>
            </w:r>
          </w:p>
        </w:tc>
        <w:tc>
          <w:tcPr>
            <w:tcW w:w="104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第1层/总6层</w:t>
            </w:r>
          </w:p>
        </w:tc>
        <w:tc>
          <w:tcPr>
            <w:tcW w:w="120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66.39</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框架</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约3.75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4</w:t>
            </w:r>
          </w:p>
        </w:tc>
        <w:tc>
          <w:tcPr>
            <w:tcW w:w="4038" w:type="dxa"/>
            <w:shd w:val="clear" w:color="auto" w:fill="auto"/>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湖北省应城市文昌路新缘城1#楼A区1-13轴交A-E轴由西往东4号</w:t>
            </w:r>
          </w:p>
        </w:tc>
        <w:tc>
          <w:tcPr>
            <w:tcW w:w="104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第1层/总6层</w:t>
            </w:r>
          </w:p>
        </w:tc>
        <w:tc>
          <w:tcPr>
            <w:tcW w:w="120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64.80</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框架</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约3.75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5</w:t>
            </w:r>
          </w:p>
        </w:tc>
        <w:tc>
          <w:tcPr>
            <w:tcW w:w="4038" w:type="dxa"/>
            <w:shd w:val="clear" w:color="auto" w:fill="auto"/>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湖北省应城市文昌路新缘城1#楼A区1-13轴交A-E轴由西往东5号</w:t>
            </w:r>
          </w:p>
        </w:tc>
        <w:tc>
          <w:tcPr>
            <w:tcW w:w="104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第1层/总6层</w:t>
            </w:r>
          </w:p>
        </w:tc>
        <w:tc>
          <w:tcPr>
            <w:tcW w:w="120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64.80</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框架</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r>
              <w:rPr>
                <w:rFonts w:hint="eastAsia" w:ascii="仿宋_GB2312" w:hAnsi="仿宋_GB2312" w:eastAsia="仿宋_GB2312"/>
                <w:color w:val="000000"/>
                <w:sz w:val="24"/>
                <w:szCs w:val="22"/>
              </w:rPr>
              <w:t>约3.75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p>
        </w:tc>
        <w:tc>
          <w:tcPr>
            <w:tcW w:w="4038" w:type="dxa"/>
            <w:shd w:val="clear" w:color="auto" w:fill="auto"/>
            <w:noWrap/>
            <w:vAlign w:val="center"/>
          </w:tcPr>
          <w:p>
            <w:pPr>
              <w:widowControl/>
              <w:spacing w:line="480" w:lineRule="exact"/>
              <w:jc w:val="center"/>
              <w:rPr>
                <w:rFonts w:ascii="仿宋_GB2312" w:hAnsi="仿宋_GB2312" w:eastAsia="仿宋_GB2312"/>
                <w:color w:val="000000"/>
                <w:sz w:val="24"/>
                <w:szCs w:val="22"/>
              </w:rPr>
            </w:pPr>
            <w:r>
              <w:rPr>
                <w:rFonts w:hint="eastAsia" w:ascii="仿宋_GB2312" w:hAnsi="仿宋_GB2312" w:eastAsia="仿宋_GB2312"/>
                <w:color w:val="000000"/>
                <w:sz w:val="24"/>
                <w:szCs w:val="22"/>
              </w:rPr>
              <w:t>合               计</w:t>
            </w:r>
          </w:p>
        </w:tc>
        <w:tc>
          <w:tcPr>
            <w:tcW w:w="1042"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p>
        </w:tc>
        <w:tc>
          <w:tcPr>
            <w:tcW w:w="1202" w:type="dxa"/>
            <w:shd w:val="clear" w:color="auto" w:fill="auto"/>
            <w:noWrap/>
            <w:vAlign w:val="center"/>
          </w:tcPr>
          <w:p>
            <w:pPr>
              <w:widowControl/>
              <w:spacing w:line="480" w:lineRule="exact"/>
              <w:jc w:val="center"/>
              <w:rPr>
                <w:rFonts w:ascii="仿宋_GB2312" w:hAnsi="仿宋_GB2312" w:eastAsia="仿宋_GB2312"/>
                <w:color w:val="000000"/>
                <w:sz w:val="24"/>
                <w:szCs w:val="22"/>
              </w:rPr>
            </w:pPr>
            <w:r>
              <w:rPr>
                <w:rFonts w:hint="eastAsia" w:ascii="仿宋_GB2312" w:hAnsi="仿宋_GB2312" w:eastAsia="仿宋_GB2312"/>
                <w:color w:val="000000"/>
                <w:sz w:val="24"/>
                <w:szCs w:val="22"/>
              </w:rPr>
              <w:t>327.18</w:t>
            </w:r>
          </w:p>
        </w:tc>
        <w:tc>
          <w:tcPr>
            <w:tcW w:w="1040" w:type="dxa"/>
            <w:shd w:val="clear" w:color="auto" w:fill="auto"/>
            <w:noWrap/>
            <w:vAlign w:val="center"/>
          </w:tcPr>
          <w:p>
            <w:pPr>
              <w:widowControl/>
              <w:spacing w:line="480" w:lineRule="exact"/>
              <w:jc w:val="center"/>
              <w:rPr>
                <w:rFonts w:hint="eastAsia" w:ascii="仿宋_GB2312" w:hAnsi="仿宋_GB2312" w:eastAsia="仿宋_GB2312"/>
                <w:color w:val="000000"/>
                <w:sz w:val="24"/>
                <w:szCs w:val="22"/>
              </w:rPr>
            </w:pPr>
          </w:p>
        </w:tc>
        <w:tc>
          <w:tcPr>
            <w:tcW w:w="1040" w:type="dxa"/>
            <w:shd w:val="clear" w:color="auto" w:fill="auto"/>
            <w:noWrap/>
            <w:vAlign w:val="center"/>
          </w:tcPr>
          <w:p>
            <w:pPr>
              <w:widowControl/>
              <w:spacing w:line="480" w:lineRule="exact"/>
              <w:jc w:val="center"/>
              <w:rPr>
                <w:rFonts w:ascii="仿宋_GB2312" w:hAnsi="仿宋_GB2312" w:eastAsia="仿宋_GB2312"/>
                <w:color w:val="000000"/>
                <w:sz w:val="24"/>
                <w:szCs w:val="22"/>
              </w:rPr>
            </w:pPr>
          </w:p>
        </w:tc>
      </w:tr>
    </w:tbl>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⑤、建成时间及成新度：评估对象约于201</w:t>
      </w:r>
      <w:r>
        <w:rPr>
          <w:rFonts w:ascii="仿宋_GB2312" w:hAnsi="仿宋_GB2312" w:eastAsia="仿宋_GB2312"/>
          <w:color w:val="000000"/>
          <w:sz w:val="28"/>
        </w:rPr>
        <w:t>7</w:t>
      </w:r>
      <w:r>
        <w:rPr>
          <w:rFonts w:hint="eastAsia" w:ascii="仿宋_GB2312" w:hAnsi="仿宋_GB2312" w:eastAsia="仿宋_GB2312"/>
          <w:color w:val="000000"/>
          <w:sz w:val="28"/>
        </w:rPr>
        <w:t>年建成，采用观察法和使用年限综合确定成新率为九五成新。</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⑥、布局：评估对象均为平层布局。评估对象1隔断为3个商铺使用，其余未隔断，整体采光通风状况均良好。</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⑦、装修装饰：评估对象外墙为墙砖，室内装修情况为：入户防盗门，室内毛坯。</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⑧、附属设施：评估对象室内供水、供电、通信、供气、电话线路、宽带等设施尚未安装。</w:t>
      </w:r>
    </w:p>
    <w:p>
      <w:pPr>
        <w:pStyle w:val="22"/>
        <w:framePr w:w="0" w:hRule="auto" w:hSpace="0" w:wrap="auto" w:vAnchor="margin" w:hAnchor="text" w:xAlign="left" w:yAlign="inline"/>
        <w:tabs>
          <w:tab w:val="left" w:pos="851"/>
        </w:tabs>
        <w:spacing w:after="0" w:line="480" w:lineRule="exact"/>
        <w:ind w:left="0" w:leftChars="0" w:firstLine="565" w:firstLineChars="202"/>
        <w:rPr>
          <w:rFonts w:ascii="仿宋_GB2312" w:hAnsi="仿宋_GB2312" w:eastAsia="仿宋_GB2312"/>
          <w:color w:val="000000"/>
          <w:sz w:val="28"/>
        </w:rPr>
      </w:pPr>
      <w:r>
        <w:rPr>
          <w:rFonts w:hint="eastAsia" w:ascii="仿宋_GB2312" w:hAnsi="仿宋_GB2312" w:eastAsia="仿宋_GB2312"/>
          <w:color w:val="000000"/>
          <w:sz w:val="28"/>
        </w:rPr>
        <w:t>⑨、维护状况、完损状况：评估对象所在楼栋建筑物维护状况良好，无明显破损。</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ascii="仿宋_GB2312" w:hAnsi="仿宋_GB2312" w:eastAsia="仿宋_GB2312"/>
          <w:color w:val="000000"/>
          <w:sz w:val="28"/>
        </w:rPr>
        <w:t>2</w:t>
      </w:r>
      <w:r>
        <w:rPr>
          <w:rFonts w:hint="eastAsia" w:ascii="仿宋_GB2312" w:hAnsi="仿宋_GB2312" w:eastAsia="仿宋_GB2312"/>
          <w:color w:val="000000"/>
          <w:sz w:val="28"/>
        </w:rPr>
        <w:t>、土地状况</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①、土地用途：不详。</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②、土地面积：不详。</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③、土地使用权类型：不详。</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④、土地使用权终止日期：不详。</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⑤、土地形状：不详。</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⑥、宗地四至：四至均临小区环境。</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⑦、开发程度：宗地内达“六通”（通上水、通下水、通电、通气、通讯、通路），宗地外达“六通”（通上水、通下水、通电、通路、通气、通讯）。</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⑧、地形地势：地势开阔，宗地平坦，对土地利用较为有利。</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⑨、地质：承载力较好，无不良地质现象，建筑建设时作简单的基础处理。</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⑩、土壤：未受过污染。</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（四）权益状况</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1、用途：规划用途不详。</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2、规划条件：宗地上已建成“文昌新缘城”小区。</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3、所有权状况：土地所有权为国有土地；房屋所有权人为：湖北妙焱置业有限公司。</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4、土地使用权状况：土地使用权人为：湖北妙焱置业有限公司。</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5、共有情况：单独所有。</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6、用益物权设立情况：无。</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7、担保物权设立情况：不详。</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8、出租或占用情况：空置。</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9、拖欠税费情况：据了解，评估对象所在项目，土地出让金已缴清，但整个项目（P（2</w:t>
      </w:r>
      <w:r>
        <w:rPr>
          <w:rFonts w:ascii="仿宋_GB2312" w:hAnsi="仿宋_GB2312" w:eastAsia="仿宋_GB2312"/>
          <w:color w:val="000000"/>
          <w:sz w:val="28"/>
        </w:rPr>
        <w:t>016</w:t>
      </w:r>
      <w:r>
        <w:rPr>
          <w:rFonts w:hint="eastAsia" w:ascii="仿宋_GB2312" w:hAnsi="仿宋_GB2312" w:eastAsia="仿宋_GB2312"/>
          <w:color w:val="000000"/>
          <w:sz w:val="28"/>
        </w:rPr>
        <w:t>）0</w:t>
      </w:r>
      <w:r>
        <w:rPr>
          <w:rFonts w:ascii="仿宋_GB2312" w:hAnsi="仿宋_GB2312" w:eastAsia="仿宋_GB2312"/>
          <w:color w:val="000000"/>
          <w:sz w:val="28"/>
        </w:rPr>
        <w:t>04</w:t>
      </w:r>
      <w:r>
        <w:rPr>
          <w:rFonts w:hint="eastAsia" w:ascii="仿宋_GB2312" w:hAnsi="仿宋_GB2312" w:eastAsia="仿宋_GB2312"/>
          <w:color w:val="000000"/>
          <w:sz w:val="28"/>
        </w:rPr>
        <w:t>号地块）仍欠缴延迟缴纳土地出让金的滞纳金3</w:t>
      </w:r>
      <w:r>
        <w:rPr>
          <w:rFonts w:ascii="仿宋_GB2312" w:hAnsi="仿宋_GB2312" w:eastAsia="仿宋_GB2312"/>
          <w:color w:val="000000"/>
          <w:sz w:val="28"/>
        </w:rPr>
        <w:t>3.3</w:t>
      </w:r>
      <w:r>
        <w:rPr>
          <w:rFonts w:hint="eastAsia" w:ascii="仿宋_GB2312" w:hAnsi="仿宋_GB2312" w:eastAsia="仿宋_GB2312"/>
          <w:color w:val="000000"/>
          <w:sz w:val="28"/>
        </w:rPr>
        <w:t>万元，其余税费欠缴情况不详。</w:t>
      </w:r>
    </w:p>
    <w:p>
      <w:pPr>
        <w:pStyle w:val="22"/>
        <w:framePr w:w="0" w:hRule="auto" w:hSpace="0" w:wrap="auto" w:vAnchor="margin" w:hAnchor="text" w:xAlign="left" w:yAlign="inline"/>
        <w:tabs>
          <w:tab w:val="left" w:pos="851"/>
        </w:tabs>
        <w:spacing w:after="0" w:line="480" w:lineRule="exact"/>
        <w:ind w:left="0" w:leftChars="0" w:firstLine="565" w:firstLineChars="202"/>
        <w:rPr>
          <w:rFonts w:hint="eastAsia" w:ascii="仿宋_GB2312" w:hAnsi="仿宋_GB2312" w:eastAsia="仿宋_GB2312"/>
          <w:color w:val="000000"/>
          <w:sz w:val="28"/>
        </w:rPr>
      </w:pPr>
      <w:r>
        <w:rPr>
          <w:rFonts w:hint="eastAsia" w:ascii="仿宋_GB2312" w:hAnsi="仿宋_GB2312" w:eastAsia="仿宋_GB2312"/>
          <w:color w:val="000000"/>
          <w:sz w:val="28"/>
        </w:rPr>
        <w:t>10、权属情况：未办理《不动产权证》，所在的“文昌新缘城”项目未办理《土地证》、《建设用地规划许可证》、《建设工程规划许可证》、《建筑工程施工许可证》等相关规划证件。</w:t>
      </w:r>
    </w:p>
    <w:p>
      <w:pPr>
        <w:spacing w:line="480" w:lineRule="exact"/>
        <w:ind w:firstLine="1120" w:firstLineChars="400"/>
        <w:rPr>
          <w:rFonts w:ascii="仿宋_GB2312" w:hAnsi="仿宋_GB2312" w:eastAsia="仿宋_GB2312"/>
          <w:color w:val="000000"/>
          <w:sz w:val="28"/>
        </w:rPr>
      </w:pPr>
      <w:r>
        <w:rPr>
          <w:rFonts w:hint="eastAsia" w:ascii="仿宋_GB2312" w:hAnsi="仿宋_GB2312" w:eastAsia="仿宋_GB2312"/>
          <w:color w:val="000000"/>
          <w:sz w:val="28"/>
        </w:rPr>
        <w:t>11、是否纳入征收范围：未纳入征收范围。</w:t>
      </w:r>
    </w:p>
    <w:p>
      <w:pPr>
        <w:spacing w:line="480" w:lineRule="exact"/>
        <w:ind w:firstLine="560" w:firstLineChars="200"/>
        <w:rPr>
          <w:rFonts w:hint="eastAsia" w:ascii="仿宋_GB2312" w:hAnsi="仿宋_GB2312" w:eastAsia="仿宋_GB2312"/>
          <w:color w:val="000000"/>
          <w:sz w:val="28"/>
        </w:rPr>
      </w:pPr>
    </w:p>
    <w:p>
      <w:pPr>
        <w:pStyle w:val="2"/>
      </w:pPr>
      <w:bookmarkStart w:id="11" w:name="_Toc104836922"/>
      <w:r>
        <w:rPr>
          <w:rFonts w:hint="eastAsia"/>
        </w:rPr>
        <w:t>四、价值类型及其定义</w:t>
      </w:r>
      <w:bookmarkEnd w:id="11"/>
    </w:p>
    <w:p>
      <w:pPr>
        <w:pStyle w:val="5"/>
        <w:spacing w:line="480" w:lineRule="exact"/>
        <w:ind w:firstLine="560"/>
        <w:rPr>
          <w:rFonts w:ascii="仿宋_GB2312" w:hAnsi="仿宋" w:eastAsia="仿宋_GB2312"/>
          <w:sz w:val="28"/>
          <w:szCs w:val="28"/>
        </w:rPr>
      </w:pPr>
      <w:r>
        <w:rPr>
          <w:rFonts w:hint="eastAsia" w:ascii="仿宋_GB2312" w:hAnsi="仿宋" w:eastAsia="仿宋_GB2312"/>
          <w:sz w:val="28"/>
          <w:szCs w:val="28"/>
        </w:rPr>
        <w:t>本次评估采用的市场价值标准。</w:t>
      </w:r>
    </w:p>
    <w:p>
      <w:pPr>
        <w:pStyle w:val="5"/>
        <w:spacing w:line="480" w:lineRule="exact"/>
        <w:ind w:firstLine="560"/>
        <w:rPr>
          <w:rFonts w:ascii="仿宋_GB2312" w:hAnsi="仿宋" w:eastAsia="仿宋_GB2312"/>
          <w:sz w:val="28"/>
          <w:szCs w:val="28"/>
        </w:rPr>
      </w:pPr>
      <w:r>
        <w:rPr>
          <w:rFonts w:hint="eastAsia" w:ascii="仿宋_GB2312" w:hAnsi="仿宋" w:eastAsia="仿宋_GB2312"/>
          <w:sz w:val="28"/>
          <w:szCs w:val="28"/>
        </w:rPr>
        <w:t>所谓市场价值标准，是指资产在公开市场上应该实现的价值，即理性的买卖双方在地位平等、信息公开、交易成本时间成本足够低的市场上最终达成的一致价格。</w:t>
      </w:r>
    </w:p>
    <w:p>
      <w:pPr>
        <w:pStyle w:val="5"/>
        <w:spacing w:line="480" w:lineRule="exact"/>
        <w:ind w:firstLine="560"/>
        <w:rPr>
          <w:rFonts w:ascii="仿宋_GB2312" w:hAnsi="仿宋" w:eastAsia="仿宋_GB2312"/>
          <w:sz w:val="28"/>
          <w:szCs w:val="28"/>
        </w:rPr>
      </w:pPr>
      <w:r>
        <w:rPr>
          <w:rFonts w:hint="eastAsia" w:ascii="仿宋_GB2312" w:hAnsi="仿宋" w:eastAsia="仿宋_GB2312"/>
          <w:sz w:val="28"/>
          <w:szCs w:val="28"/>
        </w:rPr>
        <w:t>本次评估选择该价值类型，是由于交易双方处于同一地位，且评估目的导致委估资产的价值非其它投资性或清算性价值，且选取公开市场价值对交易均无不当因素，因此选取公开市场价值标准。</w:t>
      </w:r>
    </w:p>
    <w:p>
      <w:pPr>
        <w:pStyle w:val="5"/>
        <w:spacing w:line="480" w:lineRule="exact"/>
        <w:ind w:firstLine="480"/>
        <w:rPr>
          <w:rFonts w:ascii="仿宋_GB2312" w:hAnsi="华文中宋" w:eastAsia="仿宋_GB2312"/>
          <w:sz w:val="24"/>
        </w:rPr>
      </w:pPr>
    </w:p>
    <w:p>
      <w:pPr>
        <w:pStyle w:val="2"/>
      </w:pPr>
      <w:bookmarkStart w:id="12" w:name="_Toc104836923"/>
      <w:r>
        <w:rPr>
          <w:rFonts w:hint="eastAsia"/>
        </w:rPr>
        <w:t>五、评估基准日</w:t>
      </w:r>
      <w:bookmarkEnd w:id="12"/>
    </w:p>
    <w:p>
      <w:pPr>
        <w:pStyle w:val="5"/>
        <w:spacing w:line="480" w:lineRule="exact"/>
        <w:ind w:firstLine="560"/>
        <w:rPr>
          <w:rFonts w:ascii="仿宋_GB2312" w:hAnsi="仿宋" w:eastAsia="仿宋_GB2312"/>
          <w:sz w:val="28"/>
          <w:szCs w:val="28"/>
        </w:rPr>
      </w:pPr>
      <w:r>
        <w:rPr>
          <w:rFonts w:hint="eastAsia" w:ascii="仿宋_GB2312" w:hAnsi="仿宋" w:eastAsia="仿宋_GB2312"/>
          <w:sz w:val="28"/>
          <w:szCs w:val="28"/>
        </w:rPr>
        <w:t>5.1 本项目资产评估基准日确定为2022年4月25日，本次评估的所有价格标准均为评估基准日之有效价格标准。</w:t>
      </w:r>
    </w:p>
    <w:p>
      <w:pPr>
        <w:pStyle w:val="5"/>
        <w:spacing w:line="480" w:lineRule="exact"/>
        <w:ind w:firstLine="560"/>
        <w:rPr>
          <w:rFonts w:ascii="仿宋_GB2312" w:hAnsi="仿宋" w:eastAsia="仿宋_GB2312"/>
          <w:sz w:val="28"/>
          <w:szCs w:val="28"/>
        </w:rPr>
      </w:pPr>
      <w:r>
        <w:rPr>
          <w:rFonts w:hint="eastAsia" w:ascii="仿宋_GB2312" w:hAnsi="仿宋" w:eastAsia="仿宋_GB2312"/>
          <w:sz w:val="28"/>
          <w:szCs w:val="28"/>
        </w:rPr>
        <w:t>5.2 评估基准日是确定资产评评估值的基准时点。</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5.3本项目所选取的评估基准日为一特定会计期间的终止时间点，能够全面反映评估对象各种资产及负债的整体情况。同时，评估基准日与评估目的计划实施实现日较接近。因此评估基准日的选择是合理的。</w:t>
      </w:r>
    </w:p>
    <w:p>
      <w:pPr>
        <w:pStyle w:val="2"/>
      </w:pPr>
      <w:bookmarkStart w:id="13" w:name="_Toc104836924"/>
      <w:r>
        <w:rPr>
          <w:rFonts w:hint="eastAsia"/>
        </w:rPr>
        <w:t>六、评估依据</w:t>
      </w:r>
      <w:bookmarkEnd w:id="13"/>
    </w:p>
    <w:p>
      <w:pPr>
        <w:spacing w:line="480" w:lineRule="exact"/>
        <w:ind w:firstLine="478" w:firstLineChars="170"/>
        <w:rPr>
          <w:rFonts w:ascii="仿宋_GB2312" w:hAnsi="仿宋_GB2312" w:eastAsia="仿宋_GB2312"/>
          <w:b/>
          <w:iCs/>
          <w:sz w:val="28"/>
        </w:rPr>
      </w:pPr>
      <w:r>
        <w:rPr>
          <w:rFonts w:hint="eastAsia" w:ascii="仿宋_GB2312" w:hAnsi="仿宋_GB2312" w:eastAsia="仿宋_GB2312"/>
          <w:b/>
          <w:iCs/>
          <w:sz w:val="28"/>
        </w:rPr>
        <w:t>6.1</w:t>
      </w:r>
      <w:r>
        <w:rPr>
          <w:rFonts w:hint="eastAsia" w:ascii="仿宋_GB2312" w:hAnsi="仿宋_GB2312" w:eastAsia="仿宋_GB2312"/>
          <w:b/>
          <w:iCs/>
          <w:color w:val="000000"/>
          <w:sz w:val="28"/>
        </w:rPr>
        <w:t>经济行为依据</w:t>
      </w:r>
    </w:p>
    <w:p>
      <w:pPr>
        <w:spacing w:line="480" w:lineRule="exact"/>
        <w:ind w:firstLine="565" w:firstLineChars="202"/>
        <w:rPr>
          <w:rFonts w:ascii="仿宋_GB2312" w:hAnsi="仿宋_GB2312" w:eastAsia="仿宋_GB2312"/>
          <w:sz w:val="28"/>
          <w:szCs w:val="21"/>
        </w:rPr>
      </w:pPr>
      <w:r>
        <w:rPr>
          <w:rFonts w:hint="eastAsia" w:ascii="仿宋_GB2312" w:hAnsi="仿宋_GB2312" w:eastAsia="仿宋_GB2312"/>
          <w:sz w:val="28"/>
          <w:szCs w:val="21"/>
        </w:rPr>
        <w:t>1、</w:t>
      </w:r>
      <w:r>
        <w:rPr>
          <w:rFonts w:hint="eastAsia" w:ascii="仿宋_GB2312" w:hAnsi="仿宋_GB2312" w:eastAsia="仿宋_GB2312"/>
          <w:bCs/>
          <w:sz w:val="28"/>
        </w:rPr>
        <w:t>《湖北省应城市人民法院司法评估委托书》</w:t>
      </w:r>
      <w:r>
        <w:rPr>
          <w:rFonts w:hint="eastAsia" w:ascii="仿宋_GB2312" w:hAnsi="仿宋_GB2312" w:eastAsia="仿宋_GB2312"/>
          <w:sz w:val="28"/>
        </w:rPr>
        <w:t>。</w:t>
      </w:r>
    </w:p>
    <w:p>
      <w:pPr>
        <w:spacing w:line="480" w:lineRule="exact"/>
        <w:ind w:firstLine="478" w:firstLineChars="170"/>
        <w:rPr>
          <w:rFonts w:ascii="仿宋_GB2312" w:hAnsi="仿宋_GB2312" w:eastAsia="仿宋_GB2312"/>
          <w:b/>
          <w:iCs/>
          <w:color w:val="000000"/>
          <w:sz w:val="28"/>
        </w:rPr>
      </w:pPr>
      <w:r>
        <w:rPr>
          <w:rFonts w:hint="eastAsia" w:ascii="仿宋_GB2312" w:hAnsi="仿宋_GB2312" w:eastAsia="仿宋_GB2312"/>
          <w:b/>
          <w:iCs/>
          <w:color w:val="000000"/>
          <w:sz w:val="28"/>
        </w:rPr>
        <w:t>6.2</w:t>
      </w:r>
      <w:r>
        <w:rPr>
          <w:rFonts w:hint="eastAsia" w:ascii="仿宋_GB2312" w:hAnsi="仿宋_GB2312" w:eastAsia="仿宋_GB2312"/>
          <w:b/>
          <w:iCs/>
          <w:sz w:val="28"/>
        </w:rPr>
        <w:t>法律法规依据</w:t>
      </w:r>
    </w:p>
    <w:p>
      <w:pPr>
        <w:spacing w:line="480" w:lineRule="exact"/>
        <w:ind w:firstLine="565" w:firstLineChars="202"/>
        <w:rPr>
          <w:rFonts w:ascii="仿宋_GB2312" w:hAnsi="仿宋" w:eastAsia="仿宋_GB2312"/>
          <w:sz w:val="28"/>
          <w:szCs w:val="28"/>
        </w:rPr>
      </w:pPr>
      <w:r>
        <w:rPr>
          <w:rFonts w:hint="eastAsia" w:ascii="仿宋_GB2312" w:hAnsi="仿宋" w:eastAsia="仿宋_GB2312"/>
          <w:sz w:val="28"/>
          <w:szCs w:val="28"/>
        </w:rPr>
        <w:t>1、《中华人民共和国资产评估法》（中华人民共和国主席令第四十六号）；</w:t>
      </w:r>
    </w:p>
    <w:p>
      <w:pPr>
        <w:spacing w:line="480" w:lineRule="exact"/>
        <w:ind w:firstLine="565" w:firstLineChars="202"/>
        <w:rPr>
          <w:rFonts w:ascii="仿宋_GB2312" w:hAnsi="仿宋" w:eastAsia="仿宋_GB2312"/>
          <w:sz w:val="28"/>
          <w:szCs w:val="28"/>
        </w:rPr>
      </w:pPr>
      <w:r>
        <w:rPr>
          <w:rFonts w:hint="eastAsia" w:ascii="仿宋_GB2312" w:hAnsi="仿宋" w:eastAsia="仿宋_GB2312"/>
          <w:sz w:val="28"/>
          <w:szCs w:val="28"/>
        </w:rPr>
        <w:t>2、《中华人民共和国价格法》（</w:t>
      </w:r>
      <w:r>
        <w:rPr>
          <w:rFonts w:ascii="仿宋_GB2312" w:hAnsi="仿宋" w:eastAsia="仿宋_GB2312"/>
          <w:sz w:val="28"/>
          <w:szCs w:val="28"/>
        </w:rPr>
        <w:t>中华人民共和国主席令第92号</w:t>
      </w:r>
      <w:r>
        <w:rPr>
          <w:rFonts w:hint="eastAsia" w:ascii="仿宋_GB2312" w:hAnsi="仿宋" w:eastAsia="仿宋_GB2312"/>
          <w:sz w:val="28"/>
          <w:szCs w:val="28"/>
        </w:rPr>
        <w:t>）；</w:t>
      </w:r>
    </w:p>
    <w:p>
      <w:pPr>
        <w:autoSpaceDE w:val="0"/>
        <w:autoSpaceDN w:val="0"/>
        <w:adjustRightInd w:val="0"/>
        <w:spacing w:line="480" w:lineRule="exact"/>
        <w:ind w:right="-147" w:firstLine="567"/>
        <w:rPr>
          <w:rFonts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w:t>
      </w:r>
      <w:r>
        <w:rPr>
          <w:rFonts w:ascii="仿宋_GB2312" w:hAnsi="仿宋" w:eastAsia="仿宋_GB2312"/>
          <w:sz w:val="28"/>
          <w:szCs w:val="28"/>
        </w:rPr>
        <w:t>《中华人民共和国民法典》（中华人民共和国主席令第45号，中华人民共和国第十三届全国人民代表大会第三次会议于2020年5月28日通过，自2021年1月1日起施行）</w:t>
      </w:r>
      <w:r>
        <w:rPr>
          <w:rFonts w:hint="eastAsia" w:ascii="仿宋_GB2312" w:hAnsi="仿宋" w:eastAsia="仿宋_GB2312"/>
          <w:sz w:val="28"/>
          <w:szCs w:val="28"/>
        </w:rPr>
        <w:t>；</w:t>
      </w:r>
    </w:p>
    <w:p>
      <w:pPr>
        <w:spacing w:line="480" w:lineRule="exact"/>
        <w:ind w:firstLine="560" w:firstLineChars="200"/>
        <w:rPr>
          <w:rFonts w:ascii="仿宋_GB2312" w:hAnsi="仿宋" w:eastAsia="仿宋_GB2312"/>
          <w:sz w:val="28"/>
          <w:szCs w:val="28"/>
        </w:rPr>
      </w:pPr>
      <w:r>
        <w:rPr>
          <w:rFonts w:ascii="仿宋_GB2312" w:hAnsi="仿宋" w:eastAsia="仿宋_GB2312"/>
          <w:sz w:val="28"/>
          <w:szCs w:val="28"/>
        </w:rPr>
        <w:t>4</w:t>
      </w:r>
      <w:r>
        <w:rPr>
          <w:rFonts w:hint="eastAsia" w:ascii="仿宋_GB2312" w:hAnsi="仿宋" w:eastAsia="仿宋_GB2312"/>
          <w:sz w:val="28"/>
          <w:szCs w:val="28"/>
        </w:rPr>
        <w:t>、</w:t>
      </w:r>
      <w:r>
        <w:rPr>
          <w:rFonts w:hint="eastAsia" w:eastAsia="仿宋_GB2312"/>
          <w:sz w:val="28"/>
          <w:szCs w:val="28"/>
        </w:rPr>
        <w:t>《财政部 税务总局 海关总署联合公告2019年第39号》（关于深化增值税改革有关政策的公告）</w:t>
      </w:r>
      <w:r>
        <w:rPr>
          <w:rFonts w:hint="eastAsia" w:ascii="仿宋_GB2312" w:hAnsi="仿宋" w:eastAsia="仿宋_GB2312"/>
          <w:sz w:val="28"/>
          <w:szCs w:val="28"/>
        </w:rPr>
        <w:t>；</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5、</w:t>
      </w:r>
      <w:r>
        <w:rPr>
          <w:rFonts w:hint="eastAsia" w:eastAsia="仿宋_GB2312"/>
          <w:sz w:val="28"/>
          <w:szCs w:val="28"/>
        </w:rPr>
        <w:t>《企业会计准则--基本准则》（财政部令第33号）；</w:t>
      </w:r>
    </w:p>
    <w:p>
      <w:pPr>
        <w:spacing w:line="480" w:lineRule="exact"/>
        <w:ind w:firstLine="560" w:firstLineChars="200"/>
        <w:rPr>
          <w:rFonts w:ascii="仿宋_GB2312" w:hAnsi="仿宋_GB2312" w:eastAsia="仿宋_GB2312"/>
          <w:bCs/>
          <w:sz w:val="28"/>
        </w:rPr>
      </w:pPr>
      <w:r>
        <w:rPr>
          <w:rFonts w:ascii="仿宋_GB2312" w:hAnsi="仿宋_GB2312" w:eastAsia="仿宋_GB2312"/>
          <w:bCs/>
          <w:sz w:val="28"/>
        </w:rPr>
        <w:t>6</w:t>
      </w:r>
      <w:r>
        <w:rPr>
          <w:rFonts w:hint="eastAsia" w:ascii="仿宋_GB2312" w:hAnsi="仿宋_GB2312" w:eastAsia="仿宋_GB2312"/>
          <w:bCs/>
          <w:sz w:val="28"/>
        </w:rPr>
        <w:t>、其他与评估工作相关的法律、法规和规章制度等。</w:t>
      </w:r>
    </w:p>
    <w:p>
      <w:pPr>
        <w:spacing w:line="480" w:lineRule="exact"/>
        <w:ind w:firstLine="478" w:firstLineChars="170"/>
        <w:rPr>
          <w:rFonts w:ascii="仿宋_GB2312" w:hAnsi="仿宋" w:eastAsia="仿宋_GB2312"/>
          <w:b/>
          <w:sz w:val="28"/>
          <w:szCs w:val="28"/>
        </w:rPr>
      </w:pPr>
      <w:r>
        <w:rPr>
          <w:rFonts w:hint="eastAsia" w:ascii="仿宋_GB2312" w:hAnsi="仿宋" w:eastAsia="仿宋_GB2312"/>
          <w:b/>
          <w:sz w:val="28"/>
          <w:szCs w:val="28"/>
        </w:rPr>
        <w:t>6.3准则依据</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1、《资产评估基本准则》（财资〔2017〕43号）；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2、《资产评估职业道德准则》（中评协〔2017〕30号）；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3、《资产评估执业准则—资产评估报告》（中评协〔2018〕35号）；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4、《资产评估执业准则—资产评估程序》（中评协〔2018〕36号）；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5、《资产评估执业准则—资产评估委托合同》（中评协〔2017〕33号）；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6、《资产评估机构业务质量控制指南》（中评协〔2017〕46号）；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7、《资产评估执业准则—资产评估档案》（中评协〔2018〕37号）；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8、《资产评估执业准则—不动产》（中评协〔2017〕3</w:t>
      </w:r>
      <w:r>
        <w:rPr>
          <w:rFonts w:ascii="仿宋_GB2312" w:hAnsi="仿宋" w:eastAsia="仿宋_GB2312"/>
          <w:sz w:val="28"/>
          <w:szCs w:val="28"/>
        </w:rPr>
        <w:t>8</w:t>
      </w:r>
      <w:r>
        <w:rPr>
          <w:rFonts w:hint="eastAsia" w:ascii="仿宋_GB2312" w:hAnsi="仿宋" w:eastAsia="仿宋_GB2312"/>
          <w:sz w:val="28"/>
          <w:szCs w:val="28"/>
        </w:rPr>
        <w:t>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9、《资产评评估值类型指导意见》（中评协〔2017〕47号）；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10、《企业国有资产评估报告指南》（中评协〔2017〕42号）；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11、《资产评估对象法律权属指导意见》（中评协〔2017〕48号）；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12、《资产评估专家指引第8号—资产评估中的核查验证》（中评协（2019）39号）；</w:t>
      </w:r>
    </w:p>
    <w:p>
      <w:pPr>
        <w:autoSpaceDE w:val="0"/>
        <w:autoSpaceDN w:val="0"/>
        <w:adjustRightInd w:val="0"/>
        <w:spacing w:line="480" w:lineRule="exact"/>
        <w:ind w:right="-147" w:firstLine="567"/>
        <w:rPr>
          <w:rFonts w:hint="eastAsia" w:ascii="仿宋_GB2312" w:hAnsi="仿宋" w:eastAsia="仿宋_GB2312"/>
          <w:sz w:val="28"/>
          <w:szCs w:val="28"/>
        </w:rPr>
      </w:pPr>
      <w:r>
        <w:rPr>
          <w:rFonts w:hint="eastAsia" w:ascii="仿宋_GB2312" w:hAnsi="仿宋" w:eastAsia="仿宋_GB2312"/>
          <w:sz w:val="28"/>
          <w:szCs w:val="28"/>
        </w:rPr>
        <w:t>13、《资产评估执业准则—资产评估方法》（中评协（2019）35号）；</w:t>
      </w:r>
    </w:p>
    <w:p>
      <w:pPr>
        <w:autoSpaceDE w:val="0"/>
        <w:autoSpaceDN w:val="0"/>
        <w:adjustRightInd w:val="0"/>
        <w:spacing w:line="480" w:lineRule="exact"/>
        <w:ind w:right="-147" w:firstLine="567"/>
        <w:rPr>
          <w:rFonts w:hint="eastAsia" w:ascii="仿宋_GB2312" w:hAnsi="仿宋" w:eastAsia="仿宋_GB2312"/>
          <w:sz w:val="28"/>
          <w:szCs w:val="28"/>
        </w:rPr>
      </w:pPr>
      <w:r>
        <w:rPr>
          <w:rFonts w:ascii="仿宋_GB2312" w:hAnsi="仿宋" w:eastAsia="仿宋_GB2312"/>
          <w:sz w:val="28"/>
          <w:szCs w:val="28"/>
        </w:rPr>
        <w:t>14</w:t>
      </w:r>
      <w:r>
        <w:rPr>
          <w:rFonts w:hint="eastAsia" w:ascii="仿宋_GB2312" w:hAnsi="仿宋" w:eastAsia="仿宋_GB2312"/>
          <w:sz w:val="28"/>
          <w:szCs w:val="28"/>
        </w:rPr>
        <w:t>、评估行业发布的其它相关准则和规范。</w:t>
      </w:r>
    </w:p>
    <w:p>
      <w:pPr>
        <w:spacing w:line="480" w:lineRule="exact"/>
        <w:ind w:firstLine="422" w:firstLineChars="150"/>
        <w:rPr>
          <w:rFonts w:ascii="仿宋_GB2312" w:hAnsi="仿宋_GB2312" w:eastAsia="仿宋_GB2312"/>
          <w:b/>
          <w:iCs/>
          <w:sz w:val="28"/>
        </w:rPr>
      </w:pPr>
      <w:r>
        <w:rPr>
          <w:rFonts w:hint="eastAsia" w:ascii="仿宋_GB2312" w:hAnsi="仿宋_GB2312" w:eastAsia="仿宋_GB2312"/>
          <w:b/>
          <w:iCs/>
          <w:sz w:val="28"/>
        </w:rPr>
        <w:t>6.4产权依据</w:t>
      </w:r>
    </w:p>
    <w:p>
      <w:pPr>
        <w:autoSpaceDE w:val="0"/>
        <w:autoSpaceDN w:val="0"/>
        <w:adjustRightInd w:val="0"/>
        <w:spacing w:line="480" w:lineRule="exact"/>
        <w:ind w:right="-147" w:firstLine="567"/>
        <w:rPr>
          <w:rFonts w:ascii="仿宋_GB2312" w:hAnsi="仿宋" w:eastAsia="仿宋_GB2312"/>
          <w:sz w:val="28"/>
          <w:szCs w:val="28"/>
        </w:rPr>
      </w:pPr>
      <w:r>
        <w:rPr>
          <w:rFonts w:hint="eastAsia" w:ascii="仿宋_GB2312" w:hAnsi="仿宋" w:eastAsia="仿宋_GB2312"/>
          <w:sz w:val="28"/>
          <w:szCs w:val="28"/>
        </w:rPr>
        <w:t>1、《文昌新缘城1#楼A区一层平面图》复印件；</w:t>
      </w:r>
    </w:p>
    <w:p>
      <w:pPr>
        <w:autoSpaceDE w:val="0"/>
        <w:autoSpaceDN w:val="0"/>
        <w:adjustRightInd w:val="0"/>
        <w:spacing w:line="480" w:lineRule="exact"/>
        <w:ind w:right="-147" w:firstLine="567"/>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、其他资料。</w:t>
      </w:r>
    </w:p>
    <w:p>
      <w:pPr>
        <w:spacing w:line="480" w:lineRule="exact"/>
        <w:ind w:firstLine="478" w:firstLineChars="170"/>
        <w:rPr>
          <w:rFonts w:ascii="仿宋_GB2312" w:hAnsi="仿宋_GB2312" w:eastAsia="仿宋_GB2312"/>
          <w:b/>
          <w:iCs/>
          <w:sz w:val="28"/>
        </w:rPr>
      </w:pPr>
      <w:r>
        <w:rPr>
          <w:rFonts w:hint="eastAsia" w:ascii="仿宋_GB2312" w:hAnsi="仿宋_GB2312" w:eastAsia="仿宋_GB2312"/>
          <w:b/>
          <w:iCs/>
          <w:sz w:val="28"/>
        </w:rPr>
        <w:t>6.5取价依据</w:t>
      </w:r>
    </w:p>
    <w:p>
      <w:pPr>
        <w:spacing w:line="500" w:lineRule="exact"/>
        <w:ind w:firstLine="560" w:firstLineChars="200"/>
        <w:rPr>
          <w:rFonts w:ascii="仿宋_GB2312" w:hAnsi="仿宋_GB2312" w:eastAsia="仿宋_GB2312"/>
          <w:sz w:val="28"/>
          <w:szCs w:val="21"/>
        </w:rPr>
      </w:pPr>
      <w:r>
        <w:rPr>
          <w:rFonts w:hint="eastAsia" w:ascii="仿宋_GB2312" w:hAnsi="仿宋_GB2312" w:eastAsia="仿宋_GB2312"/>
          <w:sz w:val="28"/>
          <w:szCs w:val="21"/>
        </w:rPr>
        <w:t>1、评估人员现场查勘所得资料及对同类房屋市场调查所得的资料；</w:t>
      </w:r>
    </w:p>
    <w:p>
      <w:pPr>
        <w:spacing w:line="500" w:lineRule="exact"/>
        <w:ind w:firstLine="560" w:firstLineChars="200"/>
        <w:rPr>
          <w:rFonts w:ascii="仿宋_GB2312" w:hAnsi="仿宋_GB2312" w:eastAsia="仿宋_GB2312"/>
          <w:sz w:val="28"/>
          <w:szCs w:val="21"/>
        </w:rPr>
      </w:pPr>
      <w:r>
        <w:rPr>
          <w:rFonts w:ascii="仿宋_GB2312" w:hAnsi="仿宋_GB2312" w:eastAsia="仿宋_GB2312"/>
          <w:sz w:val="28"/>
          <w:szCs w:val="21"/>
        </w:rPr>
        <w:t>2</w:t>
      </w:r>
      <w:r>
        <w:rPr>
          <w:rFonts w:hint="eastAsia" w:ascii="仿宋_GB2312" w:hAnsi="仿宋_GB2312" w:eastAsia="仿宋_GB2312"/>
          <w:sz w:val="28"/>
          <w:szCs w:val="21"/>
        </w:rPr>
        <w:t>、委托方提供的其他辅助资料和本公司评估人员现场查勘核实所得的资料；</w:t>
      </w:r>
    </w:p>
    <w:p>
      <w:pPr>
        <w:spacing w:line="500" w:lineRule="exact"/>
        <w:ind w:firstLine="560" w:firstLineChars="200"/>
        <w:rPr>
          <w:rFonts w:ascii="仿宋_GB2312" w:hAnsi="仿宋_GB2312" w:eastAsia="仿宋_GB2312"/>
          <w:sz w:val="28"/>
          <w:szCs w:val="21"/>
        </w:rPr>
      </w:pPr>
      <w:r>
        <w:rPr>
          <w:rFonts w:ascii="仿宋_GB2312" w:hAnsi="仿宋_GB2312" w:eastAsia="仿宋_GB2312"/>
          <w:sz w:val="28"/>
          <w:szCs w:val="21"/>
        </w:rPr>
        <w:t>3</w:t>
      </w:r>
      <w:r>
        <w:rPr>
          <w:rFonts w:hint="eastAsia" w:ascii="仿宋_GB2312" w:hAnsi="仿宋_GB2312" w:eastAsia="仿宋_GB2312"/>
          <w:sz w:val="28"/>
          <w:szCs w:val="21"/>
        </w:rPr>
        <w:t>、本所收集的其他询价资料、参数资料和国家有关部门发布的统计资料和技术标准资料。</w:t>
      </w:r>
    </w:p>
    <w:p>
      <w:pPr>
        <w:spacing w:line="500" w:lineRule="exact"/>
        <w:ind w:firstLine="560" w:firstLineChars="200"/>
        <w:rPr>
          <w:rFonts w:ascii="仿宋_GB2312" w:hAnsi="仿宋_GB2312" w:eastAsia="仿宋_GB2312"/>
          <w:sz w:val="28"/>
          <w:szCs w:val="21"/>
        </w:rPr>
      </w:pPr>
    </w:p>
    <w:p>
      <w:pPr>
        <w:pStyle w:val="2"/>
      </w:pPr>
      <w:bookmarkStart w:id="14" w:name="_Toc104836925"/>
      <w:r>
        <w:rPr>
          <w:rFonts w:hint="eastAsia"/>
        </w:rPr>
        <w:t>七、评估方法</w:t>
      </w:r>
      <w:bookmarkEnd w:id="14"/>
    </w:p>
    <w:p>
      <w:pPr>
        <w:spacing w:line="480" w:lineRule="exact"/>
        <w:ind w:firstLine="562" w:firstLineChars="200"/>
        <w:rPr>
          <w:rFonts w:ascii="仿宋_GB2312" w:hAnsi="仿宋" w:eastAsia="仿宋_GB2312"/>
          <w:b/>
          <w:sz w:val="28"/>
          <w:szCs w:val="28"/>
        </w:rPr>
      </w:pPr>
      <w:r>
        <w:rPr>
          <w:rFonts w:hint="eastAsia" w:ascii="仿宋_GB2312" w:hAnsi="仿宋" w:eastAsia="仿宋_GB2312"/>
          <w:b/>
          <w:sz w:val="28"/>
          <w:szCs w:val="28"/>
        </w:rPr>
        <w:t>（一）基本的评估方法</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资产评估基本方法有市场法、收益法和成本法。</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1、市场法</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市场法是指利用市场上同样或类似资产的交易价格，经过直接比较或类比分析以估测资产价值的评估方法。其使用的基本前提有：</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（1）存在一个活跃的公开市场；</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（2）公开市场上存在可比的资产及其交易活动。</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2、收益法</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收益法是指通过估测评估对象未来预期收益的现值来判断资产价值的评估方法，应用收益法必须具备的基本前提有：</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（1）评估对象的未来预期收益可以预测并可以用倾向衡量；</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（2）资产拥有者获得预期收益所承担的风险可以预测并可用倾向衡量；</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（3）评估对象预期获利年限可以预测。</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3、成本法</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成本法是指首先估测评估对象的现行再取得成本（重置成本），然后估测评估对象业已存在的各种贬值因素，并将其从重置成本中扣除而得到评估对象价值的评估方法，采用成本法的前提条件有：</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（1）评估对象持续使用或设定持续使用状态；</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（2）可以调查取得评估对象的现行途径及相应的社会平均成本资料。</w:t>
      </w:r>
    </w:p>
    <w:p>
      <w:pPr>
        <w:spacing w:line="480" w:lineRule="exact"/>
        <w:ind w:firstLine="562" w:firstLineChars="200"/>
        <w:rPr>
          <w:rFonts w:ascii="仿宋_GB2312" w:hAnsi="仿宋" w:eastAsia="仿宋_GB2312"/>
          <w:color w:val="FF0000"/>
          <w:sz w:val="28"/>
          <w:szCs w:val="28"/>
        </w:rPr>
      </w:pPr>
      <w:r>
        <w:rPr>
          <w:rFonts w:hint="eastAsia" w:ascii="仿宋_GB2312" w:hAnsi="仿宋" w:eastAsia="仿宋_GB2312"/>
          <w:b/>
          <w:sz w:val="28"/>
          <w:szCs w:val="28"/>
        </w:rPr>
        <w:t>（二）评估方法的选用</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评估对象为已投入使用的房地产，不宜采用假设开发法评估；评估对象设定用途为商业用房，价值与成本关联性弱，房地产开发成本不能准确反映房地产的实际市场价值，故不适宜不采用成本法进行评估。评估对象附近有足够的租赁案例，可以获取客观租金，因此可以采用收益法进行评估；评估对象设定用途为商业房地产，由于在价值时点近期类似房地产交易案例较多，可以获得足够的交易实例，因此可采用市场法进行评估。综上所述，本次评估对象采用市场法、收益法进行评估。</w:t>
      </w:r>
    </w:p>
    <w:p>
      <w:pPr>
        <w:spacing w:line="48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（二）评估方法原理</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1、市场法：选取一定数量的可比实例，将它们与评估对象进行比较，根据其间的差异对可比实例成交价格进行处理后得到评估对象价值或价格的方法。</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计算公式：</w:t>
      </w:r>
      <w:r>
        <w:rPr>
          <w:rFonts w:ascii="Calibri" w:hAnsi="Calibri" w:eastAsia="仿宋_GB2312" w:cs="Calibri"/>
          <w:sz w:val="28"/>
          <w:szCs w:val="28"/>
        </w:rPr>
        <w:t>        </w:t>
      </w:r>
    </w:p>
    <w:p>
      <w:pPr>
        <w:ind w:firstLine="560" w:firstLineChars="200"/>
        <w:rPr>
          <w:rFonts w:ascii="仿宋_GB2312" w:hAnsi="仿宋" w:eastAsia="仿宋_GB2312"/>
          <w:sz w:val="28"/>
          <w:szCs w:val="28"/>
        </w:rPr>
      </w:pPr>
      <w:r>
        <w:rPr>
          <w:rFonts w:hint="eastAsia" w:ascii="仿宋_GB2312" w:hAnsi="仿宋" w:eastAsia="仿宋_GB2312"/>
          <w:sz w:val="28"/>
          <w:szCs w:val="28"/>
        </w:rPr>
        <w:t xml:space="preserve"> </w:t>
      </w:r>
      <w:r>
        <w:rPr>
          <w:rFonts w:ascii="仿宋_GB2312" w:hAnsi="仿宋" w:eastAsia="仿宋_GB2312"/>
          <w:sz w:val="28"/>
          <w:szCs w:val="28"/>
        </w:rPr>
        <w:t>P=</w:t>
      </w:r>
      <w:r>
        <w:rPr>
          <w:rFonts w:ascii="仿宋_GB2312" w:hAnsi="仿宋" w:eastAsia="仿宋_GB2312"/>
          <w:sz w:val="28"/>
          <w:szCs w:val="28"/>
        </w:rPr>
        <w:object>
          <v:shape id="_x0000_i1025" o:spt="75" type="#_x0000_t75" style="height:33.75pt;width:8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pacing w:line="480" w:lineRule="exact"/>
        <w:ind w:firstLine="560" w:firstLineChars="200"/>
        <w:rPr>
          <w:rFonts w:ascii="仿宋_GB2312" w:hAnsi="仿宋" w:eastAsia="仿宋_GB2312"/>
          <w:sz w:val="28"/>
          <w:szCs w:val="28"/>
        </w:rPr>
      </w:pPr>
      <w:r>
        <w:rPr>
          <w:rFonts w:ascii="仿宋_GB2312" w:hAnsi="仿宋" w:eastAsia="仿宋_GB2312"/>
          <w:sz w:val="28"/>
          <w:szCs w:val="28"/>
        </w:rPr>
        <w:t>其中：</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P</w:t>
      </w:r>
      <w:r>
        <w:rPr>
          <w:rFonts w:ascii="仿宋_GB2312" w:hAnsi="仿宋" w:eastAsia="仿宋_GB2312"/>
          <w:sz w:val="28"/>
          <w:szCs w:val="28"/>
        </w:rPr>
        <w:t>—</w:t>
      </w:r>
      <w:r>
        <w:rPr>
          <w:rFonts w:hint="eastAsia" w:ascii="仿宋_GB2312" w:hAnsi="仿宋" w:eastAsia="仿宋_GB2312"/>
          <w:sz w:val="28"/>
          <w:szCs w:val="28"/>
        </w:rPr>
        <w:t>评估对象房地产价格</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n--选取的可比实例个数</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Xi--第i个可比实例的价格</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ai、bi、ci--第i个可供比较实例的交易情况、市场状况、房地产状况的修正系数。</w:t>
      </w:r>
    </w:p>
    <w:p>
      <w:pPr>
        <w:spacing w:line="480" w:lineRule="exact"/>
        <w:ind w:firstLine="560" w:firstLineChars="20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、收益法：预测评估对象的未来收益，利用报酬率将未来收益转换为价值得到评估对象价值或价格的方法。</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V=∑</w:t>
      </w:r>
      <w:r>
        <w:rPr>
          <w:rFonts w:hint="eastAsia" w:ascii="仿宋_GB2312" w:hAnsi="仿宋" w:eastAsia="仿宋_GB2312"/>
          <w:sz w:val="28"/>
          <w:szCs w:val="28"/>
          <w:vertAlign w:val="subscript"/>
        </w:rPr>
        <w:t>i=1</w:t>
      </w:r>
      <w:r>
        <w:rPr>
          <w:rFonts w:hint="eastAsia" w:ascii="仿宋_GB2312" w:hAnsi="仿宋" w:eastAsia="仿宋_GB2312"/>
          <w:sz w:val="28"/>
          <w:szCs w:val="28"/>
          <w:vertAlign w:val="superscript"/>
        </w:rPr>
        <w:t>n</w:t>
      </w:r>
      <w:r>
        <w:rPr>
          <w:rFonts w:hint="eastAsia" w:ascii="仿宋_GB2312" w:hAnsi="仿宋" w:eastAsia="仿宋_GB2312"/>
          <w:sz w:val="28"/>
          <w:szCs w:val="28"/>
        </w:rPr>
        <w:t xml:space="preserve"> ×[A</w:t>
      </w:r>
      <w:r>
        <w:rPr>
          <w:rFonts w:hint="eastAsia" w:ascii="仿宋_GB2312" w:hAnsi="仿宋" w:eastAsia="仿宋_GB2312"/>
          <w:sz w:val="28"/>
          <w:szCs w:val="28"/>
          <w:vertAlign w:val="subscript"/>
        </w:rPr>
        <w:t>i</w:t>
      </w:r>
      <w:r>
        <w:rPr>
          <w:rFonts w:hint="eastAsia" w:ascii="仿宋_GB2312" w:hAnsi="仿宋" w:eastAsia="仿宋_GB2312"/>
          <w:sz w:val="28"/>
          <w:szCs w:val="28"/>
        </w:rPr>
        <w:t>/（1+R）</w:t>
      </w:r>
      <w:r>
        <w:rPr>
          <w:rFonts w:hint="eastAsia" w:ascii="仿宋_GB2312" w:hAnsi="仿宋" w:eastAsia="仿宋_GB2312"/>
          <w:sz w:val="28"/>
          <w:szCs w:val="28"/>
          <w:vertAlign w:val="superscript"/>
        </w:rPr>
        <w:t>n</w:t>
      </w:r>
      <w:r>
        <w:rPr>
          <w:rFonts w:hint="eastAsia" w:ascii="仿宋_GB2312" w:hAnsi="仿宋" w:eastAsia="仿宋_GB2312"/>
          <w:sz w:val="28"/>
          <w:szCs w:val="28"/>
        </w:rPr>
        <w:t>]</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其中： </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V--表示评估对象在价值时点的收益价格，即现值 </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Ai--表示未来第i年的净收益 </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R--表示报酬率 </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n--表示房地产的收益年限</w:t>
      </w:r>
    </w:p>
    <w:p>
      <w:pPr>
        <w:spacing w:line="500" w:lineRule="exact"/>
        <w:ind w:firstLine="565" w:firstLineChars="202"/>
        <w:rPr>
          <w:rFonts w:ascii="仿宋_GB2312" w:hAnsi="仿宋_GB2312" w:eastAsia="仿宋_GB2312"/>
          <w:sz w:val="28"/>
        </w:rPr>
      </w:pPr>
    </w:p>
    <w:p>
      <w:pPr>
        <w:pStyle w:val="2"/>
      </w:pPr>
      <w:bookmarkStart w:id="15" w:name="_Toc104836926"/>
      <w:r>
        <w:rPr>
          <w:rFonts w:hint="eastAsia"/>
        </w:rPr>
        <w:t>八、评估程序实施过程和情况</w:t>
      </w:r>
      <w:bookmarkEnd w:id="15"/>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根据国家有关部门关于资产评估的规定和会计核算的一般原则，依据国家有关部门关于关联关系及交易的有关法律规定和规范化要求，按照我公司已实施的对委托方及产权单位提供的法律性文件与原始单据以及相关资料的验证审核，按公认的产权界定原则对资产占有方交的资产清单进行了必要的产权验证及对资产的实地察看与核对，并取得了相关的产权证明资料，进行了必要的市场调查和交易价格的比较，以及我们认为有必要实施的其他资产评估程序。资产评估的详细过程如下：</w:t>
      </w:r>
    </w:p>
    <w:p>
      <w:pPr>
        <w:spacing w:line="480" w:lineRule="exact"/>
        <w:ind w:firstLine="562" w:firstLineChars="200"/>
        <w:rPr>
          <w:rFonts w:ascii="仿宋_GB2312" w:hAnsi="仿宋" w:eastAsia="仿宋_GB2312"/>
          <w:b/>
          <w:bCs/>
          <w:sz w:val="28"/>
          <w:szCs w:val="28"/>
        </w:rPr>
      </w:pPr>
      <w:r>
        <w:rPr>
          <w:rFonts w:ascii="仿宋_GB2312" w:hAnsi="仿宋" w:eastAsia="仿宋_GB2312" w:cs="仿宋_GB2312"/>
          <w:b/>
          <w:bCs/>
          <w:sz w:val="28"/>
          <w:szCs w:val="28"/>
        </w:rPr>
        <w:t xml:space="preserve">8.1 </w:t>
      </w:r>
      <w:r>
        <w:rPr>
          <w:rFonts w:hint="eastAsia" w:ascii="仿宋_GB2312" w:hAnsi="仿宋" w:eastAsia="仿宋_GB2312" w:cs="仿宋_GB2312"/>
          <w:b/>
          <w:bCs/>
          <w:sz w:val="28"/>
          <w:szCs w:val="28"/>
        </w:rPr>
        <w:t>接受委托</w:t>
      </w:r>
    </w:p>
    <w:p>
      <w:pPr>
        <w:spacing w:line="480" w:lineRule="exact"/>
        <w:ind w:firstLine="560" w:firstLineChars="200"/>
        <w:rPr>
          <w:rFonts w:ascii="仿宋_GB2312" w:hAnsi="仿宋" w:eastAsia="仿宋_GB2312"/>
          <w:sz w:val="28"/>
          <w:szCs w:val="28"/>
        </w:rPr>
      </w:pPr>
      <w:r>
        <w:rPr>
          <w:rFonts w:ascii="仿宋_GB2312" w:hAnsi="仿宋" w:eastAsia="仿宋_GB2312" w:cs="仿宋_GB2312"/>
          <w:bCs/>
          <w:sz w:val="28"/>
          <w:szCs w:val="28"/>
        </w:rPr>
        <w:t>8.1.1</w:t>
      </w:r>
      <w:r>
        <w:rPr>
          <w:rFonts w:hint="eastAsia" w:ascii="仿宋_GB2312" w:hAnsi="仿宋" w:eastAsia="仿宋_GB2312" w:cs="仿宋_GB2312"/>
          <w:sz w:val="28"/>
          <w:szCs w:val="28"/>
        </w:rPr>
        <w:t>本公司接受</w:t>
      </w:r>
      <w:r>
        <w:rPr>
          <w:rFonts w:hint="eastAsia" w:ascii="仿宋_GB2312" w:hAnsi="仿宋_GB2312" w:eastAsia="仿宋_GB2312" w:cs="仿宋_GB2312"/>
          <w:sz w:val="28"/>
          <w:szCs w:val="28"/>
        </w:rPr>
        <w:t>湖北省应城市人民法院</w:t>
      </w:r>
      <w:r>
        <w:rPr>
          <w:rFonts w:hint="eastAsia" w:ascii="仿宋_GB2312" w:hAnsi="仿宋" w:eastAsia="仿宋_GB2312" w:cs="仿宋_GB2312"/>
          <w:sz w:val="28"/>
          <w:szCs w:val="28"/>
        </w:rPr>
        <w:t>的委托从事本资产评估项目。在接受委托后，本公司即确定了有关的资产评估人员，并与该公司的相关人员就本次资产评估的评估目的、评估基准日、评估范围、委托评估主要资产的特点等影响资产评估方案的问题进行了认真讨论。</w:t>
      </w:r>
    </w:p>
    <w:p>
      <w:pPr>
        <w:spacing w:line="480" w:lineRule="exact"/>
        <w:ind w:firstLine="560" w:firstLineChars="200"/>
        <w:rPr>
          <w:rFonts w:ascii="仿宋_GB2312" w:hAnsi="仿宋" w:eastAsia="仿宋_GB2312"/>
          <w:sz w:val="28"/>
          <w:szCs w:val="28"/>
        </w:rPr>
      </w:pPr>
      <w:r>
        <w:rPr>
          <w:rFonts w:ascii="仿宋_GB2312" w:hAnsi="仿宋" w:eastAsia="仿宋_GB2312" w:cs="仿宋_GB2312"/>
          <w:bCs/>
          <w:sz w:val="28"/>
          <w:szCs w:val="28"/>
        </w:rPr>
        <w:t xml:space="preserve">8.1.2 </w:t>
      </w:r>
      <w:r>
        <w:rPr>
          <w:rFonts w:hint="eastAsia" w:ascii="仿宋_GB2312" w:hAnsi="仿宋" w:eastAsia="仿宋_GB2312" w:cs="仿宋_GB2312"/>
          <w:sz w:val="28"/>
          <w:szCs w:val="28"/>
        </w:rPr>
        <w:t>根据委托评估资产特点，制定评估计划，确定重要的评估对象、评估程序及主要评估方法。</w:t>
      </w:r>
    </w:p>
    <w:p>
      <w:pPr>
        <w:pStyle w:val="5"/>
        <w:spacing w:line="480" w:lineRule="exact"/>
        <w:ind w:firstLine="562"/>
        <w:rPr>
          <w:rFonts w:ascii="仿宋_GB2312" w:hAnsi="仿宋" w:eastAsia="仿宋_GB2312"/>
          <w:b/>
          <w:bCs/>
          <w:sz w:val="28"/>
          <w:szCs w:val="28"/>
        </w:rPr>
      </w:pPr>
      <w:r>
        <w:rPr>
          <w:rFonts w:ascii="仿宋_GB2312" w:hAnsi="仿宋" w:eastAsia="仿宋_GB2312" w:cs="仿宋_GB2312"/>
          <w:b/>
          <w:bCs/>
          <w:sz w:val="28"/>
          <w:szCs w:val="28"/>
        </w:rPr>
        <w:t xml:space="preserve">8.2 </w:t>
      </w:r>
      <w:r>
        <w:rPr>
          <w:rFonts w:hint="eastAsia" w:ascii="仿宋_GB2312" w:hAnsi="仿宋" w:eastAsia="仿宋_GB2312" w:cs="仿宋_GB2312"/>
          <w:b/>
          <w:bCs/>
          <w:sz w:val="28"/>
          <w:szCs w:val="28"/>
        </w:rPr>
        <w:t>资产清查核实</w:t>
      </w:r>
    </w:p>
    <w:p>
      <w:pPr>
        <w:pStyle w:val="5"/>
        <w:spacing w:line="480" w:lineRule="exact"/>
        <w:ind w:firstLine="565" w:firstLineChars="202"/>
        <w:rPr>
          <w:rFonts w:ascii="仿宋_GB2312" w:hAnsi="仿宋" w:eastAsia="仿宋_GB2312"/>
          <w:sz w:val="28"/>
          <w:szCs w:val="28"/>
        </w:rPr>
      </w:pPr>
      <w:r>
        <w:rPr>
          <w:rFonts w:ascii="仿宋_GB2312" w:hAnsi="仿宋" w:eastAsia="仿宋_GB2312" w:cs="仿宋_GB2312"/>
          <w:sz w:val="28"/>
          <w:szCs w:val="28"/>
        </w:rPr>
        <w:t>8.2.1</w:t>
      </w:r>
      <w:r>
        <w:rPr>
          <w:rFonts w:hint="eastAsia" w:ascii="仿宋_GB2312" w:hAnsi="仿宋" w:eastAsia="仿宋_GB2312" w:cs="仿宋_GB2312"/>
          <w:sz w:val="28"/>
          <w:szCs w:val="28"/>
        </w:rPr>
        <w:t>资产评估申报明细表的填报</w:t>
      </w:r>
    </w:p>
    <w:p>
      <w:pPr>
        <w:pStyle w:val="5"/>
        <w:spacing w:line="480" w:lineRule="exact"/>
        <w:ind w:firstLine="565" w:firstLineChars="202"/>
        <w:rPr>
          <w:rFonts w:ascii="仿宋_GB2312" w:hAnsi="仿宋" w:eastAsia="仿宋_GB2312"/>
          <w:sz w:val="28"/>
          <w:szCs w:val="28"/>
        </w:rPr>
      </w:pPr>
      <w:r>
        <w:rPr>
          <w:rFonts w:hint="eastAsia" w:ascii="仿宋_GB2312" w:hAnsi="仿宋" w:eastAsia="仿宋_GB2312" w:cs="仿宋_GB2312"/>
          <w:sz w:val="28"/>
          <w:szCs w:val="28"/>
        </w:rPr>
        <w:t>根据委托评估资产特点，有针对性地布置评估申报明细表，并设计主要资产调查表，对委托方参与资产评估配合人员进行指导，填写资产评估申报明细表。</w:t>
      </w:r>
    </w:p>
    <w:p>
      <w:pPr>
        <w:pStyle w:val="5"/>
        <w:spacing w:line="480" w:lineRule="exact"/>
        <w:ind w:firstLine="697" w:firstLineChars="249"/>
        <w:rPr>
          <w:rFonts w:ascii="仿宋_GB2312" w:hAnsi="仿宋" w:eastAsia="仿宋_GB2312"/>
          <w:sz w:val="28"/>
          <w:szCs w:val="28"/>
        </w:rPr>
      </w:pPr>
      <w:r>
        <w:rPr>
          <w:rFonts w:ascii="仿宋_GB2312" w:hAnsi="仿宋" w:eastAsia="仿宋_GB2312" w:cs="仿宋_GB2312"/>
          <w:sz w:val="28"/>
          <w:szCs w:val="28"/>
        </w:rPr>
        <w:t>8.2.2</w:t>
      </w:r>
      <w:r>
        <w:rPr>
          <w:rFonts w:hint="eastAsia" w:ascii="仿宋_GB2312" w:hAnsi="仿宋" w:eastAsia="仿宋_GB2312" w:cs="仿宋_GB2312"/>
          <w:sz w:val="28"/>
          <w:szCs w:val="28"/>
        </w:rPr>
        <w:t>评估对象真实性和合法性的查证</w:t>
      </w:r>
    </w:p>
    <w:p>
      <w:pPr>
        <w:pStyle w:val="5"/>
        <w:spacing w:line="480" w:lineRule="exact"/>
        <w:ind w:firstLine="560"/>
        <w:rPr>
          <w:rFonts w:ascii="仿宋_GB2312" w:hAnsi="仿宋" w:eastAsia="仿宋_GB2312"/>
          <w:sz w:val="28"/>
          <w:szCs w:val="28"/>
        </w:rPr>
      </w:pPr>
      <w:r>
        <w:rPr>
          <w:rFonts w:hint="eastAsia" w:ascii="仿宋_GB2312" w:hAnsi="仿宋" w:eastAsia="仿宋_GB2312" w:cs="仿宋_GB2312"/>
          <w:sz w:val="28"/>
          <w:szCs w:val="28"/>
        </w:rPr>
        <w:t>（</w:t>
      </w:r>
      <w:r>
        <w:rPr>
          <w:rFonts w:ascii="仿宋_GB2312" w:hAnsi="仿宋" w:eastAsia="仿宋_GB2312" w:cs="仿宋_GB2312"/>
          <w:sz w:val="28"/>
          <w:szCs w:val="28"/>
        </w:rPr>
        <w:t>1</w:t>
      </w:r>
      <w:r>
        <w:rPr>
          <w:rFonts w:hint="eastAsia" w:ascii="仿宋_GB2312" w:hAnsi="仿宋" w:eastAsia="仿宋_GB2312" w:cs="仿宋_GB2312"/>
          <w:sz w:val="28"/>
          <w:szCs w:val="28"/>
        </w:rPr>
        <w:t>）评估对象真实性和合法性的查证</w:t>
      </w:r>
    </w:p>
    <w:p>
      <w:pPr>
        <w:pStyle w:val="5"/>
        <w:spacing w:line="480" w:lineRule="exact"/>
        <w:ind w:firstLine="560"/>
        <w:rPr>
          <w:rFonts w:ascii="仿宋_GB2312" w:hAnsi="仿宋" w:eastAsia="仿宋_GB2312"/>
          <w:sz w:val="28"/>
          <w:szCs w:val="28"/>
        </w:rPr>
      </w:pPr>
      <w:r>
        <w:rPr>
          <w:rFonts w:hint="eastAsia" w:ascii="仿宋_GB2312" w:hAnsi="仿宋" w:eastAsia="仿宋_GB2312" w:cs="仿宋_GB2312"/>
          <w:sz w:val="28"/>
          <w:szCs w:val="28"/>
        </w:rPr>
        <w:t>根据湖北省应城市人民法院所提供的评估对象明细表，评估人员针对实物资产进行查证，以确认资产的真实性和合法性。</w:t>
      </w:r>
    </w:p>
    <w:p>
      <w:pPr>
        <w:pStyle w:val="5"/>
        <w:spacing w:line="480" w:lineRule="exact"/>
        <w:ind w:firstLine="560"/>
        <w:rPr>
          <w:rFonts w:ascii="仿宋_GB2312" w:hAnsi="仿宋" w:eastAsia="仿宋_GB2312"/>
          <w:sz w:val="28"/>
          <w:szCs w:val="28"/>
        </w:rPr>
      </w:pPr>
      <w:r>
        <w:rPr>
          <w:rFonts w:hint="eastAsia" w:ascii="仿宋_GB2312" w:hAnsi="仿宋" w:eastAsia="仿宋_GB2312" w:cs="仿宋_GB2312"/>
          <w:sz w:val="28"/>
          <w:szCs w:val="28"/>
        </w:rPr>
        <w:t>对评估范围的资产的产权进行验证，以确认产权清晰。</w:t>
      </w:r>
    </w:p>
    <w:p>
      <w:pPr>
        <w:pStyle w:val="5"/>
        <w:spacing w:line="480" w:lineRule="exact"/>
        <w:ind w:firstLine="560"/>
        <w:rPr>
          <w:rFonts w:ascii="仿宋_GB2312" w:hAnsi="仿宋" w:eastAsia="仿宋_GB2312"/>
          <w:sz w:val="28"/>
          <w:szCs w:val="28"/>
        </w:rPr>
      </w:pPr>
      <w:r>
        <w:rPr>
          <w:rFonts w:hint="eastAsia" w:ascii="仿宋_GB2312" w:hAnsi="仿宋" w:eastAsia="仿宋_GB2312" w:cs="仿宋_GB2312"/>
          <w:sz w:val="28"/>
          <w:szCs w:val="28"/>
        </w:rPr>
        <w:t>（</w:t>
      </w:r>
      <w:r>
        <w:rPr>
          <w:rFonts w:ascii="仿宋_GB2312" w:hAnsi="仿宋" w:eastAsia="仿宋_GB2312" w:cs="仿宋_GB2312"/>
          <w:sz w:val="28"/>
          <w:szCs w:val="28"/>
        </w:rPr>
        <w:t>2</w:t>
      </w:r>
      <w:r>
        <w:rPr>
          <w:rFonts w:hint="eastAsia" w:ascii="仿宋_GB2312" w:hAnsi="仿宋" w:eastAsia="仿宋_GB2312" w:cs="仿宋_GB2312"/>
          <w:sz w:val="28"/>
          <w:szCs w:val="28"/>
        </w:rPr>
        <w:t>）实物资产的调查</w:t>
      </w:r>
    </w:p>
    <w:p>
      <w:pPr>
        <w:pStyle w:val="5"/>
        <w:spacing w:line="480" w:lineRule="exact"/>
        <w:ind w:firstLine="560"/>
        <w:rPr>
          <w:rFonts w:ascii="仿宋_GB2312" w:hAnsi="仿宋" w:eastAsia="仿宋_GB2312"/>
          <w:sz w:val="28"/>
          <w:szCs w:val="28"/>
        </w:rPr>
      </w:pPr>
      <w:r>
        <w:rPr>
          <w:rFonts w:hint="eastAsia" w:ascii="仿宋_GB2312" w:hAnsi="仿宋" w:eastAsia="仿宋_GB2312" w:cs="仿宋_GB2312"/>
          <w:sz w:val="28"/>
          <w:szCs w:val="28"/>
        </w:rPr>
        <w:t>本次评估涉及的资产，评估人员通过收集相关相关资料并实地勘查，以核实资产真实性和合法性。在调查的基础上填写调查表，从而综合评估确定其经济性、技术先进性等指标，以便确定成新率及评估所需的其他参数。</w:t>
      </w:r>
    </w:p>
    <w:p>
      <w:pPr>
        <w:pStyle w:val="5"/>
        <w:spacing w:line="480" w:lineRule="exact"/>
        <w:ind w:firstLine="560"/>
        <w:rPr>
          <w:rFonts w:ascii="仿宋_GB2312" w:hAnsi="仿宋" w:eastAsia="仿宋_GB2312"/>
          <w:sz w:val="28"/>
          <w:szCs w:val="28"/>
        </w:rPr>
      </w:pPr>
      <w:r>
        <w:rPr>
          <w:rFonts w:ascii="仿宋_GB2312" w:hAnsi="仿宋" w:eastAsia="仿宋_GB2312" w:cs="仿宋_GB2312"/>
          <w:sz w:val="28"/>
          <w:szCs w:val="28"/>
        </w:rPr>
        <w:t>8.2.</w:t>
      </w:r>
      <w:r>
        <w:rPr>
          <w:rFonts w:hint="eastAsia" w:ascii="仿宋_GB2312" w:hAnsi="仿宋" w:eastAsia="仿宋_GB2312" w:cs="仿宋_GB2312"/>
          <w:sz w:val="28"/>
          <w:szCs w:val="28"/>
        </w:rPr>
        <w:t>3评估资料的收集</w:t>
      </w:r>
    </w:p>
    <w:p>
      <w:pPr>
        <w:pStyle w:val="5"/>
        <w:spacing w:line="480" w:lineRule="exact"/>
        <w:ind w:firstLine="560"/>
        <w:rPr>
          <w:rFonts w:ascii="仿宋_GB2312" w:hAnsi="仿宋" w:eastAsia="仿宋_GB2312"/>
          <w:sz w:val="28"/>
          <w:szCs w:val="28"/>
        </w:rPr>
      </w:pPr>
      <w:r>
        <w:rPr>
          <w:rFonts w:hint="eastAsia" w:ascii="仿宋_GB2312" w:hAnsi="仿宋" w:eastAsia="仿宋_GB2312" w:cs="仿宋_GB2312"/>
          <w:sz w:val="28"/>
          <w:szCs w:val="28"/>
        </w:rPr>
        <w:t>向湖北省应城市人民法院提交本次评估相关的资料清单，指导相关人员进行资料收集和准备。</w:t>
      </w:r>
    </w:p>
    <w:p>
      <w:pPr>
        <w:pStyle w:val="5"/>
        <w:spacing w:line="480" w:lineRule="exact"/>
        <w:ind w:firstLine="562"/>
        <w:rPr>
          <w:rFonts w:ascii="仿宋_GB2312" w:hAnsi="仿宋" w:eastAsia="仿宋_GB2312"/>
          <w:b/>
          <w:bCs/>
          <w:sz w:val="28"/>
          <w:szCs w:val="28"/>
        </w:rPr>
      </w:pPr>
      <w:r>
        <w:rPr>
          <w:rFonts w:ascii="仿宋_GB2312" w:hAnsi="仿宋" w:eastAsia="仿宋_GB2312" w:cs="仿宋_GB2312"/>
          <w:b/>
          <w:bCs/>
          <w:sz w:val="28"/>
          <w:szCs w:val="28"/>
        </w:rPr>
        <w:t>8.3</w:t>
      </w:r>
      <w:r>
        <w:rPr>
          <w:rFonts w:hint="eastAsia" w:ascii="仿宋_GB2312" w:hAnsi="仿宋" w:eastAsia="仿宋_GB2312" w:cs="仿宋_GB2312"/>
          <w:b/>
          <w:bCs/>
          <w:sz w:val="28"/>
          <w:szCs w:val="28"/>
        </w:rPr>
        <w:t>评定估算及综合处理阶段</w:t>
      </w:r>
    </w:p>
    <w:p>
      <w:pPr>
        <w:pStyle w:val="5"/>
        <w:spacing w:line="480" w:lineRule="exact"/>
        <w:ind w:firstLine="560"/>
        <w:rPr>
          <w:rFonts w:ascii="仿宋_GB2312" w:hAnsi="仿宋" w:eastAsia="仿宋_GB2312"/>
          <w:sz w:val="28"/>
          <w:szCs w:val="28"/>
        </w:rPr>
      </w:pPr>
      <w:r>
        <w:rPr>
          <w:rFonts w:ascii="仿宋_GB2312" w:hAnsi="仿宋" w:eastAsia="仿宋_GB2312" w:cs="仿宋_GB2312"/>
          <w:sz w:val="28"/>
          <w:szCs w:val="28"/>
        </w:rPr>
        <w:t>8.3.1</w:t>
      </w:r>
      <w:r>
        <w:rPr>
          <w:rFonts w:hint="eastAsia" w:ascii="仿宋_GB2312" w:hAnsi="仿宋" w:eastAsia="仿宋_GB2312" w:cs="仿宋_GB2312"/>
          <w:sz w:val="28"/>
          <w:szCs w:val="28"/>
        </w:rPr>
        <w:t>评估结果的确定。依据我们评估人员在评估实地勘察的结论以及我们进行的必要的市场调查，测算委托评估资产的市场价值。</w:t>
      </w:r>
    </w:p>
    <w:p>
      <w:pPr>
        <w:pStyle w:val="5"/>
        <w:spacing w:line="480" w:lineRule="exact"/>
        <w:ind w:firstLine="565" w:firstLineChars="202"/>
        <w:rPr>
          <w:rFonts w:ascii="仿宋_GB2312" w:hAnsi="仿宋" w:eastAsia="仿宋_GB2312"/>
          <w:sz w:val="28"/>
          <w:szCs w:val="28"/>
        </w:rPr>
      </w:pPr>
      <w:r>
        <w:rPr>
          <w:rFonts w:ascii="仿宋_GB2312" w:hAnsi="仿宋" w:eastAsia="仿宋_GB2312" w:cs="仿宋_GB2312"/>
          <w:sz w:val="28"/>
          <w:szCs w:val="28"/>
        </w:rPr>
        <w:t>8.3.2</w:t>
      </w:r>
      <w:r>
        <w:rPr>
          <w:rFonts w:hint="eastAsia" w:ascii="仿宋_GB2312" w:hAnsi="仿宋" w:eastAsia="仿宋_GB2312" w:cs="仿宋_GB2312"/>
          <w:sz w:val="28"/>
          <w:szCs w:val="28"/>
        </w:rPr>
        <w:t>评估结果的分析和评估报告的撰写</w:t>
      </w:r>
    </w:p>
    <w:p>
      <w:pPr>
        <w:pStyle w:val="5"/>
        <w:spacing w:line="480" w:lineRule="exact"/>
        <w:ind w:firstLine="565" w:firstLineChars="202"/>
        <w:rPr>
          <w:rFonts w:ascii="仿宋_GB2312" w:hAnsi="仿宋" w:eastAsia="仿宋_GB2312"/>
          <w:sz w:val="28"/>
          <w:szCs w:val="28"/>
        </w:rPr>
      </w:pPr>
      <w:r>
        <w:rPr>
          <w:rFonts w:hint="eastAsia" w:ascii="仿宋_GB2312" w:hAnsi="仿宋" w:eastAsia="仿宋_GB2312" w:cs="仿宋_GB2312"/>
          <w:sz w:val="28"/>
          <w:szCs w:val="28"/>
        </w:rPr>
        <w:t>针对我们测算的结论，我们咨询有关行业专家，结合行业有关指标对评估结论进行分析，并根据国内同地区、同行业相应的价格标准进行验证，认为此次资产评估结论是正确的。</w:t>
      </w:r>
    </w:p>
    <w:p>
      <w:pPr>
        <w:pStyle w:val="5"/>
        <w:spacing w:line="480" w:lineRule="exact"/>
        <w:ind w:firstLine="537" w:firstLineChars="192"/>
        <w:rPr>
          <w:rFonts w:ascii="仿宋_GB2312" w:hAnsi="仿宋" w:eastAsia="仿宋_GB2312"/>
          <w:sz w:val="28"/>
          <w:szCs w:val="28"/>
        </w:rPr>
      </w:pPr>
      <w:r>
        <w:rPr>
          <w:rFonts w:hint="eastAsia" w:ascii="仿宋_GB2312" w:hAnsi="仿宋" w:eastAsia="仿宋_GB2312" w:cs="仿宋_GB2312"/>
          <w:sz w:val="28"/>
          <w:szCs w:val="28"/>
        </w:rPr>
        <w:t>按照我所规范化要求组织各专业组成员编制相关资产的评估说明。评估结果及相关资产评估说明按本所规定程序进行三级复核，即首先初始报告由项目负责人审核，项目负责人审核后再提交部门经理审核，全部审核意见反馈回项目组，项目组在此基础上进行进一步的修订。最后经总评估师复核后由项目组完成并提交报告。</w:t>
      </w:r>
    </w:p>
    <w:p>
      <w:pPr>
        <w:spacing w:line="480" w:lineRule="exact"/>
        <w:ind w:firstLine="480" w:firstLineChars="200"/>
        <w:rPr>
          <w:rFonts w:ascii="华文中宋" w:hAnsi="华文中宋" w:eastAsia="华文中宋"/>
          <w:sz w:val="24"/>
        </w:rPr>
      </w:pPr>
    </w:p>
    <w:p>
      <w:pPr>
        <w:pStyle w:val="2"/>
      </w:pPr>
      <w:bookmarkStart w:id="16" w:name="_Toc104836927"/>
      <w:r>
        <w:rPr>
          <w:rFonts w:hint="eastAsia"/>
        </w:rPr>
        <w:t>九、评估假设</w:t>
      </w:r>
      <w:bookmarkEnd w:id="16"/>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本评估报告的分析和结论仅在设定的以下假设条件下成立：</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（一）一般假设</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1、本报告评估结论所依据、由委托方及产权单位所提供的信息资料为可信的和准确的。</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2、评估对象的产权持有人合法拥有、使用、处置资产并享有其收益的权利不受侵犯。</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（二）评估环境假设</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1、评估对象所在地区的法律、法规、政策环境相对于评估基准日无重大变动；</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2、评估对象所在地的社会经济环境、国际政治、经济环境相对于评估基准日无重大变动；</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3、与评估对象有关的利率、汇率、物价水平相对于评估基准日无重大变动。</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（三）公开交易条件假设</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自愿买方与自愿卖方在评估基准日进行正常的市场营销之后所达成的公平交易中，某项资产进行交易的价值估计数额，当事人双方应各自理性、谨慎行事，不受任何强迫压制。</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评估师认为，上述评估假设在评估基准日是合理的和必要的，并作为形成评估结论的基础。若上述假设条件在评估基准日后发生重大改变，将可能导致评估结果无法实现。</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（四）具体假设</w:t>
      </w:r>
    </w:p>
    <w:p>
      <w:pPr>
        <w:spacing w:line="480" w:lineRule="exact"/>
        <w:ind w:firstLine="560" w:firstLineChars="20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、本次估价对象现场查勘地址系估价人员根据图纸并会同委托方及相关当事人现场指认确定，假设现场查勘地址无误。</w:t>
      </w:r>
    </w:p>
    <w:p>
      <w:pPr>
        <w:spacing w:line="480" w:lineRule="exact"/>
        <w:ind w:firstLine="560" w:firstLineChars="20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、估价对象尚未办理产权证，面积数据系评估人员根据委托方提供的《文昌新缘城1#楼A区一层平面图》确定，假设建筑面积数据无误。</w:t>
      </w:r>
    </w:p>
    <w:p>
      <w:pPr>
        <w:spacing w:line="480" w:lineRule="exact"/>
        <w:ind w:firstLine="560" w:firstLineChars="200"/>
        <w:rPr>
          <w:rFonts w:hint="eastAsia"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本次评估委托人提供的资料未记载房地产权利状况，评估人员根据现场实际查勘情况、建筑物设计结构、同小区房屋情况等因素，根据最高最佳利用原则，假设估价对象土地用途为商业，土地使用权类型为出让，房屋用途为商业。</w:t>
      </w:r>
    </w:p>
    <w:p>
      <w:pPr>
        <w:spacing w:line="480" w:lineRule="exact"/>
        <w:ind w:firstLine="560" w:firstLineChars="200"/>
        <w:rPr>
          <w:rFonts w:ascii="仿宋_GB2312" w:hAnsi="仿宋" w:eastAsia="仿宋_GB2312"/>
          <w:sz w:val="28"/>
          <w:szCs w:val="28"/>
        </w:rPr>
      </w:pPr>
    </w:p>
    <w:p>
      <w:pPr>
        <w:pStyle w:val="2"/>
      </w:pPr>
      <w:bookmarkStart w:id="17" w:name="_Toc104836928"/>
      <w:r>
        <w:rPr>
          <w:rFonts w:hint="eastAsia"/>
        </w:rPr>
        <w:t>十、评估结论</w:t>
      </w:r>
      <w:bookmarkEnd w:id="17"/>
    </w:p>
    <w:p>
      <w:pPr>
        <w:spacing w:line="480" w:lineRule="exact"/>
        <w:ind w:firstLine="635" w:firstLineChars="227"/>
        <w:rPr>
          <w:rFonts w:ascii="仿宋_GB2312" w:hAnsi="仿宋" w:eastAsia="仿宋_GB2312"/>
          <w:sz w:val="28"/>
          <w:szCs w:val="28"/>
        </w:rPr>
      </w:pPr>
      <w:r>
        <w:rPr>
          <w:rFonts w:hint="eastAsia" w:ascii="仿宋_GB2312" w:hAnsi="仿宋_GB2312" w:eastAsia="仿宋_GB2312"/>
          <w:sz w:val="28"/>
        </w:rPr>
        <w:t>在实施了上述资产评估程序和方法后，</w:t>
      </w:r>
      <w:r>
        <w:rPr>
          <w:rFonts w:hint="eastAsia" w:ascii="仿宋_GB2312" w:hAnsi="仿宋" w:eastAsia="仿宋_GB2312"/>
          <w:sz w:val="28"/>
          <w:szCs w:val="28"/>
        </w:rPr>
        <w:t>湖北省应城市人民法院应委托的用于本次评估目的的资产，于2022年4月25日的市场价值为：</w:t>
      </w:r>
    </w:p>
    <w:p>
      <w:pPr>
        <w:tabs>
          <w:tab w:val="left" w:pos="0"/>
          <w:tab w:val="left" w:pos="6840"/>
        </w:tabs>
        <w:spacing w:line="480" w:lineRule="exact"/>
        <w:ind w:firstLine="1046" w:firstLineChars="372"/>
        <w:jc w:val="left"/>
        <w:rPr>
          <w:rFonts w:ascii="仿宋_GB2312" w:hAnsi="仿宋_GB2312" w:eastAsia="仿宋_GB2312"/>
          <w:b/>
          <w:i/>
          <w:sz w:val="28"/>
        </w:rPr>
      </w:pPr>
      <w:r>
        <w:rPr>
          <w:rFonts w:hint="eastAsia" w:ascii="仿宋_GB2312" w:hAnsi="仿宋_GB2312" w:eastAsia="仿宋_GB2312"/>
          <w:b/>
          <w:i/>
          <w:sz w:val="28"/>
        </w:rPr>
        <w:t>评估总价：</w:t>
      </w:r>
      <w:r>
        <w:rPr>
          <w:rFonts w:ascii="仿宋_GB2312" w:hAnsi="仿宋_GB2312" w:eastAsia="仿宋_GB2312"/>
          <w:b/>
          <w:i/>
          <w:sz w:val="28"/>
        </w:rPr>
        <w:t>296.44万元</w:t>
      </w:r>
      <w:r>
        <w:rPr>
          <w:rFonts w:hint="eastAsia" w:ascii="仿宋_GB2312" w:hAnsi="仿宋_GB2312" w:eastAsia="仿宋_GB2312"/>
          <w:b/>
          <w:i/>
          <w:sz w:val="28"/>
        </w:rPr>
        <w:t>。</w:t>
      </w:r>
    </w:p>
    <w:p>
      <w:pPr>
        <w:tabs>
          <w:tab w:val="left" w:pos="0"/>
          <w:tab w:val="left" w:pos="6840"/>
        </w:tabs>
        <w:spacing w:line="480" w:lineRule="exact"/>
        <w:ind w:firstLine="1046" w:firstLineChars="372"/>
        <w:jc w:val="left"/>
        <w:rPr>
          <w:rFonts w:ascii="仿宋_GB2312" w:hAnsi="仿宋_GB2312" w:eastAsia="仿宋_GB2312"/>
          <w:sz w:val="28"/>
        </w:rPr>
      </w:pPr>
      <w:r>
        <w:rPr>
          <w:rFonts w:hint="eastAsia" w:ascii="仿宋_GB2312" w:hAnsi="仿宋_GB2312" w:eastAsia="仿宋_GB2312"/>
          <w:b/>
          <w:i/>
          <w:sz w:val="28"/>
        </w:rPr>
        <w:t>大    写：人民币贰佰玖拾陆万肆仟肆佰元整</w:t>
      </w:r>
      <w:r>
        <w:rPr>
          <w:rFonts w:hint="eastAsia" w:ascii="仿宋_GB2312" w:hAnsi="仿宋_GB2312" w:eastAsia="仿宋_GB2312"/>
          <w:sz w:val="28"/>
        </w:rPr>
        <w:t xml:space="preserve"> </w:t>
      </w:r>
      <w:r>
        <w:rPr>
          <w:rFonts w:ascii="仿宋_GB2312" w:hAnsi="仿宋_GB2312" w:eastAsia="仿宋_GB2312"/>
          <w:sz w:val="28"/>
        </w:rPr>
        <w:t xml:space="preserve"> </w:t>
      </w:r>
    </w:p>
    <w:p>
      <w:pPr>
        <w:widowControl/>
        <w:adjustRightInd w:val="0"/>
        <w:snapToGrid w:val="0"/>
        <w:spacing w:line="480" w:lineRule="exact"/>
        <w:ind w:firstLine="560" w:firstLineChars="200"/>
        <w:jc w:val="left"/>
        <w:rPr>
          <w:rFonts w:ascii="仿宋_GB2312" w:hAnsi="仿宋_GB2312" w:eastAsia="仿宋_GB2312"/>
          <w:sz w:val="28"/>
        </w:rPr>
      </w:pPr>
      <w:r>
        <w:rPr>
          <w:rFonts w:hint="eastAsia" w:ascii="仿宋_GB2312" w:hAnsi="仿宋_GB2312" w:eastAsia="仿宋_GB2312"/>
          <w:sz w:val="28"/>
        </w:rPr>
        <w:t>（详见资产评估明细表。）</w:t>
      </w:r>
    </w:p>
    <w:p>
      <w:pPr>
        <w:tabs>
          <w:tab w:val="left" w:pos="0"/>
          <w:tab w:val="left" w:pos="6840"/>
        </w:tabs>
        <w:spacing w:line="480" w:lineRule="exact"/>
        <w:ind w:firstLine="1046" w:firstLineChars="372"/>
        <w:jc w:val="left"/>
        <w:rPr>
          <w:rFonts w:ascii="仿宋_GB2312" w:hAnsi="仿宋_GB2312" w:eastAsia="仿宋_GB2312"/>
          <w:b/>
          <w:i/>
          <w:sz w:val="28"/>
        </w:rPr>
      </w:pPr>
    </w:p>
    <w:p>
      <w:pPr>
        <w:pStyle w:val="2"/>
      </w:pPr>
      <w:bookmarkStart w:id="18" w:name="_Toc104836929"/>
      <w:r>
        <w:rPr>
          <w:rFonts w:hint="eastAsia"/>
        </w:rPr>
        <w:t>十一、特别事项说明</w:t>
      </w:r>
      <w:bookmarkEnd w:id="18"/>
    </w:p>
    <w:p>
      <w:pPr>
        <w:spacing w:line="480" w:lineRule="exact"/>
        <w:ind w:firstLine="560" w:firstLineChars="200"/>
        <w:rPr>
          <w:rFonts w:ascii="仿宋_GB2312" w:hAnsi="仿宋" w:eastAsia="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1.1</w:t>
      </w:r>
      <w:r>
        <w:rPr>
          <w:rFonts w:hint="eastAsia" w:ascii="仿宋_GB2312" w:hAnsi="仿宋" w:eastAsia="仿宋_GB2312"/>
          <w:sz w:val="28"/>
          <w:szCs w:val="28"/>
        </w:rPr>
        <w:t>估价对象资料未记载建筑物的建成年份，估价委托人亦未提供相关建成年份资料，经实地调查，估价对象约建成于</w:t>
      </w:r>
      <w:r>
        <w:rPr>
          <w:rFonts w:ascii="仿宋_GB2312" w:hAnsi="仿宋" w:eastAsia="仿宋_GB2312"/>
          <w:sz w:val="28"/>
          <w:szCs w:val="28"/>
        </w:rPr>
        <w:t>2017年</w:t>
      </w:r>
      <w:r>
        <w:rPr>
          <w:rFonts w:hint="eastAsia" w:ascii="仿宋_GB2312" w:hAnsi="仿宋" w:eastAsia="仿宋_GB2312"/>
          <w:sz w:val="28"/>
          <w:szCs w:val="28"/>
        </w:rPr>
        <w:t>，本次估价建筑物的建成年份以实际调查为准，仅在本报告中使用，不作其他任何用途使用。</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 xml:space="preserve">1.2 </w:t>
      </w:r>
      <w:r>
        <w:rPr>
          <w:rFonts w:hint="eastAsia" w:ascii="仿宋_GB2312" w:hAnsi="仿宋" w:eastAsia="仿宋_GB2312"/>
          <w:sz w:val="28"/>
          <w:szCs w:val="28"/>
        </w:rPr>
        <w:t>估价对象尚未办理产权证，面积数据系评估人员根据委托方提供的《文昌新缘城1#楼A区一层平面图》确定，实际面积应当以登记面积为准</w:t>
      </w:r>
      <w:r>
        <w:rPr>
          <w:rFonts w:hint="eastAsia" w:ascii="仿宋_GB2312" w:hAnsi="仿宋_GB2312" w:eastAsia="仿宋_GB2312" w:cs="仿宋_GB2312"/>
          <w:sz w:val="28"/>
          <w:szCs w:val="28"/>
        </w:rPr>
        <w:t>。</w:t>
      </w:r>
    </w:p>
    <w:p>
      <w:pPr>
        <w:spacing w:line="48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 xml:space="preserve">11.3 </w:t>
      </w:r>
      <w:r>
        <w:rPr>
          <w:rFonts w:hint="eastAsia" w:ascii="仿宋_GB2312" w:hAnsi="仿宋" w:eastAsia="仿宋_GB2312"/>
          <w:sz w:val="28"/>
          <w:szCs w:val="28"/>
        </w:rPr>
        <w:t>据了解，估价对象所在项目土地出让金已缴清，但整个项目（P（2</w:t>
      </w:r>
      <w:r>
        <w:rPr>
          <w:rFonts w:ascii="仿宋_GB2312" w:hAnsi="仿宋" w:eastAsia="仿宋_GB2312"/>
          <w:sz w:val="28"/>
          <w:szCs w:val="28"/>
        </w:rPr>
        <w:t>016</w:t>
      </w:r>
      <w:r>
        <w:rPr>
          <w:rFonts w:hint="eastAsia" w:ascii="仿宋_GB2312" w:hAnsi="仿宋" w:eastAsia="仿宋_GB2312"/>
          <w:sz w:val="28"/>
          <w:szCs w:val="28"/>
        </w:rPr>
        <w:t>）0</w:t>
      </w:r>
      <w:r>
        <w:rPr>
          <w:rFonts w:ascii="仿宋_GB2312" w:hAnsi="仿宋" w:eastAsia="仿宋_GB2312"/>
          <w:sz w:val="28"/>
          <w:szCs w:val="28"/>
        </w:rPr>
        <w:t>04</w:t>
      </w:r>
      <w:r>
        <w:rPr>
          <w:rFonts w:hint="eastAsia" w:ascii="仿宋_GB2312" w:hAnsi="仿宋" w:eastAsia="仿宋_GB2312"/>
          <w:sz w:val="28"/>
          <w:szCs w:val="28"/>
        </w:rPr>
        <w:t>号地块）仍欠缴延迟缴纳土地出让金的滞纳金3</w:t>
      </w:r>
      <w:r>
        <w:rPr>
          <w:rFonts w:ascii="仿宋_GB2312" w:hAnsi="仿宋" w:eastAsia="仿宋_GB2312"/>
          <w:sz w:val="28"/>
          <w:szCs w:val="28"/>
        </w:rPr>
        <w:t>3.3</w:t>
      </w:r>
      <w:r>
        <w:rPr>
          <w:rFonts w:hint="eastAsia" w:ascii="仿宋_GB2312" w:hAnsi="仿宋" w:eastAsia="仿宋_GB2312"/>
          <w:sz w:val="28"/>
          <w:szCs w:val="28"/>
        </w:rPr>
        <w:t>万元，本次估价由于客观条件限制，无法获取项目总面积，无法进行土地面积分摊，因此未扣除应分摊的土地使用权滞纳金以及其他可能存在的欠缴税费，提请报告使用人注意。</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评估结果是反映评估对象在本次评估目的下，根据公开市场原则确定的现行市场价格，没有考虑特殊的交易方可能追加付出的价格等对评评估值的影响，也未考虑国家宏观经济政策发生变化以及遇有自然力和其他不可抗力对资产价格的影响。</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sz w:val="28"/>
        </w:rPr>
        <w:t>11.</w:t>
      </w:r>
      <w:r>
        <w:rPr>
          <w:rFonts w:ascii="仿宋_GB2312" w:hAnsi="仿宋_GB2312" w:eastAsia="仿宋_GB2312"/>
          <w:sz w:val="28"/>
        </w:rPr>
        <w:t>5</w:t>
      </w:r>
      <w:r>
        <w:rPr>
          <w:rFonts w:hint="eastAsia" w:ascii="仿宋_GB2312" w:hAnsi="仿宋_GB2312" w:eastAsia="仿宋_GB2312"/>
          <w:sz w:val="28"/>
        </w:rPr>
        <w:t>本次评估所运用的基础资料和数据以及法律文件均由委托方提供，委托方及产权单位应对所提供的材料的真实性、完整性、合法性负责。若与实</w:t>
      </w:r>
      <w:r>
        <w:rPr>
          <w:rFonts w:hint="eastAsia" w:ascii="仿宋_GB2312" w:hAnsi="仿宋_GB2312" w:eastAsia="仿宋_GB2312" w:cs="仿宋_GB2312"/>
          <w:sz w:val="28"/>
          <w:szCs w:val="28"/>
        </w:rPr>
        <w:t>际有出入，应按所述评估方法对评估结果进行调整。</w:t>
      </w:r>
    </w:p>
    <w:p>
      <w:pPr>
        <w:spacing w:line="480" w:lineRule="exact"/>
        <w:ind w:firstLine="560" w:firstLineChars="200"/>
        <w:rPr>
          <w:rFonts w:ascii="仿宋_GB2312" w:hAnsi="仿宋" w:eastAsia="仿宋_GB2312"/>
          <w:sz w:val="28"/>
          <w:szCs w:val="28"/>
        </w:rPr>
      </w:pPr>
      <w:r>
        <w:rPr>
          <w:rFonts w:hint="eastAsia" w:ascii="仿宋_GB2312" w:hAnsi="仿宋_GB2312" w:eastAsia="仿宋_GB2312" w:cs="仿宋_GB2312"/>
          <w:sz w:val="28"/>
          <w:szCs w:val="28"/>
        </w:rPr>
        <w:t>11.</w:t>
      </w:r>
      <w:r>
        <w:rPr>
          <w:rFonts w:ascii="仿宋_GB2312" w:hAnsi="仿宋_GB2312" w:eastAsia="仿宋_GB2312" w:cs="仿宋_GB2312"/>
          <w:sz w:val="28"/>
          <w:szCs w:val="28"/>
        </w:rPr>
        <w:t>6</w:t>
      </w:r>
      <w:r>
        <w:rPr>
          <w:rFonts w:hint="eastAsia" w:ascii="仿宋_GB2312" w:hAnsi="仿宋_GB2312" w:eastAsia="仿宋_GB2312" w:cs="仿宋_GB2312"/>
          <w:sz w:val="28"/>
          <w:szCs w:val="28"/>
        </w:rPr>
        <w:t>本报告所称“评评估值”是依据所评估的资产现有用途不变、持续经营和在评估基准日所表现的特定经济环</w:t>
      </w:r>
      <w:r>
        <w:rPr>
          <w:rFonts w:hint="eastAsia" w:ascii="仿宋_GB2312" w:hAnsi="仿宋" w:eastAsia="仿宋_GB2312"/>
          <w:sz w:val="28"/>
          <w:szCs w:val="28"/>
        </w:rPr>
        <w:t>境前提下，根据公开市场原则确定的现行公允市价，本评估结果是对2022年4月25日这一基准日被评资产价值的客观公允反映，湖北通达旺房地产资产评估有限公司对这一基准日后资产发生的重大变化不承担发表意见的责任。</w:t>
      </w:r>
    </w:p>
    <w:p>
      <w:pPr>
        <w:spacing w:line="480" w:lineRule="exact"/>
        <w:ind w:firstLine="560" w:firstLineChars="200"/>
        <w:rPr>
          <w:rFonts w:ascii="仿宋_GB2312" w:hAnsi="仿宋" w:eastAsia="仿宋_GB2312"/>
          <w:sz w:val="28"/>
          <w:szCs w:val="28"/>
        </w:rPr>
      </w:pPr>
    </w:p>
    <w:p>
      <w:pPr>
        <w:pStyle w:val="2"/>
      </w:pPr>
      <w:bookmarkStart w:id="19" w:name="_Toc104836930"/>
      <w:r>
        <w:rPr>
          <w:rFonts w:hint="eastAsia"/>
        </w:rPr>
        <w:t>十二、资产评估报告使用限制说明</w:t>
      </w:r>
      <w:bookmarkEnd w:id="19"/>
    </w:p>
    <w:p>
      <w:pPr>
        <w:tabs>
          <w:tab w:val="left" w:pos="0"/>
        </w:tabs>
        <w:spacing w:line="480" w:lineRule="exact"/>
        <w:jc w:val="left"/>
        <w:rPr>
          <w:rFonts w:ascii="仿宋_GB2312" w:hAnsi="仿宋" w:eastAsia="仿宋_GB2312"/>
          <w:sz w:val="28"/>
          <w:szCs w:val="28"/>
        </w:rPr>
      </w:pPr>
      <w:r>
        <w:rPr>
          <w:rFonts w:hint="eastAsia" w:ascii="仿宋_GB2312" w:hAnsi="仿宋" w:eastAsia="仿宋_GB2312"/>
          <w:sz w:val="28"/>
          <w:szCs w:val="28"/>
        </w:rPr>
        <w:t xml:space="preserve">    12.1本报告专为报告所列明的评估目的而作，用作其他用途无效，</w:t>
      </w:r>
      <w:r>
        <w:rPr>
          <w:rFonts w:hint="eastAsia" w:ascii="仿宋_GB2312" w:hAnsi="仿宋_GB2312" w:eastAsia="仿宋_GB2312"/>
          <w:sz w:val="28"/>
        </w:rPr>
        <w:t>评估结果的有效性有赖于本次评估的假设条件及报告使用限制作为前提</w:t>
      </w:r>
      <w:r>
        <w:rPr>
          <w:rFonts w:hint="eastAsia" w:ascii="仿宋_GB2312" w:hAnsi="仿宋" w:eastAsia="仿宋_GB2312"/>
          <w:sz w:val="28"/>
          <w:szCs w:val="28"/>
        </w:rPr>
        <w:t>。</w:t>
      </w:r>
    </w:p>
    <w:p>
      <w:pPr>
        <w:tabs>
          <w:tab w:val="left" w:pos="0"/>
        </w:tabs>
        <w:spacing w:line="480" w:lineRule="exact"/>
        <w:jc w:val="left"/>
        <w:rPr>
          <w:rFonts w:ascii="仿宋_GB2312" w:hAnsi="仿宋" w:eastAsia="仿宋_GB2312"/>
          <w:sz w:val="28"/>
          <w:szCs w:val="28"/>
        </w:rPr>
      </w:pPr>
      <w:r>
        <w:rPr>
          <w:rFonts w:hint="eastAsia" w:ascii="仿宋_GB2312" w:hAnsi="仿宋" w:eastAsia="仿宋_GB2312"/>
          <w:sz w:val="28"/>
          <w:szCs w:val="28"/>
        </w:rPr>
        <w:t xml:space="preserve">    12.2 委托人或者其他资产评估报告使用人未按照法律、行政法规规定和资产评估报告载明的适用范围使用资产评估报告的，我公司及评估人员不承担相应责任。</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12.3除委托人、资产评估委托合同中约定的其他资产评估报告使用人和法律、行政法规规定的资产评估报告使用人以外，其他任何机构和个人不能成为资产评估报告的使用人。</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12.4 资产评估报告使用人应当正确理解评估结论，评估结论不等同于评估对象可实现价格，评估结论不应当被认为是对评估对象可实现价格的保证。</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12.5本评估报告必须为完整的原件使用方为有效，复印使用无效，对仅使用评估报告中部分内容所导致的损失，本公司不承担责任。</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12.6 根据国家有关部门规定，评估报告有效期为一年，即从2022年4月25日至2023年4月24日，超过一年需重新进行资产评估。</w:t>
      </w:r>
    </w:p>
    <w:p>
      <w:pPr>
        <w:tabs>
          <w:tab w:val="left" w:pos="0"/>
        </w:tabs>
        <w:spacing w:line="480" w:lineRule="exact"/>
        <w:jc w:val="left"/>
        <w:rPr>
          <w:rFonts w:ascii="仿宋_GB2312" w:hAnsi="华文中宋" w:eastAsia="仿宋_GB2312"/>
          <w:sz w:val="24"/>
        </w:rPr>
      </w:pPr>
    </w:p>
    <w:p>
      <w:pPr>
        <w:pStyle w:val="2"/>
      </w:pPr>
      <w:bookmarkStart w:id="20" w:name="_Toc465139018"/>
      <w:bookmarkStart w:id="21" w:name="_Toc104836931"/>
      <w:r>
        <w:rPr>
          <w:rFonts w:hint="eastAsia"/>
        </w:rPr>
        <w:t>十三、</w:t>
      </w:r>
      <w:bookmarkEnd w:id="20"/>
      <w:r>
        <w:rPr>
          <w:rFonts w:hint="eastAsia"/>
        </w:rPr>
        <w:t>资产评估报告日</w:t>
      </w:r>
      <w:bookmarkEnd w:id="21"/>
    </w:p>
    <w:p>
      <w:pPr>
        <w:tabs>
          <w:tab w:val="left" w:pos="0"/>
        </w:tabs>
        <w:spacing w:line="480" w:lineRule="exact"/>
        <w:ind w:left="105" w:leftChars="50" w:firstLine="506" w:firstLineChars="181"/>
        <w:jc w:val="left"/>
        <w:rPr>
          <w:rFonts w:ascii="仿宋_GB2312" w:hAnsi="仿宋" w:eastAsia="仿宋_GB2312"/>
          <w:sz w:val="28"/>
          <w:szCs w:val="28"/>
        </w:rPr>
      </w:pPr>
      <w:r>
        <w:rPr>
          <w:rFonts w:hint="eastAsia" w:ascii="仿宋_GB2312" w:hAnsi="仿宋" w:eastAsia="仿宋_GB2312"/>
          <w:sz w:val="28"/>
          <w:szCs w:val="28"/>
        </w:rPr>
        <w:t>资产评估报告日为 二</w:t>
      </w:r>
      <w:r>
        <w:rPr>
          <w:rFonts w:hint="eastAsia" w:ascii="微软雅黑" w:hAnsi="微软雅黑" w:eastAsia="微软雅黑" w:cs="微软雅黑"/>
          <w:sz w:val="28"/>
          <w:szCs w:val="28"/>
        </w:rPr>
        <w:t>〇</w:t>
      </w:r>
      <w:r>
        <w:rPr>
          <w:rFonts w:hint="eastAsia" w:ascii="仿宋_GB2312" w:hAnsi="仿宋_GB2312" w:eastAsia="仿宋_GB2312" w:cs="仿宋_GB2312"/>
          <w:sz w:val="28"/>
          <w:szCs w:val="28"/>
        </w:rPr>
        <w:t>二二年六月一日</w:t>
      </w:r>
      <w:r>
        <w:rPr>
          <w:rFonts w:hint="eastAsia" w:ascii="仿宋_GB2312" w:hAnsi="仿宋" w:eastAsia="仿宋_GB2312"/>
          <w:sz w:val="28"/>
          <w:szCs w:val="28"/>
        </w:rPr>
        <w:t>。</w:t>
      </w:r>
    </w:p>
    <w:p>
      <w:pPr>
        <w:tabs>
          <w:tab w:val="left" w:pos="0"/>
        </w:tabs>
        <w:spacing w:line="480" w:lineRule="exact"/>
        <w:ind w:left="105" w:leftChars="50" w:firstLine="506" w:firstLineChars="181"/>
        <w:jc w:val="left"/>
        <w:rPr>
          <w:rFonts w:ascii="仿宋_GB2312" w:hAnsi="仿宋" w:eastAsia="仿宋_GB2312"/>
          <w:sz w:val="28"/>
          <w:szCs w:val="28"/>
        </w:rPr>
      </w:pPr>
    </w:p>
    <w:p>
      <w:pPr>
        <w:spacing w:line="460" w:lineRule="exact"/>
        <w:ind w:firstLine="562" w:firstLineChars="200"/>
        <w:rPr>
          <w:rFonts w:ascii="仿宋_GB2312" w:hAnsi="宋体" w:eastAsia="仿宋_GB2312"/>
          <w:b/>
          <w:sz w:val="28"/>
          <w:szCs w:val="28"/>
        </w:rPr>
      </w:pPr>
      <w:r>
        <w:rPr>
          <w:rFonts w:hint="eastAsia" w:ascii="仿宋_GB2312" w:hAnsi="宋体" w:eastAsia="仿宋_GB2312"/>
          <w:b/>
          <w:sz w:val="28"/>
          <w:szCs w:val="28"/>
        </w:rPr>
        <w:t>谨此报告！</w:t>
      </w:r>
    </w:p>
    <w:p>
      <w:pPr>
        <w:spacing w:line="460" w:lineRule="exact"/>
        <w:ind w:firstLine="560" w:firstLineChars="200"/>
        <w:rPr>
          <w:rFonts w:ascii="仿宋_GB2312" w:hAnsi="宋体" w:eastAsia="仿宋_GB2312"/>
          <w:sz w:val="28"/>
          <w:szCs w:val="28"/>
        </w:rPr>
      </w:pPr>
    </w:p>
    <w:p>
      <w:pPr>
        <w:spacing w:line="460" w:lineRule="exact"/>
        <w:ind w:firstLine="560" w:firstLineChars="200"/>
        <w:rPr>
          <w:rFonts w:ascii="仿宋_GB2312" w:hAnsi="宋体" w:eastAsia="仿宋_GB2312"/>
          <w:sz w:val="28"/>
          <w:szCs w:val="28"/>
        </w:rPr>
      </w:pPr>
    </w:p>
    <w:p>
      <w:pPr>
        <w:tabs>
          <w:tab w:val="left" w:pos="0"/>
        </w:tabs>
        <w:spacing w:after="240" w:line="460" w:lineRule="exact"/>
        <w:ind w:left="108" w:firstLine="458" w:firstLineChars="163"/>
        <w:jc w:val="left"/>
        <w:rPr>
          <w:rFonts w:ascii="仿宋_GB2312" w:hAnsi="宋体" w:eastAsia="仿宋_GB2312"/>
          <w:b/>
          <w:sz w:val="28"/>
        </w:rPr>
      </w:pPr>
      <w:r>
        <w:rPr>
          <w:rFonts w:hint="eastAsia" w:ascii="仿宋_GB2312" w:hAnsi="宋体" w:eastAsia="仿宋_GB2312"/>
          <w:b/>
          <w:sz w:val="28"/>
        </w:rPr>
        <w:t>资产评估师：</w:t>
      </w:r>
    </w:p>
    <w:tbl>
      <w:tblPr>
        <w:tblStyle w:val="23"/>
        <w:tblW w:w="8563" w:type="dxa"/>
        <w:jc w:val="center"/>
        <w:tblLayout w:type="fixed"/>
        <w:tblCellMar>
          <w:top w:w="0" w:type="dxa"/>
          <w:left w:w="108" w:type="dxa"/>
          <w:bottom w:w="0" w:type="dxa"/>
          <w:right w:w="108" w:type="dxa"/>
        </w:tblCellMar>
      </w:tblPr>
      <w:tblGrid>
        <w:gridCol w:w="2188"/>
        <w:gridCol w:w="1766"/>
        <w:gridCol w:w="2541"/>
        <w:gridCol w:w="2068"/>
      </w:tblGrid>
      <w:tr>
        <w:tblPrEx>
          <w:tblCellMar>
            <w:top w:w="0" w:type="dxa"/>
            <w:left w:w="108" w:type="dxa"/>
            <w:bottom w:w="0" w:type="dxa"/>
            <w:right w:w="108" w:type="dxa"/>
          </w:tblCellMar>
        </w:tblPrEx>
        <w:trPr>
          <w:trHeight w:val="685" w:hRule="atLeast"/>
          <w:jc w:val="center"/>
        </w:trPr>
        <w:tc>
          <w:tcPr>
            <w:tcW w:w="2188" w:type="dxa"/>
            <w:vAlign w:val="center"/>
          </w:tcPr>
          <w:p>
            <w:pPr>
              <w:adjustRightInd w:val="0"/>
              <w:snapToGrid w:val="0"/>
              <w:spacing w:line="276" w:lineRule="auto"/>
              <w:ind w:firstLine="280" w:firstLineChars="100"/>
              <w:rPr>
                <w:rFonts w:ascii="仿宋" w:hAnsi="仿宋" w:eastAsia="仿宋"/>
                <w:sz w:val="28"/>
                <w:szCs w:val="21"/>
              </w:rPr>
            </w:pPr>
            <w:r>
              <w:rPr>
                <w:rFonts w:hint="eastAsia" w:ascii="仿宋" w:hAnsi="仿宋" w:eastAsia="仿宋"/>
                <w:sz w:val="28"/>
                <w:szCs w:val="21"/>
              </w:rPr>
              <w:t>资产评估师</w:t>
            </w:r>
          </w:p>
        </w:tc>
        <w:tc>
          <w:tcPr>
            <w:tcW w:w="1766" w:type="dxa"/>
            <w:vAlign w:val="center"/>
          </w:tcPr>
          <w:p>
            <w:pPr>
              <w:adjustRightInd w:val="0"/>
              <w:snapToGrid w:val="0"/>
              <w:spacing w:line="276" w:lineRule="auto"/>
              <w:jc w:val="center"/>
              <w:rPr>
                <w:rFonts w:ascii="仿宋" w:hAnsi="仿宋" w:eastAsia="仿宋"/>
                <w:sz w:val="28"/>
                <w:szCs w:val="21"/>
              </w:rPr>
            </w:pPr>
            <w:r>
              <w:rPr>
                <w:rFonts w:hint="eastAsia" w:ascii="仿宋" w:hAnsi="仿宋" w:eastAsia="仿宋"/>
                <w:sz w:val="28"/>
                <w:szCs w:val="21"/>
              </w:rPr>
              <w:t>证书编号</w:t>
            </w:r>
          </w:p>
        </w:tc>
        <w:tc>
          <w:tcPr>
            <w:tcW w:w="2541" w:type="dxa"/>
            <w:vAlign w:val="center"/>
          </w:tcPr>
          <w:p>
            <w:pPr>
              <w:adjustRightInd w:val="0"/>
              <w:snapToGrid w:val="0"/>
              <w:spacing w:line="276" w:lineRule="auto"/>
              <w:ind w:firstLine="560" w:firstLineChars="200"/>
              <w:rPr>
                <w:rFonts w:ascii="仿宋" w:hAnsi="仿宋" w:eastAsia="仿宋"/>
                <w:sz w:val="28"/>
                <w:szCs w:val="21"/>
              </w:rPr>
            </w:pPr>
            <w:r>
              <w:rPr>
                <w:rFonts w:hint="eastAsia" w:ascii="仿宋" w:hAnsi="仿宋" w:eastAsia="仿宋"/>
                <w:sz w:val="28"/>
                <w:szCs w:val="21"/>
              </w:rPr>
              <w:t xml:space="preserve">签 </w:t>
            </w:r>
            <w:r>
              <w:rPr>
                <w:rFonts w:ascii="仿宋" w:hAnsi="仿宋" w:eastAsia="仿宋"/>
                <w:sz w:val="28"/>
                <w:szCs w:val="21"/>
              </w:rPr>
              <w:t xml:space="preserve">   </w:t>
            </w:r>
            <w:r>
              <w:rPr>
                <w:rFonts w:hint="eastAsia" w:ascii="仿宋" w:hAnsi="仿宋" w:eastAsia="仿宋"/>
                <w:sz w:val="28"/>
                <w:szCs w:val="21"/>
              </w:rPr>
              <w:t>章</w:t>
            </w:r>
          </w:p>
        </w:tc>
        <w:tc>
          <w:tcPr>
            <w:tcW w:w="2068" w:type="dxa"/>
            <w:vAlign w:val="center"/>
          </w:tcPr>
          <w:p>
            <w:pPr>
              <w:adjustRightInd w:val="0"/>
              <w:snapToGrid w:val="0"/>
              <w:spacing w:line="276" w:lineRule="auto"/>
              <w:rPr>
                <w:rFonts w:ascii="仿宋" w:hAnsi="仿宋" w:eastAsia="仿宋"/>
                <w:sz w:val="28"/>
                <w:szCs w:val="21"/>
              </w:rPr>
            </w:pPr>
            <w:bookmarkStart w:id="23" w:name="_GoBack"/>
            <w:bookmarkEnd w:id="23"/>
            <w:r>
              <w:rPr>
                <w:rFonts w:ascii="仿宋" w:hAnsi="仿宋" w:eastAsia="仿宋"/>
                <w:sz w:val="28"/>
                <w:szCs w:val="21"/>
              </w:rPr>
              <w:t>日</w:t>
            </w:r>
            <w:r>
              <w:rPr>
                <w:rFonts w:hint="eastAsia" w:ascii="仿宋" w:hAnsi="仿宋" w:eastAsia="仿宋"/>
                <w:sz w:val="28"/>
                <w:szCs w:val="21"/>
              </w:rPr>
              <w:t xml:space="preserve"> </w:t>
            </w:r>
            <w:r>
              <w:rPr>
                <w:rFonts w:ascii="仿宋" w:hAnsi="仿宋" w:eastAsia="仿宋"/>
                <w:sz w:val="28"/>
                <w:szCs w:val="21"/>
              </w:rPr>
              <w:t xml:space="preserve">     期</w:t>
            </w:r>
          </w:p>
        </w:tc>
      </w:tr>
      <w:tr>
        <w:tblPrEx>
          <w:tblCellMar>
            <w:top w:w="0" w:type="dxa"/>
            <w:left w:w="108" w:type="dxa"/>
            <w:bottom w:w="0" w:type="dxa"/>
            <w:right w:w="108" w:type="dxa"/>
          </w:tblCellMar>
        </w:tblPrEx>
        <w:trPr>
          <w:trHeight w:val="1067" w:hRule="atLeast"/>
          <w:jc w:val="center"/>
        </w:trPr>
        <w:tc>
          <w:tcPr>
            <w:tcW w:w="2188" w:type="dxa"/>
            <w:vAlign w:val="center"/>
          </w:tcPr>
          <w:p>
            <w:pPr>
              <w:adjustRightInd w:val="0"/>
              <w:snapToGrid w:val="0"/>
              <w:spacing w:line="276" w:lineRule="auto"/>
              <w:jc w:val="center"/>
              <w:rPr>
                <w:rFonts w:ascii="仿宋" w:hAnsi="仿宋" w:eastAsia="仿宋"/>
                <w:sz w:val="28"/>
                <w:szCs w:val="21"/>
              </w:rPr>
            </w:pPr>
            <w:r>
              <w:rPr>
                <w:rFonts w:hint="eastAsia" w:ascii="仿宋" w:hAnsi="仿宋" w:eastAsia="仿宋"/>
                <w:sz w:val="28"/>
                <w:szCs w:val="21"/>
              </w:rPr>
              <w:t xml:space="preserve">李 </w:t>
            </w:r>
            <w:r>
              <w:rPr>
                <w:rFonts w:ascii="仿宋" w:hAnsi="仿宋" w:eastAsia="仿宋"/>
                <w:sz w:val="28"/>
                <w:szCs w:val="21"/>
              </w:rPr>
              <w:t xml:space="preserve">   </w:t>
            </w:r>
            <w:r>
              <w:rPr>
                <w:rFonts w:hint="eastAsia" w:ascii="仿宋" w:hAnsi="仿宋" w:eastAsia="仿宋"/>
                <w:sz w:val="28"/>
                <w:szCs w:val="21"/>
              </w:rPr>
              <w:t>龙</w:t>
            </w:r>
          </w:p>
        </w:tc>
        <w:tc>
          <w:tcPr>
            <w:tcW w:w="1766" w:type="dxa"/>
            <w:vAlign w:val="center"/>
          </w:tcPr>
          <w:p>
            <w:pPr>
              <w:adjustRightInd w:val="0"/>
              <w:snapToGrid w:val="0"/>
              <w:spacing w:line="276" w:lineRule="auto"/>
              <w:ind w:firstLine="84" w:firstLineChars="30"/>
              <w:jc w:val="center"/>
              <w:rPr>
                <w:rFonts w:ascii="仿宋" w:hAnsi="仿宋" w:eastAsia="仿宋"/>
                <w:sz w:val="28"/>
                <w:szCs w:val="21"/>
              </w:rPr>
            </w:pPr>
            <w:r>
              <w:rPr>
                <w:rFonts w:ascii="仿宋" w:hAnsi="仿宋" w:eastAsia="仿宋"/>
                <w:sz w:val="28"/>
                <w:szCs w:val="21"/>
              </w:rPr>
              <w:t>42200075</w:t>
            </w:r>
          </w:p>
        </w:tc>
        <w:tc>
          <w:tcPr>
            <w:tcW w:w="2541" w:type="dxa"/>
            <w:vAlign w:val="center"/>
          </w:tcPr>
          <w:p>
            <w:pPr>
              <w:adjustRightInd w:val="0"/>
              <w:snapToGrid w:val="0"/>
              <w:spacing w:line="276" w:lineRule="auto"/>
              <w:jc w:val="center"/>
              <w:rPr>
                <w:rFonts w:ascii="仿宋" w:hAnsi="仿宋" w:eastAsia="仿宋"/>
                <w:sz w:val="28"/>
                <w:szCs w:val="21"/>
              </w:rPr>
            </w:pPr>
          </w:p>
        </w:tc>
        <w:tc>
          <w:tcPr>
            <w:tcW w:w="2068" w:type="dxa"/>
            <w:vAlign w:val="center"/>
          </w:tcPr>
          <w:p>
            <w:pPr>
              <w:adjustRightInd w:val="0"/>
              <w:snapToGrid w:val="0"/>
              <w:spacing w:line="276" w:lineRule="auto"/>
              <w:jc w:val="center"/>
              <w:rPr>
                <w:rFonts w:ascii="仿宋" w:hAnsi="仿宋" w:eastAsia="仿宋"/>
                <w:sz w:val="28"/>
                <w:szCs w:val="21"/>
              </w:rPr>
            </w:pPr>
          </w:p>
        </w:tc>
      </w:tr>
      <w:tr>
        <w:tblPrEx>
          <w:tblCellMar>
            <w:top w:w="0" w:type="dxa"/>
            <w:left w:w="108" w:type="dxa"/>
            <w:bottom w:w="0" w:type="dxa"/>
            <w:right w:w="108" w:type="dxa"/>
          </w:tblCellMar>
        </w:tblPrEx>
        <w:trPr>
          <w:trHeight w:val="1017" w:hRule="atLeast"/>
          <w:jc w:val="center"/>
        </w:trPr>
        <w:tc>
          <w:tcPr>
            <w:tcW w:w="2188" w:type="dxa"/>
            <w:vAlign w:val="center"/>
          </w:tcPr>
          <w:p>
            <w:pPr>
              <w:adjustRightInd w:val="0"/>
              <w:snapToGrid w:val="0"/>
              <w:spacing w:line="276" w:lineRule="auto"/>
              <w:jc w:val="center"/>
              <w:rPr>
                <w:rFonts w:ascii="仿宋" w:hAnsi="仿宋" w:eastAsia="仿宋"/>
                <w:sz w:val="28"/>
                <w:szCs w:val="21"/>
              </w:rPr>
            </w:pPr>
            <w:r>
              <w:rPr>
                <w:rFonts w:hint="eastAsia" w:ascii="仿宋" w:hAnsi="仿宋" w:eastAsia="仿宋"/>
                <w:sz w:val="28"/>
                <w:szCs w:val="21"/>
              </w:rPr>
              <w:t>王 秀 丽</w:t>
            </w:r>
          </w:p>
        </w:tc>
        <w:tc>
          <w:tcPr>
            <w:tcW w:w="1766" w:type="dxa"/>
            <w:vAlign w:val="center"/>
          </w:tcPr>
          <w:p>
            <w:pPr>
              <w:adjustRightInd w:val="0"/>
              <w:snapToGrid w:val="0"/>
              <w:spacing w:line="276" w:lineRule="auto"/>
              <w:ind w:firstLine="84" w:firstLineChars="30"/>
              <w:jc w:val="center"/>
              <w:rPr>
                <w:rFonts w:ascii="仿宋" w:hAnsi="仿宋" w:eastAsia="仿宋"/>
                <w:sz w:val="28"/>
                <w:szCs w:val="21"/>
              </w:rPr>
            </w:pPr>
            <w:r>
              <w:rPr>
                <w:rFonts w:ascii="仿宋" w:hAnsi="仿宋" w:eastAsia="仿宋"/>
                <w:sz w:val="28"/>
                <w:szCs w:val="21"/>
              </w:rPr>
              <w:t>42100003</w:t>
            </w:r>
          </w:p>
        </w:tc>
        <w:tc>
          <w:tcPr>
            <w:tcW w:w="2541" w:type="dxa"/>
            <w:vAlign w:val="center"/>
          </w:tcPr>
          <w:p>
            <w:pPr>
              <w:adjustRightInd w:val="0"/>
              <w:snapToGrid w:val="0"/>
              <w:spacing w:line="276" w:lineRule="auto"/>
              <w:jc w:val="center"/>
              <w:rPr>
                <w:rFonts w:ascii="仿宋" w:hAnsi="仿宋" w:eastAsia="仿宋"/>
                <w:sz w:val="28"/>
                <w:szCs w:val="21"/>
              </w:rPr>
            </w:pPr>
          </w:p>
        </w:tc>
        <w:tc>
          <w:tcPr>
            <w:tcW w:w="2068" w:type="dxa"/>
            <w:vAlign w:val="center"/>
          </w:tcPr>
          <w:p>
            <w:pPr>
              <w:adjustRightInd w:val="0"/>
              <w:snapToGrid w:val="0"/>
              <w:spacing w:line="276" w:lineRule="auto"/>
              <w:jc w:val="center"/>
              <w:rPr>
                <w:rFonts w:ascii="仿宋" w:hAnsi="仿宋" w:eastAsia="仿宋"/>
                <w:sz w:val="28"/>
                <w:szCs w:val="21"/>
              </w:rPr>
            </w:pPr>
          </w:p>
        </w:tc>
      </w:tr>
    </w:tbl>
    <w:p>
      <w:pPr>
        <w:tabs>
          <w:tab w:val="left" w:pos="0"/>
        </w:tabs>
        <w:spacing w:line="480" w:lineRule="exact"/>
        <w:jc w:val="left"/>
        <w:rPr>
          <w:rFonts w:ascii="仿宋_GB2312" w:hAnsi="宋体" w:eastAsia="仿宋_GB2312"/>
          <w:sz w:val="28"/>
        </w:rPr>
      </w:pPr>
    </w:p>
    <w:p>
      <w:pPr>
        <w:tabs>
          <w:tab w:val="left" w:pos="0"/>
        </w:tabs>
        <w:spacing w:line="480" w:lineRule="exact"/>
        <w:jc w:val="left"/>
        <w:rPr>
          <w:rFonts w:ascii="仿宋_GB2312" w:hAnsi="宋体" w:eastAsia="仿宋_GB2312"/>
          <w:sz w:val="28"/>
        </w:rPr>
      </w:pPr>
    </w:p>
    <w:p>
      <w:pPr>
        <w:tabs>
          <w:tab w:val="left" w:pos="0"/>
        </w:tabs>
        <w:spacing w:line="480" w:lineRule="exact"/>
        <w:jc w:val="left"/>
        <w:rPr>
          <w:rFonts w:ascii="仿宋_GB2312" w:hAnsi="宋体" w:eastAsia="仿宋_GB2312"/>
          <w:sz w:val="28"/>
        </w:rPr>
      </w:pPr>
    </w:p>
    <w:p>
      <w:pPr>
        <w:tabs>
          <w:tab w:val="left" w:pos="0"/>
        </w:tabs>
        <w:spacing w:line="480" w:lineRule="exact"/>
        <w:jc w:val="left"/>
        <w:rPr>
          <w:rFonts w:ascii="仿宋_GB2312" w:hAnsi="宋体" w:eastAsia="仿宋_GB2312"/>
          <w:sz w:val="28"/>
        </w:rPr>
      </w:pPr>
    </w:p>
    <w:p>
      <w:pPr>
        <w:tabs>
          <w:tab w:val="left" w:pos="0"/>
        </w:tabs>
        <w:spacing w:line="460" w:lineRule="exact"/>
        <w:ind w:left="105"/>
        <w:jc w:val="right"/>
        <w:rPr>
          <w:rFonts w:ascii="宋体" w:hAnsi="宋体"/>
          <w:b/>
          <w:sz w:val="28"/>
        </w:rPr>
      </w:pPr>
      <w:r>
        <w:rPr>
          <w:rFonts w:hint="eastAsia" w:ascii="宋体" w:hAnsi="宋体"/>
          <w:b/>
          <w:sz w:val="28"/>
        </w:rPr>
        <w:t xml:space="preserve">湖北通达旺房地产资产评估有限公司 </w:t>
      </w:r>
    </w:p>
    <w:p>
      <w:pPr>
        <w:tabs>
          <w:tab w:val="left" w:pos="0"/>
        </w:tabs>
        <w:spacing w:line="460" w:lineRule="exact"/>
        <w:ind w:left="108"/>
        <w:jc w:val="left"/>
        <w:rPr>
          <w:rFonts w:ascii="宋体" w:hAnsi="宋体"/>
          <w:b/>
          <w:sz w:val="28"/>
        </w:rPr>
      </w:pPr>
      <w:r>
        <w:rPr>
          <w:rFonts w:hint="eastAsia" w:ascii="宋体" w:hAnsi="宋体"/>
          <w:sz w:val="28"/>
        </w:rPr>
        <w:t xml:space="preserve">                      </w:t>
      </w:r>
      <w:r>
        <w:rPr>
          <w:rFonts w:hint="eastAsia" w:ascii="宋体" w:hAnsi="宋体"/>
          <w:b/>
          <w:sz w:val="28"/>
        </w:rPr>
        <w:t xml:space="preserve">         </w:t>
      </w:r>
      <w:r>
        <w:rPr>
          <w:rFonts w:ascii="宋体" w:hAnsi="宋体"/>
          <w:b/>
          <w:sz w:val="28"/>
        </w:rPr>
        <w:t xml:space="preserve">   </w:t>
      </w:r>
      <w:r>
        <w:rPr>
          <w:rFonts w:hint="eastAsia" w:ascii="宋体" w:hAnsi="宋体"/>
          <w:b/>
          <w:sz w:val="28"/>
        </w:rPr>
        <w:t>二〇二二年六月一日</w:t>
      </w: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hint="eastAsia" w:ascii="宋体" w:hAnsi="宋体"/>
          <w:b/>
          <w:sz w:val="28"/>
        </w:rPr>
      </w:pP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ascii="宋体" w:hAnsi="宋体"/>
          <w:b/>
          <w:sz w:val="28"/>
        </w:rPr>
      </w:pPr>
    </w:p>
    <w:p>
      <w:pPr>
        <w:tabs>
          <w:tab w:val="left" w:pos="0"/>
        </w:tabs>
        <w:spacing w:line="460" w:lineRule="exact"/>
        <w:ind w:left="108"/>
        <w:jc w:val="left"/>
        <w:rPr>
          <w:rFonts w:ascii="宋体" w:hAnsi="宋体"/>
          <w:b/>
          <w:sz w:val="28"/>
        </w:rPr>
      </w:pPr>
    </w:p>
    <w:p>
      <w:pPr>
        <w:pStyle w:val="21"/>
      </w:pPr>
      <w:bookmarkStart w:id="22" w:name="_Toc104836932"/>
      <w:r>
        <w:rPr>
          <w:rFonts w:hint="eastAsia"/>
        </w:rPr>
        <w:t>附件</w:t>
      </w:r>
      <w:bookmarkEnd w:id="22"/>
    </w:p>
    <w:p>
      <w:pPr>
        <w:tabs>
          <w:tab w:val="left" w:pos="0"/>
        </w:tabs>
        <w:spacing w:line="480" w:lineRule="exact"/>
        <w:jc w:val="left"/>
        <w:rPr>
          <w:rFonts w:ascii="仿宋_GB2312" w:hAnsi="宋体" w:eastAsia="仿宋_GB2312"/>
          <w:sz w:val="28"/>
        </w:rPr>
      </w:pPr>
      <w:r>
        <w:rPr>
          <w:rFonts w:hint="eastAsia" w:ascii="仿宋_GB2312" w:hAnsi="宋体" w:eastAsia="仿宋_GB2312"/>
          <w:sz w:val="28"/>
        </w:rPr>
        <w:t>1、《资产评估明细表》；</w:t>
      </w:r>
    </w:p>
    <w:p>
      <w:pPr>
        <w:tabs>
          <w:tab w:val="left" w:pos="0"/>
        </w:tabs>
        <w:spacing w:line="480" w:lineRule="exact"/>
        <w:jc w:val="left"/>
        <w:rPr>
          <w:rFonts w:ascii="仿宋_GB2312" w:hAnsi="宋体" w:eastAsia="仿宋_GB2312"/>
          <w:sz w:val="28"/>
        </w:rPr>
      </w:pPr>
      <w:r>
        <w:rPr>
          <w:rFonts w:hint="eastAsia" w:ascii="仿宋_GB2312" w:hAnsi="宋体" w:eastAsia="仿宋_GB2312"/>
          <w:sz w:val="28"/>
        </w:rPr>
        <w:t>2、司法评估委托书复印件；</w:t>
      </w:r>
    </w:p>
    <w:p>
      <w:pPr>
        <w:tabs>
          <w:tab w:val="left" w:pos="0"/>
        </w:tabs>
        <w:spacing w:line="480" w:lineRule="exact"/>
        <w:jc w:val="left"/>
        <w:rPr>
          <w:rFonts w:ascii="仿宋_GB2312" w:hAnsi="宋体" w:eastAsia="仿宋_GB2312"/>
          <w:sz w:val="28"/>
        </w:rPr>
      </w:pPr>
      <w:r>
        <w:rPr>
          <w:rFonts w:ascii="仿宋_GB2312" w:hAnsi="宋体" w:eastAsia="仿宋_GB2312"/>
          <w:sz w:val="28"/>
        </w:rPr>
        <w:t>3</w:t>
      </w:r>
      <w:r>
        <w:rPr>
          <w:rFonts w:hint="eastAsia" w:ascii="仿宋_GB2312" w:hAnsi="宋体" w:eastAsia="仿宋_GB2312"/>
          <w:sz w:val="28"/>
        </w:rPr>
        <w:t>、评估对象现状照片；</w:t>
      </w:r>
    </w:p>
    <w:p>
      <w:pPr>
        <w:spacing w:line="480" w:lineRule="exact"/>
        <w:rPr>
          <w:rFonts w:ascii="仿宋_GB2312" w:hAnsi="仿宋_GB2312" w:eastAsia="仿宋_GB2312"/>
          <w:iCs/>
          <w:sz w:val="28"/>
        </w:rPr>
      </w:pPr>
      <w:r>
        <w:rPr>
          <w:rFonts w:ascii="仿宋_GB2312" w:hAnsi="仿宋_GB2312" w:eastAsia="仿宋_GB2312"/>
          <w:iCs/>
          <w:sz w:val="28"/>
        </w:rPr>
        <w:t>4</w:t>
      </w:r>
      <w:r>
        <w:rPr>
          <w:rFonts w:hint="eastAsia" w:ascii="仿宋_GB2312" w:hAnsi="仿宋_GB2312" w:eastAsia="仿宋_GB2312"/>
          <w:iCs/>
          <w:sz w:val="28"/>
        </w:rPr>
        <w:t>、《</w:t>
      </w:r>
      <w:r>
        <w:rPr>
          <w:rFonts w:hint="eastAsia" w:ascii="楷体" w:hAnsi="楷体" w:eastAsia="楷体"/>
          <w:sz w:val="28"/>
        </w:rPr>
        <w:t>文昌新缘城1#楼A区一层平面图</w:t>
      </w:r>
      <w:r>
        <w:rPr>
          <w:rFonts w:hint="eastAsia" w:ascii="仿宋_GB2312" w:hAnsi="仿宋_GB2312" w:eastAsia="仿宋_GB2312"/>
          <w:iCs/>
          <w:sz w:val="28"/>
        </w:rPr>
        <w:t>》复印件；</w:t>
      </w:r>
    </w:p>
    <w:p>
      <w:pPr>
        <w:tabs>
          <w:tab w:val="left" w:pos="0"/>
        </w:tabs>
        <w:spacing w:line="480" w:lineRule="exact"/>
        <w:jc w:val="left"/>
        <w:rPr>
          <w:rFonts w:ascii="仿宋_GB2312" w:hAnsi="宋体" w:eastAsia="仿宋_GB2312"/>
          <w:sz w:val="28"/>
        </w:rPr>
      </w:pPr>
      <w:r>
        <w:rPr>
          <w:rFonts w:ascii="仿宋_GB2312" w:hAnsi="宋体" w:eastAsia="仿宋_GB2312"/>
          <w:sz w:val="28"/>
        </w:rPr>
        <w:t>5</w:t>
      </w:r>
      <w:r>
        <w:rPr>
          <w:rFonts w:hint="eastAsia" w:ascii="仿宋_GB2312" w:hAnsi="宋体" w:eastAsia="仿宋_GB2312"/>
          <w:sz w:val="28"/>
        </w:rPr>
        <w:t>、评估机构营业执照及资质证书复印件；</w:t>
      </w:r>
    </w:p>
    <w:p>
      <w:pPr>
        <w:tabs>
          <w:tab w:val="left" w:pos="0"/>
        </w:tabs>
        <w:spacing w:line="480" w:lineRule="exact"/>
        <w:jc w:val="left"/>
        <w:rPr>
          <w:rFonts w:ascii="仿宋_GB2312" w:hAnsi="宋体" w:eastAsia="仿宋_GB2312"/>
          <w:sz w:val="28"/>
        </w:rPr>
      </w:pPr>
      <w:r>
        <w:rPr>
          <w:rFonts w:ascii="仿宋_GB2312" w:hAnsi="宋体" w:eastAsia="仿宋_GB2312"/>
          <w:sz w:val="28"/>
        </w:rPr>
        <w:t>6</w:t>
      </w:r>
      <w:r>
        <w:rPr>
          <w:rFonts w:hint="eastAsia" w:ascii="仿宋_GB2312" w:hAnsi="宋体" w:eastAsia="仿宋_GB2312"/>
          <w:sz w:val="28"/>
        </w:rPr>
        <w:t>、资产评估师资质证书复印件。</w:t>
      </w:r>
    </w:p>
    <w:p>
      <w:pPr>
        <w:tabs>
          <w:tab w:val="left" w:pos="0"/>
        </w:tabs>
        <w:spacing w:line="460" w:lineRule="exact"/>
        <w:ind w:left="108"/>
        <w:jc w:val="left"/>
        <w:rPr>
          <w:rFonts w:ascii="宋体" w:hAnsi="宋体"/>
          <w:b/>
          <w:sz w:val="28"/>
        </w:rPr>
      </w:pPr>
    </w:p>
    <w:sectPr>
      <w:footerReference r:id="rId5" w:type="first"/>
      <w:headerReference r:id="rId3" w:type="default"/>
      <w:footerReference r:id="rId4" w:type="default"/>
      <w:pgSz w:w="11906" w:h="16838"/>
      <w:pgMar w:top="1304" w:right="1797" w:bottom="1304"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Noto Sans Mono CJK JP Bold">
    <w:altName w:val="Arial"/>
    <w:panose1 w:val="00000000000000000000"/>
    <w:charset w:val="00"/>
    <w:family w:val="swiss"/>
    <w:pitch w:val="default"/>
    <w:sig w:usb0="00000000" w:usb1="00000000" w:usb2="00000000" w:usb3="00000000" w:csb0="0000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Black">
    <w:panose1 w:val="020B0A04020102020204"/>
    <w:charset w:val="00"/>
    <w:family w:val="swiss"/>
    <w:pitch w:val="default"/>
    <w:sig w:usb0="A00002AF" w:usb1="400078FB" w:usb2="00000000" w:usb3="00000000" w:csb0="6000009F" w:csb1="DFD70000"/>
  </w:font>
  <w:font w:name="方正中楷繁体">
    <w:altName w:val="宋体"/>
    <w:panose1 w:val="00000000000000000000"/>
    <w:charset w:val="86"/>
    <w:family w:val="auto"/>
    <w:pitch w:val="default"/>
    <w:sig w:usb0="00000000" w:usb1="00000000" w:usb2="00000010" w:usb3="00000000" w:csb0="00040000" w:csb1="00000000"/>
  </w:font>
  <w:font w:name="方正美黑简体">
    <w:altName w:val="宋体"/>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before="120" w:beforeLines="50"/>
      <w:ind w:left="8120" w:hanging="8120" w:hangingChars="4060"/>
    </w:pPr>
    <w:r>
      <w:rPr>
        <w:sz w:val="20"/>
      </w:rPr>
      <w:pict>
        <v:line id="_x0000_s1026" o:spid="_x0000_s1026" o:spt="20" style="position:absolute;left:0pt;margin-left:0pt;margin-top:-0.8pt;height:0pt;width:414pt;z-index:251660288;mso-width-relative:page;mso-height-relative:page;" coordsize="21600,21600">
          <v:path arrowok="t"/>
          <v:fill focussize="0,0"/>
          <v:stroke/>
          <v:imagedata o:title=""/>
          <o:lock v:ext="edit"/>
        </v:line>
      </w:pict>
    </w:r>
    <w:r>
      <w:rPr>
        <w:rFonts w:hint="eastAsia"/>
        <w:sz w:val="28"/>
      </w:rPr>
      <w:t xml:space="preserve">                           </w:t>
    </w:r>
    <w:r>
      <w:rPr>
        <w:rStyle w:val="27"/>
        <w:sz w:val="24"/>
      </w:rPr>
      <w:t xml:space="preserve">             </w:t>
    </w:r>
    <w:r>
      <w:rPr>
        <w:rStyle w:val="27"/>
        <w:rFonts w:hint="eastAsia"/>
        <w:sz w:val="24"/>
      </w:rPr>
      <w:t xml:space="preserve">                   </w:t>
    </w:r>
    <w:r>
      <w:rPr>
        <w:rStyle w:val="27"/>
        <w:sz w:val="24"/>
      </w:rPr>
      <w:fldChar w:fldCharType="begin"/>
    </w:r>
    <w:r>
      <w:rPr>
        <w:rStyle w:val="27"/>
        <w:sz w:val="24"/>
      </w:rPr>
      <w:instrText xml:space="preserve"> PAGE </w:instrText>
    </w:r>
    <w:r>
      <w:rPr>
        <w:rStyle w:val="27"/>
        <w:sz w:val="24"/>
      </w:rPr>
      <w:fldChar w:fldCharType="separate"/>
    </w:r>
    <w:r>
      <w:rPr>
        <w:rStyle w:val="27"/>
        <w:sz w:val="24"/>
      </w:rPr>
      <w:t>7</w:t>
    </w:r>
    <w:r>
      <w:rPr>
        <w:rStyle w:val="27"/>
        <w:sz w:val="24"/>
      </w:rPr>
      <w:fldChar w:fldCharType="end"/>
    </w:r>
    <w:r>
      <w:rPr>
        <w:rStyle w:val="27"/>
        <w:rFonts w:hint="eastAsia"/>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27"/>
        <w:sz w:val="21"/>
      </w:rPr>
    </w:pPr>
    <w:r>
      <w:rPr>
        <w:rStyle w:val="27"/>
        <w:rFonts w:hint="eastAsia"/>
        <w:sz w:val="21"/>
      </w:rPr>
      <w:t xml:space="preserve">                                                          </w:t>
    </w:r>
  </w:p>
  <w:p>
    <w:pPr>
      <w:pStyle w:val="16"/>
      <w:jc w:val="center"/>
      <w:rPr>
        <w:sz w:val="24"/>
      </w:rPr>
    </w:pPr>
    <w:r>
      <w:rPr>
        <w:rStyle w:val="27"/>
        <w:rFonts w:hint="eastAsia"/>
        <w:sz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ascii="隶书" w:eastAsia="隶书"/>
      </w:rPr>
    </w:pPr>
    <w:r>
      <w:rPr>
        <w:rFonts w:hint="eastAsia" w:ascii="隶书" w:eastAsia="隶书"/>
      </w:rPr>
      <w:t xml:space="preserve">湖北省应城市人民法院                        </w:t>
    </w:r>
    <w:r>
      <w:rPr>
        <w:rFonts w:ascii="隶书" w:eastAsia="隶书"/>
      </w:rPr>
      <w:t xml:space="preserve">                          </w:t>
    </w:r>
    <w:r>
      <w:rPr>
        <w:rFonts w:hint="eastAsia" w:ascii="隶书" w:eastAsia="隶书"/>
      </w:rPr>
      <w:t xml:space="preserve">      资产评估报告书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ZhMDZmMjM2M2RiZTUxY2U5OWYxMzY1ODM2NjQ0ZDUifQ=="/>
  </w:docVars>
  <w:rsids>
    <w:rsidRoot w:val="003B5FC2"/>
    <w:rsid w:val="00000553"/>
    <w:rsid w:val="0000066F"/>
    <w:rsid w:val="00002FC2"/>
    <w:rsid w:val="00003074"/>
    <w:rsid w:val="00004191"/>
    <w:rsid w:val="0000477E"/>
    <w:rsid w:val="00006886"/>
    <w:rsid w:val="00007939"/>
    <w:rsid w:val="0001047D"/>
    <w:rsid w:val="000109C1"/>
    <w:rsid w:val="000120B4"/>
    <w:rsid w:val="0001234A"/>
    <w:rsid w:val="00012375"/>
    <w:rsid w:val="00014473"/>
    <w:rsid w:val="00015E96"/>
    <w:rsid w:val="00020DC4"/>
    <w:rsid w:val="00022A3B"/>
    <w:rsid w:val="00025967"/>
    <w:rsid w:val="00025EEF"/>
    <w:rsid w:val="00027CBB"/>
    <w:rsid w:val="0003193D"/>
    <w:rsid w:val="000337DD"/>
    <w:rsid w:val="0003482A"/>
    <w:rsid w:val="000354C6"/>
    <w:rsid w:val="0003580C"/>
    <w:rsid w:val="00035BD1"/>
    <w:rsid w:val="00036203"/>
    <w:rsid w:val="00036B3A"/>
    <w:rsid w:val="00036D3B"/>
    <w:rsid w:val="00036E4A"/>
    <w:rsid w:val="00040A2A"/>
    <w:rsid w:val="000417CD"/>
    <w:rsid w:val="00041905"/>
    <w:rsid w:val="000422AE"/>
    <w:rsid w:val="000424C0"/>
    <w:rsid w:val="00044C8A"/>
    <w:rsid w:val="00045320"/>
    <w:rsid w:val="000505EE"/>
    <w:rsid w:val="000524E0"/>
    <w:rsid w:val="0005304D"/>
    <w:rsid w:val="00055741"/>
    <w:rsid w:val="0005616F"/>
    <w:rsid w:val="000561E2"/>
    <w:rsid w:val="00057E09"/>
    <w:rsid w:val="00060009"/>
    <w:rsid w:val="0006012B"/>
    <w:rsid w:val="00060C5C"/>
    <w:rsid w:val="00061004"/>
    <w:rsid w:val="00063521"/>
    <w:rsid w:val="00063E8B"/>
    <w:rsid w:val="00063EB1"/>
    <w:rsid w:val="000645F5"/>
    <w:rsid w:val="00066D5E"/>
    <w:rsid w:val="000675E8"/>
    <w:rsid w:val="000704F7"/>
    <w:rsid w:val="00072E88"/>
    <w:rsid w:val="000743D8"/>
    <w:rsid w:val="00074917"/>
    <w:rsid w:val="0007591E"/>
    <w:rsid w:val="00076FBA"/>
    <w:rsid w:val="00080717"/>
    <w:rsid w:val="00081664"/>
    <w:rsid w:val="00082957"/>
    <w:rsid w:val="00085482"/>
    <w:rsid w:val="000856A4"/>
    <w:rsid w:val="00086293"/>
    <w:rsid w:val="0008752A"/>
    <w:rsid w:val="000877CA"/>
    <w:rsid w:val="00091B71"/>
    <w:rsid w:val="0009257C"/>
    <w:rsid w:val="00095281"/>
    <w:rsid w:val="000960F9"/>
    <w:rsid w:val="00096F4E"/>
    <w:rsid w:val="000979EC"/>
    <w:rsid w:val="000A0C82"/>
    <w:rsid w:val="000A184D"/>
    <w:rsid w:val="000A30D6"/>
    <w:rsid w:val="000A4309"/>
    <w:rsid w:val="000A590A"/>
    <w:rsid w:val="000A59E2"/>
    <w:rsid w:val="000A59F4"/>
    <w:rsid w:val="000A5AF8"/>
    <w:rsid w:val="000A752A"/>
    <w:rsid w:val="000A7BB1"/>
    <w:rsid w:val="000B1B6D"/>
    <w:rsid w:val="000B2945"/>
    <w:rsid w:val="000B3DA4"/>
    <w:rsid w:val="000B500C"/>
    <w:rsid w:val="000B5010"/>
    <w:rsid w:val="000B5E46"/>
    <w:rsid w:val="000B7D6F"/>
    <w:rsid w:val="000C0100"/>
    <w:rsid w:val="000C3897"/>
    <w:rsid w:val="000C4C19"/>
    <w:rsid w:val="000C5169"/>
    <w:rsid w:val="000C5962"/>
    <w:rsid w:val="000C72F4"/>
    <w:rsid w:val="000C773B"/>
    <w:rsid w:val="000C79E1"/>
    <w:rsid w:val="000D01CC"/>
    <w:rsid w:val="000D026D"/>
    <w:rsid w:val="000D1756"/>
    <w:rsid w:val="000D2D3A"/>
    <w:rsid w:val="000D3BBB"/>
    <w:rsid w:val="000D4465"/>
    <w:rsid w:val="000D50C7"/>
    <w:rsid w:val="000D5E6D"/>
    <w:rsid w:val="000D6443"/>
    <w:rsid w:val="000D66B9"/>
    <w:rsid w:val="000D7B4A"/>
    <w:rsid w:val="000E0951"/>
    <w:rsid w:val="000E2022"/>
    <w:rsid w:val="000E2064"/>
    <w:rsid w:val="000E311A"/>
    <w:rsid w:val="000E3935"/>
    <w:rsid w:val="000E3A67"/>
    <w:rsid w:val="000E5D11"/>
    <w:rsid w:val="000E6561"/>
    <w:rsid w:val="000F0239"/>
    <w:rsid w:val="000F4990"/>
    <w:rsid w:val="000F57BF"/>
    <w:rsid w:val="000F643C"/>
    <w:rsid w:val="000F76C0"/>
    <w:rsid w:val="0010120A"/>
    <w:rsid w:val="00101427"/>
    <w:rsid w:val="00103208"/>
    <w:rsid w:val="00105ADF"/>
    <w:rsid w:val="00105E85"/>
    <w:rsid w:val="001068F0"/>
    <w:rsid w:val="00112314"/>
    <w:rsid w:val="00113F9F"/>
    <w:rsid w:val="00114E7D"/>
    <w:rsid w:val="00117853"/>
    <w:rsid w:val="00117BA7"/>
    <w:rsid w:val="00120F27"/>
    <w:rsid w:val="001229BE"/>
    <w:rsid w:val="00127087"/>
    <w:rsid w:val="001277A1"/>
    <w:rsid w:val="00127F3E"/>
    <w:rsid w:val="001317A8"/>
    <w:rsid w:val="0013389A"/>
    <w:rsid w:val="00133B9E"/>
    <w:rsid w:val="00134496"/>
    <w:rsid w:val="00135033"/>
    <w:rsid w:val="001354FD"/>
    <w:rsid w:val="0014067E"/>
    <w:rsid w:val="001433AD"/>
    <w:rsid w:val="00143800"/>
    <w:rsid w:val="00144D27"/>
    <w:rsid w:val="00145FD6"/>
    <w:rsid w:val="00146444"/>
    <w:rsid w:val="0014763E"/>
    <w:rsid w:val="00147F74"/>
    <w:rsid w:val="00151E4C"/>
    <w:rsid w:val="0015291B"/>
    <w:rsid w:val="0015386C"/>
    <w:rsid w:val="00154E53"/>
    <w:rsid w:val="001551A7"/>
    <w:rsid w:val="00160226"/>
    <w:rsid w:val="001608E1"/>
    <w:rsid w:val="00160A0D"/>
    <w:rsid w:val="00160DF2"/>
    <w:rsid w:val="001626AB"/>
    <w:rsid w:val="00163F5B"/>
    <w:rsid w:val="001640EF"/>
    <w:rsid w:val="00165ABA"/>
    <w:rsid w:val="001665A9"/>
    <w:rsid w:val="00167486"/>
    <w:rsid w:val="00170CB7"/>
    <w:rsid w:val="00171A45"/>
    <w:rsid w:val="00171AF9"/>
    <w:rsid w:val="001733BA"/>
    <w:rsid w:val="00173C88"/>
    <w:rsid w:val="00174BF5"/>
    <w:rsid w:val="00174EDF"/>
    <w:rsid w:val="00175695"/>
    <w:rsid w:val="001774BC"/>
    <w:rsid w:val="00180198"/>
    <w:rsid w:val="00180BD2"/>
    <w:rsid w:val="00184F9F"/>
    <w:rsid w:val="0018637C"/>
    <w:rsid w:val="00193C24"/>
    <w:rsid w:val="00193C80"/>
    <w:rsid w:val="00195FFD"/>
    <w:rsid w:val="00196ED2"/>
    <w:rsid w:val="001A07DA"/>
    <w:rsid w:val="001A1506"/>
    <w:rsid w:val="001A1F4F"/>
    <w:rsid w:val="001A2419"/>
    <w:rsid w:val="001A4C14"/>
    <w:rsid w:val="001A4C39"/>
    <w:rsid w:val="001A4F06"/>
    <w:rsid w:val="001A5D75"/>
    <w:rsid w:val="001A64E6"/>
    <w:rsid w:val="001A6F7A"/>
    <w:rsid w:val="001B0A0C"/>
    <w:rsid w:val="001B3D97"/>
    <w:rsid w:val="001B6655"/>
    <w:rsid w:val="001C16B4"/>
    <w:rsid w:val="001C2D6A"/>
    <w:rsid w:val="001C3B52"/>
    <w:rsid w:val="001C4540"/>
    <w:rsid w:val="001C5A5B"/>
    <w:rsid w:val="001C7407"/>
    <w:rsid w:val="001D11B9"/>
    <w:rsid w:val="001D16AE"/>
    <w:rsid w:val="001D5446"/>
    <w:rsid w:val="001D6296"/>
    <w:rsid w:val="001D6B49"/>
    <w:rsid w:val="001D765F"/>
    <w:rsid w:val="001E0990"/>
    <w:rsid w:val="001E2657"/>
    <w:rsid w:val="001E3A1F"/>
    <w:rsid w:val="001E3CEC"/>
    <w:rsid w:val="001E3EF6"/>
    <w:rsid w:val="001E4DD2"/>
    <w:rsid w:val="001E5126"/>
    <w:rsid w:val="001E5563"/>
    <w:rsid w:val="001E66EA"/>
    <w:rsid w:val="001E6C0F"/>
    <w:rsid w:val="001E751B"/>
    <w:rsid w:val="001F1535"/>
    <w:rsid w:val="001F1F96"/>
    <w:rsid w:val="001F2520"/>
    <w:rsid w:val="001F359D"/>
    <w:rsid w:val="001F3AF0"/>
    <w:rsid w:val="001F3B25"/>
    <w:rsid w:val="001F48D3"/>
    <w:rsid w:val="001F67F2"/>
    <w:rsid w:val="001F6AB3"/>
    <w:rsid w:val="001F7885"/>
    <w:rsid w:val="00200B98"/>
    <w:rsid w:val="0020113A"/>
    <w:rsid w:val="00201163"/>
    <w:rsid w:val="0020381F"/>
    <w:rsid w:val="00203F66"/>
    <w:rsid w:val="00204E7C"/>
    <w:rsid w:val="002051DA"/>
    <w:rsid w:val="00211A44"/>
    <w:rsid w:val="00214175"/>
    <w:rsid w:val="002154E5"/>
    <w:rsid w:val="00215B77"/>
    <w:rsid w:val="0021704A"/>
    <w:rsid w:val="00217171"/>
    <w:rsid w:val="00221BF3"/>
    <w:rsid w:val="002233C3"/>
    <w:rsid w:val="00223868"/>
    <w:rsid w:val="00223B2F"/>
    <w:rsid w:val="00223B4B"/>
    <w:rsid w:val="00224323"/>
    <w:rsid w:val="00226BF6"/>
    <w:rsid w:val="0022744E"/>
    <w:rsid w:val="0022795D"/>
    <w:rsid w:val="00227DCA"/>
    <w:rsid w:val="00230AA5"/>
    <w:rsid w:val="00231123"/>
    <w:rsid w:val="00231585"/>
    <w:rsid w:val="00231901"/>
    <w:rsid w:val="002328AA"/>
    <w:rsid w:val="00232B01"/>
    <w:rsid w:val="0023442E"/>
    <w:rsid w:val="00235F5E"/>
    <w:rsid w:val="002370BC"/>
    <w:rsid w:val="002377DB"/>
    <w:rsid w:val="002433E3"/>
    <w:rsid w:val="00244082"/>
    <w:rsid w:val="002464CD"/>
    <w:rsid w:val="00246948"/>
    <w:rsid w:val="00246A3E"/>
    <w:rsid w:val="00246BEA"/>
    <w:rsid w:val="0024742C"/>
    <w:rsid w:val="002474E3"/>
    <w:rsid w:val="00250538"/>
    <w:rsid w:val="0025145B"/>
    <w:rsid w:val="00251466"/>
    <w:rsid w:val="00252BAB"/>
    <w:rsid w:val="00252FB8"/>
    <w:rsid w:val="0025328E"/>
    <w:rsid w:val="00254166"/>
    <w:rsid w:val="002548FD"/>
    <w:rsid w:val="002551D1"/>
    <w:rsid w:val="002607B5"/>
    <w:rsid w:val="00261AED"/>
    <w:rsid w:val="00262D92"/>
    <w:rsid w:val="00263B84"/>
    <w:rsid w:val="00265BB0"/>
    <w:rsid w:val="00265D6A"/>
    <w:rsid w:val="002660F4"/>
    <w:rsid w:val="0026739E"/>
    <w:rsid w:val="00267603"/>
    <w:rsid w:val="002677CC"/>
    <w:rsid w:val="00267AD6"/>
    <w:rsid w:val="00267AFB"/>
    <w:rsid w:val="002709E0"/>
    <w:rsid w:val="002712F1"/>
    <w:rsid w:val="00271AFC"/>
    <w:rsid w:val="002729CD"/>
    <w:rsid w:val="0027329B"/>
    <w:rsid w:val="00274F99"/>
    <w:rsid w:val="00277EF1"/>
    <w:rsid w:val="00280891"/>
    <w:rsid w:val="002813C0"/>
    <w:rsid w:val="00282603"/>
    <w:rsid w:val="0028338C"/>
    <w:rsid w:val="00284F14"/>
    <w:rsid w:val="00285915"/>
    <w:rsid w:val="00285FD3"/>
    <w:rsid w:val="00286E39"/>
    <w:rsid w:val="002874D3"/>
    <w:rsid w:val="002878FE"/>
    <w:rsid w:val="002900DF"/>
    <w:rsid w:val="0029011D"/>
    <w:rsid w:val="002926AA"/>
    <w:rsid w:val="00292EB3"/>
    <w:rsid w:val="00293789"/>
    <w:rsid w:val="00293F20"/>
    <w:rsid w:val="00294892"/>
    <w:rsid w:val="0029603A"/>
    <w:rsid w:val="00296655"/>
    <w:rsid w:val="0029759A"/>
    <w:rsid w:val="002A1D48"/>
    <w:rsid w:val="002A2183"/>
    <w:rsid w:val="002A3679"/>
    <w:rsid w:val="002A54B3"/>
    <w:rsid w:val="002A5632"/>
    <w:rsid w:val="002A5A61"/>
    <w:rsid w:val="002A621E"/>
    <w:rsid w:val="002A7579"/>
    <w:rsid w:val="002A7B12"/>
    <w:rsid w:val="002A7BBE"/>
    <w:rsid w:val="002B002A"/>
    <w:rsid w:val="002B1019"/>
    <w:rsid w:val="002B144C"/>
    <w:rsid w:val="002B31E5"/>
    <w:rsid w:val="002B37EC"/>
    <w:rsid w:val="002B3A77"/>
    <w:rsid w:val="002B52DB"/>
    <w:rsid w:val="002B6421"/>
    <w:rsid w:val="002B65E8"/>
    <w:rsid w:val="002B6D06"/>
    <w:rsid w:val="002B7206"/>
    <w:rsid w:val="002B7546"/>
    <w:rsid w:val="002C1F64"/>
    <w:rsid w:val="002C3806"/>
    <w:rsid w:val="002C6606"/>
    <w:rsid w:val="002C68F5"/>
    <w:rsid w:val="002C6E13"/>
    <w:rsid w:val="002C7B4B"/>
    <w:rsid w:val="002D10D2"/>
    <w:rsid w:val="002D1B47"/>
    <w:rsid w:val="002D2BAB"/>
    <w:rsid w:val="002D5BD7"/>
    <w:rsid w:val="002D6B66"/>
    <w:rsid w:val="002D6BD0"/>
    <w:rsid w:val="002D7DDC"/>
    <w:rsid w:val="002E04B9"/>
    <w:rsid w:val="002E09CB"/>
    <w:rsid w:val="002E47E2"/>
    <w:rsid w:val="002E5D83"/>
    <w:rsid w:val="002E6B64"/>
    <w:rsid w:val="002E6DBB"/>
    <w:rsid w:val="002F01A2"/>
    <w:rsid w:val="002F10DC"/>
    <w:rsid w:val="002F1217"/>
    <w:rsid w:val="002F29A6"/>
    <w:rsid w:val="002F4FB4"/>
    <w:rsid w:val="002F5779"/>
    <w:rsid w:val="002F5940"/>
    <w:rsid w:val="002F6A20"/>
    <w:rsid w:val="002F76A6"/>
    <w:rsid w:val="002F7802"/>
    <w:rsid w:val="0030047F"/>
    <w:rsid w:val="00301102"/>
    <w:rsid w:val="0030149E"/>
    <w:rsid w:val="00301765"/>
    <w:rsid w:val="00301D8B"/>
    <w:rsid w:val="0030226C"/>
    <w:rsid w:val="00306444"/>
    <w:rsid w:val="003070F3"/>
    <w:rsid w:val="00311788"/>
    <w:rsid w:val="00311E59"/>
    <w:rsid w:val="00312BB3"/>
    <w:rsid w:val="00312BCC"/>
    <w:rsid w:val="00313C1D"/>
    <w:rsid w:val="003148A9"/>
    <w:rsid w:val="00314B04"/>
    <w:rsid w:val="0031504E"/>
    <w:rsid w:val="0031512E"/>
    <w:rsid w:val="00316F0D"/>
    <w:rsid w:val="003207AD"/>
    <w:rsid w:val="003213D6"/>
    <w:rsid w:val="003216EA"/>
    <w:rsid w:val="00321E0D"/>
    <w:rsid w:val="00321EB2"/>
    <w:rsid w:val="00322370"/>
    <w:rsid w:val="0032487F"/>
    <w:rsid w:val="00325EF2"/>
    <w:rsid w:val="00326194"/>
    <w:rsid w:val="00326FA7"/>
    <w:rsid w:val="00330A6C"/>
    <w:rsid w:val="00331054"/>
    <w:rsid w:val="00331C6D"/>
    <w:rsid w:val="00333121"/>
    <w:rsid w:val="00333578"/>
    <w:rsid w:val="00334535"/>
    <w:rsid w:val="00334923"/>
    <w:rsid w:val="00334E38"/>
    <w:rsid w:val="00335F75"/>
    <w:rsid w:val="00337F70"/>
    <w:rsid w:val="0034000B"/>
    <w:rsid w:val="00342E6A"/>
    <w:rsid w:val="00342EC8"/>
    <w:rsid w:val="003434FB"/>
    <w:rsid w:val="00345CCE"/>
    <w:rsid w:val="00345FE4"/>
    <w:rsid w:val="003503B6"/>
    <w:rsid w:val="00350A3F"/>
    <w:rsid w:val="00351EFF"/>
    <w:rsid w:val="00351F26"/>
    <w:rsid w:val="003548DE"/>
    <w:rsid w:val="00354963"/>
    <w:rsid w:val="0036179B"/>
    <w:rsid w:val="00361975"/>
    <w:rsid w:val="0036763A"/>
    <w:rsid w:val="00370E04"/>
    <w:rsid w:val="003738EA"/>
    <w:rsid w:val="003754CA"/>
    <w:rsid w:val="003767BF"/>
    <w:rsid w:val="00380D21"/>
    <w:rsid w:val="00382B29"/>
    <w:rsid w:val="00384B0D"/>
    <w:rsid w:val="00384CCE"/>
    <w:rsid w:val="00384E5E"/>
    <w:rsid w:val="003857EE"/>
    <w:rsid w:val="003869FE"/>
    <w:rsid w:val="00387307"/>
    <w:rsid w:val="003874AA"/>
    <w:rsid w:val="0039196D"/>
    <w:rsid w:val="00392E73"/>
    <w:rsid w:val="0039308F"/>
    <w:rsid w:val="00393B9B"/>
    <w:rsid w:val="003941A2"/>
    <w:rsid w:val="003941DC"/>
    <w:rsid w:val="00396620"/>
    <w:rsid w:val="00396E27"/>
    <w:rsid w:val="00397102"/>
    <w:rsid w:val="00397860"/>
    <w:rsid w:val="003979DA"/>
    <w:rsid w:val="003A019A"/>
    <w:rsid w:val="003A045C"/>
    <w:rsid w:val="003A055F"/>
    <w:rsid w:val="003A0CC8"/>
    <w:rsid w:val="003A1032"/>
    <w:rsid w:val="003A13E2"/>
    <w:rsid w:val="003A2997"/>
    <w:rsid w:val="003A29DA"/>
    <w:rsid w:val="003A2B25"/>
    <w:rsid w:val="003A3EAA"/>
    <w:rsid w:val="003A57B0"/>
    <w:rsid w:val="003A60DB"/>
    <w:rsid w:val="003A656F"/>
    <w:rsid w:val="003A6FF9"/>
    <w:rsid w:val="003B06D9"/>
    <w:rsid w:val="003B153C"/>
    <w:rsid w:val="003B1E78"/>
    <w:rsid w:val="003B204E"/>
    <w:rsid w:val="003B2B12"/>
    <w:rsid w:val="003B5D8D"/>
    <w:rsid w:val="003B5FC2"/>
    <w:rsid w:val="003B640E"/>
    <w:rsid w:val="003B6A56"/>
    <w:rsid w:val="003B70FB"/>
    <w:rsid w:val="003C0EE1"/>
    <w:rsid w:val="003C13FC"/>
    <w:rsid w:val="003C2F25"/>
    <w:rsid w:val="003C3760"/>
    <w:rsid w:val="003C448F"/>
    <w:rsid w:val="003C487B"/>
    <w:rsid w:val="003C5C73"/>
    <w:rsid w:val="003C664D"/>
    <w:rsid w:val="003D027C"/>
    <w:rsid w:val="003D4CCE"/>
    <w:rsid w:val="003D5603"/>
    <w:rsid w:val="003D5704"/>
    <w:rsid w:val="003D5B4C"/>
    <w:rsid w:val="003D77E9"/>
    <w:rsid w:val="003D7BD2"/>
    <w:rsid w:val="003E0745"/>
    <w:rsid w:val="003E0991"/>
    <w:rsid w:val="003E0E33"/>
    <w:rsid w:val="003E0ECA"/>
    <w:rsid w:val="003E4220"/>
    <w:rsid w:val="003E441C"/>
    <w:rsid w:val="003E46C9"/>
    <w:rsid w:val="003E6FD0"/>
    <w:rsid w:val="003F03FA"/>
    <w:rsid w:val="003F0923"/>
    <w:rsid w:val="003F48CF"/>
    <w:rsid w:val="003F4A8D"/>
    <w:rsid w:val="003F4C7A"/>
    <w:rsid w:val="003F5BC6"/>
    <w:rsid w:val="003F5EF1"/>
    <w:rsid w:val="003F706A"/>
    <w:rsid w:val="003F7380"/>
    <w:rsid w:val="003F7611"/>
    <w:rsid w:val="003F7D8E"/>
    <w:rsid w:val="00402E9E"/>
    <w:rsid w:val="00403F26"/>
    <w:rsid w:val="00405555"/>
    <w:rsid w:val="004056D8"/>
    <w:rsid w:val="0040732F"/>
    <w:rsid w:val="00407871"/>
    <w:rsid w:val="00407BC4"/>
    <w:rsid w:val="0041059F"/>
    <w:rsid w:val="00410A2D"/>
    <w:rsid w:val="00411E8A"/>
    <w:rsid w:val="0041261D"/>
    <w:rsid w:val="00412E9F"/>
    <w:rsid w:val="00413C78"/>
    <w:rsid w:val="004146AE"/>
    <w:rsid w:val="00415173"/>
    <w:rsid w:val="004202E0"/>
    <w:rsid w:val="004207DD"/>
    <w:rsid w:val="0042136F"/>
    <w:rsid w:val="00421A29"/>
    <w:rsid w:val="00421C46"/>
    <w:rsid w:val="00422D18"/>
    <w:rsid w:val="004242AD"/>
    <w:rsid w:val="00426F20"/>
    <w:rsid w:val="00427CA7"/>
    <w:rsid w:val="004302F9"/>
    <w:rsid w:val="00432D55"/>
    <w:rsid w:val="00434095"/>
    <w:rsid w:val="0043497B"/>
    <w:rsid w:val="004352E9"/>
    <w:rsid w:val="0043540C"/>
    <w:rsid w:val="00436FDD"/>
    <w:rsid w:val="004371D8"/>
    <w:rsid w:val="0044022D"/>
    <w:rsid w:val="00441F05"/>
    <w:rsid w:val="00445295"/>
    <w:rsid w:val="004466A2"/>
    <w:rsid w:val="00446829"/>
    <w:rsid w:val="0045034C"/>
    <w:rsid w:val="004576E1"/>
    <w:rsid w:val="004603EE"/>
    <w:rsid w:val="004617CD"/>
    <w:rsid w:val="004625BC"/>
    <w:rsid w:val="0046289B"/>
    <w:rsid w:val="00462B41"/>
    <w:rsid w:val="00462F1B"/>
    <w:rsid w:val="0046541E"/>
    <w:rsid w:val="004671FC"/>
    <w:rsid w:val="00467C3E"/>
    <w:rsid w:val="0047067A"/>
    <w:rsid w:val="004708E7"/>
    <w:rsid w:val="00471133"/>
    <w:rsid w:val="00471FC5"/>
    <w:rsid w:val="0047453E"/>
    <w:rsid w:val="004834E9"/>
    <w:rsid w:val="004839BF"/>
    <w:rsid w:val="00483C0F"/>
    <w:rsid w:val="00484829"/>
    <w:rsid w:val="00487B98"/>
    <w:rsid w:val="00491D18"/>
    <w:rsid w:val="00491DA8"/>
    <w:rsid w:val="0049677C"/>
    <w:rsid w:val="00496B92"/>
    <w:rsid w:val="00497B32"/>
    <w:rsid w:val="004A0616"/>
    <w:rsid w:val="004A0E23"/>
    <w:rsid w:val="004A0E55"/>
    <w:rsid w:val="004A1CFA"/>
    <w:rsid w:val="004A5098"/>
    <w:rsid w:val="004A55AA"/>
    <w:rsid w:val="004A5B56"/>
    <w:rsid w:val="004A66A6"/>
    <w:rsid w:val="004A6EE5"/>
    <w:rsid w:val="004A7719"/>
    <w:rsid w:val="004B00AA"/>
    <w:rsid w:val="004B05BD"/>
    <w:rsid w:val="004B2720"/>
    <w:rsid w:val="004B364C"/>
    <w:rsid w:val="004B4700"/>
    <w:rsid w:val="004B5566"/>
    <w:rsid w:val="004C1AE2"/>
    <w:rsid w:val="004C2AE0"/>
    <w:rsid w:val="004C2F37"/>
    <w:rsid w:val="004C3A55"/>
    <w:rsid w:val="004C4C41"/>
    <w:rsid w:val="004C5887"/>
    <w:rsid w:val="004C6BAB"/>
    <w:rsid w:val="004C7815"/>
    <w:rsid w:val="004D0427"/>
    <w:rsid w:val="004D1099"/>
    <w:rsid w:val="004D1C3E"/>
    <w:rsid w:val="004D2BAB"/>
    <w:rsid w:val="004D2D5D"/>
    <w:rsid w:val="004D3099"/>
    <w:rsid w:val="004D3EC6"/>
    <w:rsid w:val="004D6F2D"/>
    <w:rsid w:val="004E1896"/>
    <w:rsid w:val="004E1E39"/>
    <w:rsid w:val="004E2E08"/>
    <w:rsid w:val="004E5156"/>
    <w:rsid w:val="004E5341"/>
    <w:rsid w:val="004E71D5"/>
    <w:rsid w:val="004E7F79"/>
    <w:rsid w:val="004F0230"/>
    <w:rsid w:val="004F0833"/>
    <w:rsid w:val="004F0A27"/>
    <w:rsid w:val="004F0F4C"/>
    <w:rsid w:val="004F2035"/>
    <w:rsid w:val="004F567B"/>
    <w:rsid w:val="004F5BCF"/>
    <w:rsid w:val="004F5F2F"/>
    <w:rsid w:val="004F71CB"/>
    <w:rsid w:val="005009E7"/>
    <w:rsid w:val="00503260"/>
    <w:rsid w:val="005032FC"/>
    <w:rsid w:val="00505433"/>
    <w:rsid w:val="0050672B"/>
    <w:rsid w:val="00507505"/>
    <w:rsid w:val="005078BD"/>
    <w:rsid w:val="0051191A"/>
    <w:rsid w:val="00513670"/>
    <w:rsid w:val="00513983"/>
    <w:rsid w:val="00513BB0"/>
    <w:rsid w:val="00514CB8"/>
    <w:rsid w:val="0051534F"/>
    <w:rsid w:val="00515F90"/>
    <w:rsid w:val="00516845"/>
    <w:rsid w:val="0051730E"/>
    <w:rsid w:val="00520471"/>
    <w:rsid w:val="005206A5"/>
    <w:rsid w:val="00520FC7"/>
    <w:rsid w:val="00520FD2"/>
    <w:rsid w:val="0052420B"/>
    <w:rsid w:val="00525753"/>
    <w:rsid w:val="00525948"/>
    <w:rsid w:val="0052638B"/>
    <w:rsid w:val="005265EF"/>
    <w:rsid w:val="00526889"/>
    <w:rsid w:val="00527229"/>
    <w:rsid w:val="00530A4C"/>
    <w:rsid w:val="00531357"/>
    <w:rsid w:val="00531D6A"/>
    <w:rsid w:val="00532918"/>
    <w:rsid w:val="005333A8"/>
    <w:rsid w:val="0053360A"/>
    <w:rsid w:val="00533CA5"/>
    <w:rsid w:val="0053571B"/>
    <w:rsid w:val="00536621"/>
    <w:rsid w:val="0053788A"/>
    <w:rsid w:val="005413F6"/>
    <w:rsid w:val="00542A45"/>
    <w:rsid w:val="005430E5"/>
    <w:rsid w:val="0054421D"/>
    <w:rsid w:val="00544863"/>
    <w:rsid w:val="00544884"/>
    <w:rsid w:val="00545110"/>
    <w:rsid w:val="0054600A"/>
    <w:rsid w:val="005476AE"/>
    <w:rsid w:val="00550485"/>
    <w:rsid w:val="00553A93"/>
    <w:rsid w:val="00554CE7"/>
    <w:rsid w:val="00557463"/>
    <w:rsid w:val="00557E9D"/>
    <w:rsid w:val="00561701"/>
    <w:rsid w:val="005649CE"/>
    <w:rsid w:val="00565749"/>
    <w:rsid w:val="00566634"/>
    <w:rsid w:val="00570F90"/>
    <w:rsid w:val="00571257"/>
    <w:rsid w:val="0057227E"/>
    <w:rsid w:val="005743DF"/>
    <w:rsid w:val="0057465C"/>
    <w:rsid w:val="0057482E"/>
    <w:rsid w:val="00574864"/>
    <w:rsid w:val="005748A7"/>
    <w:rsid w:val="005756AD"/>
    <w:rsid w:val="00576294"/>
    <w:rsid w:val="005769CB"/>
    <w:rsid w:val="00577B52"/>
    <w:rsid w:val="00583CF1"/>
    <w:rsid w:val="00584D9A"/>
    <w:rsid w:val="0058529B"/>
    <w:rsid w:val="00587C0E"/>
    <w:rsid w:val="005904C6"/>
    <w:rsid w:val="00590761"/>
    <w:rsid w:val="0059203D"/>
    <w:rsid w:val="0059246E"/>
    <w:rsid w:val="005924DF"/>
    <w:rsid w:val="00594CED"/>
    <w:rsid w:val="0059575A"/>
    <w:rsid w:val="00595D0D"/>
    <w:rsid w:val="00595D56"/>
    <w:rsid w:val="00595FF6"/>
    <w:rsid w:val="0059742D"/>
    <w:rsid w:val="005A09BA"/>
    <w:rsid w:val="005A1E41"/>
    <w:rsid w:val="005A4C4C"/>
    <w:rsid w:val="005A4F83"/>
    <w:rsid w:val="005A5DA0"/>
    <w:rsid w:val="005A6340"/>
    <w:rsid w:val="005A6C00"/>
    <w:rsid w:val="005A725E"/>
    <w:rsid w:val="005A7A0D"/>
    <w:rsid w:val="005B0409"/>
    <w:rsid w:val="005B0FA1"/>
    <w:rsid w:val="005B3126"/>
    <w:rsid w:val="005B3457"/>
    <w:rsid w:val="005B3578"/>
    <w:rsid w:val="005B3A50"/>
    <w:rsid w:val="005B48D2"/>
    <w:rsid w:val="005B61FE"/>
    <w:rsid w:val="005B6642"/>
    <w:rsid w:val="005B6A3E"/>
    <w:rsid w:val="005B6B16"/>
    <w:rsid w:val="005C1498"/>
    <w:rsid w:val="005C3146"/>
    <w:rsid w:val="005C3EDC"/>
    <w:rsid w:val="005C4754"/>
    <w:rsid w:val="005C4D88"/>
    <w:rsid w:val="005C7354"/>
    <w:rsid w:val="005D0B80"/>
    <w:rsid w:val="005D16BF"/>
    <w:rsid w:val="005D2129"/>
    <w:rsid w:val="005D40E9"/>
    <w:rsid w:val="005D5C66"/>
    <w:rsid w:val="005D6E07"/>
    <w:rsid w:val="005D7545"/>
    <w:rsid w:val="005E3016"/>
    <w:rsid w:val="005E405E"/>
    <w:rsid w:val="005E535E"/>
    <w:rsid w:val="005E5418"/>
    <w:rsid w:val="005E6B13"/>
    <w:rsid w:val="005E6CA8"/>
    <w:rsid w:val="005E71DB"/>
    <w:rsid w:val="005F0146"/>
    <w:rsid w:val="005F0484"/>
    <w:rsid w:val="005F06AC"/>
    <w:rsid w:val="005F0BD4"/>
    <w:rsid w:val="005F1A7F"/>
    <w:rsid w:val="005F386D"/>
    <w:rsid w:val="005F5B4F"/>
    <w:rsid w:val="005F6BC6"/>
    <w:rsid w:val="005F7BB0"/>
    <w:rsid w:val="005F7CA5"/>
    <w:rsid w:val="0060027F"/>
    <w:rsid w:val="00600B74"/>
    <w:rsid w:val="00601639"/>
    <w:rsid w:val="00601896"/>
    <w:rsid w:val="00603286"/>
    <w:rsid w:val="006038B0"/>
    <w:rsid w:val="0060434B"/>
    <w:rsid w:val="0060443C"/>
    <w:rsid w:val="006047CE"/>
    <w:rsid w:val="006060F8"/>
    <w:rsid w:val="0060614D"/>
    <w:rsid w:val="00606C20"/>
    <w:rsid w:val="00606F47"/>
    <w:rsid w:val="00610349"/>
    <w:rsid w:val="00611AAE"/>
    <w:rsid w:val="006124B9"/>
    <w:rsid w:val="00612C86"/>
    <w:rsid w:val="00613030"/>
    <w:rsid w:val="00613244"/>
    <w:rsid w:val="00613718"/>
    <w:rsid w:val="00613C1A"/>
    <w:rsid w:val="006144ED"/>
    <w:rsid w:val="006154D7"/>
    <w:rsid w:val="00616945"/>
    <w:rsid w:val="00620EE8"/>
    <w:rsid w:val="00621B30"/>
    <w:rsid w:val="0062210B"/>
    <w:rsid w:val="0062276F"/>
    <w:rsid w:val="00623B64"/>
    <w:rsid w:val="006242E1"/>
    <w:rsid w:val="00624A97"/>
    <w:rsid w:val="00625978"/>
    <w:rsid w:val="00626763"/>
    <w:rsid w:val="00626977"/>
    <w:rsid w:val="00626D3E"/>
    <w:rsid w:val="00627D0C"/>
    <w:rsid w:val="006306A6"/>
    <w:rsid w:val="006309FD"/>
    <w:rsid w:val="00630AA8"/>
    <w:rsid w:val="00631889"/>
    <w:rsid w:val="00631BD2"/>
    <w:rsid w:val="00631E42"/>
    <w:rsid w:val="0063220F"/>
    <w:rsid w:val="00632C25"/>
    <w:rsid w:val="00633188"/>
    <w:rsid w:val="00633904"/>
    <w:rsid w:val="00633BC9"/>
    <w:rsid w:val="00634136"/>
    <w:rsid w:val="0063496B"/>
    <w:rsid w:val="006358F3"/>
    <w:rsid w:val="00635C62"/>
    <w:rsid w:val="0063636D"/>
    <w:rsid w:val="00636B05"/>
    <w:rsid w:val="00637D5C"/>
    <w:rsid w:val="00640070"/>
    <w:rsid w:val="00640A35"/>
    <w:rsid w:val="00640CBB"/>
    <w:rsid w:val="00641270"/>
    <w:rsid w:val="00641A4F"/>
    <w:rsid w:val="00641F04"/>
    <w:rsid w:val="0064401C"/>
    <w:rsid w:val="00644117"/>
    <w:rsid w:val="00644C5C"/>
    <w:rsid w:val="00644F87"/>
    <w:rsid w:val="006458E9"/>
    <w:rsid w:val="006461AD"/>
    <w:rsid w:val="00646E1F"/>
    <w:rsid w:val="00646EED"/>
    <w:rsid w:val="006500FB"/>
    <w:rsid w:val="006511AF"/>
    <w:rsid w:val="00651843"/>
    <w:rsid w:val="00652FF7"/>
    <w:rsid w:val="006555F4"/>
    <w:rsid w:val="006564E9"/>
    <w:rsid w:val="00657D04"/>
    <w:rsid w:val="00657D0C"/>
    <w:rsid w:val="00660D8E"/>
    <w:rsid w:val="006625BF"/>
    <w:rsid w:val="00663663"/>
    <w:rsid w:val="0066492D"/>
    <w:rsid w:val="0066614A"/>
    <w:rsid w:val="00666BDE"/>
    <w:rsid w:val="00670BAD"/>
    <w:rsid w:val="0067199A"/>
    <w:rsid w:val="0067213A"/>
    <w:rsid w:val="00672219"/>
    <w:rsid w:val="0067224E"/>
    <w:rsid w:val="00672608"/>
    <w:rsid w:val="00672A56"/>
    <w:rsid w:val="006734C7"/>
    <w:rsid w:val="00673DDC"/>
    <w:rsid w:val="00675964"/>
    <w:rsid w:val="00675F32"/>
    <w:rsid w:val="00676504"/>
    <w:rsid w:val="006810E5"/>
    <w:rsid w:val="00681752"/>
    <w:rsid w:val="006825E0"/>
    <w:rsid w:val="0068432F"/>
    <w:rsid w:val="00684475"/>
    <w:rsid w:val="006846F6"/>
    <w:rsid w:val="006848C4"/>
    <w:rsid w:val="006850EE"/>
    <w:rsid w:val="00685D58"/>
    <w:rsid w:val="00687F17"/>
    <w:rsid w:val="0069175F"/>
    <w:rsid w:val="00692916"/>
    <w:rsid w:val="00692DCF"/>
    <w:rsid w:val="00693EEF"/>
    <w:rsid w:val="00694DF8"/>
    <w:rsid w:val="0069558F"/>
    <w:rsid w:val="00696426"/>
    <w:rsid w:val="006A0C67"/>
    <w:rsid w:val="006A1038"/>
    <w:rsid w:val="006A1A6F"/>
    <w:rsid w:val="006A3026"/>
    <w:rsid w:val="006A3EE1"/>
    <w:rsid w:val="006A6D3F"/>
    <w:rsid w:val="006A771C"/>
    <w:rsid w:val="006A7F63"/>
    <w:rsid w:val="006B07D9"/>
    <w:rsid w:val="006B1FE0"/>
    <w:rsid w:val="006B201D"/>
    <w:rsid w:val="006B2061"/>
    <w:rsid w:val="006B2EA9"/>
    <w:rsid w:val="006B5D91"/>
    <w:rsid w:val="006B6EDE"/>
    <w:rsid w:val="006B725D"/>
    <w:rsid w:val="006C0BC0"/>
    <w:rsid w:val="006C0C98"/>
    <w:rsid w:val="006C4F81"/>
    <w:rsid w:val="006C56DD"/>
    <w:rsid w:val="006C7596"/>
    <w:rsid w:val="006D0613"/>
    <w:rsid w:val="006D0D7F"/>
    <w:rsid w:val="006D145D"/>
    <w:rsid w:val="006D196C"/>
    <w:rsid w:val="006D26B8"/>
    <w:rsid w:val="006D357E"/>
    <w:rsid w:val="006D6A56"/>
    <w:rsid w:val="006D7AAB"/>
    <w:rsid w:val="006E11C9"/>
    <w:rsid w:val="006E2081"/>
    <w:rsid w:val="006E42F2"/>
    <w:rsid w:val="006E4800"/>
    <w:rsid w:val="006E578B"/>
    <w:rsid w:val="006E618E"/>
    <w:rsid w:val="006E6735"/>
    <w:rsid w:val="006E7788"/>
    <w:rsid w:val="006E7C89"/>
    <w:rsid w:val="006F22AD"/>
    <w:rsid w:val="006F261C"/>
    <w:rsid w:val="006F532A"/>
    <w:rsid w:val="00702BF8"/>
    <w:rsid w:val="0070381E"/>
    <w:rsid w:val="007038A5"/>
    <w:rsid w:val="00704651"/>
    <w:rsid w:val="007048F7"/>
    <w:rsid w:val="00704B2F"/>
    <w:rsid w:val="007059DA"/>
    <w:rsid w:val="00706956"/>
    <w:rsid w:val="00706DEE"/>
    <w:rsid w:val="00707C20"/>
    <w:rsid w:val="00711FB6"/>
    <w:rsid w:val="00712475"/>
    <w:rsid w:val="0071282E"/>
    <w:rsid w:val="0071374F"/>
    <w:rsid w:val="0071486C"/>
    <w:rsid w:val="0071510D"/>
    <w:rsid w:val="00715B05"/>
    <w:rsid w:val="0071707C"/>
    <w:rsid w:val="00717ADF"/>
    <w:rsid w:val="00721C6B"/>
    <w:rsid w:val="007247A1"/>
    <w:rsid w:val="00724B4F"/>
    <w:rsid w:val="00730930"/>
    <w:rsid w:val="00730E16"/>
    <w:rsid w:val="00731800"/>
    <w:rsid w:val="00732DCB"/>
    <w:rsid w:val="00732DE6"/>
    <w:rsid w:val="007339C0"/>
    <w:rsid w:val="007345D7"/>
    <w:rsid w:val="00734F3C"/>
    <w:rsid w:val="007364A0"/>
    <w:rsid w:val="00740AD2"/>
    <w:rsid w:val="00741C1C"/>
    <w:rsid w:val="00742077"/>
    <w:rsid w:val="00742461"/>
    <w:rsid w:val="00742559"/>
    <w:rsid w:val="007447D5"/>
    <w:rsid w:val="0074542E"/>
    <w:rsid w:val="007459B5"/>
    <w:rsid w:val="00745F43"/>
    <w:rsid w:val="00746A74"/>
    <w:rsid w:val="00751000"/>
    <w:rsid w:val="007526B1"/>
    <w:rsid w:val="0075344E"/>
    <w:rsid w:val="00754D92"/>
    <w:rsid w:val="00756C33"/>
    <w:rsid w:val="00757635"/>
    <w:rsid w:val="0075796F"/>
    <w:rsid w:val="007609A7"/>
    <w:rsid w:val="00765C37"/>
    <w:rsid w:val="00766AAD"/>
    <w:rsid w:val="00767229"/>
    <w:rsid w:val="00767655"/>
    <w:rsid w:val="00767CA3"/>
    <w:rsid w:val="007707BD"/>
    <w:rsid w:val="00770F9B"/>
    <w:rsid w:val="007750D5"/>
    <w:rsid w:val="00775522"/>
    <w:rsid w:val="007755D0"/>
    <w:rsid w:val="00775CCD"/>
    <w:rsid w:val="00776331"/>
    <w:rsid w:val="007803A4"/>
    <w:rsid w:val="007809D2"/>
    <w:rsid w:val="007818B9"/>
    <w:rsid w:val="00781B3C"/>
    <w:rsid w:val="00782CC9"/>
    <w:rsid w:val="00783213"/>
    <w:rsid w:val="0078351C"/>
    <w:rsid w:val="007837D2"/>
    <w:rsid w:val="00783CF3"/>
    <w:rsid w:val="0078440A"/>
    <w:rsid w:val="00785EF4"/>
    <w:rsid w:val="00786416"/>
    <w:rsid w:val="0079089D"/>
    <w:rsid w:val="007915C7"/>
    <w:rsid w:val="00792F03"/>
    <w:rsid w:val="0079503A"/>
    <w:rsid w:val="007953AE"/>
    <w:rsid w:val="00795F86"/>
    <w:rsid w:val="00796A4E"/>
    <w:rsid w:val="007A1795"/>
    <w:rsid w:val="007A181A"/>
    <w:rsid w:val="007A1D2C"/>
    <w:rsid w:val="007A2A34"/>
    <w:rsid w:val="007A4C7B"/>
    <w:rsid w:val="007A54C3"/>
    <w:rsid w:val="007A6F55"/>
    <w:rsid w:val="007A725D"/>
    <w:rsid w:val="007A7818"/>
    <w:rsid w:val="007B132C"/>
    <w:rsid w:val="007B1A64"/>
    <w:rsid w:val="007B2945"/>
    <w:rsid w:val="007B2E17"/>
    <w:rsid w:val="007B3221"/>
    <w:rsid w:val="007B3323"/>
    <w:rsid w:val="007B3940"/>
    <w:rsid w:val="007B448C"/>
    <w:rsid w:val="007B59FA"/>
    <w:rsid w:val="007B66CC"/>
    <w:rsid w:val="007C0B90"/>
    <w:rsid w:val="007C1F06"/>
    <w:rsid w:val="007C29ED"/>
    <w:rsid w:val="007C3625"/>
    <w:rsid w:val="007C3BB5"/>
    <w:rsid w:val="007C408A"/>
    <w:rsid w:val="007C47E7"/>
    <w:rsid w:val="007C565F"/>
    <w:rsid w:val="007C6AD9"/>
    <w:rsid w:val="007C7029"/>
    <w:rsid w:val="007D0F67"/>
    <w:rsid w:val="007D229A"/>
    <w:rsid w:val="007D2427"/>
    <w:rsid w:val="007D2685"/>
    <w:rsid w:val="007D3255"/>
    <w:rsid w:val="007D3A6A"/>
    <w:rsid w:val="007D4AA3"/>
    <w:rsid w:val="007D5DA3"/>
    <w:rsid w:val="007E0FCA"/>
    <w:rsid w:val="007E14EB"/>
    <w:rsid w:val="007E1DFE"/>
    <w:rsid w:val="007E27F4"/>
    <w:rsid w:val="007E4303"/>
    <w:rsid w:val="007E674B"/>
    <w:rsid w:val="007F17CB"/>
    <w:rsid w:val="007F32E4"/>
    <w:rsid w:val="007F592A"/>
    <w:rsid w:val="007F714F"/>
    <w:rsid w:val="007F7165"/>
    <w:rsid w:val="007F7313"/>
    <w:rsid w:val="008001B4"/>
    <w:rsid w:val="00801863"/>
    <w:rsid w:val="00802F0F"/>
    <w:rsid w:val="0080374A"/>
    <w:rsid w:val="008037D8"/>
    <w:rsid w:val="0080662D"/>
    <w:rsid w:val="00807CAD"/>
    <w:rsid w:val="008112D3"/>
    <w:rsid w:val="00812537"/>
    <w:rsid w:val="00814B24"/>
    <w:rsid w:val="00814D84"/>
    <w:rsid w:val="00815D50"/>
    <w:rsid w:val="00815E48"/>
    <w:rsid w:val="008202AC"/>
    <w:rsid w:val="00820BEA"/>
    <w:rsid w:val="00820EA4"/>
    <w:rsid w:val="008217A9"/>
    <w:rsid w:val="008224F6"/>
    <w:rsid w:val="00823F60"/>
    <w:rsid w:val="008251A8"/>
    <w:rsid w:val="00826F4E"/>
    <w:rsid w:val="00827C84"/>
    <w:rsid w:val="00830207"/>
    <w:rsid w:val="0083061D"/>
    <w:rsid w:val="0083145C"/>
    <w:rsid w:val="00832388"/>
    <w:rsid w:val="00833EA5"/>
    <w:rsid w:val="00833F0A"/>
    <w:rsid w:val="0083415E"/>
    <w:rsid w:val="00834F31"/>
    <w:rsid w:val="00841C4F"/>
    <w:rsid w:val="0084374C"/>
    <w:rsid w:val="00845D9C"/>
    <w:rsid w:val="00846683"/>
    <w:rsid w:val="00850272"/>
    <w:rsid w:val="00851BD9"/>
    <w:rsid w:val="00853AB4"/>
    <w:rsid w:val="00855513"/>
    <w:rsid w:val="00855B6F"/>
    <w:rsid w:val="008564B7"/>
    <w:rsid w:val="00856DD6"/>
    <w:rsid w:val="00856E7A"/>
    <w:rsid w:val="00856EEC"/>
    <w:rsid w:val="0086077E"/>
    <w:rsid w:val="008615F8"/>
    <w:rsid w:val="008640B1"/>
    <w:rsid w:val="00864C83"/>
    <w:rsid w:val="00864D09"/>
    <w:rsid w:val="00865C11"/>
    <w:rsid w:val="00865D08"/>
    <w:rsid w:val="008673A3"/>
    <w:rsid w:val="008713F8"/>
    <w:rsid w:val="00872ABE"/>
    <w:rsid w:val="008742C0"/>
    <w:rsid w:val="00875113"/>
    <w:rsid w:val="00877DFF"/>
    <w:rsid w:val="00881A6B"/>
    <w:rsid w:val="008823A9"/>
    <w:rsid w:val="00885379"/>
    <w:rsid w:val="00885578"/>
    <w:rsid w:val="008867D8"/>
    <w:rsid w:val="00886AE0"/>
    <w:rsid w:val="00887F57"/>
    <w:rsid w:val="0089229A"/>
    <w:rsid w:val="00894EEE"/>
    <w:rsid w:val="00895831"/>
    <w:rsid w:val="00896505"/>
    <w:rsid w:val="008A06ED"/>
    <w:rsid w:val="008A0D3F"/>
    <w:rsid w:val="008A0E4A"/>
    <w:rsid w:val="008A131E"/>
    <w:rsid w:val="008A252E"/>
    <w:rsid w:val="008A3AE5"/>
    <w:rsid w:val="008A513F"/>
    <w:rsid w:val="008A5E3F"/>
    <w:rsid w:val="008A6048"/>
    <w:rsid w:val="008A60E0"/>
    <w:rsid w:val="008A666D"/>
    <w:rsid w:val="008A6DA5"/>
    <w:rsid w:val="008A7FDA"/>
    <w:rsid w:val="008A7FE1"/>
    <w:rsid w:val="008B1634"/>
    <w:rsid w:val="008B17A5"/>
    <w:rsid w:val="008C1474"/>
    <w:rsid w:val="008C1B07"/>
    <w:rsid w:val="008C3CC8"/>
    <w:rsid w:val="008C4CA2"/>
    <w:rsid w:val="008C5C83"/>
    <w:rsid w:val="008C6BD2"/>
    <w:rsid w:val="008C6EF7"/>
    <w:rsid w:val="008D1449"/>
    <w:rsid w:val="008D1E57"/>
    <w:rsid w:val="008D2671"/>
    <w:rsid w:val="008D299C"/>
    <w:rsid w:val="008D2D3A"/>
    <w:rsid w:val="008D2D72"/>
    <w:rsid w:val="008D30D9"/>
    <w:rsid w:val="008D48F7"/>
    <w:rsid w:val="008D4C6A"/>
    <w:rsid w:val="008D508B"/>
    <w:rsid w:val="008D5BDB"/>
    <w:rsid w:val="008D7872"/>
    <w:rsid w:val="008D7A18"/>
    <w:rsid w:val="008D7E42"/>
    <w:rsid w:val="008E2030"/>
    <w:rsid w:val="008E2CD9"/>
    <w:rsid w:val="008E3AD0"/>
    <w:rsid w:val="008E4EBA"/>
    <w:rsid w:val="008E57B9"/>
    <w:rsid w:val="008E5864"/>
    <w:rsid w:val="008E7F1C"/>
    <w:rsid w:val="008F05F0"/>
    <w:rsid w:val="008F1FED"/>
    <w:rsid w:val="008F300E"/>
    <w:rsid w:val="008F3267"/>
    <w:rsid w:val="008F3D28"/>
    <w:rsid w:val="008F4352"/>
    <w:rsid w:val="008F5B3B"/>
    <w:rsid w:val="009004AB"/>
    <w:rsid w:val="00901B8B"/>
    <w:rsid w:val="00901F7F"/>
    <w:rsid w:val="00902C00"/>
    <w:rsid w:val="00902D7D"/>
    <w:rsid w:val="00903F80"/>
    <w:rsid w:val="009059EE"/>
    <w:rsid w:val="00905A08"/>
    <w:rsid w:val="00905D8A"/>
    <w:rsid w:val="00906547"/>
    <w:rsid w:val="00907425"/>
    <w:rsid w:val="009078B6"/>
    <w:rsid w:val="00907B5D"/>
    <w:rsid w:val="00907BFC"/>
    <w:rsid w:val="00907C65"/>
    <w:rsid w:val="00910BFA"/>
    <w:rsid w:val="009110AA"/>
    <w:rsid w:val="0091346C"/>
    <w:rsid w:val="00914863"/>
    <w:rsid w:val="0091615F"/>
    <w:rsid w:val="00923B35"/>
    <w:rsid w:val="00923B46"/>
    <w:rsid w:val="00923B93"/>
    <w:rsid w:val="009241C2"/>
    <w:rsid w:val="00925152"/>
    <w:rsid w:val="0092520A"/>
    <w:rsid w:val="00926A0C"/>
    <w:rsid w:val="00926C92"/>
    <w:rsid w:val="0092730C"/>
    <w:rsid w:val="00930570"/>
    <w:rsid w:val="0093372D"/>
    <w:rsid w:val="009338DA"/>
    <w:rsid w:val="00934FCE"/>
    <w:rsid w:val="0093500D"/>
    <w:rsid w:val="00935721"/>
    <w:rsid w:val="00936734"/>
    <w:rsid w:val="00936FFA"/>
    <w:rsid w:val="00940662"/>
    <w:rsid w:val="00941C49"/>
    <w:rsid w:val="00941D06"/>
    <w:rsid w:val="00941F88"/>
    <w:rsid w:val="00943447"/>
    <w:rsid w:val="00943D9E"/>
    <w:rsid w:val="00945501"/>
    <w:rsid w:val="009456BE"/>
    <w:rsid w:val="00945E9C"/>
    <w:rsid w:val="00946228"/>
    <w:rsid w:val="00946513"/>
    <w:rsid w:val="0094698E"/>
    <w:rsid w:val="00946AEF"/>
    <w:rsid w:val="009472B8"/>
    <w:rsid w:val="00947C85"/>
    <w:rsid w:val="009516D2"/>
    <w:rsid w:val="00951788"/>
    <w:rsid w:val="0095437A"/>
    <w:rsid w:val="00954B3D"/>
    <w:rsid w:val="00955DEF"/>
    <w:rsid w:val="0095713E"/>
    <w:rsid w:val="00957290"/>
    <w:rsid w:val="009574CD"/>
    <w:rsid w:val="00960D5C"/>
    <w:rsid w:val="00961928"/>
    <w:rsid w:val="0096335A"/>
    <w:rsid w:val="00964FBE"/>
    <w:rsid w:val="00965A05"/>
    <w:rsid w:val="00966275"/>
    <w:rsid w:val="00966EA3"/>
    <w:rsid w:val="00971176"/>
    <w:rsid w:val="00972B6E"/>
    <w:rsid w:val="00973492"/>
    <w:rsid w:val="009746AE"/>
    <w:rsid w:val="00975596"/>
    <w:rsid w:val="009773FA"/>
    <w:rsid w:val="00977D7B"/>
    <w:rsid w:val="00977F19"/>
    <w:rsid w:val="00980FBC"/>
    <w:rsid w:val="009833E1"/>
    <w:rsid w:val="009845DE"/>
    <w:rsid w:val="00985143"/>
    <w:rsid w:val="009905B1"/>
    <w:rsid w:val="00991A9C"/>
    <w:rsid w:val="009925E1"/>
    <w:rsid w:val="00993441"/>
    <w:rsid w:val="00993445"/>
    <w:rsid w:val="009938AF"/>
    <w:rsid w:val="009946F2"/>
    <w:rsid w:val="00994A74"/>
    <w:rsid w:val="009955BD"/>
    <w:rsid w:val="0099583B"/>
    <w:rsid w:val="00996883"/>
    <w:rsid w:val="00996F10"/>
    <w:rsid w:val="009971C0"/>
    <w:rsid w:val="009A06F0"/>
    <w:rsid w:val="009A0CC7"/>
    <w:rsid w:val="009A120F"/>
    <w:rsid w:val="009A253B"/>
    <w:rsid w:val="009A42FB"/>
    <w:rsid w:val="009A4992"/>
    <w:rsid w:val="009A50DE"/>
    <w:rsid w:val="009B12CA"/>
    <w:rsid w:val="009B2537"/>
    <w:rsid w:val="009B2B4B"/>
    <w:rsid w:val="009B2E2B"/>
    <w:rsid w:val="009B339E"/>
    <w:rsid w:val="009B4305"/>
    <w:rsid w:val="009B55DA"/>
    <w:rsid w:val="009B5D7D"/>
    <w:rsid w:val="009B6CBE"/>
    <w:rsid w:val="009C03EA"/>
    <w:rsid w:val="009C08D1"/>
    <w:rsid w:val="009C132C"/>
    <w:rsid w:val="009C1720"/>
    <w:rsid w:val="009C1D3E"/>
    <w:rsid w:val="009C1E6A"/>
    <w:rsid w:val="009C3B14"/>
    <w:rsid w:val="009C3D67"/>
    <w:rsid w:val="009C45DB"/>
    <w:rsid w:val="009C609E"/>
    <w:rsid w:val="009C7C63"/>
    <w:rsid w:val="009D063D"/>
    <w:rsid w:val="009D0A6B"/>
    <w:rsid w:val="009D15C3"/>
    <w:rsid w:val="009D17EE"/>
    <w:rsid w:val="009D2CC0"/>
    <w:rsid w:val="009D38F6"/>
    <w:rsid w:val="009D3E97"/>
    <w:rsid w:val="009D3ED4"/>
    <w:rsid w:val="009D489D"/>
    <w:rsid w:val="009D4E4D"/>
    <w:rsid w:val="009D5876"/>
    <w:rsid w:val="009D75F5"/>
    <w:rsid w:val="009E0B2F"/>
    <w:rsid w:val="009E0BC8"/>
    <w:rsid w:val="009E3F38"/>
    <w:rsid w:val="009E5B54"/>
    <w:rsid w:val="009F109A"/>
    <w:rsid w:val="009F1CDB"/>
    <w:rsid w:val="009F2960"/>
    <w:rsid w:val="009F2C88"/>
    <w:rsid w:val="009F2F07"/>
    <w:rsid w:val="00A00535"/>
    <w:rsid w:val="00A00566"/>
    <w:rsid w:val="00A02716"/>
    <w:rsid w:val="00A03C13"/>
    <w:rsid w:val="00A04385"/>
    <w:rsid w:val="00A0519C"/>
    <w:rsid w:val="00A05D02"/>
    <w:rsid w:val="00A064CD"/>
    <w:rsid w:val="00A0670A"/>
    <w:rsid w:val="00A06DCB"/>
    <w:rsid w:val="00A1226E"/>
    <w:rsid w:val="00A12DD8"/>
    <w:rsid w:val="00A13F95"/>
    <w:rsid w:val="00A1400A"/>
    <w:rsid w:val="00A15057"/>
    <w:rsid w:val="00A15533"/>
    <w:rsid w:val="00A1742A"/>
    <w:rsid w:val="00A1793F"/>
    <w:rsid w:val="00A17979"/>
    <w:rsid w:val="00A17C54"/>
    <w:rsid w:val="00A20DAB"/>
    <w:rsid w:val="00A21B02"/>
    <w:rsid w:val="00A220AE"/>
    <w:rsid w:val="00A22175"/>
    <w:rsid w:val="00A2258A"/>
    <w:rsid w:val="00A22F32"/>
    <w:rsid w:val="00A240A2"/>
    <w:rsid w:val="00A2507B"/>
    <w:rsid w:val="00A25345"/>
    <w:rsid w:val="00A254E4"/>
    <w:rsid w:val="00A2579A"/>
    <w:rsid w:val="00A2609E"/>
    <w:rsid w:val="00A2683A"/>
    <w:rsid w:val="00A26D57"/>
    <w:rsid w:val="00A31AD3"/>
    <w:rsid w:val="00A31F46"/>
    <w:rsid w:val="00A3228C"/>
    <w:rsid w:val="00A335D1"/>
    <w:rsid w:val="00A33F7E"/>
    <w:rsid w:val="00A35852"/>
    <w:rsid w:val="00A35AA7"/>
    <w:rsid w:val="00A35CA5"/>
    <w:rsid w:val="00A363F1"/>
    <w:rsid w:val="00A37172"/>
    <w:rsid w:val="00A41204"/>
    <w:rsid w:val="00A4218C"/>
    <w:rsid w:val="00A4419F"/>
    <w:rsid w:val="00A44212"/>
    <w:rsid w:val="00A45007"/>
    <w:rsid w:val="00A455F0"/>
    <w:rsid w:val="00A50F61"/>
    <w:rsid w:val="00A514C3"/>
    <w:rsid w:val="00A5177E"/>
    <w:rsid w:val="00A536B5"/>
    <w:rsid w:val="00A53AE4"/>
    <w:rsid w:val="00A53BA8"/>
    <w:rsid w:val="00A55E71"/>
    <w:rsid w:val="00A569F4"/>
    <w:rsid w:val="00A573AB"/>
    <w:rsid w:val="00A576DD"/>
    <w:rsid w:val="00A578CF"/>
    <w:rsid w:val="00A60E31"/>
    <w:rsid w:val="00A617B6"/>
    <w:rsid w:val="00A63A5E"/>
    <w:rsid w:val="00A64127"/>
    <w:rsid w:val="00A64FC0"/>
    <w:rsid w:val="00A653A4"/>
    <w:rsid w:val="00A6583C"/>
    <w:rsid w:val="00A668B9"/>
    <w:rsid w:val="00A6771B"/>
    <w:rsid w:val="00A67E04"/>
    <w:rsid w:val="00A67EA2"/>
    <w:rsid w:val="00A700C6"/>
    <w:rsid w:val="00A70635"/>
    <w:rsid w:val="00A70ACA"/>
    <w:rsid w:val="00A70C45"/>
    <w:rsid w:val="00A70EB8"/>
    <w:rsid w:val="00A70F63"/>
    <w:rsid w:val="00A70F98"/>
    <w:rsid w:val="00A713AA"/>
    <w:rsid w:val="00A72475"/>
    <w:rsid w:val="00A749E7"/>
    <w:rsid w:val="00A81AAE"/>
    <w:rsid w:val="00A81E48"/>
    <w:rsid w:val="00A82E94"/>
    <w:rsid w:val="00A82F84"/>
    <w:rsid w:val="00A8305E"/>
    <w:rsid w:val="00A836E2"/>
    <w:rsid w:val="00A84755"/>
    <w:rsid w:val="00A84E2F"/>
    <w:rsid w:val="00A85338"/>
    <w:rsid w:val="00A8601B"/>
    <w:rsid w:val="00A87416"/>
    <w:rsid w:val="00A911A6"/>
    <w:rsid w:val="00A92E7A"/>
    <w:rsid w:val="00A92ECB"/>
    <w:rsid w:val="00A93B1B"/>
    <w:rsid w:val="00A955C4"/>
    <w:rsid w:val="00A95B5F"/>
    <w:rsid w:val="00A96980"/>
    <w:rsid w:val="00A9752E"/>
    <w:rsid w:val="00A9798E"/>
    <w:rsid w:val="00A97B35"/>
    <w:rsid w:val="00AA0BB8"/>
    <w:rsid w:val="00AA2BA4"/>
    <w:rsid w:val="00AA2D81"/>
    <w:rsid w:val="00AA3887"/>
    <w:rsid w:val="00AA3954"/>
    <w:rsid w:val="00AA52B3"/>
    <w:rsid w:val="00AA6C08"/>
    <w:rsid w:val="00AB21A6"/>
    <w:rsid w:val="00AB225C"/>
    <w:rsid w:val="00AB35F8"/>
    <w:rsid w:val="00AB39ED"/>
    <w:rsid w:val="00AB3D51"/>
    <w:rsid w:val="00AB4B2D"/>
    <w:rsid w:val="00AB522A"/>
    <w:rsid w:val="00AB5F75"/>
    <w:rsid w:val="00AB6DF7"/>
    <w:rsid w:val="00AC1391"/>
    <w:rsid w:val="00AC1745"/>
    <w:rsid w:val="00AC20D4"/>
    <w:rsid w:val="00AC24A2"/>
    <w:rsid w:val="00AC6C19"/>
    <w:rsid w:val="00AD1BB2"/>
    <w:rsid w:val="00AD28F9"/>
    <w:rsid w:val="00AD29E3"/>
    <w:rsid w:val="00AD338A"/>
    <w:rsid w:val="00AD3F31"/>
    <w:rsid w:val="00AD4DE4"/>
    <w:rsid w:val="00AE0DD7"/>
    <w:rsid w:val="00AE2760"/>
    <w:rsid w:val="00AE4BD0"/>
    <w:rsid w:val="00AE5E6F"/>
    <w:rsid w:val="00AE633E"/>
    <w:rsid w:val="00AF12BB"/>
    <w:rsid w:val="00AF2363"/>
    <w:rsid w:val="00AF479D"/>
    <w:rsid w:val="00AF49AC"/>
    <w:rsid w:val="00AF53B5"/>
    <w:rsid w:val="00AF78C1"/>
    <w:rsid w:val="00AF7F55"/>
    <w:rsid w:val="00B01932"/>
    <w:rsid w:val="00B01D6F"/>
    <w:rsid w:val="00B02234"/>
    <w:rsid w:val="00B03923"/>
    <w:rsid w:val="00B041F7"/>
    <w:rsid w:val="00B050AA"/>
    <w:rsid w:val="00B07AF7"/>
    <w:rsid w:val="00B07E5F"/>
    <w:rsid w:val="00B103BE"/>
    <w:rsid w:val="00B10409"/>
    <w:rsid w:val="00B10B7C"/>
    <w:rsid w:val="00B115DB"/>
    <w:rsid w:val="00B11635"/>
    <w:rsid w:val="00B116DA"/>
    <w:rsid w:val="00B13824"/>
    <w:rsid w:val="00B14CEF"/>
    <w:rsid w:val="00B17890"/>
    <w:rsid w:val="00B17C6E"/>
    <w:rsid w:val="00B17CD8"/>
    <w:rsid w:val="00B20755"/>
    <w:rsid w:val="00B21187"/>
    <w:rsid w:val="00B22583"/>
    <w:rsid w:val="00B23BE5"/>
    <w:rsid w:val="00B2668E"/>
    <w:rsid w:val="00B307C4"/>
    <w:rsid w:val="00B31019"/>
    <w:rsid w:val="00B31BD8"/>
    <w:rsid w:val="00B31FE8"/>
    <w:rsid w:val="00B349D3"/>
    <w:rsid w:val="00B34B52"/>
    <w:rsid w:val="00B350BF"/>
    <w:rsid w:val="00B352D3"/>
    <w:rsid w:val="00B37266"/>
    <w:rsid w:val="00B41622"/>
    <w:rsid w:val="00B41919"/>
    <w:rsid w:val="00B42391"/>
    <w:rsid w:val="00B42ACD"/>
    <w:rsid w:val="00B43837"/>
    <w:rsid w:val="00B44BB6"/>
    <w:rsid w:val="00B4510F"/>
    <w:rsid w:val="00B45560"/>
    <w:rsid w:val="00B4669F"/>
    <w:rsid w:val="00B46A66"/>
    <w:rsid w:val="00B46EC1"/>
    <w:rsid w:val="00B47200"/>
    <w:rsid w:val="00B478DF"/>
    <w:rsid w:val="00B47CD1"/>
    <w:rsid w:val="00B524D1"/>
    <w:rsid w:val="00B5545C"/>
    <w:rsid w:val="00B55C87"/>
    <w:rsid w:val="00B562E2"/>
    <w:rsid w:val="00B56535"/>
    <w:rsid w:val="00B56B06"/>
    <w:rsid w:val="00B60879"/>
    <w:rsid w:val="00B60B62"/>
    <w:rsid w:val="00B61B62"/>
    <w:rsid w:val="00B628BD"/>
    <w:rsid w:val="00B629C6"/>
    <w:rsid w:val="00B63987"/>
    <w:rsid w:val="00B65714"/>
    <w:rsid w:val="00B6634D"/>
    <w:rsid w:val="00B66589"/>
    <w:rsid w:val="00B703B6"/>
    <w:rsid w:val="00B70605"/>
    <w:rsid w:val="00B70758"/>
    <w:rsid w:val="00B713DE"/>
    <w:rsid w:val="00B74D4E"/>
    <w:rsid w:val="00B761E8"/>
    <w:rsid w:val="00B76540"/>
    <w:rsid w:val="00B778BD"/>
    <w:rsid w:val="00B8165D"/>
    <w:rsid w:val="00B824AF"/>
    <w:rsid w:val="00B82BA2"/>
    <w:rsid w:val="00B8310E"/>
    <w:rsid w:val="00B84D06"/>
    <w:rsid w:val="00B84F96"/>
    <w:rsid w:val="00B852AD"/>
    <w:rsid w:val="00B86973"/>
    <w:rsid w:val="00B90863"/>
    <w:rsid w:val="00B915DE"/>
    <w:rsid w:val="00B920B8"/>
    <w:rsid w:val="00B92D17"/>
    <w:rsid w:val="00B93686"/>
    <w:rsid w:val="00B93BDD"/>
    <w:rsid w:val="00B94269"/>
    <w:rsid w:val="00B96F7C"/>
    <w:rsid w:val="00BA0A76"/>
    <w:rsid w:val="00BA0C8E"/>
    <w:rsid w:val="00BA1518"/>
    <w:rsid w:val="00BA160C"/>
    <w:rsid w:val="00BA1BEC"/>
    <w:rsid w:val="00BA22B1"/>
    <w:rsid w:val="00BA2E40"/>
    <w:rsid w:val="00BA31C3"/>
    <w:rsid w:val="00BA3729"/>
    <w:rsid w:val="00BA595F"/>
    <w:rsid w:val="00BA7475"/>
    <w:rsid w:val="00BA7EEA"/>
    <w:rsid w:val="00BB1FC2"/>
    <w:rsid w:val="00BB39A0"/>
    <w:rsid w:val="00BB3C69"/>
    <w:rsid w:val="00BB475D"/>
    <w:rsid w:val="00BB4FEA"/>
    <w:rsid w:val="00BB5051"/>
    <w:rsid w:val="00BB5084"/>
    <w:rsid w:val="00BB6210"/>
    <w:rsid w:val="00BC2667"/>
    <w:rsid w:val="00BC4538"/>
    <w:rsid w:val="00BC5D35"/>
    <w:rsid w:val="00BC7F1A"/>
    <w:rsid w:val="00BD1803"/>
    <w:rsid w:val="00BD33B3"/>
    <w:rsid w:val="00BD3B8C"/>
    <w:rsid w:val="00BD3F9D"/>
    <w:rsid w:val="00BD5A47"/>
    <w:rsid w:val="00BD5C08"/>
    <w:rsid w:val="00BD6561"/>
    <w:rsid w:val="00BE0A58"/>
    <w:rsid w:val="00BE0D57"/>
    <w:rsid w:val="00BE1890"/>
    <w:rsid w:val="00BE23A9"/>
    <w:rsid w:val="00BE2B9B"/>
    <w:rsid w:val="00BE7AD6"/>
    <w:rsid w:val="00BF105D"/>
    <w:rsid w:val="00BF1322"/>
    <w:rsid w:val="00BF1A54"/>
    <w:rsid w:val="00BF3170"/>
    <w:rsid w:val="00BF349C"/>
    <w:rsid w:val="00BF3975"/>
    <w:rsid w:val="00BF537B"/>
    <w:rsid w:val="00BF5D36"/>
    <w:rsid w:val="00BF6BB6"/>
    <w:rsid w:val="00BF6E49"/>
    <w:rsid w:val="00BF7318"/>
    <w:rsid w:val="00BF7A10"/>
    <w:rsid w:val="00C01063"/>
    <w:rsid w:val="00C01417"/>
    <w:rsid w:val="00C01768"/>
    <w:rsid w:val="00C0249A"/>
    <w:rsid w:val="00C05993"/>
    <w:rsid w:val="00C05FA0"/>
    <w:rsid w:val="00C10E6A"/>
    <w:rsid w:val="00C10F4B"/>
    <w:rsid w:val="00C12143"/>
    <w:rsid w:val="00C12A1D"/>
    <w:rsid w:val="00C13029"/>
    <w:rsid w:val="00C13A68"/>
    <w:rsid w:val="00C166A5"/>
    <w:rsid w:val="00C16B8E"/>
    <w:rsid w:val="00C17D55"/>
    <w:rsid w:val="00C20112"/>
    <w:rsid w:val="00C20F52"/>
    <w:rsid w:val="00C227B2"/>
    <w:rsid w:val="00C22BDA"/>
    <w:rsid w:val="00C22DEA"/>
    <w:rsid w:val="00C23048"/>
    <w:rsid w:val="00C255AB"/>
    <w:rsid w:val="00C2603B"/>
    <w:rsid w:val="00C27A34"/>
    <w:rsid w:val="00C305B2"/>
    <w:rsid w:val="00C30CA1"/>
    <w:rsid w:val="00C32148"/>
    <w:rsid w:val="00C337E9"/>
    <w:rsid w:val="00C33B92"/>
    <w:rsid w:val="00C34D7C"/>
    <w:rsid w:val="00C35371"/>
    <w:rsid w:val="00C35757"/>
    <w:rsid w:val="00C36365"/>
    <w:rsid w:val="00C36860"/>
    <w:rsid w:val="00C40271"/>
    <w:rsid w:val="00C4365B"/>
    <w:rsid w:val="00C44547"/>
    <w:rsid w:val="00C44AC7"/>
    <w:rsid w:val="00C46075"/>
    <w:rsid w:val="00C4653A"/>
    <w:rsid w:val="00C46A74"/>
    <w:rsid w:val="00C46FF5"/>
    <w:rsid w:val="00C5023D"/>
    <w:rsid w:val="00C5081C"/>
    <w:rsid w:val="00C50B06"/>
    <w:rsid w:val="00C51B90"/>
    <w:rsid w:val="00C51FA9"/>
    <w:rsid w:val="00C52059"/>
    <w:rsid w:val="00C5263E"/>
    <w:rsid w:val="00C52FCF"/>
    <w:rsid w:val="00C5505F"/>
    <w:rsid w:val="00C55C21"/>
    <w:rsid w:val="00C55DCC"/>
    <w:rsid w:val="00C60524"/>
    <w:rsid w:val="00C61403"/>
    <w:rsid w:val="00C6333B"/>
    <w:rsid w:val="00C6352E"/>
    <w:rsid w:val="00C63DFC"/>
    <w:rsid w:val="00C65726"/>
    <w:rsid w:val="00C66431"/>
    <w:rsid w:val="00C7126F"/>
    <w:rsid w:val="00C718A8"/>
    <w:rsid w:val="00C71FB5"/>
    <w:rsid w:val="00C72670"/>
    <w:rsid w:val="00C72E98"/>
    <w:rsid w:val="00C74835"/>
    <w:rsid w:val="00C75BB6"/>
    <w:rsid w:val="00C81418"/>
    <w:rsid w:val="00C81926"/>
    <w:rsid w:val="00C819E7"/>
    <w:rsid w:val="00C81C12"/>
    <w:rsid w:val="00C82025"/>
    <w:rsid w:val="00C82328"/>
    <w:rsid w:val="00C825CF"/>
    <w:rsid w:val="00C827B5"/>
    <w:rsid w:val="00C82ADD"/>
    <w:rsid w:val="00C82E03"/>
    <w:rsid w:val="00C84882"/>
    <w:rsid w:val="00C84DAA"/>
    <w:rsid w:val="00C84EB7"/>
    <w:rsid w:val="00C86F8C"/>
    <w:rsid w:val="00C87082"/>
    <w:rsid w:val="00C915F4"/>
    <w:rsid w:val="00C9337F"/>
    <w:rsid w:val="00C9360C"/>
    <w:rsid w:val="00C939B1"/>
    <w:rsid w:val="00C942FE"/>
    <w:rsid w:val="00C97580"/>
    <w:rsid w:val="00C9762C"/>
    <w:rsid w:val="00C97D35"/>
    <w:rsid w:val="00CA00C8"/>
    <w:rsid w:val="00CA0F31"/>
    <w:rsid w:val="00CA1B4F"/>
    <w:rsid w:val="00CA2975"/>
    <w:rsid w:val="00CA3721"/>
    <w:rsid w:val="00CA388F"/>
    <w:rsid w:val="00CA44DC"/>
    <w:rsid w:val="00CA4583"/>
    <w:rsid w:val="00CA4690"/>
    <w:rsid w:val="00CA490C"/>
    <w:rsid w:val="00CA7C09"/>
    <w:rsid w:val="00CB0085"/>
    <w:rsid w:val="00CB0408"/>
    <w:rsid w:val="00CB0443"/>
    <w:rsid w:val="00CB1505"/>
    <w:rsid w:val="00CB2A53"/>
    <w:rsid w:val="00CB2D31"/>
    <w:rsid w:val="00CB2F84"/>
    <w:rsid w:val="00CB323F"/>
    <w:rsid w:val="00CB3B8A"/>
    <w:rsid w:val="00CB400D"/>
    <w:rsid w:val="00CB4DB0"/>
    <w:rsid w:val="00CB584A"/>
    <w:rsid w:val="00CB6C62"/>
    <w:rsid w:val="00CB6F5B"/>
    <w:rsid w:val="00CB74CD"/>
    <w:rsid w:val="00CC0DF3"/>
    <w:rsid w:val="00CC1A58"/>
    <w:rsid w:val="00CC2476"/>
    <w:rsid w:val="00CC26D1"/>
    <w:rsid w:val="00CC2DD1"/>
    <w:rsid w:val="00CC47E2"/>
    <w:rsid w:val="00CC63AF"/>
    <w:rsid w:val="00CC6E2C"/>
    <w:rsid w:val="00CC73AF"/>
    <w:rsid w:val="00CC7CDB"/>
    <w:rsid w:val="00CD00D1"/>
    <w:rsid w:val="00CD1A23"/>
    <w:rsid w:val="00CD4B38"/>
    <w:rsid w:val="00CD5152"/>
    <w:rsid w:val="00CD53BB"/>
    <w:rsid w:val="00CD5E27"/>
    <w:rsid w:val="00CD6437"/>
    <w:rsid w:val="00CD6746"/>
    <w:rsid w:val="00CD7308"/>
    <w:rsid w:val="00CD7476"/>
    <w:rsid w:val="00CE09CF"/>
    <w:rsid w:val="00CE192E"/>
    <w:rsid w:val="00CE1B71"/>
    <w:rsid w:val="00CE1D29"/>
    <w:rsid w:val="00CE281A"/>
    <w:rsid w:val="00CE38B5"/>
    <w:rsid w:val="00CE44D1"/>
    <w:rsid w:val="00CE521E"/>
    <w:rsid w:val="00CE6406"/>
    <w:rsid w:val="00CE67B0"/>
    <w:rsid w:val="00CE6C84"/>
    <w:rsid w:val="00CE6DD2"/>
    <w:rsid w:val="00CE6FED"/>
    <w:rsid w:val="00CF0656"/>
    <w:rsid w:val="00CF2F38"/>
    <w:rsid w:val="00CF32BF"/>
    <w:rsid w:val="00CF4123"/>
    <w:rsid w:val="00CF4622"/>
    <w:rsid w:val="00CF481E"/>
    <w:rsid w:val="00CF524B"/>
    <w:rsid w:val="00CF612D"/>
    <w:rsid w:val="00CF7A78"/>
    <w:rsid w:val="00D00C0F"/>
    <w:rsid w:val="00D00F48"/>
    <w:rsid w:val="00D019B8"/>
    <w:rsid w:val="00D01ED2"/>
    <w:rsid w:val="00D0202C"/>
    <w:rsid w:val="00D03B94"/>
    <w:rsid w:val="00D04A0A"/>
    <w:rsid w:val="00D05B0F"/>
    <w:rsid w:val="00D06920"/>
    <w:rsid w:val="00D07BF7"/>
    <w:rsid w:val="00D07D5C"/>
    <w:rsid w:val="00D1033B"/>
    <w:rsid w:val="00D157C6"/>
    <w:rsid w:val="00D20B2F"/>
    <w:rsid w:val="00D2174B"/>
    <w:rsid w:val="00D25931"/>
    <w:rsid w:val="00D27728"/>
    <w:rsid w:val="00D3370B"/>
    <w:rsid w:val="00D3386D"/>
    <w:rsid w:val="00D34509"/>
    <w:rsid w:val="00D34922"/>
    <w:rsid w:val="00D349AF"/>
    <w:rsid w:val="00D34CA9"/>
    <w:rsid w:val="00D35C74"/>
    <w:rsid w:val="00D3686B"/>
    <w:rsid w:val="00D402D4"/>
    <w:rsid w:val="00D42465"/>
    <w:rsid w:val="00D43F27"/>
    <w:rsid w:val="00D44640"/>
    <w:rsid w:val="00D44BFF"/>
    <w:rsid w:val="00D461BA"/>
    <w:rsid w:val="00D463BB"/>
    <w:rsid w:val="00D46843"/>
    <w:rsid w:val="00D50970"/>
    <w:rsid w:val="00D50F8D"/>
    <w:rsid w:val="00D51C0F"/>
    <w:rsid w:val="00D5331E"/>
    <w:rsid w:val="00D5559D"/>
    <w:rsid w:val="00D55D0D"/>
    <w:rsid w:val="00D57675"/>
    <w:rsid w:val="00D61270"/>
    <w:rsid w:val="00D61D82"/>
    <w:rsid w:val="00D625CD"/>
    <w:rsid w:val="00D6287D"/>
    <w:rsid w:val="00D648E3"/>
    <w:rsid w:val="00D64BB2"/>
    <w:rsid w:val="00D72C72"/>
    <w:rsid w:val="00D72E02"/>
    <w:rsid w:val="00D736B4"/>
    <w:rsid w:val="00D74219"/>
    <w:rsid w:val="00D74B24"/>
    <w:rsid w:val="00D75A20"/>
    <w:rsid w:val="00D76AA3"/>
    <w:rsid w:val="00D76D98"/>
    <w:rsid w:val="00D80655"/>
    <w:rsid w:val="00D8173D"/>
    <w:rsid w:val="00D821CC"/>
    <w:rsid w:val="00D82827"/>
    <w:rsid w:val="00D828E8"/>
    <w:rsid w:val="00D82A1D"/>
    <w:rsid w:val="00D83F8B"/>
    <w:rsid w:val="00D8438E"/>
    <w:rsid w:val="00D8480C"/>
    <w:rsid w:val="00D86EE9"/>
    <w:rsid w:val="00D90AE7"/>
    <w:rsid w:val="00D919B4"/>
    <w:rsid w:val="00D94BCE"/>
    <w:rsid w:val="00D95DE4"/>
    <w:rsid w:val="00D97617"/>
    <w:rsid w:val="00DA021A"/>
    <w:rsid w:val="00DA61FC"/>
    <w:rsid w:val="00DB0066"/>
    <w:rsid w:val="00DB0D77"/>
    <w:rsid w:val="00DB1237"/>
    <w:rsid w:val="00DB1502"/>
    <w:rsid w:val="00DB51CE"/>
    <w:rsid w:val="00DB5E6D"/>
    <w:rsid w:val="00DB5FF8"/>
    <w:rsid w:val="00DB75A2"/>
    <w:rsid w:val="00DC06F6"/>
    <w:rsid w:val="00DC0709"/>
    <w:rsid w:val="00DC07BE"/>
    <w:rsid w:val="00DC0DEA"/>
    <w:rsid w:val="00DC283A"/>
    <w:rsid w:val="00DC2AD2"/>
    <w:rsid w:val="00DC32FA"/>
    <w:rsid w:val="00DC5AE8"/>
    <w:rsid w:val="00DC619C"/>
    <w:rsid w:val="00DC6957"/>
    <w:rsid w:val="00DD1467"/>
    <w:rsid w:val="00DD3473"/>
    <w:rsid w:val="00DD3F48"/>
    <w:rsid w:val="00DD4877"/>
    <w:rsid w:val="00DD4E64"/>
    <w:rsid w:val="00DD5B29"/>
    <w:rsid w:val="00DD6E66"/>
    <w:rsid w:val="00DE059D"/>
    <w:rsid w:val="00DE1E02"/>
    <w:rsid w:val="00DE50F9"/>
    <w:rsid w:val="00DE5D29"/>
    <w:rsid w:val="00DE6151"/>
    <w:rsid w:val="00DE7D8C"/>
    <w:rsid w:val="00DF0183"/>
    <w:rsid w:val="00DF06CE"/>
    <w:rsid w:val="00DF354C"/>
    <w:rsid w:val="00DF53E8"/>
    <w:rsid w:val="00DF7AFA"/>
    <w:rsid w:val="00E00994"/>
    <w:rsid w:val="00E01D2F"/>
    <w:rsid w:val="00E04C8D"/>
    <w:rsid w:val="00E06E0C"/>
    <w:rsid w:val="00E11782"/>
    <w:rsid w:val="00E11CBF"/>
    <w:rsid w:val="00E1393E"/>
    <w:rsid w:val="00E14184"/>
    <w:rsid w:val="00E14188"/>
    <w:rsid w:val="00E14FE3"/>
    <w:rsid w:val="00E1590D"/>
    <w:rsid w:val="00E201C4"/>
    <w:rsid w:val="00E21102"/>
    <w:rsid w:val="00E23499"/>
    <w:rsid w:val="00E234D6"/>
    <w:rsid w:val="00E243CF"/>
    <w:rsid w:val="00E24E2C"/>
    <w:rsid w:val="00E3248D"/>
    <w:rsid w:val="00E324BE"/>
    <w:rsid w:val="00E33604"/>
    <w:rsid w:val="00E34780"/>
    <w:rsid w:val="00E34F59"/>
    <w:rsid w:val="00E354A5"/>
    <w:rsid w:val="00E3709C"/>
    <w:rsid w:val="00E379DC"/>
    <w:rsid w:val="00E37EEB"/>
    <w:rsid w:val="00E40434"/>
    <w:rsid w:val="00E42091"/>
    <w:rsid w:val="00E42D62"/>
    <w:rsid w:val="00E43DF6"/>
    <w:rsid w:val="00E46486"/>
    <w:rsid w:val="00E4746D"/>
    <w:rsid w:val="00E500DC"/>
    <w:rsid w:val="00E5055B"/>
    <w:rsid w:val="00E5099E"/>
    <w:rsid w:val="00E53352"/>
    <w:rsid w:val="00E53528"/>
    <w:rsid w:val="00E54F37"/>
    <w:rsid w:val="00E55EB6"/>
    <w:rsid w:val="00E5626F"/>
    <w:rsid w:val="00E57FA9"/>
    <w:rsid w:val="00E619E1"/>
    <w:rsid w:val="00E65DA0"/>
    <w:rsid w:val="00E6688C"/>
    <w:rsid w:val="00E66DB2"/>
    <w:rsid w:val="00E70525"/>
    <w:rsid w:val="00E70CE3"/>
    <w:rsid w:val="00E71070"/>
    <w:rsid w:val="00E735A9"/>
    <w:rsid w:val="00E736D5"/>
    <w:rsid w:val="00E73B8A"/>
    <w:rsid w:val="00E73CEE"/>
    <w:rsid w:val="00E75198"/>
    <w:rsid w:val="00E7553E"/>
    <w:rsid w:val="00E76918"/>
    <w:rsid w:val="00E804F7"/>
    <w:rsid w:val="00E80F5E"/>
    <w:rsid w:val="00E8241F"/>
    <w:rsid w:val="00E84092"/>
    <w:rsid w:val="00E84E93"/>
    <w:rsid w:val="00E857B0"/>
    <w:rsid w:val="00E857BF"/>
    <w:rsid w:val="00E85969"/>
    <w:rsid w:val="00E864C1"/>
    <w:rsid w:val="00E87A1C"/>
    <w:rsid w:val="00E87D7F"/>
    <w:rsid w:val="00E90EDD"/>
    <w:rsid w:val="00E9205E"/>
    <w:rsid w:val="00E9219B"/>
    <w:rsid w:val="00E92C27"/>
    <w:rsid w:val="00E92CA6"/>
    <w:rsid w:val="00E9313E"/>
    <w:rsid w:val="00E93280"/>
    <w:rsid w:val="00E935CA"/>
    <w:rsid w:val="00E93E43"/>
    <w:rsid w:val="00E949BA"/>
    <w:rsid w:val="00E956EA"/>
    <w:rsid w:val="00E95D8E"/>
    <w:rsid w:val="00E96AD8"/>
    <w:rsid w:val="00E97658"/>
    <w:rsid w:val="00EA09AB"/>
    <w:rsid w:val="00EA548D"/>
    <w:rsid w:val="00EA596D"/>
    <w:rsid w:val="00EA5C73"/>
    <w:rsid w:val="00EB1434"/>
    <w:rsid w:val="00EB2641"/>
    <w:rsid w:val="00EB35D2"/>
    <w:rsid w:val="00EB50A1"/>
    <w:rsid w:val="00EB5759"/>
    <w:rsid w:val="00EC24BB"/>
    <w:rsid w:val="00EC36F0"/>
    <w:rsid w:val="00EC460E"/>
    <w:rsid w:val="00EC572C"/>
    <w:rsid w:val="00EC5F72"/>
    <w:rsid w:val="00EC6C5A"/>
    <w:rsid w:val="00EC7DA5"/>
    <w:rsid w:val="00ED378E"/>
    <w:rsid w:val="00ED3C9E"/>
    <w:rsid w:val="00ED3E54"/>
    <w:rsid w:val="00ED4E0B"/>
    <w:rsid w:val="00ED4E8B"/>
    <w:rsid w:val="00ED54D3"/>
    <w:rsid w:val="00ED5A29"/>
    <w:rsid w:val="00ED7FDB"/>
    <w:rsid w:val="00EE0912"/>
    <w:rsid w:val="00EE14EC"/>
    <w:rsid w:val="00EE3E7F"/>
    <w:rsid w:val="00EE4D71"/>
    <w:rsid w:val="00EE52C0"/>
    <w:rsid w:val="00EE5D5A"/>
    <w:rsid w:val="00EE5EE1"/>
    <w:rsid w:val="00EE60D4"/>
    <w:rsid w:val="00EE641A"/>
    <w:rsid w:val="00EE6FE0"/>
    <w:rsid w:val="00EF0353"/>
    <w:rsid w:val="00EF0F8E"/>
    <w:rsid w:val="00EF2BA5"/>
    <w:rsid w:val="00EF3014"/>
    <w:rsid w:val="00EF398D"/>
    <w:rsid w:val="00EF573A"/>
    <w:rsid w:val="00EF5AE6"/>
    <w:rsid w:val="00EF78B6"/>
    <w:rsid w:val="00EF79BB"/>
    <w:rsid w:val="00F00161"/>
    <w:rsid w:val="00F02B94"/>
    <w:rsid w:val="00F02D97"/>
    <w:rsid w:val="00F045C0"/>
    <w:rsid w:val="00F07603"/>
    <w:rsid w:val="00F123A3"/>
    <w:rsid w:val="00F12B30"/>
    <w:rsid w:val="00F16C8A"/>
    <w:rsid w:val="00F17048"/>
    <w:rsid w:val="00F173B7"/>
    <w:rsid w:val="00F20B3D"/>
    <w:rsid w:val="00F20F8D"/>
    <w:rsid w:val="00F210E3"/>
    <w:rsid w:val="00F22408"/>
    <w:rsid w:val="00F22B5C"/>
    <w:rsid w:val="00F26508"/>
    <w:rsid w:val="00F313BB"/>
    <w:rsid w:val="00F315ED"/>
    <w:rsid w:val="00F37ADE"/>
    <w:rsid w:val="00F37DDA"/>
    <w:rsid w:val="00F40F59"/>
    <w:rsid w:val="00F42E54"/>
    <w:rsid w:val="00F42E70"/>
    <w:rsid w:val="00F44A6A"/>
    <w:rsid w:val="00F45326"/>
    <w:rsid w:val="00F4591F"/>
    <w:rsid w:val="00F46C93"/>
    <w:rsid w:val="00F471BB"/>
    <w:rsid w:val="00F47CFB"/>
    <w:rsid w:val="00F50957"/>
    <w:rsid w:val="00F50E9E"/>
    <w:rsid w:val="00F5418B"/>
    <w:rsid w:val="00F54A45"/>
    <w:rsid w:val="00F54EA1"/>
    <w:rsid w:val="00F55499"/>
    <w:rsid w:val="00F55B85"/>
    <w:rsid w:val="00F570CB"/>
    <w:rsid w:val="00F57CF3"/>
    <w:rsid w:val="00F60017"/>
    <w:rsid w:val="00F60AE4"/>
    <w:rsid w:val="00F618EA"/>
    <w:rsid w:val="00F623E1"/>
    <w:rsid w:val="00F633B3"/>
    <w:rsid w:val="00F6465E"/>
    <w:rsid w:val="00F64DBE"/>
    <w:rsid w:val="00F65EEF"/>
    <w:rsid w:val="00F66F90"/>
    <w:rsid w:val="00F70EF8"/>
    <w:rsid w:val="00F72DC8"/>
    <w:rsid w:val="00F72FC1"/>
    <w:rsid w:val="00F745E5"/>
    <w:rsid w:val="00F753BE"/>
    <w:rsid w:val="00F754F8"/>
    <w:rsid w:val="00F82254"/>
    <w:rsid w:val="00F8249D"/>
    <w:rsid w:val="00F8265B"/>
    <w:rsid w:val="00F836F2"/>
    <w:rsid w:val="00F83EC5"/>
    <w:rsid w:val="00F84299"/>
    <w:rsid w:val="00F842AF"/>
    <w:rsid w:val="00F87049"/>
    <w:rsid w:val="00F905D3"/>
    <w:rsid w:val="00F9098C"/>
    <w:rsid w:val="00F9099A"/>
    <w:rsid w:val="00F94396"/>
    <w:rsid w:val="00F95B2E"/>
    <w:rsid w:val="00F9640A"/>
    <w:rsid w:val="00F9725D"/>
    <w:rsid w:val="00FA012A"/>
    <w:rsid w:val="00FA0304"/>
    <w:rsid w:val="00FA08E8"/>
    <w:rsid w:val="00FA1617"/>
    <w:rsid w:val="00FA19F1"/>
    <w:rsid w:val="00FA1F7A"/>
    <w:rsid w:val="00FA2449"/>
    <w:rsid w:val="00FA4DCA"/>
    <w:rsid w:val="00FA562B"/>
    <w:rsid w:val="00FA5865"/>
    <w:rsid w:val="00FA61A0"/>
    <w:rsid w:val="00FA6234"/>
    <w:rsid w:val="00FA6E33"/>
    <w:rsid w:val="00FA743C"/>
    <w:rsid w:val="00FB0410"/>
    <w:rsid w:val="00FB04F7"/>
    <w:rsid w:val="00FB1AB4"/>
    <w:rsid w:val="00FB2A4B"/>
    <w:rsid w:val="00FB6A0A"/>
    <w:rsid w:val="00FB753A"/>
    <w:rsid w:val="00FC0275"/>
    <w:rsid w:val="00FC0433"/>
    <w:rsid w:val="00FC083B"/>
    <w:rsid w:val="00FC1F21"/>
    <w:rsid w:val="00FC22CA"/>
    <w:rsid w:val="00FC3AE0"/>
    <w:rsid w:val="00FC4F51"/>
    <w:rsid w:val="00FC5637"/>
    <w:rsid w:val="00FC56A6"/>
    <w:rsid w:val="00FC6559"/>
    <w:rsid w:val="00FC69F3"/>
    <w:rsid w:val="00FD06EC"/>
    <w:rsid w:val="00FD123C"/>
    <w:rsid w:val="00FD198D"/>
    <w:rsid w:val="00FD1F01"/>
    <w:rsid w:val="00FD23BA"/>
    <w:rsid w:val="00FD2C2C"/>
    <w:rsid w:val="00FD313C"/>
    <w:rsid w:val="00FD444A"/>
    <w:rsid w:val="00FD4AFD"/>
    <w:rsid w:val="00FD555B"/>
    <w:rsid w:val="00FD64AF"/>
    <w:rsid w:val="00FD6A6D"/>
    <w:rsid w:val="00FD708A"/>
    <w:rsid w:val="00FD7554"/>
    <w:rsid w:val="00FD7BBF"/>
    <w:rsid w:val="00FE0D36"/>
    <w:rsid w:val="00FE13C7"/>
    <w:rsid w:val="00FE2219"/>
    <w:rsid w:val="00FE2422"/>
    <w:rsid w:val="00FE4F6C"/>
    <w:rsid w:val="00FE5B3B"/>
    <w:rsid w:val="00FE63A1"/>
    <w:rsid w:val="00FE6F30"/>
    <w:rsid w:val="00FE7A69"/>
    <w:rsid w:val="00FF074F"/>
    <w:rsid w:val="00FF103B"/>
    <w:rsid w:val="00FF1E4B"/>
    <w:rsid w:val="00FF2771"/>
    <w:rsid w:val="00FF5968"/>
    <w:rsid w:val="00FF6660"/>
    <w:rsid w:val="00FF6DB0"/>
    <w:rsid w:val="07B473CA"/>
    <w:rsid w:val="09BA2E2A"/>
    <w:rsid w:val="0AEE636D"/>
    <w:rsid w:val="108F6CE4"/>
    <w:rsid w:val="113D1230"/>
    <w:rsid w:val="1DE850AD"/>
    <w:rsid w:val="22E0072A"/>
    <w:rsid w:val="23E10EE3"/>
    <w:rsid w:val="24C55963"/>
    <w:rsid w:val="2A272772"/>
    <w:rsid w:val="2B1D1550"/>
    <w:rsid w:val="2E0E2A33"/>
    <w:rsid w:val="2FC25872"/>
    <w:rsid w:val="36573110"/>
    <w:rsid w:val="36FA122C"/>
    <w:rsid w:val="3A36489C"/>
    <w:rsid w:val="3AF863CB"/>
    <w:rsid w:val="4A6722E8"/>
    <w:rsid w:val="4E1D42DF"/>
    <w:rsid w:val="4F11043D"/>
    <w:rsid w:val="585C7E58"/>
    <w:rsid w:val="59607D7E"/>
    <w:rsid w:val="5BB47F50"/>
    <w:rsid w:val="5C2B2F20"/>
    <w:rsid w:val="606912AD"/>
    <w:rsid w:val="70B27A28"/>
    <w:rsid w:val="72F82F7B"/>
    <w:rsid w:val="755B2198"/>
    <w:rsid w:val="79040D78"/>
    <w:rsid w:val="7E6E4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rFonts w:ascii="宋体" w:hAnsi="宋体" w:eastAsia="仿宋_GB2312"/>
      <w:b/>
      <w:sz w:val="28"/>
    </w:rPr>
  </w:style>
  <w:style w:type="paragraph" w:styleId="3">
    <w:name w:val="heading 2"/>
    <w:basedOn w:val="1"/>
    <w:next w:val="1"/>
    <w:qFormat/>
    <w:uiPriority w:val="0"/>
    <w:pPr>
      <w:keepNext/>
      <w:tabs>
        <w:tab w:val="left" w:pos="720"/>
        <w:tab w:val="left" w:pos="3240"/>
        <w:tab w:val="left" w:pos="4500"/>
      </w:tabs>
      <w:spacing w:line="360" w:lineRule="auto"/>
      <w:ind w:left="1"/>
      <w:jc w:val="center"/>
      <w:outlineLvl w:val="1"/>
    </w:pPr>
    <w:rPr>
      <w:b/>
      <w:bCs/>
    </w:rPr>
  </w:style>
  <w:style w:type="paragraph" w:styleId="4">
    <w:name w:val="heading 3"/>
    <w:basedOn w:val="1"/>
    <w:next w:val="5"/>
    <w:qFormat/>
    <w:uiPriority w:val="0"/>
    <w:pPr>
      <w:keepNext/>
      <w:keepLines/>
      <w:spacing w:before="260" w:after="260" w:line="416" w:lineRule="auto"/>
      <w:outlineLvl w:val="2"/>
    </w:pPr>
    <w:rPr>
      <w:b/>
      <w:sz w:val="32"/>
      <w:szCs w:val="20"/>
    </w:rPr>
  </w:style>
  <w:style w:type="paragraph" w:styleId="6">
    <w:name w:val="heading 5"/>
    <w:basedOn w:val="1"/>
    <w:next w:val="1"/>
    <w:qFormat/>
    <w:uiPriority w:val="0"/>
    <w:pPr>
      <w:keepNext/>
      <w:tabs>
        <w:tab w:val="left" w:pos="3240"/>
        <w:tab w:val="left" w:pos="4500"/>
      </w:tabs>
      <w:adjustRightInd w:val="0"/>
      <w:spacing w:line="360" w:lineRule="auto"/>
      <w:ind w:firstLine="1781" w:firstLineChars="845"/>
      <w:textAlignment w:val="baseline"/>
      <w:outlineLvl w:val="4"/>
    </w:pPr>
    <w:rPr>
      <w:b/>
      <w:bCs/>
      <w:kern w:val="0"/>
      <w:szCs w:val="20"/>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5">
    <w:name w:val="Normal Indent"/>
    <w:basedOn w:val="1"/>
    <w:qFormat/>
    <w:uiPriority w:val="99"/>
    <w:pPr>
      <w:ind w:firstLine="420" w:firstLineChars="200"/>
    </w:pPr>
  </w:style>
  <w:style w:type="paragraph" w:styleId="7">
    <w:name w:val="Document Map"/>
    <w:basedOn w:val="1"/>
    <w:semiHidden/>
    <w:qFormat/>
    <w:uiPriority w:val="0"/>
    <w:pPr>
      <w:shd w:val="clear" w:color="auto" w:fill="000080"/>
    </w:pPr>
  </w:style>
  <w:style w:type="paragraph" w:styleId="8">
    <w:name w:val="annotation text"/>
    <w:basedOn w:val="1"/>
    <w:link w:val="37"/>
    <w:qFormat/>
    <w:uiPriority w:val="0"/>
    <w:pPr>
      <w:jc w:val="left"/>
    </w:pPr>
  </w:style>
  <w:style w:type="paragraph" w:styleId="9">
    <w:name w:val="Body Text"/>
    <w:basedOn w:val="1"/>
    <w:qFormat/>
    <w:uiPriority w:val="0"/>
    <w:rPr>
      <w:position w:val="4"/>
      <w:sz w:val="13"/>
    </w:rPr>
  </w:style>
  <w:style w:type="paragraph" w:styleId="10">
    <w:name w:val="Body Text Indent"/>
    <w:basedOn w:val="1"/>
    <w:link w:val="41"/>
    <w:qFormat/>
    <w:uiPriority w:val="0"/>
    <w:pPr>
      <w:framePr w:w="8158" w:h="1996" w:hSpace="180" w:wrap="around" w:vAnchor="text" w:hAnchor="page" w:x="1858" w:y="3"/>
      <w:pBdr>
        <w:top w:val="single" w:color="auto" w:sz="6" w:space="1"/>
        <w:left w:val="single" w:color="auto" w:sz="6" w:space="1"/>
        <w:bottom w:val="single" w:color="auto" w:sz="6" w:space="1"/>
        <w:right w:val="single" w:color="auto" w:sz="6" w:space="1"/>
      </w:pBdr>
      <w:spacing w:line="360" w:lineRule="auto"/>
      <w:ind w:firstLine="600"/>
    </w:pPr>
    <w:rPr>
      <w:rFonts w:eastAsia="楷体_GB2312"/>
      <w:b/>
      <w:bCs/>
      <w:spacing w:val="20"/>
      <w:sz w:val="24"/>
    </w:rPr>
  </w:style>
  <w:style w:type="paragraph" w:styleId="11">
    <w:name w:val="toc 3"/>
    <w:basedOn w:val="1"/>
    <w:next w:val="1"/>
    <w:qFormat/>
    <w:uiPriority w:val="39"/>
    <w:pPr>
      <w:adjustRightInd w:val="0"/>
      <w:spacing w:line="312" w:lineRule="atLeast"/>
      <w:ind w:left="840"/>
      <w:textAlignment w:val="baseline"/>
    </w:pPr>
    <w:rPr>
      <w:kern w:val="0"/>
      <w:szCs w:val="20"/>
    </w:rPr>
  </w:style>
  <w:style w:type="paragraph" w:styleId="12">
    <w:name w:val="Plain Text"/>
    <w:basedOn w:val="1"/>
    <w:link w:val="44"/>
    <w:qFormat/>
    <w:uiPriority w:val="99"/>
    <w:rPr>
      <w:rFonts w:ascii="宋体" w:hAnsi="Courier New" w:cs="Courier New"/>
      <w:szCs w:val="21"/>
    </w:rPr>
  </w:style>
  <w:style w:type="paragraph" w:styleId="13">
    <w:name w:val="Date"/>
    <w:basedOn w:val="1"/>
    <w:next w:val="1"/>
    <w:qFormat/>
    <w:uiPriority w:val="0"/>
    <w:pPr>
      <w:adjustRightInd w:val="0"/>
      <w:spacing w:line="312" w:lineRule="atLeast"/>
      <w:jc w:val="right"/>
      <w:textAlignment w:val="baseline"/>
    </w:pPr>
    <w:rPr>
      <w:kern w:val="0"/>
      <w:sz w:val="18"/>
      <w:szCs w:val="20"/>
    </w:rPr>
  </w:style>
  <w:style w:type="paragraph" w:styleId="14">
    <w:name w:val="Body Text Indent 2"/>
    <w:basedOn w:val="1"/>
    <w:uiPriority w:val="0"/>
    <w:pPr>
      <w:spacing w:line="360" w:lineRule="auto"/>
      <w:ind w:firstLine="480" w:firstLineChars="200"/>
    </w:pPr>
    <w:rPr>
      <w:rFonts w:eastAsia="楷体_GB2312"/>
      <w:sz w:val="24"/>
    </w:rPr>
  </w:style>
  <w:style w:type="paragraph" w:styleId="15">
    <w:name w:val="Balloon Text"/>
    <w:basedOn w:val="1"/>
    <w:link w:val="39"/>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middleDot" w:pos="8177"/>
      </w:tabs>
      <w:adjustRightInd w:val="0"/>
      <w:spacing w:line="480" w:lineRule="auto"/>
      <w:ind w:hanging="105"/>
      <w:textAlignment w:val="baseline"/>
    </w:pPr>
    <w:rPr>
      <w:rFonts w:ascii="楷体_GB2312" w:eastAsia="楷体_GB2312"/>
      <w:b/>
      <w:kern w:val="0"/>
      <w:sz w:val="28"/>
      <w:szCs w:val="20"/>
    </w:rPr>
  </w:style>
  <w:style w:type="paragraph" w:styleId="19">
    <w:name w:val="Body Text Indent 3"/>
    <w:basedOn w:val="1"/>
    <w:link w:val="33"/>
    <w:qFormat/>
    <w:uiPriority w:val="0"/>
    <w:pPr>
      <w:spacing w:line="360" w:lineRule="auto"/>
      <w:ind w:firstLine="636" w:firstLineChars="227"/>
    </w:pPr>
    <w:rPr>
      <w:rFonts w:ascii="华文中宋" w:hAnsi="华文中宋" w:eastAsia="华文中宋"/>
      <w:spacing w:val="20"/>
      <w:sz w:val="24"/>
    </w:rPr>
  </w:style>
  <w:style w:type="paragraph" w:styleId="20">
    <w:name w:val="toc 2"/>
    <w:basedOn w:val="1"/>
    <w:next w:val="1"/>
    <w:qFormat/>
    <w:uiPriority w:val="39"/>
    <w:pPr>
      <w:tabs>
        <w:tab w:val="right" w:leader="middleDot" w:pos="8177"/>
      </w:tabs>
      <w:adjustRightInd w:val="0"/>
      <w:spacing w:line="480" w:lineRule="auto"/>
      <w:ind w:left="420"/>
      <w:textAlignment w:val="baseline"/>
    </w:pPr>
    <w:rPr>
      <w:rFonts w:eastAsia="楷体_GB2312"/>
      <w:spacing w:val="20"/>
      <w:kern w:val="0"/>
      <w:szCs w:val="20"/>
    </w:rPr>
  </w:style>
  <w:style w:type="paragraph" w:styleId="21">
    <w:name w:val="Title"/>
    <w:basedOn w:val="1"/>
    <w:next w:val="1"/>
    <w:link w:val="40"/>
    <w:qFormat/>
    <w:uiPriority w:val="0"/>
    <w:pPr>
      <w:spacing w:before="240" w:after="60"/>
      <w:jc w:val="center"/>
      <w:outlineLvl w:val="0"/>
    </w:pPr>
    <w:rPr>
      <w:rFonts w:eastAsia="黑体" w:asciiTheme="majorHAnsi" w:hAnsiTheme="majorHAnsi" w:cstheme="majorBidi"/>
      <w:b/>
      <w:bCs/>
      <w:sz w:val="44"/>
      <w:szCs w:val="32"/>
    </w:rPr>
  </w:style>
  <w:style w:type="paragraph" w:styleId="22">
    <w:name w:val="Body Text First Indent 2"/>
    <w:basedOn w:val="10"/>
    <w:link w:val="42"/>
    <w:semiHidden/>
    <w:unhideWhenUsed/>
    <w:uiPriority w:val="0"/>
    <w:pPr>
      <w:framePr w:w="0" w:hRule="auto" w:hSpace="0" w:wrap="auto" w:vAnchor="margin" w:hAnchor="text" w:xAlign="left" w:yAlign="inline"/>
      <w:pBdr>
        <w:top w:val="none" w:color="auto" w:sz="0" w:space="0"/>
        <w:left w:val="none" w:color="auto" w:sz="0" w:space="0"/>
        <w:bottom w:val="none" w:color="auto" w:sz="0" w:space="0"/>
        <w:right w:val="none" w:color="auto" w:sz="0" w:space="0"/>
      </w:pBdr>
      <w:spacing w:after="120" w:line="240" w:lineRule="auto"/>
      <w:ind w:left="420" w:leftChars="200" w:firstLine="420" w:firstLineChars="200"/>
    </w:pPr>
    <w:rPr>
      <w:rFonts w:eastAsia="宋体"/>
      <w:b w:val="0"/>
      <w:bCs w:val="0"/>
      <w:spacing w:val="0"/>
      <w:sz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character" w:styleId="28">
    <w:name w:val="FollowedHyperlink"/>
    <w:unhideWhenUsed/>
    <w:uiPriority w:val="99"/>
    <w:rPr>
      <w:color w:val="800080"/>
      <w:u w:val="single"/>
    </w:rPr>
  </w:style>
  <w:style w:type="character" w:styleId="29">
    <w:name w:val="Hyperlink"/>
    <w:basedOn w:val="25"/>
    <w:qFormat/>
    <w:uiPriority w:val="99"/>
    <w:rPr>
      <w:color w:val="0000FF"/>
      <w:u w:val="single"/>
    </w:rPr>
  </w:style>
  <w:style w:type="character" w:styleId="30">
    <w:name w:val="annotation reference"/>
    <w:qFormat/>
    <w:uiPriority w:val="0"/>
    <w:rPr>
      <w:sz w:val="21"/>
      <w:szCs w:val="21"/>
    </w:rPr>
  </w:style>
  <w:style w:type="paragraph" w:customStyle="1" w:styleId="31">
    <w:name w:val="È"/>
    <w:qFormat/>
    <w:uiPriority w:val="0"/>
    <w:pPr>
      <w:overflowPunct w:val="0"/>
      <w:autoSpaceDE w:val="0"/>
      <w:autoSpaceDN w:val="0"/>
      <w:adjustRightInd w:val="0"/>
      <w:textAlignment w:val="baseline"/>
    </w:pPr>
    <w:rPr>
      <w:rFonts w:ascii="Times New Roman" w:hAnsi="Times New Roman" w:eastAsia="宋体" w:cs="Times New Roman"/>
      <w:sz w:val="24"/>
      <w:szCs w:val="24"/>
      <w:lang w:val="en-US" w:eastAsia="zh-CN" w:bidi="ar-SA"/>
    </w:rPr>
  </w:style>
  <w:style w:type="paragraph" w:customStyle="1" w:styleId="32">
    <w:name w:val="Char1"/>
    <w:basedOn w:val="7"/>
    <w:qFormat/>
    <w:uiPriority w:val="0"/>
    <w:rPr>
      <w:rFonts w:ascii="Tahoma" w:hAnsi="Tahoma"/>
      <w:sz w:val="24"/>
    </w:rPr>
  </w:style>
  <w:style w:type="character" w:customStyle="1" w:styleId="33">
    <w:name w:val="正文文本缩进 3 字符"/>
    <w:basedOn w:val="25"/>
    <w:link w:val="19"/>
    <w:qFormat/>
    <w:uiPriority w:val="0"/>
    <w:rPr>
      <w:rFonts w:ascii="华文中宋" w:hAnsi="华文中宋" w:eastAsia="华文中宋"/>
      <w:spacing w:val="20"/>
      <w:kern w:val="2"/>
      <w:sz w:val="24"/>
      <w:szCs w:val="24"/>
    </w:rPr>
  </w:style>
  <w:style w:type="paragraph" w:customStyle="1" w:styleId="34">
    <w:name w:val="正文文字"/>
    <w:basedOn w:val="1"/>
    <w:qFormat/>
    <w:uiPriority w:val="0"/>
    <w:pPr>
      <w:widowControl/>
      <w:spacing w:line="351" w:lineRule="atLeast"/>
      <w:ind w:firstLine="419"/>
      <w:textAlignment w:val="baseline"/>
    </w:pPr>
    <w:rPr>
      <w:color w:val="000000"/>
      <w:kern w:val="0"/>
      <w:sz w:val="12"/>
      <w:szCs w:val="20"/>
      <w:u w:color="000000"/>
    </w:rPr>
  </w:style>
  <w:style w:type="paragraph" w:customStyle="1" w:styleId="35">
    <w:name w:val="缺省文本"/>
    <w:basedOn w:val="1"/>
    <w:qFormat/>
    <w:uiPriority w:val="0"/>
    <w:pPr>
      <w:autoSpaceDE w:val="0"/>
      <w:autoSpaceDN w:val="0"/>
      <w:adjustRightInd w:val="0"/>
      <w:jc w:val="left"/>
    </w:pPr>
    <w:rPr>
      <w:kern w:val="0"/>
      <w:sz w:val="24"/>
    </w:rPr>
  </w:style>
  <w:style w:type="character" w:customStyle="1" w:styleId="36">
    <w:name w:val="页眉 字符"/>
    <w:basedOn w:val="25"/>
    <w:link w:val="17"/>
    <w:qFormat/>
    <w:uiPriority w:val="0"/>
    <w:rPr>
      <w:kern w:val="2"/>
      <w:sz w:val="18"/>
      <w:szCs w:val="18"/>
    </w:rPr>
  </w:style>
  <w:style w:type="character" w:customStyle="1" w:styleId="37">
    <w:name w:val="批注文字 字符"/>
    <w:basedOn w:val="25"/>
    <w:link w:val="8"/>
    <w:qFormat/>
    <w:uiPriority w:val="0"/>
    <w:rPr>
      <w:kern w:val="2"/>
      <w:sz w:val="21"/>
      <w:szCs w:val="24"/>
    </w:rPr>
  </w:style>
  <w:style w:type="character" w:customStyle="1" w:styleId="38">
    <w:name w:val="批注文字 Char1"/>
    <w:basedOn w:val="25"/>
    <w:qFormat/>
    <w:uiPriority w:val="0"/>
    <w:rPr>
      <w:kern w:val="2"/>
      <w:sz w:val="21"/>
      <w:szCs w:val="24"/>
    </w:rPr>
  </w:style>
  <w:style w:type="character" w:customStyle="1" w:styleId="39">
    <w:name w:val="批注框文本 字符"/>
    <w:basedOn w:val="25"/>
    <w:link w:val="15"/>
    <w:qFormat/>
    <w:uiPriority w:val="0"/>
    <w:rPr>
      <w:kern w:val="2"/>
      <w:sz w:val="18"/>
      <w:szCs w:val="18"/>
    </w:rPr>
  </w:style>
  <w:style w:type="character" w:customStyle="1" w:styleId="40">
    <w:name w:val="标题 字符"/>
    <w:basedOn w:val="25"/>
    <w:link w:val="21"/>
    <w:uiPriority w:val="0"/>
    <w:rPr>
      <w:rFonts w:eastAsia="黑体" w:asciiTheme="majorHAnsi" w:hAnsiTheme="majorHAnsi" w:cstheme="majorBidi"/>
      <w:b/>
      <w:bCs/>
      <w:kern w:val="2"/>
      <w:sz w:val="44"/>
      <w:szCs w:val="32"/>
    </w:rPr>
  </w:style>
  <w:style w:type="character" w:customStyle="1" w:styleId="41">
    <w:name w:val="正文文本缩进 字符"/>
    <w:basedOn w:val="25"/>
    <w:link w:val="10"/>
    <w:uiPriority w:val="0"/>
    <w:rPr>
      <w:rFonts w:eastAsia="楷体_GB2312"/>
      <w:b/>
      <w:bCs/>
      <w:spacing w:val="20"/>
      <w:kern w:val="2"/>
      <w:sz w:val="24"/>
      <w:szCs w:val="24"/>
    </w:rPr>
  </w:style>
  <w:style w:type="character" w:customStyle="1" w:styleId="42">
    <w:name w:val="正文文本首行缩进 2 字符"/>
    <w:basedOn w:val="41"/>
    <w:link w:val="22"/>
    <w:semiHidden/>
    <w:uiPriority w:val="0"/>
    <w:rPr>
      <w:rFonts w:eastAsia="楷体_GB2312"/>
      <w:b w:val="0"/>
      <w:bCs w:val="0"/>
      <w:spacing w:val="20"/>
      <w:kern w:val="2"/>
      <w:sz w:val="21"/>
      <w:szCs w:val="24"/>
    </w:rPr>
  </w:style>
  <w:style w:type="paragraph" w:styleId="43">
    <w:name w:val="List Paragraph"/>
    <w:basedOn w:val="1"/>
    <w:qFormat/>
    <w:uiPriority w:val="1"/>
    <w:pPr>
      <w:autoSpaceDE w:val="0"/>
      <w:autoSpaceDN w:val="0"/>
      <w:spacing w:line="468" w:lineRule="exact"/>
      <w:ind w:left="1158" w:hanging="602"/>
      <w:jc w:val="left"/>
    </w:pPr>
    <w:rPr>
      <w:rFonts w:ascii="Noto Sans Mono CJK JP Bold" w:hAnsi="Noto Sans Mono CJK JP Bold" w:eastAsia="Noto Sans Mono CJK JP Bold" w:cs="Noto Sans Mono CJK JP Bold"/>
      <w:kern w:val="0"/>
      <w:sz w:val="22"/>
      <w:szCs w:val="22"/>
    </w:rPr>
  </w:style>
  <w:style w:type="character" w:customStyle="1" w:styleId="44">
    <w:name w:val="纯文本 字符"/>
    <w:link w:val="12"/>
    <w:qFormat/>
    <w:uiPriority w:val="99"/>
    <w:rPr>
      <w:rFonts w:ascii="宋体" w:hAnsi="Courier New" w:cs="Courier New"/>
      <w:kern w:val="2"/>
      <w:sz w:val="21"/>
      <w:szCs w:val="21"/>
    </w:rPr>
  </w:style>
  <w:style w:type="paragraph" w:customStyle="1" w:styleId="45">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color w:val="366091" w:themeColor="accent1" w:themeShade="BF"/>
      <w:kern w:val="0"/>
      <w:sz w:val="32"/>
      <w:szCs w:val="32"/>
    </w:rPr>
  </w:style>
  <w:style w:type="character" w:customStyle="1" w:styleId="46">
    <w:name w:val="纯文本 Char"/>
    <w:uiPriority w:val="99"/>
    <w:rPr>
      <w:rFonts w:ascii="Courier New" w:hAnsi="Courier New"/>
      <w:sz w:val="18"/>
    </w:rPr>
  </w:style>
  <w:style w:type="character" w:styleId="47">
    <w:name w:val="Placeholder Text"/>
    <w:basedOn w:val="25"/>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F7D8EB-3D0E-46ED-BBB5-33709571BFA6}">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20</Pages>
  <Words>9188</Words>
  <Characters>9778</Characters>
  <Lines>81</Lines>
  <Paragraphs>23</Paragraphs>
  <TotalTime>475</TotalTime>
  <ScaleCrop>false</ScaleCrop>
  <LinksUpToDate>false</LinksUpToDate>
  <CharactersWithSpaces>9969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2018-12-09T12:25:00Z</dcterms:created>
  <dc:creator>LEA</dc:creator>
  <cp:lastModifiedBy>魏力</cp:lastModifiedBy>
  <cp:lastPrinted>2019-01-31T03:53:00Z</cp:lastPrinted>
  <dcterms:modified xsi:type="dcterms:W3CDTF">2022-06-15T06:28:37Z</dcterms:modified>
  <dc:title>重庆天鸿会计师事务所</dc:title>
  <cp:revision>183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D8B0F7CCC21943C7B2E60527572C7CD3</vt:lpwstr>
  </property>
</Properties>
</file>