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717" w:beforeLines="230" w:line="360" w:lineRule="auto"/>
        <w:jc w:val="center"/>
        <w:rPr>
          <w:rFonts w:ascii="黑体" w:eastAsia="黑体"/>
          <w:spacing w:val="108"/>
          <w:sz w:val="52"/>
          <w:szCs w:val="52"/>
        </w:rPr>
      </w:pPr>
      <w:r>
        <w:rPr>
          <w:rFonts w:hint="eastAsia" w:ascii="黑体" w:eastAsia="黑体"/>
          <w:sz w:val="52"/>
          <w:szCs w:val="52"/>
        </w:rPr>
        <w:t>涉执房地产处置司法评估报告</w:t>
      </w:r>
    </w:p>
    <w:tbl>
      <w:tblPr>
        <w:tblStyle w:val="15"/>
        <w:tblW w:w="0" w:type="auto"/>
        <w:jc w:val="center"/>
        <w:tblLayout w:type="autofit"/>
        <w:tblCellMar>
          <w:top w:w="0" w:type="dxa"/>
          <w:left w:w="108" w:type="dxa"/>
          <w:bottom w:w="0" w:type="dxa"/>
          <w:right w:w="108" w:type="dxa"/>
        </w:tblCellMar>
      </w:tblPr>
      <w:tblGrid>
        <w:gridCol w:w="4750"/>
      </w:tblGrid>
      <w:tr>
        <w:tblPrEx>
          <w:tblCellMar>
            <w:top w:w="0" w:type="dxa"/>
            <w:left w:w="108" w:type="dxa"/>
            <w:bottom w:w="0" w:type="dxa"/>
            <w:right w:w="108" w:type="dxa"/>
          </w:tblCellMar>
        </w:tblPrEx>
        <w:trPr>
          <w:trHeight w:val="5670" w:hRule="atLeast"/>
          <w:jc w:val="center"/>
        </w:trPr>
        <w:tc>
          <w:tcPr>
            <w:tcW w:w="4536" w:type="dxa"/>
          </w:tcPr>
          <w:p>
            <w:pPr>
              <w:spacing w:line="360" w:lineRule="auto"/>
              <w:jc w:val="center"/>
              <w:rPr>
                <w:rFonts w:ascii="宋体"/>
                <w:b/>
                <w:sz w:val="52"/>
                <w:szCs w:val="52"/>
              </w:rPr>
            </w:pPr>
            <w:bookmarkStart w:id="0" w:name="TPXM0001_OB1"/>
            <w:r>
              <w:pict>
                <v:shape id="_x0000_i1025" o:spt="75" type="#_x0000_t75" style="height:283.75pt;width:226.7pt;" filled="f" o:preferrelative="t" stroked="f" coordsize="21600,21600">
                  <v:path/>
                  <v:fill on="f" focussize="0,0"/>
                  <v:stroke on="f" joinstyle="miter"/>
                  <v:imagedata r:id="rId13" o:title=""/>
                  <o:lock v:ext="edit" aspectratio="t"/>
                  <w10:wrap type="none"/>
                  <w10:anchorlock/>
                </v:shape>
              </w:pict>
            </w:r>
            <w:bookmarkEnd w:id="0"/>
          </w:p>
        </w:tc>
      </w:tr>
    </w:tbl>
    <w:p>
      <w:pPr>
        <w:tabs>
          <w:tab w:val="left" w:pos="9720"/>
        </w:tabs>
        <w:spacing w:line="360" w:lineRule="auto"/>
        <w:ind w:right="29" w:rightChars="14"/>
        <w:rPr>
          <w:rFonts w:ascii="宋体" w:hAnsi="宋体"/>
          <w:bCs/>
          <w:sz w:val="27"/>
          <w:szCs w:val="27"/>
        </w:rPr>
      </w:pPr>
    </w:p>
    <w:tbl>
      <w:tblPr>
        <w:tblStyle w:val="15"/>
        <w:tblW w:w="0" w:type="auto"/>
        <w:jc w:val="center"/>
        <w:tblLayout w:type="fixed"/>
        <w:tblCellMar>
          <w:top w:w="0" w:type="dxa"/>
          <w:left w:w="108" w:type="dxa"/>
          <w:bottom w:w="0" w:type="dxa"/>
          <w:right w:w="108" w:type="dxa"/>
        </w:tblCellMar>
      </w:tblPr>
      <w:tblGrid>
        <w:gridCol w:w="2699"/>
        <w:gridCol w:w="6066"/>
      </w:tblGrid>
      <w:tr>
        <w:tblPrEx>
          <w:tblCellMar>
            <w:top w:w="0" w:type="dxa"/>
            <w:left w:w="108" w:type="dxa"/>
            <w:bottom w:w="0" w:type="dxa"/>
            <w:right w:w="108" w:type="dxa"/>
          </w:tblCellMar>
        </w:tblPrEx>
        <w:trPr>
          <w:jc w:val="center"/>
        </w:trPr>
        <w:tc>
          <w:tcPr>
            <w:tcW w:w="2699" w:type="dxa"/>
          </w:tcPr>
          <w:p>
            <w:pPr>
              <w:spacing w:line="360" w:lineRule="auto"/>
              <w:jc w:val="distribute"/>
              <w:rPr>
                <w:rFonts w:ascii="黑体" w:eastAsia="黑体"/>
                <w:sz w:val="24"/>
              </w:rPr>
            </w:pPr>
            <w:r>
              <w:rPr>
                <w:rFonts w:hint="eastAsia" w:ascii="宋体" w:hAnsi="宋体"/>
                <w:b/>
                <w:sz w:val="24"/>
              </w:rPr>
              <w:t>估价报告编号:</w:t>
            </w:r>
          </w:p>
        </w:tc>
        <w:tc>
          <w:tcPr>
            <w:tcW w:w="6066" w:type="dxa"/>
          </w:tcPr>
          <w:p>
            <w:pPr>
              <w:spacing w:line="360" w:lineRule="auto"/>
              <w:ind w:right="210" w:rightChars="100"/>
              <w:rPr>
                <w:rFonts w:ascii="黑体" w:eastAsia="黑体"/>
                <w:sz w:val="24"/>
              </w:rPr>
            </w:pPr>
            <w:r>
              <w:rPr>
                <w:rFonts w:ascii="宋体" w:hAnsi="宋体"/>
                <w:sz w:val="24"/>
              </w:rPr>
              <w:t>厦均达房估QZ[2022]0257号</w:t>
            </w:r>
          </w:p>
        </w:tc>
      </w:tr>
      <w:tr>
        <w:tblPrEx>
          <w:tblCellMar>
            <w:top w:w="0" w:type="dxa"/>
            <w:left w:w="108" w:type="dxa"/>
            <w:bottom w:w="0" w:type="dxa"/>
            <w:right w:w="108" w:type="dxa"/>
          </w:tblCellMar>
        </w:tblPrEx>
        <w:trPr>
          <w:jc w:val="center"/>
        </w:trPr>
        <w:tc>
          <w:tcPr>
            <w:tcW w:w="2699" w:type="dxa"/>
          </w:tcPr>
          <w:p>
            <w:pPr>
              <w:spacing w:line="360" w:lineRule="auto"/>
              <w:jc w:val="distribute"/>
              <w:rPr>
                <w:rFonts w:ascii="黑体" w:eastAsia="黑体"/>
                <w:sz w:val="24"/>
              </w:rPr>
            </w:pPr>
            <w:r>
              <w:rPr>
                <w:rFonts w:hint="eastAsia" w:ascii="宋体" w:hAnsi="宋体"/>
                <w:b/>
                <w:sz w:val="24"/>
              </w:rPr>
              <w:t>估价项目名称:</w:t>
            </w:r>
          </w:p>
        </w:tc>
        <w:tc>
          <w:tcPr>
            <w:tcW w:w="6066" w:type="dxa"/>
          </w:tcPr>
          <w:p>
            <w:pPr>
              <w:spacing w:line="360" w:lineRule="auto"/>
              <w:ind w:right="29" w:rightChars="14"/>
              <w:rPr>
                <w:rFonts w:ascii="黑体" w:eastAsia="黑体"/>
                <w:sz w:val="24"/>
              </w:rPr>
            </w:pPr>
            <w:r>
              <w:rPr>
                <w:rFonts w:ascii="宋体" w:hAnsi="宋体"/>
                <w:sz w:val="24"/>
              </w:rPr>
              <w:t>惠安县螺城镇新霞企塘花园西侧Ⅵ组团A3#23号储藏间房地产司法拍卖评估</w:t>
            </w:r>
          </w:p>
        </w:tc>
      </w:tr>
      <w:tr>
        <w:tblPrEx>
          <w:tblCellMar>
            <w:top w:w="0" w:type="dxa"/>
            <w:left w:w="108" w:type="dxa"/>
            <w:bottom w:w="0" w:type="dxa"/>
            <w:right w:w="108" w:type="dxa"/>
          </w:tblCellMar>
        </w:tblPrEx>
        <w:trPr>
          <w:jc w:val="center"/>
        </w:trPr>
        <w:tc>
          <w:tcPr>
            <w:tcW w:w="2699" w:type="dxa"/>
          </w:tcPr>
          <w:p>
            <w:pPr>
              <w:spacing w:line="360" w:lineRule="auto"/>
              <w:jc w:val="distribute"/>
              <w:rPr>
                <w:rFonts w:ascii="黑体" w:eastAsia="黑体"/>
                <w:sz w:val="24"/>
              </w:rPr>
            </w:pPr>
            <w:r>
              <w:rPr>
                <w:rFonts w:hint="eastAsia" w:ascii="宋体" w:hAnsi="宋体"/>
                <w:b/>
                <w:sz w:val="24"/>
              </w:rPr>
              <w:t>估价委托人:</w:t>
            </w:r>
          </w:p>
        </w:tc>
        <w:tc>
          <w:tcPr>
            <w:tcW w:w="6066" w:type="dxa"/>
          </w:tcPr>
          <w:p>
            <w:pPr>
              <w:spacing w:line="360" w:lineRule="auto"/>
              <w:rPr>
                <w:rFonts w:ascii="黑体" w:eastAsia="黑体"/>
                <w:sz w:val="24"/>
              </w:rPr>
            </w:pPr>
            <w:r>
              <w:rPr>
                <w:rFonts w:ascii="宋体" w:hAnsi="宋体"/>
                <w:sz w:val="24"/>
              </w:rPr>
              <w:t>厦门市湖里区人民法院</w:t>
            </w:r>
          </w:p>
        </w:tc>
      </w:tr>
      <w:tr>
        <w:trPr>
          <w:jc w:val="center"/>
        </w:trPr>
        <w:tc>
          <w:tcPr>
            <w:tcW w:w="2699" w:type="dxa"/>
          </w:tcPr>
          <w:p>
            <w:pPr>
              <w:spacing w:line="360" w:lineRule="auto"/>
              <w:jc w:val="distribute"/>
              <w:rPr>
                <w:rFonts w:ascii="黑体" w:eastAsia="黑体"/>
                <w:sz w:val="24"/>
              </w:rPr>
            </w:pPr>
            <w:r>
              <w:rPr>
                <w:rFonts w:hint="eastAsia" w:ascii="宋体" w:hAnsi="宋体"/>
                <w:b/>
                <w:sz w:val="24"/>
              </w:rPr>
              <w:t>房地产估价机构:</w:t>
            </w:r>
          </w:p>
        </w:tc>
        <w:tc>
          <w:tcPr>
            <w:tcW w:w="6066" w:type="dxa"/>
          </w:tcPr>
          <w:p>
            <w:pPr>
              <w:spacing w:line="360" w:lineRule="auto"/>
              <w:ind w:right="-38" w:rightChars="-18"/>
              <w:rPr>
                <w:rFonts w:ascii="宋体" w:hAnsi="宋体"/>
                <w:sz w:val="24"/>
              </w:rPr>
            </w:pPr>
            <w:r>
              <w:rPr>
                <w:rFonts w:hint="eastAsia" w:ascii="宋体" w:hAnsi="宋体"/>
                <w:sz w:val="24"/>
              </w:rPr>
              <w:t>厦门均达房地产资产评估咨询有限公司</w:t>
            </w:r>
          </w:p>
        </w:tc>
      </w:tr>
      <w:tr>
        <w:tblPrEx>
          <w:tblCellMar>
            <w:top w:w="0" w:type="dxa"/>
            <w:left w:w="108" w:type="dxa"/>
            <w:bottom w:w="0" w:type="dxa"/>
            <w:right w:w="108" w:type="dxa"/>
          </w:tblCellMar>
        </w:tblPrEx>
        <w:trPr>
          <w:jc w:val="center"/>
        </w:trPr>
        <w:tc>
          <w:tcPr>
            <w:tcW w:w="2699" w:type="dxa"/>
          </w:tcPr>
          <w:p>
            <w:pPr>
              <w:spacing w:line="360" w:lineRule="auto"/>
              <w:jc w:val="distribute"/>
              <w:rPr>
                <w:rFonts w:ascii="黑体" w:eastAsia="黑体"/>
                <w:sz w:val="24"/>
              </w:rPr>
            </w:pPr>
            <w:r>
              <w:rPr>
                <w:rFonts w:hint="eastAsia" w:ascii="宋体" w:hAnsi="宋体"/>
                <w:b/>
                <w:sz w:val="24"/>
              </w:rPr>
              <w:t>注册房地产估价师:</w:t>
            </w:r>
          </w:p>
        </w:tc>
        <w:tc>
          <w:tcPr>
            <w:tcW w:w="6066" w:type="dxa"/>
          </w:tcPr>
          <w:p>
            <w:pPr>
              <w:tabs>
                <w:tab w:val="left" w:pos="6037"/>
              </w:tabs>
              <w:spacing w:line="360" w:lineRule="auto"/>
              <w:ind w:right="420" w:rightChars="200"/>
              <w:jc w:val="left"/>
              <w:rPr>
                <w:rFonts w:ascii="宋体" w:hAnsi="宋体"/>
                <w:bCs/>
                <w:sz w:val="24"/>
              </w:rPr>
            </w:pPr>
            <w:r>
              <w:rPr>
                <w:rFonts w:ascii="宋体" w:hAnsi="宋体"/>
                <w:bCs/>
                <w:sz w:val="24"/>
              </w:rPr>
              <w:t>陈平</w:t>
            </w:r>
            <w:r>
              <w:rPr>
                <w:rFonts w:hint="eastAsia" w:ascii="宋体" w:hAnsi="宋体"/>
                <w:bCs/>
                <w:sz w:val="24"/>
              </w:rPr>
              <w:t>（注册号：</w:t>
            </w:r>
            <w:r>
              <w:rPr>
                <w:rFonts w:ascii="宋体" w:hAnsi="宋体"/>
                <w:bCs/>
                <w:sz w:val="24"/>
              </w:rPr>
              <w:t>3520110017</w:t>
            </w:r>
            <w:r>
              <w:rPr>
                <w:rFonts w:hint="eastAsia" w:ascii="宋体" w:hAnsi="宋体"/>
                <w:bCs/>
                <w:sz w:val="24"/>
              </w:rPr>
              <w:t>）</w:t>
            </w:r>
          </w:p>
          <w:p>
            <w:pPr>
              <w:spacing w:line="360" w:lineRule="auto"/>
              <w:rPr>
                <w:rFonts w:ascii="黑体" w:eastAsia="黑体"/>
                <w:sz w:val="24"/>
              </w:rPr>
            </w:pPr>
            <w:r>
              <w:rPr>
                <w:rFonts w:hint="eastAsia" w:ascii="宋体" w:hAnsi="宋体"/>
                <w:bCs/>
                <w:sz w:val="24"/>
              </w:rPr>
              <w:t>熊贤霖（注册号：</w:t>
            </w:r>
            <w:r>
              <w:rPr>
                <w:rFonts w:ascii="宋体" w:hAnsi="宋体"/>
                <w:bCs/>
                <w:sz w:val="24"/>
              </w:rPr>
              <w:t>3520200061</w:t>
            </w:r>
            <w:r>
              <w:rPr>
                <w:rFonts w:hint="eastAsia" w:ascii="宋体" w:hAnsi="宋体"/>
                <w:bCs/>
                <w:sz w:val="24"/>
              </w:rPr>
              <w:t>）</w:t>
            </w:r>
          </w:p>
        </w:tc>
      </w:tr>
      <w:tr>
        <w:tblPrEx>
          <w:tblCellMar>
            <w:top w:w="0" w:type="dxa"/>
            <w:left w:w="108" w:type="dxa"/>
            <w:bottom w:w="0" w:type="dxa"/>
            <w:right w:w="108" w:type="dxa"/>
          </w:tblCellMar>
        </w:tblPrEx>
        <w:trPr>
          <w:jc w:val="center"/>
        </w:trPr>
        <w:tc>
          <w:tcPr>
            <w:tcW w:w="2699" w:type="dxa"/>
          </w:tcPr>
          <w:p>
            <w:pPr>
              <w:spacing w:line="360" w:lineRule="auto"/>
              <w:jc w:val="distribute"/>
              <w:rPr>
                <w:rFonts w:ascii="黑体" w:eastAsia="黑体"/>
                <w:sz w:val="24"/>
              </w:rPr>
            </w:pPr>
            <w:r>
              <w:rPr>
                <w:rFonts w:hint="eastAsia" w:ascii="宋体" w:hAnsi="宋体"/>
                <w:b/>
                <w:sz w:val="24"/>
              </w:rPr>
              <w:t>估价报告出具日期:</w:t>
            </w:r>
          </w:p>
        </w:tc>
        <w:tc>
          <w:tcPr>
            <w:tcW w:w="6066" w:type="dxa"/>
          </w:tcPr>
          <w:p>
            <w:pPr>
              <w:spacing w:line="360" w:lineRule="auto"/>
              <w:ind w:right="-38" w:rightChars="-18"/>
              <w:rPr>
                <w:rFonts w:ascii="黑体" w:eastAsia="黑体"/>
                <w:sz w:val="24"/>
              </w:rPr>
            </w:pPr>
            <w:r>
              <w:rPr>
                <w:rFonts w:hint="eastAsia" w:ascii="宋体" w:hAnsi="宋体"/>
                <w:bCs/>
                <w:sz w:val="24"/>
              </w:rPr>
              <w:t>2022年05月25日</w:t>
            </w:r>
          </w:p>
        </w:tc>
      </w:tr>
    </w:tbl>
    <w:p>
      <w:pPr>
        <w:pBdr>
          <w:bottom w:val="single" w:color="auto" w:sz="12" w:space="1"/>
        </w:pBdr>
        <w:spacing w:line="360" w:lineRule="auto"/>
        <w:ind w:left="2551" w:right="420" w:rightChars="200" w:hanging="1871"/>
        <w:rPr>
          <w:rFonts w:ascii="宋体" w:hAnsi="宋体"/>
          <w:sz w:val="27"/>
          <w:szCs w:val="27"/>
        </w:rPr>
      </w:pPr>
      <w:r>
        <w:drawing>
          <wp:anchor distT="0" distB="0" distL="114300" distR="114300" simplePos="0" relativeHeight="251660288" behindDoc="0" locked="0" layoutInCell="1" allowOverlap="1">
            <wp:simplePos x="0" y="0"/>
            <wp:positionH relativeFrom="column">
              <wp:posOffset>4394835</wp:posOffset>
            </wp:positionH>
            <wp:positionV relativeFrom="paragraph">
              <wp:posOffset>592455</wp:posOffset>
            </wp:positionV>
            <wp:extent cx="752475" cy="288290"/>
            <wp:effectExtent l="19050" t="0" r="9525" b="0"/>
            <wp:wrapNone/>
            <wp:docPr id="23109" name="_x0000_s322552" descr="微信图片_2018020710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9" name="_x0000_s322552" descr="微信图片_20180207103127"/>
                    <pic:cNvPicPr>
                      <a:picLocks noChangeAspect="1"/>
                    </pic:cNvPicPr>
                  </pic:nvPicPr>
                  <pic:blipFill>
                    <a:blip r:embed="rId14"/>
                    <a:stretch>
                      <a:fillRect/>
                    </a:stretch>
                  </pic:blipFill>
                  <pic:spPr>
                    <a:xfrm>
                      <a:off x="0" y="0"/>
                      <a:ext cx="752475" cy="28829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332740</wp:posOffset>
            </wp:positionH>
            <wp:positionV relativeFrom="paragraph">
              <wp:posOffset>517525</wp:posOffset>
            </wp:positionV>
            <wp:extent cx="396240" cy="476250"/>
            <wp:effectExtent l="0" t="0" r="3810" b="0"/>
            <wp:wrapNone/>
            <wp:docPr id="23110" name="_x0000_s322553" descr="JUNDA+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0" name="_x0000_s322553" descr="JUNDA+图形1"/>
                    <pic:cNvPicPr>
                      <a:picLocks noChangeAspect="1"/>
                    </pic:cNvPicPr>
                  </pic:nvPicPr>
                  <pic:blipFill>
                    <a:blip r:embed="rId15"/>
                    <a:stretch>
                      <a:fillRect/>
                    </a:stretch>
                  </pic:blipFill>
                  <pic:spPr>
                    <a:xfrm>
                      <a:off x="0" y="0"/>
                      <a:ext cx="396240" cy="476250"/>
                    </a:xfrm>
                    <a:prstGeom prst="rect">
                      <a:avLst/>
                    </a:prstGeom>
                    <a:noFill/>
                    <a:ln>
                      <a:noFill/>
                    </a:ln>
                  </pic:spPr>
                </pic:pic>
              </a:graphicData>
            </a:graphic>
          </wp:anchor>
        </w:drawing>
      </w:r>
    </w:p>
    <w:p>
      <w:pPr>
        <w:ind w:right="420" w:rightChars="200" w:firstLine="1273" w:firstLineChars="604"/>
        <w:rPr>
          <w:rFonts w:ascii="宋体" w:hAnsi="宋体"/>
          <w:b/>
          <w:szCs w:val="21"/>
          <w:u w:val="thick"/>
        </w:rPr>
      </w:pPr>
      <w:r>
        <w:rPr>
          <w:rFonts w:hint="eastAsia" w:ascii="宋体" w:hAnsi="宋体"/>
          <w:b/>
          <w:szCs w:val="21"/>
        </w:rPr>
        <w:t>地址</w:t>
      </w:r>
      <w:r>
        <w:rPr>
          <w:rFonts w:hint="eastAsia" w:ascii="宋体" w:hAnsi="宋体"/>
          <w:szCs w:val="21"/>
        </w:rPr>
        <w:t>：厦门市思明区金星路41号2幢一楼、二楼</w:t>
      </w:r>
    </w:p>
    <w:p>
      <w:pPr>
        <w:ind w:right="420" w:rightChars="200" w:firstLine="1273" w:firstLineChars="604"/>
        <w:rPr>
          <w:rFonts w:ascii="宋体" w:hAnsi="宋体"/>
          <w:b/>
          <w:szCs w:val="21"/>
          <w:u w:val="thick"/>
        </w:rPr>
      </w:pPr>
      <w:r>
        <w:rPr>
          <w:rFonts w:hint="eastAsia" w:ascii="宋体" w:hAnsi="宋体"/>
          <w:b/>
          <w:szCs w:val="21"/>
        </w:rPr>
        <w:t>电话</w:t>
      </w:r>
      <w:r>
        <w:rPr>
          <w:rFonts w:hint="eastAsia" w:ascii="宋体" w:hAnsi="宋体"/>
          <w:szCs w:val="21"/>
        </w:rPr>
        <w:t>：</w:t>
      </w:r>
      <w:r>
        <w:rPr>
          <w:rFonts w:hint="eastAsia" w:ascii="宋体" w:hAnsi="宋体"/>
          <w:b/>
          <w:szCs w:val="21"/>
        </w:rPr>
        <w:t xml:space="preserve">400-8888-949  </w:t>
      </w:r>
      <w:r>
        <w:rPr>
          <w:rFonts w:hint="eastAsia"/>
          <w:b/>
        </w:rPr>
        <w:t>传真：</w:t>
      </w:r>
      <w:r>
        <w:rPr>
          <w:rFonts w:hint="eastAsia" w:ascii="宋体" w:hAnsi="宋体"/>
          <w:szCs w:val="21"/>
        </w:rPr>
        <w:t xml:space="preserve">0592-5126652  </w:t>
      </w:r>
    </w:p>
    <w:p>
      <w:pPr>
        <w:ind w:right="420" w:rightChars="200" w:firstLine="1273" w:firstLineChars="604"/>
        <w:rPr>
          <w:rFonts w:ascii="宋体" w:hAnsi="宋体"/>
          <w:b/>
          <w:szCs w:val="21"/>
          <w:u w:val="thick"/>
        </w:rPr>
      </w:pPr>
      <w:r>
        <w:rPr>
          <w:rFonts w:hint="eastAsia" w:ascii="宋体" w:hAnsi="宋体"/>
          <w:b/>
          <w:szCs w:val="21"/>
        </w:rPr>
        <w:t>网址</w:t>
      </w:r>
      <w:r>
        <w:rPr>
          <w:rFonts w:hint="eastAsia" w:ascii="宋体" w:hAnsi="宋体"/>
          <w:szCs w:val="21"/>
        </w:rPr>
        <w:t>：http://www.xmjdpg.com</w:t>
      </w:r>
    </w:p>
    <w:p>
      <w:pPr>
        <w:sectPr>
          <w:headerReference r:id="rId3" w:type="default"/>
          <w:pgSz w:w="11906" w:h="16838"/>
          <w:pgMar w:top="1440" w:right="1588" w:bottom="1440" w:left="1769" w:header="851" w:footer="992" w:gutter="0"/>
          <w:cols w:space="720" w:num="1"/>
          <w:titlePg/>
          <w:docGrid w:type="lines" w:linePitch="312" w:charSpace="0"/>
        </w:sectPr>
      </w:pPr>
    </w:p>
    <w:p>
      <w:pPr>
        <w:ind w:right="420" w:rightChars="200"/>
        <w:jc w:val="center"/>
        <w:rPr>
          <w:rFonts w:ascii="宋体" w:hAnsi="宋体"/>
          <w:b/>
          <w:sz w:val="32"/>
          <w:szCs w:val="32"/>
        </w:rPr>
      </w:pPr>
      <w:r>
        <w:rPr>
          <w:rFonts w:hint="eastAsia" w:ascii="宋体" w:hAnsi="宋体"/>
          <w:b/>
          <w:sz w:val="32"/>
          <w:szCs w:val="32"/>
        </w:rPr>
        <w:t>估价报告摘要表</w:t>
      </w:r>
    </w:p>
    <w:tbl>
      <w:tblPr>
        <w:tblStyle w:val="15"/>
        <w:tblW w:w="103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2"/>
        <w:gridCol w:w="1989"/>
        <w:gridCol w:w="2897"/>
        <w:gridCol w:w="338"/>
        <w:gridCol w:w="1263"/>
        <w:gridCol w:w="26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1282" w:type="dxa"/>
            <w:vAlign w:val="center"/>
          </w:tcPr>
          <w:p>
            <w:pPr>
              <w:widowControl/>
              <w:spacing w:line="400" w:lineRule="exact"/>
              <w:jc w:val="center"/>
              <w:rPr>
                <w:rFonts w:ascii="宋体" w:hAnsi="宋体" w:cs="Arial"/>
                <w:kern w:val="0"/>
                <w:szCs w:val="21"/>
              </w:rPr>
            </w:pPr>
            <w:r>
              <w:rPr>
                <w:rFonts w:ascii="宋体" w:hAnsi="宋体" w:cs="Arial"/>
                <w:kern w:val="0"/>
                <w:szCs w:val="21"/>
              </w:rPr>
              <w:t>产权人</w:t>
            </w:r>
          </w:p>
        </w:tc>
        <w:tc>
          <w:tcPr>
            <w:tcW w:w="4886" w:type="dxa"/>
            <w:gridSpan w:val="2"/>
            <w:vAlign w:val="center"/>
          </w:tcPr>
          <w:p>
            <w:pPr>
              <w:widowControl/>
              <w:spacing w:line="400" w:lineRule="exact"/>
              <w:jc w:val="left"/>
              <w:rPr>
                <w:rFonts w:ascii="宋体" w:hAnsi="宋体" w:cs="Arial"/>
                <w:kern w:val="0"/>
                <w:szCs w:val="21"/>
              </w:rPr>
            </w:pPr>
            <w:r>
              <w:rPr>
                <w:rFonts w:hint="eastAsia" w:ascii="宋体" w:hAnsi="宋体"/>
                <w:szCs w:val="21"/>
              </w:rPr>
              <w:t>刘龙海</w:t>
            </w:r>
          </w:p>
        </w:tc>
        <w:tc>
          <w:tcPr>
            <w:tcW w:w="1601" w:type="dxa"/>
            <w:gridSpan w:val="2"/>
            <w:vAlign w:val="center"/>
          </w:tcPr>
          <w:p>
            <w:pPr>
              <w:widowControl/>
              <w:spacing w:line="400" w:lineRule="exact"/>
              <w:jc w:val="left"/>
              <w:rPr>
                <w:rFonts w:ascii="宋体" w:hAnsi="宋体" w:cs="Arial"/>
                <w:kern w:val="0"/>
                <w:szCs w:val="21"/>
              </w:rPr>
            </w:pPr>
            <w:r>
              <w:rPr>
                <w:rFonts w:ascii="宋体" w:hAnsi="宋体" w:cs="Arial"/>
                <w:kern w:val="0"/>
                <w:szCs w:val="21"/>
              </w:rPr>
              <w:t>估价委托人</w:t>
            </w:r>
          </w:p>
        </w:tc>
        <w:tc>
          <w:tcPr>
            <w:tcW w:w="2614" w:type="dxa"/>
            <w:vAlign w:val="center"/>
          </w:tcPr>
          <w:p>
            <w:pPr>
              <w:widowControl/>
              <w:spacing w:line="400" w:lineRule="exact"/>
              <w:jc w:val="left"/>
              <w:rPr>
                <w:rFonts w:ascii="宋体" w:hAnsi="宋体" w:cs="Arial"/>
                <w:kern w:val="0"/>
                <w:szCs w:val="21"/>
                <w:highlight w:val="yellow"/>
              </w:rPr>
            </w:pPr>
            <w:r>
              <w:rPr>
                <w:rFonts w:ascii="宋体" w:hAnsi="宋体"/>
                <w:szCs w:val="21"/>
              </w:rPr>
              <w:t>厦门市湖里区人民法院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282" w:type="dxa"/>
            <w:vAlign w:val="center"/>
          </w:tcPr>
          <w:p>
            <w:pPr>
              <w:widowControl/>
              <w:spacing w:line="400" w:lineRule="exact"/>
              <w:jc w:val="center"/>
              <w:rPr>
                <w:rFonts w:ascii="宋体" w:hAnsi="宋体" w:cs="Arial"/>
                <w:kern w:val="0"/>
                <w:szCs w:val="21"/>
              </w:rPr>
            </w:pPr>
            <w:r>
              <w:rPr>
                <w:rFonts w:ascii="宋体" w:hAnsi="宋体" w:cs="Arial"/>
                <w:kern w:val="0"/>
                <w:szCs w:val="21"/>
              </w:rPr>
              <w:t>项目名称</w:t>
            </w:r>
          </w:p>
        </w:tc>
        <w:tc>
          <w:tcPr>
            <w:tcW w:w="9101" w:type="dxa"/>
            <w:gridSpan w:val="5"/>
            <w:vAlign w:val="center"/>
          </w:tcPr>
          <w:p>
            <w:pPr>
              <w:widowControl/>
              <w:spacing w:line="400" w:lineRule="exact"/>
              <w:jc w:val="left"/>
              <w:rPr>
                <w:rFonts w:ascii="宋体" w:hAnsi="宋体" w:cs="Arial"/>
                <w:szCs w:val="21"/>
              </w:rPr>
            </w:pPr>
            <w:r>
              <w:rPr>
                <w:rFonts w:ascii="宋体" w:hAnsi="宋体"/>
                <w:szCs w:val="21"/>
              </w:rPr>
              <w:t>惠安县螺城镇新霞企塘花园西侧Ⅵ组团A3#23号储藏间房地产司法拍卖评估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282" w:type="dxa"/>
            <w:vAlign w:val="center"/>
          </w:tcPr>
          <w:p>
            <w:pPr>
              <w:widowControl/>
              <w:spacing w:line="400" w:lineRule="exact"/>
              <w:jc w:val="center"/>
              <w:rPr>
                <w:rFonts w:ascii="宋体" w:hAnsi="宋体" w:cs="Arial"/>
                <w:kern w:val="0"/>
                <w:szCs w:val="21"/>
              </w:rPr>
            </w:pPr>
            <w:r>
              <w:rPr>
                <w:rFonts w:ascii="宋体" w:hAnsi="宋体" w:cs="Arial"/>
                <w:kern w:val="0"/>
                <w:szCs w:val="21"/>
              </w:rPr>
              <w:t>估价目的</w:t>
            </w:r>
          </w:p>
        </w:tc>
        <w:tc>
          <w:tcPr>
            <w:tcW w:w="9101" w:type="dxa"/>
            <w:gridSpan w:val="5"/>
            <w:vAlign w:val="center"/>
          </w:tcPr>
          <w:p>
            <w:pPr>
              <w:pStyle w:val="14"/>
              <w:widowControl w:val="0"/>
              <w:spacing w:before="0" w:beforeAutospacing="0" w:after="0" w:afterAutospacing="0" w:line="460" w:lineRule="exact"/>
              <w:rPr>
                <w:rFonts w:cs="Arial"/>
                <w:sz w:val="21"/>
                <w:szCs w:val="21"/>
              </w:rPr>
            </w:pPr>
            <w:r>
              <w:rPr>
                <w:sz w:val="21"/>
                <w:szCs w:val="21"/>
              </w:rPr>
              <w:t>为委托方确定财产处置参考价提供参考依据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282" w:type="dxa"/>
            <w:vAlign w:val="center"/>
          </w:tcPr>
          <w:p>
            <w:pPr>
              <w:widowControl/>
              <w:spacing w:line="400" w:lineRule="exact"/>
              <w:jc w:val="center"/>
              <w:rPr>
                <w:rFonts w:ascii="宋体" w:hAnsi="宋体" w:cs="Arial"/>
                <w:kern w:val="0"/>
                <w:szCs w:val="21"/>
              </w:rPr>
            </w:pPr>
            <w:r>
              <w:rPr>
                <w:rFonts w:ascii="宋体" w:hAnsi="宋体" w:cs="Arial"/>
                <w:kern w:val="0"/>
                <w:szCs w:val="21"/>
              </w:rPr>
              <w:t>估价方法</w:t>
            </w:r>
          </w:p>
        </w:tc>
        <w:tc>
          <w:tcPr>
            <w:tcW w:w="9101" w:type="dxa"/>
            <w:gridSpan w:val="5"/>
            <w:vAlign w:val="center"/>
          </w:tcPr>
          <w:p>
            <w:pPr>
              <w:widowControl/>
              <w:spacing w:line="400" w:lineRule="exact"/>
              <w:jc w:val="left"/>
              <w:rPr>
                <w:rFonts w:ascii="宋体" w:hAnsi="宋体" w:cs="Arial"/>
                <w:kern w:val="0"/>
                <w:szCs w:val="21"/>
              </w:rPr>
            </w:pPr>
            <w:r>
              <w:rPr>
                <w:rFonts w:hint="eastAsia" w:ascii="宋体" w:hAnsi="宋体" w:cs="宋体"/>
                <w:color w:val="000000"/>
                <w:kern w:val="0"/>
                <w:szCs w:val="21"/>
              </w:rPr>
              <w:t>成本法（房地合估）、收益法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282" w:type="dxa"/>
            <w:vAlign w:val="center"/>
          </w:tcPr>
          <w:p>
            <w:pPr>
              <w:widowControl/>
              <w:spacing w:line="400" w:lineRule="exact"/>
              <w:jc w:val="center"/>
              <w:rPr>
                <w:rFonts w:ascii="宋体" w:hAnsi="宋体" w:cs="Arial"/>
                <w:kern w:val="0"/>
                <w:szCs w:val="21"/>
              </w:rPr>
            </w:pPr>
            <w:r>
              <w:rPr>
                <w:rFonts w:ascii="宋体" w:hAnsi="宋体" w:cs="Arial"/>
                <w:kern w:val="0"/>
                <w:szCs w:val="21"/>
              </w:rPr>
              <w:t>价值时点</w:t>
            </w:r>
          </w:p>
        </w:tc>
        <w:tc>
          <w:tcPr>
            <w:tcW w:w="9101" w:type="dxa"/>
            <w:gridSpan w:val="5"/>
            <w:vAlign w:val="center"/>
          </w:tcPr>
          <w:p>
            <w:pPr>
              <w:widowControl/>
              <w:spacing w:line="400" w:lineRule="exact"/>
              <w:jc w:val="left"/>
              <w:rPr>
                <w:rFonts w:ascii="宋体" w:hAnsi="宋体" w:cs="Arial"/>
                <w:kern w:val="0"/>
                <w:szCs w:val="21"/>
              </w:rPr>
            </w:pPr>
            <w:r>
              <w:rPr>
                <w:rFonts w:hint="eastAsia" w:ascii="宋体" w:hAnsi="宋体"/>
                <w:szCs w:val="21"/>
              </w:rPr>
              <w:t>2022年05月23日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282" w:type="dxa"/>
            <w:vAlign w:val="center"/>
          </w:tcPr>
          <w:p>
            <w:pPr>
              <w:widowControl/>
              <w:spacing w:line="400" w:lineRule="exact"/>
              <w:jc w:val="center"/>
              <w:rPr>
                <w:rFonts w:ascii="宋体" w:hAnsi="宋体" w:cs="Arial"/>
                <w:kern w:val="0"/>
                <w:szCs w:val="21"/>
              </w:rPr>
            </w:pPr>
            <w:r>
              <w:rPr>
                <w:rFonts w:hint="eastAsia" w:ascii="宋体" w:hAnsi="宋体" w:cs="Arial"/>
                <w:kern w:val="0"/>
                <w:szCs w:val="21"/>
              </w:rPr>
              <w:t>价值类型</w:t>
            </w:r>
          </w:p>
        </w:tc>
        <w:tc>
          <w:tcPr>
            <w:tcW w:w="9101" w:type="dxa"/>
            <w:gridSpan w:val="5"/>
            <w:vAlign w:val="center"/>
          </w:tcPr>
          <w:p>
            <w:pPr>
              <w:widowControl/>
              <w:spacing w:line="400" w:lineRule="exact"/>
              <w:ind w:firstLine="420" w:firstLineChars="200"/>
              <w:jc w:val="left"/>
              <w:rPr>
                <w:rFonts w:ascii="宋体" w:hAnsi="宋体"/>
                <w:szCs w:val="21"/>
              </w:rPr>
            </w:pPr>
            <w:r>
              <w:rPr>
                <w:rFonts w:hint="eastAsia" w:ascii="宋体" w:hAnsi="宋体" w:cs="Arial"/>
                <w:kern w:val="0"/>
                <w:szCs w:val="21"/>
              </w:rPr>
              <w:t>价值类型为市场价值，价值内涵是估价对象在价值时点，满足本次估价假设和限制条件下包括建筑物（含室内装修）、分摊的土地使用权（含土地出让金）及配套设施。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282" w:type="dxa"/>
            <w:vMerge w:val="restart"/>
            <w:vAlign w:val="center"/>
          </w:tcPr>
          <w:p>
            <w:pPr>
              <w:spacing w:line="400" w:lineRule="exact"/>
              <w:jc w:val="center"/>
              <w:rPr>
                <w:rFonts w:ascii="宋体" w:hAnsi="宋体" w:cs="Arial"/>
                <w:kern w:val="0"/>
                <w:szCs w:val="21"/>
              </w:rPr>
            </w:pPr>
            <w:r>
              <w:rPr>
                <w:rFonts w:ascii="宋体" w:hAnsi="宋体" w:cs="Arial"/>
                <w:kern w:val="0"/>
                <w:szCs w:val="21"/>
              </w:rPr>
              <w:t>估价对象</w:t>
            </w:r>
          </w:p>
        </w:tc>
        <w:tc>
          <w:tcPr>
            <w:tcW w:w="4886" w:type="dxa"/>
            <w:gridSpan w:val="2"/>
            <w:vAlign w:val="center"/>
          </w:tcPr>
          <w:p>
            <w:pPr>
              <w:widowControl/>
              <w:spacing w:line="400" w:lineRule="exact"/>
              <w:jc w:val="left"/>
              <w:rPr>
                <w:rFonts w:ascii="宋体" w:hAnsi="宋体" w:cs="Arial"/>
                <w:kern w:val="0"/>
                <w:szCs w:val="21"/>
              </w:rPr>
            </w:pPr>
            <w:r>
              <w:rPr>
                <w:rFonts w:hint="eastAsia" w:ascii="宋体" w:hAnsi="宋体" w:cs="Arial"/>
                <w:kern w:val="0"/>
                <w:szCs w:val="21"/>
              </w:rPr>
              <w:t>用途：储藏间</w:t>
            </w:r>
          </w:p>
        </w:tc>
        <w:tc>
          <w:tcPr>
            <w:tcW w:w="4215" w:type="dxa"/>
            <w:gridSpan w:val="3"/>
            <w:vAlign w:val="center"/>
          </w:tcPr>
          <w:p>
            <w:pPr>
              <w:widowControl/>
              <w:spacing w:line="400" w:lineRule="exact"/>
              <w:jc w:val="left"/>
              <w:rPr>
                <w:rFonts w:ascii="宋体" w:hAnsi="宋体" w:cs="Arial"/>
                <w:kern w:val="0"/>
                <w:szCs w:val="21"/>
              </w:rPr>
            </w:pPr>
            <w:r>
              <w:rPr>
                <w:rFonts w:hint="eastAsia" w:ascii="宋体" w:hAnsi="宋体" w:cs="Arial"/>
                <w:kern w:val="0"/>
                <w:szCs w:val="21"/>
              </w:rPr>
              <w:t>土地使用权类型：</w:t>
            </w:r>
            <w:r>
              <w:rPr>
                <w:rFonts w:hint="eastAsia" w:ascii="宋体" w:hAnsi="宋体" w:cs="Arial"/>
                <w:kern w:val="0"/>
                <w:szCs w:val="21"/>
                <w:lang w:eastAsia="zh-CN"/>
              </w:rPr>
              <w:t>设定为</w:t>
            </w:r>
            <w:r>
              <w:rPr>
                <w:rFonts w:hint="eastAsia" w:ascii="宋体" w:hAnsi="宋体"/>
                <w:szCs w:val="21"/>
              </w:rPr>
              <w:t>出让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282" w:type="dxa"/>
            <w:vMerge w:val="continue"/>
            <w:vAlign w:val="center"/>
          </w:tcPr>
          <w:p>
            <w:pPr>
              <w:spacing w:line="400" w:lineRule="exact"/>
              <w:jc w:val="center"/>
              <w:rPr>
                <w:rFonts w:ascii="宋体" w:hAnsi="宋体" w:cs="Arial"/>
                <w:kern w:val="0"/>
                <w:szCs w:val="21"/>
              </w:rPr>
            </w:pPr>
          </w:p>
        </w:tc>
        <w:tc>
          <w:tcPr>
            <w:tcW w:w="4886" w:type="dxa"/>
            <w:gridSpan w:val="2"/>
            <w:vAlign w:val="center"/>
          </w:tcPr>
          <w:p>
            <w:pPr>
              <w:widowControl/>
              <w:spacing w:line="400" w:lineRule="exact"/>
              <w:jc w:val="left"/>
              <w:rPr>
                <w:rFonts w:ascii="宋体" w:hAnsi="宋体" w:cs="Arial"/>
                <w:kern w:val="0"/>
                <w:szCs w:val="21"/>
              </w:rPr>
            </w:pPr>
            <w:r>
              <w:rPr>
                <w:rFonts w:hint="eastAsia" w:ascii="宋体" w:hAnsi="宋体" w:cs="Arial"/>
                <w:kern w:val="0"/>
                <w:szCs w:val="21"/>
              </w:rPr>
              <w:t>建筑结构：钢混结构</w:t>
            </w:r>
          </w:p>
        </w:tc>
        <w:tc>
          <w:tcPr>
            <w:tcW w:w="4215" w:type="dxa"/>
            <w:gridSpan w:val="3"/>
            <w:vAlign w:val="center"/>
          </w:tcPr>
          <w:p>
            <w:pPr>
              <w:widowControl/>
              <w:spacing w:line="400" w:lineRule="exact"/>
              <w:jc w:val="left"/>
              <w:rPr>
                <w:rFonts w:ascii="宋体" w:hAnsi="宋体" w:cs="Arial"/>
                <w:kern w:val="0"/>
                <w:szCs w:val="21"/>
              </w:rPr>
            </w:pPr>
            <w:r>
              <w:rPr>
                <w:rFonts w:hint="eastAsia" w:ascii="宋体" w:hAnsi="宋体" w:cs="Arial"/>
                <w:kern w:val="0"/>
                <w:szCs w:val="21"/>
              </w:rPr>
              <w:t>建筑面积：</w:t>
            </w:r>
            <w:r>
              <w:rPr>
                <w:rFonts w:hint="eastAsia" w:ascii="宋体" w:hAnsi="宋体"/>
                <w:szCs w:val="21"/>
              </w:rPr>
              <w:t>19.35</w:t>
            </w:r>
            <w:r>
              <w:rPr>
                <w:rFonts w:hint="eastAsia" w:ascii="宋体" w:hAnsi="宋体" w:cs="Arial"/>
                <w:kern w:val="0"/>
                <w:szCs w:val="21"/>
              </w:rPr>
              <w:t>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7" w:hRule="atLeast"/>
          <w:jc w:val="center"/>
        </w:trPr>
        <w:tc>
          <w:tcPr>
            <w:tcW w:w="1282" w:type="dxa"/>
            <w:vMerge w:val="continue"/>
            <w:vAlign w:val="center"/>
          </w:tcPr>
          <w:p>
            <w:pPr>
              <w:spacing w:line="400" w:lineRule="exact"/>
              <w:jc w:val="center"/>
              <w:rPr>
                <w:rFonts w:ascii="宋体" w:hAnsi="宋体" w:cs="Arial"/>
                <w:kern w:val="0"/>
                <w:szCs w:val="21"/>
              </w:rPr>
            </w:pPr>
          </w:p>
        </w:tc>
        <w:tc>
          <w:tcPr>
            <w:tcW w:w="4886" w:type="dxa"/>
            <w:gridSpan w:val="2"/>
            <w:vAlign w:val="center"/>
          </w:tcPr>
          <w:p>
            <w:pPr>
              <w:widowControl/>
              <w:spacing w:line="400" w:lineRule="exact"/>
              <w:rPr>
                <w:rFonts w:ascii="宋体" w:hAnsi="宋体" w:cs="Arial"/>
                <w:kern w:val="0"/>
                <w:szCs w:val="21"/>
              </w:rPr>
            </w:pPr>
            <w:r>
              <w:rPr>
                <w:rFonts w:hint="eastAsia" w:ascii="宋体" w:hAnsi="宋体" w:cs="Arial"/>
                <w:kern w:val="0"/>
                <w:szCs w:val="21"/>
              </w:rPr>
              <w:t>建成年份：据调查建成于</w:t>
            </w:r>
            <w:r>
              <w:rPr>
                <w:rFonts w:ascii="宋体" w:hAnsi="宋体"/>
                <w:szCs w:val="21"/>
              </w:rPr>
              <w:t>2002</w:t>
            </w:r>
            <w:r>
              <w:rPr>
                <w:rFonts w:hint="eastAsia" w:ascii="宋体" w:hAnsi="宋体"/>
                <w:szCs w:val="21"/>
              </w:rPr>
              <w:t>年</w:t>
            </w:r>
          </w:p>
        </w:tc>
        <w:tc>
          <w:tcPr>
            <w:tcW w:w="4215" w:type="dxa"/>
            <w:gridSpan w:val="3"/>
            <w:vAlign w:val="center"/>
          </w:tcPr>
          <w:p>
            <w:pPr>
              <w:widowControl/>
              <w:spacing w:line="400" w:lineRule="exact"/>
              <w:rPr>
                <w:rFonts w:ascii="宋体" w:hAnsi="宋体" w:cs="Arial"/>
                <w:color w:val="FF0000"/>
                <w:kern w:val="0"/>
                <w:szCs w:val="21"/>
              </w:rPr>
            </w:pPr>
            <w:r>
              <w:rPr>
                <w:rFonts w:hint="eastAsia" w:ascii="宋体" w:hAnsi="宋体" w:cs="Arial"/>
                <w:kern w:val="0"/>
                <w:szCs w:val="21"/>
              </w:rPr>
              <w:t>层次/总层数:</w:t>
            </w:r>
            <w:r>
              <w:rPr>
                <w:rFonts w:hint="eastAsia" w:ascii="宋体" w:hAnsi="宋体" w:cs="Arial"/>
                <w:szCs w:val="21"/>
              </w:rPr>
              <w:t>第</w:t>
            </w:r>
            <w:r>
              <w:rPr>
                <w:rFonts w:ascii="宋体" w:hAnsi="宋体"/>
                <w:szCs w:val="21"/>
              </w:rPr>
              <w:t>1</w:t>
            </w:r>
            <w:r>
              <w:rPr>
                <w:rFonts w:hint="eastAsia" w:ascii="宋体" w:hAnsi="宋体" w:cs="Arial"/>
                <w:szCs w:val="21"/>
              </w:rPr>
              <w:t>层/</w:t>
            </w:r>
            <w:r>
              <w:rPr>
                <w:rFonts w:hint="eastAsia" w:ascii="宋体" w:hAnsi="宋体"/>
                <w:szCs w:val="21"/>
              </w:rPr>
              <w:t>8层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6" w:hRule="atLeast"/>
          <w:jc w:val="center"/>
        </w:trPr>
        <w:tc>
          <w:tcPr>
            <w:tcW w:w="1282" w:type="dxa"/>
            <w:vMerge w:val="continue"/>
            <w:vAlign w:val="center"/>
          </w:tcPr>
          <w:p>
            <w:pPr>
              <w:spacing w:line="400" w:lineRule="exact"/>
              <w:jc w:val="center"/>
              <w:rPr>
                <w:rFonts w:ascii="宋体" w:hAnsi="宋体" w:cs="Arial"/>
                <w:kern w:val="0"/>
                <w:szCs w:val="21"/>
              </w:rPr>
            </w:pPr>
          </w:p>
        </w:tc>
        <w:tc>
          <w:tcPr>
            <w:tcW w:w="9101" w:type="dxa"/>
            <w:gridSpan w:val="5"/>
            <w:vAlign w:val="center"/>
          </w:tcPr>
          <w:p>
            <w:pPr>
              <w:widowControl/>
              <w:spacing w:line="400" w:lineRule="exact"/>
              <w:rPr>
                <w:rFonts w:ascii="宋体" w:hAnsi="宋体" w:cs="Arial"/>
                <w:color w:val="FF0000"/>
                <w:kern w:val="0"/>
                <w:szCs w:val="21"/>
              </w:rPr>
            </w:pPr>
            <w:r>
              <w:rPr>
                <w:rFonts w:hint="eastAsia" w:ascii="宋体" w:hAnsi="宋体"/>
                <w:szCs w:val="21"/>
              </w:rPr>
              <w:t>设定土地使用期限自2000年01月01日起至2069年12月31日止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35" w:hRule="atLeast"/>
          <w:jc w:val="center"/>
        </w:trPr>
        <w:tc>
          <w:tcPr>
            <w:tcW w:w="1282" w:type="dxa"/>
            <w:vAlign w:val="center"/>
          </w:tcPr>
          <w:p>
            <w:pPr>
              <w:spacing w:line="400" w:lineRule="exact"/>
              <w:jc w:val="center"/>
              <w:rPr>
                <w:rFonts w:ascii="宋体" w:hAnsi="宋体" w:cs="Arial"/>
                <w:kern w:val="0"/>
                <w:szCs w:val="21"/>
              </w:rPr>
            </w:pPr>
            <w:r>
              <w:rPr>
                <w:rFonts w:ascii="宋体" w:hAnsi="宋体" w:cs="Arial"/>
                <w:kern w:val="0"/>
                <w:szCs w:val="21"/>
              </w:rPr>
              <w:t>估价结果</w:t>
            </w:r>
          </w:p>
        </w:tc>
        <w:tc>
          <w:tcPr>
            <w:tcW w:w="9101" w:type="dxa"/>
            <w:gridSpan w:val="5"/>
            <w:vAlign w:val="center"/>
          </w:tcPr>
          <w:p>
            <w:pPr>
              <w:spacing w:line="400" w:lineRule="exact"/>
              <w:jc w:val="center"/>
              <w:rPr>
                <w:rFonts w:ascii="宋体" w:hAnsi="宋体" w:cs="Arial"/>
                <w:kern w:val="0"/>
                <w:szCs w:val="21"/>
              </w:rPr>
            </w:pPr>
            <w:r>
              <w:rPr>
                <w:rFonts w:hint="eastAsia" w:ascii="宋体" w:hAnsi="宋体" w:cs="Arial"/>
                <w:kern w:val="0"/>
                <w:szCs w:val="21"/>
              </w:rPr>
              <w:t>人民币壹拾壹万零贰佰</w:t>
            </w:r>
            <w:r>
              <w:rPr>
                <w:rFonts w:ascii="宋体" w:hAnsi="宋体" w:cs="Arial"/>
                <w:kern w:val="0"/>
                <w:szCs w:val="21"/>
              </w:rPr>
              <w:t>元整</w:t>
            </w:r>
            <w:r>
              <w:rPr>
                <w:rFonts w:hint="eastAsia" w:ascii="宋体" w:hAnsi="宋体" w:cs="Arial"/>
                <w:kern w:val="0"/>
                <w:szCs w:val="21"/>
              </w:rPr>
              <w:t>（RMB11.02万元）</w:t>
            </w:r>
          </w:p>
          <w:p>
            <w:pPr>
              <w:spacing w:line="400" w:lineRule="exact"/>
              <w:jc w:val="center"/>
              <w:rPr>
                <w:rFonts w:ascii="宋体" w:hAnsi="宋体" w:cs="Arial"/>
                <w:kern w:val="0"/>
                <w:szCs w:val="21"/>
              </w:rPr>
            </w:pPr>
            <w:r>
              <w:rPr>
                <w:rFonts w:hint="eastAsia" w:ascii="宋体" w:hAnsi="宋体" w:cs="Arial"/>
                <w:kern w:val="0"/>
                <w:szCs w:val="21"/>
              </w:rPr>
              <w:t>单价</w:t>
            </w:r>
            <w:r>
              <w:rPr>
                <w:rFonts w:hint="eastAsia" w:ascii="宋体" w:hAnsi="宋体"/>
                <w:szCs w:val="21"/>
              </w:rPr>
              <w:t>5695</w:t>
            </w:r>
            <w:r>
              <w:rPr>
                <w:rFonts w:hint="eastAsia" w:ascii="宋体" w:hAnsi="宋体" w:cs="Arial"/>
                <w:kern w:val="0"/>
                <w:szCs w:val="21"/>
              </w:rPr>
              <w:t>元/平方米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exact"/>
          <w:jc w:val="center"/>
        </w:trPr>
        <w:tc>
          <w:tcPr>
            <w:tcW w:w="3271" w:type="dxa"/>
            <w:gridSpan w:val="2"/>
            <w:vMerge w:val="restart"/>
            <w:vAlign w:val="center"/>
          </w:tcPr>
          <w:p>
            <w:pPr>
              <w:spacing w:line="400" w:lineRule="exact"/>
              <w:jc w:val="center"/>
              <w:rPr>
                <w:rFonts w:ascii="宋体" w:hAnsi="宋体" w:cs="Arial"/>
                <w:kern w:val="0"/>
                <w:szCs w:val="21"/>
              </w:rPr>
            </w:pPr>
            <w:r>
              <w:rPr>
                <w:rFonts w:hint="eastAsia" w:ascii="宋体" w:hAnsi="宋体" w:cs="Arial"/>
                <w:kern w:val="0"/>
                <w:szCs w:val="21"/>
              </w:rPr>
              <w:t>注册房地产估价师</w:t>
            </w:r>
          </w:p>
        </w:tc>
        <w:tc>
          <w:tcPr>
            <w:tcW w:w="3235" w:type="dxa"/>
            <w:gridSpan w:val="2"/>
            <w:vAlign w:val="center"/>
          </w:tcPr>
          <w:p>
            <w:pPr>
              <w:spacing w:line="400" w:lineRule="exact"/>
              <w:rPr>
                <w:rFonts w:ascii="宋体" w:hAnsi="宋体"/>
                <w:bCs/>
                <w:szCs w:val="21"/>
              </w:rPr>
            </w:pPr>
            <w:r>
              <w:rPr>
                <w:rFonts w:ascii="宋体" w:hAnsi="宋体"/>
                <w:bCs/>
                <w:szCs w:val="21"/>
              </w:rPr>
              <w:t>陈平</w:t>
            </w:r>
            <w:r>
              <w:rPr>
                <w:rFonts w:hint="eastAsia" w:ascii="宋体" w:hAnsi="宋体"/>
                <w:bCs/>
                <w:szCs w:val="21"/>
              </w:rPr>
              <w:t>（注册号：</w:t>
            </w:r>
            <w:r>
              <w:rPr>
                <w:rFonts w:ascii="宋体" w:hAnsi="宋体"/>
                <w:bCs/>
                <w:szCs w:val="21"/>
              </w:rPr>
              <w:t>3520110017</w:t>
            </w:r>
            <w:r>
              <w:rPr>
                <w:rFonts w:hint="eastAsia" w:ascii="宋体" w:hAnsi="宋体"/>
                <w:bCs/>
                <w:szCs w:val="21"/>
              </w:rPr>
              <w:t>）</w:t>
            </w:r>
          </w:p>
        </w:tc>
        <w:tc>
          <w:tcPr>
            <w:tcW w:w="3877" w:type="dxa"/>
            <w:gridSpan w:val="2"/>
            <w:vAlign w:val="center"/>
          </w:tcPr>
          <w:p>
            <w:pPr>
              <w:spacing w:line="400" w:lineRule="exact"/>
              <w:rPr>
                <w:rFonts w:ascii="宋体" w:hAnsi="宋体" w:cs="Arial"/>
                <w:kern w:val="0"/>
                <w:szCs w:val="21"/>
              </w:rPr>
            </w:pPr>
            <w:r>
              <w:rPr>
                <w:rFonts w:hint="eastAsia" w:ascii="宋体" w:hAnsi="宋体" w:cs="Arial"/>
                <w:kern w:val="0"/>
                <w:szCs w:val="21"/>
              </w:rPr>
              <w:t>签名：</w:t>
            </w:r>
            <w:r>
              <w:rPr>
                <w:rFonts w:hint="eastAsia" w:ascii="宋体" w:hAnsi="宋体" w:cs="Arial"/>
                <w:color w:val="FFFFFF"/>
                <w:kern w:val="0"/>
                <w:szCs w:val="21"/>
              </w:rPr>
              <w:t xml:space="preserve">     估价师章1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exact"/>
          <w:jc w:val="center"/>
        </w:trPr>
        <w:tc>
          <w:tcPr>
            <w:tcW w:w="3271" w:type="dxa"/>
            <w:gridSpan w:val="2"/>
            <w:vMerge w:val="continue"/>
            <w:vAlign w:val="center"/>
          </w:tcPr>
          <w:p>
            <w:pPr>
              <w:spacing w:line="400" w:lineRule="exact"/>
              <w:jc w:val="center"/>
              <w:rPr>
                <w:rFonts w:ascii="宋体" w:hAnsi="宋体" w:cs="Arial"/>
                <w:kern w:val="0"/>
                <w:szCs w:val="21"/>
              </w:rPr>
            </w:pPr>
          </w:p>
        </w:tc>
        <w:tc>
          <w:tcPr>
            <w:tcW w:w="3235" w:type="dxa"/>
            <w:gridSpan w:val="2"/>
            <w:vAlign w:val="center"/>
          </w:tcPr>
          <w:p>
            <w:pPr>
              <w:spacing w:line="400" w:lineRule="exact"/>
              <w:rPr>
                <w:rFonts w:ascii="宋体" w:hAnsi="宋体"/>
                <w:bCs/>
                <w:szCs w:val="21"/>
              </w:rPr>
            </w:pPr>
            <w:r>
              <w:rPr>
                <w:rFonts w:ascii="宋体" w:hAnsi="宋体"/>
                <w:bCs/>
                <w:szCs w:val="21"/>
              </w:rPr>
              <w:t>熊贤霖</w:t>
            </w:r>
            <w:r>
              <w:rPr>
                <w:rFonts w:hint="eastAsia" w:ascii="宋体" w:hAnsi="宋体"/>
                <w:bCs/>
                <w:szCs w:val="21"/>
              </w:rPr>
              <w:t>（注册号：</w:t>
            </w:r>
            <w:r>
              <w:rPr>
                <w:rFonts w:ascii="宋体" w:hAnsi="宋体"/>
                <w:bCs/>
                <w:szCs w:val="21"/>
              </w:rPr>
              <w:t>3520200061</w:t>
            </w:r>
            <w:r>
              <w:rPr>
                <w:rFonts w:hint="eastAsia" w:ascii="宋体" w:hAnsi="宋体"/>
                <w:bCs/>
                <w:szCs w:val="21"/>
              </w:rPr>
              <w:t>）</w:t>
            </w:r>
          </w:p>
        </w:tc>
        <w:tc>
          <w:tcPr>
            <w:tcW w:w="3877" w:type="dxa"/>
            <w:gridSpan w:val="2"/>
            <w:vAlign w:val="center"/>
          </w:tcPr>
          <w:p>
            <w:pPr>
              <w:spacing w:line="400" w:lineRule="exact"/>
              <w:rPr>
                <w:rFonts w:ascii="宋体" w:hAnsi="宋体" w:cs="Arial"/>
                <w:kern w:val="0"/>
                <w:szCs w:val="21"/>
              </w:rPr>
            </w:pPr>
            <w:r>
              <w:rPr>
                <w:rFonts w:hint="eastAsia" w:ascii="宋体" w:hAnsi="宋体" w:cs="Arial"/>
                <w:kern w:val="0"/>
                <w:szCs w:val="21"/>
              </w:rPr>
              <w:t>签名：</w:t>
            </w:r>
            <w:r>
              <w:rPr>
                <w:rFonts w:hint="eastAsia" w:ascii="宋体" w:hAnsi="宋体" w:cs="Arial"/>
                <w:color w:val="FFFFFF"/>
                <w:kern w:val="0"/>
                <w:szCs w:val="21"/>
              </w:rPr>
              <w:t xml:space="preserve">     估价师章2</w:t>
            </w:r>
          </w:p>
        </w:tc>
      </w:tr>
    </w:tbl>
    <w:p>
      <w:pPr>
        <w:spacing w:line="400" w:lineRule="exact"/>
        <w:rPr>
          <w:rFonts w:ascii="宋体" w:hAnsi="宋体"/>
          <w:sz w:val="28"/>
          <w:szCs w:val="28"/>
        </w:rPr>
      </w:pPr>
      <w:r>
        <w:rPr>
          <w:rFonts w:hint="eastAsia" w:ascii="宋体" w:hAnsi="宋体"/>
          <w:color w:val="000000"/>
          <w:szCs w:val="21"/>
        </w:rPr>
        <w:t>报告有效时间：</w:t>
      </w:r>
      <w:r>
        <w:rPr>
          <w:rFonts w:hint="eastAsia" w:ascii="宋体" w:hAnsi="宋体"/>
          <w:spacing w:val="-8"/>
          <w:szCs w:val="21"/>
        </w:rPr>
        <w:t>本估价报告有效期为</w:t>
      </w:r>
      <w:r>
        <w:rPr>
          <w:rFonts w:hint="eastAsia" w:ascii="宋体" w:hAnsi="宋体"/>
          <w:bCs/>
          <w:spacing w:val="-8"/>
          <w:szCs w:val="21"/>
        </w:rPr>
        <w:t>12个月，即 2022年05月25日至2023年05月24日</w:t>
      </w:r>
    </w:p>
    <w:tbl>
      <w:tblPr>
        <w:tblStyle w:val="15"/>
        <w:tblpPr w:leftFromText="180" w:rightFromText="180" w:vertAnchor="text" w:horzAnchor="margin" w:tblpXSpec="right" w:tblpY="409"/>
        <w:tblW w:w="0" w:type="auto"/>
        <w:tblInd w:w="0" w:type="dxa"/>
        <w:tblLayout w:type="fixed"/>
        <w:tblCellMar>
          <w:top w:w="0" w:type="dxa"/>
          <w:left w:w="108" w:type="dxa"/>
          <w:bottom w:w="0" w:type="dxa"/>
          <w:right w:w="108" w:type="dxa"/>
        </w:tblCellMar>
      </w:tblPr>
      <w:tblGrid>
        <w:gridCol w:w="5415"/>
      </w:tblGrid>
      <w:tr>
        <w:tblPrEx>
          <w:tblCellMar>
            <w:top w:w="0" w:type="dxa"/>
            <w:left w:w="108" w:type="dxa"/>
            <w:bottom w:w="0" w:type="dxa"/>
            <w:right w:w="108" w:type="dxa"/>
          </w:tblCellMar>
        </w:tblPrEx>
        <w:trPr>
          <w:trHeight w:val="565" w:hRule="atLeast"/>
        </w:trPr>
        <w:tc>
          <w:tcPr>
            <w:tcW w:w="5415" w:type="dxa"/>
          </w:tcPr>
          <w:p>
            <w:pPr>
              <w:spacing w:line="540" w:lineRule="exact"/>
              <w:jc w:val="center"/>
              <w:rPr>
                <w:rFonts w:ascii="宋体" w:hAnsi="宋体" w:cs="Arial"/>
                <w:sz w:val="24"/>
                <w:szCs w:val="18"/>
              </w:rPr>
            </w:pPr>
            <w:r>
              <w:rPr>
                <w:rFonts w:hint="eastAsia" w:ascii="宋体" w:hAnsi="宋体" w:cs="Arial"/>
                <w:color w:val="FFFFFF"/>
                <w:sz w:val="24"/>
                <w:szCs w:val="18"/>
              </w:rPr>
              <w:t>公司章</w:t>
            </w:r>
          </w:p>
        </w:tc>
      </w:tr>
      <w:tr>
        <w:tblPrEx>
          <w:tblCellMar>
            <w:top w:w="0" w:type="dxa"/>
            <w:left w:w="108" w:type="dxa"/>
            <w:bottom w:w="0" w:type="dxa"/>
            <w:right w:w="108" w:type="dxa"/>
          </w:tblCellMar>
        </w:tblPrEx>
        <w:trPr>
          <w:trHeight w:val="565" w:hRule="atLeast"/>
        </w:trPr>
        <w:tc>
          <w:tcPr>
            <w:tcW w:w="5415" w:type="dxa"/>
          </w:tcPr>
          <w:p>
            <w:pPr>
              <w:spacing w:line="540" w:lineRule="exact"/>
              <w:jc w:val="center"/>
              <w:rPr>
                <w:rFonts w:ascii="宋体" w:hAnsi="宋体"/>
                <w:sz w:val="24"/>
              </w:rPr>
            </w:pPr>
            <w:r>
              <w:rPr>
                <w:rFonts w:hint="eastAsia" w:ascii="宋体" w:hAnsi="宋体" w:cs="Arial"/>
                <w:sz w:val="24"/>
                <w:szCs w:val="18"/>
              </w:rPr>
              <w:t>厦门均达房地产资产评估咨询有限公司（公章）</w:t>
            </w:r>
          </w:p>
        </w:tc>
      </w:tr>
      <w:tr>
        <w:tblPrEx>
          <w:tblCellMar>
            <w:top w:w="0" w:type="dxa"/>
            <w:left w:w="108" w:type="dxa"/>
            <w:bottom w:w="0" w:type="dxa"/>
            <w:right w:w="108" w:type="dxa"/>
          </w:tblCellMar>
        </w:tblPrEx>
        <w:trPr>
          <w:trHeight w:val="125" w:hRule="atLeast"/>
        </w:trPr>
        <w:tc>
          <w:tcPr>
            <w:tcW w:w="5415" w:type="dxa"/>
          </w:tcPr>
          <w:p>
            <w:pPr>
              <w:spacing w:line="540" w:lineRule="exact"/>
              <w:jc w:val="center"/>
              <w:rPr>
                <w:rFonts w:ascii="宋体" w:hAnsi="宋体"/>
                <w:sz w:val="24"/>
              </w:rPr>
            </w:pPr>
            <w:r>
              <w:rPr>
                <w:rFonts w:hint="eastAsia" w:ascii="宋体" w:hAnsi="宋体"/>
                <w:sz w:val="24"/>
              </w:rPr>
              <w:t xml:space="preserve"> 2022年05月25日</w:t>
            </w:r>
          </w:p>
        </w:tc>
      </w:tr>
    </w:tbl>
    <w:p>
      <w:pPr>
        <w:sectPr>
          <w:headerReference r:id="rId6" w:type="first"/>
          <w:footerReference r:id="rId9" w:type="first"/>
          <w:headerReference r:id="rId4" w:type="default"/>
          <w:footerReference r:id="rId7" w:type="default"/>
          <w:headerReference r:id="rId5" w:type="even"/>
          <w:footerReference r:id="rId8" w:type="even"/>
          <w:pgSz w:w="11906" w:h="16838"/>
          <w:pgMar w:top="1440" w:right="1588" w:bottom="1440" w:left="1797" w:header="851" w:footer="992" w:gutter="0"/>
          <w:pgNumType w:start="1"/>
          <w:cols w:space="720" w:num="1"/>
          <w:docGrid w:type="lines" w:linePitch="312" w:charSpace="0"/>
        </w:sectPr>
      </w:pPr>
    </w:p>
    <w:p>
      <w:pPr>
        <w:spacing w:line="460" w:lineRule="atLeast"/>
        <w:ind w:right="420" w:rightChars="200"/>
        <w:jc w:val="center"/>
        <w:rPr>
          <w:rFonts w:ascii="宋体" w:hAnsi="宋体"/>
          <w:b/>
          <w:sz w:val="32"/>
          <w:szCs w:val="32"/>
        </w:rPr>
      </w:pPr>
      <w:bookmarkStart w:id="1" w:name="_Toc323116694"/>
      <w:r>
        <w:rPr>
          <w:rFonts w:hint="eastAsia" w:ascii="宋体" w:hAnsi="宋体"/>
          <w:b/>
          <w:sz w:val="32"/>
          <w:szCs w:val="32"/>
        </w:rPr>
        <w:t>致估价委托人函</w:t>
      </w:r>
    </w:p>
    <w:p>
      <w:pPr>
        <w:spacing w:line="440" w:lineRule="exact"/>
        <w:ind w:right="420" w:rightChars="200"/>
        <w:jc w:val="center"/>
        <w:rPr>
          <w:rFonts w:ascii="宋体" w:hAnsi="宋体"/>
          <w:sz w:val="24"/>
        </w:rPr>
      </w:pPr>
      <w:r>
        <w:rPr>
          <w:rFonts w:hint="eastAsia" w:ascii="宋体" w:hAnsi="宋体"/>
          <w:sz w:val="24"/>
        </w:rPr>
        <w:t>厦均达房估QZ[2022]0257号</w:t>
      </w:r>
    </w:p>
    <w:p>
      <w:pPr>
        <w:pStyle w:val="14"/>
        <w:keepNext w:val="0"/>
        <w:keepLines w:val="0"/>
        <w:pageBreakBefore w:val="0"/>
        <w:kinsoku/>
        <w:wordWrap/>
        <w:overflowPunct/>
        <w:topLinePunct w:val="0"/>
        <w:autoSpaceDE/>
        <w:autoSpaceDN/>
        <w:bidi w:val="0"/>
        <w:adjustRightInd/>
        <w:snapToGrid w:val="0"/>
        <w:spacing w:before="0" w:beforeAutospacing="0" w:after="0" w:afterAutospacing="0" w:line="320" w:lineRule="exact"/>
        <w:jc w:val="both"/>
        <w:textAlignment w:val="auto"/>
        <w:rPr>
          <w:rFonts w:cs="Arial"/>
          <w:kern w:val="2"/>
        </w:rPr>
      </w:pPr>
      <w:r>
        <w:t>厦门市湖里区人民法院</w:t>
      </w:r>
      <w:r>
        <w:rPr>
          <w:rFonts w:cs="Arial"/>
          <w:kern w:val="2"/>
        </w:rPr>
        <w:t>：</w:t>
      </w:r>
    </w:p>
    <w:p>
      <w:pPr>
        <w:keepNext w:val="0"/>
        <w:keepLines w:val="0"/>
        <w:pageBreakBefore w:val="0"/>
        <w:kinsoku/>
        <w:wordWrap/>
        <w:overflowPunct/>
        <w:topLinePunct w:val="0"/>
        <w:autoSpaceDE/>
        <w:autoSpaceDN/>
        <w:bidi w:val="0"/>
        <w:adjustRightInd/>
        <w:spacing w:line="320" w:lineRule="exact"/>
        <w:ind w:firstLine="480" w:firstLineChars="200"/>
        <w:textAlignment w:val="auto"/>
        <w:rPr>
          <w:rFonts w:ascii="宋体" w:hAnsi="宋体"/>
          <w:color w:val="000000"/>
          <w:sz w:val="24"/>
        </w:rPr>
      </w:pPr>
      <w:r>
        <w:rPr>
          <w:rFonts w:ascii="宋体" w:hAnsi="宋体"/>
          <w:sz w:val="24"/>
          <w:lang w:val="zh-CN"/>
        </w:rPr>
        <w:t>受</w:t>
      </w:r>
      <w:r>
        <w:rPr>
          <w:rFonts w:hint="eastAsia" w:ascii="宋体" w:hAnsi="宋体"/>
          <w:sz w:val="24"/>
          <w:lang w:val="zh-CN"/>
        </w:rPr>
        <w:t>贵方</w:t>
      </w:r>
      <w:r>
        <w:rPr>
          <w:rFonts w:ascii="宋体" w:hAnsi="宋体"/>
          <w:sz w:val="24"/>
          <w:lang w:val="zh-CN"/>
        </w:rPr>
        <w:t>委托</w:t>
      </w:r>
      <w:r>
        <w:rPr>
          <w:rFonts w:ascii="宋体" w:hAnsi="宋体"/>
          <w:sz w:val="24"/>
        </w:rPr>
        <w:t>，</w:t>
      </w:r>
      <w:r>
        <w:rPr>
          <w:rFonts w:ascii="宋体" w:hAnsi="宋体"/>
          <w:sz w:val="24"/>
          <w:lang w:val="zh-CN"/>
        </w:rPr>
        <w:t>本估价机构</w:t>
      </w:r>
      <w:r>
        <w:rPr>
          <w:rFonts w:hint="eastAsia" w:ascii="宋体" w:hAnsi="宋体"/>
          <w:sz w:val="24"/>
          <w:lang w:val="zh-CN"/>
        </w:rPr>
        <w:t>委派注册房地产估价师</w:t>
      </w:r>
      <w:r>
        <w:rPr>
          <w:rFonts w:ascii="宋体" w:hAnsi="宋体"/>
          <w:bCs/>
          <w:sz w:val="24"/>
        </w:rPr>
        <w:t>陈平</w:t>
      </w:r>
      <w:r>
        <w:rPr>
          <w:rFonts w:hint="eastAsia" w:ascii="宋体" w:hAnsi="宋体"/>
          <w:sz w:val="24"/>
        </w:rPr>
        <w:t>（</w:t>
      </w:r>
      <w:r>
        <w:rPr>
          <w:rFonts w:hint="eastAsia" w:ascii="宋体" w:hAnsi="宋体"/>
          <w:sz w:val="24"/>
          <w:lang w:val="zh-CN"/>
        </w:rPr>
        <w:t>注册号</w:t>
      </w:r>
      <w:r>
        <w:rPr>
          <w:rFonts w:hint="eastAsia" w:ascii="宋体" w:hAnsi="宋体"/>
          <w:sz w:val="24"/>
        </w:rPr>
        <w:t>：</w:t>
      </w:r>
      <w:r>
        <w:rPr>
          <w:rFonts w:ascii="宋体" w:hAnsi="宋体"/>
          <w:sz w:val="24"/>
        </w:rPr>
        <w:t>3520110017</w:t>
      </w:r>
      <w:r>
        <w:rPr>
          <w:rFonts w:hint="eastAsia" w:ascii="宋体" w:hAnsi="宋体"/>
          <w:sz w:val="24"/>
        </w:rPr>
        <w:t>）</w:t>
      </w:r>
      <w:r>
        <w:rPr>
          <w:rFonts w:hint="eastAsia" w:ascii="宋体" w:hAnsi="宋体"/>
          <w:sz w:val="24"/>
          <w:lang w:val="zh-CN"/>
        </w:rPr>
        <w:t>、</w:t>
      </w:r>
      <w:r>
        <w:rPr>
          <w:rFonts w:hint="eastAsia" w:ascii="宋体" w:hAnsi="宋体"/>
          <w:bCs/>
          <w:sz w:val="24"/>
        </w:rPr>
        <w:t>熊贤霖</w:t>
      </w:r>
      <w:r>
        <w:rPr>
          <w:rFonts w:ascii="宋体" w:hAnsi="宋体"/>
          <w:sz w:val="24"/>
        </w:rPr>
        <w:t>（</w:t>
      </w:r>
      <w:r>
        <w:rPr>
          <w:rFonts w:ascii="宋体" w:hAnsi="宋体"/>
          <w:sz w:val="24"/>
          <w:lang w:val="zh-CN"/>
        </w:rPr>
        <w:t>注册号</w:t>
      </w:r>
      <w:r>
        <w:rPr>
          <w:rFonts w:ascii="宋体" w:hAnsi="宋体"/>
          <w:sz w:val="24"/>
        </w:rPr>
        <w:t>：3520200061</w:t>
      </w:r>
      <w:r>
        <w:rPr>
          <w:rFonts w:hint="eastAsia" w:ascii="宋体" w:hAnsi="宋体"/>
          <w:sz w:val="24"/>
        </w:rPr>
        <w:t>）</w:t>
      </w:r>
      <w:r>
        <w:rPr>
          <w:rFonts w:hint="eastAsia" w:ascii="宋体" w:hAnsi="宋体"/>
          <w:sz w:val="24"/>
          <w:lang w:val="zh-CN"/>
        </w:rPr>
        <w:t>及助手房地产估价员</w:t>
      </w:r>
      <w:r>
        <w:rPr>
          <w:rFonts w:ascii="宋体" w:hAnsi="宋体"/>
          <w:sz w:val="24"/>
        </w:rPr>
        <w:t>柯程也</w:t>
      </w:r>
      <w:r>
        <w:rPr>
          <w:rFonts w:ascii="宋体" w:hAnsi="宋体"/>
          <w:color w:val="000000"/>
          <w:sz w:val="24"/>
          <w:lang w:val="zh-CN"/>
        </w:rPr>
        <w:t>对</w:t>
      </w:r>
      <w:r>
        <w:rPr>
          <w:rFonts w:hint="eastAsia" w:ascii="宋体" w:hAnsi="宋体"/>
          <w:color w:val="000000"/>
          <w:sz w:val="24"/>
          <w:lang w:val="zh-CN"/>
        </w:rPr>
        <w:t>估价对象进行了估价</w:t>
      </w:r>
      <w:r>
        <w:rPr>
          <w:rFonts w:hint="eastAsia" w:ascii="宋体" w:hAnsi="宋体"/>
          <w:color w:val="000000"/>
          <w:sz w:val="24"/>
        </w:rPr>
        <w:t>，</w:t>
      </w:r>
      <w:r>
        <w:rPr>
          <w:rFonts w:hint="eastAsia" w:ascii="宋体" w:hAnsi="宋体"/>
          <w:color w:val="000000"/>
          <w:sz w:val="24"/>
          <w:lang w:val="zh-CN"/>
        </w:rPr>
        <w:t>有关内容报告如下。</w:t>
      </w:r>
    </w:p>
    <w:p>
      <w:pPr>
        <w:keepNext w:val="0"/>
        <w:keepLines w:val="0"/>
        <w:pageBreakBefore w:val="0"/>
        <w:kinsoku/>
        <w:wordWrap/>
        <w:overflowPunct/>
        <w:topLinePunct w:val="0"/>
        <w:autoSpaceDE/>
        <w:autoSpaceDN/>
        <w:bidi w:val="0"/>
        <w:adjustRightInd/>
        <w:spacing w:line="320" w:lineRule="exact"/>
        <w:ind w:firstLine="480" w:firstLineChars="200"/>
        <w:textAlignment w:val="auto"/>
        <w:rPr>
          <w:rFonts w:ascii="宋体" w:hAnsi="宋体"/>
          <w:sz w:val="24"/>
        </w:rPr>
      </w:pPr>
      <w:r>
        <w:rPr>
          <w:rFonts w:ascii="宋体" w:hAnsi="宋体"/>
          <w:sz w:val="24"/>
          <w:lang w:val="zh-CN"/>
        </w:rPr>
        <w:t>估价目的</w:t>
      </w:r>
      <w:r>
        <w:rPr>
          <w:rFonts w:hint="eastAsia" w:ascii="宋体" w:hAnsi="宋体"/>
          <w:sz w:val="24"/>
        </w:rPr>
        <w:t>：</w:t>
      </w:r>
      <w:r>
        <w:rPr>
          <w:rFonts w:ascii="宋体" w:hAnsi="宋体"/>
          <w:sz w:val="24"/>
        </w:rPr>
        <w:t>为委托方确定财产处置参考价提供参考依据</w:t>
      </w:r>
      <w:r>
        <w:rPr>
          <w:rFonts w:hint="eastAsia" w:ascii="宋体" w:hAnsi="宋体"/>
          <w:sz w:val="24"/>
          <w:lang w:val="zh-CN"/>
        </w:rPr>
        <w:t>。</w:t>
      </w:r>
    </w:p>
    <w:p>
      <w:pPr>
        <w:keepNext w:val="0"/>
        <w:keepLines w:val="0"/>
        <w:pageBreakBefore w:val="0"/>
        <w:kinsoku/>
        <w:wordWrap/>
        <w:overflowPunct/>
        <w:topLinePunct w:val="0"/>
        <w:autoSpaceDE/>
        <w:autoSpaceDN/>
        <w:bidi w:val="0"/>
        <w:adjustRightInd/>
        <w:spacing w:line="320" w:lineRule="exact"/>
        <w:ind w:firstLine="480" w:firstLineChars="200"/>
        <w:textAlignment w:val="auto"/>
        <w:rPr>
          <w:rFonts w:ascii="宋体" w:hAnsi="宋体"/>
          <w:sz w:val="24"/>
        </w:rPr>
      </w:pPr>
      <w:r>
        <w:rPr>
          <w:rFonts w:hint="eastAsia" w:ascii="宋体" w:hAnsi="宋体"/>
          <w:sz w:val="24"/>
          <w:lang w:val="zh-CN"/>
        </w:rPr>
        <w:t>估价对象</w:t>
      </w:r>
      <w:r>
        <w:rPr>
          <w:rFonts w:hint="eastAsia" w:ascii="宋体" w:hAnsi="宋体"/>
          <w:sz w:val="24"/>
        </w:rPr>
        <w:t>：</w:t>
      </w:r>
      <w:r>
        <w:rPr>
          <w:rFonts w:ascii="宋体" w:hAnsi="宋体"/>
          <w:bCs/>
          <w:sz w:val="24"/>
        </w:rPr>
        <w:t>惠安县螺城镇新霞企塘花园西侧Ⅵ组团A3#23号储藏间</w:t>
      </w:r>
      <w:r>
        <w:rPr>
          <w:rFonts w:hint="eastAsia" w:ascii="宋体" w:hAnsi="宋体"/>
          <w:sz w:val="24"/>
          <w:lang w:val="zh-CN"/>
        </w:rPr>
        <w:t>房地产</w:t>
      </w:r>
      <w:r>
        <w:rPr>
          <w:rFonts w:hint="eastAsia" w:ascii="宋体" w:hAnsi="宋体"/>
          <w:sz w:val="24"/>
        </w:rPr>
        <w:t>；</w:t>
      </w:r>
      <w:r>
        <w:rPr>
          <w:rFonts w:hint="eastAsia" w:ascii="宋体" w:hAnsi="宋体"/>
          <w:color w:val="000000"/>
          <w:sz w:val="24"/>
        </w:rPr>
        <w:t>财产范围包括建筑物（含室内装修）、分摊的土地使用权（含土地出让金）及配套设施，不包括动产、债权债务、特许经营权等其他财产或权益</w:t>
      </w:r>
      <w:r>
        <w:rPr>
          <w:rFonts w:hint="eastAsia" w:ascii="宋体" w:hAnsi="宋体"/>
          <w:sz w:val="24"/>
        </w:rPr>
        <w:t>；</w:t>
      </w:r>
      <w:r>
        <w:rPr>
          <w:rFonts w:hint="eastAsia" w:ascii="宋体" w:hAnsi="宋体"/>
          <w:sz w:val="24"/>
          <w:lang w:val="zh-CN"/>
        </w:rPr>
        <w:t>建筑面积</w:t>
      </w:r>
      <w:r>
        <w:rPr>
          <w:rFonts w:hint="eastAsia" w:ascii="宋体" w:hAnsi="宋体"/>
          <w:sz w:val="24"/>
        </w:rPr>
        <w:t>19.35</w:t>
      </w:r>
      <w:r>
        <w:rPr>
          <w:rFonts w:hint="eastAsia" w:ascii="宋体" w:hAnsi="宋体"/>
          <w:color w:val="000000"/>
          <w:sz w:val="24"/>
        </w:rPr>
        <w:t>平方米</w:t>
      </w:r>
      <w:r>
        <w:rPr>
          <w:rFonts w:hint="eastAsia" w:ascii="宋体" w:hAnsi="宋体"/>
          <w:sz w:val="24"/>
        </w:rPr>
        <w:t>；估价对象</w:t>
      </w:r>
      <w:r>
        <w:rPr>
          <w:rFonts w:hint="eastAsia" w:ascii="宋体" w:hAnsi="宋体"/>
          <w:sz w:val="24"/>
          <w:lang w:val="zh-CN"/>
        </w:rPr>
        <w:t>法定用途为储藏间</w:t>
      </w:r>
      <w:r>
        <w:rPr>
          <w:rFonts w:hint="eastAsia" w:ascii="宋体" w:hAnsi="宋体"/>
          <w:sz w:val="24"/>
        </w:rPr>
        <w:t>，实际用途为车库，本次评估以法定用途储藏间为准，</w:t>
      </w:r>
      <w:r>
        <w:rPr>
          <w:rFonts w:hint="eastAsia" w:ascii="宋体" w:hAnsi="宋体"/>
          <w:sz w:val="24"/>
          <w:lang w:val="zh-CN"/>
        </w:rPr>
        <w:t>国有建设用地使用权类型设定</w:t>
      </w:r>
      <w:r>
        <w:rPr>
          <w:rFonts w:hint="eastAsia" w:ascii="宋体" w:hAnsi="宋体"/>
          <w:sz w:val="24"/>
        </w:rPr>
        <w:t>为出让；</w:t>
      </w:r>
      <w:r>
        <w:rPr>
          <w:rFonts w:hint="eastAsia" w:ascii="宋体" w:hAnsi="宋体"/>
          <w:sz w:val="24"/>
          <w:lang w:val="zh-CN"/>
        </w:rPr>
        <w:t>位于楼幢</w:t>
      </w:r>
      <w:r>
        <w:rPr>
          <w:rFonts w:hint="eastAsia" w:ascii="宋体" w:hAnsi="宋体"/>
          <w:sz w:val="24"/>
        </w:rPr>
        <w:t>（总层数8层）</w:t>
      </w:r>
      <w:r>
        <w:rPr>
          <w:rFonts w:hint="eastAsia" w:ascii="宋体" w:hAnsi="宋体"/>
          <w:sz w:val="24"/>
          <w:lang w:val="zh-CN"/>
        </w:rPr>
        <w:t>的第</w:t>
      </w:r>
      <w:r>
        <w:rPr>
          <w:rFonts w:hint="eastAsia" w:ascii="宋体" w:hAnsi="宋体"/>
          <w:sz w:val="24"/>
        </w:rPr>
        <w:t>1层；</w:t>
      </w:r>
      <w:r>
        <w:rPr>
          <w:rFonts w:hint="eastAsia" w:ascii="宋体" w:hAnsi="宋体"/>
          <w:sz w:val="24"/>
          <w:lang w:val="zh-CN"/>
        </w:rPr>
        <w:t>建筑结构为</w:t>
      </w:r>
      <w:r>
        <w:rPr>
          <w:rFonts w:hint="eastAsia" w:ascii="宋体" w:hAnsi="宋体"/>
          <w:sz w:val="24"/>
        </w:rPr>
        <w:t>钢混</w:t>
      </w:r>
      <w:r>
        <w:rPr>
          <w:rFonts w:hint="eastAsia" w:ascii="宋体" w:hAnsi="宋体"/>
          <w:sz w:val="24"/>
          <w:lang w:val="zh-CN"/>
        </w:rPr>
        <w:t>结构</w:t>
      </w:r>
      <w:r>
        <w:rPr>
          <w:rFonts w:hint="eastAsia" w:ascii="宋体" w:hAnsi="宋体"/>
          <w:sz w:val="24"/>
        </w:rPr>
        <w:t>，</w:t>
      </w:r>
      <w:r>
        <w:rPr>
          <w:rFonts w:ascii="宋体" w:hAnsi="宋体"/>
          <w:sz w:val="24"/>
        </w:rPr>
        <w:t>无电梯</w:t>
      </w:r>
      <w:r>
        <w:rPr>
          <w:rFonts w:hint="eastAsia" w:ascii="宋体" w:hAnsi="宋体"/>
          <w:sz w:val="24"/>
        </w:rPr>
        <w:t>；</w:t>
      </w:r>
      <w:r>
        <w:rPr>
          <w:rFonts w:hint="eastAsia" w:ascii="宋体" w:hAnsi="宋体"/>
          <w:sz w:val="24"/>
          <w:lang w:val="zh-CN"/>
        </w:rPr>
        <w:t>权属人为</w:t>
      </w:r>
      <w:r>
        <w:rPr>
          <w:rFonts w:hint="eastAsia" w:ascii="宋体" w:hAnsi="宋体"/>
          <w:sz w:val="24"/>
        </w:rPr>
        <w:t>刘龙海</w:t>
      </w:r>
      <w:r>
        <w:rPr>
          <w:rFonts w:hint="eastAsia" w:ascii="宋体" w:hAnsi="宋体"/>
          <w:sz w:val="24"/>
          <w:lang w:val="zh-CN"/>
        </w:rPr>
        <w:t>。</w:t>
      </w:r>
    </w:p>
    <w:p>
      <w:pPr>
        <w:keepNext w:val="0"/>
        <w:keepLines w:val="0"/>
        <w:pageBreakBefore w:val="0"/>
        <w:kinsoku/>
        <w:wordWrap/>
        <w:overflowPunct/>
        <w:topLinePunct w:val="0"/>
        <w:autoSpaceDE/>
        <w:autoSpaceDN/>
        <w:bidi w:val="0"/>
        <w:adjustRightInd/>
        <w:spacing w:line="320" w:lineRule="exact"/>
        <w:ind w:firstLine="480" w:firstLineChars="200"/>
        <w:textAlignment w:val="auto"/>
        <w:rPr>
          <w:rFonts w:ascii="宋体" w:hAnsi="宋体"/>
          <w:sz w:val="24"/>
        </w:rPr>
      </w:pPr>
      <w:r>
        <w:rPr>
          <w:rFonts w:ascii="宋体" w:hAnsi="宋体"/>
          <w:sz w:val="24"/>
          <w:lang w:val="zh-CN"/>
        </w:rPr>
        <w:t>价值</w:t>
      </w:r>
      <w:r>
        <w:rPr>
          <w:rFonts w:hint="eastAsia" w:ascii="宋体" w:hAnsi="宋体"/>
          <w:sz w:val="24"/>
          <w:lang w:val="zh-CN"/>
        </w:rPr>
        <w:t>时点</w:t>
      </w:r>
      <w:r>
        <w:rPr>
          <w:rFonts w:hint="eastAsia" w:ascii="宋体" w:hAnsi="宋体"/>
          <w:sz w:val="24"/>
        </w:rPr>
        <w:t>： 2022年05月23日</w:t>
      </w:r>
      <w:r>
        <w:rPr>
          <w:rFonts w:hint="eastAsia" w:ascii="宋体" w:hAnsi="宋体"/>
          <w:sz w:val="24"/>
          <w:lang w:val="zh-CN"/>
        </w:rPr>
        <w:t>。</w:t>
      </w:r>
    </w:p>
    <w:p>
      <w:pPr>
        <w:keepNext w:val="0"/>
        <w:keepLines w:val="0"/>
        <w:pageBreakBefore w:val="0"/>
        <w:kinsoku/>
        <w:wordWrap/>
        <w:overflowPunct/>
        <w:topLinePunct w:val="0"/>
        <w:autoSpaceDE/>
        <w:autoSpaceDN/>
        <w:bidi w:val="0"/>
        <w:adjustRightInd/>
        <w:spacing w:line="320" w:lineRule="exact"/>
        <w:ind w:firstLine="480" w:firstLineChars="200"/>
        <w:textAlignment w:val="auto"/>
        <w:rPr>
          <w:rFonts w:ascii="宋体" w:hAnsi="宋体"/>
          <w:sz w:val="24"/>
        </w:rPr>
      </w:pPr>
      <w:r>
        <w:rPr>
          <w:rFonts w:ascii="宋体" w:hAnsi="宋体"/>
          <w:sz w:val="24"/>
          <w:lang w:val="zh-CN"/>
        </w:rPr>
        <w:t>价值类型</w:t>
      </w:r>
      <w:r>
        <w:rPr>
          <w:rFonts w:hint="eastAsia" w:ascii="宋体" w:hAnsi="宋体"/>
          <w:sz w:val="24"/>
        </w:rPr>
        <w:t>：市场价值</w:t>
      </w:r>
      <w:r>
        <w:rPr>
          <w:rFonts w:ascii="宋体" w:hAnsi="宋体"/>
          <w:sz w:val="24"/>
          <w:lang w:val="zh-CN"/>
        </w:rPr>
        <w:t>。</w:t>
      </w:r>
    </w:p>
    <w:p>
      <w:pPr>
        <w:keepNext w:val="0"/>
        <w:keepLines w:val="0"/>
        <w:pageBreakBefore w:val="0"/>
        <w:kinsoku/>
        <w:wordWrap/>
        <w:overflowPunct/>
        <w:topLinePunct w:val="0"/>
        <w:autoSpaceDE/>
        <w:autoSpaceDN/>
        <w:bidi w:val="0"/>
        <w:adjustRightInd/>
        <w:spacing w:line="320" w:lineRule="exact"/>
        <w:ind w:firstLine="480" w:firstLineChars="200"/>
        <w:textAlignment w:val="auto"/>
        <w:rPr>
          <w:rFonts w:ascii="宋体" w:hAnsi="宋体"/>
          <w:sz w:val="24"/>
        </w:rPr>
      </w:pPr>
      <w:r>
        <w:rPr>
          <w:rFonts w:hint="eastAsia" w:ascii="宋体" w:hAnsi="宋体"/>
          <w:sz w:val="24"/>
          <w:lang w:val="zh-CN"/>
        </w:rPr>
        <w:t>估价方法</w:t>
      </w:r>
      <w:r>
        <w:rPr>
          <w:rFonts w:hint="eastAsia" w:ascii="宋体" w:hAnsi="宋体"/>
          <w:sz w:val="24"/>
        </w:rPr>
        <w:t>：收益法,成本法</w:t>
      </w:r>
      <w:r>
        <w:rPr>
          <w:rFonts w:hint="eastAsia" w:ascii="宋体" w:hAnsi="宋体"/>
          <w:sz w:val="24"/>
          <w:lang w:val="zh-CN"/>
        </w:rPr>
        <w:t>。</w:t>
      </w:r>
    </w:p>
    <w:p>
      <w:pPr>
        <w:keepNext w:val="0"/>
        <w:keepLines w:val="0"/>
        <w:pageBreakBefore w:val="0"/>
        <w:kinsoku/>
        <w:wordWrap/>
        <w:overflowPunct/>
        <w:topLinePunct w:val="0"/>
        <w:autoSpaceDE/>
        <w:autoSpaceDN/>
        <w:bidi w:val="0"/>
        <w:adjustRightInd/>
        <w:spacing w:line="320" w:lineRule="exact"/>
        <w:ind w:firstLine="480" w:firstLineChars="200"/>
        <w:textAlignment w:val="auto"/>
        <w:rPr>
          <w:rFonts w:ascii="宋体" w:hAnsi="宋体" w:cs="宋体"/>
          <w:b/>
          <w:bCs/>
          <w:sz w:val="24"/>
        </w:rPr>
      </w:pPr>
      <w:r>
        <w:rPr>
          <w:rFonts w:hint="eastAsia" w:ascii="宋体" w:hAnsi="宋体"/>
          <w:sz w:val="24"/>
          <w:lang w:val="zh-CN"/>
        </w:rPr>
        <w:t>估价结果</w:t>
      </w:r>
      <w:r>
        <w:rPr>
          <w:rFonts w:hint="eastAsia" w:ascii="宋体" w:hAnsi="宋体"/>
          <w:sz w:val="24"/>
        </w:rPr>
        <w:t>：</w:t>
      </w:r>
      <w:r>
        <w:rPr>
          <w:rFonts w:hint="eastAsia" w:ascii="宋体" w:hAnsi="宋体"/>
          <w:sz w:val="24"/>
          <w:lang w:val="zh-CN"/>
        </w:rPr>
        <w:t>见下表。</w:t>
      </w:r>
    </w:p>
    <w:tbl>
      <w:tblPr>
        <w:tblStyle w:val="15"/>
        <w:tblW w:w="94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01"/>
        <w:gridCol w:w="1655"/>
        <w:gridCol w:w="1633"/>
        <w:gridCol w:w="1285"/>
        <w:gridCol w:w="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74" w:type="dxa"/>
            <w:gridSpan w:val="4"/>
            <w:tcBorders>
              <w:top w:val="nil"/>
              <w:left w:val="nil"/>
              <w:bottom w:val="single" w:color="auto" w:sz="12" w:space="0"/>
              <w:right w:val="nil"/>
            </w:tcBorders>
            <w:vAlign w:val="center"/>
          </w:tcPr>
          <w:p>
            <w:pPr>
              <w:jc w:val="center"/>
              <w:rPr>
                <w:rFonts w:ascii="宋体" w:hAnsi="宋体" w:cs="宋体"/>
                <w:b/>
                <w:bCs/>
                <w:szCs w:val="21"/>
              </w:rPr>
            </w:pPr>
            <w:r>
              <w:rPr>
                <w:rFonts w:hint="eastAsia" w:ascii="宋体" w:hAnsi="宋体" w:cs="宋体"/>
                <w:b/>
                <w:bCs/>
                <w:sz w:val="24"/>
              </w:rPr>
              <w:t xml:space="preserve">估价对象房地产价值评估结果表  </w:t>
            </w:r>
          </w:p>
        </w:tc>
        <w:tc>
          <w:tcPr>
            <w:tcW w:w="694" w:type="dxa"/>
            <w:tcBorders>
              <w:top w:val="nil"/>
              <w:left w:val="nil"/>
              <w:bottom w:val="single" w:color="auto" w:sz="12" w:space="0"/>
              <w:right w:val="nil"/>
            </w:tcBorders>
          </w:tcPr>
          <w:p>
            <w:pPr>
              <w:jc w:val="center"/>
              <w:rPr>
                <w:rFonts w:ascii="宋体" w:hAnsi="宋体" w:cs="宋体"/>
                <w:b/>
                <w:szCs w:val="21"/>
              </w:rPr>
            </w:pPr>
            <w:r>
              <w:rPr>
                <w:rFonts w:hint="eastAsia" w:ascii="宋体" w:hAnsi="宋体" w:cs="宋体"/>
                <w:b/>
                <w:bCs/>
                <w:sz w:val="24"/>
              </w:rPr>
              <w:t>表1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01" w:type="dxa"/>
            <w:vMerge w:val="restart"/>
            <w:vAlign w:val="center"/>
          </w:tcPr>
          <w:p>
            <w:pPr>
              <w:spacing w:line="360" w:lineRule="exact"/>
              <w:jc w:val="center"/>
              <w:rPr>
                <w:rFonts w:ascii="宋体" w:hAnsi="宋体" w:cs="宋体"/>
                <w:szCs w:val="21"/>
              </w:rPr>
            </w:pPr>
            <w:r>
              <w:rPr>
                <w:rFonts w:hint="eastAsia" w:ascii="宋体" w:hAnsi="宋体" w:cs="宋体"/>
                <w:b/>
                <w:bCs/>
                <w:szCs w:val="21"/>
              </w:rPr>
              <w:t>项目</w:t>
            </w:r>
          </w:p>
        </w:tc>
        <w:tc>
          <w:tcPr>
            <w:tcW w:w="5267" w:type="dxa"/>
            <w:gridSpan w:val="4"/>
          </w:tcPr>
          <w:p>
            <w:pPr>
              <w:spacing w:line="360" w:lineRule="exact"/>
              <w:jc w:val="center"/>
              <w:rPr>
                <w:rFonts w:ascii="宋体" w:hAnsi="宋体" w:cs="宋体"/>
                <w:b/>
                <w:szCs w:val="21"/>
              </w:rPr>
            </w:pPr>
            <w:r>
              <w:rPr>
                <w:rFonts w:hint="eastAsia" w:ascii="宋体" w:hAnsi="宋体" w:cs="宋体"/>
                <w:b/>
                <w:szCs w:val="21"/>
              </w:rPr>
              <w:t>估价结果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01" w:type="dxa"/>
            <w:vMerge w:val="continue"/>
          </w:tcPr>
          <w:p>
            <w:pPr>
              <w:spacing w:line="360" w:lineRule="exact"/>
              <w:rPr>
                <w:rFonts w:ascii="宋体" w:hAnsi="宋体" w:cs="宋体"/>
                <w:szCs w:val="21"/>
              </w:rPr>
            </w:pPr>
          </w:p>
        </w:tc>
        <w:tc>
          <w:tcPr>
            <w:tcW w:w="1655" w:type="dxa"/>
          </w:tcPr>
          <w:p>
            <w:pPr>
              <w:spacing w:line="360" w:lineRule="exact"/>
              <w:jc w:val="center"/>
              <w:rPr>
                <w:rFonts w:ascii="宋体" w:hAnsi="宋体" w:cs="宋体"/>
                <w:b/>
                <w:szCs w:val="21"/>
              </w:rPr>
            </w:pPr>
            <w:r>
              <w:rPr>
                <w:rFonts w:hint="eastAsia" w:ascii="宋体" w:hAnsi="宋体" w:cs="宋体"/>
                <w:b/>
                <w:szCs w:val="21"/>
              </w:rPr>
              <w:t>面积（元/㎡）</w:t>
            </w:r>
          </w:p>
        </w:tc>
        <w:tc>
          <w:tcPr>
            <w:tcW w:w="1633" w:type="dxa"/>
          </w:tcPr>
          <w:p>
            <w:pPr>
              <w:spacing w:line="360" w:lineRule="exact"/>
              <w:jc w:val="center"/>
              <w:rPr>
                <w:rFonts w:ascii="宋体" w:hAnsi="宋体" w:cs="宋体"/>
                <w:b/>
                <w:szCs w:val="21"/>
              </w:rPr>
            </w:pPr>
            <w:r>
              <w:rPr>
                <w:rFonts w:hint="eastAsia" w:ascii="宋体" w:hAnsi="宋体" w:cs="宋体"/>
                <w:b/>
                <w:szCs w:val="21"/>
              </w:rPr>
              <w:t>单</w:t>
            </w:r>
            <w:r>
              <w:rPr>
                <w:rFonts w:hint="eastAsia" w:ascii="宋体" w:hAnsi="宋体" w:cs="宋体"/>
                <w:b/>
                <w:bCs/>
                <w:szCs w:val="21"/>
              </w:rPr>
              <w:t>价（元）</w:t>
            </w:r>
          </w:p>
        </w:tc>
        <w:tc>
          <w:tcPr>
            <w:tcW w:w="1979" w:type="dxa"/>
            <w:gridSpan w:val="2"/>
          </w:tcPr>
          <w:p>
            <w:pPr>
              <w:spacing w:line="360" w:lineRule="exact"/>
              <w:jc w:val="center"/>
              <w:rPr>
                <w:rFonts w:ascii="宋体" w:hAnsi="宋体" w:cs="宋体"/>
                <w:b/>
                <w:szCs w:val="21"/>
              </w:rPr>
            </w:pPr>
            <w:r>
              <w:rPr>
                <w:rFonts w:hint="eastAsia" w:ascii="宋体" w:hAnsi="宋体" w:cs="宋体"/>
                <w:b/>
                <w:bCs/>
                <w:szCs w:val="21"/>
              </w:rPr>
              <w:t>总价或总额</w:t>
            </w:r>
            <w:r>
              <w:rPr>
                <w:rFonts w:hint="eastAsia" w:ascii="宋体" w:hAnsi="宋体" w:cs="宋体"/>
                <w:b/>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201" w:type="dxa"/>
            <w:vAlign w:val="center"/>
          </w:tcPr>
          <w:p>
            <w:pPr>
              <w:spacing w:line="360" w:lineRule="exact"/>
              <w:jc w:val="center"/>
              <w:rPr>
                <w:rFonts w:ascii="宋体" w:hAnsi="宋体" w:cs="Arial"/>
                <w:kern w:val="0"/>
                <w:szCs w:val="21"/>
              </w:rPr>
            </w:pPr>
            <w:r>
              <w:rPr>
                <w:rFonts w:hint="eastAsia" w:ascii="宋体" w:hAnsi="宋体"/>
                <w:bCs/>
                <w:szCs w:val="21"/>
              </w:rPr>
              <w:t>惠安县螺城镇新霞企塘花园西侧Ⅵ组团A3#23号储藏间</w:t>
            </w:r>
          </w:p>
        </w:tc>
        <w:tc>
          <w:tcPr>
            <w:tcW w:w="1655" w:type="dxa"/>
            <w:vAlign w:val="center"/>
          </w:tcPr>
          <w:p>
            <w:pPr>
              <w:spacing w:line="360" w:lineRule="exact"/>
              <w:jc w:val="center"/>
              <w:rPr>
                <w:rFonts w:ascii="宋体" w:hAnsi="宋体" w:cs="Arial"/>
                <w:kern w:val="0"/>
                <w:szCs w:val="21"/>
              </w:rPr>
            </w:pPr>
            <w:r>
              <w:rPr>
                <w:rFonts w:hint="eastAsia" w:ascii="宋体" w:hAnsi="宋体" w:cs="Arial"/>
                <w:kern w:val="0"/>
                <w:szCs w:val="21"/>
              </w:rPr>
              <w:t>19.35</w:t>
            </w:r>
          </w:p>
        </w:tc>
        <w:tc>
          <w:tcPr>
            <w:tcW w:w="1633" w:type="dxa"/>
            <w:vAlign w:val="center"/>
          </w:tcPr>
          <w:p>
            <w:pPr>
              <w:spacing w:line="360" w:lineRule="exact"/>
              <w:jc w:val="center"/>
              <w:rPr>
                <w:rFonts w:ascii="宋体" w:hAnsi="宋体" w:cs="Arial"/>
                <w:kern w:val="0"/>
                <w:szCs w:val="21"/>
              </w:rPr>
            </w:pPr>
            <w:r>
              <w:rPr>
                <w:rFonts w:hint="eastAsia" w:ascii="宋体" w:hAnsi="宋体" w:cs="Arial"/>
                <w:kern w:val="0"/>
                <w:szCs w:val="21"/>
              </w:rPr>
              <w:t>5695</w:t>
            </w:r>
          </w:p>
        </w:tc>
        <w:tc>
          <w:tcPr>
            <w:tcW w:w="1979" w:type="dxa"/>
            <w:gridSpan w:val="2"/>
            <w:vAlign w:val="center"/>
          </w:tcPr>
          <w:p>
            <w:pPr>
              <w:spacing w:line="360" w:lineRule="exact"/>
              <w:jc w:val="center"/>
              <w:rPr>
                <w:rFonts w:ascii="宋体" w:hAnsi="宋体" w:cs="Arial"/>
                <w:kern w:val="0"/>
                <w:szCs w:val="21"/>
              </w:rPr>
            </w:pPr>
            <w:r>
              <w:rPr>
                <w:rFonts w:hint="eastAsia" w:ascii="宋体" w:hAnsi="宋体" w:cs="Arial"/>
                <w:kern w:val="0"/>
                <w:szCs w:val="21"/>
              </w:rPr>
              <w:t>11.02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01" w:type="dxa"/>
            <w:vAlign w:val="center"/>
          </w:tcPr>
          <w:p>
            <w:pPr>
              <w:spacing w:line="360" w:lineRule="exact"/>
              <w:jc w:val="center"/>
              <w:rPr>
                <w:rFonts w:ascii="宋体" w:hAnsi="宋体" w:cs="Arial"/>
                <w:kern w:val="0"/>
                <w:szCs w:val="21"/>
              </w:rPr>
            </w:pPr>
            <w:r>
              <w:rPr>
                <w:rFonts w:hint="eastAsia" w:ascii="宋体" w:hAnsi="宋体" w:cs="Arial"/>
                <w:kern w:val="0"/>
                <w:szCs w:val="21"/>
              </w:rPr>
              <w:t>合计</w:t>
            </w:r>
          </w:p>
        </w:tc>
        <w:tc>
          <w:tcPr>
            <w:tcW w:w="5267" w:type="dxa"/>
            <w:gridSpan w:val="4"/>
            <w:vAlign w:val="center"/>
          </w:tcPr>
          <w:p>
            <w:pPr>
              <w:spacing w:line="360" w:lineRule="exact"/>
              <w:jc w:val="center"/>
              <w:rPr>
                <w:rFonts w:ascii="宋体" w:hAnsi="宋体" w:cs="Arial"/>
                <w:kern w:val="0"/>
                <w:szCs w:val="21"/>
              </w:rPr>
            </w:pPr>
            <w:r>
              <w:rPr>
                <w:rFonts w:hint="eastAsia" w:ascii="宋体" w:hAnsi="宋体" w:cs="Arial"/>
                <w:kern w:val="0"/>
                <w:szCs w:val="21"/>
              </w:rPr>
              <w:t>11.02</w:t>
            </w:r>
          </w:p>
          <w:p>
            <w:pPr>
              <w:spacing w:line="360" w:lineRule="exact"/>
              <w:jc w:val="center"/>
              <w:rPr>
                <w:rFonts w:ascii="宋体" w:hAnsi="宋体" w:cs="Arial"/>
                <w:kern w:val="0"/>
                <w:szCs w:val="21"/>
              </w:rPr>
            </w:pPr>
            <w:r>
              <w:rPr>
                <w:rFonts w:hint="eastAsia" w:ascii="宋体" w:hAnsi="宋体" w:cs="Arial"/>
                <w:kern w:val="0"/>
                <w:szCs w:val="21"/>
              </w:rPr>
              <w:t>（人民币壹拾壹万零贰佰</w:t>
            </w:r>
            <w:r>
              <w:rPr>
                <w:rFonts w:ascii="宋体" w:hAnsi="宋体" w:cs="Arial"/>
                <w:kern w:val="0"/>
                <w:szCs w:val="21"/>
              </w:rPr>
              <w:t>元整</w:t>
            </w:r>
            <w:r>
              <w:rPr>
                <w:rFonts w:hint="eastAsia" w:ascii="宋体" w:hAnsi="宋体" w:cs="Arial"/>
                <w:kern w:val="0"/>
                <w:szCs w:val="21"/>
              </w:rPr>
              <w:t>）</w:t>
            </w:r>
          </w:p>
        </w:tc>
      </w:tr>
    </w:tbl>
    <w:p>
      <w:pPr>
        <w:keepNext w:val="0"/>
        <w:keepLines w:val="0"/>
        <w:pageBreakBefore w:val="0"/>
        <w:widowControl w:val="0"/>
        <w:kinsoku/>
        <w:wordWrap/>
        <w:overflowPunct/>
        <w:topLinePunct w:val="0"/>
        <w:autoSpaceDE/>
        <w:autoSpaceDN/>
        <w:bidi w:val="0"/>
        <w:adjustRightInd/>
        <w:snapToGrid/>
        <w:spacing w:before="156" w:beforeLines="50" w:line="300" w:lineRule="atLeast"/>
        <w:ind w:left="-424" w:leftChars="-202" w:right="-409" w:rightChars="-195" w:firstLine="480" w:firstLineChars="200"/>
        <w:textAlignment w:val="auto"/>
        <w:rPr>
          <w:rFonts w:ascii="宋体" w:hAnsi="宋体" w:cs="Arial"/>
          <w:sz w:val="24"/>
        </w:rPr>
      </w:pPr>
      <w:r>
        <w:rPr>
          <w:rFonts w:hint="eastAsia" w:ascii="宋体" w:hAnsi="宋体"/>
          <w:sz w:val="24"/>
          <w:lang w:val="zh-CN"/>
        </w:rPr>
        <w:t>特别提示：</w:t>
      </w:r>
      <w:r>
        <w:rPr>
          <w:rFonts w:hint="eastAsia" w:ascii="宋体" w:hAnsi="宋体"/>
          <w:szCs w:val="21"/>
          <w:lang w:val="zh-CN"/>
        </w:rPr>
        <w:t>（1）估价结果的影响因素不包括估价对象原有的担保物权和其他法定优先受偿权，也不包括原有的用益物权。（2）本估价结果仅为人民法院确定财产处置参考，不是估价对象处置可实现的成交价格，且不应视为对估价对象处置成交价格的保证。（3）财产拍卖或者变卖之日与价值时点不一致，可能导致评估结果对应的评估对象状况、房地产市场状况、欠缴税费状况等与财产拍卖或者变卖时的相应状况不一致，发生明显变化的，评估结果应当进行相应调整后才可使用。（4）在评估报告使用期限或者评估结果有效期内，评估报告或者评估结果未使用之前，如果评估对象状况或者房地产市场状况发生明显变化的，评估结果应当进行相应调整后才可使用。（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Fonts w:ascii="宋体" w:hAnsi="宋体" w:cs="Arial"/>
          <w:szCs w:val="21"/>
        </w:rPr>
        <w:t>。</w:t>
      </w:r>
      <w:r>
        <w:rPr>
          <w:rFonts w:hint="eastAsia" w:ascii="宋体" w:hAnsi="宋体" w:cs="Arial"/>
          <w:szCs w:val="21"/>
        </w:rPr>
        <w:t>（6）</w:t>
      </w:r>
      <w:r>
        <w:rPr>
          <w:rFonts w:hint="eastAsia" w:ascii="宋体" w:hAnsi="宋体"/>
          <w:szCs w:val="21"/>
          <w:lang w:val="zh-CN"/>
        </w:rPr>
        <w:t>本估价报告使用期限为自本估价报告出具之日起不超过一年。（7）欲知详情，请阅读本估价报告全文</w:t>
      </w:r>
      <w:r>
        <w:rPr>
          <w:rFonts w:ascii="宋体" w:hAnsi="宋体" w:cs="Arial"/>
          <w:sz w:val="24"/>
        </w:rPr>
        <w:t>。</w:t>
      </w:r>
    </w:p>
    <w:tbl>
      <w:tblPr>
        <w:tblStyle w:val="15"/>
        <w:tblpPr w:leftFromText="180" w:rightFromText="180" w:vertAnchor="text" w:horzAnchor="page" w:tblpX="5896" w:tblpY="13"/>
        <w:tblW w:w="0" w:type="auto"/>
        <w:tblInd w:w="0" w:type="dxa"/>
        <w:tblLayout w:type="fixed"/>
        <w:tblCellMar>
          <w:top w:w="0" w:type="dxa"/>
          <w:left w:w="108" w:type="dxa"/>
          <w:bottom w:w="0" w:type="dxa"/>
          <w:right w:w="108" w:type="dxa"/>
        </w:tblCellMar>
      </w:tblPr>
      <w:tblGrid>
        <w:gridCol w:w="5406"/>
      </w:tblGrid>
      <w:tr>
        <w:tblPrEx>
          <w:tblCellMar>
            <w:top w:w="0" w:type="dxa"/>
            <w:left w:w="108" w:type="dxa"/>
            <w:bottom w:w="0" w:type="dxa"/>
            <w:right w:w="108" w:type="dxa"/>
          </w:tblCellMar>
        </w:tblPrEx>
        <w:trPr>
          <w:trHeight w:val="313" w:hRule="atLeast"/>
        </w:trPr>
        <w:tc>
          <w:tcPr>
            <w:tcW w:w="5406" w:type="dxa"/>
          </w:tcPr>
          <w:p>
            <w:pPr>
              <w:spacing w:line="480" w:lineRule="exact"/>
              <w:jc w:val="center"/>
              <w:rPr>
                <w:rFonts w:ascii="宋体" w:hAnsi="宋体"/>
                <w:sz w:val="24"/>
              </w:rPr>
            </w:pPr>
            <w:r>
              <w:rPr>
                <w:rFonts w:hint="eastAsia" w:ascii="宋体" w:hAnsi="宋体" w:cs="Arial"/>
                <w:sz w:val="24"/>
              </w:rPr>
              <w:t>厦门均达房地产资产评估咨询有限公司（公章）</w:t>
            </w:r>
          </w:p>
        </w:tc>
      </w:tr>
      <w:tr>
        <w:tblPrEx>
          <w:tblCellMar>
            <w:top w:w="0" w:type="dxa"/>
            <w:left w:w="108" w:type="dxa"/>
            <w:bottom w:w="0" w:type="dxa"/>
            <w:right w:w="108" w:type="dxa"/>
          </w:tblCellMar>
        </w:tblPrEx>
        <w:trPr>
          <w:trHeight w:val="313" w:hRule="atLeast"/>
        </w:trPr>
        <w:tc>
          <w:tcPr>
            <w:tcW w:w="5406" w:type="dxa"/>
          </w:tcPr>
          <w:p>
            <w:pPr>
              <w:spacing w:line="480" w:lineRule="exact"/>
              <w:jc w:val="center"/>
              <w:rPr>
                <w:rFonts w:ascii="宋体" w:hAnsi="宋体"/>
                <w:sz w:val="24"/>
              </w:rPr>
            </w:pPr>
            <w:r>
              <w:rPr>
                <w:rFonts w:hint="eastAsia" w:ascii="宋体" w:hAnsi="宋体"/>
                <w:sz w:val="24"/>
              </w:rPr>
              <w:t>法定代表人：</w:t>
            </w:r>
            <w:r>
              <w:rPr>
                <w:rFonts w:hint="eastAsia" w:ascii="宋体" w:hAnsi="宋体" w:cs="Arial"/>
                <w:sz w:val="24"/>
              </w:rPr>
              <w:t>鲁苗根（签名或盖章）</w:t>
            </w:r>
            <w:r>
              <w:rPr>
                <w:rFonts w:hint="eastAsia" w:ascii="宋体" w:hAnsi="宋体" w:cs="Arial"/>
                <w:color w:val="FFFFFF"/>
                <w:sz w:val="24"/>
              </w:rPr>
              <w:t>法人章</w:t>
            </w:r>
          </w:p>
        </w:tc>
      </w:tr>
      <w:tr>
        <w:tblPrEx>
          <w:tblCellMar>
            <w:top w:w="0" w:type="dxa"/>
            <w:left w:w="108" w:type="dxa"/>
            <w:bottom w:w="0" w:type="dxa"/>
            <w:right w:w="108" w:type="dxa"/>
          </w:tblCellMar>
        </w:tblPrEx>
        <w:trPr>
          <w:trHeight w:val="69" w:hRule="atLeast"/>
        </w:trPr>
        <w:tc>
          <w:tcPr>
            <w:tcW w:w="5406" w:type="dxa"/>
          </w:tcPr>
          <w:p>
            <w:pPr>
              <w:spacing w:line="480" w:lineRule="exact"/>
              <w:jc w:val="center"/>
              <w:rPr>
                <w:rFonts w:ascii="宋体" w:hAnsi="宋体"/>
                <w:sz w:val="24"/>
              </w:rPr>
            </w:pPr>
            <w:r>
              <w:rPr>
                <w:rFonts w:hint="eastAsia" w:ascii="宋体" w:hAnsi="宋体"/>
                <w:sz w:val="24"/>
              </w:rPr>
              <w:t xml:space="preserve"> 2022年05月25日</w:t>
            </w:r>
          </w:p>
        </w:tc>
      </w:tr>
    </w:tbl>
    <w:p>
      <w:pPr>
        <w:spacing w:before="156" w:beforeLines="50" w:line="400" w:lineRule="exact"/>
        <w:ind w:firstLine="480" w:firstLineChars="200"/>
        <w:rPr>
          <w:rFonts w:ascii="宋体" w:hAnsi="宋体" w:cs="Arial"/>
          <w:sz w:val="24"/>
        </w:rPr>
      </w:pPr>
      <w:r>
        <w:rPr>
          <w:rFonts w:ascii="宋体" w:hAnsi="宋体" w:cs="Arial"/>
          <w:sz w:val="24"/>
        </w:rPr>
        <w:t>。</w:t>
      </w:r>
    </w:p>
    <w:p>
      <w:pPr>
        <w:rPr>
          <w:rFonts w:ascii="宋体" w:hAnsi="宋体"/>
          <w:sz w:val="24"/>
        </w:rPr>
      </w:pPr>
    </w:p>
    <w:p>
      <w:pPr>
        <w:spacing w:line="460" w:lineRule="atLeast"/>
        <w:ind w:right="420" w:rightChars="200"/>
        <w:jc w:val="center"/>
        <w:rPr>
          <w:rFonts w:ascii="黑体" w:eastAsia="黑体"/>
          <w:sz w:val="36"/>
          <w:szCs w:val="36"/>
        </w:rPr>
      </w:pPr>
      <w:r>
        <w:br w:type="page"/>
      </w:r>
      <w:r>
        <w:rPr>
          <w:rFonts w:hint="eastAsia" w:ascii="宋体" w:hAnsi="宋体"/>
          <w:b/>
          <w:sz w:val="32"/>
          <w:szCs w:val="32"/>
        </w:rPr>
        <w:t>目  录</w:t>
      </w:r>
    </w:p>
    <w:p>
      <w:pPr>
        <w:pStyle w:val="12"/>
        <w:tabs>
          <w:tab w:val="right" w:leader="dot" w:pos="8511"/>
        </w:tabs>
        <w:rPr>
          <w:rFonts w:asciiTheme="minorHAnsi" w:hAnsiTheme="minorHAnsi" w:eastAsiaTheme="minorEastAsia" w:cstheme="minorBidi"/>
          <w:b w:val="0"/>
          <w:sz w:val="21"/>
          <w:szCs w:val="22"/>
        </w:rPr>
      </w:pPr>
      <w:bookmarkStart w:id="2" w:name="_Toc1123"/>
      <w:bookmarkStart w:id="3" w:name="_Toc323116722"/>
      <w:r>
        <w:rPr>
          <w:rFonts w:hint="eastAsia"/>
        </w:rPr>
        <w:fldChar w:fldCharType="begin"/>
      </w:r>
      <w:r>
        <w:instrText xml:space="preserve">TOC \o "1-3" \h \u</w:instrText>
      </w:r>
      <w:r>
        <w:rPr>
          <w:rFonts w:hint="eastAsia" w:ascii="宋体" w:hAnsi="宋体" w:cs="Arial"/>
        </w:rPr>
        <w:fldChar w:fldCharType="separate"/>
      </w:r>
      <w:r>
        <w:fldChar w:fldCharType="begin"/>
      </w:r>
      <w:r>
        <w:instrText xml:space="preserve"> HYPERLINK \l "_Toc105964070" </w:instrText>
      </w:r>
      <w:r>
        <w:fldChar w:fldCharType="separate"/>
      </w:r>
      <w:r>
        <w:rPr>
          <w:rStyle w:val="19"/>
        </w:rPr>
        <w:t>估价师声明</w:t>
      </w:r>
      <w:r>
        <w:tab/>
      </w:r>
      <w:r>
        <w:fldChar w:fldCharType="begin"/>
      </w:r>
      <w:r>
        <w:instrText xml:space="preserve"> PAGEREF _Toc105964070 \h </w:instrText>
      </w:r>
      <w:r>
        <w:fldChar w:fldCharType="separate"/>
      </w:r>
      <w:r>
        <w:t>1</w:t>
      </w:r>
      <w:r>
        <w:fldChar w:fldCharType="end"/>
      </w:r>
      <w:r>
        <w:fldChar w:fldCharType="end"/>
      </w:r>
    </w:p>
    <w:p>
      <w:pPr>
        <w:pStyle w:val="12"/>
        <w:tabs>
          <w:tab w:val="right" w:leader="dot" w:pos="8511"/>
        </w:tabs>
        <w:rPr>
          <w:rFonts w:asciiTheme="minorHAnsi" w:hAnsiTheme="minorHAnsi" w:eastAsiaTheme="minorEastAsia" w:cstheme="minorBidi"/>
          <w:b w:val="0"/>
          <w:sz w:val="21"/>
          <w:szCs w:val="22"/>
        </w:rPr>
      </w:pPr>
      <w:r>
        <w:fldChar w:fldCharType="begin"/>
      </w:r>
      <w:r>
        <w:instrText xml:space="preserve"> HYPERLINK \l "_Toc105964071" </w:instrText>
      </w:r>
      <w:r>
        <w:fldChar w:fldCharType="separate"/>
      </w:r>
      <w:r>
        <w:rPr>
          <w:rStyle w:val="19"/>
        </w:rPr>
        <w:t>估价假设和限制条件</w:t>
      </w:r>
      <w:r>
        <w:tab/>
      </w:r>
      <w:r>
        <w:fldChar w:fldCharType="begin"/>
      </w:r>
      <w:r>
        <w:instrText xml:space="preserve"> PAGEREF _Toc105964071 \h </w:instrText>
      </w:r>
      <w:r>
        <w:fldChar w:fldCharType="separate"/>
      </w:r>
      <w:r>
        <w:t>2</w:t>
      </w:r>
      <w:r>
        <w:fldChar w:fldCharType="end"/>
      </w:r>
      <w:r>
        <w:fldChar w:fldCharType="end"/>
      </w:r>
    </w:p>
    <w:p>
      <w:pPr>
        <w:pStyle w:val="12"/>
        <w:tabs>
          <w:tab w:val="right" w:leader="dot" w:pos="8511"/>
        </w:tabs>
        <w:rPr>
          <w:rFonts w:asciiTheme="minorHAnsi" w:hAnsiTheme="minorHAnsi" w:eastAsiaTheme="minorEastAsia" w:cstheme="minorBidi"/>
          <w:b w:val="0"/>
          <w:sz w:val="21"/>
          <w:szCs w:val="22"/>
        </w:rPr>
      </w:pPr>
      <w:r>
        <w:fldChar w:fldCharType="begin"/>
      </w:r>
      <w:r>
        <w:instrText xml:space="preserve"> HYPERLINK \l "_Toc105964072" </w:instrText>
      </w:r>
      <w:r>
        <w:fldChar w:fldCharType="separate"/>
      </w:r>
      <w:r>
        <w:rPr>
          <w:rStyle w:val="19"/>
        </w:rPr>
        <w:t>估价结果报告</w:t>
      </w:r>
      <w:r>
        <w:tab/>
      </w:r>
      <w:r>
        <w:fldChar w:fldCharType="begin"/>
      </w:r>
      <w:r>
        <w:instrText xml:space="preserve"> PAGEREF _Toc105964072 \h </w:instrText>
      </w:r>
      <w:r>
        <w:fldChar w:fldCharType="separate"/>
      </w:r>
      <w:r>
        <w:t>4</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"_Toc105964073" </w:instrText>
      </w:r>
      <w:r>
        <w:fldChar w:fldCharType="separate"/>
      </w:r>
      <w:r>
        <w:rPr>
          <w:rStyle w:val="19"/>
          <w:rFonts w:ascii="宋体" w:hAnsi="宋体"/>
        </w:rPr>
        <w:t>一、估价委托人</w:t>
      </w:r>
      <w:r>
        <w:tab/>
      </w:r>
      <w:r>
        <w:fldChar w:fldCharType="begin"/>
      </w:r>
      <w:r>
        <w:instrText xml:space="preserve"> PAGEREF _Toc105964073 \h </w:instrText>
      </w:r>
      <w:r>
        <w:fldChar w:fldCharType="separate"/>
      </w:r>
      <w:r>
        <w:t>4</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"_Toc105964074" </w:instrText>
      </w:r>
      <w:r>
        <w:fldChar w:fldCharType="separate"/>
      </w:r>
      <w:r>
        <w:rPr>
          <w:rStyle w:val="19"/>
          <w:rFonts w:ascii="宋体" w:hAnsi="宋体"/>
        </w:rPr>
        <w:t>二、房地产估价机构</w:t>
      </w:r>
      <w:r>
        <w:tab/>
      </w:r>
      <w:r>
        <w:fldChar w:fldCharType="begin"/>
      </w:r>
      <w:r>
        <w:instrText xml:space="preserve"> PAGEREF _Toc105964074 \h </w:instrText>
      </w:r>
      <w:r>
        <w:fldChar w:fldCharType="separate"/>
      </w:r>
      <w:r>
        <w:t>4</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"_Toc105964075" </w:instrText>
      </w:r>
      <w:r>
        <w:fldChar w:fldCharType="separate"/>
      </w:r>
      <w:r>
        <w:rPr>
          <w:rStyle w:val="19"/>
          <w:rFonts w:ascii="宋体" w:hAnsi="宋体"/>
        </w:rPr>
        <w:t>三、估价目的</w:t>
      </w:r>
      <w:r>
        <w:tab/>
      </w:r>
      <w:r>
        <w:fldChar w:fldCharType="begin"/>
      </w:r>
      <w:r>
        <w:instrText xml:space="preserve"> PAGEREF _Toc105964075 \h </w:instrText>
      </w:r>
      <w:r>
        <w:fldChar w:fldCharType="separate"/>
      </w:r>
      <w:r>
        <w:t>4</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"_Toc105964076" </w:instrText>
      </w:r>
      <w:r>
        <w:fldChar w:fldCharType="separate"/>
      </w:r>
      <w:r>
        <w:rPr>
          <w:rStyle w:val="19"/>
          <w:rFonts w:ascii="宋体" w:hAnsi="宋体"/>
        </w:rPr>
        <w:t>四、估价对象</w:t>
      </w:r>
      <w:r>
        <w:tab/>
      </w:r>
      <w:r>
        <w:fldChar w:fldCharType="begin"/>
      </w:r>
      <w:r>
        <w:instrText xml:space="preserve"> PAGEREF _Toc105964076 \h </w:instrText>
      </w:r>
      <w:r>
        <w:fldChar w:fldCharType="separate"/>
      </w:r>
      <w:r>
        <w:t>4</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"_Toc105964077" </w:instrText>
      </w:r>
      <w:r>
        <w:fldChar w:fldCharType="separate"/>
      </w:r>
      <w:r>
        <w:rPr>
          <w:rStyle w:val="19"/>
          <w:rFonts w:ascii="宋体" w:hAnsi="宋体"/>
        </w:rPr>
        <w:t>五、价值时点</w:t>
      </w:r>
      <w:r>
        <w:tab/>
      </w:r>
      <w:r>
        <w:fldChar w:fldCharType="begin"/>
      </w:r>
      <w:r>
        <w:instrText xml:space="preserve"> PAGEREF _Toc105964077 \h </w:instrText>
      </w:r>
      <w:r>
        <w:fldChar w:fldCharType="separate"/>
      </w:r>
      <w:r>
        <w:t>6</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"_Toc105964078" </w:instrText>
      </w:r>
      <w:r>
        <w:fldChar w:fldCharType="separate"/>
      </w:r>
      <w:r>
        <w:rPr>
          <w:rStyle w:val="19"/>
          <w:rFonts w:ascii="宋体" w:hAnsi="宋体"/>
        </w:rPr>
        <w:t>六、价值类型</w:t>
      </w:r>
      <w:r>
        <w:tab/>
      </w:r>
      <w:r>
        <w:fldChar w:fldCharType="begin"/>
      </w:r>
      <w:r>
        <w:instrText xml:space="preserve"> PAGEREF _Toc105964078 \h </w:instrText>
      </w:r>
      <w:r>
        <w:fldChar w:fldCharType="separate"/>
      </w:r>
      <w:r>
        <w:t>6</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"_Toc105964079" </w:instrText>
      </w:r>
      <w:r>
        <w:fldChar w:fldCharType="separate"/>
      </w:r>
      <w:r>
        <w:rPr>
          <w:rStyle w:val="19"/>
          <w:rFonts w:ascii="宋体" w:hAnsi="宋体"/>
        </w:rPr>
        <w:t>七、估价原则</w:t>
      </w:r>
      <w:r>
        <w:tab/>
      </w:r>
      <w:r>
        <w:fldChar w:fldCharType="begin"/>
      </w:r>
      <w:r>
        <w:instrText xml:space="preserve"> PAGEREF _Toc105964079 \h </w:instrText>
      </w:r>
      <w:r>
        <w:fldChar w:fldCharType="separate"/>
      </w:r>
      <w:r>
        <w:t>6</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"_Toc105964080" </w:instrText>
      </w:r>
      <w:r>
        <w:fldChar w:fldCharType="separate"/>
      </w:r>
      <w:r>
        <w:rPr>
          <w:rStyle w:val="19"/>
          <w:rFonts w:ascii="宋体" w:hAnsi="宋体"/>
        </w:rPr>
        <w:t>八、估价依据</w:t>
      </w:r>
      <w:r>
        <w:tab/>
      </w:r>
      <w:r>
        <w:fldChar w:fldCharType="begin"/>
      </w:r>
      <w:r>
        <w:instrText xml:space="preserve"> PAGEREF _Toc105964080 \h </w:instrText>
      </w:r>
      <w:r>
        <w:fldChar w:fldCharType="separate"/>
      </w:r>
      <w:r>
        <w:t>7</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"_Toc105964081" </w:instrText>
      </w:r>
      <w:r>
        <w:fldChar w:fldCharType="separate"/>
      </w:r>
      <w:r>
        <w:rPr>
          <w:rStyle w:val="19"/>
          <w:rFonts w:ascii="宋体" w:hAnsi="宋体"/>
        </w:rPr>
        <w:t>九、估价方法</w:t>
      </w:r>
      <w:r>
        <w:tab/>
      </w:r>
      <w:r>
        <w:fldChar w:fldCharType="begin"/>
      </w:r>
      <w:r>
        <w:instrText xml:space="preserve"> PAGEREF _Toc105964081 \h </w:instrText>
      </w:r>
      <w:r>
        <w:fldChar w:fldCharType="separate"/>
      </w:r>
      <w:r>
        <w:t>8</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"_Toc105964082" </w:instrText>
      </w:r>
      <w:r>
        <w:fldChar w:fldCharType="separate"/>
      </w:r>
      <w:r>
        <w:rPr>
          <w:rStyle w:val="19"/>
          <w:rFonts w:ascii="宋体" w:hAnsi="宋体"/>
        </w:rPr>
        <w:t>十、估价结果</w:t>
      </w:r>
      <w:r>
        <w:tab/>
      </w:r>
      <w:r>
        <w:fldChar w:fldCharType="begin"/>
      </w:r>
      <w:r>
        <w:instrText xml:space="preserve"> PAGEREF _Toc105964082 \h </w:instrText>
      </w:r>
      <w:r>
        <w:fldChar w:fldCharType="separate"/>
      </w:r>
      <w:r>
        <w:t>8</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"_Toc105964083" </w:instrText>
      </w:r>
      <w:r>
        <w:fldChar w:fldCharType="separate"/>
      </w:r>
      <w:r>
        <w:rPr>
          <w:rStyle w:val="19"/>
          <w:rFonts w:ascii="宋体" w:hAnsi="宋体"/>
        </w:rPr>
        <w:t>十一、注册房地产估价师</w:t>
      </w:r>
      <w:r>
        <w:tab/>
      </w:r>
      <w:r>
        <w:fldChar w:fldCharType="begin"/>
      </w:r>
      <w:r>
        <w:instrText xml:space="preserve"> PAGEREF _Toc105964083 \h </w:instrText>
      </w:r>
      <w:r>
        <w:fldChar w:fldCharType="separate"/>
      </w:r>
      <w:r>
        <w:t>9</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"_Toc105964084" </w:instrText>
      </w:r>
      <w:r>
        <w:fldChar w:fldCharType="separate"/>
      </w:r>
      <w:r>
        <w:rPr>
          <w:rStyle w:val="19"/>
          <w:rFonts w:ascii="宋体" w:hAnsi="宋体"/>
        </w:rPr>
        <w:t>十二、实地查勘期</w:t>
      </w:r>
      <w:r>
        <w:tab/>
      </w:r>
      <w:r>
        <w:fldChar w:fldCharType="begin"/>
      </w:r>
      <w:r>
        <w:instrText xml:space="preserve"> PAGEREF _Toc105964084 \h </w:instrText>
      </w:r>
      <w:r>
        <w:fldChar w:fldCharType="separate"/>
      </w:r>
      <w:r>
        <w:t>9</w:t>
      </w:r>
      <w:r>
        <w:fldChar w:fldCharType="end"/>
      </w:r>
      <w:r>
        <w:fldChar w:fldCharType="end"/>
      </w:r>
    </w:p>
    <w:p>
      <w:pPr>
        <w:pStyle w:val="13"/>
        <w:tabs>
          <w:tab w:val="right" w:leader="dot" w:pos="8511"/>
        </w:tabs>
        <w:ind w:left="210" w:right="210"/>
        <w:rPr>
          <w:rFonts w:asciiTheme="minorHAnsi" w:hAnsiTheme="minorHAnsi" w:eastAsiaTheme="minorEastAsia" w:cstheme="minorBidi"/>
          <w:sz w:val="21"/>
          <w:szCs w:val="22"/>
        </w:rPr>
      </w:pPr>
      <w:r>
        <w:fldChar w:fldCharType="begin"/>
      </w:r>
      <w:r>
        <w:instrText xml:space="preserve"> HYPERLINK \l "_Toc105964085" </w:instrText>
      </w:r>
      <w:r>
        <w:fldChar w:fldCharType="separate"/>
      </w:r>
      <w:r>
        <w:rPr>
          <w:rStyle w:val="19"/>
          <w:rFonts w:ascii="宋体" w:hAnsi="宋体"/>
        </w:rPr>
        <w:t>十三、估价作业期</w:t>
      </w:r>
      <w:r>
        <w:tab/>
      </w:r>
      <w:r>
        <w:fldChar w:fldCharType="begin"/>
      </w:r>
      <w:r>
        <w:instrText xml:space="preserve"> PAGEREF _Toc105964085 \h </w:instrText>
      </w:r>
      <w:r>
        <w:fldChar w:fldCharType="separate"/>
      </w:r>
      <w:r>
        <w:t>9</w:t>
      </w:r>
      <w:r>
        <w:fldChar w:fldCharType="end"/>
      </w:r>
      <w:r>
        <w:fldChar w:fldCharType="end"/>
      </w:r>
    </w:p>
    <w:p>
      <w:pPr>
        <w:pStyle w:val="12"/>
        <w:tabs>
          <w:tab w:val="right" w:leader="dot" w:pos="8511"/>
        </w:tabs>
        <w:rPr>
          <w:rFonts w:asciiTheme="minorHAnsi" w:hAnsiTheme="minorHAnsi" w:eastAsiaTheme="minorEastAsia" w:cstheme="minorBidi"/>
          <w:b w:val="0"/>
          <w:sz w:val="21"/>
          <w:szCs w:val="22"/>
        </w:rPr>
      </w:pPr>
      <w:r>
        <w:fldChar w:fldCharType="begin"/>
      </w:r>
      <w:r>
        <w:instrText xml:space="preserve"> HYPERLINK \l "_Toc105964095" </w:instrText>
      </w:r>
      <w:r>
        <w:fldChar w:fldCharType="separate"/>
      </w:r>
      <w:r>
        <w:rPr>
          <w:rStyle w:val="19"/>
        </w:rPr>
        <w:t>附   件</w:t>
      </w:r>
      <w:r>
        <w:tab/>
      </w:r>
      <w:r>
        <w:fldChar w:fldCharType="begin"/>
      </w:r>
      <w:r>
        <w:instrText xml:space="preserve"> PAGEREF _Toc105964095 \h </w:instrText>
      </w:r>
      <w:r>
        <w:fldChar w:fldCharType="separate"/>
      </w:r>
      <w:r>
        <w:t>10</w:t>
      </w:r>
      <w:r>
        <w:fldChar w:fldCharType="end"/>
      </w:r>
      <w:r>
        <w:fldChar w:fldCharType="end"/>
      </w:r>
    </w:p>
    <w:p>
      <w:pPr>
        <w:spacing w:line="340" w:lineRule="exact"/>
        <w:ind w:left="176" w:leftChars="84"/>
        <w:rPr>
          <w:rFonts w:ascii="宋体" w:hAnsi="宋体" w:cs="Arial"/>
          <w:sz w:val="24"/>
        </w:rPr>
      </w:pPr>
      <w:r>
        <w:rPr>
          <w:rFonts w:hint="eastAsia" w:ascii="宋体" w:hAnsi="宋体" w:cs="Arial"/>
        </w:rPr>
        <w:fldChar w:fldCharType="end"/>
      </w:r>
      <w:r>
        <w:fldChar w:fldCharType="begin"/>
      </w:r>
      <w:r>
        <w:instrText xml:space="preserve"> HYPERLINK \l "_Toc8375" </w:instrText>
      </w:r>
      <w:r>
        <w:fldChar w:fldCharType="separate"/>
      </w:r>
      <w:r>
        <w:rPr>
          <w:rFonts w:hint="eastAsia" w:ascii="宋体" w:hAnsi="宋体" w:cs="Arial"/>
          <w:sz w:val="24"/>
        </w:rPr>
        <w:t>一、《厦门市湖里区人民法院司法鉴定委托书》复印件[（2022）厦湖法司法综鉴字第112号]</w:t>
      </w:r>
      <w:r>
        <w:rPr>
          <w:rFonts w:hint="eastAsia" w:ascii="宋体" w:hAnsi="宋体" w:cs="Arial"/>
          <w:sz w:val="24"/>
        </w:rPr>
        <w:fldChar w:fldCharType="end"/>
      </w:r>
    </w:p>
    <w:p>
      <w:pPr>
        <w:spacing w:line="340" w:lineRule="exact"/>
        <w:ind w:left="176" w:leftChars="84"/>
        <w:rPr>
          <w:rFonts w:ascii="宋体" w:hAnsi="宋体" w:cs="Arial"/>
          <w:sz w:val="24"/>
        </w:rPr>
      </w:pPr>
      <w:r>
        <w:fldChar w:fldCharType="begin"/>
      </w:r>
      <w:r>
        <w:instrText xml:space="preserve"> HYPERLINK \l "_Toc26663" </w:instrText>
      </w:r>
      <w:r>
        <w:fldChar w:fldCharType="separate"/>
      </w:r>
      <w:r>
        <w:rPr>
          <w:rFonts w:hint="eastAsia" w:ascii="宋体" w:hAnsi="宋体" w:cs="Arial"/>
          <w:sz w:val="24"/>
        </w:rPr>
        <w:t>二、估价对象位置图</w:t>
      </w:r>
      <w:r>
        <w:rPr>
          <w:rFonts w:hint="eastAsia" w:ascii="宋体" w:hAnsi="宋体" w:cs="Arial"/>
          <w:sz w:val="24"/>
        </w:rPr>
        <w:fldChar w:fldCharType="end"/>
      </w:r>
    </w:p>
    <w:p>
      <w:pPr>
        <w:spacing w:line="340" w:lineRule="exact"/>
        <w:ind w:left="176" w:leftChars="84"/>
        <w:rPr>
          <w:rFonts w:ascii="宋体" w:hAnsi="宋体" w:cs="Arial"/>
          <w:sz w:val="24"/>
        </w:rPr>
      </w:pPr>
      <w:r>
        <w:fldChar w:fldCharType="begin"/>
      </w:r>
      <w:r>
        <w:instrText xml:space="preserve"> HYPERLINK \l "_Toc9458" </w:instrText>
      </w:r>
      <w:r>
        <w:fldChar w:fldCharType="separate"/>
      </w:r>
      <w:r>
        <w:rPr>
          <w:rFonts w:hint="eastAsia" w:ascii="宋体" w:hAnsi="宋体" w:cs="Arial"/>
          <w:sz w:val="24"/>
        </w:rPr>
        <w:t>三、估价对象内部状况、外部状况和周围环境照片</w:t>
      </w:r>
      <w:r>
        <w:rPr>
          <w:rFonts w:hint="eastAsia" w:ascii="宋体" w:hAnsi="宋体" w:cs="Arial"/>
          <w:sz w:val="24"/>
        </w:rPr>
        <w:fldChar w:fldCharType="end"/>
      </w:r>
    </w:p>
    <w:p>
      <w:pPr>
        <w:spacing w:line="340" w:lineRule="exact"/>
        <w:ind w:left="176" w:leftChars="84"/>
        <w:rPr>
          <w:rFonts w:ascii="宋体" w:hAnsi="宋体" w:cs="Arial"/>
          <w:sz w:val="24"/>
        </w:rPr>
      </w:pPr>
      <w:r>
        <w:fldChar w:fldCharType="begin"/>
      </w:r>
      <w:r>
        <w:instrText xml:space="preserve"> HYPERLINK \l "_Toc18131" </w:instrText>
      </w:r>
      <w:r>
        <w:fldChar w:fldCharType="separate"/>
      </w:r>
      <w:r>
        <w:rPr>
          <w:rFonts w:hint="eastAsia" w:ascii="宋体" w:hAnsi="宋体" w:cs="Arial"/>
          <w:sz w:val="24"/>
        </w:rPr>
        <w:t>四、权属证明复印件</w:t>
      </w:r>
      <w:r>
        <w:rPr>
          <w:rFonts w:hint="eastAsia" w:ascii="宋体" w:hAnsi="宋体" w:cs="Arial"/>
          <w:sz w:val="24"/>
        </w:rPr>
        <w:fldChar w:fldCharType="end"/>
      </w:r>
    </w:p>
    <w:p>
      <w:pPr>
        <w:spacing w:line="340" w:lineRule="exact"/>
        <w:ind w:left="176" w:leftChars="84"/>
        <w:rPr>
          <w:rFonts w:ascii="宋体" w:hAnsi="宋体" w:cs="Arial"/>
          <w:sz w:val="24"/>
        </w:rPr>
      </w:pPr>
      <w:r>
        <w:fldChar w:fldCharType="begin"/>
      </w:r>
      <w:r>
        <w:instrText xml:space="preserve"> HYPERLINK \l "_Toc2508" </w:instrText>
      </w:r>
      <w:r>
        <w:fldChar w:fldCharType="separate"/>
      </w:r>
      <w:r>
        <w:rPr>
          <w:rFonts w:hint="eastAsia" w:ascii="宋体" w:hAnsi="宋体" w:cs="Arial"/>
          <w:sz w:val="24"/>
        </w:rPr>
        <w:t>《泉州市房屋权属登记查档》[业务编号：20161004938]、《不动产登记情况查询结果一览表》</w:t>
      </w:r>
      <w:r>
        <w:rPr>
          <w:rFonts w:hint="eastAsia" w:ascii="宋体" w:hAnsi="宋体" w:cs="Arial"/>
          <w:sz w:val="24"/>
        </w:rPr>
        <w:fldChar w:fldCharType="end"/>
      </w:r>
    </w:p>
    <w:p>
      <w:pPr>
        <w:spacing w:line="340" w:lineRule="exact"/>
        <w:ind w:left="176" w:leftChars="84"/>
        <w:rPr>
          <w:rFonts w:ascii="宋体" w:hAnsi="宋体" w:cs="Arial"/>
          <w:sz w:val="24"/>
        </w:rPr>
      </w:pPr>
      <w:r>
        <w:rPr>
          <w:rFonts w:hint="eastAsia" w:ascii="宋体" w:hAnsi="宋体" w:cs="Arial"/>
          <w:sz w:val="24"/>
        </w:rPr>
        <w:t>五、专业帮助情况</w:t>
      </w:r>
    </w:p>
    <w:p>
      <w:pPr>
        <w:ind w:left="176" w:leftChars="84"/>
        <w:rPr>
          <w:rFonts w:ascii="宋体" w:hAnsi="宋体" w:cs="Arial"/>
          <w:sz w:val="24"/>
        </w:rPr>
      </w:pPr>
      <w:r>
        <w:fldChar w:fldCharType="begin"/>
      </w:r>
      <w:r>
        <w:instrText xml:space="preserve"> HYPERLINK \l "_Toc23640" </w:instrText>
      </w:r>
      <w:r>
        <w:fldChar w:fldCharType="separate"/>
      </w:r>
      <w:r>
        <w:rPr>
          <w:rFonts w:hint="eastAsia" w:ascii="宋体" w:hAnsi="宋体" w:cs="Arial"/>
          <w:sz w:val="24"/>
        </w:rPr>
        <w:t>六、估价机构资质证书复印件</w:t>
      </w:r>
      <w:r>
        <w:rPr>
          <w:rFonts w:hint="eastAsia" w:ascii="宋体" w:hAnsi="宋体" w:cs="Arial"/>
          <w:sz w:val="24"/>
        </w:rPr>
        <w:fldChar w:fldCharType="end"/>
      </w:r>
    </w:p>
    <w:p>
      <w:pPr>
        <w:ind w:left="176" w:leftChars="84"/>
        <w:rPr>
          <w:rFonts w:ascii="宋体" w:hAnsi="宋体" w:cs="Arial"/>
          <w:sz w:val="24"/>
        </w:rPr>
      </w:pPr>
      <w:r>
        <w:fldChar w:fldCharType="begin"/>
      </w:r>
      <w:r>
        <w:instrText xml:space="preserve"> HYPERLINK \l "_Toc9853" </w:instrText>
      </w:r>
      <w:r>
        <w:fldChar w:fldCharType="separate"/>
      </w:r>
      <w:r>
        <w:rPr>
          <w:rFonts w:hint="eastAsia" w:ascii="宋体" w:hAnsi="宋体" w:cs="Arial"/>
          <w:sz w:val="24"/>
        </w:rPr>
        <w:t>七、估价机构营业执照复印件</w:t>
      </w:r>
      <w:r>
        <w:rPr>
          <w:rFonts w:hint="eastAsia" w:ascii="宋体" w:hAnsi="宋体" w:cs="Arial"/>
          <w:sz w:val="24"/>
        </w:rPr>
        <w:fldChar w:fldCharType="end"/>
      </w:r>
    </w:p>
    <w:p>
      <w:pPr>
        <w:ind w:left="176" w:leftChars="84"/>
        <w:rPr>
          <w:rFonts w:ascii="宋体" w:hAnsi="宋体" w:cs="Arial"/>
          <w:sz w:val="24"/>
        </w:rPr>
      </w:pPr>
      <w:r>
        <w:fldChar w:fldCharType="begin"/>
      </w:r>
      <w:r>
        <w:instrText xml:space="preserve"> HYPERLINK \l "_Toc1567" </w:instrText>
      </w:r>
      <w:r>
        <w:fldChar w:fldCharType="separate"/>
      </w:r>
      <w:r>
        <w:rPr>
          <w:rFonts w:hint="eastAsia" w:ascii="宋体" w:hAnsi="宋体" w:cs="Arial"/>
          <w:sz w:val="24"/>
        </w:rPr>
        <w:t>八、房地产估价师注册证书复印件</w:t>
      </w:r>
      <w:r>
        <w:rPr>
          <w:rFonts w:hint="eastAsia" w:ascii="宋体" w:hAnsi="宋体" w:cs="Arial"/>
          <w:sz w:val="24"/>
        </w:rPr>
        <w:fldChar w:fldCharType="end"/>
      </w:r>
      <w:bookmarkEnd w:id="2"/>
      <w:bookmarkEnd w:id="3"/>
    </w:p>
    <w:p>
      <w:pPr>
        <w:rPr>
          <w:rFonts w:ascii="宋体" w:hAnsi="宋体"/>
          <w:sz w:val="24"/>
        </w:rPr>
        <w:sectPr>
          <w:pgSz w:w="11906" w:h="16838"/>
          <w:pgMar w:top="1440" w:right="1588" w:bottom="1440" w:left="1797" w:header="851" w:footer="992" w:gutter="0"/>
          <w:cols w:space="720" w:num="1"/>
          <w:docGrid w:type="lines" w:linePitch="312" w:charSpace="0"/>
        </w:sectPr>
      </w:pPr>
    </w:p>
    <w:bookmarkEnd w:id="1"/>
    <w:p>
      <w:pPr>
        <w:pStyle w:val="2"/>
        <w:spacing w:after="156"/>
        <w:jc w:val="center"/>
        <w:rPr>
          <w:kern w:val="2"/>
          <w:sz w:val="32"/>
          <w:szCs w:val="32"/>
        </w:rPr>
      </w:pPr>
      <w:bookmarkStart w:id="4" w:name="_Toc3277"/>
      <w:bookmarkStart w:id="5" w:name="_Toc399921375"/>
      <w:bookmarkStart w:id="6" w:name="_Toc105964070"/>
      <w:r>
        <w:rPr>
          <w:rFonts w:hint="eastAsia"/>
          <w:kern w:val="2"/>
          <w:sz w:val="32"/>
          <w:szCs w:val="32"/>
        </w:rPr>
        <w:t>估价师声明</w:t>
      </w:r>
      <w:bookmarkEnd w:id="4"/>
      <w:bookmarkEnd w:id="5"/>
      <w:bookmarkEnd w:id="6"/>
    </w:p>
    <w:p>
      <w:pPr>
        <w:spacing w:line="440" w:lineRule="exact"/>
        <w:ind w:firstLine="480" w:firstLineChars="200"/>
        <w:rPr>
          <w:rFonts w:ascii="宋体" w:hAnsi="宋体"/>
          <w:sz w:val="24"/>
        </w:rPr>
      </w:pPr>
      <w:r>
        <w:rPr>
          <w:rFonts w:hint="eastAsia" w:ascii="宋体" w:hAnsi="宋体"/>
          <w:sz w:val="24"/>
        </w:rPr>
        <w:t>我们根据自己的专业知识和职业道德，在此郑重声明：</w:t>
      </w:r>
    </w:p>
    <w:p>
      <w:pPr>
        <w:spacing w:line="440" w:lineRule="exact"/>
        <w:ind w:firstLine="480" w:firstLineChars="200"/>
        <w:rPr>
          <w:rFonts w:ascii="宋体" w:hAnsi="宋体"/>
          <w:sz w:val="24"/>
        </w:rPr>
      </w:pPr>
      <w:r>
        <w:rPr>
          <w:rFonts w:hint="eastAsia" w:ascii="宋体" w:hAnsi="宋体"/>
          <w:sz w:val="24"/>
        </w:rPr>
        <w:t>一、我们在本估价报告中对事实的说明是真实和准确的，没有虚假记载、误导性陈述和重大遗漏。</w:t>
      </w:r>
    </w:p>
    <w:p>
      <w:pPr>
        <w:spacing w:line="440" w:lineRule="exact"/>
        <w:ind w:firstLine="480" w:firstLineChars="200"/>
        <w:rPr>
          <w:rFonts w:ascii="宋体" w:hAnsi="宋体"/>
          <w:sz w:val="24"/>
        </w:rPr>
      </w:pPr>
      <w:r>
        <w:rPr>
          <w:rFonts w:hint="eastAsia" w:ascii="宋体" w:hAnsi="宋体"/>
          <w:sz w:val="24"/>
        </w:rPr>
        <w:t>二、本估价报告中的分析、意见和结论是我们独立、客观、公正的专业分析、意见和结论，但受到本估价报告中已经说明的估价假设和限制条件的限制。</w:t>
      </w:r>
    </w:p>
    <w:p>
      <w:pPr>
        <w:spacing w:line="440" w:lineRule="exact"/>
        <w:ind w:firstLine="480" w:firstLineChars="200"/>
        <w:rPr>
          <w:rFonts w:ascii="宋体" w:hAnsi="宋体"/>
          <w:sz w:val="24"/>
        </w:rPr>
      </w:pPr>
      <w:r>
        <w:rPr>
          <w:rFonts w:hint="eastAsia" w:ascii="宋体" w:hAnsi="宋体"/>
          <w:sz w:val="24"/>
        </w:rPr>
        <w:t>三、我们与本估价报告中的估价对象没有现实或潜在的利益，与估价委托人及估价利害关系人没有利害关系。</w:t>
      </w:r>
    </w:p>
    <w:p>
      <w:pPr>
        <w:spacing w:line="440" w:lineRule="exact"/>
        <w:ind w:firstLine="480" w:firstLineChars="200"/>
        <w:rPr>
          <w:rFonts w:ascii="宋体" w:hAnsi="宋体"/>
          <w:sz w:val="24"/>
        </w:rPr>
      </w:pPr>
      <w:r>
        <w:rPr>
          <w:rFonts w:hint="eastAsia" w:ascii="宋体" w:hAnsi="宋体"/>
          <w:sz w:val="24"/>
        </w:rPr>
        <w:t>四、我们对本估价报告中的估价对象、估价委托人及估价利害关系人没有偏见。</w:t>
      </w:r>
    </w:p>
    <w:p>
      <w:pPr>
        <w:spacing w:line="440" w:lineRule="exact"/>
        <w:ind w:firstLine="480" w:firstLineChars="200"/>
        <w:rPr>
          <w:rFonts w:ascii="宋体" w:hAnsi="宋体"/>
          <w:sz w:val="24"/>
        </w:rPr>
      </w:pPr>
      <w:r>
        <w:rPr>
          <w:rFonts w:hint="eastAsia" w:ascii="宋体" w:hAnsi="宋体"/>
          <w:sz w:val="24"/>
        </w:rPr>
        <w:t>五、我们依照《房地产估价规范》（中华人民共和国国家标准GB/T 50291-2015）、《房地产估价基本术语标准》（中华人民共和国国家标准GB/T 50899-2013）</w:t>
      </w:r>
      <w:r>
        <w:rPr>
          <w:rFonts w:hint="eastAsia" w:ascii="宋体" w:hAnsi="宋体" w:cs="宋体"/>
          <w:sz w:val="24"/>
        </w:rPr>
        <w:t>、</w:t>
      </w:r>
      <w:r>
        <w:rPr>
          <w:rFonts w:hint="eastAsia" w:ascii="宋体" w:hAnsi="宋体"/>
          <w:sz w:val="24"/>
        </w:rPr>
        <w:t>《涉执房地产处置司法评估指导意见（试行）》进行分析，形成意见和结论，撰写本估价报告。</w:t>
      </w:r>
    </w:p>
    <w:p>
      <w:pPr>
        <w:spacing w:line="440" w:lineRule="exact"/>
        <w:ind w:firstLine="480" w:firstLineChars="200"/>
        <w:rPr>
          <w:rFonts w:ascii="宋体" w:hAnsi="宋体"/>
          <w:sz w:val="24"/>
        </w:rPr>
      </w:pPr>
    </w:p>
    <w:p/>
    <w:p>
      <w:pPr>
        <w:pStyle w:val="2"/>
        <w:spacing w:after="156"/>
        <w:jc w:val="center"/>
        <w:rPr>
          <w:kern w:val="2"/>
          <w:sz w:val="32"/>
          <w:szCs w:val="32"/>
        </w:rPr>
      </w:pPr>
      <w:r>
        <w:br w:type="page"/>
      </w:r>
      <w:bookmarkStart w:id="7" w:name="_Toc6794"/>
      <w:bookmarkStart w:id="8" w:name="_Toc399921376"/>
      <w:bookmarkStart w:id="9" w:name="_Toc105964071"/>
      <w:r>
        <w:rPr>
          <w:rFonts w:hint="eastAsia"/>
          <w:kern w:val="2"/>
          <w:sz w:val="32"/>
          <w:szCs w:val="32"/>
        </w:rPr>
        <w:t>估价假设和限制条件</w:t>
      </w:r>
      <w:bookmarkEnd w:id="7"/>
      <w:bookmarkEnd w:id="8"/>
      <w:bookmarkEnd w:id="9"/>
    </w:p>
    <w:p>
      <w:pPr>
        <w:spacing w:line="400" w:lineRule="exact"/>
        <w:ind w:firstLine="540"/>
        <w:rPr>
          <w:rFonts w:ascii="宋体" w:hAnsi="宋体"/>
          <w:b/>
          <w:sz w:val="24"/>
        </w:rPr>
      </w:pPr>
      <w:r>
        <w:rPr>
          <w:rFonts w:hint="eastAsia" w:ascii="宋体" w:hAnsi="宋体"/>
          <w:b/>
          <w:sz w:val="24"/>
        </w:rPr>
        <w:t>一、本次估价的各项估价假设</w:t>
      </w:r>
    </w:p>
    <w:p>
      <w:pPr>
        <w:spacing w:line="400" w:lineRule="exact"/>
        <w:ind w:firstLine="482" w:firstLineChars="200"/>
        <w:rPr>
          <w:rFonts w:ascii="宋体" w:hAnsi="宋体" w:cs="Arial"/>
          <w:b/>
          <w:sz w:val="24"/>
        </w:rPr>
      </w:pPr>
      <w:r>
        <w:rPr>
          <w:rFonts w:hint="eastAsia" w:ascii="宋体" w:hAnsi="宋体"/>
          <w:b/>
          <w:sz w:val="24"/>
        </w:rPr>
        <w:t>（一）一般假设</w:t>
      </w:r>
    </w:p>
    <w:p>
      <w:pPr>
        <w:spacing w:line="440" w:lineRule="exact"/>
        <w:ind w:firstLine="480" w:firstLineChars="200"/>
        <w:rPr>
          <w:rFonts w:ascii="宋体" w:hAnsi="宋体"/>
          <w:sz w:val="24"/>
        </w:rPr>
      </w:pPr>
      <w:r>
        <w:rPr>
          <w:rFonts w:hint="eastAsia" w:ascii="宋体" w:hAnsi="宋体"/>
          <w:sz w:val="24"/>
        </w:rPr>
        <w:t>1、估价委托人提供的估价对象</w:t>
      </w:r>
      <w:r>
        <w:rPr>
          <w:rFonts w:hint="eastAsia" w:ascii="宋体" w:hAnsi="宋体" w:cs="宋体"/>
          <w:sz w:val="24"/>
        </w:rPr>
        <w:t>《不动产登记情况查询结果一览表》及《泉州市房屋权属登记查档》</w:t>
      </w:r>
      <w:r>
        <w:rPr>
          <w:rFonts w:hint="eastAsia" w:ascii="宋体" w:hAnsi="宋体"/>
          <w:sz w:val="24"/>
        </w:rPr>
        <w:t>已与原件核对，但未予以核实，假定估价委托人提供的所有资料是真实、完整和有效的，且估价对象可以在公开市场上自由转让。</w:t>
      </w:r>
    </w:p>
    <w:p>
      <w:pPr>
        <w:spacing w:line="380" w:lineRule="exact"/>
        <w:ind w:firstLine="480" w:firstLineChars="200"/>
        <w:rPr>
          <w:rFonts w:ascii="宋体" w:hAnsi="宋体" w:cs="宋体"/>
          <w:sz w:val="24"/>
        </w:rPr>
      </w:pPr>
      <w:r>
        <w:rPr>
          <w:rFonts w:hint="eastAsia" w:ascii="宋体" w:hAnsi="宋体" w:cs="宋体"/>
          <w:sz w:val="24"/>
        </w:rPr>
        <w:t>2、关注了估价对象的房屋安全等影响估价对象价值的重大因素，经实地查勘并依常规判断，假定房屋质量是安全的，在耐用年限或土地使用期限内能够正常使用。</w:t>
      </w:r>
    </w:p>
    <w:p>
      <w:pPr>
        <w:spacing w:line="380" w:lineRule="exact"/>
        <w:ind w:firstLine="480" w:firstLineChars="200"/>
        <w:rPr>
          <w:rFonts w:ascii="宋体" w:hAnsi="宋体"/>
          <w:sz w:val="24"/>
        </w:rPr>
      </w:pPr>
      <w:r>
        <w:rPr>
          <w:rFonts w:ascii="宋体" w:hAnsi="宋体"/>
          <w:sz w:val="24"/>
        </w:rPr>
        <w:t>3</w:t>
      </w:r>
      <w:r>
        <w:rPr>
          <w:rFonts w:hint="eastAsia" w:ascii="宋体" w:hAnsi="宋体"/>
          <w:sz w:val="24"/>
        </w:rPr>
        <w:t>、本次评估未考虑估价对象欠缴税费（含税收、物业费、供暖费、水电气费等）对估价对象市场价格的影响。</w:t>
      </w:r>
    </w:p>
    <w:p>
      <w:pPr>
        <w:spacing w:line="380" w:lineRule="exact"/>
        <w:ind w:firstLine="480" w:firstLineChars="200"/>
        <w:rPr>
          <w:rFonts w:ascii="宋体" w:hAnsi="宋体"/>
          <w:sz w:val="24"/>
        </w:rPr>
      </w:pPr>
      <w:r>
        <w:rPr>
          <w:rFonts w:ascii="宋体" w:hAnsi="宋体"/>
          <w:sz w:val="24"/>
        </w:rPr>
        <w:t>4</w:t>
      </w:r>
      <w:r>
        <w:rPr>
          <w:rFonts w:hint="eastAsia" w:ascii="宋体" w:hAnsi="宋体"/>
          <w:sz w:val="24"/>
        </w:rPr>
        <w:t>、假设处置之日估价对象状况和房地产市场状况与实地查勘之日相同，若是发生明显变化，评估结果应当进行相应调整后才可使用。</w:t>
      </w:r>
    </w:p>
    <w:p>
      <w:pPr>
        <w:spacing w:line="400" w:lineRule="exact"/>
        <w:ind w:firstLine="482" w:firstLineChars="200"/>
        <w:rPr>
          <w:rFonts w:ascii="宋体" w:hAnsi="宋体"/>
          <w:b/>
          <w:sz w:val="24"/>
        </w:rPr>
      </w:pPr>
      <w:r>
        <w:rPr>
          <w:rFonts w:hint="eastAsia" w:ascii="宋体" w:hAnsi="宋体"/>
          <w:b/>
          <w:sz w:val="24"/>
        </w:rPr>
        <w:t>（二）未定事项假设</w:t>
      </w:r>
    </w:p>
    <w:p>
      <w:pPr>
        <w:spacing w:line="400" w:lineRule="exact"/>
        <w:ind w:firstLine="480" w:firstLineChars="200"/>
        <w:rPr>
          <w:rFonts w:ascii="宋体" w:hAnsi="宋体"/>
          <w:sz w:val="24"/>
        </w:rPr>
      </w:pPr>
      <w:bookmarkStart w:id="10" w:name="_Toc383791133"/>
      <w:bookmarkStart w:id="11" w:name="_Toc372878831"/>
      <w:bookmarkStart w:id="12" w:name="_Toc380501933"/>
      <w:r>
        <w:rPr>
          <w:rFonts w:hint="eastAsia" w:ascii="宋体" w:hAnsi="宋体"/>
          <w:sz w:val="24"/>
        </w:rPr>
        <w:t>无未定事项假设。</w:t>
      </w:r>
    </w:p>
    <w:p>
      <w:pPr>
        <w:spacing w:line="400" w:lineRule="exact"/>
        <w:ind w:firstLine="482" w:firstLineChars="200"/>
        <w:rPr>
          <w:rFonts w:ascii="宋体" w:hAnsi="宋体"/>
          <w:b/>
          <w:sz w:val="24"/>
        </w:rPr>
      </w:pPr>
      <w:r>
        <w:rPr>
          <w:rFonts w:hint="eastAsia" w:ascii="宋体" w:hAnsi="宋体"/>
          <w:b/>
          <w:sz w:val="24"/>
        </w:rPr>
        <w:t>（三）背离事实假设</w:t>
      </w:r>
      <w:bookmarkEnd w:id="10"/>
      <w:bookmarkEnd w:id="11"/>
      <w:bookmarkEnd w:id="12"/>
    </w:p>
    <w:p>
      <w:pPr>
        <w:spacing w:line="380" w:lineRule="exact"/>
        <w:ind w:firstLine="480" w:firstLineChars="200"/>
        <w:rPr>
          <w:rFonts w:ascii="宋体" w:hAnsi="宋体" w:cs="宋体"/>
          <w:sz w:val="24"/>
        </w:rPr>
      </w:pPr>
      <w:bookmarkStart w:id="13" w:name="_Toc383791134"/>
      <w:bookmarkStart w:id="14" w:name="_Toc380501934"/>
      <w:r>
        <w:rPr>
          <w:rFonts w:hint="eastAsia" w:ascii="宋体" w:hAnsi="宋体"/>
          <w:sz w:val="24"/>
        </w:rPr>
        <w:t>不考虑估价对象被查封、原有的担保物权及其他优先受偿权对估价结果的影响</w:t>
      </w:r>
      <w:r>
        <w:rPr>
          <w:rFonts w:hint="eastAsia" w:ascii="宋体" w:hAnsi="宋体" w:cs="宋体"/>
          <w:sz w:val="24"/>
        </w:rPr>
        <w:t>。</w:t>
      </w:r>
    </w:p>
    <w:p>
      <w:pPr>
        <w:tabs>
          <w:tab w:val="left" w:pos="420"/>
        </w:tabs>
        <w:spacing w:line="400" w:lineRule="exact"/>
        <w:ind w:firstLine="482" w:firstLineChars="200"/>
        <w:rPr>
          <w:rFonts w:ascii="宋体" w:hAnsi="宋体"/>
          <w:b/>
          <w:sz w:val="24"/>
        </w:rPr>
      </w:pPr>
      <w:r>
        <w:rPr>
          <w:rFonts w:hint="eastAsia" w:ascii="宋体" w:hAnsi="宋体"/>
          <w:b/>
          <w:sz w:val="24"/>
        </w:rPr>
        <w:t>（四）不相一致假设</w:t>
      </w:r>
      <w:bookmarkEnd w:id="13"/>
      <w:bookmarkEnd w:id="14"/>
    </w:p>
    <w:p>
      <w:pPr>
        <w:spacing w:line="400" w:lineRule="exact"/>
        <w:ind w:firstLine="480" w:firstLineChars="200"/>
        <w:rPr>
          <w:rFonts w:ascii="宋体" w:hAnsi="宋体"/>
          <w:sz w:val="24"/>
        </w:rPr>
      </w:pPr>
      <w:bookmarkStart w:id="15" w:name="_Toc383791135"/>
      <w:r>
        <w:rPr>
          <w:rFonts w:hint="eastAsia" w:ascii="宋体" w:hAnsi="宋体"/>
          <w:sz w:val="24"/>
        </w:rPr>
        <w:t>无不相一致假设。</w:t>
      </w:r>
      <w:bookmarkEnd w:id="15"/>
    </w:p>
    <w:p>
      <w:pPr>
        <w:spacing w:line="400" w:lineRule="exact"/>
        <w:ind w:firstLine="472" w:firstLineChars="196"/>
        <w:rPr>
          <w:rFonts w:ascii="宋体" w:hAnsi="宋体"/>
          <w:sz w:val="24"/>
        </w:rPr>
      </w:pPr>
      <w:r>
        <w:rPr>
          <w:rFonts w:hint="eastAsia" w:ascii="宋体" w:hAnsi="宋体"/>
          <w:b/>
          <w:sz w:val="24"/>
        </w:rPr>
        <w:t>（五）依据不足假设</w:t>
      </w:r>
    </w:p>
    <w:p>
      <w:pPr>
        <w:spacing w:line="400" w:lineRule="exact"/>
        <w:ind w:firstLine="480" w:firstLineChars="200"/>
        <w:rPr>
          <w:rFonts w:ascii="宋体" w:hAnsi="宋体"/>
          <w:sz w:val="24"/>
        </w:rPr>
      </w:pPr>
      <w:r>
        <w:rPr>
          <w:rFonts w:hint="eastAsia" w:ascii="宋体" w:hAnsi="宋体"/>
          <w:sz w:val="24"/>
        </w:rPr>
        <w:t>1、可比实例的规划条件、室内装修年份等资料，因调查难度极大，其有关描述及调整只能根据注册房地产估价师实地查勘的经验判断。</w:t>
      </w:r>
    </w:p>
    <w:p>
      <w:pPr>
        <w:spacing w:line="400" w:lineRule="exact"/>
        <w:ind w:firstLine="480" w:firstLineChars="200"/>
        <w:rPr>
          <w:rFonts w:ascii="宋体" w:hAnsi="宋体" w:cs="宋体"/>
          <w:sz w:val="24"/>
        </w:rPr>
      </w:pPr>
      <w:r>
        <w:rPr>
          <w:rFonts w:hint="eastAsia" w:ascii="宋体" w:hAnsi="宋体" w:cs="宋体"/>
          <w:sz w:val="24"/>
        </w:rPr>
        <w:t>2、由于估价委托人未能提供估价对象权属证书，本次评估以相关当事人提供的《不动产登记情况查询结果一览表》及《泉州市房屋权属登记查档》为准。</w:t>
      </w:r>
    </w:p>
    <w:p>
      <w:pPr>
        <w:spacing w:line="340" w:lineRule="exact"/>
        <w:ind w:firstLine="480" w:firstLineChars="200"/>
        <w:rPr>
          <w:rFonts w:ascii="宋体" w:hAnsi="宋体"/>
          <w:sz w:val="24"/>
        </w:rPr>
      </w:pPr>
      <w:r>
        <w:rPr>
          <w:rFonts w:hint="eastAsia" w:ascii="宋体" w:hAnsi="宋体" w:cs="宋体"/>
          <w:sz w:val="24"/>
        </w:rPr>
        <w:t>3、</w:t>
      </w:r>
      <w:r>
        <w:rPr>
          <w:rFonts w:ascii="宋体" w:hAnsi="宋体"/>
          <w:sz w:val="24"/>
        </w:rPr>
        <w:t>因</w:t>
      </w:r>
      <w:r>
        <w:rPr>
          <w:rFonts w:hint="eastAsia" w:ascii="宋体" w:hAnsi="宋体" w:cs="宋体"/>
          <w:sz w:val="24"/>
        </w:rPr>
        <w:t>相关当事人</w:t>
      </w:r>
      <w:r>
        <w:rPr>
          <w:rFonts w:ascii="宋体" w:hAnsi="宋体"/>
          <w:sz w:val="24"/>
        </w:rPr>
        <w:t>未能提供估价对象《国有土地使用权证》，故无法确定估价对象土地使用年限起止日期</w:t>
      </w:r>
      <w:r>
        <w:rPr>
          <w:rFonts w:hint="eastAsia" w:ascii="宋体" w:hAnsi="宋体"/>
          <w:sz w:val="24"/>
        </w:rPr>
        <w:t>及土地使用权类型</w:t>
      </w:r>
      <w:r>
        <w:rPr>
          <w:rFonts w:ascii="宋体" w:hAnsi="宋体"/>
          <w:sz w:val="24"/>
        </w:rPr>
        <w:t>；根据《城镇国有土地出让和转让暂行条例》的规定，住宅用地法定最高使用年限为70年，</w:t>
      </w:r>
      <w:r>
        <w:rPr>
          <w:rFonts w:hint="eastAsia" w:ascii="宋体" w:hAnsi="宋体"/>
          <w:sz w:val="24"/>
        </w:rPr>
        <w:t>据调查</w:t>
      </w:r>
      <w:r>
        <w:rPr>
          <w:rFonts w:ascii="宋体" w:hAnsi="宋体"/>
          <w:sz w:val="24"/>
        </w:rPr>
        <w:t>估价对象建成于</w:t>
      </w:r>
      <w:r>
        <w:rPr>
          <w:rFonts w:hint="eastAsia" w:ascii="宋体" w:hAnsi="宋体"/>
          <w:sz w:val="24"/>
        </w:rPr>
        <w:t>2002</w:t>
      </w:r>
      <w:r>
        <w:rPr>
          <w:rFonts w:ascii="宋体" w:hAnsi="宋体"/>
          <w:sz w:val="24"/>
        </w:rPr>
        <w:t>年，依据该小区建设规模，设定其开发建设期为2年；故本次评估设定土地使用年限自</w:t>
      </w:r>
      <w:r>
        <w:rPr>
          <w:rFonts w:hint="eastAsia" w:ascii="宋体" w:hAnsi="宋体"/>
          <w:sz w:val="24"/>
        </w:rPr>
        <w:t>2008年1月1日</w:t>
      </w:r>
      <w:r>
        <w:rPr>
          <w:rFonts w:ascii="宋体" w:hAnsi="宋体"/>
          <w:sz w:val="24"/>
        </w:rPr>
        <w:t>起至</w:t>
      </w:r>
      <w:r>
        <w:rPr>
          <w:rFonts w:hint="eastAsia" w:ascii="宋体" w:hAnsi="宋体"/>
          <w:sz w:val="24"/>
        </w:rPr>
        <w:t>2069年12月31日</w:t>
      </w:r>
      <w:r>
        <w:rPr>
          <w:rFonts w:ascii="宋体" w:hAnsi="宋体"/>
          <w:sz w:val="24"/>
        </w:rPr>
        <w:t>止，仅供本次评估参考</w:t>
      </w:r>
      <w:r>
        <w:rPr>
          <w:rFonts w:hint="eastAsia" w:ascii="宋体" w:hAnsi="宋体"/>
          <w:sz w:val="24"/>
        </w:rPr>
        <w:t>；同时设定土地使用权类型为出让，若与</w:t>
      </w:r>
      <w:r>
        <w:rPr>
          <w:rFonts w:ascii="宋体" w:hAnsi="宋体"/>
          <w:sz w:val="24"/>
        </w:rPr>
        <w:t>《国有土地使用权证》</w:t>
      </w:r>
      <w:r>
        <w:rPr>
          <w:rFonts w:hint="eastAsia" w:ascii="宋体" w:hAnsi="宋体"/>
          <w:sz w:val="24"/>
        </w:rPr>
        <w:t>不符，则评估价值应做相应调整。</w:t>
      </w:r>
    </w:p>
    <w:p>
      <w:pPr>
        <w:spacing w:line="400" w:lineRule="exact"/>
        <w:ind w:firstLine="480" w:firstLineChars="200"/>
        <w:rPr>
          <w:rFonts w:ascii="宋体" w:hAnsi="宋体"/>
          <w:sz w:val="24"/>
        </w:rPr>
      </w:pPr>
      <w:r>
        <w:rPr>
          <w:rFonts w:hint="eastAsia" w:ascii="宋体" w:hAnsi="宋体" w:cs="宋体"/>
          <w:sz w:val="24"/>
        </w:rPr>
        <w:t>4、</w:t>
      </w:r>
      <w:r>
        <w:rPr>
          <w:rFonts w:ascii="宋体" w:hAnsi="宋体"/>
          <w:sz w:val="24"/>
        </w:rPr>
        <w:t>因</w:t>
      </w:r>
      <w:r>
        <w:rPr>
          <w:rFonts w:hint="eastAsia" w:ascii="宋体" w:hAnsi="宋体" w:cs="宋体"/>
          <w:sz w:val="24"/>
        </w:rPr>
        <w:t>相关当事人</w:t>
      </w:r>
      <w:r>
        <w:rPr>
          <w:rFonts w:ascii="宋体" w:hAnsi="宋体"/>
          <w:sz w:val="24"/>
        </w:rPr>
        <w:t>未能提供估价对象《</w:t>
      </w:r>
      <w:r>
        <w:rPr>
          <w:rFonts w:hint="eastAsia" w:ascii="宋体" w:hAnsi="宋体"/>
          <w:sz w:val="24"/>
        </w:rPr>
        <w:t>房屋所有</w:t>
      </w:r>
      <w:r>
        <w:rPr>
          <w:rFonts w:ascii="宋体" w:hAnsi="宋体"/>
          <w:sz w:val="24"/>
        </w:rPr>
        <w:t>权证》，故无法确定估价对象</w:t>
      </w:r>
      <w:r>
        <w:rPr>
          <w:rFonts w:hint="eastAsia" w:ascii="宋体" w:hAnsi="宋体"/>
          <w:sz w:val="24"/>
        </w:rPr>
        <w:t>建筑层数、建筑结构等相关信息，本次评估其有关描述只能根据注册房地产估价师实地查勘判断。</w:t>
      </w:r>
    </w:p>
    <w:p>
      <w:pPr>
        <w:spacing w:line="400" w:lineRule="exact"/>
        <w:ind w:firstLine="480" w:firstLineChars="200"/>
        <w:rPr>
          <w:rFonts w:ascii="宋体" w:hAnsi="宋体"/>
          <w:sz w:val="24"/>
        </w:rPr>
      </w:pPr>
      <w:r>
        <w:rPr>
          <w:rFonts w:hint="eastAsia" w:ascii="宋体" w:hAnsi="宋体" w:cs="宋体"/>
          <w:sz w:val="24"/>
        </w:rPr>
        <w:t>5、</w:t>
      </w:r>
      <w:r>
        <w:rPr>
          <w:rFonts w:ascii="宋体" w:hAnsi="宋体"/>
          <w:sz w:val="24"/>
        </w:rPr>
        <w:t>因</w:t>
      </w:r>
      <w:r>
        <w:rPr>
          <w:rFonts w:hint="eastAsia" w:ascii="宋体" w:hAnsi="宋体" w:cs="宋体"/>
          <w:sz w:val="24"/>
        </w:rPr>
        <w:t>相关当事人</w:t>
      </w:r>
      <w:r>
        <w:rPr>
          <w:rFonts w:ascii="宋体" w:hAnsi="宋体"/>
          <w:sz w:val="24"/>
        </w:rPr>
        <w:t>未能提供估价对象</w:t>
      </w:r>
      <w:r>
        <w:rPr>
          <w:rFonts w:hint="eastAsia" w:ascii="宋体" w:hAnsi="宋体"/>
          <w:sz w:val="24"/>
        </w:rPr>
        <w:t>室内现场勘查条件</w:t>
      </w:r>
      <w:r>
        <w:rPr>
          <w:rFonts w:ascii="宋体" w:hAnsi="宋体"/>
          <w:sz w:val="24"/>
        </w:rPr>
        <w:t>，故无法确定估价对象</w:t>
      </w:r>
      <w:r>
        <w:rPr>
          <w:rFonts w:hint="eastAsia" w:ascii="宋体" w:hAnsi="宋体"/>
          <w:sz w:val="24"/>
        </w:rPr>
        <w:t>室内装修状况，估本次评估只能根据注册房地产估价师实地查勘的经验判断，设定估价对象室内为简单装修，地面为水泥抹平地面，墙面为涂料粉刷，天棚为涂料粉刷。</w:t>
      </w:r>
    </w:p>
    <w:p>
      <w:pPr>
        <w:spacing w:line="400" w:lineRule="exact"/>
        <w:ind w:firstLine="482" w:firstLineChars="200"/>
        <w:rPr>
          <w:rFonts w:ascii="宋体" w:hAnsi="宋体"/>
          <w:b/>
          <w:sz w:val="24"/>
        </w:rPr>
      </w:pPr>
      <w:r>
        <w:rPr>
          <w:rFonts w:hint="eastAsia" w:ascii="宋体" w:hAnsi="宋体"/>
          <w:b/>
          <w:sz w:val="24"/>
        </w:rPr>
        <w:t>二、估价报告使用限制</w:t>
      </w:r>
    </w:p>
    <w:p>
      <w:pPr>
        <w:spacing w:line="380" w:lineRule="exact"/>
        <w:ind w:firstLine="480" w:firstLineChars="200"/>
        <w:rPr>
          <w:rFonts w:ascii="宋体" w:hAnsi="宋体" w:cs="宋体"/>
          <w:sz w:val="24"/>
        </w:rPr>
      </w:pPr>
      <w:r>
        <w:rPr>
          <w:rFonts w:hint="eastAsia" w:ascii="宋体" w:hAnsi="宋体" w:cs="宋体"/>
          <w:sz w:val="24"/>
        </w:rPr>
        <w:t>1、本估价报告仅作为本次估价目的之使用，不作其他任何用途使用。</w:t>
      </w:r>
    </w:p>
    <w:p>
      <w:pPr>
        <w:spacing w:line="380" w:lineRule="exact"/>
        <w:ind w:firstLine="480" w:firstLineChars="200"/>
        <w:rPr>
          <w:rFonts w:ascii="宋体" w:hAnsi="宋体" w:cs="宋体"/>
          <w:sz w:val="24"/>
        </w:rPr>
      </w:pPr>
      <w:r>
        <w:rPr>
          <w:rFonts w:hint="eastAsia" w:ascii="宋体" w:hAnsi="宋体" w:cs="宋体"/>
          <w:sz w:val="24"/>
        </w:rPr>
        <w:t>2、估价报告使用者为估价委托人（厦门市湖里区人民法院）及相关当事人，估价报告使用者在使用本估价报告时，不应断章取义。</w:t>
      </w:r>
    </w:p>
    <w:p>
      <w:pPr>
        <w:spacing w:line="380" w:lineRule="exact"/>
        <w:ind w:firstLine="480" w:firstLineChars="200"/>
        <w:rPr>
          <w:rFonts w:ascii="宋体" w:hAnsi="宋体" w:cs="宋体"/>
          <w:sz w:val="24"/>
        </w:rPr>
      </w:pPr>
      <w:r>
        <w:rPr>
          <w:rFonts w:hint="eastAsia" w:ascii="宋体" w:hAnsi="宋体" w:cs="宋体"/>
          <w:sz w:val="24"/>
        </w:rPr>
        <w:t>3、未经本估价机构书面同意，任何单位或个人不得将本估价报告的全部或部分内容发表于任何公开媒体上。</w:t>
      </w:r>
    </w:p>
    <w:p>
      <w:pPr>
        <w:spacing w:line="380" w:lineRule="exact"/>
        <w:ind w:firstLine="480" w:firstLineChars="200"/>
        <w:rPr>
          <w:rFonts w:ascii="宋体" w:hAnsi="宋体" w:cs="宋体"/>
          <w:sz w:val="24"/>
        </w:rPr>
      </w:pPr>
      <w:r>
        <w:rPr>
          <w:rFonts w:hint="eastAsia" w:ascii="宋体" w:hAnsi="宋体" w:cs="宋体"/>
          <w:sz w:val="24"/>
        </w:rPr>
        <w:t>4、本估价报告经估价机构加盖公章、法定代表人签名（或盖章）及估价人员签字后方可有效。</w:t>
      </w:r>
    </w:p>
    <w:p>
      <w:pPr>
        <w:spacing w:line="380" w:lineRule="exact"/>
        <w:ind w:firstLine="480" w:firstLineChars="200"/>
        <w:rPr>
          <w:rFonts w:ascii="宋体" w:hAnsi="宋体" w:cs="宋体"/>
          <w:sz w:val="24"/>
        </w:rPr>
      </w:pPr>
      <w:r>
        <w:rPr>
          <w:rFonts w:hint="eastAsia" w:ascii="宋体" w:hAnsi="宋体" w:cs="宋体"/>
          <w:sz w:val="24"/>
        </w:rPr>
        <w:t>5、估价报告使用期限为自本估价报告</w:t>
      </w:r>
      <w:r>
        <w:rPr>
          <w:rFonts w:hint="eastAsia" w:ascii="宋体" w:hAnsi="宋体" w:cs="宋体"/>
          <w:bCs/>
          <w:spacing w:val="-8"/>
          <w:sz w:val="24"/>
        </w:rPr>
        <w:t>出</w:t>
      </w:r>
      <w:r>
        <w:rPr>
          <w:rFonts w:hint="eastAsia" w:ascii="宋体" w:hAnsi="宋体" w:cs="宋体"/>
          <w:sz w:val="24"/>
        </w:rPr>
        <w:t>具之日起不超过一年。</w:t>
      </w:r>
    </w:p>
    <w:p>
      <w:pPr>
        <w:pStyle w:val="2"/>
        <w:spacing w:after="156"/>
        <w:jc w:val="center"/>
        <w:rPr>
          <w:rFonts w:ascii="宋体" w:hAnsi="宋体"/>
          <w:sz w:val="32"/>
          <w:szCs w:val="32"/>
        </w:rPr>
      </w:pPr>
      <w:r>
        <w:br w:type="page"/>
      </w:r>
      <w:bookmarkStart w:id="16" w:name="_Toc399921377"/>
      <w:bookmarkStart w:id="17" w:name="_Toc19528"/>
      <w:bookmarkStart w:id="18" w:name="_Toc388427137"/>
      <w:bookmarkStart w:id="19" w:name="_Toc105964072"/>
      <w:r>
        <w:rPr>
          <w:rFonts w:hint="eastAsia"/>
          <w:kern w:val="2"/>
          <w:sz w:val="32"/>
          <w:szCs w:val="32"/>
        </w:rPr>
        <w:t>估价结果报告</w:t>
      </w:r>
      <w:bookmarkEnd w:id="16"/>
      <w:bookmarkEnd w:id="17"/>
      <w:bookmarkEnd w:id="18"/>
      <w:bookmarkEnd w:id="19"/>
    </w:p>
    <w:p>
      <w:pPr>
        <w:pStyle w:val="3"/>
        <w:spacing w:before="0" w:after="0" w:line="460" w:lineRule="exact"/>
        <w:ind w:firstLine="472" w:firstLineChars="196"/>
        <w:rPr>
          <w:rFonts w:ascii="宋体" w:hAnsi="宋体" w:eastAsia="宋体"/>
          <w:sz w:val="24"/>
          <w:szCs w:val="24"/>
        </w:rPr>
      </w:pPr>
      <w:bookmarkStart w:id="20" w:name="_Toc388427138"/>
      <w:bookmarkStart w:id="21" w:name="_Toc399921378"/>
      <w:bookmarkStart w:id="22" w:name="_Toc20897"/>
      <w:bookmarkStart w:id="23" w:name="_Toc105964073"/>
      <w:r>
        <w:rPr>
          <w:rFonts w:hint="eastAsia" w:ascii="宋体" w:hAnsi="宋体" w:eastAsia="宋体"/>
          <w:sz w:val="24"/>
          <w:szCs w:val="24"/>
        </w:rPr>
        <w:t>一、估价委托人</w:t>
      </w:r>
      <w:bookmarkEnd w:id="20"/>
      <w:bookmarkEnd w:id="21"/>
      <w:bookmarkEnd w:id="22"/>
      <w:bookmarkEnd w:id="23"/>
    </w:p>
    <w:p>
      <w:pPr>
        <w:adjustRightInd w:val="0"/>
        <w:snapToGrid w:val="0"/>
        <w:spacing w:line="460" w:lineRule="exact"/>
        <w:ind w:firstLine="513" w:firstLineChars="214"/>
        <w:rPr>
          <w:rFonts w:ascii="宋体" w:hAnsi="宋体"/>
          <w:sz w:val="24"/>
        </w:rPr>
      </w:pPr>
      <w:r>
        <w:rPr>
          <w:rFonts w:hint="eastAsia" w:ascii="宋体" w:hAnsi="宋体"/>
          <w:sz w:val="24"/>
        </w:rPr>
        <w:t>估价委托人：</w:t>
      </w:r>
      <w:r>
        <w:rPr>
          <w:rFonts w:hint="eastAsia" w:ascii="宋体" w:hAnsi="宋体"/>
          <w:bCs/>
          <w:sz w:val="24"/>
        </w:rPr>
        <w:t>厦门市湖里区人民法院</w:t>
      </w:r>
    </w:p>
    <w:p>
      <w:pPr>
        <w:pStyle w:val="3"/>
        <w:spacing w:before="0" w:after="0" w:line="460" w:lineRule="exact"/>
        <w:ind w:firstLine="472" w:firstLineChars="196"/>
        <w:rPr>
          <w:rFonts w:ascii="宋体" w:hAnsi="宋体" w:eastAsia="宋体"/>
          <w:sz w:val="24"/>
          <w:szCs w:val="24"/>
        </w:rPr>
      </w:pPr>
      <w:bookmarkStart w:id="24" w:name="_Toc399921379"/>
      <w:bookmarkStart w:id="25" w:name="_Toc323116699"/>
      <w:bookmarkStart w:id="26" w:name="_Toc12172"/>
      <w:bookmarkStart w:id="27" w:name="_Toc323043781"/>
      <w:bookmarkStart w:id="28" w:name="_Toc388427139"/>
      <w:bookmarkStart w:id="29" w:name="_Toc105964074"/>
      <w:r>
        <w:rPr>
          <w:rFonts w:hint="eastAsia" w:ascii="宋体" w:hAnsi="宋体" w:eastAsia="宋体"/>
          <w:sz w:val="24"/>
          <w:szCs w:val="24"/>
        </w:rPr>
        <w:t>二、房地产估价机构</w:t>
      </w:r>
      <w:bookmarkEnd w:id="24"/>
      <w:bookmarkEnd w:id="25"/>
      <w:bookmarkEnd w:id="26"/>
      <w:bookmarkEnd w:id="27"/>
      <w:bookmarkEnd w:id="28"/>
      <w:bookmarkEnd w:id="29"/>
    </w:p>
    <w:p>
      <w:pPr>
        <w:adjustRightInd w:val="0"/>
        <w:snapToGrid w:val="0"/>
        <w:spacing w:line="460" w:lineRule="exact"/>
        <w:ind w:firstLine="513" w:firstLineChars="214"/>
        <w:rPr>
          <w:rFonts w:ascii="宋体" w:hAnsi="宋体"/>
          <w:sz w:val="24"/>
        </w:rPr>
      </w:pPr>
      <w:r>
        <w:rPr>
          <w:rFonts w:hint="eastAsia" w:ascii="宋体" w:hAnsi="宋体"/>
          <w:bCs/>
          <w:sz w:val="24"/>
        </w:rPr>
        <w:t>名    称：</w:t>
      </w:r>
      <w:r>
        <w:rPr>
          <w:rFonts w:hint="eastAsia" w:ascii="宋体" w:hAnsi="宋体"/>
          <w:sz w:val="24"/>
        </w:rPr>
        <w:t>厦门均达房地产资产评估咨询有限公司</w:t>
      </w:r>
    </w:p>
    <w:p>
      <w:pPr>
        <w:adjustRightInd w:val="0"/>
        <w:snapToGrid w:val="0"/>
        <w:spacing w:line="460" w:lineRule="exact"/>
        <w:ind w:firstLine="513" w:firstLineChars="214"/>
        <w:rPr>
          <w:rFonts w:ascii="宋体" w:hAnsi="宋体"/>
          <w:sz w:val="24"/>
        </w:rPr>
      </w:pPr>
      <w:r>
        <w:rPr>
          <w:rFonts w:hint="eastAsia" w:ascii="宋体" w:hAnsi="宋体"/>
          <w:bCs/>
          <w:sz w:val="24"/>
        </w:rPr>
        <w:t>法人代表：</w:t>
      </w:r>
      <w:r>
        <w:rPr>
          <w:rFonts w:hint="eastAsia" w:ascii="宋体" w:hAnsi="宋体"/>
          <w:sz w:val="24"/>
        </w:rPr>
        <w:t>鲁苗根</w:t>
      </w:r>
    </w:p>
    <w:p>
      <w:pPr>
        <w:adjustRightInd w:val="0"/>
        <w:snapToGrid w:val="0"/>
        <w:spacing w:line="440" w:lineRule="exact"/>
        <w:ind w:firstLine="513" w:firstLineChars="214"/>
        <w:rPr>
          <w:rFonts w:ascii="宋体" w:hAnsi="宋体"/>
          <w:sz w:val="24"/>
        </w:rPr>
      </w:pPr>
      <w:r>
        <w:rPr>
          <w:rFonts w:hint="eastAsia" w:ascii="宋体" w:hAnsi="宋体"/>
          <w:bCs/>
          <w:sz w:val="24"/>
        </w:rPr>
        <w:t>地    址：</w:t>
      </w:r>
      <w:r>
        <w:rPr>
          <w:rFonts w:hint="eastAsia" w:ascii="宋体" w:hAnsi="宋体"/>
          <w:sz w:val="24"/>
        </w:rPr>
        <w:t xml:space="preserve">厦门市思明区金星路41号2幢一楼、二楼 </w:t>
      </w:r>
    </w:p>
    <w:p>
      <w:pPr>
        <w:adjustRightInd w:val="0"/>
        <w:snapToGrid w:val="0"/>
        <w:spacing w:line="440" w:lineRule="exact"/>
        <w:ind w:firstLine="513" w:firstLineChars="214"/>
        <w:rPr>
          <w:rFonts w:ascii="宋体" w:hAnsi="宋体"/>
          <w:sz w:val="24"/>
        </w:rPr>
      </w:pPr>
      <w:r>
        <w:rPr>
          <w:rFonts w:hint="eastAsia" w:ascii="宋体" w:hAnsi="宋体"/>
          <w:bCs/>
          <w:sz w:val="24"/>
        </w:rPr>
        <w:t>备案等级：</w:t>
      </w:r>
      <w:r>
        <w:rPr>
          <w:rFonts w:hint="eastAsia" w:ascii="宋体" w:hAnsi="宋体"/>
          <w:sz w:val="24"/>
        </w:rPr>
        <w:t>一级            营业执照统一社会信用代码：9135020073786900XM</w:t>
      </w:r>
    </w:p>
    <w:p>
      <w:pPr>
        <w:adjustRightInd w:val="0"/>
        <w:snapToGrid w:val="0"/>
        <w:spacing w:line="440" w:lineRule="exact"/>
        <w:ind w:firstLine="513" w:firstLineChars="214"/>
        <w:rPr>
          <w:rFonts w:ascii="宋体" w:hAnsi="宋体"/>
          <w:sz w:val="24"/>
        </w:rPr>
      </w:pPr>
      <w:r>
        <w:rPr>
          <w:rFonts w:ascii="宋体" w:hAnsi="宋体"/>
          <w:bCs/>
          <w:sz w:val="24"/>
        </w:rPr>
        <w:t xml:space="preserve">证书编号：352017001       </w:t>
      </w:r>
    </w:p>
    <w:p>
      <w:pPr>
        <w:adjustRightInd w:val="0"/>
        <w:snapToGrid w:val="0"/>
        <w:spacing w:line="440" w:lineRule="exact"/>
        <w:ind w:firstLine="513" w:firstLineChars="214"/>
        <w:rPr>
          <w:rFonts w:ascii="宋体" w:hAnsi="宋体"/>
          <w:sz w:val="24"/>
        </w:rPr>
      </w:pPr>
      <w:r>
        <w:rPr>
          <w:rFonts w:hint="eastAsia" w:ascii="宋体" w:hAnsi="宋体"/>
          <w:bCs/>
          <w:sz w:val="24"/>
        </w:rPr>
        <w:t>联系电话：</w:t>
      </w:r>
      <w:r>
        <w:rPr>
          <w:rFonts w:hint="eastAsia" w:ascii="宋体" w:hAnsi="宋体"/>
          <w:sz w:val="24"/>
        </w:rPr>
        <w:t xml:space="preserve">400-8888-949    </w:t>
      </w:r>
      <w:r>
        <w:rPr>
          <w:rFonts w:hint="eastAsia" w:ascii="宋体" w:hAnsi="宋体"/>
          <w:bCs/>
          <w:sz w:val="24"/>
        </w:rPr>
        <w:t>传  真：0592-</w:t>
      </w:r>
      <w:r>
        <w:rPr>
          <w:rFonts w:hint="eastAsia" w:ascii="宋体" w:hAnsi="宋体"/>
          <w:sz w:val="24"/>
        </w:rPr>
        <w:t>5126652</w:t>
      </w:r>
    </w:p>
    <w:p>
      <w:pPr>
        <w:pStyle w:val="3"/>
        <w:spacing w:before="0" w:after="0" w:line="460" w:lineRule="exact"/>
        <w:ind w:firstLine="472" w:firstLineChars="196"/>
        <w:rPr>
          <w:rFonts w:ascii="宋体" w:hAnsi="宋体"/>
          <w:sz w:val="24"/>
        </w:rPr>
      </w:pPr>
      <w:bookmarkStart w:id="30" w:name="_Toc399921380"/>
      <w:bookmarkStart w:id="31" w:name="_Toc388427140"/>
      <w:bookmarkStart w:id="32" w:name="_Toc323043783"/>
      <w:bookmarkStart w:id="33" w:name="_Toc323116701"/>
      <w:bookmarkStart w:id="34" w:name="_Toc21211"/>
      <w:bookmarkStart w:id="35" w:name="_Toc105964075"/>
      <w:r>
        <w:rPr>
          <w:rFonts w:hint="eastAsia" w:ascii="宋体" w:hAnsi="宋体" w:eastAsia="宋体"/>
          <w:sz w:val="24"/>
          <w:szCs w:val="24"/>
        </w:rPr>
        <w:t>三、估价目的</w:t>
      </w:r>
      <w:bookmarkEnd w:id="30"/>
      <w:bookmarkEnd w:id="31"/>
      <w:bookmarkEnd w:id="32"/>
      <w:bookmarkEnd w:id="33"/>
      <w:bookmarkEnd w:id="34"/>
      <w:bookmarkEnd w:id="35"/>
    </w:p>
    <w:p>
      <w:pPr>
        <w:adjustRightInd w:val="0"/>
        <w:snapToGrid w:val="0"/>
        <w:spacing w:line="440" w:lineRule="exact"/>
        <w:ind w:firstLine="513" w:firstLineChars="214"/>
        <w:rPr>
          <w:rFonts w:ascii="宋体" w:hAnsi="宋体"/>
          <w:sz w:val="24"/>
        </w:rPr>
      </w:pPr>
      <w:r>
        <w:rPr>
          <w:rFonts w:hint="eastAsia" w:ascii="宋体" w:hAnsi="宋体"/>
          <w:sz w:val="24"/>
        </w:rPr>
        <w:t>估价目的是</w:t>
      </w:r>
      <w:r>
        <w:rPr>
          <w:rFonts w:ascii="宋体" w:hAnsi="宋体"/>
          <w:sz w:val="24"/>
        </w:rPr>
        <w:t>为委托方确定财产处置参考价提供参考依据</w:t>
      </w:r>
      <w:r>
        <w:rPr>
          <w:rFonts w:hint="eastAsia" w:ascii="宋体" w:hAnsi="宋体"/>
          <w:sz w:val="24"/>
        </w:rPr>
        <w:t>。</w:t>
      </w:r>
    </w:p>
    <w:p>
      <w:pPr>
        <w:pStyle w:val="3"/>
        <w:spacing w:before="0" w:after="0" w:line="460" w:lineRule="exact"/>
        <w:ind w:firstLine="472" w:firstLineChars="196"/>
        <w:rPr>
          <w:rFonts w:ascii="宋体" w:hAnsi="宋体" w:eastAsia="宋体"/>
          <w:sz w:val="24"/>
          <w:szCs w:val="24"/>
        </w:rPr>
      </w:pPr>
      <w:bookmarkStart w:id="36" w:name="_Toc23785"/>
      <w:bookmarkStart w:id="37" w:name="_Toc323116700"/>
      <w:bookmarkStart w:id="38" w:name="_Toc399921381"/>
      <w:bookmarkStart w:id="39" w:name="_Toc323043782"/>
      <w:bookmarkStart w:id="40" w:name="_Toc388427141"/>
      <w:bookmarkStart w:id="41" w:name="_Toc105964076"/>
      <w:r>
        <w:rPr>
          <w:rFonts w:hint="eastAsia" w:ascii="宋体" w:hAnsi="宋体" w:eastAsia="宋体"/>
          <w:sz w:val="24"/>
          <w:szCs w:val="24"/>
        </w:rPr>
        <w:t>四、估价对象</w:t>
      </w:r>
      <w:bookmarkEnd w:id="36"/>
      <w:bookmarkEnd w:id="37"/>
      <w:bookmarkEnd w:id="38"/>
      <w:bookmarkEnd w:id="39"/>
      <w:bookmarkEnd w:id="40"/>
      <w:bookmarkEnd w:id="41"/>
    </w:p>
    <w:p>
      <w:pPr>
        <w:adjustRightInd w:val="0"/>
        <w:snapToGrid w:val="0"/>
        <w:spacing w:line="440" w:lineRule="exact"/>
        <w:ind w:firstLine="516" w:firstLineChars="214"/>
        <w:rPr>
          <w:rFonts w:ascii="宋体" w:hAnsi="宋体"/>
          <w:b/>
          <w:sz w:val="24"/>
        </w:rPr>
      </w:pPr>
      <w:r>
        <w:rPr>
          <w:rFonts w:hint="eastAsia" w:ascii="宋体" w:hAnsi="宋体"/>
          <w:b/>
          <w:sz w:val="24"/>
        </w:rPr>
        <w:t>（一）估价对象财产范围</w:t>
      </w:r>
    </w:p>
    <w:p>
      <w:pPr>
        <w:adjustRightInd w:val="0"/>
        <w:snapToGrid w:val="0"/>
        <w:spacing w:line="440" w:lineRule="exact"/>
        <w:ind w:firstLine="513" w:firstLineChars="214"/>
        <w:rPr>
          <w:rFonts w:ascii="宋体" w:hAnsi="宋体"/>
          <w:sz w:val="24"/>
        </w:rPr>
      </w:pPr>
      <w:r>
        <w:rPr>
          <w:rFonts w:hint="eastAsia" w:ascii="宋体" w:hAnsi="宋体"/>
          <w:sz w:val="24"/>
        </w:rPr>
        <w:t>估价对象</w:t>
      </w:r>
      <w:r>
        <w:rPr>
          <w:rFonts w:hint="eastAsia" w:ascii="宋体" w:hAnsi="宋体"/>
          <w:color w:val="000000"/>
          <w:sz w:val="24"/>
        </w:rPr>
        <w:t>财产范围包括建筑物（含室内装修）、分摊的土地使用权（含土地出让金）及配套设施，不包括动产、债权债务、特许经营权等其他财产或权益</w:t>
      </w:r>
      <w:r>
        <w:rPr>
          <w:rFonts w:hint="eastAsia" w:ascii="宋体" w:hAnsi="宋体"/>
          <w:sz w:val="24"/>
        </w:rPr>
        <w:t>。</w:t>
      </w:r>
    </w:p>
    <w:p>
      <w:pPr>
        <w:adjustRightInd w:val="0"/>
        <w:snapToGrid w:val="0"/>
        <w:spacing w:line="440" w:lineRule="exact"/>
        <w:ind w:firstLine="516" w:firstLineChars="214"/>
        <w:rPr>
          <w:rFonts w:ascii="宋体" w:hAnsi="宋体"/>
          <w:b/>
          <w:sz w:val="24"/>
        </w:rPr>
      </w:pPr>
      <w:r>
        <w:rPr>
          <w:rFonts w:hint="eastAsia" w:ascii="宋体" w:hAnsi="宋体"/>
          <w:b/>
          <w:bCs/>
          <w:sz w:val="24"/>
        </w:rPr>
        <w:t>（二）</w:t>
      </w:r>
      <w:r>
        <w:rPr>
          <w:rFonts w:hint="eastAsia" w:ascii="宋体" w:hAnsi="宋体"/>
          <w:b/>
          <w:sz w:val="24"/>
        </w:rPr>
        <w:t>估价对象基本状况</w:t>
      </w:r>
    </w:p>
    <w:p>
      <w:pPr>
        <w:adjustRightInd w:val="0"/>
        <w:snapToGrid w:val="0"/>
        <w:spacing w:line="440" w:lineRule="exact"/>
        <w:ind w:firstLine="513" w:firstLineChars="214"/>
        <w:rPr>
          <w:rFonts w:ascii="宋体" w:hAnsi="宋体"/>
          <w:b/>
          <w:sz w:val="24"/>
        </w:rPr>
      </w:pPr>
      <w:bookmarkStart w:id="42" w:name="PO_A"/>
      <w:r>
        <w:rPr>
          <w:rFonts w:hint="eastAsia" w:ascii="宋体" w:hAnsi="宋体"/>
          <w:sz w:val="24"/>
        </w:rPr>
        <w:t>估价对象坐落于惠安县螺城镇新霞企塘花园西侧Ⅵ组团A3#，估价对象为23号储藏间房地产；所在楼幢为钢混结构，无电梯，总层数为8层；估价对象位于地上第1层，建筑面积19.35平方米，法定用途为储藏间，实际用途为车库，本次评估以法定用途储藏间为准，权属人为刘龙海。</w:t>
      </w:r>
    </w:p>
    <w:p>
      <w:pPr>
        <w:pStyle w:val="35"/>
        <w:adjustRightInd w:val="0"/>
        <w:snapToGrid w:val="0"/>
        <w:spacing w:before="156" w:beforeLines="50" w:line="440" w:lineRule="exact"/>
        <w:jc w:val="right"/>
        <w:rPr>
          <w:rFonts w:ascii="宋体" w:hAnsi="宋体"/>
          <w:b/>
          <w:sz w:val="24"/>
        </w:rPr>
      </w:pPr>
      <w:r>
        <w:rPr>
          <w:rFonts w:hint="eastAsia" w:ascii="宋体" w:hAnsi="宋体"/>
          <w:b/>
          <w:bCs/>
          <w:sz w:val="24"/>
        </w:rPr>
        <w:t>泉州市房屋权属登记查档                          表2-1</w:t>
      </w:r>
    </w:p>
    <w:tbl>
      <w:tblPr>
        <w:tblStyle w:val="15"/>
        <w:tblW w:w="9105" w:type="dxa"/>
        <w:tblInd w:w="-13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1897"/>
        <w:gridCol w:w="766"/>
        <w:gridCol w:w="2317"/>
        <w:gridCol w:w="767"/>
        <w:gridCol w:w="33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663" w:type="dxa"/>
            <w:gridSpan w:val="2"/>
            <w:vAlign w:val="center"/>
          </w:tcPr>
          <w:p>
            <w:pPr>
              <w:pStyle w:val="35"/>
              <w:adjustRightInd w:val="0"/>
              <w:snapToGrid w:val="0"/>
              <w:spacing w:before="156" w:beforeLines="50"/>
              <w:jc w:val="center"/>
              <w:rPr>
                <w:rFonts w:ascii="宋体" w:hAnsi="宋体"/>
                <w:bCs/>
                <w:szCs w:val="21"/>
              </w:rPr>
            </w:pPr>
            <w:r>
              <w:rPr>
                <w:rFonts w:ascii="宋体" w:hAnsi="宋体"/>
                <w:szCs w:val="21"/>
              </w:rPr>
              <w:t>业务编号</w:t>
            </w:r>
          </w:p>
        </w:tc>
        <w:tc>
          <w:tcPr>
            <w:tcW w:w="6442" w:type="dxa"/>
            <w:gridSpan w:val="3"/>
            <w:vAlign w:val="center"/>
          </w:tcPr>
          <w:p>
            <w:pPr>
              <w:pStyle w:val="35"/>
              <w:adjustRightInd w:val="0"/>
              <w:snapToGrid w:val="0"/>
              <w:spacing w:before="156" w:beforeLines="50"/>
              <w:jc w:val="left"/>
              <w:rPr>
                <w:rFonts w:ascii="宋体" w:hAnsi="宋体"/>
                <w:bCs/>
                <w:szCs w:val="21"/>
              </w:rPr>
            </w:pPr>
            <w:r>
              <w:rPr>
                <w:rFonts w:ascii="宋体" w:hAnsi="宋体"/>
                <w:szCs w:val="21"/>
              </w:rPr>
              <w:t>20161004938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663" w:type="dxa"/>
            <w:gridSpan w:val="2"/>
            <w:vAlign w:val="center"/>
          </w:tcPr>
          <w:p>
            <w:pPr>
              <w:pStyle w:val="35"/>
              <w:adjustRightInd w:val="0"/>
              <w:snapToGrid w:val="0"/>
              <w:spacing w:before="156" w:beforeLines="50"/>
              <w:jc w:val="center"/>
              <w:rPr>
                <w:rFonts w:ascii="宋体" w:hAnsi="宋体"/>
                <w:szCs w:val="21"/>
              </w:rPr>
            </w:pPr>
            <w:r>
              <w:rPr>
                <w:rFonts w:hint="eastAsia" w:ascii="宋体" w:hAnsi="宋体"/>
                <w:szCs w:val="21"/>
              </w:rPr>
              <w:t>业务类别</w:t>
            </w:r>
          </w:p>
        </w:tc>
        <w:tc>
          <w:tcPr>
            <w:tcW w:w="6442" w:type="dxa"/>
            <w:gridSpan w:val="3"/>
            <w:vAlign w:val="center"/>
          </w:tcPr>
          <w:p>
            <w:pPr>
              <w:pStyle w:val="35"/>
              <w:adjustRightInd w:val="0"/>
              <w:snapToGrid w:val="0"/>
              <w:spacing w:before="156" w:beforeLines="50"/>
              <w:jc w:val="left"/>
              <w:rPr>
                <w:rFonts w:ascii="宋体" w:hAnsi="宋体"/>
                <w:szCs w:val="21"/>
              </w:rPr>
            </w:pPr>
            <w:r>
              <w:rPr>
                <w:rFonts w:hint="eastAsia" w:ascii="宋体" w:hAnsi="宋体"/>
                <w:szCs w:val="21"/>
              </w:rPr>
              <w:t>最高额抵押权设立登记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663" w:type="dxa"/>
            <w:gridSpan w:val="2"/>
            <w:vAlign w:val="center"/>
          </w:tcPr>
          <w:p>
            <w:pPr>
              <w:pStyle w:val="35"/>
              <w:adjustRightInd w:val="0"/>
              <w:snapToGrid w:val="0"/>
              <w:spacing w:before="156" w:beforeLines="50"/>
              <w:jc w:val="center"/>
              <w:rPr>
                <w:rFonts w:ascii="宋体" w:hAnsi="宋体"/>
                <w:szCs w:val="21"/>
              </w:rPr>
            </w:pPr>
            <w:r>
              <w:rPr>
                <w:rFonts w:hint="eastAsia" w:ascii="宋体" w:hAnsi="宋体"/>
                <w:szCs w:val="21"/>
              </w:rPr>
              <w:t>登记日期</w:t>
            </w:r>
          </w:p>
        </w:tc>
        <w:tc>
          <w:tcPr>
            <w:tcW w:w="6442" w:type="dxa"/>
            <w:gridSpan w:val="3"/>
            <w:vAlign w:val="center"/>
          </w:tcPr>
          <w:p>
            <w:pPr>
              <w:pStyle w:val="35"/>
              <w:adjustRightInd w:val="0"/>
              <w:snapToGrid w:val="0"/>
              <w:spacing w:before="156" w:beforeLines="50"/>
              <w:jc w:val="left"/>
              <w:rPr>
                <w:rFonts w:ascii="宋体" w:hAnsi="宋体"/>
                <w:szCs w:val="21"/>
              </w:rPr>
            </w:pPr>
            <w:r>
              <w:rPr>
                <w:rFonts w:hint="eastAsia" w:ascii="宋体" w:hAnsi="宋体"/>
                <w:szCs w:val="21"/>
              </w:rPr>
              <w:t>2016-02-26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45" w:hRule="atLeast"/>
        </w:trPr>
        <w:tc>
          <w:tcPr>
            <w:tcW w:w="266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房屋座落</w:t>
            </w:r>
          </w:p>
        </w:tc>
        <w:tc>
          <w:tcPr>
            <w:tcW w:w="6442" w:type="dxa"/>
            <w:gridSpan w:val="3"/>
            <w:vAlign w:val="center"/>
          </w:tcPr>
          <w:p>
            <w:pPr>
              <w:pStyle w:val="35"/>
              <w:adjustRightInd w:val="0"/>
              <w:snapToGrid w:val="0"/>
              <w:spacing w:before="156" w:beforeLines="50"/>
              <w:jc w:val="left"/>
              <w:rPr>
                <w:rFonts w:ascii="宋体" w:hAnsi="宋体"/>
                <w:bCs/>
                <w:szCs w:val="21"/>
              </w:rPr>
            </w:pPr>
            <w:r>
              <w:rPr>
                <w:rFonts w:hint="eastAsia" w:ascii="宋体" w:hAnsi="宋体"/>
                <w:szCs w:val="21"/>
              </w:rPr>
              <w:t>惠安县螺城镇新霞企塘花园西侧Ⅵ组团A3#202、23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45" w:hRule="atLeast"/>
        </w:trPr>
        <w:tc>
          <w:tcPr>
            <w:tcW w:w="9105" w:type="dxa"/>
            <w:gridSpan w:val="5"/>
            <w:vAlign w:val="center"/>
          </w:tcPr>
          <w:p>
            <w:pPr>
              <w:pStyle w:val="35"/>
              <w:adjustRightInd w:val="0"/>
              <w:snapToGrid w:val="0"/>
              <w:spacing w:before="156" w:beforeLines="50"/>
              <w:jc w:val="center"/>
              <w:rPr>
                <w:rFonts w:ascii="宋体" w:hAnsi="宋体"/>
                <w:szCs w:val="21"/>
              </w:rPr>
            </w:pPr>
            <w:r>
              <w:rPr>
                <w:rFonts w:hint="eastAsia" w:ascii="宋体" w:hAnsi="宋体"/>
                <w:szCs w:val="21"/>
              </w:rPr>
              <w:t>房屋信息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5747" w:type="dxa"/>
            <w:gridSpan w:val="4"/>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座落</w:t>
            </w:r>
          </w:p>
        </w:tc>
        <w:tc>
          <w:tcPr>
            <w:tcW w:w="3358"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747" w:type="dxa"/>
            <w:gridSpan w:val="4"/>
            <w:vAlign w:val="center"/>
          </w:tcPr>
          <w:p>
            <w:pPr>
              <w:pStyle w:val="35"/>
              <w:adjustRightInd w:val="0"/>
              <w:snapToGrid w:val="0"/>
              <w:spacing w:before="156" w:beforeLines="50"/>
              <w:jc w:val="center"/>
              <w:rPr>
                <w:rFonts w:ascii="宋体" w:hAnsi="宋体"/>
                <w:bCs/>
                <w:szCs w:val="21"/>
              </w:rPr>
            </w:pPr>
          </w:p>
        </w:tc>
        <w:tc>
          <w:tcPr>
            <w:tcW w:w="3358" w:type="dxa"/>
            <w:vAlign w:val="center"/>
          </w:tcPr>
          <w:p>
            <w:pPr>
              <w:pStyle w:val="35"/>
              <w:widowControl/>
              <w:wordWrap w:val="0"/>
              <w:spacing w:line="345" w:lineRule="atLeast"/>
              <w:jc w:val="center"/>
              <w:rPr>
                <w:rFonts w:hint="eastAsia" w:ascii="Helvetica" w:hAnsi="Helvetica"/>
                <w:color w:val="333333"/>
                <w:kern w:val="0"/>
                <w:sz w:val="18"/>
                <w:szCs w:val="18"/>
              </w:rPr>
            </w:pPr>
            <w:r>
              <w:rPr>
                <w:rFonts w:hint="eastAsia" w:ascii="宋体" w:hAnsi="宋体"/>
                <w:szCs w:val="21"/>
              </w:rPr>
              <w:t>住宅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747" w:type="dxa"/>
            <w:gridSpan w:val="4"/>
            <w:vAlign w:val="center"/>
          </w:tcPr>
          <w:p>
            <w:pPr>
              <w:pStyle w:val="35"/>
              <w:adjustRightInd w:val="0"/>
              <w:snapToGrid w:val="0"/>
              <w:spacing w:before="156" w:beforeLines="50"/>
              <w:jc w:val="center"/>
              <w:rPr>
                <w:rFonts w:ascii="宋体" w:hAnsi="宋体"/>
                <w:bCs/>
                <w:szCs w:val="21"/>
              </w:rPr>
            </w:pPr>
            <w:r>
              <w:rPr>
                <w:rFonts w:hint="eastAsia" w:ascii="宋体" w:hAnsi="宋体"/>
                <w:szCs w:val="21"/>
              </w:rPr>
              <w:t>惠安县螺城镇新霞企塘花园西侧Ⅵ组团A3#23</w:t>
            </w:r>
          </w:p>
        </w:tc>
        <w:tc>
          <w:tcPr>
            <w:tcW w:w="3358" w:type="dxa"/>
            <w:vAlign w:val="center"/>
          </w:tcPr>
          <w:p>
            <w:pPr>
              <w:pStyle w:val="35"/>
              <w:widowControl/>
              <w:wordWrap w:val="0"/>
              <w:spacing w:line="345" w:lineRule="atLeast"/>
              <w:jc w:val="center"/>
              <w:rPr>
                <w:rFonts w:hint="eastAsia" w:ascii="Helvetica" w:hAnsi="Helvetica"/>
                <w:color w:val="333333"/>
                <w:kern w:val="0"/>
                <w:sz w:val="18"/>
                <w:szCs w:val="18"/>
              </w:rPr>
            </w:pPr>
            <w:r>
              <w:rPr>
                <w:rFonts w:hint="eastAsia" w:ascii="宋体" w:hAnsi="宋体"/>
                <w:szCs w:val="21"/>
              </w:rPr>
              <w:t>储藏间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9105" w:type="dxa"/>
            <w:gridSpan w:val="5"/>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权证信息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897"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权证类别</w:t>
            </w:r>
          </w:p>
        </w:tc>
        <w:tc>
          <w:tcPr>
            <w:tcW w:w="30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权证编号</w:t>
            </w:r>
          </w:p>
        </w:tc>
        <w:tc>
          <w:tcPr>
            <w:tcW w:w="4125"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权利人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897"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房屋所有权证</w:t>
            </w:r>
          </w:p>
        </w:tc>
        <w:tc>
          <w:tcPr>
            <w:tcW w:w="30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惠房权证螺城字第201600276号</w:t>
            </w:r>
          </w:p>
        </w:tc>
        <w:tc>
          <w:tcPr>
            <w:tcW w:w="4125"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刘龙海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897"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房屋他项权证</w:t>
            </w:r>
          </w:p>
        </w:tc>
        <w:tc>
          <w:tcPr>
            <w:tcW w:w="30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惠房他证2016字第483号</w:t>
            </w:r>
          </w:p>
        </w:tc>
        <w:tc>
          <w:tcPr>
            <w:tcW w:w="4125"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中国邮政储蓄银行股份有限公司惠安县支行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9105" w:type="dxa"/>
            <w:gridSpan w:val="5"/>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权利人信息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897"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权利人类别</w:t>
            </w:r>
          </w:p>
        </w:tc>
        <w:tc>
          <w:tcPr>
            <w:tcW w:w="30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姓名</w:t>
            </w:r>
          </w:p>
        </w:tc>
        <w:tc>
          <w:tcPr>
            <w:tcW w:w="4125"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身份证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897"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抵押人</w:t>
            </w:r>
          </w:p>
        </w:tc>
        <w:tc>
          <w:tcPr>
            <w:tcW w:w="30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刘龙海</w:t>
            </w:r>
          </w:p>
        </w:tc>
        <w:tc>
          <w:tcPr>
            <w:tcW w:w="4125"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350521198610087015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897"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抵押权人</w:t>
            </w:r>
          </w:p>
        </w:tc>
        <w:tc>
          <w:tcPr>
            <w:tcW w:w="30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中国邮政储蓄银行股份有限公司惠安县支行</w:t>
            </w:r>
          </w:p>
        </w:tc>
        <w:tc>
          <w:tcPr>
            <w:tcW w:w="4125"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350521100029922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897"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借款人</w:t>
            </w:r>
          </w:p>
        </w:tc>
        <w:tc>
          <w:tcPr>
            <w:tcW w:w="30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刘龙海</w:t>
            </w:r>
          </w:p>
        </w:tc>
        <w:tc>
          <w:tcPr>
            <w:tcW w:w="4125"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350521198610087015</w:t>
            </w:r>
          </w:p>
        </w:tc>
      </w:tr>
    </w:tbl>
    <w:p>
      <w:pPr>
        <w:pStyle w:val="35"/>
        <w:adjustRightInd w:val="0"/>
        <w:snapToGrid w:val="0"/>
        <w:spacing w:before="156" w:beforeLines="50" w:line="440" w:lineRule="exact"/>
        <w:jc w:val="right"/>
        <w:rPr>
          <w:rFonts w:ascii="宋体" w:hAnsi="宋体"/>
          <w:b/>
          <w:sz w:val="24"/>
        </w:rPr>
      </w:pPr>
      <w:r>
        <w:rPr>
          <w:rFonts w:hint="eastAsia" w:ascii="宋体" w:hAnsi="宋体"/>
          <w:b/>
          <w:bCs/>
          <w:sz w:val="24"/>
        </w:rPr>
        <w:t>不动产登记情况查询结果一览表                          表2-2</w:t>
      </w:r>
    </w:p>
    <w:p>
      <w:pPr>
        <w:pStyle w:val="35"/>
        <w:adjustRightInd w:val="0"/>
        <w:snapToGrid w:val="0"/>
        <w:spacing w:line="20" w:lineRule="exact"/>
        <w:rPr>
          <w:rFonts w:ascii="宋体" w:hAnsi="宋体"/>
          <w:sz w:val="2"/>
          <w:szCs w:val="56"/>
        </w:rPr>
      </w:pPr>
    </w:p>
    <w:bookmarkEnd w:id="42"/>
    <w:tbl>
      <w:tblPr>
        <w:tblStyle w:val="15"/>
        <w:tblW w:w="9105" w:type="dxa"/>
        <w:tblInd w:w="-13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1095"/>
        <w:gridCol w:w="1052"/>
        <w:gridCol w:w="231"/>
        <w:gridCol w:w="752"/>
        <w:gridCol w:w="532"/>
        <w:gridCol w:w="1135"/>
        <w:gridCol w:w="433"/>
        <w:gridCol w:w="617"/>
        <w:gridCol w:w="566"/>
        <w:gridCol w:w="217"/>
        <w:gridCol w:w="167"/>
        <w:gridCol w:w="1150"/>
        <w:gridCol w:w="11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9105" w:type="dxa"/>
            <w:gridSpan w:val="1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产权情况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95"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被查询人</w:t>
            </w:r>
          </w:p>
        </w:tc>
        <w:tc>
          <w:tcPr>
            <w:tcW w:w="12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证件号码</w:t>
            </w:r>
          </w:p>
        </w:tc>
        <w:tc>
          <w:tcPr>
            <w:tcW w:w="1284"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不动产坐落</w:t>
            </w:r>
          </w:p>
        </w:tc>
        <w:tc>
          <w:tcPr>
            <w:tcW w:w="1568"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不动产权证号</w:t>
            </w:r>
          </w:p>
        </w:tc>
        <w:tc>
          <w:tcPr>
            <w:tcW w:w="11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权利性质</w:t>
            </w:r>
          </w:p>
        </w:tc>
        <w:tc>
          <w:tcPr>
            <w:tcW w:w="1534" w:type="dxa"/>
            <w:gridSpan w:val="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面积</w:t>
            </w:r>
          </w:p>
        </w:tc>
        <w:tc>
          <w:tcPr>
            <w:tcW w:w="1158"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权属状态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95"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刘龙海</w:t>
            </w:r>
          </w:p>
        </w:tc>
        <w:tc>
          <w:tcPr>
            <w:tcW w:w="12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350521198610087015</w:t>
            </w:r>
          </w:p>
        </w:tc>
        <w:tc>
          <w:tcPr>
            <w:tcW w:w="1284"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惠安县螺城镇企塘花园西侧</w:t>
            </w:r>
            <w:r>
              <w:rPr>
                <w:rFonts w:hint="eastAsia" w:ascii="宋体" w:hAnsi="宋体"/>
                <w:szCs w:val="21"/>
              </w:rPr>
              <w:t>Ⅵ组团A3#</w:t>
            </w:r>
            <w:r>
              <w:rPr>
                <w:rFonts w:ascii="宋体" w:hAnsi="宋体"/>
                <w:szCs w:val="21"/>
              </w:rPr>
              <w:t>202</w:t>
            </w:r>
          </w:p>
        </w:tc>
        <w:tc>
          <w:tcPr>
            <w:tcW w:w="1568"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惠房权证螺城字第201600276号</w:t>
            </w:r>
          </w:p>
        </w:tc>
        <w:tc>
          <w:tcPr>
            <w:tcW w:w="11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w:t>
            </w:r>
          </w:p>
        </w:tc>
        <w:tc>
          <w:tcPr>
            <w:tcW w:w="1534" w:type="dxa"/>
            <w:gridSpan w:val="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共有宗地面积：744.88㎡/房屋建筑面积：162.2㎡</w:t>
            </w:r>
          </w:p>
        </w:tc>
        <w:tc>
          <w:tcPr>
            <w:tcW w:w="1158"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现势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95"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刘龙海</w:t>
            </w:r>
          </w:p>
        </w:tc>
        <w:tc>
          <w:tcPr>
            <w:tcW w:w="12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350521198610087015</w:t>
            </w:r>
          </w:p>
        </w:tc>
        <w:tc>
          <w:tcPr>
            <w:tcW w:w="1284"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惠安县螺城镇企塘花园西侧</w:t>
            </w:r>
            <w:r>
              <w:rPr>
                <w:rFonts w:hint="eastAsia" w:ascii="宋体" w:hAnsi="宋体"/>
                <w:szCs w:val="21"/>
              </w:rPr>
              <w:t>Ⅵ组团A3#23</w:t>
            </w:r>
          </w:p>
        </w:tc>
        <w:tc>
          <w:tcPr>
            <w:tcW w:w="1568"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惠房权证螺城字第201600276号</w:t>
            </w:r>
          </w:p>
        </w:tc>
        <w:tc>
          <w:tcPr>
            <w:tcW w:w="11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w:t>
            </w:r>
          </w:p>
        </w:tc>
        <w:tc>
          <w:tcPr>
            <w:tcW w:w="1534" w:type="dxa"/>
            <w:gridSpan w:val="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共有宗地面积：744.88㎡/房屋建筑面积：19.35㎡</w:t>
            </w:r>
          </w:p>
        </w:tc>
        <w:tc>
          <w:tcPr>
            <w:tcW w:w="1158"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现势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9105" w:type="dxa"/>
            <w:gridSpan w:val="1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抵押情况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95"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抵押时间</w:t>
            </w:r>
          </w:p>
        </w:tc>
        <w:tc>
          <w:tcPr>
            <w:tcW w:w="1052"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抵押权人</w:t>
            </w:r>
          </w:p>
        </w:tc>
        <w:tc>
          <w:tcPr>
            <w:tcW w:w="9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抵押人</w:t>
            </w:r>
          </w:p>
        </w:tc>
        <w:tc>
          <w:tcPr>
            <w:tcW w:w="1667"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抵押金额（万元）</w:t>
            </w:r>
          </w:p>
        </w:tc>
        <w:tc>
          <w:tcPr>
            <w:tcW w:w="1050"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起始时间</w:t>
            </w:r>
          </w:p>
        </w:tc>
        <w:tc>
          <w:tcPr>
            <w:tcW w:w="950" w:type="dxa"/>
            <w:gridSpan w:val="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结束时间</w:t>
            </w:r>
          </w:p>
        </w:tc>
        <w:tc>
          <w:tcPr>
            <w:tcW w:w="1150"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抵押证明号</w:t>
            </w:r>
          </w:p>
        </w:tc>
        <w:tc>
          <w:tcPr>
            <w:tcW w:w="1158"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抵押证书号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9105" w:type="dxa"/>
            <w:gridSpan w:val="1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9105" w:type="dxa"/>
            <w:gridSpan w:val="1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查封情况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95"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查封时间</w:t>
            </w:r>
          </w:p>
        </w:tc>
        <w:tc>
          <w:tcPr>
            <w:tcW w:w="12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查封机关</w:t>
            </w:r>
          </w:p>
        </w:tc>
        <w:tc>
          <w:tcPr>
            <w:tcW w:w="1284"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查封文号</w:t>
            </w:r>
          </w:p>
        </w:tc>
        <w:tc>
          <w:tcPr>
            <w:tcW w:w="1568"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查封编号</w:t>
            </w:r>
          </w:p>
        </w:tc>
        <w:tc>
          <w:tcPr>
            <w:tcW w:w="1400" w:type="dxa"/>
            <w:gridSpan w:val="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查封证书号</w:t>
            </w:r>
          </w:p>
        </w:tc>
        <w:tc>
          <w:tcPr>
            <w:tcW w:w="1317"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起始时间</w:t>
            </w:r>
          </w:p>
        </w:tc>
        <w:tc>
          <w:tcPr>
            <w:tcW w:w="1158"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结束时间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95"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2021/6/9</w:t>
            </w:r>
          </w:p>
        </w:tc>
        <w:tc>
          <w:tcPr>
            <w:tcW w:w="12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福建省厦门市湖里区人民法院</w:t>
            </w:r>
          </w:p>
        </w:tc>
        <w:tc>
          <w:tcPr>
            <w:tcW w:w="1284"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（2017）闽0206执2393号</w:t>
            </w:r>
          </w:p>
        </w:tc>
        <w:tc>
          <w:tcPr>
            <w:tcW w:w="1568"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20210323</w:t>
            </w:r>
          </w:p>
        </w:tc>
        <w:tc>
          <w:tcPr>
            <w:tcW w:w="1400" w:type="dxa"/>
            <w:gridSpan w:val="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惠房权证螺城字第201600276号</w:t>
            </w:r>
          </w:p>
        </w:tc>
        <w:tc>
          <w:tcPr>
            <w:tcW w:w="1317"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2021/6/9</w:t>
            </w:r>
          </w:p>
        </w:tc>
        <w:tc>
          <w:tcPr>
            <w:tcW w:w="1158"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2024/6/8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95"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2021/6/9</w:t>
            </w:r>
          </w:p>
        </w:tc>
        <w:tc>
          <w:tcPr>
            <w:tcW w:w="1283"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福建省厦门市湖里区人民法院</w:t>
            </w:r>
          </w:p>
        </w:tc>
        <w:tc>
          <w:tcPr>
            <w:tcW w:w="1284"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（2017）闽0206执2393号</w:t>
            </w:r>
          </w:p>
        </w:tc>
        <w:tc>
          <w:tcPr>
            <w:tcW w:w="1568"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20210323</w:t>
            </w:r>
          </w:p>
        </w:tc>
        <w:tc>
          <w:tcPr>
            <w:tcW w:w="1400" w:type="dxa"/>
            <w:gridSpan w:val="3"/>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惠房权证螺城字第201600276号</w:t>
            </w:r>
          </w:p>
        </w:tc>
        <w:tc>
          <w:tcPr>
            <w:tcW w:w="1317" w:type="dxa"/>
            <w:gridSpan w:val="2"/>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2021/6/9</w:t>
            </w:r>
          </w:p>
        </w:tc>
        <w:tc>
          <w:tcPr>
            <w:tcW w:w="1158" w:type="dxa"/>
            <w:vAlign w:val="center"/>
          </w:tcPr>
          <w:p>
            <w:pPr>
              <w:pStyle w:val="35"/>
              <w:adjustRightInd w:val="0"/>
              <w:snapToGrid w:val="0"/>
              <w:spacing w:before="156" w:beforeLines="50"/>
              <w:jc w:val="center"/>
              <w:rPr>
                <w:rFonts w:ascii="宋体" w:hAnsi="宋体"/>
                <w:bCs/>
                <w:szCs w:val="21"/>
              </w:rPr>
            </w:pPr>
            <w:r>
              <w:rPr>
                <w:rFonts w:hint="eastAsia" w:ascii="宋体" w:hAnsi="宋体"/>
                <w:bCs/>
                <w:szCs w:val="21"/>
              </w:rPr>
              <w:t>2024/6/8</w:t>
            </w:r>
          </w:p>
        </w:tc>
      </w:tr>
    </w:tbl>
    <w:p>
      <w:pPr>
        <w:adjustRightInd w:val="0"/>
        <w:snapToGrid w:val="0"/>
        <w:spacing w:line="440" w:lineRule="exact"/>
        <w:ind w:firstLine="516" w:firstLineChars="214"/>
        <w:rPr>
          <w:rFonts w:ascii="宋体" w:hAnsi="宋体"/>
          <w:b/>
          <w:sz w:val="24"/>
        </w:rPr>
      </w:pPr>
      <w:r>
        <w:rPr>
          <w:rFonts w:hint="eastAsia" w:ascii="宋体" w:hAnsi="宋体"/>
          <w:b/>
          <w:sz w:val="24"/>
        </w:rPr>
        <w:t>（三）土地基本状况</w:t>
      </w:r>
    </w:p>
    <w:p>
      <w:pPr>
        <w:adjustRightInd w:val="0"/>
        <w:snapToGrid w:val="0"/>
        <w:spacing w:line="440" w:lineRule="exact"/>
        <w:ind w:firstLine="513" w:firstLineChars="214"/>
        <w:rPr>
          <w:rFonts w:ascii="宋体" w:hAnsi="宋体"/>
          <w:sz w:val="24"/>
        </w:rPr>
      </w:pPr>
      <w:r>
        <w:rPr>
          <w:rFonts w:hint="eastAsia" w:ascii="宋体" w:hAnsi="宋体"/>
          <w:sz w:val="24"/>
        </w:rPr>
        <w:t>1、小区四至：世纪大道以东，建设南街以西，南阳路以南，霞晖路以北。土地等级属于惠安县城区一级住宅用地。</w:t>
      </w:r>
    </w:p>
    <w:p>
      <w:pPr>
        <w:adjustRightInd w:val="0"/>
        <w:snapToGrid w:val="0"/>
        <w:spacing w:line="440" w:lineRule="exact"/>
        <w:ind w:firstLine="513" w:firstLineChars="214"/>
        <w:rPr>
          <w:rFonts w:ascii="宋体" w:hAnsi="宋体"/>
          <w:sz w:val="24"/>
        </w:rPr>
      </w:pPr>
      <w:r>
        <w:rPr>
          <w:rFonts w:hint="eastAsia" w:ascii="宋体" w:hAnsi="宋体"/>
          <w:sz w:val="24"/>
        </w:rPr>
        <w:t>2、土地形状：估价对象所在宗地形状较规则。</w:t>
      </w:r>
    </w:p>
    <w:p>
      <w:pPr>
        <w:adjustRightInd w:val="0"/>
        <w:snapToGrid w:val="0"/>
        <w:spacing w:line="440" w:lineRule="exact"/>
        <w:ind w:firstLine="513" w:firstLineChars="214"/>
        <w:rPr>
          <w:rFonts w:ascii="宋体" w:hAnsi="宋体"/>
          <w:sz w:val="24"/>
        </w:rPr>
      </w:pPr>
      <w:r>
        <w:rPr>
          <w:rFonts w:hint="eastAsia" w:ascii="宋体" w:hAnsi="宋体"/>
          <w:sz w:val="24"/>
        </w:rPr>
        <w:t>3、土地使用权类型及土地使用期限：国有建设用地使用权类型设定为出让，设定土地使用期限为70年（自2000年01月01日起至2069年12月31日止）。</w:t>
      </w:r>
    </w:p>
    <w:p>
      <w:pPr>
        <w:adjustRightInd w:val="0"/>
        <w:snapToGrid w:val="0"/>
        <w:spacing w:line="440" w:lineRule="exact"/>
        <w:ind w:firstLine="513" w:firstLineChars="214"/>
        <w:rPr>
          <w:rFonts w:ascii="宋体" w:hAnsi="宋体"/>
          <w:sz w:val="24"/>
        </w:rPr>
      </w:pPr>
      <w:r>
        <w:rPr>
          <w:rFonts w:hint="eastAsia" w:ascii="宋体" w:hAnsi="宋体"/>
          <w:sz w:val="24"/>
        </w:rPr>
        <w:t>4、规划条件：较好。</w:t>
      </w:r>
    </w:p>
    <w:p>
      <w:pPr>
        <w:adjustRightInd w:val="0"/>
        <w:snapToGrid w:val="0"/>
        <w:spacing w:line="440" w:lineRule="exact"/>
        <w:ind w:firstLine="513" w:firstLineChars="214"/>
        <w:rPr>
          <w:rFonts w:ascii="宋体" w:hAnsi="宋体"/>
          <w:b/>
          <w:sz w:val="24"/>
        </w:rPr>
      </w:pPr>
      <w:r>
        <w:rPr>
          <w:rFonts w:hint="eastAsia" w:ascii="宋体" w:hAnsi="宋体"/>
          <w:sz w:val="24"/>
        </w:rPr>
        <w:t>5、开发程度：</w:t>
      </w:r>
      <w:r>
        <w:rPr>
          <w:rFonts w:ascii="宋体" w:hAnsi="宋体"/>
          <w:sz w:val="24"/>
        </w:rPr>
        <w:t>2002</w:t>
      </w:r>
      <w:r>
        <w:rPr>
          <w:rFonts w:hint="eastAsia" w:ascii="宋体" w:hAnsi="宋体"/>
          <w:sz w:val="24"/>
        </w:rPr>
        <w:t>年已开发完成。</w:t>
      </w:r>
    </w:p>
    <w:p>
      <w:pPr>
        <w:adjustRightInd w:val="0"/>
        <w:snapToGrid w:val="0"/>
        <w:spacing w:line="440" w:lineRule="exact"/>
        <w:ind w:firstLine="516" w:firstLineChars="214"/>
        <w:rPr>
          <w:rFonts w:ascii="宋体" w:hAnsi="宋体"/>
          <w:b/>
          <w:sz w:val="24"/>
        </w:rPr>
      </w:pPr>
      <w:r>
        <w:rPr>
          <w:rFonts w:hint="eastAsia" w:ascii="宋体" w:hAnsi="宋体"/>
          <w:b/>
          <w:sz w:val="24"/>
        </w:rPr>
        <w:t>（四）建筑物基本状况</w:t>
      </w:r>
    </w:p>
    <w:tbl>
      <w:tblPr>
        <w:tblStyle w:val="15"/>
        <w:tblW w:w="91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74"/>
        <w:gridCol w:w="6173"/>
        <w:gridCol w:w="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447" w:type="dxa"/>
            <w:gridSpan w:val="2"/>
            <w:tcBorders>
              <w:top w:val="nil"/>
              <w:left w:val="nil"/>
              <w:bottom w:val="single" w:color="auto" w:sz="12" w:space="0"/>
              <w:right w:val="nil"/>
            </w:tcBorders>
            <w:vAlign w:val="center"/>
          </w:tcPr>
          <w:p>
            <w:pPr>
              <w:spacing w:line="360" w:lineRule="atLeast"/>
              <w:rPr>
                <w:rFonts w:ascii="宋体" w:hAnsi="宋体" w:cs="宋体"/>
                <w:szCs w:val="21"/>
              </w:rPr>
            </w:pPr>
            <w:bookmarkStart w:id="43" w:name="_Toc323116702"/>
            <w:bookmarkStart w:id="44" w:name="_Toc388427142"/>
            <w:bookmarkStart w:id="45" w:name="_Toc8506"/>
            <w:bookmarkStart w:id="46" w:name="_Toc399921382"/>
            <w:bookmarkStart w:id="47" w:name="_Toc323043784"/>
            <w:r>
              <w:rPr>
                <w:rFonts w:hint="eastAsia" w:ascii="宋体" w:hAnsi="宋体"/>
                <w:b/>
                <w:sz w:val="24"/>
              </w:rPr>
              <w:t xml:space="preserve">                           建筑物基本状况说明表    </w:t>
            </w:r>
          </w:p>
        </w:tc>
        <w:tc>
          <w:tcPr>
            <w:tcW w:w="670" w:type="dxa"/>
            <w:tcBorders>
              <w:top w:val="nil"/>
              <w:left w:val="nil"/>
              <w:bottom w:val="single" w:color="auto" w:sz="12" w:space="0"/>
              <w:right w:val="nil"/>
            </w:tcBorders>
            <w:vAlign w:val="center"/>
          </w:tcPr>
          <w:p>
            <w:pPr>
              <w:spacing w:line="360" w:lineRule="atLeast"/>
              <w:jc w:val="center"/>
              <w:rPr>
                <w:rFonts w:ascii="宋体" w:hAnsi="宋体"/>
                <w:b/>
                <w:sz w:val="24"/>
              </w:rPr>
            </w:pPr>
            <w:r>
              <w:rPr>
                <w:rFonts w:hint="eastAsia" w:ascii="宋体" w:hAnsi="宋体"/>
                <w:b/>
                <w:bCs/>
                <w:sz w:val="24"/>
              </w:rPr>
              <w:t>表3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274" w:type="dxa"/>
            <w:tcBorders>
              <w:top w:val="single" w:color="auto" w:sz="12" w:space="0"/>
              <w:bottom w:val="single" w:color="auto" w:sz="6" w:space="0"/>
            </w:tcBorders>
            <w:vAlign w:val="center"/>
          </w:tcPr>
          <w:p>
            <w:pPr>
              <w:widowControl/>
              <w:spacing w:line="360" w:lineRule="atLeast"/>
              <w:rPr>
                <w:rFonts w:ascii="宋体" w:hAnsi="宋体" w:cs="宋体"/>
                <w:kern w:val="0"/>
                <w:szCs w:val="21"/>
              </w:rPr>
            </w:pPr>
            <w:r>
              <w:rPr>
                <w:rFonts w:hint="eastAsia" w:ascii="宋体" w:hAnsi="宋体" w:cs="宋体"/>
                <w:kern w:val="0"/>
                <w:szCs w:val="21"/>
              </w:rPr>
              <w:t>建筑结构</w:t>
            </w:r>
          </w:p>
        </w:tc>
        <w:tc>
          <w:tcPr>
            <w:tcW w:w="6843" w:type="dxa"/>
            <w:gridSpan w:val="2"/>
            <w:tcBorders>
              <w:top w:val="single" w:color="auto" w:sz="12" w:space="0"/>
              <w:bottom w:val="single" w:color="auto" w:sz="6" w:space="0"/>
            </w:tcBorders>
            <w:vAlign w:val="center"/>
          </w:tcPr>
          <w:p>
            <w:pPr>
              <w:spacing w:line="360" w:lineRule="atLeast"/>
              <w:rPr>
                <w:rFonts w:ascii="宋体" w:hAnsi="宋体" w:cs="宋体"/>
                <w:szCs w:val="21"/>
              </w:rPr>
            </w:pPr>
            <w:r>
              <w:rPr>
                <w:rFonts w:hint="eastAsia" w:ascii="宋体" w:hAnsi="宋体"/>
                <w:szCs w:val="21"/>
              </w:rPr>
              <w:t>钢混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274" w:type="dxa"/>
            <w:tcBorders>
              <w:top w:val="single" w:color="auto" w:sz="6" w:space="0"/>
              <w:bottom w:val="single" w:color="auto" w:sz="6" w:space="0"/>
            </w:tcBorders>
            <w:vAlign w:val="center"/>
          </w:tcPr>
          <w:p>
            <w:pPr>
              <w:widowControl/>
              <w:spacing w:line="360" w:lineRule="atLeast"/>
              <w:rPr>
                <w:rFonts w:ascii="宋体" w:hAnsi="宋体" w:cs="宋体"/>
                <w:kern w:val="0"/>
                <w:szCs w:val="21"/>
              </w:rPr>
            </w:pPr>
            <w:r>
              <w:rPr>
                <w:rFonts w:hint="eastAsia" w:ascii="宋体" w:hAnsi="宋体" w:cs="宋体"/>
                <w:kern w:val="0"/>
                <w:szCs w:val="21"/>
              </w:rPr>
              <w:t>设施设备</w:t>
            </w:r>
          </w:p>
        </w:tc>
        <w:tc>
          <w:tcPr>
            <w:tcW w:w="6843" w:type="dxa"/>
            <w:gridSpan w:val="2"/>
            <w:tcBorders>
              <w:top w:val="single" w:color="auto" w:sz="6" w:space="0"/>
              <w:bottom w:val="single" w:color="auto" w:sz="6" w:space="0"/>
            </w:tcBorders>
            <w:vAlign w:val="center"/>
          </w:tcPr>
          <w:p>
            <w:pPr>
              <w:spacing w:line="360" w:lineRule="atLeast"/>
              <w:rPr>
                <w:rFonts w:ascii="宋体" w:hAnsi="宋体"/>
                <w:szCs w:val="21"/>
              </w:rPr>
            </w:pPr>
            <w:r>
              <w:rPr>
                <w:rFonts w:ascii="宋体" w:hAnsi="宋体"/>
                <w:szCs w:val="21"/>
              </w:rPr>
              <w:t>无电梯</w:t>
            </w:r>
            <w:r>
              <w:rPr>
                <w:rFonts w:hint="eastAsia" w:ascii="宋体" w:hAnsi="宋体"/>
                <w:szCs w:val="21"/>
              </w:rPr>
              <w:t>，水电、消防等设施齐全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6" w:hRule="exact"/>
          <w:jc w:val="center"/>
        </w:trPr>
        <w:tc>
          <w:tcPr>
            <w:tcW w:w="2274" w:type="dxa"/>
            <w:tcBorders>
              <w:top w:val="single" w:color="auto" w:sz="6" w:space="0"/>
              <w:bottom w:val="single" w:color="auto" w:sz="6" w:space="0"/>
            </w:tcBorders>
            <w:vAlign w:val="center"/>
          </w:tcPr>
          <w:p>
            <w:pPr>
              <w:widowControl/>
              <w:spacing w:line="360" w:lineRule="atLeast"/>
              <w:rPr>
                <w:rFonts w:ascii="宋体" w:hAnsi="宋体" w:cs="宋体"/>
                <w:kern w:val="0"/>
                <w:szCs w:val="21"/>
              </w:rPr>
            </w:pPr>
            <w:r>
              <w:rPr>
                <w:rFonts w:hint="eastAsia" w:ascii="宋体" w:hAnsi="宋体" w:cs="宋体"/>
                <w:kern w:val="0"/>
                <w:szCs w:val="21"/>
              </w:rPr>
              <w:t>装饰装修</w:t>
            </w:r>
          </w:p>
        </w:tc>
        <w:tc>
          <w:tcPr>
            <w:tcW w:w="6843" w:type="dxa"/>
            <w:gridSpan w:val="2"/>
            <w:tcBorders>
              <w:top w:val="single" w:color="auto" w:sz="6" w:space="0"/>
              <w:bottom w:val="single" w:color="auto" w:sz="6" w:space="0"/>
            </w:tcBorders>
          </w:tcPr>
          <w:p>
            <w:pPr>
              <w:spacing w:line="360" w:lineRule="auto"/>
              <w:rPr>
                <w:rFonts w:ascii="宋体" w:hAnsi="宋体"/>
                <w:szCs w:val="21"/>
              </w:rPr>
            </w:pPr>
            <w:r>
              <w:rPr>
                <w:rFonts w:hint="eastAsia" w:ascii="宋体" w:hAnsi="宋体"/>
                <w:szCs w:val="21"/>
              </w:rPr>
              <w:t>外墙面方砖贴面；梯间普通装修，储藏间入户门为卷帘门，室内装饰装修为简单装修，地面为水泥抹平地面，墙面为涂料粉刷，天棚为涂料粉刷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274" w:type="dxa"/>
            <w:tcBorders>
              <w:top w:val="single" w:color="auto" w:sz="6" w:space="0"/>
              <w:bottom w:val="single" w:color="auto" w:sz="6" w:space="0"/>
            </w:tcBorders>
            <w:vAlign w:val="center"/>
          </w:tcPr>
          <w:p>
            <w:pPr>
              <w:widowControl/>
              <w:spacing w:line="360" w:lineRule="atLeast"/>
              <w:rPr>
                <w:rFonts w:ascii="宋体" w:hAnsi="宋体" w:cs="宋体"/>
                <w:kern w:val="0"/>
                <w:szCs w:val="21"/>
              </w:rPr>
            </w:pPr>
            <w:r>
              <w:rPr>
                <w:rFonts w:hint="eastAsia" w:ascii="宋体" w:hAnsi="宋体" w:cs="宋体"/>
                <w:kern w:val="0"/>
                <w:szCs w:val="21"/>
              </w:rPr>
              <w:t>建成时间及成新率</w:t>
            </w:r>
          </w:p>
        </w:tc>
        <w:tc>
          <w:tcPr>
            <w:tcW w:w="6843" w:type="dxa"/>
            <w:gridSpan w:val="2"/>
            <w:tcBorders>
              <w:top w:val="single" w:color="auto" w:sz="6" w:space="0"/>
              <w:bottom w:val="single" w:color="auto" w:sz="6" w:space="0"/>
            </w:tcBorders>
            <w:vAlign w:val="center"/>
          </w:tcPr>
          <w:p>
            <w:pPr>
              <w:spacing w:line="360" w:lineRule="atLeast"/>
              <w:rPr>
                <w:rFonts w:ascii="宋体" w:hAnsi="宋体"/>
                <w:szCs w:val="21"/>
              </w:rPr>
            </w:pPr>
            <w:r>
              <w:rPr>
                <w:rFonts w:ascii="宋体" w:hAnsi="宋体"/>
                <w:szCs w:val="21"/>
              </w:rPr>
              <w:t>2002</w:t>
            </w:r>
            <w:r>
              <w:rPr>
                <w:rFonts w:hint="eastAsia" w:ascii="宋体" w:hAnsi="宋体"/>
                <w:szCs w:val="21"/>
              </w:rPr>
              <w:t>年，按直线法测算成新率为</w:t>
            </w:r>
            <w:r>
              <w:rPr>
                <w:rFonts w:ascii="宋体" w:hAnsi="宋体"/>
                <w:szCs w:val="21"/>
              </w:rPr>
              <w:t>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274" w:type="dxa"/>
            <w:tcBorders>
              <w:top w:val="single" w:color="auto" w:sz="6" w:space="0"/>
              <w:bottom w:val="single" w:color="auto" w:sz="6" w:space="0"/>
            </w:tcBorders>
            <w:vAlign w:val="center"/>
          </w:tcPr>
          <w:p>
            <w:pPr>
              <w:widowControl/>
              <w:spacing w:line="360" w:lineRule="atLeast"/>
              <w:rPr>
                <w:rFonts w:ascii="宋体" w:hAnsi="宋体" w:cs="宋体"/>
                <w:kern w:val="0"/>
                <w:szCs w:val="21"/>
              </w:rPr>
            </w:pPr>
            <w:r>
              <w:rPr>
                <w:rFonts w:hint="eastAsia" w:ascii="宋体" w:hAnsi="宋体" w:cs="宋体"/>
                <w:kern w:val="0"/>
                <w:szCs w:val="21"/>
              </w:rPr>
              <w:t>使用及维护状况</w:t>
            </w:r>
          </w:p>
        </w:tc>
        <w:tc>
          <w:tcPr>
            <w:tcW w:w="6843" w:type="dxa"/>
            <w:gridSpan w:val="2"/>
            <w:tcBorders>
              <w:top w:val="single" w:color="auto" w:sz="6" w:space="0"/>
              <w:bottom w:val="single" w:color="auto" w:sz="6" w:space="0"/>
            </w:tcBorders>
            <w:vAlign w:val="center"/>
          </w:tcPr>
          <w:p>
            <w:pPr>
              <w:spacing w:line="360" w:lineRule="atLeast"/>
              <w:rPr>
                <w:rFonts w:ascii="宋体" w:hAnsi="宋体"/>
                <w:color w:val="FF0000"/>
                <w:szCs w:val="21"/>
              </w:rPr>
            </w:pPr>
            <w:r>
              <w:rPr>
                <w:rFonts w:hint="eastAsia" w:ascii="宋体" w:hAnsi="宋体"/>
                <w:szCs w:val="21"/>
              </w:rPr>
              <w:t>使用正常，维护状况较好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274" w:type="dxa"/>
            <w:tcBorders>
              <w:top w:val="single" w:color="auto" w:sz="6" w:space="0"/>
              <w:bottom w:val="single" w:color="auto" w:sz="6" w:space="0"/>
            </w:tcBorders>
            <w:vAlign w:val="center"/>
          </w:tcPr>
          <w:p>
            <w:pPr>
              <w:widowControl/>
              <w:spacing w:line="360" w:lineRule="atLeast"/>
              <w:rPr>
                <w:rFonts w:ascii="宋体" w:hAnsi="宋体" w:cs="宋体"/>
                <w:kern w:val="0"/>
                <w:szCs w:val="21"/>
              </w:rPr>
            </w:pPr>
            <w:r>
              <w:rPr>
                <w:rFonts w:hint="eastAsia" w:ascii="宋体" w:hAnsi="宋体" w:cs="宋体"/>
                <w:kern w:val="0"/>
                <w:szCs w:val="21"/>
              </w:rPr>
              <w:t>外观</w:t>
            </w:r>
          </w:p>
        </w:tc>
        <w:tc>
          <w:tcPr>
            <w:tcW w:w="6843" w:type="dxa"/>
            <w:gridSpan w:val="2"/>
            <w:tcBorders>
              <w:top w:val="single" w:color="auto" w:sz="6" w:space="0"/>
              <w:bottom w:val="single" w:color="auto" w:sz="6" w:space="0"/>
            </w:tcBorders>
            <w:vAlign w:val="center"/>
          </w:tcPr>
          <w:p>
            <w:pPr>
              <w:spacing w:line="360" w:lineRule="atLeast"/>
              <w:rPr>
                <w:rFonts w:ascii="宋体" w:hAnsi="宋体"/>
                <w:szCs w:val="21"/>
              </w:rPr>
            </w:pPr>
            <w:r>
              <w:rPr>
                <w:rFonts w:hint="eastAsia" w:ascii="宋体" w:hAnsi="宋体"/>
                <w:szCs w:val="21"/>
              </w:rPr>
              <w:t>建筑物外观较好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274" w:type="dxa"/>
            <w:tcBorders>
              <w:top w:val="single" w:color="auto" w:sz="6" w:space="0"/>
              <w:bottom w:val="single" w:color="auto" w:sz="6" w:space="0"/>
            </w:tcBorders>
            <w:vAlign w:val="center"/>
          </w:tcPr>
          <w:p>
            <w:pPr>
              <w:widowControl/>
              <w:spacing w:line="360" w:lineRule="atLeast"/>
              <w:rPr>
                <w:rFonts w:ascii="宋体" w:hAnsi="宋体" w:cs="宋体"/>
                <w:kern w:val="0"/>
                <w:szCs w:val="21"/>
              </w:rPr>
            </w:pPr>
            <w:r>
              <w:rPr>
                <w:rFonts w:hint="eastAsia" w:ascii="宋体" w:hAnsi="宋体"/>
                <w:szCs w:val="21"/>
              </w:rPr>
              <w:t>建筑面积</w:t>
            </w:r>
          </w:p>
        </w:tc>
        <w:tc>
          <w:tcPr>
            <w:tcW w:w="6843" w:type="dxa"/>
            <w:gridSpan w:val="2"/>
            <w:tcBorders>
              <w:top w:val="single" w:color="auto" w:sz="6" w:space="0"/>
              <w:bottom w:val="single" w:color="auto" w:sz="6" w:space="0"/>
            </w:tcBorders>
            <w:vAlign w:val="center"/>
          </w:tcPr>
          <w:p>
            <w:pPr>
              <w:spacing w:line="360" w:lineRule="atLeast"/>
              <w:rPr>
                <w:rFonts w:ascii="宋体" w:hAnsi="宋体"/>
                <w:szCs w:val="21"/>
              </w:rPr>
            </w:pPr>
            <w:r>
              <w:rPr>
                <w:rFonts w:hint="eastAsia" w:ascii="宋体" w:hAnsi="宋体"/>
                <w:szCs w:val="21"/>
              </w:rPr>
              <w:t>估价对象建筑面积为19.35平方米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274" w:type="dxa"/>
            <w:tcBorders>
              <w:top w:val="single" w:color="auto" w:sz="6" w:space="0"/>
              <w:bottom w:val="single" w:color="auto" w:sz="6" w:space="0"/>
            </w:tcBorders>
            <w:vAlign w:val="center"/>
          </w:tcPr>
          <w:p>
            <w:pPr>
              <w:widowControl/>
              <w:spacing w:line="360" w:lineRule="atLeast"/>
              <w:rPr>
                <w:rFonts w:ascii="宋体" w:hAnsi="宋体"/>
                <w:szCs w:val="21"/>
              </w:rPr>
            </w:pPr>
            <w:r>
              <w:rPr>
                <w:rFonts w:hint="eastAsia" w:ascii="宋体" w:hAnsi="宋体"/>
                <w:szCs w:val="21"/>
              </w:rPr>
              <w:t>层高</w:t>
            </w:r>
          </w:p>
        </w:tc>
        <w:tc>
          <w:tcPr>
            <w:tcW w:w="6843" w:type="dxa"/>
            <w:gridSpan w:val="2"/>
            <w:tcBorders>
              <w:top w:val="single" w:color="auto" w:sz="6" w:space="0"/>
              <w:bottom w:val="single" w:color="auto" w:sz="6" w:space="0"/>
            </w:tcBorders>
            <w:vAlign w:val="center"/>
          </w:tcPr>
          <w:p>
            <w:pPr>
              <w:rPr>
                <w:rFonts w:ascii="宋体" w:hAnsi="宋体"/>
                <w:szCs w:val="21"/>
              </w:rPr>
            </w:pPr>
            <w:r>
              <w:rPr>
                <w:rFonts w:hint="eastAsia" w:ascii="宋体" w:hAnsi="宋体"/>
                <w:szCs w:val="21"/>
              </w:rPr>
              <w:t>估价对象层高为2.5米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274" w:type="dxa"/>
            <w:tcBorders>
              <w:top w:val="single" w:color="auto" w:sz="6" w:space="0"/>
              <w:bottom w:val="single" w:color="auto" w:sz="6" w:space="0"/>
            </w:tcBorders>
            <w:vAlign w:val="center"/>
          </w:tcPr>
          <w:p>
            <w:pPr>
              <w:widowControl/>
              <w:spacing w:line="360" w:lineRule="atLeast"/>
              <w:rPr>
                <w:rFonts w:ascii="宋体" w:hAnsi="宋体" w:cs="宋体"/>
                <w:kern w:val="0"/>
                <w:szCs w:val="21"/>
              </w:rPr>
            </w:pPr>
            <w:r>
              <w:rPr>
                <w:rFonts w:hint="eastAsia" w:ascii="宋体" w:hAnsi="宋体" w:cs="宋体"/>
                <w:kern w:val="0"/>
                <w:szCs w:val="21"/>
              </w:rPr>
              <w:t>楼幢位置</w:t>
            </w:r>
          </w:p>
        </w:tc>
        <w:tc>
          <w:tcPr>
            <w:tcW w:w="6843" w:type="dxa"/>
            <w:gridSpan w:val="2"/>
            <w:tcBorders>
              <w:top w:val="single" w:color="auto" w:sz="6" w:space="0"/>
              <w:bottom w:val="single" w:color="auto" w:sz="6" w:space="0"/>
            </w:tcBorders>
            <w:vAlign w:val="center"/>
          </w:tcPr>
          <w:p>
            <w:pPr>
              <w:spacing w:line="360" w:lineRule="atLeast"/>
              <w:rPr>
                <w:rFonts w:ascii="宋体" w:hAnsi="宋体"/>
                <w:color w:val="FF0000"/>
                <w:szCs w:val="21"/>
              </w:rPr>
            </w:pPr>
            <w:r>
              <w:rPr>
                <w:rFonts w:hint="eastAsia" w:ascii="宋体" w:hAnsi="宋体"/>
                <w:szCs w:val="21"/>
              </w:rPr>
              <w:t>临路，楼栋位置一般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2274" w:type="dxa"/>
            <w:tcBorders>
              <w:top w:val="single" w:color="auto" w:sz="6" w:space="0"/>
              <w:bottom w:val="single" w:color="auto" w:sz="12" w:space="0"/>
            </w:tcBorders>
            <w:vAlign w:val="center"/>
          </w:tcPr>
          <w:p>
            <w:pPr>
              <w:widowControl/>
              <w:spacing w:line="360" w:lineRule="atLeast"/>
              <w:rPr>
                <w:rFonts w:ascii="宋体" w:hAnsi="宋体" w:cs="宋体"/>
                <w:kern w:val="0"/>
                <w:szCs w:val="21"/>
              </w:rPr>
            </w:pPr>
            <w:r>
              <w:rPr>
                <w:rFonts w:hint="eastAsia" w:ascii="宋体" w:hAnsi="宋体" w:cs="宋体"/>
                <w:kern w:val="0"/>
                <w:szCs w:val="21"/>
              </w:rPr>
              <w:t>总楼层及层次</w:t>
            </w:r>
          </w:p>
        </w:tc>
        <w:tc>
          <w:tcPr>
            <w:tcW w:w="6843" w:type="dxa"/>
            <w:gridSpan w:val="2"/>
            <w:tcBorders>
              <w:top w:val="single" w:color="auto" w:sz="6" w:space="0"/>
              <w:bottom w:val="single" w:color="auto" w:sz="12" w:space="0"/>
            </w:tcBorders>
            <w:vAlign w:val="center"/>
          </w:tcPr>
          <w:p>
            <w:pPr>
              <w:spacing w:line="360" w:lineRule="atLeast"/>
              <w:rPr>
                <w:rFonts w:ascii="宋体" w:hAnsi="宋体" w:cs="宋体"/>
                <w:szCs w:val="21"/>
              </w:rPr>
            </w:pPr>
            <w:r>
              <w:rPr>
                <w:rFonts w:hint="eastAsia" w:ascii="宋体" w:hAnsi="宋体"/>
                <w:szCs w:val="21"/>
              </w:rPr>
              <w:t>楼宇总层数为8层，估价对象位于第</w:t>
            </w:r>
            <w:r>
              <w:rPr>
                <w:rFonts w:ascii="宋体" w:hAnsi="宋体"/>
                <w:szCs w:val="21"/>
              </w:rPr>
              <w:t>1</w:t>
            </w:r>
            <w:r>
              <w:rPr>
                <w:rFonts w:hint="eastAsia" w:ascii="宋体" w:hAnsi="宋体"/>
                <w:szCs w:val="21"/>
              </w:rPr>
              <w:t>层</w:t>
            </w:r>
          </w:p>
        </w:tc>
      </w:tr>
    </w:tbl>
    <w:p>
      <w:pPr>
        <w:pStyle w:val="3"/>
        <w:spacing w:before="156" w:beforeLines="50" w:after="0" w:line="460" w:lineRule="exact"/>
        <w:ind w:firstLine="472" w:firstLineChars="196"/>
        <w:rPr>
          <w:rFonts w:ascii="宋体" w:hAnsi="宋体" w:eastAsia="宋体"/>
          <w:sz w:val="24"/>
          <w:szCs w:val="24"/>
        </w:rPr>
      </w:pPr>
      <w:bookmarkStart w:id="48" w:name="_Toc105964077"/>
      <w:r>
        <w:rPr>
          <w:rFonts w:hint="eastAsia" w:ascii="宋体" w:hAnsi="宋体" w:eastAsia="宋体"/>
          <w:sz w:val="24"/>
          <w:szCs w:val="24"/>
        </w:rPr>
        <w:t>五、价值时点</w:t>
      </w:r>
      <w:bookmarkEnd w:id="43"/>
      <w:bookmarkEnd w:id="44"/>
      <w:bookmarkEnd w:id="45"/>
      <w:bookmarkEnd w:id="46"/>
      <w:bookmarkEnd w:id="47"/>
      <w:bookmarkEnd w:id="48"/>
    </w:p>
    <w:p>
      <w:pPr>
        <w:adjustRightInd w:val="0"/>
        <w:snapToGrid w:val="0"/>
        <w:spacing w:line="440" w:lineRule="exact"/>
        <w:ind w:firstLine="513" w:firstLineChars="214"/>
        <w:rPr>
          <w:rFonts w:ascii="宋体" w:hAnsi="宋体"/>
        </w:rPr>
      </w:pPr>
      <w:r>
        <w:rPr>
          <w:rFonts w:hint="eastAsia" w:ascii="宋体" w:hAnsi="宋体"/>
          <w:sz w:val="24"/>
        </w:rPr>
        <w:t>价值时点为估价人员实地查勘日，即 2022年05月23日。</w:t>
      </w:r>
    </w:p>
    <w:p>
      <w:pPr>
        <w:pStyle w:val="3"/>
        <w:spacing w:before="0" w:after="0" w:line="460" w:lineRule="exact"/>
        <w:ind w:firstLine="472" w:firstLineChars="196"/>
        <w:rPr>
          <w:rFonts w:ascii="宋体" w:hAnsi="宋体" w:eastAsia="宋体"/>
          <w:sz w:val="24"/>
          <w:szCs w:val="24"/>
        </w:rPr>
      </w:pPr>
      <w:bookmarkStart w:id="49" w:name="_Toc323043785"/>
      <w:bookmarkStart w:id="50" w:name="_Toc399921383"/>
      <w:bookmarkStart w:id="51" w:name="_Toc105964078"/>
      <w:bookmarkStart w:id="52" w:name="_Toc12683"/>
      <w:bookmarkStart w:id="53" w:name="_Toc323116703"/>
      <w:bookmarkStart w:id="54" w:name="_Toc388427143"/>
      <w:r>
        <w:rPr>
          <w:rFonts w:hint="eastAsia" w:ascii="宋体" w:hAnsi="宋体" w:eastAsia="宋体"/>
          <w:sz w:val="24"/>
          <w:szCs w:val="24"/>
        </w:rPr>
        <w:t>六、价值类型</w:t>
      </w:r>
      <w:bookmarkEnd w:id="49"/>
      <w:bookmarkEnd w:id="50"/>
      <w:bookmarkEnd w:id="51"/>
      <w:bookmarkEnd w:id="52"/>
      <w:bookmarkEnd w:id="53"/>
      <w:bookmarkEnd w:id="54"/>
      <w:r>
        <w:rPr>
          <w:rFonts w:hint="eastAsia" w:ascii="宋体" w:hAnsi="宋体" w:eastAsia="宋体"/>
          <w:sz w:val="24"/>
          <w:szCs w:val="24"/>
        </w:rPr>
        <w:tab/>
      </w:r>
    </w:p>
    <w:p>
      <w:pPr>
        <w:adjustRightInd w:val="0"/>
        <w:snapToGrid w:val="0"/>
        <w:spacing w:line="440" w:lineRule="exact"/>
        <w:ind w:firstLine="516" w:firstLineChars="214"/>
        <w:rPr>
          <w:rFonts w:ascii="宋体" w:hAnsi="宋体"/>
          <w:b/>
          <w:sz w:val="24"/>
        </w:rPr>
      </w:pPr>
      <w:r>
        <w:rPr>
          <w:rFonts w:hint="eastAsia" w:ascii="宋体" w:hAnsi="宋体"/>
          <w:b/>
          <w:sz w:val="24"/>
        </w:rPr>
        <w:t>（一）价值类型名称</w:t>
      </w:r>
    </w:p>
    <w:p>
      <w:pPr>
        <w:adjustRightInd w:val="0"/>
        <w:snapToGrid w:val="0"/>
        <w:spacing w:line="440" w:lineRule="exact"/>
        <w:ind w:firstLine="513" w:firstLineChars="214"/>
        <w:rPr>
          <w:rFonts w:ascii="宋体" w:hAnsi="宋体"/>
          <w:sz w:val="24"/>
        </w:rPr>
      </w:pPr>
      <w:r>
        <w:rPr>
          <w:rFonts w:hint="eastAsia" w:ascii="宋体" w:hAnsi="宋体"/>
          <w:sz w:val="24"/>
        </w:rPr>
        <w:t>本次估价的价值类型为市场价值。</w:t>
      </w:r>
    </w:p>
    <w:p>
      <w:pPr>
        <w:adjustRightInd w:val="0"/>
        <w:snapToGrid w:val="0"/>
        <w:spacing w:line="440" w:lineRule="exact"/>
        <w:ind w:firstLine="516" w:firstLineChars="214"/>
        <w:rPr>
          <w:rFonts w:ascii="宋体" w:hAnsi="宋体"/>
          <w:b/>
          <w:sz w:val="24"/>
        </w:rPr>
      </w:pPr>
      <w:r>
        <w:rPr>
          <w:rFonts w:hint="eastAsia" w:ascii="宋体" w:hAnsi="宋体"/>
          <w:b/>
          <w:sz w:val="24"/>
        </w:rPr>
        <w:t>（二）价值定义</w:t>
      </w:r>
    </w:p>
    <w:p>
      <w:pPr>
        <w:adjustRightInd w:val="0"/>
        <w:snapToGrid w:val="0"/>
        <w:spacing w:line="440" w:lineRule="exact"/>
        <w:ind w:firstLine="513" w:firstLineChars="214"/>
        <w:rPr>
          <w:rFonts w:ascii="宋体" w:hAnsi="宋体" w:cs="宋体"/>
          <w:sz w:val="24"/>
        </w:rPr>
      </w:pPr>
      <w:r>
        <w:rPr>
          <w:rFonts w:hint="eastAsia" w:ascii="宋体" w:hAnsi="宋体"/>
          <w:sz w:val="24"/>
        </w:rPr>
        <w:t>市场价格是以一些类似房地产的成交价格为基准，剔除偶然的和不正常的因素造成的价格偏差，并消除房地产之间的状况不同造成的价格差异后进行测算得出的平均房地产市场价格。</w:t>
      </w:r>
    </w:p>
    <w:p>
      <w:pPr>
        <w:adjustRightInd w:val="0"/>
        <w:snapToGrid w:val="0"/>
        <w:spacing w:line="440" w:lineRule="exact"/>
        <w:ind w:firstLine="516" w:firstLineChars="214"/>
        <w:rPr>
          <w:rFonts w:ascii="宋体" w:hAnsi="宋体"/>
          <w:b/>
          <w:sz w:val="24"/>
        </w:rPr>
      </w:pPr>
      <w:r>
        <w:rPr>
          <w:rFonts w:hint="eastAsia" w:ascii="宋体" w:hAnsi="宋体"/>
          <w:b/>
          <w:sz w:val="24"/>
        </w:rPr>
        <w:t>（三）价值内涵</w:t>
      </w:r>
    </w:p>
    <w:p>
      <w:pPr>
        <w:adjustRightInd w:val="0"/>
        <w:snapToGrid w:val="0"/>
        <w:spacing w:line="440" w:lineRule="exact"/>
        <w:ind w:firstLine="513" w:firstLineChars="214"/>
        <w:rPr>
          <w:rFonts w:ascii="宋体" w:hAnsi="宋体"/>
          <w:sz w:val="24"/>
        </w:rPr>
      </w:pPr>
      <w:bookmarkStart w:id="55" w:name="_Toc399921384"/>
      <w:bookmarkStart w:id="56" w:name="_Toc6843"/>
      <w:bookmarkStart w:id="57" w:name="_Toc388427144"/>
      <w:bookmarkStart w:id="58" w:name="_Toc105964079"/>
      <w:bookmarkStart w:id="59" w:name="_Toc357083686"/>
      <w:bookmarkStart w:id="60" w:name="_Toc323116704"/>
      <w:bookmarkStart w:id="61" w:name="_Toc323043786"/>
      <w:r>
        <w:rPr>
          <w:rFonts w:hint="eastAsia" w:ascii="宋体" w:hAnsi="宋体" w:cs="Arial"/>
          <w:kern w:val="0"/>
          <w:sz w:val="24"/>
        </w:rPr>
        <w:t>价值内涵是估价对象在价值时点，满足本次估价假设和限制条件下包括建筑物（含室内装修）、分摊的土地使用权（含土地出让金）及配套设施</w:t>
      </w:r>
      <w:r>
        <w:rPr>
          <w:rFonts w:hint="eastAsia" w:ascii="宋体" w:hAnsi="宋体"/>
          <w:sz w:val="24"/>
        </w:rPr>
        <w:t>；付款方式是一次性付清房价款（包括首付款及按揭贷款）；交易税费按照法律法规规定，转让人和买受人各自负担；房屋面积内涵是建筑面积；</w:t>
      </w:r>
      <w:r>
        <w:rPr>
          <w:rFonts w:hint="eastAsia" w:ascii="宋体" w:hAnsi="宋体"/>
          <w:sz w:val="24"/>
          <w:lang w:bidi="en-US"/>
        </w:rPr>
        <w:t>开发程度为现房，具备“五通”</w:t>
      </w:r>
      <w:r>
        <w:rPr>
          <w:rFonts w:hint="eastAsia" w:ascii="宋体" w:hAnsi="宋体"/>
          <w:sz w:val="24"/>
        </w:rPr>
        <w:t>。</w:t>
      </w:r>
    </w:p>
    <w:p>
      <w:pPr>
        <w:pStyle w:val="3"/>
        <w:spacing w:before="0" w:after="0" w:line="460" w:lineRule="exact"/>
        <w:ind w:firstLine="472" w:firstLineChars="196"/>
        <w:rPr>
          <w:rFonts w:ascii="宋体" w:hAnsi="宋体"/>
          <w:sz w:val="24"/>
        </w:rPr>
      </w:pPr>
      <w:r>
        <w:rPr>
          <w:rFonts w:hint="eastAsia" w:ascii="宋体" w:hAnsi="宋体" w:eastAsia="宋体"/>
          <w:sz w:val="24"/>
          <w:szCs w:val="24"/>
        </w:rPr>
        <w:t>七、估价原则</w:t>
      </w:r>
      <w:bookmarkEnd w:id="55"/>
      <w:bookmarkEnd w:id="56"/>
      <w:bookmarkEnd w:id="57"/>
      <w:bookmarkEnd w:id="58"/>
      <w:r>
        <w:rPr>
          <w:rFonts w:hint="eastAsia" w:ascii="宋体" w:hAnsi="宋体"/>
          <w:sz w:val="24"/>
        </w:rPr>
        <w:tab/>
      </w:r>
    </w:p>
    <w:p>
      <w:pPr>
        <w:adjustRightInd w:val="0"/>
        <w:snapToGrid w:val="0"/>
        <w:spacing w:line="440" w:lineRule="exact"/>
        <w:ind w:firstLine="513" w:firstLineChars="214"/>
        <w:rPr>
          <w:rFonts w:ascii="宋体" w:hAnsi="宋体"/>
          <w:sz w:val="24"/>
        </w:rPr>
      </w:pPr>
      <w:r>
        <w:rPr>
          <w:rFonts w:hint="eastAsia" w:ascii="宋体" w:hAnsi="宋体"/>
          <w:sz w:val="24"/>
        </w:rPr>
        <w:t>本次估价遵循以下原则：</w:t>
      </w:r>
    </w:p>
    <w:p>
      <w:pPr>
        <w:adjustRightInd w:val="0"/>
        <w:snapToGrid w:val="0"/>
        <w:spacing w:line="440" w:lineRule="exact"/>
        <w:ind w:firstLine="513" w:firstLineChars="214"/>
        <w:rPr>
          <w:rFonts w:ascii="宋体" w:hAnsi="宋体"/>
          <w:sz w:val="24"/>
        </w:rPr>
      </w:pPr>
      <w:r>
        <w:rPr>
          <w:rFonts w:hint="eastAsia" w:ascii="宋体" w:hAnsi="宋体"/>
          <w:sz w:val="24"/>
        </w:rPr>
        <w:t>1、独立、客观、公正原则。要求站在中立的立场上，实事求是、公平正直地评估出对各方估价利害关系人均是公平合理的价值或价格的原则。</w:t>
      </w:r>
    </w:p>
    <w:p>
      <w:pPr>
        <w:adjustRightInd w:val="0"/>
        <w:snapToGrid w:val="0"/>
        <w:spacing w:line="440" w:lineRule="exact"/>
        <w:ind w:firstLine="513" w:firstLineChars="214"/>
        <w:rPr>
          <w:rFonts w:ascii="宋体" w:hAnsi="宋体"/>
          <w:sz w:val="24"/>
        </w:rPr>
      </w:pPr>
      <w:r>
        <w:rPr>
          <w:rFonts w:hint="eastAsia" w:ascii="宋体" w:hAnsi="宋体"/>
          <w:sz w:val="24"/>
        </w:rPr>
        <w:t>2、合法原则。要求估价结果是在依法判定的估价对象状况下的价值或价格的原则。</w:t>
      </w:r>
    </w:p>
    <w:p>
      <w:pPr>
        <w:adjustRightInd w:val="0"/>
        <w:snapToGrid w:val="0"/>
        <w:spacing w:line="440" w:lineRule="exact"/>
        <w:ind w:firstLine="513" w:firstLineChars="214"/>
        <w:rPr>
          <w:rFonts w:ascii="宋体" w:hAnsi="宋体"/>
          <w:sz w:val="24"/>
        </w:rPr>
      </w:pPr>
      <w:r>
        <w:rPr>
          <w:rFonts w:hint="eastAsia" w:ascii="宋体" w:hAnsi="宋体"/>
          <w:sz w:val="24"/>
        </w:rPr>
        <w:t>3、价值时点原则。要求估价结果是在依据估价目的确定的某个特定时间的价值或价格的原则。</w:t>
      </w:r>
    </w:p>
    <w:p>
      <w:pPr>
        <w:adjustRightInd w:val="0"/>
        <w:snapToGrid w:val="0"/>
        <w:spacing w:line="440" w:lineRule="exact"/>
        <w:ind w:firstLine="513" w:firstLineChars="214"/>
        <w:rPr>
          <w:rFonts w:ascii="宋体" w:hAnsi="宋体"/>
          <w:sz w:val="24"/>
        </w:rPr>
      </w:pPr>
      <w:r>
        <w:rPr>
          <w:rFonts w:hint="eastAsia" w:ascii="宋体" w:hAnsi="宋体"/>
          <w:sz w:val="24"/>
        </w:rPr>
        <w:t>4、替代原则。要求估价结果与估价对象的类似房地产在同等条件下的价值或价格偏差在合理范围内的原则。</w:t>
      </w:r>
    </w:p>
    <w:p>
      <w:pPr>
        <w:adjustRightInd w:val="0"/>
        <w:snapToGrid w:val="0"/>
        <w:spacing w:line="440" w:lineRule="exact"/>
        <w:ind w:firstLine="513" w:firstLineChars="214"/>
        <w:rPr>
          <w:rFonts w:ascii="宋体" w:hAnsi="宋体"/>
          <w:sz w:val="24"/>
        </w:rPr>
      </w:pPr>
      <w:r>
        <w:rPr>
          <w:rFonts w:hint="eastAsia" w:ascii="宋体" w:hAnsi="宋体"/>
          <w:sz w:val="24"/>
        </w:rPr>
        <w:t>5、最高最佳利用原则。要求估价结果在估价对象最高最佳利用状况下的价值或价格的原则。</w:t>
      </w:r>
    </w:p>
    <w:p>
      <w:pPr>
        <w:pStyle w:val="3"/>
        <w:spacing w:before="0" w:after="0" w:line="460" w:lineRule="exact"/>
        <w:ind w:firstLine="472" w:firstLineChars="196"/>
        <w:rPr>
          <w:rFonts w:ascii="宋体" w:hAnsi="宋体"/>
          <w:sz w:val="24"/>
        </w:rPr>
      </w:pPr>
      <w:bookmarkStart w:id="62" w:name="_Toc15086"/>
      <w:bookmarkStart w:id="63" w:name="_Toc388427145"/>
      <w:bookmarkStart w:id="64" w:name="_Toc399921385"/>
      <w:bookmarkStart w:id="65" w:name="_Toc105964080"/>
      <w:r>
        <w:rPr>
          <w:rFonts w:hint="eastAsia" w:ascii="宋体" w:hAnsi="宋体" w:eastAsia="宋体"/>
          <w:sz w:val="24"/>
          <w:szCs w:val="24"/>
        </w:rPr>
        <w:t>八、估价依据</w:t>
      </w:r>
      <w:bookmarkEnd w:id="59"/>
      <w:bookmarkEnd w:id="60"/>
      <w:bookmarkEnd w:id="61"/>
      <w:bookmarkEnd w:id="62"/>
      <w:bookmarkEnd w:id="63"/>
      <w:bookmarkEnd w:id="64"/>
      <w:bookmarkEnd w:id="65"/>
      <w:r>
        <w:rPr>
          <w:rFonts w:hint="eastAsia" w:ascii="宋体" w:hAnsi="宋体"/>
          <w:sz w:val="24"/>
        </w:rPr>
        <w:tab/>
      </w:r>
    </w:p>
    <w:p>
      <w:pPr>
        <w:adjustRightInd w:val="0"/>
        <w:snapToGrid w:val="0"/>
        <w:spacing w:line="440" w:lineRule="exact"/>
        <w:ind w:firstLine="516" w:firstLineChars="214"/>
        <w:rPr>
          <w:rFonts w:ascii="宋体" w:hAnsi="宋体"/>
          <w:b/>
          <w:sz w:val="24"/>
        </w:rPr>
      </w:pPr>
      <w:r>
        <w:rPr>
          <w:rFonts w:hint="eastAsia" w:ascii="宋体" w:hAnsi="宋体"/>
          <w:b/>
          <w:sz w:val="24"/>
        </w:rPr>
        <w:t>（一）有关法律、法规及文件依据</w:t>
      </w:r>
    </w:p>
    <w:p>
      <w:pPr>
        <w:adjustRightInd w:val="0"/>
        <w:snapToGrid w:val="0"/>
        <w:spacing w:line="440" w:lineRule="exact"/>
        <w:ind w:firstLine="513" w:firstLineChars="214"/>
        <w:rPr>
          <w:rFonts w:ascii="宋体" w:hAnsi="宋体"/>
          <w:sz w:val="24"/>
        </w:rPr>
      </w:pPr>
      <w:r>
        <w:rPr>
          <w:rFonts w:hint="eastAsia" w:ascii="宋体" w:hAnsi="宋体"/>
          <w:sz w:val="24"/>
        </w:rPr>
        <w:t>1、《中华人民共和国民法典》（2020年5月28日第十三届全国人民代表大会第三次会议通过，中华人民共和国主席令第四十五号公布，自2021年1月1日起施行</w:t>
      </w:r>
      <w:r>
        <w:rPr>
          <w:rFonts w:ascii="宋体" w:hAnsi="宋体"/>
          <w:sz w:val="24"/>
        </w:rPr>
        <w:t>）</w:t>
      </w:r>
      <w:r>
        <w:rPr>
          <w:rFonts w:hint="eastAsia" w:ascii="宋体" w:hAnsi="宋体"/>
          <w:sz w:val="24"/>
        </w:rPr>
        <w:t>；</w:t>
      </w:r>
    </w:p>
    <w:p>
      <w:pPr>
        <w:adjustRightInd w:val="0"/>
        <w:snapToGrid w:val="0"/>
        <w:spacing w:line="440" w:lineRule="exact"/>
        <w:ind w:firstLine="513" w:firstLineChars="214"/>
        <w:rPr>
          <w:rFonts w:ascii="宋体" w:hAnsi="宋体"/>
          <w:sz w:val="24"/>
        </w:rPr>
      </w:pPr>
      <w:r>
        <w:rPr>
          <w:rFonts w:hint="eastAsia" w:ascii="宋体" w:hAnsi="宋体"/>
          <w:sz w:val="24"/>
        </w:rPr>
        <w:t>2、《中华人民共和国城市房地产管理法》；</w:t>
      </w:r>
    </w:p>
    <w:p>
      <w:pPr>
        <w:adjustRightInd w:val="0"/>
        <w:snapToGrid w:val="0"/>
        <w:spacing w:line="440" w:lineRule="exact"/>
        <w:ind w:firstLine="513" w:firstLineChars="214"/>
        <w:rPr>
          <w:rFonts w:ascii="宋体" w:hAnsi="宋体"/>
          <w:sz w:val="24"/>
        </w:rPr>
      </w:pPr>
      <w:r>
        <w:rPr>
          <w:rFonts w:hint="eastAsia" w:ascii="宋体" w:hAnsi="宋体"/>
          <w:sz w:val="24"/>
        </w:rPr>
        <w:t>3、《中华人民共和国土地管理法》；</w:t>
      </w:r>
    </w:p>
    <w:p>
      <w:pPr>
        <w:adjustRightInd w:val="0"/>
        <w:snapToGrid w:val="0"/>
        <w:spacing w:line="440" w:lineRule="exact"/>
        <w:ind w:firstLine="513" w:firstLineChars="214"/>
        <w:rPr>
          <w:rFonts w:ascii="宋体" w:hAnsi="宋体"/>
          <w:sz w:val="24"/>
        </w:rPr>
      </w:pPr>
      <w:r>
        <w:rPr>
          <w:rFonts w:hint="eastAsia" w:ascii="宋体" w:hAnsi="宋体"/>
          <w:sz w:val="24"/>
        </w:rPr>
        <w:t>4、《中华人民共和国资产评估法》；</w:t>
      </w:r>
    </w:p>
    <w:p>
      <w:pPr>
        <w:adjustRightInd w:val="0"/>
        <w:snapToGrid w:val="0"/>
        <w:spacing w:line="440" w:lineRule="exact"/>
        <w:ind w:firstLine="513" w:firstLineChars="214"/>
        <w:rPr>
          <w:rFonts w:ascii="宋体" w:hAnsi="宋体"/>
          <w:sz w:val="24"/>
        </w:rPr>
      </w:pPr>
      <w:r>
        <w:rPr>
          <w:rFonts w:hint="eastAsia" w:ascii="宋体" w:hAnsi="宋体"/>
          <w:sz w:val="24"/>
        </w:rPr>
        <w:t>5、《中华人民共和国城乡规划法》；</w:t>
      </w:r>
    </w:p>
    <w:p>
      <w:pPr>
        <w:adjustRightInd w:val="0"/>
        <w:snapToGrid w:val="0"/>
        <w:spacing w:line="440" w:lineRule="exact"/>
        <w:ind w:firstLine="513" w:firstLineChars="214"/>
        <w:rPr>
          <w:rFonts w:ascii="宋体" w:hAnsi="宋体"/>
          <w:sz w:val="24"/>
        </w:rPr>
      </w:pPr>
      <w:r>
        <w:rPr>
          <w:rFonts w:hint="eastAsia" w:ascii="宋体" w:hAnsi="宋体"/>
          <w:sz w:val="24"/>
        </w:rPr>
        <w:t>6、</w:t>
      </w:r>
      <w:r>
        <w:rPr>
          <w:rFonts w:ascii="宋体" w:hAnsi="宋体"/>
          <w:sz w:val="24"/>
        </w:rPr>
        <w:t>《惠安县人民政府关于实施惠安县2019年城镇基准地价的通告》（惠政告 [2020]33 号）</w:t>
      </w:r>
      <w:r>
        <w:rPr>
          <w:rFonts w:hint="eastAsia" w:ascii="宋体" w:hAnsi="宋体"/>
          <w:sz w:val="24"/>
        </w:rPr>
        <w:t>。</w:t>
      </w:r>
    </w:p>
    <w:p>
      <w:pPr>
        <w:adjustRightInd w:val="0"/>
        <w:snapToGrid w:val="0"/>
        <w:spacing w:line="420" w:lineRule="exact"/>
        <w:ind w:firstLine="513" w:firstLineChars="214"/>
        <w:rPr>
          <w:rFonts w:ascii="宋体" w:hAnsi="宋体"/>
          <w:sz w:val="24"/>
        </w:rPr>
      </w:pPr>
      <w:r>
        <w:rPr>
          <w:rFonts w:hint="eastAsia" w:ascii="宋体" w:hAnsi="宋体"/>
          <w:sz w:val="24"/>
        </w:rPr>
        <w:t>7、《最高人民法院关于人民法院确定财产处置参考价若干问题的规定》(法释[2018]15号)。</w:t>
      </w:r>
    </w:p>
    <w:p>
      <w:pPr>
        <w:adjustRightInd w:val="0"/>
        <w:snapToGrid w:val="0"/>
        <w:spacing w:line="440" w:lineRule="exact"/>
        <w:ind w:firstLine="516" w:firstLineChars="214"/>
        <w:rPr>
          <w:rFonts w:ascii="宋体" w:hAnsi="宋体"/>
          <w:b/>
          <w:sz w:val="24"/>
        </w:rPr>
      </w:pPr>
      <w:r>
        <w:rPr>
          <w:rFonts w:hint="eastAsia" w:ascii="宋体" w:hAnsi="宋体"/>
          <w:b/>
          <w:sz w:val="24"/>
        </w:rPr>
        <w:t>（二）估价标准依据</w:t>
      </w:r>
    </w:p>
    <w:p>
      <w:pPr>
        <w:adjustRightInd w:val="0"/>
        <w:snapToGrid w:val="0"/>
        <w:spacing w:line="440" w:lineRule="exact"/>
        <w:ind w:firstLine="513" w:firstLineChars="214"/>
        <w:rPr>
          <w:rFonts w:ascii="宋体" w:hAnsi="宋体"/>
          <w:sz w:val="24"/>
        </w:rPr>
      </w:pPr>
      <w:r>
        <w:rPr>
          <w:rFonts w:hint="eastAsia" w:ascii="宋体" w:hAnsi="宋体"/>
          <w:sz w:val="24"/>
        </w:rPr>
        <w:t>1、《房地产估价规范》（中华人民共和国国家标准GB/T 50291-2015）；</w:t>
      </w:r>
    </w:p>
    <w:p>
      <w:pPr>
        <w:adjustRightInd w:val="0"/>
        <w:snapToGrid w:val="0"/>
        <w:spacing w:line="440" w:lineRule="exact"/>
        <w:ind w:firstLine="513" w:firstLineChars="214"/>
        <w:rPr>
          <w:rFonts w:ascii="宋体" w:hAnsi="宋体"/>
          <w:sz w:val="24"/>
        </w:rPr>
      </w:pPr>
      <w:r>
        <w:rPr>
          <w:rFonts w:hint="eastAsia" w:ascii="宋体" w:hAnsi="宋体"/>
          <w:sz w:val="24"/>
        </w:rPr>
        <w:t>2、《房地产估价基本术语标准》（中华人民共和国国家标准GB/T 50899-2013）；</w:t>
      </w:r>
    </w:p>
    <w:p>
      <w:pPr>
        <w:adjustRightInd w:val="0"/>
        <w:snapToGrid w:val="0"/>
        <w:spacing w:line="440" w:lineRule="exact"/>
        <w:ind w:firstLine="513" w:firstLineChars="214"/>
        <w:rPr>
          <w:rFonts w:ascii="宋体" w:hAnsi="宋体"/>
          <w:sz w:val="24"/>
        </w:rPr>
      </w:pPr>
      <w:r>
        <w:rPr>
          <w:rFonts w:hint="eastAsia" w:ascii="宋体" w:hAnsi="宋体"/>
          <w:sz w:val="24"/>
        </w:rPr>
        <w:t>3、中国房地产估价师与房地产经纪人学会2021年8月18日印发《涉执房地产处置司法评估指导意见（试行）》</w:t>
      </w:r>
      <w:r>
        <w:rPr>
          <w:rFonts w:hint="eastAsia" w:ascii="宋体" w:hAnsi="宋体" w:cs="Arial"/>
          <w:sz w:val="24"/>
        </w:rPr>
        <w:t>。</w:t>
      </w:r>
    </w:p>
    <w:p>
      <w:pPr>
        <w:adjustRightInd w:val="0"/>
        <w:snapToGrid w:val="0"/>
        <w:spacing w:line="440" w:lineRule="exact"/>
        <w:ind w:firstLine="516" w:firstLineChars="214"/>
        <w:rPr>
          <w:rFonts w:ascii="宋体" w:hAnsi="宋体"/>
          <w:b/>
          <w:sz w:val="24"/>
        </w:rPr>
      </w:pPr>
      <w:r>
        <w:rPr>
          <w:rFonts w:hint="eastAsia" w:ascii="宋体" w:hAnsi="宋体"/>
          <w:b/>
          <w:sz w:val="24"/>
        </w:rPr>
        <w:t>（三）估价委托人提供的资料依据</w:t>
      </w:r>
    </w:p>
    <w:p>
      <w:pPr>
        <w:adjustRightInd w:val="0"/>
        <w:snapToGrid w:val="0"/>
        <w:spacing w:line="440" w:lineRule="exact"/>
        <w:ind w:firstLine="513" w:firstLineChars="214"/>
        <w:rPr>
          <w:rFonts w:ascii="宋体" w:hAnsi="宋体"/>
          <w:sz w:val="24"/>
        </w:rPr>
      </w:pPr>
      <w:r>
        <w:rPr>
          <w:rFonts w:hint="eastAsia" w:ascii="宋体" w:hAnsi="宋体"/>
          <w:sz w:val="24"/>
        </w:rPr>
        <w:t>1、《厦门市湖里区人民法院司法鉴定委托书》；</w:t>
      </w:r>
    </w:p>
    <w:p>
      <w:pPr>
        <w:adjustRightInd w:val="0"/>
        <w:snapToGrid w:val="0"/>
        <w:spacing w:line="440" w:lineRule="exact"/>
        <w:ind w:firstLine="513" w:firstLineChars="214"/>
        <w:rPr>
          <w:rFonts w:ascii="宋体" w:hAnsi="宋体"/>
          <w:sz w:val="24"/>
        </w:rPr>
      </w:pPr>
      <w:r>
        <w:rPr>
          <w:rFonts w:hint="eastAsia" w:ascii="宋体" w:hAnsi="宋体"/>
          <w:sz w:val="24"/>
        </w:rPr>
        <w:t>2、《泉州市房屋权属登记查档》[业务编号：20161004938]、《不动产登记情况查询结果一览表》复印件。</w:t>
      </w:r>
    </w:p>
    <w:p>
      <w:pPr>
        <w:adjustRightInd w:val="0"/>
        <w:snapToGrid w:val="0"/>
        <w:spacing w:line="440" w:lineRule="exact"/>
        <w:ind w:firstLine="516" w:firstLineChars="214"/>
        <w:rPr>
          <w:rFonts w:ascii="宋体" w:hAnsi="宋体"/>
          <w:b/>
          <w:sz w:val="24"/>
        </w:rPr>
      </w:pPr>
      <w:r>
        <w:rPr>
          <w:rFonts w:hint="eastAsia" w:ascii="宋体" w:hAnsi="宋体"/>
          <w:b/>
          <w:sz w:val="24"/>
        </w:rPr>
        <w:t>（四）估价机构及注册房地产估价师搜集的资料依据</w:t>
      </w:r>
    </w:p>
    <w:p>
      <w:pPr>
        <w:adjustRightInd w:val="0"/>
        <w:snapToGrid w:val="0"/>
        <w:spacing w:line="440" w:lineRule="exact"/>
        <w:ind w:firstLine="513" w:firstLineChars="214"/>
        <w:rPr>
          <w:rFonts w:ascii="宋体" w:hAnsi="宋体"/>
          <w:sz w:val="24"/>
          <w:lang w:val="zh-CN"/>
        </w:rPr>
      </w:pPr>
      <w:bookmarkStart w:id="66" w:name="_Toc399921386"/>
      <w:bookmarkStart w:id="67" w:name="_Toc388427146"/>
      <w:bookmarkStart w:id="68" w:name="_Toc323116706"/>
      <w:bookmarkStart w:id="69" w:name="_Toc323043788"/>
      <w:bookmarkStart w:id="70" w:name="_Toc2175"/>
      <w:bookmarkStart w:id="71" w:name="_Toc357083688"/>
      <w:r>
        <w:rPr>
          <w:rFonts w:hint="eastAsia" w:ascii="宋体" w:hAnsi="宋体"/>
          <w:sz w:val="24"/>
          <w:lang w:val="zh-CN"/>
        </w:rPr>
        <w:t>1、估价对象照片；</w:t>
      </w:r>
    </w:p>
    <w:p>
      <w:pPr>
        <w:adjustRightInd w:val="0"/>
        <w:snapToGrid w:val="0"/>
        <w:spacing w:line="440" w:lineRule="exact"/>
        <w:ind w:firstLine="513" w:firstLineChars="214"/>
        <w:rPr>
          <w:rFonts w:ascii="宋体" w:hAnsi="宋体"/>
          <w:sz w:val="24"/>
          <w:lang w:val="zh-CN"/>
        </w:rPr>
      </w:pPr>
      <w:r>
        <w:rPr>
          <w:rFonts w:hint="eastAsia" w:ascii="宋体" w:hAnsi="宋体"/>
          <w:sz w:val="24"/>
          <w:lang w:val="zh-CN"/>
        </w:rPr>
        <w:t>2、实地查勘记录；</w:t>
      </w:r>
    </w:p>
    <w:p>
      <w:pPr>
        <w:adjustRightInd w:val="0"/>
        <w:snapToGrid w:val="0"/>
        <w:spacing w:line="440" w:lineRule="exact"/>
        <w:ind w:firstLine="480" w:firstLineChars="200"/>
        <w:rPr>
          <w:rFonts w:ascii="宋体" w:hAnsi="宋体" w:cs="宋体"/>
          <w:sz w:val="24"/>
        </w:rPr>
      </w:pPr>
      <w:r>
        <w:rPr>
          <w:rFonts w:hint="eastAsia" w:ascii="宋体" w:hAnsi="宋体"/>
          <w:sz w:val="24"/>
        </w:rPr>
        <w:t>3</w:t>
      </w:r>
      <w:r>
        <w:rPr>
          <w:rFonts w:hint="eastAsia" w:ascii="宋体" w:hAnsi="宋体"/>
          <w:sz w:val="24"/>
          <w:lang w:val="zh-CN"/>
        </w:rPr>
        <w:t>、当地市场调查和搜集的有关资料等</w:t>
      </w:r>
      <w:r>
        <w:rPr>
          <w:rFonts w:hint="eastAsia" w:ascii="宋体" w:hAnsi="宋体" w:cs="宋体"/>
          <w:sz w:val="24"/>
        </w:rPr>
        <w:t>。</w:t>
      </w:r>
    </w:p>
    <w:p>
      <w:pPr>
        <w:pStyle w:val="3"/>
        <w:spacing w:before="0" w:after="0" w:line="460" w:lineRule="exact"/>
        <w:ind w:firstLine="472" w:firstLineChars="196"/>
        <w:rPr>
          <w:rFonts w:ascii="宋体" w:hAnsi="宋体"/>
          <w:sz w:val="24"/>
        </w:rPr>
      </w:pPr>
      <w:bookmarkStart w:id="72" w:name="_Toc105964081"/>
      <w:r>
        <w:rPr>
          <w:rFonts w:hint="eastAsia" w:ascii="宋体" w:hAnsi="宋体" w:eastAsia="宋体"/>
          <w:sz w:val="24"/>
          <w:szCs w:val="24"/>
        </w:rPr>
        <w:t>九、估价方法</w:t>
      </w:r>
      <w:bookmarkEnd w:id="66"/>
      <w:bookmarkEnd w:id="67"/>
      <w:bookmarkEnd w:id="68"/>
      <w:bookmarkEnd w:id="69"/>
      <w:bookmarkEnd w:id="70"/>
      <w:bookmarkEnd w:id="71"/>
      <w:bookmarkEnd w:id="72"/>
      <w:r>
        <w:rPr>
          <w:rFonts w:hint="eastAsia" w:ascii="宋体" w:hAnsi="宋体"/>
          <w:sz w:val="24"/>
        </w:rPr>
        <w:tab/>
      </w:r>
    </w:p>
    <w:p>
      <w:pPr>
        <w:adjustRightInd w:val="0"/>
        <w:snapToGrid w:val="0"/>
        <w:spacing w:line="440" w:lineRule="exact"/>
        <w:ind w:firstLine="513" w:firstLineChars="214"/>
        <w:rPr>
          <w:rFonts w:ascii="宋体" w:hAnsi="宋体"/>
          <w:sz w:val="24"/>
          <w:lang w:val="zh-CN"/>
        </w:rPr>
      </w:pPr>
      <w:r>
        <w:rPr>
          <w:rFonts w:hint="eastAsia" w:ascii="宋体" w:hAnsi="宋体"/>
          <w:sz w:val="24"/>
          <w:lang w:val="zh-CN"/>
        </w:rPr>
        <w:t>本次选用成本法（房地合估）和收益法进行估算。</w:t>
      </w:r>
    </w:p>
    <w:p>
      <w:pPr>
        <w:spacing w:line="440" w:lineRule="exact"/>
        <w:ind w:firstLine="540"/>
        <w:rPr>
          <w:rFonts w:ascii="宋体" w:hAnsi="宋体"/>
          <w:sz w:val="24"/>
          <w:lang w:val="zh-CN"/>
        </w:rPr>
      </w:pPr>
      <w:r>
        <w:rPr>
          <w:rFonts w:hint="eastAsia" w:ascii="宋体" w:hAnsi="宋体" w:cs="Arial"/>
          <w:color w:val="000000"/>
          <w:sz w:val="24"/>
        </w:rPr>
        <w:t>1、</w:t>
      </w:r>
      <w:r>
        <w:rPr>
          <w:rFonts w:hint="eastAsia" w:ascii="宋体" w:hAnsi="宋体" w:cs="宋体"/>
          <w:sz w:val="24"/>
        </w:rPr>
        <w:t>成本法是测算估价对象在价值时点的重置成本或重建成本和折旧，将重置成本或重建成本减去建筑物折旧得到估价对象价格或价值的方法</w:t>
      </w:r>
      <w:r>
        <w:rPr>
          <w:rFonts w:ascii="宋体" w:hAnsi="宋体" w:cs="Arial"/>
          <w:sz w:val="24"/>
        </w:rPr>
        <w:t>。</w:t>
      </w:r>
    </w:p>
    <w:p>
      <w:pPr>
        <w:spacing w:line="440" w:lineRule="exact"/>
        <w:ind w:firstLine="540"/>
        <w:rPr>
          <w:rFonts w:ascii="宋体" w:hAnsi="宋体" w:cs="Arial"/>
          <w:color w:val="000000"/>
          <w:sz w:val="24"/>
        </w:rPr>
      </w:pPr>
      <w:r>
        <w:rPr>
          <w:rFonts w:hint="eastAsia" w:ascii="宋体" w:hAnsi="宋体" w:cs="Arial"/>
          <w:color w:val="000000"/>
          <w:sz w:val="24"/>
        </w:rPr>
        <w:t>2、</w:t>
      </w:r>
      <w:r>
        <w:rPr>
          <w:rFonts w:ascii="宋体" w:hAnsi="宋体" w:cs="Arial"/>
          <w:color w:val="000000"/>
          <w:sz w:val="24"/>
        </w:rPr>
        <w:t>收益法是预测估价对象</w:t>
      </w:r>
      <w:r>
        <w:rPr>
          <w:rFonts w:hint="eastAsia" w:ascii="宋体" w:hAnsi="宋体" w:cs="Arial"/>
          <w:color w:val="000000"/>
          <w:sz w:val="24"/>
        </w:rPr>
        <w:t>的</w:t>
      </w:r>
      <w:r>
        <w:rPr>
          <w:rFonts w:ascii="宋体" w:hAnsi="宋体" w:cs="Arial"/>
          <w:color w:val="000000"/>
          <w:sz w:val="24"/>
        </w:rPr>
        <w:t>未来收益，</w:t>
      </w:r>
      <w:r>
        <w:rPr>
          <w:rFonts w:hint="eastAsia" w:ascii="宋体" w:hAnsi="宋体" w:cs="Arial"/>
          <w:color w:val="000000"/>
          <w:sz w:val="24"/>
        </w:rPr>
        <w:t>利用报酬率或资本化率、收益乘数将未来收益转换为价值得到估价对象价值或价格的方法</w:t>
      </w:r>
      <w:r>
        <w:rPr>
          <w:rFonts w:ascii="宋体" w:hAnsi="宋体" w:cs="Arial"/>
          <w:color w:val="000000"/>
          <w:sz w:val="24"/>
        </w:rPr>
        <w:t>。</w:t>
      </w:r>
    </w:p>
    <w:p>
      <w:pPr>
        <w:pStyle w:val="3"/>
        <w:spacing w:before="0" w:after="0" w:line="460" w:lineRule="exact"/>
        <w:ind w:firstLine="472" w:firstLineChars="196"/>
        <w:rPr>
          <w:rFonts w:ascii="宋体" w:hAnsi="宋体" w:eastAsia="宋体"/>
          <w:sz w:val="24"/>
          <w:szCs w:val="24"/>
        </w:rPr>
      </w:pPr>
      <w:bookmarkStart w:id="73" w:name="_Toc4346"/>
      <w:bookmarkStart w:id="74" w:name="_Toc388427147"/>
      <w:bookmarkStart w:id="75" w:name="_Toc323043789"/>
      <w:bookmarkStart w:id="76" w:name="_Toc323116707"/>
      <w:bookmarkStart w:id="77" w:name="_Toc399921387"/>
      <w:bookmarkStart w:id="78" w:name="_Toc105964082"/>
      <w:r>
        <w:rPr>
          <w:rFonts w:hint="eastAsia" w:ascii="宋体" w:hAnsi="宋体" w:eastAsia="宋体"/>
          <w:sz w:val="24"/>
          <w:szCs w:val="24"/>
        </w:rPr>
        <w:t>十、估价结果</w:t>
      </w:r>
      <w:bookmarkEnd w:id="73"/>
      <w:bookmarkEnd w:id="74"/>
      <w:bookmarkEnd w:id="75"/>
      <w:bookmarkEnd w:id="76"/>
      <w:bookmarkEnd w:id="77"/>
      <w:bookmarkEnd w:id="78"/>
    </w:p>
    <w:p>
      <w:pPr>
        <w:spacing w:line="440" w:lineRule="exact"/>
        <w:ind w:firstLine="480" w:firstLineChars="200"/>
        <w:rPr>
          <w:rFonts w:ascii="宋体" w:hAnsi="宋体"/>
          <w:sz w:val="24"/>
          <w:lang w:val="zh-CN"/>
        </w:rPr>
      </w:pPr>
      <w:r>
        <w:rPr>
          <w:rFonts w:hint="eastAsia" w:ascii="宋体" w:hAnsi="宋体"/>
          <w:sz w:val="24"/>
          <w:lang w:val="zh-CN"/>
        </w:rPr>
        <w:t>遵照有关的法律法规、政策文件和估价标准，根据估价委托人提供的相关资料以及本估价机构及注册房地产估价师掌握的资料，按照估价目的，遵循估价原则，采用</w:t>
      </w:r>
      <w:r>
        <w:rPr>
          <w:rFonts w:hint="eastAsia" w:ascii="宋体" w:hAnsi="宋体" w:cs="宋体"/>
          <w:sz w:val="24"/>
        </w:rPr>
        <w:t>成本法（房地合估）和收益法</w:t>
      </w:r>
      <w:r>
        <w:rPr>
          <w:rFonts w:hint="eastAsia" w:ascii="宋体" w:hAnsi="宋体"/>
          <w:sz w:val="24"/>
          <w:lang w:val="zh-CN"/>
        </w:rPr>
        <w:t>进行了分析、测算和判断，在满足估价假设和限制条件下，估价对象于价值时点（</w:t>
      </w:r>
      <w:r>
        <w:rPr>
          <w:rFonts w:hint="eastAsia" w:ascii="宋体" w:hAnsi="宋体"/>
          <w:sz w:val="24"/>
        </w:rPr>
        <w:t xml:space="preserve"> 2022年05月23日</w:t>
      </w:r>
      <w:r>
        <w:rPr>
          <w:rFonts w:hint="eastAsia" w:ascii="宋体" w:hAnsi="宋体"/>
          <w:sz w:val="24"/>
          <w:lang w:val="zh-CN"/>
        </w:rPr>
        <w:t>）的最终估价结果见下表。</w:t>
      </w:r>
    </w:p>
    <w:tbl>
      <w:tblPr>
        <w:tblStyle w:val="15"/>
        <w:tblW w:w="94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01"/>
        <w:gridCol w:w="1655"/>
        <w:gridCol w:w="1633"/>
        <w:gridCol w:w="966"/>
        <w:gridCol w:w="653"/>
        <w:gridCol w:w="3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60" w:type="dxa"/>
          <w:trHeight w:val="340" w:hRule="atLeast"/>
          <w:jc w:val="center"/>
        </w:trPr>
        <w:tc>
          <w:tcPr>
            <w:tcW w:w="8455" w:type="dxa"/>
            <w:gridSpan w:val="4"/>
            <w:tcBorders>
              <w:top w:val="nil"/>
              <w:left w:val="nil"/>
              <w:bottom w:val="single" w:color="auto" w:sz="12" w:space="0"/>
              <w:right w:val="nil"/>
            </w:tcBorders>
            <w:vAlign w:val="center"/>
          </w:tcPr>
          <w:p>
            <w:pPr>
              <w:jc w:val="center"/>
              <w:rPr>
                <w:rFonts w:ascii="宋体" w:hAnsi="宋体" w:cs="宋体"/>
                <w:b/>
                <w:bCs/>
                <w:szCs w:val="21"/>
              </w:rPr>
            </w:pPr>
            <w:r>
              <w:rPr>
                <w:rFonts w:hint="eastAsia" w:ascii="宋体" w:hAnsi="宋体" w:cs="宋体"/>
                <w:b/>
                <w:bCs/>
                <w:sz w:val="24"/>
              </w:rPr>
              <w:t>估价对象</w:t>
            </w:r>
            <w:r>
              <w:rPr>
                <w:rFonts w:hint="eastAsia" w:ascii="宋体" w:hAnsi="宋体" w:cs="宋体"/>
                <w:b/>
                <w:sz w:val="24"/>
              </w:rPr>
              <w:t>房地产市场价值评估结果表</w:t>
            </w:r>
          </w:p>
        </w:tc>
        <w:tc>
          <w:tcPr>
            <w:tcW w:w="653" w:type="dxa"/>
            <w:tcBorders>
              <w:top w:val="nil"/>
              <w:left w:val="nil"/>
              <w:bottom w:val="single" w:color="auto" w:sz="12" w:space="0"/>
              <w:right w:val="nil"/>
            </w:tcBorders>
          </w:tcPr>
          <w:p>
            <w:pPr>
              <w:jc w:val="center"/>
              <w:rPr>
                <w:rFonts w:ascii="宋体" w:hAnsi="宋体" w:cs="宋体"/>
                <w:b/>
                <w:bCs/>
                <w:szCs w:val="21"/>
              </w:rPr>
            </w:pPr>
            <w:r>
              <w:rPr>
                <w:rFonts w:hint="eastAsia" w:ascii="宋体" w:hAnsi="宋体" w:cs="宋体"/>
                <w:b/>
                <w:bCs/>
                <w:sz w:val="24"/>
              </w:rPr>
              <w:t>表4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01" w:type="dxa"/>
            <w:vMerge w:val="restart"/>
            <w:vAlign w:val="center"/>
          </w:tcPr>
          <w:p>
            <w:pPr>
              <w:spacing w:line="360" w:lineRule="exact"/>
              <w:jc w:val="center"/>
              <w:rPr>
                <w:rFonts w:ascii="宋体" w:hAnsi="宋体" w:cs="宋体"/>
                <w:szCs w:val="21"/>
              </w:rPr>
            </w:pPr>
            <w:r>
              <w:rPr>
                <w:rFonts w:hint="eastAsia" w:ascii="宋体" w:hAnsi="宋体" w:cs="宋体"/>
                <w:b/>
                <w:bCs/>
                <w:szCs w:val="21"/>
              </w:rPr>
              <w:t>项目</w:t>
            </w:r>
          </w:p>
        </w:tc>
        <w:tc>
          <w:tcPr>
            <w:tcW w:w="5267" w:type="dxa"/>
            <w:gridSpan w:val="5"/>
          </w:tcPr>
          <w:p>
            <w:pPr>
              <w:spacing w:line="360" w:lineRule="exact"/>
              <w:jc w:val="center"/>
              <w:rPr>
                <w:rFonts w:ascii="宋体" w:hAnsi="宋体" w:cs="宋体"/>
                <w:b/>
                <w:szCs w:val="21"/>
              </w:rPr>
            </w:pPr>
            <w:r>
              <w:rPr>
                <w:rFonts w:hint="eastAsia" w:ascii="宋体" w:hAnsi="宋体" w:cs="宋体"/>
                <w:b/>
                <w:szCs w:val="21"/>
              </w:rPr>
              <w:t>估价结果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01" w:type="dxa"/>
            <w:vMerge w:val="continue"/>
          </w:tcPr>
          <w:p>
            <w:pPr>
              <w:spacing w:line="360" w:lineRule="exact"/>
              <w:rPr>
                <w:rFonts w:ascii="宋体" w:hAnsi="宋体" w:cs="宋体"/>
                <w:szCs w:val="21"/>
              </w:rPr>
            </w:pPr>
          </w:p>
        </w:tc>
        <w:tc>
          <w:tcPr>
            <w:tcW w:w="1655" w:type="dxa"/>
          </w:tcPr>
          <w:p>
            <w:pPr>
              <w:spacing w:line="360" w:lineRule="exact"/>
              <w:jc w:val="center"/>
              <w:rPr>
                <w:rFonts w:ascii="宋体" w:hAnsi="宋体" w:cs="宋体"/>
                <w:b/>
                <w:szCs w:val="21"/>
              </w:rPr>
            </w:pPr>
            <w:r>
              <w:rPr>
                <w:rFonts w:hint="eastAsia" w:ascii="宋体" w:hAnsi="宋体" w:cs="宋体"/>
                <w:b/>
                <w:szCs w:val="21"/>
              </w:rPr>
              <w:t>面积（元/㎡）</w:t>
            </w:r>
          </w:p>
        </w:tc>
        <w:tc>
          <w:tcPr>
            <w:tcW w:w="1633" w:type="dxa"/>
          </w:tcPr>
          <w:p>
            <w:pPr>
              <w:spacing w:line="360" w:lineRule="exact"/>
              <w:jc w:val="center"/>
              <w:rPr>
                <w:rFonts w:ascii="宋体" w:hAnsi="宋体" w:cs="宋体"/>
                <w:b/>
                <w:szCs w:val="21"/>
              </w:rPr>
            </w:pPr>
            <w:r>
              <w:rPr>
                <w:rFonts w:hint="eastAsia" w:ascii="宋体" w:hAnsi="宋体" w:cs="宋体"/>
                <w:b/>
                <w:szCs w:val="21"/>
              </w:rPr>
              <w:t>单</w:t>
            </w:r>
            <w:r>
              <w:rPr>
                <w:rFonts w:hint="eastAsia" w:ascii="宋体" w:hAnsi="宋体" w:cs="宋体"/>
                <w:b/>
                <w:bCs/>
                <w:szCs w:val="21"/>
              </w:rPr>
              <w:t>价（元）</w:t>
            </w:r>
          </w:p>
        </w:tc>
        <w:tc>
          <w:tcPr>
            <w:tcW w:w="1979" w:type="dxa"/>
            <w:gridSpan w:val="3"/>
          </w:tcPr>
          <w:p>
            <w:pPr>
              <w:spacing w:line="360" w:lineRule="exact"/>
              <w:jc w:val="center"/>
              <w:rPr>
                <w:rFonts w:ascii="宋体" w:hAnsi="宋体" w:cs="宋体"/>
                <w:b/>
                <w:szCs w:val="21"/>
              </w:rPr>
            </w:pPr>
            <w:r>
              <w:rPr>
                <w:rFonts w:hint="eastAsia" w:ascii="宋体" w:hAnsi="宋体" w:cs="宋体"/>
                <w:b/>
                <w:bCs/>
                <w:szCs w:val="21"/>
              </w:rPr>
              <w:t>总价或总额</w:t>
            </w:r>
            <w:r>
              <w:rPr>
                <w:rFonts w:hint="eastAsia" w:ascii="宋体" w:hAnsi="宋体" w:cs="宋体"/>
                <w:b/>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201" w:type="dxa"/>
            <w:vAlign w:val="center"/>
          </w:tcPr>
          <w:p>
            <w:pPr>
              <w:spacing w:line="360" w:lineRule="exact"/>
              <w:jc w:val="center"/>
              <w:rPr>
                <w:rFonts w:ascii="宋体" w:hAnsi="宋体" w:cs="Arial"/>
                <w:kern w:val="0"/>
                <w:szCs w:val="21"/>
              </w:rPr>
            </w:pPr>
            <w:r>
              <w:rPr>
                <w:rFonts w:hint="eastAsia" w:ascii="宋体" w:hAnsi="宋体"/>
                <w:bCs/>
                <w:szCs w:val="21"/>
              </w:rPr>
              <w:t>惠安县螺城镇新霞企塘花园西侧Ⅵ组团A3#23号储藏间</w:t>
            </w:r>
          </w:p>
        </w:tc>
        <w:tc>
          <w:tcPr>
            <w:tcW w:w="1655" w:type="dxa"/>
            <w:vAlign w:val="center"/>
          </w:tcPr>
          <w:p>
            <w:pPr>
              <w:spacing w:line="360" w:lineRule="exact"/>
              <w:jc w:val="center"/>
              <w:rPr>
                <w:rFonts w:ascii="宋体" w:hAnsi="宋体" w:cs="Arial"/>
                <w:kern w:val="0"/>
                <w:szCs w:val="21"/>
              </w:rPr>
            </w:pPr>
            <w:r>
              <w:rPr>
                <w:rFonts w:hint="eastAsia" w:ascii="宋体" w:hAnsi="宋体" w:cs="Arial"/>
                <w:kern w:val="0"/>
                <w:szCs w:val="21"/>
              </w:rPr>
              <w:t>19.35</w:t>
            </w:r>
          </w:p>
        </w:tc>
        <w:tc>
          <w:tcPr>
            <w:tcW w:w="1633" w:type="dxa"/>
            <w:vAlign w:val="center"/>
          </w:tcPr>
          <w:p>
            <w:pPr>
              <w:spacing w:line="360" w:lineRule="exact"/>
              <w:jc w:val="center"/>
              <w:rPr>
                <w:rFonts w:ascii="宋体" w:hAnsi="宋体" w:cs="Arial"/>
                <w:kern w:val="0"/>
                <w:szCs w:val="21"/>
              </w:rPr>
            </w:pPr>
            <w:r>
              <w:rPr>
                <w:rFonts w:hint="eastAsia" w:ascii="宋体" w:hAnsi="宋体" w:cs="Arial"/>
                <w:kern w:val="0"/>
                <w:szCs w:val="21"/>
              </w:rPr>
              <w:t>5695</w:t>
            </w:r>
          </w:p>
        </w:tc>
        <w:tc>
          <w:tcPr>
            <w:tcW w:w="1979" w:type="dxa"/>
            <w:gridSpan w:val="3"/>
            <w:vAlign w:val="center"/>
          </w:tcPr>
          <w:p>
            <w:pPr>
              <w:spacing w:line="360" w:lineRule="exact"/>
              <w:jc w:val="center"/>
              <w:rPr>
                <w:rFonts w:ascii="宋体" w:hAnsi="宋体" w:cs="Arial"/>
                <w:kern w:val="0"/>
                <w:szCs w:val="21"/>
              </w:rPr>
            </w:pPr>
            <w:r>
              <w:rPr>
                <w:rFonts w:hint="eastAsia" w:ascii="宋体" w:hAnsi="宋体" w:cs="Arial"/>
                <w:kern w:val="0"/>
                <w:szCs w:val="21"/>
              </w:rPr>
              <w:t>11.02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01" w:type="dxa"/>
            <w:vAlign w:val="center"/>
          </w:tcPr>
          <w:p>
            <w:pPr>
              <w:spacing w:line="360" w:lineRule="exact"/>
              <w:jc w:val="center"/>
              <w:rPr>
                <w:rFonts w:ascii="宋体" w:hAnsi="宋体" w:cs="Arial"/>
                <w:kern w:val="0"/>
                <w:szCs w:val="21"/>
              </w:rPr>
            </w:pPr>
            <w:r>
              <w:rPr>
                <w:rFonts w:hint="eastAsia" w:ascii="宋体" w:hAnsi="宋体" w:cs="Arial"/>
                <w:kern w:val="0"/>
                <w:szCs w:val="21"/>
              </w:rPr>
              <w:t>合计</w:t>
            </w:r>
          </w:p>
        </w:tc>
        <w:tc>
          <w:tcPr>
            <w:tcW w:w="5267" w:type="dxa"/>
            <w:gridSpan w:val="5"/>
            <w:vAlign w:val="center"/>
          </w:tcPr>
          <w:p>
            <w:pPr>
              <w:spacing w:line="360" w:lineRule="exact"/>
              <w:jc w:val="center"/>
              <w:rPr>
                <w:rFonts w:ascii="宋体" w:hAnsi="宋体" w:cs="Arial"/>
                <w:kern w:val="0"/>
                <w:szCs w:val="21"/>
              </w:rPr>
            </w:pPr>
            <w:r>
              <w:rPr>
                <w:rFonts w:hint="eastAsia" w:ascii="宋体" w:hAnsi="宋体" w:cs="Arial"/>
                <w:kern w:val="0"/>
                <w:szCs w:val="21"/>
              </w:rPr>
              <w:t>11.02</w:t>
            </w:r>
          </w:p>
          <w:p>
            <w:pPr>
              <w:spacing w:line="360" w:lineRule="exact"/>
              <w:jc w:val="center"/>
              <w:rPr>
                <w:rFonts w:ascii="宋体" w:hAnsi="宋体" w:cs="Arial"/>
                <w:kern w:val="0"/>
                <w:szCs w:val="21"/>
              </w:rPr>
            </w:pPr>
            <w:r>
              <w:rPr>
                <w:rFonts w:hint="eastAsia" w:ascii="宋体" w:hAnsi="宋体" w:cs="Arial"/>
                <w:kern w:val="0"/>
                <w:szCs w:val="21"/>
              </w:rPr>
              <w:t>（人民币壹拾壹万零贰佰</w:t>
            </w:r>
            <w:r>
              <w:rPr>
                <w:rFonts w:ascii="宋体" w:hAnsi="宋体" w:cs="Arial"/>
                <w:kern w:val="0"/>
                <w:szCs w:val="21"/>
              </w:rPr>
              <w:t>元整</w:t>
            </w:r>
            <w:r>
              <w:rPr>
                <w:rFonts w:hint="eastAsia" w:ascii="宋体" w:hAnsi="宋体" w:cs="Arial"/>
                <w:kern w:val="0"/>
                <w:szCs w:val="21"/>
              </w:rPr>
              <w:t>）</w:t>
            </w:r>
          </w:p>
        </w:tc>
      </w:tr>
    </w:tbl>
    <w:p>
      <w:pPr>
        <w:spacing w:before="156" w:beforeLines="50" w:line="440" w:lineRule="exact"/>
        <w:ind w:firstLine="480" w:firstLineChars="200"/>
        <w:rPr>
          <w:rFonts w:ascii="宋体" w:hAnsi="宋体"/>
          <w:sz w:val="24"/>
        </w:rPr>
      </w:pPr>
      <w:r>
        <w:rPr>
          <w:rFonts w:hint="eastAsia" w:ascii="宋体" w:hAnsi="宋体"/>
          <w:color w:val="000000"/>
          <w:sz w:val="24"/>
        </w:rPr>
        <w:t>估价结果内涵为在满足本估价假设和限制条件下，包括建筑物（含室内装修）、分摊的土地使用权（含土地出让金）及配套设施；付款方式是一次性付清房价款（</w:t>
      </w:r>
      <w:r>
        <w:rPr>
          <w:rFonts w:hint="eastAsia" w:ascii="宋体" w:hAnsi="宋体"/>
          <w:color w:val="000000"/>
          <w:sz w:val="24"/>
          <w:lang w:bidi="en-US"/>
        </w:rPr>
        <w:t>包括首付款及按揭贷款</w:t>
      </w:r>
      <w:r>
        <w:rPr>
          <w:rFonts w:hint="eastAsia" w:ascii="宋体" w:hAnsi="宋体"/>
          <w:color w:val="000000"/>
          <w:sz w:val="24"/>
        </w:rPr>
        <w:t>）；房屋面积内涵是建筑面积；</w:t>
      </w:r>
      <w:r>
        <w:rPr>
          <w:rFonts w:hint="eastAsia" w:ascii="宋体" w:hAnsi="宋体"/>
          <w:color w:val="000000"/>
          <w:sz w:val="24"/>
          <w:lang w:bidi="en-US"/>
        </w:rPr>
        <w:t>开发程度为现房，具备“五通”</w:t>
      </w:r>
      <w:r>
        <w:rPr>
          <w:rFonts w:hint="eastAsia" w:ascii="宋体" w:hAnsi="宋体"/>
          <w:color w:val="000000"/>
          <w:sz w:val="24"/>
        </w:rPr>
        <w:t>。</w:t>
      </w:r>
    </w:p>
    <w:p>
      <w:pPr>
        <w:pStyle w:val="3"/>
        <w:spacing w:before="0" w:after="0" w:line="460" w:lineRule="exact"/>
        <w:ind w:firstLine="472" w:firstLineChars="196"/>
        <w:rPr>
          <w:rFonts w:ascii="宋体" w:hAnsi="宋体" w:eastAsia="宋体"/>
          <w:sz w:val="24"/>
          <w:szCs w:val="24"/>
        </w:rPr>
      </w:pPr>
      <w:bookmarkStart w:id="79" w:name="_Toc357083690"/>
      <w:bookmarkStart w:id="80" w:name="_Toc388427148"/>
      <w:bookmarkStart w:id="81" w:name="_Toc28910"/>
      <w:bookmarkStart w:id="82" w:name="_Toc399921388"/>
      <w:bookmarkStart w:id="83" w:name="_Toc105964083"/>
      <w:r>
        <w:rPr>
          <w:rFonts w:hint="eastAsia" w:ascii="宋体" w:hAnsi="宋体" w:eastAsia="宋体"/>
          <w:sz w:val="24"/>
          <w:szCs w:val="24"/>
        </w:rPr>
        <w:t>十一、注册房地产估价</w:t>
      </w:r>
      <w:bookmarkEnd w:id="79"/>
      <w:r>
        <w:rPr>
          <w:rFonts w:hint="eastAsia" w:ascii="宋体" w:hAnsi="宋体" w:eastAsia="宋体"/>
          <w:sz w:val="24"/>
          <w:szCs w:val="24"/>
        </w:rPr>
        <w:t>师</w:t>
      </w:r>
      <w:bookmarkEnd w:id="80"/>
      <w:bookmarkEnd w:id="81"/>
      <w:bookmarkEnd w:id="82"/>
      <w:bookmarkEnd w:id="83"/>
    </w:p>
    <w:p>
      <w:pPr>
        <w:spacing w:line="440" w:lineRule="exact"/>
        <w:ind w:firstLine="482" w:firstLineChars="200"/>
        <w:jc w:val="center"/>
        <w:rPr>
          <w:rFonts w:ascii="宋体" w:hAnsi="宋体"/>
          <w:b/>
          <w:sz w:val="24"/>
        </w:rPr>
      </w:pPr>
      <w:r>
        <w:rPr>
          <w:rFonts w:hint="eastAsia" w:ascii="宋体" w:hAnsi="宋体"/>
          <w:b/>
          <w:sz w:val="24"/>
        </w:rPr>
        <w:t>参</w:t>
      </w:r>
      <w:bookmarkStart w:id="84" w:name="_Toc399921389"/>
      <w:bookmarkStart w:id="85" w:name="_Toc15894"/>
      <w:bookmarkStart w:id="86" w:name="_Toc388427149"/>
      <w:r>
        <w:rPr>
          <w:rFonts w:hint="eastAsia" w:ascii="宋体" w:hAnsi="宋体"/>
          <w:b/>
          <w:sz w:val="24"/>
        </w:rPr>
        <w:t>加估价的注册房地产估价师</w:t>
      </w: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4"/>
        <w:gridCol w:w="2084"/>
        <w:gridCol w:w="3061"/>
        <w:gridCol w:w="24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44" w:type="dxa"/>
            <w:vAlign w:val="center"/>
          </w:tcPr>
          <w:p>
            <w:pPr>
              <w:pStyle w:val="7"/>
              <w:spacing w:line="460" w:lineRule="atLeast"/>
              <w:jc w:val="center"/>
              <w:rPr>
                <w:rFonts w:hAnsi="宋体"/>
                <w:sz w:val="24"/>
                <w:szCs w:val="24"/>
              </w:rPr>
            </w:pPr>
            <w:r>
              <w:rPr>
                <w:rFonts w:hint="eastAsia" w:hAnsi="宋体"/>
                <w:sz w:val="24"/>
              </w:rPr>
              <w:t>姓 名</w:t>
            </w:r>
          </w:p>
        </w:tc>
        <w:tc>
          <w:tcPr>
            <w:tcW w:w="2084" w:type="dxa"/>
            <w:vAlign w:val="center"/>
          </w:tcPr>
          <w:p>
            <w:pPr>
              <w:pStyle w:val="7"/>
              <w:spacing w:line="400" w:lineRule="exact"/>
              <w:jc w:val="center"/>
              <w:rPr>
                <w:rFonts w:hAnsi="宋体"/>
                <w:sz w:val="24"/>
                <w:szCs w:val="24"/>
              </w:rPr>
            </w:pPr>
            <w:r>
              <w:rPr>
                <w:rFonts w:hint="eastAsia" w:hAnsi="宋体"/>
                <w:sz w:val="24"/>
              </w:rPr>
              <w:t>注册号</w:t>
            </w:r>
          </w:p>
        </w:tc>
        <w:tc>
          <w:tcPr>
            <w:tcW w:w="3061" w:type="dxa"/>
            <w:vAlign w:val="center"/>
          </w:tcPr>
          <w:p>
            <w:pPr>
              <w:pStyle w:val="7"/>
              <w:spacing w:line="400" w:lineRule="exact"/>
              <w:jc w:val="center"/>
              <w:rPr>
                <w:rFonts w:hAnsi="宋体"/>
                <w:sz w:val="24"/>
                <w:szCs w:val="24"/>
              </w:rPr>
            </w:pPr>
            <w:r>
              <w:rPr>
                <w:rFonts w:hint="eastAsia" w:hAnsi="宋体"/>
                <w:sz w:val="24"/>
                <w:szCs w:val="24"/>
              </w:rPr>
              <w:t>签  名</w:t>
            </w:r>
          </w:p>
        </w:tc>
        <w:tc>
          <w:tcPr>
            <w:tcW w:w="2414" w:type="dxa"/>
            <w:vAlign w:val="center"/>
          </w:tcPr>
          <w:p>
            <w:pPr>
              <w:pStyle w:val="7"/>
              <w:spacing w:line="400" w:lineRule="exact"/>
              <w:jc w:val="center"/>
              <w:rPr>
                <w:rFonts w:hAnsi="宋体"/>
                <w:sz w:val="24"/>
                <w:szCs w:val="24"/>
              </w:rPr>
            </w:pPr>
            <w:r>
              <w:rPr>
                <w:rFonts w:hint="eastAsia" w:hAnsi="宋体"/>
                <w:sz w:val="24"/>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1444" w:type="dxa"/>
            <w:vAlign w:val="center"/>
          </w:tcPr>
          <w:p>
            <w:pPr>
              <w:pStyle w:val="7"/>
              <w:spacing w:line="400" w:lineRule="exact"/>
              <w:jc w:val="center"/>
              <w:rPr>
                <w:rFonts w:hAnsi="宋体"/>
                <w:color w:val="FF0000"/>
                <w:sz w:val="24"/>
              </w:rPr>
            </w:pPr>
            <w:r>
              <w:rPr>
                <w:rFonts w:hAnsi="宋体"/>
                <w:sz w:val="24"/>
                <w:szCs w:val="24"/>
              </w:rPr>
              <w:t>陈平</w:t>
            </w:r>
          </w:p>
        </w:tc>
        <w:tc>
          <w:tcPr>
            <w:tcW w:w="2084" w:type="dxa"/>
            <w:vAlign w:val="center"/>
          </w:tcPr>
          <w:p>
            <w:pPr>
              <w:pStyle w:val="7"/>
              <w:spacing w:line="400" w:lineRule="exact"/>
              <w:jc w:val="center"/>
              <w:rPr>
                <w:rFonts w:hAnsi="宋体"/>
                <w:color w:val="FF0000"/>
                <w:sz w:val="24"/>
              </w:rPr>
            </w:pPr>
            <w:r>
              <w:rPr>
                <w:rFonts w:hAnsi="宋体"/>
                <w:sz w:val="24"/>
              </w:rPr>
              <w:t>3520110017</w:t>
            </w:r>
          </w:p>
        </w:tc>
        <w:tc>
          <w:tcPr>
            <w:tcW w:w="3061" w:type="dxa"/>
            <w:vAlign w:val="center"/>
          </w:tcPr>
          <w:p>
            <w:pPr>
              <w:pStyle w:val="7"/>
              <w:spacing w:line="400" w:lineRule="exact"/>
              <w:jc w:val="center"/>
              <w:rPr>
                <w:rFonts w:hAnsi="宋体"/>
                <w:color w:val="FF0000"/>
                <w:sz w:val="24"/>
                <w:szCs w:val="24"/>
              </w:rPr>
            </w:pPr>
            <w:r>
              <w:rPr>
                <w:rFonts w:hint="eastAsia" w:hAnsi="宋体"/>
                <w:color w:val="FFFFFF"/>
                <w:sz w:val="24"/>
                <w:szCs w:val="24"/>
              </w:rPr>
              <w:t>估价师章1</w:t>
            </w:r>
          </w:p>
        </w:tc>
        <w:tc>
          <w:tcPr>
            <w:tcW w:w="2414" w:type="dxa"/>
            <w:vAlign w:val="center"/>
          </w:tcPr>
          <w:p>
            <w:pPr>
              <w:pStyle w:val="7"/>
              <w:spacing w:line="400" w:lineRule="exact"/>
              <w:jc w:val="center"/>
              <w:rPr>
                <w:rFonts w:hAnsi="宋体"/>
                <w:sz w:val="24"/>
                <w:szCs w:val="24"/>
              </w:rPr>
            </w:pPr>
            <w:r>
              <w:rPr>
                <w:rFonts w:hint="eastAsia" w:hAnsi="宋体"/>
                <w:sz w:val="24"/>
              </w:rPr>
              <w:t xml:space="preserve"> 2022年05月25日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1444" w:type="dxa"/>
            <w:vAlign w:val="center"/>
          </w:tcPr>
          <w:p>
            <w:pPr>
              <w:pStyle w:val="7"/>
              <w:spacing w:line="400" w:lineRule="exact"/>
              <w:jc w:val="center"/>
              <w:rPr>
                <w:rFonts w:hAnsi="宋体"/>
                <w:sz w:val="24"/>
              </w:rPr>
            </w:pPr>
            <w:r>
              <w:rPr>
                <w:rFonts w:hAnsi="宋体"/>
                <w:sz w:val="24"/>
                <w:szCs w:val="24"/>
              </w:rPr>
              <w:t>熊贤霖</w:t>
            </w:r>
          </w:p>
        </w:tc>
        <w:tc>
          <w:tcPr>
            <w:tcW w:w="2084" w:type="dxa"/>
            <w:vAlign w:val="center"/>
          </w:tcPr>
          <w:p>
            <w:pPr>
              <w:pStyle w:val="7"/>
              <w:spacing w:line="400" w:lineRule="exact"/>
              <w:jc w:val="center"/>
              <w:rPr>
                <w:rFonts w:hAnsi="宋体"/>
                <w:color w:val="FF0000"/>
                <w:sz w:val="24"/>
                <w:szCs w:val="24"/>
              </w:rPr>
            </w:pPr>
            <w:r>
              <w:rPr>
                <w:rFonts w:hAnsi="宋体"/>
                <w:sz w:val="24"/>
              </w:rPr>
              <w:t>3520200061</w:t>
            </w:r>
          </w:p>
        </w:tc>
        <w:tc>
          <w:tcPr>
            <w:tcW w:w="3061" w:type="dxa"/>
            <w:vAlign w:val="center"/>
          </w:tcPr>
          <w:p>
            <w:pPr>
              <w:pStyle w:val="7"/>
              <w:spacing w:line="400" w:lineRule="exact"/>
              <w:jc w:val="center"/>
              <w:rPr>
                <w:rFonts w:hAnsi="宋体"/>
                <w:color w:val="FF0000"/>
                <w:sz w:val="24"/>
                <w:szCs w:val="24"/>
              </w:rPr>
            </w:pPr>
            <w:r>
              <w:rPr>
                <w:rFonts w:hint="eastAsia" w:hAnsi="宋体"/>
                <w:color w:val="FFFFFF"/>
                <w:sz w:val="24"/>
                <w:szCs w:val="24"/>
              </w:rPr>
              <w:t>估价师章2</w:t>
            </w:r>
          </w:p>
        </w:tc>
        <w:tc>
          <w:tcPr>
            <w:tcW w:w="2414" w:type="dxa"/>
            <w:vAlign w:val="center"/>
          </w:tcPr>
          <w:p>
            <w:pPr>
              <w:pStyle w:val="7"/>
              <w:spacing w:line="400" w:lineRule="exact"/>
              <w:jc w:val="center"/>
              <w:rPr>
                <w:rFonts w:hAnsi="宋体"/>
                <w:sz w:val="24"/>
                <w:szCs w:val="24"/>
              </w:rPr>
            </w:pPr>
            <w:r>
              <w:rPr>
                <w:rFonts w:hint="eastAsia" w:hAnsi="宋体"/>
                <w:sz w:val="24"/>
              </w:rPr>
              <w:t xml:space="preserve"> 2022年05月25日</w:t>
            </w:r>
          </w:p>
        </w:tc>
      </w:tr>
    </w:tbl>
    <w:p>
      <w:pPr>
        <w:pStyle w:val="3"/>
        <w:spacing w:before="0" w:after="0" w:line="460" w:lineRule="exact"/>
        <w:ind w:firstLine="472" w:firstLineChars="196"/>
        <w:rPr>
          <w:rFonts w:ascii="宋体" w:hAnsi="宋体" w:eastAsia="宋体"/>
          <w:sz w:val="24"/>
          <w:szCs w:val="24"/>
        </w:rPr>
      </w:pPr>
      <w:bookmarkStart w:id="87" w:name="_Toc357083692"/>
      <w:bookmarkStart w:id="88" w:name="_Toc105964084"/>
      <w:r>
        <w:rPr>
          <w:rFonts w:hint="eastAsia" w:ascii="宋体" w:hAnsi="宋体" w:eastAsia="宋体"/>
          <w:sz w:val="24"/>
          <w:szCs w:val="24"/>
        </w:rPr>
        <w:t>十二、</w:t>
      </w:r>
      <w:bookmarkEnd w:id="87"/>
      <w:r>
        <w:rPr>
          <w:rFonts w:hint="eastAsia" w:ascii="宋体" w:hAnsi="宋体" w:eastAsia="宋体"/>
          <w:sz w:val="24"/>
          <w:szCs w:val="24"/>
        </w:rPr>
        <w:t>实地查勘</w:t>
      </w:r>
      <w:bookmarkEnd w:id="84"/>
      <w:bookmarkEnd w:id="85"/>
      <w:bookmarkEnd w:id="86"/>
      <w:r>
        <w:rPr>
          <w:rFonts w:hint="eastAsia" w:ascii="宋体" w:hAnsi="宋体" w:eastAsia="宋体"/>
          <w:sz w:val="24"/>
          <w:szCs w:val="24"/>
        </w:rPr>
        <w:t>期</w:t>
      </w:r>
      <w:bookmarkEnd w:id="88"/>
    </w:p>
    <w:p>
      <w:pPr>
        <w:spacing w:line="400" w:lineRule="exact"/>
        <w:ind w:firstLine="480" w:firstLineChars="200"/>
        <w:rPr>
          <w:rFonts w:ascii="宋体" w:hAnsi="宋体"/>
        </w:rPr>
      </w:pPr>
      <w:r>
        <w:rPr>
          <w:rFonts w:hint="eastAsia" w:ascii="宋体" w:hAnsi="宋体"/>
          <w:sz w:val="24"/>
        </w:rPr>
        <w:t>实地查勘日： 2022年05月23日。</w:t>
      </w:r>
    </w:p>
    <w:p>
      <w:pPr>
        <w:pStyle w:val="3"/>
        <w:spacing w:before="0" w:after="0" w:line="460" w:lineRule="exact"/>
        <w:ind w:firstLine="472" w:firstLineChars="196"/>
        <w:rPr>
          <w:rFonts w:ascii="宋体" w:hAnsi="宋体" w:eastAsia="宋体"/>
          <w:sz w:val="24"/>
          <w:szCs w:val="24"/>
        </w:rPr>
      </w:pPr>
      <w:bookmarkStart w:id="89" w:name="_Toc387220237"/>
      <w:bookmarkStart w:id="90" w:name="_Toc399921390"/>
      <w:bookmarkStart w:id="91" w:name="_Toc17414"/>
      <w:bookmarkStart w:id="92" w:name="_Toc388427150"/>
      <w:bookmarkStart w:id="93" w:name="_Toc357083693"/>
      <w:bookmarkStart w:id="94" w:name="_Toc323043791"/>
      <w:bookmarkStart w:id="95" w:name="_Toc323116709"/>
      <w:bookmarkStart w:id="96" w:name="_Toc105964085"/>
      <w:r>
        <w:rPr>
          <w:rFonts w:hint="eastAsia" w:ascii="宋体" w:hAnsi="宋体" w:eastAsia="宋体"/>
          <w:sz w:val="24"/>
          <w:szCs w:val="24"/>
        </w:rPr>
        <w:t>十三、估价作业期</w:t>
      </w:r>
      <w:bookmarkEnd w:id="89"/>
      <w:bookmarkEnd w:id="90"/>
      <w:bookmarkEnd w:id="91"/>
      <w:bookmarkEnd w:id="92"/>
      <w:bookmarkEnd w:id="93"/>
      <w:bookmarkEnd w:id="94"/>
      <w:bookmarkEnd w:id="95"/>
      <w:bookmarkEnd w:id="96"/>
    </w:p>
    <w:p>
      <w:pPr>
        <w:spacing w:line="400" w:lineRule="exact"/>
        <w:ind w:firstLine="480" w:firstLineChars="200"/>
        <w:rPr>
          <w:rFonts w:ascii="宋体" w:hAnsi="宋体" w:cs="Arial"/>
          <w:sz w:val="24"/>
        </w:rPr>
      </w:pPr>
      <w:r>
        <w:rPr>
          <w:rFonts w:hint="eastAsia" w:ascii="宋体" w:hAnsi="宋体"/>
          <w:sz w:val="24"/>
        </w:rPr>
        <w:t>估价作业期： 2022年05月23日至 2022年05月25日</w:t>
      </w:r>
      <w:r>
        <w:rPr>
          <w:rFonts w:ascii="宋体" w:hAnsi="宋体" w:cs="Arial"/>
          <w:sz w:val="24"/>
        </w:rPr>
        <w:t>。</w:t>
      </w:r>
    </w:p>
    <w:p>
      <w:pPr>
        <w:spacing w:line="400" w:lineRule="exact"/>
        <w:ind w:firstLine="480" w:firstLineChars="200"/>
        <w:rPr>
          <w:rFonts w:ascii="宋体" w:hAnsi="宋体" w:cs="Arial"/>
          <w:sz w:val="24"/>
        </w:rPr>
      </w:pPr>
    </w:p>
    <w:p>
      <w:pPr>
        <w:spacing w:line="400" w:lineRule="exact"/>
        <w:ind w:firstLine="480" w:firstLineChars="200"/>
        <w:rPr>
          <w:rFonts w:ascii="宋体" w:hAnsi="宋体" w:cs="Arial"/>
          <w:sz w:val="24"/>
        </w:rPr>
      </w:pPr>
    </w:p>
    <w:tbl>
      <w:tblPr>
        <w:tblStyle w:val="15"/>
        <w:tblpPr w:leftFromText="180" w:rightFromText="180" w:vertAnchor="text" w:horzAnchor="margin" w:tblpXSpec="right" w:tblpY="-11"/>
        <w:tblW w:w="0" w:type="auto"/>
        <w:tblInd w:w="0" w:type="dxa"/>
        <w:tblLayout w:type="fixed"/>
        <w:tblCellMar>
          <w:top w:w="0" w:type="dxa"/>
          <w:left w:w="108" w:type="dxa"/>
          <w:bottom w:w="0" w:type="dxa"/>
          <w:right w:w="108" w:type="dxa"/>
        </w:tblCellMar>
      </w:tblPr>
      <w:tblGrid>
        <w:gridCol w:w="5415"/>
      </w:tblGrid>
      <w:tr>
        <w:tblPrEx>
          <w:tblCellMar>
            <w:top w:w="0" w:type="dxa"/>
            <w:left w:w="108" w:type="dxa"/>
            <w:bottom w:w="0" w:type="dxa"/>
            <w:right w:w="108" w:type="dxa"/>
          </w:tblCellMar>
        </w:tblPrEx>
        <w:trPr>
          <w:trHeight w:val="565" w:hRule="atLeast"/>
        </w:trPr>
        <w:tc>
          <w:tcPr>
            <w:tcW w:w="5415" w:type="dxa"/>
          </w:tcPr>
          <w:p>
            <w:pPr>
              <w:spacing w:line="540" w:lineRule="exact"/>
              <w:jc w:val="center"/>
              <w:rPr>
                <w:rFonts w:ascii="宋体" w:hAnsi="宋体" w:cs="Arial"/>
                <w:sz w:val="24"/>
                <w:szCs w:val="18"/>
              </w:rPr>
            </w:pPr>
            <w:r>
              <w:rPr>
                <w:rFonts w:hint="eastAsia" w:ascii="宋体" w:hAnsi="宋体" w:cs="Arial"/>
                <w:color w:val="FFFFFF"/>
                <w:sz w:val="24"/>
                <w:szCs w:val="18"/>
              </w:rPr>
              <w:t>公司章</w:t>
            </w:r>
          </w:p>
        </w:tc>
      </w:tr>
      <w:tr>
        <w:tblPrEx>
          <w:tblCellMar>
            <w:top w:w="0" w:type="dxa"/>
            <w:left w:w="108" w:type="dxa"/>
            <w:bottom w:w="0" w:type="dxa"/>
            <w:right w:w="108" w:type="dxa"/>
          </w:tblCellMar>
        </w:tblPrEx>
        <w:trPr>
          <w:trHeight w:val="565" w:hRule="atLeast"/>
        </w:trPr>
        <w:tc>
          <w:tcPr>
            <w:tcW w:w="5415" w:type="dxa"/>
          </w:tcPr>
          <w:p>
            <w:pPr>
              <w:spacing w:line="540" w:lineRule="exact"/>
              <w:jc w:val="center"/>
              <w:rPr>
                <w:rFonts w:ascii="宋体" w:hAnsi="宋体" w:cs="Arial"/>
                <w:sz w:val="24"/>
                <w:szCs w:val="18"/>
              </w:rPr>
            </w:pPr>
            <w:r>
              <w:rPr>
                <w:rFonts w:hint="eastAsia" w:ascii="宋体" w:hAnsi="宋体" w:cs="Arial"/>
                <w:sz w:val="24"/>
                <w:szCs w:val="18"/>
              </w:rPr>
              <w:t>厦门均达房地产资产评估咨询有限公司（公章）</w:t>
            </w:r>
          </w:p>
        </w:tc>
      </w:tr>
      <w:tr>
        <w:tblPrEx>
          <w:tblCellMar>
            <w:top w:w="0" w:type="dxa"/>
            <w:left w:w="108" w:type="dxa"/>
            <w:bottom w:w="0" w:type="dxa"/>
            <w:right w:w="108" w:type="dxa"/>
          </w:tblCellMar>
        </w:tblPrEx>
        <w:trPr>
          <w:trHeight w:val="125" w:hRule="atLeast"/>
        </w:trPr>
        <w:tc>
          <w:tcPr>
            <w:tcW w:w="5415" w:type="dxa"/>
          </w:tcPr>
          <w:p>
            <w:pPr>
              <w:spacing w:line="540" w:lineRule="exact"/>
              <w:jc w:val="center"/>
              <w:rPr>
                <w:rFonts w:ascii="宋体" w:hAnsi="宋体"/>
                <w:sz w:val="24"/>
              </w:rPr>
            </w:pPr>
            <w:r>
              <w:rPr>
                <w:rFonts w:hint="eastAsia" w:ascii="宋体" w:hAnsi="宋体"/>
                <w:sz w:val="24"/>
              </w:rPr>
              <w:t xml:space="preserve"> 2022年05月25日</w:t>
            </w:r>
          </w:p>
        </w:tc>
      </w:tr>
    </w:tbl>
    <w:p>
      <w:pPr>
        <w:spacing w:line="400" w:lineRule="exact"/>
        <w:ind w:firstLine="480" w:firstLineChars="200"/>
        <w:rPr>
          <w:rFonts w:ascii="宋体" w:hAnsi="宋体"/>
          <w:sz w:val="24"/>
        </w:rPr>
      </w:pPr>
    </w:p>
    <w:p>
      <w:pPr>
        <w:spacing w:line="400" w:lineRule="exact"/>
        <w:ind w:left="10" w:leftChars="5" w:firstLine="409"/>
        <w:rPr>
          <w:rFonts w:ascii="宋体" w:hAnsi="宋体"/>
          <w:bCs/>
          <w:sz w:val="24"/>
        </w:rPr>
      </w:pPr>
      <w:bookmarkStart w:id="97" w:name="_Toc22973"/>
      <w:bookmarkEnd w:id="97"/>
      <w:bookmarkStart w:id="98" w:name="_Toc323116712"/>
      <w:bookmarkEnd w:id="98"/>
      <w:bookmarkStart w:id="99" w:name="_Toc17263"/>
      <w:bookmarkEnd w:id="99"/>
      <w:bookmarkStart w:id="100" w:name="_Toc10337"/>
      <w:bookmarkEnd w:id="100"/>
      <w:bookmarkStart w:id="101" w:name="_Toc14398"/>
      <w:bookmarkEnd w:id="101"/>
      <w:bookmarkStart w:id="102" w:name="_Toc26315"/>
      <w:bookmarkEnd w:id="102"/>
      <w:bookmarkStart w:id="103" w:name="_Toc32171"/>
      <w:bookmarkEnd w:id="103"/>
      <w:bookmarkStart w:id="104" w:name="_Toc28344"/>
      <w:bookmarkEnd w:id="104"/>
      <w:bookmarkStart w:id="105" w:name="_Toc158188041"/>
      <w:bookmarkEnd w:id="105"/>
      <w:bookmarkStart w:id="106" w:name="_Toc20059"/>
      <w:bookmarkEnd w:id="106"/>
      <w:bookmarkStart w:id="107" w:name="_Toc323043794"/>
      <w:bookmarkEnd w:id="107"/>
      <w:bookmarkStart w:id="108" w:name="_Toc28433"/>
      <w:bookmarkEnd w:id="108"/>
      <w:bookmarkStart w:id="109" w:name="_Toc7951"/>
      <w:bookmarkEnd w:id="109"/>
    </w:p>
    <w:p>
      <w:pPr>
        <w:pStyle w:val="2"/>
        <w:spacing w:after="156"/>
        <w:jc w:val="center"/>
        <w:rPr>
          <w:kern w:val="2"/>
          <w:sz w:val="32"/>
          <w:szCs w:val="32"/>
        </w:rPr>
      </w:pPr>
      <w:r>
        <w:br w:type="page"/>
      </w:r>
      <w:bookmarkStart w:id="110" w:name="_Toc105964095"/>
      <w:bookmarkStart w:id="111" w:name="_Toc399921401"/>
      <w:bookmarkStart w:id="112" w:name="_Toc323116721"/>
      <w:bookmarkStart w:id="113" w:name="_Toc30698"/>
      <w:bookmarkStart w:id="114" w:name="_Toc26238"/>
      <w:bookmarkStart w:id="115" w:name="_Toc23236"/>
      <w:bookmarkStart w:id="116" w:name="_Toc323043803"/>
      <w:bookmarkStart w:id="117" w:name="_Toc10964"/>
      <w:bookmarkStart w:id="118" w:name="_Toc14981"/>
      <w:bookmarkStart w:id="119" w:name="_Toc17215"/>
      <w:bookmarkStart w:id="120" w:name="_Toc21153"/>
      <w:bookmarkStart w:id="121" w:name="_Toc21318"/>
      <w:bookmarkStart w:id="122" w:name="_Toc1399"/>
      <w:r>
        <w:rPr>
          <w:rFonts w:hint="eastAsia"/>
          <w:kern w:val="2"/>
          <w:sz w:val="32"/>
          <w:szCs w:val="32"/>
        </w:rPr>
        <w:t>附   件</w:t>
      </w:r>
      <w:bookmarkEnd w:id="110"/>
      <w:bookmarkEnd w:id="111"/>
    </w:p>
    <w:p>
      <w:pPr>
        <w:jc w:val="center"/>
        <w:rPr>
          <w:rFonts w:ascii="宋体" w:hAnsi="宋体"/>
          <w:sz w:val="24"/>
        </w:rPr>
      </w:pPr>
      <w:r>
        <w:rPr>
          <w:rFonts w:hint="eastAsia" w:ascii="宋体" w:hAnsi="宋体"/>
          <w:sz w:val="24"/>
        </w:rPr>
        <w:t>(附件目录)</w:t>
      </w:r>
      <w:bookmarkEnd w:id="112"/>
      <w:bookmarkEnd w:id="113"/>
      <w:bookmarkEnd w:id="114"/>
      <w:bookmarkEnd w:id="115"/>
      <w:bookmarkEnd w:id="116"/>
      <w:bookmarkEnd w:id="117"/>
      <w:bookmarkEnd w:id="118"/>
      <w:bookmarkEnd w:id="119"/>
      <w:bookmarkEnd w:id="120"/>
      <w:bookmarkEnd w:id="121"/>
      <w:bookmarkEnd w:id="122"/>
    </w:p>
    <w:p>
      <w:pPr>
        <w:spacing w:line="440" w:lineRule="exact"/>
        <w:rPr>
          <w:rFonts w:ascii="宋体" w:hAnsi="宋体" w:cs="Arial"/>
          <w:sz w:val="24"/>
        </w:rPr>
      </w:pPr>
      <w:r>
        <w:fldChar w:fldCharType="begin"/>
      </w:r>
      <w:r>
        <w:instrText xml:space="preserve"> HYPERLINK \l "_Toc8375" </w:instrText>
      </w:r>
      <w:r>
        <w:fldChar w:fldCharType="separate"/>
      </w:r>
      <w:r>
        <w:rPr>
          <w:rFonts w:hint="eastAsia" w:ascii="宋体" w:hAnsi="宋体" w:cs="Arial"/>
          <w:sz w:val="24"/>
        </w:rPr>
        <w:t>一、《厦门市湖里区人民法院司法鉴定委托书》复印件[（2022）厦湖法司法综鉴字第112号]</w:t>
      </w:r>
      <w:r>
        <w:rPr>
          <w:rFonts w:hint="eastAsia" w:ascii="宋体" w:hAnsi="宋体" w:cs="Arial"/>
          <w:sz w:val="24"/>
        </w:rPr>
        <w:fldChar w:fldCharType="end"/>
      </w:r>
    </w:p>
    <w:p>
      <w:pPr>
        <w:spacing w:line="440" w:lineRule="exact"/>
        <w:rPr>
          <w:rFonts w:ascii="宋体" w:hAnsi="宋体" w:cs="Arial"/>
          <w:sz w:val="24"/>
        </w:rPr>
      </w:pPr>
      <w:r>
        <w:fldChar w:fldCharType="begin"/>
      </w:r>
      <w:r>
        <w:instrText xml:space="preserve"> HYPERLINK \l "_Toc26663" </w:instrText>
      </w:r>
      <w:r>
        <w:fldChar w:fldCharType="separate"/>
      </w:r>
      <w:r>
        <w:rPr>
          <w:rFonts w:hint="eastAsia" w:ascii="宋体" w:hAnsi="宋体" w:cs="Arial"/>
          <w:sz w:val="24"/>
        </w:rPr>
        <w:t>二、估价对象位置图</w:t>
      </w:r>
      <w:r>
        <w:rPr>
          <w:rFonts w:hint="eastAsia" w:ascii="宋体" w:hAnsi="宋体" w:cs="Arial"/>
          <w:sz w:val="24"/>
        </w:rPr>
        <w:fldChar w:fldCharType="end"/>
      </w:r>
    </w:p>
    <w:p>
      <w:pPr>
        <w:spacing w:line="440" w:lineRule="exact"/>
        <w:rPr>
          <w:rFonts w:ascii="宋体" w:hAnsi="宋体" w:cs="Arial"/>
          <w:sz w:val="24"/>
        </w:rPr>
      </w:pPr>
      <w:r>
        <w:fldChar w:fldCharType="begin"/>
      </w:r>
      <w:r>
        <w:instrText xml:space="preserve"> HYPERLINK \l "_Toc9458" </w:instrText>
      </w:r>
      <w:r>
        <w:fldChar w:fldCharType="separate"/>
      </w:r>
      <w:r>
        <w:rPr>
          <w:rFonts w:hint="eastAsia" w:ascii="宋体" w:hAnsi="宋体" w:cs="Arial"/>
          <w:sz w:val="24"/>
        </w:rPr>
        <w:t>三、估价对象内部状况、外部状况和周围环境照片</w:t>
      </w:r>
      <w:r>
        <w:rPr>
          <w:rFonts w:hint="eastAsia" w:ascii="宋体" w:hAnsi="宋体" w:cs="Arial"/>
          <w:sz w:val="24"/>
        </w:rPr>
        <w:fldChar w:fldCharType="end"/>
      </w:r>
    </w:p>
    <w:p>
      <w:pPr>
        <w:spacing w:line="440" w:lineRule="exact"/>
        <w:rPr>
          <w:rFonts w:ascii="宋体" w:hAnsi="宋体" w:cs="Arial"/>
          <w:sz w:val="24"/>
        </w:rPr>
      </w:pPr>
      <w:r>
        <w:fldChar w:fldCharType="begin"/>
      </w:r>
      <w:r>
        <w:instrText xml:space="preserve"> HYPERLINK \l "_Toc18131" </w:instrText>
      </w:r>
      <w:r>
        <w:fldChar w:fldCharType="separate"/>
      </w:r>
      <w:r>
        <w:rPr>
          <w:rFonts w:hint="eastAsia" w:ascii="宋体" w:hAnsi="宋体" w:cs="Arial"/>
          <w:sz w:val="24"/>
        </w:rPr>
        <w:t>四、权属证明复印件</w:t>
      </w:r>
      <w:r>
        <w:rPr>
          <w:rFonts w:hint="eastAsia" w:ascii="宋体" w:hAnsi="宋体" w:cs="Arial"/>
          <w:sz w:val="24"/>
        </w:rPr>
        <w:fldChar w:fldCharType="end"/>
      </w:r>
    </w:p>
    <w:p>
      <w:pPr>
        <w:spacing w:line="440" w:lineRule="exact"/>
        <w:rPr>
          <w:rFonts w:ascii="宋体" w:hAnsi="宋体" w:cs="Arial"/>
          <w:sz w:val="24"/>
        </w:rPr>
      </w:pPr>
      <w:r>
        <w:fldChar w:fldCharType="begin"/>
      </w:r>
      <w:r>
        <w:instrText xml:space="preserve"> HYPERLINK \l "_Toc2508" </w:instrText>
      </w:r>
      <w:r>
        <w:fldChar w:fldCharType="separate"/>
      </w:r>
      <w:r>
        <w:rPr>
          <w:rFonts w:hint="eastAsia" w:ascii="宋体" w:hAnsi="宋体" w:cs="Arial"/>
          <w:sz w:val="24"/>
        </w:rPr>
        <w:t>《泉州市房屋权属登记查档》[业务编号：20161004938]、《不动产登记情况查询结果一览表》</w:t>
      </w:r>
      <w:r>
        <w:rPr>
          <w:rFonts w:hint="eastAsia" w:ascii="宋体" w:hAnsi="宋体" w:cs="Arial"/>
          <w:sz w:val="24"/>
        </w:rPr>
        <w:fldChar w:fldCharType="end"/>
      </w:r>
    </w:p>
    <w:p>
      <w:pPr>
        <w:spacing w:line="440" w:lineRule="exact"/>
        <w:rPr>
          <w:rFonts w:ascii="宋体" w:hAnsi="宋体" w:cs="Arial"/>
          <w:sz w:val="24"/>
        </w:rPr>
      </w:pPr>
      <w:r>
        <w:rPr>
          <w:rFonts w:hint="eastAsia" w:ascii="宋体" w:hAnsi="宋体" w:cs="Arial"/>
          <w:sz w:val="24"/>
        </w:rPr>
        <w:t>五、专业帮助情况</w:t>
      </w:r>
    </w:p>
    <w:p>
      <w:pPr>
        <w:spacing w:line="440" w:lineRule="exact"/>
        <w:rPr>
          <w:rFonts w:ascii="宋体" w:hAnsi="宋体" w:cs="Arial"/>
          <w:sz w:val="24"/>
        </w:rPr>
      </w:pPr>
      <w:r>
        <w:rPr>
          <w:rFonts w:hint="eastAsia" w:ascii="宋体" w:hAnsi="宋体" w:cs="Arial"/>
          <w:sz w:val="24"/>
        </w:rPr>
        <w:t xml:space="preserve">   （没有专业帮助情况）</w:t>
      </w:r>
    </w:p>
    <w:p>
      <w:pPr>
        <w:spacing w:line="440" w:lineRule="exact"/>
        <w:rPr>
          <w:rFonts w:ascii="宋体" w:hAnsi="宋体" w:cs="Arial"/>
          <w:sz w:val="24"/>
        </w:rPr>
      </w:pPr>
      <w:r>
        <w:fldChar w:fldCharType="begin"/>
      </w:r>
      <w:r>
        <w:instrText xml:space="preserve"> HYPERLINK \l "_Toc23640" </w:instrText>
      </w:r>
      <w:r>
        <w:fldChar w:fldCharType="separate"/>
      </w:r>
      <w:r>
        <w:rPr>
          <w:rFonts w:hint="eastAsia" w:ascii="宋体" w:hAnsi="宋体" w:cs="Arial"/>
          <w:sz w:val="24"/>
        </w:rPr>
        <w:t>六、估价机构资质证书复印件</w:t>
      </w:r>
      <w:r>
        <w:rPr>
          <w:rFonts w:hint="eastAsia" w:ascii="宋体" w:hAnsi="宋体" w:cs="Arial"/>
          <w:sz w:val="24"/>
        </w:rPr>
        <w:fldChar w:fldCharType="end"/>
      </w:r>
      <w:bookmarkStart w:id="124" w:name="_GoBack"/>
      <w:bookmarkEnd w:id="124"/>
    </w:p>
    <w:p>
      <w:pPr>
        <w:spacing w:line="440" w:lineRule="exact"/>
        <w:rPr>
          <w:rFonts w:ascii="宋体" w:hAnsi="宋体" w:cs="Arial"/>
          <w:sz w:val="24"/>
        </w:rPr>
      </w:pPr>
      <w:r>
        <w:fldChar w:fldCharType="begin"/>
      </w:r>
      <w:r>
        <w:instrText xml:space="preserve"> HYPERLINK \l "_Toc9853" </w:instrText>
      </w:r>
      <w:r>
        <w:fldChar w:fldCharType="separate"/>
      </w:r>
      <w:r>
        <w:rPr>
          <w:rFonts w:hint="eastAsia" w:ascii="宋体" w:hAnsi="宋体" w:cs="Arial"/>
          <w:sz w:val="24"/>
        </w:rPr>
        <w:t>七、估价机构营业执照复印件</w:t>
      </w:r>
      <w:r>
        <w:rPr>
          <w:rFonts w:hint="eastAsia" w:ascii="宋体" w:hAnsi="宋体" w:cs="Arial"/>
          <w:sz w:val="24"/>
        </w:rPr>
        <w:fldChar w:fldCharType="end"/>
      </w:r>
    </w:p>
    <w:p>
      <w:pPr>
        <w:spacing w:line="440" w:lineRule="exact"/>
        <w:sectPr>
          <w:pgSz w:w="11906" w:h="16838"/>
          <w:pgMar w:top="1440" w:right="1286" w:bottom="1440" w:left="1797" w:header="851" w:footer="992" w:gutter="0"/>
          <w:pgNumType w:start="1"/>
          <w:cols w:space="720" w:num="1"/>
          <w:docGrid w:type="lines" w:linePitch="312" w:charSpace="0"/>
        </w:sectPr>
      </w:pPr>
      <w:r>
        <w:fldChar w:fldCharType="begin"/>
      </w:r>
      <w:r>
        <w:instrText xml:space="preserve"> HYPERLINK \l "_Toc1567" </w:instrText>
      </w:r>
      <w:r>
        <w:fldChar w:fldCharType="separate"/>
      </w:r>
      <w:r>
        <w:rPr>
          <w:rFonts w:hint="eastAsia" w:ascii="宋体" w:hAnsi="宋体" w:cs="Arial"/>
          <w:sz w:val="24"/>
        </w:rPr>
        <w:t>八、房地产估价师注册证书复印件</w:t>
      </w:r>
      <w:r>
        <w:rPr>
          <w:rFonts w:hint="eastAsia" w:ascii="宋体" w:hAnsi="宋体" w:cs="Arial"/>
          <w:sz w:val="24"/>
        </w:rPr>
        <w:fldChar w:fldCharType="end"/>
      </w:r>
    </w:p>
    <w:p>
      <w:pPr>
        <w:jc w:val="center"/>
        <w:rPr>
          <w:rFonts w:ascii="宋体" w:hAnsi="宋体"/>
          <w:b/>
          <w:bCs/>
          <w:sz w:val="24"/>
        </w:rPr>
      </w:pPr>
      <w:r>
        <w:rPr>
          <w:rFonts w:hint="eastAsia" w:ascii="宋体" w:hAnsi="宋体"/>
          <w:b/>
          <w:bCs/>
          <w:sz w:val="24"/>
        </w:rPr>
        <w:t>估价对象位置图及门牌号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Symbol" w:eastAsia="仿宋_GB2312"/>
                <w:sz w:val="24"/>
              </w:rPr>
            </w:pPr>
            <w:r>
              <w:drawing>
                <wp:inline distT="0" distB="0" distL="114300" distR="114300">
                  <wp:extent cx="5403850" cy="3452495"/>
                  <wp:effectExtent l="0" t="0" r="6350" b="14605"/>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pic:cNvPicPr>
                            <a:picLocks noChangeAspect="1"/>
                          </pic:cNvPicPr>
                        </pic:nvPicPr>
                        <pic:blipFill>
                          <a:blip r:embed="rId16"/>
                          <a:stretch>
                            <a:fillRect/>
                          </a:stretch>
                        </pic:blipFill>
                        <pic:spPr>
                          <a:xfrm>
                            <a:off x="0" y="0"/>
                            <a:ext cx="5403850" cy="34524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7"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Symbol" w:eastAsia="仿宋_GB2312"/>
                <w:sz w:val="24"/>
              </w:rPr>
            </w:pPr>
            <w:r>
              <w:rPr>
                <w:rFonts w:hint="eastAsia" w:ascii="仿宋_GB2312" w:hAnsi="Symbol" w:eastAsia="仿宋_GB2312"/>
                <w:sz w:val="24"/>
              </w:rPr>
              <w:t>估价对象位置图</w:t>
            </w:r>
          </w:p>
        </w:tc>
      </w:tr>
    </w:tbl>
    <w:p>
      <w:pPr>
        <w:jc w:val="center"/>
        <w:rPr>
          <w:rFonts w:ascii="宋体" w:hAnsi="宋体"/>
          <w:b/>
          <w:bCs/>
          <w:sz w:val="24"/>
        </w:rPr>
      </w:pPr>
    </w:p>
    <w:p>
      <w:pPr>
        <w:jc w:val="center"/>
        <w:rPr>
          <w:rFonts w:ascii="宋体" w:hAnsi="宋体"/>
          <w:b/>
          <w:bCs/>
          <w:sz w:val="24"/>
        </w:rPr>
      </w:pPr>
      <w:r>
        <w:rPr>
          <w:rFonts w:hint="eastAsia" w:ascii="宋体" w:hAnsi="宋体"/>
          <w:b/>
          <w:bCs/>
          <w:sz w:val="24"/>
        </w:rPr>
        <w:t>现场勘察估价人员照片</w:t>
      </w:r>
    </w:p>
    <w:tbl>
      <w:tblPr>
        <w:tblStyle w:val="15"/>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737" w:type="dxa"/>
            <w:tcBorders>
              <w:top w:val="single" w:color="auto" w:sz="4" w:space="0"/>
              <w:left w:val="single" w:color="auto" w:sz="4" w:space="0"/>
              <w:bottom w:val="single" w:color="auto" w:sz="4" w:space="0"/>
              <w:right w:val="single" w:color="auto" w:sz="4" w:space="0"/>
            </w:tcBorders>
            <w:vAlign w:val="center"/>
          </w:tcPr>
          <w:p>
            <w:pPr>
              <w:jc w:val="center"/>
            </w:pPr>
            <w:r>
              <w:pict>
                <v:shape id="_x0000_i1026" o:spt="75" type="#_x0000_t75" style="height:318.7pt;width:425.05pt;" filled="f" o:preferrelative="t" stroked="f" coordsize="21600,21600">
                  <v:path/>
                  <v:fill on="f" focussize="0,0"/>
                  <v:stroke on="f" joinstyle="miter"/>
                  <v:imagedata r:id="rId17" o:title="d98a1a90b71271b8f37de1ccc3f1933"/>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737"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Symbol" w:eastAsia="仿宋_GB2312"/>
                <w:sz w:val="24"/>
              </w:rPr>
            </w:pPr>
            <w:r>
              <w:rPr>
                <w:rFonts w:hint="eastAsia" w:ascii="仿宋_GB2312" w:hAnsi="Symbol" w:eastAsia="仿宋_GB2312"/>
                <w:sz w:val="24"/>
              </w:rPr>
              <w:t>估价师现场照片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737" w:type="dxa"/>
            <w:tcBorders>
              <w:top w:val="single" w:color="auto" w:sz="4" w:space="0"/>
              <w:left w:val="single" w:color="auto" w:sz="4" w:space="0"/>
              <w:bottom w:val="single" w:color="auto" w:sz="4" w:space="0"/>
              <w:right w:val="single" w:color="auto" w:sz="4" w:space="0"/>
            </w:tcBorders>
          </w:tcPr>
          <w:p>
            <w:pPr>
              <w:jc w:val="center"/>
              <w:rPr>
                <w:rFonts w:ascii="仿宋_GB2312" w:hAnsi="Symbol" w:eastAsia="仿宋_GB2312"/>
                <w:sz w:val="24"/>
              </w:rPr>
            </w:pPr>
            <w:r>
              <w:rPr>
                <w:rFonts w:ascii="仿宋_GB2312" w:hAnsi="Symbol" w:eastAsia="仿宋_GB2312"/>
                <w:sz w:val="24"/>
              </w:rPr>
              <w:drawing>
                <wp:inline distT="0" distB="0" distL="0" distR="0">
                  <wp:extent cx="2775585" cy="1796415"/>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775585" cy="17964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737"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Symbol" w:eastAsia="仿宋_GB2312"/>
                <w:sz w:val="24"/>
              </w:rPr>
            </w:pPr>
            <w:r>
              <w:rPr>
                <w:rFonts w:hint="eastAsia" w:ascii="仿宋_GB2312" w:hAnsi="Symbol" w:eastAsia="仿宋_GB2312"/>
                <w:sz w:val="24"/>
              </w:rPr>
              <w:t>估价员现场照片</w:t>
            </w:r>
          </w:p>
        </w:tc>
      </w:tr>
    </w:tbl>
    <w:p>
      <w:pPr>
        <w:widowControl/>
        <w:jc w:val="left"/>
        <w:rPr>
          <w:rFonts w:ascii="宋体" w:hAnsi="宋体"/>
          <w:b/>
          <w:bCs/>
          <w:sz w:val="24"/>
        </w:rPr>
      </w:pPr>
    </w:p>
    <w:p>
      <w:pPr>
        <w:widowControl/>
        <w:jc w:val="left"/>
        <w:rPr>
          <w:rFonts w:hint="eastAsia" w:ascii="宋体" w:hAnsi="宋体"/>
          <w:b/>
          <w:bCs/>
          <w:sz w:val="24"/>
        </w:rPr>
      </w:pPr>
    </w:p>
    <w:p>
      <w:pPr>
        <w:widowControl/>
        <w:jc w:val="left"/>
        <w:rPr>
          <w:rFonts w:ascii="宋体" w:hAnsi="宋体"/>
          <w:b/>
          <w:bCs/>
          <w:sz w:val="24"/>
        </w:rPr>
      </w:pPr>
      <w:r>
        <w:rPr>
          <w:rFonts w:ascii="宋体" w:hAnsi="宋体"/>
          <w:b/>
          <w:bCs/>
          <w:sz w:val="24"/>
        </w:rPr>
        <w:br w:type="page"/>
      </w:r>
    </w:p>
    <w:p>
      <w:pPr>
        <w:widowControl/>
        <w:jc w:val="center"/>
        <w:rPr>
          <w:rFonts w:ascii="宋体" w:hAnsi="宋体"/>
          <w:b/>
          <w:bCs/>
          <w:sz w:val="24"/>
        </w:rPr>
      </w:pPr>
      <w:r>
        <w:rPr>
          <w:rFonts w:hint="eastAsia" w:ascii="宋体" w:hAnsi="宋体"/>
          <w:b/>
          <w:bCs/>
          <w:sz w:val="24"/>
        </w:rPr>
        <w:t>估价对象内部状况、外部状况及周围环境照片</w:t>
      </w:r>
    </w:p>
    <w:p>
      <w:pPr>
        <w:spacing w:line="480" w:lineRule="exact"/>
        <w:jc w:val="center"/>
        <w:rPr>
          <w:rFonts w:ascii="宋体" w:hAnsi="宋体" w:cs="宋体"/>
          <w:b/>
          <w:sz w:val="36"/>
          <w:szCs w:val="36"/>
        </w:rPr>
      </w:pPr>
      <w:bookmarkStart w:id="123" w:name="PO_PIC"/>
      <w:bookmarkEnd w:id="123"/>
    </w:p>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pict>
                <v:shape id="_x0000_i1027" o:spt="75" type="#_x0000_t75" style="height:99.75pt;width:99.75pt;" filled="f" o:preferrelative="t" stroked="f" coordsize="21600,21600">
                  <v:path/>
                  <v:fill on="f" focussize="0,0"/>
                  <v:stroke on="f" joinstyle="miter"/>
                  <v:imagedata r:id="rId19" o:title=""/>
                  <o:lock v:ext="edit" aspectratio="t"/>
                  <w10:wrap type="none"/>
                  <w10:anchorlock/>
                </v:shape>
              </w:pict>
            </w:r>
          </w:p>
        </w:tc>
        <w:tc>
          <w:tcPr>
            <w:tcW w:w="2840" w:type="dxa"/>
          </w:tcPr>
          <w:p>
            <w:pPr>
              <w:jc w:val="center"/>
            </w:pPr>
            <w:r>
              <w:pict>
                <v:shape id="_x0000_i1028" o:spt="75" type="#_x0000_t75" style="height:99.75pt;width:99.75pt;" filled="f" o:preferrelative="t" stroked="f" coordsize="21600,21600">
                  <v:path/>
                  <v:fill on="f" focussize="0,0"/>
                  <v:stroke on="f" joinstyle="miter"/>
                  <v:imagedata r:id="rId20" o:title=""/>
                  <o:lock v:ext="edit" aspectratio="t"/>
                  <w10:wrap type="none"/>
                  <w10:anchorlock/>
                </v:shape>
              </w:pict>
            </w:r>
          </w:p>
        </w:tc>
        <w:tc>
          <w:tcPr>
            <w:tcW w:w="2840" w:type="dxa"/>
          </w:tcPr>
          <w:p>
            <w:pPr>
              <w:jc w:val="center"/>
            </w:pPr>
            <w:r>
              <w:pict>
                <v:shape id="_x0000_i1029" o:spt="75" type="#_x0000_t75" style="height:99.75pt;width:99.75pt;" filled="f" o:preferrelative="t" stroked="f" coordsize="21600,21600">
                  <v:path/>
                  <v:fill on="f" focussize="0,0"/>
                  <v:stroke on="f" joinstyle="miter"/>
                  <v:imagedata r:id="rId21"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t>小区入口</w:t>
            </w:r>
          </w:p>
        </w:tc>
        <w:tc>
          <w:tcPr>
            <w:tcW w:w="2840" w:type="dxa"/>
          </w:tcPr>
          <w:p>
            <w:pPr>
              <w:jc w:val="center"/>
            </w:pPr>
            <w:r>
              <w:t>楼幢外观</w:t>
            </w:r>
          </w:p>
        </w:tc>
        <w:tc>
          <w:tcPr>
            <w:tcW w:w="2840" w:type="dxa"/>
          </w:tcPr>
          <w:p>
            <w:pPr>
              <w:jc w:val="center"/>
            </w:pPr>
            <w:r>
              <w:t>楼栋号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pict>
                <v:shape id="_x0000_i1030" o:spt="75" type="#_x0000_t75" style="height:99.75pt;width:99.75pt;" filled="f" o:preferrelative="t" stroked="f" coordsize="21600,21600">
                  <v:path/>
                  <v:fill on="f" focussize="0,0"/>
                  <v:stroke on="f" joinstyle="miter"/>
                  <v:imagedata r:id="rId22" o:title=""/>
                  <o:lock v:ext="edit" aspectratio="t"/>
                  <w10:wrap type="none"/>
                  <w10:anchorlock/>
                </v:shape>
              </w:pict>
            </w:r>
          </w:p>
        </w:tc>
        <w:tc>
          <w:tcPr>
            <w:tcW w:w="2840" w:type="dxa"/>
          </w:tcPr>
          <w:p>
            <w:pPr>
              <w:jc w:val="center"/>
            </w:pPr>
            <w:r>
              <w:pict>
                <v:shape id="_x0000_i1031" o:spt="75" type="#_x0000_t75" style="height:99.75pt;width:99.75pt;" filled="f" o:preferrelative="t" stroked="f" coordsize="21600,21600">
                  <v:path/>
                  <v:fill on="f" focussize="0,0"/>
                  <v:stroke on="f" joinstyle="miter"/>
                  <v:imagedata r:id="rId23" o:title=""/>
                  <o:lock v:ext="edit" aspectratio="t"/>
                  <w10:wrap type="none"/>
                  <w10:anchorlock/>
                </v:shape>
              </w:pict>
            </w:r>
          </w:p>
        </w:tc>
        <w:tc>
          <w:tcPr>
            <w:tcW w:w="2840" w:type="dxa"/>
          </w:tcPr>
          <w:p>
            <w:pPr>
              <w:jc w:val="center"/>
            </w:pPr>
            <w:r>
              <w:pict>
                <v:shape id="_x0000_i1032" o:spt="75" type="#_x0000_t75" style="height:99.75pt;width:99.75pt;" filled="f" o:preferrelative="t" stroked="f" coordsize="21600,21600">
                  <v:path/>
                  <v:fill on="f" focussize="0,0"/>
                  <v:stroke on="f" joinstyle="miter"/>
                  <v:imagedata r:id="rId24"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rPr>
                <w:rFonts w:hint="eastAsia"/>
              </w:rPr>
              <w:t>储藏间</w:t>
            </w:r>
          </w:p>
        </w:tc>
        <w:tc>
          <w:tcPr>
            <w:tcW w:w="2840" w:type="dxa"/>
          </w:tcPr>
          <w:p>
            <w:pPr>
              <w:jc w:val="center"/>
            </w:pPr>
            <w:r>
              <w:rPr>
                <w:rFonts w:hint="eastAsia"/>
              </w:rPr>
              <w:t>储藏间</w:t>
            </w:r>
          </w:p>
        </w:tc>
        <w:tc>
          <w:tcPr>
            <w:tcW w:w="2840" w:type="dxa"/>
          </w:tcPr>
          <w:p>
            <w:pPr>
              <w:jc w:val="center"/>
            </w:pPr>
            <w:r>
              <w:rPr>
                <w:rFonts w:hint="eastAsia"/>
              </w:rPr>
              <w:t>储藏间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pict>
                <v:shape id="_x0000_i1033" o:spt="75" type="#_x0000_t75" style="height:99.75pt;width:99.75pt;" filled="f" o:preferrelative="t" stroked="f" coordsize="21600,21600">
                  <v:path/>
                  <v:fill on="f" focussize="0,0"/>
                  <v:stroke on="f" joinstyle="miter"/>
                  <v:imagedata r:id="rId25" o:title=""/>
                  <o:lock v:ext="edit" aspectratio="t"/>
                  <w10:wrap type="none"/>
                  <w10:anchorlock/>
                </v:shape>
              </w:pict>
            </w:r>
          </w:p>
        </w:tc>
        <w:tc>
          <w:tcPr>
            <w:tcW w:w="2840" w:type="dxa"/>
          </w:tcPr>
          <w:p>
            <w:pPr>
              <w:jc w:val="center"/>
            </w:pPr>
            <w:r>
              <w:pict>
                <v:shape id="_x0000_i1034" o:spt="75" type="#_x0000_t75" style="height:99.75pt;width:99.75pt;" filled="f" o:preferrelative="t" stroked="f" coordsize="21600,21600">
                  <v:path/>
                  <v:fill on="f" focussize="0,0"/>
                  <v:stroke on="f" joinstyle="miter"/>
                  <v:imagedata r:id="rId26" o:title=""/>
                  <o:lock v:ext="edit" aspectratio="t"/>
                  <w10:wrap type="none"/>
                  <w10:anchorlock/>
                </v:shape>
              </w:pict>
            </w:r>
          </w:p>
        </w:tc>
        <w:tc>
          <w:tcPr>
            <w:tcW w:w="2840" w:type="dxa"/>
          </w:tcPr>
          <w:p>
            <w:pPr>
              <w:jc w:val="center"/>
            </w:pPr>
            <w:r>
              <w:pict>
                <v:shape id="_x0000_i1035" o:spt="75" type="#_x0000_t75" style="height:99.75pt;width:99.75pt;" filled="f" o:preferrelative="t" stroked="f" coordsize="21600,21600">
                  <v:path/>
                  <v:fill on="f" focussize="0,0"/>
                  <v:stroke on="f" joinstyle="miter"/>
                  <v:imagedata r:id="rId27"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rPr>
                <w:rFonts w:hint="eastAsia"/>
              </w:rPr>
              <w:t>储藏间</w:t>
            </w:r>
          </w:p>
        </w:tc>
        <w:tc>
          <w:tcPr>
            <w:tcW w:w="2840" w:type="dxa"/>
          </w:tcPr>
          <w:p>
            <w:pPr>
              <w:jc w:val="center"/>
            </w:pPr>
            <w:r>
              <w:rPr>
                <w:rFonts w:hint="eastAsia"/>
              </w:rPr>
              <w:t>环境状况</w:t>
            </w:r>
          </w:p>
        </w:tc>
        <w:tc>
          <w:tcPr>
            <w:tcW w:w="2840" w:type="dxa"/>
          </w:tcPr>
          <w:p>
            <w:pPr>
              <w:jc w:val="center"/>
            </w:pPr>
            <w:r>
              <w:rPr>
                <w:rFonts w:hint="eastAsia"/>
              </w:rPr>
              <w:t>环境状况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pict>
                <v:shape id="_x0000_i1036" o:spt="75" type="#_x0000_t75" style="height:99.75pt;width:99.75pt;" filled="f" o:preferrelative="t" stroked="f" coordsize="21600,21600">
                  <v:path/>
                  <v:fill on="f" focussize="0,0"/>
                  <v:stroke on="f" joinstyle="miter"/>
                  <v:imagedata r:id="rId28" o:title=""/>
                  <o:lock v:ext="edit" aspectratio="t"/>
                  <w10:wrap type="none"/>
                  <w10:anchorlock/>
                </v:shape>
              </w:pict>
            </w:r>
          </w:p>
        </w:tc>
        <w:tc>
          <w:tcPr>
            <w:tcW w:w="2840" w:type="dxa"/>
          </w:tcPr>
          <w:p/>
        </w:tc>
        <w:tc>
          <w:tcPr>
            <w:tcW w:w="28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rPr>
                <w:rFonts w:hint="eastAsia"/>
              </w:rPr>
              <w:t>环境状况</w:t>
            </w:r>
          </w:p>
        </w:tc>
        <w:tc>
          <w:tcPr>
            <w:tcW w:w="2840" w:type="dxa"/>
          </w:tcPr>
          <w:p/>
        </w:tc>
        <w:tc>
          <w:tcPr>
            <w:tcW w:w="2840" w:type="dxa"/>
          </w:tcPr>
          <w:p/>
        </w:tc>
      </w:tr>
    </w:tbl>
    <w:p/>
    <w:sectPr>
      <w:headerReference r:id="rId10" w:type="default"/>
      <w:footerReference r:id="rId11" w:type="default"/>
      <w:pgSz w:w="11906" w:h="16838"/>
      <w:pgMar w:top="1440" w:right="1588"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楷体_GB2312">
    <w:panose1 w:val="02010609030101010101"/>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7785" cy="131445"/>
              <wp:effectExtent l="0" t="0" r="18415" b="1905"/>
              <wp:wrapNone/>
              <wp:docPr id="23111" name="_x0000_s322554"/>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pStyle w:val="10"/>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anchor="t">
                      <a:spAutoFit/>
                    </wps:bodyPr>
                  </wps:wsp>
                </a:graphicData>
              </a:graphic>
            </wp:anchor>
          </w:drawing>
        </mc:Choice>
        <mc:Fallback>
          <w:pict>
            <v:rect id="_x0000_s322554" o:spid="_x0000_s1026" o:spt="1" style="position:absolute;left:0pt;margin-top:0pt;height:10.35pt;width:4.55pt;mso-position-horizontal:right;mso-position-horizontal-relative:margin;mso-wrap-style:none;z-index:251661312;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DJqypE8gEAAPYDAAAOAAAAZHJzL2Uyb0RvYy54bWytU01v2zAMvQ/Y&#10;fxB0XxznYy2MOEWxIMOAYg3Q7VwoshwLkERBVGJnv36U7aRbt0MPzUGhSPqR75Fa3XXWsJMKqMGV&#10;PJ9MOVNOQqXdoeQ/f2w/3XKGUbhKGHCq5GeF/G798cOq9YWaQQOmUoERiMOi9SVvYvRFlqFslBU4&#10;Aa8cBWsIVkS6hkNWBdESujXZbDr9nLUQKh9AKkTyboYgHxHDWwChrrVUG5BHq1wcUIMyIhIlbLRH&#10;vu67rWsl42Ndo4rMlJyYxv6kImTv05mtV6I4BOEbLccWxFtaeMXJCu2o6BVqI6Jgx6D/gbJaBkCo&#10;40SCzQYivSLEIp++0uapEV71XEhq9FfR8f1g5ffTLjBdlXw2z/OcMycsDf25m9LvGeez2XK5SCq1&#10;HgtKfvK7MN6QzES5q4NN/0SGdb2y56uyqotMknN5c3O75ExSJJ/ni8UyQWYv3/qA8asCy5JR8kBz&#10;6+UUpweMQ+olJZVysNXGkF8Uxv3lIMzkyVK7Q4PJit2+G7veQ3UmxgGGVUAvt5pqPgiMOxFo9rQZ&#10;9DriIx21gbbkMFqcNRB+/c+f8mkkFOWspV0quaOnw5n55mhUae0uRrgY+4vhjvYL0HKS9MJJwij5&#10;QB39/TESz55+IjF0PnKjdegFHFc37duf9z7r5bm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Fj9W0QAAAAIBAAAPAAAAAAAAAAEAIAAAACIAAABkcnMvZG93bnJldi54bWxQSwECFAAUAAAACACH&#10;TuJAyasqRPIBAAD2AwAADgAAAAAAAAABACAAAAAgAQAAZHJzL2Uyb0RvYy54bWxQSwUGAAAAAAYA&#10;BgBZAQAAhA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14</w:t>
                    </w:r>
                    <w:r>
                      <w:fldChar w:fldCharType="end"/>
                    </w:r>
                  </w:p>
                </w:txbxContent>
              </v:textbox>
            </v:rect>
          </w:pict>
        </mc:Fallback>
      </mc:AlternateContent>
    </w:r>
    <w:r>
      <w:rPr>
        <w:rFonts w:hint="eastAsia"/>
      </w:rPr>
      <w:t>国家一级房地产估价资质、国家A级土地估价资质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both"/>
    </w:pPr>
    <w:r>
      <w:rPr>
        <w:rFonts w:hint="eastAsia"/>
      </w:rPr>
      <w:t xml:space="preserve">厦门均达房地产资产评估咨询有限公司                                   </w:t>
    </w:r>
    <w:r>
      <w:rPr>
        <w:rFonts w:hint="eastAsia" w:ascii="宋体" w:hAnsi="宋体"/>
      </w:rPr>
      <w:t xml:space="preserve"> </w:t>
    </w:r>
    <w:r>
      <w:rPr>
        <w:rFonts w:hint="eastAsia" w:ascii="宋体" w:hAnsi="宋体" w:cs="宋体"/>
        <w:color w:val="000000"/>
        <w:kern w:val="0"/>
      </w:rPr>
      <w:t>厦均达房估QZ[2022]0257号</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0OTgxZWZkOWNjMWZlMTJlN2NmODUxNTVlY2ExYzQifQ=="/>
  </w:docVars>
  <w:rsids>
    <w:rsidRoot w:val="00C0104F"/>
    <w:rsid w:val="000C0CC9"/>
    <w:rsid w:val="001A0875"/>
    <w:rsid w:val="001A5793"/>
    <w:rsid w:val="002B1241"/>
    <w:rsid w:val="002B1287"/>
    <w:rsid w:val="00303B83"/>
    <w:rsid w:val="003104BF"/>
    <w:rsid w:val="00344EB8"/>
    <w:rsid w:val="00397BE6"/>
    <w:rsid w:val="003B3EA3"/>
    <w:rsid w:val="0045582E"/>
    <w:rsid w:val="004F2E66"/>
    <w:rsid w:val="005A6D69"/>
    <w:rsid w:val="00607AB7"/>
    <w:rsid w:val="007851B6"/>
    <w:rsid w:val="00852929"/>
    <w:rsid w:val="00867FFD"/>
    <w:rsid w:val="00A26632"/>
    <w:rsid w:val="00A4175B"/>
    <w:rsid w:val="00A92463"/>
    <w:rsid w:val="00C0104F"/>
    <w:rsid w:val="00D54421"/>
    <w:rsid w:val="00DC51FF"/>
    <w:rsid w:val="00F14903"/>
    <w:rsid w:val="01323CE1"/>
    <w:rsid w:val="014E4C55"/>
    <w:rsid w:val="017442FA"/>
    <w:rsid w:val="01CC5E86"/>
    <w:rsid w:val="02C44E0D"/>
    <w:rsid w:val="02ED4364"/>
    <w:rsid w:val="037C7496"/>
    <w:rsid w:val="047724C4"/>
    <w:rsid w:val="048C3708"/>
    <w:rsid w:val="072D11D3"/>
    <w:rsid w:val="08F0278F"/>
    <w:rsid w:val="095A2027"/>
    <w:rsid w:val="09C87B43"/>
    <w:rsid w:val="09E72462"/>
    <w:rsid w:val="0A382368"/>
    <w:rsid w:val="0A8655C4"/>
    <w:rsid w:val="0B8D0492"/>
    <w:rsid w:val="0D9773A6"/>
    <w:rsid w:val="0E924015"/>
    <w:rsid w:val="10EA1EE2"/>
    <w:rsid w:val="11854B30"/>
    <w:rsid w:val="13806B2E"/>
    <w:rsid w:val="143F2545"/>
    <w:rsid w:val="14E629C1"/>
    <w:rsid w:val="15B34F99"/>
    <w:rsid w:val="17AA4179"/>
    <w:rsid w:val="17E86A50"/>
    <w:rsid w:val="18A4506D"/>
    <w:rsid w:val="19153875"/>
    <w:rsid w:val="19F97867"/>
    <w:rsid w:val="1BB43819"/>
    <w:rsid w:val="1BDB0DA5"/>
    <w:rsid w:val="1C0C5403"/>
    <w:rsid w:val="1C931680"/>
    <w:rsid w:val="1E1B127A"/>
    <w:rsid w:val="1EEC32CA"/>
    <w:rsid w:val="2020147D"/>
    <w:rsid w:val="20ED4B17"/>
    <w:rsid w:val="21154D5A"/>
    <w:rsid w:val="21244F9D"/>
    <w:rsid w:val="249F5138"/>
    <w:rsid w:val="2504136D"/>
    <w:rsid w:val="269229A8"/>
    <w:rsid w:val="28341F69"/>
    <w:rsid w:val="284E7741"/>
    <w:rsid w:val="29DD03DE"/>
    <w:rsid w:val="2A97058D"/>
    <w:rsid w:val="2B083239"/>
    <w:rsid w:val="2B944ACD"/>
    <w:rsid w:val="2BFD0098"/>
    <w:rsid w:val="2C1D0F66"/>
    <w:rsid w:val="2CFC0B7C"/>
    <w:rsid w:val="2D1A278F"/>
    <w:rsid w:val="2F4D1B62"/>
    <w:rsid w:val="2FBB4D1E"/>
    <w:rsid w:val="305807BF"/>
    <w:rsid w:val="310B0A50"/>
    <w:rsid w:val="32F56799"/>
    <w:rsid w:val="333077D1"/>
    <w:rsid w:val="33737FF5"/>
    <w:rsid w:val="33EE0AF4"/>
    <w:rsid w:val="33EE26DA"/>
    <w:rsid w:val="34607C42"/>
    <w:rsid w:val="35016E00"/>
    <w:rsid w:val="363D46DF"/>
    <w:rsid w:val="36E20658"/>
    <w:rsid w:val="372633C5"/>
    <w:rsid w:val="376B0DD8"/>
    <w:rsid w:val="37EA43F2"/>
    <w:rsid w:val="38C509BB"/>
    <w:rsid w:val="393C4437"/>
    <w:rsid w:val="39712437"/>
    <w:rsid w:val="3C860462"/>
    <w:rsid w:val="3D05582A"/>
    <w:rsid w:val="3D2F28A7"/>
    <w:rsid w:val="3DBA4B98"/>
    <w:rsid w:val="3E1C107E"/>
    <w:rsid w:val="3EC314F9"/>
    <w:rsid w:val="3FFC1167"/>
    <w:rsid w:val="406960D0"/>
    <w:rsid w:val="407451A1"/>
    <w:rsid w:val="421B164C"/>
    <w:rsid w:val="45A24BB4"/>
    <w:rsid w:val="45CB5764"/>
    <w:rsid w:val="4613720A"/>
    <w:rsid w:val="463B050F"/>
    <w:rsid w:val="47820485"/>
    <w:rsid w:val="479E0D55"/>
    <w:rsid w:val="483C20F7"/>
    <w:rsid w:val="49433281"/>
    <w:rsid w:val="49E35145"/>
    <w:rsid w:val="4BA6467C"/>
    <w:rsid w:val="4C1C335B"/>
    <w:rsid w:val="4E6B74B7"/>
    <w:rsid w:val="4E824F2D"/>
    <w:rsid w:val="5068184E"/>
    <w:rsid w:val="51334C56"/>
    <w:rsid w:val="519531C9"/>
    <w:rsid w:val="52AD4542"/>
    <w:rsid w:val="53903525"/>
    <w:rsid w:val="53A21BCD"/>
    <w:rsid w:val="543D36A4"/>
    <w:rsid w:val="54F75F49"/>
    <w:rsid w:val="553E76D4"/>
    <w:rsid w:val="5613290E"/>
    <w:rsid w:val="56E6620F"/>
    <w:rsid w:val="583D3C73"/>
    <w:rsid w:val="592F391B"/>
    <w:rsid w:val="59386C2E"/>
    <w:rsid w:val="5A820063"/>
    <w:rsid w:val="5ABD553F"/>
    <w:rsid w:val="5F043A47"/>
    <w:rsid w:val="5F5E109E"/>
    <w:rsid w:val="5FA2751F"/>
    <w:rsid w:val="5FA32F55"/>
    <w:rsid w:val="5FF732A1"/>
    <w:rsid w:val="60C807A2"/>
    <w:rsid w:val="60EC26DA"/>
    <w:rsid w:val="62DB2A06"/>
    <w:rsid w:val="63CF256B"/>
    <w:rsid w:val="66A001EE"/>
    <w:rsid w:val="68792AA5"/>
    <w:rsid w:val="693D7F76"/>
    <w:rsid w:val="6A107439"/>
    <w:rsid w:val="6A274783"/>
    <w:rsid w:val="6A8318B6"/>
    <w:rsid w:val="6AC16985"/>
    <w:rsid w:val="6B7457A6"/>
    <w:rsid w:val="6BE24E05"/>
    <w:rsid w:val="6C037739"/>
    <w:rsid w:val="6C6677E4"/>
    <w:rsid w:val="6C944351"/>
    <w:rsid w:val="6CC80291"/>
    <w:rsid w:val="6EDF387E"/>
    <w:rsid w:val="6EF235B1"/>
    <w:rsid w:val="71626B34"/>
    <w:rsid w:val="73577E87"/>
    <w:rsid w:val="75023E22"/>
    <w:rsid w:val="759F5B15"/>
    <w:rsid w:val="76FB321F"/>
    <w:rsid w:val="771E2A6F"/>
    <w:rsid w:val="77903967"/>
    <w:rsid w:val="79B31B8F"/>
    <w:rsid w:val="7B822215"/>
    <w:rsid w:val="7C013085"/>
    <w:rsid w:val="7C106DC3"/>
    <w:rsid w:val="7D2C5EE0"/>
    <w:rsid w:val="7D676F18"/>
    <w:rsid w:val="7E32133D"/>
    <w:rsid w:val="7EF4161F"/>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uiPriority="0" w:name="toa heading"/>
    <w:lsdException w:uiPriority="0" w:semiHidden="0" w:name="List"/>
    <w:lsdException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99"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99"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spacing w:afterLines="50" w:line="360" w:lineRule="auto"/>
      <w:outlineLvl w:val="0"/>
    </w:pPr>
    <w:rPr>
      <w:b/>
      <w:bCs/>
      <w:kern w:val="44"/>
      <w:sz w:val="44"/>
      <w:szCs w:val="44"/>
    </w:rPr>
  </w:style>
  <w:style w:type="paragraph" w:styleId="3">
    <w:name w:val="heading 2"/>
    <w:basedOn w:val="1"/>
    <w:next w:val="1"/>
    <w:link w:val="26"/>
    <w:qFormat/>
    <w:uiPriority w:val="0"/>
    <w:pPr>
      <w:keepNext/>
      <w:keepLines/>
      <w:adjustRightInd w:val="0"/>
      <w:spacing w:before="260" w:after="260" w:line="416" w:lineRule="atLeast"/>
      <w:textAlignment w:val="baseline"/>
      <w:outlineLvl w:val="1"/>
    </w:pPr>
    <w:rPr>
      <w:rFonts w:ascii="Arial" w:hAnsi="Arial" w:eastAsia="黑体"/>
      <w:b/>
      <w:bCs/>
      <w:kern w:val="0"/>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style>
  <w:style w:type="paragraph" w:styleId="6">
    <w:name w:val="Body Text Indent"/>
    <w:basedOn w:val="1"/>
    <w:qFormat/>
    <w:uiPriority w:val="0"/>
    <w:pPr>
      <w:snapToGrid w:val="0"/>
      <w:spacing w:line="500" w:lineRule="atLeast"/>
      <w:ind w:firstLine="570"/>
    </w:pPr>
    <w:rPr>
      <w:sz w:val="28"/>
      <w:szCs w:val="20"/>
    </w:rPr>
  </w:style>
  <w:style w:type="paragraph" w:styleId="7">
    <w:name w:val="Plain Text"/>
    <w:basedOn w:val="1"/>
    <w:qFormat/>
    <w:uiPriority w:val="0"/>
    <w:rPr>
      <w:rFonts w:ascii="宋体" w:hAnsi="Courier New"/>
      <w:szCs w:val="20"/>
    </w:r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rPr>
      <w:b/>
      <w:sz w:val="24"/>
    </w:rPr>
  </w:style>
  <w:style w:type="paragraph" w:styleId="13">
    <w:name w:val="toc 2"/>
    <w:basedOn w:val="1"/>
    <w:next w:val="1"/>
    <w:qFormat/>
    <w:uiPriority w:val="39"/>
    <w:pPr>
      <w:ind w:left="630" w:leftChars="100" w:right="100" w:rightChars="100"/>
      <w:jc w:val="left"/>
    </w:pPr>
    <w:rPr>
      <w:sz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semiHidden/>
    <w:qFormat/>
    <w:uiPriority w:val="0"/>
    <w:rPr>
      <w:sz w:val="21"/>
      <w:szCs w:val="21"/>
    </w:rPr>
  </w:style>
  <w:style w:type="character" w:customStyle="1" w:styleId="21">
    <w:name w:val="CharAttribute1"/>
    <w:qFormat/>
    <w:uiPriority w:val="0"/>
    <w:rPr>
      <w:rFonts w:ascii="Times New Roman" w:eastAsia="Times New Roman"/>
    </w:rPr>
  </w:style>
  <w:style w:type="character" w:customStyle="1" w:styleId="22">
    <w:name w:val="font41"/>
    <w:qFormat/>
    <w:uiPriority w:val="0"/>
    <w:rPr>
      <w:rFonts w:hint="eastAsia" w:ascii="宋体" w:hAnsi="宋体" w:eastAsia="宋体" w:cs="宋体"/>
      <w:b/>
      <w:color w:val="000000"/>
      <w:sz w:val="21"/>
      <w:szCs w:val="21"/>
      <w:u w:val="single"/>
    </w:rPr>
  </w:style>
  <w:style w:type="character" w:customStyle="1" w:styleId="23">
    <w:name w:val="纯文本 Char1"/>
    <w:qFormat/>
    <w:uiPriority w:val="0"/>
    <w:rPr>
      <w:rFonts w:ascii="宋体" w:hAnsi="Courier New" w:eastAsia="宋体"/>
      <w:kern w:val="2"/>
      <w:sz w:val="21"/>
      <w:lang w:val="en-US" w:eastAsia="zh-CN" w:bidi="ar-SA"/>
    </w:rPr>
  </w:style>
  <w:style w:type="character" w:customStyle="1" w:styleId="24">
    <w:name w:val="hei141"/>
    <w:qFormat/>
    <w:uiPriority w:val="0"/>
    <w:rPr>
      <w:color w:val="000000"/>
      <w:sz w:val="21"/>
      <w:szCs w:val="21"/>
    </w:rPr>
  </w:style>
  <w:style w:type="character" w:customStyle="1" w:styleId="25">
    <w:name w:val="普通文字 Char2"/>
    <w:qFormat/>
    <w:locked/>
    <w:uiPriority w:val="0"/>
    <w:rPr>
      <w:rFonts w:ascii="宋体" w:hAnsi="Courier New" w:eastAsia="宋体"/>
      <w:kern w:val="2"/>
      <w:sz w:val="21"/>
      <w:lang w:val="en-US" w:eastAsia="zh-CN" w:bidi="ar-SA"/>
    </w:rPr>
  </w:style>
  <w:style w:type="character" w:customStyle="1" w:styleId="26">
    <w:name w:val="标题 2 字符"/>
    <w:link w:val="3"/>
    <w:qFormat/>
    <w:uiPriority w:val="0"/>
    <w:rPr>
      <w:rFonts w:ascii="Arial" w:hAnsi="Arial" w:eastAsia="黑体"/>
      <w:b/>
      <w:bCs/>
      <w:sz w:val="32"/>
      <w:szCs w:val="32"/>
    </w:rPr>
  </w:style>
  <w:style w:type="character" w:customStyle="1" w:styleId="27">
    <w:name w:val="纯文本 Char"/>
    <w:qFormat/>
    <w:locked/>
    <w:uiPriority w:val="0"/>
    <w:rPr>
      <w:rFonts w:ascii="宋体" w:hAnsi="Courier New" w:eastAsia="宋体" w:cs="Courier New"/>
      <w:kern w:val="2"/>
      <w:sz w:val="21"/>
      <w:szCs w:val="21"/>
      <w:lang w:val="en-US" w:eastAsia="zh-CN" w:bidi="ar-SA"/>
    </w:rPr>
  </w:style>
  <w:style w:type="character" w:customStyle="1" w:styleId="28">
    <w:name w:val="标题 1 字符"/>
    <w:link w:val="2"/>
    <w:qFormat/>
    <w:uiPriority w:val="0"/>
    <w:rPr>
      <w:rFonts w:eastAsia="宋体"/>
      <w:b/>
      <w:bCs/>
      <w:kern w:val="44"/>
      <w:sz w:val="44"/>
      <w:szCs w:val="44"/>
      <w:lang w:val="en-US" w:eastAsia="zh-CN" w:bidi="ar-SA"/>
    </w:rPr>
  </w:style>
  <w:style w:type="character" w:customStyle="1" w:styleId="29">
    <w:name w:val="font21"/>
    <w:qFormat/>
    <w:uiPriority w:val="0"/>
    <w:rPr>
      <w:rFonts w:hint="eastAsia" w:ascii="宋体" w:hAnsi="宋体" w:eastAsia="宋体" w:cs="宋体"/>
      <w:color w:val="000000"/>
      <w:sz w:val="21"/>
      <w:szCs w:val="21"/>
    </w:rPr>
  </w:style>
  <w:style w:type="character" w:customStyle="1" w:styleId="30">
    <w:name w:val="font31"/>
    <w:qFormat/>
    <w:uiPriority w:val="0"/>
    <w:rPr>
      <w:rFonts w:hint="eastAsia" w:ascii="宋体" w:hAnsi="宋体" w:eastAsia="宋体" w:cs="宋体"/>
      <w:b/>
      <w:color w:val="000000"/>
      <w:sz w:val="21"/>
      <w:szCs w:val="21"/>
    </w:rPr>
  </w:style>
  <w:style w:type="paragraph" w:customStyle="1" w:styleId="31">
    <w:name w:val="Char"/>
    <w:basedOn w:val="1"/>
    <w:qFormat/>
    <w:uiPriority w:val="0"/>
    <w:rPr>
      <w:rFonts w:ascii="Tahoma" w:hAnsi="Tahoma"/>
      <w:sz w:val="24"/>
      <w:szCs w:val="20"/>
    </w:rPr>
  </w:style>
  <w:style w:type="paragraph" w:customStyle="1" w:styleId="32">
    <w:name w:val="ParaAttribute0"/>
    <w:qFormat/>
    <w:uiPriority w:val="0"/>
    <w:pPr>
      <w:widowControl w:val="0"/>
    </w:pPr>
    <w:rPr>
      <w:rFonts w:ascii="Times New Roman" w:hAnsi="Times New Roman" w:eastAsia="宋体" w:cs="Times New Roman"/>
      <w:lang w:val="en-US" w:eastAsia="zh-CN" w:bidi="ar-SA"/>
    </w:rPr>
  </w:style>
  <w:style w:type="paragraph" w:customStyle="1" w:styleId="33">
    <w:name w:val="a4"/>
    <w:basedOn w:val="7"/>
    <w:qFormat/>
    <w:uiPriority w:val="0"/>
    <w:pPr>
      <w:spacing w:line="460" w:lineRule="exact"/>
      <w:ind w:firstLine="480" w:firstLineChars="200"/>
    </w:pPr>
    <w:rPr>
      <w:rFonts w:ascii="Arial Narrow" w:hAnsi="Arial Narrow" w:eastAsia="楷体_GB2312"/>
      <w:sz w:val="24"/>
      <w:szCs w:val="24"/>
    </w:rPr>
  </w:style>
  <w:style w:type="paragraph" w:customStyle="1" w:styleId="34">
    <w:name w:val="Char Char Char1 Char Char Char Char"/>
    <w:basedOn w:val="1"/>
    <w:qFormat/>
    <w:uiPriority w:val="0"/>
    <w:rPr>
      <w:rFonts w:ascii="Tahoma" w:hAnsi="Tahoma"/>
      <w:sz w:val="24"/>
      <w:szCs w:val="20"/>
    </w:rPr>
  </w:style>
  <w:style w:type="paragraph" w:customStyle="1" w:styleId="35">
    <w:name w:val="Normal_bce9e62f-9071-4029-905c-3c337f8017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1"/>
    <w:basedOn w:val="1"/>
    <w:qFormat/>
    <w:uiPriority w:val="0"/>
    <w:rPr>
      <w:rFonts w:ascii="宋体" w:hAnsi="宋体" w:cs="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8.xml"/><Relationship Id="rId35" Type="http://schemas.openxmlformats.org/officeDocument/2006/relationships/customXml" Target="../customXml/item7.xml"/><Relationship Id="rId34" Type="http://schemas.openxmlformats.org/officeDocument/2006/relationships/customXml" Target="../customXml/item6.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6.jpeg"/><Relationship Id="rId27" Type="http://schemas.openxmlformats.org/officeDocument/2006/relationships/image" Target="media/image15.jpeg"/><Relationship Id="rId26" Type="http://schemas.openxmlformats.org/officeDocument/2006/relationships/image" Target="media/image14.jpeg"/><Relationship Id="rId25" Type="http://schemas.openxmlformats.org/officeDocument/2006/relationships/image" Target="media/image13.jpeg"/><Relationship Id="rId24" Type="http://schemas.openxmlformats.org/officeDocument/2006/relationships/image" Target="media/image12.jpeg"/><Relationship Id="rId23" Type="http://schemas.openxmlformats.org/officeDocument/2006/relationships/image" Target="media/image11.jpeg"/><Relationship Id="rId22" Type="http://schemas.openxmlformats.org/officeDocument/2006/relationships/image" Target="media/image10.jpeg"/><Relationship Id="rId21" Type="http://schemas.openxmlformats.org/officeDocument/2006/relationships/image" Target="media/image9.jpeg"/><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2052-11.1.0.11194</vt:lpstr>
  </property>
  <property fmtid="{D5CDD505-2E9C-101B-9397-08002B2CF9AE}" pid="3" name="ICV">
    <vt:lpstr>3A3CE116C0BE49BA9EFDBC85D1EFCC02</vt:lpstr>
  </property>
</Properties>
</file>

<file path=customXml/item4.xml><?xml version="1.0" encoding="utf-8"?>
<Properties xmlns:vt="http://schemas.openxmlformats.org/officeDocument/2006/docPropsVTypes" xmlns="http://schemas.openxmlformats.org/officeDocument/2006/extended-properties">
  <Template>Normal</Template>
  <TotalTime>1</TotalTime>
  <Pages>38</Pages>
  <Words>4492</Words>
  <Characters>25606</Characters>
  <Application>WPS Office_11.1.0.11194_F1E327BC-269C-435d-A152-05C5408002CA</Application>
  <DocSecurity>0</DocSecurity>
  <Lines>213</Lines>
  <Paragraphs>60</Paragraphs>
  <Company>Microsoft</Company>
  <CharactersWithSpaces>30038</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周天天</dc:creator>
  <cp:lastModifiedBy>向日葵</cp:lastModifiedBy>
  <cp:revision>15</cp:revision>
  <cp:lastPrinted>2020-11-04T03:54:00Z</cp:lastPrinted>
  <dcterms:created xsi:type="dcterms:W3CDTF">2021-07-05T03:12:00Z</dcterms:created>
  <dcterms:modified xsi:type="dcterms:W3CDTF">2022-06-01T08:30:14Z</dcterms:modified>
</cp:coreProperties>
</file>

<file path=customXml/item6.xml><?xml version="1.0" encoding="utf-8"?>
<Properties xmlns="http://schemas.openxmlformats.org/officeDocument/2006/extended-properties" xmlns:vt="http://schemas.openxmlformats.org/officeDocument/2006/docPropsVTypes">
  <Template>Normal</Template>
  <Company>Microsoft</Company>
  <Pages>38</Pages>
  <Words>4492</Words>
  <Characters>25606</Characters>
  <Lines>213</Lines>
  <Paragraphs>60</Paragraphs>
  <TotalTime>1</TotalTime>
  <ScaleCrop>false</ScaleCrop>
  <LinksUpToDate>false</LinksUpToDate>
  <CharactersWithSpaces>30038</CharactersWithSpaces>
  <Application>WPS Office_11.1.0.11194_F1E327BC-269C-435d-A152-05C5408002CA</Application>
  <DocSecurity>0</DocSecurity>
</Properties>
</file>

<file path=customXml/item7.xml><?xml version="1.0" encoding="utf-8"?>
<cp:coreProperties xmlns:cp="http://schemas.openxmlformats.org/package/2006/metadata/core-properties" xmlns:dc="http://purl.org/dc/elements/1.1/" xmlns:dcterms="http://purl.org/dc/terms/" xmlns:xsi="http://www.w3.org/2001/XMLSchema-instance">
  <dcterms:created xsi:type="dcterms:W3CDTF">2021-07-05T03:12:00Z</dcterms:created>
  <dc:creator>周天天</dc:creator>
  <cp:lastModifiedBy>向日葵</cp:lastModifiedBy>
  <cp:lastPrinted>2020-11-04T03:54:00Z</cp:lastPrinted>
  <dcterms:modified xsi:type="dcterms:W3CDTF">2022-01-18T06:30:20Z</dcterms:modified>
  <cp:revision>15</cp:revision>
</cp:core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3A3CE116C0BE49BA9EFDBC85D1EFCC02</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60601-24A2-463A-AF98-8DA57ADFCA24}">
  <ds:schemaRefs/>
</ds:datastoreItem>
</file>

<file path=customXml/itemProps3.xml><?xml version="1.0" encoding="utf-8"?>
<ds:datastoreItem xmlns:ds="http://schemas.openxmlformats.org/officeDocument/2006/customXml" ds:itemID="{FE31F27C-0ECC-42B5-BC8B-4BF1DE51EAAC}">
  <ds:schemaRefs/>
</ds:datastoreItem>
</file>

<file path=customXml/itemProps4.xml><?xml version="1.0" encoding="utf-8"?>
<ds:datastoreItem xmlns:ds="http://schemas.openxmlformats.org/officeDocument/2006/customXml" ds:itemID="{6FE78663-1D31-466B-AD28-39F2101221D4}">
  <ds:schemaRefs/>
</ds:datastoreItem>
</file>

<file path=customXml/itemProps5.xml><?xml version="1.0" encoding="utf-8"?>
<ds:datastoreItem xmlns:ds="http://schemas.openxmlformats.org/officeDocument/2006/customXml" ds:itemID="{B5399D1C-6869-465C-AEA0-255B0FCA629F}">
  <ds:schemaRefs/>
</ds:datastoreItem>
</file>

<file path=customXml/itemProps6.xml><?xml version="1.0" encoding="utf-8"?>
<ds:datastoreItem xmlns:ds="http://schemas.openxmlformats.org/officeDocument/2006/customXml" ds:itemID="{D514826E-5BF1-4BE8-9FDE-F64211B5C997}">
  <ds:schemaRefs/>
</ds:datastoreItem>
</file>

<file path=customXml/itemProps7.xml><?xml version="1.0" encoding="utf-8"?>
<ds:datastoreItem xmlns:ds="http://schemas.openxmlformats.org/officeDocument/2006/customXml" ds:itemID="{C619C6BF-068C-4C04-9C60-1FACCD481146}">
  <ds:schemaRefs/>
</ds:datastoreItem>
</file>

<file path=customXml/itemProps8.xml><?xml version="1.0" encoding="utf-8"?>
<ds:datastoreItem xmlns:ds="http://schemas.openxmlformats.org/officeDocument/2006/customXml" ds:itemID="{0D808DD1-AE28-4C57-AF98-AC3CC18B779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4828</Words>
  <Characters>27522</Characters>
  <Lines>229</Lines>
  <Paragraphs>64</Paragraphs>
  <TotalTime>84</TotalTime>
  <ScaleCrop>false</ScaleCrop>
  <LinksUpToDate>false</LinksUpToDate>
  <CharactersWithSpaces>32286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2021-07-05T03:12:00Z</dcterms:created>
  <dc:creator>周天天</dc:creator>
  <cp:lastModifiedBy>Administrator</cp:lastModifiedBy>
  <cp:lastPrinted>2022-06-15T02:41:52Z</cp:lastPrinted>
  <dcterms:modified xsi:type="dcterms:W3CDTF">2022-06-15T03:20:56Z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B1CF501BC9A54B6D8FFAA562800E4848</vt:lpwstr>
  </property>
</Properties>
</file>