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52"/>
          <w:szCs w:val="52"/>
          <w:lang w:val="en-US" w:eastAsia="zh-CN"/>
        </w:rPr>
      </w:pPr>
      <w:r>
        <w:rPr>
          <w:rFonts w:hint="eastAsia" w:ascii="仿宋" w:hAnsi="仿宋" w:eastAsia="仿宋" w:cs="仿宋"/>
          <w:b/>
          <w:bCs w:val="0"/>
          <w:color w:val="auto"/>
          <w:sz w:val="52"/>
          <w:szCs w:val="52"/>
          <w:lang w:val="en-US" w:eastAsia="zh-CN"/>
        </w:rPr>
        <w:t>永隆镇兴隆路涉执</w:t>
      </w:r>
      <w:r>
        <w:rPr>
          <w:rFonts w:hint="eastAsia" w:ascii="仿宋" w:hAnsi="仿宋" w:eastAsia="仿宋" w:cs="仿宋"/>
          <w:b/>
          <w:color w:val="auto"/>
          <w:sz w:val="52"/>
          <w:szCs w:val="52"/>
          <w:lang w:val="en-US" w:eastAsia="zh-CN"/>
        </w:rPr>
        <w:t>房地产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52"/>
          <w:szCs w:val="52"/>
          <w:lang w:eastAsia="zh-CN"/>
        </w:rPr>
      </w:pPr>
      <w:r>
        <w:rPr>
          <w:rFonts w:hint="eastAsia" w:ascii="仿宋" w:hAnsi="仿宋" w:eastAsia="仿宋" w:cs="仿宋"/>
          <w:b/>
          <w:color w:val="auto"/>
          <w:sz w:val="52"/>
          <w:szCs w:val="52"/>
          <w:lang w:val="en-US" w:eastAsia="zh-CN"/>
        </w:rPr>
        <w:t>价格评估报告</w:t>
      </w: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jc w:val="center"/>
        <w:textAlignment w:val="auto"/>
        <w:rPr>
          <w:rFonts w:hint="default" w:ascii="仿宋" w:hAnsi="仿宋" w:eastAsia="仿宋"/>
          <w:b/>
          <w:bCs w:val="0"/>
          <w:color w:val="auto"/>
          <w:sz w:val="28"/>
          <w:szCs w:val="28"/>
          <w:u w:val="single"/>
          <w:lang w:val="en-US" w:eastAsia="zh-CN"/>
        </w:rPr>
      </w:pPr>
      <w:r>
        <w:rPr>
          <w:rFonts w:hint="eastAsia" w:ascii="仿宋" w:hAnsi="仿宋" w:eastAsia="仿宋"/>
          <w:b/>
          <w:bCs w:val="0"/>
          <w:color w:val="auto"/>
          <w:sz w:val="28"/>
          <w:szCs w:val="28"/>
          <w:u w:val="single"/>
          <w:lang w:eastAsia="zh-CN"/>
        </w:rPr>
        <w:t>本价评</w:t>
      </w:r>
      <w:r>
        <w:rPr>
          <w:rFonts w:hint="eastAsia" w:ascii="仿宋" w:hAnsi="仿宋" w:eastAsia="仿宋"/>
          <w:b/>
          <w:bCs w:val="0"/>
          <w:color w:val="auto"/>
          <w:sz w:val="28"/>
          <w:szCs w:val="28"/>
          <w:u w:val="single"/>
          <w:lang w:val="en-US" w:eastAsia="zh-CN"/>
        </w:rPr>
        <w:t>[2022]第4208021号</w:t>
      </w: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360" w:lineRule="auto"/>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本惟识（湖北）价格评估有限公司</w:t>
      </w: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b/>
          <w:color w:val="auto"/>
          <w:sz w:val="30"/>
          <w:szCs w:val="30"/>
        </w:rPr>
        <w:sectPr>
          <w:headerReference r:id="rId3" w:type="default"/>
          <w:footerReference r:id="rId4" w:type="default"/>
          <w:pgSz w:w="11906" w:h="16838"/>
          <w:pgMar w:top="1701" w:right="1531" w:bottom="907" w:left="1582" w:header="851" w:footer="567" w:gutter="0"/>
          <w:pgNumType w:fmt="decimal"/>
          <w:cols w:space="720" w:num="1"/>
          <w:titlePg/>
          <w:rtlGutter w:val="0"/>
          <w:docGrid w:type="lines" w:linePitch="318" w:charSpace="0"/>
        </w:sectPr>
      </w:pPr>
      <w:r>
        <w:rPr>
          <w:rFonts w:hint="eastAsia" w:ascii="仿宋" w:hAnsi="仿宋" w:eastAsia="仿宋" w:cs="仿宋"/>
          <w:b/>
          <w:bCs/>
          <w:color w:val="auto"/>
          <w:sz w:val="30"/>
          <w:szCs w:val="30"/>
        </w:rPr>
        <w:t>二0</w:t>
      </w:r>
      <w:r>
        <w:rPr>
          <w:rFonts w:hint="eastAsia" w:ascii="仿宋" w:hAnsi="仿宋" w:eastAsia="仿宋" w:cs="仿宋"/>
          <w:b/>
          <w:bCs/>
          <w:color w:val="auto"/>
          <w:sz w:val="30"/>
          <w:szCs w:val="30"/>
          <w:lang w:eastAsia="zh-CN"/>
        </w:rPr>
        <w:t>二二年七月四</w:t>
      </w:r>
      <w:r>
        <w:rPr>
          <w:rFonts w:hint="eastAsia" w:ascii="仿宋" w:hAnsi="仿宋" w:eastAsia="仿宋" w:cs="仿宋"/>
          <w:b/>
          <w:bCs/>
          <w:color w:val="auto"/>
          <w:sz w:val="30"/>
          <w:szCs w:val="30"/>
          <w:lang w:val="en-US" w:eastAsia="zh-CN"/>
        </w:rPr>
        <w:t>日</w:t>
      </w:r>
    </w:p>
    <w:p>
      <w:pPr>
        <w:keepNext w:val="0"/>
        <w:keepLines w:val="0"/>
        <w:pageBreakBefore w:val="0"/>
        <w:kinsoku/>
        <w:wordWrap/>
        <w:overflowPunct/>
        <w:topLinePunct w:val="0"/>
        <w:bidi w:val="0"/>
        <w:spacing w:line="360" w:lineRule="auto"/>
        <w:jc w:val="center"/>
        <w:textAlignment w:val="auto"/>
        <w:rPr>
          <w:rFonts w:hint="eastAsia" w:ascii="仿宋" w:hAnsi="仿宋" w:eastAsia="仿宋"/>
          <w:b/>
          <w:color w:val="auto"/>
          <w:sz w:val="48"/>
          <w:szCs w:val="48"/>
        </w:rPr>
      </w:pPr>
      <w:r>
        <w:rPr>
          <w:rFonts w:hint="eastAsia" w:ascii="仿宋" w:hAnsi="仿宋" w:eastAsia="仿宋"/>
          <w:b/>
          <w:color w:val="auto"/>
          <w:sz w:val="48"/>
          <w:szCs w:val="48"/>
        </w:rPr>
        <w:t>声 明</w:t>
      </w:r>
    </w:p>
    <w:p>
      <w:pPr>
        <w:keepNext w:val="0"/>
        <w:keepLines w:val="0"/>
        <w:pageBreakBefore w:val="0"/>
        <w:kinsoku/>
        <w:wordWrap/>
        <w:overflowPunct/>
        <w:topLinePunct w:val="0"/>
        <w:bidi w:val="0"/>
        <w:spacing w:line="360" w:lineRule="auto"/>
        <w:jc w:val="center"/>
        <w:textAlignment w:val="auto"/>
        <w:rPr>
          <w:rFonts w:hint="eastAsia" w:ascii="仿宋" w:hAnsi="仿宋" w:eastAsia="仿宋"/>
          <w:b/>
          <w:color w:val="auto"/>
          <w:sz w:val="48"/>
          <w:szCs w:val="48"/>
        </w:rPr>
      </w:pP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报告，是在价格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人员对纳入价格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范围的委</w:t>
      </w:r>
      <w:r>
        <w:rPr>
          <w:rFonts w:hint="eastAsia" w:ascii="仿宋" w:hAnsi="仿宋" w:eastAsia="仿宋" w:cs="仿宋"/>
          <w:color w:val="auto"/>
          <w:sz w:val="30"/>
          <w:szCs w:val="30"/>
          <w:lang w:val="en-US" w:eastAsia="zh-CN"/>
        </w:rPr>
        <w:t>托标的</w:t>
      </w:r>
      <w:r>
        <w:rPr>
          <w:rFonts w:hint="eastAsia" w:ascii="仿宋" w:hAnsi="仿宋" w:eastAsia="仿宋" w:cs="仿宋"/>
          <w:color w:val="auto"/>
          <w:sz w:val="30"/>
          <w:szCs w:val="30"/>
        </w:rPr>
        <w:t>进行了认真的核实、依据操作规程评定估算等必要</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程序的基础上作出的，针对本</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报告，特作如下声明：</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一、我们在执行本</w:t>
      </w:r>
      <w:r>
        <w:rPr>
          <w:rFonts w:hint="eastAsia" w:ascii="仿宋" w:hAnsi="仿宋" w:eastAsia="仿宋" w:cs="仿宋"/>
          <w:color w:val="auto"/>
          <w:sz w:val="30"/>
          <w:szCs w:val="30"/>
          <w:lang w:eastAsia="zh-CN"/>
        </w:rPr>
        <w:t>价格评估</w:t>
      </w:r>
      <w:r>
        <w:rPr>
          <w:rFonts w:hint="eastAsia" w:ascii="仿宋" w:hAnsi="仿宋" w:eastAsia="仿宋" w:cs="仿宋"/>
          <w:color w:val="auto"/>
          <w:sz w:val="30"/>
          <w:szCs w:val="30"/>
        </w:rPr>
        <w:t>业务中，遵循了相关法律法规和</w:t>
      </w:r>
      <w:r>
        <w:rPr>
          <w:rFonts w:hint="eastAsia" w:ascii="仿宋" w:hAnsi="仿宋" w:eastAsia="仿宋" w:cs="仿宋"/>
          <w:color w:val="auto"/>
          <w:sz w:val="30"/>
          <w:szCs w:val="30"/>
          <w:lang w:eastAsia="zh-CN"/>
        </w:rPr>
        <w:t>价格</w:t>
      </w:r>
      <w:r>
        <w:rPr>
          <w:rFonts w:hint="eastAsia" w:ascii="仿宋" w:hAnsi="仿宋" w:eastAsia="仿宋" w:cs="仿宋"/>
          <w:color w:val="auto"/>
          <w:sz w:val="30"/>
          <w:szCs w:val="30"/>
        </w:rPr>
        <w:t>评估准则，恪守了独立、客观和公正的原则。根据执业过程中收集的资料，</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报告陈述的内容是客观的，并对</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结论合理性承担相应的法律责任。</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对象涉及的</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数据清单</w:t>
      </w:r>
      <w:r>
        <w:rPr>
          <w:rFonts w:hint="eastAsia" w:ascii="仿宋" w:hAnsi="仿宋" w:eastAsia="仿宋" w:cs="仿宋"/>
          <w:color w:val="auto"/>
          <w:sz w:val="30"/>
          <w:szCs w:val="30"/>
          <w:lang w:val="en-US" w:eastAsia="zh-CN"/>
        </w:rPr>
        <w:t>由资料提供方提供</w:t>
      </w:r>
      <w:r>
        <w:rPr>
          <w:rFonts w:hint="eastAsia" w:ascii="仿宋" w:hAnsi="仿宋" w:eastAsia="仿宋" w:cs="仿宋"/>
          <w:color w:val="auto"/>
          <w:sz w:val="30"/>
          <w:szCs w:val="30"/>
        </w:rPr>
        <w:t>并经其签章确认；提供必要资料并保证所提供资料的真实性、合法性、完整性以及恰当使用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报告是委托方和相关当事方的责任。</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三、我们与价格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报告中的</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对象无现存或预期的利益关系，与委托方和相关当事方无现存或预期的利益关系，对委托方和相关当事方不存在偏见。</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四、我们及其所在机构具备本价格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业务所需的执业资质和相关专业价格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经验，本价格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报告没有利用其他机构报告的情形。</w:t>
      </w:r>
    </w:p>
    <w:p>
      <w:pPr>
        <w:keepNext w:val="0"/>
        <w:keepLines w:val="0"/>
        <w:pageBreakBefore w:val="0"/>
        <w:kinsoku/>
        <w:wordWrap/>
        <w:overflowPunct/>
        <w:topLinePunct w:val="0"/>
        <w:bidi w:val="0"/>
        <w:spacing w:line="360" w:lineRule="auto"/>
        <w:ind w:firstLine="600" w:firstLineChars="200"/>
        <w:textAlignment w:val="auto"/>
        <w:rPr>
          <w:rFonts w:hint="eastAsia" w:ascii="仿宋" w:hAnsi="仿宋" w:eastAsia="仿宋"/>
          <w:b/>
          <w:color w:val="auto"/>
          <w:sz w:val="48"/>
          <w:szCs w:val="48"/>
        </w:rPr>
      </w:pPr>
      <w:r>
        <w:rPr>
          <w:rFonts w:hint="eastAsia" w:ascii="仿宋" w:hAnsi="仿宋" w:eastAsia="仿宋" w:cs="仿宋"/>
          <w:color w:val="auto"/>
          <w:spacing w:val="0"/>
          <w:kern w:val="0"/>
          <w:sz w:val="30"/>
          <w:szCs w:val="30"/>
        </w:rPr>
        <w:t>五、我们已对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报告中的</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产进行了现场调查；已对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产的法律权属状况给予必要的关注，对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产的法律权属资料进行了</w:t>
      </w:r>
      <w:r>
        <w:rPr>
          <w:rFonts w:hint="eastAsia" w:ascii="仿宋" w:hAnsi="仿宋" w:eastAsia="仿宋" w:cs="仿宋"/>
          <w:color w:val="auto"/>
          <w:spacing w:val="0"/>
          <w:kern w:val="0"/>
          <w:sz w:val="30"/>
          <w:szCs w:val="30"/>
          <w:lang w:eastAsia="zh-CN"/>
        </w:rPr>
        <w:t>查验</w:t>
      </w:r>
      <w:r>
        <w:rPr>
          <w:rFonts w:hint="eastAsia" w:ascii="仿宋" w:hAnsi="仿宋" w:eastAsia="仿宋" w:cs="仿宋"/>
          <w:color w:val="auto"/>
          <w:spacing w:val="0"/>
          <w:kern w:val="0"/>
          <w:sz w:val="30"/>
          <w:szCs w:val="30"/>
        </w:rPr>
        <w:t>。</w:t>
      </w:r>
    </w:p>
    <w:p>
      <w:pPr>
        <w:keepNext w:val="0"/>
        <w:keepLines w:val="0"/>
        <w:pageBreakBefore w:val="0"/>
        <w:kinsoku/>
        <w:wordWrap/>
        <w:overflowPunct/>
        <w:topLinePunct w:val="0"/>
        <w:bidi w:val="0"/>
        <w:spacing w:line="360" w:lineRule="auto"/>
        <w:jc w:val="center"/>
        <w:textAlignment w:val="auto"/>
        <w:rPr>
          <w:rStyle w:val="9"/>
          <w:rFonts w:hint="eastAsia" w:ascii="仿宋" w:hAnsi="仿宋" w:eastAsia="仿宋"/>
          <w:b/>
          <w:color w:val="auto"/>
          <w:sz w:val="48"/>
          <w:szCs w:val="48"/>
        </w:rPr>
      </w:pPr>
      <w:r>
        <w:rPr>
          <w:rFonts w:hint="eastAsia" w:ascii="仿宋" w:hAnsi="仿宋" w:eastAsia="仿宋"/>
          <w:b/>
          <w:color w:val="auto"/>
          <w:sz w:val="48"/>
          <w:szCs w:val="48"/>
        </w:rPr>
        <w:t>摘　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Style w:val="9"/>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w:t>
      </w:r>
      <w:r>
        <w:rPr>
          <w:rFonts w:hint="eastAsia" w:ascii="仿宋" w:hAnsi="仿宋" w:eastAsia="仿宋" w:cs="仿宋"/>
          <w:color w:val="auto"/>
          <w:sz w:val="30"/>
          <w:szCs w:val="30"/>
          <w:lang w:eastAsia="zh-CN"/>
        </w:rPr>
        <w:t>委托</w:t>
      </w:r>
      <w:r>
        <w:rPr>
          <w:rFonts w:hint="eastAsia" w:ascii="仿宋" w:hAnsi="仿宋" w:eastAsia="仿宋" w:cs="仿宋"/>
          <w:color w:val="auto"/>
          <w:sz w:val="30"/>
          <w:szCs w:val="30"/>
        </w:rPr>
        <w:t>，遵循依法、公正、科学、效率的原则，按照规定的标准、程序和方法，</w:t>
      </w:r>
      <w:r>
        <w:rPr>
          <w:rFonts w:hint="eastAsia" w:ascii="仿宋" w:hAnsi="仿宋" w:eastAsia="仿宋" w:cs="仿宋"/>
          <w:color w:val="auto"/>
          <w:sz w:val="30"/>
          <w:szCs w:val="30"/>
          <w:lang w:eastAsia="zh-CN"/>
        </w:rPr>
        <w:t>对京山市人民法院出具的《鉴定委托书》</w:t>
      </w:r>
      <w:r>
        <w:rPr>
          <w:rFonts w:hint="eastAsia" w:ascii="仿宋" w:hAnsi="仿宋" w:eastAsia="仿宋" w:cs="仿宋"/>
          <w:color w:val="auto"/>
          <w:sz w:val="30"/>
          <w:szCs w:val="30"/>
          <w:lang w:val="en-US" w:eastAsia="zh-CN"/>
        </w:rPr>
        <w:t>[京法鉴委（2022）特21号]</w:t>
      </w:r>
      <w:r>
        <w:rPr>
          <w:rFonts w:hint="eastAsia" w:ascii="仿宋" w:hAnsi="仿宋" w:eastAsia="仿宋" w:cs="仿宋"/>
          <w:color w:val="auto"/>
          <w:sz w:val="30"/>
          <w:szCs w:val="30"/>
          <w:lang w:eastAsia="zh-CN"/>
        </w:rPr>
        <w:t>中所载内容进行了价格评估</w:t>
      </w:r>
      <w:r>
        <w:rPr>
          <w:rFonts w:hint="eastAsia" w:ascii="仿宋" w:hAnsi="仿宋" w:eastAsia="仿宋" w:cs="仿宋"/>
          <w:b w:val="0"/>
          <w:bCs/>
          <w:color w:val="auto"/>
          <w:sz w:val="30"/>
          <w:szCs w:val="30"/>
          <w:lang w:eastAsia="zh-CN"/>
        </w:rPr>
        <w:t>。</w:t>
      </w:r>
      <w:r>
        <w:rPr>
          <w:rFonts w:hint="eastAsia" w:ascii="仿宋" w:hAnsi="仿宋" w:eastAsia="仿宋" w:cs="仿宋"/>
          <w:color w:val="auto"/>
          <w:sz w:val="30"/>
          <w:szCs w:val="30"/>
        </w:rPr>
        <w:t>现将</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情况及结果</w:t>
      </w:r>
      <w:r>
        <w:rPr>
          <w:rFonts w:hint="eastAsia" w:ascii="仿宋" w:hAnsi="仿宋" w:eastAsia="仿宋" w:cs="仿宋"/>
          <w:color w:val="auto"/>
          <w:sz w:val="30"/>
          <w:szCs w:val="30"/>
          <w:lang w:val="en-US" w:eastAsia="zh-CN"/>
        </w:rPr>
        <w:t>摘要</w:t>
      </w:r>
      <w:r>
        <w:rPr>
          <w:rFonts w:hint="eastAsia" w:ascii="仿宋" w:hAnsi="仿宋" w:eastAsia="仿宋" w:cs="仿宋"/>
          <w:color w:val="auto"/>
          <w:sz w:val="30"/>
          <w:szCs w:val="30"/>
        </w:rPr>
        <w:t>如下：</w:t>
      </w:r>
      <w:r>
        <w:rPr>
          <w:rStyle w:val="9"/>
          <w:rFonts w:hint="eastAsia" w:ascii="仿宋" w:hAnsi="仿宋" w:eastAsia="仿宋" w:cs="仿宋"/>
          <w:color w:val="auto"/>
          <w:sz w:val="30"/>
          <w:szCs w:val="30"/>
        </w:rPr>
        <w:t> </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目的</w:t>
      </w:r>
      <w:r>
        <w:rPr>
          <w:rStyle w:val="9"/>
          <w:rFonts w:hint="eastAsia" w:ascii="仿宋" w:hAnsi="仿宋" w:eastAsia="仿宋" w:cs="仿宋"/>
          <w:b/>
          <w:bCs/>
          <w:color w:val="auto"/>
          <w:sz w:val="30"/>
          <w:szCs w:val="30"/>
        </w:rPr>
        <w:t>：</w:t>
      </w:r>
      <w:r>
        <w:rPr>
          <w:rStyle w:val="9"/>
          <w:rFonts w:hint="eastAsia" w:ascii="仿宋" w:hAnsi="仿宋" w:eastAsia="仿宋" w:cs="仿宋"/>
          <w:b w:val="0"/>
          <w:bCs w:val="0"/>
          <w:color w:val="auto"/>
          <w:sz w:val="30"/>
          <w:szCs w:val="30"/>
          <w:lang w:val="en-US" w:eastAsia="zh-CN"/>
        </w:rPr>
        <w:t>确定评估标的在评估基准日现有价值，</w:t>
      </w:r>
      <w:r>
        <w:rPr>
          <w:rFonts w:hint="eastAsia" w:ascii="仿宋" w:hAnsi="仿宋" w:eastAsia="仿宋" w:cs="仿宋"/>
          <w:color w:val="auto"/>
          <w:sz w:val="30"/>
          <w:szCs w:val="30"/>
          <w:lang w:eastAsia="zh-CN"/>
        </w:rPr>
        <w:t>为人民法院</w:t>
      </w:r>
      <w:r>
        <w:rPr>
          <w:rFonts w:hint="eastAsia" w:ascii="仿宋" w:hAnsi="仿宋" w:eastAsia="仿宋" w:cs="仿宋"/>
          <w:color w:val="auto"/>
          <w:sz w:val="30"/>
          <w:szCs w:val="30"/>
          <w:lang w:val="en-US" w:eastAsia="zh-CN"/>
        </w:rPr>
        <w:t>执行相关案件</w:t>
      </w:r>
      <w:r>
        <w:rPr>
          <w:rFonts w:hint="eastAsia" w:ascii="仿宋" w:hAnsi="仿宋" w:eastAsia="仿宋" w:cs="仿宋"/>
          <w:color w:val="auto"/>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对象和</w:t>
      </w: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范围</w:t>
      </w:r>
      <w:r>
        <w:rPr>
          <w:rStyle w:val="9"/>
          <w:rFonts w:hint="eastAsia" w:ascii="仿宋" w:hAnsi="仿宋" w:eastAsia="仿宋" w:cs="仿宋"/>
          <w:b/>
          <w:bCs/>
          <w:color w:val="auto"/>
          <w:sz w:val="30"/>
          <w:szCs w:val="30"/>
        </w:rPr>
        <w:t>：</w:t>
      </w:r>
      <w:r>
        <w:rPr>
          <w:rFonts w:hint="eastAsia" w:ascii="仿宋" w:hAnsi="仿宋" w:eastAsia="仿宋" w:cs="仿宋"/>
          <w:color w:val="auto"/>
          <w:sz w:val="30"/>
          <w:szCs w:val="30"/>
        </w:rPr>
        <w:t>本次价格评估对象为有形财产价格，</w:t>
      </w:r>
      <w:r>
        <w:rPr>
          <w:rFonts w:hint="eastAsia" w:ascii="仿宋" w:hAnsi="仿宋" w:eastAsia="仿宋" w:cs="仿宋"/>
          <w:color w:val="auto"/>
          <w:sz w:val="30"/>
          <w:szCs w:val="30"/>
          <w:lang w:val="en-US" w:eastAsia="zh-CN"/>
        </w:rPr>
        <w:t>评估范围为王红平位于京山市永隆镇兴隆路1幢的房屋及相应土地使用权</w:t>
      </w:r>
      <w:r>
        <w:rPr>
          <w:rFonts w:hint="eastAsia" w:ascii="仿宋" w:hAnsi="仿宋" w:eastAsia="仿宋" w:cs="仿宋"/>
          <w:b w:val="0"/>
          <w:bCs/>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rPr>
        <w:t>价格</w:t>
      </w:r>
      <w:r>
        <w:rPr>
          <w:rFonts w:hint="eastAsia" w:ascii="仿宋" w:hAnsi="仿宋" w:eastAsia="仿宋" w:cs="仿宋"/>
          <w:b/>
          <w:bCs/>
          <w:color w:val="auto"/>
          <w:sz w:val="30"/>
          <w:szCs w:val="30"/>
          <w:lang w:eastAsia="zh-CN"/>
        </w:rPr>
        <w:t>评估基准日</w:t>
      </w:r>
      <w:r>
        <w:rPr>
          <w:rFonts w:hint="eastAsia" w:ascii="仿宋" w:hAnsi="仿宋" w:eastAsia="仿宋" w:cs="仿宋"/>
          <w:b/>
          <w:bCs/>
          <w:color w:val="auto"/>
          <w:sz w:val="30"/>
          <w:szCs w:val="30"/>
        </w:rPr>
        <w:t>：</w:t>
      </w:r>
      <w:r>
        <w:rPr>
          <w:rFonts w:hint="eastAsia" w:ascii="仿宋" w:hAnsi="仿宋" w:eastAsia="仿宋" w:cs="仿宋"/>
          <w:color w:val="auto"/>
          <w:sz w:val="30"/>
          <w:szCs w:val="30"/>
          <w:lang w:val="en-US" w:eastAsia="zh-CN"/>
        </w:rPr>
        <w:t>2022年6月30日（现场勘验时间）。</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rPr>
        <w:t>价格</w:t>
      </w: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方法</w:t>
      </w:r>
      <w:r>
        <w:rPr>
          <w:rFonts w:hint="eastAsia" w:ascii="仿宋" w:hAnsi="仿宋" w:eastAsia="仿宋" w:cs="仿宋"/>
          <w:b/>
          <w:bCs/>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成本法、</w:t>
      </w:r>
      <w:r>
        <w:rPr>
          <w:rFonts w:hint="eastAsia" w:ascii="仿宋" w:hAnsi="仿宋" w:eastAsia="仿宋" w:cs="仿宋"/>
          <w:b w:val="0"/>
          <w:bCs/>
          <w:color w:val="000000" w:themeColor="text1"/>
          <w:sz w:val="30"/>
          <w:szCs w:val="30"/>
          <w:lang w:val="en-US" w:eastAsia="zh-CN"/>
          <w14:textFill>
            <w14:solidFill>
              <w14:schemeClr w14:val="tx1"/>
            </w14:solidFill>
          </w14:textFill>
        </w:rPr>
        <w:t>基准地价系数修正法</w:t>
      </w:r>
      <w:r>
        <w:rPr>
          <w:rFonts w:hint="eastAsia" w:ascii="仿宋" w:hAnsi="仿宋" w:eastAsia="仿宋" w:cs="仿宋"/>
          <w:color w:val="000000" w:themeColor="text1"/>
          <w:sz w:val="30"/>
          <w:szCs w:val="3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价格定义</w:t>
      </w:r>
      <w:r>
        <w:rPr>
          <w:rFonts w:hint="eastAsia" w:ascii="仿宋" w:hAnsi="仿宋" w:eastAsia="仿宋" w:cs="仿宋"/>
          <w:b/>
          <w:bCs/>
          <w:color w:val="auto"/>
          <w:sz w:val="30"/>
          <w:szCs w:val="30"/>
        </w:rPr>
        <w:t>：</w:t>
      </w: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，采用公开市场价值标准确定的客观合理的价格水平，即评估对象在估价时点，满足各项限制条件下</w:t>
      </w:r>
      <w:r>
        <w:rPr>
          <w:rFonts w:hint="eastAsia" w:ascii="仿宋" w:hAnsi="仿宋" w:eastAsia="仿宋" w:cs="仿宋"/>
          <w:color w:val="auto"/>
          <w:sz w:val="30"/>
          <w:szCs w:val="30"/>
          <w:lang w:eastAsia="zh-CN"/>
        </w:rPr>
        <w:t>房地合一</w:t>
      </w:r>
      <w:r>
        <w:rPr>
          <w:rFonts w:hint="eastAsia" w:ascii="仿宋" w:hAnsi="仿宋" w:eastAsia="仿宋" w:cs="仿宋"/>
          <w:color w:val="auto"/>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结论</w:t>
      </w:r>
      <w:r>
        <w:rPr>
          <w:rStyle w:val="9"/>
          <w:rFonts w:hint="eastAsia" w:ascii="仿宋" w:hAnsi="仿宋" w:eastAsia="仿宋" w:cs="仿宋"/>
          <w:b/>
          <w:bCs/>
          <w:color w:val="auto"/>
          <w:sz w:val="30"/>
          <w:szCs w:val="30"/>
        </w:rPr>
        <w:t>：</w:t>
      </w:r>
      <w:r>
        <w:rPr>
          <w:rFonts w:hint="eastAsia" w:ascii="仿宋" w:hAnsi="仿宋" w:eastAsia="仿宋" w:cs="仿宋"/>
          <w:b w:val="0"/>
          <w:bCs/>
          <w:color w:val="auto"/>
          <w:sz w:val="30"/>
          <w:szCs w:val="30"/>
          <w:lang w:val="en-US" w:eastAsia="zh-CN"/>
        </w:rPr>
        <w:t>通过价格评估</w:t>
      </w:r>
      <w:r>
        <w:rPr>
          <w:rFonts w:hint="eastAsia" w:ascii="仿宋" w:hAnsi="仿宋" w:eastAsia="仿宋" w:cs="仿宋"/>
          <w:color w:val="auto"/>
          <w:sz w:val="30"/>
          <w:szCs w:val="30"/>
          <w:lang w:val="en-US" w:eastAsia="zh-CN"/>
        </w:rPr>
        <w:t>王红平位于京山市永隆镇兴隆路1幢的房屋及相应土地使用权</w:t>
      </w:r>
      <w:r>
        <w:rPr>
          <w:rFonts w:hint="eastAsia" w:ascii="仿宋" w:hAnsi="仿宋" w:eastAsia="仿宋" w:cs="仿宋"/>
          <w:b w:val="0"/>
          <w:bCs/>
          <w:color w:val="auto"/>
          <w:sz w:val="30"/>
          <w:szCs w:val="30"/>
          <w:lang w:val="en-US" w:eastAsia="zh-CN"/>
        </w:rPr>
        <w:t>在2022年6月30日的评估价格为</w:t>
      </w:r>
      <w:r>
        <w:rPr>
          <w:rFonts w:hint="eastAsia" w:ascii="仿宋" w:hAnsi="仿宋" w:eastAsia="仿宋" w:cs="仿宋"/>
          <w:color w:val="auto"/>
          <w:sz w:val="30"/>
          <w:szCs w:val="30"/>
          <w:lang w:val="en-US" w:eastAsia="zh-CN"/>
        </w:rPr>
        <w:t>￥</w:t>
      </w:r>
      <w:r>
        <w:rPr>
          <w:rFonts w:hint="eastAsia" w:ascii="仿宋" w:hAnsi="仿宋" w:eastAsia="仿宋" w:cs="仿宋"/>
          <w:b w:val="0"/>
          <w:bCs/>
          <w:color w:val="auto"/>
          <w:sz w:val="30"/>
          <w:szCs w:val="30"/>
          <w:lang w:val="en-US" w:eastAsia="zh-CN"/>
        </w:rPr>
        <w:t>263656</w:t>
      </w:r>
      <w:r>
        <w:rPr>
          <w:rFonts w:hint="eastAsia" w:ascii="仿宋" w:hAnsi="仿宋" w:eastAsia="仿宋" w:cs="仿宋"/>
          <w:color w:val="auto"/>
          <w:sz w:val="30"/>
          <w:szCs w:val="30"/>
          <w:lang w:val="en-US" w:eastAsia="zh-CN"/>
        </w:rPr>
        <w:t>元（大写人民币</w:t>
      </w:r>
      <w:r>
        <w:rPr>
          <w:rFonts w:hint="eastAsia" w:ascii="仿宋" w:hAnsi="仿宋" w:eastAsia="仿宋" w:cs="仿宋"/>
          <w:color w:val="auto"/>
          <w:sz w:val="30"/>
          <w:szCs w:val="30"/>
          <w:lang w:val="en-US" w:eastAsia="zh-CN"/>
        </w:rPr>
        <w:fldChar w:fldCharType="begin"/>
      </w:r>
      <w:r>
        <w:rPr>
          <w:rFonts w:hint="eastAsia" w:ascii="仿宋" w:hAnsi="仿宋" w:eastAsia="仿宋" w:cs="仿宋"/>
          <w:color w:val="auto"/>
          <w:sz w:val="30"/>
          <w:szCs w:val="30"/>
          <w:lang w:val="en-US" w:eastAsia="zh-CN"/>
        </w:rPr>
        <w:instrText xml:space="preserve"> = 263656 \* CHINESENUM4 \* MERGEFORMAT </w:instrText>
      </w:r>
      <w:r>
        <w:rPr>
          <w:rFonts w:hint="eastAsia" w:ascii="仿宋" w:hAnsi="仿宋" w:eastAsia="仿宋" w:cs="仿宋"/>
          <w:color w:val="auto"/>
          <w:sz w:val="30"/>
          <w:szCs w:val="30"/>
          <w:lang w:val="en-US" w:eastAsia="zh-CN"/>
        </w:rPr>
        <w:fldChar w:fldCharType="separate"/>
      </w:r>
      <w:r>
        <w:rPr>
          <w:rFonts w:hint="eastAsia" w:ascii="仿宋" w:hAnsi="仿宋" w:eastAsia="仿宋" w:cs="仿宋"/>
          <w:color w:val="auto"/>
          <w:sz w:val="30"/>
          <w:szCs w:val="30"/>
          <w:lang w:val="en-US" w:eastAsia="zh-CN"/>
        </w:rPr>
        <w:t>贰拾陆万叁仟陆佰伍拾陆元整</w:t>
      </w:r>
      <w:r>
        <w:rPr>
          <w:rFonts w:hint="eastAsia" w:ascii="仿宋" w:hAnsi="仿宋" w:eastAsia="仿宋" w:cs="仿宋"/>
          <w:color w:val="auto"/>
          <w:sz w:val="30"/>
          <w:szCs w:val="30"/>
          <w:lang w:val="en-US" w:eastAsia="zh-CN"/>
        </w:rPr>
        <w:fldChar w:fldCharType="end"/>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 xml:space="preserve"> 特别事项说明：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1、对存在的可能影响</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值的瑕疵事项，在委托时未作特殊说明而价格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人员执行</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程序一般不能获知的情况下，</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机构及</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人员不承担相关责任。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2、报告中的分析、意见和结论只在报告阐明的假设前提和限制条件下有效，它们代表价格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人员不带有偏见的专业分析、意见和结论。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本评估报告有效期壹年，自评估基准期间起计算，</w:t>
      </w:r>
      <w:r>
        <w:rPr>
          <w:rFonts w:hint="eastAsia" w:ascii="仿宋" w:hAnsi="仿宋" w:eastAsia="仿宋" w:cs="仿宋"/>
          <w:color w:val="auto"/>
          <w:sz w:val="30"/>
          <w:szCs w:val="30"/>
        </w:rPr>
        <w:t>即有效期自</w:t>
      </w:r>
      <w:r>
        <w:rPr>
          <w:rFonts w:hint="eastAsia" w:ascii="仿宋" w:hAnsi="仿宋" w:eastAsia="仿宋" w:cs="仿宋"/>
          <w:color w:val="auto"/>
          <w:sz w:val="30"/>
          <w:szCs w:val="30"/>
          <w:lang w:val="en-US" w:eastAsia="zh-CN"/>
        </w:rPr>
        <w:t>2022年6月30日</w:t>
      </w:r>
      <w:r>
        <w:rPr>
          <w:rFonts w:hint="eastAsia" w:ascii="仿宋" w:hAnsi="仿宋" w:eastAsia="仿宋" w:cs="仿宋"/>
          <w:color w:val="auto"/>
          <w:sz w:val="30"/>
          <w:szCs w:val="30"/>
        </w:rPr>
        <w:t>起至20</w:t>
      </w:r>
      <w:r>
        <w:rPr>
          <w:rFonts w:hint="eastAsia" w:ascii="仿宋" w:hAnsi="仿宋" w:eastAsia="仿宋" w:cs="仿宋"/>
          <w:color w:val="auto"/>
          <w:sz w:val="30"/>
          <w:szCs w:val="30"/>
          <w:lang w:val="en-US" w:eastAsia="zh-CN"/>
        </w:rPr>
        <w:t>23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29</w:t>
      </w:r>
      <w:r>
        <w:rPr>
          <w:rFonts w:hint="eastAsia" w:ascii="仿宋" w:hAnsi="仿宋" w:eastAsia="仿宋" w:cs="仿宋"/>
          <w:color w:val="auto"/>
          <w:sz w:val="30"/>
          <w:szCs w:val="30"/>
        </w:rPr>
        <w:t>日止。</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rPr>
          <w:rFonts w:hint="eastAsia" w:ascii="仿宋" w:hAnsi="仿宋" w:eastAsia="仿宋" w:cs="仿宋"/>
          <w:b/>
          <w:bCs w:val="0"/>
          <w:color w:val="auto"/>
          <w:sz w:val="30"/>
          <w:szCs w:val="30"/>
        </w:rPr>
      </w:pPr>
      <w:r>
        <w:rPr>
          <w:rFonts w:hint="eastAsia" w:ascii="仿宋" w:hAnsi="仿宋" w:eastAsia="仿宋" w:cs="仿宋"/>
          <w:b/>
          <w:bCs w:val="0"/>
          <w:color w:val="auto"/>
          <w:sz w:val="30"/>
          <w:szCs w:val="30"/>
        </w:rPr>
        <w:t>以上内容摘自</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报告正文，欲了解本</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项目的详细情况和合理理解</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结论，应当阅读</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报告正文。</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val="0"/>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_GB2312" w:hAnsi="仿宋" w:eastAsia="仿宋_GB2312"/>
          <w:color w:val="auto"/>
          <w:sz w:val="30"/>
          <w:szCs w:val="30"/>
        </w:rPr>
      </w:pPr>
      <w:r>
        <w:rPr>
          <w:rFonts w:hint="eastAsia" w:ascii="仿宋_GB2312" w:hAnsi="仿宋" w:eastAsia="仿宋_GB2312"/>
          <w:color w:val="auto"/>
          <w:sz w:val="30"/>
          <w:szCs w:val="30"/>
        </w:rPr>
        <w:pict>
          <v:shape id="_x0000_s1026" o:spid="_x0000_s1026" o:spt="136" type="#_x0000_t136" style="position:absolute;left:0pt;margin-left:-1.95pt;margin-top:18.95pt;height:92.7pt;width:421.55pt;z-index:251659264;mso-width-relative:page;mso-height-relative:page;" fillcolor="#000000" filled="t" stroked="t" coordsize="21600,21600" adj="10800">
            <v:path/>
            <v:fill on="t" color2="#FFFFFF" focussize="0,0"/>
            <v:stroke color="#000000"/>
            <v:imagedata o:title=""/>
            <o:lock v:ext="edit" aspectratio="f"/>
            <v:textpath on="t" fitshape="t" fitpath="t" trim="t" xscale="f" string="本惟识（湖北）价格评估有限公司" style="font-family:宋体;font-size:28pt;font-weight:bold;v-rotate-letters:f;v-same-letter-heights:f;v-text-align:center;"/>
          </v:shape>
        </w:pict>
      </w: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_GB2312" w:eastAsia="仿宋_GB2312"/>
          <w:color w:val="auto"/>
          <w:sz w:val="28"/>
          <w:szCs w:val="28"/>
          <w:lang w:eastAsia="zh-CN"/>
        </w:rPr>
      </w:pPr>
    </w:p>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仿宋_GB2312" w:eastAsia="仿宋_GB2312"/>
          <w:color w:val="auto"/>
          <w:sz w:val="28"/>
          <w:szCs w:val="28"/>
          <w:lang w:eastAsia="zh-CN"/>
        </w:rPr>
      </w:pPr>
    </w:p>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仿宋_GB2312" w:eastAsia="仿宋_GB2312"/>
          <w:color w:val="auto"/>
          <w:sz w:val="28"/>
          <w:szCs w:val="28"/>
          <w:lang w:eastAsia="zh-CN"/>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_GB2312" w:hAnsi="仿宋_GB2312" w:eastAsia="仿宋_GB2312" w:cs="仿宋_GB2312"/>
          <w:b/>
          <w:color w:val="auto"/>
          <w:sz w:val="30"/>
          <w:szCs w:val="30"/>
        </w:rPr>
      </w:pPr>
      <w:r>
        <w:rPr>
          <w:rFonts w:hint="eastAsia"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351790</wp:posOffset>
                </wp:positionV>
                <wp:extent cx="531939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1939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7.7pt;height:0pt;width:418.85pt;z-index:251660288;mso-width-relative:page;mso-height-relative:page;" filled="f" stroked="t" coordsize="21600,21600" o:gfxdata="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oi2V9UAAAAHAQAADwAAAAAA&#10;AAABACAAAAAiAAAAZHJzL2Rvd25yZXYueG1sUEsBAhQAFAAAAAgAh07iQDP3cezdAQAAlwMAAA4A&#10;AAAAAAAAAQAgAAAAJAEAAGRycy9lMm9Eb2MueG1sUEsFBgAAAAAGAAYAWQEAAHMFAAAAAA==&#10;">
                <v:fill on="f" focussize="0,0"/>
                <v:stroke weight="1pt" color="#000000" joinstyle="round"/>
                <v:imagedata o:title=""/>
                <o:lock v:ext="edit" aspectratio="f"/>
              </v:line>
            </w:pict>
          </mc:Fallback>
        </mc:AlternateContent>
      </w:r>
      <w:r>
        <w:rPr>
          <w:rFonts w:hint="eastAsia" w:ascii="仿宋_GB2312" w:eastAsia="仿宋_GB2312"/>
          <w:color w:val="auto"/>
          <w:sz w:val="28"/>
          <w:szCs w:val="28"/>
          <w:lang w:eastAsia="zh-CN"/>
        </w:rPr>
        <w:t>本价评</w:t>
      </w:r>
      <w:r>
        <w:rPr>
          <w:rFonts w:hint="eastAsia" w:ascii="仿宋_GB2312" w:hAnsi="仿宋_GB2312" w:eastAsia="仿宋_GB2312" w:cs="仿宋_GB2312"/>
          <w:bCs/>
          <w:color w:val="auto"/>
          <w:sz w:val="28"/>
          <w:szCs w:val="28"/>
        </w:rPr>
        <w:t>[20</w:t>
      </w:r>
      <w:r>
        <w:rPr>
          <w:rFonts w:hint="eastAsia" w:ascii="仿宋_GB2312" w:hAnsi="仿宋_GB2312" w:eastAsia="仿宋_GB2312" w:cs="仿宋_GB2312"/>
          <w:bCs/>
          <w:color w:val="auto"/>
          <w:sz w:val="28"/>
          <w:szCs w:val="28"/>
          <w:lang w:val="en-US" w:eastAsia="zh-CN"/>
        </w:rPr>
        <w:t>22</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Cs/>
          <w:color w:val="auto"/>
          <w:sz w:val="28"/>
          <w:szCs w:val="28"/>
          <w:lang w:eastAsia="zh-CN"/>
        </w:rPr>
        <w:t>第</w:t>
      </w:r>
      <w:r>
        <w:rPr>
          <w:rFonts w:hint="eastAsia" w:ascii="仿宋_GB2312" w:hAnsi="仿宋_GB2312" w:eastAsia="仿宋_GB2312" w:cs="仿宋_GB2312"/>
          <w:bCs/>
          <w:color w:val="auto"/>
          <w:sz w:val="28"/>
          <w:szCs w:val="28"/>
          <w:lang w:val="en-US" w:eastAsia="zh-CN"/>
        </w:rPr>
        <w:t>4208021</w:t>
      </w:r>
      <w:r>
        <w:rPr>
          <w:rFonts w:hint="eastAsia" w:ascii="仿宋_GB2312" w:hAnsi="仿宋_GB2312" w:eastAsia="仿宋_GB2312" w:cs="仿宋_GB2312"/>
          <w:bCs/>
          <w:color w:val="auto"/>
          <w:sz w:val="28"/>
          <w:szCs w:val="28"/>
          <w:lang w:val="zh-CN"/>
        </w:rPr>
        <w:t>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auto"/>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48"/>
          <w:szCs w:val="48"/>
          <w:lang w:val="en-US" w:eastAsia="zh-CN"/>
        </w:rPr>
      </w:pPr>
      <w:r>
        <w:rPr>
          <w:rFonts w:hint="eastAsia" w:ascii="仿宋" w:hAnsi="仿宋" w:eastAsia="仿宋" w:cs="仿宋"/>
          <w:b/>
          <w:bCs w:val="0"/>
          <w:color w:val="auto"/>
          <w:sz w:val="52"/>
          <w:szCs w:val="52"/>
          <w:lang w:val="en-US" w:eastAsia="zh-CN"/>
        </w:rPr>
        <w:t>永隆镇兴隆路</w:t>
      </w:r>
      <w:r>
        <w:rPr>
          <w:rFonts w:hint="eastAsia" w:ascii="仿宋" w:hAnsi="仿宋" w:eastAsia="仿宋" w:cs="仿宋"/>
          <w:b/>
          <w:color w:val="auto"/>
          <w:sz w:val="48"/>
          <w:szCs w:val="48"/>
          <w:lang w:val="en-US" w:eastAsia="zh-CN"/>
        </w:rPr>
        <w:t>涉执房地产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48"/>
          <w:szCs w:val="48"/>
          <w:lang w:eastAsia="zh-CN"/>
        </w:rPr>
      </w:pPr>
      <w:r>
        <w:rPr>
          <w:rFonts w:hint="eastAsia" w:ascii="仿宋" w:hAnsi="仿宋" w:eastAsia="仿宋" w:cs="仿宋"/>
          <w:b/>
          <w:color w:val="auto"/>
          <w:sz w:val="48"/>
          <w:szCs w:val="48"/>
          <w:lang w:val="en-US" w:eastAsia="zh-CN"/>
        </w:rPr>
        <w:t>价格评估报告</w:t>
      </w:r>
    </w:p>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b w:val="0"/>
          <w:bCs/>
          <w:color w:val="auto"/>
          <w:sz w:val="30"/>
          <w:szCs w:val="30"/>
          <w:lang w:eastAsia="zh-CN"/>
        </w:rPr>
      </w:pPr>
    </w:p>
    <w:p>
      <w:pPr>
        <w:keepNext w:val="0"/>
        <w:keepLines w:val="0"/>
        <w:pageBreakBefore w:val="0"/>
        <w:kinsoku/>
        <w:wordWrap/>
        <w:overflowPunct/>
        <w:topLinePunct w:val="0"/>
        <w:autoSpaceDE/>
        <w:autoSpaceDN/>
        <w:bidi w:val="0"/>
        <w:spacing w:line="360" w:lineRule="auto"/>
        <w:ind w:right="0"/>
        <w:jc w:val="both"/>
        <w:textAlignment w:val="auto"/>
        <w:rPr>
          <w:rFonts w:hint="eastAsia" w:ascii="仿宋" w:hAnsi="仿宋" w:eastAsia="仿宋" w:cs="仿宋"/>
          <w:b w:val="0"/>
          <w:bCs/>
          <w:color w:val="auto"/>
          <w:sz w:val="30"/>
          <w:szCs w:val="30"/>
        </w:rPr>
      </w:pPr>
      <w:r>
        <w:rPr>
          <w:rFonts w:hint="eastAsia" w:ascii="仿宋" w:hAnsi="仿宋" w:eastAsia="仿宋" w:cs="仿宋"/>
          <w:color w:val="auto"/>
          <w:sz w:val="30"/>
          <w:szCs w:val="30"/>
          <w:lang w:eastAsia="zh-CN"/>
        </w:rPr>
        <w:t>京山市人民法院</w:t>
      </w:r>
      <w:r>
        <w:rPr>
          <w:rFonts w:hint="eastAsia" w:ascii="仿宋" w:hAnsi="仿宋" w:eastAsia="仿宋" w:cs="仿宋"/>
          <w:b w:val="0"/>
          <w:bCs/>
          <w:color w:val="auto"/>
          <w:sz w:val="30"/>
          <w:szCs w:val="30"/>
        </w:rPr>
        <w:t>:</w:t>
      </w:r>
    </w:p>
    <w:p>
      <w:pPr>
        <w:keepNext w:val="0"/>
        <w:keepLines w:val="0"/>
        <w:pageBreakBefore w:val="0"/>
        <w:kinsoku/>
        <w:wordWrap/>
        <w:overflowPunct/>
        <w:topLinePunct w:val="0"/>
        <w:autoSpaceDE/>
        <w:autoSpaceDN/>
        <w:bidi w:val="0"/>
        <w:snapToGrid/>
        <w:spacing w:line="36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接受贵</w:t>
      </w:r>
      <w:r>
        <w:rPr>
          <w:rFonts w:hint="eastAsia" w:ascii="仿宋" w:hAnsi="仿宋" w:eastAsia="仿宋" w:cs="仿宋"/>
          <w:color w:val="auto"/>
          <w:sz w:val="30"/>
          <w:szCs w:val="30"/>
          <w:lang w:eastAsia="zh-CN"/>
        </w:rPr>
        <w:t>院</w:t>
      </w:r>
      <w:r>
        <w:rPr>
          <w:rFonts w:hint="eastAsia" w:ascii="仿宋" w:hAnsi="仿宋" w:eastAsia="仿宋" w:cs="仿宋"/>
          <w:color w:val="auto"/>
          <w:sz w:val="30"/>
          <w:szCs w:val="30"/>
        </w:rPr>
        <w:t>的委托，遵循</w:t>
      </w:r>
      <w:r>
        <w:rPr>
          <w:rFonts w:hint="eastAsia" w:ascii="仿宋" w:hAnsi="仿宋" w:eastAsia="仿宋" w:cs="仿宋"/>
          <w:color w:val="auto"/>
          <w:sz w:val="30"/>
          <w:szCs w:val="30"/>
          <w:lang w:eastAsia="zh-CN"/>
        </w:rPr>
        <w:t>依法、公正、科学、</w:t>
      </w:r>
      <w:r>
        <w:rPr>
          <w:rFonts w:hint="eastAsia" w:ascii="仿宋" w:hAnsi="仿宋" w:eastAsia="仿宋" w:cs="仿宋"/>
          <w:color w:val="auto"/>
          <w:sz w:val="30"/>
          <w:szCs w:val="30"/>
        </w:rPr>
        <w:t>效率的原则，按照规定的标准、程序和方法，</w:t>
      </w:r>
      <w:r>
        <w:rPr>
          <w:rFonts w:hint="eastAsia" w:ascii="仿宋" w:hAnsi="仿宋" w:eastAsia="仿宋" w:cs="仿宋"/>
          <w:color w:val="auto"/>
          <w:sz w:val="30"/>
          <w:szCs w:val="30"/>
          <w:lang w:eastAsia="zh-CN"/>
        </w:rPr>
        <w:t>对贵院出具的《鉴定委托书》</w:t>
      </w:r>
      <w:r>
        <w:rPr>
          <w:rFonts w:hint="eastAsia" w:ascii="仿宋" w:hAnsi="仿宋" w:eastAsia="仿宋" w:cs="仿宋"/>
          <w:color w:val="auto"/>
          <w:sz w:val="30"/>
          <w:szCs w:val="30"/>
          <w:lang w:val="en-US" w:eastAsia="zh-CN"/>
        </w:rPr>
        <w:t>[京法鉴委（2022）特21号]</w:t>
      </w:r>
      <w:r>
        <w:rPr>
          <w:rFonts w:hint="eastAsia" w:ascii="仿宋" w:hAnsi="仿宋" w:eastAsia="仿宋" w:cs="仿宋"/>
          <w:color w:val="auto"/>
          <w:sz w:val="30"/>
          <w:szCs w:val="30"/>
          <w:lang w:eastAsia="zh-CN"/>
        </w:rPr>
        <w:t>中所载内容进行了价格评估。</w:t>
      </w:r>
      <w:r>
        <w:rPr>
          <w:rFonts w:hint="eastAsia" w:ascii="仿宋" w:hAnsi="仿宋" w:eastAsia="仿宋" w:cs="仿宋"/>
          <w:color w:val="auto"/>
          <w:sz w:val="30"/>
          <w:szCs w:val="30"/>
        </w:rPr>
        <w:t>现将</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情况</w:t>
      </w:r>
      <w:r>
        <w:rPr>
          <w:rFonts w:hint="eastAsia" w:ascii="仿宋" w:hAnsi="仿宋" w:eastAsia="仿宋" w:cs="仿宋"/>
          <w:color w:val="auto"/>
          <w:sz w:val="30"/>
          <w:szCs w:val="30"/>
          <w:lang w:eastAsia="zh-CN"/>
        </w:rPr>
        <w:t>及评估结果报告如</w:t>
      </w:r>
      <w:r>
        <w:rPr>
          <w:rFonts w:hint="eastAsia" w:ascii="仿宋" w:hAnsi="仿宋" w:eastAsia="仿宋" w:cs="仿宋"/>
          <w:color w:val="auto"/>
          <w:sz w:val="30"/>
          <w:szCs w:val="30"/>
        </w:rPr>
        <w:t>下：</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一、</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评估标的</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本次价格评估标的王红平位于京山市永隆镇兴隆路1幢的房屋及相应土地使用权</w:t>
      </w:r>
      <w:r>
        <w:rPr>
          <w:rFonts w:hint="eastAsia" w:ascii="仿宋" w:hAnsi="仿宋" w:eastAsia="仿宋" w:cs="仿宋"/>
          <w:b w:val="0"/>
          <w:bCs/>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二、价格评估目的 </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Style w:val="9"/>
          <w:rFonts w:hint="eastAsia" w:ascii="仿宋" w:hAnsi="仿宋" w:eastAsia="仿宋" w:cs="仿宋"/>
          <w:b w:val="0"/>
          <w:bCs w:val="0"/>
          <w:color w:val="auto"/>
          <w:sz w:val="30"/>
          <w:szCs w:val="30"/>
          <w:lang w:val="en-US" w:eastAsia="zh-CN"/>
        </w:rPr>
        <w:t>确定评估标的在评估基准日现有价值，</w:t>
      </w:r>
      <w:r>
        <w:rPr>
          <w:rFonts w:hint="eastAsia" w:ascii="仿宋" w:hAnsi="仿宋" w:eastAsia="仿宋" w:cs="仿宋"/>
          <w:color w:val="auto"/>
          <w:sz w:val="30"/>
          <w:szCs w:val="30"/>
          <w:lang w:eastAsia="zh-CN"/>
        </w:rPr>
        <w:t>为人民法院</w:t>
      </w:r>
      <w:r>
        <w:rPr>
          <w:rFonts w:hint="eastAsia" w:ascii="仿宋" w:hAnsi="仿宋" w:eastAsia="仿宋" w:cs="仿宋"/>
          <w:color w:val="auto"/>
          <w:sz w:val="30"/>
          <w:szCs w:val="30"/>
          <w:lang w:val="en-US" w:eastAsia="zh-CN"/>
        </w:rPr>
        <w:t>执行相关案件</w:t>
      </w:r>
      <w:r>
        <w:rPr>
          <w:rFonts w:hint="eastAsia" w:ascii="仿宋" w:hAnsi="仿宋" w:eastAsia="仿宋" w:cs="仿宋"/>
          <w:color w:val="auto"/>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三、</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评估基准日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2022年6月30日（现场勘验时间）。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选择上述时点为此次评估基准日，是为了有利于保证评估结果有效地服务于评估目的，尽量减少和避免评估基准日后的调整事项，合理选择作价依据、价格标准、评估方法和评估参数</w:t>
      </w:r>
      <w:r>
        <w:rPr>
          <w:rFonts w:hint="eastAsia" w:ascii="仿宋" w:hAnsi="仿宋" w:eastAsia="仿宋" w:cs="仿宋"/>
          <w:color w:val="auto"/>
          <w:sz w:val="30"/>
          <w:szCs w:val="30"/>
          <w:lang w:eastAsia="zh-CN"/>
        </w:rPr>
        <w:t>。</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四、价格定义</w:t>
      </w:r>
    </w:p>
    <w:p>
      <w:pPr>
        <w:pStyle w:val="2"/>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，采用公开市场价值标准确定的客观合理的价格水平，即评估对象在估价时点，满足各项限制条件下</w:t>
      </w:r>
      <w:r>
        <w:rPr>
          <w:rFonts w:hint="eastAsia" w:ascii="仿宋" w:hAnsi="仿宋" w:eastAsia="仿宋" w:cs="仿宋"/>
          <w:color w:val="auto"/>
          <w:sz w:val="30"/>
          <w:szCs w:val="30"/>
          <w:lang w:eastAsia="zh-CN"/>
        </w:rPr>
        <w:t>房地合一</w:t>
      </w:r>
      <w:r>
        <w:rPr>
          <w:rFonts w:hint="eastAsia" w:ascii="仿宋" w:hAnsi="仿宋" w:eastAsia="仿宋" w:cs="仿宋"/>
          <w:color w:val="auto"/>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五、</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评估依据</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（一）国家、地方有关法律、法规及相关文件</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1、《中华人民共和国价格法》；</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2、《中华人民共和国资产评估法》；</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3、《中华人民共和国城市房地产管理法》；</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湖北省涉案财物价格鉴定操作规程</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《房地产</w:t>
      </w:r>
      <w:r>
        <w:rPr>
          <w:rFonts w:hint="eastAsia" w:ascii="仿宋" w:hAnsi="仿宋" w:eastAsia="仿宋" w:cs="仿宋"/>
          <w:color w:val="auto"/>
          <w:sz w:val="30"/>
          <w:szCs w:val="30"/>
          <w:lang w:eastAsia="zh-CN"/>
        </w:rPr>
        <w:t>估价</w:t>
      </w:r>
      <w:r>
        <w:rPr>
          <w:rFonts w:hint="eastAsia" w:ascii="仿宋" w:hAnsi="仿宋" w:eastAsia="仿宋" w:cs="仿宋"/>
          <w:color w:val="auto"/>
          <w:sz w:val="30"/>
          <w:szCs w:val="30"/>
        </w:rPr>
        <w:t>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6、《不动产价格鉴证评估技术规范》；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7、《价格鉴证评估行为指南》；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、《价格评估执业规范》；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、《价格评估</w:t>
      </w:r>
      <w:r>
        <w:rPr>
          <w:rFonts w:hint="eastAsia" w:ascii="仿宋" w:hAnsi="仿宋" w:eastAsia="仿宋" w:cs="仿宋"/>
          <w:color w:val="auto"/>
          <w:sz w:val="30"/>
          <w:szCs w:val="30"/>
          <w:lang w:eastAsia="zh-CN"/>
        </w:rPr>
        <w:t>专业</w:t>
      </w:r>
      <w:r>
        <w:rPr>
          <w:rFonts w:hint="eastAsia" w:ascii="仿宋" w:hAnsi="仿宋" w:eastAsia="仿宋" w:cs="仿宋"/>
          <w:color w:val="auto"/>
          <w:sz w:val="30"/>
          <w:szCs w:val="30"/>
        </w:rPr>
        <w:t>人员自律守则》；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、《价格评估行业职业操守》；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rPr>
        <w:t>、《价格鉴证评估专业技术评审工作规范》</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12</w:t>
      </w:r>
      <w:r>
        <w:rPr>
          <w:rFonts w:hint="eastAsia" w:ascii="仿宋" w:hAnsi="仿宋" w:eastAsia="仿宋" w:cs="仿宋"/>
          <w:color w:val="auto"/>
          <w:sz w:val="30"/>
          <w:szCs w:val="30"/>
        </w:rPr>
        <w:t>、其他相关法律、法规、通知文件等</w:t>
      </w:r>
      <w:r>
        <w:rPr>
          <w:rFonts w:hint="eastAsia" w:ascii="仿宋" w:hAnsi="仿宋" w:eastAsia="仿宋" w:cs="仿宋"/>
          <w:color w:val="auto"/>
          <w:sz w:val="30"/>
          <w:szCs w:val="30"/>
          <w:lang w:eastAsia="zh-CN"/>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（二）委托方提供的相关资料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eastAsia="zh-CN"/>
        </w:rPr>
        <w:t>《鉴定委托书》</w:t>
      </w:r>
      <w:r>
        <w:rPr>
          <w:rFonts w:hint="eastAsia" w:ascii="仿宋" w:hAnsi="仿宋" w:eastAsia="仿宋" w:cs="仿宋"/>
          <w:color w:val="auto"/>
          <w:sz w:val="30"/>
          <w:szCs w:val="30"/>
          <w:lang w:val="en-US" w:eastAsia="zh-CN"/>
        </w:rPr>
        <w:t>[京法鉴委（2022）特21号]</w:t>
      </w:r>
      <w:r>
        <w:rPr>
          <w:rFonts w:hint="eastAsia" w:ascii="仿宋" w:hAnsi="仿宋" w:eastAsia="仿宋" w:cs="仿宋"/>
          <w:color w:val="auto"/>
          <w:sz w:val="30"/>
          <w:szCs w:val="30"/>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2、委托方提供的</w:t>
      </w:r>
      <w:r>
        <w:rPr>
          <w:rFonts w:hint="eastAsia" w:ascii="仿宋" w:hAnsi="仿宋" w:eastAsia="仿宋" w:cs="仿宋"/>
          <w:color w:val="auto"/>
          <w:sz w:val="30"/>
          <w:szCs w:val="30"/>
          <w:lang w:eastAsia="zh-CN"/>
        </w:rPr>
        <w:t>房屋不动产权查询</w:t>
      </w:r>
      <w:r>
        <w:rPr>
          <w:rFonts w:hint="eastAsia" w:ascii="仿宋" w:hAnsi="仿宋" w:eastAsia="仿宋" w:cs="仿宋"/>
          <w:color w:val="auto"/>
          <w:sz w:val="30"/>
          <w:szCs w:val="30"/>
        </w:rPr>
        <w:t>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（三）评估方收集的相关资料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1、现场（实物）勘验资料；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2、市场调查资料等。</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六、</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评估方法 </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成</w:t>
      </w:r>
      <w:r>
        <w:rPr>
          <w:rFonts w:hint="eastAsia" w:ascii="仿宋" w:hAnsi="仿宋" w:eastAsia="仿宋" w:cs="仿宋"/>
          <w:color w:val="000000" w:themeColor="text1"/>
          <w:sz w:val="30"/>
          <w:szCs w:val="30"/>
          <w:lang w:val="en-US" w:eastAsia="zh-CN"/>
          <w14:textFill>
            <w14:solidFill>
              <w14:schemeClr w14:val="tx1"/>
            </w14:solidFill>
          </w14:textFill>
        </w:rPr>
        <w:t>本法、</w:t>
      </w:r>
      <w:r>
        <w:rPr>
          <w:rFonts w:hint="eastAsia" w:ascii="仿宋" w:hAnsi="仿宋" w:eastAsia="仿宋" w:cs="仿宋"/>
          <w:b w:val="0"/>
          <w:bCs/>
          <w:color w:val="000000" w:themeColor="text1"/>
          <w:sz w:val="30"/>
          <w:szCs w:val="30"/>
          <w:lang w:val="en-US" w:eastAsia="zh-CN"/>
          <w14:textFill>
            <w14:solidFill>
              <w14:schemeClr w14:val="tx1"/>
            </w14:solidFill>
          </w14:textFill>
        </w:rPr>
        <w:t>基准地价系数修正法</w:t>
      </w:r>
      <w:r>
        <w:rPr>
          <w:rFonts w:hint="eastAsia" w:ascii="仿宋" w:hAnsi="仿宋" w:eastAsia="仿宋" w:cs="仿宋"/>
          <w:color w:val="000000" w:themeColor="text1"/>
          <w:sz w:val="30"/>
          <w:szCs w:val="3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七、</w:t>
      </w:r>
      <w:r>
        <w:rPr>
          <w:rFonts w:hint="eastAsia" w:ascii="仿宋" w:hAnsi="仿宋" w:eastAsia="仿宋" w:cs="仿宋"/>
          <w:b/>
          <w:bCs/>
          <w:color w:val="auto"/>
          <w:sz w:val="30"/>
          <w:szCs w:val="30"/>
        </w:rPr>
        <w:t>价格评估</w:t>
      </w:r>
      <w:r>
        <w:rPr>
          <w:rFonts w:hint="eastAsia" w:ascii="仿宋" w:hAnsi="仿宋" w:eastAsia="仿宋" w:cs="仿宋"/>
          <w:b/>
          <w:bCs/>
          <w:color w:val="auto"/>
          <w:sz w:val="30"/>
          <w:szCs w:val="30"/>
          <w:lang w:val="en-US" w:eastAsia="zh-CN"/>
        </w:rPr>
        <w:t>程序和</w:t>
      </w:r>
      <w:r>
        <w:rPr>
          <w:rFonts w:hint="eastAsia" w:ascii="仿宋" w:hAnsi="仿宋" w:eastAsia="仿宋" w:cs="仿宋"/>
          <w:b/>
          <w:bCs/>
          <w:color w:val="auto"/>
          <w:sz w:val="30"/>
          <w:szCs w:val="30"/>
        </w:rPr>
        <w:t>过程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的委托，</w:t>
      </w:r>
      <w:r>
        <w:rPr>
          <w:rFonts w:hint="eastAsia" w:ascii="仿宋" w:hAnsi="仿宋" w:eastAsia="仿宋" w:cs="仿宋"/>
          <w:color w:val="auto"/>
          <w:sz w:val="30"/>
          <w:szCs w:val="30"/>
          <w:lang w:eastAsia="zh-CN"/>
        </w:rPr>
        <w:t>对</w:t>
      </w:r>
      <w:r>
        <w:rPr>
          <w:rFonts w:hint="eastAsia" w:ascii="仿宋" w:hAnsi="仿宋" w:eastAsia="仿宋" w:cs="仿宋"/>
          <w:b w:val="0"/>
          <w:bCs/>
          <w:color w:val="auto"/>
          <w:sz w:val="30"/>
          <w:szCs w:val="30"/>
          <w:lang w:eastAsia="zh-CN"/>
        </w:rPr>
        <w:t>标的</w:t>
      </w:r>
      <w:r>
        <w:rPr>
          <w:rFonts w:hint="eastAsia" w:ascii="仿宋" w:hAnsi="仿宋" w:eastAsia="仿宋" w:cs="仿宋"/>
          <w:b w:val="0"/>
          <w:bCs/>
          <w:color w:val="auto"/>
          <w:sz w:val="30"/>
          <w:szCs w:val="30"/>
          <w:lang w:val="en-US" w:eastAsia="zh-CN"/>
        </w:rPr>
        <w:t>房地产及相应土地使用权</w:t>
      </w:r>
      <w:r>
        <w:rPr>
          <w:rFonts w:hint="eastAsia" w:ascii="仿宋" w:hAnsi="仿宋" w:eastAsia="仿宋" w:cs="仿宋"/>
          <w:color w:val="auto"/>
          <w:sz w:val="30"/>
          <w:szCs w:val="30"/>
          <w:lang w:eastAsia="zh-CN"/>
        </w:rPr>
        <w:t>进行价格评估</w:t>
      </w:r>
      <w:r>
        <w:rPr>
          <w:rFonts w:hint="eastAsia" w:ascii="仿宋" w:hAnsi="仿宋" w:eastAsia="仿宋" w:cs="仿宋"/>
          <w:b w:val="0"/>
          <w:bCs/>
          <w:color w:val="auto"/>
          <w:sz w:val="30"/>
          <w:szCs w:val="30"/>
          <w:lang w:eastAsia="zh-CN"/>
        </w:rPr>
        <w:t>，</w:t>
      </w:r>
      <w:r>
        <w:rPr>
          <w:rFonts w:hint="eastAsia" w:ascii="仿宋" w:hAnsi="仿宋" w:eastAsia="仿宋" w:cs="仿宋"/>
          <w:color w:val="auto"/>
          <w:sz w:val="30"/>
          <w:szCs w:val="30"/>
        </w:rPr>
        <w:t>整个评估过程包括接受委托、评估准备、现场清查核实、评定估算、评估汇总及提交报告等，具体如下：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（一）初步了解此次委估财产的有关情况，明确评估目的、评估范围和评估对象，与委托方共同确定评估基准日</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根据财产评估规范要求，准备资料。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（二）前期准备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公司根据评估标的组建了价格评估项目专家小组，并对评估标的制定了评估计划</w:t>
      </w:r>
      <w:r>
        <w:rPr>
          <w:rFonts w:hint="eastAsia" w:ascii="仿宋" w:hAnsi="仿宋" w:eastAsia="仿宋" w:cs="仿宋"/>
          <w:color w:val="auto"/>
          <w:sz w:val="30"/>
          <w:szCs w:val="30"/>
          <w:lang w:eastAsia="zh-CN"/>
        </w:rPr>
        <w:t>方案</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（三）财产核实及现场调查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根据委托方提供的评估申报资料，价格评估人员于20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30日</w:t>
      </w:r>
      <w:r>
        <w:rPr>
          <w:rFonts w:hint="eastAsia" w:ascii="仿宋" w:hAnsi="仿宋" w:eastAsia="仿宋" w:cs="仿宋"/>
          <w:color w:val="auto"/>
          <w:sz w:val="30"/>
          <w:szCs w:val="30"/>
          <w:lang w:eastAsia="zh-CN"/>
        </w:rPr>
        <w:t>在京山市人民法院技术鉴定科、执行庭法官、当事人代表带领下对委估房地产进行了勘查</w:t>
      </w:r>
      <w:r>
        <w:rPr>
          <w:rFonts w:hint="eastAsia" w:ascii="仿宋" w:hAnsi="仿宋" w:eastAsia="仿宋" w:cs="仿宋"/>
          <w:color w:val="auto"/>
          <w:sz w:val="30"/>
          <w:szCs w:val="30"/>
        </w:rPr>
        <w:t>，并对相关情况进行调查。</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四</w:t>
      </w:r>
      <w:r>
        <w:rPr>
          <w:rFonts w:hint="eastAsia" w:ascii="仿宋" w:hAnsi="仿宋" w:eastAsia="仿宋" w:cs="仿宋"/>
          <w:color w:val="auto"/>
          <w:sz w:val="30"/>
          <w:szCs w:val="30"/>
        </w:rPr>
        <w:t xml:space="preserve">）评估测算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1、标的概况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b w:val="0"/>
          <w:bCs/>
          <w:color w:val="auto"/>
          <w:sz w:val="30"/>
          <w:szCs w:val="30"/>
          <w:lang w:val="en-US" w:eastAsia="zh-CN"/>
        </w:rPr>
      </w:pPr>
      <w:r>
        <w:rPr>
          <w:rFonts w:hint="eastAsia" w:ascii="仿宋" w:hAnsi="仿宋" w:eastAsia="仿宋" w:cs="仿宋"/>
          <w:color w:val="auto"/>
          <w:sz w:val="30"/>
          <w:szCs w:val="30"/>
        </w:rPr>
        <w:t>委估</w:t>
      </w:r>
      <w:r>
        <w:rPr>
          <w:rFonts w:hint="eastAsia" w:ascii="仿宋" w:hAnsi="仿宋" w:eastAsia="仿宋" w:cs="仿宋"/>
          <w:color w:val="auto"/>
          <w:sz w:val="30"/>
          <w:szCs w:val="30"/>
          <w:lang w:eastAsia="zh-CN"/>
        </w:rPr>
        <w:t>标的</w:t>
      </w:r>
      <w:r>
        <w:rPr>
          <w:rFonts w:hint="eastAsia" w:ascii="仿宋" w:hAnsi="仿宋" w:eastAsia="仿宋" w:cs="仿宋"/>
          <w:color w:val="auto"/>
          <w:sz w:val="30"/>
          <w:szCs w:val="30"/>
        </w:rPr>
        <w:t>房产</w:t>
      </w:r>
      <w:r>
        <w:rPr>
          <w:rFonts w:hint="eastAsia" w:ascii="仿宋" w:hAnsi="仿宋" w:eastAsia="仿宋" w:cs="仿宋"/>
          <w:b w:val="0"/>
          <w:bCs/>
          <w:color w:val="auto"/>
          <w:sz w:val="30"/>
          <w:szCs w:val="30"/>
          <w:lang w:eastAsia="zh-CN"/>
        </w:rPr>
        <w:t>位于永隆镇兴隆路</w:t>
      </w:r>
      <w:r>
        <w:rPr>
          <w:rFonts w:hint="eastAsia" w:ascii="仿宋" w:hAnsi="仿宋" w:eastAsia="仿宋" w:cs="仿宋"/>
          <w:b w:val="0"/>
          <w:bCs/>
          <w:color w:val="auto"/>
          <w:sz w:val="30"/>
          <w:szCs w:val="30"/>
          <w:lang w:val="en-US" w:eastAsia="zh-CN"/>
        </w:rPr>
        <w:t>，房产</w:t>
      </w:r>
      <w:r>
        <w:rPr>
          <w:rFonts w:hint="eastAsia" w:ascii="仿宋" w:hAnsi="仿宋" w:eastAsia="仿宋" w:cs="仿宋"/>
          <w:b w:val="0"/>
          <w:bCs/>
          <w:color w:val="auto"/>
          <w:sz w:val="30"/>
          <w:szCs w:val="30"/>
          <w:lang w:eastAsia="zh-CN"/>
        </w:rPr>
        <w:t>共三层，建筑面积为</w:t>
      </w:r>
      <w:r>
        <w:rPr>
          <w:rFonts w:hint="eastAsia" w:ascii="仿宋" w:hAnsi="仿宋" w:eastAsia="仿宋" w:cs="仿宋"/>
          <w:b w:val="0"/>
          <w:bCs/>
          <w:color w:val="auto"/>
          <w:sz w:val="30"/>
          <w:szCs w:val="30"/>
          <w:lang w:val="en-US" w:eastAsia="zh-CN"/>
        </w:rPr>
        <w:t>304.8㎡，</w:t>
      </w:r>
      <w:r>
        <w:rPr>
          <w:rFonts w:hint="eastAsia" w:ascii="仿宋" w:hAnsi="仿宋" w:eastAsia="仿宋" w:cs="仿宋"/>
          <w:b w:val="0"/>
          <w:bCs/>
          <w:color w:val="auto"/>
          <w:sz w:val="30"/>
          <w:szCs w:val="30"/>
          <w:lang w:eastAsia="zh-CN"/>
        </w:rPr>
        <w:t>砖混结构，房屋</w:t>
      </w:r>
      <w:r>
        <w:rPr>
          <w:rFonts w:hint="eastAsia" w:ascii="仿宋" w:hAnsi="仿宋" w:eastAsia="仿宋" w:cs="仿宋"/>
          <w:b w:val="0"/>
          <w:bCs/>
          <w:color w:val="auto"/>
          <w:sz w:val="30"/>
          <w:szCs w:val="30"/>
          <w:lang w:val="en-US" w:eastAsia="zh-CN"/>
        </w:rPr>
        <w:t>有简易装修，现有人居住。</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2、区位状况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rPr>
        <w:t>标的</w:t>
      </w:r>
      <w:r>
        <w:rPr>
          <w:rFonts w:hint="eastAsia" w:ascii="仿宋" w:hAnsi="仿宋" w:eastAsia="仿宋" w:cs="仿宋"/>
          <w:color w:val="auto"/>
          <w:sz w:val="30"/>
          <w:szCs w:val="30"/>
          <w:lang w:eastAsia="zh-CN"/>
        </w:rPr>
        <w:t>房屋</w:t>
      </w:r>
      <w:r>
        <w:rPr>
          <w:rFonts w:hint="eastAsia" w:ascii="仿宋" w:hAnsi="仿宋" w:eastAsia="仿宋" w:cs="仿宋"/>
          <w:color w:val="auto"/>
          <w:sz w:val="30"/>
          <w:szCs w:val="30"/>
        </w:rPr>
        <w:t>位于</w:t>
      </w:r>
      <w:r>
        <w:rPr>
          <w:rFonts w:hint="eastAsia" w:ascii="仿宋" w:hAnsi="仿宋" w:eastAsia="仿宋" w:cs="仿宋"/>
          <w:b w:val="0"/>
          <w:bCs/>
          <w:color w:val="auto"/>
          <w:sz w:val="30"/>
          <w:szCs w:val="30"/>
          <w:lang w:eastAsia="zh-CN"/>
        </w:rPr>
        <w:t>永隆镇兴隆路</w:t>
      </w:r>
      <w:r>
        <w:rPr>
          <w:rFonts w:hint="eastAsia" w:ascii="仿宋" w:hAnsi="仿宋" w:eastAsia="仿宋" w:cs="仿宋"/>
          <w:color w:val="auto"/>
          <w:sz w:val="30"/>
          <w:szCs w:val="30"/>
          <w:lang w:val="en-US" w:eastAsia="zh-CN"/>
        </w:rPr>
        <w:t>，为乡镇中心区域，周边有永隆镇政府、永隆初级中学、永隆影剧院。</w:t>
      </w:r>
      <w:r>
        <w:rPr>
          <w:rFonts w:hint="eastAsia" w:ascii="仿宋" w:hAnsi="仿宋" w:eastAsia="仿宋" w:cs="仿宋"/>
          <w:color w:val="auto"/>
          <w:sz w:val="30"/>
          <w:szCs w:val="30"/>
          <w:lang w:eastAsia="zh-CN"/>
        </w:rPr>
        <w:t>生活配套设施齐全，地理位置较好。</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评估对象权益状况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color w:val="auto"/>
          <w:sz w:val="30"/>
          <w:szCs w:val="30"/>
          <w:lang w:eastAsia="zh-CN"/>
        </w:rPr>
        <w:t>委托方提供的资料显示，房地产所有权人</w:t>
      </w:r>
      <w:r>
        <w:rPr>
          <w:rFonts w:hint="eastAsia" w:ascii="仿宋" w:hAnsi="仿宋" w:eastAsia="仿宋" w:cs="仿宋"/>
          <w:b w:val="0"/>
          <w:bCs/>
          <w:color w:val="auto"/>
          <w:sz w:val="30"/>
          <w:szCs w:val="30"/>
          <w:lang w:eastAsia="zh-CN"/>
        </w:rPr>
        <w:t>范志毅，</w:t>
      </w:r>
      <w:r>
        <w:rPr>
          <w:rFonts w:hint="eastAsia" w:ascii="仿宋" w:hAnsi="仿宋" w:eastAsia="仿宋" w:cs="仿宋"/>
          <w:b w:val="0"/>
          <w:bCs/>
          <w:color w:val="auto"/>
          <w:sz w:val="30"/>
          <w:szCs w:val="30"/>
          <w:lang w:val="en-US" w:eastAsia="zh-CN"/>
        </w:rPr>
        <w:t>权证号为京山县房权证永隆镇字第00064563号，登记时间2013年3月27日，建筑面积为304.8㎡；土地使用权证号为京国用（2014）第0509号，权属性质为国有土地使用权，用途为城镇住宅用地，使用权类型为出让，终止日期2084年11月4日，用地面积为</w:t>
      </w:r>
      <w:r>
        <w:rPr>
          <w:rFonts w:hint="eastAsia" w:ascii="仿宋" w:hAnsi="仿宋" w:eastAsia="仿宋" w:cs="仿宋"/>
          <w:b w:val="0"/>
          <w:bCs/>
          <w:color w:val="000000" w:themeColor="text1"/>
          <w:sz w:val="30"/>
          <w:szCs w:val="30"/>
          <w:lang w:val="en-US" w:eastAsia="zh-CN"/>
          <w14:textFill>
            <w14:solidFill>
              <w14:schemeClr w14:val="tx1"/>
            </w14:solidFill>
          </w14:textFill>
        </w:rPr>
        <w:t>120.11㎡。</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评定估算</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价格评估人员调查了该区域民房的交易情况，该区域内流动人口较少，民宅成交稀少，评估人员无法从市场上获得与本次评估标的类似的可比交易或租赁案例。评估专业人员综合委托方提供的资料</w:t>
      </w:r>
      <w:r>
        <w:rPr>
          <w:rFonts w:hint="eastAsia" w:ascii="仿宋" w:hAnsi="仿宋" w:eastAsia="仿宋" w:cs="仿宋"/>
          <w:b w:val="0"/>
          <w:bCs/>
          <w:color w:val="000000" w:themeColor="text1"/>
          <w:sz w:val="30"/>
          <w:szCs w:val="30"/>
          <w:lang w:val="en-US" w:eastAsia="zh-CN"/>
          <w14:textFill>
            <w14:solidFill>
              <w14:schemeClr w14:val="tx1"/>
            </w14:solidFill>
          </w14:textFill>
        </w:rPr>
        <w:t>、现场勘验情况及市场调查情况等</w:t>
      </w:r>
      <w:r>
        <w:rPr>
          <w:rFonts w:hint="eastAsia" w:ascii="仿宋" w:hAnsi="仿宋" w:eastAsia="仿宋" w:cs="仿宋"/>
          <w:b w:val="0"/>
          <w:bCs/>
          <w:color w:val="auto"/>
          <w:sz w:val="30"/>
          <w:szCs w:val="30"/>
          <w:lang w:val="en-US" w:eastAsia="zh-CN"/>
        </w:rPr>
        <w:t>多方因素，确定本次评估以房地分估方式采用成本法</w:t>
      </w:r>
      <w:r>
        <w:rPr>
          <w:rFonts w:hint="eastAsia" w:ascii="仿宋" w:hAnsi="仿宋" w:eastAsia="仿宋" w:cs="仿宋"/>
          <w:b w:val="0"/>
          <w:bCs/>
          <w:color w:val="000000" w:themeColor="text1"/>
          <w:sz w:val="30"/>
          <w:szCs w:val="30"/>
          <w:lang w:val="en-US" w:eastAsia="zh-CN"/>
          <w14:textFill>
            <w14:solidFill>
              <w14:schemeClr w14:val="tx1"/>
            </w14:solidFill>
          </w14:textFill>
        </w:rPr>
        <w:t>和基准地价系数修正法进</w:t>
      </w:r>
      <w:r>
        <w:rPr>
          <w:rFonts w:hint="eastAsia" w:ascii="仿宋" w:hAnsi="仿宋" w:eastAsia="仿宋" w:cs="仿宋"/>
          <w:b w:val="0"/>
          <w:bCs/>
          <w:color w:val="auto"/>
          <w:sz w:val="30"/>
          <w:szCs w:val="30"/>
          <w:lang w:val="en-US" w:eastAsia="zh-CN"/>
        </w:rPr>
        <w:t>行估算。</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sz w:val="28"/>
          <w:szCs w:val="28"/>
          <w:lang w:val="en-US" w:eastAsia="zh-CN"/>
        </w:rPr>
        <w:t>A、</w:t>
      </w:r>
      <w:r>
        <w:rPr>
          <w:rFonts w:hint="eastAsia" w:ascii="仿宋" w:hAnsi="仿宋" w:eastAsia="仿宋" w:cs="仿宋"/>
          <w:b w:val="0"/>
          <w:bCs/>
          <w:color w:val="auto"/>
          <w:sz w:val="30"/>
          <w:szCs w:val="30"/>
          <w:lang w:val="en-US" w:eastAsia="zh-CN"/>
        </w:rPr>
        <w:t>以成本法测算建筑物价值，是指通过估测被评估资产的重置成本，然后估测被评估资产已存在的各种贬值，并将其从重置成本中予以扣除而得到被评估资产价值的各种评估技术方法的总称。成本法的基本思路是重建或重置被评估资产。对建（构）筑物而言，成本法是以现时条件下被评估建（构）筑物全新状态的重置成本，减去被评估建（构）筑物已经发生的各项贬值，据以估算被评估建（构）筑物价值的一种评估方法。本次评估采用成新折扣的方法来确定被评估建（构）筑物已经发生的各项贬值。其计算公式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评估值=重置成本×综合成新率=单位建筑面积（或单位工程量）重置成本×建筑面积（或工程量）×综合成新率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其中：房屋建筑物重置成本=建安综合造价+前期费用及其他费用+利息+合理利润。建安工程造价以评估人员调查收集的当地类似房屋建筑工程的建筑安装造价为基础，采用类比法，通过结构、层高、跨度、跨数、装修等级、其他特殊附加项目等差异因素调整测算出评估对象房屋建筑物的建安综合造价，再考虑合理的税费利润从而得出评估对象房屋基准日的重置成本。房屋建筑物的综合成新率采用观察法成新率和年限法成新率加权确定，即综合成新率=观察法成新率×观察法成新率权重＋年限法成新率×年限法成新率权重。根据国内执业的经验和惯例，观察法成新率权重、年限法成新率权重分别取60%、40%。其中：观察法成新率根据《房屋完损等级评定标准》（部颁标准）关于房屋建筑物新旧程度的评分标准，结合对被评估房屋建筑物的结构（G）、装修（S）、设备设施（B）的现场清查核实情况加以确定。观察法成新率=结构部分合计得分×结构造价权重＋装修部分合计得分×装修造价权重＋设备设施部分合计得分×设备设施造价权重，结构、装修、设备设施对应的权重参考资产评估常用数据与手册中的相关参数按楼别、结构类别选取确定。年限法成新率=（额定使用年限－已使用年限）/额定使用年限×100%</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（1）根据湖北建设工程标准定额管理总站发布的城市建筑工程造价指数及本地市场调查情况，结合该房屋实际情况，以类比法确定主体建筑物建安综合造价为主体房屋950元/平方米；</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（2）根据现场勘察情况，经测算其配套构筑物及安装工程单位成本为250元/平方米;</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（3)民宅一般为自建，不考虑相关税金成本及开发利润。</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则建筑物重置成本=304.8×（950+250）=365760元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B、土地使用权价值的评估以基准地价系数修正法测算，基准地价系数修正法是利用城镇基准地价和基准地价修正体系等评估成果，按照替代原则，对估价对象的区域条件和个别条件等与其所处区域的平均条件相比较，并对照修正系数表选取相应的修正系数对基准地价进行修正，进而求取估价对象在估价期日价格的方法。</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评估人员以京山市公布的各乡镇基准地价数据，根据相关土地估价规范要求进行修正，测算房屋所在宗地使用权评估单价为每平方米368元，则土地使用权评估价格为368×120.11=44200元。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C、房屋建筑物的综合成新率为60%。</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则标的房屋房地合一评估价格为：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365760×60%+44200=263656元（取整）</w:t>
      </w:r>
      <w:r>
        <w:rPr>
          <w:rFonts w:hint="eastAsia" w:ascii="仿宋" w:hAnsi="仿宋" w:eastAsia="仿宋" w:cs="仿宋"/>
          <w:b w:val="0"/>
          <w:bCs/>
          <w:color w:val="auto"/>
          <w:position w:val="-10"/>
          <w:sz w:val="30"/>
          <w:szCs w:val="30"/>
          <w:lang w:val="en-US" w:eastAsia="zh-CN"/>
        </w:rPr>
        <w:object>
          <v:shape id="_x0000_i1025" o:spt="75" type="#_x0000_t75" style="height:17pt;width:72pt;" o:ole="t" filled="f" o:preferrelative="t" stroked="f" coordsize="21600,21600">
            <v:path/>
            <v:fill on="f" focussize="0,0"/>
            <v:stroke on="f"/>
            <v:imagedata r:id="rId8" o:title=""/>
            <o:lock v:ext="edit" aspectratio="t"/>
            <w10:wrap type="none"/>
            <w10:anchorlock/>
          </v:shape>
          <o:OLEObject Type="Embed" ProgID="Equation.KSEE3" ShapeID="_x0000_i1025" DrawAspect="Content" ObjectID="_1468075725" r:id="rId7">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color w:val="auto"/>
          <w:sz w:val="30"/>
          <w:szCs w:val="30"/>
        </w:rPr>
      </w:pPr>
      <w:r>
        <w:rPr>
          <w:rFonts w:hint="eastAsia" w:ascii="仿宋" w:hAnsi="仿宋" w:eastAsia="仿宋" w:cs="仿宋"/>
          <w:b/>
          <w:color w:val="auto"/>
          <w:sz w:val="30"/>
          <w:szCs w:val="30"/>
        </w:rPr>
        <w:t>八、价格</w:t>
      </w:r>
      <w:r>
        <w:rPr>
          <w:rFonts w:hint="eastAsia" w:ascii="仿宋" w:hAnsi="仿宋" w:eastAsia="仿宋" w:cs="仿宋"/>
          <w:b/>
          <w:color w:val="auto"/>
          <w:sz w:val="30"/>
          <w:szCs w:val="30"/>
          <w:lang w:eastAsia="zh-CN"/>
        </w:rPr>
        <w:t>评估结论</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b w:val="0"/>
          <w:bCs/>
          <w:color w:val="auto"/>
          <w:sz w:val="30"/>
          <w:szCs w:val="30"/>
          <w:lang w:val="en-US" w:eastAsia="zh-CN"/>
        </w:rPr>
        <w:t>通过价格评估</w:t>
      </w:r>
      <w:r>
        <w:rPr>
          <w:rFonts w:hint="eastAsia" w:ascii="仿宋" w:hAnsi="仿宋" w:eastAsia="仿宋" w:cs="仿宋"/>
          <w:color w:val="auto"/>
          <w:sz w:val="30"/>
          <w:szCs w:val="30"/>
          <w:lang w:val="en-US" w:eastAsia="zh-CN"/>
        </w:rPr>
        <w:t>王红平位于京山市永隆镇兴隆路1幢的房屋及相应土地使用权</w:t>
      </w:r>
      <w:r>
        <w:rPr>
          <w:rFonts w:hint="eastAsia" w:ascii="仿宋" w:hAnsi="仿宋" w:eastAsia="仿宋" w:cs="仿宋"/>
          <w:b w:val="0"/>
          <w:bCs/>
          <w:color w:val="auto"/>
          <w:sz w:val="30"/>
          <w:szCs w:val="30"/>
          <w:lang w:val="en-US" w:eastAsia="zh-CN"/>
        </w:rPr>
        <w:t>在2022年6月30日的评估价格为</w:t>
      </w:r>
      <w:r>
        <w:rPr>
          <w:rFonts w:hint="eastAsia" w:ascii="仿宋" w:hAnsi="仿宋" w:eastAsia="仿宋" w:cs="仿宋"/>
          <w:color w:val="auto"/>
          <w:sz w:val="30"/>
          <w:szCs w:val="30"/>
          <w:lang w:val="en-US" w:eastAsia="zh-CN"/>
        </w:rPr>
        <w:t>￥</w:t>
      </w:r>
      <w:r>
        <w:rPr>
          <w:rFonts w:hint="eastAsia" w:ascii="仿宋" w:hAnsi="仿宋" w:eastAsia="仿宋" w:cs="仿宋"/>
          <w:b w:val="0"/>
          <w:bCs/>
          <w:color w:val="auto"/>
          <w:sz w:val="30"/>
          <w:szCs w:val="30"/>
          <w:lang w:val="en-US" w:eastAsia="zh-CN"/>
        </w:rPr>
        <w:t>263656</w:t>
      </w:r>
      <w:r>
        <w:rPr>
          <w:rFonts w:hint="eastAsia" w:ascii="仿宋" w:hAnsi="仿宋" w:eastAsia="仿宋" w:cs="仿宋"/>
          <w:color w:val="auto"/>
          <w:sz w:val="30"/>
          <w:szCs w:val="30"/>
          <w:lang w:val="en-US" w:eastAsia="zh-CN"/>
        </w:rPr>
        <w:t>元（大写人民币</w:t>
      </w:r>
      <w:r>
        <w:rPr>
          <w:rFonts w:hint="eastAsia" w:ascii="仿宋" w:hAnsi="仿宋" w:eastAsia="仿宋" w:cs="仿宋"/>
          <w:color w:val="auto"/>
          <w:sz w:val="30"/>
          <w:szCs w:val="30"/>
          <w:lang w:val="en-US" w:eastAsia="zh-CN"/>
        </w:rPr>
        <w:fldChar w:fldCharType="begin"/>
      </w:r>
      <w:r>
        <w:rPr>
          <w:rFonts w:hint="eastAsia" w:ascii="仿宋" w:hAnsi="仿宋" w:eastAsia="仿宋" w:cs="仿宋"/>
          <w:color w:val="auto"/>
          <w:sz w:val="30"/>
          <w:szCs w:val="30"/>
          <w:lang w:val="en-US" w:eastAsia="zh-CN"/>
        </w:rPr>
        <w:instrText xml:space="preserve"> = 263656 \* CHINESENUM4 \* MERGEFORMAT </w:instrText>
      </w:r>
      <w:r>
        <w:rPr>
          <w:rFonts w:hint="eastAsia" w:ascii="仿宋" w:hAnsi="仿宋" w:eastAsia="仿宋" w:cs="仿宋"/>
          <w:color w:val="auto"/>
          <w:sz w:val="30"/>
          <w:szCs w:val="30"/>
          <w:lang w:val="en-US" w:eastAsia="zh-CN"/>
        </w:rPr>
        <w:fldChar w:fldCharType="separate"/>
      </w:r>
      <w:r>
        <w:rPr>
          <w:rFonts w:hint="eastAsia" w:ascii="仿宋" w:hAnsi="仿宋" w:eastAsia="仿宋" w:cs="仿宋"/>
          <w:color w:val="auto"/>
          <w:sz w:val="30"/>
          <w:szCs w:val="30"/>
          <w:lang w:val="en-US" w:eastAsia="zh-CN"/>
        </w:rPr>
        <w:t>贰拾陆万叁仟陆佰伍拾陆元整</w:t>
      </w:r>
      <w:r>
        <w:rPr>
          <w:rFonts w:hint="eastAsia" w:ascii="仿宋" w:hAnsi="仿宋" w:eastAsia="仿宋" w:cs="仿宋"/>
          <w:color w:val="auto"/>
          <w:sz w:val="30"/>
          <w:szCs w:val="30"/>
          <w:lang w:val="en-US" w:eastAsia="zh-CN"/>
        </w:rPr>
        <w:fldChar w:fldCharType="end"/>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九、价格评估限定条件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报告使用者在使用本评估报告时，应关注以下事项对评估结论可能产生的影响，在依据本报告自行决策时给予充分考虑。</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1、评估结论系根据上述原则、依据、前提、方法、程序而得出，只有在上述原则、依据、前提存在的条件下成立；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2、评估结论仅为本</w:t>
      </w:r>
      <w:r>
        <w:rPr>
          <w:rFonts w:hint="eastAsia" w:ascii="仿宋" w:hAnsi="仿宋" w:eastAsia="仿宋" w:cs="仿宋"/>
          <w:color w:val="auto"/>
          <w:sz w:val="30"/>
          <w:szCs w:val="30"/>
          <w:lang w:eastAsia="zh-CN"/>
        </w:rPr>
        <w:t>次</w:t>
      </w:r>
      <w:r>
        <w:rPr>
          <w:rFonts w:hint="eastAsia" w:ascii="仿宋" w:hAnsi="仿宋" w:eastAsia="仿宋" w:cs="仿宋"/>
          <w:color w:val="auto"/>
          <w:sz w:val="30"/>
          <w:szCs w:val="30"/>
        </w:rPr>
        <w:t>评估目</w:t>
      </w:r>
      <w:r>
        <w:rPr>
          <w:rFonts w:hint="eastAsia" w:ascii="仿宋" w:hAnsi="仿宋" w:eastAsia="仿宋" w:cs="仿宋"/>
          <w:color w:val="auto"/>
          <w:sz w:val="30"/>
          <w:szCs w:val="30"/>
          <w:lang w:eastAsia="zh-CN"/>
        </w:rPr>
        <w:t>的即司法拍卖强制变现这一特定目</w:t>
      </w:r>
      <w:r>
        <w:rPr>
          <w:rFonts w:hint="eastAsia" w:ascii="仿宋" w:hAnsi="仿宋" w:eastAsia="仿宋" w:cs="仿宋"/>
          <w:color w:val="auto"/>
          <w:sz w:val="30"/>
          <w:szCs w:val="30"/>
        </w:rPr>
        <w:t>的服务，</w:t>
      </w:r>
      <w:r>
        <w:rPr>
          <w:rFonts w:hint="eastAsia" w:ascii="仿宋" w:hAnsi="仿宋" w:eastAsia="仿宋" w:cs="仿宋"/>
          <w:color w:val="auto"/>
          <w:sz w:val="30"/>
          <w:szCs w:val="30"/>
          <w:lang w:eastAsia="zh-CN"/>
        </w:rPr>
        <w:t>其他经济行为引用无效</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受评估人员专业范围及清查技术手段的限制，本次评估未对地上建筑物的建筑结构强度、所用材料品质等进行检测，本报告</w:t>
      </w:r>
      <w:r>
        <w:rPr>
          <w:rFonts w:hint="eastAsia" w:ascii="仿宋" w:hAnsi="仿宋" w:eastAsia="仿宋" w:cs="仿宋"/>
          <w:color w:val="auto"/>
          <w:sz w:val="30"/>
          <w:szCs w:val="30"/>
          <w:lang w:eastAsia="zh-CN"/>
        </w:rPr>
        <w:t>设定</w:t>
      </w:r>
      <w:r>
        <w:rPr>
          <w:rFonts w:hint="eastAsia" w:ascii="仿宋" w:hAnsi="仿宋" w:eastAsia="仿宋" w:cs="仿宋"/>
          <w:color w:val="auto"/>
          <w:sz w:val="30"/>
          <w:szCs w:val="30"/>
        </w:rPr>
        <w:t>评估基准日时点的评估对象房地产</w:t>
      </w:r>
      <w:r>
        <w:rPr>
          <w:rFonts w:hint="eastAsia" w:ascii="仿宋" w:hAnsi="仿宋" w:eastAsia="仿宋" w:cs="仿宋"/>
          <w:color w:val="auto"/>
          <w:sz w:val="30"/>
          <w:szCs w:val="30"/>
          <w:lang w:eastAsia="zh-CN"/>
        </w:rPr>
        <w:t>及附属设施</w:t>
      </w:r>
      <w:r>
        <w:rPr>
          <w:rFonts w:hint="eastAsia" w:ascii="仿宋" w:hAnsi="仿宋" w:eastAsia="仿宋" w:cs="仿宋"/>
          <w:color w:val="auto"/>
          <w:sz w:val="30"/>
          <w:szCs w:val="30"/>
        </w:rPr>
        <w:t>工程质量符合国家和地区相关标准</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、本评估结论设定为“司法执行财产处置中的交易税费及财产处置费用</w:t>
      </w:r>
      <w:r>
        <w:rPr>
          <w:rFonts w:hint="eastAsia" w:ascii="仿宋" w:hAnsi="仿宋" w:eastAsia="仿宋" w:cs="仿宋"/>
          <w:color w:val="auto"/>
          <w:sz w:val="30"/>
          <w:szCs w:val="30"/>
          <w:lang w:eastAsia="zh-CN"/>
        </w:rPr>
        <w:t>均由买卖双方按相关规定各自承担</w:t>
      </w:r>
      <w:r>
        <w:rPr>
          <w:rFonts w:hint="eastAsia" w:ascii="仿宋" w:hAnsi="仿宋" w:eastAsia="仿宋" w:cs="仿宋"/>
          <w:color w:val="auto"/>
          <w:sz w:val="30"/>
          <w:szCs w:val="30"/>
        </w:rPr>
        <w:t>”这一税费负担方式下的价值，未考虑评估费、拍卖费、诉讼费、律师费</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交易税费</w:t>
      </w:r>
      <w:r>
        <w:rPr>
          <w:rFonts w:hint="eastAsia" w:ascii="仿宋" w:hAnsi="仿宋" w:eastAsia="仿宋" w:cs="仿宋"/>
          <w:color w:val="auto"/>
          <w:sz w:val="30"/>
          <w:szCs w:val="30"/>
          <w:lang w:eastAsia="zh-CN"/>
        </w:rPr>
        <w:t>以及欠缴的物业水电费</w:t>
      </w:r>
      <w:r>
        <w:rPr>
          <w:rFonts w:hint="eastAsia" w:ascii="仿宋" w:hAnsi="仿宋" w:eastAsia="仿宋" w:cs="仿宋"/>
          <w:color w:val="auto"/>
          <w:sz w:val="30"/>
          <w:szCs w:val="30"/>
        </w:rPr>
        <w:t>等财产处置费用对评估结论的影响</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本评估结论是反映评估对象在本次评估目的下，根据公开市场原则确定的公允价值，没有考虑地方临时限购调控政策和将来特殊的交易可能追加付出的价格等对评估值的影响，也未考虑国家宏观经济政策发生变化以及遇有自然力和其他不可抗力对资产价格的影响。当前述条件以及评估中遵循的持续经营原则等发生变化时，评估结论一般会失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、委托方应对所提供的以上评估原始资料的真实性、合法性和完整性承担责任；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、评估结论是本公司出具的，受具体参加本项目的评估人员的执业水平和能力的影响</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本评估报告仅供委托方为本次评估目的使用。本评估报告书的所有权归评估机构所有，未征得本评估机构同意，评估报告的内容不得被摘抄、引用或披露于公开媒体，法律、法规规定以及相关当事方另有约定的除外。</w:t>
      </w:r>
    </w:p>
    <w:p>
      <w:pPr>
        <w:keepNext w:val="0"/>
        <w:keepLines w:val="0"/>
        <w:pageBreakBefore w:val="0"/>
        <w:numPr>
          <w:ilvl w:val="0"/>
          <w:numId w:val="0"/>
        </w:numPr>
        <w:kinsoku/>
        <w:wordWrap/>
        <w:overflowPunct/>
        <w:topLinePunct w:val="0"/>
        <w:autoSpaceDE/>
        <w:autoSpaceDN/>
        <w:bidi w:val="0"/>
        <w:spacing w:line="360" w:lineRule="auto"/>
        <w:ind w:right="0" w:firstLine="602" w:firstLineChars="200"/>
        <w:jc w:val="both"/>
        <w:textAlignment w:val="auto"/>
        <w:rPr>
          <w:rStyle w:val="9"/>
          <w:rFonts w:hint="eastAsia" w:ascii="仿宋" w:hAnsi="仿宋" w:eastAsia="仿宋" w:cs="仿宋"/>
          <w:b/>
          <w:color w:val="auto"/>
          <w:sz w:val="30"/>
          <w:szCs w:val="30"/>
          <w:lang w:val="en-US" w:eastAsia="zh-CN"/>
        </w:rPr>
      </w:pPr>
      <w:r>
        <w:rPr>
          <w:rFonts w:hint="eastAsia" w:ascii="仿宋" w:hAnsi="仿宋" w:eastAsia="仿宋" w:cs="仿宋"/>
          <w:b/>
          <w:color w:val="auto"/>
          <w:sz w:val="30"/>
          <w:szCs w:val="30"/>
        </w:rPr>
        <w:t>十、</w:t>
      </w:r>
      <w:r>
        <w:rPr>
          <w:rFonts w:hint="eastAsia" w:ascii="仿宋" w:hAnsi="仿宋" w:eastAsia="仿宋" w:cs="仿宋"/>
          <w:b/>
          <w:color w:val="auto"/>
          <w:sz w:val="30"/>
          <w:szCs w:val="30"/>
          <w:lang w:eastAsia="zh-CN"/>
        </w:rPr>
        <w:t>声明</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本评估项目是在独立、客观、公正的原则下由评估机构作出的，评估机构及参加本次评估的工作人员与委托方或其它当事人无任何利害关系，评估人员在评估过程中恪守职业道德和规范，并进行了充分的努力。</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财产评估是价格评估人员依据相关法律、法规和资产评估准则，对评估对象在评估基准日特定目的下的价值进行分析、估算并发表专业意见的行为和过程。评估结论不应被认为是对评估对象可实现价格的保证。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（三）由委托方提供的与评估相关的行为是编制本报告的基础；针对本项目，评估师进行了必要的、独立的核实工作，委托方应对其提供数据的真实性、合法性、完整性负责。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评估师执行财产评估业务的目的是对评估对象价值进行估算并发表专业意见，对评估对象法律权属确认或发表意见超出评估师执业范围。评估过程中，评估人员已对委托提供方的评估对象法律权属数据和数据来源进行了必要的查验。本次评估主要是对委估财产在合法存在的前提下，对其价值进行评估，而非对委估财产的完整产权进行界定和确认。</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（五）报告中的分析、意见和结论只在报告阐明的假设前提和限制条件下有效，它们代表评估人员不带有偏见的专业分析、意见和结论。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（六）本评估报告只能用于此次评估所载明的评估目的，因评估报告使用不当造成的后果与评估人员及其所在的评估机构无关。</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（七）本报告含有若干附件，附件构成本报告重要组成部分，与报告正文具有同等法律效力。 </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Style w:val="9"/>
          <w:rFonts w:hint="eastAsia" w:ascii="仿宋" w:hAnsi="仿宋" w:eastAsia="仿宋" w:cs="仿宋"/>
          <w:b/>
          <w:color w:val="auto"/>
          <w:sz w:val="30"/>
          <w:szCs w:val="30"/>
        </w:rPr>
      </w:pPr>
      <w:r>
        <w:rPr>
          <w:rFonts w:hint="eastAsia" w:ascii="仿宋" w:hAnsi="仿宋" w:eastAsia="仿宋" w:cs="仿宋"/>
          <w:b/>
          <w:color w:val="auto"/>
          <w:sz w:val="30"/>
          <w:szCs w:val="30"/>
        </w:rPr>
        <w:t>十一、</w:t>
      </w:r>
      <w:r>
        <w:rPr>
          <w:rFonts w:hint="eastAsia" w:ascii="仿宋" w:hAnsi="仿宋" w:eastAsia="仿宋" w:cs="仿宋"/>
          <w:b/>
          <w:color w:val="auto"/>
          <w:sz w:val="30"/>
          <w:szCs w:val="30"/>
          <w:lang w:eastAsia="zh-CN"/>
        </w:rPr>
        <w:t>评估</w:t>
      </w:r>
      <w:r>
        <w:rPr>
          <w:rFonts w:hint="eastAsia" w:ascii="仿宋" w:hAnsi="仿宋" w:eastAsia="仿宋" w:cs="仿宋"/>
          <w:b/>
          <w:color w:val="auto"/>
          <w:sz w:val="30"/>
          <w:szCs w:val="30"/>
        </w:rPr>
        <w:t>报告日</w:t>
      </w:r>
      <w:r>
        <w:rPr>
          <w:rStyle w:val="9"/>
          <w:rFonts w:hint="eastAsia" w:ascii="仿宋" w:hAnsi="仿宋" w:eastAsia="仿宋" w:cs="仿宋"/>
          <w:b/>
          <w:color w:val="auto"/>
          <w:sz w:val="30"/>
          <w:szCs w:val="30"/>
        </w:rPr>
        <w:t>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Style w:val="9"/>
          <w:rFonts w:hint="eastAsia" w:ascii="仿宋" w:hAnsi="仿宋" w:eastAsia="仿宋" w:cs="仿宋"/>
          <w:color w:val="auto"/>
          <w:sz w:val="30"/>
          <w:szCs w:val="30"/>
        </w:rPr>
      </w:pP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报告日为</w:t>
      </w: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人员专业意见形成日，本次出具</w:t>
      </w:r>
      <w:r>
        <w:rPr>
          <w:rStyle w:val="9"/>
          <w:rFonts w:hint="eastAsia" w:ascii="仿宋" w:hAnsi="仿宋" w:eastAsia="仿宋" w:cs="仿宋"/>
          <w:color w:val="auto"/>
          <w:sz w:val="30"/>
          <w:szCs w:val="30"/>
          <w:lang w:eastAsia="zh-CN"/>
        </w:rPr>
        <w:t>评估</w:t>
      </w:r>
      <w:r>
        <w:rPr>
          <w:rStyle w:val="9"/>
          <w:rFonts w:hint="eastAsia" w:ascii="仿宋" w:hAnsi="仿宋" w:eastAsia="仿宋" w:cs="仿宋"/>
          <w:color w:val="auto"/>
          <w:sz w:val="30"/>
          <w:szCs w:val="30"/>
        </w:rPr>
        <w:t>报告日期为20</w:t>
      </w:r>
      <w:r>
        <w:rPr>
          <w:rStyle w:val="9"/>
          <w:rFonts w:hint="eastAsia" w:ascii="仿宋" w:hAnsi="仿宋" w:eastAsia="仿宋" w:cs="仿宋"/>
          <w:color w:val="auto"/>
          <w:sz w:val="30"/>
          <w:szCs w:val="30"/>
          <w:lang w:val="en-US" w:eastAsia="zh-CN"/>
        </w:rPr>
        <w:t>22</w:t>
      </w:r>
      <w:r>
        <w:rPr>
          <w:rStyle w:val="9"/>
          <w:rFonts w:hint="eastAsia" w:ascii="仿宋" w:hAnsi="仿宋" w:eastAsia="仿宋" w:cs="仿宋"/>
          <w:color w:val="auto"/>
          <w:sz w:val="30"/>
          <w:szCs w:val="30"/>
        </w:rPr>
        <w:t>年</w:t>
      </w:r>
      <w:r>
        <w:rPr>
          <w:rStyle w:val="9"/>
          <w:rFonts w:hint="eastAsia" w:ascii="仿宋" w:hAnsi="仿宋" w:eastAsia="仿宋" w:cs="仿宋"/>
          <w:color w:val="auto"/>
          <w:sz w:val="30"/>
          <w:szCs w:val="30"/>
          <w:lang w:val="en-US" w:eastAsia="zh-CN"/>
        </w:rPr>
        <w:t>7</w:t>
      </w:r>
      <w:r>
        <w:rPr>
          <w:rStyle w:val="9"/>
          <w:rFonts w:hint="eastAsia" w:ascii="仿宋" w:hAnsi="仿宋" w:eastAsia="仿宋" w:cs="仿宋"/>
          <w:color w:val="auto"/>
          <w:sz w:val="30"/>
          <w:szCs w:val="30"/>
        </w:rPr>
        <w:t>月</w:t>
      </w:r>
      <w:r>
        <w:rPr>
          <w:rStyle w:val="9"/>
          <w:rFonts w:hint="eastAsia" w:ascii="仿宋" w:hAnsi="仿宋" w:eastAsia="仿宋" w:cs="仿宋"/>
          <w:color w:val="auto"/>
          <w:sz w:val="30"/>
          <w:szCs w:val="30"/>
          <w:lang w:val="en-US" w:eastAsia="zh-CN"/>
        </w:rPr>
        <w:t>8</w:t>
      </w:r>
      <w:r>
        <w:rPr>
          <w:rStyle w:val="9"/>
          <w:rFonts w:hint="eastAsia" w:ascii="仿宋" w:hAnsi="仿宋" w:eastAsia="仿宋" w:cs="仿宋"/>
          <w:color w:val="auto"/>
          <w:sz w:val="30"/>
          <w:szCs w:val="30"/>
        </w:rPr>
        <w:t>日。</w:t>
      </w:r>
      <w:r>
        <w:rPr>
          <w:rFonts w:hint="eastAsia" w:ascii="仿宋" w:hAnsi="仿宋" w:eastAsia="仿宋" w:cs="仿宋"/>
          <w:color w:val="auto"/>
          <w:sz w:val="30"/>
          <w:szCs w:val="30"/>
          <w:lang w:val="en-US" w:eastAsia="zh-CN"/>
        </w:rPr>
        <w:t>本评估报告有效期壹年，自评估基准期间起计算，</w:t>
      </w:r>
      <w:r>
        <w:rPr>
          <w:rFonts w:hint="eastAsia" w:ascii="仿宋" w:hAnsi="仿宋" w:eastAsia="仿宋" w:cs="仿宋"/>
          <w:color w:val="auto"/>
          <w:sz w:val="30"/>
          <w:szCs w:val="30"/>
        </w:rPr>
        <w:t>即有效期自20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30</w:t>
      </w:r>
      <w:r>
        <w:rPr>
          <w:rFonts w:hint="eastAsia" w:ascii="仿宋" w:hAnsi="仿宋" w:eastAsia="仿宋" w:cs="仿宋"/>
          <w:color w:val="auto"/>
          <w:sz w:val="30"/>
          <w:szCs w:val="30"/>
        </w:rPr>
        <w:t>日起至20</w:t>
      </w:r>
      <w:r>
        <w:rPr>
          <w:rFonts w:hint="eastAsia" w:ascii="仿宋" w:hAnsi="仿宋" w:eastAsia="仿宋" w:cs="仿宋"/>
          <w:color w:val="auto"/>
          <w:sz w:val="30"/>
          <w:szCs w:val="30"/>
          <w:lang w:val="en-US" w:eastAsia="zh-CN"/>
        </w:rPr>
        <w:t>23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29</w:t>
      </w:r>
      <w:r>
        <w:rPr>
          <w:rFonts w:hint="eastAsia" w:ascii="仿宋" w:hAnsi="仿宋" w:eastAsia="仿宋" w:cs="仿宋"/>
          <w:color w:val="auto"/>
          <w:sz w:val="30"/>
          <w:szCs w:val="30"/>
        </w:rPr>
        <w:t>日止。</w:t>
      </w:r>
    </w:p>
    <w:p>
      <w:pPr>
        <w:pStyle w:val="5"/>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lang w:val="zh-CN"/>
        </w:rPr>
      </w:pPr>
      <w:r>
        <w:rPr>
          <w:rFonts w:hint="eastAsia" w:ascii="仿宋" w:hAnsi="仿宋" w:eastAsia="仿宋" w:cs="仿宋"/>
          <w:b/>
          <w:color w:val="auto"/>
          <w:sz w:val="30"/>
          <w:szCs w:val="30"/>
          <w:lang w:val="zh-CN"/>
        </w:rPr>
        <w:t>十二、价格评估机构</w:t>
      </w:r>
    </w:p>
    <w:p>
      <w:pPr>
        <w:pStyle w:val="5"/>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机构名称：本惟识（湖北）价格评估有限公司</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zh-CN"/>
        </w:rPr>
        <w:t>机构资质证号：</w:t>
      </w:r>
      <w:r>
        <w:rPr>
          <w:rFonts w:hint="eastAsia" w:ascii="仿宋" w:hAnsi="仿宋" w:eastAsia="仿宋" w:cs="仿宋"/>
          <w:color w:val="auto"/>
          <w:sz w:val="30"/>
          <w:szCs w:val="30"/>
        </w:rPr>
        <w:t>中J1700</w:t>
      </w:r>
      <w:r>
        <w:rPr>
          <w:rFonts w:hint="eastAsia" w:ascii="仿宋" w:hAnsi="仿宋" w:eastAsia="仿宋" w:cs="仿宋"/>
          <w:color w:val="auto"/>
          <w:sz w:val="30"/>
          <w:szCs w:val="30"/>
          <w:lang w:val="en-US" w:eastAsia="zh-CN"/>
        </w:rPr>
        <w:t>11</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color w:val="auto"/>
          <w:sz w:val="30"/>
          <w:szCs w:val="30"/>
          <w:lang w:val="en-US" w:eastAsia="zh-CN"/>
        </w:rPr>
        <w:t>公司地址：</w:t>
      </w:r>
      <w:r>
        <w:rPr>
          <w:rFonts w:hint="eastAsia" w:ascii="仿宋" w:hAnsi="仿宋" w:eastAsia="仿宋" w:cs="仿宋"/>
          <w:b w:val="0"/>
          <w:bCs w:val="0"/>
          <w:color w:val="auto"/>
          <w:sz w:val="30"/>
          <w:szCs w:val="30"/>
        </w:rPr>
        <w:t>武汉市</w:t>
      </w:r>
      <w:r>
        <w:rPr>
          <w:rFonts w:hint="eastAsia" w:ascii="仿宋" w:hAnsi="仿宋" w:eastAsia="仿宋" w:cs="仿宋"/>
          <w:b w:val="0"/>
          <w:bCs w:val="0"/>
          <w:color w:val="auto"/>
          <w:sz w:val="30"/>
          <w:szCs w:val="30"/>
          <w:lang w:eastAsia="zh-CN"/>
        </w:rPr>
        <w:t>黄陂区前川街西寺大道</w:t>
      </w:r>
      <w:r>
        <w:rPr>
          <w:rFonts w:hint="eastAsia" w:ascii="仿宋" w:hAnsi="仿宋" w:eastAsia="仿宋" w:cs="仿宋"/>
          <w:b w:val="0"/>
          <w:bCs w:val="0"/>
          <w:color w:val="auto"/>
          <w:sz w:val="30"/>
          <w:szCs w:val="30"/>
          <w:lang w:val="en-US" w:eastAsia="zh-CN"/>
        </w:rPr>
        <w:t>188号4层第2层</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zh-CN" w:eastAsia="zh-CN"/>
        </w:rPr>
        <w:t>分公司名称：本惟识（湖北）价格评估有限公司荆门分公司</w:t>
      </w:r>
    </w:p>
    <w:p>
      <w:pPr>
        <w:keepNext w:val="0"/>
        <w:keepLines w:val="0"/>
        <w:pageBreakBefore w:val="0"/>
        <w:kinsoku/>
        <w:wordWrap/>
        <w:overflowPunct/>
        <w:topLinePunct w:val="0"/>
        <w:autoSpaceDE/>
        <w:autoSpaceDN/>
        <w:bidi w:val="0"/>
        <w:spacing w:line="360" w:lineRule="auto"/>
        <w:ind w:right="0" w:firstLine="602" w:firstLineChars="200"/>
        <w:jc w:val="both"/>
        <w:textAlignment w:val="auto"/>
        <w:outlineLvl w:val="9"/>
        <w:rPr>
          <w:rFonts w:hint="eastAsia" w:ascii="仿宋" w:hAnsi="仿宋" w:eastAsia="仿宋" w:cs="仿宋"/>
          <w:b/>
          <w:color w:val="auto"/>
          <w:sz w:val="30"/>
          <w:szCs w:val="30"/>
        </w:rPr>
      </w:pPr>
      <w:r>
        <w:rPr>
          <w:rStyle w:val="9"/>
          <w:rFonts w:hint="eastAsia" w:ascii="仿宋" w:hAnsi="仿宋" w:eastAsia="仿宋" w:cs="仿宋"/>
          <w:b/>
          <w:color w:val="auto"/>
          <w:sz w:val="30"/>
          <w:szCs w:val="30"/>
        </w:rPr>
        <w:t>十三、价格</w:t>
      </w:r>
      <w:r>
        <w:rPr>
          <w:rStyle w:val="9"/>
          <w:rFonts w:hint="eastAsia" w:ascii="仿宋" w:hAnsi="仿宋" w:eastAsia="仿宋" w:cs="仿宋"/>
          <w:b/>
          <w:color w:val="auto"/>
          <w:sz w:val="30"/>
          <w:szCs w:val="30"/>
          <w:lang w:eastAsia="zh-CN"/>
        </w:rPr>
        <w:t>评估专业</w:t>
      </w:r>
      <w:r>
        <w:rPr>
          <w:rStyle w:val="9"/>
          <w:rFonts w:hint="eastAsia" w:ascii="仿宋" w:hAnsi="仿宋" w:eastAsia="仿宋" w:cs="仿宋"/>
          <w:b/>
          <w:color w:val="auto"/>
          <w:sz w:val="30"/>
          <w:szCs w:val="30"/>
        </w:rPr>
        <w:t>人员</w:t>
      </w:r>
      <w:r>
        <w:rPr>
          <w:rFonts w:hint="eastAsia" w:ascii="仿宋" w:hAnsi="仿宋" w:eastAsia="仿宋" w:cs="仿宋"/>
          <w:color w:val="auto"/>
          <w:sz w:val="30"/>
          <w:szCs w:val="30"/>
        </w:rPr>
        <w:t xml:space="preserve"> </w:t>
      </w:r>
    </w:p>
    <w:tbl>
      <w:tblPr>
        <w:tblStyle w:val="6"/>
        <w:tblW w:w="84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1827"/>
        <w:gridCol w:w="1588"/>
        <w:gridCol w:w="3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862"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姓　名</w:t>
            </w:r>
          </w:p>
        </w:tc>
        <w:tc>
          <w:tcPr>
            <w:tcW w:w="1827"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资格证名称</w:t>
            </w:r>
          </w:p>
        </w:tc>
        <w:tc>
          <w:tcPr>
            <w:tcW w:w="1588"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资格证号</w:t>
            </w:r>
          </w:p>
        </w:tc>
        <w:tc>
          <w:tcPr>
            <w:tcW w:w="3142"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1" w:hRule="atLeast"/>
          <w:jc w:val="center"/>
        </w:trPr>
        <w:tc>
          <w:tcPr>
            <w:tcW w:w="1862"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章政军</w:t>
            </w:r>
          </w:p>
        </w:tc>
        <w:tc>
          <w:tcPr>
            <w:tcW w:w="1827"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价格鉴证师</w:t>
            </w:r>
          </w:p>
        </w:tc>
        <w:tc>
          <w:tcPr>
            <w:tcW w:w="1588"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001</w:t>
            </w:r>
            <w:r>
              <w:rPr>
                <w:rFonts w:hint="eastAsia" w:ascii="仿宋" w:hAnsi="仿宋" w:eastAsia="仿宋" w:cs="仿宋"/>
                <w:color w:val="auto"/>
                <w:sz w:val="30"/>
                <w:szCs w:val="30"/>
                <w:lang w:val="en-US" w:eastAsia="zh-CN"/>
              </w:rPr>
              <w:t>1098</w:t>
            </w:r>
          </w:p>
        </w:tc>
        <w:tc>
          <w:tcPr>
            <w:tcW w:w="3142"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drawing>
                <wp:inline distT="0" distB="0" distL="114300" distR="114300">
                  <wp:extent cx="635" cy="0"/>
                  <wp:effectExtent l="0" t="0" r="0" b="0"/>
                  <wp:docPr id="3"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章政军"/>
                          <pic:cNvPicPr>
                            <a:picLocks noChangeAspect="1"/>
                          </pic:cNvPicPr>
                        </pic:nvPicPr>
                        <pic:blipFill>
                          <a:blip r:embed="rId9"/>
                          <a:stretch>
                            <a:fillRect/>
                          </a:stretch>
                        </pic:blipFill>
                        <pic:spPr>
                          <a:xfrm>
                            <a:off x="0" y="0"/>
                            <a:ext cx="635" cy="0"/>
                          </a:xfrm>
                          <a:prstGeom prst="rect">
                            <a:avLst/>
                          </a:prstGeom>
                          <a:noFill/>
                          <a:ln>
                            <a:noFill/>
                          </a:ln>
                        </pic:spPr>
                      </pic:pic>
                    </a:graphicData>
                  </a:graphic>
                </wp:inline>
              </w:drawing>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jc w:val="center"/>
        </w:trPr>
        <w:tc>
          <w:tcPr>
            <w:tcW w:w="1862"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28"/>
                <w:szCs w:val="28"/>
                <w:lang w:val="en-US" w:eastAsia="zh-CN"/>
              </w:rPr>
              <w:t>陈  松</w:t>
            </w:r>
          </w:p>
        </w:tc>
        <w:tc>
          <w:tcPr>
            <w:tcW w:w="1827"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28"/>
                <w:szCs w:val="28"/>
              </w:rPr>
              <w:t>价格鉴证师</w:t>
            </w:r>
          </w:p>
        </w:tc>
        <w:tc>
          <w:tcPr>
            <w:tcW w:w="158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default" w:ascii="仿宋" w:hAnsi="仿宋" w:eastAsia="仿宋" w:cs="仿宋"/>
                <w:color w:val="auto"/>
                <w:kern w:val="0"/>
                <w:sz w:val="30"/>
                <w:szCs w:val="30"/>
                <w:lang w:val="en-US" w:eastAsia="zh-CN" w:bidi="ar-SA"/>
              </w:rPr>
            </w:pPr>
            <w:r>
              <w:rPr>
                <w:rFonts w:hint="eastAsia" w:ascii="仿宋" w:hAnsi="仿宋" w:eastAsia="仿宋" w:cs="仿宋"/>
                <w:color w:val="auto"/>
                <w:sz w:val="28"/>
                <w:szCs w:val="28"/>
                <w:lang w:val="en-US" w:eastAsia="zh-CN"/>
              </w:rPr>
              <w:t>0017044</w:t>
            </w:r>
          </w:p>
        </w:tc>
        <w:tc>
          <w:tcPr>
            <w:tcW w:w="3142"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drawing>
                <wp:inline distT="0" distB="0" distL="114300" distR="114300">
                  <wp:extent cx="635" cy="0"/>
                  <wp:effectExtent l="0" t="0" r="0" b="0"/>
                  <wp:docPr id="2" name="图片 2"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章政军"/>
                          <pic:cNvPicPr>
                            <a:picLocks noChangeAspect="1"/>
                          </pic:cNvPicPr>
                        </pic:nvPicPr>
                        <pic:blipFill>
                          <a:blip r:embed="rId9"/>
                          <a:stretch>
                            <a:fillRect/>
                          </a:stretch>
                        </pic:blipFill>
                        <pic:spPr>
                          <a:xfrm>
                            <a:off x="0" y="0"/>
                            <a:ext cx="635" cy="0"/>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十四、附件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1、现场勘验</w:t>
      </w:r>
      <w:r>
        <w:rPr>
          <w:rFonts w:hint="eastAsia" w:ascii="仿宋" w:hAnsi="仿宋" w:eastAsia="仿宋" w:cs="仿宋"/>
          <w:color w:val="auto"/>
          <w:sz w:val="30"/>
          <w:szCs w:val="30"/>
          <w:lang w:val="en-US" w:eastAsia="zh-CN"/>
        </w:rPr>
        <w:t>概貌</w:t>
      </w:r>
      <w:r>
        <w:rPr>
          <w:rFonts w:hint="eastAsia" w:ascii="仿宋" w:hAnsi="仿宋" w:eastAsia="仿宋" w:cs="仿宋"/>
          <w:color w:val="auto"/>
          <w:sz w:val="30"/>
          <w:szCs w:val="30"/>
        </w:rPr>
        <w:t>照片；</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价格评估委托书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s="仿宋"/>
          <w:color w:val="auto"/>
          <w:sz w:val="30"/>
          <w:szCs w:val="30"/>
          <w:lang w:val="en-US" w:eastAsia="zh-CN"/>
        </w:rPr>
        <w:t>委托方提供的其他相关资料复印件；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4、价格评估机构营业执照</w:t>
      </w:r>
      <w:r>
        <w:rPr>
          <w:rFonts w:hint="eastAsia" w:ascii="仿宋" w:hAnsi="仿宋" w:eastAsia="仿宋" w:cs="仿宋"/>
          <w:color w:val="auto"/>
          <w:sz w:val="30"/>
          <w:szCs w:val="30"/>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5、价格评估机构资质证书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both"/>
        <w:textAlignment w:val="auto"/>
        <w:outlineLvl w:val="9"/>
        <w:rPr>
          <w:rFonts w:hint="eastAsia" w:ascii="仿宋" w:hAnsi="仿宋" w:eastAsia="仿宋" w:cs="仿宋"/>
          <w:b w:val="0"/>
          <w:bCs w:val="0"/>
          <w:color w:val="auto"/>
          <w:sz w:val="30"/>
          <w:szCs w:val="30"/>
          <w:lang w:eastAsia="zh-CN"/>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价格评估人员资格证书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center"/>
        <w:textAlignment w:val="auto"/>
        <w:outlineLvl w:val="9"/>
        <w:rPr>
          <w:rFonts w:hint="eastAsia" w:ascii="仿宋" w:hAnsi="仿宋" w:eastAsia="仿宋" w:cs="仿宋"/>
          <w:b w:val="0"/>
          <w:bCs w:val="0"/>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center"/>
        <w:textAlignment w:val="auto"/>
        <w:outlineLvl w:val="9"/>
        <w:rPr>
          <w:rFonts w:hint="eastAsia" w:ascii="仿宋" w:hAnsi="仿宋" w:eastAsia="仿宋" w:cs="仿宋"/>
          <w:b w:val="0"/>
          <w:bCs w:val="0"/>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jc w:val="center"/>
        <w:textAlignment w:val="auto"/>
        <w:outlineLvl w:val="9"/>
        <w:rPr>
          <w:rFonts w:hint="eastAsia" w:ascii="仿宋" w:hAnsi="仿宋" w:eastAsia="仿宋" w:cs="仿宋"/>
          <w:b w:val="0"/>
          <w:bCs w:val="0"/>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outlineLvl w:val="9"/>
        <w:rPr>
          <w:rFonts w:hint="eastAsia" w:ascii="仿宋" w:hAnsi="仿宋" w:eastAsia="仿宋" w:cs="仿宋"/>
          <w:b w:val="0"/>
          <w:bCs w:val="0"/>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 xml:space="preserve">                           2022</w:t>
      </w:r>
      <w:r>
        <w:rPr>
          <w:rFonts w:hint="eastAsia" w:ascii="仿宋" w:hAnsi="仿宋" w:eastAsia="仿宋" w:cs="仿宋"/>
          <w:b w:val="0"/>
          <w:bCs w:val="0"/>
          <w:color w:val="auto"/>
          <w:sz w:val="30"/>
          <w:szCs w:val="30"/>
        </w:rPr>
        <w:t>年</w:t>
      </w:r>
      <w:r>
        <w:rPr>
          <w:rFonts w:hint="eastAsia" w:ascii="仿宋" w:hAnsi="仿宋" w:eastAsia="仿宋" w:cs="仿宋"/>
          <w:b w:val="0"/>
          <w:bCs w:val="0"/>
          <w:color w:val="auto"/>
          <w:sz w:val="30"/>
          <w:szCs w:val="30"/>
          <w:lang w:val="en-US" w:eastAsia="zh-CN"/>
        </w:rPr>
        <w:t>7</w:t>
      </w:r>
      <w:r>
        <w:rPr>
          <w:rFonts w:hint="eastAsia" w:ascii="仿宋" w:hAnsi="仿宋" w:eastAsia="仿宋" w:cs="仿宋"/>
          <w:b w:val="0"/>
          <w:bCs w:val="0"/>
          <w:color w:val="auto"/>
          <w:sz w:val="30"/>
          <w:szCs w:val="30"/>
        </w:rPr>
        <w:t>月</w:t>
      </w:r>
      <w:r>
        <w:rPr>
          <w:rFonts w:hint="eastAsia" w:ascii="仿宋" w:hAnsi="仿宋" w:eastAsia="仿宋" w:cs="仿宋"/>
          <w:b w:val="0"/>
          <w:bCs w:val="0"/>
          <w:color w:val="auto"/>
          <w:sz w:val="30"/>
          <w:szCs w:val="30"/>
          <w:lang w:val="en-US" w:eastAsia="zh-CN"/>
        </w:rPr>
        <w:t>8日</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现场</w:t>
      </w:r>
      <w:r>
        <w:rPr>
          <w:rFonts w:hint="eastAsia" w:ascii="仿宋" w:hAnsi="仿宋" w:eastAsia="仿宋" w:cs="仿宋"/>
          <w:b/>
          <w:bCs/>
          <w:color w:val="auto"/>
          <w:sz w:val="30"/>
          <w:szCs w:val="30"/>
        </w:rPr>
        <w:t>勘验</w:t>
      </w:r>
      <w:r>
        <w:rPr>
          <w:rFonts w:hint="eastAsia" w:ascii="仿宋" w:hAnsi="仿宋" w:eastAsia="仿宋" w:cs="仿宋"/>
          <w:b/>
          <w:bCs/>
          <w:color w:val="auto"/>
          <w:sz w:val="30"/>
          <w:szCs w:val="30"/>
          <w:lang w:val="en-US" w:eastAsia="zh-CN"/>
        </w:rPr>
        <w:t>概貌</w:t>
      </w:r>
      <w:r>
        <w:rPr>
          <w:rFonts w:hint="eastAsia" w:ascii="仿宋" w:hAnsi="仿宋" w:eastAsia="仿宋" w:cs="仿宋"/>
          <w:b/>
          <w:bCs/>
          <w:color w:val="auto"/>
          <w:sz w:val="30"/>
          <w:szCs w:val="30"/>
        </w:rPr>
        <w:t>照片</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9" name="图片 9" descr="af316adddce40255f591c070b05e4e1"/>
            <wp:cNvGraphicFramePr/>
            <a:graphic xmlns:a="http://schemas.openxmlformats.org/drawingml/2006/main">
              <a:graphicData uri="http://schemas.openxmlformats.org/drawingml/2006/picture">
                <pic:pic xmlns:pic="http://schemas.openxmlformats.org/drawingml/2006/picture">
                  <pic:nvPicPr>
                    <pic:cNvPr id="9" name="图片 9" descr="af316adddce40255f591c070b05e4e1"/>
                    <pic:cNvPicPr/>
                  </pic:nvPicPr>
                  <pic:blipFill>
                    <a:blip r:embed="rId10"/>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3" name="图片 13" descr="6b083edd73a239f21b0ee606f8432ae"/>
            <wp:cNvGraphicFramePr/>
            <a:graphic xmlns:a="http://schemas.openxmlformats.org/drawingml/2006/main">
              <a:graphicData uri="http://schemas.openxmlformats.org/drawingml/2006/picture">
                <pic:pic xmlns:pic="http://schemas.openxmlformats.org/drawingml/2006/picture">
                  <pic:nvPicPr>
                    <pic:cNvPr id="13" name="图片 13" descr="6b083edd73a239f21b0ee606f8432ae"/>
                    <pic:cNvPicPr/>
                  </pic:nvPicPr>
                  <pic:blipFill>
                    <a:blip r:embed="rId11"/>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7" name="图片 7" descr="ccea88c69ce987fbf1cc746dfdc2e6e"/>
            <wp:cNvGraphicFramePr/>
            <a:graphic xmlns:a="http://schemas.openxmlformats.org/drawingml/2006/main">
              <a:graphicData uri="http://schemas.openxmlformats.org/drawingml/2006/picture">
                <pic:pic xmlns:pic="http://schemas.openxmlformats.org/drawingml/2006/picture">
                  <pic:nvPicPr>
                    <pic:cNvPr id="7" name="图片 7" descr="ccea88c69ce987fbf1cc746dfdc2e6e"/>
                    <pic:cNvPicPr/>
                  </pic:nvPicPr>
                  <pic:blipFill>
                    <a:blip r:embed="rId12"/>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2" name="图片 12" descr="0e81778e179c2cb836075b1a26065e0"/>
            <wp:cNvGraphicFramePr/>
            <a:graphic xmlns:a="http://schemas.openxmlformats.org/drawingml/2006/main">
              <a:graphicData uri="http://schemas.openxmlformats.org/drawingml/2006/picture">
                <pic:pic xmlns:pic="http://schemas.openxmlformats.org/drawingml/2006/picture">
                  <pic:nvPicPr>
                    <pic:cNvPr id="12" name="图片 12" descr="0e81778e179c2cb836075b1a26065e0"/>
                    <pic:cNvPicPr/>
                  </pic:nvPicPr>
                  <pic:blipFill>
                    <a:blip r:embed="rId13"/>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0" name="图片 10" descr="aed495d9390a7e366dabcaf094e9b5d"/>
            <wp:cNvGraphicFramePr/>
            <a:graphic xmlns:a="http://schemas.openxmlformats.org/drawingml/2006/main">
              <a:graphicData uri="http://schemas.openxmlformats.org/drawingml/2006/picture">
                <pic:pic xmlns:pic="http://schemas.openxmlformats.org/drawingml/2006/picture">
                  <pic:nvPicPr>
                    <pic:cNvPr id="10" name="图片 10" descr="aed495d9390a7e366dabcaf094e9b5d"/>
                    <pic:cNvPicPr/>
                  </pic:nvPicPr>
                  <pic:blipFill>
                    <a:blip r:embed="rId14"/>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8" name="图片 8" descr="cbb649dc4ce4a3e326e2e12ded7116b"/>
            <wp:cNvGraphicFramePr/>
            <a:graphic xmlns:a="http://schemas.openxmlformats.org/drawingml/2006/main">
              <a:graphicData uri="http://schemas.openxmlformats.org/drawingml/2006/picture">
                <pic:pic xmlns:pic="http://schemas.openxmlformats.org/drawingml/2006/picture">
                  <pic:nvPicPr>
                    <pic:cNvPr id="8" name="图片 8" descr="cbb649dc4ce4a3e326e2e12ded7116b"/>
                    <pic:cNvPicPr/>
                  </pic:nvPicPr>
                  <pic:blipFill>
                    <a:blip r:embed="rId15"/>
                    <a:stretch>
                      <a:fillRect/>
                    </a:stretch>
                  </pic:blipFill>
                  <pic:spPr>
                    <a:xfrm>
                      <a:off x="0" y="0"/>
                      <a:ext cx="2520315" cy="2520315"/>
                    </a:xfrm>
                    <a:prstGeom prst="rect">
                      <a:avLst/>
                    </a:prstGeom>
                  </pic:spPr>
                </pic:pic>
              </a:graphicData>
            </a:graphic>
          </wp:inline>
        </w:drawing>
      </w:r>
    </w:p>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59264"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59264;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21pstcA&#10;AAAKAQAADwAAAAAAAAABACAAAAAiAAAAZHJzL2Rvd25yZXYueG1sUEsBAhQAFAAAAAgAh07iQA+z&#10;m+OuAQAASwMAAA4AAAAAAAAAAQAgAAAAJgEAAGRycy9lMm9Eb2MueG1sUEsFBgAAAAAGAAYAWQEA&#10;AEYFA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60288"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60288;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ttabLX&#10;AAAACgEAAA8AAAAAAAAAAQAgAAAAIgAAAGRycy9kb3ducmV2LnhtbFBLAQIUABQAAAAIAIdO4kDP&#10;KEY9rwEAAEsDAAAOAAAAAAAAAAEAIAAAACYBAABkcnMvZTJvRG9jLnhtbFBLBQYAAAAABgAGAFkB&#10;AABHBQ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sz w:val="21"/>
      </w:rPr>
      <mc:AlternateContent>
        <mc:Choice Requires="wps">
          <w:drawing>
            <wp:anchor distT="0" distB="0" distL="114300" distR="114300" simplePos="0" relativeHeight="251661312" behindDoc="0" locked="0" layoutInCell="1" allowOverlap="1">
              <wp:simplePos x="0" y="0"/>
              <wp:positionH relativeFrom="margin">
                <wp:posOffset>4315460</wp:posOffset>
              </wp:positionH>
              <wp:positionV relativeFrom="paragraph">
                <wp:posOffset>3810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15</w:t>
                          </w:r>
                          <w:r>
                            <w:rPr>
                              <w:rFonts w:hint="eastAsia" w:ascii="仿宋" w:hAnsi="仿宋" w:eastAsia="仿宋" w:cs="仿宋"/>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9.8pt;margin-top:0.3pt;height:144pt;width:144pt;mso-position-horizontal-relative:margin;mso-wrap-style:none;z-index:251661312;mso-width-relative:page;mso-height-relative:page;" filled="f" stroked="f" coordsize="21600,21600" o:gfxdata="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AWKKvWAAAACAEAAA8AAAAAAAAA&#10;AQAgAAAAIgAAAGRycy9kb3ducmV2LnhtbFBLAQIUABQAAAAIAIdO4kAR1yZaEwIAABMEAAAOAAAA&#10;AAAAAAEAIAAAACUBAABkcnMvZTJvRG9jLnhtbFBLBQYAAAAABgAGAFkBAACqBQAAAAA=&#10;">
              <v:fill on="f" focussize="0,0"/>
              <v:stroke on="f" weight="0.5pt"/>
              <v:imagedata o:title=""/>
              <o:lock v:ext="edit" aspectratio="f"/>
              <v:textbox inset="0mm,0mm,0mm,0mm" style="mso-fit-shape-to-text:t;">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15</w:t>
                    </w:r>
                    <w:r>
                      <w:rPr>
                        <w:rFonts w:hint="eastAsia" w:ascii="仿宋" w:hAnsi="仿宋" w:eastAsia="仿宋" w:cs="仿宋"/>
                      </w:rPr>
                      <w:t>页</w:t>
                    </w:r>
                  </w:p>
                </w:txbxContent>
              </v:textbox>
            </v:shape>
          </w:pict>
        </mc:Fallback>
      </mc:AlternateContent>
    </w: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15107263299</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18"/>
        <w:szCs w:val="18"/>
        <w:u w:val="singl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18"/>
        <w:szCs w:val="18"/>
        <w:u w:val="single"/>
      </w:rPr>
    </w:pPr>
    <w:r>
      <w:rPr>
        <w:rFonts w:hint="eastAsia" w:ascii="仿宋" w:hAnsi="仿宋" w:eastAsia="仿宋" w:cs="仿宋"/>
        <w:sz w:val="18"/>
        <w:szCs w:val="18"/>
        <w:u w:val="single"/>
      </w:rPr>
      <w:t>公正　 公平　 公开        　　　</w:t>
    </w:r>
    <w:r>
      <w:rPr>
        <w:rFonts w:hint="eastAsia" w:ascii="仿宋" w:hAnsi="仿宋" w:eastAsia="仿宋" w:cs="仿宋"/>
        <w:sz w:val="18"/>
        <w:szCs w:val="18"/>
        <w:u w:val="single"/>
        <w:lang w:val="en-US" w:eastAsia="zh-CN"/>
      </w:rPr>
      <w:t xml:space="preserve">                            永隆兴隆路涉案房地产价格评估报告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CF5481"/>
    <w:multiLevelType w:val="singleLevel"/>
    <w:tmpl w:val="F1CF548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M2QzMzRmZjIzNzgwZTBkMmE0ZjdhYWFiM2M3MTUifQ=="/>
  </w:docVars>
  <w:rsids>
    <w:rsidRoot w:val="55D34291"/>
    <w:rsid w:val="02A81568"/>
    <w:rsid w:val="0BE46503"/>
    <w:rsid w:val="10507CE0"/>
    <w:rsid w:val="1C7D1E5D"/>
    <w:rsid w:val="232278F9"/>
    <w:rsid w:val="240B0DC2"/>
    <w:rsid w:val="38420471"/>
    <w:rsid w:val="3ACE134C"/>
    <w:rsid w:val="3ED61507"/>
    <w:rsid w:val="433E23A9"/>
    <w:rsid w:val="4B136113"/>
    <w:rsid w:val="54FA3A8E"/>
    <w:rsid w:val="55A46EAE"/>
    <w:rsid w:val="55D34291"/>
    <w:rsid w:val="56817579"/>
    <w:rsid w:val="579B5C5D"/>
    <w:rsid w:val="6B6B40A7"/>
    <w:rsid w:val="6E6F7D18"/>
    <w:rsid w:val="75232716"/>
    <w:rsid w:val="763B2AF5"/>
    <w:rsid w:val="7B297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580" w:lineRule="exact"/>
      <w:ind w:firstLine="630"/>
    </w:pPr>
    <w:rPr>
      <w:rFonts w:ascii="仿宋_GB2312" w:hAnsi="Times New Roman" w:eastAsia="仿宋_GB2312" w:cs="Times New Roman"/>
      <w:sz w:val="30"/>
      <w:szCs w:val="20"/>
      <w:lang w:val="en-GB"/>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8">
    <w:name w:val="Hyperlink"/>
    <w:basedOn w:val="7"/>
    <w:qFormat/>
    <w:uiPriority w:val="0"/>
    <w:rPr>
      <w:rFonts w:ascii="Times New Roman" w:hAnsi="Times New Roman" w:eastAsia="宋体" w:cs="Times New Roman"/>
      <w:color w:val="0000FF"/>
      <w:u w:val="single"/>
    </w:rPr>
  </w:style>
  <w:style w:type="character" w:customStyle="1" w:styleId="9">
    <w:name w:val="apple-converted-space"/>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5514</Words>
  <Characters>5723</Characters>
  <Lines>0</Lines>
  <Paragraphs>0</Paragraphs>
  <TotalTime>2</TotalTime>
  <ScaleCrop>false</ScaleCrop>
  <LinksUpToDate>false</LinksUpToDate>
  <CharactersWithSpaces>5794</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2022-07-04T01:43:00Z</dcterms:created>
  <dc:creator>小西瓜、</dc:creator>
  <cp:lastModifiedBy>lenovo</cp:lastModifiedBy>
  <dcterms:modified xsi:type="dcterms:W3CDTF">2022-07-27T08:25:33Z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y fmtid="{D5CDD505-2E9C-101B-9397-08002B2CF9AE}" pid="3" name="ICV">
    <vt:lpwstr>EA4EB0E527C4416F94707D9990194A63</vt:lpwstr>
  </property>
</Properties>
</file>