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4" w:hRule="atLeast"/>
        </w:trPr>
        <w:tc>
          <w:tcPr>
            <w:tcW w:w="9580" w:type="dxa"/>
            <w:vAlign w:val="center"/>
          </w:tcPr>
          <w:p>
            <w:pPr>
              <w:jc w:val="center"/>
              <w:rPr>
                <w:rFonts w:hint="eastAsia" w:ascii="宋体" w:hAnsi="宋体" w:eastAsia="宋体" w:cs="宋体"/>
                <w:color w:val="auto"/>
                <w:spacing w:val="40"/>
                <w:sz w:val="44"/>
              </w:rPr>
            </w:pPr>
            <w:r>
              <w:rPr>
                <w:rFonts w:hint="eastAsia" w:ascii="宋体" w:hAnsi="宋体" w:eastAsia="宋体" w:cs="宋体"/>
                <w:color w:val="auto"/>
                <w:spacing w:val="40"/>
                <w:sz w:val="44"/>
              </w:rPr>
              <w:t xml:space="preserve">    </w:t>
            </w:r>
            <w:r>
              <w:rPr>
                <w:rFonts w:hint="eastAsia" w:ascii="宋体" w:hAnsi="宋体" w:eastAsia="宋体" w:cs="宋体"/>
                <w:b/>
                <w:bCs/>
                <w:color w:val="auto"/>
                <w:spacing w:val="40"/>
                <w:sz w:val="44"/>
              </w:rPr>
              <w:t>房地产估价报告</w:t>
            </w:r>
          </w:p>
        </w:tc>
      </w:tr>
    </w:tbl>
    <w:p>
      <w:pPr>
        <w:spacing w:line="1600" w:lineRule="exact"/>
        <w:ind w:firstLine="161" w:firstLineChars="50"/>
        <w:rPr>
          <w:rFonts w:hint="eastAsia" w:ascii="宋体" w:hAnsi="宋体" w:eastAsia="宋体" w:cs="宋体"/>
          <w:color w:val="auto"/>
          <w:spacing w:val="-10"/>
          <w:sz w:val="32"/>
          <w:lang w:eastAsia="zh-CN"/>
        </w:rPr>
      </w:pPr>
      <w:r>
        <w:rPr>
          <w:rFonts w:hint="eastAsia" w:ascii="宋体" w:hAnsi="宋体" w:eastAsia="宋体" w:cs="宋体"/>
          <w:b/>
          <w:bCs/>
          <w:color w:val="auto"/>
          <w:sz w:val="32"/>
        </w:rPr>
        <w:t xml:space="preserve">估价报告编号 ： </w:t>
      </w:r>
      <w:r>
        <w:rPr>
          <w:rFonts w:hint="eastAsia" w:ascii="宋体" w:hAnsi="宋体" w:eastAsia="宋体" w:cs="宋体"/>
          <w:b w:val="0"/>
          <w:bCs w:val="0"/>
          <w:color w:val="auto"/>
          <w:sz w:val="32"/>
          <w:lang w:eastAsia="zh-CN"/>
        </w:rPr>
        <w:t>盘博</w:t>
      </w:r>
      <w:r>
        <w:rPr>
          <w:rFonts w:hint="eastAsia" w:ascii="宋体" w:hAnsi="宋体" w:eastAsia="宋体" w:cs="宋体"/>
          <w:color w:val="auto"/>
          <w:spacing w:val="-10"/>
          <w:sz w:val="32"/>
        </w:rPr>
        <w:t>房估</w:t>
      </w:r>
      <w:r>
        <w:rPr>
          <w:rFonts w:hint="eastAsia" w:ascii="宋体" w:hAnsi="宋体" w:eastAsia="宋体" w:cs="宋体"/>
          <w:color w:val="auto"/>
          <w:sz w:val="32"/>
        </w:rPr>
        <w:t>﹝202</w:t>
      </w:r>
      <w:r>
        <w:rPr>
          <w:rFonts w:hint="eastAsia" w:ascii="宋体" w:hAnsi="宋体" w:eastAsia="宋体" w:cs="宋体"/>
          <w:color w:val="auto"/>
          <w:sz w:val="32"/>
          <w:lang w:val="en-US" w:eastAsia="zh-CN"/>
        </w:rPr>
        <w:t>2</w:t>
      </w:r>
      <w:r>
        <w:rPr>
          <w:rFonts w:hint="eastAsia" w:ascii="宋体" w:hAnsi="宋体" w:eastAsia="宋体" w:cs="宋体"/>
          <w:color w:val="auto"/>
          <w:sz w:val="32"/>
        </w:rPr>
        <w:t>﹞</w:t>
      </w:r>
      <w:r>
        <w:rPr>
          <w:rFonts w:hint="eastAsia" w:ascii="宋体" w:hAnsi="宋体" w:eastAsia="宋体" w:cs="宋体"/>
          <w:color w:val="auto"/>
          <w:sz w:val="32"/>
          <w:lang w:eastAsia="zh-CN"/>
        </w:rPr>
        <w:t>第01</w:t>
      </w:r>
      <w:r>
        <w:rPr>
          <w:rFonts w:hint="eastAsia" w:ascii="宋体" w:hAnsi="宋体" w:eastAsia="宋体" w:cs="宋体"/>
          <w:color w:val="auto"/>
          <w:sz w:val="32"/>
          <w:lang w:val="en-US" w:eastAsia="zh-CN"/>
        </w:rPr>
        <w:t>9</w:t>
      </w:r>
      <w:r>
        <w:rPr>
          <w:rFonts w:hint="eastAsia" w:ascii="宋体" w:hAnsi="宋体" w:eastAsia="宋体" w:cs="宋体"/>
          <w:color w:val="auto"/>
          <w:sz w:val="32"/>
          <w:lang w:eastAsia="zh-CN"/>
        </w:rPr>
        <w:t>号</w:t>
      </w:r>
    </w:p>
    <w:p>
      <w:pPr>
        <w:tabs>
          <w:tab w:val="left" w:pos="2880"/>
        </w:tabs>
        <w:spacing w:line="600" w:lineRule="exact"/>
        <w:ind w:left="3100" w:leftChars="100" w:hanging="2890" w:hangingChars="800"/>
        <w:rPr>
          <w:rFonts w:hint="eastAsia" w:ascii="宋体" w:hAnsi="宋体" w:eastAsia="宋体" w:cs="宋体"/>
          <w:color w:val="auto"/>
          <w:spacing w:val="-10"/>
          <w:sz w:val="32"/>
        </w:rPr>
      </w:pPr>
      <w:r>
        <w:rPr>
          <w:rFonts w:hint="eastAsia" w:ascii="宋体" w:hAnsi="宋体" w:eastAsia="宋体" w:cs="宋体"/>
          <w:b/>
          <w:bCs/>
          <w:color w:val="auto"/>
          <w:spacing w:val="20"/>
          <w:sz w:val="32"/>
        </w:rPr>
        <w:t>估价项目名称 ：</w:t>
      </w:r>
      <w:r>
        <w:rPr>
          <w:rFonts w:hint="eastAsia" w:ascii="宋体" w:hAnsi="宋体" w:eastAsia="宋体" w:cs="宋体"/>
          <w:color w:val="auto"/>
          <w:spacing w:val="-10"/>
          <w:sz w:val="32"/>
        </w:rPr>
        <w:t>辽宁省盘锦市中级人民法院因执行</w:t>
      </w:r>
      <w:r>
        <w:rPr>
          <w:rFonts w:hint="eastAsia" w:ascii="宋体" w:hAnsi="宋体" w:eastAsia="宋体" w:cs="宋体"/>
          <w:color w:val="auto"/>
          <w:spacing w:val="-10"/>
          <w:sz w:val="32"/>
          <w:lang w:eastAsia="zh-CN"/>
        </w:rPr>
        <w:t>东莞市绿湖山庄开发建造有限公司名下坐落于东莞市常平镇绿湖山庄的</w:t>
      </w:r>
      <w:r>
        <w:rPr>
          <w:rFonts w:hint="eastAsia" w:ascii="宋体" w:hAnsi="宋体" w:eastAsia="宋体" w:cs="宋体"/>
          <w:color w:val="auto"/>
          <w:spacing w:val="-10"/>
          <w:sz w:val="32"/>
          <w:lang w:val="en-US" w:eastAsia="zh-CN"/>
        </w:rPr>
        <w:t>38套</w:t>
      </w:r>
      <w:r>
        <w:rPr>
          <w:rFonts w:hint="eastAsia" w:ascii="宋体" w:hAnsi="宋体" w:eastAsia="宋体" w:cs="宋体"/>
          <w:color w:val="auto"/>
          <w:spacing w:val="-10"/>
          <w:sz w:val="32"/>
        </w:rPr>
        <w:t>房地产市场价值评估</w:t>
      </w:r>
    </w:p>
    <w:p>
      <w:pPr>
        <w:spacing w:line="1400" w:lineRule="exact"/>
        <w:ind w:firstLine="161" w:firstLineChars="50"/>
        <w:rPr>
          <w:rFonts w:hint="eastAsia" w:ascii="宋体" w:hAnsi="宋体" w:eastAsia="宋体" w:cs="宋体"/>
          <w:color w:val="auto"/>
          <w:spacing w:val="-10"/>
          <w:sz w:val="32"/>
        </w:rPr>
      </w:pPr>
      <w:r>
        <w:rPr>
          <w:rFonts w:hint="eastAsia" w:ascii="宋体" w:hAnsi="宋体" w:eastAsia="宋体" w:cs="宋体"/>
          <w:b/>
          <w:bCs/>
          <w:color w:val="auto"/>
          <w:sz w:val="32"/>
        </w:rPr>
        <w:t>估 价 委 托 人</w:t>
      </w:r>
      <w:r>
        <w:rPr>
          <w:rFonts w:hint="eastAsia" w:ascii="宋体" w:hAnsi="宋体" w:eastAsia="宋体" w:cs="宋体"/>
          <w:b/>
          <w:bCs/>
          <w:color w:val="auto"/>
          <w:sz w:val="32"/>
          <w:lang w:val="en-US" w:eastAsia="zh-CN"/>
        </w:rPr>
        <w:t xml:space="preserve"> </w:t>
      </w:r>
      <w:r>
        <w:rPr>
          <w:rFonts w:hint="eastAsia" w:ascii="宋体" w:hAnsi="宋体" w:eastAsia="宋体" w:cs="宋体"/>
          <w:b/>
          <w:bCs/>
          <w:color w:val="auto"/>
          <w:sz w:val="32"/>
        </w:rPr>
        <w:t>：</w:t>
      </w:r>
      <w:r>
        <w:rPr>
          <w:rFonts w:hint="eastAsia" w:ascii="宋体" w:hAnsi="宋体" w:eastAsia="宋体" w:cs="宋体"/>
          <w:color w:val="auto"/>
          <w:spacing w:val="-10"/>
          <w:sz w:val="32"/>
        </w:rPr>
        <w:t>辽</w:t>
      </w:r>
      <w:bookmarkStart w:id="32" w:name="_GoBack"/>
      <w:bookmarkEnd w:id="32"/>
      <w:r>
        <w:rPr>
          <w:rFonts w:hint="eastAsia" w:ascii="宋体" w:hAnsi="宋体" w:eastAsia="宋体" w:cs="宋体"/>
          <w:color w:val="auto"/>
          <w:spacing w:val="-10"/>
          <w:sz w:val="32"/>
        </w:rPr>
        <w:t>宁省盘锦市中级人民法院</w:t>
      </w:r>
    </w:p>
    <w:p>
      <w:pPr>
        <w:spacing w:line="1400" w:lineRule="exact"/>
        <w:ind w:firstLine="161" w:firstLineChars="50"/>
        <w:rPr>
          <w:rFonts w:hint="eastAsia" w:ascii="宋体" w:hAnsi="宋体" w:eastAsia="宋体" w:cs="宋体"/>
          <w:color w:val="auto"/>
          <w:spacing w:val="-10"/>
          <w:sz w:val="32"/>
        </w:rPr>
      </w:pPr>
      <w:r>
        <w:rPr>
          <w:rFonts w:hint="eastAsia" w:ascii="宋体" w:hAnsi="宋体" w:eastAsia="宋体" w:cs="宋体"/>
          <w:b/>
          <w:bCs/>
          <w:color w:val="auto"/>
          <w:sz w:val="32"/>
        </w:rPr>
        <w:t>房地产估价机构 ：</w:t>
      </w:r>
      <w:r>
        <w:rPr>
          <w:rFonts w:hint="eastAsia" w:ascii="宋体" w:hAnsi="宋体" w:eastAsia="宋体" w:cs="宋体"/>
          <w:color w:val="auto"/>
          <w:spacing w:val="-10"/>
          <w:sz w:val="32"/>
        </w:rPr>
        <w:t>盘锦</w:t>
      </w:r>
      <w:r>
        <w:rPr>
          <w:rFonts w:hint="eastAsia" w:ascii="宋体" w:hAnsi="宋体" w:eastAsia="宋体" w:cs="宋体"/>
          <w:color w:val="auto"/>
          <w:spacing w:val="-10"/>
          <w:sz w:val="32"/>
          <w:lang w:eastAsia="zh-CN"/>
        </w:rPr>
        <w:t>博达</w:t>
      </w:r>
      <w:r>
        <w:rPr>
          <w:rFonts w:hint="eastAsia" w:ascii="宋体" w:hAnsi="宋体" w:eastAsia="宋体" w:cs="宋体"/>
          <w:color w:val="auto"/>
          <w:spacing w:val="-10"/>
          <w:sz w:val="32"/>
        </w:rPr>
        <w:t>房地产评估有限公司</w:t>
      </w:r>
    </w:p>
    <w:p>
      <w:pPr>
        <w:spacing w:line="1400" w:lineRule="exact"/>
        <w:ind w:firstLine="161" w:firstLineChars="50"/>
        <w:rPr>
          <w:rFonts w:hint="eastAsia" w:ascii="宋体" w:hAnsi="宋体" w:eastAsia="宋体" w:cs="宋体"/>
          <w:color w:val="auto"/>
          <w:sz w:val="32"/>
        </w:rPr>
      </w:pPr>
      <w:r>
        <w:rPr>
          <w:rFonts w:hint="eastAsia" w:ascii="宋体" w:hAnsi="宋体" w:eastAsia="宋体" w:cs="宋体"/>
          <w:b/>
          <w:bCs/>
          <w:color w:val="auto"/>
          <w:sz w:val="32"/>
        </w:rPr>
        <w:t>注册房地产估价师 ：</w:t>
      </w:r>
      <w:r>
        <w:rPr>
          <w:rFonts w:hint="eastAsia" w:ascii="宋体" w:hAnsi="宋体" w:eastAsia="宋体" w:cs="宋体"/>
          <w:color w:val="auto"/>
          <w:spacing w:val="-10"/>
          <w:sz w:val="32"/>
          <w:lang w:eastAsia="zh-CN"/>
        </w:rPr>
        <w:t>范</w:t>
      </w:r>
      <w:r>
        <w:rPr>
          <w:rFonts w:hint="eastAsia" w:ascii="宋体" w:hAnsi="宋体" w:eastAsia="宋体" w:cs="宋体"/>
          <w:color w:val="auto"/>
          <w:spacing w:val="-10"/>
          <w:sz w:val="32"/>
          <w:lang w:val="en-US" w:eastAsia="zh-CN"/>
        </w:rPr>
        <w:t xml:space="preserve">  </w:t>
      </w:r>
      <w:r>
        <w:rPr>
          <w:rFonts w:hint="eastAsia" w:ascii="宋体" w:hAnsi="宋体" w:eastAsia="宋体" w:cs="宋体"/>
          <w:color w:val="auto"/>
          <w:spacing w:val="-10"/>
          <w:sz w:val="32"/>
          <w:lang w:eastAsia="zh-CN"/>
        </w:rPr>
        <w:t>涛</w:t>
      </w:r>
      <w:r>
        <w:rPr>
          <w:rFonts w:hint="eastAsia" w:ascii="宋体" w:hAnsi="宋体" w:eastAsia="宋体" w:cs="宋体"/>
          <w:color w:val="auto"/>
          <w:spacing w:val="-10"/>
          <w:sz w:val="32"/>
        </w:rPr>
        <w:t>（注册号：21201</w:t>
      </w:r>
      <w:r>
        <w:rPr>
          <w:rFonts w:hint="eastAsia" w:ascii="宋体" w:hAnsi="宋体" w:eastAsia="宋体" w:cs="宋体"/>
          <w:color w:val="auto"/>
          <w:spacing w:val="-10"/>
          <w:sz w:val="32"/>
          <w:lang w:val="en-US" w:eastAsia="zh-CN"/>
        </w:rPr>
        <w:t>40023</w:t>
      </w:r>
      <w:r>
        <w:rPr>
          <w:rFonts w:hint="eastAsia" w:ascii="宋体" w:hAnsi="宋体" w:eastAsia="宋体" w:cs="宋体"/>
          <w:color w:val="auto"/>
          <w:spacing w:val="-10"/>
          <w:sz w:val="32"/>
        </w:rPr>
        <w:t>）</w:t>
      </w:r>
      <w:r>
        <w:rPr>
          <w:rFonts w:hint="eastAsia" w:ascii="宋体" w:hAnsi="宋体" w:eastAsia="宋体" w:cs="宋体"/>
          <w:color w:val="auto"/>
          <w:sz w:val="32"/>
        </w:rPr>
        <w:t xml:space="preserve"> </w:t>
      </w:r>
    </w:p>
    <w:p>
      <w:pPr>
        <w:tabs>
          <w:tab w:val="left" w:pos="3261"/>
        </w:tabs>
        <w:spacing w:line="1200" w:lineRule="exact"/>
        <w:ind w:firstLine="160" w:firstLineChars="50"/>
        <w:rPr>
          <w:rFonts w:hint="eastAsia" w:ascii="宋体" w:hAnsi="宋体" w:eastAsia="宋体" w:cs="宋体"/>
          <w:color w:val="auto"/>
          <w:spacing w:val="-10"/>
          <w:sz w:val="32"/>
        </w:rPr>
      </w:pPr>
      <w:r>
        <w:rPr>
          <w:rFonts w:hint="eastAsia" w:ascii="宋体" w:hAnsi="宋体" w:eastAsia="宋体" w:cs="宋体"/>
          <w:color w:val="auto"/>
          <w:sz w:val="32"/>
        </w:rPr>
        <w:t xml:space="preserve">   </w:t>
      </w:r>
      <w:r>
        <w:rPr>
          <w:rFonts w:hint="eastAsia" w:ascii="宋体" w:hAnsi="宋体" w:eastAsia="宋体" w:cs="宋体"/>
          <w:color w:val="auto"/>
          <w:spacing w:val="-10"/>
          <w:sz w:val="32"/>
        </w:rPr>
        <w:t xml:space="preserve">                  </w:t>
      </w:r>
      <w:r>
        <w:rPr>
          <w:rFonts w:hint="eastAsia" w:ascii="宋体" w:hAnsi="宋体" w:eastAsia="宋体" w:cs="宋体"/>
          <w:color w:val="auto"/>
          <w:spacing w:val="-10"/>
          <w:sz w:val="32"/>
          <w:lang w:eastAsia="zh-CN"/>
        </w:rPr>
        <w:t>鲍玉平</w:t>
      </w:r>
      <w:r>
        <w:rPr>
          <w:rFonts w:hint="eastAsia" w:ascii="宋体" w:hAnsi="宋体" w:eastAsia="宋体" w:cs="宋体"/>
          <w:color w:val="auto"/>
          <w:spacing w:val="-10"/>
          <w:sz w:val="32"/>
        </w:rPr>
        <w:t>（注册号：</w:t>
      </w:r>
      <w:r>
        <w:rPr>
          <w:rFonts w:hint="eastAsia" w:ascii="宋体" w:hAnsi="宋体" w:eastAsia="宋体" w:cs="宋体"/>
          <w:color w:val="auto"/>
          <w:spacing w:val="-10"/>
          <w:sz w:val="32"/>
          <w:lang w:eastAsia="zh-CN"/>
        </w:rPr>
        <w:t>2120040135</w:t>
      </w:r>
      <w:r>
        <w:rPr>
          <w:rFonts w:hint="eastAsia" w:ascii="宋体" w:hAnsi="宋体" w:eastAsia="宋体" w:cs="宋体"/>
          <w:color w:val="auto"/>
          <w:spacing w:val="-10"/>
          <w:sz w:val="32"/>
        </w:rPr>
        <w:t>）</w:t>
      </w:r>
    </w:p>
    <w:p>
      <w:pPr>
        <w:spacing w:line="1400" w:lineRule="exact"/>
        <w:ind w:firstLine="161" w:firstLineChars="50"/>
        <w:rPr>
          <w:rFonts w:hint="eastAsia" w:ascii="宋体" w:hAnsi="宋体" w:eastAsia="宋体" w:cs="宋体"/>
          <w:b/>
          <w:bCs/>
          <w:color w:val="auto"/>
          <w:spacing w:val="40"/>
          <w:sz w:val="32"/>
        </w:rPr>
        <w:sectPr>
          <w:headerReference r:id="rId4" w:type="first"/>
          <w:headerReference r:id="rId3" w:type="default"/>
          <w:footerReference r:id="rId5" w:type="default"/>
          <w:pgSz w:w="11906" w:h="16838"/>
          <w:pgMar w:top="1418" w:right="1021" w:bottom="1418" w:left="1531" w:header="851" w:footer="1077" w:gutter="0"/>
          <w:pgNumType w:start="1"/>
          <w:cols w:space="425" w:num="1"/>
          <w:titlePg/>
          <w:docGrid w:type="lines" w:linePitch="312" w:charSpace="0"/>
        </w:sectPr>
      </w:pPr>
      <w:r>
        <w:rPr>
          <w:rFonts w:hint="eastAsia" w:ascii="宋体" w:hAnsi="宋体" w:eastAsia="宋体" w:cs="宋体"/>
          <w:b/>
          <w:bCs/>
          <w:color w:val="auto"/>
          <w:sz w:val="32"/>
        </w:rPr>
        <w:t>估价报告出具日期</w:t>
      </w:r>
      <w:r>
        <w:rPr>
          <w:rFonts w:hint="eastAsia" w:ascii="宋体" w:hAnsi="宋体" w:eastAsia="宋体" w:cs="宋体"/>
          <w:b/>
          <w:bCs/>
          <w:color w:val="auto"/>
          <w:sz w:val="32"/>
          <w:lang w:val="en-US" w:eastAsia="zh-CN"/>
        </w:rPr>
        <w:t xml:space="preserve"> </w:t>
      </w:r>
      <w:r>
        <w:rPr>
          <w:rFonts w:hint="eastAsia" w:ascii="宋体" w:hAnsi="宋体" w:eastAsia="宋体" w:cs="宋体"/>
          <w:b/>
          <w:bCs/>
          <w:color w:val="auto"/>
          <w:sz w:val="32"/>
        </w:rPr>
        <w:t>：</w:t>
      </w:r>
      <w:r>
        <w:rPr>
          <w:rFonts w:hint="eastAsia" w:ascii="宋体" w:hAnsi="宋体" w:eastAsia="宋体" w:cs="宋体"/>
          <w:color w:val="auto"/>
          <w:spacing w:val="-10"/>
          <w:sz w:val="32"/>
        </w:rPr>
        <w:t>二〇二</w:t>
      </w:r>
      <w:r>
        <w:rPr>
          <w:rFonts w:hint="eastAsia" w:ascii="宋体" w:hAnsi="宋体" w:eastAsia="宋体" w:cs="宋体"/>
          <w:color w:val="auto"/>
          <w:spacing w:val="-10"/>
          <w:sz w:val="32"/>
          <w:lang w:eastAsia="zh-CN"/>
        </w:rPr>
        <w:t>二</w:t>
      </w:r>
      <w:r>
        <w:rPr>
          <w:rFonts w:hint="eastAsia" w:ascii="宋体" w:hAnsi="宋体" w:eastAsia="宋体" w:cs="宋体"/>
          <w:color w:val="auto"/>
          <w:spacing w:val="-10"/>
          <w:sz w:val="32"/>
        </w:rPr>
        <w:t>年</w:t>
      </w:r>
      <w:r>
        <w:rPr>
          <w:rFonts w:hint="eastAsia" w:ascii="宋体" w:hAnsi="宋体" w:eastAsia="宋体" w:cs="宋体"/>
          <w:color w:val="auto"/>
          <w:spacing w:val="-10"/>
          <w:sz w:val="32"/>
          <w:lang w:eastAsia="zh-CN"/>
        </w:rPr>
        <w:t>六月十七日</w:t>
      </w:r>
      <w:r>
        <w:rPr>
          <w:rFonts w:hint="eastAsia" w:ascii="宋体" w:hAnsi="宋体" w:eastAsia="宋体" w:cs="宋体"/>
          <w:b/>
          <w:bCs/>
          <w:color w:val="auto"/>
          <w:spacing w:val="40"/>
          <w:sz w:val="32"/>
        </w:rPr>
        <w:br w:type="page"/>
      </w:r>
    </w:p>
    <w:p>
      <w:pPr>
        <w:widowControl/>
        <w:ind w:firstLine="3009" w:firstLineChars="750"/>
        <w:jc w:val="left"/>
        <w:rPr>
          <w:rFonts w:hint="eastAsia" w:ascii="宋体" w:hAnsi="宋体" w:eastAsia="宋体" w:cs="宋体"/>
          <w:b/>
          <w:bCs/>
          <w:color w:val="auto"/>
          <w:spacing w:val="40"/>
          <w:sz w:val="44"/>
        </w:rPr>
      </w:pPr>
      <w:r>
        <w:rPr>
          <w:rFonts w:hint="eastAsia" w:ascii="宋体" w:hAnsi="宋体" w:eastAsia="宋体" w:cs="宋体"/>
          <w:b/>
          <w:bCs/>
          <w:color w:val="auto"/>
          <w:spacing w:val="40"/>
          <w:sz w:val="32"/>
        </w:rPr>
        <w:t>致估价委托人函</w:t>
      </w:r>
    </w:p>
    <w:p>
      <w:pPr>
        <w:tabs>
          <w:tab w:val="left" w:pos="1260"/>
        </w:tabs>
        <w:spacing w:line="520" w:lineRule="exact"/>
        <w:rPr>
          <w:rFonts w:hint="eastAsia" w:ascii="宋体" w:hAnsi="宋体" w:eastAsia="宋体" w:cs="宋体"/>
          <w:b/>
          <w:bCs/>
          <w:color w:val="auto"/>
          <w:sz w:val="32"/>
        </w:rPr>
      </w:pPr>
    </w:p>
    <w:p>
      <w:pPr>
        <w:tabs>
          <w:tab w:val="left" w:pos="1260"/>
        </w:tabs>
        <w:spacing w:line="600" w:lineRule="exact"/>
        <w:rPr>
          <w:rFonts w:hint="eastAsia" w:ascii="宋体" w:hAnsi="宋体" w:eastAsia="宋体" w:cs="宋体"/>
          <w:b/>
          <w:bCs/>
          <w:color w:val="auto"/>
          <w:sz w:val="32"/>
        </w:rPr>
      </w:pPr>
      <w:r>
        <w:rPr>
          <w:rFonts w:hint="eastAsia" w:ascii="宋体" w:hAnsi="宋体" w:eastAsia="宋体" w:cs="宋体"/>
          <w:b/>
          <w:bCs/>
          <w:color w:val="auto"/>
          <w:sz w:val="32"/>
        </w:rPr>
        <w:t>辽宁省盘锦市中级人民法院：</w:t>
      </w:r>
    </w:p>
    <w:p>
      <w:pPr>
        <w:spacing w:line="600" w:lineRule="exact"/>
        <w:ind w:firstLine="544" w:firstLineChars="200"/>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我公司受贵院的委托，秉承独立客观公正原则，安排公司注册房地产估价师组成专门小组，按照国家规定的技术标准和程序</w:t>
      </w:r>
      <w:r>
        <w:rPr>
          <w:rFonts w:hint="eastAsia" w:ascii="宋体" w:hAnsi="宋体" w:eastAsia="宋体" w:cs="宋体"/>
          <w:color w:val="auto"/>
          <w:spacing w:val="-4"/>
          <w:sz w:val="28"/>
          <w:szCs w:val="28"/>
        </w:rPr>
        <w:t>，</w:t>
      </w:r>
      <w:r>
        <w:rPr>
          <w:rFonts w:hint="eastAsia" w:ascii="宋体" w:hAnsi="宋体" w:eastAsia="宋体" w:cs="宋体"/>
          <w:color w:val="auto"/>
          <w:spacing w:val="-4"/>
          <w:sz w:val="28"/>
          <w:szCs w:val="28"/>
          <w:lang w:eastAsia="zh-CN"/>
        </w:rPr>
        <w:t>对</w:t>
      </w:r>
      <w:r>
        <w:rPr>
          <w:rFonts w:hint="eastAsia" w:ascii="宋体" w:hAnsi="宋体" w:eastAsia="宋体" w:cs="宋体"/>
          <w:color w:val="auto"/>
          <w:spacing w:val="-10"/>
          <w:sz w:val="28"/>
          <w:szCs w:val="28"/>
          <w:lang w:eastAsia="zh-CN"/>
        </w:rPr>
        <w:t>东莞市绿湖山庄开发建造有限公司名下坐落于东莞市常平镇绿湖山庄（现小区名为东方银座</w:t>
      </w:r>
      <w:r>
        <w:rPr>
          <w:rFonts w:hint="eastAsia" w:ascii="宋体" w:hAnsi="宋体" w:eastAsia="宋体" w:cs="宋体"/>
          <w:color w:val="auto"/>
          <w:spacing w:val="-10"/>
          <w:sz w:val="28"/>
          <w:szCs w:val="28"/>
          <w:lang w:val="en-US" w:eastAsia="zh-CN"/>
        </w:rPr>
        <w:t>·兰乔公馆</w:t>
      </w:r>
      <w:r>
        <w:rPr>
          <w:rFonts w:hint="eastAsia" w:ascii="宋体" w:hAnsi="宋体" w:eastAsia="宋体" w:cs="宋体"/>
          <w:color w:val="auto"/>
          <w:spacing w:val="-10"/>
          <w:sz w:val="28"/>
          <w:szCs w:val="28"/>
          <w:lang w:eastAsia="zh-CN"/>
        </w:rPr>
        <w:t>）的</w:t>
      </w:r>
      <w:r>
        <w:rPr>
          <w:rFonts w:hint="eastAsia" w:ascii="宋体" w:hAnsi="宋体" w:eastAsia="宋体" w:cs="宋体"/>
          <w:color w:val="auto"/>
          <w:spacing w:val="-10"/>
          <w:sz w:val="28"/>
          <w:szCs w:val="28"/>
          <w:lang w:val="en-US" w:eastAsia="zh-CN"/>
        </w:rPr>
        <w:t>38套</w:t>
      </w:r>
      <w:r>
        <w:rPr>
          <w:rFonts w:hint="eastAsia" w:ascii="宋体" w:hAnsi="宋体" w:eastAsia="宋体" w:cs="宋体"/>
          <w:color w:val="auto"/>
          <w:spacing w:val="-4"/>
          <w:sz w:val="28"/>
          <w:szCs w:val="28"/>
          <w:lang w:eastAsia="zh-CN"/>
        </w:rPr>
        <w:t>房屋</w:t>
      </w:r>
      <w:r>
        <w:rPr>
          <w:rFonts w:hint="eastAsia" w:ascii="宋体" w:hAnsi="宋体" w:eastAsia="宋体" w:cs="宋体"/>
          <w:color w:val="auto"/>
          <w:spacing w:val="-4"/>
          <w:sz w:val="28"/>
          <w:szCs w:val="28"/>
          <w:lang w:val="en-US" w:eastAsia="zh-CN"/>
        </w:rPr>
        <w:t>进行</w:t>
      </w:r>
      <w:r>
        <w:rPr>
          <w:rFonts w:hint="eastAsia" w:ascii="宋体" w:hAnsi="宋体" w:eastAsia="宋体" w:cs="宋体"/>
          <w:color w:val="auto"/>
          <w:spacing w:val="-4"/>
          <w:sz w:val="28"/>
          <w:szCs w:val="28"/>
        </w:rPr>
        <w:t>现场查勘与深入市场调查，经全面研究、分析、测算后，已形成房地产估价报告、估价结论与估价结果，现将估价基本情况与估价结果报告如下。</w:t>
      </w:r>
    </w:p>
    <w:p>
      <w:pPr>
        <w:numPr>
          <w:ilvl w:val="0"/>
          <w:numId w:val="1"/>
        </w:numPr>
        <w:spacing w:line="600" w:lineRule="exact"/>
        <w:rPr>
          <w:rFonts w:hint="eastAsia" w:ascii="宋体" w:hAnsi="宋体" w:eastAsia="宋体" w:cs="宋体"/>
          <w:b/>
          <w:bCs/>
          <w:color w:val="auto"/>
          <w:spacing w:val="-4"/>
          <w:sz w:val="28"/>
        </w:rPr>
      </w:pPr>
      <w:r>
        <w:rPr>
          <w:rFonts w:hint="eastAsia" w:ascii="宋体" w:hAnsi="宋体" w:eastAsia="宋体" w:cs="宋体"/>
          <w:b/>
          <w:bCs/>
          <w:color w:val="auto"/>
          <w:spacing w:val="-4"/>
          <w:sz w:val="28"/>
        </w:rPr>
        <w:t>估价目的</w:t>
      </w:r>
    </w:p>
    <w:p>
      <w:pPr>
        <w:autoSpaceDE w:val="0"/>
        <w:autoSpaceDN w:val="0"/>
        <w:spacing w:line="500" w:lineRule="exact"/>
        <w:ind w:left="1" w:firstLine="562" w:firstLineChars="201"/>
        <w:jc w:val="left"/>
        <w:rPr>
          <w:rFonts w:hint="eastAsia" w:ascii="宋体" w:hAnsi="宋体" w:eastAsia="宋体" w:cs="宋体"/>
          <w:color w:val="auto"/>
          <w:sz w:val="28"/>
          <w:szCs w:val="28"/>
        </w:rPr>
      </w:pPr>
      <w:r>
        <w:rPr>
          <w:rFonts w:hint="eastAsia" w:ascii="宋体" w:hAnsi="宋体" w:eastAsia="宋体" w:cs="宋体"/>
          <w:color w:val="auto"/>
          <w:sz w:val="28"/>
          <w:szCs w:val="28"/>
        </w:rPr>
        <w:t>为人民法院确定财产处置参考价提供参考依据。</w:t>
      </w:r>
    </w:p>
    <w:p>
      <w:pPr>
        <w:numPr>
          <w:ilvl w:val="0"/>
          <w:numId w:val="1"/>
        </w:numPr>
        <w:spacing w:line="600" w:lineRule="exact"/>
        <w:rPr>
          <w:rFonts w:hint="eastAsia" w:ascii="宋体" w:hAnsi="宋体" w:eastAsia="宋体" w:cs="宋体"/>
          <w:b/>
          <w:bCs/>
          <w:color w:val="auto"/>
          <w:sz w:val="28"/>
        </w:rPr>
      </w:pPr>
      <w:r>
        <w:rPr>
          <w:rFonts w:hint="eastAsia" w:ascii="宋体" w:hAnsi="宋体" w:eastAsia="宋体" w:cs="宋体"/>
          <w:b/>
          <w:bCs/>
          <w:color w:val="auto"/>
          <w:sz w:val="28"/>
        </w:rPr>
        <w:t>估价对象</w:t>
      </w:r>
    </w:p>
    <w:tbl>
      <w:tblPr>
        <w:tblStyle w:val="5"/>
        <w:tblW w:w="8920" w:type="dxa"/>
        <w:tblInd w:w="54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9"/>
        <w:gridCol w:w="653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财产范围</w:t>
            </w:r>
          </w:p>
        </w:tc>
        <w:tc>
          <w:tcPr>
            <w:tcW w:w="6531" w:type="dxa"/>
          </w:tcPr>
          <w:p>
            <w:pPr>
              <w:spacing w:line="560" w:lineRule="exact"/>
              <w:rPr>
                <w:rFonts w:hint="eastAsia" w:ascii="宋体" w:hAnsi="宋体" w:eastAsia="宋体" w:cs="宋体"/>
                <w:color w:val="auto"/>
                <w:spacing w:val="4"/>
                <w:sz w:val="28"/>
                <w:szCs w:val="28"/>
              </w:rPr>
            </w:pPr>
            <w:r>
              <w:rPr>
                <w:rFonts w:hint="eastAsia" w:ascii="宋体" w:hAnsi="宋体" w:eastAsia="宋体" w:cs="宋体"/>
                <w:color w:val="auto"/>
                <w:sz w:val="28"/>
                <w:szCs w:val="28"/>
              </w:rPr>
              <w:t>房屋所有权及应合理分摊的国有建设用地使用权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坐落及名称</w:t>
            </w:r>
          </w:p>
        </w:tc>
        <w:tc>
          <w:tcPr>
            <w:tcW w:w="6531" w:type="dxa"/>
          </w:tcPr>
          <w:p>
            <w:pPr>
              <w:spacing w:line="560" w:lineRule="exact"/>
              <w:rPr>
                <w:rFonts w:hint="eastAsia" w:ascii="宋体" w:hAnsi="宋体" w:eastAsia="宋体" w:cs="宋体"/>
                <w:color w:val="auto"/>
                <w:spacing w:val="-4"/>
                <w:sz w:val="28"/>
                <w:szCs w:val="28"/>
              </w:rPr>
            </w:pPr>
            <w:r>
              <w:rPr>
                <w:rFonts w:hint="eastAsia" w:ascii="宋体" w:hAnsi="宋体" w:eastAsia="宋体" w:cs="宋体"/>
                <w:color w:val="auto"/>
                <w:spacing w:val="-10"/>
                <w:sz w:val="28"/>
                <w:szCs w:val="28"/>
                <w:lang w:eastAsia="zh-CN"/>
              </w:rPr>
              <w:t>东莞市常平镇绿湖山庄（现名为东方银座</w:t>
            </w:r>
            <w:r>
              <w:rPr>
                <w:rFonts w:hint="eastAsia" w:ascii="宋体" w:hAnsi="宋体" w:eastAsia="宋体" w:cs="宋体"/>
                <w:color w:val="auto"/>
                <w:spacing w:val="-10"/>
                <w:sz w:val="28"/>
                <w:szCs w:val="28"/>
                <w:lang w:val="en-US" w:eastAsia="zh-CN"/>
              </w:rPr>
              <w:t>·兰乔公馆</w:t>
            </w:r>
            <w:r>
              <w:rPr>
                <w:rFonts w:hint="eastAsia" w:ascii="宋体" w:hAnsi="宋体" w:eastAsia="宋体" w:cs="宋体"/>
                <w:color w:val="auto"/>
                <w:spacing w:val="-10"/>
                <w:sz w:val="28"/>
                <w:szCs w:val="28"/>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lang w:eastAsia="zh-CN"/>
              </w:rPr>
            </w:pPr>
            <w:r>
              <w:rPr>
                <w:rFonts w:hint="eastAsia" w:ascii="宋体" w:hAnsi="宋体" w:eastAsia="宋体" w:cs="宋体"/>
                <w:i w:val="0"/>
                <w:iCs w:val="0"/>
                <w:color w:val="auto"/>
                <w:kern w:val="0"/>
                <w:sz w:val="28"/>
                <w:szCs w:val="28"/>
                <w:u w:val="none"/>
                <w:lang w:val="en-US" w:eastAsia="zh-CN" w:bidi="ar"/>
              </w:rPr>
              <w:t>1栋02号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房屋建筑面积为256.09平方米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1栋05号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房屋建筑面积为256.09平方米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1栋06号</w:t>
            </w:r>
          </w:p>
        </w:tc>
        <w:tc>
          <w:tcPr>
            <w:tcW w:w="6531" w:type="dxa"/>
            <w:vAlign w:val="center"/>
          </w:tcPr>
          <w:p>
            <w:pPr>
              <w:keepNext w:val="0"/>
              <w:keepLines w:val="0"/>
              <w:widowControl/>
              <w:suppressLineNumbers w:val="0"/>
              <w:jc w:val="left"/>
              <w:textAlignment w:val="center"/>
              <w:rPr>
                <w:rFonts w:hint="default"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房屋建筑面积为257.86平方米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3栋02号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房屋建筑面积为256.01平方米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3栋04号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房屋建筑面积为256.01平方米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3栋05号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房屋建筑面积为256.01平方米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3栋06号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房屋建筑面积为256.01平方米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b/>
                <w:bCs/>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3栋07号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房屋建筑面积为256.01平方米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4栋02号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房屋建筑面积为256.12平方米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4栋07号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房屋建筑面积为256.12平方米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5栋02号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房屋建筑面积为256.01平方米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5栋08号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房屋建筑面积为257.78平方米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6栋02号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房屋建筑面积为256.12平方米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6栋03号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房屋建筑面积为256.12平方米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6栋04号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房屋建筑面积为256.12平方米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6栋05号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房屋建筑面积为256.12平方米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8栋02号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房屋建筑面积为321.78平方米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8栋03号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房屋建筑面积为321.78平方米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9栋02号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房屋建筑面积为322.06平方米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10栋04号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房屋建筑面积为324.31平方米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11栋02号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房屋建筑面积为321.77平方米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11栋03号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房屋建筑面积为321.77平方米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11栋04号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房屋建筑面积为321.77平方米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13栋03号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房屋建筑面积为321.52平方米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13栋05号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房屋建筑面积为321.52平方米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14栋02号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房屋建筑面积为321.49平方米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14栋03号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房屋建筑面积为321.49平方米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14栋04号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房屋建筑面积为321.49平方米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14栋05号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房屋建筑面积为324.59平方米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15栋01号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房屋建筑面积为325.59平方米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15栋02号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房屋建筑面积为323平方米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15栋03号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房屋建筑面积为323平方米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20栋01号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房屋建筑面积为406.73平方米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20栋02号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房屋建筑面积为406.73平方米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23栋02号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房屋建筑面积为406.73平方米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25栋902号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房屋建筑面积为88.28平方米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26栋203号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房屋建筑面积为88.28平方米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rPr>
            </w:pPr>
            <w:r>
              <w:rPr>
                <w:rFonts w:hint="eastAsia" w:ascii="宋体" w:hAnsi="宋体" w:eastAsia="宋体" w:cs="宋体"/>
                <w:i w:val="0"/>
                <w:iCs w:val="0"/>
                <w:color w:val="auto"/>
                <w:kern w:val="0"/>
                <w:sz w:val="28"/>
                <w:szCs w:val="28"/>
                <w:u w:val="none"/>
                <w:lang w:val="en-US" w:eastAsia="zh-CN" w:bidi="ar"/>
              </w:rPr>
              <w:t>26栋302号</w:t>
            </w:r>
          </w:p>
        </w:tc>
        <w:tc>
          <w:tcPr>
            <w:tcW w:w="6531" w:type="dxa"/>
            <w:vAlign w:val="center"/>
          </w:tcPr>
          <w:p>
            <w:pPr>
              <w:keepNext w:val="0"/>
              <w:keepLines w:val="0"/>
              <w:widowControl/>
              <w:suppressLineNumbers w:val="0"/>
              <w:jc w:val="lef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房屋建筑面积为88.28平方米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lang w:eastAsia="zh-CN"/>
              </w:rPr>
              <w:t>总计</w:t>
            </w:r>
            <w:r>
              <w:rPr>
                <w:rFonts w:hint="eastAsia" w:ascii="宋体" w:hAnsi="宋体" w:eastAsia="宋体" w:cs="宋体"/>
                <w:color w:val="auto"/>
                <w:spacing w:val="4"/>
                <w:sz w:val="28"/>
                <w:szCs w:val="28"/>
              </w:rPr>
              <w:t>规模</w:t>
            </w:r>
          </w:p>
        </w:tc>
        <w:tc>
          <w:tcPr>
            <w:tcW w:w="6531" w:type="dxa"/>
            <w:vAlign w:val="top"/>
          </w:tcPr>
          <w:p>
            <w:pPr>
              <w:spacing w:line="560" w:lineRule="exact"/>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rPr>
              <w:t>房屋建筑面积平方米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rPr>
              <w:t>用途</w:t>
            </w:r>
          </w:p>
        </w:tc>
        <w:tc>
          <w:tcPr>
            <w:tcW w:w="6531" w:type="dxa"/>
            <w:vAlign w:val="top"/>
          </w:tcPr>
          <w:p>
            <w:pPr>
              <w:spacing w:line="560" w:lineRule="exact"/>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lang w:eastAsia="zh-CN"/>
              </w:rPr>
              <w:t>实际</w:t>
            </w:r>
            <w:r>
              <w:rPr>
                <w:rFonts w:hint="eastAsia" w:ascii="宋体" w:hAnsi="宋体" w:eastAsia="宋体" w:cs="宋体"/>
                <w:color w:val="auto"/>
                <w:spacing w:val="4"/>
                <w:sz w:val="28"/>
                <w:szCs w:val="28"/>
              </w:rPr>
              <w:t>用途为</w:t>
            </w:r>
            <w:r>
              <w:rPr>
                <w:rFonts w:hint="eastAsia" w:ascii="宋体" w:hAnsi="宋体" w:eastAsia="宋体" w:cs="宋体"/>
                <w:color w:val="auto"/>
                <w:spacing w:val="4"/>
                <w:sz w:val="28"/>
                <w:szCs w:val="28"/>
              </w:rPr>
              <w:t>住宅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9" w:type="dxa"/>
            <w:vAlign w:val="center"/>
          </w:tcPr>
          <w:p>
            <w:pPr>
              <w:spacing w:line="560" w:lineRule="exact"/>
              <w:jc w:val="center"/>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rPr>
              <w:t>不动产权证书号</w:t>
            </w:r>
          </w:p>
        </w:tc>
        <w:tc>
          <w:tcPr>
            <w:tcW w:w="6531" w:type="dxa"/>
            <w:vAlign w:val="top"/>
          </w:tcPr>
          <w:p>
            <w:pPr>
              <w:spacing w:line="560" w:lineRule="exact"/>
              <w:rPr>
                <w:rFonts w:hint="eastAsia" w:ascii="宋体" w:hAnsi="宋体" w:eastAsia="宋体" w:cs="宋体"/>
                <w:color w:val="auto"/>
                <w:spacing w:val="4"/>
                <w:kern w:val="2"/>
                <w:sz w:val="28"/>
                <w:szCs w:val="28"/>
                <w:lang w:val="en-US" w:eastAsia="zh-CN" w:bidi="ar-SA"/>
              </w:rPr>
            </w:pPr>
            <w:r>
              <w:rPr>
                <w:rFonts w:hint="eastAsia" w:ascii="宋体" w:hAnsi="宋体" w:eastAsia="宋体" w:cs="宋体"/>
                <w:color w:val="auto"/>
                <w:spacing w:val="4"/>
                <w:sz w:val="28"/>
                <w:szCs w:val="28"/>
                <w:lang w:val="en-US" w:eastAsia="zh-CN"/>
              </w:rPr>
              <w:t>未办理</w:t>
            </w:r>
          </w:p>
        </w:tc>
      </w:tr>
    </w:tbl>
    <w:p>
      <w:pPr>
        <w:numPr>
          <w:ilvl w:val="0"/>
          <w:numId w:val="1"/>
        </w:numPr>
        <w:spacing w:line="600" w:lineRule="exact"/>
        <w:rPr>
          <w:rFonts w:hint="eastAsia" w:ascii="宋体" w:hAnsi="宋体" w:eastAsia="宋体" w:cs="宋体"/>
          <w:b/>
          <w:bCs/>
          <w:color w:val="auto"/>
          <w:sz w:val="28"/>
        </w:rPr>
      </w:pPr>
      <w:r>
        <w:rPr>
          <w:rFonts w:hint="eastAsia" w:ascii="宋体" w:hAnsi="宋体" w:eastAsia="宋体" w:cs="宋体"/>
          <w:b/>
          <w:bCs/>
          <w:color w:val="auto"/>
          <w:sz w:val="28"/>
        </w:rPr>
        <w:t>价值时点</w:t>
      </w:r>
    </w:p>
    <w:p>
      <w:pPr>
        <w:spacing w:line="600" w:lineRule="exact"/>
        <w:ind w:left="544"/>
        <w:rPr>
          <w:rFonts w:hint="eastAsia" w:ascii="宋体" w:hAnsi="宋体" w:eastAsia="宋体" w:cs="宋体"/>
          <w:b/>
          <w:bCs/>
          <w:color w:val="auto"/>
          <w:sz w:val="28"/>
        </w:rPr>
      </w:pP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二月十六</w:t>
      </w:r>
      <w:r>
        <w:rPr>
          <w:rFonts w:hint="eastAsia" w:ascii="宋体" w:hAnsi="宋体" w:eastAsia="宋体" w:cs="宋体"/>
          <w:color w:val="auto"/>
          <w:sz w:val="28"/>
        </w:rPr>
        <w:t>日</w:t>
      </w:r>
    </w:p>
    <w:p>
      <w:pPr>
        <w:numPr>
          <w:ilvl w:val="0"/>
          <w:numId w:val="1"/>
        </w:numPr>
        <w:spacing w:line="600" w:lineRule="exact"/>
        <w:rPr>
          <w:rFonts w:hint="eastAsia" w:ascii="宋体" w:hAnsi="宋体" w:eastAsia="宋体" w:cs="宋体"/>
          <w:b/>
          <w:bCs/>
          <w:color w:val="auto"/>
          <w:sz w:val="28"/>
        </w:rPr>
      </w:pPr>
      <w:r>
        <w:rPr>
          <w:rFonts w:hint="eastAsia" w:ascii="宋体" w:hAnsi="宋体" w:eastAsia="宋体" w:cs="宋体"/>
          <w:b/>
          <w:bCs/>
          <w:color w:val="auto"/>
          <w:sz w:val="28"/>
        </w:rPr>
        <w:t>价值类型</w:t>
      </w:r>
    </w:p>
    <w:p>
      <w:pPr>
        <w:spacing w:line="600" w:lineRule="exact"/>
        <w:ind w:left="544"/>
        <w:rPr>
          <w:rFonts w:hint="eastAsia" w:ascii="宋体" w:hAnsi="宋体" w:eastAsia="宋体" w:cs="宋体"/>
          <w:color w:val="auto"/>
          <w:sz w:val="28"/>
        </w:rPr>
      </w:pPr>
      <w:r>
        <w:rPr>
          <w:rFonts w:hint="eastAsia" w:ascii="宋体" w:hAnsi="宋体" w:eastAsia="宋体" w:cs="宋体"/>
          <w:color w:val="auto"/>
          <w:sz w:val="28"/>
        </w:rPr>
        <w:t>市场价值</w:t>
      </w:r>
    </w:p>
    <w:p>
      <w:pPr>
        <w:numPr>
          <w:ilvl w:val="0"/>
          <w:numId w:val="1"/>
        </w:numPr>
        <w:spacing w:line="600" w:lineRule="exact"/>
        <w:rPr>
          <w:rFonts w:hint="eastAsia" w:ascii="宋体" w:hAnsi="宋体" w:eastAsia="宋体" w:cs="宋体"/>
          <w:b/>
          <w:bCs/>
          <w:color w:val="auto"/>
          <w:sz w:val="28"/>
        </w:rPr>
      </w:pPr>
      <w:r>
        <w:rPr>
          <w:rFonts w:hint="eastAsia" w:ascii="宋体" w:hAnsi="宋体" w:eastAsia="宋体" w:cs="宋体"/>
          <w:b/>
          <w:bCs/>
          <w:color w:val="auto"/>
          <w:spacing w:val="-4"/>
          <w:sz w:val="28"/>
        </w:rPr>
        <w:t>估价方法</w:t>
      </w:r>
    </w:p>
    <w:p>
      <w:pPr>
        <w:spacing w:line="600" w:lineRule="exact"/>
        <w:ind w:left="544"/>
        <w:rPr>
          <w:rFonts w:hint="eastAsia" w:ascii="宋体" w:hAnsi="宋体" w:eastAsia="宋体" w:cs="宋体"/>
          <w:b/>
          <w:bCs/>
          <w:color w:val="auto"/>
          <w:sz w:val="28"/>
        </w:rPr>
      </w:pPr>
      <w:r>
        <w:rPr>
          <w:rFonts w:hint="eastAsia" w:ascii="宋体" w:hAnsi="宋体" w:eastAsia="宋体" w:cs="宋体"/>
          <w:color w:val="auto"/>
          <w:sz w:val="28"/>
        </w:rPr>
        <w:t>比较法</w:t>
      </w:r>
    </w:p>
    <w:p>
      <w:pPr>
        <w:numPr>
          <w:ilvl w:val="0"/>
          <w:numId w:val="1"/>
        </w:numPr>
        <w:spacing w:line="580" w:lineRule="exact"/>
        <w:rPr>
          <w:rFonts w:hint="eastAsia" w:ascii="宋体" w:hAnsi="宋体" w:eastAsia="宋体" w:cs="宋体"/>
          <w:color w:val="auto"/>
          <w:spacing w:val="-4"/>
          <w:sz w:val="28"/>
        </w:rPr>
      </w:pPr>
      <w:r>
        <w:rPr>
          <w:rFonts w:hint="eastAsia" w:ascii="宋体" w:hAnsi="宋体" w:eastAsia="宋体" w:cs="宋体"/>
          <w:b/>
          <w:bCs/>
          <w:color w:val="auto"/>
          <w:sz w:val="28"/>
        </w:rPr>
        <w:t>估价结果</w:t>
      </w:r>
    </w:p>
    <w:tbl>
      <w:tblPr>
        <w:tblStyle w:val="6"/>
        <w:tblpPr w:leftFromText="180" w:rightFromText="180" w:vertAnchor="text" w:horzAnchor="page" w:tblpX="1080" w:tblpY="555"/>
        <w:tblOverlap w:val="never"/>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3663"/>
        <w:gridCol w:w="1699"/>
        <w:gridCol w:w="1880"/>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序号</w:t>
            </w:r>
          </w:p>
        </w:tc>
        <w:tc>
          <w:tcPr>
            <w:tcW w:w="3663"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房号</w:t>
            </w:r>
          </w:p>
        </w:tc>
        <w:tc>
          <w:tcPr>
            <w:tcW w:w="1699"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面积（㎡）</w:t>
            </w:r>
          </w:p>
        </w:tc>
        <w:tc>
          <w:tcPr>
            <w:tcW w:w="1880" w:type="dxa"/>
          </w:tcPr>
          <w:p>
            <w:pPr>
              <w:spacing w:line="580" w:lineRule="exact"/>
              <w:jc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单价（元/㎡）</w:t>
            </w:r>
          </w:p>
        </w:tc>
        <w:tc>
          <w:tcPr>
            <w:tcW w:w="2049"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估值（元）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w:t>
            </w:r>
          </w:p>
        </w:tc>
        <w:tc>
          <w:tcPr>
            <w:tcW w:w="3663" w:type="dxa"/>
            <w:vAlign w:val="center"/>
          </w:tcPr>
          <w:p>
            <w:pPr>
              <w:keepNext w:val="0"/>
              <w:keepLines w:val="0"/>
              <w:widowControl/>
              <w:suppressLineNumbers w:val="0"/>
              <w:jc w:val="center"/>
              <w:textAlignment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1栋02号</w:t>
            </w:r>
          </w:p>
        </w:tc>
        <w:tc>
          <w:tcPr>
            <w:tcW w:w="1699" w:type="dxa"/>
            <w:vAlign w:val="center"/>
          </w:tcPr>
          <w:p>
            <w:pPr>
              <w:keepNext w:val="0"/>
              <w:keepLines w:val="0"/>
              <w:widowControl/>
              <w:suppressLineNumbers w:val="0"/>
              <w:jc w:val="right"/>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256.09</w:t>
            </w:r>
          </w:p>
        </w:tc>
        <w:tc>
          <w:tcPr>
            <w:tcW w:w="1880" w:type="dxa"/>
            <w:vAlign w:val="center"/>
          </w:tcPr>
          <w:p>
            <w:pPr>
              <w:keepNext w:val="0"/>
              <w:keepLines w:val="0"/>
              <w:widowControl/>
              <w:suppressLineNumbers w:val="0"/>
              <w:jc w:val="right"/>
              <w:textAlignment w:val="center"/>
              <w:rPr>
                <w:rFonts w:hint="default" w:ascii="宋体" w:hAnsi="宋体" w:eastAsia="宋体" w:cs="宋体"/>
                <w:i w:val="0"/>
                <w:iCs w:val="0"/>
                <w:color w:val="auto"/>
                <w:kern w:val="2"/>
                <w:sz w:val="28"/>
                <w:szCs w:val="28"/>
                <w:u w:val="none"/>
                <w:lang w:val="en-US" w:eastAsia="zh-CN" w:bidi="ar-SA"/>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5,890,070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w:t>
            </w:r>
          </w:p>
        </w:tc>
        <w:tc>
          <w:tcPr>
            <w:tcW w:w="3663" w:type="dxa"/>
            <w:vAlign w:val="center"/>
          </w:tcPr>
          <w:p>
            <w:pPr>
              <w:keepNext w:val="0"/>
              <w:keepLines w:val="0"/>
              <w:widowControl/>
              <w:suppressLineNumbers w:val="0"/>
              <w:jc w:val="center"/>
              <w:textAlignment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1栋05号</w:t>
            </w:r>
          </w:p>
        </w:tc>
        <w:tc>
          <w:tcPr>
            <w:tcW w:w="1699" w:type="dxa"/>
            <w:vAlign w:val="center"/>
          </w:tcPr>
          <w:p>
            <w:pPr>
              <w:keepNext w:val="0"/>
              <w:keepLines w:val="0"/>
              <w:widowControl/>
              <w:suppressLineNumbers w:val="0"/>
              <w:jc w:val="right"/>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256.09</w:t>
            </w:r>
          </w:p>
        </w:tc>
        <w:tc>
          <w:tcPr>
            <w:tcW w:w="1880" w:type="dxa"/>
            <w:vAlign w:val="center"/>
          </w:tcPr>
          <w:p>
            <w:pPr>
              <w:keepNext w:val="0"/>
              <w:keepLines w:val="0"/>
              <w:widowControl/>
              <w:suppressLineNumbers w:val="0"/>
              <w:jc w:val="right"/>
              <w:textAlignment w:val="center"/>
              <w:rPr>
                <w:rFonts w:hint="default" w:ascii="宋体" w:hAnsi="宋体" w:eastAsia="宋体" w:cs="宋体"/>
                <w:i w:val="0"/>
                <w:iCs w:val="0"/>
                <w:color w:val="auto"/>
                <w:kern w:val="2"/>
                <w:sz w:val="28"/>
                <w:szCs w:val="28"/>
                <w:u w:val="none"/>
                <w:lang w:val="en-US" w:eastAsia="zh-CN" w:bidi="ar-SA"/>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5,890,070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909" w:type="dxa"/>
            <w:vAlign w:val="center"/>
          </w:tcPr>
          <w:p>
            <w:pPr>
              <w:keepNext w:val="0"/>
              <w:keepLines w:val="0"/>
              <w:widowControl/>
              <w:suppressLineNumbers w:val="0"/>
              <w:jc w:val="center"/>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3</w:t>
            </w:r>
          </w:p>
        </w:tc>
        <w:tc>
          <w:tcPr>
            <w:tcW w:w="3663" w:type="dxa"/>
            <w:vAlign w:val="center"/>
          </w:tcPr>
          <w:p>
            <w:pPr>
              <w:keepNext w:val="0"/>
              <w:keepLines w:val="0"/>
              <w:widowControl/>
              <w:suppressLineNumbers w:val="0"/>
              <w:jc w:val="center"/>
              <w:textAlignment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1栋06号</w:t>
            </w:r>
          </w:p>
        </w:tc>
        <w:tc>
          <w:tcPr>
            <w:tcW w:w="1699" w:type="dxa"/>
            <w:vAlign w:val="center"/>
          </w:tcPr>
          <w:p>
            <w:pPr>
              <w:keepNext w:val="0"/>
              <w:keepLines w:val="0"/>
              <w:widowControl/>
              <w:suppressLineNumbers w:val="0"/>
              <w:jc w:val="right"/>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257.86</w:t>
            </w:r>
          </w:p>
        </w:tc>
        <w:tc>
          <w:tcPr>
            <w:tcW w:w="1880" w:type="dxa"/>
            <w:vAlign w:val="center"/>
          </w:tcPr>
          <w:p>
            <w:pPr>
              <w:keepNext w:val="0"/>
              <w:keepLines w:val="0"/>
              <w:widowControl/>
              <w:suppressLineNumbers w:val="0"/>
              <w:jc w:val="right"/>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5,930,780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4</w:t>
            </w:r>
          </w:p>
        </w:tc>
        <w:tc>
          <w:tcPr>
            <w:tcW w:w="3663" w:type="dxa"/>
            <w:vAlign w:val="center"/>
          </w:tcPr>
          <w:p>
            <w:pPr>
              <w:keepNext w:val="0"/>
              <w:keepLines w:val="0"/>
              <w:widowControl/>
              <w:suppressLineNumbers w:val="0"/>
              <w:jc w:val="center"/>
              <w:textAlignment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3栋02号</w:t>
            </w:r>
          </w:p>
        </w:tc>
        <w:tc>
          <w:tcPr>
            <w:tcW w:w="1699" w:type="dxa"/>
            <w:vAlign w:val="center"/>
          </w:tcPr>
          <w:p>
            <w:pPr>
              <w:keepNext w:val="0"/>
              <w:keepLines w:val="0"/>
              <w:widowControl/>
              <w:suppressLineNumbers w:val="0"/>
              <w:jc w:val="right"/>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256.01</w:t>
            </w:r>
          </w:p>
        </w:tc>
        <w:tc>
          <w:tcPr>
            <w:tcW w:w="1880" w:type="dxa"/>
            <w:vAlign w:val="center"/>
          </w:tcPr>
          <w:p>
            <w:pPr>
              <w:keepNext w:val="0"/>
              <w:keepLines w:val="0"/>
              <w:widowControl/>
              <w:suppressLineNumbers w:val="0"/>
              <w:jc w:val="right"/>
              <w:textAlignment w:val="center"/>
              <w:rPr>
                <w:rFonts w:hint="default"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5,888,230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5</w:t>
            </w:r>
          </w:p>
        </w:tc>
        <w:tc>
          <w:tcPr>
            <w:tcW w:w="3663" w:type="dxa"/>
            <w:vAlign w:val="center"/>
          </w:tcPr>
          <w:p>
            <w:pPr>
              <w:keepNext w:val="0"/>
              <w:keepLines w:val="0"/>
              <w:widowControl/>
              <w:suppressLineNumbers w:val="0"/>
              <w:jc w:val="center"/>
              <w:textAlignment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3栋04号</w:t>
            </w:r>
          </w:p>
        </w:tc>
        <w:tc>
          <w:tcPr>
            <w:tcW w:w="1699" w:type="dxa"/>
            <w:vAlign w:val="center"/>
          </w:tcPr>
          <w:p>
            <w:pPr>
              <w:keepNext w:val="0"/>
              <w:keepLines w:val="0"/>
              <w:widowControl/>
              <w:suppressLineNumbers w:val="0"/>
              <w:jc w:val="right"/>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256.01</w:t>
            </w:r>
          </w:p>
        </w:tc>
        <w:tc>
          <w:tcPr>
            <w:tcW w:w="1880" w:type="dxa"/>
            <w:vAlign w:val="center"/>
          </w:tcPr>
          <w:p>
            <w:pPr>
              <w:keepNext w:val="0"/>
              <w:keepLines w:val="0"/>
              <w:widowControl/>
              <w:suppressLineNumbers w:val="0"/>
              <w:jc w:val="right"/>
              <w:textAlignment w:val="center"/>
              <w:rPr>
                <w:rFonts w:hint="default"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5,888,230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6</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3栋05号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256.01</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5,888,230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7</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3栋06号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256.01</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5,888,230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8</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3栋07号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256.01</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5,888,230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9</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4栋02号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256.12</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10</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4栋07号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256.12</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11</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5栋02号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256.01</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5,888,230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12</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5栋08号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257.78</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5,928,940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13</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6栋02号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256.12</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14</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6栋03号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256.12</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15</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6栋04号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256.12</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16</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6栋05号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256.12</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17</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8栋02号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321.78</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8,044,500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18</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8栋03号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321.78</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8,044,500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19</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9栋02号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322.06</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20</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10栋04号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324.31</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8,107,750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21</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11栋02号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321.77</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8,044,250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22</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11栋03号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321.77</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8,044,250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23</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11栋04号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321.77</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8,044,250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24</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13栋03号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321.52</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25</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13栋05号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321.52</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26</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14栋02号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321.49</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8,037,250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27</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14栋03号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321.49</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8,037,250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28</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14栋04号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321.49</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8,037,250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29</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14栋05号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324.59</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8,114,750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30</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15栋01号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325.59</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8,139,750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31</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15栋02号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323.00</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32</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15栋03号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323.00</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33</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20栋01号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406.73</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27,000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10,981,710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34</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20栋02号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406.73</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27,000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10,981,710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35</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23栋02号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406.73</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27,000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10,981,710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36</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25栋902号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88.28</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15,000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1,324,200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37</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26栋203号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88.28</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14,000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1,235,920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38</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26栋302号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88.28</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14,000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1,235,920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4572" w:type="dxa"/>
            <w:gridSpan w:val="2"/>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合    计</w:t>
            </w:r>
          </w:p>
        </w:tc>
        <w:tc>
          <w:tcPr>
            <w:tcW w:w="1699" w:type="dxa"/>
          </w:tcPr>
          <w:p>
            <w:pPr>
              <w:spacing w:line="580" w:lineRule="exact"/>
              <w:jc w:val="righ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lang w:val="en-US" w:eastAsia="zh-CN"/>
              </w:rPr>
              <w:t>10744.56</w:t>
            </w:r>
          </w:p>
        </w:tc>
        <w:tc>
          <w:tcPr>
            <w:tcW w:w="1880" w:type="dxa"/>
          </w:tcPr>
          <w:p>
            <w:pPr>
              <w:spacing w:line="580" w:lineRule="exact"/>
              <w:jc w:val="right"/>
              <w:rPr>
                <w:rFonts w:hint="eastAsia" w:ascii="宋体" w:hAnsi="宋体" w:eastAsia="宋体" w:cs="宋体"/>
                <w:color w:val="auto"/>
                <w:spacing w:val="-4"/>
                <w:sz w:val="28"/>
                <w:szCs w:val="28"/>
                <w:vertAlign w:val="baseline"/>
                <w:lang w:val="en-US" w:eastAsia="zh-CN"/>
              </w:rPr>
            </w:pPr>
          </w:p>
        </w:tc>
        <w:tc>
          <w:tcPr>
            <w:tcW w:w="2049" w:type="dxa"/>
            <w:vAlign w:val="center"/>
          </w:tcPr>
          <w:p>
            <w:pPr>
              <w:spacing w:line="580" w:lineRule="exact"/>
              <w:jc w:val="right"/>
              <w:rPr>
                <w:rFonts w:hint="eastAsia"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lang w:val="en-US" w:eastAsia="zh-CN"/>
              </w:rPr>
              <w:t xml:space="preserve"> 260,028,220 </w:t>
            </w:r>
          </w:p>
        </w:tc>
      </w:tr>
    </w:tbl>
    <w:p>
      <w:pPr>
        <w:spacing w:line="5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总   价：</w:t>
      </w:r>
      <w:r>
        <w:rPr>
          <w:rFonts w:hint="eastAsia" w:ascii="宋体" w:hAnsi="宋体" w:eastAsia="宋体" w:cs="宋体"/>
          <w:color w:val="auto"/>
          <w:spacing w:val="4"/>
          <w:sz w:val="28"/>
          <w:szCs w:val="28"/>
          <w:lang w:val="en-US" w:eastAsia="zh-CN"/>
        </w:rPr>
        <w:t>260,028,220</w:t>
      </w:r>
      <w:r>
        <w:rPr>
          <w:rFonts w:hint="eastAsia" w:ascii="宋体" w:hAnsi="宋体" w:eastAsia="宋体" w:cs="宋体"/>
          <w:color w:val="auto"/>
          <w:sz w:val="28"/>
          <w:szCs w:val="28"/>
        </w:rPr>
        <w:t>.00</w:t>
      </w:r>
      <w:r>
        <w:rPr>
          <w:rFonts w:hint="eastAsia" w:ascii="宋体" w:hAnsi="宋体" w:eastAsia="宋体" w:cs="宋体"/>
          <w:color w:val="auto"/>
          <w:spacing w:val="-4"/>
          <w:sz w:val="28"/>
          <w:szCs w:val="28"/>
        </w:rPr>
        <w:t>元</w:t>
      </w:r>
    </w:p>
    <w:p>
      <w:pPr>
        <w:spacing w:line="4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大   写：</w:t>
      </w:r>
      <w:r>
        <w:rPr>
          <w:rFonts w:hint="eastAsia" w:ascii="宋体" w:hAnsi="宋体" w:eastAsia="宋体" w:cs="宋体"/>
          <w:color w:val="auto"/>
          <w:spacing w:val="-4"/>
          <w:sz w:val="28"/>
          <w:szCs w:val="28"/>
          <w:lang w:eastAsia="zh-CN"/>
        </w:rPr>
        <w:t>贰亿陆仟零贰万捌仟贰佰贰拾元</w:t>
      </w:r>
      <w:r>
        <w:rPr>
          <w:rFonts w:hint="eastAsia" w:ascii="宋体" w:hAnsi="宋体" w:eastAsia="宋体" w:cs="宋体"/>
          <w:color w:val="auto"/>
          <w:spacing w:val="-4"/>
          <w:sz w:val="28"/>
          <w:szCs w:val="28"/>
        </w:rPr>
        <w:t>整</w:t>
      </w:r>
    </w:p>
    <w:p>
      <w:pPr>
        <w:tabs>
          <w:tab w:val="left" w:pos="4880"/>
        </w:tabs>
        <w:spacing w:line="560" w:lineRule="exact"/>
        <w:ind w:firstLine="544" w:firstLineChars="200"/>
        <w:rPr>
          <w:rFonts w:hint="eastAsia" w:ascii="宋体" w:hAnsi="宋体" w:eastAsia="宋体" w:cs="宋体"/>
          <w:color w:val="auto"/>
          <w:sz w:val="32"/>
          <w:szCs w:val="32"/>
        </w:rPr>
      </w:pPr>
      <w:r>
        <w:rPr>
          <w:rFonts w:hint="eastAsia" w:ascii="宋体" w:hAnsi="宋体" w:eastAsia="宋体" w:cs="宋体"/>
          <w:color w:val="auto"/>
          <w:spacing w:val="-4"/>
          <w:sz w:val="28"/>
          <w:szCs w:val="28"/>
        </w:rPr>
        <w:t>币   种：人民币</w:t>
      </w:r>
    </w:p>
    <w:p>
      <w:pPr>
        <w:spacing w:line="480" w:lineRule="exact"/>
        <w:ind w:left="544"/>
        <w:rPr>
          <w:rFonts w:hint="eastAsia" w:ascii="宋体" w:hAnsi="宋体" w:eastAsia="宋体" w:cs="宋体"/>
          <w:b/>
          <w:bCs/>
          <w:color w:val="auto"/>
          <w:sz w:val="28"/>
        </w:rPr>
      </w:pPr>
      <w:r>
        <w:rPr>
          <w:rFonts w:hint="eastAsia" w:ascii="宋体" w:hAnsi="宋体" w:eastAsia="宋体" w:cs="宋体"/>
          <w:b/>
          <w:bCs/>
          <w:color w:val="auto"/>
          <w:sz w:val="28"/>
        </w:rPr>
        <w:t>七、特别提示</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1.</w:t>
      </w:r>
      <w:r>
        <w:rPr>
          <w:rFonts w:hint="eastAsia" w:ascii="宋体" w:hAnsi="宋体" w:eastAsia="宋体" w:cs="宋体"/>
          <w:color w:val="auto"/>
          <w:sz w:val="28"/>
        </w:rPr>
        <w:t>应该按照法律规定和评估报告载明的用途、使用人、使用限制等使用范围使用报告</w:t>
      </w:r>
      <w:r>
        <w:rPr>
          <w:rFonts w:hint="eastAsia" w:ascii="宋体" w:hAnsi="宋体" w:eastAsia="宋体" w:cs="宋体"/>
          <w:color w:val="auto"/>
          <w:sz w:val="28"/>
          <w:lang w:val="en-US" w:eastAsia="zh-CN"/>
        </w:rPr>
        <w:t>,</w:t>
      </w:r>
      <w:r>
        <w:rPr>
          <w:rFonts w:hint="eastAsia" w:ascii="宋体" w:hAnsi="宋体" w:eastAsia="宋体" w:cs="宋体"/>
          <w:color w:val="auto"/>
          <w:sz w:val="28"/>
        </w:rPr>
        <w:t>否则房地产估价机构和评估师依法不承担责任</w:t>
      </w:r>
      <w:r>
        <w:rPr>
          <w:rFonts w:hint="eastAsia" w:ascii="宋体" w:hAnsi="宋体" w:eastAsia="宋体" w:cs="宋体"/>
          <w:color w:val="auto"/>
          <w:sz w:val="28"/>
          <w:lang w:eastAsia="zh-CN"/>
        </w:rPr>
        <w:t>。</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2.</w:t>
      </w:r>
      <w:r>
        <w:rPr>
          <w:rFonts w:hint="eastAsia" w:ascii="宋体" w:hAnsi="宋体" w:eastAsia="宋体" w:cs="宋体"/>
          <w:color w:val="auto"/>
          <w:sz w:val="28"/>
        </w:rPr>
        <w:t>评估结果仅为人民法院确定财产处置参考价服务，不是评估对象处置可实现的成交价格</w:t>
      </w:r>
      <w:r>
        <w:rPr>
          <w:rFonts w:hint="eastAsia" w:ascii="宋体" w:hAnsi="宋体" w:eastAsia="宋体" w:cs="宋体"/>
          <w:color w:val="auto"/>
          <w:sz w:val="28"/>
          <w:lang w:eastAsia="zh-CN"/>
        </w:rPr>
        <w:t>，</w:t>
      </w:r>
      <w:r>
        <w:rPr>
          <w:rFonts w:hint="eastAsia" w:ascii="宋体" w:hAnsi="宋体" w:eastAsia="宋体" w:cs="宋体"/>
          <w:color w:val="auto"/>
          <w:sz w:val="28"/>
        </w:rPr>
        <w:t>也不应当视为对评估对象处置成交价格</w:t>
      </w:r>
      <w:r>
        <w:rPr>
          <w:rFonts w:hint="eastAsia" w:ascii="宋体" w:hAnsi="宋体" w:eastAsia="宋体" w:cs="宋体"/>
          <w:color w:val="auto"/>
          <w:sz w:val="28"/>
          <w:lang w:eastAsia="zh-CN"/>
        </w:rPr>
        <w:t>的</w:t>
      </w:r>
      <w:r>
        <w:rPr>
          <w:rFonts w:hint="eastAsia" w:ascii="宋体" w:hAnsi="宋体" w:eastAsia="宋体" w:cs="宋体"/>
          <w:color w:val="auto"/>
          <w:sz w:val="28"/>
        </w:rPr>
        <w:t>保证</w:t>
      </w:r>
      <w:r>
        <w:rPr>
          <w:rFonts w:hint="eastAsia" w:ascii="宋体" w:hAnsi="宋体" w:eastAsia="宋体" w:cs="宋体"/>
          <w:color w:val="auto"/>
          <w:sz w:val="28"/>
          <w:lang w:eastAsia="zh-CN"/>
        </w:rPr>
        <w:t>。</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w:t>
      </w:r>
      <w:r>
        <w:rPr>
          <w:rFonts w:hint="eastAsia" w:ascii="宋体" w:hAnsi="宋体" w:eastAsia="宋体" w:cs="宋体"/>
          <w:color w:val="auto"/>
          <w:sz w:val="28"/>
        </w:rPr>
        <w:t>财产拍卖或变现之日与估价时点不一致，可能导致评估结果对应的评估对象状况、房地产市场状况、欠缴税费状况等财产拍卖或者变卖时的相应状况不一致，发生明显变化的，评估结果应当进行相应调整后才可使用</w:t>
      </w:r>
      <w:r>
        <w:rPr>
          <w:rFonts w:hint="eastAsia" w:ascii="宋体" w:hAnsi="宋体" w:eastAsia="宋体" w:cs="宋体"/>
          <w:color w:val="auto"/>
          <w:sz w:val="28"/>
          <w:lang w:eastAsia="zh-CN"/>
        </w:rPr>
        <w:t>。</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4.</w:t>
      </w:r>
      <w:r>
        <w:rPr>
          <w:rFonts w:hint="eastAsia" w:ascii="宋体" w:hAnsi="宋体" w:eastAsia="宋体" w:cs="宋体"/>
          <w:color w:val="auto"/>
          <w:sz w:val="28"/>
        </w:rPr>
        <w:t>在评估报告使用期限或评估结果有效期内评估报告或者评估结果未使用之前，如果评估对象状况或者房地产市场状况发生明显变化的，评估结果应当进行相应调整后才可使用</w:t>
      </w:r>
      <w:r>
        <w:rPr>
          <w:rFonts w:hint="eastAsia" w:ascii="宋体" w:hAnsi="宋体" w:eastAsia="宋体" w:cs="宋体"/>
          <w:color w:val="auto"/>
          <w:sz w:val="28"/>
          <w:lang w:eastAsia="zh-CN"/>
        </w:rPr>
        <w:t>。</w:t>
      </w:r>
    </w:p>
    <w:p>
      <w:pPr>
        <w:spacing w:line="600" w:lineRule="exact"/>
        <w:rPr>
          <w:rFonts w:hint="eastAsia" w:ascii="宋体" w:hAnsi="宋体" w:eastAsia="宋体" w:cs="宋体"/>
          <w:color w:val="auto"/>
          <w:sz w:val="28"/>
        </w:rPr>
      </w:pPr>
      <w:r>
        <w:rPr>
          <w:rFonts w:hint="eastAsia" w:ascii="宋体" w:hAnsi="宋体" w:eastAsia="宋体" w:cs="宋体"/>
          <w:color w:val="auto"/>
          <w:sz w:val="28"/>
          <w:lang w:val="en-US" w:eastAsia="zh-CN"/>
        </w:rPr>
        <w:t>5.</w:t>
      </w:r>
      <w:r>
        <w:rPr>
          <w:rFonts w:hint="eastAsia" w:ascii="宋体" w:hAnsi="宋体" w:eastAsia="宋体" w:cs="宋体"/>
          <w:color w:val="auto"/>
          <w:sz w:val="28"/>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r>
        <w:rPr>
          <w:rFonts w:hint="eastAsia" w:ascii="宋体" w:hAnsi="宋体" w:eastAsia="宋体" w:cs="宋体"/>
          <w:color w:val="auto"/>
          <w:sz w:val="28"/>
          <w:lang w:val="en-US" w:eastAsia="zh-CN"/>
        </w:rPr>
        <w:t>。</w:t>
      </w:r>
    </w:p>
    <w:p>
      <w:pPr>
        <w:spacing w:line="600" w:lineRule="exact"/>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6.</w:t>
      </w:r>
      <w:r>
        <w:rPr>
          <w:rFonts w:hint="eastAsia" w:ascii="宋体" w:hAnsi="宋体" w:eastAsia="宋体" w:cs="宋体"/>
          <w:color w:val="auto"/>
          <w:sz w:val="28"/>
        </w:rPr>
        <w:t>估价的具体情况及相关专业意见，请见附后的估价报告。估价报告自提交之日</w:t>
      </w:r>
      <w:r>
        <w:rPr>
          <w:rFonts w:hint="eastAsia" w:ascii="宋体" w:hAnsi="宋体" w:eastAsia="宋体" w:cs="宋体"/>
          <w:color w:val="auto"/>
          <w:sz w:val="28"/>
          <w:lang w:eastAsia="zh-CN"/>
        </w:rPr>
        <w:t>起</w:t>
      </w:r>
      <w:r>
        <w:rPr>
          <w:rFonts w:hint="eastAsia" w:ascii="宋体" w:hAnsi="宋体" w:eastAsia="宋体" w:cs="宋体"/>
          <w:color w:val="auto"/>
          <w:sz w:val="28"/>
        </w:rPr>
        <w:t>壹年内有效，报告使用人在使用本报告之前须对报告全文，特别是“估价假设和限制条件”认真阅读，以免使用不当造成损失。</w:t>
      </w:r>
    </w:p>
    <w:p>
      <w:pPr>
        <w:spacing w:line="6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机构负责人（签章）：</w:t>
      </w:r>
    </w:p>
    <w:p>
      <w:pPr>
        <w:adjustRightInd w:val="0"/>
        <w:snapToGrid w:val="0"/>
        <w:spacing w:line="540" w:lineRule="exact"/>
        <w:ind w:firstLine="560" w:firstLineChars="200"/>
        <w:jc w:val="right"/>
        <w:rPr>
          <w:rFonts w:hint="eastAsia" w:ascii="宋体" w:hAnsi="宋体" w:eastAsia="宋体" w:cs="宋体"/>
          <w:color w:val="auto"/>
          <w:sz w:val="28"/>
        </w:rPr>
      </w:pPr>
    </w:p>
    <w:p>
      <w:pPr>
        <w:jc w:val="right"/>
        <w:rPr>
          <w:rFonts w:hint="eastAsia" w:ascii="宋体" w:hAnsi="宋体" w:eastAsia="宋体" w:cs="宋体"/>
          <w:color w:val="auto"/>
          <w:sz w:val="28"/>
          <w:lang w:eastAsia="zh-CN"/>
        </w:rPr>
      </w:pPr>
    </w:p>
    <w:p>
      <w:pPr>
        <w:jc w:val="both"/>
        <w:rPr>
          <w:rFonts w:hint="eastAsia" w:ascii="宋体" w:hAnsi="宋体" w:eastAsia="宋体" w:cs="宋体"/>
          <w:color w:val="auto"/>
          <w:sz w:val="28"/>
          <w:lang w:eastAsia="zh-CN"/>
        </w:rPr>
      </w:pPr>
    </w:p>
    <w:p>
      <w:pPr>
        <w:jc w:val="right"/>
        <w:rPr>
          <w:rFonts w:hint="eastAsia" w:ascii="宋体" w:hAnsi="宋体" w:eastAsia="宋体" w:cs="宋体"/>
          <w:color w:val="auto"/>
          <w:sz w:val="28"/>
          <w:lang w:eastAsia="zh-CN"/>
        </w:rPr>
      </w:pPr>
    </w:p>
    <w:p>
      <w:pPr>
        <w:jc w:val="right"/>
        <w:rPr>
          <w:rFonts w:hint="eastAsia" w:ascii="宋体" w:hAnsi="宋体" w:eastAsia="宋体" w:cs="宋体"/>
          <w:color w:val="auto"/>
          <w:sz w:val="28"/>
          <w:lang w:eastAsia="zh-CN"/>
        </w:rPr>
      </w:pPr>
      <w:r>
        <w:rPr>
          <w:rFonts w:hint="eastAsia" w:ascii="宋体" w:hAnsi="宋体" w:eastAsia="宋体" w:cs="宋体"/>
          <w:color w:val="auto"/>
          <w:sz w:val="28"/>
          <w:lang w:eastAsia="zh-CN"/>
        </w:rPr>
        <w:t>盘锦博达房地产评估有限公司</w:t>
      </w:r>
    </w:p>
    <w:p>
      <w:pPr>
        <w:jc w:val="center"/>
        <w:rPr>
          <w:rFonts w:hint="eastAsia" w:ascii="宋体" w:hAnsi="宋体" w:eastAsia="宋体" w:cs="宋体"/>
          <w:color w:val="auto"/>
          <w:sz w:val="28"/>
        </w:rPr>
        <w:sectPr>
          <w:pgSz w:w="11906" w:h="16838"/>
          <w:pgMar w:top="1418" w:right="1021" w:bottom="1418" w:left="1531" w:header="851" w:footer="1077" w:gutter="0"/>
          <w:pgNumType w:start="1"/>
          <w:cols w:space="425" w:num="1"/>
          <w:docGrid w:type="lines" w:linePitch="312" w:charSpace="0"/>
        </w:sectPr>
      </w:pP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pacing w:val="-10"/>
          <w:sz w:val="32"/>
          <w:lang w:eastAsia="zh-CN"/>
        </w:rPr>
        <w:t>六月十七日</w:t>
      </w:r>
    </w:p>
    <w:p>
      <w:pPr>
        <w:tabs>
          <w:tab w:val="right" w:leader="dot" w:pos="9344"/>
        </w:tabs>
        <w:spacing w:line="760" w:lineRule="exact"/>
        <w:ind w:firstLine="4390" w:firstLineChars="995"/>
        <w:rPr>
          <w:rFonts w:hint="eastAsia" w:ascii="宋体" w:hAnsi="宋体" w:eastAsia="宋体" w:cs="宋体"/>
          <w:b/>
          <w:bCs/>
          <w:color w:val="auto"/>
          <w:spacing w:val="60"/>
          <w:sz w:val="32"/>
        </w:rPr>
      </w:pPr>
      <w:r>
        <w:rPr>
          <w:rFonts w:hint="eastAsia" w:ascii="宋体" w:hAnsi="宋体" w:eastAsia="宋体" w:cs="宋体"/>
          <w:b/>
          <w:bCs/>
          <w:color w:val="auto"/>
          <w:spacing w:val="60"/>
          <w:sz w:val="32"/>
        </w:rPr>
        <w:t>目 录</w:t>
      </w:r>
    </w:p>
    <w:p>
      <w:pPr>
        <w:tabs>
          <w:tab w:val="right" w:leader="dot" w:pos="9344"/>
        </w:tabs>
        <w:spacing w:line="720" w:lineRule="exact"/>
        <w:rPr>
          <w:rFonts w:hint="eastAsia" w:ascii="宋体" w:hAnsi="宋体" w:eastAsia="宋体" w:cs="宋体"/>
          <w:color w:val="auto"/>
          <w:sz w:val="28"/>
          <w:szCs w:val="28"/>
        </w:rPr>
      </w:pPr>
      <w:r>
        <w:rPr>
          <w:rFonts w:hint="eastAsia" w:ascii="宋体" w:hAnsi="宋体" w:eastAsia="宋体" w:cs="宋体"/>
          <w:color w:val="auto"/>
          <w:sz w:val="28"/>
          <w:szCs w:val="28"/>
          <w:u w:val="single"/>
        </w:rPr>
        <w:fldChar w:fldCharType="begin"/>
      </w:r>
      <w:r>
        <w:rPr>
          <w:rFonts w:hint="eastAsia" w:ascii="宋体" w:hAnsi="宋体" w:eastAsia="宋体" w:cs="宋体"/>
          <w:color w:val="auto"/>
          <w:sz w:val="28"/>
          <w:szCs w:val="28"/>
          <w:u w:val="single"/>
        </w:rPr>
        <w:instrText xml:space="preserve"> TOC \o "1-3" \h \z \u </w:instrText>
      </w:r>
      <w:r>
        <w:rPr>
          <w:rFonts w:hint="eastAsia" w:ascii="宋体" w:hAnsi="宋体" w:eastAsia="宋体" w:cs="宋体"/>
          <w:color w:val="auto"/>
          <w:sz w:val="28"/>
          <w:szCs w:val="28"/>
          <w:u w:val="single"/>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"_Toc88835603" </w:instrText>
      </w:r>
      <w:r>
        <w:rPr>
          <w:rFonts w:hint="eastAsia" w:ascii="宋体" w:hAnsi="宋体" w:eastAsia="宋体" w:cs="宋体"/>
          <w:color w:val="auto"/>
        </w:rPr>
        <w:fldChar w:fldCharType="separate"/>
      </w:r>
      <w:r>
        <w:rPr>
          <w:rFonts w:hint="eastAsia" w:ascii="宋体" w:hAnsi="宋体" w:eastAsia="宋体" w:cs="宋体"/>
          <w:color w:val="auto"/>
          <w:spacing w:val="20"/>
          <w:sz w:val="28"/>
          <w:szCs w:val="28"/>
          <w:u w:val="single"/>
        </w:rPr>
        <w:t>估价师声明</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_Toc88835603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"_Toc88835604"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估价假设和限制条件</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_Toc88835604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"_Toc88835605"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估价结果报告</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_Toc88835605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"_Toc88835606"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一、估价委托人</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_Toc88835606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"_Toc88835607"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二、房地产估价机构</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_Toc88835607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"_Toc88835608"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三、估价目的</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_Toc88835608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"_Toc88835609"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四、估价对象</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_Toc88835609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"_Toc88835610"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五、价值时点</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_Toc88835610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8</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"_Toc88835611"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六、价值类型</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_Toc88835611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8</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"_Toc88835612"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七、估价原则</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_Toc88835612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8</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"_Toc88835613"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八、估价依据</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_Toc88835613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9</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"_Toc88835614"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九、估价方法</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_Toc88835614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10</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"_Toc88835615"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十、 估价结果</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_Toc88835615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fldChar w:fldCharType="begin"/>
      </w:r>
      <w:r>
        <w:rPr>
          <w:rFonts w:hint="eastAsia" w:ascii="宋体" w:hAnsi="宋体" w:eastAsia="宋体" w:cs="宋体"/>
          <w:color w:val="auto"/>
          <w:sz w:val="28"/>
          <w:szCs w:val="28"/>
          <w:lang w:val="en-US" w:eastAsia="zh-CN"/>
        </w:rPr>
        <w:instrText xml:space="preserve"> HYPERLINK \l "_Toc88835616" </w:instrText>
      </w:r>
      <w:r>
        <w:rPr>
          <w:rFonts w:hint="eastAsia" w:ascii="宋体" w:hAnsi="宋体" w:eastAsia="宋体" w:cs="宋体"/>
          <w:color w:val="auto"/>
          <w:sz w:val="28"/>
          <w:szCs w:val="28"/>
          <w:lang w:val="en-US" w:eastAsia="zh-CN"/>
        </w:rPr>
        <w:fldChar w:fldCharType="separate"/>
      </w:r>
      <w:r>
        <w:rPr>
          <w:rFonts w:hint="eastAsia" w:ascii="宋体" w:hAnsi="宋体" w:eastAsia="宋体" w:cs="宋体"/>
          <w:color w:val="auto"/>
          <w:sz w:val="28"/>
          <w:szCs w:val="28"/>
          <w:lang w:val="en-US" w:eastAsia="zh-CN"/>
        </w:rPr>
        <w:t>十一、注册房地产估价师</w:t>
      </w:r>
      <w:r>
        <w:rPr>
          <w:rFonts w:hint="eastAsia" w:ascii="宋体" w:hAnsi="宋体" w:eastAsia="宋体" w:cs="宋体"/>
          <w:color w:val="auto"/>
          <w:sz w:val="28"/>
          <w:szCs w:val="28"/>
          <w:lang w:val="en-US" w:eastAsia="zh-CN"/>
        </w:rPr>
        <w:tab/>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val="en-US" w:eastAsia="zh-CN"/>
        </w:rPr>
        <w:fldChar w:fldCharType="end"/>
      </w:r>
      <w:r>
        <w:rPr>
          <w:rFonts w:hint="eastAsia" w:ascii="宋体" w:hAnsi="宋体" w:eastAsia="宋体" w:cs="宋体"/>
          <w:color w:val="auto"/>
          <w:sz w:val="28"/>
          <w:szCs w:val="28"/>
          <w:lang w:val="en-US" w:eastAsia="zh-CN"/>
        </w:rPr>
        <w:t>3</w:t>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"_Toc88835617"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十二、实地查勘期</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_Toc88835617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13</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ind w:left="420" w:leftChars="200"/>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"_Toc88835618"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十三、估价作业期</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_Toc88835618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13</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tabs>
          <w:tab w:val="right" w:leader="dot" w:pos="9344"/>
        </w:tabs>
        <w:spacing w:line="720" w:lineRule="exact"/>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"_Toc88835619" </w:instrText>
      </w:r>
      <w:r>
        <w:rPr>
          <w:rFonts w:hint="eastAsia" w:ascii="宋体" w:hAnsi="宋体" w:eastAsia="宋体" w:cs="宋体"/>
          <w:color w:val="auto"/>
        </w:rPr>
        <w:fldChar w:fldCharType="separate"/>
      </w:r>
      <w:r>
        <w:rPr>
          <w:rFonts w:hint="eastAsia" w:ascii="宋体" w:hAnsi="宋体" w:eastAsia="宋体" w:cs="宋体"/>
          <w:color w:val="auto"/>
          <w:sz w:val="28"/>
          <w:szCs w:val="28"/>
          <w:u w:val="single"/>
        </w:rPr>
        <w:t>附   件</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_Toc88835619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spacing w:line="600" w:lineRule="exact"/>
        <w:ind w:left="703" w:firstLine="56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fldChar w:fldCharType="end"/>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rPr>
        <w:t>一、</w:t>
      </w:r>
      <w:r>
        <w:rPr>
          <w:rFonts w:hint="eastAsia" w:ascii="宋体" w:hAnsi="宋体" w:eastAsia="宋体" w:cs="宋体"/>
          <w:color w:val="auto"/>
          <w:sz w:val="28"/>
        </w:rPr>
        <w:t>《司法鉴定评估委托书》（（202</w:t>
      </w:r>
      <w:r>
        <w:rPr>
          <w:rFonts w:hint="eastAsia" w:ascii="宋体" w:hAnsi="宋体" w:eastAsia="宋体" w:cs="宋体"/>
          <w:color w:val="auto"/>
          <w:sz w:val="28"/>
          <w:lang w:val="en-US" w:eastAsia="zh-CN"/>
        </w:rPr>
        <w:t>2</w:t>
      </w:r>
      <w:r>
        <w:rPr>
          <w:rFonts w:hint="eastAsia" w:ascii="宋体" w:hAnsi="宋体" w:eastAsia="宋体" w:cs="宋体"/>
          <w:color w:val="auto"/>
          <w:sz w:val="28"/>
        </w:rPr>
        <w:t>）辽11委字第0</w:t>
      </w:r>
      <w:r>
        <w:rPr>
          <w:rFonts w:hint="eastAsia" w:ascii="宋体" w:hAnsi="宋体" w:eastAsia="宋体" w:cs="宋体"/>
          <w:color w:val="auto"/>
          <w:sz w:val="28"/>
          <w:lang w:val="en-US" w:eastAsia="zh-CN"/>
        </w:rPr>
        <w:t>0152</w:t>
      </w:r>
      <w:r>
        <w:rPr>
          <w:rFonts w:hint="eastAsia" w:ascii="宋体" w:hAnsi="宋体" w:eastAsia="宋体" w:cs="宋体"/>
          <w:color w:val="auto"/>
          <w:sz w:val="28"/>
        </w:rPr>
        <w:t>号）复印件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二</w:t>
      </w:r>
      <w:r>
        <w:rPr>
          <w:rFonts w:hint="eastAsia" w:ascii="宋体" w:hAnsi="宋体" w:eastAsia="宋体" w:cs="宋体"/>
          <w:color w:val="auto"/>
          <w:sz w:val="28"/>
        </w:rPr>
        <w:t>、</w:t>
      </w:r>
      <w:r>
        <w:rPr>
          <w:rFonts w:hint="eastAsia" w:ascii="宋体" w:hAnsi="宋体" w:eastAsia="宋体" w:cs="宋体"/>
          <w:color w:val="auto"/>
          <w:sz w:val="28"/>
        </w:rPr>
        <w:t>《</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三、</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四、</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五、</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六、</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七、</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八</w:t>
      </w:r>
      <w:r>
        <w:rPr>
          <w:rFonts w:hint="eastAsia" w:ascii="宋体" w:hAnsi="宋体" w:eastAsia="宋体" w:cs="宋体"/>
          <w:color w:val="auto"/>
          <w:sz w:val="28"/>
        </w:rPr>
        <w:t>、估价对象位置图</w:t>
      </w:r>
    </w:p>
    <w:p>
      <w:pPr>
        <w:spacing w:line="600" w:lineRule="exact"/>
        <w:ind w:firstLine="1260" w:firstLineChars="450"/>
        <w:rPr>
          <w:rFonts w:hint="eastAsia" w:ascii="宋体" w:hAnsi="宋体" w:eastAsia="宋体" w:cs="宋体"/>
          <w:color w:val="auto"/>
          <w:sz w:val="28"/>
        </w:rPr>
      </w:pPr>
      <w:r>
        <w:rPr>
          <w:rFonts w:hint="eastAsia" w:ascii="宋体" w:hAnsi="宋体" w:eastAsia="宋体" w:cs="宋体"/>
          <w:color w:val="auto"/>
          <w:sz w:val="28"/>
          <w:lang w:eastAsia="zh-CN"/>
        </w:rPr>
        <w:t>九</w:t>
      </w:r>
      <w:r>
        <w:rPr>
          <w:rFonts w:hint="eastAsia" w:ascii="宋体" w:hAnsi="宋体" w:eastAsia="宋体" w:cs="宋体"/>
          <w:color w:val="auto"/>
          <w:sz w:val="28"/>
        </w:rPr>
        <w:t>、估价对象内、外部照片和周围环境照片</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十</w:t>
      </w:r>
      <w:r>
        <w:rPr>
          <w:rFonts w:hint="eastAsia" w:ascii="宋体" w:hAnsi="宋体" w:eastAsia="宋体" w:cs="宋体"/>
          <w:color w:val="auto"/>
          <w:sz w:val="28"/>
        </w:rPr>
        <w:t>、注册房地产估价师资格证书复印件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十一</w:t>
      </w:r>
      <w:r>
        <w:rPr>
          <w:rFonts w:hint="eastAsia" w:ascii="宋体" w:hAnsi="宋体" w:eastAsia="宋体" w:cs="宋体"/>
          <w:color w:val="auto"/>
          <w:sz w:val="28"/>
        </w:rPr>
        <w:t>、估价机构《营业执照》复印件</w:t>
      </w:r>
    </w:p>
    <w:p>
      <w:pPr>
        <w:spacing w:line="600" w:lineRule="exact"/>
        <w:ind w:firstLine="1260" w:firstLineChars="450"/>
        <w:rPr>
          <w:rFonts w:hint="eastAsia" w:ascii="宋体" w:hAnsi="宋体" w:eastAsia="宋体" w:cs="宋体"/>
          <w:color w:val="auto"/>
          <w:spacing w:val="30"/>
          <w:sz w:val="28"/>
        </w:rPr>
      </w:pPr>
      <w:r>
        <w:rPr>
          <w:rFonts w:hint="eastAsia" w:ascii="宋体" w:hAnsi="宋体" w:eastAsia="宋体" w:cs="宋体"/>
          <w:color w:val="auto"/>
          <w:sz w:val="28"/>
          <w:lang w:eastAsia="zh-CN"/>
        </w:rPr>
        <w:t>十二</w:t>
      </w:r>
      <w:r>
        <w:rPr>
          <w:rFonts w:hint="eastAsia" w:ascii="宋体" w:hAnsi="宋体" w:eastAsia="宋体" w:cs="宋体"/>
          <w:color w:val="auto"/>
          <w:sz w:val="28"/>
        </w:rPr>
        <w:t>、房地产估价机构备案证书复印件</w:t>
      </w:r>
    </w:p>
    <w:p>
      <w:pPr>
        <w:spacing w:line="600" w:lineRule="exact"/>
        <w:ind w:left="703" w:firstLine="1"/>
        <w:rPr>
          <w:rFonts w:hint="eastAsia" w:ascii="宋体" w:hAnsi="宋体" w:eastAsia="宋体" w:cs="宋体"/>
          <w:color w:val="auto"/>
          <w:sz w:val="28"/>
          <w:lang w:val="en-US" w:eastAsia="zh-CN"/>
        </w:rPr>
        <w:sectPr>
          <w:pgSz w:w="11906" w:h="16838"/>
          <w:pgMar w:top="1418" w:right="1021" w:bottom="1418" w:left="1531" w:header="851" w:footer="1077" w:gutter="0"/>
          <w:pgNumType w:start="1"/>
          <w:cols w:space="425" w:num="1"/>
          <w:docGrid w:type="lines" w:linePitch="312" w:charSpace="0"/>
        </w:sectPr>
      </w:pPr>
      <w:r>
        <w:rPr>
          <w:rFonts w:hint="eastAsia" w:ascii="宋体" w:hAnsi="宋体" w:eastAsia="宋体" w:cs="宋体"/>
          <w:color w:val="auto"/>
          <w:sz w:val="28"/>
          <w:lang w:val="en-US" w:eastAsia="zh-CN"/>
        </w:rPr>
        <w:t xml:space="preserve"> </w:t>
      </w:r>
    </w:p>
    <w:p>
      <w:pPr>
        <w:keepNext/>
        <w:keepLines/>
        <w:spacing w:line="540" w:lineRule="exact"/>
        <w:jc w:val="center"/>
        <w:outlineLvl w:val="0"/>
        <w:rPr>
          <w:rFonts w:hint="eastAsia" w:ascii="宋体" w:hAnsi="宋体" w:eastAsia="宋体" w:cs="宋体"/>
          <w:b/>
          <w:bCs/>
          <w:color w:val="auto"/>
          <w:spacing w:val="20"/>
          <w:kern w:val="44"/>
          <w:sz w:val="32"/>
          <w:szCs w:val="32"/>
        </w:rPr>
      </w:pPr>
      <w:bookmarkStart w:id="0" w:name="_Toc88835603"/>
      <w:r>
        <w:rPr>
          <w:rFonts w:hint="eastAsia" w:ascii="宋体" w:hAnsi="宋体" w:eastAsia="宋体" w:cs="宋体"/>
          <w:b/>
          <w:bCs/>
          <w:color w:val="auto"/>
          <w:spacing w:val="20"/>
          <w:kern w:val="44"/>
          <w:sz w:val="32"/>
          <w:szCs w:val="32"/>
        </w:rPr>
        <w:t>估价师声明</w:t>
      </w:r>
      <w:bookmarkEnd w:id="0"/>
    </w:p>
    <w:p>
      <w:pPr>
        <w:spacing w:line="560" w:lineRule="exact"/>
        <w:ind w:firstLine="480" w:firstLineChars="150"/>
        <w:rPr>
          <w:rFonts w:hint="eastAsia" w:ascii="宋体" w:hAnsi="宋体" w:eastAsia="宋体" w:cs="宋体"/>
          <w:color w:val="auto"/>
          <w:sz w:val="32"/>
        </w:rPr>
      </w:pPr>
    </w:p>
    <w:p>
      <w:pPr>
        <w:spacing w:line="52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 注册房地产估价师在估价报告中对事实的说明是真实和准确的，没有虚假记载、误导性陈述和重大遗漏。</w:t>
      </w:r>
    </w:p>
    <w:p>
      <w:pPr>
        <w:spacing w:line="52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 估价报告中的分析、意见和结论是注册房地产估价师独立、客观、公正的专业分析、意见和结论，但受到估价报告中已说明的估价假设和限制条件的限制。</w:t>
      </w:r>
    </w:p>
    <w:p>
      <w:pPr>
        <w:spacing w:line="52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3注册房地产估价师与估价报告中的估价对象没有现实或潜在的利益，与估价委托人及估价利害关系人没有利害关系，也对估价对象、估价委托人及估价利害关系人没有偏见。</w:t>
      </w:r>
    </w:p>
    <w:p>
      <w:pPr>
        <w:spacing w:line="58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 注册房地产估价师是按照有关房地产估价标准的规定进行估价工作，撰写估价报告。</w:t>
      </w:r>
    </w:p>
    <w:p>
      <w:pPr>
        <w:widowControl/>
        <w:jc w:val="left"/>
        <w:rPr>
          <w:rFonts w:hint="eastAsia" w:ascii="宋体" w:hAnsi="宋体" w:eastAsia="宋体" w:cs="宋体"/>
          <w:color w:val="auto"/>
          <w:sz w:val="28"/>
        </w:rPr>
      </w:pPr>
      <w:r>
        <w:rPr>
          <w:rFonts w:hint="eastAsia" w:ascii="宋体" w:hAnsi="宋体" w:eastAsia="宋体" w:cs="宋体"/>
          <w:color w:val="auto"/>
          <w:sz w:val="28"/>
        </w:rPr>
        <w:br w:type="page"/>
      </w:r>
    </w:p>
    <w:p>
      <w:pPr>
        <w:keepNext/>
        <w:keepLines/>
        <w:spacing w:line="540" w:lineRule="exact"/>
        <w:jc w:val="center"/>
        <w:outlineLvl w:val="0"/>
        <w:rPr>
          <w:rFonts w:hint="eastAsia" w:ascii="宋体" w:hAnsi="宋体" w:eastAsia="宋体" w:cs="宋体"/>
          <w:color w:val="auto"/>
        </w:rPr>
      </w:pPr>
      <w:bookmarkStart w:id="1" w:name="_Toc88835604"/>
      <w:r>
        <w:rPr>
          <w:rFonts w:hint="eastAsia" w:ascii="宋体" w:hAnsi="宋体" w:eastAsia="宋体" w:cs="宋体"/>
          <w:b/>
          <w:bCs/>
          <w:color w:val="auto"/>
          <w:kern w:val="44"/>
          <w:sz w:val="32"/>
          <w:szCs w:val="32"/>
        </w:rPr>
        <w:t>估价假设和限制条件</w:t>
      </w:r>
      <w:bookmarkEnd w:id="1"/>
    </w:p>
    <w:p>
      <w:pPr>
        <w:adjustRightInd w:val="0"/>
        <w:snapToGrid w:val="0"/>
        <w:spacing w:line="50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rPr>
        <w:t>一、本次估价的假设条件</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（一）一般假设</w:t>
      </w:r>
    </w:p>
    <w:p>
      <w:pPr>
        <w:spacing w:line="6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1、估价委托人提供了估价对象的</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w:t>
      </w:r>
      <w:r>
        <w:rPr>
          <w:rFonts w:hint="eastAsia" w:ascii="宋体" w:hAnsi="宋体" w:eastAsia="宋体" w:cs="宋体"/>
          <w:color w:val="auto"/>
          <w:sz w:val="28"/>
        </w:rPr>
        <w:t>，注册房地产估价师对证明上记载的面积等资料进行了审慎检查，在无理由怀疑其合法性、真实性、准确性和完整性的情况下，假定估价委托人提供的资料合法、真实、准确、完整。</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2、注册房地产估价师已对房屋安全、环境污染等影响估价对象价值的重大因素给予了关注，在无理由怀疑估价对象存在隐患且无相应的专业机构鉴定、检测的情况下，假定估价对象能正常安全使用。</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本估价结果是估价对象于价值时点具有合法产权且在完整权利状态下的市场价值，假设在价值时点的房地产市场为公开、平等、自愿的交易市场，即能满足以下条件：（1）自愿销售的卖方及自愿购买的买方；（2）交易双方无任何利害关系，交易的目的是追求各自利益的最大化；（3）交易双方了解交易对象、知晓市场行情；（4）交易双方有较充裕的时间进行交易；（5）不存在特殊买者得附加出价。</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4、市场供应关系，市场结构保持稳定，未发生重大变化或实质性改变。</w:t>
      </w:r>
    </w:p>
    <w:p>
      <w:pPr>
        <w:spacing w:line="48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5、人民法院拍卖（或者变卖）财产之日的估价对象状况和房地产市场状况与实地查勘完成之日状况相同</w:t>
      </w:r>
      <w:r>
        <w:rPr>
          <w:rFonts w:hint="eastAsia" w:ascii="宋体" w:hAnsi="宋体" w:eastAsia="宋体" w:cs="宋体"/>
          <w:color w:val="auto"/>
          <w:sz w:val="28"/>
          <w:lang w:eastAsia="zh-CN"/>
        </w:rPr>
        <w:t>，不存在租赁权、用益物权及占有使用</w:t>
      </w:r>
      <w:r>
        <w:rPr>
          <w:rFonts w:hint="eastAsia" w:ascii="宋体" w:hAnsi="宋体" w:eastAsia="宋体" w:cs="宋体"/>
          <w:color w:val="auto"/>
          <w:sz w:val="28"/>
        </w:rPr>
        <w:t>。</w:t>
      </w:r>
    </w:p>
    <w:p>
      <w:pPr>
        <w:spacing w:line="48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6、假定估价对象不存在欠缴税费（含税收、物业费、供暖费、水电费等）。</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（二）未定事项假设无。</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（三）背离事实假设</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1、估价结果是为委托方执行申请人申请</w:t>
      </w:r>
      <w:r>
        <w:rPr>
          <w:rFonts w:hint="eastAsia" w:ascii="宋体" w:hAnsi="宋体" w:eastAsia="宋体" w:cs="宋体"/>
          <w:color w:val="auto"/>
          <w:sz w:val="28"/>
          <w:lang w:eastAsia="zh-CN"/>
        </w:rPr>
        <w:t>执行</w:t>
      </w:r>
      <w:r>
        <w:rPr>
          <w:rFonts w:hint="eastAsia" w:ascii="宋体" w:hAnsi="宋体" w:eastAsia="宋体" w:cs="宋体"/>
          <w:color w:val="auto"/>
          <w:spacing w:val="-10"/>
          <w:sz w:val="28"/>
          <w:szCs w:val="28"/>
          <w:lang w:eastAsia="zh-CN"/>
        </w:rPr>
        <w:t>东莞市绿湖山庄开发建造有限公司</w:t>
      </w:r>
      <w:r>
        <w:rPr>
          <w:rFonts w:hint="eastAsia" w:ascii="宋体" w:hAnsi="宋体" w:eastAsia="宋体" w:cs="宋体"/>
          <w:color w:val="auto"/>
          <w:sz w:val="28"/>
        </w:rPr>
        <w:t>一案提供参考依据而评估房地产市场价值，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2、估价结果未考虑估价对象及其所有人已承担的债务、或有债务及经营决策失误或市场运作失灵对其价值的影响。</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3、估价结果未考虑评估对象被查封以及原有的担保物权情况，视为没有查封、未设立担保物权的财产进行评估。</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（四）不相一致假设无。</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（五）依据不足假设无。</w:t>
      </w:r>
    </w:p>
    <w:p>
      <w:pPr>
        <w:spacing w:line="500" w:lineRule="exact"/>
        <w:ind w:firstLine="562" w:firstLineChars="200"/>
        <w:rPr>
          <w:rFonts w:hint="eastAsia" w:ascii="宋体" w:hAnsi="宋体" w:eastAsia="宋体" w:cs="宋体"/>
          <w:b/>
          <w:color w:val="auto"/>
          <w:sz w:val="28"/>
        </w:rPr>
      </w:pPr>
      <w:r>
        <w:rPr>
          <w:rFonts w:hint="eastAsia" w:ascii="宋体" w:hAnsi="宋体" w:eastAsia="宋体" w:cs="宋体"/>
          <w:b/>
          <w:color w:val="auto"/>
          <w:sz w:val="28"/>
        </w:rPr>
        <w:t>二、本报告使用的限制条件</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1、本报告仅为委托方执行申请人</w:t>
      </w:r>
      <w:r>
        <w:rPr>
          <w:rFonts w:hint="eastAsia" w:ascii="宋体" w:hAnsi="宋体" w:eastAsia="宋体" w:cs="宋体"/>
          <w:color w:val="auto"/>
          <w:sz w:val="28"/>
        </w:rPr>
        <w:t>申请执行</w:t>
      </w:r>
      <w:r>
        <w:rPr>
          <w:rFonts w:hint="eastAsia" w:ascii="宋体" w:hAnsi="宋体" w:eastAsia="宋体" w:cs="宋体"/>
          <w:color w:val="auto"/>
          <w:spacing w:val="-10"/>
          <w:sz w:val="28"/>
          <w:szCs w:val="28"/>
          <w:lang w:eastAsia="zh-CN"/>
        </w:rPr>
        <w:t>东莞市绿湖山庄开发建造有限公司</w:t>
      </w:r>
      <w:r>
        <w:rPr>
          <w:rFonts w:hint="eastAsia" w:ascii="宋体" w:hAnsi="宋体" w:eastAsia="宋体" w:cs="宋体"/>
          <w:color w:val="auto"/>
          <w:sz w:val="28"/>
        </w:rPr>
        <w:t>一案提供参考依据而评估房地产市场价值，不得用于其他用途。</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本估价报告专为估价委托方所使用，未经本机构同意，不得向估价委托方和报告审查部门之外的单位和个人提供；本报告的全部或部分及任何参考资料不允许在任何公开发表的文件、通告或声明中引用，亦不得以其他任何方式公开发表。</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3、本估价报告自出具之日起壹年内有效。但价值时点后，在报告有效期内估价对象的质量及价格标准发生变化</w:t>
      </w:r>
      <w:r>
        <w:rPr>
          <w:rFonts w:hint="eastAsia" w:ascii="宋体" w:hAnsi="宋体" w:eastAsia="宋体" w:cs="宋体"/>
          <w:color w:val="auto"/>
          <w:sz w:val="28"/>
          <w:lang w:eastAsia="zh-CN"/>
        </w:rPr>
        <w:t>，</w:t>
      </w:r>
      <w:r>
        <w:rPr>
          <w:rFonts w:hint="eastAsia" w:ascii="宋体" w:hAnsi="宋体" w:eastAsia="宋体" w:cs="宋体"/>
          <w:color w:val="auto"/>
          <w:sz w:val="28"/>
        </w:rPr>
        <w:t>并对估价对象价值产生明显影响时，不能直接使用本估价结果；超过壹年，需重新进行估价。</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4、本报告必须经过估价机构加盖公章、注册房地产估价师签字后方可使用，估价机构仅对本报告的原件承担责任，对任何形式的复印件概不认可且不承担责任。</w:t>
      </w:r>
    </w:p>
    <w:p>
      <w:pPr>
        <w:spacing w:line="50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5、本估价结果是指假定在充分发达的公开市场条件下，交易双方在交易地位平等、充分了解估价对象相关市场信息及交易双方独立和理智进行判断的前提下形成的市场价值。该价值并不代表具体资产在涉及产权变动或资产形态转变时的实际交易价格。</w:t>
      </w:r>
    </w:p>
    <w:p>
      <w:pPr>
        <w:spacing w:line="500" w:lineRule="exact"/>
        <w:ind w:firstLine="560" w:firstLineChars="200"/>
        <w:rPr>
          <w:rFonts w:hint="eastAsia" w:ascii="宋体" w:hAnsi="宋体" w:eastAsia="宋体" w:cs="宋体"/>
          <w:color w:val="auto"/>
          <w:spacing w:val="-6"/>
          <w:sz w:val="28"/>
        </w:rPr>
      </w:pPr>
      <w:r>
        <w:rPr>
          <w:rFonts w:hint="eastAsia" w:ascii="宋体" w:hAnsi="宋体" w:eastAsia="宋体" w:cs="宋体"/>
          <w:color w:val="auto"/>
          <w:sz w:val="28"/>
        </w:rPr>
        <w:t>6、本报告由盘锦</w:t>
      </w:r>
      <w:r>
        <w:rPr>
          <w:rFonts w:hint="eastAsia" w:ascii="宋体" w:hAnsi="宋体" w:eastAsia="宋体" w:cs="宋体"/>
          <w:color w:val="auto"/>
          <w:sz w:val="28"/>
          <w:lang w:eastAsia="zh-CN"/>
        </w:rPr>
        <w:t>博达</w:t>
      </w:r>
      <w:r>
        <w:rPr>
          <w:rFonts w:hint="eastAsia" w:ascii="宋体" w:hAnsi="宋体" w:eastAsia="宋体" w:cs="宋体"/>
          <w:color w:val="auto"/>
          <w:sz w:val="28"/>
        </w:rPr>
        <w:t>房地产评估有限公司负责解释</w:t>
      </w:r>
      <w:r>
        <w:rPr>
          <w:rFonts w:hint="eastAsia" w:ascii="宋体" w:hAnsi="宋体" w:eastAsia="宋体" w:cs="宋体"/>
          <w:color w:val="auto"/>
          <w:spacing w:val="-6"/>
          <w:sz w:val="28"/>
        </w:rPr>
        <w:t>。</w:t>
      </w:r>
    </w:p>
    <w:p>
      <w:pPr>
        <w:spacing w:before="240" w:after="60" w:line="540" w:lineRule="exact"/>
        <w:jc w:val="center"/>
        <w:outlineLvl w:val="0"/>
        <w:rPr>
          <w:rFonts w:hint="eastAsia" w:ascii="宋体" w:hAnsi="宋体" w:eastAsia="宋体" w:cs="宋体"/>
          <w:b/>
          <w:bCs/>
          <w:color w:val="auto"/>
          <w:sz w:val="32"/>
          <w:szCs w:val="32"/>
        </w:rPr>
      </w:pPr>
      <w:r>
        <w:rPr>
          <w:rFonts w:hint="eastAsia" w:ascii="宋体" w:hAnsi="宋体" w:eastAsia="宋体" w:cs="宋体"/>
          <w:b/>
          <w:bCs/>
          <w:color w:val="auto"/>
          <w:sz w:val="32"/>
          <w:szCs w:val="32"/>
        </w:rPr>
        <w:br w:type="page"/>
      </w:r>
      <w:bookmarkStart w:id="2" w:name="_Toc88835605"/>
      <w:r>
        <w:rPr>
          <w:rFonts w:hint="eastAsia" w:ascii="宋体" w:hAnsi="宋体" w:eastAsia="宋体" w:cs="宋体"/>
          <w:b/>
          <w:bCs/>
          <w:color w:val="auto"/>
          <w:sz w:val="32"/>
          <w:szCs w:val="32"/>
        </w:rPr>
        <w:t>估价结果报告</w:t>
      </w:r>
      <w:bookmarkEnd w:id="2"/>
    </w:p>
    <w:p>
      <w:pPr>
        <w:keepNext/>
        <w:keepLines/>
        <w:spacing w:line="540" w:lineRule="exact"/>
        <w:ind w:left="630" w:leftChars="300"/>
        <w:outlineLvl w:val="1"/>
        <w:rPr>
          <w:rFonts w:hint="eastAsia" w:ascii="宋体" w:hAnsi="宋体" w:eastAsia="宋体" w:cs="宋体"/>
          <w:b/>
          <w:bCs/>
          <w:color w:val="auto"/>
          <w:sz w:val="28"/>
          <w:szCs w:val="28"/>
        </w:rPr>
      </w:pPr>
      <w:bookmarkStart w:id="3" w:name="_Toc88835606"/>
      <w:r>
        <w:rPr>
          <w:rFonts w:hint="eastAsia" w:ascii="宋体" w:hAnsi="宋体" w:eastAsia="宋体" w:cs="宋体"/>
          <w:b/>
          <w:bCs/>
          <w:color w:val="auto"/>
          <w:sz w:val="28"/>
          <w:szCs w:val="28"/>
        </w:rPr>
        <w:t>一、估价委托人</w:t>
      </w:r>
      <w:bookmarkEnd w:id="3"/>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委 托 人: 辽宁省盘锦市中级人民法院</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rPr>
        <w:t>联系人：</w:t>
      </w:r>
      <w:r>
        <w:rPr>
          <w:rFonts w:hint="eastAsia" w:ascii="宋体" w:hAnsi="宋体" w:eastAsia="宋体" w:cs="宋体"/>
          <w:color w:val="auto"/>
          <w:sz w:val="28"/>
          <w:lang w:eastAsia="zh-CN"/>
        </w:rPr>
        <w:t>齐艳民</w:t>
      </w:r>
    </w:p>
    <w:p>
      <w:pPr>
        <w:adjustRightInd w:val="0"/>
        <w:snapToGrid w:val="0"/>
        <w:spacing w:line="540" w:lineRule="exact"/>
        <w:ind w:left="559" w:leftChars="266"/>
        <w:rPr>
          <w:rFonts w:hint="default" w:ascii="宋体" w:hAnsi="宋体" w:eastAsia="宋体" w:cs="宋体"/>
          <w:color w:val="auto"/>
          <w:sz w:val="28"/>
          <w:lang w:val="en-US" w:eastAsia="zh-CN"/>
        </w:rPr>
      </w:pPr>
      <w:r>
        <w:rPr>
          <w:rFonts w:hint="eastAsia" w:ascii="宋体" w:hAnsi="宋体" w:eastAsia="宋体" w:cs="宋体"/>
          <w:color w:val="auto"/>
          <w:sz w:val="28"/>
        </w:rPr>
        <w:t>联系电话：</w:t>
      </w:r>
      <w:r>
        <w:rPr>
          <w:rFonts w:hint="eastAsia" w:ascii="宋体" w:hAnsi="宋体" w:eastAsia="宋体" w:cs="宋体"/>
          <w:color w:val="auto"/>
          <w:sz w:val="28"/>
          <w:lang w:val="en-US" w:eastAsia="zh-CN"/>
        </w:rPr>
        <w:t>15142798882</w:t>
      </w:r>
    </w:p>
    <w:p>
      <w:pPr>
        <w:keepNext/>
        <w:keepLines/>
        <w:spacing w:line="540" w:lineRule="exact"/>
        <w:ind w:left="630" w:leftChars="300"/>
        <w:outlineLvl w:val="1"/>
        <w:rPr>
          <w:rFonts w:hint="eastAsia" w:ascii="宋体" w:hAnsi="宋体" w:eastAsia="宋体" w:cs="宋体"/>
          <w:b/>
          <w:bCs/>
          <w:color w:val="auto"/>
          <w:sz w:val="28"/>
          <w:szCs w:val="28"/>
        </w:rPr>
      </w:pPr>
      <w:bookmarkStart w:id="4" w:name="_Toc88835607"/>
      <w:bookmarkStart w:id="5" w:name="_Toc507679998"/>
      <w:r>
        <w:rPr>
          <w:rFonts w:hint="eastAsia" w:ascii="宋体" w:hAnsi="宋体" w:eastAsia="宋体" w:cs="宋体"/>
          <w:b/>
          <w:bCs/>
          <w:color w:val="auto"/>
          <w:sz w:val="28"/>
          <w:szCs w:val="28"/>
        </w:rPr>
        <w:t>二、房地产估价机构</w:t>
      </w:r>
      <w:bookmarkEnd w:id="4"/>
      <w:bookmarkEnd w:id="5"/>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估价机构：盘锦</w:t>
      </w:r>
      <w:r>
        <w:rPr>
          <w:rFonts w:hint="eastAsia" w:ascii="宋体" w:hAnsi="宋体" w:eastAsia="宋体" w:cs="宋体"/>
          <w:color w:val="auto"/>
          <w:sz w:val="28"/>
          <w:lang w:eastAsia="zh-CN"/>
        </w:rPr>
        <w:t>博达</w:t>
      </w:r>
      <w:r>
        <w:rPr>
          <w:rFonts w:hint="eastAsia" w:ascii="宋体" w:hAnsi="宋体" w:eastAsia="宋体" w:cs="宋体"/>
          <w:color w:val="auto"/>
          <w:sz w:val="28"/>
        </w:rPr>
        <w:t>房地产评估有限公司</w:t>
      </w:r>
    </w:p>
    <w:p>
      <w:pPr>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rPr>
        <w:t>住    所：</w:t>
      </w:r>
      <w:r>
        <w:rPr>
          <w:rFonts w:hint="eastAsia" w:ascii="宋体" w:hAnsi="宋体" w:eastAsia="宋体" w:cs="宋体"/>
          <w:color w:val="auto"/>
          <w:sz w:val="28"/>
          <w:lang w:eastAsia="zh-CN"/>
        </w:rPr>
        <w:t>辽宁省盘锦市兴隆台区惠宾大街南财政路</w:t>
      </w:r>
      <w:r>
        <w:rPr>
          <w:rFonts w:hint="eastAsia" w:ascii="宋体" w:hAnsi="宋体" w:eastAsia="宋体" w:cs="宋体"/>
          <w:color w:val="auto"/>
          <w:sz w:val="28"/>
          <w:lang w:val="en-US" w:eastAsia="zh-CN"/>
        </w:rPr>
        <w:t>16#4-102</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rPr>
        <w:t>机构负责人：</w:t>
      </w:r>
      <w:r>
        <w:rPr>
          <w:rFonts w:hint="eastAsia" w:ascii="宋体" w:hAnsi="宋体" w:eastAsia="宋体" w:cs="宋体"/>
          <w:color w:val="auto"/>
          <w:sz w:val="28"/>
          <w:lang w:eastAsia="zh-CN"/>
        </w:rPr>
        <w:t>范涛</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备案等级：贰级</w:t>
      </w:r>
      <w:r>
        <w:rPr>
          <w:rFonts w:hint="eastAsia" w:ascii="宋体" w:hAnsi="宋体" w:eastAsia="宋体" w:cs="宋体"/>
          <w:color w:val="auto"/>
          <w:sz w:val="28"/>
        </w:rPr>
        <w:tab/>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证书编号：第0000103</w:t>
      </w:r>
      <w:r>
        <w:rPr>
          <w:rFonts w:hint="eastAsia" w:ascii="宋体" w:hAnsi="宋体" w:eastAsia="宋体" w:cs="宋体"/>
          <w:color w:val="auto"/>
          <w:sz w:val="28"/>
          <w:lang w:val="en-US" w:eastAsia="zh-CN"/>
        </w:rPr>
        <w:t>03</w:t>
      </w:r>
      <w:r>
        <w:rPr>
          <w:rFonts w:hint="eastAsia" w:ascii="宋体" w:hAnsi="宋体" w:eastAsia="宋体" w:cs="宋体"/>
          <w:color w:val="auto"/>
          <w:sz w:val="28"/>
        </w:rPr>
        <w:t>号</w:t>
      </w:r>
    </w:p>
    <w:p>
      <w:pPr>
        <w:adjustRightInd w:val="0"/>
        <w:snapToGrid w:val="0"/>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rPr>
        <w:t>联系电话：（0427）28</w:t>
      </w:r>
      <w:r>
        <w:rPr>
          <w:rFonts w:hint="eastAsia" w:ascii="宋体" w:hAnsi="宋体" w:eastAsia="宋体" w:cs="宋体"/>
          <w:color w:val="auto"/>
          <w:sz w:val="28"/>
          <w:lang w:val="en-US" w:eastAsia="zh-CN"/>
        </w:rPr>
        <w:t>26809</w:t>
      </w:r>
    </w:p>
    <w:p>
      <w:pPr>
        <w:keepNext/>
        <w:keepLines/>
        <w:spacing w:line="540" w:lineRule="exact"/>
        <w:ind w:left="630" w:leftChars="300"/>
        <w:outlineLvl w:val="1"/>
        <w:rPr>
          <w:rFonts w:hint="eastAsia" w:ascii="宋体" w:hAnsi="宋体" w:eastAsia="宋体" w:cs="宋体"/>
          <w:b/>
          <w:bCs/>
          <w:color w:val="auto"/>
          <w:sz w:val="28"/>
          <w:szCs w:val="28"/>
        </w:rPr>
      </w:pPr>
      <w:bookmarkStart w:id="6" w:name="_Toc88835608"/>
      <w:bookmarkStart w:id="7" w:name="_Toc507679999"/>
      <w:r>
        <w:rPr>
          <w:rFonts w:hint="eastAsia" w:ascii="宋体" w:hAnsi="宋体" w:eastAsia="宋体" w:cs="宋体"/>
          <w:b/>
          <w:bCs/>
          <w:color w:val="auto"/>
          <w:sz w:val="28"/>
          <w:szCs w:val="28"/>
        </w:rPr>
        <w:t>三、估价目的</w:t>
      </w:r>
      <w:bookmarkEnd w:id="6"/>
      <w:bookmarkEnd w:id="7"/>
    </w:p>
    <w:p>
      <w:pPr>
        <w:autoSpaceDE w:val="0"/>
        <w:autoSpaceDN w:val="0"/>
        <w:spacing w:line="540" w:lineRule="exact"/>
        <w:ind w:left="1" w:firstLine="562" w:firstLineChars="201"/>
        <w:jc w:val="left"/>
        <w:rPr>
          <w:rFonts w:hint="eastAsia" w:ascii="宋体" w:hAnsi="宋体" w:eastAsia="宋体" w:cs="宋体"/>
          <w:color w:val="auto"/>
          <w:sz w:val="28"/>
          <w:szCs w:val="28"/>
        </w:rPr>
      </w:pPr>
      <w:bookmarkStart w:id="8" w:name="_Toc507680000"/>
      <w:r>
        <w:rPr>
          <w:rFonts w:hint="eastAsia" w:ascii="宋体" w:hAnsi="宋体" w:eastAsia="宋体" w:cs="宋体"/>
          <w:color w:val="auto"/>
          <w:sz w:val="28"/>
          <w:szCs w:val="28"/>
        </w:rPr>
        <w:t>为人民法院确定财产处置参考价提供参考依据。</w:t>
      </w:r>
    </w:p>
    <w:p>
      <w:pPr>
        <w:keepNext/>
        <w:keepLines/>
        <w:spacing w:line="540" w:lineRule="exact"/>
        <w:ind w:left="630" w:leftChars="300"/>
        <w:outlineLvl w:val="1"/>
        <w:rPr>
          <w:rFonts w:hint="eastAsia" w:ascii="宋体" w:hAnsi="宋体" w:eastAsia="宋体" w:cs="宋体"/>
          <w:b/>
          <w:bCs/>
          <w:color w:val="auto"/>
          <w:sz w:val="28"/>
          <w:szCs w:val="28"/>
        </w:rPr>
      </w:pPr>
      <w:bookmarkStart w:id="9" w:name="_Toc88835609"/>
      <w:r>
        <w:rPr>
          <w:rFonts w:hint="eastAsia" w:ascii="宋体" w:hAnsi="宋体" w:eastAsia="宋体" w:cs="宋体"/>
          <w:b/>
          <w:bCs/>
          <w:color w:val="auto"/>
          <w:sz w:val="28"/>
          <w:szCs w:val="28"/>
        </w:rPr>
        <w:t>四、估价对象</w:t>
      </w:r>
      <w:bookmarkEnd w:id="8"/>
      <w:bookmarkEnd w:id="9"/>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 估价对象基本状况</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eastAsia="zh-CN"/>
        </w:rPr>
        <w:t>估价对象</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w:t>
      </w:r>
      <w:r>
        <w:rPr>
          <w:rFonts w:hint="eastAsia" w:ascii="宋体" w:hAnsi="宋体" w:eastAsia="宋体" w:cs="宋体"/>
          <w:color w:val="auto"/>
          <w:sz w:val="28"/>
          <w:lang w:eastAsia="zh-CN"/>
        </w:rPr>
        <w:t>、</w:t>
      </w:r>
      <w:r>
        <w:rPr>
          <w:rFonts w:hint="eastAsia" w:ascii="宋体" w:hAnsi="宋体" w:eastAsia="宋体" w:cs="宋体"/>
          <w:color w:val="auto"/>
          <w:sz w:val="28"/>
        </w:rPr>
        <w:t>《</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w:t>
      </w:r>
      <w:r>
        <w:rPr>
          <w:rFonts w:hint="eastAsia" w:ascii="宋体" w:hAnsi="宋体" w:eastAsia="宋体" w:cs="宋体"/>
          <w:color w:val="auto"/>
          <w:sz w:val="28"/>
          <w:lang w:eastAsia="zh-CN"/>
        </w:rPr>
        <w:t>齐全</w:t>
      </w:r>
      <w:r>
        <w:rPr>
          <w:rFonts w:hint="eastAsia" w:ascii="宋体" w:hAnsi="宋体" w:eastAsia="宋体" w:cs="宋体"/>
          <w:color w:val="auto"/>
          <w:sz w:val="28"/>
        </w:rPr>
        <w:t>，</w:t>
      </w:r>
      <w:r>
        <w:rPr>
          <w:rFonts w:hint="eastAsia" w:ascii="宋体" w:hAnsi="宋体" w:eastAsia="宋体" w:cs="宋体"/>
          <w:color w:val="auto"/>
          <w:sz w:val="28"/>
          <w:lang w:eastAsia="zh-CN"/>
        </w:rPr>
        <w:t>坐落于</w:t>
      </w:r>
      <w:r>
        <w:rPr>
          <w:rFonts w:hint="eastAsia" w:ascii="宋体" w:hAnsi="宋体" w:eastAsia="宋体" w:cs="宋体"/>
          <w:color w:val="auto"/>
          <w:spacing w:val="-10"/>
          <w:sz w:val="28"/>
          <w:szCs w:val="28"/>
          <w:lang w:eastAsia="zh-CN"/>
        </w:rPr>
        <w:t>东莞市常平镇绿湖山庄（现小区名为东方银座</w:t>
      </w:r>
      <w:r>
        <w:rPr>
          <w:rFonts w:hint="eastAsia" w:ascii="宋体" w:hAnsi="宋体" w:eastAsia="宋体" w:cs="宋体"/>
          <w:color w:val="auto"/>
          <w:spacing w:val="-10"/>
          <w:sz w:val="28"/>
          <w:szCs w:val="28"/>
          <w:lang w:val="en-US" w:eastAsia="zh-CN"/>
        </w:rPr>
        <w:t>·兰乔公馆</w:t>
      </w:r>
      <w:r>
        <w:rPr>
          <w:rFonts w:hint="eastAsia" w:ascii="宋体" w:hAnsi="宋体" w:eastAsia="宋体" w:cs="宋体"/>
          <w:color w:val="auto"/>
          <w:spacing w:val="-10"/>
          <w:sz w:val="28"/>
          <w:szCs w:val="28"/>
          <w:lang w:eastAsia="zh-CN"/>
        </w:rPr>
        <w:t>）。从委托的</w:t>
      </w:r>
      <w:r>
        <w:rPr>
          <w:rFonts w:hint="eastAsia" w:ascii="宋体" w:hAnsi="宋体" w:eastAsia="宋体" w:cs="宋体"/>
          <w:color w:val="auto"/>
          <w:spacing w:val="-10"/>
          <w:sz w:val="28"/>
          <w:szCs w:val="28"/>
          <w:lang w:val="en-US" w:eastAsia="zh-CN"/>
        </w:rPr>
        <w:t>51套房屋中归纳出此三十八套统一评估</w:t>
      </w:r>
      <w:r>
        <w:rPr>
          <w:rFonts w:hint="eastAsia" w:ascii="宋体" w:hAnsi="宋体" w:eastAsia="宋体" w:cs="宋体"/>
          <w:color w:val="auto"/>
          <w:sz w:val="28"/>
        </w:rPr>
        <w:t>。本次评估包括房屋所有权及应合理分摊的国有建设用地使用权的价值</w:t>
      </w:r>
      <w:r>
        <w:rPr>
          <w:rFonts w:hint="eastAsia" w:ascii="宋体" w:hAnsi="宋体" w:eastAsia="宋体" w:cs="宋体"/>
          <w:color w:val="auto"/>
          <w:sz w:val="28"/>
          <w:lang w:val="en-US" w:eastAsia="zh-CN"/>
        </w:rPr>
        <w:t>，</w:t>
      </w:r>
      <w:r>
        <w:rPr>
          <w:rFonts w:hint="eastAsia" w:ascii="宋体" w:hAnsi="宋体" w:eastAsia="宋体" w:cs="宋体"/>
          <w:color w:val="auto"/>
          <w:sz w:val="28"/>
        </w:rPr>
        <w:t>权利人为</w:t>
      </w:r>
      <w:r>
        <w:rPr>
          <w:rFonts w:hint="eastAsia" w:ascii="宋体" w:hAnsi="宋体" w:eastAsia="宋体" w:cs="宋体"/>
          <w:color w:val="auto"/>
          <w:spacing w:val="-10"/>
          <w:sz w:val="28"/>
          <w:szCs w:val="28"/>
          <w:lang w:eastAsia="zh-CN"/>
        </w:rPr>
        <w:t>东莞市绿湖山庄开发建造有限公司</w:t>
      </w:r>
      <w:r>
        <w:rPr>
          <w:rFonts w:hint="eastAsia" w:ascii="宋体" w:hAnsi="宋体" w:eastAsia="宋体" w:cs="宋体"/>
          <w:color w:val="auto"/>
          <w:sz w:val="28"/>
        </w:rPr>
        <w:t>，用途为</w:t>
      </w:r>
      <w:r>
        <w:rPr>
          <w:rFonts w:hint="eastAsia" w:ascii="宋体" w:hAnsi="宋体" w:eastAsia="宋体" w:cs="宋体"/>
          <w:color w:val="auto"/>
          <w:sz w:val="28"/>
          <w:lang w:eastAsia="zh-CN"/>
        </w:rPr>
        <w:t>住宅</w:t>
      </w:r>
      <w:r>
        <w:rPr>
          <w:rFonts w:hint="eastAsia" w:ascii="宋体" w:hAnsi="宋体" w:eastAsia="宋体" w:cs="宋体"/>
          <w:color w:val="auto"/>
          <w:sz w:val="28"/>
        </w:rPr>
        <w:t>，</w:t>
      </w:r>
      <w:r>
        <w:rPr>
          <w:rFonts w:hint="eastAsia" w:ascii="宋体" w:hAnsi="宋体" w:eastAsia="宋体" w:cs="宋体"/>
          <w:color w:val="auto"/>
          <w:sz w:val="28"/>
          <w:lang w:eastAsia="zh-CN"/>
        </w:rPr>
        <w:t>详细信息：</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i w:val="0"/>
          <w:iCs w:val="0"/>
          <w:color w:val="auto"/>
          <w:kern w:val="0"/>
          <w:sz w:val="28"/>
          <w:szCs w:val="28"/>
          <w:u w:val="none"/>
          <w:lang w:val="en-US" w:eastAsia="zh-CN" w:bidi="ar"/>
        </w:rPr>
        <w:t>1栋02号</w:t>
      </w: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lang w:val="en-US" w:eastAsia="zh-CN"/>
        </w:rPr>
        <w:t>号:东莞商房预证字第201400462号,</w:t>
      </w:r>
      <w:r>
        <w:rPr>
          <w:rFonts w:hint="eastAsia" w:ascii="宋体" w:hAnsi="宋体" w:eastAsia="宋体" w:cs="宋体"/>
          <w:i w:val="0"/>
          <w:iCs w:val="0"/>
          <w:color w:val="auto"/>
          <w:kern w:val="0"/>
          <w:sz w:val="28"/>
          <w:szCs w:val="28"/>
          <w:u w:val="none"/>
          <w:lang w:val="en-US" w:eastAsia="zh-CN" w:bidi="ar"/>
        </w:rPr>
        <w:t>房屋建筑面积为256.09平方米</w:t>
      </w:r>
      <w:r>
        <w:rPr>
          <w:rFonts w:hint="eastAsia" w:ascii="宋体" w:hAnsi="宋体" w:eastAsia="宋体" w:cs="宋体"/>
          <w:color w:val="auto"/>
          <w:sz w:val="28"/>
          <w:lang w:val="en-US" w:eastAsia="zh-CN"/>
        </w:rPr>
        <w:t>,</w:t>
      </w:r>
      <w:r>
        <w:rPr>
          <w:rFonts w:hint="eastAsia" w:ascii="宋体" w:hAnsi="宋体" w:eastAsia="宋体" w:cs="宋体"/>
          <w:color w:val="auto"/>
          <w:sz w:val="28"/>
          <w:lang w:eastAsia="zh-CN"/>
        </w:rPr>
        <w:t>房屋地上层数3层,地下室1层。</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i w:val="0"/>
          <w:iCs w:val="0"/>
          <w:color w:val="auto"/>
          <w:kern w:val="0"/>
          <w:sz w:val="28"/>
          <w:szCs w:val="28"/>
          <w:u w:val="none"/>
          <w:lang w:val="en-US" w:eastAsia="zh-CN" w:bidi="ar"/>
        </w:rPr>
        <w:t>1栋05号</w:t>
      </w: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lang w:val="en-US" w:eastAsia="zh-CN"/>
        </w:rPr>
        <w:t>号:东莞商房预证字第201400462号,</w:t>
      </w:r>
      <w:r>
        <w:rPr>
          <w:rFonts w:hint="eastAsia" w:ascii="宋体" w:hAnsi="宋体" w:eastAsia="宋体" w:cs="宋体"/>
          <w:i w:val="0"/>
          <w:iCs w:val="0"/>
          <w:color w:val="auto"/>
          <w:kern w:val="0"/>
          <w:sz w:val="28"/>
          <w:szCs w:val="28"/>
          <w:u w:val="none"/>
          <w:lang w:val="en-US" w:eastAsia="zh-CN" w:bidi="ar"/>
        </w:rPr>
        <w:t>房屋建筑面积为256.09平方米</w:t>
      </w:r>
      <w:r>
        <w:rPr>
          <w:rFonts w:hint="eastAsia" w:ascii="宋体" w:hAnsi="宋体" w:eastAsia="宋体" w:cs="宋体"/>
          <w:color w:val="auto"/>
          <w:sz w:val="28"/>
          <w:lang w:val="en-US" w:eastAsia="zh-CN"/>
        </w:rPr>
        <w:t>,</w:t>
      </w:r>
      <w:r>
        <w:rPr>
          <w:rFonts w:hint="eastAsia" w:ascii="宋体" w:hAnsi="宋体" w:eastAsia="宋体" w:cs="宋体"/>
          <w:color w:val="auto"/>
          <w:sz w:val="28"/>
          <w:lang w:eastAsia="zh-CN"/>
        </w:rPr>
        <w:t>房屋地上层数3层,地下室1层。</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i w:val="0"/>
          <w:iCs w:val="0"/>
          <w:color w:val="auto"/>
          <w:kern w:val="0"/>
          <w:sz w:val="28"/>
          <w:szCs w:val="28"/>
          <w:u w:val="none"/>
          <w:lang w:val="en-US" w:eastAsia="zh-CN" w:bidi="ar"/>
        </w:rPr>
        <w:t>1栋06号</w:t>
      </w: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lang w:val="en-US" w:eastAsia="zh-CN"/>
        </w:rPr>
        <w:t>号:东莞商房预证字第201400462号,</w:t>
      </w:r>
      <w:r>
        <w:rPr>
          <w:rFonts w:hint="eastAsia" w:ascii="宋体" w:hAnsi="宋体" w:eastAsia="宋体" w:cs="宋体"/>
          <w:i w:val="0"/>
          <w:iCs w:val="0"/>
          <w:color w:val="auto"/>
          <w:kern w:val="0"/>
          <w:sz w:val="28"/>
          <w:szCs w:val="28"/>
          <w:u w:val="none"/>
          <w:lang w:val="en-US" w:eastAsia="zh-CN" w:bidi="ar"/>
        </w:rPr>
        <w:t>房屋建筑面积为257.86平方米</w:t>
      </w:r>
      <w:r>
        <w:rPr>
          <w:rFonts w:hint="eastAsia" w:ascii="宋体" w:hAnsi="宋体" w:eastAsia="宋体" w:cs="宋体"/>
          <w:color w:val="auto"/>
          <w:sz w:val="28"/>
          <w:lang w:val="en-US" w:eastAsia="zh-CN"/>
        </w:rPr>
        <w:t>,</w:t>
      </w:r>
      <w:r>
        <w:rPr>
          <w:rFonts w:hint="eastAsia" w:ascii="宋体" w:hAnsi="宋体" w:eastAsia="宋体" w:cs="宋体"/>
          <w:color w:val="auto"/>
          <w:sz w:val="28"/>
          <w:lang w:eastAsia="zh-CN"/>
        </w:rPr>
        <w:t>房屋地上层数3层,地下室1层。</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i w:val="0"/>
          <w:iCs w:val="0"/>
          <w:color w:val="auto"/>
          <w:kern w:val="0"/>
          <w:sz w:val="28"/>
          <w:szCs w:val="28"/>
          <w:u w:val="none"/>
          <w:lang w:val="en-US" w:eastAsia="zh-CN" w:bidi="ar"/>
        </w:rPr>
        <w:t>3栋02号</w:t>
      </w: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lang w:val="en-US" w:eastAsia="zh-CN"/>
        </w:rPr>
        <w:t>号:东莞商房预证字第201400462号,</w:t>
      </w:r>
      <w:r>
        <w:rPr>
          <w:rFonts w:hint="eastAsia" w:ascii="宋体" w:hAnsi="宋体" w:eastAsia="宋体" w:cs="宋体"/>
          <w:i w:val="0"/>
          <w:iCs w:val="0"/>
          <w:color w:val="auto"/>
          <w:kern w:val="0"/>
          <w:sz w:val="28"/>
          <w:szCs w:val="28"/>
          <w:u w:val="none"/>
          <w:lang w:val="en-US" w:eastAsia="zh-CN" w:bidi="ar"/>
        </w:rPr>
        <w:t>房屋建筑面积为256.01平方</w:t>
      </w:r>
      <w:r>
        <w:rPr>
          <w:rFonts w:hint="eastAsia" w:ascii="宋体" w:hAnsi="宋体" w:eastAsia="宋体" w:cs="宋体"/>
          <w:color w:val="auto"/>
          <w:sz w:val="28"/>
        </w:rPr>
        <w:t>米</w:t>
      </w:r>
      <w:r>
        <w:rPr>
          <w:rFonts w:hint="eastAsia" w:ascii="宋体" w:hAnsi="宋体" w:eastAsia="宋体" w:cs="宋体"/>
          <w:color w:val="auto"/>
          <w:sz w:val="28"/>
          <w:lang w:val="en-US" w:eastAsia="zh-CN"/>
        </w:rPr>
        <w:t>,</w:t>
      </w:r>
      <w:r>
        <w:rPr>
          <w:rFonts w:hint="eastAsia" w:ascii="宋体" w:hAnsi="宋体" w:eastAsia="宋体" w:cs="宋体"/>
          <w:color w:val="auto"/>
          <w:sz w:val="28"/>
          <w:lang w:eastAsia="zh-CN"/>
        </w:rPr>
        <w:t>房屋地上层数3层,地下室1层。</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i w:val="0"/>
          <w:iCs w:val="0"/>
          <w:color w:val="auto"/>
          <w:kern w:val="0"/>
          <w:sz w:val="28"/>
          <w:szCs w:val="28"/>
          <w:u w:val="none"/>
          <w:lang w:val="en-US" w:eastAsia="zh-CN" w:bidi="ar"/>
        </w:rPr>
        <w:t>3栋04号</w:t>
      </w: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lang w:val="en-US" w:eastAsia="zh-CN"/>
        </w:rPr>
        <w:t>号:东莞商房预证字第201400462号,</w:t>
      </w:r>
      <w:r>
        <w:rPr>
          <w:rFonts w:hint="eastAsia" w:ascii="宋体" w:hAnsi="宋体" w:eastAsia="宋体" w:cs="宋体"/>
          <w:color w:val="auto"/>
          <w:sz w:val="28"/>
        </w:rPr>
        <w:t>房屋建筑面积为</w:t>
      </w:r>
      <w:r>
        <w:rPr>
          <w:rFonts w:hint="eastAsia" w:ascii="宋体" w:hAnsi="宋体" w:eastAsia="宋体" w:cs="宋体"/>
          <w:i w:val="0"/>
          <w:iCs w:val="0"/>
          <w:color w:val="auto"/>
          <w:kern w:val="0"/>
          <w:sz w:val="28"/>
          <w:szCs w:val="28"/>
          <w:u w:val="none"/>
          <w:lang w:val="en-US" w:eastAsia="zh-CN" w:bidi="ar"/>
        </w:rPr>
        <w:t>256.01</w:t>
      </w:r>
      <w:r>
        <w:rPr>
          <w:rFonts w:hint="eastAsia" w:ascii="宋体" w:hAnsi="宋体" w:eastAsia="宋体" w:cs="宋体"/>
          <w:color w:val="auto"/>
          <w:sz w:val="28"/>
        </w:rPr>
        <w:t>平方米</w:t>
      </w:r>
      <w:r>
        <w:rPr>
          <w:rFonts w:hint="eastAsia" w:ascii="宋体" w:hAnsi="宋体" w:eastAsia="宋体" w:cs="宋体"/>
          <w:color w:val="auto"/>
          <w:sz w:val="28"/>
          <w:lang w:val="en-US" w:eastAsia="zh-CN"/>
        </w:rPr>
        <w:t>,</w:t>
      </w:r>
      <w:r>
        <w:rPr>
          <w:rFonts w:hint="eastAsia" w:ascii="宋体" w:hAnsi="宋体" w:eastAsia="宋体" w:cs="宋体"/>
          <w:color w:val="auto"/>
          <w:sz w:val="28"/>
          <w:lang w:eastAsia="zh-CN"/>
        </w:rPr>
        <w:t>房屋地上层数3层,地下室1层。</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i w:val="0"/>
          <w:iCs w:val="0"/>
          <w:color w:val="auto"/>
          <w:kern w:val="0"/>
          <w:sz w:val="28"/>
          <w:szCs w:val="28"/>
          <w:u w:val="none"/>
          <w:lang w:val="en-US" w:eastAsia="zh-CN" w:bidi="ar"/>
        </w:rPr>
        <w:t>3栋05号</w:t>
      </w: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lang w:val="en-US" w:eastAsia="zh-CN"/>
        </w:rPr>
        <w:t>号:东莞商房预证字第201400462号,</w:t>
      </w:r>
      <w:r>
        <w:rPr>
          <w:rFonts w:hint="eastAsia" w:ascii="宋体" w:hAnsi="宋体" w:eastAsia="宋体" w:cs="宋体"/>
          <w:color w:val="auto"/>
          <w:sz w:val="28"/>
        </w:rPr>
        <w:t>房屋建筑面积为</w:t>
      </w:r>
      <w:r>
        <w:rPr>
          <w:rFonts w:hint="eastAsia" w:ascii="宋体" w:hAnsi="宋体" w:eastAsia="宋体" w:cs="宋体"/>
          <w:i w:val="0"/>
          <w:iCs w:val="0"/>
          <w:color w:val="auto"/>
          <w:kern w:val="0"/>
          <w:sz w:val="28"/>
          <w:szCs w:val="28"/>
          <w:u w:val="none"/>
          <w:lang w:val="en-US" w:eastAsia="zh-CN" w:bidi="ar"/>
        </w:rPr>
        <w:t>256.01</w:t>
      </w:r>
      <w:r>
        <w:rPr>
          <w:rFonts w:hint="eastAsia" w:ascii="宋体" w:hAnsi="宋体" w:eastAsia="宋体" w:cs="宋体"/>
          <w:color w:val="auto"/>
          <w:sz w:val="28"/>
        </w:rPr>
        <w:t>平方米</w:t>
      </w:r>
      <w:r>
        <w:rPr>
          <w:rFonts w:hint="eastAsia" w:ascii="宋体" w:hAnsi="宋体" w:eastAsia="宋体" w:cs="宋体"/>
          <w:color w:val="auto"/>
          <w:sz w:val="28"/>
          <w:lang w:val="en-US" w:eastAsia="zh-CN"/>
        </w:rPr>
        <w:t>,</w:t>
      </w:r>
      <w:r>
        <w:rPr>
          <w:rFonts w:hint="eastAsia" w:ascii="宋体" w:hAnsi="宋体" w:eastAsia="宋体" w:cs="宋体"/>
          <w:color w:val="auto"/>
          <w:sz w:val="28"/>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u w:val="none"/>
          <w:lang w:val="en-US" w:eastAsia="zh-CN" w:bidi="ar"/>
        </w:rPr>
        <w:t>3栋06号</w:t>
      </w: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lang w:val="en-US" w:eastAsia="zh-CN"/>
        </w:rPr>
        <w:t>号:东莞商房预证字第201400462号,</w:t>
      </w:r>
      <w:r>
        <w:rPr>
          <w:rFonts w:hint="eastAsia" w:ascii="宋体" w:hAnsi="宋体" w:eastAsia="宋体" w:cs="宋体"/>
          <w:color w:val="auto"/>
          <w:sz w:val="28"/>
        </w:rPr>
        <w:t>房屋</w:t>
      </w:r>
      <w:r>
        <w:rPr>
          <w:rFonts w:hint="eastAsia" w:ascii="宋体" w:hAnsi="宋体" w:eastAsia="宋体" w:cs="宋体"/>
          <w:color w:val="auto"/>
          <w:sz w:val="28"/>
          <w:highlight w:val="none"/>
        </w:rPr>
        <w:t>建筑面积为</w:t>
      </w:r>
      <w:r>
        <w:rPr>
          <w:rFonts w:hint="eastAsia" w:ascii="宋体" w:hAnsi="宋体" w:eastAsia="宋体" w:cs="宋体"/>
          <w:i w:val="0"/>
          <w:iCs w:val="0"/>
          <w:color w:val="auto"/>
          <w:kern w:val="0"/>
          <w:sz w:val="28"/>
          <w:szCs w:val="28"/>
          <w:highlight w:val="none"/>
          <w:u w:val="none"/>
          <w:lang w:val="en-US" w:eastAsia="zh-CN" w:bidi="ar"/>
        </w:rPr>
        <w:t>256.01</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3栋07号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号:东莞商房预证字第201400462号,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256.01</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4栋02号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号:东莞商房预证字第201400462号,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256.12</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4栋07号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号:东莞商房预证字第201400462号,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256.12</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color w:val="auto"/>
          <w:sz w:val="28"/>
          <w:highlight w:val="none"/>
          <w:lang w:val="en-US" w:eastAsia="zh-CN"/>
        </w:rPr>
        <w:t xml:space="preserve">5栋02号：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号:东莞商房预证字第201400462号,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256.01</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5栋08号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号:东莞商房预证字第201400462号,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257.78</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6栋02号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号:东莞商房预证字第201400462号,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256.12</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6栋03号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号:东莞商房预证字第201400462号,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256.12</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6栋04号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号:东莞商房预证字第201400462号,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256.12</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6栋05号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号:东莞商房预证字第201400462号,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256.12</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8栋02号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号:东莞商房预证字第201400462号,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321.78</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8栋03号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号:东莞商房预证字第201400462号,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321.78</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9栋02号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号:东莞商房预证字第201400573号,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322.06</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10栋04号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号:东莞商房预证字第201400574号,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324.31</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11栋02号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号:东莞商房预证字第201400575号,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321.77</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11栋03号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号:东莞商房预证字第201400575号,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321.77</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11栋04号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号:东莞商房预证字第201400575号,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321.77</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13栋03号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号:东莞商房预证字第201400577号,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321.52</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13栋05号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号:东莞商房预证字第201400577号,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321.52</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14栋02号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号:东莞商房预证字第201400578号,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321.49</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14栋03号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号:东莞商房预证字第201400578号,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321.49</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14栋04号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号:东莞商房预证字第201400578号,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321.49</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14栋05号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号:东莞商房预证字第201400578号,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321.49</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15栋01号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号:东莞商房预证字第201400579号,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325.59</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15栋02号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号:东莞商房预证字第201400579号,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323</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15栋03号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号:东莞商房预证字第201400579号,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323</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20栋01号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号:东莞商房预证字第201400462号,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323</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20栋02号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号:东莞商房预证字第20140462号,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406.73</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23栋02号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号:东莞商房预证字第201400462号,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406.73</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lang w:eastAsia="zh-CN"/>
        </w:rPr>
        <w:t>房屋地上层数3层,地下室1层。</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25栋902号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号:东莞商房预证字第201400463号,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88.28</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rPr>
        <w:t>房屋实际总层数</w:t>
      </w:r>
      <w:r>
        <w:rPr>
          <w:rFonts w:hint="eastAsia" w:ascii="宋体" w:hAnsi="宋体" w:eastAsia="宋体" w:cs="宋体"/>
          <w:color w:val="auto"/>
          <w:sz w:val="28"/>
          <w:highlight w:val="none"/>
          <w:lang w:val="en-US" w:eastAsia="zh-CN"/>
        </w:rPr>
        <w:t>18</w:t>
      </w:r>
      <w:r>
        <w:rPr>
          <w:rFonts w:hint="eastAsia" w:ascii="宋体" w:hAnsi="宋体" w:eastAsia="宋体" w:cs="宋体"/>
          <w:color w:val="auto"/>
          <w:sz w:val="28"/>
          <w:highlight w:val="none"/>
        </w:rPr>
        <w:t>层，所在层数为</w:t>
      </w:r>
      <w:r>
        <w:rPr>
          <w:rFonts w:hint="eastAsia" w:ascii="宋体" w:hAnsi="宋体" w:eastAsia="宋体" w:cs="宋体"/>
          <w:color w:val="auto"/>
          <w:sz w:val="28"/>
          <w:highlight w:val="none"/>
          <w:lang w:val="en-US" w:eastAsia="zh-CN"/>
        </w:rPr>
        <w:t>9</w:t>
      </w:r>
      <w:r>
        <w:rPr>
          <w:rFonts w:hint="eastAsia" w:ascii="宋体" w:hAnsi="宋体" w:eastAsia="宋体" w:cs="宋体"/>
          <w:color w:val="auto"/>
          <w:sz w:val="28"/>
          <w:highlight w:val="none"/>
        </w:rPr>
        <w:t>层</w:t>
      </w:r>
      <w:r>
        <w:rPr>
          <w:rFonts w:hint="eastAsia" w:ascii="宋体" w:hAnsi="宋体" w:eastAsia="宋体" w:cs="宋体"/>
          <w:color w:val="auto"/>
          <w:sz w:val="28"/>
          <w:highlight w:val="none"/>
          <w:lang w:eastAsia="zh-CN"/>
        </w:rPr>
        <w:t>。</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26栋203号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号:东莞商房预证字第201400464号,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88.28</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rPr>
        <w:t>房屋实际总层数</w:t>
      </w:r>
      <w:r>
        <w:rPr>
          <w:rFonts w:hint="eastAsia" w:ascii="宋体" w:hAnsi="宋体" w:eastAsia="宋体" w:cs="宋体"/>
          <w:color w:val="auto"/>
          <w:sz w:val="28"/>
          <w:highlight w:val="none"/>
          <w:lang w:val="en-US" w:eastAsia="zh-CN"/>
        </w:rPr>
        <w:t>18</w:t>
      </w:r>
      <w:r>
        <w:rPr>
          <w:rFonts w:hint="eastAsia" w:ascii="宋体" w:hAnsi="宋体" w:eastAsia="宋体" w:cs="宋体"/>
          <w:color w:val="auto"/>
          <w:sz w:val="28"/>
          <w:highlight w:val="none"/>
        </w:rPr>
        <w:t>层，所在层数为</w:t>
      </w:r>
      <w:r>
        <w:rPr>
          <w:rFonts w:hint="eastAsia" w:ascii="宋体" w:hAnsi="宋体" w:eastAsia="宋体" w:cs="宋体"/>
          <w:color w:val="auto"/>
          <w:sz w:val="28"/>
          <w:highlight w:val="none"/>
          <w:lang w:val="en-US" w:eastAsia="zh-CN"/>
        </w:rPr>
        <w:t>2</w:t>
      </w:r>
      <w:r>
        <w:rPr>
          <w:rFonts w:hint="eastAsia" w:ascii="宋体" w:hAnsi="宋体" w:eastAsia="宋体" w:cs="宋体"/>
          <w:color w:val="auto"/>
          <w:sz w:val="28"/>
          <w:highlight w:val="none"/>
        </w:rPr>
        <w:t>层</w:t>
      </w:r>
      <w:r>
        <w:rPr>
          <w:rFonts w:hint="eastAsia" w:ascii="宋体" w:hAnsi="宋体" w:eastAsia="宋体" w:cs="宋体"/>
          <w:color w:val="auto"/>
          <w:sz w:val="28"/>
          <w:highlight w:val="none"/>
          <w:lang w:eastAsia="zh-CN"/>
        </w:rPr>
        <w:t>。</w:t>
      </w:r>
    </w:p>
    <w:p>
      <w:pPr>
        <w:spacing w:line="540" w:lineRule="exact"/>
        <w:ind w:firstLine="560" w:firstLineChars="200"/>
        <w:rPr>
          <w:rFonts w:hint="eastAsia" w:ascii="宋体" w:hAnsi="宋体" w:eastAsia="宋体" w:cs="宋体"/>
          <w:color w:val="auto"/>
          <w:sz w:val="28"/>
          <w:highlight w:val="none"/>
          <w:lang w:eastAsia="zh-CN"/>
        </w:rPr>
      </w:pPr>
      <w:r>
        <w:rPr>
          <w:rFonts w:hint="eastAsia" w:ascii="宋体" w:hAnsi="宋体" w:eastAsia="宋体" w:cs="宋体"/>
          <w:i w:val="0"/>
          <w:iCs w:val="0"/>
          <w:color w:val="auto"/>
          <w:kern w:val="0"/>
          <w:sz w:val="28"/>
          <w:szCs w:val="28"/>
          <w:highlight w:val="none"/>
          <w:u w:val="none"/>
          <w:lang w:val="en-US" w:eastAsia="zh-CN" w:bidi="ar"/>
        </w:rPr>
        <w:t>26栋302号</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lang w:eastAsia="zh-CN"/>
        </w:rPr>
        <w:t>商品房预售许可证</w:t>
      </w:r>
      <w:r>
        <w:rPr>
          <w:rFonts w:hint="eastAsia" w:ascii="宋体" w:hAnsi="宋体" w:eastAsia="宋体" w:cs="宋体"/>
          <w:color w:val="auto"/>
          <w:sz w:val="28"/>
          <w:highlight w:val="none"/>
          <w:lang w:val="en-US" w:eastAsia="zh-CN"/>
        </w:rPr>
        <w:t>号:东莞商房预证字第201400464号,</w:t>
      </w:r>
      <w:r>
        <w:rPr>
          <w:rFonts w:hint="eastAsia" w:ascii="宋体" w:hAnsi="宋体" w:eastAsia="宋体" w:cs="宋体"/>
          <w:color w:val="auto"/>
          <w:sz w:val="28"/>
          <w:highlight w:val="none"/>
        </w:rPr>
        <w:t>房屋建筑面积为</w:t>
      </w:r>
      <w:r>
        <w:rPr>
          <w:rFonts w:hint="eastAsia" w:ascii="宋体" w:hAnsi="宋体" w:eastAsia="宋体" w:cs="宋体"/>
          <w:i w:val="0"/>
          <w:iCs w:val="0"/>
          <w:color w:val="auto"/>
          <w:kern w:val="0"/>
          <w:sz w:val="28"/>
          <w:szCs w:val="28"/>
          <w:highlight w:val="none"/>
          <w:u w:val="none"/>
          <w:lang w:val="en-US" w:eastAsia="zh-CN" w:bidi="ar"/>
        </w:rPr>
        <w:t>88.28</w:t>
      </w:r>
      <w:r>
        <w:rPr>
          <w:rFonts w:hint="eastAsia" w:ascii="宋体" w:hAnsi="宋体" w:eastAsia="宋体" w:cs="宋体"/>
          <w:color w:val="auto"/>
          <w:sz w:val="28"/>
          <w:highlight w:val="none"/>
        </w:rPr>
        <w:t>平方米</w:t>
      </w:r>
      <w:r>
        <w:rPr>
          <w:rFonts w:hint="eastAsia" w:ascii="宋体" w:hAnsi="宋体" w:eastAsia="宋体" w:cs="宋体"/>
          <w:color w:val="auto"/>
          <w:sz w:val="28"/>
          <w:highlight w:val="none"/>
          <w:lang w:val="en-US" w:eastAsia="zh-CN"/>
        </w:rPr>
        <w:t>,</w:t>
      </w:r>
      <w:r>
        <w:rPr>
          <w:rFonts w:hint="eastAsia" w:ascii="宋体" w:hAnsi="宋体" w:eastAsia="宋体" w:cs="宋体"/>
          <w:color w:val="auto"/>
          <w:sz w:val="28"/>
          <w:highlight w:val="none"/>
        </w:rPr>
        <w:t>房屋实际总层数</w:t>
      </w:r>
      <w:r>
        <w:rPr>
          <w:rFonts w:hint="eastAsia" w:ascii="宋体" w:hAnsi="宋体" w:eastAsia="宋体" w:cs="宋体"/>
          <w:color w:val="auto"/>
          <w:sz w:val="28"/>
          <w:highlight w:val="none"/>
          <w:lang w:val="en-US" w:eastAsia="zh-CN"/>
        </w:rPr>
        <w:t>18</w:t>
      </w:r>
      <w:r>
        <w:rPr>
          <w:rFonts w:hint="eastAsia" w:ascii="宋体" w:hAnsi="宋体" w:eastAsia="宋体" w:cs="宋体"/>
          <w:color w:val="auto"/>
          <w:sz w:val="28"/>
          <w:highlight w:val="none"/>
        </w:rPr>
        <w:t>层，所在层数为</w:t>
      </w:r>
      <w:r>
        <w:rPr>
          <w:rFonts w:hint="eastAsia" w:ascii="宋体" w:hAnsi="宋体" w:eastAsia="宋体" w:cs="宋体"/>
          <w:color w:val="auto"/>
          <w:sz w:val="28"/>
          <w:highlight w:val="none"/>
          <w:lang w:val="en-US" w:eastAsia="zh-CN"/>
        </w:rPr>
        <w:t>3</w:t>
      </w:r>
      <w:r>
        <w:rPr>
          <w:rFonts w:hint="eastAsia" w:ascii="宋体" w:hAnsi="宋体" w:eastAsia="宋体" w:cs="宋体"/>
          <w:color w:val="auto"/>
          <w:sz w:val="28"/>
          <w:highlight w:val="none"/>
        </w:rPr>
        <w:t>层</w:t>
      </w:r>
      <w:r>
        <w:rPr>
          <w:rFonts w:hint="eastAsia" w:ascii="宋体" w:hAnsi="宋体" w:eastAsia="宋体" w:cs="宋体"/>
          <w:color w:val="auto"/>
          <w:sz w:val="28"/>
          <w:highlight w:val="none"/>
          <w:lang w:eastAsia="zh-CN"/>
        </w:rPr>
        <w:t>。</w:t>
      </w:r>
    </w:p>
    <w:p>
      <w:pPr>
        <w:spacing w:line="540" w:lineRule="exact"/>
        <w:rPr>
          <w:rFonts w:hint="eastAsia" w:ascii="宋体" w:hAnsi="宋体" w:eastAsia="宋体" w:cs="宋体"/>
          <w:color w:val="auto"/>
          <w:sz w:val="28"/>
          <w:lang w:eastAsia="zh-CN"/>
        </w:rPr>
      </w:pP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 土地基本状况</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估价对象所在地块形状较规则，地势平坦。于价值时点，估价对象所在区域内、外部基础设施配备齐全，已达到宗地内、外“七通”（即通供水、通排水、通路、通讯、通电、通热、通气）。</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3建筑物基本状况</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空间布置及设施设备：估价对象</w:t>
      </w:r>
      <w:r>
        <w:rPr>
          <w:rFonts w:hint="eastAsia" w:ascii="宋体" w:hAnsi="宋体" w:eastAsia="宋体" w:cs="宋体"/>
          <w:color w:val="auto"/>
          <w:sz w:val="28"/>
        </w:rPr>
        <w:t>水、电、消防等设施设备齐全。</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装饰装修：于价值时点，估价对象</w:t>
      </w:r>
      <w:r>
        <w:rPr>
          <w:rFonts w:hint="eastAsia" w:ascii="宋体" w:hAnsi="宋体" w:eastAsia="宋体" w:cs="宋体"/>
          <w:color w:val="auto"/>
          <w:sz w:val="28"/>
          <w:lang w:eastAsia="zh-CN"/>
        </w:rPr>
        <w:t>为清水房</w:t>
      </w:r>
      <w:r>
        <w:rPr>
          <w:rFonts w:hint="eastAsia" w:ascii="宋体" w:hAnsi="宋体" w:eastAsia="宋体" w:cs="宋体"/>
          <w:color w:val="auto"/>
          <w:sz w:val="28"/>
        </w:rPr>
        <w:t>。</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 xml:space="preserve">维护及使用情况：于价值时点，估价对象房屋整体维护保养状况较好。 </w:t>
      </w:r>
    </w:p>
    <w:p>
      <w:pPr>
        <w:spacing w:before="100" w:line="540" w:lineRule="exact"/>
        <w:ind w:firstLine="560" w:firstLineChars="200"/>
        <w:rPr>
          <w:rFonts w:hint="eastAsia" w:ascii="宋体" w:hAnsi="宋体" w:eastAsia="宋体" w:cs="宋体"/>
          <w:color w:val="auto"/>
          <w:spacing w:val="4"/>
          <w:sz w:val="28"/>
        </w:rPr>
      </w:pPr>
      <w:r>
        <w:rPr>
          <w:rFonts w:hint="eastAsia" w:ascii="宋体" w:hAnsi="宋体" w:eastAsia="宋体" w:cs="宋体"/>
          <w:color w:val="auto"/>
          <w:sz w:val="28"/>
        </w:rPr>
        <w:t>公共配套设施：估价对象区域内各项基础设施及公共配套服务设施完善。交通较便捷。</w:t>
      </w:r>
    </w:p>
    <w:p>
      <w:pPr>
        <w:keepNext/>
        <w:keepLines/>
        <w:spacing w:line="540" w:lineRule="exact"/>
        <w:ind w:left="630" w:leftChars="300"/>
        <w:outlineLvl w:val="1"/>
        <w:rPr>
          <w:rFonts w:hint="eastAsia" w:ascii="宋体" w:hAnsi="宋体" w:eastAsia="宋体" w:cs="宋体"/>
          <w:b/>
          <w:bCs/>
          <w:color w:val="auto"/>
          <w:sz w:val="28"/>
          <w:szCs w:val="28"/>
        </w:rPr>
      </w:pPr>
      <w:bookmarkStart w:id="10" w:name="_Toc88835610"/>
      <w:bookmarkStart w:id="11" w:name="_Toc507680001"/>
      <w:r>
        <w:rPr>
          <w:rFonts w:hint="eastAsia" w:ascii="宋体" w:hAnsi="宋体" w:eastAsia="宋体" w:cs="宋体"/>
          <w:b/>
          <w:bCs/>
          <w:color w:val="auto"/>
          <w:sz w:val="28"/>
          <w:szCs w:val="28"/>
        </w:rPr>
        <w:t>五、价值时点</w:t>
      </w:r>
      <w:bookmarkEnd w:id="10"/>
      <w:bookmarkEnd w:id="11"/>
    </w:p>
    <w:p>
      <w:pPr>
        <w:spacing w:line="540" w:lineRule="exact"/>
        <w:ind w:firstLine="573"/>
        <w:rPr>
          <w:rFonts w:hint="eastAsia" w:ascii="宋体" w:hAnsi="宋体" w:eastAsia="宋体" w:cs="宋体"/>
          <w:color w:val="auto"/>
          <w:sz w:val="28"/>
        </w:rPr>
      </w:pPr>
      <w:r>
        <w:rPr>
          <w:rFonts w:hint="eastAsia" w:ascii="宋体" w:hAnsi="宋体" w:eastAsia="宋体" w:cs="宋体"/>
          <w:color w:val="auto"/>
          <w:sz w:val="28"/>
        </w:rPr>
        <w:t>本报告以</w:t>
      </w:r>
      <w:r>
        <w:rPr>
          <w:rFonts w:hint="eastAsia" w:ascii="仿宋_GB2312" w:hAnsi="Calibri" w:eastAsia="宋体" w:cs="Times New Roman"/>
          <w:color w:val="auto"/>
          <w:sz w:val="28"/>
          <w:lang w:eastAsia="zh-CN"/>
        </w:rPr>
        <w:t>司法评估鉴定委托书委托</w:t>
      </w:r>
      <w:r>
        <w:rPr>
          <w:rFonts w:hint="eastAsia" w:ascii="仿宋_GB2312" w:hAnsi="Calibri" w:eastAsia="宋体" w:cs="Times New Roman"/>
          <w:color w:val="auto"/>
          <w:sz w:val="28"/>
          <w:lang w:val="en-US" w:eastAsia="zh-CN"/>
        </w:rPr>
        <w:t>日期</w:t>
      </w:r>
      <w:r>
        <w:rPr>
          <w:rFonts w:hint="eastAsia" w:ascii="宋体" w:hAnsi="宋体" w:eastAsia="宋体" w:cs="宋体"/>
          <w:color w:val="auto"/>
          <w:sz w:val="28"/>
        </w:rPr>
        <w:t>为价值时点,即</w:t>
      </w: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二</w:t>
      </w:r>
      <w:r>
        <w:rPr>
          <w:rFonts w:hint="eastAsia" w:ascii="宋体" w:hAnsi="宋体" w:eastAsia="宋体" w:cs="宋体"/>
          <w:color w:val="auto"/>
          <w:sz w:val="28"/>
        </w:rPr>
        <w:t>月</w:t>
      </w:r>
      <w:r>
        <w:rPr>
          <w:rFonts w:hint="eastAsia" w:ascii="宋体" w:hAnsi="宋体" w:eastAsia="宋体" w:cs="宋体"/>
          <w:color w:val="auto"/>
          <w:sz w:val="28"/>
          <w:lang w:eastAsia="zh-CN"/>
        </w:rPr>
        <w:t>十六</w:t>
      </w:r>
      <w:r>
        <w:rPr>
          <w:rFonts w:hint="eastAsia" w:ascii="宋体" w:hAnsi="宋体" w:eastAsia="宋体" w:cs="宋体"/>
          <w:color w:val="auto"/>
          <w:sz w:val="28"/>
        </w:rPr>
        <w:t>日</w:t>
      </w:r>
      <w:r>
        <w:rPr>
          <w:rFonts w:hint="eastAsia" w:ascii="宋体" w:hAnsi="宋体" w:eastAsia="宋体" w:cs="宋体"/>
          <w:color w:val="auto"/>
          <w:sz w:val="28"/>
        </w:rPr>
        <w:t>。</w:t>
      </w:r>
    </w:p>
    <w:p>
      <w:pPr>
        <w:keepNext/>
        <w:keepLines/>
        <w:spacing w:line="540" w:lineRule="exact"/>
        <w:ind w:left="630" w:leftChars="300"/>
        <w:outlineLvl w:val="1"/>
        <w:rPr>
          <w:rFonts w:hint="eastAsia" w:ascii="宋体" w:hAnsi="宋体" w:eastAsia="宋体" w:cs="宋体"/>
          <w:b/>
          <w:bCs/>
          <w:color w:val="auto"/>
          <w:sz w:val="28"/>
          <w:szCs w:val="28"/>
        </w:rPr>
      </w:pPr>
      <w:bookmarkStart w:id="12" w:name="_Toc507680002"/>
      <w:bookmarkStart w:id="13" w:name="_Toc88835611"/>
      <w:r>
        <w:rPr>
          <w:rFonts w:hint="eastAsia" w:ascii="宋体" w:hAnsi="宋体" w:eastAsia="宋体" w:cs="宋体"/>
          <w:b/>
          <w:bCs/>
          <w:color w:val="auto"/>
          <w:sz w:val="28"/>
          <w:szCs w:val="28"/>
        </w:rPr>
        <w:t>六、价值类型</w:t>
      </w:r>
      <w:bookmarkEnd w:id="12"/>
      <w:bookmarkEnd w:id="13"/>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本报告所确定的价值为估价对象房地产在价值时点完整权利状态及满足各项假设限制条件下的房地产市场价值。</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市场价值是指估价对象经适当营销后，由熟悉情况、谨慎行事且不受强迫的交易双方，以公平交易方式在价值时点自愿进行交易的金额。</w:t>
      </w:r>
    </w:p>
    <w:p>
      <w:pPr>
        <w:keepNext/>
        <w:keepLines/>
        <w:spacing w:line="540" w:lineRule="exact"/>
        <w:ind w:left="630" w:leftChars="300"/>
        <w:outlineLvl w:val="1"/>
        <w:rPr>
          <w:rFonts w:hint="eastAsia" w:ascii="宋体" w:hAnsi="宋体" w:eastAsia="宋体" w:cs="宋体"/>
          <w:b/>
          <w:bCs/>
          <w:color w:val="auto"/>
          <w:sz w:val="28"/>
          <w:szCs w:val="28"/>
        </w:rPr>
      </w:pPr>
      <w:bookmarkStart w:id="14" w:name="_Toc507680003"/>
      <w:bookmarkStart w:id="15" w:name="_Toc88835612"/>
      <w:r>
        <w:rPr>
          <w:rFonts w:hint="eastAsia" w:ascii="宋体" w:hAnsi="宋体" w:eastAsia="宋体" w:cs="宋体"/>
          <w:b/>
          <w:bCs/>
          <w:color w:val="auto"/>
          <w:sz w:val="28"/>
          <w:szCs w:val="28"/>
        </w:rPr>
        <w:t>七、估价原则</w:t>
      </w:r>
      <w:bookmarkEnd w:id="14"/>
      <w:bookmarkEnd w:id="15"/>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在估价过程中，遵循的主要原则有：</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 独立、客观、公正原则：要求站在中立的立场上，实事求是、公平正直地评估出对各方估价利害关系人均是公平合理的价值或价格的原则。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 合法原则：要求估价结果是依法判定的估价对象状况下的价值或价格的原则。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 最高最佳利用原则：要求估价结果是估价对象最高最佳利用状况下的价值或价格的原则。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 替代原则：要求估价结果是与估价对象的类似房地产在同等条件下的价值或价格偏差在合理范围内的原则。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5 价值时点原则：要求估价结果是在根据估价目的确定的某一特定时间的价值或价格的原则。</w:t>
      </w:r>
    </w:p>
    <w:p>
      <w:pPr>
        <w:keepNext/>
        <w:keepLines/>
        <w:spacing w:line="540" w:lineRule="exact"/>
        <w:ind w:left="630" w:leftChars="300"/>
        <w:outlineLvl w:val="1"/>
        <w:rPr>
          <w:rFonts w:hint="eastAsia" w:ascii="宋体" w:hAnsi="宋体" w:eastAsia="宋体" w:cs="宋体"/>
          <w:b/>
          <w:bCs/>
          <w:color w:val="auto"/>
          <w:sz w:val="28"/>
          <w:szCs w:val="28"/>
        </w:rPr>
      </w:pPr>
      <w:bookmarkStart w:id="16" w:name="_Toc88835613"/>
      <w:bookmarkStart w:id="17" w:name="_Toc507680004"/>
      <w:r>
        <w:rPr>
          <w:rFonts w:hint="eastAsia" w:ascii="宋体" w:hAnsi="宋体" w:eastAsia="宋体" w:cs="宋体"/>
          <w:b/>
          <w:bCs/>
          <w:color w:val="auto"/>
          <w:sz w:val="28"/>
          <w:szCs w:val="28"/>
        </w:rPr>
        <w:t>八、估价依据</w:t>
      </w:r>
      <w:bookmarkEnd w:id="16"/>
      <w:bookmarkEnd w:id="17"/>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1有关法律、法规和政策</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1.1 《中华人民共和国资产评估法》（中华人民共和国主席令第46号、2016年12月1日起施行）</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1.2《中华人民共和国城市房地产管理法》(中华人民共和国主席令第32号，根据2019年8月26日第十三届全国人民代表大会常务委员会第十二次会议《关于修改〈中华人民共和国土地管理法〉、〈中华人民共和国城市房地产管理法〉的决定》第三次修正，自2020年1月1日起施行。）</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1.3 《中华人民共和国土地管理法》(中华人民共和国主席令第32号，根据2019年8月26日第十三届全国人民代表大会常务委员会第十二次会议《关于修改〈中华人民共和国土地管理法〉、〈中华人民共和国城市房地产管理法〉的决定》第三次修正，自2020年1月1日起施行。）</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1.4《中华人民共和国民法典》（中华人民共和国主席令第45号）</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 估价标准</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2.1 中华人民共和国国家标准《房地产估价规范》（GB/T 50291—2015）；</w:t>
      </w:r>
    </w:p>
    <w:p>
      <w:pPr>
        <w:adjustRightInd w:val="0"/>
        <w:snapToGrid w:val="0"/>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2.2 中华人民共和国国家标准《房地产估价基本术语标准》（GB/T 50899-2013）</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2.3《建筑工程工程量清单计价规范》（GB50500-2013）</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2.4《辽宁省房屋建筑与装饰工程定额》（2017）</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2.5</w:t>
      </w:r>
      <w:r>
        <w:rPr>
          <w:rFonts w:hint="eastAsia" w:ascii="宋体" w:hAnsi="宋体" w:eastAsia="宋体" w:cs="宋体"/>
          <w:color w:val="auto"/>
          <w:kern w:val="0"/>
          <w:sz w:val="28"/>
        </w:rPr>
        <w:t>《房屋完损等级评定标准（试行）》（城住字﹝1984﹞第678号）</w:t>
      </w:r>
    </w:p>
    <w:p>
      <w:pPr>
        <w:spacing w:line="540" w:lineRule="exact"/>
        <w:ind w:firstLine="560" w:firstLineChars="200"/>
        <w:rPr>
          <w:rFonts w:hint="eastAsia" w:ascii="宋体" w:hAnsi="宋体" w:eastAsia="宋体" w:cs="宋体"/>
          <w:color w:val="auto"/>
          <w:kern w:val="0"/>
          <w:sz w:val="28"/>
          <w:lang w:val="en-US" w:eastAsia="zh-CN"/>
        </w:rPr>
      </w:pPr>
      <w:r>
        <w:rPr>
          <w:rFonts w:hint="eastAsia" w:ascii="宋体" w:hAnsi="宋体" w:eastAsia="宋体" w:cs="宋体"/>
          <w:color w:val="auto"/>
          <w:kern w:val="0"/>
          <w:sz w:val="28"/>
          <w:lang w:val="en-US" w:eastAsia="zh-CN"/>
        </w:rPr>
        <w:t>2.6《限制用地项目目录（2012年本）》</w:t>
      </w:r>
    </w:p>
    <w:p>
      <w:pPr>
        <w:spacing w:line="540" w:lineRule="exact"/>
        <w:ind w:firstLine="560" w:firstLineChars="200"/>
        <w:rPr>
          <w:rFonts w:hint="eastAsia" w:ascii="宋体" w:hAnsi="宋体" w:eastAsia="宋体" w:cs="宋体"/>
          <w:color w:val="auto"/>
          <w:kern w:val="0"/>
          <w:sz w:val="28"/>
          <w:lang w:val="en-US" w:eastAsia="zh-CN"/>
        </w:rPr>
      </w:pPr>
      <w:r>
        <w:rPr>
          <w:rFonts w:hint="eastAsia" w:ascii="宋体" w:hAnsi="宋体" w:eastAsia="宋体" w:cs="宋体"/>
          <w:color w:val="auto"/>
          <w:kern w:val="0"/>
          <w:sz w:val="28"/>
          <w:lang w:val="en-US" w:eastAsia="zh-CN"/>
        </w:rPr>
        <w:t>2.7《禁止用地项目目录（2012年本）》</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3估价委托人提供的资料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3.1《司法鉴定评估委托书》（（202</w:t>
      </w:r>
      <w:r>
        <w:rPr>
          <w:rFonts w:hint="eastAsia" w:ascii="宋体" w:hAnsi="宋体" w:eastAsia="宋体" w:cs="宋体"/>
          <w:color w:val="auto"/>
          <w:sz w:val="28"/>
          <w:lang w:val="en-US" w:eastAsia="zh-CN"/>
        </w:rPr>
        <w:t>2</w:t>
      </w:r>
      <w:r>
        <w:rPr>
          <w:rFonts w:hint="eastAsia" w:ascii="宋体" w:hAnsi="宋体" w:eastAsia="宋体" w:cs="宋体"/>
          <w:color w:val="auto"/>
          <w:sz w:val="28"/>
        </w:rPr>
        <w:t>）辽11委字第</w:t>
      </w:r>
      <w:r>
        <w:rPr>
          <w:rFonts w:hint="eastAsia" w:ascii="宋体" w:hAnsi="宋体" w:eastAsia="宋体" w:cs="宋体"/>
          <w:color w:val="auto"/>
          <w:sz w:val="28"/>
          <w:lang w:val="en-US" w:eastAsia="zh-CN"/>
        </w:rPr>
        <w:t>00152</w:t>
      </w:r>
      <w:r>
        <w:rPr>
          <w:rFonts w:hint="eastAsia" w:ascii="宋体" w:hAnsi="宋体" w:eastAsia="宋体" w:cs="宋体"/>
          <w:color w:val="auto"/>
          <w:sz w:val="28"/>
        </w:rPr>
        <w:t>号）</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3.2《</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3.3</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3.4</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3.5</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lang w:val="en-US" w:eastAsia="zh-CN"/>
        </w:rPr>
        <w:t>3.6</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lang w:val="en-US" w:eastAsia="zh-CN"/>
        </w:rPr>
        <w:t>3.7</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》复印件</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3.</w:t>
      </w:r>
      <w:r>
        <w:rPr>
          <w:rFonts w:hint="eastAsia" w:ascii="宋体" w:hAnsi="宋体" w:eastAsia="宋体" w:cs="宋体"/>
          <w:color w:val="auto"/>
          <w:sz w:val="28"/>
          <w:lang w:val="en-US" w:eastAsia="zh-CN"/>
        </w:rPr>
        <w:t>8</w:t>
      </w:r>
      <w:r>
        <w:rPr>
          <w:rFonts w:hint="eastAsia" w:ascii="宋体" w:hAnsi="宋体" w:eastAsia="宋体" w:cs="宋体"/>
          <w:color w:val="auto"/>
          <w:sz w:val="28"/>
        </w:rPr>
        <w:t xml:space="preserve"> 委托人提供的其他相关资料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4估价机构及注册房地产估价师掌握和搜集的资料</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4.1估价对象周边现状照片及位置图</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4.2注册房地产估价师现场查勘和市场调查搜集的资料</w:t>
      </w:r>
    </w:p>
    <w:p>
      <w:pPr>
        <w:adjustRightInd w:val="0"/>
        <w:snapToGrid w:val="0"/>
        <w:spacing w:line="540" w:lineRule="exact"/>
        <w:ind w:left="562"/>
        <w:rPr>
          <w:rFonts w:hint="eastAsia" w:ascii="宋体" w:hAnsi="宋体" w:eastAsia="宋体" w:cs="宋体"/>
          <w:b/>
          <w:bCs/>
          <w:color w:val="auto"/>
          <w:sz w:val="28"/>
        </w:rPr>
      </w:pPr>
      <w:r>
        <w:rPr>
          <w:rFonts w:hint="eastAsia" w:ascii="宋体" w:hAnsi="宋体" w:eastAsia="宋体" w:cs="宋体"/>
          <w:color w:val="auto"/>
          <w:sz w:val="28"/>
        </w:rPr>
        <w:t>4.3本公司掌握和搜集的同类房地产信息资料</w:t>
      </w:r>
    </w:p>
    <w:p>
      <w:pPr>
        <w:keepNext/>
        <w:keepLines/>
        <w:spacing w:line="540" w:lineRule="exact"/>
        <w:ind w:left="630" w:leftChars="300"/>
        <w:outlineLvl w:val="1"/>
        <w:rPr>
          <w:rFonts w:hint="eastAsia" w:ascii="宋体" w:hAnsi="宋体" w:eastAsia="宋体" w:cs="宋体"/>
          <w:b/>
          <w:bCs/>
          <w:color w:val="auto"/>
          <w:sz w:val="28"/>
          <w:szCs w:val="28"/>
        </w:rPr>
      </w:pPr>
      <w:bookmarkStart w:id="18" w:name="_Toc88835614"/>
      <w:bookmarkStart w:id="19" w:name="_Toc507680005"/>
      <w:r>
        <w:rPr>
          <w:rFonts w:hint="eastAsia" w:ascii="宋体" w:hAnsi="宋体" w:eastAsia="宋体" w:cs="宋体"/>
          <w:b/>
          <w:bCs/>
          <w:color w:val="auto"/>
          <w:sz w:val="28"/>
          <w:szCs w:val="28"/>
        </w:rPr>
        <w:t>九、估价方法</w:t>
      </w:r>
      <w:bookmarkEnd w:id="18"/>
      <w:bookmarkEnd w:id="19"/>
    </w:p>
    <w:p>
      <w:pPr>
        <w:spacing w:line="540" w:lineRule="exact"/>
        <w:ind w:firstLine="560" w:firstLineChars="200"/>
        <w:rPr>
          <w:rFonts w:hint="eastAsia" w:ascii="宋体" w:hAnsi="宋体" w:eastAsia="宋体" w:cs="宋体"/>
          <w:color w:val="auto"/>
          <w:sz w:val="28"/>
          <w:lang w:eastAsia="zh-CN"/>
        </w:rPr>
      </w:pPr>
      <w:r>
        <w:rPr>
          <w:rFonts w:hint="eastAsia" w:ascii="宋体" w:hAnsi="宋体" w:eastAsia="宋体" w:cs="宋体"/>
          <w:color w:val="auto"/>
          <w:sz w:val="28"/>
        </w:rPr>
        <w:t>通行的估价方法有比较法、收益法、成本法、假设开发法等，估价方法的选择应按照《房地产估价规范》和估价对象的坐落位置、使用性质等实际情况，估价对象所在区域房地产市场比较活跃，市场交易案例较多，且案例比较容易收集，结合估价目的，结合估价师收集的有关资料，考虑到当前房地产市场发育程度，本次估价采用比较法</w:t>
      </w:r>
      <w:r>
        <w:rPr>
          <w:rFonts w:hint="eastAsia" w:ascii="宋体" w:hAnsi="宋体" w:eastAsia="宋体" w:cs="宋体"/>
          <w:color w:val="auto"/>
          <w:sz w:val="28"/>
          <w:lang w:eastAsia="zh-CN"/>
        </w:rPr>
        <w:t>。</w:t>
      </w:r>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比较法是将估价对象与在价值时点近期交易的类似房地产进行比较，对这些类似房地产的成交价格做适当的修正和调整，以此求取估价对象的客观合理价格或价值的方法。</w:t>
      </w:r>
    </w:p>
    <w:p>
      <w:pPr>
        <w:keepNext/>
        <w:keepLines/>
        <w:spacing w:line="540" w:lineRule="exact"/>
        <w:ind w:left="630" w:leftChars="300"/>
        <w:outlineLvl w:val="1"/>
        <w:rPr>
          <w:rFonts w:hint="eastAsia" w:ascii="宋体" w:hAnsi="宋体" w:eastAsia="宋体" w:cs="宋体"/>
          <w:b/>
          <w:bCs/>
          <w:color w:val="auto"/>
          <w:sz w:val="28"/>
          <w:szCs w:val="28"/>
        </w:rPr>
      </w:pPr>
      <w:bookmarkStart w:id="20" w:name="_Toc507680006"/>
      <w:bookmarkStart w:id="21" w:name="_Toc88835615"/>
      <w:r>
        <w:rPr>
          <w:rFonts w:hint="eastAsia" w:ascii="宋体" w:hAnsi="宋体" w:eastAsia="宋体" w:cs="宋体"/>
          <w:b/>
          <w:bCs/>
          <w:color w:val="auto"/>
          <w:sz w:val="28"/>
          <w:szCs w:val="28"/>
        </w:rPr>
        <w:t>十、 估价结果</w:t>
      </w:r>
      <w:bookmarkEnd w:id="20"/>
      <w:bookmarkEnd w:id="21"/>
    </w:p>
    <w:p>
      <w:pPr>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本公司估价人员根据估价目的，遵循估价原则，按照估价程序，采用科学合理的估价方法，在认真分析现有资料的基础上，对影响房地产市场价值因素进行了分析，经过测算，结合估价经验，确定估价对象在价值时点</w:t>
      </w:r>
      <w:r>
        <w:rPr>
          <w:rFonts w:hint="eastAsia" w:ascii="宋体" w:hAnsi="宋体" w:eastAsia="宋体" w:cs="宋体"/>
          <w:color w:val="auto"/>
          <w:sz w:val="28"/>
        </w:rPr>
        <w:t>202</w:t>
      </w:r>
      <w:r>
        <w:rPr>
          <w:rFonts w:hint="eastAsia" w:ascii="宋体" w:hAnsi="宋体" w:eastAsia="宋体" w:cs="宋体"/>
          <w:color w:val="auto"/>
          <w:sz w:val="28"/>
          <w:lang w:val="en-US" w:eastAsia="zh-CN"/>
        </w:rPr>
        <w:t>2</w:t>
      </w:r>
      <w:r>
        <w:rPr>
          <w:rFonts w:hint="eastAsia" w:ascii="宋体" w:hAnsi="宋体" w:eastAsia="宋体" w:cs="宋体"/>
          <w:color w:val="auto"/>
          <w:sz w:val="28"/>
        </w:rPr>
        <w:t>年</w:t>
      </w:r>
      <w:r>
        <w:rPr>
          <w:rFonts w:hint="eastAsia" w:ascii="宋体" w:hAnsi="宋体" w:eastAsia="宋体" w:cs="宋体"/>
          <w:color w:val="auto"/>
          <w:sz w:val="28"/>
          <w:lang w:val="en-US" w:eastAsia="zh-CN"/>
        </w:rPr>
        <w:t>2</w:t>
      </w:r>
      <w:r>
        <w:rPr>
          <w:rFonts w:hint="eastAsia" w:ascii="宋体" w:hAnsi="宋体" w:eastAsia="宋体" w:cs="宋体"/>
          <w:color w:val="auto"/>
          <w:sz w:val="28"/>
        </w:rPr>
        <w:t>月</w:t>
      </w:r>
      <w:r>
        <w:rPr>
          <w:rFonts w:hint="eastAsia" w:ascii="宋体" w:hAnsi="宋体" w:eastAsia="宋体" w:cs="宋体"/>
          <w:color w:val="auto"/>
          <w:sz w:val="28"/>
          <w:lang w:val="en-US" w:eastAsia="zh-CN"/>
        </w:rPr>
        <w:t>16</w:t>
      </w:r>
      <w:r>
        <w:rPr>
          <w:rFonts w:hint="eastAsia" w:ascii="宋体" w:hAnsi="宋体" w:eastAsia="宋体" w:cs="宋体"/>
          <w:color w:val="auto"/>
          <w:sz w:val="28"/>
        </w:rPr>
        <w:t>日</w:t>
      </w:r>
      <w:r>
        <w:rPr>
          <w:rFonts w:hint="eastAsia" w:ascii="宋体" w:hAnsi="宋体" w:eastAsia="宋体" w:cs="宋体"/>
          <w:color w:val="auto"/>
          <w:sz w:val="28"/>
        </w:rPr>
        <w:t>的市场价值如下：</w:t>
      </w:r>
    </w:p>
    <w:tbl>
      <w:tblPr>
        <w:tblStyle w:val="6"/>
        <w:tblpPr w:leftFromText="180" w:rightFromText="180" w:vertAnchor="text" w:horzAnchor="page" w:tblpX="1080" w:tblpY="555"/>
        <w:tblOverlap w:val="never"/>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3663"/>
        <w:gridCol w:w="1699"/>
        <w:gridCol w:w="1880"/>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tcPr>
          <w:p>
            <w:pPr>
              <w:spacing w:line="580" w:lineRule="exact"/>
              <w:jc w:val="center"/>
              <w:rPr>
                <w:rFonts w:hint="eastAsia" w:ascii="宋体" w:hAnsi="宋体" w:eastAsia="宋体" w:cs="宋体"/>
                <w:color w:val="auto"/>
                <w:spacing w:val="-4"/>
                <w:sz w:val="28"/>
                <w:szCs w:val="28"/>
                <w:vertAlign w:val="baseline"/>
                <w:lang w:val="en-US" w:eastAsia="zh-CN"/>
              </w:rPr>
            </w:pPr>
            <w:bookmarkStart w:id="22" w:name="_Toc88835616"/>
            <w:bookmarkStart w:id="23" w:name="_Toc507680007"/>
            <w:r>
              <w:rPr>
                <w:rFonts w:hint="eastAsia" w:ascii="宋体" w:hAnsi="宋体" w:eastAsia="宋体" w:cs="宋体"/>
                <w:color w:val="auto"/>
                <w:spacing w:val="-4"/>
                <w:sz w:val="28"/>
                <w:szCs w:val="28"/>
                <w:vertAlign w:val="baseline"/>
                <w:lang w:val="en-US" w:eastAsia="zh-CN"/>
              </w:rPr>
              <w:t>序号</w:t>
            </w:r>
          </w:p>
        </w:tc>
        <w:tc>
          <w:tcPr>
            <w:tcW w:w="3663"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房号</w:t>
            </w:r>
          </w:p>
        </w:tc>
        <w:tc>
          <w:tcPr>
            <w:tcW w:w="1699"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面积（㎡）</w:t>
            </w:r>
          </w:p>
        </w:tc>
        <w:tc>
          <w:tcPr>
            <w:tcW w:w="1880" w:type="dxa"/>
          </w:tcPr>
          <w:p>
            <w:pPr>
              <w:spacing w:line="580" w:lineRule="exact"/>
              <w:jc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单价（元/㎡）</w:t>
            </w:r>
          </w:p>
        </w:tc>
        <w:tc>
          <w:tcPr>
            <w:tcW w:w="2049" w:type="dxa"/>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估值（元）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w:t>
            </w:r>
          </w:p>
        </w:tc>
        <w:tc>
          <w:tcPr>
            <w:tcW w:w="3663" w:type="dxa"/>
            <w:vAlign w:val="center"/>
          </w:tcPr>
          <w:p>
            <w:pPr>
              <w:keepNext w:val="0"/>
              <w:keepLines w:val="0"/>
              <w:widowControl/>
              <w:suppressLineNumbers w:val="0"/>
              <w:jc w:val="center"/>
              <w:textAlignment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1栋02号</w:t>
            </w:r>
          </w:p>
        </w:tc>
        <w:tc>
          <w:tcPr>
            <w:tcW w:w="1699" w:type="dxa"/>
            <w:vAlign w:val="center"/>
          </w:tcPr>
          <w:p>
            <w:pPr>
              <w:keepNext w:val="0"/>
              <w:keepLines w:val="0"/>
              <w:widowControl/>
              <w:suppressLineNumbers w:val="0"/>
              <w:jc w:val="right"/>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256.09</w:t>
            </w:r>
          </w:p>
        </w:tc>
        <w:tc>
          <w:tcPr>
            <w:tcW w:w="1880" w:type="dxa"/>
            <w:vAlign w:val="center"/>
          </w:tcPr>
          <w:p>
            <w:pPr>
              <w:keepNext w:val="0"/>
              <w:keepLines w:val="0"/>
              <w:widowControl/>
              <w:suppressLineNumbers w:val="0"/>
              <w:jc w:val="right"/>
              <w:textAlignment w:val="center"/>
              <w:rPr>
                <w:rFonts w:hint="default" w:ascii="宋体" w:hAnsi="宋体" w:eastAsia="宋体" w:cs="宋体"/>
                <w:i w:val="0"/>
                <w:iCs w:val="0"/>
                <w:color w:val="auto"/>
                <w:kern w:val="2"/>
                <w:sz w:val="28"/>
                <w:szCs w:val="28"/>
                <w:u w:val="none"/>
                <w:lang w:val="en-US" w:eastAsia="zh-CN" w:bidi="ar-SA"/>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5,890,070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w:t>
            </w:r>
          </w:p>
        </w:tc>
        <w:tc>
          <w:tcPr>
            <w:tcW w:w="3663" w:type="dxa"/>
            <w:vAlign w:val="center"/>
          </w:tcPr>
          <w:p>
            <w:pPr>
              <w:keepNext w:val="0"/>
              <w:keepLines w:val="0"/>
              <w:widowControl/>
              <w:suppressLineNumbers w:val="0"/>
              <w:jc w:val="center"/>
              <w:textAlignment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1栋05号</w:t>
            </w:r>
          </w:p>
        </w:tc>
        <w:tc>
          <w:tcPr>
            <w:tcW w:w="1699" w:type="dxa"/>
            <w:vAlign w:val="center"/>
          </w:tcPr>
          <w:p>
            <w:pPr>
              <w:keepNext w:val="0"/>
              <w:keepLines w:val="0"/>
              <w:widowControl/>
              <w:suppressLineNumbers w:val="0"/>
              <w:jc w:val="right"/>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256.09</w:t>
            </w:r>
          </w:p>
        </w:tc>
        <w:tc>
          <w:tcPr>
            <w:tcW w:w="1880" w:type="dxa"/>
            <w:vAlign w:val="center"/>
          </w:tcPr>
          <w:p>
            <w:pPr>
              <w:keepNext w:val="0"/>
              <w:keepLines w:val="0"/>
              <w:widowControl/>
              <w:suppressLineNumbers w:val="0"/>
              <w:jc w:val="right"/>
              <w:textAlignment w:val="center"/>
              <w:rPr>
                <w:rFonts w:hint="default" w:ascii="宋体" w:hAnsi="宋体" w:eastAsia="宋体" w:cs="宋体"/>
                <w:i w:val="0"/>
                <w:iCs w:val="0"/>
                <w:color w:val="auto"/>
                <w:kern w:val="2"/>
                <w:sz w:val="28"/>
                <w:szCs w:val="28"/>
                <w:u w:val="none"/>
                <w:lang w:val="en-US" w:eastAsia="zh-CN" w:bidi="ar-SA"/>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5,890,070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909" w:type="dxa"/>
            <w:vAlign w:val="center"/>
          </w:tcPr>
          <w:p>
            <w:pPr>
              <w:keepNext w:val="0"/>
              <w:keepLines w:val="0"/>
              <w:widowControl/>
              <w:suppressLineNumbers w:val="0"/>
              <w:jc w:val="center"/>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3</w:t>
            </w:r>
          </w:p>
        </w:tc>
        <w:tc>
          <w:tcPr>
            <w:tcW w:w="3663" w:type="dxa"/>
            <w:vAlign w:val="center"/>
          </w:tcPr>
          <w:p>
            <w:pPr>
              <w:keepNext w:val="0"/>
              <w:keepLines w:val="0"/>
              <w:widowControl/>
              <w:suppressLineNumbers w:val="0"/>
              <w:jc w:val="center"/>
              <w:textAlignment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1栋06号</w:t>
            </w:r>
          </w:p>
        </w:tc>
        <w:tc>
          <w:tcPr>
            <w:tcW w:w="1699" w:type="dxa"/>
            <w:vAlign w:val="center"/>
          </w:tcPr>
          <w:p>
            <w:pPr>
              <w:keepNext w:val="0"/>
              <w:keepLines w:val="0"/>
              <w:widowControl/>
              <w:suppressLineNumbers w:val="0"/>
              <w:jc w:val="right"/>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257.86</w:t>
            </w:r>
          </w:p>
        </w:tc>
        <w:tc>
          <w:tcPr>
            <w:tcW w:w="1880" w:type="dxa"/>
            <w:vAlign w:val="center"/>
          </w:tcPr>
          <w:p>
            <w:pPr>
              <w:keepNext w:val="0"/>
              <w:keepLines w:val="0"/>
              <w:widowControl/>
              <w:suppressLineNumbers w:val="0"/>
              <w:jc w:val="right"/>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5,930,780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4</w:t>
            </w:r>
          </w:p>
        </w:tc>
        <w:tc>
          <w:tcPr>
            <w:tcW w:w="3663" w:type="dxa"/>
            <w:vAlign w:val="center"/>
          </w:tcPr>
          <w:p>
            <w:pPr>
              <w:keepNext w:val="0"/>
              <w:keepLines w:val="0"/>
              <w:widowControl/>
              <w:suppressLineNumbers w:val="0"/>
              <w:jc w:val="center"/>
              <w:textAlignment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3栋02号</w:t>
            </w:r>
          </w:p>
        </w:tc>
        <w:tc>
          <w:tcPr>
            <w:tcW w:w="1699" w:type="dxa"/>
            <w:vAlign w:val="center"/>
          </w:tcPr>
          <w:p>
            <w:pPr>
              <w:keepNext w:val="0"/>
              <w:keepLines w:val="0"/>
              <w:widowControl/>
              <w:suppressLineNumbers w:val="0"/>
              <w:jc w:val="right"/>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256.01</w:t>
            </w:r>
          </w:p>
        </w:tc>
        <w:tc>
          <w:tcPr>
            <w:tcW w:w="1880" w:type="dxa"/>
            <w:vAlign w:val="center"/>
          </w:tcPr>
          <w:p>
            <w:pPr>
              <w:keepNext w:val="0"/>
              <w:keepLines w:val="0"/>
              <w:widowControl/>
              <w:suppressLineNumbers w:val="0"/>
              <w:jc w:val="right"/>
              <w:textAlignment w:val="center"/>
              <w:rPr>
                <w:rFonts w:hint="default"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5,888,230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5</w:t>
            </w:r>
          </w:p>
        </w:tc>
        <w:tc>
          <w:tcPr>
            <w:tcW w:w="3663" w:type="dxa"/>
            <w:vAlign w:val="center"/>
          </w:tcPr>
          <w:p>
            <w:pPr>
              <w:keepNext w:val="0"/>
              <w:keepLines w:val="0"/>
              <w:widowControl/>
              <w:suppressLineNumbers w:val="0"/>
              <w:jc w:val="center"/>
              <w:textAlignment w:val="center"/>
              <w:rPr>
                <w:rFonts w:hint="default" w:ascii="宋体" w:hAnsi="宋体" w:eastAsia="宋体" w:cs="宋体"/>
                <w:color w:val="auto"/>
                <w:spacing w:val="4"/>
                <w:kern w:val="2"/>
                <w:sz w:val="28"/>
                <w:szCs w:val="28"/>
                <w:lang w:val="en-US" w:eastAsia="zh-CN" w:bidi="ar-SA"/>
              </w:rPr>
            </w:pPr>
            <w:r>
              <w:rPr>
                <w:rFonts w:hint="eastAsia" w:ascii="宋体" w:hAnsi="宋体" w:eastAsia="宋体" w:cs="宋体"/>
                <w:i w:val="0"/>
                <w:iCs w:val="0"/>
                <w:color w:val="auto"/>
                <w:kern w:val="0"/>
                <w:sz w:val="28"/>
                <w:szCs w:val="28"/>
                <w:u w:val="none"/>
                <w:lang w:val="en-US" w:eastAsia="zh-CN" w:bidi="ar"/>
              </w:rPr>
              <w:t>3栋04号</w:t>
            </w:r>
          </w:p>
        </w:tc>
        <w:tc>
          <w:tcPr>
            <w:tcW w:w="1699" w:type="dxa"/>
            <w:vAlign w:val="center"/>
          </w:tcPr>
          <w:p>
            <w:pPr>
              <w:keepNext w:val="0"/>
              <w:keepLines w:val="0"/>
              <w:widowControl/>
              <w:suppressLineNumbers w:val="0"/>
              <w:jc w:val="right"/>
              <w:textAlignment w:val="center"/>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256.01</w:t>
            </w:r>
          </w:p>
        </w:tc>
        <w:tc>
          <w:tcPr>
            <w:tcW w:w="1880" w:type="dxa"/>
            <w:vAlign w:val="center"/>
          </w:tcPr>
          <w:p>
            <w:pPr>
              <w:keepNext w:val="0"/>
              <w:keepLines w:val="0"/>
              <w:widowControl/>
              <w:suppressLineNumbers w:val="0"/>
              <w:jc w:val="right"/>
              <w:textAlignment w:val="center"/>
              <w:rPr>
                <w:rFonts w:hint="default"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5,888,230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6</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3栋05号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256.01</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5,888,230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7</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3栋06号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256.01</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5,888,230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8</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3栋07号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256.01</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5,888,230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9</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4栋02号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256.12</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10</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4栋07号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256.12</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11</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5栋02号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256.01</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5,888,230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12</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5栋08号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257.78</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5,928,940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13</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6栋02号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256.12</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14</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6栋03号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256.12</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15</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6栋04号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256.12</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16</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6栋05号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256.12</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23,000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5,890,760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17</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8栋02号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321.78</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8,044,500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18</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8栋03号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321.78</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8,044,500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19</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9栋02号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322.06</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20</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10栋04号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324.31</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8,107,750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21</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11栋02号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321.77</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8,044,250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22</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11栋03号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321.77</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8,044,250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23</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11栋04号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321.77</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8,044,250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24</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13栋03号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321.52</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25</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13栋05号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321.52</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26</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14栋02号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321.49</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8,037,250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27</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14栋03号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321.49</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8,037,250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28</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14栋04号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321.49</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8,037,250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29</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14栋05号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324.59</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8,114,750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30</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15栋01号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325.59</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8,139,750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31</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15栋02号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323.00</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32</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15栋03号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323.00</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33</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20栋01号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406.73</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27,000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10,981,710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34</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20栋02号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406.73</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27,000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10,981,710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35</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23栋02号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406.73</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27,000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10,981,710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36</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25栋902号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88.28</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15,000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1,324,200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37</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26栋203号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88.28</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14,000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1,235,920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9" w:type="dxa"/>
            <w:vAlign w:val="center"/>
          </w:tcPr>
          <w:p>
            <w:pPr>
              <w:keepNext w:val="0"/>
              <w:keepLines w:val="0"/>
              <w:widowControl/>
              <w:suppressLineNumbers w:val="0"/>
              <w:jc w:val="center"/>
              <w:textAlignment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38</w:t>
            </w:r>
          </w:p>
        </w:tc>
        <w:tc>
          <w:tcPr>
            <w:tcW w:w="3663" w:type="dxa"/>
            <w:vAlign w:val="center"/>
          </w:tcPr>
          <w:p>
            <w:pPr>
              <w:keepNext w:val="0"/>
              <w:keepLines w:val="0"/>
              <w:widowControl/>
              <w:suppressLineNumbers w:val="0"/>
              <w:jc w:val="center"/>
              <w:textAlignment w:val="center"/>
              <w:rPr>
                <w:rFonts w:hint="eastAsia" w:ascii="宋体" w:hAnsi="宋体" w:eastAsia="宋体" w:cs="宋体"/>
                <w:color w:val="auto"/>
                <w:spacing w:val="-10"/>
                <w:sz w:val="28"/>
                <w:szCs w:val="28"/>
                <w:lang w:val="en-US" w:eastAsia="zh-CN"/>
              </w:rPr>
            </w:pPr>
            <w:r>
              <w:rPr>
                <w:rFonts w:hint="eastAsia" w:ascii="宋体" w:hAnsi="宋体" w:eastAsia="宋体" w:cs="宋体"/>
                <w:i w:val="0"/>
                <w:iCs w:val="0"/>
                <w:color w:val="auto"/>
                <w:kern w:val="0"/>
                <w:sz w:val="28"/>
                <w:szCs w:val="28"/>
                <w:u w:val="none"/>
                <w:lang w:val="en-US" w:eastAsia="zh-CN" w:bidi="ar"/>
              </w:rPr>
              <w:t>26栋302号</w:t>
            </w:r>
          </w:p>
        </w:tc>
        <w:tc>
          <w:tcPr>
            <w:tcW w:w="169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88.28</w:t>
            </w:r>
          </w:p>
        </w:tc>
        <w:tc>
          <w:tcPr>
            <w:tcW w:w="1880"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14,000</w:t>
            </w:r>
          </w:p>
        </w:tc>
        <w:tc>
          <w:tcPr>
            <w:tcW w:w="2049" w:type="dxa"/>
            <w:vAlign w:val="center"/>
          </w:tcPr>
          <w:p>
            <w:pPr>
              <w:keepNext w:val="0"/>
              <w:keepLines w:val="0"/>
              <w:widowControl/>
              <w:suppressLineNumbers w:val="0"/>
              <w:jc w:val="right"/>
              <w:textAlignment w:val="center"/>
              <w:rPr>
                <w:rFonts w:hint="eastAsia" w:ascii="宋体" w:hAnsi="宋体" w:eastAsia="宋体" w:cs="宋体"/>
                <w:color w:val="auto"/>
                <w:spacing w:val="4"/>
                <w:sz w:val="28"/>
                <w:szCs w:val="28"/>
                <w:lang w:val="en-US" w:eastAsia="zh-CN"/>
              </w:rPr>
            </w:pPr>
            <w:r>
              <w:rPr>
                <w:rFonts w:hint="eastAsia" w:ascii="宋体" w:hAnsi="宋体" w:eastAsia="宋体" w:cs="宋体"/>
                <w:i w:val="0"/>
                <w:iCs w:val="0"/>
                <w:color w:val="auto"/>
                <w:kern w:val="0"/>
                <w:sz w:val="28"/>
                <w:szCs w:val="28"/>
                <w:u w:val="none"/>
                <w:lang w:val="en-US" w:eastAsia="zh-CN" w:bidi="ar"/>
              </w:rPr>
              <w:t>1,235,920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4572" w:type="dxa"/>
            <w:gridSpan w:val="2"/>
          </w:tcPr>
          <w:p>
            <w:pPr>
              <w:spacing w:line="580" w:lineRule="exact"/>
              <w:jc w:val="center"/>
              <w:rPr>
                <w:rFonts w:hint="eastAsia"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vertAlign w:val="baseline"/>
                <w:lang w:val="en-US" w:eastAsia="zh-CN"/>
              </w:rPr>
              <w:t>合    计</w:t>
            </w:r>
          </w:p>
        </w:tc>
        <w:tc>
          <w:tcPr>
            <w:tcW w:w="1699" w:type="dxa"/>
          </w:tcPr>
          <w:p>
            <w:pPr>
              <w:spacing w:line="580" w:lineRule="exact"/>
              <w:jc w:val="right"/>
              <w:rPr>
                <w:rFonts w:hint="default" w:ascii="宋体" w:hAnsi="宋体" w:eastAsia="宋体" w:cs="宋体"/>
                <w:color w:val="auto"/>
                <w:spacing w:val="-4"/>
                <w:sz w:val="28"/>
                <w:szCs w:val="28"/>
                <w:vertAlign w:val="baseline"/>
                <w:lang w:val="en-US" w:eastAsia="zh-CN"/>
              </w:rPr>
            </w:pPr>
            <w:r>
              <w:rPr>
                <w:rFonts w:hint="eastAsia" w:ascii="宋体" w:hAnsi="宋体" w:eastAsia="宋体" w:cs="宋体"/>
                <w:color w:val="auto"/>
                <w:spacing w:val="4"/>
                <w:sz w:val="28"/>
                <w:szCs w:val="28"/>
                <w:lang w:val="en-US" w:eastAsia="zh-CN"/>
              </w:rPr>
              <w:t>10744.56</w:t>
            </w:r>
          </w:p>
        </w:tc>
        <w:tc>
          <w:tcPr>
            <w:tcW w:w="1880" w:type="dxa"/>
          </w:tcPr>
          <w:p>
            <w:pPr>
              <w:spacing w:line="580" w:lineRule="exact"/>
              <w:jc w:val="right"/>
              <w:rPr>
                <w:rFonts w:hint="eastAsia" w:ascii="宋体" w:hAnsi="宋体" w:eastAsia="宋体" w:cs="宋体"/>
                <w:color w:val="auto"/>
                <w:spacing w:val="-4"/>
                <w:sz w:val="28"/>
                <w:szCs w:val="28"/>
                <w:vertAlign w:val="baseline"/>
                <w:lang w:val="en-US" w:eastAsia="zh-CN"/>
              </w:rPr>
            </w:pPr>
          </w:p>
        </w:tc>
        <w:tc>
          <w:tcPr>
            <w:tcW w:w="2049" w:type="dxa"/>
            <w:vAlign w:val="center"/>
          </w:tcPr>
          <w:p>
            <w:pPr>
              <w:spacing w:line="580" w:lineRule="exact"/>
              <w:jc w:val="right"/>
              <w:rPr>
                <w:rFonts w:hint="eastAsia" w:ascii="宋体" w:hAnsi="宋体" w:eastAsia="宋体" w:cs="宋体"/>
                <w:color w:val="auto"/>
                <w:spacing w:val="4"/>
                <w:sz w:val="28"/>
                <w:szCs w:val="28"/>
                <w:lang w:val="en-US" w:eastAsia="zh-CN"/>
              </w:rPr>
            </w:pPr>
            <w:r>
              <w:rPr>
                <w:rFonts w:hint="eastAsia" w:ascii="宋体" w:hAnsi="宋体" w:eastAsia="宋体" w:cs="宋体"/>
                <w:color w:val="auto"/>
                <w:spacing w:val="4"/>
                <w:sz w:val="28"/>
                <w:szCs w:val="28"/>
                <w:lang w:val="en-US" w:eastAsia="zh-CN"/>
              </w:rPr>
              <w:t xml:space="preserve"> 260,028,220 </w:t>
            </w:r>
          </w:p>
        </w:tc>
      </w:tr>
    </w:tbl>
    <w:p>
      <w:pPr>
        <w:spacing w:line="580" w:lineRule="exact"/>
        <w:ind w:left="544"/>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总   价：</w:t>
      </w:r>
      <w:r>
        <w:rPr>
          <w:rFonts w:hint="eastAsia" w:ascii="宋体" w:hAnsi="宋体" w:eastAsia="宋体" w:cs="宋体"/>
          <w:color w:val="auto"/>
          <w:spacing w:val="4"/>
          <w:sz w:val="28"/>
          <w:szCs w:val="28"/>
          <w:lang w:val="en-US" w:eastAsia="zh-CN"/>
        </w:rPr>
        <w:t>260,028,220</w:t>
      </w:r>
      <w:r>
        <w:rPr>
          <w:rFonts w:hint="eastAsia" w:ascii="宋体" w:hAnsi="宋体" w:eastAsia="宋体" w:cs="宋体"/>
          <w:color w:val="auto"/>
          <w:sz w:val="28"/>
          <w:szCs w:val="28"/>
        </w:rPr>
        <w:t>.00</w:t>
      </w:r>
      <w:r>
        <w:rPr>
          <w:rFonts w:hint="eastAsia" w:ascii="宋体" w:hAnsi="宋体" w:eastAsia="宋体" w:cs="宋体"/>
          <w:color w:val="auto"/>
          <w:spacing w:val="-4"/>
          <w:sz w:val="28"/>
          <w:szCs w:val="28"/>
        </w:rPr>
        <w:t>元</w:t>
      </w:r>
    </w:p>
    <w:p>
      <w:pPr>
        <w:tabs>
          <w:tab w:val="left" w:pos="4880"/>
        </w:tabs>
        <w:spacing w:line="560" w:lineRule="exact"/>
        <w:ind w:firstLine="544" w:firstLineChars="200"/>
        <w:rPr>
          <w:rFonts w:hint="eastAsia" w:ascii="宋体" w:hAnsi="宋体" w:eastAsia="宋体" w:cs="宋体"/>
          <w:color w:val="auto"/>
          <w:spacing w:val="-4"/>
          <w:sz w:val="28"/>
          <w:szCs w:val="28"/>
        </w:rPr>
      </w:pPr>
      <w:r>
        <w:rPr>
          <w:rFonts w:hint="eastAsia" w:ascii="宋体" w:hAnsi="宋体" w:eastAsia="宋体" w:cs="宋体"/>
          <w:color w:val="auto"/>
          <w:spacing w:val="-4"/>
          <w:sz w:val="28"/>
          <w:szCs w:val="28"/>
        </w:rPr>
        <w:t>大   写：</w:t>
      </w:r>
      <w:r>
        <w:rPr>
          <w:rFonts w:hint="eastAsia" w:ascii="宋体" w:hAnsi="宋体" w:eastAsia="宋体" w:cs="宋体"/>
          <w:color w:val="auto"/>
          <w:spacing w:val="-4"/>
          <w:sz w:val="28"/>
          <w:szCs w:val="28"/>
          <w:lang w:eastAsia="zh-CN"/>
        </w:rPr>
        <w:t>贰亿陆仟零贰万捌仟贰佰贰拾元</w:t>
      </w:r>
      <w:r>
        <w:rPr>
          <w:rFonts w:hint="eastAsia" w:ascii="宋体" w:hAnsi="宋体" w:eastAsia="宋体" w:cs="宋体"/>
          <w:color w:val="auto"/>
          <w:spacing w:val="-4"/>
          <w:sz w:val="28"/>
          <w:szCs w:val="28"/>
        </w:rPr>
        <w:t>整</w:t>
      </w:r>
    </w:p>
    <w:p>
      <w:pPr>
        <w:tabs>
          <w:tab w:val="left" w:pos="4880"/>
        </w:tabs>
        <w:spacing w:line="560" w:lineRule="exact"/>
        <w:ind w:firstLine="544" w:firstLineChars="200"/>
        <w:rPr>
          <w:rFonts w:hint="eastAsia" w:ascii="宋体" w:hAnsi="宋体" w:eastAsia="宋体" w:cs="宋体"/>
          <w:color w:val="auto"/>
          <w:sz w:val="32"/>
          <w:szCs w:val="32"/>
        </w:rPr>
      </w:pPr>
      <w:r>
        <w:rPr>
          <w:rFonts w:hint="eastAsia" w:ascii="宋体" w:hAnsi="宋体" w:eastAsia="宋体" w:cs="宋体"/>
          <w:color w:val="auto"/>
          <w:spacing w:val="-4"/>
          <w:sz w:val="28"/>
          <w:szCs w:val="28"/>
        </w:rPr>
        <w:t>币   种：人民币</w:t>
      </w:r>
    </w:p>
    <w:p>
      <w:pPr>
        <w:keepNext/>
        <w:keepLines/>
        <w:spacing w:line="540" w:lineRule="exact"/>
        <w:ind w:left="630" w:leftChars="300"/>
        <w:outlineLvl w:val="1"/>
        <w:rPr>
          <w:rFonts w:hint="eastAsia" w:ascii="宋体" w:hAnsi="宋体" w:eastAsia="宋体" w:cs="宋体"/>
          <w:b/>
          <w:bCs/>
          <w:color w:val="auto"/>
          <w:sz w:val="28"/>
          <w:szCs w:val="28"/>
        </w:rPr>
      </w:pPr>
    </w:p>
    <w:p>
      <w:pPr>
        <w:keepNext/>
        <w:keepLines/>
        <w:spacing w:line="540" w:lineRule="exact"/>
        <w:ind w:left="630" w:leftChars="300"/>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rPr>
        <w:t>十一、注册房地产估价师</w:t>
      </w:r>
      <w:bookmarkEnd w:id="22"/>
      <w:bookmarkEnd w:id="23"/>
    </w:p>
    <w:tbl>
      <w:tblPr>
        <w:tblStyle w:val="5"/>
        <w:tblW w:w="954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835"/>
        <w:gridCol w:w="2410"/>
        <w:gridCol w:w="20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center"/>
          </w:tcPr>
          <w:p>
            <w:pPr>
              <w:adjustRightInd w:val="0"/>
              <w:snapToGrid w:val="0"/>
              <w:spacing w:line="700" w:lineRule="exact"/>
              <w:jc w:val="center"/>
              <w:rPr>
                <w:rFonts w:hint="eastAsia" w:ascii="宋体" w:hAnsi="宋体" w:eastAsia="宋体" w:cs="宋体"/>
                <w:b/>
                <w:bCs/>
                <w:color w:val="auto"/>
                <w:sz w:val="28"/>
              </w:rPr>
            </w:pPr>
            <w:bookmarkStart w:id="24" w:name="_Toc507680008"/>
            <w:r>
              <w:rPr>
                <w:rFonts w:hint="eastAsia" w:ascii="宋体" w:hAnsi="宋体" w:eastAsia="宋体" w:cs="宋体"/>
                <w:color w:val="auto"/>
                <w:sz w:val="28"/>
              </w:rPr>
              <w:t>姓  名</w:t>
            </w:r>
          </w:p>
        </w:tc>
        <w:tc>
          <w:tcPr>
            <w:tcW w:w="2835" w:type="dxa"/>
            <w:vAlign w:val="center"/>
          </w:tcPr>
          <w:p>
            <w:pPr>
              <w:adjustRightInd w:val="0"/>
              <w:snapToGrid w:val="0"/>
              <w:spacing w:line="700" w:lineRule="exact"/>
              <w:jc w:val="center"/>
              <w:rPr>
                <w:rFonts w:hint="eastAsia" w:ascii="宋体" w:hAnsi="宋体" w:eastAsia="宋体" w:cs="宋体"/>
                <w:b/>
                <w:bCs/>
                <w:color w:val="auto"/>
                <w:sz w:val="28"/>
              </w:rPr>
            </w:pPr>
            <w:r>
              <w:rPr>
                <w:rFonts w:hint="eastAsia" w:ascii="宋体" w:hAnsi="宋体" w:eastAsia="宋体" w:cs="宋体"/>
                <w:color w:val="auto"/>
                <w:sz w:val="28"/>
              </w:rPr>
              <w:t>注册号</w:t>
            </w:r>
          </w:p>
        </w:tc>
        <w:tc>
          <w:tcPr>
            <w:tcW w:w="2410" w:type="dxa"/>
            <w:tcBorders>
              <w:bottom w:val="single" w:color="auto" w:sz="4" w:space="0"/>
            </w:tcBorders>
            <w:vAlign w:val="center"/>
          </w:tcPr>
          <w:p>
            <w:pPr>
              <w:adjustRightInd w:val="0"/>
              <w:snapToGrid w:val="0"/>
              <w:spacing w:line="700" w:lineRule="exact"/>
              <w:jc w:val="center"/>
              <w:rPr>
                <w:rFonts w:hint="eastAsia" w:ascii="宋体" w:hAnsi="宋体" w:eastAsia="宋体" w:cs="宋体"/>
                <w:b/>
                <w:bCs/>
                <w:color w:val="auto"/>
                <w:sz w:val="28"/>
              </w:rPr>
            </w:pPr>
            <w:r>
              <w:rPr>
                <w:rFonts w:hint="eastAsia" w:ascii="宋体" w:hAnsi="宋体" w:eastAsia="宋体" w:cs="宋体"/>
                <w:color w:val="auto"/>
                <w:sz w:val="28"/>
              </w:rPr>
              <w:t>签  名</w:t>
            </w:r>
          </w:p>
        </w:tc>
        <w:tc>
          <w:tcPr>
            <w:tcW w:w="2027" w:type="dxa"/>
            <w:tcBorders>
              <w:bottom w:val="single" w:color="auto" w:sz="4" w:space="0"/>
            </w:tcBorders>
            <w:vAlign w:val="center"/>
          </w:tcPr>
          <w:p>
            <w:pPr>
              <w:adjustRightInd w:val="0"/>
              <w:snapToGrid w:val="0"/>
              <w:spacing w:line="700" w:lineRule="exact"/>
              <w:jc w:val="center"/>
              <w:rPr>
                <w:rFonts w:hint="eastAsia" w:ascii="宋体" w:hAnsi="宋体" w:eastAsia="宋体" w:cs="宋体"/>
                <w:color w:val="auto"/>
                <w:sz w:val="28"/>
              </w:rPr>
            </w:pPr>
            <w:r>
              <w:rPr>
                <w:rFonts w:hint="eastAsia" w:ascii="宋体" w:hAnsi="宋体" w:eastAsia="宋体" w:cs="宋体"/>
                <w:color w:val="auto"/>
                <w:sz w:val="28"/>
              </w:rPr>
              <w:t>签名日期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trPr>
        <w:tc>
          <w:tcPr>
            <w:tcW w:w="2268" w:type="dxa"/>
            <w:vAlign w:val="center"/>
          </w:tcPr>
          <w:p>
            <w:pPr>
              <w:adjustRightInd w:val="0"/>
              <w:snapToGrid w:val="0"/>
              <w:spacing w:line="700" w:lineRule="exact"/>
              <w:ind w:left="-288" w:leftChars="-137" w:firstLine="285" w:firstLineChars="102"/>
              <w:jc w:val="center"/>
              <w:rPr>
                <w:rFonts w:hint="eastAsia" w:ascii="宋体" w:hAnsi="宋体" w:eastAsia="宋体" w:cs="宋体"/>
                <w:b/>
                <w:bCs/>
                <w:color w:val="auto"/>
                <w:sz w:val="28"/>
                <w:lang w:eastAsia="zh-CN"/>
              </w:rPr>
            </w:pPr>
            <w:r>
              <w:rPr>
                <w:rFonts w:hint="eastAsia" w:ascii="宋体" w:hAnsi="宋体" w:eastAsia="宋体" w:cs="宋体"/>
                <w:color w:val="auto"/>
                <w:sz w:val="28"/>
                <w:lang w:eastAsia="zh-CN"/>
              </w:rPr>
              <w:t>范涛</w:t>
            </w:r>
          </w:p>
        </w:tc>
        <w:tc>
          <w:tcPr>
            <w:tcW w:w="2835" w:type="dxa"/>
            <w:vAlign w:val="center"/>
          </w:tcPr>
          <w:p>
            <w:pPr>
              <w:adjustRightInd w:val="0"/>
              <w:snapToGrid w:val="0"/>
              <w:spacing w:line="700" w:lineRule="exact"/>
              <w:jc w:val="center"/>
              <w:rPr>
                <w:rFonts w:hint="eastAsia" w:ascii="宋体" w:hAnsi="宋体" w:eastAsia="宋体" w:cs="宋体"/>
                <w:b/>
                <w:bCs/>
                <w:color w:val="auto"/>
                <w:sz w:val="28"/>
                <w:lang w:val="en-US" w:eastAsia="zh-CN"/>
              </w:rPr>
            </w:pPr>
            <w:r>
              <w:rPr>
                <w:rFonts w:hint="eastAsia" w:ascii="宋体" w:hAnsi="宋体" w:eastAsia="宋体" w:cs="宋体"/>
                <w:color w:val="auto"/>
                <w:sz w:val="28"/>
              </w:rPr>
              <w:t>21201</w:t>
            </w:r>
            <w:r>
              <w:rPr>
                <w:rFonts w:hint="eastAsia" w:ascii="宋体" w:hAnsi="宋体" w:eastAsia="宋体" w:cs="宋体"/>
                <w:color w:val="auto"/>
                <w:sz w:val="28"/>
                <w:lang w:val="en-US" w:eastAsia="zh-CN"/>
              </w:rPr>
              <w:t>40023</w:t>
            </w:r>
          </w:p>
        </w:tc>
        <w:tc>
          <w:tcPr>
            <w:tcW w:w="2410" w:type="dxa"/>
            <w:tcBorders>
              <w:top w:val="single" w:color="auto" w:sz="4" w:space="0"/>
            </w:tcBorders>
            <w:vAlign w:val="center"/>
          </w:tcPr>
          <w:p>
            <w:pPr>
              <w:adjustRightInd w:val="0"/>
              <w:snapToGrid w:val="0"/>
              <w:spacing w:line="700" w:lineRule="exact"/>
              <w:jc w:val="center"/>
              <w:rPr>
                <w:rFonts w:hint="eastAsia" w:ascii="宋体" w:hAnsi="宋体" w:eastAsia="宋体" w:cs="宋体"/>
                <w:b/>
                <w:bCs/>
                <w:color w:val="auto"/>
                <w:sz w:val="28"/>
              </w:rPr>
            </w:pPr>
            <w:r>
              <w:rPr>
                <w:rFonts w:hint="eastAsia" w:ascii="宋体" w:hAnsi="宋体" w:eastAsia="宋体" w:cs="宋体"/>
                <w:color w:val="auto"/>
                <w:sz w:val="28"/>
                <w:lang w:eastAsia="zh-CN"/>
              </w:rPr>
              <w:t>范涛</w:t>
            </w:r>
          </w:p>
        </w:tc>
        <w:tc>
          <w:tcPr>
            <w:tcW w:w="2027" w:type="dxa"/>
            <w:tcBorders>
              <w:top w:val="single" w:color="auto" w:sz="4" w:space="0"/>
            </w:tcBorders>
            <w:vAlign w:val="center"/>
          </w:tcPr>
          <w:p>
            <w:pPr>
              <w:adjustRightInd w:val="0"/>
              <w:snapToGrid w:val="0"/>
              <w:spacing w:line="700" w:lineRule="exact"/>
              <w:jc w:val="center"/>
              <w:rPr>
                <w:rFonts w:hint="default" w:ascii="宋体" w:hAnsi="宋体" w:eastAsia="宋体" w:cs="宋体"/>
                <w:b/>
                <w:bCs/>
                <w:color w:val="auto"/>
                <w:sz w:val="28"/>
                <w:lang w:val="en-US"/>
              </w:rPr>
            </w:pPr>
            <w:r>
              <w:rPr>
                <w:rFonts w:hint="eastAsia" w:ascii="仿宋_GB2312" w:hAnsi="Calibri" w:eastAsia="宋体" w:cs="Times New Roman"/>
                <w:b w:val="0"/>
                <w:bCs w:val="0"/>
                <w:color w:val="auto"/>
                <w:sz w:val="28"/>
                <w:lang w:val="en-US" w:eastAsia="zh-CN"/>
              </w:rPr>
              <w:t>2022.06.17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trPr>
        <w:tc>
          <w:tcPr>
            <w:tcW w:w="2268" w:type="dxa"/>
            <w:vAlign w:val="center"/>
          </w:tcPr>
          <w:p>
            <w:pPr>
              <w:adjustRightInd w:val="0"/>
              <w:snapToGrid w:val="0"/>
              <w:spacing w:line="700" w:lineRule="exact"/>
              <w:jc w:val="center"/>
              <w:rPr>
                <w:rFonts w:hint="eastAsia" w:ascii="宋体" w:hAnsi="宋体" w:eastAsia="宋体" w:cs="宋体"/>
                <w:b/>
                <w:bCs/>
                <w:color w:val="auto"/>
                <w:sz w:val="28"/>
                <w:lang w:eastAsia="zh-CN"/>
              </w:rPr>
            </w:pPr>
            <w:r>
              <w:rPr>
                <w:rFonts w:hint="eastAsia" w:ascii="宋体" w:hAnsi="宋体" w:eastAsia="宋体" w:cs="宋体"/>
                <w:color w:val="auto"/>
                <w:sz w:val="28"/>
                <w:lang w:eastAsia="zh-CN"/>
              </w:rPr>
              <w:t>鲍玉平</w:t>
            </w:r>
          </w:p>
        </w:tc>
        <w:tc>
          <w:tcPr>
            <w:tcW w:w="2835" w:type="dxa"/>
            <w:vAlign w:val="center"/>
          </w:tcPr>
          <w:p>
            <w:pPr>
              <w:adjustRightInd w:val="0"/>
              <w:snapToGrid w:val="0"/>
              <w:spacing w:line="700" w:lineRule="exact"/>
              <w:jc w:val="center"/>
              <w:rPr>
                <w:rFonts w:hint="eastAsia" w:ascii="宋体" w:hAnsi="宋体" w:eastAsia="宋体" w:cs="宋体"/>
                <w:b/>
                <w:bCs/>
                <w:color w:val="auto"/>
                <w:sz w:val="28"/>
                <w:lang w:val="en-US" w:eastAsia="zh-CN"/>
              </w:rPr>
            </w:pPr>
            <w:r>
              <w:rPr>
                <w:rFonts w:hint="eastAsia" w:ascii="宋体" w:hAnsi="宋体" w:eastAsia="宋体" w:cs="宋体"/>
                <w:color w:val="auto"/>
                <w:sz w:val="28"/>
                <w:lang w:eastAsia="zh-CN"/>
              </w:rPr>
              <w:t>2120040135</w:t>
            </w:r>
          </w:p>
        </w:tc>
        <w:tc>
          <w:tcPr>
            <w:tcW w:w="2410" w:type="dxa"/>
            <w:vAlign w:val="center"/>
          </w:tcPr>
          <w:p>
            <w:pPr>
              <w:adjustRightInd w:val="0"/>
              <w:snapToGrid w:val="0"/>
              <w:spacing w:line="700" w:lineRule="exact"/>
              <w:jc w:val="center"/>
              <w:rPr>
                <w:rFonts w:hint="eastAsia" w:ascii="宋体" w:hAnsi="宋体" w:eastAsia="宋体" w:cs="宋体"/>
                <w:b/>
                <w:bCs/>
                <w:color w:val="auto"/>
                <w:sz w:val="28"/>
              </w:rPr>
            </w:pPr>
            <w:r>
              <w:rPr>
                <w:rFonts w:hint="eastAsia" w:ascii="宋体" w:hAnsi="宋体" w:eastAsia="宋体" w:cs="宋体"/>
                <w:color w:val="auto"/>
                <w:sz w:val="28"/>
                <w:lang w:eastAsia="zh-CN"/>
              </w:rPr>
              <w:t>鲍玉平</w:t>
            </w:r>
          </w:p>
        </w:tc>
        <w:tc>
          <w:tcPr>
            <w:tcW w:w="2027" w:type="dxa"/>
            <w:vAlign w:val="center"/>
          </w:tcPr>
          <w:p>
            <w:pPr>
              <w:adjustRightInd w:val="0"/>
              <w:snapToGrid w:val="0"/>
              <w:spacing w:line="700" w:lineRule="exact"/>
              <w:jc w:val="center"/>
              <w:rPr>
                <w:rFonts w:hint="default" w:ascii="宋体" w:hAnsi="宋体" w:eastAsia="宋体" w:cs="宋体"/>
                <w:b/>
                <w:bCs/>
                <w:color w:val="auto"/>
                <w:sz w:val="28"/>
                <w:lang w:val="en-US"/>
              </w:rPr>
            </w:pPr>
            <w:r>
              <w:rPr>
                <w:rFonts w:hint="eastAsia" w:ascii="仿宋_GB2312" w:hAnsi="Calibri" w:eastAsia="宋体" w:cs="Times New Roman"/>
                <w:b w:val="0"/>
                <w:bCs w:val="0"/>
                <w:color w:val="auto"/>
                <w:sz w:val="28"/>
                <w:lang w:val="en-US" w:eastAsia="zh-CN"/>
              </w:rPr>
              <w:t>2022.06.17</w:t>
            </w:r>
          </w:p>
        </w:tc>
      </w:tr>
    </w:tbl>
    <w:p>
      <w:pPr>
        <w:keepNext/>
        <w:keepLines/>
        <w:spacing w:line="540" w:lineRule="exact"/>
        <w:ind w:left="630" w:leftChars="300"/>
        <w:outlineLvl w:val="1"/>
        <w:rPr>
          <w:rFonts w:hint="eastAsia" w:ascii="宋体" w:hAnsi="宋体" w:eastAsia="宋体" w:cs="宋体"/>
          <w:b/>
          <w:bCs/>
          <w:color w:val="auto"/>
          <w:sz w:val="28"/>
          <w:szCs w:val="28"/>
        </w:rPr>
      </w:pPr>
      <w:bookmarkStart w:id="25" w:name="_Toc88835617"/>
      <w:r>
        <w:rPr>
          <w:rFonts w:hint="eastAsia" w:ascii="宋体" w:hAnsi="宋体" w:eastAsia="宋体" w:cs="宋体"/>
          <w:b/>
          <w:bCs/>
          <w:color w:val="auto"/>
          <w:sz w:val="28"/>
          <w:szCs w:val="28"/>
        </w:rPr>
        <w:t>十二、实地查勘期</w:t>
      </w:r>
      <w:bookmarkEnd w:id="24"/>
      <w:bookmarkEnd w:id="25"/>
    </w:p>
    <w:p>
      <w:pPr>
        <w:adjustRightInd w:val="0"/>
        <w:snapToGrid w:val="0"/>
        <w:spacing w:line="540" w:lineRule="exact"/>
        <w:ind w:firstLine="560" w:firstLineChars="200"/>
        <w:rPr>
          <w:rFonts w:hint="eastAsia" w:ascii="宋体" w:hAnsi="宋体" w:eastAsia="宋体" w:cs="宋体"/>
          <w:color w:val="auto"/>
          <w:sz w:val="28"/>
        </w:rPr>
      </w:pPr>
      <w:bookmarkStart w:id="26" w:name="_Toc88835618"/>
      <w:bookmarkStart w:id="27" w:name="_Toc507680009"/>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五</w:t>
      </w:r>
      <w:r>
        <w:rPr>
          <w:rFonts w:hint="eastAsia" w:ascii="宋体" w:hAnsi="宋体" w:eastAsia="宋体" w:cs="宋体"/>
          <w:color w:val="auto"/>
          <w:sz w:val="28"/>
        </w:rPr>
        <w:t>月</w:t>
      </w:r>
      <w:r>
        <w:rPr>
          <w:rFonts w:hint="eastAsia" w:ascii="宋体" w:hAnsi="宋体" w:eastAsia="宋体" w:cs="宋体"/>
          <w:color w:val="auto"/>
          <w:sz w:val="28"/>
          <w:lang w:eastAsia="zh-CN"/>
        </w:rPr>
        <w:t>二十二</w:t>
      </w:r>
      <w:r>
        <w:rPr>
          <w:rFonts w:hint="eastAsia" w:ascii="宋体" w:hAnsi="宋体" w:eastAsia="宋体" w:cs="宋体"/>
          <w:color w:val="auto"/>
          <w:sz w:val="28"/>
        </w:rPr>
        <w:t>日至二〇二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五</w:t>
      </w:r>
      <w:r>
        <w:rPr>
          <w:rFonts w:hint="eastAsia" w:ascii="宋体" w:hAnsi="宋体" w:eastAsia="宋体" w:cs="宋体"/>
          <w:color w:val="auto"/>
          <w:sz w:val="28"/>
        </w:rPr>
        <w:t>月</w:t>
      </w:r>
      <w:r>
        <w:rPr>
          <w:rFonts w:hint="eastAsia" w:ascii="宋体" w:hAnsi="宋体" w:eastAsia="宋体" w:cs="宋体"/>
          <w:color w:val="auto"/>
          <w:sz w:val="28"/>
          <w:lang w:eastAsia="zh-CN"/>
        </w:rPr>
        <w:t>二十四日</w:t>
      </w:r>
    </w:p>
    <w:p>
      <w:pPr>
        <w:keepNext/>
        <w:keepLines/>
        <w:spacing w:line="540" w:lineRule="exact"/>
        <w:ind w:left="630" w:leftChars="300"/>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rPr>
        <w:t>十三、估价作业期</w:t>
      </w:r>
      <w:bookmarkEnd w:id="26"/>
      <w:bookmarkEnd w:id="27"/>
    </w:p>
    <w:p>
      <w:pPr>
        <w:adjustRightInd w:val="0"/>
        <w:snapToGrid w:val="0"/>
        <w:spacing w:line="540" w:lineRule="exact"/>
        <w:ind w:firstLine="560" w:firstLineChars="200"/>
        <w:rPr>
          <w:rFonts w:hint="eastAsia" w:ascii="宋体" w:hAnsi="宋体" w:eastAsia="宋体" w:cs="宋体"/>
          <w:color w:val="auto"/>
          <w:sz w:val="28"/>
        </w:rPr>
      </w:pP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二</w:t>
      </w:r>
      <w:r>
        <w:rPr>
          <w:rFonts w:hint="eastAsia" w:ascii="宋体" w:hAnsi="宋体" w:eastAsia="宋体" w:cs="宋体"/>
          <w:color w:val="auto"/>
          <w:sz w:val="28"/>
        </w:rPr>
        <w:t>月</w:t>
      </w:r>
      <w:r>
        <w:rPr>
          <w:rFonts w:hint="eastAsia" w:ascii="宋体" w:hAnsi="宋体" w:eastAsia="宋体" w:cs="宋体"/>
          <w:color w:val="auto"/>
          <w:sz w:val="28"/>
          <w:lang w:eastAsia="zh-CN"/>
        </w:rPr>
        <w:t>十六</w:t>
      </w:r>
      <w:r>
        <w:rPr>
          <w:rFonts w:hint="eastAsia" w:ascii="宋体" w:hAnsi="宋体" w:eastAsia="宋体" w:cs="宋体"/>
          <w:color w:val="auto"/>
          <w:sz w:val="28"/>
        </w:rPr>
        <w:t>至二〇二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六月十七日</w:t>
      </w:r>
    </w:p>
    <w:p>
      <w:pPr>
        <w:adjustRightInd w:val="0"/>
        <w:snapToGrid w:val="0"/>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lang w:val="en-US" w:eastAsia="zh-CN"/>
        </w:rPr>
        <w:t xml:space="preserve">                  </w:t>
      </w:r>
    </w:p>
    <w:p>
      <w:pPr>
        <w:adjustRightInd w:val="0"/>
        <w:snapToGrid w:val="0"/>
        <w:spacing w:line="540" w:lineRule="exact"/>
        <w:ind w:firstLine="560" w:firstLineChars="200"/>
        <w:rPr>
          <w:rFonts w:hint="eastAsia" w:ascii="宋体" w:hAnsi="宋体" w:eastAsia="宋体" w:cs="宋体"/>
          <w:color w:val="auto"/>
          <w:sz w:val="28"/>
          <w:lang w:val="en-US" w:eastAsia="zh-CN"/>
        </w:rPr>
      </w:pPr>
    </w:p>
    <w:p>
      <w:pPr>
        <w:adjustRightInd w:val="0"/>
        <w:snapToGrid w:val="0"/>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lang w:val="en-US" w:eastAsia="zh-CN"/>
        </w:rPr>
        <w:t xml:space="preserve">                                </w:t>
      </w:r>
    </w:p>
    <w:p>
      <w:pPr>
        <w:adjustRightInd w:val="0"/>
        <w:snapToGrid w:val="0"/>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lang w:val="en-US" w:eastAsia="zh-CN"/>
        </w:rPr>
        <w:t xml:space="preserve">                               盘锦博达房地产评估有限公司</w:t>
      </w:r>
    </w:p>
    <w:p>
      <w:pPr>
        <w:adjustRightInd w:val="0"/>
        <w:snapToGrid w:val="0"/>
        <w:spacing w:line="540" w:lineRule="exact"/>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rPr>
        <w:t>二〇二</w:t>
      </w:r>
      <w:r>
        <w:rPr>
          <w:rFonts w:hint="eastAsia" w:ascii="宋体" w:hAnsi="宋体" w:eastAsia="宋体" w:cs="宋体"/>
          <w:color w:val="auto"/>
          <w:sz w:val="28"/>
          <w:lang w:eastAsia="zh-CN"/>
        </w:rPr>
        <w:t>二</w:t>
      </w:r>
      <w:r>
        <w:rPr>
          <w:rFonts w:hint="eastAsia" w:ascii="宋体" w:hAnsi="宋体" w:eastAsia="宋体" w:cs="宋体"/>
          <w:color w:val="auto"/>
          <w:sz w:val="28"/>
        </w:rPr>
        <w:t>年</w:t>
      </w:r>
      <w:r>
        <w:rPr>
          <w:rFonts w:hint="eastAsia" w:ascii="宋体" w:hAnsi="宋体" w:eastAsia="宋体" w:cs="宋体"/>
          <w:color w:val="auto"/>
          <w:sz w:val="28"/>
          <w:lang w:eastAsia="zh-CN"/>
        </w:rPr>
        <w:t>六月十七日</w:t>
      </w:r>
    </w:p>
    <w:p>
      <w:pPr>
        <w:keepNext/>
        <w:keepLines/>
        <w:spacing w:line="540" w:lineRule="exact"/>
        <w:jc w:val="both"/>
        <w:outlineLvl w:val="0"/>
        <w:rPr>
          <w:rFonts w:hint="eastAsia" w:ascii="宋体" w:hAnsi="宋体" w:eastAsia="宋体" w:cs="宋体"/>
          <w:b/>
          <w:bCs/>
          <w:color w:val="auto"/>
          <w:kern w:val="44"/>
          <w:sz w:val="32"/>
          <w:szCs w:val="32"/>
        </w:rPr>
      </w:pPr>
      <w:bookmarkStart w:id="28" w:name="_Toc88835619"/>
      <w:bookmarkStart w:id="29" w:name="_Toc56068814"/>
      <w:bookmarkStart w:id="30" w:name="_Toc59799473"/>
      <w:bookmarkStart w:id="31" w:name="_Toc17358717"/>
    </w:p>
    <w:p>
      <w:pPr>
        <w:keepNext/>
        <w:keepLines/>
        <w:spacing w:line="540" w:lineRule="exact"/>
        <w:jc w:val="center"/>
        <w:outlineLvl w:val="0"/>
        <w:rPr>
          <w:rFonts w:hint="eastAsia" w:ascii="宋体" w:hAnsi="宋体" w:eastAsia="宋体" w:cs="宋体"/>
          <w:b/>
          <w:bCs/>
          <w:color w:val="auto"/>
          <w:kern w:val="44"/>
          <w:sz w:val="32"/>
          <w:szCs w:val="32"/>
        </w:rPr>
      </w:pPr>
      <w:r>
        <w:rPr>
          <w:rFonts w:hint="eastAsia" w:ascii="宋体" w:hAnsi="宋体" w:eastAsia="宋体" w:cs="宋体"/>
          <w:b/>
          <w:bCs/>
          <w:color w:val="auto"/>
          <w:kern w:val="44"/>
          <w:sz w:val="32"/>
          <w:szCs w:val="32"/>
        </w:rPr>
        <w:t>附   件</w:t>
      </w:r>
      <w:bookmarkEnd w:id="28"/>
      <w:bookmarkEnd w:id="29"/>
      <w:bookmarkEnd w:id="30"/>
      <w:bookmarkEnd w:id="31"/>
    </w:p>
    <w:p>
      <w:pPr>
        <w:spacing w:line="600" w:lineRule="exact"/>
        <w:rPr>
          <w:rFonts w:hint="eastAsia" w:ascii="宋体" w:hAnsi="宋体" w:eastAsia="宋体" w:cs="宋体"/>
          <w:color w:val="auto"/>
          <w:sz w:val="28"/>
        </w:rPr>
      </w:pP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rPr>
        <w:t>一、</w:t>
      </w:r>
      <w:r>
        <w:rPr>
          <w:rFonts w:hint="eastAsia" w:ascii="宋体" w:hAnsi="宋体" w:eastAsia="宋体" w:cs="宋体"/>
          <w:color w:val="auto"/>
          <w:sz w:val="28"/>
        </w:rPr>
        <w:t>《司法鉴定评估委托书》（（202</w:t>
      </w:r>
      <w:r>
        <w:rPr>
          <w:rFonts w:hint="eastAsia" w:ascii="宋体" w:hAnsi="宋体" w:eastAsia="宋体" w:cs="宋体"/>
          <w:color w:val="auto"/>
          <w:sz w:val="28"/>
          <w:lang w:val="en-US" w:eastAsia="zh-CN"/>
        </w:rPr>
        <w:t>2</w:t>
      </w:r>
      <w:r>
        <w:rPr>
          <w:rFonts w:hint="eastAsia" w:ascii="宋体" w:hAnsi="宋体" w:eastAsia="宋体" w:cs="宋体"/>
          <w:color w:val="auto"/>
          <w:sz w:val="28"/>
        </w:rPr>
        <w:t>）辽11委字第</w:t>
      </w:r>
      <w:r>
        <w:rPr>
          <w:rFonts w:hint="eastAsia" w:ascii="宋体" w:hAnsi="宋体" w:eastAsia="宋体" w:cs="宋体"/>
          <w:color w:val="auto"/>
          <w:sz w:val="28"/>
          <w:lang w:val="en-US" w:eastAsia="zh-CN"/>
        </w:rPr>
        <w:t>00152</w:t>
      </w:r>
      <w:r>
        <w:rPr>
          <w:rFonts w:hint="eastAsia" w:ascii="宋体" w:hAnsi="宋体" w:eastAsia="宋体" w:cs="宋体"/>
          <w:color w:val="auto"/>
          <w:sz w:val="28"/>
        </w:rPr>
        <w:t>号）复印件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二</w:t>
      </w:r>
      <w:r>
        <w:rPr>
          <w:rFonts w:hint="eastAsia" w:ascii="宋体" w:hAnsi="宋体" w:eastAsia="宋体" w:cs="宋体"/>
          <w:color w:val="auto"/>
          <w:sz w:val="28"/>
        </w:rPr>
        <w:t>、</w:t>
      </w:r>
      <w:r>
        <w:rPr>
          <w:rFonts w:hint="eastAsia" w:ascii="宋体" w:hAnsi="宋体" w:eastAsia="宋体" w:cs="宋体"/>
          <w:color w:val="auto"/>
          <w:sz w:val="28"/>
        </w:rPr>
        <w:t>《</w:t>
      </w:r>
      <w:r>
        <w:rPr>
          <w:rFonts w:hint="eastAsia" w:ascii="宋体" w:hAnsi="宋体" w:eastAsia="宋体" w:cs="宋体"/>
          <w:color w:val="auto"/>
          <w:sz w:val="28"/>
          <w:lang w:eastAsia="zh-CN"/>
        </w:rPr>
        <w:t>竣工验收备案证书</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三、</w:t>
      </w:r>
      <w:r>
        <w:rPr>
          <w:rFonts w:hint="eastAsia" w:ascii="宋体" w:hAnsi="宋体" w:eastAsia="宋体" w:cs="宋体"/>
          <w:color w:val="auto"/>
          <w:sz w:val="28"/>
        </w:rPr>
        <w:t>《</w:t>
      </w:r>
      <w:r>
        <w:rPr>
          <w:rFonts w:hint="eastAsia" w:ascii="宋体" w:hAnsi="宋体" w:eastAsia="宋体" w:cs="宋体"/>
          <w:color w:val="auto"/>
          <w:sz w:val="28"/>
          <w:lang w:eastAsia="zh-CN"/>
        </w:rPr>
        <w:t>建筑工程规划许可证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四、</w:t>
      </w:r>
      <w:r>
        <w:rPr>
          <w:rFonts w:hint="eastAsia" w:ascii="宋体" w:hAnsi="宋体" w:eastAsia="宋体" w:cs="宋体"/>
          <w:color w:val="auto"/>
          <w:sz w:val="28"/>
        </w:rPr>
        <w:t>《</w:t>
      </w:r>
      <w:r>
        <w:rPr>
          <w:rFonts w:hint="eastAsia" w:ascii="宋体" w:hAnsi="宋体" w:eastAsia="宋体" w:cs="宋体"/>
          <w:color w:val="auto"/>
          <w:sz w:val="28"/>
          <w:lang w:eastAsia="zh-CN"/>
        </w:rPr>
        <w:t>建筑工程施工许可证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五、</w:t>
      </w:r>
      <w:r>
        <w:rPr>
          <w:rFonts w:hint="eastAsia" w:ascii="宋体" w:hAnsi="宋体" w:eastAsia="宋体" w:cs="宋体"/>
          <w:color w:val="auto"/>
          <w:sz w:val="28"/>
        </w:rPr>
        <w:t>《</w:t>
      </w:r>
      <w:r>
        <w:rPr>
          <w:rFonts w:hint="eastAsia" w:ascii="宋体" w:hAnsi="宋体" w:eastAsia="宋体" w:cs="宋体"/>
          <w:color w:val="auto"/>
          <w:sz w:val="28"/>
          <w:lang w:eastAsia="zh-CN"/>
        </w:rPr>
        <w:t>商品房预售许可证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六、</w:t>
      </w:r>
      <w:r>
        <w:rPr>
          <w:rFonts w:hint="eastAsia" w:ascii="宋体" w:hAnsi="宋体" w:eastAsia="宋体" w:cs="宋体"/>
          <w:color w:val="auto"/>
          <w:sz w:val="28"/>
        </w:rPr>
        <w:t>《</w:t>
      </w:r>
      <w:r>
        <w:rPr>
          <w:rFonts w:hint="eastAsia" w:ascii="宋体" w:hAnsi="宋体" w:eastAsia="宋体" w:cs="宋体"/>
          <w:color w:val="auto"/>
          <w:sz w:val="28"/>
          <w:lang w:eastAsia="zh-CN"/>
        </w:rPr>
        <w:t>建设用地规划许可证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lang w:eastAsia="zh-CN"/>
        </w:rPr>
      </w:pPr>
      <w:r>
        <w:rPr>
          <w:rFonts w:hint="eastAsia" w:ascii="宋体" w:hAnsi="宋体" w:eastAsia="宋体" w:cs="宋体"/>
          <w:color w:val="auto"/>
          <w:sz w:val="28"/>
          <w:lang w:eastAsia="zh-CN"/>
        </w:rPr>
        <w:t>七、</w:t>
      </w:r>
      <w:r>
        <w:rPr>
          <w:rFonts w:hint="eastAsia" w:ascii="宋体" w:hAnsi="宋体" w:eastAsia="宋体" w:cs="宋体"/>
          <w:color w:val="auto"/>
          <w:sz w:val="28"/>
        </w:rPr>
        <w:t>《</w:t>
      </w:r>
      <w:r>
        <w:rPr>
          <w:rFonts w:hint="eastAsia" w:ascii="宋体" w:hAnsi="宋体" w:eastAsia="宋体" w:cs="宋体"/>
          <w:color w:val="auto"/>
          <w:sz w:val="28"/>
          <w:lang w:eastAsia="zh-CN"/>
        </w:rPr>
        <w:t>国有土地使用证</w:t>
      </w:r>
      <w:r>
        <w:rPr>
          <w:rFonts w:hint="eastAsia" w:ascii="宋体" w:hAnsi="宋体" w:eastAsia="宋体" w:cs="宋体"/>
          <w:color w:val="auto"/>
          <w:sz w:val="28"/>
        </w:rPr>
        <w:t>》复印件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八</w:t>
      </w:r>
      <w:r>
        <w:rPr>
          <w:rFonts w:hint="eastAsia" w:ascii="宋体" w:hAnsi="宋体" w:eastAsia="宋体" w:cs="宋体"/>
          <w:color w:val="auto"/>
          <w:sz w:val="28"/>
        </w:rPr>
        <w:t>、估价对象位置图</w:t>
      </w:r>
    </w:p>
    <w:p>
      <w:pPr>
        <w:spacing w:line="600" w:lineRule="exact"/>
        <w:ind w:firstLine="1260" w:firstLineChars="450"/>
        <w:rPr>
          <w:rFonts w:hint="eastAsia" w:ascii="宋体" w:hAnsi="宋体" w:eastAsia="宋体" w:cs="宋体"/>
          <w:color w:val="auto"/>
          <w:sz w:val="28"/>
        </w:rPr>
      </w:pPr>
      <w:r>
        <w:rPr>
          <w:rFonts w:hint="eastAsia" w:ascii="宋体" w:hAnsi="宋体" w:eastAsia="宋体" w:cs="宋体"/>
          <w:color w:val="auto"/>
          <w:sz w:val="28"/>
          <w:lang w:eastAsia="zh-CN"/>
        </w:rPr>
        <w:t>九</w:t>
      </w:r>
      <w:r>
        <w:rPr>
          <w:rFonts w:hint="eastAsia" w:ascii="宋体" w:hAnsi="宋体" w:eastAsia="宋体" w:cs="宋体"/>
          <w:color w:val="auto"/>
          <w:sz w:val="28"/>
        </w:rPr>
        <w:t>、估价对象内、外部照片和周围环境照片</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十</w:t>
      </w:r>
      <w:r>
        <w:rPr>
          <w:rFonts w:hint="eastAsia" w:ascii="宋体" w:hAnsi="宋体" w:eastAsia="宋体" w:cs="宋体"/>
          <w:color w:val="auto"/>
          <w:sz w:val="28"/>
        </w:rPr>
        <w:t>、注册房地产估价师资格证书复印件</w:t>
      </w:r>
    </w:p>
    <w:p>
      <w:pPr>
        <w:spacing w:line="600" w:lineRule="exact"/>
        <w:ind w:left="703" w:firstLine="560"/>
        <w:rPr>
          <w:rFonts w:hint="eastAsia" w:ascii="宋体" w:hAnsi="宋体" w:eastAsia="宋体" w:cs="宋体"/>
          <w:color w:val="auto"/>
          <w:sz w:val="28"/>
        </w:rPr>
      </w:pPr>
      <w:r>
        <w:rPr>
          <w:rFonts w:hint="eastAsia" w:ascii="宋体" w:hAnsi="宋体" w:eastAsia="宋体" w:cs="宋体"/>
          <w:color w:val="auto"/>
          <w:sz w:val="28"/>
          <w:lang w:eastAsia="zh-CN"/>
        </w:rPr>
        <w:t>十一</w:t>
      </w:r>
      <w:r>
        <w:rPr>
          <w:rFonts w:hint="eastAsia" w:ascii="宋体" w:hAnsi="宋体" w:eastAsia="宋体" w:cs="宋体"/>
          <w:color w:val="auto"/>
          <w:sz w:val="28"/>
        </w:rPr>
        <w:t>、估价机构《营业执照》复印件</w:t>
      </w:r>
    </w:p>
    <w:p>
      <w:pPr>
        <w:spacing w:line="600" w:lineRule="exact"/>
        <w:ind w:firstLine="1260" w:firstLineChars="450"/>
        <w:rPr>
          <w:rFonts w:hint="eastAsia" w:ascii="宋体" w:hAnsi="宋体" w:eastAsia="宋体" w:cs="宋体"/>
          <w:color w:val="auto"/>
          <w:spacing w:val="30"/>
          <w:sz w:val="28"/>
        </w:rPr>
      </w:pPr>
      <w:r>
        <w:rPr>
          <w:rFonts w:hint="eastAsia" w:ascii="宋体" w:hAnsi="宋体" w:eastAsia="宋体" w:cs="宋体"/>
          <w:color w:val="auto"/>
          <w:sz w:val="28"/>
          <w:lang w:eastAsia="zh-CN"/>
        </w:rPr>
        <w:t>十二</w:t>
      </w:r>
      <w:r>
        <w:rPr>
          <w:rFonts w:hint="eastAsia" w:ascii="宋体" w:hAnsi="宋体" w:eastAsia="宋体" w:cs="宋体"/>
          <w:color w:val="auto"/>
          <w:sz w:val="28"/>
        </w:rPr>
        <w:t>、房地产估价机构备案证书复印件</w:t>
      </w:r>
    </w:p>
    <w:p>
      <w:pPr>
        <w:spacing w:line="580" w:lineRule="exact"/>
        <w:ind w:left="562" w:firstLine="170" w:firstLineChars="50"/>
        <w:rPr>
          <w:rFonts w:hint="eastAsia" w:ascii="宋体" w:hAnsi="宋体" w:eastAsia="宋体" w:cs="宋体"/>
          <w:color w:val="auto"/>
          <w:spacing w:val="30"/>
          <w:sz w:val="28"/>
        </w:rPr>
      </w:pPr>
    </w:p>
    <w:p>
      <w:pPr>
        <w:rPr>
          <w:rFonts w:hint="eastAsia" w:ascii="宋体" w:hAnsi="宋体" w:eastAsia="宋体" w:cs="宋体"/>
          <w:color w:val="auto"/>
        </w:rPr>
      </w:pPr>
    </w:p>
    <w:sectPr>
      <w:footerReference r:id="rId6" w:type="default"/>
      <w:pgSz w:w="11906" w:h="16838"/>
      <w:pgMar w:top="1418" w:right="1021" w:bottom="1418" w:left="1531" w:header="851"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96520</wp:posOffset>
              </wp:positionV>
              <wp:extent cx="5943600" cy="0"/>
              <wp:effectExtent l="9525" t="10795" r="9525" b="82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7.6pt;height:0pt;width:468pt;z-index:251659264;mso-width-relative:page;mso-height-relative:page;" filled="f" stroked="t" coordsize="21600,21600" o:gfxdata="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j+N7Y0wAAAAYBAAAPAAAAAAAAAAEAIAAAACIAAABkcnMvZG93bnJl&#10;di54bWxQSwECFAAUAAAACACHTuJAx8gPDckBAABcAwAADgAAAAAAAAABACAAAAAiAQAAZHJzL2Uy&#10;b0RvYy54bWxQSwUGAAAAAAYABgBZAQAAXQUAAAAA&#10;">
              <v:fill on="f" focussize="0,0"/>
              <v:stroke color="#000000" joinstyle="round"/>
              <v:imagedata o:title=""/>
              <o:lock v:ext="edit" aspectratio="f"/>
            </v:line>
          </w:pict>
        </mc:Fallback>
      </mc:AlternateContent>
    </w:r>
  </w:p>
  <w:p>
    <w:pPr>
      <w:pStyle w:val="3"/>
      <w:jc w:val="center"/>
    </w:pPr>
    <w:r>
      <w:rPr>
        <w:rFonts w:hint="eastAsia"/>
      </w:rPr>
      <w:t>第</w:t>
    </w:r>
    <w:r>
      <w:fldChar w:fldCharType="begin"/>
    </w:r>
    <w:r>
      <w:instrText xml:space="preserve"> PAGE   \* MERGEFORMAT </w:instrText>
    </w:r>
    <w:r>
      <w:fldChar w:fldCharType="separate"/>
    </w:r>
    <w:r>
      <w:rPr>
        <w:lang w:val="zh-CN"/>
      </w:rPr>
      <w:t>9</w:t>
    </w:r>
    <w:r>
      <w:rPr>
        <w:lang w:val="zh-CN"/>
      </w:rPr>
      <w:fldChar w:fldCharType="end"/>
    </w:r>
    <w:r>
      <w:rPr>
        <w:rFonts w:hint="eastAsia"/>
      </w:rPr>
      <w:t>页共</w:t>
    </w:r>
    <w:r>
      <w:rPr>
        <w:rFonts w:hint="eastAsia"/>
        <w:lang w:val="en-US" w:eastAsia="zh-CN"/>
      </w:rPr>
      <w:t>14</w:t>
    </w:r>
    <w:r>
      <w:rPr>
        <w:rFonts w:hint="eastAsia"/>
      </w:rPr>
      <w:t>页</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u w:val="single"/>
      </w:rPr>
    </w:pPr>
    <w:r>
      <w:rPr>
        <w:rFonts w:hint="eastAsia"/>
        <w:u w:val="single"/>
      </w:rPr>
      <w:t>盘锦</w:t>
    </w:r>
    <w:r>
      <w:rPr>
        <w:rFonts w:hint="eastAsia"/>
        <w:u w:val="single"/>
        <w:lang w:eastAsia="zh-CN"/>
      </w:rPr>
      <w:t>博达</w:t>
    </w:r>
    <w:r>
      <w:rPr>
        <w:rFonts w:hint="eastAsia"/>
        <w:u w:val="single"/>
      </w:rPr>
      <w:t>房地产评估有限公司</w:t>
    </w:r>
    <w:r>
      <w:rPr>
        <w:u w:val="single"/>
      </w:rPr>
      <w:ptab w:relativeTo="margin" w:alignment="center" w:leader="none"/>
    </w:r>
    <w:r>
      <w:rPr>
        <w:u w:val="single"/>
      </w:rPr>
      <w:ptab w:relativeTo="margin" w:alignment="right" w:leader="none"/>
    </w:r>
    <w:r>
      <w:rPr>
        <w:rFonts w:hint="eastAsia"/>
        <w:b/>
        <w:bCs/>
        <w:i/>
        <w:iCs/>
        <w:u w:val="single"/>
      </w:rPr>
      <w:t>《房地产估价报告》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tabs>
        <w:tab w:val="left" w:pos="3804"/>
      </w:tabs>
      <w:ind w:right="954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C3CA5"/>
    <w:multiLevelType w:val="multilevel"/>
    <w:tmpl w:val="54DC3CA5"/>
    <w:lvl w:ilvl="0" w:tentative="0">
      <w:start w:val="1"/>
      <w:numFmt w:val="japaneseCounting"/>
      <w:lvlText w:val="%1、"/>
      <w:lvlJc w:val="left"/>
      <w:pPr>
        <w:tabs>
          <w:tab w:val="left" w:pos="1264"/>
        </w:tabs>
        <w:ind w:left="1264" w:hanging="720"/>
      </w:pPr>
      <w:rPr>
        <w:rFonts w:hint="eastAsia"/>
        <w:b/>
        <w:bCs/>
      </w:rPr>
    </w:lvl>
    <w:lvl w:ilvl="1" w:tentative="0">
      <w:start w:val="1"/>
      <w:numFmt w:val="lowerLetter"/>
      <w:lvlText w:val="%2)"/>
      <w:lvlJc w:val="left"/>
      <w:pPr>
        <w:tabs>
          <w:tab w:val="left" w:pos="1384"/>
        </w:tabs>
        <w:ind w:left="1384" w:hanging="420"/>
      </w:pPr>
    </w:lvl>
    <w:lvl w:ilvl="2" w:tentative="0">
      <w:start w:val="1"/>
      <w:numFmt w:val="lowerRoman"/>
      <w:lvlText w:val="%3."/>
      <w:lvlJc w:val="right"/>
      <w:pPr>
        <w:tabs>
          <w:tab w:val="left" w:pos="1804"/>
        </w:tabs>
        <w:ind w:left="1804" w:hanging="420"/>
      </w:pPr>
    </w:lvl>
    <w:lvl w:ilvl="3" w:tentative="0">
      <w:start w:val="1"/>
      <w:numFmt w:val="decimal"/>
      <w:lvlText w:val="%4."/>
      <w:lvlJc w:val="left"/>
      <w:pPr>
        <w:tabs>
          <w:tab w:val="left" w:pos="2224"/>
        </w:tabs>
        <w:ind w:left="2224" w:hanging="420"/>
      </w:pPr>
    </w:lvl>
    <w:lvl w:ilvl="4" w:tentative="0">
      <w:start w:val="1"/>
      <w:numFmt w:val="lowerLetter"/>
      <w:lvlText w:val="%5)"/>
      <w:lvlJc w:val="left"/>
      <w:pPr>
        <w:tabs>
          <w:tab w:val="left" w:pos="2644"/>
        </w:tabs>
        <w:ind w:left="2644" w:hanging="420"/>
      </w:pPr>
    </w:lvl>
    <w:lvl w:ilvl="5" w:tentative="0">
      <w:start w:val="1"/>
      <w:numFmt w:val="lowerRoman"/>
      <w:lvlText w:val="%6."/>
      <w:lvlJc w:val="right"/>
      <w:pPr>
        <w:tabs>
          <w:tab w:val="left" w:pos="3064"/>
        </w:tabs>
        <w:ind w:left="3064" w:hanging="420"/>
      </w:pPr>
    </w:lvl>
    <w:lvl w:ilvl="6" w:tentative="0">
      <w:start w:val="1"/>
      <w:numFmt w:val="decimal"/>
      <w:lvlText w:val="%7."/>
      <w:lvlJc w:val="left"/>
      <w:pPr>
        <w:tabs>
          <w:tab w:val="left" w:pos="3484"/>
        </w:tabs>
        <w:ind w:left="3484" w:hanging="420"/>
      </w:pPr>
    </w:lvl>
    <w:lvl w:ilvl="7" w:tentative="0">
      <w:start w:val="1"/>
      <w:numFmt w:val="lowerLetter"/>
      <w:lvlText w:val="%8)"/>
      <w:lvlJc w:val="left"/>
      <w:pPr>
        <w:tabs>
          <w:tab w:val="left" w:pos="3904"/>
        </w:tabs>
        <w:ind w:left="3904" w:hanging="420"/>
      </w:pPr>
    </w:lvl>
    <w:lvl w:ilvl="8" w:tentative="0">
      <w:start w:val="1"/>
      <w:numFmt w:val="lowerRoman"/>
      <w:lvlText w:val="%9."/>
      <w:lvlJc w:val="right"/>
      <w:pPr>
        <w:tabs>
          <w:tab w:val="left" w:pos="4324"/>
        </w:tabs>
        <w:ind w:left="43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3MGNiZDc1ZmViYmZjMTc2YWFiMzU0OGM0NDBjMDUifQ=="/>
  </w:docVars>
  <w:rsids>
    <w:rsidRoot w:val="00114E7A"/>
    <w:rsid w:val="00114E7A"/>
    <w:rsid w:val="006664F2"/>
    <w:rsid w:val="05691032"/>
    <w:rsid w:val="08F13380"/>
    <w:rsid w:val="0A652A31"/>
    <w:rsid w:val="0B2F02B4"/>
    <w:rsid w:val="0B923FFE"/>
    <w:rsid w:val="0C021422"/>
    <w:rsid w:val="0FD67999"/>
    <w:rsid w:val="13C96DC4"/>
    <w:rsid w:val="187059F9"/>
    <w:rsid w:val="18862CCE"/>
    <w:rsid w:val="215E71F1"/>
    <w:rsid w:val="23F15E64"/>
    <w:rsid w:val="24DB7D4E"/>
    <w:rsid w:val="29476DBA"/>
    <w:rsid w:val="297A25F9"/>
    <w:rsid w:val="2DF10263"/>
    <w:rsid w:val="303C2302"/>
    <w:rsid w:val="305B1BB7"/>
    <w:rsid w:val="31EB72E2"/>
    <w:rsid w:val="322251DA"/>
    <w:rsid w:val="33066CC1"/>
    <w:rsid w:val="3323352F"/>
    <w:rsid w:val="34794D57"/>
    <w:rsid w:val="34864FA4"/>
    <w:rsid w:val="34C94ABC"/>
    <w:rsid w:val="351C45C8"/>
    <w:rsid w:val="376C00F7"/>
    <w:rsid w:val="38D8078D"/>
    <w:rsid w:val="39620854"/>
    <w:rsid w:val="3D381CC7"/>
    <w:rsid w:val="3D424A38"/>
    <w:rsid w:val="409161CE"/>
    <w:rsid w:val="40BF54B6"/>
    <w:rsid w:val="41C303BC"/>
    <w:rsid w:val="45615072"/>
    <w:rsid w:val="4839055F"/>
    <w:rsid w:val="4B1C1E4F"/>
    <w:rsid w:val="4B86492B"/>
    <w:rsid w:val="50683630"/>
    <w:rsid w:val="519E0F88"/>
    <w:rsid w:val="5450509A"/>
    <w:rsid w:val="55FF6008"/>
    <w:rsid w:val="5D973DF5"/>
    <w:rsid w:val="5DFE20F6"/>
    <w:rsid w:val="60DB565B"/>
    <w:rsid w:val="63E636A7"/>
    <w:rsid w:val="658630FD"/>
    <w:rsid w:val="674B678C"/>
    <w:rsid w:val="676D68B5"/>
    <w:rsid w:val="68E34597"/>
    <w:rsid w:val="694F4326"/>
    <w:rsid w:val="695E2FED"/>
    <w:rsid w:val="6A470981"/>
    <w:rsid w:val="6ED30539"/>
    <w:rsid w:val="70736BF6"/>
    <w:rsid w:val="70ED07C7"/>
    <w:rsid w:val="71B700A1"/>
    <w:rsid w:val="76A65685"/>
    <w:rsid w:val="788509BD"/>
    <w:rsid w:val="7BFE5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table" w:customStyle="1" w:styleId="10">
    <w:name w:val="网格型1"/>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8649</Words>
  <Characters>11289</Characters>
  <Lines>46</Lines>
  <Paragraphs>13</Paragraphs>
  <TotalTime>0</TotalTime>
  <ScaleCrop>false</ScaleCrop>
  <LinksUpToDate>false</LinksUpToDate>
  <CharactersWithSpaces>11611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2022-02-18T07:57:00Z</dcterms:created>
  <dc:creator>冮殿雄</dc:creator>
  <cp:lastModifiedBy>Administrator</cp:lastModifiedBy>
  <cp:lastPrinted>2022-06-08T07:05:00Z</cp:lastPrinted>
  <dcterms:modified xsi:type="dcterms:W3CDTF">2022-06-21T01:06:03Z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A699AAA72A1549DB9BEAA619C764F4F2</vt:lpwstr>
  </property>
</Properties>
</file>