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snapToGrid w:val="0"/>
        <w:spacing w:before="120" w:beforeLines="50" w:afterLines="0" w:line="360" w:lineRule="auto"/>
        <w:rPr>
          <w:sz w:val="10"/>
          <w:szCs w:val="10"/>
        </w:rPr>
      </w:pPr>
    </w:p>
    <w:p>
      <w:pPr>
        <w:pStyle w:val="31"/>
        <w:snapToGrid w:val="0"/>
        <w:spacing w:before="120" w:beforeLines="50" w:afterLines="0" w:line="360" w:lineRule="auto"/>
      </w:pPr>
    </w:p>
    <w:p>
      <w:pPr>
        <w:adjustRightInd/>
        <w:spacing w:line="480" w:lineRule="auto"/>
        <w:jc w:val="center"/>
        <w:textAlignment w:val="auto"/>
        <w:rPr>
          <w:rFonts w:ascii="宋体" w:hAnsi="宋体"/>
          <w:b/>
          <w:kern w:val="2"/>
          <w:sz w:val="44"/>
          <w:szCs w:val="24"/>
        </w:rPr>
      </w:pPr>
      <w:bookmarkStart w:id="0" w:name="_Toc94523114"/>
      <w:bookmarkStart w:id="1" w:name="_Toc176599971"/>
      <w:bookmarkStart w:id="2" w:name="_Toc94523052"/>
      <w:bookmarkStart w:id="3" w:name="_Toc94523118"/>
      <w:bookmarkStart w:id="4" w:name="_Toc94523056"/>
      <w:r>
        <w:rPr>
          <w:rFonts w:hint="eastAsia" w:ascii="宋体" w:hAnsi="宋体"/>
          <w:b/>
          <w:kern w:val="2"/>
          <w:sz w:val="44"/>
          <w:szCs w:val="24"/>
        </w:rPr>
        <w:t>涉执</w:t>
      </w:r>
      <w:r>
        <w:rPr>
          <w:rFonts w:ascii="宋体" w:hAnsi="宋体"/>
          <w:b/>
          <w:kern w:val="2"/>
          <w:sz w:val="44"/>
          <w:szCs w:val="24"/>
        </w:rPr>
        <w:t>房地产</w:t>
      </w:r>
      <w:r>
        <w:rPr>
          <w:rFonts w:hint="eastAsia" w:ascii="宋体" w:hAnsi="宋体"/>
          <w:b/>
          <w:kern w:val="2"/>
          <w:sz w:val="44"/>
          <w:szCs w:val="24"/>
        </w:rPr>
        <w:t>处置司法评估</w:t>
      </w:r>
      <w:r>
        <w:rPr>
          <w:rFonts w:ascii="宋体" w:hAnsi="宋体"/>
          <w:b/>
          <w:kern w:val="2"/>
          <w:sz w:val="44"/>
          <w:szCs w:val="24"/>
        </w:rPr>
        <w:t>报告</w:t>
      </w:r>
    </w:p>
    <w:p>
      <w:pPr>
        <w:pStyle w:val="31"/>
        <w:snapToGrid w:val="0"/>
        <w:spacing w:before="120" w:beforeLines="50" w:afterLines="0" w:line="360" w:lineRule="auto"/>
        <w:rPr>
          <w:rFonts w:eastAsia="楷体_GB2312"/>
          <w:spacing w:val="100"/>
          <w:sz w:val="52"/>
          <w:szCs w:val="52"/>
        </w:rPr>
      </w:pPr>
    </w:p>
    <w:p>
      <w:pPr>
        <w:pStyle w:val="31"/>
        <w:tabs>
          <w:tab w:val="left" w:pos="2928"/>
        </w:tabs>
        <w:snapToGrid w:val="0"/>
        <w:spacing w:before="50" w:afterLines="0" w:line="360" w:lineRule="auto"/>
        <w:ind w:left="2088" w:leftChars="76" w:hanging="1928" w:hangingChars="600"/>
        <w:jc w:val="both"/>
        <w:rPr>
          <w:rFonts w:eastAsia="楷体_GB2312"/>
          <w:sz w:val="32"/>
          <w:szCs w:val="32"/>
        </w:rPr>
      </w:pPr>
      <w:r>
        <w:rPr>
          <w:rFonts w:eastAsia="楷体_GB2312"/>
          <w:sz w:val="32"/>
          <w:szCs w:val="32"/>
        </w:rPr>
        <w:tab/>
      </w:r>
      <w:r>
        <w:rPr>
          <w:rFonts w:eastAsia="楷体_GB2312"/>
          <w:sz w:val="32"/>
          <w:szCs w:val="32"/>
        </w:rPr>
        <w:tab/>
      </w:r>
    </w:p>
    <w:p>
      <w:pPr>
        <w:pStyle w:val="31"/>
        <w:tabs>
          <w:tab w:val="left" w:pos="2928"/>
        </w:tabs>
        <w:snapToGrid w:val="0"/>
        <w:spacing w:before="50" w:afterLines="0" w:line="360" w:lineRule="auto"/>
        <w:ind w:left="2088" w:leftChars="76" w:hanging="1928" w:hangingChars="600"/>
        <w:jc w:val="both"/>
        <w:rPr>
          <w:rFonts w:eastAsia="楷体_GB2312"/>
          <w:sz w:val="32"/>
          <w:szCs w:val="32"/>
        </w:rPr>
      </w:pPr>
    </w:p>
    <w:p>
      <w:pPr>
        <w:pStyle w:val="31"/>
        <w:tabs>
          <w:tab w:val="left" w:pos="2928"/>
        </w:tabs>
        <w:snapToGrid w:val="0"/>
        <w:spacing w:before="50" w:afterLines="0" w:line="360" w:lineRule="auto"/>
        <w:ind w:left="2088" w:leftChars="76" w:hanging="1928" w:hangingChars="600"/>
        <w:jc w:val="both"/>
        <w:rPr>
          <w:rFonts w:eastAsia="楷体_GB2312"/>
          <w:sz w:val="32"/>
          <w:szCs w:val="32"/>
        </w:rPr>
      </w:pPr>
    </w:p>
    <w:p>
      <w:pPr>
        <w:pStyle w:val="31"/>
        <w:tabs>
          <w:tab w:val="left" w:pos="2928"/>
        </w:tabs>
        <w:snapToGrid w:val="0"/>
        <w:spacing w:before="50" w:afterLines="0" w:line="360" w:lineRule="auto"/>
        <w:ind w:left="2088" w:leftChars="76" w:hanging="1928" w:hangingChars="600"/>
        <w:jc w:val="both"/>
        <w:rPr>
          <w:rFonts w:eastAsia="楷体_GB2312"/>
          <w:sz w:val="32"/>
          <w:szCs w:val="32"/>
        </w:rPr>
      </w:pPr>
    </w:p>
    <w:p>
      <w:pPr>
        <w:pStyle w:val="31"/>
        <w:tabs>
          <w:tab w:val="left" w:pos="2928"/>
        </w:tabs>
        <w:snapToGrid w:val="0"/>
        <w:spacing w:before="50" w:afterLines="0" w:line="360" w:lineRule="auto"/>
        <w:ind w:left="2088" w:leftChars="76" w:hanging="1928" w:hangingChars="600"/>
        <w:jc w:val="both"/>
        <w:rPr>
          <w:rFonts w:eastAsia="楷体_GB2312"/>
          <w:sz w:val="32"/>
          <w:szCs w:val="32"/>
        </w:rPr>
      </w:pPr>
    </w:p>
    <w:p>
      <w:pPr>
        <w:pStyle w:val="31"/>
        <w:snapToGrid w:val="0"/>
        <w:spacing w:before="50" w:afterLines="0" w:line="360" w:lineRule="auto"/>
        <w:ind w:left="2354" w:leftChars="50" w:hanging="2249" w:hangingChars="700"/>
        <w:jc w:val="both"/>
        <w:rPr>
          <w:rFonts w:eastAsia="楷体_GB2312"/>
          <w:b w:val="0"/>
          <w:sz w:val="32"/>
          <w:szCs w:val="32"/>
        </w:rPr>
      </w:pPr>
      <w:r>
        <w:rPr>
          <w:rFonts w:eastAsia="楷体_GB2312"/>
          <w:sz w:val="32"/>
          <w:szCs w:val="32"/>
        </w:rPr>
        <w:t>估价项目名称：</w:t>
      </w:r>
      <w:r>
        <w:rPr>
          <w:rFonts w:hint="eastAsia" w:eastAsia="楷体_GB2312"/>
          <w:b w:val="0"/>
          <w:sz w:val="32"/>
          <w:szCs w:val="32"/>
        </w:rPr>
        <w:t>大石桥市</w:t>
      </w:r>
      <w:r>
        <w:rPr>
          <w:rFonts w:hint="eastAsia" w:eastAsia="楷体_GB2312"/>
          <w:b w:val="0"/>
          <w:sz w:val="32"/>
          <w:szCs w:val="32"/>
          <w:lang w:eastAsia="zh-CN"/>
        </w:rPr>
        <w:t>盘龙街龙山里（1#楼1单元301室）</w:t>
      </w:r>
      <w:r>
        <w:rPr>
          <w:rFonts w:hint="eastAsia" w:eastAsia="楷体_GB2312"/>
          <w:b w:val="0"/>
          <w:sz w:val="32"/>
          <w:szCs w:val="32"/>
        </w:rPr>
        <w:t>涉执房地产处置市场价值</w:t>
      </w:r>
      <w:r>
        <w:rPr>
          <w:rFonts w:eastAsia="楷体_GB2312"/>
          <w:b w:val="0"/>
          <w:sz w:val="32"/>
          <w:szCs w:val="32"/>
        </w:rPr>
        <w:t>评估</w:t>
      </w:r>
    </w:p>
    <w:p>
      <w:pPr>
        <w:spacing w:before="50" w:line="360" w:lineRule="auto"/>
        <w:ind w:left="105" w:leftChars="50"/>
        <w:rPr>
          <w:rFonts w:eastAsia="楷体_GB2312"/>
          <w:sz w:val="32"/>
          <w:szCs w:val="32"/>
        </w:rPr>
      </w:pPr>
      <w:r>
        <w:rPr>
          <w:rFonts w:eastAsia="楷体_GB2312"/>
          <w:b/>
          <w:sz w:val="32"/>
          <w:szCs w:val="32"/>
        </w:rPr>
        <w:t>估价委托人：</w:t>
      </w:r>
      <w:r>
        <w:rPr>
          <w:rFonts w:hint="eastAsia" w:eastAsia="楷体_GB2312"/>
          <w:sz w:val="32"/>
          <w:szCs w:val="32"/>
        </w:rPr>
        <w:t>营口市站前区人民法院</w:t>
      </w:r>
    </w:p>
    <w:p>
      <w:pPr>
        <w:spacing w:before="50" w:line="360" w:lineRule="auto"/>
        <w:ind w:left="105" w:leftChars="50"/>
        <w:rPr>
          <w:rFonts w:eastAsia="楷体_GB2312"/>
          <w:sz w:val="32"/>
          <w:szCs w:val="32"/>
        </w:rPr>
      </w:pPr>
      <w:r>
        <w:rPr>
          <w:rFonts w:eastAsia="楷体_GB2312"/>
          <w:b/>
          <w:sz w:val="32"/>
          <w:szCs w:val="32"/>
        </w:rPr>
        <w:t>估价机构：</w:t>
      </w:r>
      <w:r>
        <w:rPr>
          <w:rFonts w:hint="eastAsia" w:eastAsia="楷体_GB2312"/>
          <w:sz w:val="32"/>
          <w:szCs w:val="32"/>
        </w:rPr>
        <w:t>辽宁荣邦房地产土地资产评估有限公司</w:t>
      </w:r>
    </w:p>
    <w:p>
      <w:pPr>
        <w:spacing w:before="50" w:line="360" w:lineRule="auto"/>
        <w:ind w:left="105" w:leftChars="50"/>
        <w:rPr>
          <w:rFonts w:eastAsia="楷体_GB2312"/>
          <w:b/>
          <w:sz w:val="32"/>
          <w:szCs w:val="32"/>
        </w:rPr>
      </w:pPr>
      <w:r>
        <w:rPr>
          <w:rFonts w:eastAsia="楷体_GB2312"/>
          <w:b/>
          <w:sz w:val="32"/>
          <w:szCs w:val="32"/>
        </w:rPr>
        <w:t>注册房地产估价师：</w:t>
      </w:r>
      <w:r>
        <w:rPr>
          <w:rFonts w:hint="eastAsia" w:eastAsia="楷体_GB2312"/>
          <w:sz w:val="32"/>
          <w:szCs w:val="32"/>
        </w:rPr>
        <w:t>王营(注册号：2120150056)</w:t>
      </w:r>
    </w:p>
    <w:p>
      <w:pPr>
        <w:tabs>
          <w:tab w:val="left" w:pos="7655"/>
        </w:tabs>
        <w:spacing w:before="50" w:line="360" w:lineRule="auto"/>
        <w:ind w:left="105" w:leftChars="50" w:firstLine="2880" w:firstLineChars="900"/>
        <w:rPr>
          <w:rFonts w:eastAsia="楷体_GB2312"/>
          <w:sz w:val="32"/>
          <w:szCs w:val="32"/>
        </w:rPr>
      </w:pPr>
      <w:r>
        <w:rPr>
          <w:rFonts w:hint="eastAsia" w:eastAsia="楷体_GB2312"/>
          <w:sz w:val="32"/>
          <w:szCs w:val="32"/>
        </w:rPr>
        <w:t xml:space="preserve">王翊(注册号：2120150034) </w:t>
      </w:r>
      <w:r>
        <w:rPr>
          <w:rFonts w:hint="eastAsia" w:eastAsia="楷体_GB2312"/>
          <w:sz w:val="32"/>
          <w:szCs w:val="32"/>
        </w:rPr>
        <w:tab/>
      </w:r>
      <w:r>
        <w:rPr>
          <w:rFonts w:hint="eastAsia" w:eastAsia="楷体_GB2312"/>
          <w:sz w:val="32"/>
          <w:szCs w:val="32"/>
        </w:rPr>
        <w:tab/>
      </w:r>
    </w:p>
    <w:p>
      <w:pPr>
        <w:spacing w:before="50" w:line="360" w:lineRule="auto"/>
        <w:ind w:left="105" w:leftChars="50"/>
        <w:rPr>
          <w:rFonts w:eastAsia="楷体_GB2312"/>
          <w:spacing w:val="-18"/>
          <w:sz w:val="32"/>
          <w:szCs w:val="32"/>
        </w:rPr>
      </w:pPr>
      <w:r>
        <w:rPr>
          <w:rFonts w:eastAsia="楷体_GB2312"/>
          <w:b/>
          <w:sz w:val="32"/>
          <w:szCs w:val="32"/>
        </w:rPr>
        <w:t>估价报告出具日期：</w:t>
      </w:r>
      <w:r>
        <w:rPr>
          <w:rFonts w:hint="eastAsia" w:eastAsia="楷体_GB2312"/>
          <w:spacing w:val="-18"/>
          <w:sz w:val="32"/>
          <w:szCs w:val="32"/>
          <w:lang w:eastAsia="zh-CN"/>
        </w:rPr>
        <w:t>二〇二二年二月二十八日</w:t>
      </w:r>
    </w:p>
    <w:p>
      <w:pPr>
        <w:spacing w:before="50" w:line="360" w:lineRule="auto"/>
        <w:ind w:left="105" w:leftChars="50"/>
        <w:rPr>
          <w:rFonts w:eastAsia="楷体_GB2312"/>
          <w:b/>
          <w:sz w:val="10"/>
          <w:szCs w:val="10"/>
        </w:rPr>
      </w:pPr>
      <w:r>
        <w:rPr>
          <w:rFonts w:eastAsia="楷体_GB2312"/>
          <w:b/>
          <w:sz w:val="32"/>
          <w:szCs w:val="32"/>
        </w:rPr>
        <w:t>估价报告编号：</w:t>
      </w:r>
      <w:r>
        <w:rPr>
          <w:rFonts w:hint="eastAsia" w:eastAsia="楷体_GB2312"/>
          <w:sz w:val="32"/>
          <w:szCs w:val="32"/>
        </w:rPr>
        <w:t>辽荣房评报字[202</w:t>
      </w:r>
      <w:r>
        <w:rPr>
          <w:rFonts w:hint="eastAsia" w:eastAsia="楷体_GB2312"/>
          <w:sz w:val="32"/>
          <w:szCs w:val="32"/>
          <w:lang w:val="en-US" w:eastAsia="zh-CN"/>
        </w:rPr>
        <w:t>2</w:t>
      </w:r>
      <w:r>
        <w:rPr>
          <w:rFonts w:hint="eastAsia" w:eastAsia="楷体_GB2312"/>
          <w:sz w:val="32"/>
          <w:szCs w:val="32"/>
        </w:rPr>
        <w:t>]B</w:t>
      </w:r>
      <w:r>
        <w:rPr>
          <w:rFonts w:hint="eastAsia" w:eastAsia="楷体_GB2312"/>
          <w:color w:val="000000" w:themeColor="text1"/>
          <w:sz w:val="32"/>
          <w:szCs w:val="32"/>
        </w:rPr>
        <w:t>0</w:t>
      </w:r>
      <w:r>
        <w:rPr>
          <w:rFonts w:hint="eastAsia" w:eastAsia="楷体_GB2312"/>
          <w:color w:val="000000" w:themeColor="text1"/>
          <w:sz w:val="32"/>
          <w:szCs w:val="32"/>
          <w:lang w:val="en-US" w:eastAsia="zh-CN"/>
        </w:rPr>
        <w:t>26</w:t>
      </w:r>
      <w:r>
        <w:rPr>
          <w:rFonts w:hint="eastAsia" w:eastAsia="楷体_GB2312"/>
          <w:sz w:val="32"/>
          <w:szCs w:val="32"/>
        </w:rPr>
        <w:t>号</w:t>
      </w:r>
    </w:p>
    <w:bookmarkEnd w:id="0"/>
    <w:bookmarkEnd w:id="1"/>
    <w:bookmarkEnd w:id="2"/>
    <w:p>
      <w:pPr>
        <w:spacing w:before="50" w:line="360" w:lineRule="auto"/>
        <w:jc w:val="center"/>
        <w:rPr>
          <w:rFonts w:ascii="宋体" w:hAnsi="宋体"/>
          <w:b/>
          <w:sz w:val="36"/>
          <w:szCs w:val="36"/>
        </w:rPr>
      </w:pPr>
      <w:r>
        <w:rPr>
          <w:rFonts w:eastAsia="仿宋_GB2312"/>
          <w:b/>
          <w:sz w:val="28"/>
          <w:szCs w:val="28"/>
        </w:rPr>
        <w:br w:type="page"/>
      </w:r>
      <w:bookmarkStart w:id="5" w:name="_Toc527920371"/>
      <w:bookmarkStart w:id="6" w:name="_Toc265159668"/>
      <w:r>
        <w:rPr>
          <w:rFonts w:ascii="宋体" w:hAnsi="宋体"/>
          <w:b/>
          <w:sz w:val="36"/>
          <w:szCs w:val="36"/>
        </w:rPr>
        <w:t>致估价委托人函</w:t>
      </w:r>
      <w:bookmarkEnd w:id="5"/>
    </w:p>
    <w:p>
      <w:pPr>
        <w:pStyle w:val="11"/>
        <w:spacing w:before="50" w:line="360" w:lineRule="auto"/>
        <w:rPr>
          <w:rFonts w:ascii="仿宋" w:hAnsi="仿宋" w:eastAsia="仿宋" w:cs="仿宋"/>
          <w:b/>
          <w:bCs/>
          <w:spacing w:val="0"/>
          <w:szCs w:val="28"/>
        </w:rPr>
      </w:pPr>
      <w:r>
        <w:rPr>
          <w:rFonts w:hint="eastAsia" w:ascii="仿宋" w:hAnsi="仿宋" w:eastAsia="仿宋" w:cs="仿宋"/>
        </w:rPr>
        <w:t>营口市站前区人民法院</w:t>
      </w:r>
      <w:r>
        <w:rPr>
          <w:rFonts w:hint="eastAsia" w:ascii="仿宋" w:hAnsi="仿宋" w:eastAsia="仿宋" w:cs="仿宋"/>
          <w:b/>
          <w:spacing w:val="0"/>
          <w:szCs w:val="28"/>
        </w:rPr>
        <w:t>：</w:t>
      </w:r>
    </w:p>
    <w:p>
      <w:pPr>
        <w:snapToGrid w:val="0"/>
        <w:spacing w:line="360" w:lineRule="auto"/>
        <w:ind w:firstLine="560" w:firstLineChars="200"/>
        <w:rPr>
          <w:rFonts w:eastAsia="仿宋_GB2312"/>
          <w:sz w:val="28"/>
          <w:szCs w:val="28"/>
        </w:rPr>
      </w:pPr>
      <w:r>
        <w:rPr>
          <w:rFonts w:hint="eastAsia" w:eastAsia="仿宋_GB2312"/>
          <w:sz w:val="28"/>
          <w:szCs w:val="28"/>
        </w:rPr>
        <w:t>承</w:t>
      </w:r>
      <w:r>
        <w:rPr>
          <w:rFonts w:eastAsia="仿宋_GB2312"/>
          <w:sz w:val="28"/>
          <w:szCs w:val="28"/>
        </w:rPr>
        <w:t>蒙委托，本公司秉着独立、客观、公正、合法的原则，</w:t>
      </w:r>
      <w:r>
        <w:rPr>
          <w:rFonts w:hint="eastAsia" w:eastAsia="仿宋_GB2312"/>
          <w:sz w:val="28"/>
          <w:szCs w:val="28"/>
        </w:rPr>
        <w:t>对大石桥市</w:t>
      </w:r>
      <w:r>
        <w:rPr>
          <w:rFonts w:hint="eastAsia" w:eastAsia="仿宋_GB2312"/>
          <w:sz w:val="28"/>
          <w:szCs w:val="28"/>
          <w:lang w:eastAsia="zh-CN"/>
        </w:rPr>
        <w:t>盘龙街龙山里（1#楼1单元301室）</w:t>
      </w:r>
      <w:r>
        <w:rPr>
          <w:rFonts w:hint="eastAsia" w:eastAsia="仿宋_GB2312"/>
          <w:sz w:val="28"/>
          <w:szCs w:val="28"/>
        </w:rPr>
        <w:t>房地产的市场价值进行评估，情况如下：</w:t>
      </w:r>
    </w:p>
    <w:p>
      <w:pPr>
        <w:pStyle w:val="28"/>
        <w:snapToGrid w:val="0"/>
        <w:ind w:firstLine="560" w:firstLineChars="200"/>
        <w:rPr>
          <w:rFonts w:eastAsia="仿宋_GB2312"/>
          <w:szCs w:val="28"/>
          <w:highlight w:val="yellow"/>
        </w:rPr>
      </w:pPr>
      <w:r>
        <w:rPr>
          <w:rFonts w:hint="eastAsia" w:eastAsia="仿宋_GB2312"/>
          <w:szCs w:val="28"/>
        </w:rPr>
        <w:t>估价对象：大石桥市</w:t>
      </w:r>
      <w:r>
        <w:rPr>
          <w:rFonts w:hint="eastAsia" w:eastAsia="仿宋_GB2312"/>
          <w:szCs w:val="28"/>
          <w:lang w:eastAsia="zh-CN"/>
        </w:rPr>
        <w:t>盘龙街龙山里（1#楼1单元301室）</w:t>
      </w:r>
      <w:r>
        <w:rPr>
          <w:rFonts w:hint="eastAsia" w:eastAsia="仿宋_GB2312"/>
          <w:szCs w:val="28"/>
        </w:rPr>
        <w:t>房地产。</w:t>
      </w:r>
      <w:r>
        <w:rPr>
          <w:rFonts w:eastAsia="仿宋_GB2312"/>
          <w:szCs w:val="28"/>
        </w:rPr>
        <w:t>评估范围</w:t>
      </w:r>
      <w:r>
        <w:rPr>
          <w:rFonts w:hint="eastAsia" w:eastAsia="仿宋_GB2312"/>
          <w:szCs w:val="28"/>
        </w:rPr>
        <w:t>为一处住宅，</w:t>
      </w:r>
      <w:r>
        <w:rPr>
          <w:rFonts w:eastAsia="仿宋_GB2312"/>
          <w:szCs w:val="28"/>
        </w:rPr>
        <w:t>建筑面积</w:t>
      </w:r>
      <w:r>
        <w:rPr>
          <w:rFonts w:hint="eastAsia" w:eastAsia="仿宋_GB2312"/>
          <w:szCs w:val="28"/>
          <w:lang w:eastAsia="zh-CN"/>
        </w:rPr>
        <w:t>63.91</w:t>
      </w:r>
      <w:r>
        <w:rPr>
          <w:rFonts w:hint="eastAsia" w:eastAsia="仿宋_GB2312"/>
          <w:szCs w:val="28"/>
        </w:rPr>
        <w:t>平方米</w:t>
      </w:r>
      <w:r>
        <w:rPr>
          <w:rFonts w:eastAsia="仿宋_GB2312"/>
          <w:szCs w:val="28"/>
        </w:rPr>
        <w:t>，</w:t>
      </w:r>
      <w:r>
        <w:rPr>
          <w:rFonts w:hint="eastAsia" w:eastAsia="仿宋_GB2312"/>
          <w:szCs w:val="28"/>
        </w:rPr>
        <w:t>所有权人为付宇东，房屋规划用途为住宅</w:t>
      </w:r>
      <w:r>
        <w:rPr>
          <w:rFonts w:eastAsia="仿宋_GB2312"/>
          <w:szCs w:val="28"/>
        </w:rPr>
        <w:t>。</w:t>
      </w:r>
    </w:p>
    <w:p>
      <w:pPr>
        <w:spacing w:line="360" w:lineRule="auto"/>
        <w:ind w:firstLine="560" w:firstLineChars="200"/>
        <w:rPr>
          <w:rFonts w:eastAsia="仿宋_GB2312"/>
          <w:sz w:val="28"/>
          <w:szCs w:val="28"/>
        </w:rPr>
      </w:pPr>
      <w:r>
        <w:rPr>
          <w:rFonts w:hint="eastAsia" w:eastAsia="仿宋_GB2312"/>
          <w:sz w:val="28"/>
          <w:szCs w:val="28"/>
        </w:rPr>
        <w:t>估价目的</w:t>
      </w:r>
      <w:r>
        <w:rPr>
          <w:rFonts w:hint="eastAsia" w:eastAsia="仿宋_GB2312"/>
          <w:szCs w:val="28"/>
        </w:rPr>
        <w:t>：</w:t>
      </w:r>
      <w:r>
        <w:rPr>
          <w:rFonts w:hint="eastAsia" w:eastAsia="仿宋_GB2312"/>
          <w:sz w:val="28"/>
          <w:szCs w:val="28"/>
        </w:rPr>
        <w:t>为人民法院确定财产处置参考价提供参考依据。</w:t>
      </w:r>
    </w:p>
    <w:p>
      <w:pPr>
        <w:pStyle w:val="28"/>
        <w:snapToGrid w:val="0"/>
        <w:ind w:firstLine="560" w:firstLineChars="200"/>
        <w:rPr>
          <w:rFonts w:eastAsia="仿宋_GB2312"/>
          <w:szCs w:val="28"/>
        </w:rPr>
      </w:pPr>
      <w:r>
        <w:rPr>
          <w:rFonts w:hint="eastAsia" w:eastAsia="仿宋_GB2312"/>
          <w:szCs w:val="28"/>
        </w:rPr>
        <w:t>价值时点：</w:t>
      </w:r>
      <w:r>
        <w:rPr>
          <w:rFonts w:hint="eastAsia" w:eastAsia="仿宋_GB2312"/>
          <w:lang w:eastAsia="zh-CN"/>
        </w:rPr>
        <w:t>2022年2月21</w:t>
      </w:r>
      <w:r>
        <w:rPr>
          <w:rFonts w:hint="eastAsia" w:eastAsia="仿宋_GB2312"/>
        </w:rPr>
        <w:t>日</w:t>
      </w:r>
    </w:p>
    <w:p>
      <w:pPr>
        <w:pStyle w:val="28"/>
        <w:snapToGrid w:val="0"/>
        <w:ind w:firstLine="560" w:firstLineChars="200"/>
        <w:rPr>
          <w:rFonts w:eastAsia="仿宋_GB2312"/>
          <w:szCs w:val="28"/>
        </w:rPr>
      </w:pPr>
      <w:r>
        <w:rPr>
          <w:rFonts w:hint="eastAsia" w:eastAsia="仿宋_GB2312"/>
          <w:szCs w:val="28"/>
        </w:rPr>
        <w:t>价值类型：市场价值</w:t>
      </w:r>
    </w:p>
    <w:p>
      <w:pPr>
        <w:pStyle w:val="28"/>
        <w:snapToGrid w:val="0"/>
        <w:ind w:firstLine="560" w:firstLineChars="200"/>
        <w:rPr>
          <w:rFonts w:eastAsia="仿宋_GB2312"/>
          <w:szCs w:val="28"/>
        </w:rPr>
      </w:pPr>
      <w:r>
        <w:rPr>
          <w:rFonts w:hint="eastAsia" w:eastAsia="仿宋_GB2312"/>
          <w:szCs w:val="28"/>
        </w:rPr>
        <w:t>估价方法：比较法。</w:t>
      </w:r>
    </w:p>
    <w:p>
      <w:pPr>
        <w:pStyle w:val="28"/>
        <w:snapToGrid w:val="0"/>
        <w:ind w:firstLine="560" w:firstLineChars="200"/>
        <w:rPr>
          <w:rFonts w:eastAsia="仿宋_GB2312"/>
          <w:szCs w:val="28"/>
        </w:rPr>
      </w:pPr>
      <w:r>
        <w:rPr>
          <w:rFonts w:hint="eastAsia" w:eastAsia="仿宋_GB2312"/>
          <w:szCs w:val="28"/>
        </w:rPr>
        <w:t>估价结果：</w:t>
      </w:r>
      <w:bookmarkStart w:id="7" w:name="估价结果"/>
      <w:r>
        <w:rPr>
          <w:rFonts w:hint="eastAsia" w:eastAsia="仿宋_GB2312"/>
          <w:szCs w:val="28"/>
        </w:rPr>
        <w:t>我</w:t>
      </w:r>
      <w:r>
        <w:rPr>
          <w:rFonts w:eastAsia="仿宋_GB2312"/>
          <w:szCs w:val="28"/>
        </w:rPr>
        <w:t>公司依据国家、省、市地方等的有关政策、法律法规文件及估价委托人提供的相关资料，严格按照估价规范规定的原则和程序，实地查勘，搜集相关资料，认真分析，对影响房地产价值的各种因素进行评估，确定</w:t>
      </w:r>
      <w:r>
        <w:rPr>
          <w:rFonts w:hint="eastAsia" w:eastAsia="仿宋_GB2312"/>
          <w:szCs w:val="28"/>
        </w:rPr>
        <w:t>大石桥市</w:t>
      </w:r>
      <w:r>
        <w:rPr>
          <w:rFonts w:hint="eastAsia" w:eastAsia="仿宋_GB2312"/>
          <w:szCs w:val="28"/>
          <w:lang w:eastAsia="zh-CN"/>
        </w:rPr>
        <w:t>盘龙街龙山里（1#楼1单元301室）</w:t>
      </w:r>
      <w:r>
        <w:rPr>
          <w:rFonts w:hint="eastAsia" w:eastAsia="仿宋_GB2312"/>
          <w:szCs w:val="28"/>
        </w:rPr>
        <w:t>，计价建筑面积</w:t>
      </w:r>
      <w:r>
        <w:rPr>
          <w:rFonts w:hint="eastAsia" w:eastAsia="仿宋_GB2312"/>
          <w:szCs w:val="28"/>
          <w:lang w:eastAsia="zh-CN"/>
        </w:rPr>
        <w:t>63.91</w:t>
      </w:r>
      <w:r>
        <w:rPr>
          <w:rFonts w:hint="eastAsia" w:eastAsia="仿宋_GB2312"/>
          <w:szCs w:val="28"/>
        </w:rPr>
        <w:t>平方米住宅用途房地产</w:t>
      </w:r>
      <w:r>
        <w:rPr>
          <w:rFonts w:eastAsia="仿宋_GB2312"/>
          <w:szCs w:val="28"/>
        </w:rPr>
        <w:t>在</w:t>
      </w:r>
      <w:r>
        <w:rPr>
          <w:rFonts w:hint="eastAsia" w:eastAsia="仿宋_GB2312"/>
          <w:szCs w:val="28"/>
          <w:lang w:eastAsia="zh-CN"/>
        </w:rPr>
        <w:t>二〇二二年二月二十一日</w:t>
      </w:r>
      <w:r>
        <w:rPr>
          <w:rFonts w:eastAsia="仿宋_GB2312"/>
          <w:szCs w:val="28"/>
        </w:rPr>
        <w:t>（</w:t>
      </w:r>
      <w:r>
        <w:rPr>
          <w:rFonts w:hint="eastAsia" w:eastAsia="仿宋_GB2312"/>
          <w:szCs w:val="28"/>
        </w:rPr>
        <w:t>设定</w:t>
      </w:r>
      <w:r>
        <w:rPr>
          <w:rFonts w:eastAsia="仿宋_GB2312"/>
          <w:szCs w:val="28"/>
        </w:rPr>
        <w:t>价值时点）的</w:t>
      </w:r>
      <w:r>
        <w:rPr>
          <w:rFonts w:hint="eastAsia" w:eastAsia="仿宋_GB2312"/>
          <w:szCs w:val="28"/>
        </w:rPr>
        <w:t>房地产市场总价为人民币</w:t>
      </w:r>
      <w:r>
        <w:rPr>
          <w:rFonts w:hint="eastAsia" w:eastAsia="仿宋_GB2312"/>
          <w:szCs w:val="28"/>
          <w:lang w:eastAsia="zh-CN"/>
        </w:rPr>
        <w:t>贰拾叁万贰仟柒佰陆拾</w:t>
      </w:r>
      <w:r>
        <w:rPr>
          <w:rFonts w:eastAsia="仿宋_GB2312"/>
          <w:szCs w:val="28"/>
        </w:rPr>
        <w:t>元整（￥</w:t>
      </w:r>
      <w:r>
        <w:rPr>
          <w:rFonts w:hint="eastAsia" w:eastAsia="仿宋_GB2312"/>
          <w:szCs w:val="28"/>
          <w:lang w:eastAsia="zh-CN"/>
        </w:rPr>
        <w:t>232,760</w:t>
      </w:r>
      <w:r>
        <w:rPr>
          <w:rFonts w:eastAsia="仿宋_GB2312"/>
          <w:szCs w:val="28"/>
        </w:rPr>
        <w:t>元）</w:t>
      </w:r>
      <w:bookmarkEnd w:id="7"/>
      <w:r>
        <w:rPr>
          <w:rFonts w:hint="eastAsia" w:eastAsia="仿宋_GB2312"/>
          <w:szCs w:val="28"/>
        </w:rPr>
        <w:t>；单价为每平方米人民币</w:t>
      </w:r>
      <w:r>
        <w:rPr>
          <w:rFonts w:hint="eastAsia" w:eastAsia="仿宋_GB2312"/>
          <w:szCs w:val="28"/>
          <w:lang w:eastAsia="zh-CN"/>
        </w:rPr>
        <w:t>叁仟陆佰肆拾贰</w:t>
      </w:r>
      <w:r>
        <w:rPr>
          <w:rFonts w:hint="eastAsia" w:eastAsia="仿宋_GB2312"/>
          <w:szCs w:val="28"/>
        </w:rPr>
        <w:t>元整（</w:t>
      </w:r>
      <w:r>
        <w:rPr>
          <w:rFonts w:eastAsia="仿宋_GB2312"/>
          <w:szCs w:val="28"/>
        </w:rPr>
        <w:t>￥</w:t>
      </w:r>
      <w:r>
        <w:rPr>
          <w:rFonts w:hint="eastAsia" w:eastAsia="仿宋_GB2312"/>
          <w:szCs w:val="28"/>
          <w:lang w:eastAsia="zh-CN"/>
        </w:rPr>
        <w:t>3,642</w:t>
      </w:r>
      <w:r>
        <w:rPr>
          <w:rFonts w:hint="eastAsia" w:eastAsia="仿宋_GB2312"/>
          <w:szCs w:val="28"/>
        </w:rPr>
        <w:t>元/平方米）。</w:t>
      </w:r>
    </w:p>
    <w:p>
      <w:pPr>
        <w:pStyle w:val="17"/>
        <w:spacing w:line="500" w:lineRule="exact"/>
        <w:jc w:val="center"/>
        <w:textAlignment w:val="center"/>
        <w:rPr>
          <w:rFonts w:hAnsi="宋体"/>
          <w:b/>
          <w:sz w:val="28"/>
          <w:szCs w:val="28"/>
        </w:rPr>
      </w:pPr>
      <w:r>
        <w:rPr>
          <w:rFonts w:hint="eastAsia" w:hAnsi="宋体"/>
          <w:b/>
          <w:sz w:val="28"/>
          <w:szCs w:val="28"/>
        </w:rPr>
        <w:t>房地产估价结果明细表</w:t>
      </w:r>
    </w:p>
    <w:tbl>
      <w:tblPr>
        <w:tblStyle w:val="34"/>
        <w:tblW w:w="9526" w:type="dxa"/>
        <w:jc w:val="center"/>
        <w:tblLayout w:type="autofit"/>
        <w:tblCellMar>
          <w:top w:w="0" w:type="dxa"/>
          <w:left w:w="108" w:type="dxa"/>
          <w:bottom w:w="0" w:type="dxa"/>
          <w:right w:w="108" w:type="dxa"/>
        </w:tblCellMar>
      </w:tblPr>
      <w:tblGrid>
        <w:gridCol w:w="459"/>
        <w:gridCol w:w="907"/>
        <w:gridCol w:w="1691"/>
        <w:gridCol w:w="576"/>
        <w:gridCol w:w="1016"/>
        <w:gridCol w:w="939"/>
        <w:gridCol w:w="1275"/>
        <w:gridCol w:w="1065"/>
        <w:gridCol w:w="1560"/>
        <w:gridCol w:w="38"/>
      </w:tblGrid>
      <w:tr>
        <w:tblPrEx>
          <w:tblCellMar>
            <w:top w:w="0" w:type="dxa"/>
            <w:left w:w="108" w:type="dxa"/>
            <w:bottom w:w="0" w:type="dxa"/>
            <w:right w:w="108" w:type="dxa"/>
          </w:tblCellMar>
        </w:tblPrEx>
        <w:trPr>
          <w:trHeight w:val="606" w:hRule="exact"/>
          <w:jc w:val="center"/>
        </w:trPr>
        <w:tc>
          <w:tcPr>
            <w:tcW w:w="459" w:type="dxa"/>
            <w:vMerge w:val="restart"/>
            <w:tcBorders>
              <w:top w:val="single" w:color="auto" w:sz="4" w:space="0"/>
              <w:left w:val="single" w:color="auto" w:sz="4" w:space="0"/>
              <w:bottom w:val="single" w:color="auto" w:sz="4" w:space="0"/>
              <w:right w:val="nil"/>
            </w:tcBorders>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序号</w:t>
            </w:r>
          </w:p>
        </w:tc>
        <w:tc>
          <w:tcPr>
            <w:tcW w:w="9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所有</w:t>
            </w:r>
          </w:p>
          <w:p>
            <w:pPr>
              <w:widowControl/>
              <w:jc w:val="center"/>
              <w:rPr>
                <w:rFonts w:cs="宋体" w:asciiTheme="minorEastAsia" w:hAnsiTheme="minorEastAsia"/>
                <w:b/>
                <w:sz w:val="24"/>
                <w:szCs w:val="24"/>
              </w:rPr>
            </w:pPr>
            <w:r>
              <w:rPr>
                <w:rFonts w:hint="eastAsia" w:cs="宋体" w:asciiTheme="minorEastAsia" w:hAnsiTheme="minorEastAsia"/>
                <w:b/>
                <w:sz w:val="24"/>
                <w:szCs w:val="24"/>
              </w:rPr>
              <w:t>权人</w:t>
            </w:r>
          </w:p>
        </w:tc>
        <w:tc>
          <w:tcPr>
            <w:tcW w:w="1691"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项目名称</w:t>
            </w:r>
          </w:p>
        </w:tc>
        <w:tc>
          <w:tcPr>
            <w:tcW w:w="5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层数</w:t>
            </w:r>
          </w:p>
        </w:tc>
        <w:tc>
          <w:tcPr>
            <w:tcW w:w="10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r>
              <w:rPr>
                <w:rFonts w:hint="eastAsia" w:ascii="宋体" w:hAnsi="宋体" w:cs="宋体"/>
                <w:b/>
                <w:bCs/>
                <w:color w:val="000000"/>
                <w:sz w:val="24"/>
                <w:szCs w:val="24"/>
              </w:rPr>
              <w:t>结构</w:t>
            </w:r>
          </w:p>
        </w:tc>
        <w:tc>
          <w:tcPr>
            <w:tcW w:w="939" w:type="dxa"/>
            <w:vMerge w:val="restart"/>
            <w:tcBorders>
              <w:top w:val="single" w:color="auto" w:sz="4" w:space="0"/>
              <w:left w:val="single" w:color="auto" w:sz="4" w:space="0"/>
              <w:right w:val="single" w:color="auto" w:sz="4" w:space="0"/>
            </w:tcBorders>
            <w:shd w:val="clear" w:color="auto" w:fill="auto"/>
            <w:vAlign w:val="center"/>
          </w:tcPr>
          <w:p>
            <w:pPr>
              <w:widowControl/>
              <w:rPr>
                <w:rFonts w:cs="宋体" w:asciiTheme="minorEastAsia" w:hAnsiTheme="minorEastAsia"/>
                <w:b/>
                <w:sz w:val="24"/>
                <w:szCs w:val="24"/>
              </w:rPr>
            </w:pPr>
            <w:r>
              <w:rPr>
                <w:rFonts w:hint="eastAsia" w:cs="宋体" w:asciiTheme="minorEastAsia" w:hAnsiTheme="minorEastAsia"/>
                <w:b/>
                <w:sz w:val="24"/>
                <w:szCs w:val="24"/>
              </w:rPr>
              <w:t>建筑面积（㎡）</w:t>
            </w:r>
          </w:p>
        </w:tc>
        <w:tc>
          <w:tcPr>
            <w:tcW w:w="1275" w:type="dxa"/>
            <w:vMerge w:val="restart"/>
            <w:tcBorders>
              <w:top w:val="single" w:color="auto" w:sz="4" w:space="0"/>
              <w:left w:val="single" w:color="auto" w:sz="4" w:space="0"/>
              <w:right w:val="single" w:color="auto" w:sz="4" w:space="0"/>
            </w:tcBorders>
            <w:shd w:val="clear" w:color="auto" w:fill="auto"/>
            <w:noWrap/>
            <w:vAlign w:val="center"/>
          </w:tcPr>
          <w:p>
            <w:pPr>
              <w:jc w:val="center"/>
              <w:rPr>
                <w:rFonts w:cs="宋体" w:asciiTheme="minorEastAsia" w:hAnsiTheme="minorEastAsia"/>
                <w:b/>
                <w:sz w:val="24"/>
                <w:szCs w:val="24"/>
              </w:rPr>
            </w:pPr>
            <w:r>
              <w:rPr>
                <w:rFonts w:hint="eastAsia" w:cs="宋体" w:asciiTheme="minorEastAsia" w:hAnsiTheme="minorEastAsia"/>
                <w:b/>
                <w:sz w:val="24"/>
                <w:szCs w:val="24"/>
              </w:rPr>
              <w:t>评估方法</w:t>
            </w:r>
          </w:p>
        </w:tc>
        <w:tc>
          <w:tcPr>
            <w:tcW w:w="1065" w:type="dxa"/>
            <w:vMerge w:val="restart"/>
            <w:tcBorders>
              <w:top w:val="single" w:color="auto" w:sz="4" w:space="0"/>
              <w:left w:val="single" w:color="auto" w:sz="4" w:space="0"/>
              <w:right w:val="single" w:color="auto" w:sz="4" w:space="0"/>
            </w:tcBorders>
            <w:shd w:val="clear" w:color="auto" w:fill="auto"/>
            <w:vAlign w:val="center"/>
          </w:tcPr>
          <w:p>
            <w:pPr>
              <w:rPr>
                <w:rFonts w:cs="宋体" w:asciiTheme="minorEastAsia" w:hAnsiTheme="minorEastAsia"/>
                <w:b/>
                <w:sz w:val="24"/>
                <w:szCs w:val="24"/>
              </w:rPr>
            </w:pPr>
            <w:r>
              <w:rPr>
                <w:rFonts w:hint="eastAsia" w:ascii="宋体" w:hAnsi="宋体" w:cs="宋体"/>
                <w:b/>
                <w:bCs/>
                <w:color w:val="000000"/>
                <w:sz w:val="24"/>
                <w:szCs w:val="24"/>
              </w:rPr>
              <w:t>单价 (元/㎡)</w:t>
            </w:r>
          </w:p>
        </w:tc>
        <w:tc>
          <w:tcPr>
            <w:tcW w:w="1598" w:type="dxa"/>
            <w:gridSpan w:val="2"/>
            <w:tcBorders>
              <w:top w:val="single" w:color="auto" w:sz="4" w:space="0"/>
              <w:left w:val="single" w:color="auto" w:sz="4" w:space="0"/>
              <w:right w:val="single" w:color="auto" w:sz="4" w:space="0"/>
            </w:tcBorders>
            <w:shd w:val="clear" w:color="auto" w:fill="auto"/>
            <w:vAlign w:val="center"/>
          </w:tcPr>
          <w:p>
            <w:pPr>
              <w:jc w:val="center"/>
              <w:rPr>
                <w:rFonts w:cs="宋体" w:asciiTheme="minorEastAsia" w:hAnsiTheme="minorEastAsia"/>
                <w:b/>
                <w:sz w:val="24"/>
                <w:szCs w:val="24"/>
              </w:rPr>
            </w:pPr>
          </w:p>
          <w:p>
            <w:pPr>
              <w:jc w:val="center"/>
              <w:rPr>
                <w:rFonts w:cs="宋体" w:asciiTheme="minorEastAsia" w:hAnsiTheme="minorEastAsia"/>
                <w:b/>
                <w:sz w:val="24"/>
                <w:szCs w:val="24"/>
              </w:rPr>
            </w:pPr>
            <w:r>
              <w:rPr>
                <w:rFonts w:hint="eastAsia" w:cs="宋体" w:asciiTheme="minorEastAsia" w:hAnsiTheme="minorEastAsia"/>
                <w:b/>
                <w:sz w:val="24"/>
                <w:szCs w:val="24"/>
              </w:rPr>
              <w:t>评估总价</w:t>
            </w:r>
          </w:p>
        </w:tc>
      </w:tr>
      <w:tr>
        <w:tblPrEx>
          <w:tblCellMar>
            <w:top w:w="0" w:type="dxa"/>
            <w:left w:w="108" w:type="dxa"/>
            <w:bottom w:w="0" w:type="dxa"/>
            <w:right w:w="108" w:type="dxa"/>
          </w:tblCellMar>
        </w:tblPrEx>
        <w:trPr>
          <w:trHeight w:val="515" w:hRule="atLeast"/>
          <w:jc w:val="center"/>
        </w:trPr>
        <w:tc>
          <w:tcPr>
            <w:tcW w:w="459" w:type="dxa"/>
            <w:vMerge w:val="continue"/>
            <w:tcBorders>
              <w:top w:val="single" w:color="auto" w:sz="4" w:space="0"/>
              <w:left w:val="single" w:color="auto" w:sz="4" w:space="0"/>
              <w:bottom w:val="single" w:color="auto" w:sz="4" w:space="0"/>
              <w:right w:val="nil"/>
            </w:tcBorders>
            <w:shd w:val="clear" w:color="auto" w:fill="auto"/>
            <w:vAlign w:val="center"/>
          </w:tcPr>
          <w:p>
            <w:pPr>
              <w:widowControl/>
              <w:jc w:val="center"/>
              <w:rPr>
                <w:rFonts w:cs="宋体" w:asciiTheme="minorEastAsia" w:hAnsiTheme="minorEastAsia"/>
                <w:b/>
                <w:sz w:val="24"/>
                <w:szCs w:val="24"/>
              </w:rPr>
            </w:pPr>
          </w:p>
        </w:tc>
        <w:tc>
          <w:tcPr>
            <w:tcW w:w="9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p>
        </w:tc>
        <w:tc>
          <w:tcPr>
            <w:tcW w:w="169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p>
        </w:tc>
        <w:tc>
          <w:tcPr>
            <w:tcW w:w="5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p>
        </w:tc>
        <w:tc>
          <w:tcPr>
            <w:tcW w:w="10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p>
        </w:tc>
        <w:tc>
          <w:tcPr>
            <w:tcW w:w="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p>
        </w:tc>
        <w:tc>
          <w:tcPr>
            <w:tcW w:w="1275" w:type="dxa"/>
            <w:vMerge w:val="continue"/>
            <w:tcBorders>
              <w:left w:val="single" w:color="auto" w:sz="4" w:space="0"/>
              <w:bottom w:val="single" w:color="000000" w:sz="4" w:space="0"/>
              <w:right w:val="single" w:color="auto" w:sz="4" w:space="0"/>
            </w:tcBorders>
            <w:shd w:val="clear" w:color="auto" w:fill="auto"/>
            <w:noWrap/>
            <w:vAlign w:val="center"/>
          </w:tcPr>
          <w:p>
            <w:pPr>
              <w:jc w:val="center"/>
              <w:rPr>
                <w:rFonts w:cs="宋体" w:asciiTheme="minorEastAsia" w:hAnsiTheme="minorEastAsia"/>
                <w:b/>
                <w:sz w:val="24"/>
                <w:szCs w:val="24"/>
              </w:rPr>
            </w:pPr>
          </w:p>
        </w:tc>
        <w:tc>
          <w:tcPr>
            <w:tcW w:w="1065" w:type="dxa"/>
            <w:vMerge w:val="continue"/>
            <w:tcBorders>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b/>
                <w:sz w:val="24"/>
                <w:szCs w:val="24"/>
              </w:rPr>
            </w:pPr>
          </w:p>
        </w:tc>
        <w:tc>
          <w:tcPr>
            <w:tcW w:w="1598" w:type="dxa"/>
            <w:gridSpan w:val="2"/>
            <w:tcBorders>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b/>
                <w:sz w:val="24"/>
                <w:szCs w:val="24"/>
              </w:rPr>
            </w:pPr>
            <w:r>
              <w:rPr>
                <w:rFonts w:hint="eastAsia" w:cs="宋体" w:asciiTheme="minorEastAsia" w:hAnsiTheme="minorEastAsia"/>
                <w:b/>
                <w:sz w:val="24"/>
                <w:szCs w:val="24"/>
              </w:rPr>
              <w:t>（元）</w:t>
            </w:r>
          </w:p>
        </w:tc>
      </w:tr>
      <w:tr>
        <w:tblPrEx>
          <w:tblCellMar>
            <w:top w:w="0" w:type="dxa"/>
            <w:left w:w="108" w:type="dxa"/>
            <w:bottom w:w="0" w:type="dxa"/>
            <w:right w:w="108" w:type="dxa"/>
          </w:tblCellMar>
        </w:tblPrEx>
        <w:trPr>
          <w:trHeight w:val="1234" w:hRule="exact"/>
          <w:jc w:val="center"/>
        </w:trPr>
        <w:tc>
          <w:tcPr>
            <w:tcW w:w="459" w:type="dxa"/>
            <w:tcBorders>
              <w:top w:val="nil"/>
              <w:left w:val="single" w:color="auto" w:sz="4" w:space="0"/>
              <w:bottom w:val="single" w:color="auto" w:sz="4" w:space="0"/>
              <w:right w:val="nil"/>
            </w:tcBorders>
            <w:shd w:val="clear" w:color="auto" w:fill="auto"/>
            <w:vAlign w:val="center"/>
          </w:tcPr>
          <w:p>
            <w:pPr>
              <w:widowControl/>
              <w:jc w:val="center"/>
              <w:rPr>
                <w:rFonts w:asciiTheme="minorEastAsia" w:hAnsiTheme="minorEastAsia"/>
                <w:sz w:val="24"/>
                <w:szCs w:val="24"/>
              </w:rPr>
            </w:pPr>
            <w:r>
              <w:rPr>
                <w:rFonts w:asciiTheme="minorEastAsia" w:hAnsiTheme="minorEastAsia"/>
                <w:sz w:val="24"/>
                <w:szCs w:val="24"/>
              </w:rPr>
              <w:t>1</w:t>
            </w:r>
          </w:p>
        </w:tc>
        <w:tc>
          <w:tcPr>
            <w:tcW w:w="907" w:type="dxa"/>
            <w:tcBorders>
              <w:top w:val="nil"/>
              <w:left w:val="single" w:color="auto" w:sz="4" w:space="0"/>
              <w:bottom w:val="single" w:color="auto" w:sz="4" w:space="0"/>
              <w:right w:val="single" w:color="auto" w:sz="4" w:space="0"/>
            </w:tcBorders>
            <w:shd w:val="clear" w:color="auto" w:fill="auto"/>
            <w:vAlign w:val="center"/>
          </w:tcPr>
          <w:p>
            <w:pPr>
              <w:widowControl/>
              <w:rPr>
                <w:rFonts w:eastAsia="仿宋_GB2312"/>
                <w:szCs w:val="28"/>
              </w:rPr>
            </w:pPr>
            <w:r>
              <w:rPr>
                <w:rFonts w:hint="eastAsia" w:eastAsia="仿宋_GB2312"/>
                <w:szCs w:val="28"/>
              </w:rPr>
              <w:t>付宇东</w:t>
            </w:r>
          </w:p>
        </w:tc>
        <w:tc>
          <w:tcPr>
            <w:tcW w:w="169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仿宋_GB2312" w:cs="宋体" w:asciiTheme="minorEastAsia" w:hAnsiTheme="minorEastAsia"/>
                <w:sz w:val="24"/>
                <w:szCs w:val="24"/>
                <w:lang w:eastAsia="zh-CN"/>
              </w:rPr>
            </w:pPr>
            <w:r>
              <w:rPr>
                <w:rFonts w:hint="eastAsia" w:eastAsia="仿宋_GB2312"/>
                <w:szCs w:val="28"/>
              </w:rPr>
              <w:t>大石桥市</w:t>
            </w:r>
            <w:r>
              <w:rPr>
                <w:rFonts w:hint="eastAsia" w:eastAsia="仿宋_GB2312"/>
                <w:szCs w:val="28"/>
                <w:lang w:eastAsia="zh-CN"/>
              </w:rPr>
              <w:t>盘龙街龙山里（1#楼1单元301室）</w:t>
            </w:r>
          </w:p>
        </w:tc>
        <w:tc>
          <w:tcPr>
            <w:tcW w:w="5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宋体" w:cs="宋体" w:asciiTheme="minorEastAsia" w:hAnsiTheme="minorEastAsia"/>
                <w:sz w:val="24"/>
                <w:szCs w:val="24"/>
                <w:lang w:eastAsia="zh-CN"/>
              </w:rPr>
            </w:pPr>
            <w:r>
              <w:rPr>
                <w:rFonts w:hint="eastAsia" w:cs="宋体" w:asciiTheme="minorEastAsia" w:hAnsiTheme="minorEastAsia"/>
                <w:sz w:val="24"/>
                <w:szCs w:val="24"/>
                <w:lang w:val="en-US" w:eastAsia="zh-CN"/>
              </w:rPr>
              <w:t>3</w:t>
            </w:r>
            <w:r>
              <w:rPr>
                <w:rFonts w:hint="eastAsia" w:cs="宋体" w:asciiTheme="minorEastAsia" w:hAnsiTheme="minorEastAsia"/>
                <w:sz w:val="24"/>
                <w:szCs w:val="24"/>
              </w:rPr>
              <w:t>/</w:t>
            </w:r>
            <w:r>
              <w:rPr>
                <w:rFonts w:hint="eastAsia" w:cs="宋体" w:asciiTheme="minorEastAsia" w:hAnsiTheme="minorEastAsia"/>
                <w:sz w:val="24"/>
                <w:szCs w:val="24"/>
                <w:lang w:val="en-US" w:eastAsia="zh-CN"/>
              </w:rPr>
              <w:t>4</w:t>
            </w:r>
          </w:p>
        </w:tc>
        <w:tc>
          <w:tcPr>
            <w:tcW w:w="101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sz w:val="24"/>
                <w:szCs w:val="24"/>
              </w:rPr>
            </w:pPr>
            <w:r>
              <w:rPr>
                <w:rFonts w:hint="eastAsia" w:ascii="宋体" w:hAnsi="宋体" w:cs="宋体"/>
                <w:color w:val="000000"/>
                <w:sz w:val="24"/>
                <w:szCs w:val="24"/>
              </w:rPr>
              <w:t>混合</w:t>
            </w:r>
          </w:p>
        </w:tc>
        <w:tc>
          <w:tcPr>
            <w:tcW w:w="939" w:type="dxa"/>
            <w:tcBorders>
              <w:left w:val="nil"/>
              <w:bottom w:val="single" w:color="auto" w:sz="4" w:space="0"/>
              <w:right w:val="single" w:color="auto" w:sz="4" w:space="0"/>
            </w:tcBorders>
            <w:shd w:val="clear" w:color="auto" w:fill="auto"/>
            <w:noWrap/>
            <w:vAlign w:val="center"/>
          </w:tcPr>
          <w:p>
            <w:pPr>
              <w:widowControl/>
              <w:jc w:val="center"/>
              <w:rPr>
                <w:rFonts w:hint="eastAsia" w:eastAsia="宋体" w:cs="宋体" w:asciiTheme="minorEastAsia" w:hAnsiTheme="minorEastAsia"/>
                <w:sz w:val="24"/>
                <w:szCs w:val="24"/>
                <w:lang w:eastAsia="zh-CN"/>
              </w:rPr>
            </w:pPr>
            <w:r>
              <w:rPr>
                <w:rFonts w:hint="eastAsia" w:ascii="宋体" w:hAnsi="宋体" w:cs="宋体"/>
                <w:color w:val="000000"/>
                <w:sz w:val="24"/>
                <w:szCs w:val="24"/>
                <w:lang w:eastAsia="zh-CN"/>
              </w:rPr>
              <w:t>63.91</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jc w:val="center"/>
              <w:rPr>
                <w:rFonts w:eastAsia="仿宋_GB2312"/>
                <w:szCs w:val="28"/>
              </w:rPr>
            </w:pPr>
            <w:r>
              <w:rPr>
                <w:rFonts w:hint="eastAsia" w:eastAsia="仿宋_GB2312"/>
                <w:szCs w:val="28"/>
              </w:rPr>
              <w:t>比较法</w:t>
            </w:r>
          </w:p>
        </w:tc>
        <w:tc>
          <w:tcPr>
            <w:tcW w:w="1065"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宋体" w:asciiTheme="minorEastAsia" w:hAnsiTheme="minorEastAsia"/>
                <w:sz w:val="24"/>
                <w:szCs w:val="24"/>
                <w:lang w:val="en-US" w:eastAsia="zh-CN"/>
              </w:rPr>
            </w:pPr>
            <w:r>
              <w:rPr>
                <w:rFonts w:hint="eastAsia" w:cs="宋体" w:asciiTheme="minorEastAsia" w:hAnsiTheme="minorEastAsia"/>
                <w:sz w:val="24"/>
                <w:szCs w:val="24"/>
                <w:lang w:val="en-US" w:eastAsia="zh-CN"/>
              </w:rPr>
              <w:t>3642</w:t>
            </w:r>
          </w:p>
        </w:tc>
        <w:tc>
          <w:tcPr>
            <w:tcW w:w="1598"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宋体" w:cs="宋体" w:asciiTheme="minorEastAsia" w:hAnsiTheme="minorEastAsia"/>
                <w:sz w:val="24"/>
                <w:szCs w:val="24"/>
                <w:lang w:eastAsia="zh-CN"/>
              </w:rPr>
            </w:pPr>
            <w:r>
              <w:rPr>
                <w:rFonts w:hint="eastAsia" w:asciiTheme="minorEastAsia" w:hAnsiTheme="minorEastAsia"/>
                <w:sz w:val="24"/>
                <w:szCs w:val="24"/>
                <w:lang w:eastAsia="zh-CN"/>
              </w:rPr>
              <w:t>232,760</w:t>
            </w:r>
          </w:p>
        </w:tc>
      </w:tr>
      <w:tr>
        <w:tblPrEx>
          <w:tblCellMar>
            <w:top w:w="0" w:type="dxa"/>
            <w:left w:w="108" w:type="dxa"/>
            <w:bottom w:w="0" w:type="dxa"/>
            <w:right w:w="108" w:type="dxa"/>
          </w:tblCellMar>
        </w:tblPrEx>
        <w:trPr>
          <w:gridAfter w:val="1"/>
          <w:wAfter w:w="38" w:type="dxa"/>
          <w:trHeight w:val="474" w:hRule="exact"/>
          <w:jc w:val="center"/>
        </w:trPr>
        <w:tc>
          <w:tcPr>
            <w:tcW w:w="7928"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b/>
                <w:sz w:val="24"/>
                <w:szCs w:val="24"/>
              </w:rPr>
            </w:pPr>
            <w:r>
              <w:rPr>
                <w:rFonts w:hint="eastAsia" w:cs="宋体" w:asciiTheme="minorEastAsia" w:hAnsiTheme="minorEastAsia"/>
                <w:b/>
                <w:sz w:val="24"/>
                <w:szCs w:val="24"/>
              </w:rPr>
              <w:t>房地产总计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cs="宋体" w:asciiTheme="minorEastAsia" w:hAnsiTheme="minorEastAsia"/>
                <w:b/>
                <w:sz w:val="24"/>
                <w:szCs w:val="24"/>
                <w:lang w:eastAsia="zh-CN"/>
              </w:rPr>
            </w:pPr>
            <w:r>
              <w:rPr>
                <w:rFonts w:hint="eastAsia" w:asciiTheme="minorEastAsia" w:hAnsiTheme="minorEastAsia"/>
                <w:sz w:val="24"/>
                <w:szCs w:val="24"/>
                <w:lang w:eastAsia="zh-CN"/>
              </w:rPr>
              <w:t>232,760</w:t>
            </w:r>
          </w:p>
        </w:tc>
      </w:tr>
    </w:tbl>
    <w:p>
      <w:pPr>
        <w:pStyle w:val="17"/>
        <w:spacing w:line="500" w:lineRule="exact"/>
        <w:jc w:val="center"/>
        <w:textAlignment w:val="center"/>
        <w:rPr>
          <w:rFonts w:hAnsi="宋体"/>
          <w:b/>
          <w:sz w:val="28"/>
          <w:szCs w:val="28"/>
        </w:rPr>
      </w:pPr>
    </w:p>
    <w:p>
      <w:pPr>
        <w:snapToGrid w:val="0"/>
        <w:spacing w:line="360" w:lineRule="auto"/>
        <w:ind w:firstLine="560" w:firstLineChars="200"/>
        <w:rPr>
          <w:rFonts w:eastAsia="仿宋_GB2312"/>
          <w:sz w:val="28"/>
          <w:szCs w:val="28"/>
        </w:rPr>
      </w:pPr>
    </w:p>
    <w:p>
      <w:pPr>
        <w:snapToGrid w:val="0"/>
        <w:spacing w:line="360" w:lineRule="auto"/>
        <w:ind w:firstLine="540" w:firstLineChars="193"/>
        <w:rPr>
          <w:rFonts w:eastAsia="仿宋_GB2312"/>
          <w:sz w:val="28"/>
          <w:szCs w:val="28"/>
        </w:rPr>
      </w:pPr>
      <w:bookmarkStart w:id="8" w:name="_Toc527920372"/>
      <w:r>
        <w:rPr>
          <w:rFonts w:hint="eastAsia" w:eastAsia="仿宋_GB2312"/>
          <w:sz w:val="28"/>
          <w:szCs w:val="28"/>
        </w:rPr>
        <w:t>特别提示：</w:t>
      </w:r>
    </w:p>
    <w:p>
      <w:pPr>
        <w:snapToGrid w:val="0"/>
        <w:spacing w:line="360" w:lineRule="auto"/>
        <w:ind w:firstLine="540" w:firstLineChars="193"/>
        <w:rPr>
          <w:rFonts w:eastAsia="仿宋_GB2312"/>
          <w:sz w:val="28"/>
          <w:szCs w:val="28"/>
        </w:rPr>
      </w:pPr>
      <w:r>
        <w:rPr>
          <w:rFonts w:hint="eastAsia" w:eastAsia="仿宋_GB2312"/>
          <w:sz w:val="28"/>
          <w:szCs w:val="28"/>
        </w:rPr>
        <w:t>1、估价结果已包含分摊土地使用权价值及室内装修和配套设施、未扣除预期实现处置的费用和税金等；报告使用者应根据估价目的使用报告，在报告有效期内使用报告。</w:t>
      </w:r>
    </w:p>
    <w:p>
      <w:pPr>
        <w:snapToGrid w:val="0"/>
        <w:spacing w:line="360" w:lineRule="auto"/>
        <w:ind w:firstLine="540" w:firstLineChars="193"/>
        <w:rPr>
          <w:rFonts w:eastAsia="仿宋_GB2312"/>
          <w:sz w:val="28"/>
          <w:szCs w:val="28"/>
        </w:rPr>
      </w:pPr>
      <w:r>
        <w:rPr>
          <w:rFonts w:hint="eastAsia" w:eastAsia="仿宋_GB2312"/>
          <w:sz w:val="28"/>
          <w:szCs w:val="28"/>
        </w:rPr>
        <w:t>2、委托方未提供估价对象除本次涉案欠款以外的其它欠款情况，经与委托方沟通，本次估价结果为房地产市场价格，不考虑估价对象的应缴、未缴税费、物业费、采暖费、维修基金等费用对估价对象结果的影响。</w:t>
      </w:r>
    </w:p>
    <w:p>
      <w:pPr>
        <w:snapToGrid w:val="0"/>
        <w:spacing w:line="360" w:lineRule="auto"/>
        <w:ind w:firstLine="540" w:firstLineChars="193"/>
        <w:rPr>
          <w:rFonts w:eastAsia="仿宋_GB2312"/>
          <w:sz w:val="28"/>
          <w:szCs w:val="28"/>
        </w:rPr>
      </w:pPr>
      <w:r>
        <w:rPr>
          <w:rFonts w:hint="eastAsia" w:eastAsia="仿宋_GB2312"/>
          <w:sz w:val="28"/>
          <w:szCs w:val="28"/>
        </w:rPr>
        <w:t>3、因财产拍卖（或者变卖）日期与价值时点不一致，估价对象状况或者房地产市场状况的变化会对估价结果产生影响；</w:t>
      </w:r>
    </w:p>
    <w:p>
      <w:pPr>
        <w:snapToGrid w:val="0"/>
        <w:spacing w:line="360" w:lineRule="auto"/>
        <w:ind w:firstLine="540" w:firstLineChars="193"/>
        <w:rPr>
          <w:rFonts w:eastAsia="仿宋_GB2312"/>
          <w:sz w:val="28"/>
          <w:szCs w:val="28"/>
        </w:rPr>
      </w:pPr>
      <w:r>
        <w:rPr>
          <w:rFonts w:hint="eastAsia" w:eastAsia="仿宋_GB2312"/>
          <w:sz w:val="28"/>
          <w:szCs w:val="28"/>
        </w:rPr>
        <w:t>4、在估价结果有效期内，估价对象状况或者房地产市场发生市场发生明显变化的，估价结果应当时行调整。</w:t>
      </w:r>
    </w:p>
    <w:p>
      <w:pPr>
        <w:snapToGrid w:val="0"/>
        <w:spacing w:line="360" w:lineRule="auto"/>
        <w:ind w:firstLine="540" w:firstLineChars="193"/>
        <w:rPr>
          <w:rFonts w:eastAsia="仿宋_GB2312"/>
          <w:sz w:val="28"/>
          <w:szCs w:val="28"/>
        </w:rPr>
      </w:pPr>
      <w:r>
        <w:rPr>
          <w:rFonts w:hint="eastAsia" w:eastAsia="仿宋_GB2312"/>
          <w:sz w:val="28"/>
          <w:szCs w:val="28"/>
        </w:rPr>
        <w:t>5、估价结果不等于估价对象处置可实现的成交价，不应被认为是对估价对象处置成交价的保证。</w:t>
      </w:r>
    </w:p>
    <w:p>
      <w:pPr>
        <w:snapToGrid w:val="0"/>
        <w:spacing w:line="360" w:lineRule="auto"/>
        <w:ind w:firstLine="540" w:firstLineChars="193"/>
        <w:rPr>
          <w:rFonts w:eastAsia="仿宋_GB2312"/>
          <w:sz w:val="28"/>
          <w:szCs w:val="28"/>
        </w:rPr>
      </w:pPr>
      <w:r>
        <w:rPr>
          <w:rFonts w:hint="eastAsia" w:eastAsia="仿宋_GB2312"/>
          <w:sz w:val="28"/>
          <w:szCs w:val="28"/>
        </w:rPr>
        <w:t>欲了解估价对象及估价测算分析判断的全面情况，应认真阅读估价报告书全文。</w:t>
      </w:r>
    </w:p>
    <w:p>
      <w:pPr>
        <w:snapToGrid w:val="0"/>
        <w:spacing w:line="360" w:lineRule="auto"/>
        <w:ind w:firstLine="540" w:firstLineChars="193"/>
        <w:rPr>
          <w:rFonts w:eastAsia="仿宋_GB2312"/>
          <w:sz w:val="28"/>
          <w:szCs w:val="28"/>
        </w:rPr>
      </w:pPr>
      <w:r>
        <w:rPr>
          <w:rFonts w:hint="eastAsia" w:eastAsia="仿宋_GB2312"/>
          <w:sz w:val="28"/>
          <w:szCs w:val="28"/>
        </w:rPr>
        <w:t>特此函告</w:t>
      </w:r>
    </w:p>
    <w:p>
      <w:pPr>
        <w:spacing w:before="50" w:line="360" w:lineRule="auto"/>
        <w:ind w:left="630" w:leftChars="300" w:right="544" w:rightChars="259"/>
        <w:jc w:val="right"/>
        <w:rPr>
          <w:rFonts w:eastAsia="仿宋_GB2312"/>
          <w:spacing w:val="-4"/>
          <w:sz w:val="28"/>
          <w:szCs w:val="28"/>
        </w:rPr>
      </w:pPr>
      <w:r>
        <w:rPr>
          <w:rFonts w:hint="eastAsia" w:eastAsia="仿宋_GB2312"/>
          <w:spacing w:val="-4"/>
          <w:sz w:val="28"/>
          <w:szCs w:val="28"/>
        </w:rPr>
        <w:t>辽宁荣邦房地产土地资产评估有限公司</w:t>
      </w:r>
    </w:p>
    <w:p>
      <w:pPr>
        <w:spacing w:line="360" w:lineRule="auto"/>
        <w:ind w:right="544" w:firstLine="2992" w:firstLineChars="1100"/>
        <w:rPr>
          <w:rFonts w:eastAsia="仿宋_GB2312"/>
          <w:spacing w:val="-4"/>
          <w:sz w:val="28"/>
          <w:szCs w:val="28"/>
        </w:rPr>
      </w:pPr>
    </w:p>
    <w:p>
      <w:pPr>
        <w:spacing w:line="360" w:lineRule="auto"/>
        <w:ind w:right="544" w:firstLine="4896" w:firstLineChars="1800"/>
        <w:rPr>
          <w:rFonts w:eastAsia="仿宋_GB2312"/>
          <w:spacing w:val="-4"/>
          <w:sz w:val="28"/>
          <w:szCs w:val="28"/>
        </w:rPr>
      </w:pPr>
      <w:r>
        <w:rPr>
          <w:rFonts w:hint="eastAsia" w:eastAsia="仿宋_GB2312"/>
          <w:spacing w:val="-4"/>
          <w:sz w:val="28"/>
          <w:szCs w:val="28"/>
        </w:rPr>
        <w:t>法定代表人：</w:t>
      </w:r>
    </w:p>
    <w:p>
      <w:pPr>
        <w:spacing w:line="360" w:lineRule="auto"/>
        <w:ind w:right="544" w:firstLine="2992" w:firstLineChars="1100"/>
        <w:rPr>
          <w:rFonts w:eastAsia="仿宋_GB2312"/>
          <w:spacing w:val="-4"/>
          <w:sz w:val="28"/>
          <w:szCs w:val="28"/>
        </w:rPr>
      </w:pPr>
    </w:p>
    <w:p>
      <w:pPr>
        <w:spacing w:line="360" w:lineRule="auto"/>
        <w:ind w:right="544" w:firstLine="4080" w:firstLineChars="1500"/>
        <w:rPr>
          <w:rFonts w:eastAsia="仿宋_GB2312"/>
          <w:spacing w:val="-4"/>
          <w:sz w:val="28"/>
          <w:szCs w:val="28"/>
        </w:rPr>
      </w:pPr>
      <w:r>
        <w:rPr>
          <w:rFonts w:hint="eastAsia" w:eastAsia="仿宋_GB2312"/>
          <w:spacing w:val="-4"/>
          <w:sz w:val="28"/>
          <w:szCs w:val="28"/>
          <w:lang w:eastAsia="zh-CN"/>
        </w:rPr>
        <w:t>二〇二二年二月二十八日</w:t>
      </w:r>
    </w:p>
    <w:p>
      <w:pPr>
        <w:spacing w:before="50" w:line="360" w:lineRule="auto"/>
        <w:jc w:val="center"/>
        <w:rPr>
          <w:rFonts w:ascii="宋体" w:hAnsi="宋体"/>
          <w:b/>
          <w:sz w:val="36"/>
          <w:szCs w:val="36"/>
        </w:rPr>
      </w:pPr>
    </w:p>
    <w:p>
      <w:pPr>
        <w:spacing w:before="50" w:line="360" w:lineRule="auto"/>
        <w:jc w:val="center"/>
        <w:rPr>
          <w:rFonts w:ascii="宋体" w:hAnsi="宋体"/>
          <w:b/>
          <w:sz w:val="36"/>
          <w:szCs w:val="36"/>
        </w:rPr>
      </w:pPr>
    </w:p>
    <w:p>
      <w:pPr>
        <w:spacing w:before="50" w:line="360" w:lineRule="auto"/>
        <w:jc w:val="center"/>
        <w:rPr>
          <w:rFonts w:ascii="宋体" w:hAnsi="宋体"/>
          <w:b/>
          <w:sz w:val="36"/>
          <w:szCs w:val="36"/>
        </w:rPr>
      </w:pPr>
    </w:p>
    <w:p>
      <w:pPr>
        <w:spacing w:before="50" w:line="360" w:lineRule="auto"/>
        <w:jc w:val="center"/>
        <w:rPr>
          <w:rFonts w:ascii="宋体" w:hAnsi="宋体"/>
          <w:b/>
          <w:sz w:val="36"/>
          <w:szCs w:val="36"/>
        </w:rPr>
      </w:pPr>
      <w:r>
        <w:rPr>
          <w:rFonts w:ascii="宋体" w:hAnsi="宋体"/>
          <w:b/>
          <w:sz w:val="36"/>
          <w:szCs w:val="36"/>
        </w:rPr>
        <w:t>目   录</w:t>
      </w:r>
    </w:p>
    <w:p>
      <w:pPr>
        <w:pStyle w:val="24"/>
        <w:spacing w:line="360" w:lineRule="auto"/>
        <w:rPr>
          <w:rFonts w:eastAsia="仿宋_GB2312"/>
          <w:kern w:val="2"/>
          <w:sz w:val="24"/>
          <w:szCs w:val="24"/>
        </w:rPr>
      </w:pPr>
      <w:r>
        <w:rPr>
          <w:rFonts w:eastAsia="仿宋_GB2312"/>
          <w:sz w:val="24"/>
          <w:szCs w:val="24"/>
        </w:rPr>
        <w:fldChar w:fldCharType="begin"/>
      </w:r>
      <w:r>
        <w:rPr>
          <w:rFonts w:eastAsia="仿宋_GB2312"/>
          <w:sz w:val="24"/>
          <w:szCs w:val="24"/>
        </w:rPr>
        <w:instrText xml:space="preserve"> TOC \o "1-2" \h \z \u </w:instrText>
      </w:r>
      <w:r>
        <w:rPr>
          <w:rFonts w:eastAsia="仿宋_GB2312"/>
          <w:sz w:val="24"/>
          <w:szCs w:val="24"/>
        </w:rPr>
        <w:fldChar w:fldCharType="separate"/>
      </w:r>
      <w:r>
        <w:fldChar w:fldCharType="begin"/>
      </w:r>
      <w:r>
        <w:instrText xml:space="preserve"> HYPERLINK \l "_Toc445822564" </w:instrText>
      </w:r>
      <w:r>
        <w:fldChar w:fldCharType="separate"/>
      </w:r>
      <w:r>
        <w:rPr>
          <w:rStyle w:val="41"/>
          <w:rFonts w:eastAsia="仿宋_GB2312"/>
          <w:sz w:val="24"/>
          <w:szCs w:val="24"/>
        </w:rPr>
        <w:t>估价师声明</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_Toc445822564 \h </w:instrText>
      </w:r>
      <w:r>
        <w:rPr>
          <w:rFonts w:eastAsia="仿宋_GB2312"/>
          <w:sz w:val="24"/>
          <w:szCs w:val="24"/>
        </w:rPr>
        <w:fldChar w:fldCharType="separate"/>
      </w:r>
      <w:r>
        <w:rPr>
          <w:rFonts w:eastAsia="仿宋_GB2312"/>
          <w:sz w:val="24"/>
          <w:szCs w:val="24"/>
        </w:rPr>
        <w:t>5</w:t>
      </w:r>
      <w:r>
        <w:rPr>
          <w:rFonts w:eastAsia="仿宋_GB2312"/>
          <w:sz w:val="24"/>
          <w:szCs w:val="24"/>
        </w:rPr>
        <w:fldChar w:fldCharType="end"/>
      </w:r>
      <w:r>
        <w:rPr>
          <w:rFonts w:eastAsia="仿宋_GB2312"/>
          <w:sz w:val="24"/>
          <w:szCs w:val="24"/>
        </w:rPr>
        <w:fldChar w:fldCharType="end"/>
      </w:r>
    </w:p>
    <w:p>
      <w:pPr>
        <w:pStyle w:val="24"/>
        <w:spacing w:line="360" w:lineRule="auto"/>
        <w:rPr>
          <w:rFonts w:eastAsia="仿宋_GB2312"/>
          <w:kern w:val="2"/>
          <w:sz w:val="24"/>
          <w:szCs w:val="24"/>
        </w:rPr>
      </w:pPr>
      <w:r>
        <w:fldChar w:fldCharType="begin"/>
      </w:r>
      <w:r>
        <w:instrText xml:space="preserve"> HYPERLINK \l "_Toc445822565" </w:instrText>
      </w:r>
      <w:r>
        <w:fldChar w:fldCharType="separate"/>
      </w:r>
      <w:r>
        <w:rPr>
          <w:rStyle w:val="41"/>
          <w:rFonts w:eastAsia="仿宋_GB2312"/>
          <w:sz w:val="24"/>
          <w:szCs w:val="24"/>
        </w:rPr>
        <w:t>估价假设和限制条件</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_Toc445822565 \h </w:instrText>
      </w:r>
      <w:r>
        <w:rPr>
          <w:rFonts w:eastAsia="仿宋_GB2312"/>
          <w:sz w:val="24"/>
          <w:szCs w:val="24"/>
        </w:rPr>
        <w:fldChar w:fldCharType="separate"/>
      </w:r>
      <w:r>
        <w:rPr>
          <w:rFonts w:eastAsia="仿宋_GB2312"/>
          <w:sz w:val="24"/>
          <w:szCs w:val="24"/>
        </w:rPr>
        <w:t>7</w:t>
      </w:r>
      <w:r>
        <w:rPr>
          <w:rFonts w:eastAsia="仿宋_GB2312"/>
          <w:sz w:val="24"/>
          <w:szCs w:val="24"/>
        </w:rPr>
        <w:fldChar w:fldCharType="end"/>
      </w:r>
      <w:r>
        <w:rPr>
          <w:rFonts w:eastAsia="仿宋_GB2312"/>
          <w:sz w:val="24"/>
          <w:szCs w:val="24"/>
        </w:rPr>
        <w:fldChar w:fldCharType="end"/>
      </w:r>
    </w:p>
    <w:p>
      <w:pPr>
        <w:pStyle w:val="24"/>
        <w:spacing w:line="360" w:lineRule="auto"/>
        <w:rPr>
          <w:rFonts w:eastAsia="仿宋_GB2312"/>
          <w:kern w:val="2"/>
          <w:sz w:val="24"/>
          <w:szCs w:val="24"/>
        </w:rPr>
      </w:pPr>
      <w:r>
        <w:fldChar w:fldCharType="begin"/>
      </w:r>
      <w:r>
        <w:instrText xml:space="preserve"> HYPERLINK \l "_Toc445822566" </w:instrText>
      </w:r>
      <w:r>
        <w:fldChar w:fldCharType="separate"/>
      </w:r>
      <w:r>
        <w:rPr>
          <w:rStyle w:val="41"/>
          <w:rFonts w:eastAsia="仿宋_GB2312"/>
          <w:sz w:val="24"/>
          <w:szCs w:val="24"/>
        </w:rPr>
        <w:t>估价结果报告</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_Toc445822566 \h </w:instrText>
      </w:r>
      <w:r>
        <w:rPr>
          <w:rFonts w:eastAsia="仿宋_GB2312"/>
          <w:sz w:val="24"/>
          <w:szCs w:val="24"/>
        </w:rPr>
        <w:fldChar w:fldCharType="separate"/>
      </w:r>
      <w:r>
        <w:rPr>
          <w:rFonts w:eastAsia="仿宋_GB2312"/>
          <w:sz w:val="24"/>
          <w:szCs w:val="24"/>
        </w:rPr>
        <w:t>10</w:t>
      </w:r>
      <w:r>
        <w:rPr>
          <w:rFonts w:eastAsia="仿宋_GB2312"/>
          <w:sz w:val="24"/>
          <w:szCs w:val="24"/>
        </w:rPr>
        <w:fldChar w:fldCharType="end"/>
      </w:r>
      <w:r>
        <w:rPr>
          <w:rFonts w:eastAsia="仿宋_GB2312"/>
          <w:sz w:val="24"/>
          <w:szCs w:val="24"/>
        </w:rPr>
        <w:fldChar w:fldCharType="end"/>
      </w:r>
    </w:p>
    <w:p>
      <w:pPr>
        <w:pStyle w:val="29"/>
        <w:spacing w:line="360" w:lineRule="auto"/>
        <w:rPr>
          <w:rFonts w:eastAsia="仿宋_GB2312"/>
          <w:kern w:val="2"/>
          <w:sz w:val="24"/>
          <w:szCs w:val="24"/>
        </w:rPr>
      </w:pPr>
      <w:r>
        <w:fldChar w:fldCharType="begin"/>
      </w:r>
      <w:r>
        <w:instrText xml:space="preserve"> HYPERLINK \l "_Toc445822567" </w:instrText>
      </w:r>
      <w:r>
        <w:fldChar w:fldCharType="separate"/>
      </w:r>
      <w:r>
        <w:rPr>
          <w:rStyle w:val="41"/>
          <w:rFonts w:eastAsia="仿宋_GB2312"/>
          <w:sz w:val="24"/>
          <w:szCs w:val="24"/>
        </w:rPr>
        <w:t>一、估价委托人</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_Toc445822567 \h </w:instrText>
      </w:r>
      <w:r>
        <w:rPr>
          <w:rFonts w:eastAsia="仿宋_GB2312"/>
          <w:sz w:val="24"/>
          <w:szCs w:val="24"/>
        </w:rPr>
        <w:fldChar w:fldCharType="separate"/>
      </w:r>
      <w:r>
        <w:rPr>
          <w:rFonts w:eastAsia="仿宋_GB2312"/>
          <w:sz w:val="24"/>
          <w:szCs w:val="24"/>
        </w:rPr>
        <w:t>10</w:t>
      </w:r>
      <w:r>
        <w:rPr>
          <w:rFonts w:eastAsia="仿宋_GB2312"/>
          <w:sz w:val="24"/>
          <w:szCs w:val="24"/>
        </w:rPr>
        <w:fldChar w:fldCharType="end"/>
      </w:r>
      <w:r>
        <w:rPr>
          <w:rFonts w:eastAsia="仿宋_GB2312"/>
          <w:sz w:val="24"/>
          <w:szCs w:val="24"/>
        </w:rPr>
        <w:fldChar w:fldCharType="end"/>
      </w:r>
    </w:p>
    <w:p>
      <w:pPr>
        <w:pStyle w:val="29"/>
        <w:spacing w:line="360" w:lineRule="auto"/>
        <w:rPr>
          <w:rFonts w:eastAsia="仿宋_GB2312"/>
          <w:kern w:val="2"/>
          <w:sz w:val="24"/>
          <w:szCs w:val="24"/>
        </w:rPr>
      </w:pPr>
      <w:r>
        <w:fldChar w:fldCharType="begin"/>
      </w:r>
      <w:r>
        <w:instrText xml:space="preserve"> HYPERLINK \l "_Toc445822568" </w:instrText>
      </w:r>
      <w:r>
        <w:fldChar w:fldCharType="separate"/>
      </w:r>
      <w:r>
        <w:rPr>
          <w:rStyle w:val="41"/>
          <w:rFonts w:eastAsia="仿宋_GB2312"/>
          <w:sz w:val="24"/>
          <w:szCs w:val="24"/>
        </w:rPr>
        <w:t>二、房地产估价机构</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_Toc445822568 \h </w:instrText>
      </w:r>
      <w:r>
        <w:rPr>
          <w:rFonts w:eastAsia="仿宋_GB2312"/>
          <w:sz w:val="24"/>
          <w:szCs w:val="24"/>
        </w:rPr>
        <w:fldChar w:fldCharType="separate"/>
      </w:r>
      <w:r>
        <w:rPr>
          <w:rFonts w:eastAsia="仿宋_GB2312"/>
          <w:sz w:val="24"/>
          <w:szCs w:val="24"/>
        </w:rPr>
        <w:t>10</w:t>
      </w:r>
      <w:r>
        <w:rPr>
          <w:rFonts w:eastAsia="仿宋_GB2312"/>
          <w:sz w:val="24"/>
          <w:szCs w:val="24"/>
        </w:rPr>
        <w:fldChar w:fldCharType="end"/>
      </w:r>
      <w:r>
        <w:rPr>
          <w:rFonts w:eastAsia="仿宋_GB2312"/>
          <w:sz w:val="24"/>
          <w:szCs w:val="24"/>
        </w:rPr>
        <w:fldChar w:fldCharType="end"/>
      </w:r>
    </w:p>
    <w:p>
      <w:pPr>
        <w:pStyle w:val="29"/>
        <w:spacing w:line="360" w:lineRule="auto"/>
        <w:rPr>
          <w:rFonts w:eastAsia="仿宋_GB2312"/>
          <w:kern w:val="2"/>
          <w:sz w:val="24"/>
          <w:szCs w:val="24"/>
        </w:rPr>
      </w:pPr>
      <w:r>
        <w:fldChar w:fldCharType="begin"/>
      </w:r>
      <w:r>
        <w:instrText xml:space="preserve"> HYPERLINK \l "_Toc445822569" </w:instrText>
      </w:r>
      <w:r>
        <w:fldChar w:fldCharType="separate"/>
      </w:r>
      <w:r>
        <w:rPr>
          <w:rStyle w:val="41"/>
          <w:rFonts w:eastAsia="仿宋_GB2312"/>
          <w:sz w:val="24"/>
          <w:szCs w:val="24"/>
        </w:rPr>
        <w:t>三、估价目的</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_Toc445822569 \h </w:instrText>
      </w:r>
      <w:r>
        <w:rPr>
          <w:rFonts w:eastAsia="仿宋_GB2312"/>
          <w:sz w:val="24"/>
          <w:szCs w:val="24"/>
        </w:rPr>
        <w:fldChar w:fldCharType="separate"/>
      </w:r>
      <w:r>
        <w:rPr>
          <w:rFonts w:eastAsia="仿宋_GB2312"/>
          <w:sz w:val="24"/>
          <w:szCs w:val="24"/>
        </w:rPr>
        <w:t>10</w:t>
      </w:r>
      <w:r>
        <w:rPr>
          <w:rFonts w:eastAsia="仿宋_GB2312"/>
          <w:sz w:val="24"/>
          <w:szCs w:val="24"/>
        </w:rPr>
        <w:fldChar w:fldCharType="end"/>
      </w:r>
      <w:r>
        <w:rPr>
          <w:rFonts w:eastAsia="仿宋_GB2312"/>
          <w:sz w:val="24"/>
          <w:szCs w:val="24"/>
        </w:rPr>
        <w:fldChar w:fldCharType="end"/>
      </w:r>
    </w:p>
    <w:p>
      <w:pPr>
        <w:pStyle w:val="29"/>
        <w:spacing w:line="360" w:lineRule="auto"/>
        <w:rPr>
          <w:rFonts w:eastAsia="仿宋_GB2312"/>
          <w:kern w:val="2"/>
          <w:sz w:val="24"/>
          <w:szCs w:val="24"/>
        </w:rPr>
      </w:pPr>
      <w:r>
        <w:fldChar w:fldCharType="begin"/>
      </w:r>
      <w:r>
        <w:instrText xml:space="preserve"> HYPERLINK \l "_Toc445822570" </w:instrText>
      </w:r>
      <w:r>
        <w:fldChar w:fldCharType="separate"/>
      </w:r>
      <w:r>
        <w:rPr>
          <w:rStyle w:val="41"/>
          <w:rFonts w:eastAsia="仿宋_GB2312"/>
          <w:sz w:val="24"/>
          <w:szCs w:val="24"/>
        </w:rPr>
        <w:t>四、估价对象</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_Toc445822570 \h </w:instrText>
      </w:r>
      <w:r>
        <w:rPr>
          <w:rFonts w:eastAsia="仿宋_GB2312"/>
          <w:sz w:val="24"/>
          <w:szCs w:val="24"/>
        </w:rPr>
        <w:fldChar w:fldCharType="separate"/>
      </w:r>
      <w:r>
        <w:rPr>
          <w:rFonts w:eastAsia="仿宋_GB2312"/>
          <w:sz w:val="24"/>
          <w:szCs w:val="24"/>
        </w:rPr>
        <w:t>10</w:t>
      </w:r>
      <w:r>
        <w:rPr>
          <w:rFonts w:eastAsia="仿宋_GB2312"/>
          <w:sz w:val="24"/>
          <w:szCs w:val="24"/>
        </w:rPr>
        <w:fldChar w:fldCharType="end"/>
      </w:r>
      <w:r>
        <w:rPr>
          <w:rFonts w:eastAsia="仿宋_GB2312"/>
          <w:sz w:val="24"/>
          <w:szCs w:val="24"/>
        </w:rPr>
        <w:fldChar w:fldCharType="end"/>
      </w:r>
    </w:p>
    <w:p>
      <w:pPr>
        <w:pStyle w:val="29"/>
        <w:spacing w:line="360" w:lineRule="auto"/>
        <w:rPr>
          <w:rFonts w:eastAsia="仿宋_GB2312"/>
          <w:kern w:val="2"/>
          <w:sz w:val="24"/>
          <w:szCs w:val="24"/>
        </w:rPr>
      </w:pPr>
      <w:r>
        <w:fldChar w:fldCharType="begin"/>
      </w:r>
      <w:r>
        <w:instrText xml:space="preserve"> HYPERLINK \l "_Toc445822571" </w:instrText>
      </w:r>
      <w:r>
        <w:fldChar w:fldCharType="separate"/>
      </w:r>
      <w:r>
        <w:rPr>
          <w:rStyle w:val="41"/>
          <w:rFonts w:eastAsia="仿宋_GB2312"/>
          <w:sz w:val="24"/>
          <w:szCs w:val="24"/>
        </w:rPr>
        <w:t>五、价值时点</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_Toc445822571 \h </w:instrText>
      </w:r>
      <w:r>
        <w:rPr>
          <w:rFonts w:eastAsia="仿宋_GB2312"/>
          <w:sz w:val="24"/>
          <w:szCs w:val="24"/>
        </w:rPr>
        <w:fldChar w:fldCharType="separate"/>
      </w:r>
      <w:r>
        <w:rPr>
          <w:rFonts w:eastAsia="仿宋_GB2312"/>
          <w:sz w:val="24"/>
          <w:szCs w:val="24"/>
        </w:rPr>
        <w:t>11</w:t>
      </w:r>
      <w:r>
        <w:rPr>
          <w:rFonts w:eastAsia="仿宋_GB2312"/>
          <w:sz w:val="24"/>
          <w:szCs w:val="24"/>
        </w:rPr>
        <w:fldChar w:fldCharType="end"/>
      </w:r>
      <w:r>
        <w:rPr>
          <w:rFonts w:eastAsia="仿宋_GB2312"/>
          <w:sz w:val="24"/>
          <w:szCs w:val="24"/>
        </w:rPr>
        <w:fldChar w:fldCharType="end"/>
      </w:r>
    </w:p>
    <w:p>
      <w:pPr>
        <w:pStyle w:val="29"/>
        <w:spacing w:line="360" w:lineRule="auto"/>
        <w:rPr>
          <w:rFonts w:eastAsia="仿宋_GB2312"/>
          <w:kern w:val="2"/>
          <w:sz w:val="24"/>
          <w:szCs w:val="24"/>
        </w:rPr>
      </w:pPr>
      <w:r>
        <w:fldChar w:fldCharType="begin"/>
      </w:r>
      <w:r>
        <w:instrText xml:space="preserve"> HYPERLINK \l "_Toc445822572" </w:instrText>
      </w:r>
      <w:r>
        <w:fldChar w:fldCharType="separate"/>
      </w:r>
      <w:r>
        <w:rPr>
          <w:rStyle w:val="41"/>
          <w:rFonts w:eastAsia="仿宋_GB2312"/>
          <w:sz w:val="24"/>
          <w:szCs w:val="24"/>
        </w:rPr>
        <w:t>六、价值类型及价值定义</w:t>
      </w:r>
      <w:bookmarkStart w:id="9" w:name="_Hlt445822895"/>
      <w:bookmarkStart w:id="10" w:name="_Hlt445822894"/>
      <w:r>
        <w:rPr>
          <w:rFonts w:eastAsia="仿宋_GB2312"/>
          <w:sz w:val="24"/>
          <w:szCs w:val="24"/>
        </w:rPr>
        <w:tab/>
      </w:r>
      <w:bookmarkEnd w:id="9"/>
      <w:bookmarkEnd w:id="10"/>
      <w:r>
        <w:rPr>
          <w:rFonts w:eastAsia="仿宋_GB2312"/>
          <w:sz w:val="24"/>
          <w:szCs w:val="24"/>
        </w:rPr>
        <w:fldChar w:fldCharType="begin"/>
      </w:r>
      <w:r>
        <w:rPr>
          <w:rFonts w:eastAsia="仿宋_GB2312"/>
          <w:sz w:val="24"/>
          <w:szCs w:val="24"/>
        </w:rPr>
        <w:instrText xml:space="preserve"> PAGEREF _Toc445822572 \h </w:instrText>
      </w:r>
      <w:r>
        <w:rPr>
          <w:rFonts w:eastAsia="仿宋_GB2312"/>
          <w:sz w:val="24"/>
          <w:szCs w:val="24"/>
        </w:rPr>
        <w:fldChar w:fldCharType="separate"/>
      </w:r>
      <w:r>
        <w:rPr>
          <w:rFonts w:eastAsia="仿宋_GB2312"/>
          <w:sz w:val="24"/>
          <w:szCs w:val="24"/>
        </w:rPr>
        <w:t>11</w:t>
      </w:r>
      <w:r>
        <w:rPr>
          <w:rFonts w:eastAsia="仿宋_GB2312"/>
          <w:sz w:val="24"/>
          <w:szCs w:val="24"/>
        </w:rPr>
        <w:fldChar w:fldCharType="end"/>
      </w:r>
      <w:r>
        <w:rPr>
          <w:rFonts w:eastAsia="仿宋_GB2312"/>
          <w:sz w:val="24"/>
          <w:szCs w:val="24"/>
        </w:rPr>
        <w:fldChar w:fldCharType="end"/>
      </w:r>
    </w:p>
    <w:p>
      <w:pPr>
        <w:pStyle w:val="29"/>
        <w:spacing w:line="360" w:lineRule="auto"/>
        <w:rPr>
          <w:rFonts w:eastAsia="仿宋_GB2312"/>
          <w:kern w:val="2"/>
          <w:sz w:val="24"/>
          <w:szCs w:val="24"/>
        </w:rPr>
      </w:pPr>
      <w:r>
        <w:fldChar w:fldCharType="begin"/>
      </w:r>
      <w:r>
        <w:instrText xml:space="preserve"> HYPERLINK \l "_Toc445822573" </w:instrText>
      </w:r>
      <w:r>
        <w:fldChar w:fldCharType="separate"/>
      </w:r>
      <w:r>
        <w:rPr>
          <w:rStyle w:val="41"/>
          <w:rFonts w:eastAsia="仿宋_GB2312"/>
          <w:sz w:val="24"/>
          <w:szCs w:val="24"/>
        </w:rPr>
        <w:t>七、估价依据</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_Toc445822573 \h </w:instrText>
      </w:r>
      <w:r>
        <w:rPr>
          <w:rFonts w:eastAsia="仿宋_GB2312"/>
          <w:sz w:val="24"/>
          <w:szCs w:val="24"/>
        </w:rPr>
        <w:fldChar w:fldCharType="separate"/>
      </w:r>
      <w:r>
        <w:rPr>
          <w:rFonts w:eastAsia="仿宋_GB2312"/>
          <w:sz w:val="24"/>
          <w:szCs w:val="24"/>
        </w:rPr>
        <w:t>12</w:t>
      </w:r>
      <w:r>
        <w:rPr>
          <w:rFonts w:eastAsia="仿宋_GB2312"/>
          <w:sz w:val="24"/>
          <w:szCs w:val="24"/>
        </w:rPr>
        <w:fldChar w:fldCharType="end"/>
      </w:r>
      <w:r>
        <w:rPr>
          <w:rFonts w:eastAsia="仿宋_GB2312"/>
          <w:sz w:val="24"/>
          <w:szCs w:val="24"/>
        </w:rPr>
        <w:fldChar w:fldCharType="end"/>
      </w:r>
    </w:p>
    <w:p>
      <w:pPr>
        <w:pStyle w:val="29"/>
        <w:spacing w:line="360" w:lineRule="auto"/>
        <w:rPr>
          <w:rFonts w:eastAsia="仿宋_GB2312"/>
          <w:kern w:val="2"/>
          <w:sz w:val="24"/>
          <w:szCs w:val="24"/>
        </w:rPr>
      </w:pPr>
      <w:r>
        <w:fldChar w:fldCharType="begin"/>
      </w:r>
      <w:r>
        <w:instrText xml:space="preserve"> HYPERLINK \l "_Toc445822574" </w:instrText>
      </w:r>
      <w:r>
        <w:fldChar w:fldCharType="separate"/>
      </w:r>
      <w:r>
        <w:rPr>
          <w:rStyle w:val="41"/>
          <w:rFonts w:eastAsia="仿宋_GB2312"/>
          <w:sz w:val="24"/>
          <w:szCs w:val="24"/>
        </w:rPr>
        <w:t>八、估价原则</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_Toc445822574 \h </w:instrText>
      </w:r>
      <w:r>
        <w:rPr>
          <w:rFonts w:eastAsia="仿宋_GB2312"/>
          <w:sz w:val="24"/>
          <w:szCs w:val="24"/>
        </w:rPr>
        <w:fldChar w:fldCharType="separate"/>
      </w:r>
      <w:r>
        <w:rPr>
          <w:rFonts w:eastAsia="仿宋_GB2312"/>
          <w:sz w:val="24"/>
          <w:szCs w:val="24"/>
        </w:rPr>
        <w:t>13</w:t>
      </w:r>
      <w:r>
        <w:rPr>
          <w:rFonts w:eastAsia="仿宋_GB2312"/>
          <w:sz w:val="24"/>
          <w:szCs w:val="24"/>
        </w:rPr>
        <w:fldChar w:fldCharType="end"/>
      </w:r>
      <w:r>
        <w:rPr>
          <w:rFonts w:eastAsia="仿宋_GB2312"/>
          <w:sz w:val="24"/>
          <w:szCs w:val="24"/>
        </w:rPr>
        <w:fldChar w:fldCharType="end"/>
      </w:r>
    </w:p>
    <w:p>
      <w:pPr>
        <w:pStyle w:val="29"/>
        <w:spacing w:line="360" w:lineRule="auto"/>
        <w:rPr>
          <w:rFonts w:eastAsia="仿宋_GB2312"/>
          <w:kern w:val="2"/>
          <w:sz w:val="24"/>
          <w:szCs w:val="24"/>
        </w:rPr>
      </w:pPr>
      <w:r>
        <w:fldChar w:fldCharType="begin"/>
      </w:r>
      <w:r>
        <w:instrText xml:space="preserve"> HYPERLINK \l "_Toc445822575" </w:instrText>
      </w:r>
      <w:r>
        <w:fldChar w:fldCharType="separate"/>
      </w:r>
      <w:r>
        <w:rPr>
          <w:rStyle w:val="41"/>
          <w:rFonts w:eastAsia="仿宋_GB2312"/>
          <w:sz w:val="24"/>
          <w:szCs w:val="24"/>
        </w:rPr>
        <w:t>九、估价方法</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_Toc445822575 \h </w:instrText>
      </w:r>
      <w:r>
        <w:rPr>
          <w:rFonts w:eastAsia="仿宋_GB2312"/>
          <w:sz w:val="24"/>
          <w:szCs w:val="24"/>
        </w:rPr>
        <w:fldChar w:fldCharType="separate"/>
      </w:r>
      <w:r>
        <w:rPr>
          <w:rFonts w:eastAsia="仿宋_GB2312"/>
          <w:sz w:val="24"/>
          <w:szCs w:val="24"/>
        </w:rPr>
        <w:t>14</w:t>
      </w:r>
      <w:r>
        <w:rPr>
          <w:rFonts w:eastAsia="仿宋_GB2312"/>
          <w:sz w:val="24"/>
          <w:szCs w:val="24"/>
        </w:rPr>
        <w:fldChar w:fldCharType="end"/>
      </w:r>
      <w:r>
        <w:rPr>
          <w:rFonts w:eastAsia="仿宋_GB2312"/>
          <w:sz w:val="24"/>
          <w:szCs w:val="24"/>
        </w:rPr>
        <w:fldChar w:fldCharType="end"/>
      </w:r>
    </w:p>
    <w:p>
      <w:pPr>
        <w:pStyle w:val="29"/>
        <w:spacing w:line="360" w:lineRule="auto"/>
        <w:rPr>
          <w:rFonts w:eastAsia="仿宋_GB2312"/>
          <w:kern w:val="2"/>
          <w:sz w:val="24"/>
          <w:szCs w:val="24"/>
        </w:rPr>
      </w:pPr>
      <w:r>
        <w:fldChar w:fldCharType="begin"/>
      </w:r>
      <w:r>
        <w:instrText xml:space="preserve"> HYPERLINK \l "_Toc445822576" </w:instrText>
      </w:r>
      <w:r>
        <w:fldChar w:fldCharType="separate"/>
      </w:r>
      <w:r>
        <w:rPr>
          <w:rStyle w:val="41"/>
          <w:rFonts w:eastAsia="仿宋_GB2312"/>
          <w:sz w:val="24"/>
          <w:szCs w:val="24"/>
        </w:rPr>
        <w:t>十、估价结果</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_Toc445822576 \h </w:instrText>
      </w:r>
      <w:r>
        <w:rPr>
          <w:rFonts w:eastAsia="仿宋_GB2312"/>
          <w:sz w:val="24"/>
          <w:szCs w:val="24"/>
        </w:rPr>
        <w:fldChar w:fldCharType="separate"/>
      </w:r>
      <w:r>
        <w:rPr>
          <w:rFonts w:eastAsia="仿宋_GB2312"/>
          <w:sz w:val="24"/>
          <w:szCs w:val="24"/>
        </w:rPr>
        <w:t>15</w:t>
      </w:r>
      <w:r>
        <w:rPr>
          <w:rFonts w:eastAsia="仿宋_GB2312"/>
          <w:sz w:val="24"/>
          <w:szCs w:val="24"/>
        </w:rPr>
        <w:fldChar w:fldCharType="end"/>
      </w:r>
      <w:r>
        <w:rPr>
          <w:rFonts w:eastAsia="仿宋_GB2312"/>
          <w:sz w:val="24"/>
          <w:szCs w:val="24"/>
        </w:rPr>
        <w:fldChar w:fldCharType="end"/>
      </w:r>
    </w:p>
    <w:p>
      <w:pPr>
        <w:pStyle w:val="29"/>
        <w:spacing w:line="360" w:lineRule="auto"/>
        <w:rPr>
          <w:rFonts w:eastAsia="仿宋_GB2312"/>
          <w:kern w:val="2"/>
          <w:sz w:val="24"/>
          <w:szCs w:val="24"/>
        </w:rPr>
      </w:pPr>
      <w:r>
        <w:fldChar w:fldCharType="begin"/>
      </w:r>
      <w:r>
        <w:instrText xml:space="preserve"> HYPERLINK \l "_Toc445822577" </w:instrText>
      </w:r>
      <w:r>
        <w:fldChar w:fldCharType="separate"/>
      </w:r>
      <w:r>
        <w:rPr>
          <w:rStyle w:val="41"/>
          <w:rFonts w:eastAsia="仿宋_GB2312"/>
          <w:sz w:val="24"/>
          <w:szCs w:val="24"/>
        </w:rPr>
        <w:t>十一、注册房地产估价师</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_Toc445822577 \h </w:instrText>
      </w:r>
      <w:r>
        <w:rPr>
          <w:rFonts w:eastAsia="仿宋_GB2312"/>
          <w:sz w:val="24"/>
          <w:szCs w:val="24"/>
        </w:rPr>
        <w:fldChar w:fldCharType="separate"/>
      </w:r>
      <w:r>
        <w:rPr>
          <w:rFonts w:eastAsia="仿宋_GB2312"/>
          <w:sz w:val="24"/>
          <w:szCs w:val="24"/>
        </w:rPr>
        <w:t>15</w:t>
      </w:r>
      <w:r>
        <w:rPr>
          <w:rFonts w:eastAsia="仿宋_GB2312"/>
          <w:sz w:val="24"/>
          <w:szCs w:val="24"/>
        </w:rPr>
        <w:fldChar w:fldCharType="end"/>
      </w:r>
      <w:r>
        <w:rPr>
          <w:rFonts w:eastAsia="仿宋_GB2312"/>
          <w:sz w:val="24"/>
          <w:szCs w:val="24"/>
        </w:rPr>
        <w:fldChar w:fldCharType="end"/>
      </w:r>
    </w:p>
    <w:p>
      <w:pPr>
        <w:pStyle w:val="29"/>
        <w:spacing w:line="360" w:lineRule="auto"/>
        <w:rPr>
          <w:rFonts w:eastAsia="仿宋_GB2312"/>
          <w:kern w:val="2"/>
          <w:sz w:val="24"/>
          <w:szCs w:val="24"/>
        </w:rPr>
      </w:pPr>
      <w:r>
        <w:fldChar w:fldCharType="begin"/>
      </w:r>
      <w:r>
        <w:instrText xml:space="preserve"> HYPERLINK \l "_Toc445822578" </w:instrText>
      </w:r>
      <w:r>
        <w:fldChar w:fldCharType="separate"/>
      </w:r>
      <w:r>
        <w:rPr>
          <w:rStyle w:val="41"/>
          <w:rFonts w:eastAsia="仿宋_GB2312"/>
          <w:sz w:val="24"/>
          <w:szCs w:val="24"/>
        </w:rPr>
        <w:t>十二、实地查勘期</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_Toc445822578 \h </w:instrText>
      </w:r>
      <w:r>
        <w:rPr>
          <w:rFonts w:eastAsia="仿宋_GB2312"/>
          <w:sz w:val="24"/>
          <w:szCs w:val="24"/>
        </w:rPr>
        <w:fldChar w:fldCharType="separate"/>
      </w:r>
      <w:r>
        <w:rPr>
          <w:rFonts w:eastAsia="仿宋_GB2312"/>
          <w:sz w:val="24"/>
          <w:szCs w:val="24"/>
        </w:rPr>
        <w:t>16</w:t>
      </w:r>
      <w:r>
        <w:rPr>
          <w:rFonts w:eastAsia="仿宋_GB2312"/>
          <w:sz w:val="24"/>
          <w:szCs w:val="24"/>
        </w:rPr>
        <w:fldChar w:fldCharType="end"/>
      </w:r>
      <w:r>
        <w:rPr>
          <w:rFonts w:eastAsia="仿宋_GB2312"/>
          <w:sz w:val="24"/>
          <w:szCs w:val="24"/>
        </w:rPr>
        <w:fldChar w:fldCharType="end"/>
      </w:r>
    </w:p>
    <w:p>
      <w:pPr>
        <w:pStyle w:val="29"/>
        <w:spacing w:line="360" w:lineRule="auto"/>
        <w:rPr>
          <w:rFonts w:eastAsia="仿宋_GB2312"/>
          <w:kern w:val="2"/>
          <w:sz w:val="24"/>
          <w:szCs w:val="24"/>
        </w:rPr>
      </w:pPr>
      <w:r>
        <w:fldChar w:fldCharType="begin"/>
      </w:r>
      <w:r>
        <w:instrText xml:space="preserve"> HYPERLINK \l "_Toc445822579" </w:instrText>
      </w:r>
      <w:r>
        <w:fldChar w:fldCharType="separate"/>
      </w:r>
      <w:r>
        <w:rPr>
          <w:rStyle w:val="41"/>
          <w:rFonts w:eastAsia="仿宋_GB2312"/>
          <w:sz w:val="24"/>
          <w:szCs w:val="24"/>
        </w:rPr>
        <w:t>十三、估价作业日期</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_Toc445822579 \h </w:instrText>
      </w:r>
      <w:r>
        <w:rPr>
          <w:rFonts w:eastAsia="仿宋_GB2312"/>
          <w:sz w:val="24"/>
          <w:szCs w:val="24"/>
        </w:rPr>
        <w:fldChar w:fldCharType="separate"/>
      </w:r>
      <w:r>
        <w:rPr>
          <w:rFonts w:eastAsia="仿宋_GB2312"/>
          <w:sz w:val="24"/>
          <w:szCs w:val="24"/>
        </w:rPr>
        <w:t>16</w:t>
      </w:r>
      <w:r>
        <w:rPr>
          <w:rFonts w:eastAsia="仿宋_GB2312"/>
          <w:sz w:val="24"/>
          <w:szCs w:val="24"/>
        </w:rPr>
        <w:fldChar w:fldCharType="end"/>
      </w:r>
      <w:r>
        <w:rPr>
          <w:rFonts w:eastAsia="仿宋_GB2312"/>
          <w:sz w:val="24"/>
          <w:szCs w:val="24"/>
        </w:rPr>
        <w:fldChar w:fldCharType="end"/>
      </w:r>
    </w:p>
    <w:p>
      <w:pPr>
        <w:pStyle w:val="24"/>
        <w:spacing w:line="360" w:lineRule="auto"/>
        <w:rPr>
          <w:rFonts w:eastAsia="仿宋_GB2312"/>
          <w:kern w:val="2"/>
          <w:sz w:val="24"/>
          <w:szCs w:val="24"/>
        </w:rPr>
      </w:pPr>
      <w:r>
        <w:fldChar w:fldCharType="begin"/>
      </w:r>
      <w:r>
        <w:instrText xml:space="preserve"> HYPERLINK \l "_Toc445822587" </w:instrText>
      </w:r>
      <w:r>
        <w:fldChar w:fldCharType="separate"/>
      </w:r>
      <w:r>
        <w:rPr>
          <w:rStyle w:val="41"/>
          <w:rFonts w:eastAsia="仿宋_GB2312"/>
          <w:sz w:val="24"/>
          <w:szCs w:val="24"/>
        </w:rPr>
        <w:t>附件</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_Toc445822587 \h </w:instrText>
      </w:r>
      <w:r>
        <w:rPr>
          <w:rFonts w:eastAsia="仿宋_GB2312"/>
          <w:sz w:val="24"/>
          <w:szCs w:val="24"/>
        </w:rPr>
        <w:fldChar w:fldCharType="separate"/>
      </w:r>
      <w:r>
        <w:rPr>
          <w:rFonts w:eastAsia="仿宋_GB2312"/>
          <w:sz w:val="24"/>
          <w:szCs w:val="24"/>
        </w:rPr>
        <w:t>17</w:t>
      </w:r>
      <w:r>
        <w:rPr>
          <w:rFonts w:eastAsia="仿宋_GB2312"/>
          <w:sz w:val="24"/>
          <w:szCs w:val="24"/>
        </w:rPr>
        <w:fldChar w:fldCharType="end"/>
      </w:r>
      <w:r>
        <w:rPr>
          <w:rFonts w:eastAsia="仿宋_GB2312"/>
          <w:sz w:val="24"/>
          <w:szCs w:val="24"/>
        </w:rPr>
        <w:fldChar w:fldCharType="end"/>
      </w:r>
    </w:p>
    <w:p>
      <w:pPr>
        <w:spacing w:line="360" w:lineRule="auto"/>
        <w:rPr>
          <w:rFonts w:eastAsia="仿宋_GB2312"/>
          <w:sz w:val="24"/>
          <w:szCs w:val="24"/>
        </w:rPr>
      </w:pPr>
      <w:r>
        <w:rPr>
          <w:rFonts w:eastAsia="仿宋_GB2312"/>
          <w:sz w:val="24"/>
          <w:szCs w:val="24"/>
        </w:rPr>
        <w:fldChar w:fldCharType="end"/>
      </w:r>
    </w:p>
    <w:p>
      <w:pPr>
        <w:numPr>
          <w:ilvl w:val="0"/>
          <w:numId w:val="5"/>
        </w:numPr>
        <w:tabs>
          <w:tab w:val="left" w:pos="900"/>
          <w:tab w:val="left" w:pos="7965"/>
        </w:tabs>
        <w:adjustRightInd/>
        <w:spacing w:line="288" w:lineRule="auto"/>
        <w:ind w:leftChars="200" w:hangingChars="175"/>
        <w:textAlignment w:val="auto"/>
        <w:rPr>
          <w:rFonts w:eastAsia="仿宋_GB2312"/>
          <w:sz w:val="24"/>
          <w:szCs w:val="24"/>
        </w:rPr>
        <w:sectPr>
          <w:headerReference r:id="rId5" w:type="default"/>
          <w:footerReference r:id="rId6" w:type="default"/>
          <w:pgSz w:w="11906" w:h="16838"/>
          <w:pgMar w:top="1440" w:right="1080" w:bottom="1440" w:left="1080" w:header="907" w:footer="851" w:gutter="284"/>
          <w:pgNumType w:start="1"/>
          <w:cols w:space="720" w:num="1"/>
          <w:docGrid w:linePitch="286" w:charSpace="0"/>
        </w:sectPr>
      </w:pPr>
    </w:p>
    <w:p>
      <w:pPr>
        <w:pStyle w:val="2"/>
        <w:numPr>
          <w:ilvl w:val="0"/>
          <w:numId w:val="0"/>
        </w:numPr>
        <w:spacing w:before="120" w:beforeLines="50" w:line="360" w:lineRule="auto"/>
        <w:ind w:right="0"/>
        <w:jc w:val="center"/>
        <w:rPr>
          <w:rFonts w:ascii="宋体" w:hAnsi="宋体" w:eastAsia="宋体"/>
          <w:b/>
          <w:sz w:val="36"/>
          <w:szCs w:val="36"/>
        </w:rPr>
      </w:pPr>
      <w:bookmarkStart w:id="11" w:name="_Toc445822564"/>
      <w:r>
        <w:rPr>
          <w:rFonts w:ascii="宋体" w:hAnsi="宋体" w:eastAsia="宋体"/>
          <w:b/>
          <w:sz w:val="36"/>
          <w:szCs w:val="36"/>
        </w:rPr>
        <w:t>估价师声明</w:t>
      </w:r>
      <w:bookmarkEnd w:id="6"/>
      <w:bookmarkEnd w:id="8"/>
      <w:bookmarkEnd w:id="11"/>
    </w:p>
    <w:p>
      <w:pPr>
        <w:tabs>
          <w:tab w:val="left" w:pos="900"/>
          <w:tab w:val="left" w:pos="7965"/>
        </w:tabs>
        <w:adjustRightInd/>
        <w:spacing w:before="50" w:line="360" w:lineRule="auto"/>
        <w:textAlignment w:val="auto"/>
        <w:rPr>
          <w:rFonts w:eastAsia="仿宋_GB2312"/>
          <w:sz w:val="28"/>
          <w:szCs w:val="28"/>
        </w:rPr>
      </w:pPr>
      <w:r>
        <w:rPr>
          <w:rFonts w:eastAsia="仿宋_GB2312"/>
          <w:sz w:val="28"/>
          <w:szCs w:val="28"/>
        </w:rPr>
        <w:t>我们郑重声明：</w:t>
      </w:r>
    </w:p>
    <w:p>
      <w:pPr>
        <w:numPr>
          <w:ilvl w:val="0"/>
          <w:numId w:val="6"/>
        </w:numPr>
        <w:tabs>
          <w:tab w:val="left" w:pos="900"/>
        </w:tabs>
        <w:adjustRightInd/>
        <w:spacing w:before="50" w:line="360" w:lineRule="auto"/>
        <w:ind w:left="0" w:firstLine="560" w:firstLineChars="200"/>
        <w:textAlignment w:val="auto"/>
        <w:rPr>
          <w:rFonts w:eastAsia="仿宋_GB2312"/>
          <w:sz w:val="28"/>
          <w:szCs w:val="28"/>
        </w:rPr>
      </w:pPr>
      <w:r>
        <w:rPr>
          <w:rFonts w:hint="eastAsia" w:eastAsia="仿宋_GB2312"/>
          <w:sz w:val="28"/>
          <w:szCs w:val="28"/>
        </w:rPr>
        <w:t>注册房地产估价师</w:t>
      </w:r>
      <w:r>
        <w:rPr>
          <w:rFonts w:eastAsia="仿宋_GB2312"/>
          <w:sz w:val="28"/>
          <w:szCs w:val="28"/>
        </w:rPr>
        <w:t>在本估价报告中</w:t>
      </w:r>
      <w:r>
        <w:rPr>
          <w:rFonts w:hint="eastAsia" w:eastAsia="仿宋_GB2312"/>
          <w:sz w:val="28"/>
          <w:szCs w:val="28"/>
        </w:rPr>
        <w:t>对事实的说明是真实和准确的，没有虚假记载、误导性陈述和重大遗漏</w:t>
      </w:r>
      <w:r>
        <w:rPr>
          <w:rFonts w:eastAsia="仿宋_GB2312"/>
          <w:sz w:val="28"/>
          <w:szCs w:val="28"/>
        </w:rPr>
        <w:t>。</w:t>
      </w:r>
    </w:p>
    <w:p>
      <w:pPr>
        <w:numPr>
          <w:ilvl w:val="0"/>
          <w:numId w:val="6"/>
        </w:numPr>
        <w:tabs>
          <w:tab w:val="left" w:pos="900"/>
        </w:tabs>
        <w:adjustRightInd/>
        <w:spacing w:before="50" w:line="360" w:lineRule="auto"/>
        <w:ind w:left="0" w:firstLine="560" w:firstLineChars="200"/>
        <w:textAlignment w:val="auto"/>
        <w:rPr>
          <w:rFonts w:eastAsia="仿宋_GB2312"/>
          <w:sz w:val="28"/>
          <w:szCs w:val="28"/>
        </w:rPr>
      </w:pPr>
      <w:r>
        <w:rPr>
          <w:rFonts w:eastAsia="仿宋_GB2312"/>
          <w:sz w:val="28"/>
          <w:szCs w:val="28"/>
        </w:rPr>
        <w:t>本估价报告中的分析、意见和结论是我们自己</w:t>
      </w:r>
      <w:r>
        <w:rPr>
          <w:rFonts w:hint="eastAsia" w:eastAsia="仿宋_GB2312"/>
          <w:sz w:val="28"/>
          <w:szCs w:val="28"/>
        </w:rPr>
        <w:t>独立、客观、公正的专业分析、意见和结论</w:t>
      </w:r>
      <w:r>
        <w:rPr>
          <w:rFonts w:eastAsia="仿宋_GB2312"/>
          <w:sz w:val="28"/>
          <w:szCs w:val="28"/>
        </w:rPr>
        <w:t>，但受到本估价报告中已说明的假设和限制条件的限制。</w:t>
      </w:r>
    </w:p>
    <w:p>
      <w:pPr>
        <w:numPr>
          <w:ilvl w:val="0"/>
          <w:numId w:val="6"/>
        </w:numPr>
        <w:tabs>
          <w:tab w:val="left" w:pos="900"/>
        </w:tabs>
        <w:adjustRightInd/>
        <w:spacing w:before="50" w:line="360" w:lineRule="auto"/>
        <w:ind w:left="0" w:firstLine="560" w:firstLineChars="200"/>
        <w:textAlignment w:val="auto"/>
        <w:rPr>
          <w:rFonts w:eastAsia="仿宋_GB2312"/>
          <w:sz w:val="28"/>
          <w:szCs w:val="28"/>
        </w:rPr>
      </w:pPr>
      <w:r>
        <w:rPr>
          <w:rFonts w:hint="eastAsia" w:eastAsia="仿宋_GB2312"/>
          <w:sz w:val="28"/>
          <w:szCs w:val="28"/>
        </w:rPr>
        <w:t>注册房地产估价师与估价报告中的估价对象没有现实或潜在的利益，与估价委托人及估价利害关系人没有利害关系，也对估价对象、估价委托人及估价利害关系人没有偏见</w:t>
      </w:r>
      <w:r>
        <w:rPr>
          <w:rFonts w:eastAsia="仿宋_GB2312"/>
          <w:sz w:val="28"/>
          <w:szCs w:val="28"/>
        </w:rPr>
        <w:t>。</w:t>
      </w:r>
    </w:p>
    <w:p>
      <w:pPr>
        <w:numPr>
          <w:ilvl w:val="0"/>
          <w:numId w:val="6"/>
        </w:numPr>
        <w:tabs>
          <w:tab w:val="left" w:pos="735"/>
          <w:tab w:val="left" w:pos="900"/>
        </w:tabs>
        <w:adjustRightInd/>
        <w:spacing w:before="50" w:line="360" w:lineRule="auto"/>
        <w:ind w:left="0" w:firstLine="560" w:firstLineChars="200"/>
        <w:textAlignment w:val="auto"/>
        <w:rPr>
          <w:rFonts w:eastAsia="仿宋_GB2312"/>
          <w:sz w:val="28"/>
          <w:szCs w:val="28"/>
        </w:rPr>
      </w:pPr>
      <w:r>
        <w:rPr>
          <w:rFonts w:hint="eastAsia" w:eastAsia="仿宋_GB2312"/>
          <w:sz w:val="28"/>
          <w:szCs w:val="28"/>
        </w:rPr>
        <w:t>注册房地产估价师是按照《房地产估价规范》、《房地产估价基本术语标准》等有关房地产估价标准的规定进行估价工作，撰写估价报告。</w:t>
      </w:r>
    </w:p>
    <w:p>
      <w:pPr>
        <w:numPr>
          <w:ilvl w:val="0"/>
          <w:numId w:val="6"/>
        </w:numPr>
        <w:tabs>
          <w:tab w:val="left" w:pos="900"/>
          <w:tab w:val="left" w:pos="7965"/>
        </w:tabs>
        <w:adjustRightInd/>
        <w:spacing w:before="50" w:line="360" w:lineRule="auto"/>
        <w:ind w:left="0" w:firstLine="560" w:firstLineChars="200"/>
        <w:textAlignment w:val="auto"/>
        <w:rPr>
          <w:rFonts w:eastAsia="仿宋_GB2312"/>
          <w:sz w:val="28"/>
          <w:szCs w:val="28"/>
        </w:rPr>
      </w:pPr>
      <w:r>
        <w:rPr>
          <w:rFonts w:eastAsia="仿宋_GB2312"/>
          <w:sz w:val="28"/>
          <w:szCs w:val="28"/>
        </w:rPr>
        <w:t>本公司的估价人员</w:t>
      </w:r>
      <w:r>
        <w:rPr>
          <w:rFonts w:hint="eastAsia" w:eastAsia="仿宋_GB2312"/>
          <w:sz w:val="28"/>
          <w:szCs w:val="28"/>
        </w:rPr>
        <w:t>王营、王翊</w:t>
      </w:r>
      <w:r>
        <w:rPr>
          <w:rFonts w:eastAsia="仿宋_GB2312"/>
          <w:sz w:val="28"/>
          <w:szCs w:val="28"/>
        </w:rPr>
        <w:t>已于</w:t>
      </w:r>
      <w:r>
        <w:rPr>
          <w:rFonts w:hint="eastAsia" w:eastAsia="仿宋_GB2312"/>
          <w:sz w:val="28"/>
          <w:szCs w:val="28"/>
          <w:lang w:eastAsia="zh-CN"/>
        </w:rPr>
        <w:t>二〇二二年二月二十一日</w:t>
      </w:r>
      <w:r>
        <w:rPr>
          <w:rFonts w:eastAsia="仿宋_GB2312"/>
          <w:sz w:val="28"/>
          <w:szCs w:val="28"/>
        </w:rPr>
        <w:t>对本估价报告中的估价对象进行了实地查勘，但我们对估价对象的现场查勘仅限于其外观和使用状况，对被遮盖、未暴露及难以接触到的部分，依据估价委托人提供的资料进行评估。我们不承担对估价对象建筑结构质量进行调查的责任。</w:t>
      </w:r>
    </w:p>
    <w:p>
      <w:pPr>
        <w:numPr>
          <w:ilvl w:val="0"/>
          <w:numId w:val="6"/>
        </w:numPr>
        <w:tabs>
          <w:tab w:val="left" w:pos="900"/>
          <w:tab w:val="left" w:pos="7965"/>
        </w:tabs>
        <w:adjustRightInd/>
        <w:spacing w:before="50" w:line="360" w:lineRule="auto"/>
        <w:ind w:left="0" w:firstLine="560" w:firstLineChars="200"/>
        <w:textAlignment w:val="auto"/>
        <w:rPr>
          <w:rFonts w:eastAsia="仿宋_GB2312"/>
          <w:sz w:val="28"/>
          <w:szCs w:val="28"/>
        </w:rPr>
      </w:pPr>
      <w:r>
        <w:rPr>
          <w:rFonts w:hint="eastAsia" w:eastAsia="仿宋_GB2312"/>
          <w:sz w:val="28"/>
          <w:szCs w:val="28"/>
        </w:rPr>
        <w:t>注册房地产估价师对估价对象的法律权属状况给予必要的关注，对估价对象的法律权属资料进行了查验，并对已经发现的问题进行了如实披露。注册房地产估价师执行估价业务的目的是对估价对象价值进行估算并发表专业意见，对估价对象法律权属确认或发表意见超出注册房地产估价师执业范围。注册房地产估价师不具有对估价对象法律权属确认或发表意见的能力，不对估价对象的法律权属提供保证。</w:t>
      </w:r>
    </w:p>
    <w:p>
      <w:pPr>
        <w:numPr>
          <w:ilvl w:val="0"/>
          <w:numId w:val="6"/>
        </w:numPr>
        <w:tabs>
          <w:tab w:val="left" w:pos="900"/>
          <w:tab w:val="left" w:pos="7965"/>
        </w:tabs>
        <w:adjustRightInd/>
        <w:spacing w:before="50" w:line="360" w:lineRule="auto"/>
        <w:ind w:left="0" w:firstLine="560" w:firstLineChars="200"/>
        <w:textAlignment w:val="auto"/>
        <w:rPr>
          <w:rFonts w:eastAsia="仿宋_GB2312"/>
          <w:sz w:val="28"/>
          <w:szCs w:val="28"/>
        </w:rPr>
      </w:pPr>
      <w:r>
        <w:rPr>
          <w:rFonts w:eastAsia="仿宋_GB2312"/>
          <w:sz w:val="28"/>
          <w:szCs w:val="28"/>
        </w:rPr>
        <w:t>没有人对本估价报告提供重要专业帮助。</w:t>
      </w:r>
    </w:p>
    <w:p>
      <w:pPr>
        <w:pStyle w:val="60"/>
        <w:spacing w:before="50" w:line="360" w:lineRule="auto"/>
        <w:ind w:left="845" w:firstLine="0" w:firstLineChars="0"/>
        <w:rPr>
          <w:rFonts w:eastAsia="仿宋_GB2312"/>
          <w:sz w:val="28"/>
          <w:szCs w:val="28"/>
        </w:rPr>
      </w:pPr>
      <w:bookmarkStart w:id="12" w:name="_Toc176599973"/>
      <w:bookmarkStart w:id="13" w:name="_Toc94523116"/>
      <w:bookmarkStart w:id="14" w:name="_Toc265159669"/>
      <w:bookmarkStart w:id="15" w:name="_Toc94523054"/>
    </w:p>
    <w:p>
      <w:pPr>
        <w:pStyle w:val="60"/>
        <w:spacing w:before="50" w:line="360" w:lineRule="auto"/>
        <w:ind w:left="845" w:firstLine="0" w:firstLineChars="0"/>
        <w:rPr>
          <w:rFonts w:eastAsia="仿宋_GB2312"/>
          <w:sz w:val="28"/>
          <w:szCs w:val="28"/>
        </w:rPr>
      </w:pPr>
    </w:p>
    <w:p>
      <w:pPr>
        <w:pStyle w:val="60"/>
        <w:spacing w:before="50" w:line="360" w:lineRule="auto"/>
        <w:ind w:left="845" w:firstLine="0" w:firstLineChars="0"/>
        <w:rPr>
          <w:rFonts w:eastAsia="仿宋_GB2312"/>
          <w:sz w:val="28"/>
          <w:szCs w:val="28"/>
        </w:rPr>
      </w:pPr>
      <w:r>
        <w:rPr>
          <w:rFonts w:eastAsia="仿宋_GB2312"/>
          <w:sz w:val="28"/>
          <w:szCs w:val="28"/>
        </w:rPr>
        <w:t>参加本次估价的注册房地产估价师：</w:t>
      </w:r>
    </w:p>
    <w:tbl>
      <w:tblPr>
        <w:tblStyle w:val="34"/>
        <w:tblW w:w="9420" w:type="dxa"/>
        <w:tblInd w:w="0" w:type="dxa"/>
        <w:tblLayout w:type="fixed"/>
        <w:tblCellMar>
          <w:top w:w="0" w:type="dxa"/>
          <w:left w:w="108" w:type="dxa"/>
          <w:bottom w:w="0" w:type="dxa"/>
          <w:right w:w="108" w:type="dxa"/>
        </w:tblCellMar>
      </w:tblPr>
      <w:tblGrid>
        <w:gridCol w:w="2685"/>
        <w:gridCol w:w="828"/>
        <w:gridCol w:w="2124"/>
        <w:gridCol w:w="2089"/>
        <w:gridCol w:w="1413"/>
        <w:gridCol w:w="281"/>
      </w:tblGrid>
      <w:tr>
        <w:tblPrEx>
          <w:tblCellMar>
            <w:top w:w="0" w:type="dxa"/>
            <w:left w:w="108" w:type="dxa"/>
            <w:bottom w:w="0" w:type="dxa"/>
            <w:right w:w="108" w:type="dxa"/>
          </w:tblCellMar>
        </w:tblPrEx>
        <w:trPr>
          <w:gridAfter w:val="1"/>
          <w:wAfter w:w="281" w:type="dxa"/>
          <w:trHeight w:val="557" w:hRule="atLeast"/>
        </w:trPr>
        <w:tc>
          <w:tcPr>
            <w:tcW w:w="3513" w:type="dxa"/>
            <w:gridSpan w:val="2"/>
            <w:tcBorders>
              <w:bottom w:val="single" w:color="auto" w:sz="4" w:space="0"/>
            </w:tcBorders>
            <w:vAlign w:val="bottom"/>
          </w:tcPr>
          <w:p>
            <w:pPr>
              <w:spacing w:before="120" w:beforeLines="50" w:line="240" w:lineRule="auto"/>
              <w:ind w:left="-105" w:leftChars="-50" w:right="-105" w:rightChars="-50"/>
              <w:jc w:val="center"/>
              <w:rPr>
                <w:rFonts w:eastAsia="仿宋_GB2312"/>
                <w:sz w:val="28"/>
                <w:szCs w:val="18"/>
              </w:rPr>
            </w:pPr>
            <w:r>
              <w:rPr>
                <w:rFonts w:eastAsia="仿宋_GB2312"/>
                <w:sz w:val="28"/>
                <w:szCs w:val="18"/>
              </w:rPr>
              <w:t>注册房地产估价师姓名</w:t>
            </w:r>
          </w:p>
        </w:tc>
        <w:tc>
          <w:tcPr>
            <w:tcW w:w="4213" w:type="dxa"/>
            <w:gridSpan w:val="2"/>
            <w:tcBorders>
              <w:bottom w:val="single" w:color="auto" w:sz="4" w:space="0"/>
            </w:tcBorders>
            <w:vAlign w:val="bottom"/>
          </w:tcPr>
          <w:p>
            <w:pPr>
              <w:spacing w:before="120" w:beforeLines="50" w:line="240" w:lineRule="auto"/>
              <w:ind w:left="-105" w:leftChars="-50" w:right="-105" w:rightChars="-50"/>
              <w:jc w:val="center"/>
              <w:rPr>
                <w:rFonts w:eastAsia="仿宋_GB2312"/>
                <w:sz w:val="28"/>
                <w:szCs w:val="18"/>
              </w:rPr>
            </w:pPr>
            <w:r>
              <w:rPr>
                <w:rFonts w:eastAsia="仿宋_GB2312"/>
                <w:sz w:val="28"/>
                <w:szCs w:val="18"/>
              </w:rPr>
              <w:t>房地产估价师注册号（章）</w:t>
            </w:r>
          </w:p>
        </w:tc>
        <w:tc>
          <w:tcPr>
            <w:tcW w:w="1413" w:type="dxa"/>
            <w:tcBorders>
              <w:bottom w:val="single" w:color="auto" w:sz="4" w:space="0"/>
            </w:tcBorders>
            <w:vAlign w:val="bottom"/>
          </w:tcPr>
          <w:p>
            <w:pPr>
              <w:spacing w:before="120" w:beforeLines="50" w:line="240" w:lineRule="auto"/>
              <w:ind w:left="-105" w:leftChars="-50" w:right="-105" w:rightChars="-50"/>
              <w:jc w:val="center"/>
              <w:rPr>
                <w:rFonts w:eastAsia="仿宋_GB2312"/>
                <w:sz w:val="28"/>
                <w:szCs w:val="18"/>
              </w:rPr>
            </w:pPr>
            <w:r>
              <w:rPr>
                <w:rFonts w:eastAsia="仿宋_GB2312"/>
                <w:sz w:val="28"/>
                <w:szCs w:val="18"/>
              </w:rPr>
              <w:t>签名</w:t>
            </w:r>
          </w:p>
        </w:tc>
      </w:tr>
      <w:tr>
        <w:tblPrEx>
          <w:tblCellMar>
            <w:top w:w="0" w:type="dxa"/>
            <w:left w:w="108" w:type="dxa"/>
            <w:bottom w:w="0" w:type="dxa"/>
            <w:right w:w="108" w:type="dxa"/>
          </w:tblCellMar>
        </w:tblPrEx>
        <w:trPr>
          <w:gridAfter w:val="1"/>
          <w:wAfter w:w="281" w:type="dxa"/>
          <w:trHeight w:val="557" w:hRule="atLeast"/>
        </w:trPr>
        <w:tc>
          <w:tcPr>
            <w:tcW w:w="2685" w:type="dxa"/>
            <w:tcBorders>
              <w:top w:val="single" w:color="auto" w:sz="4" w:space="0"/>
              <w:left w:val="single" w:color="auto" w:sz="4" w:space="0"/>
            </w:tcBorders>
            <w:vAlign w:val="bottom"/>
          </w:tcPr>
          <w:p>
            <w:pPr>
              <w:spacing w:before="120" w:beforeLines="50" w:line="240" w:lineRule="auto"/>
              <w:ind w:left="-105" w:leftChars="-50" w:right="-105" w:rightChars="-50"/>
              <w:jc w:val="center"/>
              <w:rPr>
                <w:rFonts w:eastAsia="仿宋_GB2312"/>
                <w:sz w:val="28"/>
                <w:szCs w:val="18"/>
              </w:rPr>
            </w:pPr>
          </w:p>
        </w:tc>
        <w:tc>
          <w:tcPr>
            <w:tcW w:w="828" w:type="dxa"/>
            <w:tcBorders>
              <w:top w:val="single" w:color="auto" w:sz="4" w:space="0"/>
              <w:left w:val="single" w:color="auto" w:sz="4" w:space="0"/>
            </w:tcBorders>
            <w:vAlign w:val="bottom"/>
          </w:tcPr>
          <w:p>
            <w:pPr>
              <w:spacing w:before="120" w:beforeLines="50" w:line="240" w:lineRule="auto"/>
              <w:ind w:right="-105" w:rightChars="-50"/>
              <w:jc w:val="center"/>
              <w:rPr>
                <w:rFonts w:eastAsia="仿宋_GB2312"/>
                <w:sz w:val="28"/>
                <w:szCs w:val="18"/>
              </w:rPr>
            </w:pPr>
          </w:p>
        </w:tc>
        <w:tc>
          <w:tcPr>
            <w:tcW w:w="2124" w:type="dxa"/>
            <w:tcBorders>
              <w:top w:val="single" w:color="auto" w:sz="4" w:space="0"/>
              <w:right w:val="single" w:color="auto" w:sz="4" w:space="0"/>
            </w:tcBorders>
            <w:vAlign w:val="bottom"/>
          </w:tcPr>
          <w:p>
            <w:pPr>
              <w:spacing w:before="120" w:beforeLines="50" w:line="240" w:lineRule="auto"/>
              <w:ind w:left="-105" w:leftChars="-50" w:right="-105" w:rightChars="-50"/>
              <w:jc w:val="center"/>
              <w:rPr>
                <w:rFonts w:eastAsia="仿宋_GB2312"/>
                <w:sz w:val="28"/>
                <w:szCs w:val="18"/>
              </w:rPr>
            </w:pPr>
          </w:p>
        </w:tc>
        <w:tc>
          <w:tcPr>
            <w:tcW w:w="2089" w:type="dxa"/>
            <w:tcBorders>
              <w:top w:val="single" w:color="auto" w:sz="4" w:space="0"/>
              <w:left w:val="single" w:color="auto" w:sz="4" w:space="0"/>
            </w:tcBorders>
            <w:vAlign w:val="bottom"/>
          </w:tcPr>
          <w:p>
            <w:pPr>
              <w:spacing w:before="120" w:beforeLines="50" w:line="240" w:lineRule="auto"/>
              <w:ind w:left="-105" w:leftChars="-50" w:right="-105" w:rightChars="-50"/>
              <w:jc w:val="center"/>
              <w:rPr>
                <w:rFonts w:eastAsia="仿宋_GB2312"/>
                <w:sz w:val="28"/>
                <w:szCs w:val="18"/>
              </w:rPr>
            </w:pPr>
          </w:p>
        </w:tc>
        <w:tc>
          <w:tcPr>
            <w:tcW w:w="1413" w:type="dxa"/>
            <w:tcBorders>
              <w:top w:val="single" w:color="auto" w:sz="4" w:space="0"/>
              <w:right w:val="single" w:color="auto" w:sz="4" w:space="0"/>
            </w:tcBorders>
            <w:vAlign w:val="bottom"/>
          </w:tcPr>
          <w:p>
            <w:pPr>
              <w:spacing w:before="120" w:beforeLines="50" w:line="240" w:lineRule="auto"/>
              <w:ind w:left="-105" w:leftChars="-50" w:right="-105" w:rightChars="-50"/>
              <w:jc w:val="center"/>
              <w:rPr>
                <w:rFonts w:eastAsia="仿宋_GB2312"/>
                <w:sz w:val="28"/>
                <w:szCs w:val="18"/>
              </w:rPr>
            </w:pPr>
          </w:p>
        </w:tc>
      </w:tr>
      <w:tr>
        <w:tblPrEx>
          <w:tblCellMar>
            <w:top w:w="0" w:type="dxa"/>
            <w:left w:w="108" w:type="dxa"/>
            <w:bottom w:w="0" w:type="dxa"/>
            <w:right w:w="108" w:type="dxa"/>
          </w:tblCellMar>
        </w:tblPrEx>
        <w:trPr>
          <w:gridAfter w:val="1"/>
          <w:wAfter w:w="281" w:type="dxa"/>
          <w:trHeight w:val="557" w:hRule="atLeast"/>
        </w:trPr>
        <w:tc>
          <w:tcPr>
            <w:tcW w:w="2685" w:type="dxa"/>
            <w:tcBorders>
              <w:left w:val="single" w:color="auto" w:sz="4" w:space="0"/>
            </w:tcBorders>
            <w:vAlign w:val="bottom"/>
          </w:tcPr>
          <w:p>
            <w:pPr>
              <w:spacing w:before="120" w:beforeLines="50" w:line="240" w:lineRule="auto"/>
              <w:jc w:val="center"/>
              <w:rPr>
                <w:rFonts w:eastAsia="仿宋_GB2312"/>
                <w:sz w:val="28"/>
                <w:szCs w:val="28"/>
              </w:rPr>
            </w:pPr>
            <w:r>
              <w:rPr>
                <w:rFonts w:eastAsia="仿宋_GB2312"/>
                <w:sz w:val="28"/>
                <w:szCs w:val="18"/>
              </w:rPr>
              <w:t>王营</w:t>
            </w:r>
          </w:p>
        </w:tc>
        <w:tc>
          <w:tcPr>
            <w:tcW w:w="2952" w:type="dxa"/>
            <w:gridSpan w:val="2"/>
            <w:tcBorders>
              <w:left w:val="single" w:color="auto" w:sz="4" w:space="0"/>
              <w:right w:val="single" w:color="auto" w:sz="4" w:space="0"/>
            </w:tcBorders>
            <w:vAlign w:val="center"/>
          </w:tcPr>
          <w:p>
            <w:pPr>
              <w:spacing w:before="120" w:beforeLines="50" w:line="240" w:lineRule="auto"/>
              <w:jc w:val="center"/>
              <w:rPr>
                <w:rFonts w:eastAsia="仿宋_GB2312"/>
                <w:sz w:val="28"/>
                <w:szCs w:val="28"/>
              </w:rPr>
            </w:pPr>
            <w:r>
              <w:rPr>
                <w:rFonts w:hint="eastAsia" w:eastAsia="仿宋_GB2312"/>
                <w:sz w:val="28"/>
                <w:szCs w:val="28"/>
              </w:rPr>
              <w:t>2120150056</w:t>
            </w:r>
          </w:p>
        </w:tc>
        <w:tc>
          <w:tcPr>
            <w:tcW w:w="2089" w:type="dxa"/>
            <w:tcBorders>
              <w:left w:val="single" w:color="auto" w:sz="4" w:space="0"/>
            </w:tcBorders>
            <w:vAlign w:val="bottom"/>
          </w:tcPr>
          <w:p>
            <w:pPr>
              <w:spacing w:before="120" w:beforeLines="50" w:line="240" w:lineRule="auto"/>
              <w:jc w:val="center"/>
              <w:rPr>
                <w:rFonts w:eastAsia="仿宋_GB2312"/>
                <w:sz w:val="28"/>
                <w:szCs w:val="28"/>
              </w:rPr>
            </w:pPr>
          </w:p>
        </w:tc>
        <w:tc>
          <w:tcPr>
            <w:tcW w:w="1413" w:type="dxa"/>
            <w:tcBorders>
              <w:right w:val="single" w:color="auto" w:sz="4" w:space="0"/>
            </w:tcBorders>
            <w:vAlign w:val="bottom"/>
          </w:tcPr>
          <w:p>
            <w:pPr>
              <w:spacing w:before="120" w:beforeLines="50" w:line="240" w:lineRule="auto"/>
              <w:jc w:val="center"/>
              <w:rPr>
                <w:rFonts w:eastAsia="仿宋_GB2312"/>
                <w:sz w:val="28"/>
                <w:szCs w:val="28"/>
              </w:rPr>
            </w:pPr>
          </w:p>
        </w:tc>
      </w:tr>
      <w:tr>
        <w:tblPrEx>
          <w:tblCellMar>
            <w:top w:w="0" w:type="dxa"/>
            <w:left w:w="108" w:type="dxa"/>
            <w:bottom w:w="0" w:type="dxa"/>
            <w:right w:w="108" w:type="dxa"/>
          </w:tblCellMar>
        </w:tblPrEx>
        <w:trPr>
          <w:gridAfter w:val="1"/>
          <w:wAfter w:w="281" w:type="dxa"/>
          <w:trHeight w:val="618" w:hRule="atLeast"/>
        </w:trPr>
        <w:tc>
          <w:tcPr>
            <w:tcW w:w="2685" w:type="dxa"/>
            <w:tcBorders>
              <w:left w:val="single" w:color="auto" w:sz="4" w:space="0"/>
              <w:bottom w:val="single" w:color="auto" w:sz="4" w:space="0"/>
            </w:tcBorders>
            <w:vAlign w:val="bottom"/>
          </w:tcPr>
          <w:p>
            <w:pPr>
              <w:spacing w:before="120" w:beforeLines="50" w:line="240" w:lineRule="auto"/>
              <w:jc w:val="center"/>
              <w:rPr>
                <w:rFonts w:eastAsia="仿宋_GB2312"/>
                <w:sz w:val="28"/>
                <w:szCs w:val="28"/>
              </w:rPr>
            </w:pPr>
          </w:p>
        </w:tc>
        <w:tc>
          <w:tcPr>
            <w:tcW w:w="828" w:type="dxa"/>
            <w:tcBorders>
              <w:left w:val="single" w:color="auto" w:sz="4" w:space="0"/>
              <w:bottom w:val="single" w:color="auto" w:sz="4" w:space="0"/>
            </w:tcBorders>
            <w:vAlign w:val="bottom"/>
          </w:tcPr>
          <w:p>
            <w:pPr>
              <w:spacing w:before="120" w:beforeLines="50" w:line="240" w:lineRule="auto"/>
              <w:jc w:val="center"/>
              <w:rPr>
                <w:rFonts w:eastAsia="仿宋_GB2312"/>
                <w:sz w:val="28"/>
                <w:szCs w:val="28"/>
              </w:rPr>
            </w:pPr>
          </w:p>
        </w:tc>
        <w:tc>
          <w:tcPr>
            <w:tcW w:w="2124" w:type="dxa"/>
            <w:tcBorders>
              <w:bottom w:val="single" w:color="auto" w:sz="4" w:space="0"/>
              <w:right w:val="single" w:color="auto" w:sz="4" w:space="0"/>
            </w:tcBorders>
            <w:vAlign w:val="bottom"/>
          </w:tcPr>
          <w:p>
            <w:pPr>
              <w:spacing w:before="120" w:beforeLines="50" w:line="240" w:lineRule="auto"/>
              <w:jc w:val="center"/>
              <w:rPr>
                <w:rFonts w:eastAsia="仿宋_GB2312"/>
                <w:sz w:val="28"/>
                <w:szCs w:val="28"/>
              </w:rPr>
            </w:pPr>
          </w:p>
        </w:tc>
        <w:tc>
          <w:tcPr>
            <w:tcW w:w="2089" w:type="dxa"/>
            <w:tcBorders>
              <w:left w:val="single" w:color="auto" w:sz="4" w:space="0"/>
              <w:bottom w:val="single" w:color="auto" w:sz="4" w:space="0"/>
            </w:tcBorders>
            <w:vAlign w:val="bottom"/>
          </w:tcPr>
          <w:p>
            <w:pPr>
              <w:spacing w:before="120" w:beforeLines="50" w:line="240" w:lineRule="auto"/>
              <w:jc w:val="center"/>
              <w:rPr>
                <w:rFonts w:eastAsia="仿宋_GB2312"/>
                <w:sz w:val="28"/>
                <w:szCs w:val="28"/>
              </w:rPr>
            </w:pPr>
          </w:p>
        </w:tc>
        <w:tc>
          <w:tcPr>
            <w:tcW w:w="1413" w:type="dxa"/>
            <w:tcBorders>
              <w:bottom w:val="single" w:color="auto" w:sz="4" w:space="0"/>
              <w:right w:val="single" w:color="auto" w:sz="4" w:space="0"/>
            </w:tcBorders>
            <w:vAlign w:val="bottom"/>
          </w:tcPr>
          <w:p>
            <w:pPr>
              <w:spacing w:before="120" w:beforeLines="50" w:line="240" w:lineRule="auto"/>
              <w:jc w:val="center"/>
              <w:rPr>
                <w:rFonts w:eastAsia="仿宋_GB2312"/>
                <w:sz w:val="28"/>
                <w:szCs w:val="28"/>
              </w:rPr>
            </w:pPr>
          </w:p>
        </w:tc>
      </w:tr>
      <w:tr>
        <w:tblPrEx>
          <w:tblCellMar>
            <w:top w:w="0" w:type="dxa"/>
            <w:left w:w="108" w:type="dxa"/>
            <w:bottom w:w="0" w:type="dxa"/>
            <w:right w:w="108" w:type="dxa"/>
          </w:tblCellMar>
        </w:tblPrEx>
        <w:trPr>
          <w:gridAfter w:val="1"/>
          <w:wAfter w:w="281" w:type="dxa"/>
          <w:trHeight w:val="242" w:hRule="atLeast"/>
        </w:trPr>
        <w:tc>
          <w:tcPr>
            <w:tcW w:w="2685" w:type="dxa"/>
            <w:tcBorders>
              <w:top w:val="single" w:color="auto" w:sz="4" w:space="0"/>
              <w:left w:val="single" w:color="auto" w:sz="4" w:space="0"/>
            </w:tcBorders>
            <w:vAlign w:val="bottom"/>
          </w:tcPr>
          <w:p>
            <w:pPr>
              <w:spacing w:before="120" w:beforeLines="50" w:line="240" w:lineRule="auto"/>
              <w:jc w:val="center"/>
              <w:rPr>
                <w:rFonts w:eastAsia="仿宋_GB2312"/>
                <w:sz w:val="28"/>
                <w:szCs w:val="28"/>
              </w:rPr>
            </w:pPr>
          </w:p>
        </w:tc>
        <w:tc>
          <w:tcPr>
            <w:tcW w:w="828" w:type="dxa"/>
            <w:tcBorders>
              <w:top w:val="single" w:color="auto" w:sz="4" w:space="0"/>
              <w:left w:val="single" w:color="auto" w:sz="4" w:space="0"/>
            </w:tcBorders>
            <w:vAlign w:val="bottom"/>
          </w:tcPr>
          <w:p>
            <w:pPr>
              <w:spacing w:before="120" w:beforeLines="50" w:line="240" w:lineRule="auto"/>
              <w:jc w:val="center"/>
              <w:rPr>
                <w:rFonts w:eastAsia="仿宋_GB2312"/>
                <w:sz w:val="28"/>
                <w:szCs w:val="28"/>
              </w:rPr>
            </w:pPr>
          </w:p>
        </w:tc>
        <w:tc>
          <w:tcPr>
            <w:tcW w:w="2124" w:type="dxa"/>
            <w:tcBorders>
              <w:top w:val="single" w:color="auto" w:sz="4" w:space="0"/>
              <w:right w:val="single" w:color="auto" w:sz="4" w:space="0"/>
            </w:tcBorders>
            <w:vAlign w:val="bottom"/>
          </w:tcPr>
          <w:p>
            <w:pPr>
              <w:spacing w:before="120" w:beforeLines="50" w:line="240" w:lineRule="auto"/>
              <w:jc w:val="center"/>
              <w:rPr>
                <w:rFonts w:eastAsia="仿宋_GB2312"/>
                <w:sz w:val="28"/>
                <w:szCs w:val="28"/>
              </w:rPr>
            </w:pPr>
          </w:p>
        </w:tc>
        <w:tc>
          <w:tcPr>
            <w:tcW w:w="2089" w:type="dxa"/>
            <w:tcBorders>
              <w:top w:val="single" w:color="auto" w:sz="4" w:space="0"/>
              <w:left w:val="single" w:color="auto" w:sz="4" w:space="0"/>
            </w:tcBorders>
            <w:vAlign w:val="bottom"/>
          </w:tcPr>
          <w:p>
            <w:pPr>
              <w:spacing w:before="120" w:beforeLines="50" w:line="240" w:lineRule="auto"/>
              <w:jc w:val="center"/>
              <w:rPr>
                <w:rFonts w:eastAsia="仿宋_GB2312"/>
                <w:sz w:val="28"/>
                <w:szCs w:val="28"/>
              </w:rPr>
            </w:pPr>
          </w:p>
        </w:tc>
        <w:tc>
          <w:tcPr>
            <w:tcW w:w="1413" w:type="dxa"/>
            <w:tcBorders>
              <w:top w:val="single" w:color="auto" w:sz="4" w:space="0"/>
              <w:right w:val="single" w:color="auto" w:sz="4" w:space="0"/>
            </w:tcBorders>
            <w:vAlign w:val="bottom"/>
          </w:tcPr>
          <w:p>
            <w:pPr>
              <w:spacing w:before="120" w:beforeLines="50" w:line="240" w:lineRule="auto"/>
              <w:jc w:val="center"/>
              <w:rPr>
                <w:rFonts w:eastAsia="仿宋_GB2312"/>
                <w:sz w:val="28"/>
                <w:szCs w:val="28"/>
              </w:rPr>
            </w:pPr>
          </w:p>
        </w:tc>
      </w:tr>
      <w:tr>
        <w:tblPrEx>
          <w:tblCellMar>
            <w:top w:w="0" w:type="dxa"/>
            <w:left w:w="108" w:type="dxa"/>
            <w:bottom w:w="0" w:type="dxa"/>
            <w:right w:w="108" w:type="dxa"/>
          </w:tblCellMar>
        </w:tblPrEx>
        <w:trPr>
          <w:gridAfter w:val="1"/>
          <w:wAfter w:w="281" w:type="dxa"/>
          <w:trHeight w:val="557" w:hRule="atLeast"/>
        </w:trPr>
        <w:tc>
          <w:tcPr>
            <w:tcW w:w="2685" w:type="dxa"/>
            <w:tcBorders>
              <w:left w:val="single" w:color="auto" w:sz="4" w:space="0"/>
            </w:tcBorders>
            <w:vAlign w:val="bottom"/>
          </w:tcPr>
          <w:p>
            <w:pPr>
              <w:spacing w:before="120" w:beforeLines="50" w:line="240" w:lineRule="auto"/>
              <w:jc w:val="center"/>
              <w:rPr>
                <w:rFonts w:eastAsia="仿宋_GB2312"/>
                <w:sz w:val="28"/>
                <w:szCs w:val="28"/>
              </w:rPr>
            </w:pPr>
            <w:r>
              <w:rPr>
                <w:rFonts w:hint="eastAsia" w:eastAsia="仿宋_GB2312"/>
                <w:sz w:val="28"/>
                <w:szCs w:val="28"/>
              </w:rPr>
              <w:t>王翊</w:t>
            </w:r>
          </w:p>
        </w:tc>
        <w:tc>
          <w:tcPr>
            <w:tcW w:w="2952" w:type="dxa"/>
            <w:gridSpan w:val="2"/>
            <w:tcBorders>
              <w:left w:val="single" w:color="auto" w:sz="4" w:space="0"/>
              <w:right w:val="single" w:color="auto" w:sz="4" w:space="0"/>
            </w:tcBorders>
            <w:vAlign w:val="bottom"/>
          </w:tcPr>
          <w:p>
            <w:pPr>
              <w:spacing w:before="120" w:beforeLines="50" w:line="240" w:lineRule="auto"/>
              <w:jc w:val="center"/>
              <w:rPr>
                <w:rFonts w:eastAsia="仿宋_GB2312"/>
                <w:sz w:val="28"/>
                <w:szCs w:val="28"/>
              </w:rPr>
            </w:pPr>
            <w:r>
              <w:rPr>
                <w:rFonts w:hint="eastAsia" w:eastAsia="仿宋_GB2312"/>
                <w:sz w:val="28"/>
                <w:szCs w:val="28"/>
              </w:rPr>
              <w:t>2120150034</w:t>
            </w:r>
          </w:p>
        </w:tc>
        <w:tc>
          <w:tcPr>
            <w:tcW w:w="2089" w:type="dxa"/>
            <w:tcBorders>
              <w:left w:val="single" w:color="auto" w:sz="4" w:space="0"/>
            </w:tcBorders>
            <w:vAlign w:val="bottom"/>
          </w:tcPr>
          <w:p>
            <w:pPr>
              <w:spacing w:before="120" w:beforeLines="50" w:line="240" w:lineRule="auto"/>
              <w:jc w:val="center"/>
              <w:rPr>
                <w:rFonts w:eastAsia="仿宋_GB2312"/>
                <w:sz w:val="28"/>
                <w:szCs w:val="28"/>
              </w:rPr>
            </w:pPr>
          </w:p>
        </w:tc>
        <w:tc>
          <w:tcPr>
            <w:tcW w:w="1413" w:type="dxa"/>
            <w:tcBorders>
              <w:right w:val="single" w:color="auto" w:sz="4" w:space="0"/>
            </w:tcBorders>
            <w:vAlign w:val="bottom"/>
          </w:tcPr>
          <w:p>
            <w:pPr>
              <w:spacing w:before="120" w:beforeLines="50" w:line="240" w:lineRule="auto"/>
              <w:jc w:val="center"/>
              <w:rPr>
                <w:rFonts w:eastAsia="仿宋_GB2312"/>
                <w:sz w:val="28"/>
                <w:szCs w:val="28"/>
              </w:rPr>
            </w:pPr>
          </w:p>
        </w:tc>
      </w:tr>
      <w:tr>
        <w:tblPrEx>
          <w:tblCellMar>
            <w:top w:w="0" w:type="dxa"/>
            <w:left w:w="108" w:type="dxa"/>
            <w:bottom w:w="0" w:type="dxa"/>
            <w:right w:w="108" w:type="dxa"/>
          </w:tblCellMar>
        </w:tblPrEx>
        <w:trPr>
          <w:gridAfter w:val="1"/>
          <w:wAfter w:w="281" w:type="dxa"/>
          <w:trHeight w:val="684" w:hRule="atLeast"/>
        </w:trPr>
        <w:tc>
          <w:tcPr>
            <w:tcW w:w="2685" w:type="dxa"/>
            <w:tcBorders>
              <w:left w:val="single" w:color="auto" w:sz="4" w:space="0"/>
              <w:bottom w:val="single" w:color="auto" w:sz="4" w:space="0"/>
            </w:tcBorders>
            <w:vAlign w:val="bottom"/>
          </w:tcPr>
          <w:p>
            <w:pPr>
              <w:spacing w:before="120" w:beforeLines="50" w:line="240" w:lineRule="auto"/>
              <w:jc w:val="center"/>
              <w:rPr>
                <w:rFonts w:eastAsia="仿宋_GB2312"/>
                <w:sz w:val="28"/>
                <w:szCs w:val="28"/>
              </w:rPr>
            </w:pPr>
          </w:p>
        </w:tc>
        <w:tc>
          <w:tcPr>
            <w:tcW w:w="828" w:type="dxa"/>
            <w:tcBorders>
              <w:left w:val="single" w:color="auto" w:sz="4" w:space="0"/>
              <w:bottom w:val="single" w:color="auto" w:sz="4" w:space="0"/>
            </w:tcBorders>
            <w:vAlign w:val="bottom"/>
          </w:tcPr>
          <w:p>
            <w:pPr>
              <w:spacing w:before="120" w:beforeLines="50" w:line="240" w:lineRule="auto"/>
              <w:jc w:val="center"/>
              <w:rPr>
                <w:rFonts w:eastAsia="仿宋_GB2312"/>
                <w:sz w:val="28"/>
                <w:szCs w:val="28"/>
              </w:rPr>
            </w:pPr>
          </w:p>
        </w:tc>
        <w:tc>
          <w:tcPr>
            <w:tcW w:w="2124" w:type="dxa"/>
            <w:tcBorders>
              <w:bottom w:val="single" w:color="auto" w:sz="4" w:space="0"/>
              <w:right w:val="single" w:color="auto" w:sz="4" w:space="0"/>
            </w:tcBorders>
            <w:vAlign w:val="bottom"/>
          </w:tcPr>
          <w:p>
            <w:pPr>
              <w:spacing w:before="120" w:beforeLines="50" w:line="240" w:lineRule="auto"/>
              <w:jc w:val="center"/>
              <w:rPr>
                <w:rFonts w:eastAsia="仿宋_GB2312"/>
                <w:sz w:val="28"/>
                <w:szCs w:val="28"/>
              </w:rPr>
            </w:pPr>
          </w:p>
        </w:tc>
        <w:tc>
          <w:tcPr>
            <w:tcW w:w="2089" w:type="dxa"/>
            <w:tcBorders>
              <w:left w:val="single" w:color="auto" w:sz="4" w:space="0"/>
              <w:bottom w:val="single" w:color="auto" w:sz="4" w:space="0"/>
            </w:tcBorders>
            <w:vAlign w:val="bottom"/>
          </w:tcPr>
          <w:p>
            <w:pPr>
              <w:spacing w:before="120" w:beforeLines="50" w:line="240" w:lineRule="auto"/>
              <w:jc w:val="center"/>
              <w:rPr>
                <w:rFonts w:eastAsia="仿宋_GB2312"/>
                <w:sz w:val="28"/>
                <w:szCs w:val="28"/>
              </w:rPr>
            </w:pPr>
          </w:p>
        </w:tc>
        <w:tc>
          <w:tcPr>
            <w:tcW w:w="1413" w:type="dxa"/>
            <w:tcBorders>
              <w:bottom w:val="single" w:color="auto" w:sz="4" w:space="0"/>
              <w:right w:val="single" w:color="auto" w:sz="4" w:space="0"/>
            </w:tcBorders>
            <w:vAlign w:val="bottom"/>
          </w:tcPr>
          <w:p>
            <w:pPr>
              <w:spacing w:before="120" w:beforeLines="50" w:line="240" w:lineRule="auto"/>
              <w:jc w:val="center"/>
              <w:rPr>
                <w:rFonts w:eastAsia="仿宋_GB2312"/>
                <w:sz w:val="28"/>
                <w:szCs w:val="28"/>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9420" w:type="dxa"/>
            <w:gridSpan w:val="6"/>
          </w:tcPr>
          <w:p>
            <w:pPr>
              <w:rPr>
                <w:rFonts w:eastAsia="仿宋_GB2312"/>
                <w:b/>
                <w:sz w:val="36"/>
                <w:szCs w:val="36"/>
              </w:rPr>
            </w:pPr>
          </w:p>
        </w:tc>
      </w:tr>
    </w:tbl>
    <w:p>
      <w:pPr>
        <w:rPr>
          <w:rFonts w:eastAsia="仿宋_GB2312"/>
          <w:b/>
          <w:sz w:val="36"/>
          <w:szCs w:val="36"/>
        </w:rPr>
      </w:pPr>
    </w:p>
    <w:p>
      <w:pPr>
        <w:spacing w:line="360" w:lineRule="auto"/>
        <w:jc w:val="center"/>
        <w:outlineLvl w:val="0"/>
        <w:rPr>
          <w:rFonts w:ascii="宋体" w:hAnsi="宋体"/>
          <w:b/>
          <w:sz w:val="36"/>
          <w:szCs w:val="36"/>
        </w:rPr>
      </w:pPr>
      <w:r>
        <w:rPr>
          <w:rFonts w:eastAsia="仿宋_GB2312"/>
          <w:b/>
          <w:sz w:val="36"/>
          <w:szCs w:val="36"/>
        </w:rPr>
        <w:br w:type="page"/>
      </w:r>
      <w:bookmarkEnd w:id="12"/>
      <w:bookmarkEnd w:id="13"/>
      <w:bookmarkEnd w:id="14"/>
      <w:bookmarkEnd w:id="15"/>
      <w:bookmarkStart w:id="16" w:name="_Toc445822565"/>
      <w:bookmarkStart w:id="17" w:name="_Toc269807867"/>
      <w:bookmarkStart w:id="18" w:name="_Toc527920373"/>
      <w:bookmarkStart w:id="19" w:name="_Toc94523055"/>
      <w:bookmarkStart w:id="20" w:name="_Toc265159670"/>
      <w:bookmarkStart w:id="21" w:name="_Toc176599974"/>
      <w:bookmarkStart w:id="22" w:name="_Toc94523117"/>
      <w:r>
        <w:rPr>
          <w:rFonts w:ascii="宋体" w:hAnsi="宋体"/>
          <w:b/>
          <w:sz w:val="36"/>
          <w:szCs w:val="36"/>
        </w:rPr>
        <w:t>估价假设和限制条件</w:t>
      </w:r>
      <w:bookmarkEnd w:id="16"/>
      <w:bookmarkEnd w:id="17"/>
      <w:bookmarkEnd w:id="18"/>
    </w:p>
    <w:bookmarkEnd w:id="19"/>
    <w:bookmarkEnd w:id="20"/>
    <w:bookmarkEnd w:id="21"/>
    <w:bookmarkEnd w:id="22"/>
    <w:p>
      <w:pPr>
        <w:numPr>
          <w:ilvl w:val="0"/>
          <w:numId w:val="7"/>
        </w:numPr>
        <w:tabs>
          <w:tab w:val="left" w:pos="567"/>
        </w:tabs>
        <w:spacing w:before="50" w:line="360" w:lineRule="auto"/>
        <w:rPr>
          <w:rFonts w:eastAsia="仿宋_GB2312"/>
          <w:b/>
          <w:sz w:val="28"/>
          <w:szCs w:val="28"/>
        </w:rPr>
      </w:pPr>
      <w:bookmarkStart w:id="23" w:name="_Toc269807868"/>
      <w:r>
        <w:rPr>
          <w:rFonts w:eastAsia="仿宋_GB2312"/>
          <w:b/>
          <w:sz w:val="28"/>
          <w:szCs w:val="28"/>
        </w:rPr>
        <w:t>估价的假设条件：</w:t>
      </w:r>
    </w:p>
    <w:p>
      <w:pPr>
        <w:numPr>
          <w:ilvl w:val="0"/>
          <w:numId w:val="8"/>
        </w:numPr>
        <w:tabs>
          <w:tab w:val="left" w:pos="567"/>
        </w:tabs>
        <w:spacing w:before="50" w:line="360" w:lineRule="auto"/>
        <w:rPr>
          <w:rFonts w:eastAsia="仿宋_GB2312"/>
          <w:b/>
          <w:sz w:val="28"/>
          <w:szCs w:val="28"/>
        </w:rPr>
      </w:pPr>
      <w:r>
        <w:rPr>
          <w:rFonts w:hint="eastAsia" w:eastAsia="仿宋_GB2312"/>
          <w:b/>
          <w:sz w:val="28"/>
          <w:szCs w:val="28"/>
        </w:rPr>
        <w:t>一般假设</w:t>
      </w:r>
    </w:p>
    <w:p>
      <w:pPr>
        <w:tabs>
          <w:tab w:val="left" w:pos="567"/>
        </w:tabs>
        <w:spacing w:line="360" w:lineRule="auto"/>
        <w:ind w:firstLine="560" w:firstLineChars="200"/>
        <w:rPr>
          <w:rFonts w:eastAsia="仿宋_GB2312"/>
          <w:sz w:val="28"/>
          <w:szCs w:val="28"/>
        </w:rPr>
      </w:pPr>
      <w:r>
        <w:rPr>
          <w:rFonts w:eastAsia="仿宋_GB2312"/>
          <w:sz w:val="28"/>
          <w:szCs w:val="28"/>
        </w:rPr>
        <w:t>1</w:t>
      </w:r>
      <w:r>
        <w:rPr>
          <w:rFonts w:hint="eastAsia" w:eastAsia="仿宋_GB2312"/>
          <w:sz w:val="28"/>
          <w:szCs w:val="28"/>
        </w:rPr>
        <w:t>．估价委托人提供了估价对象的房权证复印件，我们未向政府有关部门进行核实，在无理由怀疑其合法性、真实性、准确性和完整性的情况下，假定估价委托人提供的资料合法、真实、准确、完整。</w:t>
      </w:r>
    </w:p>
    <w:p>
      <w:pPr>
        <w:tabs>
          <w:tab w:val="left" w:pos="567"/>
        </w:tabs>
        <w:spacing w:line="360" w:lineRule="auto"/>
        <w:ind w:firstLine="560" w:firstLineChars="200"/>
        <w:rPr>
          <w:rFonts w:eastAsia="仿宋_GB2312"/>
          <w:sz w:val="28"/>
          <w:szCs w:val="28"/>
        </w:rPr>
      </w:pPr>
      <w:r>
        <w:rPr>
          <w:rFonts w:eastAsia="仿宋_GB2312"/>
          <w:sz w:val="28"/>
          <w:szCs w:val="28"/>
        </w:rPr>
        <w:t>2</w:t>
      </w:r>
      <w:r>
        <w:rPr>
          <w:rFonts w:hint="eastAsia" w:eastAsia="仿宋_GB2312"/>
          <w:sz w:val="28"/>
          <w:szCs w:val="28"/>
        </w:rPr>
        <w:t>．注册房地产估价师已对房屋安全、环境污染等影响估价对象价值的重大因素给予了关注，在无理由怀疑估价对象存在安全隐患且无相应的专业机构进行鉴定、检测的情况下，假定估价对象能正常安全使用。</w:t>
      </w:r>
    </w:p>
    <w:p>
      <w:pPr>
        <w:tabs>
          <w:tab w:val="left" w:pos="567"/>
        </w:tabs>
        <w:spacing w:line="360" w:lineRule="auto"/>
        <w:ind w:firstLine="560" w:firstLineChars="200"/>
        <w:rPr>
          <w:rFonts w:eastAsia="仿宋_GB2312"/>
          <w:sz w:val="28"/>
          <w:szCs w:val="28"/>
        </w:rPr>
      </w:pPr>
      <w:r>
        <w:rPr>
          <w:rFonts w:eastAsia="仿宋_GB2312"/>
          <w:sz w:val="28"/>
          <w:szCs w:val="28"/>
        </w:rPr>
        <w:t>3</w:t>
      </w:r>
      <w:r>
        <w:rPr>
          <w:rFonts w:hint="eastAsia" w:eastAsia="仿宋_GB2312"/>
          <w:sz w:val="28"/>
          <w:szCs w:val="28"/>
        </w:rPr>
        <w:t>．注册房地产估价师未对房屋建筑面积进行专业测量，经现场查勘观察，估价对象房屋建筑面积与房权证复印件记载的建筑面积大体相当。</w:t>
      </w:r>
    </w:p>
    <w:p>
      <w:pPr>
        <w:tabs>
          <w:tab w:val="left" w:pos="567"/>
        </w:tabs>
        <w:spacing w:line="360" w:lineRule="auto"/>
        <w:ind w:firstLine="560" w:firstLineChars="200"/>
        <w:rPr>
          <w:rFonts w:eastAsia="仿宋_GB2312"/>
          <w:sz w:val="28"/>
          <w:szCs w:val="28"/>
        </w:rPr>
      </w:pPr>
      <w:r>
        <w:rPr>
          <w:rFonts w:eastAsia="仿宋_GB2312"/>
          <w:sz w:val="28"/>
          <w:szCs w:val="28"/>
        </w:rPr>
        <w:t>4</w:t>
      </w:r>
      <w:r>
        <w:rPr>
          <w:rFonts w:hint="eastAsia" w:eastAsia="仿宋_GB2312"/>
          <w:sz w:val="28"/>
          <w:szCs w:val="28"/>
        </w:rPr>
        <w:t>．估价对象在价值时点的房地产市场为公开、平等、自愿的交易市场，即能满足以下条件：</w:t>
      </w:r>
    </w:p>
    <w:p>
      <w:pPr>
        <w:tabs>
          <w:tab w:val="left" w:pos="567"/>
        </w:tabs>
        <w:spacing w:line="360" w:lineRule="auto"/>
        <w:ind w:firstLine="560" w:firstLineChars="200"/>
        <w:rPr>
          <w:rFonts w:eastAsia="仿宋_GB2312"/>
          <w:sz w:val="28"/>
          <w:szCs w:val="28"/>
        </w:rPr>
      </w:pPr>
      <w:r>
        <w:rPr>
          <w:rFonts w:hint="eastAsia" w:eastAsia="仿宋_GB2312"/>
          <w:sz w:val="28"/>
          <w:szCs w:val="28"/>
        </w:rPr>
        <w:t>（</w:t>
      </w:r>
      <w:r>
        <w:rPr>
          <w:rFonts w:eastAsia="仿宋_GB2312"/>
          <w:sz w:val="28"/>
          <w:szCs w:val="28"/>
        </w:rPr>
        <w:t>1</w:t>
      </w:r>
      <w:r>
        <w:rPr>
          <w:rFonts w:hint="eastAsia" w:eastAsia="仿宋_GB2312"/>
          <w:sz w:val="28"/>
          <w:szCs w:val="28"/>
        </w:rPr>
        <w:t>）交易双方自愿地进行交易；</w:t>
      </w:r>
    </w:p>
    <w:p>
      <w:pPr>
        <w:tabs>
          <w:tab w:val="left" w:pos="567"/>
        </w:tabs>
        <w:spacing w:line="360" w:lineRule="auto"/>
        <w:ind w:firstLine="560" w:firstLineChars="200"/>
        <w:rPr>
          <w:rFonts w:eastAsia="仿宋_GB2312"/>
          <w:sz w:val="28"/>
          <w:szCs w:val="28"/>
        </w:rPr>
      </w:pPr>
      <w:r>
        <w:rPr>
          <w:rFonts w:hint="eastAsia" w:eastAsia="仿宋_GB2312"/>
          <w:sz w:val="28"/>
          <w:szCs w:val="28"/>
        </w:rPr>
        <w:t>（</w:t>
      </w:r>
      <w:r>
        <w:rPr>
          <w:rFonts w:eastAsia="仿宋_GB2312"/>
          <w:sz w:val="28"/>
          <w:szCs w:val="28"/>
        </w:rPr>
        <w:t>2</w:t>
      </w:r>
      <w:r>
        <w:rPr>
          <w:rFonts w:hint="eastAsia" w:eastAsia="仿宋_GB2312"/>
          <w:sz w:val="28"/>
          <w:szCs w:val="28"/>
        </w:rPr>
        <w:t>）交易双方处于利己动机进行交易；</w:t>
      </w:r>
    </w:p>
    <w:p>
      <w:pPr>
        <w:tabs>
          <w:tab w:val="left" w:pos="567"/>
        </w:tabs>
        <w:spacing w:line="360" w:lineRule="auto"/>
        <w:ind w:firstLine="560" w:firstLineChars="200"/>
        <w:rPr>
          <w:rFonts w:eastAsia="仿宋_GB2312"/>
          <w:sz w:val="28"/>
          <w:szCs w:val="28"/>
        </w:rPr>
      </w:pPr>
      <w:r>
        <w:rPr>
          <w:rFonts w:hint="eastAsia" w:eastAsia="仿宋_GB2312"/>
          <w:sz w:val="28"/>
          <w:szCs w:val="28"/>
        </w:rPr>
        <w:t>（</w:t>
      </w:r>
      <w:r>
        <w:rPr>
          <w:rFonts w:eastAsia="仿宋_GB2312"/>
          <w:sz w:val="28"/>
          <w:szCs w:val="28"/>
        </w:rPr>
        <w:t>3</w:t>
      </w:r>
      <w:r>
        <w:rPr>
          <w:rFonts w:hint="eastAsia" w:eastAsia="仿宋_GB2312"/>
          <w:sz w:val="28"/>
          <w:szCs w:val="28"/>
        </w:rPr>
        <w:t>）交易双方精明、谨慎行事，并了解交易对象、知晓市场行情；</w:t>
      </w:r>
    </w:p>
    <w:p>
      <w:pPr>
        <w:tabs>
          <w:tab w:val="left" w:pos="567"/>
        </w:tabs>
        <w:spacing w:line="360" w:lineRule="auto"/>
        <w:ind w:firstLine="560" w:firstLineChars="200"/>
        <w:rPr>
          <w:rFonts w:eastAsia="仿宋_GB2312"/>
          <w:sz w:val="28"/>
          <w:szCs w:val="28"/>
        </w:rPr>
      </w:pPr>
      <w:r>
        <w:rPr>
          <w:rFonts w:hint="eastAsia" w:eastAsia="仿宋_GB2312"/>
          <w:sz w:val="28"/>
          <w:szCs w:val="28"/>
        </w:rPr>
        <w:t>（</w:t>
      </w:r>
      <w:r>
        <w:rPr>
          <w:rFonts w:eastAsia="仿宋_GB2312"/>
          <w:sz w:val="28"/>
          <w:szCs w:val="28"/>
        </w:rPr>
        <w:t>4</w:t>
      </w:r>
      <w:r>
        <w:rPr>
          <w:rFonts w:hint="eastAsia" w:eastAsia="仿宋_GB2312"/>
          <w:sz w:val="28"/>
          <w:szCs w:val="28"/>
        </w:rPr>
        <w:t>）交易双方有较充裕的时间进行交易；</w:t>
      </w:r>
    </w:p>
    <w:p>
      <w:pPr>
        <w:tabs>
          <w:tab w:val="left" w:pos="567"/>
        </w:tabs>
        <w:spacing w:line="360" w:lineRule="auto"/>
        <w:ind w:firstLine="560" w:firstLineChars="200"/>
        <w:rPr>
          <w:rFonts w:eastAsia="仿宋_GB2312"/>
          <w:sz w:val="28"/>
          <w:szCs w:val="28"/>
        </w:rPr>
      </w:pPr>
      <w:r>
        <w:rPr>
          <w:rFonts w:hint="eastAsia" w:eastAsia="仿宋_GB2312"/>
          <w:sz w:val="28"/>
          <w:szCs w:val="28"/>
        </w:rPr>
        <w:t>（</w:t>
      </w:r>
      <w:r>
        <w:rPr>
          <w:rFonts w:eastAsia="仿宋_GB2312"/>
          <w:sz w:val="28"/>
          <w:szCs w:val="28"/>
        </w:rPr>
        <w:t>5</w:t>
      </w:r>
      <w:r>
        <w:rPr>
          <w:rFonts w:hint="eastAsia" w:eastAsia="仿宋_GB2312"/>
          <w:sz w:val="28"/>
          <w:szCs w:val="28"/>
        </w:rPr>
        <w:t>）不存在买者因特殊兴趣而给予附加出价</w:t>
      </w:r>
      <w:r>
        <w:rPr>
          <w:rFonts w:eastAsia="仿宋_GB2312"/>
          <w:sz w:val="28"/>
          <w:szCs w:val="28"/>
        </w:rPr>
        <w:t>;</w:t>
      </w:r>
    </w:p>
    <w:p>
      <w:pPr>
        <w:tabs>
          <w:tab w:val="left" w:pos="567"/>
        </w:tabs>
        <w:spacing w:line="360" w:lineRule="auto"/>
        <w:ind w:firstLine="560" w:firstLineChars="200"/>
        <w:rPr>
          <w:rFonts w:eastAsia="仿宋_GB2312"/>
          <w:sz w:val="28"/>
          <w:szCs w:val="28"/>
        </w:rPr>
      </w:pPr>
      <w:r>
        <w:rPr>
          <w:rFonts w:eastAsia="仿宋_GB2312"/>
          <w:sz w:val="28"/>
          <w:szCs w:val="28"/>
        </w:rPr>
        <w:t>5</w:t>
      </w:r>
      <w:r>
        <w:rPr>
          <w:rFonts w:hint="eastAsia" w:eastAsia="仿宋_GB2312"/>
          <w:sz w:val="28"/>
          <w:szCs w:val="28"/>
        </w:rPr>
        <w:t>．估价对象应享有公共部位的通行权及水电等共用设施的使用权；</w:t>
      </w:r>
    </w:p>
    <w:p>
      <w:pPr>
        <w:tabs>
          <w:tab w:val="left" w:pos="567"/>
        </w:tabs>
        <w:spacing w:line="360" w:lineRule="auto"/>
        <w:ind w:firstLine="560" w:firstLineChars="200"/>
        <w:rPr>
          <w:rFonts w:eastAsia="仿宋_GB2312"/>
          <w:sz w:val="28"/>
          <w:szCs w:val="28"/>
        </w:rPr>
      </w:pPr>
      <w:r>
        <w:rPr>
          <w:rFonts w:hint="eastAsia" w:eastAsia="仿宋_GB2312"/>
          <w:sz w:val="28"/>
          <w:szCs w:val="28"/>
        </w:rPr>
        <w:t>6. 委托方设定本次估价价值时点为</w:t>
      </w:r>
      <w:r>
        <w:rPr>
          <w:rFonts w:hint="eastAsia" w:eastAsia="仿宋_GB2312"/>
          <w:sz w:val="28"/>
          <w:szCs w:val="28"/>
          <w:lang w:eastAsia="zh-CN"/>
        </w:rPr>
        <w:t>2022年2月21</w:t>
      </w:r>
      <w:r>
        <w:rPr>
          <w:rFonts w:hint="eastAsia" w:eastAsia="仿宋_GB2312"/>
          <w:sz w:val="28"/>
          <w:szCs w:val="28"/>
        </w:rPr>
        <w:t>日，完成实地查勘日期为</w:t>
      </w:r>
      <w:r>
        <w:rPr>
          <w:rFonts w:hint="eastAsia" w:eastAsia="仿宋_GB2312"/>
          <w:sz w:val="28"/>
          <w:szCs w:val="28"/>
          <w:lang w:eastAsia="zh-CN"/>
        </w:rPr>
        <w:t>2022年2月21</w:t>
      </w:r>
      <w:r>
        <w:rPr>
          <w:rFonts w:hint="eastAsia" w:eastAsia="仿宋_GB2312"/>
          <w:sz w:val="28"/>
          <w:szCs w:val="28"/>
        </w:rPr>
        <w:t>日，价值时点与完成实地查勘日期一致；</w:t>
      </w:r>
    </w:p>
    <w:p>
      <w:pPr>
        <w:tabs>
          <w:tab w:val="left" w:pos="567"/>
        </w:tabs>
        <w:spacing w:line="360" w:lineRule="auto"/>
        <w:ind w:firstLine="560" w:firstLineChars="200"/>
        <w:rPr>
          <w:rFonts w:eastAsia="仿宋_GB2312"/>
          <w:sz w:val="28"/>
          <w:szCs w:val="28"/>
        </w:rPr>
      </w:pPr>
      <w:r>
        <w:rPr>
          <w:rFonts w:hint="eastAsia" w:eastAsia="仿宋_GB2312"/>
          <w:sz w:val="28"/>
          <w:szCs w:val="28"/>
        </w:rPr>
        <w:t>7在价值时点，估价对象处于</w:t>
      </w:r>
      <w:r>
        <w:rPr>
          <w:rFonts w:hint="eastAsia" w:eastAsia="仿宋_GB2312"/>
          <w:sz w:val="28"/>
          <w:szCs w:val="28"/>
          <w:lang w:val="en-US" w:eastAsia="zh-CN"/>
        </w:rPr>
        <w:t>空置</w:t>
      </w:r>
      <w:r>
        <w:rPr>
          <w:rFonts w:hint="eastAsia" w:eastAsia="仿宋_GB2312"/>
          <w:sz w:val="28"/>
          <w:szCs w:val="28"/>
        </w:rPr>
        <w:t>状态，不知道是否出租，本次估价不考虑出租状态对估价对象价值的影响。</w:t>
      </w:r>
    </w:p>
    <w:p>
      <w:pPr>
        <w:tabs>
          <w:tab w:val="left" w:pos="567"/>
        </w:tabs>
        <w:spacing w:line="360" w:lineRule="auto"/>
        <w:ind w:firstLine="560" w:firstLineChars="200"/>
        <w:rPr>
          <w:rFonts w:eastAsia="仿宋_GB2312"/>
          <w:b/>
          <w:sz w:val="28"/>
          <w:szCs w:val="28"/>
        </w:rPr>
      </w:pPr>
      <w:r>
        <w:rPr>
          <w:rFonts w:hint="eastAsia" w:eastAsia="仿宋_GB2312"/>
          <w:sz w:val="28"/>
          <w:szCs w:val="28"/>
        </w:rPr>
        <w:t>8.本次估价结果对应的交易税费负担方式为全部由受让方负担。</w:t>
      </w:r>
    </w:p>
    <w:p>
      <w:pPr>
        <w:tabs>
          <w:tab w:val="left" w:pos="567"/>
        </w:tabs>
        <w:spacing w:line="360" w:lineRule="auto"/>
        <w:ind w:firstLine="562" w:firstLineChars="200"/>
        <w:rPr>
          <w:rFonts w:eastAsia="仿宋_GB2312"/>
          <w:b/>
          <w:sz w:val="28"/>
          <w:szCs w:val="28"/>
        </w:rPr>
      </w:pPr>
    </w:p>
    <w:p>
      <w:pPr>
        <w:numPr>
          <w:ilvl w:val="0"/>
          <w:numId w:val="8"/>
        </w:numPr>
        <w:tabs>
          <w:tab w:val="left" w:pos="567"/>
        </w:tabs>
        <w:spacing w:before="50" w:line="360" w:lineRule="auto"/>
        <w:rPr>
          <w:rFonts w:eastAsia="仿宋_GB2312"/>
          <w:b/>
          <w:sz w:val="28"/>
          <w:szCs w:val="28"/>
        </w:rPr>
      </w:pPr>
      <w:r>
        <w:rPr>
          <w:rFonts w:hint="eastAsia" w:eastAsia="仿宋_GB2312"/>
          <w:b/>
          <w:sz w:val="28"/>
          <w:szCs w:val="28"/>
        </w:rPr>
        <w:t>未定事项假设</w:t>
      </w:r>
    </w:p>
    <w:p>
      <w:pPr>
        <w:pStyle w:val="32"/>
        <w:shd w:val="clear" w:color="auto" w:fill="FFFFFF"/>
        <w:spacing w:before="0" w:beforeAutospacing="0" w:after="0" w:afterAutospacing="0" w:line="360" w:lineRule="auto"/>
        <w:ind w:firstLine="420" w:firstLineChars="150"/>
        <w:rPr>
          <w:rFonts w:ascii="Times New Roman" w:hAnsi="Times New Roman" w:eastAsia="仿宋_GB2312"/>
          <w:sz w:val="28"/>
          <w:szCs w:val="28"/>
        </w:rPr>
      </w:pPr>
      <w:r>
        <w:rPr>
          <w:rFonts w:hint="eastAsia" w:ascii="Times New Roman" w:hAnsi="Times New Roman" w:eastAsia="仿宋_GB2312"/>
          <w:sz w:val="28"/>
          <w:szCs w:val="28"/>
        </w:rPr>
        <w:t>估价对象未记载估价对象房屋的建成年份，经注册房地产估价师实地调查，房屋建成年份约为</w:t>
      </w:r>
      <w:r>
        <w:rPr>
          <w:rFonts w:hint="eastAsia" w:ascii="Times New Roman" w:hAnsi="Times New Roman" w:eastAsia="仿宋_GB2312"/>
          <w:sz w:val="28"/>
          <w:szCs w:val="28"/>
          <w:lang w:val="en-US" w:eastAsia="zh-CN"/>
        </w:rPr>
        <w:t>1998</w:t>
      </w:r>
      <w:r>
        <w:rPr>
          <w:rFonts w:hint="eastAsia" w:ascii="Times New Roman" w:hAnsi="Times New Roman" w:eastAsia="仿宋_GB2312"/>
          <w:sz w:val="28"/>
          <w:szCs w:val="28"/>
        </w:rPr>
        <w:t>年，本次估价房屋建成年份以实际调查为准。</w:t>
      </w:r>
    </w:p>
    <w:p>
      <w:pPr>
        <w:pStyle w:val="60"/>
        <w:numPr>
          <w:ilvl w:val="0"/>
          <w:numId w:val="8"/>
        </w:numPr>
        <w:shd w:val="clear" w:color="auto" w:fill="FFFFFF"/>
        <w:tabs>
          <w:tab w:val="left" w:pos="567"/>
        </w:tabs>
        <w:spacing w:line="360" w:lineRule="auto"/>
        <w:ind w:firstLineChars="0"/>
        <w:rPr>
          <w:rFonts w:eastAsia="仿宋_GB2312"/>
          <w:sz w:val="28"/>
          <w:szCs w:val="28"/>
        </w:rPr>
      </w:pPr>
      <w:r>
        <w:rPr>
          <w:rFonts w:hint="eastAsia" w:eastAsia="仿宋_GB2312"/>
          <w:b/>
          <w:sz w:val="28"/>
          <w:szCs w:val="28"/>
        </w:rPr>
        <w:t>背离事实假设</w:t>
      </w:r>
    </w:p>
    <w:p>
      <w:pPr>
        <w:shd w:val="clear" w:color="auto" w:fill="FFFFFF"/>
        <w:tabs>
          <w:tab w:val="left" w:pos="567"/>
        </w:tabs>
        <w:spacing w:line="360" w:lineRule="auto"/>
        <w:ind w:firstLine="560" w:firstLineChars="200"/>
        <w:rPr>
          <w:rFonts w:eastAsia="仿宋_GB2312"/>
          <w:sz w:val="28"/>
          <w:szCs w:val="28"/>
        </w:rPr>
      </w:pPr>
      <w:r>
        <w:rPr>
          <w:rFonts w:hint="eastAsia" w:eastAsia="仿宋_GB2312"/>
          <w:sz w:val="28"/>
          <w:szCs w:val="28"/>
        </w:rPr>
        <w:t>涉执房地产处置司法评估不应考虑评估对象被查封以及原有的担保物权和其他优先受偿权情况，视为没有查封、未设立担保特权以及其他优先受偿权的财产进行评估。</w:t>
      </w:r>
    </w:p>
    <w:p>
      <w:pPr>
        <w:numPr>
          <w:ilvl w:val="0"/>
          <w:numId w:val="8"/>
        </w:numPr>
        <w:tabs>
          <w:tab w:val="left" w:pos="567"/>
        </w:tabs>
        <w:spacing w:before="50" w:line="360" w:lineRule="auto"/>
        <w:rPr>
          <w:rFonts w:eastAsia="仿宋_GB2312"/>
          <w:b/>
          <w:sz w:val="28"/>
          <w:szCs w:val="28"/>
        </w:rPr>
      </w:pPr>
      <w:r>
        <w:rPr>
          <w:rFonts w:hint="eastAsia" w:eastAsia="仿宋_GB2312"/>
          <w:b/>
          <w:sz w:val="28"/>
          <w:szCs w:val="28"/>
        </w:rPr>
        <w:t>不相一致假设</w:t>
      </w:r>
    </w:p>
    <w:p>
      <w:pPr>
        <w:tabs>
          <w:tab w:val="left" w:pos="567"/>
        </w:tabs>
        <w:spacing w:line="360" w:lineRule="auto"/>
        <w:ind w:firstLine="548" w:firstLineChars="196"/>
        <w:rPr>
          <w:rFonts w:eastAsia="仿宋_GB2312"/>
          <w:b/>
          <w:sz w:val="28"/>
          <w:szCs w:val="28"/>
        </w:rPr>
      </w:pPr>
      <w:r>
        <w:rPr>
          <w:rFonts w:hint="eastAsia" w:eastAsia="仿宋_GB2312"/>
          <w:sz w:val="28"/>
          <w:szCs w:val="28"/>
        </w:rPr>
        <w:t>无</w:t>
      </w:r>
    </w:p>
    <w:p>
      <w:pPr>
        <w:numPr>
          <w:ilvl w:val="0"/>
          <w:numId w:val="8"/>
        </w:numPr>
        <w:tabs>
          <w:tab w:val="left" w:pos="567"/>
        </w:tabs>
        <w:spacing w:before="50" w:line="360" w:lineRule="auto"/>
        <w:rPr>
          <w:rFonts w:eastAsia="仿宋_GB2312"/>
          <w:b/>
          <w:sz w:val="28"/>
          <w:szCs w:val="28"/>
        </w:rPr>
      </w:pPr>
      <w:r>
        <w:rPr>
          <w:rFonts w:hint="eastAsia" w:eastAsia="仿宋_GB2312"/>
          <w:b/>
          <w:sz w:val="28"/>
          <w:szCs w:val="28"/>
        </w:rPr>
        <w:t>依据不足假设</w:t>
      </w:r>
    </w:p>
    <w:p>
      <w:pPr>
        <w:tabs>
          <w:tab w:val="left" w:pos="567"/>
        </w:tabs>
        <w:spacing w:line="360" w:lineRule="auto"/>
        <w:ind w:firstLine="560" w:firstLineChars="200"/>
        <w:rPr>
          <w:rFonts w:ascii="宋体" w:hAnsi="宋体"/>
          <w:color w:val="000000"/>
          <w:sz w:val="18"/>
          <w:szCs w:val="18"/>
        </w:rPr>
      </w:pPr>
      <w:r>
        <w:rPr>
          <w:rFonts w:hint="eastAsia" w:eastAsia="仿宋_GB2312"/>
          <w:sz w:val="28"/>
          <w:szCs w:val="28"/>
        </w:rPr>
        <w:t>注册房地产估价师未掌握评估对象欠缴税费、拖欠物业费、供暖费、水电气费等情况。</w:t>
      </w:r>
    </w:p>
    <w:p>
      <w:pPr>
        <w:numPr>
          <w:ilvl w:val="0"/>
          <w:numId w:val="7"/>
        </w:numPr>
        <w:tabs>
          <w:tab w:val="left" w:pos="567"/>
        </w:tabs>
        <w:spacing w:before="50" w:line="360" w:lineRule="auto"/>
        <w:rPr>
          <w:rFonts w:eastAsia="仿宋_GB2312"/>
          <w:b/>
          <w:sz w:val="28"/>
          <w:szCs w:val="28"/>
        </w:rPr>
      </w:pPr>
      <w:r>
        <w:rPr>
          <w:rFonts w:eastAsia="仿宋_GB2312"/>
          <w:b/>
          <w:sz w:val="28"/>
          <w:szCs w:val="28"/>
        </w:rPr>
        <w:t>估价的限制条件：</w:t>
      </w:r>
    </w:p>
    <w:p>
      <w:pPr>
        <w:numPr>
          <w:ilvl w:val="0"/>
          <w:numId w:val="9"/>
        </w:numPr>
        <w:tabs>
          <w:tab w:val="left" w:pos="900"/>
          <w:tab w:val="left" w:pos="7965"/>
        </w:tabs>
        <w:adjustRightInd/>
        <w:spacing w:before="50" w:line="360" w:lineRule="auto"/>
        <w:ind w:left="0" w:firstLine="560" w:firstLineChars="200"/>
        <w:textAlignment w:val="auto"/>
        <w:rPr>
          <w:rFonts w:eastAsia="仿宋_GB2312"/>
          <w:sz w:val="28"/>
          <w:szCs w:val="28"/>
        </w:rPr>
      </w:pPr>
      <w:r>
        <w:rPr>
          <w:rFonts w:eastAsia="仿宋_GB2312"/>
          <w:sz w:val="28"/>
          <w:szCs w:val="28"/>
        </w:rPr>
        <w:t>本报告未考虑国家宏观经济政策发生重大变化以及遇有不可抗力和其他不可抗拒的因素对估价结果的影响；亦未考虑估价对象的债权债务状况以及租赁、抵押等他项权利限制</w:t>
      </w:r>
      <w:r>
        <w:rPr>
          <w:rFonts w:hint="eastAsia" w:eastAsia="仿宋_GB2312"/>
          <w:sz w:val="28"/>
          <w:szCs w:val="28"/>
        </w:rPr>
        <w:t>及查封</w:t>
      </w:r>
      <w:r>
        <w:rPr>
          <w:rFonts w:eastAsia="仿宋_GB2312"/>
          <w:sz w:val="28"/>
          <w:szCs w:val="28"/>
        </w:rPr>
        <w:t>对其价值的影响。</w:t>
      </w:r>
    </w:p>
    <w:p>
      <w:pPr>
        <w:numPr>
          <w:ilvl w:val="0"/>
          <w:numId w:val="9"/>
        </w:numPr>
        <w:tabs>
          <w:tab w:val="left" w:pos="900"/>
          <w:tab w:val="left" w:pos="7965"/>
        </w:tabs>
        <w:adjustRightInd/>
        <w:spacing w:before="50" w:line="360" w:lineRule="auto"/>
        <w:ind w:left="0" w:firstLine="560" w:firstLineChars="200"/>
        <w:textAlignment w:val="auto"/>
        <w:rPr>
          <w:rFonts w:eastAsia="仿宋_GB2312"/>
          <w:sz w:val="28"/>
          <w:szCs w:val="28"/>
        </w:rPr>
      </w:pPr>
      <w:r>
        <w:rPr>
          <w:rFonts w:eastAsia="仿宋_GB2312"/>
          <w:sz w:val="28"/>
          <w:szCs w:val="28"/>
        </w:rPr>
        <w:t>本次估价以目前我国房地产业的政策法规、估价对象所处房地产市场状况和估价对象房地产状况为依据进行，并受到本估价报告假设和限制条件的限制，上述因素发生变化会导致房地产价值发生变化，本报告估价结果也应作相应调整。</w:t>
      </w:r>
    </w:p>
    <w:p>
      <w:pPr>
        <w:numPr>
          <w:ilvl w:val="0"/>
          <w:numId w:val="9"/>
        </w:numPr>
        <w:tabs>
          <w:tab w:val="left" w:pos="900"/>
          <w:tab w:val="left" w:pos="7965"/>
        </w:tabs>
        <w:adjustRightInd/>
        <w:spacing w:before="50" w:line="360" w:lineRule="auto"/>
        <w:ind w:left="0" w:firstLine="560" w:firstLineChars="200"/>
        <w:textAlignment w:val="auto"/>
        <w:rPr>
          <w:rFonts w:eastAsia="仿宋_GB2312"/>
          <w:sz w:val="28"/>
          <w:szCs w:val="28"/>
        </w:rPr>
      </w:pPr>
      <w:r>
        <w:rPr>
          <w:rFonts w:eastAsia="仿宋_GB2312"/>
          <w:sz w:val="28"/>
          <w:szCs w:val="28"/>
        </w:rPr>
        <w:t>本报告所确定的房地产价值是在本次估价目的的特定条件下最有可能形成或者成立的价值，不适用于其他目的。如估价目的变更，须另行估价。凡因估价委托人使用估价报告不当而引起的后果，本估价机构和估价人员不承担相应的责任。</w:t>
      </w:r>
    </w:p>
    <w:p>
      <w:pPr>
        <w:numPr>
          <w:ilvl w:val="0"/>
          <w:numId w:val="9"/>
        </w:numPr>
        <w:tabs>
          <w:tab w:val="left" w:pos="900"/>
          <w:tab w:val="left" w:pos="7965"/>
        </w:tabs>
        <w:adjustRightInd/>
        <w:spacing w:before="50" w:line="360" w:lineRule="auto"/>
        <w:ind w:left="0" w:firstLine="560" w:firstLineChars="200"/>
        <w:textAlignment w:val="auto"/>
        <w:rPr>
          <w:rFonts w:eastAsia="仿宋_GB2312"/>
          <w:sz w:val="28"/>
          <w:szCs w:val="28"/>
        </w:rPr>
      </w:pPr>
      <w:r>
        <w:rPr>
          <w:rFonts w:eastAsia="仿宋_GB2312"/>
          <w:sz w:val="28"/>
          <w:szCs w:val="28"/>
        </w:rPr>
        <w:t>本报告必须完整使用</w:t>
      </w:r>
      <w:r>
        <w:rPr>
          <w:rFonts w:hint="eastAsia" w:eastAsia="仿宋_GB2312"/>
          <w:sz w:val="28"/>
          <w:szCs w:val="28"/>
        </w:rPr>
        <w:t>方为有效</w:t>
      </w:r>
      <w:r>
        <w:rPr>
          <w:rFonts w:eastAsia="仿宋_GB2312"/>
          <w:sz w:val="28"/>
          <w:szCs w:val="28"/>
        </w:rPr>
        <w:t>，对仅使用报告中的部分内容所导致的有关损失，受托估价机构不承担任何责任。</w:t>
      </w:r>
    </w:p>
    <w:p>
      <w:pPr>
        <w:numPr>
          <w:ilvl w:val="0"/>
          <w:numId w:val="9"/>
        </w:numPr>
        <w:tabs>
          <w:tab w:val="left" w:pos="900"/>
          <w:tab w:val="left" w:pos="945"/>
        </w:tabs>
        <w:adjustRightInd/>
        <w:spacing w:before="50" w:line="360" w:lineRule="auto"/>
        <w:ind w:left="0" w:firstLine="560" w:firstLineChars="200"/>
        <w:textAlignment w:val="auto"/>
        <w:rPr>
          <w:rFonts w:eastAsia="仿宋_GB2312"/>
          <w:sz w:val="28"/>
          <w:szCs w:val="28"/>
        </w:rPr>
      </w:pPr>
      <w:r>
        <w:rPr>
          <w:rFonts w:hint="eastAsia" w:eastAsia="仿宋_GB2312"/>
          <w:sz w:val="28"/>
          <w:szCs w:val="28"/>
        </w:rPr>
        <w:t>未经估价机构书面同意，本估价报告的全部或部分及任何参考资料均不允许在任何公开发表的文件、通告或声明中引用，亦不得以其他任何方式公开发表，</w:t>
      </w:r>
      <w:r>
        <w:rPr>
          <w:rFonts w:eastAsia="仿宋_GB2312"/>
          <w:sz w:val="28"/>
          <w:szCs w:val="28"/>
        </w:rPr>
        <w:t>报告解释权为本公司所有。</w:t>
      </w:r>
    </w:p>
    <w:p>
      <w:pPr>
        <w:numPr>
          <w:ilvl w:val="0"/>
          <w:numId w:val="9"/>
        </w:numPr>
        <w:tabs>
          <w:tab w:val="left" w:pos="900"/>
          <w:tab w:val="left" w:pos="7965"/>
        </w:tabs>
        <w:adjustRightInd/>
        <w:spacing w:before="50" w:line="360" w:lineRule="auto"/>
        <w:ind w:left="0" w:firstLine="560" w:firstLineChars="200"/>
        <w:textAlignment w:val="auto"/>
        <w:rPr>
          <w:rFonts w:eastAsia="仿宋_GB2312"/>
          <w:sz w:val="28"/>
          <w:szCs w:val="28"/>
        </w:rPr>
      </w:pPr>
      <w:r>
        <w:rPr>
          <w:rFonts w:hint="eastAsia" w:eastAsia="仿宋_GB2312"/>
          <w:sz w:val="28"/>
          <w:szCs w:val="28"/>
        </w:rPr>
        <w:t>本估价报告使用期限自估价报告出具之日起为一年，</w:t>
      </w:r>
      <w:r>
        <w:rPr>
          <w:rFonts w:eastAsia="仿宋_GB2312"/>
          <w:sz w:val="28"/>
          <w:szCs w:val="28"/>
        </w:rPr>
        <w:t>即</w:t>
      </w:r>
      <w:bookmarkStart w:id="24" w:name="有效日期"/>
      <w:r>
        <w:rPr>
          <w:rFonts w:hint="eastAsia" w:eastAsia="仿宋_GB2312"/>
          <w:sz w:val="28"/>
          <w:szCs w:val="28"/>
          <w:lang w:eastAsia="zh-CN"/>
        </w:rPr>
        <w:t>二〇二二年二月二十八日</w:t>
      </w:r>
      <w:r>
        <w:rPr>
          <w:rFonts w:eastAsia="仿宋_GB2312"/>
          <w:sz w:val="28"/>
          <w:szCs w:val="28"/>
        </w:rPr>
        <w:t>至二</w:t>
      </w:r>
      <w:r>
        <w:rPr>
          <w:sz w:val="28"/>
          <w:szCs w:val="28"/>
        </w:rPr>
        <w:t>〇</w:t>
      </w:r>
      <w:r>
        <w:rPr>
          <w:rFonts w:hint="eastAsia" w:eastAsia="仿宋_GB2312"/>
          <w:sz w:val="28"/>
          <w:szCs w:val="28"/>
        </w:rPr>
        <w:t>二</w:t>
      </w:r>
      <w:r>
        <w:rPr>
          <w:rFonts w:hint="eastAsia" w:eastAsia="仿宋_GB2312"/>
          <w:sz w:val="28"/>
          <w:szCs w:val="28"/>
          <w:lang w:val="en-US" w:eastAsia="zh-CN"/>
        </w:rPr>
        <w:t>三</w:t>
      </w:r>
      <w:r>
        <w:rPr>
          <w:rFonts w:eastAsia="仿宋_GB2312"/>
          <w:sz w:val="28"/>
          <w:szCs w:val="28"/>
        </w:rPr>
        <w:t>年</w:t>
      </w:r>
      <w:bookmarkEnd w:id="24"/>
      <w:r>
        <w:rPr>
          <w:rFonts w:hint="eastAsia" w:eastAsia="仿宋_GB2312"/>
          <w:sz w:val="28"/>
          <w:szCs w:val="28"/>
          <w:lang w:val="en-US" w:eastAsia="zh-CN"/>
        </w:rPr>
        <w:t>二</w:t>
      </w:r>
      <w:r>
        <w:rPr>
          <w:rFonts w:hint="eastAsia" w:ascii="仿宋_GB2312" w:hAnsi="仿宋_GB2312" w:eastAsia="仿宋_GB2312" w:cs="仿宋_GB2312"/>
          <w:sz w:val="28"/>
          <w:szCs w:val="28"/>
        </w:rPr>
        <w:t>月二十</w:t>
      </w:r>
      <w:r>
        <w:rPr>
          <w:rFonts w:hint="eastAsia" w:ascii="仿宋_GB2312" w:hAnsi="仿宋_GB2312" w:eastAsia="仿宋_GB2312" w:cs="仿宋_GB2312"/>
          <w:sz w:val="28"/>
          <w:szCs w:val="28"/>
          <w:lang w:val="en-US" w:eastAsia="zh-CN"/>
        </w:rPr>
        <w:t>七</w:t>
      </w:r>
      <w:r>
        <w:rPr>
          <w:rFonts w:hint="eastAsia" w:ascii="仿宋_GB2312" w:hAnsi="仿宋_GB2312" w:eastAsia="仿宋_GB2312" w:cs="仿宋_GB2312"/>
          <w:sz w:val="28"/>
          <w:szCs w:val="28"/>
        </w:rPr>
        <w:t>日</w:t>
      </w:r>
      <w:r>
        <w:rPr>
          <w:rFonts w:hint="eastAsia" w:eastAsia="仿宋_GB2312"/>
          <w:sz w:val="28"/>
          <w:szCs w:val="28"/>
        </w:rPr>
        <w:t>。若报告使用期限内，房地产市场或估价对象状况发生重大变化，估价结果需做相应调整或委托估价机构重新估价。</w:t>
      </w:r>
    </w:p>
    <w:p>
      <w:pPr>
        <w:pStyle w:val="2"/>
        <w:numPr>
          <w:ilvl w:val="0"/>
          <w:numId w:val="0"/>
        </w:numPr>
        <w:spacing w:before="0" w:line="360" w:lineRule="auto"/>
        <w:ind w:right="0"/>
        <w:jc w:val="center"/>
        <w:rPr>
          <w:rFonts w:eastAsia="仿宋_GB2312"/>
          <w:b/>
          <w:sz w:val="36"/>
          <w:szCs w:val="36"/>
        </w:rPr>
      </w:pPr>
      <w:r>
        <w:rPr>
          <w:rFonts w:eastAsia="仿宋_GB2312"/>
          <w:b/>
          <w:sz w:val="36"/>
          <w:szCs w:val="36"/>
        </w:rPr>
        <w:br w:type="page"/>
      </w:r>
      <w:bookmarkStart w:id="25" w:name="_Toc445822566"/>
    </w:p>
    <w:p>
      <w:pPr>
        <w:pStyle w:val="2"/>
        <w:numPr>
          <w:ilvl w:val="0"/>
          <w:numId w:val="0"/>
        </w:numPr>
        <w:spacing w:before="0" w:line="360" w:lineRule="auto"/>
        <w:ind w:right="0"/>
        <w:jc w:val="center"/>
        <w:rPr>
          <w:rFonts w:ascii="宋体" w:hAnsi="宋体" w:eastAsia="宋体"/>
          <w:b/>
          <w:sz w:val="36"/>
          <w:szCs w:val="36"/>
        </w:rPr>
      </w:pPr>
      <w:r>
        <w:rPr>
          <w:rFonts w:ascii="宋体" w:hAnsi="宋体" w:eastAsia="宋体"/>
          <w:b/>
          <w:sz w:val="36"/>
          <w:szCs w:val="36"/>
        </w:rPr>
        <w:t>估价结果报告</w:t>
      </w:r>
      <w:bookmarkEnd w:id="23"/>
      <w:bookmarkEnd w:id="25"/>
    </w:p>
    <w:p>
      <w:pPr>
        <w:pStyle w:val="4"/>
        <w:spacing w:line="360" w:lineRule="auto"/>
        <w:ind w:firstLine="0"/>
        <w:outlineLvl w:val="1"/>
        <w:rPr>
          <w:b/>
        </w:rPr>
      </w:pPr>
      <w:bookmarkStart w:id="26" w:name="_Toc445822567"/>
      <w:r>
        <w:rPr>
          <w:rFonts w:hint="eastAsia"/>
          <w:b/>
        </w:rPr>
        <w:t>一、</w:t>
      </w:r>
      <w:r>
        <w:rPr>
          <w:rFonts w:hint="eastAsia"/>
          <w:b/>
          <w:szCs w:val="28"/>
        </w:rPr>
        <w:t>估价委托人</w:t>
      </w:r>
      <w:bookmarkEnd w:id="26"/>
    </w:p>
    <w:p>
      <w:pPr>
        <w:spacing w:line="360" w:lineRule="auto"/>
        <w:ind w:firstLine="560" w:firstLineChars="200"/>
        <w:rPr>
          <w:rFonts w:eastAsia="仿宋_GB2312"/>
          <w:sz w:val="28"/>
          <w:szCs w:val="28"/>
        </w:rPr>
      </w:pPr>
      <w:r>
        <w:rPr>
          <w:rFonts w:hint="eastAsia" w:eastAsia="仿宋_GB2312"/>
          <w:sz w:val="28"/>
          <w:szCs w:val="28"/>
        </w:rPr>
        <w:t>名称：营口市站前区人民法院</w:t>
      </w:r>
    </w:p>
    <w:p>
      <w:pPr>
        <w:pStyle w:val="4"/>
        <w:spacing w:before="0" w:line="360" w:lineRule="auto"/>
        <w:ind w:firstLine="0"/>
        <w:outlineLvl w:val="1"/>
        <w:rPr>
          <w:b/>
        </w:rPr>
      </w:pPr>
      <w:bookmarkStart w:id="27" w:name="_Toc445822568"/>
      <w:r>
        <w:rPr>
          <w:rFonts w:hint="eastAsia"/>
          <w:b/>
        </w:rPr>
        <w:t>二、房地产估</w:t>
      </w:r>
      <w:r>
        <w:rPr>
          <w:rFonts w:hint="eastAsia"/>
          <w:b/>
          <w:szCs w:val="28"/>
        </w:rPr>
        <w:t>价机构</w:t>
      </w:r>
      <w:bookmarkEnd w:id="27"/>
    </w:p>
    <w:p>
      <w:pPr>
        <w:spacing w:line="360" w:lineRule="auto"/>
        <w:ind w:firstLine="560" w:firstLineChars="200"/>
        <w:rPr>
          <w:rFonts w:eastAsia="仿宋_GB2312"/>
          <w:sz w:val="28"/>
          <w:szCs w:val="28"/>
        </w:rPr>
      </w:pPr>
      <w:r>
        <w:rPr>
          <w:rFonts w:eastAsia="仿宋_GB2312"/>
          <w:sz w:val="28"/>
          <w:szCs w:val="28"/>
        </w:rPr>
        <w:t>估价机构名称：</w:t>
      </w:r>
      <w:r>
        <w:rPr>
          <w:rFonts w:hint="eastAsia" w:eastAsia="仿宋_GB2312"/>
          <w:sz w:val="28"/>
          <w:szCs w:val="28"/>
        </w:rPr>
        <w:t>辽宁荣邦房地产土地资产评估有限公司</w:t>
      </w:r>
    </w:p>
    <w:p>
      <w:pPr>
        <w:spacing w:line="360" w:lineRule="auto"/>
        <w:ind w:firstLine="560" w:firstLineChars="200"/>
        <w:rPr>
          <w:rFonts w:eastAsia="仿宋_GB2312"/>
          <w:sz w:val="28"/>
          <w:szCs w:val="28"/>
        </w:rPr>
      </w:pPr>
      <w:r>
        <w:rPr>
          <w:rFonts w:eastAsia="仿宋_GB2312"/>
          <w:sz w:val="28"/>
          <w:szCs w:val="28"/>
        </w:rPr>
        <w:t>法定代表人姓名：</w:t>
      </w:r>
      <w:r>
        <w:rPr>
          <w:rFonts w:hint="eastAsia" w:eastAsia="仿宋_GB2312"/>
          <w:sz w:val="28"/>
          <w:szCs w:val="28"/>
        </w:rPr>
        <w:t>齐海峰</w:t>
      </w:r>
    </w:p>
    <w:p>
      <w:pPr>
        <w:spacing w:line="360" w:lineRule="auto"/>
        <w:ind w:firstLine="560" w:firstLineChars="200"/>
        <w:rPr>
          <w:rFonts w:eastAsia="仿宋_GB2312"/>
          <w:sz w:val="28"/>
          <w:szCs w:val="28"/>
        </w:rPr>
      </w:pPr>
      <w:r>
        <w:rPr>
          <w:rFonts w:eastAsia="仿宋_GB2312"/>
          <w:sz w:val="28"/>
          <w:szCs w:val="28"/>
        </w:rPr>
        <w:t>机构地址：</w:t>
      </w:r>
      <w:r>
        <w:rPr>
          <w:rFonts w:hint="eastAsia" w:eastAsia="仿宋_GB2312"/>
          <w:sz w:val="28"/>
          <w:szCs w:val="28"/>
        </w:rPr>
        <w:t>沈阳经济技术开发区花海路19-1号1门2</w:t>
      </w:r>
    </w:p>
    <w:p>
      <w:pPr>
        <w:spacing w:line="360" w:lineRule="auto"/>
        <w:ind w:firstLine="560" w:firstLineChars="200"/>
        <w:rPr>
          <w:rFonts w:eastAsia="仿宋_GB2312"/>
          <w:sz w:val="28"/>
          <w:szCs w:val="28"/>
        </w:rPr>
      </w:pPr>
      <w:r>
        <w:rPr>
          <w:rFonts w:hint="eastAsia" w:eastAsia="仿宋_GB2312"/>
          <w:sz w:val="28"/>
          <w:szCs w:val="28"/>
        </w:rPr>
        <w:t>统一社会信用代码</w:t>
      </w:r>
      <w:r>
        <w:rPr>
          <w:rFonts w:eastAsia="仿宋_GB2312"/>
          <w:sz w:val="28"/>
          <w:szCs w:val="28"/>
        </w:rPr>
        <w:t>：</w:t>
      </w:r>
      <w:r>
        <w:rPr>
          <w:rFonts w:hint="eastAsia" w:eastAsia="仿宋_GB2312"/>
          <w:sz w:val="28"/>
          <w:szCs w:val="28"/>
        </w:rPr>
        <w:t>91210106731023628Y</w:t>
      </w:r>
    </w:p>
    <w:p>
      <w:pPr>
        <w:spacing w:line="360" w:lineRule="auto"/>
        <w:ind w:firstLine="560" w:firstLineChars="200"/>
        <w:rPr>
          <w:rFonts w:eastAsia="仿宋_GB2312"/>
          <w:sz w:val="28"/>
          <w:szCs w:val="28"/>
        </w:rPr>
      </w:pPr>
      <w:r>
        <w:rPr>
          <w:rFonts w:eastAsia="仿宋_GB2312"/>
          <w:sz w:val="28"/>
          <w:szCs w:val="28"/>
        </w:rPr>
        <w:t>资质等级：</w:t>
      </w:r>
      <w:r>
        <w:rPr>
          <w:rFonts w:hint="eastAsia" w:eastAsia="仿宋_GB2312"/>
          <w:sz w:val="28"/>
          <w:szCs w:val="28"/>
        </w:rPr>
        <w:t>二</w:t>
      </w:r>
      <w:r>
        <w:rPr>
          <w:rFonts w:eastAsia="仿宋_GB2312"/>
          <w:sz w:val="28"/>
          <w:szCs w:val="28"/>
        </w:rPr>
        <w:t>级</w:t>
      </w:r>
    </w:p>
    <w:p>
      <w:pPr>
        <w:spacing w:line="360" w:lineRule="auto"/>
        <w:ind w:firstLine="560" w:firstLineChars="200"/>
        <w:rPr>
          <w:rFonts w:eastAsia="仿宋_GB2312"/>
          <w:sz w:val="28"/>
          <w:szCs w:val="28"/>
        </w:rPr>
      </w:pPr>
      <w:r>
        <w:rPr>
          <w:rFonts w:eastAsia="仿宋_GB2312"/>
          <w:sz w:val="28"/>
          <w:szCs w:val="28"/>
        </w:rPr>
        <w:t>证书编号：</w:t>
      </w:r>
      <w:r>
        <w:rPr>
          <w:rFonts w:hint="eastAsia" w:eastAsia="仿宋_GB2312"/>
          <w:sz w:val="28"/>
          <w:szCs w:val="28"/>
        </w:rPr>
        <w:t>第000010206</w:t>
      </w:r>
      <w:r>
        <w:rPr>
          <w:rFonts w:eastAsia="仿宋_GB2312"/>
          <w:sz w:val="28"/>
          <w:szCs w:val="28"/>
        </w:rPr>
        <w:t>号</w:t>
      </w:r>
    </w:p>
    <w:p>
      <w:pPr>
        <w:spacing w:line="360" w:lineRule="auto"/>
        <w:ind w:firstLine="560" w:firstLineChars="200"/>
        <w:rPr>
          <w:rFonts w:eastAsia="仿宋_GB2312"/>
          <w:sz w:val="28"/>
          <w:szCs w:val="28"/>
          <w:highlight w:val="yellow"/>
        </w:rPr>
      </w:pPr>
      <w:r>
        <w:rPr>
          <w:rFonts w:eastAsia="仿宋_GB2312"/>
          <w:sz w:val="28"/>
          <w:szCs w:val="28"/>
        </w:rPr>
        <w:t>有效期限：至20</w:t>
      </w:r>
      <w:r>
        <w:rPr>
          <w:rFonts w:hint="eastAsia" w:eastAsia="仿宋_GB2312"/>
          <w:sz w:val="28"/>
          <w:szCs w:val="28"/>
        </w:rPr>
        <w:t>2</w:t>
      </w:r>
      <w:r>
        <w:rPr>
          <w:rFonts w:eastAsia="仿宋_GB2312"/>
          <w:sz w:val="28"/>
          <w:szCs w:val="28"/>
        </w:rPr>
        <w:t>3年8</w:t>
      </w:r>
      <w:r>
        <w:rPr>
          <w:rFonts w:hint="eastAsia" w:eastAsia="仿宋_GB2312"/>
          <w:sz w:val="28"/>
          <w:szCs w:val="28"/>
        </w:rPr>
        <w:t>月3</w:t>
      </w:r>
      <w:r>
        <w:rPr>
          <w:rFonts w:eastAsia="仿宋_GB2312"/>
          <w:sz w:val="28"/>
          <w:szCs w:val="28"/>
        </w:rPr>
        <w:t>日</w:t>
      </w:r>
    </w:p>
    <w:p>
      <w:pPr>
        <w:pStyle w:val="4"/>
        <w:spacing w:before="0" w:line="360" w:lineRule="auto"/>
        <w:ind w:firstLine="0"/>
        <w:outlineLvl w:val="1"/>
      </w:pPr>
      <w:bookmarkStart w:id="28" w:name="_Toc445822569"/>
      <w:r>
        <w:rPr>
          <w:rFonts w:hint="eastAsia"/>
          <w:b/>
        </w:rPr>
        <w:t>三、估</w:t>
      </w:r>
      <w:r>
        <w:rPr>
          <w:rFonts w:hint="eastAsia"/>
          <w:b/>
          <w:szCs w:val="28"/>
        </w:rPr>
        <w:t>价目的</w:t>
      </w:r>
      <w:bookmarkEnd w:id="28"/>
    </w:p>
    <w:p>
      <w:pPr>
        <w:spacing w:line="360" w:lineRule="auto"/>
        <w:ind w:firstLine="560" w:firstLineChars="200"/>
        <w:rPr>
          <w:rFonts w:eastAsia="仿宋_GB2312"/>
          <w:sz w:val="28"/>
          <w:szCs w:val="28"/>
        </w:rPr>
      </w:pPr>
      <w:r>
        <w:rPr>
          <w:rFonts w:hint="eastAsia" w:eastAsia="仿宋_GB2312"/>
          <w:sz w:val="28"/>
          <w:szCs w:val="28"/>
        </w:rPr>
        <w:t>为人民法院确定财产处置参考价提供</w:t>
      </w:r>
      <w:r>
        <w:rPr>
          <w:rFonts w:eastAsia="仿宋_GB2312"/>
          <w:sz w:val="28"/>
          <w:szCs w:val="28"/>
        </w:rPr>
        <w:t>参考</w:t>
      </w:r>
      <w:r>
        <w:rPr>
          <w:rFonts w:hint="eastAsia" w:eastAsia="仿宋_GB2312"/>
          <w:sz w:val="28"/>
          <w:szCs w:val="28"/>
        </w:rPr>
        <w:t>依据。</w:t>
      </w:r>
    </w:p>
    <w:p>
      <w:pPr>
        <w:pStyle w:val="4"/>
        <w:spacing w:before="0" w:line="360" w:lineRule="auto"/>
        <w:ind w:firstLine="0"/>
        <w:outlineLvl w:val="1"/>
      </w:pPr>
      <w:bookmarkStart w:id="29" w:name="_Toc445822570"/>
      <w:r>
        <w:rPr>
          <w:rFonts w:hint="eastAsia"/>
          <w:b/>
        </w:rPr>
        <w:t>四、估</w:t>
      </w:r>
      <w:r>
        <w:rPr>
          <w:rFonts w:hint="eastAsia"/>
          <w:b/>
          <w:szCs w:val="28"/>
        </w:rPr>
        <w:t>价对象</w:t>
      </w:r>
      <w:bookmarkEnd w:id="29"/>
    </w:p>
    <w:p>
      <w:pPr>
        <w:tabs>
          <w:tab w:val="left" w:pos="735"/>
          <w:tab w:val="left" w:pos="945"/>
        </w:tabs>
        <w:spacing w:line="360" w:lineRule="auto"/>
        <w:ind w:firstLine="562" w:firstLineChars="200"/>
        <w:rPr>
          <w:rFonts w:eastAsia="仿宋_GB2312"/>
          <w:sz w:val="28"/>
          <w:szCs w:val="28"/>
        </w:rPr>
      </w:pPr>
      <w:r>
        <w:rPr>
          <w:rFonts w:hint="eastAsia" w:ascii="仿宋_GB2312" w:eastAsia="仿宋_GB2312"/>
          <w:b/>
          <w:sz w:val="28"/>
          <w:szCs w:val="28"/>
        </w:rPr>
        <w:t>1、估价对象界定</w:t>
      </w:r>
    </w:p>
    <w:p>
      <w:pPr>
        <w:spacing w:line="360" w:lineRule="auto"/>
        <w:ind w:firstLine="560" w:firstLineChars="200"/>
        <w:rPr>
          <w:rFonts w:eastAsia="仿宋_GB2312"/>
          <w:sz w:val="28"/>
          <w:szCs w:val="28"/>
        </w:rPr>
      </w:pPr>
      <w:r>
        <w:rPr>
          <w:rFonts w:eastAsia="仿宋_GB2312"/>
          <w:sz w:val="28"/>
          <w:szCs w:val="28"/>
        </w:rPr>
        <w:t>根据估价委托人设定，本报告的估价对象为</w:t>
      </w:r>
      <w:r>
        <w:rPr>
          <w:rFonts w:hint="eastAsia" w:eastAsia="仿宋_GB2312"/>
          <w:sz w:val="28"/>
          <w:szCs w:val="28"/>
        </w:rPr>
        <w:t>大石桥市</w:t>
      </w:r>
      <w:r>
        <w:rPr>
          <w:rFonts w:hint="eastAsia" w:eastAsia="仿宋_GB2312"/>
          <w:sz w:val="28"/>
          <w:szCs w:val="28"/>
          <w:lang w:eastAsia="zh-CN"/>
        </w:rPr>
        <w:t>盘龙街龙山里（1#楼1单元301室）</w:t>
      </w:r>
      <w:r>
        <w:rPr>
          <w:rFonts w:hint="eastAsia" w:eastAsia="仿宋_GB2312"/>
          <w:sz w:val="28"/>
          <w:szCs w:val="28"/>
        </w:rPr>
        <w:t>一处住宅</w:t>
      </w:r>
      <w:r>
        <w:rPr>
          <w:rFonts w:eastAsia="仿宋_GB2312"/>
          <w:sz w:val="28"/>
          <w:szCs w:val="28"/>
        </w:rPr>
        <w:t>。</w:t>
      </w:r>
      <w:r>
        <w:rPr>
          <w:rFonts w:hint="eastAsia" w:eastAsia="仿宋_GB2312"/>
          <w:sz w:val="28"/>
          <w:szCs w:val="28"/>
        </w:rPr>
        <w:t>根据委托方提供的房权证复印件，同意贷款书复印件</w:t>
      </w:r>
      <w:r>
        <w:rPr>
          <w:rFonts w:eastAsia="仿宋_GB2312"/>
          <w:sz w:val="28"/>
          <w:szCs w:val="28"/>
        </w:rPr>
        <w:t>房地产基本状况</w:t>
      </w:r>
      <w:r>
        <w:rPr>
          <w:rFonts w:hint="eastAsia" w:eastAsia="仿宋_GB2312"/>
          <w:sz w:val="28"/>
          <w:szCs w:val="28"/>
        </w:rPr>
        <w:t>如下</w:t>
      </w:r>
      <w:r>
        <w:rPr>
          <w:rFonts w:eastAsia="仿宋_GB2312"/>
          <w:sz w:val="28"/>
          <w:szCs w:val="28"/>
        </w:rPr>
        <w:t>：</w:t>
      </w:r>
    </w:p>
    <w:p>
      <w:pPr>
        <w:spacing w:line="360" w:lineRule="auto"/>
        <w:ind w:firstLine="560" w:firstLineChars="200"/>
        <w:rPr>
          <w:rFonts w:eastAsia="仿宋_GB2312"/>
          <w:sz w:val="28"/>
          <w:szCs w:val="28"/>
        </w:rPr>
      </w:pPr>
      <w:r>
        <w:rPr>
          <w:rFonts w:hint="eastAsia" w:eastAsia="仿宋_GB2312"/>
          <w:sz w:val="28"/>
          <w:szCs w:val="28"/>
        </w:rPr>
        <w:t>名称：大石桥市</w:t>
      </w:r>
      <w:r>
        <w:rPr>
          <w:rFonts w:hint="eastAsia" w:eastAsia="仿宋_GB2312"/>
          <w:sz w:val="28"/>
          <w:szCs w:val="28"/>
          <w:lang w:eastAsia="zh-CN"/>
        </w:rPr>
        <w:t>盘龙街龙山里（1#楼1单元301室）</w:t>
      </w:r>
      <w:r>
        <w:rPr>
          <w:rFonts w:hint="eastAsia" w:eastAsia="仿宋_GB2312"/>
          <w:sz w:val="28"/>
          <w:szCs w:val="28"/>
        </w:rPr>
        <w:t>。</w:t>
      </w:r>
    </w:p>
    <w:p>
      <w:pPr>
        <w:spacing w:line="360" w:lineRule="auto"/>
        <w:ind w:firstLine="560" w:firstLineChars="200"/>
        <w:rPr>
          <w:rFonts w:eastAsia="仿宋_GB2312"/>
          <w:sz w:val="28"/>
          <w:szCs w:val="28"/>
        </w:rPr>
      </w:pPr>
      <w:r>
        <w:rPr>
          <w:rFonts w:hint="eastAsia" w:eastAsia="仿宋_GB2312"/>
          <w:sz w:val="28"/>
          <w:szCs w:val="28"/>
        </w:rPr>
        <w:t>坐落：大石桥市</w:t>
      </w:r>
      <w:r>
        <w:rPr>
          <w:rFonts w:hint="eastAsia" w:eastAsia="仿宋_GB2312"/>
          <w:sz w:val="28"/>
          <w:szCs w:val="28"/>
          <w:lang w:eastAsia="zh-CN"/>
        </w:rPr>
        <w:t>盘龙街龙山里</w:t>
      </w:r>
      <w:r>
        <w:rPr>
          <w:rFonts w:hint="eastAsia" w:eastAsia="仿宋_GB2312"/>
          <w:sz w:val="28"/>
          <w:szCs w:val="28"/>
        </w:rPr>
        <w:t>。</w:t>
      </w:r>
    </w:p>
    <w:p>
      <w:pPr>
        <w:spacing w:line="360" w:lineRule="auto"/>
        <w:ind w:firstLine="560" w:firstLineChars="200"/>
        <w:rPr>
          <w:rFonts w:eastAsia="仿宋_GB2312"/>
          <w:sz w:val="28"/>
          <w:szCs w:val="28"/>
        </w:rPr>
      </w:pPr>
      <w:r>
        <w:rPr>
          <w:rFonts w:hint="eastAsia" w:eastAsia="仿宋_GB2312"/>
          <w:sz w:val="28"/>
          <w:szCs w:val="28"/>
        </w:rPr>
        <w:t>范围：本次评估</w:t>
      </w:r>
      <w:r>
        <w:rPr>
          <w:rFonts w:eastAsia="仿宋_GB2312"/>
          <w:sz w:val="28"/>
          <w:szCs w:val="28"/>
        </w:rPr>
        <w:t>范围</w:t>
      </w:r>
      <w:r>
        <w:rPr>
          <w:rFonts w:hint="eastAsia" w:eastAsia="仿宋_GB2312"/>
          <w:sz w:val="28"/>
          <w:szCs w:val="28"/>
        </w:rPr>
        <w:t>为一处住宅，</w:t>
      </w:r>
      <w:r>
        <w:rPr>
          <w:rFonts w:eastAsia="仿宋_GB2312"/>
          <w:sz w:val="28"/>
          <w:szCs w:val="28"/>
        </w:rPr>
        <w:t>建筑面积</w:t>
      </w:r>
      <w:r>
        <w:rPr>
          <w:rFonts w:hint="eastAsia" w:eastAsia="仿宋_GB2312"/>
          <w:sz w:val="28"/>
          <w:szCs w:val="28"/>
          <w:lang w:eastAsia="zh-CN"/>
        </w:rPr>
        <w:t>63.91</w:t>
      </w:r>
      <w:r>
        <w:rPr>
          <w:rFonts w:eastAsia="仿宋_GB2312"/>
          <w:sz w:val="28"/>
          <w:szCs w:val="28"/>
        </w:rPr>
        <w:t>㎡</w:t>
      </w:r>
      <w:r>
        <w:rPr>
          <w:rFonts w:hint="eastAsia" w:eastAsia="仿宋_GB2312"/>
          <w:sz w:val="28"/>
          <w:szCs w:val="28"/>
        </w:rPr>
        <w:t>的房屋及房屋分摊土地使用权</w:t>
      </w:r>
      <w:r>
        <w:rPr>
          <w:rFonts w:eastAsia="仿宋_GB2312"/>
          <w:sz w:val="28"/>
          <w:szCs w:val="28"/>
        </w:rPr>
        <w:t>。</w:t>
      </w:r>
    </w:p>
    <w:p>
      <w:pPr>
        <w:spacing w:line="360" w:lineRule="auto"/>
        <w:ind w:firstLine="560" w:firstLineChars="200"/>
        <w:rPr>
          <w:rFonts w:eastAsia="仿宋_GB2312"/>
          <w:sz w:val="28"/>
          <w:szCs w:val="28"/>
        </w:rPr>
      </w:pPr>
      <w:r>
        <w:rPr>
          <w:rFonts w:hint="eastAsia" w:eastAsia="仿宋_GB2312"/>
          <w:sz w:val="28"/>
          <w:szCs w:val="28"/>
        </w:rPr>
        <w:t>规模：估价对象房屋建筑面积</w:t>
      </w:r>
      <w:r>
        <w:rPr>
          <w:rFonts w:hint="eastAsia" w:eastAsia="仿宋_GB2312"/>
          <w:sz w:val="28"/>
          <w:szCs w:val="28"/>
          <w:lang w:eastAsia="zh-CN"/>
        </w:rPr>
        <w:t>63.91</w:t>
      </w:r>
      <w:r>
        <w:rPr>
          <w:rFonts w:hint="eastAsia" w:eastAsia="仿宋_GB2312"/>
          <w:sz w:val="28"/>
          <w:szCs w:val="28"/>
        </w:rPr>
        <w:t>㎡。</w:t>
      </w:r>
    </w:p>
    <w:p>
      <w:pPr>
        <w:spacing w:line="360" w:lineRule="auto"/>
        <w:ind w:firstLine="560" w:firstLineChars="200"/>
        <w:rPr>
          <w:rFonts w:eastAsia="仿宋_GB2312"/>
          <w:sz w:val="28"/>
          <w:szCs w:val="28"/>
        </w:rPr>
      </w:pPr>
      <w:r>
        <w:rPr>
          <w:rFonts w:hint="eastAsia" w:eastAsia="仿宋_GB2312"/>
          <w:sz w:val="28"/>
          <w:szCs w:val="28"/>
        </w:rPr>
        <w:t>用途：估价对象的规划用途为住宅，实际用途为住宅。</w:t>
      </w:r>
    </w:p>
    <w:p>
      <w:pPr>
        <w:spacing w:line="360" w:lineRule="auto"/>
        <w:ind w:firstLine="560" w:firstLineChars="200"/>
        <w:rPr>
          <w:rFonts w:eastAsia="仿宋_GB2312"/>
          <w:sz w:val="28"/>
          <w:szCs w:val="28"/>
        </w:rPr>
      </w:pPr>
      <w:r>
        <w:rPr>
          <w:rFonts w:hint="eastAsia" w:eastAsia="仿宋_GB2312"/>
          <w:sz w:val="28"/>
          <w:szCs w:val="28"/>
        </w:rPr>
        <w:t>权属：估价对象为付宇东单独所有。</w:t>
      </w:r>
    </w:p>
    <w:p>
      <w:pPr>
        <w:tabs>
          <w:tab w:val="left" w:pos="735"/>
          <w:tab w:val="left" w:pos="945"/>
        </w:tabs>
        <w:spacing w:line="360" w:lineRule="auto"/>
        <w:ind w:firstLine="562" w:firstLineChars="200"/>
        <w:rPr>
          <w:rFonts w:ascii="仿宋_GB2312" w:eastAsia="仿宋_GB2312"/>
          <w:b/>
          <w:sz w:val="28"/>
          <w:szCs w:val="28"/>
        </w:rPr>
      </w:pPr>
      <w:r>
        <w:rPr>
          <w:rFonts w:eastAsia="仿宋_GB2312"/>
          <w:b/>
          <w:sz w:val="28"/>
          <w:szCs w:val="28"/>
        </w:rPr>
        <w:t>2、</w:t>
      </w:r>
      <w:r>
        <w:rPr>
          <w:rFonts w:hint="eastAsia" w:ascii="仿宋_GB2312" w:eastAsia="仿宋_GB2312"/>
          <w:b/>
          <w:sz w:val="28"/>
          <w:szCs w:val="28"/>
        </w:rPr>
        <w:t>估价对象权益状况</w:t>
      </w:r>
    </w:p>
    <w:tbl>
      <w:tblPr>
        <w:tblStyle w:val="34"/>
        <w:tblW w:w="8543" w:type="dxa"/>
        <w:jc w:val="center"/>
        <w:tblLayout w:type="autofit"/>
        <w:tblCellMar>
          <w:top w:w="0" w:type="dxa"/>
          <w:left w:w="108" w:type="dxa"/>
          <w:bottom w:w="0" w:type="dxa"/>
          <w:right w:w="108" w:type="dxa"/>
        </w:tblCellMar>
      </w:tblPr>
      <w:tblGrid>
        <w:gridCol w:w="1367"/>
        <w:gridCol w:w="1860"/>
        <w:gridCol w:w="1181"/>
        <w:gridCol w:w="733"/>
        <w:gridCol w:w="709"/>
        <w:gridCol w:w="850"/>
        <w:gridCol w:w="709"/>
        <w:gridCol w:w="1134"/>
      </w:tblGrid>
      <w:tr>
        <w:tblPrEx>
          <w:tblCellMar>
            <w:top w:w="0" w:type="dxa"/>
            <w:left w:w="108" w:type="dxa"/>
            <w:bottom w:w="0" w:type="dxa"/>
            <w:right w:w="108" w:type="dxa"/>
          </w:tblCellMar>
        </w:tblPrEx>
        <w:trPr>
          <w:trHeight w:val="285" w:hRule="atLeast"/>
          <w:jc w:val="center"/>
        </w:trPr>
        <w:tc>
          <w:tcPr>
            <w:tcW w:w="13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等线" w:eastAsia="仿宋_GB2312" w:cs="宋体"/>
                <w:b/>
                <w:bCs/>
                <w:color w:val="000000"/>
                <w:sz w:val="20"/>
              </w:rPr>
            </w:pPr>
            <w:r>
              <w:rPr>
                <w:rFonts w:hint="eastAsia" w:ascii="仿宋_GB2312" w:hAnsi="等线" w:eastAsia="仿宋_GB2312" w:cs="宋体"/>
                <w:b/>
                <w:bCs/>
                <w:color w:val="000000"/>
                <w:sz w:val="20"/>
              </w:rPr>
              <w:t>地址</w:t>
            </w:r>
          </w:p>
        </w:tc>
        <w:tc>
          <w:tcPr>
            <w:tcW w:w="18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default" w:ascii="仿宋_GB2312" w:hAnsi="等线" w:eastAsia="仿宋_GB2312" w:cs="宋体"/>
                <w:b/>
                <w:bCs/>
                <w:color w:val="000000"/>
                <w:sz w:val="20"/>
                <w:lang w:val="en-US" w:eastAsia="zh-CN"/>
              </w:rPr>
            </w:pPr>
            <w:r>
              <w:rPr>
                <w:rFonts w:hint="eastAsia" w:ascii="仿宋_GB2312" w:hAnsi="等线" w:eastAsia="仿宋_GB2312" w:cs="宋体"/>
                <w:b/>
                <w:bCs/>
                <w:color w:val="000000"/>
                <w:sz w:val="20"/>
              </w:rPr>
              <w:t>房</w:t>
            </w:r>
            <w:r>
              <w:rPr>
                <w:rFonts w:hint="eastAsia" w:ascii="仿宋_GB2312" w:hAnsi="等线" w:eastAsia="仿宋_GB2312" w:cs="宋体"/>
                <w:b/>
                <w:bCs/>
                <w:color w:val="000000"/>
                <w:sz w:val="20"/>
                <w:lang w:val="en-US" w:eastAsia="zh-CN"/>
              </w:rPr>
              <w:t>屋卷号</w:t>
            </w:r>
          </w:p>
        </w:tc>
        <w:tc>
          <w:tcPr>
            <w:tcW w:w="11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等线" w:eastAsia="仿宋_GB2312" w:cs="宋体"/>
                <w:b/>
                <w:bCs/>
                <w:color w:val="000000"/>
                <w:sz w:val="20"/>
              </w:rPr>
            </w:pPr>
            <w:r>
              <w:rPr>
                <w:rFonts w:hint="eastAsia" w:ascii="仿宋_GB2312" w:hAnsi="等线" w:eastAsia="仿宋_GB2312" w:cs="宋体"/>
                <w:b/>
                <w:bCs/>
                <w:color w:val="000000"/>
                <w:sz w:val="20"/>
              </w:rPr>
              <w:t>所有权人</w:t>
            </w:r>
          </w:p>
        </w:tc>
        <w:tc>
          <w:tcPr>
            <w:tcW w:w="7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等线" w:eastAsia="仿宋_GB2312" w:cs="宋体"/>
                <w:b/>
                <w:bCs/>
                <w:color w:val="000000"/>
                <w:sz w:val="20"/>
              </w:rPr>
            </w:pPr>
            <w:r>
              <w:rPr>
                <w:rFonts w:hint="eastAsia" w:ascii="仿宋_GB2312" w:hAnsi="等线" w:eastAsia="仿宋_GB2312" w:cs="宋体"/>
                <w:b/>
                <w:bCs/>
                <w:color w:val="000000"/>
                <w:sz w:val="20"/>
              </w:rPr>
              <w:t>规划用途</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等线" w:eastAsia="仿宋_GB2312" w:cs="宋体"/>
                <w:b/>
                <w:bCs/>
                <w:color w:val="000000"/>
                <w:sz w:val="20"/>
              </w:rPr>
            </w:pPr>
            <w:r>
              <w:rPr>
                <w:rFonts w:hint="eastAsia" w:ascii="仿宋_GB2312" w:hAnsi="等线" w:eastAsia="仿宋_GB2312" w:cs="宋体"/>
                <w:b/>
                <w:bCs/>
                <w:color w:val="000000"/>
                <w:sz w:val="20"/>
              </w:rPr>
              <w:t>实际用途</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等线" w:eastAsia="仿宋_GB2312" w:cs="宋体"/>
                <w:b/>
                <w:bCs/>
                <w:color w:val="000000"/>
                <w:sz w:val="20"/>
              </w:rPr>
            </w:pPr>
            <w:r>
              <w:rPr>
                <w:rFonts w:hint="eastAsia" w:ascii="仿宋_GB2312" w:hAnsi="等线" w:eastAsia="仿宋_GB2312" w:cs="宋体"/>
                <w:b/>
                <w:bCs/>
                <w:color w:val="000000"/>
                <w:sz w:val="20"/>
              </w:rPr>
              <w:t>总层数</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等线" w:eastAsia="仿宋_GB2312" w:cs="宋体"/>
                <w:b/>
                <w:bCs/>
                <w:color w:val="000000"/>
                <w:sz w:val="20"/>
              </w:rPr>
            </w:pPr>
            <w:r>
              <w:rPr>
                <w:rFonts w:hint="eastAsia" w:ascii="仿宋_GB2312" w:hAnsi="等线" w:eastAsia="仿宋_GB2312" w:cs="宋体"/>
                <w:b/>
                <w:bCs/>
                <w:color w:val="000000"/>
                <w:sz w:val="20"/>
              </w:rPr>
              <w:t>所在层数</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等线" w:eastAsia="仿宋_GB2312" w:cs="宋体"/>
                <w:b/>
                <w:bCs/>
                <w:color w:val="000000"/>
                <w:sz w:val="20"/>
              </w:rPr>
            </w:pPr>
            <w:r>
              <w:rPr>
                <w:rFonts w:hint="eastAsia" w:ascii="仿宋_GB2312" w:hAnsi="等线" w:eastAsia="仿宋_GB2312" w:cs="宋体"/>
                <w:b/>
                <w:bCs/>
                <w:color w:val="000000"/>
                <w:sz w:val="20"/>
              </w:rPr>
              <w:t>建筑面积       （</w:t>
            </w:r>
            <w:r>
              <w:rPr>
                <w:rFonts w:hint="eastAsia" w:ascii="宋体" w:hAnsi="宋体" w:cs="宋体"/>
                <w:b/>
                <w:bCs/>
                <w:color w:val="000000"/>
                <w:sz w:val="20"/>
              </w:rPr>
              <w:t>㎡</w:t>
            </w:r>
            <w:r>
              <w:rPr>
                <w:rFonts w:hint="eastAsia" w:ascii="仿宋_GB2312" w:hAnsi="等线" w:eastAsia="仿宋_GB2312" w:cs="宋体"/>
                <w:b/>
                <w:bCs/>
                <w:color w:val="000000"/>
                <w:sz w:val="20"/>
              </w:rPr>
              <w:t>）</w:t>
            </w:r>
          </w:p>
        </w:tc>
      </w:tr>
      <w:tr>
        <w:tblPrEx>
          <w:tblCellMar>
            <w:top w:w="0" w:type="dxa"/>
            <w:left w:w="108" w:type="dxa"/>
            <w:bottom w:w="0" w:type="dxa"/>
            <w:right w:w="108" w:type="dxa"/>
          </w:tblCellMar>
        </w:tblPrEx>
        <w:trPr>
          <w:trHeight w:val="285" w:hRule="atLeast"/>
          <w:jc w:val="center"/>
        </w:trPr>
        <w:tc>
          <w:tcPr>
            <w:tcW w:w="136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textAlignment w:val="auto"/>
              <w:rPr>
                <w:rFonts w:ascii="仿宋_GB2312" w:hAnsi="等线" w:eastAsia="仿宋_GB2312" w:cs="宋体"/>
                <w:b/>
                <w:bCs/>
                <w:color w:val="000000"/>
                <w:sz w:val="20"/>
              </w:rPr>
            </w:pPr>
          </w:p>
        </w:tc>
        <w:tc>
          <w:tcPr>
            <w:tcW w:w="186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textAlignment w:val="auto"/>
              <w:rPr>
                <w:rFonts w:ascii="仿宋_GB2312" w:hAnsi="等线" w:eastAsia="仿宋_GB2312" w:cs="宋体"/>
                <w:b/>
                <w:bCs/>
                <w:color w:val="000000"/>
                <w:sz w:val="20"/>
              </w:rPr>
            </w:pPr>
          </w:p>
        </w:tc>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textAlignment w:val="auto"/>
              <w:rPr>
                <w:rFonts w:ascii="仿宋_GB2312" w:hAnsi="等线" w:eastAsia="仿宋_GB2312" w:cs="宋体"/>
                <w:b/>
                <w:bCs/>
                <w:color w:val="000000"/>
                <w:sz w:val="20"/>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textAlignment w:val="auto"/>
              <w:rPr>
                <w:rFonts w:ascii="仿宋_GB2312" w:hAnsi="等线" w:eastAsia="仿宋_GB2312" w:cs="宋体"/>
                <w:b/>
                <w:bCs/>
                <w:color w:val="000000"/>
                <w:sz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textAlignment w:val="auto"/>
              <w:rPr>
                <w:rFonts w:ascii="仿宋_GB2312" w:hAnsi="等线" w:eastAsia="仿宋_GB2312" w:cs="宋体"/>
                <w:b/>
                <w:bCs/>
                <w:color w:val="000000"/>
                <w:sz w:val="20"/>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textAlignment w:val="auto"/>
              <w:rPr>
                <w:rFonts w:ascii="仿宋_GB2312" w:hAnsi="等线" w:eastAsia="仿宋_GB2312" w:cs="宋体"/>
                <w:b/>
                <w:bCs/>
                <w:color w:val="000000"/>
                <w:sz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textAlignment w:val="auto"/>
              <w:rPr>
                <w:rFonts w:ascii="仿宋_GB2312" w:hAnsi="等线" w:eastAsia="仿宋_GB2312" w:cs="宋体"/>
                <w:b/>
                <w:bCs/>
                <w:color w:val="000000"/>
                <w:sz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textAlignment w:val="auto"/>
              <w:rPr>
                <w:rFonts w:ascii="仿宋_GB2312" w:hAnsi="等线" w:eastAsia="仿宋_GB2312" w:cs="宋体"/>
                <w:b/>
                <w:bCs/>
                <w:color w:val="000000"/>
                <w:sz w:val="20"/>
              </w:rPr>
            </w:pPr>
          </w:p>
        </w:tc>
      </w:tr>
      <w:tr>
        <w:tblPrEx>
          <w:tblCellMar>
            <w:top w:w="0" w:type="dxa"/>
            <w:left w:w="108" w:type="dxa"/>
            <w:bottom w:w="0" w:type="dxa"/>
            <w:right w:w="108" w:type="dxa"/>
          </w:tblCellMar>
        </w:tblPrEx>
        <w:trPr>
          <w:trHeight w:val="1295" w:hRule="atLeast"/>
          <w:jc w:val="center"/>
        </w:trPr>
        <w:tc>
          <w:tcPr>
            <w:tcW w:w="1367"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eastAsia="仿宋_GB2312"/>
                <w:sz w:val="20"/>
                <w:lang w:eastAsia="zh-CN"/>
              </w:rPr>
            </w:pPr>
            <w:r>
              <w:rPr>
                <w:rFonts w:hint="eastAsia" w:eastAsia="仿宋_GB2312"/>
                <w:sz w:val="20"/>
              </w:rPr>
              <w:t>大石桥市</w:t>
            </w:r>
            <w:r>
              <w:rPr>
                <w:rFonts w:hint="eastAsia" w:eastAsia="仿宋_GB2312"/>
                <w:sz w:val="20"/>
                <w:lang w:eastAsia="zh-CN"/>
              </w:rPr>
              <w:t>盘龙街龙山里（1#楼1单元301室）</w:t>
            </w:r>
          </w:p>
        </w:tc>
        <w:tc>
          <w:tcPr>
            <w:tcW w:w="1860" w:type="dxa"/>
            <w:tcBorders>
              <w:top w:val="nil"/>
              <w:left w:val="nil"/>
              <w:bottom w:val="single" w:color="auto" w:sz="4" w:space="0"/>
              <w:right w:val="single" w:color="auto" w:sz="4" w:space="0"/>
            </w:tcBorders>
            <w:shd w:val="clear" w:color="auto" w:fill="auto"/>
            <w:vAlign w:val="top"/>
          </w:tcPr>
          <w:p>
            <w:pPr>
              <w:widowControl/>
              <w:adjustRightInd/>
              <w:spacing w:line="240" w:lineRule="auto"/>
              <w:jc w:val="center"/>
              <w:textAlignment w:val="auto"/>
              <w:rPr>
                <w:rFonts w:hint="eastAsia" w:ascii="仿宋_GB2312" w:hAnsi="宋体" w:eastAsia="仿宋_GB2312" w:cs="宋体"/>
                <w:color w:val="000000"/>
                <w:sz w:val="20"/>
                <w:lang w:val="en-US" w:eastAsia="zh-CN"/>
              </w:rPr>
            </w:pPr>
          </w:p>
          <w:p>
            <w:pPr>
              <w:widowControl/>
              <w:adjustRightInd/>
              <w:spacing w:line="240" w:lineRule="auto"/>
              <w:jc w:val="center"/>
              <w:textAlignment w:val="auto"/>
              <w:rPr>
                <w:rFonts w:hint="eastAsia" w:ascii="仿宋_GB2312" w:hAnsi="宋体" w:eastAsia="仿宋_GB2312" w:cs="宋体"/>
                <w:color w:val="000000"/>
                <w:sz w:val="20"/>
                <w:lang w:val="en-US" w:eastAsia="zh-CN"/>
              </w:rPr>
            </w:pPr>
          </w:p>
          <w:p>
            <w:pPr>
              <w:widowControl/>
              <w:adjustRightInd/>
              <w:spacing w:line="240" w:lineRule="auto"/>
              <w:jc w:val="center"/>
              <w:textAlignment w:val="auto"/>
              <w:rPr>
                <w:rFonts w:hint="default" w:eastAsia="仿宋_GB2312"/>
                <w:sz w:val="20"/>
                <w:lang w:val="en-US" w:eastAsia="zh-CN"/>
              </w:rPr>
            </w:pPr>
            <w:r>
              <w:rPr>
                <w:rFonts w:hint="eastAsia" w:ascii="仿宋_GB2312" w:hAnsi="仿宋_GB2312" w:eastAsia="仿宋_GB2312" w:cs="仿宋_GB2312"/>
                <w:b w:val="0"/>
                <w:bCs w:val="0"/>
                <w:spacing w:val="0"/>
                <w:sz w:val="21"/>
                <w:szCs w:val="21"/>
                <w:lang w:val="en-US" w:eastAsia="zh-CN"/>
              </w:rPr>
              <w:t>B</w:t>
            </w:r>
            <w:r>
              <w:rPr>
                <w:rFonts w:hint="eastAsia" w:ascii="仿宋_GB2312" w:hAnsi="仿宋_GB2312" w:eastAsia="仿宋_GB2312" w:cs="仿宋_GB2312"/>
                <w:b w:val="0"/>
                <w:bCs w:val="0"/>
                <w:spacing w:val="0"/>
                <w:sz w:val="21"/>
                <w:szCs w:val="21"/>
                <w:vertAlign w:val="subscript"/>
                <w:lang w:val="en-US" w:eastAsia="zh-CN"/>
              </w:rPr>
              <w:t>5</w:t>
            </w:r>
            <w:r>
              <w:rPr>
                <w:rFonts w:hint="eastAsia" w:ascii="仿宋_GB2312" w:hAnsi="仿宋_GB2312" w:eastAsia="仿宋_GB2312" w:cs="仿宋_GB2312"/>
                <w:b w:val="0"/>
                <w:bCs w:val="0"/>
                <w:spacing w:val="0"/>
                <w:sz w:val="21"/>
                <w:szCs w:val="21"/>
                <w:vertAlign w:val="baseline"/>
                <w:lang w:val="en-US" w:eastAsia="zh-CN"/>
              </w:rPr>
              <w:t>100006-301号</w:t>
            </w:r>
          </w:p>
        </w:tc>
        <w:tc>
          <w:tcPr>
            <w:tcW w:w="1181" w:type="dxa"/>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eastAsia="仿宋_GB2312"/>
                <w:sz w:val="20"/>
              </w:rPr>
            </w:pPr>
            <w:r>
              <w:rPr>
                <w:rFonts w:hint="eastAsia" w:ascii="仿宋_GB2312" w:hAnsi="宋体" w:eastAsia="仿宋_GB2312" w:cs="宋体"/>
                <w:color w:val="000000"/>
                <w:sz w:val="20"/>
              </w:rPr>
              <w:t>付宇东</w:t>
            </w:r>
          </w:p>
        </w:tc>
        <w:tc>
          <w:tcPr>
            <w:tcW w:w="733" w:type="dxa"/>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eastAsia="仿宋_GB2312"/>
                <w:sz w:val="20"/>
              </w:rPr>
            </w:pPr>
            <w:r>
              <w:rPr>
                <w:rFonts w:hint="eastAsia" w:eastAsia="仿宋_GB2312"/>
                <w:sz w:val="20"/>
              </w:rPr>
              <w:t>住宅</w:t>
            </w:r>
          </w:p>
        </w:tc>
        <w:tc>
          <w:tcPr>
            <w:tcW w:w="709" w:type="dxa"/>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eastAsia="仿宋_GB2312"/>
                <w:sz w:val="20"/>
              </w:rPr>
            </w:pPr>
            <w:r>
              <w:rPr>
                <w:rFonts w:hint="eastAsia" w:eastAsia="仿宋_GB2312"/>
                <w:sz w:val="20"/>
              </w:rPr>
              <w:t>住宅</w:t>
            </w:r>
          </w:p>
        </w:tc>
        <w:tc>
          <w:tcPr>
            <w:tcW w:w="850" w:type="dxa"/>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eastAsia="仿宋_GB2312"/>
                <w:sz w:val="20"/>
                <w:lang w:eastAsia="zh-CN"/>
              </w:rPr>
            </w:pPr>
            <w:r>
              <w:rPr>
                <w:rFonts w:hint="eastAsia" w:eastAsia="仿宋_GB2312"/>
                <w:sz w:val="20"/>
                <w:lang w:val="en-US" w:eastAsia="zh-CN"/>
              </w:rPr>
              <w:t>4</w:t>
            </w:r>
          </w:p>
        </w:tc>
        <w:tc>
          <w:tcPr>
            <w:tcW w:w="709" w:type="dxa"/>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eastAsia="仿宋_GB2312"/>
                <w:sz w:val="20"/>
                <w:lang w:eastAsia="zh-CN"/>
              </w:rPr>
            </w:pPr>
            <w:r>
              <w:rPr>
                <w:rFonts w:hint="eastAsia" w:eastAsia="仿宋_GB2312"/>
                <w:sz w:val="20"/>
                <w:lang w:val="en-US" w:eastAsia="zh-CN"/>
              </w:rPr>
              <w:t>3</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eastAsia="仿宋_GB2312"/>
                <w:sz w:val="20"/>
                <w:lang w:eastAsia="zh-CN"/>
              </w:rPr>
            </w:pPr>
            <w:r>
              <w:rPr>
                <w:rFonts w:hint="eastAsia" w:eastAsia="仿宋_GB2312"/>
                <w:color w:val="000000"/>
                <w:sz w:val="20"/>
                <w:lang w:eastAsia="zh-CN"/>
              </w:rPr>
              <w:t>63.91</w:t>
            </w:r>
          </w:p>
        </w:tc>
      </w:tr>
    </w:tbl>
    <w:p>
      <w:pPr>
        <w:tabs>
          <w:tab w:val="left" w:pos="735"/>
          <w:tab w:val="left" w:pos="945"/>
        </w:tabs>
        <w:spacing w:line="360" w:lineRule="auto"/>
        <w:ind w:firstLine="562" w:firstLineChars="200"/>
        <w:rPr>
          <w:rFonts w:hint="eastAsia" w:ascii="仿宋_GB2312" w:eastAsia="仿宋_GB2312"/>
          <w:b/>
          <w:sz w:val="28"/>
          <w:szCs w:val="28"/>
        </w:rPr>
      </w:pPr>
      <w:r>
        <w:rPr>
          <w:rFonts w:hint="eastAsia" w:ascii="仿宋_GB2312" w:eastAsia="仿宋_GB2312"/>
          <w:b/>
          <w:sz w:val="28"/>
          <w:szCs w:val="28"/>
        </w:rPr>
        <w:t>3、估价对象区位状况</w:t>
      </w:r>
    </w:p>
    <w:p>
      <w:pPr>
        <w:tabs>
          <w:tab w:val="left" w:pos="735"/>
          <w:tab w:val="left" w:pos="945"/>
        </w:tabs>
        <w:spacing w:line="360" w:lineRule="auto"/>
        <w:ind w:firstLine="560" w:firstLineChars="200"/>
        <w:rPr>
          <w:rFonts w:eastAsia="仿宋_GB2312"/>
          <w:sz w:val="28"/>
          <w:szCs w:val="28"/>
        </w:rPr>
      </w:pPr>
      <w:r>
        <w:rPr>
          <w:rFonts w:hint="eastAsia" w:ascii="仿宋_GB2312" w:eastAsia="仿宋_GB2312"/>
          <w:sz w:val="28"/>
          <w:szCs w:val="28"/>
        </w:rPr>
        <w:t>估价对象位于大石桥市</w:t>
      </w:r>
      <w:r>
        <w:rPr>
          <w:rFonts w:hint="eastAsia" w:ascii="仿宋_GB2312" w:eastAsia="仿宋_GB2312"/>
          <w:sz w:val="28"/>
          <w:szCs w:val="28"/>
          <w:lang w:eastAsia="zh-CN"/>
        </w:rPr>
        <w:t>盘龙街龙山里（1#楼1单元301室）</w:t>
      </w:r>
      <w:r>
        <w:rPr>
          <w:rFonts w:hint="eastAsia" w:eastAsia="仿宋_GB2312"/>
          <w:sz w:val="28"/>
          <w:szCs w:val="28"/>
        </w:rPr>
        <w:t>。该</w:t>
      </w:r>
      <w:r>
        <w:rPr>
          <w:rFonts w:hint="eastAsia" w:eastAsia="仿宋_GB2312"/>
          <w:sz w:val="28"/>
          <w:szCs w:val="28"/>
          <w:lang w:val="en-US" w:eastAsia="zh-CN"/>
        </w:rPr>
        <w:t>住宅楼</w:t>
      </w:r>
      <w:r>
        <w:rPr>
          <w:rFonts w:hint="eastAsia" w:eastAsia="仿宋_GB2312"/>
          <w:sz w:val="28"/>
          <w:szCs w:val="28"/>
        </w:rPr>
        <w:t>东临</w:t>
      </w:r>
      <w:r>
        <w:rPr>
          <w:rFonts w:hint="eastAsia" w:eastAsia="仿宋_GB2312"/>
          <w:sz w:val="28"/>
          <w:szCs w:val="28"/>
          <w:lang w:val="en-US" w:eastAsia="zh-CN"/>
        </w:rPr>
        <w:t>蟠龙山</w:t>
      </w:r>
      <w:r>
        <w:rPr>
          <w:rFonts w:hint="eastAsia" w:eastAsia="仿宋_GB2312"/>
          <w:sz w:val="28"/>
          <w:szCs w:val="28"/>
        </w:rPr>
        <w:t>、西临</w:t>
      </w:r>
      <w:r>
        <w:rPr>
          <w:rFonts w:hint="eastAsia" w:eastAsia="仿宋_GB2312"/>
          <w:sz w:val="28"/>
          <w:szCs w:val="28"/>
          <w:lang w:val="en-US" w:eastAsia="zh-CN"/>
        </w:rPr>
        <w:t>大地</w:t>
      </w:r>
      <w:r>
        <w:rPr>
          <w:rFonts w:hint="eastAsia" w:eastAsia="仿宋_GB2312"/>
          <w:sz w:val="28"/>
          <w:szCs w:val="28"/>
        </w:rPr>
        <w:t>、南临</w:t>
      </w:r>
      <w:r>
        <w:rPr>
          <w:rFonts w:hint="eastAsia" w:eastAsia="仿宋_GB2312"/>
          <w:sz w:val="28"/>
          <w:szCs w:val="28"/>
          <w:lang w:val="en-US" w:eastAsia="zh-CN"/>
        </w:rPr>
        <w:t>蟠龙山</w:t>
      </w:r>
      <w:r>
        <w:rPr>
          <w:rFonts w:hint="eastAsia" w:eastAsia="仿宋_GB2312"/>
          <w:sz w:val="28"/>
          <w:szCs w:val="28"/>
        </w:rPr>
        <w:t>、北临</w:t>
      </w:r>
      <w:r>
        <w:rPr>
          <w:rFonts w:hint="eastAsia" w:eastAsia="仿宋_GB2312"/>
          <w:sz w:val="28"/>
          <w:szCs w:val="28"/>
          <w:lang w:val="en-US" w:eastAsia="zh-CN"/>
        </w:rPr>
        <w:t>大地</w:t>
      </w:r>
      <w:r>
        <w:rPr>
          <w:rFonts w:hint="eastAsia" w:eastAsia="仿宋_GB2312"/>
          <w:sz w:val="28"/>
          <w:szCs w:val="28"/>
        </w:rPr>
        <w:t>，周边有大石桥市第</w:t>
      </w:r>
      <w:r>
        <w:rPr>
          <w:rFonts w:hint="eastAsia" w:eastAsia="仿宋_GB2312"/>
          <w:sz w:val="28"/>
          <w:szCs w:val="28"/>
          <w:lang w:val="en-US" w:eastAsia="zh-CN"/>
        </w:rPr>
        <w:t>四</w:t>
      </w:r>
      <w:r>
        <w:rPr>
          <w:rFonts w:hint="eastAsia" w:eastAsia="仿宋_GB2312"/>
          <w:sz w:val="28"/>
          <w:szCs w:val="28"/>
        </w:rPr>
        <w:t>初级中学、</w:t>
      </w:r>
      <w:r>
        <w:rPr>
          <w:rFonts w:hint="eastAsia" w:eastAsia="仿宋_GB2312"/>
          <w:sz w:val="28"/>
          <w:szCs w:val="28"/>
          <w:lang w:val="en-US" w:eastAsia="zh-CN"/>
        </w:rPr>
        <w:t>英华学校（初中部）、</w:t>
      </w:r>
      <w:r>
        <w:rPr>
          <w:rFonts w:hint="eastAsia" w:eastAsia="仿宋_GB2312"/>
          <w:sz w:val="28"/>
          <w:szCs w:val="28"/>
        </w:rPr>
        <w:t>大石桥</w:t>
      </w:r>
      <w:r>
        <w:rPr>
          <w:rFonts w:hint="eastAsia" w:eastAsia="仿宋_GB2312"/>
          <w:sz w:val="28"/>
          <w:szCs w:val="28"/>
          <w:lang w:val="en-US" w:eastAsia="zh-CN"/>
        </w:rPr>
        <w:t>第二高级中</w:t>
      </w:r>
      <w:r>
        <w:rPr>
          <w:rFonts w:hint="eastAsia" w:eastAsia="仿宋_GB2312"/>
          <w:sz w:val="28"/>
          <w:szCs w:val="28"/>
        </w:rPr>
        <w:t>学等；有</w:t>
      </w:r>
      <w:r>
        <w:rPr>
          <w:rFonts w:hint="eastAsia" w:eastAsia="仿宋_GB2312"/>
          <w:sz w:val="28"/>
          <w:szCs w:val="28"/>
          <w:lang w:val="en-US" w:eastAsia="zh-CN"/>
        </w:rPr>
        <w:t>中国工商</w:t>
      </w:r>
      <w:r>
        <w:rPr>
          <w:rFonts w:hint="eastAsia" w:eastAsia="仿宋_GB2312"/>
          <w:sz w:val="28"/>
          <w:szCs w:val="28"/>
        </w:rPr>
        <w:t>银行、大石桥农商银行等；有大石桥1</w:t>
      </w:r>
      <w:r>
        <w:rPr>
          <w:rFonts w:hint="eastAsia" w:eastAsia="仿宋_GB2312"/>
          <w:sz w:val="28"/>
          <w:szCs w:val="28"/>
          <w:lang w:val="en-US" w:eastAsia="zh-CN"/>
        </w:rPr>
        <w:t>6</w:t>
      </w:r>
      <w:r>
        <w:rPr>
          <w:rFonts w:hint="eastAsia" w:eastAsia="仿宋_GB2312"/>
          <w:sz w:val="28"/>
          <w:szCs w:val="28"/>
        </w:rPr>
        <w:t>路、</w:t>
      </w:r>
      <w:r>
        <w:rPr>
          <w:rFonts w:hint="eastAsia" w:eastAsia="仿宋_GB2312"/>
          <w:sz w:val="28"/>
          <w:szCs w:val="28"/>
          <w:lang w:val="en-US" w:eastAsia="zh-CN"/>
        </w:rPr>
        <w:t>大</w:t>
      </w:r>
      <w:r>
        <w:rPr>
          <w:rFonts w:hint="eastAsia" w:eastAsia="仿宋_GB2312"/>
          <w:sz w:val="28"/>
          <w:szCs w:val="28"/>
        </w:rPr>
        <w:t>石桥</w:t>
      </w:r>
      <w:r>
        <w:rPr>
          <w:rFonts w:hint="eastAsia" w:eastAsia="仿宋_GB2312"/>
          <w:sz w:val="28"/>
          <w:szCs w:val="28"/>
          <w:lang w:val="en-US" w:eastAsia="zh-CN"/>
        </w:rPr>
        <w:t>17</w:t>
      </w:r>
      <w:r>
        <w:rPr>
          <w:rFonts w:hint="eastAsia" w:eastAsia="仿宋_GB2312"/>
          <w:sz w:val="28"/>
          <w:szCs w:val="28"/>
        </w:rPr>
        <w:t>路、</w:t>
      </w:r>
      <w:r>
        <w:rPr>
          <w:rFonts w:hint="eastAsia" w:eastAsia="仿宋_GB2312"/>
          <w:sz w:val="28"/>
          <w:szCs w:val="28"/>
          <w:lang w:val="en-US" w:eastAsia="zh-CN"/>
        </w:rPr>
        <w:t>大</w:t>
      </w:r>
      <w:r>
        <w:rPr>
          <w:rFonts w:hint="eastAsia" w:eastAsia="仿宋_GB2312"/>
          <w:sz w:val="28"/>
          <w:szCs w:val="28"/>
        </w:rPr>
        <w:t>石桥</w:t>
      </w:r>
      <w:r>
        <w:rPr>
          <w:rFonts w:hint="eastAsia" w:eastAsia="仿宋_GB2312"/>
          <w:sz w:val="28"/>
          <w:szCs w:val="28"/>
          <w:lang w:val="en-US" w:eastAsia="zh-CN"/>
        </w:rPr>
        <w:t>6</w:t>
      </w:r>
      <w:r>
        <w:rPr>
          <w:rFonts w:hint="eastAsia" w:eastAsia="仿宋_GB2312"/>
          <w:sz w:val="28"/>
          <w:szCs w:val="28"/>
        </w:rPr>
        <w:t>路等公交车，并设有站点，出行条件</w:t>
      </w:r>
      <w:r>
        <w:rPr>
          <w:rFonts w:hint="eastAsia" w:eastAsia="仿宋_GB2312"/>
          <w:sz w:val="28"/>
          <w:szCs w:val="28"/>
          <w:lang w:val="en-US" w:eastAsia="zh-CN"/>
        </w:rPr>
        <w:t>一般</w:t>
      </w:r>
      <w:r>
        <w:rPr>
          <w:rFonts w:hint="eastAsia" w:eastAsia="仿宋_GB2312"/>
          <w:sz w:val="28"/>
          <w:szCs w:val="28"/>
        </w:rPr>
        <w:t>，附近有大石桥</w:t>
      </w:r>
      <w:r>
        <w:rPr>
          <w:rFonts w:hint="eastAsia" w:eastAsia="仿宋_GB2312"/>
          <w:sz w:val="28"/>
          <w:szCs w:val="28"/>
          <w:lang w:val="en-US" w:eastAsia="zh-CN"/>
        </w:rPr>
        <w:t>市中心</w:t>
      </w:r>
      <w:r>
        <w:rPr>
          <w:rFonts w:hint="eastAsia" w:eastAsia="仿宋_GB2312"/>
          <w:sz w:val="28"/>
          <w:szCs w:val="28"/>
        </w:rPr>
        <w:t>医院、</w:t>
      </w:r>
      <w:r>
        <w:rPr>
          <w:rFonts w:hint="eastAsia" w:eastAsia="仿宋_GB2312"/>
          <w:sz w:val="28"/>
          <w:szCs w:val="28"/>
          <w:lang w:val="en-US" w:eastAsia="zh-CN"/>
        </w:rPr>
        <w:t>蟠龙山体育场</w:t>
      </w:r>
      <w:r>
        <w:rPr>
          <w:rFonts w:hint="eastAsia" w:eastAsia="仿宋_GB2312"/>
          <w:sz w:val="28"/>
          <w:szCs w:val="28"/>
        </w:rPr>
        <w:t>、</w:t>
      </w:r>
      <w:r>
        <w:rPr>
          <w:rFonts w:hint="eastAsia" w:eastAsia="仿宋_GB2312"/>
          <w:sz w:val="28"/>
          <w:szCs w:val="28"/>
          <w:lang w:val="en-US" w:eastAsia="zh-CN"/>
        </w:rPr>
        <w:t>圣通长途汽车站</w:t>
      </w:r>
      <w:r>
        <w:rPr>
          <w:rFonts w:hint="eastAsia" w:eastAsia="仿宋_GB2312"/>
          <w:sz w:val="28"/>
          <w:szCs w:val="28"/>
        </w:rPr>
        <w:t>等，</w:t>
      </w:r>
      <w:r>
        <w:rPr>
          <w:rFonts w:eastAsia="仿宋_GB2312"/>
          <w:sz w:val="28"/>
          <w:szCs w:val="28"/>
        </w:rPr>
        <w:t>所在区域公共服务设施配套</w:t>
      </w:r>
      <w:r>
        <w:rPr>
          <w:rFonts w:hint="eastAsia" w:eastAsia="仿宋_GB2312"/>
          <w:sz w:val="28"/>
          <w:szCs w:val="28"/>
        </w:rPr>
        <w:t>较完善，交通一般。</w:t>
      </w:r>
    </w:p>
    <w:p>
      <w:pPr>
        <w:tabs>
          <w:tab w:val="left" w:pos="735"/>
          <w:tab w:val="left" w:pos="945"/>
        </w:tabs>
        <w:spacing w:line="360" w:lineRule="auto"/>
        <w:ind w:firstLine="562" w:firstLineChars="200"/>
        <w:rPr>
          <w:rFonts w:ascii="仿宋_GB2312" w:eastAsia="仿宋_GB2312"/>
          <w:sz w:val="28"/>
          <w:szCs w:val="28"/>
        </w:rPr>
      </w:pPr>
      <w:r>
        <w:rPr>
          <w:rFonts w:hint="eastAsia" w:ascii="仿宋_GB2312" w:eastAsia="仿宋_GB2312"/>
          <w:b/>
          <w:sz w:val="28"/>
          <w:szCs w:val="28"/>
        </w:rPr>
        <w:t>4、估价对象实物状况</w:t>
      </w:r>
    </w:p>
    <w:p>
      <w:pPr>
        <w:pStyle w:val="14"/>
        <w:tabs>
          <w:tab w:val="left" w:pos="0"/>
          <w:tab w:val="left" w:pos="1080"/>
          <w:tab w:val="left" w:pos="1440"/>
        </w:tabs>
        <w:snapToGrid w:val="0"/>
        <w:spacing w:line="360" w:lineRule="auto"/>
        <w:ind w:firstLine="560" w:firstLineChars="200"/>
        <w:rPr>
          <w:rFonts w:ascii="仿宋_GB2312" w:eastAsia="仿宋_GB2312"/>
          <w:spacing w:val="0"/>
          <w:szCs w:val="28"/>
        </w:rPr>
      </w:pPr>
      <w:r>
        <w:rPr>
          <w:rFonts w:ascii="仿宋_GB2312" w:eastAsia="仿宋_GB2312"/>
          <w:spacing w:val="0"/>
          <w:szCs w:val="28"/>
        </w:rPr>
        <w:t>建筑物</w:t>
      </w:r>
      <w:r>
        <w:rPr>
          <w:rFonts w:hint="eastAsia" w:ascii="仿宋_GB2312" w:eastAsia="仿宋_GB2312"/>
          <w:spacing w:val="0"/>
          <w:szCs w:val="28"/>
        </w:rPr>
        <w:t>实物</w:t>
      </w:r>
      <w:r>
        <w:rPr>
          <w:rFonts w:ascii="仿宋_GB2312" w:eastAsia="仿宋_GB2312"/>
          <w:spacing w:val="0"/>
          <w:szCs w:val="28"/>
        </w:rPr>
        <w:t>状况</w:t>
      </w:r>
      <w:r>
        <w:rPr>
          <w:rFonts w:hint="eastAsia" w:ascii="仿宋_GB2312" w:eastAsia="仿宋_GB2312"/>
          <w:spacing w:val="0"/>
          <w:szCs w:val="28"/>
        </w:rPr>
        <w:t>描述</w:t>
      </w:r>
    </w:p>
    <w:p>
      <w:pPr>
        <w:pStyle w:val="14"/>
        <w:tabs>
          <w:tab w:val="left" w:pos="0"/>
          <w:tab w:val="left" w:pos="1080"/>
          <w:tab w:val="left" w:pos="1440"/>
        </w:tabs>
        <w:snapToGrid w:val="0"/>
        <w:spacing w:line="360" w:lineRule="auto"/>
        <w:ind w:firstLine="560" w:firstLineChars="200"/>
        <w:rPr>
          <w:rFonts w:ascii="仿宋_GB2312" w:eastAsia="仿宋_GB2312"/>
          <w:spacing w:val="0"/>
          <w:szCs w:val="28"/>
        </w:rPr>
      </w:pPr>
      <w:r>
        <w:rPr>
          <w:rFonts w:hint="eastAsia" w:ascii="仿宋_GB2312" w:eastAsia="仿宋_GB2312"/>
          <w:spacing w:val="0"/>
          <w:szCs w:val="28"/>
        </w:rPr>
        <w:t>估价对象房地产为大石桥市</w:t>
      </w:r>
      <w:r>
        <w:rPr>
          <w:rFonts w:hint="eastAsia" w:ascii="仿宋_GB2312" w:eastAsia="仿宋_GB2312"/>
          <w:spacing w:val="0"/>
          <w:szCs w:val="28"/>
          <w:lang w:eastAsia="zh-CN"/>
        </w:rPr>
        <w:t>盘龙街龙山里（1#楼1单元301室）</w:t>
      </w:r>
      <w:r>
        <w:rPr>
          <w:rFonts w:hint="eastAsia" w:ascii="仿宋_GB2312" w:eastAsia="仿宋_GB2312"/>
          <w:spacing w:val="0"/>
          <w:szCs w:val="28"/>
        </w:rPr>
        <w:t>住宅房地产，约建成于</w:t>
      </w:r>
      <w:r>
        <w:rPr>
          <w:rFonts w:hint="eastAsia" w:ascii="仿宋_GB2312" w:eastAsia="仿宋_GB2312"/>
          <w:spacing w:val="0"/>
          <w:szCs w:val="28"/>
          <w:lang w:val="en-US" w:eastAsia="zh-CN"/>
        </w:rPr>
        <w:t>1998</w:t>
      </w:r>
      <w:r>
        <w:rPr>
          <w:rFonts w:hint="eastAsia" w:ascii="仿宋_GB2312" w:eastAsia="仿宋_GB2312"/>
          <w:spacing w:val="0"/>
          <w:szCs w:val="28"/>
        </w:rPr>
        <w:t>年。房产具体情况如下：</w:t>
      </w:r>
    </w:p>
    <w:p>
      <w:pPr>
        <w:tabs>
          <w:tab w:val="left" w:pos="735"/>
          <w:tab w:val="left" w:pos="945"/>
        </w:tabs>
        <w:spacing w:line="360" w:lineRule="auto"/>
        <w:ind w:firstLine="560" w:firstLineChars="200"/>
        <w:rPr>
          <w:rFonts w:ascii="仿宋_GB2312" w:eastAsia="仿宋_GB2312"/>
          <w:sz w:val="28"/>
          <w:szCs w:val="28"/>
        </w:rPr>
      </w:pPr>
      <w:r>
        <w:rPr>
          <w:rFonts w:ascii="仿宋_GB2312" w:eastAsia="仿宋_GB2312"/>
          <w:sz w:val="28"/>
          <w:szCs w:val="28"/>
        </w:rPr>
        <w:t>估价对象</w:t>
      </w:r>
      <w:r>
        <w:rPr>
          <w:rFonts w:hint="eastAsia" w:ascii="仿宋_GB2312" w:eastAsia="仿宋_GB2312"/>
          <w:sz w:val="28"/>
          <w:szCs w:val="28"/>
        </w:rPr>
        <w:t>楼体外墙</w:t>
      </w:r>
      <w:r>
        <w:rPr>
          <w:rFonts w:hint="eastAsia" w:ascii="仿宋_GB2312" w:eastAsia="仿宋_GB2312"/>
          <w:sz w:val="28"/>
          <w:szCs w:val="28"/>
          <w:lang w:val="en-US" w:eastAsia="zh-CN"/>
        </w:rPr>
        <w:t>水泥面</w:t>
      </w:r>
      <w:r>
        <w:rPr>
          <w:rFonts w:hint="eastAsia" w:ascii="仿宋_GB2312" w:eastAsia="仿宋_GB2312"/>
          <w:sz w:val="28"/>
          <w:szCs w:val="28"/>
        </w:rPr>
        <w:t>，共</w:t>
      </w:r>
      <w:r>
        <w:rPr>
          <w:rFonts w:hint="eastAsia" w:ascii="仿宋_GB2312" w:eastAsia="仿宋_GB2312"/>
          <w:sz w:val="28"/>
          <w:szCs w:val="28"/>
          <w:lang w:val="en-US" w:eastAsia="zh-CN"/>
        </w:rPr>
        <w:t>四</w:t>
      </w:r>
      <w:r>
        <w:rPr>
          <w:rFonts w:hint="eastAsia" w:ascii="仿宋_GB2312" w:eastAsia="仿宋_GB2312"/>
          <w:sz w:val="28"/>
          <w:szCs w:val="28"/>
        </w:rPr>
        <w:t>层，估价对象位于</w:t>
      </w:r>
      <w:r>
        <w:rPr>
          <w:rFonts w:hint="eastAsia" w:ascii="仿宋_GB2312" w:eastAsia="仿宋_GB2312"/>
          <w:sz w:val="28"/>
          <w:szCs w:val="28"/>
          <w:lang w:eastAsia="zh-CN"/>
        </w:rPr>
        <w:t>三</w:t>
      </w:r>
      <w:r>
        <w:rPr>
          <w:rFonts w:hint="eastAsia" w:ascii="仿宋_GB2312" w:eastAsia="仿宋_GB2312"/>
          <w:sz w:val="28"/>
          <w:szCs w:val="28"/>
        </w:rPr>
        <w:t>层，进户门为防盗门，南北朝向，一层</w:t>
      </w:r>
      <w:r>
        <w:rPr>
          <w:rFonts w:hint="eastAsia" w:ascii="仿宋_GB2312" w:eastAsia="仿宋_GB2312"/>
          <w:sz w:val="28"/>
          <w:szCs w:val="28"/>
          <w:lang w:val="en-US" w:eastAsia="zh-CN"/>
        </w:rPr>
        <w:t>三</w:t>
      </w:r>
      <w:r>
        <w:rPr>
          <w:rFonts w:hint="eastAsia" w:ascii="仿宋_GB2312" w:eastAsia="仿宋_GB2312"/>
          <w:sz w:val="28"/>
          <w:szCs w:val="28"/>
        </w:rPr>
        <w:t>户，一部踏步楼梯。</w:t>
      </w:r>
      <w:r>
        <w:rPr>
          <w:rFonts w:hint="eastAsia" w:ascii="仿宋_GB2312" w:eastAsia="仿宋_GB2312"/>
          <w:sz w:val="28"/>
          <w:szCs w:val="28"/>
          <w:lang w:val="en-US" w:eastAsia="zh-CN"/>
        </w:rPr>
        <w:t>两室一</w:t>
      </w:r>
      <w:r>
        <w:rPr>
          <w:rFonts w:hint="eastAsia" w:ascii="仿宋_GB2312" w:eastAsia="仿宋_GB2312"/>
          <w:sz w:val="28"/>
          <w:szCs w:val="28"/>
        </w:rPr>
        <w:t>厅</w:t>
      </w:r>
      <w:r>
        <w:rPr>
          <w:rFonts w:hint="eastAsia" w:ascii="仿宋_GB2312" w:eastAsia="仿宋_GB2312"/>
          <w:sz w:val="28"/>
          <w:szCs w:val="28"/>
          <w:lang w:val="en-US" w:eastAsia="zh-CN"/>
        </w:rPr>
        <w:t>一</w:t>
      </w:r>
      <w:r>
        <w:rPr>
          <w:rFonts w:hint="eastAsia" w:ascii="仿宋_GB2312" w:eastAsia="仿宋_GB2312"/>
          <w:sz w:val="28"/>
          <w:szCs w:val="28"/>
        </w:rPr>
        <w:t>卫格局，卧室地面地板，</w:t>
      </w:r>
      <w:r>
        <w:rPr>
          <w:rFonts w:hint="eastAsia" w:ascii="仿宋_GB2312" w:eastAsia="仿宋_GB2312"/>
          <w:sz w:val="28"/>
          <w:szCs w:val="28"/>
          <w:lang w:val="en-US" w:eastAsia="zh-CN"/>
        </w:rPr>
        <w:t>墙面、天棚大白涂料，木制角线；客厅大理石地面，墙、天棚大白涂料，厨房、</w:t>
      </w:r>
      <w:r>
        <w:rPr>
          <w:rFonts w:hint="eastAsia" w:ascii="仿宋_GB2312" w:eastAsia="仿宋_GB2312"/>
          <w:sz w:val="28"/>
          <w:szCs w:val="28"/>
        </w:rPr>
        <w:t>卫生间</w:t>
      </w:r>
      <w:r>
        <w:rPr>
          <w:rFonts w:hint="eastAsia" w:ascii="仿宋_GB2312" w:eastAsia="仿宋_GB2312"/>
          <w:sz w:val="28"/>
          <w:szCs w:val="28"/>
          <w:lang w:val="en-US" w:eastAsia="zh-CN"/>
        </w:rPr>
        <w:t>地面地砖，</w:t>
      </w:r>
      <w:r>
        <w:rPr>
          <w:rFonts w:hint="eastAsia" w:ascii="仿宋_GB2312" w:eastAsia="仿宋_GB2312"/>
          <w:sz w:val="28"/>
          <w:szCs w:val="28"/>
        </w:rPr>
        <w:t>墙面</w:t>
      </w:r>
      <w:r>
        <w:rPr>
          <w:rFonts w:hint="eastAsia" w:ascii="仿宋_GB2312" w:eastAsia="仿宋_GB2312"/>
          <w:sz w:val="28"/>
          <w:szCs w:val="28"/>
          <w:lang w:eastAsia="zh-CN"/>
        </w:rPr>
        <w:t>、</w:t>
      </w:r>
      <w:r>
        <w:rPr>
          <w:rFonts w:hint="eastAsia" w:ascii="仿宋_GB2312" w:eastAsia="仿宋_GB2312"/>
          <w:sz w:val="28"/>
          <w:szCs w:val="28"/>
          <w:lang w:val="en-US" w:eastAsia="zh-CN"/>
        </w:rPr>
        <w:t>天棚</w:t>
      </w:r>
      <w:r>
        <w:rPr>
          <w:rFonts w:hint="eastAsia" w:ascii="仿宋_GB2312" w:eastAsia="仿宋_GB2312"/>
          <w:sz w:val="28"/>
          <w:szCs w:val="28"/>
        </w:rPr>
        <w:t>贴砖，于现场勘察时估价对象为</w:t>
      </w:r>
      <w:r>
        <w:rPr>
          <w:rFonts w:hint="eastAsia" w:ascii="仿宋_GB2312" w:eastAsia="仿宋_GB2312"/>
          <w:sz w:val="28"/>
          <w:szCs w:val="28"/>
          <w:lang w:val="en-US" w:eastAsia="zh-CN"/>
        </w:rPr>
        <w:t>空置</w:t>
      </w:r>
      <w:r>
        <w:rPr>
          <w:rFonts w:hint="eastAsia" w:ascii="仿宋_GB2312" w:eastAsia="仿宋_GB2312"/>
          <w:sz w:val="28"/>
          <w:szCs w:val="28"/>
        </w:rPr>
        <w:t>状态，房屋结构、门窗、配套等日常维护状况一般。</w:t>
      </w:r>
    </w:p>
    <w:p>
      <w:pPr>
        <w:pStyle w:val="4"/>
        <w:spacing w:before="0" w:line="360" w:lineRule="auto"/>
        <w:ind w:firstLine="0"/>
        <w:outlineLvl w:val="1"/>
      </w:pPr>
      <w:bookmarkStart w:id="30" w:name="_Toc445822571"/>
      <w:r>
        <w:rPr>
          <w:rFonts w:hint="eastAsia"/>
          <w:b/>
        </w:rPr>
        <w:t>五、价值时点</w:t>
      </w:r>
      <w:bookmarkEnd w:id="30"/>
    </w:p>
    <w:p>
      <w:pPr>
        <w:tabs>
          <w:tab w:val="left" w:pos="900"/>
          <w:tab w:val="left" w:pos="7965"/>
        </w:tabs>
        <w:adjustRightInd/>
        <w:spacing w:before="50" w:line="360" w:lineRule="auto"/>
        <w:ind w:firstLine="560" w:firstLineChars="200"/>
        <w:textAlignment w:val="auto"/>
        <w:rPr>
          <w:rFonts w:eastAsia="仿宋_GB2312"/>
          <w:sz w:val="28"/>
          <w:szCs w:val="28"/>
        </w:rPr>
      </w:pPr>
      <w:r>
        <w:rPr>
          <w:rFonts w:eastAsia="仿宋_GB2312"/>
          <w:sz w:val="28"/>
          <w:szCs w:val="28"/>
        </w:rPr>
        <w:t>本公司估价人员已于</w:t>
      </w:r>
      <w:r>
        <w:rPr>
          <w:rFonts w:hint="eastAsia" w:eastAsia="仿宋_GB2312"/>
          <w:sz w:val="28"/>
          <w:szCs w:val="28"/>
          <w:lang w:eastAsia="zh-CN"/>
        </w:rPr>
        <w:t>二〇二二年二月二十一日</w:t>
      </w:r>
      <w:r>
        <w:rPr>
          <w:rFonts w:hAnsi="仿宋_GB2312" w:eastAsia="仿宋_GB2312"/>
          <w:sz w:val="28"/>
          <w:szCs w:val="28"/>
        </w:rPr>
        <w:t>对估价对象进行了实地勘察，本次评估根据委托人设定，依据</w:t>
      </w:r>
      <w:r>
        <w:rPr>
          <w:rFonts w:hint="eastAsia" w:hAnsi="仿宋_GB2312" w:eastAsia="仿宋_GB2312"/>
          <w:sz w:val="28"/>
          <w:szCs w:val="28"/>
        </w:rPr>
        <w:t>价值</w:t>
      </w:r>
      <w:r>
        <w:rPr>
          <w:rFonts w:hAnsi="仿宋_GB2312" w:eastAsia="仿宋_GB2312"/>
          <w:sz w:val="28"/>
          <w:szCs w:val="28"/>
        </w:rPr>
        <w:t>时点原则，确定</w:t>
      </w:r>
      <w:r>
        <w:rPr>
          <w:rFonts w:hint="eastAsia" w:hAnsi="仿宋_GB2312" w:eastAsia="仿宋_GB2312"/>
          <w:sz w:val="28"/>
          <w:szCs w:val="28"/>
        </w:rPr>
        <w:t>现场查勘日期为价值时点。</w:t>
      </w:r>
    </w:p>
    <w:p>
      <w:pPr>
        <w:pStyle w:val="4"/>
        <w:spacing w:before="0" w:line="360" w:lineRule="auto"/>
        <w:ind w:firstLine="0"/>
        <w:outlineLvl w:val="1"/>
      </w:pPr>
      <w:bookmarkStart w:id="31" w:name="_Toc445822572"/>
      <w:r>
        <w:rPr>
          <w:rFonts w:hint="eastAsia"/>
          <w:b/>
        </w:rPr>
        <w:t>六、价值类型及价值定义</w:t>
      </w:r>
      <w:bookmarkEnd w:id="31"/>
    </w:p>
    <w:p>
      <w:pPr>
        <w:spacing w:before="50" w:line="360" w:lineRule="auto"/>
        <w:ind w:firstLine="560" w:firstLineChars="200"/>
        <w:rPr>
          <w:rFonts w:eastAsia="仿宋_GB2312"/>
          <w:sz w:val="28"/>
          <w:szCs w:val="28"/>
        </w:rPr>
      </w:pPr>
      <w:r>
        <w:rPr>
          <w:rFonts w:eastAsia="仿宋_GB2312"/>
          <w:sz w:val="28"/>
          <w:szCs w:val="28"/>
        </w:rPr>
        <w:t>价值类型：</w:t>
      </w:r>
      <w:r>
        <w:rPr>
          <w:rFonts w:hint="eastAsia" w:eastAsia="仿宋_GB2312"/>
          <w:sz w:val="28"/>
          <w:szCs w:val="28"/>
        </w:rPr>
        <w:t>市场价值</w:t>
      </w:r>
      <w:r>
        <w:rPr>
          <w:rFonts w:eastAsia="仿宋_GB2312"/>
          <w:sz w:val="28"/>
          <w:szCs w:val="28"/>
        </w:rPr>
        <w:t>。</w:t>
      </w:r>
    </w:p>
    <w:p>
      <w:pPr>
        <w:pStyle w:val="17"/>
        <w:spacing w:line="360" w:lineRule="auto"/>
        <w:ind w:firstLine="560" w:firstLineChars="200"/>
        <w:textAlignment w:val="center"/>
        <w:rPr>
          <w:rFonts w:ascii="Times New Roman" w:hAnsi="Times New Roman" w:eastAsia="仿宋_GB2312"/>
          <w:kern w:val="0"/>
          <w:sz w:val="28"/>
          <w:szCs w:val="28"/>
        </w:rPr>
      </w:pPr>
      <w:bookmarkStart w:id="32" w:name="_Toc265159677"/>
      <w:r>
        <w:rPr>
          <w:rFonts w:hint="eastAsia" w:ascii="Times New Roman" w:hAnsi="Times New Roman" w:eastAsia="仿宋_GB2312"/>
          <w:kern w:val="0"/>
          <w:sz w:val="28"/>
          <w:szCs w:val="28"/>
        </w:rPr>
        <w:t>市场价值是指理性而谨慎的交易双方，出于利己动机，有较充裕的时间，在了解交易对象、知晓市场行情下自愿进行交易最可能的价格。</w:t>
      </w:r>
    </w:p>
    <w:p>
      <w:pPr>
        <w:spacing w:before="50" w:line="360" w:lineRule="auto"/>
        <w:ind w:firstLine="560" w:firstLineChars="200"/>
        <w:rPr>
          <w:rFonts w:eastAsia="仿宋_GB2312"/>
          <w:sz w:val="28"/>
          <w:szCs w:val="28"/>
        </w:rPr>
      </w:pPr>
      <w:r>
        <w:rPr>
          <w:rFonts w:hint="eastAsia" w:eastAsia="仿宋_GB2312"/>
          <w:sz w:val="28"/>
          <w:szCs w:val="28"/>
        </w:rPr>
        <w:t>估价委托人设定，本次评估不考虑估价对象的债权债务状况、租赁、抵押等他项权利限制以及查封对其价值的影响。</w:t>
      </w:r>
      <w:bookmarkEnd w:id="32"/>
    </w:p>
    <w:p>
      <w:pPr>
        <w:pStyle w:val="4"/>
        <w:spacing w:before="0" w:line="360" w:lineRule="auto"/>
        <w:ind w:firstLine="0"/>
        <w:outlineLvl w:val="1"/>
      </w:pPr>
      <w:bookmarkStart w:id="33" w:name="_Toc445822573"/>
      <w:r>
        <w:rPr>
          <w:rFonts w:hint="eastAsia"/>
          <w:b/>
        </w:rPr>
        <w:t>七、估价依据</w:t>
      </w:r>
      <w:bookmarkEnd w:id="33"/>
    </w:p>
    <w:p>
      <w:pPr>
        <w:numPr>
          <w:ilvl w:val="0"/>
          <w:numId w:val="10"/>
        </w:numPr>
        <w:spacing w:before="50" w:line="360" w:lineRule="auto"/>
        <w:rPr>
          <w:rFonts w:eastAsia="仿宋_GB2312"/>
          <w:sz w:val="28"/>
          <w:szCs w:val="28"/>
        </w:rPr>
      </w:pPr>
      <w:r>
        <w:rPr>
          <w:rFonts w:eastAsia="仿宋_GB2312"/>
          <w:sz w:val="28"/>
          <w:szCs w:val="28"/>
        </w:rPr>
        <w:t>本次估价所依据的有关法律、法规和部门规章</w:t>
      </w:r>
    </w:p>
    <w:p>
      <w:pPr>
        <w:numPr>
          <w:ilvl w:val="0"/>
          <w:numId w:val="11"/>
        </w:numPr>
        <w:tabs>
          <w:tab w:val="left" w:pos="105"/>
          <w:tab w:val="clear" w:pos="988"/>
        </w:tabs>
        <w:spacing w:before="50" w:line="360" w:lineRule="auto"/>
        <w:ind w:left="105" w:firstLine="525"/>
        <w:rPr>
          <w:rFonts w:eastAsia="仿宋_GB2312"/>
          <w:sz w:val="28"/>
          <w:szCs w:val="28"/>
        </w:rPr>
      </w:pPr>
      <w:r>
        <w:rPr>
          <w:rFonts w:eastAsia="仿宋_GB2312"/>
          <w:sz w:val="28"/>
          <w:szCs w:val="28"/>
        </w:rPr>
        <w:t>《中华人民共和国城市房地产管理法》；</w:t>
      </w:r>
    </w:p>
    <w:p>
      <w:pPr>
        <w:numPr>
          <w:ilvl w:val="0"/>
          <w:numId w:val="11"/>
        </w:numPr>
        <w:tabs>
          <w:tab w:val="left" w:pos="105"/>
          <w:tab w:val="clear" w:pos="988"/>
        </w:tabs>
        <w:spacing w:before="50" w:line="360" w:lineRule="auto"/>
        <w:ind w:left="105" w:firstLine="525"/>
        <w:rPr>
          <w:rFonts w:eastAsia="仿宋_GB2312"/>
          <w:sz w:val="28"/>
          <w:szCs w:val="28"/>
        </w:rPr>
      </w:pPr>
      <w:r>
        <w:rPr>
          <w:rFonts w:eastAsia="仿宋_GB2312"/>
          <w:sz w:val="28"/>
          <w:szCs w:val="28"/>
        </w:rPr>
        <w:t>《中华人</w:t>
      </w:r>
      <w:r>
        <w:rPr>
          <w:rFonts w:hint="eastAsia" w:eastAsia="仿宋_GB2312"/>
          <w:sz w:val="28"/>
          <w:szCs w:val="28"/>
        </w:rPr>
        <w:t>民共和国资产评估法》</w:t>
      </w:r>
      <w:r>
        <w:rPr>
          <w:rFonts w:eastAsia="仿宋_GB2312"/>
          <w:sz w:val="28"/>
          <w:szCs w:val="28"/>
        </w:rPr>
        <w:t>；</w:t>
      </w:r>
    </w:p>
    <w:p>
      <w:pPr>
        <w:numPr>
          <w:ilvl w:val="0"/>
          <w:numId w:val="11"/>
        </w:numPr>
        <w:tabs>
          <w:tab w:val="left" w:pos="105"/>
          <w:tab w:val="clear" w:pos="988"/>
        </w:tabs>
        <w:spacing w:before="50" w:line="360" w:lineRule="auto"/>
        <w:ind w:left="105" w:firstLine="525"/>
        <w:rPr>
          <w:rFonts w:eastAsia="仿宋_GB2312"/>
          <w:sz w:val="28"/>
          <w:szCs w:val="28"/>
        </w:rPr>
      </w:pPr>
      <w:r>
        <w:rPr>
          <w:rFonts w:eastAsia="仿宋_GB2312"/>
          <w:sz w:val="28"/>
          <w:szCs w:val="28"/>
        </w:rPr>
        <w:t>《</w:t>
      </w:r>
      <w:r>
        <w:rPr>
          <w:rFonts w:ascii="仿宋" w:hAnsi="仿宋" w:eastAsia="仿宋"/>
          <w:sz w:val="28"/>
          <w:szCs w:val="28"/>
        </w:rPr>
        <w:t>中华人民共和国民法典</w:t>
      </w:r>
      <w:r>
        <w:rPr>
          <w:rFonts w:eastAsia="仿宋_GB2312"/>
          <w:sz w:val="28"/>
          <w:szCs w:val="28"/>
        </w:rPr>
        <w:t>》</w:t>
      </w:r>
      <w:r>
        <w:rPr>
          <w:rFonts w:hint="eastAsia" w:eastAsia="仿宋_GB2312"/>
          <w:sz w:val="28"/>
          <w:szCs w:val="28"/>
        </w:rPr>
        <w:t>；</w:t>
      </w:r>
      <w:bookmarkStart w:id="51" w:name="_GoBack"/>
      <w:bookmarkEnd w:id="51"/>
    </w:p>
    <w:p>
      <w:pPr>
        <w:numPr>
          <w:ilvl w:val="0"/>
          <w:numId w:val="11"/>
        </w:numPr>
        <w:tabs>
          <w:tab w:val="left" w:pos="105"/>
          <w:tab w:val="clear" w:pos="988"/>
        </w:tabs>
        <w:spacing w:before="50" w:line="360" w:lineRule="auto"/>
        <w:ind w:left="105" w:firstLine="525"/>
        <w:rPr>
          <w:rFonts w:eastAsia="仿宋_GB2312"/>
          <w:sz w:val="28"/>
          <w:szCs w:val="28"/>
        </w:rPr>
      </w:pPr>
      <w:r>
        <w:rPr>
          <w:rFonts w:eastAsia="仿宋_GB2312"/>
          <w:sz w:val="28"/>
          <w:szCs w:val="28"/>
        </w:rPr>
        <w:t>《中华人民共和国拍卖法》；</w:t>
      </w:r>
    </w:p>
    <w:p>
      <w:pPr>
        <w:numPr>
          <w:ilvl w:val="0"/>
          <w:numId w:val="11"/>
        </w:numPr>
        <w:tabs>
          <w:tab w:val="left" w:pos="105"/>
          <w:tab w:val="clear" w:pos="988"/>
        </w:tabs>
        <w:spacing w:before="50" w:line="360" w:lineRule="auto"/>
        <w:ind w:left="105" w:firstLine="525"/>
        <w:rPr>
          <w:rFonts w:eastAsia="仿宋_GB2312"/>
          <w:sz w:val="28"/>
          <w:szCs w:val="28"/>
        </w:rPr>
      </w:pPr>
      <w:r>
        <w:rPr>
          <w:rFonts w:eastAsia="仿宋_GB2312"/>
          <w:sz w:val="28"/>
          <w:szCs w:val="28"/>
        </w:rPr>
        <w:t>《最高人民法院关于人民法院民事执行中拍卖、变卖财产的规定》</w:t>
      </w:r>
      <w:r>
        <w:rPr>
          <w:rFonts w:hint="eastAsia" w:eastAsia="仿宋_GB2312"/>
          <w:sz w:val="28"/>
          <w:szCs w:val="28"/>
        </w:rPr>
        <w:t>（法释［2004］16号，由最高人民法院审判委员会第1330次会议通过，自2005年1月1日起施行）；</w:t>
      </w:r>
    </w:p>
    <w:p>
      <w:pPr>
        <w:numPr>
          <w:ilvl w:val="0"/>
          <w:numId w:val="11"/>
        </w:numPr>
        <w:tabs>
          <w:tab w:val="left" w:pos="105"/>
          <w:tab w:val="clear" w:pos="988"/>
        </w:tabs>
        <w:spacing w:before="50" w:line="360" w:lineRule="auto"/>
        <w:ind w:left="105" w:firstLine="525"/>
        <w:rPr>
          <w:rFonts w:eastAsia="仿宋_GB2312"/>
          <w:sz w:val="28"/>
          <w:szCs w:val="28"/>
        </w:rPr>
      </w:pPr>
      <w:r>
        <w:rPr>
          <w:rFonts w:hint="eastAsia" w:eastAsia="仿宋_GB2312"/>
          <w:sz w:val="28"/>
          <w:szCs w:val="28"/>
        </w:rPr>
        <w:t>《最高人民法院关于人民法院确定财产处置参考价若干问题的规定》（法释［2018］15号，由最高人民法院审判委员会第2741次会议通过，自2018年9月1日起施行）；</w:t>
      </w:r>
    </w:p>
    <w:p>
      <w:pPr>
        <w:numPr>
          <w:ilvl w:val="0"/>
          <w:numId w:val="11"/>
        </w:numPr>
        <w:tabs>
          <w:tab w:val="left" w:pos="105"/>
          <w:tab w:val="clear" w:pos="988"/>
        </w:tabs>
        <w:spacing w:before="50" w:line="360" w:lineRule="auto"/>
        <w:ind w:left="105" w:firstLine="525"/>
        <w:rPr>
          <w:rFonts w:eastAsia="仿宋_GB2312"/>
          <w:sz w:val="28"/>
          <w:szCs w:val="28"/>
        </w:rPr>
      </w:pPr>
      <w:r>
        <w:rPr>
          <w:rFonts w:hint="eastAsia" w:eastAsia="仿宋_GB2312"/>
          <w:sz w:val="28"/>
          <w:szCs w:val="28"/>
        </w:rPr>
        <w:t>《人民法院委托评估工作规范》法办【2018】273号</w:t>
      </w:r>
    </w:p>
    <w:p>
      <w:pPr>
        <w:numPr>
          <w:ilvl w:val="0"/>
          <w:numId w:val="10"/>
        </w:numPr>
        <w:spacing w:before="50" w:line="360" w:lineRule="auto"/>
        <w:rPr>
          <w:rFonts w:eastAsia="仿宋_GB2312"/>
          <w:sz w:val="28"/>
          <w:szCs w:val="28"/>
        </w:rPr>
      </w:pPr>
      <w:r>
        <w:rPr>
          <w:rFonts w:eastAsia="仿宋_GB2312"/>
          <w:sz w:val="28"/>
          <w:szCs w:val="28"/>
        </w:rPr>
        <w:t>本次估价采用的技术规程</w:t>
      </w:r>
    </w:p>
    <w:p>
      <w:pPr>
        <w:numPr>
          <w:ilvl w:val="0"/>
          <w:numId w:val="12"/>
        </w:numPr>
        <w:tabs>
          <w:tab w:val="left" w:pos="1050"/>
        </w:tabs>
        <w:spacing w:before="50" w:line="360" w:lineRule="auto"/>
        <w:rPr>
          <w:rFonts w:eastAsia="仿宋_GB2312"/>
          <w:spacing w:val="-10"/>
          <w:sz w:val="28"/>
          <w:szCs w:val="28"/>
        </w:rPr>
      </w:pPr>
      <w:r>
        <w:rPr>
          <w:rFonts w:eastAsia="仿宋_GB2312"/>
          <w:spacing w:val="-10"/>
          <w:sz w:val="28"/>
          <w:szCs w:val="28"/>
        </w:rPr>
        <w:t>中华人民共和国国家标准GB/T50291—</w:t>
      </w:r>
      <w:r>
        <w:rPr>
          <w:rFonts w:hint="eastAsia" w:eastAsia="仿宋_GB2312"/>
          <w:spacing w:val="-10"/>
          <w:sz w:val="28"/>
          <w:szCs w:val="28"/>
        </w:rPr>
        <w:t>2015</w:t>
      </w:r>
      <w:r>
        <w:rPr>
          <w:rFonts w:eastAsia="仿宋_GB2312"/>
          <w:spacing w:val="-10"/>
          <w:sz w:val="28"/>
          <w:szCs w:val="28"/>
        </w:rPr>
        <w:t>《房地产估价规范》；</w:t>
      </w:r>
    </w:p>
    <w:p>
      <w:pPr>
        <w:numPr>
          <w:ilvl w:val="0"/>
          <w:numId w:val="12"/>
        </w:numPr>
        <w:tabs>
          <w:tab w:val="left" w:pos="1050"/>
        </w:tabs>
        <w:spacing w:before="50" w:line="360" w:lineRule="auto"/>
        <w:rPr>
          <w:rFonts w:eastAsia="仿宋_GB2312"/>
          <w:spacing w:val="-10"/>
          <w:sz w:val="28"/>
          <w:szCs w:val="28"/>
        </w:rPr>
      </w:pPr>
      <w:r>
        <w:rPr>
          <w:rFonts w:eastAsia="仿宋_GB2312"/>
          <w:spacing w:val="-10"/>
          <w:sz w:val="28"/>
          <w:szCs w:val="28"/>
        </w:rPr>
        <w:t>中华人民共和国国家标准GB/T</w:t>
      </w:r>
      <w:r>
        <w:rPr>
          <w:rFonts w:hint="eastAsia" w:eastAsia="仿宋_GB2312"/>
          <w:spacing w:val="-10"/>
          <w:sz w:val="28"/>
          <w:szCs w:val="28"/>
        </w:rPr>
        <w:t>50899—</w:t>
      </w:r>
      <w:r>
        <w:rPr>
          <w:rFonts w:eastAsia="仿宋_GB2312"/>
          <w:spacing w:val="-10"/>
          <w:sz w:val="28"/>
          <w:szCs w:val="28"/>
        </w:rPr>
        <w:t>20</w:t>
      </w:r>
      <w:r>
        <w:rPr>
          <w:rFonts w:hint="eastAsia" w:eastAsia="仿宋_GB2312"/>
          <w:spacing w:val="-10"/>
          <w:sz w:val="28"/>
          <w:szCs w:val="28"/>
        </w:rPr>
        <w:t>13</w:t>
      </w:r>
      <w:r>
        <w:rPr>
          <w:rFonts w:eastAsia="仿宋_GB2312"/>
          <w:spacing w:val="-10"/>
          <w:sz w:val="28"/>
          <w:szCs w:val="28"/>
        </w:rPr>
        <w:t>《</w:t>
      </w:r>
      <w:r>
        <w:rPr>
          <w:rFonts w:hint="eastAsia" w:eastAsia="仿宋_GB2312"/>
          <w:spacing w:val="-10"/>
          <w:sz w:val="28"/>
          <w:szCs w:val="28"/>
        </w:rPr>
        <w:t>房地产估价基本术语</w:t>
      </w:r>
      <w:r>
        <w:rPr>
          <w:rFonts w:eastAsia="仿宋_GB2312"/>
          <w:spacing w:val="-10"/>
          <w:sz w:val="28"/>
          <w:szCs w:val="28"/>
        </w:rPr>
        <w:t>》。</w:t>
      </w:r>
    </w:p>
    <w:p>
      <w:pPr>
        <w:numPr>
          <w:ilvl w:val="0"/>
          <w:numId w:val="10"/>
        </w:numPr>
        <w:spacing w:before="50" w:line="360" w:lineRule="auto"/>
        <w:rPr>
          <w:rFonts w:eastAsia="仿宋_GB2312"/>
          <w:sz w:val="28"/>
          <w:szCs w:val="28"/>
        </w:rPr>
      </w:pPr>
      <w:r>
        <w:rPr>
          <w:rFonts w:eastAsia="仿宋_GB2312"/>
          <w:sz w:val="28"/>
          <w:szCs w:val="28"/>
        </w:rPr>
        <w:t>估价委托人提供的有关资料</w:t>
      </w:r>
    </w:p>
    <w:p>
      <w:pPr>
        <w:widowControl/>
        <w:numPr>
          <w:ilvl w:val="1"/>
          <w:numId w:val="10"/>
        </w:numPr>
        <w:tabs>
          <w:tab w:val="left" w:pos="1050"/>
        </w:tabs>
        <w:adjustRightInd/>
        <w:spacing w:line="360" w:lineRule="auto"/>
        <w:ind w:right="-50" w:hanging="315"/>
        <w:textAlignment w:val="auto"/>
        <w:rPr>
          <w:rFonts w:eastAsia="仿宋_GB2312"/>
          <w:spacing w:val="-10"/>
          <w:sz w:val="28"/>
          <w:szCs w:val="28"/>
        </w:rPr>
      </w:pPr>
      <w:r>
        <w:rPr>
          <w:rFonts w:hint="eastAsia" w:eastAsia="仿宋_GB2312"/>
          <w:sz w:val="28"/>
          <w:szCs w:val="28"/>
        </w:rPr>
        <w:t>营口市站前区人民法院委托书（2021</w:t>
      </w:r>
      <w:r>
        <w:rPr>
          <w:rFonts w:hint="eastAsia" w:ascii="宋体" w:hAnsi="宋体"/>
          <w:sz w:val="28"/>
          <w:szCs w:val="28"/>
        </w:rPr>
        <w:t>）</w:t>
      </w:r>
      <w:r>
        <w:rPr>
          <w:rFonts w:hint="eastAsia" w:eastAsia="仿宋_GB2312"/>
          <w:sz w:val="28"/>
          <w:szCs w:val="28"/>
        </w:rPr>
        <w:t>辽08</w:t>
      </w:r>
      <w:r>
        <w:rPr>
          <w:rFonts w:eastAsia="仿宋_GB2312"/>
          <w:sz w:val="28"/>
          <w:szCs w:val="28"/>
        </w:rPr>
        <w:t>0</w:t>
      </w:r>
      <w:r>
        <w:rPr>
          <w:rFonts w:hint="eastAsia" w:eastAsia="仿宋_GB2312"/>
          <w:sz w:val="28"/>
          <w:szCs w:val="28"/>
        </w:rPr>
        <w:t>2执恢82号</w:t>
      </w:r>
      <w:r>
        <w:rPr>
          <w:rFonts w:hint="eastAsia" w:eastAsia="仿宋_GB2312"/>
          <w:spacing w:val="-10"/>
          <w:sz w:val="28"/>
          <w:szCs w:val="28"/>
        </w:rPr>
        <w:t>；</w:t>
      </w:r>
    </w:p>
    <w:p>
      <w:pPr>
        <w:widowControl/>
        <w:numPr>
          <w:ilvl w:val="1"/>
          <w:numId w:val="10"/>
        </w:numPr>
        <w:tabs>
          <w:tab w:val="left" w:pos="1050"/>
        </w:tabs>
        <w:adjustRightInd/>
        <w:spacing w:line="360" w:lineRule="auto"/>
        <w:ind w:right="-50" w:hanging="315"/>
        <w:textAlignment w:val="auto"/>
        <w:rPr>
          <w:rFonts w:hint="eastAsia" w:eastAsia="仿宋_GB2312"/>
          <w:spacing w:val="-10"/>
          <w:sz w:val="28"/>
          <w:szCs w:val="28"/>
        </w:rPr>
      </w:pPr>
      <w:r>
        <w:rPr>
          <w:rFonts w:hint="eastAsia" w:eastAsia="仿宋_GB2312"/>
          <w:spacing w:val="-10"/>
          <w:sz w:val="28"/>
          <w:szCs w:val="28"/>
        </w:rPr>
        <w:t>房权证复印件；</w:t>
      </w:r>
    </w:p>
    <w:p>
      <w:pPr>
        <w:widowControl/>
        <w:numPr>
          <w:ilvl w:val="1"/>
          <w:numId w:val="10"/>
        </w:numPr>
        <w:tabs>
          <w:tab w:val="left" w:pos="1050"/>
        </w:tabs>
        <w:adjustRightInd/>
        <w:spacing w:line="360" w:lineRule="auto"/>
        <w:ind w:right="-50" w:hanging="315"/>
        <w:textAlignment w:val="auto"/>
        <w:rPr>
          <w:rFonts w:eastAsia="仿宋_GB2312"/>
          <w:spacing w:val="-10"/>
          <w:sz w:val="28"/>
          <w:szCs w:val="28"/>
        </w:rPr>
      </w:pPr>
      <w:r>
        <w:rPr>
          <w:rFonts w:hint="eastAsia" w:eastAsia="仿宋_GB2312"/>
          <w:spacing w:val="-10"/>
          <w:sz w:val="28"/>
          <w:szCs w:val="28"/>
        </w:rPr>
        <w:t>《同意贷款书》复印件。</w:t>
      </w:r>
    </w:p>
    <w:p>
      <w:pPr>
        <w:numPr>
          <w:ilvl w:val="0"/>
          <w:numId w:val="10"/>
        </w:numPr>
        <w:spacing w:before="50" w:line="360" w:lineRule="auto"/>
        <w:rPr>
          <w:rFonts w:eastAsia="仿宋_GB2312"/>
          <w:sz w:val="28"/>
          <w:szCs w:val="28"/>
        </w:rPr>
      </w:pPr>
      <w:r>
        <w:rPr>
          <w:rFonts w:eastAsia="仿宋_GB2312"/>
          <w:sz w:val="28"/>
          <w:szCs w:val="28"/>
        </w:rPr>
        <w:t>估价机构和估价人员所搜集掌握的有关资料。</w:t>
      </w:r>
    </w:p>
    <w:p>
      <w:pPr>
        <w:pStyle w:val="4"/>
        <w:spacing w:before="0" w:line="360" w:lineRule="auto"/>
        <w:ind w:firstLine="0"/>
        <w:outlineLvl w:val="1"/>
      </w:pPr>
      <w:bookmarkStart w:id="34" w:name="_Toc445822574"/>
      <w:r>
        <w:rPr>
          <w:rFonts w:hint="eastAsia"/>
          <w:b/>
        </w:rPr>
        <w:t>八、估价原则</w:t>
      </w:r>
      <w:bookmarkEnd w:id="34"/>
    </w:p>
    <w:p>
      <w:pPr>
        <w:spacing w:before="50" w:line="360" w:lineRule="auto"/>
        <w:ind w:firstLine="560" w:firstLineChars="200"/>
        <w:rPr>
          <w:rFonts w:eastAsia="仿宋_GB2312"/>
          <w:sz w:val="28"/>
          <w:szCs w:val="28"/>
        </w:rPr>
      </w:pPr>
      <w:r>
        <w:rPr>
          <w:rFonts w:eastAsia="仿宋_GB2312"/>
          <w:sz w:val="28"/>
          <w:szCs w:val="28"/>
        </w:rPr>
        <w:t>本估价报告遵循独立、客观、公正、合法的基本原则，并结合估价目的对估价对象进行估价。本次评估所遵循的估价原则具体如下：</w:t>
      </w:r>
    </w:p>
    <w:p>
      <w:pPr>
        <w:numPr>
          <w:ilvl w:val="0"/>
          <w:numId w:val="13"/>
        </w:numPr>
        <w:tabs>
          <w:tab w:val="left" w:pos="1050"/>
        </w:tabs>
        <w:spacing w:before="50" w:line="360" w:lineRule="auto"/>
        <w:rPr>
          <w:rFonts w:eastAsia="仿宋_GB2312"/>
          <w:sz w:val="28"/>
          <w:szCs w:val="28"/>
        </w:rPr>
      </w:pPr>
      <w:r>
        <w:rPr>
          <w:rFonts w:eastAsia="仿宋_GB2312"/>
          <w:sz w:val="28"/>
          <w:szCs w:val="28"/>
        </w:rPr>
        <w:t>独立、客观、公正原则</w:t>
      </w:r>
    </w:p>
    <w:p>
      <w:pPr>
        <w:spacing w:before="50" w:line="360" w:lineRule="auto"/>
        <w:ind w:firstLine="560" w:firstLineChars="200"/>
        <w:rPr>
          <w:rFonts w:eastAsia="仿宋_GB2312"/>
          <w:sz w:val="28"/>
          <w:szCs w:val="28"/>
        </w:rPr>
      </w:pPr>
      <w:r>
        <w:rPr>
          <w:rFonts w:eastAsia="仿宋_GB2312"/>
          <w:sz w:val="28"/>
          <w:szCs w:val="28"/>
        </w:rPr>
        <w:t>要求估价机构有完全独立性，估价机构和估价人员与估价对象及相关当事人没有利害关系，不受外部干扰因素影响，从实际出发，公平合理地进行估价。本公司具有完全独立性，参与本次评估的估价人员与估价对象及相关当事人没有利害关系，一切从实际出发，实事求是的进行估价</w:t>
      </w:r>
      <w:r>
        <w:rPr>
          <w:rFonts w:hint="eastAsia" w:eastAsia="仿宋_GB2312"/>
          <w:sz w:val="28"/>
          <w:szCs w:val="28"/>
        </w:rPr>
        <w:t>。评估价值对各方估价利害关系人均是公平合理的价值或价格。</w:t>
      </w:r>
    </w:p>
    <w:p>
      <w:pPr>
        <w:numPr>
          <w:ilvl w:val="0"/>
          <w:numId w:val="13"/>
        </w:numPr>
        <w:tabs>
          <w:tab w:val="left" w:pos="1050"/>
        </w:tabs>
        <w:spacing w:before="50" w:line="360" w:lineRule="auto"/>
        <w:rPr>
          <w:rFonts w:eastAsia="仿宋_GB2312"/>
          <w:sz w:val="28"/>
          <w:szCs w:val="28"/>
        </w:rPr>
      </w:pPr>
      <w:r>
        <w:rPr>
          <w:rFonts w:eastAsia="仿宋_GB2312"/>
          <w:sz w:val="28"/>
          <w:szCs w:val="28"/>
        </w:rPr>
        <w:t>合法原则</w:t>
      </w:r>
    </w:p>
    <w:p>
      <w:pPr>
        <w:spacing w:before="50" w:line="360" w:lineRule="auto"/>
        <w:ind w:firstLine="560" w:firstLineChars="200"/>
        <w:rPr>
          <w:rFonts w:eastAsia="仿宋_GB2312"/>
          <w:sz w:val="28"/>
          <w:szCs w:val="28"/>
        </w:rPr>
      </w:pPr>
      <w:r>
        <w:rPr>
          <w:rFonts w:eastAsia="仿宋_GB2312"/>
          <w:sz w:val="28"/>
          <w:szCs w:val="28"/>
        </w:rPr>
        <w:t>应以估价对象的合法使用、合法处分为前提进行。所谓合法，是指符合国家的法律、法规和当地政府的有关规定，其权益才能受法律保护，并体现其权益价值。</w:t>
      </w:r>
      <w:r>
        <w:rPr>
          <w:rFonts w:eastAsia="仿宋_GB2312"/>
          <w:spacing w:val="-2"/>
          <w:sz w:val="28"/>
          <w:szCs w:val="28"/>
        </w:rPr>
        <w:t>本次评估的估价对象在价值时点具有合法的产权，所涉及的估价对象用途为合法的</w:t>
      </w:r>
      <w:r>
        <w:rPr>
          <w:rFonts w:eastAsia="仿宋_GB2312"/>
          <w:sz w:val="28"/>
          <w:szCs w:val="28"/>
        </w:rPr>
        <w:t>。</w:t>
      </w:r>
      <w:r>
        <w:rPr>
          <w:rFonts w:hint="eastAsia" w:eastAsia="仿宋_GB2312"/>
          <w:sz w:val="28"/>
          <w:szCs w:val="28"/>
        </w:rPr>
        <w:t>评估价值为在依法判定的估价对象状况下的价值或价格。</w:t>
      </w:r>
    </w:p>
    <w:p>
      <w:pPr>
        <w:numPr>
          <w:ilvl w:val="0"/>
          <w:numId w:val="13"/>
        </w:numPr>
        <w:tabs>
          <w:tab w:val="left" w:pos="1050"/>
        </w:tabs>
        <w:spacing w:before="50" w:line="360" w:lineRule="auto"/>
        <w:rPr>
          <w:rFonts w:eastAsia="仿宋_GB2312"/>
          <w:sz w:val="28"/>
          <w:szCs w:val="28"/>
        </w:rPr>
      </w:pPr>
      <w:r>
        <w:rPr>
          <w:rFonts w:eastAsia="仿宋_GB2312"/>
          <w:sz w:val="28"/>
          <w:szCs w:val="28"/>
        </w:rPr>
        <w:t>替代原则</w:t>
      </w:r>
    </w:p>
    <w:p>
      <w:pPr>
        <w:tabs>
          <w:tab w:val="left" w:pos="1050"/>
        </w:tabs>
        <w:spacing w:before="50" w:line="360" w:lineRule="auto"/>
        <w:ind w:firstLine="560" w:firstLineChars="200"/>
        <w:rPr>
          <w:rFonts w:eastAsia="仿宋_GB2312"/>
          <w:spacing w:val="-2"/>
          <w:sz w:val="28"/>
          <w:szCs w:val="28"/>
        </w:rPr>
      </w:pPr>
      <w:r>
        <w:rPr>
          <w:rFonts w:eastAsia="仿宋_GB2312"/>
          <w:sz w:val="28"/>
          <w:szCs w:val="28"/>
        </w:rPr>
        <w:t>竞争的市场中，具有相同或相似效用的生产要素之间可以相替代。在房地产市场中也是如此，即在同一市场供需圈内，可以通过调查近期发生交易的、与待估房地产有替代可能的房地产价格和条件，通过与待估房地产进行比较，然后对其间的差别作适当的修正，确定待估房地产的市场价值。</w:t>
      </w:r>
      <w:r>
        <w:rPr>
          <w:rFonts w:hint="eastAsia" w:eastAsia="仿宋_GB2312"/>
          <w:sz w:val="28"/>
          <w:szCs w:val="28"/>
        </w:rPr>
        <w:t>评估价值与估价对象的类似房地产在同等条件下的价值或价格偏差在合理范围内。</w:t>
      </w:r>
      <w:r>
        <w:rPr>
          <w:rFonts w:eastAsia="仿宋_GB2312"/>
          <w:spacing w:val="-2"/>
          <w:sz w:val="28"/>
          <w:szCs w:val="28"/>
        </w:rPr>
        <w:t>本次评估主要是参照公开市场上足够数量、可比性较强的类似房地产近期成交</w:t>
      </w:r>
      <w:r>
        <w:rPr>
          <w:rFonts w:hint="eastAsia" w:eastAsia="仿宋_GB2312"/>
          <w:spacing w:val="-2"/>
          <w:sz w:val="28"/>
          <w:szCs w:val="28"/>
        </w:rPr>
        <w:t>（租赁）</w:t>
      </w:r>
      <w:r>
        <w:rPr>
          <w:rFonts w:eastAsia="仿宋_GB2312"/>
          <w:spacing w:val="-2"/>
          <w:sz w:val="28"/>
          <w:szCs w:val="28"/>
        </w:rPr>
        <w:t>价格来确定估价对象的客观合理价格或者价值，体现了替代原则。</w:t>
      </w:r>
    </w:p>
    <w:p>
      <w:pPr>
        <w:numPr>
          <w:ilvl w:val="0"/>
          <w:numId w:val="13"/>
        </w:numPr>
        <w:tabs>
          <w:tab w:val="left" w:pos="1050"/>
        </w:tabs>
        <w:spacing w:before="50" w:line="360" w:lineRule="auto"/>
        <w:rPr>
          <w:rFonts w:eastAsia="仿宋_GB2312"/>
          <w:sz w:val="28"/>
          <w:szCs w:val="28"/>
        </w:rPr>
      </w:pPr>
      <w:r>
        <w:rPr>
          <w:rFonts w:eastAsia="仿宋_GB2312"/>
          <w:sz w:val="28"/>
          <w:szCs w:val="28"/>
        </w:rPr>
        <w:t>最高最佳使用原则</w:t>
      </w:r>
    </w:p>
    <w:p>
      <w:pPr>
        <w:spacing w:before="50" w:line="360" w:lineRule="auto"/>
        <w:ind w:firstLine="560" w:firstLineChars="200"/>
        <w:rPr>
          <w:rFonts w:eastAsia="仿宋_GB2312"/>
          <w:sz w:val="28"/>
        </w:rPr>
      </w:pPr>
      <w:bookmarkStart w:id="35" w:name="最高最佳使用原则"/>
      <w:r>
        <w:rPr>
          <w:rFonts w:eastAsia="仿宋_GB2312"/>
          <w:sz w:val="28"/>
        </w:rPr>
        <w:t>房地产估价中所确定的客观合理价格或价值，其实质是房地产的经济价值，它体现在房地产的使用过程中。在考虑估价对象的用途时，应取其最高最佳利用状态，是指法律上允许、技术上可能、经济上可行、能使估价对象发挥最高价值的利用状态。</w:t>
      </w:r>
    </w:p>
    <w:p>
      <w:pPr>
        <w:spacing w:before="50" w:line="360" w:lineRule="auto"/>
        <w:ind w:firstLine="560" w:firstLineChars="200"/>
        <w:rPr>
          <w:rFonts w:eastAsia="仿宋_GB2312"/>
          <w:sz w:val="28"/>
        </w:rPr>
      </w:pPr>
      <w:r>
        <w:rPr>
          <w:rFonts w:eastAsia="仿宋_GB2312"/>
          <w:sz w:val="28"/>
        </w:rPr>
        <w:t>本次评估中，运用最高最佳使用原则估价时，首先要求估价对象的最高最佳用途是法律上允许，根据估价委托人设定，本次按证载用途进行评估，在法律上是允许的；其次，还体现技术上可能，技术主要体现在房屋建筑工程方面的技术，本次评估采用保持现状，在技术上是可能的。第三，要实现经济上可行，房地产估价对象可以采取保持现状、转换用途、装修改造、拆除重新利用等方式，实现最高最佳利用。本次评估是采用保持现状，经济上是可行的。</w:t>
      </w:r>
    </w:p>
    <w:p>
      <w:pPr>
        <w:spacing w:before="50" w:line="360" w:lineRule="auto"/>
        <w:ind w:firstLine="560" w:firstLineChars="200"/>
        <w:rPr>
          <w:rFonts w:eastAsia="仿宋_GB2312"/>
          <w:sz w:val="28"/>
        </w:rPr>
      </w:pPr>
      <w:r>
        <w:rPr>
          <w:rFonts w:eastAsia="仿宋_GB2312"/>
          <w:sz w:val="28"/>
          <w:szCs w:val="28"/>
        </w:rPr>
        <w:t>由于估价对象位于</w:t>
      </w:r>
      <w:r>
        <w:rPr>
          <w:rFonts w:hint="eastAsia" w:eastAsia="仿宋_GB2312"/>
          <w:sz w:val="28"/>
          <w:szCs w:val="28"/>
        </w:rPr>
        <w:t>大石桥</w:t>
      </w:r>
      <w:r>
        <w:rPr>
          <w:rFonts w:eastAsia="仿宋_GB2312"/>
          <w:sz w:val="28"/>
          <w:szCs w:val="28"/>
        </w:rPr>
        <w:t>，</w:t>
      </w:r>
      <w:r>
        <w:rPr>
          <w:rFonts w:hint="eastAsia" w:eastAsia="仿宋_GB2312"/>
          <w:sz w:val="28"/>
          <w:szCs w:val="28"/>
        </w:rPr>
        <w:t>周边有较多的住宅小区</w:t>
      </w:r>
      <w:r>
        <w:rPr>
          <w:rFonts w:eastAsia="仿宋_GB2312"/>
          <w:sz w:val="28"/>
          <w:szCs w:val="28"/>
        </w:rPr>
        <w:t>。估价对象的</w:t>
      </w:r>
      <w:r>
        <w:rPr>
          <w:rFonts w:hint="eastAsia" w:eastAsia="仿宋_GB2312"/>
          <w:sz w:val="28"/>
          <w:szCs w:val="28"/>
        </w:rPr>
        <w:t>证载</w:t>
      </w:r>
      <w:r>
        <w:rPr>
          <w:rFonts w:eastAsia="仿宋_GB2312"/>
          <w:sz w:val="28"/>
          <w:szCs w:val="28"/>
        </w:rPr>
        <w:t>用途能体现其最高最佳利用价值。故本次评估按估价对象</w:t>
      </w:r>
      <w:r>
        <w:rPr>
          <w:rFonts w:hint="eastAsia" w:eastAsia="仿宋_GB2312"/>
          <w:sz w:val="28"/>
          <w:szCs w:val="28"/>
        </w:rPr>
        <w:t>证载</w:t>
      </w:r>
      <w:r>
        <w:rPr>
          <w:rFonts w:eastAsia="仿宋_GB2312"/>
          <w:sz w:val="28"/>
          <w:szCs w:val="28"/>
        </w:rPr>
        <w:t>用途评估，法律上允许、技术上可能、经济上可行，为最高最佳用途评估</w:t>
      </w:r>
      <w:bookmarkEnd w:id="35"/>
      <w:r>
        <w:rPr>
          <w:rFonts w:hint="eastAsia" w:eastAsia="仿宋_GB2312"/>
          <w:sz w:val="28"/>
          <w:szCs w:val="28"/>
        </w:rPr>
        <w:t>。</w:t>
      </w:r>
    </w:p>
    <w:p>
      <w:pPr>
        <w:numPr>
          <w:ilvl w:val="0"/>
          <w:numId w:val="13"/>
        </w:numPr>
        <w:tabs>
          <w:tab w:val="left" w:pos="1050"/>
        </w:tabs>
        <w:spacing w:before="50" w:line="360" w:lineRule="auto"/>
        <w:ind w:left="981"/>
        <w:rPr>
          <w:rFonts w:eastAsia="仿宋_GB2312"/>
          <w:sz w:val="28"/>
          <w:szCs w:val="28"/>
        </w:rPr>
      </w:pPr>
      <w:r>
        <w:rPr>
          <w:rFonts w:eastAsia="仿宋_GB2312"/>
          <w:sz w:val="28"/>
          <w:szCs w:val="28"/>
        </w:rPr>
        <w:t>价值时点原则</w:t>
      </w:r>
    </w:p>
    <w:p>
      <w:pPr>
        <w:widowControl/>
        <w:tabs>
          <w:tab w:val="left" w:pos="1050"/>
        </w:tabs>
        <w:spacing w:before="50" w:line="360" w:lineRule="auto"/>
        <w:ind w:firstLine="560" w:firstLineChars="200"/>
        <w:rPr>
          <w:rFonts w:eastAsia="仿宋_GB2312"/>
          <w:sz w:val="28"/>
          <w:szCs w:val="28"/>
        </w:rPr>
      </w:pPr>
      <w:r>
        <w:rPr>
          <w:rFonts w:eastAsia="仿宋_GB2312"/>
          <w:sz w:val="28"/>
          <w:szCs w:val="28"/>
        </w:rPr>
        <w:t>估价结果应是估价对象在价值时点的客观合理价格或价值。同一估价对象在不同时点会具有不同的价值，本次评估的价值时点为</w:t>
      </w:r>
      <w:r>
        <w:rPr>
          <w:rFonts w:hint="eastAsia" w:eastAsia="仿宋_GB2312"/>
          <w:sz w:val="28"/>
          <w:szCs w:val="28"/>
          <w:lang w:eastAsia="zh-CN"/>
        </w:rPr>
        <w:t>2022年2月21</w:t>
      </w:r>
      <w:r>
        <w:rPr>
          <w:rFonts w:hint="eastAsia" w:eastAsia="仿宋_GB2312"/>
          <w:sz w:val="28"/>
          <w:szCs w:val="28"/>
        </w:rPr>
        <w:t>日</w:t>
      </w:r>
      <w:r>
        <w:rPr>
          <w:rFonts w:eastAsia="仿宋_GB2312"/>
          <w:sz w:val="28"/>
          <w:szCs w:val="28"/>
        </w:rPr>
        <w:t>，市场状况、法律法规、计价依据以该时点为基准点，体现了价值时点原则。</w:t>
      </w:r>
    </w:p>
    <w:p>
      <w:pPr>
        <w:pStyle w:val="4"/>
        <w:spacing w:before="0" w:line="360" w:lineRule="auto"/>
        <w:ind w:firstLine="0"/>
        <w:outlineLvl w:val="1"/>
        <w:rPr>
          <w:b/>
        </w:rPr>
      </w:pPr>
      <w:bookmarkStart w:id="36" w:name="_Toc445822575"/>
      <w:r>
        <w:rPr>
          <w:rFonts w:hint="eastAsia"/>
          <w:b/>
        </w:rPr>
        <w:t>九、估价方法</w:t>
      </w:r>
      <w:bookmarkEnd w:id="36"/>
    </w:p>
    <w:p>
      <w:pPr>
        <w:snapToGrid w:val="0"/>
        <w:spacing w:line="360" w:lineRule="auto"/>
        <w:ind w:firstLine="560" w:firstLineChars="200"/>
        <w:rPr>
          <w:rFonts w:eastAsia="仿宋_GB2312"/>
          <w:sz w:val="28"/>
          <w:szCs w:val="28"/>
        </w:rPr>
      </w:pPr>
      <w:r>
        <w:rPr>
          <w:rFonts w:eastAsia="仿宋_GB2312"/>
          <w:sz w:val="28"/>
          <w:szCs w:val="28"/>
        </w:rPr>
        <w:t>根据本次估价目的，</w:t>
      </w:r>
      <w:r>
        <w:rPr>
          <w:rFonts w:hint="eastAsia" w:eastAsia="仿宋_GB2312"/>
          <w:sz w:val="28"/>
          <w:szCs w:val="28"/>
        </w:rPr>
        <w:t>注册房地产估价师</w:t>
      </w:r>
      <w:r>
        <w:rPr>
          <w:rFonts w:eastAsia="仿宋_GB2312"/>
          <w:sz w:val="28"/>
          <w:szCs w:val="28"/>
        </w:rPr>
        <w:t>在现场查看并仔细分析</w:t>
      </w:r>
      <w:r>
        <w:rPr>
          <w:rFonts w:hint="eastAsia" w:eastAsia="仿宋_GB2312"/>
          <w:sz w:val="28"/>
          <w:szCs w:val="28"/>
        </w:rPr>
        <w:t>房地产市场状况和调查</w:t>
      </w:r>
      <w:r>
        <w:rPr>
          <w:rFonts w:eastAsia="仿宋_GB2312"/>
          <w:sz w:val="28"/>
          <w:szCs w:val="28"/>
        </w:rPr>
        <w:t>的相关资料，</w:t>
      </w:r>
      <w:r>
        <w:rPr>
          <w:rFonts w:hint="eastAsia" w:eastAsia="仿宋_GB2312"/>
          <w:sz w:val="28"/>
          <w:szCs w:val="28"/>
        </w:rPr>
        <w:t>采用比较法进行评估。</w:t>
      </w:r>
    </w:p>
    <w:p>
      <w:pPr>
        <w:snapToGrid w:val="0"/>
        <w:spacing w:line="360" w:lineRule="auto"/>
        <w:ind w:firstLine="540" w:firstLineChars="193"/>
        <w:rPr>
          <w:rFonts w:eastAsia="仿宋_GB2312"/>
          <w:sz w:val="28"/>
        </w:rPr>
      </w:pPr>
      <w:r>
        <w:rPr>
          <w:rFonts w:hint="eastAsia" w:eastAsia="仿宋_GB2312"/>
          <w:sz w:val="28"/>
        </w:rPr>
        <w:t>比较法：选取一定数量的可比实例，将它们与估价对象进行比较，根据其间的差异对可比实例成交价格进行处理后得到估价对象价值或价格的方法。</w:t>
      </w:r>
    </w:p>
    <w:p>
      <w:pPr>
        <w:snapToGrid w:val="0"/>
        <w:spacing w:line="360" w:lineRule="auto"/>
        <w:ind w:firstLine="540" w:firstLineChars="193"/>
        <w:rPr>
          <w:rFonts w:eastAsia="仿宋_GB2312"/>
          <w:sz w:val="28"/>
        </w:rPr>
      </w:pPr>
      <w:r>
        <w:rPr>
          <w:rFonts w:hint="eastAsia" w:eastAsia="仿宋_GB2312"/>
          <w:sz w:val="28"/>
        </w:rPr>
        <w:t>收益法：预测估价对象的未来收益，利用报酬率或资本化率、收益乘数将未来收益转换为价值得到估价对象价值或价格的方法。</w:t>
      </w:r>
    </w:p>
    <w:p>
      <w:pPr>
        <w:snapToGrid w:val="0"/>
        <w:spacing w:line="360" w:lineRule="auto"/>
        <w:ind w:firstLine="540" w:firstLineChars="193"/>
        <w:rPr>
          <w:rFonts w:eastAsia="仿宋_GB2312"/>
          <w:sz w:val="28"/>
        </w:rPr>
      </w:pPr>
      <w:r>
        <w:rPr>
          <w:rFonts w:hint="eastAsia" w:eastAsia="仿宋_GB2312"/>
          <w:sz w:val="28"/>
        </w:rPr>
        <w:t>成本法：测算</w:t>
      </w:r>
      <w:r>
        <w:rPr>
          <w:rFonts w:eastAsia="仿宋_GB2312"/>
          <w:sz w:val="28"/>
        </w:rPr>
        <w:t>估价对象在</w:t>
      </w:r>
      <w:r>
        <w:rPr>
          <w:rFonts w:hint="eastAsia" w:eastAsia="仿宋_GB2312"/>
          <w:sz w:val="28"/>
        </w:rPr>
        <w:t>价值时点</w:t>
      </w:r>
      <w:r>
        <w:rPr>
          <w:rFonts w:eastAsia="仿宋_GB2312"/>
          <w:sz w:val="28"/>
        </w:rPr>
        <w:t>的重置</w:t>
      </w:r>
      <w:r>
        <w:rPr>
          <w:rFonts w:hint="eastAsia" w:eastAsia="仿宋_GB2312"/>
          <w:sz w:val="28"/>
        </w:rPr>
        <w:t>成本</w:t>
      </w:r>
      <w:r>
        <w:rPr>
          <w:rFonts w:eastAsia="仿宋_GB2312"/>
          <w:sz w:val="28"/>
        </w:rPr>
        <w:t>或重建</w:t>
      </w:r>
      <w:r>
        <w:rPr>
          <w:rFonts w:hint="eastAsia" w:eastAsia="仿宋_GB2312"/>
          <w:sz w:val="28"/>
        </w:rPr>
        <w:t>成本和折旧</w:t>
      </w:r>
      <w:r>
        <w:rPr>
          <w:rFonts w:eastAsia="仿宋_GB2312"/>
          <w:sz w:val="28"/>
        </w:rPr>
        <w:t>，</w:t>
      </w:r>
      <w:r>
        <w:rPr>
          <w:rFonts w:hint="eastAsia" w:eastAsia="仿宋_GB2312"/>
          <w:sz w:val="28"/>
        </w:rPr>
        <w:t>将重置成本或重建成本减去折旧得到估价对象价值</w:t>
      </w:r>
      <w:r>
        <w:rPr>
          <w:rFonts w:eastAsia="仿宋_GB2312"/>
          <w:sz w:val="28"/>
        </w:rPr>
        <w:t>或</w:t>
      </w:r>
      <w:r>
        <w:rPr>
          <w:rFonts w:hint="eastAsia" w:eastAsia="仿宋_GB2312"/>
          <w:sz w:val="28"/>
        </w:rPr>
        <w:t>价格</w:t>
      </w:r>
      <w:r>
        <w:rPr>
          <w:rFonts w:eastAsia="仿宋_GB2312"/>
          <w:sz w:val="28"/>
        </w:rPr>
        <w:t>的方法。</w:t>
      </w:r>
    </w:p>
    <w:p>
      <w:pPr>
        <w:pStyle w:val="4"/>
        <w:spacing w:before="0" w:line="360" w:lineRule="auto"/>
        <w:ind w:firstLine="560" w:firstLineChars="200"/>
        <w:rPr>
          <w:rFonts w:ascii="Times New Roman"/>
          <w:kern w:val="0"/>
        </w:rPr>
      </w:pPr>
      <w:r>
        <w:rPr>
          <w:rFonts w:hint="eastAsia" w:ascii="Times New Roman"/>
          <w:kern w:val="0"/>
        </w:rPr>
        <w:t>假设开发法：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p>
      <w:pPr>
        <w:pStyle w:val="4"/>
        <w:spacing w:before="0" w:line="360" w:lineRule="auto"/>
        <w:ind w:firstLine="560" w:firstLineChars="200"/>
        <w:rPr>
          <w:rFonts w:ascii="Times New Roman"/>
          <w:kern w:val="0"/>
        </w:rPr>
      </w:pPr>
      <w:r>
        <w:rPr>
          <w:rFonts w:ascii="Times New Roman"/>
          <w:kern w:val="0"/>
        </w:rPr>
        <w:t>估价方法通常有</w:t>
      </w:r>
      <w:r>
        <w:rPr>
          <w:rFonts w:hint="eastAsia" w:ascii="Times New Roman"/>
          <w:kern w:val="0"/>
        </w:rPr>
        <w:t>比较</w:t>
      </w:r>
      <w:r>
        <w:rPr>
          <w:rFonts w:ascii="Times New Roman"/>
          <w:kern w:val="0"/>
        </w:rPr>
        <w:t>法、收益法、成本法及假设开发法等四种</w:t>
      </w:r>
      <w:r>
        <w:rPr>
          <w:rFonts w:hint="eastAsia" w:ascii="Times New Roman"/>
          <w:kern w:val="0"/>
        </w:rPr>
        <w:t>。估价对象为住宅用途。</w:t>
      </w:r>
      <w:r>
        <w:rPr>
          <w:rFonts w:ascii="Times New Roman"/>
          <w:kern w:val="0"/>
        </w:rPr>
        <w:t>结合估价对象的特点和现状，分析估价委托人提供的资料及估价师所掌握的资料，在实地勘察和调研的基础上，根据估价对象的特点及估价目的，遵照国家标准《房地产估价规范》，在合法原则的前提下，分析得到该类房地产市场上交易实例较多，</w:t>
      </w:r>
      <w:r>
        <w:rPr>
          <w:rFonts w:hint="eastAsia" w:ascii="Times New Roman"/>
          <w:kern w:val="0"/>
        </w:rPr>
        <w:t>与估价对象规模类似房地产出租的实例较少，</w:t>
      </w:r>
      <w:r>
        <w:rPr>
          <w:rFonts w:ascii="Times New Roman"/>
          <w:kern w:val="0"/>
        </w:rPr>
        <w:t>故采用</w:t>
      </w:r>
      <w:r>
        <w:rPr>
          <w:rFonts w:hint="eastAsia" w:ascii="Times New Roman"/>
          <w:kern w:val="0"/>
        </w:rPr>
        <w:t>比较法</w:t>
      </w:r>
      <w:r>
        <w:rPr>
          <w:rFonts w:ascii="Times New Roman"/>
          <w:kern w:val="0"/>
        </w:rPr>
        <w:t>对房地产价格进行评估</w:t>
      </w:r>
      <w:r>
        <w:rPr>
          <w:rFonts w:hint="eastAsia" w:ascii="Times New Roman"/>
          <w:kern w:val="0"/>
        </w:rPr>
        <w:t>，</w:t>
      </w:r>
      <w:r>
        <w:rPr>
          <w:rFonts w:ascii="Times New Roman"/>
          <w:kern w:val="0"/>
        </w:rPr>
        <w:t>最终确定估价对象的估价结果。</w:t>
      </w:r>
    </w:p>
    <w:p>
      <w:pPr>
        <w:pStyle w:val="4"/>
        <w:spacing w:before="0" w:line="360" w:lineRule="auto"/>
        <w:ind w:firstLine="0"/>
        <w:outlineLvl w:val="1"/>
      </w:pPr>
      <w:bookmarkStart w:id="37" w:name="_Toc445822576"/>
      <w:bookmarkStart w:id="38" w:name="_Toc269807881"/>
      <w:bookmarkStart w:id="39" w:name="_Toc265159684"/>
      <w:bookmarkStart w:id="40" w:name="_Toc265159683"/>
      <w:bookmarkStart w:id="41" w:name="_Toc269807882"/>
      <w:r>
        <w:rPr>
          <w:rFonts w:hint="eastAsia"/>
          <w:b/>
        </w:rPr>
        <w:t>十、估价结果</w:t>
      </w:r>
      <w:bookmarkEnd w:id="37"/>
    </w:p>
    <w:p>
      <w:pPr>
        <w:pStyle w:val="28"/>
        <w:snapToGrid w:val="0"/>
        <w:ind w:firstLine="560" w:firstLineChars="200"/>
        <w:rPr>
          <w:rFonts w:eastAsia="仿宋_GB2312"/>
          <w:szCs w:val="28"/>
        </w:rPr>
      </w:pPr>
      <w:r>
        <w:rPr>
          <w:rFonts w:eastAsia="仿宋_GB2312"/>
          <w:szCs w:val="28"/>
        </w:rPr>
        <w:t>我公司依据国家、省、市地方等的有关政策、法律法规文件及估价委托人提供的相关资料，严格按照估价规范规定的原则和程序，实地查勘，搜集相关资料，认真分析，对影响房地产价值的各种因素进行评估，选取了</w:t>
      </w:r>
      <w:r>
        <w:rPr>
          <w:rFonts w:hint="eastAsia" w:eastAsia="仿宋_GB2312"/>
          <w:szCs w:val="28"/>
        </w:rPr>
        <w:t>比较法</w:t>
      </w:r>
      <w:bookmarkStart w:id="42" w:name="_Toc445822577"/>
      <w:r>
        <w:rPr>
          <w:rFonts w:eastAsia="仿宋_GB2312"/>
          <w:szCs w:val="28"/>
        </w:rPr>
        <w:t>确定</w:t>
      </w:r>
      <w:r>
        <w:rPr>
          <w:rFonts w:hint="eastAsia" w:eastAsia="仿宋_GB2312"/>
          <w:szCs w:val="28"/>
        </w:rPr>
        <w:t>大石桥市</w:t>
      </w:r>
      <w:r>
        <w:rPr>
          <w:rFonts w:hint="eastAsia" w:eastAsia="仿宋_GB2312"/>
          <w:szCs w:val="28"/>
          <w:lang w:eastAsia="zh-CN"/>
        </w:rPr>
        <w:t>盘龙街龙山里（1#楼1单元301室）</w:t>
      </w:r>
      <w:r>
        <w:rPr>
          <w:rFonts w:hint="eastAsia" w:eastAsia="仿宋_GB2312"/>
          <w:szCs w:val="28"/>
        </w:rPr>
        <w:t>，计价建筑面积</w:t>
      </w:r>
      <w:r>
        <w:rPr>
          <w:rFonts w:hint="eastAsia" w:eastAsia="仿宋_GB2312"/>
          <w:szCs w:val="28"/>
          <w:lang w:eastAsia="zh-CN"/>
        </w:rPr>
        <w:t>63.91</w:t>
      </w:r>
      <w:r>
        <w:rPr>
          <w:rFonts w:hint="eastAsia" w:eastAsia="仿宋_GB2312"/>
          <w:szCs w:val="28"/>
        </w:rPr>
        <w:t>平方米住宅用途房地产</w:t>
      </w:r>
      <w:r>
        <w:rPr>
          <w:rFonts w:eastAsia="仿宋_GB2312"/>
          <w:szCs w:val="28"/>
        </w:rPr>
        <w:t>在</w:t>
      </w:r>
      <w:r>
        <w:rPr>
          <w:rFonts w:hint="eastAsia" w:eastAsia="仿宋_GB2312"/>
          <w:szCs w:val="28"/>
          <w:lang w:eastAsia="zh-CN"/>
        </w:rPr>
        <w:t>二〇二二年二月二十一日</w:t>
      </w:r>
      <w:r>
        <w:rPr>
          <w:rFonts w:eastAsia="仿宋_GB2312"/>
          <w:szCs w:val="28"/>
        </w:rPr>
        <w:t>（</w:t>
      </w:r>
      <w:r>
        <w:rPr>
          <w:rFonts w:hint="eastAsia" w:eastAsia="仿宋_GB2312"/>
          <w:szCs w:val="28"/>
        </w:rPr>
        <w:t>设定</w:t>
      </w:r>
      <w:r>
        <w:rPr>
          <w:rFonts w:eastAsia="仿宋_GB2312"/>
          <w:szCs w:val="28"/>
        </w:rPr>
        <w:t>价值时点）的</w:t>
      </w:r>
      <w:r>
        <w:rPr>
          <w:rFonts w:hint="eastAsia" w:eastAsia="仿宋_GB2312"/>
          <w:szCs w:val="28"/>
        </w:rPr>
        <w:t>房地产市场总价为人民币</w:t>
      </w:r>
      <w:r>
        <w:rPr>
          <w:rFonts w:hint="eastAsia" w:eastAsia="仿宋_GB2312"/>
          <w:szCs w:val="28"/>
          <w:lang w:eastAsia="zh-CN"/>
        </w:rPr>
        <w:t>贰拾叁万贰仟柒佰陆拾</w:t>
      </w:r>
      <w:r>
        <w:rPr>
          <w:rFonts w:eastAsia="仿宋_GB2312"/>
          <w:szCs w:val="28"/>
        </w:rPr>
        <w:t>元整（￥</w:t>
      </w:r>
      <w:r>
        <w:rPr>
          <w:rFonts w:hint="eastAsia" w:eastAsia="仿宋_GB2312"/>
          <w:szCs w:val="28"/>
          <w:lang w:eastAsia="zh-CN"/>
        </w:rPr>
        <w:t>232,760</w:t>
      </w:r>
      <w:r>
        <w:rPr>
          <w:rFonts w:eastAsia="仿宋_GB2312"/>
          <w:szCs w:val="28"/>
        </w:rPr>
        <w:t>元）</w:t>
      </w:r>
      <w:r>
        <w:rPr>
          <w:rFonts w:hint="eastAsia" w:eastAsia="仿宋_GB2312"/>
          <w:szCs w:val="28"/>
        </w:rPr>
        <w:t>；单价为每平方米人民币</w:t>
      </w:r>
      <w:r>
        <w:rPr>
          <w:rFonts w:hint="eastAsia" w:eastAsia="仿宋_GB2312"/>
          <w:szCs w:val="28"/>
          <w:lang w:eastAsia="zh-CN"/>
        </w:rPr>
        <w:t>叁仟陆佰肆拾贰</w:t>
      </w:r>
      <w:r>
        <w:rPr>
          <w:rFonts w:hint="eastAsia" w:eastAsia="仿宋_GB2312"/>
          <w:szCs w:val="28"/>
        </w:rPr>
        <w:t>元整（</w:t>
      </w:r>
      <w:r>
        <w:rPr>
          <w:rFonts w:eastAsia="仿宋_GB2312"/>
          <w:szCs w:val="28"/>
        </w:rPr>
        <w:t>￥</w:t>
      </w:r>
      <w:r>
        <w:rPr>
          <w:rFonts w:hint="eastAsia" w:eastAsia="仿宋_GB2312"/>
          <w:szCs w:val="28"/>
          <w:lang w:eastAsia="zh-CN"/>
        </w:rPr>
        <w:t>3,642</w:t>
      </w:r>
      <w:r>
        <w:rPr>
          <w:rFonts w:hint="eastAsia" w:eastAsia="仿宋_GB2312"/>
          <w:szCs w:val="28"/>
        </w:rPr>
        <w:t>元/平方米）。</w:t>
      </w:r>
    </w:p>
    <w:p>
      <w:pPr>
        <w:pStyle w:val="17"/>
        <w:spacing w:line="500" w:lineRule="exact"/>
        <w:jc w:val="center"/>
        <w:textAlignment w:val="center"/>
        <w:rPr>
          <w:rFonts w:hint="eastAsia" w:hAnsi="宋体"/>
          <w:b/>
          <w:sz w:val="28"/>
          <w:szCs w:val="28"/>
        </w:rPr>
      </w:pPr>
      <w:r>
        <w:rPr>
          <w:rFonts w:hint="eastAsia" w:hAnsi="宋体"/>
          <w:b/>
          <w:sz w:val="28"/>
          <w:szCs w:val="28"/>
        </w:rPr>
        <w:t>房地产估价结果明细表</w:t>
      </w:r>
    </w:p>
    <w:tbl>
      <w:tblPr>
        <w:tblStyle w:val="34"/>
        <w:tblW w:w="9526" w:type="dxa"/>
        <w:jc w:val="center"/>
        <w:tblLayout w:type="autofit"/>
        <w:tblCellMar>
          <w:top w:w="0" w:type="dxa"/>
          <w:left w:w="108" w:type="dxa"/>
          <w:bottom w:w="0" w:type="dxa"/>
          <w:right w:w="108" w:type="dxa"/>
        </w:tblCellMar>
      </w:tblPr>
      <w:tblGrid>
        <w:gridCol w:w="459"/>
        <w:gridCol w:w="907"/>
        <w:gridCol w:w="1691"/>
        <w:gridCol w:w="576"/>
        <w:gridCol w:w="1016"/>
        <w:gridCol w:w="939"/>
        <w:gridCol w:w="1275"/>
        <w:gridCol w:w="1065"/>
        <w:gridCol w:w="1560"/>
        <w:gridCol w:w="38"/>
      </w:tblGrid>
      <w:tr>
        <w:tblPrEx>
          <w:tblCellMar>
            <w:top w:w="0" w:type="dxa"/>
            <w:left w:w="108" w:type="dxa"/>
            <w:bottom w:w="0" w:type="dxa"/>
            <w:right w:w="108" w:type="dxa"/>
          </w:tblCellMar>
        </w:tblPrEx>
        <w:trPr>
          <w:trHeight w:val="606" w:hRule="exact"/>
          <w:jc w:val="center"/>
        </w:trPr>
        <w:tc>
          <w:tcPr>
            <w:tcW w:w="459" w:type="dxa"/>
            <w:vMerge w:val="restart"/>
            <w:tcBorders>
              <w:top w:val="single" w:color="auto" w:sz="4" w:space="0"/>
              <w:left w:val="single" w:color="auto" w:sz="4" w:space="0"/>
              <w:bottom w:val="single" w:color="auto" w:sz="4" w:space="0"/>
              <w:right w:val="nil"/>
            </w:tcBorders>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序号</w:t>
            </w:r>
          </w:p>
        </w:tc>
        <w:tc>
          <w:tcPr>
            <w:tcW w:w="9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所有</w:t>
            </w:r>
          </w:p>
          <w:p>
            <w:pPr>
              <w:widowControl/>
              <w:jc w:val="center"/>
              <w:rPr>
                <w:rFonts w:cs="宋体" w:asciiTheme="minorEastAsia" w:hAnsiTheme="minorEastAsia"/>
                <w:b/>
                <w:sz w:val="24"/>
                <w:szCs w:val="24"/>
              </w:rPr>
            </w:pPr>
            <w:r>
              <w:rPr>
                <w:rFonts w:hint="eastAsia" w:cs="宋体" w:asciiTheme="minorEastAsia" w:hAnsiTheme="minorEastAsia"/>
                <w:b/>
                <w:sz w:val="24"/>
                <w:szCs w:val="24"/>
              </w:rPr>
              <w:t>权人</w:t>
            </w:r>
          </w:p>
        </w:tc>
        <w:tc>
          <w:tcPr>
            <w:tcW w:w="1691"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项目名称</w:t>
            </w:r>
          </w:p>
        </w:tc>
        <w:tc>
          <w:tcPr>
            <w:tcW w:w="5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层数</w:t>
            </w:r>
          </w:p>
        </w:tc>
        <w:tc>
          <w:tcPr>
            <w:tcW w:w="10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r>
              <w:rPr>
                <w:rFonts w:hint="eastAsia" w:ascii="宋体" w:hAnsi="宋体" w:cs="宋体"/>
                <w:b/>
                <w:bCs/>
                <w:color w:val="000000"/>
                <w:sz w:val="24"/>
                <w:szCs w:val="24"/>
              </w:rPr>
              <w:t>结构</w:t>
            </w:r>
          </w:p>
        </w:tc>
        <w:tc>
          <w:tcPr>
            <w:tcW w:w="939" w:type="dxa"/>
            <w:vMerge w:val="restart"/>
            <w:tcBorders>
              <w:top w:val="single" w:color="auto" w:sz="4" w:space="0"/>
              <w:left w:val="single" w:color="auto" w:sz="4" w:space="0"/>
              <w:right w:val="single" w:color="auto" w:sz="4" w:space="0"/>
            </w:tcBorders>
            <w:shd w:val="clear" w:color="auto" w:fill="auto"/>
            <w:vAlign w:val="center"/>
          </w:tcPr>
          <w:p>
            <w:pPr>
              <w:widowControl/>
              <w:rPr>
                <w:rFonts w:cs="宋体" w:asciiTheme="minorEastAsia" w:hAnsiTheme="minorEastAsia"/>
                <w:b/>
                <w:sz w:val="24"/>
                <w:szCs w:val="24"/>
              </w:rPr>
            </w:pPr>
            <w:r>
              <w:rPr>
                <w:rFonts w:hint="eastAsia" w:cs="宋体" w:asciiTheme="minorEastAsia" w:hAnsiTheme="minorEastAsia"/>
                <w:b/>
                <w:sz w:val="24"/>
                <w:szCs w:val="24"/>
              </w:rPr>
              <w:t>建筑面积（㎡）</w:t>
            </w:r>
          </w:p>
        </w:tc>
        <w:tc>
          <w:tcPr>
            <w:tcW w:w="1275" w:type="dxa"/>
            <w:vMerge w:val="restart"/>
            <w:tcBorders>
              <w:top w:val="single" w:color="auto" w:sz="4" w:space="0"/>
              <w:left w:val="single" w:color="auto" w:sz="4" w:space="0"/>
              <w:right w:val="single" w:color="auto" w:sz="4" w:space="0"/>
            </w:tcBorders>
            <w:shd w:val="clear" w:color="auto" w:fill="auto"/>
            <w:noWrap/>
            <w:vAlign w:val="center"/>
          </w:tcPr>
          <w:p>
            <w:pPr>
              <w:jc w:val="center"/>
              <w:rPr>
                <w:rFonts w:cs="宋体" w:asciiTheme="minorEastAsia" w:hAnsiTheme="minorEastAsia"/>
                <w:b/>
                <w:sz w:val="24"/>
                <w:szCs w:val="24"/>
              </w:rPr>
            </w:pPr>
            <w:r>
              <w:rPr>
                <w:rFonts w:hint="eastAsia" w:cs="宋体" w:asciiTheme="minorEastAsia" w:hAnsiTheme="minorEastAsia"/>
                <w:b/>
                <w:sz w:val="24"/>
                <w:szCs w:val="24"/>
              </w:rPr>
              <w:t>评估方法</w:t>
            </w:r>
          </w:p>
        </w:tc>
        <w:tc>
          <w:tcPr>
            <w:tcW w:w="1065" w:type="dxa"/>
            <w:vMerge w:val="restart"/>
            <w:tcBorders>
              <w:top w:val="single" w:color="auto" w:sz="4" w:space="0"/>
              <w:left w:val="single" w:color="auto" w:sz="4" w:space="0"/>
              <w:right w:val="single" w:color="auto" w:sz="4" w:space="0"/>
            </w:tcBorders>
            <w:shd w:val="clear" w:color="auto" w:fill="auto"/>
            <w:vAlign w:val="center"/>
          </w:tcPr>
          <w:p>
            <w:pPr>
              <w:rPr>
                <w:rFonts w:cs="宋体" w:asciiTheme="minorEastAsia" w:hAnsiTheme="minorEastAsia"/>
                <w:b/>
                <w:sz w:val="24"/>
                <w:szCs w:val="24"/>
              </w:rPr>
            </w:pPr>
            <w:r>
              <w:rPr>
                <w:rFonts w:hint="eastAsia" w:ascii="宋体" w:hAnsi="宋体" w:cs="宋体"/>
                <w:b/>
                <w:bCs/>
                <w:color w:val="000000"/>
                <w:sz w:val="24"/>
                <w:szCs w:val="24"/>
              </w:rPr>
              <w:t>单价 (元/㎡)</w:t>
            </w:r>
          </w:p>
        </w:tc>
        <w:tc>
          <w:tcPr>
            <w:tcW w:w="1598" w:type="dxa"/>
            <w:gridSpan w:val="2"/>
            <w:tcBorders>
              <w:top w:val="single" w:color="auto" w:sz="4" w:space="0"/>
              <w:left w:val="single" w:color="auto" w:sz="4" w:space="0"/>
              <w:right w:val="single" w:color="auto" w:sz="4" w:space="0"/>
            </w:tcBorders>
            <w:shd w:val="clear" w:color="auto" w:fill="auto"/>
            <w:vAlign w:val="center"/>
          </w:tcPr>
          <w:p>
            <w:pPr>
              <w:jc w:val="center"/>
              <w:rPr>
                <w:rFonts w:cs="宋体" w:asciiTheme="minorEastAsia" w:hAnsiTheme="minorEastAsia"/>
                <w:b/>
                <w:sz w:val="24"/>
                <w:szCs w:val="24"/>
              </w:rPr>
            </w:pPr>
          </w:p>
          <w:p>
            <w:pPr>
              <w:jc w:val="center"/>
              <w:rPr>
                <w:rFonts w:cs="宋体" w:asciiTheme="minorEastAsia" w:hAnsiTheme="minorEastAsia"/>
                <w:b/>
                <w:sz w:val="24"/>
                <w:szCs w:val="24"/>
              </w:rPr>
            </w:pPr>
            <w:r>
              <w:rPr>
                <w:rFonts w:hint="eastAsia" w:cs="宋体" w:asciiTheme="minorEastAsia" w:hAnsiTheme="minorEastAsia"/>
                <w:b/>
                <w:sz w:val="24"/>
                <w:szCs w:val="24"/>
              </w:rPr>
              <w:t>评估总价</w:t>
            </w:r>
          </w:p>
        </w:tc>
      </w:tr>
      <w:tr>
        <w:tblPrEx>
          <w:tblCellMar>
            <w:top w:w="0" w:type="dxa"/>
            <w:left w:w="108" w:type="dxa"/>
            <w:bottom w:w="0" w:type="dxa"/>
            <w:right w:w="108" w:type="dxa"/>
          </w:tblCellMar>
        </w:tblPrEx>
        <w:trPr>
          <w:trHeight w:val="515" w:hRule="atLeast"/>
          <w:jc w:val="center"/>
        </w:trPr>
        <w:tc>
          <w:tcPr>
            <w:tcW w:w="459" w:type="dxa"/>
            <w:vMerge w:val="continue"/>
            <w:tcBorders>
              <w:top w:val="single" w:color="auto" w:sz="4" w:space="0"/>
              <w:left w:val="single" w:color="auto" w:sz="4" w:space="0"/>
              <w:bottom w:val="single" w:color="auto" w:sz="4" w:space="0"/>
              <w:right w:val="nil"/>
            </w:tcBorders>
            <w:shd w:val="clear" w:color="auto" w:fill="auto"/>
            <w:vAlign w:val="center"/>
          </w:tcPr>
          <w:p>
            <w:pPr>
              <w:widowControl/>
              <w:jc w:val="center"/>
              <w:rPr>
                <w:rFonts w:cs="宋体" w:asciiTheme="minorEastAsia" w:hAnsiTheme="minorEastAsia"/>
                <w:b/>
                <w:sz w:val="24"/>
                <w:szCs w:val="24"/>
              </w:rPr>
            </w:pPr>
          </w:p>
        </w:tc>
        <w:tc>
          <w:tcPr>
            <w:tcW w:w="9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p>
        </w:tc>
        <w:tc>
          <w:tcPr>
            <w:tcW w:w="169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p>
        </w:tc>
        <w:tc>
          <w:tcPr>
            <w:tcW w:w="5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p>
        </w:tc>
        <w:tc>
          <w:tcPr>
            <w:tcW w:w="10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p>
        </w:tc>
        <w:tc>
          <w:tcPr>
            <w:tcW w:w="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p>
        </w:tc>
        <w:tc>
          <w:tcPr>
            <w:tcW w:w="1275" w:type="dxa"/>
            <w:vMerge w:val="continue"/>
            <w:tcBorders>
              <w:left w:val="single" w:color="auto" w:sz="4" w:space="0"/>
              <w:bottom w:val="single" w:color="000000" w:sz="4" w:space="0"/>
              <w:right w:val="single" w:color="auto" w:sz="4" w:space="0"/>
            </w:tcBorders>
            <w:shd w:val="clear" w:color="auto" w:fill="auto"/>
            <w:noWrap/>
            <w:vAlign w:val="center"/>
          </w:tcPr>
          <w:p>
            <w:pPr>
              <w:jc w:val="center"/>
              <w:rPr>
                <w:rFonts w:cs="宋体" w:asciiTheme="minorEastAsia" w:hAnsiTheme="minorEastAsia"/>
                <w:b/>
                <w:sz w:val="24"/>
                <w:szCs w:val="24"/>
              </w:rPr>
            </w:pPr>
          </w:p>
        </w:tc>
        <w:tc>
          <w:tcPr>
            <w:tcW w:w="1065" w:type="dxa"/>
            <w:vMerge w:val="continue"/>
            <w:tcBorders>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b/>
                <w:sz w:val="24"/>
                <w:szCs w:val="24"/>
              </w:rPr>
            </w:pPr>
          </w:p>
        </w:tc>
        <w:tc>
          <w:tcPr>
            <w:tcW w:w="1598" w:type="dxa"/>
            <w:gridSpan w:val="2"/>
            <w:tcBorders>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b/>
                <w:sz w:val="24"/>
                <w:szCs w:val="24"/>
              </w:rPr>
            </w:pPr>
            <w:r>
              <w:rPr>
                <w:rFonts w:hint="eastAsia" w:cs="宋体" w:asciiTheme="minorEastAsia" w:hAnsiTheme="minorEastAsia"/>
                <w:b/>
                <w:sz w:val="24"/>
                <w:szCs w:val="24"/>
              </w:rPr>
              <w:t>（元）</w:t>
            </w:r>
          </w:p>
        </w:tc>
      </w:tr>
      <w:tr>
        <w:tblPrEx>
          <w:tblCellMar>
            <w:top w:w="0" w:type="dxa"/>
            <w:left w:w="108" w:type="dxa"/>
            <w:bottom w:w="0" w:type="dxa"/>
            <w:right w:w="108" w:type="dxa"/>
          </w:tblCellMar>
        </w:tblPrEx>
        <w:trPr>
          <w:trHeight w:val="1234" w:hRule="exact"/>
          <w:jc w:val="center"/>
        </w:trPr>
        <w:tc>
          <w:tcPr>
            <w:tcW w:w="459" w:type="dxa"/>
            <w:tcBorders>
              <w:top w:val="nil"/>
              <w:left w:val="single" w:color="auto" w:sz="4" w:space="0"/>
              <w:bottom w:val="single" w:color="auto" w:sz="4" w:space="0"/>
              <w:right w:val="nil"/>
            </w:tcBorders>
            <w:shd w:val="clear" w:color="auto" w:fill="auto"/>
            <w:vAlign w:val="center"/>
          </w:tcPr>
          <w:p>
            <w:pPr>
              <w:widowControl/>
              <w:jc w:val="center"/>
              <w:rPr>
                <w:rFonts w:asciiTheme="minorEastAsia" w:hAnsiTheme="minorEastAsia"/>
                <w:sz w:val="24"/>
                <w:szCs w:val="24"/>
              </w:rPr>
            </w:pPr>
            <w:r>
              <w:rPr>
                <w:rFonts w:asciiTheme="minorEastAsia" w:hAnsiTheme="minorEastAsia"/>
                <w:sz w:val="24"/>
                <w:szCs w:val="24"/>
              </w:rPr>
              <w:t>1</w:t>
            </w:r>
          </w:p>
        </w:tc>
        <w:tc>
          <w:tcPr>
            <w:tcW w:w="907" w:type="dxa"/>
            <w:tcBorders>
              <w:top w:val="nil"/>
              <w:left w:val="single" w:color="auto" w:sz="4" w:space="0"/>
              <w:bottom w:val="single" w:color="auto" w:sz="4" w:space="0"/>
              <w:right w:val="single" w:color="auto" w:sz="4" w:space="0"/>
            </w:tcBorders>
            <w:shd w:val="clear" w:color="auto" w:fill="auto"/>
            <w:vAlign w:val="center"/>
          </w:tcPr>
          <w:p>
            <w:pPr>
              <w:widowControl/>
              <w:rPr>
                <w:rFonts w:eastAsia="仿宋_GB2312"/>
                <w:szCs w:val="28"/>
              </w:rPr>
            </w:pPr>
            <w:r>
              <w:rPr>
                <w:rFonts w:hint="eastAsia" w:eastAsia="仿宋_GB2312"/>
                <w:szCs w:val="28"/>
              </w:rPr>
              <w:t>付宇东</w:t>
            </w:r>
          </w:p>
        </w:tc>
        <w:tc>
          <w:tcPr>
            <w:tcW w:w="169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仿宋_GB2312" w:cs="宋体" w:asciiTheme="minorEastAsia" w:hAnsiTheme="minorEastAsia"/>
                <w:sz w:val="24"/>
                <w:szCs w:val="24"/>
                <w:lang w:eastAsia="zh-CN"/>
              </w:rPr>
            </w:pPr>
            <w:r>
              <w:rPr>
                <w:rFonts w:hint="eastAsia" w:eastAsia="仿宋_GB2312"/>
                <w:szCs w:val="28"/>
              </w:rPr>
              <w:t>大石桥市</w:t>
            </w:r>
            <w:r>
              <w:rPr>
                <w:rFonts w:hint="eastAsia" w:eastAsia="仿宋_GB2312"/>
                <w:szCs w:val="28"/>
                <w:lang w:eastAsia="zh-CN"/>
              </w:rPr>
              <w:t>盘龙街龙山里（1#楼1单元301室）</w:t>
            </w:r>
          </w:p>
        </w:tc>
        <w:tc>
          <w:tcPr>
            <w:tcW w:w="5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宋体" w:cs="宋体" w:asciiTheme="minorEastAsia" w:hAnsiTheme="minorEastAsia"/>
                <w:sz w:val="24"/>
                <w:szCs w:val="24"/>
                <w:lang w:eastAsia="zh-CN"/>
              </w:rPr>
            </w:pPr>
            <w:r>
              <w:rPr>
                <w:rFonts w:hint="eastAsia" w:cs="宋体" w:asciiTheme="minorEastAsia" w:hAnsiTheme="minorEastAsia"/>
                <w:sz w:val="24"/>
                <w:szCs w:val="24"/>
                <w:lang w:val="en-US" w:eastAsia="zh-CN"/>
              </w:rPr>
              <w:t>3</w:t>
            </w:r>
            <w:r>
              <w:rPr>
                <w:rFonts w:hint="eastAsia" w:cs="宋体" w:asciiTheme="minorEastAsia" w:hAnsiTheme="minorEastAsia"/>
                <w:sz w:val="24"/>
                <w:szCs w:val="24"/>
              </w:rPr>
              <w:t>/</w:t>
            </w:r>
            <w:r>
              <w:rPr>
                <w:rFonts w:hint="eastAsia" w:cs="宋体" w:asciiTheme="minorEastAsia" w:hAnsiTheme="minorEastAsia"/>
                <w:sz w:val="24"/>
                <w:szCs w:val="24"/>
                <w:lang w:val="en-US" w:eastAsia="zh-CN"/>
              </w:rPr>
              <w:t>4</w:t>
            </w:r>
          </w:p>
        </w:tc>
        <w:tc>
          <w:tcPr>
            <w:tcW w:w="101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sz w:val="24"/>
                <w:szCs w:val="24"/>
              </w:rPr>
            </w:pPr>
            <w:r>
              <w:rPr>
                <w:rFonts w:hint="eastAsia" w:ascii="宋体" w:hAnsi="宋体" w:cs="宋体"/>
                <w:color w:val="000000"/>
                <w:sz w:val="24"/>
                <w:szCs w:val="24"/>
              </w:rPr>
              <w:t>混合</w:t>
            </w:r>
          </w:p>
        </w:tc>
        <w:tc>
          <w:tcPr>
            <w:tcW w:w="939" w:type="dxa"/>
            <w:tcBorders>
              <w:left w:val="nil"/>
              <w:bottom w:val="single" w:color="auto" w:sz="4" w:space="0"/>
              <w:right w:val="single" w:color="auto" w:sz="4" w:space="0"/>
            </w:tcBorders>
            <w:shd w:val="clear" w:color="auto" w:fill="auto"/>
            <w:noWrap/>
            <w:vAlign w:val="center"/>
          </w:tcPr>
          <w:p>
            <w:pPr>
              <w:widowControl/>
              <w:jc w:val="center"/>
              <w:rPr>
                <w:rFonts w:hint="eastAsia" w:eastAsia="宋体" w:cs="宋体" w:asciiTheme="minorEastAsia" w:hAnsiTheme="minorEastAsia"/>
                <w:sz w:val="24"/>
                <w:szCs w:val="24"/>
                <w:lang w:eastAsia="zh-CN"/>
              </w:rPr>
            </w:pPr>
            <w:r>
              <w:rPr>
                <w:rFonts w:hint="eastAsia" w:ascii="宋体" w:hAnsi="宋体" w:cs="宋体"/>
                <w:color w:val="000000"/>
                <w:sz w:val="24"/>
                <w:szCs w:val="24"/>
                <w:lang w:eastAsia="zh-CN"/>
              </w:rPr>
              <w:t>63.91</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jc w:val="center"/>
              <w:rPr>
                <w:rFonts w:eastAsia="仿宋_GB2312"/>
                <w:szCs w:val="28"/>
              </w:rPr>
            </w:pPr>
            <w:r>
              <w:rPr>
                <w:rFonts w:hint="eastAsia" w:eastAsia="仿宋_GB2312"/>
                <w:szCs w:val="28"/>
              </w:rPr>
              <w:t>比较法</w:t>
            </w:r>
          </w:p>
        </w:tc>
        <w:tc>
          <w:tcPr>
            <w:tcW w:w="1065"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宋体" w:asciiTheme="minorEastAsia" w:hAnsiTheme="minorEastAsia"/>
                <w:sz w:val="24"/>
                <w:szCs w:val="24"/>
                <w:lang w:val="en-US" w:eastAsia="zh-CN"/>
              </w:rPr>
            </w:pPr>
            <w:r>
              <w:rPr>
                <w:rFonts w:hint="eastAsia" w:cs="宋体" w:asciiTheme="minorEastAsia" w:hAnsiTheme="minorEastAsia"/>
                <w:sz w:val="24"/>
                <w:szCs w:val="24"/>
                <w:lang w:val="en-US" w:eastAsia="zh-CN"/>
              </w:rPr>
              <w:t>3642</w:t>
            </w:r>
          </w:p>
        </w:tc>
        <w:tc>
          <w:tcPr>
            <w:tcW w:w="1598"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宋体" w:cs="宋体" w:asciiTheme="minorEastAsia" w:hAnsiTheme="minorEastAsia"/>
                <w:sz w:val="24"/>
                <w:szCs w:val="24"/>
                <w:lang w:eastAsia="zh-CN"/>
              </w:rPr>
            </w:pPr>
            <w:r>
              <w:rPr>
                <w:rFonts w:hint="eastAsia" w:asciiTheme="minorEastAsia" w:hAnsiTheme="minorEastAsia"/>
                <w:sz w:val="24"/>
                <w:szCs w:val="24"/>
                <w:lang w:eastAsia="zh-CN"/>
              </w:rPr>
              <w:t>232,760</w:t>
            </w:r>
          </w:p>
        </w:tc>
      </w:tr>
      <w:tr>
        <w:tblPrEx>
          <w:tblCellMar>
            <w:top w:w="0" w:type="dxa"/>
            <w:left w:w="108" w:type="dxa"/>
            <w:bottom w:w="0" w:type="dxa"/>
            <w:right w:w="108" w:type="dxa"/>
          </w:tblCellMar>
        </w:tblPrEx>
        <w:trPr>
          <w:gridAfter w:val="1"/>
          <w:wAfter w:w="38" w:type="dxa"/>
          <w:trHeight w:val="474" w:hRule="exact"/>
          <w:jc w:val="center"/>
        </w:trPr>
        <w:tc>
          <w:tcPr>
            <w:tcW w:w="7928"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b/>
                <w:sz w:val="24"/>
                <w:szCs w:val="24"/>
              </w:rPr>
            </w:pPr>
            <w:r>
              <w:rPr>
                <w:rFonts w:hint="eastAsia" w:cs="宋体" w:asciiTheme="minorEastAsia" w:hAnsiTheme="minorEastAsia"/>
                <w:b/>
                <w:sz w:val="24"/>
                <w:szCs w:val="24"/>
              </w:rPr>
              <w:t>房地产总计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cs="宋体" w:asciiTheme="minorEastAsia" w:hAnsiTheme="minorEastAsia"/>
                <w:b/>
                <w:sz w:val="24"/>
                <w:szCs w:val="24"/>
                <w:lang w:eastAsia="zh-CN"/>
              </w:rPr>
            </w:pPr>
            <w:r>
              <w:rPr>
                <w:rFonts w:hint="eastAsia" w:asciiTheme="minorEastAsia" w:hAnsiTheme="minorEastAsia"/>
                <w:sz w:val="24"/>
                <w:szCs w:val="24"/>
                <w:lang w:eastAsia="zh-CN"/>
              </w:rPr>
              <w:t>232,760</w:t>
            </w:r>
          </w:p>
        </w:tc>
      </w:tr>
    </w:tbl>
    <w:p>
      <w:pPr>
        <w:pStyle w:val="17"/>
        <w:spacing w:line="500" w:lineRule="exact"/>
        <w:jc w:val="center"/>
        <w:textAlignment w:val="center"/>
        <w:rPr>
          <w:rFonts w:hint="eastAsia" w:hAnsi="宋体"/>
          <w:b/>
          <w:sz w:val="28"/>
          <w:szCs w:val="28"/>
        </w:rPr>
      </w:pPr>
    </w:p>
    <w:p>
      <w:pPr>
        <w:pStyle w:val="4"/>
        <w:spacing w:before="0" w:line="360" w:lineRule="auto"/>
        <w:ind w:firstLine="0"/>
        <w:outlineLvl w:val="1"/>
      </w:pPr>
      <w:r>
        <w:rPr>
          <w:rFonts w:hint="eastAsia"/>
          <w:b/>
        </w:rPr>
        <w:t>十一、注册房地产估价师</w:t>
      </w:r>
      <w:bookmarkEnd w:id="42"/>
    </w:p>
    <w:tbl>
      <w:tblPr>
        <w:tblStyle w:val="34"/>
        <w:tblW w:w="9606"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2279"/>
        <w:gridCol w:w="2279"/>
        <w:gridCol w:w="3063"/>
        <w:gridCol w:w="198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05" w:hRule="atLeast"/>
        </w:trPr>
        <w:tc>
          <w:tcPr>
            <w:tcW w:w="2279" w:type="dxa"/>
            <w:vAlign w:val="center"/>
          </w:tcPr>
          <w:p>
            <w:pPr>
              <w:pStyle w:val="4"/>
              <w:spacing w:before="0" w:line="240" w:lineRule="auto"/>
              <w:ind w:firstLine="0"/>
              <w:jc w:val="center"/>
              <w:rPr>
                <w:szCs w:val="28"/>
              </w:rPr>
            </w:pPr>
            <w:r>
              <w:rPr>
                <w:rFonts w:hint="eastAsia"/>
                <w:szCs w:val="28"/>
              </w:rPr>
              <w:t>姓名</w:t>
            </w:r>
          </w:p>
        </w:tc>
        <w:tc>
          <w:tcPr>
            <w:tcW w:w="2279" w:type="dxa"/>
            <w:vAlign w:val="center"/>
          </w:tcPr>
          <w:p>
            <w:pPr>
              <w:pStyle w:val="4"/>
              <w:spacing w:before="0" w:line="240" w:lineRule="auto"/>
              <w:ind w:firstLine="0"/>
              <w:jc w:val="center"/>
              <w:rPr>
                <w:szCs w:val="28"/>
              </w:rPr>
            </w:pPr>
            <w:r>
              <w:rPr>
                <w:rFonts w:hint="eastAsia"/>
                <w:szCs w:val="28"/>
              </w:rPr>
              <w:t>注册号</w:t>
            </w:r>
          </w:p>
        </w:tc>
        <w:tc>
          <w:tcPr>
            <w:tcW w:w="3063" w:type="dxa"/>
            <w:vAlign w:val="center"/>
          </w:tcPr>
          <w:p>
            <w:pPr>
              <w:pStyle w:val="4"/>
              <w:spacing w:before="0" w:line="240" w:lineRule="auto"/>
              <w:ind w:firstLine="0"/>
              <w:jc w:val="center"/>
              <w:rPr>
                <w:szCs w:val="28"/>
              </w:rPr>
            </w:pPr>
            <w:r>
              <w:rPr>
                <w:rFonts w:hint="eastAsia"/>
                <w:szCs w:val="28"/>
              </w:rPr>
              <w:t>签名</w:t>
            </w:r>
          </w:p>
        </w:tc>
        <w:tc>
          <w:tcPr>
            <w:tcW w:w="1985" w:type="dxa"/>
            <w:vAlign w:val="center"/>
          </w:tcPr>
          <w:p>
            <w:pPr>
              <w:pStyle w:val="4"/>
              <w:spacing w:before="0" w:line="240" w:lineRule="auto"/>
              <w:ind w:firstLine="0"/>
              <w:jc w:val="center"/>
              <w:rPr>
                <w:szCs w:val="28"/>
              </w:rPr>
            </w:pPr>
            <w:r>
              <w:rPr>
                <w:rFonts w:hint="eastAsia"/>
                <w:szCs w:val="28"/>
              </w:rPr>
              <w:t>签名日期</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380" w:hRule="atLeast"/>
        </w:trPr>
        <w:tc>
          <w:tcPr>
            <w:tcW w:w="2279" w:type="dxa"/>
            <w:vAlign w:val="center"/>
          </w:tcPr>
          <w:p>
            <w:pPr>
              <w:pStyle w:val="4"/>
              <w:spacing w:before="0" w:line="240" w:lineRule="auto"/>
              <w:ind w:firstLine="0"/>
              <w:jc w:val="center"/>
              <w:rPr>
                <w:szCs w:val="28"/>
              </w:rPr>
            </w:pPr>
          </w:p>
          <w:p>
            <w:pPr>
              <w:pStyle w:val="4"/>
              <w:spacing w:before="0" w:line="240" w:lineRule="auto"/>
              <w:ind w:firstLine="0"/>
              <w:jc w:val="center"/>
              <w:rPr>
                <w:szCs w:val="28"/>
              </w:rPr>
            </w:pPr>
            <w:r>
              <w:rPr>
                <w:rFonts w:hint="eastAsia"/>
                <w:szCs w:val="28"/>
              </w:rPr>
              <w:t>王  营</w:t>
            </w:r>
          </w:p>
          <w:p>
            <w:pPr>
              <w:pStyle w:val="4"/>
              <w:spacing w:before="0" w:line="240" w:lineRule="auto"/>
              <w:ind w:firstLine="0"/>
              <w:jc w:val="center"/>
              <w:rPr>
                <w:szCs w:val="28"/>
              </w:rPr>
            </w:pPr>
          </w:p>
        </w:tc>
        <w:tc>
          <w:tcPr>
            <w:tcW w:w="2279" w:type="dxa"/>
            <w:vAlign w:val="center"/>
          </w:tcPr>
          <w:p>
            <w:pPr>
              <w:pStyle w:val="4"/>
              <w:spacing w:before="0" w:line="240" w:lineRule="auto"/>
              <w:ind w:firstLine="0"/>
              <w:jc w:val="center"/>
              <w:rPr>
                <w:szCs w:val="28"/>
              </w:rPr>
            </w:pPr>
            <w:r>
              <w:rPr>
                <w:rFonts w:hint="eastAsia"/>
                <w:szCs w:val="28"/>
              </w:rPr>
              <w:t>2120150056</w:t>
            </w:r>
          </w:p>
        </w:tc>
        <w:tc>
          <w:tcPr>
            <w:tcW w:w="3063" w:type="dxa"/>
            <w:vAlign w:val="center"/>
          </w:tcPr>
          <w:p>
            <w:pPr>
              <w:pStyle w:val="4"/>
              <w:spacing w:before="0" w:line="240" w:lineRule="auto"/>
              <w:ind w:firstLine="0"/>
              <w:jc w:val="center"/>
              <w:rPr>
                <w:szCs w:val="28"/>
              </w:rPr>
            </w:pPr>
          </w:p>
        </w:tc>
        <w:tc>
          <w:tcPr>
            <w:tcW w:w="1985" w:type="dxa"/>
            <w:vAlign w:val="center"/>
          </w:tcPr>
          <w:p>
            <w:pPr>
              <w:pStyle w:val="4"/>
              <w:spacing w:before="0" w:line="240" w:lineRule="auto"/>
              <w:ind w:firstLine="0"/>
              <w:jc w:val="center"/>
              <w:rPr>
                <w:szCs w:val="28"/>
              </w:rPr>
            </w:pPr>
            <w:r>
              <w:rPr>
                <w:rFonts w:hint="eastAsia"/>
                <w:szCs w:val="28"/>
              </w:rPr>
              <w:t>年 月 日</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400" w:hRule="atLeast"/>
        </w:trPr>
        <w:tc>
          <w:tcPr>
            <w:tcW w:w="2279" w:type="dxa"/>
            <w:vAlign w:val="center"/>
          </w:tcPr>
          <w:p>
            <w:pPr>
              <w:pStyle w:val="4"/>
              <w:spacing w:before="0" w:line="240" w:lineRule="auto"/>
              <w:ind w:firstLine="0"/>
              <w:jc w:val="center"/>
              <w:rPr>
                <w:szCs w:val="28"/>
              </w:rPr>
            </w:pPr>
          </w:p>
          <w:p>
            <w:pPr>
              <w:pStyle w:val="4"/>
              <w:spacing w:before="0" w:line="240" w:lineRule="auto"/>
              <w:ind w:firstLine="0"/>
              <w:jc w:val="center"/>
              <w:rPr>
                <w:szCs w:val="28"/>
              </w:rPr>
            </w:pPr>
            <w:r>
              <w:rPr>
                <w:rFonts w:hint="eastAsia"/>
                <w:szCs w:val="28"/>
              </w:rPr>
              <w:t>王 翊</w:t>
            </w:r>
          </w:p>
          <w:p>
            <w:pPr>
              <w:pStyle w:val="4"/>
              <w:spacing w:before="0" w:line="240" w:lineRule="auto"/>
              <w:ind w:firstLine="0"/>
              <w:jc w:val="center"/>
              <w:rPr>
                <w:szCs w:val="28"/>
              </w:rPr>
            </w:pPr>
          </w:p>
        </w:tc>
        <w:tc>
          <w:tcPr>
            <w:tcW w:w="2279" w:type="dxa"/>
            <w:vAlign w:val="center"/>
          </w:tcPr>
          <w:p>
            <w:pPr>
              <w:pStyle w:val="4"/>
              <w:spacing w:before="0" w:line="240" w:lineRule="auto"/>
              <w:ind w:firstLine="0"/>
              <w:jc w:val="center"/>
              <w:rPr>
                <w:szCs w:val="28"/>
              </w:rPr>
            </w:pPr>
            <w:r>
              <w:rPr>
                <w:rFonts w:hint="eastAsia"/>
                <w:szCs w:val="28"/>
              </w:rPr>
              <w:t>2120150034</w:t>
            </w:r>
          </w:p>
        </w:tc>
        <w:tc>
          <w:tcPr>
            <w:tcW w:w="3063" w:type="dxa"/>
            <w:vAlign w:val="center"/>
          </w:tcPr>
          <w:p>
            <w:pPr>
              <w:pStyle w:val="4"/>
              <w:spacing w:before="0" w:line="240" w:lineRule="auto"/>
              <w:ind w:firstLine="0"/>
              <w:jc w:val="center"/>
              <w:rPr>
                <w:szCs w:val="28"/>
              </w:rPr>
            </w:pPr>
          </w:p>
        </w:tc>
        <w:tc>
          <w:tcPr>
            <w:tcW w:w="1985" w:type="dxa"/>
            <w:vAlign w:val="center"/>
          </w:tcPr>
          <w:p>
            <w:pPr>
              <w:pStyle w:val="4"/>
              <w:spacing w:before="0" w:line="240" w:lineRule="auto"/>
              <w:ind w:firstLine="0"/>
              <w:jc w:val="center"/>
              <w:rPr>
                <w:szCs w:val="28"/>
              </w:rPr>
            </w:pPr>
            <w:r>
              <w:rPr>
                <w:rFonts w:hint="eastAsia"/>
                <w:szCs w:val="28"/>
              </w:rPr>
              <w:t>年 月 日</w:t>
            </w:r>
          </w:p>
        </w:tc>
      </w:tr>
    </w:tbl>
    <w:p>
      <w:pPr>
        <w:pStyle w:val="4"/>
        <w:spacing w:before="120" w:beforeLines="50" w:line="360" w:lineRule="auto"/>
        <w:ind w:firstLine="0"/>
        <w:outlineLvl w:val="1"/>
        <w:rPr>
          <w:b/>
        </w:rPr>
      </w:pPr>
      <w:bookmarkStart w:id="43" w:name="_Toc445822578"/>
      <w:r>
        <w:rPr>
          <w:rFonts w:hint="eastAsia"/>
          <w:b/>
        </w:rPr>
        <w:t>十二、实地查勘期</w:t>
      </w:r>
      <w:bookmarkEnd w:id="43"/>
    </w:p>
    <w:p>
      <w:pPr>
        <w:spacing w:before="50" w:line="360" w:lineRule="auto"/>
        <w:ind w:firstLine="560" w:firstLineChars="200"/>
        <w:rPr>
          <w:rFonts w:eastAsia="仿宋_GB2312"/>
          <w:sz w:val="28"/>
          <w:szCs w:val="28"/>
        </w:rPr>
      </w:pPr>
      <w:r>
        <w:rPr>
          <w:rFonts w:hint="eastAsia" w:eastAsia="仿宋_GB2312"/>
          <w:sz w:val="28"/>
          <w:szCs w:val="28"/>
        </w:rPr>
        <w:t>本次评估实地查勘期为</w:t>
      </w:r>
      <w:r>
        <w:rPr>
          <w:rFonts w:hint="eastAsia" w:eastAsia="仿宋_GB2312"/>
          <w:sz w:val="28"/>
          <w:szCs w:val="28"/>
          <w:lang w:eastAsia="zh-CN"/>
        </w:rPr>
        <w:t>二〇二二年二月二十一日</w:t>
      </w:r>
      <w:r>
        <w:rPr>
          <w:rFonts w:hint="eastAsia" w:eastAsia="仿宋_GB2312"/>
          <w:sz w:val="28"/>
          <w:szCs w:val="28"/>
        </w:rPr>
        <w:t>。</w:t>
      </w:r>
    </w:p>
    <w:p>
      <w:pPr>
        <w:pStyle w:val="4"/>
        <w:spacing w:before="0" w:line="360" w:lineRule="auto"/>
        <w:ind w:firstLine="0"/>
        <w:outlineLvl w:val="1"/>
      </w:pPr>
      <w:bookmarkStart w:id="44" w:name="_Toc445822579"/>
      <w:r>
        <w:rPr>
          <w:rFonts w:hint="eastAsia"/>
          <w:b/>
        </w:rPr>
        <w:t>十三、估价作业日期</w:t>
      </w:r>
      <w:bookmarkEnd w:id="44"/>
    </w:p>
    <w:bookmarkEnd w:id="3"/>
    <w:bookmarkEnd w:id="4"/>
    <w:bookmarkEnd w:id="38"/>
    <w:bookmarkEnd w:id="39"/>
    <w:bookmarkEnd w:id="40"/>
    <w:bookmarkEnd w:id="41"/>
    <w:p>
      <w:pPr>
        <w:spacing w:before="50" w:line="360" w:lineRule="auto"/>
        <w:ind w:firstLine="560" w:firstLineChars="200"/>
        <w:rPr>
          <w:rFonts w:ascii="仿宋_GB2312" w:hAnsi="仿宋_GB2312" w:eastAsia="仿宋_GB2312" w:cs="仿宋_GB2312"/>
          <w:sz w:val="28"/>
          <w:szCs w:val="28"/>
        </w:rPr>
      </w:pPr>
      <w:bookmarkStart w:id="45" w:name="_Toc527920374"/>
      <w:bookmarkStart w:id="46" w:name="_Toc416354300"/>
      <w:bookmarkStart w:id="47" w:name="_Toc416337217"/>
      <w:bookmarkStart w:id="48" w:name="_Toc416340702"/>
      <w:bookmarkStart w:id="49" w:name="_Toc282782349"/>
      <w:r>
        <w:rPr>
          <w:rFonts w:hint="eastAsia" w:eastAsia="仿宋_GB2312"/>
          <w:sz w:val="28"/>
          <w:szCs w:val="28"/>
          <w:lang w:eastAsia="zh-CN"/>
        </w:rPr>
        <w:t>二〇二二年二月二十一日</w:t>
      </w:r>
      <w:r>
        <w:rPr>
          <w:rFonts w:hint="eastAsia" w:eastAsia="仿宋_GB2312"/>
          <w:sz w:val="28"/>
          <w:szCs w:val="28"/>
        </w:rPr>
        <w:t>至</w:t>
      </w:r>
      <w:r>
        <w:rPr>
          <w:rFonts w:hint="eastAsia" w:eastAsia="仿宋_GB2312"/>
          <w:sz w:val="28"/>
          <w:szCs w:val="28"/>
          <w:lang w:eastAsia="zh-CN"/>
        </w:rPr>
        <w:t>二〇二二年二月二十八日</w:t>
      </w:r>
    </w:p>
    <w:p>
      <w:pPr>
        <w:spacing w:before="50" w:line="360" w:lineRule="auto"/>
        <w:ind w:left="630" w:leftChars="300" w:right="544" w:rightChars="259"/>
        <w:jc w:val="right"/>
        <w:rPr>
          <w:rFonts w:eastAsia="仿宋_GB2312"/>
          <w:spacing w:val="-4"/>
          <w:sz w:val="28"/>
          <w:szCs w:val="28"/>
        </w:rPr>
      </w:pPr>
      <w:r>
        <w:rPr>
          <w:rFonts w:hint="eastAsia" w:eastAsia="仿宋_GB2312"/>
          <w:spacing w:val="-4"/>
          <w:sz w:val="28"/>
          <w:szCs w:val="28"/>
        </w:rPr>
        <w:t>辽宁荣邦房地产土地资产评估有限公司</w:t>
      </w:r>
    </w:p>
    <w:p>
      <w:pPr>
        <w:spacing w:line="360" w:lineRule="auto"/>
        <w:ind w:right="544"/>
        <w:rPr>
          <w:rFonts w:eastAsia="仿宋_GB2312"/>
          <w:spacing w:val="-4"/>
          <w:sz w:val="28"/>
          <w:szCs w:val="28"/>
        </w:rPr>
      </w:pPr>
    </w:p>
    <w:p>
      <w:pPr>
        <w:spacing w:line="360" w:lineRule="auto"/>
        <w:ind w:right="544" w:firstLine="4488" w:firstLineChars="1650"/>
        <w:rPr>
          <w:rFonts w:eastAsia="仿宋_GB2312"/>
          <w:spacing w:val="-4"/>
          <w:sz w:val="28"/>
          <w:szCs w:val="28"/>
        </w:rPr>
      </w:pPr>
      <w:r>
        <w:rPr>
          <w:rFonts w:hint="eastAsia" w:eastAsia="仿宋_GB2312"/>
          <w:spacing w:val="-4"/>
          <w:sz w:val="28"/>
          <w:szCs w:val="28"/>
        </w:rPr>
        <w:t>法定代表人：</w:t>
      </w:r>
    </w:p>
    <w:p>
      <w:pPr>
        <w:spacing w:line="360" w:lineRule="auto"/>
        <w:ind w:right="544" w:firstLine="3672" w:firstLineChars="1350"/>
        <w:rPr>
          <w:rFonts w:eastAsia="仿宋_GB2312"/>
          <w:spacing w:val="-4"/>
          <w:sz w:val="28"/>
          <w:szCs w:val="28"/>
        </w:rPr>
      </w:pPr>
    </w:p>
    <w:p>
      <w:pPr>
        <w:spacing w:before="50" w:line="360" w:lineRule="auto"/>
        <w:ind w:firstLine="4317" w:firstLineChars="1542"/>
        <w:rPr>
          <w:sz w:val="36"/>
          <w:szCs w:val="36"/>
        </w:rPr>
      </w:pPr>
      <w:r>
        <w:rPr>
          <w:rFonts w:hint="eastAsia" w:eastAsia="仿宋_GB2312"/>
          <w:sz w:val="28"/>
          <w:szCs w:val="28"/>
          <w:lang w:eastAsia="zh-CN"/>
        </w:rPr>
        <w:t>二〇二二年二月二十八日</w:t>
      </w:r>
      <w:r>
        <w:rPr>
          <w:sz w:val="36"/>
          <w:szCs w:val="36"/>
        </w:rPr>
        <w:br w:type="page"/>
      </w:r>
      <w:bookmarkEnd w:id="45"/>
      <w:bookmarkEnd w:id="46"/>
      <w:bookmarkEnd w:id="47"/>
      <w:bookmarkEnd w:id="48"/>
      <w:bookmarkEnd w:id="49"/>
      <w:bookmarkStart w:id="50" w:name="_Toc445822587"/>
      <w:r>
        <w:rPr>
          <w:rFonts w:hint="eastAsia"/>
          <w:sz w:val="36"/>
          <w:szCs w:val="36"/>
          <w:lang w:val="en-US" w:eastAsia="zh-CN"/>
        </w:rPr>
        <w:t xml:space="preserve">                   </w:t>
      </w:r>
      <w:r>
        <w:rPr>
          <w:b/>
          <w:sz w:val="36"/>
          <w:szCs w:val="36"/>
        </w:rPr>
        <w:t>附    件</w:t>
      </w:r>
      <w:bookmarkEnd w:id="50"/>
    </w:p>
    <w:p>
      <w:pPr>
        <w:tabs>
          <w:tab w:val="left" w:pos="900"/>
          <w:tab w:val="left" w:pos="7965"/>
        </w:tabs>
        <w:adjustRightInd/>
        <w:spacing w:line="360" w:lineRule="auto"/>
        <w:ind w:firstLine="560" w:firstLineChars="200"/>
        <w:textAlignment w:val="auto"/>
        <w:rPr>
          <w:rFonts w:eastAsia="仿宋_GB2312"/>
          <w:sz w:val="28"/>
          <w:szCs w:val="28"/>
        </w:rPr>
      </w:pPr>
      <w:r>
        <w:rPr>
          <w:rFonts w:hint="eastAsia" w:eastAsia="仿宋_GB2312"/>
          <w:sz w:val="28"/>
          <w:szCs w:val="28"/>
        </w:rPr>
        <w:t>1、</w:t>
      </w:r>
      <w:r>
        <w:rPr>
          <w:rFonts w:eastAsia="仿宋_GB2312"/>
          <w:sz w:val="28"/>
          <w:szCs w:val="28"/>
        </w:rPr>
        <w:t>《营口市站前区人民法院委托书》复印件</w:t>
      </w:r>
      <w:r>
        <w:rPr>
          <w:rFonts w:hint="eastAsia" w:eastAsia="仿宋_GB2312"/>
          <w:sz w:val="28"/>
          <w:szCs w:val="28"/>
        </w:rPr>
        <w:t>；</w:t>
      </w:r>
    </w:p>
    <w:p>
      <w:pPr>
        <w:tabs>
          <w:tab w:val="left" w:pos="900"/>
          <w:tab w:val="left" w:pos="7965"/>
        </w:tabs>
        <w:adjustRightInd/>
        <w:spacing w:line="360" w:lineRule="auto"/>
        <w:ind w:firstLine="560" w:firstLineChars="200"/>
        <w:textAlignment w:val="auto"/>
        <w:rPr>
          <w:rFonts w:eastAsia="仿宋_GB2312"/>
          <w:sz w:val="28"/>
          <w:szCs w:val="28"/>
        </w:rPr>
      </w:pPr>
      <w:r>
        <w:rPr>
          <w:rFonts w:hint="eastAsia" w:eastAsia="仿宋_GB2312"/>
          <w:sz w:val="28"/>
          <w:szCs w:val="28"/>
        </w:rPr>
        <w:t>2、房权证、同意贷款书复印件；</w:t>
      </w:r>
    </w:p>
    <w:p>
      <w:pPr>
        <w:tabs>
          <w:tab w:val="left" w:pos="900"/>
          <w:tab w:val="left" w:pos="7965"/>
        </w:tabs>
        <w:adjustRightInd/>
        <w:spacing w:line="360" w:lineRule="auto"/>
        <w:ind w:firstLine="560" w:firstLineChars="200"/>
        <w:textAlignment w:val="auto"/>
        <w:rPr>
          <w:rFonts w:eastAsia="仿宋_GB2312"/>
          <w:sz w:val="28"/>
          <w:szCs w:val="28"/>
        </w:rPr>
      </w:pPr>
      <w:r>
        <w:rPr>
          <w:rFonts w:hint="eastAsia" w:eastAsia="仿宋_GB2312"/>
          <w:sz w:val="28"/>
          <w:szCs w:val="28"/>
        </w:rPr>
        <w:t>3、鉴定机构承诺书；</w:t>
      </w:r>
    </w:p>
    <w:p>
      <w:pPr>
        <w:tabs>
          <w:tab w:val="left" w:pos="900"/>
          <w:tab w:val="left" w:pos="7965"/>
        </w:tabs>
        <w:adjustRightInd/>
        <w:spacing w:line="360" w:lineRule="auto"/>
        <w:ind w:firstLine="560" w:firstLineChars="200"/>
        <w:textAlignment w:val="auto"/>
        <w:rPr>
          <w:rFonts w:eastAsia="仿宋_GB2312"/>
          <w:sz w:val="28"/>
          <w:szCs w:val="28"/>
        </w:rPr>
      </w:pPr>
      <w:r>
        <w:rPr>
          <w:rFonts w:hint="eastAsia" w:eastAsia="仿宋_GB2312"/>
          <w:sz w:val="28"/>
          <w:szCs w:val="28"/>
        </w:rPr>
        <w:t>4. 估价对象实地照片；</w:t>
      </w:r>
    </w:p>
    <w:p>
      <w:pPr>
        <w:tabs>
          <w:tab w:val="left" w:pos="900"/>
          <w:tab w:val="left" w:pos="7965"/>
        </w:tabs>
        <w:adjustRightInd/>
        <w:spacing w:line="360" w:lineRule="auto"/>
        <w:ind w:firstLine="560" w:firstLineChars="200"/>
        <w:textAlignment w:val="auto"/>
        <w:rPr>
          <w:rFonts w:eastAsia="仿宋_GB2312"/>
          <w:sz w:val="28"/>
          <w:szCs w:val="28"/>
        </w:rPr>
      </w:pPr>
      <w:r>
        <w:rPr>
          <w:rFonts w:hint="eastAsia" w:eastAsia="仿宋_GB2312"/>
          <w:sz w:val="28"/>
          <w:szCs w:val="28"/>
        </w:rPr>
        <w:t>5、</w:t>
      </w:r>
      <w:r>
        <w:rPr>
          <w:rFonts w:eastAsia="仿宋_GB2312"/>
          <w:color w:val="000000" w:themeColor="text1"/>
          <w:sz w:val="28"/>
          <w:szCs w:val="28"/>
        </w:rPr>
        <w:t>估价</w:t>
      </w:r>
      <w:r>
        <w:rPr>
          <w:rFonts w:eastAsia="仿宋_GB2312"/>
          <w:sz w:val="28"/>
          <w:szCs w:val="28"/>
        </w:rPr>
        <w:t>对象位置示意图</w:t>
      </w:r>
      <w:r>
        <w:rPr>
          <w:rFonts w:hint="eastAsia" w:eastAsia="仿宋_GB2312"/>
          <w:sz w:val="28"/>
          <w:szCs w:val="28"/>
        </w:rPr>
        <w:t>；</w:t>
      </w:r>
    </w:p>
    <w:p>
      <w:pPr>
        <w:tabs>
          <w:tab w:val="left" w:pos="900"/>
          <w:tab w:val="left" w:pos="7965"/>
        </w:tabs>
        <w:adjustRightInd/>
        <w:spacing w:line="360" w:lineRule="auto"/>
        <w:ind w:firstLine="560" w:firstLineChars="200"/>
        <w:textAlignment w:val="auto"/>
        <w:rPr>
          <w:rFonts w:eastAsia="仿宋_GB2312"/>
          <w:sz w:val="28"/>
          <w:szCs w:val="28"/>
        </w:rPr>
      </w:pPr>
      <w:r>
        <w:rPr>
          <w:rFonts w:hint="eastAsia" w:eastAsia="仿宋_GB2312"/>
          <w:sz w:val="28"/>
          <w:szCs w:val="28"/>
        </w:rPr>
        <w:t>6、</w:t>
      </w:r>
      <w:r>
        <w:rPr>
          <w:rFonts w:eastAsia="仿宋_GB2312"/>
          <w:sz w:val="28"/>
          <w:szCs w:val="28"/>
        </w:rPr>
        <w:t>房地产估价机构企业法人营业执照复印件；</w:t>
      </w:r>
    </w:p>
    <w:p>
      <w:pPr>
        <w:tabs>
          <w:tab w:val="left" w:pos="900"/>
          <w:tab w:val="left" w:pos="7965"/>
        </w:tabs>
        <w:adjustRightInd/>
        <w:spacing w:line="360" w:lineRule="auto"/>
        <w:ind w:firstLine="560" w:firstLineChars="200"/>
        <w:textAlignment w:val="auto"/>
        <w:rPr>
          <w:rFonts w:eastAsia="仿宋_GB2312"/>
          <w:sz w:val="28"/>
          <w:szCs w:val="28"/>
        </w:rPr>
      </w:pPr>
      <w:r>
        <w:rPr>
          <w:rFonts w:hint="eastAsia" w:eastAsia="仿宋_GB2312"/>
          <w:sz w:val="28"/>
          <w:szCs w:val="28"/>
        </w:rPr>
        <w:t>7、</w:t>
      </w:r>
      <w:r>
        <w:rPr>
          <w:rFonts w:eastAsia="仿宋_GB2312"/>
          <w:sz w:val="28"/>
          <w:szCs w:val="28"/>
        </w:rPr>
        <w:t>房地产估价机构资质证书复印件；</w:t>
      </w:r>
    </w:p>
    <w:p>
      <w:pPr>
        <w:tabs>
          <w:tab w:val="left" w:pos="900"/>
          <w:tab w:val="left" w:pos="7965"/>
        </w:tabs>
        <w:adjustRightInd/>
        <w:spacing w:line="360" w:lineRule="auto"/>
        <w:ind w:firstLine="560" w:firstLineChars="200"/>
        <w:textAlignment w:val="auto"/>
        <w:rPr>
          <w:rFonts w:eastAsia="仿宋_GB2312"/>
          <w:sz w:val="28"/>
          <w:szCs w:val="28"/>
        </w:rPr>
      </w:pPr>
      <w:r>
        <w:rPr>
          <w:rFonts w:hint="eastAsia" w:eastAsia="仿宋_GB2312"/>
          <w:sz w:val="28"/>
          <w:szCs w:val="28"/>
        </w:rPr>
        <w:t>8、</w:t>
      </w:r>
      <w:r>
        <w:rPr>
          <w:rFonts w:eastAsia="仿宋_GB2312"/>
          <w:sz w:val="28"/>
          <w:szCs w:val="28"/>
        </w:rPr>
        <w:t>注册房地产估价师注册证书复印件</w:t>
      </w:r>
      <w:r>
        <w:rPr>
          <w:rFonts w:hint="eastAsia" w:eastAsia="仿宋_GB2312"/>
          <w:sz w:val="28"/>
          <w:szCs w:val="28"/>
        </w:rPr>
        <w:t>。</w:t>
      </w:r>
    </w:p>
    <w:sectPr>
      <w:footerReference r:id="rId7" w:type="default"/>
      <w:pgSz w:w="11906" w:h="16838"/>
      <w:pgMar w:top="1440" w:right="1080" w:bottom="1440" w:left="1080" w:header="907" w:footer="851" w:gutter="284"/>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体">
    <w:altName w:val="宋体"/>
    <w:panose1 w:val="00000000000000000000"/>
    <w:charset w:val="86"/>
    <w:family w:val="roman"/>
    <w:pitch w:val="default"/>
    <w:sig w:usb0="00000000" w:usb1="00000000" w:usb2="00000010" w:usb3="00000000" w:csb0="00040000" w:csb1="00000000"/>
  </w:font>
  <w:font w:name="Algerian">
    <w:panose1 w:val="04020705040A02060702"/>
    <w:charset w:val="00"/>
    <w:family w:val="decorative"/>
    <w:pitch w:val="default"/>
    <w:sig w:usb0="00000003"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楷体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2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rPr>
        <w:rStyle w:val="38"/>
      </w:rPr>
      <w:instrText xml:space="preserve"> PAGE </w:instrText>
    </w:r>
    <w:r>
      <w:fldChar w:fldCharType="separate"/>
    </w:r>
    <w:r>
      <w:rPr>
        <w:rStyle w:val="38"/>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ascii="宋体" w:hAnsi="宋体"/>
        <w:szCs w:val="18"/>
      </w:rPr>
    </w:pPr>
    <w:r>
      <w:rPr>
        <w:rFonts w:hint="eastAsia"/>
      </w:rPr>
      <w:t>辽宁荣邦房地产土地资产评估有限公司                                         辽荣房评报字[202</w:t>
    </w:r>
    <w:r>
      <w:rPr>
        <w:rFonts w:hint="eastAsia"/>
        <w:lang w:val="en-US" w:eastAsia="zh-CN"/>
      </w:rPr>
      <w:t>2</w:t>
    </w:r>
    <w:r>
      <w:rPr>
        <w:rFonts w:hint="eastAsia"/>
      </w:rPr>
      <w:t>]B0</w:t>
    </w:r>
    <w:r>
      <w:rPr>
        <w:rFonts w:hint="eastAsia"/>
        <w:lang w:val="en-US" w:eastAsia="zh-CN"/>
      </w:rPr>
      <w:t>26</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956E57"/>
    <w:multiLevelType w:val="multilevel"/>
    <w:tmpl w:val="0C956E57"/>
    <w:lvl w:ilvl="0" w:tentative="0">
      <w:start w:val="1"/>
      <w:numFmt w:val="decimal"/>
      <w:lvlText w:val="%1."/>
      <w:lvlJc w:val="left"/>
      <w:pPr>
        <w:tabs>
          <w:tab w:val="left" w:pos="845"/>
        </w:tabs>
        <w:ind w:left="845" w:hanging="420"/>
      </w:pPr>
    </w:lvl>
    <w:lvl w:ilvl="1" w:tentative="0">
      <w:start w:val="1"/>
      <w:numFmt w:val="lowerLetter"/>
      <w:lvlText w:val="%2)"/>
      <w:lvlJc w:val="left"/>
      <w:pPr>
        <w:tabs>
          <w:tab w:val="left" w:pos="1265"/>
        </w:tabs>
        <w:ind w:left="1265" w:hanging="420"/>
      </w:p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abstractNum w:abstractNumId="1">
    <w:nsid w:val="0F014E51"/>
    <w:multiLevelType w:val="singleLevel"/>
    <w:tmpl w:val="0F014E51"/>
    <w:lvl w:ilvl="0" w:tentative="0">
      <w:start w:val="1"/>
      <w:numFmt w:val="chineseCountingThousand"/>
      <w:pStyle w:val="3"/>
      <w:lvlText w:val="%1、  "/>
      <w:lvlJc w:val="left"/>
      <w:pPr>
        <w:tabs>
          <w:tab w:val="left" w:pos="1004"/>
        </w:tabs>
        <w:ind w:left="644" w:hanging="360"/>
      </w:pPr>
      <w:rPr>
        <w:rFonts w:hint="eastAsia"/>
      </w:rPr>
    </w:lvl>
  </w:abstractNum>
  <w:abstractNum w:abstractNumId="2">
    <w:nsid w:val="1A584848"/>
    <w:multiLevelType w:val="multilevel"/>
    <w:tmpl w:val="1A584848"/>
    <w:lvl w:ilvl="0" w:tentative="0">
      <w:start w:val="1"/>
      <w:numFmt w:val="upperLetter"/>
      <w:pStyle w:val="6"/>
      <w:lvlText w:val="%1、"/>
      <w:lvlJc w:val="left"/>
      <w:pPr>
        <w:tabs>
          <w:tab w:val="left" w:pos="1280"/>
        </w:tabs>
        <w:ind w:left="1280" w:hanging="720"/>
      </w:pPr>
      <w:rPr>
        <w:rFonts w:hint="eastAsia"/>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3">
    <w:nsid w:val="2001082D"/>
    <w:multiLevelType w:val="singleLevel"/>
    <w:tmpl w:val="2001082D"/>
    <w:lvl w:ilvl="0" w:tentative="0">
      <w:start w:val="1"/>
      <w:numFmt w:val="chineseCountingThousand"/>
      <w:lvlText w:val="%1、"/>
      <w:lvlJc w:val="left"/>
      <w:pPr>
        <w:tabs>
          <w:tab w:val="left" w:pos="420"/>
        </w:tabs>
        <w:ind w:left="420" w:hanging="420"/>
      </w:pPr>
      <w:rPr>
        <w:rFonts w:hint="eastAsia"/>
      </w:rPr>
    </w:lvl>
  </w:abstractNum>
  <w:abstractNum w:abstractNumId="4">
    <w:nsid w:val="28464B2E"/>
    <w:multiLevelType w:val="multilevel"/>
    <w:tmpl w:val="28464B2E"/>
    <w:lvl w:ilvl="0" w:tentative="0">
      <w:start w:val="1"/>
      <w:numFmt w:val="chineseCountingThousand"/>
      <w:lvlText w:val="(%1)"/>
      <w:lvlJc w:val="left"/>
      <w:pPr>
        <w:tabs>
          <w:tab w:val="left" w:pos="420"/>
        </w:tabs>
        <w:ind w:left="420" w:hanging="420"/>
      </w:pPr>
      <w:rPr>
        <w:rFonts w:hint="default"/>
      </w:rPr>
    </w:lvl>
    <w:lvl w:ilvl="1" w:tentative="0">
      <w:start w:val="1"/>
      <w:numFmt w:val="decimal"/>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E8C64AC"/>
    <w:multiLevelType w:val="singleLevel"/>
    <w:tmpl w:val="2E8C64AC"/>
    <w:lvl w:ilvl="0" w:tentative="0">
      <w:start w:val="6"/>
      <w:numFmt w:val="upperLetter"/>
      <w:pStyle w:val="2"/>
      <w:lvlText w:val="%1、 "/>
      <w:legacy w:legacy="1" w:legacySpace="0" w:legacyIndent="552"/>
      <w:lvlJc w:val="left"/>
      <w:pPr>
        <w:ind w:left="1272" w:hanging="552"/>
      </w:pPr>
      <w:rPr>
        <w:rFonts w:hint="eastAsia" w:ascii="仿宋_GB2312" w:eastAsia="仿宋_GB2312"/>
        <w:b w:val="0"/>
        <w:i w:val="0"/>
        <w:sz w:val="28"/>
        <w:u w:val="none"/>
      </w:rPr>
    </w:lvl>
  </w:abstractNum>
  <w:abstractNum w:abstractNumId="6">
    <w:nsid w:val="34A13066"/>
    <w:multiLevelType w:val="multilevel"/>
    <w:tmpl w:val="34A13066"/>
    <w:lvl w:ilvl="0" w:tentative="0">
      <w:start w:val="1"/>
      <w:numFmt w:val="decimal"/>
      <w:lvlText w:val="%1."/>
      <w:lvlJc w:val="left"/>
      <w:pPr>
        <w:tabs>
          <w:tab w:val="left" w:pos="1155"/>
        </w:tabs>
        <w:ind w:left="1155" w:hanging="420"/>
      </w:pPr>
    </w:lvl>
    <w:lvl w:ilvl="1" w:tentative="0">
      <w:start w:val="1"/>
      <w:numFmt w:val="decimal"/>
      <w:lvlText w:val="%2、"/>
      <w:lvlJc w:val="left"/>
      <w:pPr>
        <w:tabs>
          <w:tab w:val="left" w:pos="1700"/>
        </w:tabs>
        <w:ind w:left="1700" w:hanging="720"/>
      </w:pPr>
      <w:rPr>
        <w:rFonts w:hint="default"/>
      </w:r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7">
    <w:nsid w:val="353E3912"/>
    <w:multiLevelType w:val="multilevel"/>
    <w:tmpl w:val="353E3912"/>
    <w:lvl w:ilvl="0" w:tentative="0">
      <w:start w:val="1"/>
      <w:numFmt w:val="decimal"/>
      <w:lvlText w:val="%1."/>
      <w:lvlJc w:val="left"/>
      <w:pPr>
        <w:tabs>
          <w:tab w:val="left" w:pos="840"/>
        </w:tabs>
        <w:ind w:left="840" w:hanging="420"/>
      </w:pPr>
      <w:rPr>
        <w:rFonts w:hint="eastAsia"/>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3F694F06"/>
    <w:multiLevelType w:val="singleLevel"/>
    <w:tmpl w:val="3F694F06"/>
    <w:lvl w:ilvl="0" w:tentative="0">
      <w:start w:val="1"/>
      <w:numFmt w:val="decimal"/>
      <w:pStyle w:val="5"/>
      <w:lvlText w:val="%1、"/>
      <w:lvlJc w:val="left"/>
      <w:pPr>
        <w:tabs>
          <w:tab w:val="left" w:pos="425"/>
        </w:tabs>
        <w:ind w:left="425" w:hanging="425"/>
      </w:pPr>
      <w:rPr>
        <w:rFonts w:hint="eastAsia"/>
      </w:rPr>
    </w:lvl>
  </w:abstractNum>
  <w:abstractNum w:abstractNumId="9">
    <w:nsid w:val="45894D0F"/>
    <w:multiLevelType w:val="multilevel"/>
    <w:tmpl w:val="45894D0F"/>
    <w:lvl w:ilvl="0" w:tentative="0">
      <w:start w:val="1"/>
      <w:numFmt w:val="decimal"/>
      <w:lvlText w:val="%1."/>
      <w:lvlJc w:val="left"/>
      <w:pPr>
        <w:tabs>
          <w:tab w:val="left" w:pos="980"/>
        </w:tabs>
        <w:ind w:left="980" w:hanging="420"/>
      </w:pPr>
      <w:rPr>
        <w:rFonts w:hint="default" w:ascii="Times New Roman" w:hAnsi="Times New Roman" w:cs="Times New Roman"/>
        <w:sz w:val="28"/>
        <w:szCs w:val="28"/>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10">
    <w:nsid w:val="49A049DD"/>
    <w:multiLevelType w:val="multilevel"/>
    <w:tmpl w:val="49A049DD"/>
    <w:lvl w:ilvl="0" w:tentative="0">
      <w:start w:val="1"/>
      <w:numFmt w:val="decimal"/>
      <w:lvlText w:val="%1."/>
      <w:lvlJc w:val="left"/>
      <w:pPr>
        <w:tabs>
          <w:tab w:val="left" w:pos="988"/>
        </w:tabs>
        <w:ind w:left="988" w:hanging="420"/>
      </w:pPr>
    </w:lvl>
    <w:lvl w:ilvl="1" w:tentative="0">
      <w:start w:val="1"/>
      <w:numFmt w:val="lowerLetter"/>
      <w:lvlText w:val="%2)"/>
      <w:lvlJc w:val="left"/>
      <w:pPr>
        <w:tabs>
          <w:tab w:val="left" w:pos="1408"/>
        </w:tabs>
        <w:ind w:left="1408" w:hanging="420"/>
      </w:pPr>
    </w:lvl>
    <w:lvl w:ilvl="2" w:tentative="0">
      <w:start w:val="1"/>
      <w:numFmt w:val="lowerRoman"/>
      <w:lvlText w:val="%3."/>
      <w:lvlJc w:val="right"/>
      <w:pPr>
        <w:tabs>
          <w:tab w:val="left" w:pos="1828"/>
        </w:tabs>
        <w:ind w:left="1828" w:hanging="420"/>
      </w:pPr>
    </w:lvl>
    <w:lvl w:ilvl="3" w:tentative="0">
      <w:start w:val="1"/>
      <w:numFmt w:val="decimal"/>
      <w:lvlText w:val="%4."/>
      <w:lvlJc w:val="left"/>
      <w:pPr>
        <w:tabs>
          <w:tab w:val="left" w:pos="2248"/>
        </w:tabs>
        <w:ind w:left="2248" w:hanging="420"/>
      </w:pPr>
    </w:lvl>
    <w:lvl w:ilvl="4" w:tentative="0">
      <w:start w:val="1"/>
      <w:numFmt w:val="lowerLetter"/>
      <w:lvlText w:val="%5)"/>
      <w:lvlJc w:val="left"/>
      <w:pPr>
        <w:tabs>
          <w:tab w:val="left" w:pos="2668"/>
        </w:tabs>
        <w:ind w:left="2668" w:hanging="420"/>
      </w:pPr>
    </w:lvl>
    <w:lvl w:ilvl="5" w:tentative="0">
      <w:start w:val="1"/>
      <w:numFmt w:val="lowerRoman"/>
      <w:lvlText w:val="%6."/>
      <w:lvlJc w:val="right"/>
      <w:pPr>
        <w:tabs>
          <w:tab w:val="left" w:pos="3088"/>
        </w:tabs>
        <w:ind w:left="3088" w:hanging="420"/>
      </w:pPr>
    </w:lvl>
    <w:lvl w:ilvl="6" w:tentative="0">
      <w:start w:val="1"/>
      <w:numFmt w:val="decimal"/>
      <w:lvlText w:val="%7."/>
      <w:lvlJc w:val="left"/>
      <w:pPr>
        <w:tabs>
          <w:tab w:val="left" w:pos="3508"/>
        </w:tabs>
        <w:ind w:left="3508" w:hanging="420"/>
      </w:pPr>
    </w:lvl>
    <w:lvl w:ilvl="7" w:tentative="0">
      <w:start w:val="1"/>
      <w:numFmt w:val="lowerLetter"/>
      <w:lvlText w:val="%8)"/>
      <w:lvlJc w:val="left"/>
      <w:pPr>
        <w:tabs>
          <w:tab w:val="left" w:pos="3928"/>
        </w:tabs>
        <w:ind w:left="3928" w:hanging="420"/>
      </w:pPr>
    </w:lvl>
    <w:lvl w:ilvl="8" w:tentative="0">
      <w:start w:val="1"/>
      <w:numFmt w:val="lowerRoman"/>
      <w:lvlText w:val="%9."/>
      <w:lvlJc w:val="right"/>
      <w:pPr>
        <w:tabs>
          <w:tab w:val="left" w:pos="4348"/>
        </w:tabs>
        <w:ind w:left="4348" w:hanging="420"/>
      </w:pPr>
    </w:lvl>
  </w:abstractNum>
  <w:abstractNum w:abstractNumId="11">
    <w:nsid w:val="4A7C3C31"/>
    <w:multiLevelType w:val="multilevel"/>
    <w:tmpl w:val="4A7C3C31"/>
    <w:lvl w:ilvl="0" w:tentative="0">
      <w:start w:val="1"/>
      <w:numFmt w:val="japaneseCounting"/>
      <w:lvlText w:val="（%1）"/>
      <w:lvlJc w:val="left"/>
      <w:pPr>
        <w:ind w:left="885" w:hanging="885"/>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7354974"/>
    <w:multiLevelType w:val="multilevel"/>
    <w:tmpl w:val="57354974"/>
    <w:lvl w:ilvl="0" w:tentative="0">
      <w:start w:val="1"/>
      <w:numFmt w:val="decimal"/>
      <w:lvlText w:val="%1."/>
      <w:lvlJc w:val="left"/>
      <w:pPr>
        <w:tabs>
          <w:tab w:val="left" w:pos="980"/>
        </w:tabs>
        <w:ind w:left="980" w:hanging="420"/>
      </w:p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5"/>
  </w:num>
  <w:num w:numId="2">
    <w:abstractNumId w:val="1"/>
  </w:num>
  <w:num w:numId="3">
    <w:abstractNumId w:val="8"/>
  </w:num>
  <w:num w:numId="4">
    <w:abstractNumId w:val="2"/>
  </w:num>
  <w:num w:numId="5">
    <w:abstractNumId w:val="7"/>
  </w:num>
  <w:num w:numId="6">
    <w:abstractNumId w:val="0"/>
  </w:num>
  <w:num w:numId="7">
    <w:abstractNumId w:val="3"/>
  </w:num>
  <w:num w:numId="8">
    <w:abstractNumId w:val="11"/>
  </w:num>
  <w:num w:numId="9">
    <w:abstractNumId w:val="6"/>
  </w:num>
  <w:num w:numId="10">
    <w:abstractNumId w:val="4"/>
  </w:num>
  <w:num w:numId="11">
    <w:abstractNumId w:val="1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05"/>
  <w:drawingGridVerticalSpacing w:val="14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2"/>
  </w:compat>
  <w:rsids>
    <w:rsidRoot w:val="0016764D"/>
    <w:rsid w:val="00000823"/>
    <w:rsid w:val="0000129B"/>
    <w:rsid w:val="000016B1"/>
    <w:rsid w:val="000017C7"/>
    <w:rsid w:val="000019D2"/>
    <w:rsid w:val="00001C9B"/>
    <w:rsid w:val="00002564"/>
    <w:rsid w:val="0000287A"/>
    <w:rsid w:val="00003991"/>
    <w:rsid w:val="00004083"/>
    <w:rsid w:val="0000445A"/>
    <w:rsid w:val="0000543E"/>
    <w:rsid w:val="00005B60"/>
    <w:rsid w:val="00006353"/>
    <w:rsid w:val="000070BF"/>
    <w:rsid w:val="00007336"/>
    <w:rsid w:val="00007365"/>
    <w:rsid w:val="00007534"/>
    <w:rsid w:val="00007DF8"/>
    <w:rsid w:val="00010985"/>
    <w:rsid w:val="00011B49"/>
    <w:rsid w:val="000122C1"/>
    <w:rsid w:val="00013A4A"/>
    <w:rsid w:val="00013DD6"/>
    <w:rsid w:val="00013EED"/>
    <w:rsid w:val="00014F80"/>
    <w:rsid w:val="000154E4"/>
    <w:rsid w:val="00016C15"/>
    <w:rsid w:val="000208FA"/>
    <w:rsid w:val="000210E5"/>
    <w:rsid w:val="000212AA"/>
    <w:rsid w:val="00021403"/>
    <w:rsid w:val="00021634"/>
    <w:rsid w:val="00021E7D"/>
    <w:rsid w:val="00022167"/>
    <w:rsid w:val="000221F8"/>
    <w:rsid w:val="000224B2"/>
    <w:rsid w:val="000230DC"/>
    <w:rsid w:val="0002344B"/>
    <w:rsid w:val="000244E6"/>
    <w:rsid w:val="00024786"/>
    <w:rsid w:val="000249EC"/>
    <w:rsid w:val="00026586"/>
    <w:rsid w:val="0002659F"/>
    <w:rsid w:val="000266D1"/>
    <w:rsid w:val="000267F2"/>
    <w:rsid w:val="000272EC"/>
    <w:rsid w:val="00027DA7"/>
    <w:rsid w:val="000307C6"/>
    <w:rsid w:val="00030F60"/>
    <w:rsid w:val="000320EF"/>
    <w:rsid w:val="000322CC"/>
    <w:rsid w:val="00032FD8"/>
    <w:rsid w:val="00033440"/>
    <w:rsid w:val="00033B53"/>
    <w:rsid w:val="00034359"/>
    <w:rsid w:val="0003439D"/>
    <w:rsid w:val="0003456C"/>
    <w:rsid w:val="00034FD7"/>
    <w:rsid w:val="000360B1"/>
    <w:rsid w:val="000365A9"/>
    <w:rsid w:val="000370C6"/>
    <w:rsid w:val="00037B16"/>
    <w:rsid w:val="000408E5"/>
    <w:rsid w:val="00040D34"/>
    <w:rsid w:val="000419F6"/>
    <w:rsid w:val="00041A3F"/>
    <w:rsid w:val="00042273"/>
    <w:rsid w:val="0004248F"/>
    <w:rsid w:val="000424D7"/>
    <w:rsid w:val="0004317A"/>
    <w:rsid w:val="00043630"/>
    <w:rsid w:val="00043687"/>
    <w:rsid w:val="000437EB"/>
    <w:rsid w:val="00043EE9"/>
    <w:rsid w:val="00043FBA"/>
    <w:rsid w:val="000448DE"/>
    <w:rsid w:val="00045480"/>
    <w:rsid w:val="00045636"/>
    <w:rsid w:val="00045739"/>
    <w:rsid w:val="00046264"/>
    <w:rsid w:val="00046926"/>
    <w:rsid w:val="00047ABE"/>
    <w:rsid w:val="000507F9"/>
    <w:rsid w:val="00050A6C"/>
    <w:rsid w:val="0005150B"/>
    <w:rsid w:val="00051845"/>
    <w:rsid w:val="00051A73"/>
    <w:rsid w:val="00052D77"/>
    <w:rsid w:val="00054A61"/>
    <w:rsid w:val="00054EEB"/>
    <w:rsid w:val="000550DB"/>
    <w:rsid w:val="00055A63"/>
    <w:rsid w:val="00055BB2"/>
    <w:rsid w:val="000568FD"/>
    <w:rsid w:val="00056E58"/>
    <w:rsid w:val="00056F26"/>
    <w:rsid w:val="00057119"/>
    <w:rsid w:val="00060071"/>
    <w:rsid w:val="00060A15"/>
    <w:rsid w:val="00061B58"/>
    <w:rsid w:val="00061D9F"/>
    <w:rsid w:val="000629B9"/>
    <w:rsid w:val="000629F8"/>
    <w:rsid w:val="00062A19"/>
    <w:rsid w:val="00062B16"/>
    <w:rsid w:val="0006322F"/>
    <w:rsid w:val="00063C3F"/>
    <w:rsid w:val="000640F2"/>
    <w:rsid w:val="00064504"/>
    <w:rsid w:val="000650A2"/>
    <w:rsid w:val="000651CE"/>
    <w:rsid w:val="00065678"/>
    <w:rsid w:val="00067942"/>
    <w:rsid w:val="00067A16"/>
    <w:rsid w:val="00067AB1"/>
    <w:rsid w:val="000709A4"/>
    <w:rsid w:val="00070F34"/>
    <w:rsid w:val="0007123B"/>
    <w:rsid w:val="000717C8"/>
    <w:rsid w:val="00071842"/>
    <w:rsid w:val="00071C78"/>
    <w:rsid w:val="00072383"/>
    <w:rsid w:val="00072D62"/>
    <w:rsid w:val="0007335C"/>
    <w:rsid w:val="000734CA"/>
    <w:rsid w:val="00074193"/>
    <w:rsid w:val="00074225"/>
    <w:rsid w:val="000749BC"/>
    <w:rsid w:val="00074B51"/>
    <w:rsid w:val="00075663"/>
    <w:rsid w:val="00075825"/>
    <w:rsid w:val="00075C9D"/>
    <w:rsid w:val="00075EF8"/>
    <w:rsid w:val="000768FA"/>
    <w:rsid w:val="000769DC"/>
    <w:rsid w:val="000769E7"/>
    <w:rsid w:val="00076A29"/>
    <w:rsid w:val="00076F8D"/>
    <w:rsid w:val="0007708B"/>
    <w:rsid w:val="00077459"/>
    <w:rsid w:val="00077F4D"/>
    <w:rsid w:val="00080299"/>
    <w:rsid w:val="000802BE"/>
    <w:rsid w:val="00080684"/>
    <w:rsid w:val="000806E4"/>
    <w:rsid w:val="000821BD"/>
    <w:rsid w:val="000822AE"/>
    <w:rsid w:val="0008283A"/>
    <w:rsid w:val="00082B10"/>
    <w:rsid w:val="00083797"/>
    <w:rsid w:val="00083D73"/>
    <w:rsid w:val="00083E0D"/>
    <w:rsid w:val="0008405F"/>
    <w:rsid w:val="00084D0A"/>
    <w:rsid w:val="000857D6"/>
    <w:rsid w:val="00085867"/>
    <w:rsid w:val="0008635A"/>
    <w:rsid w:val="0008649E"/>
    <w:rsid w:val="000866A9"/>
    <w:rsid w:val="000866AC"/>
    <w:rsid w:val="00086745"/>
    <w:rsid w:val="0008718A"/>
    <w:rsid w:val="0008764A"/>
    <w:rsid w:val="00087FA0"/>
    <w:rsid w:val="00090287"/>
    <w:rsid w:val="0009073F"/>
    <w:rsid w:val="00090961"/>
    <w:rsid w:val="000909AA"/>
    <w:rsid w:val="000919E5"/>
    <w:rsid w:val="000936EB"/>
    <w:rsid w:val="00094019"/>
    <w:rsid w:val="0009429A"/>
    <w:rsid w:val="000944F5"/>
    <w:rsid w:val="00094732"/>
    <w:rsid w:val="00094DD1"/>
    <w:rsid w:val="00096201"/>
    <w:rsid w:val="00096D25"/>
    <w:rsid w:val="00097619"/>
    <w:rsid w:val="00097653"/>
    <w:rsid w:val="00097AF4"/>
    <w:rsid w:val="000A066B"/>
    <w:rsid w:val="000A06C2"/>
    <w:rsid w:val="000A0E7E"/>
    <w:rsid w:val="000A1146"/>
    <w:rsid w:val="000A15D7"/>
    <w:rsid w:val="000A20AF"/>
    <w:rsid w:val="000A21CA"/>
    <w:rsid w:val="000A23CF"/>
    <w:rsid w:val="000A2C6B"/>
    <w:rsid w:val="000A4058"/>
    <w:rsid w:val="000A4423"/>
    <w:rsid w:val="000A4AE1"/>
    <w:rsid w:val="000A5AFA"/>
    <w:rsid w:val="000A5D07"/>
    <w:rsid w:val="000A617A"/>
    <w:rsid w:val="000A69BE"/>
    <w:rsid w:val="000A793B"/>
    <w:rsid w:val="000B00A1"/>
    <w:rsid w:val="000B0173"/>
    <w:rsid w:val="000B0C6D"/>
    <w:rsid w:val="000B0E19"/>
    <w:rsid w:val="000B0F26"/>
    <w:rsid w:val="000B10CE"/>
    <w:rsid w:val="000B1568"/>
    <w:rsid w:val="000B1F0E"/>
    <w:rsid w:val="000B2058"/>
    <w:rsid w:val="000B21C2"/>
    <w:rsid w:val="000B23E3"/>
    <w:rsid w:val="000B29B7"/>
    <w:rsid w:val="000B2D53"/>
    <w:rsid w:val="000B2FEF"/>
    <w:rsid w:val="000B36FF"/>
    <w:rsid w:val="000B3CF1"/>
    <w:rsid w:val="000B4749"/>
    <w:rsid w:val="000B4B58"/>
    <w:rsid w:val="000B6A63"/>
    <w:rsid w:val="000B6E21"/>
    <w:rsid w:val="000B6F3E"/>
    <w:rsid w:val="000C1092"/>
    <w:rsid w:val="000C135D"/>
    <w:rsid w:val="000C1607"/>
    <w:rsid w:val="000C1A2D"/>
    <w:rsid w:val="000C1BC2"/>
    <w:rsid w:val="000C229C"/>
    <w:rsid w:val="000C270E"/>
    <w:rsid w:val="000C2DAB"/>
    <w:rsid w:val="000C2E7D"/>
    <w:rsid w:val="000C37F1"/>
    <w:rsid w:val="000C431D"/>
    <w:rsid w:val="000C4527"/>
    <w:rsid w:val="000C786F"/>
    <w:rsid w:val="000C7E4A"/>
    <w:rsid w:val="000D21A6"/>
    <w:rsid w:val="000D2BA9"/>
    <w:rsid w:val="000D2D94"/>
    <w:rsid w:val="000D2FEC"/>
    <w:rsid w:val="000D35EF"/>
    <w:rsid w:val="000D39B3"/>
    <w:rsid w:val="000D3BF6"/>
    <w:rsid w:val="000D3DC5"/>
    <w:rsid w:val="000D432A"/>
    <w:rsid w:val="000D4446"/>
    <w:rsid w:val="000D44D3"/>
    <w:rsid w:val="000D525E"/>
    <w:rsid w:val="000D5C1E"/>
    <w:rsid w:val="000D6B9E"/>
    <w:rsid w:val="000D70BB"/>
    <w:rsid w:val="000D72AF"/>
    <w:rsid w:val="000E0D04"/>
    <w:rsid w:val="000E1751"/>
    <w:rsid w:val="000E28FE"/>
    <w:rsid w:val="000E2FA8"/>
    <w:rsid w:val="000E303C"/>
    <w:rsid w:val="000E432D"/>
    <w:rsid w:val="000E43A4"/>
    <w:rsid w:val="000E47E3"/>
    <w:rsid w:val="000E4CB5"/>
    <w:rsid w:val="000E4ED2"/>
    <w:rsid w:val="000E5B72"/>
    <w:rsid w:val="000E5D1A"/>
    <w:rsid w:val="000E61D6"/>
    <w:rsid w:val="000E6D2E"/>
    <w:rsid w:val="000E70A4"/>
    <w:rsid w:val="000E74C8"/>
    <w:rsid w:val="000E74FB"/>
    <w:rsid w:val="000E7AF4"/>
    <w:rsid w:val="000F08C2"/>
    <w:rsid w:val="000F0BC8"/>
    <w:rsid w:val="000F0D16"/>
    <w:rsid w:val="000F119B"/>
    <w:rsid w:val="000F12A4"/>
    <w:rsid w:val="000F12D7"/>
    <w:rsid w:val="000F18B2"/>
    <w:rsid w:val="000F19E4"/>
    <w:rsid w:val="000F1DE4"/>
    <w:rsid w:val="000F1EAD"/>
    <w:rsid w:val="000F2432"/>
    <w:rsid w:val="000F3BA1"/>
    <w:rsid w:val="000F44D1"/>
    <w:rsid w:val="000F4670"/>
    <w:rsid w:val="000F498E"/>
    <w:rsid w:val="000F514C"/>
    <w:rsid w:val="000F5A5A"/>
    <w:rsid w:val="000F6B2A"/>
    <w:rsid w:val="000F6C87"/>
    <w:rsid w:val="000F747F"/>
    <w:rsid w:val="000F7FCF"/>
    <w:rsid w:val="00100FA0"/>
    <w:rsid w:val="00101C06"/>
    <w:rsid w:val="00101F19"/>
    <w:rsid w:val="00101FD5"/>
    <w:rsid w:val="00102A3B"/>
    <w:rsid w:val="00102A5C"/>
    <w:rsid w:val="00103DD0"/>
    <w:rsid w:val="0010404B"/>
    <w:rsid w:val="001048DD"/>
    <w:rsid w:val="00104FDC"/>
    <w:rsid w:val="00105369"/>
    <w:rsid w:val="001058D4"/>
    <w:rsid w:val="00105D2E"/>
    <w:rsid w:val="00105D58"/>
    <w:rsid w:val="00105EFF"/>
    <w:rsid w:val="00105FAE"/>
    <w:rsid w:val="00106605"/>
    <w:rsid w:val="00106873"/>
    <w:rsid w:val="00106876"/>
    <w:rsid w:val="00107497"/>
    <w:rsid w:val="00107B7A"/>
    <w:rsid w:val="001106ED"/>
    <w:rsid w:val="00110B0A"/>
    <w:rsid w:val="00111668"/>
    <w:rsid w:val="00111EE5"/>
    <w:rsid w:val="001125F0"/>
    <w:rsid w:val="00112658"/>
    <w:rsid w:val="001129C0"/>
    <w:rsid w:val="00112EAF"/>
    <w:rsid w:val="001131FD"/>
    <w:rsid w:val="00113389"/>
    <w:rsid w:val="00113968"/>
    <w:rsid w:val="00113BCF"/>
    <w:rsid w:val="00114A0C"/>
    <w:rsid w:val="0011526D"/>
    <w:rsid w:val="0011544E"/>
    <w:rsid w:val="001157AC"/>
    <w:rsid w:val="001160DE"/>
    <w:rsid w:val="00117649"/>
    <w:rsid w:val="001176F3"/>
    <w:rsid w:val="001215F2"/>
    <w:rsid w:val="00122387"/>
    <w:rsid w:val="0012257B"/>
    <w:rsid w:val="00122B9D"/>
    <w:rsid w:val="00123648"/>
    <w:rsid w:val="00123770"/>
    <w:rsid w:val="00123F35"/>
    <w:rsid w:val="00124E60"/>
    <w:rsid w:val="00125356"/>
    <w:rsid w:val="00125696"/>
    <w:rsid w:val="001256DB"/>
    <w:rsid w:val="00125B6E"/>
    <w:rsid w:val="001264E0"/>
    <w:rsid w:val="00126603"/>
    <w:rsid w:val="00126B6D"/>
    <w:rsid w:val="00127325"/>
    <w:rsid w:val="001275C5"/>
    <w:rsid w:val="00127D70"/>
    <w:rsid w:val="001308C9"/>
    <w:rsid w:val="00130A77"/>
    <w:rsid w:val="00130E24"/>
    <w:rsid w:val="001329BD"/>
    <w:rsid w:val="00132E49"/>
    <w:rsid w:val="0013378A"/>
    <w:rsid w:val="00134007"/>
    <w:rsid w:val="00135002"/>
    <w:rsid w:val="001354D4"/>
    <w:rsid w:val="0013561B"/>
    <w:rsid w:val="00135F42"/>
    <w:rsid w:val="0013651B"/>
    <w:rsid w:val="001367F0"/>
    <w:rsid w:val="00136D6A"/>
    <w:rsid w:val="001370C4"/>
    <w:rsid w:val="0014067E"/>
    <w:rsid w:val="00141CDF"/>
    <w:rsid w:val="0014210A"/>
    <w:rsid w:val="00142446"/>
    <w:rsid w:val="00142629"/>
    <w:rsid w:val="00142667"/>
    <w:rsid w:val="00142A41"/>
    <w:rsid w:val="00142C73"/>
    <w:rsid w:val="00142D60"/>
    <w:rsid w:val="00143064"/>
    <w:rsid w:val="001434D0"/>
    <w:rsid w:val="00143906"/>
    <w:rsid w:val="00144162"/>
    <w:rsid w:val="00144D3C"/>
    <w:rsid w:val="001452F6"/>
    <w:rsid w:val="001465DD"/>
    <w:rsid w:val="00146937"/>
    <w:rsid w:val="00146B09"/>
    <w:rsid w:val="00146C61"/>
    <w:rsid w:val="0014735B"/>
    <w:rsid w:val="00147D38"/>
    <w:rsid w:val="0015083F"/>
    <w:rsid w:val="00150C2A"/>
    <w:rsid w:val="00150FD9"/>
    <w:rsid w:val="001512BF"/>
    <w:rsid w:val="001516C6"/>
    <w:rsid w:val="00152059"/>
    <w:rsid w:val="00152AD0"/>
    <w:rsid w:val="00153340"/>
    <w:rsid w:val="001540A7"/>
    <w:rsid w:val="00155752"/>
    <w:rsid w:val="00155C6E"/>
    <w:rsid w:val="001602C0"/>
    <w:rsid w:val="001610BE"/>
    <w:rsid w:val="001611D3"/>
    <w:rsid w:val="0016192B"/>
    <w:rsid w:val="00162B20"/>
    <w:rsid w:val="00162C40"/>
    <w:rsid w:val="00163101"/>
    <w:rsid w:val="001638F9"/>
    <w:rsid w:val="00164FC5"/>
    <w:rsid w:val="00165250"/>
    <w:rsid w:val="00165FEB"/>
    <w:rsid w:val="0016655B"/>
    <w:rsid w:val="0016752F"/>
    <w:rsid w:val="00167579"/>
    <w:rsid w:val="0016764D"/>
    <w:rsid w:val="001705EC"/>
    <w:rsid w:val="00170BC8"/>
    <w:rsid w:val="00170EE8"/>
    <w:rsid w:val="001711FB"/>
    <w:rsid w:val="00171510"/>
    <w:rsid w:val="00171AE3"/>
    <w:rsid w:val="00171EAE"/>
    <w:rsid w:val="00171F4C"/>
    <w:rsid w:val="00172200"/>
    <w:rsid w:val="0017254F"/>
    <w:rsid w:val="00172570"/>
    <w:rsid w:val="0017380E"/>
    <w:rsid w:val="00173AD8"/>
    <w:rsid w:val="00174E5A"/>
    <w:rsid w:val="001764BD"/>
    <w:rsid w:val="00177151"/>
    <w:rsid w:val="001774E3"/>
    <w:rsid w:val="00177E84"/>
    <w:rsid w:val="0018060B"/>
    <w:rsid w:val="00181ABE"/>
    <w:rsid w:val="00182619"/>
    <w:rsid w:val="00182C2C"/>
    <w:rsid w:val="0018350B"/>
    <w:rsid w:val="00183889"/>
    <w:rsid w:val="00183DE1"/>
    <w:rsid w:val="00184DDA"/>
    <w:rsid w:val="00185792"/>
    <w:rsid w:val="00185D3A"/>
    <w:rsid w:val="00186FB3"/>
    <w:rsid w:val="00187136"/>
    <w:rsid w:val="00187F52"/>
    <w:rsid w:val="00190123"/>
    <w:rsid w:val="00190427"/>
    <w:rsid w:val="00191F46"/>
    <w:rsid w:val="001922E7"/>
    <w:rsid w:val="001926B7"/>
    <w:rsid w:val="00192A03"/>
    <w:rsid w:val="00193110"/>
    <w:rsid w:val="00195B66"/>
    <w:rsid w:val="00196082"/>
    <w:rsid w:val="00196158"/>
    <w:rsid w:val="0019688B"/>
    <w:rsid w:val="00196952"/>
    <w:rsid w:val="00197621"/>
    <w:rsid w:val="00197914"/>
    <w:rsid w:val="00197FCC"/>
    <w:rsid w:val="001A1486"/>
    <w:rsid w:val="001A1AB8"/>
    <w:rsid w:val="001A41BF"/>
    <w:rsid w:val="001A435B"/>
    <w:rsid w:val="001A4948"/>
    <w:rsid w:val="001A4D59"/>
    <w:rsid w:val="001A540B"/>
    <w:rsid w:val="001A551A"/>
    <w:rsid w:val="001A5672"/>
    <w:rsid w:val="001A5C2F"/>
    <w:rsid w:val="001A5FFE"/>
    <w:rsid w:val="001A6683"/>
    <w:rsid w:val="001A692C"/>
    <w:rsid w:val="001A6C29"/>
    <w:rsid w:val="001A7024"/>
    <w:rsid w:val="001A7ABB"/>
    <w:rsid w:val="001A7EC4"/>
    <w:rsid w:val="001A7EEC"/>
    <w:rsid w:val="001B0453"/>
    <w:rsid w:val="001B0955"/>
    <w:rsid w:val="001B0EBF"/>
    <w:rsid w:val="001B1226"/>
    <w:rsid w:val="001B147F"/>
    <w:rsid w:val="001B28B8"/>
    <w:rsid w:val="001B42E5"/>
    <w:rsid w:val="001B46A4"/>
    <w:rsid w:val="001B46FA"/>
    <w:rsid w:val="001B488C"/>
    <w:rsid w:val="001B4DC0"/>
    <w:rsid w:val="001B5594"/>
    <w:rsid w:val="001B5913"/>
    <w:rsid w:val="001B59EC"/>
    <w:rsid w:val="001B5B7B"/>
    <w:rsid w:val="001B688E"/>
    <w:rsid w:val="001B6D9A"/>
    <w:rsid w:val="001B6FB4"/>
    <w:rsid w:val="001B6FBE"/>
    <w:rsid w:val="001B79CC"/>
    <w:rsid w:val="001B7BB2"/>
    <w:rsid w:val="001B7C85"/>
    <w:rsid w:val="001C0318"/>
    <w:rsid w:val="001C09D2"/>
    <w:rsid w:val="001C104A"/>
    <w:rsid w:val="001C13D8"/>
    <w:rsid w:val="001C187E"/>
    <w:rsid w:val="001C24F2"/>
    <w:rsid w:val="001C2BE6"/>
    <w:rsid w:val="001C33D0"/>
    <w:rsid w:val="001C4501"/>
    <w:rsid w:val="001C4B12"/>
    <w:rsid w:val="001C580D"/>
    <w:rsid w:val="001C591D"/>
    <w:rsid w:val="001C5C5D"/>
    <w:rsid w:val="001C5D8E"/>
    <w:rsid w:val="001C60CD"/>
    <w:rsid w:val="001C63D3"/>
    <w:rsid w:val="001C7B1E"/>
    <w:rsid w:val="001C7E1F"/>
    <w:rsid w:val="001C7ED7"/>
    <w:rsid w:val="001C7FAC"/>
    <w:rsid w:val="001D03D5"/>
    <w:rsid w:val="001D0477"/>
    <w:rsid w:val="001D0B61"/>
    <w:rsid w:val="001D13BA"/>
    <w:rsid w:val="001D2038"/>
    <w:rsid w:val="001D3434"/>
    <w:rsid w:val="001D3A50"/>
    <w:rsid w:val="001D4069"/>
    <w:rsid w:val="001D4B59"/>
    <w:rsid w:val="001D4DF2"/>
    <w:rsid w:val="001D4E6E"/>
    <w:rsid w:val="001D4F03"/>
    <w:rsid w:val="001D4F7B"/>
    <w:rsid w:val="001D560F"/>
    <w:rsid w:val="001D5C77"/>
    <w:rsid w:val="001D6374"/>
    <w:rsid w:val="001D6A76"/>
    <w:rsid w:val="001D717E"/>
    <w:rsid w:val="001D7711"/>
    <w:rsid w:val="001D7CD5"/>
    <w:rsid w:val="001E00DC"/>
    <w:rsid w:val="001E0513"/>
    <w:rsid w:val="001E0C88"/>
    <w:rsid w:val="001E0D15"/>
    <w:rsid w:val="001E3B99"/>
    <w:rsid w:val="001E3F5B"/>
    <w:rsid w:val="001E4979"/>
    <w:rsid w:val="001E4A6A"/>
    <w:rsid w:val="001E4FD5"/>
    <w:rsid w:val="001E6736"/>
    <w:rsid w:val="001E69AC"/>
    <w:rsid w:val="001E72E2"/>
    <w:rsid w:val="001E73BB"/>
    <w:rsid w:val="001E784B"/>
    <w:rsid w:val="001E79A9"/>
    <w:rsid w:val="001E7A36"/>
    <w:rsid w:val="001E7B8A"/>
    <w:rsid w:val="001E7EBA"/>
    <w:rsid w:val="001E7EC4"/>
    <w:rsid w:val="001F0A02"/>
    <w:rsid w:val="001F0A64"/>
    <w:rsid w:val="001F1063"/>
    <w:rsid w:val="001F1927"/>
    <w:rsid w:val="001F2037"/>
    <w:rsid w:val="001F277B"/>
    <w:rsid w:val="001F27BE"/>
    <w:rsid w:val="001F28F6"/>
    <w:rsid w:val="001F2E8E"/>
    <w:rsid w:val="001F3704"/>
    <w:rsid w:val="001F3E71"/>
    <w:rsid w:val="001F4EE3"/>
    <w:rsid w:val="001F55E6"/>
    <w:rsid w:val="001F5625"/>
    <w:rsid w:val="001F5A21"/>
    <w:rsid w:val="001F607D"/>
    <w:rsid w:val="001F65B6"/>
    <w:rsid w:val="001F68C0"/>
    <w:rsid w:val="001F715E"/>
    <w:rsid w:val="001F7975"/>
    <w:rsid w:val="001F79A3"/>
    <w:rsid w:val="001F7E62"/>
    <w:rsid w:val="00200FB2"/>
    <w:rsid w:val="002010DA"/>
    <w:rsid w:val="002013D5"/>
    <w:rsid w:val="002015E4"/>
    <w:rsid w:val="00201BD4"/>
    <w:rsid w:val="002025D5"/>
    <w:rsid w:val="00202F20"/>
    <w:rsid w:val="002034F1"/>
    <w:rsid w:val="0020369C"/>
    <w:rsid w:val="00203BE3"/>
    <w:rsid w:val="0020499E"/>
    <w:rsid w:val="0020526C"/>
    <w:rsid w:val="002063BF"/>
    <w:rsid w:val="00206A42"/>
    <w:rsid w:val="00207093"/>
    <w:rsid w:val="0020762F"/>
    <w:rsid w:val="002076B7"/>
    <w:rsid w:val="00207AC0"/>
    <w:rsid w:val="00207F9D"/>
    <w:rsid w:val="00210AD9"/>
    <w:rsid w:val="00210D21"/>
    <w:rsid w:val="00211599"/>
    <w:rsid w:val="00211FB0"/>
    <w:rsid w:val="0021231E"/>
    <w:rsid w:val="002132F5"/>
    <w:rsid w:val="00213585"/>
    <w:rsid w:val="00214F83"/>
    <w:rsid w:val="002153BF"/>
    <w:rsid w:val="0021540C"/>
    <w:rsid w:val="00215A0D"/>
    <w:rsid w:val="00215B7E"/>
    <w:rsid w:val="0021647E"/>
    <w:rsid w:val="00216686"/>
    <w:rsid w:val="00216EB3"/>
    <w:rsid w:val="00217137"/>
    <w:rsid w:val="00217227"/>
    <w:rsid w:val="002175D2"/>
    <w:rsid w:val="002178E9"/>
    <w:rsid w:val="00217F95"/>
    <w:rsid w:val="0022037A"/>
    <w:rsid w:val="0022106D"/>
    <w:rsid w:val="00221254"/>
    <w:rsid w:val="002212B4"/>
    <w:rsid w:val="00221470"/>
    <w:rsid w:val="00221651"/>
    <w:rsid w:val="0022192A"/>
    <w:rsid w:val="0022273E"/>
    <w:rsid w:val="00223E32"/>
    <w:rsid w:val="00224287"/>
    <w:rsid w:val="002244A9"/>
    <w:rsid w:val="002267BB"/>
    <w:rsid w:val="00227440"/>
    <w:rsid w:val="00227505"/>
    <w:rsid w:val="0023068D"/>
    <w:rsid w:val="00231435"/>
    <w:rsid w:val="002314B3"/>
    <w:rsid w:val="00231D36"/>
    <w:rsid w:val="002322B9"/>
    <w:rsid w:val="00232B9B"/>
    <w:rsid w:val="00232D63"/>
    <w:rsid w:val="00233DF9"/>
    <w:rsid w:val="00233E42"/>
    <w:rsid w:val="00234058"/>
    <w:rsid w:val="002340B3"/>
    <w:rsid w:val="002352ED"/>
    <w:rsid w:val="0023548E"/>
    <w:rsid w:val="00235984"/>
    <w:rsid w:val="00235B85"/>
    <w:rsid w:val="00235ED1"/>
    <w:rsid w:val="00237938"/>
    <w:rsid w:val="00237BD3"/>
    <w:rsid w:val="00237F13"/>
    <w:rsid w:val="00240342"/>
    <w:rsid w:val="002420CC"/>
    <w:rsid w:val="002422D3"/>
    <w:rsid w:val="0024331A"/>
    <w:rsid w:val="00243479"/>
    <w:rsid w:val="00243C39"/>
    <w:rsid w:val="00243E7D"/>
    <w:rsid w:val="00245319"/>
    <w:rsid w:val="002454B0"/>
    <w:rsid w:val="002456AB"/>
    <w:rsid w:val="00245D0A"/>
    <w:rsid w:val="002462A1"/>
    <w:rsid w:val="00246667"/>
    <w:rsid w:val="0024668F"/>
    <w:rsid w:val="0024763C"/>
    <w:rsid w:val="00247B10"/>
    <w:rsid w:val="00247B5F"/>
    <w:rsid w:val="00247EBB"/>
    <w:rsid w:val="002502A7"/>
    <w:rsid w:val="00250A64"/>
    <w:rsid w:val="00250B60"/>
    <w:rsid w:val="00250B97"/>
    <w:rsid w:val="00251BD9"/>
    <w:rsid w:val="002520FA"/>
    <w:rsid w:val="00252301"/>
    <w:rsid w:val="00252A3B"/>
    <w:rsid w:val="00252AE6"/>
    <w:rsid w:val="00252C88"/>
    <w:rsid w:val="002539DB"/>
    <w:rsid w:val="00254428"/>
    <w:rsid w:val="00254E83"/>
    <w:rsid w:val="0025515B"/>
    <w:rsid w:val="00255282"/>
    <w:rsid w:val="00255FB6"/>
    <w:rsid w:val="00256271"/>
    <w:rsid w:val="00256404"/>
    <w:rsid w:val="0025685A"/>
    <w:rsid w:val="00256CA0"/>
    <w:rsid w:val="00256CAE"/>
    <w:rsid w:val="00256DEC"/>
    <w:rsid w:val="00260271"/>
    <w:rsid w:val="002603B5"/>
    <w:rsid w:val="00260CEB"/>
    <w:rsid w:val="002612B1"/>
    <w:rsid w:val="00261ABD"/>
    <w:rsid w:val="00262C1E"/>
    <w:rsid w:val="0026312F"/>
    <w:rsid w:val="0026384C"/>
    <w:rsid w:val="00263B5E"/>
    <w:rsid w:val="00264162"/>
    <w:rsid w:val="002644A3"/>
    <w:rsid w:val="00264DE9"/>
    <w:rsid w:val="00265C26"/>
    <w:rsid w:val="00265CCC"/>
    <w:rsid w:val="0026623F"/>
    <w:rsid w:val="0026731A"/>
    <w:rsid w:val="00267B68"/>
    <w:rsid w:val="00267D19"/>
    <w:rsid w:val="00267D9F"/>
    <w:rsid w:val="0027006C"/>
    <w:rsid w:val="00270132"/>
    <w:rsid w:val="002714D3"/>
    <w:rsid w:val="002719B4"/>
    <w:rsid w:val="00271DCC"/>
    <w:rsid w:val="0027211C"/>
    <w:rsid w:val="00272158"/>
    <w:rsid w:val="00272E45"/>
    <w:rsid w:val="002732F2"/>
    <w:rsid w:val="00273648"/>
    <w:rsid w:val="00273E63"/>
    <w:rsid w:val="002745A7"/>
    <w:rsid w:val="0027488F"/>
    <w:rsid w:val="002748D5"/>
    <w:rsid w:val="002749D5"/>
    <w:rsid w:val="00274A39"/>
    <w:rsid w:val="0027575E"/>
    <w:rsid w:val="00275E4B"/>
    <w:rsid w:val="002767E2"/>
    <w:rsid w:val="0027732F"/>
    <w:rsid w:val="00277CAF"/>
    <w:rsid w:val="002807BD"/>
    <w:rsid w:val="002815D5"/>
    <w:rsid w:val="002819CE"/>
    <w:rsid w:val="00281A1C"/>
    <w:rsid w:val="00282133"/>
    <w:rsid w:val="0028214D"/>
    <w:rsid w:val="00282193"/>
    <w:rsid w:val="00282E41"/>
    <w:rsid w:val="002830DC"/>
    <w:rsid w:val="00284216"/>
    <w:rsid w:val="002842AF"/>
    <w:rsid w:val="00284C14"/>
    <w:rsid w:val="00284FE6"/>
    <w:rsid w:val="00285414"/>
    <w:rsid w:val="0028558F"/>
    <w:rsid w:val="0028559A"/>
    <w:rsid w:val="0028646D"/>
    <w:rsid w:val="002866AC"/>
    <w:rsid w:val="002872CD"/>
    <w:rsid w:val="002876E5"/>
    <w:rsid w:val="00287E02"/>
    <w:rsid w:val="002903C3"/>
    <w:rsid w:val="00290E3F"/>
    <w:rsid w:val="002913AA"/>
    <w:rsid w:val="002930BE"/>
    <w:rsid w:val="00293211"/>
    <w:rsid w:val="00293E22"/>
    <w:rsid w:val="0029492A"/>
    <w:rsid w:val="002958A8"/>
    <w:rsid w:val="0029629E"/>
    <w:rsid w:val="002963BA"/>
    <w:rsid w:val="00296489"/>
    <w:rsid w:val="0029689D"/>
    <w:rsid w:val="002968AA"/>
    <w:rsid w:val="00296E18"/>
    <w:rsid w:val="00296EA8"/>
    <w:rsid w:val="00297606"/>
    <w:rsid w:val="00297AC3"/>
    <w:rsid w:val="00297D5B"/>
    <w:rsid w:val="00297FBE"/>
    <w:rsid w:val="002A0389"/>
    <w:rsid w:val="002A048C"/>
    <w:rsid w:val="002A1068"/>
    <w:rsid w:val="002A179E"/>
    <w:rsid w:val="002A1D04"/>
    <w:rsid w:val="002A1EF6"/>
    <w:rsid w:val="002A2618"/>
    <w:rsid w:val="002A2B2E"/>
    <w:rsid w:val="002A314C"/>
    <w:rsid w:val="002A31FB"/>
    <w:rsid w:val="002A37E2"/>
    <w:rsid w:val="002A3886"/>
    <w:rsid w:val="002A4B44"/>
    <w:rsid w:val="002A4BE1"/>
    <w:rsid w:val="002A4F4A"/>
    <w:rsid w:val="002A4FEF"/>
    <w:rsid w:val="002A52FD"/>
    <w:rsid w:val="002A530E"/>
    <w:rsid w:val="002A58D9"/>
    <w:rsid w:val="002A66FC"/>
    <w:rsid w:val="002B019A"/>
    <w:rsid w:val="002B0282"/>
    <w:rsid w:val="002B046F"/>
    <w:rsid w:val="002B0821"/>
    <w:rsid w:val="002B083B"/>
    <w:rsid w:val="002B0E3C"/>
    <w:rsid w:val="002B1480"/>
    <w:rsid w:val="002B185F"/>
    <w:rsid w:val="002B1938"/>
    <w:rsid w:val="002B1990"/>
    <w:rsid w:val="002B1A13"/>
    <w:rsid w:val="002B1BAD"/>
    <w:rsid w:val="002B23E2"/>
    <w:rsid w:val="002B26F3"/>
    <w:rsid w:val="002B285D"/>
    <w:rsid w:val="002B297B"/>
    <w:rsid w:val="002B2A18"/>
    <w:rsid w:val="002B2C7E"/>
    <w:rsid w:val="002B2FA7"/>
    <w:rsid w:val="002B368C"/>
    <w:rsid w:val="002B4547"/>
    <w:rsid w:val="002B47B3"/>
    <w:rsid w:val="002B5352"/>
    <w:rsid w:val="002B5D45"/>
    <w:rsid w:val="002B6871"/>
    <w:rsid w:val="002B7ABC"/>
    <w:rsid w:val="002B7C1F"/>
    <w:rsid w:val="002C093B"/>
    <w:rsid w:val="002C0C6C"/>
    <w:rsid w:val="002C1BC9"/>
    <w:rsid w:val="002C1D25"/>
    <w:rsid w:val="002C1DFB"/>
    <w:rsid w:val="002C2718"/>
    <w:rsid w:val="002C3DBE"/>
    <w:rsid w:val="002C40E7"/>
    <w:rsid w:val="002C4AD5"/>
    <w:rsid w:val="002C51B6"/>
    <w:rsid w:val="002C559E"/>
    <w:rsid w:val="002C5AB6"/>
    <w:rsid w:val="002C6152"/>
    <w:rsid w:val="002C663D"/>
    <w:rsid w:val="002C71A3"/>
    <w:rsid w:val="002D0425"/>
    <w:rsid w:val="002D1D6E"/>
    <w:rsid w:val="002D2651"/>
    <w:rsid w:val="002D321C"/>
    <w:rsid w:val="002D451F"/>
    <w:rsid w:val="002D4CA5"/>
    <w:rsid w:val="002D5370"/>
    <w:rsid w:val="002D5CE2"/>
    <w:rsid w:val="002D672D"/>
    <w:rsid w:val="002D6DB5"/>
    <w:rsid w:val="002D6E09"/>
    <w:rsid w:val="002D75D7"/>
    <w:rsid w:val="002E135F"/>
    <w:rsid w:val="002E16CF"/>
    <w:rsid w:val="002E1B1F"/>
    <w:rsid w:val="002E1F35"/>
    <w:rsid w:val="002E2B0F"/>
    <w:rsid w:val="002E3978"/>
    <w:rsid w:val="002E4051"/>
    <w:rsid w:val="002E440C"/>
    <w:rsid w:val="002E4755"/>
    <w:rsid w:val="002E4EEE"/>
    <w:rsid w:val="002E53A7"/>
    <w:rsid w:val="002E6D36"/>
    <w:rsid w:val="002E76CE"/>
    <w:rsid w:val="002E7C45"/>
    <w:rsid w:val="002F00A5"/>
    <w:rsid w:val="002F0B74"/>
    <w:rsid w:val="002F19DE"/>
    <w:rsid w:val="002F1A4D"/>
    <w:rsid w:val="002F1AF8"/>
    <w:rsid w:val="002F1B79"/>
    <w:rsid w:val="002F1EC9"/>
    <w:rsid w:val="002F2445"/>
    <w:rsid w:val="002F272D"/>
    <w:rsid w:val="002F295B"/>
    <w:rsid w:val="002F2CF5"/>
    <w:rsid w:val="002F2FDC"/>
    <w:rsid w:val="002F386F"/>
    <w:rsid w:val="002F3E24"/>
    <w:rsid w:val="002F4367"/>
    <w:rsid w:val="002F49E1"/>
    <w:rsid w:val="002F4F96"/>
    <w:rsid w:val="002F5247"/>
    <w:rsid w:val="002F671E"/>
    <w:rsid w:val="002F6C1C"/>
    <w:rsid w:val="002F6D9B"/>
    <w:rsid w:val="002F6ED3"/>
    <w:rsid w:val="002F74B2"/>
    <w:rsid w:val="002F7EF7"/>
    <w:rsid w:val="002F7F15"/>
    <w:rsid w:val="0030009E"/>
    <w:rsid w:val="0030081C"/>
    <w:rsid w:val="00300D0F"/>
    <w:rsid w:val="00300EC6"/>
    <w:rsid w:val="0030108F"/>
    <w:rsid w:val="003010C5"/>
    <w:rsid w:val="003010E9"/>
    <w:rsid w:val="003030EF"/>
    <w:rsid w:val="00303767"/>
    <w:rsid w:val="00303AA9"/>
    <w:rsid w:val="00304038"/>
    <w:rsid w:val="0030405C"/>
    <w:rsid w:val="003040C4"/>
    <w:rsid w:val="003042DE"/>
    <w:rsid w:val="0030488E"/>
    <w:rsid w:val="003055AF"/>
    <w:rsid w:val="00305EA0"/>
    <w:rsid w:val="00305EA7"/>
    <w:rsid w:val="003067F8"/>
    <w:rsid w:val="00306958"/>
    <w:rsid w:val="00306C7F"/>
    <w:rsid w:val="0030779E"/>
    <w:rsid w:val="003079F4"/>
    <w:rsid w:val="00307CDD"/>
    <w:rsid w:val="00310066"/>
    <w:rsid w:val="0031021F"/>
    <w:rsid w:val="0031042F"/>
    <w:rsid w:val="00310E16"/>
    <w:rsid w:val="00311236"/>
    <w:rsid w:val="00311837"/>
    <w:rsid w:val="00311E6D"/>
    <w:rsid w:val="003137F2"/>
    <w:rsid w:val="003143D2"/>
    <w:rsid w:val="003146F5"/>
    <w:rsid w:val="00314D32"/>
    <w:rsid w:val="00315010"/>
    <w:rsid w:val="0031554D"/>
    <w:rsid w:val="00315AB4"/>
    <w:rsid w:val="00315CF0"/>
    <w:rsid w:val="00316011"/>
    <w:rsid w:val="00316BF0"/>
    <w:rsid w:val="00317038"/>
    <w:rsid w:val="003173E2"/>
    <w:rsid w:val="003178B2"/>
    <w:rsid w:val="00317A69"/>
    <w:rsid w:val="003203BA"/>
    <w:rsid w:val="003204DF"/>
    <w:rsid w:val="0032050A"/>
    <w:rsid w:val="00320EB0"/>
    <w:rsid w:val="003224F3"/>
    <w:rsid w:val="00322A56"/>
    <w:rsid w:val="00322F38"/>
    <w:rsid w:val="003231A0"/>
    <w:rsid w:val="00323610"/>
    <w:rsid w:val="00324618"/>
    <w:rsid w:val="00324A0B"/>
    <w:rsid w:val="00324CFD"/>
    <w:rsid w:val="003258F1"/>
    <w:rsid w:val="00325B4F"/>
    <w:rsid w:val="00326A36"/>
    <w:rsid w:val="00327774"/>
    <w:rsid w:val="003306E4"/>
    <w:rsid w:val="00331695"/>
    <w:rsid w:val="00331DBD"/>
    <w:rsid w:val="00333161"/>
    <w:rsid w:val="0033424F"/>
    <w:rsid w:val="003353BD"/>
    <w:rsid w:val="003354F5"/>
    <w:rsid w:val="003355E4"/>
    <w:rsid w:val="00335E70"/>
    <w:rsid w:val="00335EF9"/>
    <w:rsid w:val="00336554"/>
    <w:rsid w:val="0033680F"/>
    <w:rsid w:val="00337055"/>
    <w:rsid w:val="00337360"/>
    <w:rsid w:val="003374CE"/>
    <w:rsid w:val="00337B86"/>
    <w:rsid w:val="0034002E"/>
    <w:rsid w:val="00342A44"/>
    <w:rsid w:val="00343518"/>
    <w:rsid w:val="00343859"/>
    <w:rsid w:val="0034392E"/>
    <w:rsid w:val="00343BD9"/>
    <w:rsid w:val="00343EEF"/>
    <w:rsid w:val="00344135"/>
    <w:rsid w:val="00344D62"/>
    <w:rsid w:val="003453FE"/>
    <w:rsid w:val="0034566A"/>
    <w:rsid w:val="00345736"/>
    <w:rsid w:val="00345821"/>
    <w:rsid w:val="0034673C"/>
    <w:rsid w:val="00350288"/>
    <w:rsid w:val="00350BB4"/>
    <w:rsid w:val="00350F1F"/>
    <w:rsid w:val="00350FD9"/>
    <w:rsid w:val="003512D2"/>
    <w:rsid w:val="003528B2"/>
    <w:rsid w:val="00352910"/>
    <w:rsid w:val="0035295E"/>
    <w:rsid w:val="00352A32"/>
    <w:rsid w:val="00352F98"/>
    <w:rsid w:val="00353020"/>
    <w:rsid w:val="00353390"/>
    <w:rsid w:val="00353516"/>
    <w:rsid w:val="003540A6"/>
    <w:rsid w:val="00354711"/>
    <w:rsid w:val="0035473D"/>
    <w:rsid w:val="003548DC"/>
    <w:rsid w:val="00354B0D"/>
    <w:rsid w:val="00354EA0"/>
    <w:rsid w:val="00355021"/>
    <w:rsid w:val="00355796"/>
    <w:rsid w:val="00355C36"/>
    <w:rsid w:val="00356776"/>
    <w:rsid w:val="00356A37"/>
    <w:rsid w:val="0035705C"/>
    <w:rsid w:val="00357357"/>
    <w:rsid w:val="00357942"/>
    <w:rsid w:val="00357973"/>
    <w:rsid w:val="00361556"/>
    <w:rsid w:val="0036189B"/>
    <w:rsid w:val="00361BAC"/>
    <w:rsid w:val="00362728"/>
    <w:rsid w:val="0036289B"/>
    <w:rsid w:val="00362BFF"/>
    <w:rsid w:val="003634B6"/>
    <w:rsid w:val="003636C8"/>
    <w:rsid w:val="0036402A"/>
    <w:rsid w:val="00364471"/>
    <w:rsid w:val="00364C3F"/>
    <w:rsid w:val="00364EE8"/>
    <w:rsid w:val="003657B4"/>
    <w:rsid w:val="00366210"/>
    <w:rsid w:val="0036648F"/>
    <w:rsid w:val="00366830"/>
    <w:rsid w:val="00366A89"/>
    <w:rsid w:val="00366E2E"/>
    <w:rsid w:val="00367112"/>
    <w:rsid w:val="003705B4"/>
    <w:rsid w:val="00370791"/>
    <w:rsid w:val="00370D7D"/>
    <w:rsid w:val="00371651"/>
    <w:rsid w:val="0037238A"/>
    <w:rsid w:val="0037238C"/>
    <w:rsid w:val="003726B8"/>
    <w:rsid w:val="00372AD5"/>
    <w:rsid w:val="00372B53"/>
    <w:rsid w:val="003730B4"/>
    <w:rsid w:val="00373718"/>
    <w:rsid w:val="00373E37"/>
    <w:rsid w:val="0037414B"/>
    <w:rsid w:val="00374373"/>
    <w:rsid w:val="00374C73"/>
    <w:rsid w:val="0037551B"/>
    <w:rsid w:val="00375D81"/>
    <w:rsid w:val="00376A67"/>
    <w:rsid w:val="00376CCF"/>
    <w:rsid w:val="00376F82"/>
    <w:rsid w:val="003770BC"/>
    <w:rsid w:val="00377B7A"/>
    <w:rsid w:val="00377F6A"/>
    <w:rsid w:val="003803A5"/>
    <w:rsid w:val="00380A11"/>
    <w:rsid w:val="00382A63"/>
    <w:rsid w:val="0038345D"/>
    <w:rsid w:val="0038361B"/>
    <w:rsid w:val="00384412"/>
    <w:rsid w:val="00384598"/>
    <w:rsid w:val="003847D9"/>
    <w:rsid w:val="00385023"/>
    <w:rsid w:val="003852A5"/>
    <w:rsid w:val="003853B5"/>
    <w:rsid w:val="00385AD9"/>
    <w:rsid w:val="003911AD"/>
    <w:rsid w:val="0039273D"/>
    <w:rsid w:val="00393EED"/>
    <w:rsid w:val="0039493A"/>
    <w:rsid w:val="00394AFC"/>
    <w:rsid w:val="00394B9F"/>
    <w:rsid w:val="00395001"/>
    <w:rsid w:val="003954DE"/>
    <w:rsid w:val="00395577"/>
    <w:rsid w:val="0039572F"/>
    <w:rsid w:val="00395C91"/>
    <w:rsid w:val="0039630A"/>
    <w:rsid w:val="00396C6D"/>
    <w:rsid w:val="00396EC6"/>
    <w:rsid w:val="0039746F"/>
    <w:rsid w:val="003A0776"/>
    <w:rsid w:val="003A0A1F"/>
    <w:rsid w:val="003A0A68"/>
    <w:rsid w:val="003A307E"/>
    <w:rsid w:val="003A31EF"/>
    <w:rsid w:val="003A3DD9"/>
    <w:rsid w:val="003A3DDF"/>
    <w:rsid w:val="003A4561"/>
    <w:rsid w:val="003A47D6"/>
    <w:rsid w:val="003A4B94"/>
    <w:rsid w:val="003A70BF"/>
    <w:rsid w:val="003A715D"/>
    <w:rsid w:val="003A739C"/>
    <w:rsid w:val="003A75BA"/>
    <w:rsid w:val="003A7DC6"/>
    <w:rsid w:val="003A7FA8"/>
    <w:rsid w:val="003B05E7"/>
    <w:rsid w:val="003B2FF4"/>
    <w:rsid w:val="003B3286"/>
    <w:rsid w:val="003B4125"/>
    <w:rsid w:val="003B454E"/>
    <w:rsid w:val="003B45B0"/>
    <w:rsid w:val="003B4C4D"/>
    <w:rsid w:val="003B5241"/>
    <w:rsid w:val="003B53A9"/>
    <w:rsid w:val="003B5970"/>
    <w:rsid w:val="003B5CFF"/>
    <w:rsid w:val="003B6516"/>
    <w:rsid w:val="003B7696"/>
    <w:rsid w:val="003B7846"/>
    <w:rsid w:val="003C0568"/>
    <w:rsid w:val="003C098E"/>
    <w:rsid w:val="003C0D5A"/>
    <w:rsid w:val="003C0E38"/>
    <w:rsid w:val="003C115B"/>
    <w:rsid w:val="003C1224"/>
    <w:rsid w:val="003C130D"/>
    <w:rsid w:val="003C14CB"/>
    <w:rsid w:val="003C164B"/>
    <w:rsid w:val="003C32F4"/>
    <w:rsid w:val="003C3F5E"/>
    <w:rsid w:val="003C40E1"/>
    <w:rsid w:val="003C471B"/>
    <w:rsid w:val="003C4787"/>
    <w:rsid w:val="003C4D49"/>
    <w:rsid w:val="003C4F94"/>
    <w:rsid w:val="003C61C7"/>
    <w:rsid w:val="003C650B"/>
    <w:rsid w:val="003C6788"/>
    <w:rsid w:val="003C71CA"/>
    <w:rsid w:val="003C79B4"/>
    <w:rsid w:val="003C7BC1"/>
    <w:rsid w:val="003D043E"/>
    <w:rsid w:val="003D1717"/>
    <w:rsid w:val="003D23CC"/>
    <w:rsid w:val="003D2AF4"/>
    <w:rsid w:val="003D2BB8"/>
    <w:rsid w:val="003D2EA6"/>
    <w:rsid w:val="003D2EE1"/>
    <w:rsid w:val="003D3169"/>
    <w:rsid w:val="003D31C2"/>
    <w:rsid w:val="003D33EF"/>
    <w:rsid w:val="003D342C"/>
    <w:rsid w:val="003D34D7"/>
    <w:rsid w:val="003D356B"/>
    <w:rsid w:val="003D3B9A"/>
    <w:rsid w:val="003D43BA"/>
    <w:rsid w:val="003D4683"/>
    <w:rsid w:val="003D46AD"/>
    <w:rsid w:val="003D46D1"/>
    <w:rsid w:val="003D4962"/>
    <w:rsid w:val="003D6153"/>
    <w:rsid w:val="003D626F"/>
    <w:rsid w:val="003D6A03"/>
    <w:rsid w:val="003D6D3D"/>
    <w:rsid w:val="003D77E1"/>
    <w:rsid w:val="003D78B8"/>
    <w:rsid w:val="003D7DBD"/>
    <w:rsid w:val="003E02EF"/>
    <w:rsid w:val="003E099F"/>
    <w:rsid w:val="003E0B84"/>
    <w:rsid w:val="003E106D"/>
    <w:rsid w:val="003E1338"/>
    <w:rsid w:val="003E1404"/>
    <w:rsid w:val="003E31FF"/>
    <w:rsid w:val="003E32AD"/>
    <w:rsid w:val="003E3F67"/>
    <w:rsid w:val="003E3FE6"/>
    <w:rsid w:val="003E4304"/>
    <w:rsid w:val="003E43E0"/>
    <w:rsid w:val="003E493D"/>
    <w:rsid w:val="003E5C84"/>
    <w:rsid w:val="003E5CE7"/>
    <w:rsid w:val="003E6016"/>
    <w:rsid w:val="003E665D"/>
    <w:rsid w:val="003E68CE"/>
    <w:rsid w:val="003E78DE"/>
    <w:rsid w:val="003E7DD5"/>
    <w:rsid w:val="003F05AB"/>
    <w:rsid w:val="003F13CB"/>
    <w:rsid w:val="003F14EF"/>
    <w:rsid w:val="003F1617"/>
    <w:rsid w:val="003F22CA"/>
    <w:rsid w:val="003F261D"/>
    <w:rsid w:val="003F34CF"/>
    <w:rsid w:val="003F43E2"/>
    <w:rsid w:val="003F4C84"/>
    <w:rsid w:val="003F5266"/>
    <w:rsid w:val="003F68D6"/>
    <w:rsid w:val="003F6D5F"/>
    <w:rsid w:val="003F7020"/>
    <w:rsid w:val="003F7177"/>
    <w:rsid w:val="003F74B6"/>
    <w:rsid w:val="003F7FD2"/>
    <w:rsid w:val="004000E2"/>
    <w:rsid w:val="00400A35"/>
    <w:rsid w:val="00400ECF"/>
    <w:rsid w:val="004011DF"/>
    <w:rsid w:val="0040135D"/>
    <w:rsid w:val="00401DC3"/>
    <w:rsid w:val="00402A4C"/>
    <w:rsid w:val="0040324C"/>
    <w:rsid w:val="0040433A"/>
    <w:rsid w:val="0040477B"/>
    <w:rsid w:val="0040496F"/>
    <w:rsid w:val="004049B8"/>
    <w:rsid w:val="00404BCE"/>
    <w:rsid w:val="00404E36"/>
    <w:rsid w:val="004050D8"/>
    <w:rsid w:val="00405203"/>
    <w:rsid w:val="00405882"/>
    <w:rsid w:val="00405C61"/>
    <w:rsid w:val="004100B8"/>
    <w:rsid w:val="00410B29"/>
    <w:rsid w:val="00411663"/>
    <w:rsid w:val="00411742"/>
    <w:rsid w:val="00411966"/>
    <w:rsid w:val="00411A76"/>
    <w:rsid w:val="00412043"/>
    <w:rsid w:val="004123B6"/>
    <w:rsid w:val="0041399C"/>
    <w:rsid w:val="00413B6E"/>
    <w:rsid w:val="00414006"/>
    <w:rsid w:val="004148DE"/>
    <w:rsid w:val="00415E48"/>
    <w:rsid w:val="004160A6"/>
    <w:rsid w:val="0041653B"/>
    <w:rsid w:val="00416948"/>
    <w:rsid w:val="004177D4"/>
    <w:rsid w:val="00417AF2"/>
    <w:rsid w:val="00420EA1"/>
    <w:rsid w:val="00421E8D"/>
    <w:rsid w:val="0042239D"/>
    <w:rsid w:val="004233AE"/>
    <w:rsid w:val="00423EF8"/>
    <w:rsid w:val="00424BD9"/>
    <w:rsid w:val="00424CAD"/>
    <w:rsid w:val="00425587"/>
    <w:rsid w:val="00427B71"/>
    <w:rsid w:val="00427C6A"/>
    <w:rsid w:val="004305FF"/>
    <w:rsid w:val="00430818"/>
    <w:rsid w:val="0043098B"/>
    <w:rsid w:val="00430A5F"/>
    <w:rsid w:val="004326EA"/>
    <w:rsid w:val="00432B9D"/>
    <w:rsid w:val="00433358"/>
    <w:rsid w:val="00433503"/>
    <w:rsid w:val="00433C18"/>
    <w:rsid w:val="00433F9A"/>
    <w:rsid w:val="004341B0"/>
    <w:rsid w:val="00434F7F"/>
    <w:rsid w:val="0043588E"/>
    <w:rsid w:val="00435CC9"/>
    <w:rsid w:val="00435FBA"/>
    <w:rsid w:val="00436937"/>
    <w:rsid w:val="00436C37"/>
    <w:rsid w:val="00436F68"/>
    <w:rsid w:val="00437859"/>
    <w:rsid w:val="00437ABB"/>
    <w:rsid w:val="00437DAB"/>
    <w:rsid w:val="004405A3"/>
    <w:rsid w:val="004413CB"/>
    <w:rsid w:val="0044249E"/>
    <w:rsid w:val="00442E10"/>
    <w:rsid w:val="00445B83"/>
    <w:rsid w:val="00445F00"/>
    <w:rsid w:val="00445F90"/>
    <w:rsid w:val="0044631F"/>
    <w:rsid w:val="00446542"/>
    <w:rsid w:val="00446B1E"/>
    <w:rsid w:val="00446D2A"/>
    <w:rsid w:val="00446DC9"/>
    <w:rsid w:val="00446F9B"/>
    <w:rsid w:val="0044736F"/>
    <w:rsid w:val="004473C3"/>
    <w:rsid w:val="004501E5"/>
    <w:rsid w:val="00450815"/>
    <w:rsid w:val="00450C59"/>
    <w:rsid w:val="00451637"/>
    <w:rsid w:val="00451BB0"/>
    <w:rsid w:val="00452771"/>
    <w:rsid w:val="00452F5C"/>
    <w:rsid w:val="004530AF"/>
    <w:rsid w:val="00453649"/>
    <w:rsid w:val="00453816"/>
    <w:rsid w:val="0045384A"/>
    <w:rsid w:val="0045395E"/>
    <w:rsid w:val="00453E83"/>
    <w:rsid w:val="00455430"/>
    <w:rsid w:val="0045546F"/>
    <w:rsid w:val="004556CC"/>
    <w:rsid w:val="0045643E"/>
    <w:rsid w:val="0045646F"/>
    <w:rsid w:val="00457F55"/>
    <w:rsid w:val="00460242"/>
    <w:rsid w:val="00460B08"/>
    <w:rsid w:val="00460CCE"/>
    <w:rsid w:val="00461A82"/>
    <w:rsid w:val="0046277E"/>
    <w:rsid w:val="004635F3"/>
    <w:rsid w:val="004638A6"/>
    <w:rsid w:val="004643B3"/>
    <w:rsid w:val="004652B8"/>
    <w:rsid w:val="004658EE"/>
    <w:rsid w:val="00466BAC"/>
    <w:rsid w:val="00467905"/>
    <w:rsid w:val="00467AE4"/>
    <w:rsid w:val="00467B6E"/>
    <w:rsid w:val="00470B7F"/>
    <w:rsid w:val="00470E2E"/>
    <w:rsid w:val="0047187E"/>
    <w:rsid w:val="00471C73"/>
    <w:rsid w:val="00471C97"/>
    <w:rsid w:val="00472AAC"/>
    <w:rsid w:val="0047304F"/>
    <w:rsid w:val="0047351E"/>
    <w:rsid w:val="00473964"/>
    <w:rsid w:val="0047464F"/>
    <w:rsid w:val="00475AD0"/>
    <w:rsid w:val="00476650"/>
    <w:rsid w:val="00476B40"/>
    <w:rsid w:val="00476D81"/>
    <w:rsid w:val="00476F3E"/>
    <w:rsid w:val="00477EF9"/>
    <w:rsid w:val="004802D0"/>
    <w:rsid w:val="0048055D"/>
    <w:rsid w:val="00480FB2"/>
    <w:rsid w:val="004813F7"/>
    <w:rsid w:val="00481443"/>
    <w:rsid w:val="004814B2"/>
    <w:rsid w:val="004816DE"/>
    <w:rsid w:val="00481CE4"/>
    <w:rsid w:val="00481D2F"/>
    <w:rsid w:val="00481EF7"/>
    <w:rsid w:val="004823E0"/>
    <w:rsid w:val="004825C8"/>
    <w:rsid w:val="00482994"/>
    <w:rsid w:val="00483DFB"/>
    <w:rsid w:val="004848A2"/>
    <w:rsid w:val="00484AFE"/>
    <w:rsid w:val="00484E89"/>
    <w:rsid w:val="00485117"/>
    <w:rsid w:val="0048513A"/>
    <w:rsid w:val="00485AA6"/>
    <w:rsid w:val="00485DC3"/>
    <w:rsid w:val="00485E9C"/>
    <w:rsid w:val="00486481"/>
    <w:rsid w:val="0049016A"/>
    <w:rsid w:val="00490332"/>
    <w:rsid w:val="0049036E"/>
    <w:rsid w:val="004906D0"/>
    <w:rsid w:val="00490BA9"/>
    <w:rsid w:val="00491434"/>
    <w:rsid w:val="004918BC"/>
    <w:rsid w:val="00491AE2"/>
    <w:rsid w:val="00491B37"/>
    <w:rsid w:val="004924E9"/>
    <w:rsid w:val="004931AA"/>
    <w:rsid w:val="00493316"/>
    <w:rsid w:val="00493CC8"/>
    <w:rsid w:val="00495112"/>
    <w:rsid w:val="00495616"/>
    <w:rsid w:val="004963F0"/>
    <w:rsid w:val="00496726"/>
    <w:rsid w:val="00497026"/>
    <w:rsid w:val="004979D5"/>
    <w:rsid w:val="00497C11"/>
    <w:rsid w:val="00497E4D"/>
    <w:rsid w:val="004A10A3"/>
    <w:rsid w:val="004A1FC6"/>
    <w:rsid w:val="004A2303"/>
    <w:rsid w:val="004A285C"/>
    <w:rsid w:val="004A29DB"/>
    <w:rsid w:val="004A2DE3"/>
    <w:rsid w:val="004A2FA7"/>
    <w:rsid w:val="004A3CA5"/>
    <w:rsid w:val="004A4036"/>
    <w:rsid w:val="004A4352"/>
    <w:rsid w:val="004A4857"/>
    <w:rsid w:val="004A51D0"/>
    <w:rsid w:val="004A63BA"/>
    <w:rsid w:val="004A71C2"/>
    <w:rsid w:val="004A72AF"/>
    <w:rsid w:val="004A7486"/>
    <w:rsid w:val="004A7909"/>
    <w:rsid w:val="004B0032"/>
    <w:rsid w:val="004B13D9"/>
    <w:rsid w:val="004B163B"/>
    <w:rsid w:val="004B1A22"/>
    <w:rsid w:val="004B1B59"/>
    <w:rsid w:val="004B1F5F"/>
    <w:rsid w:val="004B25EE"/>
    <w:rsid w:val="004B2D5A"/>
    <w:rsid w:val="004B3572"/>
    <w:rsid w:val="004B35EA"/>
    <w:rsid w:val="004B3695"/>
    <w:rsid w:val="004B392D"/>
    <w:rsid w:val="004B45AF"/>
    <w:rsid w:val="004B4907"/>
    <w:rsid w:val="004B4E9B"/>
    <w:rsid w:val="004B547C"/>
    <w:rsid w:val="004B54B7"/>
    <w:rsid w:val="004B5568"/>
    <w:rsid w:val="004B66C9"/>
    <w:rsid w:val="004B679E"/>
    <w:rsid w:val="004B6CC8"/>
    <w:rsid w:val="004B6FB3"/>
    <w:rsid w:val="004B71FD"/>
    <w:rsid w:val="004B759C"/>
    <w:rsid w:val="004B7A47"/>
    <w:rsid w:val="004C0978"/>
    <w:rsid w:val="004C1FBA"/>
    <w:rsid w:val="004C2170"/>
    <w:rsid w:val="004C2359"/>
    <w:rsid w:val="004C29FA"/>
    <w:rsid w:val="004C31AF"/>
    <w:rsid w:val="004C33F8"/>
    <w:rsid w:val="004C3500"/>
    <w:rsid w:val="004C3F4C"/>
    <w:rsid w:val="004C3F95"/>
    <w:rsid w:val="004C4E00"/>
    <w:rsid w:val="004C4EF1"/>
    <w:rsid w:val="004C57E1"/>
    <w:rsid w:val="004C5B19"/>
    <w:rsid w:val="004C7521"/>
    <w:rsid w:val="004C77CA"/>
    <w:rsid w:val="004C78ED"/>
    <w:rsid w:val="004C79B9"/>
    <w:rsid w:val="004C7C4D"/>
    <w:rsid w:val="004C7CDD"/>
    <w:rsid w:val="004D034F"/>
    <w:rsid w:val="004D0604"/>
    <w:rsid w:val="004D1E95"/>
    <w:rsid w:val="004D32D1"/>
    <w:rsid w:val="004D35E4"/>
    <w:rsid w:val="004D396E"/>
    <w:rsid w:val="004D4782"/>
    <w:rsid w:val="004D4BA5"/>
    <w:rsid w:val="004D5AC2"/>
    <w:rsid w:val="004D630D"/>
    <w:rsid w:val="004D6408"/>
    <w:rsid w:val="004D6543"/>
    <w:rsid w:val="004D69C4"/>
    <w:rsid w:val="004D7449"/>
    <w:rsid w:val="004E00E9"/>
    <w:rsid w:val="004E0348"/>
    <w:rsid w:val="004E07D7"/>
    <w:rsid w:val="004E1CCA"/>
    <w:rsid w:val="004E1D04"/>
    <w:rsid w:val="004E1FCA"/>
    <w:rsid w:val="004E20AC"/>
    <w:rsid w:val="004E2254"/>
    <w:rsid w:val="004E25B8"/>
    <w:rsid w:val="004E2792"/>
    <w:rsid w:val="004E2E11"/>
    <w:rsid w:val="004E34C4"/>
    <w:rsid w:val="004E38E9"/>
    <w:rsid w:val="004E3A44"/>
    <w:rsid w:val="004E401F"/>
    <w:rsid w:val="004E43AD"/>
    <w:rsid w:val="004E47F4"/>
    <w:rsid w:val="004E4EA7"/>
    <w:rsid w:val="004E52AA"/>
    <w:rsid w:val="004E5586"/>
    <w:rsid w:val="004E58CD"/>
    <w:rsid w:val="004E5B83"/>
    <w:rsid w:val="004E5F17"/>
    <w:rsid w:val="004E641D"/>
    <w:rsid w:val="004E69B4"/>
    <w:rsid w:val="004E719E"/>
    <w:rsid w:val="004E766D"/>
    <w:rsid w:val="004F03EF"/>
    <w:rsid w:val="004F06BD"/>
    <w:rsid w:val="004F0A18"/>
    <w:rsid w:val="004F0B98"/>
    <w:rsid w:val="004F0E8D"/>
    <w:rsid w:val="004F2734"/>
    <w:rsid w:val="004F2D12"/>
    <w:rsid w:val="004F4350"/>
    <w:rsid w:val="004F501C"/>
    <w:rsid w:val="004F5032"/>
    <w:rsid w:val="004F5667"/>
    <w:rsid w:val="004F5911"/>
    <w:rsid w:val="004F5A75"/>
    <w:rsid w:val="004F69B0"/>
    <w:rsid w:val="004F6AB2"/>
    <w:rsid w:val="004F7031"/>
    <w:rsid w:val="004F7293"/>
    <w:rsid w:val="005007D9"/>
    <w:rsid w:val="00500D17"/>
    <w:rsid w:val="00501A56"/>
    <w:rsid w:val="00501BD8"/>
    <w:rsid w:val="005048F4"/>
    <w:rsid w:val="00504FD8"/>
    <w:rsid w:val="00505224"/>
    <w:rsid w:val="005061F5"/>
    <w:rsid w:val="00506851"/>
    <w:rsid w:val="00506D7C"/>
    <w:rsid w:val="00506ED1"/>
    <w:rsid w:val="005075AC"/>
    <w:rsid w:val="00507782"/>
    <w:rsid w:val="00507A19"/>
    <w:rsid w:val="005100E9"/>
    <w:rsid w:val="00510146"/>
    <w:rsid w:val="005109E1"/>
    <w:rsid w:val="005111CF"/>
    <w:rsid w:val="005114D9"/>
    <w:rsid w:val="005117D4"/>
    <w:rsid w:val="00511D0F"/>
    <w:rsid w:val="00511EB5"/>
    <w:rsid w:val="005123B3"/>
    <w:rsid w:val="0051244F"/>
    <w:rsid w:val="0051255C"/>
    <w:rsid w:val="00512C4C"/>
    <w:rsid w:val="00513111"/>
    <w:rsid w:val="00513A8A"/>
    <w:rsid w:val="00513BE3"/>
    <w:rsid w:val="00513C36"/>
    <w:rsid w:val="005145C5"/>
    <w:rsid w:val="00515440"/>
    <w:rsid w:val="00515640"/>
    <w:rsid w:val="00515B8F"/>
    <w:rsid w:val="005169D8"/>
    <w:rsid w:val="00517549"/>
    <w:rsid w:val="00517720"/>
    <w:rsid w:val="005178A3"/>
    <w:rsid w:val="00517CC2"/>
    <w:rsid w:val="005202BF"/>
    <w:rsid w:val="005204CE"/>
    <w:rsid w:val="00520F6F"/>
    <w:rsid w:val="00521065"/>
    <w:rsid w:val="005211A8"/>
    <w:rsid w:val="005213A7"/>
    <w:rsid w:val="005213EB"/>
    <w:rsid w:val="005214AD"/>
    <w:rsid w:val="00521998"/>
    <w:rsid w:val="005222EB"/>
    <w:rsid w:val="0052231F"/>
    <w:rsid w:val="005230D5"/>
    <w:rsid w:val="0052392D"/>
    <w:rsid w:val="00523DD2"/>
    <w:rsid w:val="0052410D"/>
    <w:rsid w:val="005243A2"/>
    <w:rsid w:val="00524F96"/>
    <w:rsid w:val="0052524B"/>
    <w:rsid w:val="005260B4"/>
    <w:rsid w:val="00526268"/>
    <w:rsid w:val="00526B57"/>
    <w:rsid w:val="00527140"/>
    <w:rsid w:val="00527DEC"/>
    <w:rsid w:val="0053021A"/>
    <w:rsid w:val="005308BE"/>
    <w:rsid w:val="005315D4"/>
    <w:rsid w:val="00531F64"/>
    <w:rsid w:val="005324C0"/>
    <w:rsid w:val="00532877"/>
    <w:rsid w:val="00532BCE"/>
    <w:rsid w:val="0053321D"/>
    <w:rsid w:val="00533F9A"/>
    <w:rsid w:val="00534216"/>
    <w:rsid w:val="005346FA"/>
    <w:rsid w:val="00535571"/>
    <w:rsid w:val="0053581A"/>
    <w:rsid w:val="00535CCD"/>
    <w:rsid w:val="00536A14"/>
    <w:rsid w:val="00536A8F"/>
    <w:rsid w:val="00536E27"/>
    <w:rsid w:val="00537B4D"/>
    <w:rsid w:val="00540210"/>
    <w:rsid w:val="00540A30"/>
    <w:rsid w:val="00540BC9"/>
    <w:rsid w:val="00540D0C"/>
    <w:rsid w:val="005413B4"/>
    <w:rsid w:val="005419BD"/>
    <w:rsid w:val="00541B4A"/>
    <w:rsid w:val="00542ECF"/>
    <w:rsid w:val="00543218"/>
    <w:rsid w:val="005437CC"/>
    <w:rsid w:val="005437E0"/>
    <w:rsid w:val="00543962"/>
    <w:rsid w:val="00544542"/>
    <w:rsid w:val="00544B68"/>
    <w:rsid w:val="005450B0"/>
    <w:rsid w:val="00546060"/>
    <w:rsid w:val="00546068"/>
    <w:rsid w:val="0054638B"/>
    <w:rsid w:val="005466E6"/>
    <w:rsid w:val="00547199"/>
    <w:rsid w:val="00550256"/>
    <w:rsid w:val="00550471"/>
    <w:rsid w:val="0055174D"/>
    <w:rsid w:val="00551D6E"/>
    <w:rsid w:val="00552905"/>
    <w:rsid w:val="005531D9"/>
    <w:rsid w:val="00554100"/>
    <w:rsid w:val="005545C0"/>
    <w:rsid w:val="00555350"/>
    <w:rsid w:val="00555800"/>
    <w:rsid w:val="00555C04"/>
    <w:rsid w:val="005566A3"/>
    <w:rsid w:val="00556BAC"/>
    <w:rsid w:val="005576E4"/>
    <w:rsid w:val="00560A6A"/>
    <w:rsid w:val="00560D3A"/>
    <w:rsid w:val="00560F9E"/>
    <w:rsid w:val="005614F7"/>
    <w:rsid w:val="00561DF0"/>
    <w:rsid w:val="00561F74"/>
    <w:rsid w:val="005622F0"/>
    <w:rsid w:val="00562433"/>
    <w:rsid w:val="00562542"/>
    <w:rsid w:val="00563290"/>
    <w:rsid w:val="00563A1A"/>
    <w:rsid w:val="00563DB2"/>
    <w:rsid w:val="005650B6"/>
    <w:rsid w:val="00565134"/>
    <w:rsid w:val="00565206"/>
    <w:rsid w:val="005653F1"/>
    <w:rsid w:val="005657FC"/>
    <w:rsid w:val="00565830"/>
    <w:rsid w:val="0056589D"/>
    <w:rsid w:val="00565A38"/>
    <w:rsid w:val="00566072"/>
    <w:rsid w:val="0056610D"/>
    <w:rsid w:val="00566358"/>
    <w:rsid w:val="00566527"/>
    <w:rsid w:val="005677DD"/>
    <w:rsid w:val="00567FDF"/>
    <w:rsid w:val="00570144"/>
    <w:rsid w:val="005703BB"/>
    <w:rsid w:val="00570600"/>
    <w:rsid w:val="00570685"/>
    <w:rsid w:val="00570CCD"/>
    <w:rsid w:val="00571669"/>
    <w:rsid w:val="00571F21"/>
    <w:rsid w:val="005721D9"/>
    <w:rsid w:val="005721FF"/>
    <w:rsid w:val="0057257A"/>
    <w:rsid w:val="00572EF1"/>
    <w:rsid w:val="005734C8"/>
    <w:rsid w:val="00573544"/>
    <w:rsid w:val="00573625"/>
    <w:rsid w:val="00573F8E"/>
    <w:rsid w:val="00574B2D"/>
    <w:rsid w:val="00574C67"/>
    <w:rsid w:val="00575806"/>
    <w:rsid w:val="00576CA0"/>
    <w:rsid w:val="00576CAF"/>
    <w:rsid w:val="00576F1E"/>
    <w:rsid w:val="00576FDA"/>
    <w:rsid w:val="00577465"/>
    <w:rsid w:val="0057761C"/>
    <w:rsid w:val="0058042F"/>
    <w:rsid w:val="005805F8"/>
    <w:rsid w:val="00580E39"/>
    <w:rsid w:val="00581AC8"/>
    <w:rsid w:val="005824F1"/>
    <w:rsid w:val="005826B0"/>
    <w:rsid w:val="0058327C"/>
    <w:rsid w:val="005835E1"/>
    <w:rsid w:val="00583924"/>
    <w:rsid w:val="005848B1"/>
    <w:rsid w:val="00584CB7"/>
    <w:rsid w:val="005855EE"/>
    <w:rsid w:val="00586111"/>
    <w:rsid w:val="0058659A"/>
    <w:rsid w:val="00586C53"/>
    <w:rsid w:val="00586CA3"/>
    <w:rsid w:val="00586D5D"/>
    <w:rsid w:val="005871D0"/>
    <w:rsid w:val="00591208"/>
    <w:rsid w:val="0059139B"/>
    <w:rsid w:val="00591E94"/>
    <w:rsid w:val="005923BC"/>
    <w:rsid w:val="00592695"/>
    <w:rsid w:val="005927F0"/>
    <w:rsid w:val="00593E55"/>
    <w:rsid w:val="00593E5A"/>
    <w:rsid w:val="00593E83"/>
    <w:rsid w:val="00593EBC"/>
    <w:rsid w:val="005940E2"/>
    <w:rsid w:val="00594305"/>
    <w:rsid w:val="0059482A"/>
    <w:rsid w:val="00595667"/>
    <w:rsid w:val="005960F3"/>
    <w:rsid w:val="00596359"/>
    <w:rsid w:val="005968B2"/>
    <w:rsid w:val="00596955"/>
    <w:rsid w:val="00596EAB"/>
    <w:rsid w:val="00596FBC"/>
    <w:rsid w:val="0059747C"/>
    <w:rsid w:val="00597B1A"/>
    <w:rsid w:val="00597E73"/>
    <w:rsid w:val="005A023F"/>
    <w:rsid w:val="005A0D3F"/>
    <w:rsid w:val="005A0FC3"/>
    <w:rsid w:val="005A13D9"/>
    <w:rsid w:val="005A1948"/>
    <w:rsid w:val="005A1DD3"/>
    <w:rsid w:val="005A20D8"/>
    <w:rsid w:val="005A321C"/>
    <w:rsid w:val="005A36DC"/>
    <w:rsid w:val="005A3FD8"/>
    <w:rsid w:val="005A49CF"/>
    <w:rsid w:val="005A4D15"/>
    <w:rsid w:val="005A5588"/>
    <w:rsid w:val="005A5952"/>
    <w:rsid w:val="005A629A"/>
    <w:rsid w:val="005A6836"/>
    <w:rsid w:val="005A6B5A"/>
    <w:rsid w:val="005A6E1F"/>
    <w:rsid w:val="005A7168"/>
    <w:rsid w:val="005A72D1"/>
    <w:rsid w:val="005A764A"/>
    <w:rsid w:val="005B07C2"/>
    <w:rsid w:val="005B08B3"/>
    <w:rsid w:val="005B0AE7"/>
    <w:rsid w:val="005B0AFE"/>
    <w:rsid w:val="005B1066"/>
    <w:rsid w:val="005B1CE9"/>
    <w:rsid w:val="005B1CF9"/>
    <w:rsid w:val="005B1D96"/>
    <w:rsid w:val="005B1E13"/>
    <w:rsid w:val="005B24A5"/>
    <w:rsid w:val="005B2C14"/>
    <w:rsid w:val="005B2FA8"/>
    <w:rsid w:val="005B2FC7"/>
    <w:rsid w:val="005B317D"/>
    <w:rsid w:val="005B388A"/>
    <w:rsid w:val="005B3A15"/>
    <w:rsid w:val="005B4080"/>
    <w:rsid w:val="005B4B22"/>
    <w:rsid w:val="005B4E01"/>
    <w:rsid w:val="005B6D59"/>
    <w:rsid w:val="005B6FBD"/>
    <w:rsid w:val="005B73EC"/>
    <w:rsid w:val="005B745A"/>
    <w:rsid w:val="005B7561"/>
    <w:rsid w:val="005B7733"/>
    <w:rsid w:val="005B7DC5"/>
    <w:rsid w:val="005C1ED0"/>
    <w:rsid w:val="005C248A"/>
    <w:rsid w:val="005C2520"/>
    <w:rsid w:val="005C25BC"/>
    <w:rsid w:val="005C2640"/>
    <w:rsid w:val="005C26B9"/>
    <w:rsid w:val="005C4E3E"/>
    <w:rsid w:val="005C4F4C"/>
    <w:rsid w:val="005C5427"/>
    <w:rsid w:val="005C5CAD"/>
    <w:rsid w:val="005C6BE2"/>
    <w:rsid w:val="005C6D4B"/>
    <w:rsid w:val="005C7C63"/>
    <w:rsid w:val="005D04C3"/>
    <w:rsid w:val="005D1AF5"/>
    <w:rsid w:val="005D205E"/>
    <w:rsid w:val="005D2118"/>
    <w:rsid w:val="005D21C0"/>
    <w:rsid w:val="005D21F4"/>
    <w:rsid w:val="005D29EC"/>
    <w:rsid w:val="005D2B54"/>
    <w:rsid w:val="005D323C"/>
    <w:rsid w:val="005D39B3"/>
    <w:rsid w:val="005D3A96"/>
    <w:rsid w:val="005D3B9F"/>
    <w:rsid w:val="005D4A68"/>
    <w:rsid w:val="005D4B27"/>
    <w:rsid w:val="005D4E3C"/>
    <w:rsid w:val="005D5568"/>
    <w:rsid w:val="005D5A69"/>
    <w:rsid w:val="005D5BE3"/>
    <w:rsid w:val="005D5E23"/>
    <w:rsid w:val="005D5F40"/>
    <w:rsid w:val="005D6038"/>
    <w:rsid w:val="005D659B"/>
    <w:rsid w:val="005D661F"/>
    <w:rsid w:val="005D70A6"/>
    <w:rsid w:val="005D7961"/>
    <w:rsid w:val="005D7BB6"/>
    <w:rsid w:val="005D7FBF"/>
    <w:rsid w:val="005E07B3"/>
    <w:rsid w:val="005E0917"/>
    <w:rsid w:val="005E2FF4"/>
    <w:rsid w:val="005E305B"/>
    <w:rsid w:val="005E31B3"/>
    <w:rsid w:val="005E31E8"/>
    <w:rsid w:val="005E397E"/>
    <w:rsid w:val="005E3E51"/>
    <w:rsid w:val="005E428F"/>
    <w:rsid w:val="005E44F5"/>
    <w:rsid w:val="005E4FBA"/>
    <w:rsid w:val="005E5361"/>
    <w:rsid w:val="005E53D1"/>
    <w:rsid w:val="005E5F20"/>
    <w:rsid w:val="005E61F5"/>
    <w:rsid w:val="005E6E06"/>
    <w:rsid w:val="005E709E"/>
    <w:rsid w:val="005F07A3"/>
    <w:rsid w:val="005F0AC6"/>
    <w:rsid w:val="005F1013"/>
    <w:rsid w:val="005F1457"/>
    <w:rsid w:val="005F1928"/>
    <w:rsid w:val="005F2160"/>
    <w:rsid w:val="005F2212"/>
    <w:rsid w:val="005F2F3A"/>
    <w:rsid w:val="005F2F91"/>
    <w:rsid w:val="005F34E6"/>
    <w:rsid w:val="005F3E45"/>
    <w:rsid w:val="005F455F"/>
    <w:rsid w:val="005F4A47"/>
    <w:rsid w:val="005F558A"/>
    <w:rsid w:val="005F5D1E"/>
    <w:rsid w:val="005F6A38"/>
    <w:rsid w:val="005F75E1"/>
    <w:rsid w:val="005F766A"/>
    <w:rsid w:val="005F7C3F"/>
    <w:rsid w:val="0060001D"/>
    <w:rsid w:val="006008BF"/>
    <w:rsid w:val="00600EBE"/>
    <w:rsid w:val="006014E4"/>
    <w:rsid w:val="0060244E"/>
    <w:rsid w:val="00602DBC"/>
    <w:rsid w:val="00603A43"/>
    <w:rsid w:val="00603B1A"/>
    <w:rsid w:val="00603C8D"/>
    <w:rsid w:val="0060419D"/>
    <w:rsid w:val="00604A61"/>
    <w:rsid w:val="00605083"/>
    <w:rsid w:val="006052E3"/>
    <w:rsid w:val="0060544B"/>
    <w:rsid w:val="00605527"/>
    <w:rsid w:val="0060730F"/>
    <w:rsid w:val="00610463"/>
    <w:rsid w:val="00610AC7"/>
    <w:rsid w:val="00610CC4"/>
    <w:rsid w:val="0061150D"/>
    <w:rsid w:val="00612031"/>
    <w:rsid w:val="00612051"/>
    <w:rsid w:val="006121D7"/>
    <w:rsid w:val="00612660"/>
    <w:rsid w:val="0061338D"/>
    <w:rsid w:val="006135BA"/>
    <w:rsid w:val="00614212"/>
    <w:rsid w:val="006145B6"/>
    <w:rsid w:val="0061491B"/>
    <w:rsid w:val="00614931"/>
    <w:rsid w:val="00615C25"/>
    <w:rsid w:val="006160BB"/>
    <w:rsid w:val="006164C2"/>
    <w:rsid w:val="00620722"/>
    <w:rsid w:val="0062184A"/>
    <w:rsid w:val="00621C8D"/>
    <w:rsid w:val="00621E3F"/>
    <w:rsid w:val="00621E9E"/>
    <w:rsid w:val="00622764"/>
    <w:rsid w:val="00622B42"/>
    <w:rsid w:val="006232E8"/>
    <w:rsid w:val="00623A69"/>
    <w:rsid w:val="00623B3D"/>
    <w:rsid w:val="00624158"/>
    <w:rsid w:val="00624666"/>
    <w:rsid w:val="006246A7"/>
    <w:rsid w:val="00624B3C"/>
    <w:rsid w:val="00625014"/>
    <w:rsid w:val="0062501F"/>
    <w:rsid w:val="00626286"/>
    <w:rsid w:val="006262A8"/>
    <w:rsid w:val="0062663A"/>
    <w:rsid w:val="00626F0E"/>
    <w:rsid w:val="00627559"/>
    <w:rsid w:val="006279FC"/>
    <w:rsid w:val="00627AE6"/>
    <w:rsid w:val="00630256"/>
    <w:rsid w:val="0063025A"/>
    <w:rsid w:val="00630DAE"/>
    <w:rsid w:val="00631D7C"/>
    <w:rsid w:val="00632708"/>
    <w:rsid w:val="00632E1A"/>
    <w:rsid w:val="00632F39"/>
    <w:rsid w:val="0063375A"/>
    <w:rsid w:val="006340BF"/>
    <w:rsid w:val="0063507F"/>
    <w:rsid w:val="006356F2"/>
    <w:rsid w:val="0063669A"/>
    <w:rsid w:val="0063757E"/>
    <w:rsid w:val="00637901"/>
    <w:rsid w:val="0064050E"/>
    <w:rsid w:val="00640ED7"/>
    <w:rsid w:val="00641530"/>
    <w:rsid w:val="00641EFE"/>
    <w:rsid w:val="006424F7"/>
    <w:rsid w:val="006432BA"/>
    <w:rsid w:val="00644651"/>
    <w:rsid w:val="00644A01"/>
    <w:rsid w:val="00644B99"/>
    <w:rsid w:val="006452A6"/>
    <w:rsid w:val="00645318"/>
    <w:rsid w:val="00645547"/>
    <w:rsid w:val="00645D26"/>
    <w:rsid w:val="006462A4"/>
    <w:rsid w:val="0064630E"/>
    <w:rsid w:val="00646504"/>
    <w:rsid w:val="00646E2C"/>
    <w:rsid w:val="00647AC6"/>
    <w:rsid w:val="006510A4"/>
    <w:rsid w:val="00651515"/>
    <w:rsid w:val="006534BE"/>
    <w:rsid w:val="0065399B"/>
    <w:rsid w:val="00654462"/>
    <w:rsid w:val="00654CD1"/>
    <w:rsid w:val="00655208"/>
    <w:rsid w:val="00656454"/>
    <w:rsid w:val="00657258"/>
    <w:rsid w:val="00657556"/>
    <w:rsid w:val="006577DF"/>
    <w:rsid w:val="00657AB1"/>
    <w:rsid w:val="006602B5"/>
    <w:rsid w:val="00660F73"/>
    <w:rsid w:val="006610F6"/>
    <w:rsid w:val="0066121C"/>
    <w:rsid w:val="006619D7"/>
    <w:rsid w:val="00661BF0"/>
    <w:rsid w:val="00661EEE"/>
    <w:rsid w:val="00662264"/>
    <w:rsid w:val="00662C55"/>
    <w:rsid w:val="00662ECF"/>
    <w:rsid w:val="0066306F"/>
    <w:rsid w:val="00663E4F"/>
    <w:rsid w:val="0066459A"/>
    <w:rsid w:val="006648ED"/>
    <w:rsid w:val="006648F5"/>
    <w:rsid w:val="00665C51"/>
    <w:rsid w:val="006662C4"/>
    <w:rsid w:val="006664B6"/>
    <w:rsid w:val="006665C8"/>
    <w:rsid w:val="006667AD"/>
    <w:rsid w:val="00667CD6"/>
    <w:rsid w:val="00670466"/>
    <w:rsid w:val="00670A5B"/>
    <w:rsid w:val="00670C97"/>
    <w:rsid w:val="006710E6"/>
    <w:rsid w:val="0067156A"/>
    <w:rsid w:val="00671595"/>
    <w:rsid w:val="00672005"/>
    <w:rsid w:val="00673374"/>
    <w:rsid w:val="00673BA7"/>
    <w:rsid w:val="006750DC"/>
    <w:rsid w:val="00675610"/>
    <w:rsid w:val="0067576C"/>
    <w:rsid w:val="00676A57"/>
    <w:rsid w:val="00676BFD"/>
    <w:rsid w:val="00676C72"/>
    <w:rsid w:val="00677538"/>
    <w:rsid w:val="006808A8"/>
    <w:rsid w:val="00680925"/>
    <w:rsid w:val="00681669"/>
    <w:rsid w:val="00681C65"/>
    <w:rsid w:val="00681FB8"/>
    <w:rsid w:val="0068269C"/>
    <w:rsid w:val="00682A6E"/>
    <w:rsid w:val="00682D49"/>
    <w:rsid w:val="006840F2"/>
    <w:rsid w:val="0068418B"/>
    <w:rsid w:val="00684377"/>
    <w:rsid w:val="0068463D"/>
    <w:rsid w:val="006854E4"/>
    <w:rsid w:val="00686596"/>
    <w:rsid w:val="006866CE"/>
    <w:rsid w:val="00686A1D"/>
    <w:rsid w:val="00686AC7"/>
    <w:rsid w:val="0068742D"/>
    <w:rsid w:val="006874F8"/>
    <w:rsid w:val="006875DD"/>
    <w:rsid w:val="00687BE9"/>
    <w:rsid w:val="00687F49"/>
    <w:rsid w:val="00687FB0"/>
    <w:rsid w:val="006905D9"/>
    <w:rsid w:val="00690944"/>
    <w:rsid w:val="00690E0D"/>
    <w:rsid w:val="0069231A"/>
    <w:rsid w:val="0069262D"/>
    <w:rsid w:val="006928B8"/>
    <w:rsid w:val="00692B6F"/>
    <w:rsid w:val="00693083"/>
    <w:rsid w:val="006934F4"/>
    <w:rsid w:val="00693C5E"/>
    <w:rsid w:val="00693E5C"/>
    <w:rsid w:val="00695C7E"/>
    <w:rsid w:val="00696403"/>
    <w:rsid w:val="006964B3"/>
    <w:rsid w:val="00696777"/>
    <w:rsid w:val="00696DA5"/>
    <w:rsid w:val="006971CD"/>
    <w:rsid w:val="0069725B"/>
    <w:rsid w:val="0069791C"/>
    <w:rsid w:val="00697AE6"/>
    <w:rsid w:val="006A02FF"/>
    <w:rsid w:val="006A066C"/>
    <w:rsid w:val="006A0BB5"/>
    <w:rsid w:val="006A1271"/>
    <w:rsid w:val="006A2FA0"/>
    <w:rsid w:val="006A321B"/>
    <w:rsid w:val="006A4673"/>
    <w:rsid w:val="006A47E1"/>
    <w:rsid w:val="006A48A1"/>
    <w:rsid w:val="006A576D"/>
    <w:rsid w:val="006A5890"/>
    <w:rsid w:val="006A5A2E"/>
    <w:rsid w:val="006A6D28"/>
    <w:rsid w:val="006A6F21"/>
    <w:rsid w:val="006B00B6"/>
    <w:rsid w:val="006B07FB"/>
    <w:rsid w:val="006B0B3E"/>
    <w:rsid w:val="006B3765"/>
    <w:rsid w:val="006B57C2"/>
    <w:rsid w:val="006B60FD"/>
    <w:rsid w:val="006B67A1"/>
    <w:rsid w:val="006B6884"/>
    <w:rsid w:val="006B71F3"/>
    <w:rsid w:val="006B7A92"/>
    <w:rsid w:val="006B7FB9"/>
    <w:rsid w:val="006C05F7"/>
    <w:rsid w:val="006C0863"/>
    <w:rsid w:val="006C0944"/>
    <w:rsid w:val="006C0F58"/>
    <w:rsid w:val="006C1BBB"/>
    <w:rsid w:val="006C24CB"/>
    <w:rsid w:val="006C29EA"/>
    <w:rsid w:val="006C35EF"/>
    <w:rsid w:val="006C3A53"/>
    <w:rsid w:val="006C3DE7"/>
    <w:rsid w:val="006C436A"/>
    <w:rsid w:val="006C4949"/>
    <w:rsid w:val="006C499B"/>
    <w:rsid w:val="006C61E4"/>
    <w:rsid w:val="006C6812"/>
    <w:rsid w:val="006C6A23"/>
    <w:rsid w:val="006C6DEF"/>
    <w:rsid w:val="006C6F56"/>
    <w:rsid w:val="006C75D2"/>
    <w:rsid w:val="006C7752"/>
    <w:rsid w:val="006D0073"/>
    <w:rsid w:val="006D111A"/>
    <w:rsid w:val="006D124C"/>
    <w:rsid w:val="006D1740"/>
    <w:rsid w:val="006D1B90"/>
    <w:rsid w:val="006D1DD7"/>
    <w:rsid w:val="006D287C"/>
    <w:rsid w:val="006D3DA3"/>
    <w:rsid w:val="006D432E"/>
    <w:rsid w:val="006D48B9"/>
    <w:rsid w:val="006D5956"/>
    <w:rsid w:val="006D5E89"/>
    <w:rsid w:val="006D6BD6"/>
    <w:rsid w:val="006D6F46"/>
    <w:rsid w:val="006D6F7C"/>
    <w:rsid w:val="006D70A5"/>
    <w:rsid w:val="006D7132"/>
    <w:rsid w:val="006D7881"/>
    <w:rsid w:val="006D7C5C"/>
    <w:rsid w:val="006D7C76"/>
    <w:rsid w:val="006D7DBA"/>
    <w:rsid w:val="006E010F"/>
    <w:rsid w:val="006E1022"/>
    <w:rsid w:val="006E1331"/>
    <w:rsid w:val="006E1961"/>
    <w:rsid w:val="006E2562"/>
    <w:rsid w:val="006E2B4D"/>
    <w:rsid w:val="006E2EAD"/>
    <w:rsid w:val="006E3585"/>
    <w:rsid w:val="006E3A7D"/>
    <w:rsid w:val="006E4560"/>
    <w:rsid w:val="006E4E19"/>
    <w:rsid w:val="006E4F77"/>
    <w:rsid w:val="006E5479"/>
    <w:rsid w:val="006E5684"/>
    <w:rsid w:val="006E6759"/>
    <w:rsid w:val="006E68DB"/>
    <w:rsid w:val="006E6ECD"/>
    <w:rsid w:val="006E70E7"/>
    <w:rsid w:val="006E7CBC"/>
    <w:rsid w:val="006F0012"/>
    <w:rsid w:val="006F2812"/>
    <w:rsid w:val="006F3C77"/>
    <w:rsid w:val="006F448F"/>
    <w:rsid w:val="006F4A68"/>
    <w:rsid w:val="006F4BC6"/>
    <w:rsid w:val="006F4FB4"/>
    <w:rsid w:val="006F5135"/>
    <w:rsid w:val="006F51C8"/>
    <w:rsid w:val="006F583C"/>
    <w:rsid w:val="006F645D"/>
    <w:rsid w:val="006F6DDE"/>
    <w:rsid w:val="007004BE"/>
    <w:rsid w:val="007004EB"/>
    <w:rsid w:val="00700AFB"/>
    <w:rsid w:val="00701AD0"/>
    <w:rsid w:val="00701AF5"/>
    <w:rsid w:val="007020C3"/>
    <w:rsid w:val="007021F7"/>
    <w:rsid w:val="007029A4"/>
    <w:rsid w:val="00702B1C"/>
    <w:rsid w:val="00702D42"/>
    <w:rsid w:val="00703142"/>
    <w:rsid w:val="007035D4"/>
    <w:rsid w:val="00703B24"/>
    <w:rsid w:val="00703BE0"/>
    <w:rsid w:val="00703EA0"/>
    <w:rsid w:val="00704075"/>
    <w:rsid w:val="007048A4"/>
    <w:rsid w:val="00704C53"/>
    <w:rsid w:val="00705590"/>
    <w:rsid w:val="00705DE4"/>
    <w:rsid w:val="007063CE"/>
    <w:rsid w:val="0071029E"/>
    <w:rsid w:val="0071078E"/>
    <w:rsid w:val="00710919"/>
    <w:rsid w:val="00710F27"/>
    <w:rsid w:val="007113AB"/>
    <w:rsid w:val="00711C86"/>
    <w:rsid w:val="007124C1"/>
    <w:rsid w:val="007126AB"/>
    <w:rsid w:val="00713555"/>
    <w:rsid w:val="00713A87"/>
    <w:rsid w:val="00715314"/>
    <w:rsid w:val="007154F6"/>
    <w:rsid w:val="007156AE"/>
    <w:rsid w:val="0071580B"/>
    <w:rsid w:val="00715AA0"/>
    <w:rsid w:val="00715D61"/>
    <w:rsid w:val="00715F8B"/>
    <w:rsid w:val="007168B6"/>
    <w:rsid w:val="00717259"/>
    <w:rsid w:val="0071776C"/>
    <w:rsid w:val="007206CD"/>
    <w:rsid w:val="007206F7"/>
    <w:rsid w:val="00721061"/>
    <w:rsid w:val="0072142E"/>
    <w:rsid w:val="00721FA3"/>
    <w:rsid w:val="00727007"/>
    <w:rsid w:val="0072702C"/>
    <w:rsid w:val="00727C11"/>
    <w:rsid w:val="00727C7F"/>
    <w:rsid w:val="007301CA"/>
    <w:rsid w:val="00730D72"/>
    <w:rsid w:val="00731026"/>
    <w:rsid w:val="007317AD"/>
    <w:rsid w:val="00731B3C"/>
    <w:rsid w:val="00732227"/>
    <w:rsid w:val="00732DA7"/>
    <w:rsid w:val="00732DC7"/>
    <w:rsid w:val="00732E56"/>
    <w:rsid w:val="00733174"/>
    <w:rsid w:val="00733BAC"/>
    <w:rsid w:val="0073489E"/>
    <w:rsid w:val="00734916"/>
    <w:rsid w:val="00734BB8"/>
    <w:rsid w:val="00735031"/>
    <w:rsid w:val="007356FB"/>
    <w:rsid w:val="00735CA8"/>
    <w:rsid w:val="007360FC"/>
    <w:rsid w:val="00736164"/>
    <w:rsid w:val="00736605"/>
    <w:rsid w:val="00736FB4"/>
    <w:rsid w:val="007375B4"/>
    <w:rsid w:val="00737E75"/>
    <w:rsid w:val="00740D8E"/>
    <w:rsid w:val="00741A0E"/>
    <w:rsid w:val="0074254D"/>
    <w:rsid w:val="0074277D"/>
    <w:rsid w:val="00742EF0"/>
    <w:rsid w:val="0074391F"/>
    <w:rsid w:val="00743969"/>
    <w:rsid w:val="00743C74"/>
    <w:rsid w:val="00743EBA"/>
    <w:rsid w:val="007443B4"/>
    <w:rsid w:val="00744A96"/>
    <w:rsid w:val="00744D69"/>
    <w:rsid w:val="00744EF0"/>
    <w:rsid w:val="0074530E"/>
    <w:rsid w:val="0074533C"/>
    <w:rsid w:val="00745365"/>
    <w:rsid w:val="00745470"/>
    <w:rsid w:val="0074778C"/>
    <w:rsid w:val="00747D90"/>
    <w:rsid w:val="00750039"/>
    <w:rsid w:val="00751183"/>
    <w:rsid w:val="00751696"/>
    <w:rsid w:val="00751F40"/>
    <w:rsid w:val="007521F8"/>
    <w:rsid w:val="00752308"/>
    <w:rsid w:val="007529FF"/>
    <w:rsid w:val="00752FA5"/>
    <w:rsid w:val="00753138"/>
    <w:rsid w:val="00753B78"/>
    <w:rsid w:val="00753C7B"/>
    <w:rsid w:val="00753FFA"/>
    <w:rsid w:val="00754942"/>
    <w:rsid w:val="00754E40"/>
    <w:rsid w:val="00755830"/>
    <w:rsid w:val="00755EC3"/>
    <w:rsid w:val="00756797"/>
    <w:rsid w:val="00756E43"/>
    <w:rsid w:val="00756F78"/>
    <w:rsid w:val="00757508"/>
    <w:rsid w:val="00757654"/>
    <w:rsid w:val="00757E62"/>
    <w:rsid w:val="00760101"/>
    <w:rsid w:val="00760262"/>
    <w:rsid w:val="00760352"/>
    <w:rsid w:val="007609F4"/>
    <w:rsid w:val="00760A71"/>
    <w:rsid w:val="007616AB"/>
    <w:rsid w:val="00762C3D"/>
    <w:rsid w:val="00762E21"/>
    <w:rsid w:val="00762E39"/>
    <w:rsid w:val="00763703"/>
    <w:rsid w:val="007654E3"/>
    <w:rsid w:val="007656CC"/>
    <w:rsid w:val="00765DB9"/>
    <w:rsid w:val="0076606D"/>
    <w:rsid w:val="007662B1"/>
    <w:rsid w:val="007662F1"/>
    <w:rsid w:val="007665F4"/>
    <w:rsid w:val="00766CE7"/>
    <w:rsid w:val="00766EC4"/>
    <w:rsid w:val="00770F32"/>
    <w:rsid w:val="00771458"/>
    <w:rsid w:val="0077174A"/>
    <w:rsid w:val="007717C1"/>
    <w:rsid w:val="00771888"/>
    <w:rsid w:val="007723F1"/>
    <w:rsid w:val="007725AF"/>
    <w:rsid w:val="00772C2C"/>
    <w:rsid w:val="00772D8E"/>
    <w:rsid w:val="00773159"/>
    <w:rsid w:val="00773359"/>
    <w:rsid w:val="007737CC"/>
    <w:rsid w:val="00773E5C"/>
    <w:rsid w:val="007749CF"/>
    <w:rsid w:val="00774E01"/>
    <w:rsid w:val="00774EEB"/>
    <w:rsid w:val="007750AC"/>
    <w:rsid w:val="0077557F"/>
    <w:rsid w:val="00775DFF"/>
    <w:rsid w:val="00776E91"/>
    <w:rsid w:val="007772CD"/>
    <w:rsid w:val="007775F0"/>
    <w:rsid w:val="00777846"/>
    <w:rsid w:val="00780048"/>
    <w:rsid w:val="00780349"/>
    <w:rsid w:val="007808CD"/>
    <w:rsid w:val="00780F03"/>
    <w:rsid w:val="0078129C"/>
    <w:rsid w:val="00781514"/>
    <w:rsid w:val="00781CCD"/>
    <w:rsid w:val="00783B0C"/>
    <w:rsid w:val="0078409B"/>
    <w:rsid w:val="00784131"/>
    <w:rsid w:val="0078486C"/>
    <w:rsid w:val="0078497D"/>
    <w:rsid w:val="00784F09"/>
    <w:rsid w:val="00785216"/>
    <w:rsid w:val="007855EC"/>
    <w:rsid w:val="00785EE0"/>
    <w:rsid w:val="007863A8"/>
    <w:rsid w:val="007864F7"/>
    <w:rsid w:val="00787760"/>
    <w:rsid w:val="007906C6"/>
    <w:rsid w:val="0079129F"/>
    <w:rsid w:val="0079180C"/>
    <w:rsid w:val="00791B9F"/>
    <w:rsid w:val="00792654"/>
    <w:rsid w:val="00794646"/>
    <w:rsid w:val="00794750"/>
    <w:rsid w:val="00794A09"/>
    <w:rsid w:val="00794A75"/>
    <w:rsid w:val="00794B52"/>
    <w:rsid w:val="00796282"/>
    <w:rsid w:val="00796887"/>
    <w:rsid w:val="00796999"/>
    <w:rsid w:val="00796BE3"/>
    <w:rsid w:val="00796C25"/>
    <w:rsid w:val="00796D73"/>
    <w:rsid w:val="00796F59"/>
    <w:rsid w:val="0079714E"/>
    <w:rsid w:val="00797802"/>
    <w:rsid w:val="007A0076"/>
    <w:rsid w:val="007A00CA"/>
    <w:rsid w:val="007A01ED"/>
    <w:rsid w:val="007A2CAA"/>
    <w:rsid w:val="007A3905"/>
    <w:rsid w:val="007A3A21"/>
    <w:rsid w:val="007A3FAB"/>
    <w:rsid w:val="007A4681"/>
    <w:rsid w:val="007A4919"/>
    <w:rsid w:val="007A4ED0"/>
    <w:rsid w:val="007A513E"/>
    <w:rsid w:val="007A5473"/>
    <w:rsid w:val="007A5738"/>
    <w:rsid w:val="007A5968"/>
    <w:rsid w:val="007A6711"/>
    <w:rsid w:val="007B0F93"/>
    <w:rsid w:val="007B1630"/>
    <w:rsid w:val="007B1667"/>
    <w:rsid w:val="007B1B20"/>
    <w:rsid w:val="007B1BB9"/>
    <w:rsid w:val="007B1CD8"/>
    <w:rsid w:val="007B20ED"/>
    <w:rsid w:val="007B2287"/>
    <w:rsid w:val="007B2665"/>
    <w:rsid w:val="007B28D5"/>
    <w:rsid w:val="007B2C89"/>
    <w:rsid w:val="007B386C"/>
    <w:rsid w:val="007B3C3F"/>
    <w:rsid w:val="007B3F4B"/>
    <w:rsid w:val="007B42F7"/>
    <w:rsid w:val="007B50FE"/>
    <w:rsid w:val="007B5264"/>
    <w:rsid w:val="007B5319"/>
    <w:rsid w:val="007B594A"/>
    <w:rsid w:val="007B60B0"/>
    <w:rsid w:val="007B642A"/>
    <w:rsid w:val="007B660F"/>
    <w:rsid w:val="007B694B"/>
    <w:rsid w:val="007B756B"/>
    <w:rsid w:val="007C088F"/>
    <w:rsid w:val="007C11CF"/>
    <w:rsid w:val="007C185A"/>
    <w:rsid w:val="007C1F59"/>
    <w:rsid w:val="007C2497"/>
    <w:rsid w:val="007C26AE"/>
    <w:rsid w:val="007C2E53"/>
    <w:rsid w:val="007C329F"/>
    <w:rsid w:val="007C3398"/>
    <w:rsid w:val="007C354C"/>
    <w:rsid w:val="007C4526"/>
    <w:rsid w:val="007C4609"/>
    <w:rsid w:val="007C4DBA"/>
    <w:rsid w:val="007C4F0C"/>
    <w:rsid w:val="007C5CDF"/>
    <w:rsid w:val="007C6797"/>
    <w:rsid w:val="007C6A54"/>
    <w:rsid w:val="007C7240"/>
    <w:rsid w:val="007C780F"/>
    <w:rsid w:val="007C79C5"/>
    <w:rsid w:val="007D052D"/>
    <w:rsid w:val="007D0AEC"/>
    <w:rsid w:val="007D1143"/>
    <w:rsid w:val="007D1D2F"/>
    <w:rsid w:val="007D2B3C"/>
    <w:rsid w:val="007D2D31"/>
    <w:rsid w:val="007D3264"/>
    <w:rsid w:val="007D3477"/>
    <w:rsid w:val="007D44D9"/>
    <w:rsid w:val="007D4A40"/>
    <w:rsid w:val="007D50D5"/>
    <w:rsid w:val="007D51B4"/>
    <w:rsid w:val="007D5E49"/>
    <w:rsid w:val="007D640C"/>
    <w:rsid w:val="007D6444"/>
    <w:rsid w:val="007D7A77"/>
    <w:rsid w:val="007E0516"/>
    <w:rsid w:val="007E0884"/>
    <w:rsid w:val="007E09AE"/>
    <w:rsid w:val="007E11F6"/>
    <w:rsid w:val="007E1709"/>
    <w:rsid w:val="007E1C4A"/>
    <w:rsid w:val="007E1DAF"/>
    <w:rsid w:val="007E213D"/>
    <w:rsid w:val="007E23B2"/>
    <w:rsid w:val="007E257D"/>
    <w:rsid w:val="007E25C1"/>
    <w:rsid w:val="007E30C7"/>
    <w:rsid w:val="007E3495"/>
    <w:rsid w:val="007E3D91"/>
    <w:rsid w:val="007E40FA"/>
    <w:rsid w:val="007E442F"/>
    <w:rsid w:val="007E4499"/>
    <w:rsid w:val="007E45D3"/>
    <w:rsid w:val="007E4788"/>
    <w:rsid w:val="007E4B03"/>
    <w:rsid w:val="007E4FEC"/>
    <w:rsid w:val="007E65E3"/>
    <w:rsid w:val="007E6A39"/>
    <w:rsid w:val="007E7AF4"/>
    <w:rsid w:val="007F0069"/>
    <w:rsid w:val="007F0629"/>
    <w:rsid w:val="007F08FA"/>
    <w:rsid w:val="007F1202"/>
    <w:rsid w:val="007F1213"/>
    <w:rsid w:val="007F225E"/>
    <w:rsid w:val="007F2316"/>
    <w:rsid w:val="007F2A19"/>
    <w:rsid w:val="007F3075"/>
    <w:rsid w:val="007F3081"/>
    <w:rsid w:val="007F3D77"/>
    <w:rsid w:val="007F4324"/>
    <w:rsid w:val="007F5207"/>
    <w:rsid w:val="007F547F"/>
    <w:rsid w:val="007F548E"/>
    <w:rsid w:val="007F5490"/>
    <w:rsid w:val="007F5774"/>
    <w:rsid w:val="007F5A98"/>
    <w:rsid w:val="007F66AC"/>
    <w:rsid w:val="007F6F2F"/>
    <w:rsid w:val="0080058B"/>
    <w:rsid w:val="00800F74"/>
    <w:rsid w:val="008013A1"/>
    <w:rsid w:val="008018F1"/>
    <w:rsid w:val="00802438"/>
    <w:rsid w:val="00802EBC"/>
    <w:rsid w:val="00802FF1"/>
    <w:rsid w:val="0080341B"/>
    <w:rsid w:val="00803B7E"/>
    <w:rsid w:val="00803C28"/>
    <w:rsid w:val="00803D92"/>
    <w:rsid w:val="00803E13"/>
    <w:rsid w:val="008048CD"/>
    <w:rsid w:val="00804F86"/>
    <w:rsid w:val="00806080"/>
    <w:rsid w:val="0080699D"/>
    <w:rsid w:val="00806A83"/>
    <w:rsid w:val="00807C38"/>
    <w:rsid w:val="00807D53"/>
    <w:rsid w:val="0081080E"/>
    <w:rsid w:val="008112C7"/>
    <w:rsid w:val="008113CF"/>
    <w:rsid w:val="008133B7"/>
    <w:rsid w:val="008133BE"/>
    <w:rsid w:val="00813A01"/>
    <w:rsid w:val="00813B84"/>
    <w:rsid w:val="00813E32"/>
    <w:rsid w:val="00813E69"/>
    <w:rsid w:val="0081423F"/>
    <w:rsid w:val="00814427"/>
    <w:rsid w:val="0081486A"/>
    <w:rsid w:val="00814DBD"/>
    <w:rsid w:val="008153AC"/>
    <w:rsid w:val="00815F2D"/>
    <w:rsid w:val="0081681C"/>
    <w:rsid w:val="008169BD"/>
    <w:rsid w:val="008172D1"/>
    <w:rsid w:val="00817427"/>
    <w:rsid w:val="00817813"/>
    <w:rsid w:val="00817926"/>
    <w:rsid w:val="00817E64"/>
    <w:rsid w:val="00817EB7"/>
    <w:rsid w:val="0082038E"/>
    <w:rsid w:val="008205BB"/>
    <w:rsid w:val="008206BC"/>
    <w:rsid w:val="00820724"/>
    <w:rsid w:val="00820B9E"/>
    <w:rsid w:val="00820E42"/>
    <w:rsid w:val="008210A1"/>
    <w:rsid w:val="00821EC0"/>
    <w:rsid w:val="008222A6"/>
    <w:rsid w:val="00822A9C"/>
    <w:rsid w:val="00822CE6"/>
    <w:rsid w:val="008233CF"/>
    <w:rsid w:val="00823952"/>
    <w:rsid w:val="00823954"/>
    <w:rsid w:val="00823C27"/>
    <w:rsid w:val="00823E80"/>
    <w:rsid w:val="00824249"/>
    <w:rsid w:val="008252E6"/>
    <w:rsid w:val="00825791"/>
    <w:rsid w:val="008257DF"/>
    <w:rsid w:val="00826C9D"/>
    <w:rsid w:val="00826D57"/>
    <w:rsid w:val="008304B4"/>
    <w:rsid w:val="00830EE8"/>
    <w:rsid w:val="00830F83"/>
    <w:rsid w:val="00831EE1"/>
    <w:rsid w:val="00831FBE"/>
    <w:rsid w:val="00832894"/>
    <w:rsid w:val="00832C17"/>
    <w:rsid w:val="00832C40"/>
    <w:rsid w:val="008343E0"/>
    <w:rsid w:val="008344DA"/>
    <w:rsid w:val="00834C19"/>
    <w:rsid w:val="00834E4F"/>
    <w:rsid w:val="00835955"/>
    <w:rsid w:val="00835DD9"/>
    <w:rsid w:val="008361A3"/>
    <w:rsid w:val="008370DF"/>
    <w:rsid w:val="0083756C"/>
    <w:rsid w:val="00837C1F"/>
    <w:rsid w:val="00840120"/>
    <w:rsid w:val="00840164"/>
    <w:rsid w:val="00840656"/>
    <w:rsid w:val="00841180"/>
    <w:rsid w:val="008413B8"/>
    <w:rsid w:val="00841575"/>
    <w:rsid w:val="00841577"/>
    <w:rsid w:val="00841BEE"/>
    <w:rsid w:val="008429F8"/>
    <w:rsid w:val="00842AD8"/>
    <w:rsid w:val="00843110"/>
    <w:rsid w:val="008432A5"/>
    <w:rsid w:val="008438B4"/>
    <w:rsid w:val="00843939"/>
    <w:rsid w:val="00843E22"/>
    <w:rsid w:val="00844410"/>
    <w:rsid w:val="00844430"/>
    <w:rsid w:val="0084471C"/>
    <w:rsid w:val="00844C6A"/>
    <w:rsid w:val="00844D99"/>
    <w:rsid w:val="00844F58"/>
    <w:rsid w:val="00845875"/>
    <w:rsid w:val="00845926"/>
    <w:rsid w:val="00845F0E"/>
    <w:rsid w:val="00847248"/>
    <w:rsid w:val="00847CF0"/>
    <w:rsid w:val="00850219"/>
    <w:rsid w:val="0085123B"/>
    <w:rsid w:val="0085210D"/>
    <w:rsid w:val="00852257"/>
    <w:rsid w:val="00852571"/>
    <w:rsid w:val="008526D4"/>
    <w:rsid w:val="008530C3"/>
    <w:rsid w:val="00853453"/>
    <w:rsid w:val="00853499"/>
    <w:rsid w:val="00853EB0"/>
    <w:rsid w:val="008542DC"/>
    <w:rsid w:val="0085440E"/>
    <w:rsid w:val="0085442D"/>
    <w:rsid w:val="0085470B"/>
    <w:rsid w:val="00854F93"/>
    <w:rsid w:val="00855F1A"/>
    <w:rsid w:val="00857013"/>
    <w:rsid w:val="00857A8F"/>
    <w:rsid w:val="00857E80"/>
    <w:rsid w:val="008616EB"/>
    <w:rsid w:val="0086198D"/>
    <w:rsid w:val="00861996"/>
    <w:rsid w:val="00861F79"/>
    <w:rsid w:val="0086249B"/>
    <w:rsid w:val="008625FC"/>
    <w:rsid w:val="00862CA5"/>
    <w:rsid w:val="00862E55"/>
    <w:rsid w:val="00863848"/>
    <w:rsid w:val="008651B7"/>
    <w:rsid w:val="008651DC"/>
    <w:rsid w:val="00865508"/>
    <w:rsid w:val="00865C7F"/>
    <w:rsid w:val="008662EE"/>
    <w:rsid w:val="00867100"/>
    <w:rsid w:val="008671A4"/>
    <w:rsid w:val="00870ADC"/>
    <w:rsid w:val="00870C66"/>
    <w:rsid w:val="00871054"/>
    <w:rsid w:val="00872795"/>
    <w:rsid w:val="00872C4B"/>
    <w:rsid w:val="0087325E"/>
    <w:rsid w:val="00873D9D"/>
    <w:rsid w:val="008745DA"/>
    <w:rsid w:val="0087470A"/>
    <w:rsid w:val="00874848"/>
    <w:rsid w:val="00875E2F"/>
    <w:rsid w:val="00875E63"/>
    <w:rsid w:val="00877250"/>
    <w:rsid w:val="008775A0"/>
    <w:rsid w:val="00880148"/>
    <w:rsid w:val="00880B81"/>
    <w:rsid w:val="008811C7"/>
    <w:rsid w:val="00881D85"/>
    <w:rsid w:val="008831F0"/>
    <w:rsid w:val="00883787"/>
    <w:rsid w:val="00883C03"/>
    <w:rsid w:val="00884246"/>
    <w:rsid w:val="0088558E"/>
    <w:rsid w:val="00885DA9"/>
    <w:rsid w:val="00886647"/>
    <w:rsid w:val="00886E21"/>
    <w:rsid w:val="0088731F"/>
    <w:rsid w:val="00887841"/>
    <w:rsid w:val="008903F7"/>
    <w:rsid w:val="00890958"/>
    <w:rsid w:val="00890B8A"/>
    <w:rsid w:val="00891A8C"/>
    <w:rsid w:val="00891C6D"/>
    <w:rsid w:val="00892B40"/>
    <w:rsid w:val="00892C9C"/>
    <w:rsid w:val="008931B0"/>
    <w:rsid w:val="008934B0"/>
    <w:rsid w:val="0089393E"/>
    <w:rsid w:val="00895162"/>
    <w:rsid w:val="008957C6"/>
    <w:rsid w:val="00895CBD"/>
    <w:rsid w:val="0089667F"/>
    <w:rsid w:val="008969A0"/>
    <w:rsid w:val="00896BCC"/>
    <w:rsid w:val="008975B1"/>
    <w:rsid w:val="00897B84"/>
    <w:rsid w:val="00897DA5"/>
    <w:rsid w:val="008A073A"/>
    <w:rsid w:val="008A0972"/>
    <w:rsid w:val="008A118E"/>
    <w:rsid w:val="008A1A61"/>
    <w:rsid w:val="008A2908"/>
    <w:rsid w:val="008A3C34"/>
    <w:rsid w:val="008A484F"/>
    <w:rsid w:val="008A48B7"/>
    <w:rsid w:val="008A4ACA"/>
    <w:rsid w:val="008A4FAE"/>
    <w:rsid w:val="008A599C"/>
    <w:rsid w:val="008A5AC4"/>
    <w:rsid w:val="008A5B43"/>
    <w:rsid w:val="008A6DF7"/>
    <w:rsid w:val="008A7244"/>
    <w:rsid w:val="008A73A3"/>
    <w:rsid w:val="008A7B61"/>
    <w:rsid w:val="008A7E0F"/>
    <w:rsid w:val="008A7E73"/>
    <w:rsid w:val="008B02E4"/>
    <w:rsid w:val="008B0798"/>
    <w:rsid w:val="008B07DD"/>
    <w:rsid w:val="008B0906"/>
    <w:rsid w:val="008B0B0C"/>
    <w:rsid w:val="008B12E5"/>
    <w:rsid w:val="008B13F9"/>
    <w:rsid w:val="008B1A06"/>
    <w:rsid w:val="008B2BEB"/>
    <w:rsid w:val="008B3F7A"/>
    <w:rsid w:val="008B4390"/>
    <w:rsid w:val="008B48BB"/>
    <w:rsid w:val="008B4A15"/>
    <w:rsid w:val="008B55BF"/>
    <w:rsid w:val="008B62B8"/>
    <w:rsid w:val="008B6B6E"/>
    <w:rsid w:val="008B73AE"/>
    <w:rsid w:val="008B7B48"/>
    <w:rsid w:val="008C171C"/>
    <w:rsid w:val="008C18CB"/>
    <w:rsid w:val="008C1BC0"/>
    <w:rsid w:val="008C1D59"/>
    <w:rsid w:val="008C2672"/>
    <w:rsid w:val="008C2757"/>
    <w:rsid w:val="008C2EAB"/>
    <w:rsid w:val="008C49D9"/>
    <w:rsid w:val="008C5005"/>
    <w:rsid w:val="008C52BF"/>
    <w:rsid w:val="008C5313"/>
    <w:rsid w:val="008C6211"/>
    <w:rsid w:val="008C63BC"/>
    <w:rsid w:val="008C641B"/>
    <w:rsid w:val="008C645F"/>
    <w:rsid w:val="008C6A1C"/>
    <w:rsid w:val="008C6F20"/>
    <w:rsid w:val="008C71DA"/>
    <w:rsid w:val="008C74BE"/>
    <w:rsid w:val="008C7F5E"/>
    <w:rsid w:val="008D0E08"/>
    <w:rsid w:val="008D12F2"/>
    <w:rsid w:val="008D1C6B"/>
    <w:rsid w:val="008D1EDB"/>
    <w:rsid w:val="008D2828"/>
    <w:rsid w:val="008D2A95"/>
    <w:rsid w:val="008D30F6"/>
    <w:rsid w:val="008D3206"/>
    <w:rsid w:val="008D362A"/>
    <w:rsid w:val="008D36CD"/>
    <w:rsid w:val="008D3B76"/>
    <w:rsid w:val="008D4218"/>
    <w:rsid w:val="008D448D"/>
    <w:rsid w:val="008D466C"/>
    <w:rsid w:val="008D4731"/>
    <w:rsid w:val="008D4EF6"/>
    <w:rsid w:val="008D4F5B"/>
    <w:rsid w:val="008D54EA"/>
    <w:rsid w:val="008D568F"/>
    <w:rsid w:val="008D624B"/>
    <w:rsid w:val="008D6729"/>
    <w:rsid w:val="008D676D"/>
    <w:rsid w:val="008D6C65"/>
    <w:rsid w:val="008D6DD5"/>
    <w:rsid w:val="008D7101"/>
    <w:rsid w:val="008D757F"/>
    <w:rsid w:val="008D75A6"/>
    <w:rsid w:val="008D7A32"/>
    <w:rsid w:val="008D7A4D"/>
    <w:rsid w:val="008E085F"/>
    <w:rsid w:val="008E0A2D"/>
    <w:rsid w:val="008E0E6A"/>
    <w:rsid w:val="008E1794"/>
    <w:rsid w:val="008E20B1"/>
    <w:rsid w:val="008E22C6"/>
    <w:rsid w:val="008E2640"/>
    <w:rsid w:val="008E27B1"/>
    <w:rsid w:val="008E28F8"/>
    <w:rsid w:val="008E2A7F"/>
    <w:rsid w:val="008E2DB8"/>
    <w:rsid w:val="008E30F8"/>
    <w:rsid w:val="008E328C"/>
    <w:rsid w:val="008E37F6"/>
    <w:rsid w:val="008E3920"/>
    <w:rsid w:val="008E3EB1"/>
    <w:rsid w:val="008E3FC3"/>
    <w:rsid w:val="008E439D"/>
    <w:rsid w:val="008E4721"/>
    <w:rsid w:val="008E4E1B"/>
    <w:rsid w:val="008E5252"/>
    <w:rsid w:val="008E5BD5"/>
    <w:rsid w:val="008E6436"/>
    <w:rsid w:val="008E6516"/>
    <w:rsid w:val="008E6EF0"/>
    <w:rsid w:val="008E7844"/>
    <w:rsid w:val="008E7860"/>
    <w:rsid w:val="008E79F7"/>
    <w:rsid w:val="008F0320"/>
    <w:rsid w:val="008F04E0"/>
    <w:rsid w:val="008F0984"/>
    <w:rsid w:val="008F11DB"/>
    <w:rsid w:val="008F19E6"/>
    <w:rsid w:val="008F1B5D"/>
    <w:rsid w:val="008F1EA4"/>
    <w:rsid w:val="008F2FC8"/>
    <w:rsid w:val="008F3B19"/>
    <w:rsid w:val="008F55C8"/>
    <w:rsid w:val="008F5805"/>
    <w:rsid w:val="008F604E"/>
    <w:rsid w:val="008F6C44"/>
    <w:rsid w:val="008F6C6E"/>
    <w:rsid w:val="008F7C23"/>
    <w:rsid w:val="00900495"/>
    <w:rsid w:val="009016DD"/>
    <w:rsid w:val="0090234D"/>
    <w:rsid w:val="00904B85"/>
    <w:rsid w:val="00904F17"/>
    <w:rsid w:val="00904F7E"/>
    <w:rsid w:val="00905218"/>
    <w:rsid w:val="00905437"/>
    <w:rsid w:val="009055AA"/>
    <w:rsid w:val="009057E6"/>
    <w:rsid w:val="00905A74"/>
    <w:rsid w:val="00905C20"/>
    <w:rsid w:val="00905FBA"/>
    <w:rsid w:val="0090637E"/>
    <w:rsid w:val="00906666"/>
    <w:rsid w:val="0090724C"/>
    <w:rsid w:val="00907BEA"/>
    <w:rsid w:val="00911BFD"/>
    <w:rsid w:val="00911D39"/>
    <w:rsid w:val="00912095"/>
    <w:rsid w:val="009120A8"/>
    <w:rsid w:val="00912303"/>
    <w:rsid w:val="009127DB"/>
    <w:rsid w:val="00912C63"/>
    <w:rsid w:val="00913335"/>
    <w:rsid w:val="00913C58"/>
    <w:rsid w:val="00914213"/>
    <w:rsid w:val="009145E8"/>
    <w:rsid w:val="0091468E"/>
    <w:rsid w:val="009147FE"/>
    <w:rsid w:val="00914DBE"/>
    <w:rsid w:val="0091584E"/>
    <w:rsid w:val="00915EBC"/>
    <w:rsid w:val="0091662D"/>
    <w:rsid w:val="00916BD6"/>
    <w:rsid w:val="00916CB1"/>
    <w:rsid w:val="00916DD9"/>
    <w:rsid w:val="0091757C"/>
    <w:rsid w:val="009176BA"/>
    <w:rsid w:val="009178A3"/>
    <w:rsid w:val="00917AB6"/>
    <w:rsid w:val="00920762"/>
    <w:rsid w:val="00920E6A"/>
    <w:rsid w:val="00920FC2"/>
    <w:rsid w:val="0092124D"/>
    <w:rsid w:val="00921712"/>
    <w:rsid w:val="009219CF"/>
    <w:rsid w:val="00922353"/>
    <w:rsid w:val="0092250F"/>
    <w:rsid w:val="00922669"/>
    <w:rsid w:val="00922F23"/>
    <w:rsid w:val="00923C70"/>
    <w:rsid w:val="0092435D"/>
    <w:rsid w:val="00924B21"/>
    <w:rsid w:val="0092542D"/>
    <w:rsid w:val="0092555C"/>
    <w:rsid w:val="0092770F"/>
    <w:rsid w:val="00930D2C"/>
    <w:rsid w:val="00930E64"/>
    <w:rsid w:val="009310BF"/>
    <w:rsid w:val="00931118"/>
    <w:rsid w:val="009317A3"/>
    <w:rsid w:val="00931B49"/>
    <w:rsid w:val="00932DD0"/>
    <w:rsid w:val="00932F1D"/>
    <w:rsid w:val="009336DD"/>
    <w:rsid w:val="009339D0"/>
    <w:rsid w:val="00933A57"/>
    <w:rsid w:val="00933C75"/>
    <w:rsid w:val="00934E03"/>
    <w:rsid w:val="00934FC1"/>
    <w:rsid w:val="00935C73"/>
    <w:rsid w:val="0093615E"/>
    <w:rsid w:val="009368E9"/>
    <w:rsid w:val="00936B54"/>
    <w:rsid w:val="00936DC8"/>
    <w:rsid w:val="009371DD"/>
    <w:rsid w:val="009378D5"/>
    <w:rsid w:val="00941475"/>
    <w:rsid w:val="00941E5D"/>
    <w:rsid w:val="009422BC"/>
    <w:rsid w:val="0094257E"/>
    <w:rsid w:val="00942738"/>
    <w:rsid w:val="00942A06"/>
    <w:rsid w:val="00943171"/>
    <w:rsid w:val="00943D1B"/>
    <w:rsid w:val="009442DB"/>
    <w:rsid w:val="009447EF"/>
    <w:rsid w:val="00944AEC"/>
    <w:rsid w:val="00944AFF"/>
    <w:rsid w:val="00944B21"/>
    <w:rsid w:val="00944BCE"/>
    <w:rsid w:val="00944E3E"/>
    <w:rsid w:val="00945575"/>
    <w:rsid w:val="00945F86"/>
    <w:rsid w:val="00946457"/>
    <w:rsid w:val="00946852"/>
    <w:rsid w:val="00946F94"/>
    <w:rsid w:val="00947738"/>
    <w:rsid w:val="009477D3"/>
    <w:rsid w:val="00947AB2"/>
    <w:rsid w:val="009501E7"/>
    <w:rsid w:val="009514E1"/>
    <w:rsid w:val="00951E6C"/>
    <w:rsid w:val="00952F97"/>
    <w:rsid w:val="009530DF"/>
    <w:rsid w:val="009537E7"/>
    <w:rsid w:val="00954A1A"/>
    <w:rsid w:val="00955DCC"/>
    <w:rsid w:val="00955E12"/>
    <w:rsid w:val="00955E6F"/>
    <w:rsid w:val="00956041"/>
    <w:rsid w:val="009564D0"/>
    <w:rsid w:val="00956818"/>
    <w:rsid w:val="009578DD"/>
    <w:rsid w:val="00957AB6"/>
    <w:rsid w:val="00960086"/>
    <w:rsid w:val="00960327"/>
    <w:rsid w:val="00960353"/>
    <w:rsid w:val="00960550"/>
    <w:rsid w:val="0096071B"/>
    <w:rsid w:val="00960925"/>
    <w:rsid w:val="00960AC4"/>
    <w:rsid w:val="0096198D"/>
    <w:rsid w:val="00961A8A"/>
    <w:rsid w:val="00961CBF"/>
    <w:rsid w:val="00961F43"/>
    <w:rsid w:val="00961FBE"/>
    <w:rsid w:val="00962484"/>
    <w:rsid w:val="009631F6"/>
    <w:rsid w:val="00963303"/>
    <w:rsid w:val="00963A79"/>
    <w:rsid w:val="00963AC0"/>
    <w:rsid w:val="00963D15"/>
    <w:rsid w:val="009640D0"/>
    <w:rsid w:val="00964412"/>
    <w:rsid w:val="00964521"/>
    <w:rsid w:val="0096463C"/>
    <w:rsid w:val="009648A6"/>
    <w:rsid w:val="00964FCF"/>
    <w:rsid w:val="009654B8"/>
    <w:rsid w:val="0096593E"/>
    <w:rsid w:val="00965977"/>
    <w:rsid w:val="00965A69"/>
    <w:rsid w:val="00966137"/>
    <w:rsid w:val="009661FE"/>
    <w:rsid w:val="009670A2"/>
    <w:rsid w:val="009673FE"/>
    <w:rsid w:val="00967982"/>
    <w:rsid w:val="00967BA5"/>
    <w:rsid w:val="00967D58"/>
    <w:rsid w:val="00967E65"/>
    <w:rsid w:val="00970B4A"/>
    <w:rsid w:val="00971111"/>
    <w:rsid w:val="00971195"/>
    <w:rsid w:val="00971723"/>
    <w:rsid w:val="00971BF5"/>
    <w:rsid w:val="009727B1"/>
    <w:rsid w:val="009734E7"/>
    <w:rsid w:val="009739D0"/>
    <w:rsid w:val="00974245"/>
    <w:rsid w:val="009746CB"/>
    <w:rsid w:val="00974A58"/>
    <w:rsid w:val="00974BD9"/>
    <w:rsid w:val="00974FEA"/>
    <w:rsid w:val="00975852"/>
    <w:rsid w:val="009759A3"/>
    <w:rsid w:val="00976777"/>
    <w:rsid w:val="00976FB8"/>
    <w:rsid w:val="009777D6"/>
    <w:rsid w:val="00977997"/>
    <w:rsid w:val="00977BD3"/>
    <w:rsid w:val="00977D46"/>
    <w:rsid w:val="00980899"/>
    <w:rsid w:val="00980ACE"/>
    <w:rsid w:val="00981091"/>
    <w:rsid w:val="009811D8"/>
    <w:rsid w:val="0098273C"/>
    <w:rsid w:val="00982A4D"/>
    <w:rsid w:val="00982A69"/>
    <w:rsid w:val="00982E31"/>
    <w:rsid w:val="009830A7"/>
    <w:rsid w:val="00983780"/>
    <w:rsid w:val="00983EE2"/>
    <w:rsid w:val="00984BE8"/>
    <w:rsid w:val="00984E8B"/>
    <w:rsid w:val="00985851"/>
    <w:rsid w:val="00985E37"/>
    <w:rsid w:val="00987585"/>
    <w:rsid w:val="0098781B"/>
    <w:rsid w:val="0098794E"/>
    <w:rsid w:val="009879CB"/>
    <w:rsid w:val="009900F4"/>
    <w:rsid w:val="009910D0"/>
    <w:rsid w:val="00991C1C"/>
    <w:rsid w:val="00991D42"/>
    <w:rsid w:val="00991DEA"/>
    <w:rsid w:val="00991E97"/>
    <w:rsid w:val="00991F4B"/>
    <w:rsid w:val="00992335"/>
    <w:rsid w:val="00992F50"/>
    <w:rsid w:val="00993702"/>
    <w:rsid w:val="00993C6A"/>
    <w:rsid w:val="00993F7A"/>
    <w:rsid w:val="00994899"/>
    <w:rsid w:val="00994A4C"/>
    <w:rsid w:val="009954DF"/>
    <w:rsid w:val="009957A7"/>
    <w:rsid w:val="00996819"/>
    <w:rsid w:val="009975CF"/>
    <w:rsid w:val="00997848"/>
    <w:rsid w:val="00997AFC"/>
    <w:rsid w:val="00997C6E"/>
    <w:rsid w:val="009A022C"/>
    <w:rsid w:val="009A0AE9"/>
    <w:rsid w:val="009A0B56"/>
    <w:rsid w:val="009A0C1E"/>
    <w:rsid w:val="009A0F6C"/>
    <w:rsid w:val="009A16C9"/>
    <w:rsid w:val="009A16D9"/>
    <w:rsid w:val="009A19C7"/>
    <w:rsid w:val="009A1AC9"/>
    <w:rsid w:val="009A1BB9"/>
    <w:rsid w:val="009A1C97"/>
    <w:rsid w:val="009A1CA1"/>
    <w:rsid w:val="009A1CAE"/>
    <w:rsid w:val="009A1F91"/>
    <w:rsid w:val="009A2422"/>
    <w:rsid w:val="009A26F2"/>
    <w:rsid w:val="009A2884"/>
    <w:rsid w:val="009A2BCC"/>
    <w:rsid w:val="009A30ED"/>
    <w:rsid w:val="009A367C"/>
    <w:rsid w:val="009A3B21"/>
    <w:rsid w:val="009A4669"/>
    <w:rsid w:val="009A4D4B"/>
    <w:rsid w:val="009A51AF"/>
    <w:rsid w:val="009A5AD0"/>
    <w:rsid w:val="009A5D00"/>
    <w:rsid w:val="009A5D7F"/>
    <w:rsid w:val="009A6620"/>
    <w:rsid w:val="009A6EDE"/>
    <w:rsid w:val="009A6FFE"/>
    <w:rsid w:val="009A78D1"/>
    <w:rsid w:val="009A7EA6"/>
    <w:rsid w:val="009B0C27"/>
    <w:rsid w:val="009B1074"/>
    <w:rsid w:val="009B1094"/>
    <w:rsid w:val="009B17BB"/>
    <w:rsid w:val="009B2545"/>
    <w:rsid w:val="009B2AD9"/>
    <w:rsid w:val="009B2BCC"/>
    <w:rsid w:val="009B3357"/>
    <w:rsid w:val="009B38A2"/>
    <w:rsid w:val="009B4206"/>
    <w:rsid w:val="009B4C8F"/>
    <w:rsid w:val="009B4D22"/>
    <w:rsid w:val="009B519A"/>
    <w:rsid w:val="009B5C51"/>
    <w:rsid w:val="009B5E7E"/>
    <w:rsid w:val="009B60B2"/>
    <w:rsid w:val="009B625F"/>
    <w:rsid w:val="009B6918"/>
    <w:rsid w:val="009B6AC6"/>
    <w:rsid w:val="009B6B3E"/>
    <w:rsid w:val="009B71D3"/>
    <w:rsid w:val="009C0874"/>
    <w:rsid w:val="009C0954"/>
    <w:rsid w:val="009C18B3"/>
    <w:rsid w:val="009C247A"/>
    <w:rsid w:val="009C3249"/>
    <w:rsid w:val="009C3614"/>
    <w:rsid w:val="009C3737"/>
    <w:rsid w:val="009C3E5E"/>
    <w:rsid w:val="009C45A9"/>
    <w:rsid w:val="009C4776"/>
    <w:rsid w:val="009C4781"/>
    <w:rsid w:val="009C5720"/>
    <w:rsid w:val="009C6D0A"/>
    <w:rsid w:val="009C7825"/>
    <w:rsid w:val="009D00E4"/>
    <w:rsid w:val="009D01DE"/>
    <w:rsid w:val="009D02C1"/>
    <w:rsid w:val="009D06C3"/>
    <w:rsid w:val="009D0F0C"/>
    <w:rsid w:val="009D19D3"/>
    <w:rsid w:val="009D38CA"/>
    <w:rsid w:val="009D4EE8"/>
    <w:rsid w:val="009D580F"/>
    <w:rsid w:val="009D5EC2"/>
    <w:rsid w:val="009D7358"/>
    <w:rsid w:val="009E0700"/>
    <w:rsid w:val="009E0DA1"/>
    <w:rsid w:val="009E1005"/>
    <w:rsid w:val="009E1B08"/>
    <w:rsid w:val="009E25BA"/>
    <w:rsid w:val="009E2D87"/>
    <w:rsid w:val="009E2E13"/>
    <w:rsid w:val="009E49D9"/>
    <w:rsid w:val="009E4D90"/>
    <w:rsid w:val="009E512C"/>
    <w:rsid w:val="009E514B"/>
    <w:rsid w:val="009E60B1"/>
    <w:rsid w:val="009E62C0"/>
    <w:rsid w:val="009E62D5"/>
    <w:rsid w:val="009E6481"/>
    <w:rsid w:val="009E70E5"/>
    <w:rsid w:val="009E7DD0"/>
    <w:rsid w:val="009F0129"/>
    <w:rsid w:val="009F06B8"/>
    <w:rsid w:val="009F339B"/>
    <w:rsid w:val="009F346B"/>
    <w:rsid w:val="009F36C0"/>
    <w:rsid w:val="009F392A"/>
    <w:rsid w:val="009F3E7A"/>
    <w:rsid w:val="009F3F68"/>
    <w:rsid w:val="009F4103"/>
    <w:rsid w:val="009F42FB"/>
    <w:rsid w:val="009F4847"/>
    <w:rsid w:val="009F4949"/>
    <w:rsid w:val="009F4F6E"/>
    <w:rsid w:val="009F50FB"/>
    <w:rsid w:val="009F64F3"/>
    <w:rsid w:val="009F6A54"/>
    <w:rsid w:val="009F6F57"/>
    <w:rsid w:val="009F7311"/>
    <w:rsid w:val="009F7378"/>
    <w:rsid w:val="009F7380"/>
    <w:rsid w:val="009F75DA"/>
    <w:rsid w:val="009F7C4B"/>
    <w:rsid w:val="00A00107"/>
    <w:rsid w:val="00A0093B"/>
    <w:rsid w:val="00A0118B"/>
    <w:rsid w:val="00A018E4"/>
    <w:rsid w:val="00A019B1"/>
    <w:rsid w:val="00A01A7F"/>
    <w:rsid w:val="00A01D29"/>
    <w:rsid w:val="00A02CE8"/>
    <w:rsid w:val="00A033F6"/>
    <w:rsid w:val="00A035C3"/>
    <w:rsid w:val="00A03C59"/>
    <w:rsid w:val="00A04536"/>
    <w:rsid w:val="00A04D9E"/>
    <w:rsid w:val="00A05562"/>
    <w:rsid w:val="00A05848"/>
    <w:rsid w:val="00A05E34"/>
    <w:rsid w:val="00A05FAA"/>
    <w:rsid w:val="00A06650"/>
    <w:rsid w:val="00A06745"/>
    <w:rsid w:val="00A06D5F"/>
    <w:rsid w:val="00A0709B"/>
    <w:rsid w:val="00A071C8"/>
    <w:rsid w:val="00A07394"/>
    <w:rsid w:val="00A07787"/>
    <w:rsid w:val="00A07A7D"/>
    <w:rsid w:val="00A07D4A"/>
    <w:rsid w:val="00A10559"/>
    <w:rsid w:val="00A109A5"/>
    <w:rsid w:val="00A10A52"/>
    <w:rsid w:val="00A10B70"/>
    <w:rsid w:val="00A10C69"/>
    <w:rsid w:val="00A113BE"/>
    <w:rsid w:val="00A122BD"/>
    <w:rsid w:val="00A127FC"/>
    <w:rsid w:val="00A134E8"/>
    <w:rsid w:val="00A13610"/>
    <w:rsid w:val="00A15BDA"/>
    <w:rsid w:val="00A1647E"/>
    <w:rsid w:val="00A1676D"/>
    <w:rsid w:val="00A167D8"/>
    <w:rsid w:val="00A16D3D"/>
    <w:rsid w:val="00A171B5"/>
    <w:rsid w:val="00A17BC4"/>
    <w:rsid w:val="00A17C7E"/>
    <w:rsid w:val="00A17EE4"/>
    <w:rsid w:val="00A20334"/>
    <w:rsid w:val="00A20539"/>
    <w:rsid w:val="00A20D90"/>
    <w:rsid w:val="00A21184"/>
    <w:rsid w:val="00A214B0"/>
    <w:rsid w:val="00A21B2B"/>
    <w:rsid w:val="00A23671"/>
    <w:rsid w:val="00A23B8B"/>
    <w:rsid w:val="00A2413A"/>
    <w:rsid w:val="00A24AEF"/>
    <w:rsid w:val="00A255B4"/>
    <w:rsid w:val="00A25A36"/>
    <w:rsid w:val="00A26117"/>
    <w:rsid w:val="00A261E6"/>
    <w:rsid w:val="00A2706B"/>
    <w:rsid w:val="00A272E0"/>
    <w:rsid w:val="00A2733E"/>
    <w:rsid w:val="00A27364"/>
    <w:rsid w:val="00A30626"/>
    <w:rsid w:val="00A3233E"/>
    <w:rsid w:val="00A329BF"/>
    <w:rsid w:val="00A32D8E"/>
    <w:rsid w:val="00A33A71"/>
    <w:rsid w:val="00A33C1D"/>
    <w:rsid w:val="00A341C8"/>
    <w:rsid w:val="00A34678"/>
    <w:rsid w:val="00A34B24"/>
    <w:rsid w:val="00A34D91"/>
    <w:rsid w:val="00A355EC"/>
    <w:rsid w:val="00A35B62"/>
    <w:rsid w:val="00A360CA"/>
    <w:rsid w:val="00A363FD"/>
    <w:rsid w:val="00A372CD"/>
    <w:rsid w:val="00A3777B"/>
    <w:rsid w:val="00A400F4"/>
    <w:rsid w:val="00A40528"/>
    <w:rsid w:val="00A40D83"/>
    <w:rsid w:val="00A40FF3"/>
    <w:rsid w:val="00A411D7"/>
    <w:rsid w:val="00A425C6"/>
    <w:rsid w:val="00A42626"/>
    <w:rsid w:val="00A44255"/>
    <w:rsid w:val="00A44BD4"/>
    <w:rsid w:val="00A44DFF"/>
    <w:rsid w:val="00A44F48"/>
    <w:rsid w:val="00A44FE6"/>
    <w:rsid w:val="00A45A93"/>
    <w:rsid w:val="00A45FBC"/>
    <w:rsid w:val="00A4672F"/>
    <w:rsid w:val="00A46767"/>
    <w:rsid w:val="00A46DBB"/>
    <w:rsid w:val="00A47932"/>
    <w:rsid w:val="00A50547"/>
    <w:rsid w:val="00A50D2C"/>
    <w:rsid w:val="00A51051"/>
    <w:rsid w:val="00A51A17"/>
    <w:rsid w:val="00A51B67"/>
    <w:rsid w:val="00A51D24"/>
    <w:rsid w:val="00A51EAA"/>
    <w:rsid w:val="00A5257A"/>
    <w:rsid w:val="00A52FEC"/>
    <w:rsid w:val="00A536FA"/>
    <w:rsid w:val="00A543A0"/>
    <w:rsid w:val="00A54B31"/>
    <w:rsid w:val="00A54EB6"/>
    <w:rsid w:val="00A55224"/>
    <w:rsid w:val="00A55796"/>
    <w:rsid w:val="00A55A5A"/>
    <w:rsid w:val="00A55E9B"/>
    <w:rsid w:val="00A5770C"/>
    <w:rsid w:val="00A60312"/>
    <w:rsid w:val="00A60BE8"/>
    <w:rsid w:val="00A61B25"/>
    <w:rsid w:val="00A62561"/>
    <w:rsid w:val="00A62623"/>
    <w:rsid w:val="00A63489"/>
    <w:rsid w:val="00A63751"/>
    <w:rsid w:val="00A63CAB"/>
    <w:rsid w:val="00A645F5"/>
    <w:rsid w:val="00A64883"/>
    <w:rsid w:val="00A64D23"/>
    <w:rsid w:val="00A65953"/>
    <w:rsid w:val="00A65FE3"/>
    <w:rsid w:val="00A669D4"/>
    <w:rsid w:val="00A67122"/>
    <w:rsid w:val="00A671E9"/>
    <w:rsid w:val="00A6722A"/>
    <w:rsid w:val="00A672F0"/>
    <w:rsid w:val="00A673BB"/>
    <w:rsid w:val="00A67B26"/>
    <w:rsid w:val="00A67C4A"/>
    <w:rsid w:val="00A7036A"/>
    <w:rsid w:val="00A7179D"/>
    <w:rsid w:val="00A717BE"/>
    <w:rsid w:val="00A72C66"/>
    <w:rsid w:val="00A72F2F"/>
    <w:rsid w:val="00A731C5"/>
    <w:rsid w:val="00A73F5D"/>
    <w:rsid w:val="00A74372"/>
    <w:rsid w:val="00A743E8"/>
    <w:rsid w:val="00A74CD5"/>
    <w:rsid w:val="00A7513A"/>
    <w:rsid w:val="00A754AA"/>
    <w:rsid w:val="00A76379"/>
    <w:rsid w:val="00A7647A"/>
    <w:rsid w:val="00A7696B"/>
    <w:rsid w:val="00A76DD9"/>
    <w:rsid w:val="00A771A8"/>
    <w:rsid w:val="00A77C47"/>
    <w:rsid w:val="00A77F6A"/>
    <w:rsid w:val="00A801AD"/>
    <w:rsid w:val="00A803F7"/>
    <w:rsid w:val="00A80BC6"/>
    <w:rsid w:val="00A80D0D"/>
    <w:rsid w:val="00A8123F"/>
    <w:rsid w:val="00A81314"/>
    <w:rsid w:val="00A825C7"/>
    <w:rsid w:val="00A82885"/>
    <w:rsid w:val="00A8331A"/>
    <w:rsid w:val="00A83A3A"/>
    <w:rsid w:val="00A848FA"/>
    <w:rsid w:val="00A84CDA"/>
    <w:rsid w:val="00A85081"/>
    <w:rsid w:val="00A85E5A"/>
    <w:rsid w:val="00A85ED2"/>
    <w:rsid w:val="00A8663B"/>
    <w:rsid w:val="00A8682B"/>
    <w:rsid w:val="00A86873"/>
    <w:rsid w:val="00A86F3D"/>
    <w:rsid w:val="00A8705F"/>
    <w:rsid w:val="00A879B2"/>
    <w:rsid w:val="00A87CC1"/>
    <w:rsid w:val="00A87E7B"/>
    <w:rsid w:val="00A87EE7"/>
    <w:rsid w:val="00A901AB"/>
    <w:rsid w:val="00A90381"/>
    <w:rsid w:val="00A90C35"/>
    <w:rsid w:val="00A90DE6"/>
    <w:rsid w:val="00A923B8"/>
    <w:rsid w:val="00A92546"/>
    <w:rsid w:val="00A94CEA"/>
    <w:rsid w:val="00A95800"/>
    <w:rsid w:val="00A961C4"/>
    <w:rsid w:val="00A9795E"/>
    <w:rsid w:val="00AA0621"/>
    <w:rsid w:val="00AA0A2A"/>
    <w:rsid w:val="00AA12DD"/>
    <w:rsid w:val="00AA3A48"/>
    <w:rsid w:val="00AA3EA0"/>
    <w:rsid w:val="00AA4B9C"/>
    <w:rsid w:val="00AA4C39"/>
    <w:rsid w:val="00AA4EE6"/>
    <w:rsid w:val="00AA5A4A"/>
    <w:rsid w:val="00AA64FF"/>
    <w:rsid w:val="00AA65C5"/>
    <w:rsid w:val="00AA6642"/>
    <w:rsid w:val="00AA6650"/>
    <w:rsid w:val="00AA68A4"/>
    <w:rsid w:val="00AA68A5"/>
    <w:rsid w:val="00AA796D"/>
    <w:rsid w:val="00AA7C98"/>
    <w:rsid w:val="00AB0425"/>
    <w:rsid w:val="00AB09DE"/>
    <w:rsid w:val="00AB1182"/>
    <w:rsid w:val="00AB1302"/>
    <w:rsid w:val="00AB1B03"/>
    <w:rsid w:val="00AB1F11"/>
    <w:rsid w:val="00AB1FA5"/>
    <w:rsid w:val="00AB29EF"/>
    <w:rsid w:val="00AB31B3"/>
    <w:rsid w:val="00AB34EA"/>
    <w:rsid w:val="00AB39B3"/>
    <w:rsid w:val="00AB46BE"/>
    <w:rsid w:val="00AB4817"/>
    <w:rsid w:val="00AB4A28"/>
    <w:rsid w:val="00AB4E2A"/>
    <w:rsid w:val="00AB72F4"/>
    <w:rsid w:val="00AC03EA"/>
    <w:rsid w:val="00AC0795"/>
    <w:rsid w:val="00AC1F2C"/>
    <w:rsid w:val="00AC2075"/>
    <w:rsid w:val="00AC2D30"/>
    <w:rsid w:val="00AC303F"/>
    <w:rsid w:val="00AC3624"/>
    <w:rsid w:val="00AC3660"/>
    <w:rsid w:val="00AC37DB"/>
    <w:rsid w:val="00AC4914"/>
    <w:rsid w:val="00AC4D92"/>
    <w:rsid w:val="00AC4DDB"/>
    <w:rsid w:val="00AC4F5E"/>
    <w:rsid w:val="00AC5A0F"/>
    <w:rsid w:val="00AC6351"/>
    <w:rsid w:val="00AC7210"/>
    <w:rsid w:val="00AC7C65"/>
    <w:rsid w:val="00AC7DA8"/>
    <w:rsid w:val="00AD07CC"/>
    <w:rsid w:val="00AD1798"/>
    <w:rsid w:val="00AD1A0F"/>
    <w:rsid w:val="00AD1BB0"/>
    <w:rsid w:val="00AD2B82"/>
    <w:rsid w:val="00AD3016"/>
    <w:rsid w:val="00AD397C"/>
    <w:rsid w:val="00AD472E"/>
    <w:rsid w:val="00AD4D47"/>
    <w:rsid w:val="00AD4EB9"/>
    <w:rsid w:val="00AD5DC1"/>
    <w:rsid w:val="00AD606A"/>
    <w:rsid w:val="00AD65C1"/>
    <w:rsid w:val="00AD696B"/>
    <w:rsid w:val="00AD6D41"/>
    <w:rsid w:val="00AD6D9F"/>
    <w:rsid w:val="00AD6F81"/>
    <w:rsid w:val="00AD761F"/>
    <w:rsid w:val="00AD7E80"/>
    <w:rsid w:val="00AE0693"/>
    <w:rsid w:val="00AE1D0C"/>
    <w:rsid w:val="00AE2632"/>
    <w:rsid w:val="00AE27A7"/>
    <w:rsid w:val="00AE2B5D"/>
    <w:rsid w:val="00AE2FEE"/>
    <w:rsid w:val="00AE35BB"/>
    <w:rsid w:val="00AE3E5A"/>
    <w:rsid w:val="00AE4473"/>
    <w:rsid w:val="00AE463F"/>
    <w:rsid w:val="00AE4AA7"/>
    <w:rsid w:val="00AE4B8A"/>
    <w:rsid w:val="00AE4DB6"/>
    <w:rsid w:val="00AE6282"/>
    <w:rsid w:val="00AE636C"/>
    <w:rsid w:val="00AE6E40"/>
    <w:rsid w:val="00AE76AA"/>
    <w:rsid w:val="00AE7A6B"/>
    <w:rsid w:val="00AE7DF4"/>
    <w:rsid w:val="00AF05A4"/>
    <w:rsid w:val="00AF0C3B"/>
    <w:rsid w:val="00AF11AC"/>
    <w:rsid w:val="00AF1B4C"/>
    <w:rsid w:val="00AF1CA5"/>
    <w:rsid w:val="00AF1D92"/>
    <w:rsid w:val="00AF29D6"/>
    <w:rsid w:val="00AF2FF0"/>
    <w:rsid w:val="00AF4DC6"/>
    <w:rsid w:val="00AF5677"/>
    <w:rsid w:val="00AF5D1D"/>
    <w:rsid w:val="00AF63E4"/>
    <w:rsid w:val="00AF68CB"/>
    <w:rsid w:val="00AF69AC"/>
    <w:rsid w:val="00AF6DC8"/>
    <w:rsid w:val="00AF6E84"/>
    <w:rsid w:val="00AF6F74"/>
    <w:rsid w:val="00B0013C"/>
    <w:rsid w:val="00B0036D"/>
    <w:rsid w:val="00B01743"/>
    <w:rsid w:val="00B0197E"/>
    <w:rsid w:val="00B01AA7"/>
    <w:rsid w:val="00B01E89"/>
    <w:rsid w:val="00B0284E"/>
    <w:rsid w:val="00B035CD"/>
    <w:rsid w:val="00B03778"/>
    <w:rsid w:val="00B0396E"/>
    <w:rsid w:val="00B03B69"/>
    <w:rsid w:val="00B03D9F"/>
    <w:rsid w:val="00B03FE3"/>
    <w:rsid w:val="00B04CCD"/>
    <w:rsid w:val="00B05076"/>
    <w:rsid w:val="00B05478"/>
    <w:rsid w:val="00B05935"/>
    <w:rsid w:val="00B05E6B"/>
    <w:rsid w:val="00B0651E"/>
    <w:rsid w:val="00B0654A"/>
    <w:rsid w:val="00B07E6A"/>
    <w:rsid w:val="00B102E3"/>
    <w:rsid w:val="00B1053C"/>
    <w:rsid w:val="00B10DD2"/>
    <w:rsid w:val="00B10E93"/>
    <w:rsid w:val="00B11301"/>
    <w:rsid w:val="00B11642"/>
    <w:rsid w:val="00B1177A"/>
    <w:rsid w:val="00B13043"/>
    <w:rsid w:val="00B130EF"/>
    <w:rsid w:val="00B1397E"/>
    <w:rsid w:val="00B13B3F"/>
    <w:rsid w:val="00B1431B"/>
    <w:rsid w:val="00B14919"/>
    <w:rsid w:val="00B155B0"/>
    <w:rsid w:val="00B16771"/>
    <w:rsid w:val="00B179AA"/>
    <w:rsid w:val="00B17D3F"/>
    <w:rsid w:val="00B20C03"/>
    <w:rsid w:val="00B2280D"/>
    <w:rsid w:val="00B23051"/>
    <w:rsid w:val="00B236A4"/>
    <w:rsid w:val="00B239A9"/>
    <w:rsid w:val="00B2488A"/>
    <w:rsid w:val="00B25190"/>
    <w:rsid w:val="00B253B7"/>
    <w:rsid w:val="00B25900"/>
    <w:rsid w:val="00B262E6"/>
    <w:rsid w:val="00B26429"/>
    <w:rsid w:val="00B265FF"/>
    <w:rsid w:val="00B2689A"/>
    <w:rsid w:val="00B26F24"/>
    <w:rsid w:val="00B27088"/>
    <w:rsid w:val="00B27116"/>
    <w:rsid w:val="00B271DC"/>
    <w:rsid w:val="00B30285"/>
    <w:rsid w:val="00B30C9F"/>
    <w:rsid w:val="00B30DA0"/>
    <w:rsid w:val="00B312F6"/>
    <w:rsid w:val="00B31FEC"/>
    <w:rsid w:val="00B329DA"/>
    <w:rsid w:val="00B32A3F"/>
    <w:rsid w:val="00B34471"/>
    <w:rsid w:val="00B347FF"/>
    <w:rsid w:val="00B34FAB"/>
    <w:rsid w:val="00B351EA"/>
    <w:rsid w:val="00B361BA"/>
    <w:rsid w:val="00B36570"/>
    <w:rsid w:val="00B375FF"/>
    <w:rsid w:val="00B377A7"/>
    <w:rsid w:val="00B37A9F"/>
    <w:rsid w:val="00B37CB1"/>
    <w:rsid w:val="00B37D3F"/>
    <w:rsid w:val="00B40550"/>
    <w:rsid w:val="00B40934"/>
    <w:rsid w:val="00B411AD"/>
    <w:rsid w:val="00B4121A"/>
    <w:rsid w:val="00B4182C"/>
    <w:rsid w:val="00B41CEC"/>
    <w:rsid w:val="00B422F3"/>
    <w:rsid w:val="00B43C0B"/>
    <w:rsid w:val="00B44BEE"/>
    <w:rsid w:val="00B45141"/>
    <w:rsid w:val="00B458F0"/>
    <w:rsid w:val="00B45FA2"/>
    <w:rsid w:val="00B465BA"/>
    <w:rsid w:val="00B467CB"/>
    <w:rsid w:val="00B4689C"/>
    <w:rsid w:val="00B47140"/>
    <w:rsid w:val="00B50844"/>
    <w:rsid w:val="00B50944"/>
    <w:rsid w:val="00B5097D"/>
    <w:rsid w:val="00B5197C"/>
    <w:rsid w:val="00B519F2"/>
    <w:rsid w:val="00B51A69"/>
    <w:rsid w:val="00B51BD0"/>
    <w:rsid w:val="00B52175"/>
    <w:rsid w:val="00B52BA7"/>
    <w:rsid w:val="00B52FD8"/>
    <w:rsid w:val="00B5308E"/>
    <w:rsid w:val="00B53143"/>
    <w:rsid w:val="00B53659"/>
    <w:rsid w:val="00B539FD"/>
    <w:rsid w:val="00B55A26"/>
    <w:rsid w:val="00B55E12"/>
    <w:rsid w:val="00B5626F"/>
    <w:rsid w:val="00B563C9"/>
    <w:rsid w:val="00B5654D"/>
    <w:rsid w:val="00B569F4"/>
    <w:rsid w:val="00B56D5F"/>
    <w:rsid w:val="00B57D10"/>
    <w:rsid w:val="00B61454"/>
    <w:rsid w:val="00B61F54"/>
    <w:rsid w:val="00B62017"/>
    <w:rsid w:val="00B6314B"/>
    <w:rsid w:val="00B63A2C"/>
    <w:rsid w:val="00B64EF6"/>
    <w:rsid w:val="00B65E9B"/>
    <w:rsid w:val="00B65EA8"/>
    <w:rsid w:val="00B664EE"/>
    <w:rsid w:val="00B6671F"/>
    <w:rsid w:val="00B669C1"/>
    <w:rsid w:val="00B66B8F"/>
    <w:rsid w:val="00B67009"/>
    <w:rsid w:val="00B6719B"/>
    <w:rsid w:val="00B6768D"/>
    <w:rsid w:val="00B67886"/>
    <w:rsid w:val="00B67959"/>
    <w:rsid w:val="00B67EE2"/>
    <w:rsid w:val="00B702FF"/>
    <w:rsid w:val="00B7076A"/>
    <w:rsid w:val="00B7079E"/>
    <w:rsid w:val="00B714E1"/>
    <w:rsid w:val="00B7175C"/>
    <w:rsid w:val="00B7180B"/>
    <w:rsid w:val="00B71BF9"/>
    <w:rsid w:val="00B7201F"/>
    <w:rsid w:val="00B72A1C"/>
    <w:rsid w:val="00B7401A"/>
    <w:rsid w:val="00B740A2"/>
    <w:rsid w:val="00B744DC"/>
    <w:rsid w:val="00B747DB"/>
    <w:rsid w:val="00B74CCB"/>
    <w:rsid w:val="00B756BC"/>
    <w:rsid w:val="00B75859"/>
    <w:rsid w:val="00B762FF"/>
    <w:rsid w:val="00B768F8"/>
    <w:rsid w:val="00B778A5"/>
    <w:rsid w:val="00B80177"/>
    <w:rsid w:val="00B803C1"/>
    <w:rsid w:val="00B81CAB"/>
    <w:rsid w:val="00B82718"/>
    <w:rsid w:val="00B8285F"/>
    <w:rsid w:val="00B8319B"/>
    <w:rsid w:val="00B83A16"/>
    <w:rsid w:val="00B83E03"/>
    <w:rsid w:val="00B84EC6"/>
    <w:rsid w:val="00B86563"/>
    <w:rsid w:val="00B87E7B"/>
    <w:rsid w:val="00B90093"/>
    <w:rsid w:val="00B900CD"/>
    <w:rsid w:val="00B90BE8"/>
    <w:rsid w:val="00B9228B"/>
    <w:rsid w:val="00B923EC"/>
    <w:rsid w:val="00B924F3"/>
    <w:rsid w:val="00B92FB6"/>
    <w:rsid w:val="00B939DF"/>
    <w:rsid w:val="00B93B09"/>
    <w:rsid w:val="00B945AB"/>
    <w:rsid w:val="00B9462B"/>
    <w:rsid w:val="00B95DA1"/>
    <w:rsid w:val="00B96AC4"/>
    <w:rsid w:val="00B97E06"/>
    <w:rsid w:val="00BA1EF6"/>
    <w:rsid w:val="00BA2BE3"/>
    <w:rsid w:val="00BA3143"/>
    <w:rsid w:val="00BA3683"/>
    <w:rsid w:val="00BA477B"/>
    <w:rsid w:val="00BA4CF7"/>
    <w:rsid w:val="00BA4E98"/>
    <w:rsid w:val="00BA4EC9"/>
    <w:rsid w:val="00BA513C"/>
    <w:rsid w:val="00BA513D"/>
    <w:rsid w:val="00BA51B1"/>
    <w:rsid w:val="00BA52EB"/>
    <w:rsid w:val="00BA55CE"/>
    <w:rsid w:val="00BA5EBD"/>
    <w:rsid w:val="00BA6B04"/>
    <w:rsid w:val="00BA78BD"/>
    <w:rsid w:val="00BB0076"/>
    <w:rsid w:val="00BB0D30"/>
    <w:rsid w:val="00BB0EAE"/>
    <w:rsid w:val="00BB0F15"/>
    <w:rsid w:val="00BB1446"/>
    <w:rsid w:val="00BB1692"/>
    <w:rsid w:val="00BB3310"/>
    <w:rsid w:val="00BB3535"/>
    <w:rsid w:val="00BB39B6"/>
    <w:rsid w:val="00BB3B41"/>
    <w:rsid w:val="00BB3BC5"/>
    <w:rsid w:val="00BB3C79"/>
    <w:rsid w:val="00BB418D"/>
    <w:rsid w:val="00BB45C8"/>
    <w:rsid w:val="00BB4F5F"/>
    <w:rsid w:val="00BB64C5"/>
    <w:rsid w:val="00BB6CA0"/>
    <w:rsid w:val="00BB7610"/>
    <w:rsid w:val="00BB7EB9"/>
    <w:rsid w:val="00BC1042"/>
    <w:rsid w:val="00BC14BA"/>
    <w:rsid w:val="00BC2996"/>
    <w:rsid w:val="00BC3A90"/>
    <w:rsid w:val="00BC42C6"/>
    <w:rsid w:val="00BC4C01"/>
    <w:rsid w:val="00BC5405"/>
    <w:rsid w:val="00BC5615"/>
    <w:rsid w:val="00BC5629"/>
    <w:rsid w:val="00BC60AA"/>
    <w:rsid w:val="00BC6427"/>
    <w:rsid w:val="00BC7205"/>
    <w:rsid w:val="00BC773F"/>
    <w:rsid w:val="00BC7A0E"/>
    <w:rsid w:val="00BC7DD8"/>
    <w:rsid w:val="00BC7E98"/>
    <w:rsid w:val="00BD107F"/>
    <w:rsid w:val="00BD1134"/>
    <w:rsid w:val="00BD14AB"/>
    <w:rsid w:val="00BD1675"/>
    <w:rsid w:val="00BD17DD"/>
    <w:rsid w:val="00BD187D"/>
    <w:rsid w:val="00BD246C"/>
    <w:rsid w:val="00BD260D"/>
    <w:rsid w:val="00BD3222"/>
    <w:rsid w:val="00BD49A7"/>
    <w:rsid w:val="00BD4F12"/>
    <w:rsid w:val="00BD5B3C"/>
    <w:rsid w:val="00BD5CB3"/>
    <w:rsid w:val="00BD70F6"/>
    <w:rsid w:val="00BD77AB"/>
    <w:rsid w:val="00BD7A46"/>
    <w:rsid w:val="00BE04E5"/>
    <w:rsid w:val="00BE0790"/>
    <w:rsid w:val="00BE0893"/>
    <w:rsid w:val="00BE18A5"/>
    <w:rsid w:val="00BE2287"/>
    <w:rsid w:val="00BE2939"/>
    <w:rsid w:val="00BE3729"/>
    <w:rsid w:val="00BE3AA2"/>
    <w:rsid w:val="00BE3C1B"/>
    <w:rsid w:val="00BE3EE9"/>
    <w:rsid w:val="00BE3F66"/>
    <w:rsid w:val="00BE4015"/>
    <w:rsid w:val="00BE4280"/>
    <w:rsid w:val="00BE44E8"/>
    <w:rsid w:val="00BE4EC5"/>
    <w:rsid w:val="00BE5643"/>
    <w:rsid w:val="00BE5862"/>
    <w:rsid w:val="00BE5F92"/>
    <w:rsid w:val="00BE647E"/>
    <w:rsid w:val="00BE6F04"/>
    <w:rsid w:val="00BE75E9"/>
    <w:rsid w:val="00BF145A"/>
    <w:rsid w:val="00BF1474"/>
    <w:rsid w:val="00BF1D76"/>
    <w:rsid w:val="00BF24AB"/>
    <w:rsid w:val="00BF25E4"/>
    <w:rsid w:val="00BF27F1"/>
    <w:rsid w:val="00BF2C84"/>
    <w:rsid w:val="00BF390E"/>
    <w:rsid w:val="00BF3DD4"/>
    <w:rsid w:val="00BF3EAE"/>
    <w:rsid w:val="00BF4BDA"/>
    <w:rsid w:val="00BF4E11"/>
    <w:rsid w:val="00BF4F93"/>
    <w:rsid w:val="00BF5C50"/>
    <w:rsid w:val="00BF6411"/>
    <w:rsid w:val="00BF652B"/>
    <w:rsid w:val="00BF6A0A"/>
    <w:rsid w:val="00BF758D"/>
    <w:rsid w:val="00BF7CC0"/>
    <w:rsid w:val="00C00089"/>
    <w:rsid w:val="00C007D3"/>
    <w:rsid w:val="00C00BF9"/>
    <w:rsid w:val="00C0129C"/>
    <w:rsid w:val="00C012BE"/>
    <w:rsid w:val="00C0163E"/>
    <w:rsid w:val="00C019A8"/>
    <w:rsid w:val="00C01D3E"/>
    <w:rsid w:val="00C02186"/>
    <w:rsid w:val="00C02441"/>
    <w:rsid w:val="00C0275E"/>
    <w:rsid w:val="00C02CFE"/>
    <w:rsid w:val="00C033AE"/>
    <w:rsid w:val="00C039F3"/>
    <w:rsid w:val="00C03DCF"/>
    <w:rsid w:val="00C0416F"/>
    <w:rsid w:val="00C04272"/>
    <w:rsid w:val="00C04602"/>
    <w:rsid w:val="00C04C34"/>
    <w:rsid w:val="00C04FCF"/>
    <w:rsid w:val="00C050CF"/>
    <w:rsid w:val="00C0558D"/>
    <w:rsid w:val="00C05C93"/>
    <w:rsid w:val="00C06B75"/>
    <w:rsid w:val="00C0759A"/>
    <w:rsid w:val="00C07861"/>
    <w:rsid w:val="00C104F1"/>
    <w:rsid w:val="00C1064B"/>
    <w:rsid w:val="00C113D5"/>
    <w:rsid w:val="00C118DB"/>
    <w:rsid w:val="00C11918"/>
    <w:rsid w:val="00C11D4C"/>
    <w:rsid w:val="00C12681"/>
    <w:rsid w:val="00C12DA0"/>
    <w:rsid w:val="00C137CC"/>
    <w:rsid w:val="00C1462F"/>
    <w:rsid w:val="00C15607"/>
    <w:rsid w:val="00C15667"/>
    <w:rsid w:val="00C157A1"/>
    <w:rsid w:val="00C15BDF"/>
    <w:rsid w:val="00C1659E"/>
    <w:rsid w:val="00C168F0"/>
    <w:rsid w:val="00C16B98"/>
    <w:rsid w:val="00C16C36"/>
    <w:rsid w:val="00C16CFE"/>
    <w:rsid w:val="00C17D7A"/>
    <w:rsid w:val="00C200D6"/>
    <w:rsid w:val="00C2028F"/>
    <w:rsid w:val="00C2071C"/>
    <w:rsid w:val="00C20C58"/>
    <w:rsid w:val="00C215FD"/>
    <w:rsid w:val="00C217CB"/>
    <w:rsid w:val="00C21D63"/>
    <w:rsid w:val="00C23825"/>
    <w:rsid w:val="00C238FB"/>
    <w:rsid w:val="00C239A2"/>
    <w:rsid w:val="00C24D69"/>
    <w:rsid w:val="00C25002"/>
    <w:rsid w:val="00C259F1"/>
    <w:rsid w:val="00C25D6D"/>
    <w:rsid w:val="00C260E5"/>
    <w:rsid w:val="00C27105"/>
    <w:rsid w:val="00C27751"/>
    <w:rsid w:val="00C27875"/>
    <w:rsid w:val="00C279DB"/>
    <w:rsid w:val="00C30805"/>
    <w:rsid w:val="00C30886"/>
    <w:rsid w:val="00C318CE"/>
    <w:rsid w:val="00C31B4A"/>
    <w:rsid w:val="00C31BC2"/>
    <w:rsid w:val="00C326C5"/>
    <w:rsid w:val="00C32D5E"/>
    <w:rsid w:val="00C33060"/>
    <w:rsid w:val="00C33083"/>
    <w:rsid w:val="00C34B6B"/>
    <w:rsid w:val="00C34E3C"/>
    <w:rsid w:val="00C3512D"/>
    <w:rsid w:val="00C35629"/>
    <w:rsid w:val="00C358C5"/>
    <w:rsid w:val="00C35A79"/>
    <w:rsid w:val="00C35B98"/>
    <w:rsid w:val="00C35FB3"/>
    <w:rsid w:val="00C36160"/>
    <w:rsid w:val="00C36220"/>
    <w:rsid w:val="00C367C9"/>
    <w:rsid w:val="00C37FBF"/>
    <w:rsid w:val="00C40592"/>
    <w:rsid w:val="00C40721"/>
    <w:rsid w:val="00C4096E"/>
    <w:rsid w:val="00C41717"/>
    <w:rsid w:val="00C41753"/>
    <w:rsid w:val="00C41C1D"/>
    <w:rsid w:val="00C4205B"/>
    <w:rsid w:val="00C42F7E"/>
    <w:rsid w:val="00C42FCB"/>
    <w:rsid w:val="00C43954"/>
    <w:rsid w:val="00C43AD8"/>
    <w:rsid w:val="00C43F1A"/>
    <w:rsid w:val="00C44800"/>
    <w:rsid w:val="00C44CE7"/>
    <w:rsid w:val="00C459C6"/>
    <w:rsid w:val="00C460AF"/>
    <w:rsid w:val="00C464B4"/>
    <w:rsid w:val="00C464ED"/>
    <w:rsid w:val="00C46563"/>
    <w:rsid w:val="00C46599"/>
    <w:rsid w:val="00C46B7C"/>
    <w:rsid w:val="00C46BB6"/>
    <w:rsid w:val="00C472A1"/>
    <w:rsid w:val="00C476F6"/>
    <w:rsid w:val="00C47822"/>
    <w:rsid w:val="00C50209"/>
    <w:rsid w:val="00C508B3"/>
    <w:rsid w:val="00C511EC"/>
    <w:rsid w:val="00C51AD5"/>
    <w:rsid w:val="00C5202A"/>
    <w:rsid w:val="00C525D7"/>
    <w:rsid w:val="00C52A4A"/>
    <w:rsid w:val="00C5308F"/>
    <w:rsid w:val="00C53275"/>
    <w:rsid w:val="00C53A14"/>
    <w:rsid w:val="00C53AAD"/>
    <w:rsid w:val="00C53D65"/>
    <w:rsid w:val="00C54862"/>
    <w:rsid w:val="00C552F1"/>
    <w:rsid w:val="00C561A8"/>
    <w:rsid w:val="00C56734"/>
    <w:rsid w:val="00C5686A"/>
    <w:rsid w:val="00C570BC"/>
    <w:rsid w:val="00C579F9"/>
    <w:rsid w:val="00C606FD"/>
    <w:rsid w:val="00C60864"/>
    <w:rsid w:val="00C60CD8"/>
    <w:rsid w:val="00C60E22"/>
    <w:rsid w:val="00C61529"/>
    <w:rsid w:val="00C61DB0"/>
    <w:rsid w:val="00C61DBA"/>
    <w:rsid w:val="00C61F38"/>
    <w:rsid w:val="00C626CF"/>
    <w:rsid w:val="00C633C9"/>
    <w:rsid w:val="00C63505"/>
    <w:rsid w:val="00C63846"/>
    <w:rsid w:val="00C63A39"/>
    <w:rsid w:val="00C63A69"/>
    <w:rsid w:val="00C64216"/>
    <w:rsid w:val="00C64E68"/>
    <w:rsid w:val="00C6500C"/>
    <w:rsid w:val="00C65ABE"/>
    <w:rsid w:val="00C65EF4"/>
    <w:rsid w:val="00C6696A"/>
    <w:rsid w:val="00C6704F"/>
    <w:rsid w:val="00C67088"/>
    <w:rsid w:val="00C67220"/>
    <w:rsid w:val="00C673D5"/>
    <w:rsid w:val="00C67984"/>
    <w:rsid w:val="00C67AF1"/>
    <w:rsid w:val="00C7039D"/>
    <w:rsid w:val="00C708F4"/>
    <w:rsid w:val="00C70E53"/>
    <w:rsid w:val="00C7128D"/>
    <w:rsid w:val="00C721A1"/>
    <w:rsid w:val="00C72511"/>
    <w:rsid w:val="00C726C4"/>
    <w:rsid w:val="00C72C35"/>
    <w:rsid w:val="00C7318E"/>
    <w:rsid w:val="00C73AF6"/>
    <w:rsid w:val="00C73C4E"/>
    <w:rsid w:val="00C73EED"/>
    <w:rsid w:val="00C746AF"/>
    <w:rsid w:val="00C74AA6"/>
    <w:rsid w:val="00C75F84"/>
    <w:rsid w:val="00C76976"/>
    <w:rsid w:val="00C76D92"/>
    <w:rsid w:val="00C77223"/>
    <w:rsid w:val="00C772E5"/>
    <w:rsid w:val="00C7774D"/>
    <w:rsid w:val="00C77892"/>
    <w:rsid w:val="00C77A19"/>
    <w:rsid w:val="00C77FF4"/>
    <w:rsid w:val="00C8009E"/>
    <w:rsid w:val="00C81805"/>
    <w:rsid w:val="00C81A1A"/>
    <w:rsid w:val="00C825A9"/>
    <w:rsid w:val="00C82A63"/>
    <w:rsid w:val="00C82D00"/>
    <w:rsid w:val="00C843B6"/>
    <w:rsid w:val="00C8469D"/>
    <w:rsid w:val="00C847C6"/>
    <w:rsid w:val="00C84B30"/>
    <w:rsid w:val="00C84CA4"/>
    <w:rsid w:val="00C856C9"/>
    <w:rsid w:val="00C871D8"/>
    <w:rsid w:val="00C872F1"/>
    <w:rsid w:val="00C8796E"/>
    <w:rsid w:val="00C9133C"/>
    <w:rsid w:val="00C92442"/>
    <w:rsid w:val="00C92CB4"/>
    <w:rsid w:val="00C935CE"/>
    <w:rsid w:val="00C938D5"/>
    <w:rsid w:val="00C95E77"/>
    <w:rsid w:val="00C9688C"/>
    <w:rsid w:val="00C96A68"/>
    <w:rsid w:val="00C96AD2"/>
    <w:rsid w:val="00C96BB5"/>
    <w:rsid w:val="00C971E0"/>
    <w:rsid w:val="00C976A4"/>
    <w:rsid w:val="00C97749"/>
    <w:rsid w:val="00C9789B"/>
    <w:rsid w:val="00C97A52"/>
    <w:rsid w:val="00C97C09"/>
    <w:rsid w:val="00C97DDF"/>
    <w:rsid w:val="00CA1602"/>
    <w:rsid w:val="00CA1C67"/>
    <w:rsid w:val="00CA1ED8"/>
    <w:rsid w:val="00CA2743"/>
    <w:rsid w:val="00CA29F9"/>
    <w:rsid w:val="00CA2DCE"/>
    <w:rsid w:val="00CA316F"/>
    <w:rsid w:val="00CA3373"/>
    <w:rsid w:val="00CA3775"/>
    <w:rsid w:val="00CA4773"/>
    <w:rsid w:val="00CA5019"/>
    <w:rsid w:val="00CA538C"/>
    <w:rsid w:val="00CA578C"/>
    <w:rsid w:val="00CA754A"/>
    <w:rsid w:val="00CA7983"/>
    <w:rsid w:val="00CB0361"/>
    <w:rsid w:val="00CB0AA5"/>
    <w:rsid w:val="00CB0D4B"/>
    <w:rsid w:val="00CB0EDC"/>
    <w:rsid w:val="00CB1AF8"/>
    <w:rsid w:val="00CB1B95"/>
    <w:rsid w:val="00CB1EB3"/>
    <w:rsid w:val="00CB2F77"/>
    <w:rsid w:val="00CB3008"/>
    <w:rsid w:val="00CB35AE"/>
    <w:rsid w:val="00CB3D64"/>
    <w:rsid w:val="00CB4675"/>
    <w:rsid w:val="00CB56DE"/>
    <w:rsid w:val="00CB5922"/>
    <w:rsid w:val="00CB5D8E"/>
    <w:rsid w:val="00CB6AD2"/>
    <w:rsid w:val="00CB6C50"/>
    <w:rsid w:val="00CB72E6"/>
    <w:rsid w:val="00CB788B"/>
    <w:rsid w:val="00CB7927"/>
    <w:rsid w:val="00CC0033"/>
    <w:rsid w:val="00CC0241"/>
    <w:rsid w:val="00CC0780"/>
    <w:rsid w:val="00CC0AA0"/>
    <w:rsid w:val="00CC0F24"/>
    <w:rsid w:val="00CC0F3D"/>
    <w:rsid w:val="00CC1D4E"/>
    <w:rsid w:val="00CC29A5"/>
    <w:rsid w:val="00CC3076"/>
    <w:rsid w:val="00CC3083"/>
    <w:rsid w:val="00CC3ACC"/>
    <w:rsid w:val="00CC3D41"/>
    <w:rsid w:val="00CC466D"/>
    <w:rsid w:val="00CC47A6"/>
    <w:rsid w:val="00CC5159"/>
    <w:rsid w:val="00CC5C50"/>
    <w:rsid w:val="00CC7B9A"/>
    <w:rsid w:val="00CD0644"/>
    <w:rsid w:val="00CD0753"/>
    <w:rsid w:val="00CD0B9C"/>
    <w:rsid w:val="00CD1254"/>
    <w:rsid w:val="00CD155E"/>
    <w:rsid w:val="00CD1680"/>
    <w:rsid w:val="00CD1A4A"/>
    <w:rsid w:val="00CD1CE5"/>
    <w:rsid w:val="00CD2450"/>
    <w:rsid w:val="00CD2EEA"/>
    <w:rsid w:val="00CD2F50"/>
    <w:rsid w:val="00CD305F"/>
    <w:rsid w:val="00CD33B2"/>
    <w:rsid w:val="00CD36CC"/>
    <w:rsid w:val="00CD4350"/>
    <w:rsid w:val="00CD4562"/>
    <w:rsid w:val="00CD477F"/>
    <w:rsid w:val="00CD4D4E"/>
    <w:rsid w:val="00CD571C"/>
    <w:rsid w:val="00CD6111"/>
    <w:rsid w:val="00CD71D6"/>
    <w:rsid w:val="00CD7CDF"/>
    <w:rsid w:val="00CE01F5"/>
    <w:rsid w:val="00CE0A9D"/>
    <w:rsid w:val="00CE0BD1"/>
    <w:rsid w:val="00CE0F0E"/>
    <w:rsid w:val="00CE154B"/>
    <w:rsid w:val="00CE28B2"/>
    <w:rsid w:val="00CE3497"/>
    <w:rsid w:val="00CE399E"/>
    <w:rsid w:val="00CE63FB"/>
    <w:rsid w:val="00CE6A9E"/>
    <w:rsid w:val="00CE7598"/>
    <w:rsid w:val="00CE78AC"/>
    <w:rsid w:val="00CE7988"/>
    <w:rsid w:val="00CF02AA"/>
    <w:rsid w:val="00CF0371"/>
    <w:rsid w:val="00CF0400"/>
    <w:rsid w:val="00CF0524"/>
    <w:rsid w:val="00CF090E"/>
    <w:rsid w:val="00CF0A25"/>
    <w:rsid w:val="00CF0E47"/>
    <w:rsid w:val="00CF0EC7"/>
    <w:rsid w:val="00CF0F26"/>
    <w:rsid w:val="00CF164E"/>
    <w:rsid w:val="00CF21A9"/>
    <w:rsid w:val="00CF2DBC"/>
    <w:rsid w:val="00CF3084"/>
    <w:rsid w:val="00CF32B4"/>
    <w:rsid w:val="00CF3458"/>
    <w:rsid w:val="00CF5881"/>
    <w:rsid w:val="00CF5D3F"/>
    <w:rsid w:val="00CF62AC"/>
    <w:rsid w:val="00CF67FD"/>
    <w:rsid w:val="00CF7095"/>
    <w:rsid w:val="00CF71F8"/>
    <w:rsid w:val="00CF7315"/>
    <w:rsid w:val="00CF78DD"/>
    <w:rsid w:val="00D00027"/>
    <w:rsid w:val="00D01C53"/>
    <w:rsid w:val="00D021C2"/>
    <w:rsid w:val="00D023FF"/>
    <w:rsid w:val="00D0286C"/>
    <w:rsid w:val="00D02C3E"/>
    <w:rsid w:val="00D02C42"/>
    <w:rsid w:val="00D02FF3"/>
    <w:rsid w:val="00D03027"/>
    <w:rsid w:val="00D03823"/>
    <w:rsid w:val="00D046D0"/>
    <w:rsid w:val="00D049CE"/>
    <w:rsid w:val="00D04EB3"/>
    <w:rsid w:val="00D0501E"/>
    <w:rsid w:val="00D050E8"/>
    <w:rsid w:val="00D06035"/>
    <w:rsid w:val="00D06D6F"/>
    <w:rsid w:val="00D06DAD"/>
    <w:rsid w:val="00D074FA"/>
    <w:rsid w:val="00D0763B"/>
    <w:rsid w:val="00D07F42"/>
    <w:rsid w:val="00D106B8"/>
    <w:rsid w:val="00D106CF"/>
    <w:rsid w:val="00D11442"/>
    <w:rsid w:val="00D11583"/>
    <w:rsid w:val="00D122F5"/>
    <w:rsid w:val="00D1234F"/>
    <w:rsid w:val="00D1294A"/>
    <w:rsid w:val="00D12A05"/>
    <w:rsid w:val="00D139DB"/>
    <w:rsid w:val="00D13BDF"/>
    <w:rsid w:val="00D13DDD"/>
    <w:rsid w:val="00D13FEE"/>
    <w:rsid w:val="00D14C77"/>
    <w:rsid w:val="00D151D6"/>
    <w:rsid w:val="00D1580E"/>
    <w:rsid w:val="00D159B7"/>
    <w:rsid w:val="00D15F50"/>
    <w:rsid w:val="00D1689A"/>
    <w:rsid w:val="00D16D11"/>
    <w:rsid w:val="00D16DF4"/>
    <w:rsid w:val="00D17119"/>
    <w:rsid w:val="00D17974"/>
    <w:rsid w:val="00D17E7A"/>
    <w:rsid w:val="00D20D07"/>
    <w:rsid w:val="00D20DE9"/>
    <w:rsid w:val="00D217C6"/>
    <w:rsid w:val="00D21EAE"/>
    <w:rsid w:val="00D220DF"/>
    <w:rsid w:val="00D22DB0"/>
    <w:rsid w:val="00D23314"/>
    <w:rsid w:val="00D239C7"/>
    <w:rsid w:val="00D23A9F"/>
    <w:rsid w:val="00D23E2F"/>
    <w:rsid w:val="00D25399"/>
    <w:rsid w:val="00D25533"/>
    <w:rsid w:val="00D25B39"/>
    <w:rsid w:val="00D26C40"/>
    <w:rsid w:val="00D26DD4"/>
    <w:rsid w:val="00D27082"/>
    <w:rsid w:val="00D27427"/>
    <w:rsid w:val="00D2745F"/>
    <w:rsid w:val="00D2761A"/>
    <w:rsid w:val="00D2781E"/>
    <w:rsid w:val="00D2790A"/>
    <w:rsid w:val="00D27B9B"/>
    <w:rsid w:val="00D300E2"/>
    <w:rsid w:val="00D30B6C"/>
    <w:rsid w:val="00D30C33"/>
    <w:rsid w:val="00D30CC9"/>
    <w:rsid w:val="00D30E3E"/>
    <w:rsid w:val="00D317F5"/>
    <w:rsid w:val="00D3235E"/>
    <w:rsid w:val="00D32800"/>
    <w:rsid w:val="00D32B93"/>
    <w:rsid w:val="00D32B98"/>
    <w:rsid w:val="00D33157"/>
    <w:rsid w:val="00D332B3"/>
    <w:rsid w:val="00D33406"/>
    <w:rsid w:val="00D336B6"/>
    <w:rsid w:val="00D33876"/>
    <w:rsid w:val="00D33D83"/>
    <w:rsid w:val="00D34206"/>
    <w:rsid w:val="00D35159"/>
    <w:rsid w:val="00D3532D"/>
    <w:rsid w:val="00D36324"/>
    <w:rsid w:val="00D365A7"/>
    <w:rsid w:val="00D36844"/>
    <w:rsid w:val="00D3688F"/>
    <w:rsid w:val="00D371E9"/>
    <w:rsid w:val="00D4043D"/>
    <w:rsid w:val="00D4050D"/>
    <w:rsid w:val="00D40577"/>
    <w:rsid w:val="00D407E9"/>
    <w:rsid w:val="00D429C2"/>
    <w:rsid w:val="00D43026"/>
    <w:rsid w:val="00D4421B"/>
    <w:rsid w:val="00D446CB"/>
    <w:rsid w:val="00D45B00"/>
    <w:rsid w:val="00D45B08"/>
    <w:rsid w:val="00D45DFD"/>
    <w:rsid w:val="00D45E48"/>
    <w:rsid w:val="00D4676E"/>
    <w:rsid w:val="00D50203"/>
    <w:rsid w:val="00D50504"/>
    <w:rsid w:val="00D507FC"/>
    <w:rsid w:val="00D50BD4"/>
    <w:rsid w:val="00D50C68"/>
    <w:rsid w:val="00D50CE3"/>
    <w:rsid w:val="00D51783"/>
    <w:rsid w:val="00D51A09"/>
    <w:rsid w:val="00D525E1"/>
    <w:rsid w:val="00D525FA"/>
    <w:rsid w:val="00D526F2"/>
    <w:rsid w:val="00D5377F"/>
    <w:rsid w:val="00D537DD"/>
    <w:rsid w:val="00D538B6"/>
    <w:rsid w:val="00D54021"/>
    <w:rsid w:val="00D542EC"/>
    <w:rsid w:val="00D54F0A"/>
    <w:rsid w:val="00D554CA"/>
    <w:rsid w:val="00D5567D"/>
    <w:rsid w:val="00D55AAD"/>
    <w:rsid w:val="00D55FBB"/>
    <w:rsid w:val="00D5629C"/>
    <w:rsid w:val="00D56811"/>
    <w:rsid w:val="00D56920"/>
    <w:rsid w:val="00D56ED4"/>
    <w:rsid w:val="00D577BC"/>
    <w:rsid w:val="00D60121"/>
    <w:rsid w:val="00D60F77"/>
    <w:rsid w:val="00D61869"/>
    <w:rsid w:val="00D620C5"/>
    <w:rsid w:val="00D62746"/>
    <w:rsid w:val="00D62A55"/>
    <w:rsid w:val="00D62D0F"/>
    <w:rsid w:val="00D63609"/>
    <w:rsid w:val="00D639CD"/>
    <w:rsid w:val="00D6426B"/>
    <w:rsid w:val="00D64484"/>
    <w:rsid w:val="00D647FE"/>
    <w:rsid w:val="00D64BD1"/>
    <w:rsid w:val="00D65084"/>
    <w:rsid w:val="00D65BE9"/>
    <w:rsid w:val="00D660EF"/>
    <w:rsid w:val="00D66B96"/>
    <w:rsid w:val="00D66F3A"/>
    <w:rsid w:val="00D671EC"/>
    <w:rsid w:val="00D673B3"/>
    <w:rsid w:val="00D7014C"/>
    <w:rsid w:val="00D701F0"/>
    <w:rsid w:val="00D7023F"/>
    <w:rsid w:val="00D71ACA"/>
    <w:rsid w:val="00D72047"/>
    <w:rsid w:val="00D720A8"/>
    <w:rsid w:val="00D73BDA"/>
    <w:rsid w:val="00D73F20"/>
    <w:rsid w:val="00D74069"/>
    <w:rsid w:val="00D7487A"/>
    <w:rsid w:val="00D7559E"/>
    <w:rsid w:val="00D757B4"/>
    <w:rsid w:val="00D75858"/>
    <w:rsid w:val="00D77836"/>
    <w:rsid w:val="00D77BA8"/>
    <w:rsid w:val="00D77C53"/>
    <w:rsid w:val="00D77E6E"/>
    <w:rsid w:val="00D8045B"/>
    <w:rsid w:val="00D805FD"/>
    <w:rsid w:val="00D80E9D"/>
    <w:rsid w:val="00D80F8E"/>
    <w:rsid w:val="00D81901"/>
    <w:rsid w:val="00D81D9D"/>
    <w:rsid w:val="00D81DC8"/>
    <w:rsid w:val="00D82254"/>
    <w:rsid w:val="00D82DF2"/>
    <w:rsid w:val="00D84F03"/>
    <w:rsid w:val="00D85684"/>
    <w:rsid w:val="00D86210"/>
    <w:rsid w:val="00D86680"/>
    <w:rsid w:val="00D86D94"/>
    <w:rsid w:val="00D87635"/>
    <w:rsid w:val="00D90100"/>
    <w:rsid w:val="00D903C1"/>
    <w:rsid w:val="00D90782"/>
    <w:rsid w:val="00D910D7"/>
    <w:rsid w:val="00D92389"/>
    <w:rsid w:val="00D94B29"/>
    <w:rsid w:val="00D94FAB"/>
    <w:rsid w:val="00D956BF"/>
    <w:rsid w:val="00D96062"/>
    <w:rsid w:val="00D96700"/>
    <w:rsid w:val="00D96882"/>
    <w:rsid w:val="00D975B7"/>
    <w:rsid w:val="00D977F0"/>
    <w:rsid w:val="00D97B5A"/>
    <w:rsid w:val="00DA02C3"/>
    <w:rsid w:val="00DA170A"/>
    <w:rsid w:val="00DA2458"/>
    <w:rsid w:val="00DA24E4"/>
    <w:rsid w:val="00DA289F"/>
    <w:rsid w:val="00DA2BD1"/>
    <w:rsid w:val="00DA2C89"/>
    <w:rsid w:val="00DA2F8D"/>
    <w:rsid w:val="00DA3174"/>
    <w:rsid w:val="00DA3EED"/>
    <w:rsid w:val="00DA420C"/>
    <w:rsid w:val="00DA4320"/>
    <w:rsid w:val="00DA4741"/>
    <w:rsid w:val="00DA503A"/>
    <w:rsid w:val="00DA62CE"/>
    <w:rsid w:val="00DA65E5"/>
    <w:rsid w:val="00DA6818"/>
    <w:rsid w:val="00DA6AE5"/>
    <w:rsid w:val="00DA6D9A"/>
    <w:rsid w:val="00DA78C9"/>
    <w:rsid w:val="00DA7EE1"/>
    <w:rsid w:val="00DB0780"/>
    <w:rsid w:val="00DB07A5"/>
    <w:rsid w:val="00DB0832"/>
    <w:rsid w:val="00DB1CF7"/>
    <w:rsid w:val="00DB22D6"/>
    <w:rsid w:val="00DB23E0"/>
    <w:rsid w:val="00DB2A45"/>
    <w:rsid w:val="00DB3666"/>
    <w:rsid w:val="00DB392D"/>
    <w:rsid w:val="00DB4EED"/>
    <w:rsid w:val="00DB4F13"/>
    <w:rsid w:val="00DB51A3"/>
    <w:rsid w:val="00DB57B0"/>
    <w:rsid w:val="00DB5A97"/>
    <w:rsid w:val="00DB629E"/>
    <w:rsid w:val="00DB636C"/>
    <w:rsid w:val="00DB63AD"/>
    <w:rsid w:val="00DB651D"/>
    <w:rsid w:val="00DB69FD"/>
    <w:rsid w:val="00DB6C44"/>
    <w:rsid w:val="00DB6F85"/>
    <w:rsid w:val="00DB73AE"/>
    <w:rsid w:val="00DB778C"/>
    <w:rsid w:val="00DB77D6"/>
    <w:rsid w:val="00DB7F97"/>
    <w:rsid w:val="00DC04ED"/>
    <w:rsid w:val="00DC0CA6"/>
    <w:rsid w:val="00DC105C"/>
    <w:rsid w:val="00DC1232"/>
    <w:rsid w:val="00DC1F45"/>
    <w:rsid w:val="00DC221D"/>
    <w:rsid w:val="00DC27D8"/>
    <w:rsid w:val="00DC28ED"/>
    <w:rsid w:val="00DC2D8F"/>
    <w:rsid w:val="00DC366E"/>
    <w:rsid w:val="00DC3A8F"/>
    <w:rsid w:val="00DC3F46"/>
    <w:rsid w:val="00DC3FD0"/>
    <w:rsid w:val="00DC4673"/>
    <w:rsid w:val="00DC4685"/>
    <w:rsid w:val="00DC4D8D"/>
    <w:rsid w:val="00DC4E59"/>
    <w:rsid w:val="00DC4E8F"/>
    <w:rsid w:val="00DC50F1"/>
    <w:rsid w:val="00DC52EB"/>
    <w:rsid w:val="00DC5E44"/>
    <w:rsid w:val="00DC6298"/>
    <w:rsid w:val="00DC7BB0"/>
    <w:rsid w:val="00DC7E92"/>
    <w:rsid w:val="00DC7EC3"/>
    <w:rsid w:val="00DD0023"/>
    <w:rsid w:val="00DD0460"/>
    <w:rsid w:val="00DD08B0"/>
    <w:rsid w:val="00DD0D0B"/>
    <w:rsid w:val="00DD10A4"/>
    <w:rsid w:val="00DD29C9"/>
    <w:rsid w:val="00DD3276"/>
    <w:rsid w:val="00DD37ED"/>
    <w:rsid w:val="00DD3F5B"/>
    <w:rsid w:val="00DD46DF"/>
    <w:rsid w:val="00DD4CF2"/>
    <w:rsid w:val="00DD4D31"/>
    <w:rsid w:val="00DD5F15"/>
    <w:rsid w:val="00DD61A7"/>
    <w:rsid w:val="00DD640B"/>
    <w:rsid w:val="00DD69CE"/>
    <w:rsid w:val="00DD6EC2"/>
    <w:rsid w:val="00DD6F93"/>
    <w:rsid w:val="00DD6FA5"/>
    <w:rsid w:val="00DD702D"/>
    <w:rsid w:val="00DE0EA0"/>
    <w:rsid w:val="00DE13B7"/>
    <w:rsid w:val="00DE1CB2"/>
    <w:rsid w:val="00DE1CB7"/>
    <w:rsid w:val="00DE2792"/>
    <w:rsid w:val="00DE378E"/>
    <w:rsid w:val="00DE3BB1"/>
    <w:rsid w:val="00DE3BDD"/>
    <w:rsid w:val="00DE4DC2"/>
    <w:rsid w:val="00DE5261"/>
    <w:rsid w:val="00DE53A7"/>
    <w:rsid w:val="00DE5A6E"/>
    <w:rsid w:val="00DE617C"/>
    <w:rsid w:val="00DE6923"/>
    <w:rsid w:val="00DE692D"/>
    <w:rsid w:val="00DE7EE5"/>
    <w:rsid w:val="00DF02A0"/>
    <w:rsid w:val="00DF03F7"/>
    <w:rsid w:val="00DF14F2"/>
    <w:rsid w:val="00DF1603"/>
    <w:rsid w:val="00DF21AF"/>
    <w:rsid w:val="00DF21F2"/>
    <w:rsid w:val="00DF23E6"/>
    <w:rsid w:val="00DF3202"/>
    <w:rsid w:val="00DF36DB"/>
    <w:rsid w:val="00DF3F0B"/>
    <w:rsid w:val="00DF4024"/>
    <w:rsid w:val="00DF44A7"/>
    <w:rsid w:val="00DF4B49"/>
    <w:rsid w:val="00DF50E5"/>
    <w:rsid w:val="00DF5182"/>
    <w:rsid w:val="00DF5185"/>
    <w:rsid w:val="00DF5C2E"/>
    <w:rsid w:val="00DF5CC5"/>
    <w:rsid w:val="00DF6086"/>
    <w:rsid w:val="00DF7863"/>
    <w:rsid w:val="00DF7AE2"/>
    <w:rsid w:val="00E004CB"/>
    <w:rsid w:val="00E00F00"/>
    <w:rsid w:val="00E02975"/>
    <w:rsid w:val="00E02C5E"/>
    <w:rsid w:val="00E02C9E"/>
    <w:rsid w:val="00E03A2E"/>
    <w:rsid w:val="00E040C1"/>
    <w:rsid w:val="00E042C2"/>
    <w:rsid w:val="00E04CB2"/>
    <w:rsid w:val="00E0527A"/>
    <w:rsid w:val="00E0555A"/>
    <w:rsid w:val="00E05865"/>
    <w:rsid w:val="00E06A93"/>
    <w:rsid w:val="00E07625"/>
    <w:rsid w:val="00E07E42"/>
    <w:rsid w:val="00E10A0D"/>
    <w:rsid w:val="00E11389"/>
    <w:rsid w:val="00E11BA7"/>
    <w:rsid w:val="00E11F5F"/>
    <w:rsid w:val="00E120E7"/>
    <w:rsid w:val="00E1238B"/>
    <w:rsid w:val="00E127FF"/>
    <w:rsid w:val="00E12B74"/>
    <w:rsid w:val="00E12BF2"/>
    <w:rsid w:val="00E131F6"/>
    <w:rsid w:val="00E13C2C"/>
    <w:rsid w:val="00E14514"/>
    <w:rsid w:val="00E14844"/>
    <w:rsid w:val="00E14894"/>
    <w:rsid w:val="00E14C19"/>
    <w:rsid w:val="00E14CB9"/>
    <w:rsid w:val="00E14E73"/>
    <w:rsid w:val="00E14F78"/>
    <w:rsid w:val="00E14F7C"/>
    <w:rsid w:val="00E1524E"/>
    <w:rsid w:val="00E15626"/>
    <w:rsid w:val="00E157B1"/>
    <w:rsid w:val="00E162CD"/>
    <w:rsid w:val="00E16AC5"/>
    <w:rsid w:val="00E17233"/>
    <w:rsid w:val="00E17A3E"/>
    <w:rsid w:val="00E20F22"/>
    <w:rsid w:val="00E21671"/>
    <w:rsid w:val="00E2190B"/>
    <w:rsid w:val="00E21B3C"/>
    <w:rsid w:val="00E22193"/>
    <w:rsid w:val="00E233AC"/>
    <w:rsid w:val="00E23E6C"/>
    <w:rsid w:val="00E243D6"/>
    <w:rsid w:val="00E245AE"/>
    <w:rsid w:val="00E245FE"/>
    <w:rsid w:val="00E24DF4"/>
    <w:rsid w:val="00E2534A"/>
    <w:rsid w:val="00E2572A"/>
    <w:rsid w:val="00E26B3B"/>
    <w:rsid w:val="00E27334"/>
    <w:rsid w:val="00E2768C"/>
    <w:rsid w:val="00E27B2C"/>
    <w:rsid w:val="00E302AF"/>
    <w:rsid w:val="00E3038F"/>
    <w:rsid w:val="00E30BBC"/>
    <w:rsid w:val="00E30F1B"/>
    <w:rsid w:val="00E3173D"/>
    <w:rsid w:val="00E317F5"/>
    <w:rsid w:val="00E332FF"/>
    <w:rsid w:val="00E3408C"/>
    <w:rsid w:val="00E3417D"/>
    <w:rsid w:val="00E3424A"/>
    <w:rsid w:val="00E345D2"/>
    <w:rsid w:val="00E35720"/>
    <w:rsid w:val="00E36643"/>
    <w:rsid w:val="00E36673"/>
    <w:rsid w:val="00E373E6"/>
    <w:rsid w:val="00E37705"/>
    <w:rsid w:val="00E405E7"/>
    <w:rsid w:val="00E40983"/>
    <w:rsid w:val="00E40BE2"/>
    <w:rsid w:val="00E4147E"/>
    <w:rsid w:val="00E4270E"/>
    <w:rsid w:val="00E42920"/>
    <w:rsid w:val="00E42A28"/>
    <w:rsid w:val="00E42C9B"/>
    <w:rsid w:val="00E43F65"/>
    <w:rsid w:val="00E44095"/>
    <w:rsid w:val="00E441BC"/>
    <w:rsid w:val="00E445DB"/>
    <w:rsid w:val="00E459FD"/>
    <w:rsid w:val="00E45D8D"/>
    <w:rsid w:val="00E45FAE"/>
    <w:rsid w:val="00E46953"/>
    <w:rsid w:val="00E520C8"/>
    <w:rsid w:val="00E523A4"/>
    <w:rsid w:val="00E52728"/>
    <w:rsid w:val="00E52A58"/>
    <w:rsid w:val="00E53FD8"/>
    <w:rsid w:val="00E5649F"/>
    <w:rsid w:val="00E568C1"/>
    <w:rsid w:val="00E56B1D"/>
    <w:rsid w:val="00E572E2"/>
    <w:rsid w:val="00E600AE"/>
    <w:rsid w:val="00E601B0"/>
    <w:rsid w:val="00E609BD"/>
    <w:rsid w:val="00E60A9E"/>
    <w:rsid w:val="00E60C4E"/>
    <w:rsid w:val="00E61185"/>
    <w:rsid w:val="00E61CE1"/>
    <w:rsid w:val="00E61FC6"/>
    <w:rsid w:val="00E63678"/>
    <w:rsid w:val="00E64834"/>
    <w:rsid w:val="00E65B4A"/>
    <w:rsid w:val="00E65E49"/>
    <w:rsid w:val="00E65FCC"/>
    <w:rsid w:val="00E66534"/>
    <w:rsid w:val="00E66D0A"/>
    <w:rsid w:val="00E67003"/>
    <w:rsid w:val="00E67BFD"/>
    <w:rsid w:val="00E67F11"/>
    <w:rsid w:val="00E70C3E"/>
    <w:rsid w:val="00E713DC"/>
    <w:rsid w:val="00E71548"/>
    <w:rsid w:val="00E7167B"/>
    <w:rsid w:val="00E7275A"/>
    <w:rsid w:val="00E728BE"/>
    <w:rsid w:val="00E72D07"/>
    <w:rsid w:val="00E732C7"/>
    <w:rsid w:val="00E73B36"/>
    <w:rsid w:val="00E74452"/>
    <w:rsid w:val="00E7459E"/>
    <w:rsid w:val="00E7484B"/>
    <w:rsid w:val="00E75003"/>
    <w:rsid w:val="00E754AF"/>
    <w:rsid w:val="00E7640A"/>
    <w:rsid w:val="00E766A9"/>
    <w:rsid w:val="00E76961"/>
    <w:rsid w:val="00E76A43"/>
    <w:rsid w:val="00E76DD3"/>
    <w:rsid w:val="00E771BA"/>
    <w:rsid w:val="00E77290"/>
    <w:rsid w:val="00E77C0B"/>
    <w:rsid w:val="00E77F09"/>
    <w:rsid w:val="00E8004F"/>
    <w:rsid w:val="00E825DA"/>
    <w:rsid w:val="00E82ACD"/>
    <w:rsid w:val="00E831B4"/>
    <w:rsid w:val="00E83D11"/>
    <w:rsid w:val="00E83FD5"/>
    <w:rsid w:val="00E84041"/>
    <w:rsid w:val="00E8430C"/>
    <w:rsid w:val="00E856BD"/>
    <w:rsid w:val="00E85C2F"/>
    <w:rsid w:val="00E8655B"/>
    <w:rsid w:val="00E8734A"/>
    <w:rsid w:val="00E8780D"/>
    <w:rsid w:val="00E87EC8"/>
    <w:rsid w:val="00E90479"/>
    <w:rsid w:val="00E90A06"/>
    <w:rsid w:val="00E90F5D"/>
    <w:rsid w:val="00E915FE"/>
    <w:rsid w:val="00E916B8"/>
    <w:rsid w:val="00E9191C"/>
    <w:rsid w:val="00E92397"/>
    <w:rsid w:val="00E92813"/>
    <w:rsid w:val="00E9324F"/>
    <w:rsid w:val="00E94E03"/>
    <w:rsid w:val="00E955DF"/>
    <w:rsid w:val="00E95B06"/>
    <w:rsid w:val="00E96CCE"/>
    <w:rsid w:val="00E972AF"/>
    <w:rsid w:val="00E974A3"/>
    <w:rsid w:val="00EA0907"/>
    <w:rsid w:val="00EA0B9D"/>
    <w:rsid w:val="00EA0F7D"/>
    <w:rsid w:val="00EA2263"/>
    <w:rsid w:val="00EA273E"/>
    <w:rsid w:val="00EA2F7A"/>
    <w:rsid w:val="00EA324D"/>
    <w:rsid w:val="00EA3F16"/>
    <w:rsid w:val="00EA3F5A"/>
    <w:rsid w:val="00EA43CA"/>
    <w:rsid w:val="00EA4428"/>
    <w:rsid w:val="00EA4B97"/>
    <w:rsid w:val="00EA53DC"/>
    <w:rsid w:val="00EA63DE"/>
    <w:rsid w:val="00EA6EE7"/>
    <w:rsid w:val="00EA70F5"/>
    <w:rsid w:val="00EA75CE"/>
    <w:rsid w:val="00EB18E8"/>
    <w:rsid w:val="00EB192A"/>
    <w:rsid w:val="00EB25C5"/>
    <w:rsid w:val="00EB35DF"/>
    <w:rsid w:val="00EB3ED2"/>
    <w:rsid w:val="00EB43EB"/>
    <w:rsid w:val="00EB4D2D"/>
    <w:rsid w:val="00EB4E2A"/>
    <w:rsid w:val="00EB54E0"/>
    <w:rsid w:val="00EB6186"/>
    <w:rsid w:val="00EB6DEA"/>
    <w:rsid w:val="00EB706F"/>
    <w:rsid w:val="00EC01E3"/>
    <w:rsid w:val="00EC078D"/>
    <w:rsid w:val="00EC1584"/>
    <w:rsid w:val="00EC2259"/>
    <w:rsid w:val="00EC2421"/>
    <w:rsid w:val="00EC294A"/>
    <w:rsid w:val="00EC2FF1"/>
    <w:rsid w:val="00EC3D63"/>
    <w:rsid w:val="00EC3DDC"/>
    <w:rsid w:val="00EC3F7B"/>
    <w:rsid w:val="00EC516E"/>
    <w:rsid w:val="00EC535F"/>
    <w:rsid w:val="00EC57BF"/>
    <w:rsid w:val="00EC59C8"/>
    <w:rsid w:val="00EC5B27"/>
    <w:rsid w:val="00EC5CD1"/>
    <w:rsid w:val="00EC61AE"/>
    <w:rsid w:val="00EC6487"/>
    <w:rsid w:val="00EC7747"/>
    <w:rsid w:val="00EC7F35"/>
    <w:rsid w:val="00ED02C6"/>
    <w:rsid w:val="00ED0E73"/>
    <w:rsid w:val="00ED13D8"/>
    <w:rsid w:val="00ED1ECF"/>
    <w:rsid w:val="00ED2028"/>
    <w:rsid w:val="00ED251B"/>
    <w:rsid w:val="00ED2F1B"/>
    <w:rsid w:val="00ED31DA"/>
    <w:rsid w:val="00ED3607"/>
    <w:rsid w:val="00ED39AF"/>
    <w:rsid w:val="00ED3D2D"/>
    <w:rsid w:val="00ED4771"/>
    <w:rsid w:val="00ED4D9C"/>
    <w:rsid w:val="00ED4E86"/>
    <w:rsid w:val="00ED5BE0"/>
    <w:rsid w:val="00ED7A7E"/>
    <w:rsid w:val="00EE0178"/>
    <w:rsid w:val="00EE1613"/>
    <w:rsid w:val="00EE1BF7"/>
    <w:rsid w:val="00EE1E0D"/>
    <w:rsid w:val="00EE22A2"/>
    <w:rsid w:val="00EE2851"/>
    <w:rsid w:val="00EE30A2"/>
    <w:rsid w:val="00EE31FE"/>
    <w:rsid w:val="00EE3210"/>
    <w:rsid w:val="00EE4334"/>
    <w:rsid w:val="00EE4B11"/>
    <w:rsid w:val="00EE4C80"/>
    <w:rsid w:val="00EE4D65"/>
    <w:rsid w:val="00EE6965"/>
    <w:rsid w:val="00EE696E"/>
    <w:rsid w:val="00EE6C2F"/>
    <w:rsid w:val="00EE7FF1"/>
    <w:rsid w:val="00EF013A"/>
    <w:rsid w:val="00EF0426"/>
    <w:rsid w:val="00EF0581"/>
    <w:rsid w:val="00EF0BD5"/>
    <w:rsid w:val="00EF1137"/>
    <w:rsid w:val="00EF14C2"/>
    <w:rsid w:val="00EF22E3"/>
    <w:rsid w:val="00EF25F8"/>
    <w:rsid w:val="00EF29F0"/>
    <w:rsid w:val="00EF377F"/>
    <w:rsid w:val="00EF3AC6"/>
    <w:rsid w:val="00EF3C15"/>
    <w:rsid w:val="00EF4095"/>
    <w:rsid w:val="00EF4551"/>
    <w:rsid w:val="00EF4BE7"/>
    <w:rsid w:val="00EF4E38"/>
    <w:rsid w:val="00EF524A"/>
    <w:rsid w:val="00EF5267"/>
    <w:rsid w:val="00EF558C"/>
    <w:rsid w:val="00EF656A"/>
    <w:rsid w:val="00EF6E93"/>
    <w:rsid w:val="00EF7B7E"/>
    <w:rsid w:val="00F007A5"/>
    <w:rsid w:val="00F00932"/>
    <w:rsid w:val="00F00B3D"/>
    <w:rsid w:val="00F01720"/>
    <w:rsid w:val="00F03EF5"/>
    <w:rsid w:val="00F04FC2"/>
    <w:rsid w:val="00F053DA"/>
    <w:rsid w:val="00F057E5"/>
    <w:rsid w:val="00F0596C"/>
    <w:rsid w:val="00F05C09"/>
    <w:rsid w:val="00F064AB"/>
    <w:rsid w:val="00F069FD"/>
    <w:rsid w:val="00F06B3F"/>
    <w:rsid w:val="00F0757E"/>
    <w:rsid w:val="00F07A36"/>
    <w:rsid w:val="00F10A8B"/>
    <w:rsid w:val="00F10ACE"/>
    <w:rsid w:val="00F111E6"/>
    <w:rsid w:val="00F1140F"/>
    <w:rsid w:val="00F1163F"/>
    <w:rsid w:val="00F11DDE"/>
    <w:rsid w:val="00F127BC"/>
    <w:rsid w:val="00F12931"/>
    <w:rsid w:val="00F12C84"/>
    <w:rsid w:val="00F13494"/>
    <w:rsid w:val="00F13559"/>
    <w:rsid w:val="00F13C0C"/>
    <w:rsid w:val="00F13D7E"/>
    <w:rsid w:val="00F140E7"/>
    <w:rsid w:val="00F14746"/>
    <w:rsid w:val="00F14777"/>
    <w:rsid w:val="00F1486B"/>
    <w:rsid w:val="00F14BA6"/>
    <w:rsid w:val="00F14CA3"/>
    <w:rsid w:val="00F151AE"/>
    <w:rsid w:val="00F159E8"/>
    <w:rsid w:val="00F15D34"/>
    <w:rsid w:val="00F163FF"/>
    <w:rsid w:val="00F16750"/>
    <w:rsid w:val="00F16824"/>
    <w:rsid w:val="00F16E61"/>
    <w:rsid w:val="00F17169"/>
    <w:rsid w:val="00F171B2"/>
    <w:rsid w:val="00F17C66"/>
    <w:rsid w:val="00F200BC"/>
    <w:rsid w:val="00F202B1"/>
    <w:rsid w:val="00F20FFD"/>
    <w:rsid w:val="00F2122E"/>
    <w:rsid w:val="00F212F8"/>
    <w:rsid w:val="00F2131F"/>
    <w:rsid w:val="00F21C94"/>
    <w:rsid w:val="00F22422"/>
    <w:rsid w:val="00F226F7"/>
    <w:rsid w:val="00F22A51"/>
    <w:rsid w:val="00F22BE1"/>
    <w:rsid w:val="00F22E13"/>
    <w:rsid w:val="00F23707"/>
    <w:rsid w:val="00F238F2"/>
    <w:rsid w:val="00F23C0E"/>
    <w:rsid w:val="00F23F2E"/>
    <w:rsid w:val="00F24D69"/>
    <w:rsid w:val="00F24EEE"/>
    <w:rsid w:val="00F25A52"/>
    <w:rsid w:val="00F25FFC"/>
    <w:rsid w:val="00F2623B"/>
    <w:rsid w:val="00F263B2"/>
    <w:rsid w:val="00F26556"/>
    <w:rsid w:val="00F2741D"/>
    <w:rsid w:val="00F276F3"/>
    <w:rsid w:val="00F27807"/>
    <w:rsid w:val="00F3101E"/>
    <w:rsid w:val="00F310F3"/>
    <w:rsid w:val="00F3115D"/>
    <w:rsid w:val="00F316DF"/>
    <w:rsid w:val="00F31864"/>
    <w:rsid w:val="00F31FED"/>
    <w:rsid w:val="00F320CC"/>
    <w:rsid w:val="00F327EA"/>
    <w:rsid w:val="00F33787"/>
    <w:rsid w:val="00F3386A"/>
    <w:rsid w:val="00F33EDC"/>
    <w:rsid w:val="00F34355"/>
    <w:rsid w:val="00F34708"/>
    <w:rsid w:val="00F35830"/>
    <w:rsid w:val="00F359CE"/>
    <w:rsid w:val="00F35AD8"/>
    <w:rsid w:val="00F361F5"/>
    <w:rsid w:val="00F36247"/>
    <w:rsid w:val="00F36BE8"/>
    <w:rsid w:val="00F3720D"/>
    <w:rsid w:val="00F37886"/>
    <w:rsid w:val="00F40F09"/>
    <w:rsid w:val="00F417BA"/>
    <w:rsid w:val="00F41B41"/>
    <w:rsid w:val="00F41F0F"/>
    <w:rsid w:val="00F42AF1"/>
    <w:rsid w:val="00F42C76"/>
    <w:rsid w:val="00F42E6F"/>
    <w:rsid w:val="00F43C77"/>
    <w:rsid w:val="00F442E3"/>
    <w:rsid w:val="00F44545"/>
    <w:rsid w:val="00F4527E"/>
    <w:rsid w:val="00F45296"/>
    <w:rsid w:val="00F454BF"/>
    <w:rsid w:val="00F45B55"/>
    <w:rsid w:val="00F45E70"/>
    <w:rsid w:val="00F45F1C"/>
    <w:rsid w:val="00F46191"/>
    <w:rsid w:val="00F46BFE"/>
    <w:rsid w:val="00F47B6F"/>
    <w:rsid w:val="00F5008F"/>
    <w:rsid w:val="00F50092"/>
    <w:rsid w:val="00F5017E"/>
    <w:rsid w:val="00F50652"/>
    <w:rsid w:val="00F50BDB"/>
    <w:rsid w:val="00F50BF5"/>
    <w:rsid w:val="00F5104B"/>
    <w:rsid w:val="00F5118D"/>
    <w:rsid w:val="00F517C5"/>
    <w:rsid w:val="00F5186F"/>
    <w:rsid w:val="00F51D5B"/>
    <w:rsid w:val="00F52406"/>
    <w:rsid w:val="00F5248C"/>
    <w:rsid w:val="00F52CE1"/>
    <w:rsid w:val="00F53DA0"/>
    <w:rsid w:val="00F5467F"/>
    <w:rsid w:val="00F548B1"/>
    <w:rsid w:val="00F54E5B"/>
    <w:rsid w:val="00F5555E"/>
    <w:rsid w:val="00F55C07"/>
    <w:rsid w:val="00F55F3C"/>
    <w:rsid w:val="00F561F8"/>
    <w:rsid w:val="00F566C7"/>
    <w:rsid w:val="00F56760"/>
    <w:rsid w:val="00F5676A"/>
    <w:rsid w:val="00F57D77"/>
    <w:rsid w:val="00F616BB"/>
    <w:rsid w:val="00F616BF"/>
    <w:rsid w:val="00F61BA2"/>
    <w:rsid w:val="00F61C2D"/>
    <w:rsid w:val="00F623A1"/>
    <w:rsid w:val="00F628C9"/>
    <w:rsid w:val="00F62FB9"/>
    <w:rsid w:val="00F63176"/>
    <w:rsid w:val="00F6395E"/>
    <w:rsid w:val="00F6456A"/>
    <w:rsid w:val="00F65785"/>
    <w:rsid w:val="00F65F0B"/>
    <w:rsid w:val="00F66100"/>
    <w:rsid w:val="00F66617"/>
    <w:rsid w:val="00F66A1C"/>
    <w:rsid w:val="00F66CA6"/>
    <w:rsid w:val="00F67000"/>
    <w:rsid w:val="00F67371"/>
    <w:rsid w:val="00F67B18"/>
    <w:rsid w:val="00F67BCA"/>
    <w:rsid w:val="00F7020F"/>
    <w:rsid w:val="00F703E5"/>
    <w:rsid w:val="00F70947"/>
    <w:rsid w:val="00F70DF3"/>
    <w:rsid w:val="00F71222"/>
    <w:rsid w:val="00F7137A"/>
    <w:rsid w:val="00F71890"/>
    <w:rsid w:val="00F7197E"/>
    <w:rsid w:val="00F71B7B"/>
    <w:rsid w:val="00F725CE"/>
    <w:rsid w:val="00F737E7"/>
    <w:rsid w:val="00F739E1"/>
    <w:rsid w:val="00F73FAC"/>
    <w:rsid w:val="00F743A7"/>
    <w:rsid w:val="00F74DD5"/>
    <w:rsid w:val="00F75190"/>
    <w:rsid w:val="00F754F1"/>
    <w:rsid w:val="00F76442"/>
    <w:rsid w:val="00F76775"/>
    <w:rsid w:val="00F76E39"/>
    <w:rsid w:val="00F77BEC"/>
    <w:rsid w:val="00F77F5E"/>
    <w:rsid w:val="00F803D3"/>
    <w:rsid w:val="00F80501"/>
    <w:rsid w:val="00F8062C"/>
    <w:rsid w:val="00F80D82"/>
    <w:rsid w:val="00F81478"/>
    <w:rsid w:val="00F818E6"/>
    <w:rsid w:val="00F8192D"/>
    <w:rsid w:val="00F82B35"/>
    <w:rsid w:val="00F8307B"/>
    <w:rsid w:val="00F835EF"/>
    <w:rsid w:val="00F84625"/>
    <w:rsid w:val="00F84F2E"/>
    <w:rsid w:val="00F84F64"/>
    <w:rsid w:val="00F85CAA"/>
    <w:rsid w:val="00F8668D"/>
    <w:rsid w:val="00F868BA"/>
    <w:rsid w:val="00F86D66"/>
    <w:rsid w:val="00F86EB0"/>
    <w:rsid w:val="00F9164B"/>
    <w:rsid w:val="00F91CA6"/>
    <w:rsid w:val="00F9238C"/>
    <w:rsid w:val="00F9306F"/>
    <w:rsid w:val="00F94921"/>
    <w:rsid w:val="00F95137"/>
    <w:rsid w:val="00F95620"/>
    <w:rsid w:val="00F95914"/>
    <w:rsid w:val="00F95B0B"/>
    <w:rsid w:val="00F961A3"/>
    <w:rsid w:val="00F96218"/>
    <w:rsid w:val="00F963CC"/>
    <w:rsid w:val="00F965BB"/>
    <w:rsid w:val="00F971A6"/>
    <w:rsid w:val="00F976A8"/>
    <w:rsid w:val="00FA046D"/>
    <w:rsid w:val="00FA055E"/>
    <w:rsid w:val="00FA08CE"/>
    <w:rsid w:val="00FA0B59"/>
    <w:rsid w:val="00FA1311"/>
    <w:rsid w:val="00FA1772"/>
    <w:rsid w:val="00FA1AD8"/>
    <w:rsid w:val="00FA2171"/>
    <w:rsid w:val="00FA2252"/>
    <w:rsid w:val="00FA28B9"/>
    <w:rsid w:val="00FA2A3E"/>
    <w:rsid w:val="00FA33D1"/>
    <w:rsid w:val="00FA46EB"/>
    <w:rsid w:val="00FA5E17"/>
    <w:rsid w:val="00FA69E2"/>
    <w:rsid w:val="00FA6F43"/>
    <w:rsid w:val="00FA7C4A"/>
    <w:rsid w:val="00FB0143"/>
    <w:rsid w:val="00FB1084"/>
    <w:rsid w:val="00FB10F1"/>
    <w:rsid w:val="00FB15E5"/>
    <w:rsid w:val="00FB1664"/>
    <w:rsid w:val="00FB23F3"/>
    <w:rsid w:val="00FB295B"/>
    <w:rsid w:val="00FB2C33"/>
    <w:rsid w:val="00FB301F"/>
    <w:rsid w:val="00FB352B"/>
    <w:rsid w:val="00FB3E41"/>
    <w:rsid w:val="00FB40B2"/>
    <w:rsid w:val="00FB4356"/>
    <w:rsid w:val="00FB4529"/>
    <w:rsid w:val="00FB4A78"/>
    <w:rsid w:val="00FB4F34"/>
    <w:rsid w:val="00FB5136"/>
    <w:rsid w:val="00FB517B"/>
    <w:rsid w:val="00FB5E0D"/>
    <w:rsid w:val="00FB62E9"/>
    <w:rsid w:val="00FB65FB"/>
    <w:rsid w:val="00FB7576"/>
    <w:rsid w:val="00FC0A87"/>
    <w:rsid w:val="00FC0AC5"/>
    <w:rsid w:val="00FC0E98"/>
    <w:rsid w:val="00FC1402"/>
    <w:rsid w:val="00FC23F5"/>
    <w:rsid w:val="00FC2C56"/>
    <w:rsid w:val="00FC3D1F"/>
    <w:rsid w:val="00FC4CDB"/>
    <w:rsid w:val="00FC5C87"/>
    <w:rsid w:val="00FC6158"/>
    <w:rsid w:val="00FC659E"/>
    <w:rsid w:val="00FC6CFB"/>
    <w:rsid w:val="00FC74EB"/>
    <w:rsid w:val="00FC7F6E"/>
    <w:rsid w:val="00FD15C5"/>
    <w:rsid w:val="00FD1DC8"/>
    <w:rsid w:val="00FD23DE"/>
    <w:rsid w:val="00FD392F"/>
    <w:rsid w:val="00FD3CAF"/>
    <w:rsid w:val="00FD42C4"/>
    <w:rsid w:val="00FD4CFC"/>
    <w:rsid w:val="00FD5491"/>
    <w:rsid w:val="00FD5E3C"/>
    <w:rsid w:val="00FD62FC"/>
    <w:rsid w:val="00FD6495"/>
    <w:rsid w:val="00FD64CF"/>
    <w:rsid w:val="00FD6FE3"/>
    <w:rsid w:val="00FD70BD"/>
    <w:rsid w:val="00FD7438"/>
    <w:rsid w:val="00FE0004"/>
    <w:rsid w:val="00FE0559"/>
    <w:rsid w:val="00FE0977"/>
    <w:rsid w:val="00FE0E1B"/>
    <w:rsid w:val="00FE0FED"/>
    <w:rsid w:val="00FE14C3"/>
    <w:rsid w:val="00FE1602"/>
    <w:rsid w:val="00FE1713"/>
    <w:rsid w:val="00FE247F"/>
    <w:rsid w:val="00FE25BB"/>
    <w:rsid w:val="00FE2C14"/>
    <w:rsid w:val="00FE2C67"/>
    <w:rsid w:val="00FE2F76"/>
    <w:rsid w:val="00FE32D2"/>
    <w:rsid w:val="00FE337D"/>
    <w:rsid w:val="00FE3432"/>
    <w:rsid w:val="00FE3C1F"/>
    <w:rsid w:val="00FE3D9E"/>
    <w:rsid w:val="00FE408B"/>
    <w:rsid w:val="00FE4763"/>
    <w:rsid w:val="00FE49F4"/>
    <w:rsid w:val="00FE5EC5"/>
    <w:rsid w:val="00FE6487"/>
    <w:rsid w:val="00FE6C6B"/>
    <w:rsid w:val="00FF018D"/>
    <w:rsid w:val="00FF0763"/>
    <w:rsid w:val="00FF0C15"/>
    <w:rsid w:val="00FF17A8"/>
    <w:rsid w:val="00FF1F8A"/>
    <w:rsid w:val="00FF26F6"/>
    <w:rsid w:val="00FF295A"/>
    <w:rsid w:val="00FF2A07"/>
    <w:rsid w:val="00FF3023"/>
    <w:rsid w:val="00FF3069"/>
    <w:rsid w:val="00FF3674"/>
    <w:rsid w:val="00FF4389"/>
    <w:rsid w:val="00FF4616"/>
    <w:rsid w:val="00FF48DF"/>
    <w:rsid w:val="00FF48FD"/>
    <w:rsid w:val="00FF4937"/>
    <w:rsid w:val="00FF4AAB"/>
    <w:rsid w:val="00FF4DE5"/>
    <w:rsid w:val="00FF5468"/>
    <w:rsid w:val="00FF5AB6"/>
    <w:rsid w:val="00FF5AC1"/>
    <w:rsid w:val="00FF5D72"/>
    <w:rsid w:val="00FF67B0"/>
    <w:rsid w:val="00FF73CC"/>
    <w:rsid w:val="00FF7695"/>
    <w:rsid w:val="00FF7A27"/>
    <w:rsid w:val="00FF7CDD"/>
    <w:rsid w:val="02FA3009"/>
    <w:rsid w:val="04C71B15"/>
    <w:rsid w:val="0F961012"/>
    <w:rsid w:val="24613CF4"/>
    <w:rsid w:val="48C95720"/>
    <w:rsid w:val="4AFA272E"/>
    <w:rsid w:val="5EC36D66"/>
    <w:rsid w:val="69654188"/>
    <w:rsid w:val="6FA5192E"/>
    <w:rsid w:val="71341385"/>
    <w:rsid w:val="71F55873"/>
    <w:rsid w:val="7A197B24"/>
    <w:rsid w:val="7E165C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qFormat="1" w:unhideWhenUsed="0" w:uiPriority="0" w:semiHidden="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2">
    <w:name w:val="heading 1"/>
    <w:basedOn w:val="1"/>
    <w:next w:val="1"/>
    <w:qFormat/>
    <w:uiPriority w:val="0"/>
    <w:pPr>
      <w:keepNext/>
      <w:numPr>
        <w:ilvl w:val="0"/>
        <w:numId w:val="1"/>
      </w:numPr>
      <w:tabs>
        <w:tab w:val="left" w:pos="2160"/>
      </w:tabs>
      <w:autoSpaceDE w:val="0"/>
      <w:autoSpaceDN w:val="0"/>
      <w:snapToGrid w:val="0"/>
      <w:spacing w:before="40"/>
      <w:ind w:right="-113"/>
      <w:jc w:val="left"/>
      <w:textAlignment w:val="bottom"/>
      <w:outlineLvl w:val="0"/>
    </w:pPr>
    <w:rPr>
      <w:rFonts w:ascii="仿宋体" w:hAnsi="Algerian" w:eastAsia="仿宋体"/>
      <w:color w:val="000000"/>
      <w:sz w:val="28"/>
      <w:shd w:val="clear" w:color="auto" w:fill="FFFFFF"/>
    </w:rPr>
  </w:style>
  <w:style w:type="paragraph" w:styleId="3">
    <w:name w:val="heading 2"/>
    <w:basedOn w:val="1"/>
    <w:next w:val="4"/>
    <w:qFormat/>
    <w:uiPriority w:val="0"/>
    <w:pPr>
      <w:keepNext/>
      <w:keepLines/>
      <w:numPr>
        <w:ilvl w:val="0"/>
        <w:numId w:val="2"/>
      </w:numPr>
      <w:snapToGrid w:val="0"/>
      <w:spacing w:before="60" w:line="360" w:lineRule="auto"/>
      <w:textAlignment w:val="auto"/>
      <w:outlineLvl w:val="1"/>
    </w:pPr>
    <w:rPr>
      <w:rFonts w:ascii="Arial" w:hAnsi="Arial" w:eastAsia="仿宋_GB2312"/>
      <w:b/>
      <w:kern w:val="2"/>
      <w:sz w:val="28"/>
    </w:rPr>
  </w:style>
  <w:style w:type="paragraph" w:styleId="5">
    <w:name w:val="heading 3"/>
    <w:basedOn w:val="1"/>
    <w:next w:val="4"/>
    <w:qFormat/>
    <w:uiPriority w:val="0"/>
    <w:pPr>
      <w:keepNext/>
      <w:keepLines/>
      <w:numPr>
        <w:ilvl w:val="0"/>
        <w:numId w:val="3"/>
      </w:numPr>
      <w:snapToGrid w:val="0"/>
      <w:spacing w:before="60" w:line="300" w:lineRule="auto"/>
      <w:textAlignment w:val="auto"/>
      <w:outlineLvl w:val="2"/>
    </w:pPr>
    <w:rPr>
      <w:rFonts w:ascii="仿宋_GB2312" w:eastAsia="仿宋_GB2312"/>
      <w:kern w:val="2"/>
      <w:sz w:val="28"/>
    </w:rPr>
  </w:style>
  <w:style w:type="paragraph" w:styleId="6">
    <w:name w:val="heading 4"/>
    <w:basedOn w:val="1"/>
    <w:next w:val="1"/>
    <w:qFormat/>
    <w:uiPriority w:val="0"/>
    <w:pPr>
      <w:keepNext/>
      <w:numPr>
        <w:ilvl w:val="0"/>
        <w:numId w:val="4"/>
      </w:numPr>
      <w:spacing w:line="360" w:lineRule="auto"/>
      <w:outlineLvl w:val="3"/>
    </w:pPr>
    <w:rPr>
      <w:rFonts w:eastAsia="仿宋_GB2312"/>
      <w:sz w:val="28"/>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snapToGrid w:val="0"/>
      <w:spacing w:before="60" w:line="300" w:lineRule="auto"/>
      <w:ind w:firstLine="420"/>
      <w:textAlignment w:val="auto"/>
    </w:pPr>
    <w:rPr>
      <w:rFonts w:ascii="仿宋_GB2312" w:eastAsia="仿宋_GB2312"/>
      <w:kern w:val="2"/>
      <w:sz w:val="28"/>
    </w:rPr>
  </w:style>
  <w:style w:type="paragraph" w:styleId="7">
    <w:name w:val="toc 7"/>
    <w:basedOn w:val="1"/>
    <w:next w:val="1"/>
    <w:semiHidden/>
    <w:qFormat/>
    <w:uiPriority w:val="0"/>
    <w:pPr>
      <w:ind w:left="2520" w:leftChars="1200"/>
    </w:pPr>
  </w:style>
  <w:style w:type="paragraph" w:styleId="8">
    <w:name w:val="caption"/>
    <w:basedOn w:val="1"/>
    <w:next w:val="1"/>
    <w:qFormat/>
    <w:uiPriority w:val="0"/>
    <w:rPr>
      <w:rFonts w:ascii="Arial" w:hAnsi="Arial" w:eastAsia="黑体" w:cs="Arial"/>
      <w:sz w:val="20"/>
    </w:rPr>
  </w:style>
  <w:style w:type="paragraph" w:styleId="9">
    <w:name w:val="Document Map"/>
    <w:basedOn w:val="1"/>
    <w:semiHidden/>
    <w:qFormat/>
    <w:uiPriority w:val="0"/>
    <w:pPr>
      <w:shd w:val="clear" w:color="auto" w:fill="000080"/>
    </w:pPr>
  </w:style>
  <w:style w:type="paragraph" w:styleId="10">
    <w:name w:val="annotation text"/>
    <w:basedOn w:val="1"/>
    <w:link w:val="49"/>
    <w:qFormat/>
    <w:uiPriority w:val="0"/>
    <w:pPr>
      <w:jc w:val="left"/>
    </w:pPr>
  </w:style>
  <w:style w:type="paragraph" w:styleId="11">
    <w:name w:val="Salutation"/>
    <w:basedOn w:val="1"/>
    <w:next w:val="1"/>
    <w:qFormat/>
    <w:uiPriority w:val="0"/>
    <w:rPr>
      <w:spacing w:val="-12"/>
      <w:sz w:val="28"/>
    </w:rPr>
  </w:style>
  <w:style w:type="paragraph" w:styleId="12">
    <w:name w:val="Closing"/>
    <w:basedOn w:val="1"/>
    <w:next w:val="1"/>
    <w:qFormat/>
    <w:uiPriority w:val="0"/>
    <w:pPr>
      <w:ind w:left="4320"/>
    </w:pPr>
    <w:rPr>
      <w:spacing w:val="-12"/>
      <w:sz w:val="28"/>
    </w:rPr>
  </w:style>
  <w:style w:type="paragraph" w:styleId="13">
    <w:name w:val="Body Text"/>
    <w:basedOn w:val="1"/>
    <w:qFormat/>
    <w:uiPriority w:val="0"/>
    <w:pPr>
      <w:spacing w:after="120"/>
    </w:pPr>
  </w:style>
  <w:style w:type="paragraph" w:styleId="14">
    <w:name w:val="Body Text Indent"/>
    <w:basedOn w:val="1"/>
    <w:qFormat/>
    <w:uiPriority w:val="0"/>
    <w:pPr>
      <w:spacing w:line="432" w:lineRule="auto"/>
      <w:ind w:firstLine="570"/>
    </w:pPr>
    <w:rPr>
      <w:spacing w:val="-12"/>
      <w:sz w:val="28"/>
    </w:rPr>
  </w:style>
  <w:style w:type="paragraph" w:styleId="15">
    <w:name w:val="toc 5"/>
    <w:basedOn w:val="1"/>
    <w:next w:val="1"/>
    <w:semiHidden/>
    <w:qFormat/>
    <w:uiPriority w:val="0"/>
    <w:pPr>
      <w:ind w:left="1680" w:leftChars="800"/>
    </w:pPr>
  </w:style>
  <w:style w:type="paragraph" w:styleId="16">
    <w:name w:val="toc 3"/>
    <w:basedOn w:val="1"/>
    <w:next w:val="1"/>
    <w:semiHidden/>
    <w:qFormat/>
    <w:uiPriority w:val="39"/>
    <w:pPr>
      <w:ind w:left="840" w:leftChars="400"/>
    </w:pPr>
  </w:style>
  <w:style w:type="paragraph" w:styleId="17">
    <w:name w:val="Plain Text"/>
    <w:basedOn w:val="1"/>
    <w:link w:val="69"/>
    <w:qFormat/>
    <w:uiPriority w:val="0"/>
    <w:pPr>
      <w:adjustRightInd/>
      <w:spacing w:line="240" w:lineRule="auto"/>
      <w:textAlignment w:val="auto"/>
    </w:pPr>
    <w:rPr>
      <w:rFonts w:ascii="宋体" w:hAnsi="Courier New"/>
      <w:kern w:val="2"/>
      <w:sz w:val="24"/>
    </w:rPr>
  </w:style>
  <w:style w:type="paragraph" w:styleId="18">
    <w:name w:val="toc 8"/>
    <w:basedOn w:val="1"/>
    <w:next w:val="1"/>
    <w:semiHidden/>
    <w:qFormat/>
    <w:uiPriority w:val="0"/>
    <w:pPr>
      <w:ind w:left="2940" w:leftChars="1400"/>
    </w:pPr>
  </w:style>
  <w:style w:type="paragraph" w:styleId="19">
    <w:name w:val="Date"/>
    <w:basedOn w:val="1"/>
    <w:next w:val="1"/>
    <w:qFormat/>
    <w:uiPriority w:val="0"/>
    <w:pPr>
      <w:ind w:left="100" w:leftChars="2500"/>
    </w:pPr>
  </w:style>
  <w:style w:type="paragraph" w:styleId="20">
    <w:name w:val="Body Text Indent 2"/>
    <w:basedOn w:val="1"/>
    <w:qFormat/>
    <w:uiPriority w:val="0"/>
    <w:pPr>
      <w:tabs>
        <w:tab w:val="left" w:pos="540"/>
      </w:tabs>
      <w:spacing w:line="360" w:lineRule="auto"/>
      <w:ind w:firstLine="540"/>
    </w:pPr>
    <w:rPr>
      <w:spacing w:val="-20"/>
      <w:sz w:val="28"/>
    </w:rPr>
  </w:style>
  <w:style w:type="paragraph" w:styleId="21">
    <w:name w:val="Balloon Text"/>
    <w:basedOn w:val="1"/>
    <w:semiHidden/>
    <w:qFormat/>
    <w:uiPriority w:val="0"/>
    <w:rPr>
      <w:sz w:val="18"/>
      <w:szCs w:val="18"/>
    </w:rPr>
  </w:style>
  <w:style w:type="paragraph" w:styleId="22">
    <w:name w:val="footer"/>
    <w:basedOn w:val="1"/>
    <w:link w:val="45"/>
    <w:qFormat/>
    <w:uiPriority w:val="99"/>
    <w:pPr>
      <w:tabs>
        <w:tab w:val="center" w:pos="4153"/>
        <w:tab w:val="right" w:pos="8306"/>
      </w:tabs>
      <w:spacing w:line="240" w:lineRule="atLeast"/>
      <w:jc w:val="left"/>
    </w:pPr>
    <w:rPr>
      <w:sz w:val="18"/>
    </w:rPr>
  </w:style>
  <w:style w:type="paragraph" w:styleId="23">
    <w:name w:val="header"/>
    <w:basedOn w:val="1"/>
    <w:qFormat/>
    <w:uiPriority w:val="0"/>
    <w:pPr>
      <w:pBdr>
        <w:bottom w:val="single" w:color="auto" w:sz="6" w:space="1"/>
      </w:pBdr>
      <w:tabs>
        <w:tab w:val="center" w:pos="4153"/>
        <w:tab w:val="right" w:pos="8306"/>
      </w:tabs>
      <w:spacing w:line="240" w:lineRule="atLeast"/>
      <w:jc w:val="center"/>
    </w:pPr>
    <w:rPr>
      <w:sz w:val="18"/>
    </w:rPr>
  </w:style>
  <w:style w:type="paragraph" w:styleId="24">
    <w:name w:val="toc 1"/>
    <w:basedOn w:val="1"/>
    <w:next w:val="1"/>
    <w:link w:val="54"/>
    <w:qFormat/>
    <w:uiPriority w:val="39"/>
    <w:pPr>
      <w:tabs>
        <w:tab w:val="right" w:leader="dot" w:pos="8610"/>
      </w:tabs>
    </w:pPr>
  </w:style>
  <w:style w:type="paragraph" w:styleId="25">
    <w:name w:val="toc 4"/>
    <w:basedOn w:val="1"/>
    <w:next w:val="1"/>
    <w:semiHidden/>
    <w:qFormat/>
    <w:uiPriority w:val="0"/>
    <w:pPr>
      <w:ind w:left="1260" w:leftChars="600"/>
    </w:pPr>
  </w:style>
  <w:style w:type="paragraph" w:styleId="26">
    <w:name w:val="footnote text"/>
    <w:basedOn w:val="1"/>
    <w:link w:val="56"/>
    <w:qFormat/>
    <w:uiPriority w:val="0"/>
    <w:pPr>
      <w:adjustRightInd/>
      <w:snapToGrid w:val="0"/>
      <w:spacing w:line="240" w:lineRule="auto"/>
      <w:jc w:val="left"/>
      <w:textAlignment w:val="auto"/>
    </w:pPr>
    <w:rPr>
      <w:kern w:val="2"/>
      <w:sz w:val="18"/>
      <w:szCs w:val="18"/>
    </w:rPr>
  </w:style>
  <w:style w:type="paragraph" w:styleId="27">
    <w:name w:val="toc 6"/>
    <w:basedOn w:val="1"/>
    <w:next w:val="1"/>
    <w:semiHidden/>
    <w:qFormat/>
    <w:uiPriority w:val="0"/>
    <w:pPr>
      <w:ind w:left="2100" w:leftChars="1000"/>
    </w:pPr>
  </w:style>
  <w:style w:type="paragraph" w:styleId="28">
    <w:name w:val="Body Text Indent 3"/>
    <w:basedOn w:val="1"/>
    <w:link w:val="70"/>
    <w:qFormat/>
    <w:uiPriority w:val="0"/>
    <w:pPr>
      <w:spacing w:line="360" w:lineRule="auto"/>
      <w:ind w:firstLine="420"/>
    </w:pPr>
    <w:rPr>
      <w:sz w:val="28"/>
    </w:rPr>
  </w:style>
  <w:style w:type="paragraph" w:styleId="29">
    <w:name w:val="toc 2"/>
    <w:basedOn w:val="1"/>
    <w:next w:val="1"/>
    <w:qFormat/>
    <w:uiPriority w:val="39"/>
    <w:pPr>
      <w:tabs>
        <w:tab w:val="left" w:pos="1134"/>
        <w:tab w:val="right" w:leader="dot" w:pos="8630"/>
      </w:tabs>
      <w:spacing w:line="300" w:lineRule="auto"/>
      <w:ind w:left="420" w:leftChars="200"/>
    </w:pPr>
  </w:style>
  <w:style w:type="paragraph" w:styleId="30">
    <w:name w:val="toc 9"/>
    <w:basedOn w:val="1"/>
    <w:next w:val="1"/>
    <w:semiHidden/>
    <w:qFormat/>
    <w:uiPriority w:val="0"/>
    <w:pPr>
      <w:ind w:left="3360" w:leftChars="1600"/>
    </w:pPr>
  </w:style>
  <w:style w:type="paragraph" w:styleId="31">
    <w:name w:val="Body Text 2"/>
    <w:basedOn w:val="1"/>
    <w:qFormat/>
    <w:uiPriority w:val="0"/>
    <w:pPr>
      <w:spacing w:afterLines="50" w:line="288" w:lineRule="auto"/>
      <w:jc w:val="center"/>
    </w:pPr>
    <w:rPr>
      <w:rFonts w:eastAsia="仿宋_GB2312"/>
      <w:b/>
      <w:sz w:val="44"/>
    </w:rPr>
  </w:style>
  <w:style w:type="paragraph" w:styleId="32">
    <w:name w:val="Normal (Web)"/>
    <w:basedOn w:val="1"/>
    <w:qFormat/>
    <w:uiPriority w:val="99"/>
    <w:pPr>
      <w:widowControl/>
      <w:adjustRightInd/>
      <w:spacing w:before="100" w:beforeAutospacing="1" w:after="100" w:afterAutospacing="1" w:line="240" w:lineRule="auto"/>
      <w:jc w:val="left"/>
      <w:textAlignment w:val="auto"/>
    </w:pPr>
    <w:rPr>
      <w:rFonts w:ascii="宋体" w:hAnsi="宋体"/>
      <w:sz w:val="24"/>
      <w:szCs w:val="24"/>
    </w:rPr>
  </w:style>
  <w:style w:type="paragraph" w:styleId="33">
    <w:name w:val="annotation subject"/>
    <w:basedOn w:val="10"/>
    <w:next w:val="10"/>
    <w:link w:val="44"/>
    <w:qFormat/>
    <w:uiPriority w:val="0"/>
    <w:rPr>
      <w:b/>
      <w:bCs/>
    </w:rPr>
  </w:style>
  <w:style w:type="table" w:styleId="35">
    <w:name w:val="Table Grid"/>
    <w:basedOn w:val="34"/>
    <w:qFormat/>
    <w:uiPriority w:val="0"/>
    <w:pPr>
      <w:widowControl w:val="0"/>
      <w:adjustRightInd w:val="0"/>
      <w:spacing w:line="312" w:lineRule="atLeast"/>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Strong"/>
    <w:qFormat/>
    <w:uiPriority w:val="22"/>
    <w:rPr>
      <w:b/>
      <w:bCs/>
    </w:rPr>
  </w:style>
  <w:style w:type="character" w:styleId="38">
    <w:name w:val="page number"/>
    <w:basedOn w:val="36"/>
    <w:qFormat/>
    <w:uiPriority w:val="0"/>
  </w:style>
  <w:style w:type="character" w:styleId="39">
    <w:name w:val="FollowedHyperlink"/>
    <w:qFormat/>
    <w:uiPriority w:val="0"/>
    <w:rPr>
      <w:color w:val="800080"/>
      <w:u w:val="single"/>
    </w:rPr>
  </w:style>
  <w:style w:type="character" w:styleId="40">
    <w:name w:val="Emphasis"/>
    <w:qFormat/>
    <w:uiPriority w:val="0"/>
    <w:rPr>
      <w:color w:val="CC0000"/>
    </w:rPr>
  </w:style>
  <w:style w:type="character" w:styleId="41">
    <w:name w:val="Hyperlink"/>
    <w:qFormat/>
    <w:uiPriority w:val="99"/>
    <w:rPr>
      <w:color w:val="0000FF"/>
      <w:u w:val="single"/>
    </w:rPr>
  </w:style>
  <w:style w:type="character" w:styleId="42">
    <w:name w:val="annotation reference"/>
    <w:qFormat/>
    <w:uiPriority w:val="0"/>
    <w:rPr>
      <w:sz w:val="21"/>
      <w:szCs w:val="21"/>
    </w:rPr>
  </w:style>
  <w:style w:type="character" w:styleId="43">
    <w:name w:val="footnote reference"/>
    <w:qFormat/>
    <w:uiPriority w:val="0"/>
    <w:rPr>
      <w:vertAlign w:val="superscript"/>
    </w:rPr>
  </w:style>
  <w:style w:type="character" w:customStyle="1" w:styleId="44">
    <w:name w:val="批注主题 Char"/>
    <w:link w:val="33"/>
    <w:qFormat/>
    <w:uiPriority w:val="0"/>
    <w:rPr>
      <w:b/>
      <w:bCs/>
      <w:sz w:val="21"/>
    </w:rPr>
  </w:style>
  <w:style w:type="character" w:customStyle="1" w:styleId="45">
    <w:name w:val="页脚 Char"/>
    <w:link w:val="22"/>
    <w:qFormat/>
    <w:uiPriority w:val="99"/>
    <w:rPr>
      <w:sz w:val="18"/>
    </w:rPr>
  </w:style>
  <w:style w:type="character" w:customStyle="1" w:styleId="46">
    <w:name w:val="hei141"/>
    <w:qFormat/>
    <w:uiPriority w:val="0"/>
    <w:rPr>
      <w:rFonts w:hint="eastAsia" w:ascii="宋体" w:hAnsi="宋体" w:eastAsia="宋体"/>
      <w:color w:val="000000"/>
      <w:sz w:val="21"/>
      <w:szCs w:val="21"/>
      <w:u w:val="none"/>
    </w:rPr>
  </w:style>
  <w:style w:type="character" w:customStyle="1" w:styleId="47">
    <w:name w:val="font"/>
    <w:basedOn w:val="36"/>
    <w:qFormat/>
    <w:uiPriority w:val="0"/>
  </w:style>
  <w:style w:type="character" w:customStyle="1" w:styleId="48">
    <w:name w:val="t_tag"/>
    <w:basedOn w:val="36"/>
    <w:qFormat/>
    <w:uiPriority w:val="0"/>
  </w:style>
  <w:style w:type="character" w:customStyle="1" w:styleId="49">
    <w:name w:val="批注文字 Char"/>
    <w:link w:val="10"/>
    <w:qFormat/>
    <w:uiPriority w:val="0"/>
    <w:rPr>
      <w:sz w:val="21"/>
    </w:rPr>
  </w:style>
  <w:style w:type="character" w:customStyle="1" w:styleId="50">
    <w:name w:val="apple-converted-space"/>
    <w:basedOn w:val="36"/>
    <w:qFormat/>
    <w:uiPriority w:val="0"/>
  </w:style>
  <w:style w:type="character" w:customStyle="1" w:styleId="51">
    <w:name w:val="fj_content_s4"/>
    <w:basedOn w:val="36"/>
    <w:qFormat/>
    <w:uiPriority w:val="0"/>
  </w:style>
  <w:style w:type="character" w:customStyle="1" w:styleId="52">
    <w:name w:val="jjwid"/>
    <w:basedOn w:val="36"/>
    <w:qFormat/>
    <w:uiPriority w:val="0"/>
  </w:style>
  <w:style w:type="character" w:customStyle="1" w:styleId="53">
    <w:name w:val="fj_content_s99"/>
    <w:basedOn w:val="36"/>
    <w:qFormat/>
    <w:uiPriority w:val="0"/>
  </w:style>
  <w:style w:type="character" w:customStyle="1" w:styleId="54">
    <w:name w:val="目录 1 Char"/>
    <w:link w:val="24"/>
    <w:qFormat/>
    <w:uiPriority w:val="39"/>
    <w:rPr>
      <w:sz w:val="21"/>
    </w:rPr>
  </w:style>
  <w:style w:type="character" w:customStyle="1" w:styleId="55">
    <w:name w:val="apple-style-span"/>
    <w:basedOn w:val="36"/>
    <w:qFormat/>
    <w:uiPriority w:val="0"/>
  </w:style>
  <w:style w:type="character" w:customStyle="1" w:styleId="56">
    <w:name w:val="脚注文本 Char"/>
    <w:link w:val="26"/>
    <w:qFormat/>
    <w:uiPriority w:val="0"/>
    <w:rPr>
      <w:rFonts w:eastAsia="宋体"/>
      <w:kern w:val="2"/>
      <w:sz w:val="18"/>
      <w:szCs w:val="18"/>
      <w:lang w:val="en-US" w:eastAsia="zh-CN" w:bidi="ar-SA"/>
    </w:rPr>
  </w:style>
  <w:style w:type="character" w:customStyle="1" w:styleId="57">
    <w:name w:val="样式lll1 Char"/>
    <w:link w:val="58"/>
    <w:qFormat/>
    <w:uiPriority w:val="0"/>
    <w:rPr>
      <w:rFonts w:eastAsia="仿宋_GB2312"/>
      <w:sz w:val="24"/>
      <w:lang w:val="en-US" w:eastAsia="zh-CN"/>
    </w:rPr>
  </w:style>
  <w:style w:type="paragraph" w:customStyle="1" w:styleId="58">
    <w:name w:val="样式lll1"/>
    <w:basedOn w:val="24"/>
    <w:link w:val="57"/>
    <w:qFormat/>
    <w:uiPriority w:val="0"/>
    <w:rPr>
      <w:rFonts w:eastAsia="仿宋_GB2312"/>
      <w:sz w:val="24"/>
    </w:rPr>
  </w:style>
  <w:style w:type="character" w:customStyle="1" w:styleId="59">
    <w:name w:val="fj_content_s5"/>
    <w:basedOn w:val="36"/>
    <w:qFormat/>
    <w:uiPriority w:val="0"/>
  </w:style>
  <w:style w:type="paragraph" w:styleId="60">
    <w:name w:val="List Paragraph"/>
    <w:basedOn w:val="1"/>
    <w:qFormat/>
    <w:uiPriority w:val="34"/>
    <w:pPr>
      <w:ind w:firstLine="420" w:firstLineChars="200"/>
    </w:pPr>
  </w:style>
  <w:style w:type="paragraph" w:customStyle="1" w:styleId="61">
    <w:name w:val="Char Char Char Char"/>
    <w:basedOn w:val="1"/>
    <w:qFormat/>
    <w:uiPriority w:val="0"/>
    <w:pPr>
      <w:adjustRightInd/>
      <w:spacing w:line="240" w:lineRule="auto"/>
      <w:textAlignment w:val="auto"/>
    </w:pPr>
    <w:rPr>
      <w:rFonts w:ascii="Tahoma" w:hAnsi="Tahoma"/>
      <w:kern w:val="2"/>
      <w:sz w:val="24"/>
    </w:rPr>
  </w:style>
  <w:style w:type="paragraph" w:customStyle="1" w:styleId="62">
    <w:name w:val="Char Char Char Char1"/>
    <w:basedOn w:val="1"/>
    <w:qFormat/>
    <w:uiPriority w:val="0"/>
    <w:pPr>
      <w:adjustRightInd/>
      <w:spacing w:line="240" w:lineRule="auto"/>
      <w:textAlignment w:val="auto"/>
    </w:pPr>
    <w:rPr>
      <w:rFonts w:ascii="Tahoma" w:hAnsi="Tahoma"/>
      <w:kern w:val="2"/>
      <w:sz w:val="24"/>
    </w:rPr>
  </w:style>
  <w:style w:type="paragraph" w:customStyle="1" w:styleId="63">
    <w:name w:val="表文"/>
    <w:basedOn w:val="1"/>
    <w:qFormat/>
    <w:uiPriority w:val="0"/>
    <w:pPr>
      <w:snapToGrid w:val="0"/>
      <w:spacing w:before="60" w:line="300" w:lineRule="auto"/>
      <w:jc w:val="center"/>
      <w:textAlignment w:val="auto"/>
    </w:pPr>
    <w:rPr>
      <w:rFonts w:ascii="仿宋_GB2312" w:eastAsia="仿宋_GB2312"/>
      <w:kern w:val="2"/>
    </w:rPr>
  </w:style>
  <w:style w:type="paragraph" w:customStyle="1" w:styleId="64">
    <w:name w:val="pictext"/>
    <w:basedOn w:val="1"/>
    <w:qFormat/>
    <w:uiPriority w:val="0"/>
    <w:pPr>
      <w:widowControl/>
      <w:adjustRightInd/>
      <w:spacing w:line="240" w:lineRule="auto"/>
      <w:jc w:val="left"/>
      <w:textAlignment w:val="auto"/>
    </w:pPr>
    <w:rPr>
      <w:rFonts w:ascii="宋体" w:hAnsi="宋体" w:cs="宋体"/>
      <w:sz w:val="24"/>
      <w:szCs w:val="24"/>
    </w:rPr>
  </w:style>
  <w:style w:type="paragraph" w:customStyle="1" w:styleId="65">
    <w:name w:val="Char Char Char Char Char Char1 Char"/>
    <w:basedOn w:val="1"/>
    <w:qFormat/>
    <w:uiPriority w:val="0"/>
    <w:pPr>
      <w:widowControl/>
      <w:adjustRightInd/>
      <w:spacing w:after="160" w:line="240" w:lineRule="exact"/>
      <w:jc w:val="left"/>
      <w:textAlignment w:val="auto"/>
    </w:pPr>
    <w:rPr>
      <w:rFonts w:ascii="Verdana" w:hAnsi="Verdana" w:eastAsia="仿宋_GB2312"/>
      <w:sz w:val="24"/>
      <w:lang w:eastAsia="en-US"/>
    </w:rPr>
  </w:style>
  <w:style w:type="paragraph" w:customStyle="1" w:styleId="66">
    <w:name w:val="TOC 标题1"/>
    <w:basedOn w:val="2"/>
    <w:next w:val="1"/>
    <w:qFormat/>
    <w:uiPriority w:val="39"/>
    <w:pPr>
      <w:keepLines/>
      <w:numPr>
        <w:numId w:val="0"/>
      </w:numPr>
      <w:tabs>
        <w:tab w:val="clear" w:pos="2160"/>
      </w:tabs>
      <w:autoSpaceDE/>
      <w:autoSpaceDN/>
      <w:snapToGrid/>
      <w:spacing w:before="340" w:after="330" w:line="578" w:lineRule="atLeast"/>
      <w:ind w:right="0"/>
      <w:jc w:val="both"/>
      <w:textAlignment w:val="baseline"/>
      <w:outlineLvl w:val="9"/>
    </w:pPr>
    <w:rPr>
      <w:rFonts w:ascii="Times New Roman" w:hAnsi="Times New Roman" w:eastAsia="宋体"/>
      <w:b/>
      <w:bCs/>
      <w:color w:val="auto"/>
      <w:kern w:val="44"/>
      <w:sz w:val="44"/>
      <w:szCs w:val="44"/>
      <w:shd w:val="clear" w:color="auto" w:fill="auto"/>
    </w:rPr>
  </w:style>
  <w:style w:type="paragraph" w:customStyle="1" w:styleId="67">
    <w:name w:val="Char Char Char Char Char Char1 Char1"/>
    <w:basedOn w:val="1"/>
    <w:qFormat/>
    <w:uiPriority w:val="0"/>
    <w:pPr>
      <w:widowControl/>
      <w:adjustRightInd/>
      <w:spacing w:after="160" w:line="240" w:lineRule="exact"/>
      <w:jc w:val="left"/>
      <w:textAlignment w:val="auto"/>
    </w:pPr>
    <w:rPr>
      <w:rFonts w:ascii="Verdana" w:hAnsi="Verdana" w:eastAsia="仿宋_GB2312"/>
      <w:sz w:val="24"/>
      <w:lang w:eastAsia="en-US"/>
    </w:rPr>
  </w:style>
  <w:style w:type="paragraph" w:customStyle="1" w:styleId="68">
    <w:name w:val="Default"/>
    <w:qFormat/>
    <w:uiPriority w:val="0"/>
    <w:pPr>
      <w:widowControl w:val="0"/>
      <w:autoSpaceDE w:val="0"/>
      <w:autoSpaceDN w:val="0"/>
      <w:adjustRightInd w:val="0"/>
    </w:pPr>
    <w:rPr>
      <w:rFonts w:ascii="华文细黑" w:hAnsi="Times New Roman" w:eastAsia="华文细黑" w:cs="华文细黑"/>
      <w:color w:val="000000"/>
      <w:sz w:val="24"/>
      <w:szCs w:val="24"/>
      <w:lang w:val="en-US" w:eastAsia="zh-CN" w:bidi="ar-SA"/>
    </w:rPr>
  </w:style>
  <w:style w:type="character" w:customStyle="1" w:styleId="69">
    <w:name w:val="纯文本 Char"/>
    <w:basedOn w:val="36"/>
    <w:link w:val="17"/>
    <w:qFormat/>
    <w:uiPriority w:val="0"/>
    <w:rPr>
      <w:rFonts w:ascii="宋体" w:hAnsi="Courier New"/>
      <w:kern w:val="2"/>
      <w:sz w:val="24"/>
    </w:rPr>
  </w:style>
  <w:style w:type="character" w:customStyle="1" w:styleId="70">
    <w:name w:val="正文文本缩进 3 Char"/>
    <w:basedOn w:val="36"/>
    <w:link w:val="28"/>
    <w:qFormat/>
    <w:uiPriority w:val="0"/>
    <w:rPr>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47AFE0-4BAB-455E-B6CD-965B5C69F1AD}">
  <ds:schemaRefs/>
</ds:datastoreItem>
</file>

<file path=docProps/app.xml><?xml version="1.0" encoding="utf-8"?>
<Properties xmlns="http://schemas.openxmlformats.org/officeDocument/2006/extended-properties" xmlns:vt="http://schemas.openxmlformats.org/officeDocument/2006/docPropsVTypes">
  <Template>Normal</Template>
  <Pages>1</Pages>
  <Words>1326</Words>
  <Characters>7563</Characters>
  <Lines>63</Lines>
  <Paragraphs>17</Paragraphs>
  <TotalTime>0</TotalTime>
  <ScaleCrop>false</ScaleCrop>
  <LinksUpToDate>false</LinksUpToDate>
  <CharactersWithSpaces>8872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2018-04-23T02:50:00Z</dcterms:created>
  <dc:creator>cc</dc:creator>
  <cp:lastModifiedBy>F</cp:lastModifiedBy>
  <cp:lastPrinted>2022-02-18T09:10:00Z</cp:lastPrinted>
  <dcterms:modified xsi:type="dcterms:W3CDTF">2022-03-18T05:55:28Z</dcterms:modified>
  <dc:subject>房地产抵押估价报告</dc:subject>
  <dc:title>广州市天河区天河路198号南方精典大厦</dc:title>
  <cp:revision>453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55D637DB113947B59B0B1906389027A1</vt:lpwstr>
  </property>
</Properties>
</file>