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tabs>
          <w:tab w:val="left" w:pos="4680"/>
        </w:tabs>
        <w:jc w:val="center"/>
        <w:rPr>
          <w:rFonts w:eastAsia="楷体_GB2312"/>
          <w:color w:val="auto"/>
          <w:sz w:val="28"/>
          <w:highlight w:val="none"/>
        </w:rPr>
      </w:pPr>
    </w:p>
    <w:p>
      <w:pPr>
        <w:jc w:val="center"/>
        <w:rPr>
          <w:rFonts w:eastAsia="楷体_GB2312"/>
          <w:color w:val="auto"/>
          <w:sz w:val="28"/>
          <w:highlight w:val="none"/>
        </w:rPr>
      </w:pPr>
    </w:p>
    <w:p>
      <w:pPr>
        <w:jc w:val="center"/>
        <w:rPr>
          <w:rFonts w:eastAsia="楷体_GB2312"/>
          <w:color w:val="auto"/>
          <w:sz w:val="28"/>
          <w:highlight w:val="none"/>
        </w:rPr>
      </w:pPr>
      <w:bookmarkStart w:id="0" w:name="_GoBack"/>
      <w:bookmarkEnd w:id="0"/>
    </w:p>
    <w:p>
      <w:pPr>
        <w:jc w:val="center"/>
        <w:rPr>
          <w:rFonts w:eastAsia="楷体_GB2312"/>
          <w:color w:val="auto"/>
          <w:sz w:val="28"/>
          <w:highlight w:val="none"/>
        </w:rPr>
      </w:pPr>
    </w:p>
    <w:p>
      <w:pPr>
        <w:jc w:val="center"/>
        <w:rPr>
          <w:rFonts w:eastAsia="楷体_GB2312"/>
          <w:color w:val="auto"/>
          <w:sz w:val="28"/>
          <w:highlight w:val="none"/>
        </w:rPr>
      </w:pPr>
    </w:p>
    <w:p>
      <w:pPr>
        <w:adjustRightInd w:val="0"/>
        <w:snapToGrid w:val="0"/>
        <w:spacing w:line="360" w:lineRule="auto"/>
        <w:jc w:val="center"/>
        <w:rPr>
          <w:b/>
          <w:bCs/>
          <w:iCs/>
          <w:color w:val="auto"/>
          <w:spacing w:val="70"/>
          <w:sz w:val="44"/>
          <w:highlight w:val="none"/>
        </w:rPr>
      </w:pPr>
    </w:p>
    <w:p>
      <w:pPr>
        <w:adjustRightInd w:val="0"/>
        <w:snapToGrid w:val="0"/>
        <w:spacing w:line="360" w:lineRule="auto"/>
        <w:jc w:val="center"/>
        <w:rPr>
          <w:b/>
          <w:bCs/>
          <w:iCs/>
          <w:color w:val="auto"/>
          <w:spacing w:val="70"/>
          <w:sz w:val="44"/>
          <w:highlight w:val="none"/>
        </w:rPr>
      </w:pPr>
      <w:r>
        <w:rPr>
          <w:b/>
          <w:bCs/>
          <w:iCs/>
          <w:color w:val="auto"/>
          <w:spacing w:val="70"/>
          <w:sz w:val="44"/>
          <w:highlight w:val="none"/>
        </w:rPr>
        <w:t>房</w:t>
      </w:r>
      <w:r>
        <w:rPr>
          <w:rFonts w:hint="eastAsia"/>
          <w:b/>
          <w:bCs/>
          <w:iCs/>
          <w:color w:val="auto"/>
          <w:spacing w:val="70"/>
          <w:sz w:val="44"/>
          <w:highlight w:val="none"/>
        </w:rPr>
        <w:t>地</w:t>
      </w:r>
      <w:r>
        <w:rPr>
          <w:b/>
          <w:bCs/>
          <w:iCs/>
          <w:color w:val="auto"/>
          <w:spacing w:val="70"/>
          <w:sz w:val="44"/>
          <w:highlight w:val="none"/>
        </w:rPr>
        <w:t>产估价报告</w:t>
      </w:r>
    </w:p>
    <w:p>
      <w:pPr>
        <w:adjustRightInd w:val="0"/>
        <w:snapToGrid w:val="0"/>
        <w:spacing w:line="360" w:lineRule="auto"/>
        <w:ind w:left="4022" w:leftChars="1201" w:hanging="1500" w:hangingChars="500"/>
        <w:rPr>
          <w:rFonts w:eastAsia="楷体_GB2312"/>
          <w:color w:val="auto"/>
          <w:sz w:val="30"/>
          <w:highlight w:val="none"/>
        </w:rPr>
      </w:pPr>
    </w:p>
    <w:p>
      <w:pPr>
        <w:adjustRightInd w:val="0"/>
        <w:snapToGrid w:val="0"/>
        <w:spacing w:line="360" w:lineRule="auto"/>
        <w:ind w:left="4022" w:leftChars="1201" w:hanging="1500" w:hangingChars="500"/>
        <w:rPr>
          <w:rFonts w:eastAsia="楷体_GB2312"/>
          <w:color w:val="auto"/>
          <w:sz w:val="30"/>
          <w:highlight w:val="none"/>
        </w:rPr>
      </w:pPr>
    </w:p>
    <w:p>
      <w:pPr>
        <w:adjustRightInd w:val="0"/>
        <w:snapToGrid w:val="0"/>
        <w:spacing w:line="360" w:lineRule="auto"/>
        <w:ind w:left="4022" w:leftChars="1201" w:hanging="1500" w:hangingChars="500"/>
        <w:rPr>
          <w:rFonts w:eastAsia="楷体_GB2312"/>
          <w:color w:val="auto"/>
          <w:sz w:val="30"/>
          <w:highlight w:val="none"/>
        </w:rPr>
      </w:pPr>
    </w:p>
    <w:p>
      <w:pPr>
        <w:adjustRightInd w:val="0"/>
        <w:snapToGrid w:val="0"/>
        <w:spacing w:line="360" w:lineRule="auto"/>
        <w:ind w:left="4022" w:leftChars="1201" w:hanging="1500" w:hangingChars="500"/>
        <w:rPr>
          <w:rFonts w:eastAsia="楷体_GB2312"/>
          <w:color w:val="auto"/>
          <w:sz w:val="30"/>
          <w:highlight w:val="none"/>
        </w:rPr>
      </w:pPr>
    </w:p>
    <w:p>
      <w:pPr>
        <w:adjustRightInd w:val="0"/>
        <w:snapToGrid w:val="0"/>
        <w:spacing w:line="360" w:lineRule="auto"/>
        <w:ind w:left="4022" w:leftChars="1201" w:hanging="1500" w:hangingChars="500"/>
        <w:rPr>
          <w:rFonts w:eastAsia="楷体_GB2312"/>
          <w:color w:val="auto"/>
          <w:sz w:val="30"/>
          <w:highlight w:val="none"/>
        </w:rPr>
      </w:pPr>
    </w:p>
    <w:p>
      <w:pPr>
        <w:wordWrap w:val="0"/>
        <w:autoSpaceDE w:val="0"/>
        <w:autoSpaceDN w:val="0"/>
        <w:adjustRightInd w:val="0"/>
        <w:snapToGrid w:val="0"/>
        <w:spacing w:line="360" w:lineRule="auto"/>
        <w:ind w:left="2588" w:leftChars="405" w:hanging="1738" w:hangingChars="541"/>
        <w:rPr>
          <w:rFonts w:ascii="楷体_GB2312" w:hAnsi="楷体" w:eastAsia="楷体_GB2312"/>
          <w:b/>
          <w:color w:val="auto"/>
          <w:spacing w:val="-14"/>
          <w:sz w:val="32"/>
          <w:szCs w:val="32"/>
          <w:highlight w:val="none"/>
        </w:rPr>
      </w:pPr>
      <w:r>
        <w:rPr>
          <w:rFonts w:hint="eastAsia" w:ascii="楷体_GB2312" w:hAnsi="楷体" w:eastAsia="楷体_GB2312"/>
          <w:b/>
          <w:bCs/>
          <w:color w:val="auto"/>
          <w:sz w:val="32"/>
          <w:highlight w:val="none"/>
        </w:rPr>
        <w:t>项目名称：</w:t>
      </w:r>
      <w:r>
        <w:rPr>
          <w:rFonts w:hint="eastAsia" w:ascii="楷体_GB2312" w:hAnsi="楷体" w:eastAsia="楷体_GB2312"/>
          <w:b/>
          <w:bCs/>
          <w:color w:val="auto"/>
          <w:sz w:val="32"/>
          <w:highlight w:val="none"/>
        </w:rPr>
        <w:t>河北省临漳县人民</w:t>
      </w:r>
      <w:r>
        <w:rPr>
          <w:rFonts w:hint="eastAsia" w:ascii="楷体_GB2312" w:hAnsi="楷体" w:eastAsia="楷体_GB2312"/>
          <w:b/>
          <w:bCs/>
          <w:color w:val="auto"/>
          <w:sz w:val="32"/>
          <w:highlight w:val="none"/>
        </w:rPr>
        <w:t>法院</w:t>
      </w:r>
      <w:r>
        <w:rPr>
          <w:rFonts w:hint="eastAsia" w:ascii="楷体_GB2312" w:hAnsi="楷体" w:eastAsia="楷体_GB2312" w:cs="宋体-18030"/>
          <w:b/>
          <w:color w:val="auto"/>
          <w:sz w:val="32"/>
          <w:szCs w:val="32"/>
          <w:highlight w:val="none"/>
        </w:rPr>
        <w:t>确定财产处置参考价涉及</w:t>
      </w:r>
      <w:r>
        <w:rPr>
          <w:rFonts w:hint="eastAsia" w:ascii="楷体_GB2312" w:hAnsi="楷体" w:eastAsia="楷体_GB2312"/>
          <w:b/>
          <w:bCs/>
          <w:color w:val="auto"/>
          <w:sz w:val="32"/>
          <w:highlight w:val="none"/>
        </w:rPr>
        <w:t>位于临漳县锦江新城龙福苑11号楼1103号的房地产市</w:t>
      </w:r>
      <w:r>
        <w:rPr>
          <w:rFonts w:hint="eastAsia" w:ascii="楷体_GB2312" w:hAnsi="楷体" w:eastAsia="楷体_GB2312"/>
          <w:b/>
          <w:bCs/>
          <w:color w:val="auto"/>
          <w:sz w:val="32"/>
          <w:highlight w:val="none"/>
        </w:rPr>
        <w:t>场价值评估</w:t>
      </w:r>
    </w:p>
    <w:p>
      <w:pPr>
        <w:adjustRightInd w:val="0"/>
        <w:snapToGrid w:val="0"/>
        <w:spacing w:line="360" w:lineRule="auto"/>
        <w:ind w:firstLine="790" w:firstLineChars="246"/>
        <w:rPr>
          <w:rFonts w:ascii="楷体_GB2312" w:hAnsi="楷体" w:eastAsia="楷体_GB2312"/>
          <w:b/>
          <w:bCs/>
          <w:color w:val="auto"/>
          <w:sz w:val="32"/>
          <w:szCs w:val="32"/>
          <w:highlight w:val="none"/>
        </w:rPr>
      </w:pPr>
      <w:r>
        <w:rPr>
          <w:rFonts w:hint="eastAsia" w:ascii="楷体_GB2312" w:hAnsi="楷体" w:eastAsia="楷体_GB2312"/>
          <w:b/>
          <w:bCs/>
          <w:color w:val="auto"/>
          <w:sz w:val="32"/>
          <w:highlight w:val="none"/>
        </w:rPr>
        <w:t>估价委托人：</w:t>
      </w:r>
      <w:r>
        <w:rPr>
          <w:rFonts w:hint="eastAsia" w:ascii="楷体_GB2312" w:hAnsi="楷体" w:eastAsia="楷体_GB2312"/>
          <w:b/>
          <w:bCs/>
          <w:color w:val="auto"/>
          <w:sz w:val="32"/>
          <w:highlight w:val="none"/>
        </w:rPr>
        <w:t>河北省临漳县人民</w:t>
      </w:r>
      <w:r>
        <w:rPr>
          <w:rFonts w:hint="eastAsia" w:ascii="楷体_GB2312" w:hAnsi="楷体" w:eastAsia="楷体_GB2312"/>
          <w:b/>
          <w:bCs/>
          <w:color w:val="auto"/>
          <w:sz w:val="32"/>
          <w:highlight w:val="none"/>
        </w:rPr>
        <w:t>法院</w:t>
      </w:r>
    </w:p>
    <w:p>
      <w:pPr>
        <w:adjustRightInd w:val="0"/>
        <w:snapToGrid w:val="0"/>
        <w:spacing w:line="360" w:lineRule="auto"/>
        <w:ind w:firstLine="790" w:firstLineChars="246"/>
        <w:rPr>
          <w:rFonts w:ascii="楷体_GB2312" w:hAnsi="楷体" w:eastAsia="楷体_GB2312"/>
          <w:b/>
          <w:bCs/>
          <w:color w:val="auto"/>
          <w:sz w:val="32"/>
          <w:highlight w:val="none"/>
        </w:rPr>
      </w:pPr>
      <w:r>
        <w:rPr>
          <w:rFonts w:hint="eastAsia" w:ascii="楷体_GB2312" w:hAnsi="楷体" w:eastAsia="楷体_GB2312"/>
          <w:b/>
          <w:bCs/>
          <w:color w:val="auto"/>
          <w:sz w:val="32"/>
          <w:highlight w:val="none"/>
        </w:rPr>
        <w:t>估价机构：河北新世纪房地产评估经纪有限公司</w:t>
      </w:r>
    </w:p>
    <w:p>
      <w:pPr>
        <w:adjustRightInd w:val="0"/>
        <w:snapToGrid w:val="0"/>
        <w:spacing w:line="360" w:lineRule="auto"/>
        <w:ind w:firstLine="790" w:firstLineChars="246"/>
        <w:rPr>
          <w:rFonts w:ascii="楷体_GB2312" w:hAnsi="楷体" w:eastAsia="楷体_GB2312"/>
          <w:b/>
          <w:bCs/>
          <w:color w:val="auto"/>
          <w:sz w:val="32"/>
          <w:highlight w:val="none"/>
        </w:rPr>
      </w:pPr>
      <w:r>
        <w:rPr>
          <w:rFonts w:hint="eastAsia" w:ascii="楷体_GB2312" w:hAnsi="楷体" w:eastAsia="楷体_GB2312"/>
          <w:b/>
          <w:bCs/>
          <w:color w:val="auto"/>
          <w:sz w:val="32"/>
          <w:highlight w:val="none"/>
        </w:rPr>
        <w:t>注册房地产估价师：董跃雷(注册号：1320140085)</w:t>
      </w:r>
    </w:p>
    <w:p>
      <w:pPr>
        <w:adjustRightInd w:val="0"/>
        <w:snapToGrid w:val="0"/>
        <w:spacing w:line="360" w:lineRule="auto"/>
        <w:ind w:firstLine="790" w:firstLineChars="246"/>
        <w:rPr>
          <w:rFonts w:ascii="楷体_GB2312" w:hAnsi="楷体" w:eastAsia="楷体_GB2312"/>
          <w:b/>
          <w:bCs/>
          <w:color w:val="auto"/>
          <w:sz w:val="32"/>
          <w:highlight w:val="none"/>
        </w:rPr>
      </w:pPr>
      <w:r>
        <w:rPr>
          <w:rFonts w:hint="eastAsia" w:ascii="楷体_GB2312" w:hAnsi="楷体" w:eastAsia="楷体_GB2312"/>
          <w:b/>
          <w:bCs/>
          <w:color w:val="auto"/>
          <w:sz w:val="32"/>
          <w:highlight w:val="none"/>
        </w:rPr>
        <w:t xml:space="preserve">                  付  媛(注册号：1320100039)</w:t>
      </w:r>
    </w:p>
    <w:p>
      <w:pPr>
        <w:adjustRightInd w:val="0"/>
        <w:snapToGrid w:val="0"/>
        <w:spacing w:line="360" w:lineRule="auto"/>
        <w:ind w:firstLine="790" w:firstLineChars="246"/>
        <w:rPr>
          <w:rFonts w:ascii="楷体_GB2312" w:hAnsi="楷体" w:eastAsia="楷体_GB2312"/>
          <w:b/>
          <w:bCs/>
          <w:color w:val="auto"/>
          <w:sz w:val="32"/>
          <w:highlight w:val="none"/>
        </w:rPr>
      </w:pPr>
      <w:r>
        <w:rPr>
          <w:rFonts w:hint="eastAsia" w:ascii="楷体_GB2312" w:hAnsi="楷体" w:eastAsia="楷体_GB2312"/>
          <w:b/>
          <w:bCs/>
          <w:color w:val="auto"/>
          <w:sz w:val="32"/>
          <w:highlight w:val="none"/>
        </w:rPr>
        <w:t>估价报告出具日期：</w:t>
      </w:r>
      <w:r>
        <w:rPr>
          <w:rFonts w:hint="eastAsia" w:ascii="楷体_GB2312" w:hAnsi="楷体" w:eastAsia="楷体_GB2312"/>
          <w:b/>
          <w:bCs/>
          <w:color w:val="auto"/>
          <w:sz w:val="32"/>
          <w:highlight w:val="none"/>
        </w:rPr>
        <w:t>2021年12月23日</w:t>
      </w:r>
    </w:p>
    <w:p>
      <w:pPr>
        <w:adjustRightInd w:val="0"/>
        <w:snapToGrid w:val="0"/>
        <w:spacing w:line="360" w:lineRule="auto"/>
        <w:ind w:firstLine="790" w:firstLineChars="246"/>
        <w:rPr>
          <w:rFonts w:ascii="楷体_GB2312" w:hAnsi="楷体" w:eastAsia="楷体_GB2312"/>
          <w:b/>
          <w:bCs/>
          <w:color w:val="auto"/>
          <w:sz w:val="30"/>
          <w:highlight w:val="none"/>
        </w:rPr>
      </w:pPr>
      <w:r>
        <w:rPr>
          <w:rFonts w:hint="eastAsia" w:ascii="楷体_GB2312" w:hAnsi="楷体" w:eastAsia="楷体_GB2312"/>
          <w:b/>
          <w:bCs/>
          <w:color w:val="auto"/>
          <w:sz w:val="32"/>
          <w:highlight w:val="none"/>
        </w:rPr>
        <w:t>估价报告编号：</w:t>
      </w:r>
      <w:r>
        <w:rPr>
          <w:rFonts w:hint="eastAsia" w:ascii="楷体_GB2312" w:hAnsi="楷体" w:eastAsia="楷体_GB2312"/>
          <w:b/>
          <w:bCs/>
          <w:color w:val="auto"/>
          <w:sz w:val="32"/>
          <w:highlight w:val="none"/>
        </w:rPr>
        <w:t>冀新房（2021）（邯估）字第</w:t>
      </w:r>
      <w:r>
        <w:rPr>
          <w:rFonts w:hint="eastAsia" w:ascii="楷体_GB2312" w:hAnsi="楷体" w:eastAsia="楷体_GB2312"/>
          <w:b/>
          <w:bCs/>
          <w:color w:val="auto"/>
          <w:sz w:val="32"/>
          <w:highlight w:val="none"/>
        </w:rPr>
        <w:t>042</w:t>
      </w:r>
      <w:r>
        <w:rPr>
          <w:rFonts w:hint="eastAsia" w:ascii="楷体_GB2312" w:hAnsi="楷体" w:eastAsia="楷体_GB2312"/>
          <w:b/>
          <w:bCs/>
          <w:color w:val="auto"/>
          <w:sz w:val="32"/>
          <w:highlight w:val="none"/>
        </w:rPr>
        <w:t>号</w:t>
      </w:r>
    </w:p>
    <w:p>
      <w:pPr>
        <w:adjustRightInd w:val="0"/>
        <w:snapToGrid w:val="0"/>
        <w:spacing w:line="360" w:lineRule="auto"/>
        <w:ind w:firstLine="741" w:firstLineChars="246"/>
        <w:rPr>
          <w:rFonts w:ascii="楷体_GB2312" w:hAnsi="楷体" w:eastAsia="楷体_GB2312"/>
          <w:b/>
          <w:bCs/>
          <w:color w:val="auto"/>
          <w:sz w:val="30"/>
          <w:highlight w:val="none"/>
        </w:rPr>
      </w:pPr>
    </w:p>
    <w:p>
      <w:pPr>
        <w:tabs>
          <w:tab w:val="left" w:pos="7110"/>
        </w:tabs>
        <w:adjustRightInd w:val="0"/>
        <w:snapToGrid w:val="0"/>
        <w:spacing w:line="360" w:lineRule="auto"/>
        <w:jc w:val="center"/>
        <w:rPr>
          <w:b/>
          <w:bCs/>
          <w:color w:val="auto"/>
          <w:sz w:val="32"/>
          <w:highlight w:val="none"/>
        </w:rPr>
      </w:pPr>
      <w:r>
        <w:rPr>
          <w:b/>
          <w:bCs/>
          <w:color w:val="auto"/>
          <w:sz w:val="32"/>
          <w:highlight w:val="none"/>
        </w:rPr>
        <w:br w:type="page"/>
      </w:r>
      <w:r>
        <w:rPr>
          <w:b/>
          <w:bCs/>
          <w:color w:val="auto"/>
          <w:sz w:val="32"/>
          <w:highlight w:val="none"/>
        </w:rPr>
        <w:t>目    录</w:t>
      </w:r>
    </w:p>
    <w:p>
      <w:pPr>
        <w:tabs>
          <w:tab w:val="left" w:pos="7110"/>
        </w:tabs>
        <w:adjustRightInd w:val="0"/>
        <w:snapToGrid w:val="0"/>
        <w:spacing w:line="360" w:lineRule="auto"/>
        <w:ind w:firstLine="1687" w:firstLineChars="600"/>
        <w:rPr>
          <w:rFonts w:eastAsia="仿宋_GB2312"/>
          <w:b/>
          <w:bCs/>
          <w:color w:val="auto"/>
          <w:sz w:val="28"/>
          <w:highlight w:val="none"/>
        </w:rPr>
      </w:pPr>
    </w:p>
    <w:p>
      <w:pPr>
        <w:tabs>
          <w:tab w:val="left" w:pos="7110"/>
        </w:tabs>
        <w:adjustRightInd w:val="0"/>
        <w:snapToGrid w:val="0"/>
        <w:spacing w:line="360" w:lineRule="auto"/>
        <w:jc w:val="center"/>
        <w:rPr>
          <w:rFonts w:eastAsia="仿宋_GB2312"/>
          <w:b/>
          <w:bCs/>
          <w:color w:val="auto"/>
          <w:sz w:val="28"/>
          <w:highlight w:val="none"/>
        </w:rPr>
      </w:pPr>
      <w:r>
        <w:rPr>
          <w:rFonts w:ascii="仿宋_GB2312" w:eastAsia="仿宋_GB2312"/>
          <w:b/>
          <w:bCs/>
          <w:color w:val="auto"/>
          <w:sz w:val="28"/>
          <w:highlight w:val="none"/>
        </w:rPr>
        <w:t>1</w:t>
      </w:r>
      <w:r>
        <w:rPr>
          <w:rFonts w:eastAsia="仿宋_GB2312"/>
          <w:b/>
          <w:bCs/>
          <w:color w:val="auto"/>
          <w:sz w:val="28"/>
          <w:highlight w:val="none"/>
        </w:rPr>
        <w:t>、致</w:t>
      </w:r>
      <w:r>
        <w:rPr>
          <w:rFonts w:hint="eastAsia" w:eastAsia="仿宋_GB2312"/>
          <w:b/>
          <w:bCs/>
          <w:color w:val="auto"/>
          <w:sz w:val="28"/>
          <w:highlight w:val="none"/>
        </w:rPr>
        <w:t>估价委托人</w:t>
      </w:r>
      <w:r>
        <w:rPr>
          <w:rFonts w:eastAsia="仿宋_GB2312"/>
          <w:b/>
          <w:bCs/>
          <w:color w:val="auto"/>
          <w:sz w:val="28"/>
          <w:highlight w:val="none"/>
        </w:rPr>
        <w:t>函</w:t>
      </w:r>
      <w:r>
        <w:rPr>
          <w:rFonts w:hint="eastAsia" w:eastAsia="仿宋_GB2312"/>
          <w:b/>
          <w:bCs/>
          <w:color w:val="auto"/>
          <w:sz w:val="28"/>
          <w:highlight w:val="none"/>
        </w:rPr>
        <w:t>----------------------------------------------</w:t>
      </w:r>
      <w:r>
        <w:rPr>
          <w:rFonts w:hint="eastAsia" w:ascii="仿宋_GB2312" w:eastAsia="仿宋_GB2312"/>
          <w:b/>
          <w:bCs/>
          <w:color w:val="auto"/>
          <w:sz w:val="28"/>
          <w:highlight w:val="none"/>
        </w:rPr>
        <w:t>2</w:t>
      </w:r>
    </w:p>
    <w:p>
      <w:pPr>
        <w:tabs>
          <w:tab w:val="left" w:pos="7110"/>
        </w:tabs>
        <w:adjustRightInd w:val="0"/>
        <w:snapToGrid w:val="0"/>
        <w:spacing w:line="360" w:lineRule="auto"/>
        <w:jc w:val="center"/>
        <w:rPr>
          <w:rFonts w:eastAsia="仿宋_GB2312"/>
          <w:b/>
          <w:bCs/>
          <w:color w:val="auto"/>
          <w:sz w:val="28"/>
          <w:highlight w:val="none"/>
        </w:rPr>
      </w:pPr>
    </w:p>
    <w:p>
      <w:pPr>
        <w:tabs>
          <w:tab w:val="left" w:pos="7110"/>
        </w:tabs>
        <w:adjustRightInd w:val="0"/>
        <w:snapToGrid w:val="0"/>
        <w:spacing w:line="360" w:lineRule="auto"/>
        <w:jc w:val="center"/>
        <w:rPr>
          <w:rFonts w:eastAsia="仿宋_GB2312"/>
          <w:b/>
          <w:bCs/>
          <w:color w:val="auto"/>
          <w:sz w:val="28"/>
          <w:highlight w:val="none"/>
        </w:rPr>
      </w:pPr>
      <w:r>
        <w:rPr>
          <w:rFonts w:ascii="仿宋_GB2312" w:eastAsia="仿宋_GB2312"/>
          <w:b/>
          <w:bCs/>
          <w:color w:val="auto"/>
          <w:sz w:val="28"/>
          <w:highlight w:val="none"/>
        </w:rPr>
        <w:t>2</w:t>
      </w:r>
      <w:r>
        <w:rPr>
          <w:rFonts w:eastAsia="仿宋_GB2312"/>
          <w:b/>
          <w:bCs/>
          <w:color w:val="auto"/>
          <w:sz w:val="28"/>
          <w:highlight w:val="none"/>
        </w:rPr>
        <w:t>、估价师声明</w:t>
      </w:r>
      <w:r>
        <w:rPr>
          <w:rFonts w:hint="eastAsia" w:eastAsia="仿宋_GB2312"/>
          <w:b/>
          <w:bCs/>
          <w:color w:val="auto"/>
          <w:sz w:val="28"/>
          <w:highlight w:val="none"/>
        </w:rPr>
        <w:t>----------------------------------------------------</w:t>
      </w:r>
      <w:r>
        <w:rPr>
          <w:rFonts w:hint="eastAsia" w:ascii="仿宋_GB2312" w:eastAsia="仿宋_GB2312"/>
          <w:b/>
          <w:bCs/>
          <w:color w:val="auto"/>
          <w:sz w:val="28"/>
          <w:highlight w:val="none"/>
        </w:rPr>
        <w:t>3</w:t>
      </w:r>
    </w:p>
    <w:p>
      <w:pPr>
        <w:tabs>
          <w:tab w:val="left" w:pos="7110"/>
        </w:tabs>
        <w:adjustRightInd w:val="0"/>
        <w:snapToGrid w:val="0"/>
        <w:spacing w:line="360" w:lineRule="auto"/>
        <w:jc w:val="center"/>
        <w:rPr>
          <w:rFonts w:eastAsia="仿宋_GB2312"/>
          <w:b/>
          <w:bCs/>
          <w:color w:val="auto"/>
          <w:sz w:val="28"/>
          <w:highlight w:val="none"/>
        </w:rPr>
      </w:pPr>
    </w:p>
    <w:p>
      <w:pPr>
        <w:tabs>
          <w:tab w:val="left" w:pos="7110"/>
        </w:tabs>
        <w:adjustRightInd w:val="0"/>
        <w:snapToGrid w:val="0"/>
        <w:spacing w:line="360" w:lineRule="auto"/>
        <w:jc w:val="center"/>
        <w:rPr>
          <w:rFonts w:eastAsia="仿宋_GB2312"/>
          <w:b/>
          <w:bCs/>
          <w:color w:val="auto"/>
          <w:sz w:val="28"/>
          <w:highlight w:val="none"/>
        </w:rPr>
      </w:pPr>
      <w:r>
        <w:rPr>
          <w:rFonts w:ascii="仿宋_GB2312" w:eastAsia="仿宋_GB2312"/>
          <w:b/>
          <w:bCs/>
          <w:color w:val="auto"/>
          <w:sz w:val="28"/>
          <w:highlight w:val="none"/>
        </w:rPr>
        <w:t>3</w:t>
      </w:r>
      <w:r>
        <w:rPr>
          <w:rFonts w:eastAsia="仿宋_GB2312"/>
          <w:b/>
          <w:bCs/>
          <w:color w:val="auto"/>
          <w:sz w:val="28"/>
          <w:highlight w:val="none"/>
        </w:rPr>
        <w:t>、估价的假设和限制条件</w:t>
      </w:r>
      <w:r>
        <w:rPr>
          <w:rFonts w:hint="eastAsia" w:eastAsia="仿宋_GB2312"/>
          <w:b/>
          <w:bCs/>
          <w:color w:val="auto"/>
          <w:sz w:val="28"/>
          <w:highlight w:val="none"/>
        </w:rPr>
        <w:t>------------------------------------</w:t>
      </w:r>
      <w:r>
        <w:rPr>
          <w:rFonts w:hint="eastAsia" w:ascii="仿宋_GB2312" w:eastAsia="仿宋_GB2312"/>
          <w:b/>
          <w:bCs/>
          <w:color w:val="auto"/>
          <w:sz w:val="28"/>
          <w:highlight w:val="none"/>
        </w:rPr>
        <w:t>4</w:t>
      </w:r>
    </w:p>
    <w:p>
      <w:pPr>
        <w:tabs>
          <w:tab w:val="left" w:pos="7110"/>
        </w:tabs>
        <w:adjustRightInd w:val="0"/>
        <w:snapToGrid w:val="0"/>
        <w:spacing w:line="360" w:lineRule="auto"/>
        <w:jc w:val="center"/>
        <w:rPr>
          <w:rFonts w:eastAsia="仿宋_GB2312"/>
          <w:b/>
          <w:bCs/>
          <w:color w:val="auto"/>
          <w:sz w:val="28"/>
          <w:highlight w:val="none"/>
        </w:rPr>
      </w:pPr>
    </w:p>
    <w:p>
      <w:pPr>
        <w:tabs>
          <w:tab w:val="left" w:pos="7110"/>
        </w:tabs>
        <w:adjustRightInd w:val="0"/>
        <w:snapToGrid w:val="0"/>
        <w:spacing w:line="360" w:lineRule="auto"/>
        <w:jc w:val="center"/>
        <w:rPr>
          <w:rFonts w:eastAsia="仿宋_GB2312"/>
          <w:b/>
          <w:bCs/>
          <w:color w:val="auto"/>
          <w:sz w:val="28"/>
          <w:highlight w:val="none"/>
        </w:rPr>
      </w:pPr>
      <w:r>
        <w:rPr>
          <w:rFonts w:ascii="仿宋_GB2312" w:eastAsia="仿宋_GB2312"/>
          <w:b/>
          <w:bCs/>
          <w:color w:val="auto"/>
          <w:sz w:val="28"/>
          <w:highlight w:val="none"/>
        </w:rPr>
        <w:t>4</w:t>
      </w:r>
      <w:r>
        <w:rPr>
          <w:rFonts w:eastAsia="仿宋_GB2312"/>
          <w:b/>
          <w:bCs/>
          <w:color w:val="auto"/>
          <w:sz w:val="28"/>
          <w:highlight w:val="none"/>
        </w:rPr>
        <w:t>、房地产估价结果报告</w:t>
      </w:r>
      <w:r>
        <w:rPr>
          <w:rFonts w:hint="eastAsia" w:eastAsia="仿宋_GB2312"/>
          <w:b/>
          <w:bCs/>
          <w:color w:val="auto"/>
          <w:sz w:val="28"/>
          <w:highlight w:val="none"/>
        </w:rPr>
        <w:t>---------------------------------------</w:t>
      </w:r>
      <w:r>
        <w:rPr>
          <w:rFonts w:hint="eastAsia" w:ascii="仿宋_GB2312" w:eastAsia="仿宋_GB2312"/>
          <w:b/>
          <w:bCs/>
          <w:color w:val="auto"/>
          <w:sz w:val="28"/>
          <w:highlight w:val="none"/>
        </w:rPr>
        <w:t>7</w:t>
      </w:r>
    </w:p>
    <w:p>
      <w:pPr>
        <w:tabs>
          <w:tab w:val="left" w:pos="7110"/>
        </w:tabs>
        <w:adjustRightInd w:val="0"/>
        <w:snapToGrid w:val="0"/>
        <w:spacing w:line="360" w:lineRule="auto"/>
        <w:jc w:val="center"/>
        <w:rPr>
          <w:rFonts w:eastAsia="仿宋_GB2312"/>
          <w:b/>
          <w:bCs/>
          <w:color w:val="auto"/>
          <w:sz w:val="28"/>
          <w:highlight w:val="none"/>
        </w:rPr>
      </w:pPr>
    </w:p>
    <w:p>
      <w:pPr>
        <w:tabs>
          <w:tab w:val="left" w:pos="7110"/>
        </w:tabs>
        <w:adjustRightInd w:val="0"/>
        <w:snapToGrid w:val="0"/>
        <w:spacing w:line="360" w:lineRule="auto"/>
        <w:jc w:val="center"/>
        <w:rPr>
          <w:rFonts w:eastAsia="仿宋_GB2312"/>
          <w:b/>
          <w:bCs/>
          <w:color w:val="auto"/>
          <w:sz w:val="28"/>
          <w:highlight w:val="none"/>
        </w:rPr>
      </w:pPr>
      <w:r>
        <w:rPr>
          <w:rFonts w:ascii="仿宋_GB2312" w:eastAsia="仿宋_GB2312"/>
          <w:b/>
          <w:bCs/>
          <w:color w:val="auto"/>
          <w:sz w:val="28"/>
          <w:highlight w:val="none"/>
        </w:rPr>
        <w:t>5</w:t>
      </w:r>
      <w:r>
        <w:rPr>
          <w:rFonts w:eastAsia="仿宋_GB2312"/>
          <w:b/>
          <w:bCs/>
          <w:color w:val="auto"/>
          <w:sz w:val="28"/>
          <w:highlight w:val="none"/>
        </w:rPr>
        <w:t>、附件</w:t>
      </w:r>
      <w:r>
        <w:rPr>
          <w:rFonts w:hint="eastAsia" w:eastAsia="仿宋_GB2312"/>
          <w:b/>
          <w:bCs/>
          <w:color w:val="auto"/>
          <w:sz w:val="28"/>
          <w:highlight w:val="none"/>
        </w:rPr>
        <w:t>-----------------------------------------------------------</w:t>
      </w:r>
      <w:r>
        <w:rPr>
          <w:rFonts w:hint="eastAsia" w:ascii="仿宋_GB2312" w:eastAsia="仿宋_GB2312"/>
          <w:b/>
          <w:bCs/>
          <w:color w:val="auto"/>
          <w:sz w:val="28"/>
          <w:highlight w:val="none"/>
        </w:rPr>
        <w:t>12</w:t>
      </w:r>
    </w:p>
    <w:p>
      <w:pPr>
        <w:jc w:val="center"/>
        <w:rPr>
          <w:b/>
          <w:color w:val="auto"/>
          <w:spacing w:val="40"/>
          <w:sz w:val="32"/>
          <w:highlight w:val="none"/>
        </w:rPr>
      </w:pPr>
      <w:r>
        <w:rPr>
          <w:b/>
          <w:color w:val="auto"/>
          <w:spacing w:val="40"/>
          <w:sz w:val="32"/>
          <w:highlight w:val="none"/>
        </w:rPr>
        <w:br w:type="page"/>
      </w:r>
      <w:r>
        <w:rPr>
          <w:rFonts w:hint="eastAsia"/>
          <w:b/>
          <w:color w:val="auto"/>
          <w:spacing w:val="40"/>
          <w:sz w:val="32"/>
          <w:highlight w:val="none"/>
        </w:rPr>
        <w:t>致估价委托人函</w:t>
      </w:r>
    </w:p>
    <w:p>
      <w:pPr>
        <w:adjustRightInd w:val="0"/>
        <w:snapToGrid w:val="0"/>
        <w:spacing w:line="480" w:lineRule="exact"/>
        <w:rPr>
          <w:rFonts w:ascii="仿宋_GB2312" w:eastAsia="仿宋_GB2312"/>
          <w:bCs/>
          <w:color w:val="auto"/>
          <w:sz w:val="28"/>
          <w:szCs w:val="20"/>
          <w:highlight w:val="none"/>
        </w:rPr>
      </w:pPr>
      <w:r>
        <w:rPr>
          <w:rFonts w:hint="eastAsia" w:ascii="仿宋_GB2312" w:eastAsia="仿宋_GB2312"/>
          <w:bCs/>
          <w:color w:val="auto"/>
          <w:sz w:val="28"/>
          <w:szCs w:val="20"/>
          <w:highlight w:val="none"/>
        </w:rPr>
        <w:t>河北省临漳县人民</w:t>
      </w:r>
      <w:r>
        <w:rPr>
          <w:rFonts w:hint="eastAsia" w:ascii="仿宋_GB2312" w:eastAsia="仿宋_GB2312"/>
          <w:bCs/>
          <w:color w:val="auto"/>
          <w:sz w:val="28"/>
          <w:szCs w:val="20"/>
          <w:highlight w:val="none"/>
        </w:rPr>
        <w:t>法院：</w:t>
      </w:r>
    </w:p>
    <w:p>
      <w:pPr>
        <w:adjustRightInd w:val="0"/>
        <w:snapToGrid w:val="0"/>
        <w:spacing w:line="480" w:lineRule="exact"/>
        <w:ind w:firstLine="560" w:firstLineChars="200"/>
        <w:rPr>
          <w:rFonts w:ascii="仿宋_GB2312" w:eastAsia="仿宋_GB2312"/>
          <w:bCs/>
          <w:color w:val="auto"/>
          <w:sz w:val="28"/>
          <w:szCs w:val="20"/>
          <w:highlight w:val="none"/>
        </w:rPr>
      </w:pPr>
      <w:r>
        <w:rPr>
          <w:rFonts w:hint="eastAsia" w:ascii="仿宋_GB2312" w:eastAsia="仿宋_GB2312"/>
          <w:bCs/>
          <w:color w:val="auto"/>
          <w:sz w:val="28"/>
          <w:szCs w:val="20"/>
          <w:highlight w:val="none"/>
        </w:rPr>
        <w:t>受</w:t>
      </w:r>
      <w:r>
        <w:rPr>
          <w:rFonts w:ascii="仿宋_GB2312" w:eastAsia="仿宋_GB2312"/>
          <w:bCs/>
          <w:color w:val="auto"/>
          <w:sz w:val="28"/>
          <w:szCs w:val="20"/>
          <w:highlight w:val="none"/>
        </w:rPr>
        <w:t>贵</w:t>
      </w:r>
      <w:r>
        <w:rPr>
          <w:rFonts w:hint="eastAsia" w:ascii="仿宋_GB2312" w:eastAsia="仿宋_GB2312"/>
          <w:bCs/>
          <w:color w:val="auto"/>
          <w:sz w:val="28"/>
          <w:szCs w:val="20"/>
          <w:highlight w:val="none"/>
        </w:rPr>
        <w:t>院</w:t>
      </w:r>
      <w:r>
        <w:rPr>
          <w:rFonts w:ascii="仿宋_GB2312" w:eastAsia="仿宋_GB2312"/>
          <w:bCs/>
          <w:color w:val="auto"/>
          <w:sz w:val="28"/>
          <w:szCs w:val="20"/>
          <w:highlight w:val="none"/>
        </w:rPr>
        <w:t>委托，</w:t>
      </w:r>
      <w:r>
        <w:rPr>
          <w:rFonts w:hint="eastAsia" w:ascii="仿宋_GB2312" w:eastAsia="仿宋_GB2312"/>
          <w:bCs/>
          <w:color w:val="auto"/>
          <w:sz w:val="28"/>
          <w:szCs w:val="20"/>
          <w:highlight w:val="none"/>
        </w:rPr>
        <w:t>我公司</w:t>
      </w:r>
      <w:r>
        <w:rPr>
          <w:rFonts w:hint="eastAsia" w:ascii="仿宋_GB2312" w:eastAsia="仿宋_GB2312"/>
          <w:bCs/>
          <w:color w:val="auto"/>
          <w:sz w:val="28"/>
          <w:szCs w:val="20"/>
          <w:highlight w:val="none"/>
        </w:rPr>
        <w:t>对贵院在受理的李青海与刘红燕、王志强民间借贷纠纷一案中</w:t>
      </w:r>
      <w:r>
        <w:rPr>
          <w:rFonts w:hint="eastAsia" w:ascii="仿宋_GB2312" w:eastAsia="仿宋_GB2312"/>
          <w:bCs/>
          <w:color w:val="auto"/>
          <w:sz w:val="28"/>
          <w:szCs w:val="20"/>
          <w:highlight w:val="none"/>
        </w:rPr>
        <w:t>涉及</w:t>
      </w:r>
      <w:r>
        <w:rPr>
          <w:rFonts w:hint="eastAsia" w:ascii="仿宋_GB2312" w:eastAsia="仿宋_GB2312"/>
          <w:bCs/>
          <w:color w:val="auto"/>
          <w:sz w:val="28"/>
          <w:szCs w:val="20"/>
          <w:highlight w:val="none"/>
        </w:rPr>
        <w:t>位于临漳县锦江新城龙福苑11号楼1103号的房地产市场价值进行了</w:t>
      </w:r>
      <w:r>
        <w:rPr>
          <w:rFonts w:hint="eastAsia" w:ascii="仿宋_GB2312" w:eastAsia="仿宋_GB2312"/>
          <w:bCs/>
          <w:color w:val="auto"/>
          <w:sz w:val="28"/>
          <w:szCs w:val="20"/>
          <w:highlight w:val="none"/>
        </w:rPr>
        <w:t>评估。</w:t>
      </w:r>
    </w:p>
    <w:p>
      <w:pPr>
        <w:wordWrap w:val="0"/>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根据《中华人民共和国城市房地产管理法》、《中华人民共和国民法典》、《房地产估价规范》（中华人民共和国国家标准</w:t>
      </w:r>
      <w:r>
        <w:rPr>
          <w:rFonts w:ascii="仿宋_GB2312" w:eastAsia="仿宋_GB2312"/>
          <w:color w:val="auto"/>
          <w:sz w:val="28"/>
          <w:szCs w:val="20"/>
          <w:highlight w:val="none"/>
        </w:rPr>
        <w:t>GB/T50291-2015</w:t>
      </w:r>
      <w:r>
        <w:rPr>
          <w:rFonts w:hint="eastAsia" w:ascii="仿宋_GB2312" w:eastAsia="仿宋_GB2312"/>
          <w:color w:val="auto"/>
          <w:sz w:val="28"/>
          <w:szCs w:val="20"/>
          <w:highlight w:val="none"/>
        </w:rPr>
        <w:t>）以及有关房地产法规和政策，估价人员于</w:t>
      </w:r>
      <w:r>
        <w:rPr>
          <w:rFonts w:hint="eastAsia" w:ascii="仿宋_GB2312" w:eastAsia="仿宋_GB2312"/>
          <w:color w:val="auto"/>
          <w:sz w:val="28"/>
          <w:szCs w:val="20"/>
          <w:highlight w:val="none"/>
        </w:rPr>
        <w:t>2021年11月4日对估价</w:t>
      </w:r>
      <w:r>
        <w:rPr>
          <w:rFonts w:hint="eastAsia" w:ascii="仿宋_GB2312" w:eastAsia="仿宋_GB2312"/>
          <w:color w:val="auto"/>
          <w:sz w:val="28"/>
          <w:szCs w:val="20"/>
          <w:highlight w:val="none"/>
        </w:rPr>
        <w:t>对象进行了实地查勘</w:t>
      </w:r>
      <w:r>
        <w:rPr>
          <w:rFonts w:ascii="仿宋_GB2312" w:eastAsia="仿宋_GB2312"/>
          <w:color w:val="auto"/>
          <w:sz w:val="28"/>
          <w:szCs w:val="20"/>
          <w:highlight w:val="none"/>
        </w:rPr>
        <w:t>,</w:t>
      </w:r>
      <w:r>
        <w:rPr>
          <w:rFonts w:hint="eastAsia" w:ascii="仿宋_GB2312" w:eastAsia="仿宋_GB2312"/>
          <w:color w:val="auto"/>
          <w:sz w:val="28"/>
          <w:szCs w:val="20"/>
          <w:highlight w:val="none"/>
        </w:rPr>
        <w:t>估价对象</w:t>
      </w:r>
      <w:r>
        <w:rPr>
          <w:rFonts w:hint="eastAsia" w:ascii="仿宋_GB2312" w:eastAsia="仿宋_GB2312"/>
          <w:color w:val="auto"/>
          <w:sz w:val="28"/>
          <w:szCs w:val="20"/>
          <w:highlight w:val="none"/>
        </w:rPr>
        <w:t>位于</w:t>
      </w:r>
      <w:r>
        <w:rPr>
          <w:rFonts w:hint="eastAsia" w:ascii="仿宋_GB2312" w:eastAsia="仿宋_GB2312"/>
          <w:bCs/>
          <w:color w:val="auto"/>
          <w:sz w:val="28"/>
          <w:szCs w:val="20"/>
          <w:highlight w:val="none"/>
        </w:rPr>
        <w:t>临漳县锦江新城龙福苑11号楼1103号，</w:t>
      </w:r>
      <w:r>
        <w:rPr>
          <w:rFonts w:hint="eastAsia" w:ascii="仿宋_GB2312" w:eastAsia="仿宋_GB2312"/>
          <w:color w:val="auto"/>
          <w:sz w:val="28"/>
          <w:szCs w:val="20"/>
          <w:highlight w:val="none"/>
        </w:rPr>
        <w:t>估价对象用途为</w:t>
      </w:r>
      <w:r>
        <w:rPr>
          <w:rFonts w:hint="eastAsia" w:ascii="仿宋_GB2312" w:eastAsia="仿宋_GB2312"/>
          <w:color w:val="auto"/>
          <w:sz w:val="28"/>
          <w:szCs w:val="20"/>
          <w:highlight w:val="none"/>
        </w:rPr>
        <w:t>住宅</w:t>
      </w:r>
      <w:r>
        <w:rPr>
          <w:rFonts w:hint="eastAsia" w:ascii="仿宋_GB2312" w:eastAsia="仿宋_GB2312"/>
          <w:color w:val="auto"/>
          <w:sz w:val="28"/>
          <w:szCs w:val="20"/>
          <w:highlight w:val="none"/>
        </w:rPr>
        <w:t>，总建筑面积为103.36</w:t>
      </w:r>
      <w:r>
        <w:rPr>
          <w:rFonts w:hint="eastAsia" w:ascii="仿宋_GB2312" w:eastAsia="仿宋_GB2312"/>
          <w:color w:val="auto"/>
          <w:sz w:val="28"/>
          <w:szCs w:val="20"/>
          <w:highlight w:val="none"/>
        </w:rPr>
        <w:t>平方米</w:t>
      </w:r>
      <w:r>
        <w:rPr>
          <w:rFonts w:hint="eastAsia" w:ascii="仿宋_GB2312" w:eastAsia="仿宋_GB2312"/>
          <w:color w:val="auto"/>
          <w:sz w:val="28"/>
          <w:szCs w:val="20"/>
          <w:highlight w:val="none"/>
        </w:rPr>
        <w:t>，</w:t>
      </w:r>
      <w:r>
        <w:rPr>
          <w:rFonts w:hint="eastAsia" w:ascii="仿宋_GB2312" w:eastAsia="仿宋_GB2312"/>
          <w:bCs/>
          <w:color w:val="auto"/>
          <w:sz w:val="28"/>
          <w:szCs w:val="20"/>
          <w:highlight w:val="none"/>
        </w:rPr>
        <w:t>本次估价对象为</w:t>
      </w:r>
      <w:r>
        <w:rPr>
          <w:rFonts w:hint="eastAsia" w:ascii="仿宋_GB2312" w:eastAsia="仿宋_GB2312"/>
          <w:bCs/>
          <w:color w:val="auto"/>
          <w:sz w:val="28"/>
          <w:szCs w:val="20"/>
          <w:highlight w:val="none"/>
        </w:rPr>
        <w:t>房地产，</w:t>
      </w:r>
      <w:r>
        <w:rPr>
          <w:rFonts w:hint="eastAsia" w:ascii="仿宋_GB2312" w:eastAsia="仿宋_GB2312"/>
          <w:bCs/>
          <w:color w:val="auto"/>
          <w:sz w:val="28"/>
          <w:szCs w:val="20"/>
          <w:highlight w:val="none"/>
        </w:rPr>
        <w:t>估价目的是</w:t>
      </w:r>
      <w:r>
        <w:rPr>
          <w:rFonts w:hint="eastAsia" w:ascii="仿宋_GB2312" w:eastAsia="仿宋_GB2312"/>
          <w:bCs/>
          <w:color w:val="auto"/>
          <w:sz w:val="28"/>
          <w:szCs w:val="20"/>
          <w:highlight w:val="none"/>
        </w:rPr>
        <w:t>为河北省临漳县人民</w:t>
      </w:r>
      <w:r>
        <w:rPr>
          <w:rFonts w:hint="eastAsia" w:ascii="仿宋_GB2312" w:eastAsia="仿宋_GB2312"/>
          <w:bCs/>
          <w:color w:val="auto"/>
          <w:sz w:val="28"/>
          <w:szCs w:val="20"/>
          <w:highlight w:val="none"/>
        </w:rPr>
        <w:t>法院</w:t>
      </w:r>
      <w:r>
        <w:rPr>
          <w:rFonts w:hint="eastAsia" w:ascii="仿宋_GB2312" w:eastAsia="仿宋_GB2312"/>
          <w:color w:val="auto"/>
          <w:sz w:val="28"/>
          <w:szCs w:val="20"/>
          <w:highlight w:val="none"/>
        </w:rPr>
        <w:t>确定财产处置参考价提供参考依据。</w:t>
      </w:r>
    </w:p>
    <w:p>
      <w:pPr>
        <w:wordWrap w:val="0"/>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bCs/>
          <w:color w:val="auto"/>
          <w:sz w:val="28"/>
          <w:szCs w:val="20"/>
          <w:highlight w:val="none"/>
        </w:rPr>
        <w:t>估价人员遵循估价原则，按照估价程序，</w:t>
      </w:r>
      <w:r>
        <w:rPr>
          <w:rFonts w:hint="eastAsia" w:ascii="仿宋_GB2312" w:eastAsia="仿宋_GB2312"/>
          <w:color w:val="auto"/>
          <w:sz w:val="28"/>
          <w:highlight w:val="none"/>
        </w:rPr>
        <w:t>采用适宜的估价方法，</w:t>
      </w:r>
      <w:r>
        <w:rPr>
          <w:rFonts w:hint="eastAsia" w:ascii="仿宋_GB2312" w:eastAsia="仿宋_GB2312"/>
          <w:bCs/>
          <w:color w:val="auto"/>
          <w:sz w:val="28"/>
          <w:szCs w:val="20"/>
          <w:highlight w:val="none"/>
        </w:rPr>
        <w:t>通过科学的测算，</w:t>
      </w:r>
      <w:r>
        <w:rPr>
          <w:rFonts w:hint="eastAsia" w:ascii="仿宋_GB2312" w:eastAsia="仿宋_GB2312"/>
          <w:color w:val="auto"/>
          <w:sz w:val="28"/>
          <w:szCs w:val="20"/>
          <w:highlight w:val="none"/>
        </w:rPr>
        <w:t>确定估价对象于价值时点</w:t>
      </w:r>
      <w:r>
        <w:rPr>
          <w:rFonts w:hint="eastAsia" w:ascii="仿宋_GB2312" w:eastAsia="仿宋_GB2312"/>
          <w:color w:val="auto"/>
          <w:sz w:val="28"/>
          <w:szCs w:val="20"/>
          <w:highlight w:val="none"/>
        </w:rPr>
        <w:t>2021年11月4日</w:t>
      </w:r>
      <w:r>
        <w:rPr>
          <w:rFonts w:hint="eastAsia" w:ascii="仿宋_GB2312" w:eastAsia="仿宋_GB2312"/>
          <w:color w:val="auto"/>
          <w:sz w:val="28"/>
          <w:szCs w:val="20"/>
          <w:highlight w:val="none"/>
        </w:rPr>
        <w:t>的评估结果</w:t>
      </w:r>
      <w:r>
        <w:rPr>
          <w:rFonts w:hint="eastAsia" w:ascii="仿宋_GB2312" w:eastAsia="仿宋_GB2312"/>
          <w:bCs/>
          <w:color w:val="auto"/>
          <w:sz w:val="28"/>
          <w:szCs w:val="20"/>
          <w:highlight w:val="none"/>
        </w:rPr>
        <w:t>如下：</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总建筑面积为103.36</w:t>
      </w:r>
      <w:r>
        <w:rPr>
          <w:rFonts w:hint="eastAsia" w:ascii="仿宋_GB2312" w:eastAsia="仿宋_GB2312"/>
          <w:color w:val="auto"/>
          <w:sz w:val="28"/>
          <w:szCs w:val="20"/>
          <w:highlight w:val="none"/>
        </w:rPr>
        <w:t>平方米</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房地产总价值为</w:t>
      </w:r>
      <w:r>
        <w:rPr>
          <w:rFonts w:hint="eastAsia" w:ascii="仿宋_GB2312" w:eastAsia="仿宋_GB2312"/>
          <w:color w:val="auto"/>
          <w:sz w:val="28"/>
          <w:szCs w:val="20"/>
          <w:highlight w:val="none"/>
        </w:rPr>
        <w:t>635767元</w:t>
      </w:r>
    </w:p>
    <w:p>
      <w:pPr>
        <w:adjustRightInd w:val="0"/>
        <w:snapToGrid w:val="0"/>
        <w:spacing w:line="480" w:lineRule="exact"/>
        <w:ind w:firstLine="560" w:firstLineChars="200"/>
        <w:rPr>
          <w:rFonts w:eastAsia="仿宋_GB2312"/>
          <w:color w:val="auto"/>
          <w:sz w:val="28"/>
          <w:highlight w:val="none"/>
        </w:rPr>
      </w:pPr>
      <w:r>
        <w:rPr>
          <w:rFonts w:hint="eastAsia" w:ascii="仿宋_GB2312" w:eastAsia="仿宋_GB2312"/>
          <w:color w:val="auto"/>
          <w:sz w:val="28"/>
          <w:szCs w:val="20"/>
          <w:highlight w:val="none"/>
        </w:rPr>
        <w:t>人民币大写</w:t>
      </w:r>
      <w:r>
        <w:rPr>
          <w:rFonts w:hint="eastAsia" w:ascii="仿宋_GB2312" w:eastAsia="仿宋_GB2312"/>
          <w:color w:val="auto"/>
          <w:sz w:val="28"/>
          <w:szCs w:val="20"/>
          <w:highlight w:val="none"/>
        </w:rPr>
        <w:t>：</w:t>
      </w:r>
      <w:r>
        <w:rPr>
          <w:rFonts w:hint="eastAsia" w:ascii="仿宋_GB2312" w:hAnsi="??" w:eastAsia="仿宋_GB2312"/>
          <w:color w:val="auto"/>
          <w:sz w:val="28"/>
          <w:szCs w:val="28"/>
          <w:highlight w:val="none"/>
        </w:rPr>
        <w:t>陆拾叁万伍仟柒佰陆拾柒</w:t>
      </w:r>
      <w:r>
        <w:rPr>
          <w:rFonts w:hint="eastAsia" w:ascii="仿宋_GB2312" w:eastAsia="仿宋_GB2312"/>
          <w:color w:val="auto"/>
          <w:sz w:val="28"/>
          <w:szCs w:val="20"/>
          <w:highlight w:val="none"/>
        </w:rPr>
        <w:t>元整（总价取整至元）</w:t>
      </w:r>
    </w:p>
    <w:p>
      <w:pPr>
        <w:adjustRightInd w:val="0"/>
        <w:snapToGrid w:val="0"/>
        <w:spacing w:line="480" w:lineRule="exact"/>
        <w:ind w:firstLine="560" w:firstLineChars="200"/>
        <w:rPr>
          <w:rFonts w:eastAsia="仿宋_GB2312"/>
          <w:color w:val="auto"/>
          <w:sz w:val="28"/>
          <w:highlight w:val="none"/>
        </w:rPr>
      </w:pPr>
      <w:r>
        <w:rPr>
          <w:rFonts w:hint="eastAsia" w:eastAsia="仿宋_GB2312"/>
          <w:color w:val="auto"/>
          <w:sz w:val="28"/>
          <w:highlight w:val="none"/>
        </w:rPr>
        <w:t>报告使用人在使用本报告之前须对报告全文，特别是“估价的假设和限制条件”认真阅读，以免使用不当，造成损失。</w:t>
      </w:r>
    </w:p>
    <w:p>
      <w:pPr>
        <w:adjustRightInd w:val="0"/>
        <w:snapToGrid w:val="0"/>
        <w:spacing w:line="480" w:lineRule="exact"/>
        <w:ind w:firstLine="560" w:firstLineChars="200"/>
        <w:rPr>
          <w:rFonts w:eastAsia="仿宋_GB2312"/>
          <w:color w:val="auto"/>
          <w:sz w:val="28"/>
          <w:highlight w:val="none"/>
        </w:rPr>
      </w:pPr>
      <w:r>
        <w:rPr>
          <w:rFonts w:hint="eastAsia" w:eastAsia="仿宋_GB2312"/>
          <w:color w:val="auto"/>
          <w:sz w:val="28"/>
          <w:highlight w:val="none"/>
        </w:rPr>
        <w:t>特此函告。</w:t>
      </w:r>
    </w:p>
    <w:p>
      <w:pPr>
        <w:pStyle w:val="4"/>
        <w:adjustRightInd w:val="0"/>
        <w:snapToGrid w:val="0"/>
        <w:spacing w:line="480" w:lineRule="exact"/>
        <w:jc w:val="right"/>
        <w:outlineLvl w:val="0"/>
        <w:rPr>
          <w:rFonts w:eastAsia="仿宋_GB2312"/>
          <w:color w:val="auto"/>
          <w:spacing w:val="8"/>
          <w:sz w:val="28"/>
          <w:highlight w:val="none"/>
        </w:rPr>
      </w:pPr>
      <w:r>
        <w:rPr>
          <w:rFonts w:eastAsia="仿宋_GB2312"/>
          <w:color w:val="auto"/>
          <w:spacing w:val="8"/>
          <w:sz w:val="28"/>
          <w:highlight w:val="none"/>
        </w:rPr>
        <w:t>河北新世纪房地产评估经纪有限公司</w:t>
      </w:r>
    </w:p>
    <w:p>
      <w:pPr>
        <w:adjustRightInd w:val="0"/>
        <w:snapToGrid w:val="0"/>
        <w:spacing w:line="480" w:lineRule="exact"/>
        <w:ind w:firstLine="4292" w:firstLineChars="1450"/>
        <w:rPr>
          <w:rFonts w:eastAsia="仿宋_GB2312"/>
          <w:color w:val="auto"/>
          <w:spacing w:val="8"/>
          <w:sz w:val="28"/>
          <w:szCs w:val="20"/>
          <w:highlight w:val="none"/>
        </w:rPr>
      </w:pPr>
    </w:p>
    <w:p>
      <w:pPr>
        <w:adjustRightInd w:val="0"/>
        <w:snapToGrid w:val="0"/>
        <w:spacing w:line="480" w:lineRule="exact"/>
        <w:ind w:firstLine="4292" w:firstLineChars="1450"/>
        <w:rPr>
          <w:rFonts w:ascii="仿宋_GB2312" w:eastAsia="仿宋_GB2312"/>
          <w:color w:val="auto"/>
          <w:spacing w:val="8"/>
          <w:sz w:val="28"/>
          <w:szCs w:val="20"/>
          <w:highlight w:val="none"/>
        </w:rPr>
      </w:pPr>
      <w:r>
        <w:rPr>
          <w:rFonts w:hint="eastAsia" w:eastAsia="仿宋_GB2312"/>
          <w:color w:val="auto"/>
          <w:spacing w:val="8"/>
          <w:sz w:val="28"/>
          <w:szCs w:val="20"/>
          <w:highlight w:val="none"/>
        </w:rPr>
        <w:t>法定</w:t>
      </w:r>
      <w:r>
        <w:rPr>
          <w:rFonts w:hint="eastAsia" w:ascii="仿宋_GB2312" w:eastAsia="仿宋_GB2312"/>
          <w:color w:val="auto"/>
          <w:spacing w:val="8"/>
          <w:sz w:val="28"/>
          <w:szCs w:val="20"/>
          <w:highlight w:val="none"/>
        </w:rPr>
        <w:t>代表人:</w:t>
      </w:r>
    </w:p>
    <w:p>
      <w:pPr>
        <w:adjustRightInd w:val="0"/>
        <w:snapToGrid w:val="0"/>
        <w:spacing w:line="480" w:lineRule="exact"/>
        <w:ind w:firstLine="4292" w:firstLineChars="1450"/>
        <w:rPr>
          <w:rFonts w:ascii="仿宋_GB2312" w:eastAsia="仿宋_GB2312"/>
          <w:color w:val="auto"/>
          <w:spacing w:val="8"/>
          <w:sz w:val="28"/>
          <w:szCs w:val="20"/>
          <w:highlight w:val="none"/>
        </w:rPr>
      </w:pPr>
    </w:p>
    <w:p>
      <w:pPr>
        <w:adjustRightInd w:val="0"/>
        <w:snapToGrid w:val="0"/>
        <w:spacing w:line="480" w:lineRule="exact"/>
        <w:ind w:firstLine="420" w:firstLineChars="200"/>
        <w:jc w:val="right"/>
        <w:rPr>
          <w:rFonts w:ascii="仿宋_GB2312" w:eastAsia="仿宋_GB2312"/>
          <w:b/>
          <w:color w:val="auto"/>
          <w:spacing w:val="6"/>
          <w:sz w:val="28"/>
          <w:szCs w:val="28"/>
          <w:highlight w:val="none"/>
        </w:rPr>
      </w:pPr>
      <w:r>
        <w:rPr>
          <w:color w:val="auto"/>
          <w:highlight w:val="none"/>
        </w:rPr>
        <w:t xml:space="preserve">                   </w:t>
      </w:r>
      <w:r>
        <w:rPr>
          <w:rFonts w:hint="eastAsia"/>
          <w:color w:val="auto"/>
          <w:highlight w:val="none"/>
        </w:rPr>
        <w:t xml:space="preserve">                  </w:t>
      </w:r>
      <w:r>
        <w:rPr>
          <w:rFonts w:hint="eastAsia" w:ascii="仿宋_GB2312" w:eastAsia="仿宋_GB2312"/>
          <w:color w:val="auto"/>
          <w:sz w:val="28"/>
          <w:szCs w:val="28"/>
          <w:highlight w:val="none"/>
        </w:rPr>
        <w:t>二〇二一年十二月二十三日</w:t>
      </w:r>
    </w:p>
    <w:p>
      <w:pPr>
        <w:spacing w:line="360" w:lineRule="auto"/>
        <w:jc w:val="center"/>
        <w:rPr>
          <w:b/>
          <w:color w:val="auto"/>
          <w:spacing w:val="40"/>
          <w:sz w:val="32"/>
          <w:highlight w:val="none"/>
        </w:rPr>
      </w:pPr>
      <w:r>
        <w:rPr>
          <w:b/>
          <w:color w:val="auto"/>
          <w:spacing w:val="40"/>
          <w:sz w:val="32"/>
          <w:highlight w:val="none"/>
        </w:rPr>
        <w:br w:type="page"/>
      </w:r>
      <w:r>
        <w:rPr>
          <w:b/>
          <w:color w:val="auto"/>
          <w:spacing w:val="40"/>
          <w:sz w:val="32"/>
          <w:highlight w:val="none"/>
        </w:rPr>
        <w:t>估价师声明</w:t>
      </w:r>
    </w:p>
    <w:p>
      <w:pPr>
        <w:adjustRightInd w:val="0"/>
        <w:snapToGrid w:val="0"/>
        <w:spacing w:line="480" w:lineRule="exact"/>
        <w:rPr>
          <w:rFonts w:ascii="仿宋_GB2312" w:eastAsia="仿宋_GB2312"/>
          <w:color w:val="auto"/>
          <w:sz w:val="28"/>
          <w:szCs w:val="20"/>
          <w:highlight w:val="none"/>
        </w:rPr>
      </w:pPr>
      <w:r>
        <w:rPr>
          <w:rFonts w:ascii="仿宋_GB2312" w:eastAsia="仿宋_GB2312"/>
          <w:color w:val="auto"/>
          <w:sz w:val="28"/>
          <w:szCs w:val="20"/>
          <w:highlight w:val="none"/>
        </w:rPr>
        <w:t>我们郑重声明：</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1、我们在本报告中陈述的事实是真实的和准确的</w:t>
      </w:r>
      <w:r>
        <w:rPr>
          <w:rFonts w:hint="eastAsia" w:ascii="仿宋_GB2312" w:eastAsia="仿宋_GB2312"/>
          <w:color w:val="auto"/>
          <w:sz w:val="28"/>
          <w:szCs w:val="20"/>
          <w:highlight w:val="none"/>
        </w:rPr>
        <w:t>。</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2、</w:t>
      </w:r>
      <w:r>
        <w:rPr>
          <w:rFonts w:ascii="仿宋_GB2312" w:eastAsia="仿宋_GB2312"/>
          <w:color w:val="auto"/>
          <w:sz w:val="28"/>
          <w:szCs w:val="20"/>
          <w:highlight w:val="none"/>
        </w:rPr>
        <w:t>本估价报告中的分析、意见和结论是我们自己公正的专业分析、意见和结论，但受到本估价报告中说明的假设和限制条件的限制</w:t>
      </w:r>
      <w:r>
        <w:rPr>
          <w:rFonts w:hint="eastAsia" w:ascii="仿宋_GB2312" w:eastAsia="仿宋_GB2312"/>
          <w:color w:val="auto"/>
          <w:sz w:val="28"/>
          <w:szCs w:val="20"/>
          <w:highlight w:val="none"/>
        </w:rPr>
        <w:t>。</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3</w:t>
      </w:r>
      <w:r>
        <w:rPr>
          <w:rFonts w:ascii="仿宋_GB2312" w:eastAsia="仿宋_GB2312"/>
          <w:color w:val="auto"/>
          <w:sz w:val="28"/>
          <w:szCs w:val="20"/>
          <w:highlight w:val="none"/>
        </w:rPr>
        <w:t>、我们与本估价报告中的估价对象没有利害关系，也与有关当事人没有个人利害关系或偏见</w:t>
      </w:r>
      <w:r>
        <w:rPr>
          <w:rFonts w:hint="eastAsia" w:ascii="仿宋_GB2312" w:eastAsia="仿宋_GB2312"/>
          <w:color w:val="auto"/>
          <w:sz w:val="28"/>
          <w:szCs w:val="20"/>
          <w:highlight w:val="none"/>
        </w:rPr>
        <w:t>。</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4</w:t>
      </w:r>
      <w:r>
        <w:rPr>
          <w:rFonts w:ascii="仿宋_GB2312" w:eastAsia="仿宋_GB2312"/>
          <w:color w:val="auto"/>
          <w:sz w:val="28"/>
          <w:szCs w:val="20"/>
          <w:highlight w:val="none"/>
        </w:rPr>
        <w:t>、我们依照中华人民共和国国家标准《房地产估价规范》GB/T50291-2015进行分析，形成意见和结论，撰写本估价报告。</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5</w:t>
      </w:r>
      <w:r>
        <w:rPr>
          <w:rFonts w:hint="eastAsia" w:ascii="仿宋_GB2312" w:eastAsia="仿宋_GB2312"/>
          <w:color w:val="auto"/>
          <w:sz w:val="28"/>
          <w:szCs w:val="20"/>
          <w:highlight w:val="none"/>
        </w:rPr>
        <w:t>、本报告估价结果仅作为委托方在本次估价目的下使用，不得做其他用途。未经本估价机构书面同意</w:t>
      </w:r>
      <w:r>
        <w:rPr>
          <w:rFonts w:ascii="仿宋_GB2312" w:eastAsia="仿宋_GB2312"/>
          <w:color w:val="auto"/>
          <w:sz w:val="28"/>
          <w:szCs w:val="20"/>
          <w:highlight w:val="none"/>
        </w:rPr>
        <w:t>,</w:t>
      </w:r>
      <w:r>
        <w:rPr>
          <w:rFonts w:hint="eastAsia" w:ascii="仿宋_GB2312" w:eastAsia="仿宋_GB2312"/>
          <w:color w:val="auto"/>
          <w:sz w:val="28"/>
          <w:szCs w:val="20"/>
          <w:highlight w:val="none"/>
        </w:rPr>
        <w:t>本报告的全部或任何一部分均不得向委托方、报告使用者、报告审查部门之外的单位和个人提供，也不得以任何形式公开发表。</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6</w:t>
      </w:r>
      <w:r>
        <w:rPr>
          <w:rFonts w:hint="eastAsia" w:ascii="仿宋_GB2312" w:eastAsia="仿宋_GB2312"/>
          <w:color w:val="auto"/>
          <w:sz w:val="28"/>
          <w:szCs w:val="20"/>
          <w:highlight w:val="none"/>
        </w:rPr>
        <w:t>、我们的估价人员已对本估价报告中的估价对象进行了实地勘查，并对勘查的客观性、真实性、公正性承担责任，但估价人员对估价对象的现场勘察仅限于其外观和使用状况</w:t>
      </w:r>
      <w:r>
        <w:rPr>
          <w:rFonts w:hint="eastAsia" w:ascii="Calibri" w:hAnsi="Calibri" w:eastAsia="仿宋_GB2312"/>
          <w:color w:val="auto"/>
          <w:sz w:val="28"/>
          <w:szCs w:val="20"/>
          <w:highlight w:val="none"/>
        </w:rPr>
        <w:t>。</w:t>
      </w:r>
      <w:r>
        <w:rPr>
          <w:rFonts w:hint="eastAsia" w:ascii="仿宋_GB2312" w:eastAsia="仿宋_GB2312"/>
          <w:color w:val="auto"/>
          <w:sz w:val="28"/>
          <w:highlight w:val="none"/>
        </w:rPr>
        <w:t>估价人员不承担对</w:t>
      </w:r>
      <w:r>
        <w:rPr>
          <w:rFonts w:hint="eastAsia" w:ascii="仿宋_GB2312" w:eastAsia="仿宋_GB2312"/>
          <w:color w:val="auto"/>
          <w:sz w:val="28"/>
          <w:szCs w:val="20"/>
          <w:highlight w:val="none"/>
        </w:rPr>
        <w:t>估价对象</w:t>
      </w:r>
      <w:r>
        <w:rPr>
          <w:rFonts w:hint="eastAsia" w:ascii="仿宋_GB2312" w:eastAsia="仿宋_GB2312"/>
          <w:color w:val="auto"/>
          <w:sz w:val="28"/>
          <w:highlight w:val="none"/>
        </w:rPr>
        <w:t>建筑结构、质量等状况进行调查的责任和其他被遮盖、未暴露及难于接触到部分进行检视的责任</w:t>
      </w:r>
      <w:r>
        <w:rPr>
          <w:rFonts w:hint="eastAsia" w:ascii="仿宋_GB2312" w:eastAsia="仿宋_GB2312"/>
          <w:color w:val="auto"/>
          <w:sz w:val="28"/>
          <w:szCs w:val="20"/>
          <w:highlight w:val="none"/>
        </w:rPr>
        <w:t>。</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7</w:t>
      </w:r>
      <w:r>
        <w:rPr>
          <w:rFonts w:hint="eastAsia" w:ascii="仿宋_GB2312" w:eastAsia="仿宋_GB2312"/>
          <w:color w:val="auto"/>
          <w:sz w:val="28"/>
          <w:szCs w:val="20"/>
          <w:highlight w:val="none"/>
        </w:rPr>
        <w:t>、本估价报告依据委托方提供的相关资料，委托方对其所提供资料的真实性、合法性、完整性负责。因资料失实造成的估价结果有误的，估价机构和估价人员不承担相应的责任。</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8</w:t>
      </w:r>
      <w:r>
        <w:rPr>
          <w:rFonts w:hint="eastAsia" w:ascii="仿宋_GB2312" w:eastAsia="仿宋_GB2312"/>
          <w:color w:val="auto"/>
          <w:sz w:val="28"/>
          <w:szCs w:val="20"/>
          <w:highlight w:val="none"/>
        </w:rPr>
        <w:t>、没有人对本估价报告提供重要专业帮助。</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9</w:t>
      </w:r>
      <w:r>
        <w:rPr>
          <w:rFonts w:ascii="仿宋_GB2312" w:eastAsia="仿宋_GB2312"/>
          <w:color w:val="auto"/>
          <w:sz w:val="28"/>
          <w:szCs w:val="20"/>
          <w:highlight w:val="none"/>
        </w:rPr>
        <w:t>、参加本次评估的注册房地产估价师</w:t>
      </w:r>
      <w:r>
        <w:rPr>
          <w:rFonts w:hint="eastAsia" w:ascii="仿宋_GB2312" w:eastAsia="仿宋_GB2312"/>
          <w:color w:val="auto"/>
          <w:sz w:val="28"/>
          <w:szCs w:val="20"/>
          <w:highlight w:val="none"/>
        </w:rPr>
        <w:t>签字</w:t>
      </w:r>
      <w:r>
        <w:rPr>
          <w:rFonts w:ascii="仿宋_GB2312" w:eastAsia="仿宋_GB2312"/>
          <w:color w:val="auto"/>
          <w:sz w:val="28"/>
          <w:szCs w:val="20"/>
          <w:highlight w:val="none"/>
        </w:rPr>
        <w:t>：</w:t>
      </w:r>
    </w:p>
    <w:tbl>
      <w:tblPr>
        <w:tblStyle w:val="9"/>
        <w:tblW w:w="8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1"/>
        <w:gridCol w:w="1559"/>
        <w:gridCol w:w="3118"/>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151"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eastAsia="仿宋_GB2312"/>
                <w:color w:val="auto"/>
                <w:sz w:val="28"/>
                <w:szCs w:val="28"/>
                <w:highlight w:val="none"/>
              </w:rPr>
              <w:t>姓  名</w:t>
            </w:r>
          </w:p>
        </w:tc>
        <w:tc>
          <w:tcPr>
            <w:tcW w:w="1559"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eastAsia="仿宋_GB2312"/>
                <w:color w:val="auto"/>
                <w:sz w:val="28"/>
                <w:szCs w:val="28"/>
                <w:highlight w:val="none"/>
              </w:rPr>
              <w:t>注册号</w:t>
            </w:r>
          </w:p>
        </w:tc>
        <w:tc>
          <w:tcPr>
            <w:tcW w:w="3118"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eastAsia="仿宋_GB2312"/>
                <w:color w:val="auto"/>
                <w:sz w:val="28"/>
                <w:szCs w:val="28"/>
                <w:highlight w:val="none"/>
              </w:rPr>
              <w:t>签  名</w:t>
            </w:r>
          </w:p>
        </w:tc>
        <w:tc>
          <w:tcPr>
            <w:tcW w:w="2514"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eastAsia="仿宋_GB2312"/>
                <w:color w:val="auto"/>
                <w:sz w:val="28"/>
                <w:szCs w:val="28"/>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1151"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董跃雷</w:t>
            </w:r>
          </w:p>
        </w:tc>
        <w:tc>
          <w:tcPr>
            <w:tcW w:w="1559"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1320140085</w:t>
            </w:r>
          </w:p>
        </w:tc>
        <w:tc>
          <w:tcPr>
            <w:tcW w:w="3118"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p>
        </w:tc>
        <w:tc>
          <w:tcPr>
            <w:tcW w:w="2514"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2021年12月23日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1151"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付  媛</w:t>
            </w:r>
          </w:p>
        </w:tc>
        <w:tc>
          <w:tcPr>
            <w:tcW w:w="1559"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ascii="仿宋_GB2312" w:hAnsi="宋体" w:eastAsia="仿宋_GB2312" w:cs="宋体"/>
                <w:color w:val="auto"/>
                <w:sz w:val="28"/>
                <w:szCs w:val="28"/>
                <w:highlight w:val="none"/>
              </w:rPr>
              <w:t>1320100039</w:t>
            </w:r>
          </w:p>
        </w:tc>
        <w:tc>
          <w:tcPr>
            <w:tcW w:w="3118"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p>
        </w:tc>
        <w:tc>
          <w:tcPr>
            <w:tcW w:w="2514"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2021年12月23日</w:t>
            </w:r>
          </w:p>
        </w:tc>
      </w:tr>
    </w:tbl>
    <w:p>
      <w:pPr>
        <w:spacing w:line="360" w:lineRule="auto"/>
        <w:jc w:val="center"/>
        <w:rPr>
          <w:b/>
          <w:color w:val="auto"/>
          <w:spacing w:val="40"/>
          <w:sz w:val="32"/>
          <w:highlight w:val="none"/>
        </w:rPr>
      </w:pPr>
      <w:r>
        <w:rPr>
          <w:rFonts w:ascii="仿宋_GB2312" w:eastAsia="仿宋_GB2312"/>
          <w:color w:val="auto"/>
          <w:sz w:val="28"/>
          <w:szCs w:val="20"/>
          <w:highlight w:val="none"/>
        </w:rPr>
        <w:br w:type="page"/>
      </w:r>
      <w:r>
        <w:rPr>
          <w:b/>
          <w:color w:val="auto"/>
          <w:spacing w:val="40"/>
          <w:sz w:val="32"/>
          <w:highlight w:val="none"/>
        </w:rPr>
        <w:t>估价的假设和限制条件</w:t>
      </w:r>
    </w:p>
    <w:p>
      <w:pPr>
        <w:spacing w:line="480" w:lineRule="exact"/>
        <w:jc w:val="left"/>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（一）一般假设</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1、本报告提出的估价结果，是假设估价对象按照委托方提供的房地产合法用途持续使用、产权完整合法为前提。 </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估价对象在价值时点的房地产市场为公开、平等、自愿的交易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 </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本估价报告依据委托方提供的相关资料，评估设定委托方提供的情况和资料是真实、合法、完整的，估价对象权属无纠纷。估价人员对估价所依据的估价委托人提供的估价对象权属、面积、用途等资料进行了审慎检查和尽职调查，</w:t>
      </w:r>
      <w:r>
        <w:rPr>
          <w:rFonts w:hint="eastAsia" w:ascii="仿宋_GB2312" w:hAnsi="仿宋_GB2312" w:eastAsia="仿宋_GB2312" w:cs="仿宋_GB2312"/>
          <w:color w:val="auto"/>
          <w:sz w:val="28"/>
          <w:szCs w:val="28"/>
          <w:highlight w:val="none"/>
        </w:rPr>
        <w:t>估价对象房屋建筑面积以</w:t>
      </w:r>
      <w:r>
        <w:rPr>
          <w:rFonts w:hint="eastAsia" w:ascii="仿宋_GB2312" w:eastAsia="仿宋_GB2312"/>
          <w:color w:val="auto"/>
          <w:sz w:val="28"/>
          <w:szCs w:val="20"/>
          <w:highlight w:val="none"/>
        </w:rPr>
        <w:t>购房协议书</w:t>
      </w:r>
      <w:r>
        <w:rPr>
          <w:rFonts w:hint="eastAsia" w:ascii="仿宋_GB2312" w:hAnsi="仿宋_GB2312" w:eastAsia="仿宋_GB2312" w:cs="仿宋_GB2312"/>
          <w:color w:val="auto"/>
          <w:sz w:val="28"/>
          <w:szCs w:val="28"/>
          <w:highlight w:val="none"/>
        </w:rPr>
        <w:t>记载建筑面积为准，我们未向政府有关部门进行核实，在无理由怀疑其合法性、真实性、准确性和完整性情况下</w:t>
      </w:r>
      <w:r>
        <w:rPr>
          <w:rFonts w:hint="eastAsia" w:ascii="仿宋_GB2312" w:hAnsi="仿宋_GB2312" w:eastAsia="仿宋_GB2312" w:cs="仿宋_GB2312"/>
          <w:color w:val="auto"/>
          <w:sz w:val="28"/>
          <w:szCs w:val="28"/>
          <w:highlight w:val="none"/>
        </w:rPr>
        <w:t>，本报告以估价委托人提供的资料是合法、真实、准确和完整的为假设前提。若上述情况发生变化，需调整估价结果乃至重新估价。  </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价值时点假设，即要求估价结果是估价对象于价值时点当时的房地产市场状况、建筑材料、人工、机械费用下形成的客观合理价值，从价值时点起至估价结果有效期结束时止，设定估价对象房屋状况和房地产市场情形是基本稳定的。 </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w:t>
      </w:r>
      <w:r>
        <w:rPr>
          <w:rFonts w:hint="eastAsia" w:ascii="仿宋_GB2312" w:hAnsi="仿宋_GB2312" w:eastAsia="仿宋_GB2312" w:cs="仿宋_GB2312"/>
          <w:color w:val="auto"/>
          <w:sz w:val="28"/>
          <w:szCs w:val="28"/>
          <w:highlight w:val="none"/>
        </w:rPr>
        <w:t>本报告估价对象的公共配套设施及人流、物流交通均与整体物业为不可分割的一体，因此本次估价是以估价对象可享有合理的公共配套设施及内部交通的使用权益为前提。估价结果包含与房地产不可分割的满足其使用功能配套相关辅助设施等。</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（二）未定事项假设</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1、我们对估价对象的实地查勘仅限于其外观和使用状况，对被遮盖、未暴露及难以接触到的部分，设定估价对象不存在建筑物隐蔽性质量问题和地基质量问题。 </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2、本报告出具的评估价值是为</w:t>
      </w:r>
      <w:r>
        <w:rPr>
          <w:rFonts w:hint="eastAsia" w:ascii="仿宋_GB2312" w:eastAsia="仿宋_GB2312"/>
          <w:bCs/>
          <w:color w:val="auto"/>
          <w:sz w:val="28"/>
          <w:szCs w:val="20"/>
          <w:highlight w:val="none"/>
        </w:rPr>
        <w:t>河北省临漳县人民</w:t>
      </w:r>
      <w:r>
        <w:rPr>
          <w:rFonts w:hint="eastAsia" w:ascii="仿宋_GB2312" w:eastAsia="仿宋_GB2312"/>
          <w:bCs/>
          <w:color w:val="auto"/>
          <w:sz w:val="28"/>
          <w:szCs w:val="20"/>
          <w:highlight w:val="none"/>
        </w:rPr>
        <w:t>法院</w:t>
      </w:r>
      <w:r>
        <w:rPr>
          <w:rFonts w:hint="eastAsia" w:ascii="仿宋_GB2312" w:hAnsi="仿宋_GB2312" w:eastAsia="仿宋_GB2312" w:cs="仿宋_GB2312"/>
          <w:color w:val="auto"/>
          <w:sz w:val="28"/>
          <w:szCs w:val="28"/>
          <w:highlight w:val="none"/>
        </w:rPr>
        <w:t>在</w:t>
      </w:r>
      <w:r>
        <w:rPr>
          <w:rFonts w:hint="eastAsia" w:ascii="仿宋_GB2312" w:eastAsia="仿宋_GB2312"/>
          <w:bCs/>
          <w:color w:val="auto"/>
          <w:sz w:val="28"/>
          <w:szCs w:val="20"/>
          <w:highlight w:val="none"/>
        </w:rPr>
        <w:t>受理的李青海与刘红燕、王志强民间借贷纠纷</w:t>
      </w:r>
      <w:r>
        <w:rPr>
          <w:rFonts w:hint="eastAsia" w:ascii="仿宋_GB2312" w:eastAsia="仿宋_GB2312"/>
          <w:bCs/>
          <w:color w:val="auto"/>
          <w:sz w:val="28"/>
          <w:szCs w:val="20"/>
          <w:highlight w:val="none"/>
        </w:rPr>
        <w:t>一案</w:t>
      </w:r>
      <w:r>
        <w:rPr>
          <w:rFonts w:hint="eastAsia" w:ascii="仿宋_GB2312" w:hAnsi="仿宋_GB2312" w:eastAsia="仿宋_GB2312" w:cs="仿宋_GB2312"/>
          <w:color w:val="auto"/>
          <w:sz w:val="28"/>
          <w:szCs w:val="28"/>
          <w:highlight w:val="none"/>
        </w:rPr>
        <w:t>中对涉及的估价对象</w:t>
      </w:r>
      <w:r>
        <w:rPr>
          <w:rFonts w:hint="eastAsia" w:ascii="仿宋_GB2312" w:eastAsia="仿宋_GB2312"/>
          <w:color w:val="auto"/>
          <w:sz w:val="28"/>
          <w:szCs w:val="20"/>
          <w:highlight w:val="none"/>
        </w:rPr>
        <w:t>确定财产处置参考价提供参考依据</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若至价值时点止，原产权人尚有任何有关估价对象的应缴未缴税费，应按照规定缴纳或从评估价值中相应扣减。 </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估价时没有考虑国家宏观经济政策发生变化、市场供应关系变化、市场结构转变、遇有自然力和其他不可抗力等因素对房地产价值的影响，也没有考虑估价对象将来可能承担违约责任的事宜，以及特殊交易方式下的特殊交易价格等对评估价值的影响。</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4、本次估价对象由委托方委托有关人员现场指认，若与实际不符，应重新估价。 </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（三）背离事实假设</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估价结果未考虑估价对象及其运营企业已承担的债务、或有债务及经营决策失误或市场运作失当对其价值的影响，亦未考</w:t>
      </w:r>
      <w:r>
        <w:rPr>
          <w:rFonts w:ascii="仿宋_GB2312" w:hAnsi="仿宋_GB2312" w:eastAsia="仿宋_GB2312" w:cs="仿宋_GB2312"/>
          <w:color w:val="auto"/>
          <w:sz w:val="28"/>
          <w:szCs w:val="28"/>
          <w:highlight w:val="none"/>
        </w:rPr>
        <w:t>虑</w:t>
      </w:r>
      <w:r>
        <w:rPr>
          <w:rFonts w:hint="eastAsia" w:ascii="仿宋_GB2312" w:hAnsi="仿宋_GB2312" w:eastAsia="仿宋_GB2312" w:cs="仿宋_GB2312"/>
          <w:color w:val="auto"/>
          <w:sz w:val="28"/>
          <w:szCs w:val="28"/>
          <w:highlight w:val="none"/>
        </w:rPr>
        <w:t>估价对象</w:t>
      </w:r>
      <w:r>
        <w:rPr>
          <w:rFonts w:ascii="仿宋_GB2312" w:hAnsi="仿宋_GB2312" w:eastAsia="仿宋_GB2312" w:cs="仿宋_GB2312"/>
          <w:color w:val="auto"/>
          <w:sz w:val="28"/>
          <w:szCs w:val="28"/>
          <w:highlight w:val="none"/>
        </w:rPr>
        <w:t>原有的担保物权、其他优先受偿权及查封因素</w:t>
      </w:r>
      <w:r>
        <w:rPr>
          <w:rFonts w:hint="eastAsia" w:ascii="仿宋_GB2312" w:hAnsi="仿宋_GB2312" w:eastAsia="仿宋_GB2312" w:cs="仿宋_GB2312"/>
          <w:color w:val="auto"/>
          <w:sz w:val="28"/>
          <w:szCs w:val="28"/>
          <w:highlight w:val="none"/>
        </w:rPr>
        <w:t>对其价值的影响。</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（四）不相一致假设</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无</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（五）依据不足假设</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本次评估未取得估价对象相关产权证明，仅以委托方提供的《购房协议书》</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商品房预售许可证</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为依据评估，如与相关部门登记不符，应考虑重新评估。</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（六）估价报告使用限制</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1、本报告仅用于贵院在</w:t>
      </w:r>
      <w:r>
        <w:rPr>
          <w:rFonts w:hint="eastAsia" w:ascii="仿宋_GB2312" w:hAnsi="仿宋_GB2312" w:eastAsia="仿宋_GB2312" w:cs="仿宋_GB2312"/>
          <w:color w:val="auto"/>
          <w:sz w:val="28"/>
          <w:szCs w:val="28"/>
          <w:highlight w:val="none"/>
        </w:rPr>
        <w:t>受理的李青海与刘红燕、王志强民间借贷纠纷一案中</w:t>
      </w:r>
      <w:r>
        <w:rPr>
          <w:rFonts w:hint="eastAsia" w:ascii="仿宋_GB2312" w:hAnsi="仿宋_GB2312" w:eastAsia="仿宋_GB2312" w:cs="仿宋_GB2312"/>
          <w:color w:val="auto"/>
          <w:sz w:val="28"/>
          <w:szCs w:val="28"/>
          <w:highlight w:val="none"/>
        </w:rPr>
        <w:t>对涉及的估价对象提供价值鉴定意见，不得用于其它用途。</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rPr>
        <w:t>本估价结果包括房屋和占用范围内的土地使用权的价值。该土地的使用权若与房屋分割处置，本估价结果无效。</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3、估价结果为房地产市场价值，</w:t>
      </w:r>
      <w:r>
        <w:rPr>
          <w:rFonts w:hint="eastAsia" w:ascii="仿宋_GB2312" w:hAnsi="仿宋_GB2312" w:eastAsia="仿宋_GB2312" w:cs="仿宋_GB2312"/>
          <w:color w:val="auto"/>
          <w:sz w:val="28"/>
          <w:szCs w:val="28"/>
          <w:highlight w:val="none"/>
        </w:rPr>
        <w:t>未考虑快速变现</w:t>
      </w:r>
      <w:r>
        <w:rPr>
          <w:rFonts w:hint="eastAsia" w:ascii="仿宋_GB2312" w:hAnsi="仿宋_GB2312" w:eastAsia="仿宋_GB2312" w:cs="仿宋_GB2312"/>
          <w:color w:val="auto"/>
          <w:sz w:val="28"/>
          <w:szCs w:val="28"/>
          <w:highlight w:val="none"/>
        </w:rPr>
        <w:t>等处分方式带来的影响。</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highlight w:val="none"/>
        </w:rPr>
        <w:t>4、本估价报告自出具之日起壹年内有效。但价值时点后，在报告有效期内估价对象的质量及价格标准发生变化，并对估价对象价值产生明显影响时，不能直接使用本估价结果；超过一年，需重新进行估价。</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5、本报告由河北新世纪房地产评估经纪有限公司负责解释。</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6、本报告必须经估价机构加盖公章、注册房地产估价师签字后方可使用，估价机构仅对本报告的原件承担责任，对任何形式的复制件概不认可且不承担责任。</w:t>
      </w:r>
    </w:p>
    <w:p>
      <w:pPr>
        <w:spacing w:line="48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（七）特殊说明</w:t>
      </w:r>
    </w:p>
    <w:p>
      <w:pPr>
        <w:adjustRightInd w:val="0"/>
        <w:snapToGrid w:val="0"/>
        <w:spacing w:line="480" w:lineRule="exact"/>
        <w:ind w:firstLine="560" w:firstLineChars="200"/>
        <w:jc w:val="left"/>
        <w:rPr>
          <w:rFonts w:ascii="仿宋_GB2312" w:eastAsia="仿宋_GB2312"/>
          <w:color w:val="auto"/>
          <w:sz w:val="28"/>
          <w:szCs w:val="20"/>
          <w:highlight w:val="none"/>
        </w:rPr>
      </w:pPr>
      <w:r>
        <w:rPr>
          <w:rFonts w:hint="eastAsia" w:ascii="仿宋_GB2312" w:eastAsia="仿宋_GB2312"/>
          <w:color w:val="auto"/>
          <w:sz w:val="28"/>
          <w:szCs w:val="20"/>
          <w:highlight w:val="none"/>
        </w:rPr>
        <w:t>相关各方收到估价报告后如有异议，请于收到之日起5日内以书面形式</w:t>
      </w:r>
      <w:r>
        <w:rPr>
          <w:rFonts w:hint="eastAsia" w:ascii="仿宋_GB2312" w:eastAsia="仿宋_GB2312"/>
          <w:color w:val="auto"/>
          <w:sz w:val="28"/>
          <w:szCs w:val="20"/>
          <w:highlight w:val="none"/>
        </w:rPr>
        <w:t>通过河北省临漳县人民法院向</w:t>
      </w:r>
      <w:r>
        <w:rPr>
          <w:rFonts w:hint="eastAsia" w:ascii="仿宋_GB2312" w:eastAsia="仿宋_GB2312"/>
          <w:color w:val="auto"/>
          <w:sz w:val="28"/>
          <w:szCs w:val="20"/>
          <w:highlight w:val="none"/>
        </w:rPr>
        <w:t>我公司提出。</w:t>
      </w:r>
    </w:p>
    <w:p>
      <w:pPr>
        <w:adjustRightInd w:val="0"/>
        <w:snapToGrid w:val="0"/>
        <w:spacing w:line="480" w:lineRule="exact"/>
        <w:ind w:firstLine="560" w:firstLineChars="200"/>
        <w:jc w:val="center"/>
        <w:rPr>
          <w:b/>
          <w:bCs/>
          <w:color w:val="auto"/>
          <w:spacing w:val="40"/>
          <w:sz w:val="32"/>
          <w:highlight w:val="none"/>
        </w:rPr>
      </w:pPr>
      <w:r>
        <w:rPr>
          <w:rFonts w:ascii="仿宋_GB2312" w:eastAsia="仿宋_GB2312"/>
          <w:color w:val="auto"/>
          <w:sz w:val="28"/>
          <w:szCs w:val="20"/>
          <w:highlight w:val="none"/>
        </w:rPr>
        <w:br w:type="page"/>
      </w:r>
      <w:r>
        <w:rPr>
          <w:rFonts w:hAnsi="宋体"/>
          <w:b/>
          <w:bCs/>
          <w:color w:val="auto"/>
          <w:spacing w:val="40"/>
          <w:sz w:val="32"/>
          <w:highlight w:val="none"/>
        </w:rPr>
        <w:t>房地产估价结果报告</w:t>
      </w:r>
    </w:p>
    <w:p>
      <w:pPr>
        <w:adjustRightInd w:val="0"/>
        <w:snapToGrid w:val="0"/>
        <w:spacing w:line="480" w:lineRule="exact"/>
        <w:rPr>
          <w:rFonts w:eastAsia="仿宋_GB2312"/>
          <w:b/>
          <w:bCs/>
          <w:color w:val="auto"/>
          <w:sz w:val="28"/>
          <w:highlight w:val="none"/>
        </w:rPr>
      </w:pPr>
      <w:r>
        <w:rPr>
          <w:rFonts w:eastAsia="仿宋_GB2312"/>
          <w:b/>
          <w:bCs/>
          <w:color w:val="auto"/>
          <w:sz w:val="28"/>
          <w:highlight w:val="none"/>
        </w:rPr>
        <w:t xml:space="preserve">一、委托估价方 </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委托单位：</w:t>
      </w:r>
      <w:r>
        <w:rPr>
          <w:rFonts w:hint="eastAsia" w:ascii="仿宋_GB2312" w:eastAsia="仿宋_GB2312"/>
          <w:bCs/>
          <w:color w:val="auto"/>
          <w:sz w:val="28"/>
          <w:szCs w:val="20"/>
          <w:highlight w:val="none"/>
        </w:rPr>
        <w:t>河北省临漳县人民法院</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单位地址：邯郸市临漳县朱雀大道北侧</w:t>
      </w:r>
    </w:p>
    <w:p>
      <w:pPr>
        <w:adjustRightInd w:val="0"/>
        <w:snapToGrid w:val="0"/>
        <w:spacing w:line="480" w:lineRule="exact"/>
        <w:rPr>
          <w:rFonts w:eastAsia="仿宋_GB2312"/>
          <w:b/>
          <w:bCs/>
          <w:color w:val="auto"/>
          <w:sz w:val="28"/>
          <w:highlight w:val="none"/>
        </w:rPr>
      </w:pPr>
      <w:r>
        <w:rPr>
          <w:rFonts w:eastAsia="仿宋_GB2312"/>
          <w:b/>
          <w:bCs/>
          <w:color w:val="auto"/>
          <w:sz w:val="28"/>
          <w:highlight w:val="none"/>
        </w:rPr>
        <w:t>二、</w:t>
      </w:r>
      <w:r>
        <w:rPr>
          <w:rFonts w:hint="eastAsia" w:eastAsia="仿宋_GB2312"/>
          <w:b/>
          <w:bCs/>
          <w:color w:val="auto"/>
          <w:sz w:val="28"/>
          <w:highlight w:val="none"/>
        </w:rPr>
        <w:t>房地产估价机构</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估价机构：河北新世纪房地产评估经纪有限公司</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机构地址：</w:t>
      </w:r>
      <w:r>
        <w:rPr>
          <w:rFonts w:hint="eastAsia" w:ascii="仿宋_GB2312" w:eastAsia="仿宋_GB2312"/>
          <w:color w:val="auto"/>
          <w:sz w:val="28"/>
          <w:szCs w:val="20"/>
          <w:highlight w:val="none"/>
        </w:rPr>
        <w:t>石家庄市槐安西路88号卓达中苑商务大厦D座9层</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资质等级：贰级</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资质</w:t>
      </w:r>
      <w:r>
        <w:rPr>
          <w:rFonts w:ascii="仿宋_GB2312" w:eastAsia="仿宋_GB2312"/>
          <w:color w:val="auto"/>
          <w:sz w:val="28"/>
          <w:szCs w:val="20"/>
          <w:highlight w:val="none"/>
        </w:rPr>
        <w:t>证书</w:t>
      </w:r>
      <w:r>
        <w:rPr>
          <w:rFonts w:hint="eastAsia" w:ascii="仿宋_GB2312" w:eastAsia="仿宋_GB2312"/>
          <w:color w:val="auto"/>
          <w:sz w:val="28"/>
          <w:szCs w:val="20"/>
          <w:highlight w:val="none"/>
        </w:rPr>
        <w:t>编</w:t>
      </w:r>
      <w:r>
        <w:rPr>
          <w:rFonts w:ascii="仿宋_GB2312" w:eastAsia="仿宋_GB2312"/>
          <w:color w:val="auto"/>
          <w:sz w:val="28"/>
          <w:szCs w:val="20"/>
          <w:highlight w:val="none"/>
        </w:rPr>
        <w:t>号：冀建房估（石）17号</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法人代表：</w:t>
      </w:r>
      <w:r>
        <w:rPr>
          <w:rFonts w:hint="eastAsia" w:ascii="仿宋_GB2312" w:eastAsia="仿宋_GB2312"/>
          <w:color w:val="auto"/>
          <w:sz w:val="28"/>
          <w:szCs w:val="20"/>
          <w:highlight w:val="none"/>
        </w:rPr>
        <w:t>李振禄</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联 系 人：马永杰</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联系电话：</w:t>
      </w:r>
      <w:r>
        <w:rPr>
          <w:rFonts w:hint="eastAsia" w:ascii="仿宋_GB2312" w:eastAsia="仿宋_GB2312"/>
          <w:color w:val="auto"/>
          <w:sz w:val="28"/>
          <w:szCs w:val="20"/>
          <w:highlight w:val="none"/>
        </w:rPr>
        <w:t>18733533597</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邮政编码：050051</w:t>
      </w:r>
    </w:p>
    <w:p>
      <w:pPr>
        <w:adjustRightInd w:val="0"/>
        <w:snapToGrid w:val="0"/>
        <w:spacing w:line="480" w:lineRule="exact"/>
        <w:rPr>
          <w:rFonts w:eastAsia="仿宋_GB2312"/>
          <w:b/>
          <w:bCs/>
          <w:color w:val="auto"/>
          <w:sz w:val="28"/>
          <w:highlight w:val="none"/>
        </w:rPr>
      </w:pPr>
      <w:r>
        <w:rPr>
          <w:rFonts w:hint="eastAsia" w:eastAsia="仿宋_GB2312"/>
          <w:b/>
          <w:bCs/>
          <w:color w:val="auto"/>
          <w:sz w:val="28"/>
          <w:highlight w:val="none"/>
        </w:rPr>
        <w:t>三</w:t>
      </w:r>
      <w:r>
        <w:rPr>
          <w:rFonts w:eastAsia="仿宋_GB2312"/>
          <w:b/>
          <w:bCs/>
          <w:color w:val="auto"/>
          <w:sz w:val="28"/>
          <w:highlight w:val="none"/>
        </w:rPr>
        <w:t>、估价目的</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本次估价目的是为</w:t>
      </w:r>
      <w:r>
        <w:rPr>
          <w:rFonts w:hint="eastAsia" w:ascii="仿宋_GB2312" w:eastAsia="仿宋_GB2312"/>
          <w:color w:val="auto"/>
          <w:sz w:val="28"/>
          <w:szCs w:val="20"/>
          <w:highlight w:val="none"/>
        </w:rPr>
        <w:t>河北省临漳县人民法院</w:t>
      </w:r>
      <w:r>
        <w:rPr>
          <w:rFonts w:hint="eastAsia" w:ascii="仿宋_GB2312" w:eastAsia="仿宋_GB2312"/>
          <w:color w:val="auto"/>
          <w:sz w:val="28"/>
          <w:szCs w:val="20"/>
          <w:highlight w:val="none"/>
        </w:rPr>
        <w:t>确定财产处置参考价提供参考依据。</w:t>
      </w:r>
    </w:p>
    <w:p>
      <w:pPr>
        <w:adjustRightInd w:val="0"/>
        <w:snapToGrid w:val="0"/>
        <w:spacing w:line="480" w:lineRule="exact"/>
        <w:rPr>
          <w:rFonts w:eastAsia="仿宋_GB2312"/>
          <w:b/>
          <w:bCs/>
          <w:color w:val="auto"/>
          <w:sz w:val="28"/>
          <w:highlight w:val="none"/>
        </w:rPr>
      </w:pPr>
      <w:r>
        <w:rPr>
          <w:rFonts w:hint="eastAsia" w:eastAsia="仿宋_GB2312"/>
          <w:b/>
          <w:bCs/>
          <w:color w:val="auto"/>
          <w:sz w:val="28"/>
          <w:highlight w:val="none"/>
        </w:rPr>
        <w:t>四</w:t>
      </w:r>
      <w:r>
        <w:rPr>
          <w:rFonts w:eastAsia="仿宋_GB2312"/>
          <w:b/>
          <w:bCs/>
          <w:color w:val="auto"/>
          <w:sz w:val="28"/>
          <w:highlight w:val="none"/>
        </w:rPr>
        <w:t>、估价对象</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1、估价对象基本状况：</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估价对象位于临漳县锦江新城龙福苑11号楼1103号。</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于价值时点，估价对象外部装修情况为：外墙涂料。</w:t>
      </w:r>
      <w:r>
        <w:rPr>
          <w:rFonts w:hint="eastAsia" w:ascii="仿宋_GB2312" w:eastAsia="仿宋_GB2312"/>
          <w:color w:val="auto"/>
          <w:sz w:val="28"/>
          <w:szCs w:val="20"/>
          <w:highlight w:val="none"/>
        </w:rPr>
        <w:t>估价对象内部装修为：全屋地砖，墙面壁纸及涂料，石膏吊顶，厨房、卫生间与阳台为墙砖地砖，扣板吊顶。</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估价对象区域内有多栋</w:t>
      </w:r>
      <w:r>
        <w:rPr>
          <w:rFonts w:hint="eastAsia" w:ascii="仿宋_GB2312" w:eastAsia="仿宋_GB2312"/>
          <w:color w:val="auto"/>
          <w:sz w:val="28"/>
          <w:szCs w:val="20"/>
          <w:highlight w:val="none"/>
        </w:rPr>
        <w:t>高层</w:t>
      </w:r>
      <w:r>
        <w:rPr>
          <w:rFonts w:hint="eastAsia" w:ascii="仿宋_GB2312" w:eastAsia="仿宋_GB2312"/>
          <w:color w:val="auto"/>
          <w:sz w:val="28"/>
          <w:szCs w:val="20"/>
          <w:highlight w:val="none"/>
        </w:rPr>
        <w:t>楼房。估价对象东临临漳县第三中学，南临人民路，西临铜雀大街。基础设施状况达到“七通”（通路、通上水、通下水、通电、通讯、通暖、通燃气）。估价对象</w:t>
      </w:r>
      <w:r>
        <w:rPr>
          <w:rFonts w:hint="eastAsia" w:ascii="仿宋_GB2312" w:eastAsia="仿宋_GB2312"/>
          <w:color w:val="auto"/>
          <w:sz w:val="28"/>
          <w:szCs w:val="20"/>
          <w:highlight w:val="none"/>
        </w:rPr>
        <w:t>周边有临漳县第一中学、临漳县第三中学，天奕商厦等。</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2、估价对象权益状况：</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估价对象</w:t>
      </w:r>
      <w:r>
        <w:rPr>
          <w:rFonts w:hint="eastAsia" w:ascii="仿宋_GB2312" w:eastAsia="仿宋_GB2312"/>
          <w:color w:val="auto"/>
          <w:sz w:val="28"/>
          <w:szCs w:val="20"/>
          <w:highlight w:val="none"/>
        </w:rPr>
        <w:t>总建筑面积为103.36</w:t>
      </w:r>
      <w:r>
        <w:rPr>
          <w:rFonts w:hint="eastAsia" w:ascii="仿宋_GB2312" w:eastAsia="仿宋_GB2312"/>
          <w:color w:val="auto"/>
          <w:sz w:val="28"/>
          <w:szCs w:val="20"/>
          <w:highlight w:val="none"/>
        </w:rPr>
        <w:t>平方米。</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估价对象购房协议书编号为0007145号</w:t>
      </w:r>
      <w:r>
        <w:rPr>
          <w:rFonts w:hint="eastAsia" w:ascii="仿宋_GB2312" w:eastAsia="仿宋_GB2312"/>
          <w:color w:val="auto"/>
          <w:sz w:val="28"/>
          <w:szCs w:val="20"/>
          <w:highlight w:val="none"/>
        </w:rPr>
        <w:t>。产权人为刘红燕。</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在价值时点，估价对象未租赁。</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3、估价对象概况：</w:t>
      </w:r>
    </w:p>
    <w:p>
      <w:pPr>
        <w:adjustRightInd w:val="0"/>
        <w:snapToGrid w:val="0"/>
        <w:spacing w:beforeLines="50"/>
        <w:jc w:val="center"/>
        <w:rPr>
          <w:rFonts w:ascii="仿宋_GB2312" w:hAnsi="仿宋_GB2312" w:eastAsia="仿宋_GB2312" w:cs="仿宋_GB2312"/>
          <w:color w:val="auto"/>
          <w:sz w:val="28"/>
          <w:szCs w:val="20"/>
          <w:highlight w:val="none"/>
        </w:rPr>
      </w:pPr>
      <w:r>
        <w:rPr>
          <w:rFonts w:hint="eastAsia" w:ascii="仿宋_GB2312" w:hAnsi="仿宋_GB2312" w:eastAsia="仿宋_GB2312" w:cs="仿宋_GB2312"/>
          <w:color w:val="auto"/>
          <w:sz w:val="28"/>
          <w:szCs w:val="20"/>
          <w:highlight w:val="none"/>
        </w:rPr>
        <w:tab/>
      </w:r>
      <w:r>
        <w:rPr>
          <w:rFonts w:hint="eastAsia" w:ascii="仿宋_GB2312" w:eastAsia="仿宋_GB2312"/>
          <w:color w:val="auto"/>
          <w:sz w:val="28"/>
          <w:szCs w:val="28"/>
          <w:highlight w:val="none"/>
        </w:rPr>
        <w:t xml:space="preserve">表1-1  </w:t>
      </w:r>
      <w:r>
        <w:rPr>
          <w:rFonts w:ascii="仿宋_GB2312" w:eastAsia="仿宋_GB2312"/>
          <w:color w:val="auto"/>
          <w:sz w:val="28"/>
          <w:szCs w:val="28"/>
          <w:highlight w:val="none"/>
        </w:rPr>
        <w:t>房产</w:t>
      </w:r>
      <w:r>
        <w:rPr>
          <w:rFonts w:hint="eastAsia" w:ascii="仿宋_GB2312" w:eastAsia="仿宋_GB2312"/>
          <w:color w:val="auto"/>
          <w:sz w:val="28"/>
          <w:szCs w:val="28"/>
          <w:highlight w:val="none"/>
        </w:rPr>
        <w:t>概况表</w:t>
      </w:r>
    </w:p>
    <w:tbl>
      <w:tblPr>
        <w:tblStyle w:val="10"/>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308"/>
        <w:gridCol w:w="2073"/>
        <w:gridCol w:w="2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074"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购房协议书编号</w:t>
            </w:r>
          </w:p>
        </w:tc>
        <w:tc>
          <w:tcPr>
            <w:tcW w:w="2308"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0007145号</w:t>
            </w:r>
          </w:p>
        </w:tc>
        <w:tc>
          <w:tcPr>
            <w:tcW w:w="2073"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名称</w:t>
            </w:r>
          </w:p>
        </w:tc>
        <w:tc>
          <w:tcPr>
            <w:tcW w:w="2071"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锦江新城龙福苑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074"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建筑结构</w:t>
            </w:r>
          </w:p>
        </w:tc>
        <w:tc>
          <w:tcPr>
            <w:tcW w:w="2308"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钢混</w:t>
            </w:r>
          </w:p>
        </w:tc>
        <w:tc>
          <w:tcPr>
            <w:tcW w:w="2073"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总建筑面积</w:t>
            </w:r>
          </w:p>
        </w:tc>
        <w:tc>
          <w:tcPr>
            <w:tcW w:w="2071"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103.36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074"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住宅建筑面积（平方米）</w:t>
            </w:r>
          </w:p>
        </w:tc>
        <w:tc>
          <w:tcPr>
            <w:tcW w:w="2308"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103.36</w:t>
            </w:r>
          </w:p>
        </w:tc>
        <w:tc>
          <w:tcPr>
            <w:tcW w:w="2073"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产权人</w:t>
            </w:r>
          </w:p>
        </w:tc>
        <w:tc>
          <w:tcPr>
            <w:tcW w:w="2071"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刘红燕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074"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层数</w:t>
            </w:r>
          </w:p>
        </w:tc>
        <w:tc>
          <w:tcPr>
            <w:tcW w:w="2308" w:type="dxa"/>
            <w:vAlign w:val="center"/>
          </w:tcPr>
          <w:p>
            <w:pPr>
              <w:widowControl/>
              <w:spacing w:line="240" w:lineRule="atLeast"/>
              <w:jc w:val="center"/>
              <w:rPr>
                <w:color w:val="auto"/>
                <w:highlight w:val="none"/>
              </w:rPr>
            </w:pPr>
            <w:r>
              <w:rPr>
                <w:rFonts w:hint="eastAsia" w:ascii="仿宋_GB2312" w:hAnsi="宋体" w:eastAsia="仿宋_GB2312" w:cs="宋体"/>
                <w:color w:val="auto"/>
                <w:kern w:val="0"/>
                <w:sz w:val="18"/>
                <w:szCs w:val="18"/>
                <w:highlight w:val="none"/>
              </w:rPr>
              <w:t>11/18</w:t>
            </w:r>
          </w:p>
        </w:tc>
        <w:tc>
          <w:tcPr>
            <w:tcW w:w="2073"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用途</w:t>
            </w:r>
          </w:p>
        </w:tc>
        <w:tc>
          <w:tcPr>
            <w:tcW w:w="2071"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2074"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房屋坐落</w:t>
            </w:r>
          </w:p>
        </w:tc>
        <w:tc>
          <w:tcPr>
            <w:tcW w:w="6452" w:type="dxa"/>
            <w:gridSpan w:val="3"/>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临漳县锦江新城龙福苑11号楼1103号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074"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基础设施</w:t>
            </w:r>
          </w:p>
        </w:tc>
        <w:tc>
          <w:tcPr>
            <w:tcW w:w="2308"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水电暖等设施齐全</w:t>
            </w:r>
          </w:p>
        </w:tc>
        <w:tc>
          <w:tcPr>
            <w:tcW w:w="2073"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电梯</w:t>
            </w:r>
          </w:p>
        </w:tc>
        <w:tc>
          <w:tcPr>
            <w:tcW w:w="2071"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2部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074"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装修情况</w:t>
            </w:r>
          </w:p>
        </w:tc>
        <w:tc>
          <w:tcPr>
            <w:tcW w:w="6452" w:type="dxa"/>
            <w:gridSpan w:val="3"/>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全屋地砖，墙面壁纸及涂料，石膏吊顶，厨房、卫生间与阳台为墙砖地砖，扣板吊顶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2074" w:type="dxa"/>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周边配套</w:t>
            </w:r>
          </w:p>
        </w:tc>
        <w:tc>
          <w:tcPr>
            <w:tcW w:w="6452" w:type="dxa"/>
            <w:gridSpan w:val="3"/>
            <w:vAlign w:val="center"/>
          </w:tcPr>
          <w:p>
            <w:pPr>
              <w:widowControl/>
              <w:spacing w:line="240" w:lineRule="atLeast"/>
              <w:jc w:val="center"/>
              <w:rPr>
                <w:rFonts w:ascii="仿宋_GB2312" w:hAnsi="宋体" w:eastAsia="仿宋_GB2312" w:cs="宋体"/>
                <w:color w:val="auto"/>
                <w:kern w:val="0"/>
                <w:sz w:val="18"/>
                <w:szCs w:val="18"/>
                <w:highlight w:val="none"/>
              </w:rPr>
            </w:pPr>
            <w:r>
              <w:rPr>
                <w:rFonts w:hint="eastAsia" w:ascii="仿宋_GB2312" w:hAnsi="宋体" w:eastAsia="仿宋_GB2312" w:cs="宋体"/>
                <w:color w:val="auto"/>
                <w:kern w:val="0"/>
                <w:sz w:val="18"/>
                <w:szCs w:val="18"/>
                <w:highlight w:val="none"/>
              </w:rPr>
              <w:t>临漳县第一中学、临漳县第三中学，天奕商厦等</w:t>
            </w:r>
          </w:p>
        </w:tc>
      </w:tr>
    </w:tbl>
    <w:p>
      <w:pPr>
        <w:widowControl/>
        <w:spacing w:line="240" w:lineRule="atLeast"/>
        <w:jc w:val="center"/>
        <w:rPr>
          <w:rFonts w:ascii="仿宋_GB2312" w:hAnsi="宋体" w:eastAsia="仿宋_GB2312" w:cs="宋体"/>
          <w:color w:val="auto"/>
          <w:kern w:val="0"/>
          <w:sz w:val="18"/>
          <w:szCs w:val="18"/>
          <w:highlight w:val="none"/>
        </w:rPr>
      </w:pPr>
    </w:p>
    <w:p>
      <w:pPr>
        <w:adjustRightInd w:val="0"/>
        <w:snapToGrid w:val="0"/>
        <w:spacing w:line="480" w:lineRule="exact"/>
        <w:rPr>
          <w:rFonts w:eastAsia="仿宋_GB2312"/>
          <w:b/>
          <w:bCs/>
          <w:color w:val="auto"/>
          <w:sz w:val="28"/>
          <w:highlight w:val="none"/>
        </w:rPr>
      </w:pPr>
      <w:r>
        <w:rPr>
          <w:rFonts w:eastAsia="仿宋_GB2312"/>
          <w:b/>
          <w:bCs/>
          <w:color w:val="auto"/>
          <w:sz w:val="28"/>
          <w:highlight w:val="none"/>
        </w:rPr>
        <w:t>五、</w:t>
      </w:r>
      <w:r>
        <w:rPr>
          <w:rFonts w:hint="eastAsia" w:eastAsia="仿宋_GB2312"/>
          <w:b/>
          <w:bCs/>
          <w:color w:val="auto"/>
          <w:sz w:val="28"/>
          <w:highlight w:val="none"/>
        </w:rPr>
        <w:t>价值</w:t>
      </w:r>
      <w:r>
        <w:rPr>
          <w:rFonts w:eastAsia="仿宋_GB2312"/>
          <w:b/>
          <w:bCs/>
          <w:color w:val="auto"/>
          <w:sz w:val="28"/>
          <w:highlight w:val="none"/>
        </w:rPr>
        <w:t>时点</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2021年11月4日</w:t>
      </w:r>
    </w:p>
    <w:p>
      <w:pPr>
        <w:adjustRightInd w:val="0"/>
        <w:snapToGrid w:val="0"/>
        <w:spacing w:line="480" w:lineRule="exact"/>
        <w:rPr>
          <w:rFonts w:eastAsia="仿宋_GB2312"/>
          <w:color w:val="auto"/>
          <w:sz w:val="28"/>
          <w:highlight w:val="none"/>
        </w:rPr>
      </w:pPr>
      <w:r>
        <w:rPr>
          <w:rFonts w:eastAsia="仿宋_GB2312"/>
          <w:b/>
          <w:bCs/>
          <w:color w:val="auto"/>
          <w:sz w:val="28"/>
          <w:highlight w:val="none"/>
        </w:rPr>
        <w:t>六、价值</w:t>
      </w:r>
      <w:r>
        <w:rPr>
          <w:rFonts w:hint="eastAsia" w:eastAsia="仿宋_GB2312"/>
          <w:b/>
          <w:bCs/>
          <w:color w:val="auto"/>
          <w:sz w:val="28"/>
          <w:highlight w:val="none"/>
        </w:rPr>
        <w:t>类型</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本次评估采用的是公开市场价格标准，本报告提供的房地产价格是指估价对象在现状合法利用条件下，于价值时点2021年11月4日</w:t>
      </w:r>
      <w:r>
        <w:rPr>
          <w:rFonts w:hint="eastAsia" w:ascii="仿宋_GB2312" w:eastAsia="仿宋_GB2312"/>
          <w:color w:val="auto"/>
          <w:sz w:val="28"/>
          <w:szCs w:val="20"/>
          <w:highlight w:val="none"/>
        </w:rPr>
        <w:t>，符合估价</w:t>
      </w:r>
      <w:r>
        <w:rPr>
          <w:rFonts w:hint="eastAsia" w:ascii="仿宋_GB2312" w:eastAsia="仿宋_GB2312"/>
          <w:color w:val="auto"/>
          <w:sz w:val="28"/>
          <w:szCs w:val="20"/>
          <w:highlight w:val="none"/>
        </w:rPr>
        <w:t>的假设和限制条件下的房地产公开市场价格。</w:t>
      </w:r>
    </w:p>
    <w:p>
      <w:pPr>
        <w:adjustRightInd w:val="0"/>
        <w:snapToGrid w:val="0"/>
        <w:spacing w:line="480" w:lineRule="exact"/>
        <w:rPr>
          <w:rFonts w:eastAsia="仿宋_GB2312"/>
          <w:b/>
          <w:bCs/>
          <w:color w:val="auto"/>
          <w:sz w:val="28"/>
          <w:highlight w:val="none"/>
        </w:rPr>
      </w:pPr>
      <w:r>
        <w:rPr>
          <w:rFonts w:hint="eastAsia" w:eastAsia="仿宋_GB2312"/>
          <w:b/>
          <w:bCs/>
          <w:color w:val="auto"/>
          <w:sz w:val="28"/>
          <w:highlight w:val="none"/>
        </w:rPr>
        <w:t>七</w:t>
      </w:r>
      <w:r>
        <w:rPr>
          <w:rFonts w:eastAsia="仿宋_GB2312"/>
          <w:b/>
          <w:bCs/>
          <w:color w:val="auto"/>
          <w:sz w:val="28"/>
          <w:highlight w:val="none"/>
        </w:rPr>
        <w:t>、估价原则</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本估价报告在遵守客观公正、科学、合理的基本原则前提下，结合评估目的对委估房产价格进行评估。具体遵循以下原则：</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1</w:t>
      </w:r>
      <w:r>
        <w:rPr>
          <w:rFonts w:hint="eastAsia" w:ascii="仿宋_GB2312" w:eastAsia="仿宋_GB2312"/>
          <w:color w:val="auto"/>
          <w:sz w:val="28"/>
          <w:szCs w:val="20"/>
          <w:highlight w:val="none"/>
        </w:rPr>
        <w:t>、独立、客观、公正原则</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独立、客观、公正原则是房地产估价的最高行为准则。独立原则要求估价机构本身应当是一个不依赖他人、不受他人束缚的独立机构；要求估价机构和估价人员与估价对象及相关当事人没有利害关系；要求估价机构和估价人员在估价中不应受外部因素的影响，不屈从于外部压力，完全凭借自己的专业知识、经验和良心进行估价。所谓客观，是要求估价机构和估价人员不带着自己的好恶、情感和偏见，完全从实际出发，按照事物的本来面目去估价。所谓公正，是要求估价机构和估价人员在估价中应公平、正直，不偏袒任何一方。因此，遵循独立、客观、公正原则的核心，是估价机构和估价人员应站在中立的立场上，评估出一个对各方当事人来说都是公平合理的价值。</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2</w:t>
      </w:r>
      <w:r>
        <w:rPr>
          <w:rFonts w:hint="eastAsia" w:ascii="仿宋_GB2312" w:eastAsia="仿宋_GB2312"/>
          <w:color w:val="auto"/>
          <w:sz w:val="28"/>
          <w:szCs w:val="20"/>
          <w:highlight w:val="none"/>
        </w:rPr>
        <w:t>、合法原则</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遵循合法原则，首先要求房地产估价应以估价对象的合法权益为前提进行。合法权益包括合法产权、合法使用、合法处分等方面。遵循合法原则，具体来说有下列几个方面：在合法产权方面，应以房地产权属证书和有关证件为依据；在合法使用方面，应以城市规划、土地用途管制等为依据；在合法处分方面，应以法律、法规或合同等允许的处分方式为依据；在其他方面，如评估出的价格必须符合国家的价格政策。</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3</w:t>
      </w:r>
      <w:r>
        <w:rPr>
          <w:rFonts w:hint="eastAsia" w:ascii="仿宋_GB2312" w:eastAsia="仿宋_GB2312"/>
          <w:color w:val="auto"/>
          <w:sz w:val="28"/>
          <w:szCs w:val="20"/>
          <w:highlight w:val="none"/>
        </w:rPr>
        <w:t>、最高最佳使用原则</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所谓最高最佳使用，要求房地产估价应以估价对象的最高最佳使用为前提进行。它是指法律上允许，技术上可能，经济上可行，经过充分合理的论证，能使估价对象的价值达到最大的一种最可能的使用。</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4</w:t>
      </w:r>
      <w:r>
        <w:rPr>
          <w:rFonts w:ascii="仿宋_GB2312" w:eastAsia="仿宋_GB2312"/>
          <w:color w:val="auto"/>
          <w:sz w:val="28"/>
          <w:szCs w:val="20"/>
          <w:highlight w:val="none"/>
        </w:rPr>
        <w:t>、</w:t>
      </w:r>
      <w:r>
        <w:rPr>
          <w:rFonts w:hint="eastAsia" w:ascii="仿宋_GB2312" w:eastAsia="仿宋_GB2312"/>
          <w:color w:val="auto"/>
          <w:sz w:val="28"/>
          <w:szCs w:val="20"/>
          <w:highlight w:val="none"/>
        </w:rPr>
        <w:t>替代原则</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替代原则要求房地产估价结果不得明显偏离类似房地产在同等条件下的正常价格。类似房地产是指与估价对象处在同一供求范围内，并在用途、规模、档次、建筑结构等方面与估价对象相同或相近的房地产。同一供求范围是指与估价对象相同或相近的房地产所处的区域范围。</w:t>
      </w:r>
    </w:p>
    <w:p>
      <w:pPr>
        <w:adjustRightInd w:val="0"/>
        <w:snapToGrid w:val="0"/>
        <w:spacing w:line="480" w:lineRule="exact"/>
        <w:ind w:firstLine="560" w:firstLineChars="200"/>
        <w:rPr>
          <w:rFonts w:ascii="仿宋_GB2312" w:eastAsia="仿宋_GB2312"/>
          <w:color w:val="auto"/>
          <w:sz w:val="28"/>
          <w:szCs w:val="20"/>
          <w:highlight w:val="none"/>
        </w:rPr>
      </w:pPr>
      <w:r>
        <w:rPr>
          <w:rFonts w:ascii="仿宋_GB2312" w:eastAsia="仿宋_GB2312"/>
          <w:color w:val="auto"/>
          <w:sz w:val="28"/>
          <w:szCs w:val="20"/>
          <w:highlight w:val="none"/>
        </w:rPr>
        <w:t>5</w:t>
      </w:r>
      <w:r>
        <w:rPr>
          <w:rFonts w:hint="eastAsia" w:ascii="仿宋_GB2312" w:eastAsia="仿宋_GB2312"/>
          <w:color w:val="auto"/>
          <w:sz w:val="28"/>
          <w:szCs w:val="20"/>
          <w:highlight w:val="none"/>
        </w:rPr>
        <w:t>、价值时点原则</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价值时点原则要求房地产估价结果应是估价对象在价值时点上的客观合理价格或价值。估价不是求取估价对象在所有时间上的价格，而是求取估价对象在某一时间上的价格，而这一时间不是估价人员可以随意假定的，必须依据估价目的来确定，这一时点即是价值时点。</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6、谨慎原则</w:t>
      </w:r>
    </w:p>
    <w:p>
      <w:pPr>
        <w:wordWrap w:val="0"/>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指评估价值应为在充分考虑导致估价对象价值或价格偏低的因素，慎重考虑导致估价对象价值或价格偏高的因素下的价值或价格。</w:t>
      </w:r>
    </w:p>
    <w:p>
      <w:pPr>
        <w:adjustRightInd w:val="0"/>
        <w:snapToGrid w:val="0"/>
        <w:spacing w:beforeLines="50" w:afterLines="50"/>
        <w:rPr>
          <w:rFonts w:eastAsia="仿宋_GB2312"/>
          <w:b/>
          <w:color w:val="auto"/>
          <w:sz w:val="28"/>
          <w:highlight w:val="none"/>
        </w:rPr>
      </w:pPr>
      <w:r>
        <w:rPr>
          <w:rFonts w:hint="eastAsia" w:eastAsia="仿宋_GB2312"/>
          <w:b/>
          <w:color w:val="auto"/>
          <w:sz w:val="28"/>
          <w:highlight w:val="none"/>
        </w:rPr>
        <w:t>八</w:t>
      </w:r>
      <w:r>
        <w:rPr>
          <w:rFonts w:eastAsia="仿宋_GB2312"/>
          <w:b/>
          <w:color w:val="auto"/>
          <w:sz w:val="28"/>
          <w:highlight w:val="none"/>
        </w:rPr>
        <w:t>、估价依据</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1、法律、法规及技术规范、约束性文件：</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（1）《中华人民共和国土地管理法》</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（2）《中华人民共和国城市房地产管理法》</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（3）《中华人民共和国土地管理法实施条例》</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（4）《中华人民共和国城乡规划法》</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（5）《中华人民共和国资产评估法》</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（6）《中华人民共和国民法典》</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（7）《最高人民法院关于人民法院确定财产处置参考价若干问题的规定》</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（8）关于印发《人民法院委托评估工作规范》的通知</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（9）中华人民共和国国家标准GB/T50291-2015《房地产估价规范》；</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（9）中华人民共和国国家标准GB/T50899-2013《房地产估价基本术语标准》；</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（10）《涉执房地产处置司法评估指导意见（试行）》</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2、委托方提供的资料</w:t>
      </w:r>
    </w:p>
    <w:p>
      <w:pPr>
        <w:tabs>
          <w:tab w:val="left" w:pos="6871"/>
        </w:tabs>
        <w:autoSpaceDE w:val="0"/>
        <w:autoSpaceDN w:val="0"/>
        <w:adjustRightInd w:val="0"/>
        <w:snapToGrid w:val="0"/>
        <w:spacing w:line="460" w:lineRule="exact"/>
        <w:ind w:firstLine="560" w:firstLineChars="200"/>
        <w:textAlignment w:val="bottom"/>
        <w:rPr>
          <w:rFonts w:ascii="仿宋_GB2312" w:hAnsi="仿宋" w:eastAsia="仿宋_GB2312"/>
          <w:color w:val="auto"/>
          <w:sz w:val="28"/>
          <w:szCs w:val="28"/>
          <w:highlight w:val="none"/>
        </w:rPr>
      </w:pPr>
      <w:r>
        <w:rPr>
          <w:rFonts w:hint="eastAsia" w:ascii="仿宋_GB2312" w:hAnsi="仿宋" w:eastAsia="仿宋_GB2312"/>
          <w:color w:val="auto"/>
          <w:sz w:val="28"/>
          <w:szCs w:val="28"/>
          <w:highlight w:val="none"/>
        </w:rPr>
        <w:t>（1）</w:t>
      </w:r>
      <w:r>
        <w:rPr>
          <w:rFonts w:hint="eastAsia" w:ascii="仿宋_GB2312" w:hAnsi="仿宋_GB2312" w:eastAsia="仿宋_GB2312" w:cs="仿宋_GB2312"/>
          <w:color w:val="auto"/>
          <w:sz w:val="28"/>
          <w:szCs w:val="28"/>
          <w:highlight w:val="none"/>
        </w:rPr>
        <w:t>估价对象《购房协议书》</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lang w:val="en-US" w:eastAsia="zh-CN"/>
        </w:rPr>
        <w:t>商品房预售许可证</w:t>
      </w:r>
      <w:r>
        <w:rPr>
          <w:rFonts w:hint="eastAsia" w:ascii="仿宋_GB2312" w:hAnsi="仿宋_GB2312" w:eastAsia="仿宋_GB2312" w:cs="仿宋_GB2312"/>
          <w:color w:val="auto"/>
          <w:sz w:val="28"/>
          <w:szCs w:val="28"/>
          <w:highlight w:val="none"/>
          <w:lang w:eastAsia="zh-CN"/>
        </w:rPr>
        <w:t>》</w:t>
      </w:r>
      <w:r>
        <w:rPr>
          <w:rFonts w:hint="eastAsia" w:ascii="仿宋_GB2312" w:hAnsi="仿宋_GB2312" w:eastAsia="仿宋_GB2312" w:cs="仿宋_GB2312"/>
          <w:color w:val="auto"/>
          <w:sz w:val="28"/>
          <w:szCs w:val="28"/>
          <w:highlight w:val="none"/>
        </w:rPr>
        <w:t>复印件</w:t>
      </w:r>
    </w:p>
    <w:p>
      <w:pPr>
        <w:tabs>
          <w:tab w:val="left" w:pos="6691"/>
        </w:tabs>
        <w:autoSpaceDE w:val="0"/>
        <w:autoSpaceDN w:val="0"/>
        <w:adjustRightInd w:val="0"/>
        <w:snapToGrid w:val="0"/>
        <w:spacing w:line="460" w:lineRule="exact"/>
        <w:ind w:firstLine="560" w:firstLineChars="200"/>
        <w:textAlignment w:val="bottom"/>
        <w:rPr>
          <w:rFonts w:ascii="仿宋_GB2312" w:eastAsia="仿宋_GB2312"/>
          <w:color w:val="auto"/>
          <w:sz w:val="28"/>
          <w:szCs w:val="20"/>
          <w:highlight w:val="none"/>
        </w:rPr>
      </w:pPr>
      <w:r>
        <w:rPr>
          <w:rFonts w:hint="eastAsia" w:ascii="仿宋_GB2312" w:hAnsi="仿宋" w:eastAsia="仿宋_GB2312"/>
          <w:color w:val="auto"/>
          <w:sz w:val="28"/>
          <w:szCs w:val="28"/>
          <w:highlight w:val="none"/>
        </w:rPr>
        <w:t>（2）</w:t>
      </w:r>
      <w:r>
        <w:rPr>
          <w:rFonts w:hint="eastAsia" w:ascii="仿宋_GB2312" w:eastAsia="仿宋_GB2312"/>
          <w:color w:val="auto"/>
          <w:sz w:val="28"/>
          <w:szCs w:val="20"/>
          <w:highlight w:val="none"/>
        </w:rPr>
        <w:t>河北省临漳县人民法院评估委托书</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3、估价方收集的有关资料</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（1）现场勘查资料</w:t>
      </w:r>
    </w:p>
    <w:p>
      <w:pPr>
        <w:adjustRightInd w:val="0"/>
        <w:snapToGrid w:val="0"/>
        <w:spacing w:line="46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（2）房地产市场状况</w:t>
      </w:r>
    </w:p>
    <w:p>
      <w:pPr>
        <w:adjustRightInd w:val="0"/>
        <w:snapToGrid w:val="0"/>
        <w:spacing w:beforeLines="50" w:afterLines="50"/>
        <w:rPr>
          <w:rFonts w:eastAsia="仿宋_GB2312"/>
          <w:b/>
          <w:color w:val="auto"/>
          <w:sz w:val="28"/>
          <w:highlight w:val="none"/>
        </w:rPr>
      </w:pPr>
      <w:r>
        <w:rPr>
          <w:rFonts w:eastAsia="仿宋_GB2312"/>
          <w:b/>
          <w:color w:val="auto"/>
          <w:sz w:val="28"/>
          <w:highlight w:val="none"/>
        </w:rPr>
        <w:t>九、估价方法</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根据</w:t>
      </w:r>
      <w:r>
        <w:rPr>
          <w:rFonts w:ascii="仿宋_GB2312" w:eastAsia="仿宋_GB2312"/>
          <w:color w:val="auto"/>
          <w:sz w:val="28"/>
          <w:szCs w:val="20"/>
          <w:highlight w:val="none"/>
        </w:rPr>
        <w:t>《</w:t>
      </w:r>
      <w:r>
        <w:rPr>
          <w:rFonts w:hint="eastAsia" w:ascii="仿宋_GB2312" w:eastAsia="仿宋_GB2312"/>
          <w:color w:val="auto"/>
          <w:sz w:val="28"/>
          <w:szCs w:val="20"/>
          <w:highlight w:val="none"/>
        </w:rPr>
        <w:t>房地产估价规范</w:t>
      </w:r>
      <w:r>
        <w:rPr>
          <w:rFonts w:ascii="仿宋_GB2312" w:eastAsia="仿宋_GB2312"/>
          <w:color w:val="auto"/>
          <w:sz w:val="28"/>
          <w:szCs w:val="20"/>
          <w:highlight w:val="none"/>
        </w:rPr>
        <w:t>》</w:t>
      </w:r>
      <w:r>
        <w:rPr>
          <w:rFonts w:hint="eastAsia" w:ascii="仿宋_GB2312" w:eastAsia="仿宋_GB2312"/>
          <w:color w:val="auto"/>
          <w:sz w:val="28"/>
          <w:szCs w:val="20"/>
          <w:highlight w:val="none"/>
        </w:rPr>
        <w:t>房地产公开市场估价方法通常有市场比较法、成本法、收益法、假设开发法等。估价人员在实地勘察的基础上，对委托方提供的各种资料进行了认真分析，根据估价期日估价对象的用途、估价目的、资料状况和当地房地产市场的实际情况，</w:t>
      </w:r>
      <w:r>
        <w:rPr>
          <w:rFonts w:hint="eastAsia" w:ascii="仿宋_GB2312" w:eastAsia="仿宋_GB2312"/>
          <w:color w:val="auto"/>
          <w:sz w:val="28"/>
          <w:szCs w:val="20"/>
          <w:highlight w:val="none"/>
        </w:rPr>
        <w:t>决定采用市场比较法</w:t>
      </w:r>
      <w:r>
        <w:rPr>
          <w:rFonts w:hint="eastAsia" w:ascii="仿宋_GB2312" w:eastAsia="仿宋_GB2312"/>
          <w:color w:val="auto"/>
          <w:sz w:val="28"/>
          <w:szCs w:val="20"/>
          <w:highlight w:val="none"/>
        </w:rPr>
        <w:t>来测算估价对象的价格。</w:t>
      </w:r>
    </w:p>
    <w:p>
      <w:pPr>
        <w:adjustRightInd w:val="0"/>
        <w:snapToGrid w:val="0"/>
        <w:spacing w:beforeLines="50"/>
        <w:rPr>
          <w:rFonts w:eastAsia="仿宋_GB2312"/>
          <w:b/>
          <w:color w:val="auto"/>
          <w:sz w:val="28"/>
          <w:highlight w:val="none"/>
        </w:rPr>
      </w:pPr>
      <w:r>
        <w:rPr>
          <w:rFonts w:eastAsia="仿宋_GB2312"/>
          <w:b/>
          <w:color w:val="auto"/>
          <w:sz w:val="28"/>
          <w:highlight w:val="none"/>
        </w:rPr>
        <w:t>十、估价结果</w:t>
      </w:r>
    </w:p>
    <w:p>
      <w:pPr>
        <w:adjustRightInd w:val="0"/>
        <w:snapToGrid w:val="0"/>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估价人员根据估价目的，遵循估价原则，采用科学的估价方法，在认真分析所掌握资料与影响估价对象价值诸因素的基础上，通过实地勘察和调研，进行数据分析、测算及综合评定，</w:t>
      </w:r>
      <w:r>
        <w:rPr>
          <w:rFonts w:hint="eastAsia" w:ascii="仿宋_GB2312" w:eastAsia="仿宋_GB2312"/>
          <w:color w:val="auto"/>
          <w:sz w:val="28"/>
          <w:szCs w:val="20"/>
          <w:highlight w:val="none"/>
        </w:rPr>
        <w:t>确定采用市场比较法计算结果为估价结果：</w:t>
      </w:r>
    </w:p>
    <w:p>
      <w:pPr>
        <w:adjustRightInd w:val="0"/>
        <w:snapToGrid w:val="0"/>
        <w:spacing w:line="480" w:lineRule="exact"/>
        <w:jc w:val="center"/>
        <w:outlineLvl w:val="2"/>
        <w:rPr>
          <w:rFonts w:ascii="仿宋_GB2312" w:eastAsia="仿宋_GB2312"/>
          <w:color w:val="auto"/>
          <w:sz w:val="28"/>
          <w:szCs w:val="28"/>
          <w:highlight w:val="none"/>
        </w:rPr>
      </w:pPr>
      <w:r>
        <w:rPr>
          <w:rFonts w:hint="eastAsia" w:ascii="仿宋_GB2312" w:eastAsia="仿宋_GB2312"/>
          <w:color w:val="auto"/>
          <w:sz w:val="28"/>
          <w:szCs w:val="28"/>
          <w:highlight w:val="none"/>
        </w:rPr>
        <w:t>表1-2</w:t>
      </w:r>
      <w:r>
        <w:rPr>
          <w:rFonts w:hint="eastAsia" w:ascii="仿宋_GB2312" w:eastAsia="仿宋_GB2312"/>
          <w:color w:val="auto"/>
          <w:sz w:val="28"/>
          <w:szCs w:val="20"/>
          <w:highlight w:val="none"/>
        </w:rPr>
        <w:t>估价结果汇总表</w:t>
      </w:r>
    </w:p>
    <w:tbl>
      <w:tblPr>
        <w:tblStyle w:val="9"/>
        <w:tblW w:w="8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769"/>
        <w:gridCol w:w="1793"/>
        <w:gridCol w:w="1351"/>
        <w:gridCol w:w="1793"/>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trPr>
        <w:tc>
          <w:tcPr>
            <w:tcW w:w="607" w:type="dxa"/>
            <w:vMerge w:val="restart"/>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序号</w:t>
            </w:r>
          </w:p>
        </w:tc>
        <w:tc>
          <w:tcPr>
            <w:tcW w:w="1769" w:type="dxa"/>
            <w:vMerge w:val="restart"/>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房地产名称</w:t>
            </w:r>
          </w:p>
        </w:tc>
        <w:tc>
          <w:tcPr>
            <w:tcW w:w="3144" w:type="dxa"/>
            <w:gridSpan w:val="2"/>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市场比较法测算结果</w:t>
            </w:r>
          </w:p>
        </w:tc>
        <w:tc>
          <w:tcPr>
            <w:tcW w:w="3143" w:type="dxa"/>
            <w:gridSpan w:val="2"/>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估价结果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07" w:type="dxa"/>
            <w:vMerge w:val="continue"/>
            <w:vAlign w:val="center"/>
          </w:tcPr>
          <w:p>
            <w:pPr>
              <w:widowControl/>
              <w:jc w:val="center"/>
              <w:rPr>
                <w:rFonts w:ascii="仿宋_GB2312" w:hAnsi="宋体" w:eastAsia="仿宋_GB2312" w:cs="宋体"/>
                <w:color w:val="auto"/>
                <w:kern w:val="0"/>
                <w:szCs w:val="21"/>
                <w:highlight w:val="none"/>
              </w:rPr>
            </w:pPr>
          </w:p>
        </w:tc>
        <w:tc>
          <w:tcPr>
            <w:tcW w:w="1769" w:type="dxa"/>
            <w:vMerge w:val="continue"/>
            <w:vAlign w:val="center"/>
          </w:tcPr>
          <w:p>
            <w:pPr>
              <w:widowControl/>
              <w:jc w:val="center"/>
              <w:rPr>
                <w:rFonts w:ascii="仿宋_GB2312" w:hAnsi="宋体" w:eastAsia="仿宋_GB2312" w:cs="宋体"/>
                <w:color w:val="auto"/>
                <w:kern w:val="0"/>
                <w:szCs w:val="21"/>
                <w:highlight w:val="none"/>
              </w:rPr>
            </w:pPr>
          </w:p>
        </w:tc>
        <w:tc>
          <w:tcPr>
            <w:tcW w:w="1793" w:type="dxa"/>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单价（元/平方米）</w:t>
            </w:r>
          </w:p>
        </w:tc>
        <w:tc>
          <w:tcPr>
            <w:tcW w:w="1351" w:type="dxa"/>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总价（元）</w:t>
            </w:r>
          </w:p>
        </w:tc>
        <w:tc>
          <w:tcPr>
            <w:tcW w:w="1793" w:type="dxa"/>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单价（元/平方米）</w:t>
            </w:r>
          </w:p>
        </w:tc>
        <w:tc>
          <w:tcPr>
            <w:tcW w:w="1350" w:type="dxa"/>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607" w:type="dxa"/>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1</w:t>
            </w:r>
          </w:p>
        </w:tc>
        <w:tc>
          <w:tcPr>
            <w:tcW w:w="1769" w:type="dxa"/>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 w:val="18"/>
                <w:szCs w:val="18"/>
                <w:highlight w:val="none"/>
              </w:rPr>
              <w:t>锦江新城龙福苑11号楼1103</w:t>
            </w:r>
          </w:p>
        </w:tc>
        <w:tc>
          <w:tcPr>
            <w:tcW w:w="1793" w:type="dxa"/>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6151</w:t>
            </w:r>
          </w:p>
        </w:tc>
        <w:tc>
          <w:tcPr>
            <w:tcW w:w="1351" w:type="dxa"/>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635767</w:t>
            </w:r>
          </w:p>
        </w:tc>
        <w:tc>
          <w:tcPr>
            <w:tcW w:w="1793" w:type="dxa"/>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6151</w:t>
            </w:r>
          </w:p>
        </w:tc>
        <w:tc>
          <w:tcPr>
            <w:tcW w:w="1350" w:type="dxa"/>
            <w:vAlign w:val="center"/>
          </w:tcPr>
          <w:p>
            <w:pPr>
              <w:widowControl/>
              <w:jc w:val="center"/>
              <w:rPr>
                <w:rFonts w:ascii="仿宋_GB2312" w:hAnsi="宋体" w:eastAsia="仿宋_GB2312" w:cs="宋体"/>
                <w:color w:val="auto"/>
                <w:kern w:val="0"/>
                <w:szCs w:val="21"/>
                <w:highlight w:val="none"/>
              </w:rPr>
            </w:pPr>
            <w:r>
              <w:rPr>
                <w:rFonts w:hint="eastAsia" w:ascii="仿宋_GB2312" w:hAnsi="宋体" w:eastAsia="仿宋_GB2312" w:cs="宋体"/>
                <w:color w:val="auto"/>
                <w:kern w:val="0"/>
                <w:szCs w:val="21"/>
                <w:highlight w:val="none"/>
              </w:rPr>
              <w:t>635767</w:t>
            </w:r>
          </w:p>
        </w:tc>
      </w:tr>
    </w:tbl>
    <w:p>
      <w:pPr>
        <w:adjustRightInd w:val="0"/>
        <w:snapToGrid w:val="0"/>
        <w:spacing w:beforeLines="50" w:afterLines="50"/>
        <w:rPr>
          <w:rFonts w:eastAsia="仿宋_GB2312"/>
          <w:b/>
          <w:color w:val="auto"/>
          <w:sz w:val="28"/>
          <w:highlight w:val="none"/>
        </w:rPr>
      </w:pPr>
      <w:r>
        <w:rPr>
          <w:rFonts w:hint="eastAsia" w:eastAsia="仿宋_GB2312"/>
          <w:b/>
          <w:color w:val="auto"/>
          <w:sz w:val="28"/>
          <w:highlight w:val="none"/>
        </w:rPr>
        <w:t>十一、参加估价的注册房地产估价师</w:t>
      </w:r>
    </w:p>
    <w:tbl>
      <w:tblPr>
        <w:tblStyle w:val="9"/>
        <w:tblW w:w="8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9"/>
        <w:gridCol w:w="1702"/>
        <w:gridCol w:w="3107"/>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1" w:hRule="atLeast"/>
          <w:jc w:val="center"/>
        </w:trPr>
        <w:tc>
          <w:tcPr>
            <w:tcW w:w="1149"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eastAsia="仿宋_GB2312"/>
                <w:color w:val="auto"/>
                <w:sz w:val="28"/>
                <w:szCs w:val="28"/>
                <w:highlight w:val="none"/>
              </w:rPr>
              <w:t>姓  名</w:t>
            </w:r>
          </w:p>
        </w:tc>
        <w:tc>
          <w:tcPr>
            <w:tcW w:w="1702"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eastAsia="仿宋_GB2312"/>
                <w:color w:val="auto"/>
                <w:sz w:val="28"/>
                <w:szCs w:val="28"/>
                <w:highlight w:val="none"/>
              </w:rPr>
              <w:t>注册号</w:t>
            </w:r>
          </w:p>
        </w:tc>
        <w:tc>
          <w:tcPr>
            <w:tcW w:w="3107"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eastAsia="仿宋_GB2312"/>
                <w:color w:val="auto"/>
                <w:sz w:val="28"/>
                <w:szCs w:val="28"/>
                <w:highlight w:val="none"/>
              </w:rPr>
              <w:t>签  名</w:t>
            </w:r>
          </w:p>
        </w:tc>
        <w:tc>
          <w:tcPr>
            <w:tcW w:w="2384"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eastAsia="仿宋_GB2312"/>
                <w:color w:val="auto"/>
                <w:sz w:val="28"/>
                <w:szCs w:val="28"/>
                <w:highlight w:val="none"/>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1149"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董跃雷</w:t>
            </w:r>
          </w:p>
        </w:tc>
        <w:tc>
          <w:tcPr>
            <w:tcW w:w="1702"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1320140085</w:t>
            </w:r>
          </w:p>
        </w:tc>
        <w:tc>
          <w:tcPr>
            <w:tcW w:w="3107"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p>
        </w:tc>
        <w:tc>
          <w:tcPr>
            <w:tcW w:w="2384"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2021年12月23日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149"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付  媛</w:t>
            </w:r>
          </w:p>
        </w:tc>
        <w:tc>
          <w:tcPr>
            <w:tcW w:w="1702"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ascii="仿宋_GB2312" w:hAnsi="宋体" w:eastAsia="仿宋_GB2312" w:cs="宋体"/>
                <w:color w:val="auto"/>
                <w:sz w:val="28"/>
                <w:szCs w:val="28"/>
                <w:highlight w:val="none"/>
              </w:rPr>
              <w:t>1320100039</w:t>
            </w:r>
          </w:p>
        </w:tc>
        <w:tc>
          <w:tcPr>
            <w:tcW w:w="3107"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p>
        </w:tc>
        <w:tc>
          <w:tcPr>
            <w:tcW w:w="2384" w:type="dxa"/>
            <w:tcMar>
              <w:top w:w="15" w:type="dxa"/>
              <w:left w:w="15" w:type="dxa"/>
              <w:bottom w:w="0" w:type="dxa"/>
              <w:right w:w="15" w:type="dxa"/>
            </w:tcMar>
            <w:vAlign w:val="center"/>
          </w:tcPr>
          <w:p>
            <w:pPr>
              <w:jc w:val="center"/>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2021年12月23日</w:t>
            </w:r>
          </w:p>
        </w:tc>
      </w:tr>
    </w:tbl>
    <w:p>
      <w:pPr>
        <w:adjustRightInd w:val="0"/>
        <w:snapToGrid w:val="0"/>
        <w:spacing w:beforeLines="50" w:afterLines="50"/>
        <w:rPr>
          <w:rFonts w:eastAsia="仿宋_GB2312"/>
          <w:b/>
          <w:color w:val="auto"/>
          <w:sz w:val="28"/>
          <w:highlight w:val="none"/>
        </w:rPr>
      </w:pPr>
      <w:r>
        <w:rPr>
          <w:rFonts w:hint="eastAsia" w:eastAsia="仿宋_GB2312"/>
          <w:b/>
          <w:color w:val="auto"/>
          <w:sz w:val="28"/>
          <w:highlight w:val="none"/>
        </w:rPr>
        <w:t>十二、实地查勘期</w:t>
      </w:r>
    </w:p>
    <w:p>
      <w:pPr>
        <w:adjustRightInd w:val="0"/>
        <w:snapToGrid w:val="0"/>
        <w:spacing w:beforeLines="50" w:afterLines="50"/>
        <w:rPr>
          <w:rFonts w:ascii="仿宋_GB2312" w:eastAsia="仿宋_GB2312"/>
          <w:color w:val="auto"/>
          <w:sz w:val="28"/>
          <w:szCs w:val="20"/>
          <w:highlight w:val="none"/>
        </w:rPr>
      </w:pPr>
      <w:r>
        <w:rPr>
          <w:rFonts w:hint="eastAsia" w:ascii="仿宋_GB2312" w:eastAsia="仿宋_GB2312"/>
          <w:color w:val="auto"/>
          <w:sz w:val="28"/>
          <w:szCs w:val="20"/>
          <w:highlight w:val="none"/>
        </w:rPr>
        <w:t>2021年11月4日</w:t>
      </w:r>
    </w:p>
    <w:p>
      <w:pPr>
        <w:adjustRightInd w:val="0"/>
        <w:snapToGrid w:val="0"/>
        <w:spacing w:beforeLines="50" w:afterLines="50"/>
        <w:rPr>
          <w:rFonts w:eastAsia="仿宋_GB2312"/>
          <w:b/>
          <w:color w:val="auto"/>
          <w:sz w:val="28"/>
          <w:highlight w:val="none"/>
        </w:rPr>
      </w:pPr>
      <w:r>
        <w:rPr>
          <w:rFonts w:hint="eastAsia" w:eastAsia="仿宋_GB2312"/>
          <w:b/>
          <w:color w:val="auto"/>
          <w:sz w:val="28"/>
          <w:highlight w:val="none"/>
        </w:rPr>
        <w:t>十三、估价作业期</w:t>
      </w:r>
    </w:p>
    <w:p>
      <w:pPr>
        <w:adjustRightInd w:val="0"/>
        <w:snapToGrid w:val="0"/>
        <w:spacing w:line="360" w:lineRule="auto"/>
        <w:rPr>
          <w:rFonts w:ascii="仿宋_GB2312" w:eastAsia="仿宋_GB2312"/>
          <w:color w:val="auto"/>
          <w:sz w:val="28"/>
          <w:szCs w:val="20"/>
          <w:highlight w:val="none"/>
        </w:rPr>
      </w:pPr>
      <w:r>
        <w:rPr>
          <w:rFonts w:hint="eastAsia" w:ascii="仿宋_GB2312" w:eastAsia="仿宋_GB2312"/>
          <w:color w:val="auto"/>
          <w:sz w:val="28"/>
          <w:szCs w:val="20"/>
          <w:highlight w:val="none"/>
        </w:rPr>
        <w:t>2021年11月4日至</w:t>
      </w:r>
      <w:r>
        <w:rPr>
          <w:rFonts w:hint="eastAsia" w:ascii="仿宋_GB2312" w:hAnsi="宋体" w:eastAsia="仿宋_GB2312" w:cs="宋体"/>
          <w:color w:val="auto"/>
          <w:sz w:val="28"/>
          <w:szCs w:val="28"/>
          <w:highlight w:val="none"/>
        </w:rPr>
        <w:t>2021年12月23日</w:t>
      </w:r>
    </w:p>
    <w:p>
      <w:pPr>
        <w:adjustRightInd w:val="0"/>
        <w:snapToGrid w:val="0"/>
        <w:spacing w:line="360" w:lineRule="auto"/>
        <w:ind w:firstLine="3694" w:firstLineChars="1150"/>
        <w:rPr>
          <w:b/>
          <w:color w:val="auto"/>
          <w:sz w:val="32"/>
          <w:highlight w:val="none"/>
        </w:rPr>
      </w:pPr>
      <w:r>
        <w:rPr>
          <w:b/>
          <w:color w:val="auto"/>
          <w:sz w:val="32"/>
          <w:highlight w:val="none"/>
        </w:rPr>
        <w:br w:type="page"/>
      </w:r>
      <w:r>
        <w:rPr>
          <w:b/>
          <w:color w:val="auto"/>
          <w:sz w:val="32"/>
          <w:highlight w:val="none"/>
        </w:rPr>
        <w:t>附</w:t>
      </w:r>
      <w:r>
        <w:rPr>
          <w:rFonts w:hint="eastAsia"/>
          <w:b/>
          <w:color w:val="auto"/>
          <w:sz w:val="32"/>
          <w:highlight w:val="none"/>
        </w:rPr>
        <w:t xml:space="preserve"> </w:t>
      </w:r>
      <w:r>
        <w:rPr>
          <w:b/>
          <w:color w:val="auto"/>
          <w:sz w:val="32"/>
          <w:highlight w:val="none"/>
        </w:rPr>
        <w:t>件</w:t>
      </w:r>
    </w:p>
    <w:p>
      <w:pPr>
        <w:spacing w:line="400" w:lineRule="exact"/>
        <w:ind w:right="18"/>
        <w:rPr>
          <w:bCs/>
          <w:color w:val="auto"/>
          <w:sz w:val="32"/>
          <w:highlight w:val="none"/>
        </w:rPr>
      </w:pPr>
    </w:p>
    <w:p>
      <w:pPr>
        <w:autoSpaceDE w:val="0"/>
        <w:autoSpaceDN w:val="0"/>
        <w:snapToGrid w:val="0"/>
        <w:spacing w:line="300" w:lineRule="auto"/>
        <w:ind w:left="1120" w:right="-113" w:hanging="1120" w:hangingChars="400"/>
        <w:jc w:val="left"/>
        <w:textAlignment w:val="bottom"/>
        <w:rPr>
          <w:rFonts w:ascii="仿宋_GB2312" w:eastAsia="仿宋_GB2312"/>
          <w:color w:val="auto"/>
          <w:sz w:val="28"/>
          <w:szCs w:val="20"/>
          <w:highlight w:val="none"/>
        </w:rPr>
      </w:pPr>
      <w:r>
        <w:rPr>
          <w:rFonts w:hint="eastAsia" w:ascii="仿宋_GB2312" w:eastAsia="仿宋_GB2312"/>
          <w:color w:val="auto"/>
          <w:sz w:val="28"/>
          <w:szCs w:val="20"/>
          <w:highlight w:val="none"/>
        </w:rPr>
        <w:t>附件1   评估</w:t>
      </w:r>
      <w:r>
        <w:rPr>
          <w:rFonts w:hint="eastAsia" w:ascii="仿宋_GB2312" w:eastAsia="仿宋_GB2312"/>
          <w:color w:val="auto"/>
          <w:sz w:val="28"/>
          <w:szCs w:val="20"/>
          <w:highlight w:val="none"/>
        </w:rPr>
        <w:t>委托书复印件</w:t>
      </w:r>
    </w:p>
    <w:p>
      <w:pPr>
        <w:autoSpaceDE w:val="0"/>
        <w:autoSpaceDN w:val="0"/>
        <w:snapToGrid w:val="0"/>
        <w:spacing w:line="300" w:lineRule="auto"/>
        <w:ind w:right="-113"/>
        <w:jc w:val="left"/>
        <w:textAlignment w:val="bottom"/>
        <w:rPr>
          <w:rFonts w:ascii="仿宋_GB2312" w:eastAsia="仿宋_GB2312"/>
          <w:color w:val="auto"/>
          <w:sz w:val="28"/>
          <w:szCs w:val="20"/>
          <w:highlight w:val="none"/>
        </w:rPr>
      </w:pPr>
      <w:r>
        <w:rPr>
          <w:rFonts w:hint="eastAsia" w:ascii="仿宋_GB2312" w:eastAsia="仿宋_GB2312"/>
          <w:color w:val="auto"/>
          <w:sz w:val="28"/>
          <w:szCs w:val="20"/>
          <w:highlight w:val="none"/>
        </w:rPr>
        <w:t>附件2   估价对象区域位置示意图</w:t>
      </w:r>
    </w:p>
    <w:p>
      <w:pPr>
        <w:autoSpaceDE w:val="0"/>
        <w:autoSpaceDN w:val="0"/>
        <w:snapToGrid w:val="0"/>
        <w:spacing w:line="300" w:lineRule="auto"/>
        <w:ind w:right="-113"/>
        <w:jc w:val="left"/>
        <w:textAlignment w:val="bottom"/>
        <w:rPr>
          <w:rFonts w:ascii="仿宋_GB2312" w:eastAsia="仿宋_GB2312"/>
          <w:color w:val="auto"/>
          <w:sz w:val="28"/>
          <w:szCs w:val="20"/>
          <w:highlight w:val="none"/>
        </w:rPr>
      </w:pPr>
      <w:r>
        <w:rPr>
          <w:rFonts w:hint="eastAsia" w:ascii="仿宋_GB2312" w:eastAsia="仿宋_GB2312"/>
          <w:color w:val="auto"/>
          <w:sz w:val="28"/>
          <w:szCs w:val="20"/>
          <w:highlight w:val="none"/>
        </w:rPr>
        <w:t>附件3   估价对象利用现状照片</w:t>
      </w:r>
    </w:p>
    <w:p>
      <w:pPr>
        <w:autoSpaceDE w:val="0"/>
        <w:autoSpaceDN w:val="0"/>
        <w:snapToGrid w:val="0"/>
        <w:spacing w:line="300" w:lineRule="auto"/>
        <w:ind w:left="1120" w:right="-113" w:hanging="1120" w:hangingChars="400"/>
        <w:jc w:val="left"/>
        <w:textAlignment w:val="bottom"/>
        <w:rPr>
          <w:rFonts w:ascii="仿宋_GB2312" w:eastAsia="仿宋_GB2312"/>
          <w:color w:val="auto"/>
          <w:sz w:val="28"/>
          <w:szCs w:val="20"/>
          <w:highlight w:val="none"/>
        </w:rPr>
      </w:pPr>
      <w:r>
        <w:rPr>
          <w:rFonts w:hint="eastAsia" w:ascii="仿宋_GB2312" w:eastAsia="仿宋_GB2312"/>
          <w:color w:val="auto"/>
          <w:sz w:val="28"/>
          <w:szCs w:val="20"/>
          <w:highlight w:val="none"/>
        </w:rPr>
        <w:t xml:space="preserve">附件4   </w:t>
      </w:r>
      <w:r>
        <w:rPr>
          <w:rFonts w:hint="eastAsia" w:ascii="仿宋_GB2312" w:hAnsi="仿宋" w:eastAsia="仿宋_GB2312"/>
          <w:color w:val="auto"/>
          <w:sz w:val="28"/>
          <w:szCs w:val="28"/>
          <w:highlight w:val="none"/>
        </w:rPr>
        <w:t>估价对象《购房协议书》</w:t>
      </w:r>
      <w:r>
        <w:rPr>
          <w:rFonts w:hint="eastAsia" w:ascii="仿宋_GB2312" w:hAnsi="仿宋" w:eastAsia="仿宋_GB2312"/>
          <w:color w:val="auto"/>
          <w:sz w:val="28"/>
          <w:szCs w:val="28"/>
          <w:highlight w:val="none"/>
          <w:lang w:eastAsia="zh-CN"/>
        </w:rPr>
        <w:t>、《</w:t>
      </w:r>
      <w:r>
        <w:rPr>
          <w:rFonts w:hint="eastAsia" w:ascii="仿宋_GB2312" w:hAnsi="仿宋" w:eastAsia="仿宋_GB2312"/>
          <w:color w:val="auto"/>
          <w:sz w:val="28"/>
          <w:szCs w:val="28"/>
          <w:highlight w:val="none"/>
          <w:lang w:val="en-US" w:eastAsia="zh-CN"/>
        </w:rPr>
        <w:t>商品房预售许可证</w:t>
      </w:r>
      <w:r>
        <w:rPr>
          <w:rFonts w:hint="eastAsia" w:ascii="仿宋_GB2312" w:hAnsi="仿宋" w:eastAsia="仿宋_GB2312"/>
          <w:color w:val="auto"/>
          <w:sz w:val="28"/>
          <w:szCs w:val="28"/>
          <w:highlight w:val="none"/>
          <w:lang w:eastAsia="zh-CN"/>
        </w:rPr>
        <w:t>》</w:t>
      </w:r>
      <w:r>
        <w:rPr>
          <w:rFonts w:hint="eastAsia" w:ascii="仿宋_GB2312" w:eastAsia="仿宋_GB2312"/>
          <w:color w:val="auto"/>
          <w:sz w:val="28"/>
          <w:szCs w:val="20"/>
          <w:highlight w:val="none"/>
        </w:rPr>
        <w:t>复印件</w:t>
      </w:r>
    </w:p>
    <w:p>
      <w:pPr>
        <w:autoSpaceDE w:val="0"/>
        <w:autoSpaceDN w:val="0"/>
        <w:snapToGrid w:val="0"/>
        <w:spacing w:line="300" w:lineRule="auto"/>
        <w:ind w:left="1120" w:right="-113" w:hanging="1120" w:hangingChars="400"/>
        <w:jc w:val="left"/>
        <w:textAlignment w:val="bottom"/>
        <w:rPr>
          <w:rFonts w:ascii="仿宋_GB2312" w:eastAsia="仿宋_GB2312"/>
          <w:color w:val="auto"/>
          <w:sz w:val="28"/>
          <w:szCs w:val="20"/>
          <w:highlight w:val="none"/>
        </w:rPr>
      </w:pPr>
      <w:r>
        <w:rPr>
          <w:rFonts w:hint="eastAsia" w:ascii="仿宋_GB2312" w:eastAsia="仿宋_GB2312"/>
          <w:color w:val="auto"/>
          <w:sz w:val="28"/>
          <w:szCs w:val="20"/>
          <w:highlight w:val="none"/>
        </w:rPr>
        <w:t>附件5   现场查勘记录复印件</w:t>
      </w:r>
    </w:p>
    <w:p>
      <w:pPr>
        <w:autoSpaceDE w:val="0"/>
        <w:autoSpaceDN w:val="0"/>
        <w:snapToGrid w:val="0"/>
        <w:spacing w:line="300" w:lineRule="auto"/>
        <w:ind w:left="1120" w:right="-113" w:hanging="1120" w:hangingChars="400"/>
        <w:jc w:val="left"/>
        <w:textAlignment w:val="bottom"/>
        <w:rPr>
          <w:rFonts w:ascii="仿宋_GB2312" w:eastAsia="仿宋_GB2312"/>
          <w:color w:val="auto"/>
          <w:sz w:val="28"/>
          <w:szCs w:val="20"/>
          <w:highlight w:val="none"/>
        </w:rPr>
      </w:pPr>
      <w:r>
        <w:rPr>
          <w:rFonts w:hint="eastAsia" w:ascii="仿宋_GB2312" w:eastAsia="仿宋_GB2312"/>
          <w:color w:val="auto"/>
          <w:sz w:val="28"/>
          <w:szCs w:val="20"/>
          <w:highlight w:val="none"/>
        </w:rPr>
        <w:t>附件6   估价机构营业执照复印件</w:t>
      </w:r>
    </w:p>
    <w:p>
      <w:pPr>
        <w:autoSpaceDE w:val="0"/>
        <w:autoSpaceDN w:val="0"/>
        <w:snapToGrid w:val="0"/>
        <w:spacing w:line="300" w:lineRule="auto"/>
        <w:ind w:right="-113"/>
        <w:jc w:val="left"/>
        <w:textAlignment w:val="bottom"/>
        <w:rPr>
          <w:rFonts w:ascii="仿宋_GB2312" w:eastAsia="仿宋_GB2312"/>
          <w:color w:val="auto"/>
          <w:sz w:val="28"/>
          <w:szCs w:val="20"/>
          <w:highlight w:val="none"/>
        </w:rPr>
      </w:pPr>
      <w:r>
        <w:rPr>
          <w:rFonts w:hint="eastAsia" w:ascii="仿宋_GB2312" w:eastAsia="仿宋_GB2312"/>
          <w:color w:val="auto"/>
          <w:sz w:val="28"/>
          <w:szCs w:val="20"/>
          <w:highlight w:val="none"/>
        </w:rPr>
        <w:t>附件7   估价机构备案证书复印件</w:t>
      </w:r>
    </w:p>
    <w:p>
      <w:pPr>
        <w:autoSpaceDE w:val="0"/>
        <w:autoSpaceDN w:val="0"/>
        <w:snapToGrid w:val="0"/>
        <w:spacing w:line="300" w:lineRule="auto"/>
        <w:ind w:right="-113"/>
        <w:jc w:val="left"/>
        <w:textAlignment w:val="bottom"/>
        <w:rPr>
          <w:rFonts w:ascii="仿宋_GB2312" w:eastAsia="仿宋_GB2312"/>
          <w:color w:val="auto"/>
          <w:sz w:val="28"/>
          <w:szCs w:val="20"/>
          <w:highlight w:val="none"/>
        </w:rPr>
      </w:pPr>
      <w:r>
        <w:rPr>
          <w:rFonts w:hint="eastAsia" w:ascii="仿宋_GB2312" w:eastAsia="仿宋_GB2312"/>
          <w:color w:val="auto"/>
          <w:sz w:val="28"/>
          <w:szCs w:val="20"/>
          <w:highlight w:val="none"/>
        </w:rPr>
        <w:t>附件8   房地产估价师注册证书复印件</w:t>
      </w:r>
    </w:p>
    <w:p>
      <w:pPr>
        <w:rPr>
          <w:color w:val="auto"/>
          <w:highlight w:val="none"/>
        </w:rPr>
      </w:pPr>
    </w:p>
    <w:p>
      <w:pPr>
        <w:rPr>
          <w:color w:val="auto"/>
          <w:highlight w:val="none"/>
        </w:rPr>
      </w:pPr>
    </w:p>
    <w:sectPr>
      <w:headerReference r:id="rId4" w:type="first"/>
      <w:headerReference r:id="rId3" w:type="default"/>
      <w:footerReference r:id="rId5" w:type="default"/>
      <w:type w:val="continuous"/>
      <w:pgSz w:w="11906" w:h="16838"/>
      <w:pgMar w:top="1440" w:right="1797" w:bottom="1440" w:left="1797" w:header="851" w:footer="992" w:gutter="0"/>
      <w:pgNumType w:start="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宋体-18030">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A1E0F6C"/>
    <w:rsid w:val="000F1B5F"/>
    <w:rsid w:val="0015210F"/>
    <w:rsid w:val="001560D3"/>
    <w:rsid w:val="002838A0"/>
    <w:rsid w:val="005B17E4"/>
    <w:rsid w:val="00637C72"/>
    <w:rsid w:val="006C24B5"/>
    <w:rsid w:val="00775679"/>
    <w:rsid w:val="007F5CDB"/>
    <w:rsid w:val="00A41921"/>
    <w:rsid w:val="00B8768C"/>
    <w:rsid w:val="00C31C57"/>
    <w:rsid w:val="00DE2FB5"/>
    <w:rsid w:val="00DF2D84"/>
    <w:rsid w:val="01D82774"/>
    <w:rsid w:val="01DC0CF9"/>
    <w:rsid w:val="030F0422"/>
    <w:rsid w:val="0580577A"/>
    <w:rsid w:val="067F06B8"/>
    <w:rsid w:val="071E2F03"/>
    <w:rsid w:val="07302DEE"/>
    <w:rsid w:val="0827199C"/>
    <w:rsid w:val="0A1E497D"/>
    <w:rsid w:val="0B25635F"/>
    <w:rsid w:val="0B2B52C7"/>
    <w:rsid w:val="0B7D479D"/>
    <w:rsid w:val="0CD47D12"/>
    <w:rsid w:val="0D4876B8"/>
    <w:rsid w:val="105E04F0"/>
    <w:rsid w:val="122909FB"/>
    <w:rsid w:val="12A60DD7"/>
    <w:rsid w:val="13A605AB"/>
    <w:rsid w:val="155E137C"/>
    <w:rsid w:val="16D11699"/>
    <w:rsid w:val="16F352EB"/>
    <w:rsid w:val="1BC91F21"/>
    <w:rsid w:val="1C783966"/>
    <w:rsid w:val="1D032AF7"/>
    <w:rsid w:val="1F091C1A"/>
    <w:rsid w:val="1F916308"/>
    <w:rsid w:val="206730A4"/>
    <w:rsid w:val="20825C93"/>
    <w:rsid w:val="252E6E88"/>
    <w:rsid w:val="27B1459F"/>
    <w:rsid w:val="28E12E3B"/>
    <w:rsid w:val="28E84C27"/>
    <w:rsid w:val="29F714EE"/>
    <w:rsid w:val="2B6614E4"/>
    <w:rsid w:val="2F481688"/>
    <w:rsid w:val="2FCC4D25"/>
    <w:rsid w:val="302435AF"/>
    <w:rsid w:val="3108165F"/>
    <w:rsid w:val="31FF62E7"/>
    <w:rsid w:val="32DF715C"/>
    <w:rsid w:val="36914074"/>
    <w:rsid w:val="37585373"/>
    <w:rsid w:val="37C96AA4"/>
    <w:rsid w:val="38E35CE7"/>
    <w:rsid w:val="3C050EE6"/>
    <w:rsid w:val="3CE416D6"/>
    <w:rsid w:val="3D375A6D"/>
    <w:rsid w:val="40917764"/>
    <w:rsid w:val="40F179B7"/>
    <w:rsid w:val="422566A8"/>
    <w:rsid w:val="42D70C67"/>
    <w:rsid w:val="46017FF7"/>
    <w:rsid w:val="463C4F7E"/>
    <w:rsid w:val="473753AF"/>
    <w:rsid w:val="477D49CD"/>
    <w:rsid w:val="489537AE"/>
    <w:rsid w:val="48C1420E"/>
    <w:rsid w:val="4C9145DD"/>
    <w:rsid w:val="4DB67640"/>
    <w:rsid w:val="4E4C7FAE"/>
    <w:rsid w:val="4EDC6D4E"/>
    <w:rsid w:val="4F0168AC"/>
    <w:rsid w:val="52B00E32"/>
    <w:rsid w:val="532A1960"/>
    <w:rsid w:val="54051000"/>
    <w:rsid w:val="593D005F"/>
    <w:rsid w:val="59FC57EA"/>
    <w:rsid w:val="5D1D6B36"/>
    <w:rsid w:val="5E432861"/>
    <w:rsid w:val="5EDA0242"/>
    <w:rsid w:val="5F870EB9"/>
    <w:rsid w:val="60BD20F6"/>
    <w:rsid w:val="623F28F7"/>
    <w:rsid w:val="62AF14C8"/>
    <w:rsid w:val="642516DC"/>
    <w:rsid w:val="64B47E4C"/>
    <w:rsid w:val="655F3831"/>
    <w:rsid w:val="66FF1A52"/>
    <w:rsid w:val="6711477D"/>
    <w:rsid w:val="6849633A"/>
    <w:rsid w:val="69702479"/>
    <w:rsid w:val="69DA20E0"/>
    <w:rsid w:val="6A1E0F6C"/>
    <w:rsid w:val="6D535020"/>
    <w:rsid w:val="6DAC5C62"/>
    <w:rsid w:val="6F4D6AAD"/>
    <w:rsid w:val="727E6C01"/>
    <w:rsid w:val="72E52183"/>
    <w:rsid w:val="734A36E5"/>
    <w:rsid w:val="75AA1968"/>
    <w:rsid w:val="777121FA"/>
    <w:rsid w:val="77F84B46"/>
    <w:rsid w:val="781203CF"/>
    <w:rsid w:val="789C7F6D"/>
    <w:rsid w:val="79DE4A12"/>
    <w:rsid w:val="7B9341B2"/>
    <w:rsid w:val="7BF7772A"/>
    <w:rsid w:val="7CB1107C"/>
    <w:rsid w:val="7CEC1A10"/>
    <w:rsid w:val="7E97362F"/>
    <w:rsid w:val="7F773AB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Body Text Indent"/>
    <w:basedOn w:val="1"/>
    <w:qFormat/>
    <w:uiPriority w:val="0"/>
    <w:pPr>
      <w:ind w:firstLine="560" w:firstLineChars="200"/>
    </w:pPr>
    <w:rPr>
      <w:rFonts w:ascii="仿宋_GB2312" w:eastAsia="仿宋_GB2312"/>
      <w:sz w:val="28"/>
    </w:rPr>
  </w:style>
  <w:style w:type="paragraph" w:styleId="4">
    <w:name w:val="Date"/>
    <w:basedOn w:val="1"/>
    <w:next w:val="1"/>
    <w:qFormat/>
    <w:uiPriority w:val="0"/>
    <w:rPr>
      <w:sz w:val="32"/>
      <w:szCs w:val="20"/>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16"/>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annotation reference"/>
    <w:basedOn w:val="11"/>
    <w:qFormat/>
    <w:uiPriority w:val="0"/>
    <w:rPr>
      <w:sz w:val="21"/>
      <w:szCs w:val="21"/>
    </w:rPr>
  </w:style>
  <w:style w:type="character" w:customStyle="1" w:styleId="14">
    <w:name w:val="批注框文本 Char"/>
    <w:basedOn w:val="11"/>
    <w:link w:val="5"/>
    <w:qFormat/>
    <w:uiPriority w:val="0"/>
    <w:rPr>
      <w:kern w:val="2"/>
      <w:sz w:val="18"/>
      <w:szCs w:val="18"/>
    </w:rPr>
  </w:style>
  <w:style w:type="character" w:customStyle="1" w:styleId="15">
    <w:name w:val="批注文字 Char"/>
    <w:basedOn w:val="11"/>
    <w:link w:val="2"/>
    <w:qFormat/>
    <w:uiPriority w:val="0"/>
    <w:rPr>
      <w:kern w:val="2"/>
      <w:sz w:val="21"/>
      <w:szCs w:val="24"/>
    </w:rPr>
  </w:style>
  <w:style w:type="character" w:customStyle="1" w:styleId="16">
    <w:name w:val="批注主题 Char"/>
    <w:basedOn w:val="15"/>
    <w:link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市委老干局</Company>
  <Pages>1</Pages>
  <Words>987</Words>
  <Characters>5632</Characters>
  <Lines>46</Lines>
  <Paragraphs>13</Paragraphs>
  <TotalTime>3</TotalTime>
  <ScaleCrop>false</ScaleCrop>
  <LinksUpToDate>false</LinksUpToDate>
  <CharactersWithSpaces>6606</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2021-11-23T06:23:00Z</dcterms:created>
  <dc:creator>Administrator</dc:creator>
  <cp:lastModifiedBy>Administrator</cp:lastModifiedBy>
  <dcterms:modified xsi:type="dcterms:W3CDTF">2022-03-22T02:39:32Z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297BD53243CF4CBB9890B78B97FD55D5</vt:lpwstr>
  </property>
</Properties>
</file>