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uto"/>
        <w:rPr>
          <w:rFonts w:hint="eastAsia" w:asciiTheme="minorEastAsia" w:hAnsiTheme="minorEastAsia" w:eastAsiaTheme="minorEastAsia"/>
          <w:kern w:val="28"/>
          <w:sz w:val="28"/>
          <w:szCs w:val="28"/>
        </w:rPr>
      </w:pPr>
    </w:p>
    <w:p>
      <w:pPr>
        <w:wordWrap w:val="0"/>
        <w:spacing w:line="240" w:lineRule="auto"/>
        <w:rPr>
          <w:rFonts w:asciiTheme="minorEastAsia" w:hAnsiTheme="minorEastAsia" w:eastAsiaTheme="minorEastAsia"/>
          <w:kern w:val="28"/>
          <w:sz w:val="28"/>
          <w:szCs w:val="28"/>
        </w:rPr>
      </w:pPr>
    </w:p>
    <w:p>
      <w:pPr>
        <w:wordWrap w:val="0"/>
        <w:spacing w:before="100" w:beforeAutospacing="1" w:after="1560" w:afterLines="500"/>
        <w:jc w:val="center"/>
        <w:rPr>
          <w:rFonts w:asciiTheme="minorEastAsia" w:hAnsiTheme="minorEastAsia" w:eastAsiaTheme="minorEastAsia"/>
          <w:b/>
          <w:kern w:val="2"/>
          <w:sz w:val="56"/>
          <w:szCs w:val="72"/>
        </w:rPr>
      </w:pPr>
      <w:r>
        <w:rPr>
          <w:rFonts w:hint="eastAsia" w:asciiTheme="minorEastAsia" w:hAnsiTheme="minorEastAsia" w:eastAsiaTheme="minorEastAsia"/>
          <w:b/>
          <w:kern w:val="2"/>
          <w:sz w:val="56"/>
          <w:szCs w:val="72"/>
        </w:rPr>
        <w:t>涉执房地产处置司法评估报告</w:t>
      </w:r>
    </w:p>
    <w:p>
      <w:pPr>
        <w:tabs>
          <w:tab w:val="left" w:pos="5220"/>
        </w:tabs>
        <w:wordWrap w:val="0"/>
        <w:adjustRightInd/>
        <w:spacing w:line="440" w:lineRule="exact"/>
        <w:ind w:left="2263" w:hanging="2263" w:hangingChars="692"/>
        <w:jc w:val="left"/>
        <w:textAlignment w:val="auto"/>
        <w:rPr>
          <w:rFonts w:asciiTheme="minorEastAsia" w:hAnsiTheme="minorEastAsia" w:eastAsiaTheme="minorEastAsia"/>
          <w:sz w:val="28"/>
          <w:szCs w:val="28"/>
        </w:rPr>
      </w:pPr>
      <w:r>
        <w:rPr>
          <w:rFonts w:hint="eastAsia" w:asciiTheme="minorEastAsia" w:hAnsiTheme="minorEastAsia" w:eastAsiaTheme="minorEastAsia"/>
          <w:b/>
          <w:spacing w:val="23"/>
          <w:sz w:val="28"/>
          <w:szCs w:val="28"/>
        </w:rPr>
        <w:t>估价项目名称</w:t>
      </w:r>
      <w:r>
        <w:rPr>
          <w:rFonts w:hint="eastAsia" w:asciiTheme="minorEastAsia" w:hAnsiTheme="minorEastAsia" w:eastAsiaTheme="minorEastAsia"/>
          <w:b/>
          <w:spacing w:val="2"/>
          <w:sz w:val="28"/>
          <w:szCs w:val="28"/>
        </w:rPr>
        <w:t>：</w:t>
      </w:r>
      <w:bookmarkStart w:id="21" w:name="_GoBack"/>
      <w:r>
        <w:rPr>
          <w:rFonts w:hint="eastAsia" w:asciiTheme="minorEastAsia" w:hAnsiTheme="minorEastAsia" w:eastAsiaTheme="minorEastAsia"/>
          <w:kern w:val="28"/>
          <w:sz w:val="28"/>
          <w:szCs w:val="28"/>
        </w:rPr>
        <w:t>王芬名下位于广州市增城市新塘镇凤凰城凤锦苑五街1号1001房及凤凰城凤锦苑五街1-4号地下车库负一层494号之市场</w:t>
      </w:r>
      <w:r>
        <w:rPr>
          <w:rFonts w:asciiTheme="minorEastAsia" w:hAnsiTheme="minorEastAsia" w:eastAsiaTheme="minorEastAsia"/>
          <w:kern w:val="28"/>
          <w:sz w:val="28"/>
          <w:szCs w:val="28"/>
        </w:rPr>
        <w:t>价值评估</w:t>
      </w:r>
    </w:p>
    <w:bookmarkEnd w:id="21"/>
    <w:p>
      <w:pPr>
        <w:spacing w:before="312" w:beforeLines="100" w:after="624" w:afterLines="200" w:line="240" w:lineRule="auto"/>
        <w:jc w:val="left"/>
        <w:textAlignment w:val="auto"/>
      </w:pPr>
      <w:r>
        <w:rPr>
          <w:rFonts w:asciiTheme="minorEastAsia" w:hAnsiTheme="minorEastAsia" w:eastAsiaTheme="minorEastAsia"/>
          <w:b/>
          <w:bCs/>
          <w:spacing w:val="56"/>
          <w:kern w:val="0"/>
          <w:position w:val="-1"/>
          <w:sz w:val="28"/>
          <w:szCs w:val="28"/>
          <w:fitText w:val="2248" w:id="-1584200704"/>
        </w:rPr>
        <w:t>估价委托人</w:t>
      </w:r>
      <w:r>
        <w:rPr>
          <w:rFonts w:asciiTheme="minorEastAsia" w:hAnsiTheme="minorEastAsia" w:eastAsiaTheme="minorEastAsia"/>
          <w:b/>
          <w:bCs/>
          <w:spacing w:val="4"/>
          <w:kern w:val="0"/>
          <w:position w:val="-1"/>
          <w:sz w:val="28"/>
          <w:szCs w:val="28"/>
          <w:fitText w:val="2248" w:id="-1584200704"/>
        </w:rPr>
        <w:t>：</w:t>
      </w:r>
      <w:r>
        <w:rPr>
          <w:rFonts w:asciiTheme="minorEastAsia" w:hAnsiTheme="minorEastAsia" w:eastAsiaTheme="minorEastAsia"/>
          <w:kern w:val="28"/>
          <w:position w:val="-1"/>
          <w:sz w:val="28"/>
          <w:szCs w:val="28"/>
        </w:rPr>
        <w:t>广东省珠海市香洲区人民法院</w:t>
      </w:r>
    </w:p>
    <w:p>
      <w:pPr>
        <w:spacing w:before="312" w:beforeLines="100" w:after="624" w:afterLines="200" w:line="240" w:lineRule="auto"/>
        <w:jc w:val="left"/>
        <w:textAlignment w:val="auto"/>
      </w:pPr>
      <w:r>
        <w:rPr>
          <w:rFonts w:asciiTheme="minorEastAsia" w:hAnsiTheme="minorEastAsia" w:eastAsiaTheme="minorEastAsia"/>
          <w:b/>
          <w:bCs/>
          <w:spacing w:val="352"/>
          <w:kern w:val="0"/>
          <w:position w:val="-1"/>
          <w:sz w:val="28"/>
          <w:szCs w:val="28"/>
          <w:fitText w:val="2248" w:id="-1584200703"/>
        </w:rPr>
        <w:t>案号</w:t>
      </w:r>
      <w:r>
        <w:rPr>
          <w:rFonts w:asciiTheme="minorEastAsia" w:hAnsiTheme="minorEastAsia" w:eastAsiaTheme="minorEastAsia"/>
          <w:b/>
          <w:bCs/>
          <w:spacing w:val="0"/>
          <w:kern w:val="0"/>
          <w:position w:val="-1"/>
          <w:sz w:val="28"/>
          <w:szCs w:val="28"/>
          <w:fitText w:val="2248" w:id="-1584200703"/>
        </w:rPr>
        <w:t>：</w:t>
      </w:r>
      <w:r>
        <w:rPr>
          <w:rFonts w:hint="eastAsia" w:asciiTheme="minorEastAsia" w:hAnsiTheme="minorEastAsia" w:eastAsiaTheme="minorEastAsia"/>
          <w:kern w:val="28"/>
          <w:position w:val="-1"/>
          <w:sz w:val="28"/>
          <w:szCs w:val="28"/>
        </w:rPr>
        <w:t>（2021）粤0402执8396号</w:t>
      </w:r>
    </w:p>
    <w:p>
      <w:pPr>
        <w:tabs>
          <w:tab w:val="left" w:pos="2268"/>
          <w:tab w:val="left" w:pos="5220"/>
        </w:tabs>
        <w:wordWrap w:val="0"/>
        <w:adjustRightInd/>
        <w:spacing w:before="624" w:beforeLines="200" w:after="624" w:afterLines="200" w:line="240" w:lineRule="auto"/>
        <w:jc w:val="left"/>
        <w:textAlignment w:val="auto"/>
        <w:rPr>
          <w:rFonts w:asciiTheme="minorEastAsia" w:hAnsiTheme="minorEastAsia" w:eastAsiaTheme="minorEastAsia"/>
          <w:kern w:val="28"/>
          <w:sz w:val="28"/>
          <w:szCs w:val="28"/>
        </w:rPr>
      </w:pPr>
      <w:r>
        <w:rPr>
          <w:rFonts w:hint="eastAsia" w:cs="仿宋_GB2312" w:asciiTheme="minorEastAsia" w:hAnsiTheme="minorEastAsia" w:eastAsiaTheme="minorEastAsia"/>
          <w:b/>
          <w:w w:val="99"/>
          <w:sz w:val="28"/>
          <w:szCs w:val="28"/>
        </w:rPr>
        <w:t>房地产估价机构</w:t>
      </w:r>
      <w:r>
        <w:rPr>
          <w:rFonts w:hint="eastAsia" w:cs="仿宋_GB2312" w:asciiTheme="minorEastAsia" w:hAnsiTheme="minorEastAsia" w:eastAsiaTheme="minorEastAsia"/>
          <w:b/>
          <w:spacing w:val="8"/>
          <w:w w:val="99"/>
          <w:sz w:val="28"/>
          <w:szCs w:val="28"/>
        </w:rPr>
        <w:t>：</w:t>
      </w:r>
      <w:r>
        <w:rPr>
          <w:rFonts w:hint="eastAsia" w:asciiTheme="minorEastAsia" w:hAnsiTheme="minorEastAsia" w:eastAsiaTheme="minorEastAsia"/>
          <w:sz w:val="28"/>
          <w:szCs w:val="28"/>
        </w:rPr>
        <w:t>广东正拓土地房地产与资产评估有限公司</w:t>
      </w:r>
    </w:p>
    <w:p>
      <w:pPr>
        <w:tabs>
          <w:tab w:val="left" w:pos="5220"/>
        </w:tabs>
        <w:wordWrap w:val="0"/>
        <w:adjustRightInd/>
        <w:spacing w:line="440" w:lineRule="exact"/>
        <w:ind w:left="2212" w:hanging="2206" w:hangingChars="900"/>
        <w:jc w:val="left"/>
        <w:textAlignment w:val="auto"/>
        <w:rPr>
          <w:rFonts w:asciiTheme="minorEastAsia" w:hAnsiTheme="minorEastAsia" w:eastAsiaTheme="minorEastAsia"/>
          <w:kern w:val="28"/>
          <w:sz w:val="28"/>
          <w:szCs w:val="28"/>
        </w:rPr>
      </w:pPr>
      <w:r>
        <w:rPr>
          <w:rFonts w:hint="eastAsia" w:cs="仿宋_GB2312" w:asciiTheme="minorEastAsia" w:hAnsiTheme="minorEastAsia" w:eastAsiaTheme="minorEastAsia"/>
          <w:b/>
          <w:bCs/>
          <w:spacing w:val="2"/>
          <w:w w:val="86"/>
          <w:sz w:val="28"/>
          <w:szCs w:val="28"/>
        </w:rPr>
        <w:t>注册房地产估价</w:t>
      </w:r>
      <w:r>
        <w:rPr>
          <w:rFonts w:hint="eastAsia" w:cs="仿宋_GB2312" w:asciiTheme="minorEastAsia" w:hAnsiTheme="minorEastAsia" w:eastAsiaTheme="minorEastAsia"/>
          <w:b/>
          <w:bCs/>
          <w:spacing w:val="-6"/>
          <w:w w:val="86"/>
          <w:sz w:val="28"/>
          <w:szCs w:val="28"/>
        </w:rPr>
        <w:t>师</w:t>
      </w:r>
      <w:r>
        <w:rPr>
          <w:rFonts w:hint="eastAsia" w:cs="仿宋_GB2312" w:asciiTheme="minorEastAsia" w:hAnsiTheme="minorEastAsia" w:eastAsiaTheme="minorEastAsia"/>
          <w:b/>
          <w:bCs/>
          <w:sz w:val="28"/>
          <w:szCs w:val="28"/>
        </w:rPr>
        <w:t>：</w:t>
      </w:r>
      <w:r>
        <w:rPr>
          <w:rFonts w:hint="eastAsia" w:asciiTheme="minorEastAsia" w:hAnsiTheme="minorEastAsia" w:eastAsiaTheme="minorEastAsia"/>
          <w:kern w:val="28"/>
          <w:sz w:val="28"/>
          <w:szCs w:val="28"/>
        </w:rPr>
        <w:t>阳金波（注册号：4420110064）</w:t>
      </w:r>
    </w:p>
    <w:p>
      <w:pPr>
        <w:tabs>
          <w:tab w:val="left" w:pos="5220"/>
        </w:tabs>
        <w:wordWrap w:val="0"/>
        <w:adjustRightInd/>
        <w:spacing w:line="440" w:lineRule="exact"/>
        <w:ind w:left="2224" w:leftChars="1059"/>
        <w:jc w:val="left"/>
        <w:textAlignment w:val="auto"/>
        <w:rPr>
          <w:rFonts w:asciiTheme="minorEastAsia" w:hAnsiTheme="minorEastAsia" w:eastAsiaTheme="minorEastAsia"/>
          <w:kern w:val="28"/>
          <w:sz w:val="28"/>
          <w:szCs w:val="28"/>
        </w:rPr>
      </w:pPr>
      <w:r>
        <w:rPr>
          <w:rFonts w:hint="eastAsia" w:asciiTheme="minorEastAsia" w:hAnsiTheme="minorEastAsia" w:eastAsiaTheme="minorEastAsia"/>
          <w:kern w:val="28"/>
          <w:sz w:val="28"/>
          <w:szCs w:val="28"/>
        </w:rPr>
        <w:t>李文婷（注册号：4420200053）</w:t>
      </w:r>
    </w:p>
    <w:p>
      <w:pPr>
        <w:tabs>
          <w:tab w:val="left" w:pos="1843"/>
          <w:tab w:val="left" w:pos="5220"/>
        </w:tabs>
        <w:wordWrap w:val="0"/>
        <w:adjustRightInd/>
        <w:spacing w:before="312" w:beforeLines="100" w:after="624" w:afterLines="200" w:line="240" w:lineRule="auto"/>
        <w:jc w:val="left"/>
        <w:textAlignment w:val="auto"/>
        <w:rPr>
          <w:rFonts w:asciiTheme="minorEastAsia" w:hAnsiTheme="minorEastAsia" w:eastAsiaTheme="minorEastAsia"/>
          <w:b/>
          <w:kern w:val="28"/>
          <w:sz w:val="28"/>
          <w:szCs w:val="28"/>
        </w:rPr>
      </w:pPr>
      <w:r>
        <w:rPr>
          <w:rFonts w:hint="eastAsia" w:cs="仿宋_GB2312" w:asciiTheme="minorEastAsia" w:hAnsiTheme="minorEastAsia" w:eastAsiaTheme="minorEastAsia"/>
          <w:b/>
          <w:spacing w:val="2"/>
          <w:w w:val="86"/>
          <w:sz w:val="28"/>
          <w:szCs w:val="28"/>
        </w:rPr>
        <w:t>估价报告出具日期</w:t>
      </w:r>
      <w:r>
        <w:rPr>
          <w:rFonts w:hint="eastAsia" w:cs="仿宋_GB2312" w:asciiTheme="minorEastAsia" w:hAnsiTheme="minorEastAsia" w:eastAsiaTheme="minorEastAsia"/>
          <w:b/>
          <w:sz w:val="28"/>
          <w:szCs w:val="28"/>
        </w:rPr>
        <w:t>：</w:t>
      </w:r>
      <w:r>
        <w:rPr>
          <w:rFonts w:hint="eastAsia" w:asciiTheme="minorEastAsia" w:hAnsiTheme="minorEastAsia" w:eastAsiaTheme="minorEastAsia"/>
          <w:kern w:val="28"/>
          <w:sz w:val="28"/>
          <w:szCs w:val="28"/>
        </w:rPr>
        <w:t>二〇二二年五月十一日</w:t>
      </w:r>
    </w:p>
    <w:p>
      <w:pPr>
        <w:wordWrap w:val="0"/>
        <w:spacing w:line="240" w:lineRule="auto"/>
        <w:rPr>
          <w:rFonts w:asciiTheme="minorEastAsia" w:hAnsiTheme="minorEastAsia" w:eastAsiaTheme="minorEastAsia"/>
          <w:kern w:val="28"/>
          <w:sz w:val="28"/>
          <w:szCs w:val="28"/>
        </w:rPr>
      </w:pPr>
      <w:r>
        <w:rPr>
          <w:rFonts w:asciiTheme="minorEastAsia" w:hAnsiTheme="minorEastAsia" w:eastAsiaTheme="minorEastAsia"/>
          <w:b/>
          <w:spacing w:val="22"/>
          <w:sz w:val="28"/>
          <w:szCs w:val="28"/>
        </w:rPr>
        <w:t>估价报告编号：</w:t>
      </w:r>
      <w:r>
        <w:rPr>
          <w:rFonts w:hint="eastAsia" w:asciiTheme="minorEastAsia" w:hAnsiTheme="minorEastAsia" w:eastAsiaTheme="minorEastAsia"/>
          <w:kern w:val="28"/>
          <w:sz w:val="28"/>
          <w:szCs w:val="28"/>
        </w:rPr>
        <w:t>粤正拓评字（2022）第05001号</w:t>
      </w:r>
    </w:p>
    <w:p>
      <w:pPr>
        <w:wordWrap w:val="0"/>
        <w:spacing w:line="240" w:lineRule="auto"/>
        <w:rPr>
          <w:rFonts w:asciiTheme="minorEastAsia" w:hAnsiTheme="minorEastAsia" w:eastAsiaTheme="minorEastAsia"/>
          <w:kern w:val="28"/>
          <w:sz w:val="28"/>
          <w:szCs w:val="28"/>
        </w:rPr>
      </w:pPr>
      <w:r>
        <w:rPr>
          <w:rFonts w:asciiTheme="minorEastAsia" w:hAnsiTheme="minorEastAsia" w:eastAsiaTheme="minorEastAsia"/>
          <w:kern w:val="28"/>
          <w:sz w:val="28"/>
          <w:szCs w:val="28"/>
        </w:rPr>
        <w:br w:type="page"/>
      </w:r>
    </w:p>
    <w:p>
      <w:pPr>
        <w:wordWrap w:val="0"/>
        <w:spacing w:before="6240" w:beforeLines="2000" w:line="240" w:lineRule="auto"/>
        <w:textAlignment w:val="auto"/>
        <w:rPr>
          <w:b/>
          <w:sz w:val="72"/>
          <w:szCs w:val="72"/>
        </w:rPr>
      </w:pPr>
    </w:p>
    <w:p>
      <w:pPr>
        <w:widowControl/>
        <w:wordWrap w:val="0"/>
        <w:topLinePunct/>
        <w:autoSpaceDE w:val="0"/>
        <w:autoSpaceDN w:val="0"/>
        <w:adjustRightInd/>
        <w:spacing w:before="7488" w:beforeLines="2400"/>
        <w:ind w:firstLine="3960" w:firstLineChars="2200"/>
        <w:textAlignment w:val="bottom"/>
        <w:rPr>
          <w:sz w:val="18"/>
          <w:szCs w:val="18"/>
        </w:rPr>
      </w:pPr>
    </w:p>
    <w:p>
      <w:pPr>
        <w:spacing w:line="360" w:lineRule="auto"/>
        <w:ind w:left="3990" w:leftChars="1900"/>
        <w:jc w:val="left"/>
        <w:textAlignment w:val="auto"/>
        <w:rPr>
          <w:position w:val="-1"/>
          <w:sz w:val="18"/>
          <w:szCs w:val="18"/>
        </w:rPr>
      </w:pPr>
      <w:r>
        <w:rPr>
          <w:rFonts w:hint="eastAsia"/>
          <w:position w:val="-1"/>
          <w:sz w:val="18"/>
          <w:szCs w:val="18"/>
        </w:rPr>
        <w:t>名称：广东正拓土地房地产与资产评估有限公司</w:t>
      </w:r>
    </w:p>
    <w:p>
      <w:pPr>
        <w:spacing w:line="360" w:lineRule="auto"/>
        <w:ind w:left="3990" w:leftChars="1900"/>
        <w:jc w:val="left"/>
        <w:textAlignment w:val="auto"/>
        <w:rPr>
          <w:position w:val="-1"/>
          <w:sz w:val="18"/>
          <w:szCs w:val="18"/>
        </w:rPr>
      </w:pPr>
      <w:r>
        <w:rPr>
          <w:rFonts w:hint="eastAsia"/>
          <w:position w:val="-1"/>
          <w:sz w:val="18"/>
          <w:szCs w:val="18"/>
        </w:rPr>
        <w:t>房地产评估资质 壹级编号：粤房估备字壹0300002</w:t>
      </w:r>
    </w:p>
    <w:p>
      <w:pPr>
        <w:spacing w:line="360" w:lineRule="auto"/>
        <w:ind w:left="3990" w:leftChars="1900"/>
        <w:jc w:val="left"/>
        <w:textAlignment w:val="auto"/>
        <w:rPr>
          <w:position w:val="-1"/>
          <w:sz w:val="18"/>
          <w:szCs w:val="18"/>
        </w:rPr>
      </w:pPr>
      <w:r>
        <w:rPr>
          <w:rFonts w:hint="eastAsia"/>
          <w:position w:val="-1"/>
          <w:sz w:val="18"/>
          <w:szCs w:val="18"/>
        </w:rPr>
        <w:t>资产评估资质    全国  编号：粤财评备[2020]4号</w:t>
      </w:r>
    </w:p>
    <w:p>
      <w:pPr>
        <w:spacing w:line="360" w:lineRule="auto"/>
        <w:ind w:left="3990" w:leftChars="1900"/>
        <w:jc w:val="left"/>
        <w:textAlignment w:val="auto"/>
        <w:rPr>
          <w:position w:val="-1"/>
          <w:sz w:val="18"/>
          <w:szCs w:val="18"/>
        </w:rPr>
      </w:pPr>
      <w:r>
        <w:rPr>
          <w:rFonts w:hint="eastAsia"/>
          <w:position w:val="-1"/>
          <w:sz w:val="18"/>
          <w:szCs w:val="18"/>
        </w:rPr>
        <w:t>土地评估信用等级  二级  编号：B202244005</w:t>
      </w:r>
    </w:p>
    <w:p>
      <w:pPr>
        <w:spacing w:line="360" w:lineRule="auto"/>
        <w:ind w:left="3990" w:leftChars="1900"/>
        <w:jc w:val="left"/>
        <w:textAlignment w:val="auto"/>
        <w:rPr>
          <w:position w:val="-1"/>
          <w:sz w:val="18"/>
          <w:szCs w:val="18"/>
        </w:rPr>
      </w:pPr>
      <w:r>
        <w:rPr>
          <w:rFonts w:hint="eastAsia"/>
          <w:position w:val="-1"/>
          <w:sz w:val="18"/>
          <w:szCs w:val="18"/>
        </w:rPr>
        <w:t>地址：广东省珠海市香洲区兴国街4号1106房</w:t>
      </w:r>
    </w:p>
    <w:p>
      <w:pPr>
        <w:spacing w:line="360" w:lineRule="auto"/>
        <w:ind w:left="3990" w:leftChars="1900"/>
        <w:jc w:val="left"/>
        <w:textAlignment w:val="auto"/>
        <w:rPr>
          <w:position w:val="-1"/>
          <w:sz w:val="18"/>
          <w:szCs w:val="18"/>
        </w:rPr>
      </w:pPr>
      <w:r>
        <w:rPr>
          <w:rFonts w:hint="eastAsia"/>
          <w:position w:val="-1"/>
          <w:sz w:val="18"/>
          <w:szCs w:val="18"/>
        </w:rPr>
        <w:t>电话：0756-3232372  3232373</w:t>
      </w:r>
    </w:p>
    <w:p>
      <w:pPr>
        <w:wordWrap w:val="0"/>
      </w:pPr>
    </w:p>
    <w:p>
      <w:pPr>
        <w:wordWrap w:val="0"/>
        <w:spacing w:line="360" w:lineRule="auto"/>
        <w:sectPr>
          <w:headerReference r:id="rId6" w:type="first"/>
          <w:headerReference r:id="rId5" w:type="default"/>
          <w:pgSz w:w="11906" w:h="16838"/>
          <w:pgMar w:top="1134" w:right="1134" w:bottom="1134" w:left="1134" w:header="850" w:footer="992" w:gutter="567"/>
          <w:cols w:space="425" w:num="1"/>
          <w:titlePg/>
          <w:docGrid w:type="lines" w:linePitch="312" w:charSpace="0"/>
        </w:sectPr>
      </w:pPr>
    </w:p>
    <w:p>
      <w:pPr>
        <w:wordWrap w:val="0"/>
        <w:spacing w:line="360" w:lineRule="auto"/>
        <w:jc w:val="center"/>
        <w:textAlignment w:val="auto"/>
      </w:pPr>
      <w:r>
        <w:rPr>
          <w:rFonts w:hint="eastAsia" w:asciiTheme="minorEastAsia" w:hAnsiTheme="minorEastAsia" w:eastAsiaTheme="minorEastAsia"/>
          <w:b/>
          <w:position w:val="-1"/>
          <w:sz w:val="32"/>
          <w:szCs w:val="32"/>
        </w:rPr>
        <w:t>致估价委托人函</w:t>
      </w:r>
    </w:p>
    <w:p>
      <w:pPr>
        <w:wordWrap w:val="0"/>
        <w:spacing w:line="360" w:lineRule="auto"/>
        <w:jc w:val="left"/>
        <w:textAlignment w:val="auto"/>
      </w:pPr>
      <w:r>
        <w:rPr>
          <w:rFonts w:hint="eastAsia" w:asciiTheme="minorEastAsia" w:hAnsiTheme="minorEastAsia" w:eastAsiaTheme="minorEastAsia"/>
          <w:position w:val="-1"/>
          <w:sz w:val="24"/>
          <w:szCs w:val="24"/>
        </w:rPr>
        <w:t>广东省珠海市香洲区人民法院</w:t>
      </w:r>
      <w:r>
        <w:rPr>
          <w:rFonts w:hint="eastAsia" w:asciiTheme="minorEastAsia" w:hAnsiTheme="minorEastAsia" w:eastAsiaTheme="minorEastAsia"/>
          <w:bCs/>
          <w:position w:val="-1"/>
          <w:sz w:val="24"/>
          <w:szCs w:val="24"/>
        </w:rPr>
        <w:t>：</w:t>
      </w:r>
    </w:p>
    <w:p>
      <w:pPr>
        <w:tabs>
          <w:tab w:val="left" w:pos="3060"/>
        </w:tabs>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受委托，本公司按照《房地产估价规范》(GB/T 50291-2015)、《涉执房地产处置司法评估指导意见（试行）》（中房学〔</w:t>
      </w:r>
      <w:r>
        <w:rPr>
          <w:rFonts w:asciiTheme="minorEastAsia" w:hAnsiTheme="minorEastAsia" w:eastAsiaTheme="minorEastAsia"/>
          <w:position w:val="-1"/>
          <w:sz w:val="24"/>
          <w:szCs w:val="24"/>
        </w:rPr>
        <w:t>2021〕37号）</w:t>
      </w:r>
      <w:r>
        <w:rPr>
          <w:rFonts w:hint="eastAsia" w:asciiTheme="minorEastAsia" w:hAnsiTheme="minorEastAsia" w:eastAsiaTheme="minorEastAsia"/>
          <w:position w:val="-1"/>
          <w:sz w:val="24"/>
          <w:szCs w:val="24"/>
        </w:rPr>
        <w:t>等的有关规定，对下列估价对象</w:t>
      </w:r>
      <w:r>
        <w:rPr>
          <w:rFonts w:hint="eastAsia" w:asciiTheme="minorEastAsia" w:hAnsiTheme="minorEastAsia" w:eastAsiaTheme="minorEastAsia"/>
          <w:kern w:val="28"/>
          <w:position w:val="-1"/>
          <w:sz w:val="24"/>
          <w:szCs w:val="24"/>
        </w:rPr>
        <w:t>进行了评估，现函告如下：</w:t>
      </w:r>
    </w:p>
    <w:p>
      <w:pPr>
        <w:tabs>
          <w:tab w:val="left" w:pos="3060"/>
        </w:tabs>
        <w:spacing w:line="360" w:lineRule="auto"/>
        <w:ind w:firstLine="482" w:firstLineChars="200"/>
        <w:jc w:val="left"/>
        <w:textAlignment w:val="auto"/>
      </w:pPr>
      <w:r>
        <w:rPr>
          <w:rFonts w:hint="eastAsia" w:asciiTheme="minorEastAsia" w:hAnsiTheme="minorEastAsia" w:eastAsiaTheme="minorEastAsia"/>
          <w:b/>
          <w:bCs/>
          <w:position w:val="-1"/>
          <w:sz w:val="24"/>
          <w:szCs w:val="24"/>
        </w:rPr>
        <w:t>估价对象：</w:t>
      </w:r>
      <w:r>
        <w:rPr>
          <w:rFonts w:hint="eastAsia" w:asciiTheme="minorEastAsia" w:hAnsiTheme="minorEastAsia" w:eastAsiaTheme="minorEastAsia"/>
          <w:bCs/>
          <w:position w:val="-1"/>
          <w:sz w:val="24"/>
          <w:szCs w:val="24"/>
        </w:rPr>
        <w:t>权属人</w:t>
      </w:r>
      <w:r>
        <w:rPr>
          <w:rFonts w:hint="eastAsia" w:asciiTheme="minorEastAsia" w:hAnsiTheme="minorEastAsia" w:eastAsiaTheme="minorEastAsia"/>
          <w:position w:val="-1"/>
          <w:sz w:val="24"/>
          <w:szCs w:val="24"/>
        </w:rPr>
        <w:t>王芬名下位于广州市增城市新塘镇凤凰城凤锦苑五街1号1001房及凤凰城凤锦苑五街1-4号地下车库负一层494号</w:t>
      </w:r>
      <w:r>
        <w:rPr>
          <w:rFonts w:hint="eastAsia" w:asciiTheme="minorEastAsia" w:hAnsiTheme="minorEastAsia" w:eastAsiaTheme="minorEastAsia"/>
          <w:kern w:val="28"/>
          <w:position w:val="-1"/>
          <w:sz w:val="24"/>
          <w:szCs w:val="24"/>
        </w:rPr>
        <w:t>的房地产，估价范围包括房屋及附属于房屋建筑物的供水、供电、电讯、排水、消防等辅助设施和分摊的土地使用权价值。具体估价对象详见《</w:t>
      </w:r>
      <w:r>
        <w:rPr>
          <w:rFonts w:hint="eastAsia" w:asciiTheme="minorEastAsia" w:hAnsiTheme="minorEastAsia" w:eastAsiaTheme="minorEastAsia"/>
          <w:position w:val="-1"/>
          <w:sz w:val="24"/>
          <w:szCs w:val="24"/>
        </w:rPr>
        <w:t>估价结果一览表</w:t>
      </w:r>
      <w:r>
        <w:rPr>
          <w:rFonts w:hint="eastAsia" w:asciiTheme="minorEastAsia" w:hAnsiTheme="minorEastAsia" w:eastAsiaTheme="minorEastAsia"/>
          <w:kern w:val="28"/>
          <w:position w:val="-1"/>
          <w:sz w:val="24"/>
          <w:szCs w:val="24"/>
        </w:rPr>
        <w:t>》。</w:t>
      </w:r>
    </w:p>
    <w:p>
      <w:pPr>
        <w:tabs>
          <w:tab w:val="left" w:pos="567"/>
        </w:tabs>
        <w:wordWrap w:val="0"/>
        <w:spacing w:line="360" w:lineRule="auto"/>
        <w:ind w:firstLine="482"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b/>
          <w:position w:val="-1"/>
          <w:sz w:val="24"/>
          <w:szCs w:val="24"/>
        </w:rPr>
        <w:t>估价目的：</w:t>
      </w:r>
      <w:r>
        <w:rPr>
          <w:rFonts w:hint="eastAsia" w:asciiTheme="minorEastAsia" w:hAnsiTheme="minorEastAsia" w:eastAsiaTheme="minorEastAsia"/>
          <w:position w:val="-1"/>
          <w:sz w:val="24"/>
          <w:szCs w:val="24"/>
        </w:rPr>
        <w:t>为人民法院确定财产处置参考价提供参考依据。</w:t>
      </w:r>
    </w:p>
    <w:p>
      <w:pPr>
        <w:tabs>
          <w:tab w:val="left" w:pos="567"/>
        </w:tabs>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价值时点：</w:t>
      </w:r>
      <w:r>
        <w:rPr>
          <w:rFonts w:hint="eastAsia" w:asciiTheme="minorEastAsia" w:hAnsiTheme="minorEastAsia" w:eastAsiaTheme="minorEastAsia"/>
          <w:position w:val="-1"/>
          <w:sz w:val="24"/>
          <w:szCs w:val="24"/>
        </w:rPr>
        <w:t>二〇二二年四月二十九日。</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价值类型：</w:t>
      </w:r>
      <w:r>
        <w:rPr>
          <w:rFonts w:hint="eastAsia" w:asciiTheme="minorEastAsia" w:hAnsiTheme="minorEastAsia" w:eastAsiaTheme="minorEastAsia"/>
          <w:snapToGrid w:val="0"/>
          <w:kern w:val="24"/>
          <w:position w:val="-1"/>
          <w:sz w:val="24"/>
          <w:szCs w:val="24"/>
        </w:rPr>
        <w:t>市场</w:t>
      </w:r>
      <w:r>
        <w:rPr>
          <w:rFonts w:hint="eastAsia" w:asciiTheme="minorEastAsia" w:hAnsiTheme="minorEastAsia" w:eastAsiaTheme="minorEastAsia"/>
          <w:position w:val="-1"/>
          <w:sz w:val="24"/>
          <w:szCs w:val="24"/>
        </w:rPr>
        <w:t>价值</w:t>
      </w:r>
      <w:r>
        <w:rPr>
          <w:rFonts w:hint="eastAsia" w:asciiTheme="minorEastAsia" w:hAnsiTheme="minorEastAsia" w:eastAsiaTheme="minorEastAsia"/>
          <w:position w:val="-1"/>
          <w:sz w:val="24"/>
        </w:rPr>
        <w:t>。</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估价方法：</w:t>
      </w:r>
      <w:r>
        <w:rPr>
          <w:rFonts w:hint="eastAsia" w:asciiTheme="minorEastAsia" w:hAnsiTheme="minorEastAsia" w:eastAsiaTheme="minorEastAsia"/>
          <w:snapToGrid w:val="0"/>
          <w:kern w:val="24"/>
          <w:position w:val="-1"/>
          <w:sz w:val="24"/>
          <w:szCs w:val="24"/>
        </w:rPr>
        <w:t>比较法、收益法。</w:t>
      </w:r>
    </w:p>
    <w:p>
      <w:pPr>
        <w:spacing w:line="360" w:lineRule="auto"/>
        <w:ind w:firstLine="482" w:firstLineChars="200"/>
        <w:jc w:val="left"/>
        <w:textAlignment w:val="auto"/>
      </w:pPr>
      <w:r>
        <w:rPr>
          <w:rFonts w:hint="eastAsia" w:asciiTheme="minorEastAsia" w:hAnsiTheme="minorEastAsia" w:eastAsiaTheme="minorEastAsia"/>
          <w:b/>
          <w:bCs/>
          <w:position w:val="-1"/>
          <w:sz w:val="24"/>
        </w:rPr>
        <w:t>估价结果：</w:t>
      </w:r>
      <w:r>
        <w:rPr>
          <w:rFonts w:hint="eastAsia" w:asciiTheme="minorEastAsia" w:hAnsiTheme="minorEastAsia" w:eastAsiaTheme="minorEastAsia"/>
          <w:bCs/>
          <w:position w:val="-1"/>
          <w:sz w:val="24"/>
        </w:rPr>
        <w:t>估价对象</w:t>
      </w:r>
      <w:r>
        <w:rPr>
          <w:rFonts w:hint="eastAsia" w:asciiTheme="minorEastAsia" w:hAnsiTheme="minorEastAsia" w:eastAsiaTheme="minorEastAsia"/>
          <w:position w:val="-1"/>
          <w:sz w:val="24"/>
          <w:szCs w:val="24"/>
        </w:rPr>
        <w:t>在满足全部假设与限制条件下</w:t>
      </w:r>
      <w:r>
        <w:rPr>
          <w:rFonts w:hint="eastAsia" w:asciiTheme="minorEastAsia" w:hAnsiTheme="minorEastAsia" w:eastAsiaTheme="minorEastAsia"/>
          <w:bCs/>
          <w:position w:val="-1"/>
          <w:sz w:val="24"/>
        </w:rPr>
        <w:t>于价值时点</w:t>
      </w:r>
      <w:r>
        <w:rPr>
          <w:rFonts w:hint="eastAsia" w:asciiTheme="minorEastAsia" w:hAnsiTheme="minorEastAsia" w:eastAsiaTheme="minorEastAsia"/>
          <w:position w:val="-1"/>
          <w:sz w:val="24"/>
          <w:szCs w:val="24"/>
        </w:rPr>
        <w:t>二〇二二年四月二十九日</w:t>
      </w:r>
      <w:r>
        <w:rPr>
          <w:rFonts w:hint="eastAsia" w:asciiTheme="minorEastAsia" w:hAnsiTheme="minorEastAsia" w:eastAsiaTheme="minorEastAsia"/>
          <w:bCs/>
          <w:position w:val="-1"/>
          <w:sz w:val="24"/>
        </w:rPr>
        <w:t>的估价结果如下：</w:t>
      </w:r>
    </w:p>
    <w:p>
      <w:pPr>
        <w:spacing w:line="360" w:lineRule="auto"/>
        <w:ind w:firstLine="480" w:firstLineChars="200"/>
        <w:jc w:val="left"/>
        <w:textAlignment w:val="auto"/>
      </w:pPr>
      <w:r>
        <w:rPr>
          <w:rFonts w:hint="eastAsia" w:asciiTheme="minorEastAsia" w:hAnsiTheme="minorEastAsia" w:eastAsiaTheme="minorEastAsia"/>
          <w:bCs/>
          <w:position w:val="-1"/>
          <w:sz w:val="24"/>
          <w:u w:val="single"/>
        </w:rPr>
        <w:t>估价对</w:t>
      </w:r>
      <w:r>
        <w:rPr>
          <w:rFonts w:hint="eastAsia" w:asciiTheme="minorEastAsia" w:hAnsiTheme="minorEastAsia" w:eastAsiaTheme="minorEastAsia"/>
          <w:position w:val="-1"/>
          <w:sz w:val="24"/>
          <w:szCs w:val="24"/>
          <w:u w:val="single"/>
        </w:rPr>
        <w:t>象市场价值总额为：￥4,407,918元(人民币大写：</w:t>
      </w:r>
      <w:r>
        <w:rPr>
          <w:rFonts w:hint="eastAsia" w:asciiTheme="minorEastAsia" w:hAnsiTheme="minorEastAsia" w:eastAsiaTheme="minorEastAsia"/>
          <w:position w:val="-1"/>
          <w:sz w:val="24"/>
          <w:szCs w:val="24"/>
          <w:u w:val="single"/>
        </w:rPr>
        <w:fldChar w:fldCharType="begin"/>
      </w:r>
      <w:r>
        <w:rPr>
          <w:rFonts w:hint="eastAsia" w:asciiTheme="minorEastAsia" w:hAnsiTheme="minorEastAsia" w:eastAsiaTheme="minorEastAsia"/>
          <w:position w:val="-1"/>
          <w:sz w:val="24"/>
          <w:szCs w:val="24"/>
          <w:u w:val="single"/>
        </w:rPr>
        <w:instrText xml:space="preserve"> = 4407918 \* CHINESENUM2 \* MERGEFORMAT </w:instrText>
      </w:r>
      <w:r>
        <w:rPr>
          <w:rFonts w:hint="eastAsia" w:asciiTheme="minorEastAsia" w:hAnsiTheme="minorEastAsia" w:eastAsiaTheme="minorEastAsia"/>
          <w:position w:val="-1"/>
          <w:sz w:val="24"/>
          <w:szCs w:val="24"/>
          <w:u w:val="single"/>
        </w:rPr>
        <w:fldChar w:fldCharType="separate"/>
      </w:r>
      <w:r>
        <w:rPr>
          <w:rFonts w:hint="eastAsia" w:asciiTheme="minorEastAsia" w:hAnsiTheme="minorEastAsia" w:eastAsiaTheme="minorEastAsia"/>
          <w:position w:val="-1"/>
          <w:sz w:val="24"/>
          <w:szCs w:val="24"/>
          <w:u w:val="single"/>
        </w:rPr>
        <w:t>肆佰肆拾万柒仟玖佰壹拾捌</w:t>
      </w:r>
      <w:r>
        <w:rPr>
          <w:rFonts w:hint="eastAsia" w:asciiTheme="minorEastAsia" w:hAnsiTheme="minorEastAsia" w:eastAsiaTheme="minorEastAsia"/>
          <w:position w:val="-1"/>
          <w:sz w:val="24"/>
          <w:szCs w:val="24"/>
          <w:u w:val="single"/>
        </w:rPr>
        <w:fldChar w:fldCharType="end"/>
      </w:r>
      <w:r>
        <w:rPr>
          <w:rFonts w:hint="eastAsia" w:asciiTheme="minorEastAsia" w:hAnsiTheme="minorEastAsia" w:eastAsiaTheme="minorEastAsia"/>
          <w:position w:val="-1"/>
          <w:sz w:val="24"/>
          <w:szCs w:val="24"/>
          <w:u w:val="single"/>
        </w:rPr>
        <w:t>元整)</w:t>
      </w:r>
      <w:r>
        <w:rPr>
          <w:rFonts w:hint="eastAsia" w:asciiTheme="minorEastAsia" w:hAnsiTheme="minorEastAsia" w:eastAsiaTheme="minorEastAsia"/>
          <w:bCs/>
          <w:position w:val="-1"/>
          <w:sz w:val="24"/>
          <w:u w:val="single"/>
        </w:rPr>
        <w:t>。</w:t>
      </w:r>
      <w:r>
        <w:rPr>
          <w:rFonts w:hint="eastAsia" w:asciiTheme="minorEastAsia" w:hAnsiTheme="minorEastAsia" w:eastAsiaTheme="minorEastAsia"/>
          <w:bCs/>
          <w:position w:val="-1"/>
          <w:sz w:val="24"/>
        </w:rPr>
        <w:t>详见《</w:t>
      </w:r>
      <w:r>
        <w:rPr>
          <w:rFonts w:hint="eastAsia" w:asciiTheme="minorEastAsia" w:hAnsiTheme="minorEastAsia" w:eastAsiaTheme="minorEastAsia"/>
          <w:position w:val="-1"/>
          <w:sz w:val="24"/>
          <w:szCs w:val="24"/>
        </w:rPr>
        <w:t>估价结果一览表</w:t>
      </w:r>
      <w:r>
        <w:rPr>
          <w:rFonts w:hint="eastAsia" w:asciiTheme="minorEastAsia" w:hAnsiTheme="minorEastAsia" w:eastAsiaTheme="minorEastAsia"/>
          <w:bCs/>
          <w:position w:val="-1"/>
          <w:sz w:val="24"/>
        </w:rPr>
        <w:t>》。</w:t>
      </w:r>
    </w:p>
    <w:p>
      <w:pPr>
        <w:wordWrap w:val="0"/>
        <w:spacing w:line="360" w:lineRule="auto"/>
        <w:jc w:val="center"/>
        <w:textAlignment w:val="auto"/>
        <w:rPr>
          <w:rFonts w:asciiTheme="minorEastAsia" w:hAnsiTheme="minorEastAsia" w:eastAsiaTheme="minorEastAsia"/>
          <w:b/>
          <w:position w:val="-1"/>
          <w:sz w:val="18"/>
          <w:szCs w:val="18"/>
        </w:rPr>
      </w:pPr>
      <w:r>
        <w:rPr>
          <w:rFonts w:hint="eastAsia" w:asciiTheme="minorEastAsia" w:hAnsiTheme="minorEastAsia" w:eastAsiaTheme="minorEastAsia"/>
          <w:b/>
          <w:sz w:val="24"/>
          <w:szCs w:val="24"/>
        </w:rPr>
        <w:t>估价结果一览表</w:t>
      </w:r>
    </w:p>
    <w:tbl>
      <w:tblPr>
        <w:tblStyle w:val="15"/>
        <w:tblW w:w="5023"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6"/>
        <w:gridCol w:w="2188"/>
        <w:gridCol w:w="1658"/>
        <w:gridCol w:w="1113"/>
        <w:gridCol w:w="1098"/>
        <w:gridCol w:w="1255"/>
        <w:gridCol w:w="12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3" w:hRule="atLeast"/>
          <w:jc w:val="center"/>
        </w:trPr>
        <w:tc>
          <w:tcPr>
            <w:tcW w:w="400"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序号</w:t>
            </w:r>
          </w:p>
        </w:tc>
        <w:tc>
          <w:tcPr>
            <w:tcW w:w="1172"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项目名称</w:t>
            </w:r>
          </w:p>
        </w:tc>
        <w:tc>
          <w:tcPr>
            <w:tcW w:w="888"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权属人</w:t>
            </w:r>
          </w:p>
        </w:tc>
        <w:tc>
          <w:tcPr>
            <w:tcW w:w="596"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用途</w:t>
            </w:r>
          </w:p>
        </w:tc>
        <w:tc>
          <w:tcPr>
            <w:tcW w:w="588"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建筑面积(㎡)</w:t>
            </w:r>
          </w:p>
        </w:tc>
        <w:tc>
          <w:tcPr>
            <w:tcW w:w="1353" w:type="pct"/>
            <w:gridSpan w:val="2"/>
            <w:tcBorders>
              <w:top w:val="single" w:color="auto" w:sz="4" w:space="0"/>
              <w:left w:val="nil"/>
              <w:bottom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市场价值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48" w:hRule="atLeast"/>
          <w:jc w:val="center"/>
        </w:trPr>
        <w:tc>
          <w:tcPr>
            <w:tcW w:w="400"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2"/>
                <w:szCs w:val="22"/>
              </w:rPr>
            </w:pPr>
          </w:p>
        </w:tc>
        <w:tc>
          <w:tcPr>
            <w:tcW w:w="1172"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888"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596"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588"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672" w:type="pct"/>
            <w:tcBorders>
              <w:top w:val="single" w:color="auto" w:sz="4" w:space="0"/>
              <w:left w:val="nil"/>
              <w:bottom w:val="nil"/>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kern w:val="2"/>
                <w:sz w:val="18"/>
                <w:szCs w:val="18"/>
              </w:rPr>
            </w:pPr>
            <w:r>
              <w:rPr>
                <w:rFonts w:hint="eastAsia" w:asciiTheme="minorEastAsia" w:hAnsiTheme="minorEastAsia" w:eastAsiaTheme="minorEastAsia"/>
                <w:b/>
                <w:bCs/>
                <w:kern w:val="2"/>
                <w:sz w:val="18"/>
                <w:szCs w:val="18"/>
              </w:rPr>
              <w:t>单价</w:t>
            </w:r>
          </w:p>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(元/㎡)</w:t>
            </w:r>
          </w:p>
        </w:tc>
        <w:tc>
          <w:tcPr>
            <w:tcW w:w="680" w:type="pct"/>
            <w:tcBorders>
              <w:top w:val="single" w:color="auto" w:sz="4" w:space="0"/>
              <w:left w:val="nil"/>
              <w:bottom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总价(</w:t>
            </w:r>
            <w:r>
              <w:rPr>
                <w:rFonts w:hint="eastAsia" w:asciiTheme="minorEastAsia" w:hAnsiTheme="minorEastAsia" w:eastAsiaTheme="minorEastAsia"/>
                <w:b/>
                <w:kern w:val="2"/>
                <w:sz w:val="18"/>
                <w:szCs w:val="18"/>
              </w:rPr>
              <w:t>元</w:t>
            </w:r>
            <w:r>
              <w:rPr>
                <w:rFonts w:hint="eastAsia" w:asciiTheme="minorEastAsia" w:hAnsiTheme="minorEastAsia" w:eastAsiaTheme="minorEastAsia"/>
                <w:b/>
                <w:bCs/>
                <w:kern w:val="2"/>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92" w:hRule="atLeast"/>
          <w:jc w:val="center"/>
        </w:trPr>
        <w:tc>
          <w:tcPr>
            <w:tcW w:w="4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w:t>
            </w:r>
          </w:p>
        </w:tc>
        <w:tc>
          <w:tcPr>
            <w:tcW w:w="11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广东省广州市增城市新塘镇凤凰城凤锦苑五街1号1001房</w:t>
            </w:r>
          </w:p>
        </w:tc>
        <w:tc>
          <w:tcPr>
            <w:tcW w:w="8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王芬</w:t>
            </w:r>
          </w:p>
        </w:tc>
        <w:tc>
          <w:tcPr>
            <w:tcW w:w="5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住宅</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204.63</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20500</w:t>
            </w:r>
          </w:p>
        </w:tc>
        <w:tc>
          <w:tcPr>
            <w:tcW w:w="6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4194915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87" w:hRule="atLeast"/>
          <w:jc w:val="center"/>
        </w:trPr>
        <w:tc>
          <w:tcPr>
            <w:tcW w:w="4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w:t>
            </w:r>
          </w:p>
        </w:tc>
        <w:tc>
          <w:tcPr>
            <w:tcW w:w="11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广东省广州市增城市新塘镇凤凰城凤锦苑五街1-4号地下车库负一层494号</w:t>
            </w:r>
          </w:p>
        </w:tc>
        <w:tc>
          <w:tcPr>
            <w:tcW w:w="8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王芬</w:t>
            </w:r>
          </w:p>
        </w:tc>
        <w:tc>
          <w:tcPr>
            <w:tcW w:w="5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车位</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13.23</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16100</w:t>
            </w:r>
          </w:p>
        </w:tc>
        <w:tc>
          <w:tcPr>
            <w:tcW w:w="6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213003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48" w:hRule="atLeast"/>
          <w:jc w:val="center"/>
        </w:trPr>
        <w:tc>
          <w:tcPr>
            <w:tcW w:w="400"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合计</w:t>
            </w:r>
          </w:p>
        </w:tc>
        <w:tc>
          <w:tcPr>
            <w:tcW w:w="1172"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888"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596"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588"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217.86</w:t>
            </w:r>
          </w:p>
        </w:tc>
        <w:tc>
          <w:tcPr>
            <w:tcW w:w="672"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w:t>
            </w:r>
          </w:p>
        </w:tc>
        <w:tc>
          <w:tcPr>
            <w:tcW w:w="680"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4407918</w:t>
            </w:r>
          </w:p>
        </w:tc>
      </w:tr>
    </w:tbl>
    <w:p>
      <w:pPr>
        <w:wordWrap w:val="0"/>
        <w:spacing w:line="360" w:lineRule="auto"/>
        <w:jc w:val="left"/>
        <w:textAlignment w:val="auto"/>
      </w:pPr>
      <w:r>
        <w:rPr>
          <w:rFonts w:hint="eastAsia" w:asciiTheme="minorEastAsia" w:hAnsiTheme="minorEastAsia" w:eastAsiaTheme="minorEastAsia"/>
          <w:b/>
          <w:position w:val="-1"/>
          <w:sz w:val="18"/>
          <w:szCs w:val="18"/>
        </w:rPr>
        <w:t>特别提示：</w:t>
      </w:r>
    </w:p>
    <w:p>
      <w:pPr>
        <w:numPr>
          <w:ilvl w:val="0"/>
          <w:numId w:val="1"/>
        </w:numPr>
        <w:spacing w:line="360" w:lineRule="auto"/>
        <w:ind w:firstLine="360" w:firstLineChars="20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估价对象1：因人民法院和相关当事人未能为本次估价提供现场查勘便利，估价人员已对估价对象外部状况和区位状况进行了实地查勘，未能对估价对象内部进行实地查勘，无法准确知悉估价对象室内布局及装修情况，从估价对象外观判断，室内已有装修。本次估价设定估价对象为已达到入住条件的普通装修（抛光砖地面、乳胶漆内墙面及天花、铝合金窗、室内木门）。</w:t>
      </w:r>
    </w:p>
    <w:p>
      <w:pPr>
        <w:numPr>
          <w:ilvl w:val="0"/>
          <w:numId w:val="1"/>
        </w:numPr>
        <w:spacing w:line="360" w:lineRule="auto"/>
        <w:ind w:firstLine="360" w:firstLineChars="20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本次估价的估价范围是位于王芬名下位于广州市增城市新塘镇凤凰城凤锦苑五街1号1001房及凤凰城凤锦苑五街1-4号地下车库负一层494号（含室内装修）市场价值，不包括估价对象范围内的家具家电、机器设备、债权债务、特许经营权等非房地产类财产</w:t>
      </w:r>
      <w:r>
        <w:rPr>
          <w:rFonts w:asciiTheme="minorEastAsia" w:hAnsiTheme="minorEastAsia" w:eastAsiaTheme="minorEastAsia"/>
          <w:position w:val="-1"/>
          <w:sz w:val="18"/>
          <w:szCs w:val="18"/>
        </w:rPr>
        <w:t>。</w:t>
      </w:r>
    </w:p>
    <w:p>
      <w:pPr>
        <w:numPr>
          <w:ilvl w:val="0"/>
          <w:numId w:val="1"/>
        </w:numPr>
        <w:spacing w:line="360" w:lineRule="auto"/>
        <w:ind w:firstLine="360" w:firstLineChars="20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估价结果未考虑估价对象欠缴税金及相关费用（物业费、水电费等及其滞纳金）的影响，也没有扣除司法处置过程发生的费用及税金。</w:t>
      </w:r>
    </w:p>
    <w:p>
      <w:pPr>
        <w:pStyle w:val="30"/>
        <w:numPr>
          <w:ilvl w:val="0"/>
          <w:numId w:val="1"/>
        </w:numPr>
        <w:spacing w:line="360" w:lineRule="auto"/>
        <w:ind w:firstLine="36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应当按照法律规定和评估报告载明的用途、使用人、使用期限等使用范围使用评估报告。否则，房地产估价机构和注册房地产估价师依法不承担责任；</w:t>
      </w:r>
    </w:p>
    <w:p>
      <w:pPr>
        <w:pStyle w:val="30"/>
        <w:numPr>
          <w:ilvl w:val="0"/>
          <w:numId w:val="1"/>
        </w:numPr>
        <w:spacing w:line="360" w:lineRule="auto"/>
        <w:ind w:firstLine="36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本估价报告的评估结果仅为人民法院确定财产处置参考价服务，不是评估对象处置可实现的成交价格，也不应当被视为对评估对象处置成交价格的保证。</w:t>
      </w:r>
    </w:p>
    <w:p>
      <w:pPr>
        <w:pStyle w:val="30"/>
        <w:numPr>
          <w:ilvl w:val="0"/>
          <w:numId w:val="1"/>
        </w:numPr>
        <w:spacing w:line="360" w:lineRule="auto"/>
        <w:ind w:firstLine="36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30"/>
        <w:numPr>
          <w:ilvl w:val="0"/>
          <w:numId w:val="1"/>
        </w:numPr>
        <w:spacing w:line="360" w:lineRule="auto"/>
        <w:ind w:firstLine="360"/>
        <w:jc w:val="left"/>
        <w:textAlignment w:val="auto"/>
        <w:rPr>
          <w:rFonts w:asciiTheme="minorEastAsia" w:hAnsiTheme="minorEastAsia" w:eastAsiaTheme="minorEastAsia"/>
          <w:position w:val="-1"/>
          <w:sz w:val="18"/>
          <w:szCs w:val="18"/>
        </w:rPr>
      </w:pPr>
      <w:r>
        <w:rPr>
          <w:rFonts w:hint="eastAsia" w:asciiTheme="minorEastAsia" w:hAnsiTheme="minorEastAsia" w:eastAsiaTheme="minorEastAsia"/>
          <w:position w:val="-1"/>
          <w:sz w:val="18"/>
          <w:szCs w:val="18"/>
        </w:rPr>
        <w:t>本估价报告使用期限为自估价报告出具之日起壹年(自2022年05月11日至2023年05月11日止)，在评估报告使用期限或者评估结果有效期内，评估报告或者评估结果未使用之前，如果评估对象状况或者房地产市场状况发生明显变化的，评估结果应当进行相应调整后才可使用。</w:t>
      </w:r>
    </w:p>
    <w:p>
      <w:pPr>
        <w:spacing w:line="360" w:lineRule="auto"/>
        <w:ind w:right="279" w:rightChars="133" w:firstLine="3523" w:firstLineChars="1468"/>
        <w:jc w:val="left"/>
        <w:textAlignment w:val="auto"/>
        <w:rPr>
          <w:rFonts w:asciiTheme="minorEastAsia" w:hAnsiTheme="minorEastAsia" w:eastAsiaTheme="minorEastAsia"/>
          <w:position w:val="-1"/>
          <w:sz w:val="24"/>
          <w:szCs w:val="24"/>
        </w:rPr>
      </w:pPr>
    </w:p>
    <w:p>
      <w:pPr>
        <w:spacing w:line="360" w:lineRule="auto"/>
        <w:ind w:right="279" w:rightChars="133" w:firstLine="3523" w:firstLineChars="1468"/>
        <w:jc w:val="left"/>
        <w:textAlignment w:val="auto"/>
      </w:pPr>
      <w:r>
        <w:rPr>
          <w:rFonts w:hint="eastAsia" w:asciiTheme="minorEastAsia" w:hAnsiTheme="minorEastAsia" w:eastAsiaTheme="minorEastAsia"/>
          <w:position w:val="-1"/>
          <w:sz w:val="24"/>
          <w:szCs w:val="24"/>
        </w:rPr>
        <w:t>广东正拓土地房地产与资产评估有限公司</w:t>
      </w:r>
    </w:p>
    <w:p>
      <w:pPr>
        <w:spacing w:line="360" w:lineRule="auto"/>
        <w:ind w:right="2243" w:rightChars="1068" w:firstLine="3523" w:firstLineChars="1468"/>
        <w:jc w:val="left"/>
        <w:textAlignment w:val="auto"/>
      </w:pPr>
      <w:r>
        <w:rPr>
          <w:rFonts w:hint="eastAsia" w:asciiTheme="minorEastAsia" w:hAnsiTheme="minorEastAsia" w:eastAsiaTheme="minorEastAsia"/>
          <w:position w:val="-1"/>
          <w:sz w:val="24"/>
          <w:szCs w:val="24"/>
        </w:rPr>
        <w:t>法定代表人：</w:t>
      </w:r>
    </w:p>
    <w:p>
      <w:pPr>
        <w:spacing w:line="360" w:lineRule="auto"/>
        <w:ind w:right="2243" w:rightChars="1068" w:firstLine="3082" w:firstLineChars="1468"/>
        <w:jc w:val="left"/>
        <w:textAlignment w:val="auto"/>
      </w:pPr>
    </w:p>
    <w:p>
      <w:pPr>
        <w:spacing w:line="360" w:lineRule="auto"/>
        <w:ind w:firstLine="4483" w:firstLineChars="1868"/>
        <w:jc w:val="left"/>
        <w:textAlignment w:val="auto"/>
      </w:pPr>
      <w:r>
        <w:rPr>
          <w:rFonts w:hint="eastAsia" w:asciiTheme="minorEastAsia" w:hAnsiTheme="minorEastAsia" w:eastAsiaTheme="minorEastAsia"/>
          <w:position w:val="-1"/>
          <w:sz w:val="24"/>
          <w:szCs w:val="24"/>
        </w:rPr>
        <w:t>二〇二二年五月十一日</w:t>
      </w:r>
    </w:p>
    <w:p>
      <w:r>
        <w:br w:type="page"/>
      </w:r>
    </w:p>
    <w:p>
      <w:pPr>
        <w:spacing w:line="360" w:lineRule="auto"/>
        <w:jc w:val="right"/>
        <w:textAlignment w:val="auto"/>
        <w:rPr>
          <w:rFonts w:asciiTheme="minorEastAsia" w:hAnsiTheme="minorEastAsia" w:eastAsiaTheme="minorEastAsia"/>
          <w:position w:val="-1"/>
          <w:sz w:val="24"/>
          <w:szCs w:val="24"/>
        </w:rPr>
      </w:pPr>
    </w:p>
    <w:p>
      <w:pPr>
        <w:spacing w:line="360" w:lineRule="auto"/>
        <w:jc w:val="center"/>
        <w:rPr>
          <w:rFonts w:cs="宋体"/>
          <w:b/>
          <w:sz w:val="32"/>
          <w:szCs w:val="32"/>
        </w:rPr>
      </w:pPr>
      <w:r>
        <w:rPr>
          <w:rFonts w:hint="eastAsia" w:cs="宋体"/>
          <w:b/>
          <w:sz w:val="32"/>
          <w:szCs w:val="32"/>
        </w:rPr>
        <w:t>目  录</w:t>
      </w:r>
    </w:p>
    <w:p>
      <w:pPr>
        <w:pStyle w:val="10"/>
        <w:tabs>
          <w:tab w:val="right" w:leader="dot" w:pos="9071"/>
        </w:tabs>
      </w:pPr>
      <w:r>
        <w:rPr>
          <w:rFonts w:hint="eastAsia" w:ascii="宋体" w:hAnsi="宋体" w:cs="宋体"/>
          <w:szCs w:val="24"/>
        </w:rPr>
        <w:fldChar w:fldCharType="begin"/>
      </w:r>
      <w:r>
        <w:rPr>
          <w:rFonts w:hint="eastAsia" w:ascii="宋体" w:hAnsi="宋体" w:cs="宋体"/>
          <w:szCs w:val="24"/>
        </w:rPr>
        <w:instrText xml:space="preserve"> TOC \o "1-2" \h \z \u </w:instrText>
      </w:r>
      <w:r>
        <w:rPr>
          <w:rFonts w:hint="eastAsia" w:ascii="宋体" w:hAnsi="宋体" w:cs="宋体"/>
          <w:szCs w:val="24"/>
        </w:rPr>
        <w:fldChar w:fldCharType="separate"/>
      </w:r>
      <w:r>
        <w:fldChar w:fldCharType="begin"/>
      </w:r>
      <w:r>
        <w:instrText xml:space="preserve"> HYPERLINK \l "_Toc29009" </w:instrText>
      </w:r>
      <w:r>
        <w:fldChar w:fldCharType="separate"/>
      </w:r>
      <w:r>
        <w:rPr>
          <w:rFonts w:hint="eastAsia"/>
        </w:rPr>
        <w:t>一、 估价师声明</w:t>
      </w:r>
      <w:r>
        <w:tab/>
      </w:r>
      <w:r>
        <w:fldChar w:fldCharType="begin"/>
      </w:r>
      <w:r>
        <w:instrText xml:space="preserve"> PAGEREF _Toc29009 \h </w:instrText>
      </w:r>
      <w:r>
        <w:fldChar w:fldCharType="separate"/>
      </w:r>
      <w:r>
        <w:t>6</w:t>
      </w:r>
      <w:r>
        <w:fldChar w:fldCharType="end"/>
      </w:r>
      <w:r>
        <w:fldChar w:fldCharType="end"/>
      </w:r>
    </w:p>
    <w:p>
      <w:pPr>
        <w:pStyle w:val="10"/>
        <w:tabs>
          <w:tab w:val="right" w:leader="dot" w:pos="9071"/>
        </w:tabs>
      </w:pPr>
      <w:r>
        <w:fldChar w:fldCharType="begin"/>
      </w:r>
      <w:r>
        <w:instrText xml:space="preserve"> HYPERLINK \l "_Toc21750" </w:instrText>
      </w:r>
      <w:r>
        <w:fldChar w:fldCharType="separate"/>
      </w:r>
      <w:r>
        <w:rPr>
          <w:rFonts w:hint="eastAsia"/>
        </w:rPr>
        <w:t>二、 估价假设和限制条件</w:t>
      </w:r>
      <w:r>
        <w:tab/>
      </w:r>
      <w:r>
        <w:fldChar w:fldCharType="begin"/>
      </w:r>
      <w:r>
        <w:instrText xml:space="preserve"> PAGEREF _Toc21750 \h </w:instrText>
      </w:r>
      <w:r>
        <w:fldChar w:fldCharType="separate"/>
      </w:r>
      <w:r>
        <w:t>7</w:t>
      </w:r>
      <w:r>
        <w:fldChar w:fldCharType="end"/>
      </w:r>
      <w:r>
        <w:fldChar w:fldCharType="end"/>
      </w:r>
    </w:p>
    <w:p>
      <w:pPr>
        <w:pStyle w:val="12"/>
        <w:tabs>
          <w:tab w:val="right" w:leader="dot" w:pos="9071"/>
        </w:tabs>
      </w:pPr>
      <w:r>
        <w:fldChar w:fldCharType="begin"/>
      </w:r>
      <w:r>
        <w:instrText xml:space="preserve"> HYPERLINK \l "_Toc19705" </w:instrText>
      </w:r>
      <w:r>
        <w:fldChar w:fldCharType="separate"/>
      </w:r>
      <w:r>
        <w:rPr>
          <w:rFonts w:hint="eastAsia" w:asciiTheme="minorEastAsia" w:hAnsiTheme="minorEastAsia" w:eastAsiaTheme="minorEastAsia"/>
          <w:szCs w:val="24"/>
        </w:rPr>
        <w:t>(一)本项估价的假设条件</w:t>
      </w:r>
      <w:r>
        <w:tab/>
      </w:r>
      <w:r>
        <w:fldChar w:fldCharType="begin"/>
      </w:r>
      <w:r>
        <w:instrText xml:space="preserve"> PAGEREF _Toc19705 \h </w:instrText>
      </w:r>
      <w:r>
        <w:fldChar w:fldCharType="separate"/>
      </w:r>
      <w:r>
        <w:t>7</w:t>
      </w:r>
      <w:r>
        <w:fldChar w:fldCharType="end"/>
      </w:r>
      <w:r>
        <w:fldChar w:fldCharType="end"/>
      </w:r>
    </w:p>
    <w:p>
      <w:pPr>
        <w:pStyle w:val="12"/>
        <w:tabs>
          <w:tab w:val="right" w:leader="dot" w:pos="9071"/>
        </w:tabs>
      </w:pPr>
      <w:r>
        <w:fldChar w:fldCharType="begin"/>
      </w:r>
      <w:r>
        <w:instrText xml:space="preserve"> HYPERLINK \l "_Toc2059" </w:instrText>
      </w:r>
      <w:r>
        <w:fldChar w:fldCharType="separate"/>
      </w:r>
      <w:r>
        <w:rPr>
          <w:rFonts w:hint="eastAsia" w:asciiTheme="minorEastAsia" w:hAnsiTheme="minorEastAsia" w:eastAsiaTheme="minorEastAsia"/>
          <w:szCs w:val="24"/>
        </w:rPr>
        <w:t>(二)本估价报告使用的限制条件</w:t>
      </w:r>
      <w:r>
        <w:tab/>
      </w:r>
      <w:r>
        <w:fldChar w:fldCharType="begin"/>
      </w:r>
      <w:r>
        <w:instrText xml:space="preserve"> PAGEREF _Toc2059 \h </w:instrText>
      </w:r>
      <w:r>
        <w:fldChar w:fldCharType="separate"/>
      </w:r>
      <w:r>
        <w:t>8</w:t>
      </w:r>
      <w:r>
        <w:fldChar w:fldCharType="end"/>
      </w:r>
      <w:r>
        <w:fldChar w:fldCharType="end"/>
      </w:r>
    </w:p>
    <w:p>
      <w:pPr>
        <w:pStyle w:val="10"/>
        <w:tabs>
          <w:tab w:val="right" w:leader="dot" w:pos="9071"/>
        </w:tabs>
      </w:pPr>
      <w:r>
        <w:fldChar w:fldCharType="begin"/>
      </w:r>
      <w:r>
        <w:instrText xml:space="preserve"> HYPERLINK \l "_Toc2489" </w:instrText>
      </w:r>
      <w:r>
        <w:fldChar w:fldCharType="separate"/>
      </w:r>
      <w:r>
        <w:rPr>
          <w:rFonts w:hint="eastAsia"/>
        </w:rPr>
        <w:t xml:space="preserve">三、 </w:t>
      </w:r>
      <w:r>
        <w:t>估价结果报告</w:t>
      </w:r>
      <w:r>
        <w:tab/>
      </w:r>
      <w:r>
        <w:fldChar w:fldCharType="begin"/>
      </w:r>
      <w:r>
        <w:instrText xml:space="preserve"> PAGEREF _Toc2489 \h </w:instrText>
      </w:r>
      <w:r>
        <w:fldChar w:fldCharType="separate"/>
      </w:r>
      <w:r>
        <w:t>10</w:t>
      </w:r>
      <w:r>
        <w:fldChar w:fldCharType="end"/>
      </w:r>
      <w:r>
        <w:fldChar w:fldCharType="end"/>
      </w:r>
    </w:p>
    <w:p>
      <w:pPr>
        <w:pStyle w:val="12"/>
        <w:tabs>
          <w:tab w:val="right" w:leader="dot" w:pos="9071"/>
        </w:tabs>
      </w:pPr>
      <w:r>
        <w:fldChar w:fldCharType="begin"/>
      </w:r>
      <w:r>
        <w:instrText xml:space="preserve"> HYPERLINK \l "_Toc22385" </w:instrText>
      </w:r>
      <w:r>
        <w:fldChar w:fldCharType="separate"/>
      </w:r>
      <w:r>
        <w:rPr>
          <w:szCs w:val="24"/>
        </w:rPr>
        <w:t>(一)估价委托人</w:t>
      </w:r>
      <w:r>
        <w:tab/>
      </w:r>
      <w:r>
        <w:fldChar w:fldCharType="begin"/>
      </w:r>
      <w:r>
        <w:instrText xml:space="preserve"> PAGEREF _Toc22385 \h </w:instrText>
      </w:r>
      <w:r>
        <w:fldChar w:fldCharType="separate"/>
      </w:r>
      <w:r>
        <w:t>10</w:t>
      </w:r>
      <w:r>
        <w:fldChar w:fldCharType="end"/>
      </w:r>
      <w:r>
        <w:fldChar w:fldCharType="end"/>
      </w:r>
    </w:p>
    <w:p>
      <w:pPr>
        <w:pStyle w:val="12"/>
        <w:tabs>
          <w:tab w:val="right" w:leader="dot" w:pos="9071"/>
        </w:tabs>
      </w:pPr>
      <w:r>
        <w:fldChar w:fldCharType="begin"/>
      </w:r>
      <w:r>
        <w:instrText xml:space="preserve"> HYPERLINK \l "_Toc29615" </w:instrText>
      </w:r>
      <w:r>
        <w:fldChar w:fldCharType="separate"/>
      </w:r>
      <w:r>
        <w:rPr>
          <w:szCs w:val="24"/>
        </w:rPr>
        <w:t>(二)房地产估价机构</w:t>
      </w:r>
      <w:r>
        <w:tab/>
      </w:r>
      <w:r>
        <w:fldChar w:fldCharType="begin"/>
      </w:r>
      <w:r>
        <w:instrText xml:space="preserve"> PAGEREF _Toc29615 \h </w:instrText>
      </w:r>
      <w:r>
        <w:fldChar w:fldCharType="separate"/>
      </w:r>
      <w:r>
        <w:t>10</w:t>
      </w:r>
      <w:r>
        <w:fldChar w:fldCharType="end"/>
      </w:r>
      <w:r>
        <w:fldChar w:fldCharType="end"/>
      </w:r>
    </w:p>
    <w:p>
      <w:pPr>
        <w:pStyle w:val="12"/>
        <w:tabs>
          <w:tab w:val="right" w:leader="dot" w:pos="9071"/>
        </w:tabs>
      </w:pPr>
      <w:r>
        <w:fldChar w:fldCharType="begin"/>
      </w:r>
      <w:r>
        <w:instrText xml:space="preserve"> HYPERLINK \l "_Toc21942" </w:instrText>
      </w:r>
      <w:r>
        <w:fldChar w:fldCharType="separate"/>
      </w:r>
      <w:r>
        <w:rPr>
          <w:szCs w:val="24"/>
        </w:rPr>
        <w:t>(三)估价目的</w:t>
      </w:r>
      <w:r>
        <w:tab/>
      </w:r>
      <w:r>
        <w:fldChar w:fldCharType="begin"/>
      </w:r>
      <w:r>
        <w:instrText xml:space="preserve"> PAGEREF _Toc21942 \h </w:instrText>
      </w:r>
      <w:r>
        <w:fldChar w:fldCharType="separate"/>
      </w:r>
      <w:r>
        <w:t>10</w:t>
      </w:r>
      <w:r>
        <w:fldChar w:fldCharType="end"/>
      </w:r>
      <w:r>
        <w:fldChar w:fldCharType="end"/>
      </w:r>
    </w:p>
    <w:p>
      <w:pPr>
        <w:pStyle w:val="12"/>
        <w:tabs>
          <w:tab w:val="right" w:leader="dot" w:pos="9071"/>
        </w:tabs>
      </w:pPr>
      <w:r>
        <w:fldChar w:fldCharType="begin"/>
      </w:r>
      <w:r>
        <w:instrText xml:space="preserve"> HYPERLINK \l "_Toc30348" </w:instrText>
      </w:r>
      <w:r>
        <w:fldChar w:fldCharType="separate"/>
      </w:r>
      <w:r>
        <w:rPr>
          <w:szCs w:val="24"/>
        </w:rPr>
        <w:t>(四)估价对象</w:t>
      </w:r>
      <w:r>
        <w:tab/>
      </w:r>
      <w:r>
        <w:fldChar w:fldCharType="begin"/>
      </w:r>
      <w:r>
        <w:instrText xml:space="preserve"> PAGEREF _Toc30348 \h </w:instrText>
      </w:r>
      <w:r>
        <w:fldChar w:fldCharType="separate"/>
      </w:r>
      <w:r>
        <w:t>10</w:t>
      </w:r>
      <w:r>
        <w:fldChar w:fldCharType="end"/>
      </w:r>
      <w:r>
        <w:fldChar w:fldCharType="end"/>
      </w:r>
    </w:p>
    <w:p>
      <w:pPr>
        <w:pStyle w:val="12"/>
        <w:tabs>
          <w:tab w:val="right" w:leader="dot" w:pos="9071"/>
        </w:tabs>
      </w:pPr>
      <w:r>
        <w:fldChar w:fldCharType="begin"/>
      </w:r>
      <w:r>
        <w:instrText xml:space="preserve"> HYPERLINK \l "_Toc15797" </w:instrText>
      </w:r>
      <w:r>
        <w:fldChar w:fldCharType="separate"/>
      </w:r>
      <w:r>
        <w:rPr>
          <w:szCs w:val="24"/>
        </w:rPr>
        <w:t>(五)</w:t>
      </w:r>
      <w:r>
        <w:rPr>
          <w:rFonts w:hint="eastAsia"/>
          <w:szCs w:val="24"/>
        </w:rPr>
        <w:t>价值</w:t>
      </w:r>
      <w:r>
        <w:rPr>
          <w:szCs w:val="24"/>
        </w:rPr>
        <w:t>时点</w:t>
      </w:r>
      <w:r>
        <w:tab/>
      </w:r>
      <w:r>
        <w:fldChar w:fldCharType="begin"/>
      </w:r>
      <w:r>
        <w:instrText xml:space="preserve"> PAGEREF _Toc15797 \h </w:instrText>
      </w:r>
      <w:r>
        <w:fldChar w:fldCharType="separate"/>
      </w:r>
      <w:r>
        <w:t>14</w:t>
      </w:r>
      <w:r>
        <w:fldChar w:fldCharType="end"/>
      </w:r>
      <w:r>
        <w:fldChar w:fldCharType="end"/>
      </w:r>
    </w:p>
    <w:p>
      <w:pPr>
        <w:pStyle w:val="12"/>
        <w:tabs>
          <w:tab w:val="right" w:leader="dot" w:pos="9071"/>
        </w:tabs>
      </w:pPr>
      <w:r>
        <w:fldChar w:fldCharType="begin"/>
      </w:r>
      <w:r>
        <w:instrText xml:space="preserve"> HYPERLINK \l "_Toc12271" </w:instrText>
      </w:r>
      <w:r>
        <w:fldChar w:fldCharType="separate"/>
      </w:r>
      <w:r>
        <w:rPr>
          <w:rFonts w:hint="eastAsia"/>
          <w:szCs w:val="24"/>
        </w:rPr>
        <w:t>(六)价值类型</w:t>
      </w:r>
      <w:r>
        <w:tab/>
      </w:r>
      <w:r>
        <w:fldChar w:fldCharType="begin"/>
      </w:r>
      <w:r>
        <w:instrText xml:space="preserve"> PAGEREF _Toc12271 \h </w:instrText>
      </w:r>
      <w:r>
        <w:fldChar w:fldCharType="separate"/>
      </w:r>
      <w:r>
        <w:t>14</w:t>
      </w:r>
      <w:r>
        <w:fldChar w:fldCharType="end"/>
      </w:r>
      <w:r>
        <w:fldChar w:fldCharType="end"/>
      </w:r>
    </w:p>
    <w:p>
      <w:pPr>
        <w:pStyle w:val="12"/>
        <w:tabs>
          <w:tab w:val="right" w:leader="dot" w:pos="9071"/>
        </w:tabs>
      </w:pPr>
      <w:r>
        <w:fldChar w:fldCharType="begin"/>
      </w:r>
      <w:r>
        <w:instrText xml:space="preserve"> HYPERLINK \l "_Toc29717" </w:instrText>
      </w:r>
      <w:r>
        <w:fldChar w:fldCharType="separate"/>
      </w:r>
      <w:r>
        <w:rPr>
          <w:szCs w:val="24"/>
        </w:rPr>
        <w:t>(七)估价原则</w:t>
      </w:r>
      <w:r>
        <w:tab/>
      </w:r>
      <w:r>
        <w:fldChar w:fldCharType="begin"/>
      </w:r>
      <w:r>
        <w:instrText xml:space="preserve"> PAGEREF _Toc29717 \h </w:instrText>
      </w:r>
      <w:r>
        <w:fldChar w:fldCharType="separate"/>
      </w:r>
      <w:r>
        <w:t>15</w:t>
      </w:r>
      <w:r>
        <w:fldChar w:fldCharType="end"/>
      </w:r>
      <w:r>
        <w:fldChar w:fldCharType="end"/>
      </w:r>
    </w:p>
    <w:p>
      <w:pPr>
        <w:pStyle w:val="12"/>
        <w:tabs>
          <w:tab w:val="right" w:leader="dot" w:pos="9071"/>
        </w:tabs>
      </w:pPr>
      <w:r>
        <w:fldChar w:fldCharType="begin"/>
      </w:r>
      <w:r>
        <w:instrText xml:space="preserve"> HYPERLINK \l "_Toc16724" </w:instrText>
      </w:r>
      <w:r>
        <w:fldChar w:fldCharType="separate"/>
      </w:r>
      <w:r>
        <w:rPr>
          <w:szCs w:val="24"/>
        </w:rPr>
        <w:t>(</w:t>
      </w:r>
      <w:r>
        <w:rPr>
          <w:rFonts w:hint="eastAsia"/>
          <w:szCs w:val="24"/>
        </w:rPr>
        <w:t>八</w:t>
      </w:r>
      <w:r>
        <w:rPr>
          <w:szCs w:val="24"/>
        </w:rPr>
        <w:t>)估价</w:t>
      </w:r>
      <w:r>
        <w:rPr>
          <w:rFonts w:hint="eastAsia"/>
          <w:szCs w:val="24"/>
        </w:rPr>
        <w:t>依据</w:t>
      </w:r>
      <w:r>
        <w:tab/>
      </w:r>
      <w:r>
        <w:fldChar w:fldCharType="begin"/>
      </w:r>
      <w:r>
        <w:instrText xml:space="preserve"> PAGEREF _Toc16724 \h </w:instrText>
      </w:r>
      <w:r>
        <w:fldChar w:fldCharType="separate"/>
      </w:r>
      <w:r>
        <w:t>15</w:t>
      </w:r>
      <w:r>
        <w:fldChar w:fldCharType="end"/>
      </w:r>
      <w:r>
        <w:fldChar w:fldCharType="end"/>
      </w:r>
    </w:p>
    <w:p>
      <w:pPr>
        <w:pStyle w:val="12"/>
        <w:tabs>
          <w:tab w:val="right" w:leader="dot" w:pos="9071"/>
        </w:tabs>
      </w:pPr>
      <w:r>
        <w:fldChar w:fldCharType="begin"/>
      </w:r>
      <w:r>
        <w:instrText xml:space="preserve"> HYPERLINK \l "_Toc3570" </w:instrText>
      </w:r>
      <w:r>
        <w:fldChar w:fldCharType="separate"/>
      </w:r>
      <w:r>
        <w:rPr>
          <w:szCs w:val="24"/>
        </w:rPr>
        <w:t>(</w:t>
      </w:r>
      <w:r>
        <w:rPr>
          <w:rFonts w:hint="eastAsia"/>
          <w:szCs w:val="24"/>
        </w:rPr>
        <w:t>九</w:t>
      </w:r>
      <w:r>
        <w:rPr>
          <w:szCs w:val="24"/>
        </w:rPr>
        <w:t>)</w:t>
      </w:r>
      <w:r>
        <w:rPr>
          <w:rFonts w:asciiTheme="minorEastAsia" w:hAnsiTheme="minorEastAsia" w:eastAsiaTheme="minorEastAsia"/>
          <w:szCs w:val="24"/>
        </w:rPr>
        <w:t>市场背景描述与分析</w:t>
      </w:r>
      <w:r>
        <w:tab/>
      </w:r>
      <w:r>
        <w:fldChar w:fldCharType="begin"/>
      </w:r>
      <w:r>
        <w:instrText xml:space="preserve"> PAGEREF _Toc3570 \h </w:instrText>
      </w:r>
      <w:r>
        <w:fldChar w:fldCharType="separate"/>
      </w:r>
      <w:r>
        <w:t>17</w:t>
      </w:r>
      <w:r>
        <w:fldChar w:fldCharType="end"/>
      </w:r>
      <w:r>
        <w:fldChar w:fldCharType="end"/>
      </w:r>
    </w:p>
    <w:p>
      <w:pPr>
        <w:pStyle w:val="12"/>
        <w:tabs>
          <w:tab w:val="right" w:leader="dot" w:pos="9071"/>
        </w:tabs>
      </w:pPr>
      <w:r>
        <w:fldChar w:fldCharType="begin"/>
      </w:r>
      <w:r>
        <w:instrText xml:space="preserve"> HYPERLINK \l "_Toc18103" </w:instrText>
      </w:r>
      <w:r>
        <w:fldChar w:fldCharType="separate"/>
      </w:r>
      <w:r>
        <w:rPr>
          <w:szCs w:val="24"/>
        </w:rPr>
        <w:t>(</w:t>
      </w:r>
      <w:r>
        <w:rPr>
          <w:rFonts w:hint="eastAsia"/>
          <w:szCs w:val="24"/>
        </w:rPr>
        <w:t>十</w:t>
      </w:r>
      <w:r>
        <w:rPr>
          <w:szCs w:val="24"/>
        </w:rPr>
        <w:t>)估价方法</w:t>
      </w:r>
      <w:r>
        <w:tab/>
      </w:r>
      <w:r>
        <w:fldChar w:fldCharType="begin"/>
      </w:r>
      <w:r>
        <w:instrText xml:space="preserve"> PAGEREF _Toc18103 \h </w:instrText>
      </w:r>
      <w:r>
        <w:fldChar w:fldCharType="separate"/>
      </w:r>
      <w:r>
        <w:t>20</w:t>
      </w:r>
      <w:r>
        <w:fldChar w:fldCharType="end"/>
      </w:r>
      <w:r>
        <w:fldChar w:fldCharType="end"/>
      </w:r>
    </w:p>
    <w:p>
      <w:pPr>
        <w:pStyle w:val="12"/>
        <w:tabs>
          <w:tab w:val="right" w:leader="dot" w:pos="9071"/>
        </w:tabs>
      </w:pPr>
      <w:r>
        <w:fldChar w:fldCharType="begin"/>
      </w:r>
      <w:r>
        <w:instrText xml:space="preserve"> HYPERLINK \l "_Toc19836" </w:instrText>
      </w:r>
      <w:r>
        <w:fldChar w:fldCharType="separate"/>
      </w:r>
      <w:r>
        <w:rPr>
          <w:szCs w:val="24"/>
        </w:rPr>
        <w:t>(</w:t>
      </w:r>
      <w:r>
        <w:rPr>
          <w:rFonts w:hint="eastAsia"/>
          <w:szCs w:val="24"/>
        </w:rPr>
        <w:t>十一</w:t>
      </w:r>
      <w:r>
        <w:rPr>
          <w:szCs w:val="24"/>
        </w:rPr>
        <w:t>)估价结果</w:t>
      </w:r>
      <w:r>
        <w:tab/>
      </w:r>
      <w:r>
        <w:fldChar w:fldCharType="begin"/>
      </w:r>
      <w:r>
        <w:instrText xml:space="preserve"> PAGEREF _Toc19836 \h </w:instrText>
      </w:r>
      <w:r>
        <w:fldChar w:fldCharType="separate"/>
      </w:r>
      <w:r>
        <w:t>22</w:t>
      </w:r>
      <w:r>
        <w:fldChar w:fldCharType="end"/>
      </w:r>
      <w:r>
        <w:fldChar w:fldCharType="end"/>
      </w:r>
    </w:p>
    <w:p>
      <w:pPr>
        <w:pStyle w:val="12"/>
        <w:tabs>
          <w:tab w:val="right" w:leader="dot" w:pos="9071"/>
        </w:tabs>
      </w:pPr>
      <w:r>
        <w:fldChar w:fldCharType="begin"/>
      </w:r>
      <w:r>
        <w:instrText xml:space="preserve"> HYPERLINK \l "_Toc16160" </w:instrText>
      </w:r>
      <w:r>
        <w:fldChar w:fldCharType="separate"/>
      </w:r>
      <w:r>
        <w:rPr>
          <w:rFonts w:hint="eastAsia"/>
          <w:szCs w:val="24"/>
        </w:rPr>
        <w:t>(十二)评估专业人员</w:t>
      </w:r>
      <w:r>
        <w:tab/>
      </w:r>
      <w:r>
        <w:fldChar w:fldCharType="begin"/>
      </w:r>
      <w:r>
        <w:instrText xml:space="preserve"> PAGEREF _Toc16160 \h </w:instrText>
      </w:r>
      <w:r>
        <w:fldChar w:fldCharType="separate"/>
      </w:r>
      <w:r>
        <w:t>22</w:t>
      </w:r>
      <w:r>
        <w:fldChar w:fldCharType="end"/>
      </w:r>
      <w:r>
        <w:fldChar w:fldCharType="end"/>
      </w:r>
    </w:p>
    <w:p>
      <w:pPr>
        <w:pStyle w:val="12"/>
        <w:tabs>
          <w:tab w:val="right" w:leader="dot" w:pos="9071"/>
        </w:tabs>
      </w:pPr>
      <w:r>
        <w:fldChar w:fldCharType="begin"/>
      </w:r>
      <w:r>
        <w:instrText xml:space="preserve"> HYPERLINK \l "_Toc19661" </w:instrText>
      </w:r>
      <w:r>
        <w:fldChar w:fldCharType="separate"/>
      </w:r>
      <w:r>
        <w:rPr>
          <w:szCs w:val="24"/>
        </w:rPr>
        <w:t>(十</w:t>
      </w:r>
      <w:r>
        <w:rPr>
          <w:rFonts w:hint="eastAsia"/>
          <w:szCs w:val="24"/>
        </w:rPr>
        <w:t>三</w:t>
      </w:r>
      <w:r>
        <w:rPr>
          <w:szCs w:val="24"/>
        </w:rPr>
        <w:t>)实地查勘日期</w:t>
      </w:r>
      <w:r>
        <w:tab/>
      </w:r>
      <w:r>
        <w:fldChar w:fldCharType="begin"/>
      </w:r>
      <w:r>
        <w:instrText xml:space="preserve"> PAGEREF _Toc19661 \h </w:instrText>
      </w:r>
      <w:r>
        <w:fldChar w:fldCharType="separate"/>
      </w:r>
      <w:r>
        <w:t>22</w:t>
      </w:r>
      <w:r>
        <w:fldChar w:fldCharType="end"/>
      </w:r>
      <w:r>
        <w:fldChar w:fldCharType="end"/>
      </w:r>
    </w:p>
    <w:p>
      <w:pPr>
        <w:pStyle w:val="12"/>
        <w:tabs>
          <w:tab w:val="right" w:leader="dot" w:pos="9071"/>
        </w:tabs>
      </w:pPr>
      <w:r>
        <w:fldChar w:fldCharType="begin"/>
      </w:r>
      <w:r>
        <w:instrText xml:space="preserve"> HYPERLINK \l "_Toc24236" </w:instrText>
      </w:r>
      <w:r>
        <w:fldChar w:fldCharType="separate"/>
      </w:r>
      <w:r>
        <w:rPr>
          <w:szCs w:val="24"/>
        </w:rPr>
        <w:t>(十</w:t>
      </w:r>
      <w:r>
        <w:rPr>
          <w:rFonts w:hint="eastAsia"/>
          <w:szCs w:val="24"/>
        </w:rPr>
        <w:t>四</w:t>
      </w:r>
      <w:r>
        <w:rPr>
          <w:szCs w:val="24"/>
        </w:rPr>
        <w:t>)估价作业日期</w:t>
      </w:r>
      <w:r>
        <w:tab/>
      </w:r>
      <w:r>
        <w:fldChar w:fldCharType="begin"/>
      </w:r>
      <w:r>
        <w:instrText xml:space="preserve"> PAGEREF _Toc24236 \h </w:instrText>
      </w:r>
      <w:r>
        <w:fldChar w:fldCharType="separate"/>
      </w:r>
      <w:r>
        <w:t>23</w:t>
      </w:r>
      <w:r>
        <w:fldChar w:fldCharType="end"/>
      </w:r>
      <w:r>
        <w:fldChar w:fldCharType="end"/>
      </w:r>
    </w:p>
    <w:p>
      <w:pPr>
        <w:pStyle w:val="12"/>
        <w:tabs>
          <w:tab w:val="right" w:leader="dot" w:pos="9071"/>
        </w:tabs>
      </w:pPr>
      <w:r>
        <w:fldChar w:fldCharType="begin"/>
      </w:r>
      <w:r>
        <w:instrText xml:space="preserve"> HYPERLINK \l "_Toc4174" </w:instrText>
      </w:r>
      <w:r>
        <w:fldChar w:fldCharType="separate"/>
      </w:r>
      <w:r>
        <w:rPr>
          <w:szCs w:val="24"/>
        </w:rPr>
        <w:t>(十</w:t>
      </w:r>
      <w:r>
        <w:rPr>
          <w:rFonts w:hint="eastAsia"/>
          <w:szCs w:val="24"/>
        </w:rPr>
        <w:t>五</w:t>
      </w:r>
      <w:r>
        <w:rPr>
          <w:szCs w:val="24"/>
        </w:rPr>
        <w:t>)估价</w:t>
      </w:r>
      <w:r>
        <w:rPr>
          <w:rFonts w:hint="eastAsia"/>
          <w:szCs w:val="24"/>
        </w:rPr>
        <w:t>报告使用期限</w:t>
      </w:r>
      <w:r>
        <w:tab/>
      </w:r>
      <w:r>
        <w:fldChar w:fldCharType="begin"/>
      </w:r>
      <w:r>
        <w:instrText xml:space="preserve"> PAGEREF _Toc4174 \h </w:instrText>
      </w:r>
      <w:r>
        <w:fldChar w:fldCharType="separate"/>
      </w:r>
      <w:r>
        <w:t>23</w:t>
      </w:r>
      <w:r>
        <w:fldChar w:fldCharType="end"/>
      </w:r>
      <w:r>
        <w:fldChar w:fldCharType="end"/>
      </w:r>
    </w:p>
    <w:p>
      <w:pPr>
        <w:pStyle w:val="10"/>
        <w:tabs>
          <w:tab w:val="right" w:leader="dot" w:pos="9071"/>
        </w:tabs>
      </w:pPr>
      <w:r>
        <w:fldChar w:fldCharType="begin"/>
      </w:r>
      <w:r>
        <w:instrText xml:space="preserve"> HYPERLINK \l "_Toc15831" </w:instrText>
      </w:r>
      <w:r>
        <w:fldChar w:fldCharType="separate"/>
      </w:r>
      <w:r>
        <w:rPr>
          <w:rFonts w:hint="eastAsia"/>
        </w:rPr>
        <w:t>四、 附   件</w:t>
      </w:r>
      <w:r>
        <w:tab/>
      </w:r>
      <w:r>
        <w:fldChar w:fldCharType="begin"/>
      </w:r>
      <w:r>
        <w:instrText xml:space="preserve"> PAGEREF _Toc15831 \h </w:instrText>
      </w:r>
      <w:r>
        <w:fldChar w:fldCharType="separate"/>
      </w:r>
      <w:r>
        <w:t>24</w:t>
      </w:r>
      <w:r>
        <w:fldChar w:fldCharType="end"/>
      </w:r>
      <w:r>
        <w:fldChar w:fldCharType="end"/>
      </w:r>
    </w:p>
    <w:p>
      <w:pPr>
        <w:widowControl/>
        <w:adjustRightInd/>
        <w:spacing w:line="240" w:lineRule="auto"/>
        <w:jc w:val="left"/>
        <w:textAlignment w:val="auto"/>
        <w:rPr>
          <w:rFonts w:asciiTheme="minorEastAsia" w:hAnsiTheme="minorEastAsia" w:eastAsiaTheme="minorEastAsia" w:cstheme="minorEastAsia"/>
          <w:szCs w:val="24"/>
        </w:rPr>
        <w:sectPr>
          <w:headerReference r:id="rId7" w:type="default"/>
          <w:footerReference r:id="rId8" w:type="default"/>
          <w:pgSz w:w="11906" w:h="16838"/>
          <w:pgMar w:top="1134" w:right="1134" w:bottom="1134" w:left="1134" w:header="624" w:footer="567" w:gutter="567"/>
          <w:cols w:space="425" w:num="1"/>
          <w:docGrid w:type="lines" w:linePitch="312" w:charSpace="0"/>
        </w:sectPr>
      </w:pPr>
      <w:r>
        <w:rPr>
          <w:rFonts w:hint="eastAsia" w:cs="宋体"/>
          <w:szCs w:val="24"/>
        </w:rPr>
        <w:fldChar w:fldCharType="end"/>
      </w:r>
    </w:p>
    <w:p>
      <w:pPr>
        <w:pStyle w:val="2"/>
        <w:numPr>
          <w:ilvl w:val="0"/>
          <w:numId w:val="2"/>
        </w:numPr>
        <w:ind w:left="0" w:firstLine="0"/>
      </w:pPr>
      <w:bookmarkStart w:id="0" w:name="_Toc29009"/>
      <w:r>
        <w:rPr>
          <w:rFonts w:hint="eastAsia"/>
        </w:rPr>
        <w:t>估价师声明</w:t>
      </w:r>
      <w:bookmarkEnd w:id="0"/>
    </w:p>
    <w:p>
      <w:pPr>
        <w:spacing w:line="360" w:lineRule="auto"/>
        <w:ind w:firstLine="482" w:firstLineChars="200"/>
        <w:jc w:val="left"/>
        <w:textAlignment w:val="auto"/>
      </w:pPr>
      <w:r>
        <w:rPr>
          <w:rFonts w:hint="eastAsia" w:asciiTheme="minorEastAsia" w:hAnsiTheme="minorEastAsia" w:eastAsiaTheme="minorEastAsia"/>
          <w:b/>
          <w:position w:val="-1"/>
          <w:sz w:val="24"/>
          <w:szCs w:val="24"/>
        </w:rPr>
        <w:t>我们郑重声明：</w:t>
      </w:r>
    </w:p>
    <w:p>
      <w:pPr>
        <w:widowControl/>
        <w:adjustRightInd/>
        <w:spacing w:line="360" w:lineRule="auto"/>
        <w:ind w:left="482" w:firstLine="480" w:firstLineChars="200"/>
        <w:jc w:val="left"/>
        <w:textAlignment w:val="auto"/>
        <w:rPr>
          <w:position w:val="-1"/>
          <w:sz w:val="24"/>
          <w:szCs w:val="24"/>
        </w:rPr>
      </w:pPr>
      <w:r>
        <w:rPr>
          <w:rFonts w:hint="eastAsia"/>
          <w:position w:val="-1"/>
          <w:sz w:val="24"/>
          <w:szCs w:val="24"/>
        </w:rPr>
        <w:t>1、注册房地产估价师在估价报告中对事实的说明是真实和准确的，没有虚假记载、误导性陈述和重大遗漏；</w:t>
      </w:r>
    </w:p>
    <w:p>
      <w:pPr>
        <w:widowControl/>
        <w:adjustRightInd/>
        <w:spacing w:line="360" w:lineRule="auto"/>
        <w:ind w:left="482" w:firstLine="480" w:firstLineChars="200"/>
        <w:jc w:val="left"/>
        <w:textAlignment w:val="auto"/>
        <w:rPr>
          <w:position w:val="-1"/>
          <w:sz w:val="24"/>
          <w:szCs w:val="24"/>
        </w:rPr>
      </w:pPr>
      <w:r>
        <w:rPr>
          <w:rFonts w:hint="eastAsia"/>
          <w:position w:val="-1"/>
          <w:sz w:val="24"/>
          <w:szCs w:val="24"/>
        </w:rPr>
        <w:t>2、估价报告中的分析、意见和结论是注册房地产估价师独立、客观、公正的专业分析、意见和结论，但受到估价报告中已说明的估价假设和限制条件的限制；</w:t>
      </w:r>
    </w:p>
    <w:p>
      <w:pPr>
        <w:widowControl/>
        <w:adjustRightInd/>
        <w:spacing w:line="360" w:lineRule="auto"/>
        <w:ind w:left="482" w:firstLine="480" w:firstLineChars="200"/>
        <w:jc w:val="left"/>
        <w:textAlignment w:val="auto"/>
        <w:rPr>
          <w:position w:val="-1"/>
          <w:sz w:val="24"/>
          <w:szCs w:val="24"/>
        </w:rPr>
      </w:pPr>
      <w:r>
        <w:rPr>
          <w:rFonts w:hint="eastAsia"/>
          <w:position w:val="-1"/>
          <w:sz w:val="24"/>
          <w:szCs w:val="24"/>
        </w:rPr>
        <w:t>3、注册房地产估价师与估价报告中的估价对象没有现实或潜在的利益，与估价委托人及估价利害关系人没有利害关系，也对估价对象、估价委托人与估价利害关系人没有偏见；</w:t>
      </w:r>
    </w:p>
    <w:p>
      <w:pPr>
        <w:widowControl/>
        <w:adjustRightInd/>
        <w:spacing w:line="360" w:lineRule="auto"/>
        <w:ind w:left="482" w:firstLine="480" w:firstLineChars="200"/>
        <w:jc w:val="left"/>
        <w:textAlignment w:val="auto"/>
        <w:rPr>
          <w:position w:val="-1"/>
          <w:sz w:val="24"/>
          <w:szCs w:val="24"/>
        </w:rPr>
      </w:pPr>
      <w:r>
        <w:rPr>
          <w:rFonts w:hint="eastAsia"/>
          <w:position w:val="-1"/>
          <w:sz w:val="24"/>
          <w:szCs w:val="24"/>
        </w:rPr>
        <w:t>4、注册房地产估价师是按照《房地产估价规范》(GB/T 50291-2015)、《房地产估价基本术语标准》(GB/T 50899-2013)及《涉执房地产处置司法评估指导意见（试行）》（中房学〔</w:t>
      </w:r>
      <w:r>
        <w:rPr>
          <w:position w:val="-1"/>
          <w:sz w:val="24"/>
          <w:szCs w:val="24"/>
        </w:rPr>
        <w:t>2021〕37号）</w:t>
      </w:r>
      <w:r>
        <w:rPr>
          <w:rFonts w:hint="eastAsia"/>
          <w:position w:val="-1"/>
          <w:sz w:val="24"/>
          <w:szCs w:val="24"/>
        </w:rPr>
        <w:t>的规定进行估价工作，撰写本估价报告；</w:t>
      </w:r>
    </w:p>
    <w:p>
      <w:pPr>
        <w:spacing w:line="360" w:lineRule="auto"/>
        <w:ind w:left="482"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5、估价专业人员已于2022年04月29日对估价对象进行了实地查勘。</w:t>
      </w:r>
    </w:p>
    <w:p>
      <w:pPr>
        <w:spacing w:line="360" w:lineRule="auto"/>
        <w:ind w:left="482"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6、没有人对本估价报告提供了重要的专业帮助；</w:t>
      </w:r>
    </w:p>
    <w:p>
      <w:pPr>
        <w:spacing w:line="360" w:lineRule="auto"/>
        <w:ind w:left="482"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7、本估价报告采用的估价对象权属证明文件等资料由估价委托人(或委托人指定的其他相关当事人)提供，注册房地产估价师已对其提供的资料履行了必要的审核程序，估价委托人依法对所提供资料的真实性、完整性、合法性负责，因提供资料失实造成的后果，估价机构及注册房地产估价师不承担相应责任。</w:t>
      </w:r>
    </w:p>
    <w:p>
      <w:pPr>
        <w:spacing w:line="360" w:lineRule="auto"/>
        <w:ind w:left="482" w:firstLine="480" w:firstLineChars="200"/>
        <w:jc w:val="left"/>
        <w:textAlignment w:val="auto"/>
        <w:rPr>
          <w:rFonts w:asciiTheme="minorEastAsia" w:hAnsiTheme="minorEastAsia" w:eastAsiaTheme="minorEastAsia"/>
          <w:position w:val="-1"/>
          <w:sz w:val="24"/>
          <w:szCs w:val="24"/>
        </w:rPr>
      </w:pPr>
    </w:p>
    <w:p>
      <w:pPr>
        <w:spacing w:line="360" w:lineRule="auto"/>
        <w:ind w:left="482" w:firstLine="482" w:firstLineChars="200"/>
        <w:jc w:val="right"/>
        <w:textAlignment w:val="auto"/>
        <w:rPr>
          <w:rFonts w:asciiTheme="minorEastAsia" w:hAnsiTheme="minorEastAsia" w:eastAsiaTheme="minorEastAsia"/>
          <w:b/>
          <w:position w:val="-1"/>
          <w:sz w:val="24"/>
          <w:szCs w:val="24"/>
        </w:rPr>
      </w:pPr>
      <w:r>
        <w:rPr>
          <w:rFonts w:hint="eastAsia" w:asciiTheme="minorEastAsia" w:hAnsiTheme="minorEastAsia" w:eastAsiaTheme="minorEastAsia"/>
          <w:b/>
          <w:position w:val="-1"/>
          <w:sz w:val="24"/>
          <w:szCs w:val="24"/>
        </w:rPr>
        <w:t>注册房地产估价师：李文婷(注册号：4420200053)</w:t>
      </w:r>
    </w:p>
    <w:p>
      <w:pPr>
        <w:spacing w:line="360" w:lineRule="auto"/>
        <w:ind w:left="482" w:firstLine="482" w:firstLineChars="200"/>
        <w:jc w:val="right"/>
        <w:textAlignment w:val="auto"/>
        <w:rPr>
          <w:rFonts w:asciiTheme="minorEastAsia" w:hAnsiTheme="minorEastAsia" w:eastAsiaTheme="minorEastAsia"/>
          <w:b/>
          <w:position w:val="-1"/>
          <w:sz w:val="24"/>
          <w:szCs w:val="24"/>
        </w:rPr>
      </w:pPr>
      <w:r>
        <w:rPr>
          <w:rFonts w:hint="eastAsia" w:asciiTheme="minorEastAsia" w:hAnsiTheme="minorEastAsia" w:eastAsiaTheme="minorEastAsia"/>
          <w:b/>
          <w:position w:val="-1"/>
          <w:sz w:val="24"/>
          <w:szCs w:val="24"/>
        </w:rPr>
        <w:t>注册房地产估价师：阳金波(注册号：4420110064)</w:t>
      </w:r>
    </w:p>
    <w:p>
      <w:pPr>
        <w:widowControl/>
        <w:adjustRightInd/>
        <w:spacing w:line="240" w:lineRule="auto"/>
        <w:jc w:val="left"/>
        <w:textAlignment w:val="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2"/>
        <w:numPr>
          <w:ilvl w:val="0"/>
          <w:numId w:val="2"/>
        </w:numPr>
        <w:wordWrap w:val="0"/>
        <w:ind w:left="0" w:firstLine="0"/>
      </w:pPr>
      <w:bookmarkStart w:id="1" w:name="_Toc21750"/>
      <w:r>
        <w:rPr>
          <w:rFonts w:hint="eastAsia"/>
        </w:rPr>
        <w:t>估价假设和限制条件</w:t>
      </w:r>
      <w:bookmarkEnd w:id="1"/>
    </w:p>
    <w:p>
      <w:pPr>
        <w:pStyle w:val="3"/>
      </w:pPr>
      <w:bookmarkStart w:id="2" w:name="_Toc19705"/>
      <w:r>
        <w:rPr>
          <w:rFonts w:hint="eastAsia" w:asciiTheme="minorEastAsia" w:hAnsiTheme="minorEastAsia" w:eastAsiaTheme="minorEastAsia"/>
          <w:sz w:val="24"/>
          <w:szCs w:val="24"/>
        </w:rPr>
        <w:t>(一)本项估价的假设条件</w:t>
      </w:r>
      <w:bookmarkEnd w:id="2"/>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1、一般假设</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(1)本报告估价结果是基于房地产市场按正常的趋势发展，并在公开市场前提下求取的房地产市场价值，公开市场是指：①交易双方是自愿地进行交易的；②交易双方进行交易的目的是追求各自利益的最大化；③交易双方具有必要的专业知识并了解交易对象；④交易双方掌握必要的市场信息；⑤交易双方有较充裕的时间进行交易；⑥不存在买者因特殊兴趣而给予附加出价。</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(2)本次估价对环境污染、房屋安全等影响估价对象价值或价格的重大因素给予了必要的关注，但估价专业人员对估价对象的现场查勘仅限于周围环境及估价对象的外观，并未对估价对象做建筑物基础、房屋结构上的检测，因此无法确认其内部是否存在结构性缺损，本报告假设建筑物基础、房屋结构及其它被遮盖、难于接触到的部分无重大质量问题，符合国家有关技术、质量、验收规范，且符合国家有关安全使用标准；</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(3)本报告估价结果受价值时点的限制，是以估价对象在价值时点的状况为依据进行，且以该状况在报告使用期限内无重大变化为前提；</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(4)本次估价未考虑与估价对象有关的法律纠纷因素的影响，也未考虑估价对象短期快速变现和强制处分等处置方式产生的影响。</w:t>
      </w:r>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(5)人民法院未明确存在欠缴税金及相关费用的，本次估价假定估价对象不存在欠缴税金及相关费用。</w:t>
      </w:r>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(6)估价委托人提供了估价对象的《广州市不动产登记查册表》复印件，本机构未能核查其原件，也未能向政府有关部门进行核实，在无理由怀疑其真实性、完整性、合法性的情况下，本次估价假定所提供资料是真实的、完整的、合法的。</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2、未定事项假设</w:t>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无未定事项假设。</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3、背离事实假设</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背离事实假设是指因估价目的特殊需要、交易条件设定或约定，对估价对象状况所做的与估价对象在价值时点的状况不一致的合理假定。</w:t>
      </w:r>
    </w:p>
    <w:p>
      <w:pPr>
        <w:wordWrap w:val="0"/>
        <w:spacing w:line="360" w:lineRule="auto"/>
        <w:ind w:firstLine="480" w:firstLineChars="200"/>
        <w:jc w:val="left"/>
        <w:textAlignment w:val="auto"/>
        <w:rPr>
          <w:rFonts w:asciiTheme="minorEastAsia" w:hAnsiTheme="minorEastAsia" w:eastAsiaTheme="minorEastAsia"/>
          <w:position w:val="-1"/>
          <w:sz w:val="24"/>
        </w:rPr>
      </w:pPr>
      <w:r>
        <w:rPr>
          <w:rFonts w:hint="eastAsia" w:asciiTheme="minorEastAsia" w:hAnsiTheme="minorEastAsia" w:eastAsiaTheme="minorEastAsia"/>
          <w:position w:val="-1"/>
          <w:sz w:val="24"/>
          <w:szCs w:val="24"/>
        </w:rPr>
        <w:t>估价对象为人民法院查封拟处置房地产，根据房地产司法鉴定估价需要，不考虑其他优先受偿权及租赁、抵押、查封等因素的影响,</w:t>
      </w:r>
      <w:r>
        <w:rPr>
          <w:rFonts w:hint="eastAsia" w:asciiTheme="minorEastAsia" w:hAnsiTheme="minorEastAsia" w:eastAsiaTheme="minorEastAsia"/>
          <w:position w:val="-1"/>
          <w:sz w:val="24"/>
        </w:rPr>
        <w:t>评估结果未考虑评估对象被查封以及原有的担保物权和其他优先受偿权的影响。</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4、不相一致假设</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无不相一致假设。</w:t>
      </w:r>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5、依据不足假设</w:t>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对象1：因人民法院和相关当事人未能为本次估价提供现场查勘便利，估价人员已对估价对象外部状况和区位状况进行了实地查勘，未能对估价对象内部进行实地查勘，无法准确知悉估价对象室内布局及装修情况，从估价对象外观判断，室内已有装修。本次估价设定估价对象为已达到入住条件的普通装修（抛光砖地面、乳胶漆内墙面及天花、铝合金窗、室内木门）。</w:t>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估价对象2：无依据不足假设。</w:t>
      </w:r>
    </w:p>
    <w:p>
      <w:pPr>
        <w:pStyle w:val="3"/>
        <w:wordWrap w:val="0"/>
      </w:pPr>
      <w:bookmarkStart w:id="3" w:name="_Toc2059"/>
      <w:r>
        <w:rPr>
          <w:rFonts w:hint="eastAsia" w:asciiTheme="minorEastAsia" w:hAnsiTheme="minorEastAsia" w:eastAsiaTheme="minorEastAsia"/>
          <w:sz w:val="24"/>
          <w:szCs w:val="24"/>
        </w:rPr>
        <w:t>(二)本估价报告使用的限制条件</w:t>
      </w:r>
      <w:bookmarkEnd w:id="3"/>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1、本估价报告仅供委托人、评估委托合同中约定的其他估价报告使用人和法律、行政法规规定的估价报告使用人使用；除此之外，其他任何机构和个人不能成为本估价报告的使用人。</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2、委托人或者其他估价报告使用人应当按照法律、行政法规规定和本估价报告载明的估价目的、使用范围合理使用本估价报告；委托人或者其他估价报告使用人违反前述规定使用本估价报告的，本估价机构及注册房地产估价师不承担责任。</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3、本报告估价结论为满足全部假设与限制条件下的价值，估价报告使用人应当正确理解评估结论，评估结论不等同于估价对象可实现价格，评估结论不应当被认为是对估价对象可实现价格的保证。</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4、本估价报告使用期限为自估价报告出具之日起壹年(自2022年05月11日至2023年05月11日止)，</w:t>
      </w:r>
      <w:r>
        <w:rPr>
          <w:rFonts w:hint="eastAsia" w:asciiTheme="minorEastAsia" w:hAnsiTheme="minorEastAsia" w:eastAsiaTheme="minorEastAsia"/>
          <w:position w:val="-1"/>
          <w:sz w:val="24"/>
        </w:rPr>
        <w:t>在报告使用期限之内，如遇国家经济形势、房地产政策税费、房地产市场或估价对象本身发生重大变化，对估价结果产生明显影响时，委托人应委托评估机构重新进行估价。</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5、除法律、法规另有规定外，未经本估价机构书面同意，本估价报告的全部或部分内容及附件资料均不得以任何形式公开发表。</w:t>
      </w:r>
    </w:p>
    <w:p>
      <w:pPr>
        <w:wordWrap w:val="0"/>
        <w:spacing w:line="360" w:lineRule="auto"/>
        <w:ind w:firstLine="480" w:firstLineChars="200"/>
        <w:jc w:val="left"/>
        <w:textAlignment w:val="auto"/>
      </w:pPr>
      <w:r>
        <w:rPr>
          <w:rFonts w:hint="eastAsia" w:asciiTheme="minorEastAsia" w:hAnsiTheme="minorEastAsia" w:eastAsiaTheme="minorEastAsia"/>
          <w:bCs/>
          <w:position w:val="-1"/>
          <w:sz w:val="24"/>
          <w:szCs w:val="24"/>
        </w:rPr>
        <w:t>6、本估价报告需经估价专业人员签名并加盖估价机构公章，作为一个整体时有效，复印件无效。</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7、本估价报告的解释权归广东正拓土地房地产与资产评估有限公司。</w:t>
      </w:r>
    </w:p>
    <w:p>
      <w:r>
        <w:br w:type="page"/>
      </w:r>
    </w:p>
    <w:p>
      <w:pPr>
        <w:pStyle w:val="2"/>
        <w:numPr>
          <w:ilvl w:val="0"/>
          <w:numId w:val="2"/>
        </w:numPr>
        <w:wordWrap w:val="0"/>
        <w:ind w:left="0" w:firstLine="0"/>
      </w:pPr>
      <w:bookmarkStart w:id="4" w:name="_Toc2489"/>
      <w:r>
        <w:t>估价结果报告</w:t>
      </w:r>
      <w:bookmarkEnd w:id="4"/>
    </w:p>
    <w:p>
      <w:pPr>
        <w:pStyle w:val="3"/>
        <w:wordWrap w:val="0"/>
      </w:pPr>
      <w:bookmarkStart w:id="5" w:name="_Toc22385"/>
      <w:r>
        <w:rPr>
          <w:sz w:val="24"/>
          <w:szCs w:val="24"/>
        </w:rPr>
        <w:t>(一)估价委托人</w:t>
      </w:r>
      <w:bookmarkEnd w:id="5"/>
    </w:p>
    <w:p>
      <w:pPr>
        <w:spacing w:line="360" w:lineRule="auto"/>
        <w:ind w:firstLine="480" w:firstLineChars="200"/>
        <w:jc w:val="left"/>
        <w:textAlignment w:val="auto"/>
      </w:pPr>
      <w:r>
        <w:rPr>
          <w:rFonts w:hint="eastAsia" w:asciiTheme="minorEastAsia" w:hAnsiTheme="minorEastAsia" w:eastAsiaTheme="minorEastAsia"/>
          <w:position w:val="-1"/>
          <w:sz w:val="24"/>
          <w:szCs w:val="24"/>
        </w:rPr>
        <w:t>名称：广东省珠海市香洲区人民法院</w:t>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地址：珠海市香洲区翠民路2号</w:t>
      </w:r>
    </w:p>
    <w:p>
      <w:pPr>
        <w:spacing w:line="360" w:lineRule="auto"/>
        <w:ind w:firstLine="480" w:firstLineChars="200"/>
        <w:jc w:val="left"/>
        <w:textAlignment w:val="auto"/>
        <w:rPr>
          <w:rFonts w:eastAsiaTheme="minorEastAsia"/>
        </w:rPr>
      </w:pPr>
      <w:r>
        <w:rPr>
          <w:rFonts w:hint="eastAsia" w:asciiTheme="minorEastAsia" w:hAnsiTheme="minorEastAsia" w:eastAsiaTheme="minorEastAsia"/>
          <w:position w:val="-1"/>
          <w:sz w:val="24"/>
          <w:szCs w:val="24"/>
        </w:rPr>
        <w:t>联系人及联系方式：陈国滨   0756-2683353</w:t>
      </w:r>
    </w:p>
    <w:p>
      <w:pPr>
        <w:pStyle w:val="3"/>
        <w:wordWrap w:val="0"/>
      </w:pPr>
      <w:bookmarkStart w:id="6" w:name="_Toc29615"/>
      <w:r>
        <w:rPr>
          <w:sz w:val="24"/>
          <w:szCs w:val="24"/>
        </w:rPr>
        <w:t>(二)房地产估价机构</w:t>
      </w:r>
      <w:bookmarkEnd w:id="6"/>
    </w:p>
    <w:p>
      <w:pPr>
        <w:spacing w:line="360" w:lineRule="auto"/>
        <w:ind w:firstLine="480" w:firstLineChars="200"/>
        <w:jc w:val="left"/>
        <w:textAlignment w:val="bottom"/>
      </w:pPr>
      <w:r>
        <w:rPr>
          <w:rFonts w:hint="eastAsia" w:asciiTheme="minorEastAsia" w:hAnsiTheme="minorEastAsia" w:eastAsiaTheme="minorEastAsia"/>
          <w:position w:val="-1"/>
          <w:sz w:val="24"/>
        </w:rPr>
        <w:t>名称：广东正拓土地房地产与资产评估有限公司</w:t>
      </w:r>
    </w:p>
    <w:p>
      <w:pPr>
        <w:spacing w:line="360" w:lineRule="auto"/>
        <w:ind w:firstLine="480" w:firstLineChars="200"/>
        <w:jc w:val="left"/>
        <w:textAlignment w:val="bottom"/>
      </w:pPr>
      <w:r>
        <w:rPr>
          <w:rFonts w:hint="eastAsia" w:asciiTheme="minorEastAsia" w:hAnsiTheme="minorEastAsia" w:eastAsiaTheme="minorEastAsia"/>
          <w:position w:val="-1"/>
          <w:sz w:val="24"/>
        </w:rPr>
        <w:t>法定代表人：李秀标</w:t>
      </w:r>
    </w:p>
    <w:p>
      <w:pPr>
        <w:spacing w:line="360" w:lineRule="auto"/>
        <w:ind w:firstLine="480" w:firstLineChars="200"/>
        <w:jc w:val="left"/>
        <w:textAlignment w:val="bottom"/>
      </w:pPr>
      <w:r>
        <w:rPr>
          <w:rFonts w:hint="eastAsia" w:asciiTheme="minorEastAsia" w:hAnsiTheme="minorEastAsia" w:eastAsiaTheme="minorEastAsia"/>
          <w:position w:val="-1"/>
          <w:sz w:val="24"/>
        </w:rPr>
        <w:t>统一社会信用代码：91440400721107115Q</w:t>
      </w:r>
    </w:p>
    <w:p>
      <w:pPr>
        <w:spacing w:line="360" w:lineRule="auto"/>
        <w:ind w:firstLine="480" w:firstLineChars="200"/>
        <w:jc w:val="left"/>
        <w:textAlignment w:val="bottom"/>
      </w:pPr>
      <w:r>
        <w:rPr>
          <w:rFonts w:hint="eastAsia" w:asciiTheme="minorEastAsia" w:hAnsiTheme="minorEastAsia" w:eastAsiaTheme="minorEastAsia"/>
          <w:position w:val="-1"/>
          <w:sz w:val="24"/>
        </w:rPr>
        <w:t>房地产评估资质壹级编号：粤房估备字壹0300002 有效期：至2022年11月22日</w:t>
      </w:r>
    </w:p>
    <w:p>
      <w:pPr>
        <w:spacing w:line="360" w:lineRule="auto"/>
        <w:ind w:firstLine="480" w:firstLineChars="200"/>
        <w:jc w:val="left"/>
        <w:textAlignment w:val="bottom"/>
      </w:pPr>
      <w:r>
        <w:rPr>
          <w:rFonts w:hint="eastAsia" w:asciiTheme="minorEastAsia" w:hAnsiTheme="minorEastAsia" w:eastAsiaTheme="minorEastAsia"/>
          <w:position w:val="-1"/>
          <w:sz w:val="24"/>
        </w:rPr>
        <w:t>资产评估资质全国编号：粤财评备[2020]4号  有效期：长期有效</w:t>
      </w:r>
    </w:p>
    <w:p>
      <w:pPr>
        <w:spacing w:line="360" w:lineRule="auto"/>
        <w:ind w:firstLine="480" w:firstLineChars="200"/>
        <w:jc w:val="left"/>
        <w:textAlignment w:val="bottom"/>
      </w:pPr>
      <w:r>
        <w:rPr>
          <w:rFonts w:hint="eastAsia" w:asciiTheme="minorEastAsia" w:hAnsiTheme="minorEastAsia" w:eastAsiaTheme="minorEastAsia"/>
          <w:position w:val="-1"/>
          <w:sz w:val="24"/>
        </w:rPr>
        <w:t>土地评估信用等级二级编号：B202244005  有效期：至2022年12月31日</w:t>
      </w:r>
    </w:p>
    <w:p>
      <w:pPr>
        <w:spacing w:line="360" w:lineRule="auto"/>
        <w:ind w:firstLine="480" w:firstLineChars="200"/>
        <w:jc w:val="left"/>
        <w:textAlignment w:val="bottom"/>
      </w:pPr>
      <w:r>
        <w:rPr>
          <w:rFonts w:hint="eastAsia" w:asciiTheme="minorEastAsia" w:hAnsiTheme="minorEastAsia" w:eastAsiaTheme="minorEastAsia"/>
          <w:position w:val="-1"/>
          <w:sz w:val="24"/>
        </w:rPr>
        <w:t>地址：广东省珠海市香洲区兴国街4号1106房</w:t>
      </w:r>
    </w:p>
    <w:p>
      <w:pPr>
        <w:pStyle w:val="3"/>
        <w:wordWrap w:val="0"/>
      </w:pPr>
      <w:bookmarkStart w:id="7" w:name="_Toc21942"/>
      <w:r>
        <w:rPr>
          <w:sz w:val="24"/>
          <w:szCs w:val="24"/>
        </w:rPr>
        <w:t>(三)估价目的</w:t>
      </w:r>
      <w:bookmarkEnd w:id="7"/>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本次估价为香洲区人民法院执行的申请执行人张翔与被执行人王芬法定继承纠纷一案，涉及的财产评估，根据</w:t>
      </w:r>
      <w:r>
        <w:rPr>
          <w:rFonts w:hint="eastAsia"/>
          <w:position w:val="-1"/>
          <w:sz w:val="24"/>
          <w:szCs w:val="24"/>
        </w:rPr>
        <w:t>《涉执房地产处置司法评估指导意见（试行）》（中房学〔</w:t>
      </w:r>
      <w:r>
        <w:rPr>
          <w:position w:val="-1"/>
          <w:sz w:val="24"/>
          <w:szCs w:val="24"/>
        </w:rPr>
        <w:t>2021〕37号）</w:t>
      </w:r>
      <w:r>
        <w:rPr>
          <w:rFonts w:hint="eastAsia" w:asciiTheme="minorEastAsia" w:hAnsiTheme="minorEastAsia" w:eastAsiaTheme="minorEastAsia"/>
          <w:position w:val="-1"/>
          <w:sz w:val="24"/>
          <w:szCs w:val="24"/>
        </w:rPr>
        <w:t>。本次估价目的为为人民法院确定财产处置参考价提供参考依据。</w:t>
      </w:r>
    </w:p>
    <w:p>
      <w:pPr>
        <w:pStyle w:val="3"/>
        <w:wordWrap w:val="0"/>
      </w:pPr>
      <w:bookmarkStart w:id="8" w:name="_Toc30348"/>
      <w:r>
        <w:rPr>
          <w:sz w:val="24"/>
          <w:szCs w:val="24"/>
        </w:rPr>
        <w:t>(四)估价对象</w:t>
      </w:r>
      <w:bookmarkEnd w:id="8"/>
    </w:p>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1、实物状况描述与分析</w:t>
      </w:r>
    </w:p>
    <w:p>
      <w:pPr>
        <w:wordWrap w:val="0"/>
        <w:spacing w:line="360" w:lineRule="auto"/>
        <w:ind w:left="60" w:firstLine="420"/>
        <w:jc w:val="left"/>
        <w:textAlignment w:val="auto"/>
      </w:pPr>
      <w:r>
        <w:rPr>
          <w:rFonts w:hint="eastAsia" w:asciiTheme="minorEastAsia" w:hAnsiTheme="minorEastAsia" w:eastAsiaTheme="minorEastAsia"/>
          <w:b/>
          <w:bCs/>
          <w:color w:val="000000" w:themeColor="text1"/>
          <w:position w:val="-1"/>
          <w:sz w:val="24"/>
          <w:szCs w:val="24"/>
        </w:rPr>
        <w:t>估价对象1</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18"/>
        <w:gridCol w:w="2091"/>
        <w:gridCol w:w="1437"/>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土地实物状况描述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名称</w:t>
            </w:r>
          </w:p>
        </w:tc>
        <w:tc>
          <w:tcPr>
            <w:tcW w:w="4174" w:type="pct"/>
            <w:gridSpan w:val="4"/>
            <w:vAlign w:val="center"/>
          </w:tcPr>
          <w:p>
            <w:pPr>
              <w:tabs>
                <w:tab w:val="left" w:pos="2745"/>
              </w:tabs>
              <w:wordWrap w:val="0"/>
              <w:spacing w:line="360" w:lineRule="auto"/>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kern w:val="2"/>
                <w:sz w:val="18"/>
                <w:szCs w:val="18"/>
              </w:rPr>
              <w:t>广东省广州市增城市新塘镇凤凰城凤锦苑五街1号1001房分摊土地使用权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四至</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东至凤凰城大道，南至凤凰城凤天苑、凤湖苑，西至天麓山，北至岗丰大道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面积</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共用宗地面积220237.7038平方米，整幢楼房的产权人共用土地使用权面积为613.37平方米。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用途</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形状</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所在小区用地呈不规则多边形，建筑物布局无不良影响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地形地势</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估价对象宗地宗地内较平坦，与相邻地块无明显地势落差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开发程度</w:t>
            </w:r>
          </w:p>
        </w:tc>
        <w:tc>
          <w:tcPr>
            <w:tcW w:w="4174" w:type="pct"/>
            <w:gridSpan w:val="4"/>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估价对象宗地内外均达到“六通一平”（即通上水、通下水、通电、通路、通讯及通气，红线内场地平整），且宗地内已开发利用。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建筑物实物状况描述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名称</w:t>
            </w:r>
          </w:p>
        </w:tc>
        <w:tc>
          <w:tcPr>
            <w:tcW w:w="4105" w:type="pct"/>
            <w:gridSpan w:val="3"/>
            <w:vAlign w:val="center"/>
          </w:tcPr>
          <w:p>
            <w:pPr>
              <w:wordWrap w:val="0"/>
              <w:spacing w:line="360" w:lineRule="auto"/>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kern w:val="2"/>
                <w:sz w:val="18"/>
                <w:szCs w:val="18"/>
              </w:rPr>
              <w:t>广东省广州市增城市新塘镇凤凰城凤锦苑五街1号1001房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建筑面积</w:t>
            </w:r>
          </w:p>
        </w:tc>
        <w:tc>
          <w:tcPr>
            <w:tcW w:w="1227" w:type="pct"/>
            <w:vAlign w:val="center"/>
          </w:tcPr>
          <w:p>
            <w:pPr>
              <w:wordWrap w:val="0"/>
              <w:spacing w:line="360" w:lineRule="auto"/>
              <w:textAlignment w:val="auto"/>
              <w:rPr>
                <w:rFonts w:asciiTheme="minorEastAsia" w:hAnsiTheme="minorEastAsia" w:eastAsiaTheme="minorEastAsia"/>
                <w:kern w:val="2"/>
                <w:position w:val="-1"/>
                <w:sz w:val="18"/>
                <w:szCs w:val="18"/>
              </w:rPr>
            </w:pPr>
            <w:r>
              <w:rPr>
                <w:rFonts w:hint="eastAsia" w:asciiTheme="minorEastAsia" w:hAnsiTheme="minorEastAsia" w:eastAsiaTheme="minorEastAsia"/>
                <w:kern w:val="2"/>
                <w:position w:val="-1"/>
                <w:sz w:val="18"/>
                <w:szCs w:val="18"/>
              </w:rPr>
              <w:t>204.63平方米</w:t>
            </w:r>
          </w:p>
        </w:tc>
        <w:tc>
          <w:tcPr>
            <w:tcW w:w="843" w:type="pct"/>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kern w:val="2"/>
                <w:position w:val="-1"/>
                <w:sz w:val="18"/>
                <w:szCs w:val="18"/>
              </w:rPr>
              <w:t>用途</w:t>
            </w:r>
          </w:p>
        </w:tc>
        <w:tc>
          <w:tcPr>
            <w:tcW w:w="2035"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规划用途为住宅，实际用途为住宅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建筑结构</w:t>
            </w:r>
          </w:p>
        </w:tc>
        <w:tc>
          <w:tcPr>
            <w:tcW w:w="1227"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钢混结构</w:t>
            </w:r>
          </w:p>
        </w:tc>
        <w:tc>
          <w:tcPr>
            <w:tcW w:w="843" w:type="pct"/>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bCs/>
                <w:kern w:val="2"/>
                <w:sz w:val="18"/>
                <w:szCs w:val="18"/>
              </w:rPr>
              <w:t>建成时间</w:t>
            </w:r>
          </w:p>
        </w:tc>
        <w:tc>
          <w:tcPr>
            <w:tcW w:w="2035"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建成于2013年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层数及层高</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估价对象所在建筑物总楼层为26层，估价对象位于第10层，室内层高：不详。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空间布局</w:t>
            </w:r>
          </w:p>
        </w:tc>
        <w:tc>
          <w:tcPr>
            <w:tcW w:w="4105" w:type="pct"/>
            <w:gridSpan w:val="3"/>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两梯四户，估价对象功能完备、设计较合理，户型结构：不详。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装饰装修</w:t>
            </w:r>
          </w:p>
        </w:tc>
        <w:tc>
          <w:tcPr>
            <w:tcW w:w="4105" w:type="pct"/>
            <w:gridSpan w:val="3"/>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设施设备</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2部电梯，供水、排水、电力、燃气设施齐备。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使用及维护状况</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完损状况</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估价对象基本完好。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kern w:val="2"/>
                <w:position w:val="-1"/>
                <w:sz w:val="18"/>
                <w:szCs w:val="18"/>
              </w:rPr>
              <w:t>实物状况分析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wordWrap w:val="0"/>
              <w:spacing w:line="240" w:lineRule="auto"/>
              <w:ind w:firstLine="360" w:firstLineChars="200"/>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所在宗地为城镇住宅用地，周边多为住宅用地，适宜进行住宅房地产开发，与周边土地利用相协调。估价对象所在小区规模大,小区等级为中高档小区，小区设施有幼儿园、儿童游乐场、户外休闲场所等，物业管理水平高；估价对象建筑物结构为钢混结构，地面、墙面、门窗无明显破损，维护保养状况较好。</w:t>
            </w:r>
          </w:p>
        </w:tc>
      </w:tr>
    </w:tbl>
    <w:p>
      <w:pPr>
        <w:wordWrap w:val="0"/>
        <w:spacing w:line="360" w:lineRule="auto"/>
        <w:ind w:left="60" w:firstLine="420"/>
        <w:jc w:val="left"/>
        <w:textAlignment w:val="auto"/>
        <w:rPr>
          <w:rFonts w:asciiTheme="minorEastAsia" w:hAnsiTheme="minorEastAsia" w:eastAsiaTheme="minorEastAsia"/>
          <w:b/>
          <w:bCs/>
          <w:color w:val="000000" w:themeColor="text1"/>
          <w:position w:val="-1"/>
          <w:sz w:val="24"/>
          <w:szCs w:val="24"/>
        </w:rPr>
      </w:pPr>
      <w:r>
        <w:rPr>
          <w:rFonts w:hint="eastAsia" w:asciiTheme="minorEastAsia" w:hAnsiTheme="minorEastAsia" w:eastAsiaTheme="minorEastAsia"/>
          <w:b/>
          <w:bCs/>
          <w:color w:val="000000" w:themeColor="text1"/>
          <w:position w:val="-1"/>
          <w:sz w:val="24"/>
          <w:szCs w:val="24"/>
        </w:rPr>
        <w:t>估价对象2</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18"/>
        <w:gridCol w:w="2091"/>
        <w:gridCol w:w="1437"/>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土地实物状况描述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名称</w:t>
            </w:r>
          </w:p>
        </w:tc>
        <w:tc>
          <w:tcPr>
            <w:tcW w:w="4174" w:type="pct"/>
            <w:gridSpan w:val="4"/>
            <w:vAlign w:val="center"/>
          </w:tcPr>
          <w:p>
            <w:pPr>
              <w:tabs>
                <w:tab w:val="left" w:pos="2745"/>
              </w:tabs>
              <w:wordWrap w:val="0"/>
              <w:spacing w:line="360" w:lineRule="auto"/>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kern w:val="2"/>
                <w:sz w:val="18"/>
                <w:szCs w:val="18"/>
              </w:rPr>
              <w:t>广东省广州市增城市新塘镇凤凰城凤锦苑五街1-4号地下车库负一层494号分摊土地使用权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四至</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东至凤凰城大道，南至凤凰城凤天苑、凤湖苑，西至天麓山，北至岗丰大道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面积</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共用宗地面积220237.7038平方米，整幢楼房的产权人共用土地使用权面积为613.37平方米。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用途</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形状</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所在小区用地呈不规则多边形，建筑物布局无不良影响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地形地势</w:t>
            </w:r>
          </w:p>
        </w:tc>
        <w:tc>
          <w:tcPr>
            <w:tcW w:w="4174" w:type="pct"/>
            <w:gridSpan w:val="4"/>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估价对象宗地宗地内较平坦，与相邻地块无明显地势落差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开发程度</w:t>
            </w:r>
          </w:p>
        </w:tc>
        <w:tc>
          <w:tcPr>
            <w:tcW w:w="4174" w:type="pct"/>
            <w:gridSpan w:val="4"/>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估价对象宗地内外均达到“六通一平”（即通上水、通下水、通电、通路、通讯及通气，红线内场地平整），且宗地内已开发利用。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建筑物实物状况描述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名称</w:t>
            </w:r>
          </w:p>
        </w:tc>
        <w:tc>
          <w:tcPr>
            <w:tcW w:w="4105" w:type="pct"/>
            <w:gridSpan w:val="3"/>
            <w:vAlign w:val="center"/>
          </w:tcPr>
          <w:p>
            <w:pPr>
              <w:wordWrap w:val="0"/>
              <w:spacing w:line="360" w:lineRule="auto"/>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kern w:val="2"/>
                <w:sz w:val="18"/>
                <w:szCs w:val="18"/>
              </w:rPr>
              <w:t>广东省广州市增城市新塘镇凤凰城凤锦苑五街1-4号地下车库负一层494号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建筑面积</w:t>
            </w:r>
          </w:p>
        </w:tc>
        <w:tc>
          <w:tcPr>
            <w:tcW w:w="1227" w:type="pct"/>
            <w:vAlign w:val="center"/>
          </w:tcPr>
          <w:p>
            <w:pPr>
              <w:wordWrap w:val="0"/>
              <w:spacing w:line="360" w:lineRule="auto"/>
              <w:textAlignment w:val="auto"/>
              <w:rPr>
                <w:rFonts w:asciiTheme="minorEastAsia" w:hAnsiTheme="minorEastAsia" w:eastAsiaTheme="minorEastAsia"/>
                <w:kern w:val="2"/>
                <w:position w:val="-1"/>
                <w:sz w:val="18"/>
                <w:szCs w:val="18"/>
              </w:rPr>
            </w:pPr>
            <w:r>
              <w:rPr>
                <w:rFonts w:hint="eastAsia" w:asciiTheme="minorEastAsia" w:hAnsiTheme="minorEastAsia" w:eastAsiaTheme="minorEastAsia"/>
                <w:kern w:val="2"/>
                <w:position w:val="-1"/>
                <w:sz w:val="18"/>
                <w:szCs w:val="18"/>
              </w:rPr>
              <w:t>13.23平方米</w:t>
            </w:r>
          </w:p>
        </w:tc>
        <w:tc>
          <w:tcPr>
            <w:tcW w:w="843" w:type="pct"/>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kern w:val="2"/>
                <w:position w:val="-1"/>
                <w:sz w:val="18"/>
                <w:szCs w:val="18"/>
              </w:rPr>
              <w:t>用途</w:t>
            </w:r>
          </w:p>
        </w:tc>
        <w:tc>
          <w:tcPr>
            <w:tcW w:w="2035"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规划用途为车位，实际用途为车位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建筑结构</w:t>
            </w:r>
          </w:p>
        </w:tc>
        <w:tc>
          <w:tcPr>
            <w:tcW w:w="1227"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钢混结构</w:t>
            </w:r>
          </w:p>
        </w:tc>
        <w:tc>
          <w:tcPr>
            <w:tcW w:w="843" w:type="pct"/>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bCs/>
                <w:kern w:val="2"/>
                <w:sz w:val="18"/>
                <w:szCs w:val="18"/>
              </w:rPr>
              <w:t>建成时间</w:t>
            </w:r>
          </w:p>
        </w:tc>
        <w:tc>
          <w:tcPr>
            <w:tcW w:w="2035" w:type="pct"/>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建成于2013年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层数及层高</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估价对象所在建筑物总楼层为/层，估价对象位于地下第1层。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空间布局</w:t>
            </w:r>
          </w:p>
        </w:tc>
        <w:tc>
          <w:tcPr>
            <w:tcW w:w="4105" w:type="pct"/>
            <w:gridSpan w:val="3"/>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装饰装修</w:t>
            </w:r>
          </w:p>
        </w:tc>
        <w:tc>
          <w:tcPr>
            <w:tcW w:w="4105" w:type="pct"/>
            <w:gridSpan w:val="3"/>
            <w:vAlign w:val="center"/>
          </w:tcPr>
          <w:p>
            <w:pPr>
              <w:wordWrap w:val="0"/>
              <w:spacing w:line="24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防滑漆地面，乳胶漆内墙与天花。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设施设备</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1部电梯。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使用及维护状况</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pct"/>
            <w:gridSpan w:val="2"/>
            <w:vAlign w:val="center"/>
          </w:tcPr>
          <w:p>
            <w:pPr>
              <w:wordWrap w:val="0"/>
              <w:spacing w:line="360" w:lineRule="auto"/>
              <w:jc w:val="center"/>
              <w:textAlignment w:val="auto"/>
              <w:rPr>
                <w:rFonts w:asciiTheme="minorEastAsia" w:hAnsiTheme="minorEastAsia" w:eastAsiaTheme="minorEastAsia"/>
                <w:b/>
                <w:kern w:val="2"/>
                <w:position w:val="-1"/>
                <w:sz w:val="18"/>
                <w:szCs w:val="18"/>
              </w:rPr>
            </w:pPr>
            <w:r>
              <w:rPr>
                <w:rFonts w:hint="eastAsia" w:asciiTheme="minorEastAsia" w:hAnsiTheme="minorEastAsia" w:eastAsiaTheme="minorEastAsia"/>
                <w:b/>
                <w:kern w:val="2"/>
                <w:position w:val="-1"/>
                <w:sz w:val="18"/>
                <w:szCs w:val="18"/>
              </w:rPr>
              <w:t>完损状况</w:t>
            </w:r>
          </w:p>
        </w:tc>
        <w:tc>
          <w:tcPr>
            <w:tcW w:w="4105" w:type="pct"/>
            <w:gridSpan w:val="3"/>
            <w:vAlign w:val="center"/>
          </w:tcPr>
          <w:p>
            <w:pPr>
              <w:wordWrap w:val="0"/>
              <w:spacing w:line="360" w:lineRule="auto"/>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估价对象基本完好。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wordWrap w:val="0"/>
              <w:spacing w:line="360" w:lineRule="auto"/>
              <w:jc w:val="center"/>
              <w:textAlignment w:val="auto"/>
              <w:rPr>
                <w:rFonts w:asciiTheme="minorEastAsia" w:hAnsiTheme="minorEastAsia" w:eastAsiaTheme="minorEastAsia"/>
                <w:kern w:val="2"/>
                <w:sz w:val="18"/>
                <w:szCs w:val="18"/>
              </w:rPr>
            </w:pPr>
            <w:r>
              <w:rPr>
                <w:rFonts w:hint="eastAsia" w:asciiTheme="minorEastAsia" w:hAnsiTheme="minorEastAsia" w:eastAsiaTheme="minorEastAsia"/>
                <w:b/>
                <w:kern w:val="2"/>
                <w:position w:val="-1"/>
                <w:sz w:val="18"/>
                <w:szCs w:val="18"/>
              </w:rPr>
              <w:t>实物状况分析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wordWrap w:val="0"/>
              <w:spacing w:line="240" w:lineRule="auto"/>
              <w:ind w:firstLine="360" w:firstLineChars="200"/>
              <w:textAlignment w:val="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估价对象所在宗地为城镇住宅用地，周边多为住宅用地，适宜进行住宅房地产开发，与周边土地利用相协调。估价对象所在小区规模大,小区等级为中高档小区，小区设施有幼儿园、儿童游乐场、户外休闲场所等，物业管理水平高；估价对象建筑物结构为钢混结构，地面、墙面无明显破损，维护保养状况较好。</w:t>
            </w:r>
          </w:p>
        </w:tc>
      </w:tr>
    </w:tbl>
    <w:p>
      <w:pPr>
        <w:numPr>
          <w:ilvl w:val="0"/>
          <w:numId w:val="3"/>
        </w:num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权益状况描述与分析</w:t>
      </w:r>
    </w:p>
    <w:p>
      <w:pPr>
        <w:wordWrap w:val="0"/>
        <w:spacing w:line="360" w:lineRule="auto"/>
        <w:ind w:firstLine="482" w:firstLineChars="200"/>
        <w:jc w:val="left"/>
        <w:textAlignment w:val="auto"/>
      </w:pPr>
      <w:r>
        <w:rPr>
          <w:rFonts w:hint="eastAsia" w:asciiTheme="minorEastAsia" w:hAnsiTheme="minorEastAsia" w:eastAsiaTheme="minorEastAsia"/>
          <w:b/>
          <w:bCs/>
          <w:color w:val="000000" w:themeColor="text1"/>
          <w:position w:val="-1"/>
          <w:sz w:val="24"/>
          <w:szCs w:val="24"/>
        </w:rPr>
        <w:t>估价对象1</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2078"/>
        <w:gridCol w:w="1980"/>
        <w:gridCol w:w="1398"/>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46" w:type="dxa"/>
            <w:gridSpan w:val="2"/>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产权证书及编号</w:t>
            </w:r>
          </w:p>
        </w:tc>
        <w:tc>
          <w:tcPr>
            <w:tcW w:w="5641"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《房地产权证》[1220398791]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46" w:type="dxa"/>
            <w:gridSpan w:val="2"/>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权利人</w:t>
            </w:r>
          </w:p>
        </w:tc>
        <w:tc>
          <w:tcPr>
            <w:tcW w:w="5641"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王芬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restart"/>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房屋情况</w:t>
            </w: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房屋坐落</w:t>
            </w:r>
          </w:p>
        </w:tc>
        <w:tc>
          <w:tcPr>
            <w:tcW w:w="5641"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广东省广州市增城市新塘镇凤凰城凤锦苑五街1号1001房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实际用途</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住宅</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规划用途</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房屋结构</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钢混结构</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竣工年份(年)</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所在层/总层数</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10层/26层</w:t>
            </w:r>
          </w:p>
        </w:tc>
        <w:tc>
          <w:tcPr>
            <w:tcW w:w="1559" w:type="dxa"/>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sz w:val="18"/>
                <w:szCs w:val="18"/>
              </w:rPr>
              <w:t>权利性质</w:t>
            </w:r>
          </w:p>
        </w:tc>
        <w:tc>
          <w:tcPr>
            <w:tcW w:w="2091" w:type="dxa"/>
            <w:shd w:val="clear" w:color="auto" w:fill="auto"/>
            <w:vAlign w:val="center"/>
          </w:tcPr>
          <w:p>
            <w:pPr>
              <w:widowControl/>
              <w:jc w:val="center"/>
              <w:rPr>
                <w:rFonts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私有房产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建筑面积(M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204.63</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共有情况</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专有建筑面积(M</w:t>
            </w:r>
            <w:r>
              <w:rPr>
                <w:rFonts w:hint="eastAsia" w:asciiTheme="minorEastAsia" w:hAnsiTheme="minorEastAsia" w:eastAsiaTheme="minorEastAsia"/>
                <w:color w:val="000000" w:themeColor="text1"/>
                <w:kern w:val="2"/>
                <w:sz w:val="18"/>
                <w:szCs w:val="18"/>
                <w:vertAlign w:val="superscript"/>
              </w:rPr>
              <w:t>2</w:t>
            </w:r>
            <w:r>
              <w:rPr>
                <w:rFonts w:hint="eastAsia" w:asciiTheme="minorEastAsia" w:hAnsiTheme="minorEastAsia" w:eastAsiaTheme="minorEastAsia"/>
                <w:color w:val="000000" w:themeColor="text1"/>
                <w:kern w:val="2"/>
                <w:sz w:val="18"/>
                <w:szCs w:val="18"/>
              </w:rPr>
              <w:t>)</w:t>
            </w:r>
          </w:p>
        </w:tc>
        <w:tc>
          <w:tcPr>
            <w:tcW w:w="1991" w:type="dxa"/>
            <w:shd w:val="clear" w:color="auto" w:fill="auto"/>
            <w:vAlign w:val="center"/>
          </w:tcPr>
          <w:p>
            <w:pPr>
              <w:widowControl/>
              <w:jc w:val="center"/>
              <w:rPr>
                <w:rFonts w:asciiTheme="minorEastAsia" w:hAnsiTheme="minorEastAsia"/>
                <w:color w:val="000000" w:themeColor="text1"/>
                <w:kern w:val="28"/>
                <w:sz w:val="18"/>
                <w:szCs w:val="18"/>
              </w:rPr>
            </w:pPr>
            <w:r>
              <w:rPr>
                <w:rFonts w:hint="eastAsia" w:asciiTheme="minorEastAsia" w:hAnsiTheme="minorEastAsia" w:eastAsiaTheme="minorEastAsia"/>
                <w:color w:val="000000" w:themeColor="text1"/>
                <w:kern w:val="2"/>
                <w:sz w:val="18"/>
                <w:szCs w:val="18"/>
              </w:rPr>
              <w:t>175.73</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权利类型</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restart"/>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土地情况</w:t>
            </w: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权利性质</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出让</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共用宗地面积(M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220237.7038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shd w:val="clear" w:color="auto" w:fill="auto"/>
            <w:vAlign w:val="center"/>
          </w:tcPr>
          <w:p>
            <w:pPr>
              <w:widowControl/>
              <w:jc w:val="center"/>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地号</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440183108023GB00004</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整栋楼宇共用宗地面积(M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613.37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地类用途</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城镇住宅用地</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权利类型</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left"/>
              <w:rPr>
                <w:rFonts w:cs="宋体" w:asciiTheme="minorEastAsia" w:hAnsiTheme="minorEastAsia"/>
                <w:color w:val="000000" w:themeColor="text1"/>
                <w:sz w:val="18"/>
                <w:szCs w:val="18"/>
              </w:rPr>
            </w:pPr>
          </w:p>
        </w:tc>
        <w:tc>
          <w:tcPr>
            <w:tcW w:w="2383"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终止日期</w:t>
            </w:r>
          </w:p>
        </w:tc>
        <w:tc>
          <w:tcPr>
            <w:tcW w:w="19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2071年08月27日</w:t>
            </w:r>
          </w:p>
        </w:tc>
        <w:tc>
          <w:tcPr>
            <w:tcW w:w="1559"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土地剩余使用年限(年)</w:t>
            </w:r>
          </w:p>
        </w:tc>
        <w:tc>
          <w:tcPr>
            <w:tcW w:w="2091"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附记</w:t>
            </w:r>
          </w:p>
        </w:tc>
        <w:tc>
          <w:tcPr>
            <w:tcW w:w="8024" w:type="dxa"/>
            <w:gridSpan w:val="4"/>
            <w:shd w:val="clear" w:color="auto" w:fill="auto"/>
            <w:vAlign w:val="center"/>
          </w:tcPr>
          <w:p>
            <w:pPr>
              <w:widowControl/>
              <w:jc w:val="center"/>
              <w:rPr>
                <w:rFonts w:cs="Arial"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restart"/>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他项权利情况</w:t>
            </w:r>
          </w:p>
        </w:tc>
        <w:tc>
          <w:tcPr>
            <w:tcW w:w="2383" w:type="dxa"/>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担保物权设立情况</w:t>
            </w:r>
          </w:p>
        </w:tc>
        <w:tc>
          <w:tcPr>
            <w:tcW w:w="5641" w:type="dxa"/>
            <w:gridSpan w:val="3"/>
            <w:shd w:val="clear" w:color="auto" w:fill="auto"/>
            <w:vAlign w:val="center"/>
          </w:tcPr>
          <w:p>
            <w:pPr>
              <w:widowControl/>
              <w:jc w:val="center"/>
              <w:rPr>
                <w:rFonts w:asciiTheme="minorEastAsia" w:hAnsiTheme="minorEastAsia"/>
                <w:color w:val="000000" w:themeColor="text1"/>
                <w:kern w:val="2"/>
                <w:sz w:val="18"/>
                <w:szCs w:val="18"/>
              </w:rPr>
            </w:pPr>
            <w:r>
              <w:rPr>
                <w:rFonts w:hint="eastAsia" w:asciiTheme="minorEastAsia" w:hAnsiTheme="minorEastAsia" w:eastAsiaTheme="minorEastAsia"/>
                <w:color w:val="000000" w:themeColor="text1"/>
                <w:spacing w:val="-4"/>
                <w:kern w:val="2"/>
                <w:sz w:val="18"/>
                <w:szCs w:val="18"/>
              </w:rPr>
              <w:t>至价值时点，估价对象未设定抵押登记。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Merge w:val="continue"/>
            <w:vAlign w:val="center"/>
          </w:tcPr>
          <w:p>
            <w:pPr>
              <w:widowControl/>
              <w:jc w:val="center"/>
              <w:rPr>
                <w:rFonts w:asciiTheme="minorEastAsia" w:hAnsiTheme="minorEastAsia" w:eastAsiaTheme="minorEastAsia"/>
                <w:color w:val="000000" w:themeColor="text1"/>
                <w:kern w:val="2"/>
                <w:sz w:val="18"/>
                <w:szCs w:val="18"/>
              </w:rPr>
            </w:pPr>
          </w:p>
        </w:tc>
        <w:tc>
          <w:tcPr>
            <w:tcW w:w="2383" w:type="dxa"/>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租赁或占用情况</w:t>
            </w:r>
          </w:p>
        </w:tc>
        <w:tc>
          <w:tcPr>
            <w:tcW w:w="5641"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kern w:val="2"/>
                <w:sz w:val="18"/>
                <w:szCs w:val="18"/>
              </w:rPr>
              <w:t>至价值时点，估价对象现使用人情况不详。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63" w:type="dxa"/>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限制情况</w:t>
            </w:r>
          </w:p>
        </w:tc>
        <w:tc>
          <w:tcPr>
            <w:tcW w:w="2383" w:type="dxa"/>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查封登记情况</w:t>
            </w:r>
          </w:p>
        </w:tc>
        <w:tc>
          <w:tcPr>
            <w:tcW w:w="5641" w:type="dxa"/>
            <w:gridSpan w:val="3"/>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至价值时点，估价对象已查封，查封机关：珠海市香洲区人民法院，查封文号：（2021）粤0402执8396号，查封超始时间：2021-09-10，查封结束时间：2024-09-09</w:t>
            </w:r>
          </w:p>
        </w:tc>
      </w:tr>
    </w:tbl>
    <w:p>
      <w:pPr>
        <w:wordWrap w:val="0"/>
        <w:spacing w:line="360" w:lineRule="auto"/>
        <w:ind w:firstLine="482" w:firstLineChars="200"/>
        <w:jc w:val="left"/>
        <w:textAlignment w:val="auto"/>
        <w:rPr>
          <w:rFonts w:asciiTheme="minorEastAsia" w:hAnsiTheme="minorEastAsia" w:eastAsiaTheme="minorEastAsia"/>
          <w:b/>
          <w:bCs/>
          <w:color w:val="000000" w:themeColor="text1"/>
          <w:position w:val="-1"/>
          <w:sz w:val="24"/>
          <w:szCs w:val="24"/>
        </w:rPr>
      </w:pPr>
      <w:r>
        <w:rPr>
          <w:rFonts w:hint="eastAsia" w:asciiTheme="minorEastAsia" w:hAnsiTheme="minorEastAsia" w:eastAsiaTheme="minorEastAsia"/>
          <w:b/>
          <w:bCs/>
          <w:color w:val="000000" w:themeColor="text1"/>
          <w:position w:val="-1"/>
          <w:sz w:val="24"/>
          <w:szCs w:val="24"/>
        </w:rPr>
        <w:t>估价对象2</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2078"/>
        <w:gridCol w:w="1980"/>
        <w:gridCol w:w="1398"/>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198" w:type="dxa"/>
            <w:gridSpan w:val="2"/>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产权证书及编号</w:t>
            </w:r>
          </w:p>
        </w:tc>
        <w:tc>
          <w:tcPr>
            <w:tcW w:w="5324"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《房地产权证》[1220435190]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198" w:type="dxa"/>
            <w:gridSpan w:val="2"/>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权利人</w:t>
            </w:r>
          </w:p>
        </w:tc>
        <w:tc>
          <w:tcPr>
            <w:tcW w:w="5324"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王芬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restart"/>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房屋情况</w:t>
            </w: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房屋坐落</w:t>
            </w:r>
          </w:p>
        </w:tc>
        <w:tc>
          <w:tcPr>
            <w:tcW w:w="5324"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广东省</w:t>
            </w:r>
            <w:r>
              <w:rPr>
                <w:rFonts w:hint="eastAsia" w:asciiTheme="minorEastAsia" w:hAnsiTheme="minorEastAsia" w:eastAsiaTheme="minorEastAsia"/>
                <w:kern w:val="2"/>
                <w:sz w:val="18"/>
                <w:szCs w:val="18"/>
              </w:rPr>
              <w:t>广州市增城市新塘镇凤凰城凤锦苑五街1-4号地下车库负一层494号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实际用途</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车位</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规划用途</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房屋结构</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钢混结构</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竣工年份(年)</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所在层/总层数</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-1层/</w:t>
            </w:r>
          </w:p>
        </w:tc>
        <w:tc>
          <w:tcPr>
            <w:tcW w:w="1398" w:type="dxa"/>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sz w:val="18"/>
                <w:szCs w:val="18"/>
              </w:rPr>
              <w:t>权利性质</w:t>
            </w:r>
          </w:p>
        </w:tc>
        <w:tc>
          <w:tcPr>
            <w:tcW w:w="1946" w:type="dxa"/>
            <w:shd w:val="clear" w:color="auto" w:fill="auto"/>
            <w:vAlign w:val="center"/>
          </w:tcPr>
          <w:p>
            <w:pPr>
              <w:widowControl/>
              <w:jc w:val="center"/>
              <w:rPr>
                <w:rFonts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私有房产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建筑面积(M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13.23</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共有情况</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专有建筑面积(M</w:t>
            </w:r>
            <w:r>
              <w:rPr>
                <w:rFonts w:hint="eastAsia" w:asciiTheme="minorEastAsia" w:hAnsiTheme="minorEastAsia" w:eastAsiaTheme="minorEastAsia"/>
                <w:color w:val="000000" w:themeColor="text1"/>
                <w:kern w:val="2"/>
                <w:sz w:val="18"/>
                <w:szCs w:val="18"/>
                <w:vertAlign w:val="superscript"/>
              </w:rPr>
              <w:t>2</w:t>
            </w:r>
            <w:r>
              <w:rPr>
                <w:rFonts w:hint="eastAsia" w:asciiTheme="minorEastAsia" w:hAnsiTheme="minorEastAsia" w:eastAsiaTheme="minorEastAsia"/>
                <w:color w:val="000000" w:themeColor="text1"/>
                <w:kern w:val="2"/>
                <w:sz w:val="18"/>
                <w:szCs w:val="18"/>
              </w:rPr>
              <w:t>)</w:t>
            </w:r>
          </w:p>
        </w:tc>
        <w:tc>
          <w:tcPr>
            <w:tcW w:w="1980" w:type="dxa"/>
            <w:shd w:val="clear" w:color="auto" w:fill="auto"/>
            <w:vAlign w:val="center"/>
          </w:tcPr>
          <w:p>
            <w:pPr>
              <w:widowControl/>
              <w:jc w:val="center"/>
              <w:rPr>
                <w:rFonts w:asciiTheme="minorEastAsia" w:hAnsiTheme="minorEastAsia"/>
                <w:color w:val="000000" w:themeColor="text1"/>
                <w:kern w:val="28"/>
                <w:sz w:val="18"/>
                <w:szCs w:val="18"/>
              </w:rPr>
            </w:pPr>
            <w:r>
              <w:rPr>
                <w:rFonts w:hint="eastAsia" w:asciiTheme="minorEastAsia" w:hAnsiTheme="minorEastAsia" w:eastAsiaTheme="minorEastAsia"/>
                <w:color w:val="000000" w:themeColor="text1"/>
                <w:kern w:val="2"/>
                <w:sz w:val="18"/>
                <w:szCs w:val="18"/>
              </w:rPr>
              <w:t>13.23</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权利类型</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restart"/>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土地情况</w:t>
            </w: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权利性质</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出让</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共用宗地面积(M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220237.7038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shd w:val="clear" w:color="auto" w:fill="auto"/>
            <w:vAlign w:val="center"/>
          </w:tcPr>
          <w:p>
            <w:pPr>
              <w:widowControl/>
              <w:jc w:val="center"/>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地号</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440183108023GB00004</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整栋楼宇共用宗地面积(M</w:t>
            </w:r>
            <w:r>
              <w:rPr>
                <w:rFonts w:hint="eastAsia" w:asciiTheme="minorEastAsia" w:hAnsiTheme="minorEastAsia" w:eastAsiaTheme="minorEastAsia"/>
                <w:color w:val="000000" w:themeColor="text1"/>
                <w:sz w:val="18"/>
                <w:szCs w:val="18"/>
                <w:vertAlign w:val="superscript"/>
              </w:rPr>
              <w:t>2</w:t>
            </w:r>
            <w:r>
              <w:rPr>
                <w:rFonts w:hint="eastAsia" w:asciiTheme="minorEastAsia" w:hAnsiTheme="minorEastAsia" w:eastAsiaTheme="minorEastAsia"/>
                <w:color w:val="000000" w:themeColor="text1"/>
                <w:sz w:val="18"/>
                <w:szCs w:val="18"/>
              </w:rPr>
              <w:t>)</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613.37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地类用途</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城镇住宅用地</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权利类型</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终止日期</w:t>
            </w:r>
          </w:p>
        </w:tc>
        <w:tc>
          <w:tcPr>
            <w:tcW w:w="1980"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2051年08月27日</w:t>
            </w:r>
          </w:p>
        </w:tc>
        <w:tc>
          <w:tcPr>
            <w:tcW w:w="139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土地剩余使用年限(年)</w:t>
            </w:r>
          </w:p>
        </w:tc>
        <w:tc>
          <w:tcPr>
            <w:tcW w:w="1946"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sz w:val="18"/>
                <w:szCs w:val="18"/>
              </w:rPr>
              <w:t>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附记</w:t>
            </w:r>
          </w:p>
        </w:tc>
        <w:tc>
          <w:tcPr>
            <w:tcW w:w="7402" w:type="dxa"/>
            <w:gridSpan w:val="4"/>
            <w:shd w:val="clear" w:color="auto" w:fill="auto"/>
            <w:vAlign w:val="center"/>
          </w:tcPr>
          <w:p>
            <w:pPr>
              <w:widowControl/>
              <w:jc w:val="center"/>
              <w:rPr>
                <w:rFonts w:cs="Arial"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restart"/>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他项权利情况</w:t>
            </w:r>
          </w:p>
        </w:tc>
        <w:tc>
          <w:tcPr>
            <w:tcW w:w="2078" w:type="dxa"/>
            <w:shd w:val="clear" w:color="auto" w:fill="auto"/>
            <w:vAlign w:val="center"/>
          </w:tcPr>
          <w:p>
            <w:pPr>
              <w:widowControl/>
              <w:jc w:val="center"/>
              <w:rPr>
                <w:rFonts w:cs="宋体" w:asciiTheme="minorEastAsia" w:hAnsi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担保物权设立情况</w:t>
            </w:r>
          </w:p>
        </w:tc>
        <w:tc>
          <w:tcPr>
            <w:tcW w:w="5324" w:type="dxa"/>
            <w:gridSpan w:val="3"/>
            <w:shd w:val="clear" w:color="auto" w:fill="auto"/>
            <w:vAlign w:val="center"/>
          </w:tcPr>
          <w:p>
            <w:pPr>
              <w:widowControl/>
              <w:jc w:val="center"/>
              <w:rPr>
                <w:rFonts w:asciiTheme="minorEastAsia" w:hAnsiTheme="minorEastAsia"/>
                <w:color w:val="000000" w:themeColor="text1"/>
                <w:kern w:val="2"/>
                <w:sz w:val="18"/>
                <w:szCs w:val="18"/>
              </w:rPr>
            </w:pPr>
            <w:r>
              <w:rPr>
                <w:rFonts w:hint="eastAsia" w:asciiTheme="minorEastAsia" w:hAnsiTheme="minorEastAsia" w:eastAsiaTheme="minorEastAsia"/>
                <w:color w:val="000000" w:themeColor="text1"/>
                <w:spacing w:val="-4"/>
                <w:kern w:val="2"/>
                <w:sz w:val="18"/>
                <w:szCs w:val="18"/>
              </w:rPr>
              <w:t>至价值时点，估价对象未设定抵押登记。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Merge w:val="continue"/>
            <w:vAlign w:val="center"/>
          </w:tcPr>
          <w:p>
            <w:pPr>
              <w:widowControl/>
              <w:jc w:val="left"/>
              <w:rPr>
                <w:rFonts w:cs="宋体" w:asciiTheme="minorEastAsia" w:hAnsiTheme="minorEastAsia"/>
                <w:color w:val="000000" w:themeColor="text1"/>
                <w:sz w:val="18"/>
                <w:szCs w:val="18"/>
              </w:rPr>
            </w:pPr>
          </w:p>
        </w:tc>
        <w:tc>
          <w:tcPr>
            <w:tcW w:w="2078" w:type="dxa"/>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kern w:val="2"/>
                <w:sz w:val="18"/>
                <w:szCs w:val="18"/>
              </w:rPr>
              <w:t>租赁或占用情况</w:t>
            </w:r>
          </w:p>
        </w:tc>
        <w:tc>
          <w:tcPr>
            <w:tcW w:w="5324" w:type="dxa"/>
            <w:gridSpan w:val="3"/>
            <w:shd w:val="clear" w:color="auto" w:fill="auto"/>
            <w:vAlign w:val="center"/>
          </w:tcPr>
          <w:p>
            <w:pPr>
              <w:widowControl/>
              <w:jc w:val="center"/>
              <w:rPr>
                <w:rFonts w:cs="宋体" w:asciiTheme="minorEastAsia" w:hAnsiTheme="minorEastAsia"/>
                <w:color w:val="000000" w:themeColor="text1"/>
                <w:sz w:val="18"/>
                <w:szCs w:val="18"/>
              </w:rPr>
            </w:pPr>
            <w:r>
              <w:rPr>
                <w:rFonts w:hint="eastAsia" w:asciiTheme="minorEastAsia" w:hAnsiTheme="minorEastAsia" w:eastAsiaTheme="minorEastAsia"/>
                <w:color w:val="000000" w:themeColor="text1"/>
                <w:kern w:val="2"/>
                <w:sz w:val="18"/>
                <w:szCs w:val="18"/>
              </w:rPr>
              <w:t>至价值时点，估价对象现使用人情况不详。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0" w:type="dxa"/>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限制情况</w:t>
            </w:r>
          </w:p>
        </w:tc>
        <w:tc>
          <w:tcPr>
            <w:tcW w:w="2078" w:type="dxa"/>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查封登记情况</w:t>
            </w:r>
          </w:p>
        </w:tc>
        <w:tc>
          <w:tcPr>
            <w:tcW w:w="5324" w:type="dxa"/>
            <w:gridSpan w:val="3"/>
            <w:shd w:val="clear" w:color="auto" w:fill="auto"/>
            <w:vAlign w:val="center"/>
          </w:tcPr>
          <w:p>
            <w:pPr>
              <w:widowControl/>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至价值时点，估价对象已查封，查封机关：珠海市香洲区人民法院，查封文号：（2021）粤0402执8396号，查封超始时间：2021-09-10，查封结束时间：2024-09-09</w:t>
            </w:r>
          </w:p>
        </w:tc>
      </w:tr>
    </w:tbl>
    <w:p>
      <w:pPr>
        <w:wordWrap w:val="0"/>
        <w:spacing w:line="360" w:lineRule="auto"/>
        <w:ind w:firstLine="482" w:firstLineChars="200"/>
        <w:jc w:val="left"/>
        <w:textAlignment w:val="auto"/>
      </w:pPr>
      <w:r>
        <w:rPr>
          <w:rFonts w:hint="eastAsia" w:asciiTheme="minorEastAsia" w:hAnsiTheme="minorEastAsia" w:eastAsiaTheme="minorEastAsia"/>
          <w:b/>
          <w:position w:val="-1"/>
          <w:sz w:val="24"/>
          <w:szCs w:val="24"/>
        </w:rPr>
        <w:t>3、估价对象区位状况描述与分析</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587"/>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restart"/>
            <w:vAlign w:val="center"/>
          </w:tcPr>
          <w:p>
            <w:pPr>
              <w:tabs>
                <w:tab w:val="left" w:pos="567"/>
              </w:tabs>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位置状况</w:t>
            </w: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坐落</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kern w:val="2"/>
                <w:sz w:val="18"/>
                <w:szCs w:val="18"/>
              </w:rPr>
              <w:t>广东省广州市增城市新塘镇凤凰城凤锦苑五街1号1001房及凤凰城凤锦苑五街1-4号地下车库负一层494号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方位</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估价对象位于广州市东部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与重要场所的距离</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附近超市有乐家嘉(凤凰城凤晴苑店)、半边田生鲜超市，距离较近超市约600米；附近小学有广州市增城区凤凰实验小学、永宁街第二小学，距离较近小学约1200米；附近银行有中国农业银行(碧桂园凤晴支行)、兴业银行(凤凰城社区支行)、华夏银行(凤凰城社区支行)，距离较近银行约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临街(路)状况</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估价对象所在楼栋位置不临市政道路，位置较好。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朝向</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朝北，光线充足，通风畅通。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楼层</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估价对象位于第10层，总楼层为26层。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restar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交通状况</w:t>
            </w: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道路状况</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周边有广惠高速、岗丰大道、凤凰城大道，路网格局成形，路网密度不高（通达能力一般）。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出入可利用交通工具</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出入可乘坐公交车、出租车、私家车等，区域内公交站有星荟、星荟(A)、凤晴苑总站，有增城43路、增城26A路公交线路经停，对外交通的便利程度较便利。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交通管制情况</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停车方便程度</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小区内设有地下停车场，小区周边设有路边便捷停车位，停车位较充足，停车较方便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restar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环境状况</w:t>
            </w: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自然环境</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估价对象位于广州市正东部，环境及绿化较好。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人文环境</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人口素质较高，人文环境较好，治安状况较好。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景观</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毗邻街区级景点，周边建筑式样较新颖，视野较为开阔，建筑物周边临山。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restar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外部配套设施状况</w:t>
            </w: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基础设施</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设施较齐全，较完善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Merge w:val="continue"/>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p>
        </w:tc>
        <w:tc>
          <w:tcPr>
            <w:tcW w:w="931" w:type="pct"/>
            <w:vAlign w:val="center"/>
          </w:tcPr>
          <w:p>
            <w:pPr>
              <w:tabs>
                <w:tab w:val="left" w:pos="567"/>
              </w:tabs>
              <w:wordWrap w:val="0"/>
              <w:spacing w:line="240" w:lineRule="auto"/>
              <w:jc w:val="center"/>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公共服务设施</w:t>
            </w:r>
          </w:p>
        </w:tc>
        <w:tc>
          <w:tcPr>
            <w:tcW w:w="316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附近有凤凰城(国际)幼儿园、凤城幼儿园、估价对象属于广州市增城区凤凰实验小学、永宁街第二小学、学区；区域内有乐家嘉(凤凰城凤晴苑店)、半边田生鲜超市、等商业服务场所；周边有中国农业银行(碧桂园凤晴支行)、兴业银行(凤凰城社区支行)、华夏银行(凤凰城社区支行)、等金融服务网点，城市基础设施及生活配套设施齐全，完善，可满足商务活动和日常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pct"/>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区位状况分析</w:t>
            </w:r>
          </w:p>
        </w:tc>
        <w:tc>
          <w:tcPr>
            <w:tcW w:w="4095" w:type="pct"/>
            <w:gridSpan w:val="2"/>
            <w:vAlign w:val="center"/>
          </w:tcPr>
          <w:p>
            <w:pPr>
              <w:tabs>
                <w:tab w:val="left" w:pos="567"/>
              </w:tabs>
              <w:wordWrap w:val="0"/>
              <w:spacing w:line="240" w:lineRule="auto"/>
              <w:rPr>
                <w:rFonts w:asciiTheme="minorEastAsia" w:hAnsiTheme="minorEastAsia" w:eastAsiaTheme="minorEastAsia"/>
                <w:bCs/>
                <w:kern w:val="2"/>
                <w:position w:val="-1"/>
                <w:sz w:val="18"/>
                <w:szCs w:val="18"/>
              </w:rPr>
            </w:pPr>
            <w:r>
              <w:rPr>
                <w:rFonts w:hint="eastAsia" w:asciiTheme="minorEastAsia" w:hAnsiTheme="minorEastAsia" w:eastAsiaTheme="minorEastAsia"/>
                <w:bCs/>
                <w:kern w:val="2"/>
                <w:position w:val="-1"/>
                <w:sz w:val="18"/>
                <w:szCs w:val="18"/>
              </w:rPr>
              <w:t>估价对象地理位置较优，交通条件较好、环境较好、配套设施齐全。综合区位状况较好，对房地产价值具有有利影响。</w:t>
            </w:r>
          </w:p>
        </w:tc>
      </w:tr>
    </w:tbl>
    <w:p>
      <w:pPr>
        <w:pStyle w:val="3"/>
        <w:wordWrap w:val="0"/>
      </w:pPr>
      <w:bookmarkStart w:id="9" w:name="_Toc15797"/>
      <w:r>
        <w:rPr>
          <w:sz w:val="24"/>
          <w:szCs w:val="24"/>
        </w:rPr>
        <w:t>(五)</w:t>
      </w:r>
      <w:r>
        <w:rPr>
          <w:rFonts w:hint="eastAsia"/>
          <w:sz w:val="24"/>
          <w:szCs w:val="24"/>
        </w:rPr>
        <w:t>价值</w:t>
      </w:r>
      <w:r>
        <w:rPr>
          <w:sz w:val="24"/>
          <w:szCs w:val="24"/>
        </w:rPr>
        <w:t>时点</w:t>
      </w:r>
      <w:bookmarkEnd w:id="9"/>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本次估价的价值时点为二〇二二年四月二十九日。</w:t>
      </w:r>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确定的理由如下：人民法院未明确本次价值时点，根据《涉执房地产处置司法评估指导意见（试行）》（中房学〔2021〕37号）第十条</w:t>
      </w:r>
      <w:r>
        <w:rPr>
          <w:rFonts w:asciiTheme="minorEastAsia" w:hAnsiTheme="minorEastAsia" w:eastAsiaTheme="minorEastAsia"/>
          <w:position w:val="-1"/>
          <w:sz w:val="24"/>
          <w:szCs w:val="24"/>
        </w:rPr>
        <w:t>“</w:t>
      </w:r>
      <w:r>
        <w:rPr>
          <w:rFonts w:hint="eastAsia" w:asciiTheme="minorEastAsia" w:hAnsiTheme="minorEastAsia" w:eastAsiaTheme="minorEastAsia"/>
          <w:position w:val="-1"/>
          <w:sz w:val="24"/>
          <w:szCs w:val="24"/>
        </w:rPr>
        <w:t>人民法院未明确价值时点的，一般以评估对象实地查勘完成之日作为价值时点。</w:t>
      </w:r>
      <w:r>
        <w:rPr>
          <w:rFonts w:asciiTheme="minorEastAsia" w:hAnsiTheme="minorEastAsia" w:eastAsiaTheme="minorEastAsia"/>
          <w:position w:val="-1"/>
          <w:sz w:val="24"/>
          <w:szCs w:val="24"/>
        </w:rPr>
        <w:t>”</w:t>
      </w:r>
      <w:r>
        <w:rPr>
          <w:rFonts w:hint="eastAsia" w:asciiTheme="minorEastAsia" w:hAnsiTheme="minorEastAsia" w:eastAsiaTheme="minorEastAsia"/>
          <w:position w:val="-1"/>
          <w:sz w:val="24"/>
          <w:szCs w:val="24"/>
        </w:rPr>
        <w:t>故本次估价以现场查勘之日二〇二二年四月二十九日作为价值时点。</w:t>
      </w:r>
    </w:p>
    <w:p>
      <w:pPr>
        <w:pStyle w:val="3"/>
        <w:wordWrap w:val="0"/>
      </w:pPr>
      <w:bookmarkStart w:id="10" w:name="_Toc12271"/>
      <w:r>
        <w:rPr>
          <w:rFonts w:hint="eastAsia"/>
          <w:sz w:val="24"/>
          <w:szCs w:val="24"/>
        </w:rPr>
        <w:t>(六)价值类型</w:t>
      </w:r>
      <w:bookmarkEnd w:id="10"/>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本报告估价结果是反映估价对象在价值时点二〇二二年四月二十九日的价值。该估价结果基于“估价的假设和限制条件”。</w:t>
      </w:r>
    </w:p>
    <w:p>
      <w:pPr>
        <w:wordWrap w:val="0"/>
        <w:spacing w:line="360" w:lineRule="auto"/>
        <w:ind w:firstLine="480" w:firstLineChars="200"/>
        <w:jc w:val="left"/>
        <w:textAlignment w:val="auto"/>
        <w:rPr>
          <w:rFonts w:asciiTheme="minorEastAsia" w:hAnsiTheme="minorEastAsia" w:eastAsiaTheme="minorEastAsia"/>
          <w:position w:val="-1"/>
          <w:sz w:val="24"/>
        </w:rPr>
      </w:pPr>
      <w:r>
        <w:rPr>
          <w:rFonts w:hint="eastAsia" w:asciiTheme="minorEastAsia" w:hAnsiTheme="minorEastAsia" w:eastAsiaTheme="minorEastAsia"/>
          <w:position w:val="-1"/>
          <w:sz w:val="24"/>
          <w:szCs w:val="24"/>
        </w:rPr>
        <w:t>1.</w:t>
      </w:r>
      <w:r>
        <w:rPr>
          <w:rFonts w:asciiTheme="minorEastAsia" w:hAnsiTheme="minorEastAsia" w:eastAsiaTheme="minorEastAsia"/>
          <w:position w:val="-1"/>
          <w:sz w:val="24"/>
          <w:szCs w:val="24"/>
        </w:rPr>
        <w:t>市场价值，是估价对象经适当营销后，由熟悉情况、谨慎行事且不受强迫的交易双方，以公平交易方式在价值时点自愿进行交易的金额。</w:t>
      </w:r>
      <w:r>
        <w:rPr>
          <w:rFonts w:hint="eastAsia" w:asciiTheme="minorEastAsia" w:hAnsiTheme="minorEastAsia" w:eastAsiaTheme="minorEastAsia"/>
          <w:position w:val="-1"/>
          <w:sz w:val="24"/>
          <w:szCs w:val="24"/>
        </w:rPr>
        <w:t>本次估价不考虑抵押、</w:t>
      </w:r>
      <w:r>
        <w:rPr>
          <w:rFonts w:hint="eastAsia" w:asciiTheme="minorEastAsia" w:hAnsiTheme="minorEastAsia" w:eastAsiaTheme="minorEastAsia"/>
          <w:position w:val="-1"/>
          <w:sz w:val="24"/>
        </w:rPr>
        <w:t>租赁、查封等因素的影响。</w:t>
      </w:r>
    </w:p>
    <w:p>
      <w:pPr>
        <w:wordWrap w:val="0"/>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2.本估价结果中的价值的货币计量单位均为人民币。</w:t>
      </w:r>
    </w:p>
    <w:p>
      <w:pPr>
        <w:pStyle w:val="3"/>
        <w:wordWrap w:val="0"/>
      </w:pPr>
      <w:bookmarkStart w:id="11" w:name="_Toc29717"/>
      <w:r>
        <w:rPr>
          <w:sz w:val="24"/>
          <w:szCs w:val="24"/>
        </w:rPr>
        <w:t>(七)估价原则</w:t>
      </w:r>
      <w:bookmarkEnd w:id="11"/>
    </w:p>
    <w:p>
      <w:pPr>
        <w:spacing w:line="360" w:lineRule="auto"/>
        <w:ind w:firstLine="480" w:firstLineChars="200"/>
        <w:jc w:val="left"/>
        <w:textAlignment w:val="auto"/>
      </w:pPr>
      <w:r>
        <w:rPr>
          <w:rFonts w:hint="eastAsia" w:asciiTheme="minorEastAsia" w:hAnsiTheme="minorEastAsia" w:eastAsiaTheme="minorEastAsia"/>
          <w:position w:val="-1"/>
          <w:sz w:val="24"/>
          <w:szCs w:val="24"/>
        </w:rPr>
        <w:t>本次估价遵循独立、客观、公正、谨慎等原则，具体如下：</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1、独立、客观、公正原则：基于中立的立场上，实事求是、公平正直地评估出对各方估价利害关系人均是公平合理的价值的原则。</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(1)独立：①本估价机构是一个不依赖于他人，不受他人约束的独立机构；②估价人员与估价对象及当事人没有利害关系；③估价人员在估价中不受外部干扰因素的影响，不屈从于外部压力，完全凭借自己的专业知识、经验和良心进行估价；</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(2)客观：本估价机构和估价人员不带任何自己的好恶、情绪和偏见，完全从实际出发，按照事物的本来面目进行估价；</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(3)公正：本估价机构和估价人员在估价中保持公平正直，不偏袒任何一方。</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2、合法原则：是指估价结果是在依法判定的估价对象状况下的价值或价格的原则。</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3、价值时点原则：是指估价结果是在根据估价目的确定的某一特定时间的价值或价格的原则。</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4、替代原则：是指估价结果与估价对象的类似房地产在同等条件下的价值或价格偏差在合理范围内的原则。</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5、最高最佳利用原则：是指估价结果在法律上允许、技术上可能、财务上可行并使价值最大化的合理、可能的利用状态下的价值或价格的原则。</w:t>
      </w:r>
    </w:p>
    <w:p>
      <w:pPr>
        <w:pStyle w:val="3"/>
        <w:wordWrap w:val="0"/>
      </w:pPr>
      <w:bookmarkStart w:id="12" w:name="_Toc16724"/>
      <w:r>
        <w:rPr>
          <w:sz w:val="24"/>
          <w:szCs w:val="24"/>
        </w:rPr>
        <w:t>(</w:t>
      </w:r>
      <w:r>
        <w:rPr>
          <w:rFonts w:hint="eastAsia"/>
          <w:sz w:val="24"/>
          <w:szCs w:val="24"/>
        </w:rPr>
        <w:t>八</w:t>
      </w:r>
      <w:r>
        <w:rPr>
          <w:sz w:val="24"/>
          <w:szCs w:val="24"/>
        </w:rPr>
        <w:t>)估价</w:t>
      </w:r>
      <w:r>
        <w:rPr>
          <w:rFonts w:hint="eastAsia"/>
          <w:sz w:val="24"/>
          <w:szCs w:val="24"/>
        </w:rPr>
        <w:t>依据</w:t>
      </w:r>
      <w:bookmarkEnd w:id="12"/>
    </w:p>
    <w:p>
      <w:pPr>
        <w:spacing w:line="360" w:lineRule="auto"/>
        <w:ind w:firstLine="450" w:firstLineChars="200"/>
        <w:jc w:val="left"/>
        <w:textAlignment w:val="auto"/>
      </w:pPr>
      <w:r>
        <w:rPr>
          <w:rFonts w:hint="eastAsia" w:asciiTheme="minorEastAsia" w:hAnsiTheme="minorEastAsia" w:eastAsiaTheme="minorEastAsia"/>
          <w:b/>
          <w:spacing w:val="-8"/>
          <w:position w:val="-1"/>
          <w:sz w:val="24"/>
          <w:szCs w:val="24"/>
        </w:rPr>
        <w:t>1、本次估价所依据的有关法律、法规、司法解释和部门规章</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《中华人民共和国资产评估法》(2016年7月2日第十二届全国人民代表大会常务委员会第二十一次会议通过)。</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《中华人民共和国民法典》(2020年5月28日十三届全国人大三次会议表决通过，自2021年1月1日起施行日期)。</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《中华人民共和国土地管理法》(2019年8月26日，十三届全国人大常委会第十二次会议表决通过修改，自2020年1月1日起施行)。</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《中华人民共和国城市房地产管理法》(2019年8月26日，十三届全国人大常委会第十二次会议表决通过)。</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《中华人民共和国城乡规划法》(根据2019年4月23日第十三届全国人民代表大会常务委员会第十次会议《关于修改〈中华人民共和国建筑法〉等八部法律的决定》第二次修正)。</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《中华人民共和国城镇国有土地使用权出让和转让暂行条例》（根据</w:t>
      </w:r>
      <w:r>
        <w:rPr>
          <w:rFonts w:cs="Arial" w:asciiTheme="minorEastAsia" w:hAnsiTheme="minorEastAsia" w:eastAsiaTheme="minorEastAsia"/>
          <w:sz w:val="24"/>
          <w:szCs w:val="24"/>
        </w:rPr>
        <w:t>2020年11月29日《国务院关于修改和废止部分行政法规的决定》修订</w:t>
      </w:r>
      <w:r>
        <w:rPr>
          <w:rFonts w:hint="eastAsia" w:cs="Arial" w:asciiTheme="minorEastAsia" w:hAnsiTheme="minorEastAsia" w:eastAsiaTheme="minorEastAsia"/>
          <w:sz w:val="24"/>
          <w:szCs w:val="24"/>
        </w:rPr>
        <w:t>）。</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《中华人民共和国土地管理法实施条例》（2021年7月2日中华人民共和国国务院令第743号第三次修订）。</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《最高人民法院关于人民法院确定财产处置参考价若干问题的规定》(（法释</w:t>
      </w:r>
      <w:r>
        <w:rPr>
          <w:rFonts w:cs="Arial" w:asciiTheme="minorEastAsia" w:hAnsiTheme="minorEastAsia" w:eastAsiaTheme="minorEastAsia"/>
          <w:sz w:val="24"/>
          <w:szCs w:val="24"/>
        </w:rPr>
        <w:t>[2018]15号）</w:t>
      </w:r>
      <w:r>
        <w:rPr>
          <w:rFonts w:hint="eastAsia" w:cs="Arial" w:asciiTheme="minorEastAsia" w:hAnsiTheme="minorEastAsia" w:eastAsiaTheme="minorEastAsia"/>
          <w:sz w:val="24"/>
          <w:szCs w:val="24"/>
        </w:rPr>
        <w:t>) 。</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《人民法院委托评估工作规范》（法办〔</w:t>
      </w:r>
      <w:r>
        <w:rPr>
          <w:rFonts w:cs="Arial" w:asciiTheme="minorEastAsia" w:hAnsiTheme="minorEastAsia" w:eastAsiaTheme="minorEastAsia"/>
          <w:sz w:val="24"/>
          <w:szCs w:val="24"/>
        </w:rPr>
        <w:t>2018〕273号）</w:t>
      </w:r>
      <w:r>
        <w:rPr>
          <w:rFonts w:hint="eastAsia" w:cs="Arial" w:asciiTheme="minorEastAsia" w:hAnsiTheme="minorEastAsia" w:eastAsiaTheme="minorEastAsia"/>
          <w:sz w:val="24"/>
          <w:szCs w:val="24"/>
        </w:rPr>
        <w:t>。</w:t>
      </w:r>
    </w:p>
    <w:p>
      <w:pPr>
        <w:pStyle w:val="30"/>
        <w:numPr>
          <w:ilvl w:val="0"/>
          <w:numId w:val="4"/>
        </w:numPr>
        <w:tabs>
          <w:tab w:val="left" w:pos="851"/>
          <w:tab w:val="left" w:pos="1134"/>
        </w:tabs>
        <w:spacing w:line="360" w:lineRule="auto"/>
        <w:ind w:left="0" w:firstLine="480"/>
        <w:jc w:val="left"/>
        <w:textAlignment w:val="auto"/>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《广东省实施&lt;中华人民共和国土地管理法&gt;办法》（</w:t>
      </w:r>
      <w:r>
        <w:rPr>
          <w:rFonts w:cs="Arial" w:asciiTheme="minorEastAsia" w:hAnsiTheme="minorEastAsia" w:eastAsiaTheme="minorEastAsia"/>
          <w:sz w:val="24"/>
          <w:szCs w:val="24"/>
        </w:rPr>
        <w:t>2008 年 11 月 28 日广东省第十一届人民代表大会常务委员会第七次会议关于修改《广东省 实施&lt;中华人民共和国土地管理法&gt;办法》等三项地方性法规的决定修正</w:t>
      </w:r>
      <w:r>
        <w:rPr>
          <w:rFonts w:hint="eastAsia" w:cs="Arial" w:asciiTheme="minorEastAsia" w:hAnsiTheme="minorEastAsia" w:eastAsiaTheme="minorEastAsia"/>
          <w:sz w:val="24"/>
          <w:szCs w:val="24"/>
        </w:rPr>
        <w:t>）。</w:t>
      </w:r>
    </w:p>
    <w:p>
      <w:pPr>
        <w:spacing w:line="360" w:lineRule="auto"/>
        <w:ind w:firstLine="450" w:firstLineChars="200"/>
        <w:jc w:val="left"/>
        <w:textAlignment w:val="auto"/>
      </w:pPr>
      <w:r>
        <w:rPr>
          <w:rFonts w:hint="eastAsia" w:asciiTheme="minorEastAsia" w:hAnsiTheme="minorEastAsia" w:eastAsiaTheme="minorEastAsia"/>
          <w:b/>
          <w:spacing w:val="-8"/>
          <w:position w:val="-1"/>
          <w:sz w:val="24"/>
          <w:szCs w:val="24"/>
        </w:rPr>
        <w:t>2、本次估价采用的技术规程</w:t>
      </w:r>
    </w:p>
    <w:p>
      <w:pPr>
        <w:pStyle w:val="30"/>
        <w:numPr>
          <w:ilvl w:val="0"/>
          <w:numId w:val="5"/>
        </w:numPr>
        <w:tabs>
          <w:tab w:val="left" w:pos="993"/>
        </w:tabs>
        <w:wordWrap w:val="0"/>
        <w:spacing w:line="360" w:lineRule="auto"/>
        <w:ind w:left="0"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中华人民共和国国家标准GB/T 50291—2015《房地产估价规范》(2015年12月1日施行)。</w:t>
      </w:r>
    </w:p>
    <w:p>
      <w:pPr>
        <w:pStyle w:val="30"/>
        <w:numPr>
          <w:ilvl w:val="0"/>
          <w:numId w:val="5"/>
        </w:numPr>
        <w:tabs>
          <w:tab w:val="left" w:pos="993"/>
        </w:tabs>
        <w:wordWrap w:val="0"/>
        <w:spacing w:line="360" w:lineRule="auto"/>
        <w:ind w:left="0"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中华人民共和国国家标准GB/T 50899-2013《房地产估价基本术语标准》(2014年2月1日施行)。</w:t>
      </w:r>
    </w:p>
    <w:p>
      <w:pPr>
        <w:pStyle w:val="30"/>
        <w:numPr>
          <w:ilvl w:val="0"/>
          <w:numId w:val="5"/>
        </w:numPr>
        <w:tabs>
          <w:tab w:val="left" w:pos="993"/>
        </w:tabs>
        <w:wordWrap w:val="0"/>
        <w:spacing w:line="360" w:lineRule="auto"/>
        <w:ind w:left="0"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中华人民共和国国家标准</w:t>
      </w:r>
      <w:r>
        <w:rPr>
          <w:rFonts w:cs="Arial" w:asciiTheme="minorEastAsia" w:hAnsiTheme="minorEastAsia" w:eastAsiaTheme="minorEastAsia"/>
          <w:sz w:val="24"/>
          <w:szCs w:val="24"/>
        </w:rPr>
        <w:t>GB/T 21010-2017</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土地利用现状分类</w:t>
      </w:r>
      <w:r>
        <w:rPr>
          <w:rFonts w:hint="eastAsia" w:cs="Arial" w:asciiTheme="minorEastAsia" w:hAnsiTheme="minorEastAsia" w:eastAsiaTheme="minorEastAsia"/>
          <w:sz w:val="24"/>
          <w:szCs w:val="24"/>
        </w:rPr>
        <w:t>》(2017年11月1日施行)。</w:t>
      </w:r>
    </w:p>
    <w:p>
      <w:pPr>
        <w:pStyle w:val="30"/>
        <w:numPr>
          <w:ilvl w:val="0"/>
          <w:numId w:val="5"/>
        </w:numPr>
        <w:tabs>
          <w:tab w:val="left" w:pos="993"/>
        </w:tabs>
        <w:wordWrap w:val="0"/>
        <w:spacing w:line="360" w:lineRule="auto"/>
        <w:ind w:left="0"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《国土空间调查、规划、用途管制用地用海分类指南（试行）》（自然资办发〔2020〕51号）。</w:t>
      </w:r>
    </w:p>
    <w:p>
      <w:pPr>
        <w:pStyle w:val="30"/>
        <w:numPr>
          <w:ilvl w:val="0"/>
          <w:numId w:val="5"/>
        </w:numPr>
        <w:tabs>
          <w:tab w:val="left" w:pos="993"/>
        </w:tabs>
        <w:wordWrap w:val="0"/>
        <w:spacing w:line="360" w:lineRule="auto"/>
        <w:ind w:left="0" w:firstLine="480"/>
        <w:rPr>
          <w:rFonts w:cs="Arial" w:asciiTheme="minorEastAsia" w:hAnsiTheme="minorEastAsia" w:eastAsiaTheme="minorEastAsia"/>
          <w:sz w:val="24"/>
          <w:szCs w:val="24"/>
        </w:rPr>
      </w:pPr>
      <w:r>
        <w:rPr>
          <w:rFonts w:hint="eastAsia" w:asciiTheme="minorEastAsia" w:hAnsiTheme="minorEastAsia"/>
          <w:sz w:val="24"/>
          <w:szCs w:val="24"/>
        </w:rPr>
        <w:t>《涉执房地产处置司法评估指导意见（试行）》（中房学〔2021〕37号）。</w:t>
      </w:r>
    </w:p>
    <w:p>
      <w:pPr>
        <w:spacing w:line="360" w:lineRule="auto"/>
        <w:ind w:firstLine="450" w:firstLineChars="200"/>
        <w:jc w:val="left"/>
        <w:textAlignment w:val="auto"/>
      </w:pPr>
      <w:r>
        <w:rPr>
          <w:rFonts w:hint="eastAsia" w:asciiTheme="minorEastAsia" w:hAnsiTheme="minorEastAsia" w:eastAsiaTheme="minorEastAsia"/>
          <w:b/>
          <w:spacing w:val="-8"/>
          <w:position w:val="-1"/>
          <w:sz w:val="24"/>
          <w:szCs w:val="24"/>
        </w:rPr>
        <w:t>3、估价委托人提供的有关资料</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(1)《广东省珠海市香洲区人民法院价格评估委托书》；</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(2)《广州市不动产登记查册表》。</w:t>
      </w:r>
    </w:p>
    <w:p>
      <w:pPr>
        <w:spacing w:line="360" w:lineRule="auto"/>
        <w:ind w:firstLine="450" w:firstLineChars="200"/>
        <w:jc w:val="left"/>
        <w:textAlignment w:val="auto"/>
      </w:pPr>
      <w:r>
        <w:rPr>
          <w:rFonts w:hint="eastAsia" w:asciiTheme="minorEastAsia" w:hAnsiTheme="minorEastAsia" w:eastAsiaTheme="minorEastAsia"/>
          <w:b/>
          <w:spacing w:val="-8"/>
          <w:position w:val="-1"/>
          <w:sz w:val="24"/>
          <w:szCs w:val="24"/>
        </w:rPr>
        <w:t>4、估价机构和注册房地产估价师所搜集掌握的其他有关资料</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(1)估价对象照片；</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(2)实地查勘记录；</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(3)估价对象所在区域同类房地产市场交易数据等资料；</w:t>
      </w:r>
    </w:p>
    <w:p>
      <w:pPr>
        <w:spacing w:line="360" w:lineRule="auto"/>
        <w:ind w:firstLine="480" w:firstLineChars="200"/>
        <w:jc w:val="left"/>
        <w:textAlignment w:val="auto"/>
      </w:pPr>
      <w:r>
        <w:rPr>
          <w:rFonts w:hint="eastAsia" w:asciiTheme="minorEastAsia" w:hAnsiTheme="minorEastAsia" w:eastAsiaTheme="minorEastAsia"/>
          <w:position w:val="-1"/>
          <w:sz w:val="24"/>
          <w:szCs w:val="24"/>
        </w:rPr>
        <w:t>(4)估价人员搜集的其他信息资料。</w:t>
      </w:r>
    </w:p>
    <w:p>
      <w:pPr>
        <w:pStyle w:val="3"/>
        <w:wordWrap w:val="0"/>
      </w:pPr>
      <w:bookmarkStart w:id="13" w:name="_Toc3570"/>
      <w:r>
        <w:rPr>
          <w:sz w:val="24"/>
          <w:szCs w:val="24"/>
        </w:rPr>
        <w:t>(</w:t>
      </w:r>
      <w:r>
        <w:rPr>
          <w:rFonts w:hint="eastAsia"/>
          <w:sz w:val="24"/>
          <w:szCs w:val="24"/>
        </w:rPr>
        <w:t>九</w:t>
      </w:r>
      <w:r>
        <w:rPr>
          <w:sz w:val="24"/>
          <w:szCs w:val="24"/>
        </w:rPr>
        <w:t>)</w:t>
      </w:r>
      <w:r>
        <w:rPr>
          <w:rFonts w:asciiTheme="minorEastAsia" w:hAnsiTheme="minorEastAsia" w:eastAsiaTheme="minorEastAsia"/>
          <w:sz w:val="24"/>
          <w:szCs w:val="24"/>
        </w:rPr>
        <w:t>市场背景描述与分析</w:t>
      </w:r>
      <w:bookmarkEnd w:id="13"/>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1、2021年广州市新建商品住宅市场分析</w:t>
      </w:r>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①　广州市商品住宅月度供求量价</w:t>
      </w:r>
    </w:p>
    <w:p>
      <w:pPr>
        <w:spacing w:line="360" w:lineRule="auto"/>
        <w:ind w:firstLine="480" w:firstLineChars="200"/>
        <w:jc w:val="left"/>
        <w:textAlignment w:val="auto"/>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2021年广州市商品住宅供应面积约1,411万㎡，签约面积约1,362万㎡，供求比约1.04，整体供求相对均衡，供应量较上年略微减少，签约量稳定增长，为2017年以来最高。限价政策两次加码下，房企取证前期持观望态度，后期接受现实；需求端受资金、人才、限签升级影响，市场预期转变，下半年降价促销力度加大，四季度楼市回暖信号释放，优质项目抢开抢签助推成交量价上涨。成交格局与2020年相比变化不大，仍以增城、南沙、黄埔为重心。限价政策下，个盘价格涨幅受限，三季度均价涨幅明显收窄，不过由于年末中心区高价项目抢开抢签影响，全年成交均价仍突破 3.3万元/㎡水平创新高。</w:t>
      </w:r>
    </w:p>
    <w:p>
      <w:pPr>
        <w:pStyle w:val="13"/>
        <w:shd w:val="clear" w:color="auto" w:fill="FFFFFF"/>
        <w:spacing w:before="151" w:beforeAutospacing="0" w:after="432" w:afterAutospacing="0" w:line="360" w:lineRule="auto"/>
        <w:jc w:val="center"/>
        <w:rPr>
          <w:rFonts w:hint="default" w:asciiTheme="minorEastAsia" w:hAnsiTheme="minorEastAsia" w:eastAsiaTheme="minorEastAsia" w:cstheme="minorEastAsia"/>
          <w:color w:val="191919"/>
          <w:shd w:val="clear" w:color="auto" w:fill="FFFFFF"/>
        </w:rPr>
      </w:pPr>
      <w:r>
        <w:rPr>
          <w:rFonts w:asciiTheme="minorEastAsia" w:hAnsiTheme="minorEastAsia" w:eastAsiaTheme="minorEastAsia" w:cstheme="minorEastAsia"/>
          <w:color w:val="191919"/>
          <w:shd w:val="clear" w:color="auto" w:fill="FFFFFF"/>
        </w:rPr>
        <w:drawing>
          <wp:inline distT="0" distB="0" distL="114300" distR="114300">
            <wp:extent cx="5531485" cy="3323590"/>
            <wp:effectExtent l="0" t="0" r="12065" b="10160"/>
            <wp:docPr id="1" name="图片 2" descr="说明: https://p8.itc.cn/q_70/images03/20220211/c8e81d0db0d14b6bbbb02da51f67c5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https://p8.itc.cn/q_70/images03/20220211/c8e81d0db0d14b6bbbb02da51f67c56d.png"/>
                    <pic:cNvPicPr>
                      <a:picLocks noChangeAspect="1"/>
                    </pic:cNvPicPr>
                  </pic:nvPicPr>
                  <pic:blipFill>
                    <a:blip r:embed="rId10"/>
                    <a:stretch>
                      <a:fillRect/>
                    </a:stretch>
                  </pic:blipFill>
                  <pic:spPr>
                    <a:xfrm>
                      <a:off x="0" y="0"/>
                      <a:ext cx="5531485" cy="3323590"/>
                    </a:xfrm>
                    <a:prstGeom prst="rect">
                      <a:avLst/>
                    </a:prstGeom>
                    <a:noFill/>
                    <a:ln>
                      <a:noFill/>
                    </a:ln>
                  </pic:spPr>
                </pic:pic>
              </a:graphicData>
            </a:graphic>
          </wp:inline>
        </w:drawing>
      </w:r>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②　广州市商品住宅总体供求量价</w:t>
      </w:r>
    </w:p>
    <w:p>
      <w:pPr>
        <w:spacing w:line="360" w:lineRule="auto"/>
        <w:ind w:firstLine="480" w:firstLineChars="200"/>
        <w:jc w:val="left"/>
        <w:textAlignment w:val="auto"/>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color w:val="191919"/>
          <w:sz w:val="24"/>
          <w:szCs w:val="24"/>
          <w:shd w:val="clear" w:color="auto" w:fill="FFFFFF"/>
        </w:rPr>
        <w:t>2021年，广州从年中起实行更严格的备案价措施，所以供应方面项目单次取证量明显加大，支撑全年住宅供应量保持在近五年次高位。成交方面上半年前半段延续之前强势表现，市场监管、人才、金融、限价、限签等政策逐步叠加，二季度末市场明显转冷；三季度市场持续下行，房企促销力度逐步加大，四季度金融端和限签政策放松，成交量大幅上涨，进而带动全年成交量创近五年新高。</w:t>
      </w:r>
    </w:p>
    <w:p>
      <w:pPr>
        <w:pStyle w:val="13"/>
        <w:shd w:val="clear" w:color="auto" w:fill="FFFFFF"/>
        <w:spacing w:before="151" w:beforeAutospacing="0" w:after="432" w:afterAutospacing="0" w:line="360" w:lineRule="auto"/>
        <w:jc w:val="center"/>
        <w:rPr>
          <w:rFonts w:hint="default" w:asciiTheme="minorEastAsia" w:hAnsiTheme="minorEastAsia" w:eastAsiaTheme="minorEastAsia" w:cstheme="minorEastAsia"/>
          <w:color w:val="191919"/>
          <w:shd w:val="clear" w:color="auto" w:fill="FFFFFF"/>
        </w:rPr>
      </w:pPr>
      <w:r>
        <w:rPr>
          <w:rFonts w:asciiTheme="minorEastAsia" w:hAnsiTheme="minorEastAsia" w:eastAsiaTheme="minorEastAsia" w:cstheme="minorEastAsia"/>
          <w:color w:val="191919"/>
          <w:shd w:val="clear" w:color="auto" w:fill="FFFFFF"/>
        </w:rPr>
        <w:drawing>
          <wp:inline distT="0" distB="0" distL="114300" distR="114300">
            <wp:extent cx="5288915" cy="2961640"/>
            <wp:effectExtent l="0" t="0" r="6985" b="10160"/>
            <wp:docPr id="3" name="图片 1" descr="说明: https://p2.itc.cn/q_70/images03/20220211/34c36506880e4daaaacd71df0224cf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https://p2.itc.cn/q_70/images03/20220211/34c36506880e4daaaacd71df0224cf3b.png"/>
                    <pic:cNvPicPr>
                      <a:picLocks noChangeAspect="1"/>
                    </pic:cNvPicPr>
                  </pic:nvPicPr>
                  <pic:blipFill>
                    <a:blip r:embed="rId11"/>
                    <a:stretch>
                      <a:fillRect/>
                    </a:stretch>
                  </pic:blipFill>
                  <pic:spPr>
                    <a:xfrm>
                      <a:off x="0" y="0"/>
                      <a:ext cx="5288915" cy="2961640"/>
                    </a:xfrm>
                    <a:prstGeom prst="rect">
                      <a:avLst/>
                    </a:prstGeom>
                    <a:noFill/>
                    <a:ln>
                      <a:noFill/>
                    </a:ln>
                  </pic:spPr>
                </pic:pic>
              </a:graphicData>
            </a:graphic>
          </wp:inline>
        </w:drawing>
      </w:r>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③　广州市商品住宅库存情况</w:t>
      </w:r>
    </w:p>
    <w:p>
      <w:pPr>
        <w:spacing w:line="360" w:lineRule="auto"/>
        <w:ind w:firstLine="480" w:firstLineChars="200"/>
        <w:jc w:val="left"/>
        <w:textAlignment w:val="auto"/>
        <w:rPr>
          <w:rFonts w:asciiTheme="minorEastAsia" w:hAnsiTheme="minorEastAsia" w:eastAsiaTheme="minorEastAsia" w:cstheme="minorEastAsia"/>
          <w:color w:val="191919"/>
          <w:sz w:val="24"/>
          <w:szCs w:val="24"/>
          <w:shd w:val="clear" w:color="auto" w:fill="FFFFFF"/>
        </w:rPr>
      </w:pPr>
      <w:r>
        <w:rPr>
          <w:rFonts w:hint="eastAsia" w:asciiTheme="minorEastAsia" w:hAnsiTheme="minorEastAsia" w:eastAsiaTheme="minorEastAsia" w:cstheme="minorEastAsia"/>
          <w:color w:val="191919"/>
          <w:sz w:val="24"/>
          <w:szCs w:val="24"/>
          <w:shd w:val="clear" w:color="auto" w:fill="FFFFFF"/>
        </w:rPr>
        <w:t>由于成交量减少，供应猛增，新房库存一再攀升，其中11月广州库存达到14个月，为去年同期的1.8倍。2021年成交破10万宗，部分区域成交同比递增，更多由小部分热门楼盘拉动所致，但综合整体市场情况来看，实际去化表现未如理想。尤其增城、南沙、花都、白云外围板块，在轮番调控之后客户较少严重，去化仅10-30%，甚至有项目出现开盘仅卖出个位数单位的尴尬局面。 番禺、南沙、从化库存消化周期已突破15个月，增城亦相当接近，由此表明部分区域成交、去化情况正加速放缓。</w:t>
      </w:r>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2、2021年广州市二手住宅房地产市场分析</w:t>
      </w:r>
    </w:p>
    <w:p>
      <w:pPr>
        <w:spacing w:line="360" w:lineRule="auto"/>
        <w:ind w:firstLine="480" w:firstLineChars="200"/>
        <w:jc w:val="left"/>
        <w:textAlignment w:val="auto"/>
        <w:rPr>
          <w:rFonts w:asciiTheme="minorEastAsia" w:hAnsiTheme="minorEastAsia" w:eastAsiaTheme="minorEastAsia" w:cstheme="minorEastAsia"/>
          <w:color w:val="191919"/>
          <w:sz w:val="24"/>
          <w:szCs w:val="24"/>
          <w:shd w:val="clear" w:color="auto" w:fill="FFFFFF"/>
        </w:rPr>
      </w:pPr>
      <w:r>
        <w:rPr>
          <w:rFonts w:hint="eastAsia" w:asciiTheme="minorEastAsia" w:hAnsiTheme="minorEastAsia" w:eastAsiaTheme="minorEastAsia" w:cstheme="minorEastAsia"/>
          <w:color w:val="191919"/>
          <w:sz w:val="24"/>
          <w:szCs w:val="24"/>
          <w:shd w:val="clear" w:color="auto" w:fill="FFFFFF"/>
        </w:rPr>
        <w:t>2021年，信贷环境及政策端收紧使二手房成交量在下半年降至冰点，价格受到结构性影响走势仍然平稳，花都、黄埔、番禺改善客户多依赖置换，二手房交易参考价发布后业主心态转弱，让利成交增多。</w:t>
      </w:r>
    </w:p>
    <w:p>
      <w:pPr>
        <w:spacing w:line="360" w:lineRule="auto"/>
        <w:ind w:firstLine="480" w:firstLineChars="200"/>
        <w:jc w:val="left"/>
        <w:textAlignment w:val="auto"/>
        <w:rPr>
          <w:rFonts w:asciiTheme="minorEastAsia" w:hAnsiTheme="minorEastAsia" w:eastAsiaTheme="minorEastAsia" w:cstheme="minorEastAsia"/>
          <w:color w:val="191919"/>
          <w:sz w:val="24"/>
          <w:szCs w:val="24"/>
          <w:shd w:val="clear" w:color="auto" w:fill="FFFFFF"/>
        </w:rPr>
      </w:pPr>
    </w:p>
    <w:p>
      <w:pPr>
        <w:pStyle w:val="13"/>
        <w:shd w:val="clear" w:color="auto" w:fill="FFFFFF"/>
        <w:spacing w:before="151" w:beforeAutospacing="0" w:after="432" w:afterAutospacing="0" w:line="360" w:lineRule="auto"/>
        <w:jc w:val="center"/>
        <w:rPr>
          <w:rFonts w:hint="default" w:cs="Arial"/>
          <w:color w:val="191919"/>
          <w:shd w:val="clear" w:color="auto" w:fill="FFFFFF"/>
        </w:rPr>
      </w:pPr>
      <w:r>
        <w:rPr>
          <w:rFonts w:cs="Arial"/>
          <w:color w:val="191919"/>
          <w:shd w:val="clear" w:color="auto" w:fill="FFFFFF"/>
        </w:rPr>
        <w:drawing>
          <wp:inline distT="0" distB="0" distL="114300" distR="114300">
            <wp:extent cx="5135880" cy="2875915"/>
            <wp:effectExtent l="0" t="0" r="7620" b="635"/>
            <wp:docPr id="4" name="图片 3" descr="说明: https://p0.itc.cn/q_70/images03/20220211/e36046afae8c48d7888917d8c6f90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说明: https://p0.itc.cn/q_70/images03/20220211/e36046afae8c48d7888917d8c6f90e0f.png"/>
                    <pic:cNvPicPr>
                      <a:picLocks noChangeAspect="1"/>
                    </pic:cNvPicPr>
                  </pic:nvPicPr>
                  <pic:blipFill>
                    <a:blip r:embed="rId12"/>
                    <a:stretch>
                      <a:fillRect/>
                    </a:stretch>
                  </pic:blipFill>
                  <pic:spPr>
                    <a:xfrm>
                      <a:off x="0" y="0"/>
                      <a:ext cx="5135880" cy="2875915"/>
                    </a:xfrm>
                    <a:prstGeom prst="rect">
                      <a:avLst/>
                    </a:prstGeom>
                    <a:noFill/>
                    <a:ln>
                      <a:noFill/>
                    </a:ln>
                  </pic:spPr>
                </pic:pic>
              </a:graphicData>
            </a:graphic>
          </wp:inline>
        </w:drawing>
      </w:r>
    </w:p>
    <w:p>
      <w:pPr>
        <w:spacing w:line="360" w:lineRule="auto"/>
        <w:ind w:firstLine="482" w:firstLineChars="200"/>
        <w:jc w:val="left"/>
        <w:textAlignment w:val="auto"/>
        <w:rPr>
          <w:rFonts w:asciiTheme="minorEastAsia" w:hAnsiTheme="minorEastAsia" w:eastAsiaTheme="minorEastAsia" w:cstheme="minorEastAsia"/>
          <w:b/>
          <w:position w:val="-1"/>
          <w:sz w:val="24"/>
          <w:szCs w:val="24"/>
        </w:rPr>
      </w:pPr>
      <w:r>
        <w:rPr>
          <w:rFonts w:hint="eastAsia" w:asciiTheme="minorEastAsia" w:hAnsiTheme="minorEastAsia" w:eastAsiaTheme="minorEastAsia" w:cstheme="minorEastAsia"/>
          <w:b/>
          <w:position w:val="-1"/>
          <w:sz w:val="24"/>
          <w:szCs w:val="24"/>
        </w:rPr>
        <w:t>3、增城房地产市场分析</w:t>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近两年来的变化，增城新房市场成交套数与成交均价就如同断裂式的发展，前半段是一路高歌猛进、后半段是由于市场下行等综合原因，迅速遇冷。</w:t>
      </w:r>
    </w:p>
    <w:p>
      <w:pPr>
        <w:spacing w:line="360" w:lineRule="auto"/>
        <w:ind w:firstLine="480" w:firstLineChars="200"/>
        <w:jc w:val="center"/>
        <w:textAlignment w:val="auto"/>
        <w:rPr>
          <w:rFonts w:cs="宋体"/>
          <w:sz w:val="24"/>
          <w:szCs w:val="24"/>
        </w:rPr>
      </w:pPr>
      <w:r>
        <w:rPr>
          <w:rFonts w:cs="宋体"/>
          <w:sz w:val="24"/>
          <w:szCs w:val="24"/>
        </w:rPr>
        <w:drawing>
          <wp:inline distT="0" distB="0" distL="114300" distR="114300">
            <wp:extent cx="5039360" cy="2002155"/>
            <wp:effectExtent l="0" t="0" r="8890" b="1714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13"/>
                    <a:stretch>
                      <a:fillRect/>
                    </a:stretch>
                  </pic:blipFill>
                  <pic:spPr>
                    <a:xfrm>
                      <a:off x="0" y="0"/>
                      <a:ext cx="5039360" cy="2002155"/>
                    </a:xfrm>
                    <a:prstGeom prst="rect">
                      <a:avLst/>
                    </a:prstGeom>
                    <a:noFill/>
                    <a:ln w="9525">
                      <a:noFill/>
                    </a:ln>
                  </pic:spPr>
                </pic:pic>
              </a:graphicData>
            </a:graphic>
          </wp:inline>
        </w:drawing>
      </w:r>
    </w:p>
    <w:p>
      <w:pPr>
        <w:spacing w:line="360" w:lineRule="auto"/>
        <w:ind w:firstLine="480" w:firstLineChars="20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新房去化速率降低，增城全区的库存压力自然会上升；数据显示，截至3月底，增城区新房库存到达2.6万多套。增城区12个板块中，仅仙村板块去化周期在3.2个月，而这是由于该板块库存极低、以及前期万科金色里程的持续网签；另外新塘镇、石滩、永宁等5个板块新房去化周期在12-13个月之间，去存周期基本健康。</w:t>
      </w:r>
    </w:p>
    <w:p>
      <w:pPr>
        <w:spacing w:line="360" w:lineRule="auto"/>
        <w:ind w:firstLine="480" w:firstLineChars="200"/>
        <w:jc w:val="center"/>
        <w:textAlignment w:val="auto"/>
        <w:rPr>
          <w:rFonts w:asciiTheme="minorEastAsia" w:hAnsiTheme="minorEastAsia" w:eastAsiaTheme="minorEastAsia"/>
          <w:position w:val="-1"/>
          <w:sz w:val="24"/>
          <w:szCs w:val="24"/>
        </w:rPr>
      </w:pPr>
      <w:r>
        <w:rPr>
          <w:rFonts w:cs="宋体"/>
          <w:sz w:val="24"/>
          <w:szCs w:val="24"/>
        </w:rPr>
        <w:drawing>
          <wp:inline distT="0" distB="0" distL="114300" distR="114300">
            <wp:extent cx="4184015" cy="3109595"/>
            <wp:effectExtent l="0" t="0" r="6985" b="1460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14"/>
                    <a:stretch>
                      <a:fillRect/>
                    </a:stretch>
                  </pic:blipFill>
                  <pic:spPr>
                    <a:xfrm>
                      <a:off x="0" y="0"/>
                      <a:ext cx="4184015" cy="3109595"/>
                    </a:xfrm>
                    <a:prstGeom prst="rect">
                      <a:avLst/>
                    </a:prstGeom>
                    <a:noFill/>
                    <a:ln w="9525">
                      <a:noFill/>
                    </a:ln>
                  </pic:spPr>
                </pic:pic>
              </a:graphicData>
            </a:graphic>
          </wp:inline>
        </w:drawing>
      </w:r>
    </w:p>
    <w:p>
      <w:pPr>
        <w:pStyle w:val="3"/>
        <w:wordWrap w:val="0"/>
        <w:rPr>
          <w:sz w:val="24"/>
          <w:szCs w:val="24"/>
        </w:rPr>
      </w:pPr>
      <w:bookmarkStart w:id="14" w:name="_Toc18103"/>
      <w:r>
        <w:rPr>
          <w:sz w:val="24"/>
          <w:szCs w:val="24"/>
        </w:rPr>
        <w:t>(</w:t>
      </w:r>
      <w:r>
        <w:rPr>
          <w:rFonts w:hint="eastAsia"/>
          <w:sz w:val="24"/>
          <w:szCs w:val="24"/>
        </w:rPr>
        <w:t>十</w:t>
      </w:r>
      <w:r>
        <w:rPr>
          <w:sz w:val="24"/>
          <w:szCs w:val="24"/>
        </w:rPr>
        <w:t>)估价方法</w:t>
      </w:r>
      <w:bookmarkEnd w:id="14"/>
    </w:p>
    <w:p>
      <w:pPr>
        <w:wordWrap w:val="0"/>
        <w:spacing w:line="360" w:lineRule="auto"/>
        <w:ind w:firstLine="482" w:firstLineChars="200"/>
        <w:jc w:val="left"/>
        <w:textAlignment w:val="auto"/>
      </w:pPr>
      <w:r>
        <w:rPr>
          <w:rFonts w:hint="eastAsia" w:asciiTheme="minorEastAsia" w:hAnsiTheme="minorEastAsia" w:eastAsiaTheme="minorEastAsia"/>
          <w:b/>
          <w:bCs/>
          <w:position w:val="-1"/>
          <w:sz w:val="24"/>
          <w:szCs w:val="24"/>
        </w:rPr>
        <w:t>1、房地产估价方法简介</w:t>
      </w:r>
    </w:p>
    <w:p>
      <w:pPr>
        <w:spacing w:line="360" w:lineRule="auto"/>
        <w:ind w:firstLine="480" w:firstLineChars="200"/>
        <w:jc w:val="left"/>
        <w:textAlignment w:val="auto"/>
        <w:rPr>
          <w:rFonts w:asciiTheme="minorEastAsia" w:hAnsiTheme="minorEastAsia" w:eastAsiaTheme="minorEastAsia"/>
          <w:position w:val="-1"/>
          <w:sz w:val="24"/>
        </w:rPr>
      </w:pPr>
      <w:r>
        <w:rPr>
          <w:rFonts w:hint="eastAsia" w:asciiTheme="minorEastAsia" w:hAnsiTheme="minorEastAsia" w:eastAsiaTheme="minorEastAsia"/>
          <w:position w:val="-1"/>
          <w:sz w:val="24"/>
        </w:rPr>
        <w:t>根据《房地产估价规范》(GB/T 50291-2015) 及《涉执房地产处置司法评估指导意见（试行）》（中房学〔2021〕37号）的规定，房地产估价的方法有比较法、收益法、成本法、假设开发法。</w:t>
      </w:r>
    </w:p>
    <w:p>
      <w:pPr>
        <w:spacing w:line="360" w:lineRule="auto"/>
        <w:ind w:firstLine="480" w:firstLineChars="200"/>
        <w:jc w:val="left"/>
        <w:textAlignment w:val="auto"/>
      </w:pPr>
      <w:r>
        <w:rPr>
          <w:rFonts w:hint="eastAsia" w:asciiTheme="minorEastAsia" w:hAnsiTheme="minorEastAsia" w:eastAsiaTheme="minorEastAsia"/>
          <w:position w:val="-1"/>
          <w:sz w:val="24"/>
        </w:rPr>
        <w:t>(1)比较法：选取一定数量的可比实例，将它们与估价对象进行比较，根据其间的差异对可比实例成交价格进行处理后得到估价对象价值或价格的方法。该方法适用于同类房地产数量较多、经常发生交易且具有一定可比性的房地产，不适用于同类房地产数量很少的房地产、很少发生交易的房地产和可比性很差的房地产。</w:t>
      </w:r>
    </w:p>
    <w:p>
      <w:pPr>
        <w:spacing w:line="360" w:lineRule="auto"/>
        <w:ind w:firstLine="480" w:firstLineChars="200"/>
        <w:jc w:val="left"/>
        <w:textAlignment w:val="auto"/>
      </w:pPr>
      <w:r>
        <w:rPr>
          <w:rFonts w:hint="eastAsia" w:asciiTheme="minorEastAsia" w:hAnsiTheme="minorEastAsia" w:eastAsiaTheme="minorEastAsia"/>
          <w:position w:val="-1"/>
          <w:sz w:val="24"/>
        </w:rPr>
        <w:t>(2)收益法：预测估价对象的未来收益，利用报酬率或资本化率、收益乘数将未来收益转换为价值得到估价对象价值或价格的方法。该方法适用于估价对象或其同类房地产通常有租金收益的房地产。一般不适用于行政办公楼、学校、公园等公用、公益性房地产，以及无法使用不具备收益能力的房地产估价。</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(3)成本法：测算估价对象在价值时点的重置成本或重建成本和折旧，将重置成本或重建成本减去折旧得到估价价值或价格的方法。该方法适用于在建工程、很少发生交易又没有经济收入或没有潜在经济收入的房地产。</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(4)假设开发法：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该方法适用于具有开发或再开发潜力且开发完成后的价值可以采用比较法、收益法等成本法以外的方法测算的房地产估价。</w:t>
      </w:r>
    </w:p>
    <w:p>
      <w:pPr>
        <w:wordWrap w:val="0"/>
        <w:spacing w:line="360" w:lineRule="auto"/>
        <w:ind w:firstLine="482" w:firstLineChars="200"/>
        <w:jc w:val="left"/>
        <w:textAlignment w:val="auto"/>
      </w:pPr>
      <w:r>
        <w:rPr>
          <w:rFonts w:hint="eastAsia" w:asciiTheme="minorEastAsia" w:hAnsiTheme="minorEastAsia" w:eastAsiaTheme="minorEastAsia"/>
          <w:b/>
          <w:bCs/>
          <w:position w:val="-1"/>
          <w:sz w:val="24"/>
          <w:szCs w:val="24"/>
        </w:rPr>
        <w:t>2、估价方法的选用</w:t>
      </w:r>
    </w:p>
    <w:p>
      <w:pPr>
        <w:spacing w:line="360" w:lineRule="auto"/>
        <w:ind w:firstLine="480" w:firstLineChars="200"/>
        <w:jc w:val="left"/>
        <w:textAlignment w:val="bottom"/>
      </w:pPr>
      <w:r>
        <w:rPr>
          <w:rFonts w:hint="eastAsia" w:asciiTheme="minorEastAsia" w:hAnsiTheme="minorEastAsia" w:eastAsiaTheme="minorEastAsia"/>
          <w:position w:val="-1"/>
          <w:sz w:val="24"/>
          <w:szCs w:val="28"/>
        </w:rPr>
        <w:t>根据当地房地产(土地)市场发育情况及估价对象的具体特点及估价目的等，结合估价方法的适用性和可操作性，本次估价选择了比较法</w:t>
      </w:r>
      <w:r>
        <w:rPr>
          <w:rFonts w:hint="eastAsia" w:asciiTheme="minorEastAsia" w:hAnsiTheme="minorEastAsia" w:eastAsiaTheme="minorEastAsia"/>
          <w:kern w:val="2"/>
          <w:position w:val="-1"/>
          <w:sz w:val="24"/>
          <w:szCs w:val="24"/>
        </w:rPr>
        <w:t>和收益法进行评估</w:t>
      </w:r>
      <w:r>
        <w:rPr>
          <w:rFonts w:hint="eastAsia" w:asciiTheme="minorEastAsia" w:hAnsiTheme="minorEastAsia" w:eastAsiaTheme="minorEastAsia"/>
          <w:position w:val="-1"/>
          <w:sz w:val="24"/>
          <w:szCs w:val="28"/>
        </w:rPr>
        <w:t>，理由如下：</w:t>
      </w:r>
    </w:p>
    <w:p>
      <w:pPr>
        <w:spacing w:line="360" w:lineRule="auto"/>
        <w:ind w:firstLine="480" w:firstLineChars="200"/>
        <w:jc w:val="left"/>
        <w:textAlignment w:val="bottom"/>
      </w:pPr>
      <w:r>
        <w:rPr>
          <w:rFonts w:hint="eastAsia" w:asciiTheme="minorEastAsia" w:hAnsiTheme="minorEastAsia" w:eastAsiaTheme="minorEastAsia"/>
          <w:position w:val="-1"/>
          <w:sz w:val="24"/>
          <w:szCs w:val="28"/>
        </w:rPr>
        <w:t>(1)比较法：本次估价的估价对象为</w:t>
      </w:r>
      <w:r>
        <w:rPr>
          <w:rFonts w:hint="eastAsia" w:asciiTheme="minorEastAsia" w:hAnsiTheme="minorEastAsia" w:eastAsiaTheme="minorEastAsia"/>
          <w:kern w:val="2"/>
          <w:position w:val="-1"/>
          <w:sz w:val="24"/>
          <w:szCs w:val="24"/>
        </w:rPr>
        <w:t>住宅</w:t>
      </w:r>
      <w:r>
        <w:rPr>
          <w:rFonts w:hint="eastAsia" w:asciiTheme="minorEastAsia" w:hAnsiTheme="minorEastAsia" w:eastAsiaTheme="minorEastAsia"/>
          <w:position w:val="-1"/>
          <w:sz w:val="24"/>
          <w:szCs w:val="28"/>
        </w:rPr>
        <w:t>用房和配套车位，经过调查，周边同区域内近期有足够数量的相同或类似房地产成交实例，可采用比较法进行评估。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公式：P=PB×A×B×C×D×E</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其中：P—待估房地产比较价格；</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PB—可比实例成交价格；</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A—市场状况修正(估价对象市场状况调整指数/可比实例市场状况调整指数)；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B—交易情况修正(估价对象交易情况指数/可比实例交易情况指数)；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C—区位状况修正(估价对象区位状况调整指数/可比实例区位状况调整指数)；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D—实物状况修正(估价对象实物状况调整指数/可比实例实物状况调整指数)；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E—权益状况修正(估价对象权益状况调整指数/可比实例权益状况调整指数)；</w:t>
      </w:r>
    </w:p>
    <w:p>
      <w:pPr>
        <w:spacing w:line="360" w:lineRule="auto"/>
        <w:ind w:firstLine="480" w:firstLineChars="200"/>
        <w:jc w:val="left"/>
        <w:textAlignment w:val="bottom"/>
      </w:pPr>
      <w:r>
        <w:rPr>
          <w:rFonts w:hint="eastAsia" w:asciiTheme="minorEastAsia" w:hAnsiTheme="minorEastAsia" w:eastAsiaTheme="minorEastAsia"/>
          <w:position w:val="-1"/>
          <w:sz w:val="24"/>
          <w:szCs w:val="28"/>
        </w:rPr>
        <w:t>(2)收益法：本次估价的估价对象为</w:t>
      </w:r>
      <w:r>
        <w:rPr>
          <w:rFonts w:hint="eastAsia" w:asciiTheme="minorEastAsia" w:hAnsiTheme="minorEastAsia" w:eastAsiaTheme="minorEastAsia"/>
          <w:kern w:val="2"/>
          <w:position w:val="-1"/>
          <w:sz w:val="24"/>
          <w:szCs w:val="24"/>
        </w:rPr>
        <w:t>住宅</w:t>
      </w:r>
      <w:r>
        <w:rPr>
          <w:rFonts w:hint="eastAsia" w:asciiTheme="minorEastAsia" w:hAnsiTheme="minorEastAsia" w:eastAsiaTheme="minorEastAsia"/>
          <w:position w:val="-1"/>
          <w:sz w:val="24"/>
          <w:szCs w:val="28"/>
        </w:rPr>
        <w:t>用房和配套车位，经过调查，周边类似物业出租案例较多，未来收益可以准确量化，可采用持有加转售的收益法进行评估。</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计算公式：V=A</w:t>
      </w:r>
      <w:r>
        <w:rPr>
          <w:rFonts w:hint="eastAsia" w:asciiTheme="minorEastAsia" w:hAnsiTheme="minorEastAsia" w:eastAsiaTheme="minorEastAsia"/>
          <w:position w:val="-1"/>
          <w:sz w:val="24"/>
          <w:szCs w:val="24"/>
          <w:vertAlign w:val="subscript"/>
        </w:rPr>
        <w:t>1</w:t>
      </w:r>
      <w:r>
        <w:rPr>
          <w:rFonts w:hint="eastAsia" w:asciiTheme="minorEastAsia" w:hAnsiTheme="minorEastAsia" w:eastAsiaTheme="minorEastAsia"/>
          <w:position w:val="-1"/>
          <w:sz w:val="24"/>
          <w:szCs w:val="24"/>
        </w:rPr>
        <w:t>/(Y-g)×[1-((1+g)</w:t>
      </w:r>
      <w:r>
        <w:rPr>
          <w:rFonts w:hint="eastAsia" w:asciiTheme="minorEastAsia" w:hAnsiTheme="minorEastAsia" w:eastAsiaTheme="minorEastAsia"/>
          <w:position w:val="-1"/>
          <w:sz w:val="24"/>
          <w:szCs w:val="24"/>
          <w:vertAlign w:val="superscript"/>
        </w:rPr>
        <w:t>n</w:t>
      </w:r>
      <w:r>
        <w:rPr>
          <w:rFonts w:hint="eastAsia" w:asciiTheme="minorEastAsia" w:hAnsiTheme="minorEastAsia" w:eastAsiaTheme="minorEastAsia"/>
          <w:position w:val="-1"/>
          <w:sz w:val="24"/>
          <w:szCs w:val="24"/>
        </w:rPr>
        <w:t>/(1+Y)</w:t>
      </w:r>
      <w:r>
        <w:rPr>
          <w:rFonts w:hint="eastAsia" w:asciiTheme="minorEastAsia" w:hAnsiTheme="minorEastAsia" w:eastAsiaTheme="minorEastAsia"/>
          <w:position w:val="-1"/>
          <w:sz w:val="24"/>
          <w:szCs w:val="24"/>
          <w:vertAlign w:val="superscript"/>
        </w:rPr>
        <w:t>n</w:t>
      </w:r>
      <w:r>
        <w:rPr>
          <w:rFonts w:hint="eastAsia" w:asciiTheme="minorEastAsia" w:hAnsiTheme="minorEastAsia" w:eastAsiaTheme="minorEastAsia"/>
          <w:position w:val="-1"/>
          <w:sz w:val="24"/>
          <w:szCs w:val="24"/>
        </w:rPr>
        <w:t>)]+A</w:t>
      </w:r>
      <w:r>
        <w:rPr>
          <w:rFonts w:hint="eastAsia" w:asciiTheme="minorEastAsia" w:hAnsiTheme="minorEastAsia" w:eastAsiaTheme="minorEastAsia"/>
          <w:position w:val="-1"/>
          <w:sz w:val="24"/>
          <w:szCs w:val="24"/>
          <w:vertAlign w:val="subscript"/>
        </w:rPr>
        <w:t>2</w:t>
      </w:r>
      <w:r>
        <w:rPr>
          <w:rFonts w:hint="eastAsia" w:asciiTheme="minorEastAsia" w:hAnsiTheme="minorEastAsia" w:eastAsiaTheme="minorEastAsia"/>
          <w:position w:val="-1"/>
          <w:sz w:val="24"/>
          <w:szCs w:val="24"/>
        </w:rPr>
        <w:t>/(1+Y)</w:t>
      </w:r>
      <w:r>
        <w:rPr>
          <w:rFonts w:hint="eastAsia" w:asciiTheme="minorEastAsia" w:hAnsiTheme="minorEastAsia" w:eastAsiaTheme="minorEastAsia"/>
          <w:position w:val="-1"/>
          <w:sz w:val="24"/>
          <w:szCs w:val="24"/>
          <w:vertAlign w:val="superscript"/>
        </w:rPr>
        <w:t>n</w:t>
      </w:r>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式中：V表示房地产的价格；A</w:t>
      </w:r>
      <w:r>
        <w:rPr>
          <w:rFonts w:hint="eastAsia" w:asciiTheme="minorEastAsia" w:hAnsiTheme="minorEastAsia" w:eastAsiaTheme="minorEastAsia"/>
          <w:position w:val="-1"/>
          <w:sz w:val="24"/>
          <w:szCs w:val="24"/>
          <w:vertAlign w:val="subscript"/>
        </w:rPr>
        <w:t>1</w:t>
      </w:r>
      <w:r>
        <w:rPr>
          <w:rFonts w:hint="eastAsia" w:asciiTheme="minorEastAsia" w:hAnsiTheme="minorEastAsia" w:eastAsiaTheme="minorEastAsia"/>
          <w:position w:val="-1"/>
          <w:sz w:val="24"/>
          <w:szCs w:val="24"/>
        </w:rPr>
        <w:t>表示价值时点租赁年净收益；A</w:t>
      </w:r>
      <w:r>
        <w:rPr>
          <w:rFonts w:hint="eastAsia" w:asciiTheme="minorEastAsia" w:hAnsiTheme="minorEastAsia" w:eastAsiaTheme="minorEastAsia"/>
          <w:position w:val="-1"/>
          <w:sz w:val="24"/>
          <w:szCs w:val="24"/>
          <w:vertAlign w:val="subscript"/>
        </w:rPr>
        <w:t>2</w:t>
      </w:r>
      <w:r>
        <w:rPr>
          <w:rFonts w:hint="eastAsia" w:asciiTheme="minorEastAsia" w:hAnsiTheme="minorEastAsia" w:eastAsiaTheme="minorEastAsia"/>
          <w:position w:val="-1"/>
          <w:sz w:val="24"/>
          <w:szCs w:val="24"/>
        </w:rPr>
        <w:t>为期末转售收益，Y=报酬率；g=净收益逐年递增的比率；n为转售前持有期(年)。</w:t>
      </w:r>
    </w:p>
    <w:p>
      <w:pPr>
        <w:spacing w:line="360" w:lineRule="auto"/>
        <w:ind w:firstLine="480" w:firstLineChars="200"/>
        <w:jc w:val="left"/>
        <w:textAlignment w:val="bottom"/>
      </w:pPr>
      <w:r>
        <w:rPr>
          <w:rFonts w:hint="eastAsia" w:asciiTheme="minorEastAsia" w:hAnsiTheme="minorEastAsia" w:eastAsiaTheme="minorEastAsia"/>
          <w:position w:val="-1"/>
          <w:sz w:val="24"/>
          <w:szCs w:val="28"/>
        </w:rPr>
        <w:t>(3)成本法：本次估价的估价对象为住宅用房和配套车位，</w:t>
      </w:r>
      <w:r>
        <w:rPr>
          <w:rFonts w:hint="eastAsia" w:asciiTheme="minorEastAsia" w:hAnsiTheme="minorEastAsia" w:eastAsiaTheme="minorEastAsia"/>
          <w:kern w:val="2"/>
          <w:position w:val="-1"/>
          <w:sz w:val="24"/>
          <w:szCs w:val="24"/>
        </w:rPr>
        <w:t>现实成套住宅</w:t>
      </w:r>
      <w:r>
        <w:rPr>
          <w:rFonts w:hint="eastAsia" w:asciiTheme="minorEastAsia" w:hAnsiTheme="minorEastAsia" w:eastAsiaTheme="minorEastAsia"/>
          <w:position w:val="-1"/>
          <w:sz w:val="24"/>
          <w:szCs w:val="28"/>
        </w:rPr>
        <w:t>和配套车位</w:t>
      </w:r>
      <w:r>
        <w:rPr>
          <w:rFonts w:hint="eastAsia" w:asciiTheme="minorEastAsia" w:hAnsiTheme="minorEastAsia" w:eastAsiaTheme="minorEastAsia"/>
          <w:kern w:val="2"/>
          <w:position w:val="-1"/>
          <w:sz w:val="24"/>
          <w:szCs w:val="24"/>
        </w:rPr>
        <w:t>房地产价格与其成本关联性弱，房地产的开发成本不能准确反映房地产的实际市场价值，因此不宜采用成本法进行评估</w:t>
      </w:r>
      <w:r>
        <w:rPr>
          <w:rFonts w:hint="eastAsia" w:asciiTheme="minorEastAsia" w:hAnsiTheme="minorEastAsia" w:eastAsiaTheme="minorEastAsia"/>
          <w:position w:val="-1"/>
          <w:sz w:val="24"/>
          <w:szCs w:val="28"/>
        </w:rPr>
        <w:t>。</w:t>
      </w:r>
    </w:p>
    <w:p>
      <w:pPr>
        <w:spacing w:line="360" w:lineRule="auto"/>
        <w:ind w:firstLine="480" w:firstLineChars="200"/>
        <w:jc w:val="left"/>
        <w:textAlignment w:val="bottom"/>
      </w:pPr>
      <w:r>
        <w:rPr>
          <w:rFonts w:hint="eastAsia" w:asciiTheme="minorEastAsia" w:hAnsiTheme="minorEastAsia" w:eastAsiaTheme="minorEastAsia"/>
          <w:position w:val="-1"/>
          <w:sz w:val="24"/>
          <w:szCs w:val="28"/>
        </w:rPr>
        <w:t>(4)假设开发法：本次估价的估价对象为住宅用房和配套车位，</w:t>
      </w:r>
      <w:r>
        <w:rPr>
          <w:rFonts w:hint="eastAsia" w:asciiTheme="minorEastAsia" w:hAnsiTheme="minorEastAsia" w:eastAsiaTheme="minorEastAsia"/>
          <w:kern w:val="2"/>
          <w:position w:val="-1"/>
          <w:sz w:val="24"/>
          <w:szCs w:val="24"/>
        </w:rPr>
        <w:t>估价对象属于建成并已投入使用的物业，就目前状态处于最佳利用，无需重新开发利用，不宜采用假设开发法进行评估</w:t>
      </w:r>
      <w:r>
        <w:rPr>
          <w:rFonts w:hint="eastAsia" w:asciiTheme="minorEastAsia" w:hAnsiTheme="minorEastAsia" w:eastAsiaTheme="minorEastAsia"/>
          <w:position w:val="-1"/>
          <w:sz w:val="24"/>
          <w:szCs w:val="28"/>
        </w:rPr>
        <w:t>。</w:t>
      </w:r>
    </w:p>
    <w:p>
      <w:pPr>
        <w:pStyle w:val="3"/>
        <w:wordWrap w:val="0"/>
      </w:pPr>
      <w:bookmarkStart w:id="15" w:name="_Toc19836"/>
      <w:r>
        <w:rPr>
          <w:sz w:val="24"/>
          <w:szCs w:val="24"/>
        </w:rPr>
        <w:t>(</w:t>
      </w:r>
      <w:r>
        <w:rPr>
          <w:rFonts w:hint="eastAsia"/>
          <w:sz w:val="24"/>
          <w:szCs w:val="24"/>
        </w:rPr>
        <w:t>十一</w:t>
      </w:r>
      <w:r>
        <w:rPr>
          <w:sz w:val="24"/>
          <w:szCs w:val="24"/>
        </w:rPr>
        <w:t>)估价结果</w:t>
      </w:r>
      <w:bookmarkEnd w:id="15"/>
    </w:p>
    <w:p>
      <w:pPr>
        <w:spacing w:line="360" w:lineRule="auto"/>
        <w:ind w:firstLine="480" w:firstLineChars="200"/>
        <w:jc w:val="left"/>
        <w:textAlignment w:val="auto"/>
      </w:pPr>
      <w:r>
        <w:rPr>
          <w:rFonts w:hint="eastAsia" w:asciiTheme="minorEastAsia" w:hAnsiTheme="minorEastAsia" w:eastAsiaTheme="minorEastAsia"/>
          <w:bCs/>
          <w:position w:val="-1"/>
          <w:sz w:val="24"/>
        </w:rPr>
        <w:t>估价对象</w:t>
      </w:r>
      <w:r>
        <w:rPr>
          <w:rFonts w:hint="eastAsia" w:asciiTheme="minorEastAsia" w:hAnsiTheme="minorEastAsia" w:eastAsiaTheme="minorEastAsia"/>
          <w:position w:val="-1"/>
          <w:sz w:val="24"/>
          <w:szCs w:val="24"/>
        </w:rPr>
        <w:t>在满足全部假设与限制条件下</w:t>
      </w:r>
      <w:r>
        <w:rPr>
          <w:rFonts w:hint="eastAsia" w:asciiTheme="minorEastAsia" w:hAnsiTheme="minorEastAsia" w:eastAsiaTheme="minorEastAsia"/>
          <w:bCs/>
          <w:position w:val="-1"/>
          <w:sz w:val="24"/>
        </w:rPr>
        <w:t>于价值时点</w:t>
      </w:r>
      <w:r>
        <w:rPr>
          <w:rFonts w:hint="eastAsia" w:asciiTheme="minorEastAsia" w:hAnsiTheme="minorEastAsia" w:eastAsiaTheme="minorEastAsia"/>
          <w:position w:val="-1"/>
          <w:sz w:val="24"/>
          <w:szCs w:val="24"/>
        </w:rPr>
        <w:t>二〇二二年四月二十九日</w:t>
      </w:r>
      <w:r>
        <w:rPr>
          <w:rFonts w:hint="eastAsia" w:asciiTheme="minorEastAsia" w:hAnsiTheme="minorEastAsia" w:eastAsiaTheme="minorEastAsia"/>
          <w:bCs/>
          <w:position w:val="-1"/>
          <w:sz w:val="24"/>
        </w:rPr>
        <w:t>的估价结果如下：</w:t>
      </w:r>
    </w:p>
    <w:p>
      <w:pPr>
        <w:spacing w:line="360" w:lineRule="auto"/>
        <w:ind w:firstLine="480" w:firstLineChars="200"/>
        <w:jc w:val="left"/>
        <w:textAlignment w:val="auto"/>
      </w:pPr>
      <w:r>
        <w:rPr>
          <w:rFonts w:hint="eastAsia" w:asciiTheme="minorEastAsia" w:hAnsiTheme="minorEastAsia" w:eastAsiaTheme="minorEastAsia"/>
          <w:bCs/>
          <w:position w:val="-1"/>
          <w:sz w:val="24"/>
          <w:u w:val="single"/>
        </w:rPr>
        <w:t>估价对</w:t>
      </w:r>
      <w:r>
        <w:rPr>
          <w:rFonts w:hint="eastAsia" w:asciiTheme="minorEastAsia" w:hAnsiTheme="minorEastAsia" w:eastAsiaTheme="minorEastAsia"/>
          <w:position w:val="-1"/>
          <w:sz w:val="24"/>
          <w:szCs w:val="24"/>
          <w:u w:val="single"/>
        </w:rPr>
        <w:t>象市场价值总额为：￥4,407,918元(人民币大写：</w:t>
      </w:r>
      <w:r>
        <w:rPr>
          <w:rFonts w:hint="eastAsia" w:asciiTheme="minorEastAsia" w:hAnsiTheme="minorEastAsia" w:eastAsiaTheme="minorEastAsia"/>
          <w:position w:val="-1"/>
          <w:sz w:val="24"/>
          <w:szCs w:val="24"/>
          <w:u w:val="single"/>
        </w:rPr>
        <w:fldChar w:fldCharType="begin"/>
      </w:r>
      <w:r>
        <w:rPr>
          <w:rFonts w:hint="eastAsia" w:asciiTheme="minorEastAsia" w:hAnsiTheme="minorEastAsia" w:eastAsiaTheme="minorEastAsia"/>
          <w:position w:val="-1"/>
          <w:sz w:val="24"/>
          <w:szCs w:val="24"/>
          <w:u w:val="single"/>
        </w:rPr>
        <w:instrText xml:space="preserve"> = 4407918 \* CHINESENUM2 \* MERGEFORMAT </w:instrText>
      </w:r>
      <w:r>
        <w:rPr>
          <w:rFonts w:hint="eastAsia" w:asciiTheme="minorEastAsia" w:hAnsiTheme="minorEastAsia" w:eastAsiaTheme="minorEastAsia"/>
          <w:position w:val="-1"/>
          <w:sz w:val="24"/>
          <w:szCs w:val="24"/>
          <w:u w:val="single"/>
        </w:rPr>
        <w:fldChar w:fldCharType="separate"/>
      </w:r>
      <w:r>
        <w:rPr>
          <w:rFonts w:hint="eastAsia" w:asciiTheme="minorEastAsia" w:hAnsiTheme="minorEastAsia" w:eastAsiaTheme="minorEastAsia"/>
          <w:position w:val="-1"/>
          <w:sz w:val="24"/>
          <w:szCs w:val="24"/>
          <w:u w:val="single"/>
        </w:rPr>
        <w:t>肆佰肆拾万柒仟玖佰壹拾捌</w:t>
      </w:r>
      <w:r>
        <w:rPr>
          <w:rFonts w:hint="eastAsia" w:asciiTheme="minorEastAsia" w:hAnsiTheme="minorEastAsia" w:eastAsiaTheme="minorEastAsia"/>
          <w:position w:val="-1"/>
          <w:sz w:val="24"/>
          <w:szCs w:val="24"/>
          <w:u w:val="single"/>
        </w:rPr>
        <w:fldChar w:fldCharType="end"/>
      </w:r>
      <w:r>
        <w:rPr>
          <w:rFonts w:hint="eastAsia" w:asciiTheme="minorEastAsia" w:hAnsiTheme="minorEastAsia" w:eastAsiaTheme="minorEastAsia"/>
          <w:position w:val="-1"/>
          <w:sz w:val="24"/>
          <w:szCs w:val="24"/>
          <w:u w:val="single"/>
        </w:rPr>
        <w:t>元整)</w:t>
      </w:r>
      <w:r>
        <w:rPr>
          <w:rFonts w:hint="eastAsia" w:asciiTheme="minorEastAsia" w:hAnsiTheme="minorEastAsia" w:eastAsiaTheme="minorEastAsia"/>
          <w:bCs/>
          <w:position w:val="-1"/>
          <w:sz w:val="24"/>
          <w:u w:val="single"/>
        </w:rPr>
        <w:t>。</w:t>
      </w:r>
      <w:r>
        <w:rPr>
          <w:rFonts w:hint="eastAsia" w:asciiTheme="minorEastAsia" w:hAnsiTheme="minorEastAsia" w:eastAsiaTheme="minorEastAsia"/>
          <w:bCs/>
          <w:position w:val="-1"/>
          <w:sz w:val="24"/>
        </w:rPr>
        <w:t>详见《</w:t>
      </w:r>
      <w:r>
        <w:rPr>
          <w:rFonts w:hint="eastAsia" w:asciiTheme="minorEastAsia" w:hAnsiTheme="minorEastAsia" w:eastAsiaTheme="minorEastAsia"/>
          <w:position w:val="-1"/>
          <w:sz w:val="24"/>
          <w:szCs w:val="24"/>
        </w:rPr>
        <w:t>估价结果一览表</w:t>
      </w:r>
      <w:r>
        <w:rPr>
          <w:rFonts w:hint="eastAsia" w:asciiTheme="minorEastAsia" w:hAnsiTheme="minorEastAsia" w:eastAsiaTheme="minorEastAsia"/>
          <w:bCs/>
          <w:position w:val="-1"/>
          <w:sz w:val="24"/>
        </w:rPr>
        <w:t>》。</w:t>
      </w:r>
    </w:p>
    <w:p>
      <w:pPr>
        <w:wordWrap w:val="0"/>
        <w:spacing w:line="360" w:lineRule="auto"/>
        <w:jc w:val="center"/>
        <w:textAlignment w:val="auto"/>
        <w:rPr>
          <w:rFonts w:asciiTheme="minorEastAsia" w:hAnsiTheme="minorEastAsia" w:eastAsiaTheme="minorEastAsia"/>
          <w:b/>
          <w:position w:val="-1"/>
          <w:sz w:val="18"/>
          <w:szCs w:val="18"/>
        </w:rPr>
      </w:pPr>
      <w:r>
        <w:rPr>
          <w:rFonts w:hint="eastAsia" w:asciiTheme="minorEastAsia" w:hAnsiTheme="minorEastAsia" w:eastAsiaTheme="minorEastAsia"/>
          <w:b/>
          <w:sz w:val="24"/>
          <w:szCs w:val="24"/>
        </w:rPr>
        <w:t>估价结果一览表</w:t>
      </w:r>
    </w:p>
    <w:tbl>
      <w:tblPr>
        <w:tblStyle w:val="15"/>
        <w:tblW w:w="5023"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5"/>
        <w:gridCol w:w="2008"/>
        <w:gridCol w:w="1521"/>
        <w:gridCol w:w="1021"/>
        <w:gridCol w:w="1007"/>
        <w:gridCol w:w="1151"/>
        <w:gridCol w:w="11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3" w:hRule="atLeast"/>
          <w:jc w:val="center"/>
        </w:trPr>
        <w:tc>
          <w:tcPr>
            <w:tcW w:w="400"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序号</w:t>
            </w:r>
          </w:p>
        </w:tc>
        <w:tc>
          <w:tcPr>
            <w:tcW w:w="1172"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项目名称</w:t>
            </w:r>
          </w:p>
        </w:tc>
        <w:tc>
          <w:tcPr>
            <w:tcW w:w="888"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权属人</w:t>
            </w:r>
          </w:p>
        </w:tc>
        <w:tc>
          <w:tcPr>
            <w:tcW w:w="596"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用途</w:t>
            </w:r>
          </w:p>
        </w:tc>
        <w:tc>
          <w:tcPr>
            <w:tcW w:w="588" w:type="pct"/>
            <w:vMerge w:val="restart"/>
            <w:tcBorders>
              <w:top w:val="single" w:color="auto" w:sz="4" w:space="0"/>
              <w:left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建筑面积(㎡)</w:t>
            </w:r>
          </w:p>
        </w:tc>
        <w:tc>
          <w:tcPr>
            <w:tcW w:w="1353" w:type="pct"/>
            <w:gridSpan w:val="2"/>
            <w:tcBorders>
              <w:top w:val="single" w:color="auto" w:sz="4" w:space="0"/>
              <w:left w:val="nil"/>
              <w:bottom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市场价值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48" w:hRule="atLeast"/>
          <w:jc w:val="center"/>
        </w:trPr>
        <w:tc>
          <w:tcPr>
            <w:tcW w:w="400"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2"/>
                <w:szCs w:val="22"/>
              </w:rPr>
            </w:pPr>
          </w:p>
        </w:tc>
        <w:tc>
          <w:tcPr>
            <w:tcW w:w="1172"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888"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596"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588" w:type="pct"/>
            <w:vMerge w:val="continue"/>
            <w:tcBorders>
              <w:left w:val="nil"/>
              <w:bottom w:val="nil"/>
              <w:right w:val="single" w:color="auto" w:sz="4" w:space="0"/>
            </w:tcBorders>
            <w:shd w:val="clear" w:color="auto" w:fill="auto"/>
            <w:vAlign w:val="center"/>
          </w:tcPr>
          <w:p>
            <w:pPr>
              <w:widowControl/>
              <w:spacing w:line="240" w:lineRule="auto"/>
              <w:jc w:val="center"/>
              <w:rPr>
                <w:kern w:val="2"/>
                <w:szCs w:val="22"/>
              </w:rPr>
            </w:pPr>
          </w:p>
        </w:tc>
        <w:tc>
          <w:tcPr>
            <w:tcW w:w="672" w:type="pct"/>
            <w:tcBorders>
              <w:top w:val="single" w:color="auto" w:sz="4" w:space="0"/>
              <w:left w:val="nil"/>
              <w:bottom w:val="nil"/>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kern w:val="2"/>
                <w:sz w:val="18"/>
                <w:szCs w:val="18"/>
              </w:rPr>
            </w:pPr>
            <w:r>
              <w:rPr>
                <w:rFonts w:hint="eastAsia" w:asciiTheme="minorEastAsia" w:hAnsiTheme="minorEastAsia" w:eastAsiaTheme="minorEastAsia"/>
                <w:b/>
                <w:bCs/>
                <w:kern w:val="2"/>
                <w:sz w:val="18"/>
                <w:szCs w:val="18"/>
              </w:rPr>
              <w:t>单价</w:t>
            </w:r>
          </w:p>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(元/㎡)</w:t>
            </w:r>
          </w:p>
        </w:tc>
        <w:tc>
          <w:tcPr>
            <w:tcW w:w="680" w:type="pct"/>
            <w:tcBorders>
              <w:top w:val="single" w:color="auto" w:sz="4" w:space="0"/>
              <w:left w:val="nil"/>
              <w:bottom w:val="nil"/>
              <w:right w:val="single" w:color="auto" w:sz="4" w:space="0"/>
            </w:tcBorders>
            <w:shd w:val="clear" w:color="auto" w:fill="auto"/>
            <w:vAlign w:val="center"/>
          </w:tcPr>
          <w:p>
            <w:pPr>
              <w:widowControl/>
              <w:spacing w:line="240" w:lineRule="auto"/>
              <w:jc w:val="center"/>
              <w:rPr>
                <w:rFonts w:cs="宋体"/>
                <w:b/>
                <w:bCs/>
                <w:kern w:val="2"/>
                <w:sz w:val="18"/>
                <w:szCs w:val="18"/>
              </w:rPr>
            </w:pPr>
            <w:r>
              <w:rPr>
                <w:rFonts w:hint="eastAsia" w:asciiTheme="minorEastAsia" w:hAnsiTheme="minorEastAsia" w:eastAsiaTheme="minorEastAsia"/>
                <w:b/>
                <w:bCs/>
                <w:kern w:val="2"/>
                <w:sz w:val="18"/>
                <w:szCs w:val="18"/>
              </w:rPr>
              <w:t>总价(</w:t>
            </w:r>
            <w:r>
              <w:rPr>
                <w:rFonts w:hint="eastAsia" w:asciiTheme="minorEastAsia" w:hAnsiTheme="minorEastAsia" w:eastAsiaTheme="minorEastAsia"/>
                <w:b/>
                <w:kern w:val="2"/>
                <w:sz w:val="18"/>
                <w:szCs w:val="18"/>
              </w:rPr>
              <w:t>元</w:t>
            </w:r>
            <w:r>
              <w:rPr>
                <w:rFonts w:hint="eastAsia" w:asciiTheme="minorEastAsia" w:hAnsiTheme="minorEastAsia" w:eastAsiaTheme="minorEastAsia"/>
                <w:b/>
                <w:bCs/>
                <w:kern w:val="2"/>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92" w:hRule="atLeast"/>
          <w:jc w:val="center"/>
        </w:trPr>
        <w:tc>
          <w:tcPr>
            <w:tcW w:w="4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w:t>
            </w:r>
          </w:p>
        </w:tc>
        <w:tc>
          <w:tcPr>
            <w:tcW w:w="11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广东省广州市增城市新塘镇凤凰城凤锦苑五街1号1001房</w:t>
            </w:r>
          </w:p>
        </w:tc>
        <w:tc>
          <w:tcPr>
            <w:tcW w:w="8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王芬</w:t>
            </w:r>
          </w:p>
        </w:tc>
        <w:tc>
          <w:tcPr>
            <w:tcW w:w="5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住宅</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204.63</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20500</w:t>
            </w:r>
          </w:p>
        </w:tc>
        <w:tc>
          <w:tcPr>
            <w:tcW w:w="6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4194915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87" w:hRule="atLeast"/>
          <w:jc w:val="center"/>
        </w:trPr>
        <w:tc>
          <w:tcPr>
            <w:tcW w:w="40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w:t>
            </w:r>
          </w:p>
        </w:tc>
        <w:tc>
          <w:tcPr>
            <w:tcW w:w="11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广东省广州市增城市新塘镇凤凰城凤锦苑五街1-4号地下车库负一层494号</w:t>
            </w:r>
          </w:p>
        </w:tc>
        <w:tc>
          <w:tcPr>
            <w:tcW w:w="8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王芬</w:t>
            </w:r>
          </w:p>
        </w:tc>
        <w:tc>
          <w:tcPr>
            <w:tcW w:w="5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2"/>
                <w:sz w:val="18"/>
                <w:szCs w:val="18"/>
              </w:rPr>
            </w:pPr>
            <w:r>
              <w:rPr>
                <w:rFonts w:hint="eastAsia" w:asciiTheme="minorEastAsia" w:hAnsiTheme="minorEastAsia" w:eastAsiaTheme="minorEastAsia"/>
                <w:kern w:val="2"/>
                <w:sz w:val="18"/>
                <w:szCs w:val="18"/>
              </w:rPr>
              <w:t>车位</w:t>
            </w:r>
          </w:p>
        </w:tc>
        <w:tc>
          <w:tcPr>
            <w:tcW w:w="5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13.23</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16100</w:t>
            </w:r>
          </w:p>
        </w:tc>
        <w:tc>
          <w:tcPr>
            <w:tcW w:w="6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2"/>
                <w:sz w:val="18"/>
                <w:szCs w:val="18"/>
              </w:rPr>
            </w:pPr>
            <w:r>
              <w:rPr>
                <w:rFonts w:hint="eastAsia" w:asciiTheme="minorEastAsia" w:hAnsiTheme="minorEastAsia" w:eastAsiaTheme="minorEastAsia"/>
                <w:kern w:val="2"/>
                <w:sz w:val="18"/>
                <w:szCs w:val="18"/>
              </w:rPr>
              <w:t>213003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48" w:hRule="atLeast"/>
          <w:jc w:val="center"/>
        </w:trPr>
        <w:tc>
          <w:tcPr>
            <w:tcW w:w="400"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合计</w:t>
            </w:r>
          </w:p>
        </w:tc>
        <w:tc>
          <w:tcPr>
            <w:tcW w:w="1172"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888"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596"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2"/>
                <w:sz w:val="18"/>
                <w:szCs w:val="18"/>
              </w:rPr>
            </w:pPr>
            <w:r>
              <w:rPr>
                <w:rFonts w:hint="eastAsia" w:asciiTheme="minorEastAsia" w:hAnsiTheme="minorEastAsia" w:eastAsiaTheme="minorEastAsia"/>
                <w:kern w:val="2"/>
                <w:sz w:val="18"/>
                <w:szCs w:val="18"/>
              </w:rPr>
              <w:t>/</w:t>
            </w:r>
          </w:p>
        </w:tc>
        <w:tc>
          <w:tcPr>
            <w:tcW w:w="588"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217.86</w:t>
            </w:r>
          </w:p>
        </w:tc>
        <w:tc>
          <w:tcPr>
            <w:tcW w:w="672"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w:t>
            </w:r>
          </w:p>
        </w:tc>
        <w:tc>
          <w:tcPr>
            <w:tcW w:w="680" w:type="pct"/>
            <w:tcBorders>
              <w:top w:val="nil"/>
              <w:left w:val="nil"/>
              <w:bottom w:val="single" w:color="auto" w:sz="4" w:space="0"/>
              <w:right w:val="single" w:color="auto" w:sz="4" w:space="0"/>
            </w:tcBorders>
            <w:shd w:val="clear" w:color="auto" w:fill="auto"/>
            <w:noWrap/>
            <w:vAlign w:val="center"/>
          </w:tcPr>
          <w:p>
            <w:pPr>
              <w:jc w:val="center"/>
              <w:rPr>
                <w:rFonts w:cs="宋体"/>
                <w:kern w:val="2"/>
                <w:sz w:val="18"/>
                <w:szCs w:val="18"/>
              </w:rPr>
            </w:pPr>
            <w:r>
              <w:rPr>
                <w:rFonts w:hint="eastAsia" w:asciiTheme="minorEastAsia" w:hAnsiTheme="minorEastAsia" w:eastAsiaTheme="minorEastAsia"/>
                <w:kern w:val="2"/>
                <w:sz w:val="18"/>
                <w:szCs w:val="18"/>
              </w:rPr>
              <w:t>4407918</w:t>
            </w:r>
          </w:p>
        </w:tc>
      </w:tr>
    </w:tbl>
    <w:p>
      <w:pPr>
        <w:pStyle w:val="3"/>
        <w:wordWrap w:val="0"/>
      </w:pPr>
      <w:bookmarkStart w:id="16" w:name="_Toc16160"/>
      <w:r>
        <w:rPr>
          <w:rFonts w:hint="eastAsia"/>
          <w:sz w:val="24"/>
          <w:szCs w:val="24"/>
        </w:rPr>
        <w:t>(十二)评估专业人员</w:t>
      </w:r>
      <w:bookmarkEnd w:id="1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517"/>
        <w:gridCol w:w="1835"/>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r>
              <w:rPr>
                <w:rFonts w:hint="eastAsia" w:asciiTheme="minorEastAsia" w:hAnsiTheme="minorEastAsia" w:eastAsiaTheme="minorEastAsia"/>
                <w:b/>
                <w:bCs/>
                <w:kern w:val="2"/>
                <w:sz w:val="24"/>
                <w:szCs w:val="24"/>
              </w:rPr>
              <w:t>姓名</w:t>
            </w:r>
          </w:p>
        </w:tc>
        <w:tc>
          <w:tcPr>
            <w:tcW w:w="1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r>
              <w:rPr>
                <w:rFonts w:hint="eastAsia" w:asciiTheme="minorEastAsia" w:hAnsiTheme="minorEastAsia" w:eastAsiaTheme="minorEastAsia"/>
                <w:b/>
                <w:bCs/>
                <w:kern w:val="2"/>
                <w:sz w:val="24"/>
                <w:szCs w:val="24"/>
              </w:rPr>
              <w:t>注册号</w:t>
            </w:r>
          </w:p>
        </w:tc>
        <w:tc>
          <w:tcPr>
            <w:tcW w:w="183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spacing w:val="60"/>
                <w:kern w:val="2"/>
                <w:sz w:val="24"/>
                <w:szCs w:val="24"/>
              </w:rPr>
            </w:pPr>
            <w:r>
              <w:rPr>
                <w:rFonts w:hint="eastAsia" w:asciiTheme="minorEastAsia" w:hAnsiTheme="minorEastAsia" w:eastAsiaTheme="minorEastAsia"/>
                <w:b/>
                <w:bCs/>
                <w:spacing w:val="60"/>
                <w:kern w:val="2"/>
                <w:sz w:val="24"/>
                <w:szCs w:val="24"/>
              </w:rPr>
              <w:t>签名</w:t>
            </w:r>
          </w:p>
        </w:tc>
        <w:tc>
          <w:tcPr>
            <w:tcW w:w="265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r>
              <w:rPr>
                <w:rFonts w:hint="eastAsia" w:asciiTheme="minorEastAsia" w:hAnsiTheme="minorEastAsia" w:eastAsiaTheme="minorEastAsia"/>
                <w:b/>
                <w:bCs/>
                <w:kern w:val="2"/>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cs="仿宋_GB2312" w:asciiTheme="minorEastAsia" w:hAnsiTheme="minorEastAsia"/>
                <w:bCs/>
                <w:kern w:val="2"/>
                <w:sz w:val="24"/>
                <w:szCs w:val="24"/>
              </w:rPr>
            </w:pPr>
            <w:r>
              <w:rPr>
                <w:rFonts w:hint="eastAsia" w:asciiTheme="minorEastAsia" w:hAnsiTheme="minorEastAsia" w:eastAsiaTheme="minorEastAsia"/>
                <w:bCs/>
                <w:kern w:val="2"/>
                <w:sz w:val="24"/>
                <w:szCs w:val="24"/>
              </w:rPr>
              <w:t>阳金波</w:t>
            </w:r>
          </w:p>
          <w:p>
            <w:pPr>
              <w:wordWrap w:val="0"/>
              <w:snapToGrid w:val="0"/>
              <w:spacing w:line="240" w:lineRule="auto"/>
              <w:jc w:val="center"/>
              <w:rPr>
                <w:rFonts w:cs="仿宋_GB2312" w:asciiTheme="minorEastAsia" w:hAnsiTheme="minorEastAsia"/>
                <w:bCs/>
                <w:kern w:val="2"/>
                <w:sz w:val="24"/>
                <w:szCs w:val="24"/>
              </w:rPr>
            </w:pPr>
            <w:r>
              <w:rPr>
                <w:rFonts w:hint="eastAsia" w:asciiTheme="minorEastAsia" w:hAnsiTheme="minorEastAsia" w:eastAsiaTheme="minorEastAsia"/>
                <w:bCs/>
                <w:kern w:val="2"/>
                <w:sz w:val="24"/>
                <w:szCs w:val="24"/>
              </w:rPr>
              <w:t>(注册房地产估价师)</w:t>
            </w:r>
          </w:p>
        </w:tc>
        <w:tc>
          <w:tcPr>
            <w:tcW w:w="1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Cs/>
                <w:kern w:val="2"/>
                <w:sz w:val="24"/>
                <w:szCs w:val="24"/>
              </w:rPr>
            </w:pPr>
            <w:r>
              <w:rPr>
                <w:rFonts w:hint="eastAsia" w:asciiTheme="minorEastAsia" w:hAnsiTheme="minorEastAsia" w:eastAsiaTheme="minorEastAsia"/>
                <w:kern w:val="2"/>
                <w:sz w:val="24"/>
                <w:szCs w:val="24"/>
              </w:rPr>
              <w:t>4420110064</w:t>
            </w:r>
          </w:p>
        </w:tc>
        <w:tc>
          <w:tcPr>
            <w:tcW w:w="183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p>
        </w:tc>
        <w:tc>
          <w:tcPr>
            <w:tcW w:w="265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r>
              <w:rPr>
                <w:rFonts w:hint="eastAsia" w:asciiTheme="minorEastAsia" w:hAnsiTheme="minorEastAsia" w:eastAsiaTheme="minorEastAsia"/>
                <w:kern w:val="2"/>
                <w:sz w:val="24"/>
                <w:szCs w:val="24"/>
              </w:rPr>
              <w:t>二〇二二年五月十一日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cs="仿宋_GB2312" w:asciiTheme="minorEastAsia" w:hAnsiTheme="minorEastAsia"/>
                <w:bCs/>
                <w:kern w:val="2"/>
                <w:sz w:val="24"/>
                <w:szCs w:val="24"/>
              </w:rPr>
            </w:pPr>
            <w:r>
              <w:rPr>
                <w:rFonts w:hint="eastAsia" w:asciiTheme="minorEastAsia" w:hAnsiTheme="minorEastAsia" w:eastAsiaTheme="minorEastAsia"/>
                <w:bCs/>
                <w:kern w:val="2"/>
                <w:sz w:val="24"/>
                <w:szCs w:val="24"/>
              </w:rPr>
              <w:t>李文婷</w:t>
            </w:r>
          </w:p>
          <w:p>
            <w:pPr>
              <w:wordWrap w:val="0"/>
              <w:snapToGrid w:val="0"/>
              <w:spacing w:line="240" w:lineRule="auto"/>
              <w:jc w:val="center"/>
              <w:rPr>
                <w:rFonts w:cs="仿宋_GB2312" w:asciiTheme="minorEastAsia" w:hAnsiTheme="minorEastAsia"/>
                <w:bCs/>
                <w:kern w:val="2"/>
                <w:sz w:val="24"/>
                <w:szCs w:val="24"/>
              </w:rPr>
            </w:pPr>
            <w:r>
              <w:rPr>
                <w:rFonts w:hint="eastAsia" w:asciiTheme="minorEastAsia" w:hAnsiTheme="minorEastAsia" w:eastAsiaTheme="minorEastAsia"/>
                <w:bCs/>
                <w:kern w:val="2"/>
                <w:sz w:val="24"/>
                <w:szCs w:val="24"/>
              </w:rPr>
              <w:t>(注册房地产估价师)</w:t>
            </w:r>
          </w:p>
        </w:tc>
        <w:tc>
          <w:tcPr>
            <w:tcW w:w="1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Cs/>
                <w:kern w:val="2"/>
                <w:sz w:val="24"/>
                <w:szCs w:val="24"/>
              </w:rPr>
            </w:pPr>
            <w:r>
              <w:rPr>
                <w:rFonts w:hint="eastAsia" w:asciiTheme="minorEastAsia" w:hAnsiTheme="minorEastAsia" w:eastAsiaTheme="minorEastAsia"/>
                <w:kern w:val="2"/>
                <w:sz w:val="24"/>
                <w:szCs w:val="24"/>
              </w:rPr>
              <w:t>4420200053</w:t>
            </w:r>
          </w:p>
        </w:tc>
        <w:tc>
          <w:tcPr>
            <w:tcW w:w="183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p>
        </w:tc>
        <w:tc>
          <w:tcPr>
            <w:tcW w:w="265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uto"/>
              <w:jc w:val="center"/>
              <w:rPr>
                <w:rFonts w:asciiTheme="minorEastAsia" w:hAnsiTheme="minorEastAsia"/>
                <w:b/>
                <w:bCs/>
                <w:kern w:val="2"/>
                <w:sz w:val="24"/>
                <w:szCs w:val="24"/>
              </w:rPr>
            </w:pPr>
            <w:r>
              <w:rPr>
                <w:rFonts w:hint="eastAsia" w:asciiTheme="minorEastAsia" w:hAnsiTheme="minorEastAsia" w:eastAsiaTheme="minorEastAsia"/>
                <w:kern w:val="2"/>
                <w:sz w:val="24"/>
                <w:szCs w:val="24"/>
              </w:rPr>
              <w:t>二〇二二年五月十一日</w:t>
            </w:r>
          </w:p>
        </w:tc>
      </w:tr>
    </w:tbl>
    <w:p>
      <w:pPr>
        <w:pStyle w:val="3"/>
        <w:wordWrap w:val="0"/>
      </w:pPr>
      <w:bookmarkStart w:id="17" w:name="_Toc19661"/>
      <w:r>
        <w:rPr>
          <w:sz w:val="24"/>
          <w:szCs w:val="24"/>
        </w:rPr>
        <w:t>(十</w:t>
      </w:r>
      <w:r>
        <w:rPr>
          <w:rFonts w:hint="eastAsia"/>
          <w:sz w:val="24"/>
          <w:szCs w:val="24"/>
        </w:rPr>
        <w:t>三</w:t>
      </w:r>
      <w:r>
        <w:rPr>
          <w:sz w:val="24"/>
          <w:szCs w:val="24"/>
        </w:rPr>
        <w:t>)实地查勘日期</w:t>
      </w:r>
      <w:bookmarkEnd w:id="17"/>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本公司估价专业人员于二〇二二年四月二十九日对估价对象进行了现场查勘。</w:t>
      </w:r>
    </w:p>
    <w:p>
      <w:pPr>
        <w:pStyle w:val="3"/>
        <w:wordWrap w:val="0"/>
      </w:pPr>
      <w:bookmarkStart w:id="18" w:name="_Toc24236"/>
      <w:r>
        <w:rPr>
          <w:sz w:val="24"/>
          <w:szCs w:val="24"/>
        </w:rPr>
        <w:t>(十</w:t>
      </w:r>
      <w:r>
        <w:rPr>
          <w:rFonts w:hint="eastAsia"/>
          <w:sz w:val="24"/>
          <w:szCs w:val="24"/>
        </w:rPr>
        <w:t>四</w:t>
      </w:r>
      <w:r>
        <w:rPr>
          <w:sz w:val="24"/>
          <w:szCs w:val="24"/>
        </w:rPr>
        <w:t>)估价作业日期</w:t>
      </w:r>
      <w:bookmarkEnd w:id="18"/>
    </w:p>
    <w:p>
      <w:pPr>
        <w:wordWrap w:val="0"/>
        <w:spacing w:line="360" w:lineRule="auto"/>
        <w:ind w:firstLine="480" w:firstLineChars="200"/>
        <w:jc w:val="left"/>
        <w:textAlignment w:val="auto"/>
        <w:rPr>
          <w:rFonts w:eastAsiaTheme="minorEastAsia"/>
        </w:rPr>
      </w:pPr>
      <w:r>
        <w:rPr>
          <w:rFonts w:hint="eastAsia" w:asciiTheme="minorEastAsia" w:hAnsiTheme="minorEastAsia" w:eastAsiaTheme="minorEastAsia"/>
          <w:position w:val="-1"/>
          <w:sz w:val="24"/>
          <w:szCs w:val="24"/>
        </w:rPr>
        <w:t>二〇二二年三月二十四日至二〇二二年五月十一日</w:t>
      </w:r>
    </w:p>
    <w:p>
      <w:pPr>
        <w:pStyle w:val="3"/>
        <w:wordWrap w:val="0"/>
      </w:pPr>
      <w:bookmarkStart w:id="19" w:name="_Toc4174"/>
      <w:r>
        <w:rPr>
          <w:sz w:val="24"/>
          <w:szCs w:val="24"/>
        </w:rPr>
        <w:t>(十</w:t>
      </w:r>
      <w:r>
        <w:rPr>
          <w:rFonts w:hint="eastAsia"/>
          <w:sz w:val="24"/>
          <w:szCs w:val="24"/>
        </w:rPr>
        <w:t>五</w:t>
      </w:r>
      <w:r>
        <w:rPr>
          <w:sz w:val="24"/>
          <w:szCs w:val="24"/>
        </w:rPr>
        <w:t>)估价</w:t>
      </w:r>
      <w:r>
        <w:rPr>
          <w:rFonts w:hint="eastAsia"/>
          <w:sz w:val="24"/>
          <w:szCs w:val="24"/>
        </w:rPr>
        <w:t>报告使用期限</w:t>
      </w:r>
      <w:bookmarkEnd w:id="19"/>
    </w:p>
    <w:p>
      <w:pPr>
        <w:wordWrap w:val="0"/>
        <w:spacing w:line="360" w:lineRule="auto"/>
        <w:ind w:firstLine="480" w:firstLineChars="200"/>
        <w:jc w:val="left"/>
        <w:textAlignment w:val="auto"/>
      </w:pPr>
      <w:r>
        <w:rPr>
          <w:rFonts w:hint="eastAsia" w:asciiTheme="minorEastAsia" w:hAnsiTheme="minorEastAsia" w:eastAsiaTheme="minorEastAsia"/>
          <w:position w:val="-1"/>
          <w:sz w:val="24"/>
          <w:szCs w:val="24"/>
        </w:rPr>
        <w:t>鉴于估价对象所在地目前的房地产市场行情变化状况，本估价报告使用期限为自估价报告出具之日起壹年(自2022年05月11日至2023年05月11日止)。</w:t>
      </w:r>
    </w:p>
    <w:p>
      <w:pPr>
        <w:spacing w:line="360" w:lineRule="auto"/>
        <w:ind w:firstLine="3360" w:firstLineChars="1400"/>
        <w:jc w:val="left"/>
        <w:textAlignment w:val="auto"/>
      </w:pPr>
      <w:r>
        <w:rPr>
          <w:rFonts w:hint="eastAsia" w:asciiTheme="minorEastAsia" w:hAnsiTheme="minorEastAsia" w:eastAsiaTheme="minorEastAsia"/>
          <w:position w:val="-1"/>
          <w:sz w:val="24"/>
          <w:szCs w:val="24"/>
        </w:rPr>
        <w:t>广东正拓土地房地产与资产评估有限公司</w:t>
      </w:r>
    </w:p>
    <w:p>
      <w:pPr>
        <w:spacing w:line="360" w:lineRule="auto"/>
        <w:ind w:firstLine="4483" w:firstLineChars="1868"/>
        <w:jc w:val="left"/>
        <w:textAlignment w:val="auto"/>
      </w:pPr>
      <w:r>
        <w:rPr>
          <w:rFonts w:hint="eastAsia" w:asciiTheme="minorEastAsia" w:hAnsiTheme="minorEastAsia" w:eastAsiaTheme="minorEastAsia"/>
          <w:position w:val="-1"/>
          <w:sz w:val="24"/>
          <w:szCs w:val="24"/>
        </w:rPr>
        <w:t>二〇二二年五月十一日</w:t>
      </w:r>
    </w:p>
    <w:p>
      <w:r>
        <w:br w:type="page"/>
      </w:r>
    </w:p>
    <w:p>
      <w:pPr>
        <w:pStyle w:val="2"/>
        <w:numPr>
          <w:ilvl w:val="0"/>
          <w:numId w:val="2"/>
        </w:numPr>
        <w:wordWrap w:val="0"/>
        <w:ind w:left="0" w:firstLine="0"/>
      </w:pPr>
      <w:bookmarkStart w:id="20" w:name="_Toc15831"/>
      <w:r>
        <w:rPr>
          <w:rFonts w:hint="eastAsia"/>
        </w:rPr>
        <w:t>附   件</w:t>
      </w:r>
      <w:bookmarkEnd w:id="20"/>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估价对象照片及方位图</w:t>
      </w:r>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《广东省珠海市香洲区人民法院价格评估委托书》</w:t>
      </w:r>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《广州市不动产登记查册表》</w:t>
      </w:r>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估价机构企业法人营业执照</w:t>
      </w:r>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估价机构资格证</w:t>
      </w:r>
    </w:p>
    <w:p>
      <w:pPr>
        <w:pStyle w:val="30"/>
        <w:numPr>
          <w:ilvl w:val="0"/>
          <w:numId w:val="6"/>
        </w:numPr>
        <w:spacing w:line="360" w:lineRule="auto"/>
        <w:ind w:firstLineChars="0"/>
        <w:jc w:val="left"/>
        <w:textAlignment w:val="auto"/>
        <w:rPr>
          <w:rFonts w:asciiTheme="minorEastAsia" w:hAnsiTheme="minorEastAsia" w:eastAsiaTheme="minorEastAsia"/>
          <w:position w:val="-1"/>
          <w:sz w:val="24"/>
          <w:szCs w:val="24"/>
        </w:rPr>
      </w:pPr>
      <w:r>
        <w:rPr>
          <w:rFonts w:hint="eastAsia" w:asciiTheme="minorEastAsia" w:hAnsiTheme="minorEastAsia" w:eastAsiaTheme="minorEastAsia"/>
          <w:position w:val="-1"/>
          <w:sz w:val="24"/>
          <w:szCs w:val="24"/>
        </w:rPr>
        <w:t>估价人员资格证</w:t>
      </w:r>
    </w:p>
    <w:p>
      <w:pPr>
        <w:pStyle w:val="30"/>
        <w:spacing w:line="360" w:lineRule="auto"/>
        <w:ind w:left="1620" w:firstLine="0" w:firstLineChars="0"/>
        <w:jc w:val="left"/>
        <w:textAlignment w:val="auto"/>
        <w:rPr>
          <w:rFonts w:asciiTheme="minorEastAsia" w:hAnsiTheme="minorEastAsia" w:eastAsiaTheme="minorEastAsia"/>
          <w:position w:val="-1"/>
          <w:sz w:val="24"/>
          <w:szCs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655927"/>
    </w:sdtPr>
    <w:sdtContent>
      <w:p>
        <w:pPr>
          <w:pStyle w:val="8"/>
          <w:jc w:val="center"/>
        </w:pPr>
        <w:r>
          <w:fldChar w:fldCharType="begin"/>
        </w:r>
        <w:r>
          <w:instrText xml:space="preserve">PAGE   \* MERGEFORMAT</w:instrText>
        </w:r>
        <w:r>
          <w:fldChar w:fldCharType="separate"/>
        </w:r>
        <w:r>
          <w:rPr>
            <w:lang w:val="zh-CN"/>
          </w:rPr>
          <w:t>22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sz w:val="21"/>
      </w:rPr>
      <w:drawing>
        <wp:inline distT="0" distB="0" distL="0" distR="0">
          <wp:extent cx="914400" cy="271780"/>
          <wp:effectExtent l="0" t="0" r="0" b="0"/>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4400" cy="271780"/>
                  </a:xfrm>
                  <a:prstGeom prst="rect">
                    <a:avLst/>
                  </a:prstGeom>
                  <a:noFill/>
                  <a:ln>
                    <a:noFill/>
                  </a:ln>
                </pic:spPr>
              </pic:pic>
            </a:graphicData>
          </a:graphic>
        </wp:inline>
      </w:drawing>
    </w:r>
    <w:r>
      <w:rPr>
        <w:rFonts w:ascii="华文行楷" w:hAnsi="Arial Narrow" w:eastAsia="华文行楷"/>
        <w:bCs/>
        <w:color w:val="FF0000"/>
      </w:rPr>
      <w:ptab w:relativeTo="margin" w:alignment="center" w:leader="none"/>
    </w:r>
    <w:r>
      <w:rPr>
        <w:rFonts w:ascii="华文行楷" w:hAnsi="Arial Narrow" w:eastAsia="华文行楷"/>
        <w:bCs/>
        <w:color w:val="FF0000"/>
      </w:rPr>
      <w:ptab w:relativeTo="margin" w:alignment="right" w:leader="none"/>
    </w:r>
    <w:r>
      <w:rPr>
        <w:rFonts w:hint="eastAsia"/>
      </w:rPr>
      <w:t>电话：0756-3232372   3232373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DF4AB"/>
    <w:multiLevelType w:val="singleLevel"/>
    <w:tmpl w:val="D47DF4AB"/>
    <w:lvl w:ilvl="0" w:tentative="0">
      <w:start w:val="2"/>
      <w:numFmt w:val="decimal"/>
      <w:suff w:val="nothing"/>
      <w:lvlText w:val="%1、"/>
      <w:lvlJc w:val="left"/>
    </w:lvl>
  </w:abstractNum>
  <w:abstractNum w:abstractNumId="1">
    <w:nsid w:val="12BE2864"/>
    <w:multiLevelType w:val="multilevel"/>
    <w:tmpl w:val="12BE2864"/>
    <w:lvl w:ilvl="0" w:tentative="0">
      <w:start w:val="1"/>
      <w:numFmt w:val="decimal"/>
      <w:lvlText w:val="(%1)"/>
      <w:lvlJc w:val="left"/>
      <w:pPr>
        <w:ind w:left="900" w:hanging="420"/>
      </w:pPr>
      <w:rPr>
        <w:rFonts w:hint="default" w:ascii="宋体" w:hAnsi="宋体" w:eastAsia="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9987528"/>
    <w:multiLevelType w:val="multilevel"/>
    <w:tmpl w:val="29987528"/>
    <w:lvl w:ilvl="0" w:tentative="0">
      <w:start w:val="1"/>
      <w:numFmt w:val="decimal"/>
      <w:lvlText w:val="(%1)"/>
      <w:lvlJc w:val="left"/>
      <w:pPr>
        <w:ind w:left="1696" w:hanging="420"/>
      </w:pPr>
      <w:rPr>
        <w:rFonts w:hint="eastAsia" w:eastAsia="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2BF0F81"/>
    <w:multiLevelType w:val="multilevel"/>
    <w:tmpl w:val="32BF0F81"/>
    <w:lvl w:ilvl="0" w:tentative="0">
      <w:start w:val="1"/>
      <w:numFmt w:val="decimal"/>
      <w:lvlText w:val="%1."/>
      <w:lvlJc w:val="right"/>
      <w:pPr>
        <w:ind w:left="1620" w:hanging="420"/>
      </w:pPr>
      <w:rPr>
        <w:rFonts w:hint="eastAsia"/>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
    <w:nsid w:val="5C921658"/>
    <w:multiLevelType w:val="multilevel"/>
    <w:tmpl w:val="5C921658"/>
    <w:lvl w:ilvl="0" w:tentative="0">
      <w:start w:val="1"/>
      <w:numFmt w:val="decimal"/>
      <w:lvlText w:val="%1、"/>
      <w:lvlJc w:val="left"/>
      <w:pPr>
        <w:tabs>
          <w:tab w:val="left" w:pos="0"/>
        </w:tabs>
        <w:ind w:left="0" w:firstLine="0"/>
      </w:pPr>
      <w:rPr>
        <w:rFonts w:hint="default" w:cs="宋体"/>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97735E"/>
    <w:multiLevelType w:val="multilevel"/>
    <w:tmpl w:val="7997735E"/>
    <w:lvl w:ilvl="0" w:tentative="0">
      <w:start w:val="1"/>
      <w:numFmt w:val="chineseCountingThousand"/>
      <w:lvlText w:val="%1、"/>
      <w:lvlJc w:val="left"/>
      <w:pPr>
        <w:ind w:left="8477" w:hanging="397"/>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JjZjBkNjMwOTFmZDdjZTU4MjY0Yzg3ZjA3MjI1YWQifQ=="/>
  </w:docVars>
  <w:rsids>
    <w:rsidRoot w:val="000650C4"/>
    <w:rsid w:val="00047470"/>
    <w:rsid w:val="000650C4"/>
    <w:rsid w:val="000E4CF9"/>
    <w:rsid w:val="000F4749"/>
    <w:rsid w:val="00122D66"/>
    <w:rsid w:val="001D1436"/>
    <w:rsid w:val="00255530"/>
    <w:rsid w:val="002E302F"/>
    <w:rsid w:val="003E3838"/>
    <w:rsid w:val="003F0844"/>
    <w:rsid w:val="004B7395"/>
    <w:rsid w:val="004E3AF8"/>
    <w:rsid w:val="004F4EF4"/>
    <w:rsid w:val="00566400"/>
    <w:rsid w:val="0063357B"/>
    <w:rsid w:val="00656E33"/>
    <w:rsid w:val="006A0614"/>
    <w:rsid w:val="00731D63"/>
    <w:rsid w:val="00735942"/>
    <w:rsid w:val="007A1669"/>
    <w:rsid w:val="007A4425"/>
    <w:rsid w:val="00835647"/>
    <w:rsid w:val="0089119F"/>
    <w:rsid w:val="00951FE8"/>
    <w:rsid w:val="00994668"/>
    <w:rsid w:val="009F5D83"/>
    <w:rsid w:val="00A208F5"/>
    <w:rsid w:val="00B139A6"/>
    <w:rsid w:val="00B408A0"/>
    <w:rsid w:val="00BE31E6"/>
    <w:rsid w:val="00D8158B"/>
    <w:rsid w:val="00DE3F5C"/>
    <w:rsid w:val="00E14F08"/>
    <w:rsid w:val="00F06A58"/>
    <w:rsid w:val="00F11A8F"/>
    <w:rsid w:val="00F13C6E"/>
    <w:rsid w:val="00F252B8"/>
    <w:rsid w:val="00F706B3"/>
    <w:rsid w:val="00F7628D"/>
    <w:rsid w:val="00FA028A"/>
    <w:rsid w:val="00FB4815"/>
    <w:rsid w:val="00FB7FAB"/>
    <w:rsid w:val="0ADE71DF"/>
    <w:rsid w:val="114D6B28"/>
    <w:rsid w:val="13573133"/>
    <w:rsid w:val="15CC5ABB"/>
    <w:rsid w:val="1BC976E2"/>
    <w:rsid w:val="1CE536FF"/>
    <w:rsid w:val="2A792BF6"/>
    <w:rsid w:val="3C2C7291"/>
    <w:rsid w:val="40267A05"/>
    <w:rsid w:val="445E2697"/>
    <w:rsid w:val="4573165D"/>
    <w:rsid w:val="4CA54A99"/>
    <w:rsid w:val="51F14517"/>
    <w:rsid w:val="52A1710A"/>
    <w:rsid w:val="5CE40097"/>
    <w:rsid w:val="641C3193"/>
    <w:rsid w:val="647856D1"/>
    <w:rsid w:val="675D5980"/>
    <w:rsid w:val="68586B5E"/>
    <w:rsid w:val="6D7A43AE"/>
    <w:rsid w:val="71AF1363"/>
    <w:rsid w:val="73984633"/>
    <w:rsid w:val="79882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宋体" w:hAnsi="宋体" w:eastAsia="宋体" w:cs="Times New Roman"/>
      <w:sz w:val="21"/>
      <w:lang w:val="en-US" w:eastAsia="zh-CN" w:bidi="ar-SA"/>
    </w:rPr>
  </w:style>
  <w:style w:type="paragraph" w:styleId="2">
    <w:name w:val="heading 1"/>
    <w:basedOn w:val="1"/>
    <w:next w:val="1"/>
    <w:link w:val="23"/>
    <w:qFormat/>
    <w:uiPriority w:val="0"/>
    <w:pPr>
      <w:keepNext/>
      <w:keepLines/>
      <w:topLinePunct/>
      <w:adjustRightInd/>
      <w:spacing w:line="240" w:lineRule="auto"/>
      <w:ind w:left="8477" w:hanging="397"/>
      <w:jc w:val="center"/>
      <w:textAlignment w:val="auto"/>
      <w:outlineLvl w:val="0"/>
    </w:pPr>
    <w:rPr>
      <w:rFonts w:cs="Arial" w:asciiTheme="minorEastAsia" w:hAnsiTheme="minorEastAsia" w:eastAsiaTheme="minorEastAsia"/>
      <w:b/>
      <w:bCs/>
      <w:kern w:val="2"/>
      <w:sz w:val="32"/>
      <w:szCs w:val="32"/>
    </w:rPr>
  </w:style>
  <w:style w:type="paragraph" w:styleId="3">
    <w:name w:val="heading 2"/>
    <w:basedOn w:val="1"/>
    <w:next w:val="1"/>
    <w:link w:val="24"/>
    <w:unhideWhenUsed/>
    <w:qFormat/>
    <w:uiPriority w:val="9"/>
    <w:pPr>
      <w:keepNext/>
      <w:keepLines/>
      <w:spacing w:line="480"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tLeast"/>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semiHidden/>
    <w:unhideWhenUsed/>
    <w:qFormat/>
    <w:uiPriority w:val="99"/>
    <w:rPr>
      <w:sz w:val="18"/>
      <w:szCs w:val="18"/>
    </w:rPr>
  </w:style>
  <w:style w:type="paragraph" w:styleId="6">
    <w:name w:val="annotation text"/>
    <w:basedOn w:val="1"/>
    <w:link w:val="32"/>
    <w:semiHidden/>
    <w:unhideWhenUsed/>
    <w:qFormat/>
    <w:uiPriority w:val="99"/>
    <w:pPr>
      <w:jc w:val="left"/>
    </w:pPr>
  </w:style>
  <w:style w:type="paragraph" w:styleId="7">
    <w:name w:val="Balloon Text"/>
    <w:basedOn w:val="1"/>
    <w:link w:val="29"/>
    <w:semiHidden/>
    <w:unhideWhenUsed/>
    <w:qFormat/>
    <w:uiPriority w:val="99"/>
    <w:pPr>
      <w:spacing w:line="240" w:lineRule="auto"/>
    </w:pPr>
    <w:rPr>
      <w:rFonts w:ascii="Times New Roman" w:hAnsi="Times New Roman"/>
      <w:sz w:val="18"/>
      <w:szCs w:val="18"/>
    </w:rPr>
  </w:style>
  <w:style w:type="paragraph" w:styleId="8">
    <w:name w:val="footer"/>
    <w:basedOn w:val="1"/>
    <w:link w:val="28"/>
    <w:unhideWhenUsed/>
    <w:qFormat/>
    <w:uiPriority w:val="99"/>
    <w:pPr>
      <w:tabs>
        <w:tab w:val="center" w:pos="4153"/>
        <w:tab w:val="right" w:pos="8306"/>
      </w:tabs>
      <w:snapToGrid w:val="0"/>
      <w:spacing w:line="240" w:lineRule="atLeast"/>
      <w:jc w:val="left"/>
    </w:pPr>
    <w:rPr>
      <w:rFonts w:ascii="Times New Roman" w:hAnsi="Times New Roman"/>
      <w:sz w:val="18"/>
      <w:szCs w:val="18"/>
    </w:rPr>
  </w:style>
  <w:style w:type="paragraph" w:styleId="9">
    <w:name w:val="header"/>
    <w:basedOn w:val="1"/>
    <w:link w:val="27"/>
    <w:unhideWhenUsed/>
    <w:qFormat/>
    <w:uiPriority w:val="0"/>
    <w:pPr>
      <w:pBdr>
        <w:bottom w:val="single" w:color="auto" w:sz="6" w:space="1"/>
      </w:pBdr>
      <w:tabs>
        <w:tab w:val="center" w:pos="4153"/>
        <w:tab w:val="right" w:pos="8306"/>
      </w:tabs>
      <w:snapToGrid w:val="0"/>
      <w:spacing w:line="240" w:lineRule="atLeast"/>
      <w:jc w:val="center"/>
    </w:pPr>
    <w:rPr>
      <w:rFonts w:ascii="Times New Roman" w:hAnsi="Times New Roman"/>
      <w:sz w:val="18"/>
      <w:szCs w:val="18"/>
    </w:rPr>
  </w:style>
  <w:style w:type="paragraph" w:styleId="10">
    <w:name w:val="toc 1"/>
    <w:basedOn w:val="1"/>
    <w:next w:val="1"/>
    <w:unhideWhenUsed/>
    <w:qFormat/>
    <w:uiPriority w:val="39"/>
    <w:pPr>
      <w:spacing w:line="360" w:lineRule="auto"/>
      <w:jc w:val="left"/>
    </w:pPr>
    <w:rPr>
      <w:rFonts w:asciiTheme="minorHAnsi" w:hAnsiTheme="minorHAnsi"/>
      <w:b/>
      <w:bCs/>
      <w:caps/>
      <w:sz w:val="24"/>
    </w:rPr>
  </w:style>
  <w:style w:type="paragraph" w:styleId="11">
    <w:name w:val="footnote text"/>
    <w:basedOn w:val="1"/>
    <w:link w:val="26"/>
    <w:semiHidden/>
    <w:unhideWhenUsed/>
    <w:qFormat/>
    <w:uiPriority w:val="99"/>
    <w:pPr>
      <w:snapToGrid w:val="0"/>
      <w:jc w:val="left"/>
    </w:pPr>
    <w:rPr>
      <w:rFonts w:ascii="Times New Roman" w:hAnsi="Times New Roman"/>
      <w:sz w:val="18"/>
      <w:szCs w:val="18"/>
    </w:rPr>
  </w:style>
  <w:style w:type="paragraph" w:styleId="12">
    <w:name w:val="toc 2"/>
    <w:basedOn w:val="1"/>
    <w:next w:val="1"/>
    <w:unhideWhenUsed/>
    <w:qFormat/>
    <w:uiPriority w:val="39"/>
    <w:pPr>
      <w:spacing w:line="360" w:lineRule="auto"/>
      <w:ind w:left="210"/>
      <w:jc w:val="left"/>
    </w:pPr>
    <w:rPr>
      <w:rFonts w:asciiTheme="minorHAnsi" w:hAnsiTheme="minorHAnsi"/>
      <w:smallCaps/>
      <w:sz w:val="24"/>
    </w:rPr>
  </w:style>
  <w:style w:type="paragraph" w:styleId="13">
    <w:name w:val="Normal (Web)"/>
    <w:basedOn w:val="1"/>
    <w:semiHidden/>
    <w:unhideWhenUsed/>
    <w:qFormat/>
    <w:uiPriority w:val="99"/>
    <w:pPr>
      <w:widowControl/>
      <w:spacing w:beforeAutospacing="1" w:afterAutospacing="1"/>
      <w:jc w:val="left"/>
    </w:pPr>
    <w:rPr>
      <w:rFonts w:hint="eastAsia"/>
      <w:sz w:val="24"/>
      <w:szCs w:val="24"/>
    </w:rPr>
  </w:style>
  <w:style w:type="paragraph" w:styleId="14">
    <w:name w:val="annotation subject"/>
    <w:basedOn w:val="6"/>
    <w:next w:val="6"/>
    <w:link w:val="33"/>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Hyperlink"/>
    <w:basedOn w:val="17"/>
    <w:unhideWhenUsed/>
    <w:qFormat/>
    <w:uiPriority w:val="99"/>
    <w:rPr>
      <w:color w:val="0563C1" w:themeColor="hyperlink"/>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content1"/>
    <w:qFormat/>
    <w:uiPriority w:val="0"/>
    <w:rPr>
      <w:color w:val="000000"/>
      <w:kern w:val="2"/>
      <w:sz w:val="21"/>
      <w:szCs w:val="21"/>
    </w:rPr>
  </w:style>
  <w:style w:type="character" w:customStyle="1" w:styleId="23">
    <w:name w:val="标题 1 Char"/>
    <w:basedOn w:val="17"/>
    <w:link w:val="2"/>
    <w:qFormat/>
    <w:uiPriority w:val="0"/>
    <w:rPr>
      <w:rFonts w:cs="Arial" w:asciiTheme="minorEastAsia" w:hAnsiTheme="minorEastAsia"/>
      <w:b/>
      <w:bCs/>
      <w:kern w:val="2"/>
      <w:sz w:val="32"/>
      <w:szCs w:val="32"/>
    </w:rPr>
  </w:style>
  <w:style w:type="character" w:customStyle="1" w:styleId="24">
    <w:name w:val="标题 2 Char"/>
    <w:basedOn w:val="17"/>
    <w:link w:val="3"/>
    <w:qFormat/>
    <w:uiPriority w:val="9"/>
    <w:rPr>
      <w:rFonts w:asciiTheme="majorHAnsi" w:hAnsiTheme="majorHAnsi" w:eastAsiaTheme="majorEastAsia" w:cstheme="majorBidi"/>
      <w:b/>
      <w:bCs/>
      <w:sz w:val="32"/>
      <w:szCs w:val="32"/>
    </w:rPr>
  </w:style>
  <w:style w:type="character" w:customStyle="1" w:styleId="25">
    <w:name w:val="标题 3 Char"/>
    <w:basedOn w:val="17"/>
    <w:link w:val="4"/>
    <w:qFormat/>
    <w:uiPriority w:val="9"/>
    <w:rPr>
      <w:rFonts w:ascii="宋体" w:hAnsi="宋体" w:eastAsia="宋体" w:cs="Times New Roman"/>
      <w:b/>
      <w:bCs/>
      <w:sz w:val="32"/>
      <w:szCs w:val="32"/>
    </w:rPr>
  </w:style>
  <w:style w:type="character" w:customStyle="1" w:styleId="26">
    <w:name w:val="脚注文本 Char"/>
    <w:basedOn w:val="17"/>
    <w:link w:val="11"/>
    <w:semiHidden/>
    <w:qFormat/>
    <w:uiPriority w:val="99"/>
    <w:rPr>
      <w:rFonts w:ascii="Times New Roman" w:hAnsi="Times New Roman" w:eastAsia="宋体" w:cs="Times New Roman"/>
      <w:sz w:val="18"/>
      <w:szCs w:val="18"/>
    </w:rPr>
  </w:style>
  <w:style w:type="character" w:customStyle="1" w:styleId="27">
    <w:name w:val="页眉 Char"/>
    <w:basedOn w:val="17"/>
    <w:link w:val="9"/>
    <w:qFormat/>
    <w:uiPriority w:val="0"/>
    <w:rPr>
      <w:rFonts w:ascii="Times New Roman" w:hAnsi="Times New Roman" w:eastAsia="宋体" w:cs="Times New Roman"/>
      <w:sz w:val="18"/>
      <w:szCs w:val="18"/>
    </w:rPr>
  </w:style>
  <w:style w:type="character" w:customStyle="1" w:styleId="28">
    <w:name w:val="页脚 Char"/>
    <w:basedOn w:val="17"/>
    <w:link w:val="8"/>
    <w:qFormat/>
    <w:uiPriority w:val="99"/>
    <w:rPr>
      <w:rFonts w:ascii="Times New Roman" w:hAnsi="Times New Roman" w:eastAsia="宋体" w:cs="Times New Roman"/>
      <w:sz w:val="18"/>
      <w:szCs w:val="18"/>
    </w:rPr>
  </w:style>
  <w:style w:type="character" w:customStyle="1" w:styleId="29">
    <w:name w:val="批注框文本 Char"/>
    <w:basedOn w:val="17"/>
    <w:link w:val="7"/>
    <w:semiHidden/>
    <w:qFormat/>
    <w:uiPriority w:val="99"/>
    <w:rPr>
      <w:rFonts w:ascii="Times New Roman" w:hAnsi="Times New Roman" w:eastAsia="宋体" w:cs="Times New Roman"/>
      <w:sz w:val="18"/>
      <w:szCs w:val="18"/>
    </w:rPr>
  </w:style>
  <w:style w:type="paragraph" w:styleId="30">
    <w:name w:val="List Paragraph"/>
    <w:basedOn w:val="1"/>
    <w:link w:val="31"/>
    <w:qFormat/>
    <w:uiPriority w:val="34"/>
    <w:pPr>
      <w:ind w:firstLine="420" w:firstLineChars="200"/>
    </w:pPr>
  </w:style>
  <w:style w:type="character" w:customStyle="1" w:styleId="31">
    <w:name w:val="列出段落 Char"/>
    <w:link w:val="30"/>
    <w:qFormat/>
    <w:uiPriority w:val="34"/>
    <w:rPr>
      <w:rFonts w:ascii="宋体" w:hAnsi="宋体" w:eastAsia="宋体" w:cs="Times New Roman"/>
      <w:sz w:val="21"/>
    </w:rPr>
  </w:style>
  <w:style w:type="character" w:customStyle="1" w:styleId="32">
    <w:name w:val="批注文字 Char"/>
    <w:basedOn w:val="17"/>
    <w:link w:val="6"/>
    <w:semiHidden/>
    <w:qFormat/>
    <w:uiPriority w:val="99"/>
    <w:rPr>
      <w:rFonts w:ascii="宋体" w:hAnsi="宋体" w:eastAsia="宋体" w:cs="Times New Roman"/>
      <w:sz w:val="21"/>
    </w:rPr>
  </w:style>
  <w:style w:type="character" w:customStyle="1" w:styleId="33">
    <w:name w:val="批注主题 Char"/>
    <w:basedOn w:val="32"/>
    <w:link w:val="14"/>
    <w:semiHidden/>
    <w:qFormat/>
    <w:uiPriority w:val="99"/>
    <w:rPr>
      <w:rFonts w:ascii="宋体" w:hAnsi="宋体" w:eastAsia="宋体" w:cs="Times New Roman"/>
      <w:b/>
      <w:bCs/>
      <w:sz w:val="21"/>
    </w:rPr>
  </w:style>
  <w:style w:type="character" w:customStyle="1" w:styleId="34">
    <w:name w:val="文档结构图 Char"/>
    <w:basedOn w:val="17"/>
    <w:link w:val="5"/>
    <w:semiHidden/>
    <w:qFormat/>
    <w:uiPriority w:val="99"/>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4575-0C62-42B1-8CDB-3E95C0F4BE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11377</Words>
  <Characters>12372</Characters>
  <Lines>499</Lines>
  <Paragraphs>574</Paragraphs>
  <TotalTime>5</TotalTime>
  <ScaleCrop>false</ScaleCrop>
  <LinksUpToDate>false</LinksUpToDate>
  <CharactersWithSpaces>12488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2022-01-18T04:03:00Z</dcterms:created>
  <dc:creator>admin</dc:creator>
  <cp:lastModifiedBy>广东正拓评估</cp:lastModifiedBy>
  <cp:lastPrinted>2022-05-11T04:05:00Z</cp:lastPrinted>
  <dcterms:modified xsi:type="dcterms:W3CDTF">2022-05-12T07:04:31Z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752E59BC96374186B629AC1334F40A17</vt:lpwstr>
  </property>
</Properties>
</file>