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.........................13-20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（五）估价测算过程...............................15-20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（六）估价结果确定..................................20</w:t>
      </w:r>
      <w:bookmarkStart w:id="0" w:name="_GoBack"/>
      <w:bookmarkEnd w:id="0"/>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sz w:val="28"/>
          <w:szCs w:val="28"/>
          <w:lang w:val="en-US" w:eastAsia="zh-CN"/>
        </w:rPr>
        <w:t>孝感市孝南区</w:t>
      </w:r>
      <w:r>
        <w:rPr>
          <w:rFonts w:hint="eastAsia" w:ascii="仿宋_GB2312" w:hAnsi="宋体" w:eastAsia="仿宋_GB2312" w:cs="Times New Roman"/>
          <w:kern w:val="2"/>
          <w:sz w:val="28"/>
          <w:szCs w:val="28"/>
          <w:lang w:val="en-US" w:eastAsia="zh-CN" w:bidi="ar-SA"/>
        </w:rPr>
        <w:t>人民法院：</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lang w:val="en-US" w:eastAsia="zh-CN" w:bidi="ar-SA"/>
        </w:rPr>
        <w:t>受贵方（以下简称委托方）的委托，本公司于2021年09月02日派员对委托方列明的杨建光所有的位于孝感市董永路中段民邦槐荫东岸二期10幢1102室，建筑面积为100.74平方米的住宅房屋（含相关权益）进行了现场实地查勘，并对估价对象房地产于估价时点2020年09月02日的市场价值进行了估价，为委托方处理案件确定房地产处置参考价提供价格咨询参考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在整个估价过程中，估价人员本着独立、客观、公正的原则，根据估价目的，收集有关资料，按照估价程序，选择市场法对估价对象进行了评估。估价人员经过实地勘察和测算，确定估价对象在估价时点可能形成的市场价值为￥713138元(大写人民币柒拾壹万叁仟壹佰叁拾捌元整)。</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二○二一年九月九日</w:t>
      </w:r>
    </w:p>
    <w:p>
      <w:pPr>
        <w:jc w:val="both"/>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 w:hAnsi="仿宋" w:eastAsia="仿宋"/>
          <w:b/>
          <w:bCs/>
          <w:sz w:val="44"/>
          <w:szCs w:val="44"/>
          <w:lang w:val="en-US" w:eastAsia="zh-CN"/>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仿宋" w:eastAsia="仿宋_GB2312"/>
          <w:b w:val="0"/>
          <w:bCs/>
          <w:sz w:val="28"/>
          <w:szCs w:val="28"/>
          <w:lang w:val="en-US" w:eastAsia="zh-CN"/>
        </w:rPr>
        <w:t>3、当事人或其他利害关系人对本估价报告如有异议，可以在收到估价报告10日内以书面形式向人民法院提出。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4、估价结果是根据估价对象使用年限、现场勘查情况，结合市场实际交易实例，采用市场法进行综合估算的。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5、评估过程中未考虑该房屋产权抵押、查封后对估价结果的影响。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二○二一年九月九日</w:t>
      </w: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lang w:val="en-US" w:eastAsia="zh-CN"/>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80010</wp:posOffset>
                </wp:positionH>
                <wp:positionV relativeFrom="paragraph">
                  <wp:posOffset>346075</wp:posOffset>
                </wp:positionV>
                <wp:extent cx="5511800" cy="15240"/>
                <wp:effectExtent l="0" t="4445" r="12700" b="8890"/>
                <wp:wrapNone/>
                <wp:docPr id="1" name="直接连接符 1"/>
                <wp:cNvGraphicFramePr/>
                <a:graphic xmlns:a="http://schemas.openxmlformats.org/drawingml/2006/main">
                  <a:graphicData uri="http://schemas.microsoft.com/office/word/2010/wordprocessingShape">
                    <wps:wsp>
                      <wps:cNvCnPr/>
                      <wps:spPr>
                        <a:xfrm>
                          <a:off x="0" y="0"/>
                          <a:ext cx="5511800" cy="15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pt;margin-top:27.25pt;height:1.2pt;width:434pt;z-index:251661312;mso-width-relative:page;mso-height-relative:page;" filled="f" stroked="t" coordsize="21600,21600" o:gfxdata="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dG5bvVAAAACAEAAA8AAAAA&#10;AAAAAQAgAAAAIgAAAGRycy9kb3ducmV2LnhtbFBLAQIUABQAAAAIAIdO4kAwEdxg3gEAAJoDAAAO&#10;AAAAAAAAAAEAIAAAACQBAABkcnMvZTJvRG9jLnhtbFBLBQYAAAAABgAGAFkBAAB0BQ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71114</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eastAsia="zh-CN"/>
        </w:rPr>
      </w:pPr>
      <w:r>
        <w:rPr>
          <w:rFonts w:hint="eastAsia" w:ascii="仿宋" w:hAnsi="仿宋" w:eastAsia="仿宋"/>
          <w:b/>
          <w:bCs/>
          <w:sz w:val="32"/>
          <w:szCs w:val="32"/>
          <w:lang w:eastAsia="zh-CN"/>
        </w:rPr>
        <w:t>杨建光所有的</w:t>
      </w:r>
    </w:p>
    <w:p>
      <w:pPr>
        <w:jc w:val="center"/>
        <w:rPr>
          <w:rFonts w:hint="default" w:ascii="仿宋" w:hAnsi="仿宋" w:eastAsia="仿宋"/>
          <w:b/>
          <w:bCs/>
          <w:sz w:val="32"/>
          <w:szCs w:val="32"/>
          <w:lang w:val="en-US" w:eastAsia="zh-CN"/>
        </w:rPr>
      </w:pPr>
      <w:r>
        <w:rPr>
          <w:rFonts w:hint="eastAsia" w:ascii="仿宋" w:hAnsi="仿宋" w:eastAsia="仿宋"/>
          <w:b/>
          <w:bCs/>
          <w:sz w:val="32"/>
          <w:szCs w:val="32"/>
          <w:lang w:eastAsia="zh-CN"/>
        </w:rPr>
        <w:t>位于孝感市董永路中段民邦槐荫东岸二期</w:t>
      </w:r>
      <w:r>
        <w:rPr>
          <w:rFonts w:hint="eastAsia" w:ascii="仿宋" w:hAnsi="仿宋" w:eastAsia="仿宋"/>
          <w:b/>
          <w:bCs/>
          <w:sz w:val="32"/>
          <w:szCs w:val="32"/>
          <w:lang w:val="en-US" w:eastAsia="zh-CN"/>
        </w:rPr>
        <w:t>10幢1102室</w:t>
      </w:r>
    </w:p>
    <w:p>
      <w:pPr>
        <w:jc w:val="center"/>
        <w:rPr>
          <w:rFonts w:ascii="仿宋" w:hAnsi="仿宋" w:eastAsia="仿宋"/>
          <w:b/>
          <w:bCs/>
          <w:sz w:val="32"/>
          <w:szCs w:val="32"/>
        </w:rPr>
      </w:pPr>
      <w:r>
        <w:rPr>
          <w:rFonts w:hint="eastAsia" w:ascii="仿宋" w:hAnsi="仿宋" w:eastAsia="仿宋"/>
          <w:b/>
          <w:bCs/>
          <w:sz w:val="32"/>
          <w:szCs w:val="32"/>
        </w:rPr>
        <w:t>房地产估价结果报告</w:t>
      </w:r>
    </w:p>
    <w:p>
      <w:pPr>
        <w:jc w:val="cente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w:t>
      </w:r>
      <w:r>
        <w:rPr>
          <w:rFonts w:hint="eastAsia" w:ascii="仿宋_GB2312" w:hAnsi="宋体" w:eastAsia="仿宋_GB2312"/>
          <w:sz w:val="28"/>
          <w:szCs w:val="28"/>
          <w:lang w:val="en-US" w:eastAsia="zh-CN"/>
        </w:rPr>
        <w:t>孝感市孝南区</w:t>
      </w:r>
      <w:r>
        <w:rPr>
          <w:rFonts w:hint="eastAsia" w:ascii="仿宋_GB2312" w:hAnsi="宋体" w:eastAsia="仿宋_GB2312" w:cs="Times New Roman"/>
          <w:kern w:val="2"/>
          <w:sz w:val="28"/>
          <w:szCs w:val="28"/>
          <w:lang w:val="en-US" w:eastAsia="zh-CN" w:bidi="ar-SA"/>
        </w:rPr>
        <w:t>人民法院</w:t>
      </w:r>
    </w:p>
    <w:p>
      <w:pPr>
        <w:numPr>
          <w:ilvl w:val="0"/>
          <w:numId w:val="1"/>
        </w:numPr>
        <w:ind w:left="0" w:leftChars="0"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住所：</w:t>
      </w:r>
      <w:r>
        <w:rPr>
          <w:rFonts w:hint="eastAsia" w:ascii="仿宋_GB2312" w:hAnsi="宋体" w:eastAsia="仿宋_GB2312" w:cs="Times New Roman"/>
          <w:kern w:val="2"/>
          <w:sz w:val="28"/>
          <w:szCs w:val="28"/>
          <w:highlight w:val="none"/>
          <w:lang w:val="en-US" w:eastAsia="zh-CN" w:bidi="ar-SA"/>
        </w:rPr>
        <w:t>湖北省孝感市孝南区黄花路38号</w:t>
      </w:r>
    </w:p>
    <w:p>
      <w:pPr>
        <w:numPr>
          <w:ilvl w:val="0"/>
          <w:numId w:val="0"/>
        </w:num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住所：咸宁市长江产业园（书苑小区）3栋1单元12层1201号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本次估价对象范围为杨建光所有的位于孝感市董永路中段民邦槐荫东岸二期10幢1102室，建筑面积为100.74平方米的住宅房地产</w:t>
      </w:r>
      <w:r>
        <w:rPr>
          <w:rFonts w:hint="eastAsia" w:ascii="仿宋_GB2312" w:hAnsi="宋体" w:eastAsia="仿宋_GB2312" w:cs="Times New Roman"/>
          <w:kern w:val="2"/>
          <w:sz w:val="28"/>
          <w:szCs w:val="28"/>
          <w:lang w:val="en-US" w:eastAsia="zh-CN" w:bidi="ar-SA"/>
        </w:rPr>
        <w:t>。</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经本机构人员的实地勘查和委托方提供的委托书及房地产权登记信息、其他事项登记信息等资料，可知估价对象实体状况如下</w:t>
      </w:r>
      <w:r>
        <w:rPr>
          <w:rFonts w:hint="eastAsia" w:ascii="仿宋_GB2312" w:hAnsi="宋体" w:eastAsia="仿宋_GB2312" w:cs="Times New Roman"/>
          <w:kern w:val="2"/>
          <w:sz w:val="28"/>
          <w:szCs w:val="28"/>
          <w:lang w:val="en-US" w:eastAsia="zh-CN" w:bidi="ar-SA"/>
        </w:rPr>
        <w:t>：</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估价对象座落孝感市董永路中段民邦槐荫东岸二期10幢1102室，房屋所有权人为杨建光、王艳霞，共同共有，分摊土地面积为8.13平方米，使用期限为2013年10月13日起至2083年10月13日止，规划用途为住宅，房屋性质为市场化商品房，房屋结构为钢混结构，所在层数/总层数为11层/33层，建筑面积为100.74平方米，不动产权证书号为鄂（2018）孝南区不动产权第0004662号，竣工时间为2017年03月02日，登记时间为2018年05月10日</w:t>
      </w:r>
      <w:r>
        <w:rPr>
          <w:rFonts w:hint="eastAsia" w:ascii="仿宋_GB2312" w:hAnsi="宋体" w:eastAsia="仿宋_GB2312" w:cs="Times New Roman"/>
          <w:kern w:val="2"/>
          <w:sz w:val="28"/>
          <w:szCs w:val="28"/>
          <w:highlight w:val="none"/>
          <w:lang w:val="en-US" w:eastAsia="zh-CN" w:bidi="ar-SA"/>
        </w:rPr>
        <w:t>。</w:t>
      </w:r>
    </w:p>
    <w:p>
      <w:p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经现场勘验和调查，估价对象房屋位于董永路民邦槐荫东岸二期10幢1102室，南北朝向，现状用途为成套住宅，每单元两电梯四住户，户型为二厅三室一厨二卫。房屋外墙铺贴墙砖，进户门为防盗门，室内简单装修</w:t>
      </w:r>
      <w:r>
        <w:rPr>
          <w:rFonts w:hint="eastAsia" w:ascii="仿宋_GB2312" w:hAnsi="宋体" w:eastAsia="仿宋_GB2312" w:cs="Times New Roman"/>
          <w:kern w:val="2"/>
          <w:sz w:val="28"/>
          <w:szCs w:val="28"/>
          <w:highlight w:val="none"/>
          <w:lang w:val="en-US" w:eastAsia="zh-CN" w:bidi="ar-SA"/>
        </w:rPr>
        <w:t>。</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二0二一年九月二日。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ind w:firstLine="280" w:firstLineChars="100"/>
        <w:jc w:val="left"/>
        <w:rPr>
          <w:rFonts w:hint="eastAsia" w:ascii="仿宋" w:hAnsi="仿宋" w:eastAsia="仿宋"/>
          <w:sz w:val="28"/>
          <w:szCs w:val="28"/>
        </w:rPr>
      </w:pP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w:t>
      </w:r>
      <w:r>
        <w:rPr>
          <w:rFonts w:hint="eastAsia" w:ascii="仿宋" w:hAnsi="仿宋" w:eastAsia="仿宋" w:cs="仿宋"/>
          <w:sz w:val="30"/>
          <w:szCs w:val="30"/>
          <w:lang w:val="en-US" w:eastAsia="zh-CN"/>
        </w:rPr>
        <w:t>713138</w:t>
      </w:r>
      <w:r>
        <w:rPr>
          <w:rFonts w:hint="eastAsia" w:ascii="仿宋_GB2312" w:hAnsi="宋体" w:eastAsia="仿宋_GB2312" w:cs="Times New Roman"/>
          <w:kern w:val="2"/>
          <w:sz w:val="28"/>
          <w:szCs w:val="28"/>
          <w:lang w:val="en-US" w:eastAsia="zh-CN" w:bidi="ar-SA"/>
        </w:rPr>
        <w:t>元(大写人民币柒拾壹万叁仟壹佰叁拾捌元整)。</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574" w:type="dxa"/>
        <w:jc w:val="center"/>
        <w:tblInd w:w="10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1860"/>
        <w:gridCol w:w="1935"/>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229"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姓  名</w:t>
            </w:r>
          </w:p>
        </w:tc>
        <w:tc>
          <w:tcPr>
            <w:tcW w:w="1860"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资格证名号</w:t>
            </w:r>
          </w:p>
        </w:tc>
        <w:tc>
          <w:tcPr>
            <w:tcW w:w="193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资格证号</w:t>
            </w:r>
          </w:p>
        </w:tc>
        <w:tc>
          <w:tcPr>
            <w:tcW w:w="2550"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1"/>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5" w:hRule="atLeast"/>
          <w:jc w:val="center"/>
        </w:trPr>
        <w:tc>
          <w:tcPr>
            <w:tcW w:w="1229"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孙  坚</w:t>
            </w:r>
          </w:p>
        </w:tc>
        <w:tc>
          <w:tcPr>
            <w:tcW w:w="1860"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93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0003035</w:t>
            </w:r>
          </w:p>
        </w:tc>
        <w:tc>
          <w:tcPr>
            <w:tcW w:w="2550" w:type="dxa"/>
            <w:vAlign w:val="center"/>
          </w:tcPr>
          <w:p>
            <w:pPr>
              <w:pStyle w:val="4"/>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668480" behindDoc="1" locked="0" layoutInCell="1" allowOverlap="1">
                  <wp:simplePos x="0" y="0"/>
                  <wp:positionH relativeFrom="column">
                    <wp:posOffset>-591820</wp:posOffset>
                  </wp:positionH>
                  <wp:positionV relativeFrom="paragraph">
                    <wp:posOffset>139700</wp:posOffset>
                  </wp:positionV>
                  <wp:extent cx="1273810" cy="491490"/>
                  <wp:effectExtent l="0" t="0" r="2540" b="3810"/>
                  <wp:wrapNone/>
                  <wp:docPr id="2"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3" w:hRule="atLeast"/>
          <w:jc w:val="center"/>
        </w:trPr>
        <w:tc>
          <w:tcPr>
            <w:tcW w:w="1229"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刘汉生</w:t>
            </w:r>
          </w:p>
        </w:tc>
        <w:tc>
          <w:tcPr>
            <w:tcW w:w="1860"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935" w:type="dxa"/>
            <w:vAlign w:val="center"/>
          </w:tcPr>
          <w:p>
            <w:pPr>
              <w:keepNext w:val="0"/>
              <w:keepLines w:val="0"/>
              <w:pageBreakBefore w:val="0"/>
              <w:widowControl w:val="0"/>
              <w:kinsoku/>
              <w:wordWrap/>
              <w:overflowPunct/>
              <w:topLinePunct w:val="0"/>
              <w:autoSpaceDE/>
              <w:autoSpaceDN/>
              <w:bidi w:val="0"/>
              <w:adjustRightInd/>
              <w:snapToGrid/>
              <w:spacing w:line="1200" w:lineRule="auto"/>
              <w:ind w:left="0" w:leftChars="0" w:right="0" w:rightChars="0" w:firstLine="0" w:firstLineChars="0"/>
              <w:jc w:val="both"/>
              <w:textAlignment w:val="auto"/>
              <w:outlineLvl w:val="9"/>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lang w:val="en-US" w:eastAsia="zh-CN"/>
              </w:rPr>
              <w:t xml:space="preserve">  </w:t>
            </w:r>
            <w:r>
              <w:rPr>
                <w:rStyle w:val="11"/>
                <w:rFonts w:hint="eastAsia" w:ascii="仿宋" w:hAnsi="仿宋" w:eastAsia="仿宋" w:cs="宋体"/>
                <w:color w:val="000000"/>
                <w:sz w:val="30"/>
                <w:szCs w:val="30"/>
              </w:rPr>
              <w:t>0017039</w:t>
            </w:r>
          </w:p>
        </w:tc>
        <w:tc>
          <w:tcPr>
            <w:tcW w:w="2550" w:type="dxa"/>
            <w:vAlign w:val="center"/>
          </w:tcPr>
          <w:p>
            <w:pPr>
              <w:pStyle w:val="4"/>
              <w:rPr>
                <w:rFonts w:hint="eastAsia" w:ascii="仿宋" w:hAnsi="仿宋" w:eastAsia="仿宋"/>
                <w:color w:val="000000"/>
                <w:sz w:val="32"/>
                <w:szCs w:val="32"/>
              </w:rPr>
            </w:pPr>
            <w:r>
              <w:rPr>
                <w:lang w:val="zh-CN" w:eastAsia="zh-CN"/>
              </w:rPr>
              <w:drawing>
                <wp:anchor distT="0" distB="0" distL="114300" distR="114300" simplePos="0" relativeHeight="251669504" behindDoc="0" locked="0" layoutInCell="1" allowOverlap="1">
                  <wp:simplePos x="0" y="0"/>
                  <wp:positionH relativeFrom="column">
                    <wp:posOffset>-732155</wp:posOffset>
                  </wp:positionH>
                  <wp:positionV relativeFrom="paragraph">
                    <wp:posOffset>26670</wp:posOffset>
                  </wp:positionV>
                  <wp:extent cx="1494790" cy="1033780"/>
                  <wp:effectExtent l="0" t="0" r="10795" b="0"/>
                  <wp:wrapNone/>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8"/>
                          <a:stretch>
                            <a:fillRect/>
                          </a:stretch>
                        </pic:blipFill>
                        <pic:spPr>
                          <a:xfrm>
                            <a:off x="0" y="0"/>
                            <a:ext cx="1494790" cy="1033780"/>
                          </a:xfrm>
                          <a:prstGeom prst="rect">
                            <a:avLst/>
                          </a:prstGeom>
                          <a:noFill/>
                          <a:ln w="9525">
                            <a:noFill/>
                            <a:miter/>
                          </a:ln>
                          <a:effectLst/>
                        </pic:spPr>
                      </pic:pic>
                    </a:graphicData>
                  </a:graphic>
                </wp:anchor>
              </w:drawing>
            </w:r>
            <w:r>
              <w:rPr>
                <w:rFonts w:hint="eastAsia" w:ascii="仿宋" w:hAnsi="仿宋" w:eastAsia="仿宋"/>
                <w:color w:val="000000"/>
                <w:sz w:val="32"/>
                <w:szCs w:val="32"/>
              </w:rPr>
              <w:drawing>
                <wp:anchor distT="0" distB="0" distL="114300" distR="114300" simplePos="0" relativeHeight="251670528" behindDoc="0" locked="0" layoutInCell="1" allowOverlap="1">
                  <wp:simplePos x="0" y="0"/>
                  <wp:positionH relativeFrom="column">
                    <wp:posOffset>158115</wp:posOffset>
                  </wp:positionH>
                  <wp:positionV relativeFrom="page">
                    <wp:posOffset>209550</wp:posOffset>
                  </wp:positionV>
                  <wp:extent cx="635" cy="635"/>
                  <wp:effectExtent l="0" t="0" r="0" b="0"/>
                  <wp:wrapNone/>
                  <wp:docPr id="4" name="图片 4"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21</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09</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09</w:t>
      </w:r>
      <w:r>
        <w:rPr>
          <w:rStyle w:val="11"/>
          <w:rFonts w:hint="eastAsia" w:ascii="仿宋_GB2312" w:hAnsi="仿宋" w:eastAsia="仿宋_GB2312" w:cs="宋体"/>
          <w:sz w:val="28"/>
          <w:szCs w:val="28"/>
          <w:highlight w:val="none"/>
        </w:rPr>
        <w:t>日</w:t>
      </w:r>
      <w:r>
        <w:rPr>
          <w:rStyle w:val="11"/>
          <w:rFonts w:hint="eastAsia" w:ascii="仿宋_GB2312" w:hAnsi="仿宋" w:eastAsia="仿宋_GB2312" w:cs="宋体"/>
          <w:sz w:val="28"/>
          <w:szCs w:val="28"/>
          <w:highlight w:val="none"/>
        </w:rPr>
        <w:t>。</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若无特别约定，估价结论有效期为从估价报告完成之日起壹年。超过有效期后需重新估价方可使用。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2"/>
          <w:szCs w:val="32"/>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二0二一年九月九日</w:t>
      </w:r>
    </w:p>
    <w:p>
      <w:pPr>
        <w:jc w:val="center"/>
        <w:rPr>
          <w:rFonts w:hint="eastAsia" w:ascii="仿宋" w:hAnsi="仿宋" w:eastAsia="仿宋"/>
          <w:b/>
          <w:bCs/>
          <w:sz w:val="36"/>
          <w:szCs w:val="36"/>
          <w:lang w:eastAsia="zh-CN"/>
        </w:rPr>
      </w:pPr>
      <w:r>
        <w:rPr>
          <w:rFonts w:hint="eastAsia" w:ascii="仿宋" w:hAnsi="仿宋" w:eastAsia="仿宋"/>
          <w:b/>
          <w:bCs/>
          <w:sz w:val="36"/>
          <w:szCs w:val="36"/>
          <w:lang w:eastAsia="zh-CN"/>
        </w:rPr>
        <w:t>杨建光所有的</w:t>
      </w:r>
    </w:p>
    <w:p>
      <w:pPr>
        <w:jc w:val="center"/>
        <w:rPr>
          <w:rFonts w:hint="eastAsia" w:ascii="仿宋" w:hAnsi="仿宋" w:eastAsia="仿宋"/>
          <w:b/>
          <w:bCs/>
          <w:sz w:val="36"/>
          <w:szCs w:val="36"/>
        </w:rPr>
      </w:pPr>
      <w:r>
        <w:rPr>
          <w:rFonts w:hint="eastAsia" w:ascii="仿宋" w:hAnsi="仿宋" w:eastAsia="仿宋"/>
          <w:b/>
          <w:bCs/>
          <w:sz w:val="36"/>
          <w:szCs w:val="36"/>
          <w:lang w:eastAsia="zh-CN"/>
        </w:rPr>
        <w:t>位于孝感市董永路中段民邦槐荫东岸二期</w:t>
      </w:r>
      <w:r>
        <w:rPr>
          <w:rFonts w:hint="eastAsia" w:ascii="仿宋" w:hAnsi="仿宋" w:eastAsia="仿宋"/>
          <w:b/>
          <w:bCs/>
          <w:sz w:val="36"/>
          <w:szCs w:val="36"/>
          <w:lang w:val="en-US" w:eastAsia="zh-CN"/>
        </w:rPr>
        <w:t>10幢1102室</w:t>
      </w:r>
      <w:r>
        <w:rPr>
          <w:rFonts w:hint="eastAsia" w:ascii="仿宋" w:hAnsi="仿宋" w:eastAsia="仿宋"/>
          <w:b/>
          <w:bCs/>
          <w:sz w:val="32"/>
          <w:szCs w:val="32"/>
        </w:rPr>
        <w:t>房地产</w:t>
      </w:r>
      <w:r>
        <w:rPr>
          <w:rFonts w:hint="eastAsia" w:ascii="仿宋" w:hAnsi="仿宋" w:eastAsia="仿宋"/>
          <w:b/>
          <w:bCs/>
          <w:sz w:val="36"/>
          <w:szCs w:val="36"/>
        </w:rPr>
        <w:t>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keepNext w:val="0"/>
        <w:keepLines w:val="0"/>
        <w:widowControl/>
        <w:suppressLineNumbers w:val="0"/>
        <w:wordWrap w:val="0"/>
        <w:jc w:val="left"/>
        <w:rPr>
          <w:rFonts w:hint="eastAsia" w:ascii="仿宋" w:hAnsi="仿宋" w:eastAsia="仿宋" w:cs="仿宋"/>
          <w:i w:val="0"/>
          <w:kern w:val="0"/>
          <w:sz w:val="28"/>
          <w:szCs w:val="28"/>
          <w:lang w:val="en-US" w:eastAsia="zh-CN" w:bidi="ar"/>
        </w:rPr>
      </w:pPr>
      <w:r>
        <w:rPr>
          <w:rFonts w:hint="eastAsia" w:ascii="仿宋" w:hAnsi="仿宋" w:eastAsia="仿宋" w:cs="仿宋"/>
          <w:i w:val="0"/>
          <w:kern w:val="0"/>
          <w:sz w:val="28"/>
          <w:szCs w:val="28"/>
          <w:lang w:val="en-US" w:eastAsia="zh-CN" w:bidi="ar"/>
        </w:rPr>
        <w:t xml:space="preserve">    估价对象座落孝感市董永路中段民邦槐荫东岸二期10幢1102室，房屋所有权人为杨建光、王艳霞，共同共有，分摊土地面积为8.13平方米，使用期限为2013年10月13日起至2083年10月13日止，规划用途为住宅，房屋性质为市场化商品房，房屋结构为钢混结构，所在层数/总层数为11层/33层，建筑面积为100.74平方米，不动产权证书号为鄂（2018）孝南区不动产权第0004662号，竣工时间为2017年03月02日，登记时间为2018年05月10日。</w:t>
      </w:r>
    </w:p>
    <w:p>
      <w:pPr>
        <w:keepNext w:val="0"/>
        <w:keepLines w:val="0"/>
        <w:widowControl/>
        <w:suppressLineNumbers w:val="0"/>
        <w:wordWrap w:val="0"/>
        <w:jc w:val="left"/>
        <w:rPr>
          <w:rFonts w:hint="default" w:ascii="仿宋_GB2312" w:hAnsi="宋体" w:eastAsia="仿宋_GB2312" w:cs="Times New Roman"/>
          <w:kern w:val="2"/>
          <w:sz w:val="28"/>
          <w:szCs w:val="28"/>
          <w:highlight w:val="none"/>
          <w:lang w:val="en-US" w:eastAsia="zh-CN" w:bidi="ar-SA"/>
        </w:rPr>
      </w:pPr>
      <w:r>
        <w:rPr>
          <w:rFonts w:hint="eastAsia" w:ascii="仿宋" w:hAnsi="仿宋" w:eastAsia="仿宋" w:cs="仿宋"/>
          <w:i w:val="0"/>
          <w:kern w:val="0"/>
          <w:sz w:val="28"/>
          <w:szCs w:val="28"/>
          <w:lang w:val="en-US" w:eastAsia="zh-CN" w:bidi="ar"/>
        </w:rPr>
        <w:t xml:space="preserve">    经现场勘验和调查，估价对象房屋位于董永路民邦槐荫东岸二期10幢1102室，南北朝向，现状用途为成套住宅，每单元两电梯四住户，户型为二厅三室一厨二卫。房屋外墙铺贴墙砖，进户门为防盗门，室内简单装修</w:t>
      </w:r>
      <w:r>
        <w:rPr>
          <w:rFonts w:hint="eastAsia" w:ascii="仿宋_GB2312" w:hAnsi="宋体" w:eastAsia="仿宋_GB2312" w:cs="Times New Roman"/>
          <w:kern w:val="2"/>
          <w:sz w:val="28"/>
          <w:szCs w:val="28"/>
          <w:highlight w:val="none"/>
          <w:lang w:val="en-US" w:eastAsia="zh-CN" w:bidi="ar-SA"/>
        </w:rPr>
        <w:t>。</w:t>
      </w:r>
    </w:p>
    <w:p>
      <w:pPr>
        <w:numPr>
          <w:ilvl w:val="0"/>
          <w:numId w:val="2"/>
        </w:numPr>
        <w:ind w:left="562" w:leftChars="0" w:firstLine="0" w:firstLineChars="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估价对象区域因素分析</w:t>
      </w:r>
    </w:p>
    <w:p>
      <w:pPr>
        <w:keepNext w:val="0"/>
        <w:keepLines w:val="0"/>
        <w:widowControl/>
        <w:suppressLineNumbers w:val="0"/>
        <w:wordWrap w:val="0"/>
        <w:jc w:val="left"/>
        <w:rPr>
          <w:rFonts w:hint="eastAsia" w:ascii="仿宋" w:hAnsi="仿宋" w:eastAsia="仿宋" w:cs="仿宋"/>
          <w:kern w:val="2"/>
          <w:sz w:val="28"/>
          <w:szCs w:val="28"/>
          <w:lang w:val="en-US" w:eastAsia="zh-CN" w:bidi="ar-SA"/>
        </w:rPr>
      </w:pPr>
      <w:r>
        <w:rPr>
          <w:rFonts w:hint="eastAsia" w:ascii="宋体" w:hAnsi="宋体" w:cs="宋体"/>
          <w:i w:val="0"/>
          <w:kern w:val="0"/>
          <w:sz w:val="24"/>
          <w:szCs w:val="24"/>
          <w:lang w:val="en-US" w:eastAsia="zh-CN" w:bidi="ar"/>
        </w:rPr>
        <w:t xml:space="preserve">  </w:t>
      </w:r>
      <w:r>
        <w:rPr>
          <w:rFonts w:hint="eastAsia" w:ascii="宋体" w:hAnsi="宋体" w:cs="宋体"/>
          <w:i w:val="0"/>
          <w:kern w:val="0"/>
          <w:sz w:val="28"/>
          <w:szCs w:val="28"/>
          <w:lang w:val="en-US" w:eastAsia="zh-CN" w:bidi="ar"/>
        </w:rPr>
        <w:t xml:space="preserve"> </w:t>
      </w:r>
      <w:r>
        <w:rPr>
          <w:rFonts w:hint="eastAsia" w:ascii="仿宋" w:hAnsi="仿宋" w:eastAsia="仿宋" w:cs="仿宋"/>
          <w:i w:val="0"/>
          <w:kern w:val="0"/>
          <w:sz w:val="28"/>
          <w:szCs w:val="28"/>
          <w:lang w:val="en-US" w:eastAsia="zh-CN" w:bidi="ar"/>
        </w:rPr>
        <w:t xml:space="preserve"> </w:t>
      </w:r>
      <w:r>
        <w:rPr>
          <w:rFonts w:hint="eastAsia" w:ascii="仿宋" w:hAnsi="仿宋" w:eastAsia="仿宋" w:cs="仿宋"/>
          <w:kern w:val="2"/>
          <w:sz w:val="28"/>
          <w:szCs w:val="28"/>
          <w:highlight w:val="none"/>
          <w:lang w:val="en-US" w:eastAsia="zh-CN" w:bidi="ar-SA"/>
        </w:rPr>
        <w:t>估价对象位于</w:t>
      </w:r>
      <w:r>
        <w:rPr>
          <w:rFonts w:hint="eastAsia" w:ascii="仿宋_GB2312" w:hAnsi="宋体" w:eastAsia="仿宋_GB2312" w:cs="Times New Roman"/>
          <w:kern w:val="2"/>
          <w:sz w:val="28"/>
          <w:szCs w:val="28"/>
          <w:lang w:val="en-US" w:eastAsia="zh-CN" w:bidi="ar-SA"/>
        </w:rPr>
        <w:t>孝感市董永路中段民邦槐荫东岸二期</w:t>
      </w:r>
      <w:r>
        <w:rPr>
          <w:rFonts w:hint="eastAsia" w:ascii="仿宋" w:hAnsi="仿宋" w:eastAsia="仿宋" w:cs="仿宋"/>
          <w:kern w:val="2"/>
          <w:sz w:val="28"/>
          <w:szCs w:val="28"/>
          <w:lang w:val="en-US" w:eastAsia="zh-CN" w:bidi="ar-SA"/>
        </w:rPr>
        <w:t>小区。该小区绿化率高，建有</w:t>
      </w:r>
      <w:r>
        <w:rPr>
          <w:rFonts w:hint="eastAsia" w:ascii="仿宋" w:hAnsi="仿宋" w:eastAsia="仿宋" w:cs="仿宋"/>
          <w:i w:val="0"/>
          <w:kern w:val="0"/>
          <w:sz w:val="28"/>
          <w:szCs w:val="28"/>
          <w:lang w:val="en-US" w:eastAsia="zh-CN" w:bidi="ar"/>
        </w:rPr>
        <w:t>绿化景观，</w:t>
      </w:r>
      <w:r>
        <w:rPr>
          <w:rFonts w:hint="eastAsia" w:ascii="仿宋" w:hAnsi="仿宋" w:eastAsia="仿宋" w:cs="仿宋"/>
          <w:kern w:val="2"/>
          <w:sz w:val="28"/>
          <w:szCs w:val="28"/>
          <w:lang w:val="en-US" w:eastAsia="zh-CN" w:bidi="ar-SA"/>
        </w:rPr>
        <w:t>楼间距宽，通风采光尚好，24小时保安值守，物业管理好；</w:t>
      </w:r>
      <w:r>
        <w:rPr>
          <w:rFonts w:hint="eastAsia" w:ascii="仿宋" w:hAnsi="仿宋" w:eastAsia="仿宋" w:cs="仿宋"/>
          <w:i w:val="0"/>
          <w:kern w:val="0"/>
          <w:sz w:val="28"/>
          <w:szCs w:val="28"/>
          <w:lang w:val="en-US" w:eastAsia="zh-CN" w:bidi="ar"/>
        </w:rPr>
        <w:t>小区内建有健身娱乐设施、休闲广场、菜市场和商业街等配套设施，居家环境优美、配套设施完善。</w:t>
      </w:r>
      <w:r>
        <w:rPr>
          <w:rFonts w:hint="eastAsia" w:ascii="仿宋_GB2312" w:hAnsi="宋体" w:eastAsia="仿宋_GB2312" w:cs="Times New Roman"/>
          <w:kern w:val="2"/>
          <w:sz w:val="28"/>
          <w:szCs w:val="28"/>
          <w:lang w:val="en-US" w:eastAsia="zh-CN" w:bidi="ar-SA"/>
        </w:rPr>
        <w:t>该小区所在区域为孝感市政治文化中心，北面不足千米是孝感市委市政府、孝感市文化中心及孝感市市民之家，</w:t>
      </w:r>
      <w:r>
        <w:rPr>
          <w:rFonts w:hint="eastAsia" w:ascii="仿宋" w:hAnsi="仿宋" w:eastAsia="仿宋" w:cs="仿宋"/>
          <w:i w:val="0"/>
          <w:kern w:val="0"/>
          <w:sz w:val="28"/>
          <w:szCs w:val="28"/>
          <w:lang w:val="en-US" w:eastAsia="zh-CN" w:bidi="ar"/>
        </w:rPr>
        <w:t>附近生活、公共配套基本齐全，周边建有东南医院、市第一人民医院、各大品牌汽车4S销售店及其他商业；还有孝感一中、英才学校、华师附幼、附小和实验二小学校、孝感东站和城际铁路槐荫站，到武汉城区或天河机场半小时直达，交通十分方便而快捷；多路公交车通达；旁边是政府的新行政区域办公大楼、市民之家，有仙女湖公园、槐荫生态公园。还有万达广场等大型购物商场、游乐园、美食娱乐商街，居住环境、购物、交通、学校、医疗等各方面条件较为齐全完善，而且房价升值空间较大。</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接受委托后，我们认真研究分析了</w:t>
      </w:r>
      <w:r>
        <w:rPr>
          <w:rFonts w:hint="eastAsia" w:ascii="仿宋" w:hAnsi="仿宋" w:eastAsia="仿宋" w:cs="Arial"/>
          <w:color w:val="000000"/>
          <w:sz w:val="30"/>
          <w:szCs w:val="30"/>
          <w:lang w:eastAsia="zh-CN"/>
        </w:rPr>
        <w:t>委托方提供的不动产登记信息、现场勘验照片等有关资料，</w:t>
      </w:r>
      <w:r>
        <w:rPr>
          <w:rFonts w:hint="eastAsia" w:ascii="仿宋_GB2312" w:hAnsi="宋体" w:eastAsia="仿宋_GB2312" w:cs="Times New Roman"/>
          <w:kern w:val="2"/>
          <w:sz w:val="28"/>
          <w:szCs w:val="28"/>
          <w:lang w:val="en-US" w:eastAsia="zh-CN" w:bidi="ar-SA"/>
        </w:rPr>
        <w:t>随后开展了广泛的市场调查，并采用市场法进行了估价测算。</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针对估价对象的功能和特点，根据替代原则，按用途相同、土地级别相同、价格类型相同等特点，对与估价对象同一区域内的类似住宅房屋价格进行了市场调查和比较分析，按照估价要求，筛选三个可比实例。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实例A：民邦槐荫东岸二期住宅</w:t>
      </w:r>
      <w:r>
        <w:rPr>
          <w:rFonts w:hint="eastAsia" w:ascii="仿宋_GB2312" w:hAnsi="宋体" w:eastAsia="仿宋_GB2312" w:cs="Times New Roman"/>
          <w:kern w:val="2"/>
          <w:sz w:val="28"/>
          <w:szCs w:val="28"/>
          <w:highlight w:val="none"/>
          <w:lang w:val="en-US" w:eastAsia="zh-CN" w:bidi="ar-SA"/>
        </w:rPr>
        <w:t>，2018年建成，总层数33层，所在层12层，南北朝向，毛坯，建筑面积109平米，三室二厅二卫，拟交易总价73万，折合单价约6697元/㎡，拟交易日期2021年8月份。</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实例B：</w:t>
      </w:r>
      <w:r>
        <w:rPr>
          <w:rFonts w:hint="eastAsia" w:ascii="仿宋_GB2312" w:hAnsi="宋体" w:eastAsia="仿宋_GB2312" w:cs="Times New Roman"/>
          <w:kern w:val="2"/>
          <w:sz w:val="28"/>
          <w:szCs w:val="28"/>
          <w:lang w:val="en-US" w:eastAsia="zh-CN" w:bidi="ar-SA"/>
        </w:rPr>
        <w:t>民邦槐荫东岸二期住宅</w:t>
      </w:r>
      <w:r>
        <w:rPr>
          <w:rFonts w:hint="eastAsia" w:ascii="仿宋_GB2312" w:hAnsi="宋体" w:eastAsia="仿宋_GB2312" w:cs="Times New Roman"/>
          <w:kern w:val="2"/>
          <w:sz w:val="28"/>
          <w:szCs w:val="28"/>
          <w:highlight w:val="none"/>
          <w:lang w:val="en-US" w:eastAsia="zh-CN" w:bidi="ar-SA"/>
        </w:rPr>
        <w:t>，2018年建成，总层数33层，所在层11层，南北朝向，毛坯，建筑面积107平米，三室二厅二卫，拟交易总价71万，折合单价约6635元/㎡，拟交易日期2021年8月份。</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实例C：</w:t>
      </w:r>
      <w:r>
        <w:rPr>
          <w:rFonts w:hint="eastAsia" w:ascii="仿宋_GB2312" w:hAnsi="宋体" w:eastAsia="仿宋_GB2312" w:cs="Times New Roman"/>
          <w:kern w:val="2"/>
          <w:sz w:val="28"/>
          <w:szCs w:val="28"/>
          <w:lang w:val="en-US" w:eastAsia="zh-CN" w:bidi="ar-SA"/>
        </w:rPr>
        <w:t>民邦槐荫东岸二期住宅</w:t>
      </w:r>
      <w:r>
        <w:rPr>
          <w:rFonts w:hint="eastAsia" w:ascii="仿宋_GB2312" w:hAnsi="宋体" w:eastAsia="仿宋_GB2312" w:cs="Times New Roman"/>
          <w:kern w:val="2"/>
          <w:sz w:val="28"/>
          <w:szCs w:val="28"/>
          <w:highlight w:val="none"/>
          <w:lang w:val="en-US" w:eastAsia="zh-CN" w:bidi="ar-SA"/>
        </w:rPr>
        <w:t>，2015年建成，总层数33层，所在层13层，南北朝向，毛坯，建筑面积100平米，三室二厅二卫，拟交易总价67万，折合单价约6700元/㎡，拟交易日期2021年8月份。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A </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B </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3" w:hRule="atLeast"/>
        </w:trPr>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座 落</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位 置</w:t>
            </w:r>
          </w:p>
        </w:tc>
        <w:tc>
          <w:tcPr>
            <w:tcW w:w="1446" w:type="dxa"/>
            <w:vAlign w:val="top"/>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4"/>
                <w:szCs w:val="24"/>
                <w:lang w:val="en-US" w:eastAsia="zh-CN"/>
              </w:rPr>
              <w:t>民邦槐荫东岸二期10幢1102室</w:t>
            </w:r>
          </w:p>
        </w:tc>
        <w:tc>
          <w:tcPr>
            <w:tcW w:w="1567" w:type="dxa"/>
            <w:vAlign w:val="top"/>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民邦槐荫东岸小区</w:t>
            </w:r>
          </w:p>
        </w:tc>
        <w:tc>
          <w:tcPr>
            <w:tcW w:w="1550" w:type="dxa"/>
            <w:vAlign w:val="top"/>
          </w:tcPr>
          <w:p>
            <w:pPr>
              <w:numPr>
                <w:ilvl w:val="0"/>
                <w:numId w:val="0"/>
              </w:numPr>
              <w:ind w:left="0" w:leftChars="0"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8"/>
                <w:szCs w:val="28"/>
                <w:lang w:val="en-US" w:eastAsia="zh-CN"/>
              </w:rPr>
              <w:t>民邦槐荫东岸小区</w:t>
            </w:r>
          </w:p>
        </w:tc>
        <w:tc>
          <w:tcPr>
            <w:tcW w:w="1633" w:type="dxa"/>
            <w:vAlign w:val="top"/>
          </w:tcPr>
          <w:p>
            <w:pPr>
              <w:numPr>
                <w:ilvl w:val="0"/>
                <w:numId w:val="0"/>
              </w:numPr>
              <w:ind w:left="0" w:leftChars="0" w:firstLine="0" w:firstLineChars="0"/>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民邦槐荫</w:t>
            </w:r>
          </w:p>
          <w:p>
            <w:pPr>
              <w:numPr>
                <w:ilvl w:val="0"/>
                <w:numId w:val="0"/>
              </w:numPr>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东岸小区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446" w:type="dxa"/>
            <w:vAlign w:val="top"/>
          </w:tcPr>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民邦槐荫</w:t>
            </w:r>
          </w:p>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4"/>
                <w:szCs w:val="24"/>
                <w:lang w:val="en-US" w:eastAsia="zh-CN"/>
              </w:rPr>
              <w:t>东岸二期</w:t>
            </w:r>
          </w:p>
        </w:tc>
        <w:tc>
          <w:tcPr>
            <w:tcW w:w="1567" w:type="dxa"/>
            <w:vAlign w:val="top"/>
          </w:tcPr>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民邦槐荫</w:t>
            </w:r>
          </w:p>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4"/>
                <w:szCs w:val="24"/>
                <w:lang w:val="en-US" w:eastAsia="zh-CN"/>
              </w:rPr>
              <w:t>东岸二期</w:t>
            </w:r>
          </w:p>
        </w:tc>
        <w:tc>
          <w:tcPr>
            <w:tcW w:w="1550" w:type="dxa"/>
            <w:vAlign w:val="top"/>
          </w:tcPr>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民邦槐荫</w:t>
            </w:r>
          </w:p>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4"/>
                <w:szCs w:val="24"/>
                <w:lang w:val="en-US" w:eastAsia="zh-CN"/>
              </w:rPr>
              <w:t>东岸二期</w:t>
            </w:r>
          </w:p>
        </w:tc>
        <w:tc>
          <w:tcPr>
            <w:tcW w:w="1633" w:type="dxa"/>
            <w:vAlign w:val="top"/>
          </w:tcPr>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民邦槐荫</w:t>
            </w:r>
          </w:p>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4"/>
                <w:szCs w:val="24"/>
                <w:lang w:val="en-US" w:eastAsia="zh-CN"/>
              </w:rPr>
              <w:t>东岸二期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6697</w:t>
            </w:r>
          </w:p>
        </w:tc>
        <w:tc>
          <w:tcPr>
            <w:tcW w:w="1550"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_GB2312" w:hAnsi="宋体" w:eastAsia="仿宋_GB2312" w:cs="Times New Roman"/>
                <w:kern w:val="2"/>
                <w:sz w:val="28"/>
                <w:szCs w:val="28"/>
                <w:highlight w:val="none"/>
                <w:lang w:val="en-US" w:eastAsia="zh-CN" w:bidi="ar-SA"/>
              </w:rPr>
              <w:t>6635</w:t>
            </w:r>
          </w:p>
        </w:tc>
        <w:tc>
          <w:tcPr>
            <w:tcW w:w="1633"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_GB2312" w:hAnsi="宋体" w:eastAsia="仿宋_GB2312" w:cs="Times New Roman"/>
                <w:kern w:val="2"/>
                <w:sz w:val="28"/>
                <w:szCs w:val="28"/>
                <w:highlight w:val="none"/>
                <w:lang w:val="en-US" w:eastAsia="zh-CN" w:bidi="ar-SA"/>
              </w:rPr>
              <w:t>6700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2021.8</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2021.8</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2021.8</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较完善</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较完善</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较完善</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11/33</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12/33</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11/33</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三室两厅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三室两厅</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三室两厅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三室两厅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446" w:type="dxa"/>
            <w:vAlign w:val="top"/>
          </w:tcPr>
          <w:p>
            <w:pPr>
              <w:jc w:val="center"/>
              <w:rPr>
                <w:rFonts w:hint="default"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简装</w:t>
            </w:r>
          </w:p>
        </w:tc>
        <w:tc>
          <w:tcPr>
            <w:tcW w:w="1567" w:type="dxa"/>
            <w:vAlign w:val="top"/>
          </w:tcPr>
          <w:p>
            <w:pPr>
              <w:jc w:val="center"/>
              <w:rPr>
                <w:rFonts w:hint="eastAsia"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毛坯</w:t>
            </w:r>
          </w:p>
        </w:tc>
        <w:tc>
          <w:tcPr>
            <w:tcW w:w="1550" w:type="dxa"/>
            <w:vAlign w:val="top"/>
          </w:tcPr>
          <w:p>
            <w:pPr>
              <w:jc w:val="center"/>
              <w:rPr>
                <w:rFonts w:hint="default"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毛坯</w:t>
            </w:r>
          </w:p>
        </w:tc>
        <w:tc>
          <w:tcPr>
            <w:tcW w:w="1633" w:type="dxa"/>
            <w:vAlign w:val="top"/>
          </w:tcPr>
          <w:p>
            <w:pPr>
              <w:jc w:val="center"/>
              <w:rPr>
                <w:rFonts w:hint="eastAsia"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毛坯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93.3%</w:t>
            </w:r>
          </w:p>
        </w:tc>
        <w:tc>
          <w:tcPr>
            <w:tcW w:w="15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88.3%</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95%</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A </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可比案例B </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6697</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_GB2312" w:hAnsi="宋体" w:eastAsia="仿宋_GB2312" w:cs="Times New Roman"/>
                <w:kern w:val="2"/>
                <w:sz w:val="28"/>
                <w:szCs w:val="28"/>
                <w:highlight w:val="none"/>
                <w:lang w:val="en-US" w:eastAsia="zh-CN" w:bidi="ar-SA"/>
              </w:rPr>
              <w:t>6635</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_GB2312" w:hAnsi="宋体" w:eastAsia="仿宋_GB2312" w:cs="Times New Roman"/>
                <w:kern w:val="2"/>
                <w:sz w:val="28"/>
                <w:szCs w:val="28"/>
                <w:highlight w:val="none"/>
                <w:lang w:val="en-US" w:eastAsia="zh-CN" w:bidi="ar-SA"/>
              </w:rPr>
              <w:t>6700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95</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vertAlign w:val="baseline"/>
                <w:lang w:val="en-US" w:eastAsia="zh-CN"/>
              </w:rPr>
              <w:t>95</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vertAlign w:val="baseli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99</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94</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95</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94</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2"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w:t>
            </w:r>
          </w:p>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top"/>
          </w:tcPr>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A</w:t>
            </w:r>
          </w:p>
        </w:tc>
        <w:tc>
          <w:tcPr>
            <w:tcW w:w="1550" w:type="dxa"/>
            <w:vAlign w:val="top"/>
          </w:tcPr>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B</w:t>
            </w:r>
          </w:p>
        </w:tc>
        <w:tc>
          <w:tcPr>
            <w:tcW w:w="1833" w:type="dxa"/>
            <w:vAlign w:val="top"/>
          </w:tcPr>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highlight w:val="none"/>
                <w:vertAlign w:val="baseline"/>
                <w:lang w:val="en-US" w:eastAsia="zh-CN"/>
              </w:rPr>
              <w:t>6697</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_GB2312" w:hAnsi="宋体" w:eastAsia="仿宋_GB2312" w:cs="Times New Roman"/>
                <w:kern w:val="2"/>
                <w:sz w:val="28"/>
                <w:szCs w:val="28"/>
                <w:highlight w:val="none"/>
                <w:lang w:val="en-US" w:eastAsia="zh-CN" w:bidi="ar-SA"/>
              </w:rPr>
              <w:t>6635</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_GB2312" w:hAnsi="宋体" w:eastAsia="仿宋_GB2312" w:cs="Times New Roman"/>
                <w:kern w:val="2"/>
                <w:sz w:val="28"/>
                <w:szCs w:val="28"/>
                <w:highlight w:val="none"/>
                <w:lang w:val="en-US" w:eastAsia="zh-CN" w:bidi="ar-SA"/>
              </w:rPr>
              <w:t>6700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146"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市场状况调整系数</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区域状况调整系数</w:t>
            </w:r>
          </w:p>
        </w:tc>
        <w:tc>
          <w:tcPr>
            <w:tcW w:w="1146"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权益状况调整系数</w:t>
            </w:r>
          </w:p>
        </w:tc>
        <w:tc>
          <w:tcPr>
            <w:tcW w:w="1146"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867"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550"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833"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94</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95</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7124</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6984</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7128</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5、求取估价对象价值</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由于可比实例A、B、C与估价对象条件因素相当类似，且比准价格相差不远，因此采取算数平均值的求取方法，估算估价对象的价格。</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评估单价=（7124+6984+7128）</w:t>
      </w:r>
      <w:r>
        <w:rPr>
          <w:rFonts w:hint="default" w:ascii="仿宋_GB2312" w:hAnsi="宋体" w:eastAsia="仿宋_GB2312" w:cs="Times New Roman"/>
          <w:kern w:val="2"/>
          <w:sz w:val="28"/>
          <w:szCs w:val="28"/>
          <w:lang w:val="en-US" w:eastAsia="zh-CN" w:bidi="ar-SA"/>
        </w:rPr>
        <w:t>÷</w:t>
      </w:r>
      <w:r>
        <w:rPr>
          <w:rFonts w:hint="eastAsia" w:ascii="仿宋_GB2312" w:hAnsi="宋体" w:eastAsia="仿宋_GB2312" w:cs="Times New Roman"/>
          <w:kern w:val="2"/>
          <w:sz w:val="28"/>
          <w:szCs w:val="28"/>
          <w:lang w:val="en-US" w:eastAsia="zh-CN" w:bidi="ar-SA"/>
        </w:rPr>
        <w:t>3≈7079(元/平米)</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评估总值=7079×100.74≈713138(元)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估价人员根据估价目的，遵循估价原则，按照规定估价程序和估价方法，经过具体测算，确定估价对象在估价时点可能形成的市场价值为￥</w:t>
      </w:r>
      <w:r>
        <w:rPr>
          <w:rFonts w:hint="eastAsia" w:ascii="仿宋" w:hAnsi="仿宋" w:eastAsia="仿宋" w:cs="仿宋"/>
          <w:sz w:val="30"/>
          <w:szCs w:val="30"/>
          <w:lang w:val="en-US" w:eastAsia="zh-CN"/>
        </w:rPr>
        <w:t>713138</w:t>
      </w:r>
      <w:r>
        <w:rPr>
          <w:rFonts w:hint="eastAsia" w:ascii="仿宋_GB2312" w:hAnsi="宋体" w:eastAsia="仿宋_GB2312" w:cs="Times New Roman"/>
          <w:kern w:val="2"/>
          <w:sz w:val="28"/>
          <w:szCs w:val="28"/>
          <w:lang w:val="en-US" w:eastAsia="zh-CN" w:bidi="ar-SA"/>
        </w:rPr>
        <w:t>元(大写人民币柒拾壹万叁仟壹佰叁拾捌元整)。</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p>
    <w:p>
      <w:pPr>
        <w:ind w:firstLine="3920" w:firstLineChars="14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二0二一年九月九日</w:t>
      </w:r>
    </w:p>
    <w:p>
      <w:pPr/>
    </w:p>
    <w:p>
      <w:pPr/>
    </w:p>
    <w:p>
      <w:pPr/>
    </w:p>
    <w:p>
      <w:pPr/>
    </w:p>
    <w:p>
      <w:pPr/>
    </w:p>
    <w:p>
      <w:pP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roman"/>
    <w:pitch w:val="default"/>
    <w:sig w:usb0="800002BF" w:usb1="38CF7CFA" w:usb2="00000016" w:usb3="00000000" w:csb0="00040001" w:csb1="00000000"/>
  </w:font>
  <w:font w:name="仿宋_GB2312">
    <w:altName w:val="仿宋"/>
    <w:panose1 w:val="02010609030001010101"/>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仿宋">
    <w:panose1 w:val="02010609060101010101"/>
    <w:charset w:val="86"/>
    <w:family w:val="decorative"/>
    <w:pitch w:val="default"/>
    <w:sig w:usb0="800002BF" w:usb1="38CF7CFA" w:usb2="00000016" w:usb3="00000000" w:csb0="00040001"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_GB2312">
    <w:altName w:val="仿宋"/>
    <w:panose1 w:val="02010609030001010101"/>
    <w:charset w:val="86"/>
    <w:family w:val="roma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0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Batang">
    <w:panose1 w:val="02030600000101010101"/>
    <w:charset w:val="81"/>
    <w:family w:val="auto"/>
    <w:pitch w:val="default"/>
    <w:sig w:usb0="B00002AF" w:usb1="69D77CFB" w:usb2="00000030" w:usb3="00000000" w:csb0="4008009F" w:csb1="DFD7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创艺简仿宋">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20</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abstractNum w:abstractNumId="928329504">
    <w:nsid w:val="37552F20"/>
    <w:multiLevelType w:val="singleLevel"/>
    <w:tmpl w:val="37552F20"/>
    <w:lvl w:ilvl="0" w:tentative="1">
      <w:start w:val="2"/>
      <w:numFmt w:val="chineseCounting"/>
      <w:suff w:val="nothing"/>
      <w:lvlText w:val="%1、"/>
      <w:lvlJc w:val="left"/>
      <w:pPr>
        <w:ind w:left="562" w:leftChars="0" w:firstLine="0" w:firstLineChars="0"/>
      </w:pPr>
      <w:rPr>
        <w:rFonts w:hint="eastAsia"/>
      </w:rPr>
    </w:lvl>
  </w:abstractNum>
  <w:num w:numId="1">
    <w:abstractNumId w:val="1578213565"/>
  </w:num>
  <w:num w:numId="2">
    <w:abstractNumId w:val="9283295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3F0918"/>
    <w:rsid w:val="00DA358E"/>
    <w:rsid w:val="13E54630"/>
    <w:rsid w:val="16E97311"/>
    <w:rsid w:val="27875B4E"/>
    <w:rsid w:val="28FD484F"/>
    <w:rsid w:val="3A476F2A"/>
    <w:rsid w:val="41D2798B"/>
    <w:rsid w:val="423F0918"/>
    <w:rsid w:val="4D0C0AF1"/>
    <w:rsid w:val="6937082E"/>
    <w:rsid w:val="70CB089A"/>
    <w:rsid w:val="7C57508E"/>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2021-01-13T08:54:00Z</dcterms:created>
  <dc:creator>Administrator</dc:creator>
  <cp:lastModifiedBy>Administrator</cp:lastModifiedBy>
  <dcterms:modified xsi:type="dcterms:W3CDTF">2021-09-09T07:43:53Z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3FD4FFB6E2634594822C4563D94006FC</vt:lpwstr>
  </property>
</Properties>
</file>