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..........................5-7</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...........................8-13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.........................14-20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.............................15</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（四）估价方法的选用................................15</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（五）估价测算过程...............................16-20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（六）估价结果确定..................................20</w:t>
      </w:r>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致委托方函</w:t>
      </w:r>
    </w:p>
    <w:p>
      <w:pPr>
        <w:ind w:firstLine="560" w:firstLineChars="200"/>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孝感市孝南区人民法院：</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受贵方（以下简称委托方）的委托，本公司</w:t>
      </w:r>
      <w:r>
        <w:rPr>
          <w:rFonts w:hint="eastAsia" w:ascii="仿宋_GB2312" w:hAnsi="宋体" w:eastAsia="仿宋_GB2312" w:cs="Times New Roman"/>
          <w:kern w:val="2"/>
          <w:sz w:val="28"/>
          <w:szCs w:val="28"/>
          <w:highlight w:val="none"/>
          <w:lang w:val="en-US" w:eastAsia="zh-CN" w:bidi="ar-SA"/>
        </w:rPr>
        <w:t>于2021年09月08日派</w:t>
      </w:r>
      <w:r>
        <w:rPr>
          <w:rFonts w:hint="eastAsia" w:ascii="仿宋_GB2312" w:hAnsi="宋体" w:eastAsia="仿宋_GB2312" w:cs="Times New Roman"/>
          <w:kern w:val="2"/>
          <w:sz w:val="28"/>
          <w:szCs w:val="28"/>
          <w:lang w:val="en-US" w:eastAsia="zh-CN" w:bidi="ar-SA"/>
        </w:rPr>
        <w:t>员对委托方列明的姚栋梁、张翠双共同共有的、位于汉川市人民大道世纪新城B-1幢1单元10层1001室，建筑面积为132.25平方米的住宅房屋（含相关权益）进行了现场实地查勘，并对估价对象房地产于估价时</w:t>
      </w:r>
      <w:r>
        <w:rPr>
          <w:rFonts w:hint="eastAsia" w:ascii="仿宋_GB2312" w:hAnsi="宋体" w:eastAsia="仿宋_GB2312" w:cs="Times New Roman"/>
          <w:kern w:val="2"/>
          <w:sz w:val="28"/>
          <w:szCs w:val="28"/>
          <w:highlight w:val="none"/>
          <w:lang w:val="en-US" w:eastAsia="zh-CN" w:bidi="ar-SA"/>
        </w:rPr>
        <w:t>点2021年09月08日的市</w:t>
      </w:r>
      <w:r>
        <w:rPr>
          <w:rFonts w:hint="eastAsia" w:ascii="仿宋_GB2312" w:hAnsi="宋体" w:eastAsia="仿宋_GB2312" w:cs="Times New Roman"/>
          <w:kern w:val="2"/>
          <w:sz w:val="28"/>
          <w:szCs w:val="28"/>
          <w:lang w:val="en-US" w:eastAsia="zh-CN" w:bidi="ar-SA"/>
        </w:rPr>
        <w:t>场价值进行了估价，为委托方处理案件确定财产处置参考价提供价格咨询参考依据。</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在整个估价过程中，估价人员本着独立、客观、公正的原则，根据估价目的，按照估价程序，选择市场法对估价对象进行了评估。估价人员经过实地勘察和评估测算，确定估价对象在估价时点可能形成的市场价</w:t>
      </w:r>
      <w:r>
        <w:rPr>
          <w:rFonts w:hint="eastAsia" w:ascii="仿宋_GB2312" w:hAnsi="宋体" w:eastAsia="仿宋_GB2312" w:cs="Times New Roman"/>
          <w:kern w:val="2"/>
          <w:sz w:val="28"/>
          <w:szCs w:val="28"/>
          <w:highlight w:val="none"/>
          <w:lang w:val="en-US" w:eastAsia="zh-CN" w:bidi="ar-SA"/>
        </w:rPr>
        <w:t>值为</w:t>
      </w:r>
      <w:r>
        <w:rPr>
          <w:rFonts w:hint="eastAsia" w:ascii="仿宋_GB2312" w:hAnsi="宋体" w:eastAsia="仿宋_GB2312" w:cs="Times New Roman"/>
          <w:kern w:val="2"/>
          <w:sz w:val="28"/>
          <w:szCs w:val="28"/>
          <w:lang w:val="en-US" w:eastAsia="zh-CN" w:bidi="ar-SA"/>
        </w:rPr>
        <w:t>￥</w:t>
      </w:r>
      <w:r>
        <w:rPr>
          <w:rFonts w:hint="eastAsia" w:ascii="仿宋" w:hAnsi="仿宋" w:eastAsia="仿宋" w:cs="仿宋"/>
          <w:kern w:val="2"/>
          <w:sz w:val="28"/>
          <w:szCs w:val="28"/>
          <w:lang w:val="en-US" w:eastAsia="zh-CN" w:bidi="ar-SA"/>
        </w:rPr>
        <w:t>1086434</w:t>
      </w:r>
      <w:r>
        <w:rPr>
          <w:rFonts w:hint="eastAsia" w:ascii="仿宋_GB2312" w:hAnsi="宋体" w:eastAsia="仿宋_GB2312" w:cs="Times New Roman"/>
          <w:kern w:val="2"/>
          <w:sz w:val="28"/>
          <w:szCs w:val="28"/>
          <w:lang w:val="en-US" w:eastAsia="zh-CN" w:bidi="ar-SA"/>
        </w:rPr>
        <w:t>元(大写人民币壹佰零捌万陆仟肆佰叁拾肆元整)</w:t>
      </w:r>
      <w:r>
        <w:rPr>
          <w:rFonts w:hint="eastAsia" w:ascii="仿宋_GB2312" w:hAnsi="宋体" w:eastAsia="仿宋_GB2312" w:cs="Times New Roman"/>
          <w:kern w:val="2"/>
          <w:sz w:val="28"/>
          <w:szCs w:val="28"/>
          <w:highlight w:val="none"/>
          <w:lang w:val="en-US" w:eastAsia="zh-CN" w:bidi="ar-SA"/>
        </w:rPr>
        <w:t>。</w:t>
      </w:r>
    </w:p>
    <w:p>
      <w:pPr>
        <w:rPr>
          <w:rFonts w:hint="eastAsia" w:ascii="仿宋_GB2312" w:hAnsi="宋体" w:eastAsia="仿宋_GB2312" w:cs="Times New Roman"/>
          <w:kern w:val="2"/>
          <w:sz w:val="28"/>
          <w:szCs w:val="28"/>
          <w:lang w:val="en-US" w:eastAsia="zh-CN" w:bidi="ar-SA"/>
        </w:rPr>
      </w:pPr>
    </w:p>
    <w:p>
      <w:pPr>
        <w:rPr>
          <w:rFonts w:hint="eastAsia" w:ascii="仿宋" w:hAnsi="仿宋" w:eastAsia="仿宋"/>
          <w:sz w:val="30"/>
          <w:szCs w:val="30"/>
        </w:rPr>
      </w:pPr>
    </w:p>
    <w:p>
      <w:pPr>
        <w:rPr>
          <w:rFonts w:hint="eastAsia" w:ascii="仿宋" w:hAnsi="仿宋" w:eastAsia="仿宋" w:cs="仿宋"/>
          <w:sz w:val="30"/>
          <w:szCs w:val="30"/>
          <w:lang w:val="en-US" w:eastAsia="zh-CN"/>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二○二一年九月十八日</w:t>
      </w: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ascii="仿宋" w:hAnsi="仿宋" w:eastAsia="仿宋"/>
          <w:b/>
          <w:bCs/>
          <w:sz w:val="30"/>
          <w:szCs w:val="30"/>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1、估价对象产权手续齐全，房屋产权明确清晰，可在公开市场上自由转让交易。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2、本评估报告使用人须正确理解和使用评估结论，评估结论不等同于评估对象可实现价格，评估结论不应当被认为是对评估对象可实现价格的保证。</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w:t>
      </w:r>
      <w:r>
        <w:rPr>
          <w:rFonts w:hint="eastAsia" w:ascii="仿宋_GB2312" w:hAnsi="仿宋" w:eastAsia="仿宋_GB2312"/>
          <w:b w:val="0"/>
          <w:bCs/>
          <w:sz w:val="28"/>
          <w:szCs w:val="28"/>
          <w:lang w:val="en-US" w:eastAsia="zh-CN"/>
        </w:rPr>
        <w:t>当事人或其他利害关系人对本估价报告如有异议，可以在收到估价报告10日内以书面形式向人民法院提出。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4、估价结果是根据估价对象的使用年限，以及现场实物勘查情况，结合市场实际交易实例，采用市场法进行综合估算的。</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5、评估过程中，没有考虑该房屋产权被抵押、查封后对估价结果的影响。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二○二一年九月十八日</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 w:hAnsi="仿宋"/>
          <w:b/>
          <w:w w:val="40"/>
          <w:sz w:val="140"/>
          <w:szCs w:val="140"/>
        </w:rPr>
      </w:pPr>
      <w:r>
        <w:rPr>
          <w:rFonts w:hint="eastAsia" w:ascii="仿宋" w:hAnsi="仿宋"/>
          <w:b/>
          <w:w w:val="40"/>
          <w:sz w:val="140"/>
          <w:szCs w:val="140"/>
          <w:lang w:val="en-US" w:eastAsia="zh-CN"/>
        </w:rPr>
        <w:t xml:space="preserve"> </w:t>
      </w:r>
      <w:r>
        <w:rPr>
          <w:rFonts w:hint="eastAsia" w:ascii="仿宋" w:hAnsi="仿宋"/>
          <w:b/>
          <w:w w:val="40"/>
          <w:sz w:val="140"/>
          <w:szCs w:val="140"/>
        </w:rPr>
        <w:t>湖北循其本价格鉴定评估有限公司</w:t>
      </w:r>
    </w:p>
    <w:p>
      <w:pPr>
        <w:ind w:left="-92" w:leftChars="-85" w:right="-147" w:rightChars="-70" w:hanging="86" w:hangingChars="31"/>
        <w:jc w:val="center"/>
        <w:rPr>
          <w:rFonts w:hint="eastAsia" w:ascii="仿宋_GB2312" w:hAnsi="仿宋" w:eastAsia="仿宋_GB2312"/>
          <w:kern w:val="13"/>
          <w:sz w:val="28"/>
          <w:szCs w:val="28"/>
          <w:highlight w:val="none"/>
        </w:rPr>
      </w:pPr>
      <w:r>
        <w:rPr>
          <w:sz w:val="28"/>
          <w:highlight w:val="none"/>
        </w:rPr>
        <mc:AlternateContent>
          <mc:Choice Requires="wps">
            <w:drawing>
              <wp:anchor distT="0" distB="0" distL="114300" distR="114300" simplePos="0" relativeHeight="251661312" behindDoc="0" locked="0" layoutInCell="1" allowOverlap="1">
                <wp:simplePos x="0" y="0"/>
                <wp:positionH relativeFrom="column">
                  <wp:posOffset>-100965</wp:posOffset>
                </wp:positionH>
                <wp:positionV relativeFrom="paragraph">
                  <wp:posOffset>346075</wp:posOffset>
                </wp:positionV>
                <wp:extent cx="5553075" cy="635"/>
                <wp:effectExtent l="0" t="0" r="0" b="0"/>
                <wp:wrapNone/>
                <wp:docPr id="1" name="直接连接符 1"/>
                <wp:cNvGraphicFramePr/>
                <a:graphic xmlns:a="http://schemas.openxmlformats.org/drawingml/2006/main">
                  <a:graphicData uri="http://schemas.microsoft.com/office/word/2010/wordprocessingShape">
                    <wps:wsp>
                      <wps:cNvCnPr/>
                      <wps:spPr>
                        <a:xfrm>
                          <a:off x="0" y="0"/>
                          <a:ext cx="55530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95pt;margin-top:27.25pt;height:0.05pt;width:437.25pt;z-index:251661312;mso-width-relative:page;mso-height-relative:page;" filled="f" stroked="t" coordsize="21600,21600" o:gfxdata="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wDw6NgAAAAJAQAADwAAAAAA&#10;AAABACAAAAAiAAAAZHJzL2Rvd25yZXYueG1sUEsBAhQAFAAAAAgAh07iQHPpizfaAQAAmAMAAA4A&#10;AAAAAAAAAQAgAAAAJwEAAGRycy9lMm9Eb2MueG1sUEsFBgAAAAAGAAYAWQEAAHMFA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21</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71127</w:t>
      </w:r>
      <w:r>
        <w:rPr>
          <w:rFonts w:hint="eastAsia" w:ascii="仿宋_GB2312" w:hAnsi="仿宋" w:eastAsia="仿宋_GB2312"/>
          <w:kern w:val="13"/>
          <w:sz w:val="28"/>
          <w:szCs w:val="28"/>
          <w:highlight w:val="none"/>
        </w:rPr>
        <w:t>号</w:t>
      </w:r>
    </w:p>
    <w:p>
      <w:pPr>
        <w:jc w:val="center"/>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姚栋梁、张翠双共同共有的</w:t>
      </w:r>
    </w:p>
    <w:p>
      <w:pPr>
        <w:jc w:val="center"/>
        <w:rPr>
          <w:rFonts w:hint="default" w:ascii="仿宋" w:hAnsi="仿宋" w:eastAsia="仿宋"/>
          <w:b/>
          <w:bCs/>
          <w:sz w:val="32"/>
          <w:szCs w:val="32"/>
          <w:lang w:val="en-US" w:eastAsia="zh-CN"/>
        </w:rPr>
      </w:pPr>
      <w:r>
        <w:rPr>
          <w:rFonts w:hint="eastAsia" w:ascii="仿宋" w:hAnsi="仿宋" w:eastAsia="仿宋"/>
          <w:b/>
          <w:bCs/>
          <w:sz w:val="32"/>
          <w:szCs w:val="32"/>
          <w:lang w:val="en-US" w:eastAsia="zh-CN"/>
        </w:rPr>
        <w:t>位于汉川市人民大道世纪新城B1幢1单元10层1001 室</w:t>
      </w:r>
    </w:p>
    <w:p>
      <w:pPr>
        <w:jc w:val="center"/>
        <w:rPr>
          <w:rFonts w:ascii="仿宋" w:hAnsi="仿宋" w:eastAsia="仿宋"/>
          <w:b/>
          <w:bCs/>
          <w:sz w:val="32"/>
          <w:szCs w:val="32"/>
        </w:rPr>
      </w:pPr>
      <w:r>
        <w:rPr>
          <w:rFonts w:hint="eastAsia" w:ascii="仿宋" w:hAnsi="仿宋" w:eastAsia="仿宋"/>
          <w:b/>
          <w:bCs/>
          <w:sz w:val="32"/>
          <w:szCs w:val="32"/>
        </w:rPr>
        <w:t>房地产估价结果报告</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lang w:val="en-US" w:eastAsia="zh-CN"/>
        </w:rPr>
        <w:t>（一）委托方</w:t>
      </w:r>
    </w:p>
    <w:p>
      <w:pPr>
        <w:numPr>
          <w:ilvl w:val="0"/>
          <w:numId w:val="1"/>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委托方：孝感市孝南区人民法院</w:t>
      </w:r>
    </w:p>
    <w:p>
      <w:pPr>
        <w:numPr>
          <w:ilvl w:val="0"/>
          <w:numId w:val="0"/>
        </w:numPr>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2. 住所：</w:t>
      </w:r>
      <w:r>
        <w:rPr>
          <w:rFonts w:hint="eastAsia" w:ascii="仿宋_GB2312" w:hAnsi="宋体" w:eastAsia="仿宋_GB2312" w:cs="Times New Roman"/>
          <w:kern w:val="2"/>
          <w:sz w:val="28"/>
          <w:szCs w:val="28"/>
          <w:highlight w:val="none"/>
          <w:lang w:val="en-US" w:eastAsia="zh-CN" w:bidi="ar-SA"/>
        </w:rPr>
        <w:t>湖北省孝感市孝南区黄花路38号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（二）估价方：</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1. 法定代表人：</w:t>
      </w:r>
      <w:r>
        <w:rPr>
          <w:rFonts w:hint="eastAsia" w:ascii="仿宋_GB2312" w:hAnsi="宋体" w:eastAsia="仿宋_GB2312"/>
          <w:sz w:val="28"/>
          <w:szCs w:val="28"/>
          <w:lang w:val="en-US" w:eastAsia="zh-CN"/>
        </w:rPr>
        <w:t>魏胜凯</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 住所：咸宁市长江产业园（书苑小区）3栋1单元12层1201号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（三）估价对象</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1、估价对象范围</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本次估价对象范围为姚栋梁、张翠双共同共有的、位于汉川市人民大道世纪新城B-1幢1单元10层1001室，建筑面积为132.25平方米的住宅房地产。</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2、估价对象基本情况</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经本机构人员的实地勘查和委托方提供的委托书及不动产权情况表等资料，可知估价对象实体状况如下：</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估价对象位于</w:t>
      </w:r>
      <w:r>
        <w:rPr>
          <w:rFonts w:hint="eastAsia" w:ascii="仿宋_GB2312" w:hAnsi="宋体" w:eastAsia="仿宋_GB2312" w:cs="Times New Roman"/>
          <w:kern w:val="2"/>
          <w:sz w:val="28"/>
          <w:szCs w:val="28"/>
          <w:lang w:val="en-US" w:eastAsia="zh-CN" w:bidi="ar-SA"/>
        </w:rPr>
        <w:t>汉川市人民大道世纪新城B-1幢1单元10层1001室，建筑面积为132.25平方米</w:t>
      </w:r>
      <w:r>
        <w:rPr>
          <w:rFonts w:hint="eastAsia" w:ascii="仿宋_GB2312" w:hAnsi="宋体" w:eastAsia="仿宋_GB2312" w:cs="Times New Roman"/>
          <w:kern w:val="2"/>
          <w:sz w:val="28"/>
          <w:szCs w:val="28"/>
          <w:highlight w:val="none"/>
          <w:lang w:val="en-US" w:eastAsia="zh-CN" w:bidi="ar-SA"/>
        </w:rPr>
        <w:t>，房屋所有权人为姚栋梁、张翠双，共同共有，房屋用途为住宅，房屋结构为钢筋混凝土结构，所在层/总层数为10层/17层，不动产权证书号为汉川市房权证汉川字第A201400576号。已被抵押，已被查封。</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经现场实物勘验和调查得知，估价对象房屋坐落于汉川市人民大道世纪新城小区B1幢10</w:t>
      </w:r>
      <w:r>
        <w:rPr>
          <w:rFonts w:hint="eastAsia" w:ascii="仿宋_GB2312" w:hAnsi="宋体" w:eastAsia="仿宋_GB2312" w:cs="Times New Roman"/>
          <w:kern w:val="2"/>
          <w:sz w:val="28"/>
          <w:szCs w:val="28"/>
          <w:lang w:val="en-US" w:eastAsia="zh-CN" w:bidi="ar-SA"/>
        </w:rPr>
        <w:t>层1001室，</w:t>
      </w:r>
      <w:r>
        <w:rPr>
          <w:rFonts w:hint="eastAsia" w:ascii="仿宋_GB2312" w:hAnsi="宋体" w:eastAsia="仿宋_GB2312" w:cs="Times New Roman"/>
          <w:kern w:val="2"/>
          <w:sz w:val="28"/>
          <w:szCs w:val="28"/>
          <w:highlight w:val="none"/>
          <w:lang w:val="en-US" w:eastAsia="zh-CN" w:bidi="ar-SA"/>
        </w:rPr>
        <w:t>建成于2013年，总层数为17层，所在层为第10层，为高层电梯房屋，用途为成套住宅，户型三室二厅一卫一厨，南北朝向，外墙铺贴墙砖，安装塑钢窗户，室内装修情况因多种原因未能勘验。据调查，室内为精装修，维护保养一般。</w:t>
      </w:r>
    </w:p>
    <w:p>
      <w:pPr>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（四）估价目的</w:t>
      </w:r>
    </w:p>
    <w:p>
      <w:pPr>
        <w:ind w:firstLine="560"/>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highlight w:val="none"/>
          <w:lang w:val="en-US" w:eastAsia="zh-CN" w:bidi="ar-SA"/>
        </w:rPr>
        <w:t>为委托方处理案件提供价格咨询参考依据而评估该房产市场价格，供委托方及相关当事方咨询参考。</w:t>
      </w:r>
      <w:r>
        <w:rPr>
          <w:rFonts w:hint="eastAsia" w:ascii="仿宋_GB2312" w:hAnsi="宋体" w:eastAsia="仿宋_GB2312"/>
          <w:b/>
          <w:bCs/>
          <w:sz w:val="30"/>
          <w:szCs w:val="30"/>
          <w:highlight w:val="none"/>
          <w:lang w:val="en-US" w:eastAsia="zh-CN"/>
        </w:rPr>
        <w:t xml:space="preserve"> </w:t>
      </w:r>
      <w:r>
        <w:rPr>
          <w:rFonts w:hint="eastAsia" w:ascii="仿宋_GB2312" w:hAnsi="宋体" w:eastAsia="仿宋_GB2312"/>
          <w:b/>
          <w:bCs/>
          <w:sz w:val="30"/>
          <w:szCs w:val="30"/>
          <w:lang w:val="en-US" w:eastAsia="zh-CN"/>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（五）估价时点</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二0二一年九月八日。</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（4）《中华人民共和国土地管理法》；</w:t>
      </w:r>
    </w:p>
    <w:p>
      <w:pPr>
        <w:spacing w:beforeLines="0" w:afterLines="0"/>
        <w:jc w:val="left"/>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（5）中华人民共和国国家标准《房地产估价规范》；</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8</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（1）委托方提供的价格评估鉴定委托书；</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（2）委托方提供的相关权属资料复印件及其他资料复印件。</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3、估价机构和估价人员现场查勘、调查所得的资料；掌握和收集的其它询价资料、参数资料和国家有关部门发布的统计资料和技术标准资料。</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我们按照《房地产估价规范》的规定，遵循估价行业公认的估价工作原则，对估价对象进行独立、客观、科学的评价，并遵守国家保密规定。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hint="eastAsia" w:ascii="仿宋" w:hAnsi="仿宋" w:eastAsia="仿宋"/>
          <w:sz w:val="30"/>
          <w:szCs w:val="30"/>
          <w:lang w:val="en-US" w:eastAsia="zh-CN"/>
        </w:rPr>
        <w:t>身情况的界定，也是以在</w:t>
      </w:r>
      <w:r>
        <w:rPr>
          <w:rFonts w:hint="eastAsia" w:ascii="仿宋_GB2312" w:hAnsi="宋体" w:eastAsia="仿宋_GB2312" w:cs="Times New Roman"/>
          <w:kern w:val="2"/>
          <w:sz w:val="28"/>
          <w:szCs w:val="28"/>
          <w:lang w:val="en-US" w:eastAsia="zh-CN" w:bidi="ar-SA"/>
        </w:rPr>
        <w:t>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规范要求和评估人员现场踏勘，以及对估价对象的使用年限、周边类似房地产交易实例和宗地所处区域因素等资料进行收集、分析和整理，结合评估目的，本次估价采用了市场法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估价人员经过实地勘查和测算，确定估价对象在估价时点可能形成的市场价</w:t>
      </w:r>
      <w:r>
        <w:rPr>
          <w:rFonts w:hint="eastAsia" w:ascii="仿宋_GB2312" w:hAnsi="宋体" w:eastAsia="仿宋_GB2312" w:cs="Times New Roman"/>
          <w:kern w:val="2"/>
          <w:sz w:val="28"/>
          <w:szCs w:val="28"/>
          <w:highlight w:val="none"/>
          <w:lang w:val="en-US" w:eastAsia="zh-CN" w:bidi="ar-SA"/>
        </w:rPr>
        <w:t>值为</w:t>
      </w:r>
      <w:r>
        <w:rPr>
          <w:rFonts w:hint="eastAsia" w:ascii="仿宋_GB2312" w:hAnsi="宋体" w:eastAsia="仿宋_GB2312" w:cs="Times New Roman"/>
          <w:kern w:val="2"/>
          <w:sz w:val="28"/>
          <w:szCs w:val="28"/>
          <w:lang w:val="en-US" w:eastAsia="zh-CN" w:bidi="ar-SA"/>
        </w:rPr>
        <w:t>￥</w:t>
      </w:r>
      <w:r>
        <w:rPr>
          <w:rFonts w:hint="eastAsia" w:ascii="仿宋" w:hAnsi="仿宋" w:eastAsia="仿宋" w:cs="仿宋"/>
          <w:kern w:val="2"/>
          <w:sz w:val="28"/>
          <w:szCs w:val="28"/>
          <w:lang w:val="en-US" w:eastAsia="zh-CN" w:bidi="ar-SA"/>
        </w:rPr>
        <w:t>1086434</w:t>
      </w:r>
      <w:r>
        <w:rPr>
          <w:rFonts w:hint="eastAsia" w:ascii="仿宋_GB2312" w:hAnsi="宋体" w:eastAsia="仿宋_GB2312" w:cs="Times New Roman"/>
          <w:kern w:val="2"/>
          <w:sz w:val="28"/>
          <w:szCs w:val="28"/>
          <w:lang w:val="en-US" w:eastAsia="zh-CN" w:bidi="ar-SA"/>
        </w:rPr>
        <w:t>元(大写人民币壹佰零捌万陆仟肆佰叁拾肆元整)</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cs="Times New Roman"/>
          <w:b/>
          <w:kern w:val="2"/>
          <w:sz w:val="28"/>
          <w:szCs w:val="28"/>
          <w:lang w:val="zh-CN" w:eastAsia="zh-CN" w:bidi="ar-SA"/>
        </w:rPr>
      </w:pPr>
      <w:r>
        <w:rPr>
          <w:rFonts w:hint="eastAsia" w:ascii="仿宋_GB2312" w:hAnsi="仿宋" w:eastAsia="仿宋_GB2312" w:cs="Times New Roman"/>
          <w:b/>
          <w:kern w:val="2"/>
          <w:sz w:val="28"/>
          <w:szCs w:val="28"/>
          <w:lang w:val="en-US" w:eastAsia="zh-CN" w:bidi="ar-SA"/>
        </w:rPr>
        <w:t xml:space="preserve">   </w:t>
      </w:r>
      <w:r>
        <w:rPr>
          <w:rFonts w:hint="eastAsia" w:ascii="仿宋_GB2312" w:hAnsi="仿宋" w:eastAsia="仿宋_GB2312" w:cs="Times New Roman"/>
          <w:b/>
          <w:kern w:val="2"/>
          <w:sz w:val="28"/>
          <w:szCs w:val="28"/>
          <w:lang w:val="zh-CN" w:eastAsia="zh-CN" w:bidi="ar-SA"/>
        </w:rPr>
        <w:t>（十一）价格评估机构</w:t>
      </w:r>
    </w:p>
    <w:p>
      <w:pPr>
        <w:pStyle w:val="4"/>
        <w:spacing w:line="600" w:lineRule="exact"/>
        <w:ind w:firstLine="560" w:firstLineChars="200"/>
        <w:jc w:val="both"/>
        <w:rPr>
          <w:rFonts w:hint="eastAsia" w:ascii="仿宋_GB2312" w:hAnsi="仿宋" w:eastAsia="仿宋_GB2312" w:cs="Times New Roman"/>
          <w:kern w:val="2"/>
          <w:sz w:val="28"/>
          <w:szCs w:val="28"/>
          <w:lang w:val="zh-CN" w:eastAsia="zh-CN" w:bidi="ar-SA"/>
        </w:rPr>
      </w:pPr>
      <w:r>
        <w:rPr>
          <w:rFonts w:hint="eastAsia" w:ascii="仿宋_GB2312" w:hAnsi="仿宋" w:eastAsia="仿宋_GB2312" w:cs="Times New Roman"/>
          <w:kern w:val="2"/>
          <w:sz w:val="28"/>
          <w:szCs w:val="28"/>
          <w:lang w:val="zh-CN" w:eastAsia="zh-CN" w:bidi="ar-SA"/>
        </w:rPr>
        <w:t>机构名称：湖北循其本价格鉴定评估有限公司</w:t>
      </w:r>
    </w:p>
    <w:p>
      <w:pPr>
        <w:pStyle w:val="4"/>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zh-CN" w:eastAsia="zh-CN" w:bidi="ar-SA"/>
        </w:rPr>
        <w:t>机构资质证号：中</w:t>
      </w:r>
      <w:r>
        <w:rPr>
          <w:rFonts w:hint="eastAsia" w:ascii="仿宋_GB2312" w:hAnsi="仿宋" w:eastAsia="仿宋_GB2312" w:cs="Times New Roman"/>
          <w:kern w:val="2"/>
          <w:sz w:val="28"/>
          <w:szCs w:val="28"/>
          <w:lang w:val="en-US" w:eastAsia="zh-CN" w:bidi="ar-SA"/>
        </w:rPr>
        <w:t>J</w:t>
      </w:r>
      <w:r>
        <w:rPr>
          <w:rFonts w:hint="eastAsia" w:ascii="仿宋_GB2312" w:hAnsi="仿宋" w:eastAsia="仿宋_GB2312" w:cs="Times New Roman"/>
          <w:kern w:val="2"/>
          <w:sz w:val="28"/>
          <w:szCs w:val="28"/>
          <w:lang w:val="zh-CN" w:eastAsia="zh-CN" w:bidi="ar-SA"/>
        </w:rPr>
        <w:t>1</w:t>
      </w:r>
      <w:r>
        <w:rPr>
          <w:rFonts w:hint="eastAsia" w:ascii="仿宋_GB2312" w:hAnsi="仿宋" w:eastAsia="仿宋_GB2312" w:cs="Times New Roman"/>
          <w:kern w:val="2"/>
          <w:sz w:val="28"/>
          <w:szCs w:val="28"/>
          <w:lang w:val="en-US" w:eastAsia="zh-CN" w:bidi="ar-SA"/>
        </w:rPr>
        <w:t>7</w:t>
      </w:r>
      <w:r>
        <w:rPr>
          <w:rFonts w:hint="eastAsia" w:ascii="仿宋_GB2312" w:hAnsi="仿宋" w:eastAsia="仿宋_GB2312" w:cs="Times New Roman"/>
          <w:kern w:val="2"/>
          <w:sz w:val="28"/>
          <w:szCs w:val="28"/>
          <w:lang w:val="zh-CN" w:eastAsia="zh-CN" w:bidi="ar-SA"/>
        </w:rPr>
        <w:t>000</w:t>
      </w:r>
      <w:r>
        <w:rPr>
          <w:rFonts w:hint="eastAsia" w:ascii="仿宋_GB2312" w:hAnsi="仿宋" w:eastAsia="仿宋_GB2312" w:cs="Times New Roman"/>
          <w:kern w:val="2"/>
          <w:sz w:val="28"/>
          <w:szCs w:val="28"/>
          <w:lang w:val="en-US" w:eastAsia="zh-CN" w:bidi="ar-SA"/>
        </w:rPr>
        <w:t>4</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（十二）估价专业人员</w:t>
      </w:r>
      <w:r>
        <w:rPr>
          <w:rFonts w:hint="eastAsia" w:ascii="仿宋_GB2312" w:hAnsi="宋体" w:eastAsia="仿宋_GB2312" w:cs="Times New Roman"/>
          <w:kern w:val="2"/>
          <w:sz w:val="28"/>
          <w:szCs w:val="28"/>
          <w:lang w:val="en-US" w:eastAsia="zh-CN" w:bidi="ar-SA"/>
        </w:rPr>
        <w:t xml:space="preserve">   </w:t>
      </w:r>
    </w:p>
    <w:tbl>
      <w:tblPr>
        <w:tblStyle w:val="8"/>
        <w:tblpPr w:leftFromText="180" w:rightFromText="180" w:vertAnchor="text" w:horzAnchor="page" w:tblpXSpec="center" w:tblpY="81"/>
        <w:tblOverlap w:val="never"/>
        <w:tblW w:w="77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875"/>
        <w:gridCol w:w="1625"/>
        <w:gridCol w:w="2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0"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姓  名</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资格证名号</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资格证号</w:t>
            </w:r>
          </w:p>
        </w:tc>
        <w:tc>
          <w:tcPr>
            <w:tcW w:w="2765" w:type="dxa"/>
            <w:vAlign w:val="center"/>
          </w:tcPr>
          <w:p>
            <w:pPr>
              <w:spacing w:line="600" w:lineRule="exact"/>
              <w:jc w:val="center"/>
              <w:rPr>
                <w:rFonts w:hint="eastAsia" w:ascii="仿宋_GB2312" w:hAnsi="仿宋_GB2312" w:eastAsia="仿宋_GB2312" w:cs="仿宋_GB2312"/>
                <w:color w:val="000000"/>
                <w:sz w:val="24"/>
                <w:szCs w:val="24"/>
                <w:lang w:val="zh-CN"/>
              </w:rPr>
            </w:pPr>
            <w:r>
              <w:rPr>
                <w:rStyle w:val="11"/>
                <w:rFonts w:hint="eastAsia" w:ascii="仿宋" w:hAnsi="仿宋" w:eastAsia="仿宋" w:cs="宋体"/>
                <w:color w:val="000000"/>
                <w:sz w:val="30"/>
                <w:szCs w:val="30"/>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0"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孙  坚</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0003035</w:t>
            </w:r>
          </w:p>
        </w:tc>
        <w:tc>
          <w:tcPr>
            <w:tcW w:w="2765" w:type="dxa"/>
            <w:vAlign w:val="center"/>
          </w:tcPr>
          <w:p>
            <w:pPr>
              <w:pStyle w:val="4"/>
              <w:spacing w:line="600" w:lineRule="exact"/>
              <w:jc w:val="center"/>
              <w:rPr>
                <w:rFonts w:hint="eastAsia" w:ascii="仿宋_GB2312" w:hAnsi="仿宋_GB2312" w:eastAsia="仿宋_GB2312" w:cs="仿宋_GB2312"/>
                <w:color w:val="000000"/>
                <w:sz w:val="24"/>
                <w:szCs w:val="24"/>
                <w:lang w:val="zh-CN"/>
              </w:rPr>
            </w:pPr>
            <w:r>
              <w:rPr>
                <w:rFonts w:hint="eastAsia" w:ascii="仿宋" w:hAnsi="仿宋" w:eastAsia="仿宋" w:cs="仿宋"/>
                <w:sz w:val="32"/>
                <w:szCs w:val="32"/>
              </w:rPr>
              <w:drawing>
                <wp:anchor distT="0" distB="0" distL="114300" distR="114300" simplePos="0" relativeHeight="251701248" behindDoc="1" locked="0" layoutInCell="1" allowOverlap="1">
                  <wp:simplePos x="0" y="0"/>
                  <wp:positionH relativeFrom="column">
                    <wp:posOffset>133350</wp:posOffset>
                  </wp:positionH>
                  <wp:positionV relativeFrom="paragraph">
                    <wp:posOffset>243205</wp:posOffset>
                  </wp:positionV>
                  <wp:extent cx="1273810" cy="491490"/>
                  <wp:effectExtent l="0" t="0" r="2540" b="3810"/>
                  <wp:wrapNone/>
                  <wp:docPr id="2" name="图片 7"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8"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刘汉生</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0017039</w:t>
            </w:r>
          </w:p>
        </w:tc>
        <w:tc>
          <w:tcPr>
            <w:tcW w:w="2765" w:type="dxa"/>
            <w:vAlign w:val="center"/>
          </w:tcPr>
          <w:p>
            <w:pPr>
              <w:pStyle w:val="4"/>
              <w:rPr>
                <w:rFonts w:hint="eastAsia" w:ascii="仿宋" w:hAnsi="仿宋" w:eastAsia="仿宋"/>
                <w:color w:val="000000"/>
                <w:sz w:val="32"/>
                <w:szCs w:val="32"/>
              </w:rPr>
            </w:pPr>
            <w:r>
              <w:rPr>
                <w:lang w:val="zh-CN" w:eastAsia="zh-CN"/>
              </w:rPr>
              <w:drawing>
                <wp:anchor distT="0" distB="0" distL="114300" distR="114300" simplePos="0" relativeHeight="251703296" behindDoc="0" locked="0" layoutInCell="1" allowOverlap="1">
                  <wp:simplePos x="0" y="0"/>
                  <wp:positionH relativeFrom="column">
                    <wp:posOffset>-27305</wp:posOffset>
                  </wp:positionH>
                  <wp:positionV relativeFrom="paragraph">
                    <wp:posOffset>67945</wp:posOffset>
                  </wp:positionV>
                  <wp:extent cx="1494790" cy="1033780"/>
                  <wp:effectExtent l="0" t="0" r="10795" b="0"/>
                  <wp:wrapNone/>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8"/>
                          <a:stretch>
                            <a:fillRect/>
                          </a:stretch>
                        </pic:blipFill>
                        <pic:spPr>
                          <a:xfrm>
                            <a:off x="0" y="0"/>
                            <a:ext cx="1494790" cy="1033780"/>
                          </a:xfrm>
                          <a:prstGeom prst="rect">
                            <a:avLst/>
                          </a:prstGeom>
                          <a:noFill/>
                          <a:ln w="9525">
                            <a:noFill/>
                            <a:miter/>
                          </a:ln>
                          <a:effectLst/>
                        </pic:spPr>
                      </pic:pic>
                    </a:graphicData>
                  </a:graphic>
                </wp:anchor>
              </w:drawing>
            </w:r>
            <w:r>
              <w:rPr>
                <w:rFonts w:hint="eastAsia" w:ascii="仿宋" w:hAnsi="仿宋" w:eastAsia="仿宋"/>
                <w:color w:val="000000"/>
                <w:sz w:val="32"/>
                <w:szCs w:val="32"/>
              </w:rPr>
              <w:drawing>
                <wp:anchor distT="0" distB="0" distL="114300" distR="114300" simplePos="0" relativeHeight="251704320" behindDoc="0" locked="0" layoutInCell="1" allowOverlap="1">
                  <wp:simplePos x="0" y="0"/>
                  <wp:positionH relativeFrom="column">
                    <wp:posOffset>158115</wp:posOffset>
                  </wp:positionH>
                  <wp:positionV relativeFrom="page">
                    <wp:posOffset>209550</wp:posOffset>
                  </wp:positionV>
                  <wp:extent cx="635" cy="635"/>
                  <wp:effectExtent l="0" t="0" r="0" b="0"/>
                  <wp:wrapNone/>
                  <wp:docPr id="5" name="图片 5"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a:effectLst/>
                        </pic:spPr>
                      </pic:pic>
                    </a:graphicData>
                  </a:graphic>
                </wp:anchor>
              </w:drawing>
            </w:r>
          </w:p>
          <w:p>
            <w:pPr>
              <w:pStyle w:val="4"/>
              <w:rPr>
                <w:rFonts w:hint="eastAsia" w:ascii="仿宋_GB2312" w:hAnsi="仿宋_GB2312" w:eastAsia="仿宋_GB2312" w:cs="仿宋_GB2312"/>
                <w:color w:val="000000"/>
                <w:sz w:val="24"/>
                <w:szCs w:val="24"/>
                <w:lang w:val="zh-CN"/>
              </w:rPr>
            </w:pPr>
          </w:p>
        </w:tc>
      </w:tr>
    </w:tbl>
    <w:p>
      <w:pPr>
        <w:numPr>
          <w:ilvl w:val="0"/>
          <w:numId w:val="0"/>
        </w:numPr>
        <w:rPr>
          <w:rFonts w:hint="eastAsia" w:ascii="仿宋_GB2312" w:hAnsi="宋体" w:eastAsia="仿宋_GB2312"/>
          <w:b/>
          <w:bCs/>
          <w:sz w:val="30"/>
          <w:szCs w:val="30"/>
          <w:highlight w:val="none"/>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highlight w:val="none"/>
          <w:lang w:val="en-US" w:eastAsia="zh-CN"/>
        </w:rPr>
        <w:t xml:space="preserve">   </w:t>
      </w:r>
    </w:p>
    <w:p>
      <w:pPr>
        <w:numPr>
          <w:ilvl w:val="0"/>
          <w:numId w:val="0"/>
        </w:numPr>
        <w:rPr>
          <w:rFonts w:hint="eastAsia" w:ascii="仿宋_GB2312" w:hAnsi="宋体" w:eastAsia="仿宋_GB2312"/>
          <w:b/>
          <w:bCs/>
          <w:sz w:val="30"/>
          <w:szCs w:val="30"/>
          <w:highlight w:val="none"/>
          <w:lang w:val="en-US" w:eastAsia="zh-CN"/>
        </w:rPr>
      </w:pPr>
    </w:p>
    <w:p>
      <w:pPr>
        <w:numPr>
          <w:ilvl w:val="0"/>
          <w:numId w:val="0"/>
        </w:numPr>
        <w:rPr>
          <w:rFonts w:hint="eastAsia" w:ascii="仿宋_GB2312" w:hAnsi="宋体" w:eastAsia="仿宋_GB2312"/>
          <w:b/>
          <w:bCs/>
          <w:sz w:val="30"/>
          <w:szCs w:val="30"/>
          <w:highlight w:val="none"/>
          <w:lang w:val="en-US" w:eastAsia="zh-CN"/>
        </w:rPr>
      </w:pPr>
    </w:p>
    <w:p>
      <w:pPr>
        <w:numPr>
          <w:ilvl w:val="0"/>
          <w:numId w:val="0"/>
        </w:numPr>
        <w:rPr>
          <w:rFonts w:hint="eastAsia" w:ascii="仿宋_GB2312" w:hAnsi="宋体" w:eastAsia="仿宋_GB2312"/>
          <w:b/>
          <w:bCs/>
          <w:sz w:val="30"/>
          <w:szCs w:val="30"/>
          <w:highlight w:val="none"/>
          <w:lang w:val="en-US" w:eastAsia="zh-CN"/>
        </w:rPr>
      </w:pPr>
    </w:p>
    <w:p>
      <w:pPr>
        <w:numPr>
          <w:ilvl w:val="0"/>
          <w:numId w:val="0"/>
        </w:numPr>
        <w:rPr>
          <w:rFonts w:hint="eastAsia" w:ascii="仿宋_GB2312" w:hAnsi="宋体" w:eastAsia="仿宋_GB2312"/>
          <w:b/>
          <w:bCs/>
          <w:sz w:val="30"/>
          <w:szCs w:val="30"/>
          <w:highlight w:val="none"/>
          <w:lang w:val="en-US" w:eastAsia="zh-CN"/>
        </w:rPr>
      </w:pPr>
    </w:p>
    <w:p>
      <w:pPr>
        <w:numPr>
          <w:ilvl w:val="0"/>
          <w:numId w:val="0"/>
        </w:numPr>
        <w:rPr>
          <w:rFonts w:hint="eastAsia" w:ascii="仿宋_GB2312" w:hAnsi="宋体" w:eastAsia="仿宋_GB2312"/>
          <w:b/>
          <w:bCs/>
          <w:sz w:val="30"/>
          <w:szCs w:val="30"/>
          <w:highlight w:val="none"/>
          <w:lang w:val="en-US" w:eastAsia="zh-CN"/>
        </w:rPr>
      </w:pPr>
    </w:p>
    <w:p>
      <w:pPr>
        <w:numPr>
          <w:ilvl w:val="0"/>
          <w:numId w:val="0"/>
        </w:numPr>
        <w:rPr>
          <w:rFonts w:hint="eastAsia" w:ascii="仿宋_GB2312" w:hAnsi="宋体" w:eastAsia="仿宋_GB2312"/>
          <w:b/>
          <w:bCs/>
          <w:sz w:val="30"/>
          <w:szCs w:val="30"/>
          <w:highlight w:val="none"/>
          <w:lang w:val="en-US" w:eastAsia="zh-CN"/>
        </w:rPr>
      </w:pPr>
    </w:p>
    <w:p>
      <w:pPr>
        <w:numPr>
          <w:ilvl w:val="0"/>
          <w:numId w:val="0"/>
        </w:numPr>
        <w:rPr>
          <w:rStyle w:val="11"/>
          <w:rFonts w:hint="eastAsia" w:ascii="仿宋_GB2312" w:hAnsi="仿宋" w:eastAsia="仿宋_GB2312" w:cs="宋体"/>
          <w:b/>
          <w:sz w:val="28"/>
          <w:szCs w:val="28"/>
          <w:highlight w:val="none"/>
        </w:rPr>
      </w:pPr>
      <w:r>
        <w:rPr>
          <w:rFonts w:hint="eastAsia" w:ascii="仿宋_GB2312" w:hAnsi="宋体" w:eastAsia="仿宋_GB2312"/>
          <w:b/>
          <w:bCs/>
          <w:sz w:val="30"/>
          <w:szCs w:val="30"/>
          <w:highlight w:val="none"/>
          <w:lang w:val="en-US" w:eastAsia="zh-CN"/>
        </w:rPr>
        <w:t xml:space="preserve">   （十三）</w:t>
      </w:r>
      <w:r>
        <w:rPr>
          <w:rFonts w:hint="eastAsia" w:ascii="仿宋_GB2312" w:hAnsi="仿宋" w:eastAsia="仿宋_GB2312"/>
          <w:b/>
          <w:sz w:val="28"/>
          <w:szCs w:val="28"/>
          <w:highlight w:val="none"/>
        </w:rPr>
        <w:t>评估报告日</w:t>
      </w:r>
      <w:r>
        <w:rPr>
          <w:rStyle w:val="11"/>
          <w:rFonts w:hint="eastAsia" w:ascii="仿宋" w:hAnsi="仿宋" w:eastAsia="仿宋_GB2312" w:cs="宋体"/>
          <w:b/>
          <w:sz w:val="28"/>
          <w:szCs w:val="28"/>
          <w:highlight w:val="none"/>
        </w:rPr>
        <w:t> </w:t>
      </w:r>
    </w:p>
    <w:p>
      <w:pPr>
        <w:ind w:firstLine="560" w:firstLineChars="200"/>
        <w:rPr>
          <w:rFonts w:hint="eastAsia" w:ascii="仿宋_GB2312" w:hAnsi="宋体" w:eastAsia="仿宋_GB2312" w:cs="Times New Roman"/>
          <w:kern w:val="2"/>
          <w:sz w:val="28"/>
          <w:szCs w:val="28"/>
          <w:highlight w:val="none"/>
          <w:lang w:val="en-US" w:eastAsia="zh-CN" w:bidi="ar-SA"/>
        </w:rPr>
      </w:pPr>
      <w:r>
        <w:rPr>
          <w:rStyle w:val="11"/>
          <w:rFonts w:hint="eastAsia" w:ascii="仿宋_GB2312" w:hAnsi="仿宋" w:eastAsia="仿宋_GB2312" w:cs="宋体"/>
          <w:color w:val="000000"/>
          <w:sz w:val="28"/>
          <w:szCs w:val="28"/>
        </w:rPr>
        <w:t>评估报告日为评估人员专业意见形成日</w:t>
      </w:r>
      <w:r>
        <w:rPr>
          <w:rStyle w:val="11"/>
          <w:rFonts w:hint="eastAsia" w:ascii="仿宋_GB2312" w:hAnsi="仿宋" w:eastAsia="仿宋_GB2312" w:cs="宋体"/>
          <w:color w:val="000000"/>
          <w:sz w:val="28"/>
          <w:szCs w:val="28"/>
          <w:lang w:eastAsia="zh-CN"/>
        </w:rPr>
        <w:t>，</w:t>
      </w:r>
      <w:r>
        <w:rPr>
          <w:rStyle w:val="11"/>
          <w:rFonts w:hint="eastAsia" w:ascii="仿宋_GB2312" w:hAnsi="仿宋" w:eastAsia="仿宋_GB2312" w:cs="宋体"/>
          <w:sz w:val="28"/>
          <w:szCs w:val="28"/>
          <w:highlight w:val="none"/>
        </w:rPr>
        <w:t>本次出具评估报告日期为20</w:t>
      </w:r>
      <w:r>
        <w:rPr>
          <w:rStyle w:val="11"/>
          <w:rFonts w:hint="eastAsia" w:ascii="仿宋_GB2312" w:hAnsi="仿宋" w:eastAsia="仿宋_GB2312" w:cs="宋体"/>
          <w:sz w:val="28"/>
          <w:szCs w:val="28"/>
          <w:highlight w:val="none"/>
          <w:lang w:val="en-US" w:eastAsia="zh-CN"/>
        </w:rPr>
        <w:t>21</w:t>
      </w:r>
      <w:r>
        <w:rPr>
          <w:rStyle w:val="11"/>
          <w:rFonts w:hint="eastAsia" w:ascii="仿宋_GB2312" w:hAnsi="仿宋" w:eastAsia="仿宋_GB2312" w:cs="宋体"/>
          <w:sz w:val="28"/>
          <w:szCs w:val="28"/>
          <w:highlight w:val="none"/>
        </w:rPr>
        <w:t>年</w:t>
      </w:r>
      <w:r>
        <w:rPr>
          <w:rStyle w:val="11"/>
          <w:rFonts w:hint="eastAsia" w:ascii="仿宋_GB2312" w:hAnsi="仿宋" w:eastAsia="仿宋_GB2312" w:cs="宋体"/>
          <w:sz w:val="28"/>
          <w:szCs w:val="28"/>
          <w:highlight w:val="none"/>
          <w:lang w:val="en-US" w:eastAsia="zh-CN"/>
        </w:rPr>
        <w:t>09</w:t>
      </w:r>
      <w:r>
        <w:rPr>
          <w:rStyle w:val="11"/>
          <w:rFonts w:hint="eastAsia" w:ascii="仿宋_GB2312" w:hAnsi="仿宋" w:eastAsia="仿宋_GB2312" w:cs="宋体"/>
          <w:sz w:val="28"/>
          <w:szCs w:val="28"/>
          <w:highlight w:val="none"/>
        </w:rPr>
        <w:t>月</w:t>
      </w:r>
      <w:r>
        <w:rPr>
          <w:rStyle w:val="11"/>
          <w:rFonts w:hint="eastAsia" w:ascii="仿宋_GB2312" w:hAnsi="仿宋" w:eastAsia="仿宋_GB2312" w:cs="宋体"/>
          <w:sz w:val="28"/>
          <w:szCs w:val="28"/>
          <w:highlight w:val="none"/>
          <w:lang w:val="en-US" w:eastAsia="zh-CN"/>
        </w:rPr>
        <w:t>18</w:t>
      </w:r>
      <w:r>
        <w:rPr>
          <w:rStyle w:val="11"/>
          <w:rFonts w:hint="eastAsia" w:ascii="仿宋_GB2312" w:hAnsi="仿宋" w:eastAsia="仿宋_GB2312" w:cs="宋体"/>
          <w:sz w:val="28"/>
          <w:szCs w:val="28"/>
          <w:highlight w:val="none"/>
        </w:rPr>
        <w:t>日。</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（十四）估价报告应用的有效期</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若无特别约定，估价结论有效期为从估价报告完成之日起壹年。超过有效期后需重新估价方可使用。</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 w:hAnsi="仿宋" w:eastAsia="仿宋"/>
          <w:b/>
          <w:bCs/>
          <w:sz w:val="36"/>
          <w:szCs w:val="36"/>
          <w:highlight w:val="none"/>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二○二一年九月十八日</w:t>
      </w:r>
    </w:p>
    <w:p>
      <w:pPr>
        <w:jc w:val="center"/>
        <w:rPr>
          <w:rFonts w:hint="eastAsia" w:ascii="仿宋" w:hAnsi="仿宋" w:eastAsia="仿宋"/>
          <w:b/>
          <w:bCs/>
          <w:sz w:val="36"/>
          <w:szCs w:val="36"/>
          <w:lang w:val="en-US" w:eastAsia="zh-CN"/>
        </w:rPr>
      </w:pPr>
    </w:p>
    <w:p>
      <w:pPr>
        <w:jc w:val="center"/>
        <w:rPr>
          <w:rFonts w:hint="eastAsia" w:ascii="仿宋" w:hAnsi="仿宋" w:eastAsia="仿宋"/>
          <w:b/>
          <w:bCs/>
          <w:sz w:val="36"/>
          <w:szCs w:val="36"/>
          <w:lang w:val="en-US" w:eastAsia="zh-CN"/>
        </w:rPr>
      </w:pPr>
    </w:p>
    <w:p>
      <w:pPr>
        <w:jc w:val="center"/>
        <w:rPr>
          <w:rFonts w:hint="eastAsia" w:ascii="仿宋" w:hAnsi="仿宋" w:eastAsia="仿宋"/>
          <w:b/>
          <w:bCs/>
          <w:sz w:val="36"/>
          <w:szCs w:val="36"/>
          <w:lang w:val="en-US" w:eastAsia="zh-CN"/>
        </w:rPr>
      </w:pPr>
    </w:p>
    <w:p>
      <w:pPr>
        <w:jc w:val="center"/>
        <w:rPr>
          <w:rFonts w:hint="eastAsia" w:ascii="仿宋" w:hAnsi="仿宋" w:eastAsia="仿宋"/>
          <w:b/>
          <w:bCs/>
          <w:sz w:val="36"/>
          <w:szCs w:val="36"/>
          <w:lang w:val="en-US" w:eastAsia="zh-CN"/>
        </w:rPr>
      </w:pPr>
    </w:p>
    <w:p>
      <w:pPr>
        <w:jc w:val="center"/>
        <w:rPr>
          <w:rFonts w:hint="eastAsia" w:ascii="仿宋" w:hAnsi="仿宋" w:eastAsia="仿宋"/>
          <w:b/>
          <w:bCs/>
          <w:sz w:val="36"/>
          <w:szCs w:val="36"/>
          <w:lang w:val="en-US" w:eastAsia="zh-CN"/>
        </w:rPr>
      </w:pPr>
    </w:p>
    <w:p>
      <w:pPr>
        <w:jc w:val="center"/>
        <w:rPr>
          <w:rFonts w:hint="eastAsia" w:ascii="仿宋" w:hAnsi="仿宋" w:eastAsia="仿宋"/>
          <w:b/>
          <w:bCs/>
          <w:sz w:val="36"/>
          <w:szCs w:val="36"/>
          <w:lang w:val="en-US" w:eastAsia="zh-CN"/>
        </w:rPr>
      </w:pPr>
    </w:p>
    <w:p>
      <w:pPr>
        <w:jc w:val="center"/>
        <w:rPr>
          <w:rFonts w:hint="eastAsia" w:ascii="仿宋" w:hAnsi="仿宋" w:eastAsia="仿宋"/>
          <w:b/>
          <w:bCs/>
          <w:sz w:val="36"/>
          <w:szCs w:val="36"/>
          <w:lang w:val="en-US" w:eastAsia="zh-CN"/>
        </w:rPr>
      </w:pPr>
    </w:p>
    <w:p>
      <w:pPr>
        <w:jc w:val="center"/>
        <w:rPr>
          <w:rFonts w:hint="eastAsia" w:ascii="仿宋" w:hAnsi="仿宋" w:eastAsia="仿宋"/>
          <w:b/>
          <w:bCs/>
          <w:sz w:val="36"/>
          <w:szCs w:val="36"/>
          <w:lang w:val="en-US" w:eastAsia="zh-CN"/>
        </w:rPr>
      </w:pPr>
    </w:p>
    <w:p>
      <w:pPr>
        <w:jc w:val="center"/>
        <w:rPr>
          <w:rFonts w:hint="eastAsia" w:ascii="仿宋" w:hAnsi="仿宋" w:eastAsia="仿宋"/>
          <w:b/>
          <w:bCs/>
          <w:sz w:val="36"/>
          <w:szCs w:val="36"/>
          <w:lang w:val="en-US" w:eastAsia="zh-CN"/>
        </w:rPr>
      </w:pPr>
    </w:p>
    <w:p>
      <w:pPr>
        <w:jc w:val="center"/>
        <w:rPr>
          <w:rFonts w:hint="eastAsia" w:ascii="仿宋" w:hAnsi="仿宋" w:eastAsia="仿宋"/>
          <w:b/>
          <w:bCs/>
          <w:sz w:val="36"/>
          <w:szCs w:val="36"/>
          <w:lang w:val="en-US" w:eastAsia="zh-CN"/>
        </w:rPr>
      </w:pPr>
    </w:p>
    <w:p>
      <w:pPr>
        <w:jc w:val="center"/>
        <w:rPr>
          <w:rFonts w:hint="eastAsia" w:ascii="仿宋" w:hAnsi="仿宋" w:eastAsia="仿宋"/>
          <w:b/>
          <w:bCs/>
          <w:sz w:val="36"/>
          <w:szCs w:val="36"/>
          <w:lang w:val="en-US" w:eastAsia="zh-CN"/>
        </w:rPr>
      </w:pPr>
    </w:p>
    <w:p>
      <w:pPr>
        <w:jc w:val="center"/>
        <w:rPr>
          <w:rFonts w:hint="eastAsia" w:ascii="仿宋" w:hAnsi="仿宋" w:eastAsia="仿宋"/>
          <w:b/>
          <w:bCs/>
          <w:sz w:val="36"/>
          <w:szCs w:val="36"/>
          <w:lang w:val="en-US" w:eastAsia="zh-CN"/>
        </w:rPr>
      </w:pPr>
    </w:p>
    <w:p>
      <w:pPr>
        <w:jc w:val="center"/>
        <w:rPr>
          <w:rFonts w:hint="eastAsia" w:ascii="仿宋" w:hAnsi="仿宋" w:eastAsia="仿宋"/>
          <w:b/>
          <w:bCs/>
          <w:sz w:val="36"/>
          <w:szCs w:val="36"/>
          <w:lang w:val="en-US" w:eastAsia="zh-CN"/>
        </w:rPr>
      </w:pPr>
    </w:p>
    <w:p>
      <w:pPr>
        <w:jc w:val="center"/>
        <w:rPr>
          <w:rFonts w:hint="eastAsia" w:ascii="仿宋" w:hAnsi="仿宋" w:eastAsia="仿宋"/>
          <w:b/>
          <w:bCs/>
          <w:sz w:val="36"/>
          <w:szCs w:val="36"/>
          <w:lang w:val="en-US" w:eastAsia="zh-CN"/>
        </w:rPr>
      </w:pPr>
    </w:p>
    <w:p>
      <w:pPr>
        <w:jc w:val="center"/>
        <w:rPr>
          <w:rFonts w:hint="eastAsia" w:ascii="仿宋" w:hAnsi="仿宋" w:eastAsia="仿宋"/>
          <w:b/>
          <w:bCs/>
          <w:sz w:val="36"/>
          <w:szCs w:val="36"/>
          <w:lang w:val="en-US" w:eastAsia="zh-CN"/>
        </w:rPr>
      </w:pPr>
      <w:r>
        <w:rPr>
          <w:rFonts w:hint="eastAsia" w:ascii="仿宋" w:hAnsi="仿宋" w:eastAsia="仿宋"/>
          <w:b/>
          <w:bCs/>
          <w:sz w:val="36"/>
          <w:szCs w:val="36"/>
          <w:lang w:val="en-US" w:eastAsia="zh-CN"/>
        </w:rPr>
        <w:t>姚栋梁、张翠双共同共有的</w:t>
      </w:r>
    </w:p>
    <w:p>
      <w:pPr>
        <w:jc w:val="center"/>
        <w:rPr>
          <w:rFonts w:hint="eastAsia" w:ascii="仿宋" w:hAnsi="仿宋" w:eastAsia="仿宋"/>
          <w:b/>
          <w:bCs/>
          <w:sz w:val="36"/>
          <w:szCs w:val="36"/>
        </w:rPr>
      </w:pPr>
      <w:r>
        <w:rPr>
          <w:rFonts w:hint="eastAsia" w:ascii="仿宋" w:hAnsi="仿宋" w:eastAsia="仿宋"/>
          <w:b/>
          <w:bCs/>
          <w:sz w:val="36"/>
          <w:szCs w:val="36"/>
          <w:lang w:val="en-US" w:eastAsia="zh-CN"/>
        </w:rPr>
        <w:t>位于汉川市人民大道世纪新城B1幢1单元10层1001 室</w:t>
      </w:r>
      <w:r>
        <w:rPr>
          <w:rFonts w:hint="eastAsia" w:ascii="仿宋" w:hAnsi="仿宋" w:eastAsia="仿宋"/>
          <w:b/>
          <w:bCs/>
          <w:sz w:val="36"/>
          <w:szCs w:val="36"/>
        </w:rPr>
        <w:t>房地产估价技术报告</w:t>
      </w:r>
    </w:p>
    <w:p>
      <w:pPr>
        <w:jc w:val="center"/>
        <w:rPr>
          <w:rFonts w:hint="eastAsia" w:ascii="仿宋" w:hAnsi="仿宋" w:eastAsia="仿宋"/>
          <w:b/>
          <w:bCs/>
          <w:sz w:val="32"/>
          <w:szCs w:val="32"/>
        </w:rPr>
      </w:pPr>
    </w:p>
    <w:p>
      <w:pPr>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一、估价对象实物状况描述与分析</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估价对象位于</w:t>
      </w:r>
      <w:r>
        <w:rPr>
          <w:rFonts w:hint="eastAsia" w:ascii="仿宋_GB2312" w:hAnsi="宋体" w:eastAsia="仿宋_GB2312" w:cs="Times New Roman"/>
          <w:kern w:val="2"/>
          <w:sz w:val="28"/>
          <w:szCs w:val="28"/>
          <w:lang w:val="en-US" w:eastAsia="zh-CN" w:bidi="ar-SA"/>
        </w:rPr>
        <w:t>汉川市人民大道世纪新城B-1幢1单元10层1001室，建筑面积为132.25平方米</w:t>
      </w:r>
      <w:r>
        <w:rPr>
          <w:rFonts w:hint="eastAsia" w:ascii="仿宋_GB2312" w:hAnsi="宋体" w:eastAsia="仿宋_GB2312" w:cs="Times New Roman"/>
          <w:kern w:val="2"/>
          <w:sz w:val="28"/>
          <w:szCs w:val="28"/>
          <w:highlight w:val="none"/>
          <w:lang w:val="en-US" w:eastAsia="zh-CN" w:bidi="ar-SA"/>
        </w:rPr>
        <w:t>，房屋所有权人为姚栋梁、张翠双，共同共有，房屋用途为住宅，房屋结构为钢筋混凝土结构，所在层/总层数为10层/17层，不动产权证书号为汉川市房权证汉川字第A201400576号。已被抵押，已被查封。</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经现场实物勘验和调查得知，估价对象房屋坐落于汉川市人民大道世纪新城小区B1幢10</w:t>
      </w:r>
      <w:r>
        <w:rPr>
          <w:rFonts w:hint="eastAsia" w:ascii="仿宋_GB2312" w:hAnsi="宋体" w:eastAsia="仿宋_GB2312" w:cs="Times New Roman"/>
          <w:kern w:val="2"/>
          <w:sz w:val="28"/>
          <w:szCs w:val="28"/>
          <w:lang w:val="en-US" w:eastAsia="zh-CN" w:bidi="ar-SA"/>
        </w:rPr>
        <w:t>层1001室，</w:t>
      </w:r>
      <w:r>
        <w:rPr>
          <w:rFonts w:hint="eastAsia" w:ascii="仿宋_GB2312" w:hAnsi="宋体" w:eastAsia="仿宋_GB2312" w:cs="Times New Roman"/>
          <w:kern w:val="2"/>
          <w:sz w:val="28"/>
          <w:szCs w:val="28"/>
          <w:highlight w:val="none"/>
          <w:lang w:val="en-US" w:eastAsia="zh-CN" w:bidi="ar-SA"/>
        </w:rPr>
        <w:t>建成于2013年，总层数为17层，所在层为第10层，为高层电梯房屋，用途为成套住宅，户型三室二厅一卫一厨，南北朝向，外墙铺贴墙砖，安装塑钢窗户，室内装修情况因多种原因未能勘验。据调查，室内为精装修，维护保养一般。</w:t>
      </w:r>
    </w:p>
    <w:p>
      <w:pPr>
        <w:numPr>
          <w:ilvl w:val="0"/>
          <w:numId w:val="0"/>
        </w:numPr>
        <w:ind w:firstLine="562"/>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二、估价对象区域因素分析</w:t>
      </w:r>
    </w:p>
    <w:p>
      <w:pPr>
        <w:ind w:firstLine="560" w:firstLineChars="200"/>
        <w:rPr>
          <w:rFonts w:hint="eastAsia" w:eastAsia="仿宋"/>
          <w:lang w:val="en-US" w:eastAsia="zh-CN"/>
        </w:rPr>
      </w:pPr>
      <w:r>
        <w:rPr>
          <w:rFonts w:hint="eastAsia" w:ascii="仿宋_GB2312" w:hAnsi="宋体" w:eastAsia="仿宋_GB2312" w:cs="Times New Roman"/>
          <w:kern w:val="2"/>
          <w:sz w:val="28"/>
          <w:szCs w:val="28"/>
          <w:lang w:val="en-US" w:eastAsia="zh-CN" w:bidi="ar-SA"/>
        </w:rPr>
        <w:t>估价对象位于</w:t>
      </w:r>
      <w:r>
        <w:rPr>
          <w:rFonts w:hint="eastAsia" w:ascii="仿宋_GB2312" w:hAnsi="宋体" w:eastAsia="仿宋_GB2312" w:cs="Times New Roman"/>
          <w:kern w:val="2"/>
          <w:sz w:val="28"/>
          <w:szCs w:val="28"/>
          <w:highlight w:val="none"/>
          <w:lang w:val="en-US" w:eastAsia="zh-CN" w:bidi="ar-SA"/>
        </w:rPr>
        <w:t>汉川市人民大道世纪新城小区</w:t>
      </w:r>
      <w:r>
        <w:rPr>
          <w:rFonts w:hint="eastAsia" w:ascii="仿宋_GB2312" w:hAnsi="宋体" w:eastAsia="仿宋_GB2312" w:cs="Times New Roman"/>
          <w:kern w:val="2"/>
          <w:sz w:val="28"/>
          <w:szCs w:val="28"/>
          <w:lang w:val="en-US" w:eastAsia="zh-CN" w:bidi="ar-SA"/>
        </w:rPr>
        <w:t>，该小区具有一定规模，居住环境优美，楼近距大，绿化率高，物业管理好，24小时安保人员值守。所在区域属于汉川市城区核心地段，居住人口稠密，商业繁华，周边公共、生活配套设施齐全，交通便</w:t>
      </w:r>
      <w:r>
        <w:rPr>
          <w:rFonts w:hint="eastAsia" w:ascii="仿宋_GB2312" w:hAnsi="宋体" w:eastAsia="仿宋_GB2312" w:cs="Times New Roman"/>
          <w:color w:val="auto"/>
          <w:kern w:val="2"/>
          <w:sz w:val="28"/>
          <w:szCs w:val="28"/>
          <w:lang w:val="en-US" w:eastAsia="zh-CN" w:bidi="ar-SA"/>
        </w:rPr>
        <w:t>捷，</w:t>
      </w:r>
      <w:r>
        <w:rPr>
          <w:rFonts w:hint="eastAsia" w:ascii="仿宋" w:hAnsi="仿宋" w:eastAsia="仿宋" w:cs="仿宋"/>
          <w:color w:val="auto"/>
          <w:kern w:val="2"/>
          <w:sz w:val="28"/>
          <w:szCs w:val="28"/>
          <w:lang w:val="en-US" w:eastAsia="zh-CN" w:bidi="ar-SA"/>
        </w:rPr>
        <w:t>有</w:t>
      </w:r>
      <w:r>
        <w:rPr>
          <w:rFonts w:hint="eastAsia" w:ascii="仿宋" w:hAnsi="仿宋" w:eastAsia="仿宋" w:cs="仿宋"/>
          <w:i w:val="0"/>
          <w:caps w:val="0"/>
          <w:color w:val="auto"/>
          <w:spacing w:val="0"/>
          <w:sz w:val="28"/>
          <w:szCs w:val="28"/>
        </w:rPr>
        <w:t>多路公交车</w:t>
      </w:r>
      <w:r>
        <w:rPr>
          <w:rFonts w:hint="eastAsia" w:ascii="仿宋" w:hAnsi="仿宋" w:eastAsia="仿宋" w:cs="仿宋"/>
          <w:i w:val="0"/>
          <w:caps w:val="0"/>
          <w:color w:val="auto"/>
          <w:spacing w:val="0"/>
          <w:sz w:val="28"/>
          <w:szCs w:val="28"/>
          <w:lang w:eastAsia="zh-CN"/>
        </w:rPr>
        <w:t>通达；</w:t>
      </w:r>
      <w:r>
        <w:rPr>
          <w:rFonts w:hint="eastAsia" w:ascii="仿宋" w:hAnsi="仿宋" w:eastAsia="仿宋" w:cs="仿宋"/>
          <w:color w:val="auto"/>
          <w:kern w:val="2"/>
          <w:sz w:val="28"/>
          <w:szCs w:val="28"/>
          <w:lang w:val="en-US" w:eastAsia="zh-CN" w:bidi="ar-SA"/>
        </w:rPr>
        <w:t>附近设有</w:t>
      </w:r>
      <w:r>
        <w:rPr>
          <w:rFonts w:hint="eastAsia" w:ascii="仿宋" w:hAnsi="仿宋" w:eastAsia="仿宋" w:cs="仿宋"/>
          <w:i w:val="0"/>
          <w:caps w:val="0"/>
          <w:color w:val="auto"/>
          <w:spacing w:val="0"/>
          <w:sz w:val="28"/>
          <w:szCs w:val="28"/>
          <w:lang w:eastAsia="zh-CN"/>
        </w:rPr>
        <w:t>中小学校、医院、各类专业银行；大小商超遍布四周，</w:t>
      </w:r>
      <w:r>
        <w:rPr>
          <w:rFonts w:hint="eastAsia" w:ascii="仿宋" w:hAnsi="仿宋" w:eastAsia="仿宋" w:cs="仿宋"/>
          <w:i w:val="0"/>
          <w:caps w:val="0"/>
          <w:color w:val="auto"/>
          <w:spacing w:val="0"/>
          <w:sz w:val="28"/>
          <w:szCs w:val="28"/>
          <w:lang w:val="en-US" w:eastAsia="zh-CN"/>
        </w:rPr>
        <w:t>购物、出行、就学等较为方便。</w:t>
      </w:r>
    </w:p>
    <w:p>
      <w:pPr>
        <w:numPr>
          <w:ilvl w:val="0"/>
          <w:numId w:val="0"/>
        </w:numPr>
        <w:ind w:firstLine="562" w:firstLineChars="200"/>
        <w:rPr>
          <w:rFonts w:ascii="仿宋" w:hAnsi="仿宋" w:eastAsia="仿宋"/>
          <w:sz w:val="30"/>
          <w:szCs w:val="30"/>
        </w:rPr>
      </w:pPr>
      <w:r>
        <w:rPr>
          <w:rFonts w:hint="eastAsia" w:ascii="仿宋_GB2312" w:hAnsi="宋体" w:eastAsia="仿宋_GB2312" w:cs="Times New Roman"/>
          <w:b/>
          <w:bCs/>
          <w:kern w:val="2"/>
          <w:sz w:val="28"/>
          <w:szCs w:val="28"/>
          <w:lang w:val="en-US" w:eastAsia="zh-CN" w:bidi="ar-SA"/>
        </w:rPr>
        <w:t>三、最高最佳使用分析</w:t>
      </w:r>
    </w:p>
    <w:p>
      <w:pPr>
        <w:ind w:firstLine="560" w:firstLineChars="200"/>
        <w:rPr>
          <w:rFonts w:ascii="仿宋" w:hAnsi="仿宋" w:eastAsia="仿宋"/>
          <w:sz w:val="30"/>
          <w:szCs w:val="30"/>
        </w:rPr>
      </w:pPr>
      <w:r>
        <w:rPr>
          <w:rFonts w:hint="eastAsia" w:ascii="仿宋_GB2312" w:hAnsi="宋体" w:eastAsia="仿宋_GB2312" w:cs="Times New Roman"/>
          <w:kern w:val="2"/>
          <w:sz w:val="28"/>
          <w:szCs w:val="28"/>
          <w:lang w:val="en-US" w:eastAsia="zh-CN" w:bidi="ar-SA"/>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估价对象用途为住宅房地产，并保持其实体现状、持续使用为前提。</w:t>
      </w:r>
    </w:p>
    <w:p>
      <w:pPr>
        <w:ind w:firstLine="562" w:firstLineChars="200"/>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四、估价方法的选用</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是住宅房屋，调查房地产中介机构有类似房地产交易案例，并对估价对象进行现场勘验，经过反复研究，我们采用了市场法综合测算估价对象的公开市场价值。</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市场法是指通过比较被评估资产与最近售出类似资产的异同，并将</w:t>
      </w:r>
    </w:p>
    <w:p>
      <w:pPr>
        <w:numPr>
          <w:ilvl w:val="0"/>
          <w:numId w:val="0"/>
        </w:numPr>
        <w:jc w:val="left"/>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评估值（比准价格）=可比实例价格×交易情况修正×市场状况调整×房地产状况调整</w:t>
      </w:r>
      <w:r>
        <w:rPr>
          <w:rFonts w:hint="eastAsia" w:ascii="仿宋_GB2312" w:hAnsi="宋体" w:eastAsia="仿宋_GB2312" w:cs="Times New Roman"/>
          <w:b/>
          <w:bCs/>
          <w:kern w:val="2"/>
          <w:sz w:val="28"/>
          <w:szCs w:val="28"/>
          <w:highlight w:val="none"/>
          <w:lang w:val="en-US" w:eastAsia="zh-CN" w:bidi="ar-SA"/>
        </w:rPr>
        <w:t xml:space="preserve">    </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五、估价过程</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接受委托后，我们会同委托人及相关当事人对估价对象进行了实地勘查，随后开展了广泛的市场调查，并采用市场法进行了估价测算，确定估价结果。</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1、比较实例选择</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针对估价对象的功能和特点，根据替代原则，按用途相同、土地级别相同、价格类型相同等特点，对与估价对象在同一区域内的类似住宅进行了市场调查和比较分析，按照估价要求，筛选三个可比实例。</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实例A：人民大道世纪新城住宅，2012年建成，总层数17层，所在层9层，4室2厅2卫，南北朝向，精装修，建筑面积135平米，拟交易总价109万，折合单价约为</w:t>
      </w:r>
      <w:r>
        <w:rPr>
          <w:rFonts w:hint="eastAsia" w:ascii="仿宋_GB2312" w:hAnsi="宋体" w:eastAsia="仿宋_GB2312" w:cs="Times New Roman"/>
          <w:kern w:val="2"/>
          <w:sz w:val="28"/>
          <w:szCs w:val="28"/>
          <w:highlight w:val="none"/>
          <w:lang w:val="en-US" w:eastAsia="zh-CN" w:bidi="ar-SA"/>
        </w:rPr>
        <w:t>8074</w:t>
      </w:r>
      <w:r>
        <w:rPr>
          <w:rFonts w:hint="eastAsia" w:ascii="仿宋_GB2312" w:hAnsi="宋体" w:eastAsia="仿宋_GB2312" w:cs="Times New Roman"/>
          <w:kern w:val="2"/>
          <w:sz w:val="28"/>
          <w:szCs w:val="28"/>
          <w:lang w:val="en-US" w:eastAsia="zh-CN" w:bidi="ar-SA"/>
        </w:rPr>
        <w:t>元/平米，拟交易日期2021年8月份。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实例B：人民大道世纪新城住宅，2012年建成，总层数18层，所在层10层，4室2厅2卫，南北朝向，精装修，建筑面积130.77平米，拟交易总价108万，折合单价约</w:t>
      </w:r>
      <w:r>
        <w:rPr>
          <w:rFonts w:hint="eastAsia" w:ascii="仿宋_GB2312" w:hAnsi="宋体" w:eastAsia="仿宋_GB2312" w:cs="Times New Roman"/>
          <w:kern w:val="2"/>
          <w:sz w:val="28"/>
          <w:szCs w:val="28"/>
          <w:highlight w:val="none"/>
          <w:lang w:val="en-US" w:eastAsia="zh-CN" w:bidi="ar-SA"/>
        </w:rPr>
        <w:t>为8259</w:t>
      </w:r>
      <w:r>
        <w:rPr>
          <w:rFonts w:hint="eastAsia" w:ascii="仿宋_GB2312" w:hAnsi="宋体" w:eastAsia="仿宋_GB2312" w:cs="Times New Roman"/>
          <w:kern w:val="2"/>
          <w:sz w:val="28"/>
          <w:szCs w:val="28"/>
          <w:lang w:val="en-US" w:eastAsia="zh-CN" w:bidi="ar-SA"/>
        </w:rPr>
        <w:t>元/平米，拟交易日期2021年9月份。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实例C：人民大道世纪新城住宅，2012年建成，总层数18层，所在层12层，4室2厅2卫，南北朝向，精装修，建筑面积137平米，拟交易总价115万，折合单价约</w:t>
      </w:r>
      <w:r>
        <w:rPr>
          <w:rFonts w:hint="eastAsia" w:ascii="仿宋_GB2312" w:hAnsi="宋体" w:eastAsia="仿宋_GB2312" w:cs="Times New Roman"/>
          <w:kern w:val="2"/>
          <w:sz w:val="28"/>
          <w:szCs w:val="28"/>
          <w:highlight w:val="none"/>
          <w:lang w:val="en-US" w:eastAsia="zh-CN" w:bidi="ar-SA"/>
        </w:rPr>
        <w:t>为8395元/平米</w:t>
      </w:r>
      <w:r>
        <w:rPr>
          <w:rFonts w:hint="eastAsia" w:ascii="仿宋_GB2312" w:hAnsi="宋体" w:eastAsia="仿宋_GB2312" w:cs="Times New Roman"/>
          <w:kern w:val="2"/>
          <w:sz w:val="28"/>
          <w:szCs w:val="28"/>
          <w:lang w:val="en-US" w:eastAsia="zh-CN" w:bidi="ar-SA"/>
        </w:rPr>
        <w:t>，拟交易日期2021年7月份。</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2、比较因素条件说明</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估价对象和比较实例的比较因素条件说明见表1。</w:t>
      </w:r>
    </w:p>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比较因素条件说明表1</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54"/>
        <w:gridCol w:w="1446"/>
        <w:gridCol w:w="15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估价对象与</w:t>
            </w:r>
            <w:r>
              <w:rPr>
                <w:rFonts w:hint="eastAsia" w:ascii="仿宋" w:hAnsi="仿宋" w:eastAsia="仿宋" w:cs="仿宋"/>
                <w:sz w:val="24"/>
                <w:szCs w:val="24"/>
                <w:vertAlign w:val="baseline"/>
                <w:lang w:val="en-US" w:eastAsia="zh-CN"/>
              </w:rPr>
              <w:t>案例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估价</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对象</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A </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可比案例B </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3" w:hRule="atLeast"/>
        </w:trPr>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座 落位 置</w:t>
            </w:r>
          </w:p>
        </w:tc>
        <w:tc>
          <w:tcPr>
            <w:tcW w:w="1446" w:type="dxa"/>
            <w:vAlign w:val="top"/>
          </w:tcPr>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人民大道世纪新城B1幢1001室</w:t>
            </w:r>
          </w:p>
        </w:tc>
        <w:tc>
          <w:tcPr>
            <w:tcW w:w="1567" w:type="dxa"/>
            <w:vAlign w:val="top"/>
          </w:tcPr>
          <w:p>
            <w:pPr>
              <w:numPr>
                <w:ilvl w:val="0"/>
                <w:numId w:val="0"/>
              </w:numPr>
              <w:spacing w:line="720" w:lineRule="auto"/>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lang w:val="en-US" w:eastAsia="zh-CN"/>
              </w:rPr>
              <w:t>世纪新城</w:t>
            </w:r>
          </w:p>
        </w:tc>
        <w:tc>
          <w:tcPr>
            <w:tcW w:w="1550" w:type="dxa"/>
            <w:vAlign w:val="top"/>
          </w:tcPr>
          <w:p>
            <w:pPr>
              <w:numPr>
                <w:ilvl w:val="0"/>
                <w:numId w:val="0"/>
              </w:numPr>
              <w:spacing w:line="720" w:lineRule="auto"/>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lang w:val="en-US" w:eastAsia="zh-CN"/>
              </w:rPr>
              <w:t>世纪新城</w:t>
            </w:r>
          </w:p>
        </w:tc>
        <w:tc>
          <w:tcPr>
            <w:tcW w:w="1633" w:type="dxa"/>
            <w:vAlign w:val="top"/>
          </w:tcPr>
          <w:p>
            <w:pPr>
              <w:numPr>
                <w:ilvl w:val="0"/>
                <w:numId w:val="0"/>
              </w:numPr>
              <w:spacing w:line="720" w:lineRule="auto"/>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lang w:val="en-US" w:eastAsia="zh-CN"/>
              </w:rPr>
              <w:t>世纪新城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楼盘名称</w:t>
            </w:r>
          </w:p>
        </w:tc>
        <w:tc>
          <w:tcPr>
            <w:tcW w:w="1446" w:type="dxa"/>
            <w:vAlign w:val="top"/>
          </w:tcPr>
          <w:p>
            <w:pPr>
              <w:numPr>
                <w:ilvl w:val="0"/>
                <w:numId w:val="0"/>
              </w:numPr>
              <w:ind w:left="0" w:leftChars="0" w:firstLine="0" w:firstLineChars="0"/>
              <w:jc w:val="center"/>
              <w:rPr>
                <w:rFonts w:hint="default" w:ascii="仿宋" w:hAnsi="仿宋" w:eastAsia="仿宋" w:cs="仿宋"/>
                <w:sz w:val="30"/>
                <w:szCs w:val="30"/>
                <w:vertAlign w:val="baseline"/>
                <w:lang w:val="en-US" w:eastAsia="zh-CN"/>
              </w:rPr>
            </w:pPr>
            <w:r>
              <w:rPr>
                <w:rFonts w:hint="eastAsia" w:ascii="仿宋" w:hAnsi="仿宋" w:eastAsia="仿宋" w:cs="仿宋"/>
                <w:color w:val="auto"/>
                <w:sz w:val="28"/>
                <w:szCs w:val="28"/>
                <w:lang w:val="en-US" w:eastAsia="zh-CN"/>
              </w:rPr>
              <w:t>世纪新城</w:t>
            </w:r>
          </w:p>
        </w:tc>
        <w:tc>
          <w:tcPr>
            <w:tcW w:w="1567"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世纪新城</w:t>
            </w:r>
          </w:p>
        </w:tc>
        <w:tc>
          <w:tcPr>
            <w:tcW w:w="1550" w:type="dxa"/>
            <w:vAlign w:val="top"/>
          </w:tcPr>
          <w:p>
            <w:pPr>
              <w:numPr>
                <w:ilvl w:val="0"/>
                <w:numId w:val="0"/>
              </w:numPr>
              <w:ind w:left="0" w:leftChars="0" w:firstLine="0" w:firstLineChars="0"/>
              <w:jc w:val="center"/>
              <w:rPr>
                <w:rFonts w:hint="eastAsia" w:ascii="仿宋" w:hAnsi="仿宋" w:eastAsia="仿宋" w:cs="仿宋"/>
                <w:sz w:val="30"/>
                <w:szCs w:val="30"/>
                <w:vertAlign w:val="baseline"/>
                <w:lang w:val="en-US" w:eastAsia="zh-CN"/>
              </w:rPr>
            </w:pPr>
            <w:r>
              <w:rPr>
                <w:rFonts w:hint="eastAsia" w:ascii="仿宋" w:hAnsi="仿宋" w:eastAsia="仿宋" w:cs="仿宋"/>
                <w:color w:val="auto"/>
                <w:sz w:val="28"/>
                <w:szCs w:val="28"/>
                <w:lang w:val="en-US" w:eastAsia="zh-CN"/>
              </w:rPr>
              <w:t>世纪新城</w:t>
            </w:r>
          </w:p>
        </w:tc>
        <w:tc>
          <w:tcPr>
            <w:tcW w:w="1633"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世纪新城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w:t>
            </w:r>
            <w:r>
              <w:rPr>
                <w:rFonts w:hint="eastAsia" w:ascii="仿宋" w:hAnsi="仿宋" w:eastAsia="仿宋" w:cs="仿宋"/>
                <w:color w:val="auto"/>
                <w:sz w:val="30"/>
                <w:szCs w:val="30"/>
                <w:lang w:val="en-US" w:eastAsia="zh-CN"/>
              </w:rPr>
              <w:t>M</w:t>
            </w:r>
            <w:r>
              <w:rPr>
                <w:rFonts w:hint="eastAsia" w:ascii="仿宋" w:hAnsi="仿宋" w:eastAsia="仿宋" w:cs="仿宋"/>
                <w:color w:val="auto"/>
                <w:sz w:val="30"/>
                <w:szCs w:val="30"/>
                <w:vertAlign w:val="superscript"/>
                <w:lang w:val="en-US" w:eastAsia="zh-CN"/>
              </w:rPr>
              <w:t>2</w:t>
            </w:r>
            <w:r>
              <w:rPr>
                <w:rFonts w:hint="eastAsia" w:ascii="仿宋" w:hAnsi="仿宋" w:eastAsia="仿宋" w:cs="仿宋"/>
                <w:sz w:val="30"/>
                <w:szCs w:val="30"/>
                <w:vertAlign w:val="baseline"/>
                <w:lang w:val="en-US" w:eastAsia="zh-CN"/>
              </w:rPr>
              <w:t>)</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_GB2312" w:hAnsi="宋体" w:eastAsia="仿宋_GB2312" w:cs="Times New Roman"/>
                <w:kern w:val="2"/>
                <w:sz w:val="28"/>
                <w:szCs w:val="28"/>
                <w:highlight w:val="none"/>
                <w:lang w:val="en-US" w:eastAsia="zh-CN" w:bidi="ar-SA"/>
              </w:rPr>
              <w:t>8074</w:t>
            </w:r>
          </w:p>
        </w:tc>
        <w:tc>
          <w:tcPr>
            <w:tcW w:w="1550"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_GB2312" w:hAnsi="宋体" w:eastAsia="仿宋_GB2312" w:cs="Times New Roman"/>
                <w:kern w:val="2"/>
                <w:sz w:val="28"/>
                <w:szCs w:val="28"/>
                <w:highlight w:val="none"/>
                <w:lang w:val="en-US" w:eastAsia="zh-CN" w:bidi="ar-SA"/>
              </w:rPr>
              <w:t>8259</w:t>
            </w:r>
          </w:p>
        </w:tc>
        <w:tc>
          <w:tcPr>
            <w:tcW w:w="1633"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_GB2312" w:hAnsi="宋体" w:eastAsia="仿宋_GB2312" w:cs="Times New Roman"/>
                <w:kern w:val="2"/>
                <w:sz w:val="28"/>
                <w:szCs w:val="28"/>
                <w:highlight w:val="none"/>
                <w:lang w:val="en-US" w:eastAsia="zh-CN" w:bidi="ar-SA"/>
              </w:rPr>
              <w:t>8395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状况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交易日期</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2021.9</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2021.8</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2021.9</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4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50"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633"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所在层/总层数</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10/17</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9/17</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10/18</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四房二厅</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四房二厅</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四房二厅</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四房二厅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精装</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精装</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精装</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_GB2312" w:hAnsi="宋体" w:eastAsia="仿宋_GB2312" w:cs="Times New Roman"/>
                <w:kern w:val="2"/>
                <w:sz w:val="28"/>
                <w:szCs w:val="28"/>
                <w:lang w:val="en-US" w:eastAsia="zh-CN" w:bidi="ar-SA"/>
              </w:rPr>
              <w:t>精装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朝向及采光</w:t>
            </w:r>
            <w:r>
              <w:rPr>
                <w:rFonts w:hint="eastAsia" w:ascii="仿宋" w:hAnsi="仿宋" w:eastAsia="仿宋" w:cs="仿宋"/>
                <w:sz w:val="30"/>
                <w:szCs w:val="30"/>
                <w:vertAlign w:val="baseline"/>
                <w:lang w:val="en-US" w:eastAsia="zh-CN"/>
              </w:rPr>
              <w:t>通风</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color w:val="auto"/>
                <w:sz w:val="30"/>
                <w:szCs w:val="30"/>
                <w:vertAlign w:val="baseline"/>
                <w:lang w:val="en-US" w:eastAsia="zh-CN"/>
              </w:rPr>
              <w:t>南北，好</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新旧程度</w:t>
            </w:r>
          </w:p>
        </w:tc>
        <w:tc>
          <w:tcPr>
            <w:tcW w:w="14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85%</w:t>
            </w:r>
          </w:p>
        </w:tc>
        <w:tc>
          <w:tcPr>
            <w:tcW w:w="15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85%</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85%</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好</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好</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好</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ind w:firstLine="300" w:firstLineChars="100"/>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 音</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无</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无</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无</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无</w:t>
            </w:r>
          </w:p>
        </w:tc>
      </w:tr>
    </w:tbl>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3、编制比较因素修正指数表</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根据估价对象与比较实例各种因素具体情况，编制比较因素修正指数表，见表2。</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比较因素条件指数表</w:t>
      </w:r>
      <w:r>
        <w:rPr>
          <w:rFonts w:hint="eastAsia" w:ascii="仿宋" w:hAnsi="仿宋" w:eastAsia="仿宋" w:cs="仿宋"/>
          <w:sz w:val="30"/>
          <w:szCs w:val="30"/>
          <w:lang w:val="en-US" w:eastAsia="zh-CN"/>
        </w:rPr>
        <w:t>2</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估价对象与案例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估价</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对象</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A </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可比案例B </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成交单价（元/平米）</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867" w:type="dxa"/>
            <w:textDirection w:val="lrTb"/>
            <w:vAlign w:val="top"/>
          </w:tcPr>
          <w:p>
            <w:pPr>
              <w:jc w:val="center"/>
              <w:rPr>
                <w:rFonts w:hint="eastAsia" w:ascii="仿宋" w:hAnsi="仿宋" w:eastAsia="仿宋" w:cs="仿宋"/>
                <w:sz w:val="30"/>
                <w:szCs w:val="30"/>
                <w:highlight w:val="none"/>
                <w:vertAlign w:val="baseline"/>
                <w:lang w:val="en-US" w:eastAsia="zh-CN"/>
              </w:rPr>
            </w:pPr>
            <w:r>
              <w:rPr>
                <w:rFonts w:hint="eastAsia" w:ascii="仿宋_GB2312" w:hAnsi="宋体" w:eastAsia="仿宋_GB2312" w:cs="Times New Roman"/>
                <w:kern w:val="2"/>
                <w:sz w:val="28"/>
                <w:szCs w:val="28"/>
                <w:highlight w:val="none"/>
                <w:lang w:val="en-US" w:eastAsia="zh-CN" w:bidi="ar-SA"/>
              </w:rPr>
              <w:t>8074</w:t>
            </w:r>
          </w:p>
        </w:tc>
        <w:tc>
          <w:tcPr>
            <w:tcW w:w="1550" w:type="dxa"/>
            <w:textDirection w:val="lrTb"/>
            <w:vAlign w:val="top"/>
          </w:tcPr>
          <w:p>
            <w:pPr>
              <w:jc w:val="center"/>
              <w:rPr>
                <w:rFonts w:hint="eastAsia" w:ascii="仿宋" w:hAnsi="仿宋" w:eastAsia="仿宋" w:cs="仿宋"/>
                <w:sz w:val="30"/>
                <w:szCs w:val="30"/>
                <w:highlight w:val="none"/>
                <w:vertAlign w:val="baseline"/>
                <w:lang w:val="en-US" w:eastAsia="zh-CN"/>
              </w:rPr>
            </w:pPr>
            <w:r>
              <w:rPr>
                <w:rFonts w:hint="eastAsia" w:ascii="仿宋_GB2312" w:hAnsi="宋体" w:eastAsia="仿宋_GB2312" w:cs="Times New Roman"/>
                <w:kern w:val="2"/>
                <w:sz w:val="28"/>
                <w:szCs w:val="28"/>
                <w:highlight w:val="none"/>
                <w:lang w:val="en-US" w:eastAsia="zh-CN" w:bidi="ar-SA"/>
              </w:rPr>
              <w:t>8259</w:t>
            </w:r>
          </w:p>
        </w:tc>
        <w:tc>
          <w:tcPr>
            <w:tcW w:w="1633" w:type="dxa"/>
            <w:textDirection w:val="lrTb"/>
            <w:vAlign w:val="top"/>
          </w:tcPr>
          <w:p>
            <w:pPr>
              <w:jc w:val="center"/>
              <w:rPr>
                <w:rFonts w:hint="eastAsia" w:ascii="仿宋" w:hAnsi="仿宋" w:eastAsia="仿宋" w:cs="仿宋"/>
                <w:sz w:val="30"/>
                <w:szCs w:val="30"/>
                <w:highlight w:val="none"/>
                <w:vertAlign w:val="baseline"/>
                <w:lang w:val="en-US" w:eastAsia="zh-CN"/>
              </w:rPr>
            </w:pPr>
            <w:r>
              <w:rPr>
                <w:rFonts w:hint="eastAsia" w:ascii="仿宋_GB2312" w:hAnsi="宋体" w:eastAsia="仿宋_GB2312" w:cs="Times New Roman"/>
                <w:kern w:val="2"/>
                <w:sz w:val="28"/>
                <w:szCs w:val="28"/>
                <w:highlight w:val="none"/>
                <w:lang w:val="en-US" w:eastAsia="zh-CN" w:bidi="ar-SA"/>
              </w:rPr>
              <w:t>8395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bookmarkStart w:id="0" w:name="_GoBack"/>
            <w:bookmarkEnd w:id="0"/>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市场状况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restart"/>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所在楼层</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朝向</w:t>
            </w:r>
            <w:r>
              <w:rPr>
                <w:rFonts w:hint="eastAsia" w:ascii="仿宋" w:hAnsi="仿宋" w:eastAsia="仿宋" w:cs="仿宋"/>
                <w:sz w:val="24"/>
                <w:szCs w:val="24"/>
                <w:vertAlign w:val="baseline"/>
                <w:lang w:val="en-US" w:eastAsia="zh-CN"/>
              </w:rPr>
              <w:t>及采光</w:t>
            </w:r>
            <w:r>
              <w:rPr>
                <w:rFonts w:hint="eastAsia" w:ascii="仿宋" w:hAnsi="仿宋" w:eastAsia="仿宋" w:cs="仿宋"/>
                <w:sz w:val="30"/>
                <w:szCs w:val="30"/>
                <w:vertAlign w:val="baseline"/>
                <w:lang w:val="en-US" w:eastAsia="zh-CN"/>
              </w:rPr>
              <w:t>通风</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新旧程度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噪音</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101</w:t>
            </w: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4、比较因素修正系数确定</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在因素条件指数表的基础上，将估价对象的因素条件指数与可比实例的因素条件指数进行比较，得到比较因素修正系数，见表3。</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比较因素修正系数表</w:t>
      </w:r>
      <w:r>
        <w:rPr>
          <w:rFonts w:hint="eastAsia" w:ascii="仿宋" w:hAnsi="仿宋" w:eastAsia="仿宋" w:cs="仿宋"/>
          <w:sz w:val="30"/>
          <w:szCs w:val="30"/>
          <w:lang w:val="en-US" w:eastAsia="zh-CN"/>
        </w:rPr>
        <w:t>3</w:t>
      </w:r>
    </w:p>
    <w:tbl>
      <w:tblPr>
        <w:tblStyle w:val="9"/>
        <w:tblW w:w="97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4"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估价对象与案例</w:t>
            </w:r>
          </w:p>
        </w:tc>
        <w:tc>
          <w:tcPr>
            <w:tcW w:w="11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对象</w:t>
            </w:r>
          </w:p>
        </w:tc>
        <w:tc>
          <w:tcPr>
            <w:tcW w:w="1867" w:type="dxa"/>
            <w:vAlign w:val="top"/>
          </w:tcPr>
          <w:p>
            <w:pPr>
              <w:spacing w:line="72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可比案例A</w:t>
            </w:r>
          </w:p>
        </w:tc>
        <w:tc>
          <w:tcPr>
            <w:tcW w:w="1550" w:type="dxa"/>
            <w:vAlign w:val="top"/>
          </w:tcPr>
          <w:p>
            <w:pPr>
              <w:spacing w:line="72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可比案例B</w:t>
            </w:r>
          </w:p>
        </w:tc>
        <w:tc>
          <w:tcPr>
            <w:tcW w:w="1833" w:type="dxa"/>
            <w:vAlign w:val="top"/>
          </w:tcPr>
          <w:p>
            <w:pPr>
              <w:spacing w:line="72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成交单价（元/平米）</w:t>
            </w:r>
          </w:p>
        </w:tc>
        <w:tc>
          <w:tcPr>
            <w:tcW w:w="1146"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w:t>
            </w:r>
          </w:p>
        </w:tc>
        <w:tc>
          <w:tcPr>
            <w:tcW w:w="1867" w:type="dxa"/>
            <w:textDirection w:val="lrTb"/>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8074</w:t>
            </w:r>
          </w:p>
        </w:tc>
        <w:tc>
          <w:tcPr>
            <w:tcW w:w="1550" w:type="dxa"/>
            <w:textDirection w:val="lrTb"/>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8259</w:t>
            </w:r>
          </w:p>
        </w:tc>
        <w:tc>
          <w:tcPr>
            <w:tcW w:w="1833" w:type="dxa"/>
            <w:textDirection w:val="lrTb"/>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8395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交易</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情况</w:t>
            </w: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交易情况</w:t>
            </w:r>
          </w:p>
        </w:tc>
        <w:tc>
          <w:tcPr>
            <w:tcW w:w="1146" w:type="dxa"/>
            <w:vAlign w:val="top"/>
          </w:tcPr>
          <w:p>
            <w:pPr>
              <w:jc w:val="center"/>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67"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0"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33"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4"/>
                <w:szCs w:val="24"/>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类型</w:t>
            </w:r>
          </w:p>
        </w:tc>
        <w:tc>
          <w:tcPr>
            <w:tcW w:w="1146"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67"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0"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33"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市场状况调整系数</w:t>
            </w:r>
          </w:p>
        </w:tc>
        <w:tc>
          <w:tcPr>
            <w:tcW w:w="1146" w:type="dxa"/>
            <w:vAlign w:val="top"/>
          </w:tcPr>
          <w:p>
            <w:pPr>
              <w:jc w:val="center"/>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67"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0"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33"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区域状况调整系数</w:t>
            </w:r>
          </w:p>
        </w:tc>
        <w:tc>
          <w:tcPr>
            <w:tcW w:w="1146"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67"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0"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33"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权益状况调整系数</w:t>
            </w:r>
          </w:p>
        </w:tc>
        <w:tc>
          <w:tcPr>
            <w:tcW w:w="1146" w:type="dxa"/>
            <w:vAlign w:val="top"/>
          </w:tcPr>
          <w:p>
            <w:pPr>
              <w:jc w:val="center"/>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100</w:t>
            </w:r>
          </w:p>
        </w:tc>
        <w:tc>
          <w:tcPr>
            <w:tcW w:w="1867" w:type="dxa"/>
            <w:vAlign w:val="top"/>
          </w:tcPr>
          <w:p>
            <w:pPr>
              <w:jc w:val="center"/>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0" w:type="dxa"/>
            <w:vAlign w:val="top"/>
          </w:tcPr>
          <w:p>
            <w:pPr>
              <w:jc w:val="center"/>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33" w:type="dxa"/>
            <w:vAlign w:val="top"/>
          </w:tcPr>
          <w:p>
            <w:pPr>
              <w:jc w:val="center"/>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实物状况调整系数</w:t>
            </w:r>
          </w:p>
        </w:tc>
        <w:tc>
          <w:tcPr>
            <w:tcW w:w="1146"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67"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100</w:t>
            </w:r>
          </w:p>
        </w:tc>
        <w:tc>
          <w:tcPr>
            <w:tcW w:w="1550"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100</w:t>
            </w:r>
          </w:p>
        </w:tc>
        <w:tc>
          <w:tcPr>
            <w:tcW w:w="1833"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比准价格（元/平米）</w:t>
            </w:r>
          </w:p>
        </w:tc>
        <w:tc>
          <w:tcPr>
            <w:tcW w:w="1146"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w:t>
            </w:r>
          </w:p>
        </w:tc>
        <w:tc>
          <w:tcPr>
            <w:tcW w:w="1867"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b w:val="0"/>
                <w:bCs w:val="0"/>
                <w:color w:val="auto"/>
                <w:sz w:val="24"/>
                <w:szCs w:val="24"/>
                <w:vertAlign w:val="baseline"/>
                <w:lang w:val="en-US" w:eastAsia="zh-CN"/>
              </w:rPr>
              <w:t>8074</w:t>
            </w:r>
          </w:p>
        </w:tc>
        <w:tc>
          <w:tcPr>
            <w:tcW w:w="1550"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b w:val="0"/>
                <w:bCs w:val="0"/>
                <w:color w:val="auto"/>
                <w:sz w:val="24"/>
                <w:szCs w:val="24"/>
                <w:vertAlign w:val="baseline"/>
                <w:lang w:val="en-US" w:eastAsia="zh-CN"/>
              </w:rPr>
              <w:t>8259</w:t>
            </w:r>
          </w:p>
        </w:tc>
        <w:tc>
          <w:tcPr>
            <w:tcW w:w="1833"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8312</w:t>
            </w:r>
          </w:p>
        </w:tc>
      </w:tr>
    </w:tbl>
    <w:p>
      <w:pPr>
        <w:numPr>
          <w:ilvl w:val="0"/>
          <w:numId w:val="0"/>
        </w:numPr>
        <w:ind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5、求取估价对象价值</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由于可比实例A、B、C与估价对象条件因素相当类似，且比准价格相差不大，因此采取算数平均值的求取方法确定评估单价。</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评估单价=（</w:t>
      </w:r>
      <w:r>
        <w:rPr>
          <w:rFonts w:hint="eastAsia" w:ascii="仿宋_GB2312" w:hAnsi="宋体" w:eastAsia="仿宋_GB2312" w:cs="Times New Roman"/>
          <w:kern w:val="2"/>
          <w:sz w:val="28"/>
          <w:szCs w:val="28"/>
          <w:lang w:val="en-US" w:eastAsia="zh-CN" w:bidi="ar-SA"/>
        </w:rPr>
        <w:t>8074+8259+8312</w:t>
      </w:r>
      <w:r>
        <w:rPr>
          <w:rFonts w:hint="eastAsia" w:ascii="仿宋" w:hAnsi="仿宋" w:eastAsia="仿宋" w:cs="仿宋"/>
          <w:kern w:val="2"/>
          <w:sz w:val="28"/>
          <w:szCs w:val="28"/>
          <w:lang w:val="en-US" w:eastAsia="zh-CN" w:bidi="ar-SA"/>
        </w:rPr>
        <w:t>）÷3=8215</w:t>
      </w:r>
      <w:r>
        <w:rPr>
          <w:rFonts w:hint="eastAsia" w:ascii="仿宋_GB2312" w:hAnsi="宋体" w:eastAsia="仿宋_GB2312" w:cs="Times New Roman"/>
          <w:kern w:val="2"/>
          <w:sz w:val="28"/>
          <w:szCs w:val="28"/>
          <w:lang w:val="en-US" w:eastAsia="zh-CN" w:bidi="ar-SA"/>
        </w:rPr>
        <w:t>(元/平米)</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评估总值=</w:t>
      </w:r>
      <w:r>
        <w:rPr>
          <w:rFonts w:hint="eastAsia" w:ascii="仿宋" w:hAnsi="仿宋" w:eastAsia="仿宋" w:cs="仿宋"/>
          <w:kern w:val="2"/>
          <w:sz w:val="28"/>
          <w:szCs w:val="28"/>
          <w:lang w:val="en-US" w:eastAsia="zh-CN" w:bidi="ar-SA"/>
        </w:rPr>
        <w:t>8215</w:t>
      </w:r>
      <w:r>
        <w:rPr>
          <w:rFonts w:hint="eastAsia" w:ascii="仿宋_GB2312" w:hAnsi="宋体" w:eastAsia="仿宋_GB2312" w:cs="Times New Roman"/>
          <w:kern w:val="2"/>
          <w:sz w:val="28"/>
          <w:szCs w:val="28"/>
          <w:lang w:val="en-US" w:eastAsia="zh-CN" w:bidi="ar-SA"/>
        </w:rPr>
        <w:t>×132.25</w:t>
      </w:r>
      <w:r>
        <w:rPr>
          <w:rFonts w:hint="eastAsia" w:ascii="仿宋" w:hAnsi="仿宋" w:eastAsia="仿宋" w:cs="仿宋"/>
          <w:kern w:val="2"/>
          <w:sz w:val="28"/>
          <w:szCs w:val="28"/>
          <w:lang w:val="en-US" w:eastAsia="zh-CN" w:bidi="ar-SA"/>
        </w:rPr>
        <w:t>≈1086434</w:t>
      </w:r>
      <w:r>
        <w:rPr>
          <w:rFonts w:hint="eastAsia" w:ascii="仿宋_GB2312" w:hAnsi="宋体" w:eastAsia="仿宋_GB2312" w:cs="Times New Roman"/>
          <w:kern w:val="2"/>
          <w:sz w:val="28"/>
          <w:szCs w:val="28"/>
          <w:lang w:val="en-US" w:eastAsia="zh-CN" w:bidi="ar-SA"/>
        </w:rPr>
        <w:t>(元)</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六、估价结果确定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估价人员根据估价目的，遵循估价原则，按照规定估价程序和估价方法，经过具体测算，确定估价对象在估价时点可能形成的市场价值为￥</w:t>
      </w:r>
      <w:r>
        <w:rPr>
          <w:rFonts w:hint="eastAsia" w:ascii="仿宋" w:hAnsi="仿宋" w:eastAsia="仿宋" w:cs="仿宋"/>
          <w:kern w:val="2"/>
          <w:sz w:val="28"/>
          <w:szCs w:val="28"/>
          <w:lang w:val="en-US" w:eastAsia="zh-CN" w:bidi="ar-SA"/>
        </w:rPr>
        <w:t>1086434</w:t>
      </w:r>
      <w:r>
        <w:rPr>
          <w:rFonts w:hint="eastAsia" w:ascii="仿宋_GB2312" w:hAnsi="宋体" w:eastAsia="仿宋_GB2312" w:cs="Times New Roman"/>
          <w:kern w:val="2"/>
          <w:sz w:val="28"/>
          <w:szCs w:val="28"/>
          <w:lang w:val="en-US" w:eastAsia="zh-CN" w:bidi="ar-SA"/>
        </w:rPr>
        <w:t xml:space="preserve">元(大写人民币壹佰零捌万陆仟肆佰叁拾肆元整)。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4200" w:firstLineChars="1500"/>
        <w:rPr>
          <w:rFonts w:hint="eastAsia" w:ascii="仿宋_GB2312" w:hAnsi="宋体" w:eastAsia="仿宋_GB2312" w:cs="Times New Roman"/>
          <w:kern w:val="2"/>
          <w:sz w:val="28"/>
          <w:szCs w:val="28"/>
          <w:lang w:val="en-US" w:eastAsia="zh-CN" w:bidi="ar-SA"/>
        </w:rPr>
      </w:pPr>
    </w:p>
    <w:p>
      <w:pPr>
        <w:ind w:firstLine="4200" w:firstLineChars="15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highlight w:val="none"/>
        </w:rPr>
      </w:pPr>
      <w:r>
        <w:rPr>
          <w:rFonts w:hint="eastAsia" w:ascii="仿宋_GB2312" w:hAnsi="宋体" w:eastAsia="仿宋_GB2312" w:cs="Times New Roman"/>
          <w:kern w:val="2"/>
          <w:sz w:val="28"/>
          <w:szCs w:val="28"/>
          <w:highlight w:val="none"/>
          <w:lang w:val="en-US" w:eastAsia="zh-CN" w:bidi="ar-SA"/>
        </w:rPr>
        <w:t xml:space="preserve">                                    二○二一年九月十八日</w:t>
      </w:r>
    </w:p>
    <w:p>
      <w:pPr/>
    </w:p>
    <w:sectPr>
      <w:headerReference r:id="rId3" w:type="default"/>
      <w:footerReference r:id="rId4" w:type="default"/>
      <w:footerReference r:id="rId5" w:type="even"/>
      <w:pgSz w:w="11906" w:h="16838"/>
      <w:pgMar w:top="1644" w:right="1520" w:bottom="1361" w:left="15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仿宋">
    <w:panose1 w:val="02010609060101010101"/>
    <w:charset w:val="86"/>
    <w:family w:val="roman"/>
    <w:pitch w:val="default"/>
    <w:sig w:usb0="800002BF" w:usb1="38CF7CFA" w:usb2="00000016" w:usb3="00000000" w:csb0="00040001" w:csb1="00000000"/>
  </w:font>
  <w:font w:name="仿宋_GB2312">
    <w:altName w:val="仿宋"/>
    <w:panose1 w:val="02010609030001010101"/>
    <w:charset w:val="86"/>
    <w:family w:val="swiss"/>
    <w:pitch w:val="default"/>
    <w:sig w:usb0="00000000" w:usb1="00000000" w:usb2="00000010" w:usb3="00000000" w:csb0="00040000" w:csb1="00000000"/>
  </w:font>
  <w:font w:name="仿宋">
    <w:panose1 w:val="02010609060101010101"/>
    <w:charset w:val="86"/>
    <w:family w:val="swiss"/>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001010101"/>
    <w:charset w:val="86"/>
    <w:family w:val="decorative"/>
    <w:pitch w:val="default"/>
    <w:sig w:usb0="00000000" w:usb1="00000000" w:usb2="00000010" w:usb3="00000000" w:csb0="00040000" w:csb1="00000000"/>
  </w:font>
  <w:font w:name="仿宋">
    <w:panose1 w:val="02010609060101010101"/>
    <w:charset w:val="86"/>
    <w:family w:val="decorative"/>
    <w:pitch w:val="default"/>
    <w:sig w:usb0="800002BF" w:usb1="38CF7CFA" w:usb2="00000016" w:usb3="00000000" w:csb0="00040001" w:csb1="00000000"/>
  </w:font>
  <w:font w:name="仿宋_GB2312">
    <w:altName w:val="仿宋"/>
    <w:panose1 w:val="02010609030001010101"/>
    <w:charset w:val="86"/>
    <w:family w:val="roman"/>
    <w:pitch w:val="default"/>
    <w:sig w:usb0="00000000" w:usb1="00000000" w:usb2="00000010" w:usb3="00000000" w:csb0="00040000" w:csb1="00000000"/>
  </w:font>
  <w:font w:name="仿宋_GB2312">
    <w:altName w:val="仿宋"/>
    <w:panose1 w:val="020106090300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swiss"/>
    <w:pitch w:val="default"/>
    <w:sig w:usb0="800002BF" w:usb1="38CF7CFA" w:usb2="00000016" w:usb3="00000000" w:csb0="00040001" w:csb1="00000000"/>
  </w:font>
  <w:font w:name="仿宋">
    <w:panose1 w:val="02010609060101010101"/>
    <w:charset w:val="86"/>
    <w:family w:val="decorative"/>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6"/>
        <w:sz w:val="18"/>
        <w:szCs w:val="18"/>
      </w:rPr>
      <w:instrText xml:space="preserve"> PAGE </w:instrText>
    </w:r>
    <w:r>
      <w:rPr>
        <w:sz w:val="18"/>
        <w:szCs w:val="18"/>
      </w:rPr>
      <w:fldChar w:fldCharType="separate"/>
    </w:r>
    <w:r>
      <w:rPr>
        <w:rStyle w:val="6"/>
        <w:sz w:val="18"/>
        <w:szCs w:val="18"/>
      </w:rPr>
      <w:t>1</w:t>
    </w:r>
    <w:r>
      <w:rPr>
        <w:sz w:val="18"/>
        <w:szCs w:val="18"/>
      </w:rPr>
      <w:fldChar w:fldCharType="end"/>
    </w:r>
    <w:r>
      <w:rPr>
        <w:rStyle w:val="6"/>
        <w:rFonts w:hint="eastAsia"/>
        <w:sz w:val="18"/>
        <w:szCs w:val="18"/>
      </w:rPr>
      <w:t>页  共</w:t>
    </w:r>
    <w:r>
      <w:rPr>
        <w:rStyle w:val="6"/>
        <w:rFonts w:hint="eastAsia"/>
        <w:sz w:val="18"/>
        <w:szCs w:val="18"/>
        <w:lang w:val="en-US" w:eastAsia="zh-CN"/>
      </w:rPr>
      <w:t>20</w:t>
    </w:r>
    <w:r>
      <w:rPr>
        <w:rStyle w:val="6"/>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framePr w:wrap="around" w:vAnchor="text" w:hAnchor="margin" w:xAlign="center" w:y="1"/>
      <w:rPr>
        <w:rStyle w:val="6"/>
      </w:rPr>
    </w:pPr>
    <w:r>
      <w:fldChar w:fldCharType="begin"/>
    </w:r>
    <w:r>
      <w:rPr>
        <w:rStyle w:val="6"/>
      </w:rPr>
      <w:instrText xml:space="preserve">PAGE  </w:instrText>
    </w:r>
    <w:r>
      <w:fldChar w:fldCharType="separate"/>
    </w:r>
    <w:r>
      <w:rPr>
        <w:rStyle w:val="6"/>
      </w:rPr>
      <w:t>5</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78213565">
    <w:nsid w:val="5E11A0BD"/>
    <w:multiLevelType w:val="singleLevel"/>
    <w:tmpl w:val="5E11A0BD"/>
    <w:lvl w:ilvl="0" w:tentative="1">
      <w:start w:val="1"/>
      <w:numFmt w:val="decimal"/>
      <w:suff w:val="space"/>
      <w:lvlText w:val="%1."/>
      <w:lvlJc w:val="left"/>
    </w:lvl>
  </w:abstractNum>
  <w:num w:numId="1">
    <w:abstractNumId w:val="15782135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3F43A7C"/>
    <w:rsid w:val="09EA50CF"/>
    <w:rsid w:val="0D5E127F"/>
    <w:rsid w:val="130265BC"/>
    <w:rsid w:val="13F43A7C"/>
    <w:rsid w:val="152321F4"/>
    <w:rsid w:val="1DC65566"/>
    <w:rsid w:val="22FE6DF7"/>
    <w:rsid w:val="26FD3A84"/>
    <w:rsid w:val="2E445076"/>
    <w:rsid w:val="37105C72"/>
    <w:rsid w:val="3FF32979"/>
    <w:rsid w:val="44D8697E"/>
    <w:rsid w:val="4AD54756"/>
    <w:rsid w:val="55570DE5"/>
    <w:rsid w:val="581B7F1B"/>
    <w:rsid w:val="5A7E7705"/>
    <w:rsid w:val="6FA866AC"/>
    <w:rsid w:val="7ECB2594"/>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styleId="6">
    <w:name w:val="page number"/>
    <w:basedOn w:val="5"/>
    <w:qFormat/>
    <w:uiPriority w:val="0"/>
    <w:rPr>
      <w:rFonts w:ascii="Times New Roman" w:hAnsi="Times New Roman" w:eastAsia="宋体" w:cs="Times New Roman"/>
    </w:rPr>
  </w:style>
  <w:style w:type="character" w:styleId="7">
    <w:name w:val="Hyperlink"/>
    <w:basedOn w:val="5"/>
    <w:qFormat/>
    <w:uiPriority w:val="0"/>
    <w:rPr>
      <w:rFonts w:ascii="Times New Roman" w:hAnsi="Times New Roman" w:eastAsia="宋体" w:cs="Times New Roman"/>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List Paragraph"/>
    <w:basedOn w:val="1"/>
    <w:qFormat/>
    <w:uiPriority w:val="34"/>
    <w:pPr>
      <w:ind w:firstLine="420" w:firstLineChars="200"/>
    </w:pPr>
  </w:style>
  <w:style w:type="character" w:customStyle="1" w:styleId="11">
    <w:name w:val="apple-converted-space"/>
    <w:basedOn w:val="5"/>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2021-09-10T09:05:00Z</dcterms:created>
  <dc:creator>Administrator</dc:creator>
  <cp:lastModifiedBy>Administrator</cp:lastModifiedBy>
  <cp:lastPrinted>2021-09-30T07:46:02Z</cp:lastPrinted>
  <dcterms:modified xsi:type="dcterms:W3CDTF">2021-09-30T07:46:11Z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ICV">
    <vt:lpwstr>DE56CB5A9B704463A0E5416716A7FE08</vt:lpwstr>
  </property>
</Properties>
</file>