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rPr>
          <w:rFonts w:ascii="仿宋_GB2312" w:eastAsia="仿宋_GB2312"/>
          <w:b/>
          <w:bCs/>
          <w:sz w:val="60"/>
          <w:szCs w:val="72"/>
        </w:rPr>
      </w:pPr>
    </w:p>
    <w:p>
      <w:pPr>
        <w:widowControl w:val="0"/>
        <w:ind w:firstLine="643" w:firstLineChars="100"/>
        <w:rPr>
          <w:rFonts w:ascii="仿宋_GB2312" w:eastAsia="仿宋_GB2312"/>
          <w:b/>
          <w:bCs/>
          <w:sz w:val="64"/>
          <w:szCs w:val="64"/>
        </w:rPr>
      </w:pPr>
    </w:p>
    <w:p>
      <w:pPr>
        <w:widowControl w:val="0"/>
        <w:ind w:firstLine="643" w:firstLineChars="100"/>
        <w:rPr>
          <w:rFonts w:ascii="仿宋_GB2312" w:eastAsia="仿宋_GB2312"/>
          <w:b/>
          <w:bCs/>
          <w:sz w:val="64"/>
          <w:szCs w:val="64"/>
        </w:rPr>
      </w:pPr>
    </w:p>
    <w:p>
      <w:pPr>
        <w:widowControl w:val="0"/>
        <w:ind w:firstLine="883" w:firstLineChars="200"/>
        <w:jc w:val="center"/>
        <w:rPr>
          <w:rFonts w:ascii="仿宋_GB2312" w:hAnsi="宋体" w:eastAsia="仿宋_GB2312"/>
          <w:b/>
          <w:bCs/>
          <w:sz w:val="44"/>
          <w:szCs w:val="44"/>
        </w:rPr>
      </w:pPr>
      <w:r>
        <w:rPr>
          <w:rFonts w:hint="eastAsia" w:ascii="仿宋_GB2312" w:hAnsi="宋体" w:eastAsia="仿宋_GB2312"/>
          <w:b/>
          <w:bCs/>
          <w:sz w:val="44"/>
          <w:szCs w:val="44"/>
        </w:rPr>
        <w:t>涉执房地产处置司法评估报告</w:t>
      </w:r>
    </w:p>
    <w:p>
      <w:pPr>
        <w:widowControl w:val="0"/>
        <w:ind w:left="640" w:firstLine="1905"/>
        <w:rPr>
          <w:rFonts w:ascii="仿宋_GB2312" w:eastAsia="仿宋_GB2312"/>
          <w:sz w:val="32"/>
        </w:rPr>
      </w:pPr>
    </w:p>
    <w:p>
      <w:pPr>
        <w:widowControl w:val="0"/>
        <w:ind w:left="640" w:firstLine="1905"/>
        <w:rPr>
          <w:rFonts w:ascii="仿宋_GB2312" w:eastAsia="仿宋_GB2312"/>
          <w:sz w:val="32"/>
        </w:rPr>
      </w:pPr>
    </w:p>
    <w:p>
      <w:pPr>
        <w:widowControl w:val="0"/>
        <w:ind w:left="640" w:firstLine="1905"/>
        <w:rPr>
          <w:rFonts w:ascii="仿宋_GB2312" w:eastAsia="仿宋_GB2312"/>
          <w:sz w:val="32"/>
        </w:rPr>
      </w:pPr>
    </w:p>
    <w:p>
      <w:pPr>
        <w:widowControl w:val="0"/>
        <w:rPr>
          <w:rFonts w:ascii="仿宋_GB2312" w:eastAsia="仿宋_GB2312"/>
          <w:sz w:val="32"/>
        </w:rPr>
      </w:pPr>
    </w:p>
    <w:p>
      <w:pPr>
        <w:widowControl w:val="0"/>
        <w:rPr>
          <w:rFonts w:ascii="仿宋_GB2312" w:eastAsia="仿宋_GB2312"/>
          <w:sz w:val="32"/>
          <w:szCs w:val="32"/>
        </w:rPr>
      </w:pPr>
    </w:p>
    <w:p>
      <w:pPr>
        <w:widowControl w:val="0"/>
        <w:spacing w:after="0" w:line="500" w:lineRule="exact"/>
        <w:ind w:left="2240" w:hanging="2982" w:hangingChars="700"/>
        <w:rPr>
          <w:rFonts w:ascii="仿宋_GB2312" w:eastAsia="仿宋_GB2312"/>
          <w:spacing w:val="-8"/>
          <w:sz w:val="32"/>
          <w:szCs w:val="32"/>
        </w:rPr>
      </w:pPr>
      <w:r>
        <w:rPr>
          <w:rFonts w:hint="eastAsia" w:ascii="仿宋_GB2312" w:eastAsia="仿宋_GB2312"/>
          <w:spacing w:val="53"/>
          <w:kern w:val="0"/>
          <w:sz w:val="32"/>
          <w:szCs w:val="32"/>
          <w:fitText w:val="2880" w:id="0"/>
        </w:rPr>
        <w:t>估价项目名称</w:t>
      </w:r>
      <w:r>
        <w:rPr>
          <w:rFonts w:hint="eastAsia" w:ascii="仿宋_GB2312" w:eastAsia="仿宋_GB2312"/>
          <w:spacing w:val="2"/>
          <w:kern w:val="0"/>
          <w:sz w:val="32"/>
          <w:szCs w:val="32"/>
          <w:fitText w:val="2880" w:id="0"/>
        </w:rPr>
        <w:t>：</w:t>
      </w:r>
      <w:r>
        <w:rPr>
          <w:rFonts w:hint="eastAsia" w:ascii="仿宋_GB2312" w:eastAsia="仿宋_GB2312"/>
          <w:sz w:val="32"/>
          <w:szCs w:val="32"/>
          <w:lang w:eastAsia="zh-CN"/>
        </w:rPr>
        <w:t>山东省青岛莱西市红岛中路7号上海花苑E3#楼3单元401户（含附房）</w:t>
      </w:r>
      <w:r>
        <w:rPr>
          <w:rFonts w:hint="eastAsia" w:ascii="仿宋_GB2312" w:eastAsia="仿宋_GB2312"/>
          <w:spacing w:val="-8"/>
          <w:sz w:val="32"/>
          <w:szCs w:val="32"/>
        </w:rPr>
        <w:t>涉执</w:t>
      </w:r>
      <w:r>
        <w:rPr>
          <w:rFonts w:hint="eastAsia" w:ascii="仿宋_GB2312" w:eastAsia="仿宋_GB2312"/>
          <w:spacing w:val="-8"/>
          <w:sz w:val="32"/>
          <w:szCs w:val="32"/>
          <w:lang w:val="en-US" w:eastAsia="zh-CN"/>
        </w:rPr>
        <w:t>住宅</w:t>
      </w:r>
      <w:r>
        <w:rPr>
          <w:rFonts w:hint="eastAsia" w:ascii="仿宋_GB2312" w:eastAsia="仿宋_GB2312"/>
          <w:spacing w:val="-8"/>
          <w:sz w:val="32"/>
          <w:szCs w:val="32"/>
        </w:rPr>
        <w:t>房地产处置司法评估报告</w:t>
      </w:r>
    </w:p>
    <w:p>
      <w:pPr>
        <w:widowControl w:val="0"/>
        <w:spacing w:after="0" w:line="500" w:lineRule="exact"/>
        <w:rPr>
          <w:rFonts w:hint="eastAsia" w:ascii="仿宋_GB2312" w:eastAsia="仿宋_GB2312"/>
          <w:bCs/>
          <w:sz w:val="32"/>
          <w:szCs w:val="32"/>
          <w:lang w:eastAsia="zh-CN"/>
        </w:rPr>
      </w:pPr>
      <w:r>
        <w:rPr>
          <w:rFonts w:hint="eastAsia" w:ascii="仿宋_GB2312" w:eastAsia="仿宋_GB2312"/>
          <w:bCs/>
          <w:spacing w:val="96"/>
          <w:kern w:val="0"/>
          <w:sz w:val="32"/>
          <w:szCs w:val="32"/>
          <w:fitText w:val="2880" w:id="1"/>
        </w:rPr>
        <w:t>估价委托人</w:t>
      </w:r>
      <w:r>
        <w:rPr>
          <w:rFonts w:hint="eastAsia" w:ascii="仿宋_GB2312" w:eastAsia="仿宋_GB2312"/>
          <w:bCs/>
          <w:spacing w:val="0"/>
          <w:kern w:val="0"/>
          <w:sz w:val="32"/>
          <w:szCs w:val="32"/>
          <w:fitText w:val="2880" w:id="1"/>
        </w:rPr>
        <w:t>：</w:t>
      </w:r>
      <w:r>
        <w:rPr>
          <w:rFonts w:hint="eastAsia" w:ascii="仿宋_GB2312" w:eastAsia="仿宋_GB2312"/>
          <w:bCs/>
          <w:sz w:val="32"/>
          <w:szCs w:val="32"/>
          <w:lang w:eastAsia="zh-CN"/>
        </w:rPr>
        <w:t>莱西市人民法院</w:t>
      </w:r>
    </w:p>
    <w:p>
      <w:pPr>
        <w:widowControl w:val="0"/>
        <w:spacing w:after="0" w:line="500" w:lineRule="exact"/>
        <w:rPr>
          <w:rFonts w:ascii="仿宋_GB2312" w:eastAsia="仿宋_GB2312"/>
          <w:bCs/>
          <w:sz w:val="32"/>
        </w:rPr>
      </w:pPr>
      <w:r>
        <w:rPr>
          <w:rFonts w:hint="eastAsia" w:ascii="仿宋_GB2312" w:hAnsi="宋体" w:eastAsia="仿宋_GB2312"/>
          <w:bCs/>
          <w:spacing w:val="22"/>
          <w:kern w:val="0"/>
          <w:sz w:val="32"/>
          <w:fitText w:val="2880" w:id="2"/>
        </w:rPr>
        <w:t>房地产估价机构</w:t>
      </w:r>
      <w:r>
        <w:rPr>
          <w:rFonts w:hint="eastAsia" w:ascii="仿宋_GB2312" w:hAnsi="宋体" w:eastAsia="仿宋_GB2312"/>
          <w:bCs/>
          <w:spacing w:val="6"/>
          <w:kern w:val="0"/>
          <w:sz w:val="32"/>
          <w:fitText w:val="2880" w:id="2"/>
        </w:rPr>
        <w:t>：</w:t>
      </w:r>
      <w:r>
        <w:rPr>
          <w:rFonts w:hint="eastAsia" w:ascii="仿宋_GB2312" w:eastAsia="仿宋_GB2312"/>
          <w:bCs/>
          <w:sz w:val="32"/>
        </w:rPr>
        <w:t>青岛亚泰房地产评估咨询有限公司</w:t>
      </w:r>
    </w:p>
    <w:p>
      <w:pPr>
        <w:pStyle w:val="28"/>
        <w:widowControl w:val="0"/>
        <w:spacing w:after="0" w:line="500" w:lineRule="exact"/>
        <w:rPr>
          <w:rFonts w:ascii="仿宋_GB2312" w:eastAsia="仿宋_GB2312"/>
          <w:bCs/>
          <w:sz w:val="32"/>
        </w:rPr>
      </w:pPr>
      <w:r>
        <w:rPr>
          <w:rFonts w:hint="eastAsia" w:ascii="仿宋_GB2312" w:eastAsia="仿宋_GB2312"/>
          <w:bCs/>
          <w:sz w:val="32"/>
        </w:rPr>
        <w:t>注册房地产估价师：</w:t>
      </w:r>
      <w:r>
        <w:rPr>
          <w:rFonts w:hint="eastAsia" w:ascii="仿宋_GB2312" w:eastAsia="仿宋_GB2312"/>
          <w:bCs/>
          <w:sz w:val="32"/>
          <w:lang w:eastAsia="zh-CN"/>
        </w:rPr>
        <w:t>孙伟栋</w:t>
      </w:r>
      <w:r>
        <w:rPr>
          <w:rFonts w:hint="eastAsia" w:ascii="仿宋_GB2312" w:eastAsia="仿宋_GB2312"/>
          <w:bCs/>
          <w:sz w:val="32"/>
        </w:rPr>
        <w:t>（注册编号：</w:t>
      </w:r>
      <w:r>
        <w:rPr>
          <w:rFonts w:hint="eastAsia" w:ascii="仿宋_GB2312" w:eastAsia="仿宋_GB2312"/>
          <w:bCs/>
          <w:sz w:val="32"/>
          <w:lang w:eastAsia="zh-CN"/>
        </w:rPr>
        <w:t>3720130044</w:t>
      </w:r>
      <w:r>
        <w:rPr>
          <w:rFonts w:hint="eastAsia" w:ascii="仿宋_GB2312" w:eastAsia="仿宋_GB2312"/>
          <w:bCs/>
          <w:sz w:val="32"/>
        </w:rPr>
        <w:t>）</w:t>
      </w:r>
    </w:p>
    <w:p>
      <w:pPr>
        <w:pStyle w:val="28"/>
        <w:widowControl w:val="0"/>
        <w:spacing w:after="0" w:line="500" w:lineRule="exact"/>
        <w:ind w:firstLine="2880" w:firstLineChars="900"/>
        <w:rPr>
          <w:rFonts w:ascii="仿宋_GB2312" w:hAnsi="Times New Roman" w:eastAsia="仿宋_GB2312"/>
          <w:bCs/>
          <w:kern w:val="0"/>
          <w:sz w:val="32"/>
          <w:szCs w:val="22"/>
        </w:rPr>
      </w:pPr>
      <w:r>
        <w:rPr>
          <w:rFonts w:hint="eastAsia" w:ascii="仿宋_GB2312" w:hAnsi="Times New Roman" w:eastAsia="仿宋_GB2312"/>
          <w:bCs/>
          <w:kern w:val="0"/>
          <w:sz w:val="32"/>
          <w:szCs w:val="22"/>
        </w:rPr>
        <w:t>陈  琛（注册编号：3720180040）</w:t>
      </w:r>
    </w:p>
    <w:p>
      <w:pPr>
        <w:widowControl w:val="0"/>
        <w:spacing w:after="0" w:line="500" w:lineRule="exact"/>
        <w:rPr>
          <w:rFonts w:hint="eastAsia" w:ascii="仿宋_GB2312" w:eastAsia="仿宋_GB2312"/>
          <w:bCs/>
          <w:sz w:val="32"/>
          <w:lang w:eastAsia="zh-CN"/>
        </w:rPr>
      </w:pPr>
      <w:r>
        <w:rPr>
          <w:rFonts w:hint="eastAsia" w:ascii="仿宋_GB2312" w:eastAsia="仿宋_GB2312"/>
          <w:bCs/>
          <w:sz w:val="32"/>
        </w:rPr>
        <w:t>估价报告出具日期：</w:t>
      </w:r>
      <w:r>
        <w:rPr>
          <w:rFonts w:hint="eastAsia" w:ascii="仿宋_GB2312" w:eastAsia="仿宋_GB2312"/>
          <w:bCs/>
          <w:sz w:val="32"/>
          <w:lang w:eastAsia="zh-CN"/>
        </w:rPr>
        <w:t>2022年1月26日</w:t>
      </w:r>
    </w:p>
    <w:p>
      <w:pPr>
        <w:widowControl w:val="0"/>
        <w:spacing w:after="0" w:line="500" w:lineRule="exact"/>
        <w:rPr>
          <w:rFonts w:hint="eastAsia" w:ascii="仿宋_GB2312" w:eastAsia="仿宋_GB2312"/>
          <w:bCs/>
          <w:sz w:val="32"/>
          <w:lang w:eastAsia="zh-CN"/>
        </w:rPr>
      </w:pPr>
      <w:r>
        <w:rPr>
          <w:rFonts w:hint="eastAsia" w:ascii="仿宋_GB2312" w:eastAsia="仿宋_GB2312"/>
          <w:bCs/>
          <w:sz w:val="32"/>
        </w:rPr>
        <w:t>估价报告编号：</w:t>
      </w:r>
      <w:r>
        <w:rPr>
          <w:rFonts w:hint="eastAsia" w:ascii="仿宋_GB2312" w:eastAsia="仿宋_GB2312"/>
          <w:bCs/>
          <w:sz w:val="32"/>
          <w:lang w:eastAsia="zh-CN"/>
        </w:rPr>
        <w:t>青亚房估字【2022】第020号</w:t>
      </w:r>
    </w:p>
    <w:p>
      <w:pPr>
        <w:pStyle w:val="3"/>
        <w:keepNext w:val="0"/>
        <w:keepLines w:val="0"/>
        <w:widowControl w:val="0"/>
        <w:spacing w:before="0" w:line="600" w:lineRule="exact"/>
        <w:ind w:firstLine="643" w:firstLineChars="200"/>
        <w:jc w:val="center"/>
        <w:rPr>
          <w:rFonts w:ascii="仿宋_GB2312" w:eastAsia="仿宋_GB2312"/>
          <w:b/>
          <w:color w:val="auto"/>
        </w:rPr>
      </w:pPr>
      <w:bookmarkStart w:id="0" w:name="_Toc340240485"/>
      <w:bookmarkStart w:id="1" w:name="_Toc26448534"/>
      <w:bookmarkStart w:id="2" w:name="_Toc135021026"/>
      <w:bookmarkStart w:id="3" w:name="_Toc135021592"/>
      <w:bookmarkStart w:id="4" w:name="_Toc515962649"/>
      <w:bookmarkStart w:id="5" w:name="_Toc135020951"/>
      <w:bookmarkStart w:id="6" w:name="_Toc135021209"/>
      <w:bookmarkStart w:id="7" w:name="_Toc135541817"/>
      <w:bookmarkStart w:id="8" w:name="_Toc515962527"/>
      <w:bookmarkStart w:id="9" w:name="_Toc135021305"/>
      <w:bookmarkStart w:id="10" w:name="_Toc6216261"/>
      <w:bookmarkStart w:id="11" w:name="_Toc12145"/>
      <w:bookmarkStart w:id="12" w:name="_Toc515962336"/>
      <w:bookmarkStart w:id="13" w:name="_Toc515962440"/>
      <w:r>
        <w:rPr>
          <w:rFonts w:hint="eastAsia" w:ascii="仿宋_GB2312" w:eastAsia="仿宋_GB2312"/>
          <w:b/>
          <w:color w:val="auto"/>
        </w:rPr>
        <w:br w:type="page"/>
      </w:r>
      <w:bookmarkStart w:id="14" w:name="_Toc23865"/>
      <w:bookmarkStart w:id="15" w:name="_Toc16478"/>
      <w:r>
        <w:rPr>
          <w:rFonts w:hint="eastAsia" w:ascii="仿宋_GB2312" w:eastAsia="仿宋_GB2312"/>
          <w:b/>
          <w:color w:val="auto"/>
        </w:rPr>
        <w:t>致估价委托人函</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widowControl w:val="0"/>
        <w:spacing w:after="0" w:line="520" w:lineRule="exact"/>
        <w:rPr>
          <w:rFonts w:ascii="仿宋_GB2312" w:hAnsi="宋体" w:eastAsia="仿宋_GB2312"/>
          <w:sz w:val="28"/>
          <w:szCs w:val="28"/>
        </w:rPr>
      </w:pPr>
      <w:r>
        <w:rPr>
          <w:rFonts w:hint="eastAsia" w:ascii="仿宋_GB2312" w:hAnsi="宋体" w:eastAsia="仿宋_GB2312"/>
          <w:sz w:val="28"/>
          <w:szCs w:val="28"/>
          <w:lang w:eastAsia="zh-CN"/>
        </w:rPr>
        <w:t>莱西市人民法院</w:t>
      </w:r>
      <w:r>
        <w:rPr>
          <w:rFonts w:hint="eastAsia" w:ascii="仿宋_GB2312" w:hAnsi="宋体" w:eastAsia="仿宋_GB2312"/>
          <w:sz w:val="28"/>
          <w:szCs w:val="28"/>
        </w:rPr>
        <w:t xml:space="preserve">：  </w:t>
      </w:r>
    </w:p>
    <w:p>
      <w:pPr>
        <w:widowControl w:val="0"/>
        <w:spacing w:after="0" w:line="520" w:lineRule="exact"/>
        <w:ind w:firstLine="560" w:firstLineChars="200"/>
        <w:rPr>
          <w:rFonts w:ascii="仿宋_GB2312" w:eastAsia="仿宋_GB2312"/>
          <w:sz w:val="28"/>
        </w:rPr>
      </w:pPr>
      <w:r>
        <w:rPr>
          <w:rFonts w:hint="eastAsia" w:ascii="仿宋_GB2312" w:eastAsia="仿宋_GB2312"/>
          <w:sz w:val="28"/>
        </w:rPr>
        <w:t>我公司本着独立、客观、公正、科学的原则，对贵单位委托估价的位于</w:t>
      </w:r>
      <w:r>
        <w:rPr>
          <w:rFonts w:hint="eastAsia" w:ascii="仿宋_GB2312" w:eastAsia="仿宋_GB2312"/>
          <w:sz w:val="28"/>
          <w:lang w:eastAsia="zh-CN"/>
        </w:rPr>
        <w:t>山东省青岛莱西市红岛中路7号上海花苑E3#楼3单元401户（含附房）</w:t>
      </w:r>
      <w:r>
        <w:rPr>
          <w:rFonts w:hint="eastAsia" w:ascii="仿宋_GB2312" w:eastAsia="仿宋_GB2312"/>
          <w:sz w:val="28"/>
        </w:rPr>
        <w:t>房地产于</w:t>
      </w:r>
      <w:r>
        <w:rPr>
          <w:rFonts w:hint="eastAsia" w:ascii="仿宋_GB2312" w:eastAsia="仿宋_GB2312"/>
          <w:sz w:val="28"/>
          <w:lang w:eastAsia="zh-CN"/>
        </w:rPr>
        <w:t>2022年1月19日</w:t>
      </w:r>
      <w:r>
        <w:rPr>
          <w:rFonts w:hint="eastAsia" w:ascii="仿宋_GB2312" w:eastAsia="仿宋_GB2312"/>
          <w:sz w:val="28"/>
        </w:rPr>
        <w:t>进行了实地查勘，并广泛收集有关资料，根据实地查勘情况和所收集的有关资料对估价对象价值进行了专业分析，估价工作已完成，现将报告主要内容说明如下：</w:t>
      </w:r>
    </w:p>
    <w:p>
      <w:pPr>
        <w:widowControl w:val="0"/>
        <w:spacing w:after="0" w:line="520" w:lineRule="exact"/>
        <w:ind w:firstLine="560" w:firstLineChars="200"/>
        <w:rPr>
          <w:rFonts w:ascii="仿宋_GB2312" w:hAnsi="宋体" w:eastAsia="仿宋_GB2312"/>
          <w:sz w:val="28"/>
        </w:rPr>
      </w:pPr>
      <w:r>
        <w:rPr>
          <w:rFonts w:hint="eastAsia" w:ascii="仿宋_GB2312" w:eastAsia="仿宋_GB2312"/>
          <w:sz w:val="28"/>
        </w:rPr>
        <w:t>估价对象：</w:t>
      </w:r>
      <w:r>
        <w:rPr>
          <w:rFonts w:hint="eastAsia" w:ascii="仿宋_GB2312" w:eastAsia="仿宋_GB2312"/>
          <w:sz w:val="28"/>
          <w:lang w:eastAsia="zh-CN"/>
        </w:rPr>
        <w:t>山东省青岛莱西市红岛中路7号上海花苑E3#楼3单元401户（含附房）</w:t>
      </w:r>
      <w:r>
        <w:rPr>
          <w:rFonts w:hint="eastAsia" w:ascii="仿宋_GB2312" w:hAnsi="宋体" w:eastAsia="仿宋_GB2312"/>
          <w:sz w:val="28"/>
        </w:rPr>
        <w:t>，根据</w:t>
      </w:r>
      <w:r>
        <w:rPr>
          <w:rFonts w:hint="eastAsia" w:ascii="仿宋_GB2312" w:hAnsi="宋体" w:eastAsia="仿宋_GB2312"/>
          <w:sz w:val="28"/>
          <w:lang w:eastAsia="zh-CN"/>
        </w:rPr>
        <w:t>《中华人民共和国房地产权证》（青房地权市字第2013142446号）</w:t>
      </w:r>
      <w:r>
        <w:rPr>
          <w:rFonts w:hint="eastAsia" w:ascii="仿宋_GB2312" w:hAnsi="宋体" w:eastAsia="仿宋_GB2312"/>
          <w:sz w:val="28"/>
        </w:rPr>
        <w:t>记载，估价对象情况如下:</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695"/>
        <w:gridCol w:w="2417"/>
        <w:gridCol w:w="736"/>
        <w:gridCol w:w="1805"/>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gridSpan w:val="2"/>
            <w:tcBorders>
              <w:top w:val="single" w:color="DDDDDD" w:sz="4" w:space="0"/>
              <w:left w:val="single" w:color="DDDDDD" w:sz="4" w:space="0"/>
              <w:bottom w:val="single" w:color="DDDDDD" w:sz="4" w:space="0"/>
              <w:right w:val="single" w:color="DDDDDD" w:sz="4" w:space="0"/>
            </w:tcBorders>
            <w:shd w:val="clear" w:color="auto" w:fill="F2C45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房地产权利人</w:t>
            </w:r>
          </w:p>
        </w:tc>
        <w:tc>
          <w:tcPr>
            <w:tcW w:w="7347" w:type="dxa"/>
            <w:gridSpan w:val="4"/>
            <w:tcBorders>
              <w:top w:val="single" w:color="DDDDDD" w:sz="4" w:space="0"/>
              <w:left w:val="single" w:color="DDDDDD" w:sz="4" w:space="0"/>
              <w:bottom w:val="single" w:color="DDDDDD" w:sz="4" w:space="0"/>
              <w:right w:val="single" w:color="DDDDDD" w:sz="4" w:space="0"/>
            </w:tcBorders>
            <w:shd w:val="clear" w:color="auto" w:fill="F2C45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李林修、任冬梅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gridSpan w:val="2"/>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房地坐落</w:t>
            </w:r>
          </w:p>
        </w:tc>
        <w:tc>
          <w:tcPr>
            <w:tcW w:w="7347" w:type="dxa"/>
            <w:gridSpan w:val="4"/>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红岛中路7号上海花苑E3#楼3单元401户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gridSpan w:val="2"/>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共有情况</w:t>
            </w:r>
          </w:p>
        </w:tc>
        <w:tc>
          <w:tcPr>
            <w:tcW w:w="7347" w:type="dxa"/>
            <w:gridSpan w:val="4"/>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Borders>
              <w:top w:val="single" w:color="DDDDDD" w:sz="4" w:space="0"/>
              <w:left w:val="single" w:color="DDDDDD" w:sz="4" w:space="0"/>
              <w:bottom w:val="single" w:color="DDDDDD" w:sz="4" w:space="0"/>
              <w:right w:val="single" w:color="DDDDDD" w:sz="4" w:space="0"/>
            </w:tcBorders>
            <w:shd w:val="clear" w:color="auto" w:fill="FBEDCD"/>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房屋状况</w:t>
            </w:r>
          </w:p>
        </w:tc>
        <w:tc>
          <w:tcPr>
            <w:tcW w:w="1695"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建筑面积（㎡）</w:t>
            </w:r>
          </w:p>
        </w:tc>
        <w:tc>
          <w:tcPr>
            <w:tcW w:w="2417"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133.13</w:t>
            </w:r>
          </w:p>
        </w:tc>
        <w:tc>
          <w:tcPr>
            <w:tcW w:w="2541" w:type="dxa"/>
            <w:gridSpan w:val="2"/>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套内建筑面积（㎡）</w:t>
            </w:r>
          </w:p>
        </w:tc>
        <w:tc>
          <w:tcPr>
            <w:tcW w:w="2389"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规划用途</w:t>
            </w:r>
          </w:p>
        </w:tc>
        <w:tc>
          <w:tcPr>
            <w:tcW w:w="2417"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居住</w:t>
            </w:r>
          </w:p>
        </w:tc>
        <w:tc>
          <w:tcPr>
            <w:tcW w:w="2541" w:type="dxa"/>
            <w:gridSpan w:val="2"/>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房屋性质</w:t>
            </w:r>
          </w:p>
        </w:tc>
        <w:tc>
          <w:tcPr>
            <w:tcW w:w="2389"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Borders>
              <w:top w:val="single" w:color="DDDDDD" w:sz="4" w:space="0"/>
              <w:left w:val="single" w:color="DDDDDD" w:sz="4" w:space="0"/>
              <w:bottom w:val="single" w:color="DDDDDD" w:sz="4" w:space="0"/>
              <w:right w:val="single" w:color="DDDDDD" w:sz="4" w:space="0"/>
            </w:tcBorders>
            <w:shd w:val="clear" w:color="auto" w:fill="FBEDCD"/>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土地状况</w:t>
            </w:r>
          </w:p>
        </w:tc>
        <w:tc>
          <w:tcPr>
            <w:tcW w:w="1695"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地号</w:t>
            </w:r>
          </w:p>
        </w:tc>
        <w:tc>
          <w:tcPr>
            <w:tcW w:w="2417"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8500100080003000</w:t>
            </w:r>
          </w:p>
        </w:tc>
        <w:tc>
          <w:tcPr>
            <w:tcW w:w="2541" w:type="dxa"/>
            <w:gridSpan w:val="2"/>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土地用途</w:t>
            </w:r>
          </w:p>
        </w:tc>
        <w:tc>
          <w:tcPr>
            <w:tcW w:w="2389"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城镇混合住宅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DDDDDD" w:sz="4" w:space="0"/>
              <w:left w:val="single" w:color="DDDDDD" w:sz="4" w:space="0"/>
              <w:bottom w:val="single" w:color="DDDDDD" w:sz="4" w:space="0"/>
              <w:right w:val="single" w:color="DDDDDD" w:sz="4" w:space="0"/>
            </w:tcBorders>
            <w:shd w:val="clear" w:color="auto" w:fill="FFFFFF"/>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取得方式</w:t>
            </w:r>
          </w:p>
        </w:tc>
        <w:tc>
          <w:tcPr>
            <w:tcW w:w="2417" w:type="dxa"/>
            <w:tcBorders>
              <w:top w:val="single" w:color="DDDDDD" w:sz="4" w:space="0"/>
              <w:left w:val="single" w:color="DDDDDD" w:sz="4" w:space="0"/>
              <w:bottom w:val="single" w:color="DDDDDD" w:sz="4" w:space="0"/>
              <w:right w:val="single" w:color="DDDDDD" w:sz="4" w:space="0"/>
            </w:tcBorders>
            <w:shd w:val="clear" w:color="auto" w:fill="FBEDCD"/>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出让</w:t>
            </w:r>
          </w:p>
        </w:tc>
        <w:tc>
          <w:tcPr>
            <w:tcW w:w="2541" w:type="dxa"/>
            <w:gridSpan w:val="2"/>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使用年限</w:t>
            </w:r>
          </w:p>
        </w:tc>
        <w:tc>
          <w:tcPr>
            <w:tcW w:w="2389"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至2053年4月7日止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1695" w:type="dxa"/>
            <w:vMerge w:val="restart"/>
            <w:tcBorders>
              <w:top w:val="single" w:color="DDDDDD" w:sz="4" w:space="0"/>
              <w:left w:val="single" w:color="DDDDDD" w:sz="4" w:space="0"/>
              <w:bottom w:val="single" w:color="DDDDDD" w:sz="4" w:space="0"/>
              <w:right w:val="single" w:color="DDDDDD" w:sz="4" w:space="0"/>
            </w:tcBorders>
            <w:shd w:val="clear" w:color="auto" w:fill="FFFFFF"/>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使用权面积</w:t>
            </w:r>
          </w:p>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w:t>
            </w:r>
          </w:p>
        </w:tc>
        <w:tc>
          <w:tcPr>
            <w:tcW w:w="2417" w:type="dxa"/>
            <w:vMerge w:val="restart"/>
            <w:tcBorders>
              <w:top w:val="single" w:color="DDDDDD" w:sz="4" w:space="0"/>
              <w:left w:val="single" w:color="DDDDDD" w:sz="4" w:space="0"/>
              <w:bottom w:val="single" w:color="DDDDDD" w:sz="4" w:space="0"/>
              <w:right w:val="single" w:color="DDDDDD" w:sz="4" w:space="0"/>
            </w:tcBorders>
            <w:shd w:val="clear" w:color="auto" w:fill="FBEDCD"/>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57401.00</w:t>
            </w:r>
          </w:p>
        </w:tc>
        <w:tc>
          <w:tcPr>
            <w:tcW w:w="736" w:type="dxa"/>
            <w:vMerge w:val="restart"/>
            <w:tcBorders>
              <w:top w:val="single" w:color="DDDDDD" w:sz="4" w:space="0"/>
              <w:left w:val="single" w:color="DDDDDD" w:sz="4" w:space="0"/>
              <w:bottom w:val="single" w:color="DDDDDD" w:sz="4" w:space="0"/>
              <w:right w:val="single" w:color="DDDDDD" w:sz="4" w:space="0"/>
            </w:tcBorders>
            <w:shd w:val="clear" w:color="auto" w:fill="FFFFFF"/>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其 中</w:t>
            </w:r>
          </w:p>
        </w:tc>
        <w:tc>
          <w:tcPr>
            <w:tcW w:w="1805"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独用面积（㎡）</w:t>
            </w:r>
          </w:p>
        </w:tc>
        <w:tc>
          <w:tcPr>
            <w:tcW w:w="2389"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1695" w:type="dxa"/>
            <w:vMerge w:val="continue"/>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eastAsia" w:ascii="仿宋_GB2312" w:eastAsia="仿宋_GB2312"/>
                <w:color w:val="000000"/>
                <w:sz w:val="18"/>
                <w:szCs w:val="18"/>
                <w:lang w:eastAsia="zh-CN"/>
              </w:rPr>
            </w:pPr>
          </w:p>
        </w:tc>
        <w:tc>
          <w:tcPr>
            <w:tcW w:w="2417"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eastAsia" w:ascii="仿宋_GB2312" w:eastAsia="仿宋_GB2312"/>
                <w:color w:val="000000"/>
                <w:sz w:val="18"/>
                <w:szCs w:val="18"/>
                <w:lang w:eastAsia="zh-CN"/>
              </w:rPr>
            </w:pPr>
          </w:p>
        </w:tc>
        <w:tc>
          <w:tcPr>
            <w:tcW w:w="1805" w:type="dxa"/>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分摊面积（㎡）</w:t>
            </w:r>
          </w:p>
        </w:tc>
        <w:tc>
          <w:tcPr>
            <w:tcW w:w="2389"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DDDDDD" w:sz="4" w:space="0"/>
              <w:left w:val="single" w:color="DDDDDD" w:sz="4" w:space="0"/>
              <w:bottom w:val="single" w:color="DDDDDD" w:sz="4" w:space="0"/>
              <w:right w:val="single" w:color="DDDDDD" w:sz="4" w:space="0"/>
            </w:tcBorders>
            <w:shd w:val="clear" w:color="auto" w:fill="FFFFFF"/>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共用使用权面积（㎡）</w:t>
            </w:r>
          </w:p>
        </w:tc>
        <w:tc>
          <w:tcPr>
            <w:tcW w:w="7347" w:type="dxa"/>
            <w:gridSpan w:val="4"/>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57401.00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8" w:type="dxa"/>
            <w:gridSpan w:val="6"/>
            <w:tcBorders>
              <w:top w:val="single" w:color="DDDDDD" w:sz="4" w:space="0"/>
              <w:left w:val="single" w:color="DDDDDD" w:sz="4" w:space="0"/>
              <w:bottom w:val="single" w:color="DDDDDD" w:sz="4" w:space="0"/>
              <w:right w:val="single" w:color="DDDDDD" w:sz="4" w:space="0"/>
            </w:tcBorders>
            <w:shd w:val="clear" w:color="auto" w:fill="FBEDCD"/>
          </w:tcPr>
          <w:p>
            <w:pPr>
              <w:widowControl w:val="0"/>
              <w:spacing w:after="0" w:line="520" w:lineRule="exact"/>
              <w:jc w:val="left"/>
              <w:rPr>
                <w:rFonts w:hint="eastAsia" w:ascii="仿宋_GB2312" w:eastAsia="仿宋_GB2312"/>
                <w:color w:val="000000"/>
                <w:sz w:val="21"/>
                <w:szCs w:val="21"/>
                <w:lang w:val="en-US" w:eastAsia="zh-CN"/>
              </w:rPr>
            </w:pPr>
            <w:r>
              <w:rPr>
                <w:rFonts w:hint="eastAsia" w:ascii="仿宋_GB2312" w:eastAsia="仿宋_GB2312"/>
                <w:color w:val="000000"/>
                <w:sz w:val="21"/>
                <w:szCs w:val="21"/>
                <w:lang w:val="en-US" w:eastAsia="zh-CN"/>
              </w:rPr>
              <w:t>存量房屋转移登记</w:t>
            </w:r>
          </w:p>
          <w:p>
            <w:pPr>
              <w:pStyle w:val="2"/>
              <w:widowControl w:val="0"/>
              <w:ind w:left="0" w:leftChars="0" w:firstLine="0" w:firstLineChars="0"/>
              <w:jc w:val="both"/>
              <w:rPr>
                <w:rFonts w:hint="eastAsia" w:ascii="仿宋_GB2312" w:eastAsia="仿宋_GB2312"/>
                <w:color w:val="000000"/>
                <w:sz w:val="21"/>
                <w:szCs w:val="21"/>
                <w:lang w:val="en-US" w:eastAsia="zh-CN"/>
              </w:rPr>
            </w:pPr>
            <w:r>
              <w:rPr>
                <w:rFonts w:hint="eastAsia" w:ascii="仿宋_GB2312" w:eastAsia="仿宋_GB2312"/>
                <w:color w:val="000000"/>
                <w:sz w:val="21"/>
                <w:szCs w:val="21"/>
                <w:lang w:val="en-US" w:eastAsia="zh-CN"/>
              </w:rPr>
              <w:t>买卖</w:t>
            </w:r>
          </w:p>
          <w:p>
            <w:pPr>
              <w:pStyle w:val="2"/>
              <w:widowControl w:val="0"/>
              <w:ind w:left="0" w:leftChars="0" w:firstLine="0" w:firstLineChars="0"/>
              <w:jc w:val="both"/>
              <w:rPr>
                <w:rFonts w:hint="eastAsia" w:ascii="仿宋_GB2312" w:eastAsia="仿宋_GB2312"/>
                <w:color w:val="000000"/>
                <w:sz w:val="21"/>
                <w:szCs w:val="21"/>
                <w:lang w:val="en-US" w:eastAsia="zh-CN"/>
              </w:rPr>
            </w:pPr>
            <w:r>
              <w:rPr>
                <w:rFonts w:hint="eastAsia" w:ascii="仿宋_GB2312" w:eastAsia="仿宋_GB2312"/>
                <w:color w:val="000000"/>
                <w:sz w:val="21"/>
                <w:szCs w:val="21"/>
                <w:lang w:val="en-US" w:eastAsia="zh-CN"/>
              </w:rPr>
              <w:t>共同共有，共有人李林修、任冬梅</w:t>
            </w:r>
          </w:p>
          <w:p>
            <w:pPr>
              <w:pStyle w:val="2"/>
              <w:widowControl w:val="0"/>
              <w:ind w:left="0" w:leftChars="0" w:firstLine="0" w:firstLineChars="0"/>
              <w:jc w:val="both"/>
              <w:rPr>
                <w:rFonts w:hint="default" w:ascii="仿宋_GB2312" w:eastAsia="仿宋_GB2312"/>
                <w:color w:val="000000"/>
                <w:sz w:val="18"/>
                <w:szCs w:val="18"/>
                <w:lang w:val="en-US" w:eastAsia="zh-CN"/>
              </w:rPr>
            </w:pPr>
            <w:r>
              <w:rPr>
                <w:rFonts w:hint="eastAsia" w:ascii="仿宋_GB2312" w:eastAsia="仿宋_GB2312"/>
                <w:color w:val="000000"/>
                <w:sz w:val="21"/>
                <w:szCs w:val="21"/>
                <w:lang w:val="en-US" w:eastAsia="zh-CN"/>
              </w:rPr>
              <w:t>附房：本单元东4户9.39平方米【数据迁移土地证信息，登记编号为200800160720，土地证号为西国用（2020）第0570号，登记类别为出让国有建设用地使用权初始登记，土地批准用途为城镇混合住宅，土地使用权类型为出让，土地使用开始日期为2003-04-08，土地使用结束日期为2053-04-07】</w:t>
            </w:r>
          </w:p>
        </w:tc>
      </w:tr>
    </w:tbl>
    <w:p>
      <w:pPr>
        <w:widowControl w:val="0"/>
        <w:spacing w:after="0" w:line="520" w:lineRule="exact"/>
        <w:ind w:firstLine="560" w:firstLineChars="200"/>
        <w:rPr>
          <w:rFonts w:ascii="仿宋_GB2312" w:hAnsi="宋体" w:eastAsia="仿宋_GB2312"/>
          <w:sz w:val="28"/>
        </w:rPr>
      </w:pPr>
      <w:r>
        <w:rPr>
          <w:rFonts w:hint="eastAsia" w:ascii="仿宋_GB2312" w:hAnsi="宋体" w:eastAsia="仿宋_GB2312"/>
          <w:sz w:val="28"/>
        </w:rPr>
        <w:t>估价目的：为人民法院确定财产处置参考价提供参考依据。</w:t>
      </w:r>
    </w:p>
    <w:p>
      <w:pPr>
        <w:widowControl w:val="0"/>
        <w:adjustRightInd w:val="0"/>
        <w:snapToGrid w:val="0"/>
        <w:spacing w:after="0" w:line="520" w:lineRule="exact"/>
        <w:ind w:firstLine="560" w:firstLineChars="200"/>
        <w:rPr>
          <w:rFonts w:ascii="仿宋_GB2312" w:hAnsi="宋体" w:eastAsia="仿宋_GB2312"/>
          <w:sz w:val="28"/>
        </w:rPr>
      </w:pPr>
      <w:r>
        <w:rPr>
          <w:rFonts w:hint="eastAsia" w:ascii="仿宋_GB2312" w:hAnsi="宋体" w:eastAsia="仿宋_GB2312"/>
          <w:sz w:val="28"/>
        </w:rPr>
        <w:t>价值时点：</w:t>
      </w:r>
      <w:r>
        <w:rPr>
          <w:rFonts w:hint="eastAsia" w:ascii="仿宋_GB2312" w:hAnsi="宋体" w:eastAsia="仿宋_GB2312"/>
          <w:sz w:val="28"/>
          <w:lang w:eastAsia="zh-CN"/>
        </w:rPr>
        <w:t>2022年1月19日</w:t>
      </w:r>
      <w:r>
        <w:rPr>
          <w:rFonts w:hint="eastAsia" w:ascii="仿宋_GB2312" w:hAnsi="宋体" w:eastAsia="仿宋_GB2312"/>
          <w:sz w:val="28"/>
        </w:rPr>
        <w:t>（实地查勘完成之日）。</w:t>
      </w:r>
    </w:p>
    <w:p>
      <w:pPr>
        <w:widowControl w:val="0"/>
        <w:adjustRightInd w:val="0"/>
        <w:snapToGrid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sz w:val="28"/>
        </w:rPr>
        <w:t>价值类型：</w:t>
      </w:r>
      <w:r>
        <w:rPr>
          <w:rFonts w:hint="eastAsia" w:ascii="仿宋_GB2312" w:hAnsi="宋体" w:eastAsia="仿宋_GB2312"/>
          <w:bCs/>
          <w:sz w:val="28"/>
          <w:szCs w:val="28"/>
        </w:rPr>
        <w:t>本次估价的价值类型为市场价格，即某种房地产在市场上的平均交易价格。</w:t>
      </w:r>
    </w:p>
    <w:p>
      <w:pPr>
        <w:widowControl w:val="0"/>
        <w:spacing w:after="0" w:line="520" w:lineRule="exact"/>
        <w:ind w:firstLine="560" w:firstLineChars="200"/>
        <w:rPr>
          <w:rFonts w:ascii="仿宋_GB2312" w:hAnsi="宋体" w:eastAsia="仿宋_GB2312"/>
          <w:sz w:val="28"/>
        </w:rPr>
      </w:pPr>
      <w:r>
        <w:rPr>
          <w:rFonts w:hint="eastAsia" w:ascii="仿宋_GB2312" w:hAnsi="宋体" w:eastAsia="仿宋_GB2312"/>
          <w:bCs/>
          <w:sz w:val="28"/>
          <w:szCs w:val="28"/>
        </w:rPr>
        <w:t>估价方法：比较法、成本法</w:t>
      </w:r>
    </w:p>
    <w:p>
      <w:pPr>
        <w:widowControl w:val="0"/>
        <w:spacing w:after="0" w:line="520" w:lineRule="exact"/>
        <w:ind w:right="-15" w:firstLine="560" w:firstLineChars="200"/>
        <w:rPr>
          <w:rFonts w:ascii="仿宋_GB2312" w:hAnsi="宋体" w:eastAsia="仿宋_GB2312" w:cs="宋体"/>
          <w:sz w:val="28"/>
          <w:szCs w:val="28"/>
          <w:highlight w:val="none"/>
        </w:rPr>
      </w:pPr>
      <w:r>
        <w:rPr>
          <w:rFonts w:hint="eastAsia" w:ascii="仿宋_GB2312" w:hAnsi="宋体" w:eastAsia="仿宋_GB2312"/>
          <w:sz w:val="28"/>
        </w:rPr>
        <w:t>估价结果：注册房地产估价师根据估价目的，遵循估价原则，按照估价程序，在对估价对象进行详细查勘并认真分析现有资料的基础上，经过周密地计算，并结合对影响房地产价值因素的综合分析，最终确定价值时点</w:t>
      </w:r>
      <w:r>
        <w:rPr>
          <w:rFonts w:hint="eastAsia" w:ascii="仿宋_GB2312" w:hAnsi="宋体" w:eastAsia="仿宋_GB2312" w:cs="宋体"/>
          <w:sz w:val="28"/>
          <w:szCs w:val="28"/>
        </w:rPr>
        <w:t>待估房地产的市</w:t>
      </w:r>
      <w:r>
        <w:rPr>
          <w:rFonts w:hint="eastAsia" w:ascii="仿宋_GB2312" w:hAnsi="宋体" w:eastAsia="仿宋_GB2312" w:cs="宋体"/>
          <w:sz w:val="28"/>
          <w:szCs w:val="28"/>
          <w:highlight w:val="none"/>
        </w:rPr>
        <w:t>场价格为：</w:t>
      </w:r>
    </w:p>
    <w:p>
      <w:pPr>
        <w:widowControl w:val="0"/>
        <w:spacing w:after="0" w:line="530" w:lineRule="exact"/>
        <w:ind w:right="-15" w:firstLine="560" w:firstLineChars="200"/>
        <w:rPr>
          <w:rFonts w:ascii="仿宋_GB2312" w:hAnsi="宋体" w:eastAsia="仿宋_GB2312" w:cs="宋体"/>
          <w:sz w:val="28"/>
          <w:szCs w:val="28"/>
          <w:highlight w:val="none"/>
        </w:rPr>
      </w:pPr>
      <w:r>
        <w:rPr>
          <w:rFonts w:hint="eastAsia" w:ascii="仿宋_GB2312" w:hAnsi="宋体" w:eastAsia="仿宋_GB2312" w:cs="宋体"/>
          <w:sz w:val="28"/>
          <w:szCs w:val="28"/>
          <w:highlight w:val="none"/>
        </w:rPr>
        <w:t>单价：</w:t>
      </w:r>
      <w:r>
        <w:rPr>
          <w:rFonts w:hint="eastAsia" w:ascii="仿宋_GB2312" w:hAnsi="宋体" w:eastAsia="仿宋_GB2312" w:cs="宋体"/>
          <w:sz w:val="28"/>
          <w:szCs w:val="28"/>
          <w:highlight w:val="none"/>
          <w:lang w:eastAsia="zh-CN"/>
        </w:rPr>
        <w:t>6563</w:t>
      </w:r>
      <w:r>
        <w:rPr>
          <w:rFonts w:hint="eastAsia" w:ascii="仿宋_GB2312" w:hAnsi="宋体" w:eastAsia="仿宋_GB2312" w:cs="宋体"/>
          <w:sz w:val="28"/>
          <w:szCs w:val="28"/>
          <w:highlight w:val="none"/>
        </w:rPr>
        <w:t>元/平方米</w:t>
      </w:r>
    </w:p>
    <w:p>
      <w:pPr>
        <w:widowControl w:val="0"/>
        <w:spacing w:after="0" w:line="520" w:lineRule="exact"/>
        <w:ind w:firstLine="560" w:firstLineChars="200"/>
        <w:rPr>
          <w:rFonts w:ascii="仿宋_GB2312" w:hAnsi="宋体" w:eastAsia="仿宋_GB2312"/>
          <w:bCs/>
          <w:sz w:val="28"/>
          <w:szCs w:val="28"/>
          <w:highlight w:val="none"/>
        </w:rPr>
      </w:pPr>
      <w:r>
        <w:rPr>
          <w:rFonts w:hint="eastAsia" w:ascii="仿宋_GB2312" w:hAnsi="宋体" w:eastAsia="仿宋_GB2312"/>
          <w:bCs/>
          <w:sz w:val="28"/>
          <w:szCs w:val="28"/>
          <w:highlight w:val="none"/>
        </w:rPr>
        <w:t>总价：</w:t>
      </w:r>
      <w:r>
        <w:rPr>
          <w:rFonts w:hint="eastAsia" w:ascii="仿宋_GB2312" w:hAnsi="宋体" w:eastAsia="仿宋_GB2312"/>
          <w:bCs/>
          <w:sz w:val="28"/>
          <w:szCs w:val="28"/>
          <w:highlight w:val="none"/>
          <w:lang w:eastAsia="zh-CN"/>
        </w:rPr>
        <w:t>873732</w:t>
      </w:r>
      <w:r>
        <w:rPr>
          <w:rFonts w:hint="eastAsia" w:ascii="仿宋_GB2312" w:hAnsi="宋体" w:eastAsia="仿宋_GB2312"/>
          <w:bCs/>
          <w:sz w:val="28"/>
          <w:szCs w:val="28"/>
          <w:highlight w:val="none"/>
        </w:rPr>
        <w:t>元</w:t>
      </w:r>
    </w:p>
    <w:p>
      <w:pPr>
        <w:widowControl w:val="0"/>
        <w:spacing w:after="0" w:line="520" w:lineRule="exact"/>
        <w:ind w:firstLine="560" w:firstLineChars="200"/>
        <w:rPr>
          <w:rFonts w:ascii="仿宋_GB2312" w:hAnsi="宋体" w:eastAsia="仿宋_GB2312"/>
          <w:bCs/>
          <w:sz w:val="28"/>
          <w:szCs w:val="28"/>
          <w:highlight w:val="none"/>
        </w:rPr>
      </w:pPr>
      <w:r>
        <w:rPr>
          <w:rFonts w:hint="eastAsia" w:ascii="仿宋_GB2312" w:hAnsi="宋体" w:eastAsia="仿宋_GB2312"/>
          <w:bCs/>
          <w:sz w:val="28"/>
          <w:szCs w:val="28"/>
          <w:highlight w:val="none"/>
        </w:rPr>
        <w:t>人民币大写：</w:t>
      </w:r>
      <w:r>
        <w:rPr>
          <w:rFonts w:hint="eastAsia" w:ascii="仿宋_GB2312" w:hAnsi="宋体" w:eastAsia="仿宋_GB2312"/>
          <w:bCs/>
          <w:sz w:val="28"/>
          <w:szCs w:val="28"/>
          <w:highlight w:val="none"/>
          <w:lang w:eastAsia="zh-CN"/>
        </w:rPr>
        <w:t>捌拾柒万叁仟柒佰叁拾贰元整</w:t>
      </w:r>
    </w:p>
    <w:p>
      <w:pPr>
        <w:widowControl w:val="0"/>
        <w:spacing w:after="0" w:line="520" w:lineRule="exact"/>
        <w:ind w:firstLine="560" w:firstLineChars="200"/>
        <w:rPr>
          <w:rFonts w:ascii="仿宋_GB2312" w:hAnsi="宋体" w:eastAsia="仿宋_GB2312"/>
          <w:bCs/>
          <w:sz w:val="28"/>
          <w:szCs w:val="28"/>
          <w:highlight w:val="none"/>
        </w:rPr>
      </w:pPr>
      <w:r>
        <w:rPr>
          <w:rFonts w:hint="eastAsia" w:ascii="仿宋_GB2312" w:hAnsi="宋体" w:eastAsia="仿宋_GB2312"/>
          <w:bCs/>
          <w:sz w:val="28"/>
          <w:szCs w:val="28"/>
          <w:highlight w:val="none"/>
        </w:rPr>
        <w:t>特别提示：</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highlight w:val="none"/>
        </w:rPr>
        <w:t>（1）应当按照法律规定和评估报告载明的用途、使用</w:t>
      </w:r>
      <w:r>
        <w:rPr>
          <w:rFonts w:hint="eastAsia" w:ascii="仿宋_GB2312" w:hAnsi="宋体" w:eastAsia="仿宋_GB2312"/>
          <w:bCs/>
          <w:sz w:val="28"/>
          <w:szCs w:val="28"/>
        </w:rPr>
        <w:t>人、使用期限等使用范围使用评估报告。否则，房地产估价机构和注册房地产估价师依法不承担责任；</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rPr>
        <w:t>（2）评估结果仅为人民法院确定财产处置参考价服务，不是评估对象处置可实现的成交价格，也不应当被视为对评估对象处置成交价格的保证；</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rPr>
        <w:t>（3）估价对象在处置过程中可能发生的评估费、拍卖费、诉讼费、律师费等财产处置费用。如不从财产处置价款中扣除的，应从本次评估结果中进行相应扣减，提请估价报告使用人注意；</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rPr>
        <w:t>（4）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rPr>
        <w:t>（5）在评估报告使用期限或者评估结果有效期内，评估报告或者评估结果未使用之前，如果评估对象状况或者房地产市场状况发生明显变化的，评估结果应当进行相应调整后才可使用；</w:t>
      </w:r>
    </w:p>
    <w:p>
      <w:pPr>
        <w:widowControl w:val="0"/>
        <w:spacing w:after="0" w:line="520" w:lineRule="exact"/>
        <w:ind w:firstLine="560" w:firstLineChars="200"/>
        <w:rPr>
          <w:rFonts w:hint="eastAsia" w:ascii="仿宋_GB2312" w:hAnsi="宋体" w:eastAsia="仿宋_GB2312"/>
          <w:bCs/>
          <w:sz w:val="28"/>
          <w:szCs w:val="28"/>
        </w:rPr>
      </w:pPr>
      <w:r>
        <w:rPr>
          <w:rFonts w:hint="eastAsia" w:ascii="仿宋_GB2312" w:hAnsi="宋体" w:eastAsia="仿宋_GB2312"/>
          <w:bCs/>
          <w:sz w:val="28"/>
          <w:szCs w:val="28"/>
        </w:rPr>
        <w:t>（6）当事人、利害关系人收到评估报告后五日内可对评估报告的参照标准、计算方法或者评估结果等向人民法院提出书面异议；当事人、利害关系人对评估机构作出的说明仍有异议的，可以提请人民法院委托评估行业组织进行专业技术评审。</w:t>
      </w:r>
    </w:p>
    <w:p>
      <w:pPr>
        <w:widowControl w:val="0"/>
        <w:spacing w:after="0" w:line="540" w:lineRule="exact"/>
        <w:ind w:firstLine="560" w:firstLineChars="200"/>
        <w:rPr>
          <w:rFonts w:hint="default" w:ascii="仿宋_GB2312" w:hAnsi="宋体" w:eastAsia="仿宋_GB2312"/>
          <w:sz w:val="28"/>
          <w:lang w:val="en-US" w:eastAsia="zh-CN"/>
        </w:rPr>
      </w:pPr>
      <w:r>
        <w:rPr>
          <w:rFonts w:hint="eastAsia" w:ascii="仿宋_GB2312" w:hAnsi="宋体" w:eastAsia="仿宋_GB2312"/>
          <w:bCs/>
          <w:sz w:val="28"/>
          <w:szCs w:val="28"/>
          <w:lang w:eastAsia="zh-CN"/>
        </w:rPr>
        <w:t>（</w:t>
      </w:r>
      <w:r>
        <w:rPr>
          <w:rFonts w:hint="eastAsia" w:ascii="仿宋_GB2312" w:hAnsi="宋体" w:eastAsia="仿宋_GB2312"/>
          <w:bCs/>
          <w:sz w:val="28"/>
          <w:szCs w:val="28"/>
          <w:lang w:val="en-US" w:eastAsia="zh-CN"/>
        </w:rPr>
        <w:t>7</w:t>
      </w:r>
      <w:r>
        <w:rPr>
          <w:rFonts w:hint="eastAsia" w:ascii="仿宋_GB2312" w:hAnsi="宋体" w:eastAsia="仿宋_GB2312"/>
          <w:bCs/>
          <w:sz w:val="28"/>
          <w:szCs w:val="28"/>
          <w:lang w:eastAsia="zh-CN"/>
        </w:rPr>
        <w:t>）</w:t>
      </w:r>
      <w:r>
        <w:rPr>
          <w:rFonts w:hint="eastAsia" w:ascii="仿宋_GB2312" w:hAnsi="宋体" w:eastAsia="仿宋_GB2312"/>
          <w:sz w:val="28"/>
        </w:rPr>
        <w:t>本次评估</w:t>
      </w:r>
      <w:r>
        <w:rPr>
          <w:rFonts w:hint="eastAsia" w:ascii="仿宋_GB2312" w:hAnsi="宋体" w:eastAsia="仿宋_GB2312"/>
          <w:sz w:val="28"/>
          <w:lang w:val="en-US" w:eastAsia="zh-CN"/>
        </w:rPr>
        <w:t>最终结果包含</w:t>
      </w:r>
      <w:r>
        <w:rPr>
          <w:rFonts w:hint="eastAsia" w:ascii="仿宋_GB2312" w:eastAsia="仿宋_GB2312"/>
          <w:sz w:val="28"/>
          <w:lang w:eastAsia="zh-CN"/>
        </w:rPr>
        <w:t>山东省青岛莱西市红岛中路7号上海花苑E3#楼3单元401户（含附房）</w:t>
      </w:r>
      <w:r>
        <w:rPr>
          <w:rFonts w:hint="eastAsia" w:ascii="仿宋_GB2312" w:eastAsia="仿宋_GB2312"/>
          <w:sz w:val="28"/>
          <w:lang w:val="en-US" w:eastAsia="zh-CN"/>
        </w:rPr>
        <w:t>的市场价格，经调查，估价对象所在小区附房随房屋一同进行交易，不单独出售，故本次将估价对象附房价格折算到房屋单价中，不再单独列举，即6563元/平方米的价格中已包含附房价格。</w:t>
      </w:r>
    </w:p>
    <w:p>
      <w:pPr>
        <w:widowControl w:val="0"/>
        <w:spacing w:after="0" w:line="520" w:lineRule="exact"/>
        <w:ind w:firstLine="560" w:firstLineChars="200"/>
        <w:rPr>
          <w:rFonts w:hint="eastAsia" w:ascii="仿宋_GB2312" w:hAnsi="宋体" w:eastAsia="仿宋_GB2312"/>
          <w:bCs/>
          <w:sz w:val="28"/>
          <w:szCs w:val="28"/>
        </w:rPr>
      </w:pPr>
      <w:r>
        <w:rPr>
          <w:rFonts w:hint="eastAsia" w:ascii="仿宋_GB2312" w:hAnsi="宋体" w:eastAsia="仿宋_GB2312"/>
          <w:bCs/>
          <w:sz w:val="28"/>
          <w:szCs w:val="28"/>
        </w:rPr>
        <w:t>（</w:t>
      </w:r>
      <w:r>
        <w:rPr>
          <w:rFonts w:hint="eastAsia" w:ascii="仿宋_GB2312" w:hAnsi="宋体" w:eastAsia="仿宋_GB2312"/>
          <w:bCs/>
          <w:sz w:val="28"/>
          <w:szCs w:val="28"/>
          <w:lang w:val="en-US" w:eastAsia="zh-CN"/>
        </w:rPr>
        <w:t>8</w:t>
      </w:r>
      <w:r>
        <w:rPr>
          <w:rFonts w:hint="eastAsia" w:ascii="仿宋_GB2312" w:hAnsi="宋体" w:eastAsia="仿宋_GB2312"/>
          <w:bCs/>
          <w:sz w:val="28"/>
          <w:szCs w:val="28"/>
        </w:rPr>
        <w:t>）估价有关说明，请见附后的</w:t>
      </w:r>
      <w:r>
        <w:rPr>
          <w:rFonts w:hint="eastAsia" w:ascii="仿宋_GB2312" w:hAnsi="宋体" w:eastAsia="仿宋_GB2312"/>
          <w:bCs/>
          <w:sz w:val="28"/>
          <w:szCs w:val="28"/>
          <w:lang w:eastAsia="zh-CN"/>
        </w:rPr>
        <w:t>青亚房估字【2022】第020号</w:t>
      </w:r>
      <w:r>
        <w:rPr>
          <w:rFonts w:hint="eastAsia" w:ascii="仿宋_GB2312" w:hAnsi="宋体" w:eastAsia="仿宋_GB2312"/>
          <w:bCs/>
          <w:sz w:val="28"/>
          <w:szCs w:val="28"/>
        </w:rPr>
        <w:t xml:space="preserve">《涉执房地产处置司法评估报告》。    </w:t>
      </w:r>
    </w:p>
    <w:p>
      <w:pPr>
        <w:widowControl w:val="0"/>
        <w:spacing w:after="0" w:line="520" w:lineRule="exact"/>
        <w:ind w:firstLine="560" w:firstLineChars="200"/>
        <w:rPr>
          <w:rFonts w:hint="eastAsia" w:ascii="仿宋_GB2312" w:hAnsi="宋体" w:eastAsia="仿宋_GB2312"/>
          <w:bCs/>
          <w:sz w:val="28"/>
          <w:szCs w:val="28"/>
        </w:rPr>
      </w:pPr>
      <w:r>
        <w:rPr>
          <w:rFonts w:hint="eastAsia" w:ascii="仿宋_GB2312" w:hAnsi="宋体" w:eastAsia="仿宋_GB2312"/>
          <w:bCs/>
          <w:sz w:val="28"/>
          <w:szCs w:val="28"/>
        </w:rPr>
        <w:t xml:space="preserve">     </w:t>
      </w:r>
    </w:p>
    <w:p>
      <w:pPr>
        <w:widowControl w:val="0"/>
        <w:spacing w:after="0" w:line="520" w:lineRule="exact"/>
        <w:ind w:firstLine="560" w:firstLineChars="200"/>
        <w:rPr>
          <w:rFonts w:ascii="仿宋_GB2312" w:hAnsi="宋体" w:eastAsia="仿宋_GB2312"/>
          <w:bCs/>
          <w:sz w:val="28"/>
          <w:szCs w:val="28"/>
        </w:rPr>
      </w:pPr>
      <w:r>
        <w:rPr>
          <w:rFonts w:hint="eastAsia" w:ascii="仿宋_GB2312" w:hAnsi="宋体" w:eastAsia="仿宋_GB2312"/>
          <w:bCs/>
          <w:sz w:val="28"/>
          <w:szCs w:val="28"/>
        </w:rPr>
        <w:t xml:space="preserve">   </w:t>
      </w:r>
    </w:p>
    <w:p>
      <w:pPr>
        <w:widowControl w:val="0"/>
        <w:spacing w:after="0" w:line="540" w:lineRule="exact"/>
        <w:ind w:firstLine="560" w:firstLineChars="200"/>
        <w:jc w:val="right"/>
        <w:rPr>
          <w:rFonts w:hint="eastAsia" w:ascii="仿宋_GB2312" w:hAnsi="宋体" w:eastAsia="仿宋_GB2312" w:cs="Times New Roman"/>
          <w:sz w:val="28"/>
        </w:rPr>
      </w:pPr>
      <w:r>
        <w:rPr>
          <w:rFonts w:hint="eastAsia" w:ascii="仿宋_GB2312" w:hAnsi="宋体" w:eastAsia="仿宋_GB2312" w:cs="Times New Roman"/>
          <w:sz w:val="28"/>
        </w:rPr>
        <w:t>青岛亚泰房地产评估咨询有限公司</w:t>
      </w:r>
    </w:p>
    <w:p>
      <w:pPr>
        <w:keepNext w:val="0"/>
        <w:keepLines w:val="0"/>
        <w:pageBreakBefore w:val="0"/>
        <w:widowControl w:val="0"/>
        <w:kinsoku/>
        <w:wordWrap/>
        <w:overflowPunct/>
        <w:topLinePunct w:val="0"/>
        <w:autoSpaceDE/>
        <w:autoSpaceDN/>
        <w:bidi w:val="0"/>
        <w:adjustRightInd/>
        <w:snapToGrid/>
        <w:spacing w:after="0" w:line="400" w:lineRule="exact"/>
        <w:ind w:firstLine="560" w:firstLineChars="200"/>
        <w:jc w:val="center"/>
        <w:textAlignment w:val="auto"/>
        <w:rPr>
          <w:rFonts w:hint="eastAsia" w:ascii="仿宋_GB2312" w:hAnsi="宋体" w:eastAsia="仿宋_GB2312" w:cs="Times New Roman"/>
          <w:sz w:val="28"/>
        </w:rPr>
      </w:pPr>
      <w:r>
        <w:rPr>
          <w:rFonts w:hint="eastAsia" w:ascii="仿宋_GB2312" w:hAnsi="宋体" w:eastAsia="仿宋_GB2312" w:cs="Times New Roman"/>
          <w:sz w:val="28"/>
          <w:lang w:val="en-US" w:eastAsia="zh-CN"/>
        </w:rPr>
        <w:t xml:space="preserve">                </w:t>
      </w:r>
      <w:r>
        <w:rPr>
          <w:rFonts w:hint="eastAsia" w:ascii="仿宋_GB2312" w:hAnsi="宋体" w:eastAsia="仿宋_GB2312" w:cs="Times New Roman"/>
          <w:sz w:val="28"/>
        </w:rPr>
        <w:t>法定代表人：</w:t>
      </w:r>
    </w:p>
    <w:p>
      <w:pPr>
        <w:keepNext w:val="0"/>
        <w:keepLines w:val="0"/>
        <w:pageBreakBefore w:val="0"/>
        <w:widowControl w:val="0"/>
        <w:kinsoku/>
        <w:wordWrap/>
        <w:overflowPunct/>
        <w:topLinePunct w:val="0"/>
        <w:autoSpaceDE/>
        <w:autoSpaceDN/>
        <w:bidi w:val="0"/>
        <w:adjustRightInd/>
        <w:snapToGrid/>
        <w:spacing w:after="0" w:line="400" w:lineRule="exact"/>
        <w:ind w:firstLine="560" w:firstLineChars="200"/>
        <w:jc w:val="right"/>
        <w:textAlignment w:val="auto"/>
        <w:rPr>
          <w:rFonts w:hint="eastAsia" w:ascii="仿宋_GB2312" w:hAnsi="宋体" w:eastAsia="仿宋_GB2312" w:cs="Times New Roman"/>
          <w:sz w:val="28"/>
        </w:rPr>
      </w:pPr>
    </w:p>
    <w:p>
      <w:pPr>
        <w:widowControl w:val="0"/>
        <w:spacing w:after="0" w:line="540" w:lineRule="exact"/>
        <w:ind w:firstLine="560" w:firstLineChars="200"/>
        <w:jc w:val="right"/>
        <w:rPr>
          <w:rFonts w:hint="eastAsia" w:ascii="仿宋_GB2312" w:hAnsi="宋体" w:eastAsia="仿宋_GB2312" w:cs="Times New Roman"/>
          <w:sz w:val="28"/>
          <w:lang w:eastAsia="zh-CN"/>
        </w:rPr>
      </w:pPr>
      <w:r>
        <w:rPr>
          <w:rFonts w:hint="eastAsia" w:ascii="仿宋_GB2312" w:hAnsi="宋体" w:eastAsia="仿宋_GB2312" w:cs="Times New Roman"/>
          <w:sz w:val="28"/>
          <w:lang w:eastAsia="zh-CN"/>
        </w:rPr>
        <w:t>二〇二二年一月二十六日</w:t>
      </w:r>
    </w:p>
    <w:p>
      <w:pPr>
        <w:pStyle w:val="36"/>
        <w:pageBreakBefore/>
        <w:widowControl w:val="0"/>
        <w:tabs>
          <w:tab w:val="right" w:leader="dot" w:pos="9552"/>
        </w:tabs>
        <w:spacing w:after="0" w:line="240" w:lineRule="auto"/>
        <w:jc w:val="center"/>
        <w:rPr>
          <w:rFonts w:ascii="仿宋_GB2312" w:hAnsi="Times New Roman" w:eastAsia="仿宋_GB2312" w:cs="Times New Roman"/>
          <w:bCs w:val="0"/>
          <w:smallCaps/>
          <w:spacing w:val="20"/>
          <w:sz w:val="28"/>
          <w:szCs w:val="22"/>
          <w:lang w:val="zh-CN" w:eastAsia="zh-CN" w:bidi="ar-SA"/>
        </w:rPr>
      </w:pPr>
      <w:r>
        <w:rPr>
          <w:rFonts w:hint="eastAsia" w:ascii="仿宋_GB2312" w:eastAsia="仿宋_GB2312"/>
          <w:color w:val="auto"/>
        </w:rPr>
        <w:t>目   录</w:t>
      </w:r>
      <w:r>
        <w:rPr>
          <w:color w:val="auto"/>
        </w:rPr>
        <w:fldChar w:fldCharType="begin"/>
      </w:r>
      <w:r>
        <w:rPr>
          <w:color w:val="auto"/>
        </w:rPr>
        <w:instrText xml:space="preserve"> TOC \o "1-3" \h \z \u </w:instrText>
      </w:r>
      <w:r>
        <w:rPr>
          <w:color w:val="auto"/>
        </w:rPr>
        <w:fldChar w:fldCharType="separate"/>
      </w:r>
    </w:p>
    <w:p>
      <w:pPr>
        <w:pStyle w:val="36"/>
        <w:tabs>
          <w:tab w:val="right" w:leader="dot" w:pos="9562"/>
        </w:tabs>
      </w:pPr>
    </w:p>
    <w:p>
      <w:pPr>
        <w:pStyle w:val="36"/>
        <w:tabs>
          <w:tab w:val="right" w:leader="dot" w:pos="9562"/>
        </w:tabs>
      </w:pPr>
      <w:r>
        <w:rPr>
          <w:bCs w:val="0"/>
          <w:lang w:val="zh-CN"/>
        </w:rPr>
        <w:fldChar w:fldCharType="begin"/>
      </w:r>
      <w:r>
        <w:rPr>
          <w:bCs w:val="0"/>
          <w:lang w:val="zh-CN"/>
        </w:rPr>
        <w:instrText xml:space="preserve"> HYPERLINK \l _Toc11346 </w:instrText>
      </w:r>
      <w:r>
        <w:rPr>
          <w:bCs w:val="0"/>
          <w:lang w:val="zh-CN"/>
        </w:rPr>
        <w:fldChar w:fldCharType="separate"/>
      </w:r>
      <w:r>
        <w:rPr>
          <w:rFonts w:hint="eastAsia" w:hAnsi="Calibri Light"/>
          <w:bCs w:val="0"/>
          <w:smallCaps w:val="0"/>
          <w:spacing w:val="0"/>
          <w:szCs w:val="32"/>
        </w:rPr>
        <w:t>估 价 师 声 明</w:t>
      </w:r>
      <w:r>
        <w:tab/>
      </w:r>
      <w:r>
        <w:fldChar w:fldCharType="begin"/>
      </w:r>
      <w:r>
        <w:instrText xml:space="preserve"> PAGEREF _Toc11346 \h </w:instrText>
      </w:r>
      <w:r>
        <w:fldChar w:fldCharType="separate"/>
      </w:r>
      <w:r>
        <w:t>5</w:t>
      </w:r>
      <w:r>
        <w:fldChar w:fldCharType="end"/>
      </w:r>
      <w:r>
        <w:rPr>
          <w:bCs w:val="0"/>
          <w:lang w:val="zh-CN"/>
        </w:rPr>
        <w:fldChar w:fldCharType="end"/>
      </w:r>
    </w:p>
    <w:p>
      <w:pPr>
        <w:pStyle w:val="36"/>
        <w:tabs>
          <w:tab w:val="right" w:leader="dot" w:pos="9562"/>
        </w:tabs>
      </w:pPr>
      <w:r>
        <w:rPr>
          <w:bCs w:val="0"/>
          <w:lang w:val="zh-CN"/>
        </w:rPr>
        <w:fldChar w:fldCharType="begin"/>
      </w:r>
      <w:r>
        <w:rPr>
          <w:bCs w:val="0"/>
          <w:lang w:val="zh-CN"/>
        </w:rPr>
        <w:instrText xml:space="preserve"> HYPERLINK \l _Toc15097 </w:instrText>
      </w:r>
      <w:r>
        <w:rPr>
          <w:bCs w:val="0"/>
          <w:lang w:val="zh-CN"/>
        </w:rPr>
        <w:fldChar w:fldCharType="separate"/>
      </w:r>
      <w:r>
        <w:rPr>
          <w:rFonts w:hint="eastAsia" w:ascii="仿宋_GB2312" w:eastAsia="仿宋_GB2312"/>
        </w:rPr>
        <w:t>估 价 假 设 和 限 制 条 件</w:t>
      </w:r>
      <w:r>
        <w:tab/>
      </w:r>
      <w:r>
        <w:fldChar w:fldCharType="begin"/>
      </w:r>
      <w:r>
        <w:instrText xml:space="preserve"> PAGEREF _Toc15097 \h </w:instrText>
      </w:r>
      <w:r>
        <w:fldChar w:fldCharType="separate"/>
      </w:r>
      <w:r>
        <w:t>6</w:t>
      </w:r>
      <w:r>
        <w:fldChar w:fldCharType="end"/>
      </w:r>
      <w:r>
        <w:rPr>
          <w:bCs w:val="0"/>
          <w:lang w:val="zh-CN"/>
        </w:rPr>
        <w:fldChar w:fldCharType="end"/>
      </w:r>
    </w:p>
    <w:p>
      <w:pPr>
        <w:pStyle w:val="36"/>
        <w:tabs>
          <w:tab w:val="right" w:leader="dot" w:pos="9562"/>
        </w:tabs>
      </w:pPr>
      <w:r>
        <w:rPr>
          <w:bCs w:val="0"/>
          <w:lang w:val="zh-CN"/>
        </w:rPr>
        <w:fldChar w:fldCharType="begin"/>
      </w:r>
      <w:r>
        <w:rPr>
          <w:bCs w:val="0"/>
          <w:lang w:val="zh-CN"/>
        </w:rPr>
        <w:instrText xml:space="preserve"> HYPERLINK \l _Toc7406 </w:instrText>
      </w:r>
      <w:r>
        <w:rPr>
          <w:bCs w:val="0"/>
          <w:lang w:val="zh-CN"/>
        </w:rPr>
        <w:fldChar w:fldCharType="separate"/>
      </w:r>
      <w:r>
        <w:rPr>
          <w:rFonts w:hint="eastAsia" w:ascii="仿宋_GB2312" w:hAnsi="宋体" w:eastAsia="仿宋_GB2312"/>
          <w:bCs/>
          <w:szCs w:val="28"/>
        </w:rPr>
        <w:t>估 价 结 果 报 告</w:t>
      </w:r>
      <w:r>
        <w:tab/>
      </w:r>
      <w:r>
        <w:fldChar w:fldCharType="begin"/>
      </w:r>
      <w:r>
        <w:instrText xml:space="preserve"> PAGEREF _Toc7406 \h </w:instrText>
      </w:r>
      <w:r>
        <w:fldChar w:fldCharType="separate"/>
      </w:r>
      <w:r>
        <w:t>10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_Toc32005 </w:instrText>
      </w:r>
      <w:r>
        <w:rPr>
          <w:bCs w:val="0"/>
          <w:lang w:val="zh-CN"/>
        </w:rPr>
        <w:fldChar w:fldCharType="separate"/>
      </w:r>
      <w:r>
        <w:rPr>
          <w:rFonts w:hint="eastAsia" w:ascii="仿宋_GB2312" w:eastAsia="仿宋_GB2312"/>
        </w:rPr>
        <w:t>（一）估价委托人</w:t>
      </w:r>
      <w:r>
        <w:tab/>
      </w:r>
      <w:r>
        <w:fldChar w:fldCharType="begin"/>
      </w:r>
      <w:r>
        <w:instrText xml:space="preserve"> PAGEREF _Toc32005 \h </w:instrText>
      </w:r>
      <w:r>
        <w:fldChar w:fldCharType="separate"/>
      </w:r>
      <w:r>
        <w:t>10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_Toc31691 </w:instrText>
      </w:r>
      <w:r>
        <w:rPr>
          <w:bCs w:val="0"/>
          <w:lang w:val="zh-CN"/>
        </w:rPr>
        <w:fldChar w:fldCharType="separate"/>
      </w:r>
      <w:r>
        <w:rPr>
          <w:rFonts w:hint="eastAsia" w:ascii="仿宋_GB2312" w:eastAsia="仿宋_GB2312"/>
        </w:rPr>
        <w:t>（二）房地产估价机构</w:t>
      </w:r>
      <w:r>
        <w:tab/>
      </w:r>
      <w:r>
        <w:fldChar w:fldCharType="begin"/>
      </w:r>
      <w:r>
        <w:instrText xml:space="preserve"> PAGEREF _Toc31691 \h </w:instrText>
      </w:r>
      <w:r>
        <w:fldChar w:fldCharType="separate"/>
      </w:r>
      <w:r>
        <w:t>10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_Toc20362 </w:instrText>
      </w:r>
      <w:r>
        <w:rPr>
          <w:bCs w:val="0"/>
          <w:lang w:val="zh-CN"/>
        </w:rPr>
        <w:fldChar w:fldCharType="separate"/>
      </w:r>
      <w:r>
        <w:rPr>
          <w:rFonts w:hint="eastAsia" w:ascii="仿宋_GB2312" w:eastAsia="仿宋_GB2312"/>
        </w:rPr>
        <w:t>（三）估价目的</w:t>
      </w:r>
      <w:r>
        <w:tab/>
      </w:r>
      <w:r>
        <w:fldChar w:fldCharType="begin"/>
      </w:r>
      <w:r>
        <w:instrText xml:space="preserve"> PAGEREF _Toc20362 \h </w:instrText>
      </w:r>
      <w:r>
        <w:fldChar w:fldCharType="separate"/>
      </w:r>
      <w:r>
        <w:t>10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_Toc7300 </w:instrText>
      </w:r>
      <w:r>
        <w:rPr>
          <w:bCs w:val="0"/>
          <w:lang w:val="zh-CN"/>
        </w:rPr>
        <w:fldChar w:fldCharType="separate"/>
      </w:r>
      <w:r>
        <w:rPr>
          <w:rFonts w:hint="eastAsia" w:ascii="仿宋_GB2312" w:eastAsia="仿宋_GB2312"/>
        </w:rPr>
        <w:t>（四）估价对象</w:t>
      </w:r>
      <w:r>
        <w:tab/>
      </w:r>
      <w:r>
        <w:fldChar w:fldCharType="begin"/>
      </w:r>
      <w:r>
        <w:instrText xml:space="preserve"> PAGEREF _Toc7300 \h </w:instrText>
      </w:r>
      <w:r>
        <w:fldChar w:fldCharType="separate"/>
      </w:r>
      <w:r>
        <w:t>10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_Toc29606 </w:instrText>
      </w:r>
      <w:r>
        <w:rPr>
          <w:bCs w:val="0"/>
          <w:lang w:val="zh-CN"/>
        </w:rPr>
        <w:fldChar w:fldCharType="separate"/>
      </w:r>
      <w:r>
        <w:rPr>
          <w:rFonts w:hint="eastAsia" w:ascii="仿宋_GB2312" w:eastAsia="仿宋_GB2312"/>
        </w:rPr>
        <w:t>（五） 价值时点</w:t>
      </w:r>
      <w:r>
        <w:tab/>
      </w:r>
      <w:r>
        <w:fldChar w:fldCharType="begin"/>
      </w:r>
      <w:r>
        <w:instrText xml:space="preserve"> PAGEREF _Toc29606 \h </w:instrText>
      </w:r>
      <w:r>
        <w:fldChar w:fldCharType="separate"/>
      </w:r>
      <w:r>
        <w:t>20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_Toc12292 </w:instrText>
      </w:r>
      <w:r>
        <w:rPr>
          <w:bCs w:val="0"/>
          <w:lang w:val="zh-CN"/>
        </w:rPr>
        <w:fldChar w:fldCharType="separate"/>
      </w:r>
      <w:r>
        <w:rPr>
          <w:rFonts w:hint="eastAsia" w:ascii="仿宋_GB2312" w:eastAsia="仿宋_GB2312"/>
        </w:rPr>
        <w:t>（六）价值类型</w:t>
      </w:r>
      <w:r>
        <w:tab/>
      </w:r>
      <w:r>
        <w:fldChar w:fldCharType="begin"/>
      </w:r>
      <w:r>
        <w:instrText xml:space="preserve"> PAGEREF _Toc12292 \h </w:instrText>
      </w:r>
      <w:r>
        <w:fldChar w:fldCharType="separate"/>
      </w:r>
      <w:r>
        <w:t>24</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_Toc457 </w:instrText>
      </w:r>
      <w:r>
        <w:rPr>
          <w:bCs w:val="0"/>
          <w:lang w:val="zh-CN"/>
        </w:rPr>
        <w:fldChar w:fldCharType="separate"/>
      </w:r>
      <w:r>
        <w:rPr>
          <w:rFonts w:hint="eastAsia" w:ascii="仿宋_GB2312" w:eastAsia="仿宋_GB2312"/>
        </w:rPr>
        <w:t>（七）估价原则</w:t>
      </w:r>
      <w:r>
        <w:tab/>
      </w:r>
      <w:r>
        <w:fldChar w:fldCharType="begin"/>
      </w:r>
      <w:r>
        <w:instrText xml:space="preserve"> PAGEREF _Toc457 \h </w:instrText>
      </w:r>
      <w:r>
        <w:fldChar w:fldCharType="separate"/>
      </w:r>
      <w:r>
        <w:t>24</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_Toc21324 </w:instrText>
      </w:r>
      <w:r>
        <w:rPr>
          <w:bCs w:val="0"/>
          <w:lang w:val="zh-CN"/>
        </w:rPr>
        <w:fldChar w:fldCharType="separate"/>
      </w:r>
      <w:r>
        <w:rPr>
          <w:rFonts w:hint="eastAsia" w:ascii="仿宋_GB2312" w:eastAsia="仿宋_GB2312"/>
        </w:rPr>
        <w:t>（八）估价依据</w:t>
      </w:r>
      <w:r>
        <w:tab/>
      </w:r>
      <w:r>
        <w:fldChar w:fldCharType="begin"/>
      </w:r>
      <w:r>
        <w:instrText xml:space="preserve"> PAGEREF _Toc21324 \h </w:instrText>
      </w:r>
      <w:r>
        <w:fldChar w:fldCharType="separate"/>
      </w:r>
      <w:r>
        <w:t>27</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_Toc14340 </w:instrText>
      </w:r>
      <w:r>
        <w:rPr>
          <w:bCs w:val="0"/>
          <w:lang w:val="zh-CN"/>
        </w:rPr>
        <w:fldChar w:fldCharType="separate"/>
      </w:r>
      <w:r>
        <w:rPr>
          <w:rFonts w:hint="eastAsia" w:ascii="仿宋_GB2312" w:eastAsia="仿宋_GB2312"/>
        </w:rPr>
        <w:t>（九）估价方法</w:t>
      </w:r>
      <w:r>
        <w:tab/>
      </w:r>
      <w:r>
        <w:fldChar w:fldCharType="begin"/>
      </w:r>
      <w:r>
        <w:instrText xml:space="preserve"> PAGEREF _Toc14340 \h </w:instrText>
      </w:r>
      <w:r>
        <w:fldChar w:fldCharType="separate"/>
      </w:r>
      <w:r>
        <w:t>28</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_Toc13577 </w:instrText>
      </w:r>
      <w:r>
        <w:rPr>
          <w:bCs w:val="0"/>
          <w:lang w:val="zh-CN"/>
        </w:rPr>
        <w:fldChar w:fldCharType="separate"/>
      </w:r>
      <w:r>
        <w:rPr>
          <w:rFonts w:hint="eastAsia" w:ascii="仿宋_GB2312" w:eastAsia="仿宋_GB2312"/>
        </w:rPr>
        <w:t>（十）估价结果</w:t>
      </w:r>
      <w:r>
        <w:tab/>
      </w:r>
      <w:r>
        <w:fldChar w:fldCharType="begin"/>
      </w:r>
      <w:r>
        <w:instrText xml:space="preserve"> PAGEREF _Toc13577 \h </w:instrText>
      </w:r>
      <w:r>
        <w:fldChar w:fldCharType="separate"/>
      </w:r>
      <w:r>
        <w:t>29</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_Toc22434 </w:instrText>
      </w:r>
      <w:r>
        <w:rPr>
          <w:bCs w:val="0"/>
          <w:lang w:val="zh-CN"/>
        </w:rPr>
        <w:fldChar w:fldCharType="separate"/>
      </w:r>
      <w:r>
        <w:rPr>
          <w:rFonts w:hint="eastAsia" w:ascii="仿宋_GB2312" w:eastAsia="仿宋_GB2312"/>
        </w:rPr>
        <w:t>（十一） 注册房地产估价师</w:t>
      </w:r>
      <w:r>
        <w:tab/>
      </w:r>
      <w:r>
        <w:fldChar w:fldCharType="begin"/>
      </w:r>
      <w:r>
        <w:instrText xml:space="preserve"> PAGEREF _Toc22434 \h </w:instrText>
      </w:r>
      <w:r>
        <w:fldChar w:fldCharType="separate"/>
      </w:r>
      <w:r>
        <w:t>30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_Toc4428 </w:instrText>
      </w:r>
      <w:r>
        <w:rPr>
          <w:bCs w:val="0"/>
          <w:lang w:val="zh-CN"/>
        </w:rPr>
        <w:fldChar w:fldCharType="separate"/>
      </w:r>
      <w:r>
        <w:rPr>
          <w:rFonts w:hint="eastAsia" w:ascii="仿宋_GB2312" w:eastAsia="仿宋_GB2312"/>
        </w:rPr>
        <w:t>（十二）实地查勘期</w:t>
      </w:r>
      <w:r>
        <w:tab/>
      </w:r>
      <w:r>
        <w:fldChar w:fldCharType="begin"/>
      </w:r>
      <w:r>
        <w:instrText xml:space="preserve"> PAGEREF _Toc4428 \h </w:instrText>
      </w:r>
      <w:r>
        <w:fldChar w:fldCharType="separate"/>
      </w:r>
      <w:r>
        <w:t>30</w:t>
      </w:r>
      <w:r>
        <w:fldChar w:fldCharType="end"/>
      </w:r>
      <w:r>
        <w:rPr>
          <w:bCs w:val="0"/>
          <w:lang w:val="zh-CN"/>
        </w:rPr>
        <w:fldChar w:fldCharType="end"/>
      </w:r>
    </w:p>
    <w:p>
      <w:pPr>
        <w:pStyle w:val="45"/>
        <w:tabs>
          <w:tab w:val="right" w:leader="dot" w:pos="9562"/>
        </w:tabs>
      </w:pPr>
      <w:r>
        <w:rPr>
          <w:bCs w:val="0"/>
          <w:lang w:val="zh-CN"/>
        </w:rPr>
        <w:fldChar w:fldCharType="begin"/>
      </w:r>
      <w:r>
        <w:rPr>
          <w:bCs w:val="0"/>
          <w:lang w:val="zh-CN"/>
        </w:rPr>
        <w:instrText xml:space="preserve"> HYPERLINK \l _Toc29854 </w:instrText>
      </w:r>
      <w:r>
        <w:rPr>
          <w:bCs w:val="0"/>
          <w:lang w:val="zh-CN"/>
        </w:rPr>
        <w:fldChar w:fldCharType="separate"/>
      </w:r>
      <w:r>
        <w:rPr>
          <w:rFonts w:hint="eastAsia" w:ascii="仿宋_GB2312" w:eastAsia="仿宋_GB2312"/>
        </w:rPr>
        <w:t>（十三）估价作业期</w:t>
      </w:r>
      <w:r>
        <w:tab/>
      </w:r>
      <w:r>
        <w:fldChar w:fldCharType="begin"/>
      </w:r>
      <w:r>
        <w:instrText xml:space="preserve"> PAGEREF _Toc29854 \h </w:instrText>
      </w:r>
      <w:r>
        <w:fldChar w:fldCharType="separate"/>
      </w:r>
      <w:r>
        <w:t>30</w:t>
      </w:r>
      <w:r>
        <w:fldChar w:fldCharType="end"/>
      </w:r>
      <w:r>
        <w:rPr>
          <w:bCs w:val="0"/>
          <w:lang w:val="zh-CN"/>
        </w:rPr>
        <w:fldChar w:fldCharType="end"/>
      </w:r>
    </w:p>
    <w:p>
      <w:pPr>
        <w:pStyle w:val="36"/>
        <w:tabs>
          <w:tab w:val="right" w:leader="dot" w:pos="9562"/>
        </w:tabs>
      </w:pPr>
      <w:bookmarkStart w:id="160" w:name="_GoBack"/>
      <w:bookmarkEnd w:id="160"/>
      <w:r>
        <w:rPr>
          <w:bCs w:val="0"/>
          <w:lang w:val="zh-CN"/>
        </w:rPr>
        <w:fldChar w:fldCharType="begin"/>
      </w:r>
      <w:r>
        <w:rPr>
          <w:bCs w:val="0"/>
          <w:lang w:val="zh-CN"/>
        </w:rPr>
        <w:instrText xml:space="preserve"> HYPERLINK \l _Toc25398 </w:instrText>
      </w:r>
      <w:r>
        <w:rPr>
          <w:bCs w:val="0"/>
          <w:lang w:val="zh-CN"/>
        </w:rPr>
        <w:fldChar w:fldCharType="separate"/>
      </w:r>
      <w:r>
        <w:rPr>
          <w:rFonts w:hint="eastAsia" w:ascii="仿宋_GB2312" w:eastAsia="仿宋_GB2312"/>
        </w:rPr>
        <w:t>附  件</w:t>
      </w:r>
      <w:r>
        <w:tab/>
      </w:r>
      <w:r>
        <w:fldChar w:fldCharType="begin"/>
      </w:r>
      <w:r>
        <w:instrText xml:space="preserve"> PAGEREF _Toc25398 \h </w:instrText>
      </w:r>
      <w:r>
        <w:fldChar w:fldCharType="separate"/>
      </w:r>
      <w:r>
        <w:t>32</w:t>
      </w:r>
      <w:r>
        <w:fldChar w:fldCharType="end"/>
      </w:r>
      <w:r>
        <w:rPr>
          <w:bCs w:val="0"/>
          <w:lang w:val="zh-CN"/>
        </w:rPr>
        <w:fldChar w:fldCharType="end"/>
      </w:r>
    </w:p>
    <w:p>
      <w:pPr>
        <w:pStyle w:val="3"/>
        <w:keepNext w:val="0"/>
        <w:keepLines w:val="0"/>
        <w:pageBreakBefore/>
        <w:widowControl w:val="0"/>
        <w:tabs>
          <w:tab w:val="right" w:leader="dot" w:pos="9552"/>
        </w:tabs>
        <w:spacing w:before="0" w:after="0" w:line="240" w:lineRule="auto"/>
        <w:ind w:firstLine="640" w:firstLineChars="200"/>
        <w:jc w:val="center"/>
        <w:rPr>
          <w:rFonts w:hint="eastAsia" w:ascii="仿宋_GB2312" w:eastAsia="仿宋_GB2312" w:cs="Times New Roman"/>
          <w:b/>
          <w:color w:val="auto"/>
        </w:rPr>
      </w:pPr>
      <w:r>
        <w:rPr>
          <w:bCs w:val="0"/>
          <w:lang w:val="zh-CN"/>
        </w:rPr>
        <w:fldChar w:fldCharType="end"/>
      </w:r>
      <w:bookmarkStart w:id="16" w:name="_Toc135020952"/>
      <w:bookmarkStart w:id="17" w:name="_Toc135021306"/>
      <w:bookmarkStart w:id="18" w:name="_Toc340240486"/>
      <w:bookmarkStart w:id="19" w:name="_Toc135021027"/>
      <w:bookmarkStart w:id="20" w:name="_Toc135541818"/>
      <w:bookmarkStart w:id="21" w:name="_Toc135021593"/>
      <w:bookmarkStart w:id="22" w:name="_Toc135021210"/>
      <w:bookmarkStart w:id="23" w:name="_Toc5691"/>
      <w:bookmarkStart w:id="24" w:name="_Toc11346"/>
      <w:bookmarkStart w:id="25" w:name="_Toc6216262"/>
      <w:r>
        <w:rPr>
          <w:rFonts w:hint="eastAsia" w:ascii="仿宋_GB2312" w:eastAsia="仿宋_GB2312" w:cs="Times New Roman"/>
          <w:b/>
          <w:color w:val="auto"/>
        </w:rPr>
        <w:t>估 价 师 声 明</w:t>
      </w:r>
      <w:bookmarkEnd w:id="16"/>
      <w:bookmarkEnd w:id="17"/>
      <w:bookmarkEnd w:id="18"/>
      <w:bookmarkEnd w:id="19"/>
      <w:bookmarkEnd w:id="20"/>
      <w:bookmarkEnd w:id="21"/>
      <w:bookmarkEnd w:id="22"/>
      <w:bookmarkEnd w:id="23"/>
      <w:bookmarkEnd w:id="24"/>
      <w:bookmarkEnd w:id="25"/>
    </w:p>
    <w:p>
      <w:pPr>
        <w:widowControl w:val="0"/>
        <w:spacing w:after="0" w:line="480" w:lineRule="exact"/>
        <w:ind w:firstLine="350" w:firstLineChars="125"/>
        <w:rPr>
          <w:rFonts w:ascii="仿宋_GB2312" w:hAnsi="宋体" w:eastAsia="仿宋_GB2312"/>
          <w:sz w:val="28"/>
        </w:rPr>
      </w:pPr>
      <w:bookmarkStart w:id="26" w:name="_Toc135021028"/>
      <w:bookmarkStart w:id="27" w:name="_Toc6216263"/>
      <w:bookmarkStart w:id="28" w:name="_Toc340240487"/>
      <w:bookmarkStart w:id="29" w:name="_Toc135021594"/>
      <w:bookmarkStart w:id="30" w:name="_Toc21174"/>
      <w:bookmarkStart w:id="31" w:name="_Toc135021211"/>
      <w:bookmarkStart w:id="32" w:name="_Toc135021307"/>
      <w:bookmarkStart w:id="33" w:name="_Toc135020953"/>
      <w:bookmarkStart w:id="34" w:name="_Toc135541819"/>
      <w:r>
        <w:rPr>
          <w:rFonts w:hint="eastAsia" w:ascii="仿宋_GB2312" w:hAnsi="宋体" w:eastAsia="仿宋_GB2312"/>
          <w:sz w:val="28"/>
        </w:rPr>
        <w:t>我们郑重声明：</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我们在本估价报告中对事实的说明是真实和准确的，没有虚假记载、误导性陈述和重大遗漏；</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本估价报告中的分析、意见和结论是我们自己独立、客观、公正的专业分析、意见和结论,但受到本估价报告中已说明的估价假设和限制条件的限制；</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我们与本估价报告中的估价对象没有现实或潜在的利益,与估价委托人及估价利害关系人没有利害关系，也对估价对象、估价委托人及估价利害关系人没有偏见；</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我们是按照中华人民共和国国家标准《房地产估价规范》、</w:t>
      </w:r>
      <w:r>
        <w:rPr>
          <w:rFonts w:hint="eastAsia" w:ascii="仿宋_GB2312" w:eastAsia="仿宋_GB2312" w:cs="宋体"/>
          <w:sz w:val="28"/>
          <w:szCs w:val="28"/>
        </w:rPr>
        <w:t>《房地产估价基本术语标准》</w:t>
      </w:r>
      <w:r>
        <w:rPr>
          <w:rFonts w:hint="eastAsia" w:ascii="仿宋_GB2312" w:hAnsi="宋体" w:eastAsia="仿宋_GB2312"/>
          <w:sz w:val="28"/>
        </w:rPr>
        <w:t>有关房地产标准和规定进行估价工作，撰写估价报告；</w:t>
      </w:r>
    </w:p>
    <w:p>
      <w:pPr>
        <w:widowControl w:val="0"/>
        <w:numPr>
          <w:ilvl w:val="0"/>
          <w:numId w:val="1"/>
        </w:numPr>
        <w:spacing w:after="0" w:line="460" w:lineRule="exact"/>
        <w:ind w:left="482" w:right="16" w:hanging="482"/>
        <w:rPr>
          <w:rFonts w:ascii="仿宋_GB2312" w:hAnsi="宋体" w:eastAsia="仿宋_GB2312"/>
          <w:sz w:val="28"/>
        </w:rPr>
      </w:pPr>
      <w:r>
        <w:rPr>
          <w:rFonts w:hint="eastAsia" w:ascii="仿宋_GB2312" w:hAnsi="宋体" w:eastAsia="仿宋_GB2312"/>
          <w:sz w:val="28"/>
        </w:rPr>
        <w:t>我们已对本估价报告中的估价对象进行了实地查勘,参加查勘人员为本报告签字的注册房地产估价师，注册房地产估价师对估价对象的查勘仅限于估价对象的外观和使用状况，不承担对估价对象房屋结构质量进行调查的责任，也不承担对其他被遮盖未暴露及难于接触到的部分进行查勘的责任；</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没有人对本估价报告提供重要专业帮助；</w:t>
      </w:r>
    </w:p>
    <w:p>
      <w:pPr>
        <w:widowControl w:val="0"/>
        <w:numPr>
          <w:ilvl w:val="0"/>
          <w:numId w:val="1"/>
        </w:numPr>
        <w:spacing w:after="0" w:line="460" w:lineRule="exact"/>
        <w:ind w:left="482" w:hanging="482"/>
        <w:rPr>
          <w:rFonts w:ascii="仿宋_GB2312" w:hAnsi="宋体" w:eastAsia="仿宋_GB2312"/>
          <w:sz w:val="28"/>
        </w:rPr>
      </w:pPr>
      <w:r>
        <w:rPr>
          <w:rFonts w:hint="eastAsia" w:ascii="仿宋_GB2312" w:hAnsi="宋体" w:eastAsia="仿宋_GB2312"/>
          <w:sz w:val="28"/>
        </w:rPr>
        <w:t>使用本报告，请注意估价假设和限制条件及报告说明；</w:t>
      </w:r>
    </w:p>
    <w:p>
      <w:pPr>
        <w:widowControl w:val="0"/>
        <w:numPr>
          <w:ilvl w:val="0"/>
          <w:numId w:val="1"/>
        </w:numPr>
        <w:spacing w:after="0" w:line="460" w:lineRule="exact"/>
        <w:ind w:left="482" w:hanging="482"/>
        <w:rPr>
          <w:rFonts w:ascii="仿宋_GB2312" w:hAnsi="宋体" w:eastAsia="仿宋_GB2312"/>
          <w:bCs/>
          <w:spacing w:val="20"/>
          <w:sz w:val="28"/>
        </w:rPr>
      </w:pPr>
      <w:r>
        <w:rPr>
          <w:rFonts w:hint="eastAsia" w:ascii="仿宋_GB2312" w:hAnsi="宋体" w:eastAsia="仿宋_GB2312"/>
          <w:sz w:val="28"/>
        </w:rPr>
        <w:t>当事人或者其他利害关系人对评估报告有异议的，可以在收到评估报告后五日内以书面形式向人民法院提出。</w:t>
      </w:r>
    </w:p>
    <w:p>
      <w:pPr>
        <w:widowControl w:val="0"/>
        <w:spacing w:after="0" w:line="460" w:lineRule="exact"/>
        <w:rPr>
          <w:rFonts w:ascii="仿宋_GB2312" w:hAnsi="宋体" w:eastAsia="仿宋_GB2312"/>
          <w:b/>
          <w:bCs/>
          <w:spacing w:val="20"/>
          <w:sz w:val="28"/>
        </w:rPr>
      </w:pPr>
      <w:r>
        <w:rPr>
          <w:rFonts w:hint="eastAsia" w:ascii="仿宋_GB2312" w:hAnsi="宋体" w:eastAsia="仿宋_GB2312"/>
          <w:b/>
          <w:bCs/>
          <w:spacing w:val="20"/>
          <w:sz w:val="28"/>
        </w:rPr>
        <w:t>声明人：</w:t>
      </w:r>
      <w:r>
        <w:rPr>
          <w:rFonts w:hint="eastAsia" w:ascii="仿宋_GB2312" w:hAnsi="宋体" w:eastAsia="仿宋_GB2312"/>
          <w:bCs/>
          <w:spacing w:val="20"/>
          <w:sz w:val="28"/>
        </w:rPr>
        <w:t>陈</w:t>
      </w:r>
      <w:r>
        <w:rPr>
          <w:rFonts w:hint="eastAsia" w:ascii="仿宋_GB2312" w:hAnsi="宋体" w:eastAsia="仿宋_GB2312"/>
          <w:bCs/>
          <w:spacing w:val="20"/>
          <w:sz w:val="28"/>
          <w:lang w:val="en-US" w:eastAsia="zh-CN"/>
        </w:rPr>
        <w:t xml:space="preserve"> </w:t>
      </w:r>
      <w:r>
        <w:rPr>
          <w:rFonts w:hint="eastAsia" w:ascii="仿宋_GB2312" w:hAnsi="宋体" w:eastAsia="仿宋_GB2312"/>
          <w:bCs/>
          <w:spacing w:val="20"/>
          <w:sz w:val="28"/>
        </w:rPr>
        <w:t>琛（注册房地产估价师，注册号：3720180040）</w:t>
      </w:r>
    </w:p>
    <w:p>
      <w:pPr>
        <w:widowControl w:val="0"/>
        <w:spacing w:after="0" w:line="460" w:lineRule="exact"/>
        <w:rPr>
          <w:rFonts w:ascii="仿宋_GB2312" w:hAnsi="宋体" w:eastAsia="仿宋_GB2312"/>
          <w:b/>
          <w:bCs/>
          <w:spacing w:val="20"/>
          <w:sz w:val="28"/>
        </w:rPr>
      </w:pPr>
    </w:p>
    <w:p>
      <w:pPr>
        <w:widowControl w:val="0"/>
        <w:spacing w:after="0" w:line="460" w:lineRule="exact"/>
        <w:rPr>
          <w:rFonts w:ascii="仿宋_GB2312" w:hAnsi="宋体" w:eastAsia="仿宋_GB2312"/>
          <w:sz w:val="28"/>
          <w:szCs w:val="28"/>
        </w:rPr>
      </w:pPr>
    </w:p>
    <w:p>
      <w:pPr>
        <w:widowControl w:val="0"/>
        <w:spacing w:after="0" w:line="460" w:lineRule="exact"/>
        <w:rPr>
          <w:rFonts w:ascii="仿宋_GB2312" w:hAnsi="宋体" w:eastAsia="仿宋_GB2312"/>
          <w:sz w:val="28"/>
          <w:szCs w:val="28"/>
        </w:rPr>
      </w:pPr>
    </w:p>
    <w:p>
      <w:pPr>
        <w:widowControl w:val="0"/>
        <w:spacing w:after="0" w:line="460" w:lineRule="exact"/>
        <w:ind w:firstLine="1280" w:firstLineChars="400"/>
        <w:rPr>
          <w:rFonts w:ascii="仿宋_GB2312" w:hAnsi="宋体" w:eastAsia="仿宋_GB2312"/>
          <w:bCs/>
          <w:spacing w:val="20"/>
          <w:sz w:val="28"/>
        </w:rPr>
      </w:pPr>
      <w:r>
        <w:rPr>
          <w:rFonts w:hint="eastAsia" w:ascii="仿宋_GB2312" w:hAnsi="宋体" w:eastAsia="仿宋_GB2312"/>
          <w:bCs/>
          <w:spacing w:val="20"/>
          <w:sz w:val="28"/>
          <w:lang w:eastAsia="zh-CN"/>
        </w:rPr>
        <w:t>孙伟栋</w:t>
      </w:r>
      <w:r>
        <w:rPr>
          <w:rFonts w:hint="eastAsia" w:ascii="仿宋_GB2312" w:hAnsi="宋体" w:eastAsia="仿宋_GB2312"/>
          <w:bCs/>
          <w:spacing w:val="20"/>
          <w:sz w:val="28"/>
        </w:rPr>
        <w:t>（注册房地产估价师，注册号：</w:t>
      </w:r>
      <w:r>
        <w:rPr>
          <w:rFonts w:hint="eastAsia" w:ascii="仿宋_GB2312" w:hAnsi="宋体" w:eastAsia="仿宋_GB2312"/>
          <w:bCs/>
          <w:spacing w:val="20"/>
          <w:sz w:val="28"/>
          <w:lang w:eastAsia="zh-CN"/>
        </w:rPr>
        <w:t>3720130044</w:t>
      </w:r>
      <w:r>
        <w:rPr>
          <w:rFonts w:hint="eastAsia" w:ascii="仿宋_GB2312" w:hAnsi="宋体" w:eastAsia="仿宋_GB2312"/>
          <w:bCs/>
          <w:spacing w:val="20"/>
          <w:sz w:val="28"/>
        </w:rPr>
        <w:t>）</w:t>
      </w:r>
    </w:p>
    <w:p>
      <w:pPr>
        <w:pStyle w:val="3"/>
        <w:keepNext w:val="0"/>
        <w:keepLines w:val="0"/>
        <w:widowControl w:val="0"/>
        <w:spacing w:line="600" w:lineRule="exact"/>
        <w:jc w:val="center"/>
        <w:rPr>
          <w:rFonts w:ascii="仿宋_GB2312" w:eastAsia="仿宋_GB2312"/>
          <w:b/>
          <w:color w:val="auto"/>
        </w:rPr>
      </w:pPr>
    </w:p>
    <w:p>
      <w:pPr>
        <w:pStyle w:val="3"/>
        <w:keepNext w:val="0"/>
        <w:keepLines w:val="0"/>
        <w:widowControl w:val="0"/>
        <w:spacing w:line="600" w:lineRule="exact"/>
        <w:ind w:firstLine="643" w:firstLineChars="200"/>
        <w:jc w:val="center"/>
        <w:rPr>
          <w:rFonts w:ascii="仿宋_GB2312" w:eastAsia="仿宋_GB2312"/>
          <w:b/>
          <w:color w:val="auto"/>
        </w:rPr>
      </w:pPr>
      <w:bookmarkStart w:id="35" w:name="_Toc15097"/>
      <w:r>
        <w:rPr>
          <w:rFonts w:hint="eastAsia" w:ascii="仿宋_GB2312" w:eastAsia="仿宋_GB2312"/>
          <w:b/>
          <w:color w:val="auto"/>
        </w:rPr>
        <w:t>估 价 假 设 和 限 制 条 件</w:t>
      </w:r>
      <w:bookmarkEnd w:id="26"/>
      <w:bookmarkEnd w:id="27"/>
      <w:bookmarkEnd w:id="28"/>
      <w:bookmarkEnd w:id="29"/>
      <w:bookmarkEnd w:id="30"/>
      <w:bookmarkEnd w:id="31"/>
      <w:bookmarkEnd w:id="32"/>
      <w:bookmarkEnd w:id="33"/>
      <w:bookmarkEnd w:id="34"/>
      <w:bookmarkEnd w:id="35"/>
    </w:p>
    <w:p>
      <w:pPr>
        <w:widowControl w:val="0"/>
        <w:spacing w:after="0" w:line="540" w:lineRule="exact"/>
        <w:ind w:firstLine="562" w:firstLineChars="200"/>
        <w:rPr>
          <w:rFonts w:ascii="仿宋_GB2312" w:hAnsi="宋体" w:eastAsia="仿宋_GB2312"/>
          <w:b/>
          <w:sz w:val="28"/>
          <w:szCs w:val="28"/>
        </w:rPr>
      </w:pPr>
      <w:r>
        <w:rPr>
          <w:rFonts w:hint="eastAsia" w:ascii="仿宋_GB2312" w:hAnsi="宋体" w:eastAsia="仿宋_GB2312"/>
          <w:b/>
          <w:sz w:val="28"/>
          <w:szCs w:val="28"/>
        </w:rPr>
        <w:t>一、估价假设条件</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1、一般假设</w:t>
      </w:r>
    </w:p>
    <w:p>
      <w:pPr>
        <w:pStyle w:val="28"/>
        <w:widowControl w:val="0"/>
        <w:adjustRightInd w:val="0"/>
        <w:snapToGrid w:val="0"/>
        <w:spacing w:after="0" w:line="520" w:lineRule="exact"/>
        <w:ind w:firstLine="560" w:firstLineChars="200"/>
        <w:rPr>
          <w:rFonts w:ascii="仿宋_GB2312" w:hAnsi="Times New Roman" w:eastAsia="仿宋_GB2312" w:cs="宋体"/>
          <w:kern w:val="0"/>
          <w:sz w:val="28"/>
          <w:szCs w:val="28"/>
        </w:rPr>
      </w:pPr>
      <w:r>
        <w:rPr>
          <w:rFonts w:hint="eastAsia" w:ascii="仿宋_GB2312" w:hAnsi="Verdana" w:eastAsia="仿宋_GB2312" w:cs="宋体"/>
          <w:sz w:val="28"/>
          <w:szCs w:val="28"/>
        </w:rPr>
        <w:t>（1）假设</w:t>
      </w:r>
      <w:r>
        <w:rPr>
          <w:rFonts w:hint="eastAsia" w:ascii="仿宋_GB2312" w:eastAsia="仿宋_GB2312"/>
          <w:sz w:val="28"/>
          <w:szCs w:val="28"/>
        </w:rPr>
        <w:t>估价对象具有完全产权，并且产权明晰无争议，可在公开市场上自由转让</w:t>
      </w:r>
      <w:r>
        <w:rPr>
          <w:rFonts w:hint="eastAsia" w:ascii="仿宋_GB2312" w:hAnsi="Times New Roman" w:eastAsia="仿宋_GB2312" w:cs="宋体"/>
          <w:kern w:val="0"/>
          <w:sz w:val="28"/>
          <w:szCs w:val="28"/>
        </w:rPr>
        <w:t>。</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eastAsia="仿宋_GB2312" w:cs="宋体"/>
          <w:sz w:val="28"/>
          <w:szCs w:val="28"/>
        </w:rPr>
        <w:t>（2）注册房地产估价师对估价对象安全、环境污染等影响估价对象价值的重大因素给予了关注，无理由怀疑估价对象存在安全隐患且无相应的专业机构进行鉴定检测的情况下，假设估价对象不存在基础、结构等难以直观发现的内在安全质量问题和环境污染情况。</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（3）本报告评估</w:t>
      </w:r>
      <w:r>
        <w:rPr>
          <w:rFonts w:hint="eastAsia" w:ascii="仿宋_GB2312" w:hAnsi="Verdana" w:eastAsia="仿宋_GB2312" w:cs="宋体"/>
          <w:sz w:val="28"/>
          <w:szCs w:val="28"/>
          <w:lang w:eastAsia="zh-CN"/>
        </w:rPr>
        <w:t>李林修、任冬梅</w:t>
      </w:r>
      <w:r>
        <w:rPr>
          <w:rFonts w:hint="eastAsia" w:ascii="仿宋_GB2312" w:hAnsi="Verdana" w:eastAsia="仿宋_GB2312" w:cs="宋体"/>
          <w:sz w:val="28"/>
          <w:szCs w:val="28"/>
        </w:rPr>
        <w:t>名下的位于</w:t>
      </w:r>
      <w:r>
        <w:rPr>
          <w:rFonts w:hint="eastAsia" w:ascii="仿宋_GB2312" w:hAnsi="Verdana" w:eastAsia="仿宋_GB2312" w:cs="宋体"/>
          <w:sz w:val="28"/>
          <w:szCs w:val="28"/>
          <w:lang w:eastAsia="zh-CN"/>
        </w:rPr>
        <w:t>山东省青岛莱西市红岛中路7号上海花苑E3#楼3单元401户（含附房）</w:t>
      </w:r>
      <w:r>
        <w:rPr>
          <w:rFonts w:hint="eastAsia" w:ascii="仿宋_GB2312" w:hAnsi="Verdana" w:eastAsia="仿宋_GB2312" w:cs="宋体"/>
          <w:sz w:val="28"/>
          <w:szCs w:val="28"/>
        </w:rPr>
        <w:t>住宅房地产在设定条件下的市场价格，即在价值时点预期在市场上出售并按以下条件可取得的合理价格：</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房地产的市场价格应是以一些类似房地产的成交价格为基础测算的，但不能对这些成交价格直接采用平均的方法进行计算，而是在平均之前要剔除偶然的和不正常的因素造成的价格偏差，并消除房地产之间的状况不同造成的价格差异。</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（4）假设估价对象可以保持价值时点合法权证载明的法定用途继续使用，且为估价对象合法的最高最佳利用用途为估价前提。</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Verdana" w:eastAsia="仿宋_GB2312" w:cs="宋体"/>
          <w:sz w:val="28"/>
          <w:szCs w:val="28"/>
        </w:rPr>
      </w:pPr>
      <w:r>
        <w:rPr>
          <w:rFonts w:hint="eastAsia" w:ascii="仿宋_GB2312" w:hAnsi="Verdana" w:eastAsia="仿宋_GB2312" w:cs="宋体"/>
          <w:sz w:val="28"/>
          <w:szCs w:val="28"/>
        </w:rPr>
        <w:t>（5）假设人民法院拍卖（或者变卖）财产之日的估价对象状况和房地产市场状况与实地查勘完成之日的状况相同。</w:t>
      </w:r>
    </w:p>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Verdana" w:eastAsia="仿宋_GB2312" w:cs="宋体"/>
          <w:szCs w:val="28"/>
        </w:rPr>
      </w:pPr>
      <w:r>
        <w:rPr>
          <w:rFonts w:hint="eastAsia" w:ascii="仿宋_GB2312" w:hAnsi="Verdana" w:eastAsia="仿宋_GB2312" w:cs="宋体"/>
          <w:szCs w:val="28"/>
        </w:rPr>
        <w:t xml:space="preserve">（6）估价委托人未明确存在租赁权、用益物权及占有使用情况，且我公司经过尽职调查后也未发现、掌握相关情况，故假设评估对象在价值时点时不存在租赁权、用益物权及占有使用情况。 </w:t>
      </w:r>
    </w:p>
    <w:p>
      <w:pPr>
        <w:pStyle w:val="2"/>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Verdana" w:eastAsia="仿宋_GB2312" w:cs="宋体"/>
          <w:szCs w:val="28"/>
        </w:rPr>
      </w:pPr>
      <w:r>
        <w:rPr>
          <w:rFonts w:hint="eastAsia" w:ascii="仿宋_GB2312" w:hAnsi="Verdana" w:eastAsia="仿宋_GB2312" w:cs="宋体"/>
          <w:szCs w:val="28"/>
        </w:rPr>
        <w:t>（7）假定评估对象不存在欠缴税金及相关费用，包括税收、物业费、供暖费、水电气费等及其滞纳金。</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2、未定事项假设</w:t>
      </w:r>
    </w:p>
    <w:p>
      <w:pPr>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本估价项目不存未定事项，故本估价报告没有未定事项假设。</w:t>
      </w:r>
    </w:p>
    <w:p>
      <w:pPr>
        <w:widowControl w:val="0"/>
        <w:spacing w:after="0" w:line="540" w:lineRule="exact"/>
        <w:ind w:firstLine="560" w:firstLineChars="200"/>
        <w:rPr>
          <w:rFonts w:ascii="仿宋_GB2312" w:hAnsi="Verdana" w:eastAsia="仿宋_GB2312" w:cs="宋体"/>
          <w:sz w:val="28"/>
          <w:szCs w:val="28"/>
        </w:rPr>
      </w:pPr>
      <w:r>
        <w:rPr>
          <w:rFonts w:hint="eastAsia" w:ascii="仿宋_GB2312" w:hAnsi="Verdana" w:eastAsia="仿宋_GB2312" w:cs="宋体"/>
          <w:sz w:val="28"/>
          <w:szCs w:val="28"/>
        </w:rPr>
        <w:t>3、背离事实假设</w:t>
      </w:r>
    </w:p>
    <w:p>
      <w:pPr>
        <w:widowControl w:val="0"/>
        <w:spacing w:after="0" w:line="540" w:lineRule="exact"/>
        <w:ind w:firstLine="560" w:firstLineChars="200"/>
        <w:rPr>
          <w:rFonts w:hint="eastAsia" w:ascii="仿宋_GB2312" w:hAnsi="宋体" w:eastAsia="仿宋_GB2312"/>
          <w:sz w:val="28"/>
          <w:szCs w:val="28"/>
          <w:vertAlign w:val="baseline"/>
          <w:lang w:eastAsia="zh-CN"/>
        </w:rPr>
      </w:pPr>
      <w:r>
        <w:rPr>
          <w:rFonts w:hint="eastAsia" w:ascii="仿宋_GB2312" w:hAnsi="宋体" w:eastAsia="仿宋_GB2312"/>
          <w:sz w:val="28"/>
          <w:szCs w:val="28"/>
          <w:lang w:eastAsia="zh-CN"/>
        </w:rPr>
        <w:t>根据《不动产交易登记信息（现势不含历史）查询结果证明》（证明编号：</w:t>
      </w:r>
      <w:r>
        <w:rPr>
          <w:rFonts w:hint="eastAsia" w:ascii="仿宋_GB2312" w:hAnsi="宋体" w:eastAsia="仿宋_GB2312"/>
          <w:sz w:val="28"/>
          <w:szCs w:val="28"/>
          <w:lang w:val="en-US" w:eastAsia="zh-CN"/>
        </w:rPr>
        <w:t>21112201264590</w:t>
      </w:r>
      <w:r>
        <w:rPr>
          <w:rFonts w:hint="eastAsia" w:ascii="仿宋_GB2312" w:hAnsi="宋体" w:eastAsia="仿宋_GB2312"/>
          <w:sz w:val="28"/>
          <w:szCs w:val="28"/>
          <w:lang w:eastAsia="zh-CN"/>
        </w:rPr>
        <w:t>）记载，情况如下：</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2444"/>
        <w:gridCol w:w="2445"/>
        <w:gridCol w:w="2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权利人</w:t>
            </w:r>
          </w:p>
        </w:tc>
        <w:tc>
          <w:tcPr>
            <w:tcW w:w="2444"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李林修、任冬梅</w:t>
            </w:r>
          </w:p>
        </w:tc>
        <w:tc>
          <w:tcPr>
            <w:tcW w:w="2445"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坐落</w:t>
            </w:r>
          </w:p>
        </w:tc>
        <w:tc>
          <w:tcPr>
            <w:tcW w:w="2445"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红岛中路7号上海花苑E3#楼3单元401户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4"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建筑面积</w:t>
            </w:r>
          </w:p>
        </w:tc>
        <w:tc>
          <w:tcPr>
            <w:tcW w:w="2444"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133.13</w:t>
            </w:r>
          </w:p>
        </w:tc>
        <w:tc>
          <w:tcPr>
            <w:tcW w:w="2445"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权属状况</w:t>
            </w:r>
          </w:p>
        </w:tc>
        <w:tc>
          <w:tcPr>
            <w:tcW w:w="2445"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限制、抵押</w:t>
            </w:r>
          </w:p>
        </w:tc>
      </w:tr>
    </w:tbl>
    <w:p>
      <w:pPr>
        <w:widowControl w:val="0"/>
        <w:spacing w:after="0" w:line="540" w:lineRule="exact"/>
        <w:ind w:firstLine="560" w:firstLineChars="200"/>
        <w:rPr>
          <w:rFonts w:ascii="仿宋_GB2312" w:hAnsi="Verdana" w:eastAsia="仿宋_GB2312" w:cs="宋体"/>
          <w:sz w:val="28"/>
          <w:szCs w:val="28"/>
        </w:rPr>
      </w:pPr>
      <w:r>
        <w:rPr>
          <w:rFonts w:hint="eastAsia" w:ascii="仿宋_GB2312" w:hAnsi="宋体" w:eastAsia="仿宋_GB2312"/>
          <w:sz w:val="28"/>
          <w:szCs w:val="28"/>
        </w:rPr>
        <w:t>依据《房地产估价规范》（GB/T50291-2015）“房地产拍卖、变卖估价”原文中记载，评估价值的影响因素应包括拍卖房地产的瑕疵，但不应包括拍卖房地产被查封及拍卖房地产上原有的担保物权和其他优先受偿权。因此，本次评估不考虑查封及原有的担保物权和其他优先受偿权对房地产市场价格的影响，故假设估价对象未设定查封及原有的担保物权和其他优先受偿权等他项权利，且未发生任何产权转移行为。</w:t>
      </w:r>
    </w:p>
    <w:p>
      <w:pPr>
        <w:widowControl w:val="0"/>
        <w:numPr>
          <w:ilvl w:val="0"/>
          <w:numId w:val="2"/>
        </w:numPr>
        <w:spacing w:after="0" w:line="540" w:lineRule="exact"/>
        <w:ind w:firstLine="560" w:firstLineChars="200"/>
        <w:rPr>
          <w:rFonts w:hint="eastAsia" w:ascii="仿宋_GB2312" w:hAnsi="Verdana" w:eastAsia="仿宋_GB2312" w:cs="宋体"/>
          <w:sz w:val="28"/>
          <w:szCs w:val="28"/>
        </w:rPr>
      </w:pPr>
      <w:r>
        <w:rPr>
          <w:rFonts w:hint="eastAsia" w:ascii="仿宋_GB2312" w:hAnsi="Verdana" w:eastAsia="仿宋_GB2312" w:cs="宋体"/>
          <w:sz w:val="28"/>
          <w:szCs w:val="28"/>
        </w:rPr>
        <w:t>不相一致假设</w:t>
      </w:r>
    </w:p>
    <w:p>
      <w:pPr>
        <w:widowControl w:val="0"/>
        <w:numPr>
          <w:ilvl w:val="0"/>
          <w:numId w:val="3"/>
        </w:numPr>
        <w:spacing w:after="0" w:line="540" w:lineRule="exact"/>
        <w:ind w:firstLine="560" w:firstLineChars="200"/>
        <w:rPr>
          <w:rFonts w:hint="eastAsia" w:ascii="仿宋_GB2312" w:hAnsi="宋体" w:eastAsia="仿宋_GB2312" w:cs="Times New Roman"/>
          <w:sz w:val="28"/>
          <w:szCs w:val="28"/>
          <w:lang w:eastAsia="zh-CN"/>
        </w:rPr>
      </w:pPr>
      <w:r>
        <w:rPr>
          <w:rFonts w:hint="eastAsia" w:ascii="仿宋_GB2312" w:hAnsi="Verdana" w:eastAsia="仿宋_GB2312" w:cs="宋体"/>
          <w:sz w:val="28"/>
          <w:szCs w:val="28"/>
          <w:lang w:eastAsia="zh-CN"/>
        </w:rPr>
        <w:t>根据《莱西市人民法院委托书》（（</w:t>
      </w:r>
      <w:r>
        <w:rPr>
          <w:rFonts w:hint="eastAsia" w:ascii="仿宋_GB2312" w:hAnsi="Verdana" w:eastAsia="仿宋_GB2312" w:cs="宋体"/>
          <w:sz w:val="28"/>
          <w:szCs w:val="28"/>
          <w:lang w:val="en-US" w:eastAsia="zh-CN"/>
        </w:rPr>
        <w:t>2021</w:t>
      </w:r>
      <w:r>
        <w:rPr>
          <w:rFonts w:hint="eastAsia" w:ascii="仿宋_GB2312" w:hAnsi="Verdana" w:eastAsia="仿宋_GB2312" w:cs="宋体"/>
          <w:sz w:val="28"/>
          <w:szCs w:val="28"/>
          <w:lang w:eastAsia="zh-CN"/>
        </w:rPr>
        <w:t>）鲁</w:t>
      </w:r>
      <w:r>
        <w:rPr>
          <w:rFonts w:hint="eastAsia" w:ascii="仿宋_GB2312" w:hAnsi="Verdana" w:eastAsia="仿宋_GB2312" w:cs="宋体"/>
          <w:sz w:val="28"/>
          <w:szCs w:val="28"/>
          <w:lang w:val="en-US" w:eastAsia="zh-CN"/>
        </w:rPr>
        <w:t>0285执3500号</w:t>
      </w:r>
      <w:r>
        <w:rPr>
          <w:rFonts w:hint="eastAsia" w:ascii="仿宋_GB2312" w:hAnsi="Verdana" w:eastAsia="仿宋_GB2312" w:cs="宋体"/>
          <w:sz w:val="28"/>
          <w:szCs w:val="28"/>
          <w:lang w:eastAsia="zh-CN"/>
        </w:rPr>
        <w:t>）记载，需对山东省青岛莱西市上海花苑E3#楼3单元401户</w:t>
      </w:r>
      <w:r>
        <w:rPr>
          <w:rFonts w:hint="eastAsia" w:ascii="仿宋_GB2312" w:hAnsi="Verdana" w:eastAsia="仿宋_GB2312" w:cs="宋体"/>
          <w:sz w:val="28"/>
          <w:szCs w:val="28"/>
          <w:lang w:val="en-US" w:eastAsia="zh-CN"/>
        </w:rPr>
        <w:t>的房产进行评估。</w:t>
      </w:r>
      <w:r>
        <w:rPr>
          <w:rFonts w:hint="eastAsia" w:ascii="仿宋_GB2312" w:hAnsi="Verdana" w:eastAsia="仿宋_GB2312" w:cs="宋体"/>
          <w:sz w:val="28"/>
          <w:szCs w:val="28"/>
          <w:lang w:val="en-US" w:eastAsia="zh-CN" w:bidi="ar-SA"/>
        </w:rPr>
        <w:t>根据《中华人民共和国房地产权证》（青房地权市字第2013142446号）</w:t>
      </w:r>
      <w:r>
        <w:rPr>
          <w:rFonts w:hint="eastAsia" w:ascii="仿宋_GB2312" w:hAnsi="宋体" w:eastAsia="仿宋_GB2312" w:cs="Times New Roman"/>
          <w:sz w:val="28"/>
          <w:szCs w:val="28"/>
          <w:lang w:val="en-US" w:eastAsia="zh-CN"/>
        </w:rPr>
        <w:t>记载，房地坐落为红岛中路7号上海花苑E3#楼3单元401户。</w:t>
      </w:r>
      <w:r>
        <w:rPr>
          <w:rFonts w:hint="eastAsia" w:ascii="仿宋_GB2312" w:hAnsi="宋体" w:eastAsia="仿宋_GB2312"/>
          <w:sz w:val="28"/>
          <w:szCs w:val="28"/>
          <w:lang w:val="en-US" w:eastAsia="zh-CN"/>
        </w:rPr>
        <w:t>实地查勘时，上海花苑E3#楼现楼号为24号楼，401户现悬挂门牌号为4-1，经调查，证载的红岛中路7号上海花苑E3#楼3单元401户与实地查勘的</w:t>
      </w:r>
      <w:r>
        <w:rPr>
          <w:rFonts w:hint="eastAsia" w:ascii="仿宋_GB2312" w:hAnsi="宋体" w:eastAsia="仿宋_GB2312" w:cs="Times New Roman"/>
          <w:sz w:val="28"/>
          <w:szCs w:val="28"/>
          <w:lang w:eastAsia="zh-CN"/>
        </w:rPr>
        <w:t>山东省青岛莱西市红岛中路7号上海花苑24号楼</w:t>
      </w:r>
      <w:r>
        <w:rPr>
          <w:rFonts w:hint="eastAsia" w:ascii="仿宋_GB2312" w:hAnsi="Verdana" w:eastAsia="仿宋_GB2312" w:cs="宋体"/>
          <w:sz w:val="28"/>
          <w:szCs w:val="28"/>
          <w:lang w:val="en-US" w:eastAsia="zh-CN" w:bidi="ar-SA"/>
        </w:rPr>
        <w:t>3单元“4-1”户为同一</w:t>
      </w:r>
      <w:r>
        <w:rPr>
          <w:rFonts w:hint="eastAsia" w:ascii="仿宋_GB2312" w:hAnsi="宋体" w:eastAsia="仿宋_GB2312"/>
          <w:sz w:val="28"/>
          <w:szCs w:val="28"/>
          <w:lang w:val="en-US" w:eastAsia="zh-CN"/>
        </w:rPr>
        <w:t>户，虽实际楼号与证载不一致，但指向为同一处房地产，本次评估根据合法原则，设定估价对象地址为山东省青岛莱西市红岛中路7号上海花苑E3#楼3单元401户</w:t>
      </w:r>
      <w:r>
        <w:rPr>
          <w:rFonts w:hint="eastAsia" w:ascii="仿宋_GB2312" w:hAnsi="宋体" w:eastAsia="仿宋_GB2312" w:cs="Times New Roman"/>
          <w:sz w:val="28"/>
          <w:szCs w:val="28"/>
          <w:lang w:eastAsia="zh-CN"/>
        </w:rPr>
        <w:t>。</w:t>
      </w: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9"/>
        <w:gridCol w:w="4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89" w:type="dxa"/>
          </w:tcPr>
          <w:p>
            <w:pPr>
              <w:widowControl w:val="0"/>
              <w:spacing w:after="0" w:line="240" w:lineRule="auto"/>
              <w:jc w:val="center"/>
              <w:rPr>
                <w:rFonts w:hint="eastAsia" w:ascii="仿宋_GB2312" w:hAnsi="Verdana" w:eastAsia="仿宋_GB2312" w:cs="宋体"/>
                <w:sz w:val="28"/>
                <w:szCs w:val="28"/>
                <w:vertAlign w:val="baseline"/>
                <w:lang w:eastAsia="zh-CN"/>
              </w:rPr>
            </w:pPr>
            <w:r>
              <w:rPr>
                <w:rFonts w:hint="eastAsia" w:ascii="仿宋_GB2312" w:hAnsi="Verdana" w:eastAsia="仿宋_GB2312" w:cs="宋体"/>
                <w:sz w:val="28"/>
                <w:szCs w:val="28"/>
                <w:vertAlign w:val="baseline"/>
                <w:lang w:eastAsia="zh-CN"/>
              </w:rPr>
              <w:drawing>
                <wp:inline distT="0" distB="0" distL="114300" distR="114300">
                  <wp:extent cx="2964815" cy="2223770"/>
                  <wp:effectExtent l="0" t="0" r="6985" b="5080"/>
                  <wp:docPr id="28" name="图片 28" descr="IMG2022011910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20119105707"/>
                          <pic:cNvPicPr>
                            <a:picLocks noChangeAspect="1"/>
                          </pic:cNvPicPr>
                        </pic:nvPicPr>
                        <pic:blipFill>
                          <a:blip r:embed="rId8"/>
                          <a:stretch>
                            <a:fillRect/>
                          </a:stretch>
                        </pic:blipFill>
                        <pic:spPr>
                          <a:xfrm>
                            <a:off x="0" y="0"/>
                            <a:ext cx="2964815" cy="2223770"/>
                          </a:xfrm>
                          <a:prstGeom prst="rect">
                            <a:avLst/>
                          </a:prstGeom>
                        </pic:spPr>
                      </pic:pic>
                    </a:graphicData>
                  </a:graphic>
                </wp:inline>
              </w:drawing>
            </w:r>
          </w:p>
        </w:tc>
        <w:tc>
          <w:tcPr>
            <w:tcW w:w="4889" w:type="dxa"/>
          </w:tcPr>
          <w:p>
            <w:pPr>
              <w:widowControl w:val="0"/>
              <w:spacing w:after="0" w:line="240" w:lineRule="auto"/>
              <w:jc w:val="center"/>
              <w:rPr>
                <w:rFonts w:hint="eastAsia" w:ascii="仿宋_GB2312" w:hAnsi="Verdana" w:eastAsia="仿宋_GB2312" w:cs="宋体"/>
                <w:sz w:val="28"/>
                <w:szCs w:val="28"/>
                <w:vertAlign w:val="baseline"/>
              </w:rPr>
            </w:pPr>
            <w:r>
              <w:drawing>
                <wp:inline distT="0" distB="0" distL="114300" distR="114300">
                  <wp:extent cx="2957830" cy="2218690"/>
                  <wp:effectExtent l="0" t="0" r="13970" b="1016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2957830" cy="22186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89" w:type="dxa"/>
          </w:tcPr>
          <w:p>
            <w:pPr>
              <w:widowControl w:val="0"/>
              <w:spacing w:after="0" w:line="240" w:lineRule="auto"/>
              <w:jc w:val="center"/>
              <w:rPr>
                <w:rFonts w:hint="default" w:ascii="仿宋_GB2312" w:hAnsi="Verdana" w:eastAsia="仿宋_GB2312" w:cs="宋体"/>
                <w:sz w:val="28"/>
                <w:szCs w:val="28"/>
                <w:vertAlign w:val="baseline"/>
                <w:lang w:val="en-US" w:eastAsia="zh-CN"/>
              </w:rPr>
            </w:pPr>
            <w:r>
              <w:rPr>
                <w:rFonts w:hint="eastAsia" w:ascii="仿宋_GB2312" w:hAnsi="Verdana" w:eastAsia="仿宋_GB2312" w:cs="宋体"/>
                <w:b w:val="0"/>
                <w:bCs w:val="0"/>
                <w:sz w:val="28"/>
                <w:szCs w:val="28"/>
                <w:lang w:val="en-US" w:eastAsia="zh-CN" w:bidi="ar-SA"/>
              </w:rPr>
              <w:t>部位为401，悬挂门牌为“4-1</w:t>
            </w:r>
            <w:r>
              <w:rPr>
                <w:rFonts w:hint="eastAsia" w:ascii="仿宋_GB2312" w:hAnsi="Verdana" w:eastAsia="仿宋_GB2312" w:cs="宋体"/>
                <w:sz w:val="28"/>
                <w:szCs w:val="28"/>
                <w:lang w:val="en-US" w:eastAsia="zh-CN" w:bidi="ar-SA"/>
              </w:rPr>
              <w:t>”</w:t>
            </w:r>
          </w:p>
        </w:tc>
        <w:tc>
          <w:tcPr>
            <w:tcW w:w="4889" w:type="dxa"/>
          </w:tcPr>
          <w:p>
            <w:pPr>
              <w:widowControl w:val="0"/>
              <w:spacing w:after="0" w:line="240" w:lineRule="auto"/>
              <w:jc w:val="center"/>
              <w:rPr>
                <w:rFonts w:hint="default" w:eastAsia="宋体"/>
                <w:lang w:val="en-US" w:eastAsia="zh-CN"/>
              </w:rPr>
            </w:pPr>
            <w:r>
              <w:rPr>
                <w:rFonts w:hint="eastAsia" w:ascii="仿宋_GB2312" w:hAnsi="Verdana" w:eastAsia="仿宋_GB2312" w:cs="宋体"/>
                <w:sz w:val="28"/>
                <w:szCs w:val="28"/>
                <w:lang w:val="en-US" w:eastAsia="zh-CN" w:bidi="ar-SA"/>
              </w:rPr>
              <w:t>红框内（估价对象-附房）</w:t>
            </w:r>
          </w:p>
        </w:tc>
      </w:tr>
    </w:tbl>
    <w:p>
      <w:pPr>
        <w:widowControl w:val="0"/>
        <w:spacing w:after="0" w:line="540" w:lineRule="exact"/>
        <w:ind w:firstLine="560" w:firstLineChars="200"/>
        <w:jc w:val="both"/>
        <w:rPr>
          <w:rFonts w:ascii="仿宋_GB2312" w:hAnsi="Verdana" w:eastAsia="仿宋_GB2312" w:cs="宋体"/>
          <w:sz w:val="28"/>
          <w:szCs w:val="28"/>
        </w:rPr>
      </w:pPr>
      <w:r>
        <w:rPr>
          <w:rFonts w:hint="eastAsia" w:ascii="仿宋_GB2312" w:hAnsi="Verdana" w:eastAsia="仿宋_GB2312" w:cs="宋体"/>
          <w:sz w:val="28"/>
          <w:szCs w:val="28"/>
        </w:rPr>
        <w:t>5、依据不足假设</w:t>
      </w:r>
    </w:p>
    <w:p>
      <w:pPr>
        <w:widowControl w:val="0"/>
        <w:spacing w:after="0" w:line="540" w:lineRule="exact"/>
        <w:ind w:firstLine="560" w:firstLineChars="200"/>
        <w:rPr>
          <w:rFonts w:hint="eastAsia" w:ascii="仿宋_GB2312" w:hAnsi="Verdana" w:eastAsia="仿宋_GB2312" w:cs="宋体"/>
          <w:sz w:val="28"/>
          <w:szCs w:val="28"/>
        </w:rPr>
      </w:pPr>
      <w:r>
        <w:rPr>
          <w:rFonts w:hint="eastAsia" w:ascii="仿宋_GB2312" w:hAnsi="Verdana" w:eastAsia="仿宋_GB2312" w:cs="宋体"/>
          <w:sz w:val="28"/>
          <w:szCs w:val="28"/>
        </w:rPr>
        <w:t>估价委托人提供的相应估价资料，注册房地产估价师进行了尽职调查，估价对象状况的相关依据充分，无依据不足假设。</w:t>
      </w:r>
    </w:p>
    <w:p>
      <w:pPr>
        <w:widowControl w:val="0"/>
        <w:spacing w:after="0" w:line="540" w:lineRule="exact"/>
        <w:ind w:firstLine="562" w:firstLineChars="200"/>
        <w:rPr>
          <w:rFonts w:ascii="仿宋_GB2312" w:hAnsi="宋体" w:eastAsia="仿宋_GB2312"/>
          <w:b/>
          <w:sz w:val="28"/>
          <w:szCs w:val="28"/>
        </w:rPr>
      </w:pPr>
      <w:r>
        <w:rPr>
          <w:rFonts w:hint="eastAsia" w:ascii="仿宋_GB2312" w:hAnsi="宋体" w:eastAsia="仿宋_GB2312"/>
          <w:b/>
          <w:sz w:val="28"/>
          <w:szCs w:val="28"/>
        </w:rPr>
        <w:t>二、估价限制条件</w:t>
      </w:r>
    </w:p>
    <w:p>
      <w:pPr>
        <w:widowControl w:val="0"/>
        <w:spacing w:after="0" w:line="500" w:lineRule="exact"/>
        <w:ind w:firstLine="560" w:firstLineChars="200"/>
        <w:rPr>
          <w:rFonts w:ascii="仿宋_GB2312" w:hAnsi="宋体" w:eastAsia="仿宋_GB2312"/>
          <w:sz w:val="28"/>
          <w:szCs w:val="28"/>
        </w:rPr>
      </w:pPr>
      <w:r>
        <w:rPr>
          <w:rFonts w:hint="eastAsia" w:ascii="仿宋_GB2312" w:hAnsi="宋体" w:eastAsia="仿宋_GB2312"/>
          <w:sz w:val="28"/>
          <w:szCs w:val="28"/>
        </w:rPr>
        <w:t>1、</w:t>
      </w:r>
      <w:r>
        <w:rPr>
          <w:rFonts w:hint="eastAsia" w:ascii="仿宋_GB2312" w:hAnsi="宋体" w:eastAsia="仿宋_GB2312"/>
          <w:bCs/>
          <w:sz w:val="28"/>
          <w:szCs w:val="28"/>
        </w:rPr>
        <w:t>本报告依据《</w:t>
      </w:r>
      <w:r>
        <w:rPr>
          <w:rFonts w:hint="eastAsia" w:ascii="仿宋_GB2312" w:hAnsi="宋体" w:eastAsia="仿宋_GB2312"/>
          <w:bCs/>
          <w:sz w:val="28"/>
          <w:szCs w:val="28"/>
          <w:lang w:eastAsia="zh-CN"/>
        </w:rPr>
        <w:t>莱西市人民法院</w:t>
      </w:r>
      <w:r>
        <w:rPr>
          <w:rFonts w:hint="eastAsia" w:ascii="仿宋_GB2312" w:hAnsi="宋体" w:eastAsia="仿宋_GB2312"/>
          <w:bCs/>
          <w:sz w:val="28"/>
          <w:szCs w:val="28"/>
        </w:rPr>
        <w:t>委托书》（</w:t>
      </w:r>
      <w:r>
        <w:rPr>
          <w:rFonts w:hint="eastAsia" w:ascii="仿宋_GB2312" w:hAnsi="宋体" w:eastAsia="仿宋_GB2312"/>
          <w:bCs/>
          <w:sz w:val="28"/>
          <w:szCs w:val="28"/>
          <w:lang w:eastAsia="zh-CN"/>
        </w:rPr>
        <w:t>（2021）鲁0285执3500号</w:t>
      </w:r>
      <w:r>
        <w:rPr>
          <w:rFonts w:hint="eastAsia" w:ascii="仿宋_GB2312" w:hAnsi="宋体" w:eastAsia="仿宋_GB2312"/>
          <w:bCs/>
          <w:sz w:val="28"/>
          <w:szCs w:val="28"/>
        </w:rPr>
        <w:t>）的委托内容进行评估，评估范围根据《</w:t>
      </w:r>
      <w:r>
        <w:rPr>
          <w:rFonts w:hint="eastAsia" w:ascii="仿宋_GB2312" w:hAnsi="宋体" w:eastAsia="仿宋_GB2312"/>
          <w:bCs/>
          <w:sz w:val="28"/>
          <w:szCs w:val="28"/>
          <w:lang w:eastAsia="zh-CN"/>
        </w:rPr>
        <w:t>莱西市人民法院</w:t>
      </w:r>
      <w:r>
        <w:rPr>
          <w:rFonts w:hint="eastAsia" w:ascii="仿宋_GB2312" w:hAnsi="宋体" w:eastAsia="仿宋_GB2312"/>
          <w:bCs/>
          <w:sz w:val="28"/>
          <w:szCs w:val="28"/>
        </w:rPr>
        <w:t>委托书》（</w:t>
      </w:r>
      <w:r>
        <w:rPr>
          <w:rFonts w:hint="eastAsia" w:ascii="仿宋_GB2312" w:hAnsi="宋体" w:eastAsia="仿宋_GB2312"/>
          <w:bCs/>
          <w:sz w:val="28"/>
          <w:szCs w:val="28"/>
          <w:lang w:eastAsia="zh-CN"/>
        </w:rPr>
        <w:t>（2021）鲁0285执3500号</w:t>
      </w:r>
      <w:r>
        <w:rPr>
          <w:rFonts w:hint="eastAsia" w:ascii="仿宋_GB2312" w:hAnsi="宋体" w:eastAsia="仿宋_GB2312"/>
          <w:bCs/>
          <w:sz w:val="28"/>
          <w:szCs w:val="28"/>
        </w:rPr>
        <w:t>）确认。估价对象的建筑面积、</w:t>
      </w:r>
      <w:r>
        <w:rPr>
          <w:rFonts w:hint="eastAsia" w:ascii="仿宋_GB2312" w:hAnsi="宋体" w:eastAsia="仿宋_GB2312"/>
          <w:bCs/>
          <w:sz w:val="28"/>
          <w:szCs w:val="28"/>
          <w:lang w:val="en-US" w:eastAsia="zh-CN"/>
        </w:rPr>
        <w:t>建成年代、土地状况、权属状况</w:t>
      </w:r>
      <w:r>
        <w:rPr>
          <w:rFonts w:hint="eastAsia" w:ascii="仿宋_GB2312" w:hAnsi="宋体" w:eastAsia="仿宋_GB2312"/>
          <w:bCs/>
          <w:sz w:val="28"/>
          <w:szCs w:val="28"/>
        </w:rPr>
        <w:t>等依据估价委托人所提供的</w:t>
      </w:r>
      <w:r>
        <w:rPr>
          <w:rFonts w:hint="eastAsia" w:ascii="仿宋_GB2312" w:hAnsi="宋体" w:eastAsia="仿宋_GB2312"/>
          <w:sz w:val="28"/>
          <w:szCs w:val="28"/>
          <w:lang w:eastAsia="zh-CN"/>
        </w:rPr>
        <w:t>《不动产交易登记信息（现势不含历史）查询结果证明》（证明编号：</w:t>
      </w:r>
      <w:r>
        <w:rPr>
          <w:rFonts w:hint="eastAsia" w:ascii="仿宋_GB2312" w:hAnsi="宋体" w:eastAsia="仿宋_GB2312"/>
          <w:sz w:val="28"/>
          <w:szCs w:val="28"/>
          <w:lang w:val="en-US" w:eastAsia="zh-CN"/>
        </w:rPr>
        <w:t>21112201264590</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及当事人提供的并经委托人确认的</w:t>
      </w:r>
      <w:r>
        <w:rPr>
          <w:rFonts w:hint="eastAsia" w:ascii="仿宋_GB2312" w:hAnsi="宋体" w:eastAsia="仿宋_GB2312"/>
          <w:bCs/>
          <w:sz w:val="28"/>
          <w:szCs w:val="28"/>
          <w:lang w:eastAsia="zh-CN"/>
        </w:rPr>
        <w:t>《中华人民共和国房地产权证》（青房地权市字第2013142446号）</w:t>
      </w:r>
      <w:r>
        <w:rPr>
          <w:rFonts w:hint="eastAsia" w:ascii="仿宋_GB2312" w:hAnsi="宋体" w:eastAsia="仿宋_GB2312"/>
          <w:bCs/>
          <w:sz w:val="28"/>
          <w:szCs w:val="28"/>
        </w:rPr>
        <w:t>数据为准</w:t>
      </w:r>
      <w:r>
        <w:rPr>
          <w:rFonts w:hint="eastAsia" w:ascii="仿宋_GB2312" w:hAnsi="宋体" w:eastAsia="仿宋_GB2312"/>
          <w:sz w:val="28"/>
          <w:szCs w:val="28"/>
        </w:rPr>
        <w:t>。</w:t>
      </w:r>
    </w:p>
    <w:p>
      <w:pPr>
        <w:widowControl w:val="0"/>
        <w:spacing w:after="0" w:line="540" w:lineRule="exact"/>
        <w:ind w:firstLine="560" w:firstLineChars="200"/>
        <w:jc w:val="both"/>
        <w:rPr>
          <w:rFonts w:ascii="仿宋_GB2312" w:hAnsi="仿宋" w:eastAsia="仿宋_GB2312"/>
          <w:sz w:val="28"/>
          <w:szCs w:val="28"/>
        </w:rPr>
      </w:pPr>
      <w:r>
        <w:rPr>
          <w:rFonts w:hint="eastAsia" w:ascii="仿宋_GB2312" w:hAnsi="宋体" w:eastAsia="仿宋_GB2312"/>
          <w:sz w:val="28"/>
          <w:szCs w:val="28"/>
        </w:rPr>
        <w:t>2、本报告有效期为自报告出具之日起一年内有效（自</w:t>
      </w:r>
      <w:r>
        <w:rPr>
          <w:rFonts w:hint="eastAsia" w:ascii="仿宋_GB2312" w:hAnsi="宋体" w:eastAsia="仿宋_GB2312"/>
          <w:sz w:val="28"/>
          <w:szCs w:val="28"/>
          <w:lang w:eastAsia="zh-CN"/>
        </w:rPr>
        <w:t>2022年1月26日</w:t>
      </w:r>
      <w:r>
        <w:rPr>
          <w:rFonts w:hint="eastAsia" w:ascii="仿宋_GB2312" w:hAnsi="宋体" w:eastAsia="仿宋_GB2312"/>
          <w:sz w:val="28"/>
          <w:szCs w:val="28"/>
        </w:rPr>
        <w:t>至</w:t>
      </w:r>
      <w:r>
        <w:rPr>
          <w:rFonts w:hint="eastAsia" w:ascii="仿宋_GB2312" w:hAnsi="宋体" w:eastAsia="仿宋_GB2312"/>
          <w:sz w:val="28"/>
          <w:szCs w:val="28"/>
          <w:lang w:eastAsia="zh-CN"/>
        </w:rPr>
        <w:t>2023年1月2</w:t>
      </w:r>
      <w:r>
        <w:rPr>
          <w:rFonts w:hint="eastAsia" w:ascii="仿宋_GB2312" w:hAnsi="宋体" w:eastAsia="仿宋_GB2312"/>
          <w:sz w:val="28"/>
          <w:szCs w:val="28"/>
          <w:lang w:val="en-US" w:eastAsia="zh-CN"/>
        </w:rPr>
        <w:t>5</w:t>
      </w:r>
      <w:r>
        <w:rPr>
          <w:rFonts w:hint="eastAsia" w:ascii="仿宋_GB2312" w:hAnsi="宋体" w:eastAsia="仿宋_GB2312"/>
          <w:sz w:val="28"/>
          <w:szCs w:val="28"/>
          <w:lang w:eastAsia="zh-CN"/>
        </w:rPr>
        <w:t>日</w:t>
      </w:r>
      <w:r>
        <w:rPr>
          <w:rFonts w:hint="eastAsia" w:ascii="仿宋_GB2312" w:hAnsi="仿宋" w:eastAsia="仿宋_GB2312"/>
          <w:sz w:val="28"/>
          <w:szCs w:val="28"/>
        </w:rPr>
        <w:t>）。</w:t>
      </w:r>
    </w:p>
    <w:p>
      <w:pPr>
        <w:widowControl w:val="0"/>
        <w:spacing w:after="0" w:line="540" w:lineRule="exact"/>
        <w:ind w:firstLine="560" w:firstLineChars="200"/>
        <w:jc w:val="both"/>
        <w:rPr>
          <w:rFonts w:ascii="仿宋_GB2312" w:hAnsi="仿宋" w:eastAsia="仿宋_GB2312"/>
          <w:sz w:val="28"/>
          <w:szCs w:val="28"/>
        </w:rPr>
      </w:pPr>
      <w:r>
        <w:rPr>
          <w:rFonts w:hint="eastAsia" w:ascii="仿宋_GB2312" w:hAnsi="仿宋" w:eastAsia="仿宋_GB2312"/>
          <w:sz w:val="28"/>
          <w:szCs w:val="28"/>
        </w:rPr>
        <w:t>3、本次估价结果涉及的交易过程中产生的税费按照法律法规规定缴纳方式评估，即转让人和买受人各自负担。</w:t>
      </w:r>
    </w:p>
    <w:p>
      <w:pPr>
        <w:widowControl w:val="0"/>
        <w:spacing w:after="0" w:line="540" w:lineRule="exact"/>
        <w:ind w:firstLine="560" w:firstLineChars="200"/>
        <w:jc w:val="both"/>
        <w:rPr>
          <w:rFonts w:ascii="仿宋_GB2312" w:hAnsi="仿宋" w:eastAsia="仿宋_GB2312"/>
          <w:sz w:val="28"/>
          <w:szCs w:val="28"/>
        </w:rPr>
      </w:pPr>
      <w:r>
        <w:rPr>
          <w:rFonts w:hint="eastAsia" w:ascii="仿宋_GB2312" w:hAnsi="仿宋" w:eastAsia="仿宋_GB2312"/>
          <w:sz w:val="28"/>
          <w:szCs w:val="28"/>
        </w:rPr>
        <w:t>4、报告有效期内若国家政策、经济环境及估价对象本身状况等因素和本报告的假设前提条件发生重大变动，且这些变动会对估价结果产生重大影响时，本报告无效，应重新评估其价值，同时本次评估的估价结果未考虑未来处置风险。</w:t>
      </w:r>
    </w:p>
    <w:p>
      <w:pPr>
        <w:widowControl w:val="0"/>
        <w:spacing w:after="0" w:line="540" w:lineRule="exact"/>
        <w:ind w:firstLine="560" w:firstLineChars="200"/>
        <w:jc w:val="both"/>
        <w:rPr>
          <w:rFonts w:ascii="仿宋_GB2312" w:hAnsi="仿宋" w:eastAsia="仿宋_GB2312"/>
          <w:sz w:val="28"/>
          <w:szCs w:val="28"/>
        </w:rPr>
      </w:pPr>
      <w:r>
        <w:rPr>
          <w:rFonts w:hint="eastAsia" w:ascii="仿宋_GB2312" w:hAnsi="仿宋" w:eastAsia="仿宋_GB2312"/>
          <w:sz w:val="28"/>
          <w:szCs w:val="28"/>
        </w:rPr>
        <w:t>5、发现本报告的文字或数据因打印或其他原因出现误差时，请通知本公司进行更正；估价师应该对估价报告中发生的数据误差进行合理解释。</w:t>
      </w:r>
    </w:p>
    <w:p>
      <w:pPr>
        <w:widowControl w:val="0"/>
        <w:spacing w:after="0" w:line="540" w:lineRule="exact"/>
        <w:ind w:firstLine="560" w:firstLineChars="200"/>
        <w:jc w:val="both"/>
        <w:rPr>
          <w:rFonts w:ascii="仿宋_GB2312" w:hAnsi="仿宋" w:eastAsia="仿宋_GB2312"/>
          <w:sz w:val="28"/>
          <w:szCs w:val="28"/>
        </w:rPr>
      </w:pPr>
      <w:r>
        <w:rPr>
          <w:rFonts w:hint="eastAsia" w:ascii="仿宋_GB2312" w:hAnsi="仿宋" w:eastAsia="仿宋_GB2312"/>
          <w:sz w:val="28"/>
          <w:szCs w:val="28"/>
        </w:rPr>
        <w:t>6、本报告有效期内，只为确定的评估目的服务，不得用于其他目的，未经评估机构同意，本报告书的全部或部分内容不得向估价委托人和评估机构审查部门之外的单位和个人提供，也不得发表于任何公开媒体。</w:t>
      </w:r>
    </w:p>
    <w:p>
      <w:pPr>
        <w:widowControl w:val="0"/>
        <w:spacing w:after="0" w:line="540" w:lineRule="exact"/>
        <w:ind w:firstLine="560" w:firstLineChars="200"/>
        <w:jc w:val="both"/>
        <w:rPr>
          <w:rFonts w:ascii="仿宋_GB2312" w:hAnsi="宋体" w:eastAsia="仿宋_GB2312"/>
          <w:sz w:val="28"/>
          <w:szCs w:val="28"/>
        </w:rPr>
      </w:pPr>
      <w:r>
        <w:rPr>
          <w:rFonts w:hint="eastAsia" w:ascii="仿宋_GB2312" w:hAnsi="仿宋" w:eastAsia="仿宋_GB2312"/>
          <w:sz w:val="28"/>
          <w:szCs w:val="28"/>
        </w:rPr>
        <w:t>7、本报告书由“致估价委托人函”“估价师声明”“估价假设和限制条件”“估价结果报告”和“附件”构成完整的估价报告。报告使用人应严格按照本报告全部完整地使用，我们不对任何割离和复印使用的应用行为负责。本报告经法定代表人签字，注册房地产估价师签字，评</w:t>
      </w:r>
      <w:r>
        <w:rPr>
          <w:rFonts w:hint="eastAsia" w:ascii="仿宋_GB2312" w:hAnsi="宋体" w:eastAsia="仿宋_GB2312"/>
          <w:sz w:val="28"/>
          <w:szCs w:val="28"/>
        </w:rPr>
        <w:t>估机构盖章作为一个整体时有效。</w:t>
      </w:r>
    </w:p>
    <w:p>
      <w:pPr>
        <w:widowControl w:val="0"/>
        <w:spacing w:after="0" w:line="500" w:lineRule="exact"/>
        <w:ind w:firstLine="560" w:firstLineChars="200"/>
        <w:rPr>
          <w:rFonts w:ascii="仿宋_GB2312" w:hAnsi="Verdana" w:eastAsia="仿宋_GB2312" w:cs="宋体"/>
          <w:sz w:val="28"/>
          <w:szCs w:val="28"/>
        </w:rPr>
      </w:pPr>
      <w:r>
        <w:rPr>
          <w:rFonts w:hint="eastAsia" w:ascii="仿宋_GB2312" w:hAnsi="宋体" w:eastAsia="仿宋_GB2312"/>
          <w:sz w:val="28"/>
          <w:szCs w:val="28"/>
        </w:rPr>
        <w:t>8、</w:t>
      </w:r>
      <w:r>
        <w:rPr>
          <w:rFonts w:hint="eastAsia" w:ascii="仿宋_GB2312" w:hAnsi="Verdana" w:eastAsia="仿宋_GB2312" w:cs="宋体"/>
          <w:sz w:val="28"/>
          <w:szCs w:val="28"/>
        </w:rPr>
        <w:t>本报告的解释权归青岛亚泰房地产评估咨询有限公司。</w:t>
      </w:r>
    </w:p>
    <w:p>
      <w:pPr>
        <w:widowControl w:val="0"/>
        <w:spacing w:line="560" w:lineRule="exact"/>
        <w:ind w:left="0" w:leftChars="0" w:firstLine="0" w:firstLineChars="0"/>
        <w:jc w:val="center"/>
        <w:rPr>
          <w:rFonts w:ascii="仿宋_GB2312" w:hAnsi="宋体" w:eastAsia="仿宋_GB2312"/>
          <w:b/>
          <w:bCs/>
          <w:sz w:val="32"/>
          <w:szCs w:val="32"/>
        </w:rPr>
      </w:pPr>
      <w:r>
        <w:rPr>
          <w:rFonts w:ascii="仿宋_GB2312" w:hAnsi="宋体" w:eastAsia="仿宋_GB2312"/>
          <w:b/>
          <w:bCs/>
          <w:sz w:val="32"/>
        </w:rPr>
        <w:br w:type="page"/>
      </w:r>
      <w:bookmarkStart w:id="36" w:name="_Toc135541820"/>
      <w:bookmarkStart w:id="37" w:name="_Toc135021308"/>
      <w:bookmarkStart w:id="38" w:name="_Toc135021595"/>
      <w:bookmarkStart w:id="39" w:name="_Toc135020955"/>
      <w:bookmarkStart w:id="40" w:name="_Toc135021029"/>
      <w:bookmarkStart w:id="41" w:name="_Toc135021212"/>
      <w:r>
        <w:rPr>
          <w:rFonts w:hint="eastAsia" w:ascii="仿宋_GB2312" w:hAnsi="宋体" w:eastAsia="仿宋_GB2312"/>
          <w:b/>
          <w:bCs/>
          <w:sz w:val="32"/>
          <w:szCs w:val="32"/>
          <w:lang w:eastAsia="zh-CN"/>
        </w:rPr>
        <w:t>山东省青岛莱西市红岛中路7号上海花苑E3#楼3单元401户（含附房）涉执住宅</w:t>
      </w:r>
      <w:r>
        <w:rPr>
          <w:rFonts w:hint="eastAsia" w:ascii="仿宋_GB2312" w:hAnsi="宋体" w:eastAsia="仿宋_GB2312"/>
          <w:b/>
          <w:bCs/>
          <w:sz w:val="32"/>
          <w:szCs w:val="32"/>
        </w:rPr>
        <w:t>房地产处置司法评估</w:t>
      </w:r>
    </w:p>
    <w:p>
      <w:pPr>
        <w:pStyle w:val="3"/>
        <w:keepNext w:val="0"/>
        <w:keepLines w:val="0"/>
        <w:widowControl w:val="0"/>
        <w:ind w:firstLine="643" w:firstLineChars="200"/>
        <w:jc w:val="center"/>
        <w:rPr>
          <w:rFonts w:ascii="仿宋_GB2312" w:eastAsia="仿宋_GB2312"/>
          <w:color w:val="auto"/>
          <w:sz w:val="32"/>
          <w:szCs w:val="32"/>
        </w:rPr>
      </w:pPr>
      <w:bookmarkStart w:id="42" w:name="_Toc4271"/>
      <w:bookmarkStart w:id="43" w:name="_Toc7406"/>
      <w:bookmarkStart w:id="44" w:name="_Toc340240488"/>
      <w:r>
        <w:rPr>
          <w:rFonts w:hint="eastAsia" w:ascii="仿宋_GB2312" w:hAnsi="宋体" w:eastAsia="仿宋_GB2312"/>
          <w:b/>
          <w:bCs/>
          <w:color w:val="auto"/>
          <w:sz w:val="32"/>
          <w:szCs w:val="32"/>
        </w:rPr>
        <w:t>估 价 结 果 报 告</w:t>
      </w:r>
      <w:bookmarkEnd w:id="36"/>
      <w:bookmarkEnd w:id="37"/>
      <w:bookmarkEnd w:id="38"/>
      <w:bookmarkEnd w:id="39"/>
      <w:bookmarkEnd w:id="40"/>
      <w:bookmarkEnd w:id="41"/>
      <w:bookmarkEnd w:id="42"/>
      <w:bookmarkEnd w:id="43"/>
      <w:bookmarkEnd w:id="44"/>
    </w:p>
    <w:p>
      <w:pPr>
        <w:widowControl w:val="0"/>
        <w:ind w:firstLine="560" w:firstLineChars="200"/>
        <w:jc w:val="right"/>
        <w:rPr>
          <w:rFonts w:hint="eastAsia" w:ascii="仿宋_GB2312" w:eastAsia="仿宋_GB2312"/>
          <w:sz w:val="28"/>
          <w:szCs w:val="28"/>
          <w:lang w:eastAsia="zh-CN"/>
        </w:rPr>
      </w:pPr>
      <w:r>
        <w:rPr>
          <w:rFonts w:hint="eastAsia" w:ascii="仿宋_GB2312" w:eastAsia="仿宋_GB2312"/>
          <w:sz w:val="28"/>
          <w:szCs w:val="28"/>
        </w:rPr>
        <w:t>报告编号：</w:t>
      </w:r>
      <w:r>
        <w:rPr>
          <w:rFonts w:hint="eastAsia" w:ascii="仿宋_GB2312" w:eastAsia="仿宋_GB2312"/>
          <w:bCs/>
          <w:sz w:val="28"/>
          <w:szCs w:val="28"/>
          <w:lang w:eastAsia="zh-CN"/>
        </w:rPr>
        <w:t>青亚房估字【2022】第020号</w:t>
      </w:r>
    </w:p>
    <w:p>
      <w:pPr>
        <w:pStyle w:val="4"/>
        <w:keepNext w:val="0"/>
        <w:keepLines w:val="0"/>
        <w:widowControl w:val="0"/>
        <w:spacing w:before="0" w:line="530" w:lineRule="exact"/>
        <w:ind w:firstLine="562" w:firstLineChars="200"/>
        <w:rPr>
          <w:rFonts w:ascii="仿宋_GB2312" w:eastAsia="仿宋_GB2312"/>
          <w:b/>
          <w:color w:val="auto"/>
        </w:rPr>
      </w:pPr>
      <w:bookmarkStart w:id="45" w:name="_Toc16053"/>
      <w:bookmarkStart w:id="46" w:name="_Toc135020956"/>
      <w:bookmarkStart w:id="47" w:name="_Toc135541821"/>
      <w:bookmarkStart w:id="48" w:name="_Toc135021596"/>
      <w:bookmarkStart w:id="49" w:name="_Toc135021030"/>
      <w:bookmarkStart w:id="50" w:name="_Toc135021309"/>
      <w:bookmarkStart w:id="51" w:name="_Toc32005"/>
      <w:bookmarkStart w:id="52" w:name="_Toc340240489"/>
      <w:bookmarkStart w:id="53" w:name="_Toc135021213"/>
      <w:r>
        <w:rPr>
          <w:rFonts w:hint="eastAsia" w:ascii="仿宋_GB2312" w:eastAsia="仿宋_GB2312"/>
          <w:b/>
          <w:color w:val="auto"/>
        </w:rPr>
        <w:t>（一）估价委托人</w:t>
      </w:r>
      <w:bookmarkEnd w:id="45"/>
      <w:bookmarkEnd w:id="46"/>
      <w:bookmarkEnd w:id="47"/>
      <w:bookmarkEnd w:id="48"/>
      <w:bookmarkEnd w:id="49"/>
      <w:bookmarkEnd w:id="50"/>
      <w:bookmarkEnd w:id="51"/>
      <w:bookmarkEnd w:id="52"/>
      <w:bookmarkEnd w:id="53"/>
      <w:bookmarkStart w:id="54" w:name="_Toc135541822"/>
      <w:bookmarkStart w:id="55" w:name="_Toc135020957"/>
      <w:bookmarkStart w:id="56" w:name="_Toc135021310"/>
      <w:bookmarkStart w:id="57" w:name="_Toc135021214"/>
      <w:bookmarkStart w:id="58" w:name="_Toc135021031"/>
      <w:bookmarkStart w:id="59" w:name="_Toc135021597"/>
    </w:p>
    <w:p>
      <w:pPr>
        <w:widowControl w:val="0"/>
        <w:spacing w:after="0" w:line="530" w:lineRule="exact"/>
        <w:ind w:firstLine="440" w:firstLineChars="200"/>
        <w:rPr>
          <w:rFonts w:hint="eastAsia" w:ascii="仿宋_GB2312" w:eastAsia="仿宋_GB2312"/>
          <w:sz w:val="28"/>
          <w:szCs w:val="28"/>
          <w:lang w:eastAsia="zh-CN"/>
        </w:rPr>
      </w:pPr>
      <w:r>
        <w:rPr>
          <w:rFonts w:hint="eastAsia" w:ascii="仿宋_GB2312" w:eastAsia="仿宋_GB2312"/>
        </w:rPr>
        <w:t xml:space="preserve">     </w:t>
      </w:r>
      <w:r>
        <w:rPr>
          <w:rFonts w:hint="eastAsia" w:ascii="仿宋_GB2312" w:eastAsia="仿宋_GB2312"/>
          <w:sz w:val="28"/>
          <w:szCs w:val="28"/>
        </w:rPr>
        <w:t>名称：</w:t>
      </w:r>
      <w:r>
        <w:rPr>
          <w:rFonts w:hint="eastAsia" w:ascii="仿宋_GB2312" w:eastAsia="仿宋_GB2312"/>
          <w:sz w:val="28"/>
          <w:szCs w:val="28"/>
          <w:lang w:eastAsia="zh-CN"/>
        </w:rPr>
        <w:t>莱西市人民法院</w:t>
      </w:r>
    </w:p>
    <w:p>
      <w:pPr>
        <w:widowControl w:val="0"/>
        <w:spacing w:after="0" w:line="53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 xml:space="preserve">    地址：</w:t>
      </w:r>
      <w:r>
        <w:rPr>
          <w:rFonts w:hint="eastAsia" w:ascii="仿宋_GB2312" w:hAnsi="Times New Roman" w:eastAsia="仿宋_GB2312" w:cs="Times New Roman"/>
          <w:sz w:val="28"/>
          <w:szCs w:val="28"/>
          <w:lang w:eastAsia="zh-CN"/>
        </w:rPr>
        <w:t>山东省</w:t>
      </w:r>
      <w:r>
        <w:rPr>
          <w:rFonts w:hint="eastAsia" w:ascii="仿宋_GB2312" w:eastAsia="仿宋_GB2312" w:cs="Times New Roman"/>
          <w:sz w:val="28"/>
          <w:szCs w:val="28"/>
          <w:lang w:val="en-US" w:eastAsia="zh-CN"/>
        </w:rPr>
        <w:t>青岛</w:t>
      </w:r>
      <w:r>
        <w:rPr>
          <w:rFonts w:hint="eastAsia" w:ascii="仿宋_GB2312" w:hAnsi="Times New Roman" w:eastAsia="仿宋_GB2312" w:cs="Times New Roman"/>
          <w:sz w:val="28"/>
          <w:szCs w:val="28"/>
          <w:lang w:eastAsia="zh-CN"/>
        </w:rPr>
        <w:t>市</w:t>
      </w:r>
      <w:r>
        <w:rPr>
          <w:rFonts w:hint="eastAsia" w:ascii="仿宋_GB2312" w:eastAsia="仿宋_GB2312" w:cs="Times New Roman"/>
          <w:sz w:val="28"/>
          <w:szCs w:val="28"/>
          <w:lang w:val="en-US" w:eastAsia="zh-CN"/>
        </w:rPr>
        <w:t>莱西</w:t>
      </w:r>
      <w:r>
        <w:rPr>
          <w:rFonts w:hint="eastAsia" w:ascii="仿宋_GB2312" w:hAnsi="Times New Roman" w:eastAsia="仿宋_GB2312" w:cs="Times New Roman"/>
          <w:sz w:val="28"/>
          <w:szCs w:val="28"/>
          <w:lang w:eastAsia="zh-CN"/>
        </w:rPr>
        <w:t>市黄海路5号</w:t>
      </w:r>
    </w:p>
    <w:p>
      <w:pPr>
        <w:pStyle w:val="4"/>
        <w:keepNext w:val="0"/>
        <w:keepLines w:val="0"/>
        <w:widowControl w:val="0"/>
        <w:spacing w:before="0" w:line="530" w:lineRule="exact"/>
        <w:ind w:firstLine="562" w:firstLineChars="200"/>
        <w:rPr>
          <w:rFonts w:ascii="仿宋_GB2312" w:eastAsia="仿宋_GB2312"/>
          <w:b/>
          <w:bCs/>
          <w:color w:val="auto"/>
        </w:rPr>
      </w:pPr>
      <w:bookmarkStart w:id="60" w:name="_Toc340240490"/>
      <w:bookmarkStart w:id="61" w:name="_Toc30277"/>
      <w:bookmarkStart w:id="62" w:name="_Toc31691"/>
      <w:r>
        <w:rPr>
          <w:rFonts w:hint="eastAsia" w:ascii="仿宋_GB2312" w:eastAsia="仿宋_GB2312"/>
          <w:b/>
          <w:color w:val="auto"/>
        </w:rPr>
        <w:t>（二）</w:t>
      </w:r>
      <w:bookmarkEnd w:id="54"/>
      <w:bookmarkEnd w:id="55"/>
      <w:bookmarkEnd w:id="56"/>
      <w:bookmarkEnd w:id="57"/>
      <w:bookmarkEnd w:id="58"/>
      <w:bookmarkEnd w:id="59"/>
      <w:r>
        <w:rPr>
          <w:rFonts w:hint="eastAsia" w:ascii="仿宋_GB2312" w:eastAsia="仿宋_GB2312"/>
          <w:b/>
          <w:color w:val="auto"/>
        </w:rPr>
        <w:t>房地产估价机构</w:t>
      </w:r>
      <w:bookmarkEnd w:id="60"/>
      <w:bookmarkEnd w:id="61"/>
      <w:bookmarkEnd w:id="62"/>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房地产估价机构名称：青岛亚泰房地产评估咨询有限公司</w:t>
      </w:r>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房地产估价机构地址：青岛市市北区华阳路54号6033室</w:t>
      </w:r>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房地产估价机构备案证号：鲁评021027</w:t>
      </w:r>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房地产估价机构备案等级：壹级</w:t>
      </w:r>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法定代表人：孙鑫</w:t>
      </w:r>
    </w:p>
    <w:p>
      <w:pPr>
        <w:widowControl w:val="0"/>
        <w:spacing w:after="0" w:line="530" w:lineRule="exact"/>
        <w:ind w:left="-171" w:firstLine="560" w:firstLineChars="200"/>
        <w:rPr>
          <w:rFonts w:ascii="仿宋_GB2312" w:hAnsi="宋体" w:eastAsia="仿宋_GB2312"/>
          <w:sz w:val="28"/>
          <w:szCs w:val="28"/>
        </w:rPr>
      </w:pPr>
      <w:r>
        <w:rPr>
          <w:rFonts w:hint="eastAsia" w:ascii="仿宋_GB2312" w:hAnsi="宋体" w:eastAsia="仿宋_GB2312"/>
          <w:sz w:val="28"/>
          <w:szCs w:val="28"/>
        </w:rPr>
        <w:t xml:space="preserve">    联系电话：0532---82797152</w:t>
      </w:r>
    </w:p>
    <w:p>
      <w:pPr>
        <w:pStyle w:val="4"/>
        <w:keepNext w:val="0"/>
        <w:keepLines w:val="0"/>
        <w:widowControl w:val="0"/>
        <w:spacing w:before="0" w:line="530" w:lineRule="exact"/>
        <w:ind w:firstLine="562" w:firstLineChars="200"/>
        <w:rPr>
          <w:rFonts w:ascii="仿宋_GB2312" w:eastAsia="仿宋_GB2312"/>
          <w:b/>
          <w:bCs/>
          <w:color w:val="auto"/>
        </w:rPr>
      </w:pPr>
      <w:bookmarkStart w:id="63" w:name="_Toc20362"/>
      <w:bookmarkStart w:id="64" w:name="_Toc24161"/>
      <w:bookmarkStart w:id="65" w:name="_Toc135541823"/>
      <w:bookmarkStart w:id="66" w:name="_Toc135021598"/>
      <w:bookmarkStart w:id="67" w:name="_Toc135021032"/>
      <w:bookmarkStart w:id="68" w:name="_Toc135020958"/>
      <w:bookmarkStart w:id="69" w:name="_Toc135021311"/>
      <w:bookmarkStart w:id="70" w:name="_Toc340240491"/>
      <w:bookmarkStart w:id="71" w:name="_Toc135021215"/>
      <w:r>
        <w:rPr>
          <w:rFonts w:hint="eastAsia" w:ascii="仿宋_GB2312" w:eastAsia="仿宋_GB2312"/>
          <w:b/>
          <w:color w:val="auto"/>
        </w:rPr>
        <w:t>（三）估价目的</w:t>
      </w:r>
      <w:bookmarkEnd w:id="63"/>
      <w:bookmarkEnd w:id="64"/>
    </w:p>
    <w:bookmarkEnd w:id="65"/>
    <w:bookmarkEnd w:id="66"/>
    <w:bookmarkEnd w:id="67"/>
    <w:bookmarkEnd w:id="68"/>
    <w:bookmarkEnd w:id="69"/>
    <w:bookmarkEnd w:id="70"/>
    <w:bookmarkEnd w:id="71"/>
    <w:p>
      <w:pPr>
        <w:widowControl w:val="0"/>
        <w:spacing w:after="0" w:line="530" w:lineRule="exact"/>
        <w:ind w:left="-172" w:leftChars="-78" w:firstLine="560" w:firstLineChars="200"/>
        <w:rPr>
          <w:rFonts w:ascii="仿宋_GB2312" w:hAnsi="宋体" w:eastAsia="仿宋_GB2312"/>
          <w:sz w:val="28"/>
          <w:szCs w:val="28"/>
        </w:rPr>
      </w:pPr>
      <w:bookmarkStart w:id="72" w:name="_Toc135021599"/>
      <w:bookmarkStart w:id="73" w:name="_Toc340240492"/>
      <w:bookmarkStart w:id="74" w:name="_Toc135021216"/>
      <w:bookmarkStart w:id="75" w:name="_Toc135020959"/>
      <w:bookmarkStart w:id="76" w:name="_Toc135021033"/>
      <w:bookmarkStart w:id="77" w:name="_Toc135541824"/>
      <w:bookmarkStart w:id="78" w:name="_Toc135021312"/>
      <w:r>
        <w:rPr>
          <w:rFonts w:hint="eastAsia" w:ascii="仿宋_GB2312" w:hAnsi="宋体" w:eastAsia="仿宋_GB2312"/>
          <w:sz w:val="28"/>
          <w:szCs w:val="28"/>
        </w:rPr>
        <w:t>为人民法院确定财产处置参考价提供参考依据。</w:t>
      </w:r>
    </w:p>
    <w:p>
      <w:pPr>
        <w:pStyle w:val="4"/>
        <w:keepNext w:val="0"/>
        <w:keepLines w:val="0"/>
        <w:widowControl w:val="0"/>
        <w:spacing w:before="0" w:line="530" w:lineRule="exact"/>
        <w:ind w:firstLine="562" w:firstLineChars="200"/>
        <w:rPr>
          <w:rFonts w:ascii="仿宋_GB2312" w:eastAsia="仿宋_GB2312"/>
          <w:b/>
          <w:color w:val="auto"/>
        </w:rPr>
      </w:pPr>
      <w:bookmarkStart w:id="79" w:name="_Toc7300"/>
      <w:bookmarkStart w:id="80" w:name="_Toc16022"/>
      <w:r>
        <w:rPr>
          <w:rFonts w:hint="eastAsia" w:ascii="仿宋_GB2312" w:eastAsia="仿宋_GB2312"/>
          <w:b/>
          <w:color w:val="auto"/>
        </w:rPr>
        <w:t>（四）</w:t>
      </w:r>
      <w:bookmarkEnd w:id="72"/>
      <w:bookmarkEnd w:id="73"/>
      <w:bookmarkEnd w:id="74"/>
      <w:bookmarkEnd w:id="75"/>
      <w:bookmarkEnd w:id="76"/>
      <w:bookmarkEnd w:id="77"/>
      <w:bookmarkEnd w:id="78"/>
      <w:bookmarkStart w:id="81" w:name="_Toc135541825"/>
      <w:bookmarkStart w:id="82" w:name="_Toc135021313"/>
      <w:bookmarkStart w:id="83" w:name="_Toc135020960"/>
      <w:bookmarkStart w:id="84" w:name="_Toc135021600"/>
      <w:bookmarkStart w:id="85" w:name="_Toc135021217"/>
      <w:bookmarkStart w:id="86" w:name="_Toc135021034"/>
      <w:r>
        <w:rPr>
          <w:rFonts w:hint="eastAsia" w:ascii="仿宋_GB2312" w:eastAsia="仿宋_GB2312"/>
          <w:b/>
          <w:color w:val="auto"/>
        </w:rPr>
        <w:t>估价对象</w:t>
      </w:r>
      <w:bookmarkEnd w:id="79"/>
      <w:bookmarkEnd w:id="80"/>
      <w:r>
        <w:rPr>
          <w:rFonts w:hint="eastAsia" w:ascii="仿宋_GB2312" w:eastAsia="仿宋_GB2312"/>
          <w:b/>
          <w:color w:val="auto"/>
        </w:rPr>
        <w:t xml:space="preserve">  </w:t>
      </w:r>
    </w:p>
    <w:p>
      <w:pPr>
        <w:widowControl w:val="0"/>
        <w:spacing w:after="0" w:line="500" w:lineRule="exact"/>
        <w:ind w:firstLine="560" w:firstLineChars="200"/>
        <w:rPr>
          <w:rFonts w:hint="eastAsia" w:ascii="仿宋_GB2312" w:hAnsi="宋体" w:eastAsia="仿宋_GB2312"/>
          <w:sz w:val="28"/>
        </w:rPr>
      </w:pPr>
      <w:bookmarkStart w:id="87" w:name="_Hlk12968103"/>
      <w:r>
        <w:rPr>
          <w:rFonts w:hint="eastAsia" w:ascii="仿宋_GB2312" w:eastAsia="仿宋_GB2312"/>
          <w:color w:val="000000"/>
          <w:sz w:val="28"/>
          <w:szCs w:val="28"/>
        </w:rPr>
        <w:t>估价对象坐落为</w:t>
      </w:r>
      <w:r>
        <w:rPr>
          <w:rFonts w:hint="eastAsia" w:ascii="仿宋_GB2312" w:eastAsia="仿宋_GB2312"/>
          <w:sz w:val="28"/>
          <w:lang w:eastAsia="zh-CN"/>
        </w:rPr>
        <w:t>山东省青岛莱西市红岛中路7号上海花苑E3#楼3单元401户（含附房）</w:t>
      </w:r>
      <w:r>
        <w:rPr>
          <w:rFonts w:hint="eastAsia" w:ascii="仿宋_GB2312" w:hAnsi="宋体" w:eastAsia="仿宋_GB2312"/>
          <w:sz w:val="28"/>
        </w:rPr>
        <w:t>，根据</w:t>
      </w:r>
      <w:r>
        <w:rPr>
          <w:rFonts w:hint="eastAsia" w:ascii="仿宋_GB2312" w:hAnsi="宋体" w:eastAsia="仿宋_GB2312"/>
          <w:sz w:val="28"/>
          <w:lang w:eastAsia="zh-CN"/>
        </w:rPr>
        <w:t>《中华人民共和国房地产权证》（青房地权市字第2013142446号）</w:t>
      </w:r>
      <w:r>
        <w:rPr>
          <w:rFonts w:hint="eastAsia" w:ascii="仿宋_GB2312" w:hAnsi="宋体" w:eastAsia="仿宋_GB2312"/>
          <w:sz w:val="28"/>
        </w:rPr>
        <w:t>记载，估价对象情况如下:</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695"/>
        <w:gridCol w:w="2417"/>
        <w:gridCol w:w="736"/>
        <w:gridCol w:w="1805"/>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31" w:type="dxa"/>
            <w:gridSpan w:val="2"/>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房地产权利人</w:t>
            </w:r>
          </w:p>
        </w:tc>
        <w:tc>
          <w:tcPr>
            <w:tcW w:w="7347" w:type="dxa"/>
            <w:gridSpan w:val="4"/>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李林修、任冬梅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房地坐落</w:t>
            </w:r>
          </w:p>
        </w:tc>
        <w:tc>
          <w:tcPr>
            <w:tcW w:w="7347"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红岛中路7号上海花苑E3#楼3单元401户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共有情况</w:t>
            </w:r>
          </w:p>
        </w:tc>
        <w:tc>
          <w:tcPr>
            <w:tcW w:w="7347"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Borders>
              <w:top w:val="single" w:color="E1BC64" w:sz="8" w:space="0"/>
              <w:left w:val="single" w:color="E1BC64" w:sz="8" w:space="0"/>
              <w:bottom w:val="single" w:color="E1BC64" w:sz="8" w:space="0"/>
              <w:right w:val="single" w:color="E1BC64" w:sz="8" w:space="0"/>
            </w:tcBorders>
            <w:shd w:val="clear" w:color="auto" w:fill="FEFEFE"/>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房屋状况</w:t>
            </w:r>
          </w:p>
        </w:tc>
        <w:tc>
          <w:tcPr>
            <w:tcW w:w="169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建筑面积（㎡）</w:t>
            </w:r>
          </w:p>
        </w:tc>
        <w:tc>
          <w:tcPr>
            <w:tcW w:w="2417"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133.13</w:t>
            </w:r>
          </w:p>
        </w:tc>
        <w:tc>
          <w:tcPr>
            <w:tcW w:w="254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套内建筑面积（㎡）</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133.13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规划用途</w:t>
            </w:r>
          </w:p>
        </w:tc>
        <w:tc>
          <w:tcPr>
            <w:tcW w:w="2417"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居住</w:t>
            </w:r>
          </w:p>
        </w:tc>
        <w:tc>
          <w:tcPr>
            <w:tcW w:w="254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房屋性质</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tcBorders>
              <w:top w:val="single" w:color="E1BC64" w:sz="8" w:space="0"/>
              <w:left w:val="single" w:color="E1BC64" w:sz="8" w:space="0"/>
              <w:bottom w:val="single" w:color="E1BC64" w:sz="8" w:space="0"/>
              <w:right w:val="single" w:color="E1BC64" w:sz="8" w:space="0"/>
            </w:tcBorders>
            <w:shd w:val="clear" w:color="auto" w:fill="FEFEFE"/>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土地状况</w:t>
            </w:r>
          </w:p>
        </w:tc>
        <w:tc>
          <w:tcPr>
            <w:tcW w:w="169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地号</w:t>
            </w:r>
          </w:p>
        </w:tc>
        <w:tc>
          <w:tcPr>
            <w:tcW w:w="2417"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8500100080003000</w:t>
            </w:r>
          </w:p>
        </w:tc>
        <w:tc>
          <w:tcPr>
            <w:tcW w:w="254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土地用途</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城镇混合住宅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取得方式</w:t>
            </w:r>
          </w:p>
        </w:tc>
        <w:tc>
          <w:tcPr>
            <w:tcW w:w="2417"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出让</w:t>
            </w:r>
          </w:p>
        </w:tc>
        <w:tc>
          <w:tcPr>
            <w:tcW w:w="2541"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使用年限</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至2053年4月7日止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695" w:type="dxa"/>
            <w:vMerge w:val="restart"/>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val="en-US" w:eastAsia="zh-CN"/>
              </w:rPr>
            </w:pPr>
            <w:r>
              <w:rPr>
                <w:rFonts w:hint="eastAsia" w:ascii="仿宋_GB2312" w:eastAsia="仿宋_GB2312"/>
                <w:color w:val="000000"/>
                <w:sz w:val="18"/>
                <w:szCs w:val="18"/>
                <w:lang w:val="en-US" w:eastAsia="zh-CN"/>
              </w:rPr>
              <w:t>使用权面积</w:t>
            </w:r>
          </w:p>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w:t>
            </w:r>
          </w:p>
        </w:tc>
        <w:tc>
          <w:tcPr>
            <w:tcW w:w="2417"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57401.00</w:t>
            </w:r>
          </w:p>
        </w:tc>
        <w:tc>
          <w:tcPr>
            <w:tcW w:w="736" w:type="dxa"/>
            <w:vMerge w:val="restart"/>
            <w:tcBorders>
              <w:top w:val="single" w:color="E1BC64" w:sz="8" w:space="0"/>
              <w:left w:val="single" w:color="E1BC64" w:sz="8" w:space="0"/>
              <w:bottom w:val="single" w:color="E1BC64" w:sz="8" w:space="0"/>
              <w:right w:val="single" w:color="E1BC64" w:sz="8" w:space="0"/>
            </w:tcBorders>
            <w:shd w:val="clear" w:color="auto" w:fill="FEFEFE"/>
            <w:textDirection w:val="tbRlV"/>
          </w:tcPr>
          <w:p>
            <w:pPr>
              <w:widowControl w:val="0"/>
              <w:spacing w:after="0" w:line="520" w:lineRule="exact"/>
              <w:ind w:left="113" w:right="113"/>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其 中</w:t>
            </w:r>
          </w:p>
        </w:tc>
        <w:tc>
          <w:tcPr>
            <w:tcW w:w="180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独用面积（㎡）</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695"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2417"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80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分摊面积（㎡）</w:t>
            </w:r>
          </w:p>
        </w:tc>
        <w:tc>
          <w:tcPr>
            <w:tcW w:w="2389"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eastAsia" w:ascii="仿宋_GB2312" w:eastAsia="仿宋_GB2312"/>
                <w:color w:val="000000"/>
                <w:sz w:val="18"/>
                <w:szCs w:val="18"/>
                <w:lang w:eastAsia="zh-CN"/>
              </w:rPr>
            </w:pPr>
          </w:p>
        </w:tc>
        <w:tc>
          <w:tcPr>
            <w:tcW w:w="1695"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共用使用权面积（㎡）</w:t>
            </w:r>
          </w:p>
        </w:tc>
        <w:tc>
          <w:tcPr>
            <w:tcW w:w="7347"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jc w:val="center"/>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57401.00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8" w:type="dxa"/>
            <w:gridSpan w:val="6"/>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jc w:val="left"/>
              <w:rPr>
                <w:rFonts w:hint="eastAsia" w:ascii="仿宋_GB2312" w:hAnsi="Times New Roman" w:eastAsia="仿宋_GB2312" w:cs="Times New Roman"/>
                <w:color w:val="000000"/>
                <w:sz w:val="21"/>
                <w:szCs w:val="21"/>
                <w:lang w:val="en-US" w:eastAsia="zh-CN" w:bidi="ar-SA"/>
              </w:rPr>
            </w:pPr>
            <w:r>
              <w:rPr>
                <w:rFonts w:hint="eastAsia" w:ascii="仿宋_GB2312" w:hAnsi="Times New Roman" w:eastAsia="仿宋_GB2312" w:cs="Times New Roman"/>
                <w:color w:val="000000"/>
                <w:sz w:val="21"/>
                <w:szCs w:val="21"/>
                <w:lang w:val="en-US" w:eastAsia="zh-CN" w:bidi="ar-SA"/>
              </w:rPr>
              <w:t>存量房屋转移登记</w:t>
            </w:r>
          </w:p>
          <w:p>
            <w:pPr>
              <w:pStyle w:val="2"/>
              <w:widowControl w:val="0"/>
              <w:ind w:left="0" w:leftChars="0" w:firstLine="0" w:firstLineChars="0"/>
              <w:jc w:val="both"/>
              <w:rPr>
                <w:rFonts w:hint="eastAsia" w:ascii="仿宋_GB2312" w:hAnsi="Times New Roman" w:eastAsia="仿宋_GB2312" w:cs="Times New Roman"/>
                <w:color w:val="000000"/>
                <w:sz w:val="21"/>
                <w:szCs w:val="21"/>
                <w:lang w:val="en-US" w:eastAsia="zh-CN" w:bidi="ar-SA"/>
              </w:rPr>
            </w:pPr>
            <w:r>
              <w:rPr>
                <w:rFonts w:hint="eastAsia" w:ascii="仿宋_GB2312" w:hAnsi="Times New Roman" w:eastAsia="仿宋_GB2312" w:cs="Times New Roman"/>
                <w:color w:val="000000"/>
                <w:sz w:val="21"/>
                <w:szCs w:val="21"/>
                <w:lang w:val="en-US" w:eastAsia="zh-CN" w:bidi="ar-SA"/>
              </w:rPr>
              <w:t>买卖</w:t>
            </w:r>
          </w:p>
          <w:p>
            <w:pPr>
              <w:pStyle w:val="2"/>
              <w:widowControl w:val="0"/>
              <w:ind w:left="0" w:leftChars="0" w:firstLine="0" w:firstLineChars="0"/>
              <w:jc w:val="both"/>
              <w:rPr>
                <w:rFonts w:hint="eastAsia" w:ascii="仿宋_GB2312" w:hAnsi="Times New Roman" w:eastAsia="仿宋_GB2312" w:cs="Times New Roman"/>
                <w:color w:val="000000"/>
                <w:sz w:val="21"/>
                <w:szCs w:val="21"/>
                <w:lang w:val="en-US" w:eastAsia="zh-CN" w:bidi="ar-SA"/>
              </w:rPr>
            </w:pPr>
            <w:r>
              <w:rPr>
                <w:rFonts w:hint="eastAsia" w:ascii="仿宋_GB2312" w:hAnsi="Times New Roman" w:eastAsia="仿宋_GB2312" w:cs="Times New Roman"/>
                <w:color w:val="000000"/>
                <w:sz w:val="21"/>
                <w:szCs w:val="21"/>
                <w:lang w:val="en-US" w:eastAsia="zh-CN" w:bidi="ar-SA"/>
              </w:rPr>
              <w:t>共同共有，共有人李林修、任冬梅</w:t>
            </w:r>
          </w:p>
          <w:p>
            <w:pPr>
              <w:pStyle w:val="2"/>
              <w:widowControl w:val="0"/>
              <w:ind w:left="0" w:leftChars="0" w:firstLine="0" w:firstLineChars="0"/>
              <w:jc w:val="both"/>
              <w:rPr>
                <w:rFonts w:hint="default" w:ascii="仿宋_GB2312" w:eastAsia="仿宋_GB2312"/>
                <w:color w:val="000000"/>
                <w:sz w:val="18"/>
                <w:szCs w:val="18"/>
                <w:lang w:val="en-US" w:eastAsia="zh-CN"/>
              </w:rPr>
            </w:pPr>
            <w:r>
              <w:rPr>
                <w:rFonts w:hint="eastAsia" w:ascii="仿宋_GB2312" w:eastAsia="仿宋_GB2312"/>
                <w:color w:val="000000"/>
                <w:sz w:val="21"/>
                <w:szCs w:val="21"/>
                <w:lang w:val="en-US" w:eastAsia="zh-CN"/>
              </w:rPr>
              <w:t>附房：本单元东4户9.39平方米【数据迁移土地证信息，登记编号为200800160720，土地证号为西国用（2020）第0570号，登记类别为出让国有建设用地使用权初始登记，土地批准用途为城镇混合住宅，土地使用权类型为出让，土地使用开始日期为2003-04-08，土地使用结束日期为2053-04-07】</w:t>
            </w:r>
          </w:p>
        </w:tc>
      </w:tr>
    </w:tbl>
    <w:p>
      <w:pPr>
        <w:spacing w:after="0" w:line="500" w:lineRule="exact"/>
        <w:ind w:firstLine="560" w:firstLineChars="200"/>
        <w:rPr>
          <w:rFonts w:hint="eastAsia" w:ascii="仿宋_GB2312" w:hAnsi="仿宋" w:eastAsia="仿宋_GB2312"/>
          <w:sz w:val="28"/>
          <w:szCs w:val="28"/>
          <w:highlight w:val="none"/>
          <w:lang w:val="en-US" w:eastAsia="zh-CN"/>
        </w:rPr>
      </w:pPr>
      <w:r>
        <w:rPr>
          <w:rFonts w:hint="eastAsia" w:ascii="仿宋_GB2312" w:hAnsi="宋体" w:eastAsia="仿宋_GB2312"/>
          <w:sz w:val="28"/>
          <w:szCs w:val="28"/>
          <w:highlight w:val="none"/>
          <w:lang w:val="en-US" w:eastAsia="zh-CN"/>
        </w:rPr>
        <w:t>估价对象</w:t>
      </w:r>
      <w:r>
        <w:rPr>
          <w:rFonts w:hint="eastAsia" w:ascii="仿宋_GB2312" w:hAnsi="宋体" w:eastAsia="仿宋_GB2312"/>
          <w:sz w:val="28"/>
          <w:szCs w:val="28"/>
          <w:highlight w:val="none"/>
        </w:rPr>
        <w:t>产权明晰</w:t>
      </w:r>
      <w:r>
        <w:rPr>
          <w:rFonts w:hint="eastAsia" w:ascii="仿宋_GB2312" w:hAnsi="宋体" w:eastAsia="仿宋_GB2312"/>
          <w:sz w:val="28"/>
          <w:szCs w:val="28"/>
          <w:highlight w:val="none"/>
          <w:lang w:eastAsia="zh-CN"/>
        </w:rPr>
        <w:t>。</w:t>
      </w:r>
      <w:r>
        <w:rPr>
          <w:rFonts w:hint="eastAsia" w:ascii="仿宋_GB2312" w:eastAsia="仿宋_GB2312" w:cs="宋体"/>
          <w:sz w:val="28"/>
          <w:szCs w:val="28"/>
          <w:highlight w:val="none"/>
        </w:rPr>
        <w:t>根据</w:t>
      </w:r>
      <w:r>
        <w:rPr>
          <w:rFonts w:hint="eastAsia" w:ascii="仿宋_GB2312" w:eastAsia="仿宋_GB2312" w:cs="宋体"/>
          <w:sz w:val="28"/>
          <w:szCs w:val="28"/>
          <w:highlight w:val="none"/>
          <w:lang w:eastAsia="zh-CN"/>
        </w:rPr>
        <w:t>估价</w:t>
      </w:r>
      <w:r>
        <w:rPr>
          <w:rFonts w:hint="eastAsia" w:ascii="仿宋_GB2312" w:eastAsia="仿宋_GB2312" w:cs="宋体"/>
          <w:sz w:val="28"/>
          <w:szCs w:val="28"/>
          <w:highlight w:val="none"/>
        </w:rPr>
        <w:t>假设</w:t>
      </w:r>
      <w:r>
        <w:rPr>
          <w:rFonts w:hint="eastAsia" w:ascii="仿宋_GB2312" w:eastAsia="仿宋_GB2312" w:cs="宋体"/>
          <w:sz w:val="28"/>
          <w:szCs w:val="28"/>
          <w:highlight w:val="none"/>
          <w:lang w:eastAsia="zh-CN"/>
        </w:rPr>
        <w:t>与</w:t>
      </w:r>
      <w:r>
        <w:rPr>
          <w:rFonts w:hint="eastAsia" w:ascii="仿宋_GB2312" w:eastAsia="仿宋_GB2312" w:cs="宋体"/>
          <w:sz w:val="28"/>
          <w:szCs w:val="28"/>
          <w:highlight w:val="none"/>
        </w:rPr>
        <w:t>限制条件，本次评估</w:t>
      </w:r>
      <w:r>
        <w:rPr>
          <w:rFonts w:hint="eastAsia" w:ascii="仿宋_GB2312" w:hAnsi="仿宋" w:eastAsia="仿宋_GB2312"/>
          <w:sz w:val="28"/>
          <w:szCs w:val="28"/>
          <w:highlight w:val="none"/>
        </w:rPr>
        <w:t>假设估价对象</w:t>
      </w:r>
      <w:r>
        <w:rPr>
          <w:rFonts w:hint="eastAsia" w:ascii="仿宋_GB2312" w:hAnsi="仿宋" w:eastAsia="仿宋_GB2312"/>
          <w:sz w:val="28"/>
          <w:szCs w:val="28"/>
          <w:highlight w:val="none"/>
          <w:lang w:val="en-US" w:eastAsia="zh-CN"/>
        </w:rPr>
        <w:t>未设定查封及原有的担保物权和其他优先受偿权等他项权利，且未发生任何产权转移。</w:t>
      </w:r>
    </w:p>
    <w:p>
      <w:pPr>
        <w:keepNext w:val="0"/>
        <w:keepLines w:val="0"/>
        <w:pageBreakBefore/>
        <w:widowControl w:val="0"/>
        <w:kinsoku/>
        <w:wordWrap/>
        <w:overflowPunct/>
        <w:topLinePunct w:val="0"/>
        <w:autoSpaceDE/>
        <w:autoSpaceDN/>
        <w:bidi w:val="0"/>
        <w:adjustRightInd/>
        <w:snapToGrid/>
        <w:spacing w:after="0" w:line="500" w:lineRule="exact"/>
        <w:ind w:firstLine="562" w:firstLineChars="200"/>
        <w:textAlignment w:val="auto"/>
        <w:rPr>
          <w:rFonts w:ascii="仿宋_GB2312" w:hAnsi="宋体" w:eastAsia="仿宋_GB2312"/>
          <w:b/>
          <w:bCs/>
          <w:sz w:val="28"/>
        </w:rPr>
      </w:pPr>
      <w:r>
        <w:rPr>
          <w:rFonts w:hint="eastAsia" w:ascii="仿宋_GB2312" w:hAnsi="宋体" w:eastAsia="仿宋_GB2312"/>
          <w:b/>
          <w:bCs/>
          <w:sz w:val="28"/>
        </w:rPr>
        <w:t>1、区位状况</w:t>
      </w:r>
    </w:p>
    <w:tbl>
      <w:tblPr>
        <w:tblStyle w:val="51"/>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39" w:type="dxa"/>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s="宋体"/>
                <w:color w:val="000000"/>
                <w:sz w:val="28"/>
                <w:szCs w:val="28"/>
                <w:u w:val="single"/>
              </w:rPr>
              <w:t>区位介绍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953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firstLine="440" w:firstLineChars="200"/>
              <w:rPr>
                <w:rFonts w:ascii="仿宋_GB2312" w:eastAsia="仿宋_GB2312"/>
                <w:b/>
                <w:bCs/>
                <w:color w:val="000000"/>
                <w:sz w:val="24"/>
                <w:szCs w:val="24"/>
              </w:rPr>
            </w:pPr>
            <w:r>
              <w:rPr>
                <w:color w:val="000000"/>
              </w:rPr>
              <w:drawing>
                <wp:anchor distT="0" distB="0" distL="114300" distR="114300" simplePos="0" relativeHeight="251658240" behindDoc="0" locked="0" layoutInCell="1" allowOverlap="1">
                  <wp:simplePos x="0" y="0"/>
                  <wp:positionH relativeFrom="column">
                    <wp:posOffset>4245610</wp:posOffset>
                  </wp:positionH>
                  <wp:positionV relativeFrom="paragraph">
                    <wp:posOffset>290830</wp:posOffset>
                  </wp:positionV>
                  <wp:extent cx="1642110" cy="2097405"/>
                  <wp:effectExtent l="0" t="0" r="15240" b="17145"/>
                  <wp:wrapSquare wrapText="bothSides"/>
                  <wp:docPr id="7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pic:cNvPicPr>
                            <a:picLocks noChangeAspect="1"/>
                          </pic:cNvPicPr>
                        </pic:nvPicPr>
                        <pic:blipFill>
                          <a:blip r:embed="rId10" cstate="print"/>
                          <a:stretch>
                            <a:fillRect/>
                          </a:stretch>
                        </pic:blipFill>
                        <pic:spPr>
                          <a:xfrm>
                            <a:off x="0" y="0"/>
                            <a:ext cx="1642110" cy="2097405"/>
                          </a:xfrm>
                          <a:prstGeom prst="rect">
                            <a:avLst/>
                          </a:prstGeom>
                          <a:noFill/>
                          <a:ln>
                            <a:noFill/>
                          </a:ln>
                        </pic:spPr>
                      </pic:pic>
                    </a:graphicData>
                  </a:graphic>
                </wp:anchor>
              </w:drawing>
            </w:r>
            <w:r>
              <w:rPr>
                <w:rFonts w:hint="eastAsia" w:ascii="仿宋_GB2312" w:eastAsia="仿宋_GB2312"/>
                <w:b/>
                <w:bCs/>
                <w:color w:val="000000"/>
                <w:sz w:val="24"/>
                <w:szCs w:val="24"/>
              </w:rPr>
              <w:t>青岛市：</w:t>
            </w:r>
          </w:p>
          <w:p>
            <w:pPr>
              <w:widowControl w:val="0"/>
              <w:spacing w:after="0" w:line="520" w:lineRule="exact"/>
              <w:ind w:left="113" w:right="113" w:firstLine="480" w:firstLineChars="200"/>
              <w:rPr>
                <w:color w:val="000000"/>
              </w:rPr>
            </w:pPr>
            <w:r>
              <w:rPr>
                <w:rFonts w:hint="eastAsia" w:ascii="仿宋_GB2312" w:eastAsia="仿宋_GB2312"/>
                <w:color w:val="000000"/>
                <w:sz w:val="24"/>
                <w:szCs w:val="24"/>
              </w:rPr>
              <w:t>青岛，别称</w:t>
            </w:r>
            <w:r>
              <w:rPr>
                <w:color w:val="000000"/>
              </w:rPr>
              <w:fldChar w:fldCharType="begin"/>
            </w:r>
            <w:r>
              <w:rPr>
                <w:color w:val="000000"/>
              </w:rPr>
              <w:instrText xml:space="preserve"> HYPERLINK "https://baike.baidu.com/item/%E5%B2%9B%E5%9F%8E/2838267" \t "https://baike.baidu.com/item/%E9%9D%92%E5%B2%9B/_blank" </w:instrText>
            </w:r>
            <w:r>
              <w:rPr>
                <w:color w:val="000000"/>
              </w:rPr>
              <w:fldChar w:fldCharType="separate"/>
            </w:r>
            <w:r>
              <w:rPr>
                <w:rFonts w:ascii="仿宋_GB2312" w:eastAsia="仿宋_GB2312"/>
                <w:color w:val="000000"/>
                <w:sz w:val="24"/>
                <w:szCs w:val="24"/>
              </w:rPr>
              <w:t>岛城</w:t>
            </w:r>
            <w:r>
              <w:rPr>
                <w:rFonts w:ascii="仿宋_GB2312" w:eastAsia="仿宋_GB2312"/>
                <w:color w:val="000000"/>
                <w:sz w:val="24"/>
                <w:szCs w:val="24"/>
              </w:rPr>
              <w:fldChar w:fldCharType="end"/>
            </w:r>
            <w:r>
              <w:rPr>
                <w:rFonts w:ascii="仿宋_GB2312" w:eastAsia="仿宋_GB2312"/>
                <w:color w:val="000000"/>
                <w:sz w:val="24"/>
                <w:szCs w:val="24"/>
              </w:rPr>
              <w:t>、</w:t>
            </w:r>
            <w:r>
              <w:rPr>
                <w:color w:val="000000"/>
              </w:rPr>
              <w:fldChar w:fldCharType="begin"/>
            </w:r>
            <w:r>
              <w:rPr>
                <w:color w:val="000000"/>
              </w:rPr>
              <w:instrText xml:space="preserve"> HYPERLINK "https://baike.baidu.com/item/%E7%90%B4%E5%B2%9B/10647493" \t "https://baike.baidu.com/item/%E9%9D%92%E5%B2%9B/_blank" </w:instrText>
            </w:r>
            <w:r>
              <w:rPr>
                <w:color w:val="000000"/>
              </w:rPr>
              <w:fldChar w:fldCharType="separate"/>
            </w:r>
            <w:r>
              <w:rPr>
                <w:rFonts w:ascii="仿宋_GB2312" w:eastAsia="仿宋_GB2312"/>
                <w:color w:val="000000"/>
                <w:sz w:val="24"/>
                <w:szCs w:val="24"/>
              </w:rPr>
              <w:t>琴岛</w:t>
            </w:r>
            <w:r>
              <w:rPr>
                <w:rFonts w:ascii="仿宋_GB2312" w:eastAsia="仿宋_GB2312"/>
                <w:color w:val="000000"/>
                <w:sz w:val="24"/>
                <w:szCs w:val="24"/>
              </w:rPr>
              <w:fldChar w:fldCharType="end"/>
            </w:r>
            <w:r>
              <w:rPr>
                <w:rFonts w:ascii="仿宋_GB2312" w:eastAsia="仿宋_GB2312"/>
                <w:color w:val="000000"/>
                <w:sz w:val="24"/>
                <w:szCs w:val="24"/>
              </w:rPr>
              <w:t>、</w:t>
            </w:r>
            <w:r>
              <w:rPr>
                <w:color w:val="000000"/>
              </w:rPr>
              <w:fldChar w:fldCharType="begin"/>
            </w:r>
            <w:r>
              <w:rPr>
                <w:color w:val="000000"/>
              </w:rPr>
              <w:instrText xml:space="preserve"> HYPERLINK "https://baike.baidu.com/item/%E8%83%B6%E6%BE%B3/4012441" \t "https://baike.baidu.com/item/%E9%9D%92%E5%B2%9B/_blank" </w:instrText>
            </w:r>
            <w:r>
              <w:rPr>
                <w:color w:val="000000"/>
              </w:rPr>
              <w:fldChar w:fldCharType="separate"/>
            </w:r>
            <w:r>
              <w:rPr>
                <w:rFonts w:ascii="仿宋_GB2312" w:eastAsia="仿宋_GB2312"/>
                <w:color w:val="000000"/>
                <w:sz w:val="24"/>
                <w:szCs w:val="24"/>
              </w:rPr>
              <w:t>胶澳</w:t>
            </w:r>
            <w:r>
              <w:rPr>
                <w:rFonts w:ascii="仿宋_GB2312" w:eastAsia="仿宋_GB2312"/>
                <w:color w:val="000000"/>
                <w:sz w:val="24"/>
                <w:szCs w:val="24"/>
              </w:rPr>
              <w:fldChar w:fldCharType="end"/>
            </w:r>
            <w:r>
              <w:rPr>
                <w:rFonts w:ascii="仿宋_GB2312" w:eastAsia="仿宋_GB2312"/>
                <w:color w:val="000000"/>
                <w:sz w:val="24"/>
                <w:szCs w:val="24"/>
              </w:rPr>
              <w:t>，是中国</w:t>
            </w:r>
            <w:r>
              <w:rPr>
                <w:color w:val="000000"/>
              </w:rPr>
              <w:fldChar w:fldCharType="begin"/>
            </w:r>
            <w:r>
              <w:rPr>
                <w:color w:val="000000"/>
              </w:rPr>
              <w:instrText xml:space="preserve"> HYPERLINK "https://baike.baidu.com/item/%E5%B1%B1%E4%B8%9C%E7%9C%81/209822" \t "https://baike.baidu.com/item/%E9%9D%92%E5%B2%9B/_blank" </w:instrText>
            </w:r>
            <w:r>
              <w:rPr>
                <w:color w:val="000000"/>
              </w:rPr>
              <w:fldChar w:fldCharType="separate"/>
            </w:r>
            <w:r>
              <w:rPr>
                <w:rFonts w:ascii="仿宋_GB2312" w:eastAsia="仿宋_GB2312"/>
                <w:color w:val="000000"/>
                <w:sz w:val="24"/>
                <w:szCs w:val="24"/>
              </w:rPr>
              <w:t>山东省</w:t>
            </w:r>
            <w:r>
              <w:rPr>
                <w:rFonts w:ascii="仿宋_GB2312" w:eastAsia="仿宋_GB2312"/>
                <w:color w:val="000000"/>
                <w:sz w:val="24"/>
                <w:szCs w:val="24"/>
              </w:rPr>
              <w:fldChar w:fldCharType="end"/>
            </w:r>
            <w:r>
              <w:rPr>
                <w:rFonts w:ascii="仿宋_GB2312" w:eastAsia="仿宋_GB2312"/>
                <w:color w:val="000000"/>
                <w:sz w:val="24"/>
                <w:szCs w:val="24"/>
              </w:rPr>
              <w:t>辖地级市、</w:t>
            </w:r>
            <w:r>
              <w:rPr>
                <w:color w:val="000000"/>
              </w:rPr>
              <w:fldChar w:fldCharType="begin"/>
            </w:r>
            <w:r>
              <w:rPr>
                <w:color w:val="000000"/>
              </w:rPr>
              <w:instrText xml:space="preserve"> HYPERLINK "https://baike.baidu.com/item/%E5%89%AF%E7%9C%81%E7%BA%A7%E5%B8%82/1561706" \t "https://baike.baidu.com/item/%E9%9D%92%E5%B2%9B/_blank" </w:instrText>
            </w:r>
            <w:r>
              <w:rPr>
                <w:color w:val="000000"/>
              </w:rPr>
              <w:fldChar w:fldCharType="separate"/>
            </w:r>
            <w:r>
              <w:rPr>
                <w:rFonts w:ascii="仿宋_GB2312" w:eastAsia="仿宋_GB2312"/>
                <w:color w:val="000000"/>
                <w:sz w:val="24"/>
                <w:szCs w:val="24"/>
              </w:rPr>
              <w:t>副省级市</w:t>
            </w:r>
            <w:r>
              <w:rPr>
                <w:rFonts w:ascii="仿宋_GB2312" w:eastAsia="仿宋_GB2312"/>
                <w:color w:val="000000"/>
                <w:sz w:val="24"/>
                <w:szCs w:val="24"/>
              </w:rPr>
              <w:fldChar w:fldCharType="end"/>
            </w:r>
            <w:r>
              <w:rPr>
                <w:rFonts w:ascii="仿宋_GB2312" w:eastAsia="仿宋_GB2312"/>
                <w:color w:val="000000"/>
                <w:sz w:val="24"/>
                <w:szCs w:val="24"/>
              </w:rPr>
              <w:t>、</w:t>
            </w:r>
            <w:r>
              <w:rPr>
                <w:color w:val="000000"/>
              </w:rPr>
              <w:fldChar w:fldCharType="begin"/>
            </w:r>
            <w:r>
              <w:rPr>
                <w:color w:val="000000"/>
              </w:rPr>
              <w:instrText xml:space="preserve"> HYPERLINK "https://baike.baidu.com/item/%E8%AE%A1%E5%88%92%E5%8D%95%E5%88%97%E5%B8%82/2023808" \t "https://baike.baidu.com/item/%E9%9D%92%E5%B2%9B/_blank" </w:instrText>
            </w:r>
            <w:r>
              <w:rPr>
                <w:color w:val="000000"/>
              </w:rPr>
              <w:fldChar w:fldCharType="separate"/>
            </w:r>
            <w:r>
              <w:rPr>
                <w:rFonts w:ascii="仿宋_GB2312" w:eastAsia="仿宋_GB2312"/>
                <w:color w:val="000000"/>
                <w:sz w:val="24"/>
                <w:szCs w:val="24"/>
              </w:rPr>
              <w:t>计划单列市</w:t>
            </w:r>
            <w:r>
              <w:rPr>
                <w:rFonts w:ascii="仿宋_GB2312" w:eastAsia="仿宋_GB2312"/>
                <w:color w:val="000000"/>
                <w:sz w:val="24"/>
                <w:szCs w:val="24"/>
              </w:rPr>
              <w:fldChar w:fldCharType="end"/>
            </w:r>
            <w:r>
              <w:rPr>
                <w:rFonts w:ascii="仿宋_GB2312" w:eastAsia="仿宋_GB2312"/>
                <w:color w:val="000000"/>
                <w:sz w:val="24"/>
                <w:szCs w:val="24"/>
              </w:rPr>
              <w:t>  ，是</w:t>
            </w:r>
            <w:r>
              <w:rPr>
                <w:color w:val="000000"/>
              </w:rPr>
              <w:fldChar w:fldCharType="begin"/>
            </w:r>
            <w:r>
              <w:rPr>
                <w:color w:val="000000"/>
              </w:rPr>
              <w:instrText xml:space="preserve"> HYPERLINK "https://baike.baidu.com/item/%E5%9B%BD%E5%8A%A1%E9%99%A2/343590" \t "https://baike.baidu.com/item/%E9%9D%92%E5%B2%9B/_blank" </w:instrText>
            </w:r>
            <w:r>
              <w:rPr>
                <w:color w:val="000000"/>
              </w:rPr>
              <w:fldChar w:fldCharType="separate"/>
            </w:r>
            <w:r>
              <w:rPr>
                <w:rFonts w:ascii="仿宋_GB2312" w:eastAsia="仿宋_GB2312"/>
                <w:color w:val="000000"/>
                <w:sz w:val="24"/>
                <w:szCs w:val="24"/>
              </w:rPr>
              <w:t>国务院</w:t>
            </w:r>
            <w:r>
              <w:rPr>
                <w:rFonts w:ascii="仿宋_GB2312" w:eastAsia="仿宋_GB2312"/>
                <w:color w:val="000000"/>
                <w:sz w:val="24"/>
                <w:szCs w:val="24"/>
              </w:rPr>
              <w:fldChar w:fldCharType="end"/>
            </w:r>
            <w:r>
              <w:rPr>
                <w:rFonts w:ascii="仿宋_GB2312" w:eastAsia="仿宋_GB2312"/>
                <w:color w:val="000000"/>
                <w:sz w:val="24"/>
                <w:szCs w:val="24"/>
              </w:rPr>
              <w:t>批复确定的中国沿海重要中心城市和滨海度假旅游城市、也是国际性港口城市  。截至2019年，全市下辖7个区、代管3个县级市，建成区面积758.16平方千米。区域总面积11293平方千米 。截至2020年3月，青岛下辖7个市辖区，代管3个县级市。</w:t>
            </w:r>
          </w:p>
          <w:p>
            <w:pPr>
              <w:widowControl w:val="0"/>
              <w:spacing w:after="0" w:line="520" w:lineRule="exact"/>
              <w:ind w:left="113" w:right="113" w:firstLine="482" w:firstLineChars="200"/>
              <w:rPr>
                <w:rFonts w:hint="eastAsia" w:ascii="仿宋_GB2312" w:eastAsia="仿宋_GB2312"/>
                <w:b/>
                <w:bCs/>
                <w:color w:val="000000"/>
                <w:sz w:val="24"/>
                <w:szCs w:val="24"/>
                <w:lang w:val="en-US" w:eastAsia="zh-CN"/>
              </w:rPr>
            </w:pPr>
            <w:r>
              <w:rPr>
                <w:rFonts w:hint="eastAsia" w:ascii="仿宋_GB2312" w:eastAsia="仿宋_GB2312"/>
                <w:b/>
                <w:bCs/>
                <w:color w:val="000000"/>
                <w:sz w:val="24"/>
                <w:szCs w:val="24"/>
                <w:lang w:val="en-US" w:eastAsia="zh-CN"/>
              </w:rPr>
              <w:t>莱西市：</w:t>
            </w:r>
          </w:p>
          <w:p>
            <w:pPr>
              <w:widowControl w:val="0"/>
              <w:spacing w:after="0" w:line="520" w:lineRule="exact"/>
              <w:ind w:left="113" w:right="113" w:firstLine="480" w:firstLineChars="200"/>
              <w:rPr>
                <w:rFonts w:hint="default" w:ascii="仿宋_GB2312" w:eastAsia="仿宋_GB2312"/>
                <w:b w:val="0"/>
                <w:bCs w:val="0"/>
                <w:color w:val="000000"/>
                <w:sz w:val="24"/>
                <w:szCs w:val="24"/>
              </w:rPr>
            </w:pPr>
            <w:r>
              <w:rPr>
                <w:rFonts w:hint="eastAsia" w:ascii="仿宋_GB2312" w:eastAsia="仿宋_GB2312"/>
                <w:b w:val="0"/>
                <w:bCs w:val="0"/>
                <w:color w:val="000000"/>
                <w:sz w:val="24"/>
                <w:szCs w:val="24"/>
              </w:rPr>
              <w:t>莱西，</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"https://baike.baidu.com/item/%E5%B1%B1%E4%B8%9C%E7%9C%81/209822"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山东省</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辖县级市，由</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"https://baike.baidu.com/item/%E9%9D%92%E5%B2%9B%E5%B8%82/785198"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青岛市</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代管， 位于</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"https://baike.baidu.com/item/%E8%83%B6%E4%B8%9C%E5%8D%8A%E5%B2%9B/830320"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胶东半岛</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中部，是国务院确定的沿海地区对外开放县市之一；地形总趋势是北高南低，北部为低山丘陵，中部为缓岗平原，南部为碟形洼地，境内气候为温带季风型大陆性气候，四季变化和季风进退都比较明显；总面积1568.2平方公里，辖8个镇、3个街道，另有1个省级经济开发区。 根据第七次人口普查数据，截至2020年11月1日零时，莱西市常住人口720103人。</w:t>
            </w:r>
          </w:p>
          <w:p>
            <w:pPr>
              <w:widowControl w:val="0"/>
              <w:spacing w:after="0" w:line="520" w:lineRule="exact"/>
              <w:ind w:left="113" w:right="113" w:firstLine="480" w:firstLineChars="200"/>
              <w:rPr>
                <w:rFonts w:hint="default" w:ascii="仿宋_GB2312" w:eastAsia="仿宋_GB2312"/>
                <w:b w:val="0"/>
                <w:bCs w:val="0"/>
                <w:color w:val="000000"/>
                <w:sz w:val="24"/>
                <w:szCs w:val="24"/>
              </w:rPr>
            </w:pPr>
            <w:r>
              <w:rPr>
                <w:rFonts w:hint="eastAsia" w:ascii="仿宋_GB2312" w:eastAsia="仿宋_GB2312"/>
                <w:b w:val="0"/>
                <w:bCs w:val="0"/>
                <w:color w:val="000000"/>
                <w:sz w:val="24"/>
                <w:szCs w:val="24"/>
              </w:rPr>
              <w:t>莱西市系胶东半岛交通枢纽，境内青荣城际铁路、龙青高速、同三高速纵贯南北，潍莱高速、蓝烟铁路以及在建的潍莱高铁横穿东西，境内有大沽河、小沽河、洙河等61条河流，拥有总库容4.02亿立方米的产芝水库和总面积25平方公里的姜山湿地，大沽河贯穿莱西全境。</w:t>
            </w:r>
            <w:r>
              <w:rPr>
                <w:rFonts w:hint="default" w:ascii="仿宋_GB2312" w:eastAsia="仿宋_GB2312"/>
                <w:b w:val="0"/>
                <w:bCs w:val="0"/>
                <w:color w:val="000000"/>
                <w:sz w:val="24"/>
                <w:szCs w:val="24"/>
              </w:rPr>
              <w:t>2019年12月，成为全国乡村治理体系建设试点单位和国家城乡融合发展试验区（济青片区）。2019年12月6日，入选全国农民合作社质量提升整县推进试点单位。</w:t>
            </w:r>
          </w:p>
          <w:p>
            <w:pPr>
              <w:widowControl w:val="0"/>
              <w:spacing w:after="0" w:line="520" w:lineRule="exact"/>
              <w:ind w:left="113" w:right="113" w:firstLine="480" w:firstLineChars="200"/>
              <w:rPr>
                <w:rFonts w:hint="eastAsia"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区划详情：</w:t>
            </w:r>
          </w:p>
          <w:p>
            <w:pPr>
              <w:widowControl w:val="0"/>
              <w:spacing w:after="0" w:line="520" w:lineRule="exact"/>
              <w:ind w:left="113" w:right="113" w:firstLine="480" w:firstLineChars="200"/>
              <w:rPr>
                <w:rFonts w:hint="default" w:ascii="仿宋_GB2312" w:eastAsia="仿宋_GB2312"/>
                <w:b w:val="0"/>
                <w:bCs w:val="0"/>
                <w:color w:val="000000"/>
                <w:sz w:val="24"/>
                <w:szCs w:val="24"/>
              </w:rPr>
            </w:pPr>
            <w:r>
              <w:rPr>
                <w:rFonts w:hint="eastAsia" w:ascii="仿宋_GB2312" w:eastAsia="仿宋_GB2312"/>
                <w:b w:val="0"/>
                <w:bCs w:val="0"/>
                <w:color w:val="000000"/>
                <w:sz w:val="24"/>
                <w:szCs w:val="24"/>
              </w:rPr>
              <w:t>截至2018年，莱西市辖8个镇、3个街道，分别为</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"https://baike.baidu.com/item/%E6%B0%B4%E9%9B%86%E8%A1%97%E9%81%93/1772531"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水集街道</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"https://baike.baidu.com/item/%E6%9C%9B%E5%9F%8E%E8%A1%97%E9%81%93/10925654"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望城街道</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"https://baike.baidu.com/item/%E6%B2%BD%E6%B2%B3%E8%A1%97%E9%81%93/7040495"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沽河街道</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"https://baike.baidu.com/item/%E5%A7%9C%E5%B1%B1%E9%95%87/7555294"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姜山镇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"https://baike.baidu.com/item/%E5%A4%8F%E6%A0%BC%E5%BA%84%E9%95%87/6726085"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夏格庄镇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"https://baike.baidu.com/item/%E9%99%A2%E4%B8%8A%E9%95%87/1773427"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院上镇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"https://baike.baidu.com/item/%E6%97%A5%E5%BA%84%E9%95%87/6726452"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日庄镇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"https://baike.baidu.com/item/%E5%8D%97%E5%A2%85%E9%95%87/6653676"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南墅镇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"https://baike.baidu.com/item/%E6%B2%B3%E5%A4%B4%E5%BA%97%E9%95%87/7010458"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河头店镇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"https://baike.baidu.com/item/%E5%BA%97%E5%9F%A0%E9%95%87/32046"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店埠镇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"https://baike.baidu.com/item/%E9%A9%AC%E8%BF%9E%E5%BA%84%E9%95%87/6988906"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马连庄镇</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；此外还有一个省级经济开发区（</w:t>
            </w:r>
            <w:r>
              <w:rPr>
                <w:rFonts w:hint="default" w:ascii="仿宋_GB2312" w:eastAsia="仿宋_GB2312"/>
                <w:b w:val="0"/>
                <w:bCs w:val="0"/>
                <w:color w:val="000000"/>
                <w:sz w:val="24"/>
                <w:szCs w:val="24"/>
              </w:rPr>
              <w:fldChar w:fldCharType="begin"/>
            </w:r>
            <w:r>
              <w:rPr>
                <w:rFonts w:hint="default" w:ascii="仿宋_GB2312" w:eastAsia="仿宋_GB2312"/>
                <w:b w:val="0"/>
                <w:bCs w:val="0"/>
                <w:color w:val="000000"/>
                <w:sz w:val="24"/>
                <w:szCs w:val="24"/>
              </w:rPr>
              <w:instrText xml:space="preserve"> HYPERLINK "https://baike.baidu.com/item/%E8%8E%B1%E8%A5%BF%E7%BB%8F%E6%B5%8E%E5%BC%80%E5%8F%91%E5%8C%BA/966889" \t "https://baike.baidu.com/item/%E8%8E%B1%E8%A5%BF/_blank" </w:instrText>
            </w:r>
            <w:r>
              <w:rPr>
                <w:rFonts w:hint="default" w:ascii="仿宋_GB2312" w:eastAsia="仿宋_GB2312"/>
                <w:b w:val="0"/>
                <w:bCs w:val="0"/>
                <w:color w:val="000000"/>
                <w:sz w:val="24"/>
                <w:szCs w:val="24"/>
              </w:rPr>
              <w:fldChar w:fldCharType="separate"/>
            </w:r>
            <w:r>
              <w:rPr>
                <w:rFonts w:hint="default" w:ascii="仿宋_GB2312" w:eastAsia="仿宋_GB2312"/>
                <w:b w:val="0"/>
                <w:bCs w:val="0"/>
                <w:color w:val="000000"/>
                <w:sz w:val="24"/>
                <w:szCs w:val="24"/>
              </w:rPr>
              <w:t>莱西经济开发区</w:t>
            </w:r>
            <w:r>
              <w:rPr>
                <w:rFonts w:hint="default" w:ascii="仿宋_GB2312" w:eastAsia="仿宋_GB2312"/>
                <w:b w:val="0"/>
                <w:bCs w:val="0"/>
                <w:color w:val="000000"/>
                <w:sz w:val="24"/>
                <w:szCs w:val="24"/>
              </w:rPr>
              <w:fldChar w:fldCharType="end"/>
            </w:r>
            <w:r>
              <w:rPr>
                <w:rFonts w:hint="default" w:ascii="仿宋_GB2312" w:eastAsia="仿宋_GB2312"/>
                <w:b w:val="0"/>
                <w:bCs w:val="0"/>
                <w:color w:val="000000"/>
                <w:sz w:val="24"/>
                <w:szCs w:val="24"/>
              </w:rPr>
              <w:t>）。市政府驻水集街道。</w:t>
            </w:r>
          </w:p>
          <w:p>
            <w:pPr>
              <w:widowControl w:val="0"/>
              <w:spacing w:after="0" w:line="520" w:lineRule="exact"/>
              <w:ind w:left="113" w:right="113" w:firstLine="480" w:firstLineChars="200"/>
              <w:rPr>
                <w:rFonts w:hint="eastAsia"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位置境域：</w:t>
            </w:r>
          </w:p>
          <w:p>
            <w:pPr>
              <w:widowControl w:val="0"/>
              <w:spacing w:after="0" w:line="520" w:lineRule="exact"/>
              <w:ind w:left="113" w:right="113" w:firstLine="480" w:firstLineChars="200"/>
              <w:rPr>
                <w:rFonts w:hint="default"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莱西市位于胶东半岛中部，隶属于青岛市，地处东经120°12'～120°40'、北纬36°34'～37°09'之间；东临</w:t>
            </w:r>
            <w:r>
              <w:rPr>
                <w:rFonts w:hint="default" w:ascii="仿宋_GB2312" w:eastAsia="仿宋_GB2312"/>
                <w:b w:val="0"/>
                <w:bCs w:val="0"/>
                <w:color w:val="000000"/>
                <w:sz w:val="24"/>
                <w:szCs w:val="24"/>
                <w:lang w:val="en-US" w:eastAsia="zh-CN"/>
              </w:rPr>
              <w:fldChar w:fldCharType="begin"/>
            </w:r>
            <w:r>
              <w:rPr>
                <w:rFonts w:hint="default" w:ascii="仿宋_GB2312" w:eastAsia="仿宋_GB2312"/>
                <w:b w:val="0"/>
                <w:bCs w:val="0"/>
                <w:color w:val="000000"/>
                <w:sz w:val="24"/>
                <w:szCs w:val="24"/>
                <w:lang w:val="en-US" w:eastAsia="zh-CN"/>
              </w:rPr>
              <w:instrText xml:space="preserve"> HYPERLINK "https://baike.baidu.com/item/%E8%8E%B1%E9%98%B3%E5%B8%82/841625" \t "https://baike.baidu.com/item/%E8%8E%B1%E8%A5%BF/_blank" </w:instrText>
            </w:r>
            <w:r>
              <w:rPr>
                <w:rFonts w:hint="default" w:ascii="仿宋_GB2312" w:eastAsia="仿宋_GB2312"/>
                <w:b w:val="0"/>
                <w:bCs w:val="0"/>
                <w:color w:val="000000"/>
                <w:sz w:val="24"/>
                <w:szCs w:val="24"/>
                <w:lang w:val="en-US" w:eastAsia="zh-CN"/>
              </w:rPr>
              <w:fldChar w:fldCharType="separate"/>
            </w:r>
            <w:r>
              <w:rPr>
                <w:rFonts w:hint="default" w:ascii="仿宋_GB2312" w:eastAsia="仿宋_GB2312"/>
                <w:b w:val="0"/>
                <w:bCs w:val="0"/>
                <w:color w:val="000000"/>
                <w:sz w:val="24"/>
                <w:szCs w:val="24"/>
                <w:lang w:val="en-US" w:eastAsia="zh-CN"/>
              </w:rPr>
              <w:t>莱阳市</w:t>
            </w:r>
            <w:r>
              <w:rPr>
                <w:rFonts w:hint="default" w:ascii="仿宋_GB2312" w:eastAsia="仿宋_GB2312"/>
                <w:b w:val="0"/>
                <w:bCs w:val="0"/>
                <w:color w:val="000000"/>
                <w:sz w:val="24"/>
                <w:szCs w:val="24"/>
                <w:lang w:val="en-US" w:eastAsia="zh-CN"/>
              </w:rPr>
              <w:fldChar w:fldCharType="end"/>
            </w:r>
            <w:r>
              <w:rPr>
                <w:rFonts w:hint="default" w:ascii="仿宋_GB2312" w:eastAsia="仿宋_GB2312"/>
                <w:b w:val="0"/>
                <w:bCs w:val="0"/>
                <w:color w:val="000000"/>
                <w:sz w:val="24"/>
                <w:szCs w:val="24"/>
                <w:lang w:val="en-US" w:eastAsia="zh-CN"/>
              </w:rPr>
              <w:t>，西以小沽河为界与</w:t>
            </w:r>
            <w:r>
              <w:rPr>
                <w:rFonts w:hint="default" w:ascii="仿宋_GB2312" w:eastAsia="仿宋_GB2312"/>
                <w:b w:val="0"/>
                <w:bCs w:val="0"/>
                <w:color w:val="000000"/>
                <w:sz w:val="24"/>
                <w:szCs w:val="24"/>
                <w:lang w:val="en-US" w:eastAsia="zh-CN"/>
              </w:rPr>
              <w:fldChar w:fldCharType="begin"/>
            </w:r>
            <w:r>
              <w:rPr>
                <w:rFonts w:hint="default" w:ascii="仿宋_GB2312" w:eastAsia="仿宋_GB2312"/>
                <w:b w:val="0"/>
                <w:bCs w:val="0"/>
                <w:color w:val="000000"/>
                <w:sz w:val="24"/>
                <w:szCs w:val="24"/>
                <w:lang w:val="en-US" w:eastAsia="zh-CN"/>
              </w:rPr>
              <w:instrText xml:space="preserve"> HYPERLINK "https://baike.baidu.com/item/%E5%B9%B3%E5%BA%A6%E5%B8%82/6834320" \t "https://baike.baidu.com/item/%E8%8E%B1%E8%A5%BF/_blank" </w:instrText>
            </w:r>
            <w:r>
              <w:rPr>
                <w:rFonts w:hint="default" w:ascii="仿宋_GB2312" w:eastAsia="仿宋_GB2312"/>
                <w:b w:val="0"/>
                <w:bCs w:val="0"/>
                <w:color w:val="000000"/>
                <w:sz w:val="24"/>
                <w:szCs w:val="24"/>
                <w:lang w:val="en-US" w:eastAsia="zh-CN"/>
              </w:rPr>
              <w:fldChar w:fldCharType="separate"/>
            </w:r>
            <w:r>
              <w:rPr>
                <w:rFonts w:hint="default" w:ascii="仿宋_GB2312" w:eastAsia="仿宋_GB2312"/>
                <w:b w:val="0"/>
                <w:bCs w:val="0"/>
                <w:color w:val="000000"/>
                <w:sz w:val="24"/>
                <w:szCs w:val="24"/>
                <w:lang w:val="en-US" w:eastAsia="zh-CN"/>
              </w:rPr>
              <w:t>平度市</w:t>
            </w:r>
            <w:r>
              <w:rPr>
                <w:rFonts w:hint="default" w:ascii="仿宋_GB2312" w:eastAsia="仿宋_GB2312"/>
                <w:b w:val="0"/>
                <w:bCs w:val="0"/>
                <w:color w:val="000000"/>
                <w:sz w:val="24"/>
                <w:szCs w:val="24"/>
                <w:lang w:val="en-US" w:eastAsia="zh-CN"/>
              </w:rPr>
              <w:fldChar w:fldCharType="end"/>
            </w:r>
            <w:r>
              <w:rPr>
                <w:rFonts w:hint="default" w:ascii="仿宋_GB2312" w:eastAsia="仿宋_GB2312"/>
                <w:b w:val="0"/>
                <w:bCs w:val="0"/>
                <w:color w:val="000000"/>
                <w:sz w:val="24"/>
                <w:szCs w:val="24"/>
                <w:lang w:val="en-US" w:eastAsia="zh-CN"/>
              </w:rPr>
              <w:t>相邻，南沿五沽河同</w:t>
            </w:r>
            <w:r>
              <w:rPr>
                <w:rFonts w:hint="default" w:ascii="仿宋_GB2312" w:eastAsia="仿宋_GB2312"/>
                <w:b w:val="0"/>
                <w:bCs w:val="0"/>
                <w:color w:val="000000"/>
                <w:sz w:val="24"/>
                <w:szCs w:val="24"/>
                <w:lang w:val="en-US" w:eastAsia="zh-CN"/>
              </w:rPr>
              <w:fldChar w:fldCharType="begin"/>
            </w:r>
            <w:r>
              <w:rPr>
                <w:rFonts w:hint="default" w:ascii="仿宋_GB2312" w:eastAsia="仿宋_GB2312"/>
                <w:b w:val="0"/>
                <w:bCs w:val="0"/>
                <w:color w:val="000000"/>
                <w:sz w:val="24"/>
                <w:szCs w:val="24"/>
                <w:lang w:val="en-US" w:eastAsia="zh-CN"/>
              </w:rPr>
              <w:instrText xml:space="preserve"> HYPERLINK "https://baike.baidu.com/item/%E5%8D%B3%E5%A2%A8%E5%8C%BA/19897359" \t "https://baike.baidu.com/item/%E8%8E%B1%E8%A5%BF/_blank" </w:instrText>
            </w:r>
            <w:r>
              <w:rPr>
                <w:rFonts w:hint="default" w:ascii="仿宋_GB2312" w:eastAsia="仿宋_GB2312"/>
                <w:b w:val="0"/>
                <w:bCs w:val="0"/>
                <w:color w:val="000000"/>
                <w:sz w:val="24"/>
                <w:szCs w:val="24"/>
                <w:lang w:val="en-US" w:eastAsia="zh-CN"/>
              </w:rPr>
              <w:fldChar w:fldCharType="separate"/>
            </w:r>
            <w:r>
              <w:rPr>
                <w:rFonts w:hint="default" w:ascii="仿宋_GB2312" w:eastAsia="仿宋_GB2312"/>
                <w:b w:val="0"/>
                <w:bCs w:val="0"/>
                <w:color w:val="000000"/>
                <w:sz w:val="24"/>
                <w:szCs w:val="24"/>
                <w:lang w:val="en-US" w:eastAsia="zh-CN"/>
              </w:rPr>
              <w:t>即墨区</w:t>
            </w:r>
            <w:r>
              <w:rPr>
                <w:rFonts w:hint="default" w:ascii="仿宋_GB2312" w:eastAsia="仿宋_GB2312"/>
                <w:b w:val="0"/>
                <w:bCs w:val="0"/>
                <w:color w:val="000000"/>
                <w:sz w:val="24"/>
                <w:szCs w:val="24"/>
                <w:lang w:val="en-US" w:eastAsia="zh-CN"/>
              </w:rPr>
              <w:fldChar w:fldCharType="end"/>
            </w:r>
            <w:r>
              <w:rPr>
                <w:rFonts w:hint="default" w:ascii="仿宋_GB2312" w:eastAsia="仿宋_GB2312"/>
                <w:b w:val="0"/>
                <w:bCs w:val="0"/>
                <w:color w:val="000000"/>
                <w:sz w:val="24"/>
                <w:szCs w:val="24"/>
                <w:lang w:val="en-US" w:eastAsia="zh-CN"/>
              </w:rPr>
              <w:t>交错接壤，北、西北靠</w:t>
            </w:r>
            <w:r>
              <w:rPr>
                <w:rFonts w:hint="default" w:ascii="仿宋_GB2312" w:eastAsia="仿宋_GB2312"/>
                <w:b w:val="0"/>
                <w:bCs w:val="0"/>
                <w:color w:val="000000"/>
                <w:sz w:val="24"/>
                <w:szCs w:val="24"/>
                <w:lang w:val="en-US" w:eastAsia="zh-CN"/>
              </w:rPr>
              <w:fldChar w:fldCharType="begin"/>
            </w:r>
            <w:r>
              <w:rPr>
                <w:rFonts w:hint="default" w:ascii="仿宋_GB2312" w:eastAsia="仿宋_GB2312"/>
                <w:b w:val="0"/>
                <w:bCs w:val="0"/>
                <w:color w:val="000000"/>
                <w:sz w:val="24"/>
                <w:szCs w:val="24"/>
                <w:lang w:val="en-US" w:eastAsia="zh-CN"/>
              </w:rPr>
              <w:instrText xml:space="preserve"> HYPERLINK "https://baike.baidu.com/item/%E6%8B%9B%E8%BF%9C%E5%B8%82/2405834" \t "https://baike.baidu.com/item/%E8%8E%B1%E8%A5%BF/_blank" </w:instrText>
            </w:r>
            <w:r>
              <w:rPr>
                <w:rFonts w:hint="default" w:ascii="仿宋_GB2312" w:eastAsia="仿宋_GB2312"/>
                <w:b w:val="0"/>
                <w:bCs w:val="0"/>
                <w:color w:val="000000"/>
                <w:sz w:val="24"/>
                <w:szCs w:val="24"/>
                <w:lang w:val="en-US" w:eastAsia="zh-CN"/>
              </w:rPr>
              <w:fldChar w:fldCharType="separate"/>
            </w:r>
            <w:r>
              <w:rPr>
                <w:rFonts w:hint="default" w:ascii="仿宋_GB2312" w:eastAsia="仿宋_GB2312"/>
                <w:b w:val="0"/>
                <w:bCs w:val="0"/>
                <w:color w:val="000000"/>
                <w:sz w:val="24"/>
                <w:szCs w:val="24"/>
                <w:lang w:val="en-US" w:eastAsia="zh-CN"/>
              </w:rPr>
              <w:t>招远市</w:t>
            </w:r>
            <w:r>
              <w:rPr>
                <w:rFonts w:hint="default" w:ascii="仿宋_GB2312" w:eastAsia="仿宋_GB2312"/>
                <w:b w:val="0"/>
                <w:bCs w:val="0"/>
                <w:color w:val="000000"/>
                <w:sz w:val="24"/>
                <w:szCs w:val="24"/>
                <w:lang w:val="en-US" w:eastAsia="zh-CN"/>
              </w:rPr>
              <w:fldChar w:fldCharType="end"/>
            </w:r>
            <w:r>
              <w:rPr>
                <w:rFonts w:hint="default" w:ascii="仿宋_GB2312" w:eastAsia="仿宋_GB2312"/>
                <w:b w:val="0"/>
                <w:bCs w:val="0"/>
                <w:color w:val="000000"/>
                <w:sz w:val="24"/>
                <w:szCs w:val="24"/>
                <w:lang w:val="en-US" w:eastAsia="zh-CN"/>
              </w:rPr>
              <w:t>、</w:t>
            </w:r>
            <w:r>
              <w:rPr>
                <w:rFonts w:hint="default" w:ascii="仿宋_GB2312" w:eastAsia="仿宋_GB2312"/>
                <w:b w:val="0"/>
                <w:bCs w:val="0"/>
                <w:color w:val="000000"/>
                <w:sz w:val="24"/>
                <w:szCs w:val="24"/>
                <w:lang w:val="en-US" w:eastAsia="zh-CN"/>
              </w:rPr>
              <w:fldChar w:fldCharType="begin"/>
            </w:r>
            <w:r>
              <w:rPr>
                <w:rFonts w:hint="default" w:ascii="仿宋_GB2312" w:eastAsia="仿宋_GB2312"/>
                <w:b w:val="0"/>
                <w:bCs w:val="0"/>
                <w:color w:val="000000"/>
                <w:sz w:val="24"/>
                <w:szCs w:val="24"/>
                <w:lang w:val="en-US" w:eastAsia="zh-CN"/>
              </w:rPr>
              <w:instrText xml:space="preserve"> HYPERLINK "https://baike.baidu.com/item/%E8%8E%B1%E5%B7%9E%E5%B8%82/2405410" \t "https://baike.baidu.com/item/%E8%8E%B1%E8%A5%BF/_blank" </w:instrText>
            </w:r>
            <w:r>
              <w:rPr>
                <w:rFonts w:hint="default" w:ascii="仿宋_GB2312" w:eastAsia="仿宋_GB2312"/>
                <w:b w:val="0"/>
                <w:bCs w:val="0"/>
                <w:color w:val="000000"/>
                <w:sz w:val="24"/>
                <w:szCs w:val="24"/>
                <w:lang w:val="en-US" w:eastAsia="zh-CN"/>
              </w:rPr>
              <w:fldChar w:fldCharType="separate"/>
            </w:r>
            <w:r>
              <w:rPr>
                <w:rFonts w:hint="default" w:ascii="仿宋_GB2312" w:eastAsia="仿宋_GB2312"/>
                <w:b w:val="0"/>
                <w:bCs w:val="0"/>
                <w:color w:val="000000"/>
                <w:sz w:val="24"/>
                <w:szCs w:val="24"/>
                <w:lang w:val="en-US" w:eastAsia="zh-CN"/>
              </w:rPr>
              <w:t>莱州市</w:t>
            </w:r>
            <w:r>
              <w:rPr>
                <w:rFonts w:hint="default" w:ascii="仿宋_GB2312" w:eastAsia="仿宋_GB2312"/>
                <w:b w:val="0"/>
                <w:bCs w:val="0"/>
                <w:color w:val="000000"/>
                <w:sz w:val="24"/>
                <w:szCs w:val="24"/>
                <w:lang w:val="en-US" w:eastAsia="zh-CN"/>
              </w:rPr>
              <w:fldChar w:fldCharType="end"/>
            </w:r>
            <w:r>
              <w:rPr>
                <w:rFonts w:hint="default" w:ascii="仿宋_GB2312" w:eastAsia="仿宋_GB2312"/>
                <w:b w:val="0"/>
                <w:bCs w:val="0"/>
                <w:color w:val="000000"/>
                <w:sz w:val="24"/>
                <w:szCs w:val="24"/>
                <w:lang w:val="en-US" w:eastAsia="zh-CN"/>
              </w:rPr>
              <w:t>。南北最大长度63公里，东西最大宽度36公里，呈不规则的长方形。全市总面积1568.2平方公里。</w:t>
            </w:r>
          </w:p>
          <w:p>
            <w:pPr>
              <w:widowControl w:val="0"/>
              <w:spacing w:after="0" w:line="520" w:lineRule="exact"/>
              <w:ind w:left="113" w:right="113" w:firstLine="480" w:firstLineChars="200"/>
              <w:rPr>
                <w:rFonts w:hint="eastAsia"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地形地貌：</w:t>
            </w:r>
          </w:p>
          <w:p>
            <w:pPr>
              <w:widowControl w:val="0"/>
              <w:spacing w:after="0" w:line="520" w:lineRule="exact"/>
              <w:ind w:left="113" w:right="113" w:firstLine="480" w:firstLineChars="200"/>
              <w:rPr>
                <w:rFonts w:hint="eastAsia"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莱西地形总趋势是北高南低。北部为低山丘陵，中部为缓岗平原，南部为碟形洼地。地势由西北边境向南逐步降低，过蓝烟铁路后逐步向西南倾斜。地貌类型可分为低山、丘陵、平原、洼地4种。其中，低山占总面积的2.4%，丘陵占42.4%，平原占40.6%，洼地占14.6%。境内北部蜿蜒起伏的低山小岭纵横交织。主要山脉有4支：西部宫山脉，由平度市入境，山势最高；中部芝山脉，由招远市入境，除南墅镇北部群山集聚外，于大沽河、小沽河之间蜿蜒南下，经马连庄、南墅、日庄、武备、沽河等镇、街道，形成一纵贯北半市的隆脊，有白石山、福山、疾驹山、岘山、大架山、长院山等；东北部夭山脉，由招远市入境，向西南转向西延伸，于大沽河东形成一隆起，有莲花山、垛山、大埠顶、重青山、马银山等；东部为由莱阳市入境的铎山余脉，有萝卜山、凤凰山等。境内最高海拔427.8米，为南墅镇与平度市交界处的周家大山；最低海拔26米，位于店埠镇鲍家庄一带。</w:t>
            </w:r>
          </w:p>
          <w:p>
            <w:pPr>
              <w:widowControl w:val="0"/>
              <w:spacing w:after="0" w:line="520" w:lineRule="exact"/>
              <w:ind w:left="113" w:right="113" w:firstLine="480" w:firstLineChars="200"/>
              <w:rPr>
                <w:rFonts w:hint="eastAsia" w:ascii="仿宋_GB2312" w:eastAsia="仿宋_GB2312"/>
                <w:b w:val="0"/>
                <w:bCs w:val="0"/>
                <w:color w:val="000000"/>
                <w:sz w:val="24"/>
                <w:szCs w:val="24"/>
                <w:lang w:val="en-US" w:eastAsia="zh-CN"/>
              </w:rPr>
            </w:pPr>
            <w:r>
              <w:rPr>
                <w:rFonts w:hint="eastAsia" w:ascii="仿宋_GB2312" w:eastAsia="仿宋_GB2312"/>
                <w:b w:val="0"/>
                <w:bCs w:val="0"/>
                <w:color w:val="000000"/>
                <w:sz w:val="24"/>
                <w:szCs w:val="24"/>
                <w:lang w:val="en-US" w:eastAsia="zh-CN"/>
              </w:rPr>
              <w:t>气候：</w:t>
            </w:r>
          </w:p>
          <w:p>
            <w:pPr>
              <w:widowControl w:val="0"/>
              <w:spacing w:after="0" w:line="520" w:lineRule="exact"/>
              <w:ind w:left="113" w:right="113" w:firstLine="480" w:firstLineChars="200"/>
              <w:rPr>
                <w:rFonts w:hint="default" w:ascii="仿宋_GB2312" w:eastAsia="仿宋_GB2312"/>
                <w:color w:val="000000"/>
                <w:sz w:val="24"/>
                <w:szCs w:val="24"/>
                <w:lang w:val="en-US" w:eastAsia="zh-CN"/>
              </w:rPr>
            </w:pPr>
            <w:r>
              <w:rPr>
                <w:rFonts w:hint="eastAsia" w:ascii="仿宋_GB2312" w:eastAsia="仿宋_GB2312"/>
                <w:b w:val="0"/>
                <w:bCs w:val="0"/>
                <w:color w:val="000000"/>
                <w:sz w:val="24"/>
                <w:szCs w:val="24"/>
                <w:lang w:val="en-US" w:eastAsia="zh-CN"/>
              </w:rPr>
              <w:t>莱西市境内气候为温带季风型大陆性气候，四季变化和季风进退都比较明显。空气湿润，气候温和，四季分明。春季雨少、风大、多干旱；夏季高温多雨、湿度大；秋季多晴干旱；冬季漫长干冷。年平均气温11.7℃，极端最高气温39.8℃（2005年6月24日），极端最低气温-21.1℃（1981年1月27日）。全年7月份最热，平均气温25.3℃；1月份最冷，平均气温-3.3℃。降水量年平均为635.8毫米，降水最多为1420.4毫米（1964年）；最少仅377.0毫米（1981年）。一日最大降水量为172.7毫米（1997年8月20日）。主要风向为东南风和西北风，东南风出现在4月到8月，西北风出现在9月到翌年3月，年平均风速为3.6米/秒。日平均气压为1007.6百帕。年平均日照时数2656.3小时，年平均蒸发量为1629.0毫米。历年初霜出现日期为10月18日，最早为10月2日，最晚为11月2日；终霜结束日期为4月18日，最早为3月30日，最晚为5月14日，无霜期183天。最大冻土深度为51厘米（1968年2月），共有3天。2010年平均气温11.8℃，极端最高气温35.6℃，出现在7月6日；极端最低气温为-14.2℃，出现在1月5日。年降水量为664.1毫米，日照时数2384.3小时。终霜日为4月16日，初霜日为10月27日，无霜期193天。</w:t>
            </w:r>
          </w:p>
        </w:tc>
      </w:tr>
    </w:tbl>
    <w:p>
      <w:pPr>
        <w:widowControl w:val="0"/>
        <w:spacing w:after="0" w:line="500" w:lineRule="exact"/>
        <w:ind w:firstLine="560" w:firstLineChars="200"/>
        <w:rPr>
          <w:rFonts w:ascii="仿宋_GB2312" w:hAnsi="宋体" w:eastAsia="仿宋_GB2312"/>
          <w:sz w:val="28"/>
        </w:rPr>
      </w:pPr>
    </w:p>
    <w:tbl>
      <w:tblPr>
        <w:tblStyle w:val="51"/>
        <w:tblW w:w="9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1" w:type="dxa"/>
            <w:gridSpan w:val="2"/>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s="宋体"/>
                <w:color w:val="000000"/>
                <w:sz w:val="28"/>
                <w:szCs w:val="28"/>
                <w:u w:val="single"/>
              </w:rPr>
              <w:t>自然条件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坐落方位</w:t>
            </w:r>
          </w:p>
        </w:tc>
        <w:tc>
          <w:tcPr>
            <w:tcW w:w="7818"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s="宋体"/>
                <w:color w:val="000000"/>
                <w:sz w:val="24"/>
                <w:szCs w:val="24"/>
              </w:rPr>
            </w:pPr>
            <w:r>
              <w:rPr>
                <w:rFonts w:hint="eastAsia" w:ascii="仿宋_GB2312" w:eastAsia="仿宋_GB2312" w:cs="Times New Roman"/>
                <w:color w:val="000000"/>
                <w:sz w:val="24"/>
                <w:szCs w:val="24"/>
                <w:lang w:eastAsia="zh-CN"/>
              </w:rPr>
              <w:t>山东省青岛莱西市红岛中路7号上海花苑。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自然条件</w:t>
            </w:r>
          </w:p>
        </w:tc>
        <w:tc>
          <w:tcPr>
            <w:tcW w:w="7818"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无特殊自然条件。</w:t>
            </w:r>
          </w:p>
        </w:tc>
      </w:tr>
    </w:tbl>
    <w:p>
      <w:pPr>
        <w:spacing w:after="0" w:line="500" w:lineRule="exact"/>
        <w:ind w:firstLine="560" w:firstLineChars="200"/>
        <w:rPr>
          <w:rFonts w:ascii="仿宋_GB2312" w:hAnsi="宋体" w:eastAsia="仿宋_GB2312"/>
          <w:sz w:val="28"/>
        </w:rPr>
      </w:pPr>
      <w:r>
        <w:rPr>
          <w:rFonts w:hint="eastAsia" w:ascii="仿宋_GB2312" w:hAnsi="宋体" w:eastAsia="仿宋_GB2312"/>
          <w:sz w:val="28"/>
        </w:rPr>
        <w:t xml:space="preserve"> </w:t>
      </w:r>
    </w:p>
    <w:tbl>
      <w:tblPr>
        <w:tblStyle w:val="51"/>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1534"/>
        <w:gridCol w:w="6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0" w:type="dxa"/>
            <w:gridSpan w:val="3"/>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s="宋体"/>
                <w:color w:val="000000"/>
                <w:sz w:val="28"/>
                <w:szCs w:val="28"/>
                <w:u w:val="single"/>
              </w:rPr>
              <w:t>商业繁华程度及周边房地产现状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763"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周边状况</w:t>
            </w:r>
          </w:p>
        </w:tc>
        <w:tc>
          <w:tcPr>
            <w:tcW w:w="7797"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eastAsia" w:ascii="仿宋_GB2312" w:hAnsi="Times New Roman" w:eastAsia="仿宋_GB2312" w:cs="宋体"/>
                <w:color w:val="000000"/>
                <w:sz w:val="24"/>
                <w:szCs w:val="24"/>
              </w:rPr>
            </w:pPr>
            <w:r>
              <w:rPr>
                <w:rFonts w:hint="eastAsia" w:ascii="仿宋_GB2312" w:hAnsi="Times New Roman" w:eastAsia="仿宋_GB2312" w:cs="宋体"/>
                <w:color w:val="000000"/>
                <w:sz w:val="24"/>
                <w:szCs w:val="24"/>
              </w:rPr>
              <w:t>周边</w:t>
            </w:r>
            <w:r>
              <w:rPr>
                <w:rFonts w:hint="eastAsia" w:ascii="仿宋_GB2312" w:eastAsia="仿宋_GB2312" w:cs="宋体"/>
                <w:color w:val="000000"/>
                <w:sz w:val="24"/>
                <w:szCs w:val="24"/>
                <w:lang w:val="en-US" w:eastAsia="zh-CN"/>
              </w:rPr>
              <w:t>多为住宅及住宅底商</w:t>
            </w:r>
            <w:r>
              <w:rPr>
                <w:rFonts w:hint="eastAsia" w:ascii="仿宋_GB2312" w:hAnsi="Times New Roman" w:eastAsia="仿宋_GB2312"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hint="eastAsia" w:ascii="仿宋_GB2312" w:eastAsia="仿宋_GB2312"/>
                <w:color w:val="000000"/>
                <w:sz w:val="24"/>
                <w:szCs w:val="24"/>
              </w:rPr>
            </w:pPr>
          </w:p>
        </w:tc>
        <w:tc>
          <w:tcPr>
            <w:tcW w:w="1534"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hint="eastAsia" w:ascii="仿宋_GB2312" w:hAnsi="Times New Roman" w:eastAsia="仿宋_GB2312" w:cs="宋体"/>
                <w:color w:val="000000"/>
                <w:sz w:val="24"/>
                <w:szCs w:val="24"/>
                <w:lang w:eastAsia="zh-CN"/>
              </w:rPr>
            </w:pPr>
            <w:r>
              <w:rPr>
                <w:rFonts w:hint="eastAsia" w:ascii="仿宋_GB2312" w:hAnsi="Times New Roman" w:eastAsia="仿宋_GB2312" w:cs="宋体"/>
                <w:color w:val="000000"/>
                <w:sz w:val="24"/>
                <w:szCs w:val="24"/>
                <w:lang w:eastAsia="zh-CN"/>
              </w:rPr>
              <w:t>住宅</w:t>
            </w:r>
          </w:p>
        </w:tc>
        <w:tc>
          <w:tcPr>
            <w:tcW w:w="6263"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eastAsia" w:ascii="仿宋_GB2312" w:hAnsi="Times New Roman" w:eastAsia="仿宋_GB2312" w:cs="宋体"/>
                <w:color w:val="000000"/>
                <w:sz w:val="24"/>
                <w:szCs w:val="24"/>
                <w:lang w:eastAsia="zh-CN"/>
              </w:rPr>
            </w:pPr>
            <w:r>
              <w:rPr>
                <w:rFonts w:hint="eastAsia" w:ascii="仿宋_GB2312" w:hAnsi="Times New Roman" w:eastAsia="仿宋_GB2312" w:cs="宋体"/>
                <w:color w:val="000000"/>
                <w:sz w:val="24"/>
                <w:szCs w:val="24"/>
                <w:lang w:eastAsia="zh-CN"/>
              </w:rPr>
              <w:t>主要有</w:t>
            </w:r>
            <w:r>
              <w:rPr>
                <w:rFonts w:hint="eastAsia" w:ascii="仿宋_GB2312" w:eastAsia="仿宋_GB2312" w:cs="宋体"/>
                <w:color w:val="000000"/>
                <w:sz w:val="24"/>
                <w:szCs w:val="24"/>
                <w:lang w:val="en-US" w:eastAsia="zh-CN"/>
              </w:rPr>
              <w:t>三美立怡景园-南园、电力花苑、天泰时光印象、颐和花苑、盛泰·颐和花苑西园、三美立·锦绣园、三美立·怡景园、重庆花园、宏远长安世家、富群豪世嘉园、嘉禾苑</w:t>
            </w:r>
            <w:r>
              <w:rPr>
                <w:rFonts w:hint="eastAsia" w:ascii="仿宋_GB2312" w:eastAsia="仿宋_GB2312" w:cs="宋体"/>
                <w:color w:val="000000"/>
                <w:sz w:val="24"/>
                <w:szCs w:val="24"/>
                <w:lang w:eastAsia="zh-CN"/>
              </w:rPr>
              <w:t>等</w:t>
            </w:r>
            <w:r>
              <w:rPr>
                <w:rFonts w:hint="eastAsia" w:ascii="仿宋_GB2312" w:hAnsi="Times New Roman" w:eastAsia="仿宋_GB2312"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3"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hint="eastAsia" w:ascii="仿宋_GB2312" w:eastAsia="仿宋_GB2312"/>
                <w:color w:val="000000"/>
                <w:sz w:val="24"/>
                <w:szCs w:val="24"/>
              </w:rPr>
            </w:pPr>
          </w:p>
        </w:tc>
        <w:tc>
          <w:tcPr>
            <w:tcW w:w="1534"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hint="default" w:ascii="仿宋_GB2312" w:hAnsi="Times New Roman" w:eastAsia="仿宋_GB2312" w:cs="宋体"/>
                <w:color w:val="000000"/>
                <w:sz w:val="24"/>
                <w:szCs w:val="24"/>
                <w:lang w:val="en-US" w:eastAsia="zh-CN"/>
              </w:rPr>
            </w:pPr>
            <w:r>
              <w:rPr>
                <w:rFonts w:hint="eastAsia" w:ascii="仿宋_GB2312" w:eastAsia="仿宋_GB2312" w:cs="宋体"/>
                <w:color w:val="000000"/>
                <w:sz w:val="24"/>
                <w:szCs w:val="24"/>
                <w:lang w:val="en-US" w:eastAsia="zh-CN"/>
              </w:rPr>
              <w:t>市政府</w:t>
            </w:r>
          </w:p>
        </w:tc>
        <w:tc>
          <w:tcPr>
            <w:tcW w:w="6263"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default" w:ascii="仿宋_GB2312" w:hAnsi="Times New Roman" w:eastAsia="仿宋_GB2312" w:cs="宋体"/>
                <w:color w:val="000000"/>
                <w:sz w:val="24"/>
                <w:szCs w:val="24"/>
                <w:lang w:val="en-US" w:eastAsia="zh-CN"/>
              </w:rPr>
            </w:pPr>
            <w:r>
              <w:rPr>
                <w:rFonts w:hint="eastAsia" w:ascii="仿宋_GB2312" w:eastAsia="仿宋_GB2312" w:cs="宋体"/>
                <w:color w:val="000000"/>
                <w:sz w:val="24"/>
                <w:szCs w:val="24"/>
                <w:lang w:val="en-US" w:eastAsia="zh-CN"/>
              </w:rPr>
              <w:t>距离莱西市政府直线距离约为1.3公里。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商业繁华度及距商服中心距离</w:t>
            </w:r>
          </w:p>
        </w:tc>
        <w:tc>
          <w:tcPr>
            <w:tcW w:w="7797"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both"/>
              <w:rPr>
                <w:rFonts w:hint="eastAsia" w:ascii="仿宋_GB2312" w:eastAsia="仿宋_GB2312"/>
                <w:color w:val="000000"/>
                <w:sz w:val="24"/>
                <w:szCs w:val="24"/>
                <w:lang w:val="en-US" w:eastAsia="zh-CN"/>
              </w:rPr>
            </w:pPr>
            <w:r>
              <w:rPr>
                <w:rFonts w:hint="eastAsia" w:ascii="仿宋_GB2312" w:eastAsia="仿宋_GB2312"/>
                <w:color w:val="000000"/>
                <w:sz w:val="24"/>
                <w:szCs w:val="24"/>
                <w:lang w:val="en-US" w:eastAsia="zh-CN"/>
              </w:rPr>
              <w:t>与利群莱西购物广场与新华书店（上海中路店）不足百米，</w:t>
            </w:r>
          </w:p>
          <w:p>
            <w:pPr>
              <w:widowControl w:val="0"/>
              <w:spacing w:after="0" w:line="520" w:lineRule="exact"/>
              <w:ind w:left="113" w:right="113"/>
              <w:jc w:val="both"/>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距离豪帝商城直线距离约为1.7公里，距离利客来购物中心、青岛良茂凯悦百货、青岛缤纷五洲商业广场、百乐商城及青岛利群集团莱西商厦直线距离约为2.1公里。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农贸市场</w:t>
            </w:r>
          </w:p>
        </w:tc>
        <w:tc>
          <w:tcPr>
            <w:tcW w:w="7797"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rPr>
              <w:t>距离</w:t>
            </w:r>
            <w:r>
              <w:rPr>
                <w:rFonts w:hint="eastAsia" w:ascii="仿宋_GB2312" w:eastAsia="仿宋_GB2312" w:cs="宋体"/>
                <w:color w:val="000000"/>
                <w:sz w:val="24"/>
                <w:szCs w:val="24"/>
                <w:lang w:val="en-US" w:eastAsia="zh-CN"/>
              </w:rPr>
              <w:t>沙岭农贸市场直线距离约为1.0公里。</w:t>
            </w:r>
          </w:p>
        </w:tc>
      </w:tr>
    </w:tbl>
    <w:p>
      <w:pPr>
        <w:spacing w:after="0" w:line="500" w:lineRule="exact"/>
        <w:ind w:firstLine="560" w:firstLineChars="200"/>
        <w:rPr>
          <w:rFonts w:ascii="仿宋_GB2312" w:eastAsia="仿宋_GB2312" w:cs="宋体"/>
          <w:sz w:val="28"/>
          <w:szCs w:val="28"/>
        </w:rPr>
      </w:pPr>
    </w:p>
    <w:tbl>
      <w:tblPr>
        <w:tblStyle w:val="51"/>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7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4" w:type="dxa"/>
            <w:gridSpan w:val="2"/>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s="宋体"/>
                <w:color w:val="000000"/>
                <w:sz w:val="28"/>
                <w:szCs w:val="28"/>
                <w:u w:val="single"/>
              </w:rPr>
              <w:t>教育、银行、医疗、休闲运动配套设施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教育资源</w:t>
            </w:r>
          </w:p>
        </w:tc>
        <w:tc>
          <w:tcPr>
            <w:tcW w:w="7821"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s="宋体"/>
                <w:color w:val="000000"/>
                <w:sz w:val="24"/>
                <w:szCs w:val="24"/>
              </w:rPr>
            </w:pPr>
            <w:r>
              <w:rPr>
                <w:rFonts w:hint="eastAsia" w:ascii="仿宋_GB2312" w:eastAsia="仿宋_GB2312" w:cs="宋体"/>
                <w:color w:val="000000"/>
                <w:sz w:val="24"/>
                <w:szCs w:val="24"/>
                <w:lang w:val="en-US" w:eastAsia="zh-CN"/>
              </w:rPr>
              <w:t>附近1公里内的学校有莱西市第二实验小学、莱西市实验中学</w:t>
            </w:r>
            <w:r>
              <w:rPr>
                <w:rFonts w:hint="eastAsia" w:ascii="仿宋_GB2312" w:eastAsia="仿宋_GB2312" w:cs="宋体"/>
                <w:color w:val="000000"/>
                <w:sz w:val="24"/>
                <w:szCs w:val="24"/>
              </w:rPr>
              <w:t>等</w:t>
            </w:r>
            <w:r>
              <w:rPr>
                <w:rFonts w:hint="eastAsia" w:ascii="仿宋_GB2312" w:eastAsia="仿宋_GB2312" w:cs="宋体"/>
                <w:color w:val="000000"/>
                <w:sz w:val="24"/>
                <w:szCs w:val="24"/>
                <w:lang w:val="en-US" w:eastAsia="zh-CN"/>
              </w:rPr>
              <w:t>学校及培训</w:t>
            </w:r>
            <w:r>
              <w:rPr>
                <w:rFonts w:hint="eastAsia" w:ascii="仿宋_GB2312" w:eastAsia="仿宋_GB2312" w:cs="宋体"/>
                <w:color w:val="000000"/>
                <w:sz w:val="24"/>
                <w:szCs w:val="24"/>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银行</w:t>
            </w:r>
          </w:p>
        </w:tc>
        <w:tc>
          <w:tcPr>
            <w:tcW w:w="7821"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附近1公里内的银行有中国建设银行（莱西烟台路支行）、中国农业发展银行(莱西市支行)、中国工商银行(莱西上海路支行)、中国邮政储蓄银行(莱西市长岛路营业所)、青岛银行(莱西支行)、中国银行(莱西重庆路支行)等多家银行及多家银行的ATM自动取款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医疗</w:t>
            </w:r>
          </w:p>
        </w:tc>
        <w:tc>
          <w:tcPr>
            <w:tcW w:w="7821"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olor w:val="000000"/>
                <w:sz w:val="24"/>
                <w:szCs w:val="24"/>
              </w:rPr>
            </w:pPr>
            <w:r>
              <w:rPr>
                <w:rFonts w:hint="eastAsia" w:ascii="仿宋_GB2312" w:eastAsia="仿宋_GB2312" w:cs="宋体"/>
                <w:color w:val="000000"/>
                <w:sz w:val="24"/>
                <w:szCs w:val="24"/>
                <w:lang w:val="en-US" w:eastAsia="zh-CN"/>
              </w:rPr>
              <w:t>距离莱西培国医院直线距离约为1.2公里，</w:t>
            </w:r>
            <w:r>
              <w:rPr>
                <w:rFonts w:hint="eastAsia" w:ascii="仿宋_GB2312" w:eastAsia="仿宋_GB2312" w:cs="宋体"/>
                <w:color w:val="000000"/>
                <w:sz w:val="24"/>
                <w:szCs w:val="24"/>
              </w:rPr>
              <w:t>距离</w:t>
            </w:r>
            <w:r>
              <w:rPr>
                <w:rFonts w:hint="eastAsia" w:ascii="仿宋_GB2312" w:eastAsia="仿宋_GB2312" w:cs="宋体"/>
                <w:color w:val="000000"/>
                <w:sz w:val="24"/>
                <w:szCs w:val="24"/>
                <w:lang w:val="en-US" w:eastAsia="zh-CN"/>
              </w:rPr>
              <w:t>莱西市人民医院直线距离约为1.3公里</w:t>
            </w:r>
            <w:r>
              <w:rPr>
                <w:rFonts w:hint="eastAsia" w:ascii="仿宋_GB2312" w:eastAsia="仿宋_GB2312"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运动休闲</w:t>
            </w:r>
          </w:p>
        </w:tc>
        <w:tc>
          <w:tcPr>
            <w:tcW w:w="7821"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距离沙岭河公园直线距离约为0.8公里，距离莱西市人民广场直线距离约为0.9公里，距离月湖公园、潴河公园直线距离约为2.0公里，距离梅花山生态园直线距离约为2.4公里。</w:t>
            </w:r>
          </w:p>
        </w:tc>
      </w:tr>
    </w:tbl>
    <w:p>
      <w:pPr>
        <w:spacing w:after="0" w:line="500" w:lineRule="exact"/>
        <w:ind w:firstLine="560" w:firstLineChars="200"/>
        <w:rPr>
          <w:rFonts w:ascii="仿宋_GB2312" w:eastAsia="仿宋_GB2312" w:cs="宋体"/>
          <w:sz w:val="28"/>
          <w:szCs w:val="28"/>
        </w:rPr>
      </w:pPr>
    </w:p>
    <w:tbl>
      <w:tblPr>
        <w:tblStyle w:val="51"/>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7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75" w:type="dxa"/>
            <w:gridSpan w:val="2"/>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s="宋体"/>
                <w:color w:val="000000"/>
                <w:sz w:val="28"/>
                <w:szCs w:val="28"/>
                <w:u w:val="single"/>
              </w:rPr>
              <w:t>交通条件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紧邻道路</w:t>
            </w:r>
          </w:p>
        </w:tc>
        <w:tc>
          <w:tcPr>
            <w:tcW w:w="7656"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right="113"/>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南临红岛路，双向车道。北临上海中路，双向四车道及两条非机动车道。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91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附近公交站点</w:t>
            </w:r>
          </w:p>
        </w:tc>
        <w:tc>
          <w:tcPr>
            <w:tcW w:w="7656" w:type="dxa"/>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eastAsia" w:ascii="仿宋_GB2312" w:hAnsi="Times New Roman" w:eastAsia="仿宋_GB2312" w:cs="宋体"/>
                <w:color w:val="000000"/>
                <w:sz w:val="24"/>
                <w:szCs w:val="24"/>
              </w:rPr>
            </w:pPr>
            <w:r>
              <w:rPr>
                <w:rFonts w:hint="eastAsia" w:ascii="仿宋_GB2312" w:hAnsi="Times New Roman" w:eastAsia="仿宋_GB2312" w:cs="宋体"/>
                <w:color w:val="000000"/>
                <w:sz w:val="24"/>
                <w:szCs w:val="24"/>
              </w:rPr>
              <w:t>附近500米内公交站点共</w:t>
            </w:r>
            <w:r>
              <w:rPr>
                <w:rFonts w:hint="eastAsia" w:ascii="仿宋_GB2312" w:eastAsia="仿宋_GB2312" w:cs="宋体"/>
                <w:color w:val="000000"/>
                <w:sz w:val="24"/>
                <w:szCs w:val="24"/>
                <w:lang w:val="en-US" w:eastAsia="zh-CN"/>
              </w:rPr>
              <w:t>10</w:t>
            </w:r>
            <w:r>
              <w:rPr>
                <w:rFonts w:hint="eastAsia" w:ascii="仿宋_GB2312" w:hAnsi="Times New Roman" w:eastAsia="仿宋_GB2312" w:cs="宋体"/>
                <w:color w:val="000000"/>
                <w:sz w:val="24"/>
                <w:szCs w:val="24"/>
              </w:rPr>
              <w:t>个。</w:t>
            </w:r>
          </w:p>
          <w:p>
            <w:pPr>
              <w:widowControl w:val="0"/>
              <w:spacing w:after="0" w:line="520" w:lineRule="exact"/>
              <w:ind w:left="113" w:right="113"/>
              <w:rPr>
                <w:rFonts w:hint="eastAsia" w:ascii="仿宋_GB2312" w:hAnsi="Times New Roman" w:eastAsia="仿宋_GB2312" w:cs="宋体"/>
                <w:color w:val="000000"/>
                <w:sz w:val="24"/>
                <w:szCs w:val="24"/>
                <w:lang w:val="en-US" w:eastAsia="zh-CN"/>
              </w:rPr>
            </w:pPr>
            <w:r>
              <w:rPr>
                <w:rFonts w:hint="eastAsia" w:ascii="仿宋_GB2312" w:hAnsi="Times New Roman" w:eastAsia="仿宋_GB2312" w:cs="宋体"/>
                <w:color w:val="000000"/>
                <w:sz w:val="24"/>
                <w:szCs w:val="24"/>
                <w:lang w:val="en-US" w:eastAsia="zh-CN"/>
              </w:rPr>
              <w:t>⒈</w:t>
            </w:r>
            <w:r>
              <w:rPr>
                <w:rFonts w:hint="eastAsia" w:ascii="仿宋_GB2312" w:eastAsia="仿宋_GB2312" w:cs="宋体"/>
                <w:color w:val="000000"/>
                <w:sz w:val="24"/>
                <w:szCs w:val="24"/>
                <w:lang w:val="en-US" w:eastAsia="zh-CN"/>
              </w:rPr>
              <w:t>北利群</w:t>
            </w:r>
            <w:r>
              <w:rPr>
                <w:rFonts w:hint="eastAsia" w:ascii="仿宋_GB2312" w:hAnsi="Times New Roman" w:eastAsia="仿宋_GB2312" w:cs="宋体"/>
                <w:color w:val="000000"/>
                <w:sz w:val="24"/>
                <w:szCs w:val="24"/>
                <w:lang w:val="en-US" w:eastAsia="zh-CN"/>
              </w:rPr>
              <w:t>站（途经</w:t>
            </w:r>
            <w:r>
              <w:rPr>
                <w:rFonts w:hint="eastAsia" w:ascii="仿宋_GB2312" w:eastAsia="仿宋_GB2312" w:cs="宋体"/>
                <w:color w:val="000000"/>
                <w:sz w:val="24"/>
                <w:szCs w:val="24"/>
                <w:lang w:val="en-US" w:eastAsia="zh-CN"/>
              </w:rPr>
              <w:t>莱西7路</w:t>
            </w:r>
            <w:r>
              <w:rPr>
                <w:rFonts w:hint="eastAsia" w:ascii="仿宋_GB2312" w:hAnsi="Times New Roman" w:eastAsia="仿宋_GB2312" w:cs="宋体"/>
                <w:color w:val="000000"/>
                <w:sz w:val="24"/>
                <w:szCs w:val="24"/>
                <w:lang w:val="en-US" w:eastAsia="zh-CN"/>
              </w:rPr>
              <w:t>）</w:t>
            </w:r>
            <w:r>
              <w:rPr>
                <w:rFonts w:hint="eastAsia" w:ascii="仿宋_GB2312" w:eastAsia="仿宋_GB2312" w:cs="宋体"/>
                <w:color w:val="000000"/>
                <w:sz w:val="24"/>
                <w:szCs w:val="24"/>
                <w:lang w:val="en-US" w:eastAsia="zh-CN"/>
              </w:rPr>
              <w:t>；</w:t>
            </w:r>
          </w:p>
          <w:p>
            <w:pPr>
              <w:widowControl w:val="0"/>
              <w:spacing w:after="0" w:line="520" w:lineRule="exact"/>
              <w:ind w:left="113" w:right="113"/>
              <w:rPr>
                <w:rFonts w:hint="eastAsia" w:ascii="仿宋_GB2312" w:hAnsi="Times New Roman" w:eastAsia="仿宋_GB2312" w:cs="宋体"/>
                <w:color w:val="000000"/>
                <w:sz w:val="24"/>
                <w:szCs w:val="24"/>
                <w:lang w:val="en-US" w:eastAsia="zh-CN"/>
              </w:rPr>
            </w:pPr>
            <w:r>
              <w:rPr>
                <w:rFonts w:hint="eastAsia" w:ascii="仿宋_GB2312" w:hAnsi="Times New Roman" w:eastAsia="仿宋_GB2312" w:cs="宋体"/>
                <w:color w:val="000000"/>
                <w:sz w:val="24"/>
                <w:szCs w:val="24"/>
                <w:lang w:val="en-US" w:eastAsia="zh-CN"/>
              </w:rPr>
              <w:t>⒉</w:t>
            </w:r>
            <w:r>
              <w:rPr>
                <w:rFonts w:hint="eastAsia" w:ascii="仿宋_GB2312" w:eastAsia="仿宋_GB2312" w:cs="宋体"/>
                <w:color w:val="000000"/>
                <w:sz w:val="24"/>
                <w:szCs w:val="24"/>
                <w:lang w:val="en-US" w:eastAsia="zh-CN"/>
              </w:rPr>
              <w:t>北利群超市</w:t>
            </w:r>
            <w:r>
              <w:rPr>
                <w:rFonts w:hint="eastAsia" w:ascii="仿宋_GB2312" w:hAnsi="Times New Roman" w:eastAsia="仿宋_GB2312" w:cs="宋体"/>
                <w:color w:val="000000"/>
                <w:sz w:val="24"/>
                <w:szCs w:val="24"/>
                <w:lang w:val="en-US" w:eastAsia="zh-CN"/>
              </w:rPr>
              <w:t>站（途经</w:t>
            </w:r>
            <w:r>
              <w:rPr>
                <w:rFonts w:hint="eastAsia" w:ascii="仿宋_GB2312" w:eastAsia="仿宋_GB2312" w:cs="宋体"/>
                <w:color w:val="000000"/>
                <w:sz w:val="24"/>
                <w:szCs w:val="24"/>
                <w:lang w:val="en-US" w:eastAsia="zh-CN"/>
              </w:rPr>
              <w:t>莱西5路、莱西8路</w:t>
            </w:r>
            <w:r>
              <w:rPr>
                <w:rFonts w:hint="eastAsia" w:ascii="仿宋_GB2312" w:hAnsi="Times New Roman" w:eastAsia="仿宋_GB2312" w:cs="宋体"/>
                <w:color w:val="000000"/>
                <w:sz w:val="24"/>
                <w:szCs w:val="24"/>
                <w:lang w:val="en-US" w:eastAsia="zh-CN"/>
              </w:rPr>
              <w:t>）</w:t>
            </w:r>
            <w:r>
              <w:rPr>
                <w:rFonts w:hint="eastAsia" w:ascii="仿宋_GB2312" w:eastAsia="仿宋_GB2312" w:cs="宋体"/>
                <w:color w:val="000000"/>
                <w:sz w:val="24"/>
                <w:szCs w:val="24"/>
                <w:lang w:val="en-US" w:eastAsia="zh-CN"/>
              </w:rPr>
              <w:t>；</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hAnsi="Times New Roman" w:eastAsia="仿宋_GB2312" w:cs="宋体"/>
                <w:color w:val="000000"/>
                <w:sz w:val="24"/>
                <w:szCs w:val="24"/>
                <w:lang w:val="en-US" w:eastAsia="zh-CN"/>
              </w:rPr>
              <w:t>⒊</w:t>
            </w:r>
            <w:r>
              <w:rPr>
                <w:rFonts w:hint="eastAsia" w:ascii="仿宋_GB2312" w:eastAsia="仿宋_GB2312" w:cs="宋体"/>
                <w:color w:val="000000"/>
                <w:sz w:val="24"/>
                <w:szCs w:val="24"/>
                <w:lang w:val="en-US" w:eastAsia="zh-CN"/>
              </w:rPr>
              <w:t>书城</w:t>
            </w:r>
            <w:r>
              <w:rPr>
                <w:rFonts w:hint="eastAsia" w:ascii="仿宋_GB2312" w:hAnsi="Times New Roman" w:eastAsia="仿宋_GB2312" w:cs="宋体"/>
                <w:color w:val="000000"/>
                <w:sz w:val="24"/>
                <w:szCs w:val="24"/>
                <w:lang w:val="en-US" w:eastAsia="zh-CN"/>
              </w:rPr>
              <w:t>站（途经</w:t>
            </w:r>
            <w:r>
              <w:rPr>
                <w:rFonts w:hint="eastAsia" w:ascii="仿宋_GB2312" w:eastAsia="仿宋_GB2312" w:cs="宋体"/>
                <w:color w:val="000000"/>
                <w:sz w:val="24"/>
                <w:szCs w:val="24"/>
                <w:lang w:val="en-US" w:eastAsia="zh-CN"/>
              </w:rPr>
              <w:t>莱西1路、莱西6路</w:t>
            </w:r>
            <w:r>
              <w:rPr>
                <w:rFonts w:hint="eastAsia" w:ascii="仿宋_GB2312" w:hAnsi="Times New Roman" w:eastAsia="仿宋_GB2312" w:cs="宋体"/>
                <w:color w:val="000000"/>
                <w:sz w:val="24"/>
                <w:szCs w:val="24"/>
                <w:lang w:val="en-US" w:eastAsia="zh-CN"/>
              </w:rPr>
              <w:t>）</w:t>
            </w:r>
            <w:r>
              <w:rPr>
                <w:rFonts w:hint="eastAsia" w:ascii="仿宋_GB2312" w:eastAsia="仿宋_GB2312" w:cs="宋体"/>
                <w:color w:val="000000"/>
                <w:sz w:val="24"/>
                <w:szCs w:val="24"/>
                <w:lang w:val="en-US" w:eastAsia="zh-CN"/>
              </w:rPr>
              <w:t>；</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⒋交警大队站（途经莱西1路、莱西5路、莱西7路）；</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⒌锦绣园站（途经莱西6路）；</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⒍颐和花园站（途经莱西6路、莱西7路）；</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⒎雍景园站（途经莱西5路、莱西6路、莱西8路）；</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⒏万象园站（途经莱西5路、莱西6路、莱西8路）；</w:t>
            </w:r>
          </w:p>
          <w:p>
            <w:pPr>
              <w:widowControl w:val="0"/>
              <w:spacing w:after="0" w:line="520" w:lineRule="exact"/>
              <w:ind w:left="113" w:right="113"/>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⒐玺景园站（途经莱西7路）；</w:t>
            </w:r>
          </w:p>
          <w:p>
            <w:pPr>
              <w:widowControl w:val="0"/>
              <w:spacing w:after="0" w:line="520" w:lineRule="exact"/>
              <w:ind w:left="113" w:right="113"/>
              <w:rPr>
                <w:rFonts w:hint="default" w:ascii="仿宋_GB2312" w:eastAsia="仿宋_GB2312"/>
                <w:color w:val="000000"/>
                <w:sz w:val="24"/>
                <w:szCs w:val="24"/>
                <w:lang w:val="en-US" w:eastAsia="zh-CN"/>
              </w:rPr>
            </w:pPr>
            <w:r>
              <w:rPr>
                <w:rFonts w:hint="eastAsia" w:ascii="仿宋_GB2312" w:eastAsia="仿宋_GB2312" w:cs="宋体"/>
                <w:color w:val="000000"/>
                <w:sz w:val="24"/>
                <w:szCs w:val="24"/>
                <w:lang w:val="en-US" w:eastAsia="zh-CN"/>
              </w:rPr>
              <w:t>⒑瑞尔公寓站（途经莱西6路）。</w:t>
            </w:r>
          </w:p>
        </w:tc>
      </w:tr>
    </w:tbl>
    <w:p>
      <w:pPr>
        <w:spacing w:after="0" w:line="500" w:lineRule="exact"/>
        <w:ind w:firstLine="562" w:firstLineChars="200"/>
        <w:rPr>
          <w:rFonts w:ascii="仿宋_GB2312" w:hAnsi="宋体" w:eastAsia="仿宋_GB2312"/>
          <w:b/>
          <w:bCs/>
          <w:sz w:val="28"/>
        </w:rPr>
      </w:pPr>
      <w:r>
        <w:rPr>
          <w:rFonts w:hint="eastAsia" w:ascii="仿宋_GB2312" w:hAnsi="宋体" w:eastAsia="仿宋_GB2312"/>
          <w:b/>
          <w:bCs/>
          <w:sz w:val="28"/>
        </w:rPr>
        <w:t xml:space="preserve">  2、实物状况</w:t>
      </w:r>
    </w:p>
    <w:p>
      <w:pPr>
        <w:spacing w:after="0" w:line="500" w:lineRule="exact"/>
        <w:ind w:firstLine="562" w:firstLineChars="200"/>
        <w:rPr>
          <w:rFonts w:ascii="仿宋_GB2312" w:hAnsi="宋体" w:eastAsia="仿宋_GB2312"/>
          <w:b/>
          <w:bCs/>
          <w:sz w:val="28"/>
        </w:rPr>
      </w:pPr>
      <w:r>
        <w:rPr>
          <w:rFonts w:hint="eastAsia" w:ascii="仿宋_GB2312" w:hAnsi="宋体" w:eastAsia="仿宋_GB2312"/>
          <w:b/>
          <w:bCs/>
          <w:sz w:val="28"/>
        </w:rPr>
        <w:t>（1）土地基本状况：</w:t>
      </w:r>
    </w:p>
    <w:p>
      <w:pPr>
        <w:widowControl w:val="0"/>
        <w:spacing w:after="0" w:line="500" w:lineRule="exact"/>
        <w:ind w:firstLine="560" w:firstLineChars="200"/>
        <w:rPr>
          <w:rFonts w:ascii="仿宋_GB2312" w:eastAsia="仿宋_GB2312" w:cs="宋体"/>
          <w:sz w:val="28"/>
          <w:szCs w:val="28"/>
        </w:rPr>
      </w:pPr>
      <w:r>
        <w:rPr>
          <w:rFonts w:hint="eastAsia" w:ascii="仿宋_GB2312" w:eastAsia="仿宋_GB2312" w:cs="宋体"/>
          <w:sz w:val="28"/>
          <w:szCs w:val="28"/>
        </w:rPr>
        <w:t>根据实地查勘，估价对象土地基本情况如下：</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3228"/>
        <w:gridCol w:w="1674"/>
        <w:gridCol w:w="4725"/>
        <w:gridCol w:w="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坐落</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5E6C6"/>
          </w:tcPr>
          <w:p>
            <w:pPr>
              <w:widowControl w:val="0"/>
              <w:spacing w:after="0" w:line="520" w:lineRule="exact"/>
              <w:ind w:left="113" w:right="113"/>
              <w:jc w:val="center"/>
              <w:rPr>
                <w:rFonts w:hint="eastAsia" w:ascii="仿宋_GB2312" w:eastAsia="仿宋_GB2312"/>
                <w:color w:val="000000"/>
                <w:sz w:val="24"/>
                <w:szCs w:val="24"/>
                <w:lang w:eastAsia="zh-CN"/>
              </w:rPr>
            </w:pPr>
            <w:r>
              <w:rPr>
                <w:rFonts w:hint="eastAsia" w:ascii="仿宋_GB2312" w:eastAsia="仿宋_GB2312"/>
                <w:color w:val="000000"/>
                <w:sz w:val="24"/>
                <w:szCs w:val="24"/>
                <w:lang w:eastAsia="zh-CN"/>
              </w:rPr>
              <w:t>莱西市红岛中路7号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所在地块四至</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right="113"/>
              <w:rPr>
                <w:rFonts w:hint="eastAsia" w:ascii="仿宋_GB2312" w:eastAsia="仿宋_GB2312"/>
                <w:color w:val="000000"/>
                <w:sz w:val="24"/>
                <w:szCs w:val="24"/>
                <w:lang w:eastAsia="zh-CN"/>
              </w:rPr>
            </w:pPr>
            <w:r>
              <w:rPr>
                <w:rFonts w:hint="eastAsia" w:ascii="仿宋_GB2312" w:eastAsia="仿宋_GB2312"/>
                <w:color w:val="000000"/>
                <w:sz w:val="24"/>
                <w:szCs w:val="24"/>
              </w:rPr>
              <w:t>东</w:t>
            </w:r>
            <w:r>
              <w:rPr>
                <w:rFonts w:hint="eastAsia" w:ascii="仿宋_GB2312" w:eastAsia="仿宋_GB2312"/>
                <w:color w:val="000000"/>
                <w:sz w:val="24"/>
                <w:szCs w:val="24"/>
                <w:lang w:val="en-US" w:eastAsia="zh-CN"/>
              </w:rPr>
              <w:t>临</w:t>
            </w:r>
            <w:r>
              <w:rPr>
                <w:rFonts w:hint="eastAsia" w:ascii="仿宋_GB2312" w:eastAsia="仿宋_GB2312"/>
                <w:color w:val="000000"/>
                <w:sz w:val="24"/>
                <w:szCs w:val="24"/>
              </w:rPr>
              <w:t>：</w:t>
            </w:r>
            <w:r>
              <w:rPr>
                <w:rFonts w:hint="eastAsia" w:ascii="仿宋_GB2312" w:eastAsia="仿宋_GB2312"/>
                <w:color w:val="000000"/>
                <w:sz w:val="24"/>
                <w:szCs w:val="24"/>
                <w:lang w:val="en-US" w:eastAsia="zh-CN"/>
              </w:rPr>
              <w:t>烟台路</w:t>
            </w:r>
          </w:p>
          <w:p>
            <w:pPr>
              <w:widowControl w:val="0"/>
              <w:spacing w:after="0" w:line="520" w:lineRule="exact"/>
              <w:ind w:right="113"/>
              <w:rPr>
                <w:rFonts w:hint="default" w:ascii="仿宋_GB2312" w:eastAsia="仿宋_GB2312"/>
                <w:color w:val="000000"/>
                <w:sz w:val="24"/>
                <w:szCs w:val="24"/>
                <w:lang w:val="en-US" w:eastAsia="zh-CN"/>
              </w:rPr>
            </w:pPr>
            <w:r>
              <w:rPr>
                <w:rFonts w:hint="eastAsia" w:ascii="仿宋_GB2312" w:eastAsia="仿宋_GB2312"/>
                <w:color w:val="000000"/>
                <w:sz w:val="24"/>
                <w:szCs w:val="24"/>
              </w:rPr>
              <w:t>南临：</w:t>
            </w:r>
            <w:r>
              <w:rPr>
                <w:rFonts w:hint="eastAsia" w:ascii="仿宋_GB2312" w:eastAsia="仿宋_GB2312"/>
                <w:color w:val="000000"/>
                <w:sz w:val="24"/>
                <w:szCs w:val="24"/>
                <w:lang w:val="en-US" w:eastAsia="zh-CN"/>
              </w:rPr>
              <w:t>红岛路</w:t>
            </w:r>
          </w:p>
          <w:p>
            <w:pPr>
              <w:widowControl w:val="0"/>
              <w:spacing w:after="0" w:line="520" w:lineRule="exact"/>
              <w:ind w:right="113"/>
              <w:rPr>
                <w:rFonts w:hint="eastAsia" w:ascii="仿宋_GB2312" w:eastAsia="仿宋_GB2312"/>
                <w:color w:val="000000"/>
                <w:sz w:val="24"/>
                <w:szCs w:val="24"/>
                <w:lang w:eastAsia="zh-CN"/>
              </w:rPr>
            </w:pPr>
            <w:r>
              <w:rPr>
                <w:rFonts w:hint="eastAsia" w:ascii="仿宋_GB2312" w:eastAsia="仿宋_GB2312"/>
                <w:color w:val="000000"/>
                <w:sz w:val="24"/>
                <w:szCs w:val="24"/>
              </w:rPr>
              <w:t>西</w:t>
            </w:r>
            <w:r>
              <w:rPr>
                <w:rFonts w:hint="eastAsia" w:ascii="仿宋_GB2312" w:eastAsia="仿宋_GB2312"/>
                <w:color w:val="000000"/>
                <w:sz w:val="24"/>
                <w:szCs w:val="24"/>
                <w:lang w:val="en-US" w:eastAsia="zh-CN"/>
              </w:rPr>
              <w:t>临</w:t>
            </w:r>
            <w:r>
              <w:rPr>
                <w:rFonts w:hint="eastAsia" w:ascii="仿宋_GB2312" w:eastAsia="仿宋_GB2312"/>
                <w:color w:val="000000"/>
                <w:sz w:val="24"/>
                <w:szCs w:val="24"/>
              </w:rPr>
              <w:t>：</w:t>
            </w:r>
            <w:r>
              <w:rPr>
                <w:rFonts w:hint="eastAsia" w:ascii="仿宋_GB2312" w:eastAsia="仿宋_GB2312"/>
                <w:color w:val="000000"/>
                <w:sz w:val="24"/>
                <w:szCs w:val="24"/>
                <w:lang w:val="en-US" w:eastAsia="zh-CN"/>
              </w:rPr>
              <w:t>长岛路</w:t>
            </w:r>
          </w:p>
          <w:p>
            <w:pPr>
              <w:widowControl w:val="0"/>
              <w:spacing w:after="0" w:line="520" w:lineRule="exact"/>
              <w:ind w:right="113"/>
              <w:rPr>
                <w:rFonts w:hint="default" w:ascii="仿宋_GB2312" w:eastAsia="仿宋_GB2312"/>
                <w:color w:val="000000"/>
                <w:sz w:val="24"/>
                <w:szCs w:val="24"/>
                <w:lang w:val="en-US"/>
              </w:rPr>
            </w:pPr>
            <w:r>
              <w:rPr>
                <w:rFonts w:hint="eastAsia" w:ascii="仿宋_GB2312" w:eastAsia="仿宋_GB2312"/>
                <w:color w:val="000000"/>
                <w:sz w:val="24"/>
                <w:szCs w:val="24"/>
              </w:rPr>
              <w:t>北</w:t>
            </w:r>
            <w:r>
              <w:rPr>
                <w:rFonts w:hint="eastAsia" w:ascii="仿宋_GB2312" w:eastAsia="仿宋_GB2312"/>
                <w:color w:val="000000"/>
                <w:sz w:val="24"/>
                <w:szCs w:val="24"/>
                <w:lang w:val="en-US" w:eastAsia="zh-CN"/>
              </w:rPr>
              <w:t>临</w:t>
            </w:r>
            <w:r>
              <w:rPr>
                <w:rFonts w:hint="eastAsia" w:ascii="仿宋_GB2312" w:eastAsia="仿宋_GB2312"/>
                <w:color w:val="000000"/>
                <w:sz w:val="24"/>
                <w:szCs w:val="24"/>
              </w:rPr>
              <w:t>：</w:t>
            </w:r>
            <w:r>
              <w:rPr>
                <w:rFonts w:hint="eastAsia" w:ascii="仿宋_GB2312" w:eastAsia="仿宋_GB2312"/>
                <w:color w:val="000000"/>
                <w:sz w:val="24"/>
                <w:szCs w:val="24"/>
                <w:lang w:val="en-US" w:eastAsia="zh-CN"/>
              </w:rPr>
              <w:t>上海中路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土地形状</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hint="eastAsia" w:ascii="仿宋_GB2312" w:eastAsia="仿宋_GB2312"/>
                <w:color w:val="000000"/>
                <w:sz w:val="24"/>
                <w:szCs w:val="24"/>
                <w:lang w:eastAsia="zh-CN"/>
              </w:rPr>
            </w:pPr>
            <w:r>
              <w:rPr>
                <w:rFonts w:hint="eastAsia" w:ascii="仿宋_GB2312" w:eastAsia="仿宋_GB2312"/>
                <w:color w:val="000000"/>
                <w:sz w:val="24"/>
                <w:szCs w:val="24"/>
              </w:rPr>
              <w:t>较规则</w:t>
            </w:r>
            <w:r>
              <w:rPr>
                <w:rFonts w:hint="eastAsia" w:ascii="仿宋_GB2312" w:eastAsia="仿宋_GB2312"/>
                <w:color w:val="000000"/>
                <w:sz w:val="24"/>
                <w:szCs w:val="24"/>
                <w:lang w:val="en-US" w:eastAsia="zh-CN"/>
              </w:rPr>
              <w:t>多</w:t>
            </w:r>
            <w:r>
              <w:rPr>
                <w:rFonts w:hint="eastAsia" w:ascii="仿宋_GB2312" w:eastAsia="仿宋_GB2312"/>
                <w:color w:val="000000"/>
                <w:sz w:val="24"/>
                <w:szCs w:val="24"/>
                <w:lang w:eastAsia="zh-CN"/>
              </w:rPr>
              <w:t>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周边地势</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olor w:val="000000"/>
                <w:sz w:val="24"/>
                <w:szCs w:val="24"/>
              </w:rPr>
            </w:pPr>
            <w:r>
              <w:rPr>
                <w:rFonts w:hint="eastAsia" w:ascii="仿宋_GB2312" w:eastAsia="仿宋_GB2312"/>
                <w:color w:val="000000"/>
                <w:sz w:val="24"/>
                <w:szCs w:val="24"/>
              </w:rPr>
              <w:t>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基础设施</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olor w:val="000000"/>
                <w:sz w:val="24"/>
                <w:szCs w:val="24"/>
              </w:rPr>
            </w:pPr>
            <w:r>
              <w:rPr>
                <w:rFonts w:hint="eastAsia" w:ascii="仿宋_GB2312" w:eastAsia="仿宋_GB2312"/>
                <w:color w:val="000000"/>
                <w:sz w:val="24"/>
                <w:szCs w:val="24"/>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公共设施</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olor w:val="000000"/>
                <w:sz w:val="24"/>
                <w:szCs w:val="24"/>
              </w:rPr>
            </w:pPr>
            <w:r>
              <w:rPr>
                <w:rFonts w:hint="eastAsia" w:ascii="仿宋_GB2312" w:eastAsia="仿宋_GB2312"/>
                <w:color w:val="000000"/>
                <w:sz w:val="24"/>
                <w:szCs w:val="24"/>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 w:type="dxa"/>
          <w:wAfter w:w="140" w:type="dxa"/>
          <w:jc w:val="center"/>
        </w:trPr>
        <w:tc>
          <w:tcPr>
            <w:tcW w:w="326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20" w:lineRule="exact"/>
              <w:ind w:left="113" w:right="113"/>
              <w:jc w:val="center"/>
              <w:rPr>
                <w:rFonts w:ascii="仿宋_GB2312" w:eastAsia="仿宋_GB2312"/>
                <w:color w:val="000000"/>
                <w:sz w:val="24"/>
                <w:szCs w:val="24"/>
              </w:rPr>
            </w:pPr>
            <w:r>
              <w:rPr>
                <w:rFonts w:hint="eastAsia" w:ascii="仿宋_GB2312" w:eastAsia="仿宋_GB2312"/>
                <w:color w:val="000000"/>
                <w:sz w:val="24"/>
                <w:szCs w:val="24"/>
              </w:rPr>
              <w:t>土地开发程度</w:t>
            </w:r>
          </w:p>
        </w:tc>
        <w:tc>
          <w:tcPr>
            <w:tcW w:w="6346" w:type="dxa"/>
            <w:gridSpan w:val="2"/>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rPr>
                <w:rFonts w:ascii="仿宋_GB2312" w:eastAsia="仿宋_GB2312"/>
                <w:color w:val="000000"/>
                <w:sz w:val="24"/>
                <w:szCs w:val="24"/>
              </w:rPr>
            </w:pPr>
            <w:r>
              <w:rPr>
                <w:rFonts w:hint="eastAsia" w:ascii="仿宋_GB2312" w:eastAsia="仿宋_GB2312"/>
                <w:color w:val="000000"/>
                <w:sz w:val="24"/>
                <w:szCs w:val="24"/>
              </w:rPr>
              <w:t>红线外达到“七通”（包括通路、上水、下水、供电、通讯、供暖、供气），供电、给水保证率较高，排水通畅，完全能足生活需要。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8" w:type="dxa"/>
            <w:gridSpan w:val="5"/>
            <w:tcBorders>
              <w:top w:val="single" w:color="E1BC64" w:sz="8" w:space="0"/>
              <w:left w:val="single" w:color="E1BC64" w:sz="8" w:space="0"/>
              <w:bottom w:val="single" w:color="E1BC64" w:sz="8" w:space="0"/>
              <w:right w:val="single" w:color="E1BC64" w:sz="8" w:space="0"/>
            </w:tcBorders>
            <w:shd w:val="clear" w:color="auto" w:fill="FEFEFE"/>
            <w:vAlign w:val="bottom"/>
          </w:tcPr>
          <w:p>
            <w:pPr>
              <w:widowControl w:val="0"/>
              <w:spacing w:after="0" w:line="240" w:lineRule="auto"/>
              <w:jc w:val="center"/>
              <w:rPr>
                <w:rFonts w:ascii="仿宋_GB2312" w:hAnsi="宋体" w:eastAsia="仿宋_GB2312"/>
                <w:color w:val="000000"/>
                <w:sz w:val="28"/>
                <w:szCs w:val="28"/>
              </w:rPr>
            </w:pPr>
            <w:r>
              <w:rPr>
                <w:color w:val="000000"/>
              </w:rPr>
              <w:drawing>
                <wp:inline distT="0" distB="0" distL="114300" distR="114300">
                  <wp:extent cx="6062980" cy="2192020"/>
                  <wp:effectExtent l="0" t="0" r="13970" b="1778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1"/>
                          <a:stretch>
                            <a:fillRect/>
                          </a:stretch>
                        </pic:blipFill>
                        <pic:spPr>
                          <a:xfrm>
                            <a:off x="0" y="0"/>
                            <a:ext cx="6062980" cy="2192020"/>
                          </a:xfrm>
                          <a:prstGeom prst="rect">
                            <a:avLst/>
                          </a:prstGeom>
                          <a:noFill/>
                          <a:ln>
                            <a:noFill/>
                          </a:ln>
                        </pic:spPr>
                      </pic:pic>
                    </a:graphicData>
                  </a:graphic>
                </wp:inline>
              </w:drawing>
            </w:r>
            <w:r>
              <w:rPr>
                <w:rFonts w:hint="eastAsia" w:ascii="仿宋_GB2312" w:hAnsi="宋体" w:eastAsia="仿宋_GB2312"/>
                <w:color w:val="000000"/>
                <w:sz w:val="28"/>
                <w:szCs w:val="28"/>
              </w:rPr>
              <w:t>估价对象地块位置图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904" w:type="dxa"/>
            <w:gridSpan w:val="3"/>
            <w:tcBorders>
              <w:top w:val="single" w:color="E1BC64" w:sz="8" w:space="0"/>
              <w:left w:val="single" w:color="E1BC64" w:sz="8" w:space="0"/>
              <w:bottom w:val="single" w:color="E1BC64" w:sz="8" w:space="0"/>
              <w:right w:val="single" w:color="E1BC64" w:sz="8" w:space="0"/>
            </w:tcBorders>
            <w:shd w:val="clear" w:color="auto" w:fill="FEFEFE"/>
            <w:vAlign w:val="bottom"/>
          </w:tcPr>
          <w:p>
            <w:pPr>
              <w:widowControl w:val="0"/>
              <w:spacing w:after="0" w:line="240" w:lineRule="auto"/>
              <w:jc w:val="center"/>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eastAsia="zh-CN"/>
              </w:rPr>
              <w:drawing>
                <wp:inline distT="0" distB="0" distL="114300" distR="114300">
                  <wp:extent cx="3061970" cy="2296795"/>
                  <wp:effectExtent l="0" t="0" r="5080" b="8255"/>
                  <wp:docPr id="33" name="图片 33" descr="IMG202201191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20220119115016"/>
                          <pic:cNvPicPr>
                            <a:picLocks noChangeAspect="1"/>
                          </pic:cNvPicPr>
                        </pic:nvPicPr>
                        <pic:blipFill>
                          <a:blip r:embed="rId12"/>
                          <a:stretch>
                            <a:fillRect/>
                          </a:stretch>
                        </pic:blipFill>
                        <pic:spPr>
                          <a:xfrm>
                            <a:off x="0" y="0"/>
                            <a:ext cx="3061970" cy="2296795"/>
                          </a:xfrm>
                          <a:prstGeom prst="rect">
                            <a:avLst/>
                          </a:prstGeom>
                        </pic:spPr>
                      </pic:pic>
                    </a:graphicData>
                  </a:graphic>
                </wp:inline>
              </w:drawing>
            </w:r>
            <w:r>
              <w:rPr>
                <w:rFonts w:hint="eastAsia" w:ascii="仿宋_GB2312" w:hAnsi="宋体" w:eastAsia="仿宋_GB2312"/>
                <w:color w:val="000000"/>
                <w:sz w:val="28"/>
                <w:szCs w:val="28"/>
                <w:lang w:val="en-US" w:eastAsia="zh-CN"/>
              </w:rPr>
              <w:t>红岛路（双向车道）</w:t>
            </w:r>
          </w:p>
        </w:tc>
        <w:tc>
          <w:tcPr>
            <w:tcW w:w="4874" w:type="dxa"/>
            <w:gridSpan w:val="2"/>
            <w:tcBorders>
              <w:top w:val="single" w:color="E1BC64" w:sz="8" w:space="0"/>
              <w:left w:val="single" w:color="E1BC64" w:sz="8" w:space="0"/>
              <w:bottom w:val="single" w:color="E1BC64" w:sz="8" w:space="0"/>
              <w:right w:val="single" w:color="E1BC64" w:sz="8" w:space="0"/>
            </w:tcBorders>
            <w:shd w:val="clear" w:color="auto" w:fill="FEFEFE"/>
            <w:vAlign w:val="bottom"/>
          </w:tcPr>
          <w:p>
            <w:pPr>
              <w:widowControl w:val="0"/>
              <w:spacing w:after="0" w:line="240" w:lineRule="auto"/>
              <w:jc w:val="center"/>
              <w:rPr>
                <w:rFonts w:hint="default" w:ascii="仿宋_GB2312" w:hAnsi="宋体" w:eastAsia="仿宋_GB2312"/>
                <w:color w:val="000000"/>
                <w:sz w:val="28"/>
                <w:szCs w:val="28"/>
                <w:lang w:val="en-US" w:eastAsia="zh-CN"/>
              </w:rPr>
            </w:pPr>
            <w:r>
              <w:rPr>
                <w:rFonts w:hint="eastAsia" w:ascii="仿宋_GB2312" w:hAnsi="宋体" w:eastAsia="仿宋_GB2312"/>
                <w:color w:val="000000"/>
                <w:sz w:val="28"/>
                <w:szCs w:val="28"/>
                <w:lang w:eastAsia="zh-CN"/>
              </w:rPr>
              <w:drawing>
                <wp:inline distT="0" distB="0" distL="114300" distR="114300">
                  <wp:extent cx="3042920" cy="2282190"/>
                  <wp:effectExtent l="0" t="0" r="5080" b="3810"/>
                  <wp:docPr id="34" name="图片 34" descr="IMG202201191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20220119115013"/>
                          <pic:cNvPicPr>
                            <a:picLocks noChangeAspect="1"/>
                          </pic:cNvPicPr>
                        </pic:nvPicPr>
                        <pic:blipFill>
                          <a:blip r:embed="rId13"/>
                          <a:stretch>
                            <a:fillRect/>
                          </a:stretch>
                        </pic:blipFill>
                        <pic:spPr>
                          <a:xfrm>
                            <a:off x="0" y="0"/>
                            <a:ext cx="3042920" cy="2282190"/>
                          </a:xfrm>
                          <a:prstGeom prst="rect">
                            <a:avLst/>
                          </a:prstGeom>
                        </pic:spPr>
                      </pic:pic>
                    </a:graphicData>
                  </a:graphic>
                </wp:inline>
              </w:drawing>
            </w:r>
            <w:r>
              <w:rPr>
                <w:rFonts w:hint="eastAsia" w:ascii="仿宋_GB2312" w:hAnsi="宋体" w:eastAsia="仿宋_GB2312"/>
                <w:color w:val="000000"/>
                <w:sz w:val="28"/>
                <w:szCs w:val="28"/>
                <w:lang w:val="en-US" w:eastAsia="zh-CN"/>
              </w:rPr>
              <w:t>小区南侧出入口</w:t>
            </w:r>
          </w:p>
        </w:tc>
      </w:tr>
    </w:tbl>
    <w:p>
      <w:pPr>
        <w:widowControl w:val="0"/>
        <w:numPr>
          <w:ilvl w:val="0"/>
          <w:numId w:val="4"/>
        </w:numPr>
        <w:spacing w:after="0" w:line="500" w:lineRule="exact"/>
        <w:ind w:left="440" w:firstLine="562" w:firstLineChars="200"/>
        <w:rPr>
          <w:rFonts w:ascii="仿宋_GB2312" w:hAnsi="宋体" w:eastAsia="仿宋_GB2312"/>
          <w:b/>
          <w:bCs/>
          <w:sz w:val="28"/>
        </w:rPr>
      </w:pPr>
      <w:r>
        <w:rPr>
          <w:rFonts w:hint="eastAsia" w:ascii="仿宋_GB2312" w:hAnsi="宋体" w:eastAsia="仿宋_GB2312"/>
          <w:b/>
          <w:bCs/>
          <w:sz w:val="28"/>
        </w:rPr>
        <w:t>建筑物基本状况：</w:t>
      </w:r>
    </w:p>
    <w:bookmarkEnd w:id="87"/>
    <w:p>
      <w:pPr>
        <w:pStyle w:val="2"/>
        <w:spacing w:after="0" w:line="500" w:lineRule="exact"/>
        <w:ind w:firstLine="560" w:firstLineChars="200"/>
      </w:pPr>
      <w:bookmarkStart w:id="88" w:name="_Toc340240493"/>
      <w:bookmarkStart w:id="89" w:name="_Toc340152783"/>
      <w:bookmarkStart w:id="90" w:name="_Toc17801"/>
      <w:r>
        <w:rPr>
          <w:rFonts w:hint="eastAsia" w:ascii="仿宋_GB2312" w:hAnsi="宋体" w:eastAsia="仿宋_GB2312"/>
        </w:rPr>
        <w:t>经实地查勘，情况如下：</w:t>
      </w:r>
    </w:p>
    <w:tbl>
      <w:tblPr>
        <w:tblStyle w:val="52"/>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753"/>
        <w:gridCol w:w="7"/>
        <w:gridCol w:w="5"/>
        <w:gridCol w:w="595"/>
        <w:gridCol w:w="1064"/>
        <w:gridCol w:w="5"/>
        <w:gridCol w:w="429"/>
        <w:gridCol w:w="5"/>
        <w:gridCol w:w="21"/>
        <w:gridCol w:w="330"/>
        <w:gridCol w:w="840"/>
        <w:gridCol w:w="138"/>
        <w:gridCol w:w="22"/>
        <w:gridCol w:w="15"/>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16"/>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spacing w:after="0" w:line="500" w:lineRule="exact"/>
              <w:jc w:val="center"/>
              <w:rPr>
                <w:rFonts w:ascii="仿宋_GB2312" w:eastAsia="仿宋_GB2312" w:cs="宋体"/>
                <w:color w:val="000000"/>
                <w:sz w:val="24"/>
                <w:szCs w:val="24"/>
              </w:rPr>
            </w:pPr>
            <w:r>
              <w:rPr>
                <w:rFonts w:hint="eastAsia" w:ascii="仿宋_GB2312" w:eastAsia="仿宋_GB2312" w:cs="宋体"/>
                <w:color w:val="000000"/>
                <w:sz w:val="24"/>
                <w:szCs w:val="24"/>
              </w:rPr>
              <w:t>房地产实物状况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67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房产坐落</w:t>
            </w: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eastAsia="zh-CN"/>
              </w:rPr>
              <w:t>山东省青岛莱西市红岛中路7号上海花苑24号楼（</w:t>
            </w:r>
            <w:r>
              <w:rPr>
                <w:rFonts w:hint="eastAsia" w:ascii="仿宋_GB2312" w:eastAsia="仿宋_GB2312" w:cs="宋体"/>
                <w:color w:val="000000"/>
                <w:sz w:val="24"/>
                <w:szCs w:val="24"/>
                <w:lang w:val="en-US" w:eastAsia="zh-CN"/>
              </w:rPr>
              <w:t>证载E3#楼</w:t>
            </w:r>
            <w:r>
              <w:rPr>
                <w:rFonts w:hint="eastAsia" w:ascii="仿宋_GB2312" w:eastAsia="仿宋_GB2312" w:cs="宋体"/>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67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小区名称</w:t>
            </w: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20" w:lineRule="exact"/>
              <w:ind w:left="113" w:right="113"/>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莱西市上海花苑。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ascii="仿宋_GB2312" w:eastAsia="仿宋_GB2312" w:cs="宋体"/>
                <w:color w:val="000000"/>
                <w:sz w:val="24"/>
                <w:szCs w:val="24"/>
              </w:rPr>
            </w:pPr>
            <w:r>
              <w:rPr>
                <w:rFonts w:hint="eastAsia" w:ascii="仿宋_GB2312" w:eastAsia="仿宋_GB2312" w:cs="宋体"/>
                <w:color w:val="000000"/>
                <w:sz w:val="24"/>
                <w:szCs w:val="24"/>
              </w:rPr>
              <w:t>停车位状况</w:t>
            </w: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hAnsi="宋体" w:eastAsia="仿宋_GB2312"/>
                <w:color w:val="000000"/>
                <w:sz w:val="24"/>
                <w:szCs w:val="24"/>
              </w:rPr>
              <w:t>地上停车位</w:t>
            </w:r>
            <w:r>
              <w:rPr>
                <w:rFonts w:hint="eastAsia" w:ascii="仿宋_GB2312" w:hAnsi="宋体" w:eastAsia="仿宋_GB2312"/>
                <w:color w:val="000000"/>
                <w:sz w:val="24"/>
                <w:szCs w:val="24"/>
                <w:lang w:val="en-US" w:eastAsia="zh-CN"/>
              </w:rPr>
              <w:t>及地上车库。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67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ascii="仿宋_GB2312" w:eastAsia="仿宋_GB2312" w:cs="宋体"/>
                <w:color w:val="000000"/>
                <w:sz w:val="24"/>
                <w:szCs w:val="24"/>
              </w:rPr>
            </w:pPr>
            <w:r>
              <w:rPr>
                <w:rFonts w:hint="eastAsia" w:ascii="仿宋_GB2312" w:eastAsia="仿宋_GB2312" w:cs="宋体"/>
                <w:color w:val="000000"/>
                <w:sz w:val="24"/>
                <w:szCs w:val="24"/>
              </w:rPr>
              <w:t>基础设施配套状况</w:t>
            </w: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ascii="仿宋_GB2312" w:eastAsia="仿宋_GB2312" w:cs="宋体"/>
                <w:color w:val="000000"/>
                <w:sz w:val="24"/>
                <w:szCs w:val="24"/>
              </w:rPr>
            </w:pPr>
            <w:r>
              <w:rPr>
                <w:rFonts w:hint="eastAsia" w:ascii="仿宋_GB2312" w:eastAsia="仿宋_GB2312" w:cs="宋体"/>
                <w:color w:val="000000"/>
                <w:sz w:val="24"/>
                <w:szCs w:val="24"/>
              </w:rPr>
              <w:t>供暖、供气、上下水等。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房屋结构</w:t>
            </w: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both"/>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所在楼幢情况</w:t>
            </w: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所在楼号</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24号楼（证载E3#楼）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4051" w:type="dxa"/>
            <w:gridSpan w:val="11"/>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240" w:lineRule="auto"/>
              <w:jc w:val="both"/>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drawing>
                <wp:inline distT="0" distB="0" distL="114300" distR="114300">
                  <wp:extent cx="2482215" cy="1861820"/>
                  <wp:effectExtent l="0" t="0" r="13335" b="5080"/>
                  <wp:docPr id="31" name="图片 31" descr="IMG2022011911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20220119110702"/>
                          <pic:cNvPicPr>
                            <a:picLocks noChangeAspect="1"/>
                          </pic:cNvPicPr>
                        </pic:nvPicPr>
                        <pic:blipFill>
                          <a:blip r:embed="rId14"/>
                          <a:stretch>
                            <a:fillRect/>
                          </a:stretch>
                        </pic:blipFill>
                        <pic:spPr>
                          <a:xfrm>
                            <a:off x="0" y="0"/>
                            <a:ext cx="2482215" cy="1861820"/>
                          </a:xfrm>
                          <a:prstGeom prst="rect">
                            <a:avLst/>
                          </a:prstGeom>
                        </pic:spPr>
                      </pic:pic>
                    </a:graphicData>
                  </a:graphic>
                </wp:inline>
              </w:drawing>
            </w:r>
          </w:p>
        </w:tc>
        <w:tc>
          <w:tcPr>
            <w:tcW w:w="4051"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240" w:lineRule="auto"/>
              <w:jc w:val="both"/>
              <w:rPr>
                <w:rFonts w:hint="eastAsia"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drawing>
                <wp:inline distT="0" distB="0" distL="114300" distR="114300">
                  <wp:extent cx="2468880" cy="1851660"/>
                  <wp:effectExtent l="0" t="0" r="7620" b="15240"/>
                  <wp:docPr id="30" name="图片 30" descr="IMG2022011911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20119110415"/>
                          <pic:cNvPicPr>
                            <a:picLocks noChangeAspect="1"/>
                          </pic:cNvPicPr>
                        </pic:nvPicPr>
                        <pic:blipFill>
                          <a:blip r:embed="rId15"/>
                          <a:stretch>
                            <a:fillRect/>
                          </a:stretch>
                        </pic:blipFill>
                        <pic:spPr>
                          <a:xfrm>
                            <a:off x="0" y="0"/>
                            <a:ext cx="2468880" cy="1851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楼层情况</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经现场查勘，估价对象所在楼幢地上总层数为8层，1层为附房及车库，2-7层为住宅层，8层为阁楼层。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center"/>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所在单元</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3单元，共3个单元。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color w:val="000000"/>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外观</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eastAsia" w:ascii="仿宋_GB2312" w:eastAsia="仿宋_GB2312" w:cs="宋体"/>
                <w:color w:val="000000"/>
                <w:sz w:val="24"/>
                <w:szCs w:val="24"/>
                <w:lang w:eastAsia="zh-CN"/>
              </w:rPr>
            </w:pPr>
            <w:r>
              <w:rPr>
                <w:rFonts w:hint="eastAsia" w:ascii="仿宋_GB2312" w:eastAsia="仿宋_GB2312" w:cs="宋体"/>
                <w:color w:val="000000"/>
                <w:sz w:val="24"/>
                <w:szCs w:val="24"/>
                <w:lang w:eastAsia="zh-CN"/>
              </w:rPr>
              <w:t>整体为涂料粉刷。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color w:val="000000"/>
              </w:rPr>
            </w:pPr>
          </w:p>
        </w:tc>
        <w:tc>
          <w:tcPr>
            <w:tcW w:w="1361"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楼道</w:t>
            </w:r>
          </w:p>
        </w:tc>
        <w:tc>
          <w:tcPr>
            <w:tcW w:w="1520"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地面</w:t>
            </w:r>
          </w:p>
        </w:tc>
        <w:tc>
          <w:tcPr>
            <w:tcW w:w="5221"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大理石地面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color w:val="000000"/>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520"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墙面</w:t>
            </w:r>
          </w:p>
        </w:tc>
        <w:tc>
          <w:tcPr>
            <w:tcW w:w="5221"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涂料粉刷。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color w:val="000000"/>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520"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顶棚</w:t>
            </w:r>
          </w:p>
        </w:tc>
        <w:tc>
          <w:tcPr>
            <w:tcW w:w="5221"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lang w:val="en-US" w:eastAsia="zh-CN"/>
              </w:rPr>
            </w:pPr>
            <w:r>
              <w:rPr>
                <w:rFonts w:hint="eastAsia" w:ascii="仿宋_GB2312" w:eastAsia="仿宋_GB2312" w:cs="宋体"/>
                <w:color w:val="000000"/>
                <w:sz w:val="24"/>
                <w:szCs w:val="24"/>
                <w:lang w:val="en-US" w:eastAsia="zh-CN"/>
              </w:rPr>
              <w:t>涂料粉刷。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both"/>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82" name="图片 82" descr="IMG2022011911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20220119110308"/>
                          <pic:cNvPicPr>
                            <a:picLocks noChangeAspect="1"/>
                          </pic:cNvPicPr>
                        </pic:nvPicPr>
                        <pic:blipFill>
                          <a:blip r:embed="rId16"/>
                          <a:stretch>
                            <a:fillRect/>
                          </a:stretch>
                        </pic:blipFill>
                        <pic:spPr>
                          <a:xfrm>
                            <a:off x="0" y="0"/>
                            <a:ext cx="2964815" cy="2223770"/>
                          </a:xfrm>
                          <a:prstGeom prst="rect">
                            <a:avLst/>
                          </a:prstGeom>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both"/>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83" name="图片 83" descr="IMG2022011910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20220119105616"/>
                          <pic:cNvPicPr>
                            <a:picLocks noChangeAspect="1"/>
                          </pic:cNvPicPr>
                        </pic:nvPicPr>
                        <pic:blipFill>
                          <a:blip r:embed="rId17"/>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上海花苑24号楼（证载E3#楼）3单元401户（含附房）</w:t>
            </w: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朝向</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主朝向为南向。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户型</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3室2厅2卫，南北通透户型。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8102" w:type="dxa"/>
            <w:gridSpan w:val="1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r>
              <w:rPr>
                <w:color w:val="000000"/>
              </w:rPr>
              <w:drawing>
                <wp:inline distT="0" distB="0" distL="114300" distR="114300">
                  <wp:extent cx="3165475" cy="2973705"/>
                  <wp:effectExtent l="0" t="0" r="15875" b="1714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8"/>
                          <a:stretch>
                            <a:fillRect/>
                          </a:stretch>
                        </pic:blipFill>
                        <pic:spPr>
                          <a:xfrm>
                            <a:off x="0" y="0"/>
                            <a:ext cx="3165475" cy="29737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层高</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室内净高为2.55米。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配套</w:t>
            </w: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地暖、上下水等。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lang w:eastAsia="zh-CN"/>
              </w:rPr>
            </w:pPr>
          </w:p>
        </w:tc>
        <w:tc>
          <w:tcPr>
            <w:tcW w:w="1361"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附房</w:t>
            </w:r>
          </w:p>
        </w:tc>
        <w:tc>
          <w:tcPr>
            <w:tcW w:w="1494"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部位</w:t>
            </w:r>
          </w:p>
        </w:tc>
        <w:tc>
          <w:tcPr>
            <w:tcW w:w="5247" w:type="dxa"/>
            <w:gridSpan w:val="8"/>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本单元1层东4户。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color w:val="000000"/>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eastAsia" w:ascii="仿宋_GB2312" w:eastAsia="仿宋_GB2312" w:cs="宋体"/>
                <w:color w:val="000000"/>
                <w:sz w:val="24"/>
                <w:szCs w:val="24"/>
                <w:highlight w:val="none"/>
                <w:lang w:val="en-US" w:eastAsia="zh-CN"/>
              </w:rPr>
            </w:pPr>
          </w:p>
        </w:tc>
        <w:tc>
          <w:tcPr>
            <w:tcW w:w="1494"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面积</w:t>
            </w:r>
          </w:p>
        </w:tc>
        <w:tc>
          <w:tcPr>
            <w:tcW w:w="5247" w:type="dxa"/>
            <w:gridSpan w:val="8"/>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9.39平方米。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p>
        </w:tc>
        <w:tc>
          <w:tcPr>
            <w:tcW w:w="1361"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hAnsi="Times New Roman" w:eastAsia="仿宋_GB2312" w:cs="宋体"/>
                <w:color w:val="000000"/>
                <w:sz w:val="24"/>
                <w:szCs w:val="24"/>
                <w:highlight w:val="none"/>
                <w:lang w:eastAsia="zh-CN"/>
              </w:rPr>
            </w:pPr>
            <w:r>
              <w:rPr>
                <w:rFonts w:hint="eastAsia" w:ascii="仿宋_GB2312" w:eastAsia="仿宋_GB2312" w:cs="宋体"/>
                <w:color w:val="000000"/>
                <w:sz w:val="24"/>
                <w:szCs w:val="24"/>
                <w:highlight w:val="none"/>
                <w:lang w:eastAsia="zh-CN"/>
              </w:rPr>
              <w:t>楼层</w:t>
            </w:r>
          </w:p>
        </w:tc>
        <w:tc>
          <w:tcPr>
            <w:tcW w:w="1494"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hAnsi="Times New Roman"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楼层</w:t>
            </w:r>
          </w:p>
        </w:tc>
        <w:tc>
          <w:tcPr>
            <w:tcW w:w="5247" w:type="dxa"/>
            <w:gridSpan w:val="8"/>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40" w:lineRule="exact"/>
              <w:jc w:val="left"/>
              <w:rPr>
                <w:rFonts w:hint="default" w:ascii="仿宋_GB2312" w:hAnsi="Times New Roman" w:eastAsia="仿宋_GB2312" w:cs="宋体"/>
                <w:color w:val="000000"/>
                <w:sz w:val="24"/>
                <w:szCs w:val="24"/>
                <w:highlight w:val="none"/>
                <w:lang w:val="en-US" w:eastAsia="zh-CN"/>
              </w:rPr>
            </w:pPr>
            <w:r>
              <w:rPr>
                <w:rFonts w:hint="eastAsia" w:ascii="仿宋_GB2312" w:hAnsi="Times New Roman" w:eastAsia="仿宋_GB2312" w:cs="宋体"/>
                <w:color w:val="000000"/>
                <w:sz w:val="24"/>
                <w:szCs w:val="24"/>
                <w:highlight w:val="none"/>
                <w:lang w:val="en-US" w:eastAsia="zh-CN" w:bidi="ar-SA"/>
              </w:rPr>
              <w:t>估价对象401户位于该楼幢的第5层，即住宅层的第4层。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val="en-US" w:eastAsia="zh-CN"/>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eastAsia="zh-CN"/>
              </w:rPr>
            </w:pPr>
          </w:p>
        </w:tc>
        <w:tc>
          <w:tcPr>
            <w:tcW w:w="1494"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hAnsi="Times New Roman"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部位</w:t>
            </w:r>
          </w:p>
        </w:tc>
        <w:tc>
          <w:tcPr>
            <w:tcW w:w="5247" w:type="dxa"/>
            <w:gridSpan w:val="8"/>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hAnsi="Times New Roman"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部位为401，现悬挂门牌为“4-1”。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val="en-US" w:eastAsia="zh-CN"/>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eastAsia="zh-CN"/>
              </w:rPr>
            </w:pPr>
          </w:p>
        </w:tc>
        <w:tc>
          <w:tcPr>
            <w:tcW w:w="6741"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3002915" cy="2251710"/>
                  <wp:effectExtent l="0" t="0" r="6985" b="15240"/>
                  <wp:docPr id="51" name="图片 51" descr="IMG2022011910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20220119105707"/>
                          <pic:cNvPicPr>
                            <a:picLocks noChangeAspect="1"/>
                          </pic:cNvPicPr>
                        </pic:nvPicPr>
                        <pic:blipFill>
                          <a:blip r:embed="rId19"/>
                          <a:stretch>
                            <a:fillRect/>
                          </a:stretch>
                        </pic:blipFill>
                        <pic:spPr>
                          <a:xfrm>
                            <a:off x="0" y="0"/>
                            <a:ext cx="3002915" cy="2251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p>
        </w:tc>
        <w:tc>
          <w:tcPr>
            <w:tcW w:w="1361"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p>
        </w:tc>
        <w:tc>
          <w:tcPr>
            <w:tcW w:w="1499"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门、窗</w:t>
            </w:r>
          </w:p>
        </w:tc>
        <w:tc>
          <w:tcPr>
            <w:tcW w:w="5242"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成品户门、铝合金窗。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bookmarkStart w:id="91" w:name="_Toc29606"/>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hAnsi="Times New Roman" w:eastAsia="仿宋_GB2312" w:cs="宋体"/>
                <w:color w:val="000000"/>
                <w:sz w:val="24"/>
                <w:szCs w:val="24"/>
                <w:highlight w:val="none"/>
                <w:lang w:eastAsia="zh-CN"/>
              </w:rPr>
            </w:pPr>
          </w:p>
        </w:tc>
        <w:tc>
          <w:tcPr>
            <w:tcW w:w="1494"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客厅</w:t>
            </w:r>
          </w:p>
        </w:tc>
        <w:tc>
          <w:tcPr>
            <w:tcW w:w="1371"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876"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铺地面砖。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hAnsi="Times New Roman" w:eastAsia="仿宋_GB2312" w:cs="宋体"/>
                <w:color w:val="000000"/>
                <w:sz w:val="24"/>
                <w:szCs w:val="24"/>
                <w:highlight w:val="none"/>
                <w:lang w:eastAsia="zh-CN"/>
              </w:rPr>
            </w:pPr>
          </w:p>
        </w:tc>
        <w:tc>
          <w:tcPr>
            <w:tcW w:w="1494"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eastAsia="zh-CN"/>
              </w:rPr>
            </w:pPr>
          </w:p>
        </w:tc>
        <w:tc>
          <w:tcPr>
            <w:tcW w:w="1371"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876"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乳胶漆粉刷，电视背景墙及壁柜。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79" w:type="dxa"/>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p>
        </w:tc>
        <w:tc>
          <w:tcPr>
            <w:tcW w:w="1361"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hAnsi="Times New Roman" w:eastAsia="仿宋_GB2312" w:cs="宋体"/>
                <w:color w:val="000000"/>
                <w:sz w:val="24"/>
                <w:szCs w:val="24"/>
                <w:highlight w:val="none"/>
                <w:lang w:eastAsia="zh-CN"/>
              </w:rPr>
            </w:pPr>
          </w:p>
        </w:tc>
        <w:tc>
          <w:tcPr>
            <w:tcW w:w="1494"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eastAsia="仿宋_GB2312" w:cs="宋体"/>
                <w:color w:val="000000"/>
                <w:sz w:val="24"/>
                <w:szCs w:val="24"/>
                <w:highlight w:val="none"/>
                <w:lang w:eastAsia="zh-CN"/>
              </w:rPr>
            </w:pPr>
          </w:p>
        </w:tc>
        <w:tc>
          <w:tcPr>
            <w:tcW w:w="1371"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顶</w:t>
            </w:r>
          </w:p>
        </w:tc>
        <w:tc>
          <w:tcPr>
            <w:tcW w:w="3876"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石膏板一级天池造型吊顶。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35" name="图片 35" descr="IMG2022011910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20220119104741"/>
                          <pic:cNvPicPr>
                            <a:picLocks noChangeAspect="1"/>
                          </pic:cNvPicPr>
                        </pic:nvPicPr>
                        <pic:blipFill>
                          <a:blip r:embed="rId20"/>
                          <a:stretch>
                            <a:fillRect/>
                          </a:stretch>
                        </pic:blipFill>
                        <pic:spPr>
                          <a:xfrm>
                            <a:off x="0" y="0"/>
                            <a:ext cx="2964815" cy="2223770"/>
                          </a:xfrm>
                          <a:prstGeom prst="rect">
                            <a:avLst/>
                          </a:prstGeom>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53" name="图片 53" descr="IMG2022011910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20220119104147"/>
                          <pic:cNvPicPr>
                            <a:picLocks noChangeAspect="1"/>
                          </pic:cNvPicPr>
                        </pic:nvPicPr>
                        <pic:blipFill>
                          <a:blip r:embed="rId21"/>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45"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r>
              <w:rPr>
                <w:rFonts w:hint="eastAsia" w:ascii="仿宋_GB2312" w:eastAsia="仿宋_GB2312" w:cs="宋体"/>
                <w:color w:val="000000"/>
                <w:sz w:val="24"/>
                <w:szCs w:val="24"/>
                <w:highlight w:val="none"/>
                <w:lang w:eastAsia="zh-CN"/>
              </w:rPr>
              <w:t>：</w:t>
            </w:r>
          </w:p>
        </w:tc>
        <w:tc>
          <w:tcPr>
            <w:tcW w:w="1660"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玄关</w:t>
            </w: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铺地面砖。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乳胶漆粉刷，换衣壁橱。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地顶</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石膏板造型吊顶。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37" name="图片 37" descr="IMG2022011910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20220119104640"/>
                          <pic:cNvPicPr>
                            <a:picLocks noChangeAspect="1"/>
                          </pic:cNvPicPr>
                        </pic:nvPicPr>
                        <pic:blipFill>
                          <a:blip r:embed="rId22"/>
                          <a:stretch>
                            <a:fillRect/>
                          </a:stretch>
                        </pic:blipFill>
                        <pic:spPr>
                          <a:xfrm>
                            <a:off x="0" y="0"/>
                            <a:ext cx="2964815" cy="2223770"/>
                          </a:xfrm>
                          <a:prstGeom prst="rect">
                            <a:avLst/>
                          </a:prstGeom>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52" name="图片 52" descr="IMG202201191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20220119104156"/>
                          <pic:cNvPicPr>
                            <a:picLocks noChangeAspect="1"/>
                          </pic:cNvPicPr>
                        </pic:nvPicPr>
                        <pic:blipFill>
                          <a:blip r:embed="rId23"/>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45"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r>
              <w:rPr>
                <w:rFonts w:hint="eastAsia" w:ascii="仿宋_GB2312" w:eastAsia="仿宋_GB2312" w:cs="宋体"/>
                <w:color w:val="000000"/>
                <w:sz w:val="24"/>
                <w:szCs w:val="24"/>
                <w:highlight w:val="none"/>
                <w:lang w:eastAsia="zh-CN"/>
              </w:rPr>
              <w:t>：</w:t>
            </w:r>
          </w:p>
        </w:tc>
        <w:tc>
          <w:tcPr>
            <w:tcW w:w="1660"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餐厅</w:t>
            </w: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铺地面砖。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乳胶漆粉刷，木玻格展示柜。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85" w:type="dxa"/>
            <w:gridSpan w:val="7"/>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顶</w:t>
            </w:r>
          </w:p>
        </w:tc>
        <w:tc>
          <w:tcPr>
            <w:tcW w:w="3891" w:type="dxa"/>
            <w:gridSpan w:val="2"/>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石膏板一级天池造型吊顶。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38" name="图片 38" descr="IMG2022011910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220119103844"/>
                          <pic:cNvPicPr>
                            <a:picLocks noChangeAspect="1"/>
                          </pic:cNvPicPr>
                        </pic:nvPicPr>
                        <pic:blipFill>
                          <a:blip r:embed="rId24"/>
                          <a:stretch>
                            <a:fillRect/>
                          </a:stretch>
                        </pic:blipFill>
                        <pic:spPr>
                          <a:xfrm>
                            <a:off x="0" y="0"/>
                            <a:ext cx="2964815" cy="2223770"/>
                          </a:xfrm>
                          <a:prstGeom prst="rect">
                            <a:avLst/>
                          </a:prstGeom>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40" name="图片 40" descr="IMG20220119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20220119103941"/>
                          <pic:cNvPicPr>
                            <a:picLocks noChangeAspect="1"/>
                          </pic:cNvPicPr>
                        </pic:nvPicPr>
                        <pic:blipFill>
                          <a:blip r:embed="rId25"/>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r>
              <w:rPr>
                <w:rFonts w:hint="eastAsia" w:ascii="仿宋_GB2312" w:eastAsia="仿宋_GB2312" w:cs="宋体"/>
                <w:color w:val="000000"/>
                <w:sz w:val="24"/>
                <w:szCs w:val="24"/>
                <w:highlight w:val="none"/>
                <w:lang w:eastAsia="zh-CN"/>
              </w:rPr>
              <w:t>：</w:t>
            </w:r>
          </w:p>
        </w:tc>
        <w:tc>
          <w:tcPr>
            <w:tcW w:w="1660"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厨房</w:t>
            </w: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贴瓷砖。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顶</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集成吊顶。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配备</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全套厨具。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40050" cy="2205355"/>
                  <wp:effectExtent l="0" t="0" r="12700" b="4445"/>
                  <wp:docPr id="54" name="图片 54" descr="IMG202201191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20220119104224"/>
                          <pic:cNvPicPr>
                            <a:picLocks noChangeAspect="1"/>
                          </pic:cNvPicPr>
                        </pic:nvPicPr>
                        <pic:blipFill>
                          <a:blip r:embed="rId26"/>
                          <a:stretch>
                            <a:fillRect/>
                          </a:stretch>
                        </pic:blipFill>
                        <pic:spPr>
                          <a:xfrm>
                            <a:off x="0" y="0"/>
                            <a:ext cx="2940050" cy="2205355"/>
                          </a:xfrm>
                          <a:prstGeom prst="rect">
                            <a:avLst/>
                          </a:prstGeom>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55" name="图片 55" descr="IMG2022011910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20220119104235"/>
                          <pic:cNvPicPr>
                            <a:picLocks noChangeAspect="1"/>
                          </pic:cNvPicPr>
                        </pic:nvPicPr>
                        <pic:blipFill>
                          <a:blip r:embed="rId27"/>
                          <a:stretch>
                            <a:fillRect/>
                          </a:stretch>
                        </pic:blipFill>
                        <pic:spPr>
                          <a:xfrm>
                            <a:off x="0" y="0"/>
                            <a:ext cx="2964815" cy="2223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r>
              <w:rPr>
                <w:rFonts w:hint="eastAsia" w:ascii="仿宋_GB2312" w:eastAsia="仿宋_GB2312" w:cs="宋体"/>
                <w:color w:val="000000"/>
                <w:sz w:val="24"/>
                <w:szCs w:val="24"/>
                <w:highlight w:val="none"/>
                <w:lang w:eastAsia="zh-CN"/>
              </w:rPr>
              <w:t>：</w:t>
            </w:r>
          </w:p>
        </w:tc>
        <w:tc>
          <w:tcPr>
            <w:tcW w:w="1660"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卧室①②③</w:t>
            </w: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铺地面砖。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乳胶漆粉刷，部分安装壁橱。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顶</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乳胶漆粉刷。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p>
        </w:tc>
        <w:tc>
          <w:tcPr>
            <w:tcW w:w="166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附属</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卧室②安装电暖炕，卧室③安装暖炕。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48" name="图片 48" descr="IMG20220119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20220119104040"/>
                          <pic:cNvPicPr>
                            <a:picLocks noChangeAspect="1"/>
                          </pic:cNvPicPr>
                        </pic:nvPicPr>
                        <pic:blipFill>
                          <a:blip r:embed="rId28"/>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卧室①</w:t>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49" name="图片 49" descr="IMG2022011910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20220119104124"/>
                          <pic:cNvPicPr>
                            <a:picLocks noChangeAspect="1"/>
                          </pic:cNvPicPr>
                        </pic:nvPicPr>
                        <pic:blipFill>
                          <a:blip r:embed="rId29"/>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卧室②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50" name="图片 50" descr="IMG202201191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20220119104129"/>
                          <pic:cNvPicPr>
                            <a:picLocks noChangeAspect="1"/>
                          </pic:cNvPicPr>
                        </pic:nvPicPr>
                        <pic:blipFill>
                          <a:blip r:embed="rId30"/>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卧室②</w:t>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47" name="图片 47" descr="IMG2022011910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20220119103848"/>
                          <pic:cNvPicPr>
                            <a:picLocks noChangeAspect="1"/>
                          </pic:cNvPicPr>
                        </pic:nvPicPr>
                        <pic:blipFill>
                          <a:blip r:embed="rId31"/>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卧室③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0" w:type="dxa"/>
            <w:gridSpan w:val="3"/>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lang w:eastAsia="zh-CN"/>
              </w:rPr>
              <w:t>24号楼（证载E3#楼）3单元401户</w:t>
            </w:r>
            <w:r>
              <w:rPr>
                <w:rFonts w:hint="eastAsia" w:ascii="仿宋_GB2312" w:hAnsi="Times New Roman" w:eastAsia="仿宋_GB2312" w:cs="宋体"/>
                <w:color w:val="000000"/>
                <w:sz w:val="24"/>
                <w:szCs w:val="24"/>
                <w:highlight w:val="none"/>
                <w:lang w:eastAsia="zh-CN"/>
              </w:rPr>
              <w:t>室内装饰装修情况</w:t>
            </w:r>
            <w:r>
              <w:rPr>
                <w:rFonts w:hint="eastAsia" w:ascii="仿宋_GB2312" w:eastAsia="仿宋_GB2312" w:cs="宋体"/>
                <w:color w:val="000000"/>
                <w:sz w:val="24"/>
                <w:szCs w:val="24"/>
                <w:highlight w:val="none"/>
                <w:lang w:eastAsia="zh-CN"/>
              </w:rPr>
              <w:t>：</w:t>
            </w:r>
          </w:p>
        </w:tc>
        <w:tc>
          <w:tcPr>
            <w:tcW w:w="1665" w:type="dxa"/>
            <w:gridSpan w:val="4"/>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卫生间①②</w:t>
            </w: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地面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铺地砖。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66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墙面</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贴瓷砖。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66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顶</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集成吊顶。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0" w:type="dxa"/>
            <w:gridSpan w:val="3"/>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665" w:type="dxa"/>
            <w:gridSpan w:val="4"/>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763" w:type="dxa"/>
            <w:gridSpan w:val="6"/>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配备</w:t>
            </w:r>
          </w:p>
        </w:tc>
        <w:tc>
          <w:tcPr>
            <w:tcW w:w="3913" w:type="dxa"/>
            <w:gridSpan w:val="3"/>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both"/>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卫生间①全套洁具及淋浴设施，卫生间②全套洁具。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71" name="图片 71" descr="IMG2022011910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20220119103947"/>
                          <pic:cNvPicPr>
                            <a:picLocks noChangeAspect="1"/>
                          </pic:cNvPicPr>
                        </pic:nvPicPr>
                        <pic:blipFill>
                          <a:blip r:embed="rId32"/>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卫生间①</w:t>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79" name="图片 79" descr="IMG2022011910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20220119103955"/>
                          <pic:cNvPicPr>
                            <a:picLocks noChangeAspect="1"/>
                          </pic:cNvPicPr>
                        </pic:nvPicPr>
                        <pic:blipFill>
                          <a:blip r:embed="rId33"/>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卫生间①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80" name="图片 80" descr="IMG20220119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20220119104040"/>
                          <pic:cNvPicPr>
                            <a:picLocks noChangeAspect="1"/>
                          </pic:cNvPicPr>
                        </pic:nvPicPr>
                        <pic:blipFill>
                          <a:blip r:embed="rId28"/>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卫生间②</w:t>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72" name="图片 72" descr="IMG202201191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20220119104049"/>
                          <pic:cNvPicPr>
                            <a:picLocks noChangeAspect="1"/>
                          </pic:cNvPicPr>
                        </pic:nvPicPr>
                        <pic:blipFill>
                          <a:blip r:embed="rId34"/>
                          <a:stretch>
                            <a:fillRect/>
                          </a:stretch>
                        </pic:blipFill>
                        <pic:spPr>
                          <a:xfrm>
                            <a:off x="0" y="0"/>
                            <a:ext cx="2964815" cy="2223770"/>
                          </a:xfrm>
                          <a:prstGeom prst="rect">
                            <a:avLst/>
                          </a:prstGeom>
                        </pic:spPr>
                      </pic:pic>
                    </a:graphicData>
                  </a:graphic>
                </wp:inline>
              </w:drawing>
            </w:r>
            <w:r>
              <w:rPr>
                <w:rFonts w:hint="eastAsia" w:ascii="仿宋_GB2312" w:eastAsia="仿宋_GB2312" w:cs="宋体"/>
                <w:color w:val="000000"/>
                <w:sz w:val="24"/>
                <w:szCs w:val="24"/>
                <w:highlight w:val="none"/>
                <w:lang w:val="en-US" w:eastAsia="zh-CN"/>
              </w:rPr>
              <w:t>卫生间②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33" w:type="dxa"/>
            <w:gridSpan w:val="2"/>
            <w:vMerge w:val="restart"/>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附房：</w:t>
            </w:r>
          </w:p>
        </w:tc>
        <w:tc>
          <w:tcPr>
            <w:tcW w:w="167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500" w:lineRule="exact"/>
              <w:jc w:val="center"/>
              <w:rPr>
                <w:rFonts w:hint="eastAsia" w:ascii="仿宋_GB2312" w:hAnsi="Times New Roman" w:eastAsia="仿宋_GB2312" w:cs="宋体"/>
                <w:color w:val="000000"/>
                <w:sz w:val="24"/>
                <w:szCs w:val="24"/>
                <w:highlight w:val="none"/>
                <w:lang w:val="en-US" w:eastAsia="zh-CN" w:bidi="ar-SA"/>
              </w:rPr>
            </w:pPr>
            <w:r>
              <w:rPr>
                <w:rFonts w:hint="eastAsia" w:ascii="仿宋_GB2312" w:eastAsia="仿宋_GB2312" w:cs="宋体"/>
                <w:color w:val="000000"/>
                <w:sz w:val="24"/>
                <w:szCs w:val="24"/>
                <w:highlight w:val="none"/>
                <w:lang w:val="en-US" w:eastAsia="zh-CN"/>
              </w:rPr>
              <w:t>层高</w:t>
            </w:r>
          </w:p>
        </w:tc>
        <w:tc>
          <w:tcPr>
            <w:tcW w:w="5677" w:type="dxa"/>
            <w:gridSpan w:val="10"/>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室内净高为1.9米。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33" w:type="dxa"/>
            <w:gridSpan w:val="2"/>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1671" w:type="dxa"/>
            <w:gridSpan w:val="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门</w:t>
            </w:r>
          </w:p>
        </w:tc>
        <w:tc>
          <w:tcPr>
            <w:tcW w:w="5677" w:type="dxa"/>
            <w:gridSpan w:val="10"/>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不锈钢防盗门。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33" w:type="dxa"/>
            <w:gridSpan w:val="2"/>
            <w:vMerge w:val="continue"/>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center"/>
              <w:rPr>
                <w:rFonts w:hint="eastAsia" w:ascii="仿宋_GB2312" w:eastAsia="仿宋_GB2312" w:cs="宋体"/>
                <w:color w:val="000000"/>
                <w:sz w:val="24"/>
                <w:szCs w:val="24"/>
                <w:highlight w:val="none"/>
                <w:lang w:val="en-US" w:eastAsia="zh-CN"/>
              </w:rPr>
            </w:pPr>
          </w:p>
        </w:tc>
        <w:tc>
          <w:tcPr>
            <w:tcW w:w="7348" w:type="dxa"/>
            <w:gridSpan w:val="14"/>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default"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t>附房室内无装饰装修。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4890" w:type="dxa"/>
            <w:gridSpan w:val="11"/>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color w:val="000000"/>
              </w:rPr>
              <w:drawing>
                <wp:inline distT="0" distB="0" distL="114300" distR="114300">
                  <wp:extent cx="2961640" cy="2220595"/>
                  <wp:effectExtent l="0" t="0" r="10160" b="825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35"/>
                          <a:stretch>
                            <a:fillRect/>
                          </a:stretch>
                        </pic:blipFill>
                        <pic:spPr>
                          <a:xfrm>
                            <a:off x="0" y="0"/>
                            <a:ext cx="2961640" cy="2220595"/>
                          </a:xfrm>
                          <a:prstGeom prst="rect">
                            <a:avLst/>
                          </a:prstGeom>
                          <a:noFill/>
                          <a:ln>
                            <a:noFill/>
                          </a:ln>
                        </pic:spPr>
                      </pic:pic>
                    </a:graphicData>
                  </a:graphic>
                </wp:inline>
              </w:drawing>
            </w:r>
          </w:p>
        </w:tc>
        <w:tc>
          <w:tcPr>
            <w:tcW w:w="4891" w:type="dxa"/>
            <w:gridSpan w:val="5"/>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spacing w:after="0" w:line="240" w:lineRule="auto"/>
              <w:jc w:val="left"/>
              <w:rPr>
                <w:rFonts w:hint="eastAsia" w:ascii="仿宋_GB2312" w:eastAsia="仿宋_GB2312" w:cs="宋体"/>
                <w:color w:val="000000"/>
                <w:sz w:val="24"/>
                <w:szCs w:val="24"/>
                <w:highlight w:val="none"/>
                <w:lang w:val="en-US" w:eastAsia="zh-CN"/>
              </w:rPr>
            </w:pPr>
            <w:r>
              <w:rPr>
                <w:rFonts w:hint="eastAsia" w:ascii="仿宋_GB2312" w:eastAsia="仿宋_GB2312" w:cs="宋体"/>
                <w:color w:val="000000"/>
                <w:sz w:val="24"/>
                <w:szCs w:val="24"/>
                <w:highlight w:val="none"/>
                <w:lang w:val="en-US" w:eastAsia="zh-CN"/>
              </w:rPr>
              <w:drawing>
                <wp:inline distT="0" distB="0" distL="114300" distR="114300">
                  <wp:extent cx="2964815" cy="2223770"/>
                  <wp:effectExtent l="0" t="0" r="6985" b="5080"/>
                  <wp:docPr id="81" name="图片 81" descr="IMG2022011910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20220119105948"/>
                          <pic:cNvPicPr>
                            <a:picLocks noChangeAspect="1"/>
                          </pic:cNvPicPr>
                        </pic:nvPicPr>
                        <pic:blipFill>
                          <a:blip r:embed="rId36"/>
                          <a:stretch>
                            <a:fillRect/>
                          </a:stretch>
                        </pic:blipFill>
                        <pic:spPr>
                          <a:xfrm>
                            <a:off x="0" y="0"/>
                            <a:ext cx="2964815" cy="2223770"/>
                          </a:xfrm>
                          <a:prstGeom prst="rect">
                            <a:avLst/>
                          </a:prstGeom>
                        </pic:spPr>
                      </pic:pic>
                    </a:graphicData>
                  </a:graphic>
                </wp:inline>
              </w:drawing>
            </w:r>
          </w:p>
        </w:tc>
      </w:tr>
    </w:tbl>
    <w:p>
      <w:pPr>
        <w:pStyle w:val="4"/>
        <w:keepNext w:val="0"/>
        <w:keepLines w:val="0"/>
        <w:widowControl w:val="0"/>
        <w:numPr>
          <w:ilvl w:val="0"/>
          <w:numId w:val="5"/>
        </w:numPr>
        <w:spacing w:before="0" w:line="530" w:lineRule="exact"/>
        <w:ind w:firstLine="562" w:firstLineChars="200"/>
        <w:rPr>
          <w:rFonts w:ascii="仿宋_GB2312" w:eastAsia="仿宋_GB2312"/>
          <w:b/>
          <w:color w:val="auto"/>
        </w:rPr>
      </w:pPr>
      <w:r>
        <w:rPr>
          <w:rFonts w:hint="eastAsia" w:ascii="仿宋_GB2312" w:eastAsia="仿宋_GB2312"/>
          <w:b/>
          <w:color w:val="auto"/>
        </w:rPr>
        <w:t>价值时点</w:t>
      </w:r>
      <w:bookmarkEnd w:id="81"/>
      <w:bookmarkEnd w:id="82"/>
      <w:bookmarkEnd w:id="83"/>
      <w:bookmarkEnd w:id="84"/>
      <w:bookmarkEnd w:id="85"/>
      <w:bookmarkEnd w:id="86"/>
      <w:bookmarkEnd w:id="88"/>
      <w:bookmarkEnd w:id="89"/>
      <w:bookmarkEnd w:id="90"/>
      <w:bookmarkEnd w:id="91"/>
    </w:p>
    <w:p>
      <w:pPr>
        <w:widowControl w:val="0"/>
        <w:spacing w:after="0" w:line="530" w:lineRule="exact"/>
        <w:ind w:left="-171" w:firstLine="560" w:firstLineChars="200"/>
        <w:rPr>
          <w:rFonts w:ascii="仿宋_GB2312" w:hAnsi="宋体" w:eastAsia="仿宋_GB2312"/>
          <w:sz w:val="32"/>
          <w:szCs w:val="28"/>
        </w:rPr>
      </w:pPr>
      <w:r>
        <w:rPr>
          <w:rFonts w:hint="eastAsia" w:ascii="仿宋_GB2312" w:hAnsi="宋体" w:eastAsia="仿宋_GB2312"/>
          <w:sz w:val="28"/>
          <w:szCs w:val="28"/>
        </w:rPr>
        <w:t xml:space="preserve">  </w:t>
      </w:r>
      <w:r>
        <w:rPr>
          <w:rFonts w:hint="eastAsia" w:ascii="仿宋_GB2312" w:hAnsi="宋体" w:eastAsia="仿宋_GB2312"/>
          <w:sz w:val="28"/>
          <w:lang w:eastAsia="zh-CN"/>
        </w:rPr>
        <w:t>2022年1月19日</w:t>
      </w:r>
      <w:r>
        <w:rPr>
          <w:rFonts w:hint="eastAsia" w:ascii="仿宋_GB2312" w:hAnsi="宋体" w:eastAsia="仿宋_GB2312"/>
          <w:sz w:val="28"/>
        </w:rPr>
        <w:t>（实地查勘完成之日）</w:t>
      </w:r>
      <w:r>
        <w:rPr>
          <w:rFonts w:hint="eastAsia" w:ascii="仿宋_GB2312" w:eastAsia="仿宋_GB2312" w:cs="宋体"/>
          <w:sz w:val="28"/>
          <w:szCs w:val="28"/>
        </w:rPr>
        <w:t xml:space="preserve">。 </w:t>
      </w:r>
    </w:p>
    <w:p>
      <w:pPr>
        <w:pStyle w:val="4"/>
        <w:keepNext w:val="0"/>
        <w:keepLines w:val="0"/>
        <w:widowControl w:val="0"/>
        <w:spacing w:before="0" w:line="530" w:lineRule="exact"/>
        <w:ind w:firstLine="562" w:firstLineChars="200"/>
        <w:rPr>
          <w:rFonts w:ascii="仿宋_GB2312" w:eastAsia="仿宋_GB2312"/>
          <w:b/>
          <w:bCs/>
          <w:color w:val="auto"/>
        </w:rPr>
      </w:pPr>
      <w:bookmarkStart w:id="92" w:name="_Toc135541826"/>
      <w:bookmarkStart w:id="93" w:name="_Toc12292"/>
      <w:bookmarkStart w:id="94" w:name="_Toc9839"/>
      <w:bookmarkStart w:id="95" w:name="_Toc135020961"/>
      <w:bookmarkStart w:id="96" w:name="_Toc340240494"/>
      <w:bookmarkStart w:id="97" w:name="_Toc135021035"/>
      <w:bookmarkStart w:id="98" w:name="_Toc135021601"/>
      <w:bookmarkStart w:id="99" w:name="_Toc135021314"/>
      <w:bookmarkStart w:id="100" w:name="_Toc135021218"/>
      <w:r>
        <w:rPr>
          <w:rFonts w:hint="eastAsia" w:ascii="仿宋_GB2312" w:eastAsia="仿宋_GB2312"/>
          <w:b/>
          <w:color w:val="auto"/>
        </w:rPr>
        <w:t>（六）价值类型</w:t>
      </w:r>
      <w:bookmarkEnd w:id="92"/>
      <w:bookmarkEnd w:id="93"/>
      <w:bookmarkEnd w:id="94"/>
      <w:bookmarkEnd w:id="95"/>
      <w:bookmarkEnd w:id="96"/>
      <w:bookmarkEnd w:id="97"/>
      <w:bookmarkEnd w:id="98"/>
      <w:bookmarkEnd w:id="99"/>
      <w:bookmarkEnd w:id="100"/>
    </w:p>
    <w:p>
      <w:pPr>
        <w:widowControl w:val="0"/>
        <w:spacing w:after="0" w:line="530" w:lineRule="exact"/>
        <w:ind w:firstLine="560" w:firstLineChars="200"/>
        <w:rPr>
          <w:rFonts w:ascii="仿宋_GB2312" w:eastAsia="仿宋_GB2312" w:cs="宋体"/>
          <w:sz w:val="28"/>
          <w:szCs w:val="28"/>
        </w:rPr>
      </w:pPr>
      <w:bookmarkStart w:id="101" w:name="_Toc135021036"/>
      <w:bookmarkStart w:id="102" w:name="_Toc135020962"/>
      <w:bookmarkStart w:id="103" w:name="_Toc135541827"/>
      <w:bookmarkStart w:id="104" w:name="_Toc135021602"/>
      <w:bookmarkStart w:id="105" w:name="_Toc135021315"/>
      <w:bookmarkStart w:id="106" w:name="_Toc135021219"/>
      <w:r>
        <w:rPr>
          <w:rFonts w:hint="eastAsia" w:ascii="仿宋_GB2312" w:hAnsi="宋体" w:eastAsia="仿宋_GB2312"/>
          <w:bCs/>
          <w:sz w:val="28"/>
          <w:szCs w:val="28"/>
        </w:rPr>
        <w:t>本次估价的价值类型为市场价格，即某种房地产在市场上的平均交易价格。</w:t>
      </w:r>
    </w:p>
    <w:p>
      <w:pPr>
        <w:pStyle w:val="4"/>
        <w:keepNext w:val="0"/>
        <w:keepLines w:val="0"/>
        <w:widowControl w:val="0"/>
        <w:spacing w:before="0" w:line="530" w:lineRule="exact"/>
        <w:ind w:firstLine="562" w:firstLineChars="200"/>
        <w:rPr>
          <w:rFonts w:ascii="仿宋_GB2312" w:eastAsia="仿宋_GB2312"/>
          <w:b/>
          <w:color w:val="auto"/>
        </w:rPr>
      </w:pPr>
      <w:bookmarkStart w:id="107" w:name="_Toc457"/>
      <w:bookmarkStart w:id="108" w:name="_Toc7470"/>
      <w:bookmarkStart w:id="109" w:name="_Toc340240495"/>
      <w:r>
        <w:rPr>
          <w:rFonts w:hint="eastAsia" w:ascii="仿宋_GB2312" w:eastAsia="仿宋_GB2312"/>
          <w:b/>
          <w:color w:val="auto"/>
        </w:rPr>
        <w:t>（七）估价原则</w:t>
      </w:r>
      <w:bookmarkEnd w:id="107"/>
      <w:bookmarkEnd w:id="108"/>
    </w:p>
    <w:bookmarkEnd w:id="101"/>
    <w:bookmarkEnd w:id="102"/>
    <w:bookmarkEnd w:id="103"/>
    <w:bookmarkEnd w:id="104"/>
    <w:bookmarkEnd w:id="105"/>
    <w:bookmarkEnd w:id="106"/>
    <w:bookmarkEnd w:id="109"/>
    <w:p>
      <w:pPr>
        <w:widowControl w:val="0"/>
        <w:spacing w:after="0" w:line="530" w:lineRule="exact"/>
        <w:ind w:firstLine="560" w:firstLineChars="200"/>
        <w:rPr>
          <w:rFonts w:ascii="仿宋_GB2312" w:hAnsi="宋体" w:eastAsia="仿宋_GB2312"/>
          <w:sz w:val="28"/>
        </w:rPr>
      </w:pPr>
      <w:bookmarkStart w:id="110" w:name="_Toc135021316"/>
      <w:bookmarkStart w:id="111" w:name="_Toc135021220"/>
      <w:bookmarkStart w:id="112" w:name="_Toc135020963"/>
      <w:bookmarkStart w:id="113" w:name="_Toc135021603"/>
      <w:bookmarkStart w:id="114" w:name="_Toc135021037"/>
      <w:bookmarkStart w:id="115" w:name="_Toc340240496"/>
      <w:bookmarkStart w:id="116" w:name="_Toc135541828"/>
      <w:bookmarkStart w:id="117" w:name="_Toc15497"/>
      <w:r>
        <w:rPr>
          <w:rFonts w:hint="eastAsia" w:ascii="仿宋_GB2312" w:hAnsi="宋体" w:eastAsia="仿宋_GB2312"/>
          <w:sz w:val="28"/>
        </w:rPr>
        <w:t xml:space="preserve">我们在本次估价时遵循了以下原则：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1、 独立、客观、公正原则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要求站在中立的立场上，实事求是、公平正直地评估出对各方估价利害关系人均是公平合理的价值或价格的原则。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所谓“独立”，就是要求注册房地产估价师和房地产估价机构与估价委托人及估价利害关系人没有利害关系，在估价中不受包括估价委托人在内的任何单位和个人的影响，应凭自己的专业 知识、经验和职业道德进行估价。所谓“客观”，就是要求注册房地产估价师和房地产估价机构 在估价中不带着自己的情感、好恶和偏见，应按照事物的本来面目、实事求是地进行估价。所谓 “公正”，就是要求注册房地产估价师和房地产估价机构在估价中不偏袒估价利害关系人中的任 何一方，应坚持原则、公平正直地进行估价。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本次估价坚守独立、客观、公正原则，估价机构建立了行之有效的内部审核制度，以保证评 估过程规范有序，既不受其他单位和个人的非法干预和影响，也不因房地产估价师个人好恶或主观偏见影响其分析、判断的客观性。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2、合法原则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要求估价结果是在依法判定的估价对象状况下的价值或价格的原则。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依法是指不仅要依据有关法律、行政法规、最高人民法院和最高人民检察院发布的有关司法 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权利及其他事项登记信息（房屋登记簿、土地登记簿）、权属证书、有关批文和合同等（如规划意见书、国有建设用地使用权出让招标文件、国有建设用 地使用权出让合同、房地产转让合同、房屋租赁合同等）。</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遵循合法原则并不意味着只有合法的房地产才能成为估价对象，而是指依法判定估价对象是 哪种状况的房地产，就应将其作为那种状况的房地产来估价。 </w:t>
      </w:r>
    </w:p>
    <w:p>
      <w:pPr>
        <w:widowControl w:val="0"/>
        <w:spacing w:after="0" w:line="530" w:lineRule="exact"/>
        <w:ind w:firstLine="560" w:firstLineChars="200"/>
        <w:rPr>
          <w:rFonts w:ascii="仿宋_GB2312" w:hAnsi="宋体" w:eastAsia="仿宋_GB2312"/>
          <w:b/>
          <w:bCs/>
          <w:sz w:val="28"/>
        </w:rPr>
      </w:pPr>
      <w:r>
        <w:rPr>
          <w:rFonts w:hint="eastAsia" w:ascii="仿宋_GB2312" w:hAnsi="宋体" w:eastAsia="仿宋_GB2312"/>
          <w:sz w:val="28"/>
        </w:rPr>
        <w:t>3、价值时点原则</w:t>
      </w:r>
      <w:r>
        <w:rPr>
          <w:rFonts w:hint="eastAsia" w:ascii="仿宋_GB2312" w:hAnsi="宋体" w:eastAsia="仿宋_GB2312"/>
          <w:b/>
          <w:bCs/>
          <w:sz w:val="28"/>
        </w:rPr>
        <w:t xml:space="preserve">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要求估价结果是在根据估价目的确定的某一特定时间的价值或价格的原则。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价值时点原则强调的是估价结论具有很强的时间相关性和时效性。估价结论首先具有很强的时间相关性，这主要是考虑到资金的时间价值，在不同的时间点上发生的现金流量对其价值影响 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4、 替代原则 </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 xml:space="preserve">要求估价结果与估价对象的类似房地产在同等条件下的价值或价格偏差在合理范围内的原则。 </w:t>
      </w:r>
    </w:p>
    <w:p>
      <w:pPr>
        <w:widowControl w:val="0"/>
        <w:spacing w:after="0" w:line="530" w:lineRule="exact"/>
        <w:ind w:firstLine="560" w:firstLineChars="200"/>
        <w:rPr>
          <w:rFonts w:hint="eastAsia" w:ascii="仿宋_GB2312" w:hAnsi="宋体" w:eastAsia="仿宋_GB2312"/>
          <w:sz w:val="28"/>
        </w:rPr>
      </w:pPr>
      <w:r>
        <w:rPr>
          <w:rFonts w:hint="eastAsia" w:ascii="仿宋_GB2312" w:hAnsi="宋体" w:eastAsia="仿宋_GB2312"/>
          <w:sz w:val="28"/>
        </w:rPr>
        <w:t xml:space="preserve">根据经济学原理，在同一个市场上相同的商品有相同的价格。因为任何理性的买者在购买商 品之前都会在市场上搜寻并“货比三家”，然后购买其中效用最大（或质量、性能最好）而价格最低的，即购买“性价比”高或“物美价廉”的。卖者为了使其产品能够卖出，相互之间也会进行价格竞争。市场上买者、卖者的这些行为导致的结果，是在相同的商品之间形成相同的价格。 </w:t>
      </w:r>
    </w:p>
    <w:p>
      <w:pPr>
        <w:widowControl w:val="0"/>
        <w:spacing w:after="0" w:line="530" w:lineRule="exact"/>
        <w:ind w:firstLine="560" w:firstLineChars="200"/>
        <w:rPr>
          <w:rFonts w:hint="eastAsia" w:ascii="仿宋_GB2312" w:hAnsi="宋体" w:eastAsia="仿宋_GB2312"/>
          <w:sz w:val="28"/>
        </w:rPr>
      </w:pPr>
      <w:r>
        <w:rPr>
          <w:rFonts w:hint="eastAsia" w:ascii="仿宋_GB2312" w:hAnsi="宋体" w:eastAsia="仿宋_GB2312"/>
          <w:sz w:val="28"/>
        </w:rPr>
        <w:t>5、最高最佳利用原则</w:t>
      </w:r>
    </w:p>
    <w:p>
      <w:pPr>
        <w:widowControl w:val="0"/>
        <w:spacing w:after="0" w:line="530" w:lineRule="exact"/>
        <w:ind w:firstLine="560" w:firstLineChars="200"/>
        <w:rPr>
          <w:rFonts w:hint="eastAsia" w:ascii="仿宋_GB2312" w:hAnsi="宋体" w:eastAsia="仿宋_GB2312"/>
          <w:sz w:val="28"/>
        </w:rPr>
      </w:pPr>
      <w:r>
        <w:rPr>
          <w:rFonts w:hint="eastAsia" w:ascii="仿宋_GB2312" w:hAnsi="宋体" w:eastAsia="仿宋_GB2312"/>
          <w:sz w:val="28"/>
        </w:rPr>
        <w:t>要求估价结果应为在估价对象最高最佳利用状况下的价值或价格。</w:t>
      </w:r>
    </w:p>
    <w:p>
      <w:pPr>
        <w:widowControl w:val="0"/>
        <w:spacing w:after="0" w:line="530" w:lineRule="exact"/>
        <w:ind w:firstLine="560" w:firstLineChars="200"/>
        <w:rPr>
          <w:rFonts w:hint="eastAsia" w:ascii="仿宋_GB2312" w:hAnsi="宋体" w:eastAsia="仿宋_GB2312"/>
          <w:sz w:val="28"/>
        </w:rPr>
      </w:pPr>
      <w:r>
        <w:rPr>
          <w:rFonts w:hint="eastAsia" w:ascii="仿宋_GB2312" w:hAnsi="宋体" w:eastAsia="仿宋_GB2312"/>
          <w:sz w:val="28"/>
        </w:rPr>
        <w:t>最高最佳使用原则是要说明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房地产价格的形成一般也如此，只是由于房地产的独一无二特性，使得完全相同的房地产几乎没有，但在同一个房地产市场上，相似的房地产会有相近的价格。因为在现实房地产交易中，任何理性的买者和卖者，都会将其拟买或拟卖的房地产与市场上相似的房地产进行比较，从而任 何理性的买者不会接受比市场上相似的房地产的正常价格过高的价格，任何理性的卖者不会接受比市场上相似的房地产的正常价格过低的价格。这种相似的房地产之间价格相互牵掣的结果，是他们的价格相互接近。</w:t>
      </w:r>
    </w:p>
    <w:p>
      <w:pPr>
        <w:pStyle w:val="4"/>
        <w:keepNext w:val="0"/>
        <w:keepLines w:val="0"/>
        <w:widowControl w:val="0"/>
        <w:spacing w:before="0" w:line="530" w:lineRule="exact"/>
        <w:ind w:firstLine="562" w:firstLineChars="200"/>
        <w:rPr>
          <w:rFonts w:ascii="仿宋_GB2312" w:eastAsia="仿宋_GB2312"/>
          <w:b/>
          <w:color w:val="auto"/>
        </w:rPr>
      </w:pPr>
      <w:bookmarkStart w:id="118" w:name="_Toc21324"/>
      <w:r>
        <w:rPr>
          <w:rFonts w:hint="eastAsia" w:ascii="仿宋_GB2312" w:eastAsia="仿宋_GB2312"/>
          <w:b/>
          <w:color w:val="auto"/>
        </w:rPr>
        <w:t>（八）</w:t>
      </w:r>
      <w:bookmarkEnd w:id="110"/>
      <w:bookmarkEnd w:id="111"/>
      <w:bookmarkEnd w:id="112"/>
      <w:bookmarkEnd w:id="113"/>
      <w:bookmarkEnd w:id="114"/>
      <w:bookmarkEnd w:id="115"/>
      <w:bookmarkEnd w:id="116"/>
      <w:bookmarkStart w:id="119" w:name="_Toc135021221"/>
      <w:bookmarkStart w:id="120" w:name="_Toc135541829"/>
      <w:bookmarkStart w:id="121" w:name="_Toc135021038"/>
      <w:bookmarkStart w:id="122" w:name="_Toc135021317"/>
      <w:bookmarkStart w:id="123" w:name="_Toc135020964"/>
      <w:bookmarkStart w:id="124" w:name="_Toc135021604"/>
      <w:r>
        <w:rPr>
          <w:rFonts w:hint="eastAsia" w:ascii="仿宋_GB2312" w:eastAsia="仿宋_GB2312"/>
          <w:b/>
          <w:color w:val="auto"/>
        </w:rPr>
        <w:t>估价依据</w:t>
      </w:r>
      <w:bookmarkEnd w:id="117"/>
      <w:bookmarkEnd w:id="118"/>
    </w:p>
    <w:p>
      <w:pPr>
        <w:widowControl w:val="0"/>
        <w:snapToGrid w:val="0"/>
        <w:spacing w:after="0" w:line="520" w:lineRule="exact"/>
        <w:ind w:firstLine="560" w:firstLineChars="200"/>
        <w:rPr>
          <w:rFonts w:ascii="仿宋_GB2312" w:hAnsi="宋体" w:eastAsia="仿宋_GB2312"/>
          <w:sz w:val="28"/>
        </w:rPr>
      </w:pPr>
      <w:r>
        <w:rPr>
          <w:rFonts w:hint="eastAsia" w:ascii="仿宋_GB2312" w:hAnsi="仿宋" w:eastAsia="仿宋_GB2312" w:cs="宋体"/>
          <w:sz w:val="28"/>
          <w:szCs w:val="28"/>
        </w:rPr>
        <w:t>1、</w:t>
      </w:r>
      <w:r>
        <w:rPr>
          <w:rFonts w:hint="eastAsia" w:ascii="仿宋_GB2312" w:hAnsi="宋体" w:eastAsia="仿宋_GB2312"/>
          <w:sz w:val="28"/>
        </w:rPr>
        <w:t>《中华人民共和国民法典》（2020年5月28日第十三届全国人大三次会议表决通过，自2021年1月1日起施行）；</w:t>
      </w:r>
    </w:p>
    <w:p>
      <w:pPr>
        <w:widowControl w:val="0"/>
        <w:snapToGrid w:val="0"/>
        <w:spacing w:after="0" w:line="520" w:lineRule="exact"/>
        <w:ind w:firstLine="560" w:firstLineChars="200"/>
        <w:rPr>
          <w:rFonts w:ascii="仿宋_GB2312" w:hAnsi="仿宋" w:eastAsia="仿宋_GB2312" w:cs="宋体"/>
          <w:sz w:val="28"/>
          <w:szCs w:val="28"/>
        </w:rPr>
      </w:pPr>
      <w:r>
        <w:rPr>
          <w:rFonts w:hint="eastAsia" w:ascii="仿宋_GB2312" w:hAnsi="宋体" w:eastAsia="仿宋_GB2312"/>
          <w:sz w:val="28"/>
        </w:rPr>
        <w:t>2、</w:t>
      </w:r>
      <w:r>
        <w:rPr>
          <w:rFonts w:hint="eastAsia" w:ascii="仿宋_GB2312" w:hAnsi="仿宋" w:eastAsia="仿宋_GB2312" w:cs="宋体"/>
          <w:sz w:val="28"/>
          <w:szCs w:val="28"/>
        </w:rPr>
        <w:t>《中华人民共和国土地管理法》（中华人民共和国主席令第四十一号，1986年6月25日通过，2019年8月26日修订，2020年1月1日起施行）；</w:t>
      </w:r>
    </w:p>
    <w:p>
      <w:pPr>
        <w:widowControl w:val="0"/>
        <w:spacing w:after="0" w:line="530" w:lineRule="exact"/>
        <w:ind w:firstLine="560" w:firstLineChars="200"/>
        <w:rPr>
          <w:rFonts w:ascii="仿宋_GB2312" w:hAnsi="仿宋" w:eastAsia="仿宋_GB2312" w:cs="宋体"/>
          <w:sz w:val="28"/>
          <w:szCs w:val="28"/>
        </w:rPr>
      </w:pPr>
      <w:r>
        <w:rPr>
          <w:rFonts w:hint="eastAsia" w:ascii="仿宋_GB2312" w:hAnsi="仿宋" w:eastAsia="仿宋_GB2312" w:cs="宋体"/>
          <w:sz w:val="28"/>
          <w:szCs w:val="28"/>
        </w:rPr>
        <w:t>3、《中华人民共和国城市房地产管理法》（中华人民共和国主席令第二十九号，2007年7月5日通过，2019年8月26日修正并施行）；</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4、《中华人民共和国资产评估法》（中华人民共和国主席令第四十六号，</w:t>
      </w:r>
      <w:bookmarkStart w:id="125" w:name="_Hlk14081772"/>
      <w:r>
        <w:rPr>
          <w:rFonts w:ascii="仿宋_GB2312" w:hAnsi="宋体" w:eastAsia="仿宋_GB2312"/>
          <w:sz w:val="28"/>
        </w:rPr>
        <w:t>2016</w:t>
      </w:r>
      <w:r>
        <w:rPr>
          <w:rFonts w:hint="eastAsia" w:ascii="仿宋_GB2312" w:hAnsi="宋体" w:eastAsia="仿宋_GB2312"/>
          <w:sz w:val="28"/>
        </w:rPr>
        <w:t>年</w:t>
      </w:r>
      <w:r>
        <w:rPr>
          <w:rFonts w:ascii="仿宋_GB2312" w:hAnsi="宋体" w:eastAsia="仿宋_GB2312"/>
          <w:sz w:val="28"/>
        </w:rPr>
        <w:t>7</w:t>
      </w:r>
      <w:r>
        <w:rPr>
          <w:rFonts w:hint="eastAsia" w:ascii="仿宋_GB2312" w:hAnsi="宋体" w:eastAsia="仿宋_GB2312"/>
          <w:sz w:val="28"/>
        </w:rPr>
        <w:t>月2日发布</w:t>
      </w:r>
      <w:bookmarkEnd w:id="125"/>
      <w:r>
        <w:rPr>
          <w:rFonts w:hint="eastAsia" w:ascii="仿宋_GB2312" w:hAnsi="宋体" w:eastAsia="仿宋_GB2312"/>
          <w:sz w:val="28"/>
        </w:rPr>
        <w:t>，</w:t>
      </w:r>
      <w:r>
        <w:rPr>
          <w:rFonts w:ascii="仿宋_GB2312" w:hAnsi="宋体" w:eastAsia="仿宋_GB2312"/>
          <w:sz w:val="28"/>
        </w:rPr>
        <w:t>2016年12月1日</w:t>
      </w:r>
      <w:r>
        <w:rPr>
          <w:rFonts w:hint="eastAsia" w:ascii="仿宋_GB2312" w:hAnsi="宋体" w:eastAsia="仿宋_GB2312"/>
          <w:sz w:val="28"/>
        </w:rPr>
        <w:t>实施）；</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5、</w:t>
      </w:r>
      <w:bookmarkStart w:id="126" w:name="_Hlk14081754"/>
      <w:r>
        <w:rPr>
          <w:rFonts w:hint="eastAsia" w:ascii="仿宋_GB2312" w:hAnsi="宋体" w:eastAsia="仿宋_GB2312"/>
          <w:sz w:val="28"/>
        </w:rPr>
        <w:t>国土资源部关于贯彻实施《中华人民共和国资产评估法》</w:t>
      </w:r>
      <w:bookmarkEnd w:id="126"/>
      <w:r>
        <w:rPr>
          <w:rFonts w:hint="eastAsia" w:ascii="仿宋_GB2312" w:hAnsi="宋体" w:eastAsia="仿宋_GB2312"/>
          <w:sz w:val="28"/>
        </w:rPr>
        <w:t>的通知（国土资发〔2016〕181号，</w:t>
      </w:r>
      <w:r>
        <w:rPr>
          <w:rFonts w:ascii="仿宋_GB2312" w:hAnsi="宋体" w:eastAsia="仿宋_GB2312"/>
          <w:sz w:val="28"/>
        </w:rPr>
        <w:t>2016年11月25日发布</w:t>
      </w:r>
      <w:r>
        <w:rPr>
          <w:rFonts w:hint="eastAsia" w:ascii="仿宋_GB2312" w:hAnsi="宋体" w:eastAsia="仿宋_GB2312"/>
          <w:sz w:val="28"/>
        </w:rPr>
        <w:t>）；</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6、</w:t>
      </w:r>
      <w:r>
        <w:rPr>
          <w:rFonts w:ascii="仿宋_GB2312" w:hAnsi="宋体" w:eastAsia="仿宋_GB2312"/>
          <w:sz w:val="28"/>
        </w:rPr>
        <w:t>中华人民共和国国家标准GB/T50291—2015《房地产估价规范》（2015年4月8日发布，2015年12月1日起实施）</w:t>
      </w:r>
      <w:r>
        <w:rPr>
          <w:rFonts w:hint="eastAsia" w:ascii="仿宋_GB2312" w:hAnsi="宋体" w:eastAsia="仿宋_GB2312"/>
          <w:sz w:val="28"/>
        </w:rPr>
        <w:t>；</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7、</w:t>
      </w:r>
      <w:r>
        <w:rPr>
          <w:rFonts w:ascii="仿宋_GB2312" w:hAnsi="宋体" w:eastAsia="仿宋_GB2312"/>
          <w:sz w:val="28"/>
        </w:rPr>
        <w:t>中华人民共和国国家标准GB/T50899—2013《房地产估价基本术语标准》（2013年6月26日发布，2014年02月01日实施）</w:t>
      </w:r>
      <w:r>
        <w:rPr>
          <w:rFonts w:hint="eastAsia" w:ascii="仿宋_GB2312" w:hAnsi="宋体" w:eastAsia="仿宋_GB2312"/>
          <w:sz w:val="28"/>
        </w:rPr>
        <w:t>；</w:t>
      </w:r>
    </w:p>
    <w:p>
      <w:pPr>
        <w:widowControl w:val="0"/>
        <w:spacing w:after="0" w:line="530" w:lineRule="exact"/>
        <w:ind w:firstLine="560" w:firstLineChars="200"/>
        <w:rPr>
          <w:rFonts w:ascii="仿宋_GB2312" w:hAnsi="宋体" w:eastAsia="仿宋_GB2312"/>
          <w:sz w:val="28"/>
          <w:highlight w:val="none"/>
        </w:rPr>
      </w:pPr>
      <w:r>
        <w:rPr>
          <w:rFonts w:hint="eastAsia" w:ascii="仿宋_GB2312" w:hAnsi="宋体" w:eastAsia="仿宋_GB2312"/>
          <w:sz w:val="28"/>
        </w:rPr>
        <w:t>8、《关于印发&lt;涉执房地产处置司法</w:t>
      </w:r>
      <w:r>
        <w:rPr>
          <w:rFonts w:hint="eastAsia" w:ascii="仿宋_GB2312" w:hAnsi="宋体" w:eastAsia="仿宋_GB2312"/>
          <w:sz w:val="28"/>
          <w:highlight w:val="none"/>
        </w:rPr>
        <w:t>评估指导意见（试行）&gt;的通知》（中房学〔2021〕37号）（2021年8月18日发布，2021年9月1日实施）；</w:t>
      </w:r>
    </w:p>
    <w:p>
      <w:pPr>
        <w:widowControl w:val="0"/>
        <w:spacing w:after="0" w:line="530" w:lineRule="exact"/>
        <w:ind w:firstLine="560" w:firstLineChars="200"/>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rPr>
        <w:t>9、</w:t>
      </w:r>
      <w:r>
        <w:rPr>
          <w:rFonts w:hint="eastAsia" w:ascii="仿宋_GB2312" w:hAnsi="宋体" w:eastAsia="仿宋_GB2312" w:cs="Times New Roman"/>
          <w:sz w:val="28"/>
          <w:highlight w:val="none"/>
          <w:lang w:val="en-US" w:eastAsia="zh-CN"/>
        </w:rPr>
        <w:t>《莱西市人民政府关于公布城镇土地级别及基准地价的通知》（西政字〔2020〕76号，2020年12月1日起实施）</w:t>
      </w:r>
      <w:r>
        <w:rPr>
          <w:rFonts w:hint="eastAsia" w:ascii="仿宋_GB2312" w:hAnsi="宋体" w:eastAsia="仿宋_GB2312" w:cs="Times New Roman"/>
          <w:sz w:val="28"/>
          <w:highlight w:val="none"/>
        </w:rPr>
        <w:t>；</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highlight w:val="none"/>
        </w:rPr>
        <w:t>10、《</w:t>
      </w:r>
      <w:r>
        <w:rPr>
          <w:rFonts w:hint="eastAsia" w:ascii="仿宋_GB2312" w:hAnsi="宋体" w:eastAsia="仿宋_GB2312"/>
          <w:sz w:val="28"/>
          <w:highlight w:val="none"/>
          <w:lang w:eastAsia="zh-CN"/>
        </w:rPr>
        <w:t>莱西市人民法院</w:t>
      </w:r>
      <w:r>
        <w:rPr>
          <w:rFonts w:hint="eastAsia" w:ascii="仿宋_GB2312" w:hAnsi="宋体" w:eastAsia="仿宋_GB2312"/>
          <w:sz w:val="28"/>
          <w:highlight w:val="none"/>
        </w:rPr>
        <w:t>委托书》</w:t>
      </w:r>
      <w:r>
        <w:rPr>
          <w:rFonts w:hint="eastAsia" w:ascii="仿宋_GB2312" w:hAnsi="宋体" w:eastAsia="仿宋_GB2312" w:cs="仿宋_GB2312"/>
          <w:sz w:val="28"/>
          <w:szCs w:val="28"/>
          <w:highlight w:val="none"/>
        </w:rPr>
        <w:t>（</w:t>
      </w:r>
      <w:r>
        <w:rPr>
          <w:rFonts w:hint="eastAsia" w:ascii="仿宋_GB2312" w:hAnsi="宋体" w:eastAsia="仿宋_GB2312" w:cs="仿宋_GB2312"/>
          <w:sz w:val="28"/>
          <w:szCs w:val="28"/>
          <w:highlight w:val="none"/>
          <w:lang w:eastAsia="zh-CN"/>
        </w:rPr>
        <w:t>（2021）鲁0285执35</w:t>
      </w:r>
      <w:r>
        <w:rPr>
          <w:rFonts w:hint="eastAsia" w:ascii="仿宋_GB2312" w:hAnsi="宋体" w:eastAsia="仿宋_GB2312" w:cs="仿宋_GB2312"/>
          <w:sz w:val="28"/>
          <w:szCs w:val="28"/>
          <w:lang w:eastAsia="zh-CN"/>
        </w:rPr>
        <w:t>00号</w:t>
      </w:r>
      <w:r>
        <w:rPr>
          <w:rFonts w:hint="eastAsia" w:ascii="仿宋_GB2312" w:hAnsi="宋体" w:eastAsia="仿宋_GB2312" w:cs="仿宋_GB2312"/>
          <w:sz w:val="28"/>
          <w:szCs w:val="28"/>
        </w:rPr>
        <w:t>）</w:t>
      </w:r>
      <w:r>
        <w:rPr>
          <w:rFonts w:hint="eastAsia" w:ascii="仿宋_GB2312" w:hAnsi="宋体" w:eastAsia="仿宋_GB2312"/>
          <w:sz w:val="28"/>
        </w:rPr>
        <w:t>；</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11、</w:t>
      </w:r>
      <w:r>
        <w:rPr>
          <w:rFonts w:hint="eastAsia" w:ascii="仿宋_GB2312" w:hAnsi="宋体" w:eastAsia="仿宋_GB2312"/>
          <w:sz w:val="28"/>
          <w:lang w:eastAsia="zh-CN"/>
        </w:rPr>
        <w:t>《中华人民共和国房地产权证》（青房地权市字第2013142446号）</w:t>
      </w:r>
      <w:r>
        <w:rPr>
          <w:rFonts w:hint="eastAsia" w:ascii="仿宋_GB2312" w:hAnsi="宋体" w:eastAsia="仿宋_GB2312"/>
          <w:sz w:val="28"/>
        </w:rPr>
        <w:t>；</w:t>
      </w:r>
    </w:p>
    <w:p>
      <w:pPr>
        <w:widowControl w:val="0"/>
        <w:spacing w:after="0" w:line="530" w:lineRule="exact"/>
        <w:ind w:firstLine="560" w:firstLineChars="200"/>
        <w:rPr>
          <w:rFonts w:hint="eastAsia" w:ascii="仿宋_GB2312" w:hAnsi="宋体" w:eastAsia="仿宋_GB2312"/>
          <w:sz w:val="28"/>
          <w:lang w:val="en-US" w:eastAsia="zh-CN"/>
        </w:rPr>
      </w:pPr>
      <w:r>
        <w:rPr>
          <w:rFonts w:hint="eastAsia" w:ascii="仿宋_GB2312" w:hAnsi="宋体" w:eastAsia="仿宋_GB2312"/>
          <w:sz w:val="28"/>
        </w:rPr>
        <w:t>1</w:t>
      </w:r>
      <w:r>
        <w:rPr>
          <w:rFonts w:hint="eastAsia" w:ascii="仿宋_GB2312" w:hAnsi="宋体" w:eastAsia="仿宋_GB2312"/>
          <w:sz w:val="28"/>
          <w:lang w:val="en-US" w:eastAsia="zh-CN"/>
        </w:rPr>
        <w:t>2</w:t>
      </w:r>
      <w:r>
        <w:rPr>
          <w:rFonts w:hint="eastAsia" w:ascii="仿宋_GB2312" w:hAnsi="宋体" w:eastAsia="仿宋_GB2312"/>
          <w:sz w:val="28"/>
        </w:rPr>
        <w:t>、</w:t>
      </w:r>
      <w:r>
        <w:rPr>
          <w:rFonts w:hint="eastAsia" w:ascii="仿宋_GB2312" w:hAnsi="宋体" w:eastAsia="仿宋_GB2312"/>
          <w:sz w:val="28"/>
          <w:szCs w:val="28"/>
          <w:lang w:eastAsia="zh-CN"/>
        </w:rPr>
        <w:t>《不动产交易登记信息（现势不含历史）查询结果证明》（证明编号：</w:t>
      </w:r>
      <w:r>
        <w:rPr>
          <w:rFonts w:hint="eastAsia" w:ascii="仿宋_GB2312" w:hAnsi="宋体" w:eastAsia="仿宋_GB2312"/>
          <w:sz w:val="28"/>
          <w:szCs w:val="28"/>
          <w:lang w:val="en-US" w:eastAsia="zh-CN"/>
        </w:rPr>
        <w:t>21112201264590</w:t>
      </w:r>
      <w:r>
        <w:rPr>
          <w:rFonts w:hint="eastAsia" w:ascii="仿宋_GB2312" w:hAnsi="宋体" w:eastAsia="仿宋_GB2312"/>
          <w:sz w:val="28"/>
          <w:szCs w:val="28"/>
          <w:lang w:eastAsia="zh-CN"/>
        </w:rPr>
        <w:t>）；</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lang w:val="en-US" w:eastAsia="zh-CN"/>
        </w:rPr>
        <w:t>13、</w:t>
      </w:r>
      <w:r>
        <w:rPr>
          <w:rFonts w:hint="eastAsia" w:ascii="仿宋_GB2312" w:hAnsi="宋体" w:eastAsia="仿宋_GB2312"/>
          <w:sz w:val="28"/>
          <w:lang w:eastAsia="zh-CN"/>
        </w:rPr>
        <w:t>青岛莱西市</w:t>
      </w:r>
      <w:r>
        <w:rPr>
          <w:rFonts w:hint="eastAsia" w:ascii="仿宋_GB2312" w:hAnsi="宋体" w:eastAsia="仿宋_GB2312"/>
          <w:sz w:val="28"/>
        </w:rPr>
        <w:t>价值时点时期的同类房地产市场行情信息；</w:t>
      </w:r>
    </w:p>
    <w:p>
      <w:pPr>
        <w:widowControl w:val="0"/>
        <w:spacing w:after="0" w:line="530" w:lineRule="exact"/>
        <w:ind w:firstLine="560" w:firstLineChars="200"/>
        <w:rPr>
          <w:rFonts w:ascii="仿宋_GB2312" w:hAnsi="宋体" w:eastAsia="仿宋_GB2312"/>
          <w:sz w:val="28"/>
        </w:rPr>
      </w:pPr>
      <w:r>
        <w:rPr>
          <w:rFonts w:hint="eastAsia" w:ascii="仿宋_GB2312" w:hAnsi="宋体" w:eastAsia="仿宋_GB2312"/>
          <w:sz w:val="28"/>
        </w:rPr>
        <w:t>1</w:t>
      </w:r>
      <w:r>
        <w:rPr>
          <w:rFonts w:hint="eastAsia" w:ascii="仿宋_GB2312" w:hAnsi="宋体" w:eastAsia="仿宋_GB2312"/>
          <w:sz w:val="28"/>
          <w:lang w:val="en-US" w:eastAsia="zh-CN"/>
        </w:rPr>
        <w:t>4、</w:t>
      </w:r>
      <w:r>
        <w:rPr>
          <w:rFonts w:hint="eastAsia" w:ascii="仿宋_GB2312" w:hAnsi="宋体" w:eastAsia="仿宋_GB2312"/>
          <w:sz w:val="28"/>
        </w:rPr>
        <w:t>注册房地产估价师现场勘估记录。</w:t>
      </w:r>
    </w:p>
    <w:p>
      <w:pPr>
        <w:pStyle w:val="4"/>
        <w:keepNext w:val="0"/>
        <w:keepLines w:val="0"/>
        <w:widowControl w:val="0"/>
        <w:spacing w:before="0" w:line="530" w:lineRule="exact"/>
        <w:ind w:firstLine="562" w:firstLineChars="200"/>
        <w:rPr>
          <w:rFonts w:ascii="仿宋_GB2312" w:eastAsia="仿宋_GB2312"/>
          <w:b/>
          <w:color w:val="auto"/>
          <w14:textFill>
            <w14:noFill/>
          </w14:textFill>
        </w:rPr>
      </w:pPr>
      <w:bookmarkStart w:id="127" w:name="_Toc340240497"/>
      <w:bookmarkStart w:id="128" w:name="_Toc14340"/>
      <w:bookmarkStart w:id="129" w:name="_Toc9189"/>
      <w:r>
        <w:rPr>
          <w:rFonts w:hint="eastAsia" w:ascii="仿宋_GB2312" w:eastAsia="仿宋_GB2312"/>
          <w:b/>
          <w:color w:val="auto"/>
        </w:rPr>
        <w:t>（九）估价方法</w:t>
      </w:r>
      <w:bookmarkEnd w:id="119"/>
      <w:bookmarkEnd w:id="120"/>
      <w:bookmarkEnd w:id="121"/>
      <w:bookmarkEnd w:id="122"/>
      <w:bookmarkEnd w:id="123"/>
      <w:bookmarkEnd w:id="124"/>
      <w:bookmarkEnd w:id="127"/>
      <w:bookmarkEnd w:id="128"/>
      <w:bookmarkEnd w:id="129"/>
    </w:p>
    <w:p>
      <w:pPr>
        <w:widowControl w:val="0"/>
        <w:spacing w:after="0" w:line="530" w:lineRule="exact"/>
        <w:ind w:firstLine="560" w:firstLineChars="200"/>
        <w:rPr>
          <w:rFonts w:hint="eastAsia" w:ascii="仿宋_GB2312" w:hAnsi="宋体" w:eastAsia="仿宋_GB2312"/>
          <w:sz w:val="28"/>
          <w:szCs w:val="28"/>
        </w:rPr>
      </w:pPr>
      <w:bookmarkStart w:id="130" w:name="_Toc135021318"/>
      <w:bookmarkStart w:id="131" w:name="_Toc135021039"/>
      <w:bookmarkStart w:id="132" w:name="_Toc340240498"/>
      <w:bookmarkStart w:id="133" w:name="_Toc135020965"/>
      <w:bookmarkStart w:id="134" w:name="_Toc135021605"/>
      <w:bookmarkStart w:id="135" w:name="_Toc135541830"/>
      <w:bookmarkStart w:id="136" w:name="_Toc135021222"/>
      <w:r>
        <w:rPr>
          <w:rFonts w:hint="eastAsia" w:ascii="仿宋_GB2312" w:hAnsi="宋体" w:eastAsia="仿宋_GB2312"/>
          <w:sz w:val="28"/>
          <w:szCs w:val="28"/>
        </w:rPr>
        <w:t>根据《房地产估价规范》（GB/T50291-2015），可以选用的估价方法有比较法、收益法、成本法、假设开发法等。本次评估选用比较法及成本法的原因如下：</w:t>
      </w:r>
    </w:p>
    <w:tbl>
      <w:tblPr>
        <w:tblStyle w:val="51"/>
        <w:tblW w:w="1005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73"/>
        <w:gridCol w:w="3780"/>
        <w:gridCol w:w="4214"/>
        <w:gridCol w:w="89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173" w:type="dxa"/>
            <w:tcBorders>
              <w:top w:val="single" w:color="E1BC64" w:sz="8" w:space="0"/>
              <w:left w:val="single" w:color="E1BC64" w:sz="8" w:space="0"/>
              <w:bottom w:val="single" w:color="E1BC64" w:sz="8" w:space="0"/>
              <w:right w:val="single" w:color="E1BC64" w:sz="8" w:space="0"/>
              <w:tl2br w:val="nil"/>
              <w:tr2bl w:val="nil"/>
            </w:tcBorders>
            <w:shd w:val="clear" w:color="auto" w:fill="F5E6C6"/>
            <w:vAlign w:val="center"/>
          </w:tcPr>
          <w:p>
            <w:pPr>
              <w:pStyle w:val="107"/>
              <w:widowControl w:val="0"/>
              <w:spacing w:after="0" w:line="224" w:lineRule="auto"/>
              <w:ind w:right="-94"/>
              <w:jc w:val="center"/>
              <w:rPr>
                <w:rFonts w:ascii="仿宋_GB2312" w:hAnsi="宋体" w:eastAsia="仿宋_GB2312"/>
                <w:b/>
                <w:bCs/>
                <w:color w:val="000000"/>
                <w:sz w:val="18"/>
                <w:szCs w:val="18"/>
                <w:lang w:eastAsia="zh-CN"/>
              </w:rPr>
            </w:pPr>
            <w:r>
              <w:rPr>
                <w:rFonts w:hint="eastAsia" w:ascii="仿宋_GB2312" w:hAnsi="宋体" w:eastAsia="仿宋_GB2312"/>
                <w:b/>
                <w:bCs/>
                <w:color w:val="000000"/>
                <w:sz w:val="18"/>
                <w:szCs w:val="18"/>
                <w:lang w:eastAsia="zh-CN"/>
              </w:rPr>
              <w:t>可选估价方法</w:t>
            </w:r>
          </w:p>
        </w:tc>
        <w:tc>
          <w:tcPr>
            <w:tcW w:w="3780" w:type="dxa"/>
            <w:tcBorders>
              <w:top w:val="single" w:color="E1BC64" w:sz="8" w:space="0"/>
              <w:left w:val="single" w:color="E1BC64" w:sz="8" w:space="0"/>
              <w:bottom w:val="single" w:color="E1BC64" w:sz="8" w:space="0"/>
              <w:right w:val="single" w:color="E1BC64" w:sz="8" w:space="0"/>
              <w:tl2br w:val="nil"/>
              <w:tr2bl w:val="nil"/>
            </w:tcBorders>
            <w:shd w:val="clear" w:color="auto" w:fill="F5E6C6"/>
            <w:vAlign w:val="center"/>
          </w:tcPr>
          <w:p>
            <w:pPr>
              <w:pStyle w:val="107"/>
              <w:widowControl w:val="0"/>
              <w:spacing w:after="0" w:line="224" w:lineRule="auto"/>
              <w:ind w:right="98"/>
              <w:jc w:val="center"/>
              <w:rPr>
                <w:rFonts w:ascii="仿宋_GB2312" w:hAnsi="宋体" w:eastAsia="仿宋_GB2312"/>
                <w:b/>
                <w:bCs/>
                <w:color w:val="000000"/>
                <w:sz w:val="18"/>
                <w:szCs w:val="18"/>
                <w:lang w:eastAsia="zh-CN"/>
              </w:rPr>
            </w:pPr>
            <w:r>
              <w:rPr>
                <w:rFonts w:hint="eastAsia" w:ascii="仿宋_GB2312" w:hAnsi="宋体" w:eastAsia="仿宋_GB2312"/>
                <w:b/>
                <w:bCs/>
                <w:color w:val="000000"/>
                <w:sz w:val="18"/>
                <w:szCs w:val="18"/>
                <w:lang w:eastAsia="zh-CN"/>
              </w:rPr>
              <w:t>估价方法定义</w:t>
            </w:r>
          </w:p>
        </w:tc>
        <w:tc>
          <w:tcPr>
            <w:tcW w:w="4214" w:type="dxa"/>
            <w:tcBorders>
              <w:top w:val="single" w:color="E1BC64" w:sz="8" w:space="0"/>
              <w:left w:val="single" w:color="E1BC64" w:sz="8" w:space="0"/>
              <w:bottom w:val="single" w:color="E1BC64" w:sz="8" w:space="0"/>
              <w:right w:val="single" w:color="E1BC64" w:sz="8" w:space="0"/>
              <w:tl2br w:val="nil"/>
              <w:tr2bl w:val="nil"/>
            </w:tcBorders>
            <w:shd w:val="clear" w:color="auto" w:fill="F5E6C6"/>
            <w:vAlign w:val="center"/>
          </w:tcPr>
          <w:p>
            <w:pPr>
              <w:pStyle w:val="107"/>
              <w:widowControl w:val="0"/>
              <w:spacing w:after="0" w:line="224" w:lineRule="auto"/>
              <w:jc w:val="center"/>
              <w:rPr>
                <w:rFonts w:ascii="仿宋_GB2312" w:hAnsi="宋体" w:eastAsia="仿宋_GB2312"/>
                <w:b/>
                <w:bCs/>
                <w:color w:val="000000"/>
                <w:sz w:val="18"/>
                <w:szCs w:val="18"/>
                <w:lang w:eastAsia="zh-CN"/>
              </w:rPr>
            </w:pPr>
            <w:r>
              <w:rPr>
                <w:rFonts w:hint="eastAsia" w:ascii="仿宋_GB2312" w:hAnsi="宋体" w:eastAsia="仿宋_GB2312"/>
                <w:b/>
                <w:bCs/>
                <w:color w:val="000000"/>
                <w:sz w:val="18"/>
                <w:szCs w:val="18"/>
                <w:lang w:eastAsia="zh-CN"/>
              </w:rPr>
              <w:t>估价方法是否选择理由</w:t>
            </w:r>
          </w:p>
        </w:tc>
        <w:tc>
          <w:tcPr>
            <w:tcW w:w="891" w:type="dxa"/>
            <w:tcBorders>
              <w:top w:val="single" w:color="E1BC64" w:sz="8" w:space="0"/>
              <w:left w:val="single" w:color="E1BC64" w:sz="8" w:space="0"/>
              <w:bottom w:val="single" w:color="E1BC64" w:sz="8" w:space="0"/>
              <w:right w:val="single" w:color="E1BC64" w:sz="8" w:space="0"/>
              <w:tl2br w:val="nil"/>
              <w:tr2bl w:val="nil"/>
            </w:tcBorders>
            <w:shd w:val="clear" w:color="auto" w:fill="F5E6C6"/>
            <w:vAlign w:val="center"/>
          </w:tcPr>
          <w:p>
            <w:pPr>
              <w:pStyle w:val="107"/>
              <w:widowControl w:val="0"/>
              <w:spacing w:after="0" w:line="224" w:lineRule="auto"/>
              <w:ind w:right="74"/>
              <w:jc w:val="center"/>
              <w:rPr>
                <w:rFonts w:ascii="仿宋_GB2312" w:hAnsi="宋体" w:eastAsia="仿宋_GB2312"/>
                <w:b/>
                <w:bCs/>
                <w:color w:val="000000"/>
                <w:sz w:val="18"/>
                <w:szCs w:val="18"/>
                <w:lang w:eastAsia="zh-CN"/>
              </w:rPr>
            </w:pPr>
            <w:r>
              <w:rPr>
                <w:rFonts w:hint="eastAsia" w:ascii="仿宋_GB2312" w:hAnsi="宋体" w:eastAsia="仿宋_GB2312"/>
                <w:b/>
                <w:bCs/>
                <w:color w:val="000000"/>
                <w:sz w:val="18"/>
                <w:szCs w:val="18"/>
                <w:lang w:eastAsia="zh-CN"/>
              </w:rPr>
              <w:t>是否选取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56" w:hRule="atLeast"/>
          <w:jc w:val="center"/>
        </w:trPr>
        <w:tc>
          <w:tcPr>
            <w:tcW w:w="1173"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比较法</w:t>
            </w:r>
          </w:p>
        </w:tc>
        <w:tc>
          <w:tcPr>
            <w:tcW w:w="3780"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比较法是选取一定数量的可比实例，将它们与估价对象进行比较，根据其间的差异对可比实例成交价格进行处理后得到估价对象价值或价格的方法。</w:t>
            </w:r>
          </w:p>
        </w:tc>
        <w:tc>
          <w:tcPr>
            <w:tcW w:w="4214"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适用于同类房地产数量较多、经常发生交易且具有一定可比性的房地产，如住宅，特别是数量较多、可比性较好的存量住宅；写字楼；商铺；标准厂房；房地产开发用地等。估价对象为住宅，周边存在具可比性的同类房地产，且比准价格较易取得，故适宜采用比较法。</w:t>
            </w:r>
          </w:p>
        </w:tc>
        <w:tc>
          <w:tcPr>
            <w:tcW w:w="891"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选取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56" w:hRule="atLeast"/>
          <w:jc w:val="center"/>
        </w:trPr>
        <w:tc>
          <w:tcPr>
            <w:tcW w:w="1173"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成本法</w:t>
            </w:r>
          </w:p>
        </w:tc>
        <w:tc>
          <w:tcPr>
            <w:tcW w:w="3780"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成本法是测算估价对象在价值时点的重置成本或重建成本和折旧，将重置成本或重建成本减去折旧得到估价对象价值或价格的方法。</w:t>
            </w:r>
          </w:p>
        </w:tc>
        <w:tc>
          <w:tcPr>
            <w:tcW w:w="4214"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适用于新近开发完成的房地产（简称新开发的房地产）、可以假设重新开发的现有房地产（简称旧的房地产）、正在开发的房地产（即在建工程）、计划开发的房地产（如期房）。特别适用于对很少发生交易而限制了比较法运用，又没有经济收入或没有潜在经济收入而限制了收益法运用的房地产，如学校、医院、图书馆、体育场馆、公园、行政办公楼、军队营房等以公益、公用为目的的房地产。也适用于如化工厂、钢铁厂、发电厂、油田、码头、机场之类有独特设计或只针对特定使用者的特殊需要而开发建设的房地产，以及单独的建筑物或其装饰装修部分。估价对象土地取得成本、建设成本等资料较易获取，故可用成本法进行估价。</w:t>
            </w:r>
          </w:p>
        </w:tc>
        <w:tc>
          <w:tcPr>
            <w:tcW w:w="891"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选取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02" w:hRule="atLeast"/>
          <w:jc w:val="center"/>
        </w:trPr>
        <w:tc>
          <w:tcPr>
            <w:tcW w:w="1173"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收益法</w:t>
            </w:r>
          </w:p>
        </w:tc>
        <w:tc>
          <w:tcPr>
            <w:tcW w:w="3780"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收益法是预测估价对象的未来收益，利用报酬率或资本化率、收益乘数将未来收益转换为价值得到估价对象价值或价格的方法。</w:t>
            </w:r>
          </w:p>
        </w:tc>
        <w:tc>
          <w:tcPr>
            <w:tcW w:w="4214"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适用于估价对象或其同类房地产通常有租金等经济收入的收益性房地产，包括住宅、写字楼、商店、酒店、餐馆、游乐场、影剧院、停车场、汽车加油站、标准厂房（用于出租的）、仓库（用于出租的）、农地等。近年来由于中国经济大环境影响，住宅房地产空置率的上升，造成未来住宅房地产收益走势具有较大的不确定性，同时估价对象资本化率等数据难以取得，故本次评估不采用收益法。</w:t>
            </w:r>
          </w:p>
        </w:tc>
        <w:tc>
          <w:tcPr>
            <w:tcW w:w="891"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不选取</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173"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3" w:right="80"/>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假设开发法</w:t>
            </w:r>
          </w:p>
        </w:tc>
        <w:tc>
          <w:tcPr>
            <w:tcW w:w="3780"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ind w:left="101" w:right="80"/>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4214"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适用于具有投资开发或再开发潜力的房地产的估价，技术路线为预测其未来开发完成后的价值，减去后续开发建设的必要支出及应得利润来求取估价对象的价值。估价对象为已建成房地产，当前为最高最佳利用，暂时不具有再开发潜力，因此本次评估亦不采用假设开发法进行评估。</w:t>
            </w:r>
          </w:p>
        </w:tc>
        <w:tc>
          <w:tcPr>
            <w:tcW w:w="891" w:type="dxa"/>
            <w:tcBorders>
              <w:top w:val="single" w:color="E1BC64" w:sz="8" w:space="0"/>
              <w:left w:val="single" w:color="E1BC64" w:sz="8" w:space="0"/>
              <w:bottom w:val="single" w:color="E1BC64" w:sz="8" w:space="0"/>
              <w:right w:val="single" w:color="E1BC64" w:sz="8" w:space="0"/>
              <w:tl2br w:val="nil"/>
              <w:tr2bl w:val="nil"/>
            </w:tcBorders>
            <w:shd w:val="clear" w:color="auto" w:fill="FEFEFE"/>
            <w:vAlign w:val="center"/>
          </w:tcPr>
          <w:p>
            <w:pPr>
              <w:pStyle w:val="107"/>
              <w:widowControl w:val="0"/>
              <w:spacing w:after="0" w:line="224" w:lineRule="auto"/>
              <w:jc w:val="center"/>
              <w:rPr>
                <w:rFonts w:ascii="仿宋_GB2312" w:hAnsi="宋体" w:eastAsia="仿宋_GB2312"/>
                <w:color w:val="000000"/>
                <w:sz w:val="18"/>
                <w:szCs w:val="18"/>
                <w:lang w:eastAsia="zh-CN"/>
              </w:rPr>
            </w:pPr>
            <w:r>
              <w:rPr>
                <w:rFonts w:hint="eastAsia" w:ascii="仿宋_GB2312" w:hAnsi="宋体" w:eastAsia="仿宋_GB2312"/>
                <w:color w:val="000000"/>
                <w:sz w:val="18"/>
                <w:szCs w:val="18"/>
                <w:lang w:eastAsia="zh-CN"/>
              </w:rPr>
              <w:t>不选取</w:t>
            </w:r>
          </w:p>
        </w:tc>
      </w:tr>
    </w:tbl>
    <w:p>
      <w:pPr>
        <w:widowControl w:val="0"/>
        <w:spacing w:after="0" w:line="530" w:lineRule="exact"/>
        <w:ind w:firstLine="560" w:firstLineChars="200"/>
        <w:rPr>
          <w:rFonts w:ascii="仿宋_GB2312" w:hAnsi="宋体" w:eastAsia="仿宋_GB2312"/>
          <w:sz w:val="28"/>
          <w:szCs w:val="28"/>
        </w:rPr>
      </w:pPr>
      <w:r>
        <w:rPr>
          <w:rFonts w:hint="eastAsia" w:ascii="仿宋_GB2312" w:hAnsi="宋体" w:eastAsia="仿宋_GB2312"/>
          <w:sz w:val="28"/>
          <w:szCs w:val="28"/>
        </w:rPr>
        <w:t>最终根据两种估价方法的结果，并运用数理统计分析的有关方法，结合估价人员的经验，最终确定估价的估价结果。</w:t>
      </w:r>
    </w:p>
    <w:p>
      <w:pPr>
        <w:pStyle w:val="4"/>
        <w:keepNext w:val="0"/>
        <w:keepLines w:val="0"/>
        <w:widowControl w:val="0"/>
        <w:spacing w:before="0" w:line="530" w:lineRule="exact"/>
        <w:ind w:firstLine="562" w:firstLineChars="200"/>
        <w:rPr>
          <w:rFonts w:ascii="仿宋_GB2312" w:eastAsia="仿宋_GB2312"/>
          <w:b/>
          <w:color w:val="auto"/>
        </w:rPr>
      </w:pPr>
      <w:bookmarkStart w:id="137" w:name="_Toc27897"/>
      <w:bookmarkStart w:id="138" w:name="_Toc13577"/>
      <w:r>
        <w:rPr>
          <w:rFonts w:hint="eastAsia" w:ascii="仿宋_GB2312" w:eastAsia="仿宋_GB2312"/>
          <w:b/>
          <w:color w:val="auto"/>
        </w:rPr>
        <w:t>（十）估价结果</w:t>
      </w:r>
      <w:bookmarkEnd w:id="130"/>
      <w:bookmarkEnd w:id="131"/>
      <w:bookmarkEnd w:id="132"/>
      <w:bookmarkEnd w:id="133"/>
      <w:bookmarkEnd w:id="134"/>
      <w:bookmarkEnd w:id="135"/>
      <w:bookmarkEnd w:id="136"/>
      <w:bookmarkEnd w:id="137"/>
      <w:bookmarkEnd w:id="138"/>
    </w:p>
    <w:p>
      <w:pPr>
        <w:widowControl w:val="0"/>
        <w:spacing w:after="0" w:line="530" w:lineRule="exact"/>
        <w:ind w:right="-15" w:firstLine="560" w:firstLineChars="200"/>
        <w:rPr>
          <w:rFonts w:ascii="仿宋_GB2312" w:hAnsi="宋体" w:eastAsia="仿宋_GB2312" w:cs="宋体"/>
          <w:sz w:val="28"/>
          <w:szCs w:val="28"/>
        </w:rPr>
      </w:pPr>
      <w:r>
        <w:rPr>
          <w:rFonts w:hint="eastAsia" w:ascii="仿宋_GB2312" w:hAnsi="宋体" w:eastAsia="仿宋_GB2312"/>
          <w:sz w:val="28"/>
        </w:rPr>
        <w:t>注册房地产估价师根据估价目的，遵循估价原则，按照估价程序，在对估价对象进行详细查勘并认真分析现有资料的基础上，经过周密地计算，并结合对影响房地产价值因素的综合分析，最终确定价值时点</w:t>
      </w:r>
      <w:r>
        <w:rPr>
          <w:rFonts w:hint="eastAsia" w:ascii="仿宋_GB2312" w:hAnsi="宋体" w:eastAsia="仿宋_GB2312" w:cs="宋体"/>
          <w:sz w:val="28"/>
          <w:szCs w:val="28"/>
        </w:rPr>
        <w:t>待估房地产的市场价格为：</w:t>
      </w:r>
    </w:p>
    <w:p>
      <w:pPr>
        <w:widowControl w:val="0"/>
        <w:spacing w:after="0" w:line="530" w:lineRule="exact"/>
        <w:ind w:right="-15" w:firstLine="560" w:firstLineChars="200"/>
        <w:rPr>
          <w:rFonts w:ascii="仿宋_GB2312" w:hAnsi="宋体" w:eastAsia="仿宋_GB2312" w:cs="宋体"/>
          <w:sz w:val="28"/>
          <w:szCs w:val="28"/>
          <w:highlight w:val="none"/>
        </w:rPr>
      </w:pPr>
      <w:bookmarkStart w:id="139" w:name="_Toc135021319"/>
      <w:bookmarkStart w:id="140" w:name="_Toc135021223"/>
      <w:bookmarkStart w:id="141" w:name="_Toc135021606"/>
      <w:bookmarkStart w:id="142" w:name="_Toc135021040"/>
      <w:bookmarkStart w:id="143" w:name="_Toc135020966"/>
      <w:bookmarkStart w:id="144" w:name="_Toc135541831"/>
      <w:r>
        <w:rPr>
          <w:rFonts w:hint="eastAsia" w:ascii="仿宋_GB2312" w:hAnsi="宋体" w:eastAsia="仿宋_GB2312" w:cs="宋体"/>
          <w:sz w:val="28"/>
          <w:szCs w:val="28"/>
          <w:highlight w:val="none"/>
        </w:rPr>
        <w:t>单价：</w:t>
      </w:r>
      <w:r>
        <w:rPr>
          <w:rFonts w:hint="eastAsia" w:ascii="仿宋_GB2312" w:hAnsi="宋体" w:eastAsia="仿宋_GB2312" w:cs="宋体"/>
          <w:sz w:val="28"/>
          <w:szCs w:val="28"/>
          <w:highlight w:val="none"/>
          <w:lang w:eastAsia="zh-CN"/>
        </w:rPr>
        <w:t>6563</w:t>
      </w:r>
      <w:r>
        <w:rPr>
          <w:rFonts w:hint="eastAsia" w:ascii="仿宋_GB2312" w:hAnsi="宋体" w:eastAsia="仿宋_GB2312" w:cs="宋体"/>
          <w:sz w:val="28"/>
          <w:szCs w:val="28"/>
          <w:highlight w:val="none"/>
        </w:rPr>
        <w:t>元/平方米</w:t>
      </w:r>
    </w:p>
    <w:p>
      <w:pPr>
        <w:widowControl w:val="0"/>
        <w:spacing w:after="0" w:line="530" w:lineRule="exact"/>
        <w:ind w:firstLine="560" w:firstLineChars="200"/>
        <w:rPr>
          <w:rFonts w:ascii="仿宋_GB2312" w:hAnsi="Arial" w:eastAsia="仿宋_GB2312" w:cs="Arial"/>
          <w:sz w:val="28"/>
          <w:szCs w:val="28"/>
          <w:highlight w:val="none"/>
        </w:rPr>
      </w:pPr>
      <w:r>
        <w:rPr>
          <w:rFonts w:hint="eastAsia" w:ascii="仿宋_GB2312" w:hAnsi="Arial" w:eastAsia="仿宋_GB2312" w:cs="Arial"/>
          <w:sz w:val="28"/>
          <w:szCs w:val="28"/>
          <w:highlight w:val="none"/>
        </w:rPr>
        <w:t>总价：</w:t>
      </w:r>
      <w:r>
        <w:rPr>
          <w:rFonts w:hint="eastAsia" w:ascii="仿宋_GB2312" w:hAnsi="Arial" w:eastAsia="仿宋_GB2312" w:cs="Arial"/>
          <w:sz w:val="28"/>
          <w:szCs w:val="28"/>
          <w:highlight w:val="none"/>
          <w:lang w:eastAsia="zh-CN"/>
        </w:rPr>
        <w:t>873732</w:t>
      </w:r>
      <w:r>
        <w:rPr>
          <w:rFonts w:hint="eastAsia" w:ascii="仿宋_GB2312" w:hAnsi="Arial" w:eastAsia="仿宋_GB2312" w:cs="Arial"/>
          <w:sz w:val="28"/>
          <w:szCs w:val="28"/>
          <w:highlight w:val="none"/>
        </w:rPr>
        <w:t>元</w:t>
      </w:r>
    </w:p>
    <w:p>
      <w:pPr>
        <w:widowControl w:val="0"/>
        <w:spacing w:after="0" w:line="530" w:lineRule="exact"/>
        <w:ind w:right="-15" w:firstLine="560" w:firstLineChars="200"/>
        <w:rPr>
          <w:rFonts w:hint="eastAsia" w:ascii="仿宋_GB2312" w:eastAsia="仿宋_GB2312"/>
          <w:sz w:val="28"/>
          <w:highlight w:val="none"/>
        </w:rPr>
      </w:pPr>
      <w:r>
        <w:rPr>
          <w:rFonts w:hint="eastAsia" w:ascii="仿宋_GB2312" w:eastAsia="仿宋_GB2312"/>
          <w:sz w:val="28"/>
          <w:highlight w:val="none"/>
        </w:rPr>
        <w:t>人民币大写：</w:t>
      </w:r>
      <w:r>
        <w:rPr>
          <w:rFonts w:hint="eastAsia" w:ascii="仿宋_GB2312" w:eastAsia="仿宋_GB2312"/>
          <w:sz w:val="28"/>
          <w:highlight w:val="none"/>
          <w:lang w:eastAsia="zh-CN"/>
        </w:rPr>
        <w:t>捌拾柒万叁仟柒佰叁拾贰元整</w:t>
      </w:r>
    </w:p>
    <w:p>
      <w:pPr>
        <w:pStyle w:val="4"/>
        <w:keepNext w:val="0"/>
        <w:keepLines w:val="0"/>
        <w:widowControl w:val="0"/>
        <w:numPr>
          <w:ilvl w:val="0"/>
          <w:numId w:val="6"/>
        </w:numPr>
        <w:spacing w:before="0" w:line="530" w:lineRule="exact"/>
        <w:ind w:firstLine="562" w:firstLineChars="200"/>
        <w:rPr>
          <w:rFonts w:ascii="仿宋_GB2312" w:eastAsia="仿宋_GB2312"/>
          <w:b/>
          <w:color w:val="auto"/>
        </w:rPr>
      </w:pPr>
      <w:bookmarkStart w:id="145" w:name="_Toc22434"/>
      <w:bookmarkStart w:id="146" w:name="_Toc26101"/>
      <w:r>
        <w:rPr>
          <w:rFonts w:hint="eastAsia" w:ascii="仿宋_GB2312" w:eastAsia="仿宋_GB2312"/>
          <w:b/>
          <w:color w:val="auto"/>
        </w:rPr>
        <w:t>注册房地产估价师</w:t>
      </w:r>
      <w:bookmarkEnd w:id="145"/>
      <w:bookmarkEnd w:id="146"/>
    </w:p>
    <w:tbl>
      <w:tblPr>
        <w:tblStyle w:val="51"/>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800"/>
        <w:gridCol w:w="45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548"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jc w:val="center"/>
              <w:rPr>
                <w:rFonts w:ascii="仿宋_GB2312" w:eastAsia="仿宋_GB2312"/>
                <w:color w:val="000000"/>
              </w:rPr>
            </w:pPr>
            <w:r>
              <w:rPr>
                <w:rFonts w:hint="eastAsia" w:ascii="仿宋_GB2312" w:hAnsi="Arial" w:eastAsia="仿宋_GB2312"/>
                <w:b/>
                <w:bCs/>
                <w:color w:val="000000"/>
                <w:sz w:val="28"/>
                <w:szCs w:val="28"/>
              </w:rPr>
              <w:t>姓名</w:t>
            </w:r>
          </w:p>
        </w:tc>
        <w:tc>
          <w:tcPr>
            <w:tcW w:w="1800"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jc w:val="center"/>
              <w:rPr>
                <w:rFonts w:ascii="仿宋_GB2312" w:eastAsia="仿宋_GB2312"/>
                <w:color w:val="000000"/>
              </w:rPr>
            </w:pPr>
            <w:r>
              <w:rPr>
                <w:rFonts w:hint="eastAsia" w:ascii="仿宋_GB2312" w:hAnsi="Arial" w:eastAsia="仿宋_GB2312"/>
                <w:b/>
                <w:bCs/>
                <w:color w:val="000000"/>
                <w:sz w:val="28"/>
                <w:szCs w:val="28"/>
              </w:rPr>
              <w:t>注册号</w:t>
            </w:r>
          </w:p>
        </w:tc>
        <w:tc>
          <w:tcPr>
            <w:tcW w:w="4500"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jc w:val="center"/>
              <w:rPr>
                <w:rFonts w:ascii="仿宋_GB2312" w:hAnsi="Arial" w:eastAsia="仿宋_GB2312"/>
                <w:b/>
                <w:bCs/>
                <w:color w:val="000000"/>
                <w:sz w:val="28"/>
                <w:szCs w:val="28"/>
              </w:rPr>
            </w:pPr>
            <w:r>
              <w:rPr>
                <w:rFonts w:hint="eastAsia" w:ascii="仿宋_GB2312" w:hAnsi="Arial" w:eastAsia="仿宋_GB2312"/>
                <w:b/>
                <w:bCs/>
                <w:color w:val="000000"/>
                <w:sz w:val="28"/>
                <w:szCs w:val="28"/>
              </w:rPr>
              <w:t>签名</w:t>
            </w:r>
          </w:p>
        </w:tc>
        <w:tc>
          <w:tcPr>
            <w:tcW w:w="2340" w:type="dxa"/>
            <w:tcBorders>
              <w:top w:val="single" w:color="E1BC64" w:sz="8" w:space="0"/>
              <w:left w:val="single" w:color="E1BC64" w:sz="8" w:space="0"/>
              <w:bottom w:val="single" w:color="E1BC64" w:sz="8" w:space="0"/>
              <w:right w:val="single" w:color="E1BC64" w:sz="8" w:space="0"/>
            </w:tcBorders>
            <w:shd w:val="clear" w:color="auto" w:fill="F5E6C6"/>
            <w:vAlign w:val="center"/>
          </w:tcPr>
          <w:p>
            <w:pPr>
              <w:widowControl w:val="0"/>
              <w:jc w:val="center"/>
              <w:rPr>
                <w:rFonts w:ascii="仿宋_GB2312" w:hAnsi="Arial" w:eastAsia="仿宋_GB2312"/>
                <w:b/>
                <w:bCs/>
                <w:color w:val="000000"/>
                <w:sz w:val="28"/>
                <w:szCs w:val="28"/>
              </w:rPr>
            </w:pPr>
            <w:r>
              <w:rPr>
                <w:rFonts w:hint="eastAsia" w:ascii="仿宋_GB2312" w:hAnsi="Arial" w:eastAsia="仿宋_GB2312"/>
                <w:b/>
                <w:bCs/>
                <w:color w:val="000000"/>
                <w:sz w:val="28"/>
                <w:szCs w:val="28"/>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154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eastAsia="仿宋_GB2312"/>
                <w:color w:val="000000"/>
              </w:rPr>
            </w:pPr>
            <w:r>
              <w:rPr>
                <w:rFonts w:hint="eastAsia" w:ascii="仿宋_GB2312" w:hAnsi="Arial" w:eastAsia="仿宋_GB2312"/>
                <w:b/>
                <w:bCs/>
                <w:color w:val="000000"/>
                <w:sz w:val="28"/>
                <w:szCs w:val="28"/>
              </w:rPr>
              <w:t>陈琛</w:t>
            </w:r>
          </w:p>
        </w:tc>
        <w:tc>
          <w:tcPr>
            <w:tcW w:w="180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hAnsi="Arial" w:eastAsia="仿宋_GB2312"/>
                <w:b/>
                <w:bCs/>
                <w:color w:val="000000"/>
                <w:sz w:val="28"/>
                <w:szCs w:val="28"/>
              </w:rPr>
            </w:pPr>
            <w:r>
              <w:rPr>
                <w:rFonts w:hint="eastAsia" w:ascii="仿宋_GB2312" w:hAnsi="Arial" w:eastAsia="仿宋_GB2312"/>
                <w:b/>
                <w:bCs/>
                <w:color w:val="000000"/>
                <w:sz w:val="28"/>
                <w:szCs w:val="28"/>
              </w:rPr>
              <w:t>3720180040</w:t>
            </w:r>
          </w:p>
        </w:tc>
        <w:tc>
          <w:tcPr>
            <w:tcW w:w="450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eastAsia="仿宋_GB2312"/>
                <w:color w:val="000000"/>
              </w:rPr>
            </w:pPr>
          </w:p>
          <w:p>
            <w:pPr>
              <w:widowControl w:val="0"/>
              <w:jc w:val="center"/>
              <w:rPr>
                <w:rFonts w:ascii="仿宋_GB2312" w:eastAsia="仿宋_GB2312"/>
                <w:color w:val="000000"/>
              </w:rPr>
            </w:pPr>
          </w:p>
          <w:p>
            <w:pPr>
              <w:widowControl w:val="0"/>
              <w:jc w:val="center"/>
              <w:rPr>
                <w:rFonts w:ascii="仿宋_GB2312" w:eastAsia="仿宋_GB2312"/>
                <w:color w:val="000000"/>
              </w:rPr>
            </w:pPr>
          </w:p>
          <w:p>
            <w:pPr>
              <w:widowControl w:val="0"/>
              <w:jc w:val="center"/>
              <w:rPr>
                <w:rFonts w:ascii="仿宋_GB2312" w:eastAsia="仿宋_GB2312"/>
                <w:color w:val="000000"/>
              </w:rPr>
            </w:pPr>
          </w:p>
        </w:tc>
        <w:tc>
          <w:tcPr>
            <w:tcW w:w="234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eastAsia="仿宋_GB2312"/>
                <w:color w:val="000000"/>
              </w:rPr>
            </w:pPr>
            <w:r>
              <w:rPr>
                <w:rFonts w:hint="eastAsia" w:ascii="仿宋_GB2312" w:hAnsi="Arial" w:eastAsia="仿宋_GB2312"/>
                <w:b/>
                <w:bCs/>
                <w:color w:val="00000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hint="eastAsia" w:ascii="仿宋_GB2312" w:eastAsia="仿宋_GB2312"/>
                <w:color w:val="000000"/>
                <w:lang w:eastAsia="zh-CN"/>
              </w:rPr>
            </w:pPr>
            <w:r>
              <w:rPr>
                <w:rFonts w:hint="eastAsia" w:ascii="仿宋_GB2312" w:hAnsi="Arial" w:eastAsia="仿宋_GB2312"/>
                <w:b/>
                <w:bCs/>
                <w:color w:val="000000"/>
                <w:sz w:val="28"/>
                <w:szCs w:val="28"/>
                <w:lang w:eastAsia="zh-CN"/>
              </w:rPr>
              <w:t>孙伟栋</w:t>
            </w:r>
          </w:p>
        </w:tc>
        <w:tc>
          <w:tcPr>
            <w:tcW w:w="180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hint="eastAsia" w:ascii="仿宋_GB2312" w:hAnsi="Arial" w:eastAsia="仿宋_GB2312"/>
                <w:b/>
                <w:bCs/>
                <w:color w:val="000000"/>
                <w:sz w:val="28"/>
                <w:szCs w:val="28"/>
                <w:lang w:eastAsia="zh-CN"/>
              </w:rPr>
            </w:pPr>
            <w:r>
              <w:rPr>
                <w:rFonts w:hint="eastAsia" w:ascii="仿宋_GB2312" w:hAnsi="Arial" w:eastAsia="仿宋_GB2312"/>
                <w:b/>
                <w:bCs/>
                <w:color w:val="000000"/>
                <w:sz w:val="28"/>
                <w:szCs w:val="28"/>
                <w:lang w:eastAsia="zh-CN"/>
              </w:rPr>
              <w:t>3720130044</w:t>
            </w:r>
          </w:p>
        </w:tc>
        <w:tc>
          <w:tcPr>
            <w:tcW w:w="450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eastAsia="仿宋_GB2312"/>
                <w:color w:val="000000"/>
              </w:rPr>
            </w:pPr>
          </w:p>
          <w:p>
            <w:pPr>
              <w:widowControl w:val="0"/>
              <w:jc w:val="center"/>
              <w:rPr>
                <w:rFonts w:ascii="仿宋_GB2312" w:eastAsia="仿宋_GB2312"/>
                <w:color w:val="000000"/>
              </w:rPr>
            </w:pPr>
          </w:p>
          <w:p>
            <w:pPr>
              <w:widowControl w:val="0"/>
              <w:jc w:val="center"/>
              <w:rPr>
                <w:rFonts w:ascii="仿宋_GB2312" w:eastAsia="仿宋_GB2312"/>
                <w:color w:val="000000"/>
              </w:rPr>
            </w:pPr>
          </w:p>
          <w:p>
            <w:pPr>
              <w:widowControl w:val="0"/>
              <w:jc w:val="center"/>
              <w:rPr>
                <w:rFonts w:ascii="仿宋_GB2312" w:eastAsia="仿宋_GB2312"/>
                <w:color w:val="000000"/>
              </w:rPr>
            </w:pPr>
          </w:p>
        </w:tc>
        <w:tc>
          <w:tcPr>
            <w:tcW w:w="2340" w:type="dxa"/>
            <w:tcBorders>
              <w:top w:val="single" w:color="E1BC64" w:sz="8" w:space="0"/>
              <w:left w:val="single" w:color="E1BC64" w:sz="8" w:space="0"/>
              <w:bottom w:val="single" w:color="E1BC64" w:sz="8" w:space="0"/>
              <w:right w:val="single" w:color="E1BC64" w:sz="8" w:space="0"/>
            </w:tcBorders>
            <w:shd w:val="clear" w:color="auto" w:fill="FEFEFE"/>
            <w:vAlign w:val="center"/>
          </w:tcPr>
          <w:p>
            <w:pPr>
              <w:widowControl w:val="0"/>
              <w:jc w:val="center"/>
              <w:rPr>
                <w:rFonts w:ascii="仿宋_GB2312" w:eastAsia="仿宋_GB2312"/>
                <w:color w:val="000000"/>
              </w:rPr>
            </w:pPr>
            <w:r>
              <w:rPr>
                <w:rFonts w:hint="eastAsia" w:ascii="仿宋_GB2312" w:hAnsi="Arial" w:eastAsia="仿宋_GB2312"/>
                <w:b/>
                <w:bCs/>
                <w:color w:val="000000"/>
                <w:sz w:val="28"/>
                <w:szCs w:val="28"/>
              </w:rPr>
              <w:t xml:space="preserve">   年  月  日</w:t>
            </w:r>
          </w:p>
        </w:tc>
      </w:tr>
      <w:bookmarkEnd w:id="139"/>
      <w:bookmarkEnd w:id="140"/>
      <w:bookmarkEnd w:id="141"/>
      <w:bookmarkEnd w:id="142"/>
      <w:bookmarkEnd w:id="143"/>
      <w:bookmarkEnd w:id="144"/>
    </w:tbl>
    <w:p>
      <w:pPr>
        <w:pStyle w:val="4"/>
        <w:keepNext w:val="0"/>
        <w:keepLines w:val="0"/>
        <w:widowControl w:val="0"/>
        <w:spacing w:before="0" w:line="600" w:lineRule="exact"/>
        <w:ind w:firstLine="562" w:firstLineChars="200"/>
        <w:rPr>
          <w:rFonts w:ascii="仿宋_GB2312" w:eastAsia="仿宋_GB2312"/>
          <w:b/>
          <w:color w:val="auto"/>
        </w:rPr>
      </w:pPr>
      <w:bookmarkStart w:id="147" w:name="_Toc18766"/>
      <w:bookmarkStart w:id="148" w:name="_Toc4428"/>
      <w:bookmarkStart w:id="149" w:name="_Toc135021321"/>
      <w:bookmarkStart w:id="150" w:name="_Toc135541833"/>
      <w:bookmarkStart w:id="151" w:name="_Toc135021225"/>
      <w:bookmarkStart w:id="152" w:name="_Toc135021608"/>
      <w:bookmarkStart w:id="153" w:name="_Toc135020968"/>
      <w:bookmarkStart w:id="154" w:name="_Toc135021042"/>
      <w:bookmarkStart w:id="155" w:name="_Toc340240500"/>
      <w:r>
        <w:rPr>
          <w:rFonts w:hint="eastAsia" w:ascii="仿宋_GB2312" w:eastAsia="仿宋_GB2312"/>
          <w:b/>
          <w:color w:val="auto"/>
        </w:rPr>
        <w:t>（十二）实地查勘期</w:t>
      </w:r>
      <w:bookmarkEnd w:id="147"/>
      <w:bookmarkEnd w:id="148"/>
    </w:p>
    <w:p>
      <w:pPr>
        <w:widowControl w:val="0"/>
        <w:spacing w:after="0" w:line="600" w:lineRule="exact"/>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2022年1月19日</w:t>
      </w:r>
    </w:p>
    <w:p>
      <w:pPr>
        <w:pStyle w:val="4"/>
        <w:keepNext w:val="0"/>
        <w:keepLines w:val="0"/>
        <w:widowControl w:val="0"/>
        <w:spacing w:before="0" w:line="600" w:lineRule="exact"/>
        <w:ind w:firstLine="562" w:firstLineChars="200"/>
        <w:rPr>
          <w:rFonts w:ascii="仿宋_GB2312" w:eastAsia="仿宋_GB2312"/>
          <w:b/>
          <w:color w:val="auto"/>
        </w:rPr>
      </w:pPr>
      <w:bookmarkStart w:id="156" w:name="_Toc29854"/>
      <w:bookmarkStart w:id="157" w:name="_Toc5000"/>
      <w:r>
        <w:rPr>
          <w:rFonts w:hint="eastAsia" w:ascii="仿宋_GB2312" w:eastAsia="仿宋_GB2312"/>
          <w:b/>
          <w:color w:val="auto"/>
        </w:rPr>
        <w:t>（十三）估价作业期</w:t>
      </w:r>
      <w:bookmarkEnd w:id="149"/>
      <w:bookmarkEnd w:id="150"/>
      <w:bookmarkEnd w:id="151"/>
      <w:bookmarkEnd w:id="152"/>
      <w:bookmarkEnd w:id="153"/>
      <w:bookmarkEnd w:id="154"/>
      <w:bookmarkEnd w:id="155"/>
      <w:bookmarkEnd w:id="156"/>
      <w:bookmarkEnd w:id="157"/>
    </w:p>
    <w:p>
      <w:pPr>
        <w:widowControl w:val="0"/>
        <w:spacing w:after="0" w:line="600" w:lineRule="exact"/>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rPr>
        <w:t>202</w:t>
      </w:r>
      <w:r>
        <w:rPr>
          <w:rFonts w:hint="eastAsia" w:ascii="仿宋_GB2312" w:hAnsi="宋体" w:eastAsia="仿宋_GB2312"/>
          <w:sz w:val="28"/>
          <w:szCs w:val="28"/>
          <w:lang w:val="en-US" w:eastAsia="zh-CN"/>
        </w:rPr>
        <w:t>2</w:t>
      </w:r>
      <w:r>
        <w:rPr>
          <w:rFonts w:hint="eastAsia" w:ascii="仿宋_GB2312" w:hAnsi="宋体" w:eastAsia="仿宋_GB2312"/>
          <w:sz w:val="28"/>
          <w:szCs w:val="28"/>
        </w:rPr>
        <w:t>年</w:t>
      </w:r>
      <w:r>
        <w:rPr>
          <w:rFonts w:hint="eastAsia" w:ascii="仿宋_GB2312" w:hAnsi="宋体" w:eastAsia="仿宋_GB2312"/>
          <w:sz w:val="28"/>
          <w:szCs w:val="28"/>
          <w:lang w:val="en-US" w:eastAsia="zh-CN"/>
        </w:rPr>
        <w:t>1</w:t>
      </w:r>
      <w:r>
        <w:rPr>
          <w:rFonts w:hint="eastAsia" w:ascii="仿宋_GB2312" w:hAnsi="宋体" w:eastAsia="仿宋_GB2312"/>
          <w:sz w:val="28"/>
          <w:szCs w:val="28"/>
        </w:rPr>
        <w:t>月</w:t>
      </w:r>
      <w:r>
        <w:rPr>
          <w:rFonts w:hint="eastAsia" w:ascii="仿宋_GB2312" w:hAnsi="宋体" w:eastAsia="仿宋_GB2312"/>
          <w:sz w:val="28"/>
          <w:szCs w:val="28"/>
          <w:lang w:val="en-US" w:eastAsia="zh-CN"/>
        </w:rPr>
        <w:t>5</w:t>
      </w:r>
      <w:r>
        <w:rPr>
          <w:rFonts w:hint="eastAsia" w:ascii="仿宋_GB2312" w:hAnsi="宋体" w:eastAsia="仿宋_GB2312"/>
          <w:sz w:val="28"/>
          <w:szCs w:val="28"/>
        </w:rPr>
        <w:t>日至</w:t>
      </w:r>
      <w:r>
        <w:rPr>
          <w:rFonts w:hint="eastAsia" w:ascii="仿宋_GB2312" w:hAnsi="宋体" w:eastAsia="仿宋_GB2312"/>
          <w:sz w:val="28"/>
          <w:szCs w:val="28"/>
          <w:lang w:eastAsia="zh-CN"/>
        </w:rPr>
        <w:t>2022年1月2</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日</w:t>
      </w:r>
    </w:p>
    <w:p>
      <w:pPr>
        <w:pStyle w:val="2"/>
        <w:rPr>
          <w:rFonts w:ascii="仿宋_GB2312" w:hAnsi="宋体" w:eastAsia="仿宋_GB2312"/>
          <w:szCs w:val="28"/>
        </w:rPr>
      </w:pPr>
    </w:p>
    <w:p>
      <w:pPr>
        <w:widowControl w:val="0"/>
        <w:spacing w:after="0" w:line="600" w:lineRule="exact"/>
        <w:ind w:left="-171" w:firstLine="560" w:firstLineChars="200"/>
        <w:jc w:val="right"/>
        <w:rPr>
          <w:rFonts w:hint="eastAsia" w:ascii="仿宋_GB2312" w:hAnsi="宋体" w:eastAsia="仿宋_GB2312"/>
          <w:sz w:val="28"/>
          <w:szCs w:val="28"/>
        </w:rPr>
      </w:pPr>
    </w:p>
    <w:p>
      <w:pPr>
        <w:widowControl w:val="0"/>
        <w:spacing w:after="0" w:line="600" w:lineRule="exact"/>
        <w:ind w:left="-171" w:firstLine="560" w:firstLineChars="200"/>
        <w:jc w:val="right"/>
        <w:rPr>
          <w:rFonts w:ascii="仿宋_GB2312" w:hAnsi="宋体" w:eastAsia="仿宋_GB2312"/>
          <w:sz w:val="28"/>
          <w:szCs w:val="28"/>
        </w:rPr>
      </w:pPr>
      <w:r>
        <w:rPr>
          <w:rFonts w:hint="eastAsia" w:ascii="仿宋_GB2312" w:hAnsi="宋体" w:eastAsia="仿宋_GB2312"/>
          <w:sz w:val="28"/>
          <w:szCs w:val="28"/>
        </w:rPr>
        <w:t xml:space="preserve">青岛亚泰房地产评估咨询有限公司 </w:t>
      </w:r>
    </w:p>
    <w:p>
      <w:pPr>
        <w:widowControl w:val="0"/>
        <w:spacing w:line="560" w:lineRule="exact"/>
        <w:ind w:firstLine="560" w:firstLineChars="200"/>
        <w:jc w:val="right"/>
        <w:rPr>
          <w:rFonts w:hint="eastAsia" w:ascii="仿宋_GB2312" w:hAnsi="宋体" w:eastAsia="仿宋_GB2312"/>
          <w:b/>
          <w:bCs/>
          <w:sz w:val="32"/>
          <w:lang w:eastAsia="zh-CN"/>
        </w:rPr>
      </w:pPr>
      <w:r>
        <w:rPr>
          <w:rFonts w:hint="eastAsia" w:ascii="仿宋_GB2312" w:hAnsi="宋体" w:eastAsia="仿宋_GB2312"/>
          <w:sz w:val="28"/>
          <w:szCs w:val="28"/>
          <w:lang w:eastAsia="zh-CN"/>
        </w:rPr>
        <w:t>二〇二二年一月二十六日</w:t>
      </w:r>
    </w:p>
    <w:p>
      <w:pPr>
        <w:spacing w:after="0" w:line="530" w:lineRule="exact"/>
        <w:ind w:left="541" w:leftChars="246" w:right="202" w:firstLine="4498" w:firstLineChars="1400"/>
        <w:jc w:val="center"/>
        <w:rPr>
          <w:rFonts w:hint="eastAsia" w:ascii="仿宋_GB2312" w:hAnsi="仿宋_GB2312" w:eastAsia="仿宋_GB2312" w:cs="仿宋_GB2312"/>
          <w:sz w:val="28"/>
          <w:szCs w:val="28"/>
          <w:lang w:eastAsia="zh-CN"/>
        </w:rPr>
      </w:pPr>
      <w:r>
        <w:rPr>
          <w:rFonts w:ascii="仿宋_GB2312" w:hAnsi="宋体" w:eastAsia="仿宋_GB2312"/>
          <w:b/>
          <w:bCs/>
          <w:sz w:val="32"/>
        </w:rPr>
        <w:br w:type="page"/>
      </w:r>
      <w:bookmarkStart w:id="158" w:name="_Toc26448558"/>
    </w:p>
    <w:p>
      <w:pPr>
        <w:pStyle w:val="3"/>
        <w:jc w:val="center"/>
        <w:rPr>
          <w:rFonts w:hint="eastAsia" w:ascii="仿宋_GB2312" w:eastAsia="仿宋_GB2312"/>
          <w:b/>
          <w:color w:val="auto"/>
        </w:rPr>
      </w:pPr>
      <w:r>
        <w:rPr>
          <w:rFonts w:ascii="仿宋_GB2312" w:eastAsia="仿宋_GB2312"/>
          <w:color w:val="auto"/>
        </w:rPr>
        <w:br w:type="page"/>
      </w:r>
      <w:bookmarkStart w:id="159" w:name="_Toc25398"/>
      <w:r>
        <w:rPr>
          <w:rFonts w:hint="eastAsia" w:ascii="仿宋_GB2312" w:eastAsia="仿宋_GB2312"/>
          <w:b/>
          <w:color w:val="auto"/>
        </w:rPr>
        <w:t>附  件</w:t>
      </w:r>
      <w:bookmarkEnd w:id="158"/>
      <w:bookmarkEnd w:id="159"/>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1、委托书复印件</w:t>
      </w:r>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2、估价对象位置图</w:t>
      </w:r>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3、估价对象实地查勘情况和相关照片</w:t>
      </w:r>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4、估价对象权属证明</w:t>
      </w:r>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5、房地产估价机构营业执照和估价资质证书复印件</w:t>
      </w:r>
    </w:p>
    <w:p>
      <w:pPr>
        <w:spacing w:after="0" w:line="530" w:lineRule="exact"/>
        <w:ind w:left="516"/>
        <w:rPr>
          <w:rFonts w:hint="eastAsia" w:ascii="仿宋_GB2312" w:hAnsi="宋体" w:eastAsia="仿宋_GB2312"/>
          <w:sz w:val="28"/>
          <w:szCs w:val="28"/>
        </w:rPr>
      </w:pPr>
      <w:r>
        <w:rPr>
          <w:rFonts w:hint="eastAsia" w:ascii="仿宋_GB2312" w:hAnsi="宋体" w:eastAsia="仿宋_GB2312"/>
          <w:sz w:val="28"/>
          <w:szCs w:val="28"/>
        </w:rPr>
        <w:t>6、注册房地产估价师估价资格证书复印件</w:t>
      </w:r>
    </w:p>
    <w:p>
      <w:pPr>
        <w:spacing w:line="540" w:lineRule="exact"/>
        <w:ind w:left="517"/>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Pr>
        <w:spacing w:line="540" w:lineRule="exact"/>
        <w:ind w:left="541" w:leftChars="246" w:firstLine="3920" w:firstLineChars="1400"/>
        <w:jc w:val="right"/>
        <w:rPr>
          <w:rFonts w:hint="eastAsia" w:ascii="仿宋_GB2312" w:hAnsi="宋体" w:eastAsia="仿宋_GB2312"/>
          <w:sz w:val="28"/>
          <w:szCs w:val="28"/>
        </w:rPr>
      </w:pPr>
    </w:p>
    <w:p/>
    <w:p/>
    <w:p/>
    <w:p/>
    <w:sectPr>
      <w:headerReference r:id="rId4" w:type="first"/>
      <w:headerReference r:id="rId3" w:type="default"/>
      <w:footerReference r:id="rId5" w:type="default"/>
      <w:footerReference r:id="rId6" w:type="even"/>
      <w:pgSz w:w="12240" w:h="15840"/>
      <w:pgMar w:top="1191" w:right="1260" w:bottom="1582" w:left="1418" w:header="312" w:footer="720" w:gutter="0"/>
      <w:pgNumType w:start="0"/>
      <w:cols w:space="720" w:num="1"/>
      <w:titlePg/>
      <w:docGrid w:type="lines" w:linePitch="30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8</w:t>
    </w:r>
    <w:r>
      <w:fldChar w:fldCharType="end"/>
    </w:r>
  </w:p>
  <w:p>
    <w:pPr>
      <w:pStyle w:val="34"/>
    </w:pPr>
  </w:p>
  <w:p>
    <w:pPr>
      <w:pStyle w:val="34"/>
    </w:pPr>
  </w:p>
  <w:p>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7</w:t>
    </w:r>
    <w:r>
      <w:fldChar w:fldCharType="end"/>
    </w:r>
  </w:p>
  <w:p>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r>
      <w:rPr>
        <w:rFonts w:hint="eastAsia" w:ascii="仿宋_GB2312" w:eastAsia="仿宋_GB2312"/>
        <w:sz w:val="24"/>
      </w:rPr>
      <w:drawing>
        <wp:inline distT="0" distB="0" distL="114300" distR="114300">
          <wp:extent cx="545465" cy="511175"/>
          <wp:effectExtent l="0" t="0" r="6985" b="3175"/>
          <wp:docPr id="166" name="图片 100" descr="521efc77caa63b12f79c963361116ee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0" descr="521efc77caa63b12f79c963361116ee_看图王"/>
                  <pic:cNvPicPr>
                    <a:picLocks noChangeAspect="1"/>
                  </pic:cNvPicPr>
                </pic:nvPicPr>
                <pic:blipFill>
                  <a:blip r:embed="rId1"/>
                  <a:stretch>
                    <a:fillRect/>
                  </a:stretch>
                </pic:blipFill>
                <pic:spPr>
                  <a:xfrm>
                    <a:off x="0" y="0"/>
                    <a:ext cx="545465" cy="511175"/>
                  </a:xfrm>
                  <a:prstGeom prst="rect">
                    <a:avLst/>
                  </a:prstGeom>
                  <a:noFill/>
                  <a:ln>
                    <a:noFill/>
                  </a:ln>
                </pic:spPr>
              </pic:pic>
            </a:graphicData>
          </a:graphic>
        </wp:inline>
      </w:drawing>
    </w:r>
    <w:r>
      <mc:AlternateContent>
        <mc:Choice Requires="wpg">
          <w:drawing>
            <wp:anchor distT="0" distB="0" distL="114300" distR="114300" simplePos="0" relativeHeight="251658240" behindDoc="0" locked="0" layoutInCell="1" allowOverlap="1">
              <wp:simplePos x="0" y="0"/>
              <wp:positionH relativeFrom="page">
                <wp:posOffset>6991350</wp:posOffset>
              </wp:positionH>
              <wp:positionV relativeFrom="page">
                <wp:posOffset>113665</wp:posOffset>
              </wp:positionV>
              <wp:extent cx="781050" cy="628650"/>
              <wp:effectExtent l="0" t="0" r="0" b="19050"/>
              <wp:wrapNone/>
              <wp:docPr id="68" name="组合 152"/>
              <wp:cNvGraphicFramePr/>
              <a:graphic xmlns:a="http://schemas.openxmlformats.org/drawingml/2006/main">
                <a:graphicData uri="http://schemas.microsoft.com/office/word/2010/wordprocessingGroup">
                  <wpg:wgp>
                    <wpg:cNvGrpSpPr/>
                    <wpg:grpSpPr>
                      <a:xfrm>
                        <a:off x="0" y="0"/>
                        <a:ext cx="781050" cy="628650"/>
                        <a:chOff x="15300" y="6155"/>
                        <a:chExt cx="21600" cy="21600"/>
                      </a:xfrm>
                    </wpg:grpSpPr>
                    <wps:wsp>
                      <wps:cNvPr id="36" name="矩形 1804"/>
                      <wps:cNvSpPr/>
                      <wps:spPr>
                        <a:xfrm>
                          <a:off x="15300" y="6156"/>
                          <a:ext cx="6194" cy="21622"/>
                        </a:xfrm>
                        <a:prstGeom prst="rect">
                          <a:avLst/>
                        </a:prstGeom>
                        <a:solidFill>
                          <a:srgbClr val="CB8611"/>
                        </a:solidFill>
                        <a:ln w="25400">
                          <a:noFill/>
                        </a:ln>
                      </wps:spPr>
                      <wps:bodyPr anchor="ctr" anchorCtr="0" upright="1"/>
                    </wps:wsp>
                    <wps:wsp>
                      <wps:cNvPr id="39" name="矩形 1805"/>
                      <wps:cNvSpPr/>
                      <wps:spPr>
                        <a:xfrm>
                          <a:off x="23400" y="6156"/>
                          <a:ext cx="4606" cy="21622"/>
                        </a:xfrm>
                        <a:prstGeom prst="rect">
                          <a:avLst/>
                        </a:prstGeom>
                        <a:solidFill>
                          <a:srgbClr val="FEBC28"/>
                        </a:solidFill>
                        <a:ln w="25400">
                          <a:noFill/>
                        </a:ln>
                      </wps:spPr>
                      <wps:bodyPr anchor="ctr" anchorCtr="0" upright="1"/>
                    </wps:wsp>
                    <wps:wsp>
                      <wps:cNvPr id="66" name="矩形 1806"/>
                      <wps:cNvSpPr/>
                      <wps:spPr>
                        <a:xfrm>
                          <a:off x="29912" y="6156"/>
                          <a:ext cx="2965" cy="21622"/>
                        </a:xfrm>
                        <a:prstGeom prst="rect">
                          <a:avLst/>
                        </a:prstGeom>
                        <a:solidFill>
                          <a:srgbClr val="F6DA6D"/>
                        </a:solidFill>
                        <a:ln w="25400">
                          <a:noFill/>
                        </a:ln>
                      </wps:spPr>
                      <wps:bodyPr anchor="ctr" anchorCtr="0" upright="1"/>
                    </wps:wsp>
                    <wps:wsp>
                      <wps:cNvPr id="67" name="矩形 1807"/>
                      <wps:cNvSpPr/>
                      <wps:spPr>
                        <a:xfrm>
                          <a:off x="34782" y="6156"/>
                          <a:ext cx="2118" cy="21622"/>
                        </a:xfrm>
                        <a:prstGeom prst="rect">
                          <a:avLst/>
                        </a:prstGeom>
                        <a:solidFill>
                          <a:srgbClr val="F4C966"/>
                        </a:solidFill>
                        <a:ln w="25400">
                          <a:noFill/>
                        </a:ln>
                      </wps:spPr>
                      <wps:bodyPr anchor="ctr" anchorCtr="0" upright="1"/>
                    </wps:wsp>
                  </wpg:wgp>
                </a:graphicData>
              </a:graphic>
            </wp:anchor>
          </w:drawing>
        </mc:Choice>
        <mc:Fallback>
          <w:pict>
            <v:group id="组合 152" o:spid="_x0000_s1026" o:spt="203" style="position:absolute;left:0pt;margin-left:550.5pt;margin-top:8.95pt;height:49.5pt;width:61.5pt;mso-position-horizontal-relative:page;mso-position-vertical-relative:page;z-index:251658240;mso-width-relative:page;mso-height-relative:page;" coordorigin="15300,6155" coordsize="21600,21600" o:gfxdata="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kiQnX2AAA&#10;AAwBAAAPAAAAAAAAAAEAIAAAACIAAABkcnMvZG93bnJldi54bWxQSwECFAAUAAAACACHTuJAGzjq&#10;AZACAAB5CQAADgAAAAAAAAABACAAAAAnAQAAZHJzL2Uyb0RvYy54bWxQSwUGAAAAAAYABgBZAQAA&#10;KQYAAAAA&#10;">
              <o:lock v:ext="edit" aspectratio="f"/>
              <v:rect id="矩形 1804" o:spid="_x0000_s1026" o:spt="1" style="position:absolute;left:15300;top:6156;height:21622;width:6194;v-text-anchor:middle;" fillcolor="#CB8611" filled="t" stroked="f" coordsize="21600,21600" o:gfxdata="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edk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805" o:spid="_x0000_s1026" o:spt="1" style="position:absolute;left:23400;top:6156;height:21622;width:4606;v-text-anchor:middle;" fillcolor="#FEBC28" filled="t" stroked="f" coordsize="21600,21600" o:gfxdata="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JGR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806" o:spid="_x0000_s1026" o:spt="1" style="position:absolute;left:29912;top:6156;height:21622;width:2965;v-text-anchor:middle;" fillcolor="#F6DA6D" filled="t" stroked="f" coordsize="21600,21600" o:gfxdata="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qXQm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807" o:spid="_x0000_s1026" o:spt="1" style="position:absolute;left:34782;top:6156;height:21622;width:2118;v-text-anchor:middle;" fillcolor="#F4C966" filled="t" stroked="f" coordsize="21600,21600" o:gfxdata="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1yn4&#10;wAAAANsAAAAPAAAAAAAAAAEAIAAAACIAAABkcnMvZG93bnJldi54bWxQSwECFAAUAAAACACHTuJA&#10;My8FnjsAAAA5AAAAEAAAAAAAAAABACAAAAAPAQAAZHJzL3NoYXBleG1sLnhtbFBLBQYAAAAABgAG&#10;AFsBAAC5AwAAAAA=&#10;">
                <v:fill on="t" focussize="0,0"/>
                <v:stroke on="f" weight="2pt"/>
                <v:imagedata o:title=""/>
                <o:lock v:ext="edit" aspectratio="f"/>
              </v:rect>
            </v:group>
          </w:pict>
        </mc:Fallback>
      </mc:AlternateContent>
    </w:r>
    <w: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3903980" cy="791845"/>
              <wp:effectExtent l="0" t="0" r="0" b="0"/>
              <wp:wrapNone/>
              <wp:docPr id="90" name="组合 157"/>
              <wp:cNvGraphicFramePr/>
              <a:graphic xmlns:a="http://schemas.openxmlformats.org/drawingml/2006/main">
                <a:graphicData uri="http://schemas.microsoft.com/office/word/2010/wordprocessingGroup">
                  <wpg:wgp>
                    <wpg:cNvGrpSpPr/>
                    <wpg:grpSpPr>
                      <a:xfrm>
                        <a:off x="0" y="0"/>
                        <a:ext cx="3903980" cy="791845"/>
                        <a:chOff x="3046" y="4798"/>
                        <a:chExt cx="21600" cy="21600"/>
                      </a:xfrm>
                    </wpg:grpSpPr>
                    <wps:wsp>
                      <wps:cNvPr id="69" name="文本框 1810"/>
                      <wps:cNvSpPr txBox="1"/>
                      <wps:spPr>
                        <a:xfrm>
                          <a:off x="10818" y="12160"/>
                          <a:ext cx="13828" cy="9665"/>
                        </a:xfrm>
                        <a:prstGeom prst="rect">
                          <a:avLst/>
                        </a:prstGeom>
                        <a:noFill/>
                        <a:ln w="6350">
                          <a:noFill/>
                        </a:ln>
                      </wps:spPr>
                      <wps:txbx>
                        <w:txbxContent>
                          <w:p>
                            <w:r>
                              <w:rPr>
                                <w:rFonts w:hint="eastAsia" w:ascii="仿宋_GB2312" w:eastAsia="仿宋_GB2312"/>
                                <w:color w:val="000000" w:themeColor="text1"/>
                                <w:sz w:val="24"/>
                                <w14:textFill>
                                  <w14:solidFill>
                                    <w14:schemeClr w14:val="tx1"/>
                                  </w14:solidFill>
                                </w14:textFill>
                              </w:rPr>
                              <w:t>青岛亚泰房地产评估咨询有限公司</w:t>
                            </w:r>
                            <w:r>
                              <w:rPr>
                                <w:rFonts w:hint="eastAsia" w:ascii="仿宋_GB2312" w:eastAsia="仿宋_GB2312"/>
                                <w:sz w:val="24"/>
                              </w:rPr>
                              <w:t xml:space="preserve"> </w:t>
                            </w:r>
                          </w:p>
                          <w:p/>
                        </w:txbxContent>
                      </wps:txbx>
                      <wps:bodyPr upright="1"/>
                    </wps:wsp>
                    <wps:wsp>
                      <wps:cNvPr id="70" name="文本框 1811"/>
                      <wps:cNvSpPr txBox="1"/>
                      <wps:spPr>
                        <a:xfrm>
                          <a:off x="10832" y="18014"/>
                          <a:ext cx="10515" cy="8384"/>
                        </a:xfrm>
                        <a:prstGeom prst="rect">
                          <a:avLst/>
                        </a:prstGeom>
                        <a:noFill/>
                        <a:ln w="6350">
                          <a:noFill/>
                        </a:ln>
                      </wps:spPr>
                      <wps:txbx>
                        <w:txbxContent>
                          <w:p>
                            <w:pPr>
                              <w:rPr>
                                <w:color w:val="000000" w:themeColor="text1"/>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电话：0532-82797152</w:t>
                            </w:r>
                          </w:p>
                          <w:p>
                            <w:pPr>
                              <w:jc w:val="distribute"/>
                              <w:rPr>
                                <w:rFonts w:ascii="微软雅黑" w:hAnsi="微软雅黑" w:eastAsia="微软雅黑" w:cs="微软雅黑"/>
                                <w:b/>
                                <w:bCs/>
                                <w:color w:val="808080" w:themeColor="text1" w:themeTint="80"/>
                                <w:sz w:val="20"/>
                                <w14:textFill>
                                  <w14:solidFill>
                                    <w14:schemeClr w14:val="tx1">
                                      <w14:lumMod w14:val="50000"/>
                                      <w14:lumOff w14:val="50000"/>
                                    </w14:schemeClr>
                                  </w14:solidFill>
                                </w14:textFill>
                              </w:rPr>
                            </w:pPr>
                          </w:p>
                        </w:txbxContent>
                      </wps:txbx>
                      <wps:bodyPr upright="1"/>
                    </wps:wsp>
                    <wpg:grpSp>
                      <wpg:cNvPr id="77" name="组合 1812"/>
                      <wpg:cNvGrpSpPr/>
                      <wpg:grpSpPr>
                        <a:xfrm>
                          <a:off x="3046" y="4798"/>
                          <a:ext cx="4300" cy="16837"/>
                          <a:chOff x="15300" y="6155"/>
                          <a:chExt cx="21600" cy="21600"/>
                        </a:xfrm>
                      </wpg:grpSpPr>
                      <wps:wsp>
                        <wps:cNvPr id="73" name="矩形 1813"/>
                        <wps:cNvSpPr/>
                        <wps:spPr>
                          <a:xfrm>
                            <a:off x="15300" y="6156"/>
                            <a:ext cx="6194" cy="21622"/>
                          </a:xfrm>
                          <a:prstGeom prst="rect">
                            <a:avLst/>
                          </a:prstGeom>
                          <a:solidFill>
                            <a:srgbClr val="CB8611"/>
                          </a:solidFill>
                          <a:ln w="25400">
                            <a:noFill/>
                          </a:ln>
                        </wps:spPr>
                        <wps:bodyPr anchor="ctr" anchorCtr="0" upright="1"/>
                      </wps:wsp>
                      <wps:wsp>
                        <wps:cNvPr id="74" name="矩形 1814"/>
                        <wps:cNvSpPr/>
                        <wps:spPr>
                          <a:xfrm>
                            <a:off x="23400" y="6156"/>
                            <a:ext cx="4606" cy="21622"/>
                          </a:xfrm>
                          <a:prstGeom prst="rect">
                            <a:avLst/>
                          </a:prstGeom>
                          <a:solidFill>
                            <a:srgbClr val="FEBC28"/>
                          </a:solidFill>
                          <a:ln w="25400">
                            <a:noFill/>
                          </a:ln>
                        </wps:spPr>
                        <wps:bodyPr anchor="ctr" anchorCtr="0" upright="1"/>
                      </wps:wsp>
                      <wps:wsp>
                        <wps:cNvPr id="75" name="矩形 1815"/>
                        <wps:cNvSpPr/>
                        <wps:spPr>
                          <a:xfrm>
                            <a:off x="29912" y="6156"/>
                            <a:ext cx="2965" cy="21622"/>
                          </a:xfrm>
                          <a:prstGeom prst="rect">
                            <a:avLst/>
                          </a:prstGeom>
                          <a:solidFill>
                            <a:srgbClr val="F6DA6D"/>
                          </a:solidFill>
                          <a:ln w="25400">
                            <a:noFill/>
                          </a:ln>
                        </wps:spPr>
                        <wps:bodyPr anchor="ctr" anchorCtr="0" upright="1"/>
                      </wps:wsp>
                      <wps:wsp>
                        <wps:cNvPr id="76" name="矩形 1816"/>
                        <wps:cNvSpPr/>
                        <wps:spPr>
                          <a:xfrm>
                            <a:off x="34782" y="6156"/>
                            <a:ext cx="2118" cy="21622"/>
                          </a:xfrm>
                          <a:prstGeom prst="rect">
                            <a:avLst/>
                          </a:prstGeom>
                          <a:solidFill>
                            <a:srgbClr val="F4C966"/>
                          </a:solidFill>
                          <a:ln w="25400">
                            <a:noFill/>
                          </a:ln>
                        </wps:spPr>
                        <wps:bodyPr anchor="ctr" anchorCtr="0" upright="1"/>
                      </wps:wsp>
                    </wpg:grpSp>
                  </wpg:wgp>
                </a:graphicData>
              </a:graphic>
            </wp:anchor>
          </w:drawing>
        </mc:Choice>
        <mc:Fallback>
          <w:pict>
            <v:group id="组合 157" o:spid="_x0000_s1026" o:spt="203" style="position:absolute;left:0pt;height:62.35pt;width:307.4pt;mso-position-horizontal:left;mso-position-horizontal-relative:page;mso-position-vertical:top;mso-position-vertical-relative:page;z-index:251659264;mso-width-relative:page;mso-height-relative:page;" coordorigin="3046,4798" coordsize="21600,21600" o:gfxdata="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ct9c1dYAAAAFAQAADwAAAAAAAAABACAAAAAiAAAAZHJzL2Rvd25yZXYueG1s&#10;UEsBAhQAFAAAAAgAh07iQPXxcDhQAwAAuA0AAA4AAAAAAAAAAQAgAAAAJQEAAGRycy9lMm9Eb2Mu&#10;eG1sUEsFBgAAAAAGAAYAWQEAAOcGAAAAAA==&#10;">
              <o:lock v:ext="edit" aspectratio="f"/>
              <v:shape id="文本框 1810" o:spid="_x0000_s1026" o:spt="202" type="#_x0000_t202" style="position:absolute;left:10818;top:12160;height:9665;width:13828;"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r>
                        <w:rPr>
                          <w:rFonts w:hint="eastAsia" w:ascii="仿宋_GB2312" w:eastAsia="仿宋_GB2312"/>
                          <w:color w:val="000000" w:themeColor="text1"/>
                          <w:sz w:val="24"/>
                          <w14:textFill>
                            <w14:solidFill>
                              <w14:schemeClr w14:val="tx1"/>
                            </w14:solidFill>
                          </w14:textFill>
                        </w:rPr>
                        <w:t>青岛亚泰房地产评估咨询有限公司</w:t>
                      </w:r>
                      <w:r>
                        <w:rPr>
                          <w:rFonts w:hint="eastAsia" w:ascii="仿宋_GB2312" w:eastAsia="仿宋_GB2312"/>
                          <w:sz w:val="24"/>
                        </w:rPr>
                        <w:t xml:space="preserve"> </w:t>
                      </w:r>
                    </w:p>
                    <w:p/>
                  </w:txbxContent>
                </v:textbox>
              </v:shape>
              <v:shape id="文本框 1811" o:spid="_x0000_s1026" o:spt="202" type="#_x0000_t202" style="position:absolute;left:10832;top:18014;height:8384;width:10515;"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电话：0532-82797152</w:t>
                      </w:r>
                    </w:p>
                    <w:p>
                      <w:pPr>
                        <w:jc w:val="distribute"/>
                        <w:rPr>
                          <w:rFonts w:ascii="微软雅黑" w:hAnsi="微软雅黑" w:eastAsia="微软雅黑" w:cs="微软雅黑"/>
                          <w:b/>
                          <w:bCs/>
                          <w:color w:val="808080" w:themeColor="text1" w:themeTint="80"/>
                          <w:sz w:val="20"/>
                          <w14:textFill>
                            <w14:solidFill>
                              <w14:schemeClr w14:val="tx1">
                                <w14:lumMod w14:val="50000"/>
                                <w14:lumOff w14:val="50000"/>
                              </w14:schemeClr>
                            </w14:solidFill>
                          </w14:textFill>
                        </w:rPr>
                      </w:pPr>
                    </w:p>
                  </w:txbxContent>
                </v:textbox>
              </v:shape>
              <v:group id="组合 1812" o:spid="_x0000_s1026" o:spt="203" style="position:absolute;left:3046;top:4798;height:16837;width:4300;" coordorigin="15300,6155" coordsize="21600,21600"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矩形 1813" o:spid="_x0000_s1026" o:spt="1" style="position:absolute;left:15300;top:6156;height:21622;width:6194;v-text-anchor:middle;" fillcolor="#CB8611" filled="t" stroked="f" coordsize="21600,21600" o:gfxdata="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P08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814" o:spid="_x0000_s1026" o:spt="1" style="position:absolute;left:23400;top:6156;height:21622;width:4606;v-text-anchor:middle;" fillcolor="#FEBC28" filled="t" stroked="f" coordsize="21600,21600" o:gfxdata="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VAa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815" o:spid="_x0000_s1026" o:spt="1" style="position:absolute;left:29912;top:6156;height:21622;width:2965;v-text-anchor:middle;" fillcolor="#F6DA6D" filled="t" stroked="f" coordsize="21600,21600" o:gfxdata="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J8j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816" o:spid="_x0000_s1026" o:spt="1" style="position:absolute;left:34782;top:6156;height:21622;width:2118;v-text-anchor:middle;" fillcolor="#F4C966" filled="t" stroked="f" coordsize="21600,21600" o:gfxdata="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hq+&#10;wAAAANsAAAAPAAAAAAAAAAEAIAAAACIAAABkcnMvZG93bnJldi54bWxQSwECFAAUAAAACACHTuJA&#10;My8FnjsAAAA5AAAAEAAAAAAAAAABACAAAAAPAQAAZHJzL3NoYXBleG1sLnhtbFBLBQYAAAAABgAG&#10;AFsBAAC5AwAAAAA=&#10;">
                  <v:fill on="t" focussize="0,0"/>
                  <v:stroke on="f" weight="2pt"/>
                  <v:imagedata o:title=""/>
                  <o:lock v:ext="edit" aspectratio="f"/>
                </v:rect>
              </v:group>
            </v:group>
          </w:pict>
        </mc:Fallback>
      </mc:AlternateContent>
    </w:r>
    <w:r>
      <mc:AlternateContent>
        <mc:Choice Requires="wps">
          <w:drawing>
            <wp:anchor distT="0" distB="0" distL="114300" distR="114300" simplePos="0" relativeHeight="251666432" behindDoc="0" locked="0" layoutInCell="1" allowOverlap="1">
              <wp:simplePos x="0" y="0"/>
              <wp:positionH relativeFrom="page">
                <wp:posOffset>-9525</wp:posOffset>
              </wp:positionH>
              <wp:positionV relativeFrom="page">
                <wp:posOffset>732790</wp:posOffset>
              </wp:positionV>
              <wp:extent cx="7755890" cy="36195"/>
              <wp:effectExtent l="0" t="0" r="16510" b="1905"/>
              <wp:wrapNone/>
              <wp:docPr id="108" name="矩形 1820"/>
              <wp:cNvGraphicFramePr/>
              <a:graphic xmlns:a="http://schemas.openxmlformats.org/drawingml/2006/main">
                <a:graphicData uri="http://schemas.microsoft.com/office/word/2010/wordprocessingShape">
                  <wps:wsp>
                    <wps:cNvSpPr/>
                    <wps:spPr>
                      <a:xfrm>
                        <a:off x="0" y="0"/>
                        <a:ext cx="7755890" cy="36195"/>
                      </a:xfrm>
                      <a:prstGeom prst="rect">
                        <a:avLst/>
                      </a:prstGeom>
                      <a:solidFill>
                        <a:srgbClr val="F0B928"/>
                      </a:solidFill>
                      <a:ln>
                        <a:noFill/>
                      </a:ln>
                    </wps:spPr>
                    <wps:bodyPr anchor="ctr" anchorCtr="0" upright="1"/>
                  </wps:wsp>
                </a:graphicData>
              </a:graphic>
              <wp14:sizeRelH relativeFrom="page">
                <wp14:pctWidth>100000</wp14:pctWidth>
              </wp14:sizeRelH>
              <wp14:sizeRelV relativeFrom="page">
                <wp14:pctHeight>0</wp14:pctHeight>
              </wp14:sizeRelV>
            </wp:anchor>
          </w:drawing>
        </mc:Choice>
        <mc:Fallback>
          <w:pict>
            <v:rect id="矩形 1820" o:spid="_x0000_s1026" o:spt="1" style="position:absolute;left:0pt;margin-left:-0.75pt;margin-top:57.7pt;height:2.85pt;width:610.7pt;mso-position-horizontal-relative:page;mso-position-vertical-relative:page;z-index:251666432;v-text-anchor:middle;mso-width-relative:page;mso-height-relative:page;mso-width-percent:1000;" fillcolor="#F0B928" filled="t" stroked="f" coordsize="21600,21600" o:gfxdata="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3gEiTaAAAA&#10;CwEAAA8AAAAAAAAAAQAgAAAAIgAAAGRycy9kb3ducmV2LnhtbFBLAQIUABQAAAAIAIdO4kDUqjf2&#10;qQEAADADAAAOAAAAAAAAAAEAIAAAACkBAABkcnMvZTJvRG9jLnhtbFBLBQYAAAAABgAGAFkBAABE&#10;BQAAAAA=&#10;">
              <v:fill on="t" focussize="0,0"/>
              <v:stroke on="f"/>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r>
      <mc:AlternateContent>
        <mc:Choice Requires="wpg">
          <w:drawing>
            <wp:anchor distT="0" distB="0" distL="114300" distR="114300" simplePos="0" relativeHeight="251660288" behindDoc="0" locked="0" layoutInCell="1" allowOverlap="1">
              <wp:simplePos x="0" y="0"/>
              <wp:positionH relativeFrom="page">
                <wp:posOffset>28575</wp:posOffset>
              </wp:positionH>
              <wp:positionV relativeFrom="page">
                <wp:posOffset>0</wp:posOffset>
              </wp:positionV>
              <wp:extent cx="4010025" cy="753745"/>
              <wp:effectExtent l="0" t="0" r="0" b="0"/>
              <wp:wrapNone/>
              <wp:docPr id="100" name="组合 127"/>
              <wp:cNvGraphicFramePr/>
              <a:graphic xmlns:a="http://schemas.openxmlformats.org/drawingml/2006/main">
                <a:graphicData uri="http://schemas.microsoft.com/office/word/2010/wordprocessingGroup">
                  <wpg:wgp>
                    <wpg:cNvGrpSpPr/>
                    <wpg:grpSpPr>
                      <a:xfrm>
                        <a:off x="0" y="0"/>
                        <a:ext cx="4010025" cy="753745"/>
                        <a:chOff x="2965" y="5040"/>
                        <a:chExt cx="21600" cy="21600"/>
                      </a:xfrm>
                    </wpg:grpSpPr>
                    <wps:wsp>
                      <wps:cNvPr id="91" name="文本框 1782"/>
                      <wps:cNvSpPr txBox="1"/>
                      <wps:spPr>
                        <a:xfrm>
                          <a:off x="11198" y="11355"/>
                          <a:ext cx="13367" cy="11264"/>
                        </a:xfrm>
                        <a:prstGeom prst="rect">
                          <a:avLst/>
                        </a:prstGeom>
                        <a:noFill/>
                        <a:ln w="6350">
                          <a:noFill/>
                        </a:ln>
                      </wps:spPr>
                      <wps:txbx>
                        <w:txbxContent>
                          <w:p>
                            <w:r>
                              <w:rPr>
                                <w:rFonts w:hint="eastAsia" w:ascii="仿宋_GB2312" w:eastAsia="仿宋_GB2312"/>
                                <w:color w:val="000000" w:themeColor="text1"/>
                                <w:sz w:val="24"/>
                                <w14:textFill>
                                  <w14:solidFill>
                                    <w14:schemeClr w14:val="tx1"/>
                                  </w14:solidFill>
                                </w14:textFill>
                              </w:rPr>
                              <w:t>青岛亚泰房地产评估咨询有限公司</w:t>
                            </w:r>
                            <w:r>
                              <w:rPr>
                                <w:rFonts w:hint="eastAsia" w:ascii="仿宋_GB2312" w:eastAsia="仿宋_GB2312"/>
                                <w:sz w:val="24"/>
                              </w:rPr>
                              <w:t xml:space="preserve"> </w:t>
                            </w:r>
                          </w:p>
                        </w:txbxContent>
                      </wps:txbx>
                      <wps:bodyPr upright="1"/>
                    </wps:wsp>
                    <wps:wsp>
                      <wps:cNvPr id="92" name="文本框 1783"/>
                      <wps:cNvSpPr txBox="1"/>
                      <wps:spPr>
                        <a:xfrm>
                          <a:off x="11212" y="17833"/>
                          <a:ext cx="10237" cy="8807"/>
                        </a:xfrm>
                        <a:prstGeom prst="rect">
                          <a:avLst/>
                        </a:prstGeom>
                        <a:noFill/>
                        <a:ln w="6350">
                          <a:noFill/>
                        </a:ln>
                      </wps:spPr>
                      <wps:txbx>
                        <w:txbxContent>
                          <w:p>
                            <w:pPr>
                              <w:rPr>
                                <w:color w:val="000000" w:themeColor="text1"/>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电话：0532-82797152</w:t>
                            </w:r>
                          </w:p>
                        </w:txbxContent>
                      </wps:txbx>
                      <wps:bodyPr upright="1"/>
                    </wps:wsp>
                    <wpg:grpSp>
                      <wpg:cNvPr id="99" name="组合 1784"/>
                      <wpg:cNvGrpSpPr/>
                      <wpg:grpSpPr>
                        <a:xfrm>
                          <a:off x="2966" y="5041"/>
                          <a:ext cx="4187" cy="17688"/>
                          <a:chOff x="15300" y="6155"/>
                          <a:chExt cx="21600" cy="21600"/>
                        </a:xfrm>
                      </wpg:grpSpPr>
                      <wps:wsp>
                        <wps:cNvPr id="95" name="矩形 1785"/>
                        <wps:cNvSpPr/>
                        <wps:spPr>
                          <a:xfrm>
                            <a:off x="15300" y="6156"/>
                            <a:ext cx="6194" cy="21622"/>
                          </a:xfrm>
                          <a:prstGeom prst="rect">
                            <a:avLst/>
                          </a:prstGeom>
                          <a:solidFill>
                            <a:srgbClr val="CB8611"/>
                          </a:solidFill>
                          <a:ln w="25400">
                            <a:noFill/>
                          </a:ln>
                        </wps:spPr>
                        <wps:bodyPr anchor="ctr" anchorCtr="0" upright="1"/>
                      </wps:wsp>
                      <wps:wsp>
                        <wps:cNvPr id="96" name="矩形 1786"/>
                        <wps:cNvSpPr/>
                        <wps:spPr>
                          <a:xfrm>
                            <a:off x="23400" y="6156"/>
                            <a:ext cx="4606" cy="21622"/>
                          </a:xfrm>
                          <a:prstGeom prst="rect">
                            <a:avLst/>
                          </a:prstGeom>
                          <a:solidFill>
                            <a:srgbClr val="FEBC28"/>
                          </a:solidFill>
                          <a:ln w="25400">
                            <a:noFill/>
                          </a:ln>
                        </wps:spPr>
                        <wps:bodyPr anchor="ctr" anchorCtr="0" upright="1"/>
                      </wps:wsp>
                      <wps:wsp>
                        <wps:cNvPr id="97" name="矩形 1787"/>
                        <wps:cNvSpPr/>
                        <wps:spPr>
                          <a:xfrm>
                            <a:off x="29912" y="6156"/>
                            <a:ext cx="2965" cy="21622"/>
                          </a:xfrm>
                          <a:prstGeom prst="rect">
                            <a:avLst/>
                          </a:prstGeom>
                          <a:solidFill>
                            <a:srgbClr val="F6DA6D"/>
                          </a:solidFill>
                          <a:ln w="25400">
                            <a:noFill/>
                          </a:ln>
                        </wps:spPr>
                        <wps:bodyPr anchor="ctr" anchorCtr="0" upright="1"/>
                      </wps:wsp>
                      <wps:wsp>
                        <wps:cNvPr id="98" name="矩形 1788"/>
                        <wps:cNvSpPr/>
                        <wps:spPr>
                          <a:xfrm>
                            <a:off x="34782" y="6156"/>
                            <a:ext cx="2118" cy="21622"/>
                          </a:xfrm>
                          <a:prstGeom prst="rect">
                            <a:avLst/>
                          </a:prstGeom>
                          <a:solidFill>
                            <a:srgbClr val="F4C966"/>
                          </a:solidFill>
                          <a:ln w="25400">
                            <a:noFill/>
                          </a:ln>
                        </wps:spPr>
                        <wps:bodyPr anchor="ctr" anchorCtr="0" upright="1"/>
                      </wps:wsp>
                    </wpg:grpSp>
                  </wpg:wgp>
                </a:graphicData>
              </a:graphic>
            </wp:anchor>
          </w:drawing>
        </mc:Choice>
        <mc:Fallback>
          <w:pict>
            <v:group id="组合 127" o:spid="_x0000_s1026" o:spt="203" style="position:absolute;left:0pt;margin-left:2.25pt;margin-top:0pt;height:59.35pt;width:315.75pt;mso-position-horizontal-relative:page;mso-position-vertical-relative:page;z-index:251660288;mso-width-relative:page;mso-height-relative:page;" coordorigin="2965,5040" coordsize="21600,21600" o:gfxdata="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qLEKXWAAAABgEAAA8AAAAAAAAAAQAgAAAAIgAAAGRycy9k&#10;b3ducmV2LnhtbFBLAQIUABQAAAAIAIdO4kDUkNRRWgMAALoNAAAOAAAAAAAAAAEAIAAAACUBAABk&#10;cnMvZTJvRG9jLnhtbFBLBQYAAAAABgAGAFkBAADxBgAAAAA=&#10;">
              <o:lock v:ext="edit" aspectratio="f"/>
              <v:shape id="文本框 1782" o:spid="_x0000_s1026" o:spt="202" type="#_x0000_t202" style="position:absolute;left:11198;top:11355;height:11264;width:13367;"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r>
                        <w:rPr>
                          <w:rFonts w:hint="eastAsia" w:ascii="仿宋_GB2312" w:eastAsia="仿宋_GB2312"/>
                          <w:color w:val="000000" w:themeColor="text1"/>
                          <w:sz w:val="24"/>
                          <w14:textFill>
                            <w14:solidFill>
                              <w14:schemeClr w14:val="tx1"/>
                            </w14:solidFill>
                          </w14:textFill>
                        </w:rPr>
                        <w:t>青岛亚泰房地产评估咨询有限公司</w:t>
                      </w:r>
                      <w:r>
                        <w:rPr>
                          <w:rFonts w:hint="eastAsia" w:ascii="仿宋_GB2312" w:eastAsia="仿宋_GB2312"/>
                          <w:sz w:val="24"/>
                        </w:rPr>
                        <w:t xml:space="preserve"> </w:t>
                      </w:r>
                    </w:p>
                  </w:txbxContent>
                </v:textbox>
              </v:shape>
              <v:shape id="文本框 1783" o:spid="_x0000_s1026" o:spt="202" type="#_x0000_t202" style="position:absolute;left:11212;top:17833;height:8807;width:10237;"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000000" w:themeColor="text1"/>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电话：0532-82797152</w:t>
                      </w:r>
                    </w:p>
                  </w:txbxContent>
                </v:textbox>
              </v:shape>
              <v:group id="组合 1784" o:spid="_x0000_s1026" o:spt="203" style="position:absolute;left:2966;top:5041;height:17688;width:4187;" coordorigin="15300,6155" coordsize="21600,2160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1785" o:spid="_x0000_s1026" o:spt="1" style="position:absolute;left:15300;top:6156;height:21622;width:6194;v-text-anchor:middle;" fillcolor="#CB8611" filled="t" stroked="f" coordsize="21600,21600" o:gfxdata="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0mK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786" o:spid="_x0000_s1026" o:spt="1" style="position:absolute;left:23400;top:6156;height:21622;width:4606;v-text-anchor:middle;" fillcolor="#FEBC28" filled="t" stroked="f" coordsize="21600,21600" o:gfxdata="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rjQy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787" o:spid="_x0000_s1026" o:spt="1" style="position:absolute;left:29912;top:6156;height:21622;width:2965;v-text-anchor:middle;" fillcolor="#F6DA6D" filled="t" stroked="f" coordsize="21600,21600" o:gfxdata="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Chm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788" o:spid="_x0000_s1026" o:spt="1" style="position:absolute;left:34782;top:6156;height:21622;width:2118;v-text-anchor:middle;" fillcolor="#F4C966" filled="t" stroked="f" coordsize="21600,21600" o:gfxdata="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3NrbsAAADb&#10;AAAADwAAAAAAAAABACAAAAAiAAAAZHJzL2Rvd25yZXYueG1sUEsBAhQAFAAAAAgAh07iQDMvBZ47&#10;AAAAOQAAABAAAAAAAAAAAQAgAAAACgEAAGRycy9zaGFwZXhtbC54bWxQSwUGAAAAAAYABgBbAQAA&#10;tAMAAAAA&#10;">
                  <v:fill on="t" focussize="0,0"/>
                  <v:stroke on="f" weight="2pt"/>
                  <v:imagedata o:title=""/>
                  <o:lock v:ext="edit" aspectratio="f"/>
                </v:rect>
              </v:group>
            </v:group>
          </w:pict>
        </mc:Fallback>
      </mc:AlternateContent>
    </w:r>
    <w:r>
      <mc:AlternateContent>
        <mc:Choice Requires="wpg">
          <w:drawing>
            <wp:anchor distT="0" distB="0" distL="114300" distR="114300" simplePos="0" relativeHeight="251661312" behindDoc="0" locked="0" layoutInCell="1" allowOverlap="1">
              <wp:simplePos x="0" y="0"/>
              <wp:positionH relativeFrom="page">
                <wp:posOffset>6981825</wp:posOffset>
              </wp:positionH>
              <wp:positionV relativeFrom="page">
                <wp:posOffset>114300</wp:posOffset>
              </wp:positionV>
              <wp:extent cx="781050" cy="628650"/>
              <wp:effectExtent l="0" t="0" r="0" b="19050"/>
              <wp:wrapNone/>
              <wp:docPr id="105" name="组合 122"/>
              <wp:cNvGraphicFramePr/>
              <a:graphic xmlns:a="http://schemas.openxmlformats.org/drawingml/2006/main">
                <a:graphicData uri="http://schemas.microsoft.com/office/word/2010/wordprocessingGroup">
                  <wpg:wgp>
                    <wpg:cNvGrpSpPr/>
                    <wpg:grpSpPr>
                      <a:xfrm>
                        <a:off x="0" y="0"/>
                        <a:ext cx="781050" cy="628650"/>
                        <a:chOff x="15300" y="6155"/>
                        <a:chExt cx="21600" cy="21600"/>
                      </a:xfrm>
                    </wpg:grpSpPr>
                    <wps:wsp>
                      <wps:cNvPr id="101" name="矩形 1791"/>
                      <wps:cNvSpPr/>
                      <wps:spPr>
                        <a:xfrm>
                          <a:off x="15300" y="6156"/>
                          <a:ext cx="6194" cy="21622"/>
                        </a:xfrm>
                        <a:prstGeom prst="rect">
                          <a:avLst/>
                        </a:prstGeom>
                        <a:solidFill>
                          <a:srgbClr val="CB8611"/>
                        </a:solidFill>
                        <a:ln w="25400">
                          <a:noFill/>
                        </a:ln>
                      </wps:spPr>
                      <wps:bodyPr anchor="ctr" anchorCtr="0" upright="1"/>
                    </wps:wsp>
                    <wps:wsp>
                      <wps:cNvPr id="102" name="矩形 1792"/>
                      <wps:cNvSpPr/>
                      <wps:spPr>
                        <a:xfrm>
                          <a:off x="23400" y="6156"/>
                          <a:ext cx="4606" cy="21622"/>
                        </a:xfrm>
                        <a:prstGeom prst="rect">
                          <a:avLst/>
                        </a:prstGeom>
                        <a:solidFill>
                          <a:srgbClr val="FEBC28"/>
                        </a:solidFill>
                        <a:ln w="25400">
                          <a:noFill/>
                        </a:ln>
                      </wps:spPr>
                      <wps:bodyPr anchor="ctr" anchorCtr="0" upright="1"/>
                    </wps:wsp>
                    <wps:wsp>
                      <wps:cNvPr id="103" name="矩形 1793"/>
                      <wps:cNvSpPr/>
                      <wps:spPr>
                        <a:xfrm>
                          <a:off x="29912" y="6156"/>
                          <a:ext cx="2965" cy="21622"/>
                        </a:xfrm>
                        <a:prstGeom prst="rect">
                          <a:avLst/>
                        </a:prstGeom>
                        <a:solidFill>
                          <a:srgbClr val="F4C966"/>
                        </a:solidFill>
                        <a:ln w="25400">
                          <a:noFill/>
                        </a:ln>
                      </wps:spPr>
                      <wps:bodyPr anchor="ctr" anchorCtr="0" upright="1"/>
                    </wps:wsp>
                    <wps:wsp>
                      <wps:cNvPr id="104" name="矩形 1794"/>
                      <wps:cNvSpPr/>
                      <wps:spPr>
                        <a:xfrm>
                          <a:off x="34782" y="6156"/>
                          <a:ext cx="2118" cy="21622"/>
                        </a:xfrm>
                        <a:prstGeom prst="rect">
                          <a:avLst/>
                        </a:prstGeom>
                        <a:solidFill>
                          <a:srgbClr val="F4C966"/>
                        </a:solidFill>
                        <a:ln w="25400">
                          <a:noFill/>
                        </a:ln>
                      </wps:spPr>
                      <wps:bodyPr anchor="ctr" anchorCtr="0" upright="1"/>
                    </wps:wsp>
                  </wpg:wgp>
                </a:graphicData>
              </a:graphic>
            </wp:anchor>
          </w:drawing>
        </mc:Choice>
        <mc:Fallback>
          <w:pict>
            <v:group id="组合 122" o:spid="_x0000_s1026" o:spt="203" style="position:absolute;left:0pt;margin-left:549.75pt;margin-top:9pt;height:49.5pt;width:61.5pt;mso-position-horizontal-relative:page;mso-position-vertical-relative:page;z-index:251661312;mso-width-relative:page;mso-height-relative:page;" coordorigin="15300,6155" coordsize="21600,21600" o:gfxdata="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0lXHJ2QAAAAwB&#10;AAAPAAAAAAAAAAEAIAAAACIAAABkcnMvZG93bnJldi54bWxQSwECFAAUAAAACACHTuJAjDiGb4wC&#10;AAB+CQAADgAAAAAAAAABACAAAAAoAQAAZHJzL2Uyb0RvYy54bWxQSwUGAAAAAAYABgBZAQAAJgYA&#10;AAAA&#10;">
              <o:lock v:ext="edit" aspectratio="f"/>
              <v:rect id="矩形 1791" o:spid="_x0000_s1026" o:spt="1" style="position:absolute;left:15300;top:6156;height:21622;width:6194;v-text-anchor:middle;" fillcolor="#CB8611" filled="t" stroked="f" coordsize="21600,21600" o:gfxdata="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nHU6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792" o:spid="_x0000_s1026" o:spt="1" style="position:absolute;left:23400;top:6156;height:21622;width:4606;v-text-anchor:middle;" fillcolor="#FEBC28" filled="t" stroked="f" coordsize="21600,21600" o:gfxdata="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M25O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793" o:spid="_x0000_s1026" o:spt="1" style="position:absolute;left:29912;top:6156;height:21622;width:2965;v-text-anchor:middle;" fillcolor="#F4C966" filled="t" stroked="f" coordsize="21600,21600" o:gfxdata="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WCKb4A&#10;AADcAAAADwAAAAAAAAABACAAAAAiAAAAZHJzL2Rvd25yZXYueG1sUEsBAhQAFAAAAAgAh07iQDMv&#10;BZ47AAAAOQAAABAAAAAAAAAAAQAgAAAADQEAAGRycy9zaGFwZXhtbC54bWxQSwUGAAAAAAYABgBb&#10;AQAAtwMAAAAA&#10;">
                <v:fill on="t" focussize="0,0"/>
                <v:stroke on="f" weight="2pt"/>
                <v:imagedata o:title=""/>
                <o:lock v:ext="edit" aspectratio="f"/>
              </v:rect>
              <v:rect id="矩形 1794" o:spid="_x0000_s1026" o:spt="1" style="position:absolute;left:34782;top:6156;height:21622;width:2118;v-text-anchor:middle;" fillcolor="#F4C966" filled="t" stroked="f" coordsize="21600,21600" o:gfxdata="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waXb4A&#10;AADcAAAADwAAAAAAAAABACAAAAAiAAAAZHJzL2Rvd25yZXYueG1sUEsBAhQAFAAAAAgAh07iQDMv&#10;BZ47AAAAOQAAABAAAAAAAAAAAQAgAAAADQEAAGRycy9zaGFwZXhtbC54bWxQSwUGAAAAAAYABgBb&#10;AQAAtwMAAAAA&#10;">
                <v:fill on="t" focussize="0,0"/>
                <v:stroke on="f" weight="2pt"/>
                <v:imagedata o:title=""/>
                <o:lock v:ext="edit" aspectratio="f"/>
              </v:rect>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-4445</wp:posOffset>
              </wp:positionV>
              <wp:extent cx="634365" cy="525780"/>
              <wp:effectExtent l="0" t="0" r="0" b="0"/>
              <wp:wrapNone/>
              <wp:docPr id="107" name="文本框 2"/>
              <wp:cNvGraphicFramePr/>
              <a:graphic xmlns:a="http://schemas.openxmlformats.org/drawingml/2006/main">
                <a:graphicData uri="http://schemas.microsoft.com/office/word/2010/wordprocessingShape">
                  <wps:wsp>
                    <wps:cNvSpPr txBox="1"/>
                    <wps:spPr>
                      <a:xfrm>
                        <a:off x="0" y="0"/>
                        <a:ext cx="634365" cy="525780"/>
                      </a:xfrm>
                      <a:prstGeom prst="rect">
                        <a:avLst/>
                      </a:prstGeom>
                      <a:noFill/>
                      <a:ln>
                        <a:noFill/>
                      </a:ln>
                    </wps:spPr>
                    <wps:txbx>
                      <w:txbxContent>
                        <w:p>
                          <w:r>
                            <w:rPr>
                              <w:rFonts w:hint="eastAsia" w:ascii="仿宋_GB2312" w:eastAsia="仿宋_GB2312"/>
                              <w:sz w:val="24"/>
                            </w:rPr>
                            <w:drawing>
                              <wp:inline distT="0" distB="0" distL="114300" distR="114300">
                                <wp:extent cx="545465" cy="511175"/>
                                <wp:effectExtent l="0" t="0" r="6985" b="3175"/>
                                <wp:docPr id="1981915445" name="图片 100" descr="521efc77caa63b12f79c963361116ee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15445" name="图片 100" descr="521efc77caa63b12f79c963361116ee_看图王"/>
                                        <pic:cNvPicPr>
                                          <a:picLocks noChangeAspect="1"/>
                                        </pic:cNvPicPr>
                                      </pic:nvPicPr>
                                      <pic:blipFill>
                                        <a:blip r:embed="rId1"/>
                                        <a:stretch>
                                          <a:fillRect/>
                                        </a:stretch>
                                      </pic:blipFill>
                                      <pic:spPr>
                                        <a:xfrm>
                                          <a:off x="0" y="0"/>
                                          <a:ext cx="545465" cy="511175"/>
                                        </a:xfrm>
                                        <a:prstGeom prst="rect">
                                          <a:avLst/>
                                        </a:prstGeom>
                                        <a:noFill/>
                                        <a:ln>
                                          <a:noFill/>
                                        </a:ln>
                                      </pic:spPr>
                                    </pic:pic>
                                  </a:graphicData>
                                </a:graphic>
                              </wp:inline>
                            </w:drawing>
                          </w:r>
                        </w:p>
                      </w:txbxContent>
                    </wps:txbx>
                    <wps:bodyPr upright="1"/>
                  </wps:wsp>
                </a:graphicData>
              </a:graphic>
            </wp:anchor>
          </w:drawing>
        </mc:Choice>
        <mc:Fallback>
          <w:pict>
            <v:shape id="文本框 2" o:spid="_x0000_s1026" o:spt="202" type="#_x0000_t202" style="position:absolute;left:0pt;margin-left:2.2pt;margin-top:-0.35pt;height:41.4pt;width:49.95pt;z-index:251664384;mso-width-relative:page;mso-height-relative:page;" filled="f" stroked="f" coordsize="21600,21600" o:gfxdata="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Ovh7eXTAAAABgEAAA8AAAAAAAAAAQAgAAAAIgAAAGRycy9kb3ducmV2&#10;LnhtbFBLAQIUABQAAAAIAIdO4kC217abjwEAAAEDAAAOAAAAAAAAAAEAIAAAACIBAABkcnMvZTJv&#10;RG9jLnhtbFBLBQYAAAAABgAGAFkBAAAjBQAAAAA=&#10;">
              <v:fill on="f" focussize="0,0"/>
              <v:stroke on="f"/>
              <v:imagedata o:title=""/>
              <o:lock v:ext="edit" aspectratio="f"/>
              <v:textbox>
                <w:txbxContent>
                  <w:p>
                    <w:r>
                      <w:rPr>
                        <w:rFonts w:hint="eastAsia" w:ascii="仿宋_GB2312" w:eastAsia="仿宋_GB2312"/>
                        <w:sz w:val="24"/>
                      </w:rPr>
                      <w:drawing>
                        <wp:inline distT="0" distB="0" distL="114300" distR="114300">
                          <wp:extent cx="545465" cy="511175"/>
                          <wp:effectExtent l="0" t="0" r="6985" b="3175"/>
                          <wp:docPr id="1981915445" name="图片 100" descr="521efc77caa63b12f79c963361116ee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15445" name="图片 100" descr="521efc77caa63b12f79c963361116ee_看图王"/>
                                  <pic:cNvPicPr>
                                    <a:picLocks noChangeAspect="1"/>
                                  </pic:cNvPicPr>
                                </pic:nvPicPr>
                                <pic:blipFill>
                                  <a:blip r:embed="rId1"/>
                                  <a:stretch>
                                    <a:fillRect/>
                                  </a:stretch>
                                </pic:blipFill>
                                <pic:spPr>
                                  <a:xfrm>
                                    <a:off x="0" y="0"/>
                                    <a:ext cx="545465" cy="51117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posOffset>732790</wp:posOffset>
              </wp:positionV>
              <wp:extent cx="7755890" cy="36195"/>
              <wp:effectExtent l="0" t="0" r="16510" b="1905"/>
              <wp:wrapNone/>
              <wp:docPr id="106" name="矩形 1817"/>
              <wp:cNvGraphicFramePr/>
              <a:graphic xmlns:a="http://schemas.openxmlformats.org/drawingml/2006/main">
                <a:graphicData uri="http://schemas.microsoft.com/office/word/2010/wordprocessingShape">
                  <wps:wsp>
                    <wps:cNvSpPr/>
                    <wps:spPr>
                      <a:xfrm>
                        <a:off x="0" y="0"/>
                        <a:ext cx="7755890" cy="36195"/>
                      </a:xfrm>
                      <a:prstGeom prst="rect">
                        <a:avLst/>
                      </a:prstGeom>
                      <a:solidFill>
                        <a:srgbClr val="F0B928"/>
                      </a:solidFill>
                      <a:ln>
                        <a:noFill/>
                      </a:ln>
                    </wps:spPr>
                    <wps:bodyPr anchor="ctr" anchorCtr="0" upright="1"/>
                  </wps:wsp>
                </a:graphicData>
              </a:graphic>
              <wp14:sizeRelH relativeFrom="page">
                <wp14:pctWidth>100000</wp14:pctWidth>
              </wp14:sizeRelH>
              <wp14:sizeRelV relativeFrom="page">
                <wp14:pctHeight>0</wp14:pctHeight>
              </wp14:sizeRelV>
            </wp:anchor>
          </w:drawing>
        </mc:Choice>
        <mc:Fallback>
          <w:pict>
            <v:rect id="矩形 1817" o:spid="_x0000_s1026" o:spt="1" style="position:absolute;left:0pt;margin-top:57.7pt;height:2.85pt;width:610.7pt;mso-position-horizontal:center;mso-position-horizontal-relative:page;mso-position-vertical-relative:page;z-index:251662336;v-text-anchor:middle;mso-width-relative:page;mso-height-relative:page;mso-width-percent:1000;" fillcolor="#F0B928" filled="t" stroked="f" coordsize="21600,21600" o:gfxdata="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y9jDx2AAAAAkB&#10;AAAPAAAAAAAAAAEAIAAAACIAAABkcnMvZG93bnJldi54bWxQSwECFAAUAAAACACHTuJAzyA4makB&#10;AAAwAwAADgAAAAAAAAABACAAAAAnAQAAZHJzL2Uyb0RvYy54bWxQSwUGAAAAAAYABgBZAQAAQgUA&#10;AAAA&#10;">
              <v:fill on="t" focussize="0,0"/>
              <v:stroke on="f"/>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A1635"/>
    <w:multiLevelType w:val="singleLevel"/>
    <w:tmpl w:val="8FFA1635"/>
    <w:lvl w:ilvl="0" w:tentative="0">
      <w:start w:val="1"/>
      <w:numFmt w:val="decimal"/>
      <w:suff w:val="nothing"/>
      <w:lvlText w:val="（%1）"/>
      <w:lvlJc w:val="left"/>
    </w:lvl>
  </w:abstractNum>
  <w:abstractNum w:abstractNumId="1">
    <w:nsid w:val="E60283EE"/>
    <w:multiLevelType w:val="singleLevel"/>
    <w:tmpl w:val="E60283EE"/>
    <w:lvl w:ilvl="0" w:tentative="0">
      <w:start w:val="4"/>
      <w:numFmt w:val="decimal"/>
      <w:suff w:val="nothing"/>
      <w:lvlText w:val="%1、"/>
      <w:lvlJc w:val="left"/>
    </w:lvl>
  </w:abstractNum>
  <w:abstractNum w:abstractNumId="2">
    <w:nsid w:val="E7E9BB59"/>
    <w:multiLevelType w:val="singleLevel"/>
    <w:tmpl w:val="E7E9BB59"/>
    <w:lvl w:ilvl="0" w:tentative="0">
      <w:start w:val="2"/>
      <w:numFmt w:val="decimal"/>
      <w:suff w:val="nothing"/>
      <w:lvlText w:val="（%1）"/>
      <w:lvlJc w:val="left"/>
    </w:lvl>
  </w:abstractNum>
  <w:abstractNum w:abstractNumId="3">
    <w:nsid w:val="00000005"/>
    <w:multiLevelType w:val="singleLevel"/>
    <w:tmpl w:val="00000005"/>
    <w:lvl w:ilvl="0" w:tentative="0">
      <w:start w:val="1"/>
      <w:numFmt w:val="decimal"/>
      <w:lvlText w:val="%1、"/>
      <w:lvlJc w:val="left"/>
      <w:pPr>
        <w:tabs>
          <w:tab w:val="left" w:pos="-652"/>
        </w:tabs>
        <w:ind w:left="-652" w:hanging="480"/>
      </w:pPr>
      <w:rPr>
        <w:rFonts w:hint="eastAsia"/>
      </w:rPr>
    </w:lvl>
  </w:abstractNum>
  <w:abstractNum w:abstractNumId="4">
    <w:nsid w:val="11D0D612"/>
    <w:multiLevelType w:val="singleLevel"/>
    <w:tmpl w:val="11D0D612"/>
    <w:lvl w:ilvl="0" w:tentative="0">
      <w:start w:val="11"/>
      <w:numFmt w:val="chineseCounting"/>
      <w:suff w:val="nothing"/>
      <w:lvlText w:val="（%1）"/>
      <w:lvlJc w:val="left"/>
      <w:rPr>
        <w:rFonts w:hint="eastAsia"/>
      </w:rPr>
    </w:lvl>
  </w:abstractNum>
  <w:abstractNum w:abstractNumId="5">
    <w:nsid w:val="68B5108B"/>
    <w:multiLevelType w:val="singleLevel"/>
    <w:tmpl w:val="68B5108B"/>
    <w:lvl w:ilvl="0" w:tentative="0">
      <w:start w:val="5"/>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cumentProtection w:edit="trackedChanges" w:enforcement="0"/>
  <w:defaultTabStop w:val="420"/>
  <w:drawingGridVerticalSpacing w:val="15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8E07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Times New Roman" w:hAnsi="Times New Roman" w:eastAsia="宋体" w:cs="Times New Roman"/>
      <w:sz w:val="22"/>
      <w:szCs w:val="22"/>
      <w:lang w:val="en-US" w:eastAsia="zh-CN" w:bidi="ar-SA"/>
    </w:rPr>
  </w:style>
  <w:style w:type="paragraph" w:styleId="3">
    <w:name w:val="heading 1"/>
    <w:basedOn w:val="1"/>
    <w:next w:val="1"/>
    <w:link w:val="60"/>
    <w:qFormat/>
    <w:uiPriority w:val="9"/>
    <w:pPr>
      <w:keepNext/>
      <w:keepLines/>
      <w:spacing w:before="240" w:after="0"/>
      <w:outlineLvl w:val="0"/>
    </w:pPr>
    <w:rPr>
      <w:rFonts w:ascii="Calibri Light" w:hAnsi="Calibri Light"/>
      <w:color w:val="2E74B5"/>
      <w:sz w:val="32"/>
      <w:szCs w:val="32"/>
    </w:rPr>
  </w:style>
  <w:style w:type="paragraph" w:styleId="4">
    <w:name w:val="heading 2"/>
    <w:basedOn w:val="1"/>
    <w:next w:val="1"/>
    <w:link w:val="61"/>
    <w:qFormat/>
    <w:uiPriority w:val="9"/>
    <w:pPr>
      <w:keepNext/>
      <w:keepLines/>
      <w:spacing w:before="40" w:after="0"/>
      <w:outlineLvl w:val="1"/>
    </w:pPr>
    <w:rPr>
      <w:rFonts w:ascii="Calibri Light" w:hAnsi="Calibri Light"/>
      <w:color w:val="2E74B5"/>
      <w:sz w:val="28"/>
      <w:szCs w:val="28"/>
    </w:rPr>
  </w:style>
  <w:style w:type="paragraph" w:styleId="5">
    <w:name w:val="heading 3"/>
    <w:basedOn w:val="1"/>
    <w:next w:val="1"/>
    <w:link w:val="62"/>
    <w:qFormat/>
    <w:uiPriority w:val="9"/>
    <w:pPr>
      <w:keepNext/>
      <w:keepLines/>
      <w:spacing w:before="40" w:after="0"/>
      <w:outlineLvl w:val="2"/>
    </w:pPr>
    <w:rPr>
      <w:rFonts w:ascii="Calibri Light" w:hAnsi="Calibri Light"/>
      <w:color w:val="1F4E79"/>
      <w:sz w:val="24"/>
      <w:szCs w:val="24"/>
    </w:rPr>
  </w:style>
  <w:style w:type="paragraph" w:styleId="6">
    <w:name w:val="heading 4"/>
    <w:basedOn w:val="1"/>
    <w:next w:val="1"/>
    <w:link w:val="63"/>
    <w:qFormat/>
    <w:uiPriority w:val="9"/>
    <w:pPr>
      <w:keepNext/>
      <w:keepLines/>
      <w:spacing w:before="40" w:after="0"/>
      <w:outlineLvl w:val="3"/>
    </w:pPr>
    <w:rPr>
      <w:rFonts w:ascii="Calibri Light" w:hAnsi="Calibri Light"/>
      <w:i/>
      <w:iCs/>
      <w:color w:val="2E74B5"/>
      <w:sz w:val="20"/>
      <w:szCs w:val="20"/>
    </w:rPr>
  </w:style>
  <w:style w:type="paragraph" w:styleId="7">
    <w:name w:val="heading 5"/>
    <w:basedOn w:val="1"/>
    <w:next w:val="1"/>
    <w:link w:val="64"/>
    <w:qFormat/>
    <w:uiPriority w:val="9"/>
    <w:pPr>
      <w:keepNext/>
      <w:keepLines/>
      <w:spacing w:before="40" w:after="0"/>
      <w:outlineLvl w:val="4"/>
    </w:pPr>
    <w:rPr>
      <w:rFonts w:ascii="Calibri Light" w:hAnsi="Calibri Light"/>
      <w:color w:val="2E74B5"/>
      <w:sz w:val="20"/>
      <w:szCs w:val="20"/>
    </w:rPr>
  </w:style>
  <w:style w:type="paragraph" w:styleId="8">
    <w:name w:val="heading 6"/>
    <w:basedOn w:val="1"/>
    <w:next w:val="1"/>
    <w:link w:val="65"/>
    <w:qFormat/>
    <w:uiPriority w:val="9"/>
    <w:pPr>
      <w:keepNext/>
      <w:keepLines/>
      <w:spacing w:before="40" w:after="0"/>
      <w:outlineLvl w:val="5"/>
    </w:pPr>
    <w:rPr>
      <w:rFonts w:ascii="Calibri Light" w:hAnsi="Calibri Light"/>
      <w:color w:val="1F4E79"/>
      <w:sz w:val="20"/>
      <w:szCs w:val="20"/>
    </w:rPr>
  </w:style>
  <w:style w:type="paragraph" w:styleId="9">
    <w:name w:val="heading 7"/>
    <w:basedOn w:val="1"/>
    <w:next w:val="1"/>
    <w:link w:val="66"/>
    <w:qFormat/>
    <w:uiPriority w:val="9"/>
    <w:pPr>
      <w:keepNext/>
      <w:keepLines/>
      <w:spacing w:before="40" w:after="0"/>
      <w:outlineLvl w:val="6"/>
    </w:pPr>
    <w:rPr>
      <w:rFonts w:ascii="Calibri Light" w:hAnsi="Calibri Light"/>
      <w:i/>
      <w:iCs/>
      <w:color w:val="1F4E79"/>
      <w:sz w:val="20"/>
      <w:szCs w:val="20"/>
    </w:rPr>
  </w:style>
  <w:style w:type="paragraph" w:styleId="10">
    <w:name w:val="heading 8"/>
    <w:basedOn w:val="1"/>
    <w:next w:val="1"/>
    <w:link w:val="67"/>
    <w:qFormat/>
    <w:uiPriority w:val="9"/>
    <w:pPr>
      <w:keepNext/>
      <w:keepLines/>
      <w:spacing w:before="40" w:after="0"/>
      <w:outlineLvl w:val="7"/>
    </w:pPr>
    <w:rPr>
      <w:rFonts w:ascii="Calibri Light" w:hAnsi="Calibri Light"/>
      <w:color w:val="262626"/>
      <w:sz w:val="21"/>
      <w:szCs w:val="21"/>
    </w:rPr>
  </w:style>
  <w:style w:type="paragraph" w:styleId="11">
    <w:name w:val="heading 9"/>
    <w:basedOn w:val="1"/>
    <w:next w:val="1"/>
    <w:link w:val="68"/>
    <w:qFormat/>
    <w:uiPriority w:val="9"/>
    <w:pPr>
      <w:keepNext/>
      <w:keepLines/>
      <w:spacing w:before="40" w:after="0"/>
      <w:outlineLvl w:val="8"/>
    </w:pPr>
    <w:rPr>
      <w:rFonts w:ascii="Calibri Light" w:hAnsi="Calibri Light"/>
      <w:i/>
      <w:iCs/>
      <w:color w:val="262626"/>
      <w:sz w:val="21"/>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 w:val="28"/>
      <w:szCs w:val="20"/>
    </w:rPr>
  </w:style>
  <w:style w:type="paragraph" w:styleId="12">
    <w:name w:val="toc 7"/>
    <w:basedOn w:val="1"/>
    <w:next w:val="1"/>
    <w:qFormat/>
    <w:uiPriority w:val="0"/>
    <w:pPr>
      <w:ind w:left="1260"/>
    </w:pPr>
    <w:rPr>
      <w:szCs w:val="21"/>
    </w:r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1400" w:leftChars="1400"/>
    </w:pPr>
  </w:style>
  <w:style w:type="paragraph" w:styleId="15">
    <w:name w:val="caption"/>
    <w:basedOn w:val="1"/>
    <w:next w:val="1"/>
    <w:qFormat/>
    <w:uiPriority w:val="35"/>
    <w:pPr>
      <w:spacing w:after="200" w:line="240" w:lineRule="auto"/>
    </w:pPr>
    <w:rPr>
      <w:i/>
      <w:iCs/>
      <w:color w:val="44546A"/>
      <w:sz w:val="18"/>
      <w:szCs w:val="18"/>
    </w:rPr>
  </w:style>
  <w:style w:type="paragraph" w:styleId="16">
    <w:name w:val="index 5"/>
    <w:basedOn w:val="1"/>
    <w:next w:val="1"/>
    <w:qFormat/>
    <w:uiPriority w:val="0"/>
    <w:pPr>
      <w:ind w:left="800" w:leftChars="800"/>
    </w:pPr>
  </w:style>
  <w:style w:type="paragraph" w:styleId="17">
    <w:name w:val="Document Map"/>
    <w:basedOn w:val="1"/>
    <w:qFormat/>
    <w:uiPriority w:val="0"/>
    <w:pPr>
      <w:shd w:val="clear" w:color="auto" w:fill="000080"/>
    </w:pPr>
  </w:style>
  <w:style w:type="paragraph" w:styleId="18">
    <w:name w:val="toa heading"/>
    <w:basedOn w:val="1"/>
    <w:next w:val="1"/>
    <w:qFormat/>
    <w:uiPriority w:val="0"/>
    <w:rPr>
      <w:rFonts w:ascii="Arial" w:hAnsi="Arial"/>
      <w:b/>
      <w:bCs/>
    </w:rPr>
  </w:style>
  <w:style w:type="paragraph" w:styleId="19">
    <w:name w:val="annotation text"/>
    <w:basedOn w:val="1"/>
    <w:link w:val="69"/>
    <w:qFormat/>
    <w:uiPriority w:val="0"/>
    <w:rPr>
      <w:kern w:val="2"/>
      <w:sz w:val="21"/>
      <w:szCs w:val="24"/>
    </w:rPr>
  </w:style>
  <w:style w:type="paragraph" w:styleId="20">
    <w:name w:val="index 6"/>
    <w:basedOn w:val="1"/>
    <w:next w:val="1"/>
    <w:qFormat/>
    <w:uiPriority w:val="0"/>
    <w:pPr>
      <w:ind w:left="1000" w:leftChars="1000"/>
    </w:pPr>
  </w:style>
  <w:style w:type="paragraph" w:styleId="21">
    <w:name w:val="Salutation"/>
    <w:basedOn w:val="1"/>
    <w:next w:val="1"/>
    <w:qFormat/>
    <w:uiPriority w:val="0"/>
    <w:rPr>
      <w:rFonts w:ascii="仿宋_GB2312" w:hAnsi="宋体" w:eastAsia="仿宋_GB2312"/>
      <w:color w:val="000000"/>
      <w:sz w:val="28"/>
      <w:szCs w:val="20"/>
    </w:rPr>
  </w:style>
  <w:style w:type="paragraph" w:styleId="22">
    <w:name w:val="Closing"/>
    <w:basedOn w:val="1"/>
    <w:qFormat/>
    <w:uiPriority w:val="0"/>
    <w:pPr>
      <w:ind w:left="100" w:leftChars="2100"/>
    </w:pPr>
    <w:rPr>
      <w:rFonts w:ascii="仿宋_GB2312" w:hAnsi="宋体" w:eastAsia="仿宋_GB2312"/>
      <w:color w:val="000000"/>
      <w:sz w:val="28"/>
      <w:szCs w:val="20"/>
    </w:rPr>
  </w:style>
  <w:style w:type="paragraph" w:styleId="23">
    <w:name w:val="Body Text"/>
    <w:basedOn w:val="1"/>
    <w:qFormat/>
    <w:uiPriority w:val="0"/>
    <w:pPr>
      <w:autoSpaceDE w:val="0"/>
      <w:autoSpaceDN w:val="0"/>
      <w:adjustRightInd w:val="0"/>
      <w:spacing w:line="720" w:lineRule="exact"/>
      <w:jc w:val="center"/>
    </w:pPr>
    <w:rPr>
      <w:rFonts w:ascii="宋体" w:hAnsi="宋体"/>
      <w:b/>
      <w:sz w:val="36"/>
      <w:szCs w:val="20"/>
    </w:rPr>
  </w:style>
  <w:style w:type="paragraph" w:styleId="24">
    <w:name w:val="Body Text Indent"/>
    <w:basedOn w:val="1"/>
    <w:qFormat/>
    <w:uiPriority w:val="0"/>
    <w:pPr>
      <w:ind w:left="420" w:leftChars="200"/>
    </w:pPr>
  </w:style>
  <w:style w:type="paragraph" w:styleId="25">
    <w:name w:val="index 4"/>
    <w:basedOn w:val="1"/>
    <w:next w:val="1"/>
    <w:qFormat/>
    <w:uiPriority w:val="0"/>
    <w:pPr>
      <w:ind w:left="600" w:leftChars="600"/>
    </w:pPr>
  </w:style>
  <w:style w:type="paragraph" w:styleId="26">
    <w:name w:val="toc 5"/>
    <w:basedOn w:val="1"/>
    <w:next w:val="1"/>
    <w:qFormat/>
    <w:uiPriority w:val="0"/>
    <w:pPr>
      <w:ind w:left="840"/>
    </w:pPr>
    <w:rPr>
      <w:szCs w:val="21"/>
    </w:rPr>
  </w:style>
  <w:style w:type="paragraph" w:styleId="27">
    <w:name w:val="toc 3"/>
    <w:basedOn w:val="1"/>
    <w:next w:val="1"/>
    <w:qFormat/>
    <w:uiPriority w:val="39"/>
    <w:pPr>
      <w:ind w:left="420"/>
    </w:pPr>
    <w:rPr>
      <w:i/>
      <w:iCs/>
    </w:rPr>
  </w:style>
  <w:style w:type="paragraph" w:styleId="28">
    <w:name w:val="Plain Text"/>
    <w:basedOn w:val="1"/>
    <w:link w:val="70"/>
    <w:qFormat/>
    <w:uiPriority w:val="99"/>
    <w:rPr>
      <w:rFonts w:ascii="宋体" w:hAnsi="Courier New"/>
      <w:kern w:val="2"/>
      <w:sz w:val="21"/>
      <w:szCs w:val="20"/>
    </w:rPr>
  </w:style>
  <w:style w:type="paragraph" w:styleId="29">
    <w:name w:val="toc 8"/>
    <w:basedOn w:val="1"/>
    <w:next w:val="1"/>
    <w:qFormat/>
    <w:uiPriority w:val="0"/>
    <w:pPr>
      <w:ind w:left="1470"/>
    </w:pPr>
    <w:rPr>
      <w:szCs w:val="21"/>
    </w:rPr>
  </w:style>
  <w:style w:type="paragraph" w:styleId="30">
    <w:name w:val="index 3"/>
    <w:basedOn w:val="1"/>
    <w:next w:val="1"/>
    <w:qFormat/>
    <w:uiPriority w:val="0"/>
    <w:pPr>
      <w:ind w:left="400" w:leftChars="400"/>
    </w:pPr>
  </w:style>
  <w:style w:type="paragraph" w:styleId="31">
    <w:name w:val="Date"/>
    <w:basedOn w:val="1"/>
    <w:next w:val="1"/>
    <w:qFormat/>
    <w:uiPriority w:val="0"/>
    <w:pPr>
      <w:ind w:left="100" w:leftChars="2500"/>
    </w:pPr>
  </w:style>
  <w:style w:type="paragraph" w:styleId="32">
    <w:name w:val="Body Text Indent 2"/>
    <w:basedOn w:val="1"/>
    <w:qFormat/>
    <w:uiPriority w:val="0"/>
    <w:pPr>
      <w:spacing w:line="530" w:lineRule="exact"/>
      <w:ind w:left="-61" w:leftChars="-29" w:firstLine="560" w:firstLineChars="200"/>
    </w:pPr>
    <w:rPr>
      <w:rFonts w:ascii="仿宋_GB2312" w:hAnsi="宋体" w:eastAsia="仿宋_GB2312"/>
      <w:sz w:val="28"/>
      <w:szCs w:val="28"/>
    </w:rPr>
  </w:style>
  <w:style w:type="paragraph" w:styleId="33">
    <w:name w:val="Balloon Text"/>
    <w:basedOn w:val="1"/>
    <w:qFormat/>
    <w:uiPriority w:val="0"/>
    <w:rPr>
      <w:sz w:val="18"/>
      <w:szCs w:val="18"/>
    </w:rPr>
  </w:style>
  <w:style w:type="paragraph" w:styleId="34">
    <w:name w:val="footer"/>
    <w:basedOn w:val="1"/>
    <w:link w:val="71"/>
    <w:qFormat/>
    <w:uiPriority w:val="99"/>
    <w:pPr>
      <w:tabs>
        <w:tab w:val="center" w:pos="4153"/>
        <w:tab w:val="right" w:pos="8306"/>
      </w:tabs>
      <w:autoSpaceDE w:val="0"/>
      <w:autoSpaceDN w:val="0"/>
      <w:adjustRightInd w:val="0"/>
      <w:snapToGrid w:val="0"/>
    </w:pPr>
    <w:rPr>
      <w:rFonts w:ascii="宋体"/>
      <w:sz w:val="18"/>
      <w:szCs w:val="20"/>
    </w:rPr>
  </w:style>
  <w:style w:type="paragraph" w:styleId="35">
    <w:name w:val="header"/>
    <w:basedOn w:val="1"/>
    <w:link w:val="72"/>
    <w:qFormat/>
    <w:uiPriority w:val="99"/>
    <w:pPr>
      <w:pBdr>
        <w:bottom w:val="single" w:color="auto" w:sz="6" w:space="1"/>
      </w:pBdr>
      <w:tabs>
        <w:tab w:val="center" w:pos="4153"/>
        <w:tab w:val="right" w:pos="8306"/>
      </w:tabs>
      <w:autoSpaceDE w:val="0"/>
      <w:autoSpaceDN w:val="0"/>
      <w:adjustRightInd w:val="0"/>
      <w:snapToGrid w:val="0"/>
      <w:jc w:val="center"/>
    </w:pPr>
    <w:rPr>
      <w:rFonts w:ascii="宋体"/>
      <w:sz w:val="18"/>
      <w:szCs w:val="20"/>
    </w:rPr>
  </w:style>
  <w:style w:type="paragraph" w:styleId="36">
    <w:name w:val="toc 1"/>
    <w:basedOn w:val="1"/>
    <w:next w:val="1"/>
    <w:qFormat/>
    <w:uiPriority w:val="39"/>
    <w:pPr>
      <w:spacing w:line="360" w:lineRule="exact"/>
    </w:pPr>
    <w:rPr>
      <w:rFonts w:ascii="仿宋_GB2312" w:eastAsia="仿宋_GB2312"/>
      <w:bCs/>
      <w:smallCaps/>
      <w:spacing w:val="20"/>
      <w:sz w:val="28"/>
    </w:rPr>
  </w:style>
  <w:style w:type="paragraph" w:styleId="37">
    <w:name w:val="toc 4"/>
    <w:basedOn w:val="1"/>
    <w:next w:val="1"/>
    <w:qFormat/>
    <w:uiPriority w:val="0"/>
    <w:pPr>
      <w:ind w:left="630"/>
    </w:pPr>
    <w:rPr>
      <w:szCs w:val="21"/>
    </w:rPr>
  </w:style>
  <w:style w:type="paragraph" w:styleId="38">
    <w:name w:val="index heading"/>
    <w:basedOn w:val="1"/>
    <w:next w:val="39"/>
    <w:qFormat/>
    <w:uiPriority w:val="0"/>
  </w:style>
  <w:style w:type="paragraph" w:styleId="39">
    <w:name w:val="index 1"/>
    <w:basedOn w:val="1"/>
    <w:next w:val="1"/>
    <w:qFormat/>
    <w:uiPriority w:val="0"/>
  </w:style>
  <w:style w:type="paragraph" w:styleId="40">
    <w:name w:val="Subtitle"/>
    <w:basedOn w:val="1"/>
    <w:next w:val="1"/>
    <w:link w:val="73"/>
    <w:qFormat/>
    <w:uiPriority w:val="11"/>
    <w:rPr>
      <w:color w:val="5A5A5A"/>
      <w:spacing w:val="15"/>
      <w:sz w:val="20"/>
      <w:szCs w:val="20"/>
    </w:rPr>
  </w:style>
  <w:style w:type="paragraph" w:styleId="41">
    <w:name w:val="toc 6"/>
    <w:basedOn w:val="1"/>
    <w:next w:val="1"/>
    <w:qFormat/>
    <w:uiPriority w:val="0"/>
    <w:pPr>
      <w:ind w:left="1050"/>
    </w:pPr>
    <w:rPr>
      <w:szCs w:val="21"/>
    </w:rPr>
  </w:style>
  <w:style w:type="paragraph" w:styleId="42">
    <w:name w:val="index 7"/>
    <w:basedOn w:val="1"/>
    <w:next w:val="1"/>
    <w:qFormat/>
    <w:uiPriority w:val="0"/>
    <w:pPr>
      <w:ind w:left="1200" w:leftChars="1200"/>
    </w:pPr>
  </w:style>
  <w:style w:type="paragraph" w:styleId="43">
    <w:name w:val="index 9"/>
    <w:basedOn w:val="1"/>
    <w:next w:val="1"/>
    <w:qFormat/>
    <w:uiPriority w:val="0"/>
    <w:pPr>
      <w:ind w:left="1600" w:leftChars="1600"/>
    </w:pPr>
  </w:style>
  <w:style w:type="paragraph" w:styleId="44">
    <w:name w:val="table of figures"/>
    <w:basedOn w:val="1"/>
    <w:next w:val="1"/>
    <w:qFormat/>
    <w:uiPriority w:val="0"/>
    <w:pPr>
      <w:ind w:left="840" w:leftChars="200" w:hanging="420" w:hangingChars="200"/>
    </w:pPr>
  </w:style>
  <w:style w:type="paragraph" w:styleId="45">
    <w:name w:val="toc 2"/>
    <w:basedOn w:val="1"/>
    <w:next w:val="1"/>
    <w:qFormat/>
    <w:uiPriority w:val="39"/>
    <w:pPr>
      <w:spacing w:line="320" w:lineRule="exact"/>
      <w:ind w:left="210"/>
      <w:jc w:val="center"/>
    </w:pPr>
    <w:rPr>
      <w:rFonts w:ascii="宋体" w:hAnsi="宋体" w:eastAsia="仿宋_GB2312"/>
      <w:smallCaps/>
      <w:sz w:val="24"/>
    </w:rPr>
  </w:style>
  <w:style w:type="paragraph" w:styleId="46">
    <w:name w:val="toc 9"/>
    <w:basedOn w:val="1"/>
    <w:next w:val="1"/>
    <w:qFormat/>
    <w:uiPriority w:val="0"/>
    <w:pPr>
      <w:ind w:left="1680"/>
    </w:pPr>
    <w:rPr>
      <w:szCs w:val="21"/>
    </w:rPr>
  </w:style>
  <w:style w:type="paragraph" w:styleId="47">
    <w:name w:val="Normal (Web)"/>
    <w:basedOn w:val="1"/>
    <w:qFormat/>
    <w:uiPriority w:val="0"/>
    <w:pPr>
      <w:spacing w:beforeAutospacing="1" w:afterAutospacing="1"/>
    </w:pPr>
    <w:rPr>
      <w:rFonts w:ascii="宋体" w:hAnsi="宋体" w:cs="宋体"/>
      <w:sz w:val="24"/>
    </w:rPr>
  </w:style>
  <w:style w:type="paragraph" w:styleId="48">
    <w:name w:val="index 2"/>
    <w:basedOn w:val="1"/>
    <w:next w:val="1"/>
    <w:qFormat/>
    <w:uiPriority w:val="0"/>
    <w:pPr>
      <w:ind w:left="200" w:leftChars="200"/>
    </w:pPr>
  </w:style>
  <w:style w:type="paragraph" w:styleId="49">
    <w:name w:val="Title"/>
    <w:basedOn w:val="1"/>
    <w:next w:val="1"/>
    <w:link w:val="74"/>
    <w:qFormat/>
    <w:uiPriority w:val="10"/>
    <w:pPr>
      <w:spacing w:after="0" w:line="240" w:lineRule="auto"/>
      <w:contextualSpacing/>
    </w:pPr>
    <w:rPr>
      <w:rFonts w:ascii="Calibri Light" w:hAnsi="Calibri Light"/>
      <w:spacing w:val="-10"/>
      <w:sz w:val="56"/>
      <w:szCs w:val="56"/>
    </w:rPr>
  </w:style>
  <w:style w:type="paragraph" w:styleId="50">
    <w:name w:val="annotation subject"/>
    <w:basedOn w:val="19"/>
    <w:next w:val="19"/>
    <w:link w:val="75"/>
    <w:qFormat/>
    <w:uiPriority w:val="0"/>
    <w:rPr>
      <w:b/>
      <w:bCs/>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22"/>
    <w:rPr>
      <w:b/>
      <w:bCs/>
      <w:color w:val="auto"/>
    </w:rPr>
  </w:style>
  <w:style w:type="character" w:styleId="55">
    <w:name w:val="page number"/>
    <w:basedOn w:val="53"/>
    <w:qFormat/>
    <w:uiPriority w:val="0"/>
  </w:style>
  <w:style w:type="character" w:styleId="56">
    <w:name w:val="FollowedHyperlink"/>
    <w:qFormat/>
    <w:uiPriority w:val="0"/>
    <w:rPr>
      <w:color w:val="800080"/>
      <w:u w:val="single"/>
    </w:rPr>
  </w:style>
  <w:style w:type="character" w:styleId="57">
    <w:name w:val="Emphasis"/>
    <w:qFormat/>
    <w:uiPriority w:val="20"/>
    <w:rPr>
      <w:i/>
      <w:iCs/>
      <w:color w:val="auto"/>
    </w:rPr>
  </w:style>
  <w:style w:type="character" w:styleId="58">
    <w:name w:val="Hyperlink"/>
    <w:qFormat/>
    <w:uiPriority w:val="99"/>
    <w:rPr>
      <w:color w:val="0000FF"/>
      <w:u w:val="single"/>
    </w:rPr>
  </w:style>
  <w:style w:type="character" w:styleId="59">
    <w:name w:val="annotation reference"/>
    <w:qFormat/>
    <w:uiPriority w:val="0"/>
    <w:rPr>
      <w:sz w:val="21"/>
      <w:szCs w:val="21"/>
    </w:rPr>
  </w:style>
  <w:style w:type="character" w:customStyle="1" w:styleId="60">
    <w:name w:val="标题 1 Char"/>
    <w:link w:val="3"/>
    <w:qFormat/>
    <w:uiPriority w:val="9"/>
    <w:rPr>
      <w:rFonts w:ascii="Calibri Light" w:hAnsi="Calibri Light" w:eastAsia="宋体" w:cs="Times New Roman"/>
      <w:color w:val="2E74B5"/>
      <w:sz w:val="32"/>
      <w:szCs w:val="32"/>
    </w:rPr>
  </w:style>
  <w:style w:type="character" w:customStyle="1" w:styleId="61">
    <w:name w:val="标题 2 Char"/>
    <w:link w:val="4"/>
    <w:qFormat/>
    <w:uiPriority w:val="9"/>
    <w:rPr>
      <w:rFonts w:ascii="Calibri Light" w:hAnsi="Calibri Light" w:eastAsia="宋体" w:cs="Times New Roman"/>
      <w:color w:val="2E74B5"/>
      <w:sz w:val="28"/>
      <w:szCs w:val="28"/>
    </w:rPr>
  </w:style>
  <w:style w:type="character" w:customStyle="1" w:styleId="62">
    <w:name w:val="标题 3 Char"/>
    <w:link w:val="5"/>
    <w:semiHidden/>
    <w:qFormat/>
    <w:uiPriority w:val="9"/>
    <w:rPr>
      <w:rFonts w:ascii="Calibri Light" w:hAnsi="Calibri Light" w:eastAsia="宋体" w:cs="Times New Roman"/>
      <w:color w:val="1F4E79"/>
      <w:sz w:val="24"/>
      <w:szCs w:val="24"/>
    </w:rPr>
  </w:style>
  <w:style w:type="character" w:customStyle="1" w:styleId="63">
    <w:name w:val="标题 4 Char"/>
    <w:link w:val="6"/>
    <w:semiHidden/>
    <w:qFormat/>
    <w:uiPriority w:val="9"/>
    <w:rPr>
      <w:rFonts w:ascii="Calibri Light" w:hAnsi="Calibri Light" w:eastAsia="宋体" w:cs="Times New Roman"/>
      <w:i/>
      <w:iCs/>
      <w:color w:val="2E74B5"/>
    </w:rPr>
  </w:style>
  <w:style w:type="character" w:customStyle="1" w:styleId="64">
    <w:name w:val="标题 5 Char"/>
    <w:link w:val="7"/>
    <w:semiHidden/>
    <w:qFormat/>
    <w:uiPriority w:val="9"/>
    <w:rPr>
      <w:rFonts w:ascii="Calibri Light" w:hAnsi="Calibri Light" w:eastAsia="宋体" w:cs="Times New Roman"/>
      <w:color w:val="2E74B5"/>
    </w:rPr>
  </w:style>
  <w:style w:type="character" w:customStyle="1" w:styleId="65">
    <w:name w:val="标题 6 Char"/>
    <w:link w:val="8"/>
    <w:semiHidden/>
    <w:qFormat/>
    <w:uiPriority w:val="9"/>
    <w:rPr>
      <w:rFonts w:ascii="Calibri Light" w:hAnsi="Calibri Light" w:eastAsia="宋体" w:cs="Times New Roman"/>
      <w:color w:val="1F4E79"/>
    </w:rPr>
  </w:style>
  <w:style w:type="character" w:customStyle="1" w:styleId="66">
    <w:name w:val="标题 7 Char"/>
    <w:link w:val="9"/>
    <w:semiHidden/>
    <w:qFormat/>
    <w:uiPriority w:val="9"/>
    <w:rPr>
      <w:rFonts w:ascii="Calibri Light" w:hAnsi="Calibri Light" w:eastAsia="宋体" w:cs="Times New Roman"/>
      <w:i/>
      <w:iCs/>
      <w:color w:val="1F4E79"/>
    </w:rPr>
  </w:style>
  <w:style w:type="character" w:customStyle="1" w:styleId="67">
    <w:name w:val="标题 8 Char"/>
    <w:link w:val="10"/>
    <w:semiHidden/>
    <w:qFormat/>
    <w:uiPriority w:val="9"/>
    <w:rPr>
      <w:rFonts w:ascii="Calibri Light" w:hAnsi="Calibri Light" w:eastAsia="宋体" w:cs="Times New Roman"/>
      <w:color w:val="262626"/>
      <w:sz w:val="21"/>
      <w:szCs w:val="21"/>
    </w:rPr>
  </w:style>
  <w:style w:type="character" w:customStyle="1" w:styleId="68">
    <w:name w:val="标题 9 Char"/>
    <w:link w:val="11"/>
    <w:semiHidden/>
    <w:qFormat/>
    <w:uiPriority w:val="9"/>
    <w:rPr>
      <w:rFonts w:ascii="Calibri Light" w:hAnsi="Calibri Light" w:eastAsia="宋体" w:cs="Times New Roman"/>
      <w:i/>
      <w:iCs/>
      <w:color w:val="262626"/>
      <w:sz w:val="21"/>
      <w:szCs w:val="21"/>
    </w:rPr>
  </w:style>
  <w:style w:type="character" w:customStyle="1" w:styleId="69">
    <w:name w:val="批注文字 Char"/>
    <w:link w:val="19"/>
    <w:qFormat/>
    <w:uiPriority w:val="0"/>
    <w:rPr>
      <w:kern w:val="2"/>
      <w:sz w:val="21"/>
      <w:szCs w:val="24"/>
    </w:rPr>
  </w:style>
  <w:style w:type="character" w:customStyle="1" w:styleId="70">
    <w:name w:val="纯文本 Char"/>
    <w:link w:val="28"/>
    <w:qFormat/>
    <w:uiPriority w:val="99"/>
    <w:rPr>
      <w:rFonts w:ascii="宋体" w:hAnsi="Courier New" w:eastAsia="宋体"/>
      <w:kern w:val="2"/>
      <w:sz w:val="21"/>
      <w:lang w:val="en-US" w:eastAsia="zh-CN" w:bidi="ar-SA"/>
    </w:rPr>
  </w:style>
  <w:style w:type="character" w:customStyle="1" w:styleId="71">
    <w:name w:val="页脚 Char"/>
    <w:link w:val="34"/>
    <w:qFormat/>
    <w:uiPriority w:val="99"/>
    <w:rPr>
      <w:rFonts w:ascii="宋体" w:eastAsia="宋体"/>
      <w:sz w:val="18"/>
      <w:lang w:val="en-US" w:eastAsia="zh-CN" w:bidi="ar-SA"/>
    </w:rPr>
  </w:style>
  <w:style w:type="character" w:customStyle="1" w:styleId="72">
    <w:name w:val="页眉 Char"/>
    <w:link w:val="35"/>
    <w:qFormat/>
    <w:uiPriority w:val="99"/>
    <w:rPr>
      <w:rFonts w:ascii="宋体" w:eastAsia="宋体"/>
      <w:sz w:val="18"/>
      <w:lang w:val="en-US" w:eastAsia="zh-CN" w:bidi="ar-SA"/>
    </w:rPr>
  </w:style>
  <w:style w:type="character" w:customStyle="1" w:styleId="73">
    <w:name w:val="副标题 Char"/>
    <w:link w:val="40"/>
    <w:qFormat/>
    <w:uiPriority w:val="11"/>
    <w:rPr>
      <w:color w:val="5A5A5A"/>
      <w:spacing w:val="15"/>
    </w:rPr>
  </w:style>
  <w:style w:type="character" w:customStyle="1" w:styleId="74">
    <w:name w:val="标题 Char"/>
    <w:link w:val="49"/>
    <w:qFormat/>
    <w:uiPriority w:val="10"/>
    <w:rPr>
      <w:rFonts w:ascii="Calibri Light" w:hAnsi="Calibri Light" w:eastAsia="宋体" w:cs="Times New Roman"/>
      <w:spacing w:val="-10"/>
      <w:sz w:val="56"/>
      <w:szCs w:val="56"/>
    </w:rPr>
  </w:style>
  <w:style w:type="character" w:customStyle="1" w:styleId="75">
    <w:name w:val="批注主题 Char"/>
    <w:basedOn w:val="69"/>
    <w:link w:val="50"/>
    <w:qFormat/>
    <w:uiPriority w:val="0"/>
  </w:style>
  <w:style w:type="character" w:customStyle="1" w:styleId="76">
    <w:name w:val="text1"/>
    <w:qFormat/>
    <w:uiPriority w:val="0"/>
    <w:rPr>
      <w:spacing w:val="10"/>
      <w:sz w:val="28"/>
      <w:szCs w:val="28"/>
    </w:rPr>
  </w:style>
  <w:style w:type="character" w:customStyle="1" w:styleId="77">
    <w:name w:val="font11"/>
    <w:qFormat/>
    <w:uiPriority w:val="0"/>
    <w:rPr>
      <w:rFonts w:ascii="Segoe UI Symbol" w:hAnsi="Segoe UI Symbol" w:eastAsia="Segoe UI Symbol" w:cs="Segoe UI Symbol"/>
      <w:b/>
      <w:color w:val="000000"/>
      <w:sz w:val="18"/>
      <w:szCs w:val="18"/>
      <w:u w:val="none"/>
    </w:rPr>
  </w:style>
  <w:style w:type="character" w:customStyle="1" w:styleId="78">
    <w:name w:val="font71"/>
    <w:basedOn w:val="53"/>
    <w:qFormat/>
    <w:uiPriority w:val="0"/>
    <w:rPr>
      <w:rFonts w:hint="eastAsia" w:ascii="仿宋_GB2312" w:eastAsia="仿宋_GB2312" w:cs="仿宋_GB2312"/>
      <w:b/>
      <w:bCs/>
      <w:color w:val="000000"/>
      <w:sz w:val="18"/>
      <w:szCs w:val="18"/>
      <w:u w:val="none"/>
    </w:rPr>
  </w:style>
  <w:style w:type="character" w:customStyle="1" w:styleId="79">
    <w:name w:val="font51"/>
    <w:qFormat/>
    <w:uiPriority w:val="0"/>
    <w:rPr>
      <w:rFonts w:ascii="Segoe UI Symbol" w:hAnsi="Segoe UI Symbol" w:eastAsia="Segoe UI Symbol" w:cs="Segoe UI Symbol"/>
      <w:b/>
      <w:color w:val="000000"/>
      <w:sz w:val="18"/>
      <w:szCs w:val="18"/>
      <w:u w:val="none"/>
    </w:rPr>
  </w:style>
  <w:style w:type="character" w:customStyle="1" w:styleId="80">
    <w:name w:val="font01"/>
    <w:qFormat/>
    <w:uiPriority w:val="0"/>
    <w:rPr>
      <w:rFonts w:hint="eastAsia" w:ascii="宋体" w:hAnsi="宋体" w:eastAsia="宋体" w:cs="宋体"/>
      <w:color w:val="000000"/>
      <w:sz w:val="18"/>
      <w:szCs w:val="18"/>
      <w:u w:val="none"/>
    </w:rPr>
  </w:style>
  <w:style w:type="character" w:customStyle="1" w:styleId="81">
    <w:name w:val="font81"/>
    <w:basedOn w:val="53"/>
    <w:qFormat/>
    <w:uiPriority w:val="0"/>
    <w:rPr>
      <w:rFonts w:hint="eastAsia" w:ascii="宋体" w:hAnsi="宋体" w:eastAsia="宋体" w:cs="宋体"/>
      <w:color w:val="000000"/>
      <w:sz w:val="20"/>
      <w:szCs w:val="20"/>
      <w:u w:val="none"/>
    </w:rPr>
  </w:style>
  <w:style w:type="character" w:customStyle="1" w:styleId="82">
    <w:name w:val="_Style 81"/>
    <w:qFormat/>
    <w:uiPriority w:val="19"/>
    <w:rPr>
      <w:i/>
      <w:iCs/>
      <w:color w:val="404040"/>
    </w:rPr>
  </w:style>
  <w:style w:type="character" w:customStyle="1" w:styleId="83">
    <w:name w:val="_Style 82"/>
    <w:qFormat/>
    <w:uiPriority w:val="21"/>
    <w:rPr>
      <w:i/>
      <w:iCs/>
      <w:color w:val="5B9BD5"/>
    </w:rPr>
  </w:style>
  <w:style w:type="character" w:customStyle="1" w:styleId="84">
    <w:name w:val="description4"/>
    <w:basedOn w:val="53"/>
    <w:qFormat/>
    <w:uiPriority w:val="0"/>
  </w:style>
  <w:style w:type="character" w:customStyle="1" w:styleId="85">
    <w:name w:val="p141"/>
    <w:qFormat/>
    <w:uiPriority w:val="0"/>
    <w:rPr>
      <w:sz w:val="21"/>
      <w:szCs w:val="21"/>
    </w:rPr>
  </w:style>
  <w:style w:type="character" w:customStyle="1" w:styleId="86">
    <w:name w:val="引用 Char"/>
    <w:link w:val="87"/>
    <w:qFormat/>
    <w:uiPriority w:val="29"/>
    <w:rPr>
      <w:i/>
      <w:iCs/>
      <w:color w:val="404040"/>
    </w:rPr>
  </w:style>
  <w:style w:type="paragraph" w:styleId="87">
    <w:name w:val="Quote"/>
    <w:basedOn w:val="1"/>
    <w:next w:val="1"/>
    <w:link w:val="86"/>
    <w:qFormat/>
    <w:uiPriority w:val="29"/>
    <w:pPr>
      <w:spacing w:before="200"/>
      <w:ind w:left="864" w:right="864"/>
    </w:pPr>
    <w:rPr>
      <w:i/>
      <w:iCs/>
      <w:color w:val="404040"/>
      <w:sz w:val="20"/>
      <w:szCs w:val="20"/>
    </w:rPr>
  </w:style>
  <w:style w:type="character" w:customStyle="1" w:styleId="88">
    <w:name w:val="明显引用 Char"/>
    <w:link w:val="89"/>
    <w:qFormat/>
    <w:uiPriority w:val="30"/>
    <w:rPr>
      <w:i/>
      <w:iCs/>
      <w:color w:val="5B9BD5"/>
    </w:rPr>
  </w:style>
  <w:style w:type="paragraph" w:styleId="89">
    <w:name w:val="Intense Quote"/>
    <w:basedOn w:val="1"/>
    <w:next w:val="1"/>
    <w:link w:val="88"/>
    <w:qFormat/>
    <w:uiPriority w:val="30"/>
    <w:pPr>
      <w:pBdr>
        <w:top w:val="single" w:color="5B9BD5" w:sz="4" w:space="10"/>
        <w:bottom w:val="single" w:color="5B9BD5" w:sz="4" w:space="10"/>
      </w:pBdr>
      <w:spacing w:before="360" w:after="360"/>
      <w:ind w:left="864" w:right="864"/>
      <w:jc w:val="center"/>
    </w:pPr>
    <w:rPr>
      <w:i/>
      <w:iCs/>
      <w:color w:val="5B9BD5"/>
      <w:sz w:val="20"/>
      <w:szCs w:val="20"/>
    </w:rPr>
  </w:style>
  <w:style w:type="character" w:customStyle="1" w:styleId="90">
    <w:name w:val="_Style 89"/>
    <w:qFormat/>
    <w:uiPriority w:val="33"/>
    <w:rPr>
      <w:b/>
      <w:bCs/>
      <w:i/>
      <w:iCs/>
      <w:spacing w:val="5"/>
    </w:rPr>
  </w:style>
  <w:style w:type="character" w:customStyle="1" w:styleId="91">
    <w:name w:val="_Style 90"/>
    <w:qFormat/>
    <w:uiPriority w:val="31"/>
    <w:rPr>
      <w:smallCaps/>
      <w:color w:val="404040"/>
    </w:rPr>
  </w:style>
  <w:style w:type="character" w:customStyle="1" w:styleId="92">
    <w:name w:val="font171"/>
    <w:qFormat/>
    <w:uiPriority w:val="0"/>
    <w:rPr>
      <w:rFonts w:hint="eastAsia" w:ascii="宋体" w:hAnsi="宋体" w:eastAsia="宋体" w:cs="宋体"/>
      <w:color w:val="000000"/>
      <w:sz w:val="19"/>
      <w:szCs w:val="19"/>
      <w:u w:val="none"/>
    </w:rPr>
  </w:style>
  <w:style w:type="character" w:customStyle="1" w:styleId="93">
    <w:name w:val="普通文字 Char"/>
    <w:qFormat/>
    <w:uiPriority w:val="0"/>
    <w:rPr>
      <w:rFonts w:ascii="宋体" w:hAnsi="Courier New" w:eastAsia="楷体_GB2312"/>
      <w:kern w:val="2"/>
      <w:sz w:val="30"/>
      <w:lang w:val="en-US" w:eastAsia="zh-CN" w:bidi="ar-SA"/>
    </w:rPr>
  </w:style>
  <w:style w:type="character" w:customStyle="1" w:styleId="94">
    <w:name w:val="font31"/>
    <w:qFormat/>
    <w:uiPriority w:val="0"/>
    <w:rPr>
      <w:rFonts w:hint="eastAsia" w:ascii="仿宋" w:hAnsi="仿宋" w:eastAsia="仿宋" w:cs="仿宋"/>
      <w:color w:val="000000"/>
      <w:sz w:val="20"/>
      <w:szCs w:val="20"/>
      <w:u w:val="none"/>
    </w:rPr>
  </w:style>
  <w:style w:type="character" w:customStyle="1" w:styleId="95">
    <w:name w:val="font21"/>
    <w:qFormat/>
    <w:uiPriority w:val="0"/>
    <w:rPr>
      <w:rFonts w:hint="eastAsia" w:ascii="仿宋_GB2312" w:eastAsia="仿宋_GB2312" w:cs="仿宋_GB2312"/>
      <w:b/>
      <w:color w:val="000000"/>
      <w:sz w:val="18"/>
      <w:szCs w:val="18"/>
      <w:u w:val="none"/>
    </w:rPr>
  </w:style>
  <w:style w:type="character" w:customStyle="1" w:styleId="96">
    <w:name w:val="font181"/>
    <w:qFormat/>
    <w:uiPriority w:val="0"/>
    <w:rPr>
      <w:rFonts w:hint="eastAsia" w:ascii="宋体" w:hAnsi="宋体" w:eastAsia="宋体" w:cs="宋体"/>
      <w:color w:val="333333"/>
      <w:sz w:val="19"/>
      <w:szCs w:val="19"/>
      <w:u w:val="none"/>
    </w:rPr>
  </w:style>
  <w:style w:type="character" w:customStyle="1" w:styleId="97">
    <w:name w:val="text_edit editable-title"/>
    <w:basedOn w:val="53"/>
    <w:qFormat/>
    <w:uiPriority w:val="0"/>
  </w:style>
  <w:style w:type="character" w:customStyle="1" w:styleId="98">
    <w:name w:val="font61"/>
    <w:qFormat/>
    <w:uiPriority w:val="0"/>
    <w:rPr>
      <w:rFonts w:hint="default" w:ascii="Times New Roman" w:hAnsi="Times New Roman" w:cs="Times New Roman"/>
      <w:color w:val="000000"/>
      <w:sz w:val="18"/>
      <w:szCs w:val="18"/>
      <w:u w:val="none"/>
    </w:rPr>
  </w:style>
  <w:style w:type="character" w:customStyle="1" w:styleId="99">
    <w:name w:val="font41"/>
    <w:qFormat/>
    <w:uiPriority w:val="0"/>
    <w:rPr>
      <w:rFonts w:hint="eastAsia" w:ascii="仿宋_GB2312" w:eastAsia="仿宋_GB2312" w:cs="仿宋_GB2312"/>
      <w:b/>
      <w:color w:val="000000"/>
      <w:sz w:val="18"/>
      <w:szCs w:val="18"/>
      <w:u w:val="none"/>
    </w:rPr>
  </w:style>
  <w:style w:type="character" w:customStyle="1" w:styleId="100">
    <w:name w:val="_Style 99"/>
    <w:qFormat/>
    <w:uiPriority w:val="32"/>
    <w:rPr>
      <w:b/>
      <w:bCs/>
      <w:smallCaps/>
      <w:color w:val="5B9BD5"/>
      <w:spacing w:val="5"/>
    </w:rPr>
  </w:style>
  <w:style w:type="character" w:customStyle="1" w:styleId="101">
    <w:name w:val="apple-converted-space"/>
    <w:basedOn w:val="53"/>
    <w:qFormat/>
    <w:uiPriority w:val="0"/>
  </w:style>
  <w:style w:type="paragraph" w:customStyle="1" w:styleId="102">
    <w:name w:val="pic-info"/>
    <w:basedOn w:val="1"/>
    <w:qFormat/>
    <w:uiPriority w:val="0"/>
    <w:pPr>
      <w:spacing w:before="100" w:beforeAutospacing="1" w:after="100" w:afterAutospacing="1"/>
    </w:pPr>
    <w:rPr>
      <w:rFonts w:ascii="宋体" w:hAnsi="宋体" w:cs="宋体"/>
      <w:sz w:val="24"/>
    </w:rPr>
  </w:style>
  <w:style w:type="paragraph" w:customStyle="1" w:styleId="103">
    <w:name w:val="Char4"/>
    <w:basedOn w:val="1"/>
    <w:qFormat/>
    <w:uiPriority w:val="0"/>
    <w:rPr>
      <w:rFonts w:ascii="宋体" w:hAnsi="Tms Rmn"/>
      <w:sz w:val="24"/>
      <w:szCs w:val="20"/>
    </w:rPr>
  </w:style>
  <w:style w:type="paragraph" w:customStyle="1" w:styleId="104">
    <w:name w:val="lh20 pt5 pb5"/>
    <w:basedOn w:val="1"/>
    <w:qFormat/>
    <w:uiPriority w:val="0"/>
    <w:pPr>
      <w:spacing w:before="100" w:beforeAutospacing="1" w:after="100" w:afterAutospacing="1"/>
    </w:pPr>
    <w:rPr>
      <w:rFonts w:ascii="宋体" w:hAnsi="宋体" w:cs="宋体"/>
      <w:sz w:val="24"/>
    </w:rPr>
  </w:style>
  <w:style w:type="paragraph" w:customStyle="1" w:styleId="105">
    <w:name w:val="_Style 104"/>
    <w:basedOn w:val="3"/>
    <w:next w:val="1"/>
    <w:qFormat/>
    <w:uiPriority w:val="39"/>
    <w:pPr>
      <w:outlineLvl w:val="9"/>
    </w:pPr>
  </w:style>
  <w:style w:type="paragraph" w:styleId="106">
    <w:name w:val="List Paragraph"/>
    <w:basedOn w:val="1"/>
    <w:qFormat/>
    <w:uiPriority w:val="1"/>
    <w:pPr>
      <w:ind w:left="1419" w:hanging="452"/>
    </w:pPr>
    <w:rPr>
      <w:rFonts w:ascii="微软雅黑" w:hAnsi="微软雅黑" w:eastAsia="微软雅黑" w:cs="微软雅黑"/>
      <w:lang w:val="zh-CN" w:bidi="zh-CN"/>
    </w:rPr>
  </w:style>
  <w:style w:type="paragraph" w:customStyle="1" w:styleId="107">
    <w:name w:val="Table Paragraph"/>
    <w:basedOn w:val="1"/>
    <w:qFormat/>
    <w:uiPriority w:val="1"/>
    <w:rPr>
      <w:rFonts w:ascii="Calibri" w:hAnsi="Calibri"/>
      <w:lang w:eastAsia="en-US"/>
    </w:rPr>
  </w:style>
  <w:style w:type="paragraph" w:styleId="108">
    <w:name w:val="No Spacing"/>
    <w:qFormat/>
    <w:uiPriority w:val="1"/>
    <w:rPr>
      <w:rFonts w:ascii="Times New Roman" w:hAnsi="Times New Roman" w:eastAsia="宋体" w:cs="Times New Roman"/>
      <w:sz w:val="22"/>
      <w:szCs w:val="22"/>
      <w:lang w:val="en-US" w:eastAsia="zh-CN" w:bidi="ar-SA"/>
    </w:rPr>
  </w:style>
  <w:style w:type="paragraph" w:customStyle="1" w:styleId="109">
    <w:name w:val="样式 正文（报告） + 首行缩进:  0.77 厘米 段前: 0.25 行 段后: 0.25 行"/>
    <w:basedOn w:val="1"/>
    <w:qFormat/>
    <w:uiPriority w:val="0"/>
    <w:pPr>
      <w:snapToGrid w:val="0"/>
      <w:spacing w:beforeLines="25" w:afterLines="25" w:line="300" w:lineRule="auto"/>
      <w:ind w:firstLine="437"/>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35381</Words>
  <Characters>40766</Characters>
  <Lines>3170</Lines>
  <Paragraphs>2963</Paragraphs>
  <TotalTime>41</TotalTime>
  <ScaleCrop>false</ScaleCrop>
  <LinksUpToDate>false</LinksUpToDate>
  <CharactersWithSpaces>41100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2016-01-15T08:47:00Z</dcterms:created>
  <dc:creator>legend</dc:creator>
  <cp:lastModifiedBy>皓</cp:lastModifiedBy>
  <cp:lastPrinted>2021-07-23T00:59:00Z</cp:lastPrinted>
  <dcterms:modified xsi:type="dcterms:W3CDTF">2022-02-09T06:51:11Z</dcterms:modified>
  <dc:title>市南区山东路1号滨海花园2栋906户房地产</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5CA162CBD1BC40CB83577A72935AB7F7</vt:lpwstr>
  </property>
  <property fmtid="{D5CDD505-2E9C-101B-9397-08002B2CF9AE}" pid="3" name="KSOProductBuildVer">
    <vt:lpwstr>2052-11.1.0.9914</vt:lpwstr>
  </property>
</Properties>
</file>