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96"/>
        <w:gridCol w:w="2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vAlign w:val="center"/>
          </w:tcPr>
          <w:p>
            <w:pPr>
              <w:spacing w:line="1600" w:lineRule="exact"/>
              <w:jc w:val="center"/>
              <w:rPr>
                <w:rFonts w:eastAsia="黑体"/>
                <w:color w:val="000000" w:themeColor="text1"/>
                <w:spacing w:val="40"/>
                <w:sz w:val="44"/>
              </w:rPr>
            </w:pPr>
            <w:r>
              <w:rPr>
                <w:rFonts w:hint="eastAsia" w:eastAsia="黑体"/>
                <w:spacing w:val="40"/>
                <w:sz w:val="44"/>
              </w:rPr>
              <w:t>房地产估价报告</w:t>
            </w:r>
          </w:p>
        </w:tc>
        <w:tc>
          <w:tcPr>
            <w:tcW w:w="2374" w:type="dxa"/>
            <w:vAlign w:val="center"/>
          </w:tcPr>
          <w:p>
            <w:pPr>
              <w:jc w:val="center"/>
              <w:rPr>
                <w:rFonts w:eastAsia="黑体"/>
                <w:color w:val="000000" w:themeColor="text1"/>
                <w:spacing w:val="40"/>
                <w:sz w:val="44"/>
              </w:rPr>
            </w:pPr>
            <w:r>
              <w:rPr>
                <w:rFonts w:hint="eastAsia" w:ascii="宋体" w:hAnsi="宋体" w:eastAsiaTheme="minorEastAsia"/>
                <w:b/>
                <w:spacing w:val="100"/>
                <w:sz w:val="44"/>
                <w:szCs w:val="44"/>
                <w:lang w:eastAsia="zh-CN"/>
              </w:rPr>
              <w:drawing>
                <wp:inline distT="0" distB="0" distL="114300" distR="114300">
                  <wp:extent cx="1208405" cy="1208405"/>
                  <wp:effectExtent l="0" t="0" r="10795" b="10795"/>
                  <wp:docPr id="1" name="图片 1" descr="2022第7-003盘锦土地技术报告封面_0"/>
                  <wp:cNvGraphicFramePr/>
                  <a:graphic xmlns:a="http://schemas.openxmlformats.org/drawingml/2006/main">
                    <a:graphicData uri="http://schemas.openxmlformats.org/drawingml/2006/picture">
                      <pic:pic xmlns:pic="http://schemas.openxmlformats.org/drawingml/2006/picture">
                        <pic:nvPicPr>
                          <pic:cNvPr id="1" name="图片 1" descr="2022第7-003盘锦土地技术报告封面_0"/>
                          <pic:cNvPicPr/>
                        </pic:nvPicPr>
                        <pic:blipFill>
                          <a:blip r:embed="rId13"/>
                          <a:stretch>
                            <a:fillRect/>
                          </a:stretch>
                        </pic:blipFill>
                        <pic:spPr>
                          <a:xfrm>
                            <a:off x="0" y="0"/>
                            <a:ext cx="1208405" cy="1208405"/>
                          </a:xfrm>
                          <a:prstGeom prst="rect">
                            <a:avLst/>
                          </a:prstGeom>
                        </pic:spPr>
                      </pic:pic>
                    </a:graphicData>
                  </a:graphic>
                </wp:inline>
              </w:drawing>
            </w:r>
          </w:p>
        </w:tc>
      </w:tr>
    </w:tbl>
    <w:p>
      <w:pPr>
        <w:spacing w:line="1400" w:lineRule="exact"/>
        <w:ind w:firstLine="161" w:firstLineChars="50"/>
        <w:rPr>
          <w:rFonts w:ascii="楷体_GB2312" w:eastAsia="楷体_GB2312"/>
          <w:color w:val="000000" w:themeColor="text1"/>
          <w:spacing w:val="-10"/>
          <w:sz w:val="32"/>
        </w:rPr>
      </w:pPr>
      <w:r>
        <w:rPr>
          <w:rFonts w:hint="eastAsia" w:ascii="楷体_GB2312" w:eastAsia="楷体_GB2312"/>
          <w:b/>
          <w:bCs/>
          <w:sz w:val="32"/>
        </w:rPr>
        <w:t>估价报告</w:t>
      </w:r>
      <w:r>
        <w:rPr>
          <w:rFonts w:hint="eastAsia" w:ascii="楷体_GB2312" w:eastAsia="楷体_GB2312"/>
          <w:b/>
          <w:bCs/>
          <w:color w:val="000000" w:themeColor="text1"/>
          <w:sz w:val="32"/>
        </w:rPr>
        <w:t xml:space="preserve">编号 ： </w:t>
      </w:r>
      <w:r>
        <w:rPr>
          <w:rFonts w:hint="eastAsia" w:ascii="楷体_GB2312" w:eastAsia="楷体_GB2312"/>
          <w:color w:val="000000" w:themeColor="text1"/>
          <w:spacing w:val="-10"/>
          <w:sz w:val="32"/>
        </w:rPr>
        <w:t>荣泰评房</w:t>
      </w:r>
      <w:r>
        <w:rPr>
          <w:rFonts w:hint="eastAsia" w:ascii="楷体_GB2312" w:eastAsia="楷体_GB2312"/>
          <w:color w:val="000000" w:themeColor="text1"/>
          <w:spacing w:val="-10"/>
          <w:sz w:val="32"/>
          <w:lang w:eastAsia="zh-CN"/>
        </w:rPr>
        <w:t>估</w:t>
      </w:r>
      <w:r>
        <w:rPr>
          <w:rFonts w:hint="eastAsia" w:ascii="宋体" w:hAnsi="宋体" w:eastAsia="宋体" w:cs="宋体"/>
          <w:sz w:val="32"/>
        </w:rPr>
        <w:t>﹝</w:t>
      </w:r>
      <w:r>
        <w:rPr>
          <w:rFonts w:hint="eastAsia" w:ascii="楷体_GB2312" w:eastAsia="楷体_GB2312"/>
          <w:sz w:val="32"/>
        </w:rPr>
        <w:t>2022</w:t>
      </w:r>
      <w:r>
        <w:rPr>
          <w:rFonts w:hint="eastAsia" w:ascii="宋体" w:hAnsi="宋体" w:eastAsia="宋体" w:cs="宋体"/>
          <w:sz w:val="32"/>
        </w:rPr>
        <w:t>﹞</w:t>
      </w:r>
      <w:r>
        <w:rPr>
          <w:rFonts w:hint="eastAsia" w:ascii="楷体_GB2312" w:hAnsi="楷体_GB2312" w:eastAsia="楷体_GB2312" w:cs="楷体_GB2312"/>
          <w:sz w:val="32"/>
        </w:rPr>
        <w:t>第</w:t>
      </w:r>
      <w:r>
        <w:rPr>
          <w:rFonts w:hint="eastAsia" w:ascii="楷体_GB2312" w:eastAsia="楷体_GB2312"/>
          <w:sz w:val="32"/>
        </w:rPr>
        <w:t>7-00</w:t>
      </w:r>
      <w:r>
        <w:rPr>
          <w:rFonts w:hint="eastAsia" w:ascii="楷体_GB2312" w:eastAsia="楷体_GB2312"/>
          <w:sz w:val="32"/>
          <w:lang w:val="en-US" w:eastAsia="zh-CN"/>
        </w:rPr>
        <w:t>3</w:t>
      </w:r>
      <w:r>
        <w:rPr>
          <w:rFonts w:hint="eastAsia" w:ascii="楷体_GB2312" w:eastAsia="楷体_GB2312"/>
          <w:color w:val="000000" w:themeColor="text1"/>
          <w:spacing w:val="-10"/>
          <w:sz w:val="32"/>
        </w:rPr>
        <w:t>号</w:t>
      </w:r>
    </w:p>
    <w:p>
      <w:pPr>
        <w:tabs>
          <w:tab w:val="left" w:pos="2880"/>
        </w:tabs>
        <w:spacing w:line="600" w:lineRule="exact"/>
        <w:ind w:left="3100" w:leftChars="100" w:hanging="2890" w:hangingChars="800"/>
        <w:rPr>
          <w:rFonts w:ascii="楷体_GB2312" w:eastAsia="楷体_GB2312"/>
          <w:color w:val="000000" w:themeColor="text1"/>
          <w:spacing w:val="-10"/>
          <w:sz w:val="32"/>
        </w:rPr>
      </w:pPr>
      <w:r>
        <w:rPr>
          <w:rFonts w:hint="eastAsia" w:ascii="楷体_GB2312" w:eastAsia="楷体_GB2312"/>
          <w:b/>
          <w:bCs/>
          <w:color w:val="000000" w:themeColor="text1"/>
          <w:spacing w:val="20"/>
          <w:sz w:val="32"/>
        </w:rPr>
        <w:t>估价项目名称 ：</w:t>
      </w:r>
      <w:r>
        <w:rPr>
          <w:rFonts w:hint="eastAsia" w:ascii="楷体_GB2312" w:eastAsia="楷体_GB2312"/>
          <w:color w:val="000000" w:themeColor="text1"/>
          <w:spacing w:val="-10"/>
          <w:sz w:val="32"/>
        </w:rPr>
        <w:t>辽宁省盘锦市中级人民法院因执行</w:t>
      </w:r>
      <w:r>
        <w:rPr>
          <w:rFonts w:hint="eastAsia" w:ascii="楷体_GB2312" w:eastAsia="楷体_GB2312"/>
          <w:color w:val="000000" w:themeColor="text1"/>
          <w:spacing w:val="-10"/>
          <w:sz w:val="32"/>
          <w:lang w:eastAsia="zh-CN"/>
        </w:rPr>
        <w:t>杨素香</w:t>
      </w:r>
      <w:r>
        <w:rPr>
          <w:rFonts w:hint="eastAsia" w:ascii="楷体_GB2312" w:eastAsia="楷体_GB2312"/>
          <w:color w:val="000000" w:themeColor="text1"/>
          <w:spacing w:val="-10"/>
          <w:sz w:val="32"/>
        </w:rPr>
        <w:t>申请执行</w:t>
      </w:r>
      <w:r>
        <w:rPr>
          <w:rFonts w:hint="eastAsia" w:ascii="楷体_GB2312" w:eastAsia="楷体_GB2312"/>
          <w:color w:val="000000" w:themeColor="text1"/>
          <w:spacing w:val="-10"/>
          <w:sz w:val="32"/>
          <w:lang w:eastAsia="zh-CN"/>
        </w:rPr>
        <w:t>盘锦天川房地产开发有限公司</w:t>
      </w:r>
      <w:r>
        <w:rPr>
          <w:rFonts w:hint="eastAsia" w:ascii="楷体_GB2312" w:eastAsia="楷体_GB2312"/>
          <w:color w:val="000000" w:themeColor="text1"/>
          <w:spacing w:val="-10"/>
          <w:sz w:val="32"/>
        </w:rPr>
        <w:t>一案所涉及的位于</w:t>
      </w:r>
      <w:r>
        <w:rPr>
          <w:rFonts w:hint="eastAsia" w:ascii="楷体_GB2312" w:eastAsia="楷体_GB2312"/>
          <w:color w:val="000000" w:themeColor="text1"/>
          <w:spacing w:val="-10"/>
          <w:sz w:val="32"/>
          <w:lang w:eastAsia="zh-CN"/>
        </w:rPr>
        <w:t>盘锦市兴隆台区惠宾街238号辽河路东万豪国际</w:t>
      </w:r>
      <w:r>
        <w:rPr>
          <w:rFonts w:hint="eastAsia" w:ascii="楷体_GB2312" w:eastAsia="楷体_GB2312"/>
          <w:color w:val="000000" w:themeColor="text1"/>
          <w:spacing w:val="-10"/>
          <w:sz w:val="32"/>
        </w:rPr>
        <w:t>的房地产市场价格评估</w:t>
      </w:r>
    </w:p>
    <w:p>
      <w:pPr>
        <w:spacing w:line="1400" w:lineRule="exact"/>
        <w:ind w:firstLine="161" w:firstLineChars="50"/>
        <w:rPr>
          <w:rFonts w:ascii="楷体_GB2312" w:eastAsia="楷体_GB2312"/>
          <w:color w:val="000000" w:themeColor="text1"/>
          <w:spacing w:val="-10"/>
          <w:sz w:val="32"/>
        </w:rPr>
      </w:pPr>
      <w:r>
        <w:rPr>
          <w:rFonts w:hint="eastAsia" w:ascii="楷体_GB2312" w:eastAsia="楷体_GB2312"/>
          <w:b/>
          <w:bCs/>
          <w:color w:val="000000" w:themeColor="text1"/>
          <w:sz w:val="32"/>
        </w:rPr>
        <w:t>估 价 委 托 人 ：</w:t>
      </w:r>
      <w:r>
        <w:rPr>
          <w:rFonts w:hint="eastAsia" w:ascii="楷体_GB2312" w:eastAsia="楷体_GB2312"/>
          <w:spacing w:val="-10"/>
          <w:sz w:val="32"/>
        </w:rPr>
        <w:t>辽宁省盘锦市中级人民法院</w:t>
      </w:r>
    </w:p>
    <w:p>
      <w:pPr>
        <w:spacing w:line="1400" w:lineRule="exact"/>
        <w:ind w:firstLine="161" w:firstLineChars="50"/>
        <w:rPr>
          <w:rFonts w:ascii="楷体_GB2312" w:eastAsia="楷体_GB2312"/>
          <w:color w:val="000000" w:themeColor="text1"/>
          <w:spacing w:val="-10"/>
          <w:sz w:val="32"/>
        </w:rPr>
      </w:pPr>
      <w:r>
        <w:rPr>
          <w:rFonts w:hint="eastAsia" w:ascii="楷体_GB2312" w:eastAsia="楷体_GB2312"/>
          <w:b/>
          <w:bCs/>
          <w:color w:val="000000" w:themeColor="text1"/>
          <w:sz w:val="32"/>
        </w:rPr>
        <w:t>房地产估价机构 ：</w:t>
      </w:r>
      <w:r>
        <w:rPr>
          <w:rFonts w:hint="eastAsia" w:ascii="楷体_GB2312" w:eastAsia="楷体_GB2312"/>
          <w:color w:val="000000" w:themeColor="text1"/>
          <w:spacing w:val="-10"/>
          <w:sz w:val="32"/>
        </w:rPr>
        <w:t>盘锦荣泰房地产土地评估有限责任公司</w:t>
      </w:r>
    </w:p>
    <w:p>
      <w:pPr>
        <w:spacing w:line="1400" w:lineRule="exact"/>
        <w:ind w:firstLine="161" w:firstLineChars="50"/>
        <w:rPr>
          <w:rFonts w:ascii="楷体_GB2312" w:eastAsia="楷体_GB2312"/>
          <w:sz w:val="32"/>
        </w:rPr>
      </w:pPr>
      <w:r>
        <w:rPr>
          <w:rFonts w:hint="eastAsia" w:ascii="楷体_GB2312" w:eastAsia="楷体_GB2312"/>
          <w:b/>
          <w:bCs/>
          <w:color w:val="000000" w:themeColor="text1"/>
          <w:sz w:val="32"/>
        </w:rPr>
        <w:t>注册房地产估价师 ：</w:t>
      </w:r>
      <w:r>
        <w:rPr>
          <w:rFonts w:hint="eastAsia" w:ascii="楷体_GB2312" w:eastAsia="楷体_GB2312"/>
          <w:spacing w:val="-10"/>
          <w:sz w:val="32"/>
          <w:lang w:eastAsia="zh-CN"/>
        </w:rPr>
        <w:t>张  锐</w:t>
      </w:r>
      <w:r>
        <w:rPr>
          <w:rFonts w:hint="eastAsia" w:ascii="楷体_GB2312" w:eastAsia="楷体_GB2312"/>
          <w:spacing w:val="-10"/>
          <w:sz w:val="32"/>
        </w:rPr>
        <w:t>（注册号：</w:t>
      </w:r>
      <w:r>
        <w:rPr>
          <w:rFonts w:hint="eastAsia" w:ascii="楷体_GB2312" w:eastAsia="楷体_GB2312"/>
          <w:spacing w:val="-10"/>
          <w:sz w:val="32"/>
          <w:lang w:eastAsia="zh-CN"/>
        </w:rPr>
        <w:t>2120130038</w:t>
      </w:r>
      <w:r>
        <w:rPr>
          <w:rFonts w:hint="eastAsia" w:ascii="楷体_GB2312" w:eastAsia="楷体_GB2312"/>
          <w:spacing w:val="-10"/>
          <w:sz w:val="32"/>
        </w:rPr>
        <w:t>）</w:t>
      </w:r>
      <w:r>
        <w:rPr>
          <w:rFonts w:hint="eastAsia" w:ascii="楷体_GB2312" w:eastAsia="楷体_GB2312"/>
          <w:sz w:val="32"/>
        </w:rPr>
        <w:t xml:space="preserve"> </w:t>
      </w:r>
    </w:p>
    <w:p>
      <w:pPr>
        <w:spacing w:line="800" w:lineRule="exact"/>
        <w:ind w:left="359" w:leftChars="171" w:firstLine="640"/>
        <w:rPr>
          <w:rFonts w:ascii="楷体_GB2312" w:eastAsia="楷体_GB2312"/>
          <w:b/>
          <w:bCs/>
          <w:color w:val="000000" w:themeColor="text1"/>
          <w:sz w:val="32"/>
        </w:rPr>
      </w:pPr>
      <w:r>
        <w:rPr>
          <w:rFonts w:hint="eastAsia" w:ascii="楷体_GB2312" w:eastAsia="楷体_GB2312"/>
          <w:sz w:val="32"/>
        </w:rPr>
        <w:t xml:space="preserve">   </w:t>
      </w:r>
      <w:r>
        <w:rPr>
          <w:rFonts w:hint="eastAsia" w:ascii="楷体_GB2312" w:eastAsia="楷体_GB2312"/>
          <w:spacing w:val="-10"/>
          <w:sz w:val="32"/>
        </w:rPr>
        <w:t xml:space="preserve">          </w:t>
      </w:r>
      <w:r>
        <w:rPr>
          <w:rFonts w:hint="eastAsia" w:ascii="楷体_GB2312" w:eastAsia="楷体_GB2312"/>
          <w:spacing w:val="-10"/>
          <w:sz w:val="32"/>
          <w:lang w:val="en-US" w:eastAsia="zh-CN"/>
        </w:rPr>
        <w:t xml:space="preserve"> </w:t>
      </w:r>
      <w:r>
        <w:rPr>
          <w:rFonts w:hint="eastAsia" w:ascii="楷体_GB2312" w:eastAsia="楷体_GB2312"/>
          <w:spacing w:val="-10"/>
          <w:sz w:val="32"/>
        </w:rPr>
        <w:t xml:space="preserve"> </w:t>
      </w:r>
      <w:r>
        <w:rPr>
          <w:rFonts w:hint="eastAsia" w:ascii="楷体_GB2312" w:eastAsia="楷体_GB2312"/>
          <w:spacing w:val="-10"/>
          <w:sz w:val="32"/>
          <w:lang w:eastAsia="zh-CN"/>
        </w:rPr>
        <w:t>杨应明</w:t>
      </w:r>
      <w:r>
        <w:rPr>
          <w:rFonts w:hint="eastAsia" w:ascii="楷体_GB2312" w:eastAsia="楷体_GB2312"/>
          <w:spacing w:val="-10"/>
          <w:sz w:val="32"/>
        </w:rPr>
        <w:t>（注册号：</w:t>
      </w:r>
      <w:r>
        <w:rPr>
          <w:rFonts w:hint="eastAsia" w:ascii="楷体_GB2312" w:eastAsia="楷体_GB2312"/>
          <w:spacing w:val="-10"/>
          <w:sz w:val="32"/>
          <w:lang w:eastAsia="zh-CN"/>
        </w:rPr>
        <w:t>2120180037</w:t>
      </w:r>
      <w:r>
        <w:rPr>
          <w:rFonts w:hint="eastAsia" w:ascii="楷体_GB2312" w:eastAsia="楷体_GB2312"/>
          <w:spacing w:val="-10"/>
          <w:sz w:val="32"/>
        </w:rPr>
        <w:t>）</w:t>
      </w:r>
    </w:p>
    <w:p>
      <w:pPr>
        <w:spacing w:line="1100" w:lineRule="exact"/>
        <w:ind w:firstLine="161" w:firstLineChars="50"/>
        <w:rPr>
          <w:rFonts w:ascii="黑体" w:eastAsia="黑体"/>
          <w:b/>
          <w:bCs/>
          <w:color w:val="000000" w:themeColor="text1"/>
          <w:spacing w:val="40"/>
          <w:sz w:val="32"/>
        </w:rPr>
        <w:sectPr>
          <w:headerReference r:id="rId4" w:type="first"/>
          <w:headerReference r:id="rId3" w:type="default"/>
          <w:footerReference r:id="rId5" w:type="default"/>
          <w:pgSz w:w="11906" w:h="16838"/>
          <w:pgMar w:top="1418" w:right="1021" w:bottom="1418" w:left="1531" w:header="851" w:footer="1077" w:gutter="0"/>
          <w:pgNumType w:start="1"/>
          <w:cols w:space="425" w:num="1"/>
          <w:titlePg/>
          <w:docGrid w:type="lines" w:linePitch="312" w:charSpace="0"/>
        </w:sectPr>
      </w:pPr>
      <w:r>
        <w:rPr>
          <w:rFonts w:hint="eastAsia" w:ascii="楷体_GB2312" w:eastAsia="楷体_GB2312"/>
          <w:b/>
          <w:bCs/>
          <w:color w:val="000000" w:themeColor="text1"/>
          <w:sz w:val="32"/>
        </w:rPr>
        <w:t>估价报告出具日期：</w:t>
      </w:r>
      <w:r>
        <w:rPr>
          <w:rFonts w:hint="eastAsia" w:ascii="楷体_GB2312" w:eastAsia="楷体_GB2312"/>
          <w:color w:val="auto"/>
          <w:spacing w:val="-10"/>
          <w:sz w:val="32"/>
          <w:lang w:eastAsia="zh-CN"/>
        </w:rPr>
        <w:t>二〇二二年三月七日</w:t>
      </w:r>
      <w:r>
        <w:rPr>
          <w:rFonts w:ascii="黑体" w:eastAsia="黑体"/>
          <w:b/>
          <w:bCs/>
          <w:color w:val="000000" w:themeColor="text1"/>
          <w:spacing w:val="40"/>
          <w:sz w:val="32"/>
        </w:rPr>
        <w:br w:type="page"/>
      </w:r>
    </w:p>
    <w:p>
      <w:pPr>
        <w:keepNext w:val="0"/>
        <w:keepLines w:val="0"/>
        <w:pageBreakBefore w:val="0"/>
        <w:widowControl/>
        <w:kinsoku/>
        <w:wordWrap/>
        <w:overflowPunct/>
        <w:topLinePunct w:val="0"/>
        <w:autoSpaceDE/>
        <w:autoSpaceDN/>
        <w:bidi w:val="0"/>
        <w:adjustRightInd/>
        <w:snapToGrid/>
        <w:spacing w:line="300" w:lineRule="exact"/>
        <w:ind w:firstLine="3009" w:firstLineChars="750"/>
        <w:jc w:val="left"/>
        <w:textAlignment w:val="auto"/>
        <w:rPr>
          <w:rFonts w:hint="eastAsia" w:ascii="黑体" w:eastAsia="黑体"/>
          <w:b/>
          <w:bCs/>
          <w:spacing w:val="40"/>
          <w:sz w:val="32"/>
        </w:rPr>
      </w:pPr>
    </w:p>
    <w:p>
      <w:pPr>
        <w:widowControl/>
        <w:ind w:firstLine="3009" w:firstLineChars="750"/>
        <w:jc w:val="left"/>
        <w:rPr>
          <w:rFonts w:ascii="楷体_GB2312" w:eastAsia="楷体_GB2312"/>
          <w:b/>
          <w:bCs/>
          <w:sz w:val="32"/>
        </w:rPr>
      </w:pPr>
      <w:r>
        <w:rPr>
          <w:rFonts w:hint="eastAsia" w:ascii="黑体" w:eastAsia="黑体"/>
          <w:b/>
          <w:bCs/>
          <w:spacing w:val="40"/>
          <w:sz w:val="32"/>
        </w:rPr>
        <w:t>致估价委托人函</w:t>
      </w:r>
    </w:p>
    <w:p>
      <w:pPr>
        <w:tabs>
          <w:tab w:val="left" w:pos="1260"/>
        </w:tabs>
        <w:spacing w:line="620" w:lineRule="exact"/>
        <w:rPr>
          <w:rFonts w:ascii="仿宋_GB2312" w:eastAsia="仿宋_GB2312"/>
          <w:b/>
          <w:bCs/>
          <w:color w:val="000000" w:themeColor="text1"/>
          <w:sz w:val="32"/>
        </w:rPr>
      </w:pPr>
      <w:r>
        <w:rPr>
          <w:rFonts w:hint="eastAsia" w:ascii="楷体_GB2312" w:eastAsia="楷体_GB2312"/>
          <w:b/>
          <w:bCs/>
          <w:sz w:val="32"/>
        </w:rPr>
        <w:t>辽宁省盘锦市中级人民法院</w:t>
      </w:r>
      <w:r>
        <w:rPr>
          <w:rFonts w:hint="eastAsia" w:ascii="仿宋_GB2312" w:eastAsia="仿宋_GB2312"/>
          <w:b/>
          <w:bCs/>
          <w:color w:val="000000" w:themeColor="text1"/>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我公司受贵院的委托，秉承独立客观公正原则，安排公司注册房地产估价师组成专门小组，按照国家规定的技术标准和程序，认真进行了位于</w:t>
      </w:r>
      <w:r>
        <w:rPr>
          <w:rFonts w:hint="eastAsia" w:ascii="仿宋_GB2312" w:eastAsia="仿宋_GB2312"/>
          <w:color w:val="000000" w:themeColor="text1"/>
          <w:spacing w:val="-4"/>
          <w:sz w:val="28"/>
          <w:lang w:eastAsia="zh-CN"/>
        </w:rPr>
        <w:t>盘锦市兴隆台区惠宾街238号辽河路东万豪国际</w:t>
      </w:r>
      <w:r>
        <w:rPr>
          <w:rFonts w:hint="eastAsia" w:ascii="仿宋_GB2312" w:eastAsia="仿宋_GB2312"/>
          <w:color w:val="000000" w:themeColor="text1"/>
          <w:spacing w:val="-4"/>
          <w:sz w:val="28"/>
        </w:rPr>
        <w:t>房地产的实地查勘与深入市场调查，经全面研究、分析、测算后，已形成房地产估价报告、估价结论与估价结果，现将估价基本情况与估价结果报告如下。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仿宋_GB2312" w:eastAsia="仿宋_GB2312"/>
          <w:b/>
          <w:bCs/>
          <w:color w:val="000000" w:themeColor="text1"/>
          <w:spacing w:val="-4"/>
          <w:sz w:val="28"/>
        </w:rPr>
      </w:pPr>
      <w:r>
        <w:rPr>
          <w:rFonts w:hint="eastAsia" w:ascii="仿宋_GB2312" w:eastAsia="仿宋_GB2312"/>
          <w:b/>
          <w:bCs/>
          <w:color w:val="000000" w:themeColor="text1"/>
          <w:spacing w:val="-4"/>
          <w:sz w:val="28"/>
        </w:rPr>
        <w:t>估价目的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color w:val="000000" w:themeColor="text1"/>
          <w:spacing w:val="-4"/>
          <w:sz w:val="28"/>
        </w:rPr>
      </w:pPr>
      <w:r>
        <w:rPr>
          <w:rFonts w:hint="eastAsia" w:ascii="仿宋" w:hAnsi="仿宋" w:eastAsia="仿宋" w:cs="仿宋_GB2312"/>
          <w:color w:val="000000"/>
          <w:sz w:val="28"/>
          <w:szCs w:val="28"/>
        </w:rPr>
        <w:t>为人民法院确定财产处置参考价提供参考依据</w:t>
      </w:r>
      <w:r>
        <w:rPr>
          <w:rFonts w:hint="eastAsia" w:ascii="仿宋" w:hAnsi="仿宋" w:eastAsia="仿宋" w:cs="仿宋_GB2312"/>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仿宋_GB2312" w:eastAsia="仿宋_GB2312"/>
          <w:b/>
          <w:bCs/>
          <w:color w:val="000000" w:themeColor="text1"/>
          <w:sz w:val="28"/>
        </w:rPr>
      </w:pPr>
      <w:r>
        <w:rPr>
          <w:rFonts w:hint="eastAsia" w:ascii="仿宋_GB2312" w:eastAsia="仿宋_GB2312"/>
          <w:b/>
          <w:bCs/>
          <w:color w:val="000000" w:themeColor="text1"/>
          <w:sz w:val="28"/>
        </w:rPr>
        <w:t>估价对象</w:t>
      </w:r>
    </w:p>
    <w:tbl>
      <w:tblPr>
        <w:tblStyle w:val="15"/>
        <w:tblW w:w="0" w:type="auto"/>
        <w:tblInd w:w="5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72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财产范围</w:t>
            </w:r>
          </w:p>
        </w:tc>
        <w:tc>
          <w:tcPr>
            <w:tcW w:w="722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pacing w:val="4"/>
                <w:sz w:val="28"/>
              </w:rPr>
            </w:pPr>
            <w:r>
              <w:rPr>
                <w:rFonts w:hint="eastAsia" w:ascii="仿宋_GB2312" w:eastAsia="仿宋_GB2312"/>
                <w:color w:val="000000" w:themeColor="text1"/>
                <w:sz w:val="28"/>
              </w:rPr>
              <w:t>房屋所有权及应合理分摊的国有建设用地使用权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坐落及名称</w:t>
            </w:r>
          </w:p>
        </w:tc>
        <w:tc>
          <w:tcPr>
            <w:tcW w:w="722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lang w:eastAsia="zh-CN"/>
              </w:rPr>
              <w:t>盘锦市兴隆台区惠宾街238号辽河路东万豪国际</w:t>
            </w:r>
            <w:r>
              <w:rPr>
                <w:rFonts w:hint="eastAsia" w:ascii="仿宋_GB2312" w:eastAsia="仿宋_GB2312"/>
                <w:color w:val="000000" w:themeColor="text1"/>
                <w:spacing w:val="-4"/>
                <w:sz w:val="28"/>
              </w:rPr>
              <w:t>（具体详情请见《</w:t>
            </w:r>
            <w:r>
              <w:rPr>
                <w:rFonts w:hint="eastAsia" w:ascii="仿宋_GB2312" w:eastAsia="仿宋_GB2312"/>
                <w:color w:val="000000" w:themeColor="text1"/>
                <w:spacing w:val="-4"/>
                <w:sz w:val="28"/>
                <w:lang w:eastAsia="zh-CN"/>
              </w:rPr>
              <w:t>网签业务明细表</w:t>
            </w:r>
            <w:r>
              <w:rPr>
                <w:rFonts w:hint="eastAsia" w:ascii="仿宋_GB2312" w:eastAsia="仿宋_GB2312"/>
                <w:color w:val="000000" w:themeColor="text1"/>
                <w:spacing w:val="-4"/>
                <w:sz w:val="28"/>
              </w:rPr>
              <w:t>》</w:t>
            </w:r>
            <w:r>
              <w:rPr>
                <w:rFonts w:hint="eastAsia" w:ascii="仿宋_GB2312" w:eastAsia="仿宋_GB2312"/>
                <w:color w:val="000000" w:themeColor="text1"/>
                <w:spacing w:val="-4"/>
                <w:sz w:val="28"/>
                <w:lang w:eastAsia="zh-CN"/>
              </w:rPr>
              <w:t>及</w:t>
            </w:r>
            <w:r>
              <w:rPr>
                <w:rFonts w:hint="eastAsia" w:ascii="仿宋_GB2312" w:eastAsia="仿宋_GB2312"/>
                <w:sz w:val="28"/>
              </w:rPr>
              <w:t>《司法鉴定评估委托书》（</w:t>
            </w:r>
            <w:r>
              <w:rPr>
                <w:rFonts w:hint="eastAsia" w:ascii="仿宋_GB2312" w:eastAsia="仿宋_GB2312"/>
                <w:sz w:val="28"/>
                <w:lang w:eastAsia="zh-CN"/>
              </w:rPr>
              <w:t>（2022）辽11委字第00037号</w:t>
            </w:r>
            <w:r>
              <w:rPr>
                <w:rFonts w:hint="eastAsia" w:ascii="仿宋_GB2312" w:eastAsia="仿宋_GB2312"/>
                <w:sz w:val="28"/>
              </w:rPr>
              <w:t>）</w:t>
            </w:r>
            <w:r>
              <w:rPr>
                <w:rFonts w:hint="eastAsia" w:ascii="仿宋_GB2312" w:eastAsia="仿宋_GB2312"/>
                <w:color w:val="000000" w:themeColor="text1"/>
                <w:spacing w:val="-4"/>
                <w:sz w:val="2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规模</w:t>
            </w:r>
          </w:p>
        </w:tc>
        <w:tc>
          <w:tcPr>
            <w:tcW w:w="722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房屋总建筑面积为</w:t>
            </w:r>
            <w:r>
              <w:rPr>
                <w:rFonts w:hint="eastAsia" w:ascii="仿宋_GB2312" w:eastAsia="仿宋_GB2312"/>
                <w:color w:val="000000" w:themeColor="text1"/>
                <w:spacing w:val="4"/>
                <w:sz w:val="28"/>
                <w:lang w:eastAsia="zh-CN"/>
              </w:rPr>
              <w:t>501.65</w:t>
            </w:r>
            <w:r>
              <w:rPr>
                <w:rFonts w:hint="eastAsia" w:ascii="仿宋_GB2312" w:eastAsia="仿宋_GB2312"/>
                <w:color w:val="000000" w:themeColor="text1"/>
                <w:spacing w:val="4"/>
                <w:sz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用途</w:t>
            </w:r>
          </w:p>
        </w:tc>
        <w:tc>
          <w:tcPr>
            <w:tcW w:w="722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pacing w:val="4"/>
                <w:sz w:val="28"/>
              </w:rPr>
            </w:pPr>
            <w:r>
              <w:rPr>
                <w:rFonts w:hint="eastAsia" w:ascii="仿宋_GB2312" w:eastAsia="仿宋_GB2312"/>
                <w:spacing w:val="4"/>
                <w:sz w:val="28"/>
              </w:rPr>
              <w:t>用途为住宅</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仿宋_GB2312" w:eastAsia="仿宋_GB2312"/>
          <w:b/>
          <w:bCs/>
          <w:color w:val="000000" w:themeColor="text1"/>
          <w:sz w:val="28"/>
        </w:rPr>
      </w:pPr>
      <w:r>
        <w:rPr>
          <w:rFonts w:hint="eastAsia" w:ascii="仿宋_GB2312" w:eastAsia="仿宋_GB2312"/>
          <w:b/>
          <w:bCs/>
          <w:color w:val="000000" w:themeColor="text1"/>
          <w:sz w:val="28"/>
        </w:rPr>
        <w:t>价值时点</w:t>
      </w:r>
    </w:p>
    <w:p>
      <w:pPr>
        <w:keepNext w:val="0"/>
        <w:keepLines w:val="0"/>
        <w:pageBreakBefore w:val="0"/>
        <w:widowControl w:val="0"/>
        <w:kinsoku/>
        <w:wordWrap/>
        <w:overflowPunct/>
        <w:topLinePunct w:val="0"/>
        <w:autoSpaceDE/>
        <w:autoSpaceDN/>
        <w:bidi w:val="0"/>
        <w:adjustRightInd/>
        <w:snapToGrid/>
        <w:spacing w:line="560" w:lineRule="exact"/>
        <w:ind w:left="544"/>
        <w:textAlignment w:val="auto"/>
        <w:rPr>
          <w:rFonts w:hint="eastAsia" w:ascii="仿宋_GB2312" w:eastAsia="仿宋_GB2312"/>
          <w:b/>
          <w:bCs/>
          <w:color w:val="FF0000"/>
          <w:sz w:val="28"/>
          <w:lang w:eastAsia="zh-CN"/>
        </w:rPr>
      </w:pPr>
      <w:r>
        <w:rPr>
          <w:rFonts w:hint="eastAsia" w:ascii="仿宋_GB2312" w:eastAsia="仿宋_GB2312"/>
          <w:sz w:val="28"/>
          <w:lang w:eastAsia="zh-CN"/>
        </w:rPr>
        <w:t>二〇二二年二月二十一日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仿宋_GB2312" w:eastAsia="仿宋_GB2312"/>
          <w:b/>
          <w:bCs/>
          <w:sz w:val="28"/>
        </w:rPr>
      </w:pPr>
      <w:r>
        <w:rPr>
          <w:rFonts w:hint="eastAsia" w:ascii="仿宋_GB2312" w:eastAsia="仿宋_GB2312"/>
          <w:b/>
          <w:bCs/>
          <w:sz w:val="28"/>
        </w:rPr>
        <w:t>价值类型</w:t>
      </w:r>
    </w:p>
    <w:p>
      <w:pPr>
        <w:keepNext w:val="0"/>
        <w:keepLines w:val="0"/>
        <w:pageBreakBefore w:val="0"/>
        <w:widowControl w:val="0"/>
        <w:kinsoku/>
        <w:wordWrap/>
        <w:overflowPunct/>
        <w:topLinePunct w:val="0"/>
        <w:autoSpaceDE/>
        <w:autoSpaceDN/>
        <w:bidi w:val="0"/>
        <w:adjustRightInd/>
        <w:snapToGrid/>
        <w:spacing w:line="560" w:lineRule="exact"/>
        <w:ind w:left="544"/>
        <w:textAlignment w:val="auto"/>
        <w:rPr>
          <w:rFonts w:eastAsia="仿宋_GB2312"/>
          <w:sz w:val="28"/>
        </w:rPr>
      </w:pPr>
      <w:r>
        <w:rPr>
          <w:rFonts w:hint="eastAsia" w:eastAsia="仿宋_GB2312"/>
          <w:sz w:val="28"/>
        </w:rPr>
        <w:t>市场价格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仿宋_GB2312" w:eastAsia="仿宋_GB2312"/>
          <w:b/>
          <w:bCs/>
          <w:sz w:val="28"/>
        </w:rPr>
      </w:pPr>
      <w:r>
        <w:rPr>
          <w:rFonts w:hint="eastAsia" w:ascii="仿宋_GB2312" w:eastAsia="仿宋_GB2312"/>
          <w:b/>
          <w:bCs/>
          <w:spacing w:val="-4"/>
          <w:sz w:val="28"/>
        </w:rPr>
        <w:t>估价方法</w:t>
      </w:r>
    </w:p>
    <w:p>
      <w:pPr>
        <w:keepNext w:val="0"/>
        <w:keepLines w:val="0"/>
        <w:pageBreakBefore w:val="0"/>
        <w:widowControl w:val="0"/>
        <w:kinsoku/>
        <w:wordWrap/>
        <w:overflowPunct/>
        <w:topLinePunct w:val="0"/>
        <w:autoSpaceDE/>
        <w:autoSpaceDN/>
        <w:bidi w:val="0"/>
        <w:adjustRightInd/>
        <w:snapToGrid/>
        <w:spacing w:line="560" w:lineRule="exact"/>
        <w:ind w:left="544"/>
        <w:textAlignment w:val="auto"/>
        <w:rPr>
          <w:rFonts w:ascii="仿宋_GB2312" w:eastAsia="仿宋_GB2312"/>
          <w:b/>
          <w:bCs/>
          <w:sz w:val="28"/>
        </w:rPr>
      </w:pPr>
      <w:r>
        <w:rPr>
          <w:rFonts w:hint="eastAsia" w:ascii="仿宋_GB2312" w:eastAsia="仿宋_GB2312"/>
          <w:sz w:val="28"/>
        </w:rPr>
        <w:t>比较法、成本法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仿宋_GB2312" w:eastAsia="仿宋_GB2312"/>
          <w:b/>
          <w:bCs/>
          <w:sz w:val="28"/>
        </w:rPr>
      </w:pPr>
      <w:r>
        <w:rPr>
          <w:rFonts w:hint="eastAsia" w:ascii="仿宋_GB2312" w:eastAsia="仿宋_GB2312"/>
          <w:b/>
          <w:bCs/>
          <w:sz w:val="28"/>
        </w:rPr>
        <w:t>估价结果</w:t>
      </w:r>
    </w:p>
    <w:p>
      <w:pPr>
        <w:tabs>
          <w:tab w:val="left" w:pos="4880"/>
        </w:tabs>
        <w:spacing w:line="560" w:lineRule="exact"/>
        <w:jc w:val="center"/>
        <w:rPr>
          <w:rFonts w:ascii="仿宋_GB2312" w:eastAsia="仿宋_GB2312"/>
          <w:color w:val="000000" w:themeColor="text1"/>
          <w:sz w:val="28"/>
        </w:rPr>
      </w:pPr>
      <w:r>
        <w:rPr>
          <w:rFonts w:hint="eastAsia" w:ascii="仿宋_GB2312" w:eastAsia="仿宋_GB2312"/>
          <w:b/>
          <w:sz w:val="30"/>
          <w:szCs w:val="28"/>
        </w:rPr>
        <w:t>房地产价格评估结果一览表</w:t>
      </w:r>
    </w:p>
    <w:tbl>
      <w:tblPr>
        <w:tblStyle w:val="16"/>
        <w:tblW w:w="10046"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2"/>
        <w:gridCol w:w="1575"/>
        <w:gridCol w:w="1307"/>
        <w:gridCol w:w="1704"/>
        <w:gridCol w:w="1642"/>
        <w:gridCol w:w="1134"/>
        <w:gridCol w:w="176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9" w:hRule="atLeast"/>
          <w:jc w:val="center"/>
        </w:trPr>
        <w:tc>
          <w:tcPr>
            <w:tcW w:w="922" w:type="dxa"/>
            <w:tcBorders>
              <w:top w:val="double" w:color="auto"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序号</w:t>
            </w:r>
          </w:p>
        </w:tc>
        <w:tc>
          <w:tcPr>
            <w:tcW w:w="1575" w:type="dxa"/>
            <w:tcBorders>
              <w:top w:val="double" w:color="auto" w:sz="4" w:space="0"/>
              <w:left w:val="single" w:color="000000" w:themeColor="text1" w:sz="4" w:space="0"/>
              <w:bottom w:val="single" w:color="000000" w:themeColor="text1" w:sz="4" w:space="0"/>
              <w:right w:val="sing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 xml:space="preserve">估价 </w:t>
            </w:r>
          </w:p>
          <w:p>
            <w:pPr>
              <w:spacing w:line="240" w:lineRule="exact"/>
              <w:jc w:val="center"/>
              <w:rPr>
                <w:rFonts w:ascii="仿宋_GB2312" w:eastAsia="仿宋_GB2312"/>
                <w:b/>
                <w:sz w:val="24"/>
                <w:szCs w:val="24"/>
              </w:rPr>
            </w:pPr>
            <w:r>
              <w:rPr>
                <w:rFonts w:hint="eastAsia" w:ascii="仿宋_GB2312" w:eastAsia="仿宋_GB2312"/>
                <w:b/>
                <w:sz w:val="24"/>
                <w:szCs w:val="24"/>
              </w:rPr>
              <w:t>对象</w:t>
            </w:r>
          </w:p>
        </w:tc>
        <w:tc>
          <w:tcPr>
            <w:tcW w:w="1307" w:type="dxa"/>
            <w:tcBorders>
              <w:top w:val="double" w:color="auto" w:sz="4" w:space="0"/>
              <w:left w:val="single" w:color="auto" w:sz="4" w:space="0"/>
              <w:bottom w:val="single" w:color="000000" w:themeColor="text1" w:sz="4" w:space="0"/>
              <w:right w:val="sing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结构</w:t>
            </w:r>
          </w:p>
        </w:tc>
        <w:tc>
          <w:tcPr>
            <w:tcW w:w="1704" w:type="dxa"/>
            <w:tcBorders>
              <w:top w:val="double" w:color="auto" w:sz="4" w:space="0"/>
              <w:left w:val="single" w:color="auto" w:sz="4" w:space="0"/>
              <w:bottom w:val="single" w:color="000000" w:themeColor="text1" w:sz="4" w:space="0"/>
              <w:right w:val="sing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所在层数/总层数</w:t>
            </w:r>
          </w:p>
        </w:tc>
        <w:tc>
          <w:tcPr>
            <w:tcW w:w="1642" w:type="dxa"/>
            <w:tcBorders>
              <w:top w:val="double" w:color="auto" w:sz="4" w:space="0"/>
              <w:left w:val="sing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面积</w:t>
            </w:r>
          </w:p>
          <w:p>
            <w:pPr>
              <w:spacing w:line="240" w:lineRule="exact"/>
              <w:jc w:val="center"/>
              <w:rPr>
                <w:rFonts w:ascii="仿宋_GB2312" w:eastAsia="仿宋_GB2312"/>
                <w:b/>
                <w:sz w:val="24"/>
                <w:szCs w:val="24"/>
              </w:rPr>
            </w:pPr>
            <w:r>
              <w:rPr>
                <w:rFonts w:hint="eastAsia" w:ascii="仿宋_GB2312" w:eastAsia="仿宋_GB2312"/>
                <w:b/>
                <w:sz w:val="24"/>
                <w:szCs w:val="24"/>
              </w:rPr>
              <w:t>（平方米）</w:t>
            </w:r>
          </w:p>
        </w:tc>
        <w:tc>
          <w:tcPr>
            <w:tcW w:w="1134" w:type="dxa"/>
            <w:tcBorders>
              <w:top w:val="double" w:color="auto"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单价</w:t>
            </w:r>
          </w:p>
          <w:p>
            <w:pPr>
              <w:spacing w:line="240" w:lineRule="exact"/>
              <w:jc w:val="center"/>
              <w:rPr>
                <w:rFonts w:ascii="仿宋_GB2312" w:eastAsia="仿宋_GB2312"/>
                <w:b/>
                <w:sz w:val="24"/>
                <w:szCs w:val="24"/>
              </w:rPr>
            </w:pPr>
            <w:r>
              <w:rPr>
                <w:rFonts w:hint="eastAsia" w:ascii="仿宋_GB2312" w:eastAsia="仿宋_GB2312"/>
                <w:b/>
                <w:sz w:val="24"/>
                <w:szCs w:val="24"/>
              </w:rPr>
              <w:t>（元/平方米）</w:t>
            </w:r>
          </w:p>
        </w:tc>
        <w:tc>
          <w:tcPr>
            <w:tcW w:w="1762" w:type="dxa"/>
            <w:tcBorders>
              <w:top w:val="double" w:color="auto"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总价（元）</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1-502</w:t>
            </w: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5/34</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 xml:space="preserve">35.50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3470</w:t>
            </w:r>
          </w:p>
        </w:tc>
        <w:tc>
          <w:tcPr>
            <w:tcW w:w="1762" w:type="dxa"/>
            <w:tcBorders>
              <w:top w:val="single" w:color="000000" w:themeColor="text1"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123,185.00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1-503</w:t>
            </w: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5/34</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 xml:space="preserve">37.96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4338</w:t>
            </w:r>
          </w:p>
        </w:tc>
        <w:tc>
          <w:tcPr>
            <w:tcW w:w="1762" w:type="dxa"/>
            <w:tcBorders>
              <w:top w:val="single" w:color="000000" w:themeColor="text1"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164,670.00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1-701</w:t>
            </w: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7/34</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34.52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3470</w:t>
            </w:r>
          </w:p>
        </w:tc>
        <w:tc>
          <w:tcPr>
            <w:tcW w:w="1762" w:type="dxa"/>
            <w:tcBorders>
              <w:top w:val="single" w:color="000000" w:themeColor="text1"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119,784.00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1-708</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40.27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4338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174,691.00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1-1209</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40.59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4472</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181,518.00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6</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1-1211</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78.41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4383</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343,671.00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7</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1-1213</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36.55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130,776.00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1-1214</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26.77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3649</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97,684.00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1-1401</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14/34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34.52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123,513.00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10</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1-1710</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38.81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4472</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173,558.00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11</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1-1714</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26.77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3649</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97,684.00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12</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1-1716</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35.50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127,019.00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1-1902</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19/34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35.48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126,947.00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5508" w:type="dxa"/>
            <w:gridSpan w:val="4"/>
            <w:tcBorders>
              <w:top w:val="single" w:color="auto" w:sz="4" w:space="0"/>
              <w:left w:val="double" w:color="auto" w:sz="4" w:space="0"/>
              <w:bottom w:val="double" w:color="auto" w:sz="4" w:space="0"/>
              <w:right w:val="sing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t>合  计</w:t>
            </w:r>
          </w:p>
        </w:tc>
        <w:tc>
          <w:tcPr>
            <w:tcW w:w="1642" w:type="dxa"/>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fldChar w:fldCharType="begin"/>
            </w:r>
            <w:r>
              <w:rPr>
                <w:rFonts w:hint="eastAsia" w:ascii="仿宋_GB2312" w:eastAsia="仿宋_GB2312"/>
                <w:b/>
                <w:bCs/>
                <w:sz w:val="18"/>
                <w:szCs w:val="18"/>
                <w:lang w:val="en-US" w:eastAsia="zh-CN"/>
              </w:rPr>
              <w:instrText xml:space="preserve"> =SUM(ABOVE) </w:instrText>
            </w:r>
            <w:r>
              <w:rPr>
                <w:rFonts w:hint="eastAsia" w:ascii="仿宋_GB2312" w:eastAsia="仿宋_GB2312"/>
                <w:b/>
                <w:bCs/>
                <w:sz w:val="18"/>
                <w:szCs w:val="18"/>
                <w:lang w:val="en-US" w:eastAsia="zh-CN"/>
              </w:rPr>
              <w:fldChar w:fldCharType="separate"/>
            </w:r>
            <w:r>
              <w:rPr>
                <w:rFonts w:hint="eastAsia" w:ascii="仿宋_GB2312" w:eastAsia="仿宋_GB2312"/>
                <w:b/>
                <w:bCs/>
                <w:sz w:val="18"/>
                <w:szCs w:val="18"/>
                <w:lang w:val="en-US" w:eastAsia="zh-CN"/>
              </w:rPr>
              <w:t>501.65</w:t>
            </w:r>
            <w:r>
              <w:rPr>
                <w:rFonts w:hint="eastAsia" w:ascii="仿宋_GB2312" w:eastAsia="仿宋_GB2312"/>
                <w:b/>
                <w:bCs/>
                <w:sz w:val="18"/>
                <w:szCs w:val="18"/>
                <w:lang w:val="en-US" w:eastAsia="zh-CN"/>
              </w:rPr>
              <w:fldChar w:fldCharType="end"/>
            </w:r>
          </w:p>
        </w:tc>
        <w:tc>
          <w:tcPr>
            <w:tcW w:w="1134" w:type="dxa"/>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t>/</w:t>
            </w:r>
          </w:p>
        </w:tc>
        <w:tc>
          <w:tcPr>
            <w:tcW w:w="1762" w:type="dxa"/>
            <w:tcBorders>
              <w:top w:val="single" w:color="auto" w:sz="4" w:space="0"/>
              <w:left w:val="single" w:color="auto" w:sz="4" w:space="0"/>
              <w:bottom w:val="double" w:color="auto" w:sz="4" w:space="0"/>
              <w:right w:val="doub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t xml:space="preserve">1,984,700.00 </w:t>
            </w:r>
          </w:p>
        </w:tc>
      </w:tr>
    </w:tbl>
    <w:p>
      <w:pPr>
        <w:keepNext w:val="0"/>
        <w:keepLines w:val="0"/>
        <w:pageBreakBefore w:val="0"/>
        <w:widowControl w:val="0"/>
        <w:kinsoku/>
        <w:wordWrap/>
        <w:overflowPunct/>
        <w:topLinePunct w:val="0"/>
        <w:autoSpaceDE/>
        <w:autoSpaceDN/>
        <w:bidi w:val="0"/>
        <w:adjustRightInd/>
        <w:snapToGrid/>
        <w:spacing w:line="480" w:lineRule="exact"/>
        <w:ind w:left="544"/>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大   写：</w:t>
      </w:r>
      <w:r>
        <w:rPr>
          <w:rFonts w:hint="eastAsia" w:ascii="仿宋_GB2312" w:eastAsia="仿宋_GB2312"/>
          <w:color w:val="000000" w:themeColor="text1"/>
          <w:spacing w:val="-4"/>
          <w:sz w:val="28"/>
          <w:lang w:eastAsia="zh-CN"/>
        </w:rPr>
        <w:t>壹佰玖拾捌万肆仟柒佰</w:t>
      </w:r>
      <w:r>
        <w:rPr>
          <w:rFonts w:hint="eastAsia" w:ascii="仿宋_GB2312" w:eastAsia="仿宋_GB2312"/>
          <w:color w:val="000000" w:themeColor="text1"/>
          <w:spacing w:val="-4"/>
          <w:sz w:val="28"/>
        </w:rPr>
        <w:t>元整</w:t>
      </w:r>
    </w:p>
    <w:p>
      <w:pPr>
        <w:keepNext w:val="0"/>
        <w:keepLines w:val="0"/>
        <w:pageBreakBefore w:val="0"/>
        <w:widowControl w:val="0"/>
        <w:kinsoku/>
        <w:wordWrap/>
        <w:overflowPunct/>
        <w:topLinePunct w:val="0"/>
        <w:autoSpaceDE/>
        <w:autoSpaceDN/>
        <w:bidi w:val="0"/>
        <w:adjustRightInd/>
        <w:snapToGrid/>
        <w:spacing w:line="480" w:lineRule="exact"/>
        <w:ind w:left="544"/>
        <w:textAlignment w:val="auto"/>
        <w:rPr>
          <w:rFonts w:ascii="仿宋_GB2312" w:eastAsia="仿宋_GB2312"/>
          <w:color w:val="000000" w:themeColor="text1"/>
          <w:spacing w:val="-4"/>
          <w:sz w:val="28"/>
        </w:rPr>
      </w:pPr>
      <w:r>
        <w:rPr>
          <w:rFonts w:hint="eastAsia" w:ascii="仿宋_GB2312" w:eastAsia="仿宋_GB2312"/>
          <w:color w:val="000000" w:themeColor="text1"/>
          <w:spacing w:val="-4"/>
          <w:sz w:val="28"/>
        </w:rPr>
        <w:t>币   种：人民币</w:t>
      </w:r>
    </w:p>
    <w:p>
      <w:pPr>
        <w:keepNext w:val="0"/>
        <w:keepLines w:val="0"/>
        <w:pageBreakBefore w:val="0"/>
        <w:widowControl w:val="0"/>
        <w:kinsoku/>
        <w:wordWrap/>
        <w:overflowPunct/>
        <w:topLinePunct w:val="0"/>
        <w:autoSpaceDE/>
        <w:autoSpaceDN/>
        <w:bidi w:val="0"/>
        <w:adjustRightInd/>
        <w:snapToGrid/>
        <w:spacing w:line="480" w:lineRule="exact"/>
        <w:ind w:left="544"/>
        <w:textAlignment w:val="auto"/>
        <w:rPr>
          <w:rFonts w:ascii="仿宋_GB2312" w:eastAsia="仿宋_GB2312"/>
          <w:b/>
          <w:bCs/>
          <w:sz w:val="28"/>
        </w:rPr>
      </w:pPr>
      <w:r>
        <w:rPr>
          <w:rFonts w:hint="eastAsia" w:ascii="仿宋_GB2312" w:eastAsia="仿宋_GB2312"/>
          <w:b/>
          <w:bCs/>
          <w:sz w:val="28"/>
        </w:rPr>
        <w:t>七、特别提示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eastAsia="仿宋_GB2312"/>
          <w:sz w:val="28"/>
        </w:rPr>
      </w:pPr>
      <w:r>
        <w:rPr>
          <w:rFonts w:hint="eastAsia" w:ascii="仿宋_GB2312" w:eastAsia="仿宋_GB2312"/>
          <w:sz w:val="28"/>
        </w:rPr>
        <w:t>估价的具体情况及相关专业意见，请见附后的估价报告。估价报告自提交之日壹年内有效，报告使用人在使用本报告之前须对报告全文，特别是“估价假设和限制条件”认真阅读，以免使用不当造成损失。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eastAsia="仿宋_GB2312"/>
          <w:sz w:val="28"/>
        </w:rPr>
      </w:pPr>
      <w:r>
        <w:rPr>
          <w:rFonts w:hint="eastAsia" w:ascii="仿宋_GB2312" w:eastAsia="仿宋_GB2312"/>
          <w:sz w:val="28"/>
        </w:rPr>
        <w:t>机构负责人（签章）：</w:t>
      </w:r>
    </w:p>
    <w:p>
      <w:pPr>
        <w:tabs>
          <w:tab w:val="center" w:pos="4957"/>
        </w:tabs>
        <w:adjustRightInd w:val="0"/>
        <w:snapToGrid w:val="0"/>
        <w:spacing w:line="2100" w:lineRule="exact"/>
        <w:ind w:firstLine="560" w:firstLineChars="200"/>
        <w:rPr>
          <w:rFonts w:eastAsia="仿宋_GB2312"/>
          <w:sz w:val="28"/>
        </w:rPr>
      </w:pPr>
      <w:r>
        <w:rPr>
          <w:rFonts w:eastAsia="仿宋_GB2312"/>
          <w:sz w:val="28"/>
        </w:rPr>
        <w:drawing>
          <wp:inline distT="0" distB="0" distL="0" distR="0">
            <wp:extent cx="628650" cy="838835"/>
            <wp:effectExtent l="0" t="0" r="0" b="18415"/>
            <wp:docPr id="2" name="图片 3" descr="\\Rong9\完全共享文件夹\签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Rong9\完全共享文件夹\签字2.jpg"/>
                    <pic:cNvPicPr>
                      <a:picLocks noChangeAspect="1" noChangeArrowheads="1"/>
                    </pic:cNvPicPr>
                  </pic:nvPicPr>
                  <pic:blipFill>
                    <a:blip r:embed="rId14" cstate="print"/>
                    <a:srcRect/>
                    <a:stretch>
                      <a:fillRect/>
                    </a:stretch>
                  </pic:blipFill>
                  <pic:spPr>
                    <a:xfrm>
                      <a:off x="0" y="0"/>
                      <a:ext cx="631507" cy="842184"/>
                    </a:xfrm>
                    <a:prstGeom prst="rect">
                      <a:avLst/>
                    </a:prstGeom>
                    <a:noFill/>
                    <a:ln w="9525">
                      <a:noFill/>
                      <a:miter lim="800000"/>
                      <a:headEnd/>
                      <a:tailEnd/>
                    </a:ln>
                  </pic:spPr>
                </pic:pic>
              </a:graphicData>
            </a:graphic>
          </wp:inline>
        </w:drawing>
      </w:r>
      <w:r>
        <w:rPr>
          <w:rFonts w:eastAsia="仿宋_GB2312"/>
          <w:sz w:val="28"/>
        </w:rPr>
        <w:tab/>
      </w:r>
    </w:p>
    <w:p>
      <w:pPr>
        <w:keepNext w:val="0"/>
        <w:keepLines w:val="0"/>
        <w:pageBreakBefore w:val="0"/>
        <w:widowControl w:val="0"/>
        <w:kinsoku/>
        <w:wordWrap/>
        <w:overflowPunct/>
        <w:topLinePunct w:val="0"/>
        <w:autoSpaceDE/>
        <w:autoSpaceDN/>
        <w:bidi w:val="0"/>
        <w:adjustRightInd w:val="0"/>
        <w:snapToGrid w:val="0"/>
        <w:spacing w:line="300" w:lineRule="exact"/>
        <w:ind w:firstLine="560" w:firstLineChars="200"/>
        <w:jc w:val="right"/>
        <w:textAlignment w:val="auto"/>
        <w:rPr>
          <w:rFonts w:eastAsia="仿宋_GB2312"/>
          <w:sz w:val="28"/>
        </w:rPr>
      </w:pPr>
      <w:r>
        <w:rPr>
          <w:rFonts w:hint="eastAsia" w:eastAsia="仿宋_GB2312"/>
          <w:sz w:val="28"/>
        </w:rPr>
        <w:t>盘锦荣泰房地产土地评估有限责任公司</w:t>
      </w:r>
    </w:p>
    <w:p>
      <w:pPr>
        <w:keepNext w:val="0"/>
        <w:keepLines w:val="0"/>
        <w:pageBreakBefore w:val="0"/>
        <w:widowControl w:val="0"/>
        <w:kinsoku/>
        <w:wordWrap/>
        <w:overflowPunct/>
        <w:topLinePunct w:val="0"/>
        <w:autoSpaceDE/>
        <w:autoSpaceDN/>
        <w:bidi w:val="0"/>
        <w:spacing w:line="300" w:lineRule="exact"/>
        <w:ind w:firstLine="5600" w:firstLineChars="2000"/>
        <w:textAlignment w:val="auto"/>
        <w:rPr>
          <w:rFonts w:hint="eastAsia" w:eastAsia="仿宋_GB2312"/>
          <w:color w:val="auto"/>
          <w:sz w:val="28"/>
          <w:lang w:eastAsia="zh-CN"/>
        </w:rPr>
        <w:sectPr>
          <w:headerReference r:id="rId7" w:type="first"/>
          <w:headerReference r:id="rId6" w:type="default"/>
          <w:footerReference r:id="rId8" w:type="default"/>
          <w:pgSz w:w="11906" w:h="16838"/>
          <w:pgMar w:top="1418" w:right="1021" w:bottom="1418" w:left="1531" w:header="851" w:footer="1077" w:gutter="0"/>
          <w:pgBorders>
            <w:top w:val="none" w:sz="0" w:space="0"/>
            <w:left w:val="none" w:sz="0" w:space="0"/>
            <w:bottom w:val="none" w:sz="0" w:space="0"/>
            <w:right w:val="none" w:sz="0" w:space="0"/>
          </w:pgBorders>
          <w:pgNumType w:start="1"/>
          <w:cols w:space="425" w:num="1"/>
          <w:docGrid w:type="lines" w:linePitch="312" w:charSpace="0"/>
        </w:sectPr>
      </w:pPr>
      <w:r>
        <w:rPr>
          <w:rFonts w:hint="eastAsia" w:eastAsia="仿宋_GB2312"/>
          <w:color w:val="auto"/>
          <w:sz w:val="28"/>
          <w:lang w:eastAsia="zh-CN"/>
        </w:rPr>
        <w:t>二〇二二年三月七日</w:t>
      </w:r>
    </w:p>
    <w:p>
      <w:pPr>
        <w:spacing w:line="1000" w:lineRule="exact"/>
        <w:jc w:val="center"/>
        <w:rPr>
          <w:rFonts w:ascii="黑体" w:eastAsia="黑体"/>
          <w:b/>
          <w:bCs/>
          <w:spacing w:val="60"/>
          <w:sz w:val="32"/>
        </w:rPr>
      </w:pPr>
      <w:r>
        <w:rPr>
          <w:rFonts w:hint="eastAsia" w:ascii="黑体" w:eastAsia="黑体"/>
          <w:b/>
          <w:bCs/>
          <w:spacing w:val="60"/>
          <w:sz w:val="32"/>
        </w:rPr>
        <w:t>目录</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ascii="仿宋_GB2312" w:eastAsia="仿宋_GB2312"/>
          <w:sz w:val="28"/>
        </w:rPr>
        <w:fldChar w:fldCharType="begin"/>
      </w:r>
      <w:r>
        <w:rPr>
          <w:rFonts w:hint="eastAsia" w:ascii="仿宋_GB2312" w:eastAsia="仿宋_GB2312"/>
          <w:sz w:val="28"/>
        </w:rPr>
        <w:instrText xml:space="preserve">TOC \o "1-3" \h \z \u</w:instrText>
      </w:r>
      <w:r>
        <w:rPr>
          <w:rFonts w:ascii="仿宋_GB2312" w:eastAsia="仿宋_GB2312"/>
          <w:sz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_Toc16139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估价师声明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_Toc16139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_Toc16716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估价假设和限制条件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_Toc16716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_Toc4679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估价结果报告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_Toc4679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_Toc30862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一、估价委托人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_Toc30862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_Toc22723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二、房地产估价机构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_Toc22723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_Toc25338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三、估价目的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_Toc25338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_Toc22527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四、估价对象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_Toc22527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_Toc16740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五、价值时点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_Toc16740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_Toc24975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六、价值类型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_Toc24975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七、估价原则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_Toc21612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八、估价依据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_Toc21612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_Toc15775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九、估价方法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_Toc15775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_Toc11663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 估价结果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_Toc11663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_Toc9492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十一、注册房地产估价师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_Toc9492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_Toc19132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十二、实地查勘期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_Toc19132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_Toc20108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十三、估价作业期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_Toc20108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60" w:lineRule="auto"/>
        <w:textAlignment w:val="auto"/>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_Toc22641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附   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_Toc22641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spacing w:line="600" w:lineRule="exact"/>
        <w:ind w:left="703" w:firstLine="1"/>
        <w:rPr>
          <w:rFonts w:ascii="仿宋_GB2312" w:eastAsia="仿宋_GB2312"/>
          <w:sz w:val="28"/>
        </w:rPr>
      </w:pPr>
      <w:r>
        <w:rPr>
          <w:rFonts w:ascii="仿宋_GB2312" w:eastAsia="仿宋_GB2312"/>
        </w:rPr>
        <w:fldChar w:fldCharType="end"/>
      </w:r>
      <w:r>
        <w:rPr>
          <w:rFonts w:hint="eastAsia" w:ascii="仿宋_GB2312" w:eastAsia="仿宋_GB2312"/>
          <w:sz w:val="28"/>
        </w:rPr>
        <w:t>一、《司法鉴定评估委托书》（</w:t>
      </w:r>
      <w:r>
        <w:rPr>
          <w:rFonts w:hint="eastAsia" w:ascii="仿宋_GB2312" w:eastAsia="仿宋_GB2312"/>
          <w:sz w:val="28"/>
          <w:lang w:eastAsia="zh-CN"/>
        </w:rPr>
        <w:t>（2022）辽11委字第00037号</w:t>
      </w:r>
      <w:r>
        <w:rPr>
          <w:rFonts w:hint="eastAsia" w:ascii="仿宋_GB2312" w:eastAsia="仿宋_GB2312"/>
          <w:sz w:val="28"/>
        </w:rPr>
        <w:t>）复印件</w:t>
      </w:r>
    </w:p>
    <w:p>
      <w:pPr>
        <w:spacing w:line="600" w:lineRule="exact"/>
        <w:ind w:left="703" w:firstLine="1"/>
        <w:rPr>
          <w:rFonts w:ascii="仿宋_GB2312" w:eastAsia="仿宋_GB2312"/>
          <w:sz w:val="28"/>
        </w:rPr>
      </w:pPr>
      <w:r>
        <w:rPr>
          <w:rFonts w:hint="eastAsia" w:ascii="仿宋_GB2312" w:eastAsia="仿宋_GB2312"/>
          <w:sz w:val="28"/>
        </w:rPr>
        <w:t>二、</w:t>
      </w:r>
      <w:r>
        <w:rPr>
          <w:rFonts w:hint="eastAsia" w:ascii="仿宋_GB2312" w:eastAsia="仿宋_GB2312"/>
          <w:sz w:val="28"/>
          <w:lang w:eastAsia="zh-CN"/>
        </w:rPr>
        <w:t>《网签业务明细表》</w:t>
      </w:r>
      <w:r>
        <w:rPr>
          <w:rFonts w:hint="eastAsia" w:ascii="仿宋_GB2312" w:eastAsia="仿宋_GB2312"/>
          <w:sz w:val="28"/>
        </w:rPr>
        <w:t>复印件</w:t>
      </w:r>
    </w:p>
    <w:p>
      <w:pPr>
        <w:spacing w:line="600" w:lineRule="exact"/>
        <w:ind w:firstLine="700" w:firstLineChars="250"/>
        <w:rPr>
          <w:rFonts w:ascii="仿宋_GB2312" w:eastAsia="仿宋_GB2312"/>
          <w:sz w:val="28"/>
        </w:rPr>
      </w:pPr>
      <w:r>
        <w:rPr>
          <w:rFonts w:hint="eastAsia" w:ascii="仿宋_GB2312" w:eastAsia="仿宋_GB2312"/>
          <w:sz w:val="28"/>
        </w:rPr>
        <w:t>三、估价对象位置图</w:t>
      </w:r>
    </w:p>
    <w:p>
      <w:pPr>
        <w:spacing w:line="600" w:lineRule="exact"/>
        <w:ind w:left="703" w:firstLine="1"/>
        <w:rPr>
          <w:rFonts w:ascii="仿宋_GB2312" w:eastAsia="仿宋_GB2312"/>
          <w:sz w:val="28"/>
        </w:rPr>
      </w:pPr>
      <w:r>
        <w:rPr>
          <w:rFonts w:hint="eastAsia" w:ascii="仿宋_GB2312" w:eastAsia="仿宋_GB2312"/>
          <w:sz w:val="28"/>
        </w:rPr>
        <w:t>四、估价对象内、外部照片和周围环境照片</w:t>
      </w:r>
    </w:p>
    <w:p>
      <w:pPr>
        <w:spacing w:line="600" w:lineRule="exact"/>
        <w:ind w:left="703" w:firstLine="1"/>
        <w:rPr>
          <w:rFonts w:ascii="仿宋_GB2312" w:eastAsia="仿宋_GB2312"/>
          <w:sz w:val="28"/>
        </w:rPr>
      </w:pPr>
      <w:r>
        <w:rPr>
          <w:rFonts w:hint="eastAsia" w:ascii="仿宋_GB2312" w:eastAsia="仿宋_GB2312"/>
          <w:sz w:val="28"/>
        </w:rPr>
        <w:t>五、注册房地产估价师资格证书复印件</w:t>
      </w:r>
    </w:p>
    <w:p>
      <w:pPr>
        <w:spacing w:line="600" w:lineRule="exact"/>
        <w:ind w:left="703" w:firstLine="1"/>
        <w:rPr>
          <w:rFonts w:ascii="仿宋_GB2312" w:eastAsia="仿宋_GB2312"/>
          <w:sz w:val="28"/>
        </w:rPr>
      </w:pPr>
      <w:r>
        <w:rPr>
          <w:rFonts w:hint="eastAsia" w:ascii="仿宋_GB2312" w:eastAsia="仿宋_GB2312"/>
          <w:sz w:val="28"/>
        </w:rPr>
        <w:t>六、估价机构《营业执照》复印件</w:t>
      </w:r>
      <w:r>
        <w:rPr>
          <w:rFonts w:ascii="仿宋_GB2312" w:eastAsia="仿宋_GB2312"/>
          <w:sz w:val="28"/>
        </w:rPr>
        <w:tab/>
      </w:r>
    </w:p>
    <w:p>
      <w:pPr>
        <w:spacing w:line="600" w:lineRule="exact"/>
        <w:ind w:left="703" w:firstLine="1"/>
        <w:rPr>
          <w:rFonts w:ascii="仿宋_GB2312" w:eastAsia="仿宋_GB2312"/>
          <w:sz w:val="28"/>
        </w:rPr>
      </w:pPr>
      <w:r>
        <w:rPr>
          <w:rFonts w:hint="eastAsia" w:ascii="仿宋_GB2312" w:eastAsia="仿宋_GB2312"/>
          <w:sz w:val="28"/>
        </w:rPr>
        <w:t>七、房地产估价机构备案证书复印件</w:t>
      </w:r>
    </w:p>
    <w:p>
      <w:pPr>
        <w:spacing w:line="1000" w:lineRule="exact"/>
        <w:jc w:val="center"/>
        <w:rPr>
          <w:rFonts w:ascii="黑体" w:eastAsia="黑体"/>
          <w:b/>
          <w:bCs/>
          <w:spacing w:val="60"/>
          <w:sz w:val="32"/>
        </w:rPr>
      </w:pPr>
    </w:p>
    <w:p>
      <w:pPr>
        <w:spacing w:line="700" w:lineRule="exact"/>
        <w:rPr>
          <w:rFonts w:ascii="仿宋_GB2312" w:eastAsia="仿宋_GB2312"/>
          <w:b/>
          <w:bCs/>
          <w:spacing w:val="40"/>
          <w:sz w:val="28"/>
        </w:rPr>
        <w:sectPr>
          <w:footerReference r:id="rId9" w:type="default"/>
          <w:pgSz w:w="11906" w:h="16838"/>
          <w:pgMar w:top="1418" w:right="1021" w:bottom="1418" w:left="1531" w:header="851" w:footer="1077" w:gutter="0"/>
          <w:pgBorders>
            <w:top w:val="none" w:sz="0" w:space="0"/>
            <w:left w:val="none" w:sz="0" w:space="0"/>
            <w:bottom w:val="none" w:sz="0" w:space="0"/>
            <w:right w:val="none" w:sz="0" w:space="0"/>
          </w:pgBorders>
          <w:pgNumType w:start="1"/>
          <w:cols w:space="425" w:num="1"/>
          <w:docGrid w:type="lines" w:linePitch="312" w:charSpace="0"/>
        </w:sectPr>
      </w:pPr>
    </w:p>
    <w:p>
      <w:pPr>
        <w:pStyle w:val="2"/>
        <w:spacing w:before="0" w:after="0" w:line="540" w:lineRule="exact"/>
        <w:jc w:val="center"/>
        <w:rPr>
          <w:rFonts w:ascii="黑体" w:hAnsi="黑体" w:eastAsia="黑体"/>
          <w:sz w:val="32"/>
          <w:szCs w:val="32"/>
        </w:rPr>
      </w:pPr>
      <w:bookmarkStart w:id="0" w:name="_Toc458173521"/>
      <w:bookmarkStart w:id="1" w:name="_Toc16139"/>
      <w:r>
        <w:rPr>
          <w:rFonts w:hint="eastAsia" w:ascii="黑体" w:hAnsi="黑体" w:eastAsia="黑体"/>
          <w:sz w:val="32"/>
          <w:szCs w:val="32"/>
        </w:rPr>
        <w:t>估价师声明</w:t>
      </w:r>
      <w:bookmarkEnd w:id="0"/>
      <w:bookmarkEnd w:id="1"/>
    </w:p>
    <w:p/>
    <w:p>
      <w:pPr>
        <w:spacing w:line="520" w:lineRule="exact"/>
        <w:ind w:firstLine="560" w:firstLineChars="200"/>
        <w:rPr>
          <w:rFonts w:ascii="仿宋_GB2312" w:eastAsia="仿宋_GB2312"/>
          <w:sz w:val="28"/>
        </w:rPr>
      </w:pPr>
      <w:r>
        <w:rPr>
          <w:rFonts w:hint="eastAsia" w:ascii="仿宋_GB2312" w:eastAsia="仿宋_GB2312"/>
          <w:sz w:val="28"/>
        </w:rPr>
        <w:t>1 注册房地产估价师在估价报告中对事实的说明是真实和准确的，没有虚假记载、误导性陈述和重大遗漏。</w:t>
      </w:r>
    </w:p>
    <w:p>
      <w:pPr>
        <w:spacing w:line="520" w:lineRule="exact"/>
        <w:ind w:firstLine="560" w:firstLineChars="200"/>
        <w:rPr>
          <w:rFonts w:ascii="仿宋_GB2312" w:eastAsia="仿宋_GB2312"/>
          <w:sz w:val="28"/>
        </w:rPr>
      </w:pPr>
      <w:r>
        <w:rPr>
          <w:rFonts w:hint="eastAsia" w:ascii="仿宋_GB2312" w:eastAsia="仿宋_GB2312"/>
          <w:sz w:val="28"/>
        </w:rPr>
        <w:t>2 估价报告中的分析、意见和结论是注册房地产估价师独立、客观、公正的专业分析、意见和结论，但受到估价报告中已说明的估价假设和限制条件的限制。</w:t>
      </w:r>
    </w:p>
    <w:p>
      <w:pPr>
        <w:spacing w:line="520" w:lineRule="exact"/>
        <w:ind w:firstLine="560" w:firstLineChars="200"/>
        <w:rPr>
          <w:rFonts w:ascii="仿宋_GB2312" w:eastAsia="仿宋_GB2312"/>
          <w:sz w:val="28"/>
        </w:rPr>
      </w:pPr>
      <w:r>
        <w:rPr>
          <w:rFonts w:hint="eastAsia" w:ascii="仿宋_GB2312" w:eastAsia="仿宋_GB2312"/>
          <w:sz w:val="28"/>
        </w:rPr>
        <w:t>3注册房地产估价师与估价报告中的估价对象没有现实或潜在的利益，与估价委托人及估价利害关系人没有利害关系，也对估价对象、估价委托人及估价利害关系人没有偏见。</w:t>
      </w:r>
    </w:p>
    <w:p>
      <w:pPr>
        <w:adjustRightInd w:val="0"/>
        <w:snapToGrid w:val="0"/>
        <w:spacing w:line="520" w:lineRule="exact"/>
        <w:ind w:left="258" w:firstLine="280" w:firstLineChars="100"/>
        <w:rPr>
          <w:rFonts w:ascii="仿宋_GB2312" w:eastAsia="仿宋_GB2312"/>
          <w:sz w:val="28"/>
        </w:rPr>
      </w:pPr>
      <w:r>
        <w:rPr>
          <w:rFonts w:hint="eastAsia" w:ascii="仿宋_GB2312" w:eastAsia="仿宋_GB2312"/>
          <w:sz w:val="28"/>
        </w:rPr>
        <w:t>4 注册房地产估价师是按照有关房地产估价标准的规定进行估价工作，撰写估价报告。</w:t>
      </w: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仿宋_GB2312" w:eastAsia="仿宋_GB2312"/>
          <w:sz w:val="28"/>
        </w:rPr>
      </w:pPr>
    </w:p>
    <w:p>
      <w:pPr>
        <w:adjustRightInd w:val="0"/>
        <w:snapToGrid w:val="0"/>
        <w:spacing w:line="600" w:lineRule="exact"/>
        <w:ind w:left="258"/>
        <w:jc w:val="center"/>
        <w:rPr>
          <w:rFonts w:ascii="黑体" w:eastAsia="黑体"/>
          <w:b/>
          <w:bCs/>
          <w:spacing w:val="20"/>
          <w:sz w:val="32"/>
        </w:rPr>
      </w:pPr>
    </w:p>
    <w:p>
      <w:pPr>
        <w:pStyle w:val="2"/>
        <w:spacing w:before="0" w:after="0" w:line="520" w:lineRule="exact"/>
        <w:jc w:val="center"/>
        <w:rPr>
          <w:rFonts w:ascii="黑体" w:hAnsi="黑体" w:eastAsia="黑体"/>
          <w:sz w:val="32"/>
          <w:szCs w:val="32"/>
        </w:rPr>
      </w:pPr>
      <w:bookmarkStart w:id="2" w:name="_Toc16716"/>
      <w:r>
        <w:rPr>
          <w:rFonts w:hint="eastAsia" w:ascii="黑体" w:hAnsi="黑体" w:eastAsia="黑体"/>
          <w:sz w:val="32"/>
          <w:szCs w:val="32"/>
        </w:rPr>
        <w:t>估价假设和限制条件</w:t>
      </w:r>
      <w:bookmarkEnd w:id="2"/>
    </w:p>
    <w:p/>
    <w:p>
      <w:pPr>
        <w:adjustRightInd w:val="0"/>
        <w:snapToGrid w:val="0"/>
        <w:spacing w:line="440" w:lineRule="exact"/>
        <w:ind w:firstLine="562" w:firstLineChars="200"/>
        <w:rPr>
          <w:rFonts w:ascii="仿宋_GB2312" w:eastAsia="仿宋_GB2312"/>
          <w:b/>
          <w:sz w:val="28"/>
          <w:szCs w:val="28"/>
        </w:rPr>
      </w:pPr>
      <w:r>
        <w:rPr>
          <w:rFonts w:hint="eastAsia" w:ascii="仿宋_GB2312" w:eastAsia="仿宋_GB2312"/>
          <w:b/>
          <w:sz w:val="28"/>
        </w:rPr>
        <w:t>一、本次估价的假设条件</w:t>
      </w:r>
    </w:p>
    <w:p>
      <w:pPr>
        <w:spacing w:line="440" w:lineRule="exact"/>
        <w:ind w:firstLine="560" w:firstLineChars="200"/>
        <w:rPr>
          <w:rFonts w:ascii="仿宋_GB2312" w:eastAsia="仿宋_GB2312"/>
          <w:sz w:val="28"/>
        </w:rPr>
      </w:pPr>
      <w:r>
        <w:rPr>
          <w:rFonts w:hint="eastAsia" w:ascii="仿宋_GB2312" w:eastAsia="仿宋_GB2312"/>
          <w:sz w:val="28"/>
        </w:rPr>
        <w:t>（一）一般假设</w:t>
      </w:r>
    </w:p>
    <w:p>
      <w:pPr>
        <w:spacing w:line="440" w:lineRule="exact"/>
        <w:ind w:firstLine="560" w:firstLineChars="200"/>
        <w:rPr>
          <w:rFonts w:ascii="仿宋_GB2312" w:eastAsia="仿宋_GB2312"/>
          <w:sz w:val="28"/>
        </w:rPr>
      </w:pPr>
      <w:r>
        <w:rPr>
          <w:rFonts w:hint="eastAsia" w:ascii="仿宋_GB2312" w:eastAsia="仿宋_GB2312"/>
          <w:sz w:val="28"/>
        </w:rPr>
        <w:t>1、注册房地产估价师对</w:t>
      </w:r>
      <w:r>
        <w:rPr>
          <w:rFonts w:hint="eastAsia" w:ascii="仿宋_GB2312" w:eastAsia="仿宋_GB2312"/>
          <w:sz w:val="28"/>
          <w:lang w:eastAsia="zh-CN"/>
        </w:rPr>
        <w:t>《网签业务明细表》</w:t>
      </w:r>
      <w:r>
        <w:rPr>
          <w:rFonts w:hint="eastAsia" w:ascii="仿宋_GB2312" w:eastAsia="仿宋_GB2312"/>
          <w:sz w:val="28"/>
        </w:rPr>
        <w:t>复印件上记载的面积等进行了审慎检查，在无理由怀疑其合法性、真实性、准确性和完整性的情况下，假定其合法、真实、准确、完整。</w:t>
      </w:r>
    </w:p>
    <w:p>
      <w:pPr>
        <w:adjustRightInd w:val="0"/>
        <w:snapToGrid w:val="0"/>
        <w:spacing w:line="440" w:lineRule="exact"/>
        <w:ind w:firstLine="560" w:firstLineChars="200"/>
        <w:rPr>
          <w:rFonts w:ascii="仿宋_GB2312" w:eastAsia="仿宋_GB2312"/>
          <w:sz w:val="28"/>
        </w:rPr>
      </w:pPr>
      <w:r>
        <w:rPr>
          <w:rFonts w:hint="eastAsia" w:ascii="仿宋_GB2312" w:eastAsia="仿宋_GB2312"/>
          <w:sz w:val="28"/>
        </w:rPr>
        <w:t>2、注册房地产估价师已对房屋安全、环境污染等影响估价对象价格的重大因素给予了关注，在无理由怀疑估价对象存在隐患且无相应的专业机构鉴定、检测的情况下，假定估价对象能正常安全使用。</w:t>
      </w:r>
    </w:p>
    <w:p>
      <w:pPr>
        <w:spacing w:line="440" w:lineRule="exact"/>
        <w:ind w:firstLine="560" w:firstLineChars="200"/>
        <w:rPr>
          <w:rFonts w:ascii="仿宋_GB2312" w:eastAsia="仿宋_GB2312"/>
          <w:sz w:val="28"/>
        </w:rPr>
      </w:pPr>
      <w:r>
        <w:rPr>
          <w:rFonts w:hint="eastAsia" w:ascii="仿宋_GB2312" w:eastAsia="仿宋_GB2312"/>
          <w:sz w:val="28"/>
        </w:rPr>
        <w:t>3、本估价结果是估价对象于价值时点的市场价格，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spacing w:line="440" w:lineRule="exact"/>
        <w:ind w:firstLine="560" w:firstLineChars="200"/>
        <w:rPr>
          <w:rFonts w:ascii="仿宋_GB2312" w:eastAsia="仿宋_GB2312"/>
          <w:sz w:val="28"/>
        </w:rPr>
      </w:pPr>
      <w:r>
        <w:rPr>
          <w:rFonts w:hint="eastAsia" w:ascii="仿宋_GB2312" w:eastAsia="仿宋_GB2312"/>
          <w:sz w:val="28"/>
        </w:rPr>
        <w:t>4、市场供应关系、市场结构保持稳定，未发生重大变化或实质性改变。</w:t>
      </w:r>
    </w:p>
    <w:p>
      <w:pPr>
        <w:spacing w:line="440" w:lineRule="exact"/>
        <w:ind w:firstLine="560" w:firstLineChars="200"/>
        <w:rPr>
          <w:rFonts w:ascii="仿宋_GB2312" w:eastAsia="仿宋_GB2312"/>
          <w:sz w:val="28"/>
        </w:rPr>
      </w:pPr>
      <w:r>
        <w:rPr>
          <w:rFonts w:hint="eastAsia" w:ascii="仿宋_GB2312" w:eastAsia="仿宋_GB2312"/>
          <w:sz w:val="28"/>
        </w:rPr>
        <w:t>5、人民法院拍卖（或者变卖）财产之日的估价对象状况和房地产市场状况与实地查勘完成之日状况相同。</w:t>
      </w:r>
    </w:p>
    <w:p>
      <w:pPr>
        <w:spacing w:line="440" w:lineRule="exact"/>
        <w:ind w:firstLine="560" w:firstLineChars="200"/>
        <w:rPr>
          <w:rFonts w:ascii="仿宋_GB2312" w:eastAsia="仿宋_GB2312"/>
          <w:sz w:val="28"/>
        </w:rPr>
      </w:pPr>
      <w:r>
        <w:rPr>
          <w:rFonts w:hint="eastAsia" w:ascii="仿宋_GB2312" w:eastAsia="仿宋_GB2312"/>
          <w:sz w:val="28"/>
        </w:rPr>
        <w:t>6、假定估价对象不存在欠缴税费（含税收、物业费、供暖费、水电费等）。</w:t>
      </w:r>
    </w:p>
    <w:p>
      <w:pPr>
        <w:spacing w:line="440" w:lineRule="exact"/>
        <w:ind w:firstLine="560" w:firstLineChars="200"/>
        <w:rPr>
          <w:rFonts w:ascii="仿宋_GB2312" w:eastAsia="仿宋_GB2312"/>
          <w:sz w:val="28"/>
        </w:rPr>
      </w:pPr>
      <w:r>
        <w:rPr>
          <w:rFonts w:hint="eastAsia" w:ascii="仿宋_GB2312" w:eastAsia="仿宋_GB2312"/>
          <w:sz w:val="28"/>
        </w:rPr>
        <w:t>（二）未定事项假设</w:t>
      </w:r>
    </w:p>
    <w:p>
      <w:pPr>
        <w:spacing w:line="440" w:lineRule="exact"/>
        <w:ind w:firstLine="560" w:firstLineChars="200"/>
        <w:rPr>
          <w:rFonts w:ascii="仿宋_GB2312" w:eastAsia="仿宋_GB2312"/>
          <w:sz w:val="28"/>
        </w:rPr>
      </w:pPr>
      <w:r>
        <w:rPr>
          <w:rFonts w:hint="eastAsia" w:ascii="仿宋_GB2312" w:eastAsia="仿宋_GB2312"/>
          <w:sz w:val="28"/>
        </w:rPr>
        <w:t>无</w:t>
      </w:r>
    </w:p>
    <w:p>
      <w:pPr>
        <w:spacing w:line="440" w:lineRule="exact"/>
        <w:ind w:firstLine="560" w:firstLineChars="200"/>
        <w:rPr>
          <w:rFonts w:ascii="仿宋_GB2312" w:eastAsia="仿宋_GB2312"/>
          <w:sz w:val="28"/>
        </w:rPr>
      </w:pPr>
      <w:r>
        <w:rPr>
          <w:rFonts w:hint="eastAsia" w:ascii="仿宋_GB2312" w:eastAsia="仿宋_GB2312"/>
          <w:sz w:val="28"/>
        </w:rPr>
        <w:t>（三）背离事实假设</w:t>
      </w:r>
    </w:p>
    <w:p>
      <w:pPr>
        <w:spacing w:line="440" w:lineRule="exact"/>
        <w:ind w:firstLine="544" w:firstLineChars="200"/>
        <w:rPr>
          <w:rFonts w:ascii="仿宋_GB2312" w:eastAsia="仿宋_GB2312"/>
          <w:sz w:val="28"/>
        </w:rPr>
      </w:pPr>
      <w:r>
        <w:rPr>
          <w:rFonts w:hint="eastAsia" w:ascii="仿宋_GB2312" w:hAnsi="Calibri" w:eastAsia="仿宋_GB2312" w:cs="Times New Roman"/>
          <w:color w:val="000000"/>
          <w:spacing w:val="-4"/>
          <w:sz w:val="28"/>
        </w:rPr>
        <w:t>1、估价结果是</w:t>
      </w:r>
      <w:r>
        <w:rPr>
          <w:rFonts w:ascii="仿宋_GB2312" w:hAnsi="Calibri" w:eastAsia="仿宋_GB2312" w:cs="Times New Roman"/>
          <w:color w:val="000000"/>
          <w:spacing w:val="-4"/>
          <w:sz w:val="28"/>
        </w:rPr>
        <w:t>为委托方</w:t>
      </w:r>
      <w:r>
        <w:rPr>
          <w:rFonts w:hint="eastAsia" w:ascii="仿宋_GB2312" w:hAnsi="Calibri" w:eastAsia="仿宋_GB2312" w:cs="Times New Roman"/>
          <w:color w:val="000000"/>
          <w:spacing w:val="-4"/>
          <w:sz w:val="28"/>
        </w:rPr>
        <w:t>执行申请人</w:t>
      </w:r>
      <w:r>
        <w:rPr>
          <w:rFonts w:hint="eastAsia" w:ascii="仿宋_GB2312" w:hAnsi="Calibri" w:eastAsia="仿宋_GB2312" w:cs="Times New Roman"/>
          <w:color w:val="000000"/>
          <w:spacing w:val="-4"/>
          <w:sz w:val="28"/>
          <w:lang w:eastAsia="zh-CN"/>
        </w:rPr>
        <w:t>杨素香</w:t>
      </w:r>
      <w:r>
        <w:rPr>
          <w:rFonts w:hint="eastAsia" w:ascii="仿宋_GB2312" w:hAnsi="Calibri" w:eastAsia="仿宋_GB2312" w:cs="Times New Roman"/>
          <w:color w:val="000000"/>
          <w:spacing w:val="-4"/>
          <w:sz w:val="28"/>
        </w:rPr>
        <w:t>申请执行</w:t>
      </w:r>
      <w:r>
        <w:rPr>
          <w:rFonts w:hint="eastAsia" w:ascii="仿宋_GB2312" w:hAnsi="Calibri" w:eastAsia="仿宋_GB2312" w:cs="Times New Roman"/>
          <w:color w:val="000000"/>
          <w:spacing w:val="-4"/>
          <w:sz w:val="28"/>
          <w:lang w:eastAsia="zh-CN"/>
        </w:rPr>
        <w:t>盘锦天川房地产开发有限公司</w:t>
      </w:r>
      <w:r>
        <w:rPr>
          <w:rFonts w:hint="eastAsia" w:ascii="仿宋_GB2312" w:hAnsi="Calibri" w:eastAsia="仿宋_GB2312" w:cs="Times New Roman"/>
          <w:color w:val="000000"/>
          <w:spacing w:val="-4"/>
          <w:sz w:val="28"/>
        </w:rPr>
        <w:t>一案</w:t>
      </w:r>
      <w:r>
        <w:rPr>
          <w:rFonts w:ascii="仿宋_GB2312" w:hAnsi="Calibri" w:eastAsia="仿宋_GB2312" w:cs="Times New Roman"/>
          <w:color w:val="000000"/>
          <w:spacing w:val="-4"/>
          <w:sz w:val="28"/>
        </w:rPr>
        <w:t>提供参考依据</w:t>
      </w:r>
      <w:r>
        <w:rPr>
          <w:rFonts w:hint="eastAsia" w:ascii="仿宋_GB2312" w:hAnsi="Calibri" w:eastAsia="仿宋_GB2312" w:cs="Times New Roman"/>
          <w:color w:val="000000"/>
          <w:spacing w:val="-4"/>
          <w:sz w:val="28"/>
        </w:rPr>
        <w:t>而评估房地产市场价格</w:t>
      </w:r>
      <w:r>
        <w:rPr>
          <w:rFonts w:hint="eastAsia" w:ascii="仿宋_GB2312" w:eastAsia="仿宋_GB2312"/>
          <w:sz w:val="28"/>
        </w:rPr>
        <w:t>，估价时没有考虑国家宏观经济政策发生变化、市场供应关系变化、市场结构转变、遇有自然力和其他不可抗力等因素对房地产价格的影响，也没有考虑估价对象将来可能承担违约责任的事宜，以及特殊交易方式下的特殊交易价格等对估价结果的影响。当上述条件发生变化时，估价结果一般亦会发生变化。</w:t>
      </w:r>
    </w:p>
    <w:p>
      <w:pPr>
        <w:spacing w:line="440" w:lineRule="exact"/>
        <w:ind w:firstLine="560" w:firstLineChars="200"/>
        <w:rPr>
          <w:rFonts w:ascii="仿宋_GB2312" w:eastAsia="仿宋_GB2312"/>
          <w:sz w:val="28"/>
        </w:rPr>
      </w:pPr>
      <w:r>
        <w:rPr>
          <w:rFonts w:hint="eastAsia" w:ascii="仿宋_GB2312" w:eastAsia="仿宋_GB2312"/>
          <w:sz w:val="28"/>
        </w:rPr>
        <w:t>2、估价结果未考虑估价对象及其所有人已承担的债务、或有债务及经营决策失误或市场运作失灵对其价格的影响。</w:t>
      </w:r>
    </w:p>
    <w:p>
      <w:pPr>
        <w:spacing w:line="440" w:lineRule="exact"/>
        <w:ind w:firstLine="560" w:firstLineChars="200"/>
        <w:rPr>
          <w:rFonts w:ascii="仿宋_GB2312" w:eastAsia="仿宋_GB2312"/>
          <w:sz w:val="28"/>
        </w:rPr>
      </w:pPr>
      <w:r>
        <w:rPr>
          <w:rFonts w:hint="eastAsia" w:ascii="仿宋_GB2312" w:eastAsia="仿宋_GB2312"/>
          <w:sz w:val="28"/>
        </w:rPr>
        <w:t>3、经估价人员现场询问法官及当事人，估价对象无抵押权、租赁权、居住权及其他优先受偿权，且基于本次估价目的的特殊性，估价结果未考虑估价对象被查封、担保物权、租赁权、居住权和其他优先受偿权对估价对象市场价格的影响。</w:t>
      </w:r>
    </w:p>
    <w:p>
      <w:pPr>
        <w:spacing w:line="440" w:lineRule="exact"/>
        <w:ind w:firstLine="560" w:firstLineChars="200"/>
        <w:rPr>
          <w:rFonts w:ascii="仿宋_GB2312" w:eastAsia="仿宋_GB2312"/>
          <w:sz w:val="28"/>
        </w:rPr>
      </w:pPr>
      <w:r>
        <w:rPr>
          <w:rFonts w:hint="eastAsia" w:ascii="仿宋_GB2312" w:eastAsia="仿宋_GB2312"/>
          <w:sz w:val="28"/>
        </w:rPr>
        <w:t>（四）不相一致假设</w:t>
      </w:r>
    </w:p>
    <w:p>
      <w:pPr>
        <w:spacing w:line="440" w:lineRule="exact"/>
        <w:ind w:firstLine="560" w:firstLineChars="200"/>
        <w:rPr>
          <w:rFonts w:ascii="仿宋_GB2312" w:eastAsia="仿宋_GB2312"/>
          <w:sz w:val="28"/>
        </w:rPr>
      </w:pPr>
      <w:r>
        <w:rPr>
          <w:rFonts w:hint="eastAsia" w:ascii="仿宋_GB2312" w:eastAsia="仿宋_GB2312"/>
          <w:sz w:val="28"/>
        </w:rPr>
        <w:t>无</w:t>
      </w:r>
    </w:p>
    <w:p>
      <w:pPr>
        <w:spacing w:line="440" w:lineRule="exact"/>
        <w:ind w:firstLine="560" w:firstLineChars="200"/>
        <w:rPr>
          <w:rFonts w:ascii="仿宋_GB2312" w:eastAsia="仿宋_GB2312"/>
          <w:sz w:val="28"/>
        </w:rPr>
      </w:pPr>
      <w:r>
        <w:rPr>
          <w:rFonts w:hint="eastAsia" w:ascii="仿宋_GB2312" w:eastAsia="仿宋_GB2312"/>
          <w:sz w:val="28"/>
        </w:rPr>
        <w:t>（五）依据不足假设</w:t>
      </w:r>
    </w:p>
    <w:p>
      <w:pPr>
        <w:spacing w:line="440" w:lineRule="exact"/>
        <w:ind w:firstLine="560" w:firstLineChars="200"/>
        <w:rPr>
          <w:rFonts w:ascii="仿宋_GB2312" w:eastAsia="仿宋_GB2312"/>
          <w:b/>
          <w:bCs/>
          <w:sz w:val="28"/>
        </w:rPr>
      </w:pPr>
      <w:r>
        <w:rPr>
          <w:rFonts w:hint="eastAsia" w:ascii="仿宋_GB2312" w:eastAsia="仿宋_GB2312"/>
          <w:b w:val="0"/>
          <w:bCs w:val="0"/>
          <w:sz w:val="28"/>
        </w:rPr>
        <w:t>由于</w:t>
      </w:r>
      <w:r>
        <w:rPr>
          <w:rFonts w:hint="eastAsia" w:ascii="仿宋_GB2312" w:eastAsia="仿宋_GB2312"/>
          <w:b w:val="0"/>
          <w:bCs w:val="0"/>
          <w:sz w:val="28"/>
          <w:lang w:eastAsia="zh-CN"/>
        </w:rPr>
        <w:t>委托方提供的《网签业务明细表》复印件未记载估价对象用途</w:t>
      </w:r>
      <w:r>
        <w:rPr>
          <w:rFonts w:hint="eastAsia" w:ascii="仿宋_GB2312" w:eastAsia="仿宋_GB2312"/>
          <w:b w:val="0"/>
          <w:bCs w:val="0"/>
          <w:sz w:val="28"/>
        </w:rPr>
        <w:t>，经</w:t>
      </w:r>
      <w:r>
        <w:rPr>
          <w:rFonts w:hint="eastAsia" w:ascii="仿宋_GB2312" w:eastAsia="仿宋_GB2312"/>
          <w:b w:val="0"/>
          <w:bCs w:val="0"/>
          <w:sz w:val="28"/>
          <w:lang w:eastAsia="zh-CN"/>
        </w:rPr>
        <w:t>承办</w:t>
      </w:r>
      <w:r>
        <w:rPr>
          <w:rFonts w:hint="eastAsia" w:ascii="仿宋_GB2312" w:eastAsia="仿宋_GB2312"/>
          <w:b w:val="0"/>
          <w:bCs w:val="0"/>
          <w:sz w:val="28"/>
        </w:rPr>
        <w:t>法官及</w:t>
      </w:r>
      <w:r>
        <w:rPr>
          <w:rFonts w:hint="eastAsia" w:ascii="仿宋_GB2312" w:eastAsia="仿宋_GB2312"/>
          <w:b w:val="0"/>
          <w:bCs w:val="0"/>
          <w:sz w:val="28"/>
          <w:lang w:eastAsia="zh-CN"/>
        </w:rPr>
        <w:t>估价人员对估价对象所在楼层的其他住户进行了咨询</w:t>
      </w:r>
      <w:r>
        <w:rPr>
          <w:rFonts w:hint="eastAsia" w:ascii="仿宋_GB2312" w:eastAsia="仿宋_GB2312"/>
          <w:b w:val="0"/>
          <w:bCs w:val="0"/>
          <w:sz w:val="28"/>
        </w:rPr>
        <w:t>，</w:t>
      </w:r>
      <w:r>
        <w:rPr>
          <w:rFonts w:hint="eastAsia" w:ascii="仿宋_GB2312" w:eastAsia="仿宋_GB2312"/>
          <w:b w:val="0"/>
          <w:bCs w:val="0"/>
          <w:sz w:val="28"/>
          <w:lang w:eastAsia="zh-CN"/>
        </w:rPr>
        <w:t>得知该楼层用途为住宅，故本次按住宅用途进行评估，若估价对象用途与法定用途不一致，需</w:t>
      </w:r>
      <w:r>
        <w:rPr>
          <w:rFonts w:hint="eastAsia" w:ascii="仿宋_GB2312" w:eastAsia="仿宋_GB2312"/>
          <w:b w:val="0"/>
          <w:bCs w:val="0"/>
          <w:color w:val="auto"/>
          <w:sz w:val="28"/>
          <w:lang w:eastAsia="zh-CN"/>
        </w:rPr>
        <w:t>更换估价报告</w:t>
      </w:r>
      <w:r>
        <w:rPr>
          <w:rFonts w:hint="eastAsia" w:ascii="仿宋_GB2312" w:eastAsia="仿宋_GB2312"/>
          <w:b w:val="0"/>
          <w:bCs w:val="0"/>
          <w:color w:val="000000" w:themeColor="text1"/>
          <w:sz w:val="28"/>
        </w:rPr>
        <w:t>。提请报告使用人予以关注！</w:t>
      </w:r>
    </w:p>
    <w:p>
      <w:pPr>
        <w:spacing w:line="440" w:lineRule="exact"/>
        <w:ind w:firstLine="562" w:firstLineChars="200"/>
        <w:rPr>
          <w:rFonts w:ascii="仿宋_GB2312" w:eastAsia="仿宋_GB2312"/>
          <w:b/>
          <w:sz w:val="28"/>
        </w:rPr>
      </w:pPr>
      <w:r>
        <w:rPr>
          <w:rFonts w:hint="eastAsia" w:ascii="仿宋_GB2312" w:eastAsia="仿宋_GB2312"/>
          <w:b/>
          <w:sz w:val="28"/>
        </w:rPr>
        <w:t>二、本报告使用的限制条件</w:t>
      </w:r>
    </w:p>
    <w:p>
      <w:pPr>
        <w:spacing w:line="440" w:lineRule="exact"/>
        <w:ind w:firstLine="544" w:firstLineChars="200"/>
        <w:rPr>
          <w:rFonts w:ascii="仿宋_GB2312" w:eastAsia="仿宋_GB2312"/>
          <w:sz w:val="28"/>
        </w:rPr>
      </w:pPr>
      <w:r>
        <w:rPr>
          <w:rFonts w:hint="eastAsia" w:ascii="仿宋_GB2312" w:hAnsi="Calibri" w:eastAsia="仿宋_GB2312" w:cs="Times New Roman"/>
          <w:color w:val="000000"/>
          <w:spacing w:val="-4"/>
          <w:sz w:val="28"/>
        </w:rPr>
        <w:t>1、本报告仅</w:t>
      </w:r>
      <w:r>
        <w:rPr>
          <w:rFonts w:ascii="仿宋_GB2312" w:hAnsi="Calibri" w:eastAsia="仿宋_GB2312" w:cs="Times New Roman"/>
          <w:color w:val="000000"/>
          <w:spacing w:val="-4"/>
          <w:sz w:val="28"/>
        </w:rPr>
        <w:t>为委托方</w:t>
      </w:r>
      <w:r>
        <w:rPr>
          <w:rFonts w:hint="eastAsia" w:ascii="仿宋_GB2312" w:hAnsi="Calibri" w:eastAsia="仿宋_GB2312" w:cs="Times New Roman"/>
          <w:color w:val="000000"/>
          <w:spacing w:val="-4"/>
          <w:sz w:val="28"/>
        </w:rPr>
        <w:t>执行申请人</w:t>
      </w:r>
      <w:r>
        <w:rPr>
          <w:rFonts w:hint="eastAsia" w:ascii="仿宋_GB2312" w:hAnsi="Calibri" w:eastAsia="仿宋_GB2312" w:cs="Times New Roman"/>
          <w:color w:val="000000"/>
          <w:spacing w:val="-4"/>
          <w:sz w:val="28"/>
          <w:lang w:eastAsia="zh-CN"/>
        </w:rPr>
        <w:t>杨素香</w:t>
      </w:r>
      <w:r>
        <w:rPr>
          <w:rFonts w:hint="eastAsia" w:ascii="仿宋_GB2312" w:hAnsi="Calibri" w:eastAsia="仿宋_GB2312" w:cs="Times New Roman"/>
          <w:color w:val="000000"/>
          <w:spacing w:val="-4"/>
          <w:sz w:val="28"/>
        </w:rPr>
        <w:t>申请执行</w:t>
      </w:r>
      <w:r>
        <w:rPr>
          <w:rFonts w:hint="eastAsia" w:ascii="仿宋_GB2312" w:hAnsi="Calibri" w:eastAsia="仿宋_GB2312" w:cs="Times New Roman"/>
          <w:color w:val="000000"/>
          <w:spacing w:val="-4"/>
          <w:sz w:val="28"/>
          <w:lang w:eastAsia="zh-CN"/>
        </w:rPr>
        <w:t>盘锦天川房地产开发有限公司</w:t>
      </w:r>
      <w:r>
        <w:rPr>
          <w:rFonts w:hint="eastAsia" w:ascii="仿宋_GB2312" w:hAnsi="Calibri" w:eastAsia="仿宋_GB2312" w:cs="Times New Roman"/>
          <w:color w:val="000000"/>
          <w:spacing w:val="-4"/>
          <w:sz w:val="28"/>
        </w:rPr>
        <w:t>一案</w:t>
      </w:r>
      <w:r>
        <w:rPr>
          <w:rFonts w:ascii="仿宋_GB2312" w:hAnsi="Calibri" w:eastAsia="仿宋_GB2312" w:cs="Times New Roman"/>
          <w:color w:val="000000"/>
          <w:spacing w:val="-4"/>
          <w:sz w:val="28"/>
        </w:rPr>
        <w:t>提供参考依据</w:t>
      </w:r>
      <w:r>
        <w:rPr>
          <w:rFonts w:hint="eastAsia" w:ascii="仿宋_GB2312" w:hAnsi="Calibri" w:eastAsia="仿宋_GB2312" w:cs="Times New Roman"/>
          <w:color w:val="000000"/>
          <w:spacing w:val="-4"/>
          <w:sz w:val="28"/>
        </w:rPr>
        <w:t>而评估房地产市场价格</w:t>
      </w:r>
      <w:r>
        <w:rPr>
          <w:rFonts w:hint="eastAsia" w:ascii="仿宋_GB2312" w:eastAsia="仿宋_GB2312"/>
          <w:sz w:val="28"/>
        </w:rPr>
        <w:t>，不得用于其他用途。</w:t>
      </w:r>
    </w:p>
    <w:p>
      <w:pPr>
        <w:spacing w:line="440" w:lineRule="exact"/>
        <w:ind w:firstLine="560" w:firstLineChars="200"/>
        <w:rPr>
          <w:rFonts w:ascii="仿宋_GB2312" w:eastAsia="仿宋_GB2312"/>
          <w:sz w:val="28"/>
        </w:rPr>
      </w:pPr>
      <w:r>
        <w:rPr>
          <w:rFonts w:hint="eastAsia" w:ascii="仿宋_GB2312" w:eastAsia="仿宋_GB2312"/>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pPr>
        <w:spacing w:line="440" w:lineRule="exact"/>
        <w:ind w:firstLine="560" w:firstLineChars="200"/>
        <w:rPr>
          <w:rFonts w:ascii="仿宋_GB2312" w:eastAsia="仿宋_GB2312"/>
          <w:sz w:val="28"/>
        </w:rPr>
      </w:pPr>
      <w:r>
        <w:rPr>
          <w:rFonts w:hint="eastAsia" w:ascii="仿宋_GB2312" w:eastAsia="仿宋_GB2312"/>
          <w:sz w:val="28"/>
        </w:rPr>
        <w:t>3、本估价报告自出具之日起壹年内有效。但价值时点后，在报告有效期内估价对象的质量及价格标准发生变化，并对估价对象价格产生明显影响时，不能直接使用本估价结果；超过壹年，需重新进行估价。</w:t>
      </w:r>
    </w:p>
    <w:p>
      <w:pPr>
        <w:spacing w:line="440" w:lineRule="exact"/>
        <w:ind w:firstLine="560" w:firstLineChars="200"/>
        <w:rPr>
          <w:rFonts w:ascii="仿宋_GB2312" w:eastAsia="仿宋_GB2312"/>
          <w:sz w:val="28"/>
        </w:rPr>
      </w:pPr>
      <w:r>
        <w:rPr>
          <w:rFonts w:hint="eastAsia" w:ascii="仿宋_GB2312" w:eastAsia="仿宋_GB2312"/>
          <w:sz w:val="28"/>
        </w:rPr>
        <w:t>4、本报告必须经过估价机构加盖公章、注册房地产估价师签字后方可使用，估价机构仅对本报告的原件承担责任，对任何形式的复印件概不认可且不承担责任。</w:t>
      </w:r>
    </w:p>
    <w:p>
      <w:pPr>
        <w:spacing w:line="440" w:lineRule="exact"/>
        <w:ind w:firstLine="560" w:firstLineChars="200"/>
        <w:rPr>
          <w:rFonts w:ascii="仿宋_GB2312" w:eastAsia="仿宋_GB2312"/>
          <w:sz w:val="28"/>
        </w:rPr>
      </w:pPr>
      <w:r>
        <w:rPr>
          <w:rFonts w:hint="eastAsia" w:ascii="仿宋_GB2312" w:eastAsia="仿宋_GB2312"/>
          <w:sz w:val="28"/>
        </w:rPr>
        <w:t>5、本估价结果是指假定在充分发达的公开市场条件下，交易双方在交易地位平等、充分了解估价对象相关市场信息及交易双方独立和理智进行判断的前提下形成的市场价格。该价格并不代表具体资产在涉及产权变动或资产形态转变时的实际交易价格。</w:t>
      </w:r>
    </w:p>
    <w:p>
      <w:pPr>
        <w:spacing w:line="440" w:lineRule="exact"/>
        <w:ind w:firstLine="560" w:firstLineChars="200"/>
        <w:rPr>
          <w:rFonts w:ascii="仿宋_GB2312" w:eastAsia="仿宋_GB2312"/>
          <w:spacing w:val="-6"/>
          <w:sz w:val="28"/>
        </w:rPr>
      </w:pPr>
      <w:r>
        <w:rPr>
          <w:rFonts w:hint="eastAsia" w:ascii="仿宋_GB2312" w:eastAsia="仿宋_GB2312"/>
          <w:sz w:val="28"/>
        </w:rPr>
        <w:t>6、本报告由盘锦荣泰房地产土地评估有限责任公司负责解释</w:t>
      </w:r>
      <w:r>
        <w:rPr>
          <w:rFonts w:hint="eastAsia" w:ascii="仿宋_GB2312" w:eastAsia="仿宋_GB2312"/>
          <w:spacing w:val="-6"/>
          <w:sz w:val="28"/>
        </w:rPr>
        <w:t>。</w:t>
      </w:r>
      <w:r>
        <w:rPr>
          <w:rFonts w:ascii="华文中宋" w:eastAsia="华文中宋"/>
          <w:sz w:val="32"/>
        </w:rPr>
        <w:br w:type="page"/>
      </w:r>
    </w:p>
    <w:p>
      <w:pPr>
        <w:pStyle w:val="14"/>
        <w:spacing w:line="520" w:lineRule="exact"/>
        <w:rPr>
          <w:rFonts w:ascii="黑体" w:hAnsi="黑体" w:eastAsia="黑体"/>
        </w:rPr>
      </w:pPr>
      <w:bookmarkStart w:id="3" w:name="_Toc17275449"/>
      <w:bookmarkStart w:id="4" w:name="_Toc4679"/>
      <w:r>
        <w:rPr>
          <w:rFonts w:hint="eastAsia" w:ascii="黑体" w:hAnsi="黑体" w:eastAsia="黑体"/>
        </w:rPr>
        <w:t>估价结果报告</w:t>
      </w:r>
      <w:bookmarkEnd w:id="3"/>
      <w:bookmarkEnd w:id="4"/>
    </w:p>
    <w:p/>
    <w:p>
      <w:pPr>
        <w:pStyle w:val="3"/>
      </w:pPr>
      <w:bookmarkStart w:id="5" w:name="_Toc17275450"/>
      <w:bookmarkStart w:id="6" w:name="_Toc30862"/>
      <w:r>
        <w:rPr>
          <w:rFonts w:hint="eastAsia"/>
        </w:rPr>
        <w:t>一、估价委托人</w:t>
      </w:r>
      <w:bookmarkEnd w:id="5"/>
      <w:bookmarkEnd w:id="6"/>
    </w:p>
    <w:p>
      <w:pPr>
        <w:spacing w:line="540" w:lineRule="exact"/>
        <w:ind w:firstLine="560" w:firstLineChars="200"/>
        <w:rPr>
          <w:rFonts w:ascii="仿宋_GB2312" w:eastAsia="仿宋_GB2312"/>
          <w:sz w:val="28"/>
        </w:rPr>
      </w:pPr>
      <w:r>
        <w:rPr>
          <w:rFonts w:hint="eastAsia" w:ascii="仿宋_GB2312" w:eastAsia="仿宋_GB2312"/>
          <w:sz w:val="28"/>
        </w:rPr>
        <w:t>委 托 人: 辽宁省盘锦市中级人民法院</w:t>
      </w:r>
    </w:p>
    <w:p>
      <w:pPr>
        <w:spacing w:line="540" w:lineRule="exact"/>
        <w:ind w:firstLine="560" w:firstLineChars="200"/>
        <w:rPr>
          <w:rFonts w:hint="eastAsia" w:ascii="仿宋_GB2312" w:eastAsia="仿宋_GB2312"/>
          <w:sz w:val="28"/>
          <w:lang w:eastAsia="zh-CN"/>
        </w:rPr>
      </w:pPr>
      <w:r>
        <w:rPr>
          <w:rFonts w:hint="eastAsia" w:ascii="仿宋_GB2312" w:eastAsia="仿宋_GB2312"/>
          <w:sz w:val="28"/>
        </w:rPr>
        <w:t>联</w:t>
      </w:r>
      <w:r>
        <w:rPr>
          <w:rFonts w:hint="eastAsia" w:ascii="仿宋_GB2312" w:eastAsia="仿宋_GB2312"/>
          <w:sz w:val="28"/>
          <w:lang w:val="en-US" w:eastAsia="zh-CN"/>
        </w:rPr>
        <w:t xml:space="preserve"> </w:t>
      </w:r>
      <w:r>
        <w:rPr>
          <w:rFonts w:hint="eastAsia" w:ascii="仿宋_GB2312" w:eastAsia="仿宋_GB2312"/>
          <w:sz w:val="28"/>
        </w:rPr>
        <w:t>系</w:t>
      </w:r>
      <w:r>
        <w:rPr>
          <w:rFonts w:hint="eastAsia" w:ascii="仿宋_GB2312" w:eastAsia="仿宋_GB2312"/>
          <w:sz w:val="28"/>
          <w:lang w:val="en-US" w:eastAsia="zh-CN"/>
        </w:rPr>
        <w:t xml:space="preserve"> </w:t>
      </w:r>
      <w:r>
        <w:rPr>
          <w:rFonts w:hint="eastAsia" w:ascii="仿宋_GB2312" w:eastAsia="仿宋_GB2312"/>
          <w:sz w:val="28"/>
        </w:rPr>
        <w:t>人：</w:t>
      </w:r>
      <w:r>
        <w:rPr>
          <w:rFonts w:hint="eastAsia" w:ascii="仿宋_GB2312" w:eastAsia="仿宋_GB2312"/>
          <w:sz w:val="28"/>
          <w:lang w:eastAsia="zh-CN"/>
        </w:rPr>
        <w:t>冮殿雄</w:t>
      </w:r>
    </w:p>
    <w:p>
      <w:pPr>
        <w:spacing w:line="540" w:lineRule="exact"/>
        <w:ind w:firstLine="560" w:firstLineChars="200"/>
        <w:rPr>
          <w:rFonts w:hint="default" w:ascii="仿宋_GB2312" w:eastAsia="仿宋_GB2312"/>
          <w:sz w:val="28"/>
          <w:lang w:val="en-US" w:eastAsia="zh-CN"/>
        </w:rPr>
      </w:pPr>
      <w:r>
        <w:rPr>
          <w:rFonts w:hint="eastAsia" w:ascii="仿宋_GB2312" w:eastAsia="仿宋_GB2312"/>
          <w:sz w:val="28"/>
        </w:rPr>
        <w:t>联系电话：</w:t>
      </w:r>
      <w:r>
        <w:rPr>
          <w:rFonts w:hint="eastAsia" w:ascii="仿宋_GB2312" w:eastAsia="仿宋_GB2312"/>
          <w:sz w:val="28"/>
          <w:lang w:val="en-US" w:eastAsia="zh-CN"/>
        </w:rPr>
        <w:t>22542771311</w:t>
      </w:r>
    </w:p>
    <w:p>
      <w:pPr>
        <w:pStyle w:val="3"/>
      </w:pPr>
      <w:bookmarkStart w:id="7" w:name="_Toc17275451"/>
      <w:bookmarkStart w:id="8" w:name="_Toc22723"/>
      <w:r>
        <w:rPr>
          <w:rFonts w:hint="eastAsia"/>
        </w:rPr>
        <w:t>二、房地产估价机构</w:t>
      </w:r>
      <w:bookmarkEnd w:id="7"/>
      <w:bookmarkEnd w:id="8"/>
    </w:p>
    <w:p>
      <w:pPr>
        <w:spacing w:line="540" w:lineRule="exact"/>
        <w:ind w:firstLine="560" w:firstLineChars="200"/>
        <w:rPr>
          <w:rFonts w:ascii="仿宋_GB2312" w:eastAsia="仿宋_GB2312"/>
          <w:sz w:val="28"/>
        </w:rPr>
      </w:pPr>
      <w:r>
        <w:rPr>
          <w:rFonts w:hint="eastAsia" w:ascii="仿宋_GB2312" w:eastAsia="仿宋_GB2312"/>
          <w:sz w:val="28"/>
        </w:rPr>
        <w:t>估价机构：盘锦荣泰房地产土地评估有限责任公司</w:t>
      </w:r>
    </w:p>
    <w:p>
      <w:pPr>
        <w:spacing w:line="540" w:lineRule="exact"/>
        <w:ind w:firstLine="560" w:firstLineChars="200"/>
        <w:rPr>
          <w:rFonts w:ascii="仿宋_GB2312" w:eastAsia="仿宋_GB2312"/>
          <w:sz w:val="28"/>
        </w:rPr>
      </w:pPr>
      <w:r>
        <w:rPr>
          <w:rFonts w:hint="eastAsia" w:ascii="仿宋_GB2312" w:eastAsia="仿宋_GB2312"/>
          <w:sz w:val="28"/>
        </w:rPr>
        <w:t>住    所：盘锦市兴隆台区泰山路西油田党校北侧炫特区B座5#商网</w:t>
      </w:r>
    </w:p>
    <w:p>
      <w:pPr>
        <w:spacing w:line="540" w:lineRule="exact"/>
        <w:ind w:firstLine="560" w:firstLineChars="200"/>
        <w:rPr>
          <w:rFonts w:ascii="仿宋_GB2312" w:eastAsia="仿宋_GB2312"/>
          <w:sz w:val="28"/>
        </w:rPr>
      </w:pPr>
      <w:r>
        <w:rPr>
          <w:rFonts w:hint="eastAsia" w:ascii="仿宋_GB2312" w:eastAsia="仿宋_GB2312"/>
          <w:sz w:val="28"/>
        </w:rPr>
        <w:t>机构负责人：王军</w:t>
      </w:r>
    </w:p>
    <w:p>
      <w:pPr>
        <w:spacing w:line="540" w:lineRule="exact"/>
        <w:ind w:firstLine="560" w:firstLineChars="200"/>
        <w:rPr>
          <w:rFonts w:ascii="仿宋_GB2312" w:eastAsia="仿宋_GB2312"/>
          <w:sz w:val="28"/>
        </w:rPr>
      </w:pPr>
      <w:r>
        <w:rPr>
          <w:rFonts w:hint="eastAsia" w:ascii="仿宋_GB2312" w:eastAsia="仿宋_GB2312"/>
          <w:sz w:val="28"/>
        </w:rPr>
        <w:t>备案等级：贰级</w:t>
      </w:r>
      <w:r>
        <w:rPr>
          <w:rFonts w:hint="eastAsia" w:ascii="仿宋_GB2312" w:eastAsia="仿宋_GB2312"/>
          <w:sz w:val="28"/>
        </w:rPr>
        <w:tab/>
      </w:r>
    </w:p>
    <w:p>
      <w:pPr>
        <w:spacing w:line="540" w:lineRule="exact"/>
        <w:ind w:firstLine="560" w:firstLineChars="200"/>
        <w:rPr>
          <w:rFonts w:ascii="仿宋_GB2312" w:eastAsia="仿宋_GB2312"/>
          <w:sz w:val="28"/>
        </w:rPr>
      </w:pPr>
      <w:r>
        <w:rPr>
          <w:rFonts w:hint="eastAsia" w:ascii="仿宋_GB2312" w:eastAsia="仿宋_GB2312"/>
          <w:sz w:val="28"/>
        </w:rPr>
        <w:t>证书编号：第000010304号</w:t>
      </w:r>
    </w:p>
    <w:p>
      <w:pPr>
        <w:spacing w:line="540" w:lineRule="exact"/>
        <w:ind w:firstLine="560" w:firstLineChars="200"/>
        <w:rPr>
          <w:rFonts w:ascii="仿宋_GB2312" w:eastAsia="仿宋_GB2312"/>
          <w:sz w:val="28"/>
        </w:rPr>
      </w:pPr>
      <w:r>
        <w:rPr>
          <w:rFonts w:hint="eastAsia" w:ascii="仿宋_GB2312" w:eastAsia="仿宋_GB2312"/>
          <w:sz w:val="28"/>
        </w:rPr>
        <w:t>联系电话：（0427）2836225</w:t>
      </w:r>
    </w:p>
    <w:p>
      <w:pPr>
        <w:pStyle w:val="3"/>
      </w:pPr>
      <w:bookmarkStart w:id="9" w:name="_Toc17275452"/>
      <w:bookmarkStart w:id="10" w:name="_Toc25338"/>
      <w:r>
        <w:rPr>
          <w:rFonts w:hint="eastAsia"/>
        </w:rPr>
        <w:t>三、估价目的</w:t>
      </w:r>
      <w:bookmarkEnd w:id="9"/>
      <w:bookmarkEnd w:id="10"/>
    </w:p>
    <w:p>
      <w:pPr>
        <w:spacing w:line="600" w:lineRule="exact"/>
        <w:ind w:firstLine="560" w:firstLineChars="200"/>
        <w:rPr>
          <w:rFonts w:ascii="仿宋_GB2312" w:eastAsia="仿宋_GB2312"/>
          <w:color w:val="000000" w:themeColor="text1"/>
          <w:spacing w:val="-4"/>
          <w:sz w:val="28"/>
        </w:rPr>
      </w:pPr>
      <w:bookmarkStart w:id="11" w:name="_Toc17275453"/>
      <w:r>
        <w:rPr>
          <w:rFonts w:hint="eastAsia" w:ascii="仿宋" w:hAnsi="仿宋" w:eastAsia="仿宋" w:cs="仿宋_GB2312"/>
          <w:color w:val="000000"/>
          <w:sz w:val="28"/>
          <w:szCs w:val="28"/>
        </w:rPr>
        <w:t>为人民法院确定财产处置参考价提供参考依据</w:t>
      </w:r>
      <w:r>
        <w:rPr>
          <w:rFonts w:hint="eastAsia" w:ascii="仿宋" w:hAnsi="仿宋" w:eastAsia="仿宋" w:cs="仿宋_GB2312"/>
          <w:sz w:val="28"/>
          <w:szCs w:val="28"/>
        </w:rPr>
        <w:t>。</w:t>
      </w:r>
    </w:p>
    <w:p>
      <w:pPr>
        <w:pStyle w:val="3"/>
      </w:pPr>
      <w:bookmarkStart w:id="12" w:name="_Toc22527"/>
      <w:r>
        <w:rPr>
          <w:rFonts w:hint="eastAsia"/>
        </w:rPr>
        <w:t>四、估价对象</w:t>
      </w:r>
      <w:bookmarkEnd w:id="11"/>
      <w:bookmarkEnd w:id="12"/>
    </w:p>
    <w:p>
      <w:pPr>
        <w:spacing w:line="540" w:lineRule="exact"/>
        <w:ind w:firstLine="560" w:firstLineChars="200"/>
        <w:rPr>
          <w:rFonts w:ascii="仿宋_GB2312" w:eastAsia="仿宋_GB2312"/>
          <w:sz w:val="28"/>
        </w:rPr>
      </w:pPr>
      <w:r>
        <w:rPr>
          <w:rFonts w:hint="eastAsia" w:ascii="仿宋_GB2312" w:eastAsia="仿宋_GB2312"/>
          <w:sz w:val="28"/>
        </w:rPr>
        <w:t>1 估价对象基本状况</w:t>
      </w:r>
    </w:p>
    <w:p>
      <w:pPr>
        <w:spacing w:line="480" w:lineRule="exact"/>
        <w:ind w:firstLine="560" w:firstLineChars="200"/>
        <w:rPr>
          <w:rFonts w:ascii="仿宋_GB2312" w:eastAsia="仿宋_GB2312"/>
          <w:spacing w:val="4"/>
          <w:sz w:val="28"/>
        </w:rPr>
      </w:pPr>
      <w:r>
        <w:rPr>
          <w:rFonts w:hint="eastAsia" w:ascii="仿宋_GB2312" w:eastAsia="仿宋_GB2312"/>
          <w:sz w:val="28"/>
        </w:rPr>
        <w:t>由</w:t>
      </w:r>
      <w:r>
        <w:rPr>
          <w:rFonts w:hint="eastAsia" w:ascii="仿宋_GB2312" w:eastAsia="仿宋_GB2312"/>
          <w:sz w:val="28"/>
          <w:lang w:eastAsia="zh-CN"/>
        </w:rPr>
        <w:t>《网签业务明细表》</w:t>
      </w:r>
      <w:r>
        <w:rPr>
          <w:rFonts w:hint="eastAsia" w:ascii="仿宋_GB2312" w:eastAsia="仿宋_GB2312"/>
          <w:sz w:val="28"/>
        </w:rPr>
        <w:t>复印件得知，估价对象</w:t>
      </w:r>
      <w:r>
        <w:rPr>
          <w:rFonts w:hint="eastAsia" w:ascii="仿宋_GB2312" w:eastAsia="仿宋_GB2312"/>
          <w:sz w:val="28"/>
          <w:lang w:eastAsia="zh-CN"/>
        </w:rPr>
        <w:t>买受人为杨琳和李晓娜，估价对象</w:t>
      </w:r>
      <w:r>
        <w:rPr>
          <w:rFonts w:hint="eastAsia" w:ascii="仿宋_GB2312" w:eastAsia="仿宋_GB2312"/>
          <w:sz w:val="28"/>
        </w:rPr>
        <w:t>坐落于</w:t>
      </w:r>
      <w:r>
        <w:rPr>
          <w:rFonts w:hint="eastAsia" w:ascii="仿宋_GB2312" w:eastAsia="仿宋_GB2312"/>
          <w:color w:val="000000" w:themeColor="text1"/>
          <w:spacing w:val="-4"/>
          <w:sz w:val="28"/>
          <w:lang w:eastAsia="zh-CN"/>
        </w:rPr>
        <w:t>盘锦市兴隆台区惠宾街238号辽河路东万豪国际</w:t>
      </w:r>
      <w:r>
        <w:rPr>
          <w:rFonts w:hint="eastAsia" w:ascii="仿宋_GB2312" w:eastAsia="仿宋_GB2312"/>
          <w:sz w:val="28"/>
        </w:rPr>
        <w:t>，总建筑面积为</w:t>
      </w:r>
      <w:r>
        <w:rPr>
          <w:rFonts w:hint="eastAsia" w:ascii="仿宋_GB2312" w:eastAsia="仿宋_GB2312"/>
          <w:sz w:val="28"/>
          <w:lang w:eastAsia="zh-CN"/>
        </w:rPr>
        <w:t>501.65</w:t>
      </w:r>
      <w:r>
        <w:rPr>
          <w:rFonts w:hint="eastAsia" w:ascii="仿宋_GB2312" w:eastAsia="仿宋_GB2312"/>
          <w:sz w:val="28"/>
        </w:rPr>
        <w:t>平方米，本次评估包括房屋所有权及应合理分摊的国有建设用地使用权的价格，</w:t>
      </w:r>
      <w:r>
        <w:rPr>
          <w:rFonts w:hint="eastAsia" w:ascii="仿宋_GB2312" w:eastAsia="仿宋_GB2312"/>
          <w:spacing w:val="4"/>
          <w:sz w:val="28"/>
        </w:rPr>
        <w:t>详细情况请见下表：</w:t>
      </w:r>
    </w:p>
    <w:p>
      <w:pPr>
        <w:spacing w:line="480" w:lineRule="exact"/>
        <w:jc w:val="center"/>
        <w:rPr>
          <w:rFonts w:ascii="仿宋_GB2312" w:eastAsia="仿宋_GB2312"/>
          <w:b/>
          <w:spacing w:val="40"/>
          <w:sz w:val="32"/>
          <w:szCs w:val="32"/>
        </w:rPr>
      </w:pPr>
      <w:r>
        <w:rPr>
          <w:rFonts w:hint="eastAsia" w:ascii="仿宋_GB2312" w:eastAsia="仿宋_GB2312"/>
          <w:b/>
          <w:spacing w:val="40"/>
          <w:sz w:val="32"/>
          <w:szCs w:val="32"/>
        </w:rPr>
        <w:t>房屋建筑物明细表</w:t>
      </w:r>
    </w:p>
    <w:p>
      <w:pPr>
        <w:spacing w:line="160" w:lineRule="exact"/>
        <w:jc w:val="center"/>
        <w:rPr>
          <w:rFonts w:ascii="仿宋_GB2312" w:eastAsia="仿宋_GB2312"/>
          <w:b/>
          <w:sz w:val="32"/>
          <w:szCs w:val="32"/>
        </w:rPr>
      </w:pPr>
    </w:p>
    <w:tbl>
      <w:tblPr>
        <w:tblStyle w:val="15"/>
        <w:tblW w:w="4723" w:type="pct"/>
        <w:tblInd w:w="0" w:type="dxa"/>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Layout w:type="fixed"/>
        <w:tblCellMar>
          <w:top w:w="0" w:type="dxa"/>
          <w:left w:w="108" w:type="dxa"/>
          <w:bottom w:w="0" w:type="dxa"/>
          <w:right w:w="108" w:type="dxa"/>
        </w:tblCellMar>
      </w:tblPr>
      <w:tblGrid>
        <w:gridCol w:w="995"/>
        <w:gridCol w:w="2839"/>
        <w:gridCol w:w="2464"/>
        <w:gridCol w:w="2743"/>
      </w:tblGrid>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50" w:type="pct"/>
            <w:vAlign w:val="center"/>
          </w:tcPr>
          <w:p>
            <w:pPr>
              <w:spacing w:line="240" w:lineRule="exact"/>
              <w:jc w:val="center"/>
              <w:rPr>
                <w:rFonts w:ascii="仿宋_GB2312" w:eastAsia="仿宋_GB2312"/>
                <w:b/>
                <w:bCs/>
                <w:caps/>
                <w:sz w:val="24"/>
              </w:rPr>
            </w:pPr>
            <w:r>
              <w:rPr>
                <w:rFonts w:hint="eastAsia" w:ascii="仿宋_GB2312" w:eastAsia="仿宋_GB2312"/>
                <w:b/>
                <w:bCs/>
                <w:caps/>
                <w:sz w:val="24"/>
              </w:rPr>
              <w:t>序号</w:t>
            </w:r>
          </w:p>
        </w:tc>
        <w:tc>
          <w:tcPr>
            <w:tcW w:w="1570" w:type="pct"/>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 xml:space="preserve">估价 </w:t>
            </w:r>
          </w:p>
          <w:p>
            <w:pPr>
              <w:spacing w:line="240" w:lineRule="exact"/>
              <w:jc w:val="center"/>
              <w:rPr>
                <w:rFonts w:hint="eastAsia" w:ascii="仿宋_GB2312" w:eastAsia="仿宋_GB2312"/>
                <w:b/>
                <w:bCs/>
                <w:caps/>
                <w:sz w:val="24"/>
                <w:lang w:eastAsia="zh-CN"/>
              </w:rPr>
            </w:pPr>
            <w:r>
              <w:rPr>
                <w:rFonts w:hint="eastAsia" w:ascii="仿宋_GB2312" w:eastAsia="仿宋_GB2312"/>
                <w:b/>
                <w:sz w:val="24"/>
                <w:szCs w:val="24"/>
              </w:rPr>
              <w:t>对象</w:t>
            </w:r>
          </w:p>
        </w:tc>
        <w:tc>
          <w:tcPr>
            <w:tcW w:w="1362" w:type="pct"/>
            <w:vAlign w:val="center"/>
          </w:tcPr>
          <w:p>
            <w:pPr>
              <w:spacing w:line="240" w:lineRule="exact"/>
              <w:jc w:val="center"/>
              <w:rPr>
                <w:rFonts w:ascii="仿宋_GB2312" w:eastAsia="仿宋_GB2312"/>
                <w:b/>
                <w:bCs/>
                <w:caps/>
                <w:sz w:val="24"/>
              </w:rPr>
            </w:pPr>
            <w:r>
              <w:rPr>
                <w:rFonts w:hint="eastAsia" w:ascii="仿宋_GB2312" w:eastAsia="仿宋_GB2312"/>
                <w:b/>
                <w:bCs/>
                <w:caps/>
                <w:sz w:val="24"/>
              </w:rPr>
              <w:t>建筑面积（</w:t>
            </w:r>
            <w:r>
              <w:rPr>
                <w:rFonts w:ascii="仿宋_GB2312" w:eastAsia="仿宋_GB2312"/>
                <w:b/>
                <w:bCs/>
                <w:caps/>
                <w:sz w:val="24"/>
              </w:rPr>
              <w:t>m²</w:t>
            </w:r>
            <w:r>
              <w:rPr>
                <w:rFonts w:hint="eastAsia" w:ascii="仿宋_GB2312" w:eastAsia="仿宋_GB2312"/>
                <w:b/>
                <w:bCs/>
                <w:caps/>
                <w:sz w:val="24"/>
              </w:rPr>
              <w:t>）</w:t>
            </w:r>
          </w:p>
        </w:tc>
        <w:tc>
          <w:tcPr>
            <w:tcW w:w="1516" w:type="pct"/>
            <w:vAlign w:val="center"/>
          </w:tcPr>
          <w:p>
            <w:pPr>
              <w:spacing w:line="240" w:lineRule="exact"/>
              <w:jc w:val="center"/>
              <w:rPr>
                <w:rFonts w:ascii="仿宋_GB2312" w:eastAsia="仿宋_GB2312"/>
                <w:b/>
                <w:bCs/>
                <w:caps/>
                <w:sz w:val="24"/>
              </w:rPr>
            </w:pPr>
            <w:r>
              <w:rPr>
                <w:rFonts w:hint="eastAsia" w:ascii="仿宋_GB2312" w:eastAsia="仿宋_GB2312"/>
                <w:b/>
                <w:sz w:val="24"/>
                <w:szCs w:val="24"/>
              </w:rPr>
              <w:t>所在层数/总层数</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ascii="仿宋_GB2312" w:eastAsia="仿宋_GB2312"/>
                <w:szCs w:val="21"/>
              </w:rPr>
              <w:t>1</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1-502</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35.50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5</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ascii="仿宋_GB2312" w:eastAsia="仿宋_GB2312"/>
                <w:szCs w:val="21"/>
              </w:rPr>
              <w:t>2</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1-503</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37.96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5</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3</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1-701</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34.52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7</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4</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1-708</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40.27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7</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5</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1-1209</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40.59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12</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6</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1-1211</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78.41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12</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7</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1-1213</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36.55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12</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8</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1-1214</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26.77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12</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9</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1-1401</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34.52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14</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10</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1-1710</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38.81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17</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11</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1-1714</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26.77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17</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12</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1-1716</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35.50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17</w:t>
            </w:r>
            <w:r>
              <w:rPr>
                <w:rFonts w:hint="eastAsia" w:ascii="仿宋_GB2312" w:eastAsia="仿宋_GB2312"/>
                <w:sz w:val="18"/>
                <w:szCs w:val="18"/>
              </w:rPr>
              <w:t>/</w:t>
            </w:r>
            <w:r>
              <w:rPr>
                <w:rFonts w:hint="eastAsia" w:ascii="仿宋_GB2312" w:eastAsia="仿宋_GB2312"/>
                <w:sz w:val="18"/>
                <w:szCs w:val="18"/>
                <w:lang w:val="en-US" w:eastAsia="zh-CN"/>
              </w:rPr>
              <w:t>34</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550" w:type="pct"/>
            <w:vAlign w:val="center"/>
          </w:tcPr>
          <w:p>
            <w:pPr>
              <w:spacing w:line="240" w:lineRule="exact"/>
              <w:jc w:val="center"/>
              <w:rPr>
                <w:rFonts w:ascii="仿宋_GB2312" w:eastAsia="仿宋_GB2312"/>
                <w:szCs w:val="21"/>
              </w:rPr>
            </w:pPr>
            <w:r>
              <w:rPr>
                <w:rFonts w:hint="eastAsia" w:ascii="仿宋_GB2312" w:eastAsia="仿宋_GB2312"/>
                <w:szCs w:val="21"/>
              </w:rPr>
              <w:t>13</w:t>
            </w:r>
          </w:p>
        </w:tc>
        <w:tc>
          <w:tcPr>
            <w:tcW w:w="1570"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1-1902</w:t>
            </w:r>
          </w:p>
        </w:tc>
        <w:tc>
          <w:tcPr>
            <w:tcW w:w="1362"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 xml:space="preserve">35.48 </w:t>
            </w:r>
          </w:p>
        </w:tc>
        <w:tc>
          <w:tcPr>
            <w:tcW w:w="1516" w:type="pct"/>
            <w:vAlign w:val="center"/>
          </w:tcPr>
          <w:p>
            <w:pPr>
              <w:spacing w:line="240" w:lineRule="exact"/>
              <w:jc w:val="center"/>
              <w:rPr>
                <w:rFonts w:ascii="仿宋_GB2312" w:hAnsi="宋体" w:eastAsia="仿宋_GB2312"/>
                <w:szCs w:val="21"/>
              </w:rPr>
            </w:pPr>
            <w:r>
              <w:rPr>
                <w:rFonts w:hint="eastAsia" w:ascii="仿宋_GB2312" w:eastAsia="仿宋_GB2312"/>
                <w:sz w:val="18"/>
                <w:szCs w:val="18"/>
                <w:lang w:val="en-US" w:eastAsia="zh-CN"/>
              </w:rPr>
              <w:t>19</w:t>
            </w:r>
            <w:r>
              <w:rPr>
                <w:rFonts w:hint="eastAsia" w:ascii="仿宋_GB2312" w:eastAsia="仿宋_GB2312"/>
                <w:sz w:val="18"/>
                <w:szCs w:val="18"/>
              </w:rPr>
              <w:t>/</w:t>
            </w:r>
            <w:r>
              <w:rPr>
                <w:rFonts w:hint="eastAsia" w:ascii="仿宋_GB2312" w:eastAsia="仿宋_GB2312"/>
                <w:sz w:val="18"/>
                <w:szCs w:val="18"/>
                <w:lang w:val="en-US" w:eastAsia="zh-CN"/>
              </w:rPr>
              <w:t>34</w:t>
            </w:r>
          </w:p>
        </w:tc>
      </w:tr>
    </w:tbl>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2 土地基本状况</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估价对象所在区域地势平坦，于价值时点，估价对象所在区域内、外部基础设施配备齐全，已达到宗地内、外“七通”（即通供水、通排水、通路、通讯、通电、通热、通气）。</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3建筑物基本状况</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建筑结构：估价对象均为钢混结构。</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空间布置及设施设备：估价对象</w:t>
      </w:r>
      <w:r>
        <w:rPr>
          <w:rFonts w:hint="eastAsia" w:ascii="仿宋_GB2312" w:eastAsia="仿宋_GB2312"/>
          <w:sz w:val="28"/>
          <w:lang w:val="en-US" w:eastAsia="zh-CN"/>
        </w:rPr>
        <w:t>1-502、1-701、1-1213、1-1214、1-1401、1-1714、1-1716、1-1902朝北；</w:t>
      </w:r>
      <w:r>
        <w:rPr>
          <w:rFonts w:hint="eastAsia" w:ascii="仿宋_GB2312" w:eastAsia="仿宋_GB2312"/>
          <w:sz w:val="28"/>
        </w:rPr>
        <w:t>估价对象</w:t>
      </w:r>
      <w:r>
        <w:rPr>
          <w:rFonts w:hint="eastAsia" w:ascii="仿宋_GB2312" w:eastAsia="仿宋_GB2312"/>
          <w:sz w:val="28"/>
          <w:lang w:val="en-US" w:eastAsia="zh-CN"/>
        </w:rPr>
        <w:t>1-503、1-708、1-1209、1-1211、1-1710朝南</w:t>
      </w:r>
      <w:r>
        <w:rPr>
          <w:rFonts w:hint="eastAsia" w:ascii="仿宋_GB2312" w:eastAsia="仿宋_GB2312"/>
          <w:sz w:val="28"/>
        </w:rPr>
        <w:t>。电梯、水、电、暖、消防等设施设备齐全</w:t>
      </w:r>
      <w:r>
        <w:rPr>
          <w:rFonts w:hint="eastAsia" w:ascii="仿宋_GB2312" w:eastAsia="仿宋_GB2312"/>
          <w:sz w:val="28"/>
          <w:lang w:eastAsia="zh-CN"/>
        </w:rPr>
        <w:t>，部分估价对象有空调</w:t>
      </w:r>
      <w:r>
        <w:rPr>
          <w:rFonts w:hint="eastAsia" w:ascii="仿宋_GB2312" w:eastAsia="仿宋_GB2312"/>
          <w:sz w:val="28"/>
        </w:rPr>
        <w:t>。</w:t>
      </w:r>
    </w:p>
    <w:p>
      <w:pPr>
        <w:pageBreakBefore w:val="0"/>
        <w:widowControl w:val="0"/>
        <w:kinsoku/>
        <w:wordWrap/>
        <w:overflowPunct/>
        <w:topLinePunct w:val="0"/>
        <w:autoSpaceDE/>
        <w:autoSpaceDN/>
        <w:bidi w:val="0"/>
        <w:spacing w:line="560" w:lineRule="exact"/>
        <w:ind w:firstLine="560" w:firstLineChars="200"/>
        <w:textAlignment w:val="auto"/>
        <w:rPr>
          <w:rFonts w:hint="eastAsia" w:ascii="仿宋_GB2312" w:eastAsia="仿宋_GB2312"/>
          <w:sz w:val="28"/>
          <w:lang w:eastAsia="zh-CN"/>
        </w:rPr>
      </w:pPr>
      <w:r>
        <w:rPr>
          <w:rFonts w:hint="eastAsia" w:ascii="仿宋_GB2312" w:eastAsia="仿宋_GB2312"/>
          <w:sz w:val="28"/>
        </w:rPr>
        <w:t>装饰装修：于价值时点，估价对象</w:t>
      </w:r>
      <w:r>
        <w:rPr>
          <w:rFonts w:hint="eastAsia" w:ascii="仿宋_GB2312" w:eastAsia="仿宋_GB2312"/>
          <w:sz w:val="28"/>
          <w:lang w:val="en-US" w:eastAsia="zh-CN"/>
        </w:rPr>
        <w:t>1-502、1-701、1-1213、1-1214、1-1401、1-1714、1-1716、1-1902</w:t>
      </w:r>
      <w:r>
        <w:rPr>
          <w:rFonts w:hint="eastAsia" w:ascii="仿宋_GB2312" w:eastAsia="仿宋_GB2312"/>
          <w:sz w:val="28"/>
        </w:rPr>
        <w:t>室内地面铺</w:t>
      </w:r>
      <w:r>
        <w:rPr>
          <w:rFonts w:hint="eastAsia" w:ascii="仿宋_GB2312" w:eastAsia="仿宋_GB2312"/>
          <w:sz w:val="28"/>
          <w:lang w:eastAsia="zh-CN"/>
        </w:rPr>
        <w:t>设</w:t>
      </w:r>
      <w:r>
        <w:rPr>
          <w:rFonts w:hint="eastAsia" w:ascii="仿宋_GB2312" w:eastAsia="仿宋_GB2312"/>
          <w:sz w:val="28"/>
        </w:rPr>
        <w:t>地砖，</w:t>
      </w:r>
      <w:r>
        <w:rPr>
          <w:rFonts w:hint="eastAsia" w:ascii="仿宋_GB2312" w:eastAsia="仿宋_GB2312"/>
          <w:sz w:val="28"/>
          <w:lang w:eastAsia="zh-CN"/>
        </w:rPr>
        <w:t>部分石膏吊顶或</w:t>
      </w:r>
      <w:r>
        <w:rPr>
          <w:rFonts w:hint="eastAsia" w:ascii="仿宋_GB2312" w:eastAsia="仿宋_GB2312"/>
          <w:sz w:val="28"/>
          <w:lang w:val="en-US" w:eastAsia="zh-CN"/>
        </w:rPr>
        <w:t>pvc和铝塑板吊顶(1-1213吊顶部分损坏)</w:t>
      </w:r>
      <w:r>
        <w:rPr>
          <w:rFonts w:hint="eastAsia" w:ascii="仿宋_GB2312" w:eastAsia="仿宋_GB2312"/>
          <w:sz w:val="28"/>
        </w:rPr>
        <w:t>、卫生间墙面贴墙砖，其余室内内墙</w:t>
      </w:r>
      <w:r>
        <w:rPr>
          <w:rFonts w:hint="eastAsia" w:ascii="仿宋_GB2312" w:eastAsia="仿宋_GB2312"/>
          <w:sz w:val="28"/>
          <w:lang w:eastAsia="zh-CN"/>
        </w:rPr>
        <w:t>部分</w:t>
      </w:r>
      <w:r>
        <w:rPr>
          <w:rFonts w:hint="eastAsia" w:ascii="仿宋_GB2312" w:eastAsia="仿宋_GB2312"/>
          <w:sz w:val="28"/>
        </w:rPr>
        <w:t>贴墙砖</w:t>
      </w:r>
      <w:r>
        <w:rPr>
          <w:rFonts w:hint="eastAsia" w:ascii="仿宋_GB2312" w:eastAsia="仿宋_GB2312"/>
          <w:sz w:val="28"/>
          <w:lang w:eastAsia="zh-CN"/>
        </w:rPr>
        <w:t>、部分</w:t>
      </w:r>
      <w:r>
        <w:rPr>
          <w:rFonts w:hint="eastAsia" w:ascii="仿宋_GB2312" w:eastAsia="仿宋_GB2312"/>
          <w:sz w:val="28"/>
        </w:rPr>
        <w:t>涂料粉饰</w:t>
      </w:r>
      <w:r>
        <w:rPr>
          <w:rFonts w:hint="eastAsia" w:ascii="仿宋_GB2312" w:eastAsia="仿宋_GB2312"/>
          <w:sz w:val="28"/>
          <w:lang w:eastAsia="zh-CN"/>
        </w:rPr>
        <w:t>，室内有榻榻米</w:t>
      </w:r>
      <w:r>
        <w:rPr>
          <w:rFonts w:hint="eastAsia" w:ascii="仿宋_GB2312" w:eastAsia="仿宋_GB2312"/>
          <w:sz w:val="28"/>
        </w:rPr>
        <w:t>，防盗门，室外外立面粉刷防水涂料；</w:t>
      </w:r>
      <w:r>
        <w:rPr>
          <w:rFonts w:hint="eastAsia" w:ascii="仿宋_GB2312" w:eastAsia="仿宋_GB2312"/>
          <w:sz w:val="28"/>
          <w:lang w:val="en-US" w:eastAsia="zh-CN"/>
        </w:rPr>
        <w:t>1-503、1-708、1-1209、1-1211、1-1710</w:t>
      </w:r>
      <w:r>
        <w:rPr>
          <w:rFonts w:hint="eastAsia" w:ascii="仿宋_GB2312" w:eastAsia="仿宋_GB2312"/>
          <w:sz w:val="28"/>
        </w:rPr>
        <w:t>室内地面铺</w:t>
      </w:r>
      <w:r>
        <w:rPr>
          <w:rFonts w:hint="eastAsia" w:ascii="仿宋_GB2312" w:eastAsia="仿宋_GB2312"/>
          <w:sz w:val="28"/>
          <w:lang w:eastAsia="zh-CN"/>
        </w:rPr>
        <w:t>设</w:t>
      </w:r>
      <w:r>
        <w:rPr>
          <w:rFonts w:hint="eastAsia" w:ascii="仿宋_GB2312" w:eastAsia="仿宋_GB2312"/>
          <w:sz w:val="28"/>
        </w:rPr>
        <w:t>地砖</w:t>
      </w:r>
      <w:r>
        <w:rPr>
          <w:rFonts w:hint="eastAsia" w:ascii="仿宋_GB2312" w:eastAsia="仿宋_GB2312"/>
          <w:sz w:val="28"/>
          <w:lang w:eastAsia="zh-CN"/>
        </w:rPr>
        <w:t>、地板</w:t>
      </w:r>
      <w:r>
        <w:rPr>
          <w:rFonts w:hint="eastAsia" w:ascii="仿宋_GB2312" w:eastAsia="仿宋_GB2312"/>
          <w:sz w:val="28"/>
        </w:rPr>
        <w:t>，</w:t>
      </w:r>
      <w:r>
        <w:rPr>
          <w:rFonts w:hint="eastAsia" w:ascii="仿宋_GB2312" w:eastAsia="仿宋_GB2312"/>
          <w:sz w:val="28"/>
          <w:lang w:eastAsia="zh-CN"/>
        </w:rPr>
        <w:t>部分石膏吊顶</w:t>
      </w:r>
      <w:r>
        <w:rPr>
          <w:rFonts w:hint="eastAsia" w:ascii="仿宋_GB2312" w:eastAsia="仿宋_GB2312"/>
          <w:sz w:val="28"/>
        </w:rPr>
        <w:t>、卫生间</w:t>
      </w:r>
      <w:r>
        <w:rPr>
          <w:rFonts w:hint="eastAsia" w:ascii="仿宋_GB2312" w:eastAsia="仿宋_GB2312"/>
          <w:sz w:val="28"/>
          <w:lang w:eastAsia="zh-CN"/>
        </w:rPr>
        <w:t>分</w:t>
      </w:r>
      <w:r>
        <w:rPr>
          <w:rFonts w:hint="eastAsia" w:ascii="仿宋_GB2312" w:eastAsia="仿宋_GB2312"/>
          <w:sz w:val="28"/>
        </w:rPr>
        <w:t>墙面贴墙砖，其余室内内墙</w:t>
      </w:r>
      <w:r>
        <w:rPr>
          <w:rFonts w:hint="eastAsia" w:ascii="仿宋_GB2312" w:eastAsia="仿宋_GB2312"/>
          <w:sz w:val="28"/>
          <w:lang w:eastAsia="zh-CN"/>
        </w:rPr>
        <w:t>部分</w:t>
      </w:r>
      <w:r>
        <w:rPr>
          <w:rFonts w:hint="eastAsia" w:ascii="仿宋_GB2312" w:eastAsia="仿宋_GB2312"/>
          <w:sz w:val="28"/>
        </w:rPr>
        <w:t>贴墙砖</w:t>
      </w:r>
      <w:r>
        <w:rPr>
          <w:rFonts w:hint="eastAsia" w:ascii="仿宋_GB2312" w:eastAsia="仿宋_GB2312"/>
          <w:sz w:val="28"/>
          <w:lang w:eastAsia="zh-CN"/>
        </w:rPr>
        <w:t>、部分</w:t>
      </w:r>
      <w:r>
        <w:rPr>
          <w:rFonts w:hint="eastAsia" w:ascii="仿宋_GB2312" w:eastAsia="仿宋_GB2312"/>
          <w:sz w:val="28"/>
        </w:rPr>
        <w:t>涂料粉饰，防盗门，室外外立面粉刷防水涂料</w:t>
      </w:r>
      <w:r>
        <w:rPr>
          <w:rFonts w:hint="eastAsia" w:ascii="仿宋_GB2312" w:eastAsia="仿宋_GB2312"/>
          <w:sz w:val="28"/>
          <w:lang w:eastAsia="zh-CN"/>
        </w:rPr>
        <w:t>。</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 xml:space="preserve">维护及使用情况：于价值时点，部分估价对象处于闲置状态，部分估价对象处于使用状态，房屋整体状态均保持良好。 </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公共配套设施：估价对象坐落于</w:t>
      </w:r>
      <w:r>
        <w:rPr>
          <w:rFonts w:hint="eastAsia" w:ascii="仿宋_GB2312" w:eastAsia="仿宋_GB2312"/>
          <w:color w:val="000000" w:themeColor="text1"/>
          <w:spacing w:val="-4"/>
          <w:sz w:val="28"/>
          <w:lang w:eastAsia="zh-CN"/>
        </w:rPr>
        <w:t>盘锦市兴隆台区惠宾街238号辽河路东万豪国际</w:t>
      </w:r>
      <w:r>
        <w:rPr>
          <w:rFonts w:hint="eastAsia" w:ascii="仿宋_GB2312" w:eastAsia="仿宋_GB2312"/>
          <w:color w:val="000000" w:themeColor="text1"/>
          <w:spacing w:val="-4"/>
          <w:sz w:val="28"/>
        </w:rPr>
        <w:t>，</w:t>
      </w:r>
      <w:r>
        <w:rPr>
          <w:rFonts w:hint="eastAsia" w:ascii="仿宋_GB2312" w:eastAsia="仿宋_GB2312"/>
          <w:sz w:val="28"/>
        </w:rPr>
        <w:t>该区域内有</w:t>
      </w:r>
      <w:r>
        <w:rPr>
          <w:rFonts w:hint="eastAsia" w:ascii="仿宋_GB2312" w:eastAsia="仿宋_GB2312"/>
          <w:sz w:val="28"/>
          <w:lang w:eastAsia="zh-CN"/>
        </w:rPr>
        <w:t>迪卡侬商场、兴隆中学</w:t>
      </w:r>
      <w:r>
        <w:rPr>
          <w:rFonts w:hint="eastAsia" w:ascii="仿宋_GB2312" w:eastAsia="仿宋_GB2312"/>
          <w:sz w:val="28"/>
        </w:rPr>
        <w:t>、</w:t>
      </w:r>
      <w:r>
        <w:rPr>
          <w:rFonts w:hint="eastAsia" w:ascii="仿宋_GB2312" w:eastAsia="仿宋_GB2312"/>
          <w:sz w:val="28"/>
          <w:lang w:eastAsia="zh-CN"/>
        </w:rPr>
        <w:t>体育公园</w:t>
      </w:r>
      <w:r>
        <w:rPr>
          <w:rFonts w:hint="eastAsia" w:ascii="仿宋_GB2312" w:eastAsia="仿宋_GB2312"/>
          <w:sz w:val="28"/>
        </w:rPr>
        <w:t>等，各项基础设施及公共配套服务设施完善。</w:t>
      </w:r>
      <w:r>
        <w:rPr>
          <w:rFonts w:hint="eastAsia" w:ascii="仿宋_GB2312" w:eastAsia="仿宋_GB2312"/>
          <w:sz w:val="28"/>
          <w:lang w:eastAsia="zh-CN"/>
        </w:rPr>
        <w:t>辽河</w:t>
      </w:r>
      <w:r>
        <w:rPr>
          <w:rFonts w:hint="eastAsia" w:ascii="仿宋_GB2312" w:eastAsia="仿宋_GB2312"/>
          <w:sz w:val="28"/>
        </w:rPr>
        <w:t>路、</w:t>
      </w:r>
      <w:r>
        <w:rPr>
          <w:rFonts w:hint="eastAsia" w:ascii="仿宋_GB2312" w:eastAsia="仿宋_GB2312"/>
          <w:sz w:val="28"/>
          <w:lang w:eastAsia="zh-CN"/>
        </w:rPr>
        <w:t>惠宾</w:t>
      </w:r>
      <w:r>
        <w:rPr>
          <w:rFonts w:hint="eastAsia" w:ascii="仿宋_GB2312" w:eastAsia="仿宋_GB2312"/>
          <w:sz w:val="28"/>
        </w:rPr>
        <w:t>街等主次干道横纵交错，有</w:t>
      </w:r>
      <w:r>
        <w:rPr>
          <w:rFonts w:hint="eastAsia" w:ascii="仿宋_GB2312" w:eastAsia="仿宋_GB2312"/>
          <w:sz w:val="28"/>
          <w:lang w:val="en-US" w:eastAsia="zh-CN"/>
        </w:rPr>
        <w:t>14</w:t>
      </w:r>
      <w:r>
        <w:rPr>
          <w:rFonts w:hint="eastAsia" w:ascii="仿宋_GB2312" w:eastAsia="仿宋_GB2312"/>
          <w:sz w:val="28"/>
        </w:rPr>
        <w:t>路、</w:t>
      </w:r>
      <w:r>
        <w:rPr>
          <w:rFonts w:hint="eastAsia" w:ascii="仿宋_GB2312" w:eastAsia="仿宋_GB2312"/>
          <w:sz w:val="28"/>
          <w:lang w:val="en-US" w:eastAsia="zh-CN"/>
        </w:rPr>
        <w:t>9环</w:t>
      </w:r>
      <w:r>
        <w:rPr>
          <w:rFonts w:hint="eastAsia" w:ascii="仿宋_GB2312" w:eastAsia="仿宋_GB2312"/>
          <w:sz w:val="28"/>
        </w:rPr>
        <w:t>等多条市内公交路线在此通过，满足了居民出行需要，交通便捷。</w:t>
      </w:r>
    </w:p>
    <w:p>
      <w:pPr>
        <w:pStyle w:val="3"/>
        <w:pageBreakBefore w:val="0"/>
        <w:widowControl w:val="0"/>
        <w:kinsoku/>
        <w:wordWrap/>
        <w:overflowPunct/>
        <w:topLinePunct w:val="0"/>
        <w:autoSpaceDE/>
        <w:autoSpaceDN/>
        <w:bidi w:val="0"/>
        <w:spacing w:line="560" w:lineRule="exact"/>
        <w:textAlignment w:val="auto"/>
      </w:pPr>
      <w:bookmarkStart w:id="13" w:name="_Toc17275454"/>
      <w:bookmarkStart w:id="14" w:name="_Toc16740"/>
      <w:r>
        <w:rPr>
          <w:rFonts w:hint="eastAsia"/>
        </w:rPr>
        <w:t>五、价值时点</w:t>
      </w:r>
      <w:bookmarkEnd w:id="13"/>
      <w:bookmarkEnd w:id="14"/>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color w:val="000000" w:themeColor="text1"/>
          <w:sz w:val="28"/>
        </w:rPr>
      </w:pPr>
      <w:r>
        <w:rPr>
          <w:rFonts w:hint="eastAsia" w:ascii="仿宋_GB2312" w:eastAsia="仿宋_GB2312"/>
          <w:sz w:val="28"/>
        </w:rPr>
        <w:t>本报告以估价师实地查勘日期为价值时点,即</w:t>
      </w:r>
      <w:r>
        <w:rPr>
          <w:rFonts w:hint="eastAsia" w:ascii="仿宋_GB2312" w:eastAsia="仿宋_GB2312"/>
          <w:sz w:val="28"/>
          <w:lang w:eastAsia="zh-CN"/>
        </w:rPr>
        <w:t>二〇二二年二月二十一日</w:t>
      </w:r>
      <w:r>
        <w:rPr>
          <w:rFonts w:hint="eastAsia" w:ascii="仿宋_GB2312" w:eastAsia="仿宋_GB2312"/>
          <w:sz w:val="28"/>
        </w:rPr>
        <w:t xml:space="preserve">。 </w:t>
      </w:r>
    </w:p>
    <w:p>
      <w:pPr>
        <w:pStyle w:val="3"/>
        <w:pageBreakBefore w:val="0"/>
        <w:widowControl w:val="0"/>
        <w:kinsoku/>
        <w:wordWrap/>
        <w:overflowPunct/>
        <w:topLinePunct w:val="0"/>
        <w:autoSpaceDE/>
        <w:autoSpaceDN/>
        <w:bidi w:val="0"/>
        <w:spacing w:line="560" w:lineRule="exact"/>
        <w:textAlignment w:val="auto"/>
      </w:pPr>
      <w:bookmarkStart w:id="15" w:name="_Toc17275455"/>
      <w:bookmarkStart w:id="16" w:name="_Toc24975"/>
      <w:r>
        <w:rPr>
          <w:rFonts w:hint="eastAsia"/>
        </w:rPr>
        <w:t>六、价值类型</w:t>
      </w:r>
      <w:bookmarkEnd w:id="15"/>
      <w:bookmarkEnd w:id="16"/>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本报告所确定的价格为估价对象房地产在价值时点完整权利状态及满足各项假设限制条件下的房地产市场价格。</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市场价格是指估价对象在市场上的平均交易价格。</w:t>
      </w:r>
    </w:p>
    <w:p>
      <w:pPr>
        <w:pStyle w:val="3"/>
        <w:pageBreakBefore w:val="0"/>
        <w:widowControl w:val="0"/>
        <w:kinsoku/>
        <w:wordWrap/>
        <w:overflowPunct/>
        <w:topLinePunct w:val="0"/>
        <w:autoSpaceDE/>
        <w:autoSpaceDN/>
        <w:bidi w:val="0"/>
        <w:spacing w:line="560" w:lineRule="exact"/>
        <w:textAlignment w:val="auto"/>
      </w:pPr>
      <w:bookmarkStart w:id="17" w:name="_Toc17275456"/>
      <w:bookmarkStart w:id="18" w:name="_Toc2795"/>
      <w:r>
        <w:rPr>
          <w:rFonts w:hint="eastAsia"/>
        </w:rPr>
        <w:t>七、估价原则</w:t>
      </w:r>
      <w:bookmarkEnd w:id="17"/>
      <w:bookmarkEnd w:id="18"/>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在估价过程中，遵循的主要原则有：</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1 独立、客观、公正原则：要求站在中立的立场上，实事求是、公平正直地评估出对各方估价利害关系人均是公平合理的价值或价格的原则。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2 合法原则：要求估价结果是依法判定的估价对象状况下的价值或价格的原则。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3 最高最佳利用原则：要求估价结果是估价对象最高最佳利用状况下的价值或价格的原则。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4 替代原则：要求估价结果是与估价对象的类似房地产在同等条件下的价值或价格偏差在合理范围内的原则。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5 价值时点原则：要求估价结果是在根据估价目的确定的某一特定时间的价值或价格的原则。</w:t>
      </w:r>
    </w:p>
    <w:p>
      <w:pPr>
        <w:pStyle w:val="3"/>
        <w:pageBreakBefore w:val="0"/>
        <w:widowControl w:val="0"/>
        <w:kinsoku/>
        <w:wordWrap/>
        <w:overflowPunct/>
        <w:topLinePunct w:val="0"/>
        <w:autoSpaceDE/>
        <w:autoSpaceDN/>
        <w:bidi w:val="0"/>
        <w:spacing w:line="560" w:lineRule="exact"/>
        <w:textAlignment w:val="auto"/>
      </w:pPr>
      <w:bookmarkStart w:id="19" w:name="_Toc17275457"/>
      <w:bookmarkStart w:id="20" w:name="_Toc21612"/>
      <w:r>
        <w:rPr>
          <w:rFonts w:hint="eastAsia"/>
        </w:rPr>
        <w:t>八、估价依据</w:t>
      </w:r>
      <w:bookmarkEnd w:id="19"/>
      <w:bookmarkEnd w:id="20"/>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1有关法律、法规和政策</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1.1《中华人民共和国资产评估法》（中华人民共和国主席令第46号、2016年12月1日起施行）</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1.2《</w:t>
      </w:r>
      <w:r>
        <w:rPr>
          <w:rFonts w:hint="eastAsia" w:ascii="仿宋_GB2312" w:hAnsi="Calibri" w:eastAsia="仿宋_GB2312" w:cs="Times New Roman"/>
          <w:sz w:val="28"/>
        </w:rPr>
        <w:t>中华人民共和国城市房地产管理法》(中华人民共和国主席令第</w:t>
      </w:r>
      <w:r>
        <w:rPr>
          <w:rFonts w:hint="eastAsia" w:ascii="仿宋_GB2312" w:eastAsia="仿宋_GB2312"/>
          <w:sz w:val="28"/>
        </w:rPr>
        <w:t>32</w:t>
      </w:r>
      <w:r>
        <w:rPr>
          <w:rFonts w:hint="eastAsia" w:ascii="仿宋_GB2312" w:hAnsi="Calibri" w:eastAsia="仿宋_GB2312" w:cs="Times New Roman"/>
          <w:sz w:val="28"/>
        </w:rPr>
        <w:t>号，根据2019年8月26日第十三届全国人民代表大会常务委员会第十二次会议《关于修改〈中华人民共和国土地管理法〉、〈中华人民共和国城市房地产管理法〉的决定》第三次修正，自2020年1月1日起施行。）</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1.3</w:t>
      </w:r>
      <w:r>
        <w:rPr>
          <w:rFonts w:hint="eastAsia" w:ascii="仿宋_GB2312" w:hAnsi="Calibri" w:eastAsia="仿宋_GB2312" w:cs="Times New Roman"/>
          <w:sz w:val="28"/>
        </w:rPr>
        <w:t>《中华人民共和国土地管理法》(中华人民共和国主席令第</w:t>
      </w:r>
      <w:r>
        <w:rPr>
          <w:rFonts w:hint="eastAsia" w:ascii="仿宋_GB2312" w:eastAsia="仿宋_GB2312"/>
          <w:sz w:val="28"/>
        </w:rPr>
        <w:t>32</w:t>
      </w:r>
      <w:r>
        <w:rPr>
          <w:rFonts w:hint="eastAsia" w:ascii="仿宋_GB2312" w:hAnsi="Calibri" w:eastAsia="仿宋_GB2312" w:cs="Times New Roman"/>
          <w:sz w:val="28"/>
        </w:rPr>
        <w:t>号，根据2019年8月26日第十三届全国人民代表大会常务委员会第十二次会议《关于修改〈中华人民共和国土地管理法〉、〈中华人民共和国城市房地产管理法〉的决定》第三次修正，自2020年1月1日起施行。）</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1.4</w:t>
      </w:r>
      <w:r>
        <w:rPr>
          <w:rFonts w:hint="eastAsia" w:ascii="仿宋_GB2312" w:eastAsia="仿宋_GB2312"/>
          <w:color w:val="000000" w:themeColor="text1"/>
          <w:sz w:val="28"/>
        </w:rPr>
        <w:t>《中华人民共和国民法典》（中华人民共和国主席令第45号</w:t>
      </w:r>
      <w:r>
        <w:rPr>
          <w:rFonts w:hint="eastAsia" w:ascii="仿宋_GB2312" w:eastAsia="仿宋_GB2312"/>
          <w:sz w:val="28"/>
        </w:rPr>
        <w:t>）</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2估价标准</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2.1 中华人民共和国国家标准《房地产估价规范》（GB/T 50291—2015）；</w:t>
      </w:r>
    </w:p>
    <w:p>
      <w:pPr>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eastAsia="仿宋_GB2312"/>
          <w:sz w:val="28"/>
        </w:rPr>
      </w:pPr>
      <w:r>
        <w:rPr>
          <w:rFonts w:hint="eastAsia" w:ascii="仿宋_GB2312" w:eastAsia="仿宋_GB2312"/>
          <w:sz w:val="28"/>
        </w:rPr>
        <w:t>2.2 中华人民共和国国家标准《房地产估价基本术语标准》（GB/T 50899-2013）</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Calibri" w:eastAsia="仿宋_GB2312" w:cs="Times New Roman"/>
          <w:sz w:val="28"/>
        </w:rPr>
      </w:pPr>
      <w:r>
        <w:rPr>
          <w:rFonts w:hint="eastAsia" w:ascii="仿宋_GB2312" w:hAnsi="Calibri" w:eastAsia="仿宋_GB2312" w:cs="Times New Roman"/>
          <w:sz w:val="28"/>
        </w:rPr>
        <w:t>2.3《建设工程工程量清单计价规范》（GB50500-2013）</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Calibri" w:eastAsia="仿宋_GB2312" w:cs="Times New Roman"/>
          <w:sz w:val="28"/>
        </w:rPr>
      </w:pPr>
      <w:r>
        <w:rPr>
          <w:rFonts w:hint="eastAsia" w:ascii="仿宋_GB2312" w:hAnsi="Calibri" w:eastAsia="仿宋_GB2312" w:cs="Times New Roman"/>
          <w:sz w:val="28"/>
        </w:rPr>
        <w:t>2.4《辽宁省房屋建筑与装饰工程定额》（2017）</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hAnsi="Calibri" w:eastAsia="仿宋_GB2312" w:cs="Times New Roman"/>
          <w:sz w:val="28"/>
        </w:rPr>
        <w:t>2.5</w:t>
      </w:r>
      <w:r>
        <w:rPr>
          <w:rFonts w:hint="eastAsia" w:ascii="仿宋_GB2312" w:eastAsia="仿宋_GB2312"/>
          <w:color w:val="000000" w:themeColor="text1"/>
          <w:kern w:val="0"/>
          <w:sz w:val="28"/>
        </w:rPr>
        <w:t>《房屋完损等级评定标准（试行）》（城住字</w:t>
      </w:r>
      <w:r>
        <w:rPr>
          <w:rFonts w:hint="eastAsia" w:ascii="宋体" w:hAnsi="宋体" w:eastAsia="宋体" w:cs="宋体"/>
          <w:color w:val="000000" w:themeColor="text1"/>
          <w:kern w:val="0"/>
          <w:sz w:val="28"/>
        </w:rPr>
        <w:t>﹝</w:t>
      </w:r>
      <w:r>
        <w:rPr>
          <w:rFonts w:hint="eastAsia" w:ascii="仿宋_GB2312" w:eastAsia="仿宋_GB2312"/>
          <w:color w:val="000000" w:themeColor="text1"/>
          <w:kern w:val="0"/>
          <w:sz w:val="28"/>
        </w:rPr>
        <w:t>1984</w:t>
      </w:r>
      <w:r>
        <w:rPr>
          <w:rFonts w:hint="eastAsia" w:ascii="宋体" w:hAnsi="宋体" w:eastAsia="宋体" w:cs="宋体"/>
          <w:color w:val="000000" w:themeColor="text1"/>
          <w:kern w:val="0"/>
          <w:sz w:val="28"/>
        </w:rPr>
        <w:t>﹞</w:t>
      </w:r>
      <w:r>
        <w:rPr>
          <w:rFonts w:hint="eastAsia" w:ascii="仿宋_GB2312" w:eastAsia="仿宋_GB2312"/>
          <w:color w:val="000000" w:themeColor="text1"/>
          <w:kern w:val="0"/>
          <w:sz w:val="28"/>
        </w:rPr>
        <w:t>第678号）</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3 估价委托人提供的资料</w:t>
      </w:r>
    </w:p>
    <w:p>
      <w:pPr>
        <w:pageBreakBefore w:val="0"/>
        <w:widowControl w:val="0"/>
        <w:kinsoku/>
        <w:wordWrap/>
        <w:overflowPunct/>
        <w:topLinePunct w:val="0"/>
        <w:autoSpaceDE/>
        <w:autoSpaceDN/>
        <w:bidi w:val="0"/>
        <w:spacing w:line="560" w:lineRule="exact"/>
        <w:ind w:firstLine="560" w:firstLineChars="200"/>
        <w:textAlignment w:val="auto"/>
        <w:rPr>
          <w:rFonts w:hint="eastAsia" w:ascii="仿宋_GB2312" w:eastAsia="仿宋_GB2312"/>
          <w:sz w:val="28"/>
        </w:rPr>
      </w:pPr>
      <w:r>
        <w:rPr>
          <w:rFonts w:hint="eastAsia" w:ascii="仿宋_GB2312" w:eastAsia="仿宋_GB2312"/>
          <w:sz w:val="28"/>
        </w:rPr>
        <w:t>3.1《司法鉴定评估委托书》（</w:t>
      </w:r>
      <w:r>
        <w:rPr>
          <w:rFonts w:hint="eastAsia" w:ascii="仿宋_GB2312" w:eastAsia="仿宋_GB2312"/>
          <w:sz w:val="28"/>
          <w:lang w:eastAsia="zh-CN"/>
        </w:rPr>
        <w:t>（2022）辽11委字第00037号</w:t>
      </w:r>
      <w:r>
        <w:rPr>
          <w:rFonts w:hint="eastAsia" w:ascii="仿宋_GB2312" w:eastAsia="仿宋_GB2312"/>
          <w:sz w:val="28"/>
        </w:rPr>
        <w:t>）</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3.2</w:t>
      </w:r>
      <w:r>
        <w:rPr>
          <w:rFonts w:hint="eastAsia" w:ascii="仿宋_GB2312" w:eastAsia="仿宋_GB2312"/>
          <w:sz w:val="28"/>
          <w:lang w:eastAsia="zh-CN"/>
        </w:rPr>
        <w:t>《网签业务明细表》</w:t>
      </w:r>
      <w:r>
        <w:rPr>
          <w:rFonts w:hint="eastAsia" w:ascii="仿宋_GB2312" w:eastAsia="仿宋_GB2312"/>
          <w:sz w:val="28"/>
        </w:rPr>
        <w:t>复印件</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3.3委托人提供的其他相关资料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4 估价机构及注册房地产估价师掌握和搜集的资料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4.1 估价对象周边现状照片及位置图</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4.2 注册房地产估价师现场查勘和市场调查搜集的资料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4.3 本公司掌握和搜集的同类房地产信息资料</w:t>
      </w:r>
    </w:p>
    <w:p>
      <w:pPr>
        <w:pStyle w:val="3"/>
        <w:pageBreakBefore w:val="0"/>
        <w:widowControl w:val="0"/>
        <w:kinsoku/>
        <w:wordWrap/>
        <w:overflowPunct/>
        <w:topLinePunct w:val="0"/>
        <w:autoSpaceDE/>
        <w:autoSpaceDN/>
        <w:bidi w:val="0"/>
        <w:spacing w:line="560" w:lineRule="exact"/>
        <w:textAlignment w:val="auto"/>
      </w:pPr>
      <w:bookmarkStart w:id="21" w:name="_Toc17275458"/>
      <w:bookmarkStart w:id="22" w:name="_Toc15775"/>
      <w:r>
        <w:rPr>
          <w:rFonts w:hint="eastAsia"/>
        </w:rPr>
        <w:t>九、估价方法</w:t>
      </w:r>
      <w:bookmarkEnd w:id="21"/>
      <w:bookmarkEnd w:id="22"/>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通行的估价方法有比较法、收益法、成本法、假设开发法等，估价方法的选择应按照《房地产估价规范》和估价对象的坐落位置、使用性质等实际情况，结合估价目的，结合估价师收集的有关资料，考虑到当前房地产市场发育程度，本次估价采用比较法、成本法。</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比较法是将估价对象与在价值时点近期交易的类似房地产进行比较，对这些类似房地产的成交价格做适当的修正和调整，以此求取估价对象的客观合理价格或价值的方法。</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成本法是求取估价对象在估价时点的重新购建价格，然后扣除折旧，以此求取估价对象的客观合理价格或价值的方法。成本法的本质是以房地产的开发建设成本为导向求取估价对象的价格或价值。</w:t>
      </w:r>
    </w:p>
    <w:p>
      <w:pPr>
        <w:pStyle w:val="3"/>
        <w:pageBreakBefore w:val="0"/>
        <w:widowControl w:val="0"/>
        <w:kinsoku/>
        <w:wordWrap/>
        <w:overflowPunct/>
        <w:topLinePunct w:val="0"/>
        <w:autoSpaceDE/>
        <w:autoSpaceDN/>
        <w:bidi w:val="0"/>
        <w:spacing w:line="560" w:lineRule="exact"/>
        <w:textAlignment w:val="auto"/>
      </w:pPr>
      <w:bookmarkStart w:id="23" w:name="_Toc17275459"/>
      <w:bookmarkStart w:id="24" w:name="_Toc11663"/>
      <w:r>
        <w:rPr>
          <w:rFonts w:hint="eastAsia"/>
        </w:rPr>
        <w:t>十、 估价结果</w:t>
      </w:r>
      <w:bookmarkEnd w:id="23"/>
      <w:bookmarkEnd w:id="24"/>
    </w:p>
    <w:p>
      <w:pPr>
        <w:pageBreakBefore w:val="0"/>
        <w:widowControl w:val="0"/>
        <w:kinsoku/>
        <w:wordWrap/>
        <w:overflowPunct/>
        <w:topLinePunct w:val="0"/>
        <w:autoSpaceDE/>
        <w:autoSpaceDN/>
        <w:bidi w:val="0"/>
        <w:spacing w:line="560" w:lineRule="exact"/>
        <w:ind w:firstLine="560" w:firstLineChars="200"/>
        <w:textAlignment w:val="auto"/>
        <w:rPr>
          <w:rFonts w:ascii="仿宋_GB2312" w:eastAsia="仿宋_GB2312"/>
          <w:sz w:val="28"/>
        </w:rPr>
      </w:pPr>
      <w:r>
        <w:rPr>
          <w:rFonts w:hint="eastAsia" w:ascii="仿宋_GB2312" w:eastAsia="仿宋_GB2312"/>
          <w:sz w:val="28"/>
        </w:rPr>
        <w:t>本公司估价人员根据估价目的，遵循估价原则，按照估价程序，采用科学合理的估价方法，在认真分析现有资料的基础上，对影响房地产市场价格因素进行了分析，经过测算，结合估价经验，确定估价对象在价值时点</w:t>
      </w:r>
      <w:r>
        <w:rPr>
          <w:rFonts w:hint="eastAsia" w:ascii="仿宋_GB2312" w:eastAsia="仿宋_GB2312"/>
          <w:sz w:val="28"/>
          <w:lang w:eastAsia="zh-CN"/>
        </w:rPr>
        <w:t>2022年2月21</w:t>
      </w:r>
      <w:r>
        <w:rPr>
          <w:rFonts w:hint="eastAsia" w:ascii="仿宋_GB2312" w:eastAsia="仿宋_GB2312"/>
          <w:sz w:val="28"/>
        </w:rPr>
        <w:t>日的市场价格如下：</w:t>
      </w:r>
      <w:bookmarkStart w:id="25" w:name="_Toc17275460"/>
    </w:p>
    <w:p>
      <w:pPr>
        <w:tabs>
          <w:tab w:val="left" w:pos="4880"/>
        </w:tabs>
        <w:spacing w:line="560" w:lineRule="exact"/>
        <w:jc w:val="center"/>
        <w:rPr>
          <w:rFonts w:ascii="仿宋_GB2312" w:eastAsia="仿宋_GB2312"/>
          <w:color w:val="000000" w:themeColor="text1"/>
          <w:sz w:val="28"/>
        </w:rPr>
      </w:pPr>
      <w:r>
        <w:rPr>
          <w:rFonts w:hint="eastAsia" w:ascii="仿宋_GB2312" w:eastAsia="仿宋_GB2312"/>
          <w:b/>
          <w:sz w:val="30"/>
          <w:szCs w:val="28"/>
        </w:rPr>
        <w:t>房地产价格评估结果一览表</w:t>
      </w:r>
    </w:p>
    <w:tbl>
      <w:tblPr>
        <w:tblStyle w:val="16"/>
        <w:tblW w:w="10046"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2"/>
        <w:gridCol w:w="1575"/>
        <w:gridCol w:w="1307"/>
        <w:gridCol w:w="1704"/>
        <w:gridCol w:w="1642"/>
        <w:gridCol w:w="1134"/>
        <w:gridCol w:w="176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9" w:hRule="atLeast"/>
          <w:jc w:val="center"/>
        </w:trPr>
        <w:tc>
          <w:tcPr>
            <w:tcW w:w="922" w:type="dxa"/>
            <w:tcBorders>
              <w:top w:val="double" w:color="auto"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序号</w:t>
            </w:r>
          </w:p>
        </w:tc>
        <w:tc>
          <w:tcPr>
            <w:tcW w:w="1575" w:type="dxa"/>
            <w:tcBorders>
              <w:top w:val="double" w:color="auto" w:sz="4" w:space="0"/>
              <w:left w:val="single" w:color="000000" w:themeColor="text1" w:sz="4" w:space="0"/>
              <w:bottom w:val="single" w:color="000000" w:themeColor="text1" w:sz="4" w:space="0"/>
              <w:right w:val="sing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 xml:space="preserve">估价 </w:t>
            </w:r>
          </w:p>
          <w:p>
            <w:pPr>
              <w:spacing w:line="240" w:lineRule="exact"/>
              <w:jc w:val="center"/>
              <w:rPr>
                <w:rFonts w:ascii="仿宋_GB2312" w:eastAsia="仿宋_GB2312"/>
                <w:b/>
                <w:sz w:val="24"/>
                <w:szCs w:val="24"/>
              </w:rPr>
            </w:pPr>
            <w:r>
              <w:rPr>
                <w:rFonts w:hint="eastAsia" w:ascii="仿宋_GB2312" w:eastAsia="仿宋_GB2312"/>
                <w:b/>
                <w:sz w:val="24"/>
                <w:szCs w:val="24"/>
              </w:rPr>
              <w:t>对象</w:t>
            </w:r>
          </w:p>
        </w:tc>
        <w:tc>
          <w:tcPr>
            <w:tcW w:w="1307" w:type="dxa"/>
            <w:tcBorders>
              <w:top w:val="double" w:color="auto" w:sz="4" w:space="0"/>
              <w:left w:val="single" w:color="auto" w:sz="4" w:space="0"/>
              <w:bottom w:val="single" w:color="000000" w:themeColor="text1" w:sz="4" w:space="0"/>
              <w:right w:val="sing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结构</w:t>
            </w:r>
          </w:p>
        </w:tc>
        <w:tc>
          <w:tcPr>
            <w:tcW w:w="1704" w:type="dxa"/>
            <w:tcBorders>
              <w:top w:val="double" w:color="auto" w:sz="4" w:space="0"/>
              <w:left w:val="single" w:color="auto" w:sz="4" w:space="0"/>
              <w:bottom w:val="single" w:color="000000" w:themeColor="text1" w:sz="4" w:space="0"/>
              <w:right w:val="sing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所在层数/总层数</w:t>
            </w:r>
          </w:p>
        </w:tc>
        <w:tc>
          <w:tcPr>
            <w:tcW w:w="1642" w:type="dxa"/>
            <w:tcBorders>
              <w:top w:val="double" w:color="auto" w:sz="4" w:space="0"/>
              <w:left w:val="sing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面积</w:t>
            </w:r>
          </w:p>
          <w:p>
            <w:pPr>
              <w:spacing w:line="240" w:lineRule="exact"/>
              <w:jc w:val="center"/>
              <w:rPr>
                <w:rFonts w:ascii="仿宋_GB2312" w:eastAsia="仿宋_GB2312"/>
                <w:b/>
                <w:sz w:val="24"/>
                <w:szCs w:val="24"/>
              </w:rPr>
            </w:pPr>
            <w:r>
              <w:rPr>
                <w:rFonts w:hint="eastAsia" w:ascii="仿宋_GB2312" w:eastAsia="仿宋_GB2312"/>
                <w:b/>
                <w:sz w:val="24"/>
                <w:szCs w:val="24"/>
              </w:rPr>
              <w:t>（平方米）</w:t>
            </w:r>
          </w:p>
        </w:tc>
        <w:tc>
          <w:tcPr>
            <w:tcW w:w="1134" w:type="dxa"/>
            <w:tcBorders>
              <w:top w:val="double" w:color="auto"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单价</w:t>
            </w:r>
          </w:p>
          <w:p>
            <w:pPr>
              <w:spacing w:line="240" w:lineRule="exact"/>
              <w:jc w:val="center"/>
              <w:rPr>
                <w:rFonts w:ascii="仿宋_GB2312" w:eastAsia="仿宋_GB2312"/>
                <w:b/>
                <w:sz w:val="24"/>
                <w:szCs w:val="24"/>
              </w:rPr>
            </w:pPr>
            <w:r>
              <w:rPr>
                <w:rFonts w:hint="eastAsia" w:ascii="仿宋_GB2312" w:eastAsia="仿宋_GB2312"/>
                <w:b/>
                <w:sz w:val="24"/>
                <w:szCs w:val="24"/>
              </w:rPr>
              <w:t>（元/平方米）</w:t>
            </w:r>
          </w:p>
        </w:tc>
        <w:tc>
          <w:tcPr>
            <w:tcW w:w="1762" w:type="dxa"/>
            <w:tcBorders>
              <w:top w:val="double" w:color="auto"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总价（元）</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1-502</w:t>
            </w: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5/34</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 xml:space="preserve">35.50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3470</w:t>
            </w:r>
          </w:p>
        </w:tc>
        <w:tc>
          <w:tcPr>
            <w:tcW w:w="1762" w:type="dxa"/>
            <w:tcBorders>
              <w:top w:val="single" w:color="000000" w:themeColor="text1"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123,185.00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1-503</w:t>
            </w: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5/34</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 xml:space="preserve">37.96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4338</w:t>
            </w:r>
          </w:p>
        </w:tc>
        <w:tc>
          <w:tcPr>
            <w:tcW w:w="1762" w:type="dxa"/>
            <w:tcBorders>
              <w:top w:val="single" w:color="000000" w:themeColor="text1"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164,670.00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000000" w:themeColor="text1"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w:t>
            </w:r>
          </w:p>
        </w:tc>
        <w:tc>
          <w:tcPr>
            <w:tcW w:w="1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1-701</w:t>
            </w: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7/34</w:t>
            </w:r>
          </w:p>
        </w:tc>
        <w:tc>
          <w:tcPr>
            <w:tcW w:w="164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34.52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3470</w:t>
            </w:r>
          </w:p>
        </w:tc>
        <w:tc>
          <w:tcPr>
            <w:tcW w:w="1762" w:type="dxa"/>
            <w:tcBorders>
              <w:top w:val="single" w:color="000000" w:themeColor="text1" w:sz="4" w:space="0"/>
              <w:left w:val="single" w:color="000000" w:themeColor="text1" w:sz="4" w:space="0"/>
              <w:bottom w:val="single" w:color="000000" w:themeColor="text1"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119,784.00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1-708</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40.27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4338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174,691.00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1-1209</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40.59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4472</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181,518.00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6</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1-1211</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78.41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4383</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343,671.00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7</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1-1213</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36.55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130,776.00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1-1214</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26.77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3649</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97,684.00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1-1401</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14/34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34.52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123,513.00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10</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1-1710</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38.81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4472</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173,558.00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11</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1-1714</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26.77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3649</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97,684.00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12</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1-1716</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35.50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127,019.00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922" w:type="dxa"/>
            <w:tcBorders>
              <w:top w:val="single" w:color="000000" w:themeColor="text1" w:sz="4" w:space="0"/>
              <w:left w:val="double" w:color="auto" w:sz="4" w:space="0"/>
              <w:bottom w:val="single" w:color="auto" w:sz="4" w:space="0"/>
              <w:right w:val="single" w:color="000000" w:themeColor="text1"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w:t>
            </w:r>
          </w:p>
        </w:tc>
        <w:tc>
          <w:tcPr>
            <w:tcW w:w="1575"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1-1902</w:t>
            </w:r>
          </w:p>
        </w:tc>
        <w:tc>
          <w:tcPr>
            <w:tcW w:w="1307"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钢混</w:t>
            </w:r>
          </w:p>
        </w:tc>
        <w:tc>
          <w:tcPr>
            <w:tcW w:w="170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19/34</w:t>
            </w:r>
          </w:p>
        </w:tc>
        <w:tc>
          <w:tcPr>
            <w:tcW w:w="1642"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35.48 </w:t>
            </w:r>
          </w:p>
        </w:tc>
        <w:tc>
          <w:tcPr>
            <w:tcW w:w="1134"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3578</w:t>
            </w:r>
          </w:p>
        </w:tc>
        <w:tc>
          <w:tcPr>
            <w:tcW w:w="1762" w:type="dxa"/>
            <w:tcBorders>
              <w:top w:val="single" w:color="000000" w:themeColor="text1" w:sz="4" w:space="0"/>
              <w:left w:val="single" w:color="000000" w:themeColor="text1" w:sz="4" w:space="0"/>
              <w:bottom w:val="single" w:color="auto" w:sz="4" w:space="0"/>
              <w:right w:val="double" w:color="auto" w:sz="4" w:space="0"/>
            </w:tcBorders>
            <w:vAlign w:val="center"/>
          </w:tcPr>
          <w:p>
            <w:pPr>
              <w:spacing w:line="240" w:lineRule="exact"/>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 xml:space="preserve">126,947.00 </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5508" w:type="dxa"/>
            <w:gridSpan w:val="4"/>
            <w:tcBorders>
              <w:top w:val="single" w:color="auto" w:sz="4" w:space="0"/>
              <w:left w:val="double" w:color="auto" w:sz="4" w:space="0"/>
              <w:bottom w:val="double" w:color="auto" w:sz="4" w:space="0"/>
              <w:right w:val="sing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t>合  计</w:t>
            </w:r>
          </w:p>
        </w:tc>
        <w:tc>
          <w:tcPr>
            <w:tcW w:w="1642" w:type="dxa"/>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fldChar w:fldCharType="begin"/>
            </w:r>
            <w:r>
              <w:rPr>
                <w:rFonts w:hint="eastAsia" w:ascii="仿宋_GB2312" w:eastAsia="仿宋_GB2312"/>
                <w:b/>
                <w:bCs/>
                <w:sz w:val="18"/>
                <w:szCs w:val="18"/>
                <w:lang w:val="en-US" w:eastAsia="zh-CN"/>
              </w:rPr>
              <w:instrText xml:space="preserve"> =SUM(ABOVE) </w:instrText>
            </w:r>
            <w:r>
              <w:rPr>
                <w:rFonts w:hint="eastAsia" w:ascii="仿宋_GB2312" w:eastAsia="仿宋_GB2312"/>
                <w:b/>
                <w:bCs/>
                <w:sz w:val="18"/>
                <w:szCs w:val="18"/>
                <w:lang w:val="en-US" w:eastAsia="zh-CN"/>
              </w:rPr>
              <w:fldChar w:fldCharType="separate"/>
            </w:r>
            <w:r>
              <w:rPr>
                <w:rFonts w:hint="eastAsia" w:ascii="仿宋_GB2312" w:eastAsia="仿宋_GB2312"/>
                <w:b/>
                <w:bCs/>
                <w:sz w:val="18"/>
                <w:szCs w:val="18"/>
                <w:lang w:val="en-US" w:eastAsia="zh-CN"/>
              </w:rPr>
              <w:t>501.65</w:t>
            </w:r>
            <w:r>
              <w:rPr>
                <w:rFonts w:hint="eastAsia" w:ascii="仿宋_GB2312" w:eastAsia="仿宋_GB2312"/>
                <w:b/>
                <w:bCs/>
                <w:sz w:val="18"/>
                <w:szCs w:val="18"/>
                <w:lang w:val="en-US" w:eastAsia="zh-CN"/>
              </w:rPr>
              <w:fldChar w:fldCharType="end"/>
            </w:r>
          </w:p>
        </w:tc>
        <w:tc>
          <w:tcPr>
            <w:tcW w:w="1134" w:type="dxa"/>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t>/</w:t>
            </w:r>
          </w:p>
        </w:tc>
        <w:tc>
          <w:tcPr>
            <w:tcW w:w="1762" w:type="dxa"/>
            <w:tcBorders>
              <w:top w:val="single" w:color="auto" w:sz="4" w:space="0"/>
              <w:left w:val="single" w:color="auto" w:sz="4" w:space="0"/>
              <w:bottom w:val="double" w:color="auto" w:sz="4" w:space="0"/>
              <w:right w:val="double" w:color="auto" w:sz="4" w:space="0"/>
            </w:tcBorders>
            <w:vAlign w:val="center"/>
          </w:tcPr>
          <w:p>
            <w:pPr>
              <w:spacing w:line="240" w:lineRule="exact"/>
              <w:jc w:val="center"/>
              <w:rPr>
                <w:rFonts w:hint="eastAsia" w:ascii="仿宋_GB2312" w:eastAsia="仿宋_GB2312"/>
                <w:b/>
                <w:bCs/>
                <w:sz w:val="18"/>
                <w:szCs w:val="18"/>
                <w:lang w:val="en-US" w:eastAsia="zh-CN"/>
              </w:rPr>
            </w:pPr>
            <w:r>
              <w:rPr>
                <w:rFonts w:hint="eastAsia" w:ascii="仿宋_GB2312" w:eastAsia="仿宋_GB2312"/>
                <w:b/>
                <w:bCs/>
                <w:sz w:val="18"/>
                <w:szCs w:val="18"/>
                <w:lang w:val="en-US" w:eastAsia="zh-CN"/>
              </w:rPr>
              <w:t xml:space="preserve">1,984,700.00 </w:t>
            </w:r>
          </w:p>
        </w:tc>
      </w:tr>
    </w:tbl>
    <w:p>
      <w:pPr>
        <w:spacing w:line="480" w:lineRule="exact"/>
        <w:ind w:left="544"/>
        <w:rPr>
          <w:rFonts w:ascii="仿宋_GB2312" w:eastAsia="仿宋_GB2312"/>
          <w:color w:val="000000" w:themeColor="text1"/>
          <w:spacing w:val="-4"/>
          <w:sz w:val="28"/>
        </w:rPr>
      </w:pPr>
      <w:r>
        <w:rPr>
          <w:rFonts w:hint="eastAsia" w:ascii="仿宋_GB2312" w:eastAsia="仿宋_GB2312"/>
          <w:color w:val="000000" w:themeColor="text1"/>
          <w:spacing w:val="-4"/>
          <w:sz w:val="28"/>
        </w:rPr>
        <w:t>大   写：</w:t>
      </w:r>
      <w:r>
        <w:rPr>
          <w:rFonts w:hint="eastAsia" w:ascii="仿宋_GB2312" w:eastAsia="仿宋_GB2312"/>
          <w:color w:val="000000" w:themeColor="text1"/>
          <w:spacing w:val="-4"/>
          <w:sz w:val="28"/>
          <w:lang w:eastAsia="zh-CN"/>
        </w:rPr>
        <w:t>壹佰玖拾捌万肆仟柒佰</w:t>
      </w:r>
      <w:r>
        <w:rPr>
          <w:rFonts w:hint="eastAsia" w:ascii="仿宋_GB2312" w:eastAsia="仿宋_GB2312"/>
          <w:color w:val="000000" w:themeColor="text1"/>
          <w:spacing w:val="-4"/>
          <w:sz w:val="28"/>
        </w:rPr>
        <w:t>元整</w:t>
      </w:r>
    </w:p>
    <w:p>
      <w:pPr>
        <w:spacing w:line="480" w:lineRule="exact"/>
        <w:ind w:left="544"/>
        <w:rPr>
          <w:rFonts w:ascii="仿宋_GB2312" w:eastAsia="仿宋_GB2312"/>
          <w:color w:val="000000" w:themeColor="text1"/>
          <w:spacing w:val="-4"/>
          <w:sz w:val="28"/>
        </w:rPr>
      </w:pPr>
      <w:r>
        <w:rPr>
          <w:rFonts w:hint="eastAsia" w:ascii="仿宋_GB2312" w:eastAsia="仿宋_GB2312"/>
          <w:color w:val="000000" w:themeColor="text1"/>
          <w:spacing w:val="-4"/>
          <w:sz w:val="28"/>
        </w:rPr>
        <w:t>币   种：人民币</w:t>
      </w:r>
    </w:p>
    <w:p>
      <w:pPr>
        <w:pStyle w:val="3"/>
      </w:pPr>
      <w:bookmarkStart w:id="26" w:name="_Toc9492"/>
      <w:r>
        <w:rPr>
          <w:rFonts w:hint="eastAsia"/>
        </w:rPr>
        <w:t>十一、注册房地产估价师</w:t>
      </w:r>
      <w:bookmarkEnd w:id="25"/>
      <w:bookmarkEnd w:id="26"/>
    </w:p>
    <w:tbl>
      <w:tblPr>
        <w:tblStyle w:val="15"/>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835"/>
        <w:gridCol w:w="2410"/>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ascii="仿宋_GB2312" w:eastAsia="仿宋_GB2312"/>
                <w:b/>
                <w:bCs/>
                <w:sz w:val="28"/>
              </w:rPr>
            </w:pPr>
            <w:r>
              <w:rPr>
                <w:rFonts w:hint="eastAsia" w:eastAsia="仿宋_GB2312"/>
                <w:sz w:val="28"/>
              </w:rPr>
              <w:t>姓名</w:t>
            </w:r>
          </w:p>
        </w:tc>
        <w:tc>
          <w:tcPr>
            <w:tcW w:w="2835" w:type="dxa"/>
            <w:vAlign w:val="center"/>
          </w:tcPr>
          <w:p>
            <w:pPr>
              <w:adjustRightInd w:val="0"/>
              <w:snapToGrid w:val="0"/>
              <w:spacing w:line="700" w:lineRule="exact"/>
              <w:jc w:val="center"/>
              <w:rPr>
                <w:rFonts w:ascii="仿宋_GB2312" w:eastAsia="仿宋_GB2312"/>
                <w:b/>
                <w:bCs/>
                <w:sz w:val="28"/>
              </w:rPr>
            </w:pPr>
            <w:r>
              <w:rPr>
                <w:rFonts w:hint="eastAsia" w:eastAsia="仿宋_GB2312"/>
                <w:sz w:val="28"/>
              </w:rPr>
              <w:t>注册号</w:t>
            </w:r>
          </w:p>
        </w:tc>
        <w:tc>
          <w:tcPr>
            <w:tcW w:w="2410" w:type="dxa"/>
            <w:tcBorders>
              <w:bottom w:val="single" w:color="auto" w:sz="4" w:space="0"/>
            </w:tcBorders>
            <w:vAlign w:val="center"/>
          </w:tcPr>
          <w:p>
            <w:pPr>
              <w:adjustRightInd w:val="0"/>
              <w:snapToGrid w:val="0"/>
              <w:spacing w:line="700" w:lineRule="exact"/>
              <w:jc w:val="center"/>
              <w:rPr>
                <w:rFonts w:ascii="仿宋_GB2312" w:eastAsia="仿宋_GB2312"/>
                <w:b/>
                <w:bCs/>
                <w:sz w:val="28"/>
              </w:rPr>
            </w:pPr>
            <w:r>
              <w:rPr>
                <w:rFonts w:hint="eastAsia" w:eastAsia="仿宋_GB2312"/>
                <w:sz w:val="28"/>
              </w:rPr>
              <w:t>签名</w:t>
            </w:r>
          </w:p>
        </w:tc>
        <w:tc>
          <w:tcPr>
            <w:tcW w:w="2027" w:type="dxa"/>
            <w:tcBorders>
              <w:bottom w:val="single" w:color="auto" w:sz="4" w:space="0"/>
            </w:tcBorders>
            <w:vAlign w:val="center"/>
          </w:tcPr>
          <w:p>
            <w:pPr>
              <w:adjustRightInd w:val="0"/>
              <w:snapToGrid w:val="0"/>
              <w:spacing w:line="700" w:lineRule="exact"/>
              <w:jc w:val="center"/>
              <w:rPr>
                <w:rFonts w:eastAsia="仿宋_GB2312"/>
                <w:sz w:val="28"/>
              </w:rPr>
            </w:pPr>
            <w:r>
              <w:rPr>
                <w:rFonts w:hint="eastAsia" w:eastAsia="仿宋_GB2312"/>
                <w:sz w:val="28"/>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68" w:type="dxa"/>
            <w:vAlign w:val="center"/>
          </w:tcPr>
          <w:p>
            <w:pPr>
              <w:adjustRightInd w:val="0"/>
              <w:snapToGrid w:val="0"/>
              <w:spacing w:line="700" w:lineRule="exact"/>
              <w:jc w:val="center"/>
              <w:rPr>
                <w:rFonts w:eastAsia="仿宋_GB2312"/>
                <w:sz w:val="28"/>
              </w:rPr>
            </w:pPr>
            <w:r>
              <w:rPr>
                <w:rFonts w:hint="eastAsia" w:eastAsia="仿宋_GB2312"/>
                <w:sz w:val="28"/>
              </w:rPr>
              <w:t>张  锐</w:t>
            </w:r>
          </w:p>
        </w:tc>
        <w:tc>
          <w:tcPr>
            <w:tcW w:w="2835" w:type="dxa"/>
            <w:vAlign w:val="center"/>
          </w:tcPr>
          <w:p>
            <w:pPr>
              <w:adjustRightInd w:val="0"/>
              <w:snapToGrid w:val="0"/>
              <w:spacing w:line="700" w:lineRule="exact"/>
              <w:jc w:val="center"/>
              <w:rPr>
                <w:rFonts w:ascii="仿宋_GB2312" w:eastAsia="仿宋_GB2312"/>
                <w:b/>
                <w:bCs/>
                <w:sz w:val="28"/>
              </w:rPr>
            </w:pPr>
            <w:r>
              <w:rPr>
                <w:rFonts w:eastAsia="仿宋_GB2312"/>
                <w:sz w:val="28"/>
              </w:rPr>
              <w:t>2120130038</w:t>
            </w:r>
          </w:p>
        </w:tc>
        <w:tc>
          <w:tcPr>
            <w:tcW w:w="2410" w:type="dxa"/>
            <w:tcBorders>
              <w:top w:val="single" w:color="auto" w:sz="4" w:space="0"/>
            </w:tcBorders>
            <w:vAlign w:val="center"/>
          </w:tcPr>
          <w:p>
            <w:pPr>
              <w:adjustRightInd w:val="0"/>
              <w:snapToGrid w:val="0"/>
              <w:spacing w:line="700" w:lineRule="exact"/>
              <w:jc w:val="center"/>
              <w:rPr>
                <w:rFonts w:ascii="仿宋_GB2312" w:eastAsia="仿宋_GB2312"/>
                <w:b/>
                <w:bCs/>
                <w:sz w:val="28"/>
              </w:rPr>
            </w:pPr>
          </w:p>
        </w:tc>
        <w:tc>
          <w:tcPr>
            <w:tcW w:w="2027" w:type="dxa"/>
            <w:tcBorders>
              <w:top w:val="single" w:color="auto" w:sz="4" w:space="0"/>
            </w:tcBorders>
            <w:vAlign w:val="center"/>
          </w:tcPr>
          <w:p>
            <w:pPr>
              <w:adjustRightInd w:val="0"/>
              <w:snapToGrid w:val="0"/>
              <w:spacing w:line="700" w:lineRule="exact"/>
              <w:jc w:val="center"/>
              <w:rPr>
                <w:rFonts w:ascii="仿宋_GB2312" w:eastAsia="仿宋_GB2312"/>
                <w:b/>
                <w:bCs/>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68" w:type="dxa"/>
            <w:vAlign w:val="center"/>
          </w:tcPr>
          <w:p>
            <w:pPr>
              <w:adjustRightInd w:val="0"/>
              <w:snapToGrid w:val="0"/>
              <w:spacing w:line="700" w:lineRule="exact"/>
              <w:jc w:val="center"/>
              <w:rPr>
                <w:rFonts w:eastAsia="仿宋_GB2312"/>
                <w:sz w:val="28"/>
              </w:rPr>
            </w:pPr>
            <w:r>
              <w:rPr>
                <w:rFonts w:hint="eastAsia" w:eastAsia="仿宋_GB2312"/>
                <w:sz w:val="28"/>
                <w:lang w:val="en-US" w:eastAsia="zh-CN"/>
              </w:rPr>
              <w:t>杨应明</w:t>
            </w:r>
          </w:p>
        </w:tc>
        <w:tc>
          <w:tcPr>
            <w:tcW w:w="2835" w:type="dxa"/>
            <w:vAlign w:val="center"/>
          </w:tcPr>
          <w:p>
            <w:pPr>
              <w:adjustRightInd w:val="0"/>
              <w:snapToGrid w:val="0"/>
              <w:spacing w:line="700" w:lineRule="exact"/>
              <w:jc w:val="center"/>
              <w:rPr>
                <w:rFonts w:ascii="仿宋_GB2312" w:eastAsia="仿宋_GB2312"/>
                <w:b/>
                <w:bCs/>
                <w:sz w:val="28"/>
              </w:rPr>
            </w:pPr>
            <w:r>
              <w:rPr>
                <w:rFonts w:hint="eastAsia" w:eastAsia="仿宋_GB2312"/>
                <w:sz w:val="28"/>
                <w:lang w:eastAsia="zh-CN"/>
              </w:rPr>
              <w:t>2120180037</w:t>
            </w:r>
          </w:p>
        </w:tc>
        <w:tc>
          <w:tcPr>
            <w:tcW w:w="2410" w:type="dxa"/>
            <w:vAlign w:val="center"/>
          </w:tcPr>
          <w:p>
            <w:pPr>
              <w:adjustRightInd w:val="0"/>
              <w:snapToGrid w:val="0"/>
              <w:spacing w:line="700" w:lineRule="exact"/>
              <w:jc w:val="center"/>
              <w:rPr>
                <w:rFonts w:ascii="仿宋_GB2312" w:eastAsia="仿宋_GB2312"/>
                <w:b/>
                <w:bCs/>
                <w:sz w:val="28"/>
              </w:rPr>
            </w:pPr>
          </w:p>
        </w:tc>
        <w:tc>
          <w:tcPr>
            <w:tcW w:w="2027" w:type="dxa"/>
            <w:vAlign w:val="center"/>
          </w:tcPr>
          <w:p>
            <w:pPr>
              <w:adjustRightInd w:val="0"/>
              <w:snapToGrid w:val="0"/>
              <w:spacing w:line="700" w:lineRule="exact"/>
              <w:jc w:val="center"/>
              <w:rPr>
                <w:rFonts w:ascii="仿宋_GB2312" w:eastAsia="仿宋_GB2312"/>
                <w:b/>
                <w:bCs/>
                <w:sz w:val="28"/>
              </w:rPr>
            </w:pPr>
          </w:p>
        </w:tc>
      </w:tr>
    </w:tbl>
    <w:p>
      <w:pPr>
        <w:pStyle w:val="3"/>
      </w:pPr>
      <w:bookmarkStart w:id="27" w:name="_Toc17275461"/>
      <w:bookmarkStart w:id="28" w:name="_Toc19132"/>
      <w:r>
        <w:rPr>
          <w:rFonts w:hint="eastAsia"/>
        </w:rPr>
        <w:t>十二、实地查勘期</w:t>
      </w:r>
      <w:bookmarkEnd w:id="27"/>
      <w:bookmarkEnd w:id="28"/>
    </w:p>
    <w:p>
      <w:pPr>
        <w:spacing w:line="520" w:lineRule="exact"/>
        <w:ind w:firstLine="560" w:firstLineChars="200"/>
        <w:rPr>
          <w:rFonts w:ascii="仿宋_GB2312" w:eastAsia="仿宋_GB2312"/>
          <w:sz w:val="28"/>
        </w:rPr>
      </w:pPr>
      <w:r>
        <w:rPr>
          <w:rFonts w:hint="eastAsia" w:ascii="仿宋_GB2312" w:eastAsia="仿宋_GB2312"/>
          <w:sz w:val="28"/>
          <w:lang w:eastAsia="zh-CN"/>
        </w:rPr>
        <w:t>二〇二二年二月二十一日</w:t>
      </w:r>
      <w:r>
        <w:rPr>
          <w:rFonts w:hint="eastAsia" w:ascii="仿宋_GB2312" w:eastAsia="仿宋_GB2312"/>
          <w:sz w:val="28"/>
        </w:rPr>
        <w:t>至</w:t>
      </w:r>
      <w:r>
        <w:rPr>
          <w:rFonts w:hint="eastAsia" w:ascii="仿宋_GB2312" w:eastAsia="仿宋_GB2312"/>
          <w:sz w:val="28"/>
          <w:lang w:eastAsia="zh-CN"/>
        </w:rPr>
        <w:t>二〇二二年二月二十一日</w:t>
      </w:r>
    </w:p>
    <w:p>
      <w:pPr>
        <w:pStyle w:val="3"/>
      </w:pPr>
      <w:bookmarkStart w:id="29" w:name="_Toc17275462"/>
      <w:bookmarkStart w:id="30" w:name="_Toc20108"/>
      <w:r>
        <w:rPr>
          <w:rFonts w:hint="eastAsia"/>
        </w:rPr>
        <w:t>十三、估价作业期</w:t>
      </w:r>
      <w:bookmarkEnd w:id="29"/>
      <w:bookmarkEnd w:id="30"/>
    </w:p>
    <w:p>
      <w:pPr>
        <w:adjustRightInd w:val="0"/>
        <w:snapToGrid w:val="0"/>
        <w:spacing w:line="480" w:lineRule="exact"/>
        <w:ind w:firstLine="560" w:firstLineChars="200"/>
        <w:rPr>
          <w:rFonts w:ascii="仿宋_GB2312" w:hAnsi="仿宋_GB2312" w:eastAsia="仿宋_GB2312" w:cs="仿宋_GB2312"/>
          <w:sz w:val="28"/>
        </w:rPr>
      </w:pPr>
      <w:r>
        <w:rPr>
          <w:rFonts w:hint="eastAsia" w:ascii="仿宋_GB2312" w:eastAsia="仿宋_GB2312"/>
          <w:sz w:val="28"/>
          <w:lang w:eastAsia="zh-CN"/>
        </w:rPr>
        <w:t>二〇二二年二月二十一日</w:t>
      </w:r>
      <w:r>
        <w:rPr>
          <w:rFonts w:hint="eastAsia" w:ascii="仿宋_GB2312" w:eastAsia="仿宋_GB2312"/>
          <w:sz w:val="28"/>
        </w:rPr>
        <w:t>至</w:t>
      </w:r>
      <w:r>
        <w:rPr>
          <w:rFonts w:hint="eastAsia" w:ascii="仿宋_GB2312" w:eastAsia="仿宋_GB2312"/>
          <w:sz w:val="28"/>
          <w:lang w:eastAsia="zh-CN"/>
        </w:rPr>
        <w:t>二〇二二年三月七日</w:t>
      </w:r>
    </w:p>
    <w:p>
      <w:pPr>
        <w:adjustRightInd w:val="0"/>
        <w:snapToGrid w:val="0"/>
        <w:spacing w:line="480" w:lineRule="exact"/>
        <w:rPr>
          <w:rFonts w:ascii="仿宋_GB2312" w:hAnsi="仿宋_GB2312" w:eastAsia="仿宋_GB2312" w:cs="仿宋_GB2312"/>
          <w:sz w:val="28"/>
        </w:rPr>
      </w:pPr>
    </w:p>
    <w:p>
      <w:pPr>
        <w:adjustRightInd w:val="0"/>
        <w:snapToGrid w:val="0"/>
        <w:spacing w:line="480" w:lineRule="exact"/>
        <w:ind w:firstLine="560" w:firstLineChars="200"/>
        <w:rPr>
          <w:rFonts w:ascii="仿宋_GB2312" w:hAnsi="仿宋_GB2312" w:eastAsia="仿宋_GB2312" w:cs="仿宋_GB2312"/>
          <w:sz w:val="28"/>
        </w:rPr>
      </w:pPr>
    </w:p>
    <w:p/>
    <w:p>
      <w:pPr>
        <w:pStyle w:val="2"/>
        <w:spacing w:before="0" w:after="0" w:line="540" w:lineRule="exact"/>
        <w:jc w:val="center"/>
        <w:rPr>
          <w:rFonts w:ascii="黑体" w:hAnsi="黑体" w:eastAsia="黑体"/>
          <w:color w:val="000000" w:themeColor="text1"/>
          <w:sz w:val="32"/>
          <w:szCs w:val="32"/>
        </w:rPr>
      </w:pPr>
      <w:bookmarkStart w:id="31" w:name="_Toc7379"/>
      <w:bookmarkStart w:id="32" w:name="_Toc14857"/>
      <w:bookmarkStart w:id="33" w:name="_Toc56068814"/>
      <w:bookmarkStart w:id="34" w:name="_Toc17358717"/>
      <w:bookmarkStart w:id="35" w:name="_Toc86235468"/>
      <w:bookmarkStart w:id="36" w:name="_Toc22641"/>
      <w:r>
        <w:rPr>
          <w:rFonts w:hint="eastAsia" w:ascii="黑体" w:hAnsi="黑体" w:eastAsia="黑体"/>
          <w:color w:val="000000" w:themeColor="text1"/>
          <w:sz w:val="32"/>
          <w:szCs w:val="32"/>
        </w:rPr>
        <w:t>附   件</w:t>
      </w:r>
      <w:bookmarkEnd w:id="31"/>
      <w:bookmarkEnd w:id="32"/>
      <w:bookmarkEnd w:id="33"/>
      <w:bookmarkEnd w:id="34"/>
      <w:bookmarkEnd w:id="35"/>
      <w:bookmarkEnd w:id="36"/>
    </w:p>
    <w:p>
      <w:pPr>
        <w:spacing w:line="600" w:lineRule="exact"/>
        <w:rPr>
          <w:rFonts w:ascii="仿宋_GB2312" w:eastAsia="仿宋_GB2312"/>
          <w:color w:val="000000" w:themeColor="text1"/>
          <w:sz w:val="28"/>
        </w:rPr>
      </w:pPr>
    </w:p>
    <w:p>
      <w:pPr>
        <w:spacing w:line="600" w:lineRule="exact"/>
        <w:ind w:left="703" w:firstLine="1"/>
        <w:rPr>
          <w:rFonts w:ascii="仿宋_GB2312" w:eastAsia="仿宋_GB2312"/>
          <w:sz w:val="28"/>
        </w:rPr>
      </w:pPr>
      <w:r>
        <w:rPr>
          <w:rFonts w:hint="eastAsia" w:ascii="仿宋_GB2312" w:eastAsia="仿宋_GB2312"/>
          <w:sz w:val="28"/>
        </w:rPr>
        <w:t>一、《司法鉴定评估委托书》（</w:t>
      </w:r>
      <w:r>
        <w:rPr>
          <w:rFonts w:hint="eastAsia" w:ascii="仿宋_GB2312" w:eastAsia="仿宋_GB2312"/>
          <w:sz w:val="28"/>
          <w:lang w:eastAsia="zh-CN"/>
        </w:rPr>
        <w:t>（2022）辽11委字第00037号</w:t>
      </w:r>
      <w:r>
        <w:rPr>
          <w:rFonts w:hint="eastAsia" w:ascii="仿宋_GB2312" w:eastAsia="仿宋_GB2312"/>
          <w:sz w:val="28"/>
        </w:rPr>
        <w:t>）复印件</w:t>
      </w:r>
    </w:p>
    <w:p>
      <w:pPr>
        <w:spacing w:line="600" w:lineRule="exact"/>
        <w:ind w:left="703" w:firstLine="1"/>
        <w:rPr>
          <w:rFonts w:ascii="仿宋_GB2312" w:eastAsia="仿宋_GB2312"/>
          <w:sz w:val="28"/>
        </w:rPr>
      </w:pPr>
      <w:r>
        <w:rPr>
          <w:rFonts w:hint="eastAsia" w:ascii="仿宋_GB2312" w:eastAsia="仿宋_GB2312"/>
          <w:sz w:val="28"/>
        </w:rPr>
        <w:t>二、</w:t>
      </w:r>
      <w:r>
        <w:rPr>
          <w:rFonts w:hint="eastAsia" w:ascii="仿宋_GB2312" w:eastAsia="仿宋_GB2312"/>
          <w:sz w:val="28"/>
          <w:lang w:eastAsia="zh-CN"/>
        </w:rPr>
        <w:t>《网签业务明细表》</w:t>
      </w:r>
      <w:r>
        <w:rPr>
          <w:rFonts w:hint="eastAsia" w:ascii="仿宋_GB2312" w:eastAsia="仿宋_GB2312"/>
          <w:sz w:val="28"/>
        </w:rPr>
        <w:t>复印件</w:t>
      </w:r>
    </w:p>
    <w:p>
      <w:pPr>
        <w:spacing w:line="600" w:lineRule="exact"/>
        <w:ind w:firstLine="700" w:firstLineChars="250"/>
        <w:rPr>
          <w:rFonts w:ascii="仿宋_GB2312" w:eastAsia="仿宋_GB2312"/>
          <w:sz w:val="28"/>
        </w:rPr>
      </w:pPr>
      <w:r>
        <w:rPr>
          <w:rFonts w:hint="eastAsia" w:ascii="仿宋_GB2312" w:eastAsia="仿宋_GB2312"/>
          <w:sz w:val="28"/>
        </w:rPr>
        <w:t>三、估价对象位置图</w:t>
      </w:r>
    </w:p>
    <w:p>
      <w:pPr>
        <w:spacing w:line="600" w:lineRule="exact"/>
        <w:ind w:left="703" w:firstLine="1"/>
        <w:rPr>
          <w:rFonts w:ascii="仿宋_GB2312" w:eastAsia="仿宋_GB2312"/>
          <w:sz w:val="28"/>
        </w:rPr>
      </w:pPr>
      <w:r>
        <w:rPr>
          <w:rFonts w:hint="eastAsia" w:ascii="仿宋_GB2312" w:eastAsia="仿宋_GB2312"/>
          <w:sz w:val="28"/>
        </w:rPr>
        <w:t>四、估价对象内、外部照片和周围环境照片</w:t>
      </w:r>
    </w:p>
    <w:p>
      <w:pPr>
        <w:spacing w:line="600" w:lineRule="exact"/>
        <w:ind w:left="703" w:firstLine="1"/>
        <w:rPr>
          <w:rFonts w:ascii="仿宋_GB2312" w:eastAsia="仿宋_GB2312"/>
          <w:sz w:val="28"/>
        </w:rPr>
      </w:pPr>
      <w:r>
        <w:rPr>
          <w:rFonts w:hint="eastAsia" w:ascii="仿宋_GB2312" w:eastAsia="仿宋_GB2312"/>
          <w:sz w:val="28"/>
        </w:rPr>
        <w:t>五、注册房地产估价师资格证书复印件</w:t>
      </w:r>
    </w:p>
    <w:p>
      <w:pPr>
        <w:spacing w:line="600" w:lineRule="exact"/>
        <w:ind w:left="703" w:firstLine="1"/>
        <w:rPr>
          <w:rFonts w:ascii="仿宋_GB2312" w:eastAsia="仿宋_GB2312"/>
          <w:sz w:val="28"/>
        </w:rPr>
      </w:pPr>
      <w:r>
        <w:rPr>
          <w:rFonts w:hint="eastAsia" w:ascii="仿宋_GB2312" w:eastAsia="仿宋_GB2312"/>
          <w:sz w:val="28"/>
        </w:rPr>
        <w:t>六、估价机构《营业执照》复印件</w:t>
      </w:r>
      <w:r>
        <w:rPr>
          <w:rFonts w:ascii="仿宋_GB2312" w:eastAsia="仿宋_GB2312"/>
          <w:sz w:val="28"/>
        </w:rPr>
        <w:tab/>
      </w:r>
    </w:p>
    <w:p>
      <w:pPr>
        <w:spacing w:line="600" w:lineRule="exact"/>
        <w:ind w:left="703" w:firstLine="1"/>
        <w:rPr>
          <w:rFonts w:ascii="仿宋_GB2312" w:eastAsia="仿宋_GB2312"/>
          <w:color w:val="000000" w:themeColor="text1"/>
          <w:spacing w:val="30"/>
          <w:sz w:val="28"/>
        </w:rPr>
      </w:pPr>
      <w:r>
        <w:rPr>
          <w:rFonts w:hint="eastAsia" w:ascii="仿宋_GB2312" w:eastAsia="仿宋_GB2312"/>
          <w:sz w:val="28"/>
        </w:rPr>
        <w:t>七、房地产估价机构备案证书复印件</w:t>
      </w:r>
    </w:p>
    <w:p>
      <w:pPr>
        <w:spacing w:line="600" w:lineRule="exact"/>
        <w:ind w:firstLine="1530" w:firstLineChars="450"/>
        <w:rPr>
          <w:rFonts w:ascii="仿宋_GB2312" w:eastAsia="仿宋_GB2312"/>
          <w:color w:val="000000" w:themeColor="text1"/>
          <w:spacing w:val="30"/>
          <w:sz w:val="28"/>
        </w:rPr>
      </w:pPr>
    </w:p>
    <w:p>
      <w:pPr>
        <w:spacing w:line="600" w:lineRule="exact"/>
        <w:ind w:firstLine="1530" w:firstLineChars="450"/>
        <w:rPr>
          <w:rFonts w:ascii="仿宋_GB2312" w:eastAsia="仿宋_GB2312"/>
          <w:color w:val="000000" w:themeColor="text1"/>
          <w:spacing w:val="30"/>
          <w:sz w:val="28"/>
        </w:rPr>
      </w:pPr>
    </w:p>
    <w:p>
      <w:bookmarkStart w:id="37" w:name="_GoBack"/>
      <w:bookmarkEnd w:id="37"/>
    </w:p>
    <w:sectPr>
      <w:headerReference r:id="rId10" w:type="default"/>
      <w:footerReference r:id="rId11" w:type="default"/>
      <w:pgSz w:w="11906" w:h="16838"/>
      <w:pgMar w:top="1418" w:right="1021" w:bottom="1418" w:left="1531" w:header="851"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kern w:val="0"/>
        <w:sz w:val="20"/>
        <w:szCs w:val="21"/>
      </w:rPr>
      <w:pict>
        <v:line id="直接连接符 9" o:spid="_x0000_s4098" o:spt="20" style="position:absolute;left:0pt;margin-left:27pt;margin-top:233.2pt;height:3.35pt;width:747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">
          <v:path arrowok="t"/>
          <v:fill focussize="0,0"/>
          <v:stroke/>
          <v:imagedata o:title=""/>
          <o:lock v:ext="edit"/>
        </v:line>
      </w:pict>
    </w:r>
    <w:r>
      <w:rPr>
        <w:kern w:val="0"/>
        <w:sz w:val="20"/>
        <w:szCs w:val="21"/>
      </w:rPr>
      <w:pict>
        <v:line id="直接连接符 8" o:spid="_x0000_s4099" o:spt="20" style="position:absolute;left:0pt;margin-left:28.35pt;margin-top:241.4pt;height:0pt;width:46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QqLQIAADM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">
          <v:path arrowok="t"/>
          <v:fill focussize="0,0"/>
          <v:stroke/>
          <v:imagedata o:title=""/>
          <o:lock v:ext="edit"/>
        </v:line>
      </w:pict>
    </w:r>
    <w:r>
      <w:rPr>
        <w:kern w:val="0"/>
        <w:sz w:val="20"/>
        <w:szCs w:val="21"/>
      </w:rPr>
      <w:pict>
        <v:line id="直接连接符 7" o:spid="_x0000_s4100" o:spt="20" style="position:absolute;left:0pt;margin-left:28.35pt;margin-top:238.85pt;height:0pt;width:468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">
          <v:path arrowok="t"/>
          <v:fill focussize="0,0"/>
          <v:stroke/>
          <v:imagedata o:title=""/>
          <o:lock v:ext="edit"/>
        </v:line>
      </w:pict>
    </w:r>
    <w:r>
      <w:rPr>
        <w:kern w:val="0"/>
        <w:sz w:val="20"/>
        <w:szCs w:val="21"/>
      </w:rPr>
      <w:pict>
        <v:line id="直接连接符 6" o:spid="_x0000_s4101" o:spt="20" style="position:absolute;left:0pt;margin-left:28.35pt;margin-top:235.35pt;height:2.05pt;width:493.65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">
          <v:path arrowok="t"/>
          <v:fill focussize="0,0"/>
          <v:stroke/>
          <v:imagedata o:title=""/>
          <o:lock v:ext="edit"/>
        </v:line>
      </w:pict>
    </w:r>
    <w:r>
      <w:rPr>
        <w:kern w:val="0"/>
        <w:sz w:val="20"/>
        <w:szCs w:val="21"/>
      </w:rPr>
      <w:pict>
        <v:line id="直接连接符 5" o:spid="_x0000_s4102" o:spt="20" style="position:absolute;left:0pt;margin-left:279pt;margin-top:245.2pt;height:0pt;width:468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SvLgIAADM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">
          <v:path arrowok="t"/>
          <v:fill focussize="0,0"/>
          <v:stroke/>
          <v:imagedata o:title=""/>
          <o:lock v:ext="edi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line id="_x0000_s4097" o:spid="_x0000_s4097" o:spt="20" style="position:absolute;left:0pt;margin-left:0pt;margin-top:7.6pt;height:0pt;width:468pt;z-index:251659264;mso-width-relative:page;mso-height-relative:page;" coordsize="21600,21600">
          <v:path arrowok="t"/>
          <v:fill focussize="0,0"/>
          <v:stroke/>
          <v:imagedata o:title=""/>
          <o:lock v:ext="edit"/>
        </v:line>
      </w:pict>
    </w:r>
  </w:p>
  <w:p>
    <w:pPr>
      <w:pStyle w:val="9"/>
      <w:jc w:val="center"/>
    </w:pPr>
    <w:r>
      <w:rPr>
        <w:rFonts w:hint="eastAsia"/>
      </w:rPr>
      <w:t>第</w:t>
    </w:r>
    <w:r>
      <w:fldChar w:fldCharType="begin"/>
    </w:r>
    <w:r>
      <w:instrText xml:space="preserve"> PAGE   \* MERGEFORMAT </w:instrText>
    </w:r>
    <w:r>
      <w:fldChar w:fldCharType="separate"/>
    </w:r>
    <w:r>
      <w:rPr>
        <w:lang w:val="zh-CN"/>
      </w:rPr>
      <w:t>9</w:t>
    </w:r>
    <w:r>
      <w:rPr>
        <w:lang w:val="zh-CN"/>
      </w:rPr>
      <w:fldChar w:fldCharType="end"/>
    </w:r>
    <w:r>
      <w:rPr>
        <w:rFonts w:hint="eastAsia"/>
      </w:rPr>
      <w:t>页 共</w:t>
    </w:r>
    <w:r>
      <w:rPr>
        <w:rFonts w:hint="eastAsia"/>
        <w:lang w:val="en-US" w:eastAsia="zh-CN"/>
      </w:rPr>
      <w:t>10</w:t>
    </w:r>
    <w:r>
      <w:rPr>
        <w:rFonts w:hint="eastAsia"/>
      </w:rPr>
      <w:t>页</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《房地产司法鉴定报告》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tabs>
        <w:tab w:val="left" w:pos="3804"/>
      </w:tabs>
      <w:ind w:right="954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tabs>
        <w:tab w:val="left" w:pos="3804"/>
      </w:tabs>
      <w:ind w:right="954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Pr>
        <w:rFonts w:hint="eastAsia"/>
        <w:b/>
        <w:bCs/>
        <w:i/>
        <w:iCs/>
        <w:u w:val="single"/>
      </w:rPr>
      <w:t>《房地产</w:t>
    </w:r>
    <w:r>
      <w:rPr>
        <w:rFonts w:hint="eastAsia"/>
        <w:b/>
        <w:bCs/>
        <w:i/>
        <w:iCs/>
        <w:u w:val="single"/>
        <w:lang w:eastAsia="zh-CN"/>
      </w:rPr>
      <w:t>估价</w:t>
    </w:r>
    <w:r>
      <w:rPr>
        <w:rFonts w:hint="eastAsia"/>
        <w:b/>
        <w:bCs/>
        <w:i/>
        <w:iCs/>
        <w:u w:val="single"/>
      </w:rPr>
      <w:t>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C3CA5"/>
    <w:multiLevelType w:val="multilevel"/>
    <w:tmpl w:val="54DC3CA5"/>
    <w:lvl w:ilvl="0" w:tentative="0">
      <w:start w:val="1"/>
      <w:numFmt w:val="japaneseCounting"/>
      <w:lvlText w:val="%1、"/>
      <w:lvlJc w:val="left"/>
      <w:pPr>
        <w:tabs>
          <w:tab w:val="left" w:pos="1264"/>
        </w:tabs>
        <w:ind w:left="1264" w:hanging="720"/>
      </w:pPr>
      <w:rPr>
        <w:rFonts w:hint="eastAsia"/>
      </w:rPr>
    </w:lvl>
    <w:lvl w:ilvl="1" w:tentative="0">
      <w:start w:val="1"/>
      <w:numFmt w:val="lowerLetter"/>
      <w:lvlText w:val="%2)"/>
      <w:lvlJc w:val="left"/>
      <w:pPr>
        <w:tabs>
          <w:tab w:val="left" w:pos="1384"/>
        </w:tabs>
        <w:ind w:left="1384" w:hanging="420"/>
      </w:pPr>
    </w:lvl>
    <w:lvl w:ilvl="2" w:tentative="0">
      <w:start w:val="1"/>
      <w:numFmt w:val="lowerRoman"/>
      <w:lvlText w:val="%3."/>
      <w:lvlJc w:val="right"/>
      <w:pPr>
        <w:tabs>
          <w:tab w:val="left" w:pos="1804"/>
        </w:tabs>
        <w:ind w:left="1804" w:hanging="420"/>
      </w:pPr>
    </w:lvl>
    <w:lvl w:ilvl="3" w:tentative="0">
      <w:start w:val="1"/>
      <w:numFmt w:val="decimal"/>
      <w:lvlText w:val="%4."/>
      <w:lvlJc w:val="left"/>
      <w:pPr>
        <w:tabs>
          <w:tab w:val="left" w:pos="2224"/>
        </w:tabs>
        <w:ind w:left="2224" w:hanging="420"/>
      </w:pPr>
    </w:lvl>
    <w:lvl w:ilvl="4" w:tentative="0">
      <w:start w:val="1"/>
      <w:numFmt w:val="lowerLetter"/>
      <w:lvlText w:val="%5)"/>
      <w:lvlJc w:val="left"/>
      <w:pPr>
        <w:tabs>
          <w:tab w:val="left" w:pos="2644"/>
        </w:tabs>
        <w:ind w:left="2644" w:hanging="420"/>
      </w:pPr>
    </w:lvl>
    <w:lvl w:ilvl="5" w:tentative="0">
      <w:start w:val="1"/>
      <w:numFmt w:val="lowerRoman"/>
      <w:lvlText w:val="%6."/>
      <w:lvlJc w:val="right"/>
      <w:pPr>
        <w:tabs>
          <w:tab w:val="left" w:pos="3064"/>
        </w:tabs>
        <w:ind w:left="3064" w:hanging="420"/>
      </w:pPr>
    </w:lvl>
    <w:lvl w:ilvl="6" w:tentative="0">
      <w:start w:val="1"/>
      <w:numFmt w:val="decimal"/>
      <w:lvlText w:val="%7."/>
      <w:lvlJc w:val="left"/>
      <w:pPr>
        <w:tabs>
          <w:tab w:val="left" w:pos="3484"/>
        </w:tabs>
        <w:ind w:left="3484" w:hanging="420"/>
      </w:pPr>
    </w:lvl>
    <w:lvl w:ilvl="7" w:tentative="0">
      <w:start w:val="1"/>
      <w:numFmt w:val="lowerLetter"/>
      <w:lvlText w:val="%8)"/>
      <w:lvlJc w:val="left"/>
      <w:pPr>
        <w:tabs>
          <w:tab w:val="left" w:pos="3904"/>
        </w:tabs>
        <w:ind w:left="3904" w:hanging="420"/>
      </w:pPr>
    </w:lvl>
    <w:lvl w:ilvl="8" w:tentative="0">
      <w:start w:val="1"/>
      <w:numFmt w:val="lowerRoman"/>
      <w:lvlText w:val="%9."/>
      <w:lvlJc w:val="right"/>
      <w:pPr>
        <w:tabs>
          <w:tab w:val="left" w:pos="4324"/>
        </w:tabs>
        <w:ind w:left="43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75DD2"/>
    <w:rsid w:val="0000079B"/>
    <w:rsid w:val="00007B03"/>
    <w:rsid w:val="00014078"/>
    <w:rsid w:val="00016CF6"/>
    <w:rsid w:val="00021467"/>
    <w:rsid w:val="00021B9E"/>
    <w:rsid w:val="000226BC"/>
    <w:rsid w:val="00023327"/>
    <w:rsid w:val="00024888"/>
    <w:rsid w:val="0003425F"/>
    <w:rsid w:val="000414D2"/>
    <w:rsid w:val="00041F8B"/>
    <w:rsid w:val="000425F4"/>
    <w:rsid w:val="00042611"/>
    <w:rsid w:val="0004328D"/>
    <w:rsid w:val="000463F9"/>
    <w:rsid w:val="00051A76"/>
    <w:rsid w:val="0005533C"/>
    <w:rsid w:val="000554FC"/>
    <w:rsid w:val="0005750E"/>
    <w:rsid w:val="00057F30"/>
    <w:rsid w:val="00060AB7"/>
    <w:rsid w:val="00060E98"/>
    <w:rsid w:val="00062AD6"/>
    <w:rsid w:val="000673F8"/>
    <w:rsid w:val="00070E52"/>
    <w:rsid w:val="000741A4"/>
    <w:rsid w:val="0008468E"/>
    <w:rsid w:val="0008534E"/>
    <w:rsid w:val="00085392"/>
    <w:rsid w:val="000940EC"/>
    <w:rsid w:val="000971E5"/>
    <w:rsid w:val="000A0168"/>
    <w:rsid w:val="000A250C"/>
    <w:rsid w:val="000A64E4"/>
    <w:rsid w:val="000B2DC2"/>
    <w:rsid w:val="000B5053"/>
    <w:rsid w:val="000B5249"/>
    <w:rsid w:val="000B5960"/>
    <w:rsid w:val="000B5EA9"/>
    <w:rsid w:val="000B7981"/>
    <w:rsid w:val="000C08CF"/>
    <w:rsid w:val="000C3FE1"/>
    <w:rsid w:val="000C598E"/>
    <w:rsid w:val="000C74EC"/>
    <w:rsid w:val="000D1965"/>
    <w:rsid w:val="000E27F7"/>
    <w:rsid w:val="000E64D2"/>
    <w:rsid w:val="000E66F1"/>
    <w:rsid w:val="000E722D"/>
    <w:rsid w:val="000F1557"/>
    <w:rsid w:val="000F5475"/>
    <w:rsid w:val="000F6A23"/>
    <w:rsid w:val="000F76A5"/>
    <w:rsid w:val="00104869"/>
    <w:rsid w:val="00104B1D"/>
    <w:rsid w:val="00105B01"/>
    <w:rsid w:val="0010612F"/>
    <w:rsid w:val="001065B6"/>
    <w:rsid w:val="00110D66"/>
    <w:rsid w:val="00111347"/>
    <w:rsid w:val="001123D6"/>
    <w:rsid w:val="001236BC"/>
    <w:rsid w:val="00132B70"/>
    <w:rsid w:val="001358CE"/>
    <w:rsid w:val="00136420"/>
    <w:rsid w:val="001404B6"/>
    <w:rsid w:val="001529B3"/>
    <w:rsid w:val="001541BF"/>
    <w:rsid w:val="00156734"/>
    <w:rsid w:val="00160402"/>
    <w:rsid w:val="00163F28"/>
    <w:rsid w:val="001645A4"/>
    <w:rsid w:val="00164D5D"/>
    <w:rsid w:val="00166A87"/>
    <w:rsid w:val="00167621"/>
    <w:rsid w:val="0017033A"/>
    <w:rsid w:val="00172DE2"/>
    <w:rsid w:val="001765AA"/>
    <w:rsid w:val="00177606"/>
    <w:rsid w:val="0018188E"/>
    <w:rsid w:val="00182307"/>
    <w:rsid w:val="001844DF"/>
    <w:rsid w:val="001848C2"/>
    <w:rsid w:val="001914CD"/>
    <w:rsid w:val="00193B8C"/>
    <w:rsid w:val="00195FD5"/>
    <w:rsid w:val="00196CA9"/>
    <w:rsid w:val="001A46F5"/>
    <w:rsid w:val="001A494E"/>
    <w:rsid w:val="001A6523"/>
    <w:rsid w:val="001A78C2"/>
    <w:rsid w:val="001B1E9B"/>
    <w:rsid w:val="001B3B69"/>
    <w:rsid w:val="001B40E2"/>
    <w:rsid w:val="001B47B4"/>
    <w:rsid w:val="001B5116"/>
    <w:rsid w:val="001B5CC4"/>
    <w:rsid w:val="001B5CDF"/>
    <w:rsid w:val="001B7C46"/>
    <w:rsid w:val="001C694A"/>
    <w:rsid w:val="001D0928"/>
    <w:rsid w:val="001D6B0D"/>
    <w:rsid w:val="001E13C9"/>
    <w:rsid w:val="001E37D1"/>
    <w:rsid w:val="001F4AD4"/>
    <w:rsid w:val="001F4E38"/>
    <w:rsid w:val="001F7E60"/>
    <w:rsid w:val="002026F4"/>
    <w:rsid w:val="002029FD"/>
    <w:rsid w:val="00205DF3"/>
    <w:rsid w:val="0022160D"/>
    <w:rsid w:val="00223F8B"/>
    <w:rsid w:val="00230B85"/>
    <w:rsid w:val="0023116C"/>
    <w:rsid w:val="0023141C"/>
    <w:rsid w:val="00231BA1"/>
    <w:rsid w:val="00232955"/>
    <w:rsid w:val="00232ED2"/>
    <w:rsid w:val="00235629"/>
    <w:rsid w:val="00235E2C"/>
    <w:rsid w:val="00240C1F"/>
    <w:rsid w:val="00240DEF"/>
    <w:rsid w:val="00241283"/>
    <w:rsid w:val="00260704"/>
    <w:rsid w:val="002649EB"/>
    <w:rsid w:val="002745F3"/>
    <w:rsid w:val="00275DD2"/>
    <w:rsid w:val="00276691"/>
    <w:rsid w:val="002811CE"/>
    <w:rsid w:val="00281F9E"/>
    <w:rsid w:val="00282328"/>
    <w:rsid w:val="00284F5B"/>
    <w:rsid w:val="00292417"/>
    <w:rsid w:val="00292F93"/>
    <w:rsid w:val="0029403A"/>
    <w:rsid w:val="00294544"/>
    <w:rsid w:val="002A0DB6"/>
    <w:rsid w:val="002A4D56"/>
    <w:rsid w:val="002A5664"/>
    <w:rsid w:val="002B1E7C"/>
    <w:rsid w:val="002B444C"/>
    <w:rsid w:val="002B452E"/>
    <w:rsid w:val="002B6F28"/>
    <w:rsid w:val="002C0215"/>
    <w:rsid w:val="002C0B65"/>
    <w:rsid w:val="002C219D"/>
    <w:rsid w:val="002C4C89"/>
    <w:rsid w:val="002C553E"/>
    <w:rsid w:val="002C635C"/>
    <w:rsid w:val="002C7DDC"/>
    <w:rsid w:val="002D3FAA"/>
    <w:rsid w:val="002D41C1"/>
    <w:rsid w:val="002D5EF4"/>
    <w:rsid w:val="002D6491"/>
    <w:rsid w:val="002D7469"/>
    <w:rsid w:val="002E1A48"/>
    <w:rsid w:val="002F6DF8"/>
    <w:rsid w:val="003004FE"/>
    <w:rsid w:val="00302452"/>
    <w:rsid w:val="003044A0"/>
    <w:rsid w:val="00306C45"/>
    <w:rsid w:val="00313D26"/>
    <w:rsid w:val="00330005"/>
    <w:rsid w:val="00332873"/>
    <w:rsid w:val="00334BBC"/>
    <w:rsid w:val="00337A54"/>
    <w:rsid w:val="00340130"/>
    <w:rsid w:val="003403FD"/>
    <w:rsid w:val="00350C81"/>
    <w:rsid w:val="00351779"/>
    <w:rsid w:val="00357523"/>
    <w:rsid w:val="0037249C"/>
    <w:rsid w:val="003742EE"/>
    <w:rsid w:val="00377644"/>
    <w:rsid w:val="00380E2F"/>
    <w:rsid w:val="0038116E"/>
    <w:rsid w:val="00385D64"/>
    <w:rsid w:val="00390676"/>
    <w:rsid w:val="00391712"/>
    <w:rsid w:val="0039188F"/>
    <w:rsid w:val="00392523"/>
    <w:rsid w:val="003927EE"/>
    <w:rsid w:val="003970B7"/>
    <w:rsid w:val="003A117B"/>
    <w:rsid w:val="003A43B5"/>
    <w:rsid w:val="003A7F10"/>
    <w:rsid w:val="003B0C29"/>
    <w:rsid w:val="003B2385"/>
    <w:rsid w:val="003B30ED"/>
    <w:rsid w:val="003B333F"/>
    <w:rsid w:val="003B4D34"/>
    <w:rsid w:val="003B73A3"/>
    <w:rsid w:val="003B75C0"/>
    <w:rsid w:val="003C2E58"/>
    <w:rsid w:val="003C300E"/>
    <w:rsid w:val="003D0794"/>
    <w:rsid w:val="003D0DF3"/>
    <w:rsid w:val="003D0FA1"/>
    <w:rsid w:val="003D614E"/>
    <w:rsid w:val="003E1FF4"/>
    <w:rsid w:val="003E7DD6"/>
    <w:rsid w:val="003F084B"/>
    <w:rsid w:val="003F0DBA"/>
    <w:rsid w:val="003F235A"/>
    <w:rsid w:val="003F3F02"/>
    <w:rsid w:val="003F5DB8"/>
    <w:rsid w:val="003F7345"/>
    <w:rsid w:val="004012FD"/>
    <w:rsid w:val="004038EE"/>
    <w:rsid w:val="004058A2"/>
    <w:rsid w:val="0041081C"/>
    <w:rsid w:val="00413396"/>
    <w:rsid w:val="00413C1E"/>
    <w:rsid w:val="00416B07"/>
    <w:rsid w:val="00417AAC"/>
    <w:rsid w:val="00420A24"/>
    <w:rsid w:val="00422896"/>
    <w:rsid w:val="00422CEC"/>
    <w:rsid w:val="00423855"/>
    <w:rsid w:val="0042463A"/>
    <w:rsid w:val="00425F88"/>
    <w:rsid w:val="00426A5E"/>
    <w:rsid w:val="00430251"/>
    <w:rsid w:val="00432E9A"/>
    <w:rsid w:val="00434284"/>
    <w:rsid w:val="00442253"/>
    <w:rsid w:val="0044262C"/>
    <w:rsid w:val="00445EC3"/>
    <w:rsid w:val="00447C03"/>
    <w:rsid w:val="00451A87"/>
    <w:rsid w:val="00452B9E"/>
    <w:rsid w:val="004545BC"/>
    <w:rsid w:val="004575D0"/>
    <w:rsid w:val="00457BB5"/>
    <w:rsid w:val="00457EF1"/>
    <w:rsid w:val="00463923"/>
    <w:rsid w:val="00464D72"/>
    <w:rsid w:val="00467D71"/>
    <w:rsid w:val="00470321"/>
    <w:rsid w:val="00471AB9"/>
    <w:rsid w:val="004730BA"/>
    <w:rsid w:val="00475981"/>
    <w:rsid w:val="004766ED"/>
    <w:rsid w:val="004826EF"/>
    <w:rsid w:val="00483C88"/>
    <w:rsid w:val="004938EE"/>
    <w:rsid w:val="0049795C"/>
    <w:rsid w:val="00497ED2"/>
    <w:rsid w:val="004A5405"/>
    <w:rsid w:val="004A5502"/>
    <w:rsid w:val="004A6F92"/>
    <w:rsid w:val="004B0C32"/>
    <w:rsid w:val="004B27C7"/>
    <w:rsid w:val="004B3762"/>
    <w:rsid w:val="004B4058"/>
    <w:rsid w:val="004B46DE"/>
    <w:rsid w:val="004C48E2"/>
    <w:rsid w:val="004C4D92"/>
    <w:rsid w:val="004D1B67"/>
    <w:rsid w:val="004D23E9"/>
    <w:rsid w:val="004D44F8"/>
    <w:rsid w:val="004E0447"/>
    <w:rsid w:val="004E2999"/>
    <w:rsid w:val="004E3DF5"/>
    <w:rsid w:val="004F13B3"/>
    <w:rsid w:val="00500B32"/>
    <w:rsid w:val="00501CCB"/>
    <w:rsid w:val="00504BB2"/>
    <w:rsid w:val="00504C18"/>
    <w:rsid w:val="00507924"/>
    <w:rsid w:val="00512CCF"/>
    <w:rsid w:val="005201B2"/>
    <w:rsid w:val="0052094F"/>
    <w:rsid w:val="005214D3"/>
    <w:rsid w:val="00521DC4"/>
    <w:rsid w:val="005240EB"/>
    <w:rsid w:val="00531928"/>
    <w:rsid w:val="005324CC"/>
    <w:rsid w:val="00540FCB"/>
    <w:rsid w:val="00543881"/>
    <w:rsid w:val="0054453E"/>
    <w:rsid w:val="00544941"/>
    <w:rsid w:val="00545154"/>
    <w:rsid w:val="00561E76"/>
    <w:rsid w:val="00566DB5"/>
    <w:rsid w:val="005674F5"/>
    <w:rsid w:val="00570221"/>
    <w:rsid w:val="00570B17"/>
    <w:rsid w:val="00574599"/>
    <w:rsid w:val="00575996"/>
    <w:rsid w:val="005768E7"/>
    <w:rsid w:val="00587601"/>
    <w:rsid w:val="005905D4"/>
    <w:rsid w:val="005907B9"/>
    <w:rsid w:val="005914EC"/>
    <w:rsid w:val="00594492"/>
    <w:rsid w:val="0059494C"/>
    <w:rsid w:val="005A0E40"/>
    <w:rsid w:val="005B10B6"/>
    <w:rsid w:val="005B3311"/>
    <w:rsid w:val="005B37D7"/>
    <w:rsid w:val="005B6B17"/>
    <w:rsid w:val="005C0768"/>
    <w:rsid w:val="005C5260"/>
    <w:rsid w:val="005D21E5"/>
    <w:rsid w:val="005D3DF7"/>
    <w:rsid w:val="005D4A8E"/>
    <w:rsid w:val="005D5715"/>
    <w:rsid w:val="005D58AD"/>
    <w:rsid w:val="005E1ACD"/>
    <w:rsid w:val="005E3772"/>
    <w:rsid w:val="005E39FC"/>
    <w:rsid w:val="005E5E53"/>
    <w:rsid w:val="005F014D"/>
    <w:rsid w:val="005F1248"/>
    <w:rsid w:val="005F17FD"/>
    <w:rsid w:val="005F2562"/>
    <w:rsid w:val="005F760C"/>
    <w:rsid w:val="00605CD5"/>
    <w:rsid w:val="00607947"/>
    <w:rsid w:val="006122D9"/>
    <w:rsid w:val="00613319"/>
    <w:rsid w:val="00613728"/>
    <w:rsid w:val="00617B1F"/>
    <w:rsid w:val="0062343F"/>
    <w:rsid w:val="00623DB8"/>
    <w:rsid w:val="006255AB"/>
    <w:rsid w:val="006258FC"/>
    <w:rsid w:val="0062634C"/>
    <w:rsid w:val="00626B4F"/>
    <w:rsid w:val="00630EC1"/>
    <w:rsid w:val="006315B3"/>
    <w:rsid w:val="00631CB8"/>
    <w:rsid w:val="0063443F"/>
    <w:rsid w:val="006422ED"/>
    <w:rsid w:val="00642464"/>
    <w:rsid w:val="006425DE"/>
    <w:rsid w:val="006456BE"/>
    <w:rsid w:val="00653895"/>
    <w:rsid w:val="00657096"/>
    <w:rsid w:val="0065742E"/>
    <w:rsid w:val="00657961"/>
    <w:rsid w:val="00657B3E"/>
    <w:rsid w:val="00665E1B"/>
    <w:rsid w:val="0066765B"/>
    <w:rsid w:val="00671134"/>
    <w:rsid w:val="006718F5"/>
    <w:rsid w:val="0067633B"/>
    <w:rsid w:val="00676B7C"/>
    <w:rsid w:val="006839D9"/>
    <w:rsid w:val="00684FEC"/>
    <w:rsid w:val="006903B9"/>
    <w:rsid w:val="00692874"/>
    <w:rsid w:val="00692BD4"/>
    <w:rsid w:val="006A2037"/>
    <w:rsid w:val="006A2C99"/>
    <w:rsid w:val="006A60D9"/>
    <w:rsid w:val="006A6438"/>
    <w:rsid w:val="006A7223"/>
    <w:rsid w:val="006B4D7C"/>
    <w:rsid w:val="006B738C"/>
    <w:rsid w:val="006C56A8"/>
    <w:rsid w:val="006C70F6"/>
    <w:rsid w:val="006D1AEF"/>
    <w:rsid w:val="006E036E"/>
    <w:rsid w:val="006E5816"/>
    <w:rsid w:val="006E6308"/>
    <w:rsid w:val="006E795A"/>
    <w:rsid w:val="006F060A"/>
    <w:rsid w:val="006F1C22"/>
    <w:rsid w:val="006F20E6"/>
    <w:rsid w:val="006F5561"/>
    <w:rsid w:val="006F6CA9"/>
    <w:rsid w:val="006F6EC4"/>
    <w:rsid w:val="006F78D6"/>
    <w:rsid w:val="0070421D"/>
    <w:rsid w:val="00704382"/>
    <w:rsid w:val="007043D5"/>
    <w:rsid w:val="00712E95"/>
    <w:rsid w:val="007136E1"/>
    <w:rsid w:val="00713E4E"/>
    <w:rsid w:val="00716648"/>
    <w:rsid w:val="00721448"/>
    <w:rsid w:val="0072509D"/>
    <w:rsid w:val="00731019"/>
    <w:rsid w:val="00733CE5"/>
    <w:rsid w:val="0073541D"/>
    <w:rsid w:val="00735B71"/>
    <w:rsid w:val="00736436"/>
    <w:rsid w:val="00743D09"/>
    <w:rsid w:val="007454BB"/>
    <w:rsid w:val="00746AB1"/>
    <w:rsid w:val="00746B2A"/>
    <w:rsid w:val="00747129"/>
    <w:rsid w:val="00753735"/>
    <w:rsid w:val="00754AB2"/>
    <w:rsid w:val="00763AEC"/>
    <w:rsid w:val="007654C6"/>
    <w:rsid w:val="00765A94"/>
    <w:rsid w:val="007662E3"/>
    <w:rsid w:val="007671A4"/>
    <w:rsid w:val="00767C14"/>
    <w:rsid w:val="007726A0"/>
    <w:rsid w:val="00775E03"/>
    <w:rsid w:val="0077640E"/>
    <w:rsid w:val="007823E0"/>
    <w:rsid w:val="00782CE8"/>
    <w:rsid w:val="0078635B"/>
    <w:rsid w:val="00786C86"/>
    <w:rsid w:val="0078746E"/>
    <w:rsid w:val="00794FE7"/>
    <w:rsid w:val="0079590B"/>
    <w:rsid w:val="007A2782"/>
    <w:rsid w:val="007A393E"/>
    <w:rsid w:val="007A4631"/>
    <w:rsid w:val="007A46FE"/>
    <w:rsid w:val="007A4C3E"/>
    <w:rsid w:val="007A5671"/>
    <w:rsid w:val="007B1436"/>
    <w:rsid w:val="007C02DC"/>
    <w:rsid w:val="007C15AA"/>
    <w:rsid w:val="007C1DBF"/>
    <w:rsid w:val="007C3ECA"/>
    <w:rsid w:val="007C6319"/>
    <w:rsid w:val="007C78EA"/>
    <w:rsid w:val="007D1482"/>
    <w:rsid w:val="007D21C6"/>
    <w:rsid w:val="007D34E4"/>
    <w:rsid w:val="007D40A0"/>
    <w:rsid w:val="007D619E"/>
    <w:rsid w:val="007E068E"/>
    <w:rsid w:val="007E0AFB"/>
    <w:rsid w:val="007E6BA9"/>
    <w:rsid w:val="007E7DB7"/>
    <w:rsid w:val="007F209E"/>
    <w:rsid w:val="007F5E44"/>
    <w:rsid w:val="007F6EA9"/>
    <w:rsid w:val="008054E1"/>
    <w:rsid w:val="00806E8B"/>
    <w:rsid w:val="00807F6E"/>
    <w:rsid w:val="008107A2"/>
    <w:rsid w:val="00812A15"/>
    <w:rsid w:val="00813024"/>
    <w:rsid w:val="00813C56"/>
    <w:rsid w:val="0081575E"/>
    <w:rsid w:val="00817D7A"/>
    <w:rsid w:val="00820A10"/>
    <w:rsid w:val="008335AC"/>
    <w:rsid w:val="0083707F"/>
    <w:rsid w:val="00837A6A"/>
    <w:rsid w:val="008424FD"/>
    <w:rsid w:val="00844799"/>
    <w:rsid w:val="00844A3B"/>
    <w:rsid w:val="00846A17"/>
    <w:rsid w:val="00847321"/>
    <w:rsid w:val="0085150C"/>
    <w:rsid w:val="008516C8"/>
    <w:rsid w:val="00852077"/>
    <w:rsid w:val="00860F64"/>
    <w:rsid w:val="00863235"/>
    <w:rsid w:val="00867DDC"/>
    <w:rsid w:val="00873ACA"/>
    <w:rsid w:val="00875D41"/>
    <w:rsid w:val="0087755E"/>
    <w:rsid w:val="008836B4"/>
    <w:rsid w:val="00883DBC"/>
    <w:rsid w:val="00887988"/>
    <w:rsid w:val="00897FC9"/>
    <w:rsid w:val="008A0019"/>
    <w:rsid w:val="008A15B3"/>
    <w:rsid w:val="008A4F6D"/>
    <w:rsid w:val="008A58AF"/>
    <w:rsid w:val="008B019C"/>
    <w:rsid w:val="008B115D"/>
    <w:rsid w:val="008B2573"/>
    <w:rsid w:val="008B441E"/>
    <w:rsid w:val="008B7F4D"/>
    <w:rsid w:val="008C5019"/>
    <w:rsid w:val="008C5D65"/>
    <w:rsid w:val="008C6726"/>
    <w:rsid w:val="008C6C26"/>
    <w:rsid w:val="008C73F1"/>
    <w:rsid w:val="008D2B44"/>
    <w:rsid w:val="008D2E73"/>
    <w:rsid w:val="008D3E57"/>
    <w:rsid w:val="008D5A8F"/>
    <w:rsid w:val="008D6031"/>
    <w:rsid w:val="008E09B9"/>
    <w:rsid w:val="008E3813"/>
    <w:rsid w:val="008E3B8F"/>
    <w:rsid w:val="008E43FD"/>
    <w:rsid w:val="008F31E3"/>
    <w:rsid w:val="008F6AA7"/>
    <w:rsid w:val="0090168E"/>
    <w:rsid w:val="00901DBD"/>
    <w:rsid w:val="00903065"/>
    <w:rsid w:val="009040D0"/>
    <w:rsid w:val="00905CF7"/>
    <w:rsid w:val="00910360"/>
    <w:rsid w:val="009106A8"/>
    <w:rsid w:val="00914C4B"/>
    <w:rsid w:val="00915421"/>
    <w:rsid w:val="009170C2"/>
    <w:rsid w:val="00917A7D"/>
    <w:rsid w:val="00921B39"/>
    <w:rsid w:val="0092357A"/>
    <w:rsid w:val="00926B0F"/>
    <w:rsid w:val="00930866"/>
    <w:rsid w:val="00931338"/>
    <w:rsid w:val="00931445"/>
    <w:rsid w:val="00935CC9"/>
    <w:rsid w:val="00936478"/>
    <w:rsid w:val="009405E3"/>
    <w:rsid w:val="00943415"/>
    <w:rsid w:val="00943D79"/>
    <w:rsid w:val="00943F2E"/>
    <w:rsid w:val="00946A8E"/>
    <w:rsid w:val="00952BFC"/>
    <w:rsid w:val="00960082"/>
    <w:rsid w:val="00961109"/>
    <w:rsid w:val="009625BE"/>
    <w:rsid w:val="009632F1"/>
    <w:rsid w:val="0096446A"/>
    <w:rsid w:val="00964D24"/>
    <w:rsid w:val="00967DC5"/>
    <w:rsid w:val="00971571"/>
    <w:rsid w:val="00971597"/>
    <w:rsid w:val="009729B4"/>
    <w:rsid w:val="00975E7E"/>
    <w:rsid w:val="00977ABE"/>
    <w:rsid w:val="00980C69"/>
    <w:rsid w:val="009849A4"/>
    <w:rsid w:val="00987F90"/>
    <w:rsid w:val="00992CA5"/>
    <w:rsid w:val="00995CB9"/>
    <w:rsid w:val="009962CE"/>
    <w:rsid w:val="009B1B02"/>
    <w:rsid w:val="009B58D2"/>
    <w:rsid w:val="009C015C"/>
    <w:rsid w:val="009C09F0"/>
    <w:rsid w:val="009C1405"/>
    <w:rsid w:val="009C3598"/>
    <w:rsid w:val="009C4329"/>
    <w:rsid w:val="009D0004"/>
    <w:rsid w:val="009D009D"/>
    <w:rsid w:val="009D7CF5"/>
    <w:rsid w:val="009E4D4D"/>
    <w:rsid w:val="009E769D"/>
    <w:rsid w:val="009E7987"/>
    <w:rsid w:val="009F1499"/>
    <w:rsid w:val="009F612A"/>
    <w:rsid w:val="009F7390"/>
    <w:rsid w:val="00A00D64"/>
    <w:rsid w:val="00A02095"/>
    <w:rsid w:val="00A101C7"/>
    <w:rsid w:val="00A10AA0"/>
    <w:rsid w:val="00A11EC9"/>
    <w:rsid w:val="00A13458"/>
    <w:rsid w:val="00A20D6E"/>
    <w:rsid w:val="00A26538"/>
    <w:rsid w:val="00A26E57"/>
    <w:rsid w:val="00A35941"/>
    <w:rsid w:val="00A4360D"/>
    <w:rsid w:val="00A473C2"/>
    <w:rsid w:val="00A50A91"/>
    <w:rsid w:val="00A54ACB"/>
    <w:rsid w:val="00A628F4"/>
    <w:rsid w:val="00A666CD"/>
    <w:rsid w:val="00A66F14"/>
    <w:rsid w:val="00A70E50"/>
    <w:rsid w:val="00A73A4E"/>
    <w:rsid w:val="00A74CF8"/>
    <w:rsid w:val="00A755BF"/>
    <w:rsid w:val="00A81522"/>
    <w:rsid w:val="00A81593"/>
    <w:rsid w:val="00A8322C"/>
    <w:rsid w:val="00A8740A"/>
    <w:rsid w:val="00A9236C"/>
    <w:rsid w:val="00A94694"/>
    <w:rsid w:val="00A964D3"/>
    <w:rsid w:val="00AA10CA"/>
    <w:rsid w:val="00AA4C07"/>
    <w:rsid w:val="00AA5AC3"/>
    <w:rsid w:val="00AA69DD"/>
    <w:rsid w:val="00AA7A92"/>
    <w:rsid w:val="00AB109D"/>
    <w:rsid w:val="00AB253A"/>
    <w:rsid w:val="00AB543D"/>
    <w:rsid w:val="00AB7447"/>
    <w:rsid w:val="00AC305E"/>
    <w:rsid w:val="00AC5E09"/>
    <w:rsid w:val="00AD1355"/>
    <w:rsid w:val="00AD1DE6"/>
    <w:rsid w:val="00AD2D93"/>
    <w:rsid w:val="00AE6BE2"/>
    <w:rsid w:val="00AF2173"/>
    <w:rsid w:val="00AF490B"/>
    <w:rsid w:val="00B051B5"/>
    <w:rsid w:val="00B11993"/>
    <w:rsid w:val="00B12C70"/>
    <w:rsid w:val="00B131A4"/>
    <w:rsid w:val="00B14CE4"/>
    <w:rsid w:val="00B21B47"/>
    <w:rsid w:val="00B25C8B"/>
    <w:rsid w:val="00B25CF8"/>
    <w:rsid w:val="00B268DD"/>
    <w:rsid w:val="00B33793"/>
    <w:rsid w:val="00B35A06"/>
    <w:rsid w:val="00B51D66"/>
    <w:rsid w:val="00B5242E"/>
    <w:rsid w:val="00B55C35"/>
    <w:rsid w:val="00B56A20"/>
    <w:rsid w:val="00B56A93"/>
    <w:rsid w:val="00B6191F"/>
    <w:rsid w:val="00B61B42"/>
    <w:rsid w:val="00B61F22"/>
    <w:rsid w:val="00B62A5E"/>
    <w:rsid w:val="00B64528"/>
    <w:rsid w:val="00B64ACE"/>
    <w:rsid w:val="00B87155"/>
    <w:rsid w:val="00B87CFC"/>
    <w:rsid w:val="00B9249D"/>
    <w:rsid w:val="00B929F7"/>
    <w:rsid w:val="00BA0A07"/>
    <w:rsid w:val="00BA24CC"/>
    <w:rsid w:val="00BA40E2"/>
    <w:rsid w:val="00BA565F"/>
    <w:rsid w:val="00BA649A"/>
    <w:rsid w:val="00BB19B0"/>
    <w:rsid w:val="00BB2E7A"/>
    <w:rsid w:val="00BC0B12"/>
    <w:rsid w:val="00BC13A7"/>
    <w:rsid w:val="00BC5E8C"/>
    <w:rsid w:val="00BD0802"/>
    <w:rsid w:val="00BD246D"/>
    <w:rsid w:val="00BD37F2"/>
    <w:rsid w:val="00BD4B5B"/>
    <w:rsid w:val="00BD5FC1"/>
    <w:rsid w:val="00BD6008"/>
    <w:rsid w:val="00BD73F7"/>
    <w:rsid w:val="00BD7767"/>
    <w:rsid w:val="00BE1FC4"/>
    <w:rsid w:val="00BF1C83"/>
    <w:rsid w:val="00BF3084"/>
    <w:rsid w:val="00BF3CD5"/>
    <w:rsid w:val="00BF4270"/>
    <w:rsid w:val="00C02C01"/>
    <w:rsid w:val="00C15C54"/>
    <w:rsid w:val="00C16303"/>
    <w:rsid w:val="00C16CAD"/>
    <w:rsid w:val="00C17FB3"/>
    <w:rsid w:val="00C21CEC"/>
    <w:rsid w:val="00C22A9C"/>
    <w:rsid w:val="00C22AA9"/>
    <w:rsid w:val="00C273CD"/>
    <w:rsid w:val="00C27726"/>
    <w:rsid w:val="00C3236B"/>
    <w:rsid w:val="00C33356"/>
    <w:rsid w:val="00C36CF4"/>
    <w:rsid w:val="00C40623"/>
    <w:rsid w:val="00C42775"/>
    <w:rsid w:val="00C5057F"/>
    <w:rsid w:val="00C56B0D"/>
    <w:rsid w:val="00C60043"/>
    <w:rsid w:val="00C60474"/>
    <w:rsid w:val="00C60F35"/>
    <w:rsid w:val="00C66E65"/>
    <w:rsid w:val="00C76E7C"/>
    <w:rsid w:val="00C76F4B"/>
    <w:rsid w:val="00C812ED"/>
    <w:rsid w:val="00C85F0D"/>
    <w:rsid w:val="00C86456"/>
    <w:rsid w:val="00C90C65"/>
    <w:rsid w:val="00C91D2B"/>
    <w:rsid w:val="00C925D1"/>
    <w:rsid w:val="00C93A3A"/>
    <w:rsid w:val="00C946FB"/>
    <w:rsid w:val="00C95F61"/>
    <w:rsid w:val="00CA3BD9"/>
    <w:rsid w:val="00CA404B"/>
    <w:rsid w:val="00CA572B"/>
    <w:rsid w:val="00CA6468"/>
    <w:rsid w:val="00CB039C"/>
    <w:rsid w:val="00CB1664"/>
    <w:rsid w:val="00CB46C4"/>
    <w:rsid w:val="00CB7002"/>
    <w:rsid w:val="00CB75A6"/>
    <w:rsid w:val="00CC2BDB"/>
    <w:rsid w:val="00CC3725"/>
    <w:rsid w:val="00CC498A"/>
    <w:rsid w:val="00CC5879"/>
    <w:rsid w:val="00CC5D60"/>
    <w:rsid w:val="00CC7173"/>
    <w:rsid w:val="00CD09FE"/>
    <w:rsid w:val="00CD15FF"/>
    <w:rsid w:val="00CD1B6A"/>
    <w:rsid w:val="00CD3AC6"/>
    <w:rsid w:val="00CD6A13"/>
    <w:rsid w:val="00CE08D1"/>
    <w:rsid w:val="00CE1D31"/>
    <w:rsid w:val="00CE2F1C"/>
    <w:rsid w:val="00CE390F"/>
    <w:rsid w:val="00CE6236"/>
    <w:rsid w:val="00CE78CD"/>
    <w:rsid w:val="00CE7B20"/>
    <w:rsid w:val="00CE7C64"/>
    <w:rsid w:val="00CF4E18"/>
    <w:rsid w:val="00CF51A5"/>
    <w:rsid w:val="00CF51AC"/>
    <w:rsid w:val="00CF7B34"/>
    <w:rsid w:val="00D00E5F"/>
    <w:rsid w:val="00D03499"/>
    <w:rsid w:val="00D07316"/>
    <w:rsid w:val="00D11596"/>
    <w:rsid w:val="00D118EE"/>
    <w:rsid w:val="00D11C48"/>
    <w:rsid w:val="00D12FF8"/>
    <w:rsid w:val="00D13720"/>
    <w:rsid w:val="00D13B74"/>
    <w:rsid w:val="00D14816"/>
    <w:rsid w:val="00D24097"/>
    <w:rsid w:val="00D27545"/>
    <w:rsid w:val="00D31274"/>
    <w:rsid w:val="00D31CD8"/>
    <w:rsid w:val="00D3395B"/>
    <w:rsid w:val="00D37D43"/>
    <w:rsid w:val="00D466B1"/>
    <w:rsid w:val="00D467EF"/>
    <w:rsid w:val="00D46FFB"/>
    <w:rsid w:val="00D50F14"/>
    <w:rsid w:val="00D516D6"/>
    <w:rsid w:val="00D54E9B"/>
    <w:rsid w:val="00D557E4"/>
    <w:rsid w:val="00D571DE"/>
    <w:rsid w:val="00D612E4"/>
    <w:rsid w:val="00D614B1"/>
    <w:rsid w:val="00D701B2"/>
    <w:rsid w:val="00D76CF8"/>
    <w:rsid w:val="00D83B00"/>
    <w:rsid w:val="00D87568"/>
    <w:rsid w:val="00D90CBC"/>
    <w:rsid w:val="00D941FB"/>
    <w:rsid w:val="00D944A3"/>
    <w:rsid w:val="00D9615B"/>
    <w:rsid w:val="00D96241"/>
    <w:rsid w:val="00D976B6"/>
    <w:rsid w:val="00D97F91"/>
    <w:rsid w:val="00DA0BF6"/>
    <w:rsid w:val="00DA403D"/>
    <w:rsid w:val="00DA595C"/>
    <w:rsid w:val="00DB1704"/>
    <w:rsid w:val="00DB1A26"/>
    <w:rsid w:val="00DB1DCF"/>
    <w:rsid w:val="00DB4F07"/>
    <w:rsid w:val="00DB560D"/>
    <w:rsid w:val="00DC0B0F"/>
    <w:rsid w:val="00DC2E53"/>
    <w:rsid w:val="00DC4E6B"/>
    <w:rsid w:val="00DC7626"/>
    <w:rsid w:val="00DD23B5"/>
    <w:rsid w:val="00DD7961"/>
    <w:rsid w:val="00DE01EC"/>
    <w:rsid w:val="00DE0CFD"/>
    <w:rsid w:val="00DE17AB"/>
    <w:rsid w:val="00DE5572"/>
    <w:rsid w:val="00DE5C5F"/>
    <w:rsid w:val="00DE7538"/>
    <w:rsid w:val="00DE7B58"/>
    <w:rsid w:val="00DF08DB"/>
    <w:rsid w:val="00DF11E9"/>
    <w:rsid w:val="00DF1ECD"/>
    <w:rsid w:val="00DF2B9D"/>
    <w:rsid w:val="00DF4A6F"/>
    <w:rsid w:val="00DF7A52"/>
    <w:rsid w:val="00E036D6"/>
    <w:rsid w:val="00E101CC"/>
    <w:rsid w:val="00E10228"/>
    <w:rsid w:val="00E13CA3"/>
    <w:rsid w:val="00E13F7C"/>
    <w:rsid w:val="00E229F1"/>
    <w:rsid w:val="00E237A5"/>
    <w:rsid w:val="00E323C5"/>
    <w:rsid w:val="00E32DD7"/>
    <w:rsid w:val="00E332B1"/>
    <w:rsid w:val="00E347AC"/>
    <w:rsid w:val="00E3483F"/>
    <w:rsid w:val="00E375C9"/>
    <w:rsid w:val="00E37ACA"/>
    <w:rsid w:val="00E40656"/>
    <w:rsid w:val="00E438DD"/>
    <w:rsid w:val="00E445FC"/>
    <w:rsid w:val="00E45B73"/>
    <w:rsid w:val="00E46276"/>
    <w:rsid w:val="00E50404"/>
    <w:rsid w:val="00E50EE0"/>
    <w:rsid w:val="00E56652"/>
    <w:rsid w:val="00E615D8"/>
    <w:rsid w:val="00E61680"/>
    <w:rsid w:val="00E634F7"/>
    <w:rsid w:val="00E65702"/>
    <w:rsid w:val="00E66D65"/>
    <w:rsid w:val="00E71413"/>
    <w:rsid w:val="00E72DC1"/>
    <w:rsid w:val="00E741B5"/>
    <w:rsid w:val="00E74A54"/>
    <w:rsid w:val="00E75C4D"/>
    <w:rsid w:val="00E75F05"/>
    <w:rsid w:val="00E767FE"/>
    <w:rsid w:val="00E8388E"/>
    <w:rsid w:val="00E915E8"/>
    <w:rsid w:val="00E91778"/>
    <w:rsid w:val="00E97400"/>
    <w:rsid w:val="00E974B4"/>
    <w:rsid w:val="00EA35E5"/>
    <w:rsid w:val="00EA374D"/>
    <w:rsid w:val="00EA4D18"/>
    <w:rsid w:val="00EC3092"/>
    <w:rsid w:val="00EC59BB"/>
    <w:rsid w:val="00EC6359"/>
    <w:rsid w:val="00ED109D"/>
    <w:rsid w:val="00ED2351"/>
    <w:rsid w:val="00ED467F"/>
    <w:rsid w:val="00ED5B58"/>
    <w:rsid w:val="00ED6E18"/>
    <w:rsid w:val="00ED7552"/>
    <w:rsid w:val="00EE0675"/>
    <w:rsid w:val="00EE6C30"/>
    <w:rsid w:val="00EF07B7"/>
    <w:rsid w:val="00EF4061"/>
    <w:rsid w:val="00F0382F"/>
    <w:rsid w:val="00F05D38"/>
    <w:rsid w:val="00F06543"/>
    <w:rsid w:val="00F067B8"/>
    <w:rsid w:val="00F100A7"/>
    <w:rsid w:val="00F10AE5"/>
    <w:rsid w:val="00F12E63"/>
    <w:rsid w:val="00F13000"/>
    <w:rsid w:val="00F15D1E"/>
    <w:rsid w:val="00F22D80"/>
    <w:rsid w:val="00F252D4"/>
    <w:rsid w:val="00F310BE"/>
    <w:rsid w:val="00F324F3"/>
    <w:rsid w:val="00F32A91"/>
    <w:rsid w:val="00F33930"/>
    <w:rsid w:val="00F360CA"/>
    <w:rsid w:val="00F371B5"/>
    <w:rsid w:val="00F375B0"/>
    <w:rsid w:val="00F37849"/>
    <w:rsid w:val="00F41A05"/>
    <w:rsid w:val="00F52051"/>
    <w:rsid w:val="00F54FE8"/>
    <w:rsid w:val="00F60555"/>
    <w:rsid w:val="00F706EE"/>
    <w:rsid w:val="00F734F9"/>
    <w:rsid w:val="00F76107"/>
    <w:rsid w:val="00F77DC7"/>
    <w:rsid w:val="00F843F7"/>
    <w:rsid w:val="00F8753D"/>
    <w:rsid w:val="00F90990"/>
    <w:rsid w:val="00F90C85"/>
    <w:rsid w:val="00F92F72"/>
    <w:rsid w:val="00F94B08"/>
    <w:rsid w:val="00F95262"/>
    <w:rsid w:val="00F95741"/>
    <w:rsid w:val="00FA256B"/>
    <w:rsid w:val="00FA2CEF"/>
    <w:rsid w:val="00FA3845"/>
    <w:rsid w:val="00FB0ED0"/>
    <w:rsid w:val="00FB3D06"/>
    <w:rsid w:val="00FB3E85"/>
    <w:rsid w:val="00FB44E2"/>
    <w:rsid w:val="00FC0974"/>
    <w:rsid w:val="00FC46AA"/>
    <w:rsid w:val="00FD1FA5"/>
    <w:rsid w:val="00FD3A7D"/>
    <w:rsid w:val="00FD7F42"/>
    <w:rsid w:val="00FE5731"/>
    <w:rsid w:val="00FF0A3F"/>
    <w:rsid w:val="00FF0A51"/>
    <w:rsid w:val="00FF0BA0"/>
    <w:rsid w:val="039807B9"/>
    <w:rsid w:val="06715169"/>
    <w:rsid w:val="09E638BB"/>
    <w:rsid w:val="0CB51596"/>
    <w:rsid w:val="0FE16D40"/>
    <w:rsid w:val="11246F84"/>
    <w:rsid w:val="11F7557E"/>
    <w:rsid w:val="121A618F"/>
    <w:rsid w:val="182A420E"/>
    <w:rsid w:val="1B1E6D50"/>
    <w:rsid w:val="1CFD686E"/>
    <w:rsid w:val="1DBC39E2"/>
    <w:rsid w:val="28492D8C"/>
    <w:rsid w:val="299A6118"/>
    <w:rsid w:val="2A1F4553"/>
    <w:rsid w:val="2DCD34F3"/>
    <w:rsid w:val="33EC7B9C"/>
    <w:rsid w:val="46AE6F33"/>
    <w:rsid w:val="48481252"/>
    <w:rsid w:val="4AD11442"/>
    <w:rsid w:val="4CC669AF"/>
    <w:rsid w:val="5165265C"/>
    <w:rsid w:val="52081BED"/>
    <w:rsid w:val="58807857"/>
    <w:rsid w:val="5C6A7137"/>
    <w:rsid w:val="629B53C6"/>
    <w:rsid w:val="62FA7797"/>
    <w:rsid w:val="6BDD77EF"/>
    <w:rsid w:val="7EA1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spacing w:line="480" w:lineRule="exact"/>
      <w:ind w:left="2070" w:leftChars="300" w:hanging="1440"/>
      <w:outlineLvl w:val="1"/>
    </w:pPr>
    <w:rPr>
      <w:rFonts w:ascii="仿宋_GB2312" w:hAnsi="Times New Roman" w:eastAsia="仿宋_GB2312" w:cs="Times New Roman"/>
      <w:b/>
      <w:sz w:val="28"/>
      <w:szCs w:val="28"/>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semiHidden/>
    <w:unhideWhenUsed/>
    <w:qFormat/>
    <w:uiPriority w:val="99"/>
    <w:rPr>
      <w:rFonts w:ascii="宋体" w:eastAsia="宋体"/>
      <w:sz w:val="18"/>
      <w:szCs w:val="18"/>
    </w:rPr>
  </w:style>
  <w:style w:type="paragraph" w:styleId="6">
    <w:name w:val="toc 3"/>
    <w:basedOn w:val="1"/>
    <w:next w:val="1"/>
    <w:unhideWhenUsed/>
    <w:qFormat/>
    <w:uiPriority w:val="39"/>
    <w:pPr>
      <w:tabs>
        <w:tab w:val="right" w:leader="dot" w:pos="9344"/>
      </w:tabs>
      <w:spacing w:line="760" w:lineRule="exact"/>
      <w:ind w:firstLine="560" w:firstLineChars="200"/>
    </w:pPr>
    <w:rPr>
      <w:rFonts w:ascii="仿宋_GB2312" w:eastAsia="仿宋_GB2312"/>
      <w:sz w:val="28"/>
      <w:szCs w:val="28"/>
    </w:rPr>
  </w:style>
  <w:style w:type="paragraph" w:styleId="7">
    <w:name w:val="Body Text Indent 2"/>
    <w:basedOn w:val="1"/>
    <w:link w:val="23"/>
    <w:qFormat/>
    <w:uiPriority w:val="0"/>
    <w:pPr>
      <w:spacing w:line="600" w:lineRule="exact"/>
      <w:ind w:firstLine="560" w:firstLineChars="200"/>
    </w:pPr>
    <w:rPr>
      <w:rFonts w:ascii="Times New Roman" w:hAnsi="Times New Roman" w:eastAsia="仿宋_GB2312" w:cs="Times New Roman"/>
      <w:sz w:val="28"/>
      <w:szCs w:val="24"/>
    </w:rPr>
  </w:style>
  <w:style w:type="paragraph" w:styleId="8">
    <w:name w:val="Balloon Text"/>
    <w:basedOn w:val="1"/>
    <w:link w:val="22"/>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000FF" w:themeColor="hyperlink"/>
      <w:u w:val="single"/>
    </w:rPr>
  </w:style>
  <w:style w:type="character" w:customStyle="1" w:styleId="20">
    <w:name w:val="页眉 Char"/>
    <w:basedOn w:val="17"/>
    <w:link w:val="10"/>
    <w:qFormat/>
    <w:uiPriority w:val="99"/>
    <w:rPr>
      <w:sz w:val="18"/>
      <w:szCs w:val="18"/>
    </w:rPr>
  </w:style>
  <w:style w:type="character" w:customStyle="1" w:styleId="21">
    <w:name w:val="页脚 Char"/>
    <w:basedOn w:val="17"/>
    <w:link w:val="9"/>
    <w:qFormat/>
    <w:uiPriority w:val="99"/>
    <w:rPr>
      <w:sz w:val="18"/>
      <w:szCs w:val="18"/>
    </w:rPr>
  </w:style>
  <w:style w:type="character" w:customStyle="1" w:styleId="22">
    <w:name w:val="批注框文本 Char"/>
    <w:basedOn w:val="17"/>
    <w:link w:val="8"/>
    <w:semiHidden/>
    <w:qFormat/>
    <w:uiPriority w:val="99"/>
    <w:rPr>
      <w:sz w:val="18"/>
      <w:szCs w:val="18"/>
    </w:rPr>
  </w:style>
  <w:style w:type="character" w:customStyle="1" w:styleId="23">
    <w:name w:val="正文文本缩进 2 Char"/>
    <w:basedOn w:val="17"/>
    <w:link w:val="7"/>
    <w:qFormat/>
    <w:uiPriority w:val="0"/>
    <w:rPr>
      <w:rFonts w:ascii="Times New Roman" w:hAnsi="Times New Roman" w:eastAsia="仿宋_GB2312" w:cs="Times New Roman"/>
      <w:sz w:val="28"/>
      <w:szCs w:val="24"/>
    </w:rPr>
  </w:style>
  <w:style w:type="paragraph" w:styleId="24">
    <w:name w:val="List Paragraph"/>
    <w:basedOn w:val="1"/>
    <w:qFormat/>
    <w:uiPriority w:val="34"/>
    <w:pPr>
      <w:ind w:firstLine="420" w:firstLineChars="200"/>
    </w:pPr>
  </w:style>
  <w:style w:type="character" w:customStyle="1" w:styleId="25">
    <w:name w:val="标题 2 Char"/>
    <w:basedOn w:val="17"/>
    <w:link w:val="3"/>
    <w:qFormat/>
    <w:uiPriority w:val="0"/>
    <w:rPr>
      <w:rFonts w:ascii="仿宋_GB2312" w:hAnsi="Times New Roman" w:eastAsia="仿宋_GB2312" w:cs="Times New Roman"/>
      <w:b/>
      <w:sz w:val="28"/>
      <w:szCs w:val="28"/>
    </w:rPr>
  </w:style>
  <w:style w:type="character" w:customStyle="1" w:styleId="26">
    <w:name w:val="标题 1 Char"/>
    <w:basedOn w:val="17"/>
    <w:link w:val="2"/>
    <w:qFormat/>
    <w:uiPriority w:val="9"/>
    <w:rPr>
      <w:b/>
      <w:bCs/>
      <w:kern w:val="44"/>
      <w:sz w:val="44"/>
      <w:szCs w:val="44"/>
    </w:rPr>
  </w:style>
  <w:style w:type="character" w:customStyle="1" w:styleId="27">
    <w:name w:val="标题 3 Char"/>
    <w:basedOn w:val="17"/>
    <w:link w:val="4"/>
    <w:qFormat/>
    <w:uiPriority w:val="9"/>
    <w:rPr>
      <w:b/>
      <w:bCs/>
      <w:sz w:val="32"/>
      <w:szCs w:val="32"/>
    </w:rPr>
  </w:style>
  <w:style w:type="character" w:customStyle="1" w:styleId="28">
    <w:name w:val="grame"/>
    <w:basedOn w:val="17"/>
    <w:qFormat/>
    <w:uiPriority w:val="0"/>
  </w:style>
  <w:style w:type="character" w:customStyle="1" w:styleId="29">
    <w:name w:val="标题 Char"/>
    <w:basedOn w:val="17"/>
    <w:link w:val="14"/>
    <w:qFormat/>
    <w:uiPriority w:val="10"/>
    <w:rPr>
      <w:rFonts w:eastAsia="宋体" w:asciiTheme="majorHAnsi" w:hAnsiTheme="majorHAnsi" w:cstheme="majorBidi"/>
      <w:b/>
      <w:bCs/>
      <w:sz w:val="32"/>
      <w:szCs w:val="32"/>
    </w:rPr>
  </w:style>
  <w:style w:type="character" w:customStyle="1" w:styleId="30">
    <w:name w:val="文档结构图 Char"/>
    <w:basedOn w:val="17"/>
    <w:link w:val="5"/>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100"/>
    <customShpInfo spid="_x0000_s4101"/>
    <customShpInfo spid="_x0000_s4102"/>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36797-9EDE-4285-86C2-E693C4681B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987</Words>
  <Characters>5627</Characters>
  <Lines>46</Lines>
  <Paragraphs>13</Paragraphs>
  <TotalTime>1</TotalTime>
  <ScaleCrop>false</ScaleCrop>
  <LinksUpToDate>false</LinksUpToDate>
  <CharactersWithSpaces>6601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2017-03-30T01:39:00Z</dcterms:created>
  <dc:creator>微软用户</dc:creator>
  <cp:lastModifiedBy>Administrator</cp:lastModifiedBy>
  <cp:lastPrinted>2021-11-04T02:34:00Z</cp:lastPrinted>
  <dcterms:modified xsi:type="dcterms:W3CDTF">2022-03-09T01:23:25Z</dcterms:modified>
  <cp:revision>1249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28E26B4F53A74D36ADE1EABDF4A1DAE7</vt:lpwstr>
  </property>
</Properties>
</file>