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480" w:lineRule="exact"/>
        <w:ind w:right="89" w:rightChars="37" w:firstLine="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lang w:eastAsia="zh-CN"/>
        </w:rPr>
        <w:t>十堰市郧阳区人民法院</w:t>
      </w:r>
      <w:r>
        <w:rPr>
          <w:rFonts w:hint="default" w:ascii="Times New Roman" w:hAnsi="Times New Roman" w:eastAsia="仿宋" w:cs="Times New Roman"/>
          <w:b/>
          <w:color w:val="auto"/>
          <w:sz w:val="24"/>
          <w:szCs w:val="24"/>
        </w:rPr>
        <w:t>委托的</w:t>
      </w:r>
      <w:r>
        <w:rPr>
          <w:rFonts w:hint="default" w:ascii="Times New Roman" w:hAnsi="Times New Roman" w:eastAsia="仿宋" w:cs="Times New Roman"/>
          <w:b/>
          <w:color w:val="auto"/>
          <w:sz w:val="24"/>
          <w:szCs w:val="24"/>
          <w:lang w:eastAsia="zh-CN"/>
        </w:rPr>
        <w:t>孙强</w:t>
      </w:r>
      <w:r>
        <w:rPr>
          <w:rFonts w:hint="default" w:ascii="Times New Roman" w:hAnsi="Times New Roman" w:eastAsia="仿宋" w:cs="Times New Roman"/>
          <w:b/>
          <w:color w:val="auto"/>
          <w:sz w:val="24"/>
          <w:szCs w:val="24"/>
        </w:rPr>
        <w:t>位于十堰市</w:t>
      </w:r>
      <w:r>
        <w:rPr>
          <w:rFonts w:hint="default" w:ascii="Times New Roman" w:hAnsi="Times New Roman" w:eastAsia="仿宋" w:cs="Times New Roman"/>
          <w:b/>
          <w:color w:val="auto"/>
          <w:sz w:val="24"/>
          <w:szCs w:val="24"/>
          <w:lang w:eastAsia="zh-CN"/>
        </w:rPr>
        <w:t>郧阳区城关镇东岭街东岭居委会七组锦绣龙苑1</w:t>
      </w:r>
      <w:r>
        <w:rPr>
          <w:rFonts w:hint="default" w:ascii="Times New Roman" w:hAnsi="Times New Roman" w:eastAsia="仿宋" w:cs="Times New Roman"/>
          <w:b/>
          <w:color w:val="auto"/>
          <w:sz w:val="24"/>
          <w:szCs w:val="24"/>
          <w:lang w:val="en-US" w:eastAsia="zh-CN"/>
        </w:rPr>
        <w:t>01</w:t>
      </w:r>
      <w:r>
        <w:rPr>
          <w:rFonts w:hint="default" w:ascii="Times New Roman" w:hAnsi="Times New Roman" w:eastAsia="仿宋" w:cs="Times New Roman"/>
          <w:b/>
          <w:color w:val="auto"/>
          <w:sz w:val="24"/>
          <w:szCs w:val="24"/>
          <w:lang w:eastAsia="zh-CN"/>
        </w:rPr>
        <w:t>幢2单元202室</w:t>
      </w:r>
      <w:r>
        <w:rPr>
          <w:rFonts w:hint="default" w:ascii="Times New Roman" w:hAnsi="Times New Roman" w:eastAsia="仿宋" w:cs="Times New Roman"/>
          <w:b/>
          <w:color w:val="auto"/>
          <w:sz w:val="24"/>
          <w:szCs w:val="24"/>
        </w:rPr>
        <w:t>住宅房地产市场价值评估</w:t>
      </w:r>
    </w:p>
    <w:p>
      <w:pPr>
        <w:rPr>
          <w:rFonts w:hint="default" w:ascii="Times New Roman" w:hAnsi="Times New Roman" w:eastAsia="仿宋" w:cs="Times New Roman"/>
          <w:b/>
          <w:color w:val="auto"/>
          <w:kern w:val="0"/>
          <w:szCs w:val="24"/>
          <w:lang w:eastAsia="zh-CN"/>
        </w:rPr>
      </w:pPr>
      <w:r>
        <w:rPr>
          <w:rFonts w:hint="default" w:ascii="Times New Roman" w:hAnsi="Times New Roman" w:eastAsia="仿宋" w:cs="Times New Roman"/>
          <w:b/>
          <w:color w:val="auto"/>
          <w:kern w:val="0"/>
          <w:szCs w:val="24"/>
          <w:lang w:eastAsia="zh-CN"/>
        </w:rPr>
        <w:t>博文房估字（2021）第</w:t>
      </w:r>
      <w:r>
        <w:rPr>
          <w:rFonts w:hint="eastAsia" w:eastAsia="仿宋" w:cs="Times New Roman"/>
          <w:b/>
          <w:color w:val="auto"/>
          <w:kern w:val="0"/>
          <w:szCs w:val="24"/>
          <w:lang w:eastAsia="zh-CN"/>
        </w:rPr>
        <w:t>17044</w:t>
      </w:r>
      <w:r>
        <w:rPr>
          <w:rFonts w:hint="default" w:ascii="Times New Roman" w:hAnsi="Times New Roman" w:eastAsia="仿宋" w:cs="Times New Roman"/>
          <w:b/>
          <w:color w:val="auto"/>
          <w:kern w:val="0"/>
          <w:szCs w:val="24"/>
          <w:lang w:eastAsia="zh-CN"/>
        </w:rPr>
        <w:t>号</w:t>
      </w:r>
    </w:p>
    <w:p>
      <w:pPr>
        <w:rPr>
          <w:rFonts w:hint="default" w:ascii="Times New Roman" w:hAnsi="Times New Roman" w:eastAsia="仿宋" w:cs="Times New Roman"/>
          <w:color w:val="auto"/>
          <w:lang w:eastAsia="zh-CN"/>
        </w:rPr>
      </w:pPr>
      <w:r>
        <w:rPr>
          <w:rFonts w:hint="default" w:ascii="Times New Roman" w:hAnsi="Times New Roman" w:eastAsia="仿宋" w:cs="Times New Roman"/>
          <w:b/>
          <w:color w:val="auto"/>
          <w:kern w:val="0"/>
          <w:szCs w:val="24"/>
          <w:lang w:eastAsia="zh-CN"/>
        </w:rPr>
        <w:t>郧法鉴委（2021）第113号</w:t>
      </w:r>
    </w:p>
    <w:p>
      <w:pPr>
        <w:rPr>
          <w:rFonts w:hint="default" w:ascii="Times New Roman" w:hAnsi="Times New Roman" w:eastAsia="仿宋" w:cs="Times New Roman"/>
          <w:color w:val="auto"/>
        </w:rPr>
      </w:pPr>
    </w:p>
    <w:p>
      <w:pPr>
        <w:rPr>
          <w:rFonts w:hint="default" w:ascii="Times New Roman" w:hAnsi="Times New Roman" w:eastAsia="仿宋" w:cs="Times New Roman"/>
          <w:color w:val="auto"/>
        </w:rPr>
      </w:pPr>
    </w:p>
    <w:p>
      <w:pPr>
        <w:rPr>
          <w:rFonts w:hint="default" w:ascii="Times New Roman" w:hAnsi="Times New Roman" w:eastAsia="仿宋" w:cs="Times New Roman"/>
          <w:color w:val="auto"/>
        </w:rPr>
      </w:pPr>
    </w:p>
    <w:p>
      <w:pPr>
        <w:pStyle w:val="2"/>
        <w:spacing w:line="360" w:lineRule="auto"/>
        <w:rPr>
          <w:rFonts w:hint="default" w:ascii="Times New Roman" w:hAnsi="Times New Roman" w:eastAsia="仿宋" w:cs="Times New Roman"/>
          <w:color w:val="auto"/>
          <w:sz w:val="52"/>
          <w:szCs w:val="52"/>
        </w:rPr>
      </w:pPr>
    </w:p>
    <w:p>
      <w:pPr>
        <w:rPr>
          <w:rFonts w:hint="default" w:ascii="Times New Roman" w:hAnsi="Times New Roman" w:eastAsia="仿宋" w:cs="Times New Roman"/>
          <w:color w:val="auto"/>
        </w:rPr>
      </w:pPr>
    </w:p>
    <w:p>
      <w:pPr>
        <w:rPr>
          <w:rFonts w:hint="default" w:ascii="Times New Roman" w:hAnsi="Times New Roman" w:eastAsia="仿宋" w:cs="Times New Roman"/>
          <w:color w:val="auto"/>
        </w:rPr>
      </w:pPr>
    </w:p>
    <w:p>
      <w:pPr>
        <w:rPr>
          <w:rFonts w:hint="default" w:ascii="Times New Roman" w:hAnsi="Times New Roman" w:eastAsia="仿宋" w:cs="Times New Roman"/>
          <w:color w:val="auto"/>
        </w:rPr>
      </w:pPr>
    </w:p>
    <w:p>
      <w:pPr>
        <w:rPr>
          <w:rFonts w:hint="default" w:ascii="Times New Roman" w:hAnsi="Times New Roman" w:eastAsia="仿宋" w:cs="Times New Roman"/>
          <w:color w:val="auto"/>
        </w:rPr>
      </w:pPr>
    </w:p>
    <w:p>
      <w:pPr>
        <w:spacing w:line="480" w:lineRule="auto"/>
        <w:jc w:val="center"/>
        <w:rPr>
          <w:rFonts w:hint="default" w:ascii="Times New Roman" w:hAnsi="Times New Roman" w:eastAsia="仿宋" w:cs="Times New Roman"/>
          <w:color w:val="auto"/>
        </w:rPr>
      </w:pPr>
      <w:r>
        <w:rPr>
          <w:rFonts w:hint="default" w:ascii="Times New Roman" w:hAnsi="Times New Roman" w:eastAsia="仿宋" w:cs="Times New Roman"/>
          <w:b/>
          <w:color w:val="auto"/>
          <w:spacing w:val="40"/>
          <w:kern w:val="44"/>
          <w:sz w:val="52"/>
          <w:szCs w:val="52"/>
        </w:rPr>
        <w:t>涉执房地产处置司法评估报告</w:t>
      </w:r>
    </w:p>
    <w:p>
      <w:pPr>
        <w:spacing w:line="480" w:lineRule="auto"/>
        <w:rPr>
          <w:rFonts w:hint="default" w:ascii="Times New Roman" w:hAnsi="Times New Roman" w:eastAsia="仿宋" w:cs="Times New Roman"/>
          <w:color w:val="auto"/>
        </w:rPr>
      </w:pPr>
    </w:p>
    <w:p>
      <w:pPr>
        <w:spacing w:line="480" w:lineRule="auto"/>
        <w:rPr>
          <w:rFonts w:hint="default" w:ascii="Times New Roman" w:hAnsi="Times New Roman" w:eastAsia="仿宋" w:cs="Times New Roman"/>
          <w:color w:val="auto"/>
        </w:rPr>
      </w:pPr>
    </w:p>
    <w:p>
      <w:pPr>
        <w:pStyle w:val="4"/>
        <w:spacing w:line="480" w:lineRule="exact"/>
        <w:ind w:left="24" w:leftChars="10" w:right="-50" w:rightChars="-21" w:firstLine="0"/>
        <w:rPr>
          <w:rFonts w:hint="default" w:ascii="Times New Roman" w:hAnsi="Times New Roman" w:eastAsia="仿宋" w:cs="Times New Roman"/>
          <w:b/>
          <w:color w:val="auto"/>
          <w:sz w:val="32"/>
        </w:rPr>
      </w:pPr>
    </w:p>
    <w:p>
      <w:pPr>
        <w:pStyle w:val="4"/>
        <w:spacing w:line="500" w:lineRule="exact"/>
        <w:ind w:right="-566" w:rightChars="-236" w:firstLine="0"/>
        <w:rPr>
          <w:rFonts w:hint="default" w:ascii="Times New Roman" w:hAnsi="Times New Roman" w:eastAsia="仿宋" w:cs="Times New Roman"/>
          <w:b/>
          <w:color w:val="auto"/>
          <w:sz w:val="32"/>
        </w:rPr>
      </w:pPr>
    </w:p>
    <w:p>
      <w:pPr>
        <w:pStyle w:val="4"/>
        <w:spacing w:line="500" w:lineRule="exact"/>
        <w:ind w:right="-566" w:rightChars="-236" w:firstLine="0"/>
        <w:rPr>
          <w:rFonts w:hint="default" w:ascii="Times New Roman" w:hAnsi="Times New Roman" w:eastAsia="仿宋" w:cs="Times New Roman"/>
          <w:b/>
          <w:color w:val="auto"/>
          <w:sz w:val="32"/>
        </w:rPr>
      </w:pPr>
    </w:p>
    <w:p>
      <w:pPr>
        <w:pStyle w:val="4"/>
        <w:spacing w:line="500" w:lineRule="exact"/>
        <w:ind w:right="-566" w:rightChars="-236" w:firstLine="0"/>
        <w:rPr>
          <w:rFonts w:hint="default" w:ascii="Times New Roman" w:hAnsi="Times New Roman" w:eastAsia="仿宋" w:cs="Times New Roman"/>
          <w:b/>
          <w:color w:val="auto"/>
          <w:sz w:val="32"/>
        </w:rPr>
      </w:pPr>
    </w:p>
    <w:p>
      <w:pPr>
        <w:pStyle w:val="4"/>
        <w:spacing w:line="500" w:lineRule="exact"/>
        <w:ind w:right="-566" w:rightChars="-236" w:firstLine="0"/>
        <w:rPr>
          <w:rFonts w:hint="default" w:ascii="Times New Roman" w:hAnsi="Times New Roman" w:eastAsia="仿宋" w:cs="Times New Roman"/>
          <w:b/>
          <w:color w:val="auto"/>
          <w:sz w:val="32"/>
        </w:rPr>
      </w:pPr>
    </w:p>
    <w:p>
      <w:pPr>
        <w:pStyle w:val="4"/>
        <w:spacing w:line="500" w:lineRule="exact"/>
        <w:ind w:right="-566" w:rightChars="-236" w:firstLine="0"/>
        <w:rPr>
          <w:rFonts w:hint="default" w:ascii="Times New Roman" w:hAnsi="Times New Roman" w:eastAsia="仿宋" w:cs="Times New Roman"/>
          <w:b/>
          <w:color w:val="auto"/>
          <w:sz w:val="32"/>
        </w:rPr>
      </w:pPr>
    </w:p>
    <w:p>
      <w:pPr>
        <w:pStyle w:val="4"/>
        <w:spacing w:line="500" w:lineRule="exact"/>
        <w:ind w:left="1210" w:leftChars="17" w:right="-566" w:rightChars="-236" w:hanging="1169" w:hangingChars="485"/>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博文房地产评估造价集团有限公司</w:t>
      </w:r>
    </w:p>
    <w:p>
      <w:pPr>
        <w:pStyle w:val="4"/>
        <w:spacing w:line="500" w:lineRule="exact"/>
        <w:ind w:left="1210" w:leftChars="17" w:right="-566" w:rightChars="-236" w:hanging="1169" w:hangingChars="485"/>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耿  泽 注册号4220210008</w:t>
      </w:r>
    </w:p>
    <w:p>
      <w:pPr>
        <w:pStyle w:val="4"/>
        <w:spacing w:line="500" w:lineRule="exact"/>
        <w:ind w:left="1210" w:leftChars="17" w:right="-566" w:rightChars="-236" w:hanging="1169" w:hangingChars="485"/>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耿  丽 注册号4220210009</w:t>
      </w:r>
    </w:p>
    <w:p>
      <w:pPr>
        <w:pStyle w:val="4"/>
        <w:spacing w:line="500" w:lineRule="exact"/>
        <w:ind w:left="1210" w:leftChars="17" w:right="-566" w:rightChars="-236" w:hanging="1169" w:hangingChars="485"/>
        <w:rPr>
          <w:rFonts w:hint="default" w:ascii="Times New Roman" w:hAnsi="Times New Roman" w:eastAsia="仿宋" w:cs="Times New Roman"/>
          <w:b/>
          <w:color w:val="auto"/>
          <w:sz w:val="24"/>
          <w:szCs w:val="24"/>
          <w:lang w:eastAsia="zh-CN"/>
        </w:rPr>
      </w:pPr>
      <w:bookmarkStart w:id="0" w:name="_Toc391884246"/>
      <w:bookmarkStart w:id="1" w:name="_Toc213473257"/>
      <w:bookmarkStart w:id="2" w:name="_Toc166894318"/>
      <w:bookmarkStart w:id="3" w:name="OLE_LINK3"/>
      <w:bookmarkStart w:id="4" w:name="_Toc166894319"/>
      <w:bookmarkStart w:id="5" w:name="_Toc213473258"/>
      <w:r>
        <w:rPr>
          <w:rFonts w:hint="default" w:ascii="Times New Roman" w:hAnsi="Times New Roman" w:eastAsia="仿宋" w:cs="Times New Roman"/>
          <w:b/>
          <w:color w:val="auto"/>
          <w:sz w:val="24"/>
          <w:szCs w:val="24"/>
          <w:lang w:eastAsia="zh-CN"/>
        </w:rPr>
        <w:t>2021年11月25日</w:t>
      </w:r>
    </w:p>
    <w:p>
      <w:pPr>
        <w:pStyle w:val="3"/>
        <w:rPr>
          <w:rFonts w:hint="default" w:ascii="Times New Roman" w:hAnsi="Times New Roman" w:eastAsia="仿宋" w:cs="Times New Roman"/>
          <w:bCs/>
          <w:color w:val="auto"/>
          <w:szCs w:val="36"/>
        </w:rPr>
        <w:sectPr>
          <w:footerReference r:id="rId7" w:type="first"/>
          <w:headerReference r:id="rId5" w:type="default"/>
          <w:footerReference r:id="rId6" w:type="default"/>
          <w:pgSz w:w="11907" w:h="16840"/>
          <w:pgMar w:top="1105" w:right="1797" w:bottom="1135" w:left="1797" w:header="851" w:footer="992" w:gutter="0"/>
          <w:pgNumType w:start="0"/>
          <w:cols w:space="425" w:num="1"/>
          <w:titlePg/>
          <w:docGrid w:type="lines" w:linePitch="326" w:charSpace="0"/>
        </w:sectPr>
      </w:pPr>
      <w:bookmarkStart w:id="6" w:name="_Toc14768001"/>
      <w:bookmarkStart w:id="7" w:name="_Toc73954702"/>
    </w:p>
    <w:p>
      <w:pPr>
        <w:pStyle w:val="3"/>
        <w:rPr>
          <w:rFonts w:hint="default" w:ascii="Times New Roman" w:hAnsi="Times New Roman" w:eastAsia="仿宋" w:cs="Times New Roman"/>
          <w:b w:val="0"/>
          <w:color w:val="auto"/>
          <w:szCs w:val="36"/>
        </w:rPr>
      </w:pPr>
      <w:r>
        <w:rPr>
          <w:rFonts w:hint="default" w:ascii="Times New Roman" w:hAnsi="Times New Roman" w:eastAsia="仿宋" w:cs="Times New Roman"/>
          <w:bCs/>
          <w:color w:val="auto"/>
          <w:szCs w:val="36"/>
        </w:rPr>
        <w:t>致估价委托人函</w:t>
      </w:r>
      <w:bookmarkEnd w:id="0"/>
      <w:bookmarkEnd w:id="1"/>
      <w:bookmarkEnd w:id="2"/>
      <w:bookmarkEnd w:id="6"/>
      <w:bookmarkEnd w:id="7"/>
    </w:p>
    <w:p>
      <w:pPr>
        <w:pStyle w:val="14"/>
        <w:spacing w:line="480" w:lineRule="exact"/>
        <w:rPr>
          <w:rFonts w:hint="default" w:ascii="Times New Roman" w:hAnsi="Times New Roman" w:eastAsia="仿宋" w:cs="Times New Roman"/>
          <w:snapToGrid w:val="0"/>
          <w:color w:val="auto"/>
          <w:kern w:val="0"/>
          <w:sz w:val="28"/>
          <w:szCs w:val="28"/>
        </w:rPr>
      </w:pPr>
      <w:r>
        <w:rPr>
          <w:rFonts w:hint="default" w:ascii="Times New Roman" w:hAnsi="Times New Roman" w:eastAsia="仿宋" w:cs="Times New Roman"/>
          <w:color w:val="auto"/>
          <w:sz w:val="28"/>
          <w:lang w:eastAsia="zh-CN"/>
        </w:rPr>
        <w:t>十堰市郧阳区人民法院</w:t>
      </w:r>
      <w:r>
        <w:rPr>
          <w:rFonts w:hint="default" w:ascii="Times New Roman" w:hAnsi="Times New Roman" w:eastAsia="仿宋" w:cs="Times New Roman"/>
          <w:color w:val="auto"/>
          <w:sz w:val="28"/>
          <w:szCs w:val="28"/>
        </w:rPr>
        <w:t>：</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受贵院委托的【</w:t>
      </w:r>
      <w:r>
        <w:rPr>
          <w:rFonts w:hint="default" w:ascii="Times New Roman" w:hAnsi="Times New Roman" w:eastAsia="仿宋" w:cs="Times New Roman"/>
          <w:color w:val="auto"/>
          <w:sz w:val="28"/>
          <w:lang w:eastAsia="zh-CN"/>
        </w:rPr>
        <w:t>郧法鉴委（2021）第113号</w:t>
      </w:r>
      <w:r>
        <w:rPr>
          <w:rFonts w:hint="default" w:ascii="Times New Roman" w:hAnsi="Times New Roman" w:eastAsia="仿宋" w:cs="Times New Roman"/>
          <w:color w:val="auto"/>
          <w:sz w:val="28"/>
        </w:rPr>
        <w:t>】司法评估委托书，我公司依据国家标准《房地产估价规范》（GB/T 50291-2015）、《房地产估价基本术语标准》（GB/T 50899-2013），《</w:t>
      </w:r>
      <w:r>
        <w:rPr>
          <w:rFonts w:hint="default" w:ascii="Times New Roman" w:hAnsi="Times New Roman" w:eastAsia="仿宋" w:cs="Times New Roman"/>
          <w:color w:val="auto"/>
          <w:sz w:val="28"/>
          <w:szCs w:val="28"/>
        </w:rPr>
        <w:t>最高人民法院关于人民法院委托评估拍卖和变卖工作的若干规定》及</w:t>
      </w:r>
      <w:r>
        <w:rPr>
          <w:rFonts w:hint="default" w:ascii="Times New Roman" w:hAnsi="Times New Roman" w:eastAsia="仿宋" w:cs="Times New Roman"/>
          <w:color w:val="auto"/>
          <w:spacing w:val="5"/>
          <w:sz w:val="28"/>
        </w:rPr>
        <w:t>有关法律法规政策规定</w:t>
      </w:r>
      <w:r>
        <w:rPr>
          <w:rFonts w:hint="default" w:ascii="Times New Roman" w:hAnsi="Times New Roman" w:eastAsia="仿宋" w:cs="Times New Roman"/>
          <w:color w:val="auto"/>
          <w:sz w:val="28"/>
        </w:rPr>
        <w:t>，对</w:t>
      </w:r>
      <w:r>
        <w:rPr>
          <w:rFonts w:hint="default" w:ascii="Times New Roman" w:hAnsi="Times New Roman" w:eastAsia="仿宋" w:cs="Times New Roman"/>
          <w:color w:val="auto"/>
          <w:sz w:val="28"/>
          <w:lang w:eastAsia="zh-CN"/>
        </w:rPr>
        <w:t>孙强</w:t>
      </w:r>
      <w:r>
        <w:rPr>
          <w:rFonts w:hint="default" w:ascii="Times New Roman" w:hAnsi="Times New Roman" w:eastAsia="仿宋" w:cs="Times New Roman"/>
          <w:color w:val="auto"/>
          <w:sz w:val="28"/>
        </w:rPr>
        <w:t>位于十堰市</w:t>
      </w:r>
      <w:r>
        <w:rPr>
          <w:rFonts w:hint="default" w:ascii="Times New Roman" w:hAnsi="Times New Roman" w:eastAsia="仿宋" w:cs="Times New Roman"/>
          <w:color w:val="auto"/>
          <w:sz w:val="28"/>
          <w:lang w:eastAsia="zh-CN"/>
        </w:rPr>
        <w:t>郧阳区城关镇东岭街东岭居委会七组锦绣龙苑1</w:t>
      </w:r>
      <w:r>
        <w:rPr>
          <w:rFonts w:hint="default" w:ascii="Times New Roman" w:hAnsi="Times New Roman" w:eastAsia="仿宋" w:cs="Times New Roman"/>
          <w:color w:val="auto"/>
          <w:sz w:val="28"/>
          <w:lang w:val="en-US" w:eastAsia="zh-CN"/>
        </w:rPr>
        <w:t>01</w:t>
      </w:r>
      <w:r>
        <w:rPr>
          <w:rFonts w:hint="default" w:ascii="Times New Roman" w:hAnsi="Times New Roman" w:eastAsia="仿宋" w:cs="Times New Roman"/>
          <w:color w:val="auto"/>
          <w:sz w:val="28"/>
          <w:lang w:eastAsia="zh-CN"/>
        </w:rPr>
        <w:t>幢2单元202室</w:t>
      </w:r>
      <w:r>
        <w:rPr>
          <w:rFonts w:hint="default" w:ascii="Times New Roman" w:hAnsi="Times New Roman" w:eastAsia="仿宋" w:cs="Times New Roman"/>
          <w:color w:val="auto"/>
          <w:sz w:val="28"/>
        </w:rPr>
        <w:t>住宅</w:t>
      </w:r>
      <w:r>
        <w:rPr>
          <w:rFonts w:hint="default" w:ascii="Times New Roman" w:hAnsi="Times New Roman" w:eastAsia="仿宋" w:cs="Times New Roman"/>
          <w:color w:val="auto"/>
          <w:spacing w:val="5"/>
          <w:sz w:val="28"/>
        </w:rPr>
        <w:t>房地产的市场价值进行了评估，估价目</w:t>
      </w:r>
      <w:r>
        <w:rPr>
          <w:rFonts w:hint="default" w:ascii="Times New Roman" w:hAnsi="Times New Roman" w:eastAsia="仿宋" w:cs="Times New Roman"/>
          <w:color w:val="auto"/>
          <w:sz w:val="28"/>
        </w:rPr>
        <w:t>的是为人民</w:t>
      </w:r>
      <w:r>
        <w:rPr>
          <w:rFonts w:hint="default" w:ascii="Times New Roman" w:hAnsi="Times New Roman" w:eastAsia="仿宋" w:cs="Times New Roman"/>
          <w:color w:val="auto"/>
          <w:sz w:val="28"/>
          <w:szCs w:val="28"/>
        </w:rPr>
        <w:t>法院确定财产处置参考价值提供参考依据</w:t>
      </w:r>
      <w:r>
        <w:rPr>
          <w:rFonts w:hint="default" w:ascii="Times New Roman" w:hAnsi="Times New Roman" w:eastAsia="仿宋" w:cs="Times New Roman"/>
          <w:color w:val="auto"/>
          <w:sz w:val="28"/>
        </w:rPr>
        <w:t>。</w:t>
      </w:r>
    </w:p>
    <w:p>
      <w:pPr>
        <w:spacing w:line="480" w:lineRule="exact"/>
        <w:ind w:firstLine="560" w:firstLineChars="200"/>
        <w:rPr>
          <w:rFonts w:hint="default" w:ascii="Times New Roman" w:hAnsi="Times New Roman" w:eastAsia="仿宋" w:cs="Times New Roman"/>
          <w:color w:val="auto"/>
          <w:szCs w:val="24"/>
        </w:rPr>
      </w:pPr>
      <w:r>
        <w:rPr>
          <w:rFonts w:hint="default" w:ascii="Times New Roman" w:hAnsi="Times New Roman" w:eastAsia="仿宋" w:cs="Times New Roman"/>
          <w:color w:val="auto"/>
          <w:sz w:val="28"/>
        </w:rPr>
        <w:t>注册房地产估价师根据估价目的，遵循估价原则，按照估价程序，采用比较法，在认真分析所掌握的资料并充分考虑估价对象价格影响因素的基础上，经过综合测算，最终确定估价对象在</w:t>
      </w:r>
      <w:r>
        <w:rPr>
          <w:rFonts w:hint="default" w:ascii="Times New Roman" w:hAnsi="Times New Roman" w:eastAsia="仿宋" w:cs="Times New Roman"/>
          <w:color w:val="auto"/>
          <w:sz w:val="28"/>
          <w:lang w:eastAsia="zh-CN"/>
        </w:rPr>
        <w:t>2021年11月05日</w:t>
      </w:r>
      <w:r>
        <w:rPr>
          <w:rFonts w:hint="default" w:ascii="Times New Roman" w:hAnsi="Times New Roman" w:eastAsia="仿宋" w:cs="Times New Roman"/>
          <w:color w:val="auto"/>
          <w:sz w:val="28"/>
        </w:rPr>
        <w:t>的市场价值为房地产总价</w:t>
      </w:r>
      <w:r>
        <w:rPr>
          <w:rFonts w:hint="default" w:ascii="Times New Roman" w:hAnsi="Times New Roman" w:eastAsia="仿宋" w:cs="Times New Roman"/>
          <w:color w:val="auto"/>
          <w:sz w:val="28"/>
          <w:lang w:eastAsia="zh-CN"/>
        </w:rPr>
        <w:t>34.10</w:t>
      </w:r>
      <w:r>
        <w:rPr>
          <w:rFonts w:hint="default" w:ascii="Times New Roman" w:hAnsi="Times New Roman" w:eastAsia="仿宋" w:cs="Times New Roman"/>
          <w:color w:val="auto"/>
          <w:sz w:val="28"/>
        </w:rPr>
        <w:t>万元，大写人民币</w:t>
      </w:r>
      <w:r>
        <w:rPr>
          <w:rFonts w:hint="default" w:ascii="Times New Roman" w:hAnsi="Times New Roman" w:eastAsia="仿宋" w:cs="Times New Roman"/>
          <w:b/>
          <w:color w:val="auto"/>
          <w:sz w:val="28"/>
          <w:lang w:eastAsia="zh-CN"/>
        </w:rPr>
        <w:t>叁拾肆万壹仟元整</w:t>
      </w:r>
      <w:r>
        <w:rPr>
          <w:rFonts w:hint="default" w:ascii="Times New Roman" w:hAnsi="Times New Roman" w:eastAsia="仿宋" w:cs="Times New Roman"/>
          <w:color w:val="auto"/>
          <w:sz w:val="28"/>
        </w:rPr>
        <w:t>，房地产单价为</w:t>
      </w:r>
      <w:r>
        <w:rPr>
          <w:rFonts w:hint="default" w:ascii="Times New Roman" w:hAnsi="Times New Roman" w:eastAsia="仿宋" w:cs="Times New Roman"/>
          <w:color w:val="auto"/>
          <w:sz w:val="28"/>
          <w:lang w:eastAsia="zh-CN"/>
        </w:rPr>
        <w:t>2672</w:t>
      </w:r>
      <w:r>
        <w:rPr>
          <w:rFonts w:hint="default" w:ascii="Times New Roman" w:hAnsi="Times New Roman" w:eastAsia="仿宋" w:cs="Times New Roman"/>
          <w:color w:val="auto"/>
          <w:sz w:val="28"/>
        </w:rPr>
        <w:t>元/㎡。</w:t>
      </w:r>
    </w:p>
    <w:bookmarkEnd w:id="3"/>
    <w:p>
      <w:pPr>
        <w:spacing w:line="240" w:lineRule="auto"/>
        <w:jc w:val="center"/>
        <w:rPr>
          <w:rFonts w:hint="default" w:ascii="Times New Roman" w:hAnsi="Times New Roman" w:eastAsia="仿宋" w:cs="Times New Roman"/>
          <w:b/>
          <w:color w:val="auto"/>
          <w:szCs w:val="24"/>
        </w:rPr>
      </w:pPr>
      <w:r>
        <w:rPr>
          <w:rFonts w:hint="default" w:ascii="Times New Roman" w:hAnsi="Times New Roman" w:eastAsia="仿宋" w:cs="Times New Roman"/>
          <w:b/>
          <w:color w:val="auto"/>
          <w:szCs w:val="24"/>
        </w:rPr>
        <w:t>表1估价对象评估结果一览表</w:t>
      </w:r>
    </w:p>
    <w:tbl>
      <w:tblPr>
        <w:tblStyle w:val="31"/>
        <w:tblW w:w="8324" w:type="dxa"/>
        <w:jc w:val="center"/>
        <w:tblBorders>
          <w:top w:val="thickThinMediumGap" w:color="auto" w:sz="24" w:space="0"/>
          <w:left w:val="none" w:color="auto" w:sz="0" w:space="0"/>
          <w:bottom w:val="thinThickMediumGap" w:color="auto" w:sz="24" w:space="0"/>
          <w:right w:val="none" w:color="auto" w:sz="0" w:space="0"/>
          <w:insideH w:val="dotDotDash" w:color="auto" w:sz="4" w:space="0"/>
          <w:insideV w:val="dashSmallGap" w:color="auto" w:sz="4" w:space="0"/>
        </w:tblBorders>
        <w:tblLayout w:type="fixed"/>
        <w:tblCellMar>
          <w:top w:w="0" w:type="dxa"/>
          <w:left w:w="108" w:type="dxa"/>
          <w:bottom w:w="0" w:type="dxa"/>
          <w:right w:w="108" w:type="dxa"/>
        </w:tblCellMar>
      </w:tblPr>
      <w:tblGrid>
        <w:gridCol w:w="1022"/>
        <w:gridCol w:w="1397"/>
        <w:gridCol w:w="1100"/>
        <w:gridCol w:w="673"/>
        <w:gridCol w:w="1060"/>
        <w:gridCol w:w="1134"/>
        <w:gridCol w:w="992"/>
        <w:gridCol w:w="946"/>
      </w:tblGrid>
      <w:tr>
        <w:tblPrEx>
          <w:tblBorders>
            <w:top w:val="thickThinMediumGap" w:color="auto" w:sz="24" w:space="0"/>
            <w:left w:val="none" w:color="auto" w:sz="0" w:space="0"/>
            <w:bottom w:val="thinThickMediumGap" w:color="auto" w:sz="24" w:space="0"/>
            <w:right w:val="none" w:color="auto" w:sz="0" w:space="0"/>
            <w:insideH w:val="dotDotDash" w:color="auto" w:sz="4" w:space="0"/>
            <w:insideV w:val="dashSmallGap" w:color="auto" w:sz="4" w:space="0"/>
          </w:tblBorders>
          <w:tblCellMar>
            <w:top w:w="0" w:type="dxa"/>
            <w:left w:w="108" w:type="dxa"/>
            <w:bottom w:w="0" w:type="dxa"/>
            <w:right w:w="108" w:type="dxa"/>
          </w:tblCellMar>
        </w:tblPrEx>
        <w:trPr>
          <w:cantSplit/>
          <w:trHeight w:val="937" w:hRule="atLeast"/>
          <w:jc w:val="center"/>
        </w:trPr>
        <w:tc>
          <w:tcPr>
            <w:tcW w:w="1022" w:type="dxa"/>
            <w:vAlign w:val="center"/>
          </w:tcPr>
          <w:p>
            <w:pPr>
              <w:pStyle w:val="14"/>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房屋所有权人</w:t>
            </w:r>
          </w:p>
        </w:tc>
        <w:tc>
          <w:tcPr>
            <w:tcW w:w="1397" w:type="dxa"/>
            <w:vAlign w:val="center"/>
          </w:tcPr>
          <w:p>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bCs/>
                <w:color w:val="auto"/>
                <w:sz w:val="21"/>
                <w:szCs w:val="21"/>
                <w:lang w:eastAsia="zh-CN"/>
              </w:rPr>
              <w:t>房屋所有权证</w:t>
            </w:r>
            <w:r>
              <w:rPr>
                <w:rFonts w:hint="default" w:ascii="Times New Roman" w:hAnsi="Times New Roman" w:eastAsia="仿宋" w:cs="Times New Roman"/>
                <w:b/>
                <w:bCs/>
                <w:color w:val="auto"/>
                <w:sz w:val="21"/>
                <w:szCs w:val="21"/>
              </w:rPr>
              <w:t>号</w:t>
            </w:r>
          </w:p>
        </w:tc>
        <w:tc>
          <w:tcPr>
            <w:tcW w:w="1100" w:type="dxa"/>
            <w:vAlign w:val="center"/>
          </w:tcPr>
          <w:p>
            <w:pPr>
              <w:spacing w:line="240" w:lineRule="auto"/>
              <w:jc w:val="center"/>
              <w:rPr>
                <w:rFonts w:hint="default" w:ascii="Times New Roman" w:hAnsi="Times New Roman" w:eastAsia="仿宋" w:cs="Times New Roman"/>
                <w:b/>
                <w:color w:val="auto"/>
                <w:sz w:val="21"/>
                <w:szCs w:val="21"/>
                <w:lang w:eastAsia="zh-CN"/>
              </w:rPr>
            </w:pPr>
            <w:r>
              <w:rPr>
                <w:rFonts w:hint="default" w:ascii="Times New Roman" w:hAnsi="Times New Roman" w:eastAsia="仿宋" w:cs="Times New Roman"/>
                <w:b/>
                <w:color w:val="auto"/>
                <w:sz w:val="21"/>
                <w:szCs w:val="21"/>
                <w:lang w:eastAsia="zh-CN"/>
              </w:rPr>
              <w:t>房屋结构</w:t>
            </w:r>
          </w:p>
        </w:tc>
        <w:tc>
          <w:tcPr>
            <w:tcW w:w="673" w:type="dxa"/>
            <w:vAlign w:val="center"/>
          </w:tcPr>
          <w:p>
            <w:pPr>
              <w:widowControl/>
              <w:spacing w:line="240" w:lineRule="auto"/>
              <w:jc w:val="both"/>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lang w:eastAsia="zh-CN"/>
              </w:rPr>
              <w:t>规划</w:t>
            </w:r>
            <w:r>
              <w:rPr>
                <w:rFonts w:hint="default" w:ascii="Times New Roman" w:hAnsi="Times New Roman" w:eastAsia="仿宋" w:cs="Times New Roman"/>
                <w:b/>
                <w:color w:val="auto"/>
                <w:kern w:val="0"/>
                <w:sz w:val="21"/>
                <w:szCs w:val="21"/>
              </w:rPr>
              <w:t>用途</w:t>
            </w:r>
          </w:p>
        </w:tc>
        <w:tc>
          <w:tcPr>
            <w:tcW w:w="1060" w:type="dxa"/>
            <w:vAlign w:val="center"/>
          </w:tcPr>
          <w:p>
            <w:pPr>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所在层数/总层数</w:t>
            </w:r>
          </w:p>
        </w:tc>
        <w:tc>
          <w:tcPr>
            <w:tcW w:w="1134" w:type="dxa"/>
            <w:vAlign w:val="center"/>
          </w:tcPr>
          <w:p>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sz w:val="21"/>
                <w:szCs w:val="21"/>
              </w:rPr>
              <w:t>建筑面积（</w:t>
            </w:r>
            <w:r>
              <w:rPr>
                <w:rFonts w:hint="default" w:ascii="Times New Roman" w:hAnsi="Times New Roman" w:eastAsia="仿宋" w:cs="Times New Roman"/>
                <w:b/>
                <w:color w:val="auto"/>
                <w:kern w:val="0"/>
                <w:sz w:val="21"/>
                <w:szCs w:val="21"/>
              </w:rPr>
              <w:t>m</w:t>
            </w:r>
            <w:r>
              <w:rPr>
                <w:rFonts w:hint="default" w:ascii="Times New Roman" w:hAnsi="Times New Roman" w:eastAsia="仿宋" w:cs="Times New Roman"/>
                <w:b/>
                <w:color w:val="auto"/>
                <w:kern w:val="0"/>
                <w:sz w:val="21"/>
                <w:szCs w:val="21"/>
                <w:vertAlign w:val="superscript"/>
              </w:rPr>
              <w:t>2</w:t>
            </w:r>
            <w:r>
              <w:rPr>
                <w:rFonts w:hint="default" w:ascii="Times New Roman" w:hAnsi="Times New Roman" w:eastAsia="仿宋" w:cs="Times New Roman"/>
                <w:b/>
                <w:color w:val="auto"/>
                <w:sz w:val="21"/>
                <w:szCs w:val="21"/>
              </w:rPr>
              <w:t>）</w:t>
            </w:r>
          </w:p>
        </w:tc>
        <w:tc>
          <w:tcPr>
            <w:tcW w:w="992" w:type="dxa"/>
            <w:vAlign w:val="center"/>
          </w:tcPr>
          <w:p>
            <w:pPr>
              <w:widowControl/>
              <w:spacing w:line="240" w:lineRule="auto"/>
              <w:ind w:left="-108" w:leftChars="-45"/>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单价</w:t>
            </w:r>
          </w:p>
          <w:p>
            <w:pPr>
              <w:widowControl/>
              <w:spacing w:line="240" w:lineRule="auto"/>
              <w:ind w:left="-108" w:leftChars="-45"/>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（元/㎡）</w:t>
            </w:r>
          </w:p>
        </w:tc>
        <w:tc>
          <w:tcPr>
            <w:tcW w:w="946" w:type="dxa"/>
            <w:vAlign w:val="center"/>
          </w:tcPr>
          <w:p>
            <w:pPr>
              <w:widowControl/>
              <w:spacing w:line="240" w:lineRule="auto"/>
              <w:ind w:left="-108" w:leftChars="-45"/>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总价</w:t>
            </w:r>
          </w:p>
          <w:p>
            <w:pPr>
              <w:widowControl/>
              <w:spacing w:line="240" w:lineRule="auto"/>
              <w:ind w:left="-108" w:leftChars="-45"/>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（万元）</w:t>
            </w:r>
          </w:p>
        </w:tc>
      </w:tr>
      <w:tr>
        <w:tblPrEx>
          <w:tblBorders>
            <w:top w:val="thickThinMediumGap" w:color="auto" w:sz="24" w:space="0"/>
            <w:left w:val="none" w:color="auto" w:sz="0" w:space="0"/>
            <w:bottom w:val="thinThickMediumGap" w:color="auto" w:sz="24" w:space="0"/>
            <w:right w:val="none" w:color="auto" w:sz="0" w:space="0"/>
            <w:insideH w:val="dotDotDash" w:color="auto" w:sz="4" w:space="0"/>
            <w:insideV w:val="dashSmallGap" w:color="auto" w:sz="4" w:space="0"/>
          </w:tblBorders>
          <w:tblCellMar>
            <w:top w:w="0" w:type="dxa"/>
            <w:left w:w="108" w:type="dxa"/>
            <w:bottom w:w="0" w:type="dxa"/>
            <w:right w:w="108" w:type="dxa"/>
          </w:tblCellMar>
        </w:tblPrEx>
        <w:trPr>
          <w:cantSplit/>
          <w:trHeight w:val="1008" w:hRule="atLeast"/>
          <w:jc w:val="center"/>
        </w:trPr>
        <w:tc>
          <w:tcPr>
            <w:tcW w:w="1022" w:type="dxa"/>
            <w:vAlign w:val="center"/>
          </w:tcPr>
          <w:p>
            <w:pPr>
              <w:pStyle w:val="14"/>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孙强</w:t>
            </w:r>
          </w:p>
        </w:tc>
        <w:tc>
          <w:tcPr>
            <w:tcW w:w="1397"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郧县房权证</w:t>
            </w:r>
          </w:p>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城关镇字第</w:t>
            </w:r>
          </w:p>
          <w:p>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20080122号</w:t>
            </w:r>
          </w:p>
        </w:tc>
        <w:tc>
          <w:tcPr>
            <w:tcW w:w="1100" w:type="dxa"/>
            <w:vAlign w:val="center"/>
          </w:tcPr>
          <w:p>
            <w:pPr>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混合</w:t>
            </w:r>
          </w:p>
        </w:tc>
        <w:tc>
          <w:tcPr>
            <w:tcW w:w="673" w:type="dxa"/>
            <w:vAlign w:val="center"/>
          </w:tcPr>
          <w:p>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住宅</w:t>
            </w:r>
          </w:p>
        </w:tc>
        <w:tc>
          <w:tcPr>
            <w:tcW w:w="1060" w:type="dxa"/>
            <w:vAlign w:val="center"/>
          </w:tcPr>
          <w:p>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2/7</w:t>
            </w:r>
          </w:p>
        </w:tc>
        <w:tc>
          <w:tcPr>
            <w:tcW w:w="1134" w:type="dxa"/>
            <w:vAlign w:val="center"/>
          </w:tcPr>
          <w:p>
            <w:pPr>
              <w:spacing w:line="240" w:lineRule="auto"/>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127.61</w:t>
            </w:r>
          </w:p>
        </w:tc>
        <w:tc>
          <w:tcPr>
            <w:tcW w:w="992" w:type="dxa"/>
            <w:vAlign w:val="center"/>
          </w:tcPr>
          <w:p>
            <w:pPr>
              <w:spacing w:line="240" w:lineRule="auto"/>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2672</w:t>
            </w:r>
          </w:p>
        </w:tc>
        <w:tc>
          <w:tcPr>
            <w:tcW w:w="946" w:type="dxa"/>
            <w:vAlign w:val="center"/>
          </w:tcPr>
          <w:p>
            <w:pPr>
              <w:spacing w:line="240" w:lineRule="auto"/>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eastAsia="zh-CN"/>
              </w:rPr>
              <w:t>34.10</w:t>
            </w:r>
          </w:p>
        </w:tc>
      </w:tr>
    </w:tbl>
    <w:p>
      <w:pPr>
        <w:spacing w:line="440" w:lineRule="atLeast"/>
        <w:ind w:firstLine="422" w:firstLineChars="20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特别提示：</w:t>
      </w:r>
    </w:p>
    <w:p>
      <w:pPr>
        <w:spacing w:line="400" w:lineRule="atLeast"/>
        <w:ind w:firstLine="422" w:firstLineChars="20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1、此估价报告为法院执行案件提供价格参考依据，不得作其他之用。报告使用人在使用本估价报告之前须对报告全文，特别是“估价的假设和限制条件”认真阅读，以免使用不当，造成损失。</w:t>
      </w:r>
    </w:p>
    <w:p>
      <w:pPr>
        <w:spacing w:line="400" w:lineRule="atLeast"/>
        <w:ind w:firstLine="422" w:firstLineChars="200"/>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2、本评估报告价值为未设定法定优先受偿权下的市场价值。</w:t>
      </w:r>
    </w:p>
    <w:p>
      <w:pPr>
        <w:spacing w:line="400" w:lineRule="atLeast"/>
        <w:ind w:firstLine="422" w:firstLineChars="200"/>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b/>
          <w:bCs/>
          <w:color w:val="auto"/>
          <w:sz w:val="21"/>
          <w:szCs w:val="21"/>
        </w:rPr>
        <w:t>3、估价结果报告随函发送，如有异议，请委托方于报告送达之日起5日内向我公司提出，逾期即丧失对鉴定估价报告提出异议的权利。</w:t>
      </w:r>
    </w:p>
    <w:p>
      <w:pPr>
        <w:spacing w:line="480" w:lineRule="auto"/>
        <w:ind w:firstLine="420" w:firstLineChars="15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法定代表人：   </w:t>
      </w:r>
    </w:p>
    <w:p>
      <w:pPr>
        <w:spacing w:line="360" w:lineRule="auto"/>
        <w:ind w:right="-51"/>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                                二〇二一年</w:t>
      </w:r>
      <w:r>
        <w:rPr>
          <w:rFonts w:hint="default" w:ascii="Times New Roman" w:hAnsi="Times New Roman" w:eastAsia="仿宋" w:cs="Times New Roman"/>
          <w:color w:val="auto"/>
          <w:sz w:val="28"/>
          <w:szCs w:val="28"/>
          <w:lang w:eastAsia="zh-CN"/>
        </w:rPr>
        <w:t>十一</w:t>
      </w:r>
      <w:r>
        <w:rPr>
          <w:rFonts w:hint="default" w:ascii="Times New Roman" w:hAnsi="Times New Roman" w:eastAsia="仿宋" w:cs="Times New Roman"/>
          <w:color w:val="auto"/>
          <w:sz w:val="28"/>
          <w:szCs w:val="28"/>
        </w:rPr>
        <w:t>月</w:t>
      </w:r>
      <w:r>
        <w:rPr>
          <w:rFonts w:hint="default" w:ascii="Times New Roman" w:hAnsi="Times New Roman" w:eastAsia="仿宋" w:cs="Times New Roman"/>
          <w:color w:val="auto"/>
          <w:sz w:val="28"/>
          <w:szCs w:val="28"/>
          <w:lang w:eastAsia="zh-CN"/>
        </w:rPr>
        <w:t>二十五</w:t>
      </w:r>
      <w:r>
        <w:rPr>
          <w:rFonts w:hint="default" w:ascii="Times New Roman" w:hAnsi="Times New Roman" w:eastAsia="仿宋" w:cs="Times New Roman"/>
          <w:color w:val="auto"/>
          <w:sz w:val="28"/>
          <w:szCs w:val="28"/>
        </w:rPr>
        <w:t>日</w:t>
      </w:r>
    </w:p>
    <w:p>
      <w:pPr>
        <w:jc w:val="center"/>
        <w:rPr>
          <w:rFonts w:hint="default" w:ascii="Times New Roman" w:hAnsi="Times New Roman" w:eastAsia="仿宋" w:cs="Times New Roman"/>
          <w:b/>
          <w:color w:val="auto"/>
          <w:sz w:val="36"/>
          <w:szCs w:val="36"/>
        </w:rPr>
      </w:pPr>
      <w:r>
        <w:rPr>
          <w:rFonts w:hint="default" w:ascii="Times New Roman" w:hAnsi="Times New Roman" w:eastAsia="仿宋" w:cs="Times New Roman"/>
          <w:color w:val="auto"/>
          <w:sz w:val="36"/>
          <w:szCs w:val="36"/>
        </w:rPr>
        <w:t>目录</w:t>
      </w:r>
    </w:p>
    <w:p>
      <w:pPr>
        <w:pStyle w:val="26"/>
        <w:tabs>
          <w:tab w:val="right" w:leader="dot" w:pos="8303"/>
        </w:tabs>
        <w:rPr>
          <w:rFonts w:hint="default" w:ascii="Times New Roman" w:hAnsi="Times New Roman" w:eastAsia="仿宋" w:cs="Times New Roman"/>
          <w:color w:val="auto"/>
          <w:sz w:val="21"/>
          <w:szCs w:val="22"/>
        </w:rPr>
      </w:pPr>
      <w:r>
        <w:rPr>
          <w:rStyle w:val="38"/>
          <w:rFonts w:hint="default" w:ascii="Times New Roman" w:hAnsi="Times New Roman" w:eastAsia="仿宋" w:cs="Times New Roman"/>
          <w:bCs/>
          <w:color w:val="auto"/>
        </w:rPr>
        <w:fldChar w:fldCharType="begin"/>
      </w:r>
      <w:r>
        <w:rPr>
          <w:rStyle w:val="38"/>
          <w:rFonts w:hint="default" w:ascii="Times New Roman" w:hAnsi="Times New Roman" w:eastAsia="仿宋" w:cs="Times New Roman"/>
          <w:bCs/>
          <w:color w:val="auto"/>
        </w:rPr>
        <w:instrText xml:space="preserve"> TOC \o "2-3" \h \z \u </w:instrText>
      </w:r>
      <w:r>
        <w:rPr>
          <w:rStyle w:val="38"/>
          <w:rFonts w:hint="default" w:ascii="Times New Roman" w:hAnsi="Times New Roman" w:eastAsia="仿宋" w:cs="Times New Roman"/>
          <w:bCs/>
          <w:color w:val="auto"/>
        </w:rPr>
        <w:fldChar w:fldCharType="separate"/>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"_Toc73954703"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Cs/>
          <w:color w:val="auto"/>
        </w:rPr>
        <w:t>估价师声明</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_Toc73954703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26"/>
        <w:tabs>
          <w:tab w:val="right" w:leader="dot" w:pos="8303"/>
        </w:tabs>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"_Toc73954704"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Cs/>
          <w:color w:val="auto"/>
        </w:rPr>
        <w:t>估价假设和限制条件</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_Toc73954704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26"/>
        <w:tabs>
          <w:tab w:val="right" w:leader="dot" w:pos="8303"/>
        </w:tabs>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"_Toc73954705"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Cs/>
          <w:color w:val="auto"/>
        </w:rPr>
        <w:t>估价结果报告</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_Toc73954705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"_Toc73954706"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一、估价委托人</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_Toc73954706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"_Toc73954707"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二、估价机构</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_Toc73954707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"_Toc73954708"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三、估价目的</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_Toc73954708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"_Toc73954709"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四、估价对象</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_Toc73954709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7</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"_Toc73954710"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五、价值时点</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_Toc73954710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9</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"_Toc73954711"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color w:val="auto"/>
        </w:rPr>
        <w:t>六、价值类型</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_Toc73954711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9</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"_Toc73954712"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color w:val="auto"/>
        </w:rPr>
        <w:t>七、估价原则</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_Toc73954712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9</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"_Toc73954713"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八、估价依据</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_Toc73954713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10</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"_Toc73954714"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九、估价方法</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_Toc73954714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12</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26"/>
        <w:tabs>
          <w:tab w:val="right" w:leader="dot" w:pos="8303"/>
        </w:tabs>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"_Toc73954715"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十、估价结果</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_Toc73954715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"_Toc73954716"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十一、注册房地产估价师</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_Toc73954716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"_Toc73954717"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十二、实地查勘期</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_Toc73954717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13"/>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"_Toc73954718"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
          <w:bCs/>
          <w:color w:val="auto"/>
        </w:rPr>
        <w:t>十三、估价作业日期</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_Toc73954718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13</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26"/>
        <w:tabs>
          <w:tab w:val="right" w:leader="dot" w:pos="8303"/>
        </w:tabs>
        <w:rPr>
          <w:rFonts w:hint="default" w:ascii="Times New Roman" w:hAnsi="Times New Roman" w:eastAsia="仿宋" w:cs="Times New Roman"/>
          <w:color w:val="auto"/>
          <w:sz w:val="21"/>
          <w:szCs w:val="22"/>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\l "_Toc73954719"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bCs/>
          <w:color w:val="auto"/>
        </w:rPr>
        <w:t>附件</w:t>
      </w:r>
      <w:r>
        <w:rPr>
          <w:rFonts w:hint="default" w:ascii="Times New Roman" w:hAnsi="Times New Roman" w:eastAsia="仿宋" w:cs="Times New Roman"/>
          <w:color w:val="auto"/>
        </w:rPr>
        <w:tab/>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PAGEREF _Toc73954719 \h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14</w:t>
      </w:r>
      <w:r>
        <w:rPr>
          <w:rFonts w:hint="default" w:ascii="Times New Roman" w:hAnsi="Times New Roman" w:eastAsia="仿宋" w:cs="Times New Roman"/>
          <w:color w:val="auto"/>
        </w:rPr>
        <w:fldChar w:fldCharType="end"/>
      </w:r>
      <w:r>
        <w:rPr>
          <w:rFonts w:hint="default" w:ascii="Times New Roman" w:hAnsi="Times New Roman" w:eastAsia="仿宋" w:cs="Times New Roman"/>
          <w:color w:val="auto"/>
        </w:rPr>
        <w:fldChar w:fldCharType="end"/>
      </w:r>
    </w:p>
    <w:p>
      <w:pPr>
        <w:pStyle w:val="26"/>
        <w:tabs>
          <w:tab w:val="right" w:leader="dot" w:pos="8303"/>
        </w:tabs>
        <w:spacing w:line="360" w:lineRule="auto"/>
        <w:rPr>
          <w:rStyle w:val="38"/>
          <w:rFonts w:hint="default" w:ascii="Times New Roman" w:hAnsi="Times New Roman" w:eastAsia="仿宋" w:cs="Times New Roman"/>
          <w:bCs/>
          <w:color w:val="auto"/>
        </w:rPr>
      </w:pPr>
      <w:r>
        <w:rPr>
          <w:rStyle w:val="38"/>
          <w:rFonts w:hint="default" w:ascii="Times New Roman" w:hAnsi="Times New Roman" w:eastAsia="仿宋" w:cs="Times New Roman"/>
          <w:bCs/>
          <w:color w:val="auto"/>
        </w:rPr>
        <w:fldChar w:fldCharType="end"/>
      </w:r>
      <w:bookmarkStart w:id="8" w:name="_Toc391884247"/>
    </w:p>
    <w:p>
      <w:pPr>
        <w:rPr>
          <w:rFonts w:hint="default" w:ascii="Times New Roman" w:hAnsi="Times New Roman" w:eastAsia="仿宋" w:cs="Times New Roman"/>
          <w:b/>
          <w:bCs/>
          <w:color w:val="auto"/>
          <w:sz w:val="28"/>
          <w:szCs w:val="28"/>
        </w:rPr>
      </w:pPr>
    </w:p>
    <w:p>
      <w:pPr>
        <w:rPr>
          <w:rFonts w:hint="default" w:ascii="Times New Roman" w:hAnsi="Times New Roman" w:eastAsia="仿宋" w:cs="Times New Roman"/>
          <w:b/>
          <w:bCs/>
          <w:color w:val="auto"/>
          <w:spacing w:val="20"/>
          <w:sz w:val="28"/>
          <w:szCs w:val="28"/>
        </w:rPr>
      </w:pPr>
    </w:p>
    <w:p>
      <w:pPr>
        <w:jc w:val="center"/>
        <w:rPr>
          <w:rFonts w:hint="default" w:ascii="Times New Roman" w:hAnsi="Times New Roman" w:eastAsia="仿宋" w:cs="Times New Roman"/>
          <w:b/>
          <w:bCs/>
          <w:color w:val="auto"/>
          <w:spacing w:val="20"/>
          <w:sz w:val="28"/>
          <w:szCs w:val="28"/>
        </w:rPr>
      </w:pPr>
    </w:p>
    <w:p>
      <w:pPr>
        <w:jc w:val="center"/>
        <w:rPr>
          <w:rFonts w:hint="default" w:ascii="Times New Roman" w:hAnsi="Times New Roman" w:eastAsia="仿宋" w:cs="Times New Roman"/>
          <w:b/>
          <w:bCs/>
          <w:color w:val="auto"/>
          <w:spacing w:val="20"/>
          <w:sz w:val="28"/>
          <w:szCs w:val="28"/>
        </w:rPr>
      </w:pPr>
    </w:p>
    <w:p>
      <w:pPr>
        <w:jc w:val="center"/>
        <w:rPr>
          <w:rFonts w:hint="default" w:ascii="Times New Roman" w:hAnsi="Times New Roman" w:eastAsia="仿宋" w:cs="Times New Roman"/>
          <w:b/>
          <w:bCs/>
          <w:color w:val="auto"/>
          <w:spacing w:val="20"/>
          <w:sz w:val="28"/>
          <w:szCs w:val="28"/>
        </w:rPr>
      </w:pPr>
    </w:p>
    <w:p>
      <w:pPr>
        <w:widowControl/>
        <w:spacing w:line="240" w:lineRule="auto"/>
        <w:jc w:val="left"/>
        <w:rPr>
          <w:rFonts w:hint="default" w:ascii="Times New Roman" w:hAnsi="Times New Roman" w:eastAsia="仿宋" w:cs="Times New Roman"/>
          <w:b/>
          <w:bCs/>
          <w:color w:val="auto"/>
          <w:spacing w:val="20"/>
          <w:sz w:val="36"/>
          <w:szCs w:val="36"/>
        </w:rPr>
      </w:pPr>
      <w:r>
        <w:rPr>
          <w:rFonts w:hint="default" w:ascii="Times New Roman" w:hAnsi="Times New Roman" w:eastAsia="仿宋" w:cs="Times New Roman"/>
          <w:bCs/>
          <w:color w:val="auto"/>
          <w:szCs w:val="36"/>
        </w:rPr>
        <w:br w:type="page"/>
      </w:r>
    </w:p>
    <w:p>
      <w:pPr>
        <w:pStyle w:val="3"/>
        <w:spacing w:line="379" w:lineRule="exact"/>
        <w:rPr>
          <w:rFonts w:hint="default" w:ascii="Times New Roman" w:hAnsi="Times New Roman" w:eastAsia="仿宋" w:cs="Times New Roman"/>
          <w:b w:val="0"/>
          <w:bCs/>
          <w:color w:val="auto"/>
          <w:szCs w:val="36"/>
        </w:rPr>
      </w:pPr>
      <w:bookmarkStart w:id="9" w:name="_Toc73954703"/>
      <w:r>
        <w:rPr>
          <w:rFonts w:hint="default" w:ascii="Times New Roman" w:hAnsi="Times New Roman" w:eastAsia="仿宋" w:cs="Times New Roman"/>
          <w:bCs/>
          <w:color w:val="auto"/>
          <w:szCs w:val="36"/>
        </w:rPr>
        <w:t>估价师声明</w:t>
      </w:r>
      <w:bookmarkEnd w:id="4"/>
      <w:bookmarkEnd w:id="5"/>
      <w:bookmarkEnd w:id="8"/>
      <w:bookmarkEnd w:id="9"/>
    </w:p>
    <w:p>
      <w:pPr>
        <w:pStyle w:val="4"/>
        <w:spacing w:line="379" w:lineRule="exact"/>
        <w:ind w:firstLine="0"/>
        <w:rPr>
          <w:rFonts w:hint="default" w:ascii="Times New Roman" w:hAnsi="Times New Roman" w:eastAsia="仿宋" w:cs="Times New Roman"/>
          <w:b/>
          <w:color w:val="auto"/>
          <w:szCs w:val="28"/>
        </w:rPr>
      </w:pPr>
      <w:r>
        <w:rPr>
          <w:rFonts w:hint="default" w:ascii="Times New Roman" w:hAnsi="Times New Roman" w:eastAsia="仿宋" w:cs="Times New Roman"/>
          <w:b/>
          <w:color w:val="auto"/>
          <w:szCs w:val="28"/>
        </w:rPr>
        <w:t>我们郑重声明：</w:t>
      </w:r>
    </w:p>
    <w:p>
      <w:pPr>
        <w:pStyle w:val="4"/>
        <w:spacing w:line="400" w:lineRule="exact"/>
        <w:ind w:firstLine="560" w:firstLineChars="20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1、我们根据自己的专业知识和职业道德，在此郑重声明：注册房地产估价师在本估价报告中陈述的事实是真实的和准确的，没有虚假记载、误导性陈述和重大遗漏。</w:t>
      </w:r>
    </w:p>
    <w:p>
      <w:pPr>
        <w:pStyle w:val="4"/>
        <w:spacing w:line="400" w:lineRule="exact"/>
        <w:ind w:firstLine="560" w:firstLineChars="20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2、估价报告中的分析、意见和结论，是注册房地产估价师独立、客观、公正的专业分析、意见和结论，但受到本估价报告中已说明的假设和限制条件的限制。</w:t>
      </w:r>
    </w:p>
    <w:p>
      <w:pPr>
        <w:pStyle w:val="4"/>
        <w:spacing w:line="400" w:lineRule="exact"/>
        <w:ind w:firstLine="560" w:firstLineChars="20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3、注册房地产估价师与估价报告中的估价对象没有现实或潜在的利益，与估价委托人及估价利害关系人没有利害关系，也对估价对象、估价委托人及估价利害关系人没有偏见。</w:t>
      </w:r>
    </w:p>
    <w:p>
      <w:pPr>
        <w:pStyle w:val="4"/>
        <w:spacing w:line="400" w:lineRule="exact"/>
        <w:ind w:firstLine="560" w:firstLineChars="20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4、注册房地产估价师是按照《房地产估价规范》（GB/T 50291-2015）、《房地产估价基本术语标准》（GB/T 50899-2013）等有关房地产估价标准的规定进行估价工作，撰写估价报告。本报告为本机构独立完成，没有其他机构及个人对本报告技术内容提供专业帮助。</w:t>
      </w:r>
    </w:p>
    <w:p>
      <w:pPr>
        <w:pStyle w:val="4"/>
        <w:spacing w:line="400" w:lineRule="exact"/>
        <w:ind w:firstLine="560" w:firstLineChars="200"/>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5、房地产估价师已于</w:t>
      </w:r>
      <w:r>
        <w:rPr>
          <w:rFonts w:hint="default" w:ascii="Times New Roman" w:hAnsi="Times New Roman" w:eastAsia="仿宋" w:cs="Times New Roman"/>
          <w:color w:val="auto"/>
          <w:szCs w:val="28"/>
          <w:lang w:eastAsia="zh-CN"/>
        </w:rPr>
        <w:t>2021年11月05日在法院工作人员和</w:t>
      </w:r>
      <w:r>
        <w:rPr>
          <w:rFonts w:hint="default" w:ascii="Times New Roman" w:hAnsi="Times New Roman" w:eastAsia="仿宋" w:cs="Times New Roman"/>
          <w:color w:val="auto"/>
          <w:szCs w:val="28"/>
        </w:rPr>
        <w:t>申请人</w:t>
      </w:r>
      <w:r>
        <w:rPr>
          <w:rFonts w:hint="default" w:ascii="Times New Roman" w:hAnsi="Times New Roman" w:eastAsia="仿宋" w:cs="Times New Roman"/>
          <w:color w:val="auto"/>
          <w:szCs w:val="28"/>
          <w:lang w:eastAsia="zh-CN"/>
        </w:rPr>
        <w:t>带领下</w:t>
      </w:r>
      <w:r>
        <w:rPr>
          <w:rFonts w:hint="default" w:ascii="Times New Roman" w:hAnsi="Times New Roman" w:eastAsia="仿宋" w:cs="Times New Roman"/>
          <w:color w:val="auto"/>
          <w:szCs w:val="28"/>
        </w:rPr>
        <w:t>，共同对估价报告中估价对象进行实地查勘，因提供资料有限，我们不承担对估价对象建筑结构质量、建筑面积数量准确性和相应权益的责任，也不承担其他被遮盖，未暴露及难以接触到的部分进行检视的责任。除另有协议外，我们不承担对估价对象建筑结构质量进行调查的责任。</w:t>
      </w:r>
    </w:p>
    <w:p>
      <w:pPr>
        <w:pStyle w:val="4"/>
        <w:spacing w:line="40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Cs w:val="28"/>
        </w:rPr>
        <w:t>6、参加本次估价的注册房地产估价师承诺对其估价职业道德、专业胜任能力和勤勉尽职尽责。</w:t>
      </w:r>
    </w:p>
    <w:p>
      <w:pPr>
        <w:tabs>
          <w:tab w:val="left" w:pos="2044"/>
        </w:tabs>
        <w:adjustRightInd w:val="0"/>
        <w:spacing w:line="5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注册房地产估价师</w:t>
      </w:r>
    </w:p>
    <w:tbl>
      <w:tblPr>
        <w:tblStyle w:val="31"/>
        <w:tblW w:w="855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55"/>
        <w:gridCol w:w="2394"/>
        <w:gridCol w:w="2114"/>
        <w:gridCol w:w="248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0" w:hRule="atLeast"/>
          <w:jc w:val="center"/>
        </w:trPr>
        <w:tc>
          <w:tcPr>
            <w:tcW w:w="1555"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24"/>
                <w:szCs w:val="24"/>
              </w:rPr>
              <w:t>姓名</w:t>
            </w:r>
          </w:p>
        </w:tc>
        <w:tc>
          <w:tcPr>
            <w:tcW w:w="2394"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24"/>
                <w:szCs w:val="24"/>
              </w:rPr>
              <w:t>注册号</w:t>
            </w:r>
          </w:p>
        </w:tc>
        <w:tc>
          <w:tcPr>
            <w:tcW w:w="2114"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24"/>
                <w:szCs w:val="24"/>
              </w:rPr>
              <w:t>签名</w:t>
            </w:r>
          </w:p>
        </w:tc>
        <w:tc>
          <w:tcPr>
            <w:tcW w:w="2488"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24"/>
                <w:szCs w:val="24"/>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0" w:hRule="atLeast"/>
          <w:jc w:val="center"/>
        </w:trPr>
        <w:tc>
          <w:tcPr>
            <w:tcW w:w="1555"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耿  泽</w:t>
            </w:r>
          </w:p>
        </w:tc>
        <w:tc>
          <w:tcPr>
            <w:tcW w:w="2394"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0"/>
                <w:sz w:val="28"/>
                <w:szCs w:val="28"/>
              </w:rPr>
              <w:t>4220210008</w:t>
            </w:r>
          </w:p>
        </w:tc>
        <w:tc>
          <w:tcPr>
            <w:tcW w:w="2114" w:type="dxa"/>
            <w:shd w:val="clear" w:color="auto" w:fill="auto"/>
            <w:tcMar>
              <w:top w:w="72" w:type="dxa"/>
              <w:left w:w="144" w:type="dxa"/>
              <w:bottom w:w="72" w:type="dxa"/>
              <w:right w:w="144" w:type="dxa"/>
            </w:tcMar>
            <w:vAlign w:val="center"/>
          </w:tcPr>
          <w:p>
            <w:pPr>
              <w:widowControl/>
              <w:spacing w:line="240" w:lineRule="auto"/>
              <w:jc w:val="center"/>
              <w:rPr>
                <w:rFonts w:hint="default" w:ascii="Times New Roman" w:hAnsi="Times New Roman" w:eastAsia="仿宋" w:cs="Times New Roman"/>
                <w:color w:val="auto"/>
                <w:kern w:val="0"/>
                <w:szCs w:val="24"/>
              </w:rPr>
            </w:pPr>
          </w:p>
        </w:tc>
        <w:tc>
          <w:tcPr>
            <w:tcW w:w="2488"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default" w:ascii="Times New Roman" w:hAnsi="Times New Roman" w:eastAsia="仿宋" w:cs="Times New Roman"/>
                <w:color w:val="auto"/>
                <w:kern w:val="0"/>
                <w:szCs w:val="24"/>
                <w:lang w:eastAsia="zh-CN"/>
              </w:rPr>
            </w:pPr>
            <w:r>
              <w:rPr>
                <w:rFonts w:hint="default" w:ascii="Times New Roman" w:hAnsi="Times New Roman" w:eastAsia="仿宋" w:cs="Times New Roman"/>
                <w:color w:val="auto"/>
                <w:kern w:val="0"/>
                <w:szCs w:val="24"/>
                <w:lang w:eastAsia="zh-CN"/>
              </w:rPr>
              <w:t>2021年11月25日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60" w:hRule="atLeast"/>
          <w:jc w:val="center"/>
        </w:trPr>
        <w:tc>
          <w:tcPr>
            <w:tcW w:w="1555"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耿  丽</w:t>
            </w:r>
          </w:p>
        </w:tc>
        <w:tc>
          <w:tcPr>
            <w:tcW w:w="2394"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0"/>
                <w:sz w:val="28"/>
                <w:szCs w:val="28"/>
              </w:rPr>
              <w:t>4220210009</w:t>
            </w:r>
          </w:p>
        </w:tc>
        <w:tc>
          <w:tcPr>
            <w:tcW w:w="2114" w:type="dxa"/>
            <w:shd w:val="clear" w:color="auto" w:fill="auto"/>
            <w:tcMar>
              <w:top w:w="72" w:type="dxa"/>
              <w:left w:w="144" w:type="dxa"/>
              <w:bottom w:w="72" w:type="dxa"/>
              <w:right w:w="144" w:type="dxa"/>
            </w:tcMar>
            <w:vAlign w:val="center"/>
          </w:tcPr>
          <w:p>
            <w:pPr>
              <w:widowControl/>
              <w:spacing w:line="240" w:lineRule="auto"/>
              <w:jc w:val="center"/>
              <w:rPr>
                <w:rFonts w:hint="default" w:ascii="Times New Roman" w:hAnsi="Times New Roman" w:eastAsia="仿宋" w:cs="Times New Roman"/>
                <w:color w:val="auto"/>
                <w:kern w:val="0"/>
                <w:szCs w:val="24"/>
              </w:rPr>
            </w:pPr>
          </w:p>
        </w:tc>
        <w:tc>
          <w:tcPr>
            <w:tcW w:w="2488"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default" w:ascii="Times New Roman" w:hAnsi="Times New Roman" w:eastAsia="仿宋" w:cs="Times New Roman"/>
                <w:color w:val="auto"/>
                <w:kern w:val="0"/>
                <w:szCs w:val="24"/>
                <w:lang w:eastAsia="zh-CN"/>
              </w:rPr>
            </w:pPr>
            <w:r>
              <w:rPr>
                <w:rFonts w:hint="default" w:ascii="Times New Roman" w:hAnsi="Times New Roman" w:eastAsia="仿宋" w:cs="Times New Roman"/>
                <w:color w:val="auto"/>
                <w:kern w:val="0"/>
                <w:szCs w:val="24"/>
                <w:lang w:eastAsia="zh-CN"/>
              </w:rPr>
              <w:t>2021年11月25日</w:t>
            </w:r>
          </w:p>
        </w:tc>
      </w:tr>
    </w:tbl>
    <w:p>
      <w:pPr>
        <w:pStyle w:val="3"/>
        <w:spacing w:before="0" w:after="0" w:line="500" w:lineRule="exact"/>
        <w:jc w:val="both"/>
        <w:rPr>
          <w:rFonts w:hint="default" w:ascii="Times New Roman" w:hAnsi="Times New Roman" w:eastAsia="仿宋" w:cs="Times New Roman"/>
          <w:bCs/>
          <w:color w:val="auto"/>
          <w:szCs w:val="36"/>
        </w:rPr>
      </w:pPr>
      <w:bookmarkStart w:id="10" w:name="_Toc73954704"/>
      <w:bookmarkStart w:id="11" w:name="_Toc391884248"/>
      <w:bookmarkStart w:id="12" w:name="_Toc469641709"/>
      <w:bookmarkStart w:id="13" w:name="_Toc213473259"/>
      <w:bookmarkStart w:id="14" w:name="_Toc119160797"/>
    </w:p>
    <w:p>
      <w:pPr>
        <w:pStyle w:val="4"/>
        <w:rPr>
          <w:rFonts w:hint="default" w:ascii="Times New Roman" w:hAnsi="Times New Roman" w:eastAsia="仿宋" w:cs="Times New Roman"/>
          <w:bCs/>
          <w:color w:val="auto"/>
          <w:szCs w:val="36"/>
        </w:rPr>
      </w:pPr>
    </w:p>
    <w:p>
      <w:pPr>
        <w:pStyle w:val="4"/>
        <w:ind w:left="0" w:leftChars="0" w:firstLine="0" w:firstLineChars="0"/>
        <w:rPr>
          <w:rFonts w:hint="default" w:ascii="Times New Roman" w:hAnsi="Times New Roman" w:eastAsia="仿宋" w:cs="Times New Roman"/>
          <w:bCs/>
          <w:color w:val="auto"/>
          <w:szCs w:val="36"/>
        </w:rPr>
      </w:pPr>
    </w:p>
    <w:p>
      <w:pPr>
        <w:pStyle w:val="3"/>
        <w:spacing w:before="0" w:after="0" w:line="500" w:lineRule="exact"/>
        <w:rPr>
          <w:rFonts w:hint="default" w:ascii="Times New Roman" w:hAnsi="Times New Roman" w:eastAsia="仿宋" w:cs="Times New Roman"/>
          <w:bCs/>
          <w:color w:val="auto"/>
          <w:szCs w:val="36"/>
        </w:rPr>
      </w:pPr>
      <w:r>
        <w:rPr>
          <w:rFonts w:hint="default" w:ascii="Times New Roman" w:hAnsi="Times New Roman" w:eastAsia="仿宋" w:cs="Times New Roman"/>
          <w:bCs/>
          <w:color w:val="auto"/>
          <w:szCs w:val="36"/>
        </w:rPr>
        <w:t>估价假设和限制条件</w:t>
      </w:r>
      <w:bookmarkEnd w:id="10"/>
      <w:bookmarkEnd w:id="11"/>
      <w:bookmarkEnd w:id="12"/>
      <w:bookmarkEnd w:id="13"/>
      <w:bookmarkEnd w:id="14"/>
    </w:p>
    <w:p>
      <w:pPr>
        <w:spacing w:line="500" w:lineRule="exact"/>
        <w:rPr>
          <w:rFonts w:hint="default" w:ascii="Times New Roman" w:hAnsi="Times New Roman" w:eastAsia="仿宋" w:cs="Times New Roman"/>
          <w:b/>
          <w:color w:val="auto"/>
          <w:sz w:val="28"/>
          <w:szCs w:val="28"/>
        </w:rPr>
      </w:pPr>
      <w:bookmarkStart w:id="15" w:name="_Toc469641710"/>
      <w:r>
        <w:rPr>
          <w:rFonts w:hint="default" w:ascii="Times New Roman" w:hAnsi="Times New Roman" w:eastAsia="仿宋" w:cs="Times New Roman"/>
          <w:b/>
          <w:color w:val="auto"/>
          <w:sz w:val="28"/>
          <w:szCs w:val="28"/>
        </w:rPr>
        <w:t>一、本次估价的假设前提</w:t>
      </w:r>
    </w:p>
    <w:p>
      <w:pPr>
        <w:adjustRightInd w:val="0"/>
        <w:snapToGrid w:val="0"/>
        <w:spacing w:line="480" w:lineRule="exact"/>
        <w:ind w:firstLine="420" w:firstLineChars="15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（一）一般假设</w:t>
      </w:r>
    </w:p>
    <w:p>
      <w:pPr>
        <w:adjustRightInd w:val="0"/>
        <w:snapToGrid w:val="0"/>
        <w:spacing w:line="480" w:lineRule="exact"/>
        <w:ind w:firstLine="554" w:firstLineChars="198"/>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1、本次估价委托人提供了估价对象</w:t>
      </w:r>
      <w:r>
        <w:rPr>
          <w:rFonts w:hint="default" w:ascii="Times New Roman" w:hAnsi="Times New Roman" w:eastAsia="仿宋" w:cs="Times New Roman"/>
          <w:color w:val="auto"/>
          <w:sz w:val="28"/>
          <w:lang w:eastAsia="zh-CN"/>
        </w:rPr>
        <w:t>《十堰市郧阳区人民法院执行裁定书》（2020）鄂0304执573号</w:t>
      </w:r>
      <w:r>
        <w:rPr>
          <w:rFonts w:hint="default" w:ascii="Times New Roman" w:hAnsi="Times New Roman" w:eastAsia="仿宋" w:cs="Times New Roman"/>
          <w:color w:val="auto"/>
          <w:sz w:val="28"/>
        </w:rPr>
        <w:t>、</w:t>
      </w:r>
      <w:r>
        <w:rPr>
          <w:rFonts w:hint="default" w:ascii="Times New Roman" w:hAnsi="Times New Roman" w:eastAsia="仿宋" w:cs="Times New Roman"/>
          <w:color w:val="auto"/>
          <w:sz w:val="28"/>
          <w:lang w:eastAsia="zh-CN"/>
        </w:rPr>
        <w:t>《房屋登记簿》、</w:t>
      </w:r>
      <w:r>
        <w:rPr>
          <w:rFonts w:hint="default" w:ascii="Times New Roman" w:hAnsi="Times New Roman" w:eastAsia="仿宋" w:cs="Times New Roman"/>
          <w:color w:val="auto"/>
          <w:sz w:val="28"/>
        </w:rPr>
        <w:t>《</w:t>
      </w:r>
      <w:r>
        <w:rPr>
          <w:rFonts w:hint="default" w:ascii="Times New Roman" w:hAnsi="Times New Roman" w:eastAsia="仿宋" w:cs="Times New Roman"/>
          <w:color w:val="auto"/>
          <w:sz w:val="28"/>
          <w:lang w:eastAsia="zh-CN"/>
        </w:rPr>
        <w:t>房屋所有权证</w:t>
      </w:r>
      <w:r>
        <w:rPr>
          <w:rFonts w:hint="default" w:ascii="Times New Roman" w:hAnsi="Times New Roman" w:eastAsia="仿宋" w:cs="Times New Roman"/>
          <w:color w:val="auto"/>
          <w:sz w:val="28"/>
        </w:rPr>
        <w:t>》</w:t>
      </w:r>
      <w:r>
        <w:rPr>
          <w:rFonts w:hint="default" w:ascii="Times New Roman" w:hAnsi="Times New Roman" w:eastAsia="仿宋" w:cs="Times New Roman"/>
          <w:color w:val="auto"/>
          <w:sz w:val="28"/>
          <w:lang w:eastAsia="zh-CN"/>
        </w:rPr>
        <w:t>、《土地所有权证》、《房屋他项权证》</w:t>
      </w:r>
      <w:r>
        <w:rPr>
          <w:rFonts w:hint="default" w:ascii="Times New Roman" w:hAnsi="Times New Roman" w:eastAsia="仿宋" w:cs="Times New Roman"/>
          <w:color w:val="auto"/>
          <w:sz w:val="28"/>
        </w:rPr>
        <w:t>等资料复印件，注册房地产估价师对估价所依据的估价对象的权属、面积、用途等资料进行了检査，但未予以核实，本次估价假定估价对象的权属、面积、用途等资料是合法、真实、准确和完整的。</w:t>
      </w:r>
    </w:p>
    <w:p>
      <w:pPr>
        <w:pStyle w:val="14"/>
        <w:snapToGrid w:val="0"/>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szCs w:val="28"/>
        </w:rPr>
        <w:t>2、</w:t>
      </w:r>
      <w:r>
        <w:rPr>
          <w:rFonts w:hint="default" w:ascii="Times New Roman" w:hAnsi="Times New Roman" w:eastAsia="仿宋" w:cs="Times New Roman"/>
          <w:color w:val="auto"/>
          <w:sz w:val="28"/>
        </w:rPr>
        <w:t>房地产拍卖（变卖）鉴定评估的价值时点，原则上为评估委托之日或完成估价对象现场查勘之日，但鉴定评估委托书另有约定的除外。本次估价报告价值时点为实地查勘日，即</w:t>
      </w:r>
      <w:r>
        <w:rPr>
          <w:rFonts w:hint="default" w:ascii="Times New Roman" w:hAnsi="Times New Roman" w:eastAsia="仿宋" w:cs="Times New Roman"/>
          <w:color w:val="auto"/>
          <w:sz w:val="28"/>
          <w:lang w:eastAsia="zh-CN"/>
        </w:rPr>
        <w:t>2021年11月05日</w:t>
      </w:r>
      <w:r>
        <w:rPr>
          <w:rFonts w:hint="default" w:ascii="Times New Roman" w:hAnsi="Times New Roman" w:eastAsia="仿宋" w:cs="Times New Roman"/>
          <w:color w:val="auto"/>
          <w:sz w:val="28"/>
        </w:rPr>
        <w:t>日。</w:t>
      </w:r>
    </w:p>
    <w:p>
      <w:pPr>
        <w:pStyle w:val="14"/>
        <w:snapToGrid w:val="0"/>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 xml:space="preserve">3、本报告以估价对象在价值时点所处状态并可达到最高最佳利用功能为假设前提。 </w:t>
      </w:r>
    </w:p>
    <w:p>
      <w:pPr>
        <w:pStyle w:val="14"/>
        <w:snapToGrid w:val="0"/>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rPr>
        <w:t>（二）</w:t>
      </w:r>
      <w:r>
        <w:rPr>
          <w:rFonts w:hint="default" w:ascii="Times New Roman" w:hAnsi="Times New Roman" w:eastAsia="仿宋" w:cs="Times New Roman"/>
          <w:color w:val="auto"/>
          <w:sz w:val="28"/>
          <w:szCs w:val="28"/>
        </w:rPr>
        <w:t>背离事实假设</w:t>
      </w:r>
    </w:p>
    <w:p>
      <w:pPr>
        <w:pStyle w:val="14"/>
        <w:snapToGrid w:val="0"/>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根据委托方提供的</w:t>
      </w:r>
      <w:r>
        <w:rPr>
          <w:rFonts w:hint="default" w:ascii="Times New Roman" w:hAnsi="Times New Roman" w:eastAsia="仿宋" w:cs="Times New Roman"/>
          <w:color w:val="auto"/>
          <w:sz w:val="28"/>
          <w:lang w:eastAsia="zh-CN"/>
        </w:rPr>
        <w:t>《房屋登记簿》和《房屋他项权证》复印件</w:t>
      </w: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eastAsia="zh-CN"/>
        </w:rPr>
        <w:t>知悉</w:t>
      </w:r>
      <w:r>
        <w:rPr>
          <w:rFonts w:hint="default" w:ascii="Times New Roman" w:hAnsi="Times New Roman" w:eastAsia="仿宋" w:cs="Times New Roman"/>
          <w:color w:val="auto"/>
          <w:sz w:val="28"/>
          <w:szCs w:val="28"/>
        </w:rPr>
        <w:t>估价对象</w:t>
      </w:r>
      <w:r>
        <w:rPr>
          <w:rFonts w:hint="default" w:ascii="Times New Roman" w:hAnsi="Times New Roman" w:eastAsia="仿宋" w:cs="Times New Roman"/>
          <w:color w:val="auto"/>
          <w:sz w:val="28"/>
          <w:szCs w:val="28"/>
          <w:lang w:eastAsia="zh-CN"/>
        </w:rPr>
        <w:t>已抵押、</w:t>
      </w:r>
      <w:r>
        <w:rPr>
          <w:rFonts w:hint="default" w:ascii="Times New Roman" w:hAnsi="Times New Roman" w:eastAsia="仿宋" w:cs="Times New Roman"/>
          <w:color w:val="auto"/>
          <w:sz w:val="28"/>
          <w:szCs w:val="28"/>
        </w:rPr>
        <w:t>已被查封。本次估价目的是为人民法院确定财产处置参考价提供值参考依据，在房地产司法拍卖估价中，不考虑拍卖财产上原有的担保物权、其他优先受偿权及查封因素，因为原有的担保物权及其他优先受偿权因拍卖而消灭，查封因拍卖而解除，故本次评估不考虑估价对象的他项权利状况对其价值的影响。</w:t>
      </w:r>
    </w:p>
    <w:p>
      <w:pPr>
        <w:pStyle w:val="14"/>
        <w:numPr>
          <w:ilvl w:val="0"/>
          <w:numId w:val="1"/>
        </w:numPr>
        <w:snapToGrid w:val="0"/>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未定事项假设</w:t>
      </w:r>
    </w:p>
    <w:p>
      <w:pPr>
        <w:pStyle w:val="14"/>
        <w:numPr>
          <w:ilvl w:val="0"/>
          <w:numId w:val="0"/>
        </w:numPr>
        <w:snapToGrid w:val="0"/>
        <w:spacing w:line="480" w:lineRule="exac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   </w:t>
      </w:r>
      <w:r>
        <w:rPr>
          <w:rFonts w:hint="default" w:ascii="Times New Roman" w:hAnsi="Times New Roman" w:eastAsia="仿宋" w:cs="Times New Roman"/>
          <w:color w:val="auto"/>
          <w:sz w:val="28"/>
        </w:rPr>
        <w:t>根据估价委托人提供的资料，无法知悉估价对象住宅房地产的房屋建成年代，经注册房地产估价师现场调查，估价对象房地产的房屋建成为20</w:t>
      </w:r>
      <w:r>
        <w:rPr>
          <w:rFonts w:hint="default" w:ascii="Times New Roman" w:hAnsi="Times New Roman" w:eastAsia="仿宋" w:cs="Times New Roman"/>
          <w:color w:val="auto"/>
          <w:sz w:val="28"/>
          <w:lang w:val="en-US" w:eastAsia="zh-CN"/>
        </w:rPr>
        <w:t>05</w:t>
      </w:r>
      <w:r>
        <w:rPr>
          <w:rFonts w:hint="default" w:ascii="Times New Roman" w:hAnsi="Times New Roman" w:eastAsia="仿宋" w:cs="Times New Roman"/>
          <w:color w:val="auto"/>
          <w:sz w:val="28"/>
        </w:rPr>
        <w:t>年</w:t>
      </w:r>
      <w:r>
        <w:rPr>
          <w:rFonts w:hint="default" w:ascii="Times New Roman" w:hAnsi="Times New Roman" w:eastAsia="仿宋" w:cs="Times New Roman"/>
          <w:color w:val="auto"/>
          <w:sz w:val="28"/>
          <w:lang w:eastAsia="zh-CN"/>
        </w:rPr>
        <w:t>，</w:t>
      </w:r>
      <w:r>
        <w:rPr>
          <w:rFonts w:hint="default" w:ascii="Times New Roman" w:hAnsi="Times New Roman" w:eastAsia="仿宋" w:cs="Times New Roman"/>
          <w:color w:val="auto"/>
          <w:sz w:val="28"/>
        </w:rPr>
        <w:t>本次评估设定估价对象住宅房地产的房屋建成年代为20</w:t>
      </w:r>
      <w:r>
        <w:rPr>
          <w:rFonts w:hint="default" w:ascii="Times New Roman" w:hAnsi="Times New Roman" w:eastAsia="仿宋" w:cs="Times New Roman"/>
          <w:color w:val="auto"/>
          <w:sz w:val="28"/>
          <w:lang w:val="en-US" w:eastAsia="zh-CN"/>
        </w:rPr>
        <w:t>05</w:t>
      </w:r>
      <w:r>
        <w:rPr>
          <w:rFonts w:hint="default" w:ascii="Times New Roman" w:hAnsi="Times New Roman" w:eastAsia="仿宋" w:cs="Times New Roman"/>
          <w:color w:val="auto"/>
          <w:sz w:val="28"/>
        </w:rPr>
        <w:t>年。故本估价报告存在未定事项假设。</w:t>
      </w:r>
    </w:p>
    <w:p>
      <w:pPr>
        <w:tabs>
          <w:tab w:val="left" w:pos="630"/>
          <w:tab w:val="left" w:pos="840"/>
        </w:tabs>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（四）不相一致假设</w:t>
      </w:r>
    </w:p>
    <w:p>
      <w:pPr>
        <w:tabs>
          <w:tab w:val="left" w:pos="630"/>
          <w:tab w:val="left" w:pos="840"/>
        </w:tabs>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lang w:eastAsia="zh-CN"/>
        </w:rPr>
        <w:t>根据委托人提供的</w:t>
      </w:r>
      <w:r>
        <w:rPr>
          <w:rFonts w:hint="default" w:ascii="Times New Roman" w:hAnsi="Times New Roman" w:eastAsia="仿宋" w:cs="Times New Roman"/>
          <w:color w:val="auto"/>
          <w:sz w:val="28"/>
        </w:rPr>
        <w:t>《</w:t>
      </w:r>
      <w:r>
        <w:rPr>
          <w:rFonts w:hint="default" w:ascii="Times New Roman" w:hAnsi="Times New Roman" w:eastAsia="仿宋" w:cs="Times New Roman"/>
          <w:color w:val="auto"/>
          <w:sz w:val="28"/>
          <w:lang w:eastAsia="zh-CN"/>
        </w:rPr>
        <w:t>房屋所有权证</w:t>
      </w:r>
      <w:r>
        <w:rPr>
          <w:rFonts w:hint="default" w:ascii="Times New Roman" w:hAnsi="Times New Roman" w:eastAsia="仿宋" w:cs="Times New Roman"/>
          <w:color w:val="auto"/>
          <w:sz w:val="28"/>
        </w:rPr>
        <w:t>》</w:t>
      </w:r>
      <w:r>
        <w:rPr>
          <w:rFonts w:hint="default" w:ascii="Times New Roman" w:hAnsi="Times New Roman" w:eastAsia="仿宋" w:cs="Times New Roman"/>
          <w:color w:val="auto"/>
          <w:sz w:val="28"/>
          <w:lang w:eastAsia="zh-CN"/>
        </w:rPr>
        <w:t>、《房屋登记簿》等资料复印件知悉估价对象所在楼栋幢号为</w:t>
      </w:r>
      <w:r>
        <w:rPr>
          <w:rFonts w:hint="default" w:ascii="Times New Roman" w:hAnsi="Times New Roman" w:eastAsia="仿宋" w:cs="Times New Roman"/>
          <w:color w:val="auto"/>
          <w:sz w:val="28"/>
          <w:lang w:val="en-US" w:eastAsia="zh-CN"/>
        </w:rPr>
        <w:t>101幢，经过房地产估价师的现场查勘，估价对象实际所在楼栋幢号为1幢，</w:t>
      </w:r>
      <w:r>
        <w:rPr>
          <w:rFonts w:hint="default" w:ascii="Times New Roman" w:hAnsi="Times New Roman" w:eastAsia="仿宋" w:cs="Times New Roman"/>
          <w:color w:val="auto"/>
          <w:sz w:val="28"/>
        </w:rPr>
        <w:t>故本估价报告存在</w:t>
      </w:r>
      <w:r>
        <w:rPr>
          <w:rFonts w:hint="default" w:ascii="Times New Roman" w:hAnsi="Times New Roman" w:eastAsia="仿宋" w:cs="Times New Roman"/>
          <w:color w:val="auto"/>
          <w:sz w:val="28"/>
          <w:lang w:eastAsia="zh-CN"/>
        </w:rPr>
        <w:t>不相一致</w:t>
      </w:r>
      <w:r>
        <w:rPr>
          <w:rFonts w:hint="default" w:ascii="Times New Roman" w:hAnsi="Times New Roman" w:eastAsia="仿宋" w:cs="Times New Roman"/>
          <w:color w:val="auto"/>
          <w:sz w:val="28"/>
        </w:rPr>
        <w:t>假设。</w:t>
      </w:r>
    </w:p>
    <w:p>
      <w:pPr>
        <w:pStyle w:val="14"/>
        <w:snapToGrid w:val="0"/>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（五）依据不足假设</w:t>
      </w:r>
    </w:p>
    <w:p>
      <w:pPr>
        <w:tabs>
          <w:tab w:val="left" w:pos="630"/>
          <w:tab w:val="left" w:pos="840"/>
        </w:tabs>
        <w:spacing w:line="480" w:lineRule="exact"/>
        <w:ind w:firstLine="560" w:firstLineChars="200"/>
        <w:rPr>
          <w:rFonts w:hint="default" w:ascii="Times New Roman" w:hAnsi="Times New Roman" w:eastAsia="仿宋" w:cs="Times New Roman"/>
          <w:b/>
          <w:color w:val="auto"/>
          <w:sz w:val="28"/>
          <w:szCs w:val="28"/>
        </w:rPr>
      </w:pPr>
      <w:r>
        <w:rPr>
          <w:rFonts w:hint="default" w:ascii="Times New Roman" w:hAnsi="Times New Roman" w:eastAsia="仿宋" w:cs="Times New Roman"/>
          <w:color w:val="auto"/>
          <w:sz w:val="28"/>
          <w:szCs w:val="28"/>
          <w:lang w:eastAsia="zh-CN"/>
        </w:rPr>
        <w:t>无</w:t>
      </w:r>
      <w:r>
        <w:rPr>
          <w:rFonts w:hint="default" w:ascii="Times New Roman" w:hAnsi="Times New Roman" w:eastAsia="仿宋" w:cs="Times New Roman"/>
          <w:color w:val="auto"/>
          <w:sz w:val="28"/>
          <w:szCs w:val="28"/>
        </w:rPr>
        <w:t>依据不足假设。</w:t>
      </w:r>
    </w:p>
    <w:p>
      <w:pPr>
        <w:tabs>
          <w:tab w:val="left" w:pos="630"/>
          <w:tab w:val="left" w:pos="840"/>
        </w:tabs>
        <w:spacing w:line="480" w:lineRule="exact"/>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t>二、估价报告应用的限制条件</w:t>
      </w:r>
    </w:p>
    <w:p>
      <w:pPr>
        <w:pStyle w:val="14"/>
        <w:spacing w:line="460" w:lineRule="exact"/>
        <w:ind w:firstLine="555"/>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1、本次估价报告仅供估价委托人按约定的估价目的及上级主管部门审查使用，未经估价机构书面同意，本估价报告的全部或部分及任何参考资料均不允许在任何公开发表的文件、通告或声明中引用，亦不得以其他任何方式公开发表。</w:t>
      </w:r>
    </w:p>
    <w:p>
      <w:pPr>
        <w:pStyle w:val="14"/>
        <w:snapToGrid w:val="0"/>
        <w:spacing w:line="46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szCs w:val="28"/>
        </w:rPr>
        <w:t>2、</w:t>
      </w:r>
      <w:r>
        <w:rPr>
          <w:rFonts w:hint="default" w:ascii="Times New Roman" w:hAnsi="Times New Roman" w:eastAsia="仿宋" w:cs="Times New Roman"/>
          <w:color w:val="auto"/>
          <w:sz w:val="28"/>
        </w:rPr>
        <w:t>本估价报告应用的有效期自估价报告出具之日起一年，即</w:t>
      </w:r>
      <w:r>
        <w:rPr>
          <w:rFonts w:hint="default" w:ascii="Times New Roman" w:hAnsi="Times New Roman" w:eastAsia="仿宋" w:cs="Times New Roman"/>
          <w:color w:val="auto"/>
          <w:sz w:val="28"/>
          <w:lang w:eastAsia="zh-CN"/>
        </w:rPr>
        <w:t>2021年11月25日</w:t>
      </w:r>
      <w:r>
        <w:rPr>
          <w:rFonts w:hint="default" w:ascii="Times New Roman" w:hAnsi="Times New Roman" w:eastAsia="仿宋" w:cs="Times New Roman"/>
          <w:color w:val="auto"/>
          <w:sz w:val="28"/>
        </w:rPr>
        <w:t>至2022年</w:t>
      </w:r>
      <w:r>
        <w:rPr>
          <w:rFonts w:hint="default" w:ascii="Times New Roman" w:hAnsi="Times New Roman" w:eastAsia="仿宋" w:cs="Times New Roman"/>
          <w:color w:val="auto"/>
          <w:sz w:val="28"/>
          <w:lang w:val="en-US" w:eastAsia="zh-CN"/>
        </w:rPr>
        <w:t>11</w:t>
      </w:r>
      <w:r>
        <w:rPr>
          <w:rFonts w:hint="default" w:ascii="Times New Roman" w:hAnsi="Times New Roman" w:eastAsia="仿宋" w:cs="Times New Roman"/>
          <w:color w:val="auto"/>
          <w:sz w:val="28"/>
        </w:rPr>
        <w:t>月</w:t>
      </w:r>
      <w:r>
        <w:rPr>
          <w:rFonts w:hint="default" w:ascii="Times New Roman" w:hAnsi="Times New Roman" w:eastAsia="仿宋" w:cs="Times New Roman"/>
          <w:color w:val="auto"/>
          <w:sz w:val="28"/>
          <w:lang w:val="en-US" w:eastAsia="zh-CN"/>
        </w:rPr>
        <w:t>24</w:t>
      </w:r>
      <w:r>
        <w:rPr>
          <w:rFonts w:hint="default" w:ascii="Times New Roman" w:hAnsi="Times New Roman" w:eastAsia="仿宋" w:cs="Times New Roman"/>
          <w:color w:val="auto"/>
          <w:sz w:val="28"/>
        </w:rPr>
        <w:t>日。若报告使用期限内，房地产市场或估价对象状况发生重大变化，估价结果需做相应调整或委托估价机构重新估价。</w:t>
      </w:r>
    </w:p>
    <w:p>
      <w:pPr>
        <w:pStyle w:val="14"/>
        <w:spacing w:line="480" w:lineRule="exact"/>
        <w:ind w:firstLine="555"/>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3、本估价机构依据估价委托人提供的资料进行评估，估价委托人应对其所提供资料的真实性负责；如政府部门认定的估价对象面积、位置、用途、年限等产权登记状况发生变化，估价对象市场价值需重新进行评估。</w:t>
      </w:r>
    </w:p>
    <w:p>
      <w:pPr>
        <w:pStyle w:val="14"/>
        <w:spacing w:line="460" w:lineRule="exact"/>
        <w:ind w:firstLine="555"/>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4、本次估价所涉权属资料为经当事人质证人民法院认定的鉴定评估资料，估价依据及相关参数资料为注册房地产估价师调查核实的资料。</w:t>
      </w:r>
    </w:p>
    <w:p>
      <w:pPr>
        <w:spacing w:line="460" w:lineRule="exact"/>
        <w:ind w:firstLine="548" w:firstLineChars="196"/>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5、本次评估的价值根据实际市场价值来确定，未考虑司法处置相关费用、办证费用、税费等对估价对象的影响。</w:t>
      </w:r>
    </w:p>
    <w:p>
      <w:pPr>
        <w:spacing w:line="460" w:lineRule="exact"/>
        <w:ind w:firstLine="548" w:firstLineChars="196"/>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本报告估价结果仅为委托方在本次估价目的下使用，不得作其他用途。未经本估价机构书面同意，本报告的全部或任何一部分均不得向委托方、报告使用者、报告审查部门之外的单位和个人提供，也不得以任何形式公开发表。</w:t>
      </w:r>
    </w:p>
    <w:p>
      <w:pPr>
        <w:pStyle w:val="14"/>
        <w:spacing w:line="460" w:lineRule="exact"/>
        <w:ind w:firstLine="555"/>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7、本报告须由本公司注册房地产估价师签字或盖章后方为有效，除本公司出具的估价报告正本外，其他任何复印件、影印件均无法律效力。</w:t>
      </w:r>
    </w:p>
    <w:p>
      <w:pPr>
        <w:spacing w:line="480" w:lineRule="exact"/>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t>三、其他说明事项</w:t>
      </w:r>
    </w:p>
    <w:p>
      <w:pPr>
        <w:adjustRightInd w:val="0"/>
        <w:snapToGrid w:val="0"/>
        <w:spacing w:line="480" w:lineRule="exact"/>
        <w:ind w:firstLine="560" w:firstLineChars="200"/>
        <w:rPr>
          <w:rFonts w:hint="default" w:ascii="Times New Roman" w:hAnsi="Times New Roman" w:eastAsia="仿宋" w:cs="Times New Roman"/>
          <w:color w:val="auto"/>
          <w:sz w:val="28"/>
          <w:lang w:val="en-US" w:eastAsia="zh-CN"/>
        </w:rPr>
      </w:pPr>
      <w:r>
        <w:rPr>
          <w:rFonts w:hint="default" w:ascii="Times New Roman" w:hAnsi="Times New Roman" w:eastAsia="仿宋" w:cs="Times New Roman"/>
          <w:color w:val="auto"/>
          <w:sz w:val="28"/>
          <w:lang w:val="en-US" w:eastAsia="zh-CN"/>
        </w:rPr>
        <w:t>1、由于无法知悉估价对象是否存在欠缴税费、拖欠物业费、水电气费等相关情况，在此提醒报告使用者注意。</w:t>
      </w:r>
    </w:p>
    <w:p>
      <w:pPr>
        <w:adjustRightInd w:val="0"/>
        <w:snapToGrid w:val="0"/>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lang w:val="en-US" w:eastAsia="zh-CN"/>
        </w:rPr>
        <w:t>2、</w:t>
      </w:r>
      <w:r>
        <w:rPr>
          <w:rFonts w:hint="default" w:ascii="Times New Roman" w:hAnsi="Times New Roman" w:eastAsia="仿宋" w:cs="Times New Roman"/>
          <w:color w:val="auto"/>
          <w:sz w:val="28"/>
        </w:rPr>
        <w:t>、</w:t>
      </w:r>
      <w:r>
        <w:rPr>
          <w:rFonts w:hint="default" w:ascii="Times New Roman" w:hAnsi="Times New Roman" w:eastAsia="仿宋" w:cs="Times New Roman"/>
          <w:color w:val="auto"/>
          <w:sz w:val="28"/>
          <w:szCs w:val="28"/>
        </w:rPr>
        <w:t>估价测算过程采用EXCEL表计算功能连续计算得出，但在文档编辑中均进行了四舍五入，阅读估价报告可能出现有个别上下数值计算不完全相等情况，但这种情况不影响报告结论的准确性和客观性。</w:t>
      </w:r>
    </w:p>
    <w:p>
      <w:pPr>
        <w:pStyle w:val="14"/>
        <w:spacing w:line="460" w:lineRule="exact"/>
        <w:ind w:firstLine="555"/>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br w:type="page"/>
      </w:r>
    </w:p>
    <w:p>
      <w:pPr>
        <w:pStyle w:val="3"/>
        <w:spacing w:before="0" w:after="0" w:line="720" w:lineRule="auto"/>
        <w:rPr>
          <w:rFonts w:hint="default" w:ascii="Times New Roman" w:hAnsi="Times New Roman" w:eastAsia="仿宋" w:cs="Times New Roman"/>
          <w:bCs/>
          <w:color w:val="auto"/>
        </w:rPr>
      </w:pPr>
      <w:bookmarkStart w:id="16" w:name="_Toc391884249"/>
      <w:bookmarkStart w:id="17" w:name="_Toc119160798"/>
      <w:bookmarkStart w:id="18" w:name="_Toc73954705"/>
      <w:bookmarkStart w:id="19" w:name="_Toc213473260"/>
      <w:r>
        <w:rPr>
          <w:rFonts w:hint="default" w:ascii="Times New Roman" w:hAnsi="Times New Roman" w:eastAsia="仿宋" w:cs="Times New Roman"/>
          <w:bCs/>
          <w:color w:val="auto"/>
        </w:rPr>
        <w:t>估价结果报告</w:t>
      </w:r>
      <w:bookmarkEnd w:id="15"/>
      <w:bookmarkEnd w:id="16"/>
      <w:bookmarkEnd w:id="17"/>
      <w:bookmarkEnd w:id="18"/>
      <w:bookmarkEnd w:id="19"/>
    </w:p>
    <w:p>
      <w:pPr>
        <w:jc w:val="center"/>
        <w:rPr>
          <w:rFonts w:hint="default" w:ascii="Times New Roman" w:hAnsi="Times New Roman" w:eastAsia="仿宋" w:cs="Times New Roman"/>
          <w:b/>
          <w:color w:val="auto"/>
          <w:kern w:val="0"/>
          <w:szCs w:val="24"/>
          <w:lang w:eastAsia="zh-CN"/>
        </w:rPr>
      </w:pPr>
      <w:bookmarkStart w:id="20" w:name="_Toc391884250"/>
      <w:r>
        <w:rPr>
          <w:rFonts w:hint="default" w:ascii="Times New Roman" w:hAnsi="Times New Roman" w:eastAsia="仿宋" w:cs="Times New Roman"/>
          <w:b/>
          <w:color w:val="auto"/>
          <w:kern w:val="0"/>
          <w:szCs w:val="24"/>
          <w:lang w:eastAsia="zh-CN"/>
        </w:rPr>
        <w:t>博文房估字（2021）第</w:t>
      </w:r>
      <w:r>
        <w:rPr>
          <w:rFonts w:hint="eastAsia" w:eastAsia="仿宋" w:cs="Times New Roman"/>
          <w:b/>
          <w:color w:val="auto"/>
          <w:kern w:val="0"/>
          <w:szCs w:val="24"/>
          <w:lang w:eastAsia="zh-CN"/>
        </w:rPr>
        <w:t>17044</w:t>
      </w:r>
      <w:r>
        <w:rPr>
          <w:rFonts w:hint="default" w:ascii="Times New Roman" w:hAnsi="Times New Roman" w:eastAsia="仿宋" w:cs="Times New Roman"/>
          <w:b/>
          <w:color w:val="auto"/>
          <w:kern w:val="0"/>
          <w:szCs w:val="24"/>
          <w:lang w:eastAsia="zh-CN"/>
        </w:rPr>
        <w:t>号</w:t>
      </w:r>
    </w:p>
    <w:p>
      <w:pPr>
        <w:pStyle w:val="4"/>
        <w:spacing w:line="480" w:lineRule="exact"/>
        <w:ind w:firstLine="0"/>
        <w:outlineLvl w:val="2"/>
        <w:rPr>
          <w:rFonts w:hint="default" w:ascii="Times New Roman" w:hAnsi="Times New Roman" w:eastAsia="仿宋" w:cs="Times New Roman"/>
          <w:b/>
          <w:bCs/>
          <w:color w:val="auto"/>
        </w:rPr>
      </w:pPr>
      <w:bookmarkStart w:id="21" w:name="_Toc73954706"/>
      <w:r>
        <w:rPr>
          <w:rFonts w:hint="default" w:ascii="Times New Roman" w:hAnsi="Times New Roman" w:eastAsia="仿宋" w:cs="Times New Roman"/>
          <w:b/>
          <w:bCs/>
          <w:color w:val="auto"/>
        </w:rPr>
        <w:t>一、估价委托人</w:t>
      </w:r>
      <w:bookmarkEnd w:id="20"/>
      <w:bookmarkEnd w:id="21"/>
    </w:p>
    <w:p>
      <w:pPr>
        <w:pStyle w:val="14"/>
        <w:spacing w:line="480" w:lineRule="exact"/>
        <w:ind w:firstLine="560" w:firstLineChars="200"/>
        <w:rPr>
          <w:rFonts w:hint="default" w:ascii="Times New Roman" w:hAnsi="Times New Roman" w:eastAsia="仿宋" w:cs="Times New Roman"/>
          <w:color w:val="auto"/>
          <w:sz w:val="28"/>
          <w:lang w:eastAsia="zh-CN"/>
        </w:rPr>
      </w:pPr>
      <w:r>
        <w:rPr>
          <w:rFonts w:hint="default" w:ascii="Times New Roman" w:hAnsi="Times New Roman" w:eastAsia="仿宋" w:cs="Times New Roman"/>
          <w:color w:val="auto"/>
          <w:sz w:val="28"/>
        </w:rPr>
        <w:t>单位名称：</w:t>
      </w:r>
      <w:r>
        <w:rPr>
          <w:rFonts w:hint="default" w:ascii="Times New Roman" w:hAnsi="Times New Roman" w:eastAsia="仿宋" w:cs="Times New Roman"/>
          <w:color w:val="auto"/>
          <w:sz w:val="28"/>
          <w:lang w:eastAsia="zh-CN"/>
        </w:rPr>
        <w:t>十堰市郧阳区人民法院</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地址：十堰市郧阳区沿江大道26号</w:t>
      </w:r>
    </w:p>
    <w:p>
      <w:pPr>
        <w:pStyle w:val="4"/>
        <w:spacing w:line="480" w:lineRule="exact"/>
        <w:ind w:firstLine="0"/>
        <w:outlineLvl w:val="2"/>
        <w:rPr>
          <w:rFonts w:hint="default" w:ascii="Times New Roman" w:hAnsi="Times New Roman" w:eastAsia="仿宋" w:cs="Times New Roman"/>
          <w:b/>
          <w:bCs/>
          <w:color w:val="auto"/>
        </w:rPr>
      </w:pPr>
      <w:bookmarkStart w:id="22" w:name="_Toc391884251"/>
      <w:bookmarkStart w:id="23" w:name="_Toc73954707"/>
      <w:r>
        <w:rPr>
          <w:rFonts w:hint="default" w:ascii="Times New Roman" w:hAnsi="Times New Roman" w:eastAsia="仿宋" w:cs="Times New Roman"/>
          <w:b/>
          <w:bCs/>
          <w:color w:val="auto"/>
        </w:rPr>
        <w:t>二、估价机构</w:t>
      </w:r>
      <w:bookmarkEnd w:id="22"/>
      <w:bookmarkEnd w:id="23"/>
    </w:p>
    <w:p>
      <w:pPr>
        <w:spacing w:line="480" w:lineRule="exact"/>
        <w:ind w:firstLine="560" w:firstLineChars="200"/>
        <w:rPr>
          <w:rFonts w:hint="default" w:ascii="Times New Roman" w:hAnsi="Times New Roman" w:eastAsia="仿宋" w:cs="Times New Roman"/>
          <w:color w:val="auto"/>
          <w:sz w:val="28"/>
        </w:rPr>
      </w:pPr>
      <w:bookmarkStart w:id="24" w:name="OLE_LINK4"/>
      <w:bookmarkStart w:id="25" w:name="OLE_LINK5"/>
      <w:r>
        <w:rPr>
          <w:rFonts w:hint="default" w:ascii="Times New Roman" w:hAnsi="Times New Roman" w:eastAsia="仿宋" w:cs="Times New Roman"/>
          <w:color w:val="auto"/>
          <w:sz w:val="28"/>
        </w:rPr>
        <w:t>估价机构：博文房地产评估造价集团有限公司</w:t>
      </w:r>
    </w:p>
    <w:p>
      <w:pPr>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rPr>
        <w:t>住所：</w:t>
      </w:r>
      <w:r>
        <w:rPr>
          <w:rFonts w:hint="default" w:ascii="Times New Roman" w:hAnsi="Times New Roman" w:eastAsia="仿宋" w:cs="Times New Roman"/>
          <w:color w:val="auto"/>
          <w:sz w:val="28"/>
          <w:szCs w:val="28"/>
        </w:rPr>
        <w:t>北京市西城区宣武门外大街20号6层办公0713</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法定代表人：徐文井</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 xml:space="preserve">联系电话：010-83482911   邮编：100054  </w:t>
      </w:r>
    </w:p>
    <w:p>
      <w:pPr>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sz w:val="28"/>
        </w:rPr>
        <w:t>网址：</w:t>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"http://www.bwjt-cn.cn" </w:instrText>
      </w:r>
      <w:r>
        <w:rPr>
          <w:rFonts w:hint="default" w:ascii="Times New Roman" w:hAnsi="Times New Roman" w:eastAsia="仿宋" w:cs="Times New Roman"/>
          <w:color w:val="auto"/>
        </w:rPr>
        <w:fldChar w:fldCharType="separate"/>
      </w:r>
      <w:r>
        <w:rPr>
          <w:rStyle w:val="38"/>
          <w:rFonts w:hint="default" w:ascii="Times New Roman" w:hAnsi="Times New Roman" w:eastAsia="仿宋" w:cs="Times New Roman"/>
          <w:color w:val="auto"/>
          <w:sz w:val="28"/>
          <w:u w:val="none"/>
        </w:rPr>
        <w:t>http://www.bwjt-cn.cn</w:t>
      </w:r>
      <w:r>
        <w:rPr>
          <w:rStyle w:val="38"/>
          <w:rFonts w:hint="default" w:ascii="Times New Roman" w:hAnsi="Times New Roman" w:eastAsia="仿宋" w:cs="Times New Roman"/>
          <w:color w:val="auto"/>
          <w:sz w:val="28"/>
          <w:u w:val="none"/>
        </w:rPr>
        <w:fldChar w:fldCharType="end"/>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 xml:space="preserve">资质等级：一级证书    </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编号：建房估证字[2015]025号</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统一社会信用代码：911140007394033502</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有效期限：20</w:t>
      </w:r>
      <w:r>
        <w:rPr>
          <w:rFonts w:hint="default" w:ascii="Times New Roman" w:hAnsi="Times New Roman" w:eastAsia="仿宋" w:cs="Times New Roman"/>
          <w:color w:val="auto"/>
          <w:sz w:val="28"/>
          <w:lang w:val="en-US" w:eastAsia="zh-CN"/>
        </w:rPr>
        <w:t>21</w:t>
      </w:r>
      <w:r>
        <w:rPr>
          <w:rFonts w:hint="default" w:ascii="Times New Roman" w:hAnsi="Times New Roman" w:eastAsia="仿宋" w:cs="Times New Roman"/>
          <w:color w:val="auto"/>
          <w:sz w:val="28"/>
        </w:rPr>
        <w:t>年</w:t>
      </w:r>
      <w:r>
        <w:rPr>
          <w:rFonts w:hint="default" w:ascii="Times New Roman" w:hAnsi="Times New Roman" w:eastAsia="仿宋" w:cs="Times New Roman"/>
          <w:color w:val="auto"/>
          <w:sz w:val="28"/>
          <w:lang w:val="en-US" w:eastAsia="zh-CN"/>
        </w:rPr>
        <w:t>10</w:t>
      </w:r>
      <w:r>
        <w:rPr>
          <w:rFonts w:hint="default" w:ascii="Times New Roman" w:hAnsi="Times New Roman" w:eastAsia="仿宋" w:cs="Times New Roman"/>
          <w:color w:val="auto"/>
          <w:sz w:val="28"/>
        </w:rPr>
        <w:t>月</w:t>
      </w:r>
      <w:r>
        <w:rPr>
          <w:rFonts w:hint="default" w:ascii="Times New Roman" w:hAnsi="Times New Roman" w:eastAsia="仿宋" w:cs="Times New Roman"/>
          <w:color w:val="auto"/>
          <w:sz w:val="28"/>
          <w:lang w:val="en-US" w:eastAsia="zh-CN"/>
        </w:rPr>
        <w:t>8</w:t>
      </w:r>
      <w:r>
        <w:rPr>
          <w:rFonts w:hint="default" w:ascii="Times New Roman" w:hAnsi="Times New Roman" w:eastAsia="仿宋" w:cs="Times New Roman"/>
          <w:color w:val="auto"/>
          <w:sz w:val="28"/>
        </w:rPr>
        <w:t>日至20</w:t>
      </w:r>
      <w:r>
        <w:rPr>
          <w:rFonts w:hint="default" w:ascii="Times New Roman" w:hAnsi="Times New Roman" w:eastAsia="仿宋" w:cs="Times New Roman"/>
          <w:color w:val="auto"/>
          <w:sz w:val="28"/>
          <w:lang w:val="en-US" w:eastAsia="zh-CN"/>
        </w:rPr>
        <w:t>24</w:t>
      </w:r>
      <w:r>
        <w:rPr>
          <w:rFonts w:hint="default" w:ascii="Times New Roman" w:hAnsi="Times New Roman" w:eastAsia="仿宋" w:cs="Times New Roman"/>
          <w:color w:val="auto"/>
          <w:sz w:val="28"/>
        </w:rPr>
        <w:t>年</w:t>
      </w:r>
      <w:r>
        <w:rPr>
          <w:rFonts w:hint="default" w:ascii="Times New Roman" w:hAnsi="Times New Roman" w:eastAsia="仿宋" w:cs="Times New Roman"/>
          <w:color w:val="auto"/>
          <w:sz w:val="28"/>
          <w:lang w:val="en-US" w:eastAsia="zh-CN"/>
        </w:rPr>
        <w:t>10</w:t>
      </w:r>
      <w:r>
        <w:rPr>
          <w:rFonts w:hint="default" w:ascii="Times New Roman" w:hAnsi="Times New Roman" w:eastAsia="仿宋" w:cs="Times New Roman"/>
          <w:color w:val="auto"/>
          <w:sz w:val="28"/>
        </w:rPr>
        <w:t>月</w:t>
      </w:r>
      <w:r>
        <w:rPr>
          <w:rFonts w:hint="default" w:ascii="Times New Roman" w:hAnsi="Times New Roman" w:eastAsia="仿宋" w:cs="Times New Roman"/>
          <w:color w:val="auto"/>
          <w:sz w:val="28"/>
          <w:lang w:val="en-US" w:eastAsia="zh-CN"/>
        </w:rPr>
        <w:t>7</w:t>
      </w:r>
      <w:r>
        <w:rPr>
          <w:rFonts w:hint="default" w:ascii="Times New Roman" w:hAnsi="Times New Roman" w:eastAsia="仿宋" w:cs="Times New Roman"/>
          <w:color w:val="auto"/>
          <w:sz w:val="28"/>
        </w:rPr>
        <w:t>日</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经营范围：房地产评估、土地评估、资产评估、房地产咨询、工程监理、工程造价咨询、工程招标代理、地理信息系统工程设计、工程测量、不动产测绘、不动产权属登记代理:；工程咨询。</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分公司名称：博文房地产评估造价集团有限公司十堰分公司</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住所：十堰市茅箭区京东路88号百强世纪城1号楼2单元2102室</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 xml:space="preserve">联系电话：0719-8113377       </w:t>
      </w:r>
    </w:p>
    <w:p>
      <w:pPr>
        <w:pStyle w:val="4"/>
        <w:spacing w:line="480" w:lineRule="exact"/>
        <w:ind w:firstLine="0"/>
        <w:outlineLvl w:val="2"/>
        <w:rPr>
          <w:rFonts w:hint="default" w:ascii="Times New Roman" w:hAnsi="Times New Roman" w:eastAsia="仿宋" w:cs="Times New Roman"/>
          <w:b/>
          <w:bCs/>
          <w:color w:val="auto"/>
        </w:rPr>
      </w:pPr>
      <w:bookmarkStart w:id="26" w:name="_Toc73954708"/>
      <w:bookmarkStart w:id="27" w:name="_Toc391884252"/>
      <w:r>
        <w:rPr>
          <w:rFonts w:hint="default" w:ascii="Times New Roman" w:hAnsi="Times New Roman" w:eastAsia="仿宋" w:cs="Times New Roman"/>
          <w:b/>
          <w:bCs/>
          <w:color w:val="auto"/>
        </w:rPr>
        <w:t>三、估价目的</w:t>
      </w:r>
      <w:bookmarkEnd w:id="26"/>
      <w:bookmarkEnd w:id="27"/>
    </w:p>
    <w:bookmarkEnd w:id="24"/>
    <w:bookmarkEnd w:id="25"/>
    <w:p>
      <w:pPr>
        <w:spacing w:line="480" w:lineRule="exact"/>
        <w:ind w:firstLine="560" w:firstLineChars="200"/>
        <w:rPr>
          <w:rFonts w:hint="default" w:ascii="Times New Roman" w:hAnsi="Times New Roman" w:eastAsia="仿宋" w:cs="Times New Roman"/>
          <w:color w:val="auto"/>
          <w:sz w:val="28"/>
          <w:szCs w:val="28"/>
        </w:rPr>
      </w:pPr>
      <w:bookmarkStart w:id="28" w:name="_Toc391884253"/>
      <w:r>
        <w:rPr>
          <w:rFonts w:hint="default" w:ascii="Times New Roman" w:hAnsi="Times New Roman" w:eastAsia="仿宋" w:cs="Times New Roman"/>
          <w:color w:val="auto"/>
          <w:sz w:val="28"/>
          <w:szCs w:val="28"/>
        </w:rPr>
        <w:t>为人民法院确定财产处置参考价值提供参考依据。</w:t>
      </w:r>
    </w:p>
    <w:p>
      <w:pPr>
        <w:pStyle w:val="4"/>
        <w:spacing w:line="480" w:lineRule="exact"/>
        <w:ind w:firstLine="0"/>
        <w:outlineLvl w:val="2"/>
        <w:rPr>
          <w:rFonts w:hint="default" w:ascii="Times New Roman" w:hAnsi="Times New Roman" w:eastAsia="仿宋" w:cs="Times New Roman"/>
          <w:b/>
          <w:bCs/>
          <w:color w:val="auto"/>
        </w:rPr>
      </w:pPr>
      <w:bookmarkStart w:id="29" w:name="_Toc73954709"/>
      <w:r>
        <w:rPr>
          <w:rFonts w:hint="default" w:ascii="Times New Roman" w:hAnsi="Times New Roman" w:eastAsia="仿宋" w:cs="Times New Roman"/>
          <w:b/>
          <w:bCs/>
          <w:color w:val="auto"/>
        </w:rPr>
        <w:t>四、估价对象</w:t>
      </w:r>
      <w:bookmarkEnd w:id="28"/>
      <w:bookmarkEnd w:id="29"/>
    </w:p>
    <w:p>
      <w:pPr>
        <w:pStyle w:val="14"/>
        <w:spacing w:line="480" w:lineRule="exact"/>
        <w:ind w:firstLine="560" w:firstLineChars="200"/>
        <w:rPr>
          <w:rFonts w:hint="default" w:ascii="Times New Roman" w:hAnsi="Times New Roman" w:eastAsia="仿宋" w:cs="Times New Roman"/>
          <w:color w:val="auto"/>
          <w:sz w:val="28"/>
        </w:rPr>
      </w:pPr>
      <w:bookmarkStart w:id="30" w:name="_Toc391884254"/>
      <w:r>
        <w:rPr>
          <w:rFonts w:hint="default" w:ascii="Times New Roman" w:hAnsi="Times New Roman" w:eastAsia="仿宋" w:cs="Times New Roman"/>
          <w:color w:val="auto"/>
          <w:sz w:val="28"/>
        </w:rPr>
        <w:t>1、估价对象范围</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本次估价对象位于十堰市</w:t>
      </w:r>
      <w:r>
        <w:rPr>
          <w:rFonts w:hint="default" w:ascii="Times New Roman" w:hAnsi="Times New Roman" w:eastAsia="仿宋" w:cs="Times New Roman"/>
          <w:color w:val="auto"/>
          <w:sz w:val="28"/>
          <w:lang w:eastAsia="zh-CN"/>
        </w:rPr>
        <w:t>郧阳区城关镇东岭街东岭居委会七组锦绣龙苑1</w:t>
      </w:r>
      <w:r>
        <w:rPr>
          <w:rFonts w:hint="default" w:ascii="Times New Roman" w:hAnsi="Times New Roman" w:eastAsia="仿宋" w:cs="Times New Roman"/>
          <w:color w:val="auto"/>
          <w:sz w:val="28"/>
          <w:lang w:val="en-US" w:eastAsia="zh-CN"/>
        </w:rPr>
        <w:t>01</w:t>
      </w:r>
      <w:r>
        <w:rPr>
          <w:rFonts w:hint="default" w:ascii="Times New Roman" w:hAnsi="Times New Roman" w:eastAsia="仿宋" w:cs="Times New Roman"/>
          <w:color w:val="auto"/>
          <w:sz w:val="28"/>
          <w:lang w:eastAsia="zh-CN"/>
        </w:rPr>
        <w:t>幢2单元202室</w:t>
      </w:r>
      <w:r>
        <w:rPr>
          <w:rFonts w:hint="default" w:ascii="Times New Roman" w:hAnsi="Times New Roman" w:eastAsia="仿宋" w:cs="Times New Roman"/>
          <w:color w:val="auto"/>
          <w:sz w:val="28"/>
        </w:rPr>
        <w:t>住宅</w:t>
      </w:r>
      <w:r>
        <w:rPr>
          <w:rFonts w:hint="default" w:ascii="Times New Roman" w:hAnsi="Times New Roman" w:eastAsia="仿宋" w:cs="Times New Roman"/>
          <w:color w:val="auto"/>
          <w:sz w:val="28"/>
          <w:lang w:eastAsia="zh-CN"/>
        </w:rPr>
        <w:t>用房</w:t>
      </w:r>
      <w:r>
        <w:rPr>
          <w:rFonts w:hint="default" w:ascii="Times New Roman" w:hAnsi="Times New Roman" w:eastAsia="仿宋" w:cs="Times New Roman"/>
          <w:sz w:val="28"/>
        </w:rPr>
        <w:t>及其占用范围内土地使用权</w:t>
      </w:r>
      <w:r>
        <w:rPr>
          <w:rFonts w:hint="default" w:ascii="Times New Roman" w:hAnsi="Times New Roman" w:eastAsia="仿宋" w:cs="Times New Roman"/>
          <w:color w:val="auto"/>
          <w:sz w:val="28"/>
          <w:lang w:eastAsia="zh-CN"/>
        </w:rPr>
        <w:t>，</w:t>
      </w:r>
      <w:r>
        <w:rPr>
          <w:rFonts w:hint="default" w:ascii="Times New Roman" w:hAnsi="Times New Roman" w:eastAsia="仿宋" w:cs="Times New Roman"/>
          <w:color w:val="auto"/>
          <w:sz w:val="28"/>
        </w:rPr>
        <w:t>建筑面积</w:t>
      </w:r>
      <w:r>
        <w:rPr>
          <w:rFonts w:hint="default" w:ascii="Times New Roman" w:hAnsi="Times New Roman" w:eastAsia="仿宋" w:cs="Times New Roman"/>
          <w:color w:val="auto"/>
          <w:sz w:val="28"/>
          <w:lang w:eastAsia="zh-CN"/>
        </w:rPr>
        <w:t>127.61</w:t>
      </w:r>
      <w:r>
        <w:rPr>
          <w:rFonts w:hint="default" w:ascii="Times New Roman" w:hAnsi="Times New Roman" w:eastAsia="仿宋" w:cs="Times New Roman"/>
          <w:color w:val="auto"/>
          <w:sz w:val="28"/>
        </w:rPr>
        <w:t xml:space="preserve"> ㎡。</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2、估价对象土地状况</w:t>
      </w:r>
    </w:p>
    <w:p>
      <w:pPr>
        <w:pStyle w:val="4"/>
        <w:overflowPunct w:val="0"/>
        <w:autoSpaceDE w:val="0"/>
        <w:autoSpaceDN w:val="0"/>
        <w:adjustRightInd w:val="0"/>
        <w:spacing w:line="480" w:lineRule="exact"/>
        <w:ind w:firstLine="560" w:firstLineChars="200"/>
        <w:textAlignment w:val="baseline"/>
        <w:rPr>
          <w:rFonts w:hint="default" w:ascii="Times New Roman" w:hAnsi="Times New Roman" w:eastAsia="仿宋" w:cs="Times New Roman"/>
          <w:color w:val="auto"/>
          <w:spacing w:val="-4"/>
          <w:szCs w:val="28"/>
        </w:rPr>
      </w:pPr>
      <w:r>
        <w:rPr>
          <w:rFonts w:hint="default" w:ascii="Times New Roman" w:hAnsi="Times New Roman" w:eastAsia="仿宋" w:cs="Times New Roman"/>
          <w:color w:val="auto"/>
        </w:rPr>
        <w:t>估价对象所处宗地位于</w:t>
      </w:r>
      <w:r>
        <w:rPr>
          <w:rFonts w:hint="default" w:ascii="Times New Roman" w:hAnsi="Times New Roman" w:eastAsia="仿宋" w:cs="Times New Roman"/>
          <w:color w:val="auto"/>
          <w:lang w:eastAsia="zh-CN"/>
        </w:rPr>
        <w:t>十堰市</w:t>
      </w:r>
      <w:r>
        <w:rPr>
          <w:rFonts w:hint="default" w:ascii="Times New Roman" w:hAnsi="Times New Roman" w:eastAsia="仿宋" w:cs="Times New Roman"/>
          <w:color w:val="auto"/>
          <w:sz w:val="28"/>
          <w:lang w:eastAsia="zh-CN"/>
        </w:rPr>
        <w:t>郧阳区城关镇东岭街东岭居委会七组</w:t>
      </w:r>
      <w:r>
        <w:rPr>
          <w:rFonts w:hint="default" w:ascii="Times New Roman" w:hAnsi="Times New Roman" w:eastAsia="仿宋" w:cs="Times New Roman"/>
          <w:color w:val="auto"/>
        </w:rPr>
        <w:t>，宗地东临</w:t>
      </w:r>
      <w:r>
        <w:rPr>
          <w:rFonts w:hint="default" w:ascii="Times New Roman" w:hAnsi="Times New Roman" w:eastAsia="仿宋" w:cs="Times New Roman"/>
          <w:color w:val="auto"/>
          <w:lang w:eastAsia="zh-CN"/>
        </w:rPr>
        <w:t>城北东路</w:t>
      </w:r>
      <w:r>
        <w:rPr>
          <w:rFonts w:hint="default" w:ascii="Times New Roman" w:hAnsi="Times New Roman" w:eastAsia="仿宋" w:cs="Times New Roman"/>
          <w:color w:val="auto"/>
        </w:rPr>
        <w:t>、南临</w:t>
      </w:r>
      <w:r>
        <w:rPr>
          <w:rFonts w:hint="default" w:ascii="Times New Roman" w:hAnsi="Times New Roman" w:eastAsia="仿宋" w:cs="Times New Roman"/>
          <w:color w:val="auto"/>
          <w:lang w:eastAsia="zh-CN"/>
        </w:rPr>
        <w:t>住宅区</w:t>
      </w:r>
      <w:r>
        <w:rPr>
          <w:rFonts w:hint="default" w:ascii="Times New Roman" w:hAnsi="Times New Roman" w:eastAsia="仿宋" w:cs="Times New Roman"/>
          <w:color w:val="auto"/>
        </w:rPr>
        <w:t>、西临</w:t>
      </w:r>
      <w:r>
        <w:rPr>
          <w:rFonts w:hint="default" w:ascii="Times New Roman" w:hAnsi="Times New Roman" w:eastAsia="仿宋" w:cs="Times New Roman"/>
          <w:color w:val="auto"/>
          <w:lang w:eastAsia="zh-CN"/>
        </w:rPr>
        <w:t>东岭街</w:t>
      </w:r>
      <w:r>
        <w:rPr>
          <w:rFonts w:hint="default" w:ascii="Times New Roman" w:hAnsi="Times New Roman" w:eastAsia="仿宋" w:cs="Times New Roman"/>
          <w:color w:val="auto"/>
        </w:rPr>
        <w:t>、北临</w:t>
      </w:r>
      <w:r>
        <w:rPr>
          <w:rFonts w:hint="default" w:ascii="Times New Roman" w:hAnsi="Times New Roman" w:eastAsia="仿宋" w:cs="Times New Roman"/>
          <w:color w:val="auto"/>
          <w:lang w:eastAsia="zh-CN"/>
        </w:rPr>
        <w:t>住宅区</w:t>
      </w:r>
      <w:r>
        <w:rPr>
          <w:rFonts w:hint="default" w:ascii="Times New Roman" w:hAnsi="Times New Roman" w:eastAsia="仿宋" w:cs="Times New Roman"/>
          <w:color w:val="auto"/>
        </w:rPr>
        <w:t>，地势较平坦，形状较则，实际开发程度为宗地外“六通”（通路、通电、供水、排水</w:t>
      </w:r>
      <w:r>
        <w:rPr>
          <w:rFonts w:hint="default" w:ascii="Times New Roman" w:hAnsi="Times New Roman" w:eastAsia="仿宋" w:cs="Times New Roman"/>
          <w:color w:val="auto"/>
          <w:spacing w:val="-4"/>
          <w:szCs w:val="28"/>
        </w:rPr>
        <w:t>、通讯、通气），宗地内</w:t>
      </w:r>
      <w:r>
        <w:rPr>
          <w:rFonts w:hint="default" w:ascii="Times New Roman" w:hAnsi="Times New Roman" w:eastAsia="仿宋" w:cs="Times New Roman"/>
          <w:color w:val="auto"/>
        </w:rPr>
        <w:t>“六通”</w:t>
      </w:r>
      <w:r>
        <w:rPr>
          <w:rFonts w:hint="default" w:ascii="Times New Roman" w:hAnsi="Times New Roman" w:eastAsia="仿宋" w:cs="Times New Roman"/>
          <w:color w:val="auto"/>
          <w:spacing w:val="-4"/>
          <w:szCs w:val="28"/>
        </w:rPr>
        <w:t>（通路、通电、供水、排水、通讯、通气）及场地内已建有建筑物。</w:t>
      </w:r>
      <w:r>
        <w:rPr>
          <w:rFonts w:hint="default" w:ascii="Times New Roman" w:hAnsi="Times New Roman" w:eastAsia="仿宋" w:cs="Times New Roman"/>
          <w:color w:val="auto"/>
        </w:rPr>
        <w:t>根据委托人提供的资料，土地用途为</w:t>
      </w:r>
      <w:r>
        <w:rPr>
          <w:rFonts w:hint="default" w:ascii="Times New Roman" w:hAnsi="Times New Roman" w:eastAsia="仿宋" w:cs="Times New Roman"/>
          <w:color w:val="auto"/>
          <w:lang w:eastAsia="zh-CN"/>
        </w:rPr>
        <w:t>住宅</w:t>
      </w:r>
      <w:r>
        <w:rPr>
          <w:rFonts w:hint="default" w:ascii="Times New Roman" w:hAnsi="Times New Roman" w:eastAsia="仿宋" w:cs="Times New Roman"/>
          <w:color w:val="auto"/>
        </w:rPr>
        <w:t>，权利性质为</w:t>
      </w:r>
      <w:r>
        <w:rPr>
          <w:rFonts w:hint="default" w:ascii="Times New Roman" w:hAnsi="Times New Roman" w:eastAsia="仿宋" w:cs="Times New Roman"/>
          <w:color w:val="auto"/>
          <w:lang w:eastAsia="zh-CN"/>
        </w:rPr>
        <w:t>出让，终止日期为</w:t>
      </w:r>
      <w:r>
        <w:rPr>
          <w:rFonts w:hint="default" w:ascii="Times New Roman" w:hAnsi="Times New Roman" w:eastAsia="仿宋" w:cs="Times New Roman"/>
          <w:color w:val="auto"/>
          <w:lang w:val="en-US" w:eastAsia="zh-CN"/>
        </w:rPr>
        <w:t>2074年03月19日</w:t>
      </w:r>
      <w:r>
        <w:rPr>
          <w:rFonts w:hint="default" w:ascii="Times New Roman" w:hAnsi="Times New Roman" w:eastAsia="仿宋" w:cs="Times New Roman"/>
          <w:color w:val="auto"/>
          <w:spacing w:val="-4"/>
          <w:szCs w:val="28"/>
        </w:rPr>
        <w:t>。</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 xml:space="preserve"> 3、估价对象建筑物状况</w:t>
      </w:r>
    </w:p>
    <w:p>
      <w:pPr>
        <w:pStyle w:val="14"/>
        <w:spacing w:line="480" w:lineRule="exact"/>
        <w:ind w:firstLine="560" w:firstLineChars="200"/>
        <w:rPr>
          <w:rFonts w:hint="default" w:ascii="Times New Roman" w:hAnsi="Times New Roman" w:eastAsia="仿宋" w:cs="Times New Roman"/>
          <w:color w:val="auto"/>
          <w:kern w:val="0"/>
          <w:sz w:val="28"/>
        </w:rPr>
      </w:pPr>
      <w:r>
        <w:rPr>
          <w:rFonts w:hint="default" w:ascii="Times New Roman" w:hAnsi="Times New Roman" w:eastAsia="仿宋" w:cs="Times New Roman"/>
          <w:color w:val="auto"/>
          <w:sz w:val="28"/>
        </w:rPr>
        <w:t>估价对象的住宅用房位于十堰市</w:t>
      </w:r>
      <w:r>
        <w:rPr>
          <w:rFonts w:hint="default" w:ascii="Times New Roman" w:hAnsi="Times New Roman" w:eastAsia="仿宋" w:cs="Times New Roman"/>
          <w:color w:val="auto"/>
          <w:sz w:val="28"/>
          <w:lang w:eastAsia="zh-CN"/>
        </w:rPr>
        <w:t>郧阳区城关镇东岭街东岭居委会七组锦绣龙苑1</w:t>
      </w:r>
      <w:r>
        <w:rPr>
          <w:rFonts w:hint="default" w:ascii="Times New Roman" w:hAnsi="Times New Roman" w:eastAsia="仿宋" w:cs="Times New Roman"/>
          <w:color w:val="auto"/>
          <w:sz w:val="28"/>
          <w:lang w:val="en-US" w:eastAsia="zh-CN"/>
        </w:rPr>
        <w:t>01</w:t>
      </w:r>
      <w:r>
        <w:rPr>
          <w:rFonts w:hint="default" w:ascii="Times New Roman" w:hAnsi="Times New Roman" w:eastAsia="仿宋" w:cs="Times New Roman"/>
          <w:color w:val="auto"/>
          <w:sz w:val="28"/>
          <w:lang w:eastAsia="zh-CN"/>
        </w:rPr>
        <w:t>幢2单元202室</w:t>
      </w:r>
      <w:r>
        <w:rPr>
          <w:rFonts w:hint="default" w:ascii="Times New Roman" w:hAnsi="Times New Roman" w:eastAsia="仿宋" w:cs="Times New Roman"/>
          <w:color w:val="auto"/>
          <w:sz w:val="28"/>
        </w:rPr>
        <w:t>，建筑总面积为</w:t>
      </w:r>
      <w:r>
        <w:rPr>
          <w:rFonts w:hint="default" w:ascii="Times New Roman" w:hAnsi="Times New Roman" w:eastAsia="仿宋" w:cs="Times New Roman"/>
          <w:color w:val="auto"/>
          <w:sz w:val="28"/>
          <w:lang w:eastAsia="zh-CN"/>
        </w:rPr>
        <w:t>127.61</w:t>
      </w:r>
      <w:r>
        <w:rPr>
          <w:rFonts w:hint="default" w:ascii="Times New Roman" w:hAnsi="Times New Roman" w:eastAsia="仿宋" w:cs="Times New Roman"/>
          <w:color w:val="auto"/>
          <w:sz w:val="28"/>
        </w:rPr>
        <w:t>m</w:t>
      </w:r>
      <w:r>
        <w:rPr>
          <w:rFonts w:hint="default" w:ascii="Times New Roman" w:hAnsi="Times New Roman" w:eastAsia="仿宋" w:cs="Times New Roman"/>
          <w:color w:val="auto"/>
          <w:sz w:val="28"/>
          <w:vertAlign w:val="superscript"/>
        </w:rPr>
        <w:t>2</w:t>
      </w:r>
      <w:r>
        <w:rPr>
          <w:rFonts w:hint="default" w:ascii="Times New Roman" w:hAnsi="Times New Roman" w:eastAsia="仿宋" w:cs="Times New Roman"/>
          <w:color w:val="auto"/>
          <w:sz w:val="28"/>
        </w:rPr>
        <w:t>，估价对象所在楼栋</w:t>
      </w:r>
      <w:r>
        <w:rPr>
          <w:rFonts w:hint="default" w:ascii="Times New Roman" w:hAnsi="Times New Roman" w:eastAsia="仿宋" w:cs="Times New Roman"/>
          <w:color w:val="auto"/>
          <w:sz w:val="28"/>
          <w:lang w:eastAsia="zh-CN"/>
        </w:rPr>
        <w:t>共</w:t>
      </w:r>
      <w:r>
        <w:rPr>
          <w:rFonts w:hint="default" w:ascii="Times New Roman" w:hAnsi="Times New Roman" w:eastAsia="仿宋" w:cs="Times New Roman"/>
          <w:color w:val="auto"/>
          <w:sz w:val="28"/>
        </w:rPr>
        <w:t>有</w:t>
      </w:r>
      <w:r>
        <w:rPr>
          <w:rFonts w:hint="default" w:ascii="Times New Roman" w:hAnsi="Times New Roman" w:eastAsia="仿宋" w:cs="Times New Roman"/>
          <w:color w:val="auto"/>
          <w:sz w:val="28"/>
          <w:lang w:val="en-US" w:eastAsia="zh-CN"/>
        </w:rPr>
        <w:t>2</w:t>
      </w:r>
      <w:r>
        <w:rPr>
          <w:rFonts w:hint="default" w:ascii="Times New Roman" w:hAnsi="Times New Roman" w:eastAsia="仿宋" w:cs="Times New Roman"/>
          <w:color w:val="auto"/>
          <w:sz w:val="28"/>
        </w:rPr>
        <w:t>个单元，估价对象位于</w:t>
      </w:r>
      <w:r>
        <w:rPr>
          <w:rFonts w:hint="default" w:ascii="Times New Roman" w:hAnsi="Times New Roman" w:eastAsia="仿宋" w:cs="Times New Roman"/>
          <w:color w:val="auto"/>
          <w:sz w:val="28"/>
          <w:lang w:eastAsia="zh-CN"/>
        </w:rPr>
        <w:t>第</w:t>
      </w:r>
      <w:r>
        <w:rPr>
          <w:rFonts w:hint="default" w:ascii="Times New Roman" w:hAnsi="Times New Roman" w:eastAsia="仿宋" w:cs="Times New Roman"/>
          <w:color w:val="auto"/>
          <w:sz w:val="28"/>
          <w:lang w:val="en-US" w:eastAsia="zh-CN"/>
        </w:rPr>
        <w:t>2个</w:t>
      </w:r>
      <w:r>
        <w:rPr>
          <w:rFonts w:hint="default" w:ascii="Times New Roman" w:hAnsi="Times New Roman" w:eastAsia="仿宋" w:cs="Times New Roman"/>
          <w:color w:val="auto"/>
          <w:sz w:val="28"/>
        </w:rPr>
        <w:t>单元，估价对象</w:t>
      </w:r>
      <w:r>
        <w:rPr>
          <w:rFonts w:hint="default" w:ascii="Times New Roman" w:hAnsi="Times New Roman" w:eastAsia="仿宋" w:cs="Times New Roman"/>
          <w:color w:val="auto"/>
          <w:sz w:val="28"/>
          <w:lang w:eastAsia="zh-CN"/>
        </w:rPr>
        <w:t>所在</w:t>
      </w:r>
      <w:r>
        <w:rPr>
          <w:rFonts w:hint="default" w:ascii="Times New Roman" w:hAnsi="Times New Roman" w:eastAsia="仿宋" w:cs="Times New Roman"/>
          <w:color w:val="auto"/>
          <w:sz w:val="28"/>
        </w:rPr>
        <w:t>建筑物共</w:t>
      </w:r>
      <w:r>
        <w:rPr>
          <w:rFonts w:hint="default" w:ascii="Times New Roman" w:hAnsi="Times New Roman" w:eastAsia="仿宋" w:cs="Times New Roman"/>
          <w:color w:val="auto"/>
          <w:sz w:val="28"/>
          <w:lang w:val="en-US" w:eastAsia="zh-CN"/>
        </w:rPr>
        <w:t>7（-1）</w:t>
      </w:r>
      <w:r>
        <w:rPr>
          <w:rFonts w:hint="default" w:ascii="Times New Roman" w:hAnsi="Times New Roman" w:eastAsia="仿宋" w:cs="Times New Roman"/>
          <w:color w:val="auto"/>
          <w:sz w:val="28"/>
        </w:rPr>
        <w:t>层，</w:t>
      </w:r>
      <w:r>
        <w:rPr>
          <w:rFonts w:hint="default" w:ascii="Times New Roman" w:hAnsi="Times New Roman" w:eastAsia="仿宋" w:cs="Times New Roman"/>
          <w:color w:val="auto"/>
          <w:sz w:val="28"/>
          <w:lang w:val="en-US" w:eastAsia="zh-CN"/>
        </w:rPr>
        <w:t>-1层为车库，现做为住宅使用。</w:t>
      </w:r>
      <w:r>
        <w:rPr>
          <w:rFonts w:hint="default" w:ascii="Times New Roman" w:hAnsi="Times New Roman" w:eastAsia="仿宋" w:cs="Times New Roman"/>
          <w:color w:val="auto"/>
          <w:sz w:val="28"/>
        </w:rPr>
        <w:t>估价对象位于第</w:t>
      </w:r>
      <w:r>
        <w:rPr>
          <w:rFonts w:hint="default" w:ascii="Times New Roman" w:hAnsi="Times New Roman" w:eastAsia="仿宋" w:cs="Times New Roman"/>
          <w:color w:val="auto"/>
          <w:sz w:val="28"/>
          <w:lang w:val="en-US" w:eastAsia="zh-CN"/>
        </w:rPr>
        <w:t>2</w:t>
      </w:r>
      <w:r>
        <w:rPr>
          <w:rFonts w:hint="default" w:ascii="Times New Roman" w:hAnsi="Times New Roman" w:eastAsia="仿宋" w:cs="Times New Roman"/>
          <w:color w:val="auto"/>
          <w:sz w:val="28"/>
        </w:rPr>
        <w:t>层，步梯1梯2户，房屋为</w:t>
      </w:r>
      <w:r>
        <w:rPr>
          <w:rFonts w:hint="default" w:ascii="Times New Roman" w:hAnsi="Times New Roman" w:eastAsia="仿宋" w:cs="Times New Roman"/>
          <w:color w:val="auto"/>
          <w:sz w:val="28"/>
          <w:lang w:eastAsia="zh-CN"/>
        </w:rPr>
        <w:t>混合机构</w:t>
      </w:r>
      <w:r>
        <w:rPr>
          <w:rFonts w:hint="default" w:ascii="Times New Roman" w:hAnsi="Times New Roman" w:eastAsia="仿宋" w:cs="Times New Roman"/>
          <w:color w:val="auto"/>
          <w:sz w:val="28"/>
        </w:rPr>
        <w:t>。根据</w:t>
      </w:r>
      <w:r>
        <w:rPr>
          <w:rFonts w:hint="default" w:ascii="Times New Roman" w:hAnsi="Times New Roman" w:eastAsia="仿宋" w:cs="Times New Roman"/>
          <w:color w:val="auto"/>
          <w:sz w:val="28"/>
          <w:lang w:eastAsia="zh-CN"/>
        </w:rPr>
        <w:t>实地走访调查</w:t>
      </w:r>
      <w:r>
        <w:rPr>
          <w:rFonts w:hint="default" w:ascii="Times New Roman" w:hAnsi="Times New Roman" w:eastAsia="仿宋" w:cs="Times New Roman"/>
          <w:color w:val="auto"/>
          <w:kern w:val="0"/>
          <w:sz w:val="28"/>
        </w:rPr>
        <w:t>估价对象建成年代为</w:t>
      </w:r>
      <w:r>
        <w:rPr>
          <w:rFonts w:hint="default" w:ascii="Times New Roman" w:hAnsi="Times New Roman" w:eastAsia="仿宋" w:cs="Times New Roman"/>
          <w:color w:val="auto"/>
          <w:kern w:val="0"/>
          <w:sz w:val="28"/>
          <w:lang w:val="en-US" w:eastAsia="zh-CN"/>
        </w:rPr>
        <w:t>2005</w:t>
      </w:r>
      <w:r>
        <w:rPr>
          <w:rFonts w:hint="default" w:ascii="Times New Roman" w:hAnsi="Times New Roman" w:eastAsia="仿宋" w:cs="Times New Roman"/>
          <w:color w:val="auto"/>
          <w:kern w:val="0"/>
          <w:sz w:val="28"/>
        </w:rPr>
        <w:t>年。</w:t>
      </w:r>
      <w:r>
        <w:rPr>
          <w:rFonts w:hint="default" w:ascii="Times New Roman" w:hAnsi="Times New Roman" w:eastAsia="仿宋" w:cs="Times New Roman"/>
          <w:color w:val="auto"/>
          <w:sz w:val="28"/>
          <w:szCs w:val="28"/>
        </w:rPr>
        <w:t>估价对象外墙为涂料，楼道地面为水泥地面、墙面</w:t>
      </w:r>
      <w:r>
        <w:rPr>
          <w:rFonts w:hint="default" w:ascii="Times New Roman" w:hAnsi="Times New Roman" w:eastAsia="仿宋" w:cs="Times New Roman"/>
          <w:color w:val="auto"/>
          <w:sz w:val="28"/>
          <w:szCs w:val="28"/>
          <w:lang w:eastAsia="zh-CN"/>
        </w:rPr>
        <w:t>刷白，大门为防盗门，内门为木夹板门，客厅、卧室地面均铺设地砖，墙面乳胶漆刷白，天花板木吊角线吊顶并刷白，厨房、卫生间地面铺设地砖，墙面贴有瓷砖，塑料扣板吊顶，</w:t>
      </w:r>
      <w:r>
        <w:rPr>
          <w:rFonts w:hint="default" w:ascii="Times New Roman" w:hAnsi="Times New Roman" w:eastAsia="仿宋" w:cs="Times New Roman"/>
          <w:color w:val="auto"/>
          <w:sz w:val="28"/>
          <w:szCs w:val="28"/>
        </w:rPr>
        <w:t>所在单元具备供水、供电及卫生洁具设备，通电话、有线电视，排水通畅，设施设备能满足生活需要。</w:t>
      </w:r>
    </w:p>
    <w:p>
      <w:pPr>
        <w:tabs>
          <w:tab w:val="left" w:pos="630"/>
          <w:tab w:val="left" w:pos="840"/>
        </w:tabs>
        <w:spacing w:line="480" w:lineRule="exact"/>
        <w:ind w:firstLine="560" w:firstLineChars="200"/>
        <w:rPr>
          <w:rFonts w:hint="default" w:ascii="Times New Roman" w:hAnsi="Times New Roman" w:eastAsia="仿宋" w:cs="Times New Roman"/>
          <w:color w:val="auto"/>
          <w:kern w:val="0"/>
          <w:sz w:val="28"/>
        </w:rPr>
      </w:pPr>
      <w:r>
        <w:rPr>
          <w:rFonts w:hint="default" w:ascii="Times New Roman" w:hAnsi="Times New Roman" w:eastAsia="仿宋" w:cs="Times New Roman"/>
          <w:color w:val="auto"/>
          <w:kern w:val="0"/>
          <w:sz w:val="28"/>
        </w:rPr>
        <w:t>4、估价对象权属权益状况</w:t>
      </w:r>
    </w:p>
    <w:p>
      <w:pPr>
        <w:spacing w:line="480" w:lineRule="exact"/>
        <w:ind w:firstLine="560" w:firstLineChars="200"/>
        <w:rPr>
          <w:rFonts w:hint="default" w:ascii="Times New Roman" w:hAnsi="Times New Roman" w:eastAsia="仿宋" w:cs="Times New Roman"/>
          <w:color w:val="auto"/>
          <w:kern w:val="0"/>
          <w:sz w:val="28"/>
        </w:rPr>
      </w:pPr>
      <w:r>
        <w:rPr>
          <w:rFonts w:hint="default" w:ascii="Times New Roman" w:hAnsi="Times New Roman" w:eastAsia="仿宋" w:cs="Times New Roman"/>
          <w:color w:val="auto"/>
          <w:kern w:val="0"/>
          <w:sz w:val="28"/>
        </w:rPr>
        <w:t>估价对象位于</w:t>
      </w:r>
      <w:r>
        <w:rPr>
          <w:rFonts w:hint="default" w:ascii="Times New Roman" w:hAnsi="Times New Roman" w:eastAsia="仿宋" w:cs="Times New Roman"/>
          <w:color w:val="auto"/>
          <w:sz w:val="28"/>
        </w:rPr>
        <w:t>十堰市</w:t>
      </w:r>
      <w:r>
        <w:rPr>
          <w:rFonts w:hint="default" w:ascii="Times New Roman" w:hAnsi="Times New Roman" w:eastAsia="仿宋" w:cs="Times New Roman"/>
          <w:color w:val="auto"/>
          <w:sz w:val="28"/>
          <w:lang w:eastAsia="zh-CN"/>
        </w:rPr>
        <w:t>郧阳区城关镇东岭街东岭居委会七组锦绣龙苑1幢2单元202室</w:t>
      </w:r>
      <w:r>
        <w:rPr>
          <w:rFonts w:hint="default" w:ascii="Times New Roman" w:hAnsi="Times New Roman" w:eastAsia="仿宋" w:cs="Times New Roman"/>
          <w:color w:val="auto"/>
          <w:kern w:val="0"/>
          <w:sz w:val="28"/>
          <w:lang w:eastAsia="zh-CN"/>
        </w:rPr>
        <w:t>住宅</w:t>
      </w:r>
      <w:r>
        <w:rPr>
          <w:rFonts w:hint="default" w:ascii="Times New Roman" w:hAnsi="Times New Roman" w:eastAsia="仿宋" w:cs="Times New Roman"/>
          <w:color w:val="auto"/>
          <w:kern w:val="0"/>
          <w:sz w:val="28"/>
        </w:rPr>
        <w:t>房地产，房屋所有权登记为</w:t>
      </w:r>
      <w:r>
        <w:rPr>
          <w:rFonts w:hint="default" w:ascii="Times New Roman" w:hAnsi="Times New Roman" w:eastAsia="仿宋" w:cs="Times New Roman"/>
          <w:color w:val="auto"/>
          <w:kern w:val="0"/>
          <w:sz w:val="28"/>
          <w:lang w:eastAsia="zh-CN"/>
        </w:rPr>
        <w:t>孙强单独所有</w:t>
      </w:r>
      <w:r>
        <w:rPr>
          <w:rFonts w:hint="default" w:ascii="Times New Roman" w:hAnsi="Times New Roman" w:eastAsia="仿宋" w:cs="Times New Roman"/>
          <w:color w:val="auto"/>
          <w:kern w:val="0"/>
          <w:sz w:val="28"/>
        </w:rPr>
        <w:t>。依据委托方提供的资料，本次评估以估价对象为房屋产权人合法拥有，估价对象面积以</w:t>
      </w:r>
      <w:r>
        <w:rPr>
          <w:rFonts w:hint="default" w:ascii="Times New Roman" w:hAnsi="Times New Roman" w:eastAsia="仿宋" w:cs="Times New Roman"/>
          <w:color w:val="auto"/>
          <w:kern w:val="0"/>
          <w:sz w:val="28"/>
          <w:lang w:eastAsia="zh-CN"/>
        </w:rPr>
        <w:t>《房屋所有权证》</w:t>
      </w:r>
      <w:r>
        <w:rPr>
          <w:rFonts w:hint="default" w:ascii="Times New Roman" w:hAnsi="Times New Roman" w:eastAsia="仿宋" w:cs="Times New Roman"/>
          <w:color w:val="auto"/>
          <w:kern w:val="0"/>
          <w:sz w:val="28"/>
        </w:rPr>
        <w:t>为准等；</w:t>
      </w:r>
    </w:p>
    <w:p>
      <w:pPr>
        <w:spacing w:line="480" w:lineRule="exact"/>
        <w:ind w:firstLine="560" w:firstLineChars="200"/>
        <w:rPr>
          <w:rFonts w:hint="default" w:ascii="Times New Roman" w:hAnsi="Times New Roman" w:eastAsia="仿宋" w:cs="Times New Roman"/>
          <w:color w:val="auto"/>
          <w:kern w:val="0"/>
          <w:sz w:val="28"/>
        </w:rPr>
      </w:pPr>
      <w:r>
        <w:rPr>
          <w:rFonts w:hint="default" w:ascii="Times New Roman" w:hAnsi="Times New Roman" w:eastAsia="仿宋" w:cs="Times New Roman"/>
          <w:color w:val="auto"/>
          <w:kern w:val="0"/>
          <w:sz w:val="28"/>
          <w:lang w:eastAsia="zh-CN"/>
        </w:rPr>
        <w:t>至</w:t>
      </w:r>
      <w:r>
        <w:rPr>
          <w:rFonts w:hint="default" w:ascii="Times New Roman" w:hAnsi="Times New Roman" w:eastAsia="仿宋" w:cs="Times New Roman"/>
          <w:color w:val="auto"/>
          <w:kern w:val="0"/>
          <w:sz w:val="28"/>
        </w:rPr>
        <w:t>价值时点，根据委托方提供的</w:t>
      </w:r>
      <w:r>
        <w:rPr>
          <w:rFonts w:hint="default" w:ascii="Times New Roman" w:hAnsi="Times New Roman" w:eastAsia="仿宋" w:cs="Times New Roman"/>
          <w:color w:val="auto"/>
          <w:sz w:val="28"/>
          <w:lang w:eastAsia="zh-CN"/>
        </w:rPr>
        <w:t>《房屋登记簿》和《房屋他项权证》</w:t>
      </w:r>
      <w:r>
        <w:rPr>
          <w:rFonts w:hint="default" w:ascii="Times New Roman" w:hAnsi="Times New Roman" w:eastAsia="仿宋" w:cs="Times New Roman"/>
          <w:color w:val="auto"/>
          <w:kern w:val="0"/>
          <w:sz w:val="28"/>
        </w:rPr>
        <w:t>复印件，</w:t>
      </w:r>
      <w:r>
        <w:rPr>
          <w:rFonts w:hint="default" w:ascii="Times New Roman" w:hAnsi="Times New Roman" w:eastAsia="仿宋" w:cs="Times New Roman"/>
          <w:color w:val="auto"/>
          <w:kern w:val="0"/>
          <w:sz w:val="28"/>
          <w:lang w:eastAsia="zh-CN"/>
        </w:rPr>
        <w:t>知悉</w:t>
      </w:r>
      <w:r>
        <w:rPr>
          <w:rFonts w:hint="default" w:ascii="Times New Roman" w:hAnsi="Times New Roman" w:eastAsia="仿宋" w:cs="Times New Roman"/>
          <w:color w:val="auto"/>
          <w:kern w:val="0"/>
          <w:sz w:val="28"/>
        </w:rPr>
        <w:t>估价对象</w:t>
      </w:r>
      <w:r>
        <w:rPr>
          <w:rFonts w:hint="default" w:ascii="Times New Roman" w:hAnsi="Times New Roman" w:eastAsia="仿宋" w:cs="Times New Roman"/>
          <w:color w:val="auto"/>
          <w:kern w:val="0"/>
          <w:sz w:val="28"/>
          <w:lang w:eastAsia="zh-CN"/>
        </w:rPr>
        <w:t>已设定</w:t>
      </w:r>
      <w:r>
        <w:rPr>
          <w:rFonts w:hint="default" w:ascii="Times New Roman" w:hAnsi="Times New Roman" w:eastAsia="仿宋" w:cs="Times New Roman"/>
          <w:color w:val="auto"/>
          <w:kern w:val="0"/>
          <w:sz w:val="28"/>
        </w:rPr>
        <w:t>抵押权，存在查封情况。根据本次估价目的，本次评估未考虑在估价对象上设定抵押、担保、租赁等他项权利以及查封等对其房地产价值的影响。</w:t>
      </w:r>
    </w:p>
    <w:p>
      <w:pPr>
        <w:pStyle w:val="4"/>
        <w:spacing w:line="480" w:lineRule="exact"/>
        <w:ind w:firstLine="0"/>
        <w:outlineLvl w:val="2"/>
        <w:rPr>
          <w:rFonts w:hint="default" w:ascii="Times New Roman" w:hAnsi="Times New Roman" w:eastAsia="仿宋" w:cs="Times New Roman"/>
          <w:b/>
          <w:bCs/>
          <w:color w:val="auto"/>
        </w:rPr>
      </w:pPr>
      <w:bookmarkStart w:id="31" w:name="_Toc73954710"/>
      <w:r>
        <w:rPr>
          <w:rFonts w:hint="default" w:ascii="Times New Roman" w:hAnsi="Times New Roman" w:eastAsia="仿宋" w:cs="Times New Roman"/>
          <w:b/>
          <w:bCs/>
          <w:color w:val="auto"/>
        </w:rPr>
        <w:t>五、价值时点</w:t>
      </w:r>
      <w:bookmarkEnd w:id="30"/>
      <w:bookmarkEnd w:id="31"/>
    </w:p>
    <w:p>
      <w:pPr>
        <w:spacing w:line="480" w:lineRule="exact"/>
        <w:ind w:firstLine="560" w:firstLineChars="200"/>
        <w:rPr>
          <w:rFonts w:hint="default" w:ascii="Times New Roman" w:hAnsi="Times New Roman" w:eastAsia="仿宋" w:cs="Times New Roman"/>
          <w:color w:val="auto"/>
          <w:kern w:val="0"/>
          <w:sz w:val="28"/>
        </w:rPr>
      </w:pPr>
      <w:bookmarkStart w:id="32" w:name="_Toc391884255"/>
      <w:r>
        <w:rPr>
          <w:rFonts w:hint="default" w:ascii="Times New Roman" w:hAnsi="Times New Roman" w:eastAsia="仿宋" w:cs="Times New Roman"/>
          <w:color w:val="auto"/>
          <w:kern w:val="0"/>
          <w:sz w:val="28"/>
        </w:rPr>
        <w:t>本次以现场查勘之日作为价值时点，即本次估价价值时点确定为</w:t>
      </w:r>
      <w:r>
        <w:rPr>
          <w:rFonts w:hint="default" w:ascii="Times New Roman" w:hAnsi="Times New Roman" w:eastAsia="仿宋" w:cs="Times New Roman"/>
          <w:color w:val="auto"/>
          <w:kern w:val="0"/>
          <w:sz w:val="28"/>
          <w:lang w:eastAsia="zh-CN"/>
        </w:rPr>
        <w:t>2021年11月05日</w:t>
      </w:r>
      <w:r>
        <w:rPr>
          <w:rFonts w:hint="default" w:ascii="Times New Roman" w:hAnsi="Times New Roman" w:eastAsia="仿宋" w:cs="Times New Roman"/>
          <w:color w:val="auto"/>
          <w:kern w:val="0"/>
          <w:sz w:val="28"/>
        </w:rPr>
        <w:t>。</w:t>
      </w:r>
    </w:p>
    <w:p>
      <w:pPr>
        <w:pStyle w:val="4"/>
        <w:spacing w:line="480" w:lineRule="exact"/>
        <w:ind w:firstLine="0"/>
        <w:outlineLvl w:val="2"/>
        <w:rPr>
          <w:rFonts w:hint="default" w:ascii="Times New Roman" w:hAnsi="Times New Roman" w:eastAsia="仿宋" w:cs="Times New Roman"/>
          <w:b/>
          <w:color w:val="auto"/>
          <w:kern w:val="2"/>
        </w:rPr>
      </w:pPr>
      <w:bookmarkStart w:id="33" w:name="_Toc73954711"/>
      <w:r>
        <w:rPr>
          <w:rFonts w:hint="default" w:ascii="Times New Roman" w:hAnsi="Times New Roman" w:eastAsia="仿宋" w:cs="Times New Roman"/>
          <w:b/>
          <w:color w:val="auto"/>
          <w:kern w:val="2"/>
        </w:rPr>
        <w:t>六、价值类型</w:t>
      </w:r>
      <w:bookmarkEnd w:id="32"/>
      <w:bookmarkEnd w:id="33"/>
    </w:p>
    <w:p>
      <w:pPr>
        <w:spacing w:line="480" w:lineRule="exact"/>
        <w:ind w:firstLine="560" w:firstLineChars="200"/>
        <w:rPr>
          <w:rFonts w:hint="default" w:ascii="Times New Roman" w:hAnsi="Times New Roman" w:eastAsia="仿宋" w:cs="Times New Roman"/>
          <w:color w:val="auto"/>
          <w:sz w:val="28"/>
        </w:rPr>
      </w:pPr>
      <w:bookmarkStart w:id="34" w:name="_Toc391884256"/>
      <w:r>
        <w:rPr>
          <w:rFonts w:hint="default" w:ascii="Times New Roman" w:hAnsi="Times New Roman" w:eastAsia="仿宋" w:cs="Times New Roman"/>
          <w:color w:val="auto"/>
          <w:sz w:val="28"/>
        </w:rPr>
        <w:t>(一)价值标准：本次估价采用的价值标准为房地产市场价值，不考虑房地产拍卖（变卖）成交后的税费及税费的转移负担。</w:t>
      </w:r>
    </w:p>
    <w:p>
      <w:pPr>
        <w:spacing w:line="480" w:lineRule="exact"/>
        <w:ind w:firstLine="565" w:firstLineChars="202"/>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(二)价值内涵：本报告价值内涵为满足本估价报告“估价假设与限制条件”，遵循客观、独立、公开、合法原则，以估价对象在价值时点</w:t>
      </w:r>
      <w:r>
        <w:rPr>
          <w:rFonts w:hint="default" w:ascii="Times New Roman" w:hAnsi="Times New Roman" w:eastAsia="仿宋" w:cs="Times New Roman"/>
          <w:color w:val="auto"/>
          <w:sz w:val="28"/>
          <w:lang w:eastAsia="zh-CN"/>
        </w:rPr>
        <w:t>2021年11月05日</w:t>
      </w:r>
      <w:r>
        <w:rPr>
          <w:rFonts w:hint="default" w:ascii="Times New Roman" w:hAnsi="Times New Roman" w:eastAsia="仿宋" w:cs="Times New Roman"/>
          <w:color w:val="auto"/>
          <w:sz w:val="28"/>
        </w:rPr>
        <w:t>于规划条件下的房地产市场价值，该价值内涵还包括：</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1、本次估价财产范围为估价对象的房屋、占有相应土地使用权和必要的设备设施，以及按二手房交易市场通常应包含的装饰装修价值，不包括动产、构筑物以及债权债务、特许经营权等其他财产或权益。</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2、本次估价未考虑抵押、担保、租赁、典权、地役权、查封等他项权利限制、未来市场价值变化风险、特殊交易方式、不可抗力、短期强制处分等因素影响。</w:t>
      </w:r>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3、币种：人民币。</w:t>
      </w:r>
    </w:p>
    <w:p>
      <w:pPr>
        <w:pStyle w:val="4"/>
        <w:spacing w:line="480" w:lineRule="exact"/>
        <w:ind w:firstLine="0"/>
        <w:outlineLvl w:val="2"/>
        <w:rPr>
          <w:rFonts w:hint="default" w:ascii="Times New Roman" w:hAnsi="Times New Roman" w:eastAsia="仿宋" w:cs="Times New Roman"/>
          <w:b/>
          <w:color w:val="auto"/>
          <w:kern w:val="2"/>
        </w:rPr>
      </w:pPr>
      <w:bookmarkStart w:id="35" w:name="_Toc73954712"/>
      <w:r>
        <w:rPr>
          <w:rFonts w:hint="default" w:ascii="Times New Roman" w:hAnsi="Times New Roman" w:eastAsia="仿宋" w:cs="Times New Roman"/>
          <w:b/>
          <w:color w:val="auto"/>
          <w:kern w:val="2"/>
        </w:rPr>
        <w:t>七、估价原则</w:t>
      </w:r>
      <w:bookmarkEnd w:id="35"/>
    </w:p>
    <w:p>
      <w:pPr>
        <w:pStyle w:val="14"/>
        <w:spacing w:line="480" w:lineRule="exact"/>
        <w:ind w:firstLine="560" w:firstLineChars="200"/>
        <w:rPr>
          <w:rFonts w:hint="default" w:ascii="Times New Roman" w:hAnsi="Times New Roman" w:eastAsia="仿宋" w:cs="Times New Roman"/>
          <w:color w:val="auto"/>
          <w:kern w:val="0"/>
          <w:sz w:val="28"/>
        </w:rPr>
      </w:pPr>
      <w:r>
        <w:rPr>
          <w:rFonts w:hint="default" w:ascii="Times New Roman" w:hAnsi="Times New Roman" w:eastAsia="仿宋" w:cs="Times New Roman"/>
          <w:color w:val="auto"/>
          <w:sz w:val="28"/>
        </w:rPr>
        <w:t>本评估报告在遵循独立、客观、公正原则的前提下，独立、客观、公正原则要求注册房地产估价师站在中立的立场上评估出对各方当事人来说均是公平合理的价值。“独立”就是要求注册房地产估价师和房地产估价机构与估价委托人及估价利害关系人没有利害关系，在估价中不受包括估价委托人在内的任何单位和个人的影响，应凭自己的专业知识、实践经验和职业道德进行估价；</w:t>
      </w:r>
      <w:r>
        <w:rPr>
          <w:rFonts w:hint="default" w:ascii="Times New Roman" w:hAnsi="Times New Roman" w:eastAsia="仿宋" w:cs="Times New Roman"/>
          <w:color w:val="auto"/>
          <w:sz w:val="28"/>
          <w:lang w:eastAsia="zh-CN"/>
        </w:rPr>
        <w:t>“</w:t>
      </w:r>
      <w:r>
        <w:rPr>
          <w:rFonts w:hint="default" w:ascii="Times New Roman" w:hAnsi="Times New Roman" w:eastAsia="仿宋" w:cs="Times New Roman"/>
          <w:color w:val="auto"/>
          <w:sz w:val="28"/>
        </w:rPr>
        <w:t>客观</w:t>
      </w:r>
      <w:r>
        <w:rPr>
          <w:rFonts w:hint="default" w:ascii="Times New Roman" w:hAnsi="Times New Roman" w:eastAsia="仿宋" w:cs="Times New Roman"/>
          <w:color w:val="auto"/>
          <w:sz w:val="28"/>
          <w:lang w:eastAsia="zh-CN"/>
        </w:rPr>
        <w:t>”</w:t>
      </w:r>
      <w:r>
        <w:rPr>
          <w:rFonts w:hint="default" w:ascii="Times New Roman" w:hAnsi="Times New Roman" w:eastAsia="仿宋" w:cs="Times New Roman"/>
          <w:color w:val="auto"/>
          <w:sz w:val="28"/>
        </w:rPr>
        <w:t>就是要求注册房地产估价师和房地产估价机构在估价中不带着自己的情感、好恶和偏见，应按照事物的本来面目、实事求是地进行估价；</w:t>
      </w:r>
      <w:r>
        <w:rPr>
          <w:rFonts w:hint="default" w:ascii="Times New Roman" w:hAnsi="Times New Roman" w:eastAsia="仿宋" w:cs="Times New Roman"/>
          <w:color w:val="auto"/>
          <w:sz w:val="28"/>
          <w:lang w:eastAsia="zh-CN"/>
        </w:rPr>
        <w:t>“</w:t>
      </w:r>
      <w:r>
        <w:rPr>
          <w:rFonts w:hint="default" w:ascii="Times New Roman" w:hAnsi="Times New Roman" w:eastAsia="仿宋" w:cs="Times New Roman"/>
          <w:color w:val="auto"/>
          <w:sz w:val="28"/>
        </w:rPr>
        <w:t>公正</w:t>
      </w:r>
      <w:r>
        <w:rPr>
          <w:rFonts w:hint="default" w:ascii="Times New Roman" w:hAnsi="Times New Roman" w:eastAsia="仿宋" w:cs="Times New Roman"/>
          <w:color w:val="auto"/>
          <w:sz w:val="28"/>
          <w:lang w:eastAsia="zh-CN"/>
        </w:rPr>
        <w:t>”</w:t>
      </w:r>
      <w:r>
        <w:rPr>
          <w:rFonts w:hint="default" w:ascii="Times New Roman" w:hAnsi="Times New Roman" w:eastAsia="仿宋" w:cs="Times New Roman"/>
          <w:color w:val="auto"/>
          <w:sz w:val="28"/>
        </w:rPr>
        <w:t>就是要求注册房地产估价师和房地产估价机构在估价中不偏袒估价利害关系人中的任何一方，应坚持原则、公平正直的估价。本次估价注册房地产估价师和房地产估价机构与估价委托人及估价利害关系人没有利害关系，估价中没有受到任何单位任何人的影响，没有带着自己的情感、好恶和偏见，没有偏袒，实事求是，客观公正。具</w:t>
      </w:r>
      <w:r>
        <w:rPr>
          <w:rFonts w:hint="default" w:ascii="Times New Roman" w:hAnsi="Times New Roman" w:eastAsia="仿宋" w:cs="Times New Roman"/>
          <w:color w:val="auto"/>
          <w:kern w:val="0"/>
          <w:sz w:val="28"/>
        </w:rPr>
        <w:t>体依据如下原则：</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1、合法原则：遵循合法原则，应以估价对象具有合法产权、合法使用、合法交易、合法处分为前提估价；</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2、最高最佳利用原则：遵循最高最佳利用原则，应以估价对象的最高最佳使用为前提估价；</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3、替代原则：遵循替代原则，要求估价结果不得明显偏离类似房地产在同等条件下的正常价格；</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4、价值时点原则：遵循价值时点原则，要求估价结果应是价值时点的客观合理价格或价值。</w:t>
      </w:r>
    </w:p>
    <w:p>
      <w:pPr>
        <w:pStyle w:val="4"/>
        <w:spacing w:line="480" w:lineRule="exact"/>
        <w:ind w:firstLine="0"/>
        <w:outlineLvl w:val="2"/>
        <w:rPr>
          <w:rFonts w:hint="default" w:ascii="Times New Roman" w:hAnsi="Times New Roman" w:eastAsia="仿宋" w:cs="Times New Roman"/>
          <w:b/>
          <w:bCs/>
          <w:color w:val="auto"/>
        </w:rPr>
      </w:pPr>
      <w:bookmarkStart w:id="36" w:name="_Toc73954713"/>
      <w:r>
        <w:rPr>
          <w:rFonts w:hint="default" w:ascii="Times New Roman" w:hAnsi="Times New Roman" w:eastAsia="仿宋" w:cs="Times New Roman"/>
          <w:b/>
          <w:bCs/>
          <w:color w:val="auto"/>
        </w:rPr>
        <w:t>八、估价依据</w:t>
      </w:r>
      <w:bookmarkEnd w:id="34"/>
      <w:bookmarkEnd w:id="36"/>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(一)本次估价所依据的有关法律、法规和部门规章</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1.《中华人民共和国民法典》（十三届全国人大三次会议表决通过了《中华人民共和国民法典》，2020年5月28日中华人民共和国主席令第45号，自2021年1月1日起施行）；</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2.《中华人民共和国城市房地产管理法》（2019年8月26日中华人民共和国主席令第32号，2020年1月1日起施行）；</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3.《中华人民共和国土地管理法》（2019年8月26日中华人民共和国主席令第32号，2020年1月1日起施行）；</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4.《中华人民共和国城乡规划法》（2019年4月23日中华人民共和国主席令第29号，2019年4月23日起施行）；</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5.《中华人民共和国拍卖法》（第八届全国人民代表大会常务委员会第二十次会议审议于1996年7月5日审议通过，自1997年1月1日起施行。2015年4月24日第十二届全国人民代表大会常务委员会第十四次会议修正）；</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6.《中华人民共和国资产评估法》(2016年7月2日中华人民共和国主席令第46号，2016年12月1日起实施)；</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7.《中华人民共和国土地管理法实施条例》（2021年7月2日国务院令第743号，2021年9月1日起施行）；</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8.《中华人民共和国契税法》（2020年8月11日中华人民共和国主席令第52号，自2021年9月1日起施行）；</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9.《人民法院司法鉴定工作暂行规定》(法发〔2001〕23号）；</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10.《最高人民法院关于人民法院民事执行中拍卖、变卖财产的规定》（法释〔2004〕16号）；</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11.《最高人民法院关于人民法院委托评估、拍卖工作的若干规定》（法释〔2011〕21号） ；</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12. 《最高人民法院关于人民法院确定财产处置参考价若干问题的规定》（法释〔2018〕15号）。。</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(二)地方有关部门颁布的法规及相关文件</w:t>
      </w:r>
    </w:p>
    <w:p>
      <w:pPr>
        <w:spacing w:line="480" w:lineRule="exact"/>
        <w:ind w:firstLine="560" w:firstLineChars="200"/>
        <w:rPr>
          <w:rFonts w:hint="default" w:ascii="Times New Roman" w:hAnsi="Times New Roman" w:eastAsia="仿宋" w:cs="Times New Roman"/>
          <w:bCs/>
          <w:color w:val="auto"/>
          <w:sz w:val="28"/>
        </w:rPr>
      </w:pPr>
      <w:r>
        <w:rPr>
          <w:rFonts w:hint="default" w:ascii="Times New Roman" w:hAnsi="Times New Roman" w:eastAsia="仿宋" w:cs="Times New Roman"/>
          <w:bCs/>
          <w:color w:val="auto"/>
          <w:sz w:val="28"/>
        </w:rPr>
        <w:t>1、《湖北省实施(中华人民共和国价格法)办法》；</w:t>
      </w:r>
    </w:p>
    <w:p>
      <w:pPr>
        <w:spacing w:line="480" w:lineRule="exact"/>
        <w:ind w:firstLine="560" w:firstLineChars="200"/>
        <w:rPr>
          <w:rFonts w:hint="default" w:ascii="Times New Roman" w:hAnsi="Times New Roman" w:eastAsia="仿宋" w:cs="Times New Roman"/>
          <w:bCs/>
          <w:color w:val="auto"/>
          <w:sz w:val="28"/>
        </w:rPr>
      </w:pPr>
      <w:r>
        <w:rPr>
          <w:rFonts w:hint="default" w:ascii="Times New Roman" w:hAnsi="Times New Roman" w:eastAsia="仿宋" w:cs="Times New Roman"/>
          <w:bCs/>
          <w:color w:val="auto"/>
          <w:sz w:val="28"/>
        </w:rPr>
        <w:t>2、《湖北省涉案物品价格评估管理办法》；</w:t>
      </w:r>
    </w:p>
    <w:p>
      <w:pPr>
        <w:spacing w:line="480" w:lineRule="exact"/>
        <w:ind w:firstLine="560" w:firstLineChars="200"/>
        <w:rPr>
          <w:rFonts w:hint="default" w:ascii="Times New Roman" w:hAnsi="Times New Roman" w:eastAsia="仿宋" w:cs="Times New Roman"/>
          <w:bCs/>
          <w:color w:val="auto"/>
          <w:sz w:val="28"/>
        </w:rPr>
      </w:pPr>
      <w:r>
        <w:rPr>
          <w:rFonts w:hint="default" w:ascii="Times New Roman" w:hAnsi="Times New Roman" w:eastAsia="仿宋" w:cs="Times New Roman"/>
          <w:bCs/>
          <w:color w:val="auto"/>
          <w:sz w:val="28"/>
        </w:rPr>
        <w:t>3、《湖北省涉案财物价格鉴定操作规程》；</w:t>
      </w:r>
    </w:p>
    <w:p>
      <w:pPr>
        <w:spacing w:line="480" w:lineRule="exact"/>
        <w:ind w:firstLine="560" w:firstLineChars="200"/>
        <w:rPr>
          <w:rFonts w:hint="default" w:ascii="Times New Roman" w:hAnsi="Times New Roman" w:eastAsia="仿宋" w:cs="Times New Roman"/>
          <w:bCs/>
          <w:color w:val="auto"/>
          <w:sz w:val="28"/>
        </w:rPr>
      </w:pPr>
      <w:r>
        <w:rPr>
          <w:rFonts w:hint="default" w:ascii="Times New Roman" w:hAnsi="Times New Roman" w:eastAsia="仿宋" w:cs="Times New Roman"/>
          <w:bCs/>
          <w:color w:val="auto"/>
          <w:sz w:val="28"/>
        </w:rPr>
        <w:t>4、《湖北省物价局、财政厅关于降低部分住房建设行政事业性收费标准的通知》(鄂价房服[2002]47号)；</w:t>
      </w:r>
    </w:p>
    <w:p>
      <w:pPr>
        <w:spacing w:line="500" w:lineRule="exact"/>
        <w:ind w:firstLine="560" w:firstLineChars="200"/>
        <w:rPr>
          <w:rFonts w:hint="default" w:ascii="Times New Roman" w:hAnsi="Times New Roman" w:eastAsia="仿宋" w:cs="Times New Roman"/>
          <w:bCs/>
          <w:color w:val="auto"/>
        </w:rPr>
      </w:pPr>
      <w:r>
        <w:rPr>
          <w:rFonts w:hint="default" w:ascii="Times New Roman" w:hAnsi="Times New Roman" w:eastAsia="仿宋" w:cs="Times New Roman"/>
          <w:bCs/>
          <w:color w:val="auto"/>
          <w:sz w:val="28"/>
        </w:rPr>
        <w:t>5</w:t>
      </w:r>
      <w:r>
        <w:rPr>
          <w:rFonts w:hint="default" w:ascii="Times New Roman" w:hAnsi="Times New Roman" w:eastAsia="仿宋" w:cs="Times New Roman"/>
          <w:bCs/>
          <w:color w:val="auto"/>
          <w:sz w:val="28"/>
          <w:szCs w:val="28"/>
        </w:rPr>
        <w:t>、</w:t>
      </w:r>
      <w:r>
        <w:rPr>
          <w:rFonts w:hint="default" w:ascii="Times New Roman" w:hAnsi="Times New Roman" w:eastAsia="仿宋" w:cs="Times New Roman"/>
          <w:color w:val="auto"/>
          <w:sz w:val="28"/>
          <w:szCs w:val="28"/>
        </w:rPr>
        <w:t>其他相关法律法规。</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(三)本次估价依据的技术标准</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1、《房地产估价规范》（GB/T50291-2015）；</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2、《房地产估价基本术语标准》（GB/T50899-2013）。</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(四)委托方提供的有关资料</w:t>
      </w:r>
    </w:p>
    <w:p>
      <w:pPr>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1、鉴定委托书[编号：</w:t>
      </w:r>
      <w:r>
        <w:rPr>
          <w:rFonts w:hint="default" w:ascii="Times New Roman" w:hAnsi="Times New Roman" w:eastAsia="仿宋" w:cs="Times New Roman"/>
          <w:color w:val="auto"/>
          <w:sz w:val="28"/>
          <w:szCs w:val="28"/>
          <w:lang w:eastAsia="zh-CN"/>
        </w:rPr>
        <w:t>郧法鉴委（2021）第113号</w:t>
      </w:r>
      <w:r>
        <w:rPr>
          <w:rFonts w:hint="default" w:ascii="Times New Roman" w:hAnsi="Times New Roman" w:eastAsia="仿宋" w:cs="Times New Roman"/>
          <w:color w:val="auto"/>
          <w:sz w:val="28"/>
          <w:szCs w:val="28"/>
        </w:rPr>
        <w:t>]；</w:t>
      </w:r>
    </w:p>
    <w:p>
      <w:pPr>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w:t>
      </w:r>
      <w:r>
        <w:rPr>
          <w:rFonts w:hint="default" w:ascii="Times New Roman" w:hAnsi="Times New Roman" w:eastAsia="仿宋" w:cs="Times New Roman"/>
          <w:color w:val="auto"/>
          <w:sz w:val="28"/>
          <w:szCs w:val="28"/>
          <w:lang w:eastAsia="zh-CN"/>
        </w:rPr>
        <w:t>《十堰市郧阳区人民法院执行裁定书》（2020）鄂0304执573号</w:t>
      </w:r>
      <w:r>
        <w:rPr>
          <w:rFonts w:hint="default" w:ascii="Times New Roman" w:hAnsi="Times New Roman" w:eastAsia="仿宋" w:cs="Times New Roman"/>
          <w:color w:val="auto"/>
          <w:sz w:val="28"/>
          <w:szCs w:val="28"/>
        </w:rPr>
        <w:t>复印件；</w:t>
      </w:r>
    </w:p>
    <w:p>
      <w:pPr>
        <w:spacing w:line="480" w:lineRule="exact"/>
        <w:ind w:firstLine="560" w:firstLineChars="200"/>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3、</w:t>
      </w:r>
      <w:r>
        <w:rPr>
          <w:rFonts w:hint="default" w:ascii="Times New Roman" w:hAnsi="Times New Roman" w:eastAsia="仿宋" w:cs="Times New Roman"/>
          <w:color w:val="auto"/>
          <w:sz w:val="28"/>
          <w:szCs w:val="28"/>
          <w:lang w:eastAsia="zh-CN"/>
        </w:rPr>
        <w:t>《房屋所有权证》</w:t>
      </w:r>
      <w:r>
        <w:rPr>
          <w:rFonts w:hint="default" w:ascii="Times New Roman" w:hAnsi="Times New Roman" w:eastAsia="仿宋" w:cs="Times New Roman"/>
          <w:color w:val="auto"/>
          <w:sz w:val="28"/>
          <w:szCs w:val="28"/>
        </w:rPr>
        <w:t>复印件</w:t>
      </w:r>
      <w:r>
        <w:rPr>
          <w:rFonts w:hint="default" w:ascii="Times New Roman" w:hAnsi="Times New Roman" w:eastAsia="仿宋" w:cs="Times New Roman"/>
          <w:color w:val="auto"/>
          <w:sz w:val="28"/>
          <w:szCs w:val="28"/>
          <w:lang w:eastAsia="zh-CN"/>
        </w:rPr>
        <w:t>；</w:t>
      </w:r>
    </w:p>
    <w:p>
      <w:pPr>
        <w:spacing w:line="480" w:lineRule="exact"/>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4、《土地所有权证》复印件；</w:t>
      </w:r>
    </w:p>
    <w:p>
      <w:pPr>
        <w:spacing w:line="480" w:lineRule="exact"/>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5、《房屋登记簿》复印件；</w:t>
      </w:r>
    </w:p>
    <w:p>
      <w:pPr>
        <w:spacing w:line="480" w:lineRule="exact"/>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6、《房屋他项权证》复印件等。</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 xml:space="preserve"> (五)房地产估价机构掌握的有关资料；</w:t>
      </w:r>
    </w:p>
    <w:p>
      <w:pPr>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1、现场查勘资料；</w:t>
      </w:r>
    </w:p>
    <w:p>
      <w:pPr>
        <w:pStyle w:val="4"/>
        <w:spacing w:line="480" w:lineRule="exact"/>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szCs w:val="28"/>
        </w:rPr>
        <w:t>2、</w:t>
      </w:r>
      <w:r>
        <w:rPr>
          <w:rFonts w:hint="default" w:ascii="Times New Roman" w:hAnsi="Times New Roman" w:eastAsia="仿宋" w:cs="Times New Roman"/>
          <w:color w:val="auto"/>
        </w:rPr>
        <w:t>实地拍摄的有关估价对象现状的照片；</w:t>
      </w:r>
    </w:p>
    <w:p>
      <w:pPr>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3、市场调查资料；</w:t>
      </w:r>
    </w:p>
    <w:p>
      <w:pPr>
        <w:spacing w:line="480" w:lineRule="exact"/>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4、估价师收集的其他资料。</w:t>
      </w:r>
    </w:p>
    <w:p>
      <w:pPr>
        <w:pStyle w:val="14"/>
        <w:keepNext w:val="0"/>
        <w:keepLines w:val="0"/>
        <w:pageBreakBefore w:val="0"/>
        <w:widowControl w:val="0"/>
        <w:kinsoku/>
        <w:wordWrap/>
        <w:overflowPunct/>
        <w:topLinePunct w:val="0"/>
        <w:autoSpaceDE/>
        <w:autoSpaceDN/>
        <w:bidi w:val="0"/>
        <w:adjustRightInd/>
        <w:snapToGrid/>
        <w:spacing w:line="360" w:lineRule="exact"/>
        <w:textAlignment w:val="auto"/>
        <w:outlineLvl w:val="2"/>
        <w:rPr>
          <w:rFonts w:hint="default" w:ascii="Times New Roman" w:hAnsi="Times New Roman" w:eastAsia="仿宋" w:cs="Times New Roman"/>
          <w:b/>
          <w:bCs/>
          <w:color w:val="auto"/>
          <w:sz w:val="28"/>
        </w:rPr>
      </w:pPr>
      <w:bookmarkStart w:id="37" w:name="_Toc73954714"/>
      <w:bookmarkStart w:id="38" w:name="_Toc391884258"/>
      <w:r>
        <w:rPr>
          <w:rFonts w:hint="default" w:ascii="Times New Roman" w:hAnsi="Times New Roman" w:eastAsia="仿宋" w:cs="Times New Roman"/>
          <w:b/>
          <w:bCs/>
          <w:color w:val="auto"/>
          <w:sz w:val="28"/>
        </w:rPr>
        <w:t>九、估价方法</w:t>
      </w:r>
      <w:bookmarkEnd w:id="37"/>
      <w:bookmarkEnd w:id="38"/>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房地产估价方法主要有比较法、收益法、成本法、假设开发法等。不同的估价方法从不同的角度反映了所估房地产在一定权利状态及一定时间点的价格水平，只是各种方法的适用条件、方法特点、资料要求有所不同，需根据委估房地产的估价目的、实际情况等选择合适的估价方法。</w:t>
      </w:r>
      <w:bookmarkStart w:id="39" w:name="_Toc391884259"/>
      <w:r>
        <w:rPr>
          <w:rFonts w:hint="default" w:ascii="Times New Roman" w:hAnsi="Times New Roman" w:eastAsia="仿宋" w:cs="Times New Roman"/>
          <w:color w:val="auto"/>
          <w:sz w:val="28"/>
        </w:rPr>
        <w:t>注册房地产估价师对估价对象的文件资料进行了必要的审核及分析，并进行了认真的实地查勘和调查了解，最终选择采用比较法测算估价对象在价值时点下房地产的市场价值。分析如下：</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比较法适用于同类房地产数量较多、经常发生交易且具有一定可比性的房地产；收益法适用于有租金等收益或潜在收益的房地产；当估价对象可假定为独立开发建设项目进行重新开发建设的，宜选用成本法，或估价对象的同类房地产没有交易或交易很少，且估价对象或其同类房地产没有租金等经济收入时，应选用成本法；假设开发法适用于具有开发或再开发潜力且开发完成后的价值易于确定的房地产。</w:t>
      </w:r>
    </w:p>
    <w:p>
      <w:pPr>
        <w:pStyle w:val="14"/>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估价对象的住宅用房，在估价对象同一供求范围内，与其类似的住宅房地产出租案列较少，较难收集交易案例，不宜采用收益法进行测算，与其相类似的住宅房地产交易案例较多，根据替代原则可选用比较法进行评估；</w:t>
      </w:r>
    </w:p>
    <w:p>
      <w:pPr>
        <w:pStyle w:val="14"/>
        <w:spacing w:line="480" w:lineRule="exact"/>
        <w:ind w:firstLine="560" w:firstLineChars="200"/>
        <w:rPr>
          <w:rFonts w:hint="default" w:ascii="Times New Roman" w:hAnsi="Times New Roman" w:eastAsia="仿宋" w:cs="Times New Roman"/>
          <w:b/>
          <w:bCs/>
          <w:color w:val="auto"/>
          <w:sz w:val="28"/>
          <w:szCs w:val="28"/>
        </w:rPr>
      </w:pPr>
      <w:r>
        <w:rPr>
          <w:rFonts w:hint="default" w:ascii="Times New Roman" w:hAnsi="Times New Roman" w:eastAsia="仿宋" w:cs="Times New Roman"/>
          <w:color w:val="auto"/>
          <w:sz w:val="28"/>
        </w:rPr>
        <w:t>比较法定义：将估价对象与在价值时点近期有过交易的类似房地产进行比较，对这些类似房地产的已知价格作适当的修正，以此估算估价对象的客观合理价格或价值的方法。</w:t>
      </w:r>
    </w:p>
    <w:p>
      <w:pPr>
        <w:pStyle w:val="14"/>
        <w:spacing w:line="480" w:lineRule="exact"/>
        <w:outlineLvl w:val="1"/>
        <w:rPr>
          <w:rFonts w:hint="default" w:ascii="Times New Roman" w:hAnsi="Times New Roman" w:eastAsia="仿宋" w:cs="Times New Roman"/>
          <w:b/>
          <w:bCs/>
          <w:color w:val="auto"/>
          <w:sz w:val="28"/>
          <w:szCs w:val="28"/>
        </w:rPr>
      </w:pPr>
      <w:bookmarkStart w:id="40" w:name="_Toc73954715"/>
      <w:r>
        <w:rPr>
          <w:rFonts w:hint="default" w:ascii="Times New Roman" w:hAnsi="Times New Roman" w:eastAsia="仿宋" w:cs="Times New Roman"/>
          <w:b/>
          <w:bCs/>
          <w:color w:val="auto"/>
          <w:sz w:val="28"/>
          <w:szCs w:val="28"/>
        </w:rPr>
        <w:t>十、估价结果</w:t>
      </w:r>
      <w:bookmarkEnd w:id="39"/>
      <w:bookmarkEnd w:id="40"/>
    </w:p>
    <w:p>
      <w:pPr>
        <w:spacing w:line="480" w:lineRule="exact"/>
        <w:ind w:firstLine="560" w:firstLineChars="200"/>
        <w:rPr>
          <w:rFonts w:hint="default" w:ascii="Times New Roman" w:hAnsi="Times New Roman" w:eastAsia="仿宋" w:cs="Times New Roman"/>
          <w:b/>
          <w:color w:val="auto"/>
          <w:sz w:val="28"/>
        </w:rPr>
      </w:pPr>
      <w:r>
        <w:rPr>
          <w:rFonts w:hint="default" w:ascii="Times New Roman" w:hAnsi="Times New Roman" w:eastAsia="仿宋" w:cs="Times New Roman"/>
          <w:color w:val="auto"/>
          <w:sz w:val="28"/>
        </w:rPr>
        <w:t>估价人员在认真分析估价委托人提供的资料，以及注册房地产估价师现场查勘和市场调查取得资料的基础上，对影响估价对象房地产价值的因素进行了综合分析，</w:t>
      </w:r>
      <w:r>
        <w:rPr>
          <w:rFonts w:hint="default" w:ascii="Times New Roman" w:hAnsi="Times New Roman" w:eastAsia="仿宋" w:cs="Times New Roman"/>
          <w:color w:val="auto"/>
          <w:sz w:val="28"/>
          <w:szCs w:val="22"/>
        </w:rPr>
        <w:t>采用比较法测算，</w:t>
      </w:r>
      <w:r>
        <w:rPr>
          <w:rFonts w:hint="default" w:ascii="Times New Roman" w:hAnsi="Times New Roman" w:eastAsia="仿宋" w:cs="Times New Roman"/>
          <w:color w:val="auto"/>
          <w:sz w:val="28"/>
        </w:rPr>
        <w:t>确定估价对象在价值时点</w:t>
      </w:r>
      <w:bookmarkStart w:id="41" w:name="_Toc31586"/>
      <w:r>
        <w:rPr>
          <w:rFonts w:hint="default" w:ascii="Times New Roman" w:hAnsi="Times New Roman" w:eastAsia="仿宋" w:cs="Times New Roman"/>
          <w:color w:val="auto"/>
          <w:sz w:val="28"/>
          <w:lang w:eastAsia="zh-CN"/>
        </w:rPr>
        <w:t>2021年11月05日</w:t>
      </w:r>
      <w:r>
        <w:rPr>
          <w:rFonts w:hint="default" w:ascii="Times New Roman" w:hAnsi="Times New Roman" w:eastAsia="仿宋" w:cs="Times New Roman"/>
          <w:color w:val="auto"/>
          <w:sz w:val="28"/>
        </w:rPr>
        <w:t>的市场价值为房地产总价</w:t>
      </w:r>
      <w:r>
        <w:rPr>
          <w:rFonts w:hint="default" w:ascii="Times New Roman" w:hAnsi="Times New Roman" w:eastAsia="仿宋" w:cs="Times New Roman"/>
          <w:color w:val="auto"/>
          <w:sz w:val="28"/>
          <w:lang w:eastAsia="zh-CN"/>
        </w:rPr>
        <w:t>34.10</w:t>
      </w:r>
      <w:r>
        <w:rPr>
          <w:rFonts w:hint="default" w:ascii="Times New Roman" w:hAnsi="Times New Roman" w:eastAsia="仿宋" w:cs="Times New Roman"/>
          <w:color w:val="auto"/>
          <w:sz w:val="28"/>
        </w:rPr>
        <w:t>万元，大写人民币</w:t>
      </w:r>
      <w:r>
        <w:rPr>
          <w:rFonts w:hint="default" w:ascii="Times New Roman" w:hAnsi="Times New Roman" w:eastAsia="仿宋" w:cs="Times New Roman"/>
          <w:b/>
          <w:color w:val="auto"/>
          <w:sz w:val="28"/>
          <w:lang w:eastAsia="zh-CN"/>
        </w:rPr>
        <w:t>叁拾肆万壹仟元整</w:t>
      </w:r>
      <w:r>
        <w:rPr>
          <w:rFonts w:hint="default" w:ascii="Times New Roman" w:hAnsi="Times New Roman" w:eastAsia="仿宋" w:cs="Times New Roman"/>
          <w:color w:val="auto"/>
          <w:sz w:val="28"/>
        </w:rPr>
        <w:t>，房地产单价为</w:t>
      </w:r>
      <w:r>
        <w:rPr>
          <w:rFonts w:hint="default" w:ascii="Times New Roman" w:hAnsi="Times New Roman" w:eastAsia="仿宋" w:cs="Times New Roman"/>
          <w:color w:val="auto"/>
          <w:sz w:val="28"/>
          <w:lang w:eastAsia="zh-CN"/>
        </w:rPr>
        <w:t>2672</w:t>
      </w:r>
      <w:r>
        <w:rPr>
          <w:rFonts w:hint="default" w:ascii="Times New Roman" w:hAnsi="Times New Roman" w:eastAsia="仿宋" w:cs="Times New Roman"/>
          <w:color w:val="auto"/>
          <w:sz w:val="28"/>
        </w:rPr>
        <w:t>元/㎡。</w:t>
      </w:r>
    </w:p>
    <w:p>
      <w:pPr>
        <w:pStyle w:val="4"/>
        <w:spacing w:line="480" w:lineRule="exact"/>
        <w:ind w:firstLine="0"/>
        <w:outlineLvl w:val="2"/>
        <w:rPr>
          <w:rFonts w:hint="default" w:ascii="Times New Roman" w:hAnsi="Times New Roman" w:eastAsia="仿宋" w:cs="Times New Roman"/>
          <w:b/>
          <w:bCs/>
          <w:color w:val="auto"/>
        </w:rPr>
      </w:pPr>
      <w:bookmarkStart w:id="42" w:name="_Toc73954716"/>
      <w:r>
        <w:rPr>
          <w:rFonts w:hint="default" w:ascii="Times New Roman" w:hAnsi="Times New Roman" w:eastAsia="仿宋" w:cs="Times New Roman"/>
          <w:b/>
          <w:bCs/>
          <w:color w:val="auto"/>
        </w:rPr>
        <w:t>十一、注册房地产估价师</w:t>
      </w:r>
      <w:bookmarkEnd w:id="41"/>
      <w:bookmarkEnd w:id="42"/>
    </w:p>
    <w:p>
      <w:pPr>
        <w:spacing w:line="480" w:lineRule="exact"/>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参加本次估价的注册房地产估价师见下表：</w:t>
      </w:r>
    </w:p>
    <w:tbl>
      <w:tblPr>
        <w:tblStyle w:val="31"/>
        <w:tblW w:w="8601"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64"/>
        <w:gridCol w:w="2408"/>
        <w:gridCol w:w="2126"/>
        <w:gridCol w:w="250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564"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bookmarkStart w:id="43" w:name="_Toc391884262"/>
            <w:r>
              <w:rPr>
                <w:rFonts w:hint="default" w:ascii="Times New Roman" w:hAnsi="Times New Roman" w:eastAsia="仿宋" w:cs="Times New Roman"/>
                <w:color w:val="auto"/>
                <w:kern w:val="24"/>
                <w:szCs w:val="24"/>
              </w:rPr>
              <w:t>姓名</w:t>
            </w:r>
          </w:p>
        </w:tc>
        <w:tc>
          <w:tcPr>
            <w:tcW w:w="2408"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24"/>
                <w:szCs w:val="24"/>
              </w:rPr>
              <w:t>注册号</w:t>
            </w:r>
          </w:p>
        </w:tc>
        <w:tc>
          <w:tcPr>
            <w:tcW w:w="2126"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24"/>
                <w:szCs w:val="24"/>
              </w:rPr>
              <w:t>签名</w:t>
            </w:r>
          </w:p>
        </w:tc>
        <w:tc>
          <w:tcPr>
            <w:tcW w:w="2503"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24"/>
                <w:szCs w:val="24"/>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1564"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耿  泽</w:t>
            </w:r>
          </w:p>
        </w:tc>
        <w:tc>
          <w:tcPr>
            <w:tcW w:w="2408"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0"/>
                <w:sz w:val="28"/>
                <w:szCs w:val="28"/>
              </w:rPr>
              <w:t>4220210008</w:t>
            </w:r>
          </w:p>
        </w:tc>
        <w:tc>
          <w:tcPr>
            <w:tcW w:w="2126" w:type="dxa"/>
            <w:shd w:val="clear" w:color="auto" w:fill="auto"/>
            <w:tcMar>
              <w:top w:w="72" w:type="dxa"/>
              <w:left w:w="144" w:type="dxa"/>
              <w:bottom w:w="72" w:type="dxa"/>
              <w:right w:w="144" w:type="dxa"/>
            </w:tcMar>
            <w:vAlign w:val="center"/>
          </w:tcPr>
          <w:p>
            <w:pPr>
              <w:widowControl/>
              <w:spacing w:line="240" w:lineRule="auto"/>
              <w:jc w:val="center"/>
              <w:rPr>
                <w:rFonts w:hint="default" w:ascii="Times New Roman" w:hAnsi="Times New Roman" w:eastAsia="仿宋" w:cs="Times New Roman"/>
                <w:color w:val="auto"/>
                <w:kern w:val="0"/>
                <w:szCs w:val="24"/>
              </w:rPr>
            </w:pPr>
          </w:p>
        </w:tc>
        <w:tc>
          <w:tcPr>
            <w:tcW w:w="2503"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default" w:ascii="Times New Roman" w:hAnsi="Times New Roman" w:eastAsia="仿宋" w:cs="Times New Roman"/>
                <w:color w:val="auto"/>
                <w:kern w:val="0"/>
                <w:szCs w:val="24"/>
                <w:lang w:eastAsia="zh-CN"/>
              </w:rPr>
            </w:pPr>
            <w:r>
              <w:rPr>
                <w:rFonts w:hint="default" w:ascii="Times New Roman" w:hAnsi="Times New Roman" w:eastAsia="仿宋" w:cs="Times New Roman"/>
                <w:color w:val="auto"/>
                <w:kern w:val="0"/>
                <w:szCs w:val="24"/>
                <w:lang w:eastAsia="zh-CN"/>
              </w:rPr>
              <w:t>2021年11月25日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96" w:hRule="atLeast"/>
        </w:trPr>
        <w:tc>
          <w:tcPr>
            <w:tcW w:w="1564"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耿  丽</w:t>
            </w:r>
          </w:p>
        </w:tc>
        <w:tc>
          <w:tcPr>
            <w:tcW w:w="2408"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hint="default" w:ascii="Times New Roman" w:hAnsi="Times New Roman" w:eastAsia="仿宋" w:cs="Times New Roman"/>
                <w:color w:val="auto"/>
                <w:kern w:val="0"/>
                <w:szCs w:val="24"/>
              </w:rPr>
            </w:pPr>
            <w:r>
              <w:rPr>
                <w:rFonts w:hint="default" w:ascii="Times New Roman" w:hAnsi="Times New Roman" w:eastAsia="仿宋" w:cs="Times New Roman"/>
                <w:color w:val="auto"/>
                <w:kern w:val="0"/>
                <w:sz w:val="28"/>
                <w:szCs w:val="28"/>
              </w:rPr>
              <w:t>4220210009</w:t>
            </w:r>
          </w:p>
        </w:tc>
        <w:tc>
          <w:tcPr>
            <w:tcW w:w="2126" w:type="dxa"/>
            <w:shd w:val="clear" w:color="auto" w:fill="auto"/>
            <w:tcMar>
              <w:top w:w="72" w:type="dxa"/>
              <w:left w:w="144" w:type="dxa"/>
              <w:bottom w:w="72" w:type="dxa"/>
              <w:right w:w="144" w:type="dxa"/>
            </w:tcMar>
            <w:vAlign w:val="center"/>
          </w:tcPr>
          <w:p>
            <w:pPr>
              <w:widowControl/>
              <w:spacing w:line="240" w:lineRule="auto"/>
              <w:jc w:val="center"/>
              <w:rPr>
                <w:rFonts w:hint="default" w:ascii="Times New Roman" w:hAnsi="Times New Roman" w:eastAsia="仿宋" w:cs="Times New Roman"/>
                <w:color w:val="auto"/>
                <w:kern w:val="0"/>
                <w:szCs w:val="24"/>
              </w:rPr>
            </w:pPr>
          </w:p>
        </w:tc>
        <w:tc>
          <w:tcPr>
            <w:tcW w:w="2503"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default" w:ascii="Times New Roman" w:hAnsi="Times New Roman" w:eastAsia="仿宋" w:cs="Times New Roman"/>
                <w:color w:val="auto"/>
                <w:kern w:val="0"/>
                <w:szCs w:val="24"/>
                <w:lang w:eastAsia="zh-CN"/>
              </w:rPr>
            </w:pPr>
            <w:r>
              <w:rPr>
                <w:rFonts w:hint="default" w:ascii="Times New Roman" w:hAnsi="Times New Roman" w:eastAsia="仿宋" w:cs="Times New Roman"/>
                <w:color w:val="auto"/>
                <w:kern w:val="0"/>
                <w:szCs w:val="24"/>
                <w:lang w:eastAsia="zh-CN"/>
              </w:rPr>
              <w:t>2021年11月25日</w:t>
            </w:r>
          </w:p>
        </w:tc>
      </w:tr>
    </w:tbl>
    <w:p>
      <w:pPr>
        <w:pStyle w:val="4"/>
        <w:spacing w:line="480" w:lineRule="exact"/>
        <w:ind w:firstLine="0"/>
        <w:outlineLvl w:val="2"/>
        <w:rPr>
          <w:rFonts w:hint="default" w:ascii="Times New Roman" w:hAnsi="Times New Roman" w:eastAsia="仿宋" w:cs="Times New Roman"/>
          <w:b/>
          <w:bCs/>
          <w:color w:val="auto"/>
        </w:rPr>
      </w:pPr>
      <w:bookmarkStart w:id="44" w:name="_Toc73954717"/>
      <w:r>
        <w:rPr>
          <w:rFonts w:hint="default" w:ascii="Times New Roman" w:hAnsi="Times New Roman" w:eastAsia="仿宋" w:cs="Times New Roman"/>
          <w:b/>
          <w:bCs/>
          <w:color w:val="auto"/>
        </w:rPr>
        <w:t>十二、实地查勘期</w:t>
      </w:r>
      <w:bookmarkEnd w:id="44"/>
    </w:p>
    <w:p>
      <w:pPr>
        <w:pStyle w:val="4"/>
        <w:spacing w:line="480" w:lineRule="exact"/>
        <w:ind w:firstLine="560" w:firstLineChars="200"/>
        <w:rPr>
          <w:rFonts w:hint="default" w:ascii="Times New Roman" w:hAnsi="Times New Roman" w:eastAsia="仿宋" w:cs="Times New Roman"/>
          <w:b/>
          <w:bCs/>
          <w:color w:val="auto"/>
          <w:lang w:eastAsia="zh-CN"/>
        </w:rPr>
      </w:pPr>
      <w:r>
        <w:rPr>
          <w:rFonts w:hint="default" w:ascii="Times New Roman" w:hAnsi="Times New Roman" w:eastAsia="仿宋" w:cs="Times New Roman"/>
          <w:color w:val="auto"/>
          <w:lang w:eastAsia="zh-CN"/>
        </w:rPr>
        <w:t>2021年11月05日</w:t>
      </w:r>
    </w:p>
    <w:p>
      <w:pPr>
        <w:pStyle w:val="4"/>
        <w:spacing w:line="480" w:lineRule="exact"/>
        <w:ind w:firstLine="0"/>
        <w:outlineLvl w:val="2"/>
        <w:rPr>
          <w:rFonts w:hint="default" w:ascii="Times New Roman" w:hAnsi="Times New Roman" w:eastAsia="仿宋" w:cs="Times New Roman"/>
          <w:b/>
          <w:bCs/>
          <w:color w:val="auto"/>
        </w:rPr>
      </w:pPr>
      <w:bookmarkStart w:id="45" w:name="_Toc73954718"/>
      <w:r>
        <w:rPr>
          <w:rFonts w:hint="default" w:ascii="Times New Roman" w:hAnsi="Times New Roman" w:eastAsia="仿宋" w:cs="Times New Roman"/>
          <w:b/>
          <w:bCs/>
          <w:color w:val="auto"/>
        </w:rPr>
        <w:t>十三、估价</w:t>
      </w:r>
      <w:bookmarkEnd w:id="43"/>
      <w:r>
        <w:rPr>
          <w:rFonts w:hint="default" w:ascii="Times New Roman" w:hAnsi="Times New Roman" w:eastAsia="仿宋" w:cs="Times New Roman"/>
          <w:b/>
          <w:bCs/>
          <w:color w:val="auto"/>
        </w:rPr>
        <w:t>作业日期</w:t>
      </w:r>
      <w:bookmarkEnd w:id="45"/>
    </w:p>
    <w:p>
      <w:pPr>
        <w:pStyle w:val="4"/>
        <w:spacing w:line="480" w:lineRule="exact"/>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2021年</w:t>
      </w:r>
      <w:r>
        <w:rPr>
          <w:rFonts w:hint="default" w:ascii="Times New Roman" w:hAnsi="Times New Roman" w:eastAsia="仿宋" w:cs="Times New Roman"/>
          <w:color w:val="auto"/>
          <w:lang w:val="en-US" w:eastAsia="zh-CN"/>
        </w:rPr>
        <w:t>10</w:t>
      </w:r>
      <w:r>
        <w:rPr>
          <w:rFonts w:hint="default" w:ascii="Times New Roman" w:hAnsi="Times New Roman" w:eastAsia="仿宋" w:cs="Times New Roman"/>
          <w:color w:val="auto"/>
        </w:rPr>
        <w:t>月</w:t>
      </w:r>
      <w:r>
        <w:rPr>
          <w:rFonts w:hint="default" w:ascii="Times New Roman" w:hAnsi="Times New Roman" w:eastAsia="仿宋" w:cs="Times New Roman"/>
          <w:color w:val="auto"/>
          <w:lang w:val="en-US" w:eastAsia="zh-CN"/>
        </w:rPr>
        <w:t>27</w:t>
      </w:r>
      <w:r>
        <w:rPr>
          <w:rFonts w:hint="default" w:ascii="Times New Roman" w:hAnsi="Times New Roman" w:eastAsia="仿宋" w:cs="Times New Roman"/>
          <w:color w:val="auto"/>
        </w:rPr>
        <w:t>日至</w:t>
      </w:r>
      <w:r>
        <w:rPr>
          <w:rFonts w:hint="default" w:ascii="Times New Roman" w:hAnsi="Times New Roman" w:eastAsia="仿宋" w:cs="Times New Roman"/>
          <w:color w:val="auto"/>
          <w:lang w:eastAsia="zh-CN"/>
        </w:rPr>
        <w:t>2021年11月25日</w:t>
      </w:r>
    </w:p>
    <w:p>
      <w:pPr>
        <w:widowControl/>
        <w:spacing w:line="240" w:lineRule="auto"/>
        <w:jc w:val="left"/>
        <w:rPr>
          <w:rFonts w:hint="default" w:ascii="Times New Roman" w:hAnsi="Times New Roman" w:eastAsia="仿宋" w:cs="Times New Roman"/>
          <w:bCs/>
          <w:color w:val="auto"/>
          <w:szCs w:val="36"/>
          <w:lang w:val="en-US" w:eastAsia="zh-CN"/>
        </w:rPr>
      </w:pPr>
      <w:bookmarkStart w:id="46" w:name="_Toc499915300"/>
      <w:r>
        <w:rPr>
          <w:rFonts w:hint="default" w:ascii="Times New Roman" w:hAnsi="Times New Roman" w:eastAsia="仿宋" w:cs="Times New Roman"/>
          <w:bCs/>
          <w:color w:val="auto"/>
          <w:szCs w:val="36"/>
        </w:rPr>
        <w:br w:type="page"/>
      </w:r>
      <w:r>
        <w:rPr>
          <w:rFonts w:hint="default" w:ascii="Times New Roman" w:hAnsi="Times New Roman" w:eastAsia="仿宋" w:cs="Times New Roman"/>
          <w:bCs/>
          <w:color w:val="auto"/>
          <w:szCs w:val="36"/>
          <w:lang w:val="en-US" w:eastAsia="zh-CN"/>
        </w:rPr>
        <w:t>-</w:t>
      </w:r>
    </w:p>
    <w:p>
      <w:pPr>
        <w:widowControl/>
        <w:spacing w:line="240" w:lineRule="auto"/>
        <w:jc w:val="left"/>
        <w:rPr>
          <w:rFonts w:hint="default" w:ascii="Times New Roman" w:hAnsi="Times New Roman" w:eastAsia="仿宋" w:cs="Times New Roman"/>
          <w:bCs/>
          <w:color w:val="auto"/>
          <w:szCs w:val="36"/>
          <w:lang w:val="en-US" w:eastAsia="zh-CN"/>
        </w:rPr>
      </w:pPr>
    </w:p>
    <w:p>
      <w:pPr>
        <w:pStyle w:val="3"/>
        <w:spacing w:before="0" w:after="0" w:line="720" w:lineRule="auto"/>
        <w:rPr>
          <w:rFonts w:hint="default" w:ascii="Times New Roman" w:hAnsi="Times New Roman" w:eastAsia="仿宋" w:cs="Times New Roman"/>
          <w:bCs/>
          <w:color w:val="auto"/>
          <w:szCs w:val="36"/>
        </w:rPr>
      </w:pPr>
      <w:bookmarkStart w:id="47" w:name="_Toc73954719"/>
      <w:r>
        <w:rPr>
          <w:rFonts w:hint="default" w:ascii="Times New Roman" w:hAnsi="Times New Roman" w:eastAsia="仿宋" w:cs="Times New Roman"/>
          <w:bCs/>
          <w:color w:val="auto"/>
          <w:szCs w:val="36"/>
        </w:rPr>
        <w:t>附件</w:t>
      </w:r>
      <w:bookmarkEnd w:id="46"/>
      <w:bookmarkEnd w:id="47"/>
    </w:p>
    <w:p>
      <w:pPr>
        <w:pStyle w:val="4"/>
        <w:rPr>
          <w:rFonts w:hint="default" w:ascii="Times New Roman" w:hAnsi="Times New Roman" w:eastAsia="仿宋" w:cs="Times New Roman"/>
          <w:color w:val="auto"/>
        </w:rPr>
      </w:pPr>
    </w:p>
    <w:p>
      <w:pPr>
        <w:pStyle w:val="4"/>
        <w:numPr>
          <w:ilvl w:val="0"/>
          <w:numId w:val="2"/>
        </w:numPr>
        <w:spacing w:line="480" w:lineRule="auto"/>
        <w:rPr>
          <w:rFonts w:hint="default" w:ascii="Times New Roman" w:hAnsi="Times New Roman" w:eastAsia="仿宋" w:cs="Times New Roman"/>
          <w:color w:val="auto"/>
        </w:rPr>
      </w:pPr>
      <w:r>
        <w:rPr>
          <w:rFonts w:hint="default" w:ascii="Times New Roman" w:hAnsi="Times New Roman" w:eastAsia="仿宋" w:cs="Times New Roman"/>
          <w:color w:val="auto"/>
        </w:rPr>
        <w:t>司法鉴定委托书复印件</w:t>
      </w:r>
    </w:p>
    <w:p>
      <w:pPr>
        <w:pStyle w:val="4"/>
        <w:numPr>
          <w:ilvl w:val="0"/>
          <w:numId w:val="2"/>
        </w:numPr>
        <w:spacing w:line="480" w:lineRule="auto"/>
        <w:rPr>
          <w:rFonts w:hint="default" w:ascii="Times New Roman" w:hAnsi="Times New Roman" w:eastAsia="仿宋" w:cs="Times New Roman"/>
          <w:color w:val="auto"/>
        </w:rPr>
      </w:pPr>
      <w:r>
        <w:rPr>
          <w:rFonts w:hint="default" w:ascii="Times New Roman" w:hAnsi="Times New Roman" w:eastAsia="仿宋" w:cs="Times New Roman"/>
          <w:color w:val="auto"/>
          <w:lang w:eastAsia="zh-CN"/>
        </w:rPr>
        <w:t>《十堰市郧阳区人民法院执行裁定书》（2020）鄂0304执573号</w:t>
      </w:r>
      <w:r>
        <w:rPr>
          <w:rFonts w:hint="default" w:ascii="Times New Roman" w:hAnsi="Times New Roman" w:eastAsia="仿宋" w:cs="Times New Roman"/>
          <w:color w:val="auto"/>
        </w:rPr>
        <w:t>复印件</w:t>
      </w:r>
    </w:p>
    <w:p>
      <w:pPr>
        <w:pStyle w:val="4"/>
        <w:numPr>
          <w:ilvl w:val="0"/>
          <w:numId w:val="2"/>
        </w:numPr>
        <w:spacing w:line="480" w:lineRule="auto"/>
        <w:rPr>
          <w:rFonts w:hint="default" w:ascii="Times New Roman" w:hAnsi="Times New Roman" w:eastAsia="仿宋" w:cs="Times New Roman"/>
          <w:color w:val="auto"/>
        </w:rPr>
      </w:pPr>
      <w:r>
        <w:rPr>
          <w:rFonts w:hint="default" w:ascii="Times New Roman" w:hAnsi="Times New Roman" w:eastAsia="仿宋" w:cs="Times New Roman"/>
          <w:color w:val="auto"/>
          <w:lang w:eastAsia="zh-CN"/>
        </w:rPr>
        <w:t>《房屋所有权证》、《土地所有权证》</w:t>
      </w:r>
      <w:r>
        <w:rPr>
          <w:rFonts w:hint="default" w:ascii="Times New Roman" w:hAnsi="Times New Roman" w:eastAsia="仿宋" w:cs="Times New Roman"/>
          <w:color w:val="auto"/>
        </w:rPr>
        <w:t>复印件</w:t>
      </w:r>
    </w:p>
    <w:p>
      <w:pPr>
        <w:pStyle w:val="4"/>
        <w:numPr>
          <w:ilvl w:val="0"/>
          <w:numId w:val="2"/>
        </w:numPr>
        <w:spacing w:line="480" w:lineRule="auto"/>
        <w:rPr>
          <w:rFonts w:hint="default" w:ascii="Times New Roman" w:hAnsi="Times New Roman" w:eastAsia="仿宋" w:cs="Times New Roman"/>
          <w:color w:val="auto"/>
        </w:rPr>
      </w:pPr>
      <w:r>
        <w:rPr>
          <w:rFonts w:hint="default" w:ascii="Times New Roman" w:hAnsi="Times New Roman" w:eastAsia="仿宋" w:cs="Times New Roman"/>
          <w:color w:val="auto"/>
          <w:sz w:val="28"/>
          <w:szCs w:val="28"/>
          <w:lang w:val="en-US" w:eastAsia="zh-CN"/>
        </w:rPr>
        <w:t>《他项权证》、《房屋登记簿》资料复印件</w:t>
      </w:r>
    </w:p>
    <w:p>
      <w:pPr>
        <w:pStyle w:val="4"/>
        <w:numPr>
          <w:ilvl w:val="0"/>
          <w:numId w:val="2"/>
        </w:numPr>
        <w:spacing w:line="480" w:lineRule="auto"/>
        <w:rPr>
          <w:rFonts w:hint="default" w:ascii="Times New Roman" w:hAnsi="Times New Roman" w:eastAsia="仿宋" w:cs="Times New Roman"/>
          <w:color w:val="auto"/>
        </w:rPr>
      </w:pPr>
      <w:r>
        <w:rPr>
          <w:rFonts w:hint="default" w:ascii="Times New Roman" w:hAnsi="Times New Roman" w:eastAsia="仿宋" w:cs="Times New Roman"/>
          <w:color w:val="auto"/>
        </w:rPr>
        <w:t>估价对象概貌性照片</w:t>
      </w:r>
    </w:p>
    <w:p>
      <w:pPr>
        <w:pStyle w:val="4"/>
        <w:numPr>
          <w:ilvl w:val="0"/>
          <w:numId w:val="2"/>
        </w:numPr>
        <w:spacing w:line="480" w:lineRule="auto"/>
        <w:rPr>
          <w:rFonts w:hint="default" w:ascii="Times New Roman" w:hAnsi="Times New Roman" w:eastAsia="仿宋" w:cs="Times New Roman"/>
          <w:color w:val="auto"/>
        </w:rPr>
      </w:pPr>
      <w:r>
        <w:rPr>
          <w:rFonts w:hint="default" w:ascii="Times New Roman" w:hAnsi="Times New Roman" w:eastAsia="仿宋" w:cs="Times New Roman"/>
          <w:color w:val="auto"/>
        </w:rPr>
        <w:t>估价对象区域位置示意图</w:t>
      </w:r>
    </w:p>
    <w:p>
      <w:pPr>
        <w:pStyle w:val="4"/>
        <w:numPr>
          <w:ilvl w:val="0"/>
          <w:numId w:val="2"/>
        </w:numPr>
        <w:spacing w:line="480" w:lineRule="auto"/>
        <w:rPr>
          <w:rFonts w:hint="default" w:ascii="Times New Roman" w:hAnsi="Times New Roman" w:eastAsia="仿宋" w:cs="Times New Roman"/>
          <w:color w:val="auto"/>
        </w:rPr>
      </w:pPr>
      <w:r>
        <w:rPr>
          <w:rFonts w:hint="default" w:ascii="Times New Roman" w:hAnsi="Times New Roman" w:eastAsia="仿宋" w:cs="Times New Roman"/>
          <w:color w:val="auto"/>
        </w:rPr>
        <w:t>房地产估价机构营业执照及资格证书复印件</w:t>
      </w:r>
    </w:p>
    <w:p>
      <w:pPr>
        <w:pStyle w:val="4"/>
        <w:numPr>
          <w:ilvl w:val="0"/>
          <w:numId w:val="2"/>
        </w:numPr>
        <w:spacing w:line="480" w:lineRule="auto"/>
        <w:rPr>
          <w:rFonts w:hint="default" w:ascii="Times New Roman" w:hAnsi="Times New Roman" w:eastAsia="仿宋" w:cs="Times New Roman"/>
          <w:color w:val="auto"/>
        </w:rPr>
      </w:pPr>
      <w:r>
        <w:rPr>
          <w:rFonts w:hint="default" w:ascii="Times New Roman" w:hAnsi="Times New Roman" w:eastAsia="仿宋" w:cs="Times New Roman"/>
          <w:color w:val="auto"/>
        </w:rPr>
        <w:t>注册房地产估价师资格证书复印件</w:t>
      </w:r>
    </w:p>
    <w:p>
      <w:pPr>
        <w:pStyle w:val="4"/>
        <w:spacing w:line="480" w:lineRule="exact"/>
        <w:ind w:firstLine="0"/>
        <w:rPr>
          <w:rFonts w:hint="default" w:ascii="Times New Roman" w:hAnsi="Times New Roman" w:eastAsia="仿宋" w:cs="Times New Roman"/>
          <w:color w:val="auto"/>
        </w:rPr>
      </w:pPr>
    </w:p>
    <w:p>
      <w:pPr>
        <w:widowControl/>
        <w:spacing w:line="240" w:lineRule="auto"/>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rPr>
        <w:br w:type="page"/>
      </w:r>
    </w:p>
    <w:p>
      <w:pPr>
        <w:pStyle w:val="4"/>
        <w:numPr>
          <w:numId w:val="0"/>
        </w:numPr>
        <w:spacing w:line="480" w:lineRule="auto"/>
        <w:jc w:val="left"/>
        <w:rPr>
          <w:rFonts w:hint="default" w:ascii="Times New Roman" w:hAnsi="Times New Roman" w:eastAsia="仿宋" w:cs="Times New Roman"/>
          <w:color w:val="auto"/>
        </w:rPr>
      </w:pPr>
      <w:bookmarkStart w:id="48" w:name="_GoBack"/>
      <w:bookmarkEnd w:id="48"/>
      <w:r>
        <w:rPr>
          <w:rFonts w:hint="default" w:ascii="Times New Roman" w:hAnsi="Times New Roman" w:eastAsia="仿宋" w:cs="Times New Roman"/>
          <w:color w:val="auto"/>
          <w:lang w:eastAsia="zh-CN"/>
        </w:rPr>
        <w:t>《房屋所有权证》</w:t>
      </w:r>
      <w:r>
        <w:rPr>
          <w:rFonts w:hint="default" w:ascii="Times New Roman" w:hAnsi="Times New Roman" w:eastAsia="仿宋" w:cs="Times New Roman"/>
          <w:color w:val="auto"/>
        </w:rPr>
        <w:t>复印件</w:t>
      </w:r>
    </w:p>
    <w:p>
      <w:pPr>
        <w:pStyle w:val="4"/>
        <w:numPr>
          <w:ilvl w:val="0"/>
          <w:numId w:val="0"/>
        </w:numPr>
        <w:spacing w:line="480" w:lineRule="auto"/>
        <w:jc w:val="left"/>
        <w:rPr>
          <w:rFonts w:hint="default" w:ascii="Times New Roman" w:hAnsi="Times New Roman" w:eastAsia="仿宋" w:cs="Times New Roman"/>
          <w:color w:val="auto"/>
        </w:rPr>
      </w:pPr>
      <w:r>
        <w:rPr>
          <w:rFonts w:hint="default" w:ascii="Times New Roman" w:hAnsi="Times New Roman" w:cs="Times New Roman"/>
        </w:rPr>
        <w:drawing>
          <wp:inline distT="0" distB="0" distL="114300" distR="114300">
            <wp:extent cx="5097145" cy="6970395"/>
            <wp:effectExtent l="0" t="0" r="8255" b="1905"/>
            <wp:docPr id="10" name="图片 4" descr="C:/Users/Administrator/AppData/Local/Temp/picturecompress_20211228101936/output_15.pn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Administrator/AppData/Local/Temp/picturecompress_20211228101936/output_15.pngoutput_15"/>
                    <pic:cNvPicPr>
                      <a:picLocks noChangeAspect="1"/>
                    </pic:cNvPicPr>
                  </pic:nvPicPr>
                  <pic:blipFill>
                    <a:blip r:embed="rId11"/>
                    <a:stretch>
                      <a:fillRect/>
                    </a:stretch>
                  </pic:blipFill>
                  <pic:spPr>
                    <a:xfrm>
                      <a:off x="0" y="0"/>
                      <a:ext cx="5097145" cy="6970395"/>
                    </a:xfrm>
                    <a:prstGeom prst="rect">
                      <a:avLst/>
                    </a:prstGeom>
                    <a:noFill/>
                    <a:ln>
                      <a:noFill/>
                    </a:ln>
                  </pic:spPr>
                </pic:pic>
              </a:graphicData>
            </a:graphic>
          </wp:inline>
        </w:drawing>
      </w:r>
    </w:p>
    <w:p>
      <w:pPr>
        <w:pStyle w:val="4"/>
        <w:numPr>
          <w:ilvl w:val="0"/>
          <w:numId w:val="0"/>
        </w:numPr>
        <w:spacing w:line="480" w:lineRule="auto"/>
        <w:jc w:val="left"/>
        <w:rPr>
          <w:rFonts w:hint="default" w:ascii="Times New Roman" w:hAnsi="Times New Roman" w:eastAsia="仿宋" w:cs="Times New Roman"/>
          <w:color w:val="auto"/>
          <w:lang w:eastAsia="zh-CN"/>
        </w:rPr>
      </w:pPr>
      <w:r>
        <w:rPr>
          <w:rFonts w:hint="default" w:ascii="Times New Roman" w:hAnsi="Times New Roman" w:cs="Times New Roman"/>
        </w:rPr>
        <w:drawing>
          <wp:inline distT="0" distB="0" distL="114300" distR="114300">
            <wp:extent cx="5275580" cy="7395845"/>
            <wp:effectExtent l="0" t="0" r="1270" b="14605"/>
            <wp:docPr id="9" name="图片 3" descr="C:/Users/Administrator/AppData/Local/Temp/picturecompress_20211228101936/output_16.pn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Administrator/AppData/Local/Temp/picturecompress_20211228101936/output_16.pngoutput_16"/>
                    <pic:cNvPicPr>
                      <a:picLocks noChangeAspect="1"/>
                    </pic:cNvPicPr>
                  </pic:nvPicPr>
                  <pic:blipFill>
                    <a:blip r:embed="rId12"/>
                    <a:stretch>
                      <a:fillRect/>
                    </a:stretch>
                  </pic:blipFill>
                  <pic:spPr>
                    <a:xfrm>
                      <a:off x="0" y="0"/>
                      <a:ext cx="5275580" cy="7395845"/>
                    </a:xfrm>
                    <a:prstGeom prst="rect">
                      <a:avLst/>
                    </a:prstGeom>
                    <a:noFill/>
                    <a:ln>
                      <a:noFill/>
                    </a:ln>
                  </pic:spPr>
                </pic:pic>
              </a:graphicData>
            </a:graphic>
          </wp:inline>
        </w:drawing>
      </w:r>
    </w:p>
    <w:p>
      <w:pPr>
        <w:spacing w:line="220" w:lineRule="atLeast"/>
        <w:jc w:val="left"/>
        <w:rPr>
          <w:rFonts w:hint="default" w:ascii="Times New Roman" w:hAnsi="Times New Roman" w:eastAsia="仿宋" w:cs="Times New Roman"/>
          <w:color w:val="auto"/>
          <w:sz w:val="28"/>
          <w:szCs w:val="28"/>
        </w:rPr>
      </w:pPr>
    </w:p>
    <w:p>
      <w:pPr>
        <w:pStyle w:val="4"/>
        <w:spacing w:line="480" w:lineRule="auto"/>
        <w:ind w:firstLine="0"/>
        <w:jc w:val="left"/>
        <w:rPr>
          <w:rFonts w:hint="default" w:ascii="Times New Roman" w:hAnsi="Times New Roman" w:eastAsia="仿宋" w:cs="Times New Roman"/>
          <w:color w:val="auto"/>
        </w:rPr>
      </w:pPr>
    </w:p>
    <w:p>
      <w:pPr>
        <w:pStyle w:val="4"/>
        <w:spacing w:line="480" w:lineRule="auto"/>
        <w:ind w:firstLine="0"/>
        <w:jc w:val="left"/>
        <w:rPr>
          <w:rFonts w:hint="default" w:ascii="Times New Roman" w:hAnsi="Times New Roman" w:eastAsia="仿宋" w:cs="Times New Roman"/>
          <w:color w:val="auto"/>
          <w:lang w:eastAsia="zh-CN"/>
        </w:rPr>
      </w:pPr>
    </w:p>
    <w:p>
      <w:pPr>
        <w:spacing w:line="220" w:lineRule="atLeast"/>
        <w:jc w:val="left"/>
        <w:rPr>
          <w:rFonts w:hint="default" w:ascii="Times New Roman" w:hAnsi="Times New Roman" w:eastAsia="仿宋" w:cs="Times New Roman"/>
          <w:color w:val="auto"/>
          <w:sz w:val="28"/>
          <w:szCs w:val="28"/>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-525145</wp:posOffset>
            </wp:positionH>
            <wp:positionV relativeFrom="paragraph">
              <wp:posOffset>601980</wp:posOffset>
            </wp:positionV>
            <wp:extent cx="6339840" cy="5250815"/>
            <wp:effectExtent l="0" t="0" r="6985" b="3810"/>
            <wp:wrapNone/>
            <wp:docPr id="11" name="图片 5" descr="C:/Users/Administrator/AppData/Local/Temp/picturecompress_20211228101936/output_9.pn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dministrator/AppData/Local/Temp/picturecompress_20211228101936/output_9.pngoutput_9"/>
                    <pic:cNvPicPr>
                      <a:picLocks noChangeAspect="1"/>
                    </pic:cNvPicPr>
                  </pic:nvPicPr>
                  <pic:blipFill>
                    <a:blip r:embed="rId13"/>
                    <a:stretch>
                      <a:fillRect/>
                    </a:stretch>
                  </pic:blipFill>
                  <pic:spPr>
                    <a:xfrm rot="16200000">
                      <a:off x="0" y="0"/>
                      <a:ext cx="6339840" cy="5250815"/>
                    </a:xfrm>
                    <a:prstGeom prst="rect">
                      <a:avLst/>
                    </a:prstGeom>
                    <a:noFill/>
                    <a:ln>
                      <a:noFill/>
                    </a:ln>
                  </pic:spPr>
                </pic:pic>
              </a:graphicData>
            </a:graphic>
          </wp:anchor>
        </w:drawing>
      </w:r>
    </w:p>
    <w:p>
      <w:pPr>
        <w:rPr>
          <w:rFonts w:hint="default" w:ascii="Times New Roman" w:hAnsi="Times New Roman" w:eastAsia="仿宋" w:cs="Times New Roman"/>
          <w:color w:val="auto"/>
          <w:sz w:val="28"/>
          <w:szCs w:val="28"/>
          <w:lang w:eastAsia="zh-CN"/>
        </w:rPr>
      </w:pPr>
    </w:p>
    <w:p>
      <w:pPr>
        <w:spacing w:line="220" w:lineRule="atLeast"/>
        <w:jc w:val="left"/>
        <w:rPr>
          <w:rFonts w:hint="default" w:ascii="Times New Roman" w:hAnsi="Times New Roman" w:eastAsia="仿宋" w:cs="Times New Roman"/>
          <w:color w:val="auto"/>
          <w:sz w:val="28"/>
          <w:szCs w:val="28"/>
        </w:rPr>
      </w:pPr>
    </w:p>
    <w:p>
      <w:pPr>
        <w:spacing w:line="220" w:lineRule="atLeast"/>
        <w:jc w:val="left"/>
        <w:rPr>
          <w:rFonts w:hint="default" w:ascii="Times New Roman" w:hAnsi="Times New Roman" w:eastAsia="仿宋" w:cs="Times New Roman"/>
          <w:color w:val="auto"/>
          <w:sz w:val="28"/>
          <w:szCs w:val="28"/>
        </w:rPr>
      </w:pPr>
    </w:p>
    <w:p>
      <w:pPr>
        <w:spacing w:line="220" w:lineRule="atLeast"/>
        <w:jc w:val="left"/>
        <w:rPr>
          <w:rFonts w:hint="default" w:ascii="Times New Roman" w:hAnsi="Times New Roman" w:eastAsia="仿宋" w:cs="Times New Roman"/>
          <w:color w:val="auto"/>
          <w:sz w:val="28"/>
          <w:szCs w:val="28"/>
        </w:rPr>
      </w:pPr>
    </w:p>
    <w:p>
      <w:pPr>
        <w:spacing w:line="220" w:lineRule="atLeast"/>
        <w:jc w:val="left"/>
        <w:rPr>
          <w:rFonts w:hint="default" w:ascii="Times New Roman" w:hAnsi="Times New Roman" w:eastAsia="仿宋" w:cs="Times New Roman"/>
          <w:color w:val="auto"/>
          <w:sz w:val="28"/>
          <w:szCs w:val="28"/>
        </w:rPr>
      </w:pPr>
    </w:p>
    <w:p>
      <w:pPr>
        <w:spacing w:line="220" w:lineRule="atLeast"/>
        <w:jc w:val="left"/>
        <w:rPr>
          <w:rFonts w:hint="default" w:ascii="Times New Roman" w:hAnsi="Times New Roman" w:eastAsia="仿宋" w:cs="Times New Roman"/>
          <w:color w:val="auto"/>
          <w:sz w:val="28"/>
          <w:szCs w:val="28"/>
        </w:rPr>
      </w:pPr>
    </w:p>
    <w:p>
      <w:pP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br w:type="page"/>
      </w:r>
    </w:p>
    <w:p>
      <w:pPr>
        <w:numPr>
          <w:ilvl w:val="0"/>
          <w:numId w:val="0"/>
        </w:numPr>
        <w:spacing w:line="220" w:lineRule="atLeast"/>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概貌性照片</w:t>
      </w:r>
    </w:p>
    <w:tbl>
      <w:tblPr>
        <w:tblStyle w:val="31"/>
        <w:tblW w:w="8999" w:type="dxa"/>
        <w:jc w:val="center"/>
        <w:tblBorders>
          <w:top w:val="thinThickSmallGap" w:color="0000FF" w:sz="24" w:space="0"/>
          <w:left w:val="thinThickSmallGap" w:color="0000FF" w:sz="24" w:space="0"/>
          <w:bottom w:val="thinThickSmallGap" w:color="0000FF" w:sz="24" w:space="0"/>
          <w:right w:val="thinThickSmallGap" w:color="0000FF" w:sz="24" w:space="0"/>
          <w:insideH w:val="thinThickSmallGap" w:color="0000FF" w:sz="24" w:space="0"/>
          <w:insideV w:val="thinThickSmallGap" w:color="0000FF" w:sz="24" w:space="0"/>
        </w:tblBorders>
        <w:tblLayout w:type="fixed"/>
        <w:tblCellMar>
          <w:top w:w="0" w:type="dxa"/>
          <w:left w:w="108" w:type="dxa"/>
          <w:bottom w:w="0" w:type="dxa"/>
          <w:right w:w="108" w:type="dxa"/>
        </w:tblCellMar>
      </w:tblPr>
      <w:tblGrid>
        <w:gridCol w:w="4584"/>
        <w:gridCol w:w="4415"/>
      </w:tblGrid>
      <w:tr>
        <w:tblPrEx>
          <w:tblBorders>
            <w:top w:val="thinThickSmallGap" w:color="0000FF" w:sz="24" w:space="0"/>
            <w:left w:val="thinThickSmallGap" w:color="0000FF" w:sz="24" w:space="0"/>
            <w:bottom w:val="thinThickSmallGap" w:color="0000FF" w:sz="24" w:space="0"/>
            <w:right w:val="thinThickSmallGap" w:color="0000FF" w:sz="24" w:space="0"/>
            <w:insideH w:val="thinThickSmallGap" w:color="0000FF" w:sz="24" w:space="0"/>
            <w:insideV w:val="thinThickSmallGap" w:color="0000FF" w:sz="24" w:space="0"/>
          </w:tblBorders>
          <w:tblCellMar>
            <w:top w:w="0" w:type="dxa"/>
            <w:left w:w="108" w:type="dxa"/>
            <w:bottom w:w="0" w:type="dxa"/>
            <w:right w:w="108" w:type="dxa"/>
          </w:tblCellMar>
        </w:tblPrEx>
        <w:trPr>
          <w:trHeight w:val="2778" w:hRule="atLeast"/>
          <w:jc w:val="center"/>
        </w:trPr>
        <w:tc>
          <w:tcPr>
            <w:tcW w:w="4584" w:type="dxa"/>
            <w:shd w:val="clear" w:color="auto" w:fill="auto"/>
            <w:vAlign w:val="bottom"/>
          </w:tcPr>
          <w:p>
            <w:pPr>
              <w:jc w:val="center"/>
              <w:rPr>
                <w:rFonts w:hint="default" w:ascii="Times New Roman" w:hAnsi="Times New Roman" w:eastAsia="仿宋" w:cs="Times New Roman"/>
                <w:color w:val="auto"/>
                <w:sz w:val="20"/>
                <w:szCs w:val="21"/>
                <w:lang w:eastAsia="zh-CN"/>
              </w:rPr>
            </w:pPr>
            <w:r>
              <w:rPr>
                <w:rFonts w:hint="default" w:ascii="Times New Roman" w:hAnsi="Times New Roman" w:eastAsia="仿宋" w:cs="Times New Roman"/>
                <w:color w:val="auto"/>
                <w:sz w:val="20"/>
                <w:szCs w:val="21"/>
                <w:lang w:eastAsia="zh-CN"/>
              </w:rPr>
              <w:drawing>
                <wp:inline distT="0" distB="0" distL="114300" distR="114300">
                  <wp:extent cx="2769870" cy="3693160"/>
                  <wp:effectExtent l="0" t="0" r="11430" b="2540"/>
                  <wp:docPr id="32" name="图片 32" descr="C:/Users/Administrator/AppData/Local/Temp/picturecompress_20211228101936/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Local/Temp/picturecompress_20211228101936/output_20.jpgoutput_20"/>
                          <pic:cNvPicPr>
                            <a:picLocks noChangeAspect="1"/>
                          </pic:cNvPicPr>
                        </pic:nvPicPr>
                        <pic:blipFill>
                          <a:blip r:embed="rId14"/>
                          <a:stretch>
                            <a:fillRect/>
                          </a:stretch>
                        </pic:blipFill>
                        <pic:spPr>
                          <a:xfrm>
                            <a:off x="0" y="0"/>
                            <a:ext cx="2769870" cy="3693160"/>
                          </a:xfrm>
                          <a:prstGeom prst="rect">
                            <a:avLst/>
                          </a:prstGeom>
                        </pic:spPr>
                      </pic:pic>
                    </a:graphicData>
                  </a:graphic>
                </wp:inline>
              </w:drawing>
            </w:r>
          </w:p>
          <w:p>
            <w:pPr>
              <w:spacing w:line="240" w:lineRule="auto"/>
              <w:jc w:val="center"/>
              <w:rPr>
                <w:rFonts w:hint="default" w:ascii="Times New Roman" w:hAnsi="Times New Roman" w:eastAsia="仿宋" w:cs="Times New Roman"/>
                <w:color w:val="auto"/>
                <w:sz w:val="20"/>
                <w:szCs w:val="21"/>
              </w:rPr>
            </w:pPr>
            <w:r>
              <w:rPr>
                <w:rFonts w:hint="default" w:ascii="Times New Roman" w:hAnsi="Times New Roman" w:eastAsia="仿宋" w:cs="Times New Roman"/>
                <w:color w:val="auto"/>
                <w:sz w:val="20"/>
                <w:szCs w:val="21"/>
              </w:rPr>
              <w:t>估价对象-楼栋外观</w:t>
            </w:r>
          </w:p>
        </w:tc>
        <w:tc>
          <w:tcPr>
            <w:tcW w:w="4415" w:type="dxa"/>
            <w:shd w:val="clear" w:color="auto" w:fill="auto"/>
            <w:vAlign w:val="center"/>
          </w:tcPr>
          <w:p>
            <w:pPr>
              <w:jc w:val="center"/>
              <w:rPr>
                <w:rFonts w:hint="default" w:ascii="Times New Roman" w:hAnsi="Times New Roman" w:eastAsia="仿宋" w:cs="Times New Roman"/>
                <w:color w:val="auto"/>
                <w:sz w:val="20"/>
                <w:szCs w:val="21"/>
                <w:lang w:eastAsia="zh-CN"/>
              </w:rPr>
            </w:pPr>
            <w:r>
              <w:rPr>
                <w:rFonts w:hint="default" w:ascii="Times New Roman" w:hAnsi="Times New Roman" w:eastAsia="仿宋" w:cs="Times New Roman"/>
                <w:color w:val="auto"/>
                <w:sz w:val="20"/>
                <w:szCs w:val="21"/>
                <w:lang w:eastAsia="zh-CN"/>
              </w:rPr>
              <w:drawing>
                <wp:inline distT="0" distB="0" distL="114300" distR="114300">
                  <wp:extent cx="2645410" cy="3682365"/>
                  <wp:effectExtent l="0" t="0" r="2540" b="13335"/>
                  <wp:docPr id="33" name="图片 33" descr="C:/Users/Administrator/AppData/Local/Temp/picturecompress_20211228101936/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Local/Temp/picturecompress_20211228101936/output_21.jpgoutput_21"/>
                          <pic:cNvPicPr>
                            <a:picLocks noChangeAspect="1"/>
                          </pic:cNvPicPr>
                        </pic:nvPicPr>
                        <pic:blipFill>
                          <a:blip r:embed="rId15"/>
                          <a:stretch>
                            <a:fillRect/>
                          </a:stretch>
                        </pic:blipFill>
                        <pic:spPr>
                          <a:xfrm>
                            <a:off x="0" y="0"/>
                            <a:ext cx="2645410" cy="3682365"/>
                          </a:xfrm>
                          <a:prstGeom prst="rect">
                            <a:avLst/>
                          </a:prstGeom>
                        </pic:spPr>
                      </pic:pic>
                    </a:graphicData>
                  </a:graphic>
                </wp:inline>
              </w:drawing>
            </w:r>
          </w:p>
          <w:p>
            <w:pPr>
              <w:spacing w:line="240" w:lineRule="auto"/>
              <w:jc w:val="center"/>
              <w:rPr>
                <w:rFonts w:hint="default" w:ascii="Times New Roman" w:hAnsi="Times New Roman" w:eastAsia="仿宋" w:cs="Times New Roman"/>
                <w:color w:val="auto"/>
                <w:sz w:val="20"/>
                <w:szCs w:val="21"/>
              </w:rPr>
            </w:pPr>
            <w:r>
              <w:rPr>
                <w:rFonts w:hint="default" w:ascii="Times New Roman" w:hAnsi="Times New Roman" w:eastAsia="仿宋" w:cs="Times New Roman"/>
                <w:color w:val="auto"/>
                <w:sz w:val="20"/>
                <w:szCs w:val="21"/>
              </w:rPr>
              <w:t>估价对象-外部环境</w:t>
            </w:r>
          </w:p>
        </w:tc>
      </w:tr>
      <w:tr>
        <w:tblPrEx>
          <w:tblBorders>
            <w:top w:val="thinThickSmallGap" w:color="0000FF" w:sz="24" w:space="0"/>
            <w:left w:val="thinThickSmallGap" w:color="0000FF" w:sz="24" w:space="0"/>
            <w:bottom w:val="thinThickSmallGap" w:color="0000FF" w:sz="24" w:space="0"/>
            <w:right w:val="thinThickSmallGap" w:color="0000FF" w:sz="24" w:space="0"/>
            <w:insideH w:val="thinThickSmallGap" w:color="0000FF" w:sz="24" w:space="0"/>
            <w:insideV w:val="thinThickSmallGap" w:color="0000FF" w:sz="24" w:space="0"/>
          </w:tblBorders>
          <w:tblCellMar>
            <w:top w:w="0" w:type="dxa"/>
            <w:left w:w="108" w:type="dxa"/>
            <w:bottom w:w="0" w:type="dxa"/>
            <w:right w:w="108" w:type="dxa"/>
          </w:tblCellMar>
        </w:tblPrEx>
        <w:trPr>
          <w:trHeight w:val="4496" w:hRule="atLeast"/>
          <w:jc w:val="center"/>
        </w:trPr>
        <w:tc>
          <w:tcPr>
            <w:tcW w:w="4584" w:type="dxa"/>
            <w:shd w:val="clear" w:color="auto" w:fill="auto"/>
            <w:vAlign w:val="bottom"/>
          </w:tcPr>
          <w:p>
            <w:pPr>
              <w:jc w:val="center"/>
              <w:rPr>
                <w:rFonts w:hint="default" w:ascii="Times New Roman" w:hAnsi="Times New Roman" w:eastAsia="仿宋" w:cs="Times New Roman"/>
                <w:color w:val="auto"/>
                <w:sz w:val="20"/>
                <w:szCs w:val="21"/>
                <w:lang w:eastAsia="zh-CN"/>
              </w:rPr>
            </w:pPr>
            <w:r>
              <w:rPr>
                <w:rFonts w:hint="default" w:ascii="Times New Roman" w:hAnsi="Times New Roman" w:eastAsia="仿宋" w:cs="Times New Roman"/>
                <w:color w:val="auto"/>
                <w:sz w:val="20"/>
                <w:szCs w:val="21"/>
                <w:lang w:eastAsia="zh-CN"/>
              </w:rPr>
              <w:drawing>
                <wp:inline distT="0" distB="0" distL="114300" distR="114300">
                  <wp:extent cx="2759075" cy="3678555"/>
                  <wp:effectExtent l="0" t="0" r="3175" b="17145"/>
                  <wp:docPr id="37" name="图片 37" descr="C:/Users/Administrator/AppData/Local/Temp/picturecompress_20211228101936/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Local/Temp/picturecompress_20211228101936/output_22.jpgoutput_22"/>
                          <pic:cNvPicPr>
                            <a:picLocks noChangeAspect="1"/>
                          </pic:cNvPicPr>
                        </pic:nvPicPr>
                        <pic:blipFill>
                          <a:blip r:embed="rId16"/>
                          <a:stretch>
                            <a:fillRect/>
                          </a:stretch>
                        </pic:blipFill>
                        <pic:spPr>
                          <a:xfrm>
                            <a:off x="0" y="0"/>
                            <a:ext cx="2759075" cy="3678555"/>
                          </a:xfrm>
                          <a:prstGeom prst="rect">
                            <a:avLst/>
                          </a:prstGeom>
                        </pic:spPr>
                      </pic:pic>
                    </a:graphicData>
                  </a:graphic>
                </wp:inline>
              </w:drawing>
            </w:r>
          </w:p>
          <w:p>
            <w:pPr>
              <w:jc w:val="center"/>
              <w:rPr>
                <w:rFonts w:hint="default" w:ascii="Times New Roman" w:hAnsi="Times New Roman" w:eastAsia="仿宋" w:cs="Times New Roman"/>
                <w:color w:val="auto"/>
                <w:sz w:val="20"/>
                <w:szCs w:val="21"/>
                <w:lang w:eastAsia="zh-CN"/>
              </w:rPr>
            </w:pPr>
            <w:r>
              <w:rPr>
                <w:rFonts w:hint="default" w:ascii="Times New Roman" w:hAnsi="Times New Roman" w:eastAsia="仿宋" w:cs="Times New Roman"/>
                <w:color w:val="auto"/>
                <w:sz w:val="20"/>
                <w:szCs w:val="21"/>
              </w:rPr>
              <w:t>估价对象-</w:t>
            </w:r>
            <w:r>
              <w:rPr>
                <w:rFonts w:hint="default" w:ascii="Times New Roman" w:hAnsi="Times New Roman" w:eastAsia="仿宋" w:cs="Times New Roman"/>
                <w:color w:val="auto"/>
                <w:sz w:val="20"/>
                <w:szCs w:val="21"/>
                <w:lang w:eastAsia="zh-CN"/>
              </w:rPr>
              <w:t>内部概貌</w:t>
            </w:r>
          </w:p>
        </w:tc>
        <w:tc>
          <w:tcPr>
            <w:tcW w:w="4415" w:type="dxa"/>
            <w:shd w:val="clear" w:color="auto" w:fill="auto"/>
            <w:vAlign w:val="center"/>
          </w:tcPr>
          <w:p>
            <w:pPr>
              <w:jc w:val="center"/>
              <w:rPr>
                <w:rFonts w:hint="default" w:ascii="Times New Roman" w:hAnsi="Times New Roman" w:eastAsia="仿宋" w:cs="Times New Roman"/>
                <w:color w:val="auto"/>
                <w:sz w:val="20"/>
                <w:szCs w:val="21"/>
              </w:rPr>
            </w:pPr>
            <w:r>
              <w:rPr>
                <w:rFonts w:hint="default" w:ascii="Times New Roman" w:hAnsi="Times New Roman" w:eastAsia="仿宋" w:cs="Times New Roman"/>
                <w:color w:val="auto"/>
                <w:sz w:val="20"/>
                <w:szCs w:val="21"/>
              </w:rPr>
              <w:drawing>
                <wp:inline distT="0" distB="0" distL="114300" distR="114300">
                  <wp:extent cx="2645410" cy="3656330"/>
                  <wp:effectExtent l="0" t="0" r="2540" b="1270"/>
                  <wp:docPr id="39" name="图片 39" descr="C:/Users/Administrator/AppData/Local/Temp/picturecompress_20211228101936/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Local/Temp/picturecompress_20211228101936/output_23.jpgoutput_23"/>
                          <pic:cNvPicPr>
                            <a:picLocks noChangeAspect="1"/>
                          </pic:cNvPicPr>
                        </pic:nvPicPr>
                        <pic:blipFill>
                          <a:blip r:embed="rId17"/>
                          <a:stretch>
                            <a:fillRect/>
                          </a:stretch>
                        </pic:blipFill>
                        <pic:spPr>
                          <a:xfrm>
                            <a:off x="0" y="0"/>
                            <a:ext cx="2645410" cy="3656330"/>
                          </a:xfrm>
                          <a:prstGeom prst="rect">
                            <a:avLst/>
                          </a:prstGeom>
                        </pic:spPr>
                      </pic:pic>
                    </a:graphicData>
                  </a:graphic>
                </wp:inline>
              </w:drawing>
            </w:r>
            <w:r>
              <w:rPr>
                <w:rFonts w:hint="default" w:ascii="Times New Roman" w:hAnsi="Times New Roman" w:eastAsia="仿宋" w:cs="Times New Roman"/>
                <w:color w:val="auto"/>
                <w:sz w:val="20"/>
                <w:szCs w:val="21"/>
              </w:rPr>
              <w:t>估价对象-</w:t>
            </w:r>
            <w:r>
              <w:rPr>
                <w:rFonts w:hint="default" w:ascii="Times New Roman" w:hAnsi="Times New Roman" w:eastAsia="仿宋" w:cs="Times New Roman"/>
                <w:color w:val="auto"/>
                <w:sz w:val="20"/>
                <w:szCs w:val="21"/>
                <w:lang w:eastAsia="zh-CN"/>
              </w:rPr>
              <w:t>内部概貌</w:t>
            </w:r>
          </w:p>
        </w:tc>
      </w:tr>
      <w:tr>
        <w:tblPrEx>
          <w:tblBorders>
            <w:top w:val="thinThickSmallGap" w:color="0000FF" w:sz="24" w:space="0"/>
            <w:left w:val="thinThickSmallGap" w:color="0000FF" w:sz="24" w:space="0"/>
            <w:bottom w:val="thinThickSmallGap" w:color="0000FF" w:sz="24" w:space="0"/>
            <w:right w:val="thinThickSmallGap" w:color="0000FF" w:sz="24" w:space="0"/>
            <w:insideH w:val="thinThickSmallGap" w:color="0000FF" w:sz="24" w:space="0"/>
            <w:insideV w:val="thinThickSmallGap" w:color="0000FF" w:sz="24" w:space="0"/>
          </w:tblBorders>
          <w:tblCellMar>
            <w:top w:w="0" w:type="dxa"/>
            <w:left w:w="108" w:type="dxa"/>
            <w:bottom w:w="0" w:type="dxa"/>
            <w:right w:w="108" w:type="dxa"/>
          </w:tblCellMar>
        </w:tblPrEx>
        <w:trPr>
          <w:trHeight w:val="3435" w:hRule="atLeast"/>
          <w:jc w:val="center"/>
        </w:trPr>
        <w:tc>
          <w:tcPr>
            <w:tcW w:w="4584" w:type="dxa"/>
            <w:shd w:val="clear" w:color="auto" w:fill="auto"/>
            <w:vAlign w:val="bottom"/>
          </w:tcPr>
          <w:p>
            <w:pPr>
              <w:jc w:val="center"/>
              <w:rPr>
                <w:rFonts w:hint="default" w:ascii="Times New Roman" w:hAnsi="Times New Roman" w:eastAsia="仿宋" w:cs="Times New Roman"/>
                <w:color w:val="auto"/>
                <w:sz w:val="20"/>
                <w:szCs w:val="21"/>
              </w:rPr>
            </w:pPr>
            <w:r>
              <w:rPr>
                <w:rFonts w:hint="default" w:ascii="Times New Roman" w:hAnsi="Times New Roman" w:eastAsia="仿宋" w:cs="Times New Roman"/>
                <w:color w:val="auto"/>
                <w:sz w:val="20"/>
                <w:szCs w:val="21"/>
              </w:rPr>
              <w:drawing>
                <wp:inline distT="0" distB="0" distL="114300" distR="114300">
                  <wp:extent cx="2759075" cy="3678555"/>
                  <wp:effectExtent l="0" t="0" r="3175" b="17145"/>
                  <wp:docPr id="38" name="图片 38" descr="C:/Users/Administrator/AppData/Local/Temp/picturecompress_20211228101936/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Local/Temp/picturecompress_20211228101936/output_24.jpgoutput_24"/>
                          <pic:cNvPicPr>
                            <a:picLocks noChangeAspect="1"/>
                          </pic:cNvPicPr>
                        </pic:nvPicPr>
                        <pic:blipFill>
                          <a:blip r:embed="rId18"/>
                          <a:stretch>
                            <a:fillRect/>
                          </a:stretch>
                        </pic:blipFill>
                        <pic:spPr>
                          <a:xfrm>
                            <a:off x="0" y="0"/>
                            <a:ext cx="2759075" cy="3678555"/>
                          </a:xfrm>
                          <a:prstGeom prst="rect">
                            <a:avLst/>
                          </a:prstGeom>
                        </pic:spPr>
                      </pic:pic>
                    </a:graphicData>
                  </a:graphic>
                </wp:inline>
              </w:drawing>
            </w:r>
            <w:r>
              <w:rPr>
                <w:rFonts w:hint="default" w:ascii="Times New Roman" w:hAnsi="Times New Roman" w:eastAsia="仿宋" w:cs="Times New Roman"/>
                <w:color w:val="auto"/>
                <w:sz w:val="20"/>
                <w:szCs w:val="21"/>
              </w:rPr>
              <w:t>估价对象-</w:t>
            </w:r>
            <w:r>
              <w:rPr>
                <w:rFonts w:hint="default" w:ascii="Times New Roman" w:hAnsi="Times New Roman" w:eastAsia="仿宋" w:cs="Times New Roman"/>
                <w:color w:val="auto"/>
                <w:sz w:val="20"/>
                <w:szCs w:val="21"/>
                <w:lang w:eastAsia="zh-CN"/>
              </w:rPr>
              <w:t>内部概貌</w:t>
            </w:r>
            <w:r>
              <w:rPr>
                <w:rFonts w:hint="default" w:ascii="Times New Roman" w:hAnsi="Times New Roman" w:eastAsia="仿宋" w:cs="Times New Roman"/>
                <w:color w:val="auto"/>
              </w:rPr>
              <w:drawing>
                <wp:anchor distT="0" distB="0" distL="114300" distR="114300" simplePos="0" relativeHeight="251659264" behindDoc="1" locked="0" layoutInCell="1" allowOverlap="1">
                  <wp:simplePos x="0" y="0"/>
                  <wp:positionH relativeFrom="column">
                    <wp:posOffset>6202680</wp:posOffset>
                  </wp:positionH>
                  <wp:positionV relativeFrom="paragraph">
                    <wp:posOffset>2176145</wp:posOffset>
                  </wp:positionV>
                  <wp:extent cx="7692390" cy="4406900"/>
                  <wp:effectExtent l="0" t="0" r="12700" b="3810"/>
                  <wp:wrapNone/>
                  <wp:docPr id="22" name="图片 41" descr="C:/Users/Administrator/AppData/Local/Temp/picturecompress_20211228101936/output_2.pn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descr="C:/Users/Administrator/AppData/Local/Temp/picturecompress_20211228101936/output_2.pngoutput_2"/>
                          <pic:cNvPicPr>
                            <a:picLocks noChangeAspect="1"/>
                          </pic:cNvPicPr>
                        </pic:nvPicPr>
                        <pic:blipFill>
                          <a:blip r:embed="rId19"/>
                          <a:stretch>
                            <a:fillRect/>
                          </a:stretch>
                        </pic:blipFill>
                        <pic:spPr>
                          <a:xfrm rot="5400000">
                            <a:off x="0" y="0"/>
                            <a:ext cx="7692390" cy="4406900"/>
                          </a:xfrm>
                          <a:prstGeom prst="rect">
                            <a:avLst/>
                          </a:prstGeom>
                        </pic:spPr>
                      </pic:pic>
                    </a:graphicData>
                  </a:graphic>
                </wp:anchor>
              </w:drawing>
            </w:r>
          </w:p>
        </w:tc>
        <w:tc>
          <w:tcPr>
            <w:tcW w:w="4415" w:type="dxa"/>
            <w:shd w:val="clear" w:color="auto" w:fill="auto"/>
            <w:vAlign w:val="center"/>
          </w:tcPr>
          <w:p>
            <w:pPr>
              <w:jc w:val="center"/>
              <w:rPr>
                <w:rFonts w:hint="default" w:ascii="Times New Roman" w:hAnsi="Times New Roman" w:eastAsia="仿宋" w:cs="Times New Roman"/>
                <w:color w:val="auto"/>
                <w:sz w:val="20"/>
                <w:szCs w:val="21"/>
              </w:rPr>
            </w:pPr>
            <w:r>
              <w:rPr>
                <w:rFonts w:hint="default" w:ascii="Times New Roman" w:hAnsi="Times New Roman" w:eastAsia="仿宋" w:cs="Times New Roman"/>
                <w:color w:val="auto"/>
                <w:sz w:val="20"/>
                <w:szCs w:val="21"/>
              </w:rPr>
              <w:drawing>
                <wp:inline distT="0" distB="0" distL="114300" distR="114300">
                  <wp:extent cx="2645410" cy="3639185"/>
                  <wp:effectExtent l="0" t="0" r="2540" b="18415"/>
                  <wp:docPr id="40" name="图片 40" descr="C:/Users/Administrator/AppData/Local/Temp/picturecompress_20211228101936/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Local/Temp/picturecompress_20211228101936/output_25.jpgoutput_25"/>
                          <pic:cNvPicPr>
                            <a:picLocks noChangeAspect="1"/>
                          </pic:cNvPicPr>
                        </pic:nvPicPr>
                        <pic:blipFill>
                          <a:blip r:embed="rId20"/>
                          <a:stretch>
                            <a:fillRect/>
                          </a:stretch>
                        </pic:blipFill>
                        <pic:spPr>
                          <a:xfrm>
                            <a:off x="0" y="0"/>
                            <a:ext cx="2645410" cy="3639185"/>
                          </a:xfrm>
                          <a:prstGeom prst="rect">
                            <a:avLst/>
                          </a:prstGeom>
                        </pic:spPr>
                      </pic:pic>
                    </a:graphicData>
                  </a:graphic>
                </wp:inline>
              </w:drawing>
            </w:r>
            <w:r>
              <w:rPr>
                <w:rFonts w:hint="default" w:ascii="Times New Roman" w:hAnsi="Times New Roman" w:eastAsia="仿宋" w:cs="Times New Roman"/>
                <w:color w:val="auto"/>
                <w:sz w:val="20"/>
                <w:szCs w:val="21"/>
              </w:rPr>
              <w:t>估价对象-</w:t>
            </w:r>
            <w:r>
              <w:rPr>
                <w:rFonts w:hint="default" w:ascii="Times New Roman" w:hAnsi="Times New Roman" w:eastAsia="仿宋" w:cs="Times New Roman"/>
                <w:color w:val="auto"/>
                <w:sz w:val="20"/>
                <w:szCs w:val="21"/>
                <w:lang w:eastAsia="zh-CN"/>
              </w:rPr>
              <w:t>内部概貌</w:t>
            </w:r>
          </w:p>
        </w:tc>
      </w:tr>
      <w:tr>
        <w:tblPrEx>
          <w:tblBorders>
            <w:top w:val="thinThickSmallGap" w:color="0000FF" w:sz="24" w:space="0"/>
            <w:left w:val="thinThickSmallGap" w:color="0000FF" w:sz="24" w:space="0"/>
            <w:bottom w:val="thinThickSmallGap" w:color="0000FF" w:sz="24" w:space="0"/>
            <w:right w:val="thinThickSmallGap" w:color="0000FF" w:sz="24" w:space="0"/>
            <w:insideH w:val="thinThickSmallGap" w:color="0000FF" w:sz="24" w:space="0"/>
            <w:insideV w:val="thinThickSmallGap" w:color="0000FF" w:sz="24" w:space="0"/>
          </w:tblBorders>
          <w:tblCellMar>
            <w:top w:w="0" w:type="dxa"/>
            <w:left w:w="108" w:type="dxa"/>
            <w:bottom w:w="0" w:type="dxa"/>
            <w:right w:w="108" w:type="dxa"/>
          </w:tblCellMar>
        </w:tblPrEx>
        <w:trPr>
          <w:trHeight w:val="3435" w:hRule="atLeast"/>
          <w:jc w:val="center"/>
        </w:trPr>
        <w:tc>
          <w:tcPr>
            <w:tcW w:w="4584" w:type="dxa"/>
            <w:shd w:val="clear" w:color="auto" w:fill="auto"/>
            <w:vAlign w:val="bottom"/>
          </w:tcPr>
          <w:p>
            <w:pPr>
              <w:jc w:val="center"/>
              <w:rPr>
                <w:rFonts w:hint="default" w:ascii="Times New Roman" w:hAnsi="Times New Roman" w:eastAsia="仿宋" w:cs="Times New Roman"/>
                <w:color w:val="auto"/>
                <w:sz w:val="20"/>
                <w:szCs w:val="21"/>
              </w:rPr>
            </w:pPr>
            <w:r>
              <w:rPr>
                <w:rFonts w:hint="default" w:ascii="Times New Roman" w:hAnsi="Times New Roman" w:eastAsia="仿宋" w:cs="Times New Roman"/>
                <w:color w:val="auto"/>
                <w:sz w:val="20"/>
                <w:szCs w:val="21"/>
              </w:rPr>
              <w:drawing>
                <wp:inline distT="0" distB="0" distL="114300" distR="114300">
                  <wp:extent cx="2759075" cy="3678555"/>
                  <wp:effectExtent l="0" t="0" r="3175" b="17145"/>
                  <wp:docPr id="35" name="图片 35" descr="C:/Users/Administrator/AppData/Local/Temp/picturecompress_20211228101936/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Local/Temp/picturecompress_20211228101936/output_26.jpgoutput_26"/>
                          <pic:cNvPicPr>
                            <a:picLocks noChangeAspect="1"/>
                          </pic:cNvPicPr>
                        </pic:nvPicPr>
                        <pic:blipFill>
                          <a:blip r:embed="rId21"/>
                          <a:stretch>
                            <a:fillRect/>
                          </a:stretch>
                        </pic:blipFill>
                        <pic:spPr>
                          <a:xfrm>
                            <a:off x="0" y="0"/>
                            <a:ext cx="2759075" cy="3678555"/>
                          </a:xfrm>
                          <a:prstGeom prst="rect">
                            <a:avLst/>
                          </a:prstGeom>
                        </pic:spPr>
                      </pic:pic>
                    </a:graphicData>
                  </a:graphic>
                </wp:inline>
              </w:drawing>
            </w:r>
            <w:r>
              <w:rPr>
                <w:rFonts w:hint="default" w:ascii="Times New Roman" w:hAnsi="Times New Roman" w:eastAsia="仿宋" w:cs="Times New Roman"/>
                <w:color w:val="auto"/>
                <w:sz w:val="20"/>
                <w:szCs w:val="21"/>
              </w:rPr>
              <w:t>估价对象-</w:t>
            </w:r>
            <w:r>
              <w:rPr>
                <w:rFonts w:hint="default" w:ascii="Times New Roman" w:hAnsi="Times New Roman" w:eastAsia="仿宋" w:cs="Times New Roman"/>
                <w:color w:val="auto"/>
                <w:sz w:val="20"/>
                <w:szCs w:val="21"/>
                <w:lang w:eastAsia="zh-CN"/>
              </w:rPr>
              <w:t>内部概貌</w:t>
            </w:r>
          </w:p>
        </w:tc>
        <w:tc>
          <w:tcPr>
            <w:tcW w:w="4415" w:type="dxa"/>
            <w:shd w:val="clear" w:color="auto" w:fill="auto"/>
            <w:vAlign w:val="bottom"/>
          </w:tcPr>
          <w:p>
            <w:pPr>
              <w:jc w:val="center"/>
              <w:rPr>
                <w:rFonts w:hint="default" w:ascii="Times New Roman" w:hAnsi="Times New Roman" w:eastAsia="仿宋" w:cs="Times New Roman"/>
                <w:color w:val="auto"/>
                <w:sz w:val="20"/>
                <w:szCs w:val="21"/>
              </w:rPr>
            </w:pPr>
            <w:r>
              <w:rPr>
                <w:rFonts w:hint="default" w:ascii="Times New Roman" w:hAnsi="Times New Roman" w:eastAsia="仿宋" w:cs="Times New Roman"/>
                <w:color w:val="auto"/>
                <w:sz w:val="20"/>
                <w:szCs w:val="21"/>
              </w:rPr>
              <w:drawing>
                <wp:inline distT="0" distB="0" distL="114300" distR="114300">
                  <wp:extent cx="2653030" cy="3658235"/>
                  <wp:effectExtent l="0" t="0" r="13970" b="18415"/>
                  <wp:docPr id="41" name="图片 41" descr="C:/Users/Administrator/AppData/Local/Temp/picturecompress_20211228101936/output_27.jp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AppData/Local/Temp/picturecompress_20211228101936/output_27.jpgoutput_27"/>
                          <pic:cNvPicPr>
                            <a:picLocks noChangeAspect="1"/>
                          </pic:cNvPicPr>
                        </pic:nvPicPr>
                        <pic:blipFill>
                          <a:blip r:embed="rId22"/>
                          <a:stretch>
                            <a:fillRect/>
                          </a:stretch>
                        </pic:blipFill>
                        <pic:spPr>
                          <a:xfrm>
                            <a:off x="0" y="0"/>
                            <a:ext cx="2653030" cy="3658235"/>
                          </a:xfrm>
                          <a:prstGeom prst="rect">
                            <a:avLst/>
                          </a:prstGeom>
                        </pic:spPr>
                      </pic:pic>
                    </a:graphicData>
                  </a:graphic>
                </wp:inline>
              </w:drawing>
            </w:r>
            <w:r>
              <w:rPr>
                <w:rFonts w:hint="default" w:ascii="Times New Roman" w:hAnsi="Times New Roman" w:eastAsia="仿宋" w:cs="Times New Roman"/>
                <w:color w:val="auto"/>
                <w:sz w:val="20"/>
                <w:szCs w:val="21"/>
              </w:rPr>
              <w:t>实地调查入镜照</w:t>
            </w:r>
          </w:p>
        </w:tc>
      </w:tr>
    </w:tbl>
    <w:p>
      <w:pP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br w:type="page"/>
      </w:r>
    </w:p>
    <w:p>
      <w:pP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估价对象区域位置示意图</w:t>
      </w:r>
    </w:p>
    <w:p>
      <w:pP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rPr>
        <w:pict>
          <v:shape id="_x0000_s1035" o:spid="_x0000_s1035" o:spt="61" type="#_x0000_t61" style="position:absolute;left:0pt;margin-left:216.65pt;margin-top:49.5pt;height:24.75pt;width:58.5pt;z-index:251661312;mso-width-relative:page;mso-height-relative:page;" fillcolor="#FFFFFF" filled="t" stroked="t" coordsize="21600,21600" adj="-3802,38487">
            <v:path/>
            <v:fill on="t" color2="#FFFFFF" focussize="0,0"/>
            <v:stroke color="#000000" joinstyle="miter"/>
            <v:imagedata o:title=""/>
            <o:lock v:ext="edit" aspectratio="f"/>
            <v:textbox>
              <w:txbxContent>
                <w:p>
                  <w:pPr>
                    <w:rPr>
                      <w:rFonts w:asciiTheme="majorEastAsia" w:hAnsiTheme="majorEastAsia" w:eastAsiaTheme="majorEastAsia"/>
                      <w:sz w:val="21"/>
                      <w:szCs w:val="21"/>
                    </w:rPr>
                  </w:pPr>
                  <w:r>
                    <w:rPr>
                      <w:rFonts w:hint="eastAsia" w:asciiTheme="majorEastAsia" w:hAnsiTheme="majorEastAsia" w:eastAsiaTheme="majorEastAsia"/>
                      <w:sz w:val="21"/>
                      <w:szCs w:val="21"/>
                    </w:rPr>
                    <w:t>估价对象</w:t>
                  </w:r>
                </w:p>
              </w:txbxContent>
            </v:textbox>
          </v:shape>
        </w:pict>
      </w:r>
      <w:r>
        <w:rPr>
          <w:rFonts w:hint="default" w:ascii="Times New Roman" w:hAnsi="Times New Roman" w:cs="Times New Roman"/>
        </w:rPr>
        <w:drawing>
          <wp:inline distT="0" distB="0" distL="114300" distR="114300">
            <wp:extent cx="5271135" cy="3465195"/>
            <wp:effectExtent l="0" t="0" r="5715" b="1905"/>
            <wp:docPr id="42" name="图片 7" descr="C:/Users/Administrator/AppData/Local/Temp/picturecompress_20211228101936/output_28.pn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dministrator/AppData/Local/Temp/picturecompress_20211228101936/output_28.pngoutput_28"/>
                    <pic:cNvPicPr>
                      <a:picLocks noChangeAspect="1"/>
                    </pic:cNvPicPr>
                  </pic:nvPicPr>
                  <pic:blipFill>
                    <a:blip r:embed="rId23"/>
                    <a:stretch>
                      <a:fillRect/>
                    </a:stretch>
                  </pic:blipFill>
                  <pic:spPr>
                    <a:xfrm>
                      <a:off x="0" y="0"/>
                      <a:ext cx="5271135" cy="3465195"/>
                    </a:xfrm>
                    <a:prstGeom prst="rect">
                      <a:avLst/>
                    </a:prstGeom>
                    <a:noFill/>
                    <a:ln>
                      <a:noFill/>
                    </a:ln>
                  </pic:spPr>
                </pic:pic>
              </a:graphicData>
            </a:graphic>
          </wp:inline>
        </w:drawing>
      </w:r>
    </w:p>
    <w:p>
      <w:pP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pict>
          <v:shape id="矩形标注 50" o:spid="_x0000_s1033" o:spt="61" type="#_x0000_t61" style="position:absolute;left:0pt;margin-left:191.1pt;margin-top:54.35pt;height:24.75pt;width:58.5pt;z-index:251660288;mso-width-relative:page;mso-height-relative:page;" fillcolor="#FFFFFF" filled="t" stroked="t" coordsize="21600,21600" adj="-5907,40931">
            <v:path/>
            <v:fill on="t" color2="#FFFFFF" focussize="0,0"/>
            <v:stroke color="#000000" joinstyle="miter"/>
            <v:imagedata o:title=""/>
            <o:lock v:ext="edit" aspectratio="f"/>
            <v:textbox>
              <w:txbxContent>
                <w:p>
                  <w:pPr>
                    <w:rPr>
                      <w:rFonts w:asciiTheme="majorEastAsia" w:hAnsiTheme="majorEastAsia" w:eastAsiaTheme="majorEastAsia"/>
                      <w:sz w:val="21"/>
                      <w:szCs w:val="21"/>
                    </w:rPr>
                  </w:pPr>
                  <w:r>
                    <w:rPr>
                      <w:rFonts w:hint="eastAsia" w:asciiTheme="majorEastAsia" w:hAnsiTheme="majorEastAsia" w:eastAsiaTheme="majorEastAsia"/>
                      <w:sz w:val="21"/>
                      <w:szCs w:val="21"/>
                    </w:rPr>
                    <w:t>估价对象</w:t>
                  </w:r>
                </w:p>
              </w:txbxContent>
            </v:textbox>
          </v:shape>
        </w:pict>
      </w:r>
      <w:r>
        <w:rPr>
          <w:rFonts w:hint="default" w:ascii="Times New Roman" w:hAnsi="Times New Roman" w:cs="Times New Roman"/>
        </w:rPr>
        <w:drawing>
          <wp:inline distT="0" distB="0" distL="114300" distR="114300">
            <wp:extent cx="5274310" cy="3632200"/>
            <wp:effectExtent l="0" t="0" r="2540" b="6350"/>
            <wp:docPr id="43" name="图片 8" descr="C:/Users/Administrator/AppData/Local/Temp/picturecompress_20211228101936/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descr="C:/Users/Administrator/AppData/Local/Temp/picturecompress_20211228101936/output_29.pngoutput_29"/>
                    <pic:cNvPicPr>
                      <a:picLocks noChangeAspect="1"/>
                    </pic:cNvPicPr>
                  </pic:nvPicPr>
                  <pic:blipFill>
                    <a:blip r:embed="rId24"/>
                    <a:stretch>
                      <a:fillRect/>
                    </a:stretch>
                  </pic:blipFill>
                  <pic:spPr>
                    <a:xfrm>
                      <a:off x="0" y="0"/>
                      <a:ext cx="5274310" cy="3632200"/>
                    </a:xfrm>
                    <a:prstGeom prst="rect">
                      <a:avLst/>
                    </a:prstGeom>
                    <a:noFill/>
                    <a:ln>
                      <a:noFill/>
                    </a:ln>
                  </pic:spPr>
                </pic:pic>
              </a:graphicData>
            </a:graphic>
          </wp:inline>
        </w:drawing>
      </w:r>
    </w:p>
    <w:p>
      <w:pPr>
        <w:rPr>
          <w:rFonts w:hint="default" w:ascii="Times New Roman" w:hAnsi="Times New Roman" w:eastAsia="仿宋" w:cs="Times New Roman"/>
          <w:color w:val="auto"/>
          <w:sz w:val="28"/>
          <w:szCs w:val="28"/>
        </w:rPr>
      </w:pPr>
    </w:p>
    <w:p>
      <w:pPr>
        <w:rPr>
          <w:rFonts w:hint="default" w:ascii="Times New Roman" w:hAnsi="Times New Roman" w:eastAsia="仿宋" w:cs="Times New Roman"/>
          <w:color w:val="auto"/>
          <w:sz w:val="28"/>
          <w:szCs w:val="28"/>
        </w:rPr>
      </w:pPr>
    </w:p>
    <w:p>
      <w:pPr>
        <w:tabs>
          <w:tab w:val="left" w:pos="728"/>
        </w:tabs>
        <w:rPr>
          <w:rFonts w:hint="default" w:ascii="Times New Roman" w:hAnsi="Times New Roman" w:eastAsia="仿宋" w:cs="Times New Roman"/>
          <w:color w:val="auto"/>
        </w:rPr>
      </w:pPr>
    </w:p>
    <w:p>
      <w:pPr>
        <w:tabs>
          <w:tab w:val="left" w:pos="728"/>
        </w:tabs>
        <w:rPr>
          <w:rFonts w:hint="default" w:ascii="Times New Roman" w:hAnsi="Times New Roman" w:eastAsia="仿宋" w:cs="Times New Roman"/>
          <w:color w:val="auto"/>
        </w:rPr>
      </w:pPr>
    </w:p>
    <w:sectPr>
      <w:footerReference r:id="rId9" w:type="first"/>
      <w:footerReference r:id="rId8" w:type="default"/>
      <w:pgSz w:w="11907" w:h="16840"/>
      <w:pgMar w:top="1105" w:right="1797" w:bottom="1135" w:left="1797" w:header="851" w:footer="992" w:gutter="0"/>
      <w:pgNumType w:fmt="decimal" w:start="1"/>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细黑">
    <w:altName w:val="微软雅黑"/>
    <w:panose1 w:val="00000000000000000000"/>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pPr>
      <w:r>
        <w:separator/>
      </w:r>
    </w:p>
  </w:footnote>
  <w:footnote w:type="continuationSeparator" w:id="1">
    <w:p>
      <w:pPr>
        <w:spacing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sz w:val="21"/>
      </w:rPr>
    </w:pPr>
    <w:r>
      <w:rPr>
        <w:szCs w:val="18"/>
      </w:rPr>
      <w:drawing>
        <wp:inline distT="0" distB="0" distL="0" distR="0">
          <wp:extent cx="281940" cy="304800"/>
          <wp:effectExtent l="19050" t="0" r="3648" b="0"/>
          <wp:docPr id="1" name="图片 1" descr="C:\Users\Administrator\Desktop\LOGO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LOGO黑.png"/>
                  <pic:cNvPicPr>
                    <a:picLocks noChangeAspect="1" noChangeArrowheads="1"/>
                  </pic:cNvPicPr>
                </pic:nvPicPr>
                <pic:blipFill>
                  <a:blip r:embed="rId1"/>
                  <a:srcRect/>
                  <a:stretch>
                    <a:fillRect/>
                  </a:stretch>
                </pic:blipFill>
                <pic:spPr>
                  <a:xfrm>
                    <a:off x="0" y="0"/>
                    <a:ext cx="282102" cy="304800"/>
                  </a:xfrm>
                  <a:prstGeom prst="rect">
                    <a:avLst/>
                  </a:prstGeom>
                  <a:noFill/>
                  <a:ln w="9525">
                    <a:noFill/>
                    <a:miter lim="800000"/>
                    <a:headEnd/>
                    <a:tailEnd/>
                  </a:ln>
                </pic:spPr>
              </pic:pic>
            </a:graphicData>
          </a:graphic>
        </wp:inline>
      </w:drawing>
    </w:r>
    <w:r>
      <w:rPr>
        <w:rFonts w:hint="eastAsia"/>
        <w:szCs w:val="18"/>
      </w:rPr>
      <w:t>博文房地产评估造价集团有限公司房地产估价报告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E5B041"/>
    <w:multiLevelType w:val="singleLevel"/>
    <w:tmpl w:val="B6E5B041"/>
    <w:lvl w:ilvl="0" w:tentative="0">
      <w:start w:val="3"/>
      <w:numFmt w:val="chineseCounting"/>
      <w:suff w:val="nothing"/>
      <w:lvlText w:val="（%1）"/>
      <w:lvlJc w:val="left"/>
      <w:rPr>
        <w:rFonts w:hint="eastAsia"/>
      </w:rPr>
    </w:lvl>
  </w:abstractNum>
  <w:abstractNum w:abstractNumId="1">
    <w:nsid w:val="15FE5EA0"/>
    <w:multiLevelType w:val="multilevel"/>
    <w:tmpl w:val="15FE5EA0"/>
    <w:lvl w:ilvl="0" w:tentative="0">
      <w:start w:val="1"/>
      <w:numFmt w:val="decimal"/>
      <w:lvlText w:val="%1."/>
      <w:lvlJc w:val="left"/>
      <w:pPr>
        <w:ind w:left="2186" w:hanging="360"/>
      </w:pPr>
      <w:rPr>
        <w:rFonts w:hint="default"/>
      </w:rPr>
    </w:lvl>
    <w:lvl w:ilvl="1" w:tentative="0">
      <w:start w:val="1"/>
      <w:numFmt w:val="lowerLetter"/>
      <w:lvlText w:val="%2)"/>
      <w:lvlJc w:val="left"/>
      <w:pPr>
        <w:ind w:left="2666" w:hanging="420"/>
      </w:pPr>
    </w:lvl>
    <w:lvl w:ilvl="2" w:tentative="0">
      <w:start w:val="1"/>
      <w:numFmt w:val="lowerRoman"/>
      <w:lvlText w:val="%3."/>
      <w:lvlJc w:val="right"/>
      <w:pPr>
        <w:ind w:left="3086" w:hanging="420"/>
      </w:pPr>
    </w:lvl>
    <w:lvl w:ilvl="3" w:tentative="0">
      <w:start w:val="1"/>
      <w:numFmt w:val="decimal"/>
      <w:lvlText w:val="%4."/>
      <w:lvlJc w:val="left"/>
      <w:pPr>
        <w:ind w:left="3506" w:hanging="420"/>
      </w:pPr>
    </w:lvl>
    <w:lvl w:ilvl="4" w:tentative="0">
      <w:start w:val="1"/>
      <w:numFmt w:val="lowerLetter"/>
      <w:lvlText w:val="%5)"/>
      <w:lvlJc w:val="left"/>
      <w:pPr>
        <w:ind w:left="3926" w:hanging="420"/>
      </w:pPr>
    </w:lvl>
    <w:lvl w:ilvl="5" w:tentative="0">
      <w:start w:val="1"/>
      <w:numFmt w:val="lowerRoman"/>
      <w:lvlText w:val="%6."/>
      <w:lvlJc w:val="right"/>
      <w:pPr>
        <w:ind w:left="4346" w:hanging="420"/>
      </w:pPr>
    </w:lvl>
    <w:lvl w:ilvl="6" w:tentative="0">
      <w:start w:val="1"/>
      <w:numFmt w:val="decimal"/>
      <w:lvlText w:val="%7."/>
      <w:lvlJc w:val="left"/>
      <w:pPr>
        <w:ind w:left="4766" w:hanging="420"/>
      </w:pPr>
    </w:lvl>
    <w:lvl w:ilvl="7" w:tentative="0">
      <w:start w:val="1"/>
      <w:numFmt w:val="lowerLetter"/>
      <w:lvlText w:val="%8)"/>
      <w:lvlJc w:val="left"/>
      <w:pPr>
        <w:ind w:left="5186" w:hanging="420"/>
      </w:pPr>
    </w:lvl>
    <w:lvl w:ilvl="8" w:tentative="0">
      <w:start w:val="1"/>
      <w:numFmt w:val="lowerRoman"/>
      <w:lvlText w:val="%9."/>
      <w:lvlJc w:val="right"/>
      <w:pPr>
        <w:ind w:left="560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335CE"/>
    <w:rsid w:val="000005FC"/>
    <w:rsid w:val="0000091C"/>
    <w:rsid w:val="00001B95"/>
    <w:rsid w:val="000039D2"/>
    <w:rsid w:val="00003D6F"/>
    <w:rsid w:val="00005A4D"/>
    <w:rsid w:val="000064E3"/>
    <w:rsid w:val="00006941"/>
    <w:rsid w:val="000100CA"/>
    <w:rsid w:val="000114ED"/>
    <w:rsid w:val="000122ED"/>
    <w:rsid w:val="0001403B"/>
    <w:rsid w:val="000149B6"/>
    <w:rsid w:val="000154CE"/>
    <w:rsid w:val="000161A3"/>
    <w:rsid w:val="000177B0"/>
    <w:rsid w:val="00017E09"/>
    <w:rsid w:val="00017FEA"/>
    <w:rsid w:val="000204FA"/>
    <w:rsid w:val="000205BB"/>
    <w:rsid w:val="00023BF4"/>
    <w:rsid w:val="00024199"/>
    <w:rsid w:val="0002525F"/>
    <w:rsid w:val="00025820"/>
    <w:rsid w:val="00030FC2"/>
    <w:rsid w:val="000318A3"/>
    <w:rsid w:val="000320A5"/>
    <w:rsid w:val="00032E19"/>
    <w:rsid w:val="000336FE"/>
    <w:rsid w:val="00034197"/>
    <w:rsid w:val="000346D2"/>
    <w:rsid w:val="000352B9"/>
    <w:rsid w:val="00035857"/>
    <w:rsid w:val="00036035"/>
    <w:rsid w:val="00036173"/>
    <w:rsid w:val="00036F87"/>
    <w:rsid w:val="00037538"/>
    <w:rsid w:val="0004079C"/>
    <w:rsid w:val="00040C33"/>
    <w:rsid w:val="00042401"/>
    <w:rsid w:val="00043593"/>
    <w:rsid w:val="00044A02"/>
    <w:rsid w:val="00046B5A"/>
    <w:rsid w:val="00046CF8"/>
    <w:rsid w:val="0004700A"/>
    <w:rsid w:val="00047B91"/>
    <w:rsid w:val="00050768"/>
    <w:rsid w:val="00050BFE"/>
    <w:rsid w:val="00053273"/>
    <w:rsid w:val="00053A28"/>
    <w:rsid w:val="00055196"/>
    <w:rsid w:val="000630A7"/>
    <w:rsid w:val="000645B8"/>
    <w:rsid w:val="00064777"/>
    <w:rsid w:val="00066C0E"/>
    <w:rsid w:val="00067BFD"/>
    <w:rsid w:val="00072FF2"/>
    <w:rsid w:val="00073A10"/>
    <w:rsid w:val="0007450A"/>
    <w:rsid w:val="00076170"/>
    <w:rsid w:val="00077836"/>
    <w:rsid w:val="00077B33"/>
    <w:rsid w:val="00077BB0"/>
    <w:rsid w:val="00080075"/>
    <w:rsid w:val="00080919"/>
    <w:rsid w:val="00083B22"/>
    <w:rsid w:val="00086BBE"/>
    <w:rsid w:val="00087EC0"/>
    <w:rsid w:val="000913AA"/>
    <w:rsid w:val="00092136"/>
    <w:rsid w:val="00092574"/>
    <w:rsid w:val="000928B5"/>
    <w:rsid w:val="00094AF5"/>
    <w:rsid w:val="00094EFF"/>
    <w:rsid w:val="00095BB1"/>
    <w:rsid w:val="000A0391"/>
    <w:rsid w:val="000A19BA"/>
    <w:rsid w:val="000A402B"/>
    <w:rsid w:val="000A5DD2"/>
    <w:rsid w:val="000B01F5"/>
    <w:rsid w:val="000B1C8A"/>
    <w:rsid w:val="000B2BCE"/>
    <w:rsid w:val="000B34F9"/>
    <w:rsid w:val="000B3658"/>
    <w:rsid w:val="000B3F6E"/>
    <w:rsid w:val="000B4573"/>
    <w:rsid w:val="000B5CAA"/>
    <w:rsid w:val="000B61FA"/>
    <w:rsid w:val="000B7E93"/>
    <w:rsid w:val="000C028C"/>
    <w:rsid w:val="000C09D4"/>
    <w:rsid w:val="000C1D9A"/>
    <w:rsid w:val="000C20D0"/>
    <w:rsid w:val="000C26EE"/>
    <w:rsid w:val="000C3227"/>
    <w:rsid w:val="000C45BF"/>
    <w:rsid w:val="000C520F"/>
    <w:rsid w:val="000C7D62"/>
    <w:rsid w:val="000D1DEA"/>
    <w:rsid w:val="000D40C4"/>
    <w:rsid w:val="000D525C"/>
    <w:rsid w:val="000D54FE"/>
    <w:rsid w:val="000D5D9C"/>
    <w:rsid w:val="000D66C0"/>
    <w:rsid w:val="000D6A5F"/>
    <w:rsid w:val="000D6E71"/>
    <w:rsid w:val="000D7035"/>
    <w:rsid w:val="000D7964"/>
    <w:rsid w:val="000E02FE"/>
    <w:rsid w:val="000E0F52"/>
    <w:rsid w:val="000E1407"/>
    <w:rsid w:val="000E27B1"/>
    <w:rsid w:val="000E360E"/>
    <w:rsid w:val="000E3863"/>
    <w:rsid w:val="000F063B"/>
    <w:rsid w:val="000F17D1"/>
    <w:rsid w:val="000F2C30"/>
    <w:rsid w:val="000F2E9F"/>
    <w:rsid w:val="000F3A15"/>
    <w:rsid w:val="000F462B"/>
    <w:rsid w:val="000F50F7"/>
    <w:rsid w:val="000F519B"/>
    <w:rsid w:val="000F643D"/>
    <w:rsid w:val="000F7078"/>
    <w:rsid w:val="000F7C65"/>
    <w:rsid w:val="00100AF0"/>
    <w:rsid w:val="001015EC"/>
    <w:rsid w:val="001033E3"/>
    <w:rsid w:val="00104302"/>
    <w:rsid w:val="00104915"/>
    <w:rsid w:val="00105B63"/>
    <w:rsid w:val="00105C46"/>
    <w:rsid w:val="001070B0"/>
    <w:rsid w:val="00107214"/>
    <w:rsid w:val="00107BBC"/>
    <w:rsid w:val="00107E59"/>
    <w:rsid w:val="001101BA"/>
    <w:rsid w:val="00110306"/>
    <w:rsid w:val="00110792"/>
    <w:rsid w:val="00111377"/>
    <w:rsid w:val="001113E1"/>
    <w:rsid w:val="0011240D"/>
    <w:rsid w:val="001133BA"/>
    <w:rsid w:val="0011362C"/>
    <w:rsid w:val="00115046"/>
    <w:rsid w:val="00120391"/>
    <w:rsid w:val="00120E9F"/>
    <w:rsid w:val="00121236"/>
    <w:rsid w:val="00126119"/>
    <w:rsid w:val="0012666B"/>
    <w:rsid w:val="00126768"/>
    <w:rsid w:val="00130408"/>
    <w:rsid w:val="001311D8"/>
    <w:rsid w:val="00131D75"/>
    <w:rsid w:val="00133911"/>
    <w:rsid w:val="0013572A"/>
    <w:rsid w:val="0013574C"/>
    <w:rsid w:val="0013585A"/>
    <w:rsid w:val="00136459"/>
    <w:rsid w:val="00137E67"/>
    <w:rsid w:val="001440D9"/>
    <w:rsid w:val="00144309"/>
    <w:rsid w:val="001447C8"/>
    <w:rsid w:val="00144CBF"/>
    <w:rsid w:val="00147279"/>
    <w:rsid w:val="00147F2C"/>
    <w:rsid w:val="00150B04"/>
    <w:rsid w:val="001513C0"/>
    <w:rsid w:val="001528B9"/>
    <w:rsid w:val="00154B54"/>
    <w:rsid w:val="00156E23"/>
    <w:rsid w:val="0016136C"/>
    <w:rsid w:val="0016183A"/>
    <w:rsid w:val="001646C5"/>
    <w:rsid w:val="00166B8B"/>
    <w:rsid w:val="001707F2"/>
    <w:rsid w:val="001710E3"/>
    <w:rsid w:val="00172A43"/>
    <w:rsid w:val="00172B95"/>
    <w:rsid w:val="00172EEF"/>
    <w:rsid w:val="00173117"/>
    <w:rsid w:val="001740CF"/>
    <w:rsid w:val="00174DF9"/>
    <w:rsid w:val="00174F17"/>
    <w:rsid w:val="00175C57"/>
    <w:rsid w:val="00177A8A"/>
    <w:rsid w:val="00180A51"/>
    <w:rsid w:val="001826F2"/>
    <w:rsid w:val="001838FA"/>
    <w:rsid w:val="00185650"/>
    <w:rsid w:val="001857AC"/>
    <w:rsid w:val="001860AC"/>
    <w:rsid w:val="00186E21"/>
    <w:rsid w:val="00190ED2"/>
    <w:rsid w:val="00191232"/>
    <w:rsid w:val="00191F19"/>
    <w:rsid w:val="00192284"/>
    <w:rsid w:val="00193AEC"/>
    <w:rsid w:val="001946C9"/>
    <w:rsid w:val="0019481A"/>
    <w:rsid w:val="00195854"/>
    <w:rsid w:val="00195C46"/>
    <w:rsid w:val="00197811"/>
    <w:rsid w:val="001A1B88"/>
    <w:rsid w:val="001A289F"/>
    <w:rsid w:val="001A3184"/>
    <w:rsid w:val="001A3852"/>
    <w:rsid w:val="001A4290"/>
    <w:rsid w:val="001A51AC"/>
    <w:rsid w:val="001A54D9"/>
    <w:rsid w:val="001A5C12"/>
    <w:rsid w:val="001A7260"/>
    <w:rsid w:val="001A777F"/>
    <w:rsid w:val="001B0107"/>
    <w:rsid w:val="001B0BD6"/>
    <w:rsid w:val="001B1B08"/>
    <w:rsid w:val="001B2326"/>
    <w:rsid w:val="001B3D64"/>
    <w:rsid w:val="001B41D0"/>
    <w:rsid w:val="001B48CA"/>
    <w:rsid w:val="001B7707"/>
    <w:rsid w:val="001C08E5"/>
    <w:rsid w:val="001C1B70"/>
    <w:rsid w:val="001C1F77"/>
    <w:rsid w:val="001C21E7"/>
    <w:rsid w:val="001C3EB0"/>
    <w:rsid w:val="001C4536"/>
    <w:rsid w:val="001C4EE2"/>
    <w:rsid w:val="001C7DFE"/>
    <w:rsid w:val="001C7EE5"/>
    <w:rsid w:val="001D0229"/>
    <w:rsid w:val="001D20E2"/>
    <w:rsid w:val="001D2941"/>
    <w:rsid w:val="001D3803"/>
    <w:rsid w:val="001D46D0"/>
    <w:rsid w:val="001D4B3F"/>
    <w:rsid w:val="001D553C"/>
    <w:rsid w:val="001D599E"/>
    <w:rsid w:val="001D5DEA"/>
    <w:rsid w:val="001E124E"/>
    <w:rsid w:val="001E1B13"/>
    <w:rsid w:val="001E249F"/>
    <w:rsid w:val="001E2FB3"/>
    <w:rsid w:val="001E3D52"/>
    <w:rsid w:val="001E72CB"/>
    <w:rsid w:val="001E7985"/>
    <w:rsid w:val="001E7F5A"/>
    <w:rsid w:val="001F0C67"/>
    <w:rsid w:val="001F1D30"/>
    <w:rsid w:val="001F4E72"/>
    <w:rsid w:val="001F65F5"/>
    <w:rsid w:val="001F7EB3"/>
    <w:rsid w:val="00201681"/>
    <w:rsid w:val="00201A84"/>
    <w:rsid w:val="00202741"/>
    <w:rsid w:val="00203074"/>
    <w:rsid w:val="002038D0"/>
    <w:rsid w:val="00203BF0"/>
    <w:rsid w:val="00206AD9"/>
    <w:rsid w:val="00207A34"/>
    <w:rsid w:val="0021026A"/>
    <w:rsid w:val="00211E27"/>
    <w:rsid w:val="00212B34"/>
    <w:rsid w:val="00213119"/>
    <w:rsid w:val="0021409D"/>
    <w:rsid w:val="002158C0"/>
    <w:rsid w:val="00216FAF"/>
    <w:rsid w:val="0021702F"/>
    <w:rsid w:val="00217650"/>
    <w:rsid w:val="00220EE0"/>
    <w:rsid w:val="00221269"/>
    <w:rsid w:val="00221628"/>
    <w:rsid w:val="0022282E"/>
    <w:rsid w:val="00226730"/>
    <w:rsid w:val="00230AE3"/>
    <w:rsid w:val="00231C8C"/>
    <w:rsid w:val="00232944"/>
    <w:rsid w:val="00233760"/>
    <w:rsid w:val="0023435D"/>
    <w:rsid w:val="00237D34"/>
    <w:rsid w:val="00241000"/>
    <w:rsid w:val="00242440"/>
    <w:rsid w:val="002424F6"/>
    <w:rsid w:val="002448FE"/>
    <w:rsid w:val="00244F24"/>
    <w:rsid w:val="002450C8"/>
    <w:rsid w:val="00245A9D"/>
    <w:rsid w:val="00246B71"/>
    <w:rsid w:val="00247121"/>
    <w:rsid w:val="00247B12"/>
    <w:rsid w:val="00250682"/>
    <w:rsid w:val="002508B4"/>
    <w:rsid w:val="00250A5F"/>
    <w:rsid w:val="00251671"/>
    <w:rsid w:val="00251B16"/>
    <w:rsid w:val="00252E07"/>
    <w:rsid w:val="00253F84"/>
    <w:rsid w:val="002545DA"/>
    <w:rsid w:val="002578A1"/>
    <w:rsid w:val="00261271"/>
    <w:rsid w:val="00264724"/>
    <w:rsid w:val="0026490E"/>
    <w:rsid w:val="00265A6D"/>
    <w:rsid w:val="00266183"/>
    <w:rsid w:val="00267328"/>
    <w:rsid w:val="002702B1"/>
    <w:rsid w:val="00273679"/>
    <w:rsid w:val="002737B7"/>
    <w:rsid w:val="00273B3F"/>
    <w:rsid w:val="0027496B"/>
    <w:rsid w:val="0027673C"/>
    <w:rsid w:val="00277A10"/>
    <w:rsid w:val="00280D21"/>
    <w:rsid w:val="00281C26"/>
    <w:rsid w:val="00281F75"/>
    <w:rsid w:val="002825AD"/>
    <w:rsid w:val="0028350E"/>
    <w:rsid w:val="00283683"/>
    <w:rsid w:val="00283A28"/>
    <w:rsid w:val="002857ED"/>
    <w:rsid w:val="00286A3B"/>
    <w:rsid w:val="00286FAC"/>
    <w:rsid w:val="00290135"/>
    <w:rsid w:val="00290DE7"/>
    <w:rsid w:val="00291170"/>
    <w:rsid w:val="002927F5"/>
    <w:rsid w:val="00293D63"/>
    <w:rsid w:val="00293E4C"/>
    <w:rsid w:val="00293EC1"/>
    <w:rsid w:val="00294B2A"/>
    <w:rsid w:val="00296A6A"/>
    <w:rsid w:val="00296DC2"/>
    <w:rsid w:val="00297743"/>
    <w:rsid w:val="002A29DC"/>
    <w:rsid w:val="002A3C71"/>
    <w:rsid w:val="002A45DC"/>
    <w:rsid w:val="002A4811"/>
    <w:rsid w:val="002A5A4E"/>
    <w:rsid w:val="002A64DA"/>
    <w:rsid w:val="002A6515"/>
    <w:rsid w:val="002A673E"/>
    <w:rsid w:val="002A6A11"/>
    <w:rsid w:val="002A7AF1"/>
    <w:rsid w:val="002B012B"/>
    <w:rsid w:val="002B06F7"/>
    <w:rsid w:val="002B2518"/>
    <w:rsid w:val="002B34EB"/>
    <w:rsid w:val="002B4CC4"/>
    <w:rsid w:val="002B4DBE"/>
    <w:rsid w:val="002B5A5A"/>
    <w:rsid w:val="002C02D8"/>
    <w:rsid w:val="002C130F"/>
    <w:rsid w:val="002C18C3"/>
    <w:rsid w:val="002C29E8"/>
    <w:rsid w:val="002C3C85"/>
    <w:rsid w:val="002C3D59"/>
    <w:rsid w:val="002C5927"/>
    <w:rsid w:val="002D04C1"/>
    <w:rsid w:val="002D0A50"/>
    <w:rsid w:val="002D1084"/>
    <w:rsid w:val="002D2FB3"/>
    <w:rsid w:val="002D4953"/>
    <w:rsid w:val="002D7C1C"/>
    <w:rsid w:val="002E07C8"/>
    <w:rsid w:val="002E194F"/>
    <w:rsid w:val="002E253E"/>
    <w:rsid w:val="002E2673"/>
    <w:rsid w:val="002E319C"/>
    <w:rsid w:val="002E5490"/>
    <w:rsid w:val="002F0B81"/>
    <w:rsid w:val="002F0D05"/>
    <w:rsid w:val="002F12F5"/>
    <w:rsid w:val="002F1F93"/>
    <w:rsid w:val="002F2B44"/>
    <w:rsid w:val="002F2F57"/>
    <w:rsid w:val="002F2FDD"/>
    <w:rsid w:val="002F3A4B"/>
    <w:rsid w:val="002F4325"/>
    <w:rsid w:val="002F4931"/>
    <w:rsid w:val="002F573E"/>
    <w:rsid w:val="002F5C45"/>
    <w:rsid w:val="002F7C39"/>
    <w:rsid w:val="002F7D1C"/>
    <w:rsid w:val="00300393"/>
    <w:rsid w:val="003005EE"/>
    <w:rsid w:val="003018A9"/>
    <w:rsid w:val="00301A0F"/>
    <w:rsid w:val="00302387"/>
    <w:rsid w:val="00302FD7"/>
    <w:rsid w:val="00304961"/>
    <w:rsid w:val="00304D05"/>
    <w:rsid w:val="0030516D"/>
    <w:rsid w:val="00311845"/>
    <w:rsid w:val="00311F40"/>
    <w:rsid w:val="003141C6"/>
    <w:rsid w:val="003141D4"/>
    <w:rsid w:val="00314723"/>
    <w:rsid w:val="00314AC0"/>
    <w:rsid w:val="0031562E"/>
    <w:rsid w:val="00316EC2"/>
    <w:rsid w:val="00320899"/>
    <w:rsid w:val="00321285"/>
    <w:rsid w:val="00321905"/>
    <w:rsid w:val="00321C19"/>
    <w:rsid w:val="0032219C"/>
    <w:rsid w:val="00322898"/>
    <w:rsid w:val="00324146"/>
    <w:rsid w:val="0032502E"/>
    <w:rsid w:val="00325755"/>
    <w:rsid w:val="00325AAF"/>
    <w:rsid w:val="0032662D"/>
    <w:rsid w:val="003269B5"/>
    <w:rsid w:val="00327BE0"/>
    <w:rsid w:val="00332024"/>
    <w:rsid w:val="00333C56"/>
    <w:rsid w:val="00334C4D"/>
    <w:rsid w:val="00334CD4"/>
    <w:rsid w:val="00336C27"/>
    <w:rsid w:val="00341BE8"/>
    <w:rsid w:val="00341EA8"/>
    <w:rsid w:val="003421BB"/>
    <w:rsid w:val="003432F8"/>
    <w:rsid w:val="00344802"/>
    <w:rsid w:val="00345FEF"/>
    <w:rsid w:val="00347885"/>
    <w:rsid w:val="00352179"/>
    <w:rsid w:val="00354385"/>
    <w:rsid w:val="0035598A"/>
    <w:rsid w:val="00355E96"/>
    <w:rsid w:val="00360C0F"/>
    <w:rsid w:val="003613E6"/>
    <w:rsid w:val="00361432"/>
    <w:rsid w:val="00361EFE"/>
    <w:rsid w:val="003627DE"/>
    <w:rsid w:val="00362EA4"/>
    <w:rsid w:val="0036373C"/>
    <w:rsid w:val="003668EE"/>
    <w:rsid w:val="00366C6C"/>
    <w:rsid w:val="00367551"/>
    <w:rsid w:val="0036766E"/>
    <w:rsid w:val="00370596"/>
    <w:rsid w:val="003717A7"/>
    <w:rsid w:val="0037287E"/>
    <w:rsid w:val="00374604"/>
    <w:rsid w:val="00374BD2"/>
    <w:rsid w:val="003755D8"/>
    <w:rsid w:val="00376731"/>
    <w:rsid w:val="00377162"/>
    <w:rsid w:val="0038013F"/>
    <w:rsid w:val="003811BF"/>
    <w:rsid w:val="003823FF"/>
    <w:rsid w:val="003824D1"/>
    <w:rsid w:val="00382B9E"/>
    <w:rsid w:val="003838A3"/>
    <w:rsid w:val="00383C29"/>
    <w:rsid w:val="0038519D"/>
    <w:rsid w:val="00385B35"/>
    <w:rsid w:val="00386EB7"/>
    <w:rsid w:val="00387B77"/>
    <w:rsid w:val="00391B7C"/>
    <w:rsid w:val="00394052"/>
    <w:rsid w:val="00394333"/>
    <w:rsid w:val="00395CC0"/>
    <w:rsid w:val="00396DC2"/>
    <w:rsid w:val="003A2E1D"/>
    <w:rsid w:val="003A34EF"/>
    <w:rsid w:val="003A3733"/>
    <w:rsid w:val="003A3CE5"/>
    <w:rsid w:val="003A5C38"/>
    <w:rsid w:val="003A6ACD"/>
    <w:rsid w:val="003A77E2"/>
    <w:rsid w:val="003A7909"/>
    <w:rsid w:val="003B059B"/>
    <w:rsid w:val="003B06A4"/>
    <w:rsid w:val="003B08C1"/>
    <w:rsid w:val="003B0B59"/>
    <w:rsid w:val="003B1590"/>
    <w:rsid w:val="003B19B0"/>
    <w:rsid w:val="003B2532"/>
    <w:rsid w:val="003B4146"/>
    <w:rsid w:val="003B4471"/>
    <w:rsid w:val="003B45AD"/>
    <w:rsid w:val="003B534E"/>
    <w:rsid w:val="003B6474"/>
    <w:rsid w:val="003B6796"/>
    <w:rsid w:val="003B6FC8"/>
    <w:rsid w:val="003C1041"/>
    <w:rsid w:val="003C287D"/>
    <w:rsid w:val="003C297D"/>
    <w:rsid w:val="003C2F2E"/>
    <w:rsid w:val="003C7448"/>
    <w:rsid w:val="003D0F73"/>
    <w:rsid w:val="003D11C2"/>
    <w:rsid w:val="003D13D4"/>
    <w:rsid w:val="003D17D1"/>
    <w:rsid w:val="003D30FE"/>
    <w:rsid w:val="003D398C"/>
    <w:rsid w:val="003D4321"/>
    <w:rsid w:val="003D69AF"/>
    <w:rsid w:val="003D6F70"/>
    <w:rsid w:val="003D7587"/>
    <w:rsid w:val="003E0931"/>
    <w:rsid w:val="003E15D5"/>
    <w:rsid w:val="003E2438"/>
    <w:rsid w:val="003E2B0B"/>
    <w:rsid w:val="003E2E72"/>
    <w:rsid w:val="003E32DB"/>
    <w:rsid w:val="003E5CE5"/>
    <w:rsid w:val="003E5E8C"/>
    <w:rsid w:val="003E6575"/>
    <w:rsid w:val="003E6A12"/>
    <w:rsid w:val="003E7D7D"/>
    <w:rsid w:val="003E7DB6"/>
    <w:rsid w:val="003F0C83"/>
    <w:rsid w:val="003F0D3E"/>
    <w:rsid w:val="003F2F3D"/>
    <w:rsid w:val="003F3412"/>
    <w:rsid w:val="003F4423"/>
    <w:rsid w:val="003F4BD7"/>
    <w:rsid w:val="003F50C8"/>
    <w:rsid w:val="003F5357"/>
    <w:rsid w:val="003F5F5C"/>
    <w:rsid w:val="003F621A"/>
    <w:rsid w:val="003F638A"/>
    <w:rsid w:val="003F659B"/>
    <w:rsid w:val="003F67FF"/>
    <w:rsid w:val="003F6BF5"/>
    <w:rsid w:val="003F75D8"/>
    <w:rsid w:val="003F7ACB"/>
    <w:rsid w:val="0040023F"/>
    <w:rsid w:val="00400B7B"/>
    <w:rsid w:val="00402036"/>
    <w:rsid w:val="004021EB"/>
    <w:rsid w:val="00402C19"/>
    <w:rsid w:val="00403B55"/>
    <w:rsid w:val="0040479A"/>
    <w:rsid w:val="0040548A"/>
    <w:rsid w:val="00407B81"/>
    <w:rsid w:val="004102D4"/>
    <w:rsid w:val="00411714"/>
    <w:rsid w:val="00412419"/>
    <w:rsid w:val="00412F53"/>
    <w:rsid w:val="00414248"/>
    <w:rsid w:val="004142A6"/>
    <w:rsid w:val="00414AF1"/>
    <w:rsid w:val="00416192"/>
    <w:rsid w:val="004165E2"/>
    <w:rsid w:val="00416BC2"/>
    <w:rsid w:val="00416EA4"/>
    <w:rsid w:val="00420326"/>
    <w:rsid w:val="00421199"/>
    <w:rsid w:val="004220BD"/>
    <w:rsid w:val="00423CB0"/>
    <w:rsid w:val="00424E9B"/>
    <w:rsid w:val="0042677A"/>
    <w:rsid w:val="00427793"/>
    <w:rsid w:val="004278C6"/>
    <w:rsid w:val="00427D0F"/>
    <w:rsid w:val="00430DD4"/>
    <w:rsid w:val="00431DB8"/>
    <w:rsid w:val="00432B5A"/>
    <w:rsid w:val="004338C7"/>
    <w:rsid w:val="00433D68"/>
    <w:rsid w:val="00434188"/>
    <w:rsid w:val="0043539B"/>
    <w:rsid w:val="00435693"/>
    <w:rsid w:val="00435BD5"/>
    <w:rsid w:val="00435D17"/>
    <w:rsid w:val="00437CE6"/>
    <w:rsid w:val="004401AB"/>
    <w:rsid w:val="004424A0"/>
    <w:rsid w:val="00442606"/>
    <w:rsid w:val="004429E5"/>
    <w:rsid w:val="00444098"/>
    <w:rsid w:val="004448DD"/>
    <w:rsid w:val="00444D5D"/>
    <w:rsid w:val="00445A48"/>
    <w:rsid w:val="004461D7"/>
    <w:rsid w:val="00446208"/>
    <w:rsid w:val="00446B37"/>
    <w:rsid w:val="004470A8"/>
    <w:rsid w:val="004471EF"/>
    <w:rsid w:val="004479BF"/>
    <w:rsid w:val="00450265"/>
    <w:rsid w:val="004515DA"/>
    <w:rsid w:val="00452969"/>
    <w:rsid w:val="00453429"/>
    <w:rsid w:val="00453A88"/>
    <w:rsid w:val="00454DB0"/>
    <w:rsid w:val="004552FB"/>
    <w:rsid w:val="00455A39"/>
    <w:rsid w:val="00455F41"/>
    <w:rsid w:val="00456BB4"/>
    <w:rsid w:val="00460D74"/>
    <w:rsid w:val="00461215"/>
    <w:rsid w:val="004615F6"/>
    <w:rsid w:val="00461628"/>
    <w:rsid w:val="00461C3D"/>
    <w:rsid w:val="00461CE6"/>
    <w:rsid w:val="00465E50"/>
    <w:rsid w:val="00466592"/>
    <w:rsid w:val="0046719F"/>
    <w:rsid w:val="00470BBD"/>
    <w:rsid w:val="0047112E"/>
    <w:rsid w:val="00471C9B"/>
    <w:rsid w:val="00471DC9"/>
    <w:rsid w:val="00473A51"/>
    <w:rsid w:val="00473C1A"/>
    <w:rsid w:val="00473C31"/>
    <w:rsid w:val="00474154"/>
    <w:rsid w:val="00474F71"/>
    <w:rsid w:val="00477AB6"/>
    <w:rsid w:val="00477ADC"/>
    <w:rsid w:val="00480A85"/>
    <w:rsid w:val="0048154A"/>
    <w:rsid w:val="004826CA"/>
    <w:rsid w:val="00482FB0"/>
    <w:rsid w:val="004839E6"/>
    <w:rsid w:val="00484D9A"/>
    <w:rsid w:val="00484E11"/>
    <w:rsid w:val="00485E93"/>
    <w:rsid w:val="00485FF9"/>
    <w:rsid w:val="004904E1"/>
    <w:rsid w:val="00491941"/>
    <w:rsid w:val="00492B4F"/>
    <w:rsid w:val="00494AC4"/>
    <w:rsid w:val="00494BF4"/>
    <w:rsid w:val="0049556D"/>
    <w:rsid w:val="004959BB"/>
    <w:rsid w:val="0049644D"/>
    <w:rsid w:val="00496ED4"/>
    <w:rsid w:val="0049716F"/>
    <w:rsid w:val="00497699"/>
    <w:rsid w:val="00497A28"/>
    <w:rsid w:val="004A0ED9"/>
    <w:rsid w:val="004A1065"/>
    <w:rsid w:val="004A3C54"/>
    <w:rsid w:val="004A6C00"/>
    <w:rsid w:val="004A6C5C"/>
    <w:rsid w:val="004A710A"/>
    <w:rsid w:val="004B018D"/>
    <w:rsid w:val="004B08B3"/>
    <w:rsid w:val="004B10B1"/>
    <w:rsid w:val="004B16E1"/>
    <w:rsid w:val="004B2405"/>
    <w:rsid w:val="004B31E5"/>
    <w:rsid w:val="004B3633"/>
    <w:rsid w:val="004B3EAA"/>
    <w:rsid w:val="004B43C8"/>
    <w:rsid w:val="004B5092"/>
    <w:rsid w:val="004C06BC"/>
    <w:rsid w:val="004C114C"/>
    <w:rsid w:val="004C394E"/>
    <w:rsid w:val="004C631C"/>
    <w:rsid w:val="004C6F68"/>
    <w:rsid w:val="004C7419"/>
    <w:rsid w:val="004D051A"/>
    <w:rsid w:val="004D152A"/>
    <w:rsid w:val="004D1D89"/>
    <w:rsid w:val="004D1F23"/>
    <w:rsid w:val="004D202F"/>
    <w:rsid w:val="004D2135"/>
    <w:rsid w:val="004D23C5"/>
    <w:rsid w:val="004D303D"/>
    <w:rsid w:val="004D4345"/>
    <w:rsid w:val="004D4938"/>
    <w:rsid w:val="004D5657"/>
    <w:rsid w:val="004D5ADC"/>
    <w:rsid w:val="004D5B6C"/>
    <w:rsid w:val="004D5F21"/>
    <w:rsid w:val="004D6D90"/>
    <w:rsid w:val="004D7BCF"/>
    <w:rsid w:val="004E06A9"/>
    <w:rsid w:val="004E10A1"/>
    <w:rsid w:val="004E55D1"/>
    <w:rsid w:val="004E5910"/>
    <w:rsid w:val="004E7466"/>
    <w:rsid w:val="004F01FF"/>
    <w:rsid w:val="004F0960"/>
    <w:rsid w:val="004F0F88"/>
    <w:rsid w:val="004F1DCC"/>
    <w:rsid w:val="004F1FA5"/>
    <w:rsid w:val="004F31A6"/>
    <w:rsid w:val="004F31D8"/>
    <w:rsid w:val="004F3BC1"/>
    <w:rsid w:val="004F3D7A"/>
    <w:rsid w:val="004F48E5"/>
    <w:rsid w:val="004F49BC"/>
    <w:rsid w:val="004F4BFB"/>
    <w:rsid w:val="004F6BC5"/>
    <w:rsid w:val="004F7601"/>
    <w:rsid w:val="00500D92"/>
    <w:rsid w:val="00500F80"/>
    <w:rsid w:val="00502F73"/>
    <w:rsid w:val="00507E08"/>
    <w:rsid w:val="00511217"/>
    <w:rsid w:val="005125E9"/>
    <w:rsid w:val="00514102"/>
    <w:rsid w:val="00514C3B"/>
    <w:rsid w:val="00515C48"/>
    <w:rsid w:val="00520137"/>
    <w:rsid w:val="00520318"/>
    <w:rsid w:val="0052147B"/>
    <w:rsid w:val="00521A1F"/>
    <w:rsid w:val="00522BF5"/>
    <w:rsid w:val="00522E94"/>
    <w:rsid w:val="00523782"/>
    <w:rsid w:val="00523BF7"/>
    <w:rsid w:val="005244B7"/>
    <w:rsid w:val="00524A66"/>
    <w:rsid w:val="00524E19"/>
    <w:rsid w:val="0052561C"/>
    <w:rsid w:val="005265D5"/>
    <w:rsid w:val="00531543"/>
    <w:rsid w:val="00531B0E"/>
    <w:rsid w:val="00533C2C"/>
    <w:rsid w:val="005347E5"/>
    <w:rsid w:val="0053510F"/>
    <w:rsid w:val="00536095"/>
    <w:rsid w:val="0053686C"/>
    <w:rsid w:val="0053755B"/>
    <w:rsid w:val="005378AA"/>
    <w:rsid w:val="00540F2A"/>
    <w:rsid w:val="005413C9"/>
    <w:rsid w:val="0054186E"/>
    <w:rsid w:val="00542AF2"/>
    <w:rsid w:val="00544E78"/>
    <w:rsid w:val="005452A5"/>
    <w:rsid w:val="0054724E"/>
    <w:rsid w:val="00547AB6"/>
    <w:rsid w:val="00551F96"/>
    <w:rsid w:val="005525E3"/>
    <w:rsid w:val="00552723"/>
    <w:rsid w:val="00554AE7"/>
    <w:rsid w:val="00556179"/>
    <w:rsid w:val="005570CD"/>
    <w:rsid w:val="00557701"/>
    <w:rsid w:val="005578F9"/>
    <w:rsid w:val="00562BCF"/>
    <w:rsid w:val="00564219"/>
    <w:rsid w:val="00564CBF"/>
    <w:rsid w:val="005658FC"/>
    <w:rsid w:val="00565DD8"/>
    <w:rsid w:val="00565F0F"/>
    <w:rsid w:val="00566665"/>
    <w:rsid w:val="0056787E"/>
    <w:rsid w:val="00567A1C"/>
    <w:rsid w:val="00567FA3"/>
    <w:rsid w:val="0057045C"/>
    <w:rsid w:val="00570B23"/>
    <w:rsid w:val="00571197"/>
    <w:rsid w:val="00571CF7"/>
    <w:rsid w:val="00572144"/>
    <w:rsid w:val="0057267E"/>
    <w:rsid w:val="005728C0"/>
    <w:rsid w:val="0057318C"/>
    <w:rsid w:val="00573B78"/>
    <w:rsid w:val="00573E31"/>
    <w:rsid w:val="00574B93"/>
    <w:rsid w:val="00574E72"/>
    <w:rsid w:val="005765C5"/>
    <w:rsid w:val="00577DD8"/>
    <w:rsid w:val="00577DE0"/>
    <w:rsid w:val="00581929"/>
    <w:rsid w:val="00582647"/>
    <w:rsid w:val="00582ABC"/>
    <w:rsid w:val="00586806"/>
    <w:rsid w:val="00586E08"/>
    <w:rsid w:val="00586E5E"/>
    <w:rsid w:val="00590200"/>
    <w:rsid w:val="00591AC6"/>
    <w:rsid w:val="00591D95"/>
    <w:rsid w:val="00592F54"/>
    <w:rsid w:val="005930F8"/>
    <w:rsid w:val="00593854"/>
    <w:rsid w:val="005950C7"/>
    <w:rsid w:val="005955BD"/>
    <w:rsid w:val="00596569"/>
    <w:rsid w:val="005971F0"/>
    <w:rsid w:val="00597294"/>
    <w:rsid w:val="00597368"/>
    <w:rsid w:val="005A04B8"/>
    <w:rsid w:val="005A0855"/>
    <w:rsid w:val="005A0D7E"/>
    <w:rsid w:val="005A167F"/>
    <w:rsid w:val="005A234F"/>
    <w:rsid w:val="005A2C08"/>
    <w:rsid w:val="005A3BAE"/>
    <w:rsid w:val="005A51F5"/>
    <w:rsid w:val="005A5222"/>
    <w:rsid w:val="005A58D9"/>
    <w:rsid w:val="005A5A80"/>
    <w:rsid w:val="005A697E"/>
    <w:rsid w:val="005B2C6D"/>
    <w:rsid w:val="005B44B4"/>
    <w:rsid w:val="005B4DD8"/>
    <w:rsid w:val="005B5846"/>
    <w:rsid w:val="005B59E5"/>
    <w:rsid w:val="005B69E2"/>
    <w:rsid w:val="005B75F6"/>
    <w:rsid w:val="005C0F42"/>
    <w:rsid w:val="005C23B3"/>
    <w:rsid w:val="005C2D1C"/>
    <w:rsid w:val="005C2EB0"/>
    <w:rsid w:val="005C5A75"/>
    <w:rsid w:val="005C6264"/>
    <w:rsid w:val="005C725A"/>
    <w:rsid w:val="005D04C7"/>
    <w:rsid w:val="005D13EF"/>
    <w:rsid w:val="005D4346"/>
    <w:rsid w:val="005D478B"/>
    <w:rsid w:val="005D4A0F"/>
    <w:rsid w:val="005D5040"/>
    <w:rsid w:val="005D6A48"/>
    <w:rsid w:val="005D6A77"/>
    <w:rsid w:val="005E01C5"/>
    <w:rsid w:val="005E20DD"/>
    <w:rsid w:val="005E25CF"/>
    <w:rsid w:val="005E2804"/>
    <w:rsid w:val="005E2B2A"/>
    <w:rsid w:val="005E4E9A"/>
    <w:rsid w:val="005E54A7"/>
    <w:rsid w:val="005E624A"/>
    <w:rsid w:val="005E6C98"/>
    <w:rsid w:val="005E6D74"/>
    <w:rsid w:val="005E74BE"/>
    <w:rsid w:val="005E7958"/>
    <w:rsid w:val="005F1360"/>
    <w:rsid w:val="005F2C13"/>
    <w:rsid w:val="005F4D13"/>
    <w:rsid w:val="005F4E9E"/>
    <w:rsid w:val="005F5021"/>
    <w:rsid w:val="005F612E"/>
    <w:rsid w:val="005F6D36"/>
    <w:rsid w:val="0060070B"/>
    <w:rsid w:val="00600787"/>
    <w:rsid w:val="00600E61"/>
    <w:rsid w:val="00601942"/>
    <w:rsid w:val="00602013"/>
    <w:rsid w:val="00602A88"/>
    <w:rsid w:val="0060410F"/>
    <w:rsid w:val="00604E26"/>
    <w:rsid w:val="00605115"/>
    <w:rsid w:val="00605440"/>
    <w:rsid w:val="006072D1"/>
    <w:rsid w:val="0061160C"/>
    <w:rsid w:val="00614D8F"/>
    <w:rsid w:val="00615943"/>
    <w:rsid w:val="00615EBC"/>
    <w:rsid w:val="00621809"/>
    <w:rsid w:val="00621C93"/>
    <w:rsid w:val="006226FE"/>
    <w:rsid w:val="00622C02"/>
    <w:rsid w:val="006249C8"/>
    <w:rsid w:val="006250E5"/>
    <w:rsid w:val="00627FA8"/>
    <w:rsid w:val="00631824"/>
    <w:rsid w:val="006333AA"/>
    <w:rsid w:val="006335CE"/>
    <w:rsid w:val="006336E0"/>
    <w:rsid w:val="006367BC"/>
    <w:rsid w:val="0063742F"/>
    <w:rsid w:val="00640936"/>
    <w:rsid w:val="00640AC7"/>
    <w:rsid w:val="006419C9"/>
    <w:rsid w:val="00641BED"/>
    <w:rsid w:val="00641C51"/>
    <w:rsid w:val="006447D8"/>
    <w:rsid w:val="00644A38"/>
    <w:rsid w:val="00646175"/>
    <w:rsid w:val="00651A3A"/>
    <w:rsid w:val="00651A74"/>
    <w:rsid w:val="00651BCD"/>
    <w:rsid w:val="0065247C"/>
    <w:rsid w:val="00653313"/>
    <w:rsid w:val="00654A93"/>
    <w:rsid w:val="0065548A"/>
    <w:rsid w:val="0065578A"/>
    <w:rsid w:val="00656842"/>
    <w:rsid w:val="00656971"/>
    <w:rsid w:val="00657AE5"/>
    <w:rsid w:val="00657E91"/>
    <w:rsid w:val="00660752"/>
    <w:rsid w:val="006616A9"/>
    <w:rsid w:val="00662E07"/>
    <w:rsid w:val="00663149"/>
    <w:rsid w:val="00667AC7"/>
    <w:rsid w:val="00667CAB"/>
    <w:rsid w:val="00671869"/>
    <w:rsid w:val="00671D76"/>
    <w:rsid w:val="00672044"/>
    <w:rsid w:val="00673E1E"/>
    <w:rsid w:val="0067461E"/>
    <w:rsid w:val="00674956"/>
    <w:rsid w:val="00674BE1"/>
    <w:rsid w:val="006758B4"/>
    <w:rsid w:val="006833E9"/>
    <w:rsid w:val="00683B4B"/>
    <w:rsid w:val="00683B71"/>
    <w:rsid w:val="00683FE2"/>
    <w:rsid w:val="00684548"/>
    <w:rsid w:val="00685329"/>
    <w:rsid w:val="00686814"/>
    <w:rsid w:val="00687EDB"/>
    <w:rsid w:val="00690BFD"/>
    <w:rsid w:val="00690E41"/>
    <w:rsid w:val="00691363"/>
    <w:rsid w:val="00691EE3"/>
    <w:rsid w:val="006931BC"/>
    <w:rsid w:val="00693C55"/>
    <w:rsid w:val="0069518A"/>
    <w:rsid w:val="00696BDC"/>
    <w:rsid w:val="006A1C3A"/>
    <w:rsid w:val="006A271A"/>
    <w:rsid w:val="006A33FA"/>
    <w:rsid w:val="006A372A"/>
    <w:rsid w:val="006A5AF2"/>
    <w:rsid w:val="006A6C59"/>
    <w:rsid w:val="006A7094"/>
    <w:rsid w:val="006A7121"/>
    <w:rsid w:val="006B0272"/>
    <w:rsid w:val="006B11AB"/>
    <w:rsid w:val="006B2196"/>
    <w:rsid w:val="006B23BA"/>
    <w:rsid w:val="006B24D0"/>
    <w:rsid w:val="006B4B2C"/>
    <w:rsid w:val="006B4CE6"/>
    <w:rsid w:val="006B4D6A"/>
    <w:rsid w:val="006B7DDD"/>
    <w:rsid w:val="006C04CA"/>
    <w:rsid w:val="006C0646"/>
    <w:rsid w:val="006C0DB7"/>
    <w:rsid w:val="006C3100"/>
    <w:rsid w:val="006C337E"/>
    <w:rsid w:val="006C5B90"/>
    <w:rsid w:val="006C7E8E"/>
    <w:rsid w:val="006D04FD"/>
    <w:rsid w:val="006D0CB6"/>
    <w:rsid w:val="006D0DE7"/>
    <w:rsid w:val="006D12E5"/>
    <w:rsid w:val="006D1952"/>
    <w:rsid w:val="006D1EC4"/>
    <w:rsid w:val="006D45D0"/>
    <w:rsid w:val="006D4A92"/>
    <w:rsid w:val="006D775C"/>
    <w:rsid w:val="006E10AA"/>
    <w:rsid w:val="006E120D"/>
    <w:rsid w:val="006E23E9"/>
    <w:rsid w:val="006E2B5D"/>
    <w:rsid w:val="006E2D13"/>
    <w:rsid w:val="006E2DDF"/>
    <w:rsid w:val="006E2FEE"/>
    <w:rsid w:val="006E3066"/>
    <w:rsid w:val="006E397D"/>
    <w:rsid w:val="006E4AFC"/>
    <w:rsid w:val="006E5920"/>
    <w:rsid w:val="006E5A58"/>
    <w:rsid w:val="006E6035"/>
    <w:rsid w:val="006E7A11"/>
    <w:rsid w:val="006F00EE"/>
    <w:rsid w:val="006F087B"/>
    <w:rsid w:val="006F173F"/>
    <w:rsid w:val="006F27C6"/>
    <w:rsid w:val="006F27DC"/>
    <w:rsid w:val="006F27F1"/>
    <w:rsid w:val="006F2C0D"/>
    <w:rsid w:val="006F2F0F"/>
    <w:rsid w:val="006F3679"/>
    <w:rsid w:val="006F4D5C"/>
    <w:rsid w:val="006F64C9"/>
    <w:rsid w:val="006F6D77"/>
    <w:rsid w:val="00701B18"/>
    <w:rsid w:val="00701BFC"/>
    <w:rsid w:val="007022DA"/>
    <w:rsid w:val="00702C5D"/>
    <w:rsid w:val="007056A3"/>
    <w:rsid w:val="0070571F"/>
    <w:rsid w:val="007065BA"/>
    <w:rsid w:val="007069FA"/>
    <w:rsid w:val="007100B7"/>
    <w:rsid w:val="00710B51"/>
    <w:rsid w:val="00710FC7"/>
    <w:rsid w:val="00711837"/>
    <w:rsid w:val="007121F5"/>
    <w:rsid w:val="00712FB7"/>
    <w:rsid w:val="00713109"/>
    <w:rsid w:val="007131A0"/>
    <w:rsid w:val="00713CC5"/>
    <w:rsid w:val="00713E94"/>
    <w:rsid w:val="00713F45"/>
    <w:rsid w:val="00714887"/>
    <w:rsid w:val="0071725F"/>
    <w:rsid w:val="007176CF"/>
    <w:rsid w:val="007179A2"/>
    <w:rsid w:val="00717A81"/>
    <w:rsid w:val="00720424"/>
    <w:rsid w:val="0072059F"/>
    <w:rsid w:val="0072248B"/>
    <w:rsid w:val="00723FB4"/>
    <w:rsid w:val="00725D59"/>
    <w:rsid w:val="00727BDA"/>
    <w:rsid w:val="00730C2F"/>
    <w:rsid w:val="007325A4"/>
    <w:rsid w:val="00733909"/>
    <w:rsid w:val="00733AA5"/>
    <w:rsid w:val="00733F47"/>
    <w:rsid w:val="00735F77"/>
    <w:rsid w:val="007369A5"/>
    <w:rsid w:val="00736C86"/>
    <w:rsid w:val="00737431"/>
    <w:rsid w:val="00741450"/>
    <w:rsid w:val="00741968"/>
    <w:rsid w:val="00741AC7"/>
    <w:rsid w:val="00743D0F"/>
    <w:rsid w:val="00743D20"/>
    <w:rsid w:val="00744A9E"/>
    <w:rsid w:val="00746E2F"/>
    <w:rsid w:val="007471E9"/>
    <w:rsid w:val="00747572"/>
    <w:rsid w:val="00747E81"/>
    <w:rsid w:val="00751D25"/>
    <w:rsid w:val="00751DCE"/>
    <w:rsid w:val="00752BBF"/>
    <w:rsid w:val="00752DF9"/>
    <w:rsid w:val="0075315F"/>
    <w:rsid w:val="007548D4"/>
    <w:rsid w:val="007563EB"/>
    <w:rsid w:val="00756F1D"/>
    <w:rsid w:val="007574D8"/>
    <w:rsid w:val="00761778"/>
    <w:rsid w:val="00764331"/>
    <w:rsid w:val="00765B91"/>
    <w:rsid w:val="00766598"/>
    <w:rsid w:val="00767BC8"/>
    <w:rsid w:val="00770C40"/>
    <w:rsid w:val="00771403"/>
    <w:rsid w:val="00771439"/>
    <w:rsid w:val="00772BE4"/>
    <w:rsid w:val="00772C52"/>
    <w:rsid w:val="007739E2"/>
    <w:rsid w:val="0077593C"/>
    <w:rsid w:val="00775E95"/>
    <w:rsid w:val="00776179"/>
    <w:rsid w:val="00776CC3"/>
    <w:rsid w:val="00776EEA"/>
    <w:rsid w:val="00777145"/>
    <w:rsid w:val="00777338"/>
    <w:rsid w:val="0078049F"/>
    <w:rsid w:val="00780AEE"/>
    <w:rsid w:val="00780C28"/>
    <w:rsid w:val="00781B15"/>
    <w:rsid w:val="007820C0"/>
    <w:rsid w:val="00782F2A"/>
    <w:rsid w:val="007840F6"/>
    <w:rsid w:val="00786D7F"/>
    <w:rsid w:val="00787853"/>
    <w:rsid w:val="0079116A"/>
    <w:rsid w:val="0079186A"/>
    <w:rsid w:val="00793AB6"/>
    <w:rsid w:val="007946AA"/>
    <w:rsid w:val="0079605F"/>
    <w:rsid w:val="007A1BC5"/>
    <w:rsid w:val="007A23C6"/>
    <w:rsid w:val="007A2765"/>
    <w:rsid w:val="007A4E3B"/>
    <w:rsid w:val="007A53AD"/>
    <w:rsid w:val="007A5DB5"/>
    <w:rsid w:val="007A7051"/>
    <w:rsid w:val="007B46AF"/>
    <w:rsid w:val="007B4E4B"/>
    <w:rsid w:val="007B5277"/>
    <w:rsid w:val="007B6AE9"/>
    <w:rsid w:val="007B6CDD"/>
    <w:rsid w:val="007B6EEB"/>
    <w:rsid w:val="007C0C8E"/>
    <w:rsid w:val="007C1E3D"/>
    <w:rsid w:val="007C3E0E"/>
    <w:rsid w:val="007C43CE"/>
    <w:rsid w:val="007C4580"/>
    <w:rsid w:val="007C50CF"/>
    <w:rsid w:val="007C753D"/>
    <w:rsid w:val="007D1D9F"/>
    <w:rsid w:val="007D500F"/>
    <w:rsid w:val="007D66DD"/>
    <w:rsid w:val="007D7BFB"/>
    <w:rsid w:val="007E0F5D"/>
    <w:rsid w:val="007E28F2"/>
    <w:rsid w:val="007E4563"/>
    <w:rsid w:val="007E6D03"/>
    <w:rsid w:val="007F066C"/>
    <w:rsid w:val="007F0D84"/>
    <w:rsid w:val="007F1CA1"/>
    <w:rsid w:val="007F21C7"/>
    <w:rsid w:val="007F27E5"/>
    <w:rsid w:val="007F2D6E"/>
    <w:rsid w:val="007F4180"/>
    <w:rsid w:val="007F4BA4"/>
    <w:rsid w:val="007F579D"/>
    <w:rsid w:val="007F5A3D"/>
    <w:rsid w:val="007F7E41"/>
    <w:rsid w:val="008000B0"/>
    <w:rsid w:val="00800335"/>
    <w:rsid w:val="00800B1C"/>
    <w:rsid w:val="00801A01"/>
    <w:rsid w:val="008061AF"/>
    <w:rsid w:val="008066D8"/>
    <w:rsid w:val="008102B0"/>
    <w:rsid w:val="00810867"/>
    <w:rsid w:val="008112C6"/>
    <w:rsid w:val="00813111"/>
    <w:rsid w:val="008132A3"/>
    <w:rsid w:val="008133AE"/>
    <w:rsid w:val="00815212"/>
    <w:rsid w:val="0081624C"/>
    <w:rsid w:val="008171C7"/>
    <w:rsid w:val="0082106E"/>
    <w:rsid w:val="00821BC7"/>
    <w:rsid w:val="008220EC"/>
    <w:rsid w:val="0082322E"/>
    <w:rsid w:val="008253AE"/>
    <w:rsid w:val="0082552B"/>
    <w:rsid w:val="00825AA8"/>
    <w:rsid w:val="008267B2"/>
    <w:rsid w:val="008275FD"/>
    <w:rsid w:val="008278B5"/>
    <w:rsid w:val="00831566"/>
    <w:rsid w:val="008333C0"/>
    <w:rsid w:val="00835186"/>
    <w:rsid w:val="0083543E"/>
    <w:rsid w:val="008359EA"/>
    <w:rsid w:val="00835EE9"/>
    <w:rsid w:val="00836EF5"/>
    <w:rsid w:val="00837A70"/>
    <w:rsid w:val="00841A37"/>
    <w:rsid w:val="00841CF2"/>
    <w:rsid w:val="00841F29"/>
    <w:rsid w:val="00843C4D"/>
    <w:rsid w:val="00844EAA"/>
    <w:rsid w:val="008461A3"/>
    <w:rsid w:val="00846FFC"/>
    <w:rsid w:val="008501FA"/>
    <w:rsid w:val="008508FF"/>
    <w:rsid w:val="00854006"/>
    <w:rsid w:val="008549A3"/>
    <w:rsid w:val="0085509B"/>
    <w:rsid w:val="00855DFC"/>
    <w:rsid w:val="008564E5"/>
    <w:rsid w:val="0085774C"/>
    <w:rsid w:val="008600B3"/>
    <w:rsid w:val="008607AC"/>
    <w:rsid w:val="00860EEF"/>
    <w:rsid w:val="0086161F"/>
    <w:rsid w:val="00861BB5"/>
    <w:rsid w:val="00862F2D"/>
    <w:rsid w:val="00863319"/>
    <w:rsid w:val="00863F58"/>
    <w:rsid w:val="00864F27"/>
    <w:rsid w:val="008662EE"/>
    <w:rsid w:val="00866C15"/>
    <w:rsid w:val="008701AE"/>
    <w:rsid w:val="008701EF"/>
    <w:rsid w:val="008702A9"/>
    <w:rsid w:val="008709DA"/>
    <w:rsid w:val="00870EE6"/>
    <w:rsid w:val="00871EF4"/>
    <w:rsid w:val="00872B92"/>
    <w:rsid w:val="00875EB7"/>
    <w:rsid w:val="00876CCC"/>
    <w:rsid w:val="00877DC8"/>
    <w:rsid w:val="00880721"/>
    <w:rsid w:val="008807AA"/>
    <w:rsid w:val="00880863"/>
    <w:rsid w:val="00880CD1"/>
    <w:rsid w:val="008818C1"/>
    <w:rsid w:val="00882728"/>
    <w:rsid w:val="00884011"/>
    <w:rsid w:val="00886CEF"/>
    <w:rsid w:val="00887787"/>
    <w:rsid w:val="00887AEC"/>
    <w:rsid w:val="00891139"/>
    <w:rsid w:val="008922ED"/>
    <w:rsid w:val="008940D7"/>
    <w:rsid w:val="0089431C"/>
    <w:rsid w:val="00896CB3"/>
    <w:rsid w:val="008973E8"/>
    <w:rsid w:val="008A044E"/>
    <w:rsid w:val="008A0A14"/>
    <w:rsid w:val="008A0C6B"/>
    <w:rsid w:val="008A0D87"/>
    <w:rsid w:val="008A1884"/>
    <w:rsid w:val="008A1975"/>
    <w:rsid w:val="008A2096"/>
    <w:rsid w:val="008A351E"/>
    <w:rsid w:val="008A44CD"/>
    <w:rsid w:val="008A451C"/>
    <w:rsid w:val="008A4991"/>
    <w:rsid w:val="008A4EF6"/>
    <w:rsid w:val="008A5D64"/>
    <w:rsid w:val="008A65ED"/>
    <w:rsid w:val="008A6BEA"/>
    <w:rsid w:val="008B02BF"/>
    <w:rsid w:val="008B02CF"/>
    <w:rsid w:val="008B0667"/>
    <w:rsid w:val="008B06AD"/>
    <w:rsid w:val="008B0F44"/>
    <w:rsid w:val="008B1342"/>
    <w:rsid w:val="008B1C37"/>
    <w:rsid w:val="008B1CE1"/>
    <w:rsid w:val="008B1FB9"/>
    <w:rsid w:val="008B228D"/>
    <w:rsid w:val="008B2570"/>
    <w:rsid w:val="008B42E0"/>
    <w:rsid w:val="008B5068"/>
    <w:rsid w:val="008B7A6B"/>
    <w:rsid w:val="008C010F"/>
    <w:rsid w:val="008C07CA"/>
    <w:rsid w:val="008C0BDB"/>
    <w:rsid w:val="008C0DCE"/>
    <w:rsid w:val="008C0F17"/>
    <w:rsid w:val="008C20CC"/>
    <w:rsid w:val="008C2414"/>
    <w:rsid w:val="008C5FCC"/>
    <w:rsid w:val="008C6E81"/>
    <w:rsid w:val="008D094E"/>
    <w:rsid w:val="008D10DB"/>
    <w:rsid w:val="008D40EA"/>
    <w:rsid w:val="008D4FD4"/>
    <w:rsid w:val="008D5528"/>
    <w:rsid w:val="008D58A6"/>
    <w:rsid w:val="008E17A5"/>
    <w:rsid w:val="008E2526"/>
    <w:rsid w:val="008E3637"/>
    <w:rsid w:val="008E43A8"/>
    <w:rsid w:val="008E4DC2"/>
    <w:rsid w:val="008E74AB"/>
    <w:rsid w:val="008E7BC8"/>
    <w:rsid w:val="008E7E6D"/>
    <w:rsid w:val="008F0AE4"/>
    <w:rsid w:val="008F0DC5"/>
    <w:rsid w:val="008F0E06"/>
    <w:rsid w:val="008F2424"/>
    <w:rsid w:val="008F2ED3"/>
    <w:rsid w:val="008F39A9"/>
    <w:rsid w:val="008F51AB"/>
    <w:rsid w:val="008F6D27"/>
    <w:rsid w:val="008F7D54"/>
    <w:rsid w:val="00900E0B"/>
    <w:rsid w:val="00901D7B"/>
    <w:rsid w:val="00901FBC"/>
    <w:rsid w:val="0090270F"/>
    <w:rsid w:val="009063D1"/>
    <w:rsid w:val="009073D7"/>
    <w:rsid w:val="00907B46"/>
    <w:rsid w:val="00910131"/>
    <w:rsid w:val="009114DF"/>
    <w:rsid w:val="00912239"/>
    <w:rsid w:val="00914BC9"/>
    <w:rsid w:val="00916F1B"/>
    <w:rsid w:val="00920DE3"/>
    <w:rsid w:val="009210DB"/>
    <w:rsid w:val="00923576"/>
    <w:rsid w:val="00923CB0"/>
    <w:rsid w:val="00924058"/>
    <w:rsid w:val="00924334"/>
    <w:rsid w:val="00926441"/>
    <w:rsid w:val="009264F5"/>
    <w:rsid w:val="00927E12"/>
    <w:rsid w:val="00930212"/>
    <w:rsid w:val="00930D44"/>
    <w:rsid w:val="009312D6"/>
    <w:rsid w:val="009325B3"/>
    <w:rsid w:val="00932C1E"/>
    <w:rsid w:val="009352F0"/>
    <w:rsid w:val="00935922"/>
    <w:rsid w:val="009370AE"/>
    <w:rsid w:val="00937243"/>
    <w:rsid w:val="0093773B"/>
    <w:rsid w:val="009401B2"/>
    <w:rsid w:val="00941AAD"/>
    <w:rsid w:val="009427FF"/>
    <w:rsid w:val="00942FBB"/>
    <w:rsid w:val="0094316E"/>
    <w:rsid w:val="009435FF"/>
    <w:rsid w:val="009455DA"/>
    <w:rsid w:val="00945869"/>
    <w:rsid w:val="00945CE2"/>
    <w:rsid w:val="009473C7"/>
    <w:rsid w:val="0094750D"/>
    <w:rsid w:val="009477B3"/>
    <w:rsid w:val="009477C8"/>
    <w:rsid w:val="00947F83"/>
    <w:rsid w:val="00950176"/>
    <w:rsid w:val="009503F0"/>
    <w:rsid w:val="009508D4"/>
    <w:rsid w:val="00951E1E"/>
    <w:rsid w:val="00954C93"/>
    <w:rsid w:val="009567CA"/>
    <w:rsid w:val="00957D9C"/>
    <w:rsid w:val="0096244B"/>
    <w:rsid w:val="00963322"/>
    <w:rsid w:val="00964CA4"/>
    <w:rsid w:val="00965130"/>
    <w:rsid w:val="00965C88"/>
    <w:rsid w:val="00965EF6"/>
    <w:rsid w:val="00966232"/>
    <w:rsid w:val="00966867"/>
    <w:rsid w:val="00970912"/>
    <w:rsid w:val="0097269B"/>
    <w:rsid w:val="00972DC1"/>
    <w:rsid w:val="00972DC6"/>
    <w:rsid w:val="0097374C"/>
    <w:rsid w:val="00975FBC"/>
    <w:rsid w:val="009767D3"/>
    <w:rsid w:val="0098131E"/>
    <w:rsid w:val="00982B94"/>
    <w:rsid w:val="00986410"/>
    <w:rsid w:val="00986D37"/>
    <w:rsid w:val="00990065"/>
    <w:rsid w:val="009901EE"/>
    <w:rsid w:val="00993EFF"/>
    <w:rsid w:val="0099428A"/>
    <w:rsid w:val="00995964"/>
    <w:rsid w:val="0099764D"/>
    <w:rsid w:val="009A0DF7"/>
    <w:rsid w:val="009A10EE"/>
    <w:rsid w:val="009A1EBD"/>
    <w:rsid w:val="009A2F73"/>
    <w:rsid w:val="009A48C6"/>
    <w:rsid w:val="009A5C78"/>
    <w:rsid w:val="009A6C3F"/>
    <w:rsid w:val="009A7DF0"/>
    <w:rsid w:val="009B03A8"/>
    <w:rsid w:val="009B0739"/>
    <w:rsid w:val="009B077A"/>
    <w:rsid w:val="009B0CE2"/>
    <w:rsid w:val="009B11E3"/>
    <w:rsid w:val="009B52F2"/>
    <w:rsid w:val="009B5F61"/>
    <w:rsid w:val="009B69F0"/>
    <w:rsid w:val="009B7FAF"/>
    <w:rsid w:val="009C16BE"/>
    <w:rsid w:val="009C2CD3"/>
    <w:rsid w:val="009C3015"/>
    <w:rsid w:val="009C3843"/>
    <w:rsid w:val="009C4C4F"/>
    <w:rsid w:val="009C521F"/>
    <w:rsid w:val="009C79A9"/>
    <w:rsid w:val="009D043F"/>
    <w:rsid w:val="009D0C5F"/>
    <w:rsid w:val="009D14EE"/>
    <w:rsid w:val="009D1BBC"/>
    <w:rsid w:val="009D1EEC"/>
    <w:rsid w:val="009D22E1"/>
    <w:rsid w:val="009D2323"/>
    <w:rsid w:val="009D33EF"/>
    <w:rsid w:val="009D34E8"/>
    <w:rsid w:val="009D53BF"/>
    <w:rsid w:val="009D5932"/>
    <w:rsid w:val="009E1BF4"/>
    <w:rsid w:val="009E2496"/>
    <w:rsid w:val="009E4358"/>
    <w:rsid w:val="009E67BF"/>
    <w:rsid w:val="009E67FA"/>
    <w:rsid w:val="009E688C"/>
    <w:rsid w:val="009E7187"/>
    <w:rsid w:val="009F23CB"/>
    <w:rsid w:val="009F29FE"/>
    <w:rsid w:val="009F2CC3"/>
    <w:rsid w:val="009F2F7B"/>
    <w:rsid w:val="009F34E2"/>
    <w:rsid w:val="009F50E1"/>
    <w:rsid w:val="009F70D4"/>
    <w:rsid w:val="00A00301"/>
    <w:rsid w:val="00A00BE2"/>
    <w:rsid w:val="00A00E77"/>
    <w:rsid w:val="00A02651"/>
    <w:rsid w:val="00A029BB"/>
    <w:rsid w:val="00A02E0C"/>
    <w:rsid w:val="00A034D2"/>
    <w:rsid w:val="00A03FC7"/>
    <w:rsid w:val="00A0507A"/>
    <w:rsid w:val="00A05110"/>
    <w:rsid w:val="00A0516F"/>
    <w:rsid w:val="00A0537D"/>
    <w:rsid w:val="00A05840"/>
    <w:rsid w:val="00A06092"/>
    <w:rsid w:val="00A0620A"/>
    <w:rsid w:val="00A0630C"/>
    <w:rsid w:val="00A063A8"/>
    <w:rsid w:val="00A065FA"/>
    <w:rsid w:val="00A06947"/>
    <w:rsid w:val="00A070D8"/>
    <w:rsid w:val="00A07CBB"/>
    <w:rsid w:val="00A10129"/>
    <w:rsid w:val="00A10C1E"/>
    <w:rsid w:val="00A10E32"/>
    <w:rsid w:val="00A10E4F"/>
    <w:rsid w:val="00A11982"/>
    <w:rsid w:val="00A11FD2"/>
    <w:rsid w:val="00A127F4"/>
    <w:rsid w:val="00A12B1B"/>
    <w:rsid w:val="00A1314D"/>
    <w:rsid w:val="00A131E1"/>
    <w:rsid w:val="00A148D4"/>
    <w:rsid w:val="00A15AD9"/>
    <w:rsid w:val="00A17F01"/>
    <w:rsid w:val="00A21542"/>
    <w:rsid w:val="00A2338E"/>
    <w:rsid w:val="00A24F11"/>
    <w:rsid w:val="00A25435"/>
    <w:rsid w:val="00A2778E"/>
    <w:rsid w:val="00A30569"/>
    <w:rsid w:val="00A32255"/>
    <w:rsid w:val="00A330CA"/>
    <w:rsid w:val="00A35E69"/>
    <w:rsid w:val="00A36DE2"/>
    <w:rsid w:val="00A371C5"/>
    <w:rsid w:val="00A37EB7"/>
    <w:rsid w:val="00A40B2A"/>
    <w:rsid w:val="00A41CB0"/>
    <w:rsid w:val="00A42567"/>
    <w:rsid w:val="00A4260C"/>
    <w:rsid w:val="00A42C9F"/>
    <w:rsid w:val="00A42E7E"/>
    <w:rsid w:val="00A43606"/>
    <w:rsid w:val="00A4482A"/>
    <w:rsid w:val="00A45D73"/>
    <w:rsid w:val="00A4788D"/>
    <w:rsid w:val="00A501D2"/>
    <w:rsid w:val="00A51A34"/>
    <w:rsid w:val="00A5208B"/>
    <w:rsid w:val="00A52453"/>
    <w:rsid w:val="00A52691"/>
    <w:rsid w:val="00A52A6D"/>
    <w:rsid w:val="00A54225"/>
    <w:rsid w:val="00A54C55"/>
    <w:rsid w:val="00A54DC2"/>
    <w:rsid w:val="00A55F2B"/>
    <w:rsid w:val="00A56117"/>
    <w:rsid w:val="00A56404"/>
    <w:rsid w:val="00A5735B"/>
    <w:rsid w:val="00A574B9"/>
    <w:rsid w:val="00A57D2C"/>
    <w:rsid w:val="00A61A94"/>
    <w:rsid w:val="00A627A9"/>
    <w:rsid w:val="00A62A94"/>
    <w:rsid w:val="00A62F88"/>
    <w:rsid w:val="00A6507B"/>
    <w:rsid w:val="00A659D8"/>
    <w:rsid w:val="00A6643D"/>
    <w:rsid w:val="00A71599"/>
    <w:rsid w:val="00A72E24"/>
    <w:rsid w:val="00A73EEF"/>
    <w:rsid w:val="00A74CD7"/>
    <w:rsid w:val="00A752E1"/>
    <w:rsid w:val="00A76AF9"/>
    <w:rsid w:val="00A80811"/>
    <w:rsid w:val="00A815B8"/>
    <w:rsid w:val="00A816CD"/>
    <w:rsid w:val="00A81C01"/>
    <w:rsid w:val="00A82EE4"/>
    <w:rsid w:val="00A82F07"/>
    <w:rsid w:val="00A843A5"/>
    <w:rsid w:val="00A84758"/>
    <w:rsid w:val="00A859C3"/>
    <w:rsid w:val="00A85D64"/>
    <w:rsid w:val="00A8638E"/>
    <w:rsid w:val="00A86577"/>
    <w:rsid w:val="00A8662E"/>
    <w:rsid w:val="00A86857"/>
    <w:rsid w:val="00A87776"/>
    <w:rsid w:val="00A877F9"/>
    <w:rsid w:val="00A90054"/>
    <w:rsid w:val="00A907D9"/>
    <w:rsid w:val="00A912AB"/>
    <w:rsid w:val="00A9175B"/>
    <w:rsid w:val="00A92222"/>
    <w:rsid w:val="00A932C2"/>
    <w:rsid w:val="00A93B85"/>
    <w:rsid w:val="00A97174"/>
    <w:rsid w:val="00A975C6"/>
    <w:rsid w:val="00A976AC"/>
    <w:rsid w:val="00A97CA7"/>
    <w:rsid w:val="00AA0F57"/>
    <w:rsid w:val="00AA1352"/>
    <w:rsid w:val="00AA1940"/>
    <w:rsid w:val="00AA1C92"/>
    <w:rsid w:val="00AA292A"/>
    <w:rsid w:val="00AA3138"/>
    <w:rsid w:val="00AA36DC"/>
    <w:rsid w:val="00AA4A2F"/>
    <w:rsid w:val="00AA4A41"/>
    <w:rsid w:val="00AA70D4"/>
    <w:rsid w:val="00AA7149"/>
    <w:rsid w:val="00AA750F"/>
    <w:rsid w:val="00AA7914"/>
    <w:rsid w:val="00AB1689"/>
    <w:rsid w:val="00AB1A64"/>
    <w:rsid w:val="00AB226F"/>
    <w:rsid w:val="00AB230B"/>
    <w:rsid w:val="00AB30C9"/>
    <w:rsid w:val="00AB3160"/>
    <w:rsid w:val="00AB3200"/>
    <w:rsid w:val="00AB36B3"/>
    <w:rsid w:val="00AB3D74"/>
    <w:rsid w:val="00AB495D"/>
    <w:rsid w:val="00AB50FF"/>
    <w:rsid w:val="00AB65EB"/>
    <w:rsid w:val="00AB66B1"/>
    <w:rsid w:val="00AB6714"/>
    <w:rsid w:val="00AC05B3"/>
    <w:rsid w:val="00AC24D1"/>
    <w:rsid w:val="00AC347B"/>
    <w:rsid w:val="00AC630B"/>
    <w:rsid w:val="00AC6605"/>
    <w:rsid w:val="00AC6624"/>
    <w:rsid w:val="00AC6D9B"/>
    <w:rsid w:val="00AD135A"/>
    <w:rsid w:val="00AD15B1"/>
    <w:rsid w:val="00AD1903"/>
    <w:rsid w:val="00AD4842"/>
    <w:rsid w:val="00AD4A50"/>
    <w:rsid w:val="00AD4AD1"/>
    <w:rsid w:val="00AD614C"/>
    <w:rsid w:val="00AD72BC"/>
    <w:rsid w:val="00AD73D7"/>
    <w:rsid w:val="00AD7F8A"/>
    <w:rsid w:val="00AE28A5"/>
    <w:rsid w:val="00AE2ADE"/>
    <w:rsid w:val="00AE2C6B"/>
    <w:rsid w:val="00AE2FC7"/>
    <w:rsid w:val="00AE3F8A"/>
    <w:rsid w:val="00AE43A2"/>
    <w:rsid w:val="00AE440F"/>
    <w:rsid w:val="00AE6580"/>
    <w:rsid w:val="00AE691F"/>
    <w:rsid w:val="00AE73E9"/>
    <w:rsid w:val="00AE744D"/>
    <w:rsid w:val="00AF0AE2"/>
    <w:rsid w:val="00AF5602"/>
    <w:rsid w:val="00AF6E81"/>
    <w:rsid w:val="00B001D6"/>
    <w:rsid w:val="00B02867"/>
    <w:rsid w:val="00B056A8"/>
    <w:rsid w:val="00B057AB"/>
    <w:rsid w:val="00B0589D"/>
    <w:rsid w:val="00B059F6"/>
    <w:rsid w:val="00B05AE6"/>
    <w:rsid w:val="00B05ED6"/>
    <w:rsid w:val="00B064F3"/>
    <w:rsid w:val="00B06641"/>
    <w:rsid w:val="00B06F36"/>
    <w:rsid w:val="00B075AC"/>
    <w:rsid w:val="00B0780C"/>
    <w:rsid w:val="00B078BC"/>
    <w:rsid w:val="00B07EC1"/>
    <w:rsid w:val="00B07FF2"/>
    <w:rsid w:val="00B10A83"/>
    <w:rsid w:val="00B10D6C"/>
    <w:rsid w:val="00B115B8"/>
    <w:rsid w:val="00B12372"/>
    <w:rsid w:val="00B1440A"/>
    <w:rsid w:val="00B158AB"/>
    <w:rsid w:val="00B16A0E"/>
    <w:rsid w:val="00B16BCC"/>
    <w:rsid w:val="00B16F77"/>
    <w:rsid w:val="00B17849"/>
    <w:rsid w:val="00B2016D"/>
    <w:rsid w:val="00B20C00"/>
    <w:rsid w:val="00B21B44"/>
    <w:rsid w:val="00B2242D"/>
    <w:rsid w:val="00B22664"/>
    <w:rsid w:val="00B25151"/>
    <w:rsid w:val="00B261BE"/>
    <w:rsid w:val="00B271FC"/>
    <w:rsid w:val="00B2770D"/>
    <w:rsid w:val="00B279CA"/>
    <w:rsid w:val="00B30AFD"/>
    <w:rsid w:val="00B319B3"/>
    <w:rsid w:val="00B32312"/>
    <w:rsid w:val="00B33A35"/>
    <w:rsid w:val="00B34580"/>
    <w:rsid w:val="00B36079"/>
    <w:rsid w:val="00B36176"/>
    <w:rsid w:val="00B40B28"/>
    <w:rsid w:val="00B40B8C"/>
    <w:rsid w:val="00B40EF9"/>
    <w:rsid w:val="00B41AE7"/>
    <w:rsid w:val="00B429E3"/>
    <w:rsid w:val="00B42A8D"/>
    <w:rsid w:val="00B432E3"/>
    <w:rsid w:val="00B43A6A"/>
    <w:rsid w:val="00B4464E"/>
    <w:rsid w:val="00B45C1C"/>
    <w:rsid w:val="00B462B9"/>
    <w:rsid w:val="00B464A7"/>
    <w:rsid w:val="00B4769B"/>
    <w:rsid w:val="00B500E3"/>
    <w:rsid w:val="00B5154F"/>
    <w:rsid w:val="00B52EED"/>
    <w:rsid w:val="00B535D3"/>
    <w:rsid w:val="00B551C1"/>
    <w:rsid w:val="00B55960"/>
    <w:rsid w:val="00B57223"/>
    <w:rsid w:val="00B60389"/>
    <w:rsid w:val="00B61196"/>
    <w:rsid w:val="00B61B01"/>
    <w:rsid w:val="00B62191"/>
    <w:rsid w:val="00B628CA"/>
    <w:rsid w:val="00B62B68"/>
    <w:rsid w:val="00B639A6"/>
    <w:rsid w:val="00B65173"/>
    <w:rsid w:val="00B65438"/>
    <w:rsid w:val="00B65651"/>
    <w:rsid w:val="00B65A60"/>
    <w:rsid w:val="00B66C4F"/>
    <w:rsid w:val="00B66E66"/>
    <w:rsid w:val="00B705C8"/>
    <w:rsid w:val="00B7199B"/>
    <w:rsid w:val="00B726D8"/>
    <w:rsid w:val="00B72A4E"/>
    <w:rsid w:val="00B7423A"/>
    <w:rsid w:val="00B74463"/>
    <w:rsid w:val="00B7509A"/>
    <w:rsid w:val="00B75BA7"/>
    <w:rsid w:val="00B76419"/>
    <w:rsid w:val="00B777B4"/>
    <w:rsid w:val="00B77E6F"/>
    <w:rsid w:val="00B806E8"/>
    <w:rsid w:val="00B80AD0"/>
    <w:rsid w:val="00B80BA0"/>
    <w:rsid w:val="00B81336"/>
    <w:rsid w:val="00B81D06"/>
    <w:rsid w:val="00B841E2"/>
    <w:rsid w:val="00B8500D"/>
    <w:rsid w:val="00B8594F"/>
    <w:rsid w:val="00B86748"/>
    <w:rsid w:val="00B8742A"/>
    <w:rsid w:val="00B87BCC"/>
    <w:rsid w:val="00B90C86"/>
    <w:rsid w:val="00B90D57"/>
    <w:rsid w:val="00B90E02"/>
    <w:rsid w:val="00B911BD"/>
    <w:rsid w:val="00B91F53"/>
    <w:rsid w:val="00B935F6"/>
    <w:rsid w:val="00B93761"/>
    <w:rsid w:val="00B942C6"/>
    <w:rsid w:val="00B94A21"/>
    <w:rsid w:val="00B95546"/>
    <w:rsid w:val="00B9564E"/>
    <w:rsid w:val="00B9587B"/>
    <w:rsid w:val="00B96603"/>
    <w:rsid w:val="00B97EB3"/>
    <w:rsid w:val="00BA0DD8"/>
    <w:rsid w:val="00BA28F4"/>
    <w:rsid w:val="00BA4831"/>
    <w:rsid w:val="00BA4AC4"/>
    <w:rsid w:val="00BA625A"/>
    <w:rsid w:val="00BB046C"/>
    <w:rsid w:val="00BB230C"/>
    <w:rsid w:val="00BB34C4"/>
    <w:rsid w:val="00BB3810"/>
    <w:rsid w:val="00BB3D8D"/>
    <w:rsid w:val="00BB49D6"/>
    <w:rsid w:val="00BC0617"/>
    <w:rsid w:val="00BC251B"/>
    <w:rsid w:val="00BC25FE"/>
    <w:rsid w:val="00BC2A5D"/>
    <w:rsid w:val="00BC2AC3"/>
    <w:rsid w:val="00BC3F91"/>
    <w:rsid w:val="00BC4517"/>
    <w:rsid w:val="00BC4639"/>
    <w:rsid w:val="00BC4DC2"/>
    <w:rsid w:val="00BC4E74"/>
    <w:rsid w:val="00BC642E"/>
    <w:rsid w:val="00BC6EE1"/>
    <w:rsid w:val="00BC765E"/>
    <w:rsid w:val="00BC7F95"/>
    <w:rsid w:val="00BD0086"/>
    <w:rsid w:val="00BD0360"/>
    <w:rsid w:val="00BD069D"/>
    <w:rsid w:val="00BD0893"/>
    <w:rsid w:val="00BD1659"/>
    <w:rsid w:val="00BD16F1"/>
    <w:rsid w:val="00BD19ED"/>
    <w:rsid w:val="00BD2D7F"/>
    <w:rsid w:val="00BD3045"/>
    <w:rsid w:val="00BD4E8B"/>
    <w:rsid w:val="00BD62A4"/>
    <w:rsid w:val="00BD6DAE"/>
    <w:rsid w:val="00BE0189"/>
    <w:rsid w:val="00BE09FE"/>
    <w:rsid w:val="00BE0FCC"/>
    <w:rsid w:val="00BE1CC9"/>
    <w:rsid w:val="00BE1E4C"/>
    <w:rsid w:val="00BE3295"/>
    <w:rsid w:val="00BE4954"/>
    <w:rsid w:val="00BE75DF"/>
    <w:rsid w:val="00BF00D7"/>
    <w:rsid w:val="00BF07E5"/>
    <w:rsid w:val="00BF0EB2"/>
    <w:rsid w:val="00BF1441"/>
    <w:rsid w:val="00BF1C55"/>
    <w:rsid w:val="00BF1F26"/>
    <w:rsid w:val="00BF25BB"/>
    <w:rsid w:val="00BF3827"/>
    <w:rsid w:val="00BF3BBB"/>
    <w:rsid w:val="00BF4F17"/>
    <w:rsid w:val="00BF5243"/>
    <w:rsid w:val="00BF532E"/>
    <w:rsid w:val="00BF5358"/>
    <w:rsid w:val="00BF5F63"/>
    <w:rsid w:val="00BF6C3A"/>
    <w:rsid w:val="00C0047C"/>
    <w:rsid w:val="00C01A80"/>
    <w:rsid w:val="00C020BE"/>
    <w:rsid w:val="00C02A43"/>
    <w:rsid w:val="00C03394"/>
    <w:rsid w:val="00C0510E"/>
    <w:rsid w:val="00C05854"/>
    <w:rsid w:val="00C05FC8"/>
    <w:rsid w:val="00C06F11"/>
    <w:rsid w:val="00C102E6"/>
    <w:rsid w:val="00C10651"/>
    <w:rsid w:val="00C1102A"/>
    <w:rsid w:val="00C111C7"/>
    <w:rsid w:val="00C112E7"/>
    <w:rsid w:val="00C11648"/>
    <w:rsid w:val="00C126C6"/>
    <w:rsid w:val="00C13671"/>
    <w:rsid w:val="00C143EC"/>
    <w:rsid w:val="00C145D3"/>
    <w:rsid w:val="00C1493A"/>
    <w:rsid w:val="00C15539"/>
    <w:rsid w:val="00C15742"/>
    <w:rsid w:val="00C15DAE"/>
    <w:rsid w:val="00C17400"/>
    <w:rsid w:val="00C17A6E"/>
    <w:rsid w:val="00C20361"/>
    <w:rsid w:val="00C206F9"/>
    <w:rsid w:val="00C21423"/>
    <w:rsid w:val="00C2161F"/>
    <w:rsid w:val="00C226D4"/>
    <w:rsid w:val="00C243A3"/>
    <w:rsid w:val="00C246A9"/>
    <w:rsid w:val="00C26561"/>
    <w:rsid w:val="00C303AE"/>
    <w:rsid w:val="00C30F44"/>
    <w:rsid w:val="00C31ED8"/>
    <w:rsid w:val="00C33BF6"/>
    <w:rsid w:val="00C36F33"/>
    <w:rsid w:val="00C40CA7"/>
    <w:rsid w:val="00C431E6"/>
    <w:rsid w:val="00C4324B"/>
    <w:rsid w:val="00C45B50"/>
    <w:rsid w:val="00C45C0C"/>
    <w:rsid w:val="00C46903"/>
    <w:rsid w:val="00C47C34"/>
    <w:rsid w:val="00C501BD"/>
    <w:rsid w:val="00C502B9"/>
    <w:rsid w:val="00C50D7F"/>
    <w:rsid w:val="00C51B86"/>
    <w:rsid w:val="00C52742"/>
    <w:rsid w:val="00C540AB"/>
    <w:rsid w:val="00C54300"/>
    <w:rsid w:val="00C54E48"/>
    <w:rsid w:val="00C55797"/>
    <w:rsid w:val="00C563C8"/>
    <w:rsid w:val="00C655B8"/>
    <w:rsid w:val="00C66571"/>
    <w:rsid w:val="00C67A2F"/>
    <w:rsid w:val="00C67BE3"/>
    <w:rsid w:val="00C71481"/>
    <w:rsid w:val="00C71B12"/>
    <w:rsid w:val="00C724F9"/>
    <w:rsid w:val="00C72982"/>
    <w:rsid w:val="00C73B86"/>
    <w:rsid w:val="00C760A6"/>
    <w:rsid w:val="00C765B8"/>
    <w:rsid w:val="00C7697A"/>
    <w:rsid w:val="00C77D8D"/>
    <w:rsid w:val="00C80365"/>
    <w:rsid w:val="00C84F5F"/>
    <w:rsid w:val="00C856FC"/>
    <w:rsid w:val="00C859B6"/>
    <w:rsid w:val="00C85AD5"/>
    <w:rsid w:val="00C85D6E"/>
    <w:rsid w:val="00C8659E"/>
    <w:rsid w:val="00C8719B"/>
    <w:rsid w:val="00C877C5"/>
    <w:rsid w:val="00C91658"/>
    <w:rsid w:val="00C918ED"/>
    <w:rsid w:val="00C91D82"/>
    <w:rsid w:val="00C92A6C"/>
    <w:rsid w:val="00C93783"/>
    <w:rsid w:val="00C94DDF"/>
    <w:rsid w:val="00C95991"/>
    <w:rsid w:val="00C963F2"/>
    <w:rsid w:val="00C96F6C"/>
    <w:rsid w:val="00C97273"/>
    <w:rsid w:val="00C97FC5"/>
    <w:rsid w:val="00CA258B"/>
    <w:rsid w:val="00CA2BC7"/>
    <w:rsid w:val="00CA35CC"/>
    <w:rsid w:val="00CA3694"/>
    <w:rsid w:val="00CA3983"/>
    <w:rsid w:val="00CA43AB"/>
    <w:rsid w:val="00CA49AD"/>
    <w:rsid w:val="00CA658D"/>
    <w:rsid w:val="00CA75FE"/>
    <w:rsid w:val="00CB5610"/>
    <w:rsid w:val="00CB65F5"/>
    <w:rsid w:val="00CB7164"/>
    <w:rsid w:val="00CB78B7"/>
    <w:rsid w:val="00CB7FE6"/>
    <w:rsid w:val="00CC020D"/>
    <w:rsid w:val="00CC0A29"/>
    <w:rsid w:val="00CC1C86"/>
    <w:rsid w:val="00CC300A"/>
    <w:rsid w:val="00CC339A"/>
    <w:rsid w:val="00CC42D6"/>
    <w:rsid w:val="00CC5E56"/>
    <w:rsid w:val="00CD039A"/>
    <w:rsid w:val="00CD04EF"/>
    <w:rsid w:val="00CD070F"/>
    <w:rsid w:val="00CD1B92"/>
    <w:rsid w:val="00CD1D23"/>
    <w:rsid w:val="00CD2579"/>
    <w:rsid w:val="00CD4774"/>
    <w:rsid w:val="00CD564C"/>
    <w:rsid w:val="00CD606D"/>
    <w:rsid w:val="00CD6E3E"/>
    <w:rsid w:val="00CD6F04"/>
    <w:rsid w:val="00CD71FD"/>
    <w:rsid w:val="00CE0BC2"/>
    <w:rsid w:val="00CE1928"/>
    <w:rsid w:val="00CE297A"/>
    <w:rsid w:val="00CE32FE"/>
    <w:rsid w:val="00CE3322"/>
    <w:rsid w:val="00CE464D"/>
    <w:rsid w:val="00CE5AC5"/>
    <w:rsid w:val="00CE70ED"/>
    <w:rsid w:val="00CF06D2"/>
    <w:rsid w:val="00CF0750"/>
    <w:rsid w:val="00CF0783"/>
    <w:rsid w:val="00CF1822"/>
    <w:rsid w:val="00CF211D"/>
    <w:rsid w:val="00CF2D31"/>
    <w:rsid w:val="00CF666E"/>
    <w:rsid w:val="00CF71CD"/>
    <w:rsid w:val="00CF7438"/>
    <w:rsid w:val="00D00A76"/>
    <w:rsid w:val="00D01E1F"/>
    <w:rsid w:val="00D05160"/>
    <w:rsid w:val="00D05993"/>
    <w:rsid w:val="00D108A2"/>
    <w:rsid w:val="00D109EB"/>
    <w:rsid w:val="00D119FE"/>
    <w:rsid w:val="00D1364E"/>
    <w:rsid w:val="00D13939"/>
    <w:rsid w:val="00D14CBA"/>
    <w:rsid w:val="00D15576"/>
    <w:rsid w:val="00D15905"/>
    <w:rsid w:val="00D164EE"/>
    <w:rsid w:val="00D174D8"/>
    <w:rsid w:val="00D1769E"/>
    <w:rsid w:val="00D17988"/>
    <w:rsid w:val="00D20483"/>
    <w:rsid w:val="00D2162F"/>
    <w:rsid w:val="00D21779"/>
    <w:rsid w:val="00D22FD2"/>
    <w:rsid w:val="00D2314A"/>
    <w:rsid w:val="00D23B2C"/>
    <w:rsid w:val="00D240E4"/>
    <w:rsid w:val="00D25F02"/>
    <w:rsid w:val="00D302A6"/>
    <w:rsid w:val="00D304A8"/>
    <w:rsid w:val="00D30D65"/>
    <w:rsid w:val="00D30FCF"/>
    <w:rsid w:val="00D31319"/>
    <w:rsid w:val="00D31525"/>
    <w:rsid w:val="00D315E2"/>
    <w:rsid w:val="00D332AB"/>
    <w:rsid w:val="00D333EE"/>
    <w:rsid w:val="00D34A74"/>
    <w:rsid w:val="00D358A6"/>
    <w:rsid w:val="00D36C50"/>
    <w:rsid w:val="00D37D68"/>
    <w:rsid w:val="00D41D35"/>
    <w:rsid w:val="00D428C8"/>
    <w:rsid w:val="00D44F74"/>
    <w:rsid w:val="00D4675B"/>
    <w:rsid w:val="00D50B22"/>
    <w:rsid w:val="00D51615"/>
    <w:rsid w:val="00D52EFD"/>
    <w:rsid w:val="00D5331A"/>
    <w:rsid w:val="00D53F5F"/>
    <w:rsid w:val="00D5512A"/>
    <w:rsid w:val="00D55931"/>
    <w:rsid w:val="00D55CD8"/>
    <w:rsid w:val="00D56901"/>
    <w:rsid w:val="00D56BEA"/>
    <w:rsid w:val="00D57B9B"/>
    <w:rsid w:val="00D60BCB"/>
    <w:rsid w:val="00D60DEA"/>
    <w:rsid w:val="00D62255"/>
    <w:rsid w:val="00D62995"/>
    <w:rsid w:val="00D62F84"/>
    <w:rsid w:val="00D63EBD"/>
    <w:rsid w:val="00D63F46"/>
    <w:rsid w:val="00D64752"/>
    <w:rsid w:val="00D64E5A"/>
    <w:rsid w:val="00D66649"/>
    <w:rsid w:val="00D6668F"/>
    <w:rsid w:val="00D67F55"/>
    <w:rsid w:val="00D70B62"/>
    <w:rsid w:val="00D70DEB"/>
    <w:rsid w:val="00D72558"/>
    <w:rsid w:val="00D728FC"/>
    <w:rsid w:val="00D72FD4"/>
    <w:rsid w:val="00D74ACB"/>
    <w:rsid w:val="00D74E9A"/>
    <w:rsid w:val="00D75474"/>
    <w:rsid w:val="00D762B9"/>
    <w:rsid w:val="00D763D2"/>
    <w:rsid w:val="00D77B5E"/>
    <w:rsid w:val="00D77B9B"/>
    <w:rsid w:val="00D808D5"/>
    <w:rsid w:val="00D80C27"/>
    <w:rsid w:val="00D811B7"/>
    <w:rsid w:val="00D82472"/>
    <w:rsid w:val="00D83AFD"/>
    <w:rsid w:val="00D83D4D"/>
    <w:rsid w:val="00D844BC"/>
    <w:rsid w:val="00D84A32"/>
    <w:rsid w:val="00D858DA"/>
    <w:rsid w:val="00D85CE5"/>
    <w:rsid w:val="00D87B69"/>
    <w:rsid w:val="00D90DE1"/>
    <w:rsid w:val="00D9101F"/>
    <w:rsid w:val="00D91079"/>
    <w:rsid w:val="00D91345"/>
    <w:rsid w:val="00D93283"/>
    <w:rsid w:val="00D934A5"/>
    <w:rsid w:val="00D94608"/>
    <w:rsid w:val="00D94934"/>
    <w:rsid w:val="00D96C71"/>
    <w:rsid w:val="00D97512"/>
    <w:rsid w:val="00DA08A8"/>
    <w:rsid w:val="00DA09C0"/>
    <w:rsid w:val="00DA179A"/>
    <w:rsid w:val="00DA2194"/>
    <w:rsid w:val="00DA243E"/>
    <w:rsid w:val="00DA25B7"/>
    <w:rsid w:val="00DB04E3"/>
    <w:rsid w:val="00DB0EA6"/>
    <w:rsid w:val="00DB1A96"/>
    <w:rsid w:val="00DB1EF0"/>
    <w:rsid w:val="00DB23F4"/>
    <w:rsid w:val="00DB272C"/>
    <w:rsid w:val="00DB2929"/>
    <w:rsid w:val="00DB2A00"/>
    <w:rsid w:val="00DB38BC"/>
    <w:rsid w:val="00DB4C4D"/>
    <w:rsid w:val="00DB57C6"/>
    <w:rsid w:val="00DB5BE5"/>
    <w:rsid w:val="00DB5FF8"/>
    <w:rsid w:val="00DB7CBA"/>
    <w:rsid w:val="00DC0B9A"/>
    <w:rsid w:val="00DC1E70"/>
    <w:rsid w:val="00DC5303"/>
    <w:rsid w:val="00DC5FD0"/>
    <w:rsid w:val="00DC63AA"/>
    <w:rsid w:val="00DD02F2"/>
    <w:rsid w:val="00DD0E51"/>
    <w:rsid w:val="00DD2E8B"/>
    <w:rsid w:val="00DD3B77"/>
    <w:rsid w:val="00DD3EC0"/>
    <w:rsid w:val="00DD426A"/>
    <w:rsid w:val="00DD43F0"/>
    <w:rsid w:val="00DD4C7F"/>
    <w:rsid w:val="00DD4FEC"/>
    <w:rsid w:val="00DD5495"/>
    <w:rsid w:val="00DD5A6D"/>
    <w:rsid w:val="00DD76EA"/>
    <w:rsid w:val="00DE093A"/>
    <w:rsid w:val="00DE1D46"/>
    <w:rsid w:val="00DE25EB"/>
    <w:rsid w:val="00DE41EF"/>
    <w:rsid w:val="00DE4399"/>
    <w:rsid w:val="00DE596E"/>
    <w:rsid w:val="00DE5A99"/>
    <w:rsid w:val="00DE633B"/>
    <w:rsid w:val="00DE69DA"/>
    <w:rsid w:val="00DE6BCB"/>
    <w:rsid w:val="00DE6DEE"/>
    <w:rsid w:val="00DF1BB6"/>
    <w:rsid w:val="00DF373C"/>
    <w:rsid w:val="00DF4374"/>
    <w:rsid w:val="00DF46FE"/>
    <w:rsid w:val="00DF56BC"/>
    <w:rsid w:val="00DF5AA3"/>
    <w:rsid w:val="00DF660C"/>
    <w:rsid w:val="00DF77B2"/>
    <w:rsid w:val="00E0122E"/>
    <w:rsid w:val="00E025D3"/>
    <w:rsid w:val="00E02705"/>
    <w:rsid w:val="00E0513F"/>
    <w:rsid w:val="00E05439"/>
    <w:rsid w:val="00E06D0E"/>
    <w:rsid w:val="00E128DB"/>
    <w:rsid w:val="00E12A29"/>
    <w:rsid w:val="00E131F1"/>
    <w:rsid w:val="00E13DA3"/>
    <w:rsid w:val="00E148E7"/>
    <w:rsid w:val="00E150D0"/>
    <w:rsid w:val="00E15F38"/>
    <w:rsid w:val="00E167BF"/>
    <w:rsid w:val="00E168E5"/>
    <w:rsid w:val="00E16F05"/>
    <w:rsid w:val="00E1718D"/>
    <w:rsid w:val="00E2142F"/>
    <w:rsid w:val="00E21946"/>
    <w:rsid w:val="00E237BD"/>
    <w:rsid w:val="00E24A5F"/>
    <w:rsid w:val="00E24FB8"/>
    <w:rsid w:val="00E264C3"/>
    <w:rsid w:val="00E266E7"/>
    <w:rsid w:val="00E269BC"/>
    <w:rsid w:val="00E278DF"/>
    <w:rsid w:val="00E30F40"/>
    <w:rsid w:val="00E30F74"/>
    <w:rsid w:val="00E320DF"/>
    <w:rsid w:val="00E34C22"/>
    <w:rsid w:val="00E351DC"/>
    <w:rsid w:val="00E366E1"/>
    <w:rsid w:val="00E372DC"/>
    <w:rsid w:val="00E375A5"/>
    <w:rsid w:val="00E43122"/>
    <w:rsid w:val="00E44836"/>
    <w:rsid w:val="00E44FED"/>
    <w:rsid w:val="00E452D1"/>
    <w:rsid w:val="00E50A8C"/>
    <w:rsid w:val="00E50C6E"/>
    <w:rsid w:val="00E51025"/>
    <w:rsid w:val="00E516B9"/>
    <w:rsid w:val="00E52B23"/>
    <w:rsid w:val="00E539E8"/>
    <w:rsid w:val="00E541F5"/>
    <w:rsid w:val="00E548E8"/>
    <w:rsid w:val="00E55D54"/>
    <w:rsid w:val="00E5759A"/>
    <w:rsid w:val="00E60E20"/>
    <w:rsid w:val="00E62C5A"/>
    <w:rsid w:val="00E6430A"/>
    <w:rsid w:val="00E647F8"/>
    <w:rsid w:val="00E6635C"/>
    <w:rsid w:val="00E67702"/>
    <w:rsid w:val="00E67DFE"/>
    <w:rsid w:val="00E703B3"/>
    <w:rsid w:val="00E71EFE"/>
    <w:rsid w:val="00E71FC3"/>
    <w:rsid w:val="00E72054"/>
    <w:rsid w:val="00E720FE"/>
    <w:rsid w:val="00E730A9"/>
    <w:rsid w:val="00E73462"/>
    <w:rsid w:val="00E73AE8"/>
    <w:rsid w:val="00E73B32"/>
    <w:rsid w:val="00E74447"/>
    <w:rsid w:val="00E75D7D"/>
    <w:rsid w:val="00E75DB5"/>
    <w:rsid w:val="00E76734"/>
    <w:rsid w:val="00E81D5B"/>
    <w:rsid w:val="00E82B84"/>
    <w:rsid w:val="00E83558"/>
    <w:rsid w:val="00E83666"/>
    <w:rsid w:val="00E83691"/>
    <w:rsid w:val="00E84B5A"/>
    <w:rsid w:val="00E90345"/>
    <w:rsid w:val="00E90413"/>
    <w:rsid w:val="00E90DCF"/>
    <w:rsid w:val="00E911B2"/>
    <w:rsid w:val="00E93512"/>
    <w:rsid w:val="00E95866"/>
    <w:rsid w:val="00E959B0"/>
    <w:rsid w:val="00E97C26"/>
    <w:rsid w:val="00EA0874"/>
    <w:rsid w:val="00EA378D"/>
    <w:rsid w:val="00EA45CA"/>
    <w:rsid w:val="00EA5203"/>
    <w:rsid w:val="00EA5319"/>
    <w:rsid w:val="00EA5542"/>
    <w:rsid w:val="00EA6A84"/>
    <w:rsid w:val="00EA7982"/>
    <w:rsid w:val="00EB142A"/>
    <w:rsid w:val="00EB2D57"/>
    <w:rsid w:val="00EB6D60"/>
    <w:rsid w:val="00EB780A"/>
    <w:rsid w:val="00EC0305"/>
    <w:rsid w:val="00EC07AA"/>
    <w:rsid w:val="00EC171F"/>
    <w:rsid w:val="00EC1C54"/>
    <w:rsid w:val="00EC3467"/>
    <w:rsid w:val="00EC5264"/>
    <w:rsid w:val="00EC5982"/>
    <w:rsid w:val="00ED0098"/>
    <w:rsid w:val="00ED082B"/>
    <w:rsid w:val="00ED0A1C"/>
    <w:rsid w:val="00ED1184"/>
    <w:rsid w:val="00ED152D"/>
    <w:rsid w:val="00ED16FD"/>
    <w:rsid w:val="00ED2BB9"/>
    <w:rsid w:val="00ED62AD"/>
    <w:rsid w:val="00ED6BCA"/>
    <w:rsid w:val="00EE0107"/>
    <w:rsid w:val="00EE0E3E"/>
    <w:rsid w:val="00EE16B1"/>
    <w:rsid w:val="00EE4541"/>
    <w:rsid w:val="00EE55D2"/>
    <w:rsid w:val="00EE5D6A"/>
    <w:rsid w:val="00EF10AC"/>
    <w:rsid w:val="00EF1EF4"/>
    <w:rsid w:val="00EF2ED8"/>
    <w:rsid w:val="00EF360E"/>
    <w:rsid w:val="00EF47D8"/>
    <w:rsid w:val="00EF58B4"/>
    <w:rsid w:val="00EF694F"/>
    <w:rsid w:val="00EF79FA"/>
    <w:rsid w:val="00F00DE0"/>
    <w:rsid w:val="00F03C03"/>
    <w:rsid w:val="00F047A1"/>
    <w:rsid w:val="00F05B8E"/>
    <w:rsid w:val="00F05BEC"/>
    <w:rsid w:val="00F06D30"/>
    <w:rsid w:val="00F06F1D"/>
    <w:rsid w:val="00F07CAD"/>
    <w:rsid w:val="00F07FBD"/>
    <w:rsid w:val="00F1193E"/>
    <w:rsid w:val="00F128C3"/>
    <w:rsid w:val="00F13895"/>
    <w:rsid w:val="00F13F01"/>
    <w:rsid w:val="00F13F9A"/>
    <w:rsid w:val="00F144E5"/>
    <w:rsid w:val="00F16EAB"/>
    <w:rsid w:val="00F17F20"/>
    <w:rsid w:val="00F21B54"/>
    <w:rsid w:val="00F235F3"/>
    <w:rsid w:val="00F244C1"/>
    <w:rsid w:val="00F25744"/>
    <w:rsid w:val="00F272EB"/>
    <w:rsid w:val="00F277C9"/>
    <w:rsid w:val="00F27A50"/>
    <w:rsid w:val="00F30732"/>
    <w:rsid w:val="00F309DA"/>
    <w:rsid w:val="00F3187F"/>
    <w:rsid w:val="00F32167"/>
    <w:rsid w:val="00F339B9"/>
    <w:rsid w:val="00F340B3"/>
    <w:rsid w:val="00F3504F"/>
    <w:rsid w:val="00F3738F"/>
    <w:rsid w:val="00F37CCD"/>
    <w:rsid w:val="00F407F7"/>
    <w:rsid w:val="00F41456"/>
    <w:rsid w:val="00F41676"/>
    <w:rsid w:val="00F430CE"/>
    <w:rsid w:val="00F453F8"/>
    <w:rsid w:val="00F45CA6"/>
    <w:rsid w:val="00F463D7"/>
    <w:rsid w:val="00F469C1"/>
    <w:rsid w:val="00F46CDC"/>
    <w:rsid w:val="00F47814"/>
    <w:rsid w:val="00F479FB"/>
    <w:rsid w:val="00F47F7F"/>
    <w:rsid w:val="00F501A8"/>
    <w:rsid w:val="00F51220"/>
    <w:rsid w:val="00F53143"/>
    <w:rsid w:val="00F53705"/>
    <w:rsid w:val="00F551BE"/>
    <w:rsid w:val="00F56933"/>
    <w:rsid w:val="00F625FB"/>
    <w:rsid w:val="00F628F9"/>
    <w:rsid w:val="00F62913"/>
    <w:rsid w:val="00F6541C"/>
    <w:rsid w:val="00F65507"/>
    <w:rsid w:val="00F65C90"/>
    <w:rsid w:val="00F7028B"/>
    <w:rsid w:val="00F70F37"/>
    <w:rsid w:val="00F74054"/>
    <w:rsid w:val="00F743E9"/>
    <w:rsid w:val="00F7486F"/>
    <w:rsid w:val="00F749D6"/>
    <w:rsid w:val="00F75027"/>
    <w:rsid w:val="00F761E7"/>
    <w:rsid w:val="00F76D02"/>
    <w:rsid w:val="00F83F26"/>
    <w:rsid w:val="00F85042"/>
    <w:rsid w:val="00F86FAA"/>
    <w:rsid w:val="00F87A4F"/>
    <w:rsid w:val="00F91780"/>
    <w:rsid w:val="00F91DF8"/>
    <w:rsid w:val="00F9364D"/>
    <w:rsid w:val="00F936D1"/>
    <w:rsid w:val="00F93E97"/>
    <w:rsid w:val="00F943E0"/>
    <w:rsid w:val="00F94D6F"/>
    <w:rsid w:val="00F94FB0"/>
    <w:rsid w:val="00F95BBE"/>
    <w:rsid w:val="00F96992"/>
    <w:rsid w:val="00F97015"/>
    <w:rsid w:val="00F97112"/>
    <w:rsid w:val="00F97404"/>
    <w:rsid w:val="00F9742F"/>
    <w:rsid w:val="00FA103A"/>
    <w:rsid w:val="00FA15CB"/>
    <w:rsid w:val="00FA2CD7"/>
    <w:rsid w:val="00FA2F54"/>
    <w:rsid w:val="00FA39F9"/>
    <w:rsid w:val="00FA43EC"/>
    <w:rsid w:val="00FA4BD0"/>
    <w:rsid w:val="00FA7860"/>
    <w:rsid w:val="00FB0EA5"/>
    <w:rsid w:val="00FB0EF6"/>
    <w:rsid w:val="00FB1BDF"/>
    <w:rsid w:val="00FB2B69"/>
    <w:rsid w:val="00FB394E"/>
    <w:rsid w:val="00FB427D"/>
    <w:rsid w:val="00FB4F9E"/>
    <w:rsid w:val="00FB5501"/>
    <w:rsid w:val="00FB67B8"/>
    <w:rsid w:val="00FB7062"/>
    <w:rsid w:val="00FB7196"/>
    <w:rsid w:val="00FB7DA8"/>
    <w:rsid w:val="00FB7EFE"/>
    <w:rsid w:val="00FC0226"/>
    <w:rsid w:val="00FC0A76"/>
    <w:rsid w:val="00FC18B3"/>
    <w:rsid w:val="00FC2355"/>
    <w:rsid w:val="00FC3FFE"/>
    <w:rsid w:val="00FC4A82"/>
    <w:rsid w:val="00FC4EB8"/>
    <w:rsid w:val="00FC5ED4"/>
    <w:rsid w:val="00FC61D6"/>
    <w:rsid w:val="00FC6954"/>
    <w:rsid w:val="00FD01E2"/>
    <w:rsid w:val="00FD05B4"/>
    <w:rsid w:val="00FD0A1D"/>
    <w:rsid w:val="00FD1738"/>
    <w:rsid w:val="00FD2A4E"/>
    <w:rsid w:val="00FD2C00"/>
    <w:rsid w:val="00FD4464"/>
    <w:rsid w:val="00FD46DC"/>
    <w:rsid w:val="00FD4727"/>
    <w:rsid w:val="00FD7CD9"/>
    <w:rsid w:val="00FE02CE"/>
    <w:rsid w:val="00FE1990"/>
    <w:rsid w:val="00FE19D2"/>
    <w:rsid w:val="00FE2A9D"/>
    <w:rsid w:val="00FE32E2"/>
    <w:rsid w:val="00FE32FA"/>
    <w:rsid w:val="00FE3ED6"/>
    <w:rsid w:val="00FE43A8"/>
    <w:rsid w:val="00FE4615"/>
    <w:rsid w:val="00FE788A"/>
    <w:rsid w:val="00FF058E"/>
    <w:rsid w:val="00FF06F6"/>
    <w:rsid w:val="00FF2150"/>
    <w:rsid w:val="00FF21C8"/>
    <w:rsid w:val="00FF276C"/>
    <w:rsid w:val="00FF3E95"/>
    <w:rsid w:val="00FF4846"/>
    <w:rsid w:val="00FF623E"/>
    <w:rsid w:val="00FF76AD"/>
    <w:rsid w:val="02EF2484"/>
    <w:rsid w:val="09881540"/>
    <w:rsid w:val="0B6D58C6"/>
    <w:rsid w:val="0E3267D0"/>
    <w:rsid w:val="0E440504"/>
    <w:rsid w:val="10212B7C"/>
    <w:rsid w:val="12DB098A"/>
    <w:rsid w:val="18BA677C"/>
    <w:rsid w:val="19A05508"/>
    <w:rsid w:val="19CE7F24"/>
    <w:rsid w:val="1A0F57CE"/>
    <w:rsid w:val="1B835B2D"/>
    <w:rsid w:val="1E356E67"/>
    <w:rsid w:val="25AF63AE"/>
    <w:rsid w:val="29634714"/>
    <w:rsid w:val="2AEA578F"/>
    <w:rsid w:val="2E440E65"/>
    <w:rsid w:val="2FBF13DD"/>
    <w:rsid w:val="35D70048"/>
    <w:rsid w:val="3B6B065C"/>
    <w:rsid w:val="3CDA4E38"/>
    <w:rsid w:val="3DFB272D"/>
    <w:rsid w:val="44C14340"/>
    <w:rsid w:val="4A002364"/>
    <w:rsid w:val="4B6A77D9"/>
    <w:rsid w:val="4C49635E"/>
    <w:rsid w:val="4CA12686"/>
    <w:rsid w:val="4CFB1013"/>
    <w:rsid w:val="4E054A8D"/>
    <w:rsid w:val="50B345F7"/>
    <w:rsid w:val="52421E22"/>
    <w:rsid w:val="53A12F22"/>
    <w:rsid w:val="567FB824"/>
    <w:rsid w:val="58C16E94"/>
    <w:rsid w:val="5BDF7C2A"/>
    <w:rsid w:val="5BF153A7"/>
    <w:rsid w:val="5C2A0FCC"/>
    <w:rsid w:val="5FD87A40"/>
    <w:rsid w:val="60C2355C"/>
    <w:rsid w:val="63DBF43C"/>
    <w:rsid w:val="643A76EB"/>
    <w:rsid w:val="719E6D7A"/>
    <w:rsid w:val="73BF3258"/>
    <w:rsid w:val="74D4714A"/>
    <w:rsid w:val="78F54B94"/>
    <w:rsid w:val="7A3B21D0"/>
    <w:rsid w:val="7A5C4586"/>
    <w:rsid w:val="7D156182"/>
    <w:rsid w:val="7D630FCB"/>
    <w:rsid w:val="7DD795DC"/>
    <w:rsid w:val="E57B7A72"/>
    <w:rsid w:val="FCEF036C"/>
    <w:rsid w:val="FFEF157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jc w:val="both"/>
    </w:pPr>
    <w:rPr>
      <w:rFonts w:ascii="Times New Roman" w:hAnsi="Times New Roman" w:eastAsia="仿宋_GB2312" w:cs="Times New Roman"/>
      <w:kern w:val="2"/>
      <w:sz w:val="24"/>
      <w:lang w:val="en-US" w:eastAsia="zh-CN" w:bidi="ar-SA"/>
    </w:rPr>
  </w:style>
  <w:style w:type="paragraph" w:styleId="2">
    <w:name w:val="heading 1"/>
    <w:basedOn w:val="1"/>
    <w:next w:val="1"/>
    <w:link w:val="41"/>
    <w:qFormat/>
    <w:uiPriority w:val="0"/>
    <w:pPr>
      <w:keepNext/>
      <w:keepLines/>
      <w:spacing w:before="340" w:after="330" w:line="578" w:lineRule="auto"/>
      <w:jc w:val="center"/>
      <w:outlineLvl w:val="0"/>
    </w:pPr>
    <w:rPr>
      <w:rFonts w:eastAsia="宋体"/>
      <w:b/>
      <w:spacing w:val="40"/>
      <w:kern w:val="44"/>
      <w:sz w:val="44"/>
    </w:rPr>
  </w:style>
  <w:style w:type="paragraph" w:styleId="3">
    <w:name w:val="heading 2"/>
    <w:basedOn w:val="1"/>
    <w:next w:val="4"/>
    <w:link w:val="42"/>
    <w:qFormat/>
    <w:uiPriority w:val="0"/>
    <w:pPr>
      <w:keepNext/>
      <w:keepLines/>
      <w:spacing w:before="260" w:after="260" w:line="415" w:lineRule="auto"/>
      <w:jc w:val="center"/>
      <w:outlineLvl w:val="1"/>
    </w:pPr>
    <w:rPr>
      <w:rFonts w:ascii="Arial" w:hAnsi="Arial" w:eastAsia="宋体"/>
      <w:b/>
      <w:spacing w:val="20"/>
      <w:sz w:val="36"/>
    </w:rPr>
  </w:style>
  <w:style w:type="paragraph" w:styleId="5">
    <w:name w:val="heading 3"/>
    <w:basedOn w:val="1"/>
    <w:next w:val="4"/>
    <w:link w:val="43"/>
    <w:qFormat/>
    <w:uiPriority w:val="0"/>
    <w:pPr>
      <w:keepNext/>
      <w:keepLines/>
      <w:spacing w:before="260" w:after="260" w:line="415" w:lineRule="auto"/>
      <w:jc w:val="center"/>
      <w:outlineLvl w:val="2"/>
    </w:pPr>
    <w:rPr>
      <w:rFonts w:eastAsia="宋体"/>
      <w:b/>
      <w:spacing w:val="50"/>
      <w:sz w:val="3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7"/>
    <w:qFormat/>
    <w:uiPriority w:val="0"/>
    <w:pPr>
      <w:snapToGrid w:val="0"/>
      <w:spacing w:line="360" w:lineRule="auto"/>
      <w:ind w:firstLine="567"/>
    </w:pPr>
    <w:rPr>
      <w:rFonts w:eastAsia="宋体"/>
      <w:kern w:val="0"/>
      <w:sz w:val="28"/>
    </w:rPr>
  </w:style>
  <w:style w:type="paragraph" w:styleId="6">
    <w:name w:val="toc 7"/>
    <w:basedOn w:val="1"/>
    <w:next w:val="1"/>
    <w:qFormat/>
    <w:uiPriority w:val="39"/>
    <w:pPr>
      <w:ind w:left="2520"/>
    </w:pPr>
  </w:style>
  <w:style w:type="paragraph" w:styleId="7">
    <w:name w:val="Document Map"/>
    <w:basedOn w:val="1"/>
    <w:link w:val="60"/>
    <w:semiHidden/>
    <w:qFormat/>
    <w:uiPriority w:val="0"/>
    <w:pPr>
      <w:shd w:val="clear" w:color="auto" w:fill="000080"/>
    </w:pPr>
  </w:style>
  <w:style w:type="paragraph" w:styleId="8">
    <w:name w:val="annotation text"/>
    <w:basedOn w:val="1"/>
    <w:link w:val="65"/>
    <w:semiHidden/>
    <w:qFormat/>
    <w:uiPriority w:val="99"/>
    <w:pPr>
      <w:jc w:val="left"/>
    </w:pPr>
  </w:style>
  <w:style w:type="paragraph" w:styleId="9">
    <w:name w:val="Salutation"/>
    <w:basedOn w:val="1"/>
    <w:next w:val="1"/>
    <w:link w:val="68"/>
    <w:qFormat/>
    <w:uiPriority w:val="0"/>
    <w:pPr>
      <w:widowControl/>
      <w:spacing w:line="240" w:lineRule="auto"/>
      <w:jc w:val="left"/>
    </w:pPr>
    <w:rPr>
      <w:rFonts w:eastAsia="宋体"/>
      <w:kern w:val="0"/>
      <w:sz w:val="28"/>
    </w:rPr>
  </w:style>
  <w:style w:type="paragraph" w:styleId="10">
    <w:name w:val="Body Text 3"/>
    <w:basedOn w:val="1"/>
    <w:link w:val="80"/>
    <w:semiHidden/>
    <w:unhideWhenUsed/>
    <w:qFormat/>
    <w:uiPriority w:val="99"/>
    <w:pPr>
      <w:spacing w:after="120"/>
    </w:pPr>
    <w:rPr>
      <w:sz w:val="16"/>
      <w:szCs w:val="16"/>
    </w:rPr>
  </w:style>
  <w:style w:type="paragraph" w:styleId="11">
    <w:name w:val="Body Text Indent"/>
    <w:basedOn w:val="1"/>
    <w:link w:val="47"/>
    <w:qFormat/>
    <w:uiPriority w:val="0"/>
    <w:pPr>
      <w:ind w:left="360" w:firstLine="540"/>
    </w:pPr>
    <w:rPr>
      <w:rFonts w:ascii="楷体_GB2312" w:eastAsia="楷体_GB2312"/>
      <w:sz w:val="44"/>
    </w:rPr>
  </w:style>
  <w:style w:type="paragraph" w:styleId="12">
    <w:name w:val="toc 5"/>
    <w:basedOn w:val="1"/>
    <w:next w:val="1"/>
    <w:qFormat/>
    <w:uiPriority w:val="39"/>
    <w:pPr>
      <w:ind w:left="1680"/>
    </w:pPr>
  </w:style>
  <w:style w:type="paragraph" w:styleId="13">
    <w:name w:val="toc 3"/>
    <w:basedOn w:val="1"/>
    <w:next w:val="1"/>
    <w:qFormat/>
    <w:uiPriority w:val="39"/>
    <w:pPr>
      <w:tabs>
        <w:tab w:val="right" w:leader="dot" w:pos="8303"/>
      </w:tabs>
      <w:ind w:left="480" w:leftChars="200"/>
    </w:pPr>
  </w:style>
  <w:style w:type="paragraph" w:styleId="14">
    <w:name w:val="Plain Text"/>
    <w:basedOn w:val="1"/>
    <w:link w:val="49"/>
    <w:qFormat/>
    <w:uiPriority w:val="0"/>
    <w:rPr>
      <w:rFonts w:ascii="宋体" w:hAnsi="Courier New"/>
    </w:rPr>
  </w:style>
  <w:style w:type="paragraph" w:styleId="15">
    <w:name w:val="toc 8"/>
    <w:basedOn w:val="1"/>
    <w:next w:val="1"/>
    <w:qFormat/>
    <w:uiPriority w:val="39"/>
    <w:pPr>
      <w:ind w:left="2940"/>
    </w:pPr>
  </w:style>
  <w:style w:type="paragraph" w:styleId="16">
    <w:name w:val="Date"/>
    <w:basedOn w:val="1"/>
    <w:next w:val="1"/>
    <w:link w:val="51"/>
    <w:qFormat/>
    <w:uiPriority w:val="0"/>
    <w:pPr>
      <w:spacing w:line="240" w:lineRule="auto"/>
    </w:pPr>
    <w:rPr>
      <w:rFonts w:eastAsia="宋体"/>
    </w:rPr>
  </w:style>
  <w:style w:type="paragraph" w:styleId="17">
    <w:name w:val="Body Text Indent 2"/>
    <w:basedOn w:val="1"/>
    <w:link w:val="48"/>
    <w:qFormat/>
    <w:uiPriority w:val="0"/>
    <w:pPr>
      <w:ind w:firstLine="570"/>
    </w:pPr>
    <w:rPr>
      <w:rFonts w:ascii="楷体_GB2312" w:eastAsia="楷体_GB2312"/>
      <w:sz w:val="28"/>
    </w:rPr>
  </w:style>
  <w:style w:type="paragraph" w:styleId="18">
    <w:name w:val="Balloon Text"/>
    <w:basedOn w:val="1"/>
    <w:link w:val="53"/>
    <w:semiHidden/>
    <w:qFormat/>
    <w:uiPriority w:val="0"/>
    <w:rPr>
      <w:sz w:val="18"/>
      <w:szCs w:val="18"/>
    </w:rPr>
  </w:style>
  <w:style w:type="paragraph" w:styleId="19">
    <w:name w:val="footer"/>
    <w:basedOn w:val="1"/>
    <w:link w:val="45"/>
    <w:qFormat/>
    <w:uiPriority w:val="99"/>
    <w:pPr>
      <w:tabs>
        <w:tab w:val="center" w:pos="4153"/>
        <w:tab w:val="right" w:pos="8306"/>
      </w:tabs>
      <w:snapToGrid w:val="0"/>
      <w:jc w:val="left"/>
    </w:pPr>
    <w:rPr>
      <w:sz w:val="18"/>
    </w:rPr>
  </w:style>
  <w:style w:type="paragraph" w:styleId="20">
    <w:name w:val="header"/>
    <w:basedOn w:val="1"/>
    <w:link w:val="44"/>
    <w:qFormat/>
    <w:uiPriority w:val="0"/>
    <w:pPr>
      <w:pBdr>
        <w:bottom w:val="single" w:color="auto" w:sz="6" w:space="1"/>
      </w:pBdr>
      <w:tabs>
        <w:tab w:val="center" w:pos="4153"/>
        <w:tab w:val="right" w:pos="8306"/>
      </w:tabs>
      <w:snapToGrid w:val="0"/>
      <w:jc w:val="center"/>
    </w:pPr>
    <w:rPr>
      <w:sz w:val="18"/>
    </w:rPr>
  </w:style>
  <w:style w:type="paragraph" w:styleId="21">
    <w:name w:val="toc 1"/>
    <w:basedOn w:val="1"/>
    <w:next w:val="1"/>
    <w:qFormat/>
    <w:uiPriority w:val="39"/>
    <w:pPr>
      <w:ind w:firstLine="567"/>
    </w:pPr>
    <w:rPr>
      <w:rFonts w:eastAsia="宋体"/>
      <w:spacing w:val="10"/>
      <w:sz w:val="28"/>
    </w:rPr>
  </w:style>
  <w:style w:type="paragraph" w:styleId="22">
    <w:name w:val="toc 4"/>
    <w:basedOn w:val="1"/>
    <w:next w:val="1"/>
    <w:qFormat/>
    <w:uiPriority w:val="39"/>
    <w:pPr>
      <w:ind w:left="1260"/>
    </w:pPr>
  </w:style>
  <w:style w:type="paragraph" w:styleId="23">
    <w:name w:val="footnote text"/>
    <w:basedOn w:val="1"/>
    <w:link w:val="46"/>
    <w:semiHidden/>
    <w:qFormat/>
    <w:uiPriority w:val="0"/>
    <w:pPr>
      <w:snapToGrid w:val="0"/>
      <w:jc w:val="left"/>
    </w:pPr>
    <w:rPr>
      <w:sz w:val="18"/>
    </w:rPr>
  </w:style>
  <w:style w:type="paragraph" w:styleId="24">
    <w:name w:val="toc 6"/>
    <w:basedOn w:val="1"/>
    <w:next w:val="1"/>
    <w:qFormat/>
    <w:uiPriority w:val="39"/>
    <w:pPr>
      <w:ind w:left="2100"/>
    </w:pPr>
  </w:style>
  <w:style w:type="paragraph" w:styleId="25">
    <w:name w:val="Body Text Indent 3"/>
    <w:basedOn w:val="1"/>
    <w:link w:val="50"/>
    <w:qFormat/>
    <w:uiPriority w:val="0"/>
    <w:pPr>
      <w:spacing w:line="480" w:lineRule="exact"/>
      <w:ind w:firstLine="560" w:firstLineChars="200"/>
    </w:pPr>
    <w:rPr>
      <w:rFonts w:ascii="宋体" w:hAnsi="宋体" w:eastAsia="宋体"/>
      <w:sz w:val="28"/>
    </w:rPr>
  </w:style>
  <w:style w:type="paragraph" w:styleId="26">
    <w:name w:val="toc 2"/>
    <w:basedOn w:val="1"/>
    <w:next w:val="1"/>
    <w:qFormat/>
    <w:uiPriority w:val="39"/>
    <w:pPr>
      <w:ind w:left="420"/>
    </w:pPr>
  </w:style>
  <w:style w:type="paragraph" w:styleId="27">
    <w:name w:val="toc 9"/>
    <w:basedOn w:val="1"/>
    <w:next w:val="1"/>
    <w:qFormat/>
    <w:uiPriority w:val="39"/>
    <w:pPr>
      <w:ind w:left="3360"/>
    </w:pPr>
  </w:style>
  <w:style w:type="paragraph" w:styleId="28">
    <w:name w:val="Body Text 2"/>
    <w:basedOn w:val="1"/>
    <w:link w:val="54"/>
    <w:qFormat/>
    <w:uiPriority w:val="0"/>
    <w:pPr>
      <w:adjustRightInd w:val="0"/>
      <w:snapToGrid w:val="0"/>
      <w:spacing w:line="240" w:lineRule="auto"/>
      <w:jc w:val="center"/>
    </w:pPr>
    <w:rPr>
      <w:spacing w:val="-8"/>
      <w:sz w:val="21"/>
    </w:rPr>
  </w:style>
  <w:style w:type="paragraph" w:styleId="29">
    <w:name w:val="Normal (Web)"/>
    <w:basedOn w:val="1"/>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30">
    <w:name w:val="annotation subject"/>
    <w:basedOn w:val="8"/>
    <w:next w:val="8"/>
    <w:link w:val="66"/>
    <w:semiHidden/>
    <w:qFormat/>
    <w:uiPriority w:val="0"/>
    <w:rPr>
      <w:b/>
      <w:bCs/>
    </w:rPr>
  </w:style>
  <w:style w:type="table" w:styleId="32">
    <w:name w:val="Table Grid"/>
    <w:basedOn w:val="31"/>
    <w:qFormat/>
    <w:uiPriority w:val="0"/>
    <w:pPr>
      <w:widowControl w:val="0"/>
      <w:spacing w:line="28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22"/>
    <w:rPr>
      <w:b/>
      <w:bCs/>
    </w:rPr>
  </w:style>
  <w:style w:type="character" w:styleId="35">
    <w:name w:val="page number"/>
    <w:basedOn w:val="33"/>
    <w:qFormat/>
    <w:uiPriority w:val="0"/>
  </w:style>
  <w:style w:type="character" w:styleId="36">
    <w:name w:val="Emphasis"/>
    <w:qFormat/>
    <w:uiPriority w:val="0"/>
    <w:rPr>
      <w:color w:val="CC0000"/>
    </w:rPr>
  </w:style>
  <w:style w:type="character" w:styleId="37">
    <w:name w:val="line number"/>
    <w:basedOn w:val="33"/>
    <w:qFormat/>
    <w:uiPriority w:val="0"/>
  </w:style>
  <w:style w:type="character" w:styleId="38">
    <w:name w:val="Hyperlink"/>
    <w:qFormat/>
    <w:uiPriority w:val="99"/>
    <w:rPr>
      <w:color w:val="0000FF"/>
      <w:u w:val="single"/>
    </w:rPr>
  </w:style>
  <w:style w:type="character" w:styleId="39">
    <w:name w:val="annotation reference"/>
    <w:semiHidden/>
    <w:qFormat/>
    <w:uiPriority w:val="0"/>
    <w:rPr>
      <w:sz w:val="21"/>
      <w:szCs w:val="21"/>
    </w:rPr>
  </w:style>
  <w:style w:type="character" w:styleId="40">
    <w:name w:val="footnote reference"/>
    <w:semiHidden/>
    <w:qFormat/>
    <w:uiPriority w:val="0"/>
    <w:rPr>
      <w:vertAlign w:val="superscript"/>
    </w:rPr>
  </w:style>
  <w:style w:type="character" w:customStyle="1" w:styleId="41">
    <w:name w:val="标题 1 Char"/>
    <w:basedOn w:val="33"/>
    <w:link w:val="2"/>
    <w:qFormat/>
    <w:uiPriority w:val="0"/>
    <w:rPr>
      <w:rFonts w:ascii="Times New Roman" w:hAnsi="Times New Roman" w:eastAsia="宋体" w:cs="Times New Roman"/>
      <w:b/>
      <w:spacing w:val="40"/>
      <w:kern w:val="44"/>
      <w:sz w:val="44"/>
      <w:szCs w:val="20"/>
    </w:rPr>
  </w:style>
  <w:style w:type="character" w:customStyle="1" w:styleId="42">
    <w:name w:val="标题 2 Char"/>
    <w:basedOn w:val="33"/>
    <w:link w:val="3"/>
    <w:qFormat/>
    <w:uiPriority w:val="0"/>
    <w:rPr>
      <w:rFonts w:ascii="Arial" w:hAnsi="Arial" w:eastAsia="宋体" w:cs="Times New Roman"/>
      <w:b/>
      <w:spacing w:val="20"/>
      <w:sz w:val="36"/>
      <w:szCs w:val="20"/>
    </w:rPr>
  </w:style>
  <w:style w:type="character" w:customStyle="1" w:styleId="43">
    <w:name w:val="标题 3 Char"/>
    <w:basedOn w:val="33"/>
    <w:link w:val="5"/>
    <w:qFormat/>
    <w:uiPriority w:val="0"/>
    <w:rPr>
      <w:rFonts w:ascii="Times New Roman" w:hAnsi="Times New Roman" w:eastAsia="宋体" w:cs="Times New Roman"/>
      <w:b/>
      <w:spacing w:val="50"/>
      <w:sz w:val="32"/>
      <w:szCs w:val="20"/>
    </w:rPr>
  </w:style>
  <w:style w:type="character" w:customStyle="1" w:styleId="44">
    <w:name w:val="页眉 Char"/>
    <w:basedOn w:val="33"/>
    <w:link w:val="20"/>
    <w:qFormat/>
    <w:uiPriority w:val="0"/>
    <w:rPr>
      <w:rFonts w:ascii="Times New Roman" w:hAnsi="Times New Roman" w:eastAsia="仿宋_GB2312" w:cs="Times New Roman"/>
      <w:sz w:val="18"/>
      <w:szCs w:val="20"/>
    </w:rPr>
  </w:style>
  <w:style w:type="character" w:customStyle="1" w:styleId="45">
    <w:name w:val="页脚 Char"/>
    <w:basedOn w:val="33"/>
    <w:link w:val="19"/>
    <w:qFormat/>
    <w:uiPriority w:val="99"/>
    <w:rPr>
      <w:rFonts w:ascii="Times New Roman" w:hAnsi="Times New Roman" w:eastAsia="仿宋_GB2312" w:cs="Times New Roman"/>
      <w:sz w:val="18"/>
      <w:szCs w:val="20"/>
    </w:rPr>
  </w:style>
  <w:style w:type="character" w:customStyle="1" w:styleId="46">
    <w:name w:val="脚注文本 Char"/>
    <w:basedOn w:val="33"/>
    <w:link w:val="23"/>
    <w:semiHidden/>
    <w:qFormat/>
    <w:uiPriority w:val="0"/>
    <w:rPr>
      <w:rFonts w:ascii="Times New Roman" w:hAnsi="Times New Roman" w:eastAsia="仿宋_GB2312" w:cs="Times New Roman"/>
      <w:sz w:val="18"/>
      <w:szCs w:val="20"/>
    </w:rPr>
  </w:style>
  <w:style w:type="character" w:customStyle="1" w:styleId="47">
    <w:name w:val="正文文本缩进 Char"/>
    <w:basedOn w:val="33"/>
    <w:link w:val="11"/>
    <w:qFormat/>
    <w:uiPriority w:val="0"/>
    <w:rPr>
      <w:rFonts w:ascii="楷体_GB2312" w:hAnsi="Times New Roman" w:eastAsia="楷体_GB2312" w:cs="Times New Roman"/>
      <w:sz w:val="44"/>
      <w:szCs w:val="20"/>
    </w:rPr>
  </w:style>
  <w:style w:type="character" w:customStyle="1" w:styleId="48">
    <w:name w:val="正文文本缩进 2 Char"/>
    <w:basedOn w:val="33"/>
    <w:link w:val="17"/>
    <w:qFormat/>
    <w:uiPriority w:val="0"/>
    <w:rPr>
      <w:rFonts w:ascii="楷体_GB2312" w:hAnsi="Times New Roman" w:eastAsia="楷体_GB2312" w:cs="Times New Roman"/>
      <w:sz w:val="28"/>
      <w:szCs w:val="20"/>
    </w:rPr>
  </w:style>
  <w:style w:type="character" w:customStyle="1" w:styleId="49">
    <w:name w:val="纯文本 Char"/>
    <w:basedOn w:val="33"/>
    <w:link w:val="14"/>
    <w:qFormat/>
    <w:uiPriority w:val="0"/>
    <w:rPr>
      <w:rFonts w:ascii="宋体" w:hAnsi="Courier New" w:eastAsia="仿宋_GB2312" w:cs="Times New Roman"/>
      <w:sz w:val="24"/>
      <w:szCs w:val="20"/>
    </w:rPr>
  </w:style>
  <w:style w:type="character" w:customStyle="1" w:styleId="50">
    <w:name w:val="正文文本缩进 3 Char"/>
    <w:basedOn w:val="33"/>
    <w:link w:val="25"/>
    <w:qFormat/>
    <w:uiPriority w:val="0"/>
    <w:rPr>
      <w:rFonts w:ascii="宋体" w:hAnsi="宋体" w:eastAsia="宋体" w:cs="Times New Roman"/>
      <w:sz w:val="28"/>
      <w:szCs w:val="20"/>
    </w:rPr>
  </w:style>
  <w:style w:type="character" w:customStyle="1" w:styleId="51">
    <w:name w:val="日期 Char"/>
    <w:basedOn w:val="33"/>
    <w:link w:val="16"/>
    <w:qFormat/>
    <w:uiPriority w:val="0"/>
    <w:rPr>
      <w:rFonts w:ascii="Times New Roman" w:hAnsi="Times New Roman" w:eastAsia="宋体" w:cs="Times New Roman"/>
      <w:sz w:val="24"/>
      <w:szCs w:val="20"/>
    </w:rPr>
  </w:style>
  <w:style w:type="character" w:customStyle="1" w:styleId="52">
    <w:name w:val="ninetext1"/>
    <w:qFormat/>
    <w:uiPriority w:val="0"/>
    <w:rPr>
      <w:sz w:val="18"/>
      <w:szCs w:val="18"/>
    </w:rPr>
  </w:style>
  <w:style w:type="character" w:customStyle="1" w:styleId="53">
    <w:name w:val="批注框文本 Char"/>
    <w:basedOn w:val="33"/>
    <w:link w:val="18"/>
    <w:semiHidden/>
    <w:qFormat/>
    <w:uiPriority w:val="0"/>
    <w:rPr>
      <w:rFonts w:ascii="Times New Roman" w:hAnsi="Times New Roman" w:eastAsia="仿宋_GB2312" w:cs="Times New Roman"/>
      <w:sz w:val="18"/>
      <w:szCs w:val="18"/>
    </w:rPr>
  </w:style>
  <w:style w:type="character" w:customStyle="1" w:styleId="54">
    <w:name w:val="正文文本 2 Char"/>
    <w:basedOn w:val="33"/>
    <w:link w:val="28"/>
    <w:qFormat/>
    <w:uiPriority w:val="0"/>
    <w:rPr>
      <w:rFonts w:ascii="Times New Roman" w:hAnsi="Times New Roman" w:eastAsia="仿宋_GB2312" w:cs="Times New Roman"/>
      <w:spacing w:val="-8"/>
      <w:szCs w:val="20"/>
    </w:rPr>
  </w:style>
  <w:style w:type="character" w:customStyle="1" w:styleId="55">
    <w:name w:val="正文（首行缩进两字） Char"/>
    <w:qFormat/>
    <w:uiPriority w:val="0"/>
    <w:rPr>
      <w:rFonts w:eastAsia="宋体"/>
      <w:kern w:val="2"/>
      <w:sz w:val="28"/>
      <w:lang w:val="en-US" w:eastAsia="zh-CN" w:bidi="ar-SA"/>
    </w:rPr>
  </w:style>
  <w:style w:type="paragraph" w:customStyle="1" w:styleId="56">
    <w:name w:val="1"/>
    <w:basedOn w:val="1"/>
    <w:next w:val="4"/>
    <w:qFormat/>
    <w:uiPriority w:val="0"/>
    <w:pPr>
      <w:snapToGrid w:val="0"/>
      <w:spacing w:line="360" w:lineRule="auto"/>
      <w:ind w:firstLine="567"/>
    </w:pPr>
    <w:rPr>
      <w:rFonts w:eastAsia="宋体"/>
      <w:sz w:val="28"/>
    </w:rPr>
  </w:style>
  <w:style w:type="character" w:customStyle="1" w:styleId="57">
    <w:name w:val="正文缩进 Char"/>
    <w:link w:val="4"/>
    <w:qFormat/>
    <w:uiPriority w:val="0"/>
    <w:rPr>
      <w:rFonts w:ascii="Times New Roman" w:hAnsi="Times New Roman" w:eastAsia="宋体" w:cs="Times New Roman"/>
      <w:sz w:val="28"/>
      <w:szCs w:val="20"/>
    </w:rPr>
  </w:style>
  <w:style w:type="paragraph" w:customStyle="1" w:styleId="58">
    <w:name w:val="xl30"/>
    <w:basedOn w:val="1"/>
    <w:qFormat/>
    <w:uiPriority w:val="0"/>
    <w:pPr>
      <w:widowControl/>
      <w:spacing w:before="100" w:beforeAutospacing="1" w:after="100" w:afterAutospacing="1" w:line="240" w:lineRule="auto"/>
      <w:jc w:val="center"/>
      <w:textAlignment w:val="center"/>
    </w:pPr>
    <w:rPr>
      <w:rFonts w:ascii="宋体" w:hAnsi="宋体" w:eastAsia="宋体"/>
      <w:kern w:val="0"/>
      <w:szCs w:val="24"/>
    </w:rPr>
  </w:style>
  <w:style w:type="paragraph" w:customStyle="1" w:styleId="59">
    <w:name w:val="列出段落1"/>
    <w:basedOn w:val="1"/>
    <w:qFormat/>
    <w:uiPriority w:val="0"/>
    <w:pPr>
      <w:spacing w:line="360" w:lineRule="auto"/>
      <w:ind w:firstLine="420" w:firstLineChars="200"/>
    </w:pPr>
    <w:rPr>
      <w:rFonts w:ascii="Calibri" w:hAnsi="Calibri" w:eastAsia="宋体" w:cs="Calibri"/>
      <w:sz w:val="21"/>
      <w:szCs w:val="21"/>
    </w:rPr>
  </w:style>
  <w:style w:type="character" w:customStyle="1" w:styleId="60">
    <w:name w:val="文档结构图 Char"/>
    <w:basedOn w:val="33"/>
    <w:link w:val="7"/>
    <w:semiHidden/>
    <w:qFormat/>
    <w:uiPriority w:val="0"/>
    <w:rPr>
      <w:rFonts w:ascii="Times New Roman" w:hAnsi="Times New Roman" w:eastAsia="仿宋_GB2312" w:cs="Times New Roman"/>
      <w:sz w:val="24"/>
      <w:szCs w:val="20"/>
      <w:shd w:val="clear" w:color="auto" w:fill="000080"/>
    </w:rPr>
  </w:style>
  <w:style w:type="paragraph" w:customStyle="1" w:styleId="61">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character" w:customStyle="1" w:styleId="62">
    <w:name w:val="Char Char1"/>
    <w:qFormat/>
    <w:uiPriority w:val="0"/>
    <w:rPr>
      <w:rFonts w:ascii="宋体" w:eastAsia="宋体"/>
      <w:sz w:val="21"/>
      <w:lang w:val="en-US" w:eastAsia="zh-CN" w:bidi="ar-SA"/>
    </w:rPr>
  </w:style>
  <w:style w:type="character" w:customStyle="1" w:styleId="63">
    <w:name w:val="正文（首行缩进两字） Char3"/>
    <w:qFormat/>
    <w:uiPriority w:val="0"/>
    <w:rPr>
      <w:rFonts w:eastAsia="宋体"/>
      <w:kern w:val="2"/>
      <w:sz w:val="28"/>
      <w:lang w:val="en-US" w:eastAsia="zh-CN" w:bidi="ar-SA"/>
    </w:rPr>
  </w:style>
  <w:style w:type="character" w:customStyle="1" w:styleId="64">
    <w:name w:val="普通文字 Char Char"/>
    <w:qFormat/>
    <w:uiPriority w:val="0"/>
    <w:rPr>
      <w:rFonts w:ascii="宋体" w:hAnsi="Courier New" w:eastAsia="仿宋_GB2312"/>
      <w:kern w:val="2"/>
      <w:sz w:val="24"/>
      <w:lang w:val="en-US" w:eastAsia="zh-CN" w:bidi="ar-SA"/>
    </w:rPr>
  </w:style>
  <w:style w:type="character" w:customStyle="1" w:styleId="65">
    <w:name w:val="批注文字 Char"/>
    <w:basedOn w:val="33"/>
    <w:link w:val="8"/>
    <w:semiHidden/>
    <w:qFormat/>
    <w:uiPriority w:val="99"/>
    <w:rPr>
      <w:rFonts w:ascii="Times New Roman" w:hAnsi="Times New Roman" w:eastAsia="仿宋_GB2312" w:cs="Times New Roman"/>
      <w:sz w:val="24"/>
      <w:szCs w:val="20"/>
    </w:rPr>
  </w:style>
  <w:style w:type="character" w:customStyle="1" w:styleId="66">
    <w:name w:val="批注主题 Char"/>
    <w:basedOn w:val="65"/>
    <w:link w:val="30"/>
    <w:semiHidden/>
    <w:qFormat/>
    <w:uiPriority w:val="0"/>
    <w:rPr>
      <w:rFonts w:ascii="Times New Roman" w:hAnsi="Times New Roman" w:eastAsia="仿宋_GB2312" w:cs="Times New Roman"/>
      <w:b/>
      <w:bCs/>
      <w:sz w:val="24"/>
      <w:szCs w:val="20"/>
    </w:rPr>
  </w:style>
  <w:style w:type="character" w:customStyle="1" w:styleId="67">
    <w:name w:val="apple-style-span"/>
    <w:basedOn w:val="33"/>
    <w:qFormat/>
    <w:uiPriority w:val="0"/>
  </w:style>
  <w:style w:type="character" w:customStyle="1" w:styleId="68">
    <w:name w:val="称呼 Char"/>
    <w:basedOn w:val="33"/>
    <w:link w:val="9"/>
    <w:qFormat/>
    <w:uiPriority w:val="0"/>
    <w:rPr>
      <w:rFonts w:ascii="Times New Roman" w:hAnsi="Times New Roman" w:eastAsia="宋体" w:cs="Times New Roman"/>
      <w:kern w:val="0"/>
      <w:sz w:val="28"/>
      <w:szCs w:val="20"/>
    </w:rPr>
  </w:style>
  <w:style w:type="paragraph" w:customStyle="1" w:styleId="69">
    <w:name w:val="Char"/>
    <w:basedOn w:val="1"/>
    <w:qFormat/>
    <w:uiPriority w:val="0"/>
    <w:pPr>
      <w:spacing w:line="240" w:lineRule="auto"/>
    </w:pPr>
    <w:rPr>
      <w:rFonts w:ascii="Tahoma" w:hAnsi="Tahoma" w:eastAsia="宋体"/>
    </w:rPr>
  </w:style>
  <w:style w:type="paragraph" w:customStyle="1" w:styleId="70">
    <w:name w:val="_Style 30"/>
    <w:basedOn w:val="1"/>
    <w:qFormat/>
    <w:uiPriority w:val="0"/>
    <w:pPr>
      <w:spacing w:line="240" w:lineRule="auto"/>
    </w:pPr>
  </w:style>
  <w:style w:type="paragraph" w:customStyle="1" w:styleId="71">
    <w:name w:val="Char1"/>
    <w:basedOn w:val="1"/>
    <w:qFormat/>
    <w:uiPriority w:val="0"/>
    <w:pPr>
      <w:spacing w:line="240" w:lineRule="auto"/>
    </w:pPr>
    <w:rPr>
      <w:rFonts w:ascii="Tahoma" w:hAnsi="Tahoma" w:eastAsia="宋体"/>
    </w:rPr>
  </w:style>
  <w:style w:type="paragraph" w:customStyle="1" w:styleId="72">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3">
    <w:name w:val="修订1"/>
    <w:hidden/>
    <w:semiHidden/>
    <w:qFormat/>
    <w:uiPriority w:val="99"/>
    <w:rPr>
      <w:rFonts w:ascii="Times New Roman" w:hAnsi="Times New Roman" w:eastAsia="仿宋_GB2312" w:cs="Times New Roman"/>
      <w:kern w:val="2"/>
      <w:sz w:val="24"/>
      <w:lang w:val="en-US" w:eastAsia="zh-CN" w:bidi="ar-SA"/>
    </w:rPr>
  </w:style>
  <w:style w:type="paragraph" w:styleId="74">
    <w:name w:val="List Paragraph"/>
    <w:basedOn w:val="1"/>
    <w:qFormat/>
    <w:uiPriority w:val="99"/>
    <w:pPr>
      <w:ind w:firstLine="420" w:firstLineChars="200"/>
    </w:pPr>
  </w:style>
  <w:style w:type="paragraph" w:styleId="75">
    <w:name w:val="No Spacing"/>
    <w:link w:val="76"/>
    <w:qFormat/>
    <w:uiPriority w:val="1"/>
    <w:rPr>
      <w:rFonts w:ascii="Calibri" w:hAnsi="Calibri" w:eastAsia="宋体" w:cs="Times New Roman"/>
      <w:sz w:val="22"/>
      <w:szCs w:val="22"/>
      <w:lang w:val="en-US" w:eastAsia="zh-CN" w:bidi="ar-SA"/>
    </w:rPr>
  </w:style>
  <w:style w:type="character" w:customStyle="1" w:styleId="76">
    <w:name w:val="无间隔 Char"/>
    <w:basedOn w:val="33"/>
    <w:link w:val="75"/>
    <w:qFormat/>
    <w:uiPriority w:val="1"/>
    <w:rPr>
      <w:sz w:val="22"/>
      <w:szCs w:val="22"/>
      <w:lang w:val="en-US" w:eastAsia="zh-CN" w:bidi="ar-SA"/>
    </w:rPr>
  </w:style>
  <w:style w:type="table" w:customStyle="1" w:styleId="77">
    <w:name w:val="网格型1"/>
    <w:basedOn w:val="31"/>
    <w:qFormat/>
    <w:uiPriority w:val="0"/>
    <w:pPr>
      <w:widowControl w:val="0"/>
      <w:spacing w:line="28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8">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9">
    <w:name w:val="正文 New New New"/>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80">
    <w:name w:val="正文文本 3 Char"/>
    <w:basedOn w:val="33"/>
    <w:link w:val="10"/>
    <w:semiHidden/>
    <w:qFormat/>
    <w:uiPriority w:val="99"/>
    <w:rPr>
      <w:rFonts w:ascii="Times New Roman" w:hAnsi="Times New Roman" w:eastAsia="仿宋_GB2312"/>
      <w:kern w:val="2"/>
      <w:sz w:val="16"/>
      <w:szCs w:val="16"/>
    </w:rPr>
  </w:style>
  <w:style w:type="character" w:styleId="81">
    <w:name w:val="Placeholder Text"/>
    <w:basedOn w:val="33"/>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5"/>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40</Pages>
  <Words>12727</Words>
  <Characters>3529</Characters>
  <Lines>29</Lines>
  <Paragraphs>32</Paragraphs>
  <TotalTime>1</TotalTime>
  <ScaleCrop>false</ScaleCrop>
  <LinksUpToDate>false</LinksUpToDate>
  <CharactersWithSpaces>16224</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2019-07-19T18:50:00Z</dcterms:created>
  <dc:creator>angbo y</dc:creator>
  <cp:lastModifiedBy>特立独行的耳。火</cp:lastModifiedBy>
  <cp:lastPrinted>2021-05-22T17:40:00Z</cp:lastPrinted>
  <dcterms:modified xsi:type="dcterms:W3CDTF">2021-12-29T06:39:50Z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ABF0FD7E574E41BC8B4A5908F2CF29EF</vt:lpwstr>
  </property>
</Properties>
</file>